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embeddings/Microsoft_Visio___3.vsdx" ContentType="application/vnd.ms-visio.drawing"/>
  <Override PartName="/word/embeddings/Microsoft_Visio___4.vsdx" ContentType="application/vnd.ms-visio.drawing"/>
  <Override PartName="/word/embeddings/Microsoft_Visio___5.vsdx" ContentType="application/vnd.ms-visio.drawing"/>
  <Override PartName="/word/embeddings/Microsoft_Visio___6.vsdx" ContentType="application/vnd.ms-visio.drawing"/>
  <Override PartName="/word/embeddings/Microsoft_Visio___7.vsdx" ContentType="application/vnd.ms-visio.drawing"/>
  <Override PartName="/word/embeddings/Microsoft_Visio___8.vsdx" ContentType="application/vnd.ms-visio.drawing"/>
  <Override PartName="/word/embeddings/Microsoft_Visio___9.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E3D21">
      <w:pPr>
        <w:pStyle w:val="2354"/>
        <w:ind w:firstLine="480"/>
      </w:pPr>
      <w:bookmarkStart w:id="0" w:name="_Toc482880881"/>
    </w:p>
    <w:p w14:paraId="3C4BC181">
      <w:pPr>
        <w:pStyle w:val="3712"/>
      </w:pPr>
    </w:p>
    <w:p w14:paraId="414B3347">
      <w:pPr>
        <w:spacing w:line="360" w:lineRule="auto"/>
        <w:jc w:val="center"/>
        <w:rPr>
          <w:b/>
          <w:color w:val="000000" w:themeColor="text1"/>
          <w:sz w:val="56"/>
          <w:szCs w:val="56"/>
          <w14:textFill>
            <w14:solidFill>
              <w14:schemeClr w14:val="tx1"/>
            </w14:solidFill>
          </w14:textFill>
        </w:rPr>
      </w:pPr>
      <w:r>
        <w:rPr>
          <w:b/>
          <w:color w:val="000000" w:themeColor="text1"/>
          <w:sz w:val="56"/>
          <w:szCs w:val="56"/>
          <w14:textFill>
            <w14:solidFill>
              <w14:schemeClr w14:val="tx1"/>
            </w14:solidFill>
          </w14:textFill>
        </w:rPr>
        <w:t>巴州区肉牛产业建设项目</w:t>
      </w:r>
    </w:p>
    <w:p w14:paraId="7CFAF438">
      <w:pPr>
        <w:spacing w:line="360" w:lineRule="auto"/>
        <w:jc w:val="center"/>
        <w:rPr>
          <w:b/>
          <w:color w:val="000000" w:themeColor="text1"/>
          <w:sz w:val="56"/>
          <w:szCs w:val="56"/>
          <w14:textFill>
            <w14:solidFill>
              <w14:schemeClr w14:val="tx1"/>
            </w14:solidFill>
          </w14:textFill>
        </w:rPr>
      </w:pPr>
      <w:r>
        <w:rPr>
          <w:b/>
          <w:color w:val="000000" w:themeColor="text1"/>
          <w:sz w:val="56"/>
          <w:szCs w:val="56"/>
          <w14:textFill>
            <w14:solidFill>
              <w14:schemeClr w14:val="tx1"/>
            </w14:solidFill>
          </w14:textFill>
        </w:rPr>
        <w:t>环境影响报告书</w:t>
      </w:r>
    </w:p>
    <w:p w14:paraId="427808D9">
      <w:pPr>
        <w:jc w:val="center"/>
        <w:rPr>
          <w:b/>
          <w:color w:val="000000" w:themeColor="text1"/>
          <w:sz w:val="48"/>
          <w:szCs w:val="44"/>
          <w14:textFill>
            <w14:solidFill>
              <w14:schemeClr w14:val="tx1"/>
            </w14:solidFill>
          </w14:textFill>
        </w:rPr>
      </w:pPr>
      <w:r>
        <w:rPr>
          <w:b/>
          <w:color w:val="000000" w:themeColor="text1"/>
          <w:sz w:val="48"/>
          <w:szCs w:val="44"/>
          <w14:textFill>
            <w14:solidFill>
              <w14:schemeClr w14:val="tx1"/>
            </w14:solidFill>
          </w14:textFill>
        </w:rPr>
        <w:t>（公示本）</w:t>
      </w:r>
    </w:p>
    <w:p w14:paraId="11F83418">
      <w:pPr>
        <w:spacing w:line="600" w:lineRule="auto"/>
        <w:jc w:val="center"/>
        <w:rPr>
          <w:b/>
          <w:color w:val="000000" w:themeColor="text1"/>
          <w:sz w:val="28"/>
          <w:szCs w:val="28"/>
          <w14:textFill>
            <w14:solidFill>
              <w14:schemeClr w14:val="tx1"/>
            </w14:solidFill>
          </w14:textFill>
        </w:rPr>
      </w:pPr>
    </w:p>
    <w:p w14:paraId="79F3263A">
      <w:pPr>
        <w:spacing w:line="600" w:lineRule="auto"/>
        <w:jc w:val="center"/>
        <w:rPr>
          <w:b/>
          <w:color w:val="000000" w:themeColor="text1"/>
          <w:sz w:val="28"/>
          <w:szCs w:val="28"/>
          <w14:textFill>
            <w14:solidFill>
              <w14:schemeClr w14:val="tx1"/>
            </w14:solidFill>
          </w14:textFill>
        </w:rPr>
      </w:pPr>
    </w:p>
    <w:p w14:paraId="000E710A">
      <w:pPr>
        <w:spacing w:line="600" w:lineRule="auto"/>
        <w:jc w:val="center"/>
        <w:rPr>
          <w:b/>
          <w:color w:val="000000" w:themeColor="text1"/>
          <w:sz w:val="28"/>
          <w:szCs w:val="28"/>
          <w14:textFill>
            <w14:solidFill>
              <w14:schemeClr w14:val="tx1"/>
            </w14:solidFill>
          </w14:textFill>
        </w:rPr>
      </w:pPr>
    </w:p>
    <w:p w14:paraId="45134AC0">
      <w:pPr>
        <w:spacing w:line="600" w:lineRule="auto"/>
        <w:jc w:val="center"/>
        <w:rPr>
          <w:b/>
          <w:color w:val="000000" w:themeColor="text1"/>
          <w:sz w:val="28"/>
          <w:szCs w:val="28"/>
          <w14:textFill>
            <w14:solidFill>
              <w14:schemeClr w14:val="tx1"/>
            </w14:solidFill>
          </w14:textFill>
        </w:rPr>
      </w:pPr>
    </w:p>
    <w:p w14:paraId="1027717C">
      <w:pPr>
        <w:spacing w:line="600" w:lineRule="auto"/>
        <w:jc w:val="center"/>
        <w:rPr>
          <w:b/>
          <w:color w:val="000000" w:themeColor="text1"/>
          <w:sz w:val="28"/>
          <w:szCs w:val="28"/>
          <w14:textFill>
            <w14:solidFill>
              <w14:schemeClr w14:val="tx1"/>
            </w14:solidFill>
          </w14:textFill>
        </w:rPr>
      </w:pPr>
    </w:p>
    <w:p w14:paraId="543958F8">
      <w:pPr>
        <w:spacing w:line="600" w:lineRule="auto"/>
        <w:jc w:val="center"/>
        <w:rPr>
          <w:b/>
          <w:color w:val="000000" w:themeColor="text1"/>
          <w:sz w:val="28"/>
          <w:szCs w:val="28"/>
          <w14:textFill>
            <w14:solidFill>
              <w14:schemeClr w14:val="tx1"/>
            </w14:solidFill>
          </w14:textFill>
        </w:rPr>
      </w:pPr>
    </w:p>
    <w:p w14:paraId="37170167">
      <w:pPr>
        <w:spacing w:line="600" w:lineRule="auto"/>
        <w:jc w:val="center"/>
        <w:rPr>
          <w:b/>
          <w:color w:val="000000" w:themeColor="text1"/>
          <w:sz w:val="28"/>
          <w:szCs w:val="28"/>
          <w14:textFill>
            <w14:solidFill>
              <w14:schemeClr w14:val="tx1"/>
            </w14:solidFill>
          </w14:textFill>
        </w:rPr>
      </w:pPr>
    </w:p>
    <w:p w14:paraId="089DA80F">
      <w:pPr>
        <w:spacing w:line="600" w:lineRule="auto"/>
        <w:ind w:firstLine="1417" w:firstLineChars="504"/>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建设单位：</w:t>
      </w:r>
      <w:r>
        <w:rPr>
          <w:b/>
          <w:color w:val="000000" w:themeColor="text1"/>
          <w:sz w:val="28"/>
          <w:szCs w:val="28"/>
          <w:u w:val="single"/>
          <w14:textFill>
            <w14:solidFill>
              <w14:schemeClr w14:val="tx1"/>
            </w14:solidFill>
          </w14:textFill>
        </w:rPr>
        <w:t>巴中市巨城市政工程有限公司</w:t>
      </w:r>
    </w:p>
    <w:p w14:paraId="2345008C">
      <w:pPr>
        <w:spacing w:line="600" w:lineRule="auto"/>
        <w:ind w:firstLine="1417" w:firstLineChars="504"/>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编制单位：</w:t>
      </w:r>
      <w:r>
        <w:rPr>
          <w:b/>
          <w:color w:val="000000" w:themeColor="text1"/>
          <w:sz w:val="28"/>
          <w:szCs w:val="28"/>
          <w:u w:val="single"/>
          <w14:textFill>
            <w14:solidFill>
              <w14:schemeClr w14:val="tx1"/>
            </w14:solidFill>
          </w14:textFill>
        </w:rPr>
        <w:t>四川中策环安科技有限公司</w:t>
      </w:r>
    </w:p>
    <w:p w14:paraId="2932BE12">
      <w:pPr>
        <w:spacing w:line="600" w:lineRule="auto"/>
        <w:jc w:val="center"/>
        <w:rPr>
          <w:b/>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二零二六年</w:t>
      </w:r>
      <w:r>
        <w:rPr>
          <w:rFonts w:hint="eastAsia"/>
          <w:b/>
          <w:color w:val="000000" w:themeColor="text1"/>
          <w:sz w:val="28"/>
          <w:szCs w:val="28"/>
          <w14:textFill>
            <w14:solidFill>
              <w14:schemeClr w14:val="tx1"/>
            </w14:solidFill>
          </w14:textFill>
        </w:rPr>
        <w:t>七</w:t>
      </w:r>
      <w:r>
        <w:rPr>
          <w:b/>
          <w:color w:val="000000" w:themeColor="text1"/>
          <w:sz w:val="28"/>
          <w:szCs w:val="28"/>
          <w14:textFill>
            <w14:solidFill>
              <w14:schemeClr w14:val="tx1"/>
            </w14:solidFill>
          </w14:textFill>
        </w:rPr>
        <w:t>月</w:t>
      </w:r>
    </w:p>
    <w:p w14:paraId="1AB28FC2">
      <w:pPr>
        <w:pStyle w:val="122"/>
        <w:rPr>
          <w:rFonts w:ascii="Times New Roman" w:cs="Times New Roman"/>
        </w:rPr>
        <w:sectPr>
          <w:headerReference r:id="rId3" w:type="default"/>
          <w:footerReference r:id="rId4" w:type="default"/>
          <w:pgSz w:w="11907" w:h="16840"/>
          <w:pgMar w:top="1440" w:right="1797" w:bottom="1440" w:left="1797" w:header="851" w:footer="992" w:gutter="0"/>
          <w:pgNumType w:start="1" w:chapStyle="1"/>
          <w:cols w:space="720" w:num="1"/>
          <w:docGrid w:linePitch="312" w:charSpace="0"/>
        </w:sectPr>
      </w:pPr>
    </w:p>
    <w:p w14:paraId="4F41C970">
      <w:pPr>
        <w:pStyle w:val="1309"/>
        <w:spacing w:before="120" w:line="240" w:lineRule="auto"/>
        <w:jc w:val="center"/>
        <w:rPr>
          <w:rFonts w:ascii="Times New Roman" w:hAnsi="Times New Roman"/>
          <w:b/>
          <w:color w:val="000000" w:themeColor="text1"/>
          <w14:textFill>
            <w14:solidFill>
              <w14:schemeClr w14:val="tx1"/>
            </w14:solidFill>
          </w14:textFill>
        </w:rPr>
      </w:pPr>
      <w:r>
        <w:rPr>
          <w:rFonts w:ascii="Times New Roman" w:hAnsi="Times New Roman"/>
          <w:b/>
          <w:color w:val="000000" w:themeColor="text1"/>
          <w:lang w:val="zh-CN"/>
          <w14:textFill>
            <w14:solidFill>
              <w14:schemeClr w14:val="tx1"/>
            </w14:solidFill>
          </w14:textFill>
        </w:rPr>
        <w:t>目录</w:t>
      </w:r>
    </w:p>
    <w:p w14:paraId="67C779A6">
      <w:pPr>
        <w:pStyle w:val="59"/>
        <w:tabs>
          <w:tab w:val="right" w:leader="dot" w:pos="8303"/>
        </w:tabs>
        <w:rPr>
          <w:rFonts w:asciiTheme="minorHAnsi" w:hAnsiTheme="minorHAnsi" w:eastAsiaTheme="minorEastAsia" w:cstheme="minorBidi"/>
          <w:b w:val="0"/>
          <w:bCs w:val="0"/>
          <w:caps w:val="0"/>
          <w:sz w:val="21"/>
          <w:szCs w:val="22"/>
        </w:rPr>
      </w:pPr>
      <w:r>
        <w:rPr>
          <w:b w:val="0"/>
          <w:bCs w:val="0"/>
          <w:color w:val="000000" w:themeColor="text1"/>
          <w14:textFill>
            <w14:solidFill>
              <w14:schemeClr w14:val="tx1"/>
            </w14:solidFill>
          </w14:textFill>
        </w:rPr>
        <w:fldChar w:fldCharType="begin"/>
      </w:r>
      <w:r>
        <w:rPr>
          <w:b w:val="0"/>
          <w:bCs w:val="0"/>
          <w:color w:val="000000" w:themeColor="text1"/>
          <w14:textFill>
            <w14:solidFill>
              <w14:schemeClr w14:val="tx1"/>
            </w14:solidFill>
          </w14:textFill>
        </w:rPr>
        <w:instrText xml:space="preserve"> TOC \o "1-3" \h \z \u </w:instrText>
      </w:r>
      <w:r>
        <w:rPr>
          <w:b w:val="0"/>
          <w:bCs w:val="0"/>
          <w:color w:val="000000" w:themeColor="text1"/>
          <w14:textFill>
            <w14:solidFill>
              <w14:schemeClr w14:val="tx1"/>
            </w14:solidFill>
          </w14:textFill>
        </w:rPr>
        <w:fldChar w:fldCharType="separate"/>
      </w:r>
      <w:r>
        <w:fldChar w:fldCharType="begin"/>
      </w:r>
      <w:r>
        <w:instrText xml:space="preserve"> HYPERLINK \l "_Toc233380087" </w:instrText>
      </w:r>
      <w:r>
        <w:fldChar w:fldCharType="separate"/>
      </w:r>
      <w:r>
        <w:rPr>
          <w:rStyle w:val="110"/>
        </w:rPr>
        <w:t>1概述</w:t>
      </w:r>
      <w:r>
        <w:tab/>
      </w:r>
      <w:r>
        <w:fldChar w:fldCharType="begin"/>
      </w:r>
      <w:r>
        <w:instrText xml:space="preserve"> PAGEREF _Toc233380087 \h </w:instrText>
      </w:r>
      <w:r>
        <w:fldChar w:fldCharType="separate"/>
      </w:r>
      <w:r>
        <w:t>1</w:t>
      </w:r>
      <w:r>
        <w:fldChar w:fldCharType="end"/>
      </w:r>
      <w:r>
        <w:fldChar w:fldCharType="end"/>
      </w:r>
    </w:p>
    <w:p w14:paraId="6A92B24A">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"_Toc233380088" </w:instrText>
      </w:r>
      <w:r>
        <w:fldChar w:fldCharType="separate"/>
      </w:r>
      <w:r>
        <w:rPr>
          <w:rStyle w:val="110"/>
        </w:rPr>
        <w:t>1.1项目由来</w:t>
      </w:r>
      <w:r>
        <w:tab/>
      </w:r>
      <w:r>
        <w:fldChar w:fldCharType="begin"/>
      </w:r>
      <w:r>
        <w:instrText xml:space="preserve"> PAGEREF _Toc233380088 \h </w:instrText>
      </w:r>
      <w:r>
        <w:fldChar w:fldCharType="separate"/>
      </w:r>
      <w:r>
        <w:t>1</w:t>
      </w:r>
      <w:r>
        <w:fldChar w:fldCharType="end"/>
      </w:r>
      <w:r>
        <w:fldChar w:fldCharType="end"/>
      </w:r>
    </w:p>
    <w:p w14:paraId="18CEAAAF">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"_Toc233380089" </w:instrText>
      </w:r>
      <w:r>
        <w:fldChar w:fldCharType="separate"/>
      </w:r>
      <w:r>
        <w:rPr>
          <w:rStyle w:val="110"/>
        </w:rPr>
        <w:t>1.2建设项目情况</w:t>
      </w:r>
      <w:r>
        <w:tab/>
      </w:r>
      <w:r>
        <w:fldChar w:fldCharType="begin"/>
      </w:r>
      <w:r>
        <w:instrText xml:space="preserve"> PAGEREF _Toc233380089 \h </w:instrText>
      </w:r>
      <w:r>
        <w:fldChar w:fldCharType="separate"/>
      </w:r>
      <w:r>
        <w:t>2</w:t>
      </w:r>
      <w:r>
        <w:fldChar w:fldCharType="end"/>
      </w:r>
      <w:r>
        <w:fldChar w:fldCharType="end"/>
      </w:r>
    </w:p>
    <w:p w14:paraId="4B76C155">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"_Toc233380090" </w:instrText>
      </w:r>
      <w:r>
        <w:fldChar w:fldCharType="separate"/>
      </w:r>
      <w:r>
        <w:rPr>
          <w:rStyle w:val="110"/>
        </w:rPr>
        <w:t>1.3建设项目特点</w:t>
      </w:r>
      <w:r>
        <w:tab/>
      </w:r>
      <w:r>
        <w:fldChar w:fldCharType="begin"/>
      </w:r>
      <w:r>
        <w:instrText xml:space="preserve"> PAGEREF _Toc233380090 \h </w:instrText>
      </w:r>
      <w:r>
        <w:fldChar w:fldCharType="separate"/>
      </w:r>
      <w:r>
        <w:t>2</w:t>
      </w:r>
      <w:r>
        <w:fldChar w:fldCharType="end"/>
      </w:r>
      <w:r>
        <w:fldChar w:fldCharType="end"/>
      </w:r>
    </w:p>
    <w:p w14:paraId="25E3B7D7">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"_Toc233380091" </w:instrText>
      </w:r>
      <w:r>
        <w:fldChar w:fldCharType="separate"/>
      </w:r>
      <w:r>
        <w:rPr>
          <w:rStyle w:val="110"/>
        </w:rPr>
        <w:t>1.4环境影响评价工作过程</w:t>
      </w:r>
      <w:r>
        <w:tab/>
      </w:r>
      <w:r>
        <w:fldChar w:fldCharType="begin"/>
      </w:r>
      <w:r>
        <w:instrText xml:space="preserve"> PAGEREF _Toc233380091 \h </w:instrText>
      </w:r>
      <w:r>
        <w:fldChar w:fldCharType="separate"/>
      </w:r>
      <w:r>
        <w:t>4</w:t>
      </w:r>
      <w:r>
        <w:fldChar w:fldCharType="end"/>
      </w:r>
      <w:r>
        <w:fldChar w:fldCharType="end"/>
      </w:r>
    </w:p>
    <w:p w14:paraId="2C10846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"_Toc233380092" </w:instrText>
      </w:r>
      <w:r>
        <w:fldChar w:fldCharType="separate"/>
      </w:r>
      <w:r>
        <w:rPr>
          <w:rStyle w:val="110"/>
        </w:rPr>
        <w:t>1.4.1评价开展过程</w:t>
      </w:r>
      <w:r>
        <w:tab/>
      </w:r>
      <w:r>
        <w:fldChar w:fldCharType="begin"/>
      </w:r>
      <w:r>
        <w:instrText xml:space="preserve"> PAGEREF _Toc233380092 \h </w:instrText>
      </w:r>
      <w:r>
        <w:fldChar w:fldCharType="separate"/>
      </w:r>
      <w:r>
        <w:t>4</w:t>
      </w:r>
      <w:r>
        <w:fldChar w:fldCharType="end"/>
      </w:r>
      <w:r>
        <w:fldChar w:fldCharType="end"/>
      </w:r>
    </w:p>
    <w:p w14:paraId="10B44055">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"_Toc233380093" </w:instrText>
      </w:r>
      <w:r>
        <w:fldChar w:fldCharType="separate"/>
      </w:r>
      <w:r>
        <w:rPr>
          <w:rStyle w:val="110"/>
        </w:rPr>
        <w:t>1.4.2评价工作程序</w:t>
      </w:r>
      <w:r>
        <w:tab/>
      </w:r>
      <w:r>
        <w:fldChar w:fldCharType="begin"/>
      </w:r>
      <w:r>
        <w:instrText xml:space="preserve"> PAGEREF _Toc233380093 \h </w:instrText>
      </w:r>
      <w:r>
        <w:fldChar w:fldCharType="separate"/>
      </w:r>
      <w:r>
        <w:t>4</w:t>
      </w:r>
      <w:r>
        <w:fldChar w:fldCharType="end"/>
      </w:r>
      <w:r>
        <w:fldChar w:fldCharType="end"/>
      </w:r>
    </w:p>
    <w:p w14:paraId="6E14B958">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"_Toc233380094" </w:instrText>
      </w:r>
      <w:r>
        <w:fldChar w:fldCharType="separate"/>
      </w:r>
      <w:r>
        <w:rPr>
          <w:rStyle w:val="110"/>
        </w:rPr>
        <w:t>1.5主要环境问题及环境影响</w:t>
      </w:r>
      <w:r>
        <w:tab/>
      </w:r>
      <w:r>
        <w:fldChar w:fldCharType="begin"/>
      </w:r>
      <w:r>
        <w:instrText xml:space="preserve"> PAGEREF _Toc233380094 \h </w:instrText>
      </w:r>
      <w:r>
        <w:fldChar w:fldCharType="separate"/>
      </w:r>
      <w:r>
        <w:t>5</w:t>
      </w:r>
      <w:r>
        <w:fldChar w:fldCharType="end"/>
      </w:r>
      <w:r>
        <w:fldChar w:fldCharType="end"/>
      </w:r>
    </w:p>
    <w:p w14:paraId="2C175536">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"_Toc233380095" </w:instrText>
      </w:r>
      <w:r>
        <w:fldChar w:fldCharType="separate"/>
      </w:r>
      <w:r>
        <w:rPr>
          <w:rStyle w:val="110"/>
        </w:rPr>
        <w:t>1.6相关政策分析判定情况</w:t>
      </w:r>
      <w:r>
        <w:tab/>
      </w:r>
      <w:r>
        <w:fldChar w:fldCharType="begin"/>
      </w:r>
      <w:r>
        <w:instrText xml:space="preserve"> PAGEREF _Toc233380095 \h </w:instrText>
      </w:r>
      <w:r>
        <w:fldChar w:fldCharType="separate"/>
      </w:r>
      <w:r>
        <w:t>6</w:t>
      </w:r>
      <w:r>
        <w:fldChar w:fldCharType="end"/>
      </w:r>
      <w:r>
        <w:fldChar w:fldCharType="end"/>
      </w:r>
    </w:p>
    <w:p w14:paraId="162CD65B">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"_Toc233380096" </w:instrText>
      </w:r>
      <w:r>
        <w:fldChar w:fldCharType="separate"/>
      </w:r>
      <w:r>
        <w:rPr>
          <w:rStyle w:val="110"/>
        </w:rPr>
        <w:t>1.6.1项目编制依据</w:t>
      </w:r>
      <w:r>
        <w:tab/>
      </w:r>
      <w:r>
        <w:fldChar w:fldCharType="begin"/>
      </w:r>
      <w:r>
        <w:instrText xml:space="preserve"> PAGEREF _Toc233380096 \h </w:instrText>
      </w:r>
      <w:r>
        <w:fldChar w:fldCharType="separate"/>
      </w:r>
      <w:r>
        <w:t>6</w:t>
      </w:r>
      <w:r>
        <w:fldChar w:fldCharType="end"/>
      </w:r>
      <w:r>
        <w:fldChar w:fldCharType="end"/>
      </w:r>
    </w:p>
    <w:p w14:paraId="51281D73">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"_Toc233380097" </w:instrText>
      </w:r>
      <w:r>
        <w:fldChar w:fldCharType="separate"/>
      </w:r>
      <w:r>
        <w:rPr>
          <w:rStyle w:val="110"/>
        </w:rPr>
        <w:t>1.6.2产业政策符合性分析</w:t>
      </w:r>
      <w:r>
        <w:tab/>
      </w:r>
      <w:r>
        <w:fldChar w:fldCharType="begin"/>
      </w:r>
      <w:r>
        <w:instrText xml:space="preserve"> PAGEREF _Toc233380097 \h </w:instrText>
      </w:r>
      <w:r>
        <w:fldChar w:fldCharType="separate"/>
      </w:r>
      <w:r>
        <w:t>6</w:t>
      </w:r>
      <w:r>
        <w:fldChar w:fldCharType="end"/>
      </w:r>
      <w:r>
        <w:fldChar w:fldCharType="end"/>
      </w:r>
    </w:p>
    <w:p w14:paraId="0AFEAE0E">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"_Toc233380098" </w:instrText>
      </w:r>
      <w:r>
        <w:fldChar w:fldCharType="separate"/>
      </w:r>
      <w:r>
        <w:rPr>
          <w:rStyle w:val="110"/>
        </w:rPr>
        <w:t>1.6.3项目用地规划符合性分析</w:t>
      </w:r>
      <w:r>
        <w:tab/>
      </w:r>
      <w:r>
        <w:fldChar w:fldCharType="begin"/>
      </w:r>
      <w:r>
        <w:instrText xml:space="preserve"> PAGEREF _Toc233380098 \h </w:instrText>
      </w:r>
      <w:r>
        <w:fldChar w:fldCharType="separate"/>
      </w:r>
      <w:r>
        <w:t>7</w:t>
      </w:r>
      <w:r>
        <w:fldChar w:fldCharType="end"/>
      </w:r>
      <w:r>
        <w:fldChar w:fldCharType="end"/>
      </w:r>
    </w:p>
    <w:p w14:paraId="67680A6D">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"_Toc233380099" </w:instrText>
      </w:r>
      <w:r>
        <w:fldChar w:fldCharType="separate"/>
      </w:r>
      <w:r>
        <w:rPr>
          <w:rStyle w:val="110"/>
        </w:rPr>
        <w:t>1.6.4项目外环境及选址合理性分析</w:t>
      </w:r>
      <w:r>
        <w:tab/>
      </w:r>
      <w:r>
        <w:fldChar w:fldCharType="begin"/>
      </w:r>
      <w:r>
        <w:instrText xml:space="preserve"> PAGEREF _Toc233380099 \h </w:instrText>
      </w:r>
      <w:r>
        <w:fldChar w:fldCharType="separate"/>
      </w:r>
      <w:r>
        <w:t>8</w:t>
      </w:r>
      <w:r>
        <w:fldChar w:fldCharType="end"/>
      </w:r>
      <w:r>
        <w:fldChar w:fldCharType="end"/>
      </w:r>
    </w:p>
    <w:p w14:paraId="1D64F26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"_Toc233380100" </w:instrText>
      </w:r>
      <w:r>
        <w:fldChar w:fldCharType="separate"/>
      </w:r>
      <w:r>
        <w:rPr>
          <w:rStyle w:val="110"/>
        </w:rPr>
        <w:t>1.6.5相关政策符合性分析</w:t>
      </w:r>
      <w:r>
        <w:tab/>
      </w:r>
      <w:r>
        <w:fldChar w:fldCharType="begin"/>
      </w:r>
      <w:r>
        <w:instrText xml:space="preserve"> PAGEREF _Toc233380100 \h </w:instrText>
      </w:r>
      <w:r>
        <w:fldChar w:fldCharType="separate"/>
      </w:r>
      <w:r>
        <w:t>9</w:t>
      </w:r>
      <w:r>
        <w:fldChar w:fldCharType="end"/>
      </w:r>
      <w:r>
        <w:fldChar w:fldCharType="end"/>
      </w:r>
    </w:p>
    <w:p w14:paraId="44B44E75">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"_Toc233380101" </w:instrText>
      </w:r>
      <w:r>
        <w:fldChar w:fldCharType="separate"/>
      </w:r>
      <w:r>
        <w:rPr>
          <w:rStyle w:val="110"/>
        </w:rPr>
        <w:t>1.7环境影响评价主要结论</w:t>
      </w:r>
      <w:r>
        <w:tab/>
      </w:r>
      <w:r>
        <w:fldChar w:fldCharType="begin"/>
      </w:r>
      <w:r>
        <w:instrText xml:space="preserve"> PAGEREF _Toc233380101 \h </w:instrText>
      </w:r>
      <w:r>
        <w:fldChar w:fldCharType="separate"/>
      </w:r>
      <w:r>
        <w:t>49</w:t>
      </w:r>
      <w:r>
        <w:fldChar w:fldCharType="end"/>
      </w:r>
      <w:r>
        <w:fldChar w:fldCharType="end"/>
      </w:r>
    </w:p>
    <w:p w14:paraId="5432ADB4">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"_Toc233380102" </w:instrText>
      </w:r>
      <w:r>
        <w:fldChar w:fldCharType="separate"/>
      </w:r>
      <w:r>
        <w:rPr>
          <w:rStyle w:val="110"/>
        </w:rPr>
        <w:t>2总则</w:t>
      </w:r>
      <w:r>
        <w:tab/>
      </w:r>
      <w:r>
        <w:fldChar w:fldCharType="begin"/>
      </w:r>
      <w:r>
        <w:instrText xml:space="preserve"> PAGEREF _Toc233380102 \h </w:instrText>
      </w:r>
      <w:r>
        <w:fldChar w:fldCharType="separate"/>
      </w:r>
      <w:r>
        <w:t>50</w:t>
      </w:r>
      <w:r>
        <w:fldChar w:fldCharType="end"/>
      </w:r>
      <w:r>
        <w:fldChar w:fldCharType="end"/>
      </w:r>
    </w:p>
    <w:p w14:paraId="373EAC01">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"_Toc233380103" </w:instrText>
      </w:r>
      <w:r>
        <w:fldChar w:fldCharType="separate"/>
      </w:r>
      <w:r>
        <w:rPr>
          <w:rStyle w:val="110"/>
        </w:rPr>
        <w:t>2.1评价目的和原则</w:t>
      </w:r>
      <w:r>
        <w:tab/>
      </w:r>
      <w:r>
        <w:fldChar w:fldCharType="begin"/>
      </w:r>
      <w:r>
        <w:instrText xml:space="preserve"> PAGEREF _Toc233380103 \h </w:instrText>
      </w:r>
      <w:r>
        <w:fldChar w:fldCharType="separate"/>
      </w:r>
      <w:r>
        <w:t>50</w:t>
      </w:r>
      <w:r>
        <w:fldChar w:fldCharType="end"/>
      </w:r>
      <w:r>
        <w:fldChar w:fldCharType="end"/>
      </w:r>
    </w:p>
    <w:p w14:paraId="7A59857D">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"_Toc233380104" </w:instrText>
      </w:r>
      <w:r>
        <w:fldChar w:fldCharType="separate"/>
      </w:r>
      <w:r>
        <w:rPr>
          <w:rStyle w:val="110"/>
        </w:rPr>
        <w:t>2.1.1评价目的</w:t>
      </w:r>
      <w:r>
        <w:tab/>
      </w:r>
      <w:r>
        <w:fldChar w:fldCharType="begin"/>
      </w:r>
      <w:r>
        <w:instrText xml:space="preserve"> PAGEREF _Toc233380104 \h </w:instrText>
      </w:r>
      <w:r>
        <w:fldChar w:fldCharType="separate"/>
      </w:r>
      <w:r>
        <w:t>50</w:t>
      </w:r>
      <w:r>
        <w:fldChar w:fldCharType="end"/>
      </w:r>
      <w:r>
        <w:fldChar w:fldCharType="end"/>
      </w:r>
    </w:p>
    <w:p w14:paraId="5763188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"_Toc233380105" </w:instrText>
      </w:r>
      <w:r>
        <w:fldChar w:fldCharType="separate"/>
      </w:r>
      <w:r>
        <w:rPr>
          <w:rStyle w:val="110"/>
        </w:rPr>
        <w:t>2.1.2评价原则</w:t>
      </w:r>
      <w:r>
        <w:tab/>
      </w:r>
      <w:r>
        <w:fldChar w:fldCharType="begin"/>
      </w:r>
      <w:r>
        <w:instrText xml:space="preserve"> PAGEREF _Toc233380105 \h </w:instrText>
      </w:r>
      <w:r>
        <w:fldChar w:fldCharType="separate"/>
      </w:r>
      <w:r>
        <w:t>50</w:t>
      </w:r>
      <w:r>
        <w:fldChar w:fldCharType="end"/>
      </w:r>
      <w:r>
        <w:fldChar w:fldCharType="end"/>
      </w:r>
    </w:p>
    <w:p w14:paraId="0FB0C04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"_Toc233380106" </w:instrText>
      </w:r>
      <w:r>
        <w:fldChar w:fldCharType="separate"/>
      </w:r>
      <w:r>
        <w:rPr>
          <w:rStyle w:val="110"/>
        </w:rPr>
        <w:t>2.1.3多场址评价</w:t>
      </w:r>
      <w:r>
        <w:tab/>
      </w:r>
      <w:r>
        <w:fldChar w:fldCharType="begin"/>
      </w:r>
      <w:r>
        <w:instrText xml:space="preserve"> PAGEREF _Toc233380106 \h </w:instrText>
      </w:r>
      <w:r>
        <w:fldChar w:fldCharType="separate"/>
      </w:r>
      <w:r>
        <w:t>51</w:t>
      </w:r>
      <w:r>
        <w:fldChar w:fldCharType="end"/>
      </w:r>
      <w:r>
        <w:fldChar w:fldCharType="end"/>
      </w:r>
    </w:p>
    <w:p w14:paraId="0ACDE181">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"_Toc233380107" </w:instrText>
      </w:r>
      <w:r>
        <w:fldChar w:fldCharType="separate"/>
      </w:r>
      <w:r>
        <w:rPr>
          <w:rStyle w:val="110"/>
        </w:rPr>
        <w:t>2.2编制依据</w:t>
      </w:r>
      <w:r>
        <w:tab/>
      </w:r>
      <w:r>
        <w:fldChar w:fldCharType="begin"/>
      </w:r>
      <w:r>
        <w:instrText xml:space="preserve"> PAGEREF _Toc233380107 \h </w:instrText>
      </w:r>
      <w:r>
        <w:fldChar w:fldCharType="separate"/>
      </w:r>
      <w:r>
        <w:t>51</w:t>
      </w:r>
      <w:r>
        <w:fldChar w:fldCharType="end"/>
      </w:r>
      <w:r>
        <w:fldChar w:fldCharType="end"/>
      </w:r>
    </w:p>
    <w:p w14:paraId="1750C6B1">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"_Toc233380108" </w:instrText>
      </w:r>
      <w:r>
        <w:fldChar w:fldCharType="separate"/>
      </w:r>
      <w:r>
        <w:rPr>
          <w:rStyle w:val="110"/>
        </w:rPr>
        <w:t>2.2.1国家有关法律</w:t>
      </w:r>
      <w:r>
        <w:tab/>
      </w:r>
      <w:r>
        <w:fldChar w:fldCharType="begin"/>
      </w:r>
      <w:r>
        <w:instrText xml:space="preserve"> PAGEREF _Toc233380108 \h </w:instrText>
      </w:r>
      <w:r>
        <w:fldChar w:fldCharType="separate"/>
      </w:r>
      <w:r>
        <w:t>51</w:t>
      </w:r>
      <w:r>
        <w:fldChar w:fldCharType="end"/>
      </w:r>
      <w:r>
        <w:fldChar w:fldCharType="end"/>
      </w:r>
    </w:p>
    <w:p w14:paraId="10E329F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"_Toc233380109" </w:instrText>
      </w:r>
      <w:r>
        <w:fldChar w:fldCharType="separate"/>
      </w:r>
      <w:r>
        <w:rPr>
          <w:rStyle w:val="110"/>
        </w:rPr>
        <w:t>2.2.2法规、规章、条例</w:t>
      </w:r>
      <w:r>
        <w:tab/>
      </w:r>
      <w:r>
        <w:fldChar w:fldCharType="begin"/>
      </w:r>
      <w:r>
        <w:instrText xml:space="preserve"> PAGEREF _Toc233380109 \h </w:instrText>
      </w:r>
      <w:r>
        <w:fldChar w:fldCharType="separate"/>
      </w:r>
      <w:r>
        <w:t>52</w:t>
      </w:r>
      <w:r>
        <w:fldChar w:fldCharType="end"/>
      </w:r>
      <w:r>
        <w:fldChar w:fldCharType="end"/>
      </w:r>
    </w:p>
    <w:p w14:paraId="75CD2B3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"_Toc233380110" </w:instrText>
      </w:r>
      <w:r>
        <w:fldChar w:fldCharType="separate"/>
      </w:r>
      <w:r>
        <w:rPr>
          <w:rStyle w:val="110"/>
        </w:rPr>
        <w:t>2.2.3地方政策条例</w:t>
      </w:r>
      <w:r>
        <w:tab/>
      </w:r>
      <w:r>
        <w:fldChar w:fldCharType="begin"/>
      </w:r>
      <w:r>
        <w:instrText xml:space="preserve"> PAGEREF _Toc233380110 \h </w:instrText>
      </w:r>
      <w:r>
        <w:fldChar w:fldCharType="separate"/>
      </w:r>
      <w:r>
        <w:t>54</w:t>
      </w:r>
      <w:r>
        <w:fldChar w:fldCharType="end"/>
      </w:r>
      <w:r>
        <w:fldChar w:fldCharType="end"/>
      </w:r>
    </w:p>
    <w:p w14:paraId="5AFFB1F3">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"_Toc233380111" </w:instrText>
      </w:r>
      <w:r>
        <w:fldChar w:fldCharType="separate"/>
      </w:r>
      <w:r>
        <w:rPr>
          <w:rStyle w:val="110"/>
        </w:rPr>
        <w:t>2.2.4环评技术导则、规范</w:t>
      </w:r>
      <w:r>
        <w:tab/>
      </w:r>
      <w:r>
        <w:fldChar w:fldCharType="begin"/>
      </w:r>
      <w:r>
        <w:instrText xml:space="preserve"> PAGEREF _Toc233380111 \h </w:instrText>
      </w:r>
      <w:r>
        <w:fldChar w:fldCharType="separate"/>
      </w:r>
      <w:r>
        <w:t>55</w:t>
      </w:r>
      <w:r>
        <w:fldChar w:fldCharType="end"/>
      </w:r>
      <w:r>
        <w:fldChar w:fldCharType="end"/>
      </w:r>
    </w:p>
    <w:p w14:paraId="1E5A9085">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"_Toc233380112" </w:instrText>
      </w:r>
      <w:r>
        <w:fldChar w:fldCharType="separate"/>
      </w:r>
      <w:r>
        <w:rPr>
          <w:rStyle w:val="110"/>
        </w:rPr>
        <w:t>2.2.5与项目有关的文件、资料</w:t>
      </w:r>
      <w:r>
        <w:tab/>
      </w:r>
      <w:r>
        <w:fldChar w:fldCharType="begin"/>
      </w:r>
      <w:r>
        <w:instrText xml:space="preserve"> PAGEREF _Toc233380112 \h </w:instrText>
      </w:r>
      <w:r>
        <w:fldChar w:fldCharType="separate"/>
      </w:r>
      <w:r>
        <w:t>56</w:t>
      </w:r>
      <w:r>
        <w:fldChar w:fldCharType="end"/>
      </w:r>
      <w:r>
        <w:fldChar w:fldCharType="end"/>
      </w:r>
    </w:p>
    <w:p w14:paraId="1366FE9C">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"_Toc233380113" </w:instrText>
      </w:r>
      <w:r>
        <w:fldChar w:fldCharType="separate"/>
      </w:r>
      <w:r>
        <w:rPr>
          <w:rStyle w:val="110"/>
        </w:rPr>
        <w:t>2.3环境影响因子识别与筛选</w:t>
      </w:r>
      <w:r>
        <w:tab/>
      </w:r>
      <w:r>
        <w:fldChar w:fldCharType="begin"/>
      </w:r>
      <w:r>
        <w:instrText xml:space="preserve"> PAGEREF _Toc233380113 \h </w:instrText>
      </w:r>
      <w:r>
        <w:fldChar w:fldCharType="separate"/>
      </w:r>
      <w:r>
        <w:t>57</w:t>
      </w:r>
      <w:r>
        <w:fldChar w:fldCharType="end"/>
      </w:r>
      <w:r>
        <w:fldChar w:fldCharType="end"/>
      </w:r>
    </w:p>
    <w:p w14:paraId="7142544D">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"_Toc233380114" </w:instrText>
      </w:r>
      <w:r>
        <w:fldChar w:fldCharType="separate"/>
      </w:r>
      <w:r>
        <w:rPr>
          <w:rStyle w:val="110"/>
        </w:rPr>
        <w:t>2.3.1环境影响要素识别</w:t>
      </w:r>
      <w:r>
        <w:tab/>
      </w:r>
      <w:r>
        <w:fldChar w:fldCharType="begin"/>
      </w:r>
      <w:r>
        <w:instrText xml:space="preserve"> PAGEREF _Toc233380114 \h </w:instrText>
      </w:r>
      <w:r>
        <w:fldChar w:fldCharType="separate"/>
      </w:r>
      <w:r>
        <w:t>57</w:t>
      </w:r>
      <w:r>
        <w:fldChar w:fldCharType="end"/>
      </w:r>
      <w:r>
        <w:fldChar w:fldCharType="end"/>
      </w:r>
    </w:p>
    <w:p w14:paraId="18A8FF91">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"_Toc233380115" </w:instrText>
      </w:r>
      <w:r>
        <w:fldChar w:fldCharType="separate"/>
      </w:r>
      <w:r>
        <w:rPr>
          <w:rStyle w:val="110"/>
        </w:rPr>
        <w:t>2.3.2环境影响因子筛选</w:t>
      </w:r>
      <w:r>
        <w:tab/>
      </w:r>
      <w:r>
        <w:fldChar w:fldCharType="begin"/>
      </w:r>
      <w:r>
        <w:instrText xml:space="preserve"> PAGEREF _Toc233380115 \h </w:instrText>
      </w:r>
      <w:r>
        <w:fldChar w:fldCharType="separate"/>
      </w:r>
      <w:r>
        <w:t>57</w:t>
      </w:r>
      <w:r>
        <w:fldChar w:fldCharType="end"/>
      </w:r>
      <w:r>
        <w:fldChar w:fldCharType="end"/>
      </w:r>
    </w:p>
    <w:p w14:paraId="26611F3D">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"_Toc233380116" </w:instrText>
      </w:r>
      <w:r>
        <w:fldChar w:fldCharType="separate"/>
      </w:r>
      <w:r>
        <w:rPr>
          <w:rStyle w:val="110"/>
        </w:rPr>
        <w:t>2.4评价工作等级</w:t>
      </w:r>
      <w:r>
        <w:tab/>
      </w:r>
      <w:r>
        <w:fldChar w:fldCharType="begin"/>
      </w:r>
      <w:r>
        <w:instrText xml:space="preserve"> PAGEREF _Toc233380116 \h </w:instrText>
      </w:r>
      <w:r>
        <w:fldChar w:fldCharType="separate"/>
      </w:r>
      <w:r>
        <w:t>58</w:t>
      </w:r>
      <w:r>
        <w:fldChar w:fldCharType="end"/>
      </w:r>
      <w:r>
        <w:fldChar w:fldCharType="end"/>
      </w:r>
    </w:p>
    <w:p w14:paraId="76F83E8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"_Toc233380117" </w:instrText>
      </w:r>
      <w:r>
        <w:fldChar w:fldCharType="separate"/>
      </w:r>
      <w:r>
        <w:rPr>
          <w:rStyle w:val="110"/>
        </w:rPr>
        <w:t>2.4.1大气环境评价工作等级</w:t>
      </w:r>
      <w:r>
        <w:tab/>
      </w:r>
      <w:r>
        <w:fldChar w:fldCharType="begin"/>
      </w:r>
      <w:r>
        <w:instrText xml:space="preserve"> PAGEREF _Toc233380117 \h </w:instrText>
      </w:r>
      <w:r>
        <w:fldChar w:fldCharType="separate"/>
      </w:r>
      <w:r>
        <w:t>58</w:t>
      </w:r>
      <w:r>
        <w:fldChar w:fldCharType="end"/>
      </w:r>
      <w:r>
        <w:fldChar w:fldCharType="end"/>
      </w:r>
    </w:p>
    <w:p w14:paraId="2C8392F1">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"_Toc233380118" </w:instrText>
      </w:r>
      <w:r>
        <w:fldChar w:fldCharType="separate"/>
      </w:r>
      <w:r>
        <w:rPr>
          <w:rStyle w:val="110"/>
        </w:rPr>
        <w:t>2.4.2地表水环境评价工作等级</w:t>
      </w:r>
      <w:r>
        <w:tab/>
      </w:r>
      <w:r>
        <w:fldChar w:fldCharType="begin"/>
      </w:r>
      <w:r>
        <w:instrText xml:space="preserve"> PAGEREF _Toc233380118 \h </w:instrText>
      </w:r>
      <w:r>
        <w:fldChar w:fldCharType="separate"/>
      </w:r>
      <w:r>
        <w:t>61</w:t>
      </w:r>
      <w:r>
        <w:fldChar w:fldCharType="end"/>
      </w:r>
      <w:r>
        <w:fldChar w:fldCharType="end"/>
      </w:r>
    </w:p>
    <w:p w14:paraId="4EA8EF8E">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"_Toc233380119" </w:instrText>
      </w:r>
      <w:r>
        <w:fldChar w:fldCharType="separate"/>
      </w:r>
      <w:r>
        <w:rPr>
          <w:rStyle w:val="110"/>
        </w:rPr>
        <w:t>2.4.3地下水环境评价工作等级</w:t>
      </w:r>
      <w:r>
        <w:tab/>
      </w:r>
      <w:r>
        <w:fldChar w:fldCharType="begin"/>
      </w:r>
      <w:r>
        <w:instrText xml:space="preserve"> PAGEREF _Toc233380119 \h </w:instrText>
      </w:r>
      <w:r>
        <w:fldChar w:fldCharType="separate"/>
      </w:r>
      <w:r>
        <w:t>62</w:t>
      </w:r>
      <w:r>
        <w:fldChar w:fldCharType="end"/>
      </w:r>
      <w:r>
        <w:fldChar w:fldCharType="end"/>
      </w:r>
    </w:p>
    <w:p w14:paraId="41FB09C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"_Toc233380120" </w:instrText>
      </w:r>
      <w:r>
        <w:fldChar w:fldCharType="separate"/>
      </w:r>
      <w:r>
        <w:rPr>
          <w:rStyle w:val="110"/>
        </w:rPr>
        <w:t>2.4.4声环境评价工作等级</w:t>
      </w:r>
      <w:r>
        <w:tab/>
      </w:r>
      <w:r>
        <w:fldChar w:fldCharType="begin"/>
      </w:r>
      <w:r>
        <w:instrText xml:space="preserve"> PAGEREF _Toc233380120 \h </w:instrText>
      </w:r>
      <w:r>
        <w:fldChar w:fldCharType="separate"/>
      </w:r>
      <w:r>
        <w:t>63</w:t>
      </w:r>
      <w:r>
        <w:fldChar w:fldCharType="end"/>
      </w:r>
      <w:r>
        <w:fldChar w:fldCharType="end"/>
      </w:r>
    </w:p>
    <w:p w14:paraId="56B30669">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"_Toc233380121" </w:instrText>
      </w:r>
      <w:r>
        <w:fldChar w:fldCharType="separate"/>
      </w:r>
      <w:r>
        <w:rPr>
          <w:rStyle w:val="110"/>
        </w:rPr>
        <w:t>2.4.5土壤环境评价工作等级</w:t>
      </w:r>
      <w:r>
        <w:tab/>
      </w:r>
      <w:r>
        <w:fldChar w:fldCharType="begin"/>
      </w:r>
      <w:r>
        <w:instrText xml:space="preserve"> PAGEREF _Toc233380121 \h </w:instrText>
      </w:r>
      <w:r>
        <w:fldChar w:fldCharType="separate"/>
      </w:r>
      <w:r>
        <w:t>63</w:t>
      </w:r>
      <w:r>
        <w:fldChar w:fldCharType="end"/>
      </w:r>
      <w:r>
        <w:fldChar w:fldCharType="end"/>
      </w:r>
    </w:p>
    <w:p w14:paraId="2D09D24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"_Toc233380122" </w:instrText>
      </w:r>
      <w:r>
        <w:fldChar w:fldCharType="separate"/>
      </w:r>
      <w:r>
        <w:rPr>
          <w:rStyle w:val="110"/>
        </w:rPr>
        <w:t>2.4.6生态环境评价工作等级</w:t>
      </w:r>
      <w:r>
        <w:tab/>
      </w:r>
      <w:r>
        <w:fldChar w:fldCharType="begin"/>
      </w:r>
      <w:r>
        <w:instrText xml:space="preserve"> PAGEREF _Toc233380122 \h </w:instrText>
      </w:r>
      <w:r>
        <w:fldChar w:fldCharType="separate"/>
      </w:r>
      <w:r>
        <w:t>65</w:t>
      </w:r>
      <w:r>
        <w:fldChar w:fldCharType="end"/>
      </w:r>
      <w:r>
        <w:fldChar w:fldCharType="end"/>
      </w:r>
    </w:p>
    <w:p w14:paraId="6CD5738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"_Toc233380123" </w:instrText>
      </w:r>
      <w:r>
        <w:fldChar w:fldCharType="separate"/>
      </w:r>
      <w:r>
        <w:rPr>
          <w:rStyle w:val="110"/>
        </w:rPr>
        <w:t>2.4.7环境风险评价工作等级</w:t>
      </w:r>
      <w:r>
        <w:tab/>
      </w:r>
      <w:r>
        <w:fldChar w:fldCharType="begin"/>
      </w:r>
      <w:r>
        <w:instrText xml:space="preserve"> PAGEREF _Toc233380123 \h </w:instrText>
      </w:r>
      <w:r>
        <w:fldChar w:fldCharType="separate"/>
      </w:r>
      <w:r>
        <w:t>66</w:t>
      </w:r>
      <w:r>
        <w:fldChar w:fldCharType="end"/>
      </w:r>
      <w:r>
        <w:fldChar w:fldCharType="end"/>
      </w:r>
    </w:p>
    <w:p w14:paraId="53BD7AD9">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"_Toc233380124" </w:instrText>
      </w:r>
      <w:r>
        <w:fldChar w:fldCharType="separate"/>
      </w:r>
      <w:r>
        <w:rPr>
          <w:rStyle w:val="110"/>
        </w:rPr>
        <w:t>2.5评价范围</w:t>
      </w:r>
      <w:r>
        <w:tab/>
      </w:r>
      <w:r>
        <w:fldChar w:fldCharType="begin"/>
      </w:r>
      <w:r>
        <w:instrText xml:space="preserve"> PAGEREF _Toc233380124 \h </w:instrText>
      </w:r>
      <w:r>
        <w:fldChar w:fldCharType="separate"/>
      </w:r>
      <w:r>
        <w:t>66</w:t>
      </w:r>
      <w:r>
        <w:fldChar w:fldCharType="end"/>
      </w:r>
      <w:r>
        <w:fldChar w:fldCharType="end"/>
      </w:r>
    </w:p>
    <w:p w14:paraId="271EC641">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"_Toc233380125" </w:instrText>
      </w:r>
      <w:r>
        <w:fldChar w:fldCharType="separate"/>
      </w:r>
      <w:r>
        <w:rPr>
          <w:rStyle w:val="110"/>
        </w:rPr>
        <w:t>2.5.1大气环境评价范围</w:t>
      </w:r>
      <w:r>
        <w:tab/>
      </w:r>
      <w:r>
        <w:fldChar w:fldCharType="begin"/>
      </w:r>
      <w:r>
        <w:instrText xml:space="preserve"> PAGEREF _Toc233380125 \h </w:instrText>
      </w:r>
      <w:r>
        <w:fldChar w:fldCharType="separate"/>
      </w:r>
      <w:r>
        <w:t>66</w:t>
      </w:r>
      <w:r>
        <w:fldChar w:fldCharType="end"/>
      </w:r>
      <w:r>
        <w:fldChar w:fldCharType="end"/>
      </w:r>
    </w:p>
    <w:p w14:paraId="62A862E9">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"_Toc233380126" </w:instrText>
      </w:r>
      <w:r>
        <w:fldChar w:fldCharType="separate"/>
      </w:r>
      <w:r>
        <w:rPr>
          <w:rStyle w:val="110"/>
        </w:rPr>
        <w:t>2.5.2地表水环境评价范围</w:t>
      </w:r>
      <w:r>
        <w:tab/>
      </w:r>
      <w:r>
        <w:fldChar w:fldCharType="begin"/>
      </w:r>
      <w:r>
        <w:instrText xml:space="preserve"> PAGEREF _Toc233380126 \h </w:instrText>
      </w:r>
      <w:r>
        <w:fldChar w:fldCharType="separate"/>
      </w:r>
      <w:r>
        <w:t>67</w:t>
      </w:r>
      <w:r>
        <w:fldChar w:fldCharType="end"/>
      </w:r>
      <w:r>
        <w:fldChar w:fldCharType="end"/>
      </w:r>
    </w:p>
    <w:p w14:paraId="70E7606E">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"_Toc233380127" </w:instrText>
      </w:r>
      <w:r>
        <w:fldChar w:fldCharType="separate"/>
      </w:r>
      <w:r>
        <w:rPr>
          <w:rStyle w:val="110"/>
        </w:rPr>
        <w:t>2.5.3声环境评价范围</w:t>
      </w:r>
      <w:r>
        <w:tab/>
      </w:r>
      <w:r>
        <w:fldChar w:fldCharType="begin"/>
      </w:r>
      <w:r>
        <w:instrText xml:space="preserve"> PAGEREF _Toc233380127 \h </w:instrText>
      </w:r>
      <w:r>
        <w:fldChar w:fldCharType="separate"/>
      </w:r>
      <w:r>
        <w:t>67</w:t>
      </w:r>
      <w:r>
        <w:fldChar w:fldCharType="end"/>
      </w:r>
      <w:r>
        <w:fldChar w:fldCharType="end"/>
      </w:r>
    </w:p>
    <w:p w14:paraId="776B495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"_Toc233380128" </w:instrText>
      </w:r>
      <w:r>
        <w:fldChar w:fldCharType="separate"/>
      </w:r>
      <w:r>
        <w:rPr>
          <w:rStyle w:val="110"/>
        </w:rPr>
        <w:t>2.5.4地下水评价范围</w:t>
      </w:r>
      <w:r>
        <w:tab/>
      </w:r>
      <w:r>
        <w:fldChar w:fldCharType="begin"/>
      </w:r>
      <w:r>
        <w:instrText xml:space="preserve"> PAGEREF _Toc233380128 \h </w:instrText>
      </w:r>
      <w:r>
        <w:fldChar w:fldCharType="separate"/>
      </w:r>
      <w:r>
        <w:t>68</w:t>
      </w:r>
      <w:r>
        <w:fldChar w:fldCharType="end"/>
      </w:r>
      <w:r>
        <w:fldChar w:fldCharType="end"/>
      </w:r>
    </w:p>
    <w:p w14:paraId="69EA0963">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"_Toc233380129" </w:instrText>
      </w:r>
      <w:r>
        <w:fldChar w:fldCharType="separate"/>
      </w:r>
      <w:r>
        <w:rPr>
          <w:rStyle w:val="110"/>
        </w:rPr>
        <w:t>2.5.5土壤评价范围</w:t>
      </w:r>
      <w:r>
        <w:tab/>
      </w:r>
      <w:r>
        <w:fldChar w:fldCharType="begin"/>
      </w:r>
      <w:r>
        <w:instrText xml:space="preserve"> PAGEREF _Toc233380129 \h </w:instrText>
      </w:r>
      <w:r>
        <w:fldChar w:fldCharType="separate"/>
      </w:r>
      <w:r>
        <w:t>69</w:t>
      </w:r>
      <w:r>
        <w:fldChar w:fldCharType="end"/>
      </w:r>
      <w:r>
        <w:fldChar w:fldCharType="end"/>
      </w:r>
    </w:p>
    <w:p w14:paraId="5277195E">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"_Toc233380130" </w:instrText>
      </w:r>
      <w:r>
        <w:fldChar w:fldCharType="separate"/>
      </w:r>
      <w:r>
        <w:rPr>
          <w:rStyle w:val="110"/>
        </w:rPr>
        <w:t>2.5.6生态环境评价范围</w:t>
      </w:r>
      <w:r>
        <w:tab/>
      </w:r>
      <w:r>
        <w:fldChar w:fldCharType="begin"/>
      </w:r>
      <w:r>
        <w:instrText xml:space="preserve"> PAGEREF _Toc233380130 \h </w:instrText>
      </w:r>
      <w:r>
        <w:fldChar w:fldCharType="separate"/>
      </w:r>
      <w:r>
        <w:t>69</w:t>
      </w:r>
      <w:r>
        <w:fldChar w:fldCharType="end"/>
      </w:r>
      <w:r>
        <w:fldChar w:fldCharType="end"/>
      </w:r>
    </w:p>
    <w:p w14:paraId="3E15156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"_Toc233380131" </w:instrText>
      </w:r>
      <w:r>
        <w:fldChar w:fldCharType="separate"/>
      </w:r>
      <w:r>
        <w:rPr>
          <w:rStyle w:val="110"/>
        </w:rPr>
        <w:t>2.5.7 环境风险评价范围</w:t>
      </w:r>
      <w:r>
        <w:tab/>
      </w:r>
      <w:r>
        <w:fldChar w:fldCharType="begin"/>
      </w:r>
      <w:r>
        <w:instrText xml:space="preserve"> PAGEREF _Toc233380131 \h </w:instrText>
      </w:r>
      <w:r>
        <w:fldChar w:fldCharType="separate"/>
      </w:r>
      <w:r>
        <w:t>70</w:t>
      </w:r>
      <w:r>
        <w:fldChar w:fldCharType="end"/>
      </w:r>
      <w:r>
        <w:fldChar w:fldCharType="end"/>
      </w:r>
    </w:p>
    <w:p w14:paraId="49E2B342">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"_Toc233380132" </w:instrText>
      </w:r>
      <w:r>
        <w:fldChar w:fldCharType="separate"/>
      </w:r>
      <w:r>
        <w:rPr>
          <w:rStyle w:val="110"/>
        </w:rPr>
        <w:t>2.6评价标准</w:t>
      </w:r>
      <w:r>
        <w:tab/>
      </w:r>
      <w:r>
        <w:fldChar w:fldCharType="begin"/>
      </w:r>
      <w:r>
        <w:instrText xml:space="preserve"> PAGEREF _Toc233380132 \h </w:instrText>
      </w:r>
      <w:r>
        <w:fldChar w:fldCharType="separate"/>
      </w:r>
      <w:r>
        <w:t>70</w:t>
      </w:r>
      <w:r>
        <w:fldChar w:fldCharType="end"/>
      </w:r>
      <w:r>
        <w:fldChar w:fldCharType="end"/>
      </w:r>
    </w:p>
    <w:p w14:paraId="1903D69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"_Toc233380133" </w:instrText>
      </w:r>
      <w:r>
        <w:fldChar w:fldCharType="separate"/>
      </w:r>
      <w:r>
        <w:rPr>
          <w:rStyle w:val="110"/>
        </w:rPr>
        <w:t>2.6.1区域环境功能区划</w:t>
      </w:r>
      <w:r>
        <w:tab/>
      </w:r>
      <w:r>
        <w:fldChar w:fldCharType="begin"/>
      </w:r>
      <w:r>
        <w:instrText xml:space="preserve"> PAGEREF _Toc233380133 \h </w:instrText>
      </w:r>
      <w:r>
        <w:fldChar w:fldCharType="separate"/>
      </w:r>
      <w:r>
        <w:t>70</w:t>
      </w:r>
      <w:r>
        <w:fldChar w:fldCharType="end"/>
      </w:r>
      <w:r>
        <w:fldChar w:fldCharType="end"/>
      </w:r>
    </w:p>
    <w:p w14:paraId="434B98F3">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"_Toc233380134" </w:instrText>
      </w:r>
      <w:r>
        <w:fldChar w:fldCharType="separate"/>
      </w:r>
      <w:r>
        <w:rPr>
          <w:rStyle w:val="110"/>
        </w:rPr>
        <w:t>2.6.2环境质量标准</w:t>
      </w:r>
      <w:r>
        <w:tab/>
      </w:r>
      <w:r>
        <w:fldChar w:fldCharType="begin"/>
      </w:r>
      <w:r>
        <w:instrText xml:space="preserve"> PAGEREF _Toc233380134 \h </w:instrText>
      </w:r>
      <w:r>
        <w:fldChar w:fldCharType="separate"/>
      </w:r>
      <w:r>
        <w:t>70</w:t>
      </w:r>
      <w:r>
        <w:fldChar w:fldCharType="end"/>
      </w:r>
      <w:r>
        <w:fldChar w:fldCharType="end"/>
      </w:r>
    </w:p>
    <w:p w14:paraId="46376A0F">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"_Toc233380135" </w:instrText>
      </w:r>
      <w:r>
        <w:fldChar w:fldCharType="separate"/>
      </w:r>
      <w:r>
        <w:rPr>
          <w:rStyle w:val="110"/>
        </w:rPr>
        <w:t>2.6.3污染物排放标准</w:t>
      </w:r>
      <w:r>
        <w:tab/>
      </w:r>
      <w:r>
        <w:fldChar w:fldCharType="begin"/>
      </w:r>
      <w:r>
        <w:instrText xml:space="preserve"> PAGEREF _Toc233380135 \h </w:instrText>
      </w:r>
      <w:r>
        <w:fldChar w:fldCharType="separate"/>
      </w:r>
      <w:r>
        <w:t>73</w:t>
      </w:r>
      <w:r>
        <w:fldChar w:fldCharType="end"/>
      </w:r>
      <w:r>
        <w:fldChar w:fldCharType="end"/>
      </w:r>
    </w:p>
    <w:p w14:paraId="56EC9BBD">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"_Toc233380136" </w:instrText>
      </w:r>
      <w:r>
        <w:fldChar w:fldCharType="separate"/>
      </w:r>
      <w:r>
        <w:rPr>
          <w:rStyle w:val="110"/>
        </w:rPr>
        <w:t>2.7评价重点及污染控制目标</w:t>
      </w:r>
      <w:r>
        <w:tab/>
      </w:r>
      <w:r>
        <w:fldChar w:fldCharType="begin"/>
      </w:r>
      <w:r>
        <w:instrText xml:space="preserve"> PAGEREF _Toc233380136 \h </w:instrText>
      </w:r>
      <w:r>
        <w:fldChar w:fldCharType="separate"/>
      </w:r>
      <w:r>
        <w:t>75</w:t>
      </w:r>
      <w:r>
        <w:fldChar w:fldCharType="end"/>
      </w:r>
      <w:r>
        <w:fldChar w:fldCharType="end"/>
      </w:r>
    </w:p>
    <w:p w14:paraId="4E1F76C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"_Toc233380137" </w:instrText>
      </w:r>
      <w:r>
        <w:fldChar w:fldCharType="separate"/>
      </w:r>
      <w:r>
        <w:rPr>
          <w:rStyle w:val="110"/>
        </w:rPr>
        <w:t>2.7.1评价重点</w:t>
      </w:r>
      <w:r>
        <w:tab/>
      </w:r>
      <w:r>
        <w:fldChar w:fldCharType="begin"/>
      </w:r>
      <w:r>
        <w:instrText xml:space="preserve"> PAGEREF _Toc233380137 \h </w:instrText>
      </w:r>
      <w:r>
        <w:fldChar w:fldCharType="separate"/>
      </w:r>
      <w:r>
        <w:t>75</w:t>
      </w:r>
      <w:r>
        <w:fldChar w:fldCharType="end"/>
      </w:r>
      <w:r>
        <w:fldChar w:fldCharType="end"/>
      </w:r>
    </w:p>
    <w:p w14:paraId="281C975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"_Toc233380138" </w:instrText>
      </w:r>
      <w:r>
        <w:fldChar w:fldCharType="separate"/>
      </w:r>
      <w:r>
        <w:rPr>
          <w:rStyle w:val="110"/>
        </w:rPr>
        <w:t>2.7.2污染控制目标</w:t>
      </w:r>
      <w:r>
        <w:tab/>
      </w:r>
      <w:r>
        <w:fldChar w:fldCharType="begin"/>
      </w:r>
      <w:r>
        <w:instrText xml:space="preserve"> PAGEREF _Toc233380138 \h </w:instrText>
      </w:r>
      <w:r>
        <w:fldChar w:fldCharType="separate"/>
      </w:r>
      <w:r>
        <w:t>75</w:t>
      </w:r>
      <w:r>
        <w:fldChar w:fldCharType="end"/>
      </w:r>
      <w:r>
        <w:fldChar w:fldCharType="end"/>
      </w:r>
    </w:p>
    <w:p w14:paraId="6BE5F542">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"_Toc233380139" </w:instrText>
      </w:r>
      <w:r>
        <w:fldChar w:fldCharType="separate"/>
      </w:r>
      <w:r>
        <w:rPr>
          <w:rStyle w:val="110"/>
        </w:rPr>
        <w:t>2.8主要环境保护目标</w:t>
      </w:r>
      <w:r>
        <w:tab/>
      </w:r>
      <w:r>
        <w:fldChar w:fldCharType="begin"/>
      </w:r>
      <w:r>
        <w:instrText xml:space="preserve"> PAGEREF _Toc233380139 \h </w:instrText>
      </w:r>
      <w:r>
        <w:fldChar w:fldCharType="separate"/>
      </w:r>
      <w:r>
        <w:rPr>
          <w:rFonts w:hint="eastAsia"/>
          <w:b/>
          <w:bCs/>
        </w:rPr>
        <w:t>错误!未定义书签。</w:t>
      </w:r>
      <w:r>
        <w:fldChar w:fldCharType="end"/>
      </w:r>
      <w:r>
        <w:fldChar w:fldCharType="end"/>
      </w:r>
    </w:p>
    <w:p w14:paraId="6FFEE853">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"_Toc233380140" </w:instrText>
      </w:r>
      <w:r>
        <w:fldChar w:fldCharType="separate"/>
      </w:r>
      <w:r>
        <w:rPr>
          <w:rStyle w:val="110"/>
        </w:rPr>
        <w:t>2.8.1大气环境保护目标</w:t>
      </w:r>
      <w:r>
        <w:tab/>
      </w:r>
      <w:r>
        <w:fldChar w:fldCharType="begin"/>
      </w:r>
      <w:r>
        <w:instrText xml:space="preserve"> PAGEREF _Toc233380140 \h </w:instrText>
      </w:r>
      <w:r>
        <w:fldChar w:fldCharType="separate"/>
      </w:r>
      <w:r>
        <w:t>76</w:t>
      </w:r>
      <w:r>
        <w:fldChar w:fldCharType="end"/>
      </w:r>
      <w:r>
        <w:fldChar w:fldCharType="end"/>
      </w:r>
    </w:p>
    <w:p w14:paraId="2123A20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"_Toc233380141" </w:instrText>
      </w:r>
      <w:r>
        <w:fldChar w:fldCharType="separate"/>
      </w:r>
      <w:r>
        <w:rPr>
          <w:rStyle w:val="110"/>
        </w:rPr>
        <w:t>2.8.2地表水环境保护目标</w:t>
      </w:r>
      <w:r>
        <w:tab/>
      </w:r>
      <w:r>
        <w:fldChar w:fldCharType="begin"/>
      </w:r>
      <w:r>
        <w:instrText xml:space="preserve"> PAGEREF _Toc233380141 \h </w:instrText>
      </w:r>
      <w:r>
        <w:fldChar w:fldCharType="separate"/>
      </w:r>
      <w:r>
        <w:t>89</w:t>
      </w:r>
      <w:r>
        <w:fldChar w:fldCharType="end"/>
      </w:r>
      <w:r>
        <w:fldChar w:fldCharType="end"/>
      </w:r>
    </w:p>
    <w:p w14:paraId="6F0BB35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"_Toc233380142" </w:instrText>
      </w:r>
      <w:r>
        <w:fldChar w:fldCharType="separate"/>
      </w:r>
      <w:r>
        <w:rPr>
          <w:rStyle w:val="110"/>
        </w:rPr>
        <w:t>2.8.3地下水环境保护目标</w:t>
      </w:r>
      <w:r>
        <w:tab/>
      </w:r>
      <w:r>
        <w:fldChar w:fldCharType="begin"/>
      </w:r>
      <w:r>
        <w:instrText xml:space="preserve"> PAGEREF _Toc233380142 \h </w:instrText>
      </w:r>
      <w:r>
        <w:fldChar w:fldCharType="separate"/>
      </w:r>
      <w:r>
        <w:t>89</w:t>
      </w:r>
      <w:r>
        <w:fldChar w:fldCharType="end"/>
      </w:r>
      <w:r>
        <w:fldChar w:fldCharType="end"/>
      </w:r>
    </w:p>
    <w:p w14:paraId="2EEC17C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"_Toc233380143" </w:instrText>
      </w:r>
      <w:r>
        <w:fldChar w:fldCharType="separate"/>
      </w:r>
      <w:r>
        <w:rPr>
          <w:rStyle w:val="110"/>
        </w:rPr>
        <w:t>2.8.4土壤环境保护目标</w:t>
      </w:r>
      <w:r>
        <w:tab/>
      </w:r>
      <w:r>
        <w:fldChar w:fldCharType="begin"/>
      </w:r>
      <w:r>
        <w:instrText xml:space="preserve"> PAGEREF _Toc233380143 \h </w:instrText>
      </w:r>
      <w:r>
        <w:fldChar w:fldCharType="separate"/>
      </w:r>
      <w:r>
        <w:t>89</w:t>
      </w:r>
      <w:r>
        <w:fldChar w:fldCharType="end"/>
      </w:r>
      <w:r>
        <w:fldChar w:fldCharType="end"/>
      </w:r>
    </w:p>
    <w:p w14:paraId="3258FAD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"_Toc233380144" </w:instrText>
      </w:r>
      <w:r>
        <w:fldChar w:fldCharType="separate"/>
      </w:r>
      <w:r>
        <w:rPr>
          <w:rStyle w:val="110"/>
        </w:rPr>
        <w:t>2.8.5声环境保护目标</w:t>
      </w:r>
      <w:r>
        <w:tab/>
      </w:r>
      <w:r>
        <w:fldChar w:fldCharType="begin"/>
      </w:r>
      <w:r>
        <w:instrText xml:space="preserve"> PAGEREF _Toc233380144 \h </w:instrText>
      </w:r>
      <w:r>
        <w:fldChar w:fldCharType="separate"/>
      </w:r>
      <w:r>
        <w:t>89</w:t>
      </w:r>
      <w:r>
        <w:fldChar w:fldCharType="end"/>
      </w:r>
      <w:r>
        <w:fldChar w:fldCharType="end"/>
      </w:r>
    </w:p>
    <w:p w14:paraId="1A9C0A3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"_Toc233380145" </w:instrText>
      </w:r>
      <w:r>
        <w:fldChar w:fldCharType="separate"/>
      </w:r>
      <w:r>
        <w:rPr>
          <w:rStyle w:val="110"/>
        </w:rPr>
        <w:t>2.8.6环境风险保护目标</w:t>
      </w:r>
      <w:r>
        <w:tab/>
      </w:r>
      <w:r>
        <w:fldChar w:fldCharType="begin"/>
      </w:r>
      <w:r>
        <w:instrText xml:space="preserve"> PAGEREF _Toc233380145 \h </w:instrText>
      </w:r>
      <w:r>
        <w:fldChar w:fldCharType="separate"/>
      </w:r>
      <w:r>
        <w:t>89</w:t>
      </w:r>
      <w:r>
        <w:fldChar w:fldCharType="end"/>
      </w:r>
      <w:r>
        <w:fldChar w:fldCharType="end"/>
      </w:r>
    </w:p>
    <w:p w14:paraId="6F416A7F">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"_Toc233380146" </w:instrText>
      </w:r>
      <w:r>
        <w:fldChar w:fldCharType="separate"/>
      </w:r>
      <w:r>
        <w:rPr>
          <w:rStyle w:val="110"/>
        </w:rPr>
        <w:t>2.8.7生态环境保护目标</w:t>
      </w:r>
      <w:r>
        <w:tab/>
      </w:r>
      <w:r>
        <w:fldChar w:fldCharType="begin"/>
      </w:r>
      <w:r>
        <w:instrText xml:space="preserve"> PAGEREF _Toc233380146 \h </w:instrText>
      </w:r>
      <w:r>
        <w:fldChar w:fldCharType="separate"/>
      </w:r>
      <w:r>
        <w:t>89</w:t>
      </w:r>
      <w:r>
        <w:fldChar w:fldCharType="end"/>
      </w:r>
      <w:r>
        <w:fldChar w:fldCharType="end"/>
      </w:r>
    </w:p>
    <w:p w14:paraId="3B9F8E03">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"_Toc233380147" </w:instrText>
      </w:r>
      <w:r>
        <w:fldChar w:fldCharType="separate"/>
      </w:r>
      <w:r>
        <w:rPr>
          <w:rStyle w:val="110"/>
        </w:rPr>
        <w:t>3建设项目工程分析</w:t>
      </w:r>
      <w:r>
        <w:tab/>
      </w:r>
      <w:r>
        <w:fldChar w:fldCharType="begin"/>
      </w:r>
      <w:r>
        <w:instrText xml:space="preserve"> PAGEREF _Toc233380147 \h </w:instrText>
      </w:r>
      <w:r>
        <w:fldChar w:fldCharType="separate"/>
      </w:r>
      <w:r>
        <w:t>90</w:t>
      </w:r>
      <w:r>
        <w:fldChar w:fldCharType="end"/>
      </w:r>
      <w:r>
        <w:fldChar w:fldCharType="end"/>
      </w:r>
    </w:p>
    <w:p w14:paraId="7317D6F0">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"_Toc233380148" </w:instrText>
      </w:r>
      <w:r>
        <w:fldChar w:fldCharType="separate"/>
      </w:r>
      <w:r>
        <w:rPr>
          <w:rStyle w:val="110"/>
        </w:rPr>
        <w:t>3.1建设项目概况</w:t>
      </w:r>
      <w:r>
        <w:tab/>
      </w:r>
      <w:r>
        <w:fldChar w:fldCharType="begin"/>
      </w:r>
      <w:r>
        <w:instrText xml:space="preserve"> PAGEREF _Toc233380148 \h </w:instrText>
      </w:r>
      <w:r>
        <w:fldChar w:fldCharType="separate"/>
      </w:r>
      <w:r>
        <w:t>90</w:t>
      </w:r>
      <w:r>
        <w:fldChar w:fldCharType="end"/>
      </w:r>
      <w:r>
        <w:fldChar w:fldCharType="end"/>
      </w:r>
    </w:p>
    <w:p w14:paraId="749DAAD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"_Toc233380149" </w:instrText>
      </w:r>
      <w:r>
        <w:fldChar w:fldCharType="separate"/>
      </w:r>
      <w:r>
        <w:rPr>
          <w:rStyle w:val="110"/>
        </w:rPr>
        <w:t>3.1.1项目名称、性质、地点等</w:t>
      </w:r>
      <w:r>
        <w:tab/>
      </w:r>
      <w:r>
        <w:fldChar w:fldCharType="begin"/>
      </w:r>
      <w:r>
        <w:instrText xml:space="preserve"> PAGEREF _Toc233380149 \h </w:instrText>
      </w:r>
      <w:r>
        <w:fldChar w:fldCharType="separate"/>
      </w:r>
      <w:r>
        <w:t>90</w:t>
      </w:r>
      <w:r>
        <w:fldChar w:fldCharType="end"/>
      </w:r>
      <w:r>
        <w:fldChar w:fldCharType="end"/>
      </w:r>
    </w:p>
    <w:p w14:paraId="5FAF416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"_Toc233380150" </w:instrText>
      </w:r>
      <w:r>
        <w:fldChar w:fldCharType="separate"/>
      </w:r>
      <w:r>
        <w:rPr>
          <w:rStyle w:val="110"/>
        </w:rPr>
        <w:t>3.1.2项目建设内容及规模</w:t>
      </w:r>
      <w:r>
        <w:tab/>
      </w:r>
      <w:r>
        <w:fldChar w:fldCharType="begin"/>
      </w:r>
      <w:r>
        <w:instrText xml:space="preserve"> PAGEREF _Toc233380150 \h </w:instrText>
      </w:r>
      <w:r>
        <w:fldChar w:fldCharType="separate"/>
      </w:r>
      <w:r>
        <w:t>91</w:t>
      </w:r>
      <w:r>
        <w:fldChar w:fldCharType="end"/>
      </w:r>
      <w:r>
        <w:fldChar w:fldCharType="end"/>
      </w:r>
    </w:p>
    <w:p w14:paraId="616C399F">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"_Toc233380151" </w:instrText>
      </w:r>
      <w:r>
        <w:fldChar w:fldCharType="separate"/>
      </w:r>
      <w:r>
        <w:rPr>
          <w:rStyle w:val="110"/>
        </w:rPr>
        <w:t>3.2 项目产品方案及项目组成</w:t>
      </w:r>
      <w:r>
        <w:tab/>
      </w:r>
      <w:r>
        <w:fldChar w:fldCharType="begin"/>
      </w:r>
      <w:r>
        <w:instrText xml:space="preserve"> PAGEREF _Toc233380151 \h </w:instrText>
      </w:r>
      <w:r>
        <w:fldChar w:fldCharType="separate"/>
      </w:r>
      <w:r>
        <w:t>91</w:t>
      </w:r>
      <w:r>
        <w:fldChar w:fldCharType="end"/>
      </w:r>
      <w:r>
        <w:fldChar w:fldCharType="end"/>
      </w:r>
    </w:p>
    <w:p w14:paraId="0FEB6D9E">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"_Toc233380152" </w:instrText>
      </w:r>
      <w:r>
        <w:fldChar w:fldCharType="separate"/>
      </w:r>
      <w:r>
        <w:rPr>
          <w:rStyle w:val="110"/>
        </w:rPr>
        <w:t>3.2.1 项目产品方案</w:t>
      </w:r>
      <w:r>
        <w:tab/>
      </w:r>
      <w:r>
        <w:fldChar w:fldCharType="begin"/>
      </w:r>
      <w:r>
        <w:instrText xml:space="preserve"> PAGEREF _Toc233380152 \h </w:instrText>
      </w:r>
      <w:r>
        <w:fldChar w:fldCharType="separate"/>
      </w:r>
      <w:r>
        <w:t>91</w:t>
      </w:r>
      <w:r>
        <w:fldChar w:fldCharType="end"/>
      </w:r>
      <w:r>
        <w:fldChar w:fldCharType="end"/>
      </w:r>
    </w:p>
    <w:p w14:paraId="55D90C9B">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"_Toc233380153" </w:instrText>
      </w:r>
      <w:r>
        <w:fldChar w:fldCharType="separate"/>
      </w:r>
      <w:r>
        <w:rPr>
          <w:rStyle w:val="110"/>
        </w:rPr>
        <w:t>3.2.2 建设规模及项目组成</w:t>
      </w:r>
      <w:r>
        <w:tab/>
      </w:r>
      <w:r>
        <w:fldChar w:fldCharType="begin"/>
      </w:r>
      <w:r>
        <w:instrText xml:space="preserve"> PAGEREF _Toc233380153 \h </w:instrText>
      </w:r>
      <w:r>
        <w:fldChar w:fldCharType="separate"/>
      </w:r>
      <w:r>
        <w:t>94</w:t>
      </w:r>
      <w:r>
        <w:fldChar w:fldCharType="end"/>
      </w:r>
      <w:r>
        <w:fldChar w:fldCharType="end"/>
      </w:r>
    </w:p>
    <w:p w14:paraId="02C577B8">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"_Toc233380154" </w:instrText>
      </w:r>
      <w:r>
        <w:fldChar w:fldCharType="separate"/>
      </w:r>
      <w:r>
        <w:rPr>
          <w:rStyle w:val="110"/>
        </w:rPr>
        <w:t>3.3主要原辅料及动力消耗</w:t>
      </w:r>
      <w:r>
        <w:tab/>
      </w:r>
      <w:r>
        <w:fldChar w:fldCharType="begin"/>
      </w:r>
      <w:r>
        <w:instrText xml:space="preserve"> PAGEREF _Toc233380154 \h </w:instrText>
      </w:r>
      <w:r>
        <w:fldChar w:fldCharType="separate"/>
      </w:r>
      <w:r>
        <w:t>100</w:t>
      </w:r>
      <w:r>
        <w:fldChar w:fldCharType="end"/>
      </w:r>
      <w:r>
        <w:fldChar w:fldCharType="end"/>
      </w:r>
    </w:p>
    <w:p w14:paraId="6C8E866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"_Toc233380155" </w:instrText>
      </w:r>
      <w:r>
        <w:fldChar w:fldCharType="separate"/>
      </w:r>
      <w:r>
        <w:rPr>
          <w:rStyle w:val="110"/>
        </w:rPr>
        <w:t>3.3.1主要原辅材料及能耗情况</w:t>
      </w:r>
      <w:r>
        <w:tab/>
      </w:r>
      <w:r>
        <w:fldChar w:fldCharType="begin"/>
      </w:r>
      <w:r>
        <w:instrText xml:space="preserve"> PAGEREF _Toc233380155 \h </w:instrText>
      </w:r>
      <w:r>
        <w:fldChar w:fldCharType="separate"/>
      </w:r>
      <w:r>
        <w:t>100</w:t>
      </w:r>
      <w:r>
        <w:fldChar w:fldCharType="end"/>
      </w:r>
      <w:r>
        <w:fldChar w:fldCharType="end"/>
      </w:r>
    </w:p>
    <w:p w14:paraId="32C76FA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"_Toc233380156" </w:instrText>
      </w:r>
      <w:r>
        <w:fldChar w:fldCharType="separate"/>
      </w:r>
      <w:r>
        <w:rPr>
          <w:rStyle w:val="110"/>
        </w:rPr>
        <w:t>3.3.2主要原辅材料成分及理化性质</w:t>
      </w:r>
      <w:r>
        <w:tab/>
      </w:r>
      <w:r>
        <w:fldChar w:fldCharType="begin"/>
      </w:r>
      <w:r>
        <w:instrText xml:space="preserve"> PAGEREF _Toc233380156 \h </w:instrText>
      </w:r>
      <w:r>
        <w:fldChar w:fldCharType="separate"/>
      </w:r>
      <w:r>
        <w:t>103</w:t>
      </w:r>
      <w:r>
        <w:fldChar w:fldCharType="end"/>
      </w:r>
      <w:r>
        <w:fldChar w:fldCharType="end"/>
      </w:r>
    </w:p>
    <w:p w14:paraId="2813D7E7">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"_Toc233380157" </w:instrText>
      </w:r>
      <w:r>
        <w:fldChar w:fldCharType="separate"/>
      </w:r>
      <w:r>
        <w:rPr>
          <w:rStyle w:val="110"/>
        </w:rPr>
        <w:t>3.4 主要生产设备</w:t>
      </w:r>
      <w:r>
        <w:tab/>
      </w:r>
      <w:r>
        <w:fldChar w:fldCharType="begin"/>
      </w:r>
      <w:r>
        <w:instrText xml:space="preserve"> PAGEREF _Toc233380157 \h </w:instrText>
      </w:r>
      <w:r>
        <w:fldChar w:fldCharType="separate"/>
      </w:r>
      <w:r>
        <w:t>104</w:t>
      </w:r>
      <w:r>
        <w:fldChar w:fldCharType="end"/>
      </w:r>
      <w:r>
        <w:fldChar w:fldCharType="end"/>
      </w:r>
    </w:p>
    <w:p w14:paraId="1C4E7829">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"_Toc233380158" </w:instrText>
      </w:r>
      <w:r>
        <w:fldChar w:fldCharType="separate"/>
      </w:r>
      <w:r>
        <w:rPr>
          <w:rStyle w:val="110"/>
        </w:rPr>
        <w:t>3.5 项目总平面布置合理性分析</w:t>
      </w:r>
      <w:r>
        <w:tab/>
      </w:r>
      <w:r>
        <w:fldChar w:fldCharType="begin"/>
      </w:r>
      <w:r>
        <w:instrText xml:space="preserve"> PAGEREF _Toc233380158 \h </w:instrText>
      </w:r>
      <w:r>
        <w:fldChar w:fldCharType="separate"/>
      </w:r>
      <w:r>
        <w:t>105</w:t>
      </w:r>
      <w:r>
        <w:fldChar w:fldCharType="end"/>
      </w:r>
      <w:r>
        <w:fldChar w:fldCharType="end"/>
      </w:r>
    </w:p>
    <w:p w14:paraId="09647C10">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"_Toc233380159" </w:instrText>
      </w:r>
      <w:r>
        <w:fldChar w:fldCharType="separate"/>
      </w:r>
      <w:r>
        <w:rPr>
          <w:rStyle w:val="110"/>
        </w:rPr>
        <w:t>3.6公用工程</w:t>
      </w:r>
      <w:r>
        <w:tab/>
      </w:r>
      <w:r>
        <w:fldChar w:fldCharType="begin"/>
      </w:r>
      <w:r>
        <w:instrText xml:space="preserve"> PAGEREF _Toc233380159 \h </w:instrText>
      </w:r>
      <w:r>
        <w:fldChar w:fldCharType="separate"/>
      </w:r>
      <w:r>
        <w:t>107</w:t>
      </w:r>
      <w:r>
        <w:fldChar w:fldCharType="end"/>
      </w:r>
      <w:r>
        <w:fldChar w:fldCharType="end"/>
      </w:r>
    </w:p>
    <w:p w14:paraId="6EF82A0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"_Toc233380160" </w:instrText>
      </w:r>
      <w:r>
        <w:fldChar w:fldCharType="separate"/>
      </w:r>
      <w:r>
        <w:rPr>
          <w:rStyle w:val="110"/>
        </w:rPr>
        <w:t>3.6.1给排水</w:t>
      </w:r>
      <w:r>
        <w:tab/>
      </w:r>
      <w:r>
        <w:fldChar w:fldCharType="begin"/>
      </w:r>
      <w:r>
        <w:instrText xml:space="preserve"> PAGEREF _Toc233380160 \h </w:instrText>
      </w:r>
      <w:r>
        <w:fldChar w:fldCharType="separate"/>
      </w:r>
      <w:r>
        <w:t>107</w:t>
      </w:r>
      <w:r>
        <w:fldChar w:fldCharType="end"/>
      </w:r>
      <w:r>
        <w:fldChar w:fldCharType="end"/>
      </w:r>
    </w:p>
    <w:p w14:paraId="4170716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"_Toc233380161" </w:instrText>
      </w:r>
      <w:r>
        <w:fldChar w:fldCharType="separate"/>
      </w:r>
      <w:r>
        <w:rPr>
          <w:rStyle w:val="110"/>
        </w:rPr>
        <w:t>3.6.2供电</w:t>
      </w:r>
      <w:r>
        <w:tab/>
      </w:r>
      <w:r>
        <w:fldChar w:fldCharType="begin"/>
      </w:r>
      <w:r>
        <w:instrText xml:space="preserve"> PAGEREF _Toc233380161 \h </w:instrText>
      </w:r>
      <w:r>
        <w:fldChar w:fldCharType="separate"/>
      </w:r>
      <w:r>
        <w:t>108</w:t>
      </w:r>
      <w:r>
        <w:fldChar w:fldCharType="end"/>
      </w:r>
      <w:r>
        <w:fldChar w:fldCharType="end"/>
      </w:r>
    </w:p>
    <w:p w14:paraId="11BB852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"_Toc233380162" </w:instrText>
      </w:r>
      <w:r>
        <w:fldChar w:fldCharType="separate"/>
      </w:r>
      <w:r>
        <w:rPr>
          <w:rStyle w:val="110"/>
        </w:rPr>
        <w:t>3.6.3供暖</w:t>
      </w:r>
      <w:r>
        <w:tab/>
      </w:r>
      <w:r>
        <w:fldChar w:fldCharType="begin"/>
      </w:r>
      <w:r>
        <w:instrText xml:space="preserve"> PAGEREF _Toc233380162 \h </w:instrText>
      </w:r>
      <w:r>
        <w:fldChar w:fldCharType="separate"/>
      </w:r>
      <w:r>
        <w:t>108</w:t>
      </w:r>
      <w:r>
        <w:fldChar w:fldCharType="end"/>
      </w:r>
      <w:r>
        <w:fldChar w:fldCharType="end"/>
      </w:r>
    </w:p>
    <w:p w14:paraId="61F062B0">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"_Toc233380163" </w:instrText>
      </w:r>
      <w:r>
        <w:fldChar w:fldCharType="separate"/>
      </w:r>
      <w:r>
        <w:rPr>
          <w:rStyle w:val="110"/>
        </w:rPr>
        <w:t>3.6.4保温降温、通风系统</w:t>
      </w:r>
      <w:r>
        <w:tab/>
      </w:r>
      <w:r>
        <w:fldChar w:fldCharType="begin"/>
      </w:r>
      <w:r>
        <w:instrText xml:space="preserve"> PAGEREF _Toc233380163 \h </w:instrText>
      </w:r>
      <w:r>
        <w:fldChar w:fldCharType="separate"/>
      </w:r>
      <w:r>
        <w:t>108</w:t>
      </w:r>
      <w:r>
        <w:fldChar w:fldCharType="end"/>
      </w:r>
      <w:r>
        <w:fldChar w:fldCharType="end"/>
      </w:r>
    </w:p>
    <w:p w14:paraId="5E06F03F">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"_Toc233380164" </w:instrText>
      </w:r>
      <w:r>
        <w:fldChar w:fldCharType="separate"/>
      </w:r>
      <w:r>
        <w:rPr>
          <w:rStyle w:val="110"/>
        </w:rPr>
        <w:t>3.6.5绿化</w:t>
      </w:r>
      <w:r>
        <w:tab/>
      </w:r>
      <w:r>
        <w:fldChar w:fldCharType="begin"/>
      </w:r>
      <w:r>
        <w:instrText xml:space="preserve"> PAGEREF _Toc233380164 \h </w:instrText>
      </w:r>
      <w:r>
        <w:fldChar w:fldCharType="separate"/>
      </w:r>
      <w:r>
        <w:t>108</w:t>
      </w:r>
      <w:r>
        <w:fldChar w:fldCharType="end"/>
      </w:r>
      <w:r>
        <w:fldChar w:fldCharType="end"/>
      </w:r>
    </w:p>
    <w:p w14:paraId="4B3B99D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"_Toc233380165" </w:instrText>
      </w:r>
      <w:r>
        <w:fldChar w:fldCharType="separate"/>
      </w:r>
      <w:r>
        <w:rPr>
          <w:rStyle w:val="110"/>
        </w:rPr>
        <w:t>3.6.5运输系统</w:t>
      </w:r>
      <w:r>
        <w:tab/>
      </w:r>
      <w:r>
        <w:fldChar w:fldCharType="begin"/>
      </w:r>
      <w:r>
        <w:instrText xml:space="preserve"> PAGEREF _Toc233380165 \h </w:instrText>
      </w:r>
      <w:r>
        <w:fldChar w:fldCharType="separate"/>
      </w:r>
      <w:r>
        <w:t>109</w:t>
      </w:r>
      <w:r>
        <w:fldChar w:fldCharType="end"/>
      </w:r>
      <w:r>
        <w:fldChar w:fldCharType="end"/>
      </w:r>
    </w:p>
    <w:p w14:paraId="4888ED9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"_Toc233380166" </w:instrText>
      </w:r>
      <w:r>
        <w:fldChar w:fldCharType="separate"/>
      </w:r>
      <w:r>
        <w:rPr>
          <w:rStyle w:val="110"/>
        </w:rPr>
        <w:t>3.6.6消毒系统</w:t>
      </w:r>
      <w:r>
        <w:tab/>
      </w:r>
      <w:r>
        <w:fldChar w:fldCharType="begin"/>
      </w:r>
      <w:r>
        <w:instrText xml:space="preserve"> PAGEREF _Toc233380166 \h </w:instrText>
      </w:r>
      <w:r>
        <w:fldChar w:fldCharType="separate"/>
      </w:r>
      <w:r>
        <w:t>110</w:t>
      </w:r>
      <w:r>
        <w:fldChar w:fldCharType="end"/>
      </w:r>
      <w:r>
        <w:fldChar w:fldCharType="end"/>
      </w:r>
    </w:p>
    <w:p w14:paraId="480EE38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"_Toc233380167" </w:instrText>
      </w:r>
      <w:r>
        <w:fldChar w:fldCharType="separate"/>
      </w:r>
      <w:r>
        <w:rPr>
          <w:rStyle w:val="110"/>
        </w:rPr>
        <w:t>3.6.7防疫处置</w:t>
      </w:r>
      <w:r>
        <w:tab/>
      </w:r>
      <w:r>
        <w:fldChar w:fldCharType="begin"/>
      </w:r>
      <w:r>
        <w:instrText xml:space="preserve"> PAGEREF _Toc233380167 \h </w:instrText>
      </w:r>
      <w:r>
        <w:fldChar w:fldCharType="separate"/>
      </w:r>
      <w:r>
        <w:t>111</w:t>
      </w:r>
      <w:r>
        <w:fldChar w:fldCharType="end"/>
      </w:r>
      <w:r>
        <w:fldChar w:fldCharType="end"/>
      </w:r>
    </w:p>
    <w:p w14:paraId="7E3BF561">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"_Toc233380168" </w:instrText>
      </w:r>
      <w:r>
        <w:fldChar w:fldCharType="separate"/>
      </w:r>
      <w:r>
        <w:rPr>
          <w:rStyle w:val="110"/>
        </w:rPr>
        <w:t>3.6.8垫料铺设及控制</w:t>
      </w:r>
      <w:r>
        <w:tab/>
      </w:r>
      <w:r>
        <w:fldChar w:fldCharType="begin"/>
      </w:r>
      <w:r>
        <w:instrText xml:space="preserve"> PAGEREF _Toc233380168 \h </w:instrText>
      </w:r>
      <w:r>
        <w:fldChar w:fldCharType="separate"/>
      </w:r>
      <w:r>
        <w:t>112</w:t>
      </w:r>
      <w:r>
        <w:fldChar w:fldCharType="end"/>
      </w:r>
      <w:r>
        <w:fldChar w:fldCharType="end"/>
      </w:r>
    </w:p>
    <w:p w14:paraId="5D4178AE">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"_Toc233380169" </w:instrText>
      </w:r>
      <w:r>
        <w:fldChar w:fldCharType="separate"/>
      </w:r>
      <w:r>
        <w:rPr>
          <w:rStyle w:val="110"/>
        </w:rPr>
        <w:t>3.6.9消防</w:t>
      </w:r>
      <w:r>
        <w:tab/>
      </w:r>
      <w:r>
        <w:fldChar w:fldCharType="begin"/>
      </w:r>
      <w:r>
        <w:instrText xml:space="preserve"> PAGEREF _Toc233380169 \h </w:instrText>
      </w:r>
      <w:r>
        <w:fldChar w:fldCharType="separate"/>
      </w:r>
      <w:r>
        <w:t>113</w:t>
      </w:r>
      <w:r>
        <w:fldChar w:fldCharType="end"/>
      </w:r>
      <w:r>
        <w:fldChar w:fldCharType="end"/>
      </w:r>
    </w:p>
    <w:p w14:paraId="33BFA18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"_Toc233380170" </w:instrText>
      </w:r>
      <w:r>
        <w:fldChar w:fldCharType="separate"/>
      </w:r>
      <w:r>
        <w:rPr>
          <w:rStyle w:val="110"/>
        </w:rPr>
        <w:t>3.6.10贮运</w:t>
      </w:r>
      <w:r>
        <w:tab/>
      </w:r>
      <w:r>
        <w:fldChar w:fldCharType="begin"/>
      </w:r>
      <w:r>
        <w:instrText xml:space="preserve"> PAGEREF _Toc233380170 \h </w:instrText>
      </w:r>
      <w:r>
        <w:fldChar w:fldCharType="separate"/>
      </w:r>
      <w:r>
        <w:t>114</w:t>
      </w:r>
      <w:r>
        <w:fldChar w:fldCharType="end"/>
      </w:r>
      <w:r>
        <w:fldChar w:fldCharType="end"/>
      </w:r>
    </w:p>
    <w:p w14:paraId="59A46440">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"_Toc233380171" </w:instrText>
      </w:r>
      <w:r>
        <w:fldChar w:fldCharType="separate"/>
      </w:r>
      <w:r>
        <w:rPr>
          <w:rStyle w:val="110"/>
        </w:rPr>
        <w:t>3.7劳动定员和生产制度</w:t>
      </w:r>
      <w:r>
        <w:tab/>
      </w:r>
      <w:r>
        <w:fldChar w:fldCharType="begin"/>
      </w:r>
      <w:r>
        <w:instrText xml:space="preserve"> PAGEREF _Toc233380171 \h </w:instrText>
      </w:r>
      <w:r>
        <w:fldChar w:fldCharType="separate"/>
      </w:r>
      <w:r>
        <w:t>114</w:t>
      </w:r>
      <w:r>
        <w:fldChar w:fldCharType="end"/>
      </w:r>
      <w:r>
        <w:fldChar w:fldCharType="end"/>
      </w:r>
    </w:p>
    <w:p w14:paraId="12A6CB89">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"_Toc233380172" </w:instrText>
      </w:r>
      <w:r>
        <w:fldChar w:fldCharType="separate"/>
      </w:r>
      <w:r>
        <w:rPr>
          <w:rStyle w:val="110"/>
        </w:rPr>
        <w:t>3.8总投资及资金筹措</w:t>
      </w:r>
      <w:r>
        <w:tab/>
      </w:r>
      <w:r>
        <w:fldChar w:fldCharType="begin"/>
      </w:r>
      <w:r>
        <w:instrText xml:space="preserve"> PAGEREF _Toc233380172 \h </w:instrText>
      </w:r>
      <w:r>
        <w:fldChar w:fldCharType="separate"/>
      </w:r>
      <w:r>
        <w:t>114</w:t>
      </w:r>
      <w:r>
        <w:fldChar w:fldCharType="end"/>
      </w:r>
      <w:r>
        <w:fldChar w:fldCharType="end"/>
      </w:r>
    </w:p>
    <w:p w14:paraId="23DB09E8">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"_Toc233380173" </w:instrText>
      </w:r>
      <w:r>
        <w:fldChar w:fldCharType="separate"/>
      </w:r>
      <w:r>
        <w:rPr>
          <w:rStyle w:val="110"/>
        </w:rPr>
        <w:t>3.9施工期工程分析</w:t>
      </w:r>
      <w:r>
        <w:tab/>
      </w:r>
      <w:r>
        <w:fldChar w:fldCharType="begin"/>
      </w:r>
      <w:r>
        <w:instrText xml:space="preserve"> PAGEREF _Toc233380173 \h </w:instrText>
      </w:r>
      <w:r>
        <w:fldChar w:fldCharType="separate"/>
      </w:r>
      <w:r>
        <w:t>114</w:t>
      </w:r>
      <w:r>
        <w:fldChar w:fldCharType="end"/>
      </w:r>
      <w:r>
        <w:fldChar w:fldCharType="end"/>
      </w:r>
    </w:p>
    <w:p w14:paraId="2517D98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"_Toc233380174" </w:instrText>
      </w:r>
      <w:r>
        <w:fldChar w:fldCharType="separate"/>
      </w:r>
      <w:r>
        <w:rPr>
          <w:rStyle w:val="110"/>
        </w:rPr>
        <w:t>3.9.1施工期工艺流程及产污环节分析</w:t>
      </w:r>
      <w:r>
        <w:tab/>
      </w:r>
      <w:r>
        <w:fldChar w:fldCharType="begin"/>
      </w:r>
      <w:r>
        <w:instrText xml:space="preserve"> PAGEREF _Toc233380174 \h </w:instrText>
      </w:r>
      <w:r>
        <w:fldChar w:fldCharType="separate"/>
      </w:r>
      <w:r>
        <w:t>114</w:t>
      </w:r>
      <w:r>
        <w:fldChar w:fldCharType="end"/>
      </w:r>
      <w:r>
        <w:fldChar w:fldCharType="end"/>
      </w:r>
    </w:p>
    <w:p w14:paraId="1F00FE7D">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"_Toc233380175" </w:instrText>
      </w:r>
      <w:r>
        <w:fldChar w:fldCharType="separate"/>
      </w:r>
      <w:r>
        <w:rPr>
          <w:rStyle w:val="110"/>
        </w:rPr>
        <w:t>3.9.2施工期主要污染物</w:t>
      </w:r>
      <w:r>
        <w:tab/>
      </w:r>
      <w:r>
        <w:fldChar w:fldCharType="begin"/>
      </w:r>
      <w:r>
        <w:instrText xml:space="preserve"> PAGEREF _Toc233380175 \h </w:instrText>
      </w:r>
      <w:r>
        <w:fldChar w:fldCharType="separate"/>
      </w:r>
      <w:r>
        <w:t>114</w:t>
      </w:r>
      <w:r>
        <w:fldChar w:fldCharType="end"/>
      </w:r>
      <w:r>
        <w:fldChar w:fldCharType="end"/>
      </w:r>
    </w:p>
    <w:p w14:paraId="042FD13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"_Toc233380176" </w:instrText>
      </w:r>
      <w:r>
        <w:fldChar w:fldCharType="separate"/>
      </w:r>
      <w:r>
        <w:rPr>
          <w:rStyle w:val="110"/>
        </w:rPr>
        <w:t>3.9.3施工期污染物排放及治理措施</w:t>
      </w:r>
      <w:r>
        <w:tab/>
      </w:r>
      <w:r>
        <w:fldChar w:fldCharType="begin"/>
      </w:r>
      <w:r>
        <w:instrText xml:space="preserve"> PAGEREF _Toc233380176 \h </w:instrText>
      </w:r>
      <w:r>
        <w:fldChar w:fldCharType="separate"/>
      </w:r>
      <w:r>
        <w:t>115</w:t>
      </w:r>
      <w:r>
        <w:fldChar w:fldCharType="end"/>
      </w:r>
      <w:r>
        <w:fldChar w:fldCharType="end"/>
      </w:r>
    </w:p>
    <w:p w14:paraId="3979C941">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"_Toc233380177" </w:instrText>
      </w:r>
      <w:r>
        <w:fldChar w:fldCharType="separate"/>
      </w:r>
      <w:r>
        <w:rPr>
          <w:rStyle w:val="110"/>
        </w:rPr>
        <w:t>3.10 运营期工程分析</w:t>
      </w:r>
      <w:r>
        <w:tab/>
      </w:r>
      <w:r>
        <w:fldChar w:fldCharType="begin"/>
      </w:r>
      <w:r>
        <w:instrText xml:space="preserve"> PAGEREF _Toc233380177 \h </w:instrText>
      </w:r>
      <w:r>
        <w:fldChar w:fldCharType="separate"/>
      </w:r>
      <w:r>
        <w:t>119</w:t>
      </w:r>
      <w:r>
        <w:fldChar w:fldCharType="end"/>
      </w:r>
      <w:r>
        <w:fldChar w:fldCharType="end"/>
      </w:r>
    </w:p>
    <w:p w14:paraId="102A84C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"_Toc233380178" </w:instrText>
      </w:r>
      <w:r>
        <w:fldChar w:fldCharType="separate"/>
      </w:r>
      <w:r>
        <w:rPr>
          <w:rStyle w:val="110"/>
        </w:rPr>
        <w:t>3.10.1运营期工艺流程</w:t>
      </w:r>
      <w:r>
        <w:tab/>
      </w:r>
      <w:r>
        <w:fldChar w:fldCharType="begin"/>
      </w:r>
      <w:r>
        <w:instrText xml:space="preserve"> PAGEREF _Toc233380178 \h </w:instrText>
      </w:r>
      <w:r>
        <w:fldChar w:fldCharType="separate"/>
      </w:r>
      <w:r>
        <w:t>119</w:t>
      </w:r>
      <w:r>
        <w:fldChar w:fldCharType="end"/>
      </w:r>
      <w:r>
        <w:fldChar w:fldCharType="end"/>
      </w:r>
    </w:p>
    <w:p w14:paraId="4A3488AE">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"_Toc233380179" </w:instrText>
      </w:r>
      <w:r>
        <w:fldChar w:fldCharType="separate"/>
      </w:r>
      <w:r>
        <w:rPr>
          <w:rStyle w:val="110"/>
        </w:rPr>
        <w:t>3.10.2运营期污染因素分析</w:t>
      </w:r>
      <w:r>
        <w:tab/>
      </w:r>
      <w:r>
        <w:fldChar w:fldCharType="begin"/>
      </w:r>
      <w:r>
        <w:instrText xml:space="preserve"> PAGEREF _Toc233380179 \h </w:instrText>
      </w:r>
      <w:r>
        <w:fldChar w:fldCharType="separate"/>
      </w:r>
      <w:r>
        <w:t>128</w:t>
      </w:r>
      <w:r>
        <w:fldChar w:fldCharType="end"/>
      </w:r>
      <w:r>
        <w:fldChar w:fldCharType="end"/>
      </w:r>
    </w:p>
    <w:p w14:paraId="5C6C5280">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"_Toc233380180" </w:instrText>
      </w:r>
      <w:r>
        <w:fldChar w:fldCharType="separate"/>
      </w:r>
      <w:r>
        <w:rPr>
          <w:rStyle w:val="110"/>
        </w:rPr>
        <w:t>3.10.3水平衡分析</w:t>
      </w:r>
      <w:r>
        <w:tab/>
      </w:r>
      <w:r>
        <w:fldChar w:fldCharType="begin"/>
      </w:r>
      <w:r>
        <w:instrText xml:space="preserve"> PAGEREF _Toc233380180 \h </w:instrText>
      </w:r>
      <w:r>
        <w:fldChar w:fldCharType="separate"/>
      </w:r>
      <w:r>
        <w:t>129</w:t>
      </w:r>
      <w:r>
        <w:fldChar w:fldCharType="end"/>
      </w:r>
      <w:r>
        <w:fldChar w:fldCharType="end"/>
      </w:r>
    </w:p>
    <w:p w14:paraId="42A5E9CB">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"_Toc233380181" </w:instrText>
      </w:r>
      <w:r>
        <w:fldChar w:fldCharType="separate"/>
      </w:r>
      <w:r>
        <w:rPr>
          <w:rStyle w:val="110"/>
        </w:rPr>
        <w:t>3.10.4运营期污染物产生、排放及治理措施</w:t>
      </w:r>
      <w:r>
        <w:tab/>
      </w:r>
      <w:r>
        <w:fldChar w:fldCharType="begin"/>
      </w:r>
      <w:r>
        <w:instrText xml:space="preserve"> PAGEREF _Toc233380181 \h </w:instrText>
      </w:r>
      <w:r>
        <w:fldChar w:fldCharType="separate"/>
      </w:r>
      <w:r>
        <w:t>136</w:t>
      </w:r>
      <w:r>
        <w:fldChar w:fldCharType="end"/>
      </w:r>
      <w:r>
        <w:fldChar w:fldCharType="end"/>
      </w:r>
    </w:p>
    <w:p w14:paraId="7206DCC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"_Toc233380182" </w:instrText>
      </w:r>
      <w:r>
        <w:fldChar w:fldCharType="separate"/>
      </w:r>
      <w:r>
        <w:rPr>
          <w:rStyle w:val="110"/>
        </w:rPr>
        <w:t>3.10.5非正常排放及防范措施</w:t>
      </w:r>
      <w:r>
        <w:tab/>
      </w:r>
      <w:r>
        <w:fldChar w:fldCharType="begin"/>
      </w:r>
      <w:r>
        <w:instrText xml:space="preserve"> PAGEREF _Toc233380182 \h </w:instrText>
      </w:r>
      <w:r>
        <w:fldChar w:fldCharType="separate"/>
      </w:r>
      <w:r>
        <w:t>155</w:t>
      </w:r>
      <w:r>
        <w:fldChar w:fldCharType="end"/>
      </w:r>
      <w:r>
        <w:fldChar w:fldCharType="end"/>
      </w:r>
    </w:p>
    <w:p w14:paraId="0C5165F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"_Toc233380183" </w:instrText>
      </w:r>
      <w:r>
        <w:fldChar w:fldCharType="separate"/>
      </w:r>
      <w:r>
        <w:rPr>
          <w:rStyle w:val="110"/>
        </w:rPr>
        <w:t>3.10.6总量控制</w:t>
      </w:r>
      <w:r>
        <w:tab/>
      </w:r>
      <w:r>
        <w:fldChar w:fldCharType="begin"/>
      </w:r>
      <w:r>
        <w:instrText xml:space="preserve"> PAGEREF _Toc233380183 \h </w:instrText>
      </w:r>
      <w:r>
        <w:fldChar w:fldCharType="separate"/>
      </w:r>
      <w:r>
        <w:t>156</w:t>
      </w:r>
      <w:r>
        <w:fldChar w:fldCharType="end"/>
      </w:r>
      <w:r>
        <w:fldChar w:fldCharType="end"/>
      </w:r>
    </w:p>
    <w:p w14:paraId="29C15EEB">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"_Toc233380184" </w:instrText>
      </w:r>
      <w:r>
        <w:fldChar w:fldCharType="separate"/>
      </w:r>
      <w:r>
        <w:rPr>
          <w:rStyle w:val="110"/>
        </w:rPr>
        <w:t>4环境现状调查与评价</w:t>
      </w:r>
      <w:r>
        <w:tab/>
      </w:r>
      <w:r>
        <w:fldChar w:fldCharType="begin"/>
      </w:r>
      <w:r>
        <w:instrText xml:space="preserve"> PAGEREF _Toc233380184 \h </w:instrText>
      </w:r>
      <w:r>
        <w:fldChar w:fldCharType="separate"/>
      </w:r>
      <w:r>
        <w:t>157</w:t>
      </w:r>
      <w:r>
        <w:fldChar w:fldCharType="end"/>
      </w:r>
      <w:r>
        <w:fldChar w:fldCharType="end"/>
      </w:r>
    </w:p>
    <w:p w14:paraId="7A631AF5">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"_Toc233380185" </w:instrText>
      </w:r>
      <w:r>
        <w:fldChar w:fldCharType="separate"/>
      </w:r>
      <w:r>
        <w:rPr>
          <w:rStyle w:val="110"/>
        </w:rPr>
        <w:t>4.1自然环境现状调查与评价</w:t>
      </w:r>
      <w:r>
        <w:tab/>
      </w:r>
      <w:r>
        <w:fldChar w:fldCharType="begin"/>
      </w:r>
      <w:r>
        <w:instrText xml:space="preserve"> PAGEREF _Toc233380185 \h </w:instrText>
      </w:r>
      <w:r>
        <w:fldChar w:fldCharType="separate"/>
      </w:r>
      <w:r>
        <w:t>157</w:t>
      </w:r>
      <w:r>
        <w:fldChar w:fldCharType="end"/>
      </w:r>
      <w:r>
        <w:fldChar w:fldCharType="end"/>
      </w:r>
    </w:p>
    <w:p w14:paraId="470E350B">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"_Toc233380186" </w:instrText>
      </w:r>
      <w:r>
        <w:fldChar w:fldCharType="separate"/>
      </w:r>
      <w:r>
        <w:rPr>
          <w:rStyle w:val="110"/>
        </w:rPr>
        <w:t>4.1.1地理位置</w:t>
      </w:r>
      <w:r>
        <w:tab/>
      </w:r>
      <w:r>
        <w:fldChar w:fldCharType="begin"/>
      </w:r>
      <w:r>
        <w:instrText xml:space="preserve"> PAGEREF _Toc233380186 \h </w:instrText>
      </w:r>
      <w:r>
        <w:fldChar w:fldCharType="separate"/>
      </w:r>
      <w:r>
        <w:t>157</w:t>
      </w:r>
      <w:r>
        <w:fldChar w:fldCharType="end"/>
      </w:r>
      <w:r>
        <w:fldChar w:fldCharType="end"/>
      </w:r>
    </w:p>
    <w:p w14:paraId="0715D39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"_Toc233380187" </w:instrText>
      </w:r>
      <w:r>
        <w:fldChar w:fldCharType="separate"/>
      </w:r>
      <w:r>
        <w:rPr>
          <w:rStyle w:val="110"/>
        </w:rPr>
        <w:t>4.1.2地形、地貌</w:t>
      </w:r>
      <w:r>
        <w:tab/>
      </w:r>
      <w:r>
        <w:fldChar w:fldCharType="begin"/>
      </w:r>
      <w:r>
        <w:instrText xml:space="preserve"> PAGEREF _Toc233380187 \h </w:instrText>
      </w:r>
      <w:r>
        <w:fldChar w:fldCharType="separate"/>
      </w:r>
      <w:r>
        <w:t>157</w:t>
      </w:r>
      <w:r>
        <w:fldChar w:fldCharType="end"/>
      </w:r>
      <w:r>
        <w:fldChar w:fldCharType="end"/>
      </w:r>
    </w:p>
    <w:p w14:paraId="6B624315">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"_Toc233380188" </w:instrText>
      </w:r>
      <w:r>
        <w:fldChar w:fldCharType="separate"/>
      </w:r>
      <w:r>
        <w:rPr>
          <w:rStyle w:val="110"/>
        </w:rPr>
        <w:t>4.1.3气候、气象</w:t>
      </w:r>
      <w:r>
        <w:tab/>
      </w:r>
      <w:r>
        <w:fldChar w:fldCharType="begin"/>
      </w:r>
      <w:r>
        <w:instrText xml:space="preserve"> PAGEREF _Toc233380188 \h </w:instrText>
      </w:r>
      <w:r>
        <w:fldChar w:fldCharType="separate"/>
      </w:r>
      <w:r>
        <w:t>159</w:t>
      </w:r>
      <w:r>
        <w:fldChar w:fldCharType="end"/>
      </w:r>
      <w:r>
        <w:fldChar w:fldCharType="end"/>
      </w:r>
    </w:p>
    <w:p w14:paraId="33B45B90">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"_Toc233380189" </w:instrText>
      </w:r>
      <w:r>
        <w:fldChar w:fldCharType="separate"/>
      </w:r>
      <w:r>
        <w:rPr>
          <w:rStyle w:val="110"/>
        </w:rPr>
        <w:t>4.1.4河流水系</w:t>
      </w:r>
      <w:r>
        <w:tab/>
      </w:r>
      <w:r>
        <w:fldChar w:fldCharType="begin"/>
      </w:r>
      <w:r>
        <w:instrText xml:space="preserve"> PAGEREF _Toc233380189 \h </w:instrText>
      </w:r>
      <w:r>
        <w:fldChar w:fldCharType="separate"/>
      </w:r>
      <w:r>
        <w:t>159</w:t>
      </w:r>
      <w:r>
        <w:fldChar w:fldCharType="end"/>
      </w:r>
      <w:r>
        <w:fldChar w:fldCharType="end"/>
      </w:r>
    </w:p>
    <w:p w14:paraId="2929828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"_Toc233380190" </w:instrText>
      </w:r>
      <w:r>
        <w:fldChar w:fldCharType="separate"/>
      </w:r>
      <w:r>
        <w:rPr>
          <w:rStyle w:val="110"/>
        </w:rPr>
        <w:t>4.1.5地质条件</w:t>
      </w:r>
      <w:r>
        <w:tab/>
      </w:r>
      <w:r>
        <w:fldChar w:fldCharType="begin"/>
      </w:r>
      <w:r>
        <w:instrText xml:space="preserve"> PAGEREF _Toc233380190 \h </w:instrText>
      </w:r>
      <w:r>
        <w:fldChar w:fldCharType="separate"/>
      </w:r>
      <w:r>
        <w:t>160</w:t>
      </w:r>
      <w:r>
        <w:fldChar w:fldCharType="end"/>
      </w:r>
      <w:r>
        <w:fldChar w:fldCharType="end"/>
      </w:r>
    </w:p>
    <w:p w14:paraId="3882098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"_Toc233380191" </w:instrText>
      </w:r>
      <w:r>
        <w:fldChar w:fldCharType="separate"/>
      </w:r>
      <w:r>
        <w:rPr>
          <w:rStyle w:val="110"/>
        </w:rPr>
        <w:t>4.1.6地下水</w:t>
      </w:r>
      <w:r>
        <w:tab/>
      </w:r>
      <w:r>
        <w:fldChar w:fldCharType="begin"/>
      </w:r>
      <w:r>
        <w:instrText xml:space="preserve"> PAGEREF _Toc233380191 \h </w:instrText>
      </w:r>
      <w:r>
        <w:fldChar w:fldCharType="separate"/>
      </w:r>
      <w:r>
        <w:t>162</w:t>
      </w:r>
      <w:r>
        <w:fldChar w:fldCharType="end"/>
      </w:r>
      <w:r>
        <w:fldChar w:fldCharType="end"/>
      </w:r>
    </w:p>
    <w:p w14:paraId="6FB4639F">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"_Toc233380192" </w:instrText>
      </w:r>
      <w:r>
        <w:fldChar w:fldCharType="separate"/>
      </w:r>
      <w:r>
        <w:rPr>
          <w:rStyle w:val="110"/>
        </w:rPr>
        <w:t>4.1.7自然资源</w:t>
      </w:r>
      <w:r>
        <w:tab/>
      </w:r>
      <w:r>
        <w:fldChar w:fldCharType="begin"/>
      </w:r>
      <w:r>
        <w:instrText xml:space="preserve"> PAGEREF _Toc233380192 \h </w:instrText>
      </w:r>
      <w:r>
        <w:fldChar w:fldCharType="separate"/>
      </w:r>
      <w:r>
        <w:t>164</w:t>
      </w:r>
      <w:r>
        <w:fldChar w:fldCharType="end"/>
      </w:r>
      <w:r>
        <w:fldChar w:fldCharType="end"/>
      </w:r>
    </w:p>
    <w:p w14:paraId="765EB3F5">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"_Toc233380193" </w:instrText>
      </w:r>
      <w:r>
        <w:fldChar w:fldCharType="separate"/>
      </w:r>
      <w:r>
        <w:rPr>
          <w:rStyle w:val="110"/>
        </w:rPr>
        <w:t>4.2 环境质量现状评价</w:t>
      </w:r>
      <w:r>
        <w:tab/>
      </w:r>
      <w:r>
        <w:fldChar w:fldCharType="begin"/>
      </w:r>
      <w:r>
        <w:instrText xml:space="preserve"> PAGEREF _Toc233380193 \h </w:instrText>
      </w:r>
      <w:r>
        <w:fldChar w:fldCharType="separate"/>
      </w:r>
      <w:r>
        <w:t>165</w:t>
      </w:r>
      <w:r>
        <w:fldChar w:fldCharType="end"/>
      </w:r>
      <w:r>
        <w:fldChar w:fldCharType="end"/>
      </w:r>
    </w:p>
    <w:p w14:paraId="2A2ABF1B">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"_Toc233380194" </w:instrText>
      </w:r>
      <w:r>
        <w:fldChar w:fldCharType="separate"/>
      </w:r>
      <w:r>
        <w:rPr>
          <w:rStyle w:val="110"/>
        </w:rPr>
        <w:t>4.2.1环境空气质量现状调查与评价</w:t>
      </w:r>
      <w:r>
        <w:tab/>
      </w:r>
      <w:r>
        <w:fldChar w:fldCharType="begin"/>
      </w:r>
      <w:r>
        <w:instrText xml:space="preserve"> PAGEREF _Toc233380194 \h </w:instrText>
      </w:r>
      <w:r>
        <w:fldChar w:fldCharType="separate"/>
      </w:r>
      <w:r>
        <w:t>165</w:t>
      </w:r>
      <w:r>
        <w:fldChar w:fldCharType="end"/>
      </w:r>
      <w:r>
        <w:fldChar w:fldCharType="end"/>
      </w:r>
    </w:p>
    <w:p w14:paraId="44F24773">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"_Toc233380195" </w:instrText>
      </w:r>
      <w:r>
        <w:fldChar w:fldCharType="separate"/>
      </w:r>
      <w:r>
        <w:rPr>
          <w:rStyle w:val="110"/>
        </w:rPr>
        <w:t>4.2.2声环境质量现状调查与评价</w:t>
      </w:r>
      <w:r>
        <w:tab/>
      </w:r>
      <w:r>
        <w:fldChar w:fldCharType="begin"/>
      </w:r>
      <w:r>
        <w:instrText xml:space="preserve"> PAGEREF _Toc233380195 \h </w:instrText>
      </w:r>
      <w:r>
        <w:fldChar w:fldCharType="separate"/>
      </w:r>
      <w:r>
        <w:t>170</w:t>
      </w:r>
      <w:r>
        <w:fldChar w:fldCharType="end"/>
      </w:r>
      <w:r>
        <w:fldChar w:fldCharType="end"/>
      </w:r>
    </w:p>
    <w:p w14:paraId="1DABDC0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"_Toc233380196" </w:instrText>
      </w:r>
      <w:r>
        <w:fldChar w:fldCharType="separate"/>
      </w:r>
      <w:r>
        <w:rPr>
          <w:rStyle w:val="110"/>
        </w:rPr>
        <w:t>4.2.3土壤环境质量现状监测与评价</w:t>
      </w:r>
      <w:r>
        <w:tab/>
      </w:r>
      <w:r>
        <w:fldChar w:fldCharType="begin"/>
      </w:r>
      <w:r>
        <w:instrText xml:space="preserve"> PAGEREF _Toc233380196 \h </w:instrText>
      </w:r>
      <w:r>
        <w:fldChar w:fldCharType="separate"/>
      </w:r>
      <w:r>
        <w:t>174</w:t>
      </w:r>
      <w:r>
        <w:fldChar w:fldCharType="end"/>
      </w:r>
      <w:r>
        <w:fldChar w:fldCharType="end"/>
      </w:r>
    </w:p>
    <w:p w14:paraId="652586F5">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"_Toc233380197" </w:instrText>
      </w:r>
      <w:r>
        <w:fldChar w:fldCharType="separate"/>
      </w:r>
      <w:r>
        <w:rPr>
          <w:rStyle w:val="110"/>
        </w:rPr>
        <w:t>4.2.4地表水环境质量现状调查与评价</w:t>
      </w:r>
      <w:r>
        <w:tab/>
      </w:r>
      <w:r>
        <w:fldChar w:fldCharType="begin"/>
      </w:r>
      <w:r>
        <w:instrText xml:space="preserve"> PAGEREF _Toc233380197 \h </w:instrText>
      </w:r>
      <w:r>
        <w:fldChar w:fldCharType="separate"/>
      </w:r>
      <w:r>
        <w:t>175</w:t>
      </w:r>
      <w:r>
        <w:fldChar w:fldCharType="end"/>
      </w:r>
      <w:r>
        <w:fldChar w:fldCharType="end"/>
      </w:r>
    </w:p>
    <w:p w14:paraId="6BB75399">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"_Toc233380198" </w:instrText>
      </w:r>
      <w:r>
        <w:fldChar w:fldCharType="separate"/>
      </w:r>
      <w:r>
        <w:rPr>
          <w:rStyle w:val="110"/>
        </w:rPr>
        <w:t>4.2.5地下水环境质量现状调查与评价</w:t>
      </w:r>
      <w:r>
        <w:tab/>
      </w:r>
      <w:r>
        <w:fldChar w:fldCharType="begin"/>
      </w:r>
      <w:r>
        <w:instrText xml:space="preserve"> PAGEREF _Toc233380198 \h </w:instrText>
      </w:r>
      <w:r>
        <w:fldChar w:fldCharType="separate"/>
      </w:r>
      <w:r>
        <w:t>177</w:t>
      </w:r>
      <w:r>
        <w:fldChar w:fldCharType="end"/>
      </w:r>
      <w:r>
        <w:fldChar w:fldCharType="end"/>
      </w:r>
    </w:p>
    <w:p w14:paraId="730EF251">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"_Toc233380199" </w:instrText>
      </w:r>
      <w:r>
        <w:fldChar w:fldCharType="separate"/>
      </w:r>
      <w:r>
        <w:rPr>
          <w:rStyle w:val="110"/>
        </w:rPr>
        <w:t>4.2.6生态质量现状与评价</w:t>
      </w:r>
      <w:r>
        <w:tab/>
      </w:r>
      <w:r>
        <w:fldChar w:fldCharType="begin"/>
      </w:r>
      <w:r>
        <w:instrText xml:space="preserve"> PAGEREF _Toc233380199 \h </w:instrText>
      </w:r>
      <w:r>
        <w:fldChar w:fldCharType="separate"/>
      </w:r>
      <w:r>
        <w:t>179</w:t>
      </w:r>
      <w:r>
        <w:fldChar w:fldCharType="end"/>
      </w:r>
      <w:r>
        <w:fldChar w:fldCharType="end"/>
      </w:r>
    </w:p>
    <w:p w14:paraId="1F72F042">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"_Toc233380200" </w:instrText>
      </w:r>
      <w:r>
        <w:fldChar w:fldCharType="separate"/>
      </w:r>
      <w:r>
        <w:rPr>
          <w:rStyle w:val="110"/>
        </w:rPr>
        <w:t>4.3环境污染源调查</w:t>
      </w:r>
      <w:r>
        <w:tab/>
      </w:r>
      <w:r>
        <w:fldChar w:fldCharType="begin"/>
      </w:r>
      <w:r>
        <w:instrText xml:space="preserve"> PAGEREF _Toc233380200 \h </w:instrText>
      </w:r>
      <w:r>
        <w:fldChar w:fldCharType="separate"/>
      </w:r>
      <w:r>
        <w:t>181</w:t>
      </w:r>
      <w:r>
        <w:fldChar w:fldCharType="end"/>
      </w:r>
      <w:r>
        <w:fldChar w:fldCharType="end"/>
      </w:r>
    </w:p>
    <w:p w14:paraId="1777DDEF">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"_Toc233380201" </w:instrText>
      </w:r>
      <w:r>
        <w:fldChar w:fldCharType="separate"/>
      </w:r>
      <w:r>
        <w:rPr>
          <w:rStyle w:val="110"/>
        </w:rPr>
        <w:t>5环境影响预测与评价</w:t>
      </w:r>
      <w:r>
        <w:tab/>
      </w:r>
      <w:r>
        <w:fldChar w:fldCharType="begin"/>
      </w:r>
      <w:r>
        <w:instrText xml:space="preserve"> PAGEREF _Toc233380201 \h </w:instrText>
      </w:r>
      <w:r>
        <w:fldChar w:fldCharType="separate"/>
      </w:r>
      <w:r>
        <w:t>182</w:t>
      </w:r>
      <w:r>
        <w:fldChar w:fldCharType="end"/>
      </w:r>
      <w:r>
        <w:fldChar w:fldCharType="end"/>
      </w:r>
    </w:p>
    <w:p w14:paraId="6C89D803">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"_Toc233380202" </w:instrText>
      </w:r>
      <w:r>
        <w:fldChar w:fldCharType="separate"/>
      </w:r>
      <w:r>
        <w:rPr>
          <w:rStyle w:val="110"/>
        </w:rPr>
        <w:t>5.1施工期环境影响分析</w:t>
      </w:r>
      <w:r>
        <w:tab/>
      </w:r>
      <w:r>
        <w:fldChar w:fldCharType="begin"/>
      </w:r>
      <w:r>
        <w:instrText xml:space="preserve"> PAGEREF _Toc233380202 \h </w:instrText>
      </w:r>
      <w:r>
        <w:fldChar w:fldCharType="separate"/>
      </w:r>
      <w:r>
        <w:t>182</w:t>
      </w:r>
      <w:r>
        <w:fldChar w:fldCharType="end"/>
      </w:r>
      <w:r>
        <w:fldChar w:fldCharType="end"/>
      </w:r>
    </w:p>
    <w:p w14:paraId="7F30E22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"_Toc233380203" </w:instrText>
      </w:r>
      <w:r>
        <w:fldChar w:fldCharType="separate"/>
      </w:r>
      <w:r>
        <w:rPr>
          <w:rStyle w:val="110"/>
        </w:rPr>
        <w:t>5.1.1施工期水环境影响分析</w:t>
      </w:r>
      <w:r>
        <w:tab/>
      </w:r>
      <w:r>
        <w:fldChar w:fldCharType="begin"/>
      </w:r>
      <w:r>
        <w:instrText xml:space="preserve"> PAGEREF _Toc233380203 \h </w:instrText>
      </w:r>
      <w:r>
        <w:fldChar w:fldCharType="separate"/>
      </w:r>
      <w:r>
        <w:t>182</w:t>
      </w:r>
      <w:r>
        <w:fldChar w:fldCharType="end"/>
      </w:r>
      <w:r>
        <w:fldChar w:fldCharType="end"/>
      </w:r>
    </w:p>
    <w:p w14:paraId="1160BDC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"_Toc233380204" </w:instrText>
      </w:r>
      <w:r>
        <w:fldChar w:fldCharType="separate"/>
      </w:r>
      <w:r>
        <w:rPr>
          <w:rStyle w:val="110"/>
        </w:rPr>
        <w:t>5.1.2施工期大气环境影响分析</w:t>
      </w:r>
      <w:r>
        <w:tab/>
      </w:r>
      <w:r>
        <w:fldChar w:fldCharType="begin"/>
      </w:r>
      <w:r>
        <w:instrText xml:space="preserve"> PAGEREF _Toc233380204 \h </w:instrText>
      </w:r>
      <w:r>
        <w:fldChar w:fldCharType="separate"/>
      </w:r>
      <w:r>
        <w:t>183</w:t>
      </w:r>
      <w:r>
        <w:fldChar w:fldCharType="end"/>
      </w:r>
      <w:r>
        <w:fldChar w:fldCharType="end"/>
      </w:r>
    </w:p>
    <w:p w14:paraId="475D130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"_Toc233380205" </w:instrText>
      </w:r>
      <w:r>
        <w:fldChar w:fldCharType="separate"/>
      </w:r>
      <w:r>
        <w:rPr>
          <w:rStyle w:val="110"/>
        </w:rPr>
        <w:t>5.1.3施工期声环境影响评价</w:t>
      </w:r>
      <w:r>
        <w:tab/>
      </w:r>
      <w:r>
        <w:fldChar w:fldCharType="begin"/>
      </w:r>
      <w:r>
        <w:instrText xml:space="preserve"> PAGEREF _Toc233380205 \h </w:instrText>
      </w:r>
      <w:r>
        <w:fldChar w:fldCharType="separate"/>
      </w:r>
      <w:r>
        <w:t>184</w:t>
      </w:r>
      <w:r>
        <w:fldChar w:fldCharType="end"/>
      </w:r>
      <w:r>
        <w:fldChar w:fldCharType="end"/>
      </w:r>
    </w:p>
    <w:p w14:paraId="58B07D1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"_Toc233380206" </w:instrText>
      </w:r>
      <w:r>
        <w:fldChar w:fldCharType="separate"/>
      </w:r>
      <w:r>
        <w:rPr>
          <w:rStyle w:val="110"/>
        </w:rPr>
        <w:t>5.1.4施工期固废影响分析</w:t>
      </w:r>
      <w:r>
        <w:tab/>
      </w:r>
      <w:r>
        <w:fldChar w:fldCharType="begin"/>
      </w:r>
      <w:r>
        <w:instrText xml:space="preserve"> PAGEREF _Toc233380206 \h </w:instrText>
      </w:r>
      <w:r>
        <w:fldChar w:fldCharType="separate"/>
      </w:r>
      <w:r>
        <w:t>186</w:t>
      </w:r>
      <w:r>
        <w:fldChar w:fldCharType="end"/>
      </w:r>
      <w:r>
        <w:fldChar w:fldCharType="end"/>
      </w:r>
    </w:p>
    <w:p w14:paraId="05BBAB0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"_Toc233380207" </w:instrText>
      </w:r>
      <w:r>
        <w:fldChar w:fldCharType="separate"/>
      </w:r>
      <w:r>
        <w:rPr>
          <w:rStyle w:val="110"/>
        </w:rPr>
        <w:t>5.1.5施工期生态影响分析</w:t>
      </w:r>
      <w:r>
        <w:tab/>
      </w:r>
      <w:r>
        <w:fldChar w:fldCharType="begin"/>
      </w:r>
      <w:r>
        <w:instrText xml:space="preserve"> PAGEREF _Toc233380207 \h </w:instrText>
      </w:r>
      <w:r>
        <w:fldChar w:fldCharType="separate"/>
      </w:r>
      <w:r>
        <w:t>187</w:t>
      </w:r>
      <w:r>
        <w:fldChar w:fldCharType="end"/>
      </w:r>
      <w:r>
        <w:fldChar w:fldCharType="end"/>
      </w:r>
    </w:p>
    <w:p w14:paraId="0B9C226E">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"_Toc233380208" </w:instrText>
      </w:r>
      <w:r>
        <w:fldChar w:fldCharType="separate"/>
      </w:r>
      <w:r>
        <w:rPr>
          <w:rStyle w:val="110"/>
        </w:rPr>
        <w:t>5.2营运期大气环境影响分析</w:t>
      </w:r>
      <w:r>
        <w:tab/>
      </w:r>
      <w:r>
        <w:fldChar w:fldCharType="begin"/>
      </w:r>
      <w:r>
        <w:instrText xml:space="preserve"> PAGEREF _Toc233380208 \h </w:instrText>
      </w:r>
      <w:r>
        <w:fldChar w:fldCharType="separate"/>
      </w:r>
      <w:r>
        <w:t>189</w:t>
      </w:r>
      <w:r>
        <w:fldChar w:fldCharType="end"/>
      </w:r>
      <w:r>
        <w:fldChar w:fldCharType="end"/>
      </w:r>
    </w:p>
    <w:p w14:paraId="7FE179FF">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"_Toc233380209" </w:instrText>
      </w:r>
      <w:r>
        <w:fldChar w:fldCharType="separate"/>
      </w:r>
      <w:r>
        <w:rPr>
          <w:rStyle w:val="110"/>
        </w:rPr>
        <w:t>5.2.1大气环境影响分析</w:t>
      </w:r>
      <w:r>
        <w:tab/>
      </w:r>
      <w:r>
        <w:fldChar w:fldCharType="begin"/>
      </w:r>
      <w:r>
        <w:instrText xml:space="preserve"> PAGEREF _Toc233380209 \h </w:instrText>
      </w:r>
      <w:r>
        <w:fldChar w:fldCharType="separate"/>
      </w:r>
      <w:r>
        <w:t>189</w:t>
      </w:r>
      <w:r>
        <w:fldChar w:fldCharType="end"/>
      </w:r>
      <w:r>
        <w:fldChar w:fldCharType="end"/>
      </w:r>
    </w:p>
    <w:p w14:paraId="08123A01">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"_Toc233380210" </w:instrText>
      </w:r>
      <w:r>
        <w:fldChar w:fldCharType="separate"/>
      </w:r>
      <w:r>
        <w:rPr>
          <w:rStyle w:val="110"/>
        </w:rPr>
        <w:t>5.2.3大气环境防护距离</w:t>
      </w:r>
      <w:r>
        <w:tab/>
      </w:r>
      <w:r>
        <w:fldChar w:fldCharType="begin"/>
      </w:r>
      <w:r>
        <w:instrText xml:space="preserve"> PAGEREF _Toc233380210 \h </w:instrText>
      </w:r>
      <w:r>
        <w:fldChar w:fldCharType="separate"/>
      </w:r>
      <w:r>
        <w:t>202</w:t>
      </w:r>
      <w:r>
        <w:fldChar w:fldCharType="end"/>
      </w:r>
      <w:r>
        <w:fldChar w:fldCharType="end"/>
      </w:r>
    </w:p>
    <w:p w14:paraId="3E47F05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"_Toc233380211" </w:instrText>
      </w:r>
      <w:r>
        <w:fldChar w:fldCharType="separate"/>
      </w:r>
      <w:r>
        <w:rPr>
          <w:rStyle w:val="110"/>
        </w:rPr>
        <w:t>5.2.4卫生防护距离</w:t>
      </w:r>
      <w:r>
        <w:tab/>
      </w:r>
      <w:r>
        <w:fldChar w:fldCharType="begin"/>
      </w:r>
      <w:r>
        <w:instrText xml:space="preserve"> PAGEREF _Toc233380211 \h </w:instrText>
      </w:r>
      <w:r>
        <w:fldChar w:fldCharType="separate"/>
      </w:r>
      <w:r>
        <w:t>203</w:t>
      </w:r>
      <w:r>
        <w:fldChar w:fldCharType="end"/>
      </w:r>
      <w:r>
        <w:fldChar w:fldCharType="end"/>
      </w:r>
    </w:p>
    <w:p w14:paraId="68DBE10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"_Toc233380212" </w:instrText>
      </w:r>
      <w:r>
        <w:fldChar w:fldCharType="separate"/>
      </w:r>
      <w:r>
        <w:rPr>
          <w:rStyle w:val="110"/>
        </w:rPr>
        <w:t>5.2.5异味影响分析</w:t>
      </w:r>
      <w:r>
        <w:tab/>
      </w:r>
      <w:r>
        <w:fldChar w:fldCharType="begin"/>
      </w:r>
      <w:r>
        <w:instrText xml:space="preserve"> PAGEREF _Toc233380212 \h </w:instrText>
      </w:r>
      <w:r>
        <w:fldChar w:fldCharType="separate"/>
      </w:r>
      <w:r>
        <w:t>205</w:t>
      </w:r>
      <w:r>
        <w:fldChar w:fldCharType="end"/>
      </w:r>
      <w:r>
        <w:fldChar w:fldCharType="end"/>
      </w:r>
    </w:p>
    <w:p w14:paraId="5654451F">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"_Toc233380213" </w:instrText>
      </w:r>
      <w:r>
        <w:fldChar w:fldCharType="separate"/>
      </w:r>
      <w:r>
        <w:rPr>
          <w:rStyle w:val="110"/>
        </w:rPr>
        <w:t>5.2.6无组织排放控制要求</w:t>
      </w:r>
      <w:r>
        <w:tab/>
      </w:r>
      <w:r>
        <w:fldChar w:fldCharType="begin"/>
      </w:r>
      <w:r>
        <w:instrText xml:space="preserve"> PAGEREF _Toc233380213 \h </w:instrText>
      </w:r>
      <w:r>
        <w:fldChar w:fldCharType="separate"/>
      </w:r>
      <w:r>
        <w:t>205</w:t>
      </w:r>
      <w:r>
        <w:fldChar w:fldCharType="end"/>
      </w:r>
      <w:r>
        <w:fldChar w:fldCharType="end"/>
      </w:r>
    </w:p>
    <w:p w14:paraId="79EC9AF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"_Toc233380214" </w:instrText>
      </w:r>
      <w:r>
        <w:fldChar w:fldCharType="separate"/>
      </w:r>
      <w:r>
        <w:rPr>
          <w:rStyle w:val="110"/>
        </w:rPr>
        <w:t>5.2.7大气环境影响结论</w:t>
      </w:r>
      <w:r>
        <w:tab/>
      </w:r>
      <w:r>
        <w:fldChar w:fldCharType="begin"/>
      </w:r>
      <w:r>
        <w:instrText xml:space="preserve"> PAGEREF _Toc233380214 \h </w:instrText>
      </w:r>
      <w:r>
        <w:fldChar w:fldCharType="separate"/>
      </w:r>
      <w:r>
        <w:t>207</w:t>
      </w:r>
      <w:r>
        <w:fldChar w:fldCharType="end"/>
      </w:r>
      <w:r>
        <w:fldChar w:fldCharType="end"/>
      </w:r>
    </w:p>
    <w:p w14:paraId="0501D45E">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"_Toc233380215" </w:instrText>
      </w:r>
      <w:r>
        <w:fldChar w:fldCharType="separate"/>
      </w:r>
      <w:r>
        <w:rPr>
          <w:rStyle w:val="110"/>
        </w:rPr>
        <w:t>5.3地表水环境影响分析</w:t>
      </w:r>
      <w:r>
        <w:tab/>
      </w:r>
      <w:r>
        <w:fldChar w:fldCharType="begin"/>
      </w:r>
      <w:r>
        <w:instrText xml:space="preserve"> PAGEREF _Toc233380215 \h </w:instrText>
      </w:r>
      <w:r>
        <w:fldChar w:fldCharType="separate"/>
      </w:r>
      <w:r>
        <w:t>208</w:t>
      </w:r>
      <w:r>
        <w:fldChar w:fldCharType="end"/>
      </w:r>
      <w:r>
        <w:fldChar w:fldCharType="end"/>
      </w:r>
    </w:p>
    <w:p w14:paraId="323CDD83">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"_Toc233380216" </w:instrText>
      </w:r>
      <w:r>
        <w:fldChar w:fldCharType="separate"/>
      </w:r>
      <w:r>
        <w:rPr>
          <w:rStyle w:val="110"/>
        </w:rPr>
        <w:t>5.3.1项目废水产生情况及污染控制措施</w:t>
      </w:r>
      <w:r>
        <w:tab/>
      </w:r>
      <w:r>
        <w:fldChar w:fldCharType="begin"/>
      </w:r>
      <w:r>
        <w:instrText xml:space="preserve"> PAGEREF _Toc233380216 \h </w:instrText>
      </w:r>
      <w:r>
        <w:fldChar w:fldCharType="separate"/>
      </w:r>
      <w:r>
        <w:t>208</w:t>
      </w:r>
      <w:r>
        <w:fldChar w:fldCharType="end"/>
      </w:r>
      <w:r>
        <w:fldChar w:fldCharType="end"/>
      </w:r>
    </w:p>
    <w:p w14:paraId="640AA961">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"_Toc233380217" </w:instrText>
      </w:r>
      <w:r>
        <w:fldChar w:fldCharType="separate"/>
      </w:r>
      <w:r>
        <w:rPr>
          <w:rStyle w:val="110"/>
        </w:rPr>
        <w:t>5.3.2废水处理措施的可行性</w:t>
      </w:r>
      <w:r>
        <w:tab/>
      </w:r>
      <w:r>
        <w:fldChar w:fldCharType="begin"/>
      </w:r>
      <w:r>
        <w:instrText xml:space="preserve"> PAGEREF _Toc233380217 \h </w:instrText>
      </w:r>
      <w:r>
        <w:fldChar w:fldCharType="separate"/>
      </w:r>
      <w:r>
        <w:t>208</w:t>
      </w:r>
      <w:r>
        <w:fldChar w:fldCharType="end"/>
      </w:r>
      <w:r>
        <w:fldChar w:fldCharType="end"/>
      </w:r>
    </w:p>
    <w:p w14:paraId="0810D053">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"_Toc233380218" </w:instrText>
      </w:r>
      <w:r>
        <w:fldChar w:fldCharType="separate"/>
      </w:r>
      <w:r>
        <w:rPr>
          <w:rStyle w:val="110"/>
        </w:rPr>
        <w:t>5.3.2废水不外排的可行性</w:t>
      </w:r>
      <w:r>
        <w:tab/>
      </w:r>
      <w:r>
        <w:fldChar w:fldCharType="begin"/>
      </w:r>
      <w:r>
        <w:instrText xml:space="preserve"> PAGEREF _Toc233380218 \h </w:instrText>
      </w:r>
      <w:r>
        <w:fldChar w:fldCharType="separate"/>
      </w:r>
      <w:r>
        <w:t>209</w:t>
      </w:r>
      <w:r>
        <w:fldChar w:fldCharType="end"/>
      </w:r>
      <w:r>
        <w:fldChar w:fldCharType="end"/>
      </w:r>
    </w:p>
    <w:p w14:paraId="0814AAB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"_Toc233380219" </w:instrText>
      </w:r>
      <w:r>
        <w:fldChar w:fldCharType="separate"/>
      </w:r>
      <w:r>
        <w:rPr>
          <w:rStyle w:val="110"/>
        </w:rPr>
        <w:t>5.3.3项目非正常排放的可行性</w:t>
      </w:r>
      <w:r>
        <w:tab/>
      </w:r>
      <w:r>
        <w:fldChar w:fldCharType="begin"/>
      </w:r>
      <w:r>
        <w:instrText xml:space="preserve"> PAGEREF _Toc233380219 \h </w:instrText>
      </w:r>
      <w:r>
        <w:fldChar w:fldCharType="separate"/>
      </w:r>
      <w:r>
        <w:t>209</w:t>
      </w:r>
      <w:r>
        <w:fldChar w:fldCharType="end"/>
      </w:r>
      <w:r>
        <w:fldChar w:fldCharType="end"/>
      </w:r>
    </w:p>
    <w:p w14:paraId="1BE5E88D">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"_Toc233380220" </w:instrText>
      </w:r>
      <w:r>
        <w:fldChar w:fldCharType="separate"/>
      </w:r>
      <w:r>
        <w:rPr>
          <w:rStyle w:val="110"/>
        </w:rPr>
        <w:t>5.3.4地表水环境影响评价结论</w:t>
      </w:r>
      <w:r>
        <w:tab/>
      </w:r>
      <w:r>
        <w:fldChar w:fldCharType="begin"/>
      </w:r>
      <w:r>
        <w:instrText xml:space="preserve"> PAGEREF _Toc233380220 \h </w:instrText>
      </w:r>
      <w:r>
        <w:fldChar w:fldCharType="separate"/>
      </w:r>
      <w:r>
        <w:t>210</w:t>
      </w:r>
      <w:r>
        <w:fldChar w:fldCharType="end"/>
      </w:r>
      <w:r>
        <w:fldChar w:fldCharType="end"/>
      </w:r>
    </w:p>
    <w:p w14:paraId="5E173A4B">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"_Toc233380221" </w:instrText>
      </w:r>
      <w:r>
        <w:fldChar w:fldCharType="separate"/>
      </w:r>
      <w:r>
        <w:rPr>
          <w:rStyle w:val="110"/>
        </w:rPr>
        <w:t>5.3.4建设项目地表水环境影响评价自查表</w:t>
      </w:r>
      <w:r>
        <w:tab/>
      </w:r>
      <w:r>
        <w:fldChar w:fldCharType="begin"/>
      </w:r>
      <w:r>
        <w:instrText xml:space="preserve"> PAGEREF _Toc233380221 \h </w:instrText>
      </w:r>
      <w:r>
        <w:fldChar w:fldCharType="separate"/>
      </w:r>
      <w:r>
        <w:t>210</w:t>
      </w:r>
      <w:r>
        <w:fldChar w:fldCharType="end"/>
      </w:r>
      <w:r>
        <w:fldChar w:fldCharType="end"/>
      </w:r>
    </w:p>
    <w:p w14:paraId="3C243D9E">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"_Toc233380222" </w:instrText>
      </w:r>
      <w:r>
        <w:fldChar w:fldCharType="separate"/>
      </w:r>
      <w:r>
        <w:rPr>
          <w:rStyle w:val="110"/>
        </w:rPr>
        <w:t>5.4地下水环境影响评价</w:t>
      </w:r>
      <w:r>
        <w:tab/>
      </w:r>
      <w:r>
        <w:fldChar w:fldCharType="begin"/>
      </w:r>
      <w:r>
        <w:instrText xml:space="preserve"> PAGEREF _Toc233380222 \h </w:instrText>
      </w:r>
      <w:r>
        <w:fldChar w:fldCharType="separate"/>
      </w:r>
      <w:r>
        <w:t>212</w:t>
      </w:r>
      <w:r>
        <w:fldChar w:fldCharType="end"/>
      </w:r>
      <w:r>
        <w:fldChar w:fldCharType="end"/>
      </w:r>
    </w:p>
    <w:p w14:paraId="555C9F3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"_Toc233380223" </w:instrText>
      </w:r>
      <w:r>
        <w:fldChar w:fldCharType="separate"/>
      </w:r>
      <w:r>
        <w:rPr>
          <w:rStyle w:val="110"/>
        </w:rPr>
        <w:t>5.4.1评价等级</w:t>
      </w:r>
      <w:r>
        <w:tab/>
      </w:r>
      <w:r>
        <w:fldChar w:fldCharType="begin"/>
      </w:r>
      <w:r>
        <w:instrText xml:space="preserve"> PAGEREF _Toc233380223 \h </w:instrText>
      </w:r>
      <w:r>
        <w:fldChar w:fldCharType="separate"/>
      </w:r>
      <w:r>
        <w:t>213</w:t>
      </w:r>
      <w:r>
        <w:fldChar w:fldCharType="end"/>
      </w:r>
      <w:r>
        <w:fldChar w:fldCharType="end"/>
      </w:r>
    </w:p>
    <w:p w14:paraId="5D556330">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"_Toc233380224" </w:instrText>
      </w:r>
      <w:r>
        <w:fldChar w:fldCharType="separate"/>
      </w:r>
      <w:r>
        <w:rPr>
          <w:rStyle w:val="110"/>
        </w:rPr>
        <w:t>5.4.2区域水文地质条件</w:t>
      </w:r>
      <w:r>
        <w:tab/>
      </w:r>
      <w:r>
        <w:fldChar w:fldCharType="begin"/>
      </w:r>
      <w:r>
        <w:instrText xml:space="preserve"> PAGEREF _Toc233380224 \h </w:instrText>
      </w:r>
      <w:r>
        <w:fldChar w:fldCharType="separate"/>
      </w:r>
      <w:r>
        <w:t>213</w:t>
      </w:r>
      <w:r>
        <w:fldChar w:fldCharType="end"/>
      </w:r>
      <w:r>
        <w:fldChar w:fldCharType="end"/>
      </w:r>
    </w:p>
    <w:p w14:paraId="2FCB109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"_Toc233380225" </w:instrText>
      </w:r>
      <w:r>
        <w:fldChar w:fldCharType="separate"/>
      </w:r>
      <w:r>
        <w:rPr>
          <w:rStyle w:val="110"/>
        </w:rPr>
        <w:t>5.4.3地下水污染源及污染途径</w:t>
      </w:r>
      <w:r>
        <w:tab/>
      </w:r>
      <w:r>
        <w:fldChar w:fldCharType="begin"/>
      </w:r>
      <w:r>
        <w:instrText xml:space="preserve"> PAGEREF _Toc233380225 \h </w:instrText>
      </w:r>
      <w:r>
        <w:fldChar w:fldCharType="separate"/>
      </w:r>
      <w:r>
        <w:t>216</w:t>
      </w:r>
      <w:r>
        <w:fldChar w:fldCharType="end"/>
      </w:r>
      <w:r>
        <w:fldChar w:fldCharType="end"/>
      </w:r>
    </w:p>
    <w:p w14:paraId="1C4836C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"_Toc233380226" </w:instrText>
      </w:r>
      <w:r>
        <w:fldChar w:fldCharType="separate"/>
      </w:r>
      <w:r>
        <w:rPr>
          <w:rStyle w:val="110"/>
        </w:rPr>
        <w:t>5.4.4地下水环境影响预测</w:t>
      </w:r>
      <w:r>
        <w:tab/>
      </w:r>
      <w:r>
        <w:fldChar w:fldCharType="begin"/>
      </w:r>
      <w:r>
        <w:instrText xml:space="preserve"> PAGEREF _Toc233380226 \h </w:instrText>
      </w:r>
      <w:r>
        <w:fldChar w:fldCharType="separate"/>
      </w:r>
      <w:r>
        <w:t>218</w:t>
      </w:r>
      <w:r>
        <w:fldChar w:fldCharType="end"/>
      </w:r>
      <w:r>
        <w:fldChar w:fldCharType="end"/>
      </w:r>
    </w:p>
    <w:p w14:paraId="1969C2BD">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"_Toc233380227" </w:instrText>
      </w:r>
      <w:r>
        <w:fldChar w:fldCharType="separate"/>
      </w:r>
      <w:r>
        <w:rPr>
          <w:rStyle w:val="110"/>
        </w:rPr>
        <w:t>5.4.5地下水污染防治措施</w:t>
      </w:r>
      <w:r>
        <w:tab/>
      </w:r>
      <w:r>
        <w:fldChar w:fldCharType="begin"/>
      </w:r>
      <w:r>
        <w:instrText xml:space="preserve"> PAGEREF _Toc233380227 \h </w:instrText>
      </w:r>
      <w:r>
        <w:fldChar w:fldCharType="separate"/>
      </w:r>
      <w:r>
        <w:t>223</w:t>
      </w:r>
      <w:r>
        <w:fldChar w:fldCharType="end"/>
      </w:r>
      <w:r>
        <w:fldChar w:fldCharType="end"/>
      </w:r>
    </w:p>
    <w:p w14:paraId="096095B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"_Toc233380228" </w:instrText>
      </w:r>
      <w:r>
        <w:fldChar w:fldCharType="separate"/>
      </w:r>
      <w:r>
        <w:rPr>
          <w:rStyle w:val="110"/>
        </w:rPr>
        <w:t>5.4.6地下水环境影响结论</w:t>
      </w:r>
      <w:r>
        <w:tab/>
      </w:r>
      <w:r>
        <w:fldChar w:fldCharType="begin"/>
      </w:r>
      <w:r>
        <w:instrText xml:space="preserve"> PAGEREF _Toc233380228 \h </w:instrText>
      </w:r>
      <w:r>
        <w:fldChar w:fldCharType="separate"/>
      </w:r>
      <w:r>
        <w:t>224</w:t>
      </w:r>
      <w:r>
        <w:fldChar w:fldCharType="end"/>
      </w:r>
      <w:r>
        <w:fldChar w:fldCharType="end"/>
      </w:r>
    </w:p>
    <w:p w14:paraId="595C6B24">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"_Toc233380229" </w:instrText>
      </w:r>
      <w:r>
        <w:fldChar w:fldCharType="separate"/>
      </w:r>
      <w:r>
        <w:rPr>
          <w:rStyle w:val="110"/>
        </w:rPr>
        <w:t>5.5营运期声环境影响分析</w:t>
      </w:r>
      <w:r>
        <w:tab/>
      </w:r>
      <w:r>
        <w:fldChar w:fldCharType="begin"/>
      </w:r>
      <w:r>
        <w:instrText xml:space="preserve"> PAGEREF _Toc233380229 \h </w:instrText>
      </w:r>
      <w:r>
        <w:fldChar w:fldCharType="separate"/>
      </w:r>
      <w:r>
        <w:t>225</w:t>
      </w:r>
      <w:r>
        <w:fldChar w:fldCharType="end"/>
      </w:r>
      <w:r>
        <w:fldChar w:fldCharType="end"/>
      </w:r>
    </w:p>
    <w:p w14:paraId="49871FDD">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"_Toc233380230" </w:instrText>
      </w:r>
      <w:r>
        <w:fldChar w:fldCharType="separate"/>
      </w:r>
      <w:r>
        <w:rPr>
          <w:rStyle w:val="110"/>
        </w:rPr>
        <w:t>5.6 营运期固体废物环境影响分析</w:t>
      </w:r>
      <w:r>
        <w:tab/>
      </w:r>
      <w:r>
        <w:fldChar w:fldCharType="begin"/>
      </w:r>
      <w:r>
        <w:instrText xml:space="preserve"> PAGEREF _Toc233380230 \h </w:instrText>
      </w:r>
      <w:r>
        <w:fldChar w:fldCharType="separate"/>
      </w:r>
      <w:r>
        <w:t>245</w:t>
      </w:r>
      <w:r>
        <w:fldChar w:fldCharType="end"/>
      </w:r>
      <w:r>
        <w:fldChar w:fldCharType="end"/>
      </w:r>
    </w:p>
    <w:p w14:paraId="5FDE4EAE">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"_Toc233380231" </w:instrText>
      </w:r>
      <w:r>
        <w:fldChar w:fldCharType="separate"/>
      </w:r>
      <w:r>
        <w:rPr>
          <w:rStyle w:val="110"/>
        </w:rPr>
        <w:t>5.6.1固体废物处置措施</w:t>
      </w:r>
      <w:r>
        <w:tab/>
      </w:r>
      <w:r>
        <w:fldChar w:fldCharType="begin"/>
      </w:r>
      <w:r>
        <w:instrText xml:space="preserve"> PAGEREF _Toc233380231 \h </w:instrText>
      </w:r>
      <w:r>
        <w:fldChar w:fldCharType="separate"/>
      </w:r>
      <w:r>
        <w:t>245</w:t>
      </w:r>
      <w:r>
        <w:fldChar w:fldCharType="end"/>
      </w:r>
      <w:r>
        <w:fldChar w:fldCharType="end"/>
      </w:r>
    </w:p>
    <w:p w14:paraId="6E7D4A8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"_Toc233380232" </w:instrText>
      </w:r>
      <w:r>
        <w:fldChar w:fldCharType="separate"/>
      </w:r>
      <w:r>
        <w:rPr>
          <w:rStyle w:val="110"/>
        </w:rPr>
        <w:t>5.6.2固废储存及要求</w:t>
      </w:r>
      <w:r>
        <w:tab/>
      </w:r>
      <w:r>
        <w:fldChar w:fldCharType="begin"/>
      </w:r>
      <w:r>
        <w:instrText xml:space="preserve"> PAGEREF _Toc233380232 \h </w:instrText>
      </w:r>
      <w:r>
        <w:fldChar w:fldCharType="separate"/>
      </w:r>
      <w:r>
        <w:t>245</w:t>
      </w:r>
      <w:r>
        <w:fldChar w:fldCharType="end"/>
      </w:r>
      <w:r>
        <w:fldChar w:fldCharType="end"/>
      </w:r>
    </w:p>
    <w:p w14:paraId="57A18E76">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"_Toc233380233" </w:instrText>
      </w:r>
      <w:r>
        <w:fldChar w:fldCharType="separate"/>
      </w:r>
      <w:r>
        <w:rPr>
          <w:rStyle w:val="110"/>
        </w:rPr>
        <w:t>5.7营运期土壤环境影响预测与评价</w:t>
      </w:r>
      <w:r>
        <w:tab/>
      </w:r>
      <w:r>
        <w:fldChar w:fldCharType="begin"/>
      </w:r>
      <w:r>
        <w:instrText xml:space="preserve"> PAGEREF _Toc233380233 \h </w:instrText>
      </w:r>
      <w:r>
        <w:fldChar w:fldCharType="separate"/>
      </w:r>
      <w:r>
        <w:t>252</w:t>
      </w:r>
      <w:r>
        <w:fldChar w:fldCharType="end"/>
      </w:r>
      <w:r>
        <w:fldChar w:fldCharType="end"/>
      </w:r>
    </w:p>
    <w:p w14:paraId="6BE3284B">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"_Toc233380234" </w:instrText>
      </w:r>
      <w:r>
        <w:fldChar w:fldCharType="separate"/>
      </w:r>
      <w:r>
        <w:rPr>
          <w:rStyle w:val="110"/>
        </w:rPr>
        <w:t>5.7.1总论</w:t>
      </w:r>
      <w:r>
        <w:tab/>
      </w:r>
      <w:r>
        <w:fldChar w:fldCharType="begin"/>
      </w:r>
      <w:r>
        <w:instrText xml:space="preserve"> PAGEREF _Toc233380234 \h </w:instrText>
      </w:r>
      <w:r>
        <w:fldChar w:fldCharType="separate"/>
      </w:r>
      <w:r>
        <w:t>252</w:t>
      </w:r>
      <w:r>
        <w:fldChar w:fldCharType="end"/>
      </w:r>
      <w:r>
        <w:fldChar w:fldCharType="end"/>
      </w:r>
    </w:p>
    <w:p w14:paraId="048DC6E0">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"_Toc233380235" </w:instrText>
      </w:r>
      <w:r>
        <w:fldChar w:fldCharType="separate"/>
      </w:r>
      <w:r>
        <w:rPr>
          <w:rStyle w:val="110"/>
        </w:rPr>
        <w:t>5.7.2土壤环境影响识别及评价等级</w:t>
      </w:r>
      <w:r>
        <w:tab/>
      </w:r>
      <w:r>
        <w:fldChar w:fldCharType="begin"/>
      </w:r>
      <w:r>
        <w:instrText xml:space="preserve"> PAGEREF _Toc233380235 \h </w:instrText>
      </w:r>
      <w:r>
        <w:fldChar w:fldCharType="separate"/>
      </w:r>
      <w:r>
        <w:t>253</w:t>
      </w:r>
      <w:r>
        <w:fldChar w:fldCharType="end"/>
      </w:r>
      <w:r>
        <w:fldChar w:fldCharType="end"/>
      </w:r>
    </w:p>
    <w:p w14:paraId="4E133C2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"_Toc233380236" </w:instrText>
      </w:r>
      <w:r>
        <w:fldChar w:fldCharType="separate"/>
      </w:r>
      <w:r>
        <w:rPr>
          <w:rStyle w:val="110"/>
        </w:rPr>
        <w:t>5.7.3 现状调查与评价</w:t>
      </w:r>
      <w:r>
        <w:tab/>
      </w:r>
      <w:r>
        <w:fldChar w:fldCharType="begin"/>
      </w:r>
      <w:r>
        <w:instrText xml:space="preserve"> PAGEREF _Toc233380236 \h </w:instrText>
      </w:r>
      <w:r>
        <w:fldChar w:fldCharType="separate"/>
      </w:r>
      <w:r>
        <w:t>254</w:t>
      </w:r>
      <w:r>
        <w:fldChar w:fldCharType="end"/>
      </w:r>
      <w:r>
        <w:fldChar w:fldCharType="end"/>
      </w:r>
    </w:p>
    <w:p w14:paraId="52F716D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"_Toc233380237" </w:instrText>
      </w:r>
      <w:r>
        <w:fldChar w:fldCharType="separate"/>
      </w:r>
      <w:r>
        <w:rPr>
          <w:rStyle w:val="110"/>
        </w:rPr>
        <w:t>5.7.4环境影响分析</w:t>
      </w:r>
      <w:r>
        <w:tab/>
      </w:r>
      <w:r>
        <w:fldChar w:fldCharType="begin"/>
      </w:r>
      <w:r>
        <w:instrText xml:space="preserve"> PAGEREF _Toc233380237 \h </w:instrText>
      </w:r>
      <w:r>
        <w:fldChar w:fldCharType="separate"/>
      </w:r>
      <w:r>
        <w:t>255</w:t>
      </w:r>
      <w:r>
        <w:fldChar w:fldCharType="end"/>
      </w:r>
      <w:r>
        <w:fldChar w:fldCharType="end"/>
      </w:r>
    </w:p>
    <w:p w14:paraId="6C33B67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"_Toc233380238" </w:instrText>
      </w:r>
      <w:r>
        <w:fldChar w:fldCharType="separate"/>
      </w:r>
      <w:r>
        <w:rPr>
          <w:rStyle w:val="110"/>
        </w:rPr>
        <w:t>5.7.5防治措施</w:t>
      </w:r>
      <w:r>
        <w:tab/>
      </w:r>
      <w:r>
        <w:fldChar w:fldCharType="begin"/>
      </w:r>
      <w:r>
        <w:instrText xml:space="preserve"> PAGEREF _Toc233380238 \h </w:instrText>
      </w:r>
      <w:r>
        <w:fldChar w:fldCharType="separate"/>
      </w:r>
      <w:r>
        <w:t>255</w:t>
      </w:r>
      <w:r>
        <w:fldChar w:fldCharType="end"/>
      </w:r>
      <w:r>
        <w:fldChar w:fldCharType="end"/>
      </w:r>
    </w:p>
    <w:p w14:paraId="16EC6301">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"_Toc233380239" </w:instrText>
      </w:r>
      <w:r>
        <w:fldChar w:fldCharType="separate"/>
      </w:r>
      <w:r>
        <w:rPr>
          <w:rStyle w:val="110"/>
        </w:rPr>
        <w:t>5.7.6小结</w:t>
      </w:r>
      <w:r>
        <w:tab/>
      </w:r>
      <w:r>
        <w:fldChar w:fldCharType="begin"/>
      </w:r>
      <w:r>
        <w:instrText xml:space="preserve"> PAGEREF _Toc233380239 \h </w:instrText>
      </w:r>
      <w:r>
        <w:fldChar w:fldCharType="separate"/>
      </w:r>
      <w:r>
        <w:t>256</w:t>
      </w:r>
      <w:r>
        <w:fldChar w:fldCharType="end"/>
      </w:r>
      <w:r>
        <w:fldChar w:fldCharType="end"/>
      </w:r>
    </w:p>
    <w:p w14:paraId="059EDA6F">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"_Toc233380240" </w:instrText>
      </w:r>
      <w:r>
        <w:fldChar w:fldCharType="separate"/>
      </w:r>
      <w:r>
        <w:rPr>
          <w:rStyle w:val="110"/>
        </w:rPr>
        <w:t>5.8运输环境影响分析</w:t>
      </w:r>
      <w:r>
        <w:tab/>
      </w:r>
      <w:r>
        <w:fldChar w:fldCharType="begin"/>
      </w:r>
      <w:r>
        <w:instrText xml:space="preserve"> PAGEREF _Toc233380240 \h </w:instrText>
      </w:r>
      <w:r>
        <w:fldChar w:fldCharType="separate"/>
      </w:r>
      <w:r>
        <w:t>257</w:t>
      </w:r>
      <w:r>
        <w:fldChar w:fldCharType="end"/>
      </w:r>
      <w:r>
        <w:fldChar w:fldCharType="end"/>
      </w:r>
    </w:p>
    <w:p w14:paraId="3A2E8939">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"_Toc233380241" </w:instrText>
      </w:r>
      <w:r>
        <w:fldChar w:fldCharType="separate"/>
      </w:r>
      <w:r>
        <w:rPr>
          <w:rStyle w:val="110"/>
        </w:rPr>
        <w:t>5.8.1运输过程环境影响</w:t>
      </w:r>
      <w:r>
        <w:tab/>
      </w:r>
      <w:r>
        <w:fldChar w:fldCharType="begin"/>
      </w:r>
      <w:r>
        <w:instrText xml:space="preserve"> PAGEREF _Toc233380241 \h </w:instrText>
      </w:r>
      <w:r>
        <w:fldChar w:fldCharType="separate"/>
      </w:r>
      <w:r>
        <w:t>257</w:t>
      </w:r>
      <w:r>
        <w:fldChar w:fldCharType="end"/>
      </w:r>
      <w:r>
        <w:fldChar w:fldCharType="end"/>
      </w:r>
    </w:p>
    <w:p w14:paraId="265332B0">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"_Toc233380242" </w:instrText>
      </w:r>
      <w:r>
        <w:fldChar w:fldCharType="separate"/>
      </w:r>
      <w:r>
        <w:rPr>
          <w:rStyle w:val="110"/>
        </w:rPr>
        <w:t>5.8.2运输污染防治措施可行性分析</w:t>
      </w:r>
      <w:r>
        <w:tab/>
      </w:r>
      <w:r>
        <w:fldChar w:fldCharType="begin"/>
      </w:r>
      <w:r>
        <w:instrText xml:space="preserve"> PAGEREF _Toc233380242 \h </w:instrText>
      </w:r>
      <w:r>
        <w:fldChar w:fldCharType="separate"/>
      </w:r>
      <w:r>
        <w:t>258</w:t>
      </w:r>
      <w:r>
        <w:fldChar w:fldCharType="end"/>
      </w:r>
      <w:r>
        <w:fldChar w:fldCharType="end"/>
      </w:r>
    </w:p>
    <w:p w14:paraId="60CC61C0">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"_Toc233380243" </w:instrText>
      </w:r>
      <w:r>
        <w:fldChar w:fldCharType="separate"/>
      </w:r>
      <w:r>
        <w:rPr>
          <w:rStyle w:val="110"/>
        </w:rPr>
        <w:t>5.9生态环境的影响分析</w:t>
      </w:r>
      <w:r>
        <w:tab/>
      </w:r>
      <w:r>
        <w:fldChar w:fldCharType="begin"/>
      </w:r>
      <w:r>
        <w:instrText xml:space="preserve"> PAGEREF _Toc233380243 \h </w:instrText>
      </w:r>
      <w:r>
        <w:fldChar w:fldCharType="separate"/>
      </w:r>
      <w:r>
        <w:t>259</w:t>
      </w:r>
      <w:r>
        <w:fldChar w:fldCharType="end"/>
      </w:r>
      <w:r>
        <w:fldChar w:fldCharType="end"/>
      </w:r>
    </w:p>
    <w:p w14:paraId="1BCEFE7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"_Toc233380244" </w:instrText>
      </w:r>
      <w:r>
        <w:fldChar w:fldCharType="separate"/>
      </w:r>
      <w:r>
        <w:rPr>
          <w:rStyle w:val="110"/>
        </w:rPr>
        <w:t>5.9.1生态影响</w:t>
      </w:r>
      <w:r>
        <w:tab/>
      </w:r>
      <w:r>
        <w:fldChar w:fldCharType="begin"/>
      </w:r>
      <w:r>
        <w:instrText xml:space="preserve"> PAGEREF _Toc233380244 \h </w:instrText>
      </w:r>
      <w:r>
        <w:fldChar w:fldCharType="separate"/>
      </w:r>
      <w:r>
        <w:t>259</w:t>
      </w:r>
      <w:r>
        <w:fldChar w:fldCharType="end"/>
      </w:r>
      <w:r>
        <w:fldChar w:fldCharType="end"/>
      </w:r>
    </w:p>
    <w:p w14:paraId="6F04A41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"_Toc233380245" </w:instrText>
      </w:r>
      <w:r>
        <w:fldChar w:fldCharType="separate"/>
      </w:r>
      <w:r>
        <w:rPr>
          <w:rStyle w:val="110"/>
        </w:rPr>
        <w:t>5.9.2生态保护措施</w:t>
      </w:r>
      <w:r>
        <w:tab/>
      </w:r>
      <w:r>
        <w:fldChar w:fldCharType="begin"/>
      </w:r>
      <w:r>
        <w:instrText xml:space="preserve"> PAGEREF _Toc233380245 \h </w:instrText>
      </w:r>
      <w:r>
        <w:fldChar w:fldCharType="separate"/>
      </w:r>
      <w:r>
        <w:t>260</w:t>
      </w:r>
      <w:r>
        <w:fldChar w:fldCharType="end"/>
      </w:r>
      <w:r>
        <w:fldChar w:fldCharType="end"/>
      </w:r>
    </w:p>
    <w:p w14:paraId="2017310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"_Toc233380246" </w:instrText>
      </w:r>
      <w:r>
        <w:fldChar w:fldCharType="separate"/>
      </w:r>
      <w:r>
        <w:rPr>
          <w:rStyle w:val="110"/>
        </w:rPr>
        <w:t>5.9.3服务期满后复垦要求</w:t>
      </w:r>
      <w:r>
        <w:tab/>
      </w:r>
      <w:r>
        <w:fldChar w:fldCharType="begin"/>
      </w:r>
      <w:r>
        <w:instrText xml:space="preserve"> PAGEREF _Toc233380246 \h </w:instrText>
      </w:r>
      <w:r>
        <w:fldChar w:fldCharType="separate"/>
      </w:r>
      <w:r>
        <w:t>261</w:t>
      </w:r>
      <w:r>
        <w:fldChar w:fldCharType="end"/>
      </w:r>
      <w:r>
        <w:fldChar w:fldCharType="end"/>
      </w:r>
    </w:p>
    <w:p w14:paraId="34C01E47">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"_Toc233380247" </w:instrText>
      </w:r>
      <w:r>
        <w:fldChar w:fldCharType="separate"/>
      </w:r>
      <w:r>
        <w:rPr>
          <w:rStyle w:val="110"/>
        </w:rPr>
        <w:t>5.9.4生态环境影响评价小结</w:t>
      </w:r>
      <w:r>
        <w:tab/>
      </w:r>
      <w:r>
        <w:fldChar w:fldCharType="begin"/>
      </w:r>
      <w:r>
        <w:instrText xml:space="preserve"> PAGEREF _Toc233380247 \h </w:instrText>
      </w:r>
      <w:r>
        <w:fldChar w:fldCharType="separate"/>
      </w:r>
      <w:r>
        <w:t>261</w:t>
      </w:r>
      <w:r>
        <w:fldChar w:fldCharType="end"/>
      </w:r>
      <w:r>
        <w:fldChar w:fldCharType="end"/>
      </w:r>
    </w:p>
    <w:p w14:paraId="495649A2">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"_Toc233380248" </w:instrText>
      </w:r>
      <w:r>
        <w:fldChar w:fldCharType="separate"/>
      </w:r>
      <w:r>
        <w:rPr>
          <w:rStyle w:val="110"/>
        </w:rPr>
        <w:t>5.10社会影响分析</w:t>
      </w:r>
      <w:r>
        <w:tab/>
      </w:r>
      <w:r>
        <w:fldChar w:fldCharType="begin"/>
      </w:r>
      <w:r>
        <w:instrText xml:space="preserve"> PAGEREF _Toc233380248 \h </w:instrText>
      </w:r>
      <w:r>
        <w:fldChar w:fldCharType="separate"/>
      </w:r>
      <w:r>
        <w:t>262</w:t>
      </w:r>
      <w:r>
        <w:fldChar w:fldCharType="end"/>
      </w:r>
      <w:r>
        <w:fldChar w:fldCharType="end"/>
      </w:r>
    </w:p>
    <w:p w14:paraId="0E539C67">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"_Toc233380249" </w:instrText>
      </w:r>
      <w:r>
        <w:fldChar w:fldCharType="separate"/>
      </w:r>
      <w:r>
        <w:rPr>
          <w:rStyle w:val="110"/>
        </w:rPr>
        <w:t>6环境风险分析</w:t>
      </w:r>
      <w:r>
        <w:tab/>
      </w:r>
      <w:r>
        <w:fldChar w:fldCharType="begin"/>
      </w:r>
      <w:r>
        <w:instrText xml:space="preserve"> PAGEREF _Toc233380249 \h </w:instrText>
      </w:r>
      <w:r>
        <w:fldChar w:fldCharType="separate"/>
      </w:r>
      <w:r>
        <w:t>264</w:t>
      </w:r>
      <w:r>
        <w:fldChar w:fldCharType="end"/>
      </w:r>
      <w:r>
        <w:fldChar w:fldCharType="end"/>
      </w:r>
    </w:p>
    <w:p w14:paraId="38A3D903">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"_Toc233380250" </w:instrText>
      </w:r>
      <w:r>
        <w:fldChar w:fldCharType="separate"/>
      </w:r>
      <w:r>
        <w:rPr>
          <w:rStyle w:val="110"/>
        </w:rPr>
        <w:t>6.1评价目的</w:t>
      </w:r>
      <w:r>
        <w:tab/>
      </w:r>
      <w:r>
        <w:fldChar w:fldCharType="begin"/>
      </w:r>
      <w:r>
        <w:instrText xml:space="preserve"> PAGEREF _Toc233380250 \h </w:instrText>
      </w:r>
      <w:r>
        <w:fldChar w:fldCharType="separate"/>
      </w:r>
      <w:r>
        <w:t>264</w:t>
      </w:r>
      <w:r>
        <w:fldChar w:fldCharType="end"/>
      </w:r>
      <w:r>
        <w:fldChar w:fldCharType="end"/>
      </w:r>
    </w:p>
    <w:p w14:paraId="00C90769">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"_Toc233380251" </w:instrText>
      </w:r>
      <w:r>
        <w:fldChar w:fldCharType="separate"/>
      </w:r>
      <w:r>
        <w:rPr>
          <w:rStyle w:val="110"/>
        </w:rPr>
        <w:t>6.2风险潜势初判</w:t>
      </w:r>
      <w:r>
        <w:tab/>
      </w:r>
      <w:r>
        <w:fldChar w:fldCharType="begin"/>
      </w:r>
      <w:r>
        <w:instrText xml:space="preserve"> PAGEREF _Toc233380251 \h </w:instrText>
      </w:r>
      <w:r>
        <w:fldChar w:fldCharType="separate"/>
      </w:r>
      <w:r>
        <w:t>265</w:t>
      </w:r>
      <w:r>
        <w:fldChar w:fldCharType="end"/>
      </w:r>
      <w:r>
        <w:fldChar w:fldCharType="end"/>
      </w:r>
    </w:p>
    <w:p w14:paraId="3B2DE6E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"_Toc233380252" </w:instrText>
      </w:r>
      <w:r>
        <w:fldChar w:fldCharType="separate"/>
      </w:r>
      <w:r>
        <w:rPr>
          <w:rStyle w:val="110"/>
        </w:rPr>
        <w:t>6.2.1危险物质</w:t>
      </w:r>
      <w:r>
        <w:tab/>
      </w:r>
      <w:r>
        <w:fldChar w:fldCharType="begin"/>
      </w:r>
      <w:r>
        <w:instrText xml:space="preserve"> PAGEREF _Toc233380252 \h </w:instrText>
      </w:r>
      <w:r>
        <w:fldChar w:fldCharType="separate"/>
      </w:r>
      <w:r>
        <w:t>265</w:t>
      </w:r>
      <w:r>
        <w:fldChar w:fldCharType="end"/>
      </w:r>
      <w:r>
        <w:fldChar w:fldCharType="end"/>
      </w:r>
    </w:p>
    <w:p w14:paraId="6B00797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"_Toc233380253" </w:instrText>
      </w:r>
      <w:r>
        <w:fldChar w:fldCharType="separate"/>
      </w:r>
      <w:r>
        <w:rPr>
          <w:rStyle w:val="110"/>
        </w:rPr>
        <w:t>6.2.2 Q值的确定</w:t>
      </w:r>
      <w:r>
        <w:tab/>
      </w:r>
      <w:r>
        <w:fldChar w:fldCharType="begin"/>
      </w:r>
      <w:r>
        <w:instrText xml:space="preserve"> PAGEREF _Toc233380253 \h </w:instrText>
      </w:r>
      <w:r>
        <w:fldChar w:fldCharType="separate"/>
      </w:r>
      <w:r>
        <w:t>265</w:t>
      </w:r>
      <w:r>
        <w:fldChar w:fldCharType="end"/>
      </w:r>
      <w:r>
        <w:fldChar w:fldCharType="end"/>
      </w:r>
    </w:p>
    <w:p w14:paraId="0C3FF8F0">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"_Toc233380254" </w:instrText>
      </w:r>
      <w:r>
        <w:fldChar w:fldCharType="separate"/>
      </w:r>
      <w:r>
        <w:rPr>
          <w:rStyle w:val="110"/>
        </w:rPr>
        <w:t>6.2.3环境风险潜势</w:t>
      </w:r>
      <w:r>
        <w:tab/>
      </w:r>
      <w:r>
        <w:fldChar w:fldCharType="begin"/>
      </w:r>
      <w:r>
        <w:instrText xml:space="preserve"> PAGEREF _Toc233380254 \h </w:instrText>
      </w:r>
      <w:r>
        <w:fldChar w:fldCharType="separate"/>
      </w:r>
      <w:r>
        <w:t>266</w:t>
      </w:r>
      <w:r>
        <w:fldChar w:fldCharType="end"/>
      </w:r>
      <w:r>
        <w:fldChar w:fldCharType="end"/>
      </w:r>
    </w:p>
    <w:p w14:paraId="0D3DBFAB">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"_Toc233380255" </w:instrText>
      </w:r>
      <w:r>
        <w:fldChar w:fldCharType="separate"/>
      </w:r>
      <w:r>
        <w:rPr>
          <w:rStyle w:val="110"/>
        </w:rPr>
        <w:t>6.3环境风险评价等级、范围</w:t>
      </w:r>
      <w:r>
        <w:tab/>
      </w:r>
      <w:r>
        <w:fldChar w:fldCharType="begin"/>
      </w:r>
      <w:r>
        <w:instrText xml:space="preserve"> PAGEREF _Toc233380255 \h </w:instrText>
      </w:r>
      <w:r>
        <w:fldChar w:fldCharType="separate"/>
      </w:r>
      <w:r>
        <w:t>266</w:t>
      </w:r>
      <w:r>
        <w:fldChar w:fldCharType="end"/>
      </w:r>
      <w:r>
        <w:fldChar w:fldCharType="end"/>
      </w:r>
    </w:p>
    <w:p w14:paraId="14EECA9B">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"_Toc233380256" </w:instrText>
      </w:r>
      <w:r>
        <w:fldChar w:fldCharType="separate"/>
      </w:r>
      <w:r>
        <w:rPr>
          <w:rStyle w:val="110"/>
        </w:rPr>
        <w:t>6.3.1 项目风险评价等级</w:t>
      </w:r>
      <w:r>
        <w:tab/>
      </w:r>
      <w:r>
        <w:fldChar w:fldCharType="begin"/>
      </w:r>
      <w:r>
        <w:instrText xml:space="preserve"> PAGEREF _Toc233380256 \h </w:instrText>
      </w:r>
      <w:r>
        <w:fldChar w:fldCharType="separate"/>
      </w:r>
      <w:r>
        <w:t>266</w:t>
      </w:r>
      <w:r>
        <w:fldChar w:fldCharType="end"/>
      </w:r>
      <w:r>
        <w:fldChar w:fldCharType="end"/>
      </w:r>
    </w:p>
    <w:p w14:paraId="27DF5AB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"_Toc233380257" </w:instrText>
      </w:r>
      <w:r>
        <w:fldChar w:fldCharType="separate"/>
      </w:r>
      <w:r>
        <w:rPr>
          <w:rStyle w:val="110"/>
        </w:rPr>
        <w:t>6.3.2 评价范围</w:t>
      </w:r>
      <w:r>
        <w:tab/>
      </w:r>
      <w:r>
        <w:fldChar w:fldCharType="begin"/>
      </w:r>
      <w:r>
        <w:instrText xml:space="preserve"> PAGEREF _Toc233380257 \h </w:instrText>
      </w:r>
      <w:r>
        <w:fldChar w:fldCharType="separate"/>
      </w:r>
      <w:r>
        <w:t>266</w:t>
      </w:r>
      <w:r>
        <w:fldChar w:fldCharType="end"/>
      </w:r>
      <w:r>
        <w:fldChar w:fldCharType="end"/>
      </w:r>
    </w:p>
    <w:p w14:paraId="3EA850CF">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"_Toc233380258" </w:instrText>
      </w:r>
      <w:r>
        <w:fldChar w:fldCharType="separate"/>
      </w:r>
      <w:r>
        <w:rPr>
          <w:rStyle w:val="110"/>
        </w:rPr>
        <w:t>6.4 项目风险识别</w:t>
      </w:r>
      <w:r>
        <w:tab/>
      </w:r>
      <w:r>
        <w:fldChar w:fldCharType="begin"/>
      </w:r>
      <w:r>
        <w:instrText xml:space="preserve"> PAGEREF _Toc233380258 \h </w:instrText>
      </w:r>
      <w:r>
        <w:fldChar w:fldCharType="separate"/>
      </w:r>
      <w:r>
        <w:t>266</w:t>
      </w:r>
      <w:r>
        <w:fldChar w:fldCharType="end"/>
      </w:r>
      <w:r>
        <w:fldChar w:fldCharType="end"/>
      </w:r>
    </w:p>
    <w:p w14:paraId="5A30FAB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"_Toc233380259" </w:instrText>
      </w:r>
      <w:r>
        <w:fldChar w:fldCharType="separate"/>
      </w:r>
      <w:r>
        <w:rPr>
          <w:rStyle w:val="110"/>
        </w:rPr>
        <w:t>6.4.1 物质风险识别</w:t>
      </w:r>
      <w:r>
        <w:tab/>
      </w:r>
      <w:r>
        <w:fldChar w:fldCharType="begin"/>
      </w:r>
      <w:r>
        <w:instrText xml:space="preserve"> PAGEREF _Toc233380259 \h </w:instrText>
      </w:r>
      <w:r>
        <w:fldChar w:fldCharType="separate"/>
      </w:r>
      <w:r>
        <w:t>267</w:t>
      </w:r>
      <w:r>
        <w:fldChar w:fldCharType="end"/>
      </w:r>
      <w:r>
        <w:fldChar w:fldCharType="end"/>
      </w:r>
    </w:p>
    <w:p w14:paraId="240F902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"_Toc233380260" </w:instrText>
      </w:r>
      <w:r>
        <w:fldChar w:fldCharType="separate"/>
      </w:r>
      <w:r>
        <w:rPr>
          <w:rStyle w:val="110"/>
        </w:rPr>
        <w:t>6.4.2生产过程风险识别</w:t>
      </w:r>
      <w:r>
        <w:tab/>
      </w:r>
      <w:r>
        <w:fldChar w:fldCharType="begin"/>
      </w:r>
      <w:r>
        <w:instrText xml:space="preserve"> PAGEREF _Toc233380260 \h </w:instrText>
      </w:r>
      <w:r>
        <w:fldChar w:fldCharType="separate"/>
      </w:r>
      <w:r>
        <w:t>269</w:t>
      </w:r>
      <w:r>
        <w:fldChar w:fldCharType="end"/>
      </w:r>
      <w:r>
        <w:fldChar w:fldCharType="end"/>
      </w:r>
    </w:p>
    <w:p w14:paraId="041924A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"_Toc233380261" </w:instrText>
      </w:r>
      <w:r>
        <w:fldChar w:fldCharType="separate"/>
      </w:r>
      <w:r>
        <w:rPr>
          <w:rStyle w:val="110"/>
        </w:rPr>
        <w:t>6.4.3公用工程风险识别</w:t>
      </w:r>
      <w:r>
        <w:tab/>
      </w:r>
      <w:r>
        <w:fldChar w:fldCharType="begin"/>
      </w:r>
      <w:r>
        <w:instrText xml:space="preserve"> PAGEREF _Toc233380261 \h </w:instrText>
      </w:r>
      <w:r>
        <w:fldChar w:fldCharType="separate"/>
      </w:r>
      <w:r>
        <w:t>270</w:t>
      </w:r>
      <w:r>
        <w:fldChar w:fldCharType="end"/>
      </w:r>
      <w:r>
        <w:fldChar w:fldCharType="end"/>
      </w:r>
    </w:p>
    <w:p w14:paraId="53A0966D">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"_Toc233380262" </w:instrText>
      </w:r>
      <w:r>
        <w:fldChar w:fldCharType="separate"/>
      </w:r>
      <w:r>
        <w:rPr>
          <w:rStyle w:val="110"/>
        </w:rPr>
        <w:t>6.5环境风险分析</w:t>
      </w:r>
      <w:r>
        <w:tab/>
      </w:r>
      <w:r>
        <w:fldChar w:fldCharType="begin"/>
      </w:r>
      <w:r>
        <w:instrText xml:space="preserve"> PAGEREF _Toc233380262 \h </w:instrText>
      </w:r>
      <w:r>
        <w:fldChar w:fldCharType="separate"/>
      </w:r>
      <w:r>
        <w:t>270</w:t>
      </w:r>
      <w:r>
        <w:fldChar w:fldCharType="end"/>
      </w:r>
      <w:r>
        <w:fldChar w:fldCharType="end"/>
      </w:r>
    </w:p>
    <w:p w14:paraId="52B7B96D">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"_Toc233380263" </w:instrText>
      </w:r>
      <w:r>
        <w:fldChar w:fldCharType="separate"/>
      </w:r>
      <w:r>
        <w:rPr>
          <w:rStyle w:val="110"/>
        </w:rPr>
        <w:t>6.6环境风险防范措施及应急要求</w:t>
      </w:r>
      <w:r>
        <w:tab/>
      </w:r>
      <w:r>
        <w:fldChar w:fldCharType="begin"/>
      </w:r>
      <w:r>
        <w:instrText xml:space="preserve"> PAGEREF _Toc233380263 \h </w:instrText>
      </w:r>
      <w:r>
        <w:fldChar w:fldCharType="separate"/>
      </w:r>
      <w:r>
        <w:t>273</w:t>
      </w:r>
      <w:r>
        <w:fldChar w:fldCharType="end"/>
      </w:r>
      <w:r>
        <w:fldChar w:fldCharType="end"/>
      </w:r>
    </w:p>
    <w:p w14:paraId="6D515EAA">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"_Toc233380264" </w:instrText>
      </w:r>
      <w:r>
        <w:fldChar w:fldCharType="separate"/>
      </w:r>
      <w:r>
        <w:rPr>
          <w:rStyle w:val="110"/>
        </w:rPr>
        <w:t>6.7风险事故应急预案</w:t>
      </w:r>
      <w:r>
        <w:tab/>
      </w:r>
      <w:r>
        <w:fldChar w:fldCharType="begin"/>
      </w:r>
      <w:r>
        <w:instrText xml:space="preserve"> PAGEREF _Toc233380264 \h </w:instrText>
      </w:r>
      <w:r>
        <w:fldChar w:fldCharType="separate"/>
      </w:r>
      <w:r>
        <w:t>276</w:t>
      </w:r>
      <w:r>
        <w:fldChar w:fldCharType="end"/>
      </w:r>
      <w:r>
        <w:fldChar w:fldCharType="end"/>
      </w:r>
    </w:p>
    <w:p w14:paraId="65A99851">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"_Toc233380265" </w:instrText>
      </w:r>
      <w:r>
        <w:fldChar w:fldCharType="separate"/>
      </w:r>
      <w:r>
        <w:rPr>
          <w:rStyle w:val="110"/>
        </w:rPr>
        <w:t>6.8风险评价结论</w:t>
      </w:r>
      <w:r>
        <w:tab/>
      </w:r>
      <w:r>
        <w:fldChar w:fldCharType="begin"/>
      </w:r>
      <w:r>
        <w:instrText xml:space="preserve"> PAGEREF _Toc233380265 \h </w:instrText>
      </w:r>
      <w:r>
        <w:fldChar w:fldCharType="separate"/>
      </w:r>
      <w:r>
        <w:t>278</w:t>
      </w:r>
      <w:r>
        <w:fldChar w:fldCharType="end"/>
      </w:r>
      <w:r>
        <w:fldChar w:fldCharType="end"/>
      </w:r>
    </w:p>
    <w:p w14:paraId="36453F4E">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"_Toc233380266" </w:instrText>
      </w:r>
      <w:r>
        <w:fldChar w:fldCharType="separate"/>
      </w:r>
      <w:r>
        <w:rPr>
          <w:rStyle w:val="110"/>
        </w:rPr>
        <w:t>7 污染治理措施技术经济论证</w:t>
      </w:r>
      <w:r>
        <w:tab/>
      </w:r>
      <w:r>
        <w:fldChar w:fldCharType="begin"/>
      </w:r>
      <w:r>
        <w:instrText xml:space="preserve"> PAGEREF _Toc233380266 \h </w:instrText>
      </w:r>
      <w:r>
        <w:fldChar w:fldCharType="separate"/>
      </w:r>
      <w:r>
        <w:t>281</w:t>
      </w:r>
      <w:r>
        <w:fldChar w:fldCharType="end"/>
      </w:r>
      <w:r>
        <w:fldChar w:fldCharType="end"/>
      </w:r>
    </w:p>
    <w:p w14:paraId="199A720C">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"_Toc233380267" </w:instrText>
      </w:r>
      <w:r>
        <w:fldChar w:fldCharType="separate"/>
      </w:r>
      <w:r>
        <w:rPr>
          <w:rStyle w:val="110"/>
        </w:rPr>
        <w:t>7.1施工期环境保护措施及其可行性论证</w:t>
      </w:r>
      <w:r>
        <w:tab/>
      </w:r>
      <w:r>
        <w:fldChar w:fldCharType="begin"/>
      </w:r>
      <w:r>
        <w:instrText xml:space="preserve"> PAGEREF _Toc233380267 \h </w:instrText>
      </w:r>
      <w:r>
        <w:fldChar w:fldCharType="separate"/>
      </w:r>
      <w:r>
        <w:t>281</w:t>
      </w:r>
      <w:r>
        <w:fldChar w:fldCharType="end"/>
      </w:r>
      <w:r>
        <w:fldChar w:fldCharType="end"/>
      </w:r>
    </w:p>
    <w:p w14:paraId="5516009D">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"_Toc233380268" </w:instrText>
      </w:r>
      <w:r>
        <w:fldChar w:fldCharType="separate"/>
      </w:r>
      <w:r>
        <w:rPr>
          <w:rStyle w:val="110"/>
        </w:rPr>
        <w:t>7.1.1施工期废气防治措施论证</w:t>
      </w:r>
      <w:r>
        <w:tab/>
      </w:r>
      <w:r>
        <w:fldChar w:fldCharType="begin"/>
      </w:r>
      <w:r>
        <w:instrText xml:space="preserve"> PAGEREF _Toc233380268 \h </w:instrText>
      </w:r>
      <w:r>
        <w:fldChar w:fldCharType="separate"/>
      </w:r>
      <w:r>
        <w:t>281</w:t>
      </w:r>
      <w:r>
        <w:fldChar w:fldCharType="end"/>
      </w:r>
      <w:r>
        <w:fldChar w:fldCharType="end"/>
      </w:r>
    </w:p>
    <w:p w14:paraId="48226119">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"_Toc233380269" </w:instrText>
      </w:r>
      <w:r>
        <w:fldChar w:fldCharType="separate"/>
      </w:r>
      <w:r>
        <w:rPr>
          <w:rStyle w:val="110"/>
        </w:rPr>
        <w:t>7.1.2施工期废水防治措施论证</w:t>
      </w:r>
      <w:r>
        <w:tab/>
      </w:r>
      <w:r>
        <w:fldChar w:fldCharType="begin"/>
      </w:r>
      <w:r>
        <w:instrText xml:space="preserve"> PAGEREF _Toc233380269 \h </w:instrText>
      </w:r>
      <w:r>
        <w:fldChar w:fldCharType="separate"/>
      </w:r>
      <w:r>
        <w:t>281</w:t>
      </w:r>
      <w:r>
        <w:fldChar w:fldCharType="end"/>
      </w:r>
      <w:r>
        <w:fldChar w:fldCharType="end"/>
      </w:r>
    </w:p>
    <w:p w14:paraId="69F3E2A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"_Toc233380270" </w:instrText>
      </w:r>
      <w:r>
        <w:fldChar w:fldCharType="separate"/>
      </w:r>
      <w:r>
        <w:rPr>
          <w:rStyle w:val="110"/>
        </w:rPr>
        <w:t>7.1.3施工期噪声防治措施论证</w:t>
      </w:r>
      <w:r>
        <w:tab/>
      </w:r>
      <w:r>
        <w:fldChar w:fldCharType="begin"/>
      </w:r>
      <w:r>
        <w:instrText xml:space="preserve"> PAGEREF _Toc233380270 \h </w:instrText>
      </w:r>
      <w:r>
        <w:fldChar w:fldCharType="separate"/>
      </w:r>
      <w:r>
        <w:t>282</w:t>
      </w:r>
      <w:r>
        <w:fldChar w:fldCharType="end"/>
      </w:r>
      <w:r>
        <w:fldChar w:fldCharType="end"/>
      </w:r>
    </w:p>
    <w:p w14:paraId="4C4B3A6C">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"_Toc233380271" </w:instrText>
      </w:r>
      <w:r>
        <w:fldChar w:fldCharType="separate"/>
      </w:r>
      <w:r>
        <w:rPr>
          <w:rStyle w:val="110"/>
        </w:rPr>
        <w:t>7.1.4施工期固废处置措施论证</w:t>
      </w:r>
      <w:r>
        <w:tab/>
      </w:r>
      <w:r>
        <w:fldChar w:fldCharType="begin"/>
      </w:r>
      <w:r>
        <w:instrText xml:space="preserve"> PAGEREF _Toc233380271 \h </w:instrText>
      </w:r>
      <w:r>
        <w:fldChar w:fldCharType="separate"/>
      </w:r>
      <w:r>
        <w:t>282</w:t>
      </w:r>
      <w:r>
        <w:fldChar w:fldCharType="end"/>
      </w:r>
      <w:r>
        <w:fldChar w:fldCharType="end"/>
      </w:r>
    </w:p>
    <w:p w14:paraId="7D0D109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"_Toc233380272" </w:instrText>
      </w:r>
      <w:r>
        <w:fldChar w:fldCharType="separate"/>
      </w:r>
      <w:r>
        <w:rPr>
          <w:rStyle w:val="110"/>
        </w:rPr>
        <w:t>7.1.5施工期生态环境保护措施论证</w:t>
      </w:r>
      <w:r>
        <w:tab/>
      </w:r>
      <w:r>
        <w:fldChar w:fldCharType="begin"/>
      </w:r>
      <w:r>
        <w:instrText xml:space="preserve"> PAGEREF _Toc233380272 \h </w:instrText>
      </w:r>
      <w:r>
        <w:fldChar w:fldCharType="separate"/>
      </w:r>
      <w:r>
        <w:t>282</w:t>
      </w:r>
      <w:r>
        <w:fldChar w:fldCharType="end"/>
      </w:r>
      <w:r>
        <w:fldChar w:fldCharType="end"/>
      </w:r>
    </w:p>
    <w:p w14:paraId="79420BAD">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"_Toc233380273" </w:instrText>
      </w:r>
      <w:r>
        <w:fldChar w:fldCharType="separate"/>
      </w:r>
      <w:r>
        <w:rPr>
          <w:rStyle w:val="110"/>
        </w:rPr>
        <w:t>7.2运营期环境保护措施及其可行性论证</w:t>
      </w:r>
      <w:r>
        <w:tab/>
      </w:r>
      <w:r>
        <w:fldChar w:fldCharType="begin"/>
      </w:r>
      <w:r>
        <w:instrText xml:space="preserve"> PAGEREF _Toc233380273 \h </w:instrText>
      </w:r>
      <w:r>
        <w:fldChar w:fldCharType="separate"/>
      </w:r>
      <w:r>
        <w:t>283</w:t>
      </w:r>
      <w:r>
        <w:fldChar w:fldCharType="end"/>
      </w:r>
      <w:r>
        <w:fldChar w:fldCharType="end"/>
      </w:r>
    </w:p>
    <w:p w14:paraId="75C6ED3F">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"_Toc233380274" </w:instrText>
      </w:r>
      <w:r>
        <w:fldChar w:fldCharType="separate"/>
      </w:r>
      <w:r>
        <w:rPr>
          <w:rStyle w:val="110"/>
        </w:rPr>
        <w:t>7.2.1 大气污染防治措施可行性分析</w:t>
      </w:r>
      <w:r>
        <w:tab/>
      </w:r>
      <w:r>
        <w:fldChar w:fldCharType="begin"/>
      </w:r>
      <w:r>
        <w:instrText xml:space="preserve"> PAGEREF _Toc233380274 \h </w:instrText>
      </w:r>
      <w:r>
        <w:fldChar w:fldCharType="separate"/>
      </w:r>
      <w:r>
        <w:t>283</w:t>
      </w:r>
      <w:r>
        <w:fldChar w:fldCharType="end"/>
      </w:r>
      <w:r>
        <w:fldChar w:fldCharType="end"/>
      </w:r>
    </w:p>
    <w:p w14:paraId="6B887E6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"_Toc233380275" </w:instrText>
      </w:r>
      <w:r>
        <w:fldChar w:fldCharType="separate"/>
      </w:r>
      <w:r>
        <w:rPr>
          <w:rStyle w:val="110"/>
        </w:rPr>
        <w:t>7.2.2废水污染防治措施可行性分析</w:t>
      </w:r>
      <w:r>
        <w:tab/>
      </w:r>
      <w:r>
        <w:fldChar w:fldCharType="begin"/>
      </w:r>
      <w:r>
        <w:instrText xml:space="preserve"> PAGEREF _Toc233380275 \h </w:instrText>
      </w:r>
      <w:r>
        <w:fldChar w:fldCharType="separate"/>
      </w:r>
      <w:r>
        <w:t>287</w:t>
      </w:r>
      <w:r>
        <w:fldChar w:fldCharType="end"/>
      </w:r>
      <w:r>
        <w:fldChar w:fldCharType="end"/>
      </w:r>
    </w:p>
    <w:p w14:paraId="6E65FA4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"_Toc233380276" </w:instrText>
      </w:r>
      <w:r>
        <w:fldChar w:fldCharType="separate"/>
      </w:r>
      <w:r>
        <w:rPr>
          <w:rStyle w:val="110"/>
        </w:rPr>
        <w:t>7.2.3 噪声防治措施及可行性分析</w:t>
      </w:r>
      <w:r>
        <w:tab/>
      </w:r>
      <w:r>
        <w:fldChar w:fldCharType="begin"/>
      </w:r>
      <w:r>
        <w:instrText xml:space="preserve"> PAGEREF _Toc233380276 \h </w:instrText>
      </w:r>
      <w:r>
        <w:fldChar w:fldCharType="separate"/>
      </w:r>
      <w:r>
        <w:t>287</w:t>
      </w:r>
      <w:r>
        <w:fldChar w:fldCharType="end"/>
      </w:r>
      <w:r>
        <w:fldChar w:fldCharType="end"/>
      </w:r>
    </w:p>
    <w:p w14:paraId="593F4CEF">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"_Toc233380277" </w:instrText>
      </w:r>
      <w:r>
        <w:fldChar w:fldCharType="separate"/>
      </w:r>
      <w:r>
        <w:rPr>
          <w:rStyle w:val="110"/>
        </w:rPr>
        <w:t>7.2.4固体废物的处置措施及可行性论证</w:t>
      </w:r>
      <w:r>
        <w:tab/>
      </w:r>
      <w:r>
        <w:fldChar w:fldCharType="begin"/>
      </w:r>
      <w:r>
        <w:instrText xml:space="preserve"> PAGEREF _Toc233380277 \h </w:instrText>
      </w:r>
      <w:r>
        <w:fldChar w:fldCharType="separate"/>
      </w:r>
      <w:r>
        <w:t>288</w:t>
      </w:r>
      <w:r>
        <w:fldChar w:fldCharType="end"/>
      </w:r>
      <w:r>
        <w:fldChar w:fldCharType="end"/>
      </w:r>
    </w:p>
    <w:p w14:paraId="6C775040">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"_Toc233380278" </w:instrText>
      </w:r>
      <w:r>
        <w:fldChar w:fldCharType="separate"/>
      </w:r>
      <w:r>
        <w:rPr>
          <w:rStyle w:val="110"/>
        </w:rPr>
        <w:t>7.2.5地下水污染防治措施及可行性论证</w:t>
      </w:r>
      <w:r>
        <w:tab/>
      </w:r>
      <w:r>
        <w:fldChar w:fldCharType="begin"/>
      </w:r>
      <w:r>
        <w:instrText xml:space="preserve"> PAGEREF _Toc233380278 \h </w:instrText>
      </w:r>
      <w:r>
        <w:fldChar w:fldCharType="separate"/>
      </w:r>
      <w:r>
        <w:t>291</w:t>
      </w:r>
      <w:r>
        <w:fldChar w:fldCharType="end"/>
      </w:r>
      <w:r>
        <w:fldChar w:fldCharType="end"/>
      </w:r>
    </w:p>
    <w:p w14:paraId="384EA8E0">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"_Toc233380279" </w:instrText>
      </w:r>
      <w:r>
        <w:fldChar w:fldCharType="separate"/>
      </w:r>
      <w:r>
        <w:rPr>
          <w:rStyle w:val="110"/>
        </w:rPr>
        <w:t>7.3 环保投资估算及竣工验收内容</w:t>
      </w:r>
      <w:r>
        <w:tab/>
      </w:r>
      <w:r>
        <w:fldChar w:fldCharType="begin"/>
      </w:r>
      <w:r>
        <w:instrText xml:space="preserve"> PAGEREF _Toc233380279 \h </w:instrText>
      </w:r>
      <w:r>
        <w:fldChar w:fldCharType="separate"/>
      </w:r>
      <w:r>
        <w:t>292</w:t>
      </w:r>
      <w:r>
        <w:fldChar w:fldCharType="end"/>
      </w:r>
      <w:r>
        <w:fldChar w:fldCharType="end"/>
      </w:r>
    </w:p>
    <w:p w14:paraId="3CB17C81">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"_Toc233380280" </w:instrText>
      </w:r>
      <w:r>
        <w:fldChar w:fldCharType="separate"/>
      </w:r>
      <w:r>
        <w:rPr>
          <w:rStyle w:val="110"/>
        </w:rPr>
        <w:t>8环境影响经济损益分析</w:t>
      </w:r>
      <w:r>
        <w:tab/>
      </w:r>
      <w:r>
        <w:fldChar w:fldCharType="begin"/>
      </w:r>
      <w:r>
        <w:instrText xml:space="preserve"> PAGEREF _Toc233380280 \h </w:instrText>
      </w:r>
      <w:r>
        <w:fldChar w:fldCharType="separate"/>
      </w:r>
      <w:r>
        <w:t>294</w:t>
      </w:r>
      <w:r>
        <w:fldChar w:fldCharType="end"/>
      </w:r>
      <w:r>
        <w:fldChar w:fldCharType="end"/>
      </w:r>
    </w:p>
    <w:p w14:paraId="0002469F">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"_Toc233380281" </w:instrText>
      </w:r>
      <w:r>
        <w:fldChar w:fldCharType="separate"/>
      </w:r>
      <w:r>
        <w:rPr>
          <w:rStyle w:val="110"/>
        </w:rPr>
        <w:t>8.1经济效益分析</w:t>
      </w:r>
      <w:r>
        <w:tab/>
      </w:r>
      <w:r>
        <w:fldChar w:fldCharType="begin"/>
      </w:r>
      <w:r>
        <w:instrText xml:space="preserve"> PAGEREF _Toc233380281 \h </w:instrText>
      </w:r>
      <w:r>
        <w:fldChar w:fldCharType="separate"/>
      </w:r>
      <w:r>
        <w:t>294</w:t>
      </w:r>
      <w:r>
        <w:fldChar w:fldCharType="end"/>
      </w:r>
      <w:r>
        <w:fldChar w:fldCharType="end"/>
      </w:r>
    </w:p>
    <w:p w14:paraId="725BE87F">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"_Toc233380282" </w:instrText>
      </w:r>
      <w:r>
        <w:fldChar w:fldCharType="separate"/>
      </w:r>
      <w:r>
        <w:rPr>
          <w:rStyle w:val="110"/>
        </w:rPr>
        <w:t>8.2社会效益分析</w:t>
      </w:r>
      <w:r>
        <w:tab/>
      </w:r>
      <w:r>
        <w:fldChar w:fldCharType="begin"/>
      </w:r>
      <w:r>
        <w:instrText xml:space="preserve"> PAGEREF _Toc233380282 \h </w:instrText>
      </w:r>
      <w:r>
        <w:fldChar w:fldCharType="separate"/>
      </w:r>
      <w:r>
        <w:t>294</w:t>
      </w:r>
      <w:r>
        <w:fldChar w:fldCharType="end"/>
      </w:r>
      <w:r>
        <w:fldChar w:fldCharType="end"/>
      </w:r>
    </w:p>
    <w:p w14:paraId="4AF34CD2">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"_Toc233380283" </w:instrText>
      </w:r>
      <w:r>
        <w:fldChar w:fldCharType="separate"/>
      </w:r>
      <w:r>
        <w:rPr>
          <w:rStyle w:val="110"/>
        </w:rPr>
        <w:t>8.3环境经济损益分析</w:t>
      </w:r>
      <w:r>
        <w:tab/>
      </w:r>
      <w:r>
        <w:fldChar w:fldCharType="begin"/>
      </w:r>
      <w:r>
        <w:instrText xml:space="preserve"> PAGEREF _Toc233380283 \h </w:instrText>
      </w:r>
      <w:r>
        <w:fldChar w:fldCharType="separate"/>
      </w:r>
      <w:r>
        <w:t>295</w:t>
      </w:r>
      <w:r>
        <w:fldChar w:fldCharType="end"/>
      </w:r>
      <w:r>
        <w:fldChar w:fldCharType="end"/>
      </w:r>
    </w:p>
    <w:p w14:paraId="72D6DF4A">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"_Toc233380284" </w:instrText>
      </w:r>
      <w:r>
        <w:fldChar w:fldCharType="separate"/>
      </w:r>
      <w:r>
        <w:rPr>
          <w:rStyle w:val="110"/>
        </w:rPr>
        <w:t>8.3.1项目建设带来的环境损失</w:t>
      </w:r>
      <w:r>
        <w:tab/>
      </w:r>
      <w:r>
        <w:fldChar w:fldCharType="begin"/>
      </w:r>
      <w:r>
        <w:instrText xml:space="preserve"> PAGEREF _Toc233380284 \h </w:instrText>
      </w:r>
      <w:r>
        <w:fldChar w:fldCharType="separate"/>
      </w:r>
      <w:r>
        <w:t>295</w:t>
      </w:r>
      <w:r>
        <w:fldChar w:fldCharType="end"/>
      </w:r>
      <w:r>
        <w:fldChar w:fldCharType="end"/>
      </w:r>
    </w:p>
    <w:p w14:paraId="3841134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"_Toc233380285" </w:instrText>
      </w:r>
      <w:r>
        <w:fldChar w:fldCharType="separate"/>
      </w:r>
      <w:r>
        <w:rPr>
          <w:rStyle w:val="110"/>
        </w:rPr>
        <w:t>8.3.2环境效益分析</w:t>
      </w:r>
      <w:r>
        <w:tab/>
      </w:r>
      <w:r>
        <w:fldChar w:fldCharType="begin"/>
      </w:r>
      <w:r>
        <w:instrText xml:space="preserve"> PAGEREF _Toc233380285 \h </w:instrText>
      </w:r>
      <w:r>
        <w:fldChar w:fldCharType="separate"/>
      </w:r>
      <w:r>
        <w:t>295</w:t>
      </w:r>
      <w:r>
        <w:fldChar w:fldCharType="end"/>
      </w:r>
      <w:r>
        <w:fldChar w:fldCharType="end"/>
      </w:r>
    </w:p>
    <w:p w14:paraId="338CFB6F">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"_Toc233380286" </w:instrText>
      </w:r>
      <w:r>
        <w:fldChar w:fldCharType="separate"/>
      </w:r>
      <w:r>
        <w:rPr>
          <w:rStyle w:val="110"/>
        </w:rPr>
        <w:t>8.4结论</w:t>
      </w:r>
      <w:r>
        <w:tab/>
      </w:r>
      <w:r>
        <w:fldChar w:fldCharType="begin"/>
      </w:r>
      <w:r>
        <w:instrText xml:space="preserve"> PAGEREF _Toc233380286 \h </w:instrText>
      </w:r>
      <w:r>
        <w:fldChar w:fldCharType="separate"/>
      </w:r>
      <w:r>
        <w:t>296</w:t>
      </w:r>
      <w:r>
        <w:fldChar w:fldCharType="end"/>
      </w:r>
      <w:r>
        <w:fldChar w:fldCharType="end"/>
      </w:r>
    </w:p>
    <w:p w14:paraId="4296A219">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"_Toc233380287" </w:instrText>
      </w:r>
      <w:r>
        <w:fldChar w:fldCharType="separate"/>
      </w:r>
      <w:r>
        <w:rPr>
          <w:rStyle w:val="110"/>
        </w:rPr>
        <w:t>9环境管理与监测计划</w:t>
      </w:r>
      <w:r>
        <w:tab/>
      </w:r>
      <w:r>
        <w:fldChar w:fldCharType="begin"/>
      </w:r>
      <w:r>
        <w:instrText xml:space="preserve"> PAGEREF _Toc233380287 \h </w:instrText>
      </w:r>
      <w:r>
        <w:fldChar w:fldCharType="separate"/>
      </w:r>
      <w:r>
        <w:t>297</w:t>
      </w:r>
      <w:r>
        <w:fldChar w:fldCharType="end"/>
      </w:r>
      <w:r>
        <w:fldChar w:fldCharType="end"/>
      </w:r>
    </w:p>
    <w:p w14:paraId="27D56B94">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"_Toc233380288" </w:instrText>
      </w:r>
      <w:r>
        <w:fldChar w:fldCharType="separate"/>
      </w:r>
      <w:r>
        <w:rPr>
          <w:rStyle w:val="110"/>
        </w:rPr>
        <w:t>9.1 环境管理</w:t>
      </w:r>
      <w:r>
        <w:tab/>
      </w:r>
      <w:r>
        <w:fldChar w:fldCharType="begin"/>
      </w:r>
      <w:r>
        <w:instrText xml:space="preserve"> PAGEREF _Toc233380288 \h </w:instrText>
      </w:r>
      <w:r>
        <w:fldChar w:fldCharType="separate"/>
      </w:r>
      <w:r>
        <w:t>297</w:t>
      </w:r>
      <w:r>
        <w:fldChar w:fldCharType="end"/>
      </w:r>
      <w:r>
        <w:fldChar w:fldCharType="end"/>
      </w:r>
    </w:p>
    <w:p w14:paraId="418CE615">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"_Toc233380289" </w:instrText>
      </w:r>
      <w:r>
        <w:fldChar w:fldCharType="separate"/>
      </w:r>
      <w:r>
        <w:rPr>
          <w:rStyle w:val="110"/>
        </w:rPr>
        <w:t>9.1.1 建立环境管理体系</w:t>
      </w:r>
      <w:r>
        <w:tab/>
      </w:r>
      <w:r>
        <w:fldChar w:fldCharType="begin"/>
      </w:r>
      <w:r>
        <w:instrText xml:space="preserve"> PAGEREF _Toc233380289 \h </w:instrText>
      </w:r>
      <w:r>
        <w:fldChar w:fldCharType="separate"/>
      </w:r>
      <w:r>
        <w:t>297</w:t>
      </w:r>
      <w:r>
        <w:fldChar w:fldCharType="end"/>
      </w:r>
      <w:r>
        <w:fldChar w:fldCharType="end"/>
      </w:r>
    </w:p>
    <w:p w14:paraId="55637AE2">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"_Toc233380290" </w:instrText>
      </w:r>
      <w:r>
        <w:fldChar w:fldCharType="separate"/>
      </w:r>
      <w:r>
        <w:rPr>
          <w:rStyle w:val="110"/>
        </w:rPr>
        <w:t>9.1.3环境管理制度</w:t>
      </w:r>
      <w:r>
        <w:tab/>
      </w:r>
      <w:r>
        <w:fldChar w:fldCharType="begin"/>
      </w:r>
      <w:r>
        <w:instrText xml:space="preserve"> PAGEREF _Toc233380290 \h </w:instrText>
      </w:r>
      <w:r>
        <w:fldChar w:fldCharType="separate"/>
      </w:r>
      <w:r>
        <w:t>298</w:t>
      </w:r>
      <w:r>
        <w:fldChar w:fldCharType="end"/>
      </w:r>
      <w:r>
        <w:fldChar w:fldCharType="end"/>
      </w:r>
    </w:p>
    <w:p w14:paraId="646E2656">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"_Toc233380291" </w:instrText>
      </w:r>
      <w:r>
        <w:fldChar w:fldCharType="separate"/>
      </w:r>
      <w:r>
        <w:rPr>
          <w:rStyle w:val="110"/>
        </w:rPr>
        <w:t>9.1.4环境管理手段和措施</w:t>
      </w:r>
      <w:r>
        <w:tab/>
      </w:r>
      <w:r>
        <w:fldChar w:fldCharType="begin"/>
      </w:r>
      <w:r>
        <w:instrText xml:space="preserve"> PAGEREF _Toc233380291 \h </w:instrText>
      </w:r>
      <w:r>
        <w:fldChar w:fldCharType="separate"/>
      </w:r>
      <w:r>
        <w:t>299</w:t>
      </w:r>
      <w:r>
        <w:fldChar w:fldCharType="end"/>
      </w:r>
      <w:r>
        <w:fldChar w:fldCharType="end"/>
      </w:r>
    </w:p>
    <w:p w14:paraId="70C1A335">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"_Toc233380292" </w:instrText>
      </w:r>
      <w:r>
        <w:fldChar w:fldCharType="separate"/>
      </w:r>
      <w:r>
        <w:rPr>
          <w:rStyle w:val="110"/>
        </w:rPr>
        <w:t>9.1.5施工期环境管理</w:t>
      </w:r>
      <w:r>
        <w:tab/>
      </w:r>
      <w:r>
        <w:fldChar w:fldCharType="begin"/>
      </w:r>
      <w:r>
        <w:instrText xml:space="preserve"> PAGEREF _Toc233380292 \h </w:instrText>
      </w:r>
      <w:r>
        <w:fldChar w:fldCharType="separate"/>
      </w:r>
      <w:r>
        <w:t>300</w:t>
      </w:r>
      <w:r>
        <w:fldChar w:fldCharType="end"/>
      </w:r>
      <w:r>
        <w:fldChar w:fldCharType="end"/>
      </w:r>
    </w:p>
    <w:p w14:paraId="4F9F0CA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"_Toc233380293" </w:instrText>
      </w:r>
      <w:r>
        <w:fldChar w:fldCharType="separate"/>
      </w:r>
      <w:r>
        <w:rPr>
          <w:rStyle w:val="110"/>
        </w:rPr>
        <w:t>9.1.6营运期环境管理</w:t>
      </w:r>
      <w:r>
        <w:tab/>
      </w:r>
      <w:r>
        <w:fldChar w:fldCharType="begin"/>
      </w:r>
      <w:r>
        <w:instrText xml:space="preserve"> PAGEREF _Toc233380293 \h </w:instrText>
      </w:r>
      <w:r>
        <w:fldChar w:fldCharType="separate"/>
      </w:r>
      <w:r>
        <w:t>301</w:t>
      </w:r>
      <w:r>
        <w:fldChar w:fldCharType="end"/>
      </w:r>
      <w:r>
        <w:fldChar w:fldCharType="end"/>
      </w:r>
    </w:p>
    <w:p w14:paraId="23B57228">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"_Toc233380294" </w:instrText>
      </w:r>
      <w:r>
        <w:fldChar w:fldCharType="separate"/>
      </w:r>
      <w:r>
        <w:rPr>
          <w:rStyle w:val="110"/>
        </w:rPr>
        <w:t>9.1.7污染物排放清单</w:t>
      </w:r>
      <w:r>
        <w:tab/>
      </w:r>
      <w:r>
        <w:fldChar w:fldCharType="begin"/>
      </w:r>
      <w:r>
        <w:instrText xml:space="preserve"> PAGEREF _Toc233380294 \h </w:instrText>
      </w:r>
      <w:r>
        <w:fldChar w:fldCharType="separate"/>
      </w:r>
      <w:r>
        <w:t>301</w:t>
      </w:r>
      <w:r>
        <w:fldChar w:fldCharType="end"/>
      </w:r>
      <w:r>
        <w:fldChar w:fldCharType="end"/>
      </w:r>
    </w:p>
    <w:p w14:paraId="02E93C4E">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"_Toc233380295" </w:instrText>
      </w:r>
      <w:r>
        <w:fldChar w:fldCharType="separate"/>
      </w:r>
      <w:r>
        <w:rPr>
          <w:rStyle w:val="110"/>
        </w:rPr>
        <w:t>9.2环境教育</w:t>
      </w:r>
      <w:r>
        <w:tab/>
      </w:r>
      <w:r>
        <w:fldChar w:fldCharType="begin"/>
      </w:r>
      <w:r>
        <w:instrText xml:space="preserve"> PAGEREF _Toc233380295 \h </w:instrText>
      </w:r>
      <w:r>
        <w:fldChar w:fldCharType="separate"/>
      </w:r>
      <w:r>
        <w:t>302</w:t>
      </w:r>
      <w:r>
        <w:fldChar w:fldCharType="end"/>
      </w:r>
      <w:r>
        <w:fldChar w:fldCharType="end"/>
      </w:r>
    </w:p>
    <w:p w14:paraId="48BB32A9">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"_Toc233380296" </w:instrText>
      </w:r>
      <w:r>
        <w:fldChar w:fldCharType="separate"/>
      </w:r>
      <w:r>
        <w:rPr>
          <w:rStyle w:val="110"/>
        </w:rPr>
        <w:t>9.3环境监测计划</w:t>
      </w:r>
      <w:r>
        <w:tab/>
      </w:r>
      <w:r>
        <w:fldChar w:fldCharType="begin"/>
      </w:r>
      <w:r>
        <w:instrText xml:space="preserve"> PAGEREF _Toc233380296 \h </w:instrText>
      </w:r>
      <w:r>
        <w:fldChar w:fldCharType="separate"/>
      </w:r>
      <w:r>
        <w:t>302</w:t>
      </w:r>
      <w:r>
        <w:fldChar w:fldCharType="end"/>
      </w:r>
      <w:r>
        <w:fldChar w:fldCharType="end"/>
      </w:r>
    </w:p>
    <w:p w14:paraId="50934B52">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"_Toc233380297" </w:instrText>
      </w:r>
      <w:r>
        <w:fldChar w:fldCharType="separate"/>
      </w:r>
      <w:r>
        <w:rPr>
          <w:rStyle w:val="110"/>
        </w:rPr>
        <w:t>9.4排污口规范化</w:t>
      </w:r>
      <w:r>
        <w:tab/>
      </w:r>
      <w:r>
        <w:fldChar w:fldCharType="begin"/>
      </w:r>
      <w:r>
        <w:instrText xml:space="preserve"> PAGEREF _Toc233380297 \h </w:instrText>
      </w:r>
      <w:r>
        <w:fldChar w:fldCharType="separate"/>
      </w:r>
      <w:r>
        <w:t>303</w:t>
      </w:r>
      <w:r>
        <w:fldChar w:fldCharType="end"/>
      </w:r>
      <w:r>
        <w:fldChar w:fldCharType="end"/>
      </w:r>
    </w:p>
    <w:p w14:paraId="3DBD7609">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"_Toc233380298" </w:instrText>
      </w:r>
      <w:r>
        <w:fldChar w:fldCharType="separate"/>
      </w:r>
      <w:r>
        <w:rPr>
          <w:rStyle w:val="110"/>
        </w:rPr>
        <w:t>9.5排污许可要求</w:t>
      </w:r>
      <w:r>
        <w:tab/>
      </w:r>
      <w:r>
        <w:fldChar w:fldCharType="begin"/>
      </w:r>
      <w:r>
        <w:instrText xml:space="preserve"> PAGEREF _Toc233380298 \h </w:instrText>
      </w:r>
      <w:r>
        <w:fldChar w:fldCharType="separate"/>
      </w:r>
      <w:r>
        <w:t>305</w:t>
      </w:r>
      <w:r>
        <w:fldChar w:fldCharType="end"/>
      </w:r>
      <w:r>
        <w:fldChar w:fldCharType="end"/>
      </w:r>
    </w:p>
    <w:p w14:paraId="28660AAB">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"_Toc233380299" </w:instrText>
      </w:r>
      <w:r>
        <w:fldChar w:fldCharType="separate"/>
      </w:r>
      <w:r>
        <w:rPr>
          <w:rStyle w:val="110"/>
        </w:rPr>
        <w:t>9.6竣工环境保护验收</w:t>
      </w:r>
      <w:r>
        <w:tab/>
      </w:r>
      <w:r>
        <w:fldChar w:fldCharType="begin"/>
      </w:r>
      <w:r>
        <w:instrText xml:space="preserve"> PAGEREF _Toc233380299 \h </w:instrText>
      </w:r>
      <w:r>
        <w:fldChar w:fldCharType="separate"/>
      </w:r>
      <w:r>
        <w:t>305</w:t>
      </w:r>
      <w:r>
        <w:fldChar w:fldCharType="end"/>
      </w:r>
      <w:r>
        <w:fldChar w:fldCharType="end"/>
      </w:r>
    </w:p>
    <w:p w14:paraId="6DB3FBF7">
      <w:pPr>
        <w:pStyle w:val="59"/>
        <w:tabs>
          <w:tab w:val="right" w:leader="dot" w:pos="8303"/>
        </w:tabs>
        <w:rPr>
          <w:rFonts w:asciiTheme="minorHAnsi" w:hAnsiTheme="minorHAnsi" w:eastAsiaTheme="minorEastAsia" w:cstheme="minorBidi"/>
          <w:b w:val="0"/>
          <w:bCs w:val="0"/>
          <w:caps w:val="0"/>
          <w:sz w:val="21"/>
          <w:szCs w:val="22"/>
        </w:rPr>
      </w:pPr>
      <w:r>
        <w:fldChar w:fldCharType="begin"/>
      </w:r>
      <w:r>
        <w:instrText xml:space="preserve"> HYPERLINK \l "_Toc233380300" </w:instrText>
      </w:r>
      <w:r>
        <w:fldChar w:fldCharType="separate"/>
      </w:r>
      <w:r>
        <w:rPr>
          <w:rStyle w:val="110"/>
        </w:rPr>
        <w:t>10结论与建议</w:t>
      </w:r>
      <w:r>
        <w:tab/>
      </w:r>
      <w:r>
        <w:fldChar w:fldCharType="begin"/>
      </w:r>
      <w:r>
        <w:instrText xml:space="preserve"> PAGEREF _Toc233380300 \h </w:instrText>
      </w:r>
      <w:r>
        <w:fldChar w:fldCharType="separate"/>
      </w:r>
      <w:r>
        <w:t>308</w:t>
      </w:r>
      <w:r>
        <w:fldChar w:fldCharType="end"/>
      </w:r>
      <w:r>
        <w:fldChar w:fldCharType="end"/>
      </w:r>
    </w:p>
    <w:p w14:paraId="2CD61543">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"_Toc233380301" </w:instrText>
      </w:r>
      <w:r>
        <w:fldChar w:fldCharType="separate"/>
      </w:r>
      <w:r>
        <w:rPr>
          <w:rStyle w:val="110"/>
        </w:rPr>
        <w:t>10.1项目概况</w:t>
      </w:r>
      <w:r>
        <w:tab/>
      </w:r>
      <w:r>
        <w:fldChar w:fldCharType="begin"/>
      </w:r>
      <w:r>
        <w:instrText xml:space="preserve"> PAGEREF _Toc233380301 \h </w:instrText>
      </w:r>
      <w:r>
        <w:fldChar w:fldCharType="separate"/>
      </w:r>
      <w:r>
        <w:t>308</w:t>
      </w:r>
      <w:r>
        <w:fldChar w:fldCharType="end"/>
      </w:r>
      <w:r>
        <w:fldChar w:fldCharType="end"/>
      </w:r>
    </w:p>
    <w:p w14:paraId="2BFA7FC9">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"_Toc233380302" </w:instrText>
      </w:r>
      <w:r>
        <w:fldChar w:fldCharType="separate"/>
      </w:r>
      <w:r>
        <w:rPr>
          <w:rStyle w:val="110"/>
        </w:rPr>
        <w:t>10.2产业政策及规划的符合性</w:t>
      </w:r>
      <w:r>
        <w:tab/>
      </w:r>
      <w:r>
        <w:fldChar w:fldCharType="begin"/>
      </w:r>
      <w:r>
        <w:instrText xml:space="preserve"> PAGEREF _Toc233380302 \h </w:instrText>
      </w:r>
      <w:r>
        <w:fldChar w:fldCharType="separate"/>
      </w:r>
      <w:r>
        <w:t>308</w:t>
      </w:r>
      <w:r>
        <w:fldChar w:fldCharType="end"/>
      </w:r>
      <w:r>
        <w:fldChar w:fldCharType="end"/>
      </w:r>
    </w:p>
    <w:p w14:paraId="440510B2">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"_Toc233380303" </w:instrText>
      </w:r>
      <w:r>
        <w:fldChar w:fldCharType="separate"/>
      </w:r>
      <w:r>
        <w:rPr>
          <w:rStyle w:val="110"/>
        </w:rPr>
        <w:t>10.3环境质量现状</w:t>
      </w:r>
      <w:r>
        <w:tab/>
      </w:r>
      <w:r>
        <w:fldChar w:fldCharType="begin"/>
      </w:r>
      <w:r>
        <w:instrText xml:space="preserve"> PAGEREF _Toc233380303 \h </w:instrText>
      </w:r>
      <w:r>
        <w:fldChar w:fldCharType="separate"/>
      </w:r>
      <w:r>
        <w:t>309</w:t>
      </w:r>
      <w:r>
        <w:fldChar w:fldCharType="end"/>
      </w:r>
      <w:r>
        <w:fldChar w:fldCharType="end"/>
      </w:r>
    </w:p>
    <w:p w14:paraId="115E4BDE">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"_Toc233380304" </w:instrText>
      </w:r>
      <w:r>
        <w:fldChar w:fldCharType="separate"/>
      </w:r>
      <w:r>
        <w:rPr>
          <w:rStyle w:val="110"/>
        </w:rPr>
        <w:t>10.4环境保护措施投资估算</w:t>
      </w:r>
      <w:r>
        <w:tab/>
      </w:r>
      <w:r>
        <w:fldChar w:fldCharType="begin"/>
      </w:r>
      <w:r>
        <w:instrText xml:space="preserve"> PAGEREF _Toc233380304 \h </w:instrText>
      </w:r>
      <w:r>
        <w:fldChar w:fldCharType="separate"/>
      </w:r>
      <w:r>
        <w:t>310</w:t>
      </w:r>
      <w:r>
        <w:fldChar w:fldCharType="end"/>
      </w:r>
      <w:r>
        <w:fldChar w:fldCharType="end"/>
      </w:r>
    </w:p>
    <w:p w14:paraId="699136E6">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"_Toc233380305" </w:instrText>
      </w:r>
      <w:r>
        <w:fldChar w:fldCharType="separate"/>
      </w:r>
      <w:r>
        <w:rPr>
          <w:rStyle w:val="110"/>
        </w:rPr>
        <w:t>10.5环境影响分析结论</w:t>
      </w:r>
      <w:r>
        <w:tab/>
      </w:r>
      <w:r>
        <w:fldChar w:fldCharType="begin"/>
      </w:r>
      <w:r>
        <w:instrText xml:space="preserve"> PAGEREF _Toc233380305 \h </w:instrText>
      </w:r>
      <w:r>
        <w:fldChar w:fldCharType="separate"/>
      </w:r>
      <w:r>
        <w:t>310</w:t>
      </w:r>
      <w:r>
        <w:fldChar w:fldCharType="end"/>
      </w:r>
      <w:r>
        <w:fldChar w:fldCharType="end"/>
      </w:r>
    </w:p>
    <w:p w14:paraId="02F3F8B0">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"_Toc233380306" </w:instrText>
      </w:r>
      <w:r>
        <w:fldChar w:fldCharType="separate"/>
      </w:r>
      <w:r>
        <w:rPr>
          <w:rStyle w:val="110"/>
        </w:rPr>
        <w:t>10.5.1大气环境影响分析</w:t>
      </w:r>
      <w:r>
        <w:tab/>
      </w:r>
      <w:r>
        <w:fldChar w:fldCharType="begin"/>
      </w:r>
      <w:r>
        <w:instrText xml:space="preserve"> PAGEREF _Toc233380306 \h </w:instrText>
      </w:r>
      <w:r>
        <w:fldChar w:fldCharType="separate"/>
      </w:r>
      <w:r>
        <w:t>310</w:t>
      </w:r>
      <w:r>
        <w:fldChar w:fldCharType="end"/>
      </w:r>
      <w:r>
        <w:fldChar w:fldCharType="end"/>
      </w:r>
    </w:p>
    <w:p w14:paraId="64983753">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"_Toc233380307" </w:instrText>
      </w:r>
      <w:r>
        <w:fldChar w:fldCharType="separate"/>
      </w:r>
      <w:r>
        <w:rPr>
          <w:rStyle w:val="110"/>
        </w:rPr>
        <w:t>10.5.2地表水环境影响分析</w:t>
      </w:r>
      <w:r>
        <w:tab/>
      </w:r>
      <w:r>
        <w:fldChar w:fldCharType="begin"/>
      </w:r>
      <w:r>
        <w:instrText xml:space="preserve"> PAGEREF _Toc233380307 \h </w:instrText>
      </w:r>
      <w:r>
        <w:fldChar w:fldCharType="separate"/>
      </w:r>
      <w:r>
        <w:t>311</w:t>
      </w:r>
      <w:r>
        <w:fldChar w:fldCharType="end"/>
      </w:r>
      <w:r>
        <w:fldChar w:fldCharType="end"/>
      </w:r>
    </w:p>
    <w:p w14:paraId="3E8F5E9F">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"_Toc233380308" </w:instrText>
      </w:r>
      <w:r>
        <w:fldChar w:fldCharType="separate"/>
      </w:r>
      <w:r>
        <w:rPr>
          <w:rStyle w:val="110"/>
        </w:rPr>
        <w:t>10.5.3土壤、地下水环境影响分析</w:t>
      </w:r>
      <w:r>
        <w:tab/>
      </w:r>
      <w:r>
        <w:fldChar w:fldCharType="begin"/>
      </w:r>
      <w:r>
        <w:instrText xml:space="preserve"> PAGEREF _Toc233380308 \h </w:instrText>
      </w:r>
      <w:r>
        <w:fldChar w:fldCharType="separate"/>
      </w:r>
      <w:r>
        <w:t>311</w:t>
      </w:r>
      <w:r>
        <w:fldChar w:fldCharType="end"/>
      </w:r>
      <w:r>
        <w:fldChar w:fldCharType="end"/>
      </w:r>
    </w:p>
    <w:p w14:paraId="1D2DC0B9">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"_Toc233380309" </w:instrText>
      </w:r>
      <w:r>
        <w:fldChar w:fldCharType="separate"/>
      </w:r>
      <w:r>
        <w:rPr>
          <w:rStyle w:val="110"/>
        </w:rPr>
        <w:t>10.5.4声环境影响分析</w:t>
      </w:r>
      <w:r>
        <w:tab/>
      </w:r>
      <w:r>
        <w:fldChar w:fldCharType="begin"/>
      </w:r>
      <w:r>
        <w:instrText xml:space="preserve"> PAGEREF _Toc233380309 \h </w:instrText>
      </w:r>
      <w:r>
        <w:fldChar w:fldCharType="separate"/>
      </w:r>
      <w:r>
        <w:t>312</w:t>
      </w:r>
      <w:r>
        <w:fldChar w:fldCharType="end"/>
      </w:r>
      <w:r>
        <w:fldChar w:fldCharType="end"/>
      </w:r>
    </w:p>
    <w:p w14:paraId="7F472D34">
      <w:pPr>
        <w:pStyle w:val="44"/>
        <w:tabs>
          <w:tab w:val="right" w:leader="dot" w:pos="8303"/>
        </w:tabs>
        <w:rPr>
          <w:rFonts w:asciiTheme="minorHAnsi" w:hAnsiTheme="minorHAnsi" w:eastAsiaTheme="minorEastAsia" w:cstheme="minorBidi"/>
          <w:iCs w:val="0"/>
          <w:sz w:val="21"/>
          <w:szCs w:val="22"/>
        </w:rPr>
      </w:pPr>
      <w:r>
        <w:fldChar w:fldCharType="begin"/>
      </w:r>
      <w:r>
        <w:instrText xml:space="preserve"> HYPERLINK \l "_Toc233380310" </w:instrText>
      </w:r>
      <w:r>
        <w:fldChar w:fldCharType="separate"/>
      </w:r>
      <w:r>
        <w:rPr>
          <w:rStyle w:val="110"/>
        </w:rPr>
        <w:t>10.5.5固体废弃物对环境的影响</w:t>
      </w:r>
      <w:r>
        <w:tab/>
      </w:r>
      <w:r>
        <w:fldChar w:fldCharType="begin"/>
      </w:r>
      <w:r>
        <w:instrText xml:space="preserve"> PAGEREF _Toc233380310 \h </w:instrText>
      </w:r>
      <w:r>
        <w:fldChar w:fldCharType="separate"/>
      </w:r>
      <w:r>
        <w:t>312</w:t>
      </w:r>
      <w:r>
        <w:fldChar w:fldCharType="end"/>
      </w:r>
      <w:r>
        <w:fldChar w:fldCharType="end"/>
      </w:r>
    </w:p>
    <w:p w14:paraId="689E2657">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"_Toc233380311" </w:instrText>
      </w:r>
      <w:r>
        <w:fldChar w:fldCharType="separate"/>
      </w:r>
      <w:r>
        <w:rPr>
          <w:rStyle w:val="110"/>
        </w:rPr>
        <w:t>10.6环境风险评价结论</w:t>
      </w:r>
      <w:r>
        <w:tab/>
      </w:r>
      <w:r>
        <w:fldChar w:fldCharType="begin"/>
      </w:r>
      <w:r>
        <w:instrText xml:space="preserve"> PAGEREF _Toc233380311 \h </w:instrText>
      </w:r>
      <w:r>
        <w:fldChar w:fldCharType="separate"/>
      </w:r>
      <w:r>
        <w:t>312</w:t>
      </w:r>
      <w:r>
        <w:fldChar w:fldCharType="end"/>
      </w:r>
      <w:r>
        <w:fldChar w:fldCharType="end"/>
      </w:r>
    </w:p>
    <w:p w14:paraId="1631BA97">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"_Toc233380312" </w:instrText>
      </w:r>
      <w:r>
        <w:fldChar w:fldCharType="separate"/>
      </w:r>
      <w:r>
        <w:rPr>
          <w:rStyle w:val="110"/>
        </w:rPr>
        <w:t>10.7公众参与</w:t>
      </w:r>
      <w:r>
        <w:tab/>
      </w:r>
      <w:r>
        <w:fldChar w:fldCharType="begin"/>
      </w:r>
      <w:r>
        <w:instrText xml:space="preserve"> PAGEREF _Toc233380312 \h </w:instrText>
      </w:r>
      <w:r>
        <w:fldChar w:fldCharType="separate"/>
      </w:r>
      <w:r>
        <w:t>313</w:t>
      </w:r>
      <w:r>
        <w:fldChar w:fldCharType="end"/>
      </w:r>
      <w:r>
        <w:fldChar w:fldCharType="end"/>
      </w:r>
    </w:p>
    <w:p w14:paraId="0CCFE450">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"_Toc233380313" </w:instrText>
      </w:r>
      <w:r>
        <w:fldChar w:fldCharType="separate"/>
      </w:r>
      <w:r>
        <w:rPr>
          <w:rStyle w:val="110"/>
        </w:rPr>
        <w:t>10.8建设项目环境可行性结论</w:t>
      </w:r>
      <w:r>
        <w:tab/>
      </w:r>
      <w:r>
        <w:fldChar w:fldCharType="begin"/>
      </w:r>
      <w:r>
        <w:instrText xml:space="preserve"> PAGEREF _Toc233380313 \h </w:instrText>
      </w:r>
      <w:r>
        <w:fldChar w:fldCharType="separate"/>
      </w:r>
      <w:r>
        <w:t>313</w:t>
      </w:r>
      <w:r>
        <w:fldChar w:fldCharType="end"/>
      </w:r>
      <w:r>
        <w:fldChar w:fldCharType="end"/>
      </w:r>
    </w:p>
    <w:p w14:paraId="1E76800B">
      <w:pPr>
        <w:pStyle w:val="73"/>
        <w:tabs>
          <w:tab w:val="right" w:leader="dot" w:pos="8303"/>
        </w:tabs>
        <w:rPr>
          <w:rFonts w:asciiTheme="minorHAnsi" w:hAnsiTheme="minorHAnsi" w:eastAsiaTheme="minorEastAsia" w:cstheme="minorBidi"/>
          <w:smallCaps w:val="0"/>
          <w:sz w:val="21"/>
          <w:szCs w:val="22"/>
        </w:rPr>
      </w:pPr>
      <w:r>
        <w:fldChar w:fldCharType="begin"/>
      </w:r>
      <w:r>
        <w:instrText xml:space="preserve"> HYPERLINK \l "_Toc233380314" </w:instrText>
      </w:r>
      <w:r>
        <w:fldChar w:fldCharType="separate"/>
      </w:r>
      <w:r>
        <w:rPr>
          <w:rStyle w:val="110"/>
        </w:rPr>
        <w:t>10.9要求及建议</w:t>
      </w:r>
      <w:r>
        <w:tab/>
      </w:r>
      <w:r>
        <w:fldChar w:fldCharType="begin"/>
      </w:r>
      <w:r>
        <w:instrText xml:space="preserve"> PAGEREF _Toc233380314 \h </w:instrText>
      </w:r>
      <w:r>
        <w:fldChar w:fldCharType="separate"/>
      </w:r>
      <w:r>
        <w:t>313</w:t>
      </w:r>
      <w:r>
        <w:fldChar w:fldCharType="end"/>
      </w:r>
      <w:r>
        <w:fldChar w:fldCharType="end"/>
      </w:r>
    </w:p>
    <w:p w14:paraId="1F00D2C0">
      <w:pPr>
        <w:pStyle w:val="73"/>
        <w:tabs>
          <w:tab w:val="right" w:leader="dot" w:pos="8303"/>
        </w:tabs>
        <w:spacing w:line="340" w:lineRule="exact"/>
        <w:rPr>
          <w:color w:val="000000" w:themeColor="text1"/>
          <w14:textFill>
            <w14:solidFill>
              <w14:schemeClr w14:val="tx1"/>
            </w14:solidFill>
          </w14:textFill>
        </w:rPr>
        <w:sectPr>
          <w:headerReference r:id="rId5" w:type="default"/>
          <w:footerReference r:id="rId6" w:type="default"/>
          <w:pgSz w:w="11907" w:h="16840"/>
          <w:pgMar w:top="1440" w:right="1797" w:bottom="1440" w:left="1797" w:header="851" w:footer="992" w:gutter="0"/>
          <w:pgNumType w:start="1" w:chapStyle="1"/>
          <w:cols w:space="720" w:num="1"/>
          <w:docGrid w:linePitch="312" w:charSpace="0"/>
        </w:sectPr>
      </w:pPr>
      <w:r>
        <w:rPr>
          <w:color w:val="000000" w:themeColor="text1"/>
          <w14:textFill>
            <w14:solidFill>
              <w14:schemeClr w14:val="tx1"/>
            </w14:solidFill>
          </w14:textFill>
        </w:rPr>
        <w:fldChar w:fldCharType="end"/>
      </w:r>
      <w:bookmarkStart w:id="1" w:name="_Toc40220619"/>
    </w:p>
    <w:p w14:paraId="7DA1DD86">
      <w:pPr>
        <w:pStyle w:val="3"/>
        <w:snapToGrid w:val="0"/>
        <w:spacing w:before="240" w:beforeLines="100" w:after="240" w:afterLines="100" w:line="360" w:lineRule="auto"/>
        <w:jc w:val="center"/>
        <w:rPr>
          <w:bCs w:val="0"/>
          <w:color w:val="000000" w:themeColor="text1"/>
          <w:sz w:val="36"/>
          <w:szCs w:val="36"/>
          <w14:textFill>
            <w14:solidFill>
              <w14:schemeClr w14:val="tx1"/>
            </w14:solidFill>
          </w14:textFill>
        </w:rPr>
      </w:pPr>
      <w:bookmarkStart w:id="2" w:name="_Toc233380087"/>
      <w:r>
        <w:rPr>
          <w:bCs w:val="0"/>
          <w:color w:val="000000" w:themeColor="text1"/>
          <w:sz w:val="36"/>
          <w:szCs w:val="36"/>
          <w14:textFill>
            <w14:solidFill>
              <w14:schemeClr w14:val="tx1"/>
            </w14:solidFill>
          </w14:textFill>
        </w:rPr>
        <w:t>1概述</w:t>
      </w:r>
      <w:bookmarkEnd w:id="0"/>
      <w:bookmarkEnd w:id="1"/>
      <w:bookmarkEnd w:id="2"/>
    </w:p>
    <w:p w14:paraId="45BC4C59">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3" w:name="_Toc233380088"/>
      <w:r>
        <w:rPr>
          <w:rFonts w:ascii="Times New Roman" w:hAnsi="Times New Roman" w:eastAsia="宋体"/>
          <w:color w:val="000000" w:themeColor="text1"/>
          <w:sz w:val="30"/>
          <w:szCs w:val="30"/>
          <w14:textFill>
            <w14:solidFill>
              <w14:schemeClr w14:val="tx1"/>
            </w14:solidFill>
          </w14:textFill>
        </w:rPr>
        <w:t>1.1项目由来</w:t>
      </w:r>
      <w:bookmarkEnd w:id="3"/>
    </w:p>
    <w:p w14:paraId="63C9D71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近年来，全球肉牛产业平稳增长。肉牛行业是中国畜牧业发展重点，农业部、全国畜牧总站等政府相关部门先后颁布肉牛遗传改良计划与肉牛育种等政策，从肉牛遗传改良进程、非粮饲料资源利用、产业规划及布局、肉牛防疫补助、规模化养殖标准设立、肉牛养殖补贴等方向助力肉牛行业标准化发展。随着人类食品结构转型升级，高档牛肉消费需求不断增加。</w:t>
      </w:r>
    </w:p>
    <w:p w14:paraId="514E32C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近年来，巴中立足食品饮料主导产业，大力推动肉牛产业发展。将巴山肉牛确定为优势大品种计划首位产业，全产业链打造百亿级产业集群，同时也是全市乡村产业振兴的主导产业。</w:t>
      </w:r>
    </w:p>
    <w:p w14:paraId="3FFEBB7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州区立足资源禀赋，集中、集聚、集约发展肉牛产业，打造“一点、两带、三园、百场”肉牛产业带和肉牛产业园区，以建立健全肉牛产业发展机制为抓手，持续推动肉牛产业全链条体系发展。为促进全域全链全面同步构建巴山肉牛产业体系，加快建设成渝地区绿色产品供给地、山区现代畜牧业强市，以肉牛产业引领巴中乡村产业振兴、农民增收致富，巴中市巨城市政工程有限公司提出了本项目的建设。</w:t>
      </w:r>
    </w:p>
    <w:p w14:paraId="2A6A561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中市巨城市政工程有限公司拟投资35090.20万元，在巴州区占地面积0.63万亩，其中建设饲草料种植基地0.6万亩、饲草料加工基地0.6万平方米；建设肉牛养殖区17.57万平方米，可存栏1.89万头育肥牛，并配套建设其他附属设施工程。建成后可年出栏安格斯肉牛19380头、巴山肉牛1800头。</w:t>
      </w:r>
    </w:p>
    <w:p w14:paraId="4C74867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2024年8月28日，巴州区发展和改革局审核通过了项目备案表（备案号：川投资备【2408-511902-04-01-255827】FGQB-0766 号），同意项目建设。</w:t>
      </w:r>
    </w:p>
    <w:p w14:paraId="2D58721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中华人民共和国环境保护法》（2015年1月1日）、《中华人民共和国环境影响评价法》（2018年12月29日）和《建设项目环境保护管理条例》（国务院第682号），本项目应开展环境影响评价工作。本项目属于《国民经济行业分类》（GB/T 4754-2017）（2019年修订）中的A0331类“牛的饲养”建设项目，</w:t>
      </w:r>
      <w:r>
        <w:rPr>
          <w:b/>
          <w:bCs/>
          <w:color w:val="000000" w:themeColor="text1"/>
          <w:sz w:val="24"/>
          <w14:textFill>
            <w14:solidFill>
              <w14:schemeClr w14:val="tx1"/>
            </w14:solidFill>
          </w14:textFill>
        </w:rPr>
        <w:t>属于《建设项目环境影响评价分类管理名录（2021版）》（生态环境部部令第16号）中“二、畜牧业03，3、牲畜饲养031；家禽饲养032；其他畜牧业039：年出栏生猪5000头（其他畜禽种类折合猪的养殖量）及以上的规模化畜禽养殖；存栏生猪2500头（其他畜禽种类折合猪的养殖量）及以上无出栏量的规模化畜禽养殖；涉及环境敏感区的规模化畜禽养殖”，根据《畜禽养殖业污染物排放标准》（GB 18596-2001）中“1头肉牛折算成5头猪”，所以本项目年出栏21180头肉牛对应折算成105900头猪，故应编制环境影响报告书。</w:t>
      </w:r>
    </w:p>
    <w:p w14:paraId="351D4F1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根据《中华人民共和国环境保护法》、《中华人民共和国环境影响评价法》、《建设项目环境保护管理条例》（国务院第 253 号令）及2017 年7 月16 日《国务院关于修改&lt;建设项目环境保护管理条例&gt;的决定》等有关法律、法规的规定，巴中市巨城市政工程有限公司委托我公司承担本项目的环境影响评价工作。我公司接受委托后，在对本项目有关技术资料研读的基础上，结合现场踏勘的实际情况，根据《环境影响评价技术导则》等有关技术规范编制完成了《巴州区肉牛产业建设项目环境影响报告书》，呈报生态环境保护行政主管部门审查。</w:t>
      </w:r>
    </w:p>
    <w:p w14:paraId="40701FCA">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4" w:name="_Toc233380089"/>
      <w:r>
        <w:rPr>
          <w:rFonts w:ascii="Times New Roman" w:hAnsi="Times New Roman" w:eastAsia="宋体"/>
          <w:color w:val="000000" w:themeColor="text1"/>
          <w:sz w:val="30"/>
          <w:szCs w:val="30"/>
          <w14:textFill>
            <w14:solidFill>
              <w14:schemeClr w14:val="tx1"/>
            </w14:solidFill>
          </w14:textFill>
        </w:rPr>
        <w:t>1.2</w:t>
      </w:r>
      <w:r>
        <w:rPr>
          <w:rFonts w:ascii="Times New Roman" w:hAnsi="Times New Roman" w:eastAsia="宋体"/>
          <w:color w:val="000000" w:themeColor="text1"/>
          <w:sz w:val="28"/>
          <w:szCs w:val="28"/>
          <w14:textFill>
            <w14:solidFill>
              <w14:schemeClr w14:val="tx1"/>
            </w14:solidFill>
          </w14:textFill>
        </w:rPr>
        <w:t>建设项目情况</w:t>
      </w:r>
      <w:bookmarkEnd w:id="4"/>
    </w:p>
    <w:p w14:paraId="28805A95">
      <w:pPr>
        <w:adjustRightInd w:val="0"/>
        <w:snapToGrid w:val="0"/>
        <w:spacing w:line="360" w:lineRule="auto"/>
        <w:ind w:firstLine="480" w:firstLineChars="200"/>
        <w:rPr>
          <w:color w:val="000000" w:themeColor="text1"/>
          <w:sz w:val="24"/>
          <w:highlight w:val="red"/>
          <w14:textFill>
            <w14:solidFill>
              <w14:schemeClr w14:val="tx1"/>
            </w14:solidFill>
          </w14:textFill>
        </w:rPr>
      </w:pPr>
      <w:r>
        <w:rPr>
          <w:color w:val="000000" w:themeColor="text1"/>
          <w:sz w:val="24"/>
          <w14:textFill>
            <w14:solidFill>
              <w14:schemeClr w14:val="tx1"/>
            </w14:solidFill>
          </w14:textFill>
        </w:rPr>
        <w:t>根据现场踏勘了解，本项目尚未进行开工建设。</w:t>
      </w:r>
    </w:p>
    <w:p w14:paraId="5F1FC392">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5" w:name="_Toc233380090"/>
      <w:r>
        <w:rPr>
          <w:rFonts w:ascii="Times New Roman" w:hAnsi="Times New Roman" w:eastAsia="宋体"/>
          <w:color w:val="000000" w:themeColor="text1"/>
          <w:sz w:val="30"/>
          <w:szCs w:val="30"/>
          <w14:textFill>
            <w14:solidFill>
              <w14:schemeClr w14:val="tx1"/>
            </w14:solidFill>
          </w14:textFill>
        </w:rPr>
        <w:t>1.3建设项目特点</w:t>
      </w:r>
      <w:bookmarkEnd w:id="5"/>
    </w:p>
    <w:p w14:paraId="609E8FC7">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本项目属于新建项目，位于巴中市巴州区，其中肉牛养殖区建设涉及以下区域：</w:t>
      </w:r>
      <w:bookmarkStart w:id="6" w:name="OLE_LINK45"/>
      <w:bookmarkStart w:id="7" w:name="OLE_LINK44"/>
      <w:r>
        <w:rPr>
          <w:color w:val="000000" w:themeColor="text1"/>
          <w:sz w:val="24"/>
          <w14:textFill>
            <w14:solidFill>
              <w14:schemeClr w14:val="tx1"/>
            </w14:solidFill>
          </w14:textFill>
        </w:rPr>
        <w:t>白庙乡百花村，曾口镇佛龙村，清江镇塘坝村，以及水宁寺镇始宁社区</w:t>
      </w:r>
      <w:bookmarkEnd w:id="6"/>
      <w:bookmarkEnd w:id="7"/>
      <w:r>
        <w:rPr>
          <w:color w:val="000000" w:themeColor="text1"/>
          <w:sz w:val="24"/>
          <w14:textFill>
            <w14:solidFill>
              <w14:schemeClr w14:val="tx1"/>
            </w14:solidFill>
          </w14:textFill>
        </w:rPr>
        <w:t>；饲草料种植基地涉及以下区域：天马山镇中的天堂村、狮子寨村、修行寺村、谢家湾村、高顶寨村、方碑村，大和乡中的大罗塘社区、回龙村、界碑村、东溪村、朱垭村、板凳垭村。项目养殖区建设占地为设施农业用地，项目养殖区占地范围内不占用基本农田，周边及评价范围内为农村环境，主要分布有耕地及林地，无珍稀濒危物种、自然保护区、风景名胜区、饮用水源保护区等特殊和重要生态敏感目标分布。</w:t>
      </w:r>
    </w:p>
    <w:p w14:paraId="3DFEBA08">
      <w:pPr>
        <w:numPr>
          <w:ilvl w:val="0"/>
          <w:numId w:val="14"/>
        </w:num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建设单位为本地国资企业，本项目的建设具有以肉牛产业引领巴中乡村产业振兴、促进农民增收致富，建立健全区域“龙头企业+家庭农场”联农带农机制，推进当地的乡村振兴进程，促进农民安居乐业的使命。因此项目布局方面涉及多个点位，更多服务于民，让利于民。</w:t>
      </w:r>
    </w:p>
    <w:p w14:paraId="773DBD67">
      <w:pPr>
        <w:numPr>
          <w:ilvl w:val="0"/>
          <w:numId w:val="14"/>
        </w:num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饲草料种植以建设单位与巴州区化成镇、天马山镇、大和乡及项目肉牛养殖场周边农户签订牧草种植和收购协议，提供技术培训，定期按协议价收购牧草的方式进行。本项目建设单位仅负责种子供应、技术指导和订单收购，不直接租用土地用于牧草种植，不进行牧草种植地的开垦和灌溉设施建设，不介入具体的种植管理。建设单位在与农户牧草种植和收购协议中需明确农户合规施用农肥、农药，回收残膜、包装等，提供技术培训引导农户绿色种植，制定收购标准引导农户环保种植。</w:t>
      </w:r>
    </w:p>
    <w:p w14:paraId="07581752">
      <w:pPr>
        <w:numPr>
          <w:ilvl w:val="0"/>
          <w:numId w:val="14"/>
        </w:num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本项目以肉牛育肥养殖为主，定期从周边</w:t>
      </w:r>
      <w:r>
        <w:rPr>
          <w:rFonts w:hint="eastAsia"/>
          <w:color w:val="000000" w:themeColor="text1"/>
          <w:sz w:val="24"/>
          <w14:textFill>
            <w14:solidFill>
              <w14:schemeClr w14:val="tx1"/>
            </w14:solidFill>
          </w14:textFill>
        </w:rPr>
        <w:t>无疫区的</w:t>
      </w:r>
      <w:r>
        <w:rPr>
          <w:color w:val="000000" w:themeColor="text1"/>
          <w:sz w:val="24"/>
          <w14:textFill>
            <w14:solidFill>
              <w14:schemeClr w14:val="tx1"/>
            </w14:solidFill>
          </w14:textFill>
        </w:rPr>
        <w:t>农户或养殖场收购12月龄的健康</w:t>
      </w:r>
      <w:r>
        <w:rPr>
          <w:rFonts w:hint="eastAsia"/>
          <w:color w:val="000000" w:themeColor="text1"/>
          <w:sz w:val="24"/>
          <w14:textFill>
            <w14:solidFill>
              <w14:schemeClr w14:val="tx1"/>
            </w14:solidFill>
          </w14:textFill>
        </w:rPr>
        <w:t>架子牛</w:t>
      </w:r>
      <w:r>
        <w:rPr>
          <w:color w:val="000000" w:themeColor="text1"/>
          <w:sz w:val="24"/>
          <w14:textFill>
            <w14:solidFill>
              <w14:schemeClr w14:val="tx1"/>
            </w14:solidFill>
          </w14:textFill>
        </w:rPr>
        <w:t>，统一进行现代化、标准化、无公害的育肥养殖，育肥6个月后即出栏。</w:t>
      </w:r>
      <w:r>
        <w:rPr>
          <w:kern w:val="0"/>
          <w:sz w:val="24"/>
        </w:rPr>
        <w:t>项目以肉牛育肥养殖为主，定期从非疫区的周边农户或养殖场收购12月龄的生长牛（架子牛），统一进行现代化、标准化、无公害的育肥养殖，育肥6个月（18个月月龄）后即出栏。项目采用多轮滚动养殖模式，4月~9月一批次（养殖约10590头肉牛），10月~次年5月一批次（养殖约10590头肉牛）</w:t>
      </w:r>
      <w:r>
        <w:rPr>
          <w:color w:val="000000" w:themeColor="text1"/>
          <w:sz w:val="24"/>
          <w14:textFill>
            <w14:solidFill>
              <w14:schemeClr w14:val="tx1"/>
            </w14:solidFill>
          </w14:textFill>
        </w:rPr>
        <w:t>。</w:t>
      </w:r>
      <w:r>
        <w:rPr>
          <w:b/>
          <w:color w:val="000000" w:themeColor="text1"/>
          <w:sz w:val="24"/>
          <w14:textFill>
            <w14:solidFill>
              <w14:schemeClr w14:val="tx1"/>
            </w14:solidFill>
          </w14:textFill>
        </w:rPr>
        <w:t>本项目不饲养母牛，不进行牛犊的分娩，饲养工艺较为简单</w:t>
      </w:r>
      <w:r>
        <w:rPr>
          <w:color w:val="000000" w:themeColor="text1"/>
          <w:sz w:val="24"/>
          <w14:textFill>
            <w14:solidFill>
              <w14:schemeClr w14:val="tx1"/>
            </w14:solidFill>
          </w14:textFill>
        </w:rPr>
        <w:t>。</w:t>
      </w:r>
      <w:r>
        <w:rPr>
          <w:b/>
          <w:color w:val="000000" w:themeColor="text1"/>
          <w:sz w:val="24"/>
          <w14:textFill>
            <w14:solidFill>
              <w14:schemeClr w14:val="tx1"/>
            </w14:solidFill>
          </w14:textFill>
        </w:rPr>
        <w:t>项目内不涉及有机肥的生产。</w:t>
      </w:r>
    </w:p>
    <w:p w14:paraId="5983600E">
      <w:pPr>
        <w:numPr>
          <w:ilvl w:val="0"/>
          <w:numId w:val="14"/>
        </w:num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根据项目设施农业用地选址论证意见表，本项目</w:t>
      </w:r>
      <w:r>
        <w:rPr>
          <w:color w:val="000000" w:themeColor="text1"/>
          <w:kern w:val="0"/>
          <w:sz w:val="24"/>
          <w:lang w:bidi="ar"/>
          <w14:textFill>
            <w14:solidFill>
              <w14:schemeClr w14:val="tx1"/>
            </w14:solidFill>
          </w14:textFill>
        </w:rPr>
        <w:t>点位</w:t>
      </w:r>
      <w:r>
        <w:rPr>
          <w:color w:val="000000" w:themeColor="text1"/>
          <w:sz w:val="24"/>
          <w14:textFill>
            <w14:solidFill>
              <w14:schemeClr w14:val="tx1"/>
            </w14:solidFill>
          </w14:textFill>
        </w:rPr>
        <w:t>不在畜禽养殖禁养区、限养区范围（巴中市巴州区农业农村局意见）</w:t>
      </w:r>
      <w:r>
        <w:rPr>
          <w:color w:val="000000" w:themeColor="text1"/>
          <w:kern w:val="0"/>
          <w:sz w:val="24"/>
          <w:lang w:bidi="ar"/>
          <w14:textFill>
            <w14:solidFill>
              <w14:schemeClr w14:val="tx1"/>
            </w14:solidFill>
          </w14:textFill>
        </w:rPr>
        <w:t>；该项目未占用基本农田，符合国土空间规划（巴中市自然资源和规划局巴州分局意见）；同意选址，不涉及公益林及二级</w:t>
      </w:r>
      <w:r>
        <w:rPr>
          <w:color w:val="000000" w:themeColor="text1"/>
          <w:sz w:val="24"/>
          <w14:textFill>
            <w14:solidFill>
              <w14:schemeClr w14:val="tx1"/>
            </w14:solidFill>
          </w14:textFill>
        </w:rPr>
        <w:t>保护林地（巴中市巴州区林业局意见）；项目选址未在城乡集中式饮用水水源保护区（巴中市巴州生态环境局意见）；符合相关要求（巴中市巴州区水利局意见）。</w:t>
      </w:r>
    </w:p>
    <w:p w14:paraId="2008ECED">
      <w:pPr>
        <w:numPr>
          <w:ilvl w:val="0"/>
          <w:numId w:val="14"/>
        </w:num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本项目采用生物发酵床养殖模式，项目肉牛养殖过程产生的粪污混入发酵垫料中形成发酵床，</w:t>
      </w:r>
      <w:r>
        <w:rPr>
          <w:color w:val="000000" w:themeColor="text1"/>
          <w:kern w:val="0"/>
          <w:sz w:val="24"/>
          <w:lang w:bidi="ar"/>
          <w14:textFill>
            <w14:solidFill>
              <w14:schemeClr w14:val="tx1"/>
            </w14:solidFill>
          </w14:textFill>
        </w:rPr>
        <w:t>建设单位与周边农户签订协议，定期更换的废弃垫料经</w:t>
      </w:r>
      <w:r>
        <w:rPr>
          <w:rFonts w:hint="eastAsia"/>
          <w:color w:val="000000" w:themeColor="text1"/>
          <w:kern w:val="0"/>
          <w:sz w:val="24"/>
          <w:lang w:bidi="ar"/>
          <w14:textFill>
            <w14:solidFill>
              <w14:schemeClr w14:val="tx1"/>
            </w14:solidFill>
          </w14:textFill>
        </w:rPr>
        <w:t>异位发酵床无害化</w:t>
      </w:r>
      <w:r>
        <w:rPr>
          <w:color w:val="000000" w:themeColor="text1"/>
          <w:kern w:val="0"/>
          <w:sz w:val="24"/>
          <w:lang w:bidi="ar"/>
          <w14:textFill>
            <w14:solidFill>
              <w14:schemeClr w14:val="tx1"/>
            </w14:solidFill>
          </w14:textFill>
        </w:rPr>
        <w:t>处理后用作农肥施用，</w:t>
      </w:r>
      <w:r>
        <w:rPr>
          <w:color w:val="000000" w:themeColor="text1"/>
          <w:sz w:val="24"/>
          <w14:textFill>
            <w14:solidFill>
              <w14:schemeClr w14:val="tx1"/>
            </w14:solidFill>
          </w14:textFill>
        </w:rPr>
        <w:t>实现粪污资源化利用。项目生活污水处理后用于厂区绿化，不外排。本项目无废水外排，不会对区域地表水环境产生明显不利影响。</w:t>
      </w:r>
    </w:p>
    <w:p w14:paraId="117612E6">
      <w:pPr>
        <w:numPr>
          <w:ilvl w:val="0"/>
          <w:numId w:val="14"/>
        </w:num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拟对场内病害牛尸体委托动物无害化公司处理；对少量畜禽医疗废物统一收集后交由具有相应资质类别的危险废物处置单位处置；各类固体废物经减量化、无害化处理后，均能得到妥善处置，对周围环境的影响较小。</w:t>
      </w:r>
    </w:p>
    <w:p w14:paraId="79BFAA03">
      <w:pPr>
        <w:numPr>
          <w:ilvl w:val="0"/>
          <w:numId w:val="14"/>
        </w:num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本项目肉牛养殖过程采用发酵床技术，在饲料中添加益生菌，以及圈舍喷洒生物除臭剂的方式，能够显著减少恶臭影响，同时以牛舍边界为起点划定100m的卫生防护距离范围。根据实地踏勘，本项目</w:t>
      </w:r>
      <w:r>
        <w:rPr>
          <w:rFonts w:hint="eastAsia"/>
          <w:color w:val="000000" w:themeColor="text1"/>
          <w:sz w:val="24"/>
          <w14:textFill>
            <w14:solidFill>
              <w14:schemeClr w14:val="tx1"/>
            </w14:solidFill>
          </w14:textFill>
        </w:rPr>
        <w:t>已与</w:t>
      </w:r>
      <w:r>
        <w:rPr>
          <w:color w:val="000000" w:themeColor="text1"/>
          <w:sz w:val="24"/>
          <w14:textFill>
            <w14:solidFill>
              <w14:schemeClr w14:val="tx1"/>
            </w14:solidFill>
          </w14:textFill>
        </w:rPr>
        <w:t>卫生防护距离范围内</w:t>
      </w:r>
      <w:r>
        <w:rPr>
          <w:rFonts w:hint="eastAsia"/>
          <w:color w:val="000000" w:themeColor="text1"/>
          <w:sz w:val="24"/>
          <w14:textFill>
            <w14:solidFill>
              <w14:schemeClr w14:val="tx1"/>
            </w14:solidFill>
          </w14:textFill>
        </w:rPr>
        <w:t>的</w:t>
      </w:r>
      <w:r>
        <w:rPr>
          <w:color w:val="000000" w:themeColor="text1"/>
          <w:sz w:val="24"/>
          <w14:textFill>
            <w14:solidFill>
              <w14:schemeClr w14:val="tx1"/>
            </w14:solidFill>
          </w14:textFill>
        </w:rPr>
        <w:t>居民签订房屋租赁协议作为职工宿舍、休息室等使用，因此本项目卫生防护距离范围内无医院、学校、居民、行政办公等环境敏感保护目标分布，</w:t>
      </w:r>
      <w:r>
        <w:rPr>
          <w:b/>
          <w:color w:val="000000" w:themeColor="text1"/>
          <w:sz w:val="24"/>
          <w14:textFill>
            <w14:solidFill>
              <w14:schemeClr w14:val="tx1"/>
            </w14:solidFill>
          </w14:textFill>
        </w:rPr>
        <w:t>本项目无环保搬迁</w:t>
      </w:r>
      <w:r>
        <w:rPr>
          <w:color w:val="000000" w:themeColor="text1"/>
          <w:sz w:val="24"/>
          <w14:textFill>
            <w14:solidFill>
              <w14:schemeClr w14:val="tx1"/>
            </w14:solidFill>
          </w14:textFill>
        </w:rPr>
        <w:t>。且环评要求：</w:t>
      </w:r>
      <w:r>
        <w:rPr>
          <w:b/>
          <w:color w:val="000000" w:themeColor="text1"/>
          <w:sz w:val="24"/>
          <w14:textFill>
            <w14:solidFill>
              <w14:schemeClr w14:val="tx1"/>
            </w14:solidFill>
          </w14:textFill>
        </w:rPr>
        <w:t>在卫生防护距离范围内不得规划新建集中居民区、医院、学校及食品医药加工企业等易受本项目恶臭影响的建设项目。</w:t>
      </w:r>
    </w:p>
    <w:p w14:paraId="48EA3897">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本次环评将结合项目建设特点，针对可能产生的问题提出相应的环境保护措施，使建设项目施工期、营运期产生的污染物得到有效处置，防止对区域环境造成影响，并为企业建设、生态环境管理提供依据。</w:t>
      </w:r>
    </w:p>
    <w:p w14:paraId="5C89CA4D">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8" w:name="_Toc233380091"/>
      <w:r>
        <w:rPr>
          <w:rFonts w:ascii="Times New Roman" w:hAnsi="Times New Roman" w:eastAsia="宋体"/>
          <w:color w:val="000000" w:themeColor="text1"/>
          <w:sz w:val="30"/>
          <w:szCs w:val="30"/>
          <w14:textFill>
            <w14:solidFill>
              <w14:schemeClr w14:val="tx1"/>
            </w14:solidFill>
          </w14:textFill>
        </w:rPr>
        <w:t>1.4环境影响评价工作过程</w:t>
      </w:r>
      <w:bookmarkEnd w:id="8"/>
    </w:p>
    <w:p w14:paraId="2D22D6D2">
      <w:pPr>
        <w:pStyle w:val="752"/>
        <w:rPr>
          <w:rFonts w:cs="Times New Roman"/>
          <w:color w:val="000000" w:themeColor="text1"/>
          <w14:textFill>
            <w14:solidFill>
              <w14:schemeClr w14:val="tx1"/>
            </w14:solidFill>
          </w14:textFill>
        </w:rPr>
      </w:pPr>
      <w:bookmarkStart w:id="9" w:name="_Toc1787"/>
      <w:bookmarkStart w:id="10" w:name="_Toc233380092"/>
      <w:r>
        <w:rPr>
          <w:rFonts w:cs="Times New Roman"/>
          <w:color w:val="000000" w:themeColor="text1"/>
          <w14:textFill>
            <w14:solidFill>
              <w14:schemeClr w14:val="tx1"/>
            </w14:solidFill>
          </w14:textFill>
        </w:rPr>
        <w:t>1.4.1评价开展过程</w:t>
      </w:r>
      <w:bookmarkEnd w:id="9"/>
      <w:bookmarkEnd w:id="10"/>
    </w:p>
    <w:p w14:paraId="2C9810E1">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巴中市巨城市政工程有限公司正式委托四川中策环安科技有限公司承担巴州区肉牛产业建设项目环境影响评价工作后。我公司立即组建了项目组，并派本项目负责人和主要技术负责人对该项目进行了实地现场踏勘和资料收集。</w:t>
      </w:r>
    </w:p>
    <w:p w14:paraId="60CC525D">
      <w:pPr>
        <w:adjustRightInd w:val="0"/>
        <w:snapToGrid w:val="0"/>
        <w:spacing w:line="360" w:lineRule="auto"/>
        <w:ind w:firstLine="480" w:firstLineChars="200"/>
        <w:jc w:val="both"/>
        <w:rPr>
          <w:b/>
          <w:bCs/>
          <w:color w:val="000000" w:themeColor="text1"/>
          <w:szCs w:val="21"/>
          <w14:textFill>
            <w14:solidFill>
              <w14:schemeClr w14:val="tx1"/>
            </w14:solidFill>
          </w14:textFill>
        </w:rPr>
      </w:pPr>
      <w:r>
        <w:rPr>
          <w:color w:val="000000" w:themeColor="text1"/>
          <w:sz w:val="24"/>
          <w14:textFill>
            <w14:solidFill>
              <w14:schemeClr w14:val="tx1"/>
            </w14:solidFill>
          </w14:textFill>
        </w:rPr>
        <w:t>本项目组经过初步分析判断了建设项目选址、规模、性质和生产工艺等与国家和地方有关环境保护法律法规、标准、规范、相关规划的符合性，开展了初步的工程分析，进行了环境影响识别和评价因子筛选，明确了评价重点、评价工作等级及范围，制定了评价工作方案。然后按照《建设项目环境影响评价技术导则总纲》（HJ 2.1-2016）中有关要求，开展了本次评价工作。</w:t>
      </w:r>
    </w:p>
    <w:p w14:paraId="1980B6B1">
      <w:pPr>
        <w:pStyle w:val="752"/>
        <w:rPr>
          <w:rFonts w:cs="Times New Roman"/>
          <w:color w:val="000000" w:themeColor="text1"/>
          <w14:textFill>
            <w14:solidFill>
              <w14:schemeClr w14:val="tx1"/>
            </w14:solidFill>
          </w14:textFill>
        </w:rPr>
      </w:pPr>
      <w:bookmarkStart w:id="11" w:name="_Toc233380093"/>
      <w:r>
        <w:rPr>
          <w:rFonts w:cs="Times New Roman"/>
          <w:color w:val="000000" w:themeColor="text1"/>
          <w14:textFill>
            <w14:solidFill>
              <w14:schemeClr w14:val="tx1"/>
            </w14:solidFill>
          </w14:textFill>
        </w:rPr>
        <w:t>1.4.2评价工作程序</w:t>
      </w:r>
      <w:bookmarkEnd w:id="11"/>
    </w:p>
    <w:p w14:paraId="79ED7645">
      <w:pPr>
        <w:spacing w:line="360" w:lineRule="auto"/>
        <w:ind w:firstLine="480" w:firstLineChars="200"/>
        <w:rPr>
          <w:color w:val="000000" w:themeColor="text1"/>
          <w:sz w:val="24"/>
          <w14:textFill>
            <w14:solidFill>
              <w14:schemeClr w14:val="tx1"/>
            </w14:solidFill>
          </w14:textFill>
        </w:rPr>
      </w:pPr>
      <w:r>
        <w:rPr>
          <w:color w:val="000000" w:themeColor="text1"/>
          <w:kern w:val="0"/>
          <w:sz w:val="24"/>
          <w:lang w:bidi="ar"/>
          <w14:textFill>
            <w14:solidFill>
              <w14:schemeClr w14:val="tx1"/>
            </w14:solidFill>
          </w14:textFill>
        </w:rPr>
        <w:t>本次环评工作程序分为三个阶段，即：</w:t>
      </w:r>
    </w:p>
    <w:p w14:paraId="25DF2A55">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①</w:t>
      </w:r>
      <w:r>
        <w:rPr>
          <w:color w:val="000000" w:themeColor="text1"/>
          <w:kern w:val="0"/>
          <w:sz w:val="24"/>
          <w:lang w:bidi="ar"/>
          <w14:textFill>
            <w14:solidFill>
              <w14:schemeClr w14:val="tx1"/>
            </w14:solidFill>
          </w14:textFill>
        </w:rPr>
        <w:t>前期准备、调研和工作方案编制阶段；</w:t>
      </w:r>
    </w:p>
    <w:p w14:paraId="7D67BCB1">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②</w:t>
      </w:r>
      <w:r>
        <w:rPr>
          <w:color w:val="000000" w:themeColor="text1"/>
          <w:kern w:val="0"/>
          <w:sz w:val="24"/>
          <w:lang w:bidi="ar"/>
          <w14:textFill>
            <w14:solidFill>
              <w14:schemeClr w14:val="tx1"/>
            </w14:solidFill>
          </w14:textFill>
        </w:rPr>
        <w:t>分析论证和预测评价阶段；</w:t>
      </w:r>
    </w:p>
    <w:p w14:paraId="0FBECCE3">
      <w:pPr>
        <w:adjustRightInd w:val="0"/>
        <w:snapToGrid w:val="0"/>
        <w:spacing w:line="360" w:lineRule="auto"/>
        <w:ind w:firstLine="480" w:firstLineChars="200"/>
        <w:jc w:val="both"/>
        <w:rPr>
          <w:b/>
          <w:bCs/>
          <w:color w:val="000000" w:themeColor="text1"/>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③</w:t>
      </w:r>
      <w:r>
        <w:rPr>
          <w:color w:val="000000" w:themeColor="text1"/>
          <w:kern w:val="0"/>
          <w:sz w:val="24"/>
          <w:lang w:bidi="ar"/>
          <w14:textFill>
            <w14:solidFill>
              <w14:schemeClr w14:val="tx1"/>
            </w14:solidFill>
          </w14:textFill>
        </w:rPr>
        <w:t>环境影响报告书编制及审批阶段。</w:t>
      </w:r>
    </w:p>
    <w:p w14:paraId="25C6DA3D">
      <w:pPr>
        <w:pStyle w:val="814"/>
        <w:tabs>
          <w:tab w:val="left" w:pos="0"/>
        </w:tabs>
        <w:snapToGrid w:val="0"/>
        <w:rPr>
          <w:rFonts w:eastAsia="黑体"/>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5342890" cy="5374005"/>
            <wp:effectExtent l="0" t="0" r="0" b="0"/>
            <wp:docPr id="5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1"/>
                    <pic:cNvPicPr>
                      <a:picLocks noChangeAspect="1"/>
                    </pic:cNvPicPr>
                  </pic:nvPicPr>
                  <pic:blipFill>
                    <a:blip r:embed="rId28"/>
                    <a:stretch>
                      <a:fillRect/>
                    </a:stretch>
                  </pic:blipFill>
                  <pic:spPr>
                    <a:xfrm>
                      <a:off x="0" y="0"/>
                      <a:ext cx="5355718" cy="5386960"/>
                    </a:xfrm>
                    <a:prstGeom prst="rect">
                      <a:avLst/>
                    </a:prstGeom>
                    <a:noFill/>
                    <a:ln>
                      <a:noFill/>
                    </a:ln>
                  </pic:spPr>
                </pic:pic>
              </a:graphicData>
            </a:graphic>
          </wp:inline>
        </w:drawing>
      </w:r>
    </w:p>
    <w:p w14:paraId="58AF0B5C">
      <w:pPr>
        <w:pStyle w:val="814"/>
        <w:tabs>
          <w:tab w:val="left" w:pos="0"/>
        </w:tabs>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图1.4-1评价工作程序图</w:t>
      </w:r>
    </w:p>
    <w:p w14:paraId="4E53A0E9">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2" w:name="_Toc233380094"/>
      <w:r>
        <w:rPr>
          <w:rFonts w:ascii="Times New Roman" w:hAnsi="Times New Roman" w:eastAsia="宋体"/>
          <w:color w:val="000000" w:themeColor="text1"/>
          <w:sz w:val="30"/>
          <w:szCs w:val="30"/>
          <w14:textFill>
            <w14:solidFill>
              <w14:schemeClr w14:val="tx1"/>
            </w14:solidFill>
          </w14:textFill>
        </w:rPr>
        <w:t>1.5主要环境问题及环境影响</w:t>
      </w:r>
      <w:bookmarkEnd w:id="12"/>
    </w:p>
    <w:p w14:paraId="7950F85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根据本项目的工程特点和污染特征，本项目为肉牛项目，对环境产生的影响主要来自运营期，环评过程主要关注的环境问题如下：</w:t>
      </w:r>
    </w:p>
    <w:p w14:paraId="3253F873">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（1）施工期</w:t>
      </w:r>
    </w:p>
    <w:p w14:paraId="5A6F1B5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施工过程中产生的主要污染物为施工扬尘、各施工阶段施工机械噪声、施工生活污水、施工废水及施工期生态环境影响。</w:t>
      </w:r>
    </w:p>
    <w:p w14:paraId="7378779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（2）营运期</w:t>
      </w:r>
    </w:p>
    <w:p w14:paraId="6F92169B">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牛舍散发恶臭气体对大气环境的影响范围、程度，采取的措施及控制效果。</w:t>
      </w:r>
    </w:p>
    <w:p w14:paraId="527A1E49">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牛粪污、员工生活污水对地下水及土壤的影响、采取的措施以及是否做到综合利用，废水不外排。</w:t>
      </w:r>
    </w:p>
    <w:p w14:paraId="31E8B89A">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发酵垫料（含粪污）、病死牛、医疗废物、生活垃圾若随意丢弃会污染地表水、地下水及土壤，采取的措施及控制效果，能否全部妥善处置，避免二次污染。</w:t>
      </w:r>
    </w:p>
    <w:p w14:paraId="47FEBCDE">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w:t>
      </w:r>
      <w:r>
        <w:rPr>
          <w:color w:val="000000" w:themeColor="text1"/>
          <w:sz w:val="24"/>
          <w14:textFill>
            <w14:solidFill>
              <w14:schemeClr w14:val="tx1"/>
            </w14:solidFill>
          </w14:textFill>
        </w:rPr>
        <w:t>噪声对周边声环境的影响。</w:t>
      </w:r>
    </w:p>
    <w:p w14:paraId="12A0711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本项目关注的主要环境影响为营运期牛舍恶臭气体对周边环境的影响；固体废物对地表水、地下水环境以及土壤环境的影响。</w:t>
      </w:r>
    </w:p>
    <w:p w14:paraId="301F03B4">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3" w:name="_Toc233380095"/>
      <w:r>
        <w:rPr>
          <w:rFonts w:ascii="Times New Roman" w:hAnsi="Times New Roman" w:eastAsia="宋体"/>
          <w:color w:val="000000" w:themeColor="text1"/>
          <w:sz w:val="30"/>
          <w:szCs w:val="30"/>
          <w14:textFill>
            <w14:solidFill>
              <w14:schemeClr w14:val="tx1"/>
            </w14:solidFill>
          </w14:textFill>
        </w:rPr>
        <w:t>1.6相关政策分析判定情况</w:t>
      </w:r>
      <w:bookmarkEnd w:id="13"/>
    </w:p>
    <w:p w14:paraId="30DDD866">
      <w:pPr>
        <w:pStyle w:val="752"/>
        <w:rPr>
          <w:rFonts w:cs="Times New Roman"/>
          <w:color w:val="000000" w:themeColor="text1"/>
          <w14:textFill>
            <w14:solidFill>
              <w14:schemeClr w14:val="tx1"/>
            </w14:solidFill>
          </w14:textFill>
        </w:rPr>
      </w:pPr>
      <w:bookmarkStart w:id="14" w:name="_Toc6476"/>
      <w:bookmarkStart w:id="15" w:name="_Toc17977"/>
      <w:bookmarkStart w:id="16" w:name="_Toc4772"/>
      <w:bookmarkStart w:id="17" w:name="_Toc7336"/>
      <w:bookmarkStart w:id="18" w:name="_Toc24021"/>
      <w:bookmarkStart w:id="19" w:name="_Toc2221"/>
      <w:bookmarkStart w:id="20" w:name="_Toc233380096"/>
      <w:r>
        <w:rPr>
          <w:rFonts w:cs="Times New Roman"/>
          <w:color w:val="000000" w:themeColor="text1"/>
          <w14:textFill>
            <w14:solidFill>
              <w14:schemeClr w14:val="tx1"/>
            </w14:solidFill>
          </w14:textFill>
        </w:rPr>
        <w:t>1.6.1</w:t>
      </w:r>
      <w:bookmarkEnd w:id="14"/>
      <w:bookmarkEnd w:id="15"/>
      <w:bookmarkEnd w:id="16"/>
      <w:bookmarkEnd w:id="17"/>
      <w:bookmarkEnd w:id="18"/>
      <w:bookmarkEnd w:id="19"/>
      <w:r>
        <w:rPr>
          <w:rFonts w:cs="Times New Roman"/>
          <w:color w:val="000000" w:themeColor="text1"/>
          <w14:textFill>
            <w14:solidFill>
              <w14:schemeClr w14:val="tx1"/>
            </w14:solidFill>
          </w14:textFill>
        </w:rPr>
        <w:t>项目编制依据</w:t>
      </w:r>
      <w:bookmarkEnd w:id="20"/>
    </w:p>
    <w:p w14:paraId="49C389E2">
      <w:pPr>
        <w:adjustRightInd w:val="0"/>
        <w:snapToGrid w:val="0"/>
        <w:spacing w:line="360" w:lineRule="auto"/>
        <w:ind w:firstLine="480" w:firstLineChars="200"/>
        <w:jc w:val="both"/>
        <w:rPr>
          <w:color w:val="000000" w:themeColor="text1"/>
          <w:sz w:val="24"/>
          <w14:textFill>
            <w14:solidFill>
              <w14:schemeClr w14:val="tx1"/>
            </w14:solidFill>
          </w14:textFill>
        </w:rPr>
      </w:pPr>
      <w:bookmarkStart w:id="21" w:name="_Toc15371"/>
      <w:bookmarkStart w:id="22" w:name="_Toc23592"/>
      <w:bookmarkStart w:id="23" w:name="_Toc31497"/>
      <w:bookmarkStart w:id="24" w:name="_Toc24883"/>
      <w:bookmarkStart w:id="25" w:name="_Toc24409"/>
      <w:bookmarkStart w:id="26" w:name="_Toc29764"/>
      <w:r>
        <w:rPr>
          <w:color w:val="000000" w:themeColor="text1"/>
          <w:sz w:val="24"/>
          <w14:textFill>
            <w14:solidFill>
              <w14:schemeClr w14:val="tx1"/>
            </w14:solidFill>
          </w14:textFill>
        </w:rPr>
        <w:t>根据《建设项目环境影响评价分类管理名录》（2021年版），本项目属于名录中“二、畜牧业3、牲畜饲养031年出栏生猪5000头（其他畜禽种类折合猪的养殖量）及以上的规模化畜禽养殖”，根据《畜禽养殖业污染物排放标准》（GB 18596-2001）中“1头肉牛折算成5头猪”，所以本项目年出栏21180头肉牛对应折算成105900头猪，应编制环境影响报告书。</w:t>
      </w:r>
    </w:p>
    <w:bookmarkEnd w:id="21"/>
    <w:bookmarkEnd w:id="22"/>
    <w:bookmarkEnd w:id="23"/>
    <w:bookmarkEnd w:id="24"/>
    <w:bookmarkEnd w:id="25"/>
    <w:bookmarkEnd w:id="26"/>
    <w:p w14:paraId="6D8D9238">
      <w:pPr>
        <w:pStyle w:val="752"/>
        <w:rPr>
          <w:rFonts w:cs="Times New Roman"/>
          <w:color w:val="000000" w:themeColor="text1"/>
          <w14:textFill>
            <w14:solidFill>
              <w14:schemeClr w14:val="tx1"/>
            </w14:solidFill>
          </w14:textFill>
        </w:rPr>
      </w:pPr>
      <w:bookmarkStart w:id="27" w:name="_Toc233380097"/>
      <w:r>
        <w:rPr>
          <w:rFonts w:cs="Times New Roman"/>
          <w:color w:val="000000" w:themeColor="text1"/>
          <w14:textFill>
            <w14:solidFill>
              <w14:schemeClr w14:val="tx1"/>
            </w14:solidFill>
          </w14:textFill>
        </w:rPr>
        <w:t>1.6.2产业政策符合性分析</w:t>
      </w:r>
      <w:bookmarkEnd w:id="27"/>
    </w:p>
    <w:p w14:paraId="6B2F567E">
      <w:pPr>
        <w:pStyle w:val="814"/>
        <w:snapToGrid w:val="0"/>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本项目建设内容与《产业结构调整指导目录（2024年本）》的符合性分析见下表。</w:t>
      </w:r>
    </w:p>
    <w:p w14:paraId="12160C33">
      <w:pPr>
        <w:pStyle w:val="814"/>
        <w:numPr>
          <w:ilvl w:val="0"/>
          <w:numId w:val="15"/>
        </w:numPr>
        <w:snapToGrid w:val="0"/>
        <w:rPr>
          <w:b/>
          <w:bCs/>
          <w:color w:val="000000" w:themeColor="text1"/>
          <w14:textFill>
            <w14:solidFill>
              <w14:schemeClr w14:val="tx1"/>
            </w14:solidFill>
          </w14:textFill>
        </w:rPr>
      </w:pPr>
      <w:r>
        <w:rPr>
          <w:rFonts w:eastAsia="黑体"/>
          <w:color w:val="000000" w:themeColor="text1"/>
          <w14:textFill>
            <w14:solidFill>
              <w14:schemeClr w14:val="tx1"/>
            </w14:solidFill>
          </w14:textFill>
        </w:rPr>
        <w:t>产业政策符合性分析表</w:t>
      </w:r>
    </w:p>
    <w:tbl>
      <w:tblPr>
        <w:tblStyle w:val="89"/>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4887"/>
        <w:gridCol w:w="1679"/>
        <w:gridCol w:w="868"/>
      </w:tblGrid>
      <w:tr w14:paraId="4AF7D3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97" w:type="dxa"/>
            <w:tcBorders>
              <w:tl2br w:val="nil"/>
              <w:tr2bl w:val="nil"/>
            </w:tcBorders>
            <w:vAlign w:val="center"/>
          </w:tcPr>
          <w:p w14:paraId="72DEADB5">
            <w:pPr>
              <w:widowControl/>
              <w:adjustRightInd w:val="0"/>
              <w:snapToGrid w:val="0"/>
              <w:jc w:val="center"/>
              <w:rPr>
                <w:rFonts w:eastAsia="黑体"/>
                <w:color w:val="000000" w:themeColor="text1"/>
                <w:sz w:val="18"/>
                <w:szCs w:val="18"/>
                <w14:textFill>
                  <w14:solidFill>
                    <w14:schemeClr w14:val="tx1"/>
                  </w14:solidFill>
                </w14:textFill>
              </w:rPr>
            </w:pPr>
            <w:r>
              <w:rPr>
                <w:rFonts w:eastAsia="黑体"/>
                <w:color w:val="000000" w:themeColor="text1"/>
                <w:sz w:val="18"/>
                <w:szCs w:val="18"/>
                <w14:textFill>
                  <w14:solidFill>
                    <w14:schemeClr w14:val="tx1"/>
                  </w14:solidFill>
                </w14:textFill>
              </w:rPr>
              <w:t>类别</w:t>
            </w:r>
          </w:p>
        </w:tc>
        <w:tc>
          <w:tcPr>
            <w:tcW w:w="5031" w:type="dxa"/>
            <w:tcBorders>
              <w:tl2br w:val="nil"/>
              <w:tr2bl w:val="nil"/>
            </w:tcBorders>
            <w:vAlign w:val="center"/>
          </w:tcPr>
          <w:p w14:paraId="63BAE6E6">
            <w:pPr>
              <w:widowControl/>
              <w:adjustRightInd w:val="0"/>
              <w:snapToGrid w:val="0"/>
              <w:jc w:val="center"/>
              <w:rPr>
                <w:rFonts w:eastAsia="黑体"/>
                <w:color w:val="000000" w:themeColor="text1"/>
                <w:sz w:val="18"/>
                <w:szCs w:val="18"/>
                <w14:textFill>
                  <w14:solidFill>
                    <w14:schemeClr w14:val="tx1"/>
                  </w14:solidFill>
                </w14:textFill>
              </w:rPr>
            </w:pPr>
            <w:r>
              <w:rPr>
                <w:rFonts w:eastAsia="黑体"/>
                <w:color w:val="000000" w:themeColor="text1"/>
                <w:sz w:val="18"/>
                <w:szCs w:val="18"/>
                <w14:textFill>
                  <w14:solidFill>
                    <w14:schemeClr w14:val="tx1"/>
                  </w14:solidFill>
                </w14:textFill>
              </w:rPr>
              <w:t>《产业结构调整指导目录（2024年本）》</w:t>
            </w:r>
          </w:p>
        </w:tc>
        <w:tc>
          <w:tcPr>
            <w:tcW w:w="1717" w:type="dxa"/>
            <w:tcBorders>
              <w:tl2br w:val="nil"/>
              <w:tr2bl w:val="nil"/>
            </w:tcBorders>
            <w:vAlign w:val="center"/>
          </w:tcPr>
          <w:p w14:paraId="1438DFFF">
            <w:pPr>
              <w:widowControl/>
              <w:adjustRightInd w:val="0"/>
              <w:snapToGrid w:val="0"/>
              <w:jc w:val="center"/>
              <w:rPr>
                <w:rFonts w:eastAsia="黑体"/>
                <w:color w:val="000000" w:themeColor="text1"/>
                <w:sz w:val="18"/>
                <w:szCs w:val="18"/>
                <w14:textFill>
                  <w14:solidFill>
                    <w14:schemeClr w14:val="tx1"/>
                  </w14:solidFill>
                </w14:textFill>
              </w:rPr>
            </w:pPr>
            <w:r>
              <w:rPr>
                <w:rFonts w:eastAsia="黑体"/>
                <w:color w:val="000000" w:themeColor="text1"/>
                <w:sz w:val="18"/>
                <w:szCs w:val="18"/>
                <w14:textFill>
                  <w14:solidFill>
                    <w14:schemeClr w14:val="tx1"/>
                  </w14:solidFill>
                </w14:textFill>
              </w:rPr>
              <w:t>本项目</w:t>
            </w:r>
          </w:p>
        </w:tc>
        <w:tc>
          <w:tcPr>
            <w:tcW w:w="884" w:type="dxa"/>
            <w:tcBorders>
              <w:tl2br w:val="nil"/>
              <w:tr2bl w:val="nil"/>
            </w:tcBorders>
            <w:vAlign w:val="center"/>
          </w:tcPr>
          <w:p w14:paraId="64F5F654">
            <w:pPr>
              <w:widowControl/>
              <w:adjustRightInd w:val="0"/>
              <w:snapToGrid w:val="0"/>
              <w:jc w:val="center"/>
              <w:rPr>
                <w:rFonts w:eastAsia="黑体"/>
                <w:color w:val="000000" w:themeColor="text1"/>
                <w:sz w:val="18"/>
                <w:szCs w:val="18"/>
                <w14:textFill>
                  <w14:solidFill>
                    <w14:schemeClr w14:val="tx1"/>
                  </w14:solidFill>
                </w14:textFill>
              </w:rPr>
            </w:pPr>
            <w:r>
              <w:rPr>
                <w:rFonts w:eastAsia="黑体"/>
                <w:color w:val="000000" w:themeColor="text1"/>
                <w:sz w:val="18"/>
                <w:szCs w:val="18"/>
                <w14:textFill>
                  <w14:solidFill>
                    <w14:schemeClr w14:val="tx1"/>
                  </w14:solidFill>
                </w14:textFill>
              </w:rPr>
              <w:t>符合性</w:t>
            </w:r>
          </w:p>
        </w:tc>
      </w:tr>
      <w:tr w14:paraId="478813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7" w:type="dxa"/>
            <w:tcBorders>
              <w:tl2br w:val="nil"/>
              <w:tr2bl w:val="nil"/>
            </w:tcBorders>
            <w:vAlign w:val="center"/>
          </w:tcPr>
          <w:p w14:paraId="2072023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鼓励类</w:t>
            </w:r>
          </w:p>
        </w:tc>
        <w:tc>
          <w:tcPr>
            <w:tcW w:w="5031" w:type="dxa"/>
            <w:tcBorders>
              <w:tl2br w:val="nil"/>
              <w:tr2bl w:val="nil"/>
            </w:tcBorders>
            <w:vAlign w:val="center"/>
          </w:tcPr>
          <w:p w14:paraId="50CB0E1B">
            <w:pPr>
              <w:widowControl/>
              <w:adjustRightInd w:val="0"/>
              <w:snapToGrid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14．现代畜牧业及水产生态健康养殖：</w:t>
            </w:r>
            <w:r>
              <w:rPr>
                <w:b/>
                <w:bCs/>
                <w:color w:val="000000" w:themeColor="text1"/>
                <w:sz w:val="18"/>
                <w:szCs w:val="18"/>
                <w14:textFill>
                  <w14:solidFill>
                    <w14:schemeClr w14:val="tx1"/>
                  </w14:solidFill>
                </w14:textFill>
              </w:rPr>
              <w:t>畜禽标准化规模养殖技术开发与应用，</w:t>
            </w:r>
            <w:r>
              <w:rPr>
                <w:color w:val="000000" w:themeColor="text1"/>
                <w:sz w:val="18"/>
                <w:szCs w:val="18"/>
                <w14:textFill>
                  <w14:solidFill>
                    <w14:schemeClr w14:val="tx1"/>
                  </w14:solidFill>
                </w14:textFill>
              </w:rPr>
              <w:t>农牧渔产品绿色生产技术开发与应用，畜禽养殖废弃物处理和资源化利用（畜禽粪污肥料化、能源化、基料化和垫料化利用，病死畜禽无害化处理），远洋渔业、人工鱼礁、渔政渔港工程、绿色环保功能性渔具示范与应用，新能源渔船，淡水与海水健康养殖及产品深加工，淡水与海水渔业资源增殖与保护，海洋牧场。</w:t>
            </w:r>
          </w:p>
        </w:tc>
        <w:tc>
          <w:tcPr>
            <w:tcW w:w="1717" w:type="dxa"/>
            <w:tcBorders>
              <w:tl2br w:val="nil"/>
              <w:tr2bl w:val="nil"/>
            </w:tcBorders>
            <w:vAlign w:val="center"/>
          </w:tcPr>
          <w:p w14:paraId="18E908C3">
            <w:pPr>
              <w:widowControl/>
              <w:adjustRightInd w:val="0"/>
              <w:snapToGrid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本项目属于畜禽标准化规模养殖技术开发与应用。</w:t>
            </w:r>
          </w:p>
        </w:tc>
        <w:tc>
          <w:tcPr>
            <w:tcW w:w="884" w:type="dxa"/>
            <w:tcBorders>
              <w:tl2br w:val="nil"/>
              <w:tr2bl w:val="nil"/>
            </w:tcBorders>
            <w:vAlign w:val="center"/>
          </w:tcPr>
          <w:p w14:paraId="3F01EA58">
            <w:pPr>
              <w:widowControl/>
              <w:adjustRightInd w:val="0"/>
              <w:snapToGrid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bl>
    <w:p w14:paraId="4A50A953">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由上表可知，本项目属于“鼓励类”，</w:t>
      </w:r>
      <w:r>
        <w:rPr>
          <w:sz w:val="24"/>
        </w:rPr>
        <w:t>2024年8月28日取得巴州区发展和改革局审批的项目备案表（备案号：川投资备【2408-511902-04-01-255827】FGQB-0766 号）</w:t>
      </w:r>
      <w:r>
        <w:rPr>
          <w:color w:val="000000" w:themeColor="text1"/>
          <w:sz w:val="24"/>
          <w14:textFill>
            <w14:solidFill>
              <w14:schemeClr w14:val="tx1"/>
            </w14:solidFill>
          </w14:textFill>
        </w:rPr>
        <w:t>。因此，本项目符合国家现行产业政策。</w:t>
      </w:r>
    </w:p>
    <w:p w14:paraId="137CC4CC">
      <w:pPr>
        <w:pStyle w:val="752"/>
        <w:rPr>
          <w:rFonts w:cs="Times New Roman"/>
          <w:color w:val="000000" w:themeColor="text1"/>
          <w14:textFill>
            <w14:solidFill>
              <w14:schemeClr w14:val="tx1"/>
            </w14:solidFill>
          </w14:textFill>
        </w:rPr>
      </w:pPr>
      <w:bookmarkStart w:id="28" w:name="_Toc233380098"/>
      <w:r>
        <w:rPr>
          <w:rFonts w:cs="Times New Roman"/>
          <w:color w:val="000000" w:themeColor="text1"/>
          <w14:textFill>
            <w14:solidFill>
              <w14:schemeClr w14:val="tx1"/>
            </w14:solidFill>
          </w14:textFill>
        </w:rPr>
        <w:t>1.6.3项目用地规划符合性分析</w:t>
      </w:r>
      <w:bookmarkEnd w:id="28"/>
    </w:p>
    <w:p w14:paraId="34969250">
      <w:pPr>
        <w:pStyle w:val="75"/>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kern w:val="0"/>
          <w:lang w:val="en-US" w:bidi="ar"/>
          <w14:textFill>
            <w14:solidFill>
              <w14:schemeClr w14:val="tx1"/>
            </w14:solidFill>
          </w14:textFill>
        </w:rPr>
        <w:t>本项目</w:t>
      </w:r>
      <w:r>
        <w:rPr>
          <w:color w:val="000000" w:themeColor="text1"/>
          <w:lang w:val="en-US"/>
          <w14:textFill>
            <w14:solidFill>
              <w14:schemeClr w14:val="tx1"/>
            </w14:solidFill>
          </w14:textFill>
        </w:rPr>
        <w:t>肉牛养殖区建设涉及4处：白庙乡百花村，曾口镇佛龙村，清江镇塘坝村，水宁寺镇始宁社区。</w:t>
      </w:r>
      <w:r>
        <w:rPr>
          <w:color w:val="000000" w:themeColor="text1"/>
          <w:kern w:val="0"/>
          <w:lang w:val="en-US" w:bidi="ar"/>
          <w14:textFill>
            <w14:solidFill>
              <w14:schemeClr w14:val="tx1"/>
            </w14:solidFill>
          </w14:textFill>
        </w:rPr>
        <w:t>项目选址已避让自然保护区、风景名胜区、场镇规划区、湿地公园、饮用水源保护区等保护区；截至目前，本项目肉牛养殖用地</w:t>
      </w:r>
      <w:r>
        <w:rPr>
          <w:color w:val="000000" w:themeColor="text1"/>
          <w:lang w:val="en-US"/>
          <w14:textFill>
            <w14:solidFill>
              <w14:schemeClr w14:val="tx1"/>
            </w14:solidFill>
          </w14:textFill>
        </w:rPr>
        <w:t>已</w:t>
      </w:r>
      <w:r>
        <w:rPr>
          <w:color w:val="000000" w:themeColor="text1"/>
          <w14:textFill>
            <w14:solidFill>
              <w14:schemeClr w14:val="tx1"/>
            </w14:solidFill>
          </w14:textFill>
        </w:rPr>
        <w:t>提交了设施农用地申请</w:t>
      </w:r>
      <w:r>
        <w:rPr>
          <w:color w:val="000000" w:themeColor="text1"/>
          <w:lang w:val="en-US"/>
          <w14:textFill>
            <w14:solidFill>
              <w14:schemeClr w14:val="tx1"/>
            </w14:solidFill>
          </w14:textFill>
        </w:rPr>
        <w:t>并取得批复。</w:t>
      </w:r>
      <w:r>
        <w:rPr>
          <w:color w:val="000000" w:themeColor="text1"/>
          <w14:textFill>
            <w14:solidFill>
              <w14:schemeClr w14:val="tx1"/>
            </w14:solidFill>
          </w14:textFill>
        </w:rPr>
        <w:t>项目建设单位与</w:t>
      </w:r>
      <w:r>
        <w:rPr>
          <w:color w:val="000000" w:themeColor="text1"/>
          <w:lang w:val="en-US"/>
          <w14:textFill>
            <w14:solidFill>
              <w14:schemeClr w14:val="tx1"/>
            </w14:solidFill>
          </w14:textFill>
        </w:rPr>
        <w:t>肉牛养殖区村委集体</w:t>
      </w:r>
      <w:r>
        <w:rPr>
          <w:color w:val="000000" w:themeColor="text1"/>
          <w14:textFill>
            <w14:solidFill>
              <w14:schemeClr w14:val="tx1"/>
            </w14:solidFill>
          </w14:textFill>
        </w:rPr>
        <w:t>签订了</w:t>
      </w:r>
      <w:r>
        <w:rPr>
          <w:color w:val="000000" w:themeColor="text1"/>
          <w:lang w:val="en-US"/>
          <w14:textFill>
            <w14:solidFill>
              <w14:schemeClr w14:val="tx1"/>
            </w14:solidFill>
          </w14:textFill>
        </w:rPr>
        <w:t>土地流转</w:t>
      </w:r>
      <w:r>
        <w:rPr>
          <w:color w:val="000000" w:themeColor="text1"/>
          <w14:textFill>
            <w14:solidFill>
              <w14:schemeClr w14:val="tx1"/>
            </w14:solidFill>
          </w14:textFill>
        </w:rPr>
        <w:t>协议，协议租赁</w:t>
      </w:r>
      <w:r>
        <w:rPr>
          <w:color w:val="000000" w:themeColor="text1"/>
          <w:lang w:val="en-US"/>
          <w14:textFill>
            <w14:solidFill>
              <w14:schemeClr w14:val="tx1"/>
            </w14:solidFill>
          </w14:textFill>
        </w:rPr>
        <w:t>上述用地</w:t>
      </w:r>
      <w:r>
        <w:rPr>
          <w:color w:val="000000" w:themeColor="text1"/>
          <w14:textFill>
            <w14:solidFill>
              <w14:schemeClr w14:val="tx1"/>
            </w14:solidFill>
          </w14:textFill>
        </w:rPr>
        <w:t>用于</w:t>
      </w:r>
      <w:r>
        <w:rPr>
          <w:color w:val="000000" w:themeColor="text1"/>
          <w:lang w:val="en-US"/>
          <w14:textFill>
            <w14:solidFill>
              <w14:schemeClr w14:val="tx1"/>
            </w14:solidFill>
          </w14:textFill>
        </w:rPr>
        <w:t>肉牛养殖及配套设施</w:t>
      </w:r>
      <w:r>
        <w:rPr>
          <w:color w:val="000000" w:themeColor="text1"/>
          <w14:textFill>
            <w14:solidFill>
              <w14:schemeClr w14:val="tx1"/>
            </w14:solidFill>
          </w14:textFill>
        </w:rPr>
        <w:t>的建设。</w:t>
      </w:r>
    </w:p>
    <w:p w14:paraId="0F77D67D">
      <w:pPr>
        <w:pStyle w:val="75"/>
        <w:adjustRightInd w:val="0"/>
        <w:snapToGrid w:val="0"/>
        <w:spacing w:line="360" w:lineRule="auto"/>
        <w:ind w:firstLine="480" w:firstLineChars="200"/>
        <w:jc w:val="left"/>
        <w:rPr>
          <w:color w:val="000000" w:themeColor="text1"/>
          <w14:textFill>
            <w14:solidFill>
              <w14:schemeClr w14:val="tx1"/>
            </w14:solidFill>
          </w14:textFill>
        </w:rPr>
      </w:pPr>
      <w:r>
        <w:rPr>
          <w:color w:val="000000" w:themeColor="text1"/>
          <w14:textFill>
            <w14:solidFill>
              <w14:schemeClr w14:val="tx1"/>
            </w14:solidFill>
          </w14:textFill>
        </w:rPr>
        <w:t>《四川省自然资源厅四川省农业农村厅关于进一步完善设施农业用地管理有关问题的通知》（川自然资规〔2020〕3号）</w:t>
      </w:r>
      <w:r>
        <w:rPr>
          <w:color w:val="000000" w:themeColor="text1"/>
          <w:lang w:val="en-US"/>
          <w14:textFill>
            <w14:solidFill>
              <w14:schemeClr w14:val="tx1"/>
            </w14:solidFill>
          </w14:textFill>
        </w:rPr>
        <w:t>规定：“</w:t>
      </w:r>
      <w:r>
        <w:rPr>
          <w:color w:val="000000" w:themeColor="text1"/>
          <w14:textFill>
            <w14:solidFill>
              <w14:schemeClr w14:val="tx1"/>
            </w14:solidFill>
          </w14:textFill>
        </w:rPr>
        <w:t>一、严格界定设施农业用地范围（二）畜禽水产养殖设施用地1.生产设施用地，养殖中畜禽舍、养殖池（车间）、绿化隔离带、场区内通道、进排水渠道等设施用地。2.辅助设施用地。与养殖生产直接关联的畜禽粪污处置、水产养殖尾水处理、检验检疫、疫病防治、消洗转运、管理用房等设施用地。二、合理确定设施农业用地规模（二）畜禽水产养殖设施用地规模。直接用于养殖的生产设施用地规模根据生产需要，按照农业行业标准合理确定。</w:t>
      </w:r>
      <w:r>
        <w:rPr>
          <w:b/>
          <w:bCs/>
          <w:color w:val="000000" w:themeColor="text1"/>
          <w14:textFill>
            <w14:solidFill>
              <w14:schemeClr w14:val="tx1"/>
            </w14:solidFill>
          </w14:textFill>
        </w:rPr>
        <w:t>规模化养殖猪、牛、羊的辅助设施用地原则上控制在项目用地的10%以内</w:t>
      </w:r>
      <w:r>
        <w:rPr>
          <w:color w:val="000000" w:themeColor="text1"/>
          <w14:textFill>
            <w14:solidFill>
              <w14:schemeClr w14:val="tx1"/>
            </w14:solidFill>
          </w14:textFill>
        </w:rPr>
        <w:t>，最多不超过15亩，但生猪养殖不受15亩上限限制；其他规模化畜禽水产养殖的辅助设施用地原则上控制在项目用地的7%以内，最多不超过15亩（其中水产养殖的最多不超过10亩）。养殖设施允许建设多层建筑，但必须符合相关规划、建设安全和生物防疫等方面要求。”</w:t>
      </w:r>
    </w:p>
    <w:p w14:paraId="036C4192">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项目实际占地181700m</w:t>
      </w:r>
      <w:r>
        <w:rPr>
          <w:color w:val="000000" w:themeColor="text1"/>
          <w:vertAlign w:val="superscript"/>
          <w:lang w:val="en-US"/>
          <w14:textFill>
            <w14:solidFill>
              <w14:schemeClr w14:val="tx1"/>
            </w14:solidFill>
          </w14:textFill>
        </w:rPr>
        <w:t>2</w:t>
      </w:r>
      <w:r>
        <w:rPr>
          <w:color w:val="000000" w:themeColor="text1"/>
          <w:lang w:val="en-US"/>
          <w14:textFill>
            <w14:solidFill>
              <w14:schemeClr w14:val="tx1"/>
            </w14:solidFill>
          </w14:textFill>
        </w:rPr>
        <w:t>（建设饲草料种植基地0.6万亩以建设单位与巴州区其他乡镇及项目肉牛养殖区周边农户签订牧草种植和收购协议，提供技术培训，定期按协议价收购牧草的方式进行；项目实际占地为饲草料加工基地6000m</w:t>
      </w:r>
      <w:r>
        <w:rPr>
          <w:color w:val="000000" w:themeColor="text1"/>
          <w:vertAlign w:val="superscript"/>
          <w:lang w:val="en-US"/>
          <w14:textFill>
            <w14:solidFill>
              <w14:schemeClr w14:val="tx1"/>
            </w14:solidFill>
          </w14:textFill>
        </w:rPr>
        <w:t>2</w:t>
      </w:r>
      <w:r>
        <w:rPr>
          <w:color w:val="000000" w:themeColor="text1"/>
          <w:lang w:val="en-US"/>
          <w14:textFill>
            <w14:solidFill>
              <w14:schemeClr w14:val="tx1"/>
            </w14:solidFill>
          </w14:textFill>
        </w:rPr>
        <w:t>；肉牛养殖区175700m</w:t>
      </w:r>
      <w:r>
        <w:rPr>
          <w:color w:val="000000" w:themeColor="text1"/>
          <w:vertAlign w:val="superscript"/>
          <w:lang w:val="en-US"/>
          <w14:textFill>
            <w14:solidFill>
              <w14:schemeClr w14:val="tx1"/>
            </w14:solidFill>
          </w14:textFill>
        </w:rPr>
        <w:t>2</w:t>
      </w:r>
      <w:r>
        <w:rPr>
          <w:color w:val="000000" w:themeColor="text1"/>
          <w:lang w:val="en-US"/>
          <w14:textFill>
            <w14:solidFill>
              <w14:schemeClr w14:val="tx1"/>
            </w14:solidFill>
          </w14:textFill>
        </w:rPr>
        <w:t>，共计181700m</w:t>
      </w:r>
      <w:r>
        <w:rPr>
          <w:color w:val="000000" w:themeColor="text1"/>
          <w:vertAlign w:val="superscript"/>
          <w:lang w:val="en-US"/>
          <w14:textFill>
            <w14:solidFill>
              <w14:schemeClr w14:val="tx1"/>
            </w14:solidFill>
          </w14:textFill>
        </w:rPr>
        <w:t>2</w:t>
      </w:r>
      <w:r>
        <w:rPr>
          <w:color w:val="000000" w:themeColor="text1"/>
          <w:lang w:val="en-US"/>
          <w14:textFill>
            <w14:solidFill>
              <w14:schemeClr w14:val="tx1"/>
            </w14:solidFill>
          </w14:textFill>
        </w:rPr>
        <w:t>）；其中消毒室、兽医室、配电房、发电机房、磅房、机修房、蓄水池、药品库、垫料棚、冷库（病死牛存储）、办公生活区、管理用房为用于检验检疫、疫病防治、消洗转运、管理用房等的辅助设施用地，</w:t>
      </w:r>
      <w:r>
        <w:rPr>
          <w:color w:val="000000" w:themeColor="text1"/>
          <w14:textFill>
            <w14:solidFill>
              <w14:schemeClr w14:val="tx1"/>
            </w14:solidFill>
          </w14:textFill>
        </w:rPr>
        <w:t>辅助设施用地</w:t>
      </w:r>
      <w:r>
        <w:rPr>
          <w:color w:val="000000" w:themeColor="text1"/>
          <w:lang w:val="en-US"/>
          <w14:textFill>
            <w14:solidFill>
              <w14:schemeClr w14:val="tx1"/>
            </w14:solidFill>
          </w14:textFill>
        </w:rPr>
        <w:t>面积占总用地面积的＜10%，且小于15亩，所以本项目满足</w:t>
      </w:r>
      <w:r>
        <w:rPr>
          <w:color w:val="000000" w:themeColor="text1"/>
          <w14:textFill>
            <w14:solidFill>
              <w14:schemeClr w14:val="tx1"/>
            </w14:solidFill>
          </w14:textFill>
        </w:rPr>
        <w:t>《四川省自然资源厅四川省农业农村厅关于进一步完善设施农业用地管理有关问题的通知》（川自然资规〔2020〕3号）</w:t>
      </w:r>
      <w:r>
        <w:rPr>
          <w:color w:val="000000" w:themeColor="text1"/>
          <w:lang w:val="en-US"/>
          <w14:textFill>
            <w14:solidFill>
              <w14:schemeClr w14:val="tx1"/>
            </w14:solidFill>
          </w14:textFill>
        </w:rPr>
        <w:t>要求。</w:t>
      </w:r>
    </w:p>
    <w:p w14:paraId="6B1C2E71">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本项目不属于自然资源部、国家发展和改革委员会、国家林业和草原局发布的《自然资源要素支撑产业高质量发展指导目录（2024年本）》中限制类、禁止类之列。</w:t>
      </w:r>
    </w:p>
    <w:p w14:paraId="332E8BEE">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根据巴州区生态环境局出局材料文件，本项目</w:t>
      </w:r>
      <w:r>
        <w:rPr>
          <w:color w:val="000000" w:themeColor="text1"/>
          <w:kern w:val="0"/>
          <w:lang w:val="en-US" w:bidi="ar"/>
          <w14:textFill>
            <w14:solidFill>
              <w14:schemeClr w14:val="tx1"/>
            </w14:solidFill>
          </w14:textFill>
        </w:rPr>
        <w:t>不涉及饮用水水源保护区，</w:t>
      </w:r>
      <w:r>
        <w:rPr>
          <w:color w:val="000000" w:themeColor="text1"/>
          <w:lang w:val="en-US"/>
          <w14:textFill>
            <w14:solidFill>
              <w14:schemeClr w14:val="tx1"/>
            </w14:solidFill>
          </w14:textFill>
        </w:rPr>
        <w:t>不在畜禽养殖禁养区、限养区范围（农业农村局）</w:t>
      </w:r>
      <w:r>
        <w:rPr>
          <w:color w:val="000000" w:themeColor="text1"/>
          <w:kern w:val="0"/>
          <w:lang w:val="en-US" w:bidi="ar"/>
          <w14:textFill>
            <w14:solidFill>
              <w14:schemeClr w14:val="tx1"/>
            </w14:solidFill>
          </w14:textFill>
        </w:rPr>
        <w:t>；根据</w:t>
      </w:r>
      <w:r>
        <w:rPr>
          <w:color w:val="000000" w:themeColor="text1"/>
          <w:lang w:val="en-US"/>
          <w14:textFill>
            <w14:solidFill>
              <w14:schemeClr w14:val="tx1"/>
            </w14:solidFill>
          </w14:textFill>
        </w:rPr>
        <w:t>巴州区</w:t>
      </w:r>
      <w:r>
        <w:rPr>
          <w:color w:val="000000" w:themeColor="text1"/>
          <w:kern w:val="0"/>
          <w:lang w:val="en-US" w:bidi="ar"/>
          <w14:textFill>
            <w14:solidFill>
              <w14:schemeClr w14:val="tx1"/>
            </w14:solidFill>
          </w14:textFill>
        </w:rPr>
        <w:t>自然资源和规划局出具材料</w:t>
      </w:r>
      <w:r>
        <w:rPr>
          <w:color w:val="000000" w:themeColor="text1"/>
          <w:lang w:val="en-US"/>
          <w14:textFill>
            <w14:solidFill>
              <w14:schemeClr w14:val="tx1"/>
            </w14:solidFill>
          </w14:textFill>
        </w:rPr>
        <w:t>文件</w:t>
      </w:r>
      <w:r>
        <w:rPr>
          <w:color w:val="000000" w:themeColor="text1"/>
          <w:kern w:val="0"/>
          <w:lang w:val="en-US" w:bidi="ar"/>
          <w14:textFill>
            <w14:solidFill>
              <w14:schemeClr w14:val="tx1"/>
            </w14:solidFill>
          </w14:textFill>
        </w:rPr>
        <w:t>，本项目不涉及生态保护红线、不占基本农田；根据</w:t>
      </w:r>
      <w:r>
        <w:rPr>
          <w:color w:val="000000" w:themeColor="text1"/>
          <w:lang w:val="en-US"/>
          <w14:textFill>
            <w14:solidFill>
              <w14:schemeClr w14:val="tx1"/>
            </w14:solidFill>
          </w14:textFill>
        </w:rPr>
        <w:t>巴州区林业局出具材料文件，本项目未占用公益林和保护林。</w:t>
      </w:r>
    </w:p>
    <w:p w14:paraId="1BBAEC13">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综上所述，本项目占用的土地符合当地规划，</w:t>
      </w:r>
      <w:r>
        <w:rPr>
          <w:b/>
          <w:bCs/>
          <w:color w:val="000000" w:themeColor="text1"/>
          <w:spacing w:val="4"/>
          <w14:textFill>
            <w14:solidFill>
              <w14:schemeClr w14:val="tx1"/>
            </w14:solidFill>
          </w14:textFill>
        </w:rPr>
        <w:t>本项目不在</w:t>
      </w:r>
      <w:r>
        <w:rPr>
          <w:b/>
          <w:bCs/>
          <w:color w:val="000000" w:themeColor="text1"/>
          <w:spacing w:val="4"/>
          <w:lang w:val="en-US"/>
          <w14:textFill>
            <w14:solidFill>
              <w14:schemeClr w14:val="tx1"/>
            </w14:solidFill>
          </w14:textFill>
        </w:rPr>
        <w:t>畜禽养殖</w:t>
      </w:r>
      <w:r>
        <w:rPr>
          <w:b/>
          <w:bCs/>
          <w:color w:val="000000" w:themeColor="text1"/>
          <w:spacing w:val="4"/>
          <w14:textFill>
            <w14:solidFill>
              <w14:schemeClr w14:val="tx1"/>
            </w14:solidFill>
          </w14:textFill>
        </w:rPr>
        <w:t>禁养区内、不涉及永久基本农田和生态红线、</w:t>
      </w:r>
      <w:r>
        <w:rPr>
          <w:b/>
          <w:bCs/>
          <w:color w:val="000000" w:themeColor="text1"/>
          <w:spacing w:val="-1"/>
          <w14:textFill>
            <w14:solidFill>
              <w14:schemeClr w14:val="tx1"/>
            </w14:solidFill>
          </w14:textFill>
        </w:rPr>
        <w:t>不涉及饮用水源保护区</w:t>
      </w:r>
      <w:r>
        <w:rPr>
          <w:color w:val="000000" w:themeColor="text1"/>
          <w:spacing w:val="-1"/>
          <w14:textFill>
            <w14:solidFill>
              <w14:schemeClr w14:val="tx1"/>
            </w14:solidFill>
          </w14:textFill>
        </w:rPr>
        <w:t>，</w:t>
      </w:r>
      <w:r>
        <w:rPr>
          <w:color w:val="000000" w:themeColor="text1"/>
          <w:kern w:val="0"/>
          <w:lang w:val="en-US" w:bidi="ar"/>
          <w14:textFill>
            <w14:solidFill>
              <w14:schemeClr w14:val="tx1"/>
            </w14:solidFill>
          </w14:textFill>
        </w:rPr>
        <w:t>不在自然保护区、风景名胜区、场镇规划区、湿地公园、饮用水源保护区等保护区范围内，项目用地符合当地土地利用规划要求。</w:t>
      </w:r>
    </w:p>
    <w:p w14:paraId="6CFF5ABC">
      <w:pPr>
        <w:pStyle w:val="752"/>
        <w:rPr>
          <w:rFonts w:cs="Times New Roman"/>
          <w:color w:val="000000" w:themeColor="text1"/>
          <w14:textFill>
            <w14:solidFill>
              <w14:schemeClr w14:val="tx1"/>
            </w14:solidFill>
          </w14:textFill>
        </w:rPr>
      </w:pPr>
      <w:bookmarkStart w:id="29" w:name="_Toc233380099"/>
      <w:r>
        <w:rPr>
          <w:rFonts w:cs="Times New Roman"/>
          <w:color w:val="000000" w:themeColor="text1"/>
          <w14:textFill>
            <w14:solidFill>
              <w14:schemeClr w14:val="tx1"/>
            </w14:solidFill>
          </w14:textFill>
        </w:rPr>
        <w:t>1.6.4项目外环境及选址合理性分析</w:t>
      </w:r>
      <w:bookmarkEnd w:id="29"/>
    </w:p>
    <w:p w14:paraId="1B48C33A">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本项目</w:t>
      </w:r>
      <w:r>
        <w:rPr>
          <w:color w:val="000000" w:themeColor="text1"/>
          <w:lang w:val="en-US"/>
          <w14:textFill>
            <w14:solidFill>
              <w14:schemeClr w14:val="tx1"/>
            </w14:solidFill>
          </w14:textFill>
        </w:rPr>
        <w:t>肉牛养殖建设选址白庙乡百花村，曾口镇佛龙，清江镇塘坝村，水宁寺镇始宁社区。</w:t>
      </w:r>
      <w:r>
        <w:rPr>
          <w:color w:val="000000" w:themeColor="text1"/>
          <w:kern w:val="0"/>
          <w:lang w:val="en-US" w:bidi="ar"/>
          <w14:textFill>
            <w14:solidFill>
              <w14:schemeClr w14:val="tx1"/>
            </w14:solidFill>
          </w14:textFill>
        </w:rPr>
        <w:t>根据现场踏勘，项目地处农村环境，周边主要为农户、耕地和林地。项目选址已避开基本农田、生态红线和禽畜禁养区，不涉及饮用水源保护区，不在自然保护区、风景名胜区、场镇规划区、湿地公园等保护区范围内。</w:t>
      </w:r>
    </w:p>
    <w:p w14:paraId="31859CF8">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此外，项目肉牛养殖过程会产生噪声和恶臭，项目采用生物发酵床养殖模式，项目肉牛养殖过程产生的粪污混入发酵垫料中形成发酵床，废弃垫料外运至有机肥厂无害化处理后生产有机肥，实现粪污资源化利用。项目生活污水处理后用于厂区绿化，不外排。本项目无生产废水、生活污水外排。项目采用</w:t>
      </w:r>
      <w:r>
        <w:rPr>
          <w:color w:val="000000" w:themeColor="text1"/>
          <w:lang w:val="en-US"/>
          <w14:textFill>
            <w14:solidFill>
              <w14:schemeClr w14:val="tx1"/>
            </w14:solidFill>
          </w14:textFill>
        </w:rPr>
        <w:t>发酵床技术，在饲料中添加益生菌，以及圈舍喷洒生物除臭剂</w:t>
      </w:r>
      <w:r>
        <w:rPr>
          <w:color w:val="000000" w:themeColor="text1"/>
          <w:kern w:val="0"/>
          <w:lang w:val="en-US" w:bidi="ar"/>
          <w14:textFill>
            <w14:solidFill>
              <w14:schemeClr w14:val="tx1"/>
            </w14:solidFill>
          </w14:textFill>
        </w:rPr>
        <w:t>的方式，能够显著减少恶臭影响，同时选址时已尽量避开周边零散民居，且以牛舍边界为起点划定100m的卫生防护距离范围。建设单位已与项目周边居民签订房屋租赁协议作为职工宿舍、休息室等使用，因此本项目卫生防护距离范围内无医院、学校、居民等保护目标分布。</w:t>
      </w:r>
    </w:p>
    <w:p w14:paraId="6DE3A2F8">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总体来说，项目通过采取相应的污染治理措施，基本上不会对周围产生污染或影响。项目建设地点位于农村，项目用地属于设施农业用地，用地符合当地规划；项目所在区域环境空气质量、地表水环境质量、声环境质量状况良好，根据预测项目对区域环境影响较小，不会改变区域环境功能，因此项目周围无明显环境制约因素，项目与周围外环境是基本相容的，项目选址合理。</w:t>
      </w:r>
    </w:p>
    <w:p w14:paraId="50EFEBDE">
      <w:pPr>
        <w:pStyle w:val="752"/>
        <w:rPr>
          <w:rFonts w:cs="Times New Roman"/>
          <w:color w:val="000000" w:themeColor="text1"/>
          <w14:textFill>
            <w14:solidFill>
              <w14:schemeClr w14:val="tx1"/>
            </w14:solidFill>
          </w14:textFill>
        </w:rPr>
      </w:pPr>
      <w:bookmarkStart w:id="30" w:name="_Toc233380100"/>
      <w:r>
        <w:rPr>
          <w:rFonts w:cs="Times New Roman"/>
          <w:color w:val="000000" w:themeColor="text1"/>
          <w14:textFill>
            <w14:solidFill>
              <w14:schemeClr w14:val="tx1"/>
            </w14:solidFill>
          </w14:textFill>
        </w:rPr>
        <w:t>1.6.5相关政策符合性分析</w:t>
      </w:r>
      <w:bookmarkEnd w:id="30"/>
    </w:p>
    <w:p w14:paraId="1F389385">
      <w:pPr>
        <w:spacing w:line="360" w:lineRule="auto"/>
        <w:ind w:firstLine="482" w:firstLineChars="200"/>
        <w:outlineLvl w:val="4"/>
        <w:rPr>
          <w:b/>
          <w:bCs/>
          <w:color w:val="000000" w:themeColor="text1"/>
          <w:kern w:val="0"/>
          <w:sz w:val="24"/>
          <w:lang w:bidi="ar"/>
          <w14:textFill>
            <w14:solidFill>
              <w14:schemeClr w14:val="tx1"/>
            </w14:solidFill>
          </w14:textFill>
        </w:rPr>
      </w:pPr>
      <w:r>
        <w:rPr>
          <w:b/>
          <w:bCs/>
          <w:color w:val="000000" w:themeColor="text1"/>
          <w:kern w:val="0"/>
          <w:sz w:val="24"/>
          <w:lang w:bidi="ar"/>
          <w14:textFill>
            <w14:solidFill>
              <w14:schemeClr w14:val="tx1"/>
            </w14:solidFill>
          </w14:textFill>
        </w:rPr>
        <w:t>1、与畜牧养殖类法规、规范的符合性分析</w:t>
      </w:r>
    </w:p>
    <w:p w14:paraId="5880100F">
      <w:pPr>
        <w:spacing w:line="360" w:lineRule="auto"/>
        <w:ind w:firstLine="480" w:firstLineChars="200"/>
        <w:outlineLvl w:val="4"/>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本项目符合《四川省“十四五”生态环境保护规划》、《巴中市畜禽养殖污染防治规划（2024-2030年）》、《中华人民共和国水污染防治法》、《水污染防治行动计划》（简称“水十条”）、《土壤污染防治行动计划》（简称“土十条”）和《土壤污染防治行动计划四川省工作方案》、《畜禽规模养殖污染防治条例》、《国务院办公厅关于加快推进畜禽养殖废弃物资源化利用的意见》、《农业农村部办公厅生态环境部办公厅关于进一步明确畜禽粪污还田利用要求强化养殖污染监管的通知》（农办牧〔2020〕23号）等相关要求。本项目符合“生态环境分区管控”要求，不在生态红线内，未突破环境质量底线，未突破资源利用上线，不在环境负面清单内。</w:t>
      </w:r>
    </w:p>
    <w:p w14:paraId="43F4F8E0">
      <w:pPr>
        <w:spacing w:line="360" w:lineRule="auto"/>
        <w:ind w:firstLine="482" w:firstLineChars="200"/>
        <w:outlineLvl w:val="4"/>
        <w:rPr>
          <w:b/>
          <w:bCs/>
          <w:color w:val="000000" w:themeColor="text1"/>
          <w:spacing w:val="-3"/>
          <w:sz w:val="24"/>
          <w14:textFill>
            <w14:solidFill>
              <w14:schemeClr w14:val="tx1"/>
            </w14:solidFill>
          </w14:textFill>
        </w:rPr>
      </w:pPr>
      <w:r>
        <w:rPr>
          <w:b/>
          <w:bCs/>
          <w:color w:val="000000" w:themeColor="text1"/>
          <w:kern w:val="0"/>
          <w:sz w:val="24"/>
          <w:lang w:bidi="ar"/>
          <w14:textFill>
            <w14:solidFill>
              <w14:schemeClr w14:val="tx1"/>
            </w14:solidFill>
          </w14:textFill>
        </w:rPr>
        <w:t>（1）与</w:t>
      </w:r>
      <w:r>
        <w:rPr>
          <w:b/>
          <w:bCs/>
          <w:color w:val="000000" w:themeColor="text1"/>
          <w:spacing w:val="-3"/>
          <w:sz w:val="24"/>
          <w14:textFill>
            <w14:solidFill>
              <w14:schemeClr w14:val="tx1"/>
            </w14:solidFill>
          </w14:textFill>
        </w:rPr>
        <w:t>《中华人民共和国畜牧法》符合性</w:t>
      </w:r>
    </w:p>
    <w:p w14:paraId="27FC72A8">
      <w:pPr>
        <w:rPr>
          <w:b/>
          <w:bCs/>
          <w:color w:val="000000" w:themeColor="text1"/>
          <w:spacing w:val="-3"/>
          <w:sz w:val="24"/>
          <w14:textFill>
            <w14:solidFill>
              <w14:schemeClr w14:val="tx1"/>
            </w14:solidFill>
          </w14:textFill>
        </w:rPr>
      </w:pPr>
      <w:r>
        <w:rPr>
          <w:b/>
          <w:bCs/>
          <w:color w:val="000000" w:themeColor="text1"/>
          <w:spacing w:val="-3"/>
          <w:sz w:val="24"/>
          <w14:textFill>
            <w14:solidFill>
              <w14:schemeClr w14:val="tx1"/>
            </w14:solidFill>
          </w14:textFill>
        </w:rPr>
        <w:br w:type="page"/>
      </w:r>
    </w:p>
    <w:p w14:paraId="1AC7633C">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本项目与《中华人民共和国畜牧法》符合性分析</w:t>
      </w: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543"/>
        <w:gridCol w:w="3777"/>
        <w:gridCol w:w="3555"/>
        <w:gridCol w:w="690"/>
      </w:tblGrid>
      <w:tr w14:paraId="6B08105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43" w:type="dxa"/>
            <w:tcBorders>
              <w:tl2br w:val="nil"/>
              <w:tr2bl w:val="nil"/>
            </w:tcBorders>
            <w:vAlign w:val="center"/>
          </w:tcPr>
          <w:p w14:paraId="6E36C438">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序号</w:t>
            </w:r>
          </w:p>
        </w:tc>
        <w:tc>
          <w:tcPr>
            <w:tcW w:w="3777" w:type="dxa"/>
            <w:tcBorders>
              <w:tl2br w:val="nil"/>
              <w:tr2bl w:val="nil"/>
            </w:tcBorders>
            <w:vAlign w:val="center"/>
          </w:tcPr>
          <w:p w14:paraId="461286DD">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《中华人民共和国畜牧法》相关要求</w:t>
            </w:r>
          </w:p>
        </w:tc>
        <w:tc>
          <w:tcPr>
            <w:tcW w:w="3555" w:type="dxa"/>
            <w:tcBorders>
              <w:tl2br w:val="nil"/>
              <w:tr2bl w:val="nil"/>
            </w:tcBorders>
            <w:vAlign w:val="center"/>
          </w:tcPr>
          <w:p w14:paraId="4FCCA320">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789AF077">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524E063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585" w:hRule="atLeast"/>
          <w:jc w:val="center"/>
        </w:trPr>
        <w:tc>
          <w:tcPr>
            <w:tcW w:w="543" w:type="dxa"/>
            <w:tcBorders>
              <w:tl2br w:val="nil"/>
              <w:tr2bl w:val="nil"/>
            </w:tcBorders>
            <w:vAlign w:val="center"/>
          </w:tcPr>
          <w:p w14:paraId="2F68F231">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3777" w:type="dxa"/>
            <w:tcBorders>
              <w:tl2br w:val="nil"/>
              <w:tr2bl w:val="nil"/>
            </w:tcBorders>
            <w:vAlign w:val="center"/>
          </w:tcPr>
          <w:p w14:paraId="6820080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第三十九条、畜禽养殖场、养殖小区应当具备下列条件：</w:t>
            </w:r>
          </w:p>
          <w:p w14:paraId="2FE0162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①有与其饲养规模相适应的生产场所和配套生产设施；</w:t>
            </w:r>
          </w:p>
          <w:p w14:paraId="42BDF549">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②有为其服务的畜牧兽医技术人员；</w:t>
            </w:r>
          </w:p>
          <w:p w14:paraId="0C77D0A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③具备法律、行政法规和国务院畜牧兽医行政主管部门规定的防疫条件；</w:t>
            </w:r>
          </w:p>
          <w:p w14:paraId="6B8D70E9">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④有对畜禽粪便、废水和其他固体废弃物进行综合利用的沼气池等设施或者其他无害化处理设施；</w:t>
            </w:r>
          </w:p>
          <w:p w14:paraId="2C318259">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⑤具备法律、行政法规规定的其他条件；</w:t>
            </w:r>
          </w:p>
        </w:tc>
        <w:tc>
          <w:tcPr>
            <w:tcW w:w="3555" w:type="dxa"/>
            <w:tcBorders>
              <w:tl2br w:val="nil"/>
              <w:tr2bl w:val="nil"/>
            </w:tcBorders>
            <w:vAlign w:val="center"/>
          </w:tcPr>
          <w:p w14:paraId="026252C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本项目建设满足饲养规模的圈舍及配套设施，配备畜牧兽医人员，具有相应的防疫条件和法律、法规规定的其他条件。</w:t>
            </w:r>
          </w:p>
          <w:p w14:paraId="110F140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项目产生的粪污混入发酵垫料中形成发酵床，废弃垫料外运至有机肥厂无害化处理后生产有机肥，实现粪污资源化利用。</w:t>
            </w:r>
          </w:p>
        </w:tc>
        <w:tc>
          <w:tcPr>
            <w:tcW w:w="690" w:type="dxa"/>
            <w:tcBorders>
              <w:tl2br w:val="nil"/>
              <w:tr2bl w:val="nil"/>
            </w:tcBorders>
            <w:vAlign w:val="center"/>
          </w:tcPr>
          <w:p w14:paraId="0A7F578A">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62E928A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404" w:hRule="atLeast"/>
          <w:jc w:val="center"/>
        </w:trPr>
        <w:tc>
          <w:tcPr>
            <w:tcW w:w="543" w:type="dxa"/>
            <w:tcBorders>
              <w:tl2br w:val="nil"/>
              <w:tr2bl w:val="nil"/>
            </w:tcBorders>
            <w:vAlign w:val="center"/>
          </w:tcPr>
          <w:p w14:paraId="1650ADCB">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3777" w:type="dxa"/>
            <w:tcBorders>
              <w:tl2br w:val="nil"/>
              <w:tr2bl w:val="nil"/>
            </w:tcBorders>
            <w:vAlign w:val="center"/>
          </w:tcPr>
          <w:p w14:paraId="3028015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第四十条，禁止在下列区域内建设畜禽养殖场、养殖小区：</w:t>
            </w:r>
          </w:p>
          <w:p w14:paraId="09C9249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①生活饮用水的水源保护区，风景名胜区，以及自然保护区的核心区和缓冲区</w:t>
            </w:r>
          </w:p>
          <w:p w14:paraId="048DFD4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②城镇居民区、文化教育科学研究区等人口集中区域</w:t>
            </w:r>
          </w:p>
          <w:p w14:paraId="563AD573">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③法律法规规定的其他禁养区域</w:t>
            </w:r>
          </w:p>
        </w:tc>
        <w:tc>
          <w:tcPr>
            <w:tcW w:w="3555" w:type="dxa"/>
            <w:tcBorders>
              <w:tl2br w:val="nil"/>
              <w:tr2bl w:val="nil"/>
            </w:tcBorders>
            <w:vAlign w:val="center"/>
          </w:tcPr>
          <w:p w14:paraId="2A1B8741">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本项目不在生活饮用水的水源保护区，风景名胜区，以及自然保护区的核心区及缓冲区内；不在城镇居民区、文化教育科学研究区等人口集中区域内；也不在法律法规规定的其他禁止养殖区域内。</w:t>
            </w:r>
          </w:p>
        </w:tc>
        <w:tc>
          <w:tcPr>
            <w:tcW w:w="690" w:type="dxa"/>
            <w:tcBorders>
              <w:tl2br w:val="nil"/>
              <w:tr2bl w:val="nil"/>
            </w:tcBorders>
            <w:vAlign w:val="center"/>
          </w:tcPr>
          <w:p w14:paraId="7D20805B">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030476A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543" w:type="dxa"/>
            <w:tcBorders>
              <w:tl2br w:val="nil"/>
              <w:tr2bl w:val="nil"/>
            </w:tcBorders>
            <w:vAlign w:val="center"/>
          </w:tcPr>
          <w:p w14:paraId="25C989C7">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3777" w:type="dxa"/>
            <w:tcBorders>
              <w:tl2br w:val="nil"/>
              <w:tr2bl w:val="nil"/>
            </w:tcBorders>
            <w:vAlign w:val="center"/>
          </w:tcPr>
          <w:p w14:paraId="3FB75B7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第四十二条、畜禽养殖场应当为其饲养的畜禽提供适当的繁殖条件和生存、生长环境</w:t>
            </w:r>
          </w:p>
        </w:tc>
        <w:tc>
          <w:tcPr>
            <w:tcW w:w="3555" w:type="dxa"/>
            <w:tcBorders>
              <w:tl2br w:val="nil"/>
              <w:tr2bl w:val="nil"/>
            </w:tcBorders>
            <w:vAlign w:val="center"/>
          </w:tcPr>
          <w:p w14:paraId="783D3C65">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本项目建设有满足畜禽生存、生长的环境。</w:t>
            </w:r>
          </w:p>
        </w:tc>
        <w:tc>
          <w:tcPr>
            <w:tcW w:w="690" w:type="dxa"/>
            <w:tcBorders>
              <w:tl2br w:val="nil"/>
              <w:tr2bl w:val="nil"/>
            </w:tcBorders>
            <w:vAlign w:val="center"/>
          </w:tcPr>
          <w:p w14:paraId="6042F02A">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78412BA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27" w:hRule="atLeast"/>
          <w:jc w:val="center"/>
        </w:trPr>
        <w:tc>
          <w:tcPr>
            <w:tcW w:w="543" w:type="dxa"/>
            <w:tcBorders>
              <w:tl2br w:val="nil"/>
              <w:tr2bl w:val="nil"/>
            </w:tcBorders>
            <w:vAlign w:val="center"/>
          </w:tcPr>
          <w:p w14:paraId="5D4937D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4</w:t>
            </w:r>
          </w:p>
        </w:tc>
        <w:tc>
          <w:tcPr>
            <w:tcW w:w="3777" w:type="dxa"/>
            <w:tcBorders>
              <w:tl2br w:val="nil"/>
              <w:tr2bl w:val="nil"/>
            </w:tcBorders>
            <w:vAlign w:val="center"/>
          </w:tcPr>
          <w:p w14:paraId="5CEF2185">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第四十四条、从事畜禽养殖，应当依照《中华人民共和国动物防疫法》的规定，做好畜禽疫病的防治工作</w:t>
            </w:r>
          </w:p>
        </w:tc>
        <w:tc>
          <w:tcPr>
            <w:tcW w:w="3555" w:type="dxa"/>
            <w:tcBorders>
              <w:tl2br w:val="nil"/>
              <w:tr2bl w:val="nil"/>
            </w:tcBorders>
            <w:vAlign w:val="center"/>
          </w:tcPr>
          <w:p w14:paraId="5CE5DEEE">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本项目建成后将严格按照要求，做好畜禽防疫工作。</w:t>
            </w:r>
          </w:p>
        </w:tc>
        <w:tc>
          <w:tcPr>
            <w:tcW w:w="690" w:type="dxa"/>
            <w:tcBorders>
              <w:tl2br w:val="nil"/>
              <w:tr2bl w:val="nil"/>
            </w:tcBorders>
            <w:vAlign w:val="center"/>
          </w:tcPr>
          <w:p w14:paraId="79A634B6">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2AF5B78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547" w:hRule="atLeast"/>
          <w:jc w:val="center"/>
        </w:trPr>
        <w:tc>
          <w:tcPr>
            <w:tcW w:w="543" w:type="dxa"/>
            <w:tcBorders>
              <w:tl2br w:val="nil"/>
              <w:tr2bl w:val="nil"/>
            </w:tcBorders>
            <w:vAlign w:val="center"/>
          </w:tcPr>
          <w:p w14:paraId="77351B3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5</w:t>
            </w:r>
          </w:p>
        </w:tc>
        <w:tc>
          <w:tcPr>
            <w:tcW w:w="3777" w:type="dxa"/>
            <w:tcBorders>
              <w:tl2br w:val="nil"/>
              <w:tr2bl w:val="nil"/>
            </w:tcBorders>
            <w:vAlign w:val="center"/>
          </w:tcPr>
          <w:p w14:paraId="4B61A33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第四十六条、畜禽养殖场、养殖小区应当保证畜禽粪便、废水及其他固体废弃物综合利用或者无害化处理设施的正常运转，保证污染物达标排放，防止污染环境</w:t>
            </w:r>
          </w:p>
        </w:tc>
        <w:tc>
          <w:tcPr>
            <w:tcW w:w="3555" w:type="dxa"/>
            <w:tcBorders>
              <w:tl2br w:val="nil"/>
              <w:tr2bl w:val="nil"/>
            </w:tcBorders>
            <w:vAlign w:val="center"/>
          </w:tcPr>
          <w:p w14:paraId="7BC00CA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项目产生的粪污混入发酵垫料中形成发酵床，废弃垫料外运至有机肥厂无害化处理后生产有机肥，实现粪污资源化利用。</w:t>
            </w:r>
          </w:p>
          <w:p w14:paraId="11B39841">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bCs/>
                <w:color w:val="000000" w:themeColor="text1"/>
                <w:sz w:val="18"/>
                <w:szCs w:val="18"/>
                <w:lang w:eastAsia="zh-CN"/>
                <w14:textFill>
                  <w14:solidFill>
                    <w14:schemeClr w14:val="tx1"/>
                  </w14:solidFill>
                </w14:textFill>
              </w:rPr>
              <w:t>项目病死牛委托四川科农动物无害化处理有限公司无害化处置。</w:t>
            </w:r>
          </w:p>
        </w:tc>
        <w:tc>
          <w:tcPr>
            <w:tcW w:w="690" w:type="dxa"/>
            <w:tcBorders>
              <w:tl2br w:val="nil"/>
              <w:tr2bl w:val="nil"/>
            </w:tcBorders>
            <w:vAlign w:val="center"/>
          </w:tcPr>
          <w:p w14:paraId="31E4A0B3">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2F8DF72E">
      <w:pPr>
        <w:spacing w:line="360" w:lineRule="auto"/>
        <w:ind w:firstLine="476" w:firstLineChars="20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由上表可知，本项目建设符合《中华人民共和国畜</w:t>
      </w:r>
      <w:r>
        <w:rPr>
          <w:color w:val="000000" w:themeColor="text1"/>
          <w:spacing w:val="-2"/>
          <w:sz w:val="24"/>
          <w14:textFill>
            <w14:solidFill>
              <w14:schemeClr w14:val="tx1"/>
            </w14:solidFill>
          </w14:textFill>
        </w:rPr>
        <w:t>牧法》中相关要求。</w:t>
      </w:r>
    </w:p>
    <w:p w14:paraId="74506A56">
      <w:pPr>
        <w:numPr>
          <w:ilvl w:val="0"/>
          <w:numId w:val="16"/>
        </w:numPr>
        <w:spacing w:line="360" w:lineRule="auto"/>
        <w:ind w:firstLine="470" w:firstLineChars="200"/>
        <w:outlineLvl w:val="4"/>
        <w:rPr>
          <w:color w:val="000000" w:themeColor="text1"/>
          <w:sz w:val="24"/>
          <w14:textFill>
            <w14:solidFill>
              <w14:schemeClr w14:val="tx1"/>
            </w14:solidFill>
          </w14:textFill>
        </w:rPr>
      </w:pPr>
      <w:r>
        <w:rPr>
          <w:b/>
          <w:bCs/>
          <w:color w:val="000000" w:themeColor="text1"/>
          <w:spacing w:val="-3"/>
          <w:sz w:val="24"/>
          <w14:textFill>
            <w14:solidFill>
              <w14:schemeClr w14:val="tx1"/>
            </w14:solidFill>
          </w14:textFill>
        </w:rPr>
        <w:t>与《畜禽规模养殖污染防治条例》（国务院令第643号）符合性</w:t>
      </w:r>
    </w:p>
    <w:p w14:paraId="4C0C6226">
      <w:pPr>
        <w:pStyle w:val="21"/>
        <w:ind w:firstLine="480" w:firstLineChars="200"/>
        <w:jc w:val="left"/>
        <w:rPr>
          <w:b w:val="0"/>
          <w:bCs w:val="0"/>
          <w:color w:val="000000" w:themeColor="text1"/>
          <w:kern w:val="0"/>
          <w:szCs w:val="24"/>
          <w:lang w:bidi="ar"/>
          <w14:textFill>
            <w14:solidFill>
              <w14:schemeClr w14:val="tx1"/>
            </w14:solidFill>
          </w14:textFill>
        </w:rPr>
      </w:pPr>
      <w:r>
        <w:rPr>
          <w:b w:val="0"/>
          <w:bCs w:val="0"/>
          <w:color w:val="000000" w:themeColor="text1"/>
          <w:kern w:val="0"/>
          <w:szCs w:val="24"/>
          <w:lang w:bidi="ar"/>
          <w14:textFill>
            <w14:solidFill>
              <w14:schemeClr w14:val="tx1"/>
            </w14:solidFill>
          </w14:textFill>
        </w:rPr>
        <w:t>项目与《畜禽规模养殖污染防治条例》（国务院令第643号）相关要求的符合性见下表。</w:t>
      </w:r>
    </w:p>
    <w:p w14:paraId="121E1DDB">
      <w:pPr>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br w:type="page"/>
      </w:r>
    </w:p>
    <w:p w14:paraId="286C0A11">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本项目与《畜禽规模养殖污染防治条例》符合性分析</w:t>
      </w: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543"/>
        <w:gridCol w:w="3777"/>
        <w:gridCol w:w="3555"/>
        <w:gridCol w:w="690"/>
      </w:tblGrid>
      <w:tr w14:paraId="79A5B54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43" w:type="dxa"/>
            <w:tcBorders>
              <w:tl2br w:val="nil"/>
              <w:tr2bl w:val="nil"/>
            </w:tcBorders>
            <w:vAlign w:val="center"/>
          </w:tcPr>
          <w:p w14:paraId="53CAE7CB">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序号</w:t>
            </w:r>
          </w:p>
        </w:tc>
        <w:tc>
          <w:tcPr>
            <w:tcW w:w="3777" w:type="dxa"/>
            <w:tcBorders>
              <w:tl2br w:val="nil"/>
              <w:tr2bl w:val="nil"/>
            </w:tcBorders>
            <w:vAlign w:val="center"/>
          </w:tcPr>
          <w:p w14:paraId="2A2B4ABD">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《畜禽规模养殖污染防治条例》相关要求</w:t>
            </w:r>
          </w:p>
        </w:tc>
        <w:tc>
          <w:tcPr>
            <w:tcW w:w="3555" w:type="dxa"/>
            <w:tcBorders>
              <w:tl2br w:val="nil"/>
              <w:tr2bl w:val="nil"/>
            </w:tcBorders>
            <w:vAlign w:val="center"/>
          </w:tcPr>
          <w:p w14:paraId="59DEEF07">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5884CC7D">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2903EA0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609" w:hRule="atLeast"/>
          <w:jc w:val="center"/>
        </w:trPr>
        <w:tc>
          <w:tcPr>
            <w:tcW w:w="543" w:type="dxa"/>
            <w:tcBorders>
              <w:tl2br w:val="nil"/>
              <w:tr2bl w:val="nil"/>
            </w:tcBorders>
            <w:vAlign w:val="center"/>
          </w:tcPr>
          <w:p w14:paraId="6528EEF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3777" w:type="dxa"/>
            <w:tcBorders>
              <w:tl2br w:val="nil"/>
              <w:tr2bl w:val="nil"/>
            </w:tcBorders>
            <w:vAlign w:val="center"/>
          </w:tcPr>
          <w:p w14:paraId="6E634E38">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十一条：禁止在下列区域内建设畜禽养殖场、养殖小区：（一）饮用水水源保护区，风景名胜区；（二）自然保护区的核心区和缓冲区；（三）城镇居民区、文化教育科学研究区等人口集中区域；（四）法律、法规规定的其他禁止养殖区域。</w:t>
            </w:r>
          </w:p>
        </w:tc>
        <w:tc>
          <w:tcPr>
            <w:tcW w:w="3555" w:type="dxa"/>
            <w:tcBorders>
              <w:tl2br w:val="nil"/>
              <w:tr2bl w:val="nil"/>
            </w:tcBorders>
            <w:vAlign w:val="center"/>
          </w:tcPr>
          <w:p w14:paraId="72BC9CC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肉牛养殖选址白庙乡百花村，曾口镇佛龙村，清江镇塘坝村，水宁寺镇始宁社区。建设地点不属于饮用水水源保护区、风景名胜区和自然保护区的核心区、缓冲区；不属于人口集中区域；亦不属于法律、法规规定的其他禁止养殖区域。</w:t>
            </w:r>
          </w:p>
        </w:tc>
        <w:tc>
          <w:tcPr>
            <w:tcW w:w="690" w:type="dxa"/>
            <w:tcBorders>
              <w:tl2br w:val="nil"/>
              <w:tr2bl w:val="nil"/>
            </w:tcBorders>
            <w:vAlign w:val="center"/>
          </w:tcPr>
          <w:p w14:paraId="48D83206">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0A3D47A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854" w:hRule="atLeast"/>
          <w:jc w:val="center"/>
        </w:trPr>
        <w:tc>
          <w:tcPr>
            <w:tcW w:w="543" w:type="dxa"/>
            <w:tcBorders>
              <w:tl2br w:val="nil"/>
              <w:tr2bl w:val="nil"/>
            </w:tcBorders>
            <w:vAlign w:val="center"/>
          </w:tcPr>
          <w:p w14:paraId="1635937E">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3777" w:type="dxa"/>
            <w:tcBorders>
              <w:tl2br w:val="nil"/>
              <w:tr2bl w:val="nil"/>
            </w:tcBorders>
            <w:vAlign w:val="center"/>
          </w:tcPr>
          <w:p w14:paraId="2067FBC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十二条：新建、改建、扩建畜禽养殖场、养殖小区，应当符合畜牧业发展规划、畜禽养殖污染防治规划，满足动物防疫条件，并进行环境影响评价。对环境可能造成重大影响的大型畜禽养殖场、养殖小区，应当编制环境影响报告书；其他畜禽养殖场、养殖小区应当填报环境影响登记表。</w:t>
            </w:r>
          </w:p>
        </w:tc>
        <w:tc>
          <w:tcPr>
            <w:tcW w:w="3555" w:type="dxa"/>
            <w:tcBorders>
              <w:tl2br w:val="nil"/>
              <w:tr2bl w:val="nil"/>
            </w:tcBorders>
            <w:vAlign w:val="center"/>
          </w:tcPr>
          <w:p w14:paraId="5033B5B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本项目选址不在当地划定的禁止养殖区域内，符合畜牧业发展规划、畜禽养殖污染防治规划，满足动物防疫条件。本项目为新建的畜禽养殖场，应编制环境影响报告书。</w:t>
            </w:r>
          </w:p>
        </w:tc>
        <w:tc>
          <w:tcPr>
            <w:tcW w:w="690" w:type="dxa"/>
            <w:tcBorders>
              <w:tl2br w:val="nil"/>
              <w:tr2bl w:val="nil"/>
            </w:tcBorders>
            <w:vAlign w:val="center"/>
          </w:tcPr>
          <w:p w14:paraId="6ACE5FC7">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627886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824" w:hRule="atLeast"/>
          <w:jc w:val="center"/>
        </w:trPr>
        <w:tc>
          <w:tcPr>
            <w:tcW w:w="543" w:type="dxa"/>
            <w:tcBorders>
              <w:tl2br w:val="nil"/>
              <w:tr2bl w:val="nil"/>
            </w:tcBorders>
            <w:vAlign w:val="center"/>
          </w:tcPr>
          <w:p w14:paraId="6BF1F2E2">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3777" w:type="dxa"/>
            <w:tcBorders>
              <w:tl2br w:val="nil"/>
              <w:tr2bl w:val="nil"/>
            </w:tcBorders>
            <w:vAlign w:val="center"/>
          </w:tcPr>
          <w:p w14:paraId="3BFFAA8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十三条：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w:t>
            </w:r>
          </w:p>
        </w:tc>
        <w:tc>
          <w:tcPr>
            <w:tcW w:w="3555" w:type="dxa"/>
            <w:tcBorders>
              <w:tl2br w:val="nil"/>
              <w:tr2bl w:val="nil"/>
            </w:tcBorders>
            <w:vAlign w:val="center"/>
          </w:tcPr>
          <w:p w14:paraId="5A3EFD80">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本项目采用雨污分流制。项目产生的粪污混入发酵垫料中形成发酵床，废弃垫料外运至有机肥厂无害化处理后生产有机肥，实现粪污资源化利用。</w:t>
            </w:r>
            <w:r>
              <w:rPr>
                <w:rFonts w:hint="eastAsia" w:ascii="宋体" w:hAnsi="宋体" w:eastAsia="宋体" w:cs="宋体"/>
                <w:bCs/>
                <w:color w:val="000000" w:themeColor="text1"/>
                <w:sz w:val="18"/>
                <w:szCs w:val="18"/>
                <w:lang w:eastAsia="zh-CN"/>
                <w14:textFill>
                  <w14:solidFill>
                    <w14:schemeClr w14:val="tx1"/>
                  </w14:solidFill>
                </w14:textFill>
              </w:rPr>
              <w:t>项目病死牛委托四川科农动物无害化处理有限公司无害化处置。</w:t>
            </w:r>
          </w:p>
        </w:tc>
        <w:tc>
          <w:tcPr>
            <w:tcW w:w="690" w:type="dxa"/>
            <w:tcBorders>
              <w:tl2br w:val="nil"/>
              <w:tr2bl w:val="nil"/>
            </w:tcBorders>
            <w:vAlign w:val="center"/>
          </w:tcPr>
          <w:p w14:paraId="3D8FF14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E1C495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417" w:hRule="atLeast"/>
          <w:jc w:val="center"/>
        </w:trPr>
        <w:tc>
          <w:tcPr>
            <w:tcW w:w="543" w:type="dxa"/>
            <w:tcBorders>
              <w:tl2br w:val="nil"/>
              <w:tr2bl w:val="nil"/>
            </w:tcBorders>
            <w:vAlign w:val="center"/>
          </w:tcPr>
          <w:p w14:paraId="45A8DB4B">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4</w:t>
            </w:r>
          </w:p>
        </w:tc>
        <w:tc>
          <w:tcPr>
            <w:tcW w:w="3777" w:type="dxa"/>
            <w:tcBorders>
              <w:tl2br w:val="nil"/>
              <w:tr2bl w:val="nil"/>
            </w:tcBorders>
            <w:vAlign w:val="center"/>
          </w:tcPr>
          <w:p w14:paraId="79F19A18">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第十八条：将畜禽粪便、污水、沼渣、沼液等用作肥料的，应当与土地的消纳能力相适应，并采取有效措施，消除可能引起传染病的微生物，防止污染环境和传播疫病。</w:t>
            </w:r>
          </w:p>
        </w:tc>
        <w:tc>
          <w:tcPr>
            <w:tcW w:w="3555" w:type="dxa"/>
            <w:tcBorders>
              <w:tl2br w:val="nil"/>
              <w:tr2bl w:val="nil"/>
            </w:tcBorders>
            <w:vAlign w:val="center"/>
          </w:tcPr>
          <w:p w14:paraId="44B1805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项目产生的粪污混入发酵垫料中形成发酵床，废弃垫料外运至有机肥厂无害化处理后生产有机肥，实现粪污资源化利用。废弃垫料日产日清，可有效消除传染病微生物，防治污染环境和传播疫病。</w:t>
            </w:r>
          </w:p>
        </w:tc>
        <w:tc>
          <w:tcPr>
            <w:tcW w:w="690" w:type="dxa"/>
            <w:tcBorders>
              <w:tl2br w:val="nil"/>
              <w:tr2bl w:val="nil"/>
            </w:tcBorders>
            <w:vAlign w:val="center"/>
          </w:tcPr>
          <w:p w14:paraId="689603CA">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26E988C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727" w:hRule="atLeast"/>
          <w:jc w:val="center"/>
        </w:trPr>
        <w:tc>
          <w:tcPr>
            <w:tcW w:w="543" w:type="dxa"/>
            <w:tcBorders>
              <w:tl2br w:val="nil"/>
              <w:tr2bl w:val="nil"/>
            </w:tcBorders>
            <w:vAlign w:val="center"/>
          </w:tcPr>
          <w:p w14:paraId="7E35F966">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5</w:t>
            </w:r>
          </w:p>
        </w:tc>
        <w:tc>
          <w:tcPr>
            <w:tcW w:w="3777" w:type="dxa"/>
            <w:tcBorders>
              <w:tl2br w:val="nil"/>
              <w:tr2bl w:val="nil"/>
            </w:tcBorders>
            <w:vAlign w:val="center"/>
          </w:tcPr>
          <w:p w14:paraId="77ADAEBE">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第十九条：从事畜禽养殖活动和畜禽养殖废弃物处理活动，应当及时对畜禽粪便、畜禽尸体、污水等进行收集、贮存、清运，防止恶臭和畜禽养殖废弃物渗出、泄漏。</w:t>
            </w:r>
          </w:p>
        </w:tc>
        <w:tc>
          <w:tcPr>
            <w:tcW w:w="3555" w:type="dxa"/>
            <w:tcBorders>
              <w:tl2br w:val="nil"/>
              <w:tr2bl w:val="nil"/>
            </w:tcBorders>
            <w:vAlign w:val="center"/>
          </w:tcPr>
          <w:p w14:paraId="5D15B66B">
            <w:pPr>
              <w:widowControl/>
              <w:autoSpaceDE/>
              <w:autoSpaceDN/>
              <w:ind w:firstLine="360" w:firstLineChars="200"/>
              <w:jc w:val="left"/>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产生的粪污混入发酵垫料中形成发酵床，废弃垫料外运至有机肥厂无害化处理后生产有机肥，实现粪污资源化利用。日产日清。环评要求：加强运输车辆密闭处理，运输时间尽量避开外部环境交通高峰时期等敏感阶段。</w:t>
            </w:r>
            <w:r>
              <w:rPr>
                <w:rFonts w:hint="eastAsia" w:ascii="宋体" w:hAnsi="宋体" w:eastAsia="宋体" w:cs="宋体"/>
                <w:color w:val="000000" w:themeColor="text1"/>
                <w:sz w:val="18"/>
                <w:szCs w:val="18"/>
                <w:lang w:eastAsia="en-US"/>
                <w14:textFill>
                  <w14:solidFill>
                    <w14:schemeClr w14:val="tx1"/>
                  </w14:solidFill>
                </w14:textFill>
              </w:rPr>
              <w:t>从而降低项目对周围环境的影响。</w:t>
            </w:r>
          </w:p>
        </w:tc>
        <w:tc>
          <w:tcPr>
            <w:tcW w:w="690" w:type="dxa"/>
            <w:tcBorders>
              <w:tl2br w:val="nil"/>
              <w:tr2bl w:val="nil"/>
            </w:tcBorders>
            <w:vAlign w:val="center"/>
          </w:tcPr>
          <w:p w14:paraId="25040967">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35C00C1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547" w:hRule="atLeast"/>
          <w:jc w:val="center"/>
        </w:trPr>
        <w:tc>
          <w:tcPr>
            <w:tcW w:w="543" w:type="dxa"/>
            <w:tcBorders>
              <w:tl2br w:val="nil"/>
              <w:tr2bl w:val="nil"/>
            </w:tcBorders>
            <w:vAlign w:val="center"/>
          </w:tcPr>
          <w:p w14:paraId="68317516">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6</w:t>
            </w:r>
          </w:p>
        </w:tc>
        <w:tc>
          <w:tcPr>
            <w:tcW w:w="3777" w:type="dxa"/>
            <w:tcBorders>
              <w:tl2br w:val="nil"/>
              <w:tr2bl w:val="nil"/>
            </w:tcBorders>
            <w:vAlign w:val="center"/>
          </w:tcPr>
          <w:p w14:paraId="4C65C6A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第二十一条：染疫畜禽以及染疫畜禽排泄物、染疫畜禽产品、病死或者死因不明的畜禽尸体等病害畜禽养殖废弃物，应当按照有关法律、法规和国务院农牧主管部门的规定，进行深埋、化制、焚烧等无害化处理，不得随意处置。</w:t>
            </w:r>
          </w:p>
        </w:tc>
        <w:tc>
          <w:tcPr>
            <w:tcW w:w="3555" w:type="dxa"/>
            <w:tcBorders>
              <w:tl2br w:val="nil"/>
              <w:tr2bl w:val="nil"/>
            </w:tcBorders>
            <w:vAlign w:val="center"/>
          </w:tcPr>
          <w:p w14:paraId="7783B416">
            <w:pPr>
              <w:widowControl/>
              <w:autoSpaceDE/>
              <w:autoSpaceDN/>
              <w:ind w:firstLine="360" w:firstLineChars="200"/>
              <w:jc w:val="left"/>
              <w:rPr>
                <w:rFonts w:ascii="Times New Roman" w:hAnsi="Times New Roman" w:eastAsia="Times New Roman"/>
                <w:bCs/>
                <w:color w:val="000000" w:themeColor="text1"/>
                <w:sz w:val="18"/>
                <w:szCs w:val="18"/>
                <w:highlight w:val="yellow"/>
                <w:lang w:eastAsia="zh-CN"/>
                <w14:textFill>
                  <w14:solidFill>
                    <w14:schemeClr w14:val="tx1"/>
                  </w14:solidFill>
                </w14:textFill>
              </w:rPr>
            </w:pPr>
            <w:r>
              <w:rPr>
                <w:rFonts w:hint="eastAsia" w:ascii="宋体" w:hAnsi="宋体" w:eastAsia="宋体" w:cs="宋体"/>
                <w:bCs/>
                <w:color w:val="000000" w:themeColor="text1"/>
                <w:sz w:val="18"/>
                <w:szCs w:val="18"/>
                <w:lang w:eastAsia="zh-CN"/>
                <w14:textFill>
                  <w14:solidFill>
                    <w14:schemeClr w14:val="tx1"/>
                  </w14:solidFill>
                </w14:textFill>
              </w:rPr>
              <w:t>项目病死牛委托四川科农动物无害化处理有限公司无害化处置。</w:t>
            </w:r>
          </w:p>
        </w:tc>
        <w:tc>
          <w:tcPr>
            <w:tcW w:w="690" w:type="dxa"/>
            <w:tcBorders>
              <w:tl2br w:val="nil"/>
              <w:tr2bl w:val="nil"/>
            </w:tcBorders>
            <w:vAlign w:val="center"/>
          </w:tcPr>
          <w:p w14:paraId="12A096A6">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239C8129">
      <w:pPr>
        <w:pStyle w:val="814"/>
        <w:tabs>
          <w:tab w:val="left" w:pos="0"/>
        </w:tabs>
        <w:snapToGrid w:val="0"/>
        <w:ind w:left="-34" w:firstLine="480" w:firstLineChars="200"/>
        <w:jc w:val="both"/>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由上表可知，本项目符合《畜禽规模养殖污染防治条例》（国务院令第643号）相关要求。</w:t>
      </w:r>
    </w:p>
    <w:p w14:paraId="4613BB37">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（3）与《畜禽养殖业污染治理工程技术规范》（HJ 497-2009）符合性</w:t>
      </w:r>
    </w:p>
    <w:p w14:paraId="7E020518">
      <w:pPr>
        <w:pStyle w:val="21"/>
        <w:ind w:firstLine="480" w:firstLineChars="200"/>
        <w:jc w:val="left"/>
        <w:rPr>
          <w:b w:val="0"/>
          <w:bCs w:val="0"/>
          <w:color w:val="000000" w:themeColor="text1"/>
          <w:kern w:val="0"/>
          <w:szCs w:val="24"/>
          <w:lang w:bidi="ar"/>
          <w14:textFill>
            <w14:solidFill>
              <w14:schemeClr w14:val="tx1"/>
            </w14:solidFill>
          </w14:textFill>
        </w:rPr>
      </w:pPr>
      <w:r>
        <w:rPr>
          <w:b w:val="0"/>
          <w:bCs w:val="0"/>
          <w:color w:val="000000" w:themeColor="text1"/>
          <w:kern w:val="0"/>
          <w:szCs w:val="24"/>
          <w:lang w:bidi="ar"/>
          <w14:textFill>
            <w14:solidFill>
              <w14:schemeClr w14:val="tx1"/>
            </w14:solidFill>
          </w14:textFill>
        </w:rPr>
        <w:t>项目与《畜禽养殖业污染治理工程技术规范》（HJ 497-2009）相关要求的符合性见下表。</w:t>
      </w:r>
    </w:p>
    <w:p w14:paraId="2E8A5AF0">
      <w:pPr>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br w:type="page"/>
      </w:r>
    </w:p>
    <w:p w14:paraId="0CCF6E5A">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本项目与《畜禽养殖业污染治理工程技术规范》符合性分析</w:t>
      </w: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543"/>
        <w:gridCol w:w="3777"/>
        <w:gridCol w:w="3555"/>
        <w:gridCol w:w="690"/>
      </w:tblGrid>
      <w:tr w14:paraId="6533446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43" w:type="dxa"/>
            <w:tcBorders>
              <w:tl2br w:val="nil"/>
              <w:tr2bl w:val="nil"/>
            </w:tcBorders>
            <w:vAlign w:val="center"/>
          </w:tcPr>
          <w:p w14:paraId="0CC918EA">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序号</w:t>
            </w:r>
          </w:p>
        </w:tc>
        <w:tc>
          <w:tcPr>
            <w:tcW w:w="3777" w:type="dxa"/>
            <w:tcBorders>
              <w:tl2br w:val="nil"/>
              <w:tr2bl w:val="nil"/>
            </w:tcBorders>
            <w:vAlign w:val="center"/>
          </w:tcPr>
          <w:p w14:paraId="19CD6E8D">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《畜禽养殖业污染治理工程技术规范》相关要求</w:t>
            </w:r>
          </w:p>
        </w:tc>
        <w:tc>
          <w:tcPr>
            <w:tcW w:w="3555" w:type="dxa"/>
            <w:tcBorders>
              <w:tl2br w:val="nil"/>
              <w:tr2bl w:val="nil"/>
            </w:tcBorders>
            <w:vAlign w:val="center"/>
          </w:tcPr>
          <w:p w14:paraId="7916CAC5">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7A6DE691">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4C7FA61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304" w:hRule="atLeast"/>
          <w:jc w:val="center"/>
        </w:trPr>
        <w:tc>
          <w:tcPr>
            <w:tcW w:w="543" w:type="dxa"/>
            <w:tcBorders>
              <w:tl2br w:val="nil"/>
              <w:tr2bl w:val="nil"/>
            </w:tcBorders>
            <w:vAlign w:val="center"/>
          </w:tcPr>
          <w:p w14:paraId="7AD3393E">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3777" w:type="dxa"/>
            <w:tcBorders>
              <w:tl2br w:val="nil"/>
              <w:tr2bl w:val="nil"/>
            </w:tcBorders>
            <w:vAlign w:val="center"/>
          </w:tcPr>
          <w:p w14:paraId="1447F0F8">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畜禽养殖业污染治理应从源头控制，严格执行雨污分离，通过优化饲料配方、提高饲养技术、管理水平、改善畜舍结构和通风供暖工艺、改进清粪工艺等措施减少养殖场环境污染。</w:t>
            </w:r>
          </w:p>
        </w:tc>
        <w:tc>
          <w:tcPr>
            <w:tcW w:w="3555" w:type="dxa"/>
            <w:tcBorders>
              <w:tl2br w:val="nil"/>
              <w:tr2bl w:val="nil"/>
            </w:tcBorders>
            <w:vAlign w:val="center"/>
          </w:tcPr>
          <w:p w14:paraId="26F40DD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项目采取雨污分流，通过优化饲料配方、提高管理水平、发酵床养殖等措施减少环境污染。</w:t>
            </w:r>
          </w:p>
        </w:tc>
        <w:tc>
          <w:tcPr>
            <w:tcW w:w="690" w:type="dxa"/>
            <w:tcBorders>
              <w:tl2br w:val="nil"/>
              <w:tr2bl w:val="nil"/>
            </w:tcBorders>
            <w:vAlign w:val="center"/>
          </w:tcPr>
          <w:p w14:paraId="7BC4EB31">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2BFAC7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854" w:hRule="atLeast"/>
          <w:jc w:val="center"/>
        </w:trPr>
        <w:tc>
          <w:tcPr>
            <w:tcW w:w="543" w:type="dxa"/>
            <w:tcBorders>
              <w:tl2br w:val="nil"/>
              <w:tr2bl w:val="nil"/>
            </w:tcBorders>
            <w:vAlign w:val="center"/>
          </w:tcPr>
          <w:p w14:paraId="5812D056">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3777" w:type="dxa"/>
            <w:tcBorders>
              <w:tl2br w:val="nil"/>
              <w:tr2bl w:val="nil"/>
            </w:tcBorders>
            <w:vAlign w:val="center"/>
          </w:tcPr>
          <w:p w14:paraId="64CF5E3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畜禽养殖业污染治理应按照资源化、减量化、无害化的原则，以综合利用为出发点，提高资源化利用率。</w:t>
            </w:r>
          </w:p>
          <w:p w14:paraId="025F32B0">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畜禽粪污资源化时应经无害化处理后方可还田利用，无害化处理应满足下列要求：</w:t>
            </w:r>
          </w:p>
          <w:p w14:paraId="19284C54">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①液态畜禽粪污宜采用厌氧工艺进行无害化处理；沼液、沼渣不得作为同等动物的饲料，不得在动物之间进行循环。</w:t>
            </w:r>
          </w:p>
          <w:p w14:paraId="3A04E37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②固体畜禽粪便宜采用好氧堆肥技术进行无害化处理。</w:t>
            </w:r>
          </w:p>
          <w:p w14:paraId="68966E58">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③无害化处理后的卫生学指标应符合</w:t>
            </w:r>
            <w:r>
              <w:rPr>
                <w:rFonts w:ascii="Times New Roman" w:hAnsi="Times New Roman" w:eastAsia="Times New Roman"/>
                <w:color w:val="000000" w:themeColor="text1"/>
                <w:sz w:val="18"/>
                <w:szCs w:val="18"/>
                <w:lang w:eastAsia="zh-CN"/>
                <w14:textFill>
                  <w14:solidFill>
                    <w14:schemeClr w14:val="tx1"/>
                  </w14:solidFill>
                </w14:textFill>
              </w:rPr>
              <w:t>GB 7959</w:t>
            </w:r>
            <w:r>
              <w:rPr>
                <w:rFonts w:hint="eastAsia" w:ascii="宋体" w:hAnsi="宋体" w:eastAsia="宋体" w:cs="宋体"/>
                <w:color w:val="000000" w:themeColor="text1"/>
                <w:sz w:val="18"/>
                <w:szCs w:val="18"/>
                <w:lang w:eastAsia="zh-CN"/>
                <w14:textFill>
                  <w14:solidFill>
                    <w14:schemeClr w14:val="tx1"/>
                  </w14:solidFill>
                </w14:textFill>
              </w:rPr>
              <w:t>的有关规定。</w:t>
            </w:r>
          </w:p>
        </w:tc>
        <w:tc>
          <w:tcPr>
            <w:tcW w:w="3555" w:type="dxa"/>
            <w:tcBorders>
              <w:tl2br w:val="nil"/>
              <w:tr2bl w:val="nil"/>
            </w:tcBorders>
            <w:vAlign w:val="center"/>
          </w:tcPr>
          <w:p w14:paraId="6E140F51">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项目产生的粪污混入发酵垫料中形成发酵床，废弃垫料外运至有机肥厂无害化处理后生产有机肥，实现粪污资源化利用。</w:t>
            </w:r>
          </w:p>
          <w:p w14:paraId="129C7F1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bCs/>
                <w:color w:val="000000" w:themeColor="text1"/>
                <w:sz w:val="18"/>
                <w:szCs w:val="18"/>
                <w:lang w:eastAsia="zh-CN"/>
                <w14:textFill>
                  <w14:solidFill>
                    <w14:schemeClr w14:val="tx1"/>
                  </w14:solidFill>
                </w14:textFill>
              </w:rPr>
              <w:t>项目病死牛委托四川科农动物无害化处理有限公司无害化处置。</w:t>
            </w:r>
          </w:p>
        </w:tc>
        <w:tc>
          <w:tcPr>
            <w:tcW w:w="690" w:type="dxa"/>
            <w:tcBorders>
              <w:tl2br w:val="nil"/>
              <w:tr2bl w:val="nil"/>
            </w:tcBorders>
            <w:vAlign w:val="center"/>
          </w:tcPr>
          <w:p w14:paraId="18C4D8D9">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36A1BDC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624" w:hRule="atLeast"/>
          <w:jc w:val="center"/>
        </w:trPr>
        <w:tc>
          <w:tcPr>
            <w:tcW w:w="543" w:type="dxa"/>
            <w:tcBorders>
              <w:tl2br w:val="nil"/>
              <w:tr2bl w:val="nil"/>
            </w:tcBorders>
            <w:vAlign w:val="center"/>
          </w:tcPr>
          <w:p w14:paraId="1E48FEF8">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3777" w:type="dxa"/>
            <w:tcBorders>
              <w:tl2br w:val="nil"/>
              <w:tr2bl w:val="nil"/>
            </w:tcBorders>
            <w:vAlign w:val="center"/>
          </w:tcPr>
          <w:p w14:paraId="716A357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畜禽养殖废水不得排入敏感水域和有特殊功能的水域，排放去向应符合国家和地方的有关规定。排放水质应满足</w:t>
            </w:r>
            <w:r>
              <w:rPr>
                <w:rFonts w:ascii="Times New Roman" w:hAnsi="Times New Roman" w:eastAsia="Times New Roman"/>
                <w:color w:val="000000" w:themeColor="text1"/>
                <w:sz w:val="18"/>
                <w:szCs w:val="18"/>
                <w:lang w:eastAsia="zh-CN"/>
                <w14:textFill>
                  <w14:solidFill>
                    <w14:schemeClr w14:val="tx1"/>
                  </w14:solidFill>
                </w14:textFill>
              </w:rPr>
              <w:t>GB 18596</w:t>
            </w:r>
            <w:r>
              <w:rPr>
                <w:rFonts w:hint="eastAsia" w:ascii="宋体" w:hAnsi="宋体" w:eastAsia="宋体" w:cs="宋体"/>
                <w:color w:val="000000" w:themeColor="text1"/>
                <w:sz w:val="18"/>
                <w:szCs w:val="18"/>
                <w:lang w:eastAsia="zh-CN"/>
                <w14:textFill>
                  <w14:solidFill>
                    <w14:schemeClr w14:val="tx1"/>
                  </w14:solidFill>
                </w14:textFill>
              </w:rPr>
              <w:t>或有关地方污染物排放标准的规定；处理后用于农田灌溉的，出水水质应满足</w:t>
            </w:r>
            <w:r>
              <w:rPr>
                <w:rFonts w:ascii="Times New Roman" w:hAnsi="Times New Roman" w:eastAsia="Times New Roman"/>
                <w:color w:val="000000" w:themeColor="text1"/>
                <w:sz w:val="18"/>
                <w:szCs w:val="18"/>
                <w:lang w:eastAsia="zh-CN"/>
                <w14:textFill>
                  <w14:solidFill>
                    <w14:schemeClr w14:val="tx1"/>
                  </w14:solidFill>
                </w14:textFill>
              </w:rPr>
              <w:t>GB 5084</w:t>
            </w:r>
            <w:r>
              <w:rPr>
                <w:rFonts w:hint="eastAsia" w:ascii="宋体" w:hAnsi="宋体" w:eastAsia="宋体" w:cs="宋体"/>
                <w:color w:val="000000" w:themeColor="text1"/>
                <w:sz w:val="18"/>
                <w:szCs w:val="18"/>
                <w:lang w:eastAsia="zh-CN"/>
                <w14:textFill>
                  <w14:solidFill>
                    <w14:schemeClr w14:val="tx1"/>
                  </w14:solidFill>
                </w14:textFill>
              </w:rPr>
              <w:t>的规定。</w:t>
            </w:r>
          </w:p>
        </w:tc>
        <w:tc>
          <w:tcPr>
            <w:tcW w:w="3555" w:type="dxa"/>
            <w:tcBorders>
              <w:tl2br w:val="nil"/>
              <w:tr2bl w:val="nil"/>
            </w:tcBorders>
            <w:vAlign w:val="center"/>
          </w:tcPr>
          <w:p w14:paraId="12926ACE">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牛尿直接排到发酵垫料上，通过牛的踩踏和人工辅助翻耙，使粪尿和垫料充分混合，让有益微生物菌种发酵，使粪、尿有机物质分解和转化，牛尿部分蒸发，部分被垫料吸收，无养殖废水产生。</w:t>
            </w:r>
          </w:p>
        </w:tc>
        <w:tc>
          <w:tcPr>
            <w:tcW w:w="690" w:type="dxa"/>
            <w:tcBorders>
              <w:tl2br w:val="nil"/>
              <w:tr2bl w:val="nil"/>
            </w:tcBorders>
            <w:vAlign w:val="center"/>
          </w:tcPr>
          <w:p w14:paraId="1618207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C3104A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417" w:hRule="atLeast"/>
          <w:jc w:val="center"/>
        </w:trPr>
        <w:tc>
          <w:tcPr>
            <w:tcW w:w="543" w:type="dxa"/>
            <w:tcBorders>
              <w:tl2br w:val="nil"/>
              <w:tr2bl w:val="nil"/>
            </w:tcBorders>
            <w:vAlign w:val="center"/>
          </w:tcPr>
          <w:p w14:paraId="75FA91F9">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4</w:t>
            </w:r>
          </w:p>
        </w:tc>
        <w:tc>
          <w:tcPr>
            <w:tcW w:w="3777" w:type="dxa"/>
            <w:tcBorders>
              <w:tl2br w:val="nil"/>
              <w:tr2bl w:val="nil"/>
            </w:tcBorders>
            <w:vAlign w:val="center"/>
          </w:tcPr>
          <w:p w14:paraId="28BEE203">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畜禽养殖业污染治理工程的建设应符合当地总体规划，与当地客观实际相结合，正确处理集中与分散、处理与利用、近期与远期的关系。</w:t>
            </w:r>
          </w:p>
        </w:tc>
        <w:tc>
          <w:tcPr>
            <w:tcW w:w="3555" w:type="dxa"/>
            <w:tcBorders>
              <w:tl2br w:val="nil"/>
              <w:tr2bl w:val="nil"/>
            </w:tcBorders>
            <w:vAlign w:val="center"/>
          </w:tcPr>
          <w:p w14:paraId="3DF15DF0">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项目养殖产生的粪污混入发酵垫料中形成发酵床，废弃垫料外运至有机肥厂无害化处理后生产有机肥，实现粪污资源化利用。</w:t>
            </w:r>
          </w:p>
          <w:p w14:paraId="6FAD99A6">
            <w:pPr>
              <w:widowControl/>
              <w:autoSpaceDE/>
              <w:autoSpaceDN/>
              <w:ind w:firstLine="360" w:firstLineChars="200"/>
              <w:jc w:val="left"/>
              <w:rPr>
                <w:rFonts w:ascii="Times New Roman" w:hAnsi="Times New Roman" w:eastAsia="Times New Roman"/>
                <w:bCs/>
                <w:color w:val="000000" w:themeColor="text1"/>
                <w:sz w:val="18"/>
                <w:szCs w:val="18"/>
                <w:lang w:eastAsia="zh-CN"/>
                <w14:textFill>
                  <w14:solidFill>
                    <w14:schemeClr w14:val="tx1"/>
                  </w14:solidFill>
                </w14:textFill>
              </w:rPr>
            </w:pPr>
            <w:r>
              <w:rPr>
                <w:rFonts w:hint="eastAsia" w:ascii="宋体" w:hAnsi="宋体" w:eastAsia="宋体" w:cs="宋体"/>
                <w:bCs/>
                <w:color w:val="000000" w:themeColor="text1"/>
                <w:sz w:val="18"/>
                <w:szCs w:val="18"/>
                <w:lang w:eastAsia="zh-CN"/>
                <w14:textFill>
                  <w14:solidFill>
                    <w14:schemeClr w14:val="tx1"/>
                  </w14:solidFill>
                </w14:textFill>
              </w:rPr>
              <w:t>项目病死牛委托四川科农动物无害化处理有限公司无害化处置。</w:t>
            </w:r>
          </w:p>
          <w:p w14:paraId="71EC70D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bCs/>
                <w:color w:val="000000" w:themeColor="text1"/>
                <w:sz w:val="18"/>
                <w:szCs w:val="18"/>
                <w:lang w:eastAsia="zh-CN"/>
                <w14:textFill>
                  <w14:solidFill>
                    <w14:schemeClr w14:val="tx1"/>
                  </w14:solidFill>
                </w14:textFill>
              </w:rPr>
              <w:t>上述处置符合当地规划和客观实际。</w:t>
            </w:r>
          </w:p>
        </w:tc>
        <w:tc>
          <w:tcPr>
            <w:tcW w:w="690" w:type="dxa"/>
            <w:tcBorders>
              <w:tl2br w:val="nil"/>
              <w:tr2bl w:val="nil"/>
            </w:tcBorders>
            <w:vAlign w:val="center"/>
          </w:tcPr>
          <w:p w14:paraId="16B295FF">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34810E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347" w:hRule="atLeast"/>
          <w:jc w:val="center"/>
        </w:trPr>
        <w:tc>
          <w:tcPr>
            <w:tcW w:w="543" w:type="dxa"/>
            <w:tcBorders>
              <w:tl2br w:val="nil"/>
              <w:tr2bl w:val="nil"/>
            </w:tcBorders>
            <w:vAlign w:val="center"/>
          </w:tcPr>
          <w:p w14:paraId="5F8CF45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5</w:t>
            </w:r>
          </w:p>
        </w:tc>
        <w:tc>
          <w:tcPr>
            <w:tcW w:w="3777" w:type="dxa"/>
            <w:tcBorders>
              <w:tl2br w:val="nil"/>
              <w:tr2bl w:val="nil"/>
            </w:tcBorders>
            <w:vAlign w:val="center"/>
          </w:tcPr>
          <w:p w14:paraId="3D861D0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畜禽养殖业污染治理工程应采取防治二次污染的措施，废水、废气、废渣、噪声及其他污染物的排放应符合相应的国家或地方排放标准。</w:t>
            </w:r>
          </w:p>
        </w:tc>
        <w:tc>
          <w:tcPr>
            <w:tcW w:w="3555" w:type="dxa"/>
            <w:tcBorders>
              <w:tl2br w:val="nil"/>
              <w:tr2bl w:val="nil"/>
            </w:tcBorders>
            <w:vAlign w:val="center"/>
          </w:tcPr>
          <w:p w14:paraId="5D1529B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在落实本报告书提出的污染治理措施的情况下，项目废水、废气、废渣、噪声及其他污染物的排放可达到相应的国家或地方排放标准。</w:t>
            </w:r>
          </w:p>
        </w:tc>
        <w:tc>
          <w:tcPr>
            <w:tcW w:w="690" w:type="dxa"/>
            <w:tcBorders>
              <w:tl2br w:val="nil"/>
              <w:tr2bl w:val="nil"/>
            </w:tcBorders>
            <w:vAlign w:val="center"/>
          </w:tcPr>
          <w:p w14:paraId="0FEEB2A5">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63457A3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047" w:hRule="atLeast"/>
          <w:jc w:val="center"/>
        </w:trPr>
        <w:tc>
          <w:tcPr>
            <w:tcW w:w="543" w:type="dxa"/>
            <w:tcBorders>
              <w:tl2br w:val="nil"/>
              <w:tr2bl w:val="nil"/>
            </w:tcBorders>
            <w:vAlign w:val="center"/>
          </w:tcPr>
          <w:p w14:paraId="0EBD20CC">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6</w:t>
            </w:r>
          </w:p>
        </w:tc>
        <w:tc>
          <w:tcPr>
            <w:tcW w:w="3777" w:type="dxa"/>
            <w:tcBorders>
              <w:tl2br w:val="nil"/>
              <w:tr2bl w:val="nil"/>
            </w:tcBorders>
            <w:vAlign w:val="center"/>
          </w:tcPr>
          <w:p w14:paraId="089FF267">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集约化畜禽养殖场（区）污染治理工程应按照有关规定安装水质在线监测系统。</w:t>
            </w:r>
          </w:p>
        </w:tc>
        <w:tc>
          <w:tcPr>
            <w:tcW w:w="3555" w:type="dxa"/>
            <w:tcBorders>
              <w:tl2br w:val="nil"/>
              <w:tr2bl w:val="nil"/>
            </w:tcBorders>
            <w:vAlign w:val="center"/>
          </w:tcPr>
          <w:p w14:paraId="7B23070C">
            <w:pPr>
              <w:widowControl/>
              <w:autoSpaceDE/>
              <w:autoSpaceDN/>
              <w:ind w:firstLine="360" w:firstLineChars="200"/>
              <w:jc w:val="left"/>
              <w:rPr>
                <w:rFonts w:ascii="Times New Roman" w:hAnsi="Times New Roman" w:eastAsia="Times New Roman"/>
                <w:bCs/>
                <w:color w:val="000000" w:themeColor="text1"/>
                <w:sz w:val="18"/>
                <w:szCs w:val="18"/>
                <w:highlight w:val="yellow"/>
                <w:lang w:eastAsia="en-US"/>
                <w14:textFill>
                  <w14:solidFill>
                    <w14:schemeClr w14:val="tx1"/>
                  </w14:solidFill>
                </w14:textFill>
              </w:rPr>
            </w:pPr>
            <w:r>
              <w:rPr>
                <w:rFonts w:hint="eastAsia" w:ascii="宋体" w:hAnsi="宋体" w:eastAsia="宋体" w:cs="宋体"/>
                <w:bCs/>
                <w:color w:val="000000" w:themeColor="text1"/>
                <w:sz w:val="18"/>
                <w:szCs w:val="18"/>
                <w:lang w:eastAsia="zh-CN"/>
                <w14:textFill>
                  <w14:solidFill>
                    <w14:schemeClr w14:val="tx1"/>
                  </w14:solidFill>
                </w14:textFill>
              </w:rPr>
              <w:t>项目采用发酵床养殖，牛尿直接排到发酵垫料上，通过牛的踩踏和人工辅助翻耙，使粪尿和垫料充分混合，让有益微生物菌种发酵，使粪、尿有机物质分解和转化，牛尿部分蒸发，部分被垫料吸收，无养殖废水产生。初期雨水和生活污水处理后用于厂区绿化，无外排废水。</w:t>
            </w:r>
            <w:r>
              <w:rPr>
                <w:rFonts w:hint="eastAsia" w:ascii="宋体" w:hAnsi="宋体" w:eastAsia="宋体" w:cs="宋体"/>
                <w:bCs/>
                <w:color w:val="000000" w:themeColor="text1"/>
                <w:sz w:val="18"/>
                <w:szCs w:val="18"/>
                <w:lang w:eastAsia="en-US"/>
                <w14:textFill>
                  <w14:solidFill>
                    <w14:schemeClr w14:val="tx1"/>
                  </w14:solidFill>
                </w14:textFill>
              </w:rPr>
              <w:t>因此，无需安装水质在线监测装置。</w:t>
            </w:r>
          </w:p>
        </w:tc>
        <w:tc>
          <w:tcPr>
            <w:tcW w:w="690" w:type="dxa"/>
            <w:tcBorders>
              <w:tl2br w:val="nil"/>
              <w:tr2bl w:val="nil"/>
            </w:tcBorders>
            <w:vAlign w:val="center"/>
          </w:tcPr>
          <w:p w14:paraId="09D248F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7B6DF441">
      <w:pPr>
        <w:pStyle w:val="814"/>
        <w:tabs>
          <w:tab w:val="left" w:pos="0"/>
        </w:tabs>
        <w:snapToGrid w:val="0"/>
        <w:ind w:left="-34" w:firstLine="480" w:firstLineChars="200"/>
        <w:jc w:val="both"/>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由上表可知，本项目符合《畜禽养殖业污染治理工程技术规范》（HJ 497-2009）相关要求。</w:t>
      </w:r>
    </w:p>
    <w:p w14:paraId="444059E0">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（4）与《畜禽养殖业污染防治技术规范》（HJ /T 81-2001）符合性</w:t>
      </w:r>
    </w:p>
    <w:p w14:paraId="73C4AE61">
      <w:pPr>
        <w:pStyle w:val="75"/>
        <w:adjustRightInd w:val="0"/>
        <w:snapToGrid w:val="0"/>
        <w:spacing w:line="360" w:lineRule="auto"/>
        <w:ind w:firstLine="480" w:firstLineChars="200"/>
        <w:jc w:val="both"/>
        <w:rPr>
          <w:color w:val="000000" w:themeColor="text1"/>
          <w:kern w:val="0"/>
          <w:lang w:val="en-US" w:bidi="ar"/>
          <w14:textFill>
            <w14:solidFill>
              <w14:schemeClr w14:val="tx1"/>
            </w14:solidFill>
          </w14:textFill>
        </w:rPr>
      </w:pPr>
    </w:p>
    <w:p w14:paraId="5B62AE6E">
      <w:pPr>
        <w:pStyle w:val="21"/>
        <w:ind w:firstLine="480" w:firstLineChars="200"/>
        <w:jc w:val="left"/>
        <w:rPr>
          <w:b w:val="0"/>
          <w:bCs w:val="0"/>
          <w:color w:val="000000" w:themeColor="text1"/>
          <w:kern w:val="0"/>
          <w:szCs w:val="24"/>
          <w:lang w:bidi="ar"/>
          <w14:textFill>
            <w14:solidFill>
              <w14:schemeClr w14:val="tx1"/>
            </w14:solidFill>
          </w14:textFill>
        </w:rPr>
      </w:pPr>
      <w:r>
        <w:rPr>
          <w:b w:val="0"/>
          <w:bCs w:val="0"/>
          <w:color w:val="000000" w:themeColor="text1"/>
          <w:kern w:val="0"/>
          <w:szCs w:val="24"/>
          <w:lang w:bidi="ar"/>
          <w14:textFill>
            <w14:solidFill>
              <w14:schemeClr w14:val="tx1"/>
            </w14:solidFill>
          </w14:textFill>
        </w:rPr>
        <w:t>项目与《畜禽养殖业污染防治技术规范》（HJ/T 81-2001）相关要求的符合性见下表。</w:t>
      </w:r>
    </w:p>
    <w:p w14:paraId="73CAA114">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本项目与《畜禽养殖业污染治理工程技术规范》符合性分析</w:t>
      </w:r>
    </w:p>
    <w:tbl>
      <w:tblPr>
        <w:tblStyle w:val="89"/>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835"/>
        <w:gridCol w:w="3881"/>
        <w:gridCol w:w="604"/>
      </w:tblGrid>
      <w:tr w14:paraId="38F087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28" w:type="dxa"/>
            <w:gridSpan w:val="2"/>
            <w:tcBorders>
              <w:tl2br w:val="nil"/>
              <w:tr2bl w:val="nil"/>
            </w:tcBorders>
            <w:vAlign w:val="center"/>
          </w:tcPr>
          <w:p w14:paraId="3F92646B">
            <w:pPr>
              <w:pStyle w:val="75"/>
              <w:widowControl/>
              <w:adjustRightInd w:val="0"/>
              <w:snapToGrid w:val="0"/>
              <w:rPr>
                <w:rFonts w:eastAsia="黑体"/>
                <w:color w:val="000000" w:themeColor="text1"/>
                <w:kern w:val="0"/>
                <w:sz w:val="18"/>
                <w:szCs w:val="18"/>
                <w:lang w:val="en-US" w:bidi="ar"/>
                <w14:textFill>
                  <w14:solidFill>
                    <w14:schemeClr w14:val="tx1"/>
                  </w14:solidFill>
                </w14:textFill>
              </w:rPr>
            </w:pPr>
            <w:r>
              <w:rPr>
                <w:rFonts w:eastAsia="黑体"/>
                <w:color w:val="000000" w:themeColor="text1"/>
                <w:kern w:val="0"/>
                <w:sz w:val="18"/>
                <w:szCs w:val="18"/>
                <w:lang w:val="en-US" w:bidi="ar"/>
                <w14:textFill>
                  <w14:solidFill>
                    <w14:schemeClr w14:val="tx1"/>
                  </w14:solidFill>
                </w14:textFill>
              </w:rPr>
              <w:t>《畜禽养殖业污染防治技术规范》</w:t>
            </w:r>
          </w:p>
          <w:p w14:paraId="6E2322ED">
            <w:pPr>
              <w:pStyle w:val="75"/>
              <w:widowControl/>
              <w:adjustRightInd w:val="0"/>
              <w:snapToGrid w:val="0"/>
              <w:rPr>
                <w:rFonts w:eastAsia="黑体"/>
                <w:color w:val="000000" w:themeColor="text1"/>
                <w:sz w:val="18"/>
                <w:szCs w:val="18"/>
                <w:lang w:val="en-US"/>
                <w14:textFill>
                  <w14:solidFill>
                    <w14:schemeClr w14:val="tx1"/>
                  </w14:solidFill>
                </w14:textFill>
              </w:rPr>
            </w:pPr>
            <w:r>
              <w:rPr>
                <w:rFonts w:eastAsia="黑体"/>
                <w:color w:val="000000" w:themeColor="text1"/>
                <w:kern w:val="0"/>
                <w:sz w:val="18"/>
                <w:szCs w:val="18"/>
                <w:lang w:val="en-US" w:bidi="ar"/>
                <w14:textFill>
                  <w14:solidFill>
                    <w14:schemeClr w14:val="tx1"/>
                  </w14:solidFill>
                </w14:textFill>
              </w:rPr>
              <w:t>（HJ /T 81-2001）要求</w:t>
            </w:r>
          </w:p>
        </w:tc>
        <w:tc>
          <w:tcPr>
            <w:tcW w:w="3881" w:type="dxa"/>
            <w:tcBorders>
              <w:tl2br w:val="nil"/>
              <w:tr2bl w:val="nil"/>
            </w:tcBorders>
            <w:vAlign w:val="center"/>
          </w:tcPr>
          <w:p w14:paraId="54FFD7EE">
            <w:pPr>
              <w:pStyle w:val="75"/>
              <w:widowControl/>
              <w:adjustRightInd w:val="0"/>
              <w:snapToGrid w:val="0"/>
              <w:rPr>
                <w:rFonts w:eastAsia="黑体"/>
                <w:color w:val="000000" w:themeColor="text1"/>
                <w:sz w:val="18"/>
                <w:szCs w:val="18"/>
                <w:lang w:val="en-US"/>
                <w14:textFill>
                  <w14:solidFill>
                    <w14:schemeClr w14:val="tx1"/>
                  </w14:solidFill>
                </w14:textFill>
              </w:rPr>
            </w:pPr>
            <w:r>
              <w:rPr>
                <w:rFonts w:eastAsia="黑体"/>
                <w:color w:val="000000" w:themeColor="text1"/>
                <w:sz w:val="18"/>
                <w:szCs w:val="18"/>
                <w:lang w:val="en-US"/>
                <w14:textFill>
                  <w14:solidFill>
                    <w14:schemeClr w14:val="tx1"/>
                  </w14:solidFill>
                </w14:textFill>
              </w:rPr>
              <w:t>本项目情况</w:t>
            </w:r>
          </w:p>
        </w:tc>
        <w:tc>
          <w:tcPr>
            <w:tcW w:w="604" w:type="dxa"/>
            <w:tcBorders>
              <w:tl2br w:val="nil"/>
              <w:tr2bl w:val="nil"/>
            </w:tcBorders>
            <w:vAlign w:val="center"/>
          </w:tcPr>
          <w:p w14:paraId="760BACC9">
            <w:pPr>
              <w:pStyle w:val="75"/>
              <w:widowControl/>
              <w:adjustRightInd w:val="0"/>
              <w:snapToGrid w:val="0"/>
              <w:rPr>
                <w:rFonts w:eastAsia="黑体"/>
                <w:color w:val="000000" w:themeColor="text1"/>
                <w:sz w:val="18"/>
                <w:szCs w:val="18"/>
                <w:lang w:val="en-US"/>
                <w14:textFill>
                  <w14:solidFill>
                    <w14:schemeClr w14:val="tx1"/>
                  </w14:solidFill>
                </w14:textFill>
              </w:rPr>
            </w:pPr>
            <w:r>
              <w:rPr>
                <w:rFonts w:eastAsia="黑体"/>
                <w:color w:val="000000" w:themeColor="text1"/>
                <w:sz w:val="18"/>
                <w:szCs w:val="18"/>
                <w:lang w:val="en-US"/>
                <w14:textFill>
                  <w14:solidFill>
                    <w14:schemeClr w14:val="tx1"/>
                  </w14:solidFill>
                </w14:textFill>
              </w:rPr>
              <w:t>符合性</w:t>
            </w:r>
          </w:p>
        </w:tc>
      </w:tr>
      <w:tr w14:paraId="37CDA5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93" w:type="dxa"/>
            <w:vMerge w:val="restart"/>
            <w:tcBorders>
              <w:tl2br w:val="nil"/>
              <w:tr2bl w:val="nil"/>
            </w:tcBorders>
            <w:vAlign w:val="center"/>
          </w:tcPr>
          <w:p w14:paraId="7E85EDCC">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选址要求</w:t>
            </w:r>
          </w:p>
        </w:tc>
        <w:tc>
          <w:tcPr>
            <w:tcW w:w="2835" w:type="dxa"/>
            <w:tcBorders>
              <w:tl2br w:val="nil"/>
              <w:tr2bl w:val="nil"/>
            </w:tcBorders>
            <w:vAlign w:val="center"/>
          </w:tcPr>
          <w:p w14:paraId="7300A457">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畜禽养殖场应避开以下禁建区域：生活饮用水水源保护区、风景名胜区、自然保护区的核心区及缓冲区；城市和城镇居民区，包括文教科研区、医疗区、商业区、工业区、游览区等人口集中地区；县级人民政府依法划定的禁养区域；国家或地方法律、法规规定需特殊保护的其他区域。</w:t>
            </w:r>
          </w:p>
        </w:tc>
        <w:tc>
          <w:tcPr>
            <w:tcW w:w="3881" w:type="dxa"/>
            <w:tcBorders>
              <w:tl2br w:val="nil"/>
              <w:tr2bl w:val="nil"/>
            </w:tcBorders>
            <w:vAlign w:val="center"/>
          </w:tcPr>
          <w:p w14:paraId="7AAD99E9">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本项目肉牛养殖选址白庙乡把百花村，曾口镇佛龙村，清江镇塘坝村，水宁寺镇始宁社区，不在禁建区域内。</w:t>
            </w:r>
          </w:p>
        </w:tc>
        <w:tc>
          <w:tcPr>
            <w:tcW w:w="604" w:type="dxa"/>
            <w:tcBorders>
              <w:tl2br w:val="nil"/>
              <w:tr2bl w:val="nil"/>
            </w:tcBorders>
            <w:vAlign w:val="center"/>
          </w:tcPr>
          <w:p w14:paraId="70F666AB">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符合</w:t>
            </w:r>
          </w:p>
        </w:tc>
      </w:tr>
      <w:tr w14:paraId="1C04AE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Borders>
              <w:tl2br w:val="nil"/>
              <w:tr2bl w:val="nil"/>
            </w:tcBorders>
            <w:vAlign w:val="center"/>
          </w:tcPr>
          <w:p w14:paraId="674107EF">
            <w:pPr>
              <w:widowControl w:val="0"/>
              <w:jc w:val="left"/>
              <w:rPr>
                <w:color w:val="000000" w:themeColor="text1"/>
                <w:sz w:val="18"/>
                <w:szCs w:val="18"/>
                <w14:textFill>
                  <w14:solidFill>
                    <w14:schemeClr w14:val="tx1"/>
                  </w14:solidFill>
                </w14:textFill>
              </w:rPr>
            </w:pPr>
          </w:p>
        </w:tc>
        <w:tc>
          <w:tcPr>
            <w:tcW w:w="2835" w:type="dxa"/>
            <w:tcBorders>
              <w:tl2br w:val="nil"/>
              <w:tr2bl w:val="nil"/>
            </w:tcBorders>
            <w:vAlign w:val="center"/>
          </w:tcPr>
          <w:p w14:paraId="44DA4878">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新建改建、扩建的畜禽养殖场选址应避开规定的禁建区域，在禁建区域附近建设的，应设在上述禁建区域常年主导风向的下风向或侧风向处，场界与禁建区域边界的最小距离不得小于500m。</w:t>
            </w:r>
          </w:p>
        </w:tc>
        <w:tc>
          <w:tcPr>
            <w:tcW w:w="3881" w:type="dxa"/>
            <w:tcBorders>
              <w:tl2br w:val="nil"/>
              <w:tr2bl w:val="nil"/>
            </w:tcBorders>
            <w:vAlign w:val="center"/>
          </w:tcPr>
          <w:p w14:paraId="051B0BF9">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本项目位于巴州区，根据巴州区畜禽养殖禁养区划，本项目不在禁建区域范围内。</w:t>
            </w:r>
          </w:p>
          <w:p w14:paraId="79A703E7">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根据巴州区生态环境局出局材料文件，本项目不涉及饮用水水源保护区，不在畜禽养殖禁养区、限养区范围；项目养殖区域场界与禁建区域边界的最小距离大于500m。</w:t>
            </w:r>
          </w:p>
        </w:tc>
        <w:tc>
          <w:tcPr>
            <w:tcW w:w="604" w:type="dxa"/>
            <w:tcBorders>
              <w:tl2br w:val="nil"/>
              <w:tr2bl w:val="nil"/>
            </w:tcBorders>
            <w:vAlign w:val="center"/>
          </w:tcPr>
          <w:p w14:paraId="174DBAD1">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符合</w:t>
            </w:r>
          </w:p>
        </w:tc>
      </w:tr>
      <w:tr w14:paraId="2383A0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tcBorders>
              <w:tl2br w:val="nil"/>
              <w:tr2bl w:val="nil"/>
            </w:tcBorders>
            <w:vAlign w:val="center"/>
          </w:tcPr>
          <w:p w14:paraId="7A9AF4C6">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场区布局与清粪工艺</w:t>
            </w:r>
          </w:p>
        </w:tc>
        <w:tc>
          <w:tcPr>
            <w:tcW w:w="2835" w:type="dxa"/>
            <w:tcBorders>
              <w:tl2br w:val="nil"/>
              <w:tr2bl w:val="nil"/>
            </w:tcBorders>
            <w:vAlign w:val="center"/>
          </w:tcPr>
          <w:p w14:paraId="25AD3682">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新建、改建、扩建的畜禽养殖场应实现生产区、生活管理区的隔离，粪便污水处理设施和畜禽尸体焚烧炉应设在养殖场的生产区、生活管理区的常年主导风向的下风向或侧风向。</w:t>
            </w:r>
          </w:p>
        </w:tc>
        <w:tc>
          <w:tcPr>
            <w:tcW w:w="3881" w:type="dxa"/>
            <w:tcBorders>
              <w:tl2br w:val="nil"/>
              <w:tr2bl w:val="nil"/>
            </w:tcBorders>
            <w:vAlign w:val="center"/>
          </w:tcPr>
          <w:p w14:paraId="0110E655">
            <w:pPr>
              <w:widowControl/>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生产区、生活管理区进行了分区。项目采用发酵床养殖，牛尿直接排到发酵垫料上，通过牛的踩踏和人工辅助翻耙，使粪尿和垫料充分混合，让有益微生物菌种发酵，使粪、尿有机物质分解和转化，牛尿部分蒸发，部分被垫料吸收，无养殖废水产生，养殖产生的粪污混入发酵垫料中形成发酵床，废弃垫料外运至有机肥厂无害化处理后生产有机肥，实现粪污资源化利用。因此项目无单独粪便污水处理设施。</w:t>
            </w:r>
          </w:p>
        </w:tc>
        <w:tc>
          <w:tcPr>
            <w:tcW w:w="604" w:type="dxa"/>
            <w:tcBorders>
              <w:tl2br w:val="nil"/>
              <w:tr2bl w:val="nil"/>
            </w:tcBorders>
            <w:vAlign w:val="center"/>
          </w:tcPr>
          <w:p w14:paraId="0060FAD6">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符合</w:t>
            </w:r>
          </w:p>
        </w:tc>
      </w:tr>
      <w:tr w14:paraId="58576C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Borders>
              <w:tl2br w:val="nil"/>
              <w:tr2bl w:val="nil"/>
            </w:tcBorders>
            <w:vAlign w:val="center"/>
          </w:tcPr>
          <w:p w14:paraId="0BBD0BF7">
            <w:pPr>
              <w:pStyle w:val="75"/>
              <w:widowControl/>
              <w:adjustRightInd w:val="0"/>
              <w:snapToGrid w:val="0"/>
              <w:jc w:val="left"/>
              <w:rPr>
                <w:color w:val="000000" w:themeColor="text1"/>
                <w:sz w:val="18"/>
                <w:szCs w:val="18"/>
                <w:lang w:val="en-US"/>
                <w14:textFill>
                  <w14:solidFill>
                    <w14:schemeClr w14:val="tx1"/>
                  </w14:solidFill>
                </w14:textFill>
              </w:rPr>
            </w:pPr>
          </w:p>
        </w:tc>
        <w:tc>
          <w:tcPr>
            <w:tcW w:w="2835" w:type="dxa"/>
            <w:tcBorders>
              <w:tl2br w:val="nil"/>
              <w:tr2bl w:val="nil"/>
            </w:tcBorders>
            <w:vAlign w:val="center"/>
          </w:tcPr>
          <w:p w14:paraId="6E80B9E0">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养殖场的排水系统应实行雨水和污水收集输送系统分离，在厂区内外设置的污水收集输送系统，不得采取明沟布设。</w:t>
            </w:r>
          </w:p>
        </w:tc>
        <w:tc>
          <w:tcPr>
            <w:tcW w:w="3881" w:type="dxa"/>
            <w:tcBorders>
              <w:tl2br w:val="nil"/>
              <w:tr2bl w:val="nil"/>
            </w:tcBorders>
            <w:vAlign w:val="center"/>
          </w:tcPr>
          <w:p w14:paraId="5B67BA96">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工程排水实行雨污分流，项目肉牛养殖过程产生的粪污混入发酵垫料中形成发酵床，废弃垫料外运至有机肥厂无害化处理后生产有机肥，实现粪污资源化利用。项目生活污水处理后用于厂区绿化，不外排。本项目无生产废水、生活污水外排。</w:t>
            </w:r>
          </w:p>
        </w:tc>
        <w:tc>
          <w:tcPr>
            <w:tcW w:w="604" w:type="dxa"/>
            <w:tcBorders>
              <w:tl2br w:val="nil"/>
              <w:tr2bl w:val="nil"/>
            </w:tcBorders>
            <w:vAlign w:val="center"/>
          </w:tcPr>
          <w:p w14:paraId="356E0235">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符合</w:t>
            </w:r>
          </w:p>
        </w:tc>
      </w:tr>
      <w:tr w14:paraId="6F03D0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3" w:type="dxa"/>
            <w:vMerge w:val="continue"/>
            <w:tcBorders>
              <w:tl2br w:val="nil"/>
              <w:tr2bl w:val="nil"/>
            </w:tcBorders>
            <w:vAlign w:val="center"/>
          </w:tcPr>
          <w:p w14:paraId="2CE805F1">
            <w:pPr>
              <w:pStyle w:val="75"/>
              <w:widowControl/>
              <w:adjustRightInd w:val="0"/>
              <w:snapToGrid w:val="0"/>
              <w:jc w:val="left"/>
              <w:rPr>
                <w:color w:val="000000" w:themeColor="text1"/>
                <w:sz w:val="18"/>
                <w:szCs w:val="18"/>
                <w:lang w:val="en-US"/>
                <w14:textFill>
                  <w14:solidFill>
                    <w14:schemeClr w14:val="tx1"/>
                  </w14:solidFill>
                </w14:textFill>
              </w:rPr>
            </w:pPr>
          </w:p>
        </w:tc>
        <w:tc>
          <w:tcPr>
            <w:tcW w:w="2835" w:type="dxa"/>
            <w:tcBorders>
              <w:tl2br w:val="nil"/>
              <w:tr2bl w:val="nil"/>
            </w:tcBorders>
            <w:vAlign w:val="center"/>
          </w:tcPr>
          <w:p w14:paraId="5C38AEB0">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建、改建、扩建的畜禽养殖场应采取干清粪工艺，采取有效措施将粪及时、单独清出，不可与尿、污水混合排出，并将产生的粪渣及时运至贮存或处理场所，实现日产日清。采用水冲粪、水泡粪湿法清粪工艺的养殖场，要逐步改为干清粪工艺。</w:t>
            </w:r>
          </w:p>
        </w:tc>
        <w:tc>
          <w:tcPr>
            <w:tcW w:w="3881" w:type="dxa"/>
            <w:tcBorders>
              <w:tl2br w:val="nil"/>
              <w:tr2bl w:val="nil"/>
            </w:tcBorders>
            <w:vAlign w:val="center"/>
          </w:tcPr>
          <w:p w14:paraId="0592825D">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采用发酵床养殖，牛尿直接排到发酵垫料上，通过牛的踩踏和人工辅助翻耙，使粪尿和垫料充分混合，让有益微生物菌种发酵，使粪、尿有机物质分解和转化，牛尿部分蒸发，部分被垫料吸收，无养殖废水产生，养殖产生的粪污混入发酵垫料中形成发酵床，废弃垫料外运至有机肥厂无害化处理后生产有机肥，实现粪污资源化利用。</w:t>
            </w:r>
          </w:p>
        </w:tc>
        <w:tc>
          <w:tcPr>
            <w:tcW w:w="604" w:type="dxa"/>
            <w:tcBorders>
              <w:tl2br w:val="nil"/>
              <w:tr2bl w:val="nil"/>
            </w:tcBorders>
            <w:vAlign w:val="center"/>
          </w:tcPr>
          <w:p w14:paraId="609FD6E4">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符合</w:t>
            </w:r>
          </w:p>
        </w:tc>
      </w:tr>
      <w:tr w14:paraId="33A790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restart"/>
            <w:tcBorders>
              <w:tl2br w:val="nil"/>
              <w:tr2bl w:val="nil"/>
            </w:tcBorders>
            <w:vAlign w:val="center"/>
          </w:tcPr>
          <w:p w14:paraId="004F94C7">
            <w:pPr>
              <w:widowControl/>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畜禽粪便的贮存</w:t>
            </w:r>
          </w:p>
        </w:tc>
        <w:tc>
          <w:tcPr>
            <w:tcW w:w="2835" w:type="dxa"/>
            <w:tcBorders>
              <w:tl2br w:val="nil"/>
              <w:tr2bl w:val="nil"/>
            </w:tcBorders>
            <w:vAlign w:val="center"/>
          </w:tcPr>
          <w:p w14:paraId="080B44AD">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畜禽养殖场产生的畜禽粪便应设置专门的贮存设施，其恶臭及污染物排放应符合《畜禽养殖业污染物排放标准》。</w:t>
            </w:r>
          </w:p>
        </w:tc>
        <w:tc>
          <w:tcPr>
            <w:tcW w:w="3881" w:type="dxa"/>
            <w:vMerge w:val="restart"/>
            <w:tcBorders>
              <w:tl2br w:val="nil"/>
              <w:tr2bl w:val="nil"/>
            </w:tcBorders>
            <w:vAlign w:val="center"/>
          </w:tcPr>
          <w:p w14:paraId="33566509">
            <w:pPr>
              <w:widowControl w:val="0"/>
              <w:jc w:val="left"/>
              <w:rPr>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项目养殖产生的粪污混入发酵垫料中形成发酵床，废弃垫料外运至有机肥厂无害化处理后生产有机肥，</w:t>
            </w:r>
            <w:r>
              <w:rPr>
                <w:rFonts w:hint="eastAsia"/>
                <w:color w:val="000000" w:themeColor="text1"/>
                <w:sz w:val="18"/>
                <w:szCs w:val="18"/>
                <w14:textFill>
                  <w14:solidFill>
                    <w14:schemeClr w14:val="tx1"/>
                  </w14:solidFill>
                </w14:textFill>
              </w:rPr>
              <w:t>及时清运</w:t>
            </w:r>
            <w:r>
              <w:rPr>
                <w:color w:val="000000" w:themeColor="text1"/>
                <w:sz w:val="18"/>
                <w:szCs w:val="18"/>
                <w14:textFill>
                  <w14:solidFill>
                    <w14:schemeClr w14:val="tx1"/>
                  </w14:solidFill>
                </w14:textFill>
              </w:rPr>
              <w:t>，实现粪污资源化利用。项目不单独设置粪便贮存设施。</w:t>
            </w:r>
          </w:p>
          <w:p w14:paraId="146ED75D">
            <w:pPr>
              <w:widowControl w:val="0"/>
              <w:jc w:val="left"/>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本项目</w:t>
            </w:r>
            <w:r>
              <w:rPr>
                <w:color w:val="000000" w:themeColor="text1"/>
                <w:sz w:val="18"/>
                <w:szCs w:val="18"/>
                <w14:textFill>
                  <w14:solidFill>
                    <w14:schemeClr w14:val="tx1"/>
                  </w14:solidFill>
                </w14:textFill>
              </w:rPr>
              <w:t>采用发酵床养殖，不单独设置粪便贮存设施。</w:t>
            </w:r>
            <w:r>
              <w:rPr>
                <w:bCs/>
                <w:color w:val="000000" w:themeColor="text1"/>
                <w:sz w:val="18"/>
                <w:szCs w:val="18"/>
                <w14:textFill>
                  <w14:solidFill>
                    <w14:schemeClr w14:val="tx1"/>
                  </w14:solidFill>
                </w14:textFill>
              </w:rPr>
              <w:t>项目养殖区边界距离周边地标水体直线距离＞400m。</w:t>
            </w:r>
          </w:p>
        </w:tc>
        <w:tc>
          <w:tcPr>
            <w:tcW w:w="604" w:type="dxa"/>
            <w:tcBorders>
              <w:tl2br w:val="nil"/>
              <w:tr2bl w:val="nil"/>
            </w:tcBorders>
            <w:vAlign w:val="center"/>
          </w:tcPr>
          <w:p w14:paraId="7B48D1DA">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符合</w:t>
            </w:r>
          </w:p>
        </w:tc>
      </w:tr>
      <w:tr w14:paraId="4A55C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93" w:type="dxa"/>
            <w:vMerge w:val="continue"/>
            <w:tcBorders>
              <w:tl2br w:val="nil"/>
              <w:tr2bl w:val="nil"/>
            </w:tcBorders>
            <w:vAlign w:val="center"/>
          </w:tcPr>
          <w:p w14:paraId="3E5390ED">
            <w:pPr>
              <w:widowControl/>
              <w:jc w:val="left"/>
              <w:rPr>
                <w:color w:val="000000" w:themeColor="text1"/>
                <w:sz w:val="18"/>
                <w:szCs w:val="18"/>
                <w14:textFill>
                  <w14:solidFill>
                    <w14:schemeClr w14:val="tx1"/>
                  </w14:solidFill>
                </w14:textFill>
              </w:rPr>
            </w:pPr>
          </w:p>
        </w:tc>
        <w:tc>
          <w:tcPr>
            <w:tcW w:w="2835" w:type="dxa"/>
            <w:tcBorders>
              <w:tl2br w:val="nil"/>
              <w:tr2bl w:val="nil"/>
            </w:tcBorders>
            <w:vAlign w:val="center"/>
          </w:tcPr>
          <w:p w14:paraId="26EBA7DF">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贮存设施的位置必须远离各类功能地表水体(距离不得小于400m)，并应设在养殖场生产及生活管理区的常年主导风向的下风向或侧风向处。</w:t>
            </w:r>
          </w:p>
        </w:tc>
        <w:tc>
          <w:tcPr>
            <w:tcW w:w="3881" w:type="dxa"/>
            <w:vMerge w:val="continue"/>
            <w:tcBorders>
              <w:tl2br w:val="nil"/>
              <w:tr2bl w:val="nil"/>
            </w:tcBorders>
            <w:vAlign w:val="center"/>
          </w:tcPr>
          <w:p w14:paraId="3993CC56">
            <w:pPr>
              <w:widowControl w:val="0"/>
              <w:jc w:val="left"/>
              <w:rPr>
                <w:bCs/>
                <w:color w:val="000000" w:themeColor="text1"/>
                <w:sz w:val="18"/>
                <w:szCs w:val="18"/>
                <w14:textFill>
                  <w14:solidFill>
                    <w14:schemeClr w14:val="tx1"/>
                  </w14:solidFill>
                </w14:textFill>
              </w:rPr>
            </w:pPr>
          </w:p>
        </w:tc>
        <w:tc>
          <w:tcPr>
            <w:tcW w:w="604" w:type="dxa"/>
            <w:tcBorders>
              <w:tl2br w:val="nil"/>
              <w:tr2bl w:val="nil"/>
            </w:tcBorders>
            <w:vAlign w:val="center"/>
          </w:tcPr>
          <w:p w14:paraId="7612CD2A">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符合</w:t>
            </w:r>
          </w:p>
        </w:tc>
      </w:tr>
      <w:tr w14:paraId="1CB1C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93" w:type="dxa"/>
            <w:vMerge w:val="continue"/>
            <w:tcBorders>
              <w:tl2br w:val="nil"/>
              <w:tr2bl w:val="nil"/>
            </w:tcBorders>
            <w:vAlign w:val="center"/>
          </w:tcPr>
          <w:p w14:paraId="56D4BAD2">
            <w:pPr>
              <w:pStyle w:val="75"/>
              <w:widowControl/>
              <w:adjustRightInd w:val="0"/>
              <w:snapToGrid w:val="0"/>
              <w:jc w:val="left"/>
              <w:rPr>
                <w:color w:val="000000" w:themeColor="text1"/>
                <w:sz w:val="18"/>
                <w:szCs w:val="18"/>
                <w:lang w:val="en-US"/>
                <w14:textFill>
                  <w14:solidFill>
                    <w14:schemeClr w14:val="tx1"/>
                  </w14:solidFill>
                </w14:textFill>
              </w:rPr>
            </w:pPr>
          </w:p>
        </w:tc>
        <w:tc>
          <w:tcPr>
            <w:tcW w:w="2835" w:type="dxa"/>
            <w:tcBorders>
              <w:tl2br w:val="nil"/>
              <w:tr2bl w:val="nil"/>
            </w:tcBorders>
            <w:vAlign w:val="center"/>
          </w:tcPr>
          <w:p w14:paraId="3A0FF0A4">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贮存设施应采取有效的防渗处理工艺，防止畜禽粪便污染地下水。</w:t>
            </w:r>
          </w:p>
        </w:tc>
        <w:tc>
          <w:tcPr>
            <w:tcW w:w="3881" w:type="dxa"/>
            <w:vMerge w:val="continue"/>
            <w:tcBorders>
              <w:tl2br w:val="nil"/>
              <w:tr2bl w:val="nil"/>
            </w:tcBorders>
            <w:vAlign w:val="center"/>
          </w:tcPr>
          <w:p w14:paraId="108FA211">
            <w:pPr>
              <w:widowControl w:val="0"/>
              <w:jc w:val="left"/>
              <w:rPr>
                <w:color w:val="000000" w:themeColor="text1"/>
                <w:sz w:val="18"/>
                <w:szCs w:val="18"/>
                <w14:textFill>
                  <w14:solidFill>
                    <w14:schemeClr w14:val="tx1"/>
                  </w14:solidFill>
                </w14:textFill>
              </w:rPr>
            </w:pPr>
          </w:p>
        </w:tc>
        <w:tc>
          <w:tcPr>
            <w:tcW w:w="604" w:type="dxa"/>
            <w:tcBorders>
              <w:tl2br w:val="nil"/>
              <w:tr2bl w:val="nil"/>
            </w:tcBorders>
            <w:vAlign w:val="center"/>
          </w:tcPr>
          <w:p w14:paraId="71491B86">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w:t>
            </w:r>
          </w:p>
        </w:tc>
      </w:tr>
      <w:tr w14:paraId="70C888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993" w:type="dxa"/>
            <w:tcBorders>
              <w:tl2br w:val="nil"/>
              <w:tr2bl w:val="nil"/>
            </w:tcBorders>
            <w:vAlign w:val="center"/>
          </w:tcPr>
          <w:p w14:paraId="6BA35356">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病死畜禽尸体的处理与处置</w:t>
            </w:r>
          </w:p>
        </w:tc>
        <w:tc>
          <w:tcPr>
            <w:tcW w:w="2835" w:type="dxa"/>
            <w:tcBorders>
              <w:tl2br w:val="nil"/>
              <w:tr2bl w:val="nil"/>
            </w:tcBorders>
            <w:vAlign w:val="center"/>
          </w:tcPr>
          <w:p w14:paraId="73C0E8CD">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病死畜禽尸体要及时处理，严禁随意丢弃，严禁出售或作为饲料再利用</w:t>
            </w:r>
          </w:p>
        </w:tc>
        <w:tc>
          <w:tcPr>
            <w:tcW w:w="3881" w:type="dxa"/>
            <w:tcBorders>
              <w:tl2br w:val="nil"/>
              <w:tr2bl w:val="nil"/>
            </w:tcBorders>
            <w:vAlign w:val="center"/>
          </w:tcPr>
          <w:p w14:paraId="4AAFE34E">
            <w:pPr>
              <w:widowControl/>
              <w:jc w:val="left"/>
              <w:rPr>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项目病死牛委托四川科农动物无害化处理有限公司无害化处置。</w:t>
            </w:r>
          </w:p>
        </w:tc>
        <w:tc>
          <w:tcPr>
            <w:tcW w:w="604" w:type="dxa"/>
            <w:tcBorders>
              <w:tl2br w:val="nil"/>
              <w:tr2bl w:val="nil"/>
            </w:tcBorders>
            <w:vAlign w:val="center"/>
          </w:tcPr>
          <w:p w14:paraId="58AFF14A">
            <w:pPr>
              <w:pStyle w:val="75"/>
              <w:widowControl/>
              <w:adjustRightInd w:val="0"/>
              <w:snapToGrid w:val="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符合</w:t>
            </w:r>
          </w:p>
        </w:tc>
      </w:tr>
    </w:tbl>
    <w:p w14:paraId="58270162">
      <w:pPr>
        <w:pStyle w:val="814"/>
        <w:tabs>
          <w:tab w:val="left" w:pos="0"/>
        </w:tabs>
        <w:snapToGrid w:val="0"/>
        <w:ind w:left="-34" w:firstLine="480" w:firstLineChars="200"/>
        <w:jc w:val="both"/>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由上表可知，本项目符合《畜禽养殖业污染防治技术规范》（HJ /T 81-2001）相关要求。</w:t>
      </w:r>
    </w:p>
    <w:p w14:paraId="6B6CFE91">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（5）与《规模畜禽养殖场污染防治最佳可行技术指南（试行）》（HJ -BAT-10）符合性</w:t>
      </w:r>
    </w:p>
    <w:p w14:paraId="4F6EE514">
      <w:pPr>
        <w:pStyle w:val="21"/>
        <w:ind w:firstLine="480" w:firstLineChars="200"/>
        <w:jc w:val="left"/>
        <w:rPr>
          <w:b w:val="0"/>
          <w:bCs w:val="0"/>
          <w:color w:val="000000" w:themeColor="text1"/>
          <w:kern w:val="0"/>
          <w:szCs w:val="24"/>
          <w:lang w:bidi="ar"/>
          <w14:textFill>
            <w14:solidFill>
              <w14:schemeClr w14:val="tx1"/>
            </w14:solidFill>
          </w14:textFill>
        </w:rPr>
      </w:pPr>
      <w:r>
        <w:rPr>
          <w:b w:val="0"/>
          <w:bCs w:val="0"/>
          <w:color w:val="000000" w:themeColor="text1"/>
          <w:kern w:val="0"/>
          <w:szCs w:val="24"/>
          <w:lang w:bidi="ar"/>
          <w14:textFill>
            <w14:solidFill>
              <w14:schemeClr w14:val="tx1"/>
            </w14:solidFill>
          </w14:textFill>
        </w:rPr>
        <w:t>项目与《规模畜禽养殖场污染防治最佳可行技术指南（试行）》（HJ -BAT-10）相关要求的符合性见下表。</w:t>
      </w:r>
    </w:p>
    <w:p w14:paraId="6C571963">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本项目与《规模畜禽养殖场污染防治最佳可行技术指南（试行）》符合性分析</w:t>
      </w: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543"/>
        <w:gridCol w:w="4397"/>
        <w:gridCol w:w="2935"/>
        <w:gridCol w:w="690"/>
      </w:tblGrid>
      <w:tr w14:paraId="06CC155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43" w:type="dxa"/>
            <w:tcBorders>
              <w:tl2br w:val="nil"/>
              <w:tr2bl w:val="nil"/>
            </w:tcBorders>
            <w:vAlign w:val="center"/>
          </w:tcPr>
          <w:p w14:paraId="6475E519">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序号</w:t>
            </w:r>
          </w:p>
        </w:tc>
        <w:tc>
          <w:tcPr>
            <w:tcW w:w="4397" w:type="dxa"/>
            <w:tcBorders>
              <w:tl2br w:val="nil"/>
              <w:tr2bl w:val="nil"/>
            </w:tcBorders>
            <w:vAlign w:val="center"/>
          </w:tcPr>
          <w:p w14:paraId="19E2CCEC">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规模畜禽养殖场污染防治最佳可行技术指南（试行）相关要求</w:t>
            </w:r>
          </w:p>
        </w:tc>
        <w:tc>
          <w:tcPr>
            <w:tcW w:w="2935" w:type="dxa"/>
            <w:tcBorders>
              <w:tl2br w:val="nil"/>
              <w:tr2bl w:val="nil"/>
            </w:tcBorders>
            <w:vAlign w:val="center"/>
          </w:tcPr>
          <w:p w14:paraId="2CDC2F3C">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160CDECD">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259AC9C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809" w:hRule="atLeast"/>
          <w:jc w:val="center"/>
        </w:trPr>
        <w:tc>
          <w:tcPr>
            <w:tcW w:w="543" w:type="dxa"/>
            <w:tcBorders>
              <w:tl2br w:val="nil"/>
              <w:tr2bl w:val="nil"/>
            </w:tcBorders>
            <w:vAlign w:val="center"/>
          </w:tcPr>
          <w:p w14:paraId="5E5AC321">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4397" w:type="dxa"/>
            <w:tcBorders>
              <w:tl2br w:val="nil"/>
              <w:tr2bl w:val="nil"/>
            </w:tcBorders>
            <w:vAlign w:val="center"/>
          </w:tcPr>
          <w:p w14:paraId="5AFCA8B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采用培育优良品种、科学饲养、科学配料、使用无公害绿色添加剂等措施，并利用高新技术改变饲料品质及物理形态（如生物制剂处理技术、饲料颗粒化、饲料热喷技术），提高畜禽饲料的利用率（尤其是氮的利用率），降低畜禽排泄物中氮的含量及恶臭气体的排放。</w:t>
            </w:r>
          </w:p>
        </w:tc>
        <w:tc>
          <w:tcPr>
            <w:tcW w:w="2935" w:type="dxa"/>
            <w:tcBorders>
              <w:tl2br w:val="nil"/>
              <w:tr2bl w:val="nil"/>
            </w:tcBorders>
            <w:vAlign w:val="center"/>
          </w:tcPr>
          <w:p w14:paraId="29E28679">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肉牛养殖在饲料中添加益生菌，益生菌在肉牛瘤胃里定植，改善消化吸收，让肉牛吃进去的饲料消化更彻底，粪便里的未消化蛋白、粗纤维大幅减少，能够促生长、降料肉比，降低肉牛腹泻率。同时肉牛粪便本身的臭味会变淡很多，而且粪便的含水量也会降低，落在垫料上更容易被分解。</w:t>
            </w:r>
          </w:p>
        </w:tc>
        <w:tc>
          <w:tcPr>
            <w:tcW w:w="690" w:type="dxa"/>
            <w:tcBorders>
              <w:tl2br w:val="nil"/>
              <w:tr2bl w:val="nil"/>
            </w:tcBorders>
            <w:vAlign w:val="center"/>
          </w:tcPr>
          <w:p w14:paraId="724D96B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2352AD0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609" w:hRule="atLeast"/>
          <w:jc w:val="center"/>
        </w:trPr>
        <w:tc>
          <w:tcPr>
            <w:tcW w:w="543" w:type="dxa"/>
            <w:tcBorders>
              <w:tl2br w:val="nil"/>
              <w:tr2bl w:val="nil"/>
            </w:tcBorders>
            <w:vAlign w:val="center"/>
          </w:tcPr>
          <w:p w14:paraId="3E3B0001">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4397" w:type="dxa"/>
            <w:tcBorders>
              <w:tl2br w:val="nil"/>
              <w:tr2bl w:val="nil"/>
            </w:tcBorders>
            <w:vAlign w:val="center"/>
          </w:tcPr>
          <w:p w14:paraId="787BE8B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干清粪技术是指畜禽排放的粪便一经产生便通过机械或人工收集、清除，尿液、残余粪便及冲洗水则从排污道排出的清粪方式，根据养殖场规模情况可选择人工或机械清粪工艺。</w:t>
            </w:r>
          </w:p>
        </w:tc>
        <w:tc>
          <w:tcPr>
            <w:tcW w:w="2935" w:type="dxa"/>
            <w:tcBorders>
              <w:tl2br w:val="nil"/>
              <w:tr2bl w:val="nil"/>
            </w:tcBorders>
            <w:vAlign w:val="center"/>
          </w:tcPr>
          <w:p w14:paraId="449CE50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牛尿直接排到发酵垫料上，通过牛的踩踏和人工辅助翻耙，使粪尿和垫料充分混合，让有益微生物菌种发酵，使粪、尿有机物质分解和转化，牛尿部分蒸发，部分被垫料吸收，无养殖废水产生。</w:t>
            </w:r>
          </w:p>
        </w:tc>
        <w:tc>
          <w:tcPr>
            <w:tcW w:w="690" w:type="dxa"/>
            <w:tcBorders>
              <w:tl2br w:val="nil"/>
              <w:tr2bl w:val="nil"/>
            </w:tcBorders>
            <w:vAlign w:val="center"/>
          </w:tcPr>
          <w:p w14:paraId="520BA20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357FA4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854" w:hRule="atLeast"/>
          <w:jc w:val="center"/>
        </w:trPr>
        <w:tc>
          <w:tcPr>
            <w:tcW w:w="543" w:type="dxa"/>
            <w:tcBorders>
              <w:tl2br w:val="nil"/>
              <w:tr2bl w:val="nil"/>
            </w:tcBorders>
            <w:vAlign w:val="center"/>
          </w:tcPr>
          <w:p w14:paraId="35C47C8C">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4397" w:type="dxa"/>
            <w:tcBorders>
              <w:tl2br w:val="nil"/>
              <w:tr2bl w:val="nil"/>
            </w:tcBorders>
            <w:vAlign w:val="center"/>
          </w:tcPr>
          <w:p w14:paraId="4DEAD7A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病死畜禽尸体的处理与处置采用厌氧发酵技术的养殖场可采用高温灭菌方法，将畜禽尸体破碎后进入沼气发酵反应器。对于未采用厌氧发酵技术的大型养殖场或在养殖密集区的大型养殖场应集中设置焚烧设施，同时焚烧产生的烟气应采取有效的净化措施，防止烟尘、一氧化碳、恶臭等对周围大气环境的污染。</w:t>
            </w:r>
          </w:p>
        </w:tc>
        <w:tc>
          <w:tcPr>
            <w:tcW w:w="2935" w:type="dxa"/>
            <w:tcBorders>
              <w:tl2br w:val="nil"/>
              <w:tr2bl w:val="nil"/>
            </w:tcBorders>
            <w:vAlign w:val="center"/>
          </w:tcPr>
          <w:p w14:paraId="455F3459">
            <w:pPr>
              <w:widowControl/>
              <w:autoSpaceDE/>
              <w:autoSpaceDN/>
              <w:ind w:firstLine="360" w:firstLineChars="200"/>
              <w:jc w:val="left"/>
              <w:rPr>
                <w:rFonts w:ascii="Times New Roman" w:hAnsi="Times New Roman" w:eastAsia="Times New Roman"/>
                <w:bCs/>
                <w:color w:val="000000" w:themeColor="text1"/>
                <w:sz w:val="18"/>
                <w:szCs w:val="18"/>
                <w:lang w:eastAsia="zh-CN"/>
                <w14:textFill>
                  <w14:solidFill>
                    <w14:schemeClr w14:val="tx1"/>
                  </w14:solidFill>
                </w14:textFill>
              </w:rPr>
            </w:pPr>
            <w:r>
              <w:rPr>
                <w:rFonts w:hint="eastAsia" w:ascii="宋体" w:hAnsi="宋体" w:eastAsia="宋体" w:cs="宋体"/>
                <w:bCs/>
                <w:color w:val="000000" w:themeColor="text1"/>
                <w:sz w:val="18"/>
                <w:szCs w:val="18"/>
                <w:lang w:eastAsia="zh-CN"/>
                <w14:textFill>
                  <w14:solidFill>
                    <w14:schemeClr w14:val="tx1"/>
                  </w14:solidFill>
                </w14:textFill>
              </w:rPr>
              <w:t>项目病死牛委托四川科农动物无害化处理有限公司无害化处置。</w:t>
            </w:r>
          </w:p>
          <w:p w14:paraId="706813A5">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bCs/>
                <w:color w:val="000000" w:themeColor="text1"/>
                <w:sz w:val="18"/>
                <w:szCs w:val="18"/>
                <w:lang w:eastAsia="zh-CN"/>
                <w14:textFill>
                  <w14:solidFill>
                    <w14:schemeClr w14:val="tx1"/>
                  </w14:solidFill>
                </w14:textFill>
              </w:rPr>
              <w:t>上述处置符合当地规划和客观实际。</w:t>
            </w:r>
          </w:p>
        </w:tc>
        <w:tc>
          <w:tcPr>
            <w:tcW w:w="690" w:type="dxa"/>
            <w:tcBorders>
              <w:tl2br w:val="nil"/>
              <w:tr2bl w:val="nil"/>
            </w:tcBorders>
            <w:vAlign w:val="center"/>
          </w:tcPr>
          <w:p w14:paraId="63C68E8F">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7EFACE4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543" w:type="dxa"/>
            <w:tcBorders>
              <w:tl2br w:val="nil"/>
              <w:tr2bl w:val="nil"/>
            </w:tcBorders>
            <w:vAlign w:val="center"/>
          </w:tcPr>
          <w:p w14:paraId="7128AEE8">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4</w:t>
            </w:r>
          </w:p>
        </w:tc>
        <w:tc>
          <w:tcPr>
            <w:tcW w:w="4397" w:type="dxa"/>
            <w:tcBorders>
              <w:tl2br w:val="nil"/>
              <w:tr2bl w:val="nil"/>
            </w:tcBorders>
            <w:vAlign w:val="center"/>
          </w:tcPr>
          <w:p w14:paraId="40CB00E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养殖场臭气污染控制技术分为物理、化学和生物除臭技术，</w:t>
            </w:r>
          </w:p>
          <w:p w14:paraId="46EF6DA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物理除臭技术为向粪便或舍内投（铺）放吸附剂减少臭气的散发。可采用沸石、锯末、膨润土以及秸秆、泥炭等含纤维素和木质素较多的材料。</w:t>
            </w:r>
          </w:p>
          <w:p w14:paraId="6A4F36B3">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化学除臭技术向养殖场区和粪污处理厂（站）投加或喷洒化学除臭剂防止臭气的产生。可采用双氧水、次氯酸钠、臭氧等不含重金属的化学氧化剂。</w:t>
            </w:r>
          </w:p>
          <w:p w14:paraId="7BF25B59">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生物除臭技术即微生物降解技术，利用生长在滤料上的除臭微生物对硫化氢、二氧化硫、氨气以及其他挥发性恶臭物进行降解。生物除臭包括生物过滤法和生物洗涤法等。</w:t>
            </w:r>
          </w:p>
        </w:tc>
        <w:tc>
          <w:tcPr>
            <w:tcW w:w="2935" w:type="dxa"/>
            <w:tcBorders>
              <w:tl2br w:val="nil"/>
              <w:tr2bl w:val="nil"/>
            </w:tcBorders>
            <w:vAlign w:val="center"/>
          </w:tcPr>
          <w:p w14:paraId="1BA75BD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项目采用发酵床养殖，采用锯末、稻壳等作为垫层材料，在饲料中添加益生菌，以及圈舍喷洒生物除臭剂的方式，能够显著减少恶臭影响。</w:t>
            </w:r>
          </w:p>
        </w:tc>
        <w:tc>
          <w:tcPr>
            <w:tcW w:w="690" w:type="dxa"/>
            <w:tcBorders>
              <w:tl2br w:val="nil"/>
              <w:tr2bl w:val="nil"/>
            </w:tcBorders>
            <w:vAlign w:val="center"/>
          </w:tcPr>
          <w:p w14:paraId="7E7C3B45">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1E988EB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347" w:hRule="atLeast"/>
          <w:jc w:val="center"/>
        </w:trPr>
        <w:tc>
          <w:tcPr>
            <w:tcW w:w="543" w:type="dxa"/>
            <w:tcBorders>
              <w:tl2br w:val="nil"/>
              <w:tr2bl w:val="nil"/>
            </w:tcBorders>
            <w:vAlign w:val="center"/>
          </w:tcPr>
          <w:p w14:paraId="76C8A90C">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5</w:t>
            </w:r>
          </w:p>
        </w:tc>
        <w:tc>
          <w:tcPr>
            <w:tcW w:w="4397" w:type="dxa"/>
            <w:tcBorders>
              <w:tl2br w:val="nil"/>
              <w:tr2bl w:val="nil"/>
            </w:tcBorders>
            <w:vAlign w:val="center"/>
          </w:tcPr>
          <w:p w14:paraId="0B0A2C2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生物发酵床技术是按一定比例将发酵菌种与秸秆、锯末、稻壳以及辅助材料等混合，通过发酵形成有机垫料，将有机垫料置于特殊设计的猪舍内，利用微生物对粪便进行降解、吸氨固氮而形成有机肥。</w:t>
            </w:r>
          </w:p>
        </w:tc>
        <w:tc>
          <w:tcPr>
            <w:tcW w:w="2935" w:type="dxa"/>
            <w:tcBorders>
              <w:tl2br w:val="nil"/>
              <w:tr2bl w:val="nil"/>
            </w:tcBorders>
            <w:vAlign w:val="center"/>
          </w:tcPr>
          <w:p w14:paraId="204D3C5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项目采用发酵床养殖，采用锯末、稻壳等作为垫层材料。</w:t>
            </w:r>
          </w:p>
        </w:tc>
        <w:tc>
          <w:tcPr>
            <w:tcW w:w="690" w:type="dxa"/>
            <w:tcBorders>
              <w:tl2br w:val="nil"/>
              <w:tr2bl w:val="nil"/>
            </w:tcBorders>
            <w:vAlign w:val="center"/>
          </w:tcPr>
          <w:p w14:paraId="4E11DEAE">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5DA772E5">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由上表可知，本项目符合《规模畜禽养殖场污染防治最佳可行技术指南（试行）》（HJ -BAT-10）相关要求。</w:t>
      </w:r>
    </w:p>
    <w:p w14:paraId="7BEF9D6B">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（6）与《畜禽养殖产地环境评价规范》（HJ 568-2010）符合性</w:t>
      </w:r>
    </w:p>
    <w:p w14:paraId="32771718">
      <w:pPr>
        <w:pStyle w:val="21"/>
        <w:ind w:firstLine="480" w:firstLineChars="200"/>
        <w:jc w:val="left"/>
        <w:rPr>
          <w:b w:val="0"/>
          <w:bCs w:val="0"/>
          <w:color w:val="000000" w:themeColor="text1"/>
          <w:kern w:val="0"/>
          <w:szCs w:val="24"/>
          <w:lang w:bidi="ar"/>
          <w14:textFill>
            <w14:solidFill>
              <w14:schemeClr w14:val="tx1"/>
            </w14:solidFill>
          </w14:textFill>
        </w:rPr>
      </w:pPr>
      <w:r>
        <w:rPr>
          <w:b w:val="0"/>
          <w:bCs w:val="0"/>
          <w:color w:val="000000" w:themeColor="text1"/>
          <w:kern w:val="0"/>
          <w:szCs w:val="24"/>
          <w:lang w:bidi="ar"/>
          <w14:textFill>
            <w14:solidFill>
              <w14:schemeClr w14:val="tx1"/>
            </w14:solidFill>
          </w14:textFill>
        </w:rPr>
        <w:t>项目与《畜禽养殖产地环境评价规范》（HJ 568-2010）相关要求的符合性见下表。</w:t>
      </w:r>
    </w:p>
    <w:p w14:paraId="1DBDCC10">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本项目与《畜禽养殖产地环境评价规范》符合性分析</w:t>
      </w: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543"/>
        <w:gridCol w:w="3487"/>
        <w:gridCol w:w="3845"/>
        <w:gridCol w:w="690"/>
      </w:tblGrid>
      <w:tr w14:paraId="273D0C4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43" w:type="dxa"/>
            <w:tcBorders>
              <w:tl2br w:val="nil"/>
              <w:tr2bl w:val="nil"/>
            </w:tcBorders>
            <w:vAlign w:val="center"/>
          </w:tcPr>
          <w:p w14:paraId="154A3B36">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序号</w:t>
            </w:r>
          </w:p>
        </w:tc>
        <w:tc>
          <w:tcPr>
            <w:tcW w:w="3487" w:type="dxa"/>
            <w:tcBorders>
              <w:tl2br w:val="nil"/>
              <w:tr2bl w:val="nil"/>
            </w:tcBorders>
            <w:vAlign w:val="center"/>
          </w:tcPr>
          <w:p w14:paraId="5BCE3F56">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《畜禽养殖产地环境评价规范》相关要求</w:t>
            </w:r>
          </w:p>
        </w:tc>
        <w:tc>
          <w:tcPr>
            <w:tcW w:w="3845" w:type="dxa"/>
            <w:tcBorders>
              <w:tl2br w:val="nil"/>
              <w:tr2bl w:val="nil"/>
            </w:tcBorders>
            <w:vAlign w:val="center"/>
          </w:tcPr>
          <w:p w14:paraId="1260B357">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22CCD611">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2B70DBC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809" w:hRule="atLeast"/>
          <w:jc w:val="center"/>
        </w:trPr>
        <w:tc>
          <w:tcPr>
            <w:tcW w:w="543" w:type="dxa"/>
            <w:tcBorders>
              <w:tl2br w:val="nil"/>
              <w:tr2bl w:val="nil"/>
            </w:tcBorders>
            <w:vAlign w:val="center"/>
          </w:tcPr>
          <w:p w14:paraId="6C0C481E">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3487" w:type="dxa"/>
            <w:tcBorders>
              <w:tl2br w:val="nil"/>
              <w:tr2bl w:val="nil"/>
            </w:tcBorders>
            <w:vAlign w:val="center"/>
          </w:tcPr>
          <w:p w14:paraId="284EBF67">
            <w:pPr>
              <w:widowControl/>
              <w:autoSpaceDE/>
              <w:autoSpaceDN/>
              <w:jc w:val="left"/>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畜禽饮用水水质</w:t>
            </w:r>
          </w:p>
        </w:tc>
        <w:tc>
          <w:tcPr>
            <w:tcW w:w="3845" w:type="dxa"/>
            <w:tcBorders>
              <w:tl2br w:val="nil"/>
              <w:tr2bl w:val="nil"/>
            </w:tcBorders>
            <w:vAlign w:val="center"/>
          </w:tcPr>
          <w:p w14:paraId="7011A1FD">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本项目畜禽饮用水采用自来水，各项指标均能满足《畜禽养殖产地环境评价规范》（</w:t>
            </w:r>
            <w:r>
              <w:rPr>
                <w:rFonts w:ascii="Times New Roman" w:hAnsi="Times New Roman" w:eastAsia="Times New Roman"/>
                <w:color w:val="000000" w:themeColor="text1"/>
                <w:sz w:val="18"/>
                <w:szCs w:val="18"/>
                <w:lang w:eastAsia="zh-CN"/>
                <w14:textFill>
                  <w14:solidFill>
                    <w14:schemeClr w14:val="tx1"/>
                  </w14:solidFill>
                </w14:textFill>
              </w:rPr>
              <w:t>HJ 568-2010</w:t>
            </w:r>
            <w:r>
              <w:rPr>
                <w:rFonts w:hint="eastAsia" w:ascii="宋体" w:hAnsi="宋体" w:eastAsia="宋体" w:cs="宋体"/>
                <w:color w:val="000000" w:themeColor="text1"/>
                <w:sz w:val="18"/>
                <w:szCs w:val="18"/>
                <w:lang w:eastAsia="zh-CN"/>
                <w14:textFill>
                  <w14:solidFill>
                    <w14:schemeClr w14:val="tx1"/>
                  </w14:solidFill>
                </w14:textFill>
              </w:rPr>
              <w:t>）表</w:t>
            </w:r>
            <w:r>
              <w:rPr>
                <w:rFonts w:ascii="Times New Roman" w:hAnsi="Times New Roman" w:eastAsia="Times New Roman"/>
                <w:color w:val="000000" w:themeColor="text1"/>
                <w:sz w:val="18"/>
                <w:szCs w:val="18"/>
                <w:lang w:eastAsia="zh-CN"/>
                <w14:textFill>
                  <w14:solidFill>
                    <w14:schemeClr w14:val="tx1"/>
                  </w14:solidFill>
                </w14:textFill>
              </w:rPr>
              <w:t>2</w:t>
            </w:r>
            <w:r>
              <w:rPr>
                <w:rFonts w:hint="eastAsia" w:ascii="宋体" w:hAnsi="宋体" w:eastAsia="宋体" w:cs="宋体"/>
                <w:color w:val="000000" w:themeColor="text1"/>
                <w:sz w:val="18"/>
                <w:szCs w:val="18"/>
                <w:lang w:eastAsia="zh-CN"/>
                <w14:textFill>
                  <w14:solidFill>
                    <w14:schemeClr w14:val="tx1"/>
                  </w14:solidFill>
                </w14:textFill>
              </w:rPr>
              <w:t>中限值。</w:t>
            </w:r>
          </w:p>
        </w:tc>
        <w:tc>
          <w:tcPr>
            <w:tcW w:w="690" w:type="dxa"/>
            <w:tcBorders>
              <w:tl2br w:val="nil"/>
              <w:tr2bl w:val="nil"/>
            </w:tcBorders>
            <w:vAlign w:val="center"/>
          </w:tcPr>
          <w:p w14:paraId="6F80635D">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6321C8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9" w:hRule="atLeast"/>
          <w:jc w:val="center"/>
        </w:trPr>
        <w:tc>
          <w:tcPr>
            <w:tcW w:w="543" w:type="dxa"/>
            <w:tcBorders>
              <w:tl2br w:val="nil"/>
              <w:tr2bl w:val="nil"/>
            </w:tcBorders>
            <w:vAlign w:val="center"/>
          </w:tcPr>
          <w:p w14:paraId="23AB1D0F">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3487" w:type="dxa"/>
            <w:tcBorders>
              <w:tl2br w:val="nil"/>
              <w:tr2bl w:val="nil"/>
            </w:tcBorders>
            <w:vAlign w:val="center"/>
          </w:tcPr>
          <w:p w14:paraId="768686C9">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畜禽养殖场、养殖小区生产用水水质评价</w:t>
            </w:r>
          </w:p>
        </w:tc>
        <w:tc>
          <w:tcPr>
            <w:tcW w:w="3845" w:type="dxa"/>
            <w:tcBorders>
              <w:tl2br w:val="nil"/>
              <w:tr2bl w:val="nil"/>
            </w:tcBorders>
            <w:vAlign w:val="center"/>
          </w:tcPr>
          <w:p w14:paraId="21EDD205">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本项目生产用水采用自来水，水质满足《畜禽养殖产地环境评价规范》（</w:t>
            </w:r>
            <w:r>
              <w:rPr>
                <w:rFonts w:ascii="Times New Roman" w:hAnsi="Times New Roman" w:eastAsia="Times New Roman"/>
                <w:color w:val="000000" w:themeColor="text1"/>
                <w:sz w:val="18"/>
                <w:szCs w:val="18"/>
                <w:lang w:eastAsia="zh-CN"/>
                <w14:textFill>
                  <w14:solidFill>
                    <w14:schemeClr w14:val="tx1"/>
                  </w14:solidFill>
                </w14:textFill>
              </w:rPr>
              <w:t>HJ 568-2010</w:t>
            </w:r>
            <w:r>
              <w:rPr>
                <w:rFonts w:hint="eastAsia" w:ascii="宋体" w:hAnsi="宋体" w:eastAsia="宋体" w:cs="宋体"/>
                <w:color w:val="000000" w:themeColor="text1"/>
                <w:sz w:val="18"/>
                <w:szCs w:val="18"/>
                <w:lang w:eastAsia="zh-CN"/>
                <w14:textFill>
                  <w14:solidFill>
                    <w14:schemeClr w14:val="tx1"/>
                  </w14:solidFill>
                </w14:textFill>
              </w:rPr>
              <w:t>）中</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畜禽养殖场、养殖小区生产用水水质评价指标限值</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w:t>
            </w:r>
          </w:p>
        </w:tc>
        <w:tc>
          <w:tcPr>
            <w:tcW w:w="690" w:type="dxa"/>
            <w:tcBorders>
              <w:tl2br w:val="nil"/>
              <w:tr2bl w:val="nil"/>
            </w:tcBorders>
            <w:vAlign w:val="center"/>
          </w:tcPr>
          <w:p w14:paraId="3B9ECD2D">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0146957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250" w:hRule="atLeast"/>
          <w:jc w:val="center"/>
        </w:trPr>
        <w:tc>
          <w:tcPr>
            <w:tcW w:w="543" w:type="dxa"/>
            <w:tcBorders>
              <w:tl2br w:val="nil"/>
              <w:tr2bl w:val="nil"/>
            </w:tcBorders>
            <w:vAlign w:val="center"/>
          </w:tcPr>
          <w:p w14:paraId="5B7C3C9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3487" w:type="dxa"/>
            <w:tcBorders>
              <w:tl2br w:val="nil"/>
              <w:tr2bl w:val="nil"/>
            </w:tcBorders>
            <w:vAlign w:val="center"/>
          </w:tcPr>
          <w:p w14:paraId="482CF10D">
            <w:pPr>
              <w:widowControl/>
              <w:autoSpaceDE/>
              <w:autoSpaceDN/>
              <w:jc w:val="left"/>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环境空气质量</w:t>
            </w:r>
          </w:p>
        </w:tc>
        <w:tc>
          <w:tcPr>
            <w:tcW w:w="3845" w:type="dxa"/>
            <w:tcBorders>
              <w:tl2br w:val="nil"/>
              <w:tr2bl w:val="nil"/>
            </w:tcBorders>
            <w:vAlign w:val="center"/>
          </w:tcPr>
          <w:p w14:paraId="7F286027">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根据本项目大气环境现状监测结果可知，项目所在地大气各项监测指标满足《畜禽养殖产地环境评价规范》（</w:t>
            </w:r>
            <w:r>
              <w:rPr>
                <w:rFonts w:ascii="Times New Roman" w:hAnsi="Times New Roman" w:eastAsia="Times New Roman"/>
                <w:color w:val="000000" w:themeColor="text1"/>
                <w:sz w:val="18"/>
                <w:szCs w:val="18"/>
                <w:lang w:eastAsia="zh-CN"/>
                <w14:textFill>
                  <w14:solidFill>
                    <w14:schemeClr w14:val="tx1"/>
                  </w14:solidFill>
                </w14:textFill>
              </w:rPr>
              <w:t>HJ 568-2010</w:t>
            </w:r>
            <w:r>
              <w:rPr>
                <w:rFonts w:hint="eastAsia" w:ascii="宋体" w:hAnsi="宋体" w:eastAsia="宋体" w:cs="宋体"/>
                <w:color w:val="000000" w:themeColor="text1"/>
                <w:sz w:val="18"/>
                <w:szCs w:val="18"/>
                <w:lang w:eastAsia="zh-CN"/>
                <w14:textFill>
                  <w14:solidFill>
                    <w14:schemeClr w14:val="tx1"/>
                  </w14:solidFill>
                </w14:textFill>
              </w:rPr>
              <w:t>）中的</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畜禽养殖场和养殖小区环境空气质量评价指标</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限值。</w:t>
            </w:r>
          </w:p>
        </w:tc>
        <w:tc>
          <w:tcPr>
            <w:tcW w:w="690" w:type="dxa"/>
            <w:tcBorders>
              <w:tl2br w:val="nil"/>
              <w:tr2bl w:val="nil"/>
            </w:tcBorders>
            <w:vAlign w:val="center"/>
          </w:tcPr>
          <w:p w14:paraId="4AFDAF9A">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1149FB8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543" w:type="dxa"/>
            <w:tcBorders>
              <w:tl2br w:val="nil"/>
              <w:tr2bl w:val="nil"/>
            </w:tcBorders>
            <w:vAlign w:val="center"/>
          </w:tcPr>
          <w:p w14:paraId="0BE0CD0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4</w:t>
            </w:r>
          </w:p>
        </w:tc>
        <w:tc>
          <w:tcPr>
            <w:tcW w:w="3487" w:type="dxa"/>
            <w:tcBorders>
              <w:tl2br w:val="nil"/>
              <w:tr2bl w:val="nil"/>
            </w:tcBorders>
            <w:vAlign w:val="center"/>
          </w:tcPr>
          <w:p w14:paraId="4A253984">
            <w:pPr>
              <w:widowControl/>
              <w:autoSpaceDE/>
              <w:autoSpaceDN/>
              <w:jc w:val="left"/>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声环境质量</w:t>
            </w:r>
          </w:p>
        </w:tc>
        <w:tc>
          <w:tcPr>
            <w:tcW w:w="3845" w:type="dxa"/>
            <w:tcBorders>
              <w:tl2br w:val="nil"/>
              <w:tr2bl w:val="nil"/>
            </w:tcBorders>
            <w:vAlign w:val="center"/>
          </w:tcPr>
          <w:p w14:paraId="111C4AFE">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根据本项目厂界噪声现状监测结果可知，噪声符合《畜禽养殖产地环境评价规范》（</w:t>
            </w:r>
            <w:r>
              <w:rPr>
                <w:rFonts w:ascii="Times New Roman" w:hAnsi="Times New Roman" w:eastAsia="Times New Roman"/>
                <w:color w:val="000000" w:themeColor="text1"/>
                <w:sz w:val="18"/>
                <w:szCs w:val="18"/>
                <w:lang w:eastAsia="zh-CN"/>
                <w14:textFill>
                  <w14:solidFill>
                    <w14:schemeClr w14:val="tx1"/>
                  </w14:solidFill>
                </w14:textFill>
              </w:rPr>
              <w:t>HJ 568-2010</w:t>
            </w:r>
            <w:r>
              <w:rPr>
                <w:rFonts w:hint="eastAsia" w:ascii="宋体" w:hAnsi="宋体" w:eastAsia="宋体" w:cs="宋体"/>
                <w:color w:val="000000" w:themeColor="text1"/>
                <w:sz w:val="18"/>
                <w:szCs w:val="18"/>
                <w:lang w:eastAsia="zh-CN"/>
                <w14:textFill>
                  <w14:solidFill>
                    <w14:schemeClr w14:val="tx1"/>
                  </w14:solidFill>
                </w14:textFill>
              </w:rPr>
              <w:t>）中</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畜禽养殖场、养殖小区及放牧区声环境质量评价指标</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限值。</w:t>
            </w:r>
          </w:p>
        </w:tc>
        <w:tc>
          <w:tcPr>
            <w:tcW w:w="690" w:type="dxa"/>
            <w:tcBorders>
              <w:tl2br w:val="nil"/>
              <w:tr2bl w:val="nil"/>
            </w:tcBorders>
            <w:vAlign w:val="center"/>
          </w:tcPr>
          <w:p w14:paraId="0575BFC1">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3CE26D6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129" w:hRule="atLeast"/>
          <w:jc w:val="center"/>
        </w:trPr>
        <w:tc>
          <w:tcPr>
            <w:tcW w:w="543" w:type="dxa"/>
            <w:tcBorders>
              <w:tl2br w:val="nil"/>
              <w:tr2bl w:val="nil"/>
            </w:tcBorders>
            <w:vAlign w:val="center"/>
          </w:tcPr>
          <w:p w14:paraId="5E43F8AF">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5</w:t>
            </w:r>
          </w:p>
        </w:tc>
        <w:tc>
          <w:tcPr>
            <w:tcW w:w="3487" w:type="dxa"/>
            <w:tcBorders>
              <w:tl2br w:val="nil"/>
              <w:tr2bl w:val="nil"/>
            </w:tcBorders>
            <w:vAlign w:val="center"/>
          </w:tcPr>
          <w:p w14:paraId="70A82EB5">
            <w:pPr>
              <w:widowControl/>
              <w:autoSpaceDE/>
              <w:autoSpaceDN/>
              <w:jc w:val="left"/>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土壤环境质量</w:t>
            </w:r>
          </w:p>
        </w:tc>
        <w:tc>
          <w:tcPr>
            <w:tcW w:w="3845" w:type="dxa"/>
            <w:tcBorders>
              <w:tl2br w:val="nil"/>
              <w:tr2bl w:val="nil"/>
            </w:tcBorders>
            <w:vAlign w:val="center"/>
          </w:tcPr>
          <w:p w14:paraId="7F14CD7C">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根据本项目所在区域土壤质量现状监测结果可以看出，项目所在地土壤各项监测指标均满足《畜禽养殖产地环境评价规范》（</w:t>
            </w:r>
            <w:r>
              <w:rPr>
                <w:rFonts w:ascii="Times New Roman" w:hAnsi="Times New Roman" w:eastAsia="Times New Roman"/>
                <w:color w:val="000000" w:themeColor="text1"/>
                <w:sz w:val="18"/>
                <w:szCs w:val="18"/>
                <w:lang w:eastAsia="zh-CN"/>
                <w14:textFill>
                  <w14:solidFill>
                    <w14:schemeClr w14:val="tx1"/>
                  </w14:solidFill>
                </w14:textFill>
              </w:rPr>
              <w:t>HJ 568-2010</w:t>
            </w:r>
            <w:r>
              <w:rPr>
                <w:rFonts w:hint="eastAsia" w:ascii="宋体" w:hAnsi="宋体" w:eastAsia="宋体" w:cs="宋体"/>
                <w:color w:val="000000" w:themeColor="text1"/>
                <w:sz w:val="18"/>
                <w:szCs w:val="18"/>
                <w:lang w:eastAsia="zh-CN"/>
                <w14:textFill>
                  <w14:solidFill>
                    <w14:schemeClr w14:val="tx1"/>
                  </w14:solidFill>
                </w14:textFill>
              </w:rPr>
              <w:t>）中的</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禽养殖场、养殖小区土壤环境质量评价指标</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限值。</w:t>
            </w:r>
          </w:p>
        </w:tc>
        <w:tc>
          <w:tcPr>
            <w:tcW w:w="690" w:type="dxa"/>
            <w:tcBorders>
              <w:tl2br w:val="nil"/>
              <w:tr2bl w:val="nil"/>
            </w:tcBorders>
            <w:vAlign w:val="center"/>
          </w:tcPr>
          <w:p w14:paraId="5C1C187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558C1E20">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由上表可知，本项目符合《畜禽养殖产地环境评价规范》（HJ 568-2010）相关要求。</w:t>
      </w:r>
    </w:p>
    <w:p w14:paraId="7B6C8850">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（7）与《农业农村部办公厅、生态环境办公厅关于进一步明确畜禽粪污还田利用要求强化养殖污染监管的通知》（农牧办[2020]23号）符合性</w:t>
      </w:r>
    </w:p>
    <w:p w14:paraId="0DB66B56">
      <w:pPr>
        <w:pStyle w:val="21"/>
        <w:ind w:firstLine="480" w:firstLineChars="200"/>
        <w:jc w:val="left"/>
        <w:rPr>
          <w:b w:val="0"/>
          <w:bCs w:val="0"/>
          <w:color w:val="000000" w:themeColor="text1"/>
          <w:kern w:val="0"/>
          <w:szCs w:val="24"/>
          <w:lang w:bidi="ar"/>
          <w14:textFill>
            <w14:solidFill>
              <w14:schemeClr w14:val="tx1"/>
            </w14:solidFill>
          </w14:textFill>
        </w:rPr>
      </w:pPr>
      <w:r>
        <w:rPr>
          <w:b w:val="0"/>
          <w:bCs w:val="0"/>
          <w:color w:val="000000" w:themeColor="text1"/>
          <w:kern w:val="0"/>
          <w:szCs w:val="24"/>
          <w:lang w:bidi="ar"/>
          <w14:textFill>
            <w14:solidFill>
              <w14:schemeClr w14:val="tx1"/>
            </w14:solidFill>
          </w14:textFill>
        </w:rPr>
        <w:t>项目与《农业农村部办公厅、生态环境办公厅关于进一步明确畜禽粪污还田利用要求强化养殖污染监管的通知》（农牧办[2020]23号）相关要求的符合性见下表。</w:t>
      </w:r>
    </w:p>
    <w:p w14:paraId="2A4088E7">
      <w:pPr>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br w:type="page"/>
      </w:r>
    </w:p>
    <w:p w14:paraId="08D0C469">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本项目与农牧办[2020]23号文件的符合性分析</w:t>
      </w: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543"/>
        <w:gridCol w:w="4752"/>
        <w:gridCol w:w="2580"/>
        <w:gridCol w:w="690"/>
      </w:tblGrid>
      <w:tr w14:paraId="091F0EA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43" w:type="dxa"/>
            <w:tcBorders>
              <w:tl2br w:val="nil"/>
              <w:tr2bl w:val="nil"/>
            </w:tcBorders>
            <w:vAlign w:val="center"/>
          </w:tcPr>
          <w:p w14:paraId="4C0BB65A">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序号</w:t>
            </w:r>
          </w:p>
        </w:tc>
        <w:tc>
          <w:tcPr>
            <w:tcW w:w="4752" w:type="dxa"/>
            <w:tcBorders>
              <w:tl2br w:val="nil"/>
              <w:tr2bl w:val="nil"/>
            </w:tcBorders>
            <w:vAlign w:val="center"/>
          </w:tcPr>
          <w:p w14:paraId="785F7C19">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农牧办[2020]23号文件相关要求</w:t>
            </w:r>
          </w:p>
        </w:tc>
        <w:tc>
          <w:tcPr>
            <w:tcW w:w="2580" w:type="dxa"/>
            <w:tcBorders>
              <w:tl2br w:val="nil"/>
              <w:tr2bl w:val="nil"/>
            </w:tcBorders>
            <w:vAlign w:val="center"/>
          </w:tcPr>
          <w:p w14:paraId="0228D062">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72CEF878">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40F59B8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753" w:hRule="atLeast"/>
          <w:jc w:val="center"/>
        </w:trPr>
        <w:tc>
          <w:tcPr>
            <w:tcW w:w="543" w:type="dxa"/>
            <w:tcBorders>
              <w:tl2br w:val="nil"/>
              <w:tr2bl w:val="nil"/>
            </w:tcBorders>
            <w:vAlign w:val="center"/>
          </w:tcPr>
          <w:p w14:paraId="07810AC9">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4752" w:type="dxa"/>
            <w:tcBorders>
              <w:tl2br w:val="nil"/>
              <w:tr2bl w:val="nil"/>
            </w:tcBorders>
            <w:vAlign w:val="center"/>
          </w:tcPr>
          <w:p w14:paraId="7C8781C1">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一）鼓励畜禽粪污还田利用。国家支持畜禽养殖场户建设畜禽粪污无害化处理和资源化利用设施，鼓励采取粪肥还田、制取沼气、生产有机肥等方式进行资源化利用。已获得环评批复的规模养殖场在建设和运营过程中，如需将粪污处理由达标排放（含按农田灌溉水标准排放）变更为资源化利用（不含商业化沼气工程和商品有机肥生产），在项目竣工环保验收前变更的，按照非重大变动纳入竣工环境保护验收管理；在竣工环保验收后变更的，按照改建项目依法开展环评。</w:t>
            </w:r>
          </w:p>
          <w:p w14:paraId="7589C6E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二）明确还田利用标准规范。畜禽粪污的处理应根据排放去向或利用方式的不同执行相应的标准规范。对配套土地充足的养殖场户，粪污经无害化处理后还田利用具体要求及限量应符合《畜禽粪便无害化处理技术规范》（</w:t>
            </w:r>
            <w:r>
              <w:rPr>
                <w:rFonts w:ascii="Times New Roman" w:hAnsi="Times New Roman" w:eastAsia="Times New Roman"/>
                <w:color w:val="000000" w:themeColor="text1"/>
                <w:sz w:val="18"/>
                <w:szCs w:val="18"/>
                <w:lang w:eastAsia="zh-CN"/>
                <w14:textFill>
                  <w14:solidFill>
                    <w14:schemeClr w14:val="tx1"/>
                  </w14:solidFill>
                </w14:textFill>
              </w:rPr>
              <w:t>GB /T  36195</w:t>
            </w:r>
            <w:r>
              <w:rPr>
                <w:rFonts w:hint="eastAsia" w:ascii="宋体" w:hAnsi="宋体" w:eastAsia="宋体" w:cs="宋体"/>
                <w:color w:val="000000" w:themeColor="text1"/>
                <w:sz w:val="18"/>
                <w:szCs w:val="18"/>
                <w:lang w:eastAsia="zh-CN"/>
                <w14:textFill>
                  <w14:solidFill>
                    <w14:schemeClr w14:val="tx1"/>
                  </w14:solidFill>
                </w14:textFill>
              </w:rPr>
              <w:t>）和《畜禽粪便还田技术规范》（</w:t>
            </w:r>
            <w:r>
              <w:rPr>
                <w:rFonts w:ascii="Times New Roman" w:hAnsi="Times New Roman" w:eastAsia="Times New Roman"/>
                <w:color w:val="000000" w:themeColor="text1"/>
                <w:sz w:val="18"/>
                <w:szCs w:val="18"/>
                <w:lang w:eastAsia="zh-CN"/>
                <w14:textFill>
                  <w14:solidFill>
                    <w14:schemeClr w14:val="tx1"/>
                  </w14:solidFill>
                </w14:textFill>
              </w:rPr>
              <w:t>GB /T  25246</w:t>
            </w:r>
            <w:r>
              <w:rPr>
                <w:rFonts w:hint="eastAsia" w:ascii="宋体" w:hAnsi="宋体" w:eastAsia="宋体" w:cs="宋体"/>
                <w:color w:val="000000" w:themeColor="text1"/>
                <w:sz w:val="18"/>
                <w:szCs w:val="18"/>
                <w:lang w:eastAsia="zh-CN"/>
                <w14:textFill>
                  <w14:solidFill>
                    <w14:schemeClr w14:val="tx1"/>
                  </w14:solidFill>
                </w14:textFill>
              </w:rPr>
              <w:t>），配套土地面积应达到《畜禽粪污土地承载力测算技术指南》（以下简称《指南》）要求的最小面积。对配套土地不足的养殖场户，粪污经处理后向环境排放的，应符合《畜禽养殖业污染物排放标准》（</w:t>
            </w:r>
            <w:r>
              <w:rPr>
                <w:rFonts w:ascii="Times New Roman" w:hAnsi="Times New Roman" w:eastAsia="Times New Roman"/>
                <w:color w:val="000000" w:themeColor="text1"/>
                <w:sz w:val="18"/>
                <w:szCs w:val="18"/>
                <w:lang w:eastAsia="zh-CN"/>
                <w14:textFill>
                  <w14:solidFill>
                    <w14:schemeClr w14:val="tx1"/>
                  </w14:solidFill>
                </w14:textFill>
              </w:rPr>
              <w:t>GB 18596</w:t>
            </w:r>
            <w:r>
              <w:rPr>
                <w:rFonts w:hint="eastAsia" w:ascii="宋体" w:hAnsi="宋体" w:eastAsia="宋体" w:cs="宋体"/>
                <w:color w:val="000000" w:themeColor="text1"/>
                <w:sz w:val="18"/>
                <w:szCs w:val="18"/>
                <w:lang w:eastAsia="zh-CN"/>
                <w14:textFill>
                  <w14:solidFill>
                    <w14:schemeClr w14:val="tx1"/>
                  </w14:solidFill>
                </w14:textFill>
              </w:rPr>
              <w:t>）和地方有关排放标准。用于农田灌溉的，应符合《农田灌溉水质标准》（</w:t>
            </w:r>
            <w:r>
              <w:rPr>
                <w:rFonts w:ascii="Times New Roman" w:hAnsi="Times New Roman" w:eastAsia="Times New Roman"/>
                <w:color w:val="000000" w:themeColor="text1"/>
                <w:sz w:val="18"/>
                <w:szCs w:val="18"/>
                <w:lang w:eastAsia="zh-CN"/>
                <w14:textFill>
                  <w14:solidFill>
                    <w14:schemeClr w14:val="tx1"/>
                  </w14:solidFill>
                </w14:textFill>
              </w:rPr>
              <w:t>GB 5084</w:t>
            </w:r>
            <w:r>
              <w:rPr>
                <w:rFonts w:hint="eastAsia" w:ascii="宋体" w:hAnsi="宋体" w:eastAsia="宋体" w:cs="宋体"/>
                <w:color w:val="000000" w:themeColor="text1"/>
                <w:sz w:val="18"/>
                <w:szCs w:val="18"/>
                <w:lang w:eastAsia="zh-CN"/>
                <w14:textFill>
                  <w14:solidFill>
                    <w14:schemeClr w14:val="tx1"/>
                  </w14:solidFill>
                </w14:textFill>
              </w:rPr>
              <w:t>）。</w:t>
            </w:r>
          </w:p>
        </w:tc>
        <w:tc>
          <w:tcPr>
            <w:tcW w:w="2580" w:type="dxa"/>
            <w:tcBorders>
              <w:tl2br w:val="nil"/>
              <w:tr2bl w:val="nil"/>
            </w:tcBorders>
            <w:vAlign w:val="center"/>
          </w:tcPr>
          <w:p w14:paraId="58490DE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本项目为新建，项目养殖产生的粪污混入发酵垫料中形成发酵床，废弃垫料外运至有机肥厂无害化处理后生产有机肥，实现粪污资源化利用。</w:t>
            </w:r>
          </w:p>
          <w:p w14:paraId="05A7B575">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bCs/>
                <w:color w:val="000000" w:themeColor="text1"/>
                <w:sz w:val="18"/>
                <w:szCs w:val="18"/>
                <w:lang w:eastAsia="zh-CN"/>
                <w14:textFill>
                  <w14:solidFill>
                    <w14:schemeClr w14:val="tx1"/>
                  </w14:solidFill>
                </w14:textFill>
              </w:rPr>
              <w:t>项目病死牛委托四川科农动物无害化处理有限公司无害化处置。</w:t>
            </w:r>
          </w:p>
        </w:tc>
        <w:tc>
          <w:tcPr>
            <w:tcW w:w="690" w:type="dxa"/>
            <w:tcBorders>
              <w:tl2br w:val="nil"/>
              <w:tr2bl w:val="nil"/>
            </w:tcBorders>
            <w:vAlign w:val="center"/>
          </w:tcPr>
          <w:p w14:paraId="0DE90F1E">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096FDA7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12" w:hRule="atLeast"/>
          <w:jc w:val="center"/>
        </w:trPr>
        <w:tc>
          <w:tcPr>
            <w:tcW w:w="543" w:type="dxa"/>
            <w:tcBorders>
              <w:tl2br w:val="nil"/>
              <w:tr2bl w:val="nil"/>
            </w:tcBorders>
            <w:vAlign w:val="center"/>
          </w:tcPr>
          <w:p w14:paraId="295D967E">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4752" w:type="dxa"/>
            <w:tcBorders>
              <w:tl2br w:val="nil"/>
              <w:tr2bl w:val="nil"/>
            </w:tcBorders>
            <w:vAlign w:val="center"/>
          </w:tcPr>
          <w:p w14:paraId="06631593">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落实养殖场户主体责任。养殖场户应当切实履行粪污利用和污染防治主体责任，采取措施，对畜禽粪污进行科学处理和资源化利用，防止污染环境。从事畜禽规模养殖要严格落实《中华人民共和国固体废物污染环境防治法》《中华人民共和国水污染防治法》《畜禽规模养殖污染防治条例》要求，建设粪污无害化处理和资源化利用设施并确保其正常运行，或委托第三方代为实现粪污无害化处理和资源化利用。对畜禽规模养殖污染防治设施配套不到位，粪污未经无害化处理直接还田或向环境排放，不符合国家和地方排放标准的，农业农村部门要加强技术指导和服务，生态环境部门要依法查处。</w:t>
            </w:r>
          </w:p>
        </w:tc>
        <w:tc>
          <w:tcPr>
            <w:tcW w:w="2580" w:type="dxa"/>
            <w:tcBorders>
              <w:tl2br w:val="nil"/>
              <w:tr2bl w:val="nil"/>
            </w:tcBorders>
            <w:vAlign w:val="center"/>
          </w:tcPr>
          <w:p w14:paraId="223F6BE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本项目粪污混入发酵垫料中形成发酵床，废弃垫料外运至有机肥厂无害化处理后生产有机肥，实现粪污资源化利用。</w:t>
            </w:r>
          </w:p>
          <w:p w14:paraId="761BBCB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项目严格落实了《中华人民共和国固体废物污染环境防治法》《中华人民共和国水污染防治法》《畜禽规模养殖污染防治条例》等要求。</w:t>
            </w:r>
          </w:p>
        </w:tc>
        <w:tc>
          <w:tcPr>
            <w:tcW w:w="690" w:type="dxa"/>
            <w:tcBorders>
              <w:tl2br w:val="nil"/>
              <w:tr2bl w:val="nil"/>
            </w:tcBorders>
            <w:vAlign w:val="center"/>
          </w:tcPr>
          <w:p w14:paraId="21245223">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43B0C0A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619" w:hRule="atLeast"/>
          <w:jc w:val="center"/>
        </w:trPr>
        <w:tc>
          <w:tcPr>
            <w:tcW w:w="543" w:type="dxa"/>
            <w:tcBorders>
              <w:tl2br w:val="nil"/>
              <w:tr2bl w:val="nil"/>
            </w:tcBorders>
            <w:vAlign w:val="center"/>
          </w:tcPr>
          <w:p w14:paraId="231CC13A">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4752" w:type="dxa"/>
            <w:tcBorders>
              <w:tl2br w:val="nil"/>
              <w:tr2bl w:val="nil"/>
            </w:tcBorders>
            <w:vAlign w:val="center"/>
          </w:tcPr>
          <w:p w14:paraId="212D982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强化粪污还田利用过程监管。养殖场户应依法配置粪污贮存设施，设施总容积不得低于当地农林作物生产用肥的最大间隔时间内产生粪污的总量，配套土地面积不得小于《指南》要求的最小面积；配套土地面积不足的，应委托第三方代为实现粪污资源化。达不到前述要求且无法证明粪污去向的，视同超出土地消纳能力。</w:t>
            </w:r>
          </w:p>
        </w:tc>
        <w:tc>
          <w:tcPr>
            <w:tcW w:w="2580" w:type="dxa"/>
            <w:tcBorders>
              <w:tl2br w:val="nil"/>
              <w:tr2bl w:val="nil"/>
            </w:tcBorders>
            <w:vAlign w:val="center"/>
          </w:tcPr>
          <w:p w14:paraId="6D33C279">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本项目粪污混入发酵垫料中形成发酵床，废弃垫料外运至有机肥厂无害化处理后生产有机肥，实现粪污资源化利用。</w:t>
            </w:r>
          </w:p>
        </w:tc>
        <w:tc>
          <w:tcPr>
            <w:tcW w:w="690" w:type="dxa"/>
            <w:tcBorders>
              <w:tl2br w:val="nil"/>
              <w:tr2bl w:val="nil"/>
            </w:tcBorders>
            <w:vAlign w:val="center"/>
          </w:tcPr>
          <w:p w14:paraId="75B88AC6">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17D1425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543" w:type="dxa"/>
            <w:tcBorders>
              <w:tl2br w:val="nil"/>
              <w:tr2bl w:val="nil"/>
            </w:tcBorders>
            <w:vAlign w:val="center"/>
          </w:tcPr>
          <w:p w14:paraId="6EDB576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4</w:t>
            </w:r>
          </w:p>
        </w:tc>
        <w:tc>
          <w:tcPr>
            <w:tcW w:w="4752" w:type="dxa"/>
            <w:tcBorders>
              <w:tl2br w:val="nil"/>
              <w:tr2bl w:val="nil"/>
            </w:tcBorders>
            <w:vAlign w:val="center"/>
          </w:tcPr>
          <w:p w14:paraId="6FB3EB1E">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完善粪肥还田管理制度。督促指导规模养殖场制定畜禽粪肥还田利用计划，根据养殖规模明确配套农田面积、农田类型、种植制度、粪肥使用时间及使用量等。推动建立畜禽粪污处理和粪肥利用台账，避免施用超量或时间不合理，并作为监督执法的重要依据。加强日常监测，及时掌握粪污养分和有害物质含量，严防还田环境风险。</w:t>
            </w:r>
          </w:p>
        </w:tc>
        <w:tc>
          <w:tcPr>
            <w:tcW w:w="2580" w:type="dxa"/>
            <w:tcBorders>
              <w:tl2br w:val="nil"/>
              <w:tr2bl w:val="nil"/>
            </w:tcBorders>
            <w:vAlign w:val="center"/>
          </w:tcPr>
          <w:p w14:paraId="644FD7CE">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本项目粪污混入发酵垫料中形成发酵床，废弃垫料外运至有机肥厂无害化处理后生产有机肥，实现粪污资源化利用。环评要求项目建成后，粪污处置过程按要求建立台账。</w:t>
            </w:r>
          </w:p>
        </w:tc>
        <w:tc>
          <w:tcPr>
            <w:tcW w:w="690" w:type="dxa"/>
            <w:tcBorders>
              <w:tl2br w:val="nil"/>
              <w:tr2bl w:val="nil"/>
            </w:tcBorders>
            <w:vAlign w:val="center"/>
          </w:tcPr>
          <w:p w14:paraId="6616E80E">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51EAFAF7">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由上表可知，本项目符合《农业农村部办公厅、生态环境办公厅关于进一步明确畜禽粪污还田利用要求强化养殖污染监管的通知》（农牧办[2020]23号）相关要求。</w:t>
      </w:r>
    </w:p>
    <w:p w14:paraId="3EAABD22">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（8）与《关于做好畜禽规模养殖项目环境影响评价管理工作的通知》（环办环评[2018]31号）符合性</w:t>
      </w:r>
    </w:p>
    <w:p w14:paraId="37268E4E">
      <w:pPr>
        <w:pStyle w:val="21"/>
        <w:ind w:firstLine="480" w:firstLineChars="200"/>
        <w:jc w:val="left"/>
      </w:pPr>
      <w:r>
        <w:rPr>
          <w:b w:val="0"/>
          <w:bCs w:val="0"/>
          <w:color w:val="000000" w:themeColor="text1"/>
          <w:kern w:val="0"/>
          <w:szCs w:val="24"/>
          <w:lang w:bidi="ar"/>
          <w14:textFill>
            <w14:solidFill>
              <w14:schemeClr w14:val="tx1"/>
            </w14:solidFill>
          </w14:textFill>
        </w:rPr>
        <w:t>项目与《关于做好畜禽规模养殖项目环境影响评价管理工作的通知》（环办环评[2018]31号）相关要求的符合性见下表。</w:t>
      </w:r>
    </w:p>
    <w:p w14:paraId="5D2E0EB7">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本项目与《关于做好畜禽规模养殖项目环境影响评价管理工作的通知》的符合性分析</w:t>
      </w: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820"/>
        <w:gridCol w:w="4125"/>
        <w:gridCol w:w="2930"/>
        <w:gridCol w:w="690"/>
      </w:tblGrid>
      <w:tr w14:paraId="6733E57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20" w:type="dxa"/>
            <w:tcBorders>
              <w:tl2br w:val="nil"/>
              <w:tr2bl w:val="nil"/>
            </w:tcBorders>
            <w:vAlign w:val="center"/>
          </w:tcPr>
          <w:p w14:paraId="4AF76E27">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要求</w:t>
            </w:r>
          </w:p>
        </w:tc>
        <w:tc>
          <w:tcPr>
            <w:tcW w:w="4125" w:type="dxa"/>
            <w:tcBorders>
              <w:tl2br w:val="nil"/>
              <w:tr2bl w:val="nil"/>
            </w:tcBorders>
            <w:vAlign w:val="center"/>
          </w:tcPr>
          <w:p w14:paraId="1149A8AF">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《关于做好畜禽规模养殖项目环境影响评价管理工作的通知》相关要求</w:t>
            </w:r>
          </w:p>
        </w:tc>
        <w:tc>
          <w:tcPr>
            <w:tcW w:w="2930" w:type="dxa"/>
            <w:tcBorders>
              <w:tl2br w:val="nil"/>
              <w:tr2bl w:val="nil"/>
            </w:tcBorders>
            <w:vAlign w:val="center"/>
          </w:tcPr>
          <w:p w14:paraId="51D9053C">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0DAAA977">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3D491D5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753" w:hRule="atLeast"/>
          <w:jc w:val="center"/>
        </w:trPr>
        <w:tc>
          <w:tcPr>
            <w:tcW w:w="820" w:type="dxa"/>
            <w:tcBorders>
              <w:tl2br w:val="nil"/>
              <w:tr2bl w:val="nil"/>
            </w:tcBorders>
            <w:vAlign w:val="center"/>
          </w:tcPr>
          <w:p w14:paraId="4CF6D8A7">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一、优化项目选址，合理布置养殖场区</w:t>
            </w:r>
          </w:p>
        </w:tc>
        <w:tc>
          <w:tcPr>
            <w:tcW w:w="4125" w:type="dxa"/>
            <w:tcBorders>
              <w:tl2br w:val="nil"/>
              <w:tr2bl w:val="nil"/>
            </w:tcBorders>
            <w:vAlign w:val="center"/>
          </w:tcPr>
          <w:p w14:paraId="34E25104">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环评应充分论证选址的环境合理性，选址应避开当地划定的禁止养殖区域，并与区域主体功能区规划、环境功能区划、土地利用规划、城乡规划、畜牧业发展规划、畜禽养殖污染防治规划等规划相协调。当地未划定禁止养殖区域的，应避开饮用水水源保护区、风景名胜区、自然保护区的核心区和缓冲区、村镇人口集中区域，以及法律、法规规定的禁止养殖区域。</w:t>
            </w:r>
          </w:p>
          <w:p w14:paraId="694AD1D4">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环评应结合环境保护要求优化养殖场区内部布置。畜禽养殖区及畜禽粪污贮存、处理和畜禽尸体无害化处理等产生恶臭影响的设施，应位于养殖场区主导风向的下风向位置，并尽量远离周边环境保护目标。参照《畜禽养殖业污染防治技术规范》，并根据恶臭污染物无组织排放源强，以及当地的环境及气象等因素，按照《环境影响评价技术导则大气环境》要求计算大气环境防护距离，作为养殖场选址以及周边规划控制的依据，减轻对周围环境保护目标的不利影响。</w:t>
            </w:r>
          </w:p>
        </w:tc>
        <w:tc>
          <w:tcPr>
            <w:tcW w:w="2930" w:type="dxa"/>
            <w:tcBorders>
              <w:tl2br w:val="nil"/>
              <w:tr2bl w:val="nil"/>
            </w:tcBorders>
            <w:vAlign w:val="center"/>
          </w:tcPr>
          <w:p w14:paraId="751531D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本项目不在巴州区划定的禁止养殖区域内。本项目不在饮用水水源保护区、风景名胜区、自然保护区的核心区和缓冲区、村镇人口集中区域，以及法律、法规规定的禁止养殖区域。</w:t>
            </w:r>
          </w:p>
          <w:p w14:paraId="4926BDEE">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环评结合环境保护要求优化项目区内部布置。牛舍布置尽量远离周边环境保护目标。参照《畜禽养殖业污染防治技术规范》，并根据恶臭污染物无组织排放源强，以及当地的环境及气象等因素，按照《环境影响评价技术导则大气环境》要求，本项目无需设置大气环境防护距离；以牛舍为边界向外延伸</w:t>
            </w:r>
            <w:r>
              <w:rPr>
                <w:rFonts w:ascii="Times New Roman" w:hAnsi="Times New Roman" w:eastAsia="Times New Roman"/>
                <w:color w:val="000000" w:themeColor="text1"/>
                <w:sz w:val="18"/>
                <w:szCs w:val="18"/>
                <w:lang w:eastAsia="zh-CN"/>
                <w14:textFill>
                  <w14:solidFill>
                    <w14:schemeClr w14:val="tx1"/>
                  </w14:solidFill>
                </w14:textFill>
              </w:rPr>
              <w:t>100m</w:t>
            </w:r>
            <w:r>
              <w:rPr>
                <w:rFonts w:hint="eastAsia" w:ascii="宋体" w:hAnsi="宋体" w:eastAsia="宋体" w:cs="宋体"/>
                <w:color w:val="000000" w:themeColor="text1"/>
                <w:sz w:val="18"/>
                <w:szCs w:val="18"/>
                <w:lang w:eastAsia="zh-CN"/>
                <w14:textFill>
                  <w14:solidFill>
                    <w14:schemeClr w14:val="tx1"/>
                  </w14:solidFill>
                </w14:textFill>
              </w:rPr>
              <w:t>设置卫生防护距离，作为养殖场选址以及周边规划控制的依据，减轻对周围环境保护目标的不利影响。</w:t>
            </w:r>
          </w:p>
        </w:tc>
        <w:tc>
          <w:tcPr>
            <w:tcW w:w="690" w:type="dxa"/>
            <w:tcBorders>
              <w:tl2br w:val="nil"/>
              <w:tr2bl w:val="nil"/>
            </w:tcBorders>
            <w:vAlign w:val="center"/>
          </w:tcPr>
          <w:p w14:paraId="6E513AC9">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77914DC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12" w:hRule="atLeast"/>
          <w:jc w:val="center"/>
        </w:trPr>
        <w:tc>
          <w:tcPr>
            <w:tcW w:w="820" w:type="dxa"/>
            <w:tcBorders>
              <w:tl2br w:val="nil"/>
              <w:tr2bl w:val="nil"/>
            </w:tcBorders>
            <w:vAlign w:val="center"/>
          </w:tcPr>
          <w:p w14:paraId="38F86BCD">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二、加强粪污减量控制，促进畜禽养殖粪污资源化利用</w:t>
            </w:r>
          </w:p>
        </w:tc>
        <w:tc>
          <w:tcPr>
            <w:tcW w:w="4125" w:type="dxa"/>
            <w:tcBorders>
              <w:tl2br w:val="nil"/>
              <w:tr2bl w:val="nil"/>
            </w:tcBorders>
            <w:vAlign w:val="center"/>
          </w:tcPr>
          <w:p w14:paraId="2D4C6A58">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环评应以农业绿色发展为导向，优化工艺，通过采取优化饲料配方、提高饲养技术等措施，从源头减少粪污的产生量。鼓励采取干清粪方式，采取水泡粪工艺的应最大限度降低用水量。场区应采取雨污分离措施，防止雨水进入粪污收集系统。</w:t>
            </w:r>
          </w:p>
          <w:p w14:paraId="679887C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环评应结合地域、畜种、规模等特点以及地方相关部门制定的畜禽粪污综合利用目标等要求，加强畜禽养殖粪污资源化利用，因地制宜选择经济高效适用的处理利用模式，采取粪污收集还田利用、污水肥料化利用、粪便垫料回用、异位发酵床、粪污专业化能源利用等模式处理利用畜禽粪污，促进畜禽规模养殖项目</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种养结合</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绿色发展。鼓励根据土地承载能力确定畜禽养殖场的适宜养殖规模，土地承载能力可采用农业农村主管部门发布的测算技术方法确定。耕地面积大、土地消纳能力相对较高的区域，畜禽养殖场产生的粪污应力争实现全部就地就近资源化利用或委托第三方处理；当土地消纳能力不足时，应进一步提高资源化利用能力或适当减少养殖规模。鼓励依托符合环保要求的专业化粪污处理利用企业，提高畜禽养殖粪污集中收集利用能力。环评应明确畜禽养殖粪污资源化利用的主体，严格落实利用渠道或途径，确保资源化利用有效实施。</w:t>
            </w:r>
          </w:p>
        </w:tc>
        <w:tc>
          <w:tcPr>
            <w:tcW w:w="2930" w:type="dxa"/>
            <w:tcBorders>
              <w:tl2br w:val="nil"/>
              <w:tr2bl w:val="nil"/>
            </w:tcBorders>
            <w:vAlign w:val="center"/>
          </w:tcPr>
          <w:p w14:paraId="619D1CD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环评以农业绿色发展为导向，优化工艺，通过采取优化饲料配方、提高饲养技术等措施，从源头减少粪污的产生量。场区采取雨污分流制。项目采用原位发酵床养殖技术。项目产生的粪污混入发酵垫料中形成发酵床，废弃垫料外运至有机肥厂无害化处理后生产有机肥，实现粪污资源化利用。</w:t>
            </w:r>
          </w:p>
          <w:p w14:paraId="6368CF4E">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废弃垫料外运至有机肥厂无害化处理后生产有机肥，实现粪污资源化利用。</w:t>
            </w:r>
          </w:p>
        </w:tc>
        <w:tc>
          <w:tcPr>
            <w:tcW w:w="690" w:type="dxa"/>
            <w:tcBorders>
              <w:tl2br w:val="nil"/>
              <w:tr2bl w:val="nil"/>
            </w:tcBorders>
            <w:vAlign w:val="center"/>
          </w:tcPr>
          <w:p w14:paraId="46E5C3B2">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3786A55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6899" w:hRule="atLeast"/>
          <w:jc w:val="center"/>
        </w:trPr>
        <w:tc>
          <w:tcPr>
            <w:tcW w:w="820" w:type="dxa"/>
            <w:tcBorders>
              <w:tl2br w:val="nil"/>
              <w:tr2bl w:val="nil"/>
            </w:tcBorders>
            <w:vAlign w:val="center"/>
          </w:tcPr>
          <w:p w14:paraId="1C614AB2">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三、强化粪污治理措施，做好污染防治</w:t>
            </w:r>
          </w:p>
        </w:tc>
        <w:tc>
          <w:tcPr>
            <w:tcW w:w="4125" w:type="dxa"/>
            <w:tcBorders>
              <w:tl2br w:val="nil"/>
              <w:tr2bl w:val="nil"/>
            </w:tcBorders>
            <w:vAlign w:val="center"/>
          </w:tcPr>
          <w:p w14:paraId="5B7B571E">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环评应强化对粪污的治理措施，加强畜禽养殖粪污资源化利用过程中的污染控制，推进粪污资源的良性利用，应对无法资源化利用的粪污采取治理措施确保达标排放。畜禽规模养殖项目应配套建设与养殖规模相匹配的雨污分离设施，以及粪污贮存、处理和利用设施等，委托满足相关环保要求的第三方代为利用或者处理的，可不自行建设粪污处理或利用设施。</w:t>
            </w:r>
          </w:p>
          <w:p w14:paraId="25CA0C8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环评应明确畜禽粪污贮存、处理和利用措施。贮存池应采取有效的防雨、防渗和防溢流措施，防止畜禽粪污污染地下水。贮存池总有效容积应根据贮存期确定。进行资源化利用的畜禽粪污须处理并达到畜禽粪便还田、无害化处理等技术规范要求。畜禽规模养殖项目配套建设沼气工程的，应充分考虑沼气制备及贮存过程中的环境风险，制定环境风险防范措施及应急预案。</w:t>
            </w:r>
          </w:p>
          <w:p w14:paraId="534FE086">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粪污作为肥料还田利用的，应明确畜禽养殖场与还田利用的林地、农田之间的输送系统及环境管理措施，严格控制肥水输送沿途的弃、撒和跑冒滴漏，防止进入外部水体。对无法采取资源化利用的畜禽养殖废水应明确处理措施及工艺，确保达标排放或消毒回用，排放去向应符合国家和地方的有关规定，不得排入敏感水域和有特殊功能的水域。</w:t>
            </w:r>
          </w:p>
          <w:p w14:paraId="3A655F14">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依据相关法律法规和技术规范，制定明确的病死畜禽处理、处置方案，及时处理病死畜禽。针对畜禽规模养殖项目的恶臭影响，可采取控制饲养密度、改善舍内通风、及时清粪、采用除臭剂、集中收集处理等措施，确保项目恶臭污染物达标排放。</w:t>
            </w:r>
          </w:p>
        </w:tc>
        <w:tc>
          <w:tcPr>
            <w:tcW w:w="2930" w:type="dxa"/>
            <w:tcBorders>
              <w:tl2br w:val="nil"/>
              <w:tr2bl w:val="nil"/>
            </w:tcBorders>
            <w:vAlign w:val="center"/>
          </w:tcPr>
          <w:p w14:paraId="5DFD5968">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项目未建设粪污处理设施，废弃垫料外运至有机肥厂无害化处理后生产有机肥，实现粪污资源化利用。废弃垫料不在厂区储存。项目粪污实现资源化利用。</w:t>
            </w:r>
          </w:p>
          <w:p w14:paraId="5B5BCE23">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项目采用发酵床养殖技术，无养殖废水产生。</w:t>
            </w:r>
          </w:p>
          <w:p w14:paraId="6BFFE90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项目病死牛委托四川科农动物无害化处理有限公司清运处置。</w:t>
            </w:r>
          </w:p>
          <w:p w14:paraId="539AD8D4">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针对畜禽规模养殖项目的恶臭影响，采取控制饲养密度、改善舍内通风、采用发酵床技术，在饲料中添加益生菌，以及圈舍喷洒生物除臭剂的方式等措施控制，确保项目恶臭污染物达标排放。</w:t>
            </w:r>
          </w:p>
        </w:tc>
        <w:tc>
          <w:tcPr>
            <w:tcW w:w="690" w:type="dxa"/>
            <w:tcBorders>
              <w:tl2br w:val="nil"/>
              <w:tr2bl w:val="nil"/>
            </w:tcBorders>
            <w:vAlign w:val="center"/>
          </w:tcPr>
          <w:p w14:paraId="767D147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6F0CDD6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764" w:hRule="atLeast"/>
          <w:jc w:val="center"/>
        </w:trPr>
        <w:tc>
          <w:tcPr>
            <w:tcW w:w="820" w:type="dxa"/>
            <w:tcBorders>
              <w:tl2br w:val="nil"/>
              <w:tr2bl w:val="nil"/>
            </w:tcBorders>
            <w:vAlign w:val="center"/>
          </w:tcPr>
          <w:p w14:paraId="4382F179">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四、落实环评信息公开要求，发挥公众参与的监督作用</w:t>
            </w:r>
          </w:p>
        </w:tc>
        <w:tc>
          <w:tcPr>
            <w:tcW w:w="4125" w:type="dxa"/>
            <w:tcBorders>
              <w:tl2br w:val="nil"/>
              <w:tr2bl w:val="nil"/>
            </w:tcBorders>
            <w:vAlign w:val="center"/>
          </w:tcPr>
          <w:p w14:paraId="11767F2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建设单位在项目环评报告书报送审批前，应采取适当形式，遵循依法、有序、公开、便利的原则，公开征求意见并对真实性和结果负责。</w:t>
            </w:r>
          </w:p>
        </w:tc>
        <w:tc>
          <w:tcPr>
            <w:tcW w:w="2930" w:type="dxa"/>
            <w:tcBorders>
              <w:tl2br w:val="nil"/>
              <w:tr2bl w:val="nil"/>
            </w:tcBorders>
            <w:vAlign w:val="center"/>
          </w:tcPr>
          <w:p w14:paraId="09F7FC78">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建设单位严格按照《环境影响评价公众参与办法》（部令第</w:t>
            </w:r>
            <w:r>
              <w:rPr>
                <w:rFonts w:ascii="Times New Roman" w:hAnsi="Times New Roman" w:eastAsia="Times New Roman"/>
                <w:color w:val="000000" w:themeColor="text1"/>
                <w:sz w:val="18"/>
                <w:szCs w:val="18"/>
                <w:lang w:eastAsia="zh-CN"/>
                <w14:textFill>
                  <w14:solidFill>
                    <w14:schemeClr w14:val="tx1"/>
                  </w14:solidFill>
                </w14:textFill>
              </w:rPr>
              <w:t>4</w:t>
            </w:r>
            <w:r>
              <w:rPr>
                <w:rFonts w:hint="eastAsia" w:ascii="宋体" w:hAnsi="宋体" w:eastAsia="宋体" w:cs="宋体"/>
                <w:color w:val="000000" w:themeColor="text1"/>
                <w:sz w:val="18"/>
                <w:szCs w:val="18"/>
                <w:lang w:eastAsia="zh-CN"/>
                <w14:textFill>
                  <w14:solidFill>
                    <w14:schemeClr w14:val="tx1"/>
                  </w14:solidFill>
                </w14:textFill>
              </w:rPr>
              <w:t>号）进行公众参与调查，主要形式包括网络公示、报纸公示和现场张榜公示内容等，并编制了项目环境影响评价公众参与说明，公示期间未接到公众反馈的意见。</w:t>
            </w:r>
          </w:p>
        </w:tc>
        <w:tc>
          <w:tcPr>
            <w:tcW w:w="690" w:type="dxa"/>
            <w:tcBorders>
              <w:tl2br w:val="nil"/>
              <w:tr2bl w:val="nil"/>
            </w:tcBorders>
            <w:vAlign w:val="center"/>
          </w:tcPr>
          <w:p w14:paraId="099D3527">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6FB7C13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317" w:hRule="atLeast"/>
          <w:jc w:val="center"/>
        </w:trPr>
        <w:tc>
          <w:tcPr>
            <w:tcW w:w="820" w:type="dxa"/>
            <w:tcBorders>
              <w:tl2br w:val="nil"/>
              <w:tr2bl w:val="nil"/>
            </w:tcBorders>
            <w:vAlign w:val="center"/>
          </w:tcPr>
          <w:p w14:paraId="5B978AA5">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五、强化事中事后监管，形成长效管理机制</w:t>
            </w:r>
          </w:p>
        </w:tc>
        <w:tc>
          <w:tcPr>
            <w:tcW w:w="4125" w:type="dxa"/>
            <w:tcBorders>
              <w:tl2br w:val="nil"/>
              <w:tr2bl w:val="nil"/>
            </w:tcBorders>
            <w:vAlign w:val="center"/>
          </w:tcPr>
          <w:p w14:paraId="5FAEB315">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建设单位必须严格执行环境保护</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三同时</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制度，落实各项生态环境保护措施，在项目建成后按照国家规定的程序和技术规范，开展建设项目竣工环境保护验收。</w:t>
            </w:r>
          </w:p>
        </w:tc>
        <w:tc>
          <w:tcPr>
            <w:tcW w:w="2930" w:type="dxa"/>
            <w:tcBorders>
              <w:tl2br w:val="nil"/>
              <w:tr2bl w:val="nil"/>
            </w:tcBorders>
            <w:vAlign w:val="center"/>
          </w:tcPr>
          <w:p w14:paraId="4C190FF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环评要求项目业主严格执行环境保护</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三同时</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制度，落实各项生态环境保护措施，在项目建成后按照国家规定的程序和技术规范，开展建设项目竣工环境保护验收。</w:t>
            </w:r>
          </w:p>
        </w:tc>
        <w:tc>
          <w:tcPr>
            <w:tcW w:w="690" w:type="dxa"/>
            <w:tcBorders>
              <w:tl2br w:val="nil"/>
              <w:tr2bl w:val="nil"/>
            </w:tcBorders>
            <w:vAlign w:val="center"/>
          </w:tcPr>
          <w:p w14:paraId="78870AD7">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777BE5B1">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由上表可知，本项目符合《关于做好畜禽规模养殖项目环境影响评价管理工作的通知》（环办环评[2018]31号）相关要求。</w:t>
      </w:r>
    </w:p>
    <w:p w14:paraId="6727B69A">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（9）与</w:t>
      </w:r>
      <w:r>
        <w:rPr>
          <w:b/>
          <w:bCs/>
          <w:color w:val="000000" w:themeColor="text1"/>
          <w:spacing w:val="-1"/>
          <w14:textFill>
            <w14:solidFill>
              <w14:schemeClr w14:val="tx1"/>
            </w14:solidFill>
          </w14:textFill>
        </w:rPr>
        <w:t>《畜禽养殖场（户）粪污处理设施建设技术指南》（农办牧〔2022〕19号）</w:t>
      </w:r>
      <w:r>
        <w:rPr>
          <w:b/>
          <w:bCs/>
          <w:color w:val="000000" w:themeColor="text1"/>
          <w:kern w:val="0"/>
          <w:lang w:val="en-US" w:bidi="ar"/>
          <w14:textFill>
            <w14:solidFill>
              <w14:schemeClr w14:val="tx1"/>
            </w14:solidFill>
          </w14:textFill>
        </w:rPr>
        <w:t>符合性</w:t>
      </w:r>
    </w:p>
    <w:p w14:paraId="79952329">
      <w:pPr>
        <w:pStyle w:val="21"/>
        <w:ind w:firstLine="480" w:firstLineChars="200"/>
        <w:jc w:val="left"/>
        <w:rPr>
          <w:b w:val="0"/>
          <w:bCs w:val="0"/>
          <w:color w:val="000000" w:themeColor="text1"/>
          <w:kern w:val="0"/>
          <w:szCs w:val="24"/>
          <w:lang w:bidi="ar"/>
          <w14:textFill>
            <w14:solidFill>
              <w14:schemeClr w14:val="tx1"/>
            </w14:solidFill>
          </w14:textFill>
        </w:rPr>
      </w:pPr>
      <w:r>
        <w:rPr>
          <w:b w:val="0"/>
          <w:bCs w:val="0"/>
          <w:color w:val="000000" w:themeColor="text1"/>
          <w:kern w:val="0"/>
          <w:szCs w:val="24"/>
          <w:lang w:bidi="ar"/>
          <w14:textFill>
            <w14:solidFill>
              <w14:schemeClr w14:val="tx1"/>
            </w14:solidFill>
          </w14:textFill>
        </w:rPr>
        <w:t>项目与《畜禽养殖场（户）粪污处理设施建设技术指南》（农办牧〔2022〕19号）相关要求的符合性见下表。</w:t>
      </w:r>
    </w:p>
    <w:p w14:paraId="6972C757">
      <w:pPr>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br w:type="page"/>
      </w:r>
    </w:p>
    <w:p w14:paraId="735640B9">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项目与《畜禽养殖场（户）粪污处理设施建设技术指南》的符合性</w:t>
      </w:r>
    </w:p>
    <w:p w14:paraId="4EFDFD88">
      <w:pPr>
        <w:spacing w:line="143" w:lineRule="auto"/>
        <w:rPr>
          <w:color w:val="000000" w:themeColor="text1"/>
          <w:sz w:val="2"/>
          <w14:textFill>
            <w14:solidFill>
              <w14:schemeClr w14:val="tx1"/>
            </w14:solidFill>
          </w14:textFill>
        </w:rPr>
      </w:pP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820"/>
        <w:gridCol w:w="4125"/>
        <w:gridCol w:w="2930"/>
        <w:gridCol w:w="690"/>
      </w:tblGrid>
      <w:tr w14:paraId="4CF641E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20" w:type="dxa"/>
            <w:tcBorders>
              <w:tl2br w:val="nil"/>
              <w:tr2bl w:val="nil"/>
            </w:tcBorders>
            <w:vAlign w:val="center"/>
          </w:tcPr>
          <w:p w14:paraId="00F41BDC">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要求</w:t>
            </w:r>
          </w:p>
        </w:tc>
        <w:tc>
          <w:tcPr>
            <w:tcW w:w="4125" w:type="dxa"/>
            <w:tcBorders>
              <w:tl2br w:val="nil"/>
              <w:tr2bl w:val="nil"/>
            </w:tcBorders>
            <w:vAlign w:val="center"/>
          </w:tcPr>
          <w:p w14:paraId="2FDD650B">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农办牧[2022]19号文件相关要求</w:t>
            </w:r>
          </w:p>
        </w:tc>
        <w:tc>
          <w:tcPr>
            <w:tcW w:w="2930" w:type="dxa"/>
            <w:tcBorders>
              <w:tl2br w:val="nil"/>
              <w:tr2bl w:val="nil"/>
            </w:tcBorders>
            <w:vAlign w:val="center"/>
          </w:tcPr>
          <w:p w14:paraId="5B7A3196">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79CD1D9E">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7C475A6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878" w:hRule="atLeast"/>
          <w:jc w:val="center"/>
        </w:trPr>
        <w:tc>
          <w:tcPr>
            <w:tcW w:w="820" w:type="dxa"/>
            <w:tcBorders>
              <w:tl2br w:val="nil"/>
              <w:tr2bl w:val="nil"/>
            </w:tcBorders>
            <w:vAlign w:val="center"/>
          </w:tcPr>
          <w:p w14:paraId="1E4B903E">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设施设备总体要求</w:t>
            </w:r>
          </w:p>
        </w:tc>
        <w:tc>
          <w:tcPr>
            <w:tcW w:w="4125" w:type="dxa"/>
            <w:tcBorders>
              <w:tl2br w:val="nil"/>
              <w:tr2bl w:val="nil"/>
            </w:tcBorders>
            <w:vAlign w:val="center"/>
          </w:tcPr>
          <w:p w14:paraId="53E95305">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场应根据养殖污染防治要求和当地环境承载力，配备与设计生产能力、粪污处理利用方式相匹配的畜禽粪污处理设施设备，满足防雨、防渗、防溢流和安全防护要求，并确保正常运行。交由第三方处理机构处理畜禽粪污的，应按照转运时间间隔建设粪污暂存设施。畜禽养殖户应当采取措施，对畜禽粪污进行科学处理，防止污染环境。</w:t>
            </w:r>
          </w:p>
        </w:tc>
        <w:tc>
          <w:tcPr>
            <w:tcW w:w="2930" w:type="dxa"/>
            <w:tcBorders>
              <w:tl2br w:val="nil"/>
              <w:tr2bl w:val="nil"/>
            </w:tcBorders>
            <w:vAlign w:val="center"/>
          </w:tcPr>
          <w:p w14:paraId="3922BF02">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p>
          <w:p w14:paraId="0506818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本项目废弃垫料外运至有机肥厂无害化处理后生产有机肥，实现粪污资源化利用。废弃垫料不在厂区堆存，不设置粪污暂存池。</w:t>
            </w:r>
          </w:p>
        </w:tc>
        <w:tc>
          <w:tcPr>
            <w:tcW w:w="690" w:type="dxa"/>
            <w:tcBorders>
              <w:tl2br w:val="nil"/>
              <w:tr2bl w:val="nil"/>
            </w:tcBorders>
            <w:vAlign w:val="center"/>
          </w:tcPr>
          <w:p w14:paraId="65A4BF2F">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2E86245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712" w:hRule="atLeast"/>
          <w:jc w:val="center"/>
        </w:trPr>
        <w:tc>
          <w:tcPr>
            <w:tcW w:w="820" w:type="dxa"/>
            <w:tcBorders>
              <w:tl2br w:val="nil"/>
              <w:tr2bl w:val="nil"/>
            </w:tcBorders>
            <w:vAlign w:val="center"/>
          </w:tcPr>
          <w:p w14:paraId="5864ADBC">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圈舍及运动场粪污减量设施</w:t>
            </w:r>
          </w:p>
        </w:tc>
        <w:tc>
          <w:tcPr>
            <w:tcW w:w="4125" w:type="dxa"/>
            <w:tcBorders>
              <w:tl2br w:val="nil"/>
              <w:tr2bl w:val="nil"/>
            </w:tcBorders>
            <w:vAlign w:val="center"/>
          </w:tcPr>
          <w:p w14:paraId="2969F0A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场（户）宜采用干清粪、水泡粪、地面垫料、床（网）下垫料等清粪工艺，逐步淘汰水冲粪工艺，合理控制清粪环节用水量。新建养殖场采用干清粪工艺的，鼓励进行机械干清粪。鼓励畜禽养殖场采用碗式或液位控制等防溢漏饮水器，减少饮水漏水。新建猪、鸡等养殖场宜采取圈舍封闭半封闭管理，鼓励有条件的现有畜禽养殖场开展圈舍封闭改造，对恶臭气体进行收集处理。</w:t>
            </w:r>
          </w:p>
          <w:p w14:paraId="6042B51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畜禽养殖场（户）应保持合理的清粪频次，及时收集圈舍和运动场的粪污。鼓励畜禽养殖场做好运动场的防雨、防渗和防溢流，降低环境污染风险。</w:t>
            </w:r>
          </w:p>
        </w:tc>
        <w:tc>
          <w:tcPr>
            <w:tcW w:w="2930" w:type="dxa"/>
            <w:tcBorders>
              <w:tl2br w:val="nil"/>
              <w:tr2bl w:val="nil"/>
            </w:tcBorders>
            <w:vAlign w:val="center"/>
          </w:tcPr>
          <w:p w14:paraId="7A2B60C4">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p w14:paraId="6D2C3EB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项目采用舍内节水型饮水器自由饮水。牛舍采取了防雨、防渗和防溢流等措施。</w:t>
            </w:r>
          </w:p>
        </w:tc>
        <w:tc>
          <w:tcPr>
            <w:tcW w:w="690" w:type="dxa"/>
            <w:tcBorders>
              <w:tl2br w:val="nil"/>
              <w:tr2bl w:val="nil"/>
            </w:tcBorders>
            <w:vAlign w:val="center"/>
          </w:tcPr>
          <w:p w14:paraId="556F6BC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B6B91B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559" w:hRule="atLeast"/>
          <w:jc w:val="center"/>
        </w:trPr>
        <w:tc>
          <w:tcPr>
            <w:tcW w:w="820" w:type="dxa"/>
            <w:tcBorders>
              <w:tl2br w:val="nil"/>
              <w:tr2bl w:val="nil"/>
            </w:tcBorders>
            <w:vAlign w:val="center"/>
          </w:tcPr>
          <w:p w14:paraId="6B2C9A75">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雨污分流设施</w:t>
            </w:r>
          </w:p>
        </w:tc>
        <w:tc>
          <w:tcPr>
            <w:tcW w:w="4125" w:type="dxa"/>
            <w:tcBorders>
              <w:tl2br w:val="nil"/>
              <w:tr2bl w:val="nil"/>
            </w:tcBorders>
            <w:vAlign w:val="center"/>
          </w:tcPr>
          <w:p w14:paraId="292E6295">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畜禽养殖场（户）应建设雨污分流设施，液体粪污应采用暗沟或管道输送，采取密闭措施，做好安全防护，输送管路要合理设置检查口，检查口应加盖且一般高于地面</w:t>
            </w:r>
            <w:r>
              <w:rPr>
                <w:rFonts w:ascii="Times New Roman" w:hAnsi="Times New Roman" w:eastAsia="Times New Roman"/>
                <w:color w:val="000000" w:themeColor="text1"/>
                <w:sz w:val="18"/>
                <w:szCs w:val="18"/>
                <w:lang w:eastAsia="zh-CN"/>
                <w14:textFill>
                  <w14:solidFill>
                    <w14:schemeClr w14:val="tx1"/>
                  </w14:solidFill>
                </w14:textFill>
              </w:rPr>
              <w:t>5</w:t>
            </w:r>
            <w:r>
              <w:rPr>
                <w:rFonts w:hint="eastAsia" w:ascii="宋体" w:hAnsi="宋体" w:eastAsia="宋体" w:cs="宋体"/>
                <w:color w:val="000000" w:themeColor="text1"/>
                <w:sz w:val="18"/>
                <w:szCs w:val="18"/>
                <w:lang w:eastAsia="zh-CN"/>
                <w14:textFill>
                  <w14:solidFill>
                    <w14:schemeClr w14:val="tx1"/>
                  </w14:solidFill>
                </w14:textFill>
              </w:rPr>
              <w:t>厘米以上，防止雨水倒灌。</w:t>
            </w:r>
          </w:p>
        </w:tc>
        <w:tc>
          <w:tcPr>
            <w:tcW w:w="2930" w:type="dxa"/>
            <w:tcBorders>
              <w:tl2br w:val="nil"/>
              <w:tr2bl w:val="nil"/>
            </w:tcBorders>
            <w:vAlign w:val="center"/>
          </w:tcPr>
          <w:p w14:paraId="7388AD24">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养殖场内建设雨污分流设施，项目采用发酵床养殖工艺，粪尿直接排泄到垫料上，通过牛的踩踏，使粪尿和垫料充分混合，让有益微生物菌种发酵，使粪、尿有机物质分解和转化，无尿污排出。</w:t>
            </w:r>
          </w:p>
        </w:tc>
        <w:tc>
          <w:tcPr>
            <w:tcW w:w="690" w:type="dxa"/>
            <w:tcBorders>
              <w:tl2br w:val="nil"/>
              <w:tr2bl w:val="nil"/>
            </w:tcBorders>
            <w:vAlign w:val="center"/>
          </w:tcPr>
          <w:p w14:paraId="5D67351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45F24A4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764" w:hRule="atLeast"/>
          <w:jc w:val="center"/>
        </w:trPr>
        <w:tc>
          <w:tcPr>
            <w:tcW w:w="820" w:type="dxa"/>
            <w:tcBorders>
              <w:tl2br w:val="nil"/>
              <w:tr2bl w:val="nil"/>
            </w:tcBorders>
            <w:vAlign w:val="center"/>
          </w:tcPr>
          <w:p w14:paraId="48C2BADA">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畜禽粪污暂存设施</w:t>
            </w:r>
          </w:p>
        </w:tc>
        <w:tc>
          <w:tcPr>
            <w:tcW w:w="4125" w:type="dxa"/>
            <w:tcBorders>
              <w:tl2br w:val="nil"/>
              <w:tr2bl w:val="nil"/>
            </w:tcBorders>
            <w:vAlign w:val="center"/>
          </w:tcPr>
          <w:p w14:paraId="71872A10">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畜禽养殖场（户）建设畜禽粪污暂存池（场）的，液体粪污暂存池容积不小于单位畜禽液体粪污日产生量（立方米</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天</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头、只、羽）</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暂存周期（天）</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设计存栏量（头、只、羽），固体粪污暂存场容积不小于单位畜禽固体粪污日产生量（立方米</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天</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头、只、羽）</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暂存周期（天）</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设计存栏量（头、只、羽），暂存周期按转运处理最大时间间隔确定。鼓励采取加盖等措施，减少恶臭气体排放和雨水进入。</w:t>
            </w:r>
          </w:p>
        </w:tc>
        <w:tc>
          <w:tcPr>
            <w:tcW w:w="2930" w:type="dxa"/>
            <w:tcBorders>
              <w:tl2br w:val="nil"/>
              <w:tr2bl w:val="nil"/>
            </w:tcBorders>
            <w:vAlign w:val="center"/>
          </w:tcPr>
          <w:p w14:paraId="6965A517">
            <w:pPr>
              <w:widowControl/>
              <w:autoSpaceDE/>
              <w:autoSpaceDN/>
              <w:ind w:firstLine="360" w:firstLineChars="200"/>
              <w:jc w:val="left"/>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废弃垫料外运至有机肥厂无害化处理后生产有机肥，实现粪污资源化利用。废弃垫料不在厂区储存。</w:t>
            </w:r>
            <w:r>
              <w:rPr>
                <w:rFonts w:hint="eastAsia" w:ascii="宋体" w:hAnsi="宋体" w:eastAsia="宋体" w:cs="宋体"/>
                <w:color w:val="000000" w:themeColor="text1"/>
                <w:sz w:val="18"/>
                <w:szCs w:val="18"/>
                <w:lang w:eastAsia="en-US"/>
                <w14:textFill>
                  <w14:solidFill>
                    <w14:schemeClr w14:val="tx1"/>
                  </w14:solidFill>
                </w14:textFill>
              </w:rPr>
              <w:t>不设置粪污暂存池。</w:t>
            </w:r>
          </w:p>
        </w:tc>
        <w:tc>
          <w:tcPr>
            <w:tcW w:w="690" w:type="dxa"/>
            <w:tcBorders>
              <w:tl2br w:val="nil"/>
              <w:tr2bl w:val="nil"/>
            </w:tcBorders>
            <w:vAlign w:val="center"/>
          </w:tcPr>
          <w:p w14:paraId="7B7B582A">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7B186BEB">
      <w:pPr>
        <w:spacing w:before="182" w:line="347" w:lineRule="auto"/>
        <w:ind w:left="48" w:right="96" w:firstLine="465"/>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综上，本项目符合《畜禽养殖场（户）粪污处理设施建设技术指南》（农办牧〔2022〕19号）的相关要求。</w:t>
      </w:r>
    </w:p>
    <w:p w14:paraId="72F10650">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（10）与</w:t>
      </w:r>
      <w:r>
        <w:rPr>
          <w:b/>
          <w:bCs/>
          <w:color w:val="000000" w:themeColor="text1"/>
          <w:spacing w:val="-1"/>
          <w14:textFill>
            <w14:solidFill>
              <w14:schemeClr w14:val="tx1"/>
            </w14:solidFill>
          </w14:textFill>
        </w:rPr>
        <w:t>《病死畜禽和病害畜禽产品无害化处理管理办法》（中华人民共和国农业农村部令2022年第3号）</w:t>
      </w:r>
      <w:r>
        <w:rPr>
          <w:b/>
          <w:bCs/>
          <w:color w:val="000000" w:themeColor="text1"/>
          <w:kern w:val="0"/>
          <w:lang w:val="en-US" w:bidi="ar"/>
          <w14:textFill>
            <w14:solidFill>
              <w14:schemeClr w14:val="tx1"/>
            </w14:solidFill>
          </w14:textFill>
        </w:rPr>
        <w:t>符合性</w:t>
      </w:r>
    </w:p>
    <w:p w14:paraId="238C134A">
      <w:pPr>
        <w:pStyle w:val="21"/>
        <w:ind w:firstLine="480" w:firstLineChars="200"/>
        <w:jc w:val="left"/>
      </w:pPr>
      <w:r>
        <w:rPr>
          <w:b w:val="0"/>
          <w:bCs w:val="0"/>
          <w:color w:val="000000" w:themeColor="text1"/>
          <w:kern w:val="0"/>
          <w:szCs w:val="24"/>
          <w:lang w:bidi="ar"/>
          <w14:textFill>
            <w14:solidFill>
              <w14:schemeClr w14:val="tx1"/>
            </w14:solidFill>
          </w14:textFill>
        </w:rPr>
        <w:t>项目与《病死畜禽和病害畜禽产品无害化处理管理办法》（中华人民共和国农业农村部令2022年第3号）相关要求的符合性见下表。</w:t>
      </w:r>
    </w:p>
    <w:p w14:paraId="4FCCCAD5">
      <w:pPr>
        <w:pStyle w:val="75"/>
        <w:adjustRightInd w:val="0"/>
        <w:snapToGrid w:val="0"/>
        <w:spacing w:line="360" w:lineRule="auto"/>
        <w:jc w:val="both"/>
        <w:rPr>
          <w:b/>
          <w:bCs/>
          <w:color w:val="000000" w:themeColor="text1"/>
          <w:kern w:val="0"/>
          <w:lang w:val="en-US" w:bidi="ar"/>
          <w14:textFill>
            <w14:solidFill>
              <w14:schemeClr w14:val="tx1"/>
            </w14:solidFill>
          </w14:textFill>
        </w:rPr>
      </w:pPr>
    </w:p>
    <w:p w14:paraId="7E8E3C1F">
      <w:pPr>
        <w:pStyle w:val="75"/>
        <w:adjustRightInd w:val="0"/>
        <w:snapToGrid w:val="0"/>
        <w:spacing w:line="360" w:lineRule="auto"/>
        <w:jc w:val="both"/>
        <w:rPr>
          <w:b/>
          <w:bCs/>
          <w:color w:val="000000" w:themeColor="text1"/>
          <w:kern w:val="0"/>
          <w:lang w:val="en-US" w:bidi="ar"/>
          <w14:textFill>
            <w14:solidFill>
              <w14:schemeClr w14:val="tx1"/>
            </w14:solidFill>
          </w14:textFill>
        </w:rPr>
      </w:pPr>
    </w:p>
    <w:p w14:paraId="31A55CEF">
      <w:pPr>
        <w:pStyle w:val="75"/>
        <w:adjustRightInd w:val="0"/>
        <w:snapToGrid w:val="0"/>
        <w:spacing w:line="360" w:lineRule="auto"/>
        <w:jc w:val="both"/>
        <w:rPr>
          <w:b/>
          <w:bCs/>
          <w:color w:val="000000" w:themeColor="text1"/>
          <w:kern w:val="0"/>
          <w:lang w:val="en-US" w:bidi="ar"/>
          <w14:textFill>
            <w14:solidFill>
              <w14:schemeClr w14:val="tx1"/>
            </w14:solidFill>
          </w14:textFill>
        </w:rPr>
      </w:pPr>
    </w:p>
    <w:p w14:paraId="2FEB176A">
      <w:pPr>
        <w:pStyle w:val="75"/>
        <w:adjustRightInd w:val="0"/>
        <w:snapToGrid w:val="0"/>
        <w:spacing w:line="360" w:lineRule="auto"/>
        <w:jc w:val="both"/>
        <w:rPr>
          <w:b/>
          <w:bCs/>
          <w:color w:val="000000" w:themeColor="text1"/>
          <w:kern w:val="0"/>
          <w:lang w:val="en-US" w:bidi="ar"/>
          <w14:textFill>
            <w14:solidFill>
              <w14:schemeClr w14:val="tx1"/>
            </w14:solidFill>
          </w14:textFill>
        </w:rPr>
      </w:pPr>
    </w:p>
    <w:p w14:paraId="68EE0822">
      <w:pPr>
        <w:pStyle w:val="75"/>
        <w:adjustRightInd w:val="0"/>
        <w:snapToGrid w:val="0"/>
        <w:spacing w:line="360" w:lineRule="auto"/>
        <w:jc w:val="both"/>
        <w:rPr>
          <w:b/>
          <w:bCs/>
          <w:color w:val="000000" w:themeColor="text1"/>
          <w:kern w:val="0"/>
          <w:lang w:val="en-US" w:bidi="ar"/>
          <w14:textFill>
            <w14:solidFill>
              <w14:schemeClr w14:val="tx1"/>
            </w14:solidFill>
          </w14:textFill>
        </w:rPr>
      </w:pPr>
    </w:p>
    <w:p w14:paraId="0EBAFD43">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项目与《病死畜禽和病害畜禽产品无害化处理管理办法》的符合性</w:t>
      </w:r>
    </w:p>
    <w:p w14:paraId="36929EF3">
      <w:pPr>
        <w:spacing w:line="143" w:lineRule="auto"/>
        <w:rPr>
          <w:color w:val="000000" w:themeColor="text1"/>
          <w:sz w:val="2"/>
          <w14:textFill>
            <w14:solidFill>
              <w14:schemeClr w14:val="tx1"/>
            </w14:solidFill>
          </w14:textFill>
        </w:rPr>
      </w:pP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820"/>
        <w:gridCol w:w="4125"/>
        <w:gridCol w:w="2930"/>
        <w:gridCol w:w="690"/>
      </w:tblGrid>
      <w:tr w14:paraId="56BE6F5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20" w:type="dxa"/>
            <w:tcBorders>
              <w:tl2br w:val="nil"/>
              <w:tr2bl w:val="nil"/>
            </w:tcBorders>
            <w:vAlign w:val="center"/>
          </w:tcPr>
          <w:p w14:paraId="31E89F2E">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要求</w:t>
            </w:r>
          </w:p>
        </w:tc>
        <w:tc>
          <w:tcPr>
            <w:tcW w:w="4125" w:type="dxa"/>
            <w:tcBorders>
              <w:tl2br w:val="nil"/>
              <w:tr2bl w:val="nil"/>
            </w:tcBorders>
            <w:vAlign w:val="center"/>
          </w:tcPr>
          <w:p w14:paraId="442F6574">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《病死畜禽和病害畜禽产品无害化处理管理办法》相关要求</w:t>
            </w:r>
          </w:p>
        </w:tc>
        <w:tc>
          <w:tcPr>
            <w:tcW w:w="2930" w:type="dxa"/>
            <w:tcBorders>
              <w:tl2br w:val="nil"/>
              <w:tr2bl w:val="nil"/>
            </w:tcBorders>
            <w:vAlign w:val="center"/>
          </w:tcPr>
          <w:p w14:paraId="6953E064">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51D44095">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05311E3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098" w:hRule="atLeast"/>
          <w:jc w:val="center"/>
        </w:trPr>
        <w:tc>
          <w:tcPr>
            <w:tcW w:w="820" w:type="dxa"/>
            <w:tcBorders>
              <w:tl2br w:val="nil"/>
              <w:tr2bl w:val="nil"/>
            </w:tcBorders>
            <w:vAlign w:val="center"/>
          </w:tcPr>
          <w:p w14:paraId="62C1527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4125" w:type="dxa"/>
            <w:tcBorders>
              <w:tl2br w:val="nil"/>
              <w:tr2bl w:val="nil"/>
            </w:tcBorders>
            <w:vAlign w:val="center"/>
          </w:tcPr>
          <w:p w14:paraId="2D846EA0">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畜禽养殖场、养殖户、屠宰厂（场）、隔离场应当及时对病死畜禽和病害畜禽产品进行贮存和清运。畜禽养殖场、屠宰厂（场）、隔离场委托病死畜禽无害化处理场处理的，应当符合以下要求：</w:t>
            </w:r>
          </w:p>
          <w:p w14:paraId="4C94C518">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采取必要的冷藏冷冻、清洗消毒等措施；</w:t>
            </w:r>
          </w:p>
          <w:p w14:paraId="025A02D0">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具有病死畜禽和病害畜禽产品输出通道；</w:t>
            </w:r>
          </w:p>
          <w:p w14:paraId="522A97E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及时通知病死畜禽无害化处理场进行收集或自行送至指定地点。</w:t>
            </w:r>
          </w:p>
        </w:tc>
        <w:tc>
          <w:tcPr>
            <w:tcW w:w="2930" w:type="dxa"/>
            <w:tcBorders>
              <w:tl2br w:val="nil"/>
              <w:tr2bl w:val="nil"/>
            </w:tcBorders>
            <w:vAlign w:val="center"/>
          </w:tcPr>
          <w:p w14:paraId="4712C83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项目病死牛委托四川科农动物无害化处理有限公司清运处置。</w:t>
            </w:r>
          </w:p>
          <w:p w14:paraId="3698FA5F">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项目区内设置冷库暂存病死动物，定期对冷库消毒。</w:t>
            </w:r>
          </w:p>
          <w:p w14:paraId="25C9CE0E">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项目设置有病死畜禽和病害畜禽产品专用输出通道。</w:t>
            </w:r>
          </w:p>
          <w:p w14:paraId="49F2A3C3">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建设单位及时通知前述病死牛协议无害化处置有限责任公司到厂清运处置。</w:t>
            </w:r>
          </w:p>
        </w:tc>
        <w:tc>
          <w:tcPr>
            <w:tcW w:w="690" w:type="dxa"/>
            <w:tcBorders>
              <w:tl2br w:val="nil"/>
              <w:tr2bl w:val="nil"/>
            </w:tcBorders>
            <w:vAlign w:val="center"/>
          </w:tcPr>
          <w:p w14:paraId="7C813DE9">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9164D3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862" w:hRule="atLeast"/>
          <w:jc w:val="center"/>
        </w:trPr>
        <w:tc>
          <w:tcPr>
            <w:tcW w:w="820" w:type="dxa"/>
            <w:tcBorders>
              <w:tl2br w:val="nil"/>
              <w:tr2bl w:val="nil"/>
            </w:tcBorders>
            <w:vAlign w:val="center"/>
          </w:tcPr>
          <w:p w14:paraId="485FEBBB">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4125" w:type="dxa"/>
            <w:tcBorders>
              <w:tl2br w:val="nil"/>
              <w:tr2bl w:val="nil"/>
            </w:tcBorders>
            <w:vAlign w:val="center"/>
          </w:tcPr>
          <w:p w14:paraId="22E34C09">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病死畜禽和病害畜禽产品集中暂存点应当具备下列条件：</w:t>
            </w:r>
          </w:p>
          <w:p w14:paraId="04E8CCB7">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有独立封闭的贮存区域，并且防渗、防漏、防鼠、防盗，易于清洗消毒；</w:t>
            </w:r>
          </w:p>
          <w:p w14:paraId="72023AF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有冷藏冷冻、清洗消毒等设施设备；</w:t>
            </w:r>
          </w:p>
          <w:p w14:paraId="5A9D995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设置显著警示标识；</w:t>
            </w:r>
          </w:p>
          <w:p w14:paraId="6B1120BB">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有符合动物防疫需要的其他设施设备；</w:t>
            </w:r>
          </w:p>
        </w:tc>
        <w:tc>
          <w:tcPr>
            <w:tcW w:w="2930" w:type="dxa"/>
            <w:tcBorders>
              <w:tl2br w:val="nil"/>
              <w:tr2bl w:val="nil"/>
            </w:tcBorders>
            <w:vAlign w:val="center"/>
          </w:tcPr>
          <w:p w14:paraId="0B219CA0">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项目区内设置专门的冷库暂存病死动物，冷库进行防渗、防漏、防鼠、防盗设计，易于清洗消毒。冷库配备相应消毒设施。设置显著警示标识。按动物防疫要求建设。</w:t>
            </w:r>
          </w:p>
        </w:tc>
        <w:tc>
          <w:tcPr>
            <w:tcW w:w="690" w:type="dxa"/>
            <w:tcBorders>
              <w:tl2br w:val="nil"/>
              <w:tr2bl w:val="nil"/>
            </w:tcBorders>
            <w:vAlign w:val="center"/>
          </w:tcPr>
          <w:p w14:paraId="23824ED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14D0D6E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424" w:hRule="atLeast"/>
          <w:jc w:val="center"/>
        </w:trPr>
        <w:tc>
          <w:tcPr>
            <w:tcW w:w="820" w:type="dxa"/>
            <w:tcBorders>
              <w:tl2br w:val="nil"/>
              <w:tr2bl w:val="nil"/>
            </w:tcBorders>
            <w:vAlign w:val="center"/>
          </w:tcPr>
          <w:p w14:paraId="479E0888">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4125" w:type="dxa"/>
            <w:tcBorders>
              <w:tl2br w:val="nil"/>
              <w:tr2bl w:val="nil"/>
            </w:tcBorders>
            <w:vAlign w:val="center"/>
          </w:tcPr>
          <w:p w14:paraId="14BA2E6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病死畜禽和病害畜禽产品专用运输车辆应当符合以下要求：</w:t>
            </w:r>
          </w:p>
          <w:p w14:paraId="4593464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不得运输病死畜禽和病害畜禽产品以外的其他物品；</w:t>
            </w:r>
          </w:p>
          <w:p w14:paraId="3DFC5E0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车厢密闭、防水、防渗、耐腐蚀，易于清洗和消毒；</w:t>
            </w:r>
          </w:p>
          <w:p w14:paraId="15B0D20C">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配备能够接入国家监管监控平台的车辆定位跟踪系统、车载终端；</w:t>
            </w:r>
          </w:p>
          <w:p w14:paraId="3B76C81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配备人员防护、清洗消毒等应急防疫用具；</w:t>
            </w:r>
          </w:p>
          <w:p w14:paraId="56E7CB63">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有符合动物防疫需要的其他设施设备；</w:t>
            </w:r>
          </w:p>
        </w:tc>
        <w:tc>
          <w:tcPr>
            <w:tcW w:w="2930" w:type="dxa"/>
            <w:tcBorders>
              <w:tl2br w:val="nil"/>
              <w:tr2bl w:val="nil"/>
            </w:tcBorders>
            <w:vAlign w:val="center"/>
          </w:tcPr>
          <w:p w14:paraId="1572806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病死牛由四川科农动物无害化处理有限公司清运处置，该公司已取得相应的运输资质。运输车辆配备人员防护、清洗消毒防疫用品。按动物防疫要求建设。病死畜禽和病害畜禽由专门的运输车辆运输，运输车辆车厢密闭、防水、防渗、耐腐蚀，易于清洗和消毒。</w:t>
            </w:r>
          </w:p>
        </w:tc>
        <w:tc>
          <w:tcPr>
            <w:tcW w:w="690" w:type="dxa"/>
            <w:tcBorders>
              <w:tl2br w:val="nil"/>
              <w:tr2bl w:val="nil"/>
            </w:tcBorders>
            <w:vAlign w:val="center"/>
          </w:tcPr>
          <w:p w14:paraId="64B5281D">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2AD1F546">
      <w:pPr>
        <w:spacing w:before="182" w:line="347" w:lineRule="auto"/>
        <w:ind w:left="48" w:right="96" w:firstLine="465"/>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综上，本项目符合《病死畜禽和病害畜禽产品无害化处理管理办法》（中华人民共和国农业农村部令2022年第3号）的相关要求。</w:t>
      </w:r>
    </w:p>
    <w:p w14:paraId="53BB5A97">
      <w:pPr>
        <w:pStyle w:val="75"/>
        <w:adjustRightInd w:val="0"/>
        <w:snapToGrid w:val="0"/>
        <w:spacing w:line="360" w:lineRule="auto"/>
        <w:ind w:firstLine="482" w:firstLineChars="200"/>
        <w:jc w:val="left"/>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（11）与《国务院关于促进畜牧业持续健康发展的意见》（国发〔2007〕4号）符合性</w:t>
      </w:r>
    </w:p>
    <w:p w14:paraId="558F3CBA">
      <w:pPr>
        <w:pStyle w:val="75"/>
        <w:adjustRightInd w:val="0"/>
        <w:snapToGrid w:val="0"/>
        <w:spacing w:line="360" w:lineRule="auto"/>
        <w:ind w:firstLine="496" w:firstLineChars="200"/>
        <w:jc w:val="left"/>
        <w:rPr>
          <w:b/>
          <w:bCs/>
          <w:color w:val="000000" w:themeColor="text1"/>
          <w:kern w:val="0"/>
          <w:lang w:val="en-US" w:bidi="ar"/>
          <w14:textFill>
            <w14:solidFill>
              <w14:schemeClr w14:val="tx1"/>
            </w14:solidFill>
          </w14:textFill>
        </w:rPr>
      </w:pPr>
      <w:r>
        <w:rPr>
          <w:color w:val="000000" w:themeColor="text1"/>
          <w:spacing w:val="4"/>
          <w14:textFill>
            <w14:solidFill>
              <w14:schemeClr w14:val="tx1"/>
            </w14:solidFill>
          </w14:textFill>
        </w:rPr>
        <w:t>该文件指出“规模化、标准化、产业化程度进一步提高，畜牧业生产初步实现向技术集约型、资源高效利用型、环境友好型转变，大力发展奶业，加快发展特种养殖业，展规模养殖和畜禽养殖小区，抓好畜禽良种、饲料供给、动物防疫、养殖环境等基础工作，按照市场需求，加快建立一批标准化、规模化生产示范基地。全面推行草畜平衡。</w:t>
      </w:r>
      <w:r>
        <w:rPr>
          <w:color w:val="000000" w:themeColor="text1"/>
          <w:spacing w:val="26"/>
          <w14:textFill>
            <w14:solidFill>
              <w14:schemeClr w14:val="tx1"/>
            </w14:solidFill>
          </w14:textFill>
        </w:rPr>
        <w:t>”</w:t>
      </w:r>
    </w:p>
    <w:p w14:paraId="73199EA8">
      <w:pPr>
        <w:pStyle w:val="75"/>
        <w:adjustRightInd w:val="0"/>
        <w:snapToGrid w:val="0"/>
        <w:spacing w:line="360" w:lineRule="auto"/>
        <w:ind w:firstLine="470" w:firstLineChars="200"/>
        <w:jc w:val="left"/>
        <w:rPr>
          <w:b/>
          <w:bCs/>
          <w:color w:val="000000" w:themeColor="text1"/>
          <w:kern w:val="0"/>
          <w:lang w:val="en-US" w:bidi="ar"/>
          <w14:textFill>
            <w14:solidFill>
              <w14:schemeClr w14:val="tx1"/>
            </w14:solidFill>
          </w14:textFill>
        </w:rPr>
      </w:pPr>
      <w:r>
        <w:rPr>
          <w:b/>
          <w:bCs/>
          <w:color w:val="000000" w:themeColor="text1"/>
          <w:spacing w:val="-3"/>
          <w14:textFill>
            <w14:solidFill>
              <w14:schemeClr w14:val="tx1"/>
            </w14:solidFill>
          </w14:textFill>
        </w:rPr>
        <w:t>本项目的建设对</w:t>
      </w:r>
      <w:r>
        <w:rPr>
          <w:b/>
          <w:bCs/>
          <w:color w:val="000000" w:themeColor="text1"/>
          <w:spacing w:val="-3"/>
          <w:lang w:val="en-US"/>
          <w14:textFill>
            <w14:solidFill>
              <w14:schemeClr w14:val="tx1"/>
            </w14:solidFill>
          </w14:textFill>
        </w:rPr>
        <w:t>肉牛</w:t>
      </w:r>
      <w:r>
        <w:rPr>
          <w:b/>
          <w:bCs/>
          <w:color w:val="000000" w:themeColor="text1"/>
          <w:spacing w:val="-3"/>
          <w14:textFill>
            <w14:solidFill>
              <w14:schemeClr w14:val="tx1"/>
            </w14:solidFill>
          </w14:textFill>
        </w:rPr>
        <w:t>养殖业健康发展起到积极作用，符合《国务院关于促进畜牧业持续健康发展的意见》</w:t>
      </w:r>
      <w:r>
        <w:rPr>
          <w:b/>
          <w:bCs/>
          <w:color w:val="000000" w:themeColor="text1"/>
          <w:spacing w:val="-3"/>
          <w:lang w:val="en-US"/>
          <w14:textFill>
            <w14:solidFill>
              <w14:schemeClr w14:val="tx1"/>
            </w14:solidFill>
          </w14:textFill>
        </w:rPr>
        <w:t>（国发〔2007〕4号）</w:t>
      </w:r>
      <w:r>
        <w:rPr>
          <w:b/>
          <w:bCs/>
          <w:color w:val="000000" w:themeColor="text1"/>
          <w:spacing w:val="-3"/>
          <w14:textFill>
            <w14:solidFill>
              <w14:schemeClr w14:val="tx1"/>
            </w14:solidFill>
          </w14:textFill>
        </w:rPr>
        <w:t>相关规定。</w:t>
      </w:r>
    </w:p>
    <w:p w14:paraId="38E8933C">
      <w:pPr>
        <w:pStyle w:val="75"/>
        <w:adjustRightInd w:val="0"/>
        <w:snapToGrid w:val="0"/>
        <w:spacing w:line="360" w:lineRule="auto"/>
        <w:ind w:firstLine="478" w:firstLineChars="200"/>
        <w:jc w:val="both"/>
        <w:rPr>
          <w:b/>
          <w:bCs/>
          <w:color w:val="000000" w:themeColor="text1"/>
          <w:spacing w:val="-6"/>
          <w14:textFill>
            <w14:solidFill>
              <w14:schemeClr w14:val="tx1"/>
            </w14:solidFill>
          </w14:textFill>
        </w:rPr>
      </w:pPr>
      <w:r>
        <w:rPr>
          <w:b/>
          <w:bCs/>
          <w:color w:val="000000" w:themeColor="text1"/>
          <w:spacing w:val="-1"/>
          <w14:textFill>
            <w14:solidFill>
              <w14:schemeClr w14:val="tx1"/>
            </w14:solidFill>
          </w14:textFill>
        </w:rPr>
        <w:t>（</w:t>
      </w:r>
      <w:r>
        <w:rPr>
          <w:b/>
          <w:bCs/>
          <w:color w:val="000000" w:themeColor="text1"/>
          <w:spacing w:val="-1"/>
          <w:lang w:val="en-US"/>
          <w14:textFill>
            <w14:solidFill>
              <w14:schemeClr w14:val="tx1"/>
            </w14:solidFill>
          </w14:textFill>
        </w:rPr>
        <w:t>12</w:t>
      </w:r>
      <w:r>
        <w:rPr>
          <w:b/>
          <w:bCs/>
          <w:color w:val="000000" w:themeColor="text1"/>
          <w:spacing w:val="-1"/>
          <w14:textFill>
            <w14:solidFill>
              <w14:schemeClr w14:val="tx1"/>
            </w14:solidFill>
          </w14:textFill>
        </w:rPr>
        <w:t>）与《动物防疫条件审查办法》（</w:t>
      </w:r>
      <w:r>
        <w:rPr>
          <w:b/>
          <w:bCs/>
          <w:color w:val="000000" w:themeColor="text1"/>
          <w:spacing w:val="-1"/>
          <w:lang w:val="en-US"/>
          <w14:textFill>
            <w14:solidFill>
              <w14:schemeClr w14:val="tx1"/>
            </w14:solidFill>
          </w14:textFill>
        </w:rPr>
        <w:t>农业农村部令2022年第8号</w:t>
      </w:r>
      <w:r>
        <w:rPr>
          <w:b/>
          <w:bCs/>
          <w:color w:val="000000" w:themeColor="text1"/>
          <w:spacing w:val="-1"/>
          <w14:textFill>
            <w14:solidFill>
              <w14:schemeClr w14:val="tx1"/>
            </w14:solidFill>
          </w14:textFill>
        </w:rPr>
        <w:t>）的</w:t>
      </w:r>
      <w:r>
        <w:rPr>
          <w:b/>
          <w:bCs/>
          <w:color w:val="000000" w:themeColor="text1"/>
          <w:spacing w:val="-2"/>
          <w14:textFill>
            <w14:solidFill>
              <w14:schemeClr w14:val="tx1"/>
            </w14:solidFill>
          </w14:textFill>
        </w:rPr>
        <w:t>符合</w:t>
      </w:r>
      <w:r>
        <w:rPr>
          <w:b/>
          <w:bCs/>
          <w:color w:val="000000" w:themeColor="text1"/>
          <w:spacing w:val="-6"/>
          <w14:textFill>
            <w14:solidFill>
              <w14:schemeClr w14:val="tx1"/>
            </w14:solidFill>
          </w14:textFill>
        </w:rPr>
        <w:t>性</w:t>
      </w:r>
    </w:p>
    <w:p w14:paraId="4D65368B">
      <w:pPr>
        <w:pStyle w:val="75"/>
        <w:adjustRightInd w:val="0"/>
        <w:snapToGrid w:val="0"/>
        <w:spacing w:line="360" w:lineRule="auto"/>
        <w:ind w:left="420" w:leftChars="200"/>
        <w:jc w:val="both"/>
        <w:rPr>
          <w:b/>
          <w:bCs/>
          <w:color w:val="000000" w:themeColor="text1"/>
          <w:spacing w:val="-6"/>
          <w14:textFill>
            <w14:solidFill>
              <w14:schemeClr w14:val="tx1"/>
            </w14:solidFill>
          </w14:textFill>
        </w:rPr>
      </w:pPr>
    </w:p>
    <w:p w14:paraId="3EEA52DB">
      <w:pPr>
        <w:pStyle w:val="814"/>
        <w:numPr>
          <w:ilvl w:val="0"/>
          <w:numId w:val="15"/>
        </w:numPr>
        <w:snapToGrid w:val="0"/>
        <w:rPr>
          <w:b/>
          <w:bCs/>
          <w:color w:val="000000" w:themeColor="text1"/>
          <w14:textFill>
            <w14:solidFill>
              <w14:schemeClr w14:val="tx1"/>
            </w14:solidFill>
          </w14:textFill>
        </w:rPr>
      </w:pPr>
      <w:r>
        <w:rPr>
          <w:rFonts w:eastAsia="黑体"/>
          <w:color w:val="000000" w:themeColor="text1"/>
          <w14:textFill>
            <w14:solidFill>
              <w14:schemeClr w14:val="tx1"/>
            </w14:solidFill>
          </w14:textFill>
        </w:rPr>
        <w:t>与《动物防疫条件审查办法》符合情况一览表</w:t>
      </w:r>
    </w:p>
    <w:tbl>
      <w:tblPr>
        <w:tblStyle w:val="1745"/>
        <w:tblW w:w="8508" w:type="dxa"/>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52"/>
        <w:gridCol w:w="4465"/>
        <w:gridCol w:w="2885"/>
        <w:gridCol w:w="706"/>
      </w:tblGrid>
      <w:tr w14:paraId="7F88857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452" w:type="dxa"/>
            <w:tcBorders>
              <w:tl2br w:val="nil"/>
              <w:tr2bl w:val="nil"/>
            </w:tcBorders>
            <w:vAlign w:val="center"/>
          </w:tcPr>
          <w:p w14:paraId="3E7965AA">
            <w:pPr>
              <w:widowControl w:val="0"/>
              <w:autoSpaceDE w:val="0"/>
              <w:autoSpaceDN w:val="0"/>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b/>
                <w:bCs/>
                <w:color w:val="000000" w:themeColor="text1"/>
                <w:sz w:val="18"/>
                <w:szCs w:val="18"/>
                <w:lang w:eastAsia="en-US"/>
                <w14:textFill>
                  <w14:solidFill>
                    <w14:schemeClr w14:val="tx1"/>
                  </w14:solidFill>
                </w14:textFill>
              </w:rPr>
              <w:t>序号</w:t>
            </w:r>
          </w:p>
        </w:tc>
        <w:tc>
          <w:tcPr>
            <w:tcW w:w="4465" w:type="dxa"/>
            <w:tcBorders>
              <w:tl2br w:val="nil"/>
              <w:tr2bl w:val="nil"/>
            </w:tcBorders>
            <w:vAlign w:val="center"/>
          </w:tcPr>
          <w:p w14:paraId="523DF6E2">
            <w:pPr>
              <w:widowControl w:val="0"/>
              <w:autoSpaceDE w:val="0"/>
              <w:autoSpaceDN w:val="0"/>
              <w:jc w:val="center"/>
              <w:rPr>
                <w:rFonts w:ascii="Times New Roman" w:hAnsi="Times New Roman" w:eastAsia="黑体"/>
                <w:color w:val="000000" w:themeColor="text1"/>
                <w:sz w:val="18"/>
                <w:szCs w:val="18"/>
                <w:highlight w:val="magenta"/>
                <w:lang w:eastAsia="zh-CN"/>
                <w14:textFill>
                  <w14:solidFill>
                    <w14:schemeClr w14:val="tx1"/>
                  </w14:solidFill>
                </w14:textFill>
              </w:rPr>
            </w:pPr>
            <w:r>
              <w:rPr>
                <w:rFonts w:ascii="Times New Roman" w:hAnsi="Times New Roman" w:eastAsia="黑体"/>
                <w:b/>
                <w:bCs/>
                <w:color w:val="000000" w:themeColor="text1"/>
                <w:sz w:val="18"/>
                <w:szCs w:val="18"/>
                <w:lang w:eastAsia="zh-CN"/>
                <w14:textFill>
                  <w14:solidFill>
                    <w14:schemeClr w14:val="tx1"/>
                  </w14:solidFill>
                </w14:textFill>
              </w:rPr>
              <w:t>《动物防疫条件审查办法》的相关要求</w:t>
            </w:r>
          </w:p>
        </w:tc>
        <w:tc>
          <w:tcPr>
            <w:tcW w:w="2885" w:type="dxa"/>
            <w:tcBorders>
              <w:tl2br w:val="nil"/>
              <w:tr2bl w:val="nil"/>
            </w:tcBorders>
            <w:vAlign w:val="center"/>
          </w:tcPr>
          <w:p w14:paraId="2E352AEC">
            <w:pPr>
              <w:widowControl w:val="0"/>
              <w:autoSpaceDE w:val="0"/>
              <w:autoSpaceDN w:val="0"/>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b/>
                <w:bCs/>
                <w:color w:val="000000" w:themeColor="text1"/>
                <w:sz w:val="18"/>
                <w:szCs w:val="18"/>
                <w:lang w:eastAsia="en-US"/>
                <w14:textFill>
                  <w14:solidFill>
                    <w14:schemeClr w14:val="tx1"/>
                  </w14:solidFill>
                </w14:textFill>
              </w:rPr>
              <w:t>本项目情况</w:t>
            </w:r>
          </w:p>
        </w:tc>
        <w:tc>
          <w:tcPr>
            <w:tcW w:w="706" w:type="dxa"/>
            <w:tcBorders>
              <w:tl2br w:val="nil"/>
              <w:tr2bl w:val="nil"/>
            </w:tcBorders>
            <w:vAlign w:val="center"/>
          </w:tcPr>
          <w:p w14:paraId="48BC6C03">
            <w:pPr>
              <w:widowControl w:val="0"/>
              <w:autoSpaceDE w:val="0"/>
              <w:autoSpaceDN w:val="0"/>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b/>
                <w:bCs/>
                <w:color w:val="000000" w:themeColor="text1"/>
                <w:sz w:val="18"/>
                <w:szCs w:val="18"/>
                <w:lang w:eastAsia="en-US"/>
                <w14:textFill>
                  <w14:solidFill>
                    <w14:schemeClr w14:val="tx1"/>
                  </w14:solidFill>
                </w14:textFill>
              </w:rPr>
              <w:t>符合性</w:t>
            </w:r>
          </w:p>
        </w:tc>
      </w:tr>
      <w:tr w14:paraId="77DC86D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87" w:hRule="atLeast"/>
          <w:jc w:val="center"/>
        </w:trPr>
        <w:tc>
          <w:tcPr>
            <w:tcW w:w="452" w:type="dxa"/>
            <w:tcBorders>
              <w:tl2br w:val="nil"/>
              <w:tr2bl w:val="nil"/>
            </w:tcBorders>
            <w:vAlign w:val="center"/>
          </w:tcPr>
          <w:p w14:paraId="3375AA15">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4465" w:type="dxa"/>
            <w:tcBorders>
              <w:tl2br w:val="nil"/>
              <w:tr2bl w:val="nil"/>
            </w:tcBorders>
            <w:vAlign w:val="center"/>
          </w:tcPr>
          <w:p w14:paraId="440ABEC5">
            <w:pPr>
              <w:widowControl/>
              <w:numPr>
                <w:ilvl w:val="0"/>
                <w:numId w:val="17"/>
              </w:numPr>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动物饲养场、动物隔离场所、动物屠宰加工场所以及动物和动物产品无害化处理场所应当符合下列条件：</w:t>
            </w:r>
          </w:p>
          <w:p w14:paraId="6B456EEB">
            <w:pPr>
              <w:widowControl/>
              <w:numPr>
                <w:ilvl w:val="0"/>
                <w:numId w:val="18"/>
              </w:numPr>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各场所之间，各场所与动物诊疗场所、居民生活区、生活饮用水水源地、学校、医院等公共场所之间保持必要的距离；</w:t>
            </w:r>
          </w:p>
          <w:p w14:paraId="61BD2807">
            <w:pPr>
              <w:widowControl/>
              <w:numPr>
                <w:ilvl w:val="0"/>
                <w:numId w:val="18"/>
              </w:numPr>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场区周围建有围墙等隔离设施；场区出入口处设置运输车辆消毒通道或者消毒池，并单独设置人员消毒通道；生产经营区与生活办公区分开，并有隔离设施；生产经营区入口处设置人员更衣消毒室；</w:t>
            </w:r>
          </w:p>
          <w:p w14:paraId="30B57BB8">
            <w:pPr>
              <w:widowControl/>
              <w:numPr>
                <w:ilvl w:val="0"/>
                <w:numId w:val="18"/>
              </w:numPr>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配备与其生产经营规模相适应的执业兽医或者动物防疫技术人员；</w:t>
            </w:r>
          </w:p>
          <w:p w14:paraId="3D582041">
            <w:pPr>
              <w:widowControl/>
              <w:numPr>
                <w:ilvl w:val="0"/>
                <w:numId w:val="18"/>
              </w:numPr>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配备与其生产经营规模相适应的污水、污物处理设施，清洗消毒设施设备，以及必要的防鼠、防鸟、防虫设施设备；</w:t>
            </w:r>
          </w:p>
          <w:p w14:paraId="78DA325B">
            <w:pPr>
              <w:widowControl/>
              <w:numPr>
                <w:ilvl w:val="0"/>
                <w:numId w:val="18"/>
              </w:numPr>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建立隔离消毒、购销台账、日常巡查等动物防疫制度。</w:t>
            </w:r>
          </w:p>
        </w:tc>
        <w:tc>
          <w:tcPr>
            <w:tcW w:w="2885" w:type="dxa"/>
            <w:tcBorders>
              <w:tl2br w:val="nil"/>
              <w:tr2bl w:val="nil"/>
            </w:tcBorders>
            <w:vAlign w:val="center"/>
          </w:tcPr>
          <w:p w14:paraId="65CAB79B">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本项目与居民生活区、生活饮用水水源地、学校、医院等公共场所之间距离较远。</w:t>
            </w:r>
          </w:p>
          <w:p w14:paraId="2CF29A8A">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场区周围建有围墙，场区出入口处设置运输车辆消毒池，并单独设置人员消毒通道；生产经营区与生活办公区分开，并有隔离设施；生产经营区入口处设置人员更衣消毒室。</w:t>
            </w:r>
          </w:p>
          <w:p w14:paraId="721F62D1">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配备与其生产经营规模相适应的执业兽医或者动物防疫技术人员。</w:t>
            </w:r>
          </w:p>
          <w:p w14:paraId="391EDF17">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项目采用发酵床养殖工艺，项目无养殖废水处理设施。项目配置清洗消毒设施设备，以及必要的防鼠、防鸟、防虫设施设备。</w:t>
            </w:r>
          </w:p>
          <w:p w14:paraId="7061563C">
            <w:pPr>
              <w:widowControl/>
              <w:autoSpaceDE w:val="0"/>
              <w:autoSpaceDN w:val="0"/>
              <w:ind w:firstLine="360" w:firstLineChars="200"/>
              <w:jc w:val="left"/>
              <w:rPr>
                <w:rFonts w:ascii="Times New Roman" w:hAnsi="Times New Roman" w:eastAsia="宋体"/>
                <w:color w:val="000000" w:themeColor="text1"/>
                <w:sz w:val="18"/>
                <w:szCs w:val="18"/>
                <w:highlight w:val="magenta"/>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建立隔离消毒、购销台账、日常巡查等动物防疫制度。</w:t>
            </w:r>
          </w:p>
        </w:tc>
        <w:tc>
          <w:tcPr>
            <w:tcW w:w="706" w:type="dxa"/>
            <w:tcBorders>
              <w:tl2br w:val="nil"/>
              <w:tr2bl w:val="nil"/>
            </w:tcBorders>
            <w:vAlign w:val="center"/>
          </w:tcPr>
          <w:p w14:paraId="613636AD">
            <w:pPr>
              <w:widowControl w:val="0"/>
              <w:autoSpaceDE w:val="0"/>
              <w:autoSpaceDN w:val="0"/>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符合</w:t>
            </w:r>
          </w:p>
        </w:tc>
      </w:tr>
      <w:tr w14:paraId="1FFA86D3">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52" w:type="dxa"/>
            <w:tcBorders>
              <w:tl2br w:val="nil"/>
              <w:tr2bl w:val="nil"/>
            </w:tcBorders>
            <w:vAlign w:val="center"/>
          </w:tcPr>
          <w:p w14:paraId="622E4AA3">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4465" w:type="dxa"/>
            <w:tcBorders>
              <w:tl2br w:val="nil"/>
              <w:tr2bl w:val="nil"/>
            </w:tcBorders>
            <w:vAlign w:val="center"/>
          </w:tcPr>
          <w:p w14:paraId="24F2295B">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第七条　动物饲养场除符合本办法第六条规定外，还应当符合下列条件：</w:t>
            </w:r>
          </w:p>
          <w:p w14:paraId="79294F3D">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（一）设置配备疫苗冷藏冷冻设备、消毒和诊疗等防疫设备的兽医室；</w:t>
            </w:r>
          </w:p>
          <w:p w14:paraId="40D1C66E">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（二）生产区清洁道、污染道分设；具有相对独立的动物隔离舍；</w:t>
            </w:r>
          </w:p>
          <w:p w14:paraId="4AB639C2">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（三）配备符合国家规定的病死动物和病害动物产品无害化处理设施设备或者冷藏冷冻等暂存设施设备；</w:t>
            </w:r>
          </w:p>
          <w:p w14:paraId="4BD2B279">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（四）建立免疫、用药、检疫申报、疫情报告、无害化处理、畜禽标识及养殖档案管理等动物防疫制度。</w:t>
            </w:r>
          </w:p>
          <w:p w14:paraId="6D15B47B">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种畜禽场除符合本条第一款、第二款规定外，还应当有国家规定的动物疫病的净化制度；有动物精液、卵、胚胎采集等生产需要的，应当设置独立的区域。</w:t>
            </w:r>
          </w:p>
        </w:tc>
        <w:tc>
          <w:tcPr>
            <w:tcW w:w="2885" w:type="dxa"/>
            <w:tcBorders>
              <w:tl2br w:val="nil"/>
              <w:tr2bl w:val="nil"/>
            </w:tcBorders>
            <w:vAlign w:val="center"/>
          </w:tcPr>
          <w:p w14:paraId="74B9BB6E">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本项目设置疫苗冷藏冷冻设备、消毒和诊疗等防疫设备的药品室；生产区清洁道、污染道分设；具有相对独立的动物隔离舍；</w:t>
            </w:r>
          </w:p>
          <w:p w14:paraId="145868C5">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项目病死牛委托</w:t>
            </w:r>
            <w:bookmarkStart w:id="31" w:name="OLE_LINK28"/>
            <w:bookmarkStart w:id="32" w:name="OLE_LINK29"/>
            <w:r>
              <w:rPr>
                <w:rFonts w:ascii="Times New Roman" w:hAnsi="Times New Roman" w:eastAsia="宋体"/>
                <w:color w:val="000000" w:themeColor="text1"/>
                <w:sz w:val="18"/>
                <w:szCs w:val="18"/>
                <w:lang w:eastAsia="zh-CN"/>
                <w14:textFill>
                  <w14:solidFill>
                    <w14:schemeClr w14:val="tx1"/>
                  </w14:solidFill>
                </w14:textFill>
              </w:rPr>
              <w:t>四川科农动物无害化处理有限公司</w:t>
            </w:r>
            <w:bookmarkEnd w:id="31"/>
            <w:bookmarkEnd w:id="32"/>
            <w:r>
              <w:rPr>
                <w:rFonts w:ascii="Times New Roman" w:hAnsi="Times New Roman" w:eastAsia="宋体"/>
                <w:color w:val="000000" w:themeColor="text1"/>
                <w:sz w:val="18"/>
                <w:szCs w:val="18"/>
                <w:lang w:eastAsia="zh-CN"/>
                <w14:textFill>
                  <w14:solidFill>
                    <w14:schemeClr w14:val="tx1"/>
                  </w14:solidFill>
                </w14:textFill>
              </w:rPr>
              <w:t>清运处置。</w:t>
            </w:r>
          </w:p>
          <w:p w14:paraId="1EB80025">
            <w:pPr>
              <w:widowControl/>
              <w:autoSpaceDE w:val="0"/>
              <w:autoSpaceDN w:val="0"/>
              <w:ind w:firstLine="360" w:firstLineChars="200"/>
              <w:jc w:val="left"/>
              <w:rPr>
                <w:rFonts w:ascii="Times New Roman" w:hAnsi="Times New Roman" w:eastAsia="宋体"/>
                <w:color w:val="000000" w:themeColor="text1"/>
                <w:sz w:val="18"/>
                <w:szCs w:val="18"/>
                <w:highlight w:val="magenta"/>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建立免疫、用药、检疫申报、疫情报告、无害化处理、畜禽标识及养殖档案管理等动物防疫制度。</w:t>
            </w:r>
          </w:p>
        </w:tc>
        <w:tc>
          <w:tcPr>
            <w:tcW w:w="706" w:type="dxa"/>
            <w:tcBorders>
              <w:tl2br w:val="nil"/>
              <w:tr2bl w:val="nil"/>
            </w:tcBorders>
            <w:vAlign w:val="center"/>
          </w:tcPr>
          <w:p w14:paraId="13EA5639">
            <w:pPr>
              <w:widowControl w:val="0"/>
              <w:autoSpaceDE w:val="0"/>
              <w:autoSpaceDN w:val="0"/>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符合</w:t>
            </w:r>
          </w:p>
        </w:tc>
      </w:tr>
      <w:tr w14:paraId="2A58C59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874" w:hRule="atLeast"/>
          <w:jc w:val="center"/>
        </w:trPr>
        <w:tc>
          <w:tcPr>
            <w:tcW w:w="452" w:type="dxa"/>
            <w:tcBorders>
              <w:tl2br w:val="nil"/>
              <w:tr2bl w:val="nil"/>
            </w:tcBorders>
            <w:vAlign w:val="center"/>
          </w:tcPr>
          <w:p w14:paraId="69131661">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4465" w:type="dxa"/>
            <w:tcBorders>
              <w:tl2br w:val="nil"/>
              <w:tr2bl w:val="nil"/>
            </w:tcBorders>
            <w:vAlign w:val="center"/>
          </w:tcPr>
          <w:p w14:paraId="1C4E7D41">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第八条　动物隔离场所除符合本办法第六条规定外，还应当符合下列条件：</w:t>
            </w:r>
          </w:p>
          <w:p w14:paraId="0A27DD51">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（一）饲养区内设置配备疫苗冷藏冷冻设备、消毒和诊疗等防疫设备的兽医室；</w:t>
            </w:r>
          </w:p>
          <w:p w14:paraId="36621078">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（二）饲养区内清洁道、污染道分设；</w:t>
            </w:r>
          </w:p>
          <w:p w14:paraId="6B1E8D3B">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（三）配备符合国家规定的病死动物和病害动物产品无害化处理设施设备或者冷藏冷冻等暂存设施设备；</w:t>
            </w:r>
          </w:p>
          <w:p w14:paraId="0E1CEEC6">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（四）建立动物进出登记、免疫、用药、疫情报告、无害化处理等动物防疫制度。</w:t>
            </w:r>
          </w:p>
        </w:tc>
        <w:tc>
          <w:tcPr>
            <w:tcW w:w="2885" w:type="dxa"/>
            <w:tcBorders>
              <w:tl2br w:val="nil"/>
              <w:tr2bl w:val="nil"/>
            </w:tcBorders>
            <w:vAlign w:val="center"/>
          </w:tcPr>
          <w:p w14:paraId="0700C96C">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本项目设置配备疫苗冷藏冷冻设备、消毒和诊疗等防疫设备的药品室；饲养区内清洁道、污染道分设；</w:t>
            </w:r>
          </w:p>
          <w:p w14:paraId="443BDD25">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项目病死牛委托四川科农动物无害化处理有限公司清运处置。</w:t>
            </w:r>
          </w:p>
          <w:p w14:paraId="479FB506">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建立动物进出登记、免疫、用药、疫情报告、无害化处理等动物防疫制度。</w:t>
            </w:r>
          </w:p>
        </w:tc>
        <w:tc>
          <w:tcPr>
            <w:tcW w:w="706" w:type="dxa"/>
            <w:tcBorders>
              <w:tl2br w:val="nil"/>
              <w:tr2bl w:val="nil"/>
            </w:tcBorders>
            <w:vAlign w:val="center"/>
          </w:tcPr>
          <w:p w14:paraId="54F08630">
            <w:pPr>
              <w:widowControl w:val="0"/>
              <w:autoSpaceDE w:val="0"/>
              <w:autoSpaceDN w:val="0"/>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符合</w:t>
            </w:r>
          </w:p>
        </w:tc>
      </w:tr>
      <w:tr w14:paraId="0A5D68ED">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29" w:hRule="atLeast"/>
          <w:jc w:val="center"/>
        </w:trPr>
        <w:tc>
          <w:tcPr>
            <w:tcW w:w="452" w:type="dxa"/>
            <w:tcBorders>
              <w:tl2br w:val="nil"/>
              <w:tr2bl w:val="nil"/>
            </w:tcBorders>
            <w:vAlign w:val="center"/>
          </w:tcPr>
          <w:p w14:paraId="2AA01542">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4</w:t>
            </w:r>
          </w:p>
        </w:tc>
        <w:tc>
          <w:tcPr>
            <w:tcW w:w="4465" w:type="dxa"/>
            <w:tcBorders>
              <w:tl2br w:val="nil"/>
              <w:tr2bl w:val="nil"/>
            </w:tcBorders>
            <w:vAlign w:val="center"/>
          </w:tcPr>
          <w:p w14:paraId="5A5C46B0">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第十条　动物和动物产品无害化处理场所除符合本办法第六条规定外，还应当符合下列条件：</w:t>
            </w:r>
          </w:p>
          <w:p w14:paraId="2110B33E">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（一）无害化处理区内设置无害化处理间、冷库；</w:t>
            </w:r>
          </w:p>
          <w:p w14:paraId="18B91B2E">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（二）配备与其处理规模相适应的病死动物和病害动物产品的无害化处理设施设备，符合农业农村部规定条件的专用运输车辆，以及相关病原检测设备，或者委托有资质的单位开展检测；</w:t>
            </w:r>
          </w:p>
          <w:p w14:paraId="10547C65">
            <w:pPr>
              <w:widowControl/>
              <w:autoSpaceDE w:val="0"/>
              <w:autoSpaceDN w:val="0"/>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（三）建立病死动物和病害动物产品入场登记、无害化处理记录、病原检测、处理产物流向登记、人员防护等动物防疫制度</w:t>
            </w:r>
          </w:p>
        </w:tc>
        <w:tc>
          <w:tcPr>
            <w:tcW w:w="2885" w:type="dxa"/>
            <w:tcBorders>
              <w:tl2br w:val="nil"/>
              <w:tr2bl w:val="nil"/>
            </w:tcBorders>
            <w:vAlign w:val="center"/>
          </w:tcPr>
          <w:p w14:paraId="1434E983">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病死牛委托四川科农动物无害化处理有限公司清运处置，符合农业农村部规定条件的专用运输车辆；建立病死动物和病害动物入场登记、无害化处理记录、病原检测、处理产物流向登记、人员防护等动物防疫制度。</w:t>
            </w:r>
          </w:p>
        </w:tc>
        <w:tc>
          <w:tcPr>
            <w:tcW w:w="706" w:type="dxa"/>
            <w:tcBorders>
              <w:tl2br w:val="nil"/>
              <w:tr2bl w:val="nil"/>
            </w:tcBorders>
            <w:vAlign w:val="center"/>
          </w:tcPr>
          <w:p w14:paraId="4CEF109E">
            <w:pPr>
              <w:widowControl w:val="0"/>
              <w:autoSpaceDE w:val="0"/>
              <w:autoSpaceDN w:val="0"/>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符合</w:t>
            </w:r>
          </w:p>
        </w:tc>
      </w:tr>
    </w:tbl>
    <w:p w14:paraId="3C8EF250">
      <w:pPr>
        <w:spacing w:before="182" w:line="347" w:lineRule="auto"/>
        <w:ind w:left="48" w:right="96" w:firstLine="465"/>
        <w:rPr>
          <w:color w:val="000000" w:themeColor="text1"/>
          <w:spacing w:val="4"/>
          <w:sz w:val="24"/>
          <w14:textFill>
            <w14:solidFill>
              <w14:schemeClr w14:val="tx1"/>
            </w14:solidFill>
          </w14:textFill>
        </w:rPr>
      </w:pPr>
      <w:r>
        <w:rPr>
          <w:color w:val="000000" w:themeColor="text1"/>
          <w:spacing w:val="4"/>
          <w:sz w:val="24"/>
          <w14:textFill>
            <w14:solidFill>
              <w14:schemeClr w14:val="tx1"/>
            </w14:solidFill>
          </w14:textFill>
        </w:rPr>
        <w:t>综上，本项目与《动物防疫条件审查办法》（农业农村部令2022年第8号）要求相符合。</w:t>
      </w:r>
    </w:p>
    <w:p w14:paraId="52F2B2F7">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（13）与</w:t>
      </w:r>
      <w:r>
        <w:rPr>
          <w:b/>
          <w:bCs/>
          <w:color w:val="000000" w:themeColor="text1"/>
          <w:spacing w:val="-1"/>
          <w14:textFill>
            <w14:solidFill>
              <w14:schemeClr w14:val="tx1"/>
            </w14:solidFill>
          </w14:textFill>
        </w:rPr>
        <w:t>《关于加快推进畜禽养殖废弃物资源化利用的实施意见》（川办发〔2017〕99号）</w:t>
      </w:r>
      <w:r>
        <w:rPr>
          <w:b/>
          <w:bCs/>
          <w:color w:val="000000" w:themeColor="text1"/>
          <w:kern w:val="0"/>
          <w:lang w:val="en-US" w:bidi="ar"/>
          <w14:textFill>
            <w14:solidFill>
              <w14:schemeClr w14:val="tx1"/>
            </w14:solidFill>
          </w14:textFill>
        </w:rPr>
        <w:t>符合性</w:t>
      </w:r>
    </w:p>
    <w:p w14:paraId="43C887A5">
      <w:pPr>
        <w:pStyle w:val="21"/>
        <w:ind w:firstLine="480" w:firstLineChars="200"/>
        <w:jc w:val="left"/>
        <w:rPr>
          <w:color w:val="000000" w:themeColor="text1"/>
          <w:kern w:val="0"/>
          <w:szCs w:val="24"/>
          <w:lang w:bidi="ar"/>
          <w14:textFill>
            <w14:solidFill>
              <w14:schemeClr w14:val="tx1"/>
            </w14:solidFill>
          </w14:textFill>
        </w:rPr>
      </w:pPr>
      <w:r>
        <w:rPr>
          <w:b w:val="0"/>
          <w:bCs w:val="0"/>
          <w:color w:val="000000" w:themeColor="text1"/>
          <w:kern w:val="0"/>
          <w:szCs w:val="24"/>
          <w:lang w:bidi="ar"/>
          <w14:textFill>
            <w14:solidFill>
              <w14:schemeClr w14:val="tx1"/>
            </w14:solidFill>
          </w14:textFill>
        </w:rPr>
        <w:t>项目与《关于加快推进畜禽养殖废弃物资源化利用的实施意见》（川办发〔2017〕99号）相关要求的符合性见下表。</w:t>
      </w:r>
    </w:p>
    <w:p w14:paraId="7F089D94">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项目与《关于加快推进畜禽养殖废弃物资源化利用的实施意见》的符合性</w:t>
      </w:r>
    </w:p>
    <w:p w14:paraId="08923267">
      <w:pPr>
        <w:spacing w:line="143" w:lineRule="auto"/>
        <w:rPr>
          <w:color w:val="000000" w:themeColor="text1"/>
          <w:sz w:val="2"/>
          <w14:textFill>
            <w14:solidFill>
              <w14:schemeClr w14:val="tx1"/>
            </w14:solidFill>
          </w14:textFill>
        </w:rPr>
      </w:pPr>
    </w:p>
    <w:tbl>
      <w:tblPr>
        <w:tblStyle w:val="1745"/>
        <w:tblW w:w="8565" w:type="dxa"/>
        <w:jc w:val="center"/>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820"/>
        <w:gridCol w:w="4125"/>
        <w:gridCol w:w="2930"/>
        <w:gridCol w:w="690"/>
      </w:tblGrid>
      <w:tr w14:paraId="2B1789D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20" w:type="dxa"/>
            <w:tcBorders>
              <w:tl2br w:val="nil"/>
              <w:tr2bl w:val="nil"/>
            </w:tcBorders>
            <w:vAlign w:val="center"/>
          </w:tcPr>
          <w:p w14:paraId="6BA441CD">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序号</w:t>
            </w:r>
          </w:p>
        </w:tc>
        <w:tc>
          <w:tcPr>
            <w:tcW w:w="4125" w:type="dxa"/>
            <w:tcBorders>
              <w:tl2br w:val="nil"/>
              <w:tr2bl w:val="nil"/>
            </w:tcBorders>
            <w:vAlign w:val="center"/>
          </w:tcPr>
          <w:p w14:paraId="177D5202">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《关于加快推进畜禽养殖废弃物资源化利用的实施意见》的相关要求</w:t>
            </w:r>
          </w:p>
        </w:tc>
        <w:tc>
          <w:tcPr>
            <w:tcW w:w="2930" w:type="dxa"/>
            <w:tcBorders>
              <w:tl2br w:val="nil"/>
              <w:tr2bl w:val="nil"/>
            </w:tcBorders>
            <w:vAlign w:val="center"/>
          </w:tcPr>
          <w:p w14:paraId="3DBFC602">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90" w:type="dxa"/>
            <w:tcBorders>
              <w:tl2br w:val="nil"/>
              <w:tr2bl w:val="nil"/>
            </w:tcBorders>
            <w:vAlign w:val="center"/>
          </w:tcPr>
          <w:p w14:paraId="011C05CF">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0E09538D">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82" w:hRule="atLeast"/>
          <w:jc w:val="center"/>
        </w:trPr>
        <w:tc>
          <w:tcPr>
            <w:tcW w:w="820" w:type="dxa"/>
            <w:tcBorders>
              <w:tl2br w:val="nil"/>
              <w:tr2bl w:val="nil"/>
            </w:tcBorders>
            <w:vAlign w:val="center"/>
          </w:tcPr>
          <w:p w14:paraId="410F4343">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4125" w:type="dxa"/>
            <w:tcBorders>
              <w:tl2br w:val="nil"/>
              <w:tr2bl w:val="nil"/>
            </w:tcBorders>
            <w:vAlign w:val="center"/>
          </w:tcPr>
          <w:p w14:paraId="01943DFE">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（四）落实畜禽规模养殖环评制度。</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设有固定排污口的畜禽规模养殖场应依法申请排污许可证。对未依法进行环境影响评价的畜禽规模养殖场，环保部门予以处罚。</w:t>
            </w:r>
          </w:p>
        </w:tc>
        <w:tc>
          <w:tcPr>
            <w:tcW w:w="2930" w:type="dxa"/>
            <w:tcBorders>
              <w:tl2br w:val="nil"/>
              <w:tr2bl w:val="nil"/>
            </w:tcBorders>
            <w:vAlign w:val="center"/>
          </w:tcPr>
          <w:p w14:paraId="2F1AF092">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本项目属于新建项目，严格按照相关要求进行环评工作。环评要求，本项目建成运营时，应按照环保要求进行排污许可证申报。</w:t>
            </w:r>
          </w:p>
        </w:tc>
        <w:tc>
          <w:tcPr>
            <w:tcW w:w="690" w:type="dxa"/>
            <w:tcBorders>
              <w:tl2br w:val="nil"/>
              <w:tr2bl w:val="nil"/>
            </w:tcBorders>
            <w:vAlign w:val="center"/>
          </w:tcPr>
          <w:p w14:paraId="378BECD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7BB871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862" w:hRule="atLeast"/>
          <w:jc w:val="center"/>
        </w:trPr>
        <w:tc>
          <w:tcPr>
            <w:tcW w:w="820" w:type="dxa"/>
            <w:tcBorders>
              <w:tl2br w:val="nil"/>
              <w:tr2bl w:val="nil"/>
            </w:tcBorders>
            <w:vAlign w:val="center"/>
          </w:tcPr>
          <w:p w14:paraId="16D711CE">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4125" w:type="dxa"/>
            <w:tcBorders>
              <w:tl2br w:val="nil"/>
              <w:tr2bl w:val="nil"/>
            </w:tcBorders>
            <w:vAlign w:val="center"/>
          </w:tcPr>
          <w:p w14:paraId="53D2CD8C">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五）强化畜禽养殖污染监管。加强畜禽养殖信息化管理，完善监管体系，建立畜禽规模养殖场直联直报信息系统。建立畜禽规模养殖场废弃物减排核算制度，制定畜禽养殖粪污土地承载能力测算方法，改革完善畜禽粪污产生、排放统计核算方法，对畜禽粪污全部还田利用的畜禽规模养殖场，将无害化还田利用量作为统计污染物削减量的重要依据。对畜禽养殖中产生的废弃物种类、数量、综合利用、无害化处理以及向环境直接排放的情况实行定期登记备案。</w:t>
            </w:r>
          </w:p>
        </w:tc>
        <w:tc>
          <w:tcPr>
            <w:tcW w:w="2930" w:type="dxa"/>
            <w:tcBorders>
              <w:tl2br w:val="nil"/>
              <w:tr2bl w:val="nil"/>
            </w:tcBorders>
            <w:vAlign w:val="center"/>
          </w:tcPr>
          <w:p w14:paraId="59245929">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p w14:paraId="627D69E9">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环评要求项目建成后，粪污处置过程按要求建立台账。</w:t>
            </w:r>
          </w:p>
        </w:tc>
        <w:tc>
          <w:tcPr>
            <w:tcW w:w="690" w:type="dxa"/>
            <w:tcBorders>
              <w:tl2br w:val="nil"/>
              <w:tr2bl w:val="nil"/>
            </w:tcBorders>
            <w:vAlign w:val="center"/>
          </w:tcPr>
          <w:p w14:paraId="0054FEB1">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86B281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051" w:hRule="atLeast"/>
          <w:jc w:val="center"/>
        </w:trPr>
        <w:tc>
          <w:tcPr>
            <w:tcW w:w="820" w:type="dxa"/>
            <w:tcBorders>
              <w:tl2br w:val="nil"/>
              <w:tr2bl w:val="nil"/>
            </w:tcBorders>
            <w:vAlign w:val="center"/>
          </w:tcPr>
          <w:p w14:paraId="503B7A4B">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4125" w:type="dxa"/>
            <w:tcBorders>
              <w:tl2br w:val="nil"/>
              <w:tr2bl w:val="nil"/>
            </w:tcBorders>
            <w:vAlign w:val="center"/>
          </w:tcPr>
          <w:p w14:paraId="14CF62CB">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九）强化规模养殖场主体责任。督促畜禽规模养殖场切实履行环境保护主体责任，按要求建设污染防治配套设施并保持正常运行，或者委托第三方进行粪污处理。新建或改（扩）建畜禽规模养殖场，必须配套与养殖规模和处理工艺相适应的粪污消纳用地，配备废弃物收集、贮存、处理、利用设施，已经委托他人对畜禽养殖废弃物代为综合利用和无害化处理的，可不再自行建设综合利用和无害化处理设施。</w:t>
            </w:r>
          </w:p>
        </w:tc>
        <w:tc>
          <w:tcPr>
            <w:tcW w:w="2930" w:type="dxa"/>
            <w:tcBorders>
              <w:tl2br w:val="nil"/>
              <w:tr2bl w:val="nil"/>
            </w:tcBorders>
            <w:vAlign w:val="center"/>
          </w:tcPr>
          <w:p w14:paraId="730DCD86">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项目采用发酵床养殖工艺，粪尿直接排泄到垫料上，废弃垫料外运至有机肥厂无害化处理后生产有机肥，实现粪污资源化利用。</w:t>
            </w:r>
          </w:p>
        </w:tc>
        <w:tc>
          <w:tcPr>
            <w:tcW w:w="690" w:type="dxa"/>
            <w:tcBorders>
              <w:tl2br w:val="nil"/>
              <w:tr2bl w:val="nil"/>
            </w:tcBorders>
            <w:vAlign w:val="center"/>
          </w:tcPr>
          <w:p w14:paraId="73928E54">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21ED289C">
      <w:pPr>
        <w:spacing w:before="182" w:line="347" w:lineRule="auto"/>
        <w:ind w:left="48" w:right="96" w:firstLine="465"/>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综上，本项目符合《关于加快推进畜禽养殖废弃物资源化利用的实施意见》（川办发〔2017〕99号）的相关要求。</w:t>
      </w:r>
    </w:p>
    <w:p w14:paraId="223BBBFF">
      <w:pPr>
        <w:pStyle w:val="75"/>
        <w:numPr>
          <w:ilvl w:val="0"/>
          <w:numId w:val="19"/>
        </w:numPr>
        <w:adjustRightInd w:val="0"/>
        <w:snapToGrid w:val="0"/>
        <w:spacing w:line="360" w:lineRule="auto"/>
        <w:ind w:firstLine="478" w:firstLineChars="200"/>
        <w:jc w:val="both"/>
        <w:rPr>
          <w:b/>
          <w:bCs/>
          <w:color w:val="000000" w:themeColor="text1"/>
          <w:spacing w:val="-1"/>
          <w14:textFill>
            <w14:solidFill>
              <w14:schemeClr w14:val="tx1"/>
            </w14:solidFill>
          </w14:textFill>
        </w:rPr>
      </w:pPr>
      <w:r>
        <w:rPr>
          <w:b/>
          <w:bCs/>
          <w:color w:val="000000" w:themeColor="text1"/>
          <w:spacing w:val="-1"/>
          <w14:textFill>
            <w14:solidFill>
              <w14:schemeClr w14:val="tx1"/>
            </w14:solidFill>
          </w14:textFill>
        </w:rPr>
        <w:t>与《四川省畜禽养殖污染防治技术指南（试行）》(川农业函〔2017〕647号)的符合性</w:t>
      </w:r>
    </w:p>
    <w:p w14:paraId="68A7D883">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与《四川省畜禽养殖污染防治技术指南（试行）》符合性</w:t>
      </w:r>
    </w:p>
    <w:tbl>
      <w:tblPr>
        <w:tblStyle w:val="1745"/>
        <w:tblpPr w:leftFromText="180" w:rightFromText="180" w:vertAnchor="text" w:horzAnchor="page" w:tblpXSpec="center" w:tblpY="80"/>
        <w:tblOverlap w:val="never"/>
        <w:tblW w:w="8478" w:type="dxa"/>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67"/>
        <w:gridCol w:w="4253"/>
        <w:gridCol w:w="3002"/>
        <w:gridCol w:w="656"/>
      </w:tblGrid>
      <w:tr w14:paraId="2FB5299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567" w:type="dxa"/>
            <w:tcBorders>
              <w:tl2br w:val="nil"/>
              <w:tr2bl w:val="nil"/>
            </w:tcBorders>
            <w:vAlign w:val="center"/>
          </w:tcPr>
          <w:p w14:paraId="0A2A003F">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序号</w:t>
            </w:r>
          </w:p>
        </w:tc>
        <w:tc>
          <w:tcPr>
            <w:tcW w:w="4253" w:type="dxa"/>
            <w:tcBorders>
              <w:tl2br w:val="nil"/>
              <w:tr2bl w:val="nil"/>
            </w:tcBorders>
            <w:vAlign w:val="center"/>
          </w:tcPr>
          <w:p w14:paraId="08581E86">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《四川省畜禽养殖污染防治技术指南（试行）》的相关要求</w:t>
            </w:r>
          </w:p>
        </w:tc>
        <w:tc>
          <w:tcPr>
            <w:tcW w:w="3002" w:type="dxa"/>
            <w:tcBorders>
              <w:tl2br w:val="nil"/>
              <w:tr2bl w:val="nil"/>
            </w:tcBorders>
            <w:vAlign w:val="center"/>
          </w:tcPr>
          <w:p w14:paraId="37979F8C">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56" w:type="dxa"/>
            <w:tcBorders>
              <w:tl2br w:val="nil"/>
              <w:tr2bl w:val="nil"/>
            </w:tcBorders>
            <w:vAlign w:val="center"/>
          </w:tcPr>
          <w:p w14:paraId="4ED07F6C">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34860114">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550" w:hRule="atLeast"/>
          <w:jc w:val="center"/>
        </w:trPr>
        <w:tc>
          <w:tcPr>
            <w:tcW w:w="567" w:type="dxa"/>
            <w:tcBorders>
              <w:tl2br w:val="nil"/>
              <w:tr2bl w:val="nil"/>
            </w:tcBorders>
            <w:vAlign w:val="center"/>
          </w:tcPr>
          <w:p w14:paraId="5409CAD7">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4253" w:type="dxa"/>
            <w:tcBorders>
              <w:tl2br w:val="nil"/>
              <w:tr2bl w:val="nil"/>
            </w:tcBorders>
            <w:vAlign w:val="center"/>
          </w:tcPr>
          <w:p w14:paraId="16B78867">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养殖场（小区）应布局生活管理区、生产区、辅助生产区和资源化利用区（含隔离区）。粪便污水处理设施和畜禽尸体焚烧炉应在养殖场的常年主导风向的下风向或侧风向处；养殖场的排水系统应实行雨水和污水收集输送系统分离，在场区内外设置的污水收集输送系统，不得采取明沟布设。</w:t>
            </w:r>
          </w:p>
        </w:tc>
        <w:tc>
          <w:tcPr>
            <w:tcW w:w="3002" w:type="dxa"/>
            <w:tcBorders>
              <w:tl2br w:val="nil"/>
              <w:tr2bl w:val="nil"/>
            </w:tcBorders>
            <w:vAlign w:val="center"/>
          </w:tcPr>
          <w:p w14:paraId="19F89948">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本项目已合理分区布局，项目肉牛养殖采用发酵床养殖工艺。</w:t>
            </w:r>
          </w:p>
          <w:p w14:paraId="711D2C08">
            <w:pPr>
              <w:widowControl w:val="0"/>
              <w:autoSpaceDE w:val="0"/>
              <w:autoSpaceDN w:val="0"/>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本项目病死牛委托四川科农动物无害化处理有限公司清运处置。不涉及填埋井，不设置畜禽尸体焚烧炉。</w:t>
            </w:r>
          </w:p>
        </w:tc>
        <w:tc>
          <w:tcPr>
            <w:tcW w:w="656" w:type="dxa"/>
            <w:tcBorders>
              <w:tl2br w:val="nil"/>
              <w:tr2bl w:val="nil"/>
            </w:tcBorders>
            <w:vAlign w:val="center"/>
          </w:tcPr>
          <w:p w14:paraId="072F16B0">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0B3AF28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04" w:hRule="atLeast"/>
          <w:jc w:val="center"/>
        </w:trPr>
        <w:tc>
          <w:tcPr>
            <w:tcW w:w="567" w:type="dxa"/>
            <w:tcBorders>
              <w:tl2br w:val="nil"/>
              <w:tr2bl w:val="nil"/>
            </w:tcBorders>
            <w:vAlign w:val="center"/>
          </w:tcPr>
          <w:p w14:paraId="13E43D60">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4253" w:type="dxa"/>
            <w:tcBorders>
              <w:tl2br w:val="nil"/>
              <w:tr2bl w:val="nil"/>
            </w:tcBorders>
            <w:vAlign w:val="center"/>
          </w:tcPr>
          <w:p w14:paraId="36134EF0">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养殖场（小区）宜采取干法清粪工艺，采取有效措施将粪便和粪渣及时运至贮存或处理场所。粪便和粪渣单独清出，不可与尿、污水混合排出。养殖场（小区）应配套与养殖规模和处理工艺相适应的粪污消纳用地，配备必要的粪污收集、贮存、处理、利用和无害化处理设施。对于种养结合的养殖场，畜禽粪便贮存设施的总容积不得低于配套农林作物生产用肥的最大间隔时间内养殖场所产生粪便的总量</w:t>
            </w:r>
          </w:p>
        </w:tc>
        <w:tc>
          <w:tcPr>
            <w:tcW w:w="3002" w:type="dxa"/>
            <w:tcBorders>
              <w:tl2br w:val="nil"/>
              <w:tr2bl w:val="nil"/>
            </w:tcBorders>
            <w:vAlign w:val="center"/>
          </w:tcPr>
          <w:p w14:paraId="1DC81678">
            <w:pPr>
              <w:widowControl/>
              <w:autoSpaceDE/>
              <w:autoSpaceDN/>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tc>
        <w:tc>
          <w:tcPr>
            <w:tcW w:w="656" w:type="dxa"/>
            <w:tcBorders>
              <w:tl2br w:val="nil"/>
              <w:tr2bl w:val="nil"/>
            </w:tcBorders>
            <w:vAlign w:val="center"/>
          </w:tcPr>
          <w:p w14:paraId="2012C5CC">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41EB15C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172" w:hRule="atLeast"/>
          <w:jc w:val="center"/>
        </w:trPr>
        <w:tc>
          <w:tcPr>
            <w:tcW w:w="567" w:type="dxa"/>
            <w:tcBorders>
              <w:tl2br w:val="nil"/>
              <w:tr2bl w:val="nil"/>
            </w:tcBorders>
            <w:vAlign w:val="center"/>
          </w:tcPr>
          <w:p w14:paraId="6F7739EC">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4253" w:type="dxa"/>
            <w:tcBorders>
              <w:tl2br w:val="nil"/>
              <w:tr2bl w:val="nil"/>
            </w:tcBorders>
            <w:vAlign w:val="center"/>
          </w:tcPr>
          <w:p w14:paraId="4BF60FDD">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养殖场臭气的处理可采用物理、化学、生物除臭等多种方式进行处理。</w:t>
            </w:r>
          </w:p>
        </w:tc>
        <w:tc>
          <w:tcPr>
            <w:tcW w:w="3002" w:type="dxa"/>
            <w:tcBorders>
              <w:tl2br w:val="nil"/>
              <w:tr2bl w:val="nil"/>
            </w:tcBorders>
            <w:vAlign w:val="center"/>
          </w:tcPr>
          <w:p w14:paraId="39CB7850">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kern w:val="0"/>
                <w:sz w:val="18"/>
                <w:szCs w:val="18"/>
                <w:lang w:eastAsia="zh-CN" w:bidi="ar"/>
                <w14:textFill>
                  <w14:solidFill>
                    <w14:schemeClr w14:val="tx1"/>
                  </w14:solidFill>
                </w14:textFill>
              </w:rPr>
              <w:t>本项目牛舍采用加强舍内通风、采用发酵床技术，在饲料中添加益生菌，以及圈舍喷洒生物除臭剂的方式，厂区绿化等措施抑制或减少臭气的产生。</w:t>
            </w:r>
          </w:p>
        </w:tc>
        <w:tc>
          <w:tcPr>
            <w:tcW w:w="656" w:type="dxa"/>
            <w:tcBorders>
              <w:tl2br w:val="nil"/>
              <w:tr2bl w:val="nil"/>
            </w:tcBorders>
            <w:vAlign w:val="center"/>
          </w:tcPr>
          <w:p w14:paraId="4DD3658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4AAC2FE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922" w:hRule="atLeast"/>
          <w:jc w:val="center"/>
        </w:trPr>
        <w:tc>
          <w:tcPr>
            <w:tcW w:w="567" w:type="dxa"/>
            <w:tcBorders>
              <w:tl2br w:val="nil"/>
              <w:tr2bl w:val="nil"/>
            </w:tcBorders>
            <w:vAlign w:val="center"/>
          </w:tcPr>
          <w:p w14:paraId="72AE76E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4</w:t>
            </w:r>
          </w:p>
        </w:tc>
        <w:tc>
          <w:tcPr>
            <w:tcW w:w="4253" w:type="dxa"/>
            <w:tcBorders>
              <w:tl2br w:val="nil"/>
              <w:tr2bl w:val="nil"/>
            </w:tcBorders>
            <w:vAlign w:val="center"/>
          </w:tcPr>
          <w:p w14:paraId="2A14B4C5">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p>
          <w:p w14:paraId="7767A13C">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粪污通过漏缝地板进入底层或转移到舍外，利用垫料和微生物菌进行发酵分解。采用</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公司</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农户</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模式的家庭农场宜采用舍外发酵床模式，规模生猪养殖场宜采用高架发酵床模式。</w:t>
            </w:r>
          </w:p>
        </w:tc>
        <w:tc>
          <w:tcPr>
            <w:tcW w:w="3002" w:type="dxa"/>
            <w:tcBorders>
              <w:tl2br w:val="nil"/>
              <w:tr2bl w:val="nil"/>
            </w:tcBorders>
            <w:vAlign w:val="center"/>
          </w:tcPr>
          <w:p w14:paraId="5DA1796D">
            <w:pPr>
              <w:widowControl/>
              <w:autoSpaceDE/>
              <w:autoSpaceDN/>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tc>
        <w:tc>
          <w:tcPr>
            <w:tcW w:w="656" w:type="dxa"/>
            <w:tcBorders>
              <w:tl2br w:val="nil"/>
              <w:tr2bl w:val="nil"/>
            </w:tcBorders>
            <w:vAlign w:val="center"/>
          </w:tcPr>
          <w:p w14:paraId="16BC238A">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2B04955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822" w:hRule="atLeast"/>
          <w:jc w:val="center"/>
        </w:trPr>
        <w:tc>
          <w:tcPr>
            <w:tcW w:w="567" w:type="dxa"/>
            <w:tcBorders>
              <w:tl2br w:val="nil"/>
              <w:tr2bl w:val="nil"/>
            </w:tcBorders>
            <w:vAlign w:val="center"/>
          </w:tcPr>
          <w:p w14:paraId="4AB6E21F">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5</w:t>
            </w:r>
          </w:p>
        </w:tc>
        <w:tc>
          <w:tcPr>
            <w:tcW w:w="4253" w:type="dxa"/>
            <w:tcBorders>
              <w:tl2br w:val="nil"/>
              <w:tr2bl w:val="nil"/>
            </w:tcBorders>
            <w:vAlign w:val="center"/>
          </w:tcPr>
          <w:p w14:paraId="650DAF5A">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推动畜禽粪污资源化利用，主要应支持以畜禽粪污为主要原料的沼气工程建设、有机肥加工、粪污无害化储运及处理，配套与粪污消纳相匹配的农林土地，广泛推广有机肥使用，促进沼液沼渣就近就地还田利用，提升种养结合水平，建立健全畜禽粪污资源化利用制度。</w:t>
            </w:r>
          </w:p>
        </w:tc>
        <w:tc>
          <w:tcPr>
            <w:tcW w:w="3002" w:type="dxa"/>
            <w:tcBorders>
              <w:tl2br w:val="nil"/>
              <w:tr2bl w:val="nil"/>
            </w:tcBorders>
            <w:vAlign w:val="center"/>
          </w:tcPr>
          <w:p w14:paraId="590D05B5">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tc>
        <w:tc>
          <w:tcPr>
            <w:tcW w:w="656" w:type="dxa"/>
            <w:tcBorders>
              <w:tl2br w:val="nil"/>
              <w:tr2bl w:val="nil"/>
            </w:tcBorders>
            <w:vAlign w:val="center"/>
          </w:tcPr>
          <w:p w14:paraId="63A0CDD0">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69E19F84">
      <w:pPr>
        <w:spacing w:line="91" w:lineRule="auto"/>
        <w:rPr>
          <w:color w:val="000000" w:themeColor="text1"/>
          <w:sz w:val="2"/>
          <w14:textFill>
            <w14:solidFill>
              <w14:schemeClr w14:val="tx1"/>
            </w14:solidFill>
          </w14:textFill>
        </w:rPr>
      </w:pPr>
    </w:p>
    <w:p w14:paraId="0FB1694B">
      <w:pPr>
        <w:spacing w:before="182" w:line="347" w:lineRule="auto"/>
        <w:ind w:left="48" w:right="96" w:firstLine="465"/>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综上，本项目符合《四川省畜禽养殖污染防治技术指南（试行）》(川农业函〔2017〕647号）的相关要求。</w:t>
      </w:r>
    </w:p>
    <w:p w14:paraId="242109A9">
      <w:pPr>
        <w:pStyle w:val="75"/>
        <w:numPr>
          <w:ilvl w:val="0"/>
          <w:numId w:val="19"/>
        </w:numPr>
        <w:adjustRightInd w:val="0"/>
        <w:snapToGrid w:val="0"/>
        <w:spacing w:line="360" w:lineRule="auto"/>
        <w:ind w:firstLine="478" w:firstLineChars="200"/>
        <w:jc w:val="both"/>
        <w:rPr>
          <w:b/>
          <w:bCs/>
          <w:color w:val="000000" w:themeColor="text1"/>
          <w:spacing w:val="-1"/>
          <w14:textFill>
            <w14:solidFill>
              <w14:schemeClr w14:val="tx1"/>
            </w14:solidFill>
          </w14:textFill>
        </w:rPr>
      </w:pPr>
      <w:r>
        <w:rPr>
          <w:b/>
          <w:bCs/>
          <w:color w:val="000000" w:themeColor="text1"/>
          <w:spacing w:val="-1"/>
          <w14:textFill>
            <w14:solidFill>
              <w14:schemeClr w14:val="tx1"/>
            </w14:solidFill>
          </w14:textFill>
        </w:rPr>
        <w:t>与《四川省畜禽养殖污染防治规划》（川环发[2022]18号）的符合性</w:t>
      </w:r>
    </w:p>
    <w:p w14:paraId="227C60B4">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与《四川省畜禽养殖污染防治规划》符合性</w:t>
      </w:r>
    </w:p>
    <w:tbl>
      <w:tblPr>
        <w:tblStyle w:val="1745"/>
        <w:tblpPr w:leftFromText="180" w:rightFromText="180" w:vertAnchor="text" w:horzAnchor="page" w:tblpXSpec="center" w:tblpY="80"/>
        <w:tblOverlap w:val="never"/>
        <w:tblW w:w="8478" w:type="dxa"/>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42"/>
        <w:gridCol w:w="4285"/>
        <w:gridCol w:w="2895"/>
        <w:gridCol w:w="656"/>
      </w:tblGrid>
      <w:tr w14:paraId="61C49E7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82" w:hRule="atLeast"/>
          <w:jc w:val="center"/>
        </w:trPr>
        <w:tc>
          <w:tcPr>
            <w:tcW w:w="642" w:type="dxa"/>
            <w:tcBorders>
              <w:tl2br w:val="nil"/>
              <w:tr2bl w:val="nil"/>
            </w:tcBorders>
            <w:vAlign w:val="center"/>
          </w:tcPr>
          <w:p w14:paraId="189697BC">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序号</w:t>
            </w:r>
          </w:p>
        </w:tc>
        <w:tc>
          <w:tcPr>
            <w:tcW w:w="4285" w:type="dxa"/>
            <w:tcBorders>
              <w:tl2br w:val="nil"/>
              <w:tr2bl w:val="nil"/>
            </w:tcBorders>
            <w:vAlign w:val="center"/>
          </w:tcPr>
          <w:p w14:paraId="6447BF91">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《四川省畜禽养殖污染防治规划》的相关要求</w:t>
            </w:r>
          </w:p>
        </w:tc>
        <w:tc>
          <w:tcPr>
            <w:tcW w:w="2895" w:type="dxa"/>
            <w:tcBorders>
              <w:tl2br w:val="nil"/>
              <w:tr2bl w:val="nil"/>
            </w:tcBorders>
            <w:vAlign w:val="center"/>
          </w:tcPr>
          <w:p w14:paraId="2F8D0753">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56" w:type="dxa"/>
            <w:tcBorders>
              <w:tl2br w:val="nil"/>
              <w:tr2bl w:val="nil"/>
            </w:tcBorders>
            <w:vAlign w:val="center"/>
          </w:tcPr>
          <w:p w14:paraId="505ED956">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50BF187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444" w:hRule="atLeast"/>
          <w:jc w:val="center"/>
        </w:trPr>
        <w:tc>
          <w:tcPr>
            <w:tcW w:w="642" w:type="dxa"/>
            <w:tcBorders>
              <w:tl2br w:val="nil"/>
              <w:tr2bl w:val="nil"/>
            </w:tcBorders>
            <w:vAlign w:val="center"/>
          </w:tcPr>
          <w:p w14:paraId="4EFF4BF6">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1</w:t>
            </w:r>
          </w:p>
        </w:tc>
        <w:tc>
          <w:tcPr>
            <w:tcW w:w="4285" w:type="dxa"/>
            <w:tcBorders>
              <w:tl2br w:val="nil"/>
              <w:tr2bl w:val="nil"/>
            </w:tcBorders>
            <w:vAlign w:val="center"/>
          </w:tcPr>
          <w:p w14:paraId="33120053">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以地定畜，种养结合。严格落实</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三线一单</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生态环境分区管控要求，明确发展性空间和约束性空间，科学调控养殖规模，优化养殖布局结构。以养分平衡为核心，重视养殖环节粪污控制，鼓励各地区综合利用</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先行先试</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，加快形成以粪肥还田利用为纽带的种养结合循环发展格局。因地制宜，分区分类。</w:t>
            </w:r>
          </w:p>
          <w:p w14:paraId="54A32F77">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因地制宜采取资源化综合利用、纳入污水管网处置、建设专门的污染物治理设施等方式处置养殖废弃物。</w:t>
            </w:r>
          </w:p>
        </w:tc>
        <w:tc>
          <w:tcPr>
            <w:tcW w:w="2895" w:type="dxa"/>
            <w:tcBorders>
              <w:tl2br w:val="nil"/>
              <w:tr2bl w:val="nil"/>
            </w:tcBorders>
            <w:vAlign w:val="center"/>
          </w:tcPr>
          <w:p w14:paraId="1360D4BB">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本项目用地不涉及生态保护红线。本项目满足巴中市</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三线一单</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生态环境分区管控要求。</w:t>
            </w:r>
          </w:p>
          <w:p w14:paraId="04CDBE03">
            <w:pPr>
              <w:widowControl w:val="0"/>
              <w:autoSpaceDE w:val="0"/>
              <w:autoSpaceDN w:val="0"/>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tc>
        <w:tc>
          <w:tcPr>
            <w:tcW w:w="656" w:type="dxa"/>
            <w:tcBorders>
              <w:tl2br w:val="nil"/>
              <w:tr2bl w:val="nil"/>
            </w:tcBorders>
            <w:vAlign w:val="center"/>
          </w:tcPr>
          <w:p w14:paraId="63FF35C8">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1A418568">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962" w:hRule="atLeast"/>
          <w:jc w:val="center"/>
        </w:trPr>
        <w:tc>
          <w:tcPr>
            <w:tcW w:w="642" w:type="dxa"/>
            <w:tcBorders>
              <w:tl2br w:val="nil"/>
              <w:tr2bl w:val="nil"/>
            </w:tcBorders>
            <w:vAlign w:val="center"/>
          </w:tcPr>
          <w:p w14:paraId="4E197846">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2</w:t>
            </w:r>
          </w:p>
        </w:tc>
        <w:tc>
          <w:tcPr>
            <w:tcW w:w="4285" w:type="dxa"/>
            <w:tcBorders>
              <w:tl2br w:val="nil"/>
              <w:tr2bl w:val="nil"/>
            </w:tcBorders>
            <w:vAlign w:val="center"/>
          </w:tcPr>
          <w:p w14:paraId="4227EB5F">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分区分类，优化畜禽养殖布局结构合理调控畜禽养殖规模布局。根据区域功能定位、环境承载力要求及</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三区三线</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划定初步成果，科学编制畜牧业发展规划，合理确定畜禽养殖场养殖类型、养殖规模和场区位置，优化种养结合空间布局。根据土地承载能力、资源环境承载能力优化调控畜禽养殖规模，提高区域养殖数量、结构与资源环境匹配度，控制畜禽养殖总量。</w:t>
            </w:r>
          </w:p>
        </w:tc>
        <w:tc>
          <w:tcPr>
            <w:tcW w:w="2895" w:type="dxa"/>
            <w:tcBorders>
              <w:tl2br w:val="nil"/>
              <w:tr2bl w:val="nil"/>
            </w:tcBorders>
            <w:vAlign w:val="center"/>
          </w:tcPr>
          <w:p w14:paraId="107D8277">
            <w:pPr>
              <w:widowControl/>
              <w:autoSpaceDE/>
              <w:autoSpaceDN/>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本项目的建设满足当地畜禽养殖规模布局等规划。项目采用发酵床养殖工艺，废弃垫料外运至有机肥厂无害化处理后生产有机肥，实现粪污资源化利用。</w:t>
            </w:r>
          </w:p>
        </w:tc>
        <w:tc>
          <w:tcPr>
            <w:tcW w:w="656" w:type="dxa"/>
            <w:tcBorders>
              <w:tl2br w:val="nil"/>
              <w:tr2bl w:val="nil"/>
            </w:tcBorders>
            <w:vAlign w:val="center"/>
          </w:tcPr>
          <w:p w14:paraId="3A02D8BC">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228C955">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174" w:hRule="atLeast"/>
          <w:jc w:val="center"/>
        </w:trPr>
        <w:tc>
          <w:tcPr>
            <w:tcW w:w="642" w:type="dxa"/>
            <w:tcBorders>
              <w:tl2br w:val="nil"/>
              <w:tr2bl w:val="nil"/>
            </w:tcBorders>
            <w:vAlign w:val="center"/>
          </w:tcPr>
          <w:p w14:paraId="5EA7A9D7">
            <w:pPr>
              <w:widowControl/>
              <w:autoSpaceDE/>
              <w:autoSpaceDN/>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3</w:t>
            </w:r>
          </w:p>
        </w:tc>
        <w:tc>
          <w:tcPr>
            <w:tcW w:w="4285" w:type="dxa"/>
            <w:tcBorders>
              <w:tl2br w:val="nil"/>
              <w:tr2bl w:val="nil"/>
            </w:tcBorders>
            <w:vAlign w:val="center"/>
          </w:tcPr>
          <w:p w14:paraId="612B8CBF">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种养结合，加强废弃物资源化利用合理确定种养结合发展路径。提高种养匹配度，因地制宜科学选择工艺。以水稻、玉米、油菜、薯类、蔬菜、水果为重点推行粪肥就地就近还田利用；在消纳耕地不足的区域，优先推广机械干清粪工艺，固体粪污以堆沤肥处理为主，液体粪污重点推广沼气发酵、异位发酵床、贮存发酵等技术，在非环境敏感区积极引导沼液、沼渣还田利用。放养养殖应落实以草定牧、草畜平衡制度，对严重退化、沙化草原禁牧封育，规模与土地承载能力相适应；圈养养殖推广节水型清粪工艺，鼓励推行固体粪污膜堆肥、反应器堆肥，液体粪污密闭覆盖、酸化处理等臭气减排措施。</w:t>
            </w:r>
          </w:p>
        </w:tc>
        <w:tc>
          <w:tcPr>
            <w:tcW w:w="2895" w:type="dxa"/>
            <w:tcBorders>
              <w:tl2br w:val="nil"/>
              <w:tr2bl w:val="nil"/>
            </w:tcBorders>
            <w:vAlign w:val="center"/>
          </w:tcPr>
          <w:p w14:paraId="5EC36DF3">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项目采用发酵床养殖工艺，废弃垫料外运至有机肥厂无害化处理后生产有机肥，实现粪污资源化利用。</w:t>
            </w:r>
          </w:p>
        </w:tc>
        <w:tc>
          <w:tcPr>
            <w:tcW w:w="656" w:type="dxa"/>
            <w:tcBorders>
              <w:tl2br w:val="nil"/>
              <w:tr2bl w:val="nil"/>
            </w:tcBorders>
            <w:vAlign w:val="center"/>
          </w:tcPr>
          <w:p w14:paraId="0A5DF911">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1AF12522">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85" w:hRule="atLeast"/>
          <w:jc w:val="center"/>
        </w:trPr>
        <w:tc>
          <w:tcPr>
            <w:tcW w:w="642" w:type="dxa"/>
            <w:tcBorders>
              <w:tl2br w:val="nil"/>
              <w:tr2bl w:val="nil"/>
            </w:tcBorders>
            <w:vAlign w:val="center"/>
          </w:tcPr>
          <w:p w14:paraId="01C098A6">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en-US"/>
                <w14:textFill>
                  <w14:solidFill>
                    <w14:schemeClr w14:val="tx1"/>
                  </w14:solidFill>
                </w14:textFill>
              </w:rPr>
              <w:t>4</w:t>
            </w:r>
          </w:p>
        </w:tc>
        <w:tc>
          <w:tcPr>
            <w:tcW w:w="4285" w:type="dxa"/>
            <w:tcBorders>
              <w:tl2br w:val="nil"/>
              <w:tr2bl w:val="nil"/>
            </w:tcBorders>
            <w:vAlign w:val="center"/>
          </w:tcPr>
          <w:p w14:paraId="54ACD8D1">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精准治污，提高养殖污染治理能力源头管控，着力减少污染物产生和排放。</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积极推广低蛋白日粮技术，大力实施饲料精准配方和精准配制工艺，提高饲料转化率，降低畜禽养殖氮磷排泄量。推广使用节水工艺、技术和设备，推进节水控水设施设备升级改造，优化清粪方式，推广节水粪污处理技术，鼓励采用干清粪、地面垫料等清粪工艺，切实从源头减少粪污产生总量。过程控制，强化畜禽养殖污染治理设施配套。做好综合防控，降低养殖场臭气排放量，加强臭气的统一收集处理。规模化畜禽养殖场（区）要严格按照畜禽养殖污染防治有关要求，配套建设畜禽污染治理和综合利用设施。末端处置，提高畜禽养殖废弃物资源化利用水平。推广粪污干稀分离技术，对固体粪污采用自然堆肥、条垛式供氧堆肥等好氧或厌氧技术，对液体粪污采用厌氧发酵等技术进行无害化处理。按照</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统筹规划、属地负责，政府监管、市场运作，财政补助、保险联动</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的原则，加快病死畜禽集中无害化处理场及收集点建设，处理设施应采用化制、发酵等资源化利用技术，鼓励完善病死畜禽收集、转运体系，病死畜禽基本实现集中无害化处理、资源化利用。</w:t>
            </w:r>
          </w:p>
        </w:tc>
        <w:tc>
          <w:tcPr>
            <w:tcW w:w="2895" w:type="dxa"/>
            <w:tcBorders>
              <w:tl2br w:val="nil"/>
              <w:tr2bl w:val="nil"/>
            </w:tcBorders>
            <w:vAlign w:val="center"/>
          </w:tcPr>
          <w:p w14:paraId="0606B2D5">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针对畜禽规模养殖项目的恶臭影响，采取控制饲养密度、改善舍内通风、使用除臭剂等措施控制，确保项目恶臭污染物达标排放。项目采用发酵床养殖工艺，粪尿直接排泄到垫料上，通过牛的踩踏，使粪尿和垫料充分混合，让有益微生物菌种发酵，使粪、尿有机物质分解和转化，无尿污排出。</w:t>
            </w:r>
          </w:p>
          <w:p w14:paraId="4A0744E2">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建设单位与周边农户签订协议，定期清理的废弃垫料经堆肥发酵处理后用作农肥施用，实现粪污资源化利用。项目采用舍内节水型饮水器自由饮水。</w:t>
            </w:r>
          </w:p>
          <w:p w14:paraId="13EA7216">
            <w:pPr>
              <w:widowControl/>
              <w:autoSpaceDE/>
              <w:autoSpaceDN/>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病死牛委托四川科农动物无害化处理有限公司清运处置。</w:t>
            </w:r>
          </w:p>
        </w:tc>
        <w:tc>
          <w:tcPr>
            <w:tcW w:w="656" w:type="dxa"/>
            <w:tcBorders>
              <w:tl2br w:val="nil"/>
              <w:tr2bl w:val="nil"/>
            </w:tcBorders>
            <w:vAlign w:val="center"/>
          </w:tcPr>
          <w:p w14:paraId="2427839F">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302A4FEF">
      <w:pPr>
        <w:spacing w:line="91" w:lineRule="auto"/>
        <w:rPr>
          <w:color w:val="000000" w:themeColor="text1"/>
          <w:sz w:val="2"/>
          <w14:textFill>
            <w14:solidFill>
              <w14:schemeClr w14:val="tx1"/>
            </w14:solidFill>
          </w14:textFill>
        </w:rPr>
      </w:pPr>
    </w:p>
    <w:p w14:paraId="624961B5">
      <w:pPr>
        <w:pStyle w:val="75"/>
        <w:adjustRightInd w:val="0"/>
        <w:snapToGrid w:val="0"/>
        <w:spacing w:line="360" w:lineRule="auto"/>
        <w:ind w:firstLine="472" w:firstLineChars="200"/>
        <w:jc w:val="both"/>
        <w:rPr>
          <w:color w:val="000000" w:themeColor="text1"/>
          <w:kern w:val="0"/>
          <w:lang w:val="en-US" w:bidi="ar"/>
          <w14:textFill>
            <w14:solidFill>
              <w14:schemeClr w14:val="tx1"/>
            </w14:solidFill>
          </w14:textFill>
        </w:rPr>
      </w:pPr>
      <w:r>
        <w:rPr>
          <w:color w:val="000000" w:themeColor="text1"/>
          <w:spacing w:val="-2"/>
          <w:lang w:val="en-US"/>
          <w14:textFill>
            <w14:solidFill>
              <w14:schemeClr w14:val="tx1"/>
            </w14:solidFill>
          </w14:textFill>
        </w:rPr>
        <w:t>综上，</w:t>
      </w:r>
      <w:r>
        <w:rPr>
          <w:color w:val="000000" w:themeColor="text1"/>
          <w:spacing w:val="-2"/>
          <w14:textFill>
            <w14:solidFill>
              <w14:schemeClr w14:val="tx1"/>
            </w14:solidFill>
          </w14:textFill>
        </w:rPr>
        <w:t>本项目符合《四川省畜禽养殖污染防治规划》（川环发[2022]18号）的相关要求。</w:t>
      </w:r>
    </w:p>
    <w:p w14:paraId="34364D72">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（16）与《巴中市畜禽养殖污染防治规划》（2024年~2030年）符合性</w:t>
      </w:r>
    </w:p>
    <w:p w14:paraId="2245EF73">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与《巴中市畜禽养殖污染防治规划》（2024年-2030年）符合性分析</w:t>
      </w:r>
    </w:p>
    <w:tbl>
      <w:tblPr>
        <w:tblStyle w:val="88"/>
        <w:tblW w:w="85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84"/>
        <w:gridCol w:w="3281"/>
        <w:gridCol w:w="657"/>
      </w:tblGrid>
      <w:tr w14:paraId="78CCB6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6FFFCADE">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《巴中市畜禽养殖污染防治规划》（2024年-2030年）</w:t>
            </w:r>
          </w:p>
        </w:tc>
        <w:tc>
          <w:tcPr>
            <w:tcW w:w="3281" w:type="dxa"/>
            <w:tcBorders>
              <w:tl2br w:val="nil"/>
              <w:tr2bl w:val="nil"/>
            </w:tcBorders>
            <w:vAlign w:val="center"/>
          </w:tcPr>
          <w:p w14:paraId="43169A6A">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本项目</w:t>
            </w:r>
          </w:p>
        </w:tc>
        <w:tc>
          <w:tcPr>
            <w:tcW w:w="657" w:type="dxa"/>
            <w:tcBorders>
              <w:tl2br w:val="nil"/>
              <w:tr2bl w:val="nil"/>
            </w:tcBorders>
            <w:vAlign w:val="center"/>
          </w:tcPr>
          <w:p w14:paraId="552EA069">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符合性</w:t>
            </w:r>
          </w:p>
        </w:tc>
      </w:tr>
      <w:tr w14:paraId="7234E5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Borders>
              <w:tl2br w:val="nil"/>
              <w:tr2bl w:val="nil"/>
            </w:tcBorders>
            <w:vAlign w:val="center"/>
          </w:tcPr>
          <w:p w14:paraId="60713616">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基本原则</w:t>
            </w:r>
          </w:p>
        </w:tc>
      </w:tr>
      <w:tr w14:paraId="05DED9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725CD998">
            <w:pPr>
              <w:snapToGrid w:val="0"/>
              <w:rPr>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种养结合，协同减排：以畜禽粪肥就近就地利用为重点，以养分平衡为核心，通过优化种养布局，协同推进畜禽养殖污染治理与农业面源污染防治。结合种植规模和结构，科学测算畜禽粪肥养分供需情况，系统评估畜禽粪肥还田利用的经济性和可行性，合理选择畜禽养殖污染防治模式。</w:t>
            </w:r>
          </w:p>
        </w:tc>
        <w:tc>
          <w:tcPr>
            <w:tcW w:w="3281" w:type="dxa"/>
            <w:tcBorders>
              <w:tl2br w:val="nil"/>
              <w:tr2bl w:val="nil"/>
            </w:tcBorders>
            <w:vAlign w:val="center"/>
          </w:tcPr>
          <w:p w14:paraId="6F1486D7">
            <w:pPr>
              <w:snapToGrid w:val="0"/>
              <w:rPr>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肉牛养殖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tc>
        <w:tc>
          <w:tcPr>
            <w:tcW w:w="657" w:type="dxa"/>
            <w:tcBorders>
              <w:tl2br w:val="nil"/>
              <w:tr2bl w:val="nil"/>
            </w:tcBorders>
            <w:vAlign w:val="center"/>
          </w:tcPr>
          <w:p w14:paraId="0185D23B">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符合</w:t>
            </w:r>
          </w:p>
        </w:tc>
      </w:tr>
      <w:tr w14:paraId="7B37F2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Borders>
              <w:tl2br w:val="nil"/>
              <w:tr2bl w:val="nil"/>
            </w:tcBorders>
            <w:vAlign w:val="center"/>
          </w:tcPr>
          <w:p w14:paraId="513BB913">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主要任务</w:t>
            </w:r>
          </w:p>
        </w:tc>
      </w:tr>
      <w:tr w14:paraId="2FC5EE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2C5305B0">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大力发展标准化规模养殖：畜禽标准化生产，就是在场址布局、栏舍建设、生产设施配备、良种选择、投入品使用、卫生防疫、粪污处理等方面严格执行法律法规和相关标准的规定，并按程序组织生产的过程。各县（区）应加快转变养殖观念，持续优化养殖规模结构，按照“畜禽良种化、养殖设施化、生产规范化、防疫制度化、粪污处理无害化和监管常态化”要求，建立健全畜禽标准化生产体系。</w:t>
            </w:r>
          </w:p>
        </w:tc>
        <w:tc>
          <w:tcPr>
            <w:tcW w:w="3281" w:type="dxa"/>
            <w:tcBorders>
              <w:tl2br w:val="nil"/>
              <w:tr2bl w:val="nil"/>
            </w:tcBorders>
            <w:vAlign w:val="center"/>
          </w:tcPr>
          <w:p w14:paraId="080DFA4C">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本项目合理布局场址，建立健全畜禽标准化生产体系。严格执行卫生防疫相关要求，粪便进行无害化处理。</w:t>
            </w:r>
          </w:p>
        </w:tc>
        <w:tc>
          <w:tcPr>
            <w:tcW w:w="657" w:type="dxa"/>
            <w:tcBorders>
              <w:tl2br w:val="nil"/>
              <w:tr2bl w:val="nil"/>
            </w:tcBorders>
            <w:vAlign w:val="center"/>
          </w:tcPr>
          <w:p w14:paraId="1B47E26B">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符合</w:t>
            </w:r>
          </w:p>
        </w:tc>
      </w:tr>
      <w:tr w14:paraId="4581A3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574EFCE1">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科学推广畜禽粪污资源化利用模式：综合考虑巴中市种养结合条件、畜禽养殖现状及发展趋势、沼气等清洁能源发展需求等，因地制宜选择粪污全量收集还田利用、固体粪便堆肥利用、粪水肥料化利用、粪污能源化利用、污水达标排放等模式，选择达标排放的，要符合国家和省最新排放标准。在消纳土地充足的区域，宜采用“粪污全量收集还田利用”模式，将收集的全部粪污进行无害化处理后就地就近还田利用；在消纳土地不足的区域，优先推广机械干清粪工艺，固体粪污以堆沤肥处理为主，液体粪污重点推广沼气发酵、异位发酵床、贮存发酵等技术，在非环境敏感区积极引导沼液、沼渣还田利用。</w:t>
            </w:r>
          </w:p>
        </w:tc>
        <w:tc>
          <w:tcPr>
            <w:tcW w:w="3281" w:type="dxa"/>
            <w:tcBorders>
              <w:tl2br w:val="nil"/>
              <w:tr2bl w:val="nil"/>
            </w:tcBorders>
            <w:vAlign w:val="center"/>
          </w:tcPr>
          <w:p w14:paraId="0C4816FD">
            <w:pPr>
              <w:snapToGrid w:val="0"/>
              <w:rPr>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tc>
        <w:tc>
          <w:tcPr>
            <w:tcW w:w="657" w:type="dxa"/>
            <w:tcBorders>
              <w:tl2br w:val="nil"/>
              <w:tr2bl w:val="nil"/>
            </w:tcBorders>
            <w:vAlign w:val="center"/>
          </w:tcPr>
          <w:p w14:paraId="44A693D1">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符合</w:t>
            </w:r>
          </w:p>
        </w:tc>
      </w:tr>
      <w:tr w14:paraId="4D97D5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1971DDA6">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做好粪污减量化措施。引导畜禽养殖场（户）使用节水工艺、技术和设备，推进节水控水设施设备升级改造，鼓励采用碗式或液位控制等防溢漏饮水器，减少畜禽饮水漏水。优化清粪方式，鼓励采用干清粪方式，逐步淘汰水冲粪工艺，现采用水泡粪、水冲粪工艺的养殖场应逐步改造为干清粪工艺，</w:t>
            </w:r>
            <w:r>
              <w:rPr>
                <w:color w:val="000000" w:themeColor="text1"/>
                <w:sz w:val="18"/>
                <w:szCs w:val="18"/>
                <w14:textFill>
                  <w14:solidFill>
                    <w14:schemeClr w14:val="tx1"/>
                  </w14:solidFill>
                </w14:textFill>
              </w:rPr>
              <w:t>……</w:t>
            </w:r>
            <w:r>
              <w:rPr>
                <w:bCs/>
                <w:color w:val="000000" w:themeColor="text1"/>
                <w:sz w:val="18"/>
                <w:szCs w:val="18"/>
                <w14:textFill>
                  <w14:solidFill>
                    <w14:schemeClr w14:val="tx1"/>
                  </w14:solidFill>
                </w14:textFill>
              </w:rPr>
              <w:t>做好粪污贮存设施升级改造和雨污分流，鼓励饮污分流溅洒水回用和养殖污水净化水回用，切实从源头提高畜禽养殖的清洁化水平，从源头减少液体粪污产生量。</w:t>
            </w:r>
          </w:p>
        </w:tc>
        <w:tc>
          <w:tcPr>
            <w:tcW w:w="3281" w:type="dxa"/>
            <w:tcBorders>
              <w:tl2br w:val="nil"/>
              <w:tr2bl w:val="nil"/>
            </w:tcBorders>
            <w:vAlign w:val="center"/>
          </w:tcPr>
          <w:p w14:paraId="4050F80E">
            <w:pPr>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项目采用舍内节水型饮水器自由饮水。</w:t>
            </w:r>
          </w:p>
          <w:p w14:paraId="7D490740">
            <w:pPr>
              <w:snapToGrid w:val="0"/>
              <w:rPr>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tc>
        <w:tc>
          <w:tcPr>
            <w:tcW w:w="657" w:type="dxa"/>
            <w:tcBorders>
              <w:tl2br w:val="nil"/>
              <w:tr2bl w:val="nil"/>
            </w:tcBorders>
            <w:vAlign w:val="center"/>
          </w:tcPr>
          <w:p w14:paraId="75A81E1B">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符合</w:t>
            </w:r>
          </w:p>
        </w:tc>
      </w:tr>
    </w:tbl>
    <w:p w14:paraId="54E2203D">
      <w:pPr>
        <w:pStyle w:val="75"/>
        <w:adjustRightInd w:val="0"/>
        <w:snapToGrid w:val="0"/>
        <w:spacing w:line="360" w:lineRule="auto"/>
        <w:ind w:firstLine="480" w:firstLineChars="200"/>
        <w:jc w:val="both"/>
        <w:rPr>
          <w:b/>
          <w:bCs/>
          <w:color w:val="000000" w:themeColor="text1"/>
          <w:kern w:val="0"/>
          <w:lang w:val="en-US" w:bidi="ar"/>
          <w14:textFill>
            <w14:solidFill>
              <w14:schemeClr w14:val="tx1"/>
            </w14:solidFill>
          </w14:textFill>
        </w:rPr>
      </w:pPr>
      <w:r>
        <w:rPr>
          <w:color w:val="000000" w:themeColor="text1"/>
          <w14:textFill>
            <w14:solidFill>
              <w14:schemeClr w14:val="tx1"/>
            </w14:solidFill>
          </w14:textFill>
        </w:rPr>
        <w:t>综上所述，</w:t>
      </w:r>
      <w:r>
        <w:rPr>
          <w:color w:val="000000" w:themeColor="text1"/>
          <w:kern w:val="0"/>
          <w:lang w:val="en-US" w:bidi="ar"/>
          <w14:textFill>
            <w14:solidFill>
              <w14:schemeClr w14:val="tx1"/>
            </w14:solidFill>
          </w14:textFill>
        </w:rPr>
        <w:t>本项目与《巴中市畜禽养殖污染防治规划》（2024年~2030年）相符。</w:t>
      </w:r>
    </w:p>
    <w:p w14:paraId="01FBA5DF">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（17）与《巴中市巴州区畜禽养殖污染防治规划》（2024年~2030年）符合性</w:t>
      </w:r>
    </w:p>
    <w:p w14:paraId="2E170A18">
      <w:pPr>
        <w:pStyle w:val="75"/>
        <w:adjustRightInd w:val="0"/>
        <w:snapToGrid w:val="0"/>
        <w:spacing w:line="360" w:lineRule="auto"/>
        <w:ind w:firstLine="480" w:firstLineChars="200"/>
        <w:jc w:val="both"/>
        <w:rPr>
          <w:color w:val="000000" w:themeColor="text1"/>
          <w:lang w:val="en-US"/>
          <w14:textFill>
            <w14:solidFill>
              <w14:schemeClr w14:val="tx1"/>
            </w14:solidFill>
          </w14:textFill>
        </w:rPr>
      </w:pPr>
      <w:r>
        <w:rPr>
          <w:color w:val="000000" w:themeColor="text1"/>
          <w:lang w:val="en-US"/>
          <w14:textFill>
            <w14:solidFill>
              <w14:schemeClr w14:val="tx1"/>
            </w14:solidFill>
          </w14:textFill>
        </w:rPr>
        <w:t>2023年4月，巴中市巴州生态环境局、巴中市巴州区农业农村局联合印发《巴中市巴州区畜禽养殖污染防治规划》的通知，项目与该文件对照分析如下。</w:t>
      </w:r>
    </w:p>
    <w:p w14:paraId="44EB0965">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与《巴中市巴州区畜禽养殖污染防治规划》符合性分析</w:t>
      </w:r>
    </w:p>
    <w:tbl>
      <w:tblPr>
        <w:tblStyle w:val="88"/>
        <w:tblW w:w="852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84"/>
        <w:gridCol w:w="3071"/>
        <w:gridCol w:w="867"/>
      </w:tblGrid>
      <w:tr w14:paraId="53CC74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07D44DE6">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巴中市巴州区畜禽养殖污染防治规划的相关内容</w:t>
            </w:r>
          </w:p>
        </w:tc>
        <w:tc>
          <w:tcPr>
            <w:tcW w:w="3071" w:type="dxa"/>
            <w:tcBorders>
              <w:tl2br w:val="nil"/>
              <w:tr2bl w:val="nil"/>
            </w:tcBorders>
            <w:vAlign w:val="center"/>
          </w:tcPr>
          <w:p w14:paraId="76BD1ABC">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本项目</w:t>
            </w:r>
          </w:p>
        </w:tc>
        <w:tc>
          <w:tcPr>
            <w:tcW w:w="867" w:type="dxa"/>
            <w:tcBorders>
              <w:tl2br w:val="nil"/>
              <w:tr2bl w:val="nil"/>
            </w:tcBorders>
            <w:vAlign w:val="center"/>
          </w:tcPr>
          <w:p w14:paraId="4FB7A89D">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符合性</w:t>
            </w:r>
          </w:p>
        </w:tc>
      </w:tr>
      <w:tr w14:paraId="15E273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Borders>
              <w:tl2br w:val="nil"/>
              <w:tr2bl w:val="nil"/>
            </w:tcBorders>
            <w:vAlign w:val="center"/>
          </w:tcPr>
          <w:p w14:paraId="65AC165A">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畜禽养殖环境承载力分析</w:t>
            </w:r>
          </w:p>
        </w:tc>
      </w:tr>
      <w:tr w14:paraId="59575E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2B6C686B">
            <w:pPr>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全区耕地可承载约265万头标准猪，全区现有畜禽养殖存栏总量，折算为标准猪的数量为99万头猪当量。现有畜禽猪当量占全区土地可承载猪当量的37.47%，未达到全区区域可承载猪当量80%的阈值。</w:t>
            </w:r>
          </w:p>
        </w:tc>
        <w:tc>
          <w:tcPr>
            <w:tcW w:w="3071" w:type="dxa"/>
            <w:tcBorders>
              <w:tl2br w:val="nil"/>
              <w:tr2bl w:val="nil"/>
            </w:tcBorders>
            <w:vAlign w:val="center"/>
          </w:tcPr>
          <w:p w14:paraId="78EEA89C">
            <w:pPr>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本项目建成后可年出栏安格斯肉牛19380头、巴山肉牛1800头。按“1头肉牛折算成5头猪”，本项目年出栏21180头肉牛对应折算成10.59万头猪，区域环境承载能力尚有较大裕量。</w:t>
            </w:r>
          </w:p>
        </w:tc>
        <w:tc>
          <w:tcPr>
            <w:tcW w:w="867" w:type="dxa"/>
            <w:tcBorders>
              <w:tl2br w:val="nil"/>
              <w:tr2bl w:val="nil"/>
            </w:tcBorders>
            <w:vAlign w:val="center"/>
          </w:tcPr>
          <w:p w14:paraId="76C75D68">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符合</w:t>
            </w:r>
          </w:p>
        </w:tc>
      </w:tr>
      <w:tr w14:paraId="46950C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Borders>
              <w:tl2br w:val="nil"/>
              <w:tr2bl w:val="nil"/>
            </w:tcBorders>
            <w:vAlign w:val="center"/>
          </w:tcPr>
          <w:p w14:paraId="07E3BB4C">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污染防治主要任务</w:t>
            </w:r>
          </w:p>
        </w:tc>
      </w:tr>
      <w:tr w14:paraId="797F7C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5F116069">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提升畜禽粪污资源化利用水平</w:t>
            </w:r>
          </w:p>
          <w:p w14:paraId="38AC8EA3">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巴州区属于消纳土地充足的地区，能够满足规模养殖场、规模以下养殖户和散养户的配套土地需求。推荐优先采用粪肥还田利用模式和低成本、低排放、易操作的粪污处理工艺，以养分平衡为核心，完善粪污收集－贮存－转运－利用体系。</w:t>
            </w:r>
          </w:p>
        </w:tc>
        <w:tc>
          <w:tcPr>
            <w:tcW w:w="3071" w:type="dxa"/>
            <w:tcBorders>
              <w:tl2br w:val="nil"/>
              <w:tr2bl w:val="nil"/>
            </w:tcBorders>
            <w:vAlign w:val="center"/>
          </w:tcPr>
          <w:p w14:paraId="4EE8CBAB">
            <w:pPr>
              <w:snapToGrid w:val="0"/>
              <w:rPr>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tc>
        <w:tc>
          <w:tcPr>
            <w:tcW w:w="867" w:type="dxa"/>
            <w:tcBorders>
              <w:tl2br w:val="nil"/>
              <w:tr2bl w:val="nil"/>
            </w:tcBorders>
            <w:vAlign w:val="center"/>
          </w:tcPr>
          <w:p w14:paraId="53DA51C3">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符合</w:t>
            </w:r>
          </w:p>
        </w:tc>
      </w:tr>
      <w:tr w14:paraId="7FC476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2ACDCDD5">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完善粪污处理和利用设施</w:t>
            </w:r>
          </w:p>
          <w:p w14:paraId="345E3B86">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结合实际情况，区畜禽规模养殖场清洁生产设施的建设主要按照“12321”原则，即“一控”：改进节水设备，改造畜禽饮水器，从源头控制用水量；“两分”：圈舍及粪污贮存设施进行雨污分流改造。建设雨污分流、暗沟布设的污水收集输送系统，实现雨污分离，推行干清粪，实现干湿分离；“三防”：配套设施符合防渗、防雨、防溢流要求；“两配套”：配套建设储粪场和污水储存池；“一基本”：推进畜禽粪污基本实现全量收集、无害化处理和资源化利用，明确提出整改时限及配建要求。从源头节水、优化清粪方式、雨污分流、栏舍臭气控制几个方面对区规模养殖场进行清洁生产设施的建设和改造。</w:t>
            </w:r>
          </w:p>
        </w:tc>
        <w:tc>
          <w:tcPr>
            <w:tcW w:w="3071" w:type="dxa"/>
            <w:tcBorders>
              <w:tl2br w:val="nil"/>
              <w:tr2bl w:val="nil"/>
            </w:tcBorders>
            <w:vAlign w:val="center"/>
          </w:tcPr>
          <w:p w14:paraId="1E1E40AC">
            <w:pPr>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项目采用舍内节水型饮水器自由饮水。</w:t>
            </w:r>
          </w:p>
          <w:p w14:paraId="09A3DAC8">
            <w:pPr>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项目养殖厂区采用雨污分流方式；相关区域</w:t>
            </w:r>
            <w:r>
              <w:rPr>
                <w:bCs/>
                <w:color w:val="000000" w:themeColor="text1"/>
                <w:sz w:val="18"/>
                <w:szCs w:val="18"/>
                <w14:textFill>
                  <w14:solidFill>
                    <w14:schemeClr w14:val="tx1"/>
                  </w14:solidFill>
                </w14:textFill>
              </w:rPr>
              <w:t>配套设施符合防渗、防雨、防溢流要求；</w:t>
            </w:r>
          </w:p>
          <w:p w14:paraId="6E0CEB64">
            <w:pPr>
              <w:snapToGrid w:val="0"/>
              <w:rPr>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因此项目不单独设置</w:t>
            </w:r>
            <w:r>
              <w:rPr>
                <w:bCs/>
                <w:color w:val="000000" w:themeColor="text1"/>
                <w:sz w:val="18"/>
                <w:szCs w:val="18"/>
                <w14:textFill>
                  <w14:solidFill>
                    <w14:schemeClr w14:val="tx1"/>
                  </w14:solidFill>
                </w14:textFill>
              </w:rPr>
              <w:t>储粪场和污水储存池。</w:t>
            </w:r>
          </w:p>
          <w:p w14:paraId="00AF5923">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项目通过采用发酵床技术，在精料里添加益生菌，以及圈舍喷洒生物除臭剂的方式，加强牛舍通风，合理规划养殖密度，厂区加强绿化，设置卫生防护距离等诸多方式，确保项目恶臭影响降低至合理水平，符合国家及地方污染防治排放标准，减轻对周边环境的不利影响。</w:t>
            </w:r>
          </w:p>
        </w:tc>
        <w:tc>
          <w:tcPr>
            <w:tcW w:w="867" w:type="dxa"/>
            <w:tcBorders>
              <w:tl2br w:val="nil"/>
              <w:tr2bl w:val="nil"/>
            </w:tcBorders>
            <w:vAlign w:val="center"/>
          </w:tcPr>
          <w:p w14:paraId="61FB464A">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符合</w:t>
            </w:r>
          </w:p>
        </w:tc>
      </w:tr>
      <w:tr w14:paraId="276A22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584" w:type="dxa"/>
            <w:tcBorders>
              <w:tl2br w:val="nil"/>
              <w:tr2bl w:val="nil"/>
            </w:tcBorders>
            <w:vAlign w:val="center"/>
          </w:tcPr>
          <w:p w14:paraId="2EF0B420">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建立健全台账管理制度</w:t>
            </w:r>
          </w:p>
          <w:p w14:paraId="633AF17C">
            <w:pPr>
              <w:snapToGrid w:val="0"/>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为规范养殖场档案管理，增强养殖场档案的实用性和有效性，需完善畜禽规模养殖场和规模以下养殖户畜禽粪污资源化利用计划和台账管理制度。</w:t>
            </w:r>
          </w:p>
        </w:tc>
        <w:tc>
          <w:tcPr>
            <w:tcW w:w="3071" w:type="dxa"/>
            <w:tcBorders>
              <w:tl2br w:val="nil"/>
              <w:tr2bl w:val="nil"/>
            </w:tcBorders>
            <w:vAlign w:val="center"/>
          </w:tcPr>
          <w:p w14:paraId="674F1549">
            <w:pPr>
              <w:snapToGrid w:val="0"/>
              <w:rPr>
                <w:bCs/>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环评单位要求建设单位严格落实环保保护相关法规要求，</w:t>
            </w:r>
            <w:r>
              <w:rPr>
                <w:bCs/>
                <w:color w:val="000000" w:themeColor="text1"/>
                <w:sz w:val="18"/>
                <w:szCs w:val="18"/>
                <w14:textFill>
                  <w14:solidFill>
                    <w14:schemeClr w14:val="tx1"/>
                  </w14:solidFill>
                </w14:textFill>
              </w:rPr>
              <w:t>建立健全台账管理制度。</w:t>
            </w:r>
          </w:p>
        </w:tc>
        <w:tc>
          <w:tcPr>
            <w:tcW w:w="867" w:type="dxa"/>
            <w:tcBorders>
              <w:tl2br w:val="nil"/>
              <w:tr2bl w:val="nil"/>
            </w:tcBorders>
            <w:vAlign w:val="center"/>
          </w:tcPr>
          <w:p w14:paraId="5FF0794B">
            <w:pPr>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符合</w:t>
            </w:r>
          </w:p>
        </w:tc>
      </w:tr>
    </w:tbl>
    <w:p w14:paraId="2DA8B3C6">
      <w:pPr>
        <w:pStyle w:val="75"/>
        <w:adjustRightInd w:val="0"/>
        <w:snapToGrid w:val="0"/>
        <w:spacing w:line="360" w:lineRule="auto"/>
        <w:ind w:firstLine="480" w:firstLineChars="200"/>
        <w:jc w:val="both"/>
        <w:rPr>
          <w:b/>
          <w:bCs/>
          <w:color w:val="000000" w:themeColor="text1"/>
          <w:kern w:val="0"/>
          <w:lang w:val="en-US" w:bidi="ar"/>
          <w14:textFill>
            <w14:solidFill>
              <w14:schemeClr w14:val="tx1"/>
            </w14:solidFill>
          </w14:textFill>
        </w:rPr>
      </w:pPr>
      <w:r>
        <w:rPr>
          <w:color w:val="000000" w:themeColor="text1"/>
          <w14:textFill>
            <w14:solidFill>
              <w14:schemeClr w14:val="tx1"/>
            </w14:solidFill>
          </w14:textFill>
        </w:rPr>
        <w:t>综上所述，</w:t>
      </w:r>
      <w:r>
        <w:rPr>
          <w:color w:val="000000" w:themeColor="text1"/>
          <w:kern w:val="0"/>
          <w:lang w:val="en-US" w:bidi="ar"/>
          <w14:textFill>
            <w14:solidFill>
              <w14:schemeClr w14:val="tx1"/>
            </w14:solidFill>
          </w14:textFill>
        </w:rPr>
        <w:t>本项目与《巴中市巴州区畜禽养殖污染防治规划》相符。</w:t>
      </w:r>
    </w:p>
    <w:p w14:paraId="3C057A1D">
      <w:pPr>
        <w:spacing w:line="360" w:lineRule="auto"/>
        <w:ind w:firstLine="482" w:firstLineChars="200"/>
        <w:outlineLvl w:val="4"/>
        <w:rPr>
          <w:b/>
          <w:bCs/>
          <w:color w:val="000000" w:themeColor="text1"/>
          <w:kern w:val="0"/>
          <w:sz w:val="24"/>
          <w:lang w:bidi="ar"/>
          <w14:textFill>
            <w14:solidFill>
              <w14:schemeClr w14:val="tx1"/>
            </w14:solidFill>
          </w14:textFill>
        </w:rPr>
      </w:pPr>
      <w:r>
        <w:rPr>
          <w:b/>
          <w:bCs/>
          <w:color w:val="000000" w:themeColor="text1"/>
          <w:kern w:val="0"/>
          <w:sz w:val="24"/>
          <w:lang w:bidi="ar"/>
          <w14:textFill>
            <w14:solidFill>
              <w14:schemeClr w14:val="tx1"/>
            </w14:solidFill>
          </w14:textFill>
        </w:rPr>
        <w:t>2、与通用环保类法规、规范的符合性分析</w:t>
      </w:r>
    </w:p>
    <w:p w14:paraId="392A7371">
      <w:pPr>
        <w:pStyle w:val="75"/>
        <w:adjustRightInd w:val="0"/>
        <w:snapToGrid w:val="0"/>
        <w:spacing w:line="360" w:lineRule="auto"/>
        <w:ind w:firstLine="482" w:firstLineChars="200"/>
        <w:jc w:val="left"/>
        <w:rPr>
          <w:b/>
          <w:bCs/>
          <w:color w:val="000000" w:themeColor="text1"/>
          <w:kern w:val="0"/>
          <w:lang w:bidi="ar"/>
          <w14:textFill>
            <w14:solidFill>
              <w14:schemeClr w14:val="tx1"/>
            </w14:solidFill>
          </w14:textFill>
        </w:rPr>
      </w:pPr>
      <w:r>
        <w:rPr>
          <w:b/>
          <w:bCs/>
          <w:color w:val="000000" w:themeColor="text1"/>
          <w:kern w:val="0"/>
          <w:lang w:val="en-US" w:bidi="ar"/>
          <w14:textFill>
            <w14:solidFill>
              <w14:schemeClr w14:val="tx1"/>
            </w14:solidFill>
          </w14:textFill>
        </w:rPr>
        <w:t>（18）与国家及地方有关水污染防治规范文件的符合性</w:t>
      </w:r>
    </w:p>
    <w:p w14:paraId="2C9B85C7">
      <w:pPr>
        <w:pStyle w:val="814"/>
        <w:numPr>
          <w:ilvl w:val="0"/>
          <w:numId w:val="15"/>
        </w:numPr>
        <w:snapToGrid w:val="0"/>
        <w:ind w:left="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与国家及地方有关水污染防治的规范文件的符合性</w:t>
      </w:r>
    </w:p>
    <w:tbl>
      <w:tblPr>
        <w:tblStyle w:val="1745"/>
        <w:tblpPr w:leftFromText="180" w:rightFromText="180" w:vertAnchor="text" w:horzAnchor="page" w:tblpXSpec="center" w:tblpY="80"/>
        <w:tblOverlap w:val="never"/>
        <w:tblW w:w="8478" w:type="dxa"/>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17"/>
        <w:gridCol w:w="4110"/>
        <w:gridCol w:w="2895"/>
        <w:gridCol w:w="656"/>
      </w:tblGrid>
      <w:tr w14:paraId="6A1652B6">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817" w:type="dxa"/>
            <w:tcBorders>
              <w:tl2br w:val="nil"/>
              <w:tr2bl w:val="nil"/>
            </w:tcBorders>
            <w:vAlign w:val="center"/>
          </w:tcPr>
          <w:p w14:paraId="6567E0F5">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名称</w:t>
            </w:r>
          </w:p>
        </w:tc>
        <w:tc>
          <w:tcPr>
            <w:tcW w:w="4110" w:type="dxa"/>
            <w:tcBorders>
              <w:tl2br w:val="nil"/>
              <w:tr2bl w:val="nil"/>
            </w:tcBorders>
            <w:vAlign w:val="center"/>
          </w:tcPr>
          <w:p w14:paraId="5D2E03A6">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color w:val="000000" w:themeColor="text1"/>
                <w:sz w:val="18"/>
                <w:szCs w:val="18"/>
                <w:lang w:eastAsia="zh-CN"/>
                <w14:textFill>
                  <w14:solidFill>
                    <w14:schemeClr w14:val="tx1"/>
                  </w14:solidFill>
                </w14:textFill>
              </w:rPr>
              <w:t>国家及地方有关水污染防治的规范文件的相关要求</w:t>
            </w:r>
          </w:p>
        </w:tc>
        <w:tc>
          <w:tcPr>
            <w:tcW w:w="2895" w:type="dxa"/>
            <w:tcBorders>
              <w:tl2br w:val="nil"/>
              <w:tr2bl w:val="nil"/>
            </w:tcBorders>
            <w:vAlign w:val="center"/>
          </w:tcPr>
          <w:p w14:paraId="494EDFAE">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56" w:type="dxa"/>
            <w:tcBorders>
              <w:tl2br w:val="nil"/>
              <w:tr2bl w:val="nil"/>
            </w:tcBorders>
            <w:vAlign w:val="center"/>
          </w:tcPr>
          <w:p w14:paraId="71E7F105">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76D9382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83" w:hRule="atLeast"/>
          <w:jc w:val="center"/>
        </w:trPr>
        <w:tc>
          <w:tcPr>
            <w:tcW w:w="817" w:type="dxa"/>
            <w:tcBorders>
              <w:tl2br w:val="nil"/>
              <w:tr2bl w:val="nil"/>
            </w:tcBorders>
            <w:vAlign w:val="center"/>
          </w:tcPr>
          <w:p w14:paraId="757000BB">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《国务院关于印发水污染防治行动计划的通知》国发</w:t>
            </w:r>
            <w:r>
              <w:rPr>
                <w:rFonts w:ascii="Times New Roman" w:hAnsi="Times New Roman" w:eastAsia="Times New Roman"/>
                <w:color w:val="000000" w:themeColor="text1"/>
                <w:sz w:val="18"/>
                <w:szCs w:val="18"/>
                <w:lang w:eastAsia="zh-CN"/>
                <w14:textFill>
                  <w14:solidFill>
                    <w14:schemeClr w14:val="tx1"/>
                  </w14:solidFill>
                </w14:textFill>
              </w:rPr>
              <w:t>[2015]17</w:t>
            </w:r>
            <w:r>
              <w:rPr>
                <w:rFonts w:hint="eastAsia" w:ascii="宋体" w:hAnsi="宋体" w:eastAsia="宋体" w:cs="宋体"/>
                <w:color w:val="000000" w:themeColor="text1"/>
                <w:sz w:val="18"/>
                <w:szCs w:val="18"/>
                <w:lang w:eastAsia="zh-CN"/>
                <w14:textFill>
                  <w14:solidFill>
                    <w14:schemeClr w14:val="tx1"/>
                  </w14:solidFill>
                </w14:textFill>
              </w:rPr>
              <w:t>号</w:t>
            </w:r>
          </w:p>
        </w:tc>
        <w:tc>
          <w:tcPr>
            <w:tcW w:w="4110" w:type="dxa"/>
            <w:tcBorders>
              <w:tl2br w:val="nil"/>
              <w:tr2bl w:val="nil"/>
            </w:tcBorders>
            <w:vAlign w:val="center"/>
          </w:tcPr>
          <w:p w14:paraId="64D9065C">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（三）推进农业农村污染防治。防治畜禽养殖污染。科学划定畜禽养殖禁养区，</w:t>
            </w:r>
            <w:r>
              <w:rPr>
                <w:rFonts w:ascii="Times New Roman" w:hAnsi="Times New Roman" w:eastAsia="Times New Roman"/>
                <w:color w:val="000000" w:themeColor="text1"/>
                <w:sz w:val="18"/>
                <w:szCs w:val="18"/>
                <w:lang w:eastAsia="zh-CN"/>
                <w14:textFill>
                  <w14:solidFill>
                    <w14:schemeClr w14:val="tx1"/>
                  </w14:solidFill>
                </w14:textFill>
              </w:rPr>
              <w:t>2017</w:t>
            </w:r>
            <w:r>
              <w:rPr>
                <w:rFonts w:hint="eastAsia" w:ascii="宋体" w:hAnsi="宋体" w:eastAsia="宋体" w:cs="宋体"/>
                <w:color w:val="000000" w:themeColor="text1"/>
                <w:sz w:val="18"/>
                <w:szCs w:val="18"/>
                <w:lang w:eastAsia="zh-CN"/>
                <w14:textFill>
                  <w14:solidFill>
                    <w14:schemeClr w14:val="tx1"/>
                  </w14:solidFill>
                </w14:textFill>
              </w:rPr>
              <w:t>年底前，依法关闭或搬迁禁养区内的畜禽养殖场（小区）和养殖专业户，京津冀、长三角、珠三角等区域提前一年完成。现有规模化畜禽养殖场（小区）要根据污染防治需要，配套建设粪便污水贮存、处理、利用设施。散养密集区要实行畜禽粪便污水分户收集、集中处理利用。自</w:t>
            </w:r>
            <w:r>
              <w:rPr>
                <w:rFonts w:ascii="Times New Roman" w:hAnsi="Times New Roman" w:eastAsia="Times New Roman"/>
                <w:color w:val="000000" w:themeColor="text1"/>
                <w:sz w:val="18"/>
                <w:szCs w:val="18"/>
                <w:lang w:eastAsia="zh-CN"/>
                <w14:textFill>
                  <w14:solidFill>
                    <w14:schemeClr w14:val="tx1"/>
                  </w14:solidFill>
                </w14:textFill>
              </w:rPr>
              <w:t>2016</w:t>
            </w:r>
            <w:r>
              <w:rPr>
                <w:rFonts w:hint="eastAsia" w:ascii="宋体" w:hAnsi="宋体" w:eastAsia="宋体" w:cs="宋体"/>
                <w:color w:val="000000" w:themeColor="text1"/>
                <w:sz w:val="18"/>
                <w:szCs w:val="18"/>
                <w:lang w:eastAsia="zh-CN"/>
                <w14:textFill>
                  <w14:solidFill>
                    <w14:schemeClr w14:val="tx1"/>
                  </w14:solidFill>
                </w14:textFill>
              </w:rPr>
              <w:t>年起，新建、改建、扩建规模化畜禽养殖场（小区）要实施雨污分流、粪便污水资源化利用。</w:t>
            </w:r>
          </w:p>
          <w:p w14:paraId="74D5DE25">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控制农业面源污染。制定实施全国农业面源污染综合防治方案。推广低毒、低残留农药使用补助试点经验，开展农作物病虫害绿色防控和统防统治。实行测土配方施肥，推广精准施肥技术和机具。完善高标准农田建设、土地开发整理等标准规范，明确环保要求，新建高标准农田要达到相关环保要求。敏感区域和大中型灌区，要利用现有沟、塘、窖等，配置水生植物群落、格栅和透水坝，建设生态沟渠、污水净化塘、地表径流集蓄池等设施，净化农田排水及地表径流。到</w:t>
            </w:r>
            <w:r>
              <w:rPr>
                <w:rFonts w:ascii="Times New Roman" w:hAnsi="Times New Roman" w:eastAsia="Times New Roman"/>
                <w:color w:val="000000" w:themeColor="text1"/>
                <w:sz w:val="18"/>
                <w:szCs w:val="18"/>
                <w:lang w:eastAsia="zh-CN"/>
                <w14:textFill>
                  <w14:solidFill>
                    <w14:schemeClr w14:val="tx1"/>
                  </w14:solidFill>
                </w14:textFill>
              </w:rPr>
              <w:t>2020</w:t>
            </w:r>
            <w:r>
              <w:rPr>
                <w:rFonts w:hint="eastAsia" w:ascii="宋体" w:hAnsi="宋体" w:eastAsia="宋体" w:cs="宋体"/>
                <w:color w:val="000000" w:themeColor="text1"/>
                <w:sz w:val="18"/>
                <w:szCs w:val="18"/>
                <w:lang w:eastAsia="zh-CN"/>
                <w14:textFill>
                  <w14:solidFill>
                    <w14:schemeClr w14:val="tx1"/>
                  </w14:solidFill>
                </w14:textFill>
              </w:rPr>
              <w:t>年，测土配方施肥技术推广覆盖率达到</w:t>
            </w:r>
            <w:r>
              <w:rPr>
                <w:rFonts w:ascii="Times New Roman" w:hAnsi="Times New Roman" w:eastAsia="Times New Roman"/>
                <w:color w:val="000000" w:themeColor="text1"/>
                <w:sz w:val="18"/>
                <w:szCs w:val="18"/>
                <w:lang w:eastAsia="zh-CN"/>
                <w14:textFill>
                  <w14:solidFill>
                    <w14:schemeClr w14:val="tx1"/>
                  </w14:solidFill>
                </w14:textFill>
              </w:rPr>
              <w:t>90%</w:t>
            </w:r>
            <w:r>
              <w:rPr>
                <w:rFonts w:hint="eastAsia" w:ascii="宋体" w:hAnsi="宋体" w:eastAsia="宋体" w:cs="宋体"/>
                <w:color w:val="000000" w:themeColor="text1"/>
                <w:sz w:val="18"/>
                <w:szCs w:val="18"/>
                <w:lang w:eastAsia="zh-CN"/>
                <w14:textFill>
                  <w14:solidFill>
                    <w14:schemeClr w14:val="tx1"/>
                  </w14:solidFill>
                </w14:textFill>
              </w:rPr>
              <w:t>以上，化肥利用率提高到</w:t>
            </w:r>
            <w:r>
              <w:rPr>
                <w:rFonts w:ascii="Times New Roman" w:hAnsi="Times New Roman" w:eastAsia="Times New Roman"/>
                <w:color w:val="000000" w:themeColor="text1"/>
                <w:sz w:val="18"/>
                <w:szCs w:val="18"/>
                <w:lang w:eastAsia="zh-CN"/>
                <w14:textFill>
                  <w14:solidFill>
                    <w14:schemeClr w14:val="tx1"/>
                  </w14:solidFill>
                </w14:textFill>
              </w:rPr>
              <w:t>40%</w:t>
            </w:r>
            <w:r>
              <w:rPr>
                <w:rFonts w:hint="eastAsia" w:ascii="宋体" w:hAnsi="宋体" w:eastAsia="宋体" w:cs="宋体"/>
                <w:color w:val="000000" w:themeColor="text1"/>
                <w:sz w:val="18"/>
                <w:szCs w:val="18"/>
                <w:lang w:eastAsia="zh-CN"/>
                <w14:textFill>
                  <w14:solidFill>
                    <w14:schemeClr w14:val="tx1"/>
                  </w14:solidFill>
                </w14:textFill>
              </w:rPr>
              <w:t>以上，农作物病虫害统防统治覆盖率达到</w:t>
            </w:r>
            <w:r>
              <w:rPr>
                <w:rFonts w:ascii="Times New Roman" w:hAnsi="Times New Roman" w:eastAsia="Times New Roman"/>
                <w:color w:val="000000" w:themeColor="text1"/>
                <w:sz w:val="18"/>
                <w:szCs w:val="18"/>
                <w:lang w:eastAsia="zh-CN"/>
                <w14:textFill>
                  <w14:solidFill>
                    <w14:schemeClr w14:val="tx1"/>
                  </w14:solidFill>
                </w14:textFill>
              </w:rPr>
              <w:t>40%</w:t>
            </w:r>
            <w:r>
              <w:rPr>
                <w:rFonts w:hint="eastAsia" w:ascii="宋体" w:hAnsi="宋体" w:eastAsia="宋体" w:cs="宋体"/>
                <w:color w:val="000000" w:themeColor="text1"/>
                <w:sz w:val="18"/>
                <w:szCs w:val="18"/>
                <w:lang w:eastAsia="zh-CN"/>
                <w14:textFill>
                  <w14:solidFill>
                    <w14:schemeClr w14:val="tx1"/>
                  </w14:solidFill>
                </w14:textFill>
              </w:rPr>
              <w:t>以上；京津冀、长三角、珠三角等区域提前一年完成。</w:t>
            </w:r>
          </w:p>
        </w:tc>
        <w:tc>
          <w:tcPr>
            <w:tcW w:w="2895" w:type="dxa"/>
            <w:vMerge w:val="restart"/>
            <w:tcBorders>
              <w:tl2br w:val="nil"/>
              <w:tr2bl w:val="nil"/>
            </w:tcBorders>
            <w:vAlign w:val="center"/>
          </w:tcPr>
          <w:p w14:paraId="4BB832C4">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本项目选址位于巴中市巴州区白庙乡、曾口镇、清江镇、水宁寺镇，不属于畜禽禁养区，项目实行雨污分流。</w:t>
            </w:r>
          </w:p>
          <w:p w14:paraId="748076D2">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项目采用发酵床养殖工艺，粪尿直接排泄到垫料上，通过牛的踩踏，使粪尿和垫料充分混合，让有益微生物菌种发酵，使粪、尿有机物质分解和转化，无尿污排出。废弃垫料外运至有机肥厂无害化处理后生产有机肥，实现粪污资源化利用。</w:t>
            </w:r>
          </w:p>
          <w:p w14:paraId="7F5B4C86">
            <w:pPr>
              <w:widowControl/>
              <w:autoSpaceDE/>
              <w:autoSpaceDN/>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病死牛委托四川科农动物无害化处理有限公司清运处置。</w:t>
            </w:r>
          </w:p>
        </w:tc>
        <w:tc>
          <w:tcPr>
            <w:tcW w:w="656" w:type="dxa"/>
            <w:vMerge w:val="restart"/>
            <w:tcBorders>
              <w:tl2br w:val="nil"/>
              <w:tr2bl w:val="nil"/>
            </w:tcBorders>
            <w:vAlign w:val="center"/>
          </w:tcPr>
          <w:p w14:paraId="6C93A2CB">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18A1A3EF">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04" w:hRule="atLeast"/>
          <w:jc w:val="center"/>
        </w:trPr>
        <w:tc>
          <w:tcPr>
            <w:tcW w:w="817" w:type="dxa"/>
            <w:tcBorders>
              <w:tl2br w:val="nil"/>
              <w:tr2bl w:val="nil"/>
            </w:tcBorders>
            <w:vAlign w:val="center"/>
          </w:tcPr>
          <w:p w14:paraId="064C64D3">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《关于印发</w:t>
            </w:r>
            <w:r>
              <w:rPr>
                <w:rFonts w:ascii="Times New Roman" w:hAnsi="Times New Roman" w:eastAsia="Times New Roman"/>
                <w:color w:val="000000" w:themeColor="text1"/>
                <w:sz w:val="18"/>
                <w:szCs w:val="18"/>
                <w:lang w:eastAsia="zh-CN"/>
                <w14:textFill>
                  <w14:solidFill>
                    <w14:schemeClr w14:val="tx1"/>
                  </w14:solidFill>
                </w14:textFill>
              </w:rPr>
              <w:t>&lt;</w:t>
            </w:r>
            <w:r>
              <w:rPr>
                <w:rFonts w:hint="eastAsia" w:ascii="宋体" w:hAnsi="宋体" w:eastAsia="宋体" w:cs="宋体"/>
                <w:color w:val="000000" w:themeColor="text1"/>
                <w:sz w:val="18"/>
                <w:szCs w:val="18"/>
                <w:lang w:eastAsia="zh-CN"/>
                <w14:textFill>
                  <w14:solidFill>
                    <w14:schemeClr w14:val="tx1"/>
                  </w14:solidFill>
                </w14:textFill>
              </w:rPr>
              <w:t>重点流域水污染防治规划</w:t>
            </w:r>
            <w:r>
              <w:rPr>
                <w:rFonts w:ascii="Times New Roman" w:hAnsi="Times New Roman" w:eastAsia="Times New Roman"/>
                <w:color w:val="000000" w:themeColor="text1"/>
                <w:sz w:val="18"/>
                <w:szCs w:val="18"/>
                <w:lang w:eastAsia="zh-CN"/>
                <w14:textFill>
                  <w14:solidFill>
                    <w14:schemeClr w14:val="tx1"/>
                  </w14:solidFill>
                </w14:textFill>
              </w:rPr>
              <w:t>2016-2020</w:t>
            </w:r>
            <w:r>
              <w:rPr>
                <w:rFonts w:hint="eastAsia" w:ascii="宋体" w:hAnsi="宋体" w:eastAsia="宋体" w:cs="宋体"/>
                <w:color w:val="000000" w:themeColor="text1"/>
                <w:sz w:val="18"/>
                <w:szCs w:val="18"/>
                <w:lang w:eastAsia="zh-CN"/>
                <w14:textFill>
                  <w14:solidFill>
                    <w14:schemeClr w14:val="tx1"/>
                  </w14:solidFill>
                </w14:textFill>
              </w:rPr>
              <w:t>年）</w:t>
            </w:r>
            <w:r>
              <w:rPr>
                <w:rFonts w:ascii="Times New Roman" w:hAnsi="Times New Roman" w:eastAsia="Times New Roman"/>
                <w:color w:val="000000" w:themeColor="text1"/>
                <w:sz w:val="18"/>
                <w:szCs w:val="18"/>
                <w:lang w:eastAsia="zh-CN"/>
                <w14:textFill>
                  <w14:solidFill>
                    <w14:schemeClr w14:val="tx1"/>
                  </w14:solidFill>
                </w14:textFill>
              </w:rPr>
              <w:t>&gt;</w:t>
            </w:r>
            <w:r>
              <w:rPr>
                <w:rFonts w:hint="eastAsia" w:ascii="宋体" w:hAnsi="宋体" w:eastAsia="宋体" w:cs="宋体"/>
                <w:color w:val="000000" w:themeColor="text1"/>
                <w:sz w:val="18"/>
                <w:szCs w:val="18"/>
                <w:lang w:eastAsia="zh-CN"/>
                <w14:textFill>
                  <w14:solidFill>
                    <w14:schemeClr w14:val="tx1"/>
                  </w14:solidFill>
                </w14:textFill>
              </w:rPr>
              <w:t>的通知》环水体</w:t>
            </w:r>
            <w:r>
              <w:rPr>
                <w:rFonts w:ascii="Times New Roman" w:hAnsi="Times New Roman" w:eastAsia="Times New Roman"/>
                <w:color w:val="000000" w:themeColor="text1"/>
                <w:sz w:val="18"/>
                <w:szCs w:val="18"/>
                <w:lang w:eastAsia="zh-CN"/>
                <w14:textFill>
                  <w14:solidFill>
                    <w14:schemeClr w14:val="tx1"/>
                  </w14:solidFill>
                </w14:textFill>
              </w:rPr>
              <w:t>[2017]142</w:t>
            </w:r>
            <w:r>
              <w:rPr>
                <w:rFonts w:hint="eastAsia" w:ascii="宋体" w:hAnsi="宋体" w:eastAsia="宋体" w:cs="宋体"/>
                <w:color w:val="000000" w:themeColor="text1"/>
                <w:sz w:val="18"/>
                <w:szCs w:val="18"/>
                <w:lang w:eastAsia="zh-CN"/>
                <w14:textFill>
                  <w14:solidFill>
                    <w14:schemeClr w14:val="tx1"/>
                  </w14:solidFill>
                </w14:textFill>
              </w:rPr>
              <w:t>号</w:t>
            </w:r>
          </w:p>
        </w:tc>
        <w:tc>
          <w:tcPr>
            <w:tcW w:w="4110" w:type="dxa"/>
            <w:tcBorders>
              <w:tl2br w:val="nil"/>
              <w:tr2bl w:val="nil"/>
            </w:tcBorders>
            <w:vAlign w:val="center"/>
          </w:tcPr>
          <w:p w14:paraId="3BC4A3BB">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（一）长江流域</w:t>
            </w:r>
          </w:p>
          <w:p w14:paraId="01CA15CD">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严格落实畜禽规模养殖污染防治条例，推进畜禽粪污资源化利用和污染治理；</w:t>
            </w:r>
            <w:r>
              <w:rPr>
                <w:rFonts w:ascii="Times New Roman" w:hAnsi="Times New Roman" w:eastAsia="Times New Roman"/>
                <w:color w:val="000000" w:themeColor="text1"/>
                <w:sz w:val="18"/>
                <w:szCs w:val="18"/>
                <w:lang w:eastAsia="zh-CN"/>
                <w14:textFill>
                  <w14:solidFill>
                    <w14:schemeClr w14:val="tx1"/>
                  </w14:solidFill>
                </w14:textFill>
              </w:rPr>
              <w:t>……</w:t>
            </w:r>
          </w:p>
          <w:p w14:paraId="40B31D48">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三、农业农村污染防治</w:t>
            </w:r>
          </w:p>
          <w:p w14:paraId="32773BC2">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（一）加强养殖污染防治</w:t>
            </w:r>
          </w:p>
          <w:p w14:paraId="233C61D6">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优化畜禽养殖空间布局。加快完成畜禽养殖禁养区划定工作，</w:t>
            </w:r>
            <w:r>
              <w:rPr>
                <w:rFonts w:ascii="Times New Roman" w:hAnsi="Times New Roman" w:eastAsia="Times New Roman"/>
                <w:color w:val="000000" w:themeColor="text1"/>
                <w:sz w:val="18"/>
                <w:szCs w:val="18"/>
                <w:lang w:eastAsia="zh-CN"/>
                <w14:textFill>
                  <w14:solidFill>
                    <w14:schemeClr w14:val="tx1"/>
                  </w14:solidFill>
                </w14:textFill>
              </w:rPr>
              <w:t>2017</w:t>
            </w:r>
            <w:r>
              <w:rPr>
                <w:rFonts w:hint="eastAsia" w:ascii="宋体" w:hAnsi="宋体" w:eastAsia="宋体" w:cs="宋体"/>
                <w:color w:val="000000" w:themeColor="text1"/>
                <w:sz w:val="18"/>
                <w:szCs w:val="18"/>
                <w:lang w:eastAsia="zh-CN"/>
                <w14:textFill>
                  <w14:solidFill>
                    <w14:schemeClr w14:val="tx1"/>
                  </w14:solidFill>
                </w14:textFill>
              </w:rPr>
              <w:t>年底前，依法关闭或搬迁禁养区内的畜禽养殖场（小区）和养殖专业户</w:t>
            </w:r>
            <w:r>
              <w:rPr>
                <w:rFonts w:ascii="Times New Roman" w:hAnsi="Times New Roman" w:eastAsia="Times New Roman"/>
                <w:color w:val="000000" w:themeColor="text1"/>
                <w:sz w:val="18"/>
                <w:szCs w:val="18"/>
                <w:lang w:eastAsia="zh-CN"/>
                <w14:textFill>
                  <w14:solidFill>
                    <w14:schemeClr w14:val="tx1"/>
                  </w14:solidFill>
                </w14:textFill>
              </w:rPr>
              <w:t>……</w:t>
            </w:r>
          </w:p>
          <w:p w14:paraId="5E8218D8">
            <w:pPr>
              <w:widowControl/>
              <w:autoSpaceDE/>
              <w:autoSpaceDN/>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推进畜禽养殖粪便资源化利用和污染治理。</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优先考虑通过种养结合、种养平衡实现畜禽粪便等废弃物的就地就近利用。</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十三五</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期间，新建、改建、扩建规模畜禽养殖场（小区）要实施雨污分流、粪便污水资源化利用。</w:t>
            </w:r>
          </w:p>
        </w:tc>
        <w:tc>
          <w:tcPr>
            <w:tcW w:w="2895" w:type="dxa"/>
            <w:vMerge w:val="continue"/>
            <w:tcBorders>
              <w:tl2br w:val="nil"/>
              <w:tr2bl w:val="nil"/>
            </w:tcBorders>
            <w:vAlign w:val="center"/>
          </w:tcPr>
          <w:p w14:paraId="400008F6">
            <w:pPr>
              <w:widowControl/>
              <w:autoSpaceDE/>
              <w:autoSpaceDN/>
              <w:ind w:firstLine="360" w:firstLineChars="200"/>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p>
        </w:tc>
        <w:tc>
          <w:tcPr>
            <w:tcW w:w="656" w:type="dxa"/>
            <w:vMerge w:val="continue"/>
            <w:tcBorders>
              <w:tl2br w:val="nil"/>
              <w:tr2bl w:val="nil"/>
            </w:tcBorders>
            <w:vAlign w:val="center"/>
          </w:tcPr>
          <w:p w14:paraId="5C648DD2">
            <w:pPr>
              <w:widowControl w:val="0"/>
              <w:autoSpaceDE w:val="0"/>
              <w:autoSpaceDN w:val="0"/>
              <w:jc w:val="center"/>
              <w:rPr>
                <w:rFonts w:ascii="Times New Roman" w:hAnsi="Times New Roman" w:eastAsia="Times New Roman"/>
                <w:color w:val="000000" w:themeColor="text1"/>
                <w:sz w:val="18"/>
                <w:szCs w:val="18"/>
                <w:lang w:eastAsia="zh-CN"/>
                <w14:textFill>
                  <w14:solidFill>
                    <w14:schemeClr w14:val="tx1"/>
                  </w14:solidFill>
                </w14:textFill>
              </w:rPr>
            </w:pPr>
          </w:p>
        </w:tc>
      </w:tr>
      <w:tr w14:paraId="26A32429">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04" w:hRule="atLeast"/>
          <w:jc w:val="center"/>
        </w:trPr>
        <w:tc>
          <w:tcPr>
            <w:tcW w:w="817" w:type="dxa"/>
            <w:tcBorders>
              <w:tl2br w:val="nil"/>
              <w:tr2bl w:val="nil"/>
            </w:tcBorders>
            <w:vAlign w:val="center"/>
          </w:tcPr>
          <w:p w14:paraId="0C1AB7DB">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《四川省人民政府</w:t>
            </w:r>
            <w:r>
              <w:rPr>
                <w:rFonts w:ascii="Times New Roman" w:hAnsi="Times New Roman" w:eastAsia="Times New Roman"/>
                <w:color w:val="000000" w:themeColor="text1"/>
                <w:sz w:val="18"/>
                <w:szCs w:val="18"/>
                <w:lang w:eastAsia="zh-CN"/>
                <w14:textFill>
                  <w14:solidFill>
                    <w14:schemeClr w14:val="tx1"/>
                  </w14:solidFill>
                </w14:textFill>
              </w:rPr>
              <w:t>&lt;</w:t>
            </w:r>
            <w:r>
              <w:rPr>
                <w:rFonts w:hint="eastAsia" w:ascii="宋体" w:hAnsi="宋体" w:eastAsia="宋体" w:cs="宋体"/>
                <w:color w:val="000000" w:themeColor="text1"/>
                <w:sz w:val="18"/>
                <w:szCs w:val="18"/>
                <w:lang w:eastAsia="zh-CN"/>
                <w14:textFill>
                  <w14:solidFill>
                    <w14:schemeClr w14:val="tx1"/>
                  </w14:solidFill>
                </w14:textFill>
              </w:rPr>
              <w:t>关于印发水污染防治行动计划四川省工作方案的通知</w:t>
            </w:r>
            <w:r>
              <w:rPr>
                <w:rFonts w:ascii="Times New Roman" w:hAnsi="Times New Roman" w:eastAsia="Times New Roman"/>
                <w:color w:val="000000" w:themeColor="text1"/>
                <w:sz w:val="18"/>
                <w:szCs w:val="18"/>
                <w:lang w:eastAsia="zh-CN"/>
                <w14:textFill>
                  <w14:solidFill>
                    <w14:schemeClr w14:val="tx1"/>
                  </w14:solidFill>
                </w14:textFill>
              </w:rPr>
              <w:t>&gt;</w:t>
            </w:r>
            <w:r>
              <w:rPr>
                <w:rFonts w:hint="eastAsia" w:ascii="宋体" w:hAnsi="宋体" w:eastAsia="宋体" w:cs="宋体"/>
                <w:color w:val="000000" w:themeColor="text1"/>
                <w:sz w:val="18"/>
                <w:szCs w:val="18"/>
                <w:lang w:eastAsia="zh-CN"/>
                <w14:textFill>
                  <w14:solidFill>
                    <w14:schemeClr w14:val="tx1"/>
                  </w14:solidFill>
                </w14:textFill>
              </w:rPr>
              <w:t>》川府发</w:t>
            </w:r>
            <w:r>
              <w:rPr>
                <w:rFonts w:ascii="Times New Roman" w:hAnsi="Times New Roman" w:eastAsia="Times New Roman"/>
                <w:color w:val="000000" w:themeColor="text1"/>
                <w:sz w:val="18"/>
                <w:szCs w:val="18"/>
                <w:lang w:eastAsia="zh-CN"/>
                <w14:textFill>
                  <w14:solidFill>
                    <w14:schemeClr w14:val="tx1"/>
                  </w14:solidFill>
                </w14:textFill>
              </w:rPr>
              <w:t>[2015]59</w:t>
            </w:r>
            <w:r>
              <w:rPr>
                <w:rFonts w:hint="eastAsia" w:ascii="宋体" w:hAnsi="宋体" w:eastAsia="宋体" w:cs="宋体"/>
                <w:color w:val="000000" w:themeColor="text1"/>
                <w:sz w:val="18"/>
                <w:szCs w:val="18"/>
                <w:lang w:eastAsia="zh-CN"/>
                <w14:textFill>
                  <w14:solidFill>
                    <w14:schemeClr w14:val="tx1"/>
                  </w14:solidFill>
                </w14:textFill>
              </w:rPr>
              <w:t>号</w:t>
            </w:r>
          </w:p>
        </w:tc>
        <w:tc>
          <w:tcPr>
            <w:tcW w:w="4110" w:type="dxa"/>
            <w:tcBorders>
              <w:tl2br w:val="nil"/>
              <w:tr2bl w:val="nil"/>
            </w:tcBorders>
            <w:vAlign w:val="center"/>
          </w:tcPr>
          <w:p w14:paraId="780C1097">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防治畜禽养殖污染。规范畜禽养殖管理。环境保护部门会同农业部门组织指导各地科学划定畜禽养殖禁养区、限养区，于</w:t>
            </w:r>
            <w:r>
              <w:rPr>
                <w:rFonts w:ascii="Times New Roman" w:hAnsi="Times New Roman" w:eastAsia="Times New Roman"/>
                <w:color w:val="000000" w:themeColor="text1"/>
                <w:sz w:val="18"/>
                <w:szCs w:val="18"/>
                <w:lang w:eastAsia="zh-CN"/>
                <w14:textFill>
                  <w14:solidFill>
                    <w14:schemeClr w14:val="tx1"/>
                  </w14:solidFill>
                </w14:textFill>
              </w:rPr>
              <w:t>2016</w:t>
            </w:r>
            <w:r>
              <w:rPr>
                <w:rFonts w:hint="eastAsia" w:ascii="宋体" w:hAnsi="宋体" w:eastAsia="宋体" w:cs="宋体"/>
                <w:color w:val="000000" w:themeColor="text1"/>
                <w:sz w:val="18"/>
                <w:szCs w:val="18"/>
                <w:lang w:eastAsia="zh-CN"/>
                <w14:textFill>
                  <w14:solidFill>
                    <w14:schemeClr w14:val="tx1"/>
                  </w14:solidFill>
                </w14:textFill>
              </w:rPr>
              <w:t>年</w:t>
            </w:r>
            <w:r>
              <w:rPr>
                <w:rFonts w:ascii="Times New Roman" w:hAnsi="Times New Roman" w:eastAsia="Times New Roman"/>
                <w:color w:val="000000" w:themeColor="text1"/>
                <w:sz w:val="18"/>
                <w:szCs w:val="18"/>
                <w:lang w:eastAsia="zh-CN"/>
                <w14:textFill>
                  <w14:solidFill>
                    <w14:schemeClr w14:val="tx1"/>
                  </w14:solidFill>
                </w14:textFill>
              </w:rPr>
              <w:t>6</w:t>
            </w:r>
            <w:r>
              <w:rPr>
                <w:rFonts w:hint="eastAsia" w:ascii="宋体" w:hAnsi="宋体" w:eastAsia="宋体" w:cs="宋体"/>
                <w:color w:val="000000" w:themeColor="text1"/>
                <w:sz w:val="18"/>
                <w:szCs w:val="18"/>
                <w:lang w:eastAsia="zh-CN"/>
                <w14:textFill>
                  <w14:solidFill>
                    <w14:schemeClr w14:val="tx1"/>
                  </w14:solidFill>
                </w14:textFill>
              </w:rPr>
              <w:t>月底前列出禁养区内的畜禽养殖场（小区）和养殖专业户清单；督促各市（州）、县（市、区）在</w:t>
            </w:r>
            <w:r>
              <w:rPr>
                <w:rFonts w:ascii="Times New Roman" w:hAnsi="Times New Roman" w:eastAsia="Times New Roman"/>
                <w:color w:val="000000" w:themeColor="text1"/>
                <w:sz w:val="18"/>
                <w:szCs w:val="18"/>
                <w:lang w:eastAsia="zh-CN"/>
                <w14:textFill>
                  <w14:solidFill>
                    <w14:schemeClr w14:val="tx1"/>
                  </w14:solidFill>
                </w14:textFill>
              </w:rPr>
              <w:t>2017</w:t>
            </w:r>
            <w:r>
              <w:rPr>
                <w:rFonts w:hint="eastAsia" w:ascii="宋体" w:hAnsi="宋体" w:eastAsia="宋体" w:cs="宋体"/>
                <w:color w:val="000000" w:themeColor="text1"/>
                <w:sz w:val="18"/>
                <w:szCs w:val="18"/>
                <w:lang w:eastAsia="zh-CN"/>
                <w14:textFill>
                  <w14:solidFill>
                    <w14:schemeClr w14:val="tx1"/>
                  </w14:solidFill>
                </w14:textFill>
              </w:rPr>
              <w:t>年底前依法关闭或搬迁禁养区内的畜禽养殖场（小区）和养殖专业户。</w:t>
            </w:r>
          </w:p>
          <w:p w14:paraId="01E56E5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加强规模化养殖场（小区）污染治理。农业部门会同环境保护部门组织排查并列出需治理（完善）的规模化养殖场（小区）名单，纳入农业部门、环境保护部门专项工作方案。督促现有规模化养殖场（小区）根据污染防治需要，配套建设粪便贮存、处理、利用设施。因地制宜建设大中型沼气工程。自</w:t>
            </w:r>
            <w:r>
              <w:rPr>
                <w:rFonts w:ascii="Times New Roman" w:hAnsi="Times New Roman" w:eastAsia="Times New Roman"/>
                <w:color w:val="000000" w:themeColor="text1"/>
                <w:sz w:val="18"/>
                <w:szCs w:val="18"/>
                <w:lang w:eastAsia="zh-CN"/>
                <w14:textFill>
                  <w14:solidFill>
                    <w14:schemeClr w14:val="tx1"/>
                  </w14:solidFill>
                </w14:textFill>
              </w:rPr>
              <w:t>2016</w:t>
            </w:r>
            <w:r>
              <w:rPr>
                <w:rFonts w:hint="eastAsia" w:ascii="宋体" w:hAnsi="宋体" w:eastAsia="宋体" w:cs="宋体"/>
                <w:color w:val="000000" w:themeColor="text1"/>
                <w:sz w:val="18"/>
                <w:szCs w:val="18"/>
                <w:lang w:eastAsia="zh-CN"/>
                <w14:textFill>
                  <w14:solidFill>
                    <w14:schemeClr w14:val="tx1"/>
                  </w14:solidFill>
                </w14:textFill>
              </w:rPr>
              <w:t>年起，新建、改建、扩建规模化畜禽养殖场（小区）要实施雨污分流、粪便污水资源化利用。</w:t>
            </w:r>
          </w:p>
          <w:p w14:paraId="59C7A2DA">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控制农业面源污染</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开展农作物病虫害绿色防控、统防统治。推广低毒、低残留农药使用补助试点经验</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深入推广测土配方施肥。重点在设施作物、蔬菜、果树、茶叶等经济园艺作物上推广测土配方施肥技术，开展水肥一体化技术示范，逐步实现主要农作物测土配方施肥全覆盖</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净化农田排水。岷江、沱江、嘉陵江流域等整治重点区域，要充分利用现有沟、塘、渠等，配置水生植物群落、格栅和透水坝，建设生态沟渠、污水净化塘、地表径流集蓄池等设施，净化农田排水及地表径流并综合利用。</w:t>
            </w:r>
          </w:p>
        </w:tc>
        <w:tc>
          <w:tcPr>
            <w:tcW w:w="2895" w:type="dxa"/>
            <w:vMerge w:val="continue"/>
            <w:tcBorders>
              <w:tl2br w:val="nil"/>
              <w:tr2bl w:val="nil"/>
            </w:tcBorders>
            <w:vAlign w:val="center"/>
          </w:tcPr>
          <w:p w14:paraId="5ABF6076">
            <w:pPr>
              <w:widowControl/>
              <w:autoSpaceDE/>
              <w:autoSpaceDN/>
              <w:ind w:firstLine="360" w:firstLineChars="200"/>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p>
        </w:tc>
        <w:tc>
          <w:tcPr>
            <w:tcW w:w="656" w:type="dxa"/>
            <w:vMerge w:val="continue"/>
            <w:tcBorders>
              <w:tl2br w:val="nil"/>
              <w:tr2bl w:val="nil"/>
            </w:tcBorders>
            <w:vAlign w:val="center"/>
          </w:tcPr>
          <w:p w14:paraId="7AE4627C">
            <w:pPr>
              <w:widowControl w:val="0"/>
              <w:autoSpaceDE w:val="0"/>
              <w:autoSpaceDN w:val="0"/>
              <w:jc w:val="center"/>
              <w:rPr>
                <w:rFonts w:ascii="Times New Roman" w:hAnsi="Times New Roman" w:eastAsia="Times New Roman"/>
                <w:color w:val="000000" w:themeColor="text1"/>
                <w:sz w:val="18"/>
                <w:szCs w:val="18"/>
                <w:lang w:eastAsia="zh-CN"/>
                <w14:textFill>
                  <w14:solidFill>
                    <w14:schemeClr w14:val="tx1"/>
                  </w14:solidFill>
                </w14:textFill>
              </w:rPr>
            </w:pPr>
          </w:p>
        </w:tc>
      </w:tr>
      <w:tr w14:paraId="08578EAA">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2" w:hRule="atLeast"/>
          <w:jc w:val="center"/>
        </w:trPr>
        <w:tc>
          <w:tcPr>
            <w:tcW w:w="817" w:type="dxa"/>
            <w:tcBorders>
              <w:tl2br w:val="nil"/>
              <w:tr2bl w:val="nil"/>
            </w:tcBorders>
            <w:vAlign w:val="center"/>
          </w:tcPr>
          <w:p w14:paraId="5BAF0F23">
            <w:pPr>
              <w:widowControl w:val="0"/>
              <w:autoSpaceDE w:val="0"/>
              <w:autoSpaceDN w:val="0"/>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《四川省人民政府关于印发四川省打赢蓝天保卫战等九个实施方案的通知》川府发</w:t>
            </w:r>
            <w:r>
              <w:rPr>
                <w:rFonts w:ascii="Times New Roman" w:hAnsi="Times New Roman" w:eastAsia="Times New Roman"/>
                <w:color w:val="000000" w:themeColor="text1"/>
                <w:sz w:val="18"/>
                <w:szCs w:val="18"/>
                <w:lang w:eastAsia="zh-CN"/>
                <w14:textFill>
                  <w14:solidFill>
                    <w14:schemeClr w14:val="tx1"/>
                  </w14:solidFill>
                </w14:textFill>
              </w:rPr>
              <w:t>[2019]4</w:t>
            </w:r>
            <w:r>
              <w:rPr>
                <w:rFonts w:hint="eastAsia" w:ascii="宋体" w:hAnsi="宋体" w:eastAsia="宋体" w:cs="宋体"/>
                <w:color w:val="000000" w:themeColor="text1"/>
                <w:sz w:val="18"/>
                <w:szCs w:val="18"/>
                <w:lang w:eastAsia="zh-CN"/>
                <w14:textFill>
                  <w14:solidFill>
                    <w14:schemeClr w14:val="tx1"/>
                  </w14:solidFill>
                </w14:textFill>
              </w:rPr>
              <w:t>号</w:t>
            </w:r>
          </w:p>
        </w:tc>
        <w:tc>
          <w:tcPr>
            <w:tcW w:w="4110" w:type="dxa"/>
            <w:tcBorders>
              <w:tl2br w:val="nil"/>
              <w:tr2bl w:val="nil"/>
            </w:tcBorders>
            <w:vAlign w:val="center"/>
          </w:tcPr>
          <w:p w14:paraId="0C2F33BC">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《四川省打赢碧水保卫战实施方案》</w:t>
            </w:r>
          </w:p>
          <w:p w14:paraId="09E06F8B">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整治畜禽养殖污染。全面推进畜禽标准化养殖。规范禁养区划定，坚持种养结合，养殖场的养殖规模要与周边可供消纳的土地量相匹配，并具备完善的雨污分流、粪便污水资源化利用设施。强化畜禽养殖散户管理，禁止畜禽粪污直排，开展农村黑臭沟渠治理工程示范。到</w:t>
            </w:r>
            <w:r>
              <w:rPr>
                <w:rFonts w:ascii="Times New Roman" w:hAnsi="Times New Roman" w:eastAsia="Times New Roman"/>
                <w:color w:val="000000" w:themeColor="text1"/>
                <w:sz w:val="18"/>
                <w:szCs w:val="18"/>
                <w:lang w:eastAsia="zh-CN"/>
                <w14:textFill>
                  <w14:solidFill>
                    <w14:schemeClr w14:val="tx1"/>
                  </w14:solidFill>
                </w14:textFill>
              </w:rPr>
              <w:t>2020</w:t>
            </w:r>
            <w:r>
              <w:rPr>
                <w:rFonts w:hint="eastAsia" w:ascii="宋体" w:hAnsi="宋体" w:eastAsia="宋体" w:cs="宋体"/>
                <w:color w:val="000000" w:themeColor="text1"/>
                <w:sz w:val="18"/>
                <w:szCs w:val="18"/>
                <w:lang w:eastAsia="zh-CN"/>
                <w14:textFill>
                  <w14:solidFill>
                    <w14:schemeClr w14:val="tx1"/>
                  </w14:solidFill>
                </w14:textFill>
              </w:rPr>
              <w:t>年，畜禽粪污综合利用率达到</w:t>
            </w:r>
            <w:r>
              <w:rPr>
                <w:rFonts w:ascii="Times New Roman" w:hAnsi="Times New Roman" w:eastAsia="Times New Roman"/>
                <w:color w:val="000000" w:themeColor="text1"/>
                <w:sz w:val="18"/>
                <w:szCs w:val="18"/>
                <w:lang w:eastAsia="zh-CN"/>
                <w14:textFill>
                  <w14:solidFill>
                    <w14:schemeClr w14:val="tx1"/>
                  </w14:solidFill>
                </w14:textFill>
              </w:rPr>
              <w:t>75%</w:t>
            </w:r>
            <w:r>
              <w:rPr>
                <w:rFonts w:hint="eastAsia" w:ascii="宋体" w:hAnsi="宋体" w:eastAsia="宋体" w:cs="宋体"/>
                <w:color w:val="000000" w:themeColor="text1"/>
                <w:sz w:val="18"/>
                <w:szCs w:val="18"/>
                <w:lang w:eastAsia="zh-CN"/>
                <w14:textFill>
                  <w14:solidFill>
                    <w14:schemeClr w14:val="tx1"/>
                  </w14:solidFill>
                </w14:textFill>
              </w:rPr>
              <w:t>以上，规模养殖场粪污处理设施装备配套率达到</w:t>
            </w:r>
            <w:r>
              <w:rPr>
                <w:rFonts w:ascii="Times New Roman" w:hAnsi="Times New Roman" w:eastAsia="Times New Roman"/>
                <w:color w:val="000000" w:themeColor="text1"/>
                <w:sz w:val="18"/>
                <w:szCs w:val="18"/>
                <w:lang w:eastAsia="zh-CN"/>
                <w14:textFill>
                  <w14:solidFill>
                    <w14:schemeClr w14:val="tx1"/>
                  </w14:solidFill>
                </w14:textFill>
              </w:rPr>
              <w:t>95%</w:t>
            </w:r>
            <w:r>
              <w:rPr>
                <w:rFonts w:hint="eastAsia" w:ascii="宋体" w:hAnsi="宋体" w:eastAsia="宋体" w:cs="宋体"/>
                <w:color w:val="000000" w:themeColor="text1"/>
                <w:sz w:val="18"/>
                <w:szCs w:val="18"/>
                <w:lang w:eastAsia="zh-CN"/>
                <w14:textFill>
                  <w14:solidFill>
                    <w14:schemeClr w14:val="tx1"/>
                  </w14:solidFill>
                </w14:textFill>
              </w:rPr>
              <w:t>以上。</w:t>
            </w:r>
          </w:p>
          <w:p w14:paraId="0223DC79">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《四川省打好长江保护修复攻坚战实施方案》</w:t>
            </w:r>
          </w:p>
          <w:p w14:paraId="34CDD18B">
            <w:pPr>
              <w:widowControl w:val="0"/>
              <w:autoSpaceDE w:val="0"/>
              <w:autoSpaceDN w:val="0"/>
              <w:ind w:firstLine="360" w:firstLineChars="200"/>
              <w:jc w:val="left"/>
              <w:rPr>
                <w:rFonts w:ascii="Times New Roman" w:hAnsi="Times New Roman" w:eastAsia="Times New Roman"/>
                <w:color w:val="000000" w:themeColor="text1"/>
                <w:sz w:val="18"/>
                <w:szCs w:val="18"/>
                <w:lang w:eastAsia="en-US"/>
                <w14:textFill>
                  <w14:solidFill>
                    <w14:schemeClr w14:val="tx1"/>
                  </w14:solidFill>
                </w14:textFill>
              </w:rPr>
            </w:pP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统筹推进种植业、畜禽水产养殖业和农村生活污染防治。切实强化农业畜禽、水产养殖污染物排放控制力度，到</w:t>
            </w:r>
            <w:r>
              <w:rPr>
                <w:rFonts w:ascii="Times New Roman" w:hAnsi="Times New Roman" w:eastAsia="Times New Roman"/>
                <w:color w:val="000000" w:themeColor="text1"/>
                <w:sz w:val="18"/>
                <w:szCs w:val="18"/>
                <w:lang w:eastAsia="zh-CN"/>
                <w14:textFill>
                  <w14:solidFill>
                    <w14:schemeClr w14:val="tx1"/>
                  </w14:solidFill>
                </w14:textFill>
              </w:rPr>
              <w:t>2020</w:t>
            </w:r>
            <w:r>
              <w:rPr>
                <w:rFonts w:hint="eastAsia" w:ascii="宋体" w:hAnsi="宋体" w:eastAsia="宋体" w:cs="宋体"/>
                <w:color w:val="000000" w:themeColor="text1"/>
                <w:sz w:val="18"/>
                <w:szCs w:val="18"/>
                <w:lang w:eastAsia="zh-CN"/>
                <w14:textFill>
                  <w14:solidFill>
                    <w14:schemeClr w14:val="tx1"/>
                  </w14:solidFill>
                </w14:textFill>
              </w:rPr>
              <w:t>年，畜禽粪污综合利用率达到</w:t>
            </w:r>
            <w:r>
              <w:rPr>
                <w:rFonts w:ascii="Times New Roman" w:hAnsi="Times New Roman" w:eastAsia="Times New Roman"/>
                <w:color w:val="000000" w:themeColor="text1"/>
                <w:sz w:val="18"/>
                <w:szCs w:val="18"/>
                <w:lang w:eastAsia="zh-CN"/>
                <w14:textFill>
                  <w14:solidFill>
                    <w14:schemeClr w14:val="tx1"/>
                  </w14:solidFill>
                </w14:textFill>
              </w:rPr>
              <w:t>75%</w:t>
            </w:r>
            <w:r>
              <w:rPr>
                <w:rFonts w:hint="eastAsia" w:ascii="宋体" w:hAnsi="宋体" w:eastAsia="宋体" w:cs="宋体"/>
                <w:color w:val="000000" w:themeColor="text1"/>
                <w:sz w:val="18"/>
                <w:szCs w:val="18"/>
                <w:lang w:eastAsia="zh-CN"/>
                <w14:textFill>
                  <w14:solidFill>
                    <w14:schemeClr w14:val="tx1"/>
                  </w14:solidFill>
                </w14:textFill>
              </w:rPr>
              <w:t>以上，规模养殖场粪污处理设施装备配套率达到</w:t>
            </w:r>
            <w:r>
              <w:rPr>
                <w:rFonts w:ascii="Times New Roman" w:hAnsi="Times New Roman" w:eastAsia="Times New Roman"/>
                <w:color w:val="000000" w:themeColor="text1"/>
                <w:sz w:val="18"/>
                <w:szCs w:val="18"/>
                <w:lang w:eastAsia="zh-CN"/>
                <w14:textFill>
                  <w14:solidFill>
                    <w14:schemeClr w14:val="tx1"/>
                  </w14:solidFill>
                </w14:textFill>
              </w:rPr>
              <w:t>95%</w:t>
            </w:r>
            <w:r>
              <w:rPr>
                <w:rFonts w:hint="eastAsia" w:ascii="宋体" w:hAnsi="宋体" w:eastAsia="宋体" w:cs="宋体"/>
                <w:color w:val="000000" w:themeColor="text1"/>
                <w:sz w:val="18"/>
                <w:szCs w:val="18"/>
                <w:lang w:eastAsia="zh-CN"/>
                <w14:textFill>
                  <w14:solidFill>
                    <w14:schemeClr w14:val="tx1"/>
                  </w14:solidFill>
                </w14:textFill>
              </w:rPr>
              <w:t>以上，其中大型规模养殖场</w:t>
            </w:r>
            <w:r>
              <w:rPr>
                <w:rFonts w:ascii="Times New Roman" w:hAnsi="Times New Roman" w:eastAsia="Times New Roman"/>
                <w:color w:val="000000" w:themeColor="text1"/>
                <w:sz w:val="18"/>
                <w:szCs w:val="18"/>
                <w:lang w:eastAsia="zh-CN"/>
                <w14:textFill>
                  <w14:solidFill>
                    <w14:schemeClr w14:val="tx1"/>
                  </w14:solidFill>
                </w14:textFill>
              </w:rPr>
              <w:t>2019</w:t>
            </w:r>
            <w:r>
              <w:rPr>
                <w:rFonts w:hint="eastAsia" w:ascii="宋体" w:hAnsi="宋体" w:eastAsia="宋体" w:cs="宋体"/>
                <w:color w:val="000000" w:themeColor="text1"/>
                <w:sz w:val="18"/>
                <w:szCs w:val="18"/>
                <w:lang w:eastAsia="zh-CN"/>
                <w14:textFill>
                  <w14:solidFill>
                    <w14:schemeClr w14:val="tx1"/>
                  </w14:solidFill>
                </w14:textFill>
              </w:rPr>
              <w:t>年年底前达到</w:t>
            </w:r>
            <w:r>
              <w:rPr>
                <w:rFonts w:ascii="Times New Roman" w:hAnsi="Times New Roman" w:eastAsia="Times New Roman"/>
                <w:color w:val="000000" w:themeColor="text1"/>
                <w:sz w:val="18"/>
                <w:szCs w:val="18"/>
                <w:lang w:eastAsia="zh-CN"/>
                <w14:textFill>
                  <w14:solidFill>
                    <w14:schemeClr w14:val="tx1"/>
                  </w14:solidFill>
                </w14:textFill>
              </w:rPr>
              <w:t>100%</w:t>
            </w:r>
            <w:r>
              <w:rPr>
                <w:rFonts w:hint="eastAsia" w:ascii="宋体" w:hAnsi="宋体" w:eastAsia="宋体" w:cs="宋体"/>
                <w:color w:val="000000" w:themeColor="text1"/>
                <w:sz w:val="18"/>
                <w:szCs w:val="18"/>
                <w:lang w:eastAsia="zh-CN"/>
                <w14:textFill>
                  <w14:solidFill>
                    <w14:schemeClr w14:val="tx1"/>
                  </w14:solidFill>
                </w14:textFill>
              </w:rPr>
              <w:t>；长江干流和重要支流岸线延伸至陆域</w:t>
            </w:r>
            <w:r>
              <w:rPr>
                <w:rFonts w:ascii="Times New Roman" w:hAnsi="Times New Roman" w:eastAsia="Times New Roman"/>
                <w:color w:val="000000" w:themeColor="text1"/>
                <w:sz w:val="18"/>
                <w:szCs w:val="18"/>
                <w:lang w:eastAsia="zh-CN"/>
                <w14:textFill>
                  <w14:solidFill>
                    <w14:schemeClr w14:val="tx1"/>
                  </w14:solidFill>
                </w14:textFill>
              </w:rPr>
              <w:t>200</w:t>
            </w:r>
            <w:r>
              <w:rPr>
                <w:rFonts w:hint="eastAsia" w:ascii="宋体" w:hAnsi="宋体" w:eastAsia="宋体" w:cs="宋体"/>
                <w:color w:val="000000" w:themeColor="text1"/>
                <w:sz w:val="18"/>
                <w:szCs w:val="18"/>
                <w:lang w:eastAsia="zh-CN"/>
                <w14:textFill>
                  <w14:solidFill>
                    <w14:schemeClr w14:val="tx1"/>
                  </w14:solidFill>
                </w14:textFill>
              </w:rPr>
              <w:t>米范围内基本消除畜禽养殖场（小区）。</w:t>
            </w:r>
            <w:r>
              <w:rPr>
                <w:rFonts w:ascii="Times New Roman" w:hAnsi="Times New Roman" w:eastAsia="Times New Roman"/>
                <w:color w:val="000000" w:themeColor="text1"/>
                <w:sz w:val="18"/>
                <w:szCs w:val="18"/>
                <w:lang w:eastAsia="en-US"/>
                <w14:textFill>
                  <w14:solidFill>
                    <w14:schemeClr w14:val="tx1"/>
                  </w14:solidFill>
                </w14:textFill>
              </w:rPr>
              <w:t>……</w:t>
            </w:r>
          </w:p>
        </w:tc>
        <w:tc>
          <w:tcPr>
            <w:tcW w:w="2895" w:type="dxa"/>
            <w:vMerge w:val="continue"/>
            <w:tcBorders>
              <w:tl2br w:val="nil"/>
              <w:tr2bl w:val="nil"/>
            </w:tcBorders>
            <w:vAlign w:val="center"/>
          </w:tcPr>
          <w:p w14:paraId="56EC9531">
            <w:pPr>
              <w:widowControl w:val="0"/>
              <w:autoSpaceDE w:val="0"/>
              <w:autoSpaceDN w:val="0"/>
              <w:ind w:firstLine="360" w:firstLineChars="200"/>
              <w:jc w:val="left"/>
              <w:rPr>
                <w:rFonts w:ascii="Times New Roman" w:hAnsi="Times New Roman" w:eastAsia="Times New Roman"/>
                <w:color w:val="000000" w:themeColor="text1"/>
                <w:sz w:val="18"/>
                <w:szCs w:val="18"/>
                <w:lang w:eastAsia="en-US"/>
                <w14:textFill>
                  <w14:solidFill>
                    <w14:schemeClr w14:val="tx1"/>
                  </w14:solidFill>
                </w14:textFill>
              </w:rPr>
            </w:pPr>
          </w:p>
        </w:tc>
        <w:tc>
          <w:tcPr>
            <w:tcW w:w="656" w:type="dxa"/>
            <w:vMerge w:val="continue"/>
            <w:tcBorders>
              <w:tl2br w:val="nil"/>
              <w:tr2bl w:val="nil"/>
            </w:tcBorders>
            <w:vAlign w:val="center"/>
          </w:tcPr>
          <w:p w14:paraId="4D246585">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p>
        </w:tc>
      </w:tr>
      <w:tr w14:paraId="5CD9C97B">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226" w:hRule="atLeast"/>
          <w:jc w:val="center"/>
        </w:trPr>
        <w:tc>
          <w:tcPr>
            <w:tcW w:w="817" w:type="dxa"/>
            <w:tcBorders>
              <w:tl2br w:val="nil"/>
              <w:tr2bl w:val="nil"/>
            </w:tcBorders>
            <w:vAlign w:val="center"/>
          </w:tcPr>
          <w:p w14:paraId="2208C017">
            <w:pPr>
              <w:widowControl w:val="0"/>
              <w:autoSpaceDE w:val="0"/>
              <w:autoSpaceDN w:val="0"/>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巴中市人民政府关于印发巴中市水污染防治行动计划实施方案的通知（巴府发</w:t>
            </w:r>
            <w:r>
              <w:rPr>
                <w:rFonts w:ascii="Times New Roman" w:hAnsi="Times New Roman" w:eastAsia="Times New Roman"/>
                <w:color w:val="000000" w:themeColor="text1"/>
                <w:sz w:val="18"/>
                <w:szCs w:val="18"/>
                <w:lang w:eastAsia="zh-CN"/>
                <w14:textFill>
                  <w14:solidFill>
                    <w14:schemeClr w14:val="tx1"/>
                  </w14:solidFill>
                </w14:textFill>
              </w:rPr>
              <w:t>[2016]3</w:t>
            </w:r>
            <w:r>
              <w:rPr>
                <w:rFonts w:hint="eastAsia" w:ascii="宋体" w:hAnsi="宋体" w:eastAsia="宋体" w:cs="宋体"/>
                <w:color w:val="000000" w:themeColor="text1"/>
                <w:sz w:val="18"/>
                <w:szCs w:val="18"/>
                <w:lang w:eastAsia="zh-CN"/>
                <w14:textFill>
                  <w14:solidFill>
                    <w14:schemeClr w14:val="tx1"/>
                  </w14:solidFill>
                </w14:textFill>
              </w:rPr>
              <w:t>号）</w:t>
            </w:r>
          </w:p>
        </w:tc>
        <w:tc>
          <w:tcPr>
            <w:tcW w:w="4110" w:type="dxa"/>
            <w:tcBorders>
              <w:tl2br w:val="nil"/>
              <w:tr2bl w:val="nil"/>
            </w:tcBorders>
            <w:vAlign w:val="center"/>
          </w:tcPr>
          <w:p w14:paraId="44BDEBE7">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p>
          <w:p w14:paraId="450FC393">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强化畜禽养殖污染防治。科学划定畜禽养殖禁养区、限养区和适养区，</w:t>
            </w:r>
            <w:r>
              <w:rPr>
                <w:rFonts w:ascii="Times New Roman" w:hAnsi="Times New Roman" w:eastAsia="Times New Roman"/>
                <w:color w:val="000000" w:themeColor="text1"/>
                <w:sz w:val="18"/>
                <w:szCs w:val="18"/>
                <w:lang w:eastAsia="zh-CN"/>
                <w14:textFill>
                  <w14:solidFill>
                    <w14:schemeClr w14:val="tx1"/>
                  </w14:solidFill>
                </w14:textFill>
              </w:rPr>
              <w:t>2017</w:t>
            </w:r>
            <w:r>
              <w:rPr>
                <w:rFonts w:hint="eastAsia" w:ascii="宋体" w:hAnsi="宋体" w:eastAsia="宋体" w:cs="宋体"/>
                <w:color w:val="000000" w:themeColor="text1"/>
                <w:sz w:val="18"/>
                <w:szCs w:val="18"/>
                <w:lang w:eastAsia="zh-CN"/>
                <w14:textFill>
                  <w14:solidFill>
                    <w14:schemeClr w14:val="tx1"/>
                  </w14:solidFill>
                </w14:textFill>
              </w:rPr>
              <w:t>年底前，依法关闭或搬迁禁养区内的畜禽养殖场（小区）和养殖专业户。现有规模化畜禽养殖场（小区）要根据污染防治需要，配套建设粪便污水贮存、处理、利用设施。散养密集区要实行畜禽粪便污水分户收集、集中处理利用。自</w:t>
            </w:r>
            <w:r>
              <w:rPr>
                <w:rFonts w:ascii="Times New Roman" w:hAnsi="Times New Roman" w:eastAsia="Times New Roman"/>
                <w:color w:val="000000" w:themeColor="text1"/>
                <w:sz w:val="18"/>
                <w:szCs w:val="18"/>
                <w:lang w:eastAsia="zh-CN"/>
                <w14:textFill>
                  <w14:solidFill>
                    <w14:schemeClr w14:val="tx1"/>
                  </w14:solidFill>
                </w14:textFill>
              </w:rPr>
              <w:t>2016</w:t>
            </w:r>
            <w:r>
              <w:rPr>
                <w:rFonts w:hint="eastAsia" w:ascii="宋体" w:hAnsi="宋体" w:eastAsia="宋体" w:cs="宋体"/>
                <w:color w:val="000000" w:themeColor="text1"/>
                <w:sz w:val="18"/>
                <w:szCs w:val="18"/>
                <w:lang w:eastAsia="zh-CN"/>
                <w14:textFill>
                  <w14:solidFill>
                    <w14:schemeClr w14:val="tx1"/>
                  </w14:solidFill>
                </w14:textFill>
              </w:rPr>
              <w:t>年起，新建、改建、扩建规模化畜禽养殖场（小区）要实施雨污分流、粪便污水资源化利用。到</w:t>
            </w:r>
            <w:r>
              <w:rPr>
                <w:rFonts w:ascii="Times New Roman" w:hAnsi="Times New Roman" w:eastAsia="Times New Roman"/>
                <w:color w:val="000000" w:themeColor="text1"/>
                <w:sz w:val="18"/>
                <w:szCs w:val="18"/>
                <w:lang w:eastAsia="zh-CN"/>
                <w14:textFill>
                  <w14:solidFill>
                    <w14:schemeClr w14:val="tx1"/>
                  </w14:solidFill>
                </w14:textFill>
              </w:rPr>
              <w:t>2020</w:t>
            </w:r>
            <w:r>
              <w:rPr>
                <w:rFonts w:hint="eastAsia" w:ascii="宋体" w:hAnsi="宋体" w:eastAsia="宋体" w:cs="宋体"/>
                <w:color w:val="000000" w:themeColor="text1"/>
                <w:sz w:val="18"/>
                <w:szCs w:val="18"/>
                <w:lang w:eastAsia="zh-CN"/>
                <w14:textFill>
                  <w14:solidFill>
                    <w14:schemeClr w14:val="tx1"/>
                  </w14:solidFill>
                </w14:textFill>
              </w:rPr>
              <w:t>年，全市规模化畜禽养殖场（小区）配套建设废弃物处理设施比例达</w:t>
            </w:r>
            <w:r>
              <w:rPr>
                <w:rFonts w:ascii="Times New Roman" w:hAnsi="Times New Roman" w:eastAsia="Times New Roman"/>
                <w:color w:val="000000" w:themeColor="text1"/>
                <w:sz w:val="18"/>
                <w:szCs w:val="18"/>
                <w:lang w:eastAsia="zh-CN"/>
                <w14:textFill>
                  <w14:solidFill>
                    <w14:schemeClr w14:val="tx1"/>
                  </w14:solidFill>
                </w14:textFill>
              </w:rPr>
              <w:t>85%</w:t>
            </w:r>
            <w:r>
              <w:rPr>
                <w:rFonts w:hint="eastAsia" w:ascii="宋体" w:hAnsi="宋体" w:eastAsia="宋体" w:cs="宋体"/>
                <w:color w:val="000000" w:themeColor="text1"/>
                <w:sz w:val="18"/>
                <w:szCs w:val="18"/>
                <w:lang w:eastAsia="zh-CN"/>
                <w14:textFill>
                  <w14:solidFill>
                    <w14:schemeClr w14:val="tx1"/>
                  </w14:solidFill>
                </w14:textFill>
              </w:rPr>
              <w:t>以上，畜禽粪便资源化利用率达</w:t>
            </w:r>
            <w:r>
              <w:rPr>
                <w:rFonts w:ascii="Times New Roman" w:hAnsi="Times New Roman" w:eastAsia="Times New Roman"/>
                <w:color w:val="000000" w:themeColor="text1"/>
                <w:sz w:val="18"/>
                <w:szCs w:val="18"/>
                <w:lang w:eastAsia="zh-CN"/>
                <w14:textFill>
                  <w14:solidFill>
                    <w14:schemeClr w14:val="tx1"/>
                  </w14:solidFill>
                </w14:textFill>
              </w:rPr>
              <w:t>75%</w:t>
            </w:r>
            <w:r>
              <w:rPr>
                <w:rFonts w:hint="eastAsia" w:ascii="宋体" w:hAnsi="宋体" w:eastAsia="宋体" w:cs="宋体"/>
                <w:color w:val="000000" w:themeColor="text1"/>
                <w:sz w:val="18"/>
                <w:szCs w:val="18"/>
                <w:lang w:eastAsia="zh-CN"/>
                <w14:textFill>
                  <w14:solidFill>
                    <w14:schemeClr w14:val="tx1"/>
                  </w14:solidFill>
                </w14:textFill>
              </w:rPr>
              <w:t>以上。</w:t>
            </w:r>
          </w:p>
        </w:tc>
        <w:tc>
          <w:tcPr>
            <w:tcW w:w="2895" w:type="dxa"/>
            <w:vMerge w:val="continue"/>
            <w:tcBorders>
              <w:tl2br w:val="nil"/>
              <w:tr2bl w:val="nil"/>
            </w:tcBorders>
            <w:vAlign w:val="center"/>
          </w:tcPr>
          <w:p w14:paraId="08CEC342">
            <w:pPr>
              <w:widowControl/>
              <w:autoSpaceDE/>
              <w:autoSpaceDN/>
              <w:ind w:firstLine="360" w:firstLineChars="200"/>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p>
        </w:tc>
        <w:tc>
          <w:tcPr>
            <w:tcW w:w="656" w:type="dxa"/>
            <w:vMerge w:val="continue"/>
            <w:tcBorders>
              <w:tl2br w:val="nil"/>
              <w:tr2bl w:val="nil"/>
            </w:tcBorders>
            <w:vAlign w:val="center"/>
          </w:tcPr>
          <w:p w14:paraId="7F25812E">
            <w:pPr>
              <w:widowControl w:val="0"/>
              <w:autoSpaceDE w:val="0"/>
              <w:autoSpaceDN w:val="0"/>
              <w:jc w:val="center"/>
              <w:rPr>
                <w:rFonts w:ascii="Times New Roman" w:hAnsi="Times New Roman" w:eastAsia="Times New Roman"/>
                <w:color w:val="000000" w:themeColor="text1"/>
                <w:sz w:val="18"/>
                <w:szCs w:val="18"/>
                <w:lang w:eastAsia="zh-CN"/>
                <w14:textFill>
                  <w14:solidFill>
                    <w14:schemeClr w14:val="tx1"/>
                  </w14:solidFill>
                </w14:textFill>
              </w:rPr>
            </w:pPr>
          </w:p>
        </w:tc>
      </w:tr>
    </w:tbl>
    <w:p w14:paraId="2A13529F">
      <w:pPr>
        <w:spacing w:line="91" w:lineRule="auto"/>
        <w:rPr>
          <w:color w:val="000000" w:themeColor="text1"/>
          <w:sz w:val="2"/>
          <w14:textFill>
            <w14:solidFill>
              <w14:schemeClr w14:val="tx1"/>
            </w14:solidFill>
          </w14:textFill>
        </w:rPr>
      </w:pPr>
    </w:p>
    <w:p w14:paraId="4255568F">
      <w:pPr>
        <w:spacing w:line="91" w:lineRule="auto"/>
        <w:rPr>
          <w:color w:val="000000" w:themeColor="text1"/>
          <w:sz w:val="2"/>
          <w14:textFill>
            <w14:solidFill>
              <w14:schemeClr w14:val="tx1"/>
            </w14:solidFill>
          </w14:textFill>
        </w:rPr>
      </w:pPr>
    </w:p>
    <w:p w14:paraId="5EE679A6">
      <w:pPr>
        <w:spacing w:before="182" w:line="347" w:lineRule="auto"/>
        <w:ind w:left="48" w:right="96" w:firstLine="465"/>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综上，本项目符合国家及地方有关水污染防治规范文件的相关要求。</w:t>
      </w:r>
    </w:p>
    <w:p w14:paraId="4AD5BD01">
      <w:pPr>
        <w:pStyle w:val="75"/>
        <w:adjustRightInd w:val="0"/>
        <w:snapToGrid w:val="0"/>
        <w:spacing w:line="360" w:lineRule="auto"/>
        <w:ind w:firstLine="482" w:firstLineChars="200"/>
        <w:jc w:val="left"/>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（19）与《四川省空气质量持续改善行动计划实施方案》（川府发〔2024〕15号）的符合性</w:t>
      </w:r>
    </w:p>
    <w:p w14:paraId="04C0B831">
      <w:pPr>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文件指出：持续推进大气氨污染防治。鼓励重点区域开展大气氨排放控制试点，建立完善大气氨源排放清单，推广氮肥机械深施和低蛋白日粮技术，研究畜禽养殖场氨气等臭气治理措施，鼓励生猪、鸡等圈舍封闭管理，支持粪污输送、存储及处理设施封闭，加强废气收集和处理。加强氮肥、纯碱等行业大气氨排放治理及工业源烟气脱硫脱硝氨逃逸防控。</w:t>
      </w:r>
    </w:p>
    <w:p w14:paraId="7066E7B2">
      <w:pPr>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项目通过科学饲养，减少牛体排泄物中恶臭物质含量；采用原位发酵床饲养工艺，使牛粪尿产生后直接落入发酵床内，利用发酵床中所含有的功能菌群能将垫料吸附、溶解的臭味物质当作自身的营养物，通过发酵过程，转化为菌体蛋白，从源头上减少臭味的产生；同时发酵床功能菌群可以抑制降解蛋白产生臭气的异化细菌生长繁殖，有效阻止臭味的生成。为进一步控制养殖恶臭，圈舍喷洒生物除臭剂。项目产生的粪污混入发酵垫料中形成发酵床，建设单位与周边农户签订协议，定期清理的废弃垫料经堆肥发酵处理后用作农肥施用，实现粪污资源化利用。废弃垫料不在厂区储存。</w:t>
      </w:r>
    </w:p>
    <w:p w14:paraId="36D384D6">
      <w:pPr>
        <w:spacing w:line="360" w:lineRule="auto"/>
        <w:ind w:firstLine="480" w:firstLineChars="200"/>
        <w:rPr>
          <w:b/>
          <w:bCs/>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通过以上方式，能够显著降低粪污恶臭对环境的影响，项目污染治理方式符合前述文件要求。</w:t>
      </w:r>
    </w:p>
    <w:p w14:paraId="6B9BD23E">
      <w:pPr>
        <w:pStyle w:val="75"/>
        <w:adjustRightInd w:val="0"/>
        <w:snapToGrid w:val="0"/>
        <w:spacing w:line="360" w:lineRule="auto"/>
        <w:ind w:firstLine="482" w:firstLineChars="200"/>
        <w:jc w:val="left"/>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（20）与《土壤污染防治行动计划》（国发[2016]31号）、《土壤污染防治行动计划四川省工作方案》符合性</w:t>
      </w:r>
    </w:p>
    <w:p w14:paraId="53DD7FD2">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项目与《土壤污染防治行动计划》、《土壤污染防治行动计划四川省工作方案》符合性分析表</w:t>
      </w:r>
    </w:p>
    <w:tbl>
      <w:tblPr>
        <w:tblStyle w:val="1745"/>
        <w:tblpPr w:leftFromText="180" w:rightFromText="180" w:vertAnchor="text" w:horzAnchor="page" w:tblpXSpec="center" w:tblpY="80"/>
        <w:tblOverlap w:val="never"/>
        <w:tblW w:w="8478" w:type="dxa"/>
        <w:jc w:val="center"/>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02"/>
        <w:gridCol w:w="4301"/>
        <w:gridCol w:w="2719"/>
        <w:gridCol w:w="656"/>
      </w:tblGrid>
      <w:tr w14:paraId="003D2617">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62" w:hRule="atLeast"/>
          <w:jc w:val="center"/>
        </w:trPr>
        <w:tc>
          <w:tcPr>
            <w:tcW w:w="802" w:type="dxa"/>
            <w:tcBorders>
              <w:tl2br w:val="nil"/>
              <w:tr2bl w:val="nil"/>
            </w:tcBorders>
            <w:vAlign w:val="center"/>
          </w:tcPr>
          <w:p w14:paraId="737D7952">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规划名称</w:t>
            </w:r>
          </w:p>
        </w:tc>
        <w:tc>
          <w:tcPr>
            <w:tcW w:w="4301" w:type="dxa"/>
            <w:tcBorders>
              <w:tl2br w:val="nil"/>
              <w:tr2bl w:val="nil"/>
            </w:tcBorders>
            <w:vAlign w:val="center"/>
          </w:tcPr>
          <w:p w14:paraId="2FA43D6B">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规划内容</w:t>
            </w:r>
          </w:p>
        </w:tc>
        <w:tc>
          <w:tcPr>
            <w:tcW w:w="2719" w:type="dxa"/>
            <w:tcBorders>
              <w:tl2br w:val="nil"/>
              <w:tr2bl w:val="nil"/>
            </w:tcBorders>
            <w:vAlign w:val="center"/>
          </w:tcPr>
          <w:p w14:paraId="4AD50AD0">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本项目情况</w:t>
            </w:r>
          </w:p>
        </w:tc>
        <w:tc>
          <w:tcPr>
            <w:tcW w:w="656" w:type="dxa"/>
            <w:tcBorders>
              <w:tl2br w:val="nil"/>
              <w:tr2bl w:val="nil"/>
            </w:tcBorders>
            <w:vAlign w:val="center"/>
          </w:tcPr>
          <w:p w14:paraId="6A0C9857">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color w:val="000000" w:themeColor="text1"/>
                <w:sz w:val="18"/>
                <w:szCs w:val="18"/>
                <w:lang w:eastAsia="en-US"/>
                <w14:textFill>
                  <w14:solidFill>
                    <w14:schemeClr w14:val="tx1"/>
                  </w14:solidFill>
                </w14:textFill>
              </w:rPr>
              <w:t>符合性</w:t>
            </w:r>
          </w:p>
        </w:tc>
      </w:tr>
      <w:tr w14:paraId="34828B9E">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481" w:hRule="atLeast"/>
          <w:jc w:val="center"/>
        </w:trPr>
        <w:tc>
          <w:tcPr>
            <w:tcW w:w="802" w:type="dxa"/>
            <w:tcBorders>
              <w:tl2br w:val="nil"/>
              <w:tr2bl w:val="nil"/>
            </w:tcBorders>
            <w:vAlign w:val="center"/>
          </w:tcPr>
          <w:p w14:paraId="44EAE3B9">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《土壤污染防治行动计划》</w:t>
            </w:r>
          </w:p>
        </w:tc>
        <w:tc>
          <w:tcPr>
            <w:tcW w:w="4301" w:type="dxa"/>
            <w:tcBorders>
              <w:tl2br w:val="nil"/>
              <w:tr2bl w:val="nil"/>
            </w:tcBorders>
            <w:vAlign w:val="center"/>
          </w:tcPr>
          <w:p w14:paraId="022EFFDD">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强化畜禽养殖污染防治。严格规范兽药、饲料添加剂的生产和使用，防止过量使用，促进源头减量。加强畜禽粪便综合利用，在部分生猪大县开展种养业有机结合、循环发展试点。鼓励支持畜禽粪便处理利用设施建设，到</w:t>
            </w:r>
            <w:r>
              <w:rPr>
                <w:rFonts w:ascii="Times New Roman" w:hAnsi="Times New Roman" w:eastAsia="Times New Roman"/>
                <w:color w:val="000000" w:themeColor="text1"/>
                <w:sz w:val="18"/>
                <w:szCs w:val="18"/>
                <w:lang w:eastAsia="zh-CN"/>
                <w14:textFill>
                  <w14:solidFill>
                    <w14:schemeClr w14:val="tx1"/>
                  </w14:solidFill>
                </w14:textFill>
              </w:rPr>
              <w:t>2020</w:t>
            </w:r>
            <w:r>
              <w:rPr>
                <w:rFonts w:hint="eastAsia" w:ascii="宋体" w:hAnsi="宋体" w:eastAsia="宋体" w:cs="宋体"/>
                <w:color w:val="000000" w:themeColor="text1"/>
                <w:sz w:val="18"/>
                <w:szCs w:val="18"/>
                <w:lang w:eastAsia="zh-CN"/>
                <w14:textFill>
                  <w14:solidFill>
                    <w14:schemeClr w14:val="tx1"/>
                  </w14:solidFill>
                </w14:textFill>
              </w:rPr>
              <w:t>年，规模化养殖场、养殖小区配套建设废弃物处理设施比例达到</w:t>
            </w:r>
            <w:r>
              <w:rPr>
                <w:rFonts w:ascii="Times New Roman" w:hAnsi="Times New Roman" w:eastAsia="Times New Roman"/>
                <w:color w:val="000000" w:themeColor="text1"/>
                <w:sz w:val="18"/>
                <w:szCs w:val="18"/>
                <w:lang w:eastAsia="zh-CN"/>
                <w14:textFill>
                  <w14:solidFill>
                    <w14:schemeClr w14:val="tx1"/>
                  </w14:solidFill>
                </w14:textFill>
              </w:rPr>
              <w:t>75%</w:t>
            </w:r>
            <w:r>
              <w:rPr>
                <w:rFonts w:hint="eastAsia" w:ascii="宋体" w:hAnsi="宋体" w:eastAsia="宋体" w:cs="宋体"/>
                <w:color w:val="000000" w:themeColor="text1"/>
                <w:sz w:val="18"/>
                <w:szCs w:val="18"/>
                <w:lang w:eastAsia="zh-CN"/>
                <w14:textFill>
                  <w14:solidFill>
                    <w14:schemeClr w14:val="tx1"/>
                  </w14:solidFill>
                </w14:textFill>
              </w:rPr>
              <w:t>以上。</w:t>
            </w:r>
          </w:p>
        </w:tc>
        <w:tc>
          <w:tcPr>
            <w:tcW w:w="2719" w:type="dxa"/>
            <w:vMerge w:val="restart"/>
            <w:tcBorders>
              <w:tl2br w:val="nil"/>
              <w:tr2bl w:val="nil"/>
            </w:tcBorders>
            <w:vAlign w:val="center"/>
          </w:tcPr>
          <w:p w14:paraId="601A6001">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本项目运营过程中严格规范兽药、饲料添加剂的使用，防止过度使用。</w:t>
            </w:r>
          </w:p>
          <w:p w14:paraId="6EE1F256">
            <w:pPr>
              <w:widowControl/>
              <w:autoSpaceDE/>
              <w:autoSpaceDN/>
              <w:ind w:firstLine="360" w:firstLineChars="200"/>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本项目依托的废弃物处理设施比例为</w:t>
            </w:r>
            <w:r>
              <w:rPr>
                <w:rFonts w:ascii="Times New Roman" w:hAnsi="Times New Roman" w:eastAsia="Times New Roman"/>
                <w:color w:val="000000" w:themeColor="text1"/>
                <w:sz w:val="18"/>
                <w:szCs w:val="18"/>
                <w:lang w:eastAsia="zh-CN"/>
                <w14:textFill>
                  <w14:solidFill>
                    <w14:schemeClr w14:val="tx1"/>
                  </w14:solidFill>
                </w14:textFill>
              </w:rPr>
              <w:t>100%</w:t>
            </w:r>
            <w:r>
              <w:rPr>
                <w:rFonts w:hint="eastAsia" w:ascii="宋体" w:hAnsi="宋体" w:eastAsia="宋体" w:cs="宋体"/>
                <w:color w:val="000000" w:themeColor="text1"/>
                <w:sz w:val="18"/>
                <w:szCs w:val="18"/>
                <w:lang w:eastAsia="zh-CN"/>
                <w14:textFill>
                  <w14:solidFill>
                    <w14:schemeClr w14:val="tx1"/>
                  </w14:solidFill>
                </w14:textFill>
              </w:rPr>
              <w:t>，各废弃物均去向明确，处置合理。</w:t>
            </w:r>
          </w:p>
        </w:tc>
        <w:tc>
          <w:tcPr>
            <w:tcW w:w="656" w:type="dxa"/>
            <w:tcBorders>
              <w:tl2br w:val="nil"/>
              <w:tr2bl w:val="nil"/>
            </w:tcBorders>
            <w:vAlign w:val="center"/>
          </w:tcPr>
          <w:p w14:paraId="6D1AB444">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72629EC1">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538" w:hRule="atLeast"/>
          <w:jc w:val="center"/>
        </w:trPr>
        <w:tc>
          <w:tcPr>
            <w:tcW w:w="802" w:type="dxa"/>
            <w:tcBorders>
              <w:tl2br w:val="nil"/>
              <w:tr2bl w:val="nil"/>
            </w:tcBorders>
            <w:vAlign w:val="center"/>
          </w:tcPr>
          <w:p w14:paraId="0F32EA11">
            <w:pPr>
              <w:widowControl/>
              <w:autoSpaceDE/>
              <w:autoSpaceDN/>
              <w:jc w:val="center"/>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《土壤污染防治行动计划四川省工作方案》</w:t>
            </w:r>
          </w:p>
        </w:tc>
        <w:tc>
          <w:tcPr>
            <w:tcW w:w="4301" w:type="dxa"/>
            <w:tcBorders>
              <w:tl2br w:val="nil"/>
              <w:tr2bl w:val="nil"/>
            </w:tcBorders>
            <w:vAlign w:val="center"/>
          </w:tcPr>
          <w:p w14:paraId="2F4A5476">
            <w:pPr>
              <w:widowControl/>
              <w:autoSpaceDE/>
              <w:autoSpaceDN/>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强化畜禽养殖污染防治。严格规范兽药、饲料添加剂的生产和使用，建立兽药、饲料添加剂的销售管控体系，防止过量使用，促进源头减量。加强畜禽粪便综合利用，在部分生猪大县开展种养业有机结合、循环发展试点，采用政府和社会资本合作（</w:t>
            </w:r>
            <w:r>
              <w:rPr>
                <w:rFonts w:ascii="Times New Roman" w:hAnsi="Times New Roman" w:eastAsia="Times New Roman"/>
                <w:color w:val="000000" w:themeColor="text1"/>
                <w:sz w:val="18"/>
                <w:szCs w:val="18"/>
                <w:lang w:eastAsia="zh-CN"/>
                <w14:textFill>
                  <w14:solidFill>
                    <w14:schemeClr w14:val="tx1"/>
                  </w14:solidFill>
                </w14:textFill>
              </w:rPr>
              <w:t>PPP</w:t>
            </w:r>
            <w:r>
              <w:rPr>
                <w:rFonts w:hint="eastAsia" w:ascii="宋体" w:hAnsi="宋体" w:eastAsia="宋体" w:cs="宋体"/>
                <w:color w:val="000000" w:themeColor="text1"/>
                <w:sz w:val="18"/>
                <w:szCs w:val="18"/>
                <w:lang w:eastAsia="zh-CN"/>
                <w14:textFill>
                  <w14:solidFill>
                    <w14:schemeClr w14:val="tx1"/>
                  </w14:solidFill>
                </w14:textFill>
              </w:rPr>
              <w:t>）模式推进畜禽粪便综合利用，逐步扩大实施范围。开展畜牧业绿色示范县（市、区）创建活动，鼓励支持规模化养殖场、养殖小区畜禽粪便处理利用设施建设。到</w:t>
            </w:r>
            <w:r>
              <w:rPr>
                <w:rFonts w:ascii="Times New Roman" w:hAnsi="Times New Roman" w:eastAsia="Times New Roman"/>
                <w:color w:val="000000" w:themeColor="text1"/>
                <w:sz w:val="18"/>
                <w:szCs w:val="18"/>
                <w:lang w:eastAsia="zh-CN"/>
                <w14:textFill>
                  <w14:solidFill>
                    <w14:schemeClr w14:val="tx1"/>
                  </w14:solidFill>
                </w14:textFill>
              </w:rPr>
              <w:t>2020</w:t>
            </w:r>
            <w:r>
              <w:rPr>
                <w:rFonts w:hint="eastAsia" w:ascii="宋体" w:hAnsi="宋体" w:eastAsia="宋体" w:cs="宋体"/>
                <w:color w:val="000000" w:themeColor="text1"/>
                <w:sz w:val="18"/>
                <w:szCs w:val="18"/>
                <w:lang w:eastAsia="zh-CN"/>
                <w14:textFill>
                  <w14:solidFill>
                    <w14:schemeClr w14:val="tx1"/>
                  </w14:solidFill>
                </w14:textFill>
              </w:rPr>
              <w:t>年，力争创建</w:t>
            </w:r>
            <w:r>
              <w:rPr>
                <w:rFonts w:ascii="Times New Roman" w:hAnsi="Times New Roman" w:eastAsia="Times New Roman"/>
                <w:color w:val="000000" w:themeColor="text1"/>
                <w:sz w:val="18"/>
                <w:szCs w:val="18"/>
                <w:lang w:eastAsia="zh-CN"/>
                <w14:textFill>
                  <w14:solidFill>
                    <w14:schemeClr w14:val="tx1"/>
                  </w14:solidFill>
                </w14:textFill>
              </w:rPr>
              <w:t>10</w:t>
            </w:r>
            <w:r>
              <w:rPr>
                <w:rFonts w:hint="eastAsia" w:ascii="宋体" w:hAnsi="宋体" w:eastAsia="宋体" w:cs="宋体"/>
                <w:color w:val="000000" w:themeColor="text1"/>
                <w:sz w:val="18"/>
                <w:szCs w:val="18"/>
                <w:lang w:eastAsia="zh-CN"/>
                <w14:textFill>
                  <w14:solidFill>
                    <w14:schemeClr w14:val="tx1"/>
                  </w14:solidFill>
                </w14:textFill>
              </w:rPr>
              <w:t>个畜牧业绿色示范县（市、区），规模化养殖场、养殖小区配套自建或可依托的废弃物处理设施比例达到</w:t>
            </w:r>
            <w:r>
              <w:rPr>
                <w:rFonts w:ascii="Times New Roman" w:hAnsi="Times New Roman" w:eastAsia="Times New Roman"/>
                <w:color w:val="000000" w:themeColor="text1"/>
                <w:sz w:val="18"/>
                <w:szCs w:val="18"/>
                <w:lang w:eastAsia="zh-CN"/>
                <w14:textFill>
                  <w14:solidFill>
                    <w14:schemeClr w14:val="tx1"/>
                  </w14:solidFill>
                </w14:textFill>
              </w:rPr>
              <w:t>75%</w:t>
            </w:r>
            <w:r>
              <w:rPr>
                <w:rFonts w:hint="eastAsia" w:ascii="宋体" w:hAnsi="宋体" w:eastAsia="宋体" w:cs="宋体"/>
                <w:color w:val="000000" w:themeColor="text1"/>
                <w:sz w:val="18"/>
                <w:szCs w:val="18"/>
                <w:lang w:eastAsia="zh-CN"/>
                <w14:textFill>
                  <w14:solidFill>
                    <w14:schemeClr w14:val="tx1"/>
                  </w14:solidFill>
                </w14:textFill>
              </w:rPr>
              <w:t>以上。</w:t>
            </w:r>
          </w:p>
        </w:tc>
        <w:tc>
          <w:tcPr>
            <w:tcW w:w="2719" w:type="dxa"/>
            <w:vMerge w:val="continue"/>
            <w:tcBorders>
              <w:tl2br w:val="nil"/>
              <w:tr2bl w:val="nil"/>
            </w:tcBorders>
            <w:vAlign w:val="center"/>
          </w:tcPr>
          <w:p w14:paraId="5196F4E1">
            <w:pPr>
              <w:widowControl/>
              <w:autoSpaceDE/>
              <w:autoSpaceDN/>
              <w:ind w:firstLine="360" w:firstLineChars="200"/>
              <w:jc w:val="left"/>
              <w:rPr>
                <w:rFonts w:ascii="Times New Roman" w:hAnsi="Times New Roman" w:eastAsia="Times New Roman"/>
                <w:color w:val="000000" w:themeColor="text1"/>
                <w:sz w:val="18"/>
                <w:szCs w:val="18"/>
                <w:highlight w:val="yellow"/>
                <w:lang w:eastAsia="zh-CN"/>
                <w14:textFill>
                  <w14:solidFill>
                    <w14:schemeClr w14:val="tx1"/>
                  </w14:solidFill>
                </w14:textFill>
              </w:rPr>
            </w:pPr>
          </w:p>
        </w:tc>
        <w:tc>
          <w:tcPr>
            <w:tcW w:w="656" w:type="dxa"/>
            <w:tcBorders>
              <w:tl2br w:val="nil"/>
              <w:tr2bl w:val="nil"/>
            </w:tcBorders>
            <w:vAlign w:val="center"/>
          </w:tcPr>
          <w:p w14:paraId="273D368E">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4C7142A8">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综上，项目符合《土壤污染防治行动计划》和《土壤污染防治行动计划四川省工作方案》的相关要求。</w:t>
      </w:r>
    </w:p>
    <w:p w14:paraId="3016FA47">
      <w:pPr>
        <w:pStyle w:val="75"/>
        <w:adjustRightInd w:val="0"/>
        <w:snapToGrid w:val="0"/>
        <w:spacing w:line="360" w:lineRule="auto"/>
        <w:ind w:firstLine="482" w:firstLineChars="200"/>
        <w:jc w:val="both"/>
        <w:rPr>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（21）与《长江经济带发展负面清单指南（试行，2022年版）》（长江办〔2022〕7号）的符合性</w:t>
      </w:r>
    </w:p>
    <w:p w14:paraId="7C8C4810">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项目与《长江经济带发展负面清单指南（试行，2022年版）》符合性分析表</w:t>
      </w:r>
    </w:p>
    <w:tbl>
      <w:tblPr>
        <w:tblStyle w:val="89"/>
        <w:tblW w:w="0" w:type="auto"/>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4315"/>
        <w:gridCol w:w="2454"/>
        <w:gridCol w:w="899"/>
      </w:tblGrid>
      <w:tr w14:paraId="6ACC90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tcBorders>
              <w:top w:val="single" w:color="auto" w:sz="12" w:space="0"/>
              <w:bottom w:val="single" w:color="auto" w:sz="4" w:space="0"/>
            </w:tcBorders>
            <w:vAlign w:val="center"/>
          </w:tcPr>
          <w:p w14:paraId="2CB57896">
            <w:pPr>
              <w:pStyle w:val="75"/>
              <w:widowControl/>
              <w:adjustRightInd w:val="0"/>
              <w:snapToGrid w:val="0"/>
              <w:rPr>
                <w:rFonts w:eastAsia="黑体"/>
                <w:color w:val="000000" w:themeColor="text1"/>
                <w:sz w:val="18"/>
                <w:szCs w:val="18"/>
                <w:lang w:val="en-US"/>
                <w14:textFill>
                  <w14:solidFill>
                    <w14:schemeClr w14:val="tx1"/>
                  </w14:solidFill>
                </w14:textFill>
              </w:rPr>
            </w:pPr>
            <w:r>
              <w:rPr>
                <w:rFonts w:eastAsia="黑体"/>
                <w:color w:val="000000" w:themeColor="text1"/>
                <w:sz w:val="18"/>
                <w:szCs w:val="18"/>
                <w:lang w:val="en-US"/>
                <w14:textFill>
                  <w14:solidFill>
                    <w14:schemeClr w14:val="tx1"/>
                  </w14:solidFill>
                </w14:textFill>
              </w:rPr>
              <w:t>序号</w:t>
            </w:r>
          </w:p>
        </w:tc>
        <w:tc>
          <w:tcPr>
            <w:tcW w:w="4442" w:type="dxa"/>
            <w:tcBorders>
              <w:top w:val="single" w:color="auto" w:sz="12" w:space="0"/>
              <w:bottom w:val="single" w:color="auto" w:sz="4" w:space="0"/>
            </w:tcBorders>
            <w:vAlign w:val="center"/>
          </w:tcPr>
          <w:p w14:paraId="48DFE630">
            <w:pPr>
              <w:pStyle w:val="75"/>
              <w:widowControl/>
              <w:adjustRightInd w:val="0"/>
              <w:snapToGrid w:val="0"/>
              <w:rPr>
                <w:rFonts w:eastAsia="黑体"/>
                <w:color w:val="000000" w:themeColor="text1"/>
                <w:sz w:val="18"/>
                <w:szCs w:val="18"/>
                <w:lang w:val="en-US"/>
                <w14:textFill>
                  <w14:solidFill>
                    <w14:schemeClr w14:val="tx1"/>
                  </w14:solidFill>
                </w14:textFill>
              </w:rPr>
            </w:pPr>
            <w:r>
              <w:rPr>
                <w:rFonts w:eastAsia="黑体"/>
                <w:color w:val="000000" w:themeColor="text1"/>
                <w:sz w:val="18"/>
                <w:szCs w:val="18"/>
                <w:lang w:val="en-US"/>
                <w14:textFill>
                  <w14:solidFill>
                    <w14:schemeClr w14:val="tx1"/>
                  </w14:solidFill>
                </w14:textFill>
              </w:rPr>
              <w:t>《长江经济带发展负面清单指南（试行，2022年版）》（长江办〔2022〕7号）内容</w:t>
            </w:r>
          </w:p>
        </w:tc>
        <w:tc>
          <w:tcPr>
            <w:tcW w:w="2515" w:type="dxa"/>
            <w:tcBorders>
              <w:top w:val="single" w:color="auto" w:sz="12" w:space="0"/>
              <w:bottom w:val="single" w:color="auto" w:sz="4" w:space="0"/>
            </w:tcBorders>
            <w:vAlign w:val="center"/>
          </w:tcPr>
          <w:p w14:paraId="508E9528">
            <w:pPr>
              <w:pStyle w:val="75"/>
              <w:widowControl/>
              <w:adjustRightInd w:val="0"/>
              <w:snapToGrid w:val="0"/>
              <w:rPr>
                <w:rFonts w:eastAsia="黑体"/>
                <w:color w:val="000000" w:themeColor="text1"/>
                <w:sz w:val="18"/>
                <w:szCs w:val="18"/>
                <w:lang w:val="en-US"/>
                <w14:textFill>
                  <w14:solidFill>
                    <w14:schemeClr w14:val="tx1"/>
                  </w14:solidFill>
                </w14:textFill>
              </w:rPr>
            </w:pPr>
            <w:r>
              <w:rPr>
                <w:rFonts w:eastAsia="黑体"/>
                <w:color w:val="000000" w:themeColor="text1"/>
                <w:sz w:val="18"/>
                <w:szCs w:val="18"/>
                <w:lang w:val="en-US"/>
                <w14:textFill>
                  <w14:solidFill>
                    <w14:schemeClr w14:val="tx1"/>
                  </w14:solidFill>
                </w14:textFill>
              </w:rPr>
              <w:t>本项目情况</w:t>
            </w:r>
          </w:p>
        </w:tc>
        <w:tc>
          <w:tcPr>
            <w:tcW w:w="918" w:type="dxa"/>
            <w:tcBorders>
              <w:top w:val="single" w:color="auto" w:sz="12" w:space="0"/>
              <w:bottom w:val="single" w:color="auto" w:sz="4" w:space="0"/>
            </w:tcBorders>
            <w:vAlign w:val="center"/>
          </w:tcPr>
          <w:p w14:paraId="08FCF195">
            <w:pPr>
              <w:pStyle w:val="75"/>
              <w:widowControl/>
              <w:adjustRightInd w:val="0"/>
              <w:snapToGrid w:val="0"/>
              <w:rPr>
                <w:rFonts w:eastAsia="黑体"/>
                <w:color w:val="000000" w:themeColor="text1"/>
                <w:sz w:val="18"/>
                <w:szCs w:val="18"/>
                <w:lang w:val="en-US"/>
                <w14:textFill>
                  <w14:solidFill>
                    <w14:schemeClr w14:val="tx1"/>
                  </w14:solidFill>
                </w14:textFill>
              </w:rPr>
            </w:pPr>
            <w:r>
              <w:rPr>
                <w:rFonts w:eastAsia="黑体"/>
                <w:color w:val="000000" w:themeColor="text1"/>
                <w:sz w:val="18"/>
                <w:szCs w:val="18"/>
                <w:lang w:val="en-US"/>
                <w14:textFill>
                  <w14:solidFill>
                    <w14:schemeClr w14:val="tx1"/>
                  </w14:solidFill>
                </w14:textFill>
              </w:rPr>
              <w:t>符合性</w:t>
            </w:r>
          </w:p>
        </w:tc>
      </w:tr>
      <w:tr w14:paraId="5C5DD2A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tcBorders>
              <w:top w:val="single" w:color="auto" w:sz="4" w:space="0"/>
            </w:tcBorders>
            <w:vAlign w:val="center"/>
          </w:tcPr>
          <w:p w14:paraId="44D576D6">
            <w:pPr>
              <w:widowControl/>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4442" w:type="dxa"/>
            <w:tcBorders>
              <w:top w:val="single" w:color="auto" w:sz="4" w:space="0"/>
            </w:tcBorders>
            <w:vAlign w:val="center"/>
          </w:tcPr>
          <w:p w14:paraId="4C3CBD71">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禁止建设不符合全国和省级港口布局规划以及港口总体规划的码头项目，禁止建设不符合《长江干线过江通道布局规划》的过长江通道项目。</w:t>
            </w:r>
          </w:p>
        </w:tc>
        <w:tc>
          <w:tcPr>
            <w:tcW w:w="2515" w:type="dxa"/>
            <w:tcBorders>
              <w:top w:val="single" w:color="auto" w:sz="4" w:space="0"/>
            </w:tcBorders>
            <w:vAlign w:val="center"/>
          </w:tcPr>
          <w:p w14:paraId="513C7FC0">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本项目不属于港口和码头项目。</w:t>
            </w:r>
          </w:p>
        </w:tc>
        <w:tc>
          <w:tcPr>
            <w:tcW w:w="918" w:type="dxa"/>
            <w:tcBorders>
              <w:top w:val="single" w:color="auto" w:sz="4" w:space="0"/>
            </w:tcBorders>
            <w:vAlign w:val="center"/>
          </w:tcPr>
          <w:p w14:paraId="18FDD194">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符合</w:t>
            </w:r>
          </w:p>
        </w:tc>
      </w:tr>
      <w:tr w14:paraId="5F5ED7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654" w:type="dxa"/>
            <w:vAlign w:val="center"/>
          </w:tcPr>
          <w:p w14:paraId="16678A91">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2</w:t>
            </w:r>
          </w:p>
        </w:tc>
        <w:tc>
          <w:tcPr>
            <w:tcW w:w="4442" w:type="dxa"/>
            <w:vAlign w:val="center"/>
          </w:tcPr>
          <w:p w14:paraId="1D3BA91B">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禁止在自然保护区核心区、缓冲区的岸线和河段范围内投资建设旅游和生产经营项目。禁止在风景名胜区核心景区的岸线和河段范围内投资建设与风景名胜资源保护无关的项目。</w:t>
            </w:r>
          </w:p>
        </w:tc>
        <w:tc>
          <w:tcPr>
            <w:tcW w:w="2515" w:type="dxa"/>
            <w:vAlign w:val="center"/>
          </w:tcPr>
          <w:p w14:paraId="14D32EC7">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本项目位于巴中市巴州区</w:t>
            </w:r>
            <w:r>
              <w:rPr>
                <w:rFonts w:hint="eastAsia"/>
                <w:color w:val="000000" w:themeColor="text1"/>
                <w:sz w:val="18"/>
                <w:szCs w:val="18"/>
                <w:lang w:val="en-US"/>
                <w14:textFill>
                  <w14:solidFill>
                    <w14:schemeClr w14:val="tx1"/>
                  </w14:solidFill>
                </w14:textFill>
              </w:rPr>
              <w:t>白庙乡、曾口镇、清江镇、水宁寺镇</w:t>
            </w:r>
            <w:r>
              <w:rPr>
                <w:color w:val="000000" w:themeColor="text1"/>
                <w:sz w:val="18"/>
                <w:szCs w:val="18"/>
                <w:lang w:val="en-US"/>
                <w14:textFill>
                  <w14:solidFill>
                    <w14:schemeClr w14:val="tx1"/>
                  </w14:solidFill>
                </w14:textFill>
              </w:rPr>
              <w:t>，项目选址不涉及</w:t>
            </w:r>
            <w:r>
              <w:rPr>
                <w:color w:val="000000" w:themeColor="text1"/>
                <w:kern w:val="0"/>
                <w:sz w:val="18"/>
                <w:szCs w:val="18"/>
                <w:lang w:val="en-US" w:bidi="ar"/>
                <w14:textFill>
                  <w14:solidFill>
                    <w14:schemeClr w14:val="tx1"/>
                  </w14:solidFill>
                </w14:textFill>
              </w:rPr>
              <w:t>自然保护区核心区、缓冲区的岸线和河段，不涉及风景名胜区。</w:t>
            </w:r>
          </w:p>
        </w:tc>
        <w:tc>
          <w:tcPr>
            <w:tcW w:w="918" w:type="dxa"/>
            <w:vAlign w:val="center"/>
          </w:tcPr>
          <w:p w14:paraId="04B64417">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9873F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548CD56A">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3</w:t>
            </w:r>
          </w:p>
        </w:tc>
        <w:tc>
          <w:tcPr>
            <w:tcW w:w="4442" w:type="dxa"/>
            <w:vAlign w:val="center"/>
          </w:tcPr>
          <w:p w14:paraId="39E414F5">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2515" w:type="dxa"/>
            <w:vAlign w:val="center"/>
          </w:tcPr>
          <w:p w14:paraId="7E04BF7C">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本项目位于巴中市巴州区各乡镇，项目选址不涉及饮用水水源保护区。</w:t>
            </w:r>
          </w:p>
        </w:tc>
        <w:tc>
          <w:tcPr>
            <w:tcW w:w="918" w:type="dxa"/>
            <w:vAlign w:val="center"/>
          </w:tcPr>
          <w:p w14:paraId="1732F90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583D74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74A3B9E6">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4</w:t>
            </w:r>
          </w:p>
        </w:tc>
        <w:tc>
          <w:tcPr>
            <w:tcW w:w="4442" w:type="dxa"/>
            <w:vAlign w:val="center"/>
          </w:tcPr>
          <w:p w14:paraId="481FA0C5">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2515" w:type="dxa"/>
            <w:vAlign w:val="center"/>
          </w:tcPr>
          <w:p w14:paraId="006774EB">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本项目为肉牛养殖项目，养殖区位于巴中市巴州区各乡镇，项目选址不涉及</w:t>
            </w:r>
            <w:r>
              <w:rPr>
                <w:color w:val="000000" w:themeColor="text1"/>
                <w:kern w:val="0"/>
                <w:sz w:val="18"/>
                <w:szCs w:val="18"/>
                <w:lang w:val="en-US" w:bidi="ar"/>
                <w14:textFill>
                  <w14:solidFill>
                    <w14:schemeClr w14:val="tx1"/>
                  </w14:solidFill>
                </w14:textFill>
              </w:rPr>
              <w:t>水产种质资源保护区、国家湿地公园，不涉及挖沙、采矿等活动。</w:t>
            </w:r>
          </w:p>
        </w:tc>
        <w:tc>
          <w:tcPr>
            <w:tcW w:w="918" w:type="dxa"/>
            <w:vAlign w:val="center"/>
          </w:tcPr>
          <w:p w14:paraId="1BFD1C90">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ACDAE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48B82AA1">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5</w:t>
            </w:r>
          </w:p>
        </w:tc>
        <w:tc>
          <w:tcPr>
            <w:tcW w:w="4442" w:type="dxa"/>
            <w:vAlign w:val="center"/>
          </w:tcPr>
          <w:p w14:paraId="5C484A1D">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2515" w:type="dxa"/>
            <w:vAlign w:val="center"/>
          </w:tcPr>
          <w:p w14:paraId="5C501C64">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本项目位于巴中市巴州区各乡镇，项目选址不在</w:t>
            </w:r>
            <w:r>
              <w:rPr>
                <w:color w:val="000000" w:themeColor="text1"/>
                <w:kern w:val="0"/>
                <w:sz w:val="18"/>
                <w:szCs w:val="18"/>
                <w:lang w:val="en-US" w:bidi="ar"/>
                <w14:textFill>
                  <w14:solidFill>
                    <w14:schemeClr w14:val="tx1"/>
                  </w14:solidFill>
                </w14:textFill>
              </w:rPr>
              <w:t>长江岸线保护区和保留区内，不在《全国重要江河湖泊水功能区划》划定的河段及湖泊保护区、保留区内。</w:t>
            </w:r>
          </w:p>
        </w:tc>
        <w:tc>
          <w:tcPr>
            <w:tcW w:w="918" w:type="dxa"/>
            <w:vAlign w:val="center"/>
          </w:tcPr>
          <w:p w14:paraId="085E0AB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258C0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5FAE272B">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6</w:t>
            </w:r>
          </w:p>
        </w:tc>
        <w:tc>
          <w:tcPr>
            <w:tcW w:w="4442" w:type="dxa"/>
            <w:vAlign w:val="center"/>
          </w:tcPr>
          <w:p w14:paraId="3721958E">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禁止未经许可在长江干支流及湖泊新设、改设或扩大排污口。</w:t>
            </w:r>
          </w:p>
        </w:tc>
        <w:tc>
          <w:tcPr>
            <w:tcW w:w="2515" w:type="dxa"/>
            <w:vAlign w:val="center"/>
          </w:tcPr>
          <w:p w14:paraId="1E7348DF">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本项目无生产废水排放，未在</w:t>
            </w:r>
            <w:r>
              <w:rPr>
                <w:color w:val="000000" w:themeColor="text1"/>
                <w:kern w:val="0"/>
                <w:sz w:val="18"/>
                <w:szCs w:val="18"/>
                <w:lang w:val="en-US" w:bidi="ar"/>
                <w14:textFill>
                  <w14:solidFill>
                    <w14:schemeClr w14:val="tx1"/>
                  </w14:solidFill>
                </w14:textFill>
              </w:rPr>
              <w:t>长江干支流及湖泊新设排污口。</w:t>
            </w:r>
          </w:p>
        </w:tc>
        <w:tc>
          <w:tcPr>
            <w:tcW w:w="918" w:type="dxa"/>
            <w:vAlign w:val="center"/>
          </w:tcPr>
          <w:p w14:paraId="47BF5626">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3BEEC4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71CCA12A">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7</w:t>
            </w:r>
          </w:p>
        </w:tc>
        <w:tc>
          <w:tcPr>
            <w:tcW w:w="4442" w:type="dxa"/>
            <w:vAlign w:val="center"/>
          </w:tcPr>
          <w:p w14:paraId="524FBE6B">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禁止在“一江一口两湖七河”和332个水生生物保护区开展生产性捕捞。</w:t>
            </w:r>
          </w:p>
        </w:tc>
        <w:tc>
          <w:tcPr>
            <w:tcW w:w="2515" w:type="dxa"/>
            <w:vAlign w:val="center"/>
          </w:tcPr>
          <w:p w14:paraId="5848F9F1">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本项目为牛肉养殖项目，不开展生产性捕捞。</w:t>
            </w:r>
          </w:p>
        </w:tc>
        <w:tc>
          <w:tcPr>
            <w:tcW w:w="918" w:type="dxa"/>
            <w:vAlign w:val="center"/>
          </w:tcPr>
          <w:p w14:paraId="02A9820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7D57D8C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51FA05CB">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8</w:t>
            </w:r>
          </w:p>
        </w:tc>
        <w:tc>
          <w:tcPr>
            <w:tcW w:w="4442" w:type="dxa"/>
            <w:vAlign w:val="center"/>
          </w:tcPr>
          <w:p w14:paraId="7FBD1B27">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2515" w:type="dxa"/>
            <w:vAlign w:val="center"/>
          </w:tcPr>
          <w:p w14:paraId="14C7A247">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本项目为肉牛养殖项目，不属于化工项目，不属于</w:t>
            </w:r>
            <w:r>
              <w:rPr>
                <w:color w:val="000000" w:themeColor="text1"/>
                <w:kern w:val="0"/>
                <w:sz w:val="18"/>
                <w:szCs w:val="18"/>
                <w:lang w:val="en-US" w:bidi="ar"/>
                <w14:textFill>
                  <w14:solidFill>
                    <w14:schemeClr w14:val="tx1"/>
                  </w14:solidFill>
                </w14:textFill>
              </w:rPr>
              <w:t>尾矿库、冶炼渣库和磷石膏库项目。</w:t>
            </w:r>
          </w:p>
        </w:tc>
        <w:tc>
          <w:tcPr>
            <w:tcW w:w="918" w:type="dxa"/>
            <w:vAlign w:val="center"/>
          </w:tcPr>
          <w:p w14:paraId="49A9420D">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FAE5A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2E23D48F">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9</w:t>
            </w:r>
          </w:p>
        </w:tc>
        <w:tc>
          <w:tcPr>
            <w:tcW w:w="4442" w:type="dxa"/>
            <w:vAlign w:val="center"/>
          </w:tcPr>
          <w:p w14:paraId="2F9E4772">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禁止在合规园区外新建、扩建钢铁、石化、化工、焦化、建材、有色、制浆造纸等高污染项目。</w:t>
            </w:r>
          </w:p>
        </w:tc>
        <w:tc>
          <w:tcPr>
            <w:tcW w:w="2515" w:type="dxa"/>
            <w:vAlign w:val="center"/>
          </w:tcPr>
          <w:p w14:paraId="66279D8E">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本项目为肉牛养殖项目，不属于</w:t>
            </w:r>
            <w:r>
              <w:rPr>
                <w:color w:val="000000" w:themeColor="text1"/>
                <w:kern w:val="0"/>
                <w:sz w:val="18"/>
                <w:szCs w:val="18"/>
                <w:lang w:val="en-US" w:bidi="ar"/>
                <w14:textFill>
                  <w14:solidFill>
                    <w14:schemeClr w14:val="tx1"/>
                  </w14:solidFill>
                </w14:textFill>
              </w:rPr>
              <w:t>钢铁、石化、化工、焦化、建材、有色、制浆造纸等高污染项目。</w:t>
            </w:r>
          </w:p>
        </w:tc>
        <w:tc>
          <w:tcPr>
            <w:tcW w:w="918" w:type="dxa"/>
            <w:vAlign w:val="center"/>
          </w:tcPr>
          <w:p w14:paraId="18D432D2">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3AB8CE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7EDDA935">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10</w:t>
            </w:r>
          </w:p>
        </w:tc>
        <w:tc>
          <w:tcPr>
            <w:tcW w:w="4442" w:type="dxa"/>
            <w:vAlign w:val="center"/>
          </w:tcPr>
          <w:p w14:paraId="18B14E71">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禁止新建、扩建不符合国家石化、现代煤化工等产业布局规划的项目。</w:t>
            </w:r>
          </w:p>
        </w:tc>
        <w:tc>
          <w:tcPr>
            <w:tcW w:w="2515" w:type="dxa"/>
            <w:vAlign w:val="center"/>
          </w:tcPr>
          <w:p w14:paraId="651B0603">
            <w:pPr>
              <w:pStyle w:val="75"/>
              <w:widowControl/>
              <w:adjustRightInd w:val="0"/>
              <w:snapToGrid w:val="0"/>
              <w:ind w:firstLine="360" w:firstLineChars="200"/>
              <w:jc w:val="left"/>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本项目为肉牛养殖项目，不属于</w:t>
            </w:r>
            <w:r>
              <w:rPr>
                <w:color w:val="000000" w:themeColor="text1"/>
                <w:kern w:val="0"/>
                <w:sz w:val="18"/>
                <w:szCs w:val="18"/>
                <w:lang w:val="en-US" w:bidi="ar"/>
                <w14:textFill>
                  <w14:solidFill>
                    <w14:schemeClr w14:val="tx1"/>
                  </w14:solidFill>
                </w14:textFill>
              </w:rPr>
              <w:t>石化、现代煤化工等项目。</w:t>
            </w:r>
          </w:p>
        </w:tc>
        <w:tc>
          <w:tcPr>
            <w:tcW w:w="918" w:type="dxa"/>
            <w:vAlign w:val="center"/>
          </w:tcPr>
          <w:p w14:paraId="58C28D6F">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215DCF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tcBorders>
              <w:bottom w:val="single" w:color="auto" w:sz="12" w:space="0"/>
            </w:tcBorders>
            <w:vAlign w:val="center"/>
          </w:tcPr>
          <w:p w14:paraId="5ECAF2BC">
            <w:pPr>
              <w:pStyle w:val="75"/>
              <w:widowControl/>
              <w:adjustRightInd w:val="0"/>
              <w:snapToGrid w:val="0"/>
              <w:rPr>
                <w:color w:val="000000" w:themeColor="text1"/>
                <w:sz w:val="18"/>
                <w:szCs w:val="18"/>
                <w:lang w:val="en-US"/>
                <w14:textFill>
                  <w14:solidFill>
                    <w14:schemeClr w14:val="tx1"/>
                  </w14:solidFill>
                </w14:textFill>
              </w:rPr>
            </w:pPr>
            <w:r>
              <w:rPr>
                <w:color w:val="000000" w:themeColor="text1"/>
                <w:sz w:val="18"/>
                <w:szCs w:val="18"/>
                <w:lang w:val="en-US"/>
                <w14:textFill>
                  <w14:solidFill>
                    <w14:schemeClr w14:val="tx1"/>
                  </w14:solidFill>
                </w14:textFill>
              </w:rPr>
              <w:t>11</w:t>
            </w:r>
          </w:p>
        </w:tc>
        <w:tc>
          <w:tcPr>
            <w:tcW w:w="4442" w:type="dxa"/>
            <w:tcBorders>
              <w:bottom w:val="single" w:color="auto" w:sz="12" w:space="0"/>
            </w:tcBorders>
            <w:vAlign w:val="center"/>
          </w:tcPr>
          <w:p w14:paraId="2ACEF455">
            <w:pPr>
              <w:widowControl/>
              <w:ind w:firstLine="360" w:firstLineChars="200"/>
              <w:jc w:val="left"/>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禁止新建、扩建法律法规和相关政策明令禁止的落后产能项目。禁止新建、扩建不符合国家产能置换要求的严重过剩产能行业的项目。禁止新建、扩建不符合要求的高耗能高排放项目。</w:t>
            </w:r>
          </w:p>
        </w:tc>
        <w:tc>
          <w:tcPr>
            <w:tcW w:w="2515" w:type="dxa"/>
            <w:tcBorders>
              <w:bottom w:val="single" w:color="auto" w:sz="12" w:space="0"/>
            </w:tcBorders>
            <w:vAlign w:val="center"/>
          </w:tcPr>
          <w:p w14:paraId="60803925">
            <w:pPr>
              <w:pStyle w:val="75"/>
              <w:widowControl/>
              <w:adjustRightInd w:val="0"/>
              <w:snapToGrid w:val="0"/>
              <w:ind w:firstLine="360" w:firstLineChars="200"/>
              <w:jc w:val="left"/>
              <w:rPr>
                <w:color w:val="000000" w:themeColor="text1"/>
                <w:sz w:val="18"/>
                <w:szCs w:val="18"/>
                <w:highlight w:val="yellow"/>
                <w:lang w:val="en-US"/>
                <w14:textFill>
                  <w14:solidFill>
                    <w14:schemeClr w14:val="tx1"/>
                  </w14:solidFill>
                </w14:textFill>
              </w:rPr>
            </w:pPr>
            <w:r>
              <w:rPr>
                <w:color w:val="000000" w:themeColor="text1"/>
                <w:sz w:val="18"/>
                <w:szCs w:val="18"/>
                <w:lang w:val="en-US"/>
                <w14:textFill>
                  <w14:solidFill>
                    <w14:schemeClr w14:val="tx1"/>
                  </w14:solidFill>
                </w14:textFill>
              </w:rPr>
              <w:t>本项目为肉牛养殖项目，属于《产业结构调整指导目录（2024年本）》鼓励类项目。</w:t>
            </w:r>
          </w:p>
        </w:tc>
        <w:tc>
          <w:tcPr>
            <w:tcW w:w="918" w:type="dxa"/>
            <w:tcBorders>
              <w:bottom w:val="single" w:color="auto" w:sz="12" w:space="0"/>
            </w:tcBorders>
            <w:vAlign w:val="center"/>
          </w:tcPr>
          <w:p w14:paraId="321D193C">
            <w:pPr>
              <w:widowControl/>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bl>
    <w:p w14:paraId="26F38CF0">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lang w:val="en-US"/>
          <w14:textFill>
            <w14:solidFill>
              <w14:schemeClr w14:val="tx1"/>
            </w14:solidFill>
          </w14:textFill>
        </w:rPr>
        <w:t>综上，本项目与</w:t>
      </w:r>
      <w:r>
        <w:rPr>
          <w:color w:val="000000" w:themeColor="text1"/>
          <w:kern w:val="0"/>
          <w:lang w:val="en-US" w:bidi="ar"/>
          <w14:textFill>
            <w14:solidFill>
              <w14:schemeClr w14:val="tx1"/>
            </w14:solidFill>
          </w14:textFill>
        </w:rPr>
        <w:t>《长江经济带发展负面清单指南（试行，2022年版）》（长江办〔2022〕7号）文件要求相符，不属于环境准入负面清单列明的项目。</w:t>
      </w:r>
    </w:p>
    <w:p w14:paraId="68729C2A">
      <w:pPr>
        <w:pStyle w:val="75"/>
        <w:adjustRightInd w:val="0"/>
        <w:snapToGrid w:val="0"/>
        <w:spacing w:line="360" w:lineRule="auto"/>
        <w:ind w:firstLine="482" w:firstLineChars="200"/>
        <w:jc w:val="left"/>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（22）与《四川省、重庆市长江经济带发展负面清单实施细则（试行，2022年版）》（川长江办〔2022〕17号）符合性分析</w:t>
      </w:r>
    </w:p>
    <w:p w14:paraId="0FDDF451">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根据“四川省推动长江经济带发展领导小组办公室重庆市推动长江经济带发展领导小组办公室关于印发《四川省、重庆市长江经济带发展负面清单实施细则（试行，2022年版）》的通知”（川长江办〔2022〕17号），该通知要求“以推动长江经济带高质量发展为目标，按照最严格的生态环境保护要求，对不符合《指南》的投资建设行为一律禁止，确保长江生态功能逐步恢复，环境质量持续改善；管控方式为明确列出禁止投资建设的项目类别，依法管控，确保涉及长江的一切投资建设活动都以不破坏生态环境为前提”。本项目与其主要内容符合性分析见下表。</w:t>
      </w:r>
    </w:p>
    <w:p w14:paraId="50F280F8">
      <w:pPr>
        <w:pStyle w:val="814"/>
        <w:numPr>
          <w:ilvl w:val="0"/>
          <w:numId w:val="15"/>
        </w:numPr>
        <w:snapToGrid w:val="0"/>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t>与（川长江办〔2022〕17号）的符合性分析</w:t>
      </w:r>
    </w:p>
    <w:tbl>
      <w:tblPr>
        <w:tblStyle w:val="1745"/>
        <w:tblW w:w="852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47"/>
        <w:gridCol w:w="5051"/>
        <w:gridCol w:w="2267"/>
        <w:gridCol w:w="556"/>
      </w:tblGrid>
      <w:tr w14:paraId="7BE8D6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647" w:type="dxa"/>
            <w:tcBorders>
              <w:tl2br w:val="nil"/>
              <w:tr2bl w:val="nil"/>
            </w:tcBorders>
            <w:vAlign w:val="center"/>
          </w:tcPr>
          <w:p w14:paraId="024A971E">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b/>
                <w:bCs/>
                <w:color w:val="000000" w:themeColor="text1"/>
                <w:sz w:val="18"/>
                <w:szCs w:val="18"/>
                <w:lang w:eastAsia="en-US"/>
                <w14:textFill>
                  <w14:solidFill>
                    <w14:schemeClr w14:val="tx1"/>
                  </w14:solidFill>
                </w14:textFill>
              </w:rPr>
              <w:t>序号</w:t>
            </w:r>
          </w:p>
        </w:tc>
        <w:tc>
          <w:tcPr>
            <w:tcW w:w="5051" w:type="dxa"/>
            <w:tcBorders>
              <w:tl2br w:val="nil"/>
              <w:tr2bl w:val="nil"/>
            </w:tcBorders>
            <w:vAlign w:val="center"/>
          </w:tcPr>
          <w:p w14:paraId="02941865">
            <w:pPr>
              <w:widowControl/>
              <w:autoSpaceDE/>
              <w:autoSpaceDN/>
              <w:jc w:val="center"/>
              <w:rPr>
                <w:rFonts w:ascii="Times New Roman" w:hAnsi="Times New Roman" w:eastAsia="黑体"/>
                <w:color w:val="000000" w:themeColor="text1"/>
                <w:sz w:val="18"/>
                <w:szCs w:val="18"/>
                <w:lang w:eastAsia="zh-CN"/>
                <w14:textFill>
                  <w14:solidFill>
                    <w14:schemeClr w14:val="tx1"/>
                  </w14:solidFill>
                </w14:textFill>
              </w:rPr>
            </w:pPr>
            <w:r>
              <w:rPr>
                <w:rFonts w:ascii="Times New Roman" w:hAnsi="Times New Roman" w:eastAsia="黑体"/>
                <w:b/>
                <w:bCs/>
                <w:color w:val="000000" w:themeColor="text1"/>
                <w:sz w:val="18"/>
                <w:szCs w:val="18"/>
                <w:lang w:eastAsia="zh-CN"/>
                <w14:textFill>
                  <w14:solidFill>
                    <w14:schemeClr w14:val="tx1"/>
                  </w14:solidFill>
                </w14:textFill>
              </w:rPr>
              <w:t>“川长江办〔2022〕17号”管控内容要求</w:t>
            </w:r>
          </w:p>
        </w:tc>
        <w:tc>
          <w:tcPr>
            <w:tcW w:w="2267" w:type="dxa"/>
            <w:tcBorders>
              <w:tl2br w:val="nil"/>
              <w:tr2bl w:val="nil"/>
            </w:tcBorders>
            <w:vAlign w:val="center"/>
          </w:tcPr>
          <w:p w14:paraId="06787A8B">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b/>
                <w:bCs/>
                <w:color w:val="000000" w:themeColor="text1"/>
                <w:sz w:val="18"/>
                <w:szCs w:val="18"/>
                <w:lang w:eastAsia="en-US"/>
                <w14:textFill>
                  <w14:solidFill>
                    <w14:schemeClr w14:val="tx1"/>
                  </w14:solidFill>
                </w14:textFill>
              </w:rPr>
              <w:t>项目情况</w:t>
            </w:r>
          </w:p>
        </w:tc>
        <w:tc>
          <w:tcPr>
            <w:tcW w:w="556" w:type="dxa"/>
            <w:tcBorders>
              <w:tl2br w:val="nil"/>
              <w:tr2bl w:val="nil"/>
            </w:tcBorders>
            <w:vAlign w:val="center"/>
          </w:tcPr>
          <w:p w14:paraId="5701D22C">
            <w:pPr>
              <w:widowControl/>
              <w:autoSpaceDE/>
              <w:autoSpaceDN/>
              <w:jc w:val="center"/>
              <w:rPr>
                <w:rFonts w:ascii="Times New Roman" w:hAnsi="Times New Roman" w:eastAsia="黑体"/>
                <w:color w:val="000000" w:themeColor="text1"/>
                <w:sz w:val="18"/>
                <w:szCs w:val="18"/>
                <w:lang w:eastAsia="en-US"/>
                <w14:textFill>
                  <w14:solidFill>
                    <w14:schemeClr w14:val="tx1"/>
                  </w14:solidFill>
                </w14:textFill>
              </w:rPr>
            </w:pPr>
            <w:r>
              <w:rPr>
                <w:rFonts w:ascii="Times New Roman" w:hAnsi="Times New Roman" w:eastAsia="黑体"/>
                <w:b/>
                <w:bCs/>
                <w:color w:val="000000" w:themeColor="text1"/>
                <w:sz w:val="18"/>
                <w:szCs w:val="18"/>
                <w:lang w:eastAsia="en-US"/>
                <w14:textFill>
                  <w14:solidFill>
                    <w14:schemeClr w14:val="tx1"/>
                  </w14:solidFill>
                </w14:textFill>
              </w:rPr>
              <w:t>符合性</w:t>
            </w:r>
          </w:p>
        </w:tc>
      </w:tr>
      <w:tr w14:paraId="5B72E74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22" w:hRule="atLeast"/>
          <w:jc w:val="center"/>
        </w:trPr>
        <w:tc>
          <w:tcPr>
            <w:tcW w:w="647" w:type="dxa"/>
            <w:tcBorders>
              <w:tl2br w:val="nil"/>
              <w:tr2bl w:val="nil"/>
            </w:tcBorders>
            <w:vAlign w:val="center"/>
          </w:tcPr>
          <w:p w14:paraId="2E7D1B1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第七条</w:t>
            </w:r>
          </w:p>
        </w:tc>
        <w:tc>
          <w:tcPr>
            <w:tcW w:w="5051" w:type="dxa"/>
            <w:tcBorders>
              <w:tl2br w:val="nil"/>
              <w:tr2bl w:val="nil"/>
            </w:tcBorders>
            <w:vAlign w:val="center"/>
          </w:tcPr>
          <w:p w14:paraId="1085696C">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禁止在自然保护区核心区、缓冲区的岸线和河段范围内投资建设旅游和生产经营项目。自然保护区的内部未分区的，依照核心区和缓冲区的规定管控。</w:t>
            </w:r>
          </w:p>
        </w:tc>
        <w:tc>
          <w:tcPr>
            <w:tcW w:w="2267" w:type="dxa"/>
            <w:tcBorders>
              <w:tl2br w:val="nil"/>
              <w:tr2bl w:val="nil"/>
            </w:tcBorders>
            <w:vAlign w:val="center"/>
          </w:tcPr>
          <w:p w14:paraId="692A17D1">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本项目不涉及自然保护区核心区、缓冲区。</w:t>
            </w:r>
          </w:p>
        </w:tc>
        <w:tc>
          <w:tcPr>
            <w:tcW w:w="556" w:type="dxa"/>
            <w:tcBorders>
              <w:tl2br w:val="nil"/>
              <w:tr2bl w:val="nil"/>
            </w:tcBorders>
            <w:vAlign w:val="center"/>
          </w:tcPr>
          <w:p w14:paraId="0EE0A6FD">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7DEE33C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41" w:hRule="atLeast"/>
          <w:jc w:val="center"/>
        </w:trPr>
        <w:tc>
          <w:tcPr>
            <w:tcW w:w="647" w:type="dxa"/>
            <w:tcBorders>
              <w:tl2br w:val="nil"/>
              <w:tr2bl w:val="nil"/>
            </w:tcBorders>
            <w:vAlign w:val="center"/>
          </w:tcPr>
          <w:p w14:paraId="621EEDBF">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第八条</w:t>
            </w:r>
          </w:p>
        </w:tc>
        <w:tc>
          <w:tcPr>
            <w:tcW w:w="5051" w:type="dxa"/>
            <w:tcBorders>
              <w:tl2br w:val="nil"/>
              <w:tr2bl w:val="nil"/>
            </w:tcBorders>
            <w:vAlign w:val="center"/>
          </w:tcPr>
          <w:p w14:paraId="5793B49E">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禁止违反风景名胜区规划，在风景名胜区内设立各类开发区。禁止在风景名胜区核心景区的岸线和河段范围内建设宾馆、招待所、培训中心、疗养院以及与风景名胜资源保护无关的项目。</w:t>
            </w:r>
          </w:p>
        </w:tc>
        <w:tc>
          <w:tcPr>
            <w:tcW w:w="2267" w:type="dxa"/>
            <w:tcBorders>
              <w:tl2br w:val="nil"/>
              <w:tr2bl w:val="nil"/>
            </w:tcBorders>
            <w:vAlign w:val="center"/>
          </w:tcPr>
          <w:p w14:paraId="5884F161">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本项目不涉及风景名胜区。</w:t>
            </w:r>
          </w:p>
        </w:tc>
        <w:tc>
          <w:tcPr>
            <w:tcW w:w="556" w:type="dxa"/>
            <w:tcBorders>
              <w:tl2br w:val="nil"/>
              <w:tr2bl w:val="nil"/>
            </w:tcBorders>
            <w:vAlign w:val="center"/>
          </w:tcPr>
          <w:p w14:paraId="7F2D0A3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19E1D7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1" w:hRule="atLeast"/>
          <w:jc w:val="center"/>
        </w:trPr>
        <w:tc>
          <w:tcPr>
            <w:tcW w:w="647" w:type="dxa"/>
            <w:tcBorders>
              <w:tl2br w:val="nil"/>
              <w:tr2bl w:val="nil"/>
            </w:tcBorders>
            <w:vAlign w:val="center"/>
          </w:tcPr>
          <w:p w14:paraId="36462C7F">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第九条</w:t>
            </w:r>
          </w:p>
        </w:tc>
        <w:tc>
          <w:tcPr>
            <w:tcW w:w="5051" w:type="dxa"/>
            <w:tcBorders>
              <w:tl2br w:val="nil"/>
              <w:tr2bl w:val="nil"/>
            </w:tcBorders>
            <w:vAlign w:val="center"/>
          </w:tcPr>
          <w:p w14:paraId="3D25C2B4">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禁止在饮用水水源准保护区的岸线和河段范围内新建、扩建对水体污染严重的建设项目，禁止改建增加排污量的建设项目。</w:t>
            </w:r>
          </w:p>
        </w:tc>
        <w:tc>
          <w:tcPr>
            <w:tcW w:w="2267" w:type="dxa"/>
            <w:tcBorders>
              <w:tl2br w:val="nil"/>
              <w:tr2bl w:val="nil"/>
            </w:tcBorders>
            <w:vAlign w:val="center"/>
          </w:tcPr>
          <w:p w14:paraId="6CAB4090">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本项目不涉及饮用水水源准保护区。</w:t>
            </w:r>
          </w:p>
        </w:tc>
        <w:tc>
          <w:tcPr>
            <w:tcW w:w="556" w:type="dxa"/>
            <w:tcBorders>
              <w:tl2br w:val="nil"/>
              <w:tr2bl w:val="nil"/>
            </w:tcBorders>
            <w:vAlign w:val="center"/>
          </w:tcPr>
          <w:p w14:paraId="00D8D7F7">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26A1EA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32" w:hRule="atLeast"/>
          <w:jc w:val="center"/>
        </w:trPr>
        <w:tc>
          <w:tcPr>
            <w:tcW w:w="647" w:type="dxa"/>
            <w:tcBorders>
              <w:tl2br w:val="nil"/>
              <w:tr2bl w:val="nil"/>
            </w:tcBorders>
            <w:vAlign w:val="center"/>
          </w:tcPr>
          <w:p w14:paraId="081EC35C">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第十条</w:t>
            </w:r>
          </w:p>
        </w:tc>
        <w:tc>
          <w:tcPr>
            <w:tcW w:w="5051" w:type="dxa"/>
            <w:tcBorders>
              <w:tl2br w:val="nil"/>
              <w:tr2bl w:val="nil"/>
            </w:tcBorders>
            <w:vAlign w:val="center"/>
          </w:tcPr>
          <w:p w14:paraId="1F3960E6">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饮用水水源二级保护区的岸线和河段范围内，除遵守准保护区规定外，禁止新建、改建、扩建排放污染物的投资建设项目；禁止从事对水体有污染的水产养殖等活动。</w:t>
            </w:r>
          </w:p>
        </w:tc>
        <w:tc>
          <w:tcPr>
            <w:tcW w:w="2267" w:type="dxa"/>
            <w:tcBorders>
              <w:tl2br w:val="nil"/>
              <w:tr2bl w:val="nil"/>
            </w:tcBorders>
            <w:vAlign w:val="center"/>
          </w:tcPr>
          <w:p w14:paraId="774729C9">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本项目不涉及饮用水水源二级保护区。</w:t>
            </w:r>
          </w:p>
        </w:tc>
        <w:tc>
          <w:tcPr>
            <w:tcW w:w="556" w:type="dxa"/>
            <w:tcBorders>
              <w:tl2br w:val="nil"/>
              <w:tr2bl w:val="nil"/>
            </w:tcBorders>
            <w:vAlign w:val="center"/>
          </w:tcPr>
          <w:p w14:paraId="001AFE7E">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76790FD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44" w:hRule="atLeast"/>
          <w:jc w:val="center"/>
        </w:trPr>
        <w:tc>
          <w:tcPr>
            <w:tcW w:w="647" w:type="dxa"/>
            <w:tcBorders>
              <w:tl2br w:val="nil"/>
              <w:tr2bl w:val="nil"/>
            </w:tcBorders>
            <w:vAlign w:val="center"/>
          </w:tcPr>
          <w:p w14:paraId="2CA99DCD">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第十</w:t>
            </w:r>
          </w:p>
          <w:p w14:paraId="02178E6E">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一条</w:t>
            </w:r>
          </w:p>
        </w:tc>
        <w:tc>
          <w:tcPr>
            <w:tcW w:w="5051" w:type="dxa"/>
            <w:tcBorders>
              <w:tl2br w:val="nil"/>
              <w:tr2bl w:val="nil"/>
            </w:tcBorders>
            <w:vAlign w:val="center"/>
          </w:tcPr>
          <w:p w14:paraId="5CBFB3FA">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饮用水水源一级保护区的岸线和河段范围内，除遵守二级保护区规定外，禁止新建、改建、扩建与供水设施和保护水源无关的项目，以及网箱养殖、畜禽养殖、旅游等可能污染饮用水水体的投资建设项目。</w:t>
            </w:r>
          </w:p>
        </w:tc>
        <w:tc>
          <w:tcPr>
            <w:tcW w:w="2267" w:type="dxa"/>
            <w:tcBorders>
              <w:tl2br w:val="nil"/>
              <w:tr2bl w:val="nil"/>
            </w:tcBorders>
            <w:vAlign w:val="center"/>
          </w:tcPr>
          <w:p w14:paraId="4168697F">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本项目不涉及饮用水水源一级保护区。</w:t>
            </w:r>
          </w:p>
        </w:tc>
        <w:tc>
          <w:tcPr>
            <w:tcW w:w="556" w:type="dxa"/>
            <w:tcBorders>
              <w:tl2br w:val="nil"/>
              <w:tr2bl w:val="nil"/>
            </w:tcBorders>
            <w:vAlign w:val="center"/>
          </w:tcPr>
          <w:p w14:paraId="5DA3F84A">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3C2C58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647" w:type="dxa"/>
            <w:tcBorders>
              <w:tl2br w:val="nil"/>
              <w:tr2bl w:val="nil"/>
            </w:tcBorders>
            <w:vAlign w:val="center"/>
          </w:tcPr>
          <w:p w14:paraId="1D618698">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第十</w:t>
            </w:r>
          </w:p>
          <w:p w14:paraId="417546D1">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二条</w:t>
            </w:r>
          </w:p>
        </w:tc>
        <w:tc>
          <w:tcPr>
            <w:tcW w:w="5051" w:type="dxa"/>
            <w:tcBorders>
              <w:tl2br w:val="nil"/>
              <w:tr2bl w:val="nil"/>
            </w:tcBorders>
            <w:vAlign w:val="center"/>
          </w:tcPr>
          <w:p w14:paraId="4B2A9259">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禁止在水产种质资源保护区岸线和河段范围内新建围湖造田、围湖造地或挖沙采石等投资建设项目。</w:t>
            </w:r>
          </w:p>
        </w:tc>
        <w:tc>
          <w:tcPr>
            <w:tcW w:w="2267" w:type="dxa"/>
            <w:tcBorders>
              <w:tl2br w:val="nil"/>
              <w:tr2bl w:val="nil"/>
            </w:tcBorders>
            <w:vAlign w:val="center"/>
          </w:tcPr>
          <w:p w14:paraId="3B3D32AE">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bookmarkStart w:id="33" w:name="OLE_LINK5"/>
            <w:bookmarkStart w:id="34" w:name="OLE_LINK6"/>
            <w:r>
              <w:rPr>
                <w:rFonts w:hint="eastAsia" w:ascii="宋体" w:hAnsi="宋体" w:eastAsia="宋体" w:cs="宋体"/>
                <w:color w:val="000000" w:themeColor="text1"/>
                <w:sz w:val="18"/>
                <w:szCs w:val="18"/>
                <w:lang w:eastAsia="zh-CN"/>
                <w14:textFill>
                  <w14:solidFill>
                    <w14:schemeClr w14:val="tx1"/>
                  </w14:solidFill>
                </w14:textFill>
              </w:rPr>
              <w:t>本项目</w:t>
            </w:r>
            <w:bookmarkEnd w:id="33"/>
            <w:bookmarkEnd w:id="34"/>
            <w:r>
              <w:rPr>
                <w:rFonts w:hint="eastAsia" w:ascii="宋体" w:hAnsi="宋体" w:eastAsia="宋体" w:cs="宋体"/>
                <w:color w:val="000000" w:themeColor="text1"/>
                <w:sz w:val="18"/>
                <w:szCs w:val="18"/>
                <w:lang w:eastAsia="zh-CN"/>
                <w14:textFill>
                  <w14:solidFill>
                    <w14:schemeClr w14:val="tx1"/>
                  </w14:solidFill>
                </w14:textFill>
              </w:rPr>
              <w:t>不涉及水产种质资源保护区。</w:t>
            </w:r>
          </w:p>
        </w:tc>
        <w:tc>
          <w:tcPr>
            <w:tcW w:w="556" w:type="dxa"/>
            <w:tcBorders>
              <w:tl2br w:val="nil"/>
              <w:tr2bl w:val="nil"/>
            </w:tcBorders>
            <w:vAlign w:val="center"/>
          </w:tcPr>
          <w:p w14:paraId="35CE0897">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61A3B6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28" w:hRule="atLeast"/>
          <w:jc w:val="center"/>
        </w:trPr>
        <w:tc>
          <w:tcPr>
            <w:tcW w:w="647" w:type="dxa"/>
            <w:tcBorders>
              <w:tl2br w:val="nil"/>
              <w:tr2bl w:val="nil"/>
            </w:tcBorders>
            <w:vAlign w:val="center"/>
          </w:tcPr>
          <w:p w14:paraId="0C466A30">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第十</w:t>
            </w:r>
          </w:p>
          <w:p w14:paraId="04645FB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三条</w:t>
            </w:r>
          </w:p>
        </w:tc>
        <w:tc>
          <w:tcPr>
            <w:tcW w:w="5051" w:type="dxa"/>
            <w:tcBorders>
              <w:tl2br w:val="nil"/>
              <w:tr2bl w:val="nil"/>
            </w:tcBorders>
            <w:vAlign w:val="center"/>
          </w:tcPr>
          <w:p w14:paraId="19B8FD19">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在国家湿地公园的岸线和河段范围内开（围）垦、填埋或者排干湿地，截断湿地水源，挖沙、采矿，倾倒有毒有害物质、废弃物、垃圾，从事房地产、度假村、高尔夫球场、风力发电、光伏发电等任何不符合主体功能定位的建设项目和开发活动，破坏野生动物栖息地和迁徙通道、鱼类洄游通道。</w:t>
            </w:r>
          </w:p>
        </w:tc>
        <w:tc>
          <w:tcPr>
            <w:tcW w:w="2267" w:type="dxa"/>
            <w:tcBorders>
              <w:tl2br w:val="nil"/>
              <w:tr2bl w:val="nil"/>
            </w:tcBorders>
            <w:vAlign w:val="center"/>
          </w:tcPr>
          <w:p w14:paraId="68D26718">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涉及在国家湿地公园的岸线和河段范围内开（围）垦、填埋或者排干湿地，截断湿地水源，挖沙、采矿，倾倒有毒有害物质、废弃物、垃圾，从事房地产、度假村、高尔夫球场、风力发电、光伏发电等活动。</w:t>
            </w:r>
          </w:p>
        </w:tc>
        <w:tc>
          <w:tcPr>
            <w:tcW w:w="556" w:type="dxa"/>
            <w:tcBorders>
              <w:tl2br w:val="nil"/>
              <w:tr2bl w:val="nil"/>
            </w:tcBorders>
            <w:vAlign w:val="center"/>
          </w:tcPr>
          <w:p w14:paraId="6AC9FAB4">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BDCEB0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24" w:hRule="atLeast"/>
          <w:jc w:val="center"/>
        </w:trPr>
        <w:tc>
          <w:tcPr>
            <w:tcW w:w="647" w:type="dxa"/>
            <w:tcBorders>
              <w:tl2br w:val="nil"/>
              <w:tr2bl w:val="nil"/>
            </w:tcBorders>
            <w:vAlign w:val="center"/>
          </w:tcPr>
          <w:p w14:paraId="6095FCB1">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第十</w:t>
            </w:r>
          </w:p>
          <w:p w14:paraId="750C0623">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四条</w:t>
            </w:r>
          </w:p>
        </w:tc>
        <w:tc>
          <w:tcPr>
            <w:tcW w:w="5051" w:type="dxa"/>
            <w:tcBorders>
              <w:tl2br w:val="nil"/>
              <w:tr2bl w:val="nil"/>
            </w:tcBorders>
            <w:vAlign w:val="center"/>
          </w:tcPr>
          <w:p w14:paraId="695465DF">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违法利用、占用长江流域河湖岸线。禁止在《长江岸线保护和开发利用总体规划》划定的岸线保护区和岸线保留区内投资建设除事关公共安全及公众利益的防洪护岸、河道治理、供水、生态环境保护、航道整治、国家重要基础设施以外的项目。</w:t>
            </w:r>
          </w:p>
        </w:tc>
        <w:tc>
          <w:tcPr>
            <w:tcW w:w="2267" w:type="dxa"/>
            <w:tcBorders>
              <w:tl2br w:val="nil"/>
              <w:tr2bl w:val="nil"/>
            </w:tcBorders>
            <w:vAlign w:val="center"/>
          </w:tcPr>
          <w:p w14:paraId="65D51146">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本项目不涉及长江流域河湖岸线。</w:t>
            </w:r>
          </w:p>
        </w:tc>
        <w:tc>
          <w:tcPr>
            <w:tcW w:w="556" w:type="dxa"/>
            <w:tcBorders>
              <w:tl2br w:val="nil"/>
              <w:tr2bl w:val="nil"/>
            </w:tcBorders>
            <w:vAlign w:val="center"/>
          </w:tcPr>
          <w:p w14:paraId="3A048E8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C06BC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7" w:hRule="atLeast"/>
          <w:jc w:val="center"/>
        </w:trPr>
        <w:tc>
          <w:tcPr>
            <w:tcW w:w="647" w:type="dxa"/>
            <w:tcBorders>
              <w:tl2br w:val="nil"/>
              <w:tr2bl w:val="nil"/>
            </w:tcBorders>
            <w:vAlign w:val="center"/>
          </w:tcPr>
          <w:p w14:paraId="45310312">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第十</w:t>
            </w:r>
          </w:p>
          <w:p w14:paraId="044FA4BB">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五条</w:t>
            </w:r>
          </w:p>
        </w:tc>
        <w:tc>
          <w:tcPr>
            <w:tcW w:w="5051" w:type="dxa"/>
            <w:tcBorders>
              <w:tl2br w:val="nil"/>
              <w:tr2bl w:val="nil"/>
            </w:tcBorders>
            <w:vAlign w:val="center"/>
          </w:tcPr>
          <w:p w14:paraId="7E6F4F94">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禁止在《全国重要江河湖泊水功能区划》划定的河段及湖泊保护区、保留区内投资建设不利于水资源及自然生态保护的项目。</w:t>
            </w:r>
          </w:p>
        </w:tc>
        <w:tc>
          <w:tcPr>
            <w:tcW w:w="2267" w:type="dxa"/>
            <w:tcBorders>
              <w:tl2br w:val="nil"/>
              <w:tr2bl w:val="nil"/>
            </w:tcBorders>
            <w:vAlign w:val="center"/>
          </w:tcPr>
          <w:p w14:paraId="0F4CE312">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本项目不涉及《全国重要江河湖泊水功能区划》区域。</w:t>
            </w:r>
          </w:p>
        </w:tc>
        <w:tc>
          <w:tcPr>
            <w:tcW w:w="556" w:type="dxa"/>
            <w:tcBorders>
              <w:tl2br w:val="nil"/>
              <w:tr2bl w:val="nil"/>
            </w:tcBorders>
            <w:vAlign w:val="center"/>
          </w:tcPr>
          <w:p w14:paraId="13AFD83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1EA64F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647" w:type="dxa"/>
            <w:tcBorders>
              <w:tl2br w:val="nil"/>
              <w:tr2bl w:val="nil"/>
            </w:tcBorders>
            <w:vAlign w:val="center"/>
          </w:tcPr>
          <w:p w14:paraId="09769004">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第十</w:t>
            </w:r>
          </w:p>
          <w:p w14:paraId="247F9FB4">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八条</w:t>
            </w:r>
          </w:p>
        </w:tc>
        <w:tc>
          <w:tcPr>
            <w:tcW w:w="5051" w:type="dxa"/>
            <w:tcBorders>
              <w:tl2br w:val="nil"/>
              <w:tr2bl w:val="nil"/>
            </w:tcBorders>
            <w:vAlign w:val="center"/>
          </w:tcPr>
          <w:p w14:paraId="4F1E8359">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禁止在长江干支流、重要湖泊岸线一公里范围内新建、扩建化工园区和化工项目。</w:t>
            </w:r>
          </w:p>
        </w:tc>
        <w:tc>
          <w:tcPr>
            <w:tcW w:w="2267" w:type="dxa"/>
            <w:vMerge w:val="restart"/>
            <w:tcBorders>
              <w:tl2br w:val="nil"/>
              <w:tr2bl w:val="nil"/>
            </w:tcBorders>
            <w:vAlign w:val="center"/>
          </w:tcPr>
          <w:p w14:paraId="60A1C7B2">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本项目不属于化工园区和化工项目；不属于尾矿库、冶炼渣库、磷石膏库；不属于钢铁、石化、化工、焦化、建材、有色、制浆造纸等高污染项目；不属于石化、现代煤化工。</w:t>
            </w:r>
          </w:p>
        </w:tc>
        <w:tc>
          <w:tcPr>
            <w:tcW w:w="556" w:type="dxa"/>
            <w:vMerge w:val="restart"/>
            <w:tcBorders>
              <w:tl2br w:val="nil"/>
              <w:tr2bl w:val="nil"/>
            </w:tcBorders>
            <w:vAlign w:val="center"/>
          </w:tcPr>
          <w:p w14:paraId="3976D3C0">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7745102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40" w:hRule="atLeast"/>
          <w:jc w:val="center"/>
        </w:trPr>
        <w:tc>
          <w:tcPr>
            <w:tcW w:w="647" w:type="dxa"/>
            <w:tcBorders>
              <w:tl2br w:val="nil"/>
              <w:tr2bl w:val="nil"/>
            </w:tcBorders>
            <w:vAlign w:val="center"/>
          </w:tcPr>
          <w:p w14:paraId="6D4AB0E0">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第十</w:t>
            </w:r>
          </w:p>
          <w:p w14:paraId="65708133">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九条</w:t>
            </w:r>
          </w:p>
        </w:tc>
        <w:tc>
          <w:tcPr>
            <w:tcW w:w="5051" w:type="dxa"/>
            <w:tcBorders>
              <w:tl2br w:val="nil"/>
              <w:tr2bl w:val="nil"/>
            </w:tcBorders>
            <w:vAlign w:val="center"/>
          </w:tcPr>
          <w:p w14:paraId="28197D3C">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禁止在长江干流岸线三公里范围内和重要支流岸线一公里范围内新建、改建、扩建尾矿库、冶炼渣库、磷石膏库，以提升安全、生态环境保护水平为目的的改建除外。</w:t>
            </w:r>
          </w:p>
        </w:tc>
        <w:tc>
          <w:tcPr>
            <w:tcW w:w="2267" w:type="dxa"/>
            <w:vMerge w:val="continue"/>
            <w:tcBorders>
              <w:tl2br w:val="nil"/>
              <w:tr2bl w:val="nil"/>
            </w:tcBorders>
            <w:vAlign w:val="center"/>
          </w:tcPr>
          <w:p w14:paraId="74E63C5D">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p>
        </w:tc>
        <w:tc>
          <w:tcPr>
            <w:tcW w:w="556" w:type="dxa"/>
            <w:vMerge w:val="continue"/>
            <w:tcBorders>
              <w:tl2br w:val="nil"/>
              <w:tr2bl w:val="nil"/>
            </w:tcBorders>
            <w:vAlign w:val="center"/>
          </w:tcPr>
          <w:p w14:paraId="3FA6A642">
            <w:pPr>
              <w:widowControl w:val="0"/>
              <w:autoSpaceDE w:val="0"/>
              <w:autoSpaceDN w:val="0"/>
              <w:jc w:val="center"/>
              <w:rPr>
                <w:rFonts w:ascii="Times New Roman" w:hAnsi="Times New Roman" w:eastAsia="Times New Roman"/>
                <w:color w:val="000000" w:themeColor="text1"/>
                <w:sz w:val="18"/>
                <w:szCs w:val="18"/>
                <w:lang w:eastAsia="zh-CN"/>
                <w14:textFill>
                  <w14:solidFill>
                    <w14:schemeClr w14:val="tx1"/>
                  </w14:solidFill>
                </w14:textFill>
              </w:rPr>
            </w:pPr>
          </w:p>
        </w:tc>
      </w:tr>
      <w:tr w14:paraId="7D73889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647" w:type="dxa"/>
            <w:tcBorders>
              <w:tl2br w:val="nil"/>
              <w:tr2bl w:val="nil"/>
            </w:tcBorders>
            <w:vAlign w:val="center"/>
          </w:tcPr>
          <w:p w14:paraId="2F89DB1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第二</w:t>
            </w:r>
          </w:p>
          <w:p w14:paraId="56A71EA1">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十条</w:t>
            </w:r>
          </w:p>
        </w:tc>
        <w:tc>
          <w:tcPr>
            <w:tcW w:w="5051" w:type="dxa"/>
            <w:tcBorders>
              <w:tl2br w:val="nil"/>
              <w:tr2bl w:val="nil"/>
            </w:tcBorders>
            <w:vAlign w:val="center"/>
          </w:tcPr>
          <w:p w14:paraId="644EEA71">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禁止在生态保护红线区域、永久基本农田集中区域和其他需要特别保护的区域内选址建设尾矿库、冶炼渣库、磷石膏库。</w:t>
            </w:r>
          </w:p>
        </w:tc>
        <w:tc>
          <w:tcPr>
            <w:tcW w:w="2267" w:type="dxa"/>
            <w:vMerge w:val="continue"/>
            <w:tcBorders>
              <w:tl2br w:val="nil"/>
              <w:tr2bl w:val="nil"/>
            </w:tcBorders>
            <w:vAlign w:val="center"/>
          </w:tcPr>
          <w:p w14:paraId="4284D6BB">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p>
        </w:tc>
        <w:tc>
          <w:tcPr>
            <w:tcW w:w="556" w:type="dxa"/>
            <w:vMerge w:val="continue"/>
            <w:tcBorders>
              <w:tl2br w:val="nil"/>
              <w:tr2bl w:val="nil"/>
            </w:tcBorders>
            <w:vAlign w:val="center"/>
          </w:tcPr>
          <w:p w14:paraId="7D2E8A10">
            <w:pPr>
              <w:widowControl w:val="0"/>
              <w:autoSpaceDE w:val="0"/>
              <w:autoSpaceDN w:val="0"/>
              <w:jc w:val="center"/>
              <w:rPr>
                <w:rFonts w:ascii="Times New Roman" w:hAnsi="Times New Roman" w:eastAsia="Times New Roman"/>
                <w:color w:val="000000" w:themeColor="text1"/>
                <w:sz w:val="18"/>
                <w:szCs w:val="18"/>
                <w:lang w:eastAsia="zh-CN"/>
                <w14:textFill>
                  <w14:solidFill>
                    <w14:schemeClr w14:val="tx1"/>
                  </w14:solidFill>
                </w14:textFill>
              </w:rPr>
            </w:pPr>
          </w:p>
        </w:tc>
      </w:tr>
      <w:tr w14:paraId="1CE64A6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647" w:type="dxa"/>
            <w:tcBorders>
              <w:tl2br w:val="nil"/>
              <w:tr2bl w:val="nil"/>
            </w:tcBorders>
            <w:vAlign w:val="center"/>
          </w:tcPr>
          <w:p w14:paraId="544CD22A">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第二</w:t>
            </w:r>
          </w:p>
          <w:p w14:paraId="22277B16">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十一</w:t>
            </w:r>
          </w:p>
          <w:p w14:paraId="5FA9CF0F">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条</w:t>
            </w:r>
          </w:p>
        </w:tc>
        <w:tc>
          <w:tcPr>
            <w:tcW w:w="5051" w:type="dxa"/>
            <w:tcBorders>
              <w:tl2br w:val="nil"/>
              <w:tr2bl w:val="nil"/>
            </w:tcBorders>
            <w:vAlign w:val="center"/>
          </w:tcPr>
          <w:p w14:paraId="10796B03">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禁止在合规园区外新建、扩建钢铁、石化、化工、焦</w:t>
            </w:r>
          </w:p>
          <w:p w14:paraId="1D0B0F89">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化、建材、有色、制浆造纸等高污染项目。</w:t>
            </w:r>
          </w:p>
        </w:tc>
        <w:tc>
          <w:tcPr>
            <w:tcW w:w="2267" w:type="dxa"/>
            <w:vMerge w:val="continue"/>
            <w:tcBorders>
              <w:tl2br w:val="nil"/>
              <w:tr2bl w:val="nil"/>
            </w:tcBorders>
            <w:vAlign w:val="center"/>
          </w:tcPr>
          <w:p w14:paraId="4C5FAC26">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p>
        </w:tc>
        <w:tc>
          <w:tcPr>
            <w:tcW w:w="556" w:type="dxa"/>
            <w:vMerge w:val="continue"/>
            <w:tcBorders>
              <w:tl2br w:val="nil"/>
              <w:tr2bl w:val="nil"/>
            </w:tcBorders>
            <w:vAlign w:val="center"/>
          </w:tcPr>
          <w:p w14:paraId="0D5BFC2F">
            <w:pPr>
              <w:widowControl w:val="0"/>
              <w:autoSpaceDE w:val="0"/>
              <w:autoSpaceDN w:val="0"/>
              <w:jc w:val="center"/>
              <w:rPr>
                <w:rFonts w:ascii="Times New Roman" w:hAnsi="Times New Roman" w:eastAsia="Times New Roman"/>
                <w:color w:val="000000" w:themeColor="text1"/>
                <w:sz w:val="18"/>
                <w:szCs w:val="18"/>
                <w:lang w:eastAsia="zh-CN"/>
                <w14:textFill>
                  <w14:solidFill>
                    <w14:schemeClr w14:val="tx1"/>
                  </w14:solidFill>
                </w14:textFill>
              </w:rPr>
            </w:pPr>
          </w:p>
        </w:tc>
      </w:tr>
      <w:tr w14:paraId="0F36742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406" w:hRule="atLeast"/>
          <w:jc w:val="center"/>
        </w:trPr>
        <w:tc>
          <w:tcPr>
            <w:tcW w:w="647" w:type="dxa"/>
            <w:tcBorders>
              <w:tl2br w:val="nil"/>
              <w:tr2bl w:val="nil"/>
            </w:tcBorders>
            <w:vAlign w:val="center"/>
          </w:tcPr>
          <w:p w14:paraId="49C11527">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第二</w:t>
            </w:r>
          </w:p>
          <w:p w14:paraId="0F555ACE">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十二</w:t>
            </w:r>
          </w:p>
          <w:p w14:paraId="588937F3">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条</w:t>
            </w:r>
          </w:p>
        </w:tc>
        <w:tc>
          <w:tcPr>
            <w:tcW w:w="5051" w:type="dxa"/>
            <w:tcBorders>
              <w:tl2br w:val="nil"/>
              <w:tr2bl w:val="nil"/>
            </w:tcBorders>
            <w:vAlign w:val="center"/>
          </w:tcPr>
          <w:p w14:paraId="23343813">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新建、扩建不符合国家石化、现代煤化工等产业布局规划的项目。（一）严格控制新增炼油产能，未列入《石化产业规划布局方案（修订版）》的新增炼油产能一律不得建设。（二）新建煤制烯烃、煤制芳烃项目必须列入《现代煤化工产业创新发展布局方案》，必须符合《现代煤化工建设项目环境准入条件（试行）》要求。</w:t>
            </w:r>
          </w:p>
        </w:tc>
        <w:tc>
          <w:tcPr>
            <w:tcW w:w="2267" w:type="dxa"/>
            <w:vMerge w:val="continue"/>
            <w:tcBorders>
              <w:tl2br w:val="nil"/>
              <w:tr2bl w:val="nil"/>
            </w:tcBorders>
            <w:vAlign w:val="center"/>
          </w:tcPr>
          <w:p w14:paraId="2557FFBB">
            <w:pPr>
              <w:widowControl w:val="0"/>
              <w:autoSpaceDE w:val="0"/>
              <w:autoSpaceDN w:val="0"/>
              <w:jc w:val="left"/>
              <w:rPr>
                <w:rFonts w:ascii="Times New Roman" w:hAnsi="Times New Roman" w:eastAsia="Times New Roman"/>
                <w:color w:val="000000" w:themeColor="text1"/>
                <w:sz w:val="18"/>
                <w:szCs w:val="18"/>
                <w:lang w:eastAsia="zh-CN"/>
                <w14:textFill>
                  <w14:solidFill>
                    <w14:schemeClr w14:val="tx1"/>
                  </w14:solidFill>
                </w14:textFill>
              </w:rPr>
            </w:pPr>
          </w:p>
        </w:tc>
        <w:tc>
          <w:tcPr>
            <w:tcW w:w="556" w:type="dxa"/>
            <w:vMerge w:val="continue"/>
            <w:tcBorders>
              <w:tl2br w:val="nil"/>
              <w:tr2bl w:val="nil"/>
            </w:tcBorders>
            <w:vAlign w:val="center"/>
          </w:tcPr>
          <w:p w14:paraId="3BFA5FB5">
            <w:pPr>
              <w:widowControl w:val="0"/>
              <w:autoSpaceDE w:val="0"/>
              <w:autoSpaceDN w:val="0"/>
              <w:jc w:val="center"/>
              <w:rPr>
                <w:rFonts w:ascii="Times New Roman" w:hAnsi="Times New Roman" w:eastAsia="Times New Roman"/>
                <w:color w:val="000000" w:themeColor="text1"/>
                <w:sz w:val="18"/>
                <w:szCs w:val="18"/>
                <w:lang w:eastAsia="zh-CN"/>
                <w14:textFill>
                  <w14:solidFill>
                    <w14:schemeClr w14:val="tx1"/>
                  </w14:solidFill>
                </w14:textFill>
              </w:rPr>
            </w:pPr>
          </w:p>
        </w:tc>
      </w:tr>
      <w:tr w14:paraId="7045F0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71" w:hRule="atLeast"/>
          <w:jc w:val="center"/>
        </w:trPr>
        <w:tc>
          <w:tcPr>
            <w:tcW w:w="647" w:type="dxa"/>
            <w:tcBorders>
              <w:tl2br w:val="nil"/>
              <w:tr2bl w:val="nil"/>
            </w:tcBorders>
            <w:vAlign w:val="center"/>
          </w:tcPr>
          <w:p w14:paraId="3711D381">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第二</w:t>
            </w:r>
          </w:p>
          <w:p w14:paraId="41EBDA93">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十三</w:t>
            </w:r>
          </w:p>
          <w:p w14:paraId="102D03A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条</w:t>
            </w:r>
          </w:p>
        </w:tc>
        <w:tc>
          <w:tcPr>
            <w:tcW w:w="5051" w:type="dxa"/>
            <w:tcBorders>
              <w:tl2br w:val="nil"/>
              <w:tr2bl w:val="nil"/>
            </w:tcBorders>
            <w:vAlign w:val="center"/>
          </w:tcPr>
          <w:p w14:paraId="29F21E19">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禁止新建、扩建法律法规和相关政策明令禁止的落后产能项目。对《产业结构调整指导目录》中淘汰类项目，禁止投资；限制类的新建项目，禁止投资，对属于限制类的现有生产能力，允许企业在一定期限内采</w:t>
            </w:r>
          </w:p>
          <w:p w14:paraId="4879654C">
            <w:pPr>
              <w:widowControl w:val="0"/>
              <w:autoSpaceDE w:val="0"/>
              <w:autoSpaceDN w:val="0"/>
              <w:jc w:val="left"/>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取措施改造升级。</w:t>
            </w:r>
          </w:p>
        </w:tc>
        <w:tc>
          <w:tcPr>
            <w:tcW w:w="2267" w:type="dxa"/>
            <w:tcBorders>
              <w:tl2br w:val="nil"/>
              <w:tr2bl w:val="nil"/>
            </w:tcBorders>
            <w:vAlign w:val="center"/>
          </w:tcPr>
          <w:p w14:paraId="742FE1A2">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本项目不属于《产业结构调整指导目录（</w:t>
            </w:r>
            <w:r>
              <w:rPr>
                <w:rFonts w:ascii="Times New Roman" w:hAnsi="Times New Roman" w:eastAsia="Times New Roman"/>
                <w:color w:val="000000" w:themeColor="text1"/>
                <w:sz w:val="18"/>
                <w:szCs w:val="18"/>
                <w:lang w:eastAsia="zh-CN"/>
                <w14:textFill>
                  <w14:solidFill>
                    <w14:schemeClr w14:val="tx1"/>
                  </w14:solidFill>
                </w14:textFill>
              </w:rPr>
              <w:t>2024</w:t>
            </w:r>
            <w:r>
              <w:rPr>
                <w:rFonts w:hint="eastAsia" w:ascii="宋体" w:hAnsi="宋体" w:eastAsia="宋体" w:cs="宋体"/>
                <w:color w:val="000000" w:themeColor="text1"/>
                <w:sz w:val="18"/>
                <w:szCs w:val="18"/>
                <w:lang w:eastAsia="zh-CN"/>
                <w14:textFill>
                  <w14:solidFill>
                    <w14:schemeClr w14:val="tx1"/>
                  </w14:solidFill>
                </w14:textFill>
              </w:rPr>
              <w:t>年本）》中淘汰类和限值类，本项目属于允许类。</w:t>
            </w:r>
          </w:p>
        </w:tc>
        <w:tc>
          <w:tcPr>
            <w:tcW w:w="556" w:type="dxa"/>
            <w:tcBorders>
              <w:tl2br w:val="nil"/>
              <w:tr2bl w:val="nil"/>
            </w:tcBorders>
            <w:vAlign w:val="center"/>
          </w:tcPr>
          <w:p w14:paraId="6BEFF990">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7F6C70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41" w:hRule="atLeast"/>
          <w:jc w:val="center"/>
        </w:trPr>
        <w:tc>
          <w:tcPr>
            <w:tcW w:w="647" w:type="dxa"/>
            <w:tcBorders>
              <w:tl2br w:val="nil"/>
              <w:tr2bl w:val="nil"/>
            </w:tcBorders>
            <w:vAlign w:val="center"/>
          </w:tcPr>
          <w:p w14:paraId="4639091E">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第二</w:t>
            </w:r>
          </w:p>
          <w:p w14:paraId="151FAD53">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十四</w:t>
            </w:r>
          </w:p>
          <w:p w14:paraId="7B49126E">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条</w:t>
            </w:r>
          </w:p>
        </w:tc>
        <w:tc>
          <w:tcPr>
            <w:tcW w:w="5051" w:type="dxa"/>
            <w:tcBorders>
              <w:tl2br w:val="nil"/>
              <w:tr2bl w:val="nil"/>
            </w:tcBorders>
            <w:vAlign w:val="center"/>
          </w:tcPr>
          <w:p w14:paraId="3D54F887">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禁止新建、扩建不符合国家产能置换要求的严重过剩产能行业的项目。对于不符合国家产能置换要求的严重过剩产能行业，不得以其他任何名义、任何方式备</w:t>
            </w:r>
          </w:p>
          <w:p w14:paraId="7FCF228A">
            <w:pPr>
              <w:widowControl w:val="0"/>
              <w:autoSpaceDE w:val="0"/>
              <w:autoSpaceDN w:val="0"/>
              <w:jc w:val="left"/>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案新增产能项目。</w:t>
            </w:r>
          </w:p>
        </w:tc>
        <w:tc>
          <w:tcPr>
            <w:tcW w:w="2267" w:type="dxa"/>
            <w:tcBorders>
              <w:tl2br w:val="nil"/>
              <w:tr2bl w:val="nil"/>
            </w:tcBorders>
            <w:vAlign w:val="center"/>
          </w:tcPr>
          <w:p w14:paraId="486CFD9F">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本项目不属于过剩产能及</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两高</w:t>
            </w:r>
            <w:r>
              <w:rPr>
                <w:rFonts w:ascii="Times New Roman" w:hAnsi="Times New Roman" w:eastAsia="Times New Roman"/>
                <w:color w:val="000000" w:themeColor="text1"/>
                <w:sz w:val="18"/>
                <w:szCs w:val="18"/>
                <w:lang w:eastAsia="zh-CN"/>
                <w14:textFill>
                  <w14:solidFill>
                    <w14:schemeClr w14:val="tx1"/>
                  </w14:solidFill>
                </w14:textFill>
              </w:rPr>
              <w:t>”</w:t>
            </w:r>
            <w:r>
              <w:rPr>
                <w:rFonts w:hint="eastAsia" w:ascii="宋体" w:hAnsi="宋体" w:eastAsia="宋体" w:cs="宋体"/>
                <w:color w:val="000000" w:themeColor="text1"/>
                <w:sz w:val="18"/>
                <w:szCs w:val="18"/>
                <w:lang w:eastAsia="zh-CN"/>
                <w14:textFill>
                  <w14:solidFill>
                    <w14:schemeClr w14:val="tx1"/>
                  </w14:solidFill>
                </w14:textFill>
              </w:rPr>
              <w:t>项目。</w:t>
            </w:r>
          </w:p>
        </w:tc>
        <w:tc>
          <w:tcPr>
            <w:tcW w:w="556" w:type="dxa"/>
            <w:tcBorders>
              <w:tl2br w:val="nil"/>
              <w:tr2bl w:val="nil"/>
            </w:tcBorders>
            <w:vAlign w:val="center"/>
          </w:tcPr>
          <w:p w14:paraId="184A8F69">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51C058F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692" w:hRule="atLeast"/>
          <w:jc w:val="center"/>
        </w:trPr>
        <w:tc>
          <w:tcPr>
            <w:tcW w:w="647" w:type="dxa"/>
            <w:tcBorders>
              <w:tl2br w:val="nil"/>
              <w:tr2bl w:val="nil"/>
            </w:tcBorders>
            <w:vAlign w:val="center"/>
          </w:tcPr>
          <w:p w14:paraId="7E12C848">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第二</w:t>
            </w:r>
          </w:p>
          <w:p w14:paraId="319A6938">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十五</w:t>
            </w:r>
          </w:p>
          <w:p w14:paraId="0BC354F3">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条</w:t>
            </w:r>
          </w:p>
        </w:tc>
        <w:tc>
          <w:tcPr>
            <w:tcW w:w="5051" w:type="dxa"/>
            <w:tcBorders>
              <w:tl2br w:val="nil"/>
              <w:tr2bl w:val="nil"/>
            </w:tcBorders>
            <w:vAlign w:val="center"/>
          </w:tcPr>
          <w:p w14:paraId="5F9EAC51">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建设以下燃油汽车投资项目（不在中国境内销售产品的投资项目除外）：（一）新建独立燃油汽车企业；（二）现有汽车企业跨乘用车、商用车类别建设燃油汽车生产能力；（三）外省现有燃油汽车企业整体搬迁至本省（列入国家级区域发展规划或不改变企业股权结构的项目除外）；（四）对行业管理部门特别公示的燃油汽车企业进行投资（企业原有股东投资或将该企业转为非独立法人的投资项目除外）。</w:t>
            </w:r>
          </w:p>
        </w:tc>
        <w:tc>
          <w:tcPr>
            <w:tcW w:w="2267" w:type="dxa"/>
            <w:tcBorders>
              <w:tl2br w:val="nil"/>
              <w:tr2bl w:val="nil"/>
            </w:tcBorders>
            <w:vAlign w:val="center"/>
          </w:tcPr>
          <w:p w14:paraId="6545888C">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本项目不属于燃油汽车投资项目。</w:t>
            </w:r>
          </w:p>
        </w:tc>
        <w:tc>
          <w:tcPr>
            <w:tcW w:w="556" w:type="dxa"/>
            <w:tcBorders>
              <w:tl2br w:val="nil"/>
              <w:tr2bl w:val="nil"/>
            </w:tcBorders>
            <w:vAlign w:val="center"/>
          </w:tcPr>
          <w:p w14:paraId="37945CFE">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r w14:paraId="411DDBF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647" w:type="dxa"/>
            <w:tcBorders>
              <w:tl2br w:val="nil"/>
              <w:tr2bl w:val="nil"/>
            </w:tcBorders>
            <w:vAlign w:val="center"/>
          </w:tcPr>
          <w:p w14:paraId="5B21A34B">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第二</w:t>
            </w:r>
          </w:p>
          <w:p w14:paraId="34824A7D">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十六</w:t>
            </w:r>
          </w:p>
          <w:p w14:paraId="057079E0">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条</w:t>
            </w:r>
          </w:p>
        </w:tc>
        <w:tc>
          <w:tcPr>
            <w:tcW w:w="5051" w:type="dxa"/>
            <w:tcBorders>
              <w:tl2br w:val="nil"/>
              <w:tr2bl w:val="nil"/>
            </w:tcBorders>
            <w:vAlign w:val="center"/>
          </w:tcPr>
          <w:p w14:paraId="47003F65">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禁止新建、扩建不符合要求的高耗能、高排放、低水平项目。</w:t>
            </w:r>
          </w:p>
        </w:tc>
        <w:tc>
          <w:tcPr>
            <w:tcW w:w="2267" w:type="dxa"/>
            <w:tcBorders>
              <w:tl2br w:val="nil"/>
              <w:tr2bl w:val="nil"/>
            </w:tcBorders>
            <w:vAlign w:val="center"/>
          </w:tcPr>
          <w:p w14:paraId="6F8CE84B">
            <w:pPr>
              <w:widowControl w:val="0"/>
              <w:autoSpaceDE w:val="0"/>
              <w:autoSpaceDN w:val="0"/>
              <w:ind w:firstLine="360" w:firstLineChars="200"/>
              <w:jc w:val="left"/>
              <w:rPr>
                <w:rFonts w:ascii="Times New Roman" w:hAnsi="Times New Roman" w:eastAsia="Times New Roman"/>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本项目不属于高耗能、高排放、低水平项目。</w:t>
            </w:r>
          </w:p>
        </w:tc>
        <w:tc>
          <w:tcPr>
            <w:tcW w:w="556" w:type="dxa"/>
            <w:tcBorders>
              <w:tl2br w:val="nil"/>
              <w:tr2bl w:val="nil"/>
            </w:tcBorders>
            <w:vAlign w:val="center"/>
          </w:tcPr>
          <w:p w14:paraId="0BB886F3">
            <w:pPr>
              <w:widowControl w:val="0"/>
              <w:autoSpaceDE w:val="0"/>
              <w:autoSpaceDN w:val="0"/>
              <w:jc w:val="center"/>
              <w:rPr>
                <w:rFonts w:ascii="Times New Roman" w:hAnsi="Times New Roman" w:eastAsia="Times New Roman"/>
                <w:color w:val="000000" w:themeColor="text1"/>
                <w:sz w:val="18"/>
                <w:szCs w:val="18"/>
                <w:lang w:eastAsia="en-US"/>
                <w14:textFill>
                  <w14:solidFill>
                    <w14:schemeClr w14:val="tx1"/>
                  </w14:solidFill>
                </w14:textFill>
              </w:rPr>
            </w:pPr>
            <w:r>
              <w:rPr>
                <w:rFonts w:hint="eastAsia" w:ascii="宋体" w:hAnsi="宋体" w:eastAsia="宋体" w:cs="宋体"/>
                <w:color w:val="000000" w:themeColor="text1"/>
                <w:sz w:val="18"/>
                <w:szCs w:val="18"/>
                <w:lang w:eastAsia="en-US"/>
                <w14:textFill>
                  <w14:solidFill>
                    <w14:schemeClr w14:val="tx1"/>
                  </w14:solidFill>
                </w14:textFill>
              </w:rPr>
              <w:t>符合</w:t>
            </w:r>
          </w:p>
        </w:tc>
      </w:tr>
    </w:tbl>
    <w:p w14:paraId="318B60DA">
      <w:pPr>
        <w:pStyle w:val="75"/>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lang w:val="en-US"/>
          <w14:textFill>
            <w14:solidFill>
              <w14:schemeClr w14:val="tx1"/>
            </w14:solidFill>
          </w14:textFill>
        </w:rPr>
        <w:t>综上，本项目与《四川省、重庆市长江经济带发展负面清单实施细则（试行，2022年版）》（川长江办〔2022〕17号）</w:t>
      </w:r>
      <w:r>
        <w:rPr>
          <w:color w:val="000000" w:themeColor="text1"/>
          <w:kern w:val="0"/>
          <w:lang w:val="en-US" w:bidi="ar"/>
          <w14:textFill>
            <w14:solidFill>
              <w14:schemeClr w14:val="tx1"/>
            </w14:solidFill>
          </w14:textFill>
        </w:rPr>
        <w:t>文件要求相符，不属于环境准入负面清单列明的项目。</w:t>
      </w:r>
    </w:p>
    <w:p w14:paraId="4B0F5CCB">
      <w:pPr>
        <w:spacing w:line="360" w:lineRule="auto"/>
        <w:ind w:firstLine="482" w:firstLineChars="200"/>
        <w:outlineLvl w:val="4"/>
        <w:rPr>
          <w:b/>
          <w:bCs/>
          <w:color w:val="000000" w:themeColor="text1"/>
          <w:kern w:val="0"/>
          <w:sz w:val="24"/>
          <w:lang w:bidi="ar"/>
          <w14:textFill>
            <w14:solidFill>
              <w14:schemeClr w14:val="tx1"/>
            </w14:solidFill>
          </w14:textFill>
        </w:rPr>
      </w:pPr>
      <w:r>
        <w:rPr>
          <w:b/>
          <w:bCs/>
          <w:color w:val="000000" w:themeColor="text1"/>
          <w:kern w:val="0"/>
          <w:sz w:val="24"/>
          <w:lang w:bidi="ar"/>
          <w14:textFill>
            <w14:solidFill>
              <w14:schemeClr w14:val="tx1"/>
            </w14:solidFill>
          </w14:textFill>
        </w:rPr>
        <w:t>3、与国土空间规划的符合性分析</w:t>
      </w:r>
    </w:p>
    <w:p w14:paraId="2767AA2B">
      <w:pPr>
        <w:pStyle w:val="75"/>
        <w:adjustRightInd w:val="0"/>
        <w:snapToGrid w:val="0"/>
        <w:spacing w:line="360" w:lineRule="auto"/>
        <w:ind w:firstLine="480" w:firstLineChars="200"/>
        <w:jc w:val="left"/>
        <w:rPr>
          <w:color w:val="FF0000"/>
          <w:lang w:val="en-US"/>
        </w:rPr>
      </w:pPr>
      <w:r>
        <w:rPr>
          <w:color w:val="000000" w:themeColor="text1"/>
          <w:lang w:val="en-US"/>
          <w14:textFill>
            <w14:solidFill>
              <w14:schemeClr w14:val="tx1"/>
            </w14:solidFill>
          </w14:textFill>
        </w:rPr>
        <w:t>项目肉牛养殖区建设选址于白庙乡百花村，曾口镇佛龙村，清江镇塘坝村，水宁寺镇始宁社区。相关国土空间规划有市级总规巴中市国土空间总体规划（2021—2035年）（川府函〔2024〕65号），乡镇级片区规划《巴中市巴州区清江药旅融合发展片区国土空间总体规划（2021—2035年）》（含白庙乡、清江镇、水宁寺镇）、《</w:t>
      </w:r>
      <w:bookmarkStart w:id="35" w:name="OLE_LINK7"/>
      <w:bookmarkStart w:id="36" w:name="OLE_LINK8"/>
      <w:r>
        <w:rPr>
          <w:color w:val="000000" w:themeColor="text1"/>
          <w:lang w:val="en-US"/>
          <w14:textFill>
            <w14:solidFill>
              <w14:schemeClr w14:val="tx1"/>
            </w14:solidFill>
          </w14:textFill>
        </w:rPr>
        <w:t>巴中市巴州区曾口三产融合发展片区国土空间总体规划</w:t>
      </w:r>
      <w:bookmarkEnd w:id="35"/>
      <w:bookmarkEnd w:id="36"/>
      <w:r>
        <w:rPr>
          <w:color w:val="000000" w:themeColor="text1"/>
          <w:lang w:val="en-US"/>
          <w14:textFill>
            <w14:solidFill>
              <w14:schemeClr w14:val="tx1"/>
            </w14:solidFill>
          </w14:textFill>
        </w:rPr>
        <w:t>（2021—2035年）》（含曾口镇），以及《巴州区天马山森林康养发展片区国土空间总体规划（2021—2035年）》（含化成镇）。</w:t>
      </w:r>
    </w:p>
    <w:p w14:paraId="4EF805F7">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巴中市国土空间规划指出：农业设施建设用地布局优化……鼓励新增作物种植、畜禽养殖、水产养殖等用于乡村一二三产业融合发展的设施建设用地，设施农业用地选址尽量利用荒山、荒坡、荒丘等未利用的土地，尽量少占耕地。</w:t>
      </w:r>
    </w:p>
    <w:p w14:paraId="1C09C679">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清江药旅融合发展片区国土空间总体规划指出：</w:t>
      </w:r>
    </w:p>
    <w:p w14:paraId="3E0FDF75">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白庙乡百花村属农产品主产区，农业空间占比85.08%，以农用地（耕地、林地）为主，城镇开发边界外的乡村建设区允许适度发展畜禽养殖。片区以中药材、畜禽养殖等为特色产业，鼓励种养循环，支持规模化养殖配套粪污资源化利用设施。</w:t>
      </w:r>
    </w:p>
    <w:p w14:paraId="01FC5AA2">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清江镇塘坝村空间分类同白庙乡，农业空间占比高，以药材种植与畜禽养殖为核心产业方向。产业导向鼓励养殖与中药材种植结合，推进粪污资源化利用，减少氨挥发与面源污染。</w:t>
      </w:r>
    </w:p>
    <w:p w14:paraId="492DA522">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水宁寺镇始宁社区空间分类属乡村建设区，位于城镇开发边界外，允许适度建设规模化养殖配套设施，需与居民点保持合理防护距离。产业导向支持生态养殖与文旅融合，养殖项目需符合片区药旅融合的环境质量要求。</w:t>
      </w:r>
    </w:p>
    <w:p w14:paraId="7724F09A">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曾口三产融合发展片区国土空间总体规划指出：曾口镇佛龙村空间分类属农产品主产区，产业导向以优质粮油、绿色果蔬为基础，支持三产融合，允许配套规模化畜禽养殖，需符合畜禽养殖布局规划。</w:t>
      </w:r>
    </w:p>
    <w:p w14:paraId="5F2F4053">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天马山森林康养发展片区国土空间总体规划指出：化成镇水观音村、赵家湾村空间分类属重点生态功能区与农产品主产区叠加区域，产业导向以生态康养、特色种植为主，畜禽养殖需控制规模，优先发展生态养殖与种养循环模式。</w:t>
      </w:r>
    </w:p>
    <w:p w14:paraId="32C39E13">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本项目为肉牛养殖项目，项目产生的粪污混入发酵垫料中形成发酵床，废弃垫料外运至有机肥厂无害化处理后生产有机肥，实现粪污资源化利用。根据项目</w:t>
      </w:r>
      <w:r>
        <w:rPr>
          <w:rFonts w:hint="eastAsia"/>
          <w:color w:val="000000" w:themeColor="text1"/>
          <w:lang w:val="en-US"/>
          <w14:textFill>
            <w14:solidFill>
              <w14:schemeClr w14:val="tx1"/>
            </w14:solidFill>
          </w14:textFill>
        </w:rPr>
        <w:t>设施农业用地选址论证意见表</w:t>
      </w:r>
      <w:r>
        <w:rPr>
          <w:color w:val="000000" w:themeColor="text1"/>
          <w:lang w:val="en-US"/>
          <w14:textFill>
            <w14:solidFill>
              <w14:schemeClr w14:val="tx1"/>
            </w14:solidFill>
          </w14:textFill>
        </w:rPr>
        <w:t>，本项目不涉及饮用水水源保护区，不在畜禽养殖禁养区、限养区范围；不涉及生态保护红线、不占基本农田；本项目未占用公益林和保护林。</w:t>
      </w:r>
    </w:p>
    <w:p w14:paraId="1594044A">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综上，本项目符合上述国土空间规划要求。</w:t>
      </w:r>
    </w:p>
    <w:p w14:paraId="6A754600">
      <w:pPr>
        <w:pStyle w:val="75"/>
        <w:adjustRightInd w:val="0"/>
        <w:snapToGrid w:val="0"/>
        <w:spacing w:line="360" w:lineRule="auto"/>
        <w:ind w:firstLine="482" w:firstLineChars="200"/>
        <w:jc w:val="both"/>
        <w:rPr>
          <w:b/>
          <w:bCs/>
          <w:color w:val="000000" w:themeColor="text1"/>
          <w:kern w:val="0"/>
          <w:lang w:val="en-US" w:bidi="ar"/>
          <w14:textFill>
            <w14:solidFill>
              <w14:schemeClr w14:val="tx1"/>
            </w14:solidFill>
          </w14:textFill>
        </w:rPr>
      </w:pPr>
      <w:r>
        <w:rPr>
          <w:b/>
          <w:bCs/>
          <w:color w:val="000000" w:themeColor="text1"/>
          <w:kern w:val="0"/>
          <w:lang w:val="en-US" w:bidi="ar"/>
          <w14:textFill>
            <w14:solidFill>
              <w14:schemeClr w14:val="tx1"/>
            </w14:solidFill>
          </w14:textFill>
        </w:rPr>
        <w:t>4、与“三线一单”的符合性分析</w:t>
      </w:r>
    </w:p>
    <w:p w14:paraId="300B53E7">
      <w:pPr>
        <w:widowControl w:val="0"/>
        <w:autoSpaceDE w:val="0"/>
        <w:autoSpaceDN w:val="0"/>
        <w:adjustRightInd w:val="0"/>
        <w:snapToGrid w:val="0"/>
        <w:spacing w:line="360" w:lineRule="auto"/>
        <w:ind w:firstLine="480" w:firstLineChars="200"/>
        <w:rPr>
          <w:kern w:val="0"/>
          <w:sz w:val="24"/>
        </w:rPr>
      </w:pPr>
      <w:r>
        <w:rPr>
          <w:kern w:val="0"/>
          <w:sz w:val="24"/>
        </w:rPr>
        <w:t>1、总体要求</w:t>
      </w:r>
    </w:p>
    <w:p w14:paraId="3D9E9FF5">
      <w:pPr>
        <w:widowControl w:val="0"/>
        <w:autoSpaceDE w:val="0"/>
        <w:autoSpaceDN w:val="0"/>
        <w:adjustRightInd w:val="0"/>
        <w:snapToGrid w:val="0"/>
        <w:spacing w:line="360" w:lineRule="auto"/>
        <w:ind w:firstLine="480" w:firstLineChars="200"/>
        <w:rPr>
          <w:rFonts w:eastAsia="黑体"/>
          <w:bCs/>
          <w:szCs w:val="21"/>
        </w:rPr>
      </w:pPr>
      <w:r>
        <w:rPr>
          <w:kern w:val="0"/>
          <w:sz w:val="24"/>
        </w:rPr>
        <w:t>根据四川省人民政府《关于落实生态保护红线、环境质量底线、资源利用上线制定生态环境准入清单实施生态环境分区管控的通知》（川府发〔2020〕9号）以及《巴中市生态环境保护委员会办公室关于加强生态环境分区管控的通知》（巴环委办发〔2024〕2号），对项目建设区域总体管控要求分析如下：</w:t>
      </w:r>
    </w:p>
    <w:p w14:paraId="096B4815">
      <w:pPr>
        <w:pStyle w:val="814"/>
        <w:numPr>
          <w:ilvl w:val="0"/>
          <w:numId w:val="15"/>
        </w:numPr>
        <w:snapToGrid w:val="0"/>
      </w:pPr>
      <w:r>
        <w:rPr>
          <w:rFonts w:eastAsia="黑体"/>
          <w:bCs/>
          <w:szCs w:val="21"/>
        </w:rPr>
        <w:t>生态环境准入要求</w:t>
      </w:r>
    </w:p>
    <w:tbl>
      <w:tblPr>
        <w:tblStyle w:val="89"/>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6"/>
        <w:gridCol w:w="4371"/>
        <w:gridCol w:w="3395"/>
      </w:tblGrid>
      <w:tr w14:paraId="160B95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16" w:type="dxa"/>
            <w:tcBorders>
              <w:bottom w:val="single" w:color="auto" w:sz="12" w:space="0"/>
            </w:tcBorders>
            <w:vAlign w:val="center"/>
          </w:tcPr>
          <w:p w14:paraId="73B90B71">
            <w:pPr>
              <w:widowControl w:val="0"/>
              <w:autoSpaceDE w:val="0"/>
              <w:autoSpaceDN w:val="0"/>
              <w:adjustRightInd w:val="0"/>
              <w:snapToGrid w:val="0"/>
              <w:jc w:val="center"/>
              <w:rPr>
                <w:rFonts w:eastAsia="黑体"/>
                <w:sz w:val="18"/>
                <w:szCs w:val="18"/>
              </w:rPr>
            </w:pPr>
            <w:r>
              <w:rPr>
                <w:rFonts w:eastAsia="黑体"/>
                <w:sz w:val="18"/>
                <w:szCs w:val="18"/>
              </w:rPr>
              <w:t>序号</w:t>
            </w:r>
          </w:p>
        </w:tc>
        <w:tc>
          <w:tcPr>
            <w:tcW w:w="4371" w:type="dxa"/>
            <w:tcBorders>
              <w:bottom w:val="single" w:color="auto" w:sz="12" w:space="0"/>
            </w:tcBorders>
            <w:vAlign w:val="center"/>
          </w:tcPr>
          <w:p w14:paraId="1CF8E8A3">
            <w:pPr>
              <w:widowControl w:val="0"/>
              <w:autoSpaceDE w:val="0"/>
              <w:autoSpaceDN w:val="0"/>
              <w:adjustRightInd w:val="0"/>
              <w:snapToGrid w:val="0"/>
              <w:jc w:val="center"/>
              <w:rPr>
                <w:rFonts w:eastAsia="黑体"/>
                <w:sz w:val="18"/>
                <w:szCs w:val="18"/>
              </w:rPr>
            </w:pPr>
            <w:r>
              <w:rPr>
                <w:rFonts w:eastAsia="黑体"/>
                <w:sz w:val="18"/>
                <w:szCs w:val="18"/>
              </w:rPr>
              <w:t>四川省总体管控要求</w:t>
            </w:r>
          </w:p>
        </w:tc>
        <w:tc>
          <w:tcPr>
            <w:tcW w:w="3395" w:type="dxa"/>
            <w:tcBorders>
              <w:bottom w:val="single" w:color="auto" w:sz="12" w:space="0"/>
            </w:tcBorders>
            <w:vAlign w:val="center"/>
          </w:tcPr>
          <w:p w14:paraId="14016EFD">
            <w:pPr>
              <w:widowControl w:val="0"/>
              <w:autoSpaceDE w:val="0"/>
              <w:autoSpaceDN w:val="0"/>
              <w:adjustRightInd w:val="0"/>
              <w:snapToGrid w:val="0"/>
              <w:jc w:val="center"/>
              <w:rPr>
                <w:rFonts w:eastAsia="黑体"/>
                <w:sz w:val="18"/>
                <w:szCs w:val="18"/>
              </w:rPr>
            </w:pPr>
            <w:r>
              <w:rPr>
                <w:rFonts w:eastAsia="黑体"/>
                <w:sz w:val="18"/>
                <w:szCs w:val="18"/>
              </w:rPr>
              <w:t>本项目</w:t>
            </w:r>
          </w:p>
        </w:tc>
      </w:tr>
      <w:tr w14:paraId="2E478A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616" w:type="dxa"/>
            <w:tcBorders>
              <w:bottom w:val="single" w:color="auto" w:sz="4" w:space="0"/>
            </w:tcBorders>
            <w:vAlign w:val="center"/>
          </w:tcPr>
          <w:p w14:paraId="55642BA9">
            <w:pPr>
              <w:widowControl w:val="0"/>
              <w:autoSpaceDE w:val="0"/>
              <w:autoSpaceDN w:val="0"/>
              <w:adjustRightInd w:val="0"/>
              <w:snapToGrid w:val="0"/>
              <w:jc w:val="center"/>
              <w:rPr>
                <w:rFonts w:eastAsia="黑体"/>
                <w:sz w:val="18"/>
                <w:szCs w:val="18"/>
              </w:rPr>
            </w:pPr>
            <w:r>
              <w:rPr>
                <w:rFonts w:eastAsia="黑体"/>
                <w:sz w:val="18"/>
                <w:szCs w:val="18"/>
              </w:rPr>
              <w:t>1</w:t>
            </w:r>
          </w:p>
        </w:tc>
        <w:tc>
          <w:tcPr>
            <w:tcW w:w="4371" w:type="dxa"/>
            <w:tcBorders>
              <w:bottom w:val="single" w:color="auto" w:sz="4" w:space="0"/>
            </w:tcBorders>
            <w:vAlign w:val="center"/>
          </w:tcPr>
          <w:p w14:paraId="7EEBE016">
            <w:pPr>
              <w:widowControl w:val="0"/>
              <w:numPr>
                <w:ilvl w:val="0"/>
                <w:numId w:val="20"/>
              </w:numPr>
              <w:autoSpaceDE w:val="0"/>
              <w:autoSpaceDN w:val="0"/>
              <w:adjustRightInd w:val="0"/>
              <w:snapToGrid w:val="0"/>
              <w:ind w:firstLine="360" w:firstLineChars="200"/>
              <w:jc w:val="left"/>
              <w:rPr>
                <w:sz w:val="18"/>
                <w:szCs w:val="18"/>
              </w:rPr>
            </w:pPr>
            <w:r>
              <w:rPr>
                <w:sz w:val="18"/>
                <w:szCs w:val="18"/>
              </w:rPr>
              <w:t>优先保护单元中，生态保护红线原则上按照禁止开发区域的要求进行管理，其中自然保护地核心保护区原则上禁止人为活动，其他区域严格禁止开发性、生产性建设活动，在符合现行法律法规前提下，除国家重大战略项目外，仅允许对生态功能不造成破坏的有限人为活动；—般生态空间按限制开发区域的要求进行管理，原则上不再新建各类开发区和扩大现有工业园区面积，已有的工业开发区要逐步改造成为低能耗、可循环、“零</w:t>
            </w:r>
            <w:r>
              <w:rPr>
                <w:rFonts w:hint="eastAsia"/>
                <w:sz w:val="18"/>
                <w:szCs w:val="18"/>
              </w:rPr>
              <w:t>污</w:t>
            </w:r>
            <w:r>
              <w:rPr>
                <w:sz w:val="18"/>
                <w:szCs w:val="18"/>
              </w:rPr>
              <w:t>染”的生态型工业区，鼓励发展“飞地经济”。</w:t>
            </w:r>
          </w:p>
          <w:p w14:paraId="3A00A933">
            <w:pPr>
              <w:widowControl w:val="0"/>
              <w:numPr>
                <w:ilvl w:val="0"/>
                <w:numId w:val="20"/>
              </w:numPr>
              <w:autoSpaceDE w:val="0"/>
              <w:autoSpaceDN w:val="0"/>
              <w:adjustRightInd w:val="0"/>
              <w:snapToGrid w:val="0"/>
              <w:ind w:firstLine="360" w:firstLineChars="200"/>
              <w:jc w:val="left"/>
              <w:rPr>
                <w:sz w:val="18"/>
                <w:szCs w:val="18"/>
              </w:rPr>
            </w:pPr>
            <w:r>
              <w:rPr>
                <w:sz w:val="18"/>
                <w:szCs w:val="18"/>
              </w:rPr>
              <w:t>重点管控单元中，针对环境质量是否达标以及经济社会发展水平等因素，制定差别化的生态环境准入要求，对环境质量不达标区域，提出污染物削减比例要求，对环境质量达标区域，提出允许排放量建议指标。</w:t>
            </w:r>
          </w:p>
          <w:p w14:paraId="4667D115">
            <w:pPr>
              <w:widowControl w:val="0"/>
              <w:numPr>
                <w:ilvl w:val="0"/>
                <w:numId w:val="20"/>
              </w:numPr>
              <w:autoSpaceDE w:val="0"/>
              <w:autoSpaceDN w:val="0"/>
              <w:adjustRightInd w:val="0"/>
              <w:snapToGrid w:val="0"/>
              <w:ind w:firstLine="360" w:firstLineChars="200"/>
              <w:jc w:val="left"/>
              <w:rPr>
                <w:sz w:val="18"/>
                <w:szCs w:val="18"/>
              </w:rPr>
            </w:pPr>
            <w:r>
              <w:rPr>
                <w:sz w:val="18"/>
                <w:szCs w:val="18"/>
              </w:rPr>
              <w:t>一般管控单元中，执行区域生态环境保护的基本要求；对其中的永久基本农田实施永久特殊保护，不得擅自占用或者改变用途；对其中要素重点管控区提出水和大气污染重点管控要求。</w:t>
            </w:r>
          </w:p>
        </w:tc>
        <w:tc>
          <w:tcPr>
            <w:tcW w:w="3395" w:type="dxa"/>
            <w:tcBorders>
              <w:bottom w:val="single" w:color="auto" w:sz="4" w:space="0"/>
            </w:tcBorders>
            <w:vAlign w:val="center"/>
          </w:tcPr>
          <w:p w14:paraId="17CCFE61">
            <w:pPr>
              <w:widowControl w:val="0"/>
              <w:autoSpaceDE w:val="0"/>
              <w:autoSpaceDN w:val="0"/>
              <w:adjustRightInd w:val="0"/>
              <w:snapToGrid w:val="0"/>
              <w:ind w:firstLine="360" w:firstLineChars="200"/>
              <w:jc w:val="left"/>
              <w:rPr>
                <w:sz w:val="18"/>
                <w:szCs w:val="18"/>
              </w:rPr>
            </w:pPr>
            <w:r>
              <w:rPr>
                <w:sz w:val="18"/>
                <w:szCs w:val="18"/>
              </w:rPr>
              <w:t>本项目属于肉牛养殖项目，项目选址均位于一般管控单元，且避开优先保护单元的禁止区域，符合“三区三线”要求。</w:t>
            </w:r>
          </w:p>
        </w:tc>
      </w:tr>
      <w:tr w14:paraId="2CC376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616" w:type="dxa"/>
            <w:tcBorders>
              <w:bottom w:val="single" w:color="auto" w:sz="4" w:space="0"/>
            </w:tcBorders>
            <w:vAlign w:val="center"/>
          </w:tcPr>
          <w:p w14:paraId="0993AAF7">
            <w:pPr>
              <w:widowControl w:val="0"/>
              <w:autoSpaceDE w:val="0"/>
              <w:autoSpaceDN w:val="0"/>
              <w:adjustRightInd w:val="0"/>
              <w:snapToGrid w:val="0"/>
              <w:jc w:val="center"/>
              <w:rPr>
                <w:rFonts w:eastAsia="黑体"/>
                <w:sz w:val="18"/>
                <w:szCs w:val="18"/>
              </w:rPr>
            </w:pPr>
            <w:r>
              <w:rPr>
                <w:rFonts w:eastAsia="黑体"/>
                <w:sz w:val="18"/>
                <w:szCs w:val="18"/>
              </w:rPr>
              <w:t>序号</w:t>
            </w:r>
          </w:p>
        </w:tc>
        <w:tc>
          <w:tcPr>
            <w:tcW w:w="4371" w:type="dxa"/>
            <w:tcBorders>
              <w:bottom w:val="single" w:color="auto" w:sz="4" w:space="0"/>
            </w:tcBorders>
            <w:vAlign w:val="center"/>
          </w:tcPr>
          <w:p w14:paraId="01127A69">
            <w:pPr>
              <w:widowControl w:val="0"/>
              <w:autoSpaceDE w:val="0"/>
              <w:autoSpaceDN w:val="0"/>
              <w:adjustRightInd w:val="0"/>
              <w:snapToGrid w:val="0"/>
              <w:jc w:val="center"/>
              <w:rPr>
                <w:sz w:val="18"/>
                <w:szCs w:val="18"/>
              </w:rPr>
            </w:pPr>
            <w:r>
              <w:rPr>
                <w:rFonts w:eastAsia="黑体"/>
                <w:sz w:val="18"/>
                <w:szCs w:val="18"/>
              </w:rPr>
              <w:t>川东北经济区总体准入要求</w:t>
            </w:r>
          </w:p>
        </w:tc>
        <w:tc>
          <w:tcPr>
            <w:tcW w:w="3395" w:type="dxa"/>
            <w:tcBorders>
              <w:bottom w:val="single" w:color="auto" w:sz="4" w:space="0"/>
            </w:tcBorders>
            <w:vAlign w:val="center"/>
          </w:tcPr>
          <w:p w14:paraId="3CEEB5DB">
            <w:pPr>
              <w:widowControl w:val="0"/>
              <w:autoSpaceDE w:val="0"/>
              <w:autoSpaceDN w:val="0"/>
              <w:adjustRightInd w:val="0"/>
              <w:snapToGrid w:val="0"/>
              <w:jc w:val="center"/>
              <w:rPr>
                <w:sz w:val="18"/>
                <w:szCs w:val="18"/>
              </w:rPr>
            </w:pPr>
            <w:r>
              <w:rPr>
                <w:rFonts w:eastAsia="黑体"/>
                <w:sz w:val="18"/>
                <w:szCs w:val="18"/>
              </w:rPr>
              <w:t>本项目</w:t>
            </w:r>
          </w:p>
        </w:tc>
      </w:tr>
      <w:tr w14:paraId="278CDF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616" w:type="dxa"/>
            <w:tcBorders>
              <w:bottom w:val="single" w:color="auto" w:sz="4" w:space="0"/>
            </w:tcBorders>
            <w:vAlign w:val="center"/>
          </w:tcPr>
          <w:p w14:paraId="61AF1058">
            <w:pPr>
              <w:widowControl w:val="0"/>
              <w:autoSpaceDE w:val="0"/>
              <w:autoSpaceDN w:val="0"/>
              <w:adjustRightInd w:val="0"/>
              <w:snapToGrid w:val="0"/>
              <w:jc w:val="center"/>
              <w:rPr>
                <w:rFonts w:eastAsia="黑体"/>
                <w:sz w:val="18"/>
                <w:szCs w:val="18"/>
              </w:rPr>
            </w:pPr>
            <w:r>
              <w:rPr>
                <w:rFonts w:eastAsia="黑体"/>
                <w:sz w:val="18"/>
                <w:szCs w:val="18"/>
              </w:rPr>
              <w:t>1</w:t>
            </w:r>
          </w:p>
        </w:tc>
        <w:tc>
          <w:tcPr>
            <w:tcW w:w="4371" w:type="dxa"/>
            <w:tcBorders>
              <w:bottom w:val="single" w:color="auto" w:sz="4" w:space="0"/>
            </w:tcBorders>
            <w:vAlign w:val="center"/>
          </w:tcPr>
          <w:p w14:paraId="1412D816">
            <w:pPr>
              <w:widowControl w:val="0"/>
              <w:autoSpaceDE w:val="0"/>
              <w:autoSpaceDN w:val="0"/>
              <w:adjustRightInd w:val="0"/>
              <w:snapToGrid w:val="0"/>
              <w:ind w:firstLine="360" w:firstLineChars="200"/>
              <w:jc w:val="left"/>
              <w:rPr>
                <w:sz w:val="18"/>
                <w:szCs w:val="18"/>
              </w:rPr>
            </w:pPr>
            <w:r>
              <w:rPr>
                <w:sz w:val="18"/>
                <w:szCs w:val="18"/>
              </w:rPr>
              <w:t>控制农村面源污染，提高污水收集处理率，加快乡镇污水处理基础设施建设。</w:t>
            </w:r>
          </w:p>
        </w:tc>
        <w:tc>
          <w:tcPr>
            <w:tcW w:w="3395" w:type="dxa"/>
            <w:tcBorders>
              <w:bottom w:val="single" w:color="auto" w:sz="4" w:space="0"/>
            </w:tcBorders>
            <w:vAlign w:val="center"/>
          </w:tcPr>
          <w:p w14:paraId="31F88ED9">
            <w:pPr>
              <w:widowControl w:val="0"/>
              <w:autoSpaceDE w:val="0"/>
              <w:autoSpaceDN w:val="0"/>
              <w:adjustRightInd w:val="0"/>
              <w:snapToGrid w:val="0"/>
              <w:ind w:firstLine="360" w:firstLineChars="200"/>
              <w:jc w:val="left"/>
              <w:rPr>
                <w:sz w:val="18"/>
                <w:szCs w:val="18"/>
              </w:rPr>
            </w:pPr>
            <w:r>
              <w:rPr>
                <w:sz w:val="18"/>
                <w:szCs w:val="18"/>
              </w:rPr>
              <w:t>本项目为肉牛养殖项目，饲草料种植以建设单位与项目肉牛养殖区周边农户签订牧草种植和收购协议，提供技术培训，定期按协议价收购牧草的方式进行，项目自身不涉及农村面源污染，项目采用发酵床养殖工艺，粪、尿随发酵垫料分解转化，无尿污排出。废弃垫料外运至有机肥厂无害化处理后生产有机肥，实现粪污资源化利用。项目无废水外排。</w:t>
            </w:r>
          </w:p>
        </w:tc>
      </w:tr>
      <w:tr w14:paraId="005039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616" w:type="dxa"/>
            <w:tcBorders>
              <w:top w:val="single" w:color="auto" w:sz="4" w:space="0"/>
              <w:bottom w:val="single" w:color="auto" w:sz="4" w:space="0"/>
            </w:tcBorders>
            <w:vAlign w:val="center"/>
          </w:tcPr>
          <w:p w14:paraId="6276FFFA">
            <w:pPr>
              <w:widowControl w:val="0"/>
              <w:autoSpaceDE w:val="0"/>
              <w:autoSpaceDN w:val="0"/>
              <w:adjustRightInd w:val="0"/>
              <w:snapToGrid w:val="0"/>
              <w:jc w:val="center"/>
              <w:rPr>
                <w:rFonts w:eastAsia="黑体"/>
                <w:sz w:val="18"/>
                <w:szCs w:val="18"/>
              </w:rPr>
            </w:pPr>
            <w:r>
              <w:rPr>
                <w:rFonts w:eastAsia="黑体"/>
                <w:sz w:val="18"/>
                <w:szCs w:val="18"/>
              </w:rPr>
              <w:t>2</w:t>
            </w:r>
          </w:p>
        </w:tc>
        <w:tc>
          <w:tcPr>
            <w:tcW w:w="4371" w:type="dxa"/>
            <w:tcBorders>
              <w:top w:val="single" w:color="auto" w:sz="4" w:space="0"/>
              <w:bottom w:val="single" w:color="auto" w:sz="4" w:space="0"/>
            </w:tcBorders>
            <w:vAlign w:val="center"/>
          </w:tcPr>
          <w:p w14:paraId="0A471036">
            <w:pPr>
              <w:widowControl w:val="0"/>
              <w:autoSpaceDE w:val="0"/>
              <w:autoSpaceDN w:val="0"/>
              <w:adjustRightInd w:val="0"/>
              <w:snapToGrid w:val="0"/>
              <w:ind w:firstLine="360" w:firstLineChars="200"/>
              <w:jc w:val="left"/>
              <w:rPr>
                <w:sz w:val="18"/>
                <w:szCs w:val="18"/>
              </w:rPr>
            </w:pPr>
            <w:r>
              <w:rPr>
                <w:sz w:val="18"/>
                <w:szCs w:val="18"/>
              </w:rPr>
              <w:t>建设流域水环境风险联防联控体系。</w:t>
            </w:r>
          </w:p>
        </w:tc>
        <w:tc>
          <w:tcPr>
            <w:tcW w:w="3395" w:type="dxa"/>
            <w:tcBorders>
              <w:top w:val="single" w:color="auto" w:sz="4" w:space="0"/>
              <w:bottom w:val="single" w:color="auto" w:sz="4" w:space="0"/>
            </w:tcBorders>
            <w:vAlign w:val="center"/>
          </w:tcPr>
          <w:p w14:paraId="63459ACB">
            <w:pPr>
              <w:widowControl w:val="0"/>
              <w:autoSpaceDE w:val="0"/>
              <w:autoSpaceDN w:val="0"/>
              <w:adjustRightInd w:val="0"/>
              <w:snapToGrid w:val="0"/>
              <w:ind w:firstLine="360" w:firstLineChars="200"/>
              <w:jc w:val="left"/>
              <w:rPr>
                <w:sz w:val="18"/>
                <w:szCs w:val="18"/>
              </w:rPr>
            </w:pPr>
            <w:r>
              <w:rPr>
                <w:sz w:val="18"/>
                <w:szCs w:val="18"/>
              </w:rPr>
              <w:t>本项目无废水外排。</w:t>
            </w:r>
          </w:p>
        </w:tc>
      </w:tr>
      <w:tr w14:paraId="459105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16" w:type="dxa"/>
            <w:tcBorders>
              <w:top w:val="single" w:color="auto" w:sz="4" w:space="0"/>
              <w:bottom w:val="single" w:color="auto" w:sz="4" w:space="0"/>
            </w:tcBorders>
            <w:vAlign w:val="center"/>
          </w:tcPr>
          <w:p w14:paraId="20CA6328">
            <w:pPr>
              <w:widowControl w:val="0"/>
              <w:autoSpaceDE w:val="0"/>
              <w:autoSpaceDN w:val="0"/>
              <w:adjustRightInd w:val="0"/>
              <w:snapToGrid w:val="0"/>
              <w:jc w:val="center"/>
              <w:rPr>
                <w:rFonts w:eastAsia="黑体"/>
                <w:sz w:val="18"/>
                <w:szCs w:val="18"/>
              </w:rPr>
            </w:pPr>
            <w:r>
              <w:rPr>
                <w:rFonts w:eastAsia="黑体"/>
                <w:sz w:val="18"/>
                <w:szCs w:val="18"/>
              </w:rPr>
              <w:t>3</w:t>
            </w:r>
          </w:p>
        </w:tc>
        <w:tc>
          <w:tcPr>
            <w:tcW w:w="4371" w:type="dxa"/>
            <w:tcBorders>
              <w:top w:val="single" w:color="auto" w:sz="4" w:space="0"/>
              <w:bottom w:val="single" w:color="auto" w:sz="4" w:space="0"/>
            </w:tcBorders>
            <w:vAlign w:val="center"/>
          </w:tcPr>
          <w:p w14:paraId="0F4AC243">
            <w:pPr>
              <w:widowControl w:val="0"/>
              <w:autoSpaceDE w:val="0"/>
              <w:autoSpaceDN w:val="0"/>
              <w:adjustRightInd w:val="0"/>
              <w:snapToGrid w:val="0"/>
              <w:ind w:firstLine="360" w:firstLineChars="200"/>
              <w:jc w:val="left"/>
              <w:rPr>
                <w:sz w:val="18"/>
                <w:szCs w:val="18"/>
              </w:rPr>
            </w:pPr>
            <w:r>
              <w:rPr>
                <w:sz w:val="18"/>
                <w:szCs w:val="18"/>
              </w:rPr>
              <w:t>提高大气污染治理水平。</w:t>
            </w:r>
          </w:p>
        </w:tc>
        <w:tc>
          <w:tcPr>
            <w:tcW w:w="3395" w:type="dxa"/>
            <w:tcBorders>
              <w:top w:val="single" w:color="auto" w:sz="4" w:space="0"/>
              <w:bottom w:val="single" w:color="auto" w:sz="4" w:space="0"/>
            </w:tcBorders>
            <w:vAlign w:val="center"/>
          </w:tcPr>
          <w:p w14:paraId="420B4634">
            <w:pPr>
              <w:widowControl w:val="0"/>
              <w:autoSpaceDE w:val="0"/>
              <w:autoSpaceDN w:val="0"/>
              <w:adjustRightInd w:val="0"/>
              <w:snapToGrid w:val="0"/>
              <w:ind w:firstLine="360" w:firstLineChars="200"/>
              <w:jc w:val="left"/>
              <w:rPr>
                <w:sz w:val="18"/>
                <w:szCs w:val="18"/>
              </w:rPr>
            </w:pPr>
            <w:r>
              <w:rPr>
                <w:sz w:val="18"/>
                <w:szCs w:val="18"/>
              </w:rPr>
              <w:t>本项目主要通过在精料里添加益生菌，以及圈舍喷洒生物除臭剂的方式，以及科学饲养、控制饲养密度、划定卫生防护距离等方式降低项目恶臭影响</w:t>
            </w:r>
          </w:p>
        </w:tc>
      </w:tr>
      <w:tr w14:paraId="0C7C4B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16" w:type="dxa"/>
            <w:tcBorders>
              <w:top w:val="single" w:color="auto" w:sz="12" w:space="0"/>
              <w:bottom w:val="single" w:color="auto" w:sz="2" w:space="0"/>
            </w:tcBorders>
            <w:vAlign w:val="center"/>
          </w:tcPr>
          <w:p w14:paraId="679717FA">
            <w:pPr>
              <w:widowControl w:val="0"/>
              <w:autoSpaceDE w:val="0"/>
              <w:autoSpaceDN w:val="0"/>
              <w:adjustRightInd w:val="0"/>
              <w:snapToGrid w:val="0"/>
              <w:jc w:val="center"/>
              <w:rPr>
                <w:rFonts w:eastAsia="黑体"/>
                <w:sz w:val="18"/>
                <w:szCs w:val="18"/>
              </w:rPr>
            </w:pPr>
            <w:r>
              <w:rPr>
                <w:rFonts w:eastAsia="黑体"/>
                <w:sz w:val="18"/>
                <w:szCs w:val="18"/>
              </w:rPr>
              <w:t>序号</w:t>
            </w:r>
          </w:p>
        </w:tc>
        <w:tc>
          <w:tcPr>
            <w:tcW w:w="4371" w:type="dxa"/>
            <w:tcBorders>
              <w:top w:val="single" w:color="auto" w:sz="12" w:space="0"/>
              <w:bottom w:val="single" w:color="auto" w:sz="2" w:space="0"/>
            </w:tcBorders>
            <w:vAlign w:val="center"/>
          </w:tcPr>
          <w:p w14:paraId="2A7FC19D">
            <w:pPr>
              <w:widowControl w:val="0"/>
              <w:autoSpaceDE w:val="0"/>
              <w:autoSpaceDN w:val="0"/>
              <w:adjustRightInd w:val="0"/>
              <w:snapToGrid w:val="0"/>
              <w:jc w:val="center"/>
              <w:rPr>
                <w:rFonts w:eastAsia="黑体"/>
                <w:sz w:val="18"/>
                <w:szCs w:val="18"/>
              </w:rPr>
            </w:pPr>
            <w:r>
              <w:rPr>
                <w:rFonts w:eastAsia="黑体"/>
                <w:sz w:val="18"/>
                <w:szCs w:val="18"/>
              </w:rPr>
              <w:t>巴中市总体准入要求</w:t>
            </w:r>
          </w:p>
        </w:tc>
        <w:tc>
          <w:tcPr>
            <w:tcW w:w="3395" w:type="dxa"/>
            <w:tcBorders>
              <w:top w:val="single" w:color="auto" w:sz="12" w:space="0"/>
              <w:bottom w:val="single" w:color="auto" w:sz="2" w:space="0"/>
            </w:tcBorders>
            <w:vAlign w:val="center"/>
          </w:tcPr>
          <w:p w14:paraId="02337E2E">
            <w:pPr>
              <w:widowControl w:val="0"/>
              <w:autoSpaceDE w:val="0"/>
              <w:autoSpaceDN w:val="0"/>
              <w:adjustRightInd w:val="0"/>
              <w:snapToGrid w:val="0"/>
              <w:jc w:val="center"/>
              <w:rPr>
                <w:rFonts w:eastAsia="黑体"/>
                <w:sz w:val="18"/>
                <w:szCs w:val="18"/>
              </w:rPr>
            </w:pPr>
            <w:r>
              <w:rPr>
                <w:rFonts w:eastAsia="黑体"/>
                <w:sz w:val="18"/>
                <w:szCs w:val="18"/>
              </w:rPr>
              <w:t>本项目</w:t>
            </w:r>
          </w:p>
        </w:tc>
      </w:tr>
      <w:tr w14:paraId="77F994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616" w:type="dxa"/>
            <w:tcBorders>
              <w:top w:val="single" w:color="auto" w:sz="2" w:space="0"/>
              <w:bottom w:val="single" w:color="auto" w:sz="4" w:space="0"/>
            </w:tcBorders>
            <w:vAlign w:val="center"/>
          </w:tcPr>
          <w:p w14:paraId="176A6951">
            <w:pPr>
              <w:widowControl w:val="0"/>
              <w:autoSpaceDE w:val="0"/>
              <w:autoSpaceDN w:val="0"/>
              <w:adjustRightInd w:val="0"/>
              <w:snapToGrid w:val="0"/>
              <w:jc w:val="center"/>
              <w:rPr>
                <w:rFonts w:eastAsia="黑体"/>
                <w:sz w:val="18"/>
                <w:szCs w:val="18"/>
              </w:rPr>
            </w:pPr>
            <w:r>
              <w:rPr>
                <w:rFonts w:eastAsia="黑体"/>
                <w:sz w:val="18"/>
                <w:szCs w:val="18"/>
              </w:rPr>
              <w:t>1</w:t>
            </w:r>
          </w:p>
        </w:tc>
        <w:tc>
          <w:tcPr>
            <w:tcW w:w="4371" w:type="dxa"/>
            <w:tcBorders>
              <w:top w:val="single" w:color="auto" w:sz="2" w:space="0"/>
              <w:bottom w:val="single" w:color="auto" w:sz="4" w:space="0"/>
            </w:tcBorders>
            <w:vAlign w:val="center"/>
          </w:tcPr>
          <w:p w14:paraId="685708C7">
            <w:pPr>
              <w:widowControl w:val="0"/>
              <w:autoSpaceDE w:val="0"/>
              <w:autoSpaceDN w:val="0"/>
              <w:adjustRightInd w:val="0"/>
              <w:snapToGrid w:val="0"/>
              <w:ind w:firstLine="360" w:firstLineChars="200"/>
              <w:jc w:val="left"/>
              <w:rPr>
                <w:sz w:val="18"/>
                <w:szCs w:val="18"/>
              </w:rPr>
            </w:pPr>
            <w:r>
              <w:rPr>
                <w:sz w:val="18"/>
                <w:szCs w:val="18"/>
              </w:rPr>
              <w:t>培育和引入产业必须符合国家产业政策，严控新建、扩建“两高”项目，强化企业环境管理；</w:t>
            </w:r>
          </w:p>
        </w:tc>
        <w:tc>
          <w:tcPr>
            <w:tcW w:w="3395" w:type="dxa"/>
            <w:tcBorders>
              <w:top w:val="single" w:color="auto" w:sz="2" w:space="0"/>
              <w:bottom w:val="single" w:color="auto" w:sz="4" w:space="0"/>
            </w:tcBorders>
            <w:vAlign w:val="center"/>
          </w:tcPr>
          <w:p w14:paraId="6DF8AC5E">
            <w:pPr>
              <w:widowControl w:val="0"/>
              <w:autoSpaceDE w:val="0"/>
              <w:autoSpaceDN w:val="0"/>
              <w:adjustRightInd w:val="0"/>
              <w:snapToGrid w:val="0"/>
              <w:ind w:firstLine="360" w:firstLineChars="200"/>
              <w:jc w:val="left"/>
              <w:rPr>
                <w:rFonts w:eastAsia="黑体"/>
                <w:sz w:val="18"/>
                <w:szCs w:val="18"/>
              </w:rPr>
            </w:pPr>
            <w:r>
              <w:rPr>
                <w:sz w:val="18"/>
                <w:szCs w:val="18"/>
              </w:rPr>
              <w:t>本项目符合国家产业政策，非“两高”项目。</w:t>
            </w:r>
          </w:p>
        </w:tc>
      </w:tr>
      <w:tr w14:paraId="793272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616" w:type="dxa"/>
            <w:tcBorders>
              <w:top w:val="single" w:color="auto" w:sz="4" w:space="0"/>
              <w:left w:val="nil"/>
              <w:bottom w:val="single" w:color="auto" w:sz="4" w:space="0"/>
            </w:tcBorders>
            <w:vAlign w:val="center"/>
          </w:tcPr>
          <w:p w14:paraId="3CB83522">
            <w:pPr>
              <w:widowControl w:val="0"/>
              <w:autoSpaceDE w:val="0"/>
              <w:autoSpaceDN w:val="0"/>
              <w:adjustRightInd w:val="0"/>
              <w:snapToGrid w:val="0"/>
              <w:jc w:val="center"/>
              <w:rPr>
                <w:rFonts w:eastAsia="黑体"/>
                <w:sz w:val="18"/>
                <w:szCs w:val="18"/>
              </w:rPr>
            </w:pPr>
            <w:r>
              <w:rPr>
                <w:rFonts w:eastAsia="黑体"/>
                <w:sz w:val="18"/>
                <w:szCs w:val="18"/>
              </w:rPr>
              <w:t>2</w:t>
            </w:r>
          </w:p>
        </w:tc>
        <w:tc>
          <w:tcPr>
            <w:tcW w:w="4371" w:type="dxa"/>
            <w:tcBorders>
              <w:top w:val="single" w:color="auto" w:sz="4" w:space="0"/>
              <w:bottom w:val="single" w:color="auto" w:sz="4" w:space="0"/>
            </w:tcBorders>
            <w:vAlign w:val="center"/>
          </w:tcPr>
          <w:p w14:paraId="01DB3EE2">
            <w:pPr>
              <w:widowControl w:val="0"/>
              <w:autoSpaceDE w:val="0"/>
              <w:autoSpaceDN w:val="0"/>
              <w:adjustRightInd w:val="0"/>
              <w:snapToGrid w:val="0"/>
              <w:ind w:firstLine="360" w:firstLineChars="200"/>
              <w:jc w:val="left"/>
              <w:rPr>
                <w:sz w:val="18"/>
                <w:szCs w:val="18"/>
              </w:rPr>
            </w:pPr>
            <w:r>
              <w:rPr>
                <w:sz w:val="18"/>
                <w:szCs w:val="18"/>
              </w:rPr>
              <w:t>强化水、大气、土壤等污染源头管控，深化环境污染治理，完善污染治理基础设施，巩固提升环境质量；</w:t>
            </w:r>
          </w:p>
        </w:tc>
        <w:tc>
          <w:tcPr>
            <w:tcW w:w="3395" w:type="dxa"/>
            <w:tcBorders>
              <w:top w:val="single" w:color="auto" w:sz="4" w:space="0"/>
              <w:bottom w:val="single" w:color="auto" w:sz="4" w:space="0"/>
              <w:right w:val="nil"/>
            </w:tcBorders>
            <w:vAlign w:val="center"/>
          </w:tcPr>
          <w:p w14:paraId="53081C4C">
            <w:pPr>
              <w:widowControl w:val="0"/>
              <w:autoSpaceDE w:val="0"/>
              <w:autoSpaceDN w:val="0"/>
              <w:adjustRightInd w:val="0"/>
              <w:snapToGrid w:val="0"/>
              <w:ind w:firstLine="360" w:firstLineChars="200"/>
              <w:jc w:val="left"/>
              <w:rPr>
                <w:rFonts w:eastAsia="黑体"/>
                <w:sz w:val="18"/>
                <w:szCs w:val="18"/>
              </w:rPr>
            </w:pPr>
            <w:r>
              <w:rPr>
                <w:sz w:val="18"/>
                <w:szCs w:val="18"/>
              </w:rPr>
              <w:t>本项目将按相关政策规范要求严格落实各项污染源头管控。</w:t>
            </w:r>
          </w:p>
        </w:tc>
      </w:tr>
      <w:tr w14:paraId="7BB78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616" w:type="dxa"/>
            <w:tcBorders>
              <w:top w:val="single" w:color="auto" w:sz="4" w:space="0"/>
              <w:left w:val="nil"/>
              <w:bottom w:val="single" w:color="auto" w:sz="4" w:space="0"/>
            </w:tcBorders>
            <w:vAlign w:val="center"/>
          </w:tcPr>
          <w:p w14:paraId="1F577A32">
            <w:pPr>
              <w:widowControl w:val="0"/>
              <w:autoSpaceDE w:val="0"/>
              <w:autoSpaceDN w:val="0"/>
              <w:adjustRightInd w:val="0"/>
              <w:snapToGrid w:val="0"/>
              <w:jc w:val="center"/>
              <w:rPr>
                <w:rFonts w:eastAsia="黑体"/>
                <w:sz w:val="18"/>
                <w:szCs w:val="18"/>
              </w:rPr>
            </w:pPr>
            <w:r>
              <w:rPr>
                <w:rFonts w:eastAsia="黑体"/>
                <w:sz w:val="18"/>
                <w:szCs w:val="18"/>
              </w:rPr>
              <w:t>3</w:t>
            </w:r>
          </w:p>
        </w:tc>
        <w:tc>
          <w:tcPr>
            <w:tcW w:w="4371" w:type="dxa"/>
            <w:tcBorders>
              <w:top w:val="single" w:color="auto" w:sz="4" w:space="0"/>
              <w:bottom w:val="single" w:color="auto" w:sz="4" w:space="0"/>
            </w:tcBorders>
            <w:vAlign w:val="center"/>
          </w:tcPr>
          <w:p w14:paraId="79F786A2">
            <w:pPr>
              <w:widowControl w:val="0"/>
              <w:autoSpaceDE w:val="0"/>
              <w:autoSpaceDN w:val="0"/>
              <w:adjustRightInd w:val="0"/>
              <w:snapToGrid w:val="0"/>
              <w:ind w:firstLine="360" w:firstLineChars="200"/>
              <w:jc w:val="left"/>
              <w:rPr>
                <w:sz w:val="18"/>
                <w:szCs w:val="18"/>
              </w:rPr>
            </w:pPr>
            <w:r>
              <w:rPr>
                <w:sz w:val="18"/>
                <w:szCs w:val="18"/>
              </w:rPr>
              <w:t>合理控制并优化生态环境敏感区内的旅游开发建设活动，合理开发利用水利资源，大力发展生态康养旅游产业。严格落实自然保护地、生态保护红线、集中式饮用水水源保护区等管控要求；</w:t>
            </w:r>
          </w:p>
        </w:tc>
        <w:tc>
          <w:tcPr>
            <w:tcW w:w="3395" w:type="dxa"/>
            <w:tcBorders>
              <w:top w:val="single" w:color="auto" w:sz="4" w:space="0"/>
              <w:bottom w:val="single" w:color="auto" w:sz="4" w:space="0"/>
              <w:right w:val="nil"/>
            </w:tcBorders>
            <w:vAlign w:val="center"/>
          </w:tcPr>
          <w:p w14:paraId="27F4F714">
            <w:pPr>
              <w:widowControl w:val="0"/>
              <w:autoSpaceDE w:val="0"/>
              <w:autoSpaceDN w:val="0"/>
              <w:adjustRightInd w:val="0"/>
              <w:snapToGrid w:val="0"/>
              <w:ind w:firstLine="360" w:firstLineChars="200"/>
              <w:jc w:val="left"/>
              <w:rPr>
                <w:sz w:val="18"/>
                <w:szCs w:val="18"/>
              </w:rPr>
            </w:pPr>
            <w:r>
              <w:rPr>
                <w:sz w:val="18"/>
                <w:szCs w:val="18"/>
              </w:rPr>
              <w:t>本项目不在环境敏感区内。</w:t>
            </w:r>
          </w:p>
        </w:tc>
      </w:tr>
      <w:tr w14:paraId="6934AB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16" w:type="dxa"/>
            <w:tcBorders>
              <w:top w:val="single" w:color="auto" w:sz="4" w:space="0"/>
              <w:left w:val="nil"/>
              <w:bottom w:val="single" w:color="auto" w:sz="4" w:space="0"/>
            </w:tcBorders>
            <w:vAlign w:val="center"/>
          </w:tcPr>
          <w:p w14:paraId="4AF935A8">
            <w:pPr>
              <w:widowControl w:val="0"/>
              <w:autoSpaceDE w:val="0"/>
              <w:autoSpaceDN w:val="0"/>
              <w:adjustRightInd w:val="0"/>
              <w:snapToGrid w:val="0"/>
              <w:jc w:val="center"/>
              <w:rPr>
                <w:rFonts w:eastAsia="黑体"/>
                <w:sz w:val="18"/>
                <w:szCs w:val="18"/>
              </w:rPr>
            </w:pPr>
            <w:r>
              <w:rPr>
                <w:rFonts w:eastAsia="黑体"/>
                <w:sz w:val="18"/>
                <w:szCs w:val="18"/>
              </w:rPr>
              <w:t>4</w:t>
            </w:r>
          </w:p>
        </w:tc>
        <w:tc>
          <w:tcPr>
            <w:tcW w:w="4371" w:type="dxa"/>
            <w:tcBorders>
              <w:top w:val="single" w:color="auto" w:sz="4" w:space="0"/>
              <w:bottom w:val="single" w:color="auto" w:sz="4" w:space="0"/>
            </w:tcBorders>
            <w:vAlign w:val="center"/>
          </w:tcPr>
          <w:p w14:paraId="558C3E47">
            <w:pPr>
              <w:widowControl w:val="0"/>
              <w:autoSpaceDE w:val="0"/>
              <w:autoSpaceDN w:val="0"/>
              <w:adjustRightInd w:val="0"/>
              <w:snapToGrid w:val="0"/>
              <w:ind w:firstLine="360" w:firstLineChars="200"/>
              <w:jc w:val="left"/>
              <w:rPr>
                <w:sz w:val="18"/>
                <w:szCs w:val="18"/>
              </w:rPr>
            </w:pPr>
            <w:r>
              <w:rPr>
                <w:sz w:val="18"/>
                <w:szCs w:val="18"/>
              </w:rPr>
              <w:t>加强农村环境综合治理，积极发展生态农业和有机农业，严格控制化肥、农药、农膜使用量，合理布局畜禽养殖，持续推进畜禽粪污综合利用；</w:t>
            </w:r>
          </w:p>
        </w:tc>
        <w:tc>
          <w:tcPr>
            <w:tcW w:w="3395" w:type="dxa"/>
            <w:tcBorders>
              <w:top w:val="single" w:color="auto" w:sz="4" w:space="0"/>
              <w:bottom w:val="single" w:color="auto" w:sz="4" w:space="0"/>
              <w:right w:val="nil"/>
            </w:tcBorders>
            <w:vAlign w:val="center"/>
          </w:tcPr>
          <w:p w14:paraId="003E183E">
            <w:pPr>
              <w:widowControl w:val="0"/>
              <w:autoSpaceDE w:val="0"/>
              <w:autoSpaceDN w:val="0"/>
              <w:adjustRightInd w:val="0"/>
              <w:snapToGrid w:val="0"/>
              <w:ind w:firstLine="360" w:firstLineChars="200"/>
              <w:jc w:val="left"/>
              <w:rPr>
                <w:sz w:val="18"/>
                <w:szCs w:val="18"/>
              </w:rPr>
            </w:pPr>
            <w:r>
              <w:rPr>
                <w:sz w:val="18"/>
                <w:szCs w:val="18"/>
              </w:rPr>
              <w:t>项目实质仅为肉牛养殖，不涉及农业种植内容。项目肉牛养殖已避开禁养区范围，实现粪污综合利用。</w:t>
            </w:r>
          </w:p>
        </w:tc>
      </w:tr>
      <w:tr w14:paraId="363594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616" w:type="dxa"/>
            <w:tcBorders>
              <w:top w:val="single" w:color="auto" w:sz="4" w:space="0"/>
              <w:left w:val="nil"/>
              <w:bottom w:val="single" w:color="auto" w:sz="4" w:space="0"/>
            </w:tcBorders>
            <w:vAlign w:val="center"/>
          </w:tcPr>
          <w:p w14:paraId="24B5C101">
            <w:pPr>
              <w:widowControl w:val="0"/>
              <w:autoSpaceDE w:val="0"/>
              <w:autoSpaceDN w:val="0"/>
              <w:adjustRightInd w:val="0"/>
              <w:snapToGrid w:val="0"/>
              <w:jc w:val="center"/>
              <w:rPr>
                <w:rFonts w:eastAsia="黑体"/>
                <w:sz w:val="18"/>
                <w:szCs w:val="18"/>
              </w:rPr>
            </w:pPr>
            <w:r>
              <w:rPr>
                <w:rFonts w:eastAsia="黑体"/>
                <w:sz w:val="18"/>
                <w:szCs w:val="18"/>
              </w:rPr>
              <w:t>5</w:t>
            </w:r>
          </w:p>
        </w:tc>
        <w:tc>
          <w:tcPr>
            <w:tcW w:w="4371" w:type="dxa"/>
            <w:tcBorders>
              <w:top w:val="single" w:color="auto" w:sz="4" w:space="0"/>
              <w:bottom w:val="single" w:color="auto" w:sz="4" w:space="0"/>
            </w:tcBorders>
            <w:vAlign w:val="center"/>
          </w:tcPr>
          <w:p w14:paraId="6BBA13E9">
            <w:pPr>
              <w:widowControl w:val="0"/>
              <w:autoSpaceDE w:val="0"/>
              <w:autoSpaceDN w:val="0"/>
              <w:adjustRightInd w:val="0"/>
              <w:snapToGrid w:val="0"/>
              <w:ind w:firstLine="360" w:firstLineChars="200"/>
              <w:jc w:val="left"/>
              <w:rPr>
                <w:sz w:val="18"/>
                <w:szCs w:val="18"/>
              </w:rPr>
            </w:pPr>
            <w:r>
              <w:rPr>
                <w:sz w:val="18"/>
                <w:szCs w:val="18"/>
              </w:rPr>
              <w:t>加强城乡集中式饮用水水源保护，确保饮用水水源安全；</w:t>
            </w:r>
          </w:p>
        </w:tc>
        <w:tc>
          <w:tcPr>
            <w:tcW w:w="3395" w:type="dxa"/>
            <w:tcBorders>
              <w:top w:val="single" w:color="auto" w:sz="4" w:space="0"/>
              <w:bottom w:val="single" w:color="auto" w:sz="4" w:space="0"/>
              <w:right w:val="nil"/>
            </w:tcBorders>
            <w:vAlign w:val="center"/>
          </w:tcPr>
          <w:p w14:paraId="5C9AB599">
            <w:pPr>
              <w:widowControl w:val="0"/>
              <w:autoSpaceDE w:val="0"/>
              <w:autoSpaceDN w:val="0"/>
              <w:adjustRightInd w:val="0"/>
              <w:snapToGrid w:val="0"/>
              <w:ind w:firstLine="360" w:firstLineChars="200"/>
              <w:jc w:val="left"/>
              <w:rPr>
                <w:sz w:val="18"/>
                <w:szCs w:val="18"/>
              </w:rPr>
            </w:pPr>
            <w:r>
              <w:rPr>
                <w:sz w:val="18"/>
                <w:szCs w:val="18"/>
              </w:rPr>
              <w:t>本项目不涉及饮用水源保护范围。且项目无废水外排，能够确保不会对地表水体、饮用水源等造成影响。</w:t>
            </w:r>
          </w:p>
        </w:tc>
      </w:tr>
      <w:tr w14:paraId="73F2BD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616" w:type="dxa"/>
            <w:tcBorders>
              <w:top w:val="single" w:color="auto" w:sz="4" w:space="0"/>
              <w:left w:val="nil"/>
              <w:bottom w:val="single" w:color="auto" w:sz="4" w:space="0"/>
            </w:tcBorders>
            <w:vAlign w:val="center"/>
          </w:tcPr>
          <w:p w14:paraId="408B5437">
            <w:pPr>
              <w:widowControl w:val="0"/>
              <w:autoSpaceDE w:val="0"/>
              <w:autoSpaceDN w:val="0"/>
              <w:adjustRightInd w:val="0"/>
              <w:snapToGrid w:val="0"/>
              <w:jc w:val="center"/>
              <w:rPr>
                <w:rFonts w:eastAsia="黑体"/>
                <w:sz w:val="18"/>
                <w:szCs w:val="18"/>
              </w:rPr>
            </w:pPr>
            <w:r>
              <w:rPr>
                <w:rFonts w:eastAsia="黑体"/>
                <w:sz w:val="18"/>
                <w:szCs w:val="18"/>
              </w:rPr>
              <w:t>6</w:t>
            </w:r>
          </w:p>
        </w:tc>
        <w:tc>
          <w:tcPr>
            <w:tcW w:w="4371" w:type="dxa"/>
            <w:tcBorders>
              <w:top w:val="single" w:color="auto" w:sz="4" w:space="0"/>
              <w:bottom w:val="single" w:color="auto" w:sz="4" w:space="0"/>
            </w:tcBorders>
            <w:vAlign w:val="center"/>
          </w:tcPr>
          <w:p w14:paraId="3C2A942D">
            <w:pPr>
              <w:widowControl w:val="0"/>
              <w:autoSpaceDE w:val="0"/>
              <w:autoSpaceDN w:val="0"/>
              <w:adjustRightInd w:val="0"/>
              <w:snapToGrid w:val="0"/>
              <w:ind w:firstLine="360" w:firstLineChars="200"/>
              <w:jc w:val="left"/>
              <w:rPr>
                <w:sz w:val="18"/>
                <w:szCs w:val="18"/>
              </w:rPr>
            </w:pPr>
            <w:r>
              <w:rPr>
                <w:sz w:val="18"/>
                <w:szCs w:val="18"/>
              </w:rPr>
              <w:t>加强与相邻省、市的环境风险联防联控。</w:t>
            </w:r>
          </w:p>
        </w:tc>
        <w:tc>
          <w:tcPr>
            <w:tcW w:w="3395" w:type="dxa"/>
            <w:tcBorders>
              <w:top w:val="single" w:color="auto" w:sz="4" w:space="0"/>
              <w:bottom w:val="single" w:color="auto" w:sz="4" w:space="0"/>
              <w:right w:val="nil"/>
            </w:tcBorders>
            <w:vAlign w:val="center"/>
          </w:tcPr>
          <w:p w14:paraId="48836627">
            <w:pPr>
              <w:widowControl w:val="0"/>
              <w:autoSpaceDE w:val="0"/>
              <w:autoSpaceDN w:val="0"/>
              <w:adjustRightInd w:val="0"/>
              <w:snapToGrid w:val="0"/>
              <w:ind w:firstLine="360" w:firstLineChars="200"/>
              <w:jc w:val="left"/>
              <w:rPr>
                <w:sz w:val="18"/>
                <w:szCs w:val="18"/>
              </w:rPr>
            </w:pPr>
            <w:r>
              <w:rPr>
                <w:sz w:val="18"/>
                <w:szCs w:val="18"/>
              </w:rPr>
              <w:t>本项目按相关环保安全规范要求实施相关环境风险联防联控要求。</w:t>
            </w:r>
          </w:p>
        </w:tc>
      </w:tr>
      <w:tr w14:paraId="48F92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616" w:type="dxa"/>
            <w:tcBorders>
              <w:bottom w:val="single" w:color="auto" w:sz="12" w:space="0"/>
            </w:tcBorders>
            <w:vAlign w:val="center"/>
          </w:tcPr>
          <w:p w14:paraId="426C6205">
            <w:pPr>
              <w:widowControl w:val="0"/>
              <w:autoSpaceDE w:val="0"/>
              <w:autoSpaceDN w:val="0"/>
              <w:adjustRightInd w:val="0"/>
              <w:snapToGrid w:val="0"/>
              <w:jc w:val="center"/>
              <w:rPr>
                <w:rFonts w:eastAsia="黑体"/>
                <w:sz w:val="18"/>
                <w:szCs w:val="18"/>
              </w:rPr>
            </w:pPr>
            <w:r>
              <w:rPr>
                <w:rFonts w:eastAsia="黑体"/>
                <w:sz w:val="18"/>
                <w:szCs w:val="18"/>
              </w:rPr>
              <w:t>序号</w:t>
            </w:r>
          </w:p>
        </w:tc>
        <w:tc>
          <w:tcPr>
            <w:tcW w:w="4371" w:type="dxa"/>
            <w:tcBorders>
              <w:bottom w:val="single" w:color="auto" w:sz="12" w:space="0"/>
            </w:tcBorders>
            <w:vAlign w:val="center"/>
          </w:tcPr>
          <w:p w14:paraId="52F933A8">
            <w:pPr>
              <w:widowControl w:val="0"/>
              <w:autoSpaceDE w:val="0"/>
              <w:autoSpaceDN w:val="0"/>
              <w:adjustRightInd w:val="0"/>
              <w:snapToGrid w:val="0"/>
              <w:jc w:val="center"/>
              <w:rPr>
                <w:rFonts w:eastAsia="黑体"/>
                <w:sz w:val="18"/>
                <w:szCs w:val="18"/>
              </w:rPr>
            </w:pPr>
            <w:r>
              <w:rPr>
                <w:rFonts w:eastAsia="黑体"/>
                <w:sz w:val="18"/>
                <w:szCs w:val="18"/>
              </w:rPr>
              <w:t>巴州区总体准入要求</w:t>
            </w:r>
          </w:p>
        </w:tc>
        <w:tc>
          <w:tcPr>
            <w:tcW w:w="3395" w:type="dxa"/>
            <w:tcBorders>
              <w:bottom w:val="single" w:color="auto" w:sz="12" w:space="0"/>
            </w:tcBorders>
            <w:vAlign w:val="center"/>
          </w:tcPr>
          <w:p w14:paraId="3D3F85B4">
            <w:pPr>
              <w:widowControl w:val="0"/>
              <w:autoSpaceDE w:val="0"/>
              <w:autoSpaceDN w:val="0"/>
              <w:adjustRightInd w:val="0"/>
              <w:snapToGrid w:val="0"/>
              <w:jc w:val="center"/>
              <w:rPr>
                <w:rFonts w:eastAsia="黑体"/>
                <w:sz w:val="18"/>
                <w:szCs w:val="18"/>
              </w:rPr>
            </w:pPr>
            <w:r>
              <w:rPr>
                <w:rFonts w:eastAsia="黑体"/>
                <w:sz w:val="18"/>
                <w:szCs w:val="18"/>
              </w:rPr>
              <w:t>本项目</w:t>
            </w:r>
          </w:p>
        </w:tc>
      </w:tr>
      <w:tr w14:paraId="766993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616" w:type="dxa"/>
            <w:tcBorders>
              <w:top w:val="single" w:color="auto" w:sz="12" w:space="0"/>
              <w:tl2br w:val="nil"/>
              <w:tr2bl w:val="nil"/>
            </w:tcBorders>
            <w:vAlign w:val="center"/>
          </w:tcPr>
          <w:p w14:paraId="18DE7DE2">
            <w:pPr>
              <w:widowControl w:val="0"/>
              <w:autoSpaceDE w:val="0"/>
              <w:autoSpaceDN w:val="0"/>
              <w:adjustRightInd w:val="0"/>
              <w:snapToGrid w:val="0"/>
              <w:ind w:firstLine="360" w:firstLineChars="200"/>
              <w:jc w:val="left"/>
              <w:rPr>
                <w:sz w:val="18"/>
                <w:szCs w:val="18"/>
              </w:rPr>
            </w:pPr>
            <w:r>
              <w:rPr>
                <w:sz w:val="18"/>
                <w:szCs w:val="18"/>
              </w:rPr>
              <w:t>1</w:t>
            </w:r>
          </w:p>
        </w:tc>
        <w:tc>
          <w:tcPr>
            <w:tcW w:w="4371" w:type="dxa"/>
            <w:tcBorders>
              <w:top w:val="single" w:color="auto" w:sz="12" w:space="0"/>
              <w:tl2br w:val="nil"/>
              <w:tr2bl w:val="nil"/>
            </w:tcBorders>
            <w:vAlign w:val="center"/>
          </w:tcPr>
          <w:p w14:paraId="2A9012DB">
            <w:pPr>
              <w:widowControl w:val="0"/>
              <w:autoSpaceDE w:val="0"/>
              <w:autoSpaceDN w:val="0"/>
              <w:adjustRightInd w:val="0"/>
              <w:snapToGrid w:val="0"/>
              <w:ind w:firstLine="360" w:firstLineChars="200"/>
              <w:jc w:val="left"/>
              <w:rPr>
                <w:sz w:val="18"/>
                <w:szCs w:val="18"/>
              </w:rPr>
            </w:pPr>
            <w:r>
              <w:rPr>
                <w:sz w:val="18"/>
                <w:szCs w:val="18"/>
              </w:rPr>
              <w:t>加强流域水污染防治，推进流域水生态环境修复与治理；</w:t>
            </w:r>
          </w:p>
        </w:tc>
        <w:tc>
          <w:tcPr>
            <w:tcW w:w="3395" w:type="dxa"/>
            <w:tcBorders>
              <w:top w:val="single" w:color="auto" w:sz="12" w:space="0"/>
              <w:tl2br w:val="nil"/>
              <w:tr2bl w:val="nil"/>
            </w:tcBorders>
            <w:vAlign w:val="center"/>
          </w:tcPr>
          <w:p w14:paraId="74302788">
            <w:pPr>
              <w:widowControl w:val="0"/>
              <w:autoSpaceDE w:val="0"/>
              <w:autoSpaceDN w:val="0"/>
              <w:adjustRightInd w:val="0"/>
              <w:snapToGrid w:val="0"/>
              <w:ind w:firstLine="360" w:firstLineChars="200"/>
              <w:jc w:val="left"/>
              <w:rPr>
                <w:sz w:val="18"/>
                <w:szCs w:val="18"/>
              </w:rPr>
            </w:pPr>
            <w:r>
              <w:rPr>
                <w:sz w:val="18"/>
                <w:szCs w:val="18"/>
              </w:rPr>
              <w:t>项目采用发酵床养殖工艺，粪、尿随发酵垫料分解转化，无尿污排出。项目无废水外排。</w:t>
            </w:r>
          </w:p>
        </w:tc>
      </w:tr>
      <w:tr w14:paraId="2634AC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616" w:type="dxa"/>
            <w:tcBorders>
              <w:tl2br w:val="nil"/>
              <w:tr2bl w:val="nil"/>
            </w:tcBorders>
            <w:vAlign w:val="center"/>
          </w:tcPr>
          <w:p w14:paraId="4B524243">
            <w:pPr>
              <w:widowControl w:val="0"/>
              <w:autoSpaceDE w:val="0"/>
              <w:autoSpaceDN w:val="0"/>
              <w:adjustRightInd w:val="0"/>
              <w:snapToGrid w:val="0"/>
              <w:ind w:firstLine="360" w:firstLineChars="200"/>
              <w:jc w:val="left"/>
              <w:rPr>
                <w:sz w:val="18"/>
                <w:szCs w:val="18"/>
              </w:rPr>
            </w:pPr>
            <w:r>
              <w:rPr>
                <w:sz w:val="18"/>
                <w:szCs w:val="18"/>
              </w:rPr>
              <w:t>2</w:t>
            </w:r>
          </w:p>
        </w:tc>
        <w:tc>
          <w:tcPr>
            <w:tcW w:w="4371" w:type="dxa"/>
            <w:tcBorders>
              <w:tl2br w:val="nil"/>
              <w:tr2bl w:val="nil"/>
            </w:tcBorders>
            <w:vAlign w:val="center"/>
          </w:tcPr>
          <w:p w14:paraId="2DC4E107">
            <w:pPr>
              <w:widowControl w:val="0"/>
              <w:autoSpaceDE w:val="0"/>
              <w:autoSpaceDN w:val="0"/>
              <w:adjustRightInd w:val="0"/>
              <w:snapToGrid w:val="0"/>
              <w:ind w:firstLine="360" w:firstLineChars="200"/>
              <w:jc w:val="left"/>
              <w:rPr>
                <w:sz w:val="18"/>
                <w:szCs w:val="18"/>
              </w:rPr>
            </w:pPr>
            <w:r>
              <w:rPr>
                <w:sz w:val="18"/>
                <w:szCs w:val="18"/>
              </w:rPr>
              <w:t>加强工业园区内和园区外企业污染排放监管，推进“散乱污”企业整治；</w:t>
            </w:r>
          </w:p>
        </w:tc>
        <w:tc>
          <w:tcPr>
            <w:tcW w:w="3395" w:type="dxa"/>
            <w:tcBorders>
              <w:tl2br w:val="nil"/>
              <w:tr2bl w:val="nil"/>
            </w:tcBorders>
            <w:vAlign w:val="center"/>
          </w:tcPr>
          <w:p w14:paraId="74F99777">
            <w:pPr>
              <w:widowControl w:val="0"/>
              <w:autoSpaceDE w:val="0"/>
              <w:autoSpaceDN w:val="0"/>
              <w:adjustRightInd w:val="0"/>
              <w:snapToGrid w:val="0"/>
              <w:ind w:firstLine="360" w:firstLineChars="200"/>
              <w:jc w:val="left"/>
              <w:rPr>
                <w:sz w:val="18"/>
                <w:szCs w:val="18"/>
              </w:rPr>
            </w:pPr>
            <w:r>
              <w:rPr>
                <w:sz w:val="18"/>
                <w:szCs w:val="18"/>
              </w:rPr>
              <w:t>项目经各项污染治理，能够达标排放。</w:t>
            </w:r>
          </w:p>
        </w:tc>
      </w:tr>
      <w:tr w14:paraId="76D8F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16" w:type="dxa"/>
            <w:tcBorders>
              <w:tl2br w:val="nil"/>
              <w:tr2bl w:val="nil"/>
            </w:tcBorders>
            <w:vAlign w:val="center"/>
          </w:tcPr>
          <w:p w14:paraId="4DD76A47">
            <w:pPr>
              <w:widowControl w:val="0"/>
              <w:autoSpaceDE w:val="0"/>
              <w:autoSpaceDN w:val="0"/>
              <w:adjustRightInd w:val="0"/>
              <w:snapToGrid w:val="0"/>
              <w:ind w:firstLine="360" w:firstLineChars="200"/>
              <w:jc w:val="left"/>
              <w:rPr>
                <w:sz w:val="18"/>
                <w:szCs w:val="18"/>
              </w:rPr>
            </w:pPr>
            <w:r>
              <w:rPr>
                <w:sz w:val="18"/>
                <w:szCs w:val="18"/>
              </w:rPr>
              <w:t>3</w:t>
            </w:r>
          </w:p>
        </w:tc>
        <w:tc>
          <w:tcPr>
            <w:tcW w:w="4371" w:type="dxa"/>
            <w:tcBorders>
              <w:tl2br w:val="nil"/>
              <w:tr2bl w:val="nil"/>
            </w:tcBorders>
            <w:vAlign w:val="center"/>
          </w:tcPr>
          <w:p w14:paraId="5C150C25">
            <w:pPr>
              <w:widowControl w:val="0"/>
              <w:autoSpaceDE w:val="0"/>
              <w:autoSpaceDN w:val="0"/>
              <w:adjustRightInd w:val="0"/>
              <w:snapToGrid w:val="0"/>
              <w:ind w:firstLine="360" w:firstLineChars="200"/>
              <w:jc w:val="left"/>
              <w:rPr>
                <w:sz w:val="18"/>
                <w:szCs w:val="18"/>
              </w:rPr>
            </w:pPr>
            <w:r>
              <w:rPr>
                <w:sz w:val="18"/>
                <w:szCs w:val="18"/>
              </w:rPr>
              <w:t>强化扬尘源、燃烧源和移动源等大气污染防治；</w:t>
            </w:r>
          </w:p>
        </w:tc>
        <w:tc>
          <w:tcPr>
            <w:tcW w:w="3395" w:type="dxa"/>
            <w:tcBorders>
              <w:tl2br w:val="nil"/>
              <w:tr2bl w:val="nil"/>
            </w:tcBorders>
            <w:vAlign w:val="center"/>
          </w:tcPr>
          <w:p w14:paraId="2E7FC5ED">
            <w:pPr>
              <w:widowControl w:val="0"/>
              <w:autoSpaceDE w:val="0"/>
              <w:autoSpaceDN w:val="0"/>
              <w:adjustRightInd w:val="0"/>
              <w:snapToGrid w:val="0"/>
              <w:ind w:firstLine="360" w:firstLineChars="200"/>
              <w:jc w:val="left"/>
              <w:rPr>
                <w:sz w:val="18"/>
                <w:szCs w:val="18"/>
              </w:rPr>
            </w:pPr>
            <w:r>
              <w:rPr>
                <w:sz w:val="18"/>
                <w:szCs w:val="18"/>
              </w:rPr>
              <w:t>项目不涉及此项内容；</w:t>
            </w:r>
          </w:p>
        </w:tc>
      </w:tr>
      <w:tr w14:paraId="599042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616" w:type="dxa"/>
            <w:tcBorders>
              <w:tl2br w:val="nil"/>
              <w:tr2bl w:val="nil"/>
            </w:tcBorders>
            <w:vAlign w:val="center"/>
          </w:tcPr>
          <w:p w14:paraId="7B9B1B9F">
            <w:pPr>
              <w:widowControl w:val="0"/>
              <w:autoSpaceDE w:val="0"/>
              <w:autoSpaceDN w:val="0"/>
              <w:adjustRightInd w:val="0"/>
              <w:snapToGrid w:val="0"/>
              <w:ind w:firstLine="360" w:firstLineChars="200"/>
              <w:jc w:val="left"/>
              <w:rPr>
                <w:sz w:val="18"/>
                <w:szCs w:val="18"/>
              </w:rPr>
            </w:pPr>
            <w:r>
              <w:rPr>
                <w:sz w:val="18"/>
                <w:szCs w:val="18"/>
              </w:rPr>
              <w:t>4</w:t>
            </w:r>
          </w:p>
        </w:tc>
        <w:tc>
          <w:tcPr>
            <w:tcW w:w="4371" w:type="dxa"/>
            <w:tcBorders>
              <w:tl2br w:val="nil"/>
              <w:tr2bl w:val="nil"/>
            </w:tcBorders>
            <w:vAlign w:val="center"/>
          </w:tcPr>
          <w:p w14:paraId="087FAEA8">
            <w:pPr>
              <w:widowControl w:val="0"/>
              <w:autoSpaceDE w:val="0"/>
              <w:autoSpaceDN w:val="0"/>
              <w:adjustRightInd w:val="0"/>
              <w:snapToGrid w:val="0"/>
              <w:ind w:firstLine="360" w:firstLineChars="200"/>
              <w:jc w:val="left"/>
              <w:rPr>
                <w:sz w:val="18"/>
                <w:szCs w:val="18"/>
              </w:rPr>
            </w:pPr>
            <w:r>
              <w:rPr>
                <w:sz w:val="18"/>
                <w:szCs w:val="18"/>
              </w:rPr>
              <w:t>强化建筑垃圾、生活垃圾、餐厨垃圾综合利用和无害化处置及危险废物环境风险管控；</w:t>
            </w:r>
          </w:p>
        </w:tc>
        <w:tc>
          <w:tcPr>
            <w:tcW w:w="3395" w:type="dxa"/>
            <w:tcBorders>
              <w:tl2br w:val="nil"/>
              <w:tr2bl w:val="nil"/>
            </w:tcBorders>
            <w:vAlign w:val="center"/>
          </w:tcPr>
          <w:p w14:paraId="255C1B4E">
            <w:pPr>
              <w:widowControl w:val="0"/>
              <w:autoSpaceDE w:val="0"/>
              <w:autoSpaceDN w:val="0"/>
              <w:adjustRightInd w:val="0"/>
              <w:snapToGrid w:val="0"/>
              <w:ind w:firstLine="360" w:firstLineChars="200"/>
              <w:jc w:val="left"/>
              <w:rPr>
                <w:sz w:val="18"/>
                <w:szCs w:val="18"/>
              </w:rPr>
            </w:pPr>
            <w:r>
              <w:rPr>
                <w:sz w:val="18"/>
                <w:szCs w:val="18"/>
              </w:rPr>
              <w:t>项目员工生活垃圾送附近市政生活垃圾收集点由市政环卫部门统一收集处理；</w:t>
            </w:r>
          </w:p>
        </w:tc>
      </w:tr>
      <w:tr w14:paraId="7C10FD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616" w:type="dxa"/>
            <w:tcBorders>
              <w:tl2br w:val="nil"/>
              <w:tr2bl w:val="nil"/>
            </w:tcBorders>
            <w:vAlign w:val="center"/>
          </w:tcPr>
          <w:p w14:paraId="0E58ABF3">
            <w:pPr>
              <w:widowControl w:val="0"/>
              <w:autoSpaceDE w:val="0"/>
              <w:autoSpaceDN w:val="0"/>
              <w:adjustRightInd w:val="0"/>
              <w:snapToGrid w:val="0"/>
              <w:ind w:firstLine="360" w:firstLineChars="200"/>
              <w:jc w:val="left"/>
              <w:rPr>
                <w:sz w:val="18"/>
                <w:szCs w:val="18"/>
              </w:rPr>
            </w:pPr>
            <w:r>
              <w:rPr>
                <w:sz w:val="18"/>
                <w:szCs w:val="18"/>
              </w:rPr>
              <w:t>5</w:t>
            </w:r>
          </w:p>
        </w:tc>
        <w:tc>
          <w:tcPr>
            <w:tcW w:w="4371" w:type="dxa"/>
            <w:tcBorders>
              <w:tl2br w:val="nil"/>
              <w:tr2bl w:val="nil"/>
            </w:tcBorders>
            <w:vAlign w:val="center"/>
          </w:tcPr>
          <w:p w14:paraId="7AC9491D">
            <w:pPr>
              <w:widowControl w:val="0"/>
              <w:autoSpaceDE w:val="0"/>
              <w:autoSpaceDN w:val="0"/>
              <w:adjustRightInd w:val="0"/>
              <w:snapToGrid w:val="0"/>
              <w:ind w:firstLine="360" w:firstLineChars="200"/>
              <w:jc w:val="left"/>
              <w:rPr>
                <w:sz w:val="18"/>
                <w:szCs w:val="18"/>
              </w:rPr>
            </w:pPr>
            <w:r>
              <w:rPr>
                <w:sz w:val="18"/>
                <w:szCs w:val="18"/>
              </w:rPr>
              <w:t>加强城市精细化管理，提升市民对环境的幸福感、获得感。</w:t>
            </w:r>
          </w:p>
        </w:tc>
        <w:tc>
          <w:tcPr>
            <w:tcW w:w="3395" w:type="dxa"/>
            <w:tcBorders>
              <w:tl2br w:val="nil"/>
              <w:tr2bl w:val="nil"/>
            </w:tcBorders>
            <w:vAlign w:val="center"/>
          </w:tcPr>
          <w:p w14:paraId="1706D473">
            <w:pPr>
              <w:widowControl w:val="0"/>
              <w:autoSpaceDE w:val="0"/>
              <w:autoSpaceDN w:val="0"/>
              <w:adjustRightInd w:val="0"/>
              <w:snapToGrid w:val="0"/>
              <w:ind w:firstLine="360" w:firstLineChars="200"/>
              <w:jc w:val="left"/>
              <w:rPr>
                <w:sz w:val="18"/>
                <w:szCs w:val="18"/>
              </w:rPr>
            </w:pPr>
            <w:r>
              <w:rPr>
                <w:sz w:val="18"/>
                <w:szCs w:val="18"/>
              </w:rPr>
              <w:t>项目将严格落实各项环保法规要求，确保达标排放和不饶命，不对项目周边环境造成明显不利影响。</w:t>
            </w:r>
          </w:p>
        </w:tc>
      </w:tr>
    </w:tbl>
    <w:p w14:paraId="32D7C4B3">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p>
    <w:p w14:paraId="1AA1C931">
      <w:pPr>
        <w:pStyle w:val="75"/>
        <w:adjustRightInd w:val="0"/>
        <w:snapToGrid w:val="0"/>
        <w:spacing w:line="360" w:lineRule="auto"/>
        <w:ind w:left="480" w:hanging="480" w:hanging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drawing>
          <wp:inline distT="0" distB="0" distL="114300" distR="114300">
            <wp:extent cx="5251450" cy="7423150"/>
            <wp:effectExtent l="9525" t="9525" r="15875" b="15875"/>
            <wp:docPr id="8" name="图片 8" descr="第6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第6页-1"/>
                    <pic:cNvPicPr>
                      <a:picLocks noChangeAspect="1"/>
                    </pic:cNvPicPr>
                  </pic:nvPicPr>
                  <pic:blipFill>
                    <a:blip r:embed="rId29"/>
                    <a:stretch>
                      <a:fillRect/>
                    </a:stretch>
                  </pic:blipFill>
                  <pic:spPr>
                    <a:xfrm>
                      <a:off x="0" y="0"/>
                      <a:ext cx="5251450" cy="7423150"/>
                    </a:xfrm>
                    <a:prstGeom prst="rect">
                      <a:avLst/>
                    </a:prstGeom>
                    <a:ln>
                      <a:solidFill>
                        <a:srgbClr val="92D050"/>
                      </a:solidFill>
                    </a:ln>
                  </pic:spPr>
                </pic:pic>
              </a:graphicData>
            </a:graphic>
          </wp:inline>
        </w:drawing>
      </w:r>
    </w:p>
    <w:p w14:paraId="4BB01F30">
      <w:pPr>
        <w:pStyle w:val="75"/>
        <w:adjustRightInd w:val="0"/>
        <w:snapToGrid w:val="0"/>
        <w:spacing w:line="360" w:lineRule="auto"/>
        <w:ind w:left="420" w:hanging="420" w:hangingChars="200"/>
        <w:rPr>
          <w:rFonts w:eastAsia="黑体"/>
          <w:color w:val="000000" w:themeColor="text1"/>
          <w:sz w:val="21"/>
          <w:lang w:val="en-US"/>
          <w14:textFill>
            <w14:solidFill>
              <w14:schemeClr w14:val="tx1"/>
            </w14:solidFill>
          </w14:textFill>
        </w:rPr>
      </w:pPr>
      <w:r>
        <w:rPr>
          <w:rFonts w:eastAsia="黑体"/>
          <w:color w:val="000000" w:themeColor="text1"/>
          <w:sz w:val="21"/>
          <w:lang w:val="en-US"/>
          <w14:textFill>
            <w14:solidFill>
              <w14:schemeClr w14:val="tx1"/>
            </w14:solidFill>
          </w14:textFill>
        </w:rPr>
        <w:t>图1.6-1项目与巴中市生态保护红线相对位置图</w:t>
      </w:r>
    </w:p>
    <w:p w14:paraId="3EA94BBB">
      <w:pPr>
        <w:pStyle w:val="75"/>
        <w:adjustRightInd w:val="0"/>
        <w:snapToGrid w:val="0"/>
        <w:spacing w:line="360" w:lineRule="auto"/>
        <w:ind w:firstLine="482" w:firstLineChars="200"/>
        <w:jc w:val="left"/>
        <w:rPr>
          <w:b/>
          <w:bCs/>
          <w:color w:val="000000" w:themeColor="text1"/>
          <w:kern w:val="0"/>
          <w:lang w:val="en-US" w:bidi="ar"/>
          <w14:textFill>
            <w14:solidFill>
              <w14:schemeClr w14:val="tx1"/>
            </w14:solidFill>
          </w14:textFill>
        </w:rPr>
      </w:pPr>
      <w:bookmarkStart w:id="37" w:name="bookmark92"/>
      <w:bookmarkEnd w:id="37"/>
      <w:bookmarkStart w:id="38" w:name="bookmark91"/>
      <w:bookmarkEnd w:id="38"/>
      <w:r>
        <w:rPr>
          <w:b/>
          <w:bCs/>
          <w:color w:val="000000" w:themeColor="text1"/>
          <w:kern w:val="0"/>
          <w:lang w:val="en-US" w:bidi="ar"/>
          <w14:textFill>
            <w14:solidFill>
              <w14:schemeClr w14:val="tx1"/>
            </w14:solidFill>
          </w14:textFill>
        </w:rPr>
        <w:t>（2）生态环境分区管控符合性分析</w:t>
      </w:r>
    </w:p>
    <w:p w14:paraId="7FCB0FDC">
      <w:pPr>
        <w:pStyle w:val="75"/>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kern w:val="0"/>
          <w:lang w:val="en-US" w:bidi="ar"/>
          <w14:textFill>
            <w14:solidFill>
              <w14:schemeClr w14:val="tx1"/>
            </w14:solidFill>
          </w14:textFill>
        </w:rPr>
        <w:t>《巴中市生态环境保护委员会办公室关于加强生态环境分区管控的通知》（巴环委办〔2024〕3号）要求：“在相关规划编制、产业政策制定、重大项目选址中时要将“三线一单”生态环境分区管控作为重要参考依据。各类开发建设活动要将生态保护红线、环境质量底线、资源利用上线等管控要求融入决策和实施过程，充分发挥“三线一单”的基础支撑作用，推动经济社会高质量发展。”本项目位于巴中市巴州区。</w:t>
      </w:r>
      <w:r>
        <w:rPr>
          <w:color w:val="000000" w:themeColor="text1"/>
          <w:lang w:val="en-US"/>
          <w14:textFill>
            <w14:solidFill>
              <w14:schemeClr w14:val="tx1"/>
            </w14:solidFill>
          </w14:textFill>
        </w:rPr>
        <w:t>项目肉牛养殖选址具体如下：</w:t>
      </w:r>
    </w:p>
    <w:p w14:paraId="2C2C5D57">
      <w:pPr>
        <w:pStyle w:val="75"/>
        <w:wordWrap w:val="0"/>
        <w:adjustRightInd w:val="0"/>
        <w:snapToGrid w:val="0"/>
        <w:spacing w:line="360" w:lineRule="auto"/>
        <w:ind w:firstLine="480" w:firstLineChars="200"/>
        <w:jc w:val="left"/>
        <w:rPr>
          <w:color w:val="000000" w:themeColor="text1"/>
          <w:lang w:val="en-US"/>
          <w14:textFill>
            <w14:solidFill>
              <w14:schemeClr w14:val="tx1"/>
            </w14:solidFill>
          </w14:textFill>
        </w:rPr>
      </w:pPr>
      <w:bookmarkStart w:id="39" w:name="OLE_LINK20"/>
      <w:r>
        <w:rPr>
          <w:color w:val="000000" w:themeColor="text1"/>
          <w:lang w:val="en-US"/>
          <w14:textFill>
            <w14:solidFill>
              <w14:schemeClr w14:val="tx1"/>
            </w14:solidFill>
          </w14:textFill>
        </w:rPr>
        <w:t>白庙乡百花村，经纬度坐标</w:t>
      </w:r>
      <w:bookmarkStart w:id="40" w:name="OLE_LINK79"/>
      <w:bookmarkStart w:id="41" w:name="OLE_LINK78"/>
      <w:r>
        <w:rPr>
          <w:color w:val="000000" w:themeColor="text1"/>
          <w:lang w:val="en-US"/>
          <w14:textFill>
            <w14:solidFill>
              <w14:schemeClr w14:val="tx1"/>
            </w14:solidFill>
          </w14:textFill>
        </w:rPr>
        <w:t>107.026439,31.990819</w:t>
      </w:r>
      <w:bookmarkEnd w:id="40"/>
      <w:bookmarkEnd w:id="41"/>
      <w:r>
        <w:rPr>
          <w:color w:val="000000" w:themeColor="text1"/>
          <w:lang w:val="en-US"/>
          <w14:textFill>
            <w14:solidFill>
              <w14:schemeClr w14:val="tx1"/>
            </w14:solidFill>
          </w14:textFill>
        </w:rPr>
        <w:t>；</w:t>
      </w:r>
    </w:p>
    <w:p w14:paraId="3D05942B">
      <w:pPr>
        <w:pStyle w:val="75"/>
        <w:wordWrap w:val="0"/>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曾口镇佛龙村，经纬度坐标106.836812,31.803301；</w:t>
      </w:r>
    </w:p>
    <w:p w14:paraId="1A120CFD">
      <w:pPr>
        <w:pStyle w:val="75"/>
        <w:wordWrap w:val="0"/>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清江镇塘坝村，经纬度坐标106.951904,31.859245；</w:t>
      </w:r>
    </w:p>
    <w:p w14:paraId="418917CF">
      <w:pPr>
        <w:pStyle w:val="75"/>
        <w:wordWrap w:val="0"/>
        <w:adjustRightInd w:val="0"/>
        <w:snapToGrid w:val="0"/>
        <w:spacing w:line="360" w:lineRule="auto"/>
        <w:ind w:firstLine="480" w:firstLineChars="200"/>
        <w:jc w:val="left"/>
        <w:rPr>
          <w:color w:val="000000" w:themeColor="text1"/>
          <w:lang w:val="en-US"/>
          <w14:textFill>
            <w14:solidFill>
              <w14:schemeClr w14:val="tx1"/>
            </w14:solidFill>
          </w14:textFill>
        </w:rPr>
      </w:pPr>
      <w:r>
        <w:rPr>
          <w:color w:val="000000" w:themeColor="text1"/>
          <w:lang w:val="en-US"/>
          <w14:textFill>
            <w14:solidFill>
              <w14:schemeClr w14:val="tx1"/>
            </w14:solidFill>
          </w14:textFill>
        </w:rPr>
        <w:t>水宁寺镇始宁社区，经纬度坐标106.998944,31.806439；</w:t>
      </w:r>
    </w:p>
    <w:bookmarkEnd w:id="39"/>
    <w:p w14:paraId="43632821">
      <w:pPr>
        <w:pStyle w:val="75"/>
        <w:wordWrap w:val="0"/>
        <w:adjustRightInd w:val="0"/>
        <w:snapToGrid w:val="0"/>
        <w:spacing w:line="360" w:lineRule="auto"/>
        <w:ind w:firstLine="480" w:firstLineChars="200"/>
        <w:jc w:val="left"/>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根据四川政务服务网生态环境分区管控符合性分析查询结果，项目共涉及1个生态环境管控单元和5个环境要素管控分区，查询截图如下：</w:t>
      </w:r>
    </w:p>
    <w:p w14:paraId="4E076237">
      <w:pPr>
        <w:pStyle w:val="34"/>
        <w:spacing w:line="240" w:lineRule="auto"/>
        <w:ind w:firstLine="0" w:firstLineChars="0"/>
        <w:jc w:val="center"/>
        <w:rPr>
          <w:b/>
          <w:bCs/>
          <w:color w:val="000000" w:themeColor="text1"/>
          <w:szCs w:val="21"/>
          <w14:textFill>
            <w14:solidFill>
              <w14:schemeClr w14:val="tx1"/>
            </w14:solidFill>
          </w14:textFill>
        </w:rPr>
      </w:pPr>
      <w:r>
        <w:drawing>
          <wp:inline distT="0" distB="0" distL="114300" distR="114300">
            <wp:extent cx="5255895" cy="2618740"/>
            <wp:effectExtent l="0" t="0" r="1905" b="1016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30"/>
                    <a:stretch>
                      <a:fillRect/>
                    </a:stretch>
                  </pic:blipFill>
                  <pic:spPr>
                    <a:xfrm>
                      <a:off x="0" y="0"/>
                      <a:ext cx="5255895" cy="2618740"/>
                    </a:xfrm>
                    <a:prstGeom prst="rect">
                      <a:avLst/>
                    </a:prstGeom>
                    <a:noFill/>
                    <a:ln>
                      <a:noFill/>
                    </a:ln>
                  </pic:spPr>
                </pic:pic>
              </a:graphicData>
            </a:graphic>
          </wp:inline>
        </w:drawing>
      </w:r>
    </w:p>
    <w:p w14:paraId="0C4FA4DC">
      <w:pPr>
        <w:pStyle w:val="75"/>
        <w:adjustRightInd w:val="0"/>
        <w:snapToGrid w:val="0"/>
        <w:ind w:left="420" w:hanging="420" w:hangingChars="200"/>
        <w:rPr>
          <w:rFonts w:eastAsia="黑体"/>
          <w:color w:val="000000" w:themeColor="text1"/>
          <w:sz w:val="21"/>
          <w:lang w:val="en-US"/>
          <w14:textFill>
            <w14:solidFill>
              <w14:schemeClr w14:val="tx1"/>
            </w14:solidFill>
          </w14:textFill>
        </w:rPr>
      </w:pPr>
      <w:r>
        <w:rPr>
          <w:rFonts w:eastAsia="黑体"/>
          <w:color w:val="000000" w:themeColor="text1"/>
          <w:sz w:val="21"/>
          <w:lang w:val="en-US"/>
          <w14:textFill>
            <w14:solidFill>
              <w14:schemeClr w14:val="tx1"/>
            </w14:solidFill>
          </w14:textFill>
        </w:rPr>
        <w:t>图1.6-2项目所在地“生态环境分区管控”查询结果截图</w:t>
      </w:r>
    </w:p>
    <w:p w14:paraId="66744D55">
      <w:pPr>
        <w:pStyle w:val="21"/>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drawing>
          <wp:inline distT="0" distB="0" distL="114300" distR="114300">
            <wp:extent cx="5266690" cy="2369820"/>
            <wp:effectExtent l="0" t="0" r="10160" b="11430"/>
            <wp:docPr id="3" name="图片 3" descr="地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地图 (3)"/>
                    <pic:cNvPicPr>
                      <a:picLocks noChangeAspect="1"/>
                    </pic:cNvPicPr>
                  </pic:nvPicPr>
                  <pic:blipFill>
                    <a:blip r:embed="rId31"/>
                    <a:stretch>
                      <a:fillRect/>
                    </a:stretch>
                  </pic:blipFill>
                  <pic:spPr>
                    <a:xfrm>
                      <a:off x="0" y="0"/>
                      <a:ext cx="5266690" cy="2369820"/>
                    </a:xfrm>
                    <a:prstGeom prst="rect">
                      <a:avLst/>
                    </a:prstGeom>
                  </pic:spPr>
                </pic:pic>
              </a:graphicData>
            </a:graphic>
          </wp:inline>
        </w:drawing>
      </w:r>
    </w:p>
    <w:p w14:paraId="16C7A5AD">
      <w:pPr>
        <w:pStyle w:val="75"/>
        <w:adjustRightInd w:val="0"/>
        <w:snapToGrid w:val="0"/>
        <w:ind w:left="420" w:hanging="420" w:hangingChars="200"/>
        <w:rPr>
          <w:rFonts w:eastAsia="黑体"/>
          <w:color w:val="000000" w:themeColor="text1"/>
          <w:sz w:val="21"/>
          <w:lang w:val="en-US"/>
          <w14:textFill>
            <w14:solidFill>
              <w14:schemeClr w14:val="tx1"/>
            </w14:solidFill>
          </w14:textFill>
        </w:rPr>
      </w:pPr>
      <w:r>
        <w:rPr>
          <w:rFonts w:eastAsia="黑体"/>
          <w:color w:val="000000" w:themeColor="text1"/>
          <w:sz w:val="21"/>
          <w:lang w:val="en-US"/>
          <w14:textFill>
            <w14:solidFill>
              <w14:schemeClr w14:val="tx1"/>
            </w14:solidFill>
          </w14:textFill>
        </w:rPr>
        <w:t>图1.6-3项目所在地“生态环境分区管控”查询结果导出图片</w:t>
      </w:r>
    </w:p>
    <w:p w14:paraId="042B91A1">
      <w:pPr>
        <w:rPr>
          <w:rFonts w:eastAsia="黑体"/>
          <w:color w:val="000000" w:themeColor="text1"/>
          <w14:textFill>
            <w14:solidFill>
              <w14:schemeClr w14:val="tx1"/>
            </w14:solidFill>
          </w14:textFill>
        </w:rPr>
      </w:pPr>
      <w:r>
        <w:rPr>
          <w:rFonts w:eastAsia="黑体"/>
          <w:color w:val="000000" w:themeColor="text1"/>
          <w14:textFill>
            <w14:solidFill>
              <w14:schemeClr w14:val="tx1"/>
            </w14:solidFill>
          </w14:textFill>
        </w:rPr>
        <w:br w:type="page"/>
      </w:r>
    </w:p>
    <w:p w14:paraId="167E6E4F">
      <w:pPr>
        <w:jc w:val="center"/>
        <w:rPr>
          <w:b/>
          <w:bCs/>
          <w:color w:val="000000" w:themeColor="text1"/>
          <w:szCs w:val="21"/>
          <w14:textFill>
            <w14:solidFill>
              <w14:schemeClr w14:val="tx1"/>
            </w14:solidFill>
          </w14:textFill>
        </w:rPr>
      </w:pPr>
    </w:p>
    <w:p w14:paraId="0B5A959C">
      <w:pPr>
        <w:pStyle w:val="814"/>
        <w:numPr>
          <w:ilvl w:val="0"/>
          <w:numId w:val="15"/>
        </w:numPr>
        <w:snapToGrid w:val="0"/>
        <w:rPr>
          <w:rFonts w:eastAsia="黑体"/>
          <w:bCs/>
          <w:szCs w:val="21"/>
        </w:rPr>
      </w:pPr>
      <w:r>
        <w:rPr>
          <w:rFonts w:eastAsia="黑体"/>
          <w:bCs/>
          <w:szCs w:val="21"/>
        </w:rPr>
        <w:t>项目涉及的生态环境管控单元情况表</w:t>
      </w:r>
    </w:p>
    <w:tbl>
      <w:tblPr>
        <w:tblStyle w:val="88"/>
        <w:tblW w:w="8377" w:type="dxa"/>
        <w:tblInd w:w="0" w:type="dxa"/>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Layout w:type="autofit"/>
        <w:tblCellMar>
          <w:top w:w="0" w:type="dxa"/>
          <w:left w:w="10" w:type="dxa"/>
          <w:bottom w:w="0" w:type="dxa"/>
          <w:right w:w="10" w:type="dxa"/>
        </w:tblCellMar>
      </w:tblPr>
      <w:tblGrid>
        <w:gridCol w:w="349"/>
        <w:gridCol w:w="972"/>
        <w:gridCol w:w="1546"/>
        <w:gridCol w:w="4119"/>
        <w:gridCol w:w="626"/>
        <w:gridCol w:w="765"/>
      </w:tblGrid>
      <w:tr w14:paraId="5CEDC41A">
        <w:tblPrEx>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CellMar>
            <w:top w:w="0" w:type="dxa"/>
            <w:left w:w="10" w:type="dxa"/>
            <w:bottom w:w="0" w:type="dxa"/>
            <w:right w:w="10" w:type="dxa"/>
          </w:tblCellMar>
        </w:tblPrEx>
        <w:trPr>
          <w:trHeight w:val="968" w:hRule="atLeast"/>
        </w:trPr>
        <w:tc>
          <w:tcPr>
            <w:tcW w:w="0" w:type="auto"/>
            <w:tcBorders>
              <w:tl2br w:val="nil"/>
              <w:tr2bl w:val="nil"/>
            </w:tcBorders>
            <w:tcMar>
              <w:top w:w="50" w:type="dxa"/>
              <w:left w:w="50" w:type="dxa"/>
              <w:bottom w:w="50" w:type="dxa"/>
              <w:right w:w="50" w:type="dxa"/>
            </w:tcMar>
            <w:vAlign w:val="center"/>
          </w:tcPr>
          <w:p w14:paraId="2D2A2B09">
            <w:pPr>
              <w:jc w:val="center"/>
              <w:rPr>
                <w:rFonts w:eastAsia="黑体"/>
                <w:bCs/>
                <w:sz w:val="18"/>
                <w:szCs w:val="18"/>
              </w:rPr>
            </w:pPr>
            <w:r>
              <w:rPr>
                <w:rFonts w:eastAsia="黑体"/>
                <w:bCs/>
                <w:sz w:val="18"/>
                <w:szCs w:val="18"/>
              </w:rPr>
              <w:t>序号</w:t>
            </w:r>
          </w:p>
        </w:tc>
        <w:tc>
          <w:tcPr>
            <w:tcW w:w="0" w:type="auto"/>
            <w:tcBorders>
              <w:tl2br w:val="nil"/>
              <w:tr2bl w:val="nil"/>
            </w:tcBorders>
            <w:tcMar>
              <w:top w:w="50" w:type="dxa"/>
              <w:left w:w="50" w:type="dxa"/>
              <w:bottom w:w="50" w:type="dxa"/>
              <w:right w:w="50" w:type="dxa"/>
            </w:tcMar>
            <w:vAlign w:val="center"/>
          </w:tcPr>
          <w:p w14:paraId="45C1B5EF">
            <w:pPr>
              <w:jc w:val="center"/>
              <w:rPr>
                <w:rFonts w:eastAsia="黑体"/>
                <w:bCs/>
                <w:sz w:val="18"/>
                <w:szCs w:val="18"/>
              </w:rPr>
            </w:pPr>
            <w:r>
              <w:rPr>
                <w:rFonts w:eastAsia="黑体"/>
                <w:bCs/>
                <w:sz w:val="18"/>
                <w:szCs w:val="18"/>
              </w:rPr>
              <w:t>涉及环境管控单元名称</w:t>
            </w:r>
          </w:p>
        </w:tc>
        <w:tc>
          <w:tcPr>
            <w:tcW w:w="0" w:type="auto"/>
            <w:tcBorders>
              <w:tl2br w:val="nil"/>
              <w:tr2bl w:val="nil"/>
            </w:tcBorders>
            <w:tcMar>
              <w:top w:w="50" w:type="dxa"/>
              <w:left w:w="50" w:type="dxa"/>
              <w:bottom w:w="50" w:type="dxa"/>
              <w:right w:w="50" w:type="dxa"/>
            </w:tcMar>
            <w:vAlign w:val="center"/>
          </w:tcPr>
          <w:p w14:paraId="336D7E79">
            <w:pPr>
              <w:jc w:val="center"/>
              <w:rPr>
                <w:rFonts w:eastAsia="黑体"/>
                <w:bCs/>
                <w:sz w:val="18"/>
                <w:szCs w:val="18"/>
              </w:rPr>
            </w:pPr>
            <w:r>
              <w:rPr>
                <w:rFonts w:eastAsia="黑体"/>
                <w:bCs/>
                <w:sz w:val="18"/>
                <w:szCs w:val="18"/>
              </w:rPr>
              <w:t>涉及环境管控单元编码</w:t>
            </w:r>
          </w:p>
        </w:tc>
        <w:tc>
          <w:tcPr>
            <w:tcW w:w="0" w:type="auto"/>
            <w:tcBorders>
              <w:tl2br w:val="nil"/>
              <w:tr2bl w:val="nil"/>
            </w:tcBorders>
            <w:tcMar>
              <w:top w:w="50" w:type="dxa"/>
              <w:left w:w="50" w:type="dxa"/>
              <w:bottom w:w="50" w:type="dxa"/>
              <w:right w:w="50" w:type="dxa"/>
            </w:tcMar>
            <w:vAlign w:val="center"/>
          </w:tcPr>
          <w:p w14:paraId="0A99A9F9">
            <w:pPr>
              <w:jc w:val="center"/>
              <w:rPr>
                <w:rFonts w:eastAsia="黑体"/>
                <w:bCs/>
                <w:sz w:val="18"/>
                <w:szCs w:val="18"/>
              </w:rPr>
            </w:pPr>
            <w:r>
              <w:rPr>
                <w:rFonts w:eastAsia="黑体"/>
                <w:bCs/>
                <w:sz w:val="18"/>
                <w:szCs w:val="18"/>
              </w:rPr>
              <w:t>与管控单元关系（点选：点位信息；线选：相交长度,单位千米；面选：相交面积，单位平方千米）</w:t>
            </w:r>
          </w:p>
        </w:tc>
        <w:tc>
          <w:tcPr>
            <w:tcW w:w="0" w:type="auto"/>
            <w:tcBorders>
              <w:tl2br w:val="nil"/>
              <w:tr2bl w:val="nil"/>
            </w:tcBorders>
            <w:tcMar>
              <w:top w:w="50" w:type="dxa"/>
              <w:left w:w="50" w:type="dxa"/>
              <w:bottom w:w="50" w:type="dxa"/>
              <w:right w:w="50" w:type="dxa"/>
            </w:tcMar>
            <w:vAlign w:val="center"/>
          </w:tcPr>
          <w:p w14:paraId="441A69E8">
            <w:pPr>
              <w:jc w:val="center"/>
              <w:rPr>
                <w:rFonts w:eastAsia="黑体"/>
                <w:bCs/>
                <w:sz w:val="18"/>
                <w:szCs w:val="18"/>
              </w:rPr>
            </w:pPr>
            <w:r>
              <w:rPr>
                <w:rFonts w:eastAsia="黑体"/>
                <w:bCs/>
                <w:sz w:val="18"/>
                <w:szCs w:val="18"/>
              </w:rPr>
              <w:t>行政区划</w:t>
            </w:r>
          </w:p>
        </w:tc>
        <w:tc>
          <w:tcPr>
            <w:tcW w:w="0" w:type="auto"/>
            <w:tcBorders>
              <w:tl2br w:val="nil"/>
              <w:tr2bl w:val="nil"/>
            </w:tcBorders>
            <w:tcMar>
              <w:top w:w="50" w:type="dxa"/>
              <w:left w:w="50" w:type="dxa"/>
              <w:bottom w:w="50" w:type="dxa"/>
              <w:right w:w="50" w:type="dxa"/>
            </w:tcMar>
            <w:vAlign w:val="center"/>
          </w:tcPr>
          <w:p w14:paraId="445DC8D1">
            <w:pPr>
              <w:jc w:val="center"/>
              <w:rPr>
                <w:rFonts w:eastAsia="黑体"/>
                <w:bCs/>
                <w:sz w:val="18"/>
                <w:szCs w:val="18"/>
              </w:rPr>
            </w:pPr>
            <w:r>
              <w:rPr>
                <w:rFonts w:eastAsia="黑体"/>
                <w:bCs/>
                <w:sz w:val="18"/>
                <w:szCs w:val="18"/>
              </w:rPr>
              <w:t>环境管控单元类型</w:t>
            </w:r>
          </w:p>
        </w:tc>
      </w:tr>
      <w:tr w14:paraId="388F8F35">
        <w:tblPrEx>
          <w:tblBorders>
            <w:top w:val="single" w:color="000000" w:sz="12" w:space="0"/>
            <w:left w:val="none" w:color="auto" w:sz="0" w:space="0"/>
            <w:bottom w:val="single" w:color="000000" w:sz="12" w:space="0"/>
            <w:right w:val="none" w:color="auto" w:sz="0" w:space="0"/>
            <w:insideH w:val="single" w:color="000000" w:sz="12" w:space="0"/>
            <w:insideV w:val="single" w:color="000000" w:sz="4" w:space="0"/>
          </w:tblBorders>
          <w:tblCellMar>
            <w:top w:w="0" w:type="dxa"/>
            <w:left w:w="10" w:type="dxa"/>
            <w:bottom w:w="0" w:type="dxa"/>
            <w:right w:w="10" w:type="dxa"/>
          </w:tblCellMar>
        </w:tblPrEx>
        <w:trPr>
          <w:trHeight w:val="1074" w:hRule="atLeast"/>
        </w:trPr>
        <w:tc>
          <w:tcPr>
            <w:tcW w:w="0" w:type="auto"/>
            <w:tcBorders>
              <w:tl2br w:val="nil"/>
              <w:tr2bl w:val="nil"/>
            </w:tcBorders>
            <w:tcMar>
              <w:top w:w="50" w:type="dxa"/>
              <w:left w:w="50" w:type="dxa"/>
              <w:bottom w:w="50" w:type="dxa"/>
              <w:right w:w="50" w:type="dxa"/>
            </w:tcMar>
            <w:vAlign w:val="center"/>
          </w:tcPr>
          <w:p w14:paraId="288912E8">
            <w:pPr>
              <w:jc w:val="center"/>
              <w:rPr>
                <w:sz w:val="18"/>
                <w:szCs w:val="18"/>
              </w:rPr>
            </w:pPr>
            <w:r>
              <w:rPr>
                <w:sz w:val="18"/>
                <w:szCs w:val="18"/>
              </w:rPr>
              <w:t>1</w:t>
            </w:r>
          </w:p>
        </w:tc>
        <w:tc>
          <w:tcPr>
            <w:tcW w:w="0" w:type="auto"/>
            <w:tcBorders>
              <w:tl2br w:val="nil"/>
              <w:tr2bl w:val="nil"/>
            </w:tcBorders>
            <w:tcMar>
              <w:top w:w="50" w:type="dxa"/>
              <w:left w:w="50" w:type="dxa"/>
              <w:bottom w:w="50" w:type="dxa"/>
              <w:right w:w="50" w:type="dxa"/>
            </w:tcMar>
            <w:vAlign w:val="center"/>
          </w:tcPr>
          <w:p w14:paraId="2DA7129E">
            <w:pPr>
              <w:jc w:val="center"/>
              <w:rPr>
                <w:sz w:val="18"/>
                <w:szCs w:val="18"/>
              </w:rPr>
            </w:pPr>
            <w:r>
              <w:rPr>
                <w:sz w:val="18"/>
                <w:szCs w:val="18"/>
              </w:rPr>
              <w:t>巴州区要素重点管控单元</w:t>
            </w:r>
          </w:p>
        </w:tc>
        <w:tc>
          <w:tcPr>
            <w:tcW w:w="0" w:type="auto"/>
            <w:tcBorders>
              <w:tl2br w:val="nil"/>
              <w:tr2bl w:val="nil"/>
            </w:tcBorders>
            <w:tcMar>
              <w:top w:w="50" w:type="dxa"/>
              <w:left w:w="50" w:type="dxa"/>
              <w:bottom w:w="50" w:type="dxa"/>
              <w:right w:w="50" w:type="dxa"/>
            </w:tcMar>
            <w:vAlign w:val="center"/>
          </w:tcPr>
          <w:p w14:paraId="7D82040C">
            <w:pPr>
              <w:jc w:val="center"/>
              <w:rPr>
                <w:sz w:val="18"/>
                <w:szCs w:val="18"/>
              </w:rPr>
            </w:pPr>
            <w:r>
              <w:rPr>
                <w:sz w:val="18"/>
                <w:szCs w:val="18"/>
              </w:rPr>
              <w:t>ZH51190220007</w:t>
            </w:r>
          </w:p>
        </w:tc>
        <w:tc>
          <w:tcPr>
            <w:tcW w:w="0" w:type="auto"/>
            <w:tcBorders>
              <w:tl2br w:val="nil"/>
              <w:tr2bl w:val="nil"/>
            </w:tcBorders>
            <w:tcMar>
              <w:top w:w="50" w:type="dxa"/>
              <w:left w:w="50" w:type="dxa"/>
              <w:bottom w:w="50" w:type="dxa"/>
              <w:right w:w="50" w:type="dxa"/>
            </w:tcMar>
            <w:vAlign w:val="center"/>
          </w:tcPr>
          <w:p w14:paraId="7FE23997">
            <w:pPr>
              <w:jc w:val="center"/>
              <w:rPr>
                <w:sz w:val="18"/>
                <w:szCs w:val="18"/>
              </w:rPr>
            </w:pPr>
            <w:r>
              <w:rPr>
                <w:color w:val="000000" w:themeColor="text1"/>
                <w:sz w:val="18"/>
                <w:szCs w:val="18"/>
                <w14:textFill>
                  <w14:solidFill>
                    <w14:schemeClr w14:val="tx1"/>
                  </w14:solidFill>
                </w14:textFill>
              </w:rPr>
              <w:t>[106.836812 31.803301,106.951904 31.859245,106.998944 31.806439, 107.026439 31.990819]</w:t>
            </w:r>
          </w:p>
        </w:tc>
        <w:tc>
          <w:tcPr>
            <w:tcW w:w="0" w:type="auto"/>
            <w:tcBorders>
              <w:tl2br w:val="nil"/>
              <w:tr2bl w:val="nil"/>
            </w:tcBorders>
            <w:tcMar>
              <w:top w:w="50" w:type="dxa"/>
              <w:left w:w="50" w:type="dxa"/>
              <w:bottom w:w="50" w:type="dxa"/>
              <w:right w:w="50" w:type="dxa"/>
            </w:tcMar>
            <w:vAlign w:val="center"/>
          </w:tcPr>
          <w:p w14:paraId="24C8522A">
            <w:pPr>
              <w:jc w:val="center"/>
              <w:rPr>
                <w:sz w:val="18"/>
                <w:szCs w:val="18"/>
              </w:rPr>
            </w:pPr>
            <w:r>
              <w:rPr>
                <w:sz w:val="18"/>
                <w:szCs w:val="18"/>
              </w:rPr>
              <w:t>巴中市巴州区</w:t>
            </w:r>
          </w:p>
        </w:tc>
        <w:tc>
          <w:tcPr>
            <w:tcW w:w="0" w:type="auto"/>
            <w:tcBorders>
              <w:tl2br w:val="nil"/>
              <w:tr2bl w:val="nil"/>
            </w:tcBorders>
            <w:tcMar>
              <w:top w:w="50" w:type="dxa"/>
              <w:left w:w="50" w:type="dxa"/>
              <w:bottom w:w="50" w:type="dxa"/>
              <w:right w:w="50" w:type="dxa"/>
            </w:tcMar>
            <w:vAlign w:val="center"/>
          </w:tcPr>
          <w:p w14:paraId="3404D5EC">
            <w:pPr>
              <w:jc w:val="center"/>
              <w:rPr>
                <w:sz w:val="18"/>
                <w:szCs w:val="18"/>
              </w:rPr>
            </w:pPr>
            <w:r>
              <w:rPr>
                <w:sz w:val="18"/>
                <w:szCs w:val="18"/>
              </w:rPr>
              <w:t>要素重点管控单元</w:t>
            </w:r>
          </w:p>
        </w:tc>
      </w:tr>
    </w:tbl>
    <w:p w14:paraId="7675C13D">
      <w:pPr>
        <w:pStyle w:val="814"/>
        <w:numPr>
          <w:ilvl w:val="0"/>
          <w:numId w:val="15"/>
        </w:numPr>
        <w:snapToGrid w:val="0"/>
        <w:rPr>
          <w:rFonts w:eastAsia="黑体"/>
          <w:bCs/>
          <w:szCs w:val="21"/>
        </w:rPr>
      </w:pPr>
      <w:r>
        <w:rPr>
          <w:rFonts w:eastAsia="黑体"/>
          <w:bCs/>
          <w:szCs w:val="21"/>
        </w:rPr>
        <w:t>项目涉及的环境要素管控分区情况表</w:t>
      </w:r>
    </w:p>
    <w:tbl>
      <w:tblPr>
        <w:tblStyle w:val="88"/>
        <w:tblW w:w="8417"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 w:type="dxa"/>
          <w:bottom w:w="0" w:type="dxa"/>
          <w:right w:w="10" w:type="dxa"/>
        </w:tblCellMar>
      </w:tblPr>
      <w:tblGrid>
        <w:gridCol w:w="551"/>
        <w:gridCol w:w="2205"/>
        <w:gridCol w:w="2010"/>
        <w:gridCol w:w="1050"/>
        <w:gridCol w:w="930"/>
        <w:gridCol w:w="1671"/>
      </w:tblGrid>
      <w:tr w14:paraId="0A1AF6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692" w:hRule="atLeast"/>
        </w:trPr>
        <w:tc>
          <w:tcPr>
            <w:tcW w:w="551" w:type="dxa"/>
            <w:tcBorders>
              <w:bottom w:val="single" w:color="000000" w:sz="12" w:space="0"/>
            </w:tcBorders>
            <w:tcMar>
              <w:top w:w="50" w:type="dxa"/>
              <w:left w:w="50" w:type="dxa"/>
              <w:bottom w:w="50" w:type="dxa"/>
              <w:right w:w="50" w:type="dxa"/>
            </w:tcMar>
            <w:vAlign w:val="center"/>
          </w:tcPr>
          <w:p w14:paraId="1E832AF6">
            <w:pPr>
              <w:jc w:val="center"/>
              <w:rPr>
                <w:rFonts w:eastAsia="黑体"/>
                <w:bCs/>
                <w:sz w:val="18"/>
                <w:szCs w:val="18"/>
              </w:rPr>
            </w:pPr>
            <w:r>
              <w:rPr>
                <w:rFonts w:eastAsia="黑体"/>
                <w:bCs/>
                <w:sz w:val="18"/>
                <w:szCs w:val="18"/>
              </w:rPr>
              <w:t>序号</w:t>
            </w:r>
          </w:p>
        </w:tc>
        <w:tc>
          <w:tcPr>
            <w:tcW w:w="2205" w:type="dxa"/>
            <w:tcBorders>
              <w:bottom w:val="single" w:color="000000" w:sz="12" w:space="0"/>
            </w:tcBorders>
            <w:tcMar>
              <w:top w:w="50" w:type="dxa"/>
              <w:left w:w="50" w:type="dxa"/>
              <w:bottom w:w="50" w:type="dxa"/>
              <w:right w:w="50" w:type="dxa"/>
            </w:tcMar>
            <w:vAlign w:val="center"/>
          </w:tcPr>
          <w:p w14:paraId="2913E521">
            <w:pPr>
              <w:jc w:val="center"/>
              <w:rPr>
                <w:rFonts w:eastAsia="黑体"/>
                <w:bCs/>
                <w:sz w:val="18"/>
                <w:szCs w:val="18"/>
              </w:rPr>
            </w:pPr>
            <w:r>
              <w:rPr>
                <w:rFonts w:eastAsia="黑体"/>
                <w:bCs/>
                <w:sz w:val="18"/>
                <w:szCs w:val="18"/>
              </w:rPr>
              <w:t>涉及环境要素管控分区名称</w:t>
            </w:r>
          </w:p>
        </w:tc>
        <w:tc>
          <w:tcPr>
            <w:tcW w:w="2010" w:type="dxa"/>
            <w:tcBorders>
              <w:bottom w:val="single" w:color="000000" w:sz="12" w:space="0"/>
            </w:tcBorders>
            <w:tcMar>
              <w:top w:w="50" w:type="dxa"/>
              <w:left w:w="50" w:type="dxa"/>
              <w:bottom w:w="50" w:type="dxa"/>
              <w:right w:w="50" w:type="dxa"/>
            </w:tcMar>
            <w:vAlign w:val="center"/>
          </w:tcPr>
          <w:p w14:paraId="7B49DA95">
            <w:pPr>
              <w:jc w:val="center"/>
              <w:rPr>
                <w:rFonts w:eastAsia="黑体"/>
                <w:bCs/>
                <w:sz w:val="18"/>
                <w:szCs w:val="18"/>
              </w:rPr>
            </w:pPr>
            <w:r>
              <w:rPr>
                <w:rFonts w:eastAsia="黑体"/>
                <w:bCs/>
                <w:sz w:val="18"/>
                <w:szCs w:val="18"/>
              </w:rPr>
              <w:t>涉及环境要素管控分区编码</w:t>
            </w:r>
          </w:p>
        </w:tc>
        <w:tc>
          <w:tcPr>
            <w:tcW w:w="1050" w:type="dxa"/>
            <w:tcBorders>
              <w:bottom w:val="single" w:color="000000" w:sz="12" w:space="0"/>
            </w:tcBorders>
            <w:tcMar>
              <w:top w:w="50" w:type="dxa"/>
              <w:left w:w="50" w:type="dxa"/>
              <w:bottom w:w="50" w:type="dxa"/>
              <w:right w:w="50" w:type="dxa"/>
            </w:tcMar>
            <w:vAlign w:val="center"/>
          </w:tcPr>
          <w:p w14:paraId="5B537DCA">
            <w:pPr>
              <w:jc w:val="center"/>
              <w:rPr>
                <w:rFonts w:eastAsia="黑体"/>
                <w:bCs/>
                <w:sz w:val="18"/>
                <w:szCs w:val="18"/>
              </w:rPr>
            </w:pPr>
            <w:r>
              <w:rPr>
                <w:rFonts w:eastAsia="黑体"/>
                <w:bCs/>
                <w:sz w:val="18"/>
                <w:szCs w:val="18"/>
              </w:rPr>
              <w:t>行政区划</w:t>
            </w:r>
          </w:p>
        </w:tc>
        <w:tc>
          <w:tcPr>
            <w:tcW w:w="930" w:type="dxa"/>
            <w:tcBorders>
              <w:bottom w:val="single" w:color="000000" w:sz="12" w:space="0"/>
            </w:tcBorders>
            <w:tcMar>
              <w:top w:w="50" w:type="dxa"/>
              <w:left w:w="50" w:type="dxa"/>
              <w:bottom w:w="50" w:type="dxa"/>
              <w:right w:w="50" w:type="dxa"/>
            </w:tcMar>
            <w:vAlign w:val="center"/>
          </w:tcPr>
          <w:p w14:paraId="2D0D8B5F">
            <w:pPr>
              <w:jc w:val="center"/>
              <w:rPr>
                <w:rFonts w:eastAsia="黑体"/>
                <w:bCs/>
                <w:sz w:val="18"/>
                <w:szCs w:val="18"/>
              </w:rPr>
            </w:pPr>
            <w:r>
              <w:rPr>
                <w:rFonts w:eastAsia="黑体"/>
                <w:bCs/>
                <w:sz w:val="18"/>
                <w:szCs w:val="18"/>
              </w:rPr>
              <w:t>环境要素类型</w:t>
            </w:r>
          </w:p>
        </w:tc>
        <w:tc>
          <w:tcPr>
            <w:tcW w:w="1671" w:type="dxa"/>
            <w:tcBorders>
              <w:bottom w:val="single" w:color="000000" w:sz="12" w:space="0"/>
            </w:tcBorders>
            <w:tcMar>
              <w:top w:w="50" w:type="dxa"/>
              <w:left w:w="50" w:type="dxa"/>
              <w:bottom w:w="50" w:type="dxa"/>
              <w:right w:w="50" w:type="dxa"/>
            </w:tcMar>
            <w:vAlign w:val="center"/>
          </w:tcPr>
          <w:p w14:paraId="7BA87EF2">
            <w:pPr>
              <w:jc w:val="center"/>
              <w:rPr>
                <w:rFonts w:eastAsia="黑体"/>
                <w:bCs/>
                <w:sz w:val="18"/>
                <w:szCs w:val="18"/>
              </w:rPr>
            </w:pPr>
            <w:r>
              <w:rPr>
                <w:rFonts w:eastAsia="黑体"/>
                <w:bCs/>
                <w:sz w:val="18"/>
                <w:szCs w:val="18"/>
              </w:rPr>
              <w:t>环境要素细类</w:t>
            </w:r>
          </w:p>
        </w:tc>
      </w:tr>
      <w:tr w14:paraId="4D3F4CD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652" w:hRule="atLeast"/>
        </w:trPr>
        <w:tc>
          <w:tcPr>
            <w:tcW w:w="551" w:type="dxa"/>
            <w:tcBorders>
              <w:top w:val="single" w:color="000000" w:sz="12" w:space="0"/>
              <w:tl2br w:val="nil"/>
              <w:tr2bl w:val="nil"/>
            </w:tcBorders>
            <w:tcMar>
              <w:top w:w="50" w:type="dxa"/>
              <w:left w:w="50" w:type="dxa"/>
              <w:bottom w:w="50" w:type="dxa"/>
              <w:right w:w="50" w:type="dxa"/>
            </w:tcMar>
            <w:vAlign w:val="center"/>
          </w:tcPr>
          <w:p w14:paraId="475D954E">
            <w:pPr>
              <w:jc w:val="center"/>
              <w:rPr>
                <w:sz w:val="18"/>
                <w:szCs w:val="18"/>
              </w:rPr>
            </w:pPr>
            <w:r>
              <w:rPr>
                <w:sz w:val="18"/>
                <w:szCs w:val="18"/>
              </w:rPr>
              <w:t>1</w:t>
            </w:r>
          </w:p>
        </w:tc>
        <w:tc>
          <w:tcPr>
            <w:tcW w:w="2205" w:type="dxa"/>
            <w:tcBorders>
              <w:top w:val="single" w:color="000000" w:sz="12" w:space="0"/>
              <w:tl2br w:val="nil"/>
              <w:tr2bl w:val="nil"/>
            </w:tcBorders>
            <w:tcMar>
              <w:top w:w="50" w:type="dxa"/>
              <w:left w:w="50" w:type="dxa"/>
              <w:bottom w:w="50" w:type="dxa"/>
              <w:right w:w="50" w:type="dxa"/>
            </w:tcMar>
            <w:vAlign w:val="center"/>
          </w:tcPr>
          <w:p w14:paraId="6C35A999">
            <w:pPr>
              <w:jc w:val="center"/>
              <w:rPr>
                <w:sz w:val="18"/>
                <w:szCs w:val="18"/>
              </w:rPr>
            </w:pPr>
            <w:r>
              <w:rPr>
                <w:sz w:val="18"/>
                <w:szCs w:val="18"/>
              </w:rPr>
              <w:t>巴州区大气环境布局敏感重点管控区</w:t>
            </w:r>
          </w:p>
        </w:tc>
        <w:tc>
          <w:tcPr>
            <w:tcW w:w="2010" w:type="dxa"/>
            <w:tcBorders>
              <w:top w:val="single" w:color="000000" w:sz="12" w:space="0"/>
              <w:tl2br w:val="nil"/>
              <w:tr2bl w:val="nil"/>
            </w:tcBorders>
            <w:tcMar>
              <w:top w:w="50" w:type="dxa"/>
              <w:left w:w="50" w:type="dxa"/>
              <w:bottom w:w="50" w:type="dxa"/>
              <w:right w:w="50" w:type="dxa"/>
            </w:tcMar>
            <w:vAlign w:val="center"/>
          </w:tcPr>
          <w:p w14:paraId="61B851BC">
            <w:pPr>
              <w:jc w:val="center"/>
              <w:rPr>
                <w:sz w:val="18"/>
                <w:szCs w:val="18"/>
              </w:rPr>
            </w:pPr>
            <w:r>
              <w:rPr>
                <w:sz w:val="18"/>
                <w:szCs w:val="18"/>
              </w:rPr>
              <w:t>YS5119022320001</w:t>
            </w:r>
          </w:p>
        </w:tc>
        <w:tc>
          <w:tcPr>
            <w:tcW w:w="1050" w:type="dxa"/>
            <w:tcBorders>
              <w:top w:val="single" w:color="000000" w:sz="12" w:space="0"/>
              <w:tl2br w:val="nil"/>
              <w:tr2bl w:val="nil"/>
            </w:tcBorders>
            <w:tcMar>
              <w:top w:w="50" w:type="dxa"/>
              <w:left w:w="50" w:type="dxa"/>
              <w:bottom w:w="50" w:type="dxa"/>
              <w:right w:w="50" w:type="dxa"/>
            </w:tcMar>
            <w:vAlign w:val="center"/>
          </w:tcPr>
          <w:p w14:paraId="77247C93">
            <w:pPr>
              <w:jc w:val="center"/>
              <w:rPr>
                <w:sz w:val="18"/>
                <w:szCs w:val="18"/>
              </w:rPr>
            </w:pPr>
            <w:r>
              <w:rPr>
                <w:sz w:val="18"/>
                <w:szCs w:val="18"/>
              </w:rPr>
              <w:t>巴中市巴州区</w:t>
            </w:r>
          </w:p>
        </w:tc>
        <w:tc>
          <w:tcPr>
            <w:tcW w:w="930" w:type="dxa"/>
            <w:tcBorders>
              <w:top w:val="single" w:color="000000" w:sz="12" w:space="0"/>
              <w:tl2br w:val="nil"/>
              <w:tr2bl w:val="nil"/>
            </w:tcBorders>
            <w:tcMar>
              <w:top w:w="50" w:type="dxa"/>
              <w:left w:w="50" w:type="dxa"/>
              <w:bottom w:w="50" w:type="dxa"/>
              <w:right w:w="50" w:type="dxa"/>
            </w:tcMar>
            <w:vAlign w:val="center"/>
          </w:tcPr>
          <w:p w14:paraId="4DCC0717">
            <w:pPr>
              <w:jc w:val="center"/>
              <w:rPr>
                <w:sz w:val="18"/>
                <w:szCs w:val="18"/>
              </w:rPr>
            </w:pPr>
            <w:r>
              <w:rPr>
                <w:sz w:val="18"/>
                <w:szCs w:val="18"/>
              </w:rPr>
              <w:t>大气</w:t>
            </w:r>
          </w:p>
        </w:tc>
        <w:tc>
          <w:tcPr>
            <w:tcW w:w="1671" w:type="dxa"/>
            <w:tcBorders>
              <w:top w:val="single" w:color="000000" w:sz="12" w:space="0"/>
              <w:tl2br w:val="nil"/>
              <w:tr2bl w:val="nil"/>
            </w:tcBorders>
            <w:tcMar>
              <w:top w:w="50" w:type="dxa"/>
              <w:left w:w="50" w:type="dxa"/>
              <w:bottom w:w="50" w:type="dxa"/>
              <w:right w:w="50" w:type="dxa"/>
            </w:tcMar>
            <w:vAlign w:val="center"/>
          </w:tcPr>
          <w:p w14:paraId="2738E894">
            <w:pPr>
              <w:jc w:val="center"/>
              <w:rPr>
                <w:sz w:val="18"/>
                <w:szCs w:val="18"/>
              </w:rPr>
            </w:pPr>
            <w:r>
              <w:rPr>
                <w:sz w:val="18"/>
                <w:szCs w:val="18"/>
              </w:rPr>
              <w:t>大气环境布局敏感重点管控区</w:t>
            </w:r>
          </w:p>
        </w:tc>
      </w:tr>
      <w:tr w14:paraId="00F16B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337" w:hRule="atLeast"/>
        </w:trPr>
        <w:tc>
          <w:tcPr>
            <w:tcW w:w="551" w:type="dxa"/>
            <w:tcBorders>
              <w:tl2br w:val="nil"/>
              <w:tr2bl w:val="nil"/>
            </w:tcBorders>
            <w:tcMar>
              <w:top w:w="50" w:type="dxa"/>
              <w:left w:w="50" w:type="dxa"/>
              <w:bottom w:w="50" w:type="dxa"/>
              <w:right w:w="50" w:type="dxa"/>
            </w:tcMar>
            <w:vAlign w:val="center"/>
          </w:tcPr>
          <w:p w14:paraId="107363C5">
            <w:pPr>
              <w:jc w:val="center"/>
              <w:rPr>
                <w:sz w:val="18"/>
                <w:szCs w:val="18"/>
              </w:rPr>
            </w:pPr>
            <w:r>
              <w:rPr>
                <w:sz w:val="18"/>
                <w:szCs w:val="18"/>
              </w:rPr>
              <w:t>2</w:t>
            </w:r>
          </w:p>
        </w:tc>
        <w:tc>
          <w:tcPr>
            <w:tcW w:w="2205" w:type="dxa"/>
            <w:tcBorders>
              <w:tl2br w:val="nil"/>
              <w:tr2bl w:val="nil"/>
            </w:tcBorders>
            <w:tcMar>
              <w:top w:w="50" w:type="dxa"/>
              <w:left w:w="50" w:type="dxa"/>
              <w:bottom w:w="50" w:type="dxa"/>
              <w:right w:w="50" w:type="dxa"/>
            </w:tcMar>
            <w:vAlign w:val="center"/>
          </w:tcPr>
          <w:p w14:paraId="35C72E9F">
            <w:pPr>
              <w:jc w:val="center"/>
              <w:rPr>
                <w:sz w:val="18"/>
                <w:szCs w:val="18"/>
              </w:rPr>
            </w:pPr>
            <w:r>
              <w:rPr>
                <w:sz w:val="18"/>
                <w:szCs w:val="18"/>
              </w:rPr>
              <w:t>巴州区其他区域</w:t>
            </w:r>
          </w:p>
        </w:tc>
        <w:tc>
          <w:tcPr>
            <w:tcW w:w="2010" w:type="dxa"/>
            <w:tcBorders>
              <w:tl2br w:val="nil"/>
              <w:tr2bl w:val="nil"/>
            </w:tcBorders>
            <w:tcMar>
              <w:top w:w="50" w:type="dxa"/>
              <w:left w:w="50" w:type="dxa"/>
              <w:bottom w:w="50" w:type="dxa"/>
              <w:right w:w="50" w:type="dxa"/>
            </w:tcMar>
            <w:vAlign w:val="center"/>
          </w:tcPr>
          <w:p w14:paraId="35544A20">
            <w:pPr>
              <w:jc w:val="center"/>
              <w:rPr>
                <w:sz w:val="18"/>
                <w:szCs w:val="18"/>
              </w:rPr>
            </w:pPr>
            <w:r>
              <w:rPr>
                <w:sz w:val="18"/>
                <w:szCs w:val="18"/>
              </w:rPr>
              <w:t>YS5119023110001</w:t>
            </w:r>
          </w:p>
        </w:tc>
        <w:tc>
          <w:tcPr>
            <w:tcW w:w="1050" w:type="dxa"/>
            <w:tcBorders>
              <w:tl2br w:val="nil"/>
              <w:tr2bl w:val="nil"/>
            </w:tcBorders>
            <w:tcMar>
              <w:top w:w="50" w:type="dxa"/>
              <w:left w:w="50" w:type="dxa"/>
              <w:bottom w:w="50" w:type="dxa"/>
              <w:right w:w="50" w:type="dxa"/>
            </w:tcMar>
            <w:vAlign w:val="center"/>
          </w:tcPr>
          <w:p w14:paraId="7DAC8896">
            <w:pPr>
              <w:jc w:val="center"/>
              <w:rPr>
                <w:sz w:val="18"/>
                <w:szCs w:val="18"/>
              </w:rPr>
            </w:pPr>
            <w:r>
              <w:rPr>
                <w:sz w:val="18"/>
                <w:szCs w:val="18"/>
              </w:rPr>
              <w:t>巴中市巴州区</w:t>
            </w:r>
          </w:p>
        </w:tc>
        <w:tc>
          <w:tcPr>
            <w:tcW w:w="930" w:type="dxa"/>
            <w:tcBorders>
              <w:tl2br w:val="nil"/>
              <w:tr2bl w:val="nil"/>
            </w:tcBorders>
            <w:tcMar>
              <w:top w:w="50" w:type="dxa"/>
              <w:left w:w="50" w:type="dxa"/>
              <w:bottom w:w="50" w:type="dxa"/>
              <w:right w:w="50" w:type="dxa"/>
            </w:tcMar>
            <w:vAlign w:val="center"/>
          </w:tcPr>
          <w:p w14:paraId="5F00CFF6">
            <w:pPr>
              <w:jc w:val="center"/>
              <w:rPr>
                <w:sz w:val="18"/>
                <w:szCs w:val="18"/>
              </w:rPr>
            </w:pPr>
            <w:r>
              <w:rPr>
                <w:sz w:val="18"/>
                <w:szCs w:val="18"/>
              </w:rPr>
              <w:t>生态</w:t>
            </w:r>
          </w:p>
        </w:tc>
        <w:tc>
          <w:tcPr>
            <w:tcW w:w="1671" w:type="dxa"/>
            <w:tcBorders>
              <w:tl2br w:val="nil"/>
              <w:tr2bl w:val="nil"/>
            </w:tcBorders>
            <w:tcMar>
              <w:top w:w="50" w:type="dxa"/>
              <w:left w:w="50" w:type="dxa"/>
              <w:bottom w:w="50" w:type="dxa"/>
              <w:right w:w="50" w:type="dxa"/>
            </w:tcMar>
            <w:vAlign w:val="center"/>
          </w:tcPr>
          <w:p w14:paraId="3D36F8BE">
            <w:pPr>
              <w:jc w:val="center"/>
              <w:rPr>
                <w:sz w:val="18"/>
                <w:szCs w:val="18"/>
              </w:rPr>
            </w:pPr>
            <w:r>
              <w:rPr>
                <w:sz w:val="18"/>
                <w:szCs w:val="18"/>
              </w:rPr>
              <w:t>一般管控区</w:t>
            </w:r>
          </w:p>
        </w:tc>
      </w:tr>
      <w:tr w14:paraId="0DBD44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457" w:hRule="atLeast"/>
        </w:trPr>
        <w:tc>
          <w:tcPr>
            <w:tcW w:w="551" w:type="dxa"/>
            <w:tcBorders>
              <w:tl2br w:val="nil"/>
              <w:tr2bl w:val="nil"/>
            </w:tcBorders>
            <w:tcMar>
              <w:top w:w="50" w:type="dxa"/>
              <w:left w:w="50" w:type="dxa"/>
              <w:bottom w:w="50" w:type="dxa"/>
              <w:right w:w="50" w:type="dxa"/>
            </w:tcMar>
            <w:vAlign w:val="center"/>
          </w:tcPr>
          <w:p w14:paraId="48C2D047">
            <w:pPr>
              <w:jc w:val="center"/>
              <w:rPr>
                <w:sz w:val="18"/>
                <w:szCs w:val="18"/>
              </w:rPr>
            </w:pPr>
            <w:r>
              <w:rPr>
                <w:sz w:val="18"/>
                <w:szCs w:val="18"/>
              </w:rPr>
              <w:t>3</w:t>
            </w:r>
          </w:p>
        </w:tc>
        <w:tc>
          <w:tcPr>
            <w:tcW w:w="2205" w:type="dxa"/>
            <w:tcBorders>
              <w:tl2br w:val="nil"/>
              <w:tr2bl w:val="nil"/>
            </w:tcBorders>
            <w:tcMar>
              <w:top w:w="50" w:type="dxa"/>
              <w:left w:w="50" w:type="dxa"/>
              <w:bottom w:w="50" w:type="dxa"/>
              <w:right w:w="50" w:type="dxa"/>
            </w:tcMar>
            <w:vAlign w:val="center"/>
          </w:tcPr>
          <w:p w14:paraId="74BCFDF8">
            <w:pPr>
              <w:jc w:val="center"/>
              <w:rPr>
                <w:sz w:val="18"/>
                <w:szCs w:val="18"/>
              </w:rPr>
            </w:pPr>
            <w:r>
              <w:rPr>
                <w:sz w:val="18"/>
                <w:szCs w:val="18"/>
              </w:rPr>
              <w:t>巴河-巴州区-金碑-控制单元</w:t>
            </w:r>
          </w:p>
        </w:tc>
        <w:tc>
          <w:tcPr>
            <w:tcW w:w="2010" w:type="dxa"/>
            <w:tcBorders>
              <w:tl2br w:val="nil"/>
              <w:tr2bl w:val="nil"/>
            </w:tcBorders>
            <w:tcMar>
              <w:top w:w="50" w:type="dxa"/>
              <w:left w:w="50" w:type="dxa"/>
              <w:bottom w:w="50" w:type="dxa"/>
              <w:right w:w="50" w:type="dxa"/>
            </w:tcMar>
            <w:vAlign w:val="center"/>
          </w:tcPr>
          <w:p w14:paraId="11681805">
            <w:pPr>
              <w:jc w:val="center"/>
              <w:rPr>
                <w:sz w:val="18"/>
                <w:szCs w:val="18"/>
              </w:rPr>
            </w:pPr>
            <w:r>
              <w:rPr>
                <w:sz w:val="18"/>
                <w:szCs w:val="18"/>
              </w:rPr>
              <w:t>YS5119023210002</w:t>
            </w:r>
          </w:p>
        </w:tc>
        <w:tc>
          <w:tcPr>
            <w:tcW w:w="1050" w:type="dxa"/>
            <w:tcBorders>
              <w:tl2br w:val="nil"/>
              <w:tr2bl w:val="nil"/>
            </w:tcBorders>
            <w:tcMar>
              <w:top w:w="50" w:type="dxa"/>
              <w:left w:w="50" w:type="dxa"/>
              <w:bottom w:w="50" w:type="dxa"/>
              <w:right w:w="50" w:type="dxa"/>
            </w:tcMar>
            <w:vAlign w:val="center"/>
          </w:tcPr>
          <w:p w14:paraId="616E3448">
            <w:pPr>
              <w:jc w:val="center"/>
              <w:rPr>
                <w:sz w:val="18"/>
                <w:szCs w:val="18"/>
              </w:rPr>
            </w:pPr>
            <w:r>
              <w:rPr>
                <w:sz w:val="18"/>
                <w:szCs w:val="18"/>
              </w:rPr>
              <w:t>巴中市巴州区</w:t>
            </w:r>
          </w:p>
        </w:tc>
        <w:tc>
          <w:tcPr>
            <w:tcW w:w="930" w:type="dxa"/>
            <w:tcBorders>
              <w:tl2br w:val="nil"/>
              <w:tr2bl w:val="nil"/>
            </w:tcBorders>
            <w:tcMar>
              <w:top w:w="50" w:type="dxa"/>
              <w:left w:w="50" w:type="dxa"/>
              <w:bottom w:w="50" w:type="dxa"/>
              <w:right w:w="50" w:type="dxa"/>
            </w:tcMar>
            <w:vAlign w:val="center"/>
          </w:tcPr>
          <w:p w14:paraId="5BD89E66">
            <w:pPr>
              <w:jc w:val="center"/>
              <w:rPr>
                <w:sz w:val="18"/>
                <w:szCs w:val="18"/>
              </w:rPr>
            </w:pPr>
            <w:r>
              <w:rPr>
                <w:sz w:val="18"/>
                <w:szCs w:val="18"/>
              </w:rPr>
              <w:t>水</w:t>
            </w:r>
          </w:p>
        </w:tc>
        <w:tc>
          <w:tcPr>
            <w:tcW w:w="1671" w:type="dxa"/>
            <w:tcBorders>
              <w:tl2br w:val="nil"/>
              <w:tr2bl w:val="nil"/>
            </w:tcBorders>
            <w:tcMar>
              <w:top w:w="50" w:type="dxa"/>
              <w:left w:w="50" w:type="dxa"/>
              <w:bottom w:w="50" w:type="dxa"/>
              <w:right w:w="50" w:type="dxa"/>
            </w:tcMar>
            <w:vAlign w:val="center"/>
          </w:tcPr>
          <w:p w14:paraId="20418CA4">
            <w:pPr>
              <w:jc w:val="center"/>
              <w:rPr>
                <w:sz w:val="18"/>
                <w:szCs w:val="18"/>
              </w:rPr>
            </w:pPr>
            <w:r>
              <w:rPr>
                <w:sz w:val="18"/>
                <w:szCs w:val="18"/>
              </w:rPr>
              <w:t>水环境一般管控区</w:t>
            </w:r>
          </w:p>
        </w:tc>
      </w:tr>
      <w:tr w14:paraId="1784F65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262" w:hRule="atLeast"/>
        </w:trPr>
        <w:tc>
          <w:tcPr>
            <w:tcW w:w="551" w:type="dxa"/>
            <w:tcBorders>
              <w:tl2br w:val="nil"/>
              <w:tr2bl w:val="nil"/>
            </w:tcBorders>
            <w:tcMar>
              <w:top w:w="50" w:type="dxa"/>
              <w:left w:w="50" w:type="dxa"/>
              <w:bottom w:w="50" w:type="dxa"/>
              <w:right w:w="50" w:type="dxa"/>
            </w:tcMar>
            <w:vAlign w:val="center"/>
          </w:tcPr>
          <w:p w14:paraId="30F5C836">
            <w:pPr>
              <w:jc w:val="center"/>
              <w:rPr>
                <w:sz w:val="18"/>
                <w:szCs w:val="18"/>
              </w:rPr>
            </w:pPr>
            <w:r>
              <w:rPr>
                <w:sz w:val="18"/>
                <w:szCs w:val="18"/>
              </w:rPr>
              <w:t>4</w:t>
            </w:r>
          </w:p>
        </w:tc>
        <w:tc>
          <w:tcPr>
            <w:tcW w:w="2205" w:type="dxa"/>
            <w:tcBorders>
              <w:tl2br w:val="nil"/>
              <w:tr2bl w:val="nil"/>
            </w:tcBorders>
            <w:tcMar>
              <w:top w:w="50" w:type="dxa"/>
              <w:left w:w="50" w:type="dxa"/>
              <w:bottom w:w="50" w:type="dxa"/>
              <w:right w:w="50" w:type="dxa"/>
            </w:tcMar>
            <w:vAlign w:val="center"/>
          </w:tcPr>
          <w:p w14:paraId="600E7A36">
            <w:pPr>
              <w:jc w:val="center"/>
              <w:rPr>
                <w:sz w:val="18"/>
                <w:szCs w:val="18"/>
              </w:rPr>
            </w:pPr>
            <w:r>
              <w:rPr>
                <w:sz w:val="18"/>
                <w:szCs w:val="18"/>
              </w:rPr>
              <w:t>驷马河-巴州区-徐家河-控制单元</w:t>
            </w:r>
          </w:p>
        </w:tc>
        <w:tc>
          <w:tcPr>
            <w:tcW w:w="2010" w:type="dxa"/>
            <w:tcBorders>
              <w:tl2br w:val="nil"/>
              <w:tr2bl w:val="nil"/>
            </w:tcBorders>
            <w:tcMar>
              <w:top w:w="50" w:type="dxa"/>
              <w:left w:w="50" w:type="dxa"/>
              <w:bottom w:w="50" w:type="dxa"/>
              <w:right w:w="50" w:type="dxa"/>
            </w:tcMar>
            <w:vAlign w:val="center"/>
          </w:tcPr>
          <w:p w14:paraId="2673451B">
            <w:pPr>
              <w:jc w:val="center"/>
              <w:rPr>
                <w:sz w:val="18"/>
                <w:szCs w:val="18"/>
              </w:rPr>
            </w:pPr>
            <w:r>
              <w:rPr>
                <w:sz w:val="18"/>
                <w:szCs w:val="18"/>
              </w:rPr>
              <w:t>YS5119023210005</w:t>
            </w:r>
          </w:p>
        </w:tc>
        <w:tc>
          <w:tcPr>
            <w:tcW w:w="1050" w:type="dxa"/>
            <w:tcBorders>
              <w:tl2br w:val="nil"/>
              <w:tr2bl w:val="nil"/>
            </w:tcBorders>
            <w:tcMar>
              <w:top w:w="50" w:type="dxa"/>
              <w:left w:w="50" w:type="dxa"/>
              <w:bottom w:w="50" w:type="dxa"/>
              <w:right w:w="50" w:type="dxa"/>
            </w:tcMar>
            <w:vAlign w:val="center"/>
          </w:tcPr>
          <w:p w14:paraId="2F2EEE55">
            <w:pPr>
              <w:jc w:val="center"/>
              <w:rPr>
                <w:sz w:val="18"/>
                <w:szCs w:val="18"/>
              </w:rPr>
            </w:pPr>
            <w:r>
              <w:rPr>
                <w:sz w:val="18"/>
                <w:szCs w:val="18"/>
              </w:rPr>
              <w:t>巴中市巴州区</w:t>
            </w:r>
          </w:p>
        </w:tc>
        <w:tc>
          <w:tcPr>
            <w:tcW w:w="930" w:type="dxa"/>
            <w:tcBorders>
              <w:tl2br w:val="nil"/>
              <w:tr2bl w:val="nil"/>
            </w:tcBorders>
            <w:tcMar>
              <w:top w:w="50" w:type="dxa"/>
              <w:left w:w="50" w:type="dxa"/>
              <w:bottom w:w="50" w:type="dxa"/>
              <w:right w:w="50" w:type="dxa"/>
            </w:tcMar>
            <w:vAlign w:val="center"/>
          </w:tcPr>
          <w:p w14:paraId="3679FE55">
            <w:pPr>
              <w:jc w:val="center"/>
              <w:rPr>
                <w:sz w:val="18"/>
                <w:szCs w:val="18"/>
              </w:rPr>
            </w:pPr>
            <w:r>
              <w:rPr>
                <w:sz w:val="18"/>
                <w:szCs w:val="18"/>
              </w:rPr>
              <w:t>水</w:t>
            </w:r>
          </w:p>
        </w:tc>
        <w:tc>
          <w:tcPr>
            <w:tcW w:w="1671" w:type="dxa"/>
            <w:tcBorders>
              <w:tl2br w:val="nil"/>
              <w:tr2bl w:val="nil"/>
            </w:tcBorders>
            <w:tcMar>
              <w:top w:w="50" w:type="dxa"/>
              <w:left w:w="50" w:type="dxa"/>
              <w:bottom w:w="50" w:type="dxa"/>
              <w:right w:w="50" w:type="dxa"/>
            </w:tcMar>
            <w:vAlign w:val="center"/>
          </w:tcPr>
          <w:p w14:paraId="011ED95A">
            <w:pPr>
              <w:jc w:val="center"/>
              <w:rPr>
                <w:sz w:val="18"/>
                <w:szCs w:val="18"/>
              </w:rPr>
            </w:pPr>
            <w:r>
              <w:rPr>
                <w:sz w:val="18"/>
                <w:szCs w:val="18"/>
              </w:rPr>
              <w:t>水环境一般管控区</w:t>
            </w:r>
          </w:p>
        </w:tc>
      </w:tr>
      <w:tr w14:paraId="49D303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 w:type="dxa"/>
            <w:bottom w:w="0" w:type="dxa"/>
            <w:right w:w="10" w:type="dxa"/>
          </w:tblCellMar>
        </w:tblPrEx>
        <w:trPr>
          <w:trHeight w:val="90" w:hRule="atLeast"/>
        </w:trPr>
        <w:tc>
          <w:tcPr>
            <w:tcW w:w="551" w:type="dxa"/>
            <w:tcBorders>
              <w:tl2br w:val="nil"/>
              <w:tr2bl w:val="nil"/>
            </w:tcBorders>
            <w:tcMar>
              <w:top w:w="50" w:type="dxa"/>
              <w:left w:w="50" w:type="dxa"/>
              <w:bottom w:w="50" w:type="dxa"/>
              <w:right w:w="50" w:type="dxa"/>
            </w:tcMar>
            <w:vAlign w:val="center"/>
          </w:tcPr>
          <w:p w14:paraId="62EB1443">
            <w:pPr>
              <w:jc w:val="center"/>
              <w:rPr>
                <w:sz w:val="18"/>
                <w:szCs w:val="18"/>
              </w:rPr>
            </w:pPr>
            <w:r>
              <w:rPr>
                <w:sz w:val="18"/>
                <w:szCs w:val="18"/>
              </w:rPr>
              <w:t>5</w:t>
            </w:r>
          </w:p>
        </w:tc>
        <w:tc>
          <w:tcPr>
            <w:tcW w:w="2205" w:type="dxa"/>
            <w:tcBorders>
              <w:tl2br w:val="nil"/>
              <w:tr2bl w:val="nil"/>
            </w:tcBorders>
            <w:tcMar>
              <w:top w:w="50" w:type="dxa"/>
              <w:left w:w="50" w:type="dxa"/>
              <w:bottom w:w="50" w:type="dxa"/>
              <w:right w:w="50" w:type="dxa"/>
            </w:tcMar>
            <w:vAlign w:val="center"/>
          </w:tcPr>
          <w:p w14:paraId="6F753D91">
            <w:pPr>
              <w:jc w:val="center"/>
              <w:rPr>
                <w:sz w:val="18"/>
                <w:szCs w:val="18"/>
              </w:rPr>
            </w:pPr>
            <w:r>
              <w:rPr>
                <w:sz w:val="18"/>
                <w:szCs w:val="18"/>
              </w:rPr>
              <w:t>巴州区自然资源一般管控区</w:t>
            </w:r>
          </w:p>
        </w:tc>
        <w:tc>
          <w:tcPr>
            <w:tcW w:w="2010" w:type="dxa"/>
            <w:tcBorders>
              <w:tl2br w:val="nil"/>
              <w:tr2bl w:val="nil"/>
            </w:tcBorders>
            <w:tcMar>
              <w:top w:w="50" w:type="dxa"/>
              <w:left w:w="50" w:type="dxa"/>
              <w:bottom w:w="50" w:type="dxa"/>
              <w:right w:w="50" w:type="dxa"/>
            </w:tcMar>
            <w:vAlign w:val="center"/>
          </w:tcPr>
          <w:p w14:paraId="7FC7E97F">
            <w:pPr>
              <w:jc w:val="center"/>
              <w:rPr>
                <w:sz w:val="18"/>
                <w:szCs w:val="18"/>
              </w:rPr>
            </w:pPr>
            <w:r>
              <w:rPr>
                <w:sz w:val="18"/>
                <w:szCs w:val="18"/>
              </w:rPr>
              <w:t>YS5119023510001</w:t>
            </w:r>
          </w:p>
        </w:tc>
        <w:tc>
          <w:tcPr>
            <w:tcW w:w="1050" w:type="dxa"/>
            <w:tcBorders>
              <w:tl2br w:val="nil"/>
              <w:tr2bl w:val="nil"/>
            </w:tcBorders>
            <w:tcMar>
              <w:top w:w="50" w:type="dxa"/>
              <w:left w:w="50" w:type="dxa"/>
              <w:bottom w:w="50" w:type="dxa"/>
              <w:right w:w="50" w:type="dxa"/>
            </w:tcMar>
            <w:vAlign w:val="center"/>
          </w:tcPr>
          <w:p w14:paraId="335596DD">
            <w:pPr>
              <w:jc w:val="center"/>
              <w:rPr>
                <w:sz w:val="18"/>
                <w:szCs w:val="18"/>
              </w:rPr>
            </w:pPr>
            <w:r>
              <w:rPr>
                <w:sz w:val="18"/>
                <w:szCs w:val="18"/>
              </w:rPr>
              <w:t>巴中市巴州区</w:t>
            </w:r>
          </w:p>
        </w:tc>
        <w:tc>
          <w:tcPr>
            <w:tcW w:w="930" w:type="dxa"/>
            <w:tcBorders>
              <w:tl2br w:val="nil"/>
              <w:tr2bl w:val="nil"/>
            </w:tcBorders>
            <w:tcMar>
              <w:top w:w="50" w:type="dxa"/>
              <w:left w:w="50" w:type="dxa"/>
              <w:bottom w:w="50" w:type="dxa"/>
              <w:right w:w="50" w:type="dxa"/>
            </w:tcMar>
            <w:vAlign w:val="center"/>
          </w:tcPr>
          <w:p w14:paraId="75895B26">
            <w:pPr>
              <w:jc w:val="center"/>
              <w:rPr>
                <w:sz w:val="18"/>
                <w:szCs w:val="18"/>
              </w:rPr>
            </w:pPr>
            <w:r>
              <w:rPr>
                <w:sz w:val="18"/>
                <w:szCs w:val="18"/>
              </w:rPr>
              <w:t>自然资源</w:t>
            </w:r>
          </w:p>
        </w:tc>
        <w:tc>
          <w:tcPr>
            <w:tcW w:w="1671" w:type="dxa"/>
            <w:tcBorders>
              <w:tl2br w:val="nil"/>
              <w:tr2bl w:val="nil"/>
            </w:tcBorders>
            <w:tcMar>
              <w:top w:w="50" w:type="dxa"/>
              <w:left w:w="50" w:type="dxa"/>
              <w:bottom w:w="50" w:type="dxa"/>
              <w:right w:w="50" w:type="dxa"/>
            </w:tcMar>
            <w:vAlign w:val="center"/>
          </w:tcPr>
          <w:p w14:paraId="317AA9DB">
            <w:pPr>
              <w:jc w:val="center"/>
              <w:rPr>
                <w:sz w:val="18"/>
                <w:szCs w:val="18"/>
              </w:rPr>
            </w:pPr>
            <w:r>
              <w:rPr>
                <w:sz w:val="18"/>
                <w:szCs w:val="18"/>
              </w:rPr>
              <w:t>自然资源一般管控区</w:t>
            </w:r>
          </w:p>
        </w:tc>
      </w:tr>
    </w:tbl>
    <w:p w14:paraId="3F3A80F9">
      <w:pPr>
        <w:adjustRightInd w:val="0"/>
        <w:snapToGrid w:val="0"/>
        <w:spacing w:line="360" w:lineRule="auto"/>
        <w:ind w:firstLine="480" w:firstLineChars="200"/>
        <w:rPr>
          <w:rFonts w:eastAsia="Helvetica"/>
          <w:color w:val="000000" w:themeColor="text1"/>
          <w:szCs w:val="21"/>
          <w14:textFill>
            <w14:solidFill>
              <w14:schemeClr w14:val="tx1"/>
            </w14:solidFill>
          </w14:textFill>
        </w:rPr>
      </w:pPr>
      <w:r>
        <w:rPr>
          <w:color w:val="000000" w:themeColor="text1"/>
          <w:sz w:val="24"/>
          <w:lang w:bidi="ar"/>
          <w14:textFill>
            <w14:solidFill>
              <w14:schemeClr w14:val="tx1"/>
            </w14:solidFill>
          </w14:textFill>
        </w:rPr>
        <w:t>本项目</w:t>
      </w:r>
      <w:r>
        <w:rPr>
          <w:color w:val="000000" w:themeColor="text1"/>
          <w:sz w:val="24"/>
          <w14:textFill>
            <w14:solidFill>
              <w14:schemeClr w14:val="tx1"/>
            </w14:solidFill>
          </w14:textFill>
        </w:rPr>
        <w:t>位于巴中市巴州区，本项目</w:t>
      </w:r>
      <w:r>
        <w:rPr>
          <w:color w:val="000000" w:themeColor="text1"/>
          <w:sz w:val="24"/>
          <w:lang w:bidi="ar"/>
          <w14:textFill>
            <w14:solidFill>
              <w14:schemeClr w14:val="tx1"/>
            </w14:solidFill>
          </w14:textFill>
        </w:rPr>
        <w:t>属于肉牛养殖项目，本次评价分别从空间布局约束、污染物排放管控、环境风险防控、资源开发利用效率四个维度对本项目的符合性进行分析，其符合性分析情况如下。</w:t>
      </w:r>
    </w:p>
    <w:p w14:paraId="427295C4">
      <w:pPr>
        <w:adjustRightInd w:val="0"/>
        <w:snapToGrid w:val="0"/>
        <w:spacing w:line="360" w:lineRule="auto"/>
        <w:ind w:firstLine="480" w:firstLineChars="200"/>
        <w:jc w:val="center"/>
        <w:rPr>
          <w:color w:val="000000" w:themeColor="text1"/>
          <w:kern w:val="0"/>
          <w:sz w:val="24"/>
          <w:highlight w:val="yellow"/>
          <w:lang w:bidi="ar"/>
          <w14:textFill>
            <w14:solidFill>
              <w14:schemeClr w14:val="tx1"/>
            </w14:solidFill>
          </w14:textFill>
        </w:rPr>
      </w:pPr>
      <w:r>
        <w:rPr>
          <w:color w:val="000000" w:themeColor="text1"/>
          <w:kern w:val="0"/>
          <w:sz w:val="24"/>
          <w:highlight w:val="yellow"/>
          <w:lang w:bidi="ar"/>
          <w14:textFill>
            <w14:solidFill>
              <w14:schemeClr w14:val="tx1"/>
            </w14:solidFill>
          </w14:textFill>
        </w:rPr>
        <w:br w:type="page"/>
      </w:r>
    </w:p>
    <w:p w14:paraId="40E85AB7">
      <w:pPr>
        <w:rPr>
          <w:color w:val="000000" w:themeColor="text1"/>
          <w:kern w:val="0"/>
          <w:sz w:val="24"/>
          <w:highlight w:val="yellow"/>
          <w:lang w:bidi="ar"/>
          <w14:textFill>
            <w14:solidFill>
              <w14:schemeClr w14:val="tx1"/>
            </w14:solidFill>
          </w14:textFill>
        </w:rPr>
        <w:sectPr>
          <w:footerReference r:id="rId7" w:type="default"/>
          <w:pgSz w:w="11907" w:h="16840"/>
          <w:pgMar w:top="1440" w:right="1797" w:bottom="1440" w:left="1797" w:header="851" w:footer="992" w:gutter="0"/>
          <w:pgNumType w:start="1" w:chapStyle="1"/>
          <w:cols w:space="720" w:num="1"/>
          <w:docGrid w:linePitch="312" w:charSpace="0"/>
        </w:sectPr>
      </w:pPr>
    </w:p>
    <w:p w14:paraId="2CED0881">
      <w:pPr>
        <w:pStyle w:val="814"/>
        <w:numPr>
          <w:ilvl w:val="0"/>
          <w:numId w:val="15"/>
        </w:numPr>
        <w:snapToGrid w:val="0"/>
        <w:rPr>
          <w:rFonts w:eastAsia="黑体"/>
          <w:bCs/>
          <w:szCs w:val="21"/>
        </w:rPr>
      </w:pPr>
      <w:r>
        <w:rPr>
          <w:rFonts w:eastAsia="黑体"/>
          <w:bCs/>
          <w:szCs w:val="21"/>
        </w:rPr>
        <w:t>本项目与涉及生态环境管控单元符合性分析</w:t>
      </w:r>
    </w:p>
    <w:tbl>
      <w:tblPr>
        <w:tblStyle w:val="89"/>
        <w:tblW w:w="485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7"/>
        <w:gridCol w:w="716"/>
        <w:gridCol w:w="717"/>
        <w:gridCol w:w="7839"/>
        <w:gridCol w:w="2561"/>
        <w:gridCol w:w="1011"/>
      </w:tblGrid>
      <w:tr w14:paraId="20A9BF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0" w:hRule="atLeast"/>
          <w:jc w:val="center"/>
        </w:trPr>
        <w:tc>
          <w:tcPr>
            <w:tcW w:w="10146" w:type="dxa"/>
            <w:gridSpan w:val="4"/>
            <w:tcBorders>
              <w:tl2br w:val="nil"/>
              <w:tr2bl w:val="nil"/>
            </w:tcBorders>
            <w:vAlign w:val="center"/>
          </w:tcPr>
          <w:p w14:paraId="1C6C1787">
            <w:pPr>
              <w:widowControl w:val="0"/>
              <w:jc w:val="center"/>
              <w:rPr>
                <w:rFonts w:eastAsia="黑体"/>
                <w:bCs/>
                <w:color w:val="000000" w:themeColor="text1"/>
                <w:sz w:val="18"/>
                <w:szCs w:val="18"/>
                <w14:textFill>
                  <w14:solidFill>
                    <w14:schemeClr w14:val="tx1"/>
                  </w14:solidFill>
                </w14:textFill>
              </w:rPr>
            </w:pPr>
            <w:r>
              <w:rPr>
                <w:rFonts w:eastAsia="黑体"/>
                <w:bCs/>
                <w:sz w:val="18"/>
                <w:szCs w:val="18"/>
              </w:rPr>
              <w:t>“三线一单”具体要求</w:t>
            </w:r>
          </w:p>
        </w:tc>
        <w:tc>
          <w:tcPr>
            <w:tcW w:w="2601" w:type="dxa"/>
            <w:vMerge w:val="restart"/>
            <w:tcBorders>
              <w:tl2br w:val="nil"/>
              <w:tr2bl w:val="nil"/>
            </w:tcBorders>
            <w:vAlign w:val="center"/>
          </w:tcPr>
          <w:p w14:paraId="79CF67A3">
            <w:pPr>
              <w:widowControl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项目对应情况介绍</w:t>
            </w:r>
          </w:p>
        </w:tc>
        <w:tc>
          <w:tcPr>
            <w:tcW w:w="1024" w:type="dxa"/>
            <w:vMerge w:val="restart"/>
            <w:tcBorders>
              <w:tl2br w:val="nil"/>
              <w:tr2bl w:val="nil"/>
            </w:tcBorders>
            <w:vAlign w:val="center"/>
          </w:tcPr>
          <w:p w14:paraId="24C7D100">
            <w:pPr>
              <w:widowControl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符合性分析</w:t>
            </w:r>
          </w:p>
        </w:tc>
      </w:tr>
      <w:tr w14:paraId="3DBECB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2176" w:type="dxa"/>
            <w:gridSpan w:val="3"/>
            <w:tcBorders>
              <w:tl2br w:val="nil"/>
              <w:tr2bl w:val="nil"/>
            </w:tcBorders>
            <w:vAlign w:val="center"/>
          </w:tcPr>
          <w:p w14:paraId="2B1E84B6">
            <w:pPr>
              <w:widowControl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类别</w:t>
            </w:r>
          </w:p>
        </w:tc>
        <w:tc>
          <w:tcPr>
            <w:tcW w:w="7970" w:type="dxa"/>
            <w:tcBorders>
              <w:tl2br w:val="nil"/>
              <w:tr2bl w:val="nil"/>
            </w:tcBorders>
            <w:vAlign w:val="center"/>
          </w:tcPr>
          <w:p w14:paraId="4CD6099E">
            <w:pPr>
              <w:widowControl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对应管控要求</w:t>
            </w:r>
          </w:p>
        </w:tc>
        <w:tc>
          <w:tcPr>
            <w:tcW w:w="2601" w:type="dxa"/>
            <w:vMerge w:val="continue"/>
            <w:tcBorders>
              <w:tl2br w:val="nil"/>
              <w:tr2bl w:val="nil"/>
            </w:tcBorders>
            <w:vAlign w:val="center"/>
          </w:tcPr>
          <w:p w14:paraId="4A3BC186">
            <w:pPr>
              <w:widowControl w:val="0"/>
              <w:jc w:val="center"/>
              <w:rPr>
                <w:rFonts w:eastAsia="黑体"/>
                <w:bCs/>
                <w:color w:val="000000" w:themeColor="text1"/>
                <w:sz w:val="18"/>
                <w:szCs w:val="18"/>
                <w14:textFill>
                  <w14:solidFill>
                    <w14:schemeClr w14:val="tx1"/>
                  </w14:solidFill>
                </w14:textFill>
              </w:rPr>
            </w:pPr>
          </w:p>
        </w:tc>
        <w:tc>
          <w:tcPr>
            <w:tcW w:w="1024" w:type="dxa"/>
            <w:vMerge w:val="continue"/>
            <w:tcBorders>
              <w:tl2br w:val="nil"/>
              <w:tr2bl w:val="nil"/>
            </w:tcBorders>
            <w:vAlign w:val="center"/>
          </w:tcPr>
          <w:p w14:paraId="717C0453">
            <w:pPr>
              <w:widowControl w:val="0"/>
              <w:jc w:val="center"/>
              <w:rPr>
                <w:rFonts w:eastAsia="黑体"/>
                <w:bCs/>
                <w:color w:val="000000" w:themeColor="text1"/>
                <w:sz w:val="18"/>
                <w:szCs w:val="18"/>
                <w14:textFill>
                  <w14:solidFill>
                    <w14:schemeClr w14:val="tx1"/>
                  </w14:solidFill>
                </w14:textFill>
              </w:rPr>
            </w:pPr>
          </w:p>
        </w:tc>
      </w:tr>
      <w:tr w14:paraId="17B0B0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726" w:type="dxa"/>
            <w:vMerge w:val="restart"/>
            <w:tcBorders>
              <w:tl2br w:val="nil"/>
              <w:tr2bl w:val="nil"/>
            </w:tcBorders>
            <w:vAlign w:val="center"/>
          </w:tcPr>
          <w:p w14:paraId="5B8E13F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要素重点管控单元，ZH51190220007，巴州区要素重点管控单元</w:t>
            </w:r>
          </w:p>
        </w:tc>
        <w:tc>
          <w:tcPr>
            <w:tcW w:w="725" w:type="dxa"/>
            <w:vMerge w:val="restart"/>
            <w:tcBorders>
              <w:tl2br w:val="nil"/>
              <w:tr2bl w:val="nil"/>
            </w:tcBorders>
            <w:vAlign w:val="center"/>
          </w:tcPr>
          <w:p w14:paraId="74A0097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巴中市普适性管控要求</w:t>
            </w:r>
          </w:p>
        </w:tc>
        <w:tc>
          <w:tcPr>
            <w:tcW w:w="725" w:type="dxa"/>
            <w:tcBorders>
              <w:tl2br w:val="nil"/>
              <w:tr2bl w:val="nil"/>
            </w:tcBorders>
            <w:vAlign w:val="center"/>
          </w:tcPr>
          <w:p w14:paraId="3A9849A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空间布局约束</w:t>
            </w:r>
          </w:p>
        </w:tc>
        <w:tc>
          <w:tcPr>
            <w:tcW w:w="7970" w:type="dxa"/>
            <w:tcBorders>
              <w:tl2br w:val="nil"/>
              <w:tr2bl w:val="nil"/>
            </w:tcBorders>
            <w:vAlign w:val="center"/>
          </w:tcPr>
          <w:p w14:paraId="7F4DD498">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【禁止开发建设活动的要求】</w:t>
            </w:r>
          </w:p>
          <w:p w14:paraId="67E1B803">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-禁止在法律法规规定的禁采区内新建矿山；禁止土法采、选、冶严重污染环境的矿产资源。</w:t>
            </w:r>
          </w:p>
          <w:p w14:paraId="595D4167">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-涉及基本农田的区域，除法律规定的重点建设项目选址确实无法避让外，其他任何建设不得占用</w:t>
            </w:r>
          </w:p>
          <w:p w14:paraId="69A2DEFD">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-禁止在长江干支流岸线一公里范围内新建、扩建化工园区和化工项目。</w:t>
            </w:r>
          </w:p>
          <w:p w14:paraId="28517032">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-禁止在长江干流岸线三公里范围内和重要支流岸线一公里范围内新建、改建、扩建尾矿库、冶炼渣库、磷石膏库，以提升安全、生态环境保护水平为目的的改建除外。</w:t>
            </w:r>
          </w:p>
          <w:p w14:paraId="5749F14C">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-禁止在长江流域河湖管理范围内倾倒、填埋、堆放、弃置、处理固体废物。</w:t>
            </w:r>
          </w:p>
          <w:p w14:paraId="4ABAE738">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-畜禽养殖严格按照区县畜禽养殖区域划定方案执行，依法关闭或搬迁禁养区内的畜禽养殖场（小区）或养殖专业户。</w:t>
            </w:r>
          </w:p>
          <w:p w14:paraId="7F453DC9">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-禁止在永久基本农田集中区域和其他需要特别保护的区域选址建设尾矿库、冶炼渣库、磷石膏库。</w:t>
            </w:r>
          </w:p>
          <w:p w14:paraId="1E603E2F">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【限制开发建设活动的要求】</w:t>
            </w:r>
          </w:p>
          <w:p w14:paraId="6D3E55C8">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大气环境布局敏感重点管控区：（1）坚决遏制高耗能、高排放、低水平项目盲目发展，严格落实国家和四川省产业规划、产业政策、规划环评，以及产能置换、煤炭消费减量替代、区域污染物削减等要求，坚决叫停不符合要求的高耗能、高排放、低水平项目。</w:t>
            </w:r>
          </w:p>
          <w:p w14:paraId="0B6DC927">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（2）提升高耗能项目能耗准入标准，能耗、物耗要达到清洁生产先进水平。严禁新增钢铁、焦化、炼油、电解铝、水泥、平板玻璃（不含光伏玻璃）等产能。</w:t>
            </w:r>
          </w:p>
          <w:p w14:paraId="0DCA9B70">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大气弱扩散重点管控区：强化落后产能退出机制，对能耗、环保、安全、技术达不到标准，生产不合格或淘汰类产品的企业和产能，依法予以关闭淘汰，推动重污染企业搬迁入园或依法关闭。对长江及重要支流沿线存在重大环境安全隐患的生产企业，加快推进就地改造异地迁建、关闭退出。开展差别化环境管理，对能耗、物耗、污染物排放等指标提出最严格管控要求，倒逼竞争乏力的产能退出。支持现有钢铁、水泥、焦化等废气排放量大的产业向有刚性需求、具有资源优势、环境容量允许的地区转移布局。</w:t>
            </w:r>
          </w:p>
          <w:p w14:paraId="30B9C8FE">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3.水环境农业污染重点管控区：（1）稳步推进建制镇污水处理设施建设，适当预留发展空间，宜集中则集中，宜分散则分散。农村生活污水处理设施排水执行《农村生活污水处理设施水污染物排放标准》（DB 51 2626-2019）要求。（2）深入推进化肥减量增效。鼓励以循环利用与生态净化相结合的方式控制种植业污染，农企合作推进测土配方施肥。</w:t>
            </w:r>
          </w:p>
          <w:p w14:paraId="62607FAE">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【允许开发建设活动的要求】</w:t>
            </w:r>
          </w:p>
          <w:p w14:paraId="2B0F1406">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-全面取缔禁养区内规模化畜禽养殖场。</w:t>
            </w:r>
          </w:p>
          <w:p w14:paraId="7C7FED89">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-针对现有水泥企业，强化污染治理和污染物减排，依法依规整治或搬迁。</w:t>
            </w:r>
          </w:p>
          <w:p w14:paraId="52C8AC49">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-严格执行《矿产资源开采</w:t>
            </w:r>
            <w:r>
              <w:rPr>
                <w:rFonts w:hint="eastAsia"/>
                <w:color w:val="000000" w:themeColor="text1"/>
                <w:kern w:val="0"/>
                <w:sz w:val="18"/>
                <w:szCs w:val="18"/>
                <w:lang w:eastAsia="zh-CN"/>
                <w14:textFill>
                  <w14:solidFill>
                    <w14:schemeClr w14:val="tx1"/>
                  </w14:solidFill>
                </w14:textFill>
              </w:rPr>
              <w:t>登记</w:t>
            </w:r>
            <w:r>
              <w:rPr>
                <w:color w:val="000000" w:themeColor="text1"/>
                <w:kern w:val="0"/>
                <w:sz w:val="18"/>
                <w:szCs w:val="18"/>
                <w14:textFill>
                  <w14:solidFill>
                    <w14:schemeClr w14:val="tx1"/>
                  </w14:solidFill>
                </w14:textFill>
              </w:rPr>
              <w:t>管理办法》的相关规定</w:t>
            </w:r>
          </w:p>
          <w:p w14:paraId="77864EBF">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【不符合空间布局要求活动的退出要求】</w:t>
            </w:r>
          </w:p>
          <w:p w14:paraId="7687FA9B">
            <w:pPr>
              <w:widowControl w:val="0"/>
              <w:adjustRightInd w:val="0"/>
              <w:snapToGrid w:val="0"/>
              <w:ind w:firstLine="360"/>
              <w:jc w:val="both"/>
              <w:rPr>
                <w:color w:val="000000" w:themeColor="text1"/>
                <w:kern w:val="0"/>
                <w:sz w:val="18"/>
                <w:szCs w:val="18"/>
                <w14:textFill>
                  <w14:solidFill>
                    <w14:schemeClr w14:val="tx1"/>
                  </w14:solidFill>
                </w14:textFill>
              </w:rPr>
            </w:pPr>
            <w:r>
              <w:rPr>
                <w:rFonts w:ascii="Cambria Math" w:hAnsi="Cambria Math" w:cs="Cambria Math"/>
                <w:color w:val="000000" w:themeColor="text1"/>
                <w:kern w:val="0"/>
                <w:sz w:val="18"/>
                <w:szCs w:val="18"/>
                <w14:textFill>
                  <w14:solidFill>
                    <w14:schemeClr w14:val="tx1"/>
                  </w14:solidFill>
                </w14:textFill>
              </w:rPr>
              <w:t>△</w:t>
            </w:r>
          </w:p>
        </w:tc>
        <w:tc>
          <w:tcPr>
            <w:tcW w:w="2601" w:type="dxa"/>
            <w:tcBorders>
              <w:tl2br w:val="nil"/>
              <w:tr2bl w:val="nil"/>
            </w:tcBorders>
            <w:vAlign w:val="center"/>
          </w:tcPr>
          <w:p w14:paraId="59A60B03">
            <w:pPr>
              <w:widowControl w:val="0"/>
              <w:ind w:firstLine="360" w:firstLineChars="200"/>
              <w:jc w:val="both"/>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本项目为肉牛养殖项目，不在划定的畜禽禁养区范围，不属于</w:t>
            </w:r>
            <w:r>
              <w:rPr>
                <w:color w:val="000000" w:themeColor="text1"/>
                <w:kern w:val="0"/>
                <w:sz w:val="18"/>
                <w:szCs w:val="18"/>
                <w14:textFill>
                  <w14:solidFill>
                    <w14:schemeClr w14:val="tx1"/>
                  </w14:solidFill>
                </w14:textFill>
              </w:rPr>
              <w:t>“两高”项目；项目畜禽养殖合理布局。</w:t>
            </w:r>
          </w:p>
        </w:tc>
        <w:tc>
          <w:tcPr>
            <w:tcW w:w="1024" w:type="dxa"/>
            <w:tcBorders>
              <w:tl2br w:val="nil"/>
              <w:tr2bl w:val="nil"/>
            </w:tcBorders>
            <w:vAlign w:val="center"/>
          </w:tcPr>
          <w:p w14:paraId="520151E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2F746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26" w:type="dxa"/>
            <w:vMerge w:val="continue"/>
            <w:tcBorders>
              <w:tl2br w:val="nil"/>
              <w:tr2bl w:val="nil"/>
            </w:tcBorders>
            <w:vAlign w:val="center"/>
          </w:tcPr>
          <w:p w14:paraId="707AF7FE">
            <w:pPr>
              <w:widowControl w:val="0"/>
              <w:jc w:val="center"/>
              <w:rPr>
                <w:color w:val="000000" w:themeColor="text1"/>
                <w:sz w:val="18"/>
                <w:szCs w:val="18"/>
                <w14:textFill>
                  <w14:solidFill>
                    <w14:schemeClr w14:val="tx1"/>
                  </w14:solidFill>
                </w14:textFill>
              </w:rPr>
            </w:pPr>
          </w:p>
        </w:tc>
        <w:tc>
          <w:tcPr>
            <w:tcW w:w="725" w:type="dxa"/>
            <w:vMerge w:val="continue"/>
            <w:tcBorders>
              <w:tl2br w:val="nil"/>
              <w:tr2bl w:val="nil"/>
            </w:tcBorders>
            <w:vAlign w:val="center"/>
          </w:tcPr>
          <w:p w14:paraId="3888B778">
            <w:pPr>
              <w:widowControl w:val="0"/>
              <w:jc w:val="center"/>
              <w:rPr>
                <w:color w:val="000000" w:themeColor="text1"/>
                <w:sz w:val="18"/>
                <w:szCs w:val="18"/>
                <w14:textFill>
                  <w14:solidFill>
                    <w14:schemeClr w14:val="tx1"/>
                  </w14:solidFill>
                </w14:textFill>
              </w:rPr>
            </w:pPr>
          </w:p>
        </w:tc>
        <w:tc>
          <w:tcPr>
            <w:tcW w:w="725" w:type="dxa"/>
            <w:tcBorders>
              <w:tl2br w:val="nil"/>
              <w:tr2bl w:val="nil"/>
            </w:tcBorders>
            <w:vAlign w:val="center"/>
          </w:tcPr>
          <w:p w14:paraId="6FF35B85">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污染物排放管控</w:t>
            </w:r>
          </w:p>
        </w:tc>
        <w:tc>
          <w:tcPr>
            <w:tcW w:w="7970" w:type="dxa"/>
            <w:tcBorders>
              <w:tl2br w:val="nil"/>
              <w:tr2bl w:val="nil"/>
            </w:tcBorders>
            <w:vAlign w:val="center"/>
          </w:tcPr>
          <w:p w14:paraId="660AF0DB">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【现有源提标升级改造】</w:t>
            </w:r>
          </w:p>
          <w:p w14:paraId="4CC6DEFE">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-加快现有乡镇污水处理设施升级改造，按要求达《城镇污水处理厂污染物排放标准》一级A标后排放。</w:t>
            </w:r>
          </w:p>
          <w:p w14:paraId="0465A386">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-在矿产资源开发活动集中区域，废水执行重金属污染物排放特别限值。</w:t>
            </w:r>
          </w:p>
          <w:p w14:paraId="4A3EF8B6">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-火电、水泥等行业按相关要求推进大气污染物超低排放和深度治理。</w:t>
            </w:r>
          </w:p>
          <w:p w14:paraId="6CD83E53">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-砖瓦行业实施脱硫、除尘升级改造，污染物排放达到《砖瓦工业大气污染物排放标准》相关要求</w:t>
            </w:r>
          </w:p>
          <w:p w14:paraId="3EDBD8AF">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调整优化畜禽养殖区域布局，实施规模化畜禽养殖场标准化建设和改造，加强禽畜养殖粪污治理，深入推广畜禽清洁养殖，养殖场的养殖规模要与周边可供消纳的土地量相匹配，并具备完善的雨污分流、粪便污水资源化利用设施。强化畜禽养殖散户管理，禁止畜禽粪污直排。</w:t>
            </w:r>
          </w:p>
          <w:p w14:paraId="13148605">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【新增源等量或倍量替代】</w:t>
            </w:r>
          </w:p>
          <w:p w14:paraId="15663C7E">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新增源等量或倍量替代：-若上一年度空气质量年平均浓度不达标、水环境质量未达到要求，则建设项目新增相关污染物按照总量管控要求进行倍量削减替代。</w:t>
            </w:r>
          </w:p>
          <w:p w14:paraId="0E2B7CFA">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-若上一年度空气质量、水环境质量达标，则建设项目新增相关污染物按照总量管控要求进行等量替代。</w:t>
            </w:r>
          </w:p>
          <w:p w14:paraId="35663612">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-新增VOCs排放的建设项目实行等量替代。</w:t>
            </w:r>
          </w:p>
          <w:p w14:paraId="2D3533AC">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污染物排放绩效水平准入要求：</w:t>
            </w:r>
          </w:p>
          <w:p w14:paraId="6D0C0CDF">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-屠宰项目必须配套污水处理设施或进入城市污水管网；</w:t>
            </w:r>
          </w:p>
          <w:p w14:paraId="0256BA7B">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-到2025年，基本消除城市建成区生活污水直排口和收集处理设施空白区；县城污水处理率达到95%以上；水环境敏感地区污水处理基本达到一级A排放标准；</w:t>
            </w:r>
          </w:p>
          <w:p w14:paraId="543CB0B6">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-到2035年，城市生活污水收集管网基本全覆盖，城镇污水处理能力全覆盖，全面实现污泥无害化处置。</w:t>
            </w:r>
          </w:p>
          <w:p w14:paraId="37542085">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-大中型矿山达到绿色矿山标准，引导小型矿山按照绿色矿山标准规范发展；加强矿山采选废水的处理和综合利用，不外排，采矿废水应尽量回用。</w:t>
            </w:r>
          </w:p>
          <w:p w14:paraId="31705619">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到2021年底，全市生活垃圾收转运处置体系覆盖95%以上行政村，再生资源回收网点覆盖30%以上的行政村，全市95%以上行政村的生活垃圾得到有效治理。到2023年，全市生活垃圾收转运处置体系覆盖所有行政村，再生资源回收网点覆盖60%以上的行政村，实现保洁员配备合理、管理有效，村组保洁工作运转有序。到2025年，乡镇和农村地区生活垃圾分类工作取得明显成效，生活垃圾减量化、无害化、资源化水平显著提高。基本建成垃圾分类有特色、转运设施较齐全。村庄保洁见长效，资金投入有保障、监管制度较完善的农村生活垃圾治理体系。</w:t>
            </w:r>
          </w:p>
          <w:p w14:paraId="3DA3D75F">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-到2025年底，全市有机肥使用面积达到370万亩，平均耕地质量提升一个等级，化肥使用量总体保持零增长；</w:t>
            </w:r>
          </w:p>
          <w:p w14:paraId="518A2CA1">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-到2025年，主要粮经作物主产区农药包装废弃物回收率达80%。</w:t>
            </w:r>
          </w:p>
          <w:p w14:paraId="3CDF0384">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【新增源排放标准限值】</w:t>
            </w:r>
          </w:p>
          <w:p w14:paraId="5296AF6D">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强化大气污染区域联防联控措施，实施重污染天气应急管控。修订重污染天气应急预案，动态更新污染源排放清单，落实重点企业错峰生产、压产限产、工地停工等强制性措施，有效减缓重污染天气影响。</w:t>
            </w:r>
          </w:p>
          <w:p w14:paraId="79D4C595">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【污染物排放绩效水平准入要求】</w:t>
            </w:r>
          </w:p>
          <w:p w14:paraId="72ACCEED">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企业环境风险防控要求：-工业企业退出用地，应按相关要求进行评估、修复，满足相应用地功能后，方可改变用途。</w:t>
            </w:r>
          </w:p>
          <w:p w14:paraId="6A8B4638">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-加强“散乱污”企业环境风险防控。</w:t>
            </w:r>
          </w:p>
          <w:p w14:paraId="7C11B060">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-现有涉及五类重金属的企业，严控污染物排放，限时整治或搬迁。</w:t>
            </w:r>
          </w:p>
          <w:p w14:paraId="4DA85181">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-加强再生利用行业清理整顿。落实《电子废物、废轮胎、废塑料、废旧衣服、废家电拆解等再生利用行业清理整顿工作方案》，防止污染土壤和地下水。</w:t>
            </w:r>
          </w:p>
          <w:p w14:paraId="4D4B9ACD">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用地环境风险防控要求：-严禁将城镇生活垃圾、污泥、工业废物直接用作肥料，禁止处理不达标的污泥进入耕地；禁止在农用地排放、倾倒、使用污泥、清淤底泥、尾矿（渣）等可能对土壤造成污染的固体废物。</w:t>
            </w:r>
          </w:p>
          <w:p w14:paraId="687E9B9D">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-严格控制林地、草地、园地的农药使用量，禁止使用高毒、高残留农药。</w:t>
            </w:r>
          </w:p>
          <w:p w14:paraId="5C24BA83">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【其他污染物排放管控要求】</w:t>
            </w:r>
          </w:p>
          <w:p w14:paraId="081423B0">
            <w:pPr>
              <w:widowControl w:val="0"/>
              <w:adjustRightInd w:val="0"/>
              <w:snapToGrid w:val="0"/>
              <w:ind w:firstLine="360"/>
              <w:jc w:val="both"/>
              <w:rPr>
                <w:color w:val="000000" w:themeColor="text1"/>
                <w:sz w:val="18"/>
                <w:szCs w:val="18"/>
                <w14:textFill>
                  <w14:solidFill>
                    <w14:schemeClr w14:val="tx1"/>
                  </w14:solidFill>
                </w14:textFill>
              </w:rPr>
            </w:pPr>
            <w:r>
              <w:rPr>
                <w:color w:val="000000" w:themeColor="text1"/>
                <w:kern w:val="0"/>
                <w:sz w:val="18"/>
                <w:szCs w:val="18"/>
                <w14:textFill>
                  <w14:solidFill>
                    <w14:schemeClr w14:val="tx1"/>
                  </w14:solidFill>
                </w14:textFill>
              </w:rPr>
              <w:t>到2022年，万元国内生产总值用水量、万元工业增加值用水量较2015年分别降低30%和28%。</w:t>
            </w:r>
          </w:p>
        </w:tc>
        <w:tc>
          <w:tcPr>
            <w:tcW w:w="2601" w:type="dxa"/>
            <w:tcBorders>
              <w:tl2br w:val="nil"/>
              <w:tr2bl w:val="nil"/>
            </w:tcBorders>
            <w:vAlign w:val="center"/>
          </w:tcPr>
          <w:p w14:paraId="07A9C03A">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项目按现有法规要求严格落实各项污染防治，</w:t>
            </w:r>
            <w:r>
              <w:rPr>
                <w:color w:val="000000" w:themeColor="text1"/>
                <w:kern w:val="0"/>
                <w:sz w:val="18"/>
                <w:szCs w:val="18"/>
                <w14:textFill>
                  <w14:solidFill>
                    <w14:schemeClr w14:val="tx1"/>
                  </w14:solidFill>
                </w14:textFill>
              </w:rPr>
              <w:t>畜禽养殖环境承载力分析其区域环境承载能力尚有较大裕量。</w:t>
            </w:r>
            <w:r>
              <w:rPr>
                <w:color w:val="000000" w:themeColor="text1"/>
                <w:sz w:val="18"/>
                <w:szCs w:val="18"/>
                <w14:textFill>
                  <w14:solidFill>
                    <w14:schemeClr w14:val="tx1"/>
                  </w14:solidFill>
                </w14:textFill>
              </w:rPr>
              <w:t>项目建设不会对区域环境造成明显不利影响。</w:t>
            </w:r>
          </w:p>
          <w:p w14:paraId="164027C5">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项目区域环境质量达标，项目不产生总量污染物。</w:t>
            </w:r>
          </w:p>
        </w:tc>
        <w:tc>
          <w:tcPr>
            <w:tcW w:w="1024" w:type="dxa"/>
            <w:tcBorders>
              <w:tl2br w:val="nil"/>
              <w:tr2bl w:val="nil"/>
            </w:tcBorders>
            <w:vAlign w:val="center"/>
          </w:tcPr>
          <w:p w14:paraId="36427AF9">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54A585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26" w:type="dxa"/>
            <w:vMerge w:val="continue"/>
            <w:tcBorders>
              <w:tl2br w:val="nil"/>
              <w:tr2bl w:val="nil"/>
            </w:tcBorders>
            <w:vAlign w:val="center"/>
          </w:tcPr>
          <w:p w14:paraId="1F30CB0E">
            <w:pPr>
              <w:widowControl w:val="0"/>
              <w:jc w:val="center"/>
              <w:rPr>
                <w:color w:val="000000" w:themeColor="text1"/>
                <w:sz w:val="18"/>
                <w:szCs w:val="18"/>
                <w14:textFill>
                  <w14:solidFill>
                    <w14:schemeClr w14:val="tx1"/>
                  </w14:solidFill>
                </w14:textFill>
              </w:rPr>
            </w:pPr>
          </w:p>
        </w:tc>
        <w:tc>
          <w:tcPr>
            <w:tcW w:w="725" w:type="dxa"/>
            <w:vMerge w:val="continue"/>
            <w:tcBorders>
              <w:tl2br w:val="nil"/>
              <w:tr2bl w:val="nil"/>
            </w:tcBorders>
            <w:vAlign w:val="center"/>
          </w:tcPr>
          <w:p w14:paraId="2DEAA5DD">
            <w:pPr>
              <w:widowControl w:val="0"/>
              <w:jc w:val="center"/>
              <w:rPr>
                <w:color w:val="000000" w:themeColor="text1"/>
                <w:sz w:val="18"/>
                <w:szCs w:val="18"/>
                <w14:textFill>
                  <w14:solidFill>
                    <w14:schemeClr w14:val="tx1"/>
                  </w14:solidFill>
                </w14:textFill>
              </w:rPr>
            </w:pPr>
          </w:p>
        </w:tc>
        <w:tc>
          <w:tcPr>
            <w:tcW w:w="725" w:type="dxa"/>
            <w:tcBorders>
              <w:tl2br w:val="nil"/>
              <w:tr2bl w:val="nil"/>
            </w:tcBorders>
            <w:vAlign w:val="center"/>
          </w:tcPr>
          <w:p w14:paraId="1DE9D79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环境风险防控</w:t>
            </w:r>
          </w:p>
        </w:tc>
        <w:tc>
          <w:tcPr>
            <w:tcW w:w="7970" w:type="dxa"/>
            <w:tcBorders>
              <w:tl2br w:val="nil"/>
              <w:tr2bl w:val="nil"/>
            </w:tcBorders>
            <w:vAlign w:val="center"/>
          </w:tcPr>
          <w:p w14:paraId="2F00A08F">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【严格管控类农用地管控要求】</w:t>
            </w:r>
          </w:p>
          <w:p w14:paraId="461C6C95">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-巴中市2025年地下水开采控制控制量保持在1400万m3以内。</w:t>
            </w:r>
          </w:p>
          <w:p w14:paraId="4B7E79C7">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-地下水开采量控制在可开采量的允 许范围内，抑制用水过度增长。</w:t>
            </w:r>
          </w:p>
          <w:p w14:paraId="4E12A57A">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【安全利用类农用地管控要求】</w:t>
            </w:r>
          </w:p>
          <w:p w14:paraId="3C631F86">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-推进清洁能源的推广使用，全面推进散煤清洁化整治；禁止新建每小时10蒸吨以下的燃煤锅炉及其他燃煤设施。</w:t>
            </w:r>
          </w:p>
          <w:p w14:paraId="41BD283A">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-禁止焚烧秸秆和垃圾。</w:t>
            </w:r>
          </w:p>
          <w:p w14:paraId="10BD1D07">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【污染地块管控要求】</w:t>
            </w:r>
          </w:p>
          <w:p w14:paraId="420F54DC">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在禁燃区内禁止销售、燃用高污染燃料。禁燃区内禁止新建、扩建燃用高污染燃料的设施。已建成的，应当于2021年12月31日前改用天然气、页岩气、液化石油气、电或其他清洁能源。现有燃用高污染燃料燃用设施在拆除或改造前，有关单位（企业）应当采取措施，确保大气污染物排放达到国家规定标准。</w:t>
            </w:r>
          </w:p>
          <w:p w14:paraId="6137420E">
            <w:pPr>
              <w:widowControl w:val="0"/>
              <w:adjustRightInd w:val="0"/>
              <w:snapToGrid w:val="0"/>
              <w:ind w:firstLine="360"/>
              <w:jc w:val="both"/>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【园区环境风险防控要求】</w:t>
            </w:r>
          </w:p>
          <w:p w14:paraId="1FEDED87">
            <w:pPr>
              <w:widowControl w:val="0"/>
              <w:adjustRightInd w:val="0"/>
              <w:snapToGrid w:val="0"/>
              <w:ind w:firstLine="360"/>
              <w:jc w:val="both"/>
              <w:rPr>
                <w:color w:val="000000" w:themeColor="text1"/>
                <w:sz w:val="18"/>
                <w:szCs w:val="18"/>
                <w14:textFill>
                  <w14:solidFill>
                    <w14:schemeClr w14:val="tx1"/>
                  </w14:solidFill>
                </w14:textFill>
              </w:rPr>
            </w:pPr>
            <w:r>
              <w:rPr>
                <w:color w:val="000000" w:themeColor="text1"/>
                <w:kern w:val="0"/>
                <w:sz w:val="18"/>
                <w:szCs w:val="18"/>
                <w14:textFill>
                  <w14:solidFill>
                    <w14:schemeClr w14:val="tx1"/>
                  </w14:solidFill>
                </w14:textFill>
              </w:rPr>
              <w:t>到2025年，巴中市农田有效灌溉系数达到0.56；到 2030 年，巴中市农田有效灌溉率提到40%，农田灌溉用水有效利用系数提高到 0.62 左右。</w:t>
            </w:r>
          </w:p>
        </w:tc>
        <w:tc>
          <w:tcPr>
            <w:tcW w:w="2601" w:type="dxa"/>
            <w:tcBorders>
              <w:tl2br w:val="nil"/>
              <w:tr2bl w:val="nil"/>
            </w:tcBorders>
            <w:vAlign w:val="center"/>
          </w:tcPr>
          <w:p w14:paraId="05BE10BD">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项目按现有法规要求严格落实环境风险管控要求。</w:t>
            </w:r>
          </w:p>
        </w:tc>
        <w:tc>
          <w:tcPr>
            <w:tcW w:w="1024" w:type="dxa"/>
            <w:tcBorders>
              <w:tl2br w:val="nil"/>
              <w:tr2bl w:val="nil"/>
            </w:tcBorders>
            <w:vAlign w:val="center"/>
          </w:tcPr>
          <w:p w14:paraId="6794DB1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2BB2E5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726" w:type="dxa"/>
            <w:vMerge w:val="continue"/>
            <w:tcBorders>
              <w:tl2br w:val="nil"/>
              <w:tr2bl w:val="nil"/>
            </w:tcBorders>
            <w:vAlign w:val="center"/>
          </w:tcPr>
          <w:p w14:paraId="6D0CD223">
            <w:pPr>
              <w:widowControl w:val="0"/>
              <w:jc w:val="center"/>
              <w:rPr>
                <w:color w:val="000000" w:themeColor="text1"/>
                <w:sz w:val="18"/>
                <w:szCs w:val="18"/>
                <w14:textFill>
                  <w14:solidFill>
                    <w14:schemeClr w14:val="tx1"/>
                  </w14:solidFill>
                </w14:textFill>
              </w:rPr>
            </w:pPr>
          </w:p>
        </w:tc>
        <w:tc>
          <w:tcPr>
            <w:tcW w:w="725" w:type="dxa"/>
            <w:vMerge w:val="continue"/>
            <w:tcBorders>
              <w:tl2br w:val="nil"/>
              <w:tr2bl w:val="nil"/>
            </w:tcBorders>
            <w:vAlign w:val="center"/>
          </w:tcPr>
          <w:p w14:paraId="1FE66FAB">
            <w:pPr>
              <w:widowControl w:val="0"/>
              <w:jc w:val="center"/>
              <w:rPr>
                <w:color w:val="000000" w:themeColor="text1"/>
                <w:sz w:val="18"/>
                <w:szCs w:val="18"/>
                <w14:textFill>
                  <w14:solidFill>
                    <w14:schemeClr w14:val="tx1"/>
                  </w14:solidFill>
                </w14:textFill>
              </w:rPr>
            </w:pPr>
          </w:p>
        </w:tc>
        <w:tc>
          <w:tcPr>
            <w:tcW w:w="725" w:type="dxa"/>
            <w:tcBorders>
              <w:tl2br w:val="nil"/>
              <w:tr2bl w:val="nil"/>
            </w:tcBorders>
            <w:vAlign w:val="center"/>
          </w:tcPr>
          <w:p w14:paraId="6656BCC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资源开发利用要求</w:t>
            </w:r>
          </w:p>
        </w:tc>
        <w:tc>
          <w:tcPr>
            <w:tcW w:w="7970" w:type="dxa"/>
            <w:tcBorders>
              <w:tl2br w:val="nil"/>
              <w:tr2bl w:val="nil"/>
            </w:tcBorders>
            <w:vAlign w:val="center"/>
          </w:tcPr>
          <w:p w14:paraId="2894E6FA">
            <w:pPr>
              <w:widowControl w:val="0"/>
              <w:adjustRightInd w:val="0"/>
              <w:snapToGrid w:val="0"/>
              <w:ind w:firstLine="360"/>
              <w:jc w:val="both"/>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2601" w:type="dxa"/>
            <w:tcBorders>
              <w:tl2br w:val="nil"/>
              <w:tr2bl w:val="nil"/>
            </w:tcBorders>
            <w:vAlign w:val="center"/>
          </w:tcPr>
          <w:p w14:paraId="736DBFA3">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024" w:type="dxa"/>
            <w:tcBorders>
              <w:tl2br w:val="nil"/>
              <w:tr2bl w:val="nil"/>
            </w:tcBorders>
            <w:vAlign w:val="center"/>
          </w:tcPr>
          <w:p w14:paraId="545DC09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1D22B9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726" w:type="dxa"/>
            <w:vMerge w:val="continue"/>
            <w:tcBorders>
              <w:tl2br w:val="nil"/>
              <w:tr2bl w:val="nil"/>
            </w:tcBorders>
            <w:vAlign w:val="center"/>
          </w:tcPr>
          <w:p w14:paraId="0927E8F6">
            <w:pPr>
              <w:widowControl w:val="0"/>
              <w:jc w:val="center"/>
              <w:rPr>
                <w:color w:val="000000" w:themeColor="text1"/>
                <w:sz w:val="18"/>
                <w:szCs w:val="18"/>
                <w14:textFill>
                  <w14:solidFill>
                    <w14:schemeClr w14:val="tx1"/>
                  </w14:solidFill>
                </w14:textFill>
              </w:rPr>
            </w:pPr>
          </w:p>
        </w:tc>
        <w:tc>
          <w:tcPr>
            <w:tcW w:w="725" w:type="dxa"/>
            <w:vMerge w:val="restart"/>
            <w:tcBorders>
              <w:tl2br w:val="nil"/>
              <w:tr2bl w:val="nil"/>
            </w:tcBorders>
            <w:vAlign w:val="center"/>
          </w:tcPr>
          <w:p w14:paraId="5B20CAE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巴中市重点管控单元要求</w:t>
            </w:r>
          </w:p>
        </w:tc>
        <w:tc>
          <w:tcPr>
            <w:tcW w:w="725" w:type="dxa"/>
            <w:tcBorders>
              <w:tl2br w:val="nil"/>
              <w:tr2bl w:val="nil"/>
            </w:tcBorders>
            <w:vAlign w:val="center"/>
          </w:tcPr>
          <w:p w14:paraId="1415003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空间布局约束</w:t>
            </w:r>
          </w:p>
        </w:tc>
        <w:tc>
          <w:tcPr>
            <w:tcW w:w="7970" w:type="dxa"/>
            <w:tcBorders>
              <w:tl2br w:val="nil"/>
              <w:tr2bl w:val="nil"/>
            </w:tcBorders>
            <w:vAlign w:val="center"/>
          </w:tcPr>
          <w:p w14:paraId="04B556CF">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【禁止开发建设活动的要求】</w:t>
            </w:r>
          </w:p>
          <w:p w14:paraId="3BCFF21B">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执行要素重点管控单元总体准入要求</w:t>
            </w:r>
          </w:p>
          <w:p w14:paraId="3387C469">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【限制开发建设活动的要求】</w:t>
            </w:r>
          </w:p>
          <w:p w14:paraId="7A86B85F">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（1）大气布局敏感重点管控区严格项目引入政策，严控新建水泥厂、危废焚烧、砖瓦厂、陶瓷厂、混凝土及制品等以大气污染为主的企业。</w:t>
            </w:r>
          </w:p>
          <w:p w14:paraId="1D5C189D">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（2）其他执行要素重点管控单元总体准入要求</w:t>
            </w:r>
          </w:p>
          <w:p w14:paraId="7128FB80">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【允许开发建设活动的要求】</w:t>
            </w:r>
          </w:p>
          <w:p w14:paraId="4C454DBE">
            <w:pPr>
              <w:widowControl w:val="0"/>
              <w:adjustRightInd w:val="0"/>
              <w:snapToGrid w:val="0"/>
              <w:ind w:firstLine="360"/>
              <w:jc w:val="left"/>
              <w:rPr>
                <w:color w:val="000000" w:themeColor="text1"/>
                <w:kern w:val="0"/>
                <w:sz w:val="18"/>
                <w:szCs w:val="18"/>
                <w14:textFill>
                  <w14:solidFill>
                    <w14:schemeClr w14:val="tx1"/>
                  </w14:solidFill>
                </w14:textFill>
              </w:rPr>
            </w:pPr>
            <w:r>
              <w:rPr>
                <w:rFonts w:ascii="Cambria Math" w:hAnsi="Cambria Math" w:cs="Cambria Math"/>
                <w:color w:val="000000" w:themeColor="text1"/>
                <w:kern w:val="0"/>
                <w:sz w:val="18"/>
                <w:szCs w:val="18"/>
                <w14:textFill>
                  <w14:solidFill>
                    <w14:schemeClr w14:val="tx1"/>
                  </w14:solidFill>
                </w14:textFill>
              </w:rPr>
              <w:t>△</w:t>
            </w:r>
          </w:p>
          <w:p w14:paraId="19C44FC3">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【不符合空间布局要求活动的退出要求】</w:t>
            </w:r>
          </w:p>
          <w:p w14:paraId="1B34A83C">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位于城镇空间外的工业园区外工业企业：具有合法手续的企业，且污染物排放及环境风险满足管理要求的企业，可继续保留，要求污染物排放只降不增，并进一步加强日常环保监管；严控新（扩）建水泥厂、危废焚烧、陶瓷厂等以大气污染为主的企业；不具备合法手续，或污染物排放超标、环境风险不可控的企业，限期进行整改提升，通过环保、安全、工艺装备升级等落实整改措施并达到相关标准实现合法生产，整改后仍不能达到要求的，属地政府应按相关要求责令关停并退出。</w:t>
            </w:r>
          </w:p>
          <w:p w14:paraId="4E26C8B5">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（2）其他执行要素重点管控单元普适性管控要求。</w:t>
            </w:r>
          </w:p>
          <w:p w14:paraId="40EEA976">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【其他空间布局约束要求】</w:t>
            </w:r>
          </w:p>
          <w:p w14:paraId="1EE7E850">
            <w:pPr>
              <w:widowControl w:val="0"/>
              <w:adjustRightInd w:val="0"/>
              <w:snapToGrid w:val="0"/>
              <w:ind w:firstLine="360"/>
              <w:jc w:val="left"/>
              <w:rPr>
                <w:color w:val="000000" w:themeColor="text1"/>
                <w:kern w:val="0"/>
                <w:sz w:val="18"/>
                <w:szCs w:val="18"/>
                <w14:textFill>
                  <w14:solidFill>
                    <w14:schemeClr w14:val="tx1"/>
                  </w14:solidFill>
                </w14:textFill>
              </w:rPr>
            </w:pPr>
            <w:r>
              <w:rPr>
                <w:rFonts w:ascii="Cambria Math" w:hAnsi="Cambria Math" w:cs="Cambria Math"/>
                <w:color w:val="000000" w:themeColor="text1"/>
                <w:kern w:val="0"/>
                <w:sz w:val="18"/>
                <w:szCs w:val="18"/>
                <w14:textFill>
                  <w14:solidFill>
                    <w14:schemeClr w14:val="tx1"/>
                  </w14:solidFill>
                </w14:textFill>
              </w:rPr>
              <w:t>△</w:t>
            </w:r>
          </w:p>
        </w:tc>
        <w:tc>
          <w:tcPr>
            <w:tcW w:w="2601" w:type="dxa"/>
            <w:tcBorders>
              <w:tl2br w:val="nil"/>
              <w:tr2bl w:val="nil"/>
            </w:tcBorders>
            <w:vAlign w:val="center"/>
          </w:tcPr>
          <w:p w14:paraId="41C813BD">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本项目为肉牛养殖项目，不属于前述禁止、限制和不符合空间布局的项目类型。</w:t>
            </w:r>
          </w:p>
        </w:tc>
        <w:tc>
          <w:tcPr>
            <w:tcW w:w="1024" w:type="dxa"/>
            <w:tcBorders>
              <w:tl2br w:val="nil"/>
              <w:tr2bl w:val="nil"/>
            </w:tcBorders>
            <w:vAlign w:val="center"/>
          </w:tcPr>
          <w:p w14:paraId="33AA08D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637B88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26" w:type="dxa"/>
            <w:vMerge w:val="continue"/>
            <w:tcBorders>
              <w:tl2br w:val="nil"/>
              <w:tr2bl w:val="nil"/>
            </w:tcBorders>
            <w:vAlign w:val="center"/>
          </w:tcPr>
          <w:p w14:paraId="58349FE6">
            <w:pPr>
              <w:widowControl w:val="0"/>
              <w:jc w:val="center"/>
              <w:rPr>
                <w:color w:val="000000" w:themeColor="text1"/>
                <w:sz w:val="18"/>
                <w:szCs w:val="18"/>
                <w14:textFill>
                  <w14:solidFill>
                    <w14:schemeClr w14:val="tx1"/>
                  </w14:solidFill>
                </w14:textFill>
              </w:rPr>
            </w:pPr>
          </w:p>
        </w:tc>
        <w:tc>
          <w:tcPr>
            <w:tcW w:w="725" w:type="dxa"/>
            <w:vMerge w:val="continue"/>
            <w:tcBorders>
              <w:tl2br w:val="nil"/>
              <w:tr2bl w:val="nil"/>
            </w:tcBorders>
            <w:vAlign w:val="center"/>
          </w:tcPr>
          <w:p w14:paraId="75E7204E">
            <w:pPr>
              <w:widowControl w:val="0"/>
              <w:jc w:val="center"/>
              <w:rPr>
                <w:color w:val="000000" w:themeColor="text1"/>
                <w:sz w:val="18"/>
                <w:szCs w:val="18"/>
                <w14:textFill>
                  <w14:solidFill>
                    <w14:schemeClr w14:val="tx1"/>
                  </w14:solidFill>
                </w14:textFill>
              </w:rPr>
            </w:pPr>
          </w:p>
        </w:tc>
        <w:tc>
          <w:tcPr>
            <w:tcW w:w="725" w:type="dxa"/>
            <w:tcBorders>
              <w:tl2br w:val="nil"/>
              <w:tr2bl w:val="nil"/>
            </w:tcBorders>
            <w:vAlign w:val="center"/>
          </w:tcPr>
          <w:p w14:paraId="3ECF43C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污染物排放管控</w:t>
            </w:r>
          </w:p>
        </w:tc>
        <w:tc>
          <w:tcPr>
            <w:tcW w:w="7970" w:type="dxa"/>
            <w:tcBorders>
              <w:tl2br w:val="nil"/>
              <w:tr2bl w:val="nil"/>
            </w:tcBorders>
            <w:vAlign w:val="center"/>
          </w:tcPr>
          <w:p w14:paraId="3068E5DE">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【现有源提标升级改造】</w:t>
            </w:r>
          </w:p>
          <w:p w14:paraId="434739AF">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（1）大气布局敏感重点管控区中的大气污染排放源执行国家、省、行业排放标准中规定的大气污染物特别排放限值。</w:t>
            </w:r>
          </w:p>
          <w:p w14:paraId="1E7CC5B8">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（2）其他执行要素重点管控单元总体准入要求</w:t>
            </w:r>
          </w:p>
          <w:p w14:paraId="33B9E0D6">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【新增源等量或倍量替代】</w:t>
            </w:r>
          </w:p>
          <w:p w14:paraId="7CF34608">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执行要素重点管控单元总体准入要求</w:t>
            </w:r>
          </w:p>
          <w:p w14:paraId="1BD2AE60">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【新增源排放标准限值】</w:t>
            </w:r>
          </w:p>
          <w:p w14:paraId="7C7849F3">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执行要素重点管控单元总体准入要求</w:t>
            </w:r>
          </w:p>
          <w:p w14:paraId="2DB9EE82">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【污染物排放绩效水平准入要求】</w:t>
            </w:r>
          </w:p>
          <w:p w14:paraId="50FFB530">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执行要素重点管控单元总体准入要求</w:t>
            </w:r>
          </w:p>
          <w:p w14:paraId="7CD6C29B">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【其他污染物排放管控要求】</w:t>
            </w:r>
          </w:p>
          <w:p w14:paraId="55F4C226">
            <w:pPr>
              <w:widowControl w:val="0"/>
              <w:adjustRightInd w:val="0"/>
              <w:snapToGrid w:val="0"/>
              <w:ind w:firstLine="360"/>
              <w:jc w:val="left"/>
              <w:rPr>
                <w:color w:val="000000" w:themeColor="text1"/>
                <w:kern w:val="0"/>
                <w:sz w:val="18"/>
                <w:szCs w:val="18"/>
                <w14:textFill>
                  <w14:solidFill>
                    <w14:schemeClr w14:val="tx1"/>
                  </w14:solidFill>
                </w14:textFill>
              </w:rPr>
            </w:pPr>
            <w:r>
              <w:rPr>
                <w:rFonts w:ascii="Cambria Math" w:hAnsi="Cambria Math" w:cs="Cambria Math"/>
                <w:color w:val="000000" w:themeColor="text1"/>
                <w:kern w:val="0"/>
                <w:sz w:val="18"/>
                <w:szCs w:val="18"/>
                <w14:textFill>
                  <w14:solidFill>
                    <w14:schemeClr w14:val="tx1"/>
                  </w14:solidFill>
                </w14:textFill>
              </w:rPr>
              <w:t>△</w:t>
            </w:r>
          </w:p>
        </w:tc>
        <w:tc>
          <w:tcPr>
            <w:tcW w:w="2601" w:type="dxa"/>
            <w:tcBorders>
              <w:tl2br w:val="nil"/>
              <w:tr2bl w:val="nil"/>
            </w:tcBorders>
            <w:vAlign w:val="center"/>
          </w:tcPr>
          <w:p w14:paraId="29C8FFCD">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本项目为新建项目，非现有源提标改造雷响，项目</w:t>
            </w:r>
            <w:r>
              <w:rPr>
                <w:sz w:val="18"/>
                <w:szCs w:val="18"/>
              </w:rPr>
              <w:t>采用发酵床养殖工艺，无废水外排，无水污染物排入环境。</w:t>
            </w:r>
          </w:p>
        </w:tc>
        <w:tc>
          <w:tcPr>
            <w:tcW w:w="1024" w:type="dxa"/>
            <w:tcBorders>
              <w:tl2br w:val="nil"/>
              <w:tr2bl w:val="nil"/>
            </w:tcBorders>
            <w:vAlign w:val="center"/>
          </w:tcPr>
          <w:p w14:paraId="1F0A26B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44C1CD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726" w:type="dxa"/>
            <w:vMerge w:val="continue"/>
            <w:tcBorders>
              <w:tl2br w:val="nil"/>
              <w:tr2bl w:val="nil"/>
            </w:tcBorders>
            <w:vAlign w:val="center"/>
          </w:tcPr>
          <w:p w14:paraId="1541D003">
            <w:pPr>
              <w:widowControl w:val="0"/>
              <w:jc w:val="center"/>
              <w:rPr>
                <w:color w:val="000000" w:themeColor="text1"/>
                <w:sz w:val="18"/>
                <w:szCs w:val="18"/>
                <w14:textFill>
                  <w14:solidFill>
                    <w14:schemeClr w14:val="tx1"/>
                  </w14:solidFill>
                </w14:textFill>
              </w:rPr>
            </w:pPr>
          </w:p>
        </w:tc>
        <w:tc>
          <w:tcPr>
            <w:tcW w:w="725" w:type="dxa"/>
            <w:vMerge w:val="continue"/>
            <w:tcBorders>
              <w:tl2br w:val="nil"/>
              <w:tr2bl w:val="nil"/>
            </w:tcBorders>
            <w:vAlign w:val="center"/>
          </w:tcPr>
          <w:p w14:paraId="18D5AEA0">
            <w:pPr>
              <w:widowControl w:val="0"/>
              <w:jc w:val="center"/>
              <w:rPr>
                <w:color w:val="000000" w:themeColor="text1"/>
                <w:sz w:val="18"/>
                <w:szCs w:val="18"/>
                <w14:textFill>
                  <w14:solidFill>
                    <w14:schemeClr w14:val="tx1"/>
                  </w14:solidFill>
                </w14:textFill>
              </w:rPr>
            </w:pPr>
          </w:p>
        </w:tc>
        <w:tc>
          <w:tcPr>
            <w:tcW w:w="725" w:type="dxa"/>
            <w:tcBorders>
              <w:tl2br w:val="nil"/>
              <w:tr2bl w:val="nil"/>
            </w:tcBorders>
            <w:vAlign w:val="center"/>
          </w:tcPr>
          <w:p w14:paraId="5898F80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环境风险防控</w:t>
            </w:r>
          </w:p>
        </w:tc>
        <w:tc>
          <w:tcPr>
            <w:tcW w:w="7970" w:type="dxa"/>
            <w:tcBorders>
              <w:tl2br w:val="nil"/>
              <w:tr2bl w:val="nil"/>
            </w:tcBorders>
            <w:vAlign w:val="center"/>
          </w:tcPr>
          <w:p w14:paraId="7F71194F">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【严格管控类农用地管控要求】</w:t>
            </w:r>
          </w:p>
          <w:p w14:paraId="30E4DEF1">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（1）开展矿区废弃地、尾矿坝生态治理示范，推进工矿废弃地修复和再利用；</w:t>
            </w:r>
          </w:p>
          <w:p w14:paraId="5749851D">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巴州区凌云乡鼓楼山村二组张家梁砂岩矿重点治理区、巴州区凌云乡柏垭庙村三组立木垭砂岩矿重点治理区、巴州区玉堂办事处登高居委会二组党家湾页岩矿重点治理区需在高陡边坡防护加固，平整土地，种草恢复植被、恢复地貌景观，加强环境监测管理。</w:t>
            </w:r>
          </w:p>
          <w:p w14:paraId="3A8480E7">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【安全利用类农用地管控要求】</w:t>
            </w:r>
          </w:p>
          <w:p w14:paraId="0851EFD1">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（1）开展矿区废弃地、尾矿坝生态治理示范，推进工矿废弃地修复和再利用；</w:t>
            </w:r>
          </w:p>
          <w:p w14:paraId="4A69ECDB">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巴州区凌云乡鼓楼山村二组张家梁砂岩矿重点治理区、巴州区凌云乡柏垭庙村三组立木垭砂岩矿重点治理区、巴州区玉堂办事处登高居委会二组党家湾页岩矿重点治理区需在高陡边坡防护加固，平整土地，种草恢复植被、恢复地貌景观，加强环境监测管理。</w:t>
            </w:r>
          </w:p>
          <w:p w14:paraId="5CB075C8">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【污染地块管控要求】</w:t>
            </w:r>
          </w:p>
          <w:p w14:paraId="78A36CE5">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（1）开展矿区废弃地、尾矿坝生态治理示范，推进工矿废弃地修复和再利用；</w:t>
            </w:r>
          </w:p>
          <w:p w14:paraId="309574F8">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巴州区凌云乡鼓楼山村二组张家梁砂岩矿重点治理区、巴州区凌云乡柏垭庙村三组立木垭砂岩矿重点治理区、巴州区玉堂办事处登高居委会二组党家湾页岩矿重点治理区需在高陡边坡防护加固，平整土地，种草恢复植被、恢复地貌景观，加强环境监测管理。/</w:t>
            </w:r>
          </w:p>
          <w:p w14:paraId="70B51799">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【企业环境风险防控要求】</w:t>
            </w:r>
          </w:p>
          <w:p w14:paraId="6E5729B0">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执行要素重点管控单元总体准入要求</w:t>
            </w:r>
          </w:p>
          <w:p w14:paraId="20E72E5D">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【其他环境风险防控要求】</w:t>
            </w:r>
          </w:p>
          <w:p w14:paraId="5FEA6F23">
            <w:pPr>
              <w:widowControl w:val="0"/>
              <w:adjustRightInd w:val="0"/>
              <w:snapToGrid w:val="0"/>
              <w:ind w:firstLine="360"/>
              <w:jc w:val="left"/>
              <w:rPr>
                <w:color w:val="000000" w:themeColor="text1"/>
                <w:kern w:val="0"/>
                <w:sz w:val="18"/>
                <w:szCs w:val="18"/>
                <w14:textFill>
                  <w14:solidFill>
                    <w14:schemeClr w14:val="tx1"/>
                  </w14:solidFill>
                </w14:textFill>
              </w:rPr>
            </w:pPr>
            <w:r>
              <w:rPr>
                <w:rFonts w:ascii="Cambria Math" w:hAnsi="Cambria Math" w:cs="Cambria Math"/>
                <w:color w:val="000000" w:themeColor="text1"/>
                <w:kern w:val="0"/>
                <w:sz w:val="18"/>
                <w:szCs w:val="18"/>
                <w14:textFill>
                  <w14:solidFill>
                    <w14:schemeClr w14:val="tx1"/>
                  </w14:solidFill>
                </w14:textFill>
              </w:rPr>
              <w:t>△</w:t>
            </w:r>
          </w:p>
        </w:tc>
        <w:tc>
          <w:tcPr>
            <w:tcW w:w="2601" w:type="dxa"/>
            <w:tcBorders>
              <w:tl2br w:val="nil"/>
              <w:tr2bl w:val="nil"/>
            </w:tcBorders>
            <w:vAlign w:val="center"/>
          </w:tcPr>
          <w:p w14:paraId="3FB68B40">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本项目为肉牛养殖项目，主要为林地转为农用设施用地，项目已严格按照国家相关政策要求，提交项目农用设施用地申请，并取得批复。企业将按现有法规要求严格落实环境风险管控要求。</w:t>
            </w:r>
          </w:p>
        </w:tc>
        <w:tc>
          <w:tcPr>
            <w:tcW w:w="1024" w:type="dxa"/>
            <w:tcBorders>
              <w:tl2br w:val="nil"/>
              <w:tr2bl w:val="nil"/>
            </w:tcBorders>
            <w:vAlign w:val="center"/>
          </w:tcPr>
          <w:p w14:paraId="5908E18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59CB50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726" w:type="dxa"/>
            <w:vMerge w:val="continue"/>
            <w:tcBorders>
              <w:tl2br w:val="nil"/>
              <w:tr2bl w:val="nil"/>
            </w:tcBorders>
            <w:vAlign w:val="center"/>
          </w:tcPr>
          <w:p w14:paraId="59E6CB24">
            <w:pPr>
              <w:widowControl w:val="0"/>
              <w:jc w:val="center"/>
              <w:rPr>
                <w:color w:val="000000" w:themeColor="text1"/>
                <w:sz w:val="18"/>
                <w:szCs w:val="18"/>
                <w14:textFill>
                  <w14:solidFill>
                    <w14:schemeClr w14:val="tx1"/>
                  </w14:solidFill>
                </w14:textFill>
              </w:rPr>
            </w:pPr>
          </w:p>
        </w:tc>
        <w:tc>
          <w:tcPr>
            <w:tcW w:w="725" w:type="dxa"/>
            <w:vMerge w:val="continue"/>
            <w:tcBorders>
              <w:tl2br w:val="nil"/>
              <w:tr2bl w:val="nil"/>
            </w:tcBorders>
            <w:vAlign w:val="center"/>
          </w:tcPr>
          <w:p w14:paraId="060C1CB7">
            <w:pPr>
              <w:widowControl w:val="0"/>
              <w:jc w:val="center"/>
              <w:rPr>
                <w:color w:val="000000" w:themeColor="text1"/>
                <w:sz w:val="18"/>
                <w:szCs w:val="18"/>
                <w14:textFill>
                  <w14:solidFill>
                    <w14:schemeClr w14:val="tx1"/>
                  </w14:solidFill>
                </w14:textFill>
              </w:rPr>
            </w:pPr>
          </w:p>
        </w:tc>
        <w:tc>
          <w:tcPr>
            <w:tcW w:w="725" w:type="dxa"/>
            <w:tcBorders>
              <w:tl2br w:val="nil"/>
              <w:tr2bl w:val="nil"/>
            </w:tcBorders>
            <w:vAlign w:val="center"/>
          </w:tcPr>
          <w:p w14:paraId="19B65CE5">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资源开发利用要求</w:t>
            </w:r>
          </w:p>
        </w:tc>
        <w:tc>
          <w:tcPr>
            <w:tcW w:w="7970" w:type="dxa"/>
            <w:tcBorders>
              <w:tl2br w:val="nil"/>
              <w:tr2bl w:val="nil"/>
            </w:tcBorders>
            <w:vAlign w:val="center"/>
          </w:tcPr>
          <w:p w14:paraId="04166A74">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【水资源利用效率要求】</w:t>
            </w:r>
          </w:p>
          <w:p w14:paraId="6AFE8C86">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执行要素重点管控单元总体准入要求</w:t>
            </w:r>
          </w:p>
          <w:p w14:paraId="4261ED36">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【地下水开采要求】</w:t>
            </w:r>
          </w:p>
          <w:p w14:paraId="41D60643">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执行要素重点管控单元总体准入要求</w:t>
            </w:r>
          </w:p>
          <w:p w14:paraId="4ABB036B">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【能源利用效率要求】</w:t>
            </w:r>
          </w:p>
          <w:p w14:paraId="037EF9DD">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执行要素重点管控单元总体准入要求</w:t>
            </w:r>
          </w:p>
          <w:p w14:paraId="39444C88">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【其他资源利用效率要求】</w:t>
            </w:r>
          </w:p>
          <w:p w14:paraId="0C38CE8F">
            <w:pPr>
              <w:widowControl w:val="0"/>
              <w:adjustRightInd w:val="0"/>
              <w:snapToGrid w:val="0"/>
              <w:ind w:firstLine="360"/>
              <w:jc w:val="left"/>
              <w:rPr>
                <w:color w:val="000000" w:themeColor="text1"/>
                <w:kern w:val="0"/>
                <w:sz w:val="18"/>
                <w:szCs w:val="18"/>
                <w14:textFill>
                  <w14:solidFill>
                    <w14:schemeClr w14:val="tx1"/>
                  </w14:solidFill>
                </w14:textFill>
              </w:rPr>
            </w:pPr>
            <w:r>
              <w:rPr>
                <w:rFonts w:ascii="Cambria Math" w:hAnsi="Cambria Math" w:cs="Cambria Math"/>
                <w:color w:val="000000" w:themeColor="text1"/>
                <w:kern w:val="0"/>
                <w:sz w:val="18"/>
                <w:szCs w:val="18"/>
                <w14:textFill>
                  <w14:solidFill>
                    <w14:schemeClr w14:val="tx1"/>
                  </w14:solidFill>
                </w14:textFill>
              </w:rPr>
              <w:t>△</w:t>
            </w:r>
          </w:p>
        </w:tc>
        <w:tc>
          <w:tcPr>
            <w:tcW w:w="2601" w:type="dxa"/>
            <w:tcBorders>
              <w:tl2br w:val="nil"/>
              <w:tr2bl w:val="nil"/>
            </w:tcBorders>
            <w:vAlign w:val="center"/>
          </w:tcPr>
          <w:p w14:paraId="7A58EC8F">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本项目为肉牛养殖，不涉及燃用高污染燃料，不涉及使用商品煤或开采地下水等情况。项目用水不会导致区域用水量的明显变动。</w:t>
            </w:r>
          </w:p>
        </w:tc>
        <w:tc>
          <w:tcPr>
            <w:tcW w:w="1024" w:type="dxa"/>
            <w:tcBorders>
              <w:tl2br w:val="nil"/>
              <w:tr2bl w:val="nil"/>
            </w:tcBorders>
            <w:vAlign w:val="center"/>
          </w:tcPr>
          <w:p w14:paraId="4078150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0602BD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726" w:type="dxa"/>
            <w:vMerge w:val="continue"/>
            <w:tcBorders>
              <w:tl2br w:val="nil"/>
              <w:tr2bl w:val="nil"/>
            </w:tcBorders>
            <w:vAlign w:val="center"/>
          </w:tcPr>
          <w:p w14:paraId="67D7AB32">
            <w:pPr>
              <w:widowControl w:val="0"/>
              <w:jc w:val="center"/>
              <w:rPr>
                <w:color w:val="000000" w:themeColor="text1"/>
                <w:sz w:val="18"/>
                <w:szCs w:val="18"/>
                <w14:textFill>
                  <w14:solidFill>
                    <w14:schemeClr w14:val="tx1"/>
                  </w14:solidFill>
                </w14:textFill>
              </w:rPr>
            </w:pPr>
          </w:p>
        </w:tc>
        <w:tc>
          <w:tcPr>
            <w:tcW w:w="725" w:type="dxa"/>
            <w:vMerge w:val="restart"/>
            <w:tcBorders>
              <w:tl2br w:val="nil"/>
              <w:tr2bl w:val="nil"/>
            </w:tcBorders>
            <w:vAlign w:val="center"/>
          </w:tcPr>
          <w:p w14:paraId="57CF971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巴州区</w:t>
            </w:r>
          </w:p>
          <w:p w14:paraId="51E37BAF">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普适性管控要求</w:t>
            </w:r>
          </w:p>
        </w:tc>
        <w:tc>
          <w:tcPr>
            <w:tcW w:w="725" w:type="dxa"/>
            <w:tcBorders>
              <w:tl2br w:val="nil"/>
              <w:tr2bl w:val="nil"/>
            </w:tcBorders>
            <w:vAlign w:val="center"/>
          </w:tcPr>
          <w:p w14:paraId="1F0CC2D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空间布局约束</w:t>
            </w:r>
          </w:p>
        </w:tc>
        <w:tc>
          <w:tcPr>
            <w:tcW w:w="7970" w:type="dxa"/>
            <w:tcBorders>
              <w:tl2br w:val="nil"/>
              <w:tr2bl w:val="nil"/>
            </w:tcBorders>
            <w:vAlign w:val="center"/>
          </w:tcPr>
          <w:p w14:paraId="479C6D67">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【限制开发建设活动的要求】</w:t>
            </w:r>
          </w:p>
          <w:p w14:paraId="571DEF71">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【不符合空间布局要求活动的退出要求】</w:t>
            </w:r>
          </w:p>
          <w:p w14:paraId="3277B8E3">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-加强流域水污染防治，推进流域水生态环境修复与治理；</w:t>
            </w:r>
          </w:p>
          <w:p w14:paraId="35FCB974">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-加强城市精细化管理，提升市民对环境的幸福感、获得感。</w:t>
            </w:r>
          </w:p>
          <w:p w14:paraId="3B635A94">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其他空间布局约束要求</w:t>
            </w:r>
          </w:p>
          <w:p w14:paraId="6D96A585">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2601" w:type="dxa"/>
            <w:tcBorders>
              <w:tl2br w:val="nil"/>
              <w:tr2bl w:val="nil"/>
            </w:tcBorders>
            <w:vAlign w:val="center"/>
          </w:tcPr>
          <w:p w14:paraId="4758E3A4">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本项目肉牛养殖</w:t>
            </w:r>
            <w:r>
              <w:rPr>
                <w:sz w:val="18"/>
                <w:szCs w:val="18"/>
              </w:rPr>
              <w:t>，项目实施不会对周边环境造成明显不利影响。项目有利于当地农民收入增长，提高幸福感。</w:t>
            </w:r>
          </w:p>
        </w:tc>
        <w:tc>
          <w:tcPr>
            <w:tcW w:w="1024" w:type="dxa"/>
            <w:tcBorders>
              <w:tl2br w:val="nil"/>
              <w:tr2bl w:val="nil"/>
            </w:tcBorders>
            <w:vAlign w:val="center"/>
          </w:tcPr>
          <w:p w14:paraId="3821DC07">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1D01BD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726" w:type="dxa"/>
            <w:vMerge w:val="continue"/>
            <w:tcBorders>
              <w:tl2br w:val="nil"/>
              <w:tr2bl w:val="nil"/>
            </w:tcBorders>
            <w:vAlign w:val="center"/>
          </w:tcPr>
          <w:p w14:paraId="321A9022">
            <w:pPr>
              <w:widowControl w:val="0"/>
              <w:jc w:val="center"/>
              <w:rPr>
                <w:color w:val="000000" w:themeColor="text1"/>
                <w:sz w:val="18"/>
                <w:szCs w:val="18"/>
                <w14:textFill>
                  <w14:solidFill>
                    <w14:schemeClr w14:val="tx1"/>
                  </w14:solidFill>
                </w14:textFill>
              </w:rPr>
            </w:pPr>
          </w:p>
        </w:tc>
        <w:tc>
          <w:tcPr>
            <w:tcW w:w="725" w:type="dxa"/>
            <w:vMerge w:val="continue"/>
            <w:tcBorders>
              <w:tl2br w:val="nil"/>
              <w:tr2bl w:val="nil"/>
            </w:tcBorders>
            <w:vAlign w:val="center"/>
          </w:tcPr>
          <w:p w14:paraId="401832FB">
            <w:pPr>
              <w:widowControl w:val="0"/>
              <w:jc w:val="center"/>
              <w:rPr>
                <w:color w:val="000000" w:themeColor="text1"/>
                <w:sz w:val="18"/>
                <w:szCs w:val="18"/>
                <w14:textFill>
                  <w14:solidFill>
                    <w14:schemeClr w14:val="tx1"/>
                  </w14:solidFill>
                </w14:textFill>
              </w:rPr>
            </w:pPr>
          </w:p>
        </w:tc>
        <w:tc>
          <w:tcPr>
            <w:tcW w:w="725" w:type="dxa"/>
            <w:tcBorders>
              <w:tl2br w:val="nil"/>
              <w:tr2bl w:val="nil"/>
            </w:tcBorders>
            <w:vAlign w:val="center"/>
          </w:tcPr>
          <w:p w14:paraId="7B689DB9">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污染物排放管控</w:t>
            </w:r>
          </w:p>
        </w:tc>
        <w:tc>
          <w:tcPr>
            <w:tcW w:w="7970" w:type="dxa"/>
            <w:tcBorders>
              <w:tl2br w:val="nil"/>
              <w:tr2bl w:val="nil"/>
            </w:tcBorders>
            <w:vAlign w:val="center"/>
          </w:tcPr>
          <w:p w14:paraId="7777BA8A">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【新增源等量或倍量替代】</w:t>
            </w:r>
          </w:p>
          <w:p w14:paraId="473C358C">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 xml:space="preserve"> -加强工业园区内和园区外企业污染排放监管，推进“散乱污”企业整治；</w:t>
            </w:r>
          </w:p>
          <w:p w14:paraId="6BDF079C">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-强化扬尘源、燃烧源和移动源等大气污染防治。</w:t>
            </w:r>
          </w:p>
          <w:p w14:paraId="6633DE03">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【污染物排放绩效水平准入要求】</w:t>
            </w:r>
          </w:p>
          <w:p w14:paraId="6ED8FA1F">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强化建筑垃圾、生活垃圾、餐厨垃圾综合利用和无害化处置及危险废物环境风险管控。</w:t>
            </w:r>
          </w:p>
        </w:tc>
        <w:tc>
          <w:tcPr>
            <w:tcW w:w="2601" w:type="dxa"/>
            <w:tcBorders>
              <w:tl2br w:val="nil"/>
              <w:tr2bl w:val="nil"/>
            </w:tcBorders>
            <w:vAlign w:val="center"/>
          </w:tcPr>
          <w:p w14:paraId="150059B8">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本项目将严格落实各项污染防治措施，确保达标排放。各项固废综合利用或无害化治理措施合理有效。</w:t>
            </w:r>
          </w:p>
        </w:tc>
        <w:tc>
          <w:tcPr>
            <w:tcW w:w="1024" w:type="dxa"/>
            <w:tcBorders>
              <w:tl2br w:val="nil"/>
              <w:tr2bl w:val="nil"/>
            </w:tcBorders>
            <w:vAlign w:val="center"/>
          </w:tcPr>
          <w:p w14:paraId="497EB565">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058204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726" w:type="dxa"/>
            <w:vMerge w:val="continue"/>
            <w:tcBorders>
              <w:tl2br w:val="nil"/>
              <w:tr2bl w:val="nil"/>
            </w:tcBorders>
            <w:vAlign w:val="center"/>
          </w:tcPr>
          <w:p w14:paraId="66CDFC35">
            <w:pPr>
              <w:widowControl w:val="0"/>
              <w:jc w:val="center"/>
              <w:rPr>
                <w:color w:val="000000" w:themeColor="text1"/>
                <w:sz w:val="18"/>
                <w:szCs w:val="18"/>
                <w14:textFill>
                  <w14:solidFill>
                    <w14:schemeClr w14:val="tx1"/>
                  </w14:solidFill>
                </w14:textFill>
              </w:rPr>
            </w:pPr>
          </w:p>
        </w:tc>
        <w:tc>
          <w:tcPr>
            <w:tcW w:w="725" w:type="dxa"/>
            <w:vMerge w:val="continue"/>
            <w:tcBorders>
              <w:tl2br w:val="nil"/>
              <w:tr2bl w:val="nil"/>
            </w:tcBorders>
            <w:vAlign w:val="center"/>
          </w:tcPr>
          <w:p w14:paraId="07515AC5">
            <w:pPr>
              <w:widowControl w:val="0"/>
              <w:jc w:val="center"/>
              <w:rPr>
                <w:color w:val="000000" w:themeColor="text1"/>
                <w:sz w:val="18"/>
                <w:szCs w:val="18"/>
                <w14:textFill>
                  <w14:solidFill>
                    <w14:schemeClr w14:val="tx1"/>
                  </w14:solidFill>
                </w14:textFill>
              </w:rPr>
            </w:pPr>
          </w:p>
        </w:tc>
        <w:tc>
          <w:tcPr>
            <w:tcW w:w="725" w:type="dxa"/>
            <w:tcBorders>
              <w:tl2br w:val="nil"/>
              <w:tr2bl w:val="nil"/>
            </w:tcBorders>
            <w:vAlign w:val="center"/>
          </w:tcPr>
          <w:p w14:paraId="5713DF0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环境风险防控</w:t>
            </w:r>
          </w:p>
        </w:tc>
        <w:tc>
          <w:tcPr>
            <w:tcW w:w="7970" w:type="dxa"/>
            <w:tcBorders>
              <w:tl2br w:val="nil"/>
              <w:tr2bl w:val="nil"/>
            </w:tcBorders>
            <w:vAlign w:val="center"/>
          </w:tcPr>
          <w:p w14:paraId="3060EB5D">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2601" w:type="dxa"/>
            <w:tcBorders>
              <w:tl2br w:val="nil"/>
              <w:tr2bl w:val="nil"/>
            </w:tcBorders>
            <w:vAlign w:val="center"/>
          </w:tcPr>
          <w:p w14:paraId="11320902">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024" w:type="dxa"/>
            <w:tcBorders>
              <w:tl2br w:val="nil"/>
              <w:tr2bl w:val="nil"/>
            </w:tcBorders>
            <w:vAlign w:val="center"/>
          </w:tcPr>
          <w:p w14:paraId="47904A5F">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19BA92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726" w:type="dxa"/>
            <w:vMerge w:val="continue"/>
            <w:tcBorders>
              <w:tl2br w:val="nil"/>
              <w:tr2bl w:val="nil"/>
            </w:tcBorders>
            <w:vAlign w:val="center"/>
          </w:tcPr>
          <w:p w14:paraId="67F8D128">
            <w:pPr>
              <w:widowControl w:val="0"/>
              <w:jc w:val="center"/>
              <w:rPr>
                <w:color w:val="000000" w:themeColor="text1"/>
                <w:sz w:val="18"/>
                <w:szCs w:val="18"/>
                <w14:textFill>
                  <w14:solidFill>
                    <w14:schemeClr w14:val="tx1"/>
                  </w14:solidFill>
                </w14:textFill>
              </w:rPr>
            </w:pPr>
          </w:p>
        </w:tc>
        <w:tc>
          <w:tcPr>
            <w:tcW w:w="725" w:type="dxa"/>
            <w:vMerge w:val="continue"/>
            <w:tcBorders>
              <w:tl2br w:val="nil"/>
              <w:tr2bl w:val="nil"/>
            </w:tcBorders>
            <w:vAlign w:val="center"/>
          </w:tcPr>
          <w:p w14:paraId="4F7CD39B">
            <w:pPr>
              <w:widowControl w:val="0"/>
              <w:jc w:val="center"/>
              <w:rPr>
                <w:color w:val="000000" w:themeColor="text1"/>
                <w:sz w:val="18"/>
                <w:szCs w:val="18"/>
                <w14:textFill>
                  <w14:solidFill>
                    <w14:schemeClr w14:val="tx1"/>
                  </w14:solidFill>
                </w14:textFill>
              </w:rPr>
            </w:pPr>
          </w:p>
        </w:tc>
        <w:tc>
          <w:tcPr>
            <w:tcW w:w="725" w:type="dxa"/>
            <w:tcBorders>
              <w:tl2br w:val="nil"/>
              <w:tr2bl w:val="nil"/>
            </w:tcBorders>
            <w:vAlign w:val="center"/>
          </w:tcPr>
          <w:p w14:paraId="02CEC69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资源开发利用要求</w:t>
            </w:r>
          </w:p>
        </w:tc>
        <w:tc>
          <w:tcPr>
            <w:tcW w:w="7970" w:type="dxa"/>
            <w:tcBorders>
              <w:tl2br w:val="nil"/>
              <w:tr2bl w:val="nil"/>
            </w:tcBorders>
            <w:vAlign w:val="center"/>
          </w:tcPr>
          <w:p w14:paraId="51A63EB0">
            <w:pPr>
              <w:widowControl w:val="0"/>
              <w:adjustRightInd w:val="0"/>
              <w:snapToGrid w:val="0"/>
              <w:ind w:firstLine="36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2601" w:type="dxa"/>
            <w:tcBorders>
              <w:tl2br w:val="nil"/>
              <w:tr2bl w:val="nil"/>
            </w:tcBorders>
            <w:vAlign w:val="center"/>
          </w:tcPr>
          <w:p w14:paraId="71BFD4FB">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024" w:type="dxa"/>
            <w:tcBorders>
              <w:tl2br w:val="nil"/>
              <w:tr2bl w:val="nil"/>
            </w:tcBorders>
            <w:vAlign w:val="center"/>
          </w:tcPr>
          <w:p w14:paraId="675A995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bl>
    <w:p w14:paraId="2592184E">
      <w:pPr>
        <w:widowControl w:val="0"/>
        <w:jc w:val="center"/>
        <w:rPr>
          <w:color w:val="000000" w:themeColor="text1"/>
          <w:szCs w:val="21"/>
          <w14:textFill>
            <w14:solidFill>
              <w14:schemeClr w14:val="tx1"/>
            </w14:solidFill>
          </w14:textFill>
        </w:rPr>
        <w:sectPr>
          <w:footerReference r:id="rId8" w:type="default"/>
          <w:type w:val="continuous"/>
          <w:pgSz w:w="16840" w:h="11907" w:orient="landscape"/>
          <w:pgMar w:top="1797" w:right="1440" w:bottom="1797" w:left="1440" w:header="851" w:footer="992" w:gutter="0"/>
          <w:pgNumType w:chapStyle="1"/>
          <w:cols w:space="720" w:num="1"/>
          <w:docGrid w:linePitch="312" w:charSpace="0"/>
        </w:sectPr>
      </w:pPr>
    </w:p>
    <w:p w14:paraId="70BB34D6">
      <w:pPr>
        <w:pStyle w:val="814"/>
        <w:numPr>
          <w:ilvl w:val="0"/>
          <w:numId w:val="15"/>
        </w:numPr>
        <w:snapToGrid w:val="0"/>
        <w:rPr>
          <w:rFonts w:eastAsia="黑体"/>
          <w:bCs/>
          <w:szCs w:val="21"/>
        </w:rPr>
      </w:pPr>
      <w:r>
        <w:rPr>
          <w:rFonts w:eastAsia="黑体"/>
          <w:bCs/>
          <w:szCs w:val="21"/>
        </w:rPr>
        <w:t>本项目与涉及环境要素管控分区符合性分析</w:t>
      </w:r>
    </w:p>
    <w:tbl>
      <w:tblPr>
        <w:tblStyle w:val="89"/>
        <w:tblW w:w="485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712"/>
        <w:gridCol w:w="1036"/>
        <w:gridCol w:w="6975"/>
        <w:gridCol w:w="2977"/>
        <w:gridCol w:w="819"/>
      </w:tblGrid>
      <w:tr w14:paraId="78B8EF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056" w:type="dxa"/>
            <w:vMerge w:val="restart"/>
            <w:tcBorders>
              <w:tl2br w:val="nil"/>
              <w:tr2bl w:val="nil"/>
            </w:tcBorders>
            <w:vAlign w:val="center"/>
          </w:tcPr>
          <w:p w14:paraId="58E6E10A">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大气环境布局敏感重点管控区，YS5119022320001，巴州区大气环境布局敏感重点管控区</w:t>
            </w:r>
          </w:p>
        </w:tc>
        <w:tc>
          <w:tcPr>
            <w:tcW w:w="720" w:type="dxa"/>
            <w:vMerge w:val="restart"/>
            <w:tcBorders>
              <w:tl2br w:val="nil"/>
              <w:tr2bl w:val="nil"/>
            </w:tcBorders>
            <w:vAlign w:val="center"/>
          </w:tcPr>
          <w:p w14:paraId="2C541AA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巴州区要求</w:t>
            </w:r>
          </w:p>
        </w:tc>
        <w:tc>
          <w:tcPr>
            <w:tcW w:w="1050" w:type="dxa"/>
            <w:tcBorders>
              <w:tl2br w:val="nil"/>
              <w:tr2bl w:val="nil"/>
            </w:tcBorders>
            <w:vAlign w:val="center"/>
          </w:tcPr>
          <w:p w14:paraId="318FEA6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空间布局约束</w:t>
            </w:r>
          </w:p>
        </w:tc>
        <w:tc>
          <w:tcPr>
            <w:tcW w:w="7092" w:type="dxa"/>
            <w:tcBorders>
              <w:tl2br w:val="nil"/>
              <w:tr2bl w:val="nil"/>
            </w:tcBorders>
            <w:vAlign w:val="center"/>
          </w:tcPr>
          <w:p w14:paraId="791FB0C0">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【禁止开发建设活动的要求】</w:t>
            </w:r>
          </w:p>
          <w:p w14:paraId="4FCCBF51">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坚决遏制高耗能、高排放、低水平项目盲目发展，严格落实国家和四川省产业规划、产业政策、规划环评，以及产能置换、煤炭消费减量替代、区域污染物削减等要求，坚决叫停不符合要求的高耗能、高排放、低水平项目。</w:t>
            </w:r>
          </w:p>
          <w:p w14:paraId="7CD47325">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2、严禁新增钢铁、焦化、炼油、电解铝、水泥、平板玻璃（不含光伏玻璃）等产能。</w:t>
            </w:r>
          </w:p>
        </w:tc>
        <w:tc>
          <w:tcPr>
            <w:tcW w:w="3024" w:type="dxa"/>
            <w:tcBorders>
              <w:tl2br w:val="nil"/>
              <w:tr2bl w:val="nil"/>
            </w:tcBorders>
            <w:vAlign w:val="center"/>
          </w:tcPr>
          <w:p w14:paraId="7D5241C8">
            <w:pPr>
              <w:widowControl w:val="0"/>
              <w:ind w:firstLine="360" w:firstLineChars="200"/>
              <w:jc w:val="left"/>
              <w:rPr>
                <w:color w:val="000000" w:themeColor="text1"/>
                <w:kern w:val="0"/>
                <w:sz w:val="18"/>
                <w:szCs w:val="18"/>
                <w14:textFill>
                  <w14:solidFill>
                    <w14:schemeClr w14:val="tx1"/>
                  </w14:solidFill>
                </w14:textFill>
              </w:rPr>
            </w:pPr>
            <w:r>
              <w:rPr>
                <w:sz w:val="18"/>
                <w:szCs w:val="18"/>
              </w:rPr>
              <w:t>项目将严格落实各项环保法规要求，确保达标排放和不饶命，不对项目周边环境造成明显不利影响。</w:t>
            </w:r>
          </w:p>
        </w:tc>
        <w:tc>
          <w:tcPr>
            <w:tcW w:w="829" w:type="dxa"/>
            <w:tcBorders>
              <w:tl2br w:val="nil"/>
              <w:tr2bl w:val="nil"/>
            </w:tcBorders>
            <w:vAlign w:val="center"/>
          </w:tcPr>
          <w:p w14:paraId="57B292D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745280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1056" w:type="dxa"/>
            <w:vMerge w:val="continue"/>
            <w:tcBorders>
              <w:tl2br w:val="nil"/>
              <w:tr2bl w:val="nil"/>
            </w:tcBorders>
            <w:vAlign w:val="center"/>
          </w:tcPr>
          <w:p w14:paraId="69D5F6DA">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506BEAD4">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571C947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污染物排放管控</w:t>
            </w:r>
          </w:p>
        </w:tc>
        <w:tc>
          <w:tcPr>
            <w:tcW w:w="7092" w:type="dxa"/>
            <w:tcBorders>
              <w:tl2br w:val="nil"/>
              <w:tr2bl w:val="nil"/>
            </w:tcBorders>
            <w:vAlign w:val="center"/>
          </w:tcPr>
          <w:p w14:paraId="7E797891">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【现有源提标升级改造】</w:t>
            </w:r>
          </w:p>
          <w:p w14:paraId="151347DE">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《环境空气质量标准》（GB3095-2012）：二级</w:t>
            </w:r>
          </w:p>
          <w:p w14:paraId="1FB8C66C">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【新增源等量或倍量替代】</w:t>
            </w:r>
          </w:p>
          <w:p w14:paraId="0EA0EE9C">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是</w:t>
            </w:r>
          </w:p>
        </w:tc>
        <w:tc>
          <w:tcPr>
            <w:tcW w:w="3024" w:type="dxa"/>
            <w:tcBorders>
              <w:tl2br w:val="nil"/>
              <w:tr2bl w:val="nil"/>
            </w:tcBorders>
            <w:vAlign w:val="center"/>
          </w:tcPr>
          <w:p w14:paraId="4EEE9430">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本项目将严格落实各项污染防治措施，确保达标排放。各项固废综合利用或无害化治理措施合理有效。</w:t>
            </w:r>
          </w:p>
        </w:tc>
        <w:tc>
          <w:tcPr>
            <w:tcW w:w="829" w:type="dxa"/>
            <w:tcBorders>
              <w:tl2br w:val="nil"/>
              <w:tr2bl w:val="nil"/>
            </w:tcBorders>
            <w:vAlign w:val="center"/>
          </w:tcPr>
          <w:p w14:paraId="31B7D42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3299E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56" w:type="dxa"/>
            <w:vMerge w:val="continue"/>
            <w:tcBorders>
              <w:tl2br w:val="nil"/>
              <w:tr2bl w:val="nil"/>
            </w:tcBorders>
            <w:vAlign w:val="center"/>
          </w:tcPr>
          <w:p w14:paraId="1C079984">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6A991D50">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0F06876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环境风险防控</w:t>
            </w:r>
          </w:p>
        </w:tc>
        <w:tc>
          <w:tcPr>
            <w:tcW w:w="7092" w:type="dxa"/>
            <w:tcBorders>
              <w:tl2br w:val="nil"/>
              <w:tr2bl w:val="nil"/>
            </w:tcBorders>
            <w:vAlign w:val="center"/>
          </w:tcPr>
          <w:p w14:paraId="0884CE70">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69F0609F">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45B7ADF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23428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056" w:type="dxa"/>
            <w:vMerge w:val="continue"/>
            <w:tcBorders>
              <w:tl2br w:val="nil"/>
              <w:tr2bl w:val="nil"/>
            </w:tcBorders>
            <w:vAlign w:val="center"/>
          </w:tcPr>
          <w:p w14:paraId="55361D8E">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1818A735">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04D34ED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资源开发利用要求</w:t>
            </w:r>
          </w:p>
        </w:tc>
        <w:tc>
          <w:tcPr>
            <w:tcW w:w="7092" w:type="dxa"/>
            <w:tcBorders>
              <w:tl2br w:val="nil"/>
              <w:tr2bl w:val="nil"/>
            </w:tcBorders>
            <w:vAlign w:val="center"/>
          </w:tcPr>
          <w:p w14:paraId="39840C28">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19D33F03">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58251FD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15BFAA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restart"/>
            <w:tcBorders>
              <w:tl2br w:val="nil"/>
              <w:tr2bl w:val="nil"/>
            </w:tcBorders>
            <w:vAlign w:val="center"/>
          </w:tcPr>
          <w:p w14:paraId="4AD8F640">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自然资源一般管控区，YS5119023510001，巴州区自然资源一般管控区</w:t>
            </w:r>
          </w:p>
        </w:tc>
        <w:tc>
          <w:tcPr>
            <w:tcW w:w="720" w:type="dxa"/>
            <w:vMerge w:val="restart"/>
            <w:tcBorders>
              <w:tl2br w:val="nil"/>
              <w:tr2bl w:val="nil"/>
            </w:tcBorders>
            <w:vAlign w:val="center"/>
          </w:tcPr>
          <w:p w14:paraId="006BBFA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巴州区要求</w:t>
            </w:r>
          </w:p>
        </w:tc>
        <w:tc>
          <w:tcPr>
            <w:tcW w:w="1050" w:type="dxa"/>
            <w:tcBorders>
              <w:tl2br w:val="nil"/>
              <w:tr2bl w:val="nil"/>
            </w:tcBorders>
            <w:vAlign w:val="center"/>
          </w:tcPr>
          <w:p w14:paraId="40A451A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空间布局约束</w:t>
            </w:r>
          </w:p>
        </w:tc>
        <w:tc>
          <w:tcPr>
            <w:tcW w:w="7092" w:type="dxa"/>
            <w:tcBorders>
              <w:tl2br w:val="nil"/>
              <w:tr2bl w:val="nil"/>
            </w:tcBorders>
            <w:vAlign w:val="center"/>
          </w:tcPr>
          <w:p w14:paraId="7ADDEB74">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【禁止开发建设活动的要求】</w:t>
            </w:r>
          </w:p>
          <w:p w14:paraId="2E9EC0BF">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合理开发高效利用水资源，建设节水型社会；优化土地利用布局与结构；优化产业空间布局，构建清洁能源体系。</w:t>
            </w:r>
          </w:p>
        </w:tc>
        <w:tc>
          <w:tcPr>
            <w:tcW w:w="3024" w:type="dxa"/>
            <w:tcBorders>
              <w:tl2br w:val="nil"/>
              <w:tr2bl w:val="nil"/>
            </w:tcBorders>
            <w:vAlign w:val="center"/>
          </w:tcPr>
          <w:p w14:paraId="1B551FC1">
            <w:pPr>
              <w:widowControl w:val="0"/>
              <w:ind w:firstLine="360" w:firstLineChars="200"/>
              <w:jc w:val="left"/>
              <w:rPr>
                <w:color w:val="000000" w:themeColor="text1"/>
                <w:kern w:val="0"/>
                <w:sz w:val="18"/>
                <w:szCs w:val="18"/>
                <w14:textFill>
                  <w14:solidFill>
                    <w14:schemeClr w14:val="tx1"/>
                  </w14:solidFill>
                </w14:textFill>
              </w:rPr>
            </w:pPr>
            <w:r>
              <w:rPr>
                <w:sz w:val="18"/>
                <w:szCs w:val="18"/>
              </w:rPr>
              <w:t>本项目为肉牛养殖项目，项目选址已避开禁养区、限养区范围。</w:t>
            </w:r>
          </w:p>
        </w:tc>
        <w:tc>
          <w:tcPr>
            <w:tcW w:w="829" w:type="dxa"/>
            <w:tcBorders>
              <w:tl2br w:val="nil"/>
              <w:tr2bl w:val="nil"/>
            </w:tcBorders>
            <w:vAlign w:val="center"/>
          </w:tcPr>
          <w:p w14:paraId="2BAFE3B7">
            <w:pPr>
              <w:widowControl w:val="0"/>
              <w:jc w:val="center"/>
              <w:rPr>
                <w:color w:val="000000" w:themeColor="text1"/>
                <w:sz w:val="18"/>
                <w:szCs w:val="18"/>
                <w:highlight w:val="yellow"/>
                <w14:textFill>
                  <w14:solidFill>
                    <w14:schemeClr w14:val="tx1"/>
                  </w14:solidFill>
                </w14:textFill>
              </w:rPr>
            </w:pPr>
            <w:r>
              <w:rPr>
                <w:color w:val="000000" w:themeColor="text1"/>
                <w:sz w:val="18"/>
                <w:szCs w:val="18"/>
                <w14:textFill>
                  <w14:solidFill>
                    <w14:schemeClr w14:val="tx1"/>
                  </w14:solidFill>
                </w14:textFill>
              </w:rPr>
              <w:t>符合</w:t>
            </w:r>
          </w:p>
        </w:tc>
      </w:tr>
      <w:tr w14:paraId="5268F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continue"/>
            <w:tcBorders>
              <w:tl2br w:val="nil"/>
              <w:tr2bl w:val="nil"/>
            </w:tcBorders>
            <w:vAlign w:val="center"/>
          </w:tcPr>
          <w:p w14:paraId="750024CA">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21905398">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38E3AB9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污染物排放管控</w:t>
            </w:r>
          </w:p>
        </w:tc>
        <w:tc>
          <w:tcPr>
            <w:tcW w:w="7092" w:type="dxa"/>
            <w:tcBorders>
              <w:tl2br w:val="nil"/>
              <w:tr2bl w:val="nil"/>
            </w:tcBorders>
            <w:vAlign w:val="center"/>
          </w:tcPr>
          <w:p w14:paraId="113A6A45">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090B8534">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1A01CED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56AAAE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056" w:type="dxa"/>
            <w:vMerge w:val="continue"/>
            <w:tcBorders>
              <w:tl2br w:val="nil"/>
              <w:tr2bl w:val="nil"/>
            </w:tcBorders>
            <w:vAlign w:val="center"/>
          </w:tcPr>
          <w:p w14:paraId="208DDE72">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7D9B8703">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529788D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环境风险防控</w:t>
            </w:r>
          </w:p>
        </w:tc>
        <w:tc>
          <w:tcPr>
            <w:tcW w:w="7092" w:type="dxa"/>
            <w:tcBorders>
              <w:tl2br w:val="nil"/>
              <w:tr2bl w:val="nil"/>
            </w:tcBorders>
            <w:vAlign w:val="center"/>
          </w:tcPr>
          <w:p w14:paraId="1A6A22B0">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【污染地块管控要求】</w:t>
            </w:r>
          </w:p>
          <w:p w14:paraId="74C16757">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土地资源开发利用量不得超过土地资源利用上线控制性指标。</w:t>
            </w:r>
          </w:p>
        </w:tc>
        <w:tc>
          <w:tcPr>
            <w:tcW w:w="3024" w:type="dxa"/>
            <w:tcBorders>
              <w:tl2br w:val="nil"/>
              <w:tr2bl w:val="nil"/>
            </w:tcBorders>
            <w:vAlign w:val="center"/>
          </w:tcPr>
          <w:p w14:paraId="3AA677A8">
            <w:pPr>
              <w:widowControl w:val="0"/>
              <w:ind w:firstLine="360" w:firstLineChars="20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项目不涉及污染地块。</w:t>
            </w:r>
          </w:p>
        </w:tc>
        <w:tc>
          <w:tcPr>
            <w:tcW w:w="829" w:type="dxa"/>
            <w:tcBorders>
              <w:tl2br w:val="nil"/>
              <w:tr2bl w:val="nil"/>
            </w:tcBorders>
            <w:vAlign w:val="center"/>
          </w:tcPr>
          <w:p w14:paraId="1F493609">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562434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056" w:type="dxa"/>
            <w:vMerge w:val="continue"/>
            <w:tcBorders>
              <w:tl2br w:val="nil"/>
              <w:tr2bl w:val="nil"/>
            </w:tcBorders>
            <w:vAlign w:val="center"/>
          </w:tcPr>
          <w:p w14:paraId="6CE68D3D">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63C53CEB">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20BEE29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资源开发利用要求</w:t>
            </w:r>
          </w:p>
        </w:tc>
        <w:tc>
          <w:tcPr>
            <w:tcW w:w="7092" w:type="dxa"/>
            <w:tcBorders>
              <w:tl2br w:val="nil"/>
              <w:tr2bl w:val="nil"/>
            </w:tcBorders>
            <w:vAlign w:val="center"/>
          </w:tcPr>
          <w:p w14:paraId="560828FA">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1218E267">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5FB24C4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39E7C5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restart"/>
            <w:tcBorders>
              <w:tl2br w:val="nil"/>
              <w:tr2bl w:val="nil"/>
            </w:tcBorders>
            <w:vAlign w:val="center"/>
          </w:tcPr>
          <w:p w14:paraId="45F9394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水环境一般管控区，YS5119023210005，驷马河-巴州区-徐家河-控制单元</w:t>
            </w:r>
          </w:p>
        </w:tc>
        <w:tc>
          <w:tcPr>
            <w:tcW w:w="720" w:type="dxa"/>
            <w:vMerge w:val="restart"/>
            <w:tcBorders>
              <w:tl2br w:val="nil"/>
              <w:tr2bl w:val="nil"/>
            </w:tcBorders>
            <w:vAlign w:val="center"/>
          </w:tcPr>
          <w:p w14:paraId="05168DA5">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巴州区要求</w:t>
            </w:r>
          </w:p>
        </w:tc>
        <w:tc>
          <w:tcPr>
            <w:tcW w:w="1050" w:type="dxa"/>
            <w:tcBorders>
              <w:tl2br w:val="nil"/>
              <w:tr2bl w:val="nil"/>
            </w:tcBorders>
            <w:vAlign w:val="center"/>
          </w:tcPr>
          <w:p w14:paraId="4D449F4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空间布局约束</w:t>
            </w:r>
          </w:p>
        </w:tc>
        <w:tc>
          <w:tcPr>
            <w:tcW w:w="7092" w:type="dxa"/>
            <w:tcBorders>
              <w:tl2br w:val="nil"/>
              <w:tr2bl w:val="nil"/>
            </w:tcBorders>
            <w:vAlign w:val="center"/>
          </w:tcPr>
          <w:p w14:paraId="5CA014D4">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【禁止开发建设活动的要求】</w:t>
            </w:r>
          </w:p>
          <w:p w14:paraId="044BEA47">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不再新建、改扩建开采规模在50万吨年以下的磷矿，不再新建露天磷矿。</w:t>
            </w:r>
          </w:p>
        </w:tc>
        <w:tc>
          <w:tcPr>
            <w:tcW w:w="3024" w:type="dxa"/>
            <w:tcBorders>
              <w:tl2br w:val="nil"/>
              <w:tr2bl w:val="nil"/>
            </w:tcBorders>
            <w:vAlign w:val="center"/>
          </w:tcPr>
          <w:p w14:paraId="6F67506D">
            <w:pPr>
              <w:widowControl w:val="0"/>
              <w:ind w:firstLine="360" w:firstLineChars="200"/>
              <w:jc w:val="left"/>
              <w:rPr>
                <w:color w:val="000000" w:themeColor="text1"/>
                <w:kern w:val="0"/>
                <w:sz w:val="18"/>
                <w:szCs w:val="18"/>
                <w14:textFill>
                  <w14:solidFill>
                    <w14:schemeClr w14:val="tx1"/>
                  </w14:solidFill>
                </w14:textFill>
              </w:rPr>
            </w:pPr>
            <w:r>
              <w:rPr>
                <w:sz w:val="18"/>
                <w:szCs w:val="18"/>
              </w:rPr>
              <w:t>项目为肉牛养殖，非磷矿开采。</w:t>
            </w:r>
          </w:p>
        </w:tc>
        <w:tc>
          <w:tcPr>
            <w:tcW w:w="829" w:type="dxa"/>
            <w:tcBorders>
              <w:tl2br w:val="nil"/>
              <w:tr2bl w:val="nil"/>
            </w:tcBorders>
            <w:vAlign w:val="center"/>
          </w:tcPr>
          <w:p w14:paraId="69854CFF">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696527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continue"/>
            <w:tcBorders>
              <w:tl2br w:val="nil"/>
              <w:tr2bl w:val="nil"/>
            </w:tcBorders>
            <w:vAlign w:val="center"/>
          </w:tcPr>
          <w:p w14:paraId="0BA1EA06">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5D9BAD7D">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385B6EE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污染物排放管控</w:t>
            </w:r>
          </w:p>
        </w:tc>
        <w:tc>
          <w:tcPr>
            <w:tcW w:w="7092" w:type="dxa"/>
            <w:tcBorders>
              <w:tl2br w:val="nil"/>
              <w:tr2bl w:val="nil"/>
            </w:tcBorders>
            <w:vAlign w:val="center"/>
          </w:tcPr>
          <w:p w14:paraId="26BB3DC3">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【现有源提标升级改造】</w:t>
            </w:r>
          </w:p>
          <w:p w14:paraId="783D1623">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1、持续推进环保基础设施补短板，完善污水收集处理系统。2、保障乡镇污水收集处理设施顺畅运行。3、推进污水直排口排查与整治，落实“一口一策”整改措施。</w:t>
            </w:r>
          </w:p>
          <w:p w14:paraId="5A8734AC">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【新增源等量或倍量替代】</w:t>
            </w:r>
          </w:p>
          <w:p w14:paraId="0FFCA359">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1、落实主要污染物排放总量指标控制要求，加强入河排污口登记、审批和监督管理。2、强化流域内工业点源、规模化畜禽养殖场运行监管，避免偷排、漏排。</w:t>
            </w:r>
          </w:p>
          <w:p w14:paraId="6A134048">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【新增源排放标准限值】</w:t>
            </w:r>
          </w:p>
          <w:p w14:paraId="7F95F7C6">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1、推进农村污染治理，稳步农村污水处理设施建设，适当预留发展空间，宜集中则集中，宜分散则分散。大力推进农村生活垃圾就地分类减量 和资源化利用，因地制宜选择农村生活垃圾治理模式。严格做好“农家乐”、种植采摘园等范围内的生活及农产品产生污水及垃圾治理。</w:t>
            </w:r>
          </w:p>
          <w:p w14:paraId="374F5D2B">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w:t>
            </w:r>
          </w:p>
          <w:p w14:paraId="7AB6065F">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w:t>
            </w:r>
          </w:p>
          <w:p w14:paraId="341F5CDA">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4、推进化肥、农药使用量“零增长”，逐步推进农田径流拦截及治理。</w:t>
            </w:r>
          </w:p>
        </w:tc>
        <w:tc>
          <w:tcPr>
            <w:tcW w:w="3024" w:type="dxa"/>
            <w:tcBorders>
              <w:tl2br w:val="nil"/>
              <w:tr2bl w:val="nil"/>
            </w:tcBorders>
            <w:vAlign w:val="center"/>
          </w:tcPr>
          <w:p w14:paraId="3239F83B">
            <w:pPr>
              <w:widowControl w:val="0"/>
              <w:ind w:firstLine="360" w:firstLineChars="200"/>
              <w:jc w:val="left"/>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本项目将严格落实各项污染防治措施，确保达标排放。各项固废综合利用或无害化治理措施合理有效。</w:t>
            </w:r>
            <w:r>
              <w:rPr>
                <w:color w:val="000000" w:themeColor="text1"/>
                <w:kern w:val="0"/>
                <w:sz w:val="18"/>
                <w:szCs w:val="18"/>
                <w14:textFill>
                  <w14:solidFill>
                    <w14:schemeClr w14:val="tx1"/>
                  </w14:solidFill>
                </w14:textFill>
              </w:rPr>
              <w:t>畜禽养殖环境承载力分析其区域环境承载能力尚有较大裕量。</w:t>
            </w:r>
          </w:p>
        </w:tc>
        <w:tc>
          <w:tcPr>
            <w:tcW w:w="829" w:type="dxa"/>
            <w:tcBorders>
              <w:tl2br w:val="nil"/>
              <w:tr2bl w:val="nil"/>
            </w:tcBorders>
            <w:vAlign w:val="center"/>
          </w:tcPr>
          <w:p w14:paraId="74F4AB8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077F77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continue"/>
            <w:tcBorders>
              <w:tl2br w:val="nil"/>
              <w:tr2bl w:val="nil"/>
            </w:tcBorders>
            <w:vAlign w:val="center"/>
          </w:tcPr>
          <w:p w14:paraId="68A70C50">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6B905956">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1BC03740">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环境风险防控</w:t>
            </w:r>
          </w:p>
        </w:tc>
        <w:tc>
          <w:tcPr>
            <w:tcW w:w="7092" w:type="dxa"/>
            <w:tcBorders>
              <w:tl2br w:val="nil"/>
              <w:tr2bl w:val="nil"/>
            </w:tcBorders>
            <w:vAlign w:val="center"/>
          </w:tcPr>
          <w:p w14:paraId="3814413B">
            <w:pPr>
              <w:widowControl w:val="0"/>
              <w:adjustRightInd w:val="0"/>
              <w:snapToGrid w:val="0"/>
              <w:ind w:firstLine="360" w:firstLineChars="200"/>
              <w:jc w:val="left"/>
              <w:rPr>
                <w:color w:val="000000" w:themeColor="text1"/>
                <w:kern w:val="0"/>
                <w:sz w:val="18"/>
                <w:szCs w:val="18"/>
                <w14:textFill>
                  <w14:solidFill>
                    <w14:schemeClr w14:val="tx1"/>
                  </w14:solidFill>
                </w14:textFill>
              </w:rPr>
            </w:pPr>
          </w:p>
          <w:p w14:paraId="7C174A00">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247ECC7A">
            <w:pPr>
              <w:widowControl w:val="0"/>
              <w:jc w:val="left"/>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2F771C25">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42FCEB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continue"/>
            <w:tcBorders>
              <w:tl2br w:val="nil"/>
              <w:tr2bl w:val="nil"/>
            </w:tcBorders>
            <w:vAlign w:val="center"/>
          </w:tcPr>
          <w:p w14:paraId="400FD5B4">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3A863E58">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4B129BA5">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资源开发利用要求</w:t>
            </w:r>
          </w:p>
        </w:tc>
        <w:tc>
          <w:tcPr>
            <w:tcW w:w="7092" w:type="dxa"/>
            <w:tcBorders>
              <w:tl2br w:val="nil"/>
              <w:tr2bl w:val="nil"/>
            </w:tcBorders>
            <w:vAlign w:val="center"/>
          </w:tcPr>
          <w:p w14:paraId="23E9F571">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6179A420">
            <w:pPr>
              <w:widowControl w:val="0"/>
              <w:jc w:val="left"/>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129A42AF">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68E98D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restart"/>
            <w:tcBorders>
              <w:tl2br w:val="nil"/>
              <w:tr2bl w:val="nil"/>
            </w:tcBorders>
            <w:vAlign w:val="center"/>
          </w:tcPr>
          <w:p w14:paraId="7BF666D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水环境一般管控区，YS5119023210002，巴河-巴州区-金碑-控制单元</w:t>
            </w:r>
          </w:p>
        </w:tc>
        <w:tc>
          <w:tcPr>
            <w:tcW w:w="720" w:type="dxa"/>
            <w:vMerge w:val="restart"/>
            <w:tcBorders>
              <w:tl2br w:val="nil"/>
              <w:tr2bl w:val="nil"/>
            </w:tcBorders>
            <w:vAlign w:val="center"/>
          </w:tcPr>
          <w:p w14:paraId="36D4DBD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巴州区要求</w:t>
            </w:r>
          </w:p>
        </w:tc>
        <w:tc>
          <w:tcPr>
            <w:tcW w:w="1050" w:type="dxa"/>
            <w:tcBorders>
              <w:tl2br w:val="nil"/>
              <w:tr2bl w:val="nil"/>
            </w:tcBorders>
            <w:vAlign w:val="center"/>
          </w:tcPr>
          <w:p w14:paraId="1F039450">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空间布局约束</w:t>
            </w:r>
          </w:p>
        </w:tc>
        <w:tc>
          <w:tcPr>
            <w:tcW w:w="7092" w:type="dxa"/>
            <w:tcBorders>
              <w:tl2br w:val="nil"/>
              <w:tr2bl w:val="nil"/>
            </w:tcBorders>
            <w:vAlign w:val="center"/>
          </w:tcPr>
          <w:p w14:paraId="675D9189">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【禁止开发建设活动的要求】</w:t>
            </w:r>
          </w:p>
          <w:p w14:paraId="0BA511C2">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不再新建、改扩建开采规模在50万吨年以下的磷矿，不再新建露天磷矿。</w:t>
            </w:r>
          </w:p>
        </w:tc>
        <w:tc>
          <w:tcPr>
            <w:tcW w:w="3024" w:type="dxa"/>
            <w:tcBorders>
              <w:tl2br w:val="nil"/>
              <w:tr2bl w:val="nil"/>
            </w:tcBorders>
            <w:vAlign w:val="center"/>
          </w:tcPr>
          <w:p w14:paraId="56A702E9">
            <w:pPr>
              <w:widowControl w:val="0"/>
              <w:ind w:firstLine="360" w:firstLineChars="200"/>
              <w:jc w:val="left"/>
              <w:rPr>
                <w:color w:val="000000" w:themeColor="text1"/>
                <w:kern w:val="0"/>
                <w:sz w:val="18"/>
                <w:szCs w:val="18"/>
                <w14:textFill>
                  <w14:solidFill>
                    <w14:schemeClr w14:val="tx1"/>
                  </w14:solidFill>
                </w14:textFill>
              </w:rPr>
            </w:pPr>
            <w:r>
              <w:rPr>
                <w:sz w:val="18"/>
                <w:szCs w:val="18"/>
              </w:rPr>
              <w:t>项目为肉牛养殖，非磷矿开采。</w:t>
            </w:r>
          </w:p>
        </w:tc>
        <w:tc>
          <w:tcPr>
            <w:tcW w:w="829" w:type="dxa"/>
            <w:tcBorders>
              <w:tl2br w:val="nil"/>
              <w:tr2bl w:val="nil"/>
            </w:tcBorders>
            <w:vAlign w:val="center"/>
          </w:tcPr>
          <w:p w14:paraId="602790C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6C5084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continue"/>
            <w:tcBorders>
              <w:tl2br w:val="nil"/>
              <w:tr2bl w:val="nil"/>
            </w:tcBorders>
            <w:vAlign w:val="center"/>
          </w:tcPr>
          <w:p w14:paraId="62D9558E">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46B4057F">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0343BBF9">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污染物排放管控</w:t>
            </w:r>
          </w:p>
        </w:tc>
        <w:tc>
          <w:tcPr>
            <w:tcW w:w="7092" w:type="dxa"/>
            <w:tcBorders>
              <w:tl2br w:val="nil"/>
              <w:tr2bl w:val="nil"/>
            </w:tcBorders>
            <w:vAlign w:val="center"/>
          </w:tcPr>
          <w:p w14:paraId="588EE2F9">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现有源提标升级改造</w:t>
            </w:r>
          </w:p>
          <w:p w14:paraId="7CA6480B">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p w14:paraId="1226B9D2">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【现有源提标升级改造】</w:t>
            </w:r>
          </w:p>
          <w:p w14:paraId="72B36F73">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1、持续推进环保基础设施补短板，完善污水收集处理系统。2、保障乡镇污水收集处理设施顺畅运行。3、推进污水直排口排查与整治，落实“一口一策”整改措施。</w:t>
            </w:r>
          </w:p>
          <w:p w14:paraId="68C77786">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【新增源等量或倍量替代】</w:t>
            </w:r>
          </w:p>
          <w:p w14:paraId="47414D7C">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1、落实主要污染物排放总量指标控制要求，加强入河排污口登记、审批和监督管理。2、强化流域内工业点源、规模化畜禽养殖场运行监管，避免偷排、漏排。</w:t>
            </w:r>
          </w:p>
          <w:p w14:paraId="2F4666EA">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【新增源排放标准限值】</w:t>
            </w:r>
          </w:p>
          <w:p w14:paraId="3AE6E2D2">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1、推进农村污染治理，稳步农村污水处理设施建设，适当预留发展空间，宜集中则集中，宜分散则分散。大力推进农村生活垃圾就地分类减量 和资源化利用，因地制宜选择农村生活垃圾治理模式。严格做好“农家乐”、种植采摘园等范围内的生活及农产品产生污水及垃圾治理。2、以环境承载能力为约束，合理规划水产养殖空间及规模；推进水产生态健康养殖，加强渔业生产过程中抗菌药物使用管控。推进水产养殖治理，水产养殖废水应处理达到《四川省水产养殖业水污染物排放标准》后排放；实施池塘标准化改造，完善循环水和进排水处理设施；推进养殖尾水节水减排。3、以环境承载能力为约束，合理规划畜禽养殖空间及规模；推进畜禽粪污分类处置，根据排放去向或利用方式的不同执行相应的标准规范。不断提高畜禽养殖粪污资源化利用率及利用水平；设有污水排放口的规模化畜禽养殖场应当依法申领排污许可证。4、推进化肥、农药使用量“零增长”，逐步推进农田径流拦截及治理。</w:t>
            </w:r>
          </w:p>
        </w:tc>
        <w:tc>
          <w:tcPr>
            <w:tcW w:w="3024" w:type="dxa"/>
            <w:tcBorders>
              <w:tl2br w:val="nil"/>
              <w:tr2bl w:val="nil"/>
            </w:tcBorders>
            <w:vAlign w:val="center"/>
          </w:tcPr>
          <w:p w14:paraId="46985487">
            <w:pPr>
              <w:widowControl w:val="0"/>
              <w:ind w:firstLine="360" w:firstLineChars="200"/>
              <w:jc w:val="left"/>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本项目将严格落实各项污染防治措施，确保达标排放。各项固废综合利用或无害化治理措施合理有效。</w:t>
            </w:r>
            <w:r>
              <w:rPr>
                <w:color w:val="000000" w:themeColor="text1"/>
                <w:kern w:val="0"/>
                <w:sz w:val="18"/>
                <w:szCs w:val="18"/>
                <w14:textFill>
                  <w14:solidFill>
                    <w14:schemeClr w14:val="tx1"/>
                  </w14:solidFill>
                </w14:textFill>
              </w:rPr>
              <w:t>畜禽养殖环境承载力分析其区域环境承载能力尚有较大裕量。</w:t>
            </w:r>
          </w:p>
        </w:tc>
        <w:tc>
          <w:tcPr>
            <w:tcW w:w="829" w:type="dxa"/>
            <w:tcBorders>
              <w:tl2br w:val="nil"/>
              <w:tr2bl w:val="nil"/>
            </w:tcBorders>
            <w:vAlign w:val="center"/>
          </w:tcPr>
          <w:p w14:paraId="5CEF8865">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r w14:paraId="5521CB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continue"/>
            <w:tcBorders>
              <w:tl2br w:val="nil"/>
              <w:tr2bl w:val="nil"/>
            </w:tcBorders>
            <w:vAlign w:val="center"/>
          </w:tcPr>
          <w:p w14:paraId="67ED705F">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1AFCDB7C">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717CD7E5">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环境风险防控</w:t>
            </w:r>
          </w:p>
        </w:tc>
        <w:tc>
          <w:tcPr>
            <w:tcW w:w="7092" w:type="dxa"/>
            <w:tcBorders>
              <w:tl2br w:val="nil"/>
              <w:tr2bl w:val="nil"/>
            </w:tcBorders>
            <w:vAlign w:val="center"/>
          </w:tcPr>
          <w:p w14:paraId="5D7360B4">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2E51C49D">
            <w:pPr>
              <w:widowControl w:val="0"/>
              <w:jc w:val="left"/>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11F0921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10682E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continue"/>
            <w:tcBorders>
              <w:tl2br w:val="nil"/>
              <w:tr2bl w:val="nil"/>
            </w:tcBorders>
            <w:vAlign w:val="center"/>
          </w:tcPr>
          <w:p w14:paraId="0C9582CC">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5EC78C79">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2864D8E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资源开发利用要求</w:t>
            </w:r>
          </w:p>
        </w:tc>
        <w:tc>
          <w:tcPr>
            <w:tcW w:w="7092" w:type="dxa"/>
            <w:tcBorders>
              <w:tl2br w:val="nil"/>
              <w:tr2bl w:val="nil"/>
            </w:tcBorders>
            <w:vAlign w:val="center"/>
          </w:tcPr>
          <w:p w14:paraId="3FE29CD7">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73A7CC67">
            <w:pPr>
              <w:widowControl w:val="0"/>
              <w:jc w:val="left"/>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075985A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147898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restart"/>
            <w:tcBorders>
              <w:tl2br w:val="nil"/>
              <w:tr2bl w:val="nil"/>
            </w:tcBorders>
            <w:vAlign w:val="center"/>
          </w:tcPr>
          <w:p w14:paraId="07DA585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一般管控区，YS5119023110001，巴州区其他区域</w:t>
            </w:r>
          </w:p>
        </w:tc>
        <w:tc>
          <w:tcPr>
            <w:tcW w:w="720" w:type="dxa"/>
            <w:vMerge w:val="restart"/>
            <w:tcBorders>
              <w:tl2br w:val="nil"/>
              <w:tr2bl w:val="nil"/>
            </w:tcBorders>
            <w:vAlign w:val="center"/>
          </w:tcPr>
          <w:p w14:paraId="5E7B8760">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巴州区要求</w:t>
            </w:r>
          </w:p>
        </w:tc>
        <w:tc>
          <w:tcPr>
            <w:tcW w:w="1050" w:type="dxa"/>
            <w:tcBorders>
              <w:tl2br w:val="nil"/>
              <w:tr2bl w:val="nil"/>
            </w:tcBorders>
            <w:vAlign w:val="center"/>
          </w:tcPr>
          <w:p w14:paraId="4405473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空间布局约束</w:t>
            </w:r>
          </w:p>
        </w:tc>
        <w:tc>
          <w:tcPr>
            <w:tcW w:w="7092" w:type="dxa"/>
            <w:tcBorders>
              <w:tl2br w:val="nil"/>
              <w:tr2bl w:val="nil"/>
            </w:tcBorders>
            <w:vAlign w:val="center"/>
          </w:tcPr>
          <w:p w14:paraId="1988EA0F">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34881153">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630D68C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2E860B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continue"/>
            <w:tcBorders>
              <w:tl2br w:val="nil"/>
              <w:tr2bl w:val="nil"/>
            </w:tcBorders>
            <w:vAlign w:val="center"/>
          </w:tcPr>
          <w:p w14:paraId="717FE913">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531D7809">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2C92CE1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污染物排放管控</w:t>
            </w:r>
          </w:p>
        </w:tc>
        <w:tc>
          <w:tcPr>
            <w:tcW w:w="7092" w:type="dxa"/>
            <w:tcBorders>
              <w:tl2br w:val="nil"/>
              <w:tr2bl w:val="nil"/>
            </w:tcBorders>
            <w:vAlign w:val="center"/>
          </w:tcPr>
          <w:p w14:paraId="16F9BDAC">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05EE3D7D">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1FB99B4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0D2A37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056" w:type="dxa"/>
            <w:vMerge w:val="continue"/>
            <w:tcBorders>
              <w:tl2br w:val="nil"/>
              <w:tr2bl w:val="nil"/>
            </w:tcBorders>
            <w:vAlign w:val="center"/>
          </w:tcPr>
          <w:p w14:paraId="676D022F">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5BF9A428">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131B7FA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环境风险防控</w:t>
            </w:r>
          </w:p>
        </w:tc>
        <w:tc>
          <w:tcPr>
            <w:tcW w:w="7092" w:type="dxa"/>
            <w:tcBorders>
              <w:tl2br w:val="nil"/>
              <w:tr2bl w:val="nil"/>
            </w:tcBorders>
            <w:vAlign w:val="center"/>
          </w:tcPr>
          <w:p w14:paraId="20FC08F3">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7FF0145C">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384A159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4E4329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56" w:type="dxa"/>
            <w:vMerge w:val="continue"/>
            <w:tcBorders>
              <w:tl2br w:val="nil"/>
              <w:tr2bl w:val="nil"/>
            </w:tcBorders>
            <w:vAlign w:val="center"/>
          </w:tcPr>
          <w:p w14:paraId="279317C8">
            <w:pPr>
              <w:widowControl w:val="0"/>
              <w:jc w:val="center"/>
              <w:rPr>
                <w:color w:val="000000" w:themeColor="text1"/>
                <w:sz w:val="18"/>
                <w:szCs w:val="18"/>
                <w14:textFill>
                  <w14:solidFill>
                    <w14:schemeClr w14:val="tx1"/>
                  </w14:solidFill>
                </w14:textFill>
              </w:rPr>
            </w:pPr>
          </w:p>
        </w:tc>
        <w:tc>
          <w:tcPr>
            <w:tcW w:w="720" w:type="dxa"/>
            <w:vMerge w:val="continue"/>
            <w:tcBorders>
              <w:tl2br w:val="nil"/>
              <w:tr2bl w:val="nil"/>
            </w:tcBorders>
            <w:vAlign w:val="center"/>
          </w:tcPr>
          <w:p w14:paraId="51041F1C">
            <w:pPr>
              <w:widowControl w:val="0"/>
              <w:jc w:val="center"/>
              <w:rPr>
                <w:color w:val="000000" w:themeColor="text1"/>
                <w:sz w:val="18"/>
                <w:szCs w:val="18"/>
                <w14:textFill>
                  <w14:solidFill>
                    <w14:schemeClr w14:val="tx1"/>
                  </w14:solidFill>
                </w14:textFill>
              </w:rPr>
            </w:pPr>
          </w:p>
        </w:tc>
        <w:tc>
          <w:tcPr>
            <w:tcW w:w="1050" w:type="dxa"/>
            <w:tcBorders>
              <w:tl2br w:val="nil"/>
              <w:tr2bl w:val="nil"/>
            </w:tcBorders>
            <w:vAlign w:val="center"/>
          </w:tcPr>
          <w:p w14:paraId="262A4BA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资源开发利用要求</w:t>
            </w:r>
          </w:p>
        </w:tc>
        <w:tc>
          <w:tcPr>
            <w:tcW w:w="7092" w:type="dxa"/>
            <w:tcBorders>
              <w:tl2br w:val="nil"/>
              <w:tr2bl w:val="nil"/>
            </w:tcBorders>
            <w:vAlign w:val="center"/>
          </w:tcPr>
          <w:p w14:paraId="3FA49D95">
            <w:pPr>
              <w:widowControl w:val="0"/>
              <w:adjustRightInd w:val="0"/>
              <w:snapToGrid w:val="0"/>
              <w:ind w:firstLine="360" w:firstLineChars="200"/>
              <w:jc w:val="left"/>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3024" w:type="dxa"/>
            <w:tcBorders>
              <w:tl2br w:val="nil"/>
              <w:tr2bl w:val="nil"/>
            </w:tcBorders>
            <w:vAlign w:val="center"/>
          </w:tcPr>
          <w:p w14:paraId="293E3027">
            <w:pPr>
              <w:widowControl w:val="0"/>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829" w:type="dxa"/>
            <w:tcBorders>
              <w:tl2br w:val="nil"/>
              <w:tr2bl w:val="nil"/>
            </w:tcBorders>
            <w:vAlign w:val="center"/>
          </w:tcPr>
          <w:p w14:paraId="51CA0589">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bl>
    <w:p w14:paraId="019D8BFF">
      <w:pPr>
        <w:adjustRightInd w:val="0"/>
        <w:snapToGrid w:val="0"/>
        <w:spacing w:before="120" w:beforeLines="50" w:line="360" w:lineRule="auto"/>
        <w:rPr>
          <w:bCs/>
          <w:color w:val="000000" w:themeColor="text1"/>
          <w:sz w:val="24"/>
          <w14:textFill>
            <w14:solidFill>
              <w14:schemeClr w14:val="tx1"/>
            </w14:solidFill>
          </w14:textFill>
        </w:rPr>
        <w:sectPr>
          <w:footerReference r:id="rId9" w:type="default"/>
          <w:pgSz w:w="16840" w:h="11907" w:orient="landscape"/>
          <w:pgMar w:top="1797" w:right="1440" w:bottom="1797" w:left="1440" w:header="851" w:footer="992" w:gutter="0"/>
          <w:pgNumType w:chapStyle="1"/>
          <w:cols w:space="720" w:num="1"/>
          <w:docGrid w:linePitch="312" w:charSpace="0"/>
        </w:sectPr>
      </w:pPr>
    </w:p>
    <w:p w14:paraId="14106897">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巴中市生态环境保护委员会办公室关于加强生态环境分区管控的通知》（巴环委办〔2024〕3号），全市从生态环境保护角度共划定环境管控单元38个，其中优先保护单元13个，重点管控单元20个，一般管控单元5个。本项目饲草料种植以建设单位与项目肉牛养殖区周边农户签订牧草种植和收购协议，提供技术培训，定期按协议价收购牧草的方式进行。肉牛养殖选址白庙乡百花村，曾口镇佛龙村，清江镇塘坝村，水宁寺镇始宁社区。肉牛养殖场址区域属于要素重点管控单元。本项目与巴中市环境管控单元位置关系图如下。</w:t>
      </w:r>
    </w:p>
    <w:p w14:paraId="5489301D">
      <w:pPr>
        <w:adjustRightInd w:val="0"/>
        <w:snapToGrid w:val="0"/>
        <w:jc w:val="center"/>
        <w:rPr>
          <w:color w:val="000000" w:themeColor="text1"/>
          <w:sz w:val="24"/>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2456180</wp:posOffset>
                </wp:positionH>
                <wp:positionV relativeFrom="paragraph">
                  <wp:posOffset>1929130</wp:posOffset>
                </wp:positionV>
                <wp:extent cx="1005205" cy="252095"/>
                <wp:effectExtent l="628650" t="4445" r="4445" b="162560"/>
                <wp:wrapNone/>
                <wp:docPr id="14" name="矩形标注 14"/>
                <wp:cNvGraphicFramePr/>
                <a:graphic xmlns:a="http://schemas.openxmlformats.org/drawingml/2006/main">
                  <a:graphicData uri="http://schemas.microsoft.com/office/word/2010/wordprocessingShape">
                    <wps:wsp>
                      <wps:cNvSpPr/>
                      <wps:spPr>
                        <a:xfrm>
                          <a:off x="0" y="0"/>
                          <a:ext cx="1005205" cy="252095"/>
                        </a:xfrm>
                        <a:prstGeom prst="wedgeRectCallout">
                          <a:avLst>
                            <a:gd name="adj1" fmla="val -108876"/>
                            <a:gd name="adj2" fmla="val 107682"/>
                          </a:avLst>
                        </a:prstGeom>
                        <a:noFill/>
                        <a:ln w="9525" cap="flat" cmpd="sng">
                          <a:solidFill>
                            <a:srgbClr val="FF0000"/>
                          </a:solidFill>
                          <a:prstDash val="solid"/>
                          <a:miter/>
                          <a:headEnd type="none" w="med" len="med"/>
                          <a:tailEnd type="none" w="med" len="med"/>
                        </a:ln>
                      </wps:spPr>
                      <wps:txbx>
                        <w:txbxContent>
                          <w:p w14:paraId="71CD4AAF">
                            <w:pPr>
                              <w:rPr>
                                <w:color w:val="FF0000"/>
                              </w:rPr>
                            </w:pPr>
                            <w:r>
                              <w:rPr>
                                <w:rFonts w:hint="eastAsia"/>
                                <w:color w:val="FF0000"/>
                              </w:rPr>
                              <w:t>本项目养殖区</w:t>
                            </w:r>
                          </w:p>
                        </w:txbxContent>
                      </wps:txbx>
                      <wps:bodyPr upright="1"/>
                    </wps:wsp>
                  </a:graphicData>
                </a:graphic>
              </wp:anchor>
            </w:drawing>
          </mc:Choice>
          <mc:Fallback>
            <w:pict>
              <v:shape id="_x0000_s1026" o:spid="_x0000_s1026" o:spt="61" type="#_x0000_t61" style="position:absolute;left:0pt;margin-left:193.4pt;margin-top:151.9pt;height:19.85pt;width:79.15pt;z-index:251660288;mso-width-relative:page;mso-height-relative:page;" filled="f" stroked="t" coordsize="21600,21600" o:gfxdata="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3wrsd2wAAAAsBAAAPAAAAAAAAAAEAIAAAACIAAABkcnMvZG93&#10;bnJldi54bWxQSwECFAAUAAAACACHTuJAaHodozYCAABoBAAADgAAAAAAAAABACAAAAAqAQAAZHJz&#10;L2Uyb0RvYy54bWxQSwUGAAAAAAYABgBZAQAA0gUAAAAA&#10;" adj="-12717,34059">
                <v:fill on="f" focussize="0,0"/>
                <v:stroke color="#FF0000" joinstyle="miter"/>
                <v:imagedata o:title=""/>
                <o:lock v:ext="edit" aspectratio="f"/>
                <v:textbox>
                  <w:txbxContent>
                    <w:p w14:paraId="71CD4AAF">
                      <w:pPr>
                        <w:rPr>
                          <w:color w:val="FF0000"/>
                        </w:rPr>
                      </w:pPr>
                      <w:r>
                        <w:rPr>
                          <w:rFonts w:hint="eastAsia"/>
                          <w:color w:val="FF0000"/>
                        </w:rPr>
                        <w:t>本项目养殖区</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1607820</wp:posOffset>
                </wp:positionH>
                <wp:positionV relativeFrom="paragraph">
                  <wp:posOffset>2385695</wp:posOffset>
                </wp:positionV>
                <wp:extent cx="273050" cy="2540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73050" cy="254000"/>
                        </a:xfrm>
                        <a:prstGeom prst="rect">
                          <a:avLst/>
                        </a:prstGeom>
                        <a:noFill/>
                        <a:ln>
                          <a:noFill/>
                        </a:ln>
                      </wps:spPr>
                      <wps:txbx>
                        <w:txbxContent>
                          <w:p w14:paraId="6827D044">
                            <w:pPr>
                              <w:rPr>
                                <w:rFonts w:ascii="宋体" w:hAnsi="宋体" w:cs="宋体"/>
                                <w:color w:val="FF0000"/>
                              </w:rPr>
                            </w:pPr>
                            <w:r>
                              <w:rPr>
                                <w:rFonts w:hint="eastAsia" w:ascii="宋体" w:hAnsi="宋体" w:cs="宋体"/>
                                <w:color w:val="FF0000"/>
                              </w:rPr>
                              <w:t>★</w:t>
                            </w:r>
                          </w:p>
                        </w:txbxContent>
                      </wps:txbx>
                      <wps:bodyPr upright="1"/>
                    </wps:wsp>
                  </a:graphicData>
                </a:graphic>
              </wp:anchor>
            </w:drawing>
          </mc:Choice>
          <mc:Fallback>
            <w:pict>
              <v:shape id="_x0000_s1026" o:spid="_x0000_s1026" o:spt="202" type="#_x0000_t202" style="position:absolute;left:0pt;margin-left:126.6pt;margin-top:187.85pt;height:20pt;width:21.5pt;z-index:251667456;mso-width-relative:page;mso-height-relative:page;" filled="f" stroked="f" coordsize="21600,21600" o:gfxdata="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FlFsrtgA&#10;AAALAQAADwAAAAAAAAABACAAAAAiAAAAZHJzL2Rvd25yZXYueG1sUEsBAhQAFAAAAAgAh07iQKvw&#10;TrutAQAATwMAAA4AAAAAAAAAAQAgAAAAJwEAAGRycy9lMm9Eb2MueG1sUEsFBgAAAAAGAAYAWQEA&#10;AEYFAAAAAA==&#10;">
                <v:fill on="f" focussize="0,0"/>
                <v:stroke on="f"/>
                <v:imagedata o:title=""/>
                <o:lock v:ext="edit" aspectratio="f"/>
                <v:textbox>
                  <w:txbxContent>
                    <w:p w14:paraId="6827D044">
                      <w:pPr>
                        <w:rPr>
                          <w:rFonts w:ascii="宋体" w:hAnsi="宋体" w:cs="宋体"/>
                          <w:color w:val="FF0000"/>
                        </w:rPr>
                      </w:pPr>
                      <w:r>
                        <w:rPr>
                          <w:rFonts w:hint="eastAsia" w:ascii="宋体" w:hAnsi="宋体" w:cs="宋体"/>
                          <w:color w:val="FF0000"/>
                        </w:rPr>
                        <w:t>★</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1598295</wp:posOffset>
                </wp:positionH>
                <wp:positionV relativeFrom="paragraph">
                  <wp:posOffset>2138045</wp:posOffset>
                </wp:positionV>
                <wp:extent cx="273050" cy="2540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273050" cy="254000"/>
                        </a:xfrm>
                        <a:prstGeom prst="rect">
                          <a:avLst/>
                        </a:prstGeom>
                        <a:noFill/>
                        <a:ln>
                          <a:noFill/>
                        </a:ln>
                      </wps:spPr>
                      <wps:txbx>
                        <w:txbxContent>
                          <w:p w14:paraId="3C63BA6C">
                            <w:pPr>
                              <w:rPr>
                                <w:rFonts w:ascii="宋体" w:hAnsi="宋体" w:cs="宋体"/>
                                <w:color w:val="FF0000"/>
                              </w:rPr>
                            </w:pPr>
                            <w:r>
                              <w:rPr>
                                <w:rFonts w:hint="eastAsia" w:ascii="宋体" w:hAnsi="宋体" w:cs="宋体"/>
                                <w:color w:val="FF0000"/>
                              </w:rPr>
                              <w:t>★</w:t>
                            </w:r>
                          </w:p>
                        </w:txbxContent>
                      </wps:txbx>
                      <wps:bodyPr upright="1"/>
                    </wps:wsp>
                  </a:graphicData>
                </a:graphic>
              </wp:anchor>
            </w:drawing>
          </mc:Choice>
          <mc:Fallback>
            <w:pict>
              <v:shape id="_x0000_s1026" o:spid="_x0000_s1026" o:spt="202" type="#_x0000_t202" style="position:absolute;left:0pt;margin-left:125.85pt;margin-top:168.35pt;height:20pt;width:21.5pt;z-index:251666432;mso-width-relative:page;mso-height-relative:page;" filled="f" stroked="f" coordsize="21600,21600" o:gfxdata="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tUZ121wAA&#10;AAsBAAAPAAAAAAAAAAEAIAAAACIAAABkcnMvZG93bnJldi54bWxQSwECFAAUAAAACACHTuJA1Cii&#10;+K0BAABPAwAADgAAAAAAAAABACAAAAAmAQAAZHJzL2Uyb0RvYy54bWxQSwUGAAAAAAYABgBZAQAA&#10;RQUAAAAA&#10;">
                <v:fill on="f" focussize="0,0"/>
                <v:stroke on="f"/>
                <v:imagedata o:title=""/>
                <o:lock v:ext="edit" aspectratio="f"/>
                <v:textbox>
                  <w:txbxContent>
                    <w:p w14:paraId="3C63BA6C">
                      <w:pPr>
                        <w:rPr>
                          <w:rFonts w:ascii="宋体" w:hAnsi="宋体" w:cs="宋体"/>
                          <w:color w:val="FF0000"/>
                        </w:rPr>
                      </w:pPr>
                      <w:r>
                        <w:rPr>
                          <w:rFonts w:hint="eastAsia" w:ascii="宋体" w:hAnsi="宋体" w:cs="宋体"/>
                          <w:color w:val="FF0000"/>
                        </w:rPr>
                        <w:t>★</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1884045</wp:posOffset>
                </wp:positionH>
                <wp:positionV relativeFrom="paragraph">
                  <wp:posOffset>2280920</wp:posOffset>
                </wp:positionV>
                <wp:extent cx="273050" cy="2540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273050" cy="254000"/>
                        </a:xfrm>
                        <a:prstGeom prst="rect">
                          <a:avLst/>
                        </a:prstGeom>
                        <a:noFill/>
                        <a:ln>
                          <a:noFill/>
                        </a:ln>
                      </wps:spPr>
                      <wps:txbx>
                        <w:txbxContent>
                          <w:p w14:paraId="73AC382B">
                            <w:pPr>
                              <w:rPr>
                                <w:rFonts w:ascii="宋体" w:hAnsi="宋体" w:cs="宋体"/>
                                <w:color w:val="FF0000"/>
                              </w:rPr>
                            </w:pPr>
                            <w:r>
                              <w:rPr>
                                <w:rFonts w:hint="eastAsia" w:ascii="宋体" w:hAnsi="宋体" w:cs="宋体"/>
                                <w:color w:val="FF0000"/>
                              </w:rPr>
                              <w:t>★</w:t>
                            </w:r>
                          </w:p>
                        </w:txbxContent>
                      </wps:txbx>
                      <wps:bodyPr upright="1"/>
                    </wps:wsp>
                  </a:graphicData>
                </a:graphic>
              </wp:anchor>
            </w:drawing>
          </mc:Choice>
          <mc:Fallback>
            <w:pict>
              <v:shape id="_x0000_s1026" o:spid="_x0000_s1026" o:spt="202" type="#_x0000_t202" style="position:absolute;left:0pt;margin-left:148.35pt;margin-top:179.6pt;height:20pt;width:21.5pt;z-index:251665408;mso-width-relative:page;mso-height-relative:page;" filled="f" stroked="f" coordsize="21600,21600" o:gfxdata="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XclgF1wAA&#10;AAsBAAAPAAAAAAAAAAEAIAAAACIAAABkcnMvZG93bnJldi54bWxQSwECFAAUAAAACACHTuJA4H4a&#10;LK0BAABPAwAADgAAAAAAAAABACAAAAAmAQAAZHJzL2Uyb0RvYy54bWxQSwUGAAAAAAYABgBZAQAA&#10;RQUAAAAA&#10;">
                <v:fill on="f" focussize="0,0"/>
                <v:stroke on="f"/>
                <v:imagedata o:title=""/>
                <o:lock v:ext="edit" aspectratio="f"/>
                <v:textbox>
                  <w:txbxContent>
                    <w:p w14:paraId="73AC382B">
                      <w:pPr>
                        <w:rPr>
                          <w:rFonts w:ascii="宋体" w:hAnsi="宋体" w:cs="宋体"/>
                          <w:color w:val="FF0000"/>
                        </w:rPr>
                      </w:pPr>
                      <w:r>
                        <w:rPr>
                          <w:rFonts w:hint="eastAsia" w:ascii="宋体" w:hAnsi="宋体" w:cs="宋体"/>
                          <w:color w:val="FF0000"/>
                        </w:rPr>
                        <w:t>★</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1884045</wp:posOffset>
                </wp:positionH>
                <wp:positionV relativeFrom="paragraph">
                  <wp:posOffset>1985645</wp:posOffset>
                </wp:positionV>
                <wp:extent cx="273050" cy="2540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73050" cy="254000"/>
                        </a:xfrm>
                        <a:prstGeom prst="rect">
                          <a:avLst/>
                        </a:prstGeom>
                        <a:noFill/>
                        <a:ln>
                          <a:noFill/>
                        </a:ln>
                      </wps:spPr>
                      <wps:txbx>
                        <w:txbxContent>
                          <w:p w14:paraId="10341C33">
                            <w:pPr>
                              <w:rPr>
                                <w:rFonts w:ascii="宋体" w:hAnsi="宋体" w:cs="宋体"/>
                                <w:color w:val="FF0000"/>
                              </w:rPr>
                            </w:pPr>
                            <w:r>
                              <w:rPr>
                                <w:rFonts w:hint="eastAsia" w:ascii="宋体" w:hAnsi="宋体" w:cs="宋体"/>
                                <w:color w:val="FF0000"/>
                              </w:rPr>
                              <w:t>★</w:t>
                            </w:r>
                          </w:p>
                        </w:txbxContent>
                      </wps:txbx>
                      <wps:bodyPr upright="1"/>
                    </wps:wsp>
                  </a:graphicData>
                </a:graphic>
              </wp:anchor>
            </w:drawing>
          </mc:Choice>
          <mc:Fallback>
            <w:pict>
              <v:shape id="_x0000_s1026" o:spid="_x0000_s1026" o:spt="202" type="#_x0000_t202" style="position:absolute;left:0pt;margin-left:148.35pt;margin-top:156.35pt;height:20pt;width:21.5pt;z-index:251659264;mso-width-relative:page;mso-height-relative:page;" filled="f" stroked="f" coordsize="21600,21600" o:gfxdata="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s+tTL1wAA&#10;AAsBAAAPAAAAAAAAAAEAIAAAACIAAABkcnMvZG93bnJldi54bWxQSwECFAAUAAAACACHTuJAar5r&#10;Na0BAABPAwAADgAAAAAAAAABACAAAAAmAQAAZHJzL2Uyb0RvYy54bWxQSwUGAAAAAAYABgBZAQAA&#10;RQUAAAAA&#10;">
                <v:fill on="f" focussize="0,0"/>
                <v:stroke on="f"/>
                <v:imagedata o:title=""/>
                <o:lock v:ext="edit" aspectratio="f"/>
                <v:textbox>
                  <w:txbxContent>
                    <w:p w14:paraId="10341C33">
                      <w:pPr>
                        <w:rPr>
                          <w:rFonts w:ascii="宋体" w:hAnsi="宋体" w:cs="宋体"/>
                          <w:color w:val="FF0000"/>
                        </w:rPr>
                      </w:pPr>
                      <w:r>
                        <w:rPr>
                          <w:rFonts w:hint="eastAsia" w:ascii="宋体" w:hAnsi="宋体" w:cs="宋体"/>
                          <w:color w:val="FF0000"/>
                        </w:rPr>
                        <w:t>★</w:t>
                      </w:r>
                    </w:p>
                  </w:txbxContent>
                </v:textbox>
              </v:shape>
            </w:pict>
          </mc:Fallback>
        </mc:AlternateContent>
      </w:r>
      <w:r>
        <w:rPr>
          <w:color w:val="000000" w:themeColor="text1"/>
          <w14:textFill>
            <w14:solidFill>
              <w14:schemeClr w14:val="tx1"/>
            </w14:solidFill>
          </w14:textFill>
        </w:rPr>
        <w:drawing>
          <wp:inline distT="0" distB="0" distL="114300" distR="114300">
            <wp:extent cx="5335905" cy="3803015"/>
            <wp:effectExtent l="0" t="0" r="17145" b="6985"/>
            <wp:docPr id="1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
                    <pic:cNvPicPr>
                      <a:picLocks noChangeAspect="1"/>
                    </pic:cNvPicPr>
                  </pic:nvPicPr>
                  <pic:blipFill>
                    <a:blip r:embed="rId32"/>
                    <a:stretch>
                      <a:fillRect/>
                    </a:stretch>
                  </pic:blipFill>
                  <pic:spPr>
                    <a:xfrm>
                      <a:off x="0" y="0"/>
                      <a:ext cx="5335905" cy="3803015"/>
                    </a:xfrm>
                    <a:prstGeom prst="rect">
                      <a:avLst/>
                    </a:prstGeom>
                    <a:noFill/>
                    <a:ln>
                      <a:noFill/>
                    </a:ln>
                  </pic:spPr>
                </pic:pic>
              </a:graphicData>
            </a:graphic>
          </wp:inline>
        </w:drawing>
      </w:r>
    </w:p>
    <w:p w14:paraId="2E07A3E9">
      <w:pPr>
        <w:pStyle w:val="75"/>
        <w:adjustRightInd w:val="0"/>
        <w:snapToGrid w:val="0"/>
        <w:ind w:left="420" w:hanging="420" w:hangingChars="200"/>
        <w:rPr>
          <w:rFonts w:eastAsia="黑体"/>
          <w:color w:val="000000" w:themeColor="text1"/>
          <w:sz w:val="21"/>
          <w:lang w:val="en-US"/>
          <w14:textFill>
            <w14:solidFill>
              <w14:schemeClr w14:val="tx1"/>
            </w14:solidFill>
          </w14:textFill>
        </w:rPr>
      </w:pPr>
      <w:r>
        <w:rPr>
          <w:rFonts w:eastAsia="黑体"/>
          <w:color w:val="000000" w:themeColor="text1"/>
          <w:sz w:val="21"/>
          <w:lang w:val="en-US"/>
          <w14:textFill>
            <w14:solidFill>
              <w14:schemeClr w14:val="tx1"/>
            </w14:solidFill>
          </w14:textFill>
        </w:rPr>
        <w:t>图1.6-4本项目与巴中环境管控单元关系图</w:t>
      </w:r>
    </w:p>
    <w:p w14:paraId="7627FBDB">
      <w:pPr>
        <w:pStyle w:val="75"/>
        <w:adjustRightInd w:val="0"/>
        <w:snapToGrid w:val="0"/>
        <w:ind w:left="420" w:hanging="420" w:hangingChars="200"/>
        <w:rPr>
          <w:rFonts w:eastAsia="黑体"/>
          <w:color w:val="000000" w:themeColor="text1"/>
          <w:sz w:val="21"/>
          <w:lang w:val="en-US"/>
          <w14:textFill>
            <w14:solidFill>
              <w14:schemeClr w14:val="tx1"/>
            </w14:solidFill>
          </w14:textFill>
        </w:rPr>
      </w:pPr>
    </w:p>
    <w:p w14:paraId="76F5F512">
      <w:pPr>
        <w:pStyle w:val="814"/>
        <w:numPr>
          <w:ilvl w:val="0"/>
          <w:numId w:val="15"/>
        </w:numPr>
        <w:snapToGrid w:val="0"/>
        <w:rPr>
          <w:rFonts w:eastAsia="黑体"/>
          <w:bCs/>
          <w:szCs w:val="21"/>
        </w:rPr>
      </w:pPr>
      <w:r>
        <w:rPr>
          <w:rFonts w:eastAsia="黑体"/>
          <w:bCs/>
          <w:szCs w:val="21"/>
        </w:rPr>
        <w:t>与生态环境管控要求符合性分析</w:t>
      </w:r>
    </w:p>
    <w:tbl>
      <w:tblPr>
        <w:tblStyle w:val="88"/>
        <w:tblW w:w="4995" w:type="pct"/>
        <w:tblInd w:w="3" w:type="dxa"/>
        <w:tblBorders>
          <w:top w:val="single" w:color="auto" w:sz="2" w:space="0"/>
          <w:left w:val="none" w:color="auto" w:sz="0" w:space="0"/>
          <w:bottom w:val="single" w:color="auto" w:sz="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0"/>
        <w:gridCol w:w="3334"/>
        <w:gridCol w:w="3111"/>
        <w:gridCol w:w="1080"/>
      </w:tblGrid>
      <w:tr w14:paraId="1AD03FB4">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0" w:type="pct"/>
            <w:tcBorders>
              <w:top w:val="single" w:color="auto" w:sz="12" w:space="0"/>
            </w:tcBorders>
            <w:vAlign w:val="center"/>
          </w:tcPr>
          <w:p w14:paraId="54C79EC3">
            <w:pP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类型</w:t>
            </w:r>
          </w:p>
        </w:tc>
        <w:tc>
          <w:tcPr>
            <w:tcW w:w="2006" w:type="pct"/>
            <w:tcBorders>
              <w:top w:val="single" w:color="auto" w:sz="12" w:space="0"/>
            </w:tcBorders>
            <w:vAlign w:val="center"/>
          </w:tcPr>
          <w:p w14:paraId="092275FC">
            <w:pP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全市生态环境管控要求</w:t>
            </w:r>
          </w:p>
        </w:tc>
        <w:tc>
          <w:tcPr>
            <w:tcW w:w="1872" w:type="pct"/>
            <w:tcBorders>
              <w:top w:val="single" w:color="auto" w:sz="12" w:space="0"/>
            </w:tcBorders>
            <w:vAlign w:val="center"/>
          </w:tcPr>
          <w:p w14:paraId="0A15018B">
            <w:pP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本项目实际情况</w:t>
            </w:r>
          </w:p>
        </w:tc>
        <w:tc>
          <w:tcPr>
            <w:tcW w:w="650" w:type="pct"/>
            <w:tcBorders>
              <w:top w:val="single" w:color="auto" w:sz="12" w:space="0"/>
            </w:tcBorders>
            <w:vAlign w:val="center"/>
          </w:tcPr>
          <w:p w14:paraId="62E8DF6D">
            <w:pPr>
              <w:rPr>
                <w:b/>
                <w:bCs/>
                <w:color w:val="000000" w:themeColor="text1"/>
                <w:sz w:val="18"/>
                <w:szCs w:val="18"/>
                <w14:textFill>
                  <w14:solidFill>
                    <w14:schemeClr w14:val="tx1"/>
                  </w14:solidFill>
                </w14:textFill>
              </w:rPr>
            </w:pPr>
            <w:r>
              <w:rPr>
                <w:b/>
                <w:bCs/>
                <w:color w:val="000000" w:themeColor="text1"/>
                <w:sz w:val="18"/>
                <w:szCs w:val="18"/>
                <w14:textFill>
                  <w14:solidFill>
                    <w14:schemeClr w14:val="tx1"/>
                  </w14:solidFill>
                </w14:textFill>
              </w:rPr>
              <w:t>符合性</w:t>
            </w:r>
          </w:p>
        </w:tc>
      </w:tr>
      <w:tr w14:paraId="5BF92921">
        <w:tblPrEx>
          <w:tblBorders>
            <w:top w:val="single" w:color="auto" w:sz="2" w:space="0"/>
            <w:left w:val="none" w:color="auto" w:sz="0" w:space="0"/>
            <w:bottom w:val="single" w:color="auto" w:sz="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0" w:type="pct"/>
            <w:tcBorders>
              <w:bottom w:val="single" w:color="auto" w:sz="12" w:space="0"/>
            </w:tcBorders>
            <w:vAlign w:val="center"/>
          </w:tcPr>
          <w:p w14:paraId="42288D78">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重点管控单元</w:t>
            </w:r>
          </w:p>
        </w:tc>
        <w:tc>
          <w:tcPr>
            <w:tcW w:w="2006" w:type="pct"/>
            <w:tcBorders>
              <w:bottom w:val="single" w:color="auto" w:sz="12" w:space="0"/>
            </w:tcBorders>
            <w:vAlign w:val="center"/>
          </w:tcPr>
          <w:p w14:paraId="28C80D76">
            <w:pPr>
              <w:ind w:firstLine="360" w:firstLineChars="20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重点管控单元中，应针对性地加强污染物排放控制和环境风险防控，解决生态环境质量不达标、生态环境风险突出等问题，制定差别化的生态环境准入要求。对环境质量不达标区域，提出污染物削减比例要求；对环境质量达标区域，提出允许排放量建议指标。</w:t>
            </w:r>
          </w:p>
        </w:tc>
        <w:tc>
          <w:tcPr>
            <w:tcW w:w="1872" w:type="pct"/>
            <w:tcBorders>
              <w:bottom w:val="single" w:color="auto" w:sz="12" w:space="0"/>
            </w:tcBorders>
            <w:vAlign w:val="center"/>
          </w:tcPr>
          <w:p w14:paraId="1DB92BAE">
            <w:pPr>
              <w:ind w:firstLine="360" w:firstLineChars="20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本项目位于环境质量达标区，项目建设满足区域生态环境保护的基本要求，且不涉及总量污染物的排放。</w:t>
            </w:r>
          </w:p>
        </w:tc>
        <w:tc>
          <w:tcPr>
            <w:tcW w:w="650" w:type="pct"/>
            <w:tcBorders>
              <w:bottom w:val="single" w:color="auto" w:sz="12" w:space="0"/>
            </w:tcBorders>
            <w:vAlign w:val="center"/>
          </w:tcPr>
          <w:p w14:paraId="63CD7472">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符合</w:t>
            </w:r>
          </w:p>
        </w:tc>
      </w:tr>
    </w:tbl>
    <w:p w14:paraId="00ABD08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因此，本项目符合《巴中市生态环境保护委员会办公室关于加强生态环境分区管控的通知》（巴环委办〔2024〕3号）中一般管控单元管控要求。</w:t>
      </w:r>
    </w:p>
    <w:p w14:paraId="5A6B6FFB">
      <w:pPr>
        <w:spacing w:line="360" w:lineRule="auto"/>
        <w:ind w:firstLine="482" w:firstLineChars="200"/>
        <w:rPr>
          <w:color w:val="000000" w:themeColor="text1"/>
          <w:sz w:val="24"/>
          <w14:textFill>
            <w14:solidFill>
              <w14:schemeClr w14:val="tx1"/>
            </w14:solidFill>
          </w14:textFill>
        </w:rPr>
      </w:pPr>
      <w:r>
        <w:rPr>
          <w:b/>
          <w:bCs/>
          <w:color w:val="000000" w:themeColor="text1"/>
          <w:kern w:val="0"/>
          <w:sz w:val="24"/>
          <w14:textFill>
            <w14:solidFill>
              <w14:schemeClr w14:val="tx1"/>
            </w14:solidFill>
          </w14:textFill>
        </w:rPr>
        <w:t>综上，本项目的建设符合巴中市生态环境分区管控相关要求。</w:t>
      </w:r>
    </w:p>
    <w:p w14:paraId="66B3DF14">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42" w:name="_Toc233380101"/>
      <w:r>
        <w:rPr>
          <w:rFonts w:ascii="Times New Roman" w:hAnsi="Times New Roman" w:eastAsia="宋体"/>
          <w:color w:val="000000" w:themeColor="text1"/>
          <w:sz w:val="30"/>
          <w:szCs w:val="30"/>
          <w14:textFill>
            <w14:solidFill>
              <w14:schemeClr w14:val="tx1"/>
            </w14:solidFill>
          </w14:textFill>
        </w:rPr>
        <w:t>1.7环境影响评价主要结论</w:t>
      </w:r>
      <w:bookmarkEnd w:id="42"/>
    </w:p>
    <w:p w14:paraId="1D81E0F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中市巨城市政工程有限公司拟投资35090.20万元，在巴州区占地面积0.63万亩，其中建设饲草料种植基地0.6万亩、饲草料加工基地0.6万平方米；建设肉牛养殖区17.57万平方米，可存栏1.89万头育肥牛，并配套建设其他附属设施工程。建成后可年出栏安格斯肉牛19380头、巴山肉牛1800头。</w:t>
      </w:r>
    </w:p>
    <w:p w14:paraId="1AA0A114">
      <w:pPr>
        <w:adjustRightInd w:val="0"/>
        <w:snapToGrid w:val="0"/>
        <w:spacing w:line="360" w:lineRule="auto"/>
        <w:ind w:firstLine="482" w:firstLineChars="200"/>
        <w:rPr>
          <w:color w:val="000000" w:themeColor="text1"/>
          <w:sz w:val="24"/>
          <w14:textFill>
            <w14:solidFill>
              <w14:schemeClr w14:val="tx1"/>
            </w14:solidFill>
          </w14:textFill>
        </w:rPr>
      </w:pPr>
      <w:r>
        <w:rPr>
          <w:b/>
          <w:bCs/>
          <w:color w:val="000000" w:themeColor="text1"/>
          <w:sz w:val="24"/>
          <w14:textFill>
            <w14:solidFill>
              <w14:schemeClr w14:val="tx1"/>
            </w14:solidFill>
          </w14:textFill>
        </w:rPr>
        <w:t>项目建设符合国家产业政策，符合《巴中市巴州区畜禽养殖禁养区划定方案》（2018年），本项目选址不在禁养区，与外环境相容，总平面布置合理。环评阶段的公众参与调查结果显示，公众对项目的建设无反对意见。废气、废水、噪声、固体废物拟采取的环境保护措施技术可行，且符合相关要求。建设单位应认真落实本报告中提出的各项污染防治措施及环境风险防范措施，可确保污染物实现稳定达标排放。从环保角度而言，本项目的建设是可行的。</w:t>
      </w:r>
    </w:p>
    <w:p w14:paraId="1F502FF8">
      <w:pPr>
        <w:adjustRightInd w:val="0"/>
        <w:snapToGrid w:val="0"/>
        <w:spacing w:line="360" w:lineRule="auto"/>
        <w:ind w:firstLine="480" w:firstLineChars="200"/>
        <w:jc w:val="both"/>
        <w:rPr>
          <w:color w:val="000000" w:themeColor="text1"/>
          <w:sz w:val="24"/>
          <w14:textFill>
            <w14:solidFill>
              <w14:schemeClr w14:val="tx1"/>
            </w14:solidFill>
          </w14:textFill>
        </w:rPr>
      </w:pPr>
    </w:p>
    <w:p w14:paraId="3E9E8CBA">
      <w:pPr>
        <w:pStyle w:val="3"/>
        <w:snapToGrid w:val="0"/>
        <w:spacing w:before="240" w:beforeLines="100" w:after="240" w:afterLines="100" w:line="360" w:lineRule="auto"/>
        <w:rPr>
          <w:color w:val="000000" w:themeColor="text1"/>
          <w:sz w:val="24"/>
          <w14:textFill>
            <w14:solidFill>
              <w14:schemeClr w14:val="tx1"/>
            </w14:solidFill>
          </w14:textFill>
        </w:rPr>
        <w:sectPr>
          <w:footerReference r:id="rId10" w:type="default"/>
          <w:type w:val="continuous"/>
          <w:pgSz w:w="11907" w:h="16840"/>
          <w:pgMar w:top="1440" w:right="1797" w:bottom="1440" w:left="1797" w:header="851" w:footer="992" w:gutter="0"/>
          <w:pgNumType w:chapStyle="1"/>
          <w:cols w:space="720" w:num="1"/>
          <w:docGrid w:linePitch="312" w:charSpace="0"/>
        </w:sectPr>
      </w:pPr>
    </w:p>
    <w:p w14:paraId="63898AEB">
      <w:pPr>
        <w:pStyle w:val="3"/>
        <w:snapToGrid w:val="0"/>
        <w:spacing w:before="240" w:beforeLines="100" w:after="240" w:afterLines="100" w:line="360" w:lineRule="auto"/>
        <w:jc w:val="center"/>
        <w:rPr>
          <w:bCs w:val="0"/>
          <w:color w:val="000000" w:themeColor="text1"/>
          <w:sz w:val="36"/>
          <w:szCs w:val="36"/>
          <w14:textFill>
            <w14:solidFill>
              <w14:schemeClr w14:val="tx1"/>
            </w14:solidFill>
          </w14:textFill>
        </w:rPr>
      </w:pPr>
      <w:bookmarkStart w:id="43" w:name="_Toc40220620"/>
      <w:bookmarkStart w:id="44" w:name="_Toc233380102"/>
      <w:r>
        <w:rPr>
          <w:bCs w:val="0"/>
          <w:color w:val="000000" w:themeColor="text1"/>
          <w:sz w:val="36"/>
          <w:szCs w:val="36"/>
          <w14:textFill>
            <w14:solidFill>
              <w14:schemeClr w14:val="tx1"/>
            </w14:solidFill>
          </w14:textFill>
        </w:rPr>
        <w:t>2总则</w:t>
      </w:r>
      <w:bookmarkEnd w:id="43"/>
      <w:bookmarkEnd w:id="44"/>
    </w:p>
    <w:p w14:paraId="2EA340EC">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45" w:name="_Toc40220621"/>
      <w:bookmarkStart w:id="46" w:name="_Toc233380103"/>
      <w:r>
        <w:rPr>
          <w:rFonts w:ascii="Times New Roman" w:hAnsi="Times New Roman" w:eastAsia="宋体"/>
          <w:color w:val="000000" w:themeColor="text1"/>
          <w:sz w:val="30"/>
          <w:szCs w:val="30"/>
          <w14:textFill>
            <w14:solidFill>
              <w14:schemeClr w14:val="tx1"/>
            </w14:solidFill>
          </w14:textFill>
        </w:rPr>
        <w:t>2.1评价目的和原则</w:t>
      </w:r>
      <w:bookmarkEnd w:id="45"/>
      <w:bookmarkEnd w:id="46"/>
    </w:p>
    <w:p w14:paraId="47FE789F">
      <w:pPr>
        <w:pStyle w:val="752"/>
        <w:rPr>
          <w:rFonts w:cs="Times New Roman"/>
          <w:color w:val="000000" w:themeColor="text1"/>
          <w14:textFill>
            <w14:solidFill>
              <w14:schemeClr w14:val="tx1"/>
            </w14:solidFill>
          </w14:textFill>
        </w:rPr>
      </w:pPr>
      <w:bookmarkStart w:id="47" w:name="_Toc233380104"/>
      <w:bookmarkStart w:id="48" w:name="_Toc21529519"/>
      <w:bookmarkStart w:id="49" w:name="_Toc28814545"/>
      <w:bookmarkStart w:id="50" w:name="_Toc40220622"/>
      <w:bookmarkStart w:id="51" w:name="_Toc27751061"/>
      <w:r>
        <w:rPr>
          <w:rFonts w:cs="Times New Roman"/>
          <w:color w:val="000000" w:themeColor="text1"/>
          <w14:textFill>
            <w14:solidFill>
              <w14:schemeClr w14:val="tx1"/>
            </w14:solidFill>
          </w14:textFill>
        </w:rPr>
        <w:t>2.1.1评价目的</w:t>
      </w:r>
      <w:bookmarkEnd w:id="47"/>
      <w:bookmarkEnd w:id="48"/>
      <w:bookmarkEnd w:id="49"/>
      <w:bookmarkEnd w:id="50"/>
      <w:bookmarkEnd w:id="51"/>
    </w:p>
    <w:p w14:paraId="08665244">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环境影响评价作为建设项目环境管理的一项制度，根本目的是贯彻“保护环境”这项基本国策，认真执行“以防为主，防治结合，综合利用”的环境管理方针。根据《中华人民共和国环境影响评价法》（2018年12月29日）及《建设项目环境保护管理条例》（国务院令第682号修改），为实施可持续发展战略，预防因规划和建设项目实施后对环境造成的不良影响，加强建设项目环境保护管理，严格控制新的污染，保护和改善环境，一切新建、扩建和技改工程必须开展环境影响评价工作。</w:t>
      </w:r>
    </w:p>
    <w:p w14:paraId="586EC0C3">
      <w:pPr>
        <w:adjustRightInd w:val="0"/>
        <w:snapToGrid w:val="0"/>
        <w:spacing w:line="360" w:lineRule="auto"/>
        <w:ind w:firstLine="480" w:firstLineChars="200"/>
        <w:rPr>
          <w:sz w:val="24"/>
        </w:rPr>
      </w:pPr>
      <w:r>
        <w:rPr>
          <w:sz w:val="24"/>
        </w:rPr>
        <w:t>因此，本次评价具体目的如下：</w:t>
      </w:r>
    </w:p>
    <w:p w14:paraId="2BE5CC50">
      <w:pPr>
        <w:adjustRightInd w:val="0"/>
        <w:snapToGrid w:val="0"/>
        <w:spacing w:line="360" w:lineRule="auto"/>
        <w:ind w:firstLine="480" w:firstLineChars="200"/>
        <w:rPr>
          <w:sz w:val="24"/>
        </w:rPr>
      </w:pPr>
      <w:r>
        <w:rPr>
          <w:sz w:val="24"/>
        </w:rPr>
        <w:t>（1）通过对项目所在区域环境质量现状的调查与监测，掌握项目所在区域的环境质量现状。</w:t>
      </w:r>
    </w:p>
    <w:p w14:paraId="29DBD9E1">
      <w:pPr>
        <w:adjustRightInd w:val="0"/>
        <w:snapToGrid w:val="0"/>
        <w:spacing w:line="360" w:lineRule="auto"/>
        <w:ind w:firstLine="480" w:firstLineChars="200"/>
        <w:rPr>
          <w:sz w:val="24"/>
        </w:rPr>
      </w:pPr>
      <w:r>
        <w:rPr>
          <w:sz w:val="24"/>
        </w:rPr>
        <w:t>（2）通过对拟建工程情况和对有关技术资料的分析，掌握工程的一般特征和污染特征，分析本项目建成后污染物经治理后的排污水平，选择适当的模式预测本项目建成投产后排放的污染物可能对环境造成影响的程度和范围，并提出相应的防治措施。</w:t>
      </w:r>
    </w:p>
    <w:p w14:paraId="724244C8">
      <w:pPr>
        <w:adjustRightInd w:val="0"/>
        <w:snapToGrid w:val="0"/>
        <w:spacing w:line="360" w:lineRule="auto"/>
        <w:ind w:firstLine="480" w:firstLineChars="200"/>
        <w:rPr>
          <w:sz w:val="24"/>
        </w:rPr>
      </w:pPr>
      <w:r>
        <w:rPr>
          <w:sz w:val="24"/>
        </w:rPr>
        <w:t>（3）从环保法规、产业政策、环境特点、污染防治等方面综合分析论证本项目建设场址选择的合理性和建设项目的可行性。</w:t>
      </w:r>
    </w:p>
    <w:p w14:paraId="7355A7C3">
      <w:pPr>
        <w:pStyle w:val="752"/>
        <w:rPr>
          <w:rFonts w:cs="Times New Roman"/>
          <w:color w:val="000000" w:themeColor="text1"/>
          <w14:textFill>
            <w14:solidFill>
              <w14:schemeClr w14:val="tx1"/>
            </w14:solidFill>
          </w14:textFill>
        </w:rPr>
      </w:pPr>
      <w:bookmarkStart w:id="52" w:name="_Toc28814546"/>
      <w:bookmarkStart w:id="53" w:name="_Toc21529520"/>
      <w:bookmarkStart w:id="54" w:name="_Toc233380105"/>
      <w:bookmarkStart w:id="55" w:name="_Toc40220623"/>
      <w:bookmarkStart w:id="56" w:name="_Toc27751062"/>
      <w:r>
        <w:rPr>
          <w:rFonts w:cs="Times New Roman"/>
          <w:color w:val="000000" w:themeColor="text1"/>
          <w14:textFill>
            <w14:solidFill>
              <w14:schemeClr w14:val="tx1"/>
            </w14:solidFill>
          </w14:textFill>
        </w:rPr>
        <w:t>2.1.2评价原则</w:t>
      </w:r>
      <w:bookmarkEnd w:id="52"/>
      <w:bookmarkEnd w:id="53"/>
      <w:bookmarkEnd w:id="54"/>
      <w:bookmarkEnd w:id="55"/>
      <w:bookmarkEnd w:id="56"/>
    </w:p>
    <w:p w14:paraId="3811CE77">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突出环境影响评价的源头预防作用，坚持保护和改善环境质量。</w:t>
      </w:r>
    </w:p>
    <w:p w14:paraId="1E2A70FE">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依法评价：贯彻执行我国环境保护相关法律法规、标准、政策和规划等，优化项目建设，服务环境管理。</w:t>
      </w:r>
    </w:p>
    <w:p w14:paraId="5D3D77DE">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科学评价：规范环境影响评价方法，科学分析项目建设对环境质量的影响。</w:t>
      </w:r>
    </w:p>
    <w:p w14:paraId="1A2C775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突出重点：根据建设项目的工程内容及其特点，明确与环境要素间的作用效应关系，根据规划环境影响评价结论和审查意见，充分利用符合时效的数据资料及成果，对建设项目主要环境影响予以重点分析和评价。</w:t>
      </w:r>
    </w:p>
    <w:p w14:paraId="06A306FE">
      <w:pPr>
        <w:pStyle w:val="752"/>
        <w:rPr>
          <w:rFonts w:cs="Times New Roman"/>
          <w:color w:val="FF0000"/>
        </w:rPr>
      </w:pPr>
      <w:bookmarkStart w:id="57" w:name="_Toc233380106"/>
      <w:r>
        <w:rPr>
          <w:rFonts w:cs="Times New Roman"/>
          <w:color w:val="FF0000"/>
        </w:rPr>
        <w:t>2.1.3</w:t>
      </w:r>
      <w:r>
        <w:rPr>
          <w:rFonts w:hint="eastAsia" w:cs="Times New Roman"/>
          <w:color w:val="FF0000"/>
        </w:rPr>
        <w:t>多场址评价</w:t>
      </w:r>
      <w:bookmarkEnd w:id="57"/>
    </w:p>
    <w:p w14:paraId="475CEA8D">
      <w:pPr>
        <w:adjustRightInd w:val="0"/>
        <w:snapToGrid w:val="0"/>
        <w:spacing w:line="360" w:lineRule="auto"/>
        <w:ind w:firstLine="480" w:firstLineChars="200"/>
        <w:rPr>
          <w:color w:val="FF0000"/>
          <w:sz w:val="24"/>
        </w:rPr>
      </w:pPr>
      <w:r>
        <w:rPr>
          <w:rFonts w:hint="eastAsia"/>
          <w:color w:val="FF0000"/>
          <w:sz w:val="24"/>
        </w:rPr>
        <w:t>（1）本项目共</w:t>
      </w:r>
      <w:r>
        <w:rPr>
          <w:color w:val="FF0000"/>
          <w:sz w:val="24"/>
        </w:rPr>
        <w:t>4</w:t>
      </w:r>
      <w:r>
        <w:rPr>
          <w:rFonts w:hint="eastAsia"/>
          <w:color w:val="FF0000"/>
          <w:sz w:val="24"/>
        </w:rPr>
        <w:t>个养殖场区，各养殖场区养殖类别、养殖工艺、污染治理措施等均相同，仅养殖规模不同。为便于后期运营中按场区进行规范化管理，项目组成、污染源强核算、竣工环保验收要求等，各养殖场区分别进行统计。</w:t>
      </w:r>
    </w:p>
    <w:p w14:paraId="7A221B8D">
      <w:pPr>
        <w:adjustRightInd w:val="0"/>
        <w:snapToGrid w:val="0"/>
        <w:spacing w:line="360" w:lineRule="auto"/>
        <w:ind w:firstLine="480" w:firstLineChars="200"/>
        <w:rPr>
          <w:color w:val="FF0000"/>
          <w:sz w:val="24"/>
        </w:rPr>
      </w:pPr>
      <w:r>
        <w:rPr>
          <w:rFonts w:hint="eastAsia"/>
          <w:color w:val="FF0000"/>
          <w:sz w:val="24"/>
        </w:rPr>
        <w:t>（2）项目</w:t>
      </w:r>
      <w:r>
        <w:rPr>
          <w:color w:val="FF0000"/>
          <w:sz w:val="24"/>
        </w:rPr>
        <w:t>4</w:t>
      </w:r>
      <w:r>
        <w:rPr>
          <w:rFonts w:hint="eastAsia"/>
          <w:color w:val="FF0000"/>
          <w:sz w:val="24"/>
        </w:rPr>
        <w:t>个养殖场区分布于驷马河、巴河两岸，</w:t>
      </w:r>
      <w:r>
        <w:rPr>
          <w:color w:val="FF0000"/>
          <w:sz w:val="24"/>
        </w:rPr>
        <w:t>4</w:t>
      </w:r>
      <w:r>
        <w:rPr>
          <w:rFonts w:hint="eastAsia"/>
          <w:color w:val="FF0000"/>
          <w:sz w:val="24"/>
        </w:rPr>
        <w:t>个场址所处水文地质条件基本相同，涉及的土壤类型仅含渗育水稻土和酸性紫色土，因此项目地下水和土壤环境影响结合区域水文地质条件、土壤类型等进行整体评价。</w:t>
      </w:r>
    </w:p>
    <w:p w14:paraId="36E9EE9C">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58" w:name="_Toc40220624"/>
      <w:bookmarkStart w:id="59" w:name="_Toc233380107"/>
      <w:r>
        <w:rPr>
          <w:rFonts w:ascii="Times New Roman" w:hAnsi="Times New Roman" w:eastAsia="宋体"/>
          <w:color w:val="000000" w:themeColor="text1"/>
          <w:sz w:val="30"/>
          <w:szCs w:val="30"/>
          <w14:textFill>
            <w14:solidFill>
              <w14:schemeClr w14:val="tx1"/>
            </w14:solidFill>
          </w14:textFill>
        </w:rPr>
        <w:t>2.2编制依据</w:t>
      </w:r>
      <w:bookmarkEnd w:id="58"/>
      <w:bookmarkEnd w:id="59"/>
    </w:p>
    <w:p w14:paraId="4773B981">
      <w:pPr>
        <w:pStyle w:val="752"/>
        <w:rPr>
          <w:rFonts w:cs="Times New Roman"/>
          <w:color w:val="000000" w:themeColor="text1"/>
          <w14:textFill>
            <w14:solidFill>
              <w14:schemeClr w14:val="tx1"/>
            </w14:solidFill>
          </w14:textFill>
        </w:rPr>
      </w:pPr>
      <w:bookmarkStart w:id="60" w:name="_Toc27751064"/>
      <w:bookmarkStart w:id="61" w:name="_Toc28814548"/>
      <w:bookmarkStart w:id="62" w:name="_Toc233380108"/>
      <w:bookmarkStart w:id="63" w:name="_Toc40220625"/>
      <w:r>
        <w:rPr>
          <w:rFonts w:cs="Times New Roman"/>
          <w:color w:val="000000" w:themeColor="text1"/>
          <w14:textFill>
            <w14:solidFill>
              <w14:schemeClr w14:val="tx1"/>
            </w14:solidFill>
          </w14:textFill>
        </w:rPr>
        <w:t>2.2.1国家有关法律</w:t>
      </w:r>
      <w:bookmarkEnd w:id="60"/>
      <w:bookmarkEnd w:id="61"/>
      <w:bookmarkEnd w:id="62"/>
      <w:bookmarkEnd w:id="63"/>
    </w:p>
    <w:p w14:paraId="3DA053BE">
      <w:pPr>
        <w:pStyle w:val="421"/>
        <w:spacing w:line="360" w:lineRule="auto"/>
        <w:ind w:firstLine="480"/>
        <w:rPr>
          <w:color w:val="000000" w:themeColor="text1"/>
          <w:lang w:val="en-US"/>
          <w14:textFill>
            <w14:solidFill>
              <w14:schemeClr w14:val="tx1"/>
            </w14:solidFill>
          </w14:textFill>
        </w:rPr>
      </w:pPr>
      <w:bookmarkStart w:id="64" w:name="_Toc40220626"/>
      <w:bookmarkStart w:id="65" w:name="_Toc27751065"/>
      <w:bookmarkStart w:id="66" w:name="_Toc28814549"/>
      <w:r>
        <w:rPr>
          <w:color w:val="000000" w:themeColor="text1"/>
          <w:lang w:val="en-US"/>
          <w14:textFill>
            <w14:solidFill>
              <w14:schemeClr w14:val="tx1"/>
            </w14:solidFill>
          </w14:textFill>
        </w:rPr>
        <w:t>（1）《中华人民共和国环境保护法》（2015年1月1日）；</w:t>
      </w:r>
    </w:p>
    <w:p w14:paraId="4AB97D9C">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（2）《中华人民共和国环境影响评价法》（2018年12月29日）；</w:t>
      </w:r>
    </w:p>
    <w:p w14:paraId="49149E7E">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（3）《中华人民共和国大气污染防治法》（2018年10月26日）；</w:t>
      </w:r>
    </w:p>
    <w:p w14:paraId="371112ED">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（4）《中华人民共和国水污染防治法》（</w:t>
      </w:r>
      <w:r>
        <w:rPr>
          <w:snapToGrid w:val="0"/>
          <w:color w:val="000000" w:themeColor="text1"/>
          <w:szCs w:val="22"/>
          <w14:textFill>
            <w14:solidFill>
              <w14:schemeClr w14:val="tx1"/>
            </w14:solidFill>
          </w14:textFill>
        </w:rPr>
        <w:t>2018年1月1日</w:t>
      </w:r>
      <w:r>
        <w:rPr>
          <w:color w:val="000000" w:themeColor="text1"/>
          <w:lang w:val="en-US"/>
          <w14:textFill>
            <w14:solidFill>
              <w14:schemeClr w14:val="tx1"/>
            </w14:solidFill>
          </w14:textFill>
        </w:rPr>
        <w:t>）；</w:t>
      </w:r>
    </w:p>
    <w:p w14:paraId="250FEF0F">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（5）《中华人民共和国噪声污染防治法》（2022年6月5日）；</w:t>
      </w:r>
    </w:p>
    <w:p w14:paraId="6F52C792">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（6）《中华人民共和国固体废物污染环境防治法》（</w:t>
      </w:r>
      <w:r>
        <w:rPr>
          <w:snapToGrid w:val="0"/>
          <w:color w:val="000000" w:themeColor="text1"/>
          <w:szCs w:val="22"/>
          <w14:textFill>
            <w14:solidFill>
              <w14:schemeClr w14:val="tx1"/>
            </w14:solidFill>
          </w14:textFill>
        </w:rPr>
        <w:t>2020年9月1日</w:t>
      </w:r>
      <w:r>
        <w:rPr>
          <w:color w:val="000000" w:themeColor="text1"/>
          <w:lang w:val="en-US"/>
          <w14:textFill>
            <w14:solidFill>
              <w14:schemeClr w14:val="tx1"/>
            </w14:solidFill>
          </w14:textFill>
        </w:rPr>
        <w:t>）；</w:t>
      </w:r>
    </w:p>
    <w:p w14:paraId="55BF23EC">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（7）《中华人民共和国土壤污染防治法》（2019年1月1日）；</w:t>
      </w:r>
    </w:p>
    <w:p w14:paraId="20D2068D">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（8）《中华人民共和国城乡规划法》（2015年4月）；</w:t>
      </w:r>
    </w:p>
    <w:p w14:paraId="345225B1">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（9）《中华人民共和国水土保持法》（2011年3月1日施行）；</w:t>
      </w:r>
    </w:p>
    <w:p w14:paraId="4E7CC24E">
      <w:pPr>
        <w:pStyle w:val="421"/>
        <w:spacing w:line="360" w:lineRule="auto"/>
        <w:ind w:firstLine="480"/>
        <w:rPr>
          <w:color w:val="000000" w:themeColor="text1"/>
          <w:lang w:val="en-US"/>
          <w14:textFill>
            <w14:solidFill>
              <w14:schemeClr w14:val="tx1"/>
            </w14:solidFill>
          </w14:textFill>
        </w:rPr>
      </w:pPr>
      <w:r>
        <w:rPr>
          <w:color w:val="000000" w:themeColor="text1"/>
          <w:kern w:val="0"/>
          <w:szCs w:val="24"/>
          <w:lang w:val="en-US" w:bidi="ar"/>
          <w14:textFill>
            <w14:solidFill>
              <w14:schemeClr w14:val="tx1"/>
            </w14:solidFill>
          </w14:textFill>
        </w:rPr>
        <w:t>（10）</w:t>
      </w:r>
      <w:r>
        <w:rPr>
          <w:color w:val="000000" w:themeColor="text1"/>
          <w:lang w:val="en-US"/>
          <w14:textFill>
            <w14:solidFill>
              <w14:schemeClr w14:val="tx1"/>
            </w14:solidFill>
          </w14:textFill>
        </w:rPr>
        <w:t>《中华人民共和国水法》（2016年7月2日修正）；</w:t>
      </w:r>
    </w:p>
    <w:p w14:paraId="2336FD5C">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（11）《</w:t>
      </w:r>
      <w:bookmarkStart w:id="67" w:name="OLE_LINK34"/>
      <w:bookmarkStart w:id="68" w:name="OLE_LINK35"/>
      <w:r>
        <w:rPr>
          <w:color w:val="000000" w:themeColor="text1"/>
          <w:lang w:val="en-US"/>
          <w14:textFill>
            <w14:solidFill>
              <w14:schemeClr w14:val="tx1"/>
            </w14:solidFill>
          </w14:textFill>
        </w:rPr>
        <w:t>中华人民共和国动物防疫法</w:t>
      </w:r>
      <w:bookmarkEnd w:id="67"/>
      <w:bookmarkEnd w:id="68"/>
      <w:r>
        <w:rPr>
          <w:color w:val="000000" w:themeColor="text1"/>
          <w:lang w:val="en-US"/>
          <w14:textFill>
            <w14:solidFill>
              <w14:schemeClr w14:val="tx1"/>
            </w14:solidFill>
          </w14:textFill>
        </w:rPr>
        <w:t>》（2021年1月22日修正）；</w:t>
      </w:r>
    </w:p>
    <w:p w14:paraId="0FA26FCB">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（12）《中华人民共和国畜牧法》（2023年3月1日施行）；</w:t>
      </w:r>
    </w:p>
    <w:p w14:paraId="65A76927">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（13）《中华人民共和国环境保护税法》（2025年10月28日施行）；</w:t>
      </w:r>
    </w:p>
    <w:p w14:paraId="6279F607">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（14）《中华人民共和国长江保护法》（2021年3月1日施行）；</w:t>
      </w:r>
    </w:p>
    <w:p w14:paraId="7BE043DB">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（15）《中华人民共和国清洁生产促进法》（2012年7月1日施行）</w:t>
      </w:r>
      <w:r>
        <w:rPr>
          <w:rFonts w:hint="eastAsia"/>
          <w:color w:val="000000" w:themeColor="text1"/>
          <w:lang w:val="en-US"/>
          <w14:textFill>
            <w14:solidFill>
              <w14:schemeClr w14:val="tx1"/>
            </w14:solidFill>
          </w14:textFill>
        </w:rPr>
        <w:t>；</w:t>
      </w:r>
    </w:p>
    <w:p w14:paraId="6598162D">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（16）</w:t>
      </w:r>
      <w:r>
        <w:rPr>
          <w:color w:val="000000" w:themeColor="text1"/>
          <w14:textFill>
            <w14:solidFill>
              <w14:schemeClr w14:val="tx1"/>
            </w14:solidFill>
          </w14:textFill>
        </w:rPr>
        <w:t>《中华人民共和国循环经济促进法》（2018年10月26日修订）</w:t>
      </w:r>
      <w:r>
        <w:rPr>
          <w:color w:val="000000" w:themeColor="text1"/>
          <w:lang w:val="en-US"/>
          <w14:textFill>
            <w14:solidFill>
              <w14:schemeClr w14:val="tx1"/>
            </w14:solidFill>
          </w14:textFill>
        </w:rPr>
        <w:t>。</w:t>
      </w:r>
    </w:p>
    <w:p w14:paraId="1697B2AA">
      <w:pPr>
        <w:pStyle w:val="752"/>
        <w:rPr>
          <w:rFonts w:cs="Times New Roman"/>
          <w:color w:val="000000" w:themeColor="text1"/>
          <w14:textFill>
            <w14:solidFill>
              <w14:schemeClr w14:val="tx1"/>
            </w14:solidFill>
          </w14:textFill>
        </w:rPr>
      </w:pPr>
      <w:bookmarkStart w:id="69" w:name="_Toc233380109"/>
      <w:r>
        <w:rPr>
          <w:rFonts w:cs="Times New Roman"/>
          <w:color w:val="000000" w:themeColor="text1"/>
          <w14:textFill>
            <w14:solidFill>
              <w14:schemeClr w14:val="tx1"/>
            </w14:solidFill>
          </w14:textFill>
        </w:rPr>
        <w:t>2.2.2法规、规章、条例</w:t>
      </w:r>
      <w:bookmarkEnd w:id="69"/>
    </w:p>
    <w:p w14:paraId="54ADCFF7">
      <w:pPr>
        <w:pStyle w:val="421"/>
        <w:numPr>
          <w:ilvl w:val="0"/>
          <w:numId w:val="21"/>
        </w:numPr>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《建设项目环境保护管理条例》</w:t>
      </w:r>
      <w:r>
        <w:rPr>
          <w:snapToGrid w:val="0"/>
          <w:color w:val="000000" w:themeColor="text1"/>
          <w:szCs w:val="22"/>
          <w14:textFill>
            <w14:solidFill>
              <w14:schemeClr w14:val="tx1"/>
            </w14:solidFill>
          </w14:textFill>
        </w:rPr>
        <w:t>（国务院令第253号，1998年11月29日）及《国务院关于修改&lt;建设项目环境保护管理条例&gt;的决定》（中华人民共和国国务院令第682号，2017年10月1日）</w:t>
      </w:r>
      <w:r>
        <w:rPr>
          <w:color w:val="000000" w:themeColor="text1"/>
          <w:lang w:val="en-US"/>
          <w14:textFill>
            <w14:solidFill>
              <w14:schemeClr w14:val="tx1"/>
            </w14:solidFill>
          </w14:textFill>
        </w:rPr>
        <w:t>；</w:t>
      </w:r>
    </w:p>
    <w:p w14:paraId="2B101704">
      <w:pPr>
        <w:pStyle w:val="421"/>
        <w:numPr>
          <w:ilvl w:val="0"/>
          <w:numId w:val="21"/>
        </w:numPr>
        <w:spacing w:line="360" w:lineRule="auto"/>
        <w:ind w:firstLine="480"/>
        <w:rPr>
          <w:snapToGrid w:val="0"/>
          <w:color w:val="000000" w:themeColor="text1"/>
          <w:szCs w:val="22"/>
          <w14:textFill>
            <w14:solidFill>
              <w14:schemeClr w14:val="tx1"/>
            </w14:solidFill>
          </w14:textFill>
        </w:rPr>
      </w:pPr>
      <w:r>
        <w:rPr>
          <w:snapToGrid w:val="0"/>
          <w:color w:val="000000" w:themeColor="text1"/>
          <w:szCs w:val="22"/>
          <w:lang w:val="en-US"/>
          <w14:textFill>
            <w14:solidFill>
              <w14:schemeClr w14:val="tx1"/>
            </w14:solidFill>
          </w14:textFill>
        </w:rPr>
        <w:t>《关于以改善环境质量为核心加强环境影响评价管理的通知》（环环评〔2016〕150号，2016年10月26日施行）；</w:t>
      </w:r>
    </w:p>
    <w:p w14:paraId="234FB797">
      <w:pPr>
        <w:pStyle w:val="421"/>
        <w:numPr>
          <w:ilvl w:val="0"/>
          <w:numId w:val="21"/>
        </w:numPr>
        <w:spacing w:line="360" w:lineRule="auto"/>
        <w:ind w:firstLine="480"/>
        <w:rPr>
          <w:snapToGrid w:val="0"/>
          <w:color w:val="000000" w:themeColor="text1"/>
          <w:szCs w:val="22"/>
          <w14:textFill>
            <w14:solidFill>
              <w14:schemeClr w14:val="tx1"/>
            </w14:solidFill>
          </w14:textFill>
        </w:rPr>
      </w:pPr>
      <w:r>
        <w:rPr>
          <w:snapToGrid w:val="0"/>
          <w:color w:val="000000" w:themeColor="text1"/>
          <w:szCs w:val="22"/>
          <w:lang w:val="en-US"/>
          <w14:textFill>
            <w14:solidFill>
              <w14:schemeClr w14:val="tx1"/>
            </w14:solidFill>
          </w14:textFill>
        </w:rPr>
        <w:t>《中华人民共和国环境保护税法实施条例》（国务院令第693号，2018年1月1日施行）；</w:t>
      </w:r>
    </w:p>
    <w:p w14:paraId="4442EC1B">
      <w:pPr>
        <w:pStyle w:val="421"/>
        <w:numPr>
          <w:ilvl w:val="0"/>
          <w:numId w:val="21"/>
        </w:numPr>
        <w:spacing w:line="360" w:lineRule="auto"/>
        <w:ind w:firstLine="480"/>
        <w:rPr>
          <w:snapToGrid w:val="0"/>
          <w:color w:val="000000" w:themeColor="text1"/>
          <w:szCs w:val="22"/>
          <w:lang w:val="en-US"/>
          <w14:textFill>
            <w14:solidFill>
              <w14:schemeClr w14:val="tx1"/>
            </w14:solidFill>
          </w14:textFill>
        </w:rPr>
      </w:pPr>
      <w:r>
        <w:rPr>
          <w:snapToGrid w:val="0"/>
          <w:color w:val="000000" w:themeColor="text1"/>
          <w:szCs w:val="22"/>
          <w:lang w:val="en-US"/>
          <w14:textFill>
            <w14:solidFill>
              <w14:schemeClr w14:val="tx1"/>
            </w14:solidFill>
          </w14:textFill>
        </w:rPr>
        <w:t>《重大动物疫情应急条例》（2017年10月7日修订）；</w:t>
      </w:r>
    </w:p>
    <w:p w14:paraId="56688FE3">
      <w:pPr>
        <w:pStyle w:val="421"/>
        <w:numPr>
          <w:ilvl w:val="0"/>
          <w:numId w:val="21"/>
        </w:numPr>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《国家危险废物名录》（2025年版，2025年1月1日起施行）；</w:t>
      </w:r>
    </w:p>
    <w:p w14:paraId="0464EDA1">
      <w:pPr>
        <w:pStyle w:val="421"/>
        <w:numPr>
          <w:ilvl w:val="0"/>
          <w:numId w:val="21"/>
        </w:numPr>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《环境影响评价公众参与办法》（生态环境部令第4号，2019年1月1日起实施）；</w:t>
      </w:r>
    </w:p>
    <w:p w14:paraId="2EFCFE20">
      <w:pPr>
        <w:pStyle w:val="421"/>
        <w:numPr>
          <w:ilvl w:val="0"/>
          <w:numId w:val="21"/>
        </w:numPr>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《建设项目环境影响评价分类管理名录》（2021年版）（生态环境部令第16号，2021年1月1日起施行）；</w:t>
      </w:r>
    </w:p>
    <w:p w14:paraId="3AADD3CA">
      <w:pPr>
        <w:pStyle w:val="421"/>
        <w:numPr>
          <w:ilvl w:val="0"/>
          <w:numId w:val="21"/>
        </w:numPr>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《关于落实&lt;水污染防治行动计划&gt;实施区域差别化环境准入的指导意见》（环环评[2016]190号，原环境保护部发展改革委住房城乡建设部水利部，2016年12月27日）；</w:t>
      </w:r>
    </w:p>
    <w:p w14:paraId="39A2AEC5">
      <w:pPr>
        <w:pStyle w:val="421"/>
        <w:numPr>
          <w:ilvl w:val="0"/>
          <w:numId w:val="21"/>
        </w:numPr>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《关于落实大气污染防治行动计划严格环境影响评价准入的通知》（环办﹝2014﹞30号，2014年3月25日）；</w:t>
      </w:r>
    </w:p>
    <w:p w14:paraId="311792DC">
      <w:pPr>
        <w:pStyle w:val="421"/>
        <w:numPr>
          <w:ilvl w:val="0"/>
          <w:numId w:val="21"/>
        </w:numPr>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《关于发布&lt;排污单位自行监测技术指南总则&gt;等三项国家环境保护标准的公告》（公告2017年第16号，2017年4月25日）；</w:t>
      </w:r>
    </w:p>
    <w:p w14:paraId="7069CCD9">
      <w:pPr>
        <w:pStyle w:val="421"/>
        <w:numPr>
          <w:ilvl w:val="0"/>
          <w:numId w:val="21"/>
        </w:numPr>
        <w:spacing w:line="360" w:lineRule="auto"/>
        <w:ind w:firstLine="480"/>
        <w:rPr>
          <w:color w:val="000000" w:themeColor="text1"/>
          <w:lang w:val="en-US"/>
          <w14:textFill>
            <w14:solidFill>
              <w14:schemeClr w14:val="tx1"/>
            </w14:solidFill>
          </w14:textFill>
        </w:rPr>
      </w:pPr>
      <w:r>
        <w:rPr>
          <w:color w:val="000000" w:themeColor="text1"/>
          <w:kern w:val="0"/>
          <w:szCs w:val="24"/>
          <w:lang w:val="en-US" w:bidi="ar"/>
          <w14:textFill>
            <w14:solidFill>
              <w14:schemeClr w14:val="tx1"/>
            </w14:solidFill>
          </w14:textFill>
        </w:rPr>
        <w:t>《土壤污染防治行动计划》（国发〔2016〕31号，2016年5月31日实施）；</w:t>
      </w:r>
    </w:p>
    <w:p w14:paraId="25E49340">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（12）《产业结构调整指导目录（2024年本）》；</w:t>
      </w:r>
    </w:p>
    <w:p w14:paraId="4CF1BFD0">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（13）《国务院关于加强环境保护重点工作的意见》（国发〔2011〕35号）；</w:t>
      </w:r>
    </w:p>
    <w:p w14:paraId="715865ED">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（14）《国务院关于印发水污染防治行动计划的通知》（国发〔2015〕17号）；</w:t>
      </w:r>
    </w:p>
    <w:p w14:paraId="674B2D5B">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（15）《国务院关于印发土壤污染防治行动计划的通知》（国发〔2016〕31号）；</w:t>
      </w:r>
    </w:p>
    <w:p w14:paraId="4A17EA6D">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（16）《国务院关于印发打赢蓝天保卫战三年行动计划的通知》（国发〔2018〕22号）；</w:t>
      </w:r>
    </w:p>
    <w:p w14:paraId="128946CB">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（17）《中共中央国务院关于全面加强生态环境保护坚决打好污染防治攻坚的意见》（2018年6月16日）；</w:t>
      </w:r>
    </w:p>
    <w:p w14:paraId="376DA281">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（18）《关于切实加强环境影响评价监督管理工作的通知》（环办〔2013〕104号）；</w:t>
      </w:r>
    </w:p>
    <w:p w14:paraId="03FFF0A8">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（19）《关于切实加强风险防范严格环境影响评价管理的通知》（环发〔2012〕98号）；</w:t>
      </w:r>
    </w:p>
    <w:p w14:paraId="0CBFFC94">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（20）《关于加强西部地区环境影响评价工作的通知》（环发〔2011〕150号）；</w:t>
      </w:r>
    </w:p>
    <w:p w14:paraId="3C497F4D">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（21）推动长江经济带发展领导小组办公室关于印发《长江经济带发展负面清单指南（试行，2022年版）》的通知（长江办〔2022〕7号，2022年1月9日）；</w:t>
      </w:r>
    </w:p>
    <w:p w14:paraId="6AA57607">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（22）《企业事业单位突发环境事件应急预案备案管理办法（试行）》（环发〔2015〕4号）；</w:t>
      </w:r>
    </w:p>
    <w:p w14:paraId="68ADC834">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（23）《关于发布&lt;污染源源强核算技术指南准则&gt;等五项国家环境保护标准的公告》（公告2018年第2号，生态环境部，2018年3月27日）；</w:t>
      </w:r>
    </w:p>
    <w:p w14:paraId="6DE64EAD">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（24）《关于发布&lt;排污单位环境管理台账及排污许可证执行报告技术规范总则（试行）&gt;国家环境保护标准的公告》（公告2018年第3号，生态环境部，2018年3月27日）；</w:t>
      </w:r>
    </w:p>
    <w:p w14:paraId="3765303E">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（25）《关于发布&lt;高污染燃料目录&gt;的通知》（国环规大气[2017]2号，2017年3月27日）；</w:t>
      </w:r>
    </w:p>
    <w:p w14:paraId="3FF89BDB">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（26）《动物防疫条件审查办法（修订）》（2022年12月1日起施行）；</w:t>
      </w:r>
    </w:p>
    <w:p w14:paraId="3F7FF886">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（27）《畜禽规模养殖污染防治条例》（中华人民共和国国务院令第643号，2014年1月1日施行）；</w:t>
      </w:r>
    </w:p>
    <w:p w14:paraId="2B6E0FF6">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（28）《关于做好畜禽规模养殖项目环境影响评价管理工作的通知》（环办环评〔2018〕31号，2018年10月12日施行）；</w:t>
      </w:r>
    </w:p>
    <w:p w14:paraId="38671DB2">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（29）《关于进一步明确畜禽粪污还田利用要求强化养殖污染监管的通知》（农办牧〔2020〕23号，2020年6月4日施行）；</w:t>
      </w:r>
    </w:p>
    <w:p w14:paraId="66EAFA85">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（30）《病死及病害动物无害化处理技术规范》（农医发〔2017〕25号，2017年7月3日施行）；</w:t>
      </w:r>
    </w:p>
    <w:p w14:paraId="5F99BDBF">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（31）《自然资源部农业农村部关于设施农业用地管理有关问题的通知》（自然资规〔2019〕4号，2019年12月17日）；</w:t>
      </w:r>
    </w:p>
    <w:p w14:paraId="281124C6">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（32）《自然资源部农业农村部国家林业和草原局关于严格耕地用途管制有关问题的通知》（自然资发〔2021〕166号）；</w:t>
      </w:r>
    </w:p>
    <w:p w14:paraId="34BC9859">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（33）《四川省自然资源厅四川省农业农村厅关于进一步完善设施农业用地管理有关问题的通知》（川自然资规〔2020〕3号）。</w:t>
      </w:r>
    </w:p>
    <w:p w14:paraId="422D4EB2">
      <w:pPr>
        <w:pStyle w:val="752"/>
        <w:rPr>
          <w:rFonts w:cs="Times New Roman"/>
          <w:color w:val="000000" w:themeColor="text1"/>
          <w14:textFill>
            <w14:solidFill>
              <w14:schemeClr w14:val="tx1"/>
            </w14:solidFill>
          </w14:textFill>
        </w:rPr>
      </w:pPr>
      <w:bookmarkStart w:id="70" w:name="_Toc233380110"/>
      <w:r>
        <w:rPr>
          <w:rFonts w:cs="Times New Roman"/>
          <w:color w:val="000000" w:themeColor="text1"/>
          <w14:textFill>
            <w14:solidFill>
              <w14:schemeClr w14:val="tx1"/>
            </w14:solidFill>
          </w14:textFill>
        </w:rPr>
        <w:t>2.2.3地方</w:t>
      </w:r>
      <w:bookmarkEnd w:id="64"/>
      <w:bookmarkEnd w:id="65"/>
      <w:bookmarkEnd w:id="66"/>
      <w:r>
        <w:rPr>
          <w:rFonts w:cs="Times New Roman"/>
          <w:color w:val="000000" w:themeColor="text1"/>
          <w14:textFill>
            <w14:solidFill>
              <w14:schemeClr w14:val="tx1"/>
            </w14:solidFill>
          </w14:textFill>
        </w:rPr>
        <w:t>政策条例</w:t>
      </w:r>
      <w:bookmarkEnd w:id="70"/>
    </w:p>
    <w:p w14:paraId="5F30DDA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color w:val="000000" w:themeColor="text1"/>
          <w:spacing w:val="2"/>
          <w:sz w:val="24"/>
          <w14:textFill>
            <w14:solidFill>
              <w14:schemeClr w14:val="tx1"/>
            </w14:solidFill>
          </w14:textFill>
        </w:rPr>
        <w:t>《四川省〈中华人民共和国大气污染防治法〉实施办法》（四川省第十三届人</w:t>
      </w:r>
      <w:r>
        <w:rPr>
          <w:color w:val="000000" w:themeColor="text1"/>
          <w:spacing w:val="-5"/>
          <w:sz w:val="24"/>
          <w14:textFill>
            <w14:solidFill>
              <w14:schemeClr w14:val="tx1"/>
            </w14:solidFill>
          </w14:textFill>
        </w:rPr>
        <w:t>民代表大会常务委员会公告（第</w:t>
      </w:r>
      <w:r>
        <w:rPr>
          <w:rFonts w:eastAsia="Times New Roman"/>
          <w:color w:val="000000" w:themeColor="text1"/>
          <w:spacing w:val="-5"/>
          <w:sz w:val="24"/>
          <w14:textFill>
            <w14:solidFill>
              <w14:schemeClr w14:val="tx1"/>
            </w14:solidFill>
          </w14:textFill>
        </w:rPr>
        <w:t>24</w:t>
      </w:r>
      <w:r>
        <w:rPr>
          <w:color w:val="000000" w:themeColor="text1"/>
          <w:spacing w:val="-5"/>
          <w:sz w:val="24"/>
          <w14:textFill>
            <w14:solidFill>
              <w14:schemeClr w14:val="tx1"/>
            </w14:solidFill>
          </w14:textFill>
        </w:rPr>
        <w:t>号</w:t>
      </w:r>
      <w:r>
        <w:rPr>
          <w:color w:val="000000" w:themeColor="text1"/>
          <w:spacing w:val="1"/>
          <w:sz w:val="24"/>
          <w14:textFill>
            <w14:solidFill>
              <w14:schemeClr w14:val="tx1"/>
            </w14:solidFill>
          </w14:textFill>
        </w:rPr>
        <w:t>），</w:t>
      </w:r>
      <w:r>
        <w:rPr>
          <w:rFonts w:eastAsia="Times New Roman"/>
          <w:color w:val="000000" w:themeColor="text1"/>
          <w:spacing w:val="-5"/>
          <w:sz w:val="24"/>
          <w14:textFill>
            <w14:solidFill>
              <w14:schemeClr w14:val="tx1"/>
            </w14:solidFill>
          </w14:textFill>
        </w:rPr>
        <w:t>2018</w:t>
      </w:r>
      <w:r>
        <w:rPr>
          <w:color w:val="000000" w:themeColor="text1"/>
          <w:spacing w:val="-5"/>
          <w:sz w:val="24"/>
          <w14:textFill>
            <w14:solidFill>
              <w14:schemeClr w14:val="tx1"/>
            </w14:solidFill>
          </w14:textFill>
        </w:rPr>
        <w:t>年</w:t>
      </w:r>
      <w:r>
        <w:rPr>
          <w:rFonts w:eastAsia="Times New Roman"/>
          <w:color w:val="000000" w:themeColor="text1"/>
          <w:spacing w:val="-6"/>
          <w:sz w:val="24"/>
          <w14:textFill>
            <w14:solidFill>
              <w14:schemeClr w14:val="tx1"/>
            </w14:solidFill>
          </w14:textFill>
        </w:rPr>
        <w:t>12</w:t>
      </w:r>
      <w:r>
        <w:rPr>
          <w:color w:val="000000" w:themeColor="text1"/>
          <w:spacing w:val="-6"/>
          <w:sz w:val="24"/>
          <w14:textFill>
            <w14:solidFill>
              <w14:schemeClr w14:val="tx1"/>
            </w14:solidFill>
          </w14:textFill>
        </w:rPr>
        <w:t>月</w:t>
      </w:r>
      <w:r>
        <w:rPr>
          <w:rFonts w:eastAsia="Times New Roman"/>
          <w:color w:val="000000" w:themeColor="text1"/>
          <w:spacing w:val="-6"/>
          <w:sz w:val="24"/>
          <w14:textFill>
            <w14:solidFill>
              <w14:schemeClr w14:val="tx1"/>
            </w14:solidFill>
          </w14:textFill>
        </w:rPr>
        <w:t>7</w:t>
      </w:r>
      <w:r>
        <w:rPr>
          <w:color w:val="000000" w:themeColor="text1"/>
          <w:spacing w:val="-6"/>
          <w:sz w:val="24"/>
          <w14:textFill>
            <w14:solidFill>
              <w14:schemeClr w14:val="tx1"/>
            </w14:solidFill>
          </w14:textFill>
        </w:rPr>
        <w:t>日修订，2019年1月1日起施行</w:t>
      </w:r>
      <w:r>
        <w:rPr>
          <w:color w:val="000000" w:themeColor="text1"/>
          <w:spacing w:val="1"/>
          <w:sz w:val="24"/>
          <w14:textFill>
            <w14:solidFill>
              <w14:schemeClr w14:val="tx1"/>
            </w14:solidFill>
          </w14:textFill>
        </w:rPr>
        <w:t>）</w:t>
      </w:r>
      <w:r>
        <w:rPr>
          <w:color w:val="000000" w:themeColor="text1"/>
          <w:sz w:val="24"/>
          <w14:textFill>
            <w14:solidFill>
              <w14:schemeClr w14:val="tx1"/>
            </w14:solidFill>
          </w14:textFill>
        </w:rPr>
        <w:t>；</w:t>
      </w:r>
    </w:p>
    <w:p w14:paraId="70B3309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color w:val="000000" w:themeColor="text1"/>
          <w:spacing w:val="2"/>
          <w:sz w:val="24"/>
          <w14:textFill>
            <w14:solidFill>
              <w14:schemeClr w14:val="tx1"/>
            </w14:solidFill>
          </w14:textFill>
        </w:rPr>
        <w:t>四川省人民政府《关于印发水污染防治行动计划四川省工作方案的通知》（川</w:t>
      </w:r>
      <w:r>
        <w:rPr>
          <w:color w:val="000000" w:themeColor="text1"/>
          <w:spacing w:val="-4"/>
          <w:sz w:val="24"/>
          <w14:textFill>
            <w14:solidFill>
              <w14:schemeClr w14:val="tx1"/>
            </w14:solidFill>
          </w14:textFill>
        </w:rPr>
        <w:t>府发〔</w:t>
      </w:r>
      <w:r>
        <w:rPr>
          <w:rFonts w:eastAsia="Times New Roman"/>
          <w:color w:val="000000" w:themeColor="text1"/>
          <w:spacing w:val="-4"/>
          <w:sz w:val="24"/>
          <w14:textFill>
            <w14:solidFill>
              <w14:schemeClr w14:val="tx1"/>
            </w14:solidFill>
          </w14:textFill>
        </w:rPr>
        <w:t>2015</w:t>
      </w:r>
      <w:r>
        <w:rPr>
          <w:color w:val="000000" w:themeColor="text1"/>
          <w:spacing w:val="-4"/>
          <w:sz w:val="24"/>
          <w14:textFill>
            <w14:solidFill>
              <w14:schemeClr w14:val="tx1"/>
            </w14:solidFill>
          </w14:textFill>
        </w:rPr>
        <w:t>〕</w:t>
      </w:r>
      <w:r>
        <w:rPr>
          <w:rFonts w:eastAsia="Times New Roman"/>
          <w:color w:val="000000" w:themeColor="text1"/>
          <w:spacing w:val="-4"/>
          <w:sz w:val="24"/>
          <w14:textFill>
            <w14:solidFill>
              <w14:schemeClr w14:val="tx1"/>
            </w14:solidFill>
          </w14:textFill>
        </w:rPr>
        <w:t>59</w:t>
      </w:r>
      <w:r>
        <w:rPr>
          <w:color w:val="000000" w:themeColor="text1"/>
          <w:spacing w:val="-4"/>
          <w:sz w:val="24"/>
          <w14:textFill>
            <w14:solidFill>
              <w14:schemeClr w14:val="tx1"/>
            </w14:solidFill>
          </w14:textFill>
        </w:rPr>
        <w:t>号，</w:t>
      </w:r>
      <w:r>
        <w:rPr>
          <w:rFonts w:eastAsia="Times New Roman"/>
          <w:color w:val="000000" w:themeColor="text1"/>
          <w:spacing w:val="-4"/>
          <w:sz w:val="24"/>
          <w14:textFill>
            <w14:solidFill>
              <w14:schemeClr w14:val="tx1"/>
            </w14:solidFill>
          </w14:textFill>
        </w:rPr>
        <w:t>2015</w:t>
      </w:r>
      <w:r>
        <w:rPr>
          <w:color w:val="000000" w:themeColor="text1"/>
          <w:spacing w:val="-4"/>
          <w:sz w:val="24"/>
          <w14:textFill>
            <w14:solidFill>
              <w14:schemeClr w14:val="tx1"/>
            </w14:solidFill>
          </w14:textFill>
        </w:rPr>
        <w:t>年</w:t>
      </w:r>
      <w:r>
        <w:rPr>
          <w:rFonts w:eastAsia="Times New Roman"/>
          <w:color w:val="000000" w:themeColor="text1"/>
          <w:spacing w:val="-4"/>
          <w:sz w:val="24"/>
          <w14:textFill>
            <w14:solidFill>
              <w14:schemeClr w14:val="tx1"/>
            </w14:solidFill>
          </w14:textFill>
        </w:rPr>
        <w:t>12</w:t>
      </w:r>
      <w:r>
        <w:rPr>
          <w:color w:val="000000" w:themeColor="text1"/>
          <w:spacing w:val="-5"/>
          <w:sz w:val="24"/>
          <w14:textFill>
            <w14:solidFill>
              <w14:schemeClr w14:val="tx1"/>
            </w14:solidFill>
          </w14:textFill>
        </w:rPr>
        <w:t>月</w:t>
      </w:r>
      <w:r>
        <w:rPr>
          <w:rFonts w:eastAsia="Times New Roman"/>
          <w:color w:val="000000" w:themeColor="text1"/>
          <w:spacing w:val="-5"/>
          <w:sz w:val="24"/>
          <w14:textFill>
            <w14:solidFill>
              <w14:schemeClr w14:val="tx1"/>
            </w14:solidFill>
          </w14:textFill>
        </w:rPr>
        <w:t>8</w:t>
      </w:r>
      <w:r>
        <w:rPr>
          <w:color w:val="000000" w:themeColor="text1"/>
          <w:spacing w:val="-5"/>
          <w:sz w:val="24"/>
          <w14:textFill>
            <w14:solidFill>
              <w14:schemeClr w14:val="tx1"/>
            </w14:solidFill>
          </w14:textFill>
        </w:rPr>
        <w:t>日</w:t>
      </w:r>
      <w:r>
        <w:rPr>
          <w:color w:val="000000" w:themeColor="text1"/>
          <w:spacing w:val="-18"/>
          <w:sz w:val="24"/>
          <w14:textFill>
            <w14:solidFill>
              <w14:schemeClr w14:val="tx1"/>
            </w14:solidFill>
          </w14:textFill>
        </w:rPr>
        <w:t>）</w:t>
      </w:r>
      <w:r>
        <w:rPr>
          <w:color w:val="000000" w:themeColor="text1"/>
          <w:sz w:val="24"/>
          <w14:textFill>
            <w14:solidFill>
              <w14:schemeClr w14:val="tx1"/>
            </w14:solidFill>
          </w14:textFill>
        </w:rPr>
        <w:t>；</w:t>
      </w:r>
    </w:p>
    <w:p w14:paraId="255C1F85">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（3）《四川省空气质量持续改善行动计划实施方案》（川府发〔2024〕15号，2024年起实施）；</w:t>
      </w:r>
    </w:p>
    <w:p w14:paraId="5A32052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w:t>
      </w:r>
      <w:r>
        <w:rPr>
          <w:color w:val="000000" w:themeColor="text1"/>
          <w:spacing w:val="2"/>
          <w:sz w:val="24"/>
          <w14:textFill>
            <w14:solidFill>
              <w14:schemeClr w14:val="tx1"/>
            </w14:solidFill>
          </w14:textFill>
        </w:rPr>
        <w:t>《四川省政府关于印发土壤污染防治行动计划四川省工作方案的通知》（川府</w:t>
      </w:r>
      <w:r>
        <w:rPr>
          <w:color w:val="000000" w:themeColor="text1"/>
          <w:spacing w:val="-3"/>
          <w:sz w:val="24"/>
          <w14:textFill>
            <w14:solidFill>
              <w14:schemeClr w14:val="tx1"/>
            </w14:solidFill>
          </w14:textFill>
        </w:rPr>
        <w:t>发〔</w:t>
      </w:r>
      <w:r>
        <w:rPr>
          <w:rFonts w:eastAsia="Times New Roman"/>
          <w:color w:val="000000" w:themeColor="text1"/>
          <w:spacing w:val="-3"/>
          <w:sz w:val="24"/>
          <w14:textFill>
            <w14:solidFill>
              <w14:schemeClr w14:val="tx1"/>
            </w14:solidFill>
          </w14:textFill>
        </w:rPr>
        <w:t>2016</w:t>
      </w:r>
      <w:r>
        <w:rPr>
          <w:color w:val="000000" w:themeColor="text1"/>
          <w:spacing w:val="-3"/>
          <w:sz w:val="24"/>
          <w14:textFill>
            <w14:solidFill>
              <w14:schemeClr w14:val="tx1"/>
            </w14:solidFill>
          </w14:textFill>
        </w:rPr>
        <w:t>〕</w:t>
      </w:r>
      <w:r>
        <w:rPr>
          <w:rFonts w:eastAsia="Times New Roman"/>
          <w:color w:val="000000" w:themeColor="text1"/>
          <w:spacing w:val="-3"/>
          <w:sz w:val="24"/>
          <w14:textFill>
            <w14:solidFill>
              <w14:schemeClr w14:val="tx1"/>
            </w14:solidFill>
          </w14:textFill>
        </w:rPr>
        <w:t>63</w:t>
      </w:r>
      <w:r>
        <w:rPr>
          <w:color w:val="000000" w:themeColor="text1"/>
          <w:spacing w:val="-3"/>
          <w:sz w:val="24"/>
          <w14:textFill>
            <w14:solidFill>
              <w14:schemeClr w14:val="tx1"/>
            </w14:solidFill>
          </w14:textFill>
        </w:rPr>
        <w:t>号</w:t>
      </w:r>
      <w:r>
        <w:rPr>
          <w:color w:val="000000" w:themeColor="text1"/>
          <w:spacing w:val="3"/>
          <w:sz w:val="24"/>
          <w14:textFill>
            <w14:solidFill>
              <w14:schemeClr w14:val="tx1"/>
            </w14:solidFill>
          </w14:textFill>
        </w:rPr>
        <w:t>）</w:t>
      </w:r>
      <w:r>
        <w:rPr>
          <w:color w:val="000000" w:themeColor="text1"/>
          <w:sz w:val="24"/>
          <w14:textFill>
            <w14:solidFill>
              <w14:schemeClr w14:val="tx1"/>
            </w14:solidFill>
          </w14:textFill>
        </w:rPr>
        <w:t>；</w:t>
      </w:r>
    </w:p>
    <w:p w14:paraId="4BFCD98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（5）《四川省固体废物污染环境防治条例》（2022年修订）；</w:t>
      </w:r>
    </w:p>
    <w:p w14:paraId="3E32C007">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（6）《四川省人民政府关于印发四川省生态保护红线方案的通知》（川府发〔2018〕24号）；</w:t>
      </w:r>
    </w:p>
    <w:p w14:paraId="3BFDA32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（7）四川省生态环境厅关于印发《四川省生态环境厅审批环境影响评价文件的建设项目目录(2025年本)》的通知（川环规</w:t>
      </w:r>
      <w:r>
        <w:rPr>
          <w:rFonts w:hint="eastAsia"/>
          <w:color w:val="000000" w:themeColor="text1"/>
          <w:sz w:val="24"/>
          <w:lang w:val="en-US" w:eastAsia="zh-CN"/>
          <w14:textFill>
            <w14:solidFill>
              <w14:schemeClr w14:val="tx1"/>
            </w14:solidFill>
          </w14:textFill>
        </w:rPr>
        <w:t>[</w:t>
      </w:r>
      <w:bookmarkStart w:id="1199" w:name="_GoBack"/>
      <w:bookmarkEnd w:id="1199"/>
      <w:r>
        <w:rPr>
          <w:color w:val="000000" w:themeColor="text1"/>
          <w:sz w:val="24"/>
          <w14:textFill>
            <w14:solidFill>
              <w14:schemeClr w14:val="tx1"/>
            </w14:solidFill>
          </w14:textFill>
        </w:rPr>
        <w:t>2025]1号，2025年7月19日起施行）；</w:t>
      </w:r>
    </w:p>
    <w:p w14:paraId="0C6934D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（8）《四川省环境保护条例》</w:t>
      </w:r>
      <w:r>
        <w:rPr>
          <w:color w:val="000000" w:themeColor="text1"/>
          <w:spacing w:val="-6"/>
          <w:sz w:val="24"/>
          <w14:textFill>
            <w14:solidFill>
              <w14:schemeClr w14:val="tx1"/>
            </w14:solidFill>
          </w14:textFill>
        </w:rPr>
        <w:t>（</w:t>
      </w:r>
      <w:r>
        <w:rPr>
          <w:rFonts w:eastAsia="Times New Roman"/>
          <w:color w:val="000000" w:themeColor="text1"/>
          <w:spacing w:val="-6"/>
          <w:sz w:val="24"/>
          <w14:textFill>
            <w14:solidFill>
              <w14:schemeClr w14:val="tx1"/>
            </w14:solidFill>
          </w14:textFill>
        </w:rPr>
        <w:t>2018</w:t>
      </w:r>
      <w:r>
        <w:rPr>
          <w:color w:val="000000" w:themeColor="text1"/>
          <w:spacing w:val="-7"/>
          <w:sz w:val="24"/>
          <w14:textFill>
            <w14:solidFill>
              <w14:schemeClr w14:val="tx1"/>
            </w14:solidFill>
          </w14:textFill>
        </w:rPr>
        <w:t>年</w:t>
      </w:r>
      <w:r>
        <w:rPr>
          <w:rFonts w:eastAsia="Times New Roman"/>
          <w:color w:val="000000" w:themeColor="text1"/>
          <w:spacing w:val="-7"/>
          <w:sz w:val="24"/>
          <w14:textFill>
            <w14:solidFill>
              <w14:schemeClr w14:val="tx1"/>
            </w14:solidFill>
          </w14:textFill>
        </w:rPr>
        <w:t>1</w:t>
      </w:r>
      <w:r>
        <w:rPr>
          <w:color w:val="000000" w:themeColor="text1"/>
          <w:spacing w:val="-7"/>
          <w:sz w:val="24"/>
          <w14:textFill>
            <w14:solidFill>
              <w14:schemeClr w14:val="tx1"/>
            </w14:solidFill>
          </w14:textFill>
        </w:rPr>
        <w:t>月</w:t>
      </w:r>
      <w:r>
        <w:rPr>
          <w:rFonts w:eastAsia="Times New Roman"/>
          <w:color w:val="000000" w:themeColor="text1"/>
          <w:spacing w:val="-7"/>
          <w:sz w:val="24"/>
          <w14:textFill>
            <w14:solidFill>
              <w14:schemeClr w14:val="tx1"/>
            </w14:solidFill>
          </w14:textFill>
        </w:rPr>
        <w:t>1</w:t>
      </w:r>
      <w:r>
        <w:rPr>
          <w:color w:val="000000" w:themeColor="text1"/>
          <w:spacing w:val="-7"/>
          <w:sz w:val="24"/>
          <w14:textFill>
            <w14:solidFill>
              <w14:schemeClr w14:val="tx1"/>
            </w14:solidFill>
          </w14:textFill>
        </w:rPr>
        <w:t>日实施</w:t>
      </w:r>
      <w:r>
        <w:rPr>
          <w:color w:val="000000" w:themeColor="text1"/>
          <w:sz w:val="24"/>
          <w14:textFill>
            <w14:solidFill>
              <w14:schemeClr w14:val="tx1"/>
            </w14:solidFill>
          </w14:textFill>
        </w:rPr>
        <w:t>）；</w:t>
      </w:r>
    </w:p>
    <w:p w14:paraId="3B1CC08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（9）《四川省生态环境厅关于进一步改进环评审批和监督执法服务高质量发展的通知》（川环函〔2020〕220号，2020.4.14）；</w:t>
      </w:r>
    </w:p>
    <w:p w14:paraId="591292CB">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（10）四川省人民政府关于印发《四川省主体功能区规划》的通知（川府发〔2013〕16号）；</w:t>
      </w:r>
    </w:p>
    <w:p w14:paraId="389665D7">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（11）《四川省水利厅关于印发四川省省级水土流失重点预防区和重点治理区划分成果的通知》（川水函[2017]482号，2017.3.14）；</w:t>
      </w:r>
    </w:p>
    <w:p w14:paraId="7CCDB8C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（12）《四川省生态环境厅关于执行大气污染物特别排放限值的公告》（2020年第2号，2020.3.16）；</w:t>
      </w:r>
    </w:p>
    <w:p w14:paraId="7B35A12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（14）</w:t>
      </w:r>
      <w:r>
        <w:rPr>
          <w:color w:val="000000" w:themeColor="text1"/>
          <w:spacing w:val="5"/>
          <w:sz w:val="24"/>
          <w14:textFill>
            <w14:solidFill>
              <w14:schemeClr w14:val="tx1"/>
            </w14:solidFill>
          </w14:textFill>
        </w:rPr>
        <w:t>《四川省人民政府办公厅关于加快推进畜禽养殖废弃物资源化利用的实施意</w:t>
      </w:r>
      <w:r>
        <w:rPr>
          <w:color w:val="000000" w:themeColor="text1"/>
          <w:spacing w:val="-2"/>
          <w:sz w:val="24"/>
          <w14:textFill>
            <w14:solidFill>
              <w14:schemeClr w14:val="tx1"/>
            </w14:solidFill>
          </w14:textFill>
        </w:rPr>
        <w:t>见》（川办发〔</w:t>
      </w:r>
      <w:r>
        <w:rPr>
          <w:rFonts w:eastAsia="Times New Roman"/>
          <w:color w:val="000000" w:themeColor="text1"/>
          <w:spacing w:val="-2"/>
          <w:sz w:val="24"/>
          <w14:textFill>
            <w14:solidFill>
              <w14:schemeClr w14:val="tx1"/>
            </w14:solidFill>
          </w14:textFill>
        </w:rPr>
        <w:t>2017</w:t>
      </w:r>
      <w:r>
        <w:rPr>
          <w:color w:val="000000" w:themeColor="text1"/>
          <w:spacing w:val="-2"/>
          <w:sz w:val="24"/>
          <w14:textFill>
            <w14:solidFill>
              <w14:schemeClr w14:val="tx1"/>
            </w14:solidFill>
          </w14:textFill>
        </w:rPr>
        <w:t>〕</w:t>
      </w:r>
      <w:r>
        <w:rPr>
          <w:rFonts w:eastAsia="Times New Roman"/>
          <w:color w:val="000000" w:themeColor="text1"/>
          <w:spacing w:val="-2"/>
          <w:sz w:val="24"/>
          <w14:textFill>
            <w14:solidFill>
              <w14:schemeClr w14:val="tx1"/>
            </w14:solidFill>
          </w14:textFill>
        </w:rPr>
        <w:t>99</w:t>
      </w:r>
      <w:r>
        <w:rPr>
          <w:color w:val="000000" w:themeColor="text1"/>
          <w:spacing w:val="-2"/>
          <w:sz w:val="24"/>
          <w14:textFill>
            <w14:solidFill>
              <w14:schemeClr w14:val="tx1"/>
            </w14:solidFill>
          </w14:textFill>
        </w:rPr>
        <w:t>号</w:t>
      </w:r>
      <w:r>
        <w:rPr>
          <w:color w:val="000000" w:themeColor="text1"/>
          <w:spacing w:val="2"/>
          <w:sz w:val="24"/>
          <w14:textFill>
            <w14:solidFill>
              <w14:schemeClr w14:val="tx1"/>
            </w14:solidFill>
          </w14:textFill>
        </w:rPr>
        <w:t>）</w:t>
      </w:r>
      <w:r>
        <w:rPr>
          <w:color w:val="000000" w:themeColor="text1"/>
          <w:sz w:val="24"/>
          <w14:textFill>
            <w14:solidFill>
              <w14:schemeClr w14:val="tx1"/>
            </w14:solidFill>
          </w14:textFill>
        </w:rPr>
        <w:t>；</w:t>
      </w:r>
    </w:p>
    <w:p w14:paraId="537505E7">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（15）</w:t>
      </w:r>
      <w:r>
        <w:rPr>
          <w:color w:val="000000" w:themeColor="text1"/>
          <w:spacing w:val="-2"/>
          <w:sz w:val="24"/>
          <w14:textFill>
            <w14:solidFill>
              <w14:schemeClr w14:val="tx1"/>
            </w14:solidFill>
          </w14:textFill>
        </w:rPr>
        <w:t>四川省生态环境厅四川省农业农村厅《四川省畜禽养殖污染防治规划》（川环</w:t>
      </w:r>
      <w:r>
        <w:rPr>
          <w:color w:val="000000" w:themeColor="text1"/>
          <w:spacing w:val="-5"/>
          <w:sz w:val="24"/>
          <w14:textFill>
            <w14:solidFill>
              <w14:schemeClr w14:val="tx1"/>
            </w14:solidFill>
          </w14:textFill>
        </w:rPr>
        <w:t>发〔</w:t>
      </w:r>
      <w:r>
        <w:rPr>
          <w:rFonts w:eastAsia="Times New Roman"/>
          <w:color w:val="000000" w:themeColor="text1"/>
          <w:spacing w:val="-5"/>
          <w:sz w:val="24"/>
          <w14:textFill>
            <w14:solidFill>
              <w14:schemeClr w14:val="tx1"/>
            </w14:solidFill>
          </w14:textFill>
        </w:rPr>
        <w:t>2022</w:t>
      </w:r>
      <w:r>
        <w:rPr>
          <w:color w:val="000000" w:themeColor="text1"/>
          <w:spacing w:val="-5"/>
          <w:sz w:val="24"/>
          <w14:textFill>
            <w14:solidFill>
              <w14:schemeClr w14:val="tx1"/>
            </w14:solidFill>
          </w14:textFill>
        </w:rPr>
        <w:t>〕</w:t>
      </w:r>
      <w:r>
        <w:rPr>
          <w:rFonts w:eastAsia="Times New Roman"/>
          <w:color w:val="000000" w:themeColor="text1"/>
          <w:spacing w:val="-5"/>
          <w:sz w:val="24"/>
          <w14:textFill>
            <w14:solidFill>
              <w14:schemeClr w14:val="tx1"/>
            </w14:solidFill>
          </w14:textFill>
        </w:rPr>
        <w:t>18</w:t>
      </w:r>
      <w:r>
        <w:rPr>
          <w:color w:val="000000" w:themeColor="text1"/>
          <w:spacing w:val="-5"/>
          <w:sz w:val="24"/>
          <w14:textFill>
            <w14:solidFill>
              <w14:schemeClr w14:val="tx1"/>
            </w14:solidFill>
          </w14:textFill>
        </w:rPr>
        <w:t>号，</w:t>
      </w:r>
      <w:r>
        <w:rPr>
          <w:rFonts w:eastAsia="Times New Roman"/>
          <w:color w:val="000000" w:themeColor="text1"/>
          <w:spacing w:val="-5"/>
          <w:sz w:val="24"/>
          <w14:textFill>
            <w14:solidFill>
              <w14:schemeClr w14:val="tx1"/>
            </w14:solidFill>
          </w14:textFill>
        </w:rPr>
        <w:t>2022</w:t>
      </w:r>
      <w:r>
        <w:rPr>
          <w:color w:val="000000" w:themeColor="text1"/>
          <w:spacing w:val="-5"/>
          <w:sz w:val="24"/>
          <w14:textFill>
            <w14:solidFill>
              <w14:schemeClr w14:val="tx1"/>
            </w14:solidFill>
          </w14:textFill>
        </w:rPr>
        <w:t>年</w:t>
      </w:r>
      <w:r>
        <w:rPr>
          <w:rFonts w:eastAsia="Times New Roman"/>
          <w:color w:val="000000" w:themeColor="text1"/>
          <w:spacing w:val="-5"/>
          <w:sz w:val="24"/>
          <w14:textFill>
            <w14:solidFill>
              <w14:schemeClr w14:val="tx1"/>
            </w14:solidFill>
          </w14:textFill>
        </w:rPr>
        <w:t>12</w:t>
      </w:r>
      <w:r>
        <w:rPr>
          <w:color w:val="000000" w:themeColor="text1"/>
          <w:spacing w:val="-5"/>
          <w:sz w:val="24"/>
          <w14:textFill>
            <w14:solidFill>
              <w14:schemeClr w14:val="tx1"/>
            </w14:solidFill>
          </w14:textFill>
        </w:rPr>
        <w:t>月</w:t>
      </w:r>
      <w:r>
        <w:rPr>
          <w:rFonts w:eastAsia="Times New Roman"/>
          <w:color w:val="000000" w:themeColor="text1"/>
          <w:spacing w:val="-5"/>
          <w:sz w:val="24"/>
          <w14:textFill>
            <w14:solidFill>
              <w14:schemeClr w14:val="tx1"/>
            </w14:solidFill>
          </w14:textFill>
        </w:rPr>
        <w:t>3</w:t>
      </w:r>
      <w:r>
        <w:rPr>
          <w:rFonts w:eastAsia="Times New Roman"/>
          <w:color w:val="000000" w:themeColor="text1"/>
          <w:spacing w:val="-6"/>
          <w:sz w:val="24"/>
          <w14:textFill>
            <w14:solidFill>
              <w14:schemeClr w14:val="tx1"/>
            </w14:solidFill>
          </w14:textFill>
        </w:rPr>
        <w:t>0</w:t>
      </w:r>
      <w:r>
        <w:rPr>
          <w:color w:val="000000" w:themeColor="text1"/>
          <w:spacing w:val="-6"/>
          <w:sz w:val="24"/>
          <w14:textFill>
            <w14:solidFill>
              <w14:schemeClr w14:val="tx1"/>
            </w14:solidFill>
          </w14:textFill>
        </w:rPr>
        <w:t>日施行</w:t>
      </w:r>
      <w:r>
        <w:rPr>
          <w:color w:val="000000" w:themeColor="text1"/>
          <w:sz w:val="24"/>
          <w14:textFill>
            <w14:solidFill>
              <w14:schemeClr w14:val="tx1"/>
            </w14:solidFill>
          </w14:textFill>
        </w:rPr>
        <w:t>）；</w:t>
      </w:r>
    </w:p>
    <w:p w14:paraId="4B703E91">
      <w:pPr>
        <w:adjustRightInd w:val="0"/>
        <w:snapToGrid w:val="0"/>
        <w:spacing w:line="360" w:lineRule="auto"/>
        <w:ind w:firstLine="480" w:firstLineChars="200"/>
        <w:rPr>
          <w:color w:val="000000" w:themeColor="text1"/>
          <w:spacing w:val="-3"/>
          <w:sz w:val="24"/>
          <w14:textFill>
            <w14:solidFill>
              <w14:schemeClr w14:val="tx1"/>
            </w14:solidFill>
          </w14:textFill>
        </w:rPr>
      </w:pPr>
      <w:r>
        <w:rPr>
          <w:color w:val="000000" w:themeColor="text1"/>
          <w:sz w:val="24"/>
          <w14:textFill>
            <w14:solidFill>
              <w14:schemeClr w14:val="tx1"/>
            </w14:solidFill>
          </w14:textFill>
        </w:rPr>
        <w:t>（16）《巴中市“十四五”生态环境保护规划》（</w:t>
      </w:r>
      <w:r>
        <w:rPr>
          <w:rFonts w:eastAsia="Times New Roman"/>
          <w:color w:val="000000" w:themeColor="text1"/>
          <w:spacing w:val="-5"/>
          <w:sz w:val="24"/>
          <w14:textFill>
            <w14:solidFill>
              <w14:schemeClr w14:val="tx1"/>
            </w14:solidFill>
          </w14:textFill>
        </w:rPr>
        <w:t>2022</w:t>
      </w:r>
      <w:r>
        <w:rPr>
          <w:color w:val="000000" w:themeColor="text1"/>
          <w:spacing w:val="-5"/>
          <w:sz w:val="24"/>
          <w14:textFill>
            <w14:solidFill>
              <w14:schemeClr w14:val="tx1"/>
            </w14:solidFill>
          </w14:textFill>
        </w:rPr>
        <w:t>年5月19日</w:t>
      </w:r>
      <w:r>
        <w:rPr>
          <w:color w:val="000000" w:themeColor="text1"/>
          <w:sz w:val="24"/>
          <w14:textFill>
            <w14:solidFill>
              <w14:schemeClr w14:val="tx1"/>
            </w14:solidFill>
          </w14:textFill>
        </w:rPr>
        <w:t>）</w:t>
      </w:r>
      <w:r>
        <w:rPr>
          <w:color w:val="000000" w:themeColor="text1"/>
          <w:spacing w:val="-3"/>
          <w:sz w:val="24"/>
          <w14:textFill>
            <w14:solidFill>
              <w14:schemeClr w14:val="tx1"/>
            </w14:solidFill>
          </w14:textFill>
        </w:rPr>
        <w:t>；</w:t>
      </w:r>
    </w:p>
    <w:p w14:paraId="2C1D1DBD">
      <w:pPr>
        <w:adjustRightInd w:val="0"/>
        <w:snapToGrid w:val="0"/>
        <w:spacing w:line="360" w:lineRule="auto"/>
        <w:ind w:firstLine="480" w:firstLineChars="200"/>
        <w:rPr>
          <w:rFonts w:eastAsia="新宋体"/>
          <w:color w:val="000000" w:themeColor="text1"/>
          <w:szCs w:val="21"/>
          <w:shd w:val="clear" w:color="auto" w:fill="FFFFFF"/>
          <w14:textFill>
            <w14:solidFill>
              <w14:schemeClr w14:val="tx1"/>
            </w14:solidFill>
          </w14:textFill>
        </w:rPr>
      </w:pPr>
      <w:r>
        <w:rPr>
          <w:color w:val="000000" w:themeColor="text1"/>
          <w:sz w:val="24"/>
          <w14:textFill>
            <w14:solidFill>
              <w14:schemeClr w14:val="tx1"/>
            </w14:solidFill>
          </w14:textFill>
        </w:rPr>
        <w:t>（17）《巴中市生态环境保护委员会办公室关于加强生态环境分区管控的通知》（巴环委办〔2024〕3号）；</w:t>
      </w:r>
    </w:p>
    <w:p w14:paraId="740AA61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（18）《巴中市国民经济和社会发展第十四个五年规划和二〇三五年远景目标纲要》（2021年4月15日）；</w:t>
      </w:r>
    </w:p>
    <w:p w14:paraId="57919BD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（19）《巴中市畜禽养殖污染防治规划（2024—2030年）》（2024年01月04日）；</w:t>
      </w:r>
    </w:p>
    <w:p w14:paraId="081358E7">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（20）《巴中市巴州区畜禽养殖污染防治规划》（2023年发布）；</w:t>
      </w:r>
    </w:p>
    <w:p w14:paraId="69463D54">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（21）</w:t>
      </w:r>
      <w:r>
        <w:rPr>
          <w:color w:val="000000" w:themeColor="text1"/>
          <w:kern w:val="0"/>
          <w:szCs w:val="24"/>
          <w:lang w:val="en-US" w:bidi="ar"/>
          <w14:textFill>
            <w14:solidFill>
              <w14:schemeClr w14:val="tx1"/>
            </w14:solidFill>
          </w14:textFill>
        </w:rPr>
        <w:t>巴中市巴州区人民政府办公室关于印发《巴中市巴州区畜禽养殖禁养区划定方案》的通知（巴州府办[2018]143号）</w:t>
      </w:r>
      <w:r>
        <w:rPr>
          <w:color w:val="000000" w:themeColor="text1"/>
          <w:lang w:val="en-US"/>
          <w14:textFill>
            <w14:solidFill>
              <w14:schemeClr w14:val="tx1"/>
            </w14:solidFill>
          </w14:textFill>
        </w:rPr>
        <w:t>。</w:t>
      </w:r>
    </w:p>
    <w:p w14:paraId="46ABAE2F">
      <w:pPr>
        <w:pStyle w:val="752"/>
        <w:rPr>
          <w:rFonts w:cs="Times New Roman"/>
          <w:color w:val="000000" w:themeColor="text1"/>
          <w14:textFill>
            <w14:solidFill>
              <w14:schemeClr w14:val="tx1"/>
            </w14:solidFill>
          </w14:textFill>
        </w:rPr>
      </w:pPr>
      <w:bookmarkStart w:id="71" w:name="_Toc28814550"/>
      <w:bookmarkStart w:id="72" w:name="_Toc27751066"/>
      <w:bookmarkStart w:id="73" w:name="_Toc40220627"/>
      <w:bookmarkStart w:id="74" w:name="_Toc233380111"/>
      <w:r>
        <w:rPr>
          <w:rFonts w:cs="Times New Roman"/>
          <w:color w:val="000000" w:themeColor="text1"/>
          <w14:textFill>
            <w14:solidFill>
              <w14:schemeClr w14:val="tx1"/>
            </w14:solidFill>
          </w14:textFill>
        </w:rPr>
        <w:t>2.2.4环评技术导则、规范</w:t>
      </w:r>
      <w:bookmarkEnd w:id="71"/>
      <w:bookmarkEnd w:id="72"/>
      <w:bookmarkEnd w:id="73"/>
      <w:bookmarkEnd w:id="74"/>
    </w:p>
    <w:p w14:paraId="434625C7">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（1）《建设项目环境影响评价技术导则总纲》（HJ 2.1-2016）；</w:t>
      </w:r>
    </w:p>
    <w:p w14:paraId="752421ED">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（2）《环境影响评价技术导则大气环境》（HJ 2.2-2018）；</w:t>
      </w:r>
    </w:p>
    <w:p w14:paraId="06366AC0">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（3）《环境影响评价技术导则地表水环境》（HJ 2.3-2018）；</w:t>
      </w:r>
    </w:p>
    <w:p w14:paraId="70A9FFB8">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（4）《环境影响评价技术导则声环境》（HJ 2.4-2021）；</w:t>
      </w:r>
    </w:p>
    <w:p w14:paraId="44C429FC">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（5）《建设项目环境风险评价技术导则》（HJ 169-2018）；</w:t>
      </w:r>
    </w:p>
    <w:p w14:paraId="348B7101">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（6）《环境影响评价技术导则生态影响》（HJ 19-2022）；</w:t>
      </w:r>
    </w:p>
    <w:p w14:paraId="647AFFA3">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（7）《环境影响评价技术导则地下水环境》（HJ 610-2016）；</w:t>
      </w:r>
    </w:p>
    <w:p w14:paraId="5DAE0CF8">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（8）《建设项目危险废物环境影响评价指南》（公告2017年第43号）；</w:t>
      </w:r>
    </w:p>
    <w:p w14:paraId="7934707D">
      <w:pPr>
        <w:pStyle w:val="421"/>
        <w:spacing w:line="360" w:lineRule="auto"/>
        <w:ind w:firstLine="480"/>
        <w:rPr>
          <w:color w:val="000000" w:themeColor="text1"/>
          <w:spacing w:val="6"/>
          <w:szCs w:val="24"/>
          <w14:textFill>
            <w14:solidFill>
              <w14:schemeClr w14:val="tx1"/>
            </w14:solidFill>
          </w14:textFill>
        </w:rPr>
      </w:pPr>
      <w:r>
        <w:rPr>
          <w:color w:val="000000" w:themeColor="text1"/>
          <w:lang w:val="en-US"/>
          <w14:textFill>
            <w14:solidFill>
              <w14:schemeClr w14:val="tx1"/>
            </w14:solidFill>
          </w14:textFill>
        </w:rPr>
        <w:t>（9）</w:t>
      </w:r>
      <w:r>
        <w:rPr>
          <w:color w:val="000000" w:themeColor="text1"/>
          <w:spacing w:val="-3"/>
          <w:szCs w:val="24"/>
          <w14:textFill>
            <w14:solidFill>
              <w14:schemeClr w14:val="tx1"/>
            </w14:solidFill>
          </w14:textFill>
        </w:rPr>
        <w:t xml:space="preserve">《固体废物分类与代码》（GB/T </w:t>
      </w:r>
      <w:r>
        <w:rPr>
          <w:rFonts w:eastAsia="Times New Roman"/>
          <w:color w:val="000000" w:themeColor="text1"/>
          <w:spacing w:val="-3"/>
          <w:szCs w:val="24"/>
          <w14:textFill>
            <w14:solidFill>
              <w14:schemeClr w14:val="tx1"/>
            </w14:solidFill>
          </w14:textFill>
        </w:rPr>
        <w:t>39198-2020</w:t>
      </w:r>
      <w:r>
        <w:rPr>
          <w:color w:val="000000" w:themeColor="text1"/>
          <w:spacing w:val="6"/>
          <w:szCs w:val="24"/>
          <w14:textFill>
            <w14:solidFill>
              <w14:schemeClr w14:val="tx1"/>
            </w14:solidFill>
          </w14:textFill>
        </w:rPr>
        <w:t>）；</w:t>
      </w:r>
    </w:p>
    <w:p w14:paraId="6BCC68EA">
      <w:pPr>
        <w:pStyle w:val="421"/>
        <w:spacing w:line="360" w:lineRule="auto"/>
        <w:ind w:firstLine="504"/>
        <w:rPr>
          <w:color w:val="000000" w:themeColor="text1"/>
          <w:szCs w:val="24"/>
          <w14:textFill>
            <w14:solidFill>
              <w14:schemeClr w14:val="tx1"/>
            </w14:solidFill>
          </w14:textFill>
        </w:rPr>
      </w:pPr>
      <w:r>
        <w:rPr>
          <w:color w:val="000000" w:themeColor="text1"/>
          <w:spacing w:val="6"/>
          <w:szCs w:val="24"/>
          <w14:textFill>
            <w14:solidFill>
              <w14:schemeClr w14:val="tx1"/>
            </w14:solidFill>
          </w14:textFill>
        </w:rPr>
        <w:t>（</w:t>
      </w:r>
      <w:r>
        <w:rPr>
          <w:color w:val="000000" w:themeColor="text1"/>
          <w:spacing w:val="6"/>
          <w:szCs w:val="24"/>
          <w:lang w:val="en-US"/>
          <w14:textFill>
            <w14:solidFill>
              <w14:schemeClr w14:val="tx1"/>
            </w14:solidFill>
          </w14:textFill>
        </w:rPr>
        <w:t>10</w:t>
      </w:r>
      <w:r>
        <w:rPr>
          <w:color w:val="000000" w:themeColor="text1"/>
          <w:spacing w:val="6"/>
          <w:szCs w:val="24"/>
          <w14:textFill>
            <w14:solidFill>
              <w14:schemeClr w14:val="tx1"/>
            </w14:solidFill>
          </w14:textFill>
        </w:rPr>
        <w:t>）</w:t>
      </w:r>
      <w:r>
        <w:rPr>
          <w:color w:val="000000" w:themeColor="text1"/>
          <w:spacing w:val="-2"/>
          <w:szCs w:val="24"/>
          <w14:textFill>
            <w14:solidFill>
              <w14:schemeClr w14:val="tx1"/>
            </w14:solidFill>
          </w14:textFill>
        </w:rPr>
        <w:t xml:space="preserve">《畜禽养殖业污染物排放标准》（GB </w:t>
      </w:r>
      <w:r>
        <w:rPr>
          <w:rFonts w:eastAsia="Times New Roman"/>
          <w:color w:val="000000" w:themeColor="text1"/>
          <w:spacing w:val="-2"/>
          <w:szCs w:val="24"/>
          <w14:textFill>
            <w14:solidFill>
              <w14:schemeClr w14:val="tx1"/>
            </w14:solidFill>
          </w14:textFill>
        </w:rPr>
        <w:t>18596-2001</w:t>
      </w:r>
      <w:r>
        <w:rPr>
          <w:color w:val="000000" w:themeColor="text1"/>
          <w:spacing w:val="2"/>
          <w:szCs w:val="24"/>
          <w14:textFill>
            <w14:solidFill>
              <w14:schemeClr w14:val="tx1"/>
            </w14:solidFill>
          </w14:textFill>
        </w:rPr>
        <w:t>）；</w:t>
      </w:r>
    </w:p>
    <w:p w14:paraId="1BE1BC71">
      <w:pPr>
        <w:spacing w:line="360" w:lineRule="auto"/>
        <w:ind w:firstLine="476" w:firstLineChars="20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 xml:space="preserve">（11）《畜禽养殖业污染防治技术规范》（HJ/T </w:t>
      </w:r>
      <w:r>
        <w:rPr>
          <w:rFonts w:eastAsia="Times New Roman"/>
          <w:color w:val="000000" w:themeColor="text1"/>
          <w:spacing w:val="-2"/>
          <w:sz w:val="24"/>
          <w14:textFill>
            <w14:solidFill>
              <w14:schemeClr w14:val="tx1"/>
            </w14:solidFill>
          </w14:textFill>
        </w:rPr>
        <w:t>81-2001</w:t>
      </w:r>
      <w:r>
        <w:rPr>
          <w:color w:val="000000" w:themeColor="text1"/>
          <w:spacing w:val="-2"/>
          <w:sz w:val="24"/>
          <w14:textFill>
            <w14:solidFill>
              <w14:schemeClr w14:val="tx1"/>
            </w14:solidFill>
          </w14:textFill>
        </w:rPr>
        <w:t>）</w:t>
      </w:r>
    </w:p>
    <w:p w14:paraId="3E06F007">
      <w:pPr>
        <w:spacing w:line="360" w:lineRule="auto"/>
        <w:ind w:firstLine="472"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（12）《畜禽养殖业污染防治技术政策》（</w:t>
      </w:r>
      <w:r>
        <w:rPr>
          <w:color w:val="000000" w:themeColor="text1"/>
          <w:spacing w:val="-3"/>
          <w:sz w:val="24"/>
          <w14:textFill>
            <w14:solidFill>
              <w14:schemeClr w14:val="tx1"/>
            </w14:solidFill>
          </w14:textFill>
        </w:rPr>
        <w:t>环发〔</w:t>
      </w:r>
      <w:r>
        <w:rPr>
          <w:rFonts w:eastAsia="Times New Roman"/>
          <w:color w:val="000000" w:themeColor="text1"/>
          <w:spacing w:val="-3"/>
          <w:sz w:val="24"/>
          <w14:textFill>
            <w14:solidFill>
              <w14:schemeClr w14:val="tx1"/>
            </w14:solidFill>
          </w14:textFill>
        </w:rPr>
        <w:t>2011</w:t>
      </w:r>
      <w:r>
        <w:rPr>
          <w:color w:val="000000" w:themeColor="text1"/>
          <w:spacing w:val="-3"/>
          <w:sz w:val="24"/>
          <w14:textFill>
            <w14:solidFill>
              <w14:schemeClr w14:val="tx1"/>
            </w14:solidFill>
          </w14:textFill>
        </w:rPr>
        <w:t>〕</w:t>
      </w:r>
      <w:r>
        <w:rPr>
          <w:rFonts w:eastAsia="Times New Roman"/>
          <w:color w:val="000000" w:themeColor="text1"/>
          <w:spacing w:val="-3"/>
          <w:sz w:val="24"/>
          <w14:textFill>
            <w14:solidFill>
              <w14:schemeClr w14:val="tx1"/>
            </w14:solidFill>
          </w14:textFill>
        </w:rPr>
        <w:t>151</w:t>
      </w:r>
      <w:r>
        <w:rPr>
          <w:color w:val="000000" w:themeColor="text1"/>
          <w:spacing w:val="-3"/>
          <w:sz w:val="24"/>
          <w14:textFill>
            <w14:solidFill>
              <w14:schemeClr w14:val="tx1"/>
            </w14:solidFill>
          </w14:textFill>
        </w:rPr>
        <w:t>号</w:t>
      </w:r>
      <w:r>
        <w:rPr>
          <w:color w:val="000000" w:themeColor="text1"/>
          <w:sz w:val="24"/>
          <w14:textFill>
            <w14:solidFill>
              <w14:schemeClr w14:val="tx1"/>
            </w14:solidFill>
          </w14:textFill>
        </w:rPr>
        <w:t>）；</w:t>
      </w:r>
    </w:p>
    <w:p w14:paraId="2B330021">
      <w:pPr>
        <w:spacing w:line="360" w:lineRule="auto"/>
        <w:ind w:firstLine="472"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 xml:space="preserve">（13）《畜禽养殖业污染治理工程技术规范》（HJ </w:t>
      </w:r>
      <w:r>
        <w:rPr>
          <w:rFonts w:eastAsia="Times New Roman"/>
          <w:color w:val="000000" w:themeColor="text1"/>
          <w:spacing w:val="-2"/>
          <w:sz w:val="24"/>
          <w14:textFill>
            <w14:solidFill>
              <w14:schemeClr w14:val="tx1"/>
            </w14:solidFill>
          </w14:textFill>
        </w:rPr>
        <w:t>497-2009</w:t>
      </w:r>
      <w:r>
        <w:rPr>
          <w:color w:val="000000" w:themeColor="text1"/>
          <w:spacing w:val="2"/>
          <w:sz w:val="24"/>
          <w14:textFill>
            <w14:solidFill>
              <w14:schemeClr w14:val="tx1"/>
            </w14:solidFill>
          </w14:textFill>
        </w:rPr>
        <w:t>）；</w:t>
      </w:r>
    </w:p>
    <w:p w14:paraId="5E98C5AF">
      <w:pPr>
        <w:spacing w:line="360" w:lineRule="auto"/>
        <w:ind w:firstLine="472"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（14）《畜禽场场区设计技术规范》（</w:t>
      </w:r>
      <w:r>
        <w:rPr>
          <w:rFonts w:eastAsia="Times New Roman"/>
          <w:color w:val="000000" w:themeColor="text1"/>
          <w:spacing w:val="-2"/>
          <w:sz w:val="24"/>
          <w14:textFill>
            <w14:solidFill>
              <w14:schemeClr w14:val="tx1"/>
            </w14:solidFill>
          </w14:textFill>
        </w:rPr>
        <w:t>NY</w:t>
      </w:r>
      <w:r>
        <w:rPr>
          <w:color w:val="000000" w:themeColor="text1"/>
          <w:spacing w:val="-2"/>
          <w:sz w:val="24"/>
          <w14:textFill>
            <w14:solidFill>
              <w14:schemeClr w14:val="tx1"/>
            </w14:solidFill>
          </w14:textFill>
        </w:rPr>
        <w:t xml:space="preserve">/T </w:t>
      </w:r>
      <w:r>
        <w:rPr>
          <w:rFonts w:eastAsia="Times New Roman"/>
          <w:color w:val="000000" w:themeColor="text1"/>
          <w:spacing w:val="-2"/>
          <w:sz w:val="24"/>
          <w14:textFill>
            <w14:solidFill>
              <w14:schemeClr w14:val="tx1"/>
            </w14:solidFill>
          </w14:textFill>
        </w:rPr>
        <w:t>682-2023</w:t>
      </w:r>
      <w:r>
        <w:rPr>
          <w:color w:val="000000" w:themeColor="text1"/>
          <w:sz w:val="24"/>
          <w14:textFill>
            <w14:solidFill>
              <w14:schemeClr w14:val="tx1"/>
            </w14:solidFill>
          </w14:textFill>
        </w:rPr>
        <w:t>）；</w:t>
      </w:r>
    </w:p>
    <w:p w14:paraId="4EE62F4B">
      <w:pPr>
        <w:spacing w:line="360" w:lineRule="auto"/>
        <w:ind w:firstLine="472"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（15）</w:t>
      </w:r>
      <w:r>
        <w:rPr>
          <w:color w:val="000000" w:themeColor="text1"/>
          <w:sz w:val="24"/>
          <w14:textFill>
            <w14:solidFill>
              <w14:schemeClr w14:val="tx1"/>
            </w14:solidFill>
          </w14:textFill>
        </w:rPr>
        <w:t>《青贮设施建设技术规范 青贮窖》（NY/T 2698-2015）；</w:t>
      </w:r>
    </w:p>
    <w:p w14:paraId="6FB1261D">
      <w:pPr>
        <w:spacing w:line="360" w:lineRule="auto"/>
        <w:ind w:firstLine="472"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（16）《规模化畜禽养殖场沼气工程设计规范》（NY/T 1222-2021）</w:t>
      </w:r>
      <w:r>
        <w:rPr>
          <w:color w:val="000000" w:themeColor="text1"/>
          <w:sz w:val="24"/>
          <w14:textFill>
            <w14:solidFill>
              <w14:schemeClr w14:val="tx1"/>
            </w14:solidFill>
          </w14:textFill>
        </w:rPr>
        <w:t>；</w:t>
      </w:r>
    </w:p>
    <w:p w14:paraId="7A100684">
      <w:pPr>
        <w:spacing w:line="360" w:lineRule="auto"/>
        <w:ind w:firstLine="472"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 xml:space="preserve">（17）《畜禽粪便无害化处理技术规范》（GB /T </w:t>
      </w:r>
      <w:r>
        <w:rPr>
          <w:rFonts w:eastAsia="Times New Roman"/>
          <w:color w:val="000000" w:themeColor="text1"/>
          <w:spacing w:val="-2"/>
          <w:sz w:val="24"/>
          <w14:textFill>
            <w14:solidFill>
              <w14:schemeClr w14:val="tx1"/>
            </w14:solidFill>
          </w14:textFill>
        </w:rPr>
        <w:t>36195-2018</w:t>
      </w:r>
      <w:r>
        <w:rPr>
          <w:color w:val="000000" w:themeColor="text1"/>
          <w:spacing w:val="5"/>
          <w:sz w:val="24"/>
          <w14:textFill>
            <w14:solidFill>
              <w14:schemeClr w14:val="tx1"/>
            </w14:solidFill>
          </w14:textFill>
        </w:rPr>
        <w:t>）；</w:t>
      </w:r>
    </w:p>
    <w:p w14:paraId="53D6EA04">
      <w:pPr>
        <w:spacing w:line="360" w:lineRule="auto"/>
        <w:ind w:firstLine="472"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 xml:space="preserve">（19）《农田灌溉水质标准》（GB </w:t>
      </w:r>
      <w:r>
        <w:rPr>
          <w:rFonts w:eastAsia="Times New Roman"/>
          <w:color w:val="000000" w:themeColor="text1"/>
          <w:spacing w:val="-2"/>
          <w:sz w:val="24"/>
          <w14:textFill>
            <w14:solidFill>
              <w14:schemeClr w14:val="tx1"/>
            </w14:solidFill>
          </w14:textFill>
        </w:rPr>
        <w:t>508</w:t>
      </w:r>
      <w:r>
        <w:rPr>
          <w:rFonts w:eastAsia="Times New Roman"/>
          <w:color w:val="000000" w:themeColor="text1"/>
          <w:spacing w:val="-3"/>
          <w:sz w:val="24"/>
          <w14:textFill>
            <w14:solidFill>
              <w14:schemeClr w14:val="tx1"/>
            </w14:solidFill>
          </w14:textFill>
        </w:rPr>
        <w:t>4-2021</w:t>
      </w:r>
      <w:r>
        <w:rPr>
          <w:color w:val="000000" w:themeColor="text1"/>
          <w:sz w:val="24"/>
          <w14:textFill>
            <w14:solidFill>
              <w14:schemeClr w14:val="tx1"/>
            </w14:solidFill>
          </w14:textFill>
        </w:rPr>
        <w:t>）；</w:t>
      </w:r>
    </w:p>
    <w:p w14:paraId="76DC833A">
      <w:pPr>
        <w:spacing w:line="360" w:lineRule="auto"/>
        <w:ind w:firstLine="472"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 xml:space="preserve">（20）《畜禽养殖产地环境评价规范》（HJ </w:t>
      </w:r>
      <w:r>
        <w:rPr>
          <w:rFonts w:eastAsia="Times New Roman"/>
          <w:color w:val="000000" w:themeColor="text1"/>
          <w:spacing w:val="-2"/>
          <w:sz w:val="24"/>
          <w14:textFill>
            <w14:solidFill>
              <w14:schemeClr w14:val="tx1"/>
            </w14:solidFill>
          </w14:textFill>
        </w:rPr>
        <w:t>568-2010</w:t>
      </w:r>
      <w:r>
        <w:rPr>
          <w:color w:val="000000" w:themeColor="text1"/>
          <w:spacing w:val="-1"/>
          <w:sz w:val="24"/>
          <w14:textFill>
            <w14:solidFill>
              <w14:schemeClr w14:val="tx1"/>
            </w14:solidFill>
          </w14:textFill>
        </w:rPr>
        <w:t>）；</w:t>
      </w:r>
    </w:p>
    <w:p w14:paraId="04A337DE">
      <w:pPr>
        <w:spacing w:line="360" w:lineRule="auto"/>
        <w:ind w:firstLine="476" w:firstLineChars="20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 xml:space="preserve">（21）《畜禽粪肥还田技术规范》（GB /T </w:t>
      </w:r>
      <w:r>
        <w:rPr>
          <w:rFonts w:eastAsia="Times New Roman"/>
          <w:color w:val="000000" w:themeColor="text1"/>
          <w:spacing w:val="-1"/>
          <w:sz w:val="24"/>
          <w14:textFill>
            <w14:solidFill>
              <w14:schemeClr w14:val="tx1"/>
            </w14:solidFill>
          </w14:textFill>
        </w:rPr>
        <w:t>25246-2</w:t>
      </w:r>
      <w:r>
        <w:rPr>
          <w:rFonts w:eastAsia="Times New Roman"/>
          <w:color w:val="000000" w:themeColor="text1"/>
          <w:spacing w:val="-2"/>
          <w:sz w:val="24"/>
          <w14:textFill>
            <w14:solidFill>
              <w14:schemeClr w14:val="tx1"/>
            </w14:solidFill>
          </w14:textFill>
        </w:rPr>
        <w:t>0</w:t>
      </w:r>
      <w:r>
        <w:rPr>
          <w:color w:val="000000" w:themeColor="text1"/>
          <w:spacing w:val="-2"/>
          <w:sz w:val="24"/>
          <w14:textFill>
            <w14:solidFill>
              <w14:schemeClr w14:val="tx1"/>
            </w14:solidFill>
          </w14:textFill>
        </w:rPr>
        <w:t>25</w:t>
      </w:r>
      <w:r>
        <w:rPr>
          <w:color w:val="000000" w:themeColor="text1"/>
          <w:sz w:val="24"/>
          <w14:textFill>
            <w14:solidFill>
              <w14:schemeClr w14:val="tx1"/>
            </w14:solidFill>
          </w14:textFill>
        </w:rPr>
        <w:t>）；</w:t>
      </w:r>
    </w:p>
    <w:p w14:paraId="04A2F36E">
      <w:pPr>
        <w:spacing w:line="360" w:lineRule="auto"/>
        <w:ind w:firstLine="476" w:firstLineChars="20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 xml:space="preserve">（22）《畜禽粪便农田利用环境影响评价准则》（GB /T </w:t>
      </w:r>
      <w:r>
        <w:rPr>
          <w:rFonts w:eastAsia="Times New Roman"/>
          <w:color w:val="000000" w:themeColor="text1"/>
          <w:spacing w:val="-1"/>
          <w:sz w:val="24"/>
          <w14:textFill>
            <w14:solidFill>
              <w14:schemeClr w14:val="tx1"/>
            </w14:solidFill>
          </w14:textFill>
        </w:rPr>
        <w:t>26622-20</w:t>
      </w:r>
      <w:r>
        <w:rPr>
          <w:rFonts w:eastAsia="Times New Roman"/>
          <w:color w:val="000000" w:themeColor="text1"/>
          <w:spacing w:val="-2"/>
          <w:sz w:val="24"/>
          <w14:textFill>
            <w14:solidFill>
              <w14:schemeClr w14:val="tx1"/>
            </w14:solidFill>
          </w14:textFill>
        </w:rPr>
        <w:t>11</w:t>
      </w:r>
      <w:r>
        <w:rPr>
          <w:color w:val="000000" w:themeColor="text1"/>
          <w:spacing w:val="-2"/>
          <w:sz w:val="24"/>
          <w14:textFill>
            <w14:solidFill>
              <w14:schemeClr w14:val="tx1"/>
            </w14:solidFill>
          </w14:textFill>
        </w:rPr>
        <w:t>）；</w:t>
      </w:r>
    </w:p>
    <w:p w14:paraId="7A6163C7">
      <w:pPr>
        <w:spacing w:line="360" w:lineRule="auto"/>
        <w:ind w:firstLine="476" w:firstLineChars="20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（23）《畜禽粪污土地承载力测算技术指南》（</w:t>
      </w:r>
      <w:r>
        <w:rPr>
          <w:color w:val="000000" w:themeColor="text1"/>
          <w:spacing w:val="-2"/>
          <w:sz w:val="24"/>
          <w14:textFill>
            <w14:solidFill>
              <w14:schemeClr w14:val="tx1"/>
            </w14:solidFill>
          </w14:textFill>
        </w:rPr>
        <w:t>农办牧〔</w:t>
      </w:r>
      <w:r>
        <w:rPr>
          <w:rFonts w:eastAsia="Times New Roman"/>
          <w:color w:val="000000" w:themeColor="text1"/>
          <w:spacing w:val="-2"/>
          <w:sz w:val="24"/>
          <w14:textFill>
            <w14:solidFill>
              <w14:schemeClr w14:val="tx1"/>
            </w14:solidFill>
          </w14:textFill>
        </w:rPr>
        <w:t>2018</w:t>
      </w:r>
      <w:r>
        <w:rPr>
          <w:color w:val="000000" w:themeColor="text1"/>
          <w:spacing w:val="-2"/>
          <w:sz w:val="24"/>
          <w14:textFill>
            <w14:solidFill>
              <w14:schemeClr w14:val="tx1"/>
            </w14:solidFill>
          </w14:textFill>
        </w:rPr>
        <w:t>〕</w:t>
      </w:r>
      <w:r>
        <w:rPr>
          <w:rFonts w:eastAsia="Times New Roman"/>
          <w:color w:val="000000" w:themeColor="text1"/>
          <w:spacing w:val="-2"/>
          <w:sz w:val="24"/>
          <w14:textFill>
            <w14:solidFill>
              <w14:schemeClr w14:val="tx1"/>
            </w14:solidFill>
          </w14:textFill>
        </w:rPr>
        <w:t>1</w:t>
      </w:r>
      <w:r>
        <w:rPr>
          <w:color w:val="000000" w:themeColor="text1"/>
          <w:spacing w:val="-2"/>
          <w:sz w:val="24"/>
          <w14:textFill>
            <w14:solidFill>
              <w14:schemeClr w14:val="tx1"/>
            </w14:solidFill>
          </w14:textFill>
        </w:rPr>
        <w:t>号</w:t>
      </w:r>
      <w:r>
        <w:rPr>
          <w:color w:val="000000" w:themeColor="text1"/>
          <w:sz w:val="24"/>
          <w14:textFill>
            <w14:solidFill>
              <w14:schemeClr w14:val="tx1"/>
            </w14:solidFill>
          </w14:textFill>
        </w:rPr>
        <w:t>）；</w:t>
      </w:r>
    </w:p>
    <w:p w14:paraId="053DB891">
      <w:pPr>
        <w:spacing w:line="360" w:lineRule="auto"/>
        <w:ind w:firstLine="476" w:firstLineChars="20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（24）《畜禽粪便土地承载力测算方法》（</w:t>
      </w:r>
      <w:r>
        <w:rPr>
          <w:rFonts w:eastAsia="Times New Roman"/>
          <w:color w:val="000000" w:themeColor="text1"/>
          <w:spacing w:val="-1"/>
          <w:sz w:val="24"/>
          <w14:textFill>
            <w14:solidFill>
              <w14:schemeClr w14:val="tx1"/>
            </w14:solidFill>
          </w14:textFill>
        </w:rPr>
        <w:t>NY</w:t>
      </w:r>
      <w:r>
        <w:rPr>
          <w:color w:val="000000" w:themeColor="text1"/>
          <w:spacing w:val="-1"/>
          <w:sz w:val="24"/>
          <w14:textFill>
            <w14:solidFill>
              <w14:schemeClr w14:val="tx1"/>
            </w14:solidFill>
          </w14:textFill>
        </w:rPr>
        <w:t xml:space="preserve">/T </w:t>
      </w:r>
      <w:r>
        <w:rPr>
          <w:rFonts w:eastAsia="Times New Roman"/>
          <w:color w:val="000000" w:themeColor="text1"/>
          <w:spacing w:val="-1"/>
          <w:sz w:val="24"/>
          <w14:textFill>
            <w14:solidFill>
              <w14:schemeClr w14:val="tx1"/>
            </w14:solidFill>
          </w14:textFill>
        </w:rPr>
        <w:t>3877-20</w:t>
      </w:r>
      <w:r>
        <w:rPr>
          <w:rFonts w:eastAsia="Times New Roman"/>
          <w:color w:val="000000" w:themeColor="text1"/>
          <w:spacing w:val="-2"/>
          <w:sz w:val="24"/>
          <w14:textFill>
            <w14:solidFill>
              <w14:schemeClr w14:val="tx1"/>
            </w14:solidFill>
          </w14:textFill>
        </w:rPr>
        <w:t>21</w:t>
      </w:r>
      <w:r>
        <w:rPr>
          <w:color w:val="000000" w:themeColor="text1"/>
          <w:sz w:val="24"/>
          <w14:textFill>
            <w14:solidFill>
              <w14:schemeClr w14:val="tx1"/>
            </w14:solidFill>
          </w14:textFill>
        </w:rPr>
        <w:t>）；</w:t>
      </w:r>
    </w:p>
    <w:p w14:paraId="2BDE3C1D">
      <w:pPr>
        <w:spacing w:line="360" w:lineRule="auto"/>
        <w:ind w:firstLine="476" w:firstLineChars="20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（25）《农区畜禽养殖负荷风险评估技术规程》（</w:t>
      </w:r>
      <w:r>
        <w:rPr>
          <w:rFonts w:eastAsia="Times New Roman"/>
          <w:color w:val="000000" w:themeColor="text1"/>
          <w:spacing w:val="-1"/>
          <w:sz w:val="24"/>
          <w14:textFill>
            <w14:solidFill>
              <w14:schemeClr w14:val="tx1"/>
            </w14:solidFill>
          </w14:textFill>
        </w:rPr>
        <w:t>DB51</w:t>
      </w:r>
      <w:r>
        <w:rPr>
          <w:color w:val="000000" w:themeColor="text1"/>
          <w:spacing w:val="-1"/>
          <w:sz w:val="24"/>
          <w14:textFill>
            <w14:solidFill>
              <w14:schemeClr w14:val="tx1"/>
            </w14:solidFill>
          </w14:textFill>
        </w:rPr>
        <w:t xml:space="preserve">/T </w:t>
      </w:r>
      <w:r>
        <w:rPr>
          <w:rFonts w:eastAsia="Times New Roman"/>
          <w:color w:val="000000" w:themeColor="text1"/>
          <w:spacing w:val="-1"/>
          <w:sz w:val="24"/>
          <w14:textFill>
            <w14:solidFill>
              <w14:schemeClr w14:val="tx1"/>
            </w14:solidFill>
          </w14:textFill>
        </w:rPr>
        <w:t>1492-2022</w:t>
      </w:r>
      <w:r>
        <w:rPr>
          <w:color w:val="000000" w:themeColor="text1"/>
          <w:spacing w:val="2"/>
          <w:sz w:val="24"/>
          <w14:textFill>
            <w14:solidFill>
              <w14:schemeClr w14:val="tx1"/>
            </w14:solidFill>
          </w14:textFill>
        </w:rPr>
        <w:t>）；</w:t>
      </w:r>
    </w:p>
    <w:p w14:paraId="07B4E92C">
      <w:pPr>
        <w:spacing w:line="360" w:lineRule="auto"/>
        <w:ind w:firstLine="476" w:firstLineChars="20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（26）《农区耕地畜禽承载力评估技术规程》（</w:t>
      </w:r>
      <w:r>
        <w:rPr>
          <w:rFonts w:eastAsia="Times New Roman"/>
          <w:color w:val="000000" w:themeColor="text1"/>
          <w:spacing w:val="-1"/>
          <w:sz w:val="24"/>
          <w14:textFill>
            <w14:solidFill>
              <w14:schemeClr w14:val="tx1"/>
            </w14:solidFill>
          </w14:textFill>
        </w:rPr>
        <w:t>DB51</w:t>
      </w:r>
      <w:r>
        <w:rPr>
          <w:color w:val="000000" w:themeColor="text1"/>
          <w:spacing w:val="-1"/>
          <w:sz w:val="24"/>
          <w14:textFill>
            <w14:solidFill>
              <w14:schemeClr w14:val="tx1"/>
            </w14:solidFill>
          </w14:textFill>
        </w:rPr>
        <w:t xml:space="preserve">/T </w:t>
      </w:r>
      <w:r>
        <w:rPr>
          <w:rFonts w:eastAsia="Times New Roman"/>
          <w:color w:val="000000" w:themeColor="text1"/>
          <w:spacing w:val="-1"/>
          <w:sz w:val="24"/>
          <w14:textFill>
            <w14:solidFill>
              <w14:schemeClr w14:val="tx1"/>
            </w14:solidFill>
          </w14:textFill>
        </w:rPr>
        <w:t>1943-2021</w:t>
      </w:r>
      <w:r>
        <w:rPr>
          <w:color w:val="000000" w:themeColor="text1"/>
          <w:spacing w:val="1"/>
          <w:sz w:val="24"/>
          <w14:textFill>
            <w14:solidFill>
              <w14:schemeClr w14:val="tx1"/>
            </w14:solidFill>
          </w14:textFill>
        </w:rPr>
        <w:t>）；</w:t>
      </w:r>
    </w:p>
    <w:p w14:paraId="4261FF25">
      <w:pPr>
        <w:spacing w:line="360" w:lineRule="auto"/>
        <w:ind w:firstLine="476"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（27）《大气有害物质无组织排放卫生防护距离推导技术导则》（GB /T 39499-2020）；</w:t>
      </w:r>
    </w:p>
    <w:p w14:paraId="44861731">
      <w:pPr>
        <w:pStyle w:val="421"/>
        <w:spacing w:line="360" w:lineRule="auto"/>
        <w:ind w:firstLine="476"/>
        <w:rPr>
          <w:color w:val="000000" w:themeColor="text1"/>
          <w:spacing w:val="-1"/>
          <w:szCs w:val="24"/>
          <w14:textFill>
            <w14:solidFill>
              <w14:schemeClr w14:val="tx1"/>
            </w14:solidFill>
          </w14:textFill>
        </w:rPr>
      </w:pPr>
      <w:r>
        <w:rPr>
          <w:color w:val="000000" w:themeColor="text1"/>
          <w:spacing w:val="-1"/>
          <w:szCs w:val="24"/>
          <w14:textFill>
            <w14:solidFill>
              <w14:schemeClr w14:val="tx1"/>
            </w14:solidFill>
          </w14:textFill>
        </w:rPr>
        <w:t>（</w:t>
      </w:r>
      <w:r>
        <w:rPr>
          <w:color w:val="000000" w:themeColor="text1"/>
          <w:spacing w:val="-1"/>
          <w:szCs w:val="24"/>
          <w:lang w:val="en-US"/>
          <w14:textFill>
            <w14:solidFill>
              <w14:schemeClr w14:val="tx1"/>
            </w14:solidFill>
          </w14:textFill>
        </w:rPr>
        <w:t>28</w:t>
      </w:r>
      <w:r>
        <w:rPr>
          <w:color w:val="000000" w:themeColor="text1"/>
          <w:spacing w:val="-1"/>
          <w:szCs w:val="24"/>
          <w14:textFill>
            <w14:solidFill>
              <w14:schemeClr w14:val="tx1"/>
            </w14:solidFill>
          </w14:textFill>
        </w:rPr>
        <w:t xml:space="preserve">）《排污许可证申请与核发技术规范畜禽养殖行业》（HJ </w:t>
      </w:r>
      <w:r>
        <w:rPr>
          <w:rFonts w:eastAsia="Times New Roman"/>
          <w:color w:val="000000" w:themeColor="text1"/>
          <w:spacing w:val="-1"/>
          <w:szCs w:val="24"/>
          <w14:textFill>
            <w14:solidFill>
              <w14:schemeClr w14:val="tx1"/>
            </w14:solidFill>
          </w14:textFill>
        </w:rPr>
        <w:t>1029-2019</w:t>
      </w:r>
      <w:r>
        <w:rPr>
          <w:color w:val="000000" w:themeColor="text1"/>
          <w:spacing w:val="-1"/>
          <w:szCs w:val="24"/>
          <w14:textFill>
            <w14:solidFill>
              <w14:schemeClr w14:val="tx1"/>
            </w14:solidFill>
          </w14:textFill>
        </w:rPr>
        <w:t>）；</w:t>
      </w:r>
    </w:p>
    <w:p w14:paraId="67348A17">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（29）《排放源统计调查产排污核算方法和系数手册》。</w:t>
      </w:r>
    </w:p>
    <w:p w14:paraId="65A285A5">
      <w:pPr>
        <w:pStyle w:val="752"/>
        <w:rPr>
          <w:rFonts w:cs="Times New Roman"/>
          <w:color w:val="000000" w:themeColor="text1"/>
          <w14:textFill>
            <w14:solidFill>
              <w14:schemeClr w14:val="tx1"/>
            </w14:solidFill>
          </w14:textFill>
        </w:rPr>
      </w:pPr>
      <w:bookmarkStart w:id="75" w:name="_Toc233380112"/>
      <w:r>
        <w:rPr>
          <w:rFonts w:cs="Times New Roman"/>
          <w:color w:val="000000" w:themeColor="text1"/>
          <w14:textFill>
            <w14:solidFill>
              <w14:schemeClr w14:val="tx1"/>
            </w14:solidFill>
          </w14:textFill>
        </w:rPr>
        <w:t>2.2.5与项目有关的文件、资料</w:t>
      </w:r>
      <w:bookmarkEnd w:id="75"/>
    </w:p>
    <w:p w14:paraId="26EDFD5C">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（1）环境影响评价委托书；</w:t>
      </w:r>
    </w:p>
    <w:p w14:paraId="131D73EA">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（2）巴州区发展和改革局审批的《四川省固定资产投资备案表》（备案号：川投资备〔2408-511902-04-01-255827〕FGQB-0766号）；</w:t>
      </w:r>
    </w:p>
    <w:p w14:paraId="6BF4820A">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（3）项目可行性研究报告《北京五州工程准西服务有限公司》；</w:t>
      </w:r>
    </w:p>
    <w:p w14:paraId="0D233898">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（4）设施农业用地申请、备案表和租地协议；</w:t>
      </w:r>
    </w:p>
    <w:p w14:paraId="1B3ED3E5">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（5）项目病死牛无害化处置委托协议；</w:t>
      </w:r>
    </w:p>
    <w:p w14:paraId="5453C644">
      <w:pPr>
        <w:pStyle w:val="421"/>
        <w:spacing w:line="360" w:lineRule="auto"/>
        <w:ind w:firstLine="480"/>
        <w:rPr>
          <w:color w:val="000000" w:themeColor="text1"/>
          <w:lang w:val="en-US"/>
          <w14:textFill>
            <w14:solidFill>
              <w14:schemeClr w14:val="tx1"/>
            </w14:solidFill>
          </w14:textFill>
        </w:rPr>
      </w:pPr>
      <w:r>
        <w:rPr>
          <w:color w:val="000000" w:themeColor="text1"/>
          <w:lang w:val="en-US"/>
          <w14:textFill>
            <w14:solidFill>
              <w14:schemeClr w14:val="tx1"/>
            </w14:solidFill>
          </w14:textFill>
        </w:rPr>
        <w:t>（6）项目设计单位提供的测绘图、总平面布置图；</w:t>
      </w:r>
    </w:p>
    <w:p w14:paraId="2CEA02E2">
      <w:pPr>
        <w:pStyle w:val="421"/>
        <w:spacing w:line="360" w:lineRule="auto"/>
        <w:ind w:firstLine="480"/>
        <w:rPr>
          <w:color w:val="000000" w:themeColor="text1"/>
          <w:spacing w:val="-5"/>
          <w:szCs w:val="24"/>
          <w14:textFill>
            <w14:solidFill>
              <w14:schemeClr w14:val="tx1"/>
            </w14:solidFill>
          </w14:textFill>
        </w:rPr>
      </w:pPr>
      <w:r>
        <w:rPr>
          <w:color w:val="000000" w:themeColor="text1"/>
          <w:lang w:val="en-US"/>
          <w14:textFill>
            <w14:solidFill>
              <w14:schemeClr w14:val="tx1"/>
            </w14:solidFill>
          </w14:textFill>
        </w:rPr>
        <w:t>（7）项目</w:t>
      </w:r>
      <w:r>
        <w:rPr>
          <w:color w:val="000000" w:themeColor="text1"/>
          <w:spacing w:val="-11"/>
          <w:szCs w:val="24"/>
          <w:lang w:val="en-US"/>
          <w14:textFill>
            <w14:solidFill>
              <w14:schemeClr w14:val="tx1"/>
            </w14:solidFill>
          </w14:textFill>
        </w:rPr>
        <w:t>环境质量现状监测</w:t>
      </w:r>
      <w:r>
        <w:rPr>
          <w:color w:val="000000" w:themeColor="text1"/>
          <w:spacing w:val="-11"/>
          <w:szCs w:val="24"/>
          <w14:textFill>
            <w14:solidFill>
              <w14:schemeClr w14:val="tx1"/>
            </w14:solidFill>
          </w14:textFill>
        </w:rPr>
        <w:t>报告（</w:t>
      </w:r>
      <w:r>
        <w:rPr>
          <w:color w:val="000000" w:themeColor="text1"/>
          <w:szCs w:val="24"/>
          <w14:textFill>
            <w14:solidFill>
              <w14:schemeClr w14:val="tx1"/>
            </w14:solidFill>
          </w14:textFill>
        </w:rPr>
        <w:t>包括环境空气、</w:t>
      </w:r>
      <w:r>
        <w:rPr>
          <w:color w:val="000000" w:themeColor="text1"/>
          <w:szCs w:val="24"/>
          <w:lang w:val="en-US"/>
          <w14:textFill>
            <w14:solidFill>
              <w14:schemeClr w14:val="tx1"/>
            </w14:solidFill>
          </w14:textFill>
        </w:rPr>
        <w:t>地表水、</w:t>
      </w:r>
      <w:r>
        <w:rPr>
          <w:color w:val="000000" w:themeColor="text1"/>
          <w:szCs w:val="24"/>
          <w14:textFill>
            <w14:solidFill>
              <w14:schemeClr w14:val="tx1"/>
            </w14:solidFill>
          </w14:textFill>
        </w:rPr>
        <w:t>土壤、地下水、噪声</w:t>
      </w:r>
      <w:r>
        <w:rPr>
          <w:color w:val="000000" w:themeColor="text1"/>
          <w:spacing w:val="-5"/>
          <w:szCs w:val="24"/>
          <w14:textFill>
            <w14:solidFill>
              <w14:schemeClr w14:val="tx1"/>
            </w14:solidFill>
          </w14:textFill>
        </w:rPr>
        <w:t>）；</w:t>
      </w:r>
    </w:p>
    <w:p w14:paraId="287D6C53">
      <w:pPr>
        <w:pStyle w:val="421"/>
        <w:spacing w:line="360" w:lineRule="auto"/>
        <w:ind w:firstLine="480"/>
        <w:jc w:val="both"/>
        <w:rPr>
          <w:color w:val="000000" w:themeColor="text1"/>
          <w:lang w:val="en-US"/>
          <w14:textFill>
            <w14:solidFill>
              <w14:schemeClr w14:val="tx1"/>
            </w14:solidFill>
          </w14:textFill>
        </w:rPr>
      </w:pPr>
      <w:r>
        <w:rPr>
          <w:color w:val="000000" w:themeColor="text1"/>
          <w:lang w:val="en-US"/>
          <w14:textFill>
            <w14:solidFill>
              <w14:schemeClr w14:val="tx1"/>
            </w14:solidFill>
          </w14:textFill>
        </w:rPr>
        <w:t>（8）建设单位提供的其他技术资料。</w:t>
      </w:r>
    </w:p>
    <w:p w14:paraId="6EB165EB">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76" w:name="_Toc40220643"/>
      <w:bookmarkStart w:id="77" w:name="_Toc6039"/>
      <w:bookmarkStart w:id="78" w:name="_Toc520469034"/>
      <w:bookmarkStart w:id="79" w:name="_Toc233380113"/>
      <w:r>
        <w:rPr>
          <w:rFonts w:ascii="Times New Roman" w:hAnsi="Times New Roman" w:eastAsia="宋体"/>
          <w:color w:val="000000" w:themeColor="text1"/>
          <w:sz w:val="30"/>
          <w:szCs w:val="30"/>
          <w14:textFill>
            <w14:solidFill>
              <w14:schemeClr w14:val="tx1"/>
            </w14:solidFill>
          </w14:textFill>
        </w:rPr>
        <w:t>2.3环境影响因子识别与筛选</w:t>
      </w:r>
      <w:bookmarkEnd w:id="76"/>
      <w:bookmarkEnd w:id="77"/>
      <w:bookmarkEnd w:id="78"/>
      <w:bookmarkEnd w:id="79"/>
    </w:p>
    <w:p w14:paraId="269FEA4C">
      <w:pPr>
        <w:pStyle w:val="752"/>
        <w:rPr>
          <w:rFonts w:cs="Times New Roman"/>
          <w:color w:val="000000" w:themeColor="text1"/>
          <w:highlight w:val="blue"/>
          <w14:textFill>
            <w14:solidFill>
              <w14:schemeClr w14:val="tx1"/>
            </w14:solidFill>
          </w14:textFill>
        </w:rPr>
      </w:pPr>
      <w:bookmarkStart w:id="80" w:name="_Toc28814566"/>
      <w:bookmarkStart w:id="81" w:name="_Toc8225"/>
      <w:bookmarkStart w:id="82" w:name="_Toc27751082"/>
      <w:bookmarkStart w:id="83" w:name="_Toc40220644"/>
      <w:bookmarkStart w:id="84" w:name="_Toc21529537"/>
      <w:bookmarkStart w:id="85" w:name="_Toc233380114"/>
      <w:r>
        <w:rPr>
          <w:rFonts w:cs="Times New Roman"/>
          <w:color w:val="000000" w:themeColor="text1"/>
          <w14:textFill>
            <w14:solidFill>
              <w14:schemeClr w14:val="tx1"/>
            </w14:solidFill>
          </w14:textFill>
        </w:rPr>
        <w:t>2.3.1环境影响要素识别</w:t>
      </w:r>
      <w:bookmarkEnd w:id="80"/>
      <w:bookmarkEnd w:id="81"/>
      <w:bookmarkEnd w:id="82"/>
      <w:bookmarkEnd w:id="83"/>
      <w:bookmarkEnd w:id="84"/>
      <w:bookmarkEnd w:id="85"/>
    </w:p>
    <w:p w14:paraId="5FEC3E3F">
      <w:pPr>
        <w:spacing w:line="360" w:lineRule="auto"/>
        <w:ind w:firstLine="480" w:firstLineChars="200"/>
        <w:jc w:val="both"/>
        <w:rPr>
          <w:color w:val="000000" w:themeColor="text1"/>
          <w:sz w:val="24"/>
          <w14:textFill>
            <w14:solidFill>
              <w14:schemeClr w14:val="tx1"/>
            </w14:solidFill>
          </w14:textFill>
        </w:rPr>
      </w:pPr>
      <w:bookmarkStart w:id="86" w:name="_Toc156019230"/>
      <w:bookmarkStart w:id="87" w:name="_Toc176598815"/>
      <w:bookmarkStart w:id="88" w:name="_Toc196632595"/>
      <w:bookmarkStart w:id="89" w:name="_Toc201378363"/>
      <w:bookmarkStart w:id="90" w:name="_Toc156019456"/>
      <w:bookmarkStart w:id="91" w:name="_Toc209931704"/>
      <w:r>
        <w:rPr>
          <w:color w:val="000000" w:themeColor="text1"/>
          <w:sz w:val="24"/>
          <w14:textFill>
            <w14:solidFill>
              <w14:schemeClr w14:val="tx1"/>
            </w14:solidFill>
          </w14:textFill>
        </w:rPr>
        <w:t>本项目施工期主要活动包括：土建施工、安装工程施工、材料和设备运输、建筑物料堆存等；运营期主要活动包括：运行过程中“三废、一噪”排放等。</w:t>
      </w:r>
    </w:p>
    <w:p w14:paraId="051CF28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评价结合项目各评价时段主要活动、区域环境特征，对本项目涉及的环境要素可能造成的影响进行识别，识别结果见表2.3-1。</w:t>
      </w:r>
    </w:p>
    <w:p w14:paraId="4290A6EB">
      <w:pPr>
        <w:spacing w:line="360"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环境影响要素分析表</w:t>
      </w:r>
    </w:p>
    <w:tbl>
      <w:tblPr>
        <w:tblStyle w:val="89"/>
        <w:tblW w:w="859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1524"/>
        <w:gridCol w:w="550"/>
        <w:gridCol w:w="550"/>
        <w:gridCol w:w="550"/>
        <w:gridCol w:w="550"/>
        <w:gridCol w:w="550"/>
        <w:gridCol w:w="550"/>
        <w:gridCol w:w="550"/>
        <w:gridCol w:w="557"/>
        <w:gridCol w:w="557"/>
        <w:gridCol w:w="557"/>
        <w:gridCol w:w="550"/>
        <w:gridCol w:w="555"/>
      </w:tblGrid>
      <w:tr w14:paraId="136B10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9" w:type="dxa"/>
            <w:gridSpan w:val="2"/>
            <w:vMerge w:val="restart"/>
            <w:tcBorders>
              <w:tl2br w:val="nil"/>
              <w:tr2bl w:val="nil"/>
            </w:tcBorders>
            <w:vAlign w:val="center"/>
          </w:tcPr>
          <w:p w14:paraId="42604D9A">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环境影响要素</w:t>
            </w:r>
          </w:p>
        </w:tc>
        <w:tc>
          <w:tcPr>
            <w:tcW w:w="2750" w:type="dxa"/>
            <w:gridSpan w:val="5"/>
            <w:tcBorders>
              <w:tl2br w:val="nil"/>
              <w:tr2bl w:val="nil"/>
            </w:tcBorders>
            <w:vAlign w:val="center"/>
          </w:tcPr>
          <w:p w14:paraId="038DEAAF">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自然环境</w:t>
            </w:r>
          </w:p>
        </w:tc>
        <w:tc>
          <w:tcPr>
            <w:tcW w:w="1100" w:type="dxa"/>
            <w:gridSpan w:val="2"/>
            <w:tcBorders>
              <w:tl2br w:val="nil"/>
              <w:tr2bl w:val="nil"/>
            </w:tcBorders>
            <w:vAlign w:val="center"/>
          </w:tcPr>
          <w:p w14:paraId="7670F7F7">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生态环境</w:t>
            </w:r>
          </w:p>
        </w:tc>
        <w:tc>
          <w:tcPr>
            <w:tcW w:w="2776" w:type="dxa"/>
            <w:gridSpan w:val="5"/>
            <w:tcBorders>
              <w:tl2br w:val="nil"/>
              <w:tr2bl w:val="nil"/>
            </w:tcBorders>
            <w:vAlign w:val="center"/>
          </w:tcPr>
          <w:p w14:paraId="66E5A801">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社会环境</w:t>
            </w:r>
          </w:p>
        </w:tc>
      </w:tr>
      <w:tr w14:paraId="09CF53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69" w:type="dxa"/>
            <w:gridSpan w:val="2"/>
            <w:vMerge w:val="continue"/>
            <w:tcBorders>
              <w:tl2br w:val="nil"/>
              <w:tr2bl w:val="nil"/>
            </w:tcBorders>
            <w:vAlign w:val="center"/>
          </w:tcPr>
          <w:p w14:paraId="0D5736DB">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65E03A1C">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环境空气</w:t>
            </w:r>
          </w:p>
        </w:tc>
        <w:tc>
          <w:tcPr>
            <w:tcW w:w="550" w:type="dxa"/>
            <w:tcBorders>
              <w:tl2br w:val="nil"/>
              <w:tr2bl w:val="nil"/>
            </w:tcBorders>
            <w:vAlign w:val="center"/>
          </w:tcPr>
          <w:p w14:paraId="66223A1B">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地表水</w:t>
            </w:r>
          </w:p>
        </w:tc>
        <w:tc>
          <w:tcPr>
            <w:tcW w:w="550" w:type="dxa"/>
            <w:tcBorders>
              <w:tl2br w:val="nil"/>
              <w:tr2bl w:val="nil"/>
            </w:tcBorders>
            <w:vAlign w:val="center"/>
          </w:tcPr>
          <w:p w14:paraId="4A1C1A44">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地下水</w:t>
            </w:r>
          </w:p>
        </w:tc>
        <w:tc>
          <w:tcPr>
            <w:tcW w:w="550" w:type="dxa"/>
            <w:tcBorders>
              <w:tl2br w:val="nil"/>
              <w:tr2bl w:val="nil"/>
            </w:tcBorders>
            <w:vAlign w:val="center"/>
          </w:tcPr>
          <w:p w14:paraId="3328713B">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土壤</w:t>
            </w:r>
          </w:p>
        </w:tc>
        <w:tc>
          <w:tcPr>
            <w:tcW w:w="550" w:type="dxa"/>
            <w:tcBorders>
              <w:tl2br w:val="nil"/>
              <w:tr2bl w:val="nil"/>
            </w:tcBorders>
            <w:vAlign w:val="center"/>
          </w:tcPr>
          <w:p w14:paraId="318CA5B3">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声环境</w:t>
            </w:r>
          </w:p>
        </w:tc>
        <w:tc>
          <w:tcPr>
            <w:tcW w:w="550" w:type="dxa"/>
            <w:tcBorders>
              <w:tl2br w:val="nil"/>
              <w:tr2bl w:val="nil"/>
            </w:tcBorders>
            <w:vAlign w:val="center"/>
          </w:tcPr>
          <w:p w14:paraId="7BBD7F84">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陆生生态</w:t>
            </w:r>
          </w:p>
        </w:tc>
        <w:tc>
          <w:tcPr>
            <w:tcW w:w="550" w:type="dxa"/>
            <w:tcBorders>
              <w:tl2br w:val="nil"/>
              <w:tr2bl w:val="nil"/>
            </w:tcBorders>
            <w:vAlign w:val="center"/>
          </w:tcPr>
          <w:p w14:paraId="2FD1F3B3">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水生生态</w:t>
            </w:r>
          </w:p>
        </w:tc>
        <w:tc>
          <w:tcPr>
            <w:tcW w:w="557" w:type="dxa"/>
            <w:tcBorders>
              <w:tl2br w:val="nil"/>
              <w:tr2bl w:val="nil"/>
            </w:tcBorders>
            <w:vAlign w:val="center"/>
          </w:tcPr>
          <w:p w14:paraId="247EE089">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经济</w:t>
            </w:r>
          </w:p>
        </w:tc>
        <w:tc>
          <w:tcPr>
            <w:tcW w:w="557" w:type="dxa"/>
            <w:tcBorders>
              <w:tl2br w:val="nil"/>
              <w:tr2bl w:val="nil"/>
            </w:tcBorders>
            <w:vAlign w:val="center"/>
          </w:tcPr>
          <w:p w14:paraId="3278BEB0">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就业劳务</w:t>
            </w:r>
          </w:p>
        </w:tc>
        <w:tc>
          <w:tcPr>
            <w:tcW w:w="557" w:type="dxa"/>
            <w:tcBorders>
              <w:tl2br w:val="nil"/>
              <w:tr2bl w:val="nil"/>
            </w:tcBorders>
            <w:vAlign w:val="center"/>
          </w:tcPr>
          <w:p w14:paraId="5D383463">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城市建设</w:t>
            </w:r>
          </w:p>
        </w:tc>
        <w:tc>
          <w:tcPr>
            <w:tcW w:w="550" w:type="dxa"/>
            <w:tcBorders>
              <w:tl2br w:val="nil"/>
              <w:tr2bl w:val="nil"/>
            </w:tcBorders>
            <w:vAlign w:val="center"/>
          </w:tcPr>
          <w:p w14:paraId="503E9A9F">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土地利用</w:t>
            </w:r>
          </w:p>
        </w:tc>
        <w:tc>
          <w:tcPr>
            <w:tcW w:w="555" w:type="dxa"/>
            <w:tcBorders>
              <w:tl2br w:val="nil"/>
              <w:tr2bl w:val="nil"/>
            </w:tcBorders>
            <w:vAlign w:val="center"/>
          </w:tcPr>
          <w:p w14:paraId="0CBEABBE">
            <w:pPr>
              <w:pStyle w:val="1233"/>
              <w:widowControl w:val="0"/>
              <w:spacing w:before="0" w:line="240" w:lineRule="auto"/>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人群健康</w:t>
            </w:r>
          </w:p>
        </w:tc>
      </w:tr>
      <w:tr w14:paraId="03B4C4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5" w:type="dxa"/>
            <w:vMerge w:val="restart"/>
            <w:tcBorders>
              <w:tl2br w:val="nil"/>
              <w:tr2bl w:val="nil"/>
            </w:tcBorders>
            <w:vAlign w:val="center"/>
          </w:tcPr>
          <w:p w14:paraId="71C99113">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施工期</w:t>
            </w:r>
          </w:p>
        </w:tc>
        <w:tc>
          <w:tcPr>
            <w:tcW w:w="1524" w:type="dxa"/>
            <w:tcBorders>
              <w:tl2br w:val="nil"/>
              <w:tr2bl w:val="nil"/>
            </w:tcBorders>
            <w:vAlign w:val="center"/>
          </w:tcPr>
          <w:p w14:paraId="5CCF6A74">
            <w:pPr>
              <w:pStyle w:val="1233"/>
              <w:widowControl w:val="0"/>
              <w:spacing w:before="0" w:line="240" w:lineRule="auto"/>
              <w:rPr>
                <w:color w:val="auto"/>
                <w:sz w:val="21"/>
                <w:szCs w:val="21"/>
              </w:rPr>
            </w:pPr>
            <w:r>
              <w:rPr>
                <w:color w:val="auto"/>
                <w:sz w:val="21"/>
                <w:szCs w:val="21"/>
              </w:rPr>
              <w:t>土方开挖</w:t>
            </w:r>
          </w:p>
        </w:tc>
        <w:tc>
          <w:tcPr>
            <w:tcW w:w="550" w:type="dxa"/>
            <w:tcBorders>
              <w:tl2br w:val="nil"/>
              <w:tr2bl w:val="nil"/>
            </w:tcBorders>
            <w:vAlign w:val="center"/>
          </w:tcPr>
          <w:p w14:paraId="1C33DB5B">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0C72E52A">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2ECE2B17">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3657D8FD">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632C2E43">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30F79DB4">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2669C24E">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425001DA">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1263E808">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1DC93A99">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4BD9C231">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-1L</w:t>
            </w:r>
          </w:p>
        </w:tc>
        <w:tc>
          <w:tcPr>
            <w:tcW w:w="555" w:type="dxa"/>
            <w:tcBorders>
              <w:tl2br w:val="nil"/>
              <w:tr2bl w:val="nil"/>
            </w:tcBorders>
            <w:vAlign w:val="center"/>
          </w:tcPr>
          <w:p w14:paraId="7BFBBDFE">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r>
      <w:tr w14:paraId="0A054F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5" w:type="dxa"/>
            <w:vMerge w:val="continue"/>
            <w:tcBorders>
              <w:tl2br w:val="nil"/>
              <w:tr2bl w:val="nil"/>
            </w:tcBorders>
            <w:vAlign w:val="center"/>
          </w:tcPr>
          <w:p w14:paraId="48E5BBED">
            <w:pPr>
              <w:pStyle w:val="1233"/>
              <w:widowControl w:val="0"/>
              <w:spacing w:before="0" w:line="240" w:lineRule="auto"/>
              <w:rPr>
                <w:color w:val="000000" w:themeColor="text1"/>
                <w:sz w:val="21"/>
                <w:szCs w:val="21"/>
                <w14:textFill>
                  <w14:solidFill>
                    <w14:schemeClr w14:val="tx1"/>
                  </w14:solidFill>
                </w14:textFill>
              </w:rPr>
            </w:pPr>
          </w:p>
        </w:tc>
        <w:tc>
          <w:tcPr>
            <w:tcW w:w="1524" w:type="dxa"/>
            <w:tcBorders>
              <w:tl2br w:val="nil"/>
              <w:tr2bl w:val="nil"/>
            </w:tcBorders>
            <w:vAlign w:val="center"/>
          </w:tcPr>
          <w:p w14:paraId="3067575A">
            <w:pPr>
              <w:pStyle w:val="1233"/>
              <w:widowControl w:val="0"/>
              <w:spacing w:before="0" w:line="240" w:lineRule="auto"/>
              <w:rPr>
                <w:color w:val="auto"/>
                <w:sz w:val="21"/>
                <w:szCs w:val="21"/>
              </w:rPr>
            </w:pPr>
            <w:r>
              <w:rPr>
                <w:color w:val="auto"/>
                <w:sz w:val="21"/>
                <w:szCs w:val="21"/>
              </w:rPr>
              <w:t>材料堆放</w:t>
            </w:r>
          </w:p>
        </w:tc>
        <w:tc>
          <w:tcPr>
            <w:tcW w:w="550" w:type="dxa"/>
            <w:tcBorders>
              <w:tl2br w:val="nil"/>
              <w:tr2bl w:val="nil"/>
            </w:tcBorders>
            <w:vAlign w:val="center"/>
          </w:tcPr>
          <w:p w14:paraId="078EF2E3">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1208A41E">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708CC878">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63F39EED">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1424C357">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6166A0E4">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39374530">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18660DAB">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1E271AB0">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5D3782F0">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35A72973">
            <w:pPr>
              <w:pStyle w:val="1233"/>
              <w:widowControl w:val="0"/>
              <w:spacing w:before="0" w:line="240" w:lineRule="auto"/>
              <w:rPr>
                <w:color w:val="000000" w:themeColor="text1"/>
                <w:sz w:val="21"/>
                <w:szCs w:val="21"/>
                <w14:textFill>
                  <w14:solidFill>
                    <w14:schemeClr w14:val="tx1"/>
                  </w14:solidFill>
                </w14:textFill>
              </w:rPr>
            </w:pPr>
          </w:p>
        </w:tc>
        <w:tc>
          <w:tcPr>
            <w:tcW w:w="555" w:type="dxa"/>
            <w:tcBorders>
              <w:tl2br w:val="nil"/>
              <w:tr2bl w:val="nil"/>
            </w:tcBorders>
            <w:vAlign w:val="center"/>
          </w:tcPr>
          <w:p w14:paraId="68EDE8B5">
            <w:pPr>
              <w:pStyle w:val="1233"/>
              <w:widowControl w:val="0"/>
              <w:spacing w:before="0" w:line="240" w:lineRule="auto"/>
              <w:rPr>
                <w:color w:val="000000" w:themeColor="text1"/>
                <w:sz w:val="21"/>
                <w:szCs w:val="21"/>
                <w14:textFill>
                  <w14:solidFill>
                    <w14:schemeClr w14:val="tx1"/>
                  </w14:solidFill>
                </w14:textFill>
              </w:rPr>
            </w:pPr>
          </w:p>
        </w:tc>
      </w:tr>
      <w:tr w14:paraId="4542AE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5" w:type="dxa"/>
            <w:vMerge w:val="continue"/>
            <w:tcBorders>
              <w:tl2br w:val="nil"/>
              <w:tr2bl w:val="nil"/>
            </w:tcBorders>
            <w:vAlign w:val="center"/>
          </w:tcPr>
          <w:p w14:paraId="08DA1D10">
            <w:pPr>
              <w:pStyle w:val="1233"/>
              <w:widowControl w:val="0"/>
              <w:spacing w:before="0" w:line="240" w:lineRule="auto"/>
              <w:rPr>
                <w:color w:val="000000" w:themeColor="text1"/>
                <w:sz w:val="21"/>
                <w:szCs w:val="21"/>
                <w14:textFill>
                  <w14:solidFill>
                    <w14:schemeClr w14:val="tx1"/>
                  </w14:solidFill>
                </w14:textFill>
              </w:rPr>
            </w:pPr>
          </w:p>
        </w:tc>
        <w:tc>
          <w:tcPr>
            <w:tcW w:w="1524" w:type="dxa"/>
            <w:tcBorders>
              <w:tl2br w:val="nil"/>
              <w:tr2bl w:val="nil"/>
            </w:tcBorders>
            <w:vAlign w:val="center"/>
          </w:tcPr>
          <w:p w14:paraId="3299B03A">
            <w:pPr>
              <w:pStyle w:val="1233"/>
              <w:widowControl w:val="0"/>
              <w:spacing w:before="0" w:line="240" w:lineRule="auto"/>
              <w:rPr>
                <w:color w:val="auto"/>
                <w:sz w:val="21"/>
                <w:szCs w:val="21"/>
              </w:rPr>
            </w:pPr>
            <w:r>
              <w:rPr>
                <w:color w:val="auto"/>
                <w:sz w:val="21"/>
                <w:szCs w:val="21"/>
              </w:rPr>
              <w:t>建筑物施工</w:t>
            </w:r>
          </w:p>
        </w:tc>
        <w:tc>
          <w:tcPr>
            <w:tcW w:w="550" w:type="dxa"/>
            <w:tcBorders>
              <w:tl2br w:val="nil"/>
              <w:tr2bl w:val="nil"/>
            </w:tcBorders>
            <w:vAlign w:val="center"/>
          </w:tcPr>
          <w:p w14:paraId="4D0A6A80">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23A48AA4">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7A677CC2">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6F2A0DBE">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3B5E2830">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26387E26">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604C40EF">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6863F573">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7" w:type="dxa"/>
            <w:tcBorders>
              <w:tl2br w:val="nil"/>
              <w:tr2bl w:val="nil"/>
            </w:tcBorders>
            <w:vAlign w:val="center"/>
          </w:tcPr>
          <w:p w14:paraId="5DCC3ACE">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7" w:type="dxa"/>
            <w:tcBorders>
              <w:tl2br w:val="nil"/>
              <w:tr2bl w:val="nil"/>
            </w:tcBorders>
            <w:vAlign w:val="center"/>
          </w:tcPr>
          <w:p w14:paraId="7EF8DE9A">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2C80BE1F">
            <w:pPr>
              <w:pStyle w:val="1233"/>
              <w:widowControl w:val="0"/>
              <w:spacing w:before="0" w:line="240" w:lineRule="auto"/>
              <w:rPr>
                <w:color w:val="000000" w:themeColor="text1"/>
                <w:sz w:val="21"/>
                <w:szCs w:val="21"/>
                <w14:textFill>
                  <w14:solidFill>
                    <w14:schemeClr w14:val="tx1"/>
                  </w14:solidFill>
                </w14:textFill>
              </w:rPr>
            </w:pPr>
          </w:p>
        </w:tc>
        <w:tc>
          <w:tcPr>
            <w:tcW w:w="555" w:type="dxa"/>
            <w:tcBorders>
              <w:tl2br w:val="nil"/>
              <w:tr2bl w:val="nil"/>
            </w:tcBorders>
            <w:vAlign w:val="center"/>
          </w:tcPr>
          <w:p w14:paraId="620A6E9F">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r>
      <w:tr w14:paraId="79108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5" w:type="dxa"/>
            <w:vMerge w:val="restart"/>
            <w:tcBorders>
              <w:tl2br w:val="nil"/>
              <w:tr2bl w:val="nil"/>
            </w:tcBorders>
            <w:vAlign w:val="center"/>
          </w:tcPr>
          <w:p w14:paraId="2A3D2917">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运营期</w:t>
            </w:r>
          </w:p>
        </w:tc>
        <w:tc>
          <w:tcPr>
            <w:tcW w:w="1524" w:type="dxa"/>
            <w:tcBorders>
              <w:tl2br w:val="nil"/>
              <w:tr2bl w:val="nil"/>
            </w:tcBorders>
            <w:vAlign w:val="center"/>
          </w:tcPr>
          <w:p w14:paraId="075E2848">
            <w:pPr>
              <w:pStyle w:val="1233"/>
              <w:widowControl w:val="0"/>
              <w:spacing w:before="0" w:line="240" w:lineRule="auto"/>
              <w:rPr>
                <w:color w:val="auto"/>
                <w:sz w:val="21"/>
                <w:szCs w:val="21"/>
              </w:rPr>
            </w:pPr>
            <w:r>
              <w:rPr>
                <w:color w:val="auto"/>
                <w:sz w:val="21"/>
                <w:szCs w:val="21"/>
              </w:rPr>
              <w:t>肉牛养殖</w:t>
            </w:r>
          </w:p>
        </w:tc>
        <w:tc>
          <w:tcPr>
            <w:tcW w:w="550" w:type="dxa"/>
            <w:tcBorders>
              <w:tl2br w:val="nil"/>
              <w:tr2bl w:val="nil"/>
            </w:tcBorders>
            <w:vAlign w:val="center"/>
          </w:tcPr>
          <w:p w14:paraId="423C0C3A">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-2L</w:t>
            </w:r>
          </w:p>
        </w:tc>
        <w:tc>
          <w:tcPr>
            <w:tcW w:w="550" w:type="dxa"/>
            <w:tcBorders>
              <w:tl2br w:val="nil"/>
              <w:tr2bl w:val="nil"/>
            </w:tcBorders>
            <w:vAlign w:val="center"/>
          </w:tcPr>
          <w:p w14:paraId="14ADDE25">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6D2FF972">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6481799B">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56231E6D">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1C5323C0">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3C8F42A9">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5EFD12ED">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2DCBFD84">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05C98E9E">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2070F8D3">
            <w:pPr>
              <w:pStyle w:val="1233"/>
              <w:widowControl w:val="0"/>
              <w:spacing w:before="0" w:line="240" w:lineRule="auto"/>
              <w:rPr>
                <w:color w:val="000000" w:themeColor="text1"/>
                <w:sz w:val="21"/>
                <w:szCs w:val="21"/>
                <w14:textFill>
                  <w14:solidFill>
                    <w14:schemeClr w14:val="tx1"/>
                  </w14:solidFill>
                </w14:textFill>
              </w:rPr>
            </w:pPr>
          </w:p>
        </w:tc>
        <w:tc>
          <w:tcPr>
            <w:tcW w:w="555" w:type="dxa"/>
            <w:tcBorders>
              <w:tl2br w:val="nil"/>
              <w:tr2bl w:val="nil"/>
            </w:tcBorders>
            <w:vAlign w:val="center"/>
          </w:tcPr>
          <w:p w14:paraId="29067DB0">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-1L</w:t>
            </w:r>
          </w:p>
        </w:tc>
      </w:tr>
      <w:tr w14:paraId="486ABF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5" w:type="dxa"/>
            <w:vMerge w:val="continue"/>
            <w:tcBorders>
              <w:tl2br w:val="nil"/>
              <w:tr2bl w:val="nil"/>
            </w:tcBorders>
            <w:vAlign w:val="center"/>
          </w:tcPr>
          <w:p w14:paraId="09A13340">
            <w:pPr>
              <w:pStyle w:val="1233"/>
              <w:widowControl w:val="0"/>
              <w:spacing w:before="0" w:line="240" w:lineRule="auto"/>
              <w:rPr>
                <w:color w:val="000000" w:themeColor="text1"/>
                <w:sz w:val="21"/>
                <w:szCs w:val="21"/>
                <w14:textFill>
                  <w14:solidFill>
                    <w14:schemeClr w14:val="tx1"/>
                  </w14:solidFill>
                </w14:textFill>
              </w:rPr>
            </w:pPr>
          </w:p>
        </w:tc>
        <w:tc>
          <w:tcPr>
            <w:tcW w:w="1524" w:type="dxa"/>
            <w:tcBorders>
              <w:tl2br w:val="nil"/>
              <w:tr2bl w:val="nil"/>
            </w:tcBorders>
            <w:vAlign w:val="center"/>
          </w:tcPr>
          <w:p w14:paraId="0837DB52">
            <w:pPr>
              <w:pStyle w:val="1233"/>
              <w:widowControl w:val="0"/>
              <w:spacing w:before="0" w:line="240" w:lineRule="auto"/>
              <w:rPr>
                <w:color w:val="auto"/>
                <w:sz w:val="21"/>
                <w:szCs w:val="21"/>
              </w:rPr>
            </w:pPr>
            <w:r>
              <w:rPr>
                <w:color w:val="auto"/>
                <w:sz w:val="21"/>
                <w:szCs w:val="21"/>
              </w:rPr>
              <w:t>废气排放</w:t>
            </w:r>
          </w:p>
        </w:tc>
        <w:tc>
          <w:tcPr>
            <w:tcW w:w="550" w:type="dxa"/>
            <w:tcBorders>
              <w:tl2br w:val="nil"/>
              <w:tr2bl w:val="nil"/>
            </w:tcBorders>
            <w:vAlign w:val="center"/>
          </w:tcPr>
          <w:p w14:paraId="61E58DB0">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-2L</w:t>
            </w:r>
          </w:p>
        </w:tc>
        <w:tc>
          <w:tcPr>
            <w:tcW w:w="550" w:type="dxa"/>
            <w:tcBorders>
              <w:tl2br w:val="nil"/>
              <w:tr2bl w:val="nil"/>
            </w:tcBorders>
            <w:vAlign w:val="center"/>
          </w:tcPr>
          <w:p w14:paraId="3E797BEB">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5593BE30">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1FF40CC8">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709B2A39">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0BAFB72F">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-1S</w:t>
            </w:r>
          </w:p>
        </w:tc>
        <w:tc>
          <w:tcPr>
            <w:tcW w:w="550" w:type="dxa"/>
            <w:tcBorders>
              <w:tl2br w:val="nil"/>
              <w:tr2bl w:val="nil"/>
            </w:tcBorders>
            <w:vAlign w:val="center"/>
          </w:tcPr>
          <w:p w14:paraId="6F133DE5">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503A6065">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6A90D33D">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5104AF1D">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3BBED137">
            <w:pPr>
              <w:pStyle w:val="1233"/>
              <w:widowControl w:val="0"/>
              <w:spacing w:before="0" w:line="240" w:lineRule="auto"/>
              <w:rPr>
                <w:color w:val="000000" w:themeColor="text1"/>
                <w:sz w:val="21"/>
                <w:szCs w:val="21"/>
                <w14:textFill>
                  <w14:solidFill>
                    <w14:schemeClr w14:val="tx1"/>
                  </w14:solidFill>
                </w14:textFill>
              </w:rPr>
            </w:pPr>
          </w:p>
        </w:tc>
        <w:tc>
          <w:tcPr>
            <w:tcW w:w="555" w:type="dxa"/>
            <w:tcBorders>
              <w:tl2br w:val="nil"/>
              <w:tr2bl w:val="nil"/>
            </w:tcBorders>
            <w:vAlign w:val="center"/>
          </w:tcPr>
          <w:p w14:paraId="226CF11E">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-1L</w:t>
            </w:r>
          </w:p>
        </w:tc>
      </w:tr>
      <w:tr w14:paraId="42C04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5" w:type="dxa"/>
            <w:vMerge w:val="continue"/>
            <w:tcBorders>
              <w:tl2br w:val="nil"/>
              <w:tr2bl w:val="nil"/>
            </w:tcBorders>
            <w:vAlign w:val="center"/>
          </w:tcPr>
          <w:p w14:paraId="42539683">
            <w:pPr>
              <w:pStyle w:val="1233"/>
              <w:widowControl w:val="0"/>
              <w:spacing w:before="0" w:line="240" w:lineRule="auto"/>
              <w:rPr>
                <w:color w:val="000000" w:themeColor="text1"/>
                <w:sz w:val="21"/>
                <w:szCs w:val="21"/>
                <w14:textFill>
                  <w14:solidFill>
                    <w14:schemeClr w14:val="tx1"/>
                  </w14:solidFill>
                </w14:textFill>
              </w:rPr>
            </w:pPr>
            <w:bookmarkStart w:id="92" w:name="_Toc40220645"/>
            <w:bookmarkStart w:id="93" w:name="_Toc21529538"/>
            <w:bookmarkStart w:id="94" w:name="_Toc27751083"/>
            <w:bookmarkStart w:id="95" w:name="_Toc28814567"/>
          </w:p>
        </w:tc>
        <w:tc>
          <w:tcPr>
            <w:tcW w:w="1524" w:type="dxa"/>
            <w:tcBorders>
              <w:tl2br w:val="nil"/>
              <w:tr2bl w:val="nil"/>
            </w:tcBorders>
            <w:vAlign w:val="center"/>
          </w:tcPr>
          <w:p w14:paraId="1BC1FE60">
            <w:pPr>
              <w:pStyle w:val="1233"/>
              <w:widowControl w:val="0"/>
              <w:spacing w:before="0" w:line="240" w:lineRule="auto"/>
              <w:rPr>
                <w:color w:val="auto"/>
                <w:sz w:val="21"/>
                <w:szCs w:val="21"/>
              </w:rPr>
            </w:pPr>
            <w:r>
              <w:rPr>
                <w:color w:val="auto"/>
                <w:sz w:val="21"/>
                <w:szCs w:val="21"/>
              </w:rPr>
              <w:t>废水排放</w:t>
            </w:r>
          </w:p>
        </w:tc>
        <w:tc>
          <w:tcPr>
            <w:tcW w:w="550" w:type="dxa"/>
            <w:tcBorders>
              <w:tl2br w:val="nil"/>
              <w:tr2bl w:val="nil"/>
            </w:tcBorders>
            <w:vAlign w:val="center"/>
          </w:tcPr>
          <w:p w14:paraId="7C487A18">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0380E707">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032BB836">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3F4699BA">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12845190">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7939B562">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35F07A05">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6585F0C0">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5E71D4E8">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5001BC58">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6DA363AB">
            <w:pPr>
              <w:pStyle w:val="1233"/>
              <w:widowControl w:val="0"/>
              <w:spacing w:before="0" w:line="240" w:lineRule="auto"/>
              <w:rPr>
                <w:color w:val="000000" w:themeColor="text1"/>
                <w:sz w:val="21"/>
                <w:szCs w:val="21"/>
                <w14:textFill>
                  <w14:solidFill>
                    <w14:schemeClr w14:val="tx1"/>
                  </w14:solidFill>
                </w14:textFill>
              </w:rPr>
            </w:pPr>
          </w:p>
        </w:tc>
        <w:tc>
          <w:tcPr>
            <w:tcW w:w="555" w:type="dxa"/>
            <w:tcBorders>
              <w:tl2br w:val="nil"/>
              <w:tr2bl w:val="nil"/>
            </w:tcBorders>
            <w:vAlign w:val="center"/>
          </w:tcPr>
          <w:p w14:paraId="30337FF2">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-1L</w:t>
            </w:r>
          </w:p>
        </w:tc>
      </w:tr>
      <w:tr w14:paraId="42A87A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5" w:type="dxa"/>
            <w:vMerge w:val="continue"/>
            <w:tcBorders>
              <w:tl2br w:val="nil"/>
              <w:tr2bl w:val="nil"/>
            </w:tcBorders>
            <w:vAlign w:val="center"/>
          </w:tcPr>
          <w:p w14:paraId="652D7606">
            <w:pPr>
              <w:pStyle w:val="1233"/>
              <w:widowControl w:val="0"/>
              <w:spacing w:before="0" w:line="240" w:lineRule="auto"/>
              <w:rPr>
                <w:color w:val="000000" w:themeColor="text1"/>
                <w:sz w:val="21"/>
                <w:szCs w:val="21"/>
                <w14:textFill>
                  <w14:solidFill>
                    <w14:schemeClr w14:val="tx1"/>
                  </w14:solidFill>
                </w14:textFill>
              </w:rPr>
            </w:pPr>
          </w:p>
        </w:tc>
        <w:tc>
          <w:tcPr>
            <w:tcW w:w="1524" w:type="dxa"/>
            <w:tcBorders>
              <w:tl2br w:val="nil"/>
              <w:tr2bl w:val="nil"/>
            </w:tcBorders>
            <w:vAlign w:val="center"/>
          </w:tcPr>
          <w:p w14:paraId="1C15B2DA">
            <w:pPr>
              <w:pStyle w:val="1233"/>
              <w:widowControl w:val="0"/>
              <w:spacing w:before="0" w:line="240" w:lineRule="auto"/>
              <w:rPr>
                <w:color w:val="auto"/>
                <w:sz w:val="21"/>
                <w:szCs w:val="21"/>
              </w:rPr>
            </w:pPr>
            <w:r>
              <w:rPr>
                <w:color w:val="auto"/>
                <w:sz w:val="21"/>
                <w:szCs w:val="21"/>
              </w:rPr>
              <w:t>噪声排放</w:t>
            </w:r>
          </w:p>
        </w:tc>
        <w:tc>
          <w:tcPr>
            <w:tcW w:w="550" w:type="dxa"/>
            <w:tcBorders>
              <w:tl2br w:val="nil"/>
              <w:tr2bl w:val="nil"/>
            </w:tcBorders>
            <w:vAlign w:val="center"/>
          </w:tcPr>
          <w:p w14:paraId="077B138A">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17A94D68">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550B5211">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2E58345D">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08DD93A1">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-1L</w:t>
            </w:r>
          </w:p>
        </w:tc>
        <w:tc>
          <w:tcPr>
            <w:tcW w:w="550" w:type="dxa"/>
            <w:tcBorders>
              <w:tl2br w:val="nil"/>
              <w:tr2bl w:val="nil"/>
            </w:tcBorders>
            <w:vAlign w:val="center"/>
          </w:tcPr>
          <w:p w14:paraId="377531AC">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25FF7771">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5495E95D">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16268149">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5E3A8198">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058A8747">
            <w:pPr>
              <w:pStyle w:val="1233"/>
              <w:widowControl w:val="0"/>
              <w:spacing w:before="0" w:line="240" w:lineRule="auto"/>
              <w:rPr>
                <w:color w:val="000000" w:themeColor="text1"/>
                <w:sz w:val="21"/>
                <w:szCs w:val="21"/>
                <w14:textFill>
                  <w14:solidFill>
                    <w14:schemeClr w14:val="tx1"/>
                  </w14:solidFill>
                </w14:textFill>
              </w:rPr>
            </w:pPr>
          </w:p>
        </w:tc>
        <w:tc>
          <w:tcPr>
            <w:tcW w:w="555" w:type="dxa"/>
            <w:tcBorders>
              <w:tl2br w:val="nil"/>
              <w:tr2bl w:val="nil"/>
            </w:tcBorders>
            <w:vAlign w:val="center"/>
          </w:tcPr>
          <w:p w14:paraId="2E746737">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-1L</w:t>
            </w:r>
          </w:p>
        </w:tc>
      </w:tr>
      <w:tr w14:paraId="65A81F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45" w:type="dxa"/>
            <w:vMerge w:val="continue"/>
            <w:tcBorders>
              <w:tl2br w:val="nil"/>
              <w:tr2bl w:val="nil"/>
            </w:tcBorders>
            <w:vAlign w:val="center"/>
          </w:tcPr>
          <w:p w14:paraId="5464F2D5">
            <w:pPr>
              <w:pStyle w:val="1233"/>
              <w:widowControl w:val="0"/>
              <w:spacing w:before="0" w:line="240" w:lineRule="auto"/>
              <w:rPr>
                <w:color w:val="000000" w:themeColor="text1"/>
                <w:sz w:val="21"/>
                <w:szCs w:val="21"/>
                <w14:textFill>
                  <w14:solidFill>
                    <w14:schemeClr w14:val="tx1"/>
                  </w14:solidFill>
                </w14:textFill>
              </w:rPr>
            </w:pPr>
          </w:p>
        </w:tc>
        <w:tc>
          <w:tcPr>
            <w:tcW w:w="1524" w:type="dxa"/>
            <w:tcBorders>
              <w:tl2br w:val="nil"/>
              <w:tr2bl w:val="nil"/>
            </w:tcBorders>
            <w:vAlign w:val="center"/>
          </w:tcPr>
          <w:p w14:paraId="3FC4BC55">
            <w:pPr>
              <w:pStyle w:val="1233"/>
              <w:widowControl w:val="0"/>
              <w:spacing w:before="0" w:line="240" w:lineRule="auto"/>
              <w:rPr>
                <w:color w:val="auto"/>
                <w:sz w:val="21"/>
                <w:szCs w:val="21"/>
              </w:rPr>
            </w:pPr>
            <w:r>
              <w:rPr>
                <w:color w:val="auto"/>
                <w:sz w:val="21"/>
                <w:szCs w:val="21"/>
              </w:rPr>
              <w:t>固体废物堆放</w:t>
            </w:r>
          </w:p>
        </w:tc>
        <w:tc>
          <w:tcPr>
            <w:tcW w:w="550" w:type="dxa"/>
            <w:tcBorders>
              <w:tl2br w:val="nil"/>
              <w:tr2bl w:val="nil"/>
            </w:tcBorders>
            <w:vAlign w:val="center"/>
          </w:tcPr>
          <w:p w14:paraId="7979D261">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-1L</w:t>
            </w:r>
          </w:p>
        </w:tc>
        <w:tc>
          <w:tcPr>
            <w:tcW w:w="550" w:type="dxa"/>
            <w:tcBorders>
              <w:tl2br w:val="nil"/>
              <w:tr2bl w:val="nil"/>
            </w:tcBorders>
            <w:vAlign w:val="center"/>
          </w:tcPr>
          <w:p w14:paraId="5188DAB5">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0A3B3B2E">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1D5A1CFE">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2517087A">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7FACFFBE">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2ADC0A8B">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568D4D56">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05DCCA17">
            <w:pPr>
              <w:pStyle w:val="1233"/>
              <w:widowControl w:val="0"/>
              <w:spacing w:before="0" w:line="240" w:lineRule="auto"/>
              <w:rPr>
                <w:color w:val="000000" w:themeColor="text1"/>
                <w:sz w:val="21"/>
                <w:szCs w:val="21"/>
                <w14:textFill>
                  <w14:solidFill>
                    <w14:schemeClr w14:val="tx1"/>
                  </w14:solidFill>
                </w14:textFill>
              </w:rPr>
            </w:pPr>
          </w:p>
        </w:tc>
        <w:tc>
          <w:tcPr>
            <w:tcW w:w="557" w:type="dxa"/>
            <w:tcBorders>
              <w:tl2br w:val="nil"/>
              <w:tr2bl w:val="nil"/>
            </w:tcBorders>
            <w:vAlign w:val="center"/>
          </w:tcPr>
          <w:p w14:paraId="024192C6">
            <w:pPr>
              <w:pStyle w:val="1233"/>
              <w:widowControl w:val="0"/>
              <w:spacing w:before="0" w:line="240" w:lineRule="auto"/>
              <w:rPr>
                <w:color w:val="000000" w:themeColor="text1"/>
                <w:sz w:val="21"/>
                <w:szCs w:val="21"/>
                <w14:textFill>
                  <w14:solidFill>
                    <w14:schemeClr w14:val="tx1"/>
                  </w14:solidFill>
                </w14:textFill>
              </w:rPr>
            </w:pPr>
          </w:p>
        </w:tc>
        <w:tc>
          <w:tcPr>
            <w:tcW w:w="550" w:type="dxa"/>
            <w:tcBorders>
              <w:tl2br w:val="nil"/>
              <w:tr2bl w:val="nil"/>
            </w:tcBorders>
            <w:vAlign w:val="center"/>
          </w:tcPr>
          <w:p w14:paraId="28A8752C">
            <w:pPr>
              <w:pStyle w:val="1233"/>
              <w:widowControl w:val="0"/>
              <w:spacing w:before="0" w:line="240" w:lineRule="auto"/>
              <w:rPr>
                <w:color w:val="000000" w:themeColor="text1"/>
                <w:sz w:val="21"/>
                <w:szCs w:val="21"/>
                <w14:textFill>
                  <w14:solidFill>
                    <w14:schemeClr w14:val="tx1"/>
                  </w14:solidFill>
                </w14:textFill>
              </w:rPr>
            </w:pPr>
          </w:p>
        </w:tc>
        <w:tc>
          <w:tcPr>
            <w:tcW w:w="555" w:type="dxa"/>
            <w:tcBorders>
              <w:tl2br w:val="nil"/>
              <w:tr2bl w:val="nil"/>
            </w:tcBorders>
            <w:vAlign w:val="center"/>
          </w:tcPr>
          <w:p w14:paraId="61A3D826">
            <w:pPr>
              <w:pStyle w:val="1233"/>
              <w:widowControl w:val="0"/>
              <w:spacing w:before="0"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-1L</w:t>
            </w:r>
          </w:p>
        </w:tc>
      </w:tr>
      <w:tr w14:paraId="045045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95" w:type="dxa"/>
            <w:gridSpan w:val="14"/>
            <w:tcBorders>
              <w:tl2br w:val="nil"/>
              <w:tr2bl w:val="nil"/>
            </w:tcBorders>
            <w:vAlign w:val="center"/>
          </w:tcPr>
          <w:p w14:paraId="7DC832C2">
            <w:pPr>
              <w:widowControl w:val="0"/>
              <w:numPr>
                <w:ilvl w:val="4"/>
                <w:numId w:val="0"/>
              </w:numPr>
              <w:jc w:val="both"/>
              <w:rPr>
                <w:color w:val="000000" w:themeColor="text1"/>
                <w:szCs w:val="21"/>
                <w14:textFill>
                  <w14:solidFill>
                    <w14:schemeClr w14:val="tx1"/>
                  </w14:solidFill>
                </w14:textFill>
              </w:rPr>
            </w:pPr>
            <w:r>
              <w:rPr>
                <w:bCs/>
                <w:color w:val="000000" w:themeColor="text1"/>
                <w:szCs w:val="21"/>
                <w14:textFill>
                  <w14:solidFill>
                    <w14:schemeClr w14:val="tx1"/>
                  </w14:solidFill>
                </w14:textFill>
              </w:rPr>
              <w:t>注：“-”负影响，“+”正影响，“S”表示短期，“L”表示长期，“1”表示较小，“2”表示有一定影响，“3”表示较大。</w:t>
            </w:r>
          </w:p>
        </w:tc>
      </w:tr>
      <w:bookmarkEnd w:id="86"/>
      <w:bookmarkEnd w:id="87"/>
      <w:bookmarkEnd w:id="88"/>
      <w:bookmarkEnd w:id="89"/>
      <w:bookmarkEnd w:id="90"/>
      <w:bookmarkEnd w:id="91"/>
    </w:tbl>
    <w:p w14:paraId="169920ED">
      <w:pPr>
        <w:pStyle w:val="752"/>
        <w:rPr>
          <w:rFonts w:cs="Times New Roman"/>
          <w:color w:val="000000" w:themeColor="text1"/>
          <w14:textFill>
            <w14:solidFill>
              <w14:schemeClr w14:val="tx1"/>
            </w14:solidFill>
          </w14:textFill>
        </w:rPr>
      </w:pPr>
      <w:bookmarkStart w:id="96" w:name="_Toc233380115"/>
      <w:bookmarkStart w:id="97" w:name="_Toc24627"/>
      <w:r>
        <w:rPr>
          <w:rFonts w:cs="Times New Roman"/>
          <w:color w:val="000000" w:themeColor="text1"/>
          <w14:textFill>
            <w14:solidFill>
              <w14:schemeClr w14:val="tx1"/>
            </w14:solidFill>
          </w14:textFill>
        </w:rPr>
        <w:t>2.3.2环境影响因子筛选</w:t>
      </w:r>
      <w:bookmarkEnd w:id="92"/>
      <w:bookmarkEnd w:id="93"/>
      <w:bookmarkEnd w:id="94"/>
      <w:bookmarkEnd w:id="95"/>
      <w:bookmarkEnd w:id="96"/>
      <w:bookmarkEnd w:id="97"/>
    </w:p>
    <w:p w14:paraId="0B90D1CF">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在识别项目主要环境影响因素的基础上，根据工程污染物排放特点和对环境因素影响的程度，同时类比同类项目情况，筛选并确定环境影响评价因子。项目各专题、各环境要素的评价因子筛选结果列于表2.3-2。</w:t>
      </w:r>
    </w:p>
    <w:p w14:paraId="4DCD9E08">
      <w:pPr>
        <w:spacing w:line="360" w:lineRule="auto"/>
        <w:rPr>
          <w:color w:val="000000" w:themeColor="text1"/>
          <w:szCs w:val="21"/>
          <w14:textFill>
            <w14:solidFill>
              <w14:schemeClr w14:val="tx1"/>
            </w14:solidFill>
          </w14:textFill>
        </w:rPr>
      </w:pPr>
      <w:r>
        <w:rPr>
          <w:color w:val="000000" w:themeColor="text1"/>
          <w:szCs w:val="21"/>
          <w14:textFill>
            <w14:solidFill>
              <w14:schemeClr w14:val="tx1"/>
            </w14:solidFill>
          </w14:textFill>
        </w:rPr>
        <w:t>项目评价因子</w:t>
      </w:r>
    </w:p>
    <w:tbl>
      <w:tblPr>
        <w:tblStyle w:val="88"/>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19"/>
        <w:gridCol w:w="617"/>
        <w:gridCol w:w="565"/>
        <w:gridCol w:w="6612"/>
      </w:tblGrid>
      <w:tr w14:paraId="402136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tcBorders>
              <w:top w:val="single" w:color="auto" w:sz="12" w:space="0"/>
            </w:tcBorders>
            <w:vAlign w:val="center"/>
          </w:tcPr>
          <w:p w14:paraId="64347CB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371" w:type="pct"/>
            <w:tcBorders>
              <w:top w:val="single" w:color="auto" w:sz="12" w:space="0"/>
            </w:tcBorders>
            <w:vAlign w:val="center"/>
          </w:tcPr>
          <w:p w14:paraId="4CA129DC">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环境</w:t>
            </w:r>
          </w:p>
          <w:p w14:paraId="5DCFAB4C">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要素</w:t>
            </w:r>
          </w:p>
        </w:tc>
        <w:tc>
          <w:tcPr>
            <w:tcW w:w="340" w:type="pct"/>
            <w:tcBorders>
              <w:top w:val="single" w:color="auto" w:sz="12" w:space="0"/>
            </w:tcBorders>
            <w:vAlign w:val="center"/>
          </w:tcPr>
          <w:p w14:paraId="02EB5C4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评价专题</w:t>
            </w:r>
          </w:p>
        </w:tc>
        <w:tc>
          <w:tcPr>
            <w:tcW w:w="3977" w:type="pct"/>
            <w:tcBorders>
              <w:top w:val="single" w:color="auto" w:sz="12" w:space="0"/>
            </w:tcBorders>
            <w:vAlign w:val="center"/>
          </w:tcPr>
          <w:p w14:paraId="1A40B9B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评价因子</w:t>
            </w:r>
          </w:p>
        </w:tc>
      </w:tr>
      <w:tr w14:paraId="3A092C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vMerge w:val="restart"/>
            <w:vAlign w:val="center"/>
          </w:tcPr>
          <w:p w14:paraId="5530587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371" w:type="pct"/>
            <w:vMerge w:val="restart"/>
            <w:vAlign w:val="center"/>
          </w:tcPr>
          <w:p w14:paraId="3ABDD72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大气环境</w:t>
            </w:r>
          </w:p>
        </w:tc>
        <w:tc>
          <w:tcPr>
            <w:tcW w:w="340" w:type="pct"/>
            <w:vAlign w:val="center"/>
          </w:tcPr>
          <w:p w14:paraId="1FF3761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现状评价</w:t>
            </w:r>
          </w:p>
        </w:tc>
        <w:tc>
          <w:tcPr>
            <w:tcW w:w="3977" w:type="pct"/>
            <w:vAlign w:val="center"/>
          </w:tcPr>
          <w:p w14:paraId="5A062D6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r>
              <w:rPr>
                <w:color w:val="000000" w:themeColor="text1"/>
                <w:szCs w:val="21"/>
                <w14:textFill>
                  <w14:solidFill>
                    <w14:schemeClr w14:val="tx1"/>
                  </w14:solidFill>
                </w14:textFill>
              </w:rPr>
              <w:t>、NO</w:t>
            </w:r>
            <w:r>
              <w:rPr>
                <w:color w:val="000000" w:themeColor="text1"/>
                <w:szCs w:val="21"/>
                <w:vertAlign w:val="subscript"/>
                <w14:textFill>
                  <w14:solidFill>
                    <w14:schemeClr w14:val="tx1"/>
                  </w14:solidFill>
                </w14:textFill>
              </w:rPr>
              <w:t>2</w:t>
            </w: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10</w:t>
            </w: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2.5</w:t>
            </w:r>
            <w:r>
              <w:rPr>
                <w:color w:val="000000" w:themeColor="text1"/>
                <w:szCs w:val="21"/>
                <w14:textFill>
                  <w14:solidFill>
                    <w14:schemeClr w14:val="tx1"/>
                  </w14:solidFill>
                </w14:textFill>
              </w:rPr>
              <w:t>、CO、O</w:t>
            </w:r>
            <w:r>
              <w:rPr>
                <w:color w:val="000000" w:themeColor="text1"/>
                <w:szCs w:val="21"/>
                <w:vertAlign w:val="subscript"/>
                <w14:textFill>
                  <w14:solidFill>
                    <w14:schemeClr w14:val="tx1"/>
                  </w14:solidFill>
                </w14:textFill>
              </w:rPr>
              <w:t>3</w:t>
            </w:r>
            <w:r>
              <w:rPr>
                <w:color w:val="000000" w:themeColor="text1"/>
                <w:szCs w:val="21"/>
                <w14:textFill>
                  <w14:solidFill>
                    <w14:schemeClr w14:val="tx1"/>
                  </w14:solidFill>
                </w14:textFill>
              </w:rPr>
              <w:t>、H</w:t>
            </w:r>
            <w:r>
              <w:rPr>
                <w:color w:val="000000" w:themeColor="text1"/>
                <w:szCs w:val="21"/>
                <w:vertAlign w:val="subscript"/>
                <w14:textFill>
                  <w14:solidFill>
                    <w14:schemeClr w14:val="tx1"/>
                  </w14:solidFill>
                </w14:textFill>
              </w:rPr>
              <w:t>2</w:t>
            </w:r>
            <w:r>
              <w:rPr>
                <w:color w:val="000000" w:themeColor="text1"/>
                <w:szCs w:val="21"/>
                <w14:textFill>
                  <w14:solidFill>
                    <w14:schemeClr w14:val="tx1"/>
                  </w14:solidFill>
                </w14:textFill>
              </w:rPr>
              <w:t>S、NH</w:t>
            </w:r>
            <w:r>
              <w:rPr>
                <w:color w:val="000000" w:themeColor="text1"/>
                <w:szCs w:val="21"/>
                <w:vertAlign w:val="subscript"/>
                <w14:textFill>
                  <w14:solidFill>
                    <w14:schemeClr w14:val="tx1"/>
                  </w14:solidFill>
                </w14:textFill>
              </w:rPr>
              <w:t>3</w:t>
            </w:r>
            <w:r>
              <w:rPr>
                <w:color w:val="000000" w:themeColor="text1"/>
                <w:szCs w:val="21"/>
                <w14:textFill>
                  <w14:solidFill>
                    <w14:schemeClr w14:val="tx1"/>
                  </w14:solidFill>
                </w14:textFill>
              </w:rPr>
              <w:t>、臭气浓度、TSP</w:t>
            </w:r>
          </w:p>
        </w:tc>
      </w:tr>
      <w:tr w14:paraId="692C0D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vMerge w:val="continue"/>
            <w:vAlign w:val="center"/>
          </w:tcPr>
          <w:p w14:paraId="0CF4616F">
            <w:pPr>
              <w:jc w:val="center"/>
              <w:rPr>
                <w:color w:val="000000" w:themeColor="text1"/>
                <w:szCs w:val="21"/>
                <w14:textFill>
                  <w14:solidFill>
                    <w14:schemeClr w14:val="tx1"/>
                  </w14:solidFill>
                </w14:textFill>
              </w:rPr>
            </w:pPr>
          </w:p>
        </w:tc>
        <w:tc>
          <w:tcPr>
            <w:tcW w:w="371" w:type="pct"/>
            <w:vMerge w:val="continue"/>
            <w:vAlign w:val="center"/>
          </w:tcPr>
          <w:p w14:paraId="164A974C">
            <w:pPr>
              <w:jc w:val="center"/>
              <w:rPr>
                <w:color w:val="000000" w:themeColor="text1"/>
                <w:szCs w:val="21"/>
                <w14:textFill>
                  <w14:solidFill>
                    <w14:schemeClr w14:val="tx1"/>
                  </w14:solidFill>
                </w14:textFill>
              </w:rPr>
            </w:pPr>
          </w:p>
        </w:tc>
        <w:tc>
          <w:tcPr>
            <w:tcW w:w="340" w:type="pct"/>
            <w:vAlign w:val="center"/>
          </w:tcPr>
          <w:p w14:paraId="469B0C63">
            <w:pPr>
              <w:jc w:val="center"/>
              <w:rPr>
                <w:color w:val="000000" w:themeColor="text1"/>
                <w:szCs w:val="21"/>
                <w14:textFill>
                  <w14:solidFill>
                    <w14:schemeClr w14:val="tx1"/>
                  </w14:solidFill>
                </w14:textFill>
              </w:rPr>
            </w:pPr>
            <w:bookmarkStart w:id="98" w:name="OLE_LINK32"/>
            <w:bookmarkStart w:id="99" w:name="OLE_LINK33"/>
            <w:r>
              <w:rPr>
                <w:color w:val="000000" w:themeColor="text1"/>
                <w:szCs w:val="21"/>
                <w14:textFill>
                  <w14:solidFill>
                    <w14:schemeClr w14:val="tx1"/>
                  </w14:solidFill>
                </w14:textFill>
              </w:rPr>
              <w:t>影响评价</w:t>
            </w:r>
            <w:bookmarkEnd w:id="98"/>
            <w:bookmarkEnd w:id="99"/>
          </w:p>
        </w:tc>
        <w:tc>
          <w:tcPr>
            <w:tcW w:w="3977" w:type="pct"/>
            <w:vAlign w:val="center"/>
          </w:tcPr>
          <w:p w14:paraId="4536FA4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TSP、H</w:t>
            </w:r>
            <w:r>
              <w:rPr>
                <w:color w:val="000000" w:themeColor="text1"/>
                <w:szCs w:val="21"/>
                <w:vertAlign w:val="subscript"/>
                <w14:textFill>
                  <w14:solidFill>
                    <w14:schemeClr w14:val="tx1"/>
                  </w14:solidFill>
                </w14:textFill>
              </w:rPr>
              <w:t>2</w:t>
            </w:r>
            <w:r>
              <w:rPr>
                <w:color w:val="000000" w:themeColor="text1"/>
                <w:szCs w:val="21"/>
                <w14:textFill>
                  <w14:solidFill>
                    <w14:schemeClr w14:val="tx1"/>
                  </w14:solidFill>
                </w14:textFill>
              </w:rPr>
              <w:t>S、NH</w:t>
            </w:r>
            <w:r>
              <w:rPr>
                <w:color w:val="000000" w:themeColor="text1"/>
                <w:szCs w:val="21"/>
                <w:vertAlign w:val="subscript"/>
                <w14:textFill>
                  <w14:solidFill>
                    <w14:schemeClr w14:val="tx1"/>
                  </w14:solidFill>
                </w14:textFill>
              </w:rPr>
              <w:t>3</w:t>
            </w:r>
            <w:r>
              <w:rPr>
                <w:color w:val="000000" w:themeColor="text1"/>
                <w:szCs w:val="21"/>
                <w14:textFill>
                  <w14:solidFill>
                    <w14:schemeClr w14:val="tx1"/>
                  </w14:solidFill>
                </w14:textFill>
              </w:rPr>
              <w:t>、臭气浓度</w:t>
            </w:r>
          </w:p>
        </w:tc>
      </w:tr>
      <w:tr w14:paraId="70D8EB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vMerge w:val="restart"/>
            <w:vAlign w:val="center"/>
          </w:tcPr>
          <w:p w14:paraId="5A191D3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371" w:type="pct"/>
            <w:vMerge w:val="restart"/>
            <w:vAlign w:val="center"/>
          </w:tcPr>
          <w:p w14:paraId="1082172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地表水环境</w:t>
            </w:r>
          </w:p>
        </w:tc>
        <w:tc>
          <w:tcPr>
            <w:tcW w:w="340" w:type="pct"/>
            <w:vAlign w:val="center"/>
          </w:tcPr>
          <w:p w14:paraId="69BFF78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现状评价</w:t>
            </w:r>
          </w:p>
        </w:tc>
        <w:tc>
          <w:tcPr>
            <w:tcW w:w="3977" w:type="pct"/>
            <w:vAlign w:val="center"/>
          </w:tcPr>
          <w:p w14:paraId="0488029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pH、氨氮、总磷、总氮、COD、BOD</w:t>
            </w:r>
            <w:r>
              <w:rPr>
                <w:color w:val="000000" w:themeColor="text1"/>
                <w:szCs w:val="21"/>
                <w:vertAlign w:val="subscript"/>
                <w14:textFill>
                  <w14:solidFill>
                    <w14:schemeClr w14:val="tx1"/>
                  </w14:solidFill>
                </w14:textFill>
              </w:rPr>
              <w:t>5</w:t>
            </w:r>
            <w:r>
              <w:rPr>
                <w:color w:val="000000" w:themeColor="text1"/>
                <w:szCs w:val="21"/>
                <w14:textFill>
                  <w14:solidFill>
                    <w14:schemeClr w14:val="tx1"/>
                  </w14:solidFill>
                </w14:textFill>
              </w:rPr>
              <w:t>、动植物油、SS、粪大肠菌群、阴离子表面活性剂</w:t>
            </w:r>
          </w:p>
        </w:tc>
      </w:tr>
      <w:tr w14:paraId="12E0BE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vMerge w:val="continue"/>
            <w:vAlign w:val="center"/>
          </w:tcPr>
          <w:p w14:paraId="4CC4A74C">
            <w:pPr>
              <w:jc w:val="center"/>
              <w:rPr>
                <w:color w:val="000000" w:themeColor="text1"/>
                <w:szCs w:val="21"/>
                <w14:textFill>
                  <w14:solidFill>
                    <w14:schemeClr w14:val="tx1"/>
                  </w14:solidFill>
                </w14:textFill>
              </w:rPr>
            </w:pPr>
          </w:p>
        </w:tc>
        <w:tc>
          <w:tcPr>
            <w:tcW w:w="371" w:type="pct"/>
            <w:vMerge w:val="continue"/>
            <w:vAlign w:val="center"/>
          </w:tcPr>
          <w:p w14:paraId="2F52F470">
            <w:pPr>
              <w:jc w:val="center"/>
              <w:rPr>
                <w:color w:val="000000" w:themeColor="text1"/>
                <w:szCs w:val="21"/>
                <w14:textFill>
                  <w14:solidFill>
                    <w14:schemeClr w14:val="tx1"/>
                  </w14:solidFill>
                </w14:textFill>
              </w:rPr>
            </w:pPr>
          </w:p>
        </w:tc>
        <w:tc>
          <w:tcPr>
            <w:tcW w:w="340" w:type="pct"/>
            <w:vAlign w:val="center"/>
          </w:tcPr>
          <w:p w14:paraId="1C7840C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影响评价</w:t>
            </w:r>
          </w:p>
        </w:tc>
        <w:tc>
          <w:tcPr>
            <w:tcW w:w="3977" w:type="pct"/>
            <w:vAlign w:val="center"/>
          </w:tcPr>
          <w:p w14:paraId="4C5924A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废水不外排</w:t>
            </w:r>
          </w:p>
        </w:tc>
      </w:tr>
      <w:tr w14:paraId="1C5AA7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vMerge w:val="restart"/>
            <w:vAlign w:val="center"/>
          </w:tcPr>
          <w:p w14:paraId="52F0F49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371" w:type="pct"/>
            <w:vMerge w:val="restart"/>
            <w:vAlign w:val="center"/>
          </w:tcPr>
          <w:p w14:paraId="00E56C8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地下水环境</w:t>
            </w:r>
          </w:p>
        </w:tc>
        <w:tc>
          <w:tcPr>
            <w:tcW w:w="340" w:type="pct"/>
            <w:vAlign w:val="center"/>
          </w:tcPr>
          <w:p w14:paraId="7C80443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现状评价</w:t>
            </w:r>
          </w:p>
        </w:tc>
        <w:tc>
          <w:tcPr>
            <w:tcW w:w="3977" w:type="pct"/>
            <w:vAlign w:val="center"/>
          </w:tcPr>
          <w:p w14:paraId="5FC4CF89">
            <w:pPr>
              <w:jc w:val="center"/>
              <w:rPr>
                <w:color w:val="000000" w:themeColor="text1"/>
                <w:szCs w:val="21"/>
                <w14:textFill>
                  <w14:solidFill>
                    <w14:schemeClr w14:val="tx1"/>
                  </w14:solidFill>
                </w14:textFill>
              </w:rPr>
            </w:pPr>
            <w:r>
              <w:rPr>
                <w:szCs w:val="21"/>
              </w:rPr>
              <w:t>pH、耗氧量、溶解性总固体、总硬度、碳酸根、重碳酸根、氨氮、铬（六价）、挥发酚、氰化物、氟化物（氟离子）、氯化物（氯离子）、亚硝酸盐氮（亚硝酸根）、硝酸根（硝酸盐氮）、硫酸盐（硫酸根）、钾、钠、钙、镁、铁、锰、铅、镉、汞、砷、总大肠菌群、细菌总数、粪大肠菌群、阴离子表面活性剂</w:t>
            </w:r>
          </w:p>
        </w:tc>
      </w:tr>
      <w:tr w14:paraId="377187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vMerge w:val="continue"/>
            <w:vAlign w:val="center"/>
          </w:tcPr>
          <w:p w14:paraId="5CE994FA">
            <w:pPr>
              <w:jc w:val="center"/>
              <w:rPr>
                <w:color w:val="000000" w:themeColor="text1"/>
                <w:szCs w:val="21"/>
                <w14:textFill>
                  <w14:solidFill>
                    <w14:schemeClr w14:val="tx1"/>
                  </w14:solidFill>
                </w14:textFill>
              </w:rPr>
            </w:pPr>
          </w:p>
        </w:tc>
        <w:tc>
          <w:tcPr>
            <w:tcW w:w="371" w:type="pct"/>
            <w:vMerge w:val="continue"/>
            <w:vAlign w:val="center"/>
          </w:tcPr>
          <w:p w14:paraId="08051F27">
            <w:pPr>
              <w:jc w:val="center"/>
              <w:rPr>
                <w:color w:val="000000" w:themeColor="text1"/>
                <w:szCs w:val="21"/>
                <w14:textFill>
                  <w14:solidFill>
                    <w14:schemeClr w14:val="tx1"/>
                  </w14:solidFill>
                </w14:textFill>
              </w:rPr>
            </w:pPr>
          </w:p>
        </w:tc>
        <w:tc>
          <w:tcPr>
            <w:tcW w:w="340" w:type="pct"/>
            <w:vAlign w:val="center"/>
          </w:tcPr>
          <w:p w14:paraId="4788D6F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影响评价</w:t>
            </w:r>
          </w:p>
        </w:tc>
        <w:tc>
          <w:tcPr>
            <w:tcW w:w="3977" w:type="pct"/>
            <w:vAlign w:val="center"/>
          </w:tcPr>
          <w:p w14:paraId="67AB734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氨氮、耗氧量</w:t>
            </w:r>
          </w:p>
        </w:tc>
      </w:tr>
      <w:tr w14:paraId="3C1495C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vAlign w:val="center"/>
          </w:tcPr>
          <w:p w14:paraId="195FF35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371" w:type="pct"/>
            <w:vAlign w:val="center"/>
          </w:tcPr>
          <w:p w14:paraId="1106C85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土壤</w:t>
            </w:r>
          </w:p>
          <w:p w14:paraId="4C41725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w:t>
            </w:r>
          </w:p>
        </w:tc>
        <w:tc>
          <w:tcPr>
            <w:tcW w:w="340" w:type="pct"/>
            <w:vAlign w:val="center"/>
          </w:tcPr>
          <w:p w14:paraId="05CD978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现状评价</w:t>
            </w:r>
          </w:p>
        </w:tc>
        <w:tc>
          <w:tcPr>
            <w:tcW w:w="3977" w:type="pct"/>
            <w:vAlign w:val="center"/>
          </w:tcPr>
          <w:p w14:paraId="3B3A0668">
            <w:pPr>
              <w:autoSpaceDE w:val="0"/>
              <w:autoSpaceDN w:val="0"/>
              <w:adjustRightInd w:val="0"/>
              <w:jc w:val="center"/>
              <w:rPr>
                <w:color w:val="000000" w:themeColor="text1"/>
                <w:szCs w:val="21"/>
                <w14:textFill>
                  <w14:solidFill>
                    <w14:schemeClr w14:val="tx1"/>
                  </w14:solidFill>
                </w14:textFill>
              </w:rPr>
            </w:pPr>
            <w:r>
              <w:rPr>
                <w:color w:val="FF0000"/>
                <w:szCs w:val="21"/>
              </w:rPr>
              <w:t>pH、</w:t>
            </w:r>
            <w:r>
              <w:rPr>
                <w:bCs/>
                <w:color w:val="FF0000"/>
                <w:szCs w:val="21"/>
              </w:rPr>
              <w:t>砷、镉、汞、铅、铬、铜、镍、锌、</w:t>
            </w:r>
            <w:r>
              <w:rPr>
                <w:color w:val="FF0000"/>
                <w:szCs w:val="21"/>
              </w:rPr>
              <w:t>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h]蒽、茚并[1，2，3-cd]芘、萘、石油烃（C</w:t>
            </w:r>
            <w:r>
              <w:rPr>
                <w:color w:val="FF0000"/>
                <w:szCs w:val="21"/>
                <w:vertAlign w:val="subscript"/>
              </w:rPr>
              <w:t>10</w:t>
            </w:r>
            <w:r>
              <w:rPr>
                <w:color w:val="FF0000"/>
                <w:szCs w:val="21"/>
              </w:rPr>
              <w:t>-C</w:t>
            </w:r>
            <w:r>
              <w:rPr>
                <w:color w:val="FF0000"/>
                <w:szCs w:val="21"/>
                <w:vertAlign w:val="subscript"/>
              </w:rPr>
              <w:t>40</w:t>
            </w:r>
            <w:r>
              <w:rPr>
                <w:color w:val="FF0000"/>
                <w:szCs w:val="21"/>
              </w:rPr>
              <w:t>）。</w:t>
            </w:r>
          </w:p>
        </w:tc>
      </w:tr>
      <w:tr w14:paraId="6F5334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vMerge w:val="restart"/>
            <w:vAlign w:val="center"/>
          </w:tcPr>
          <w:p w14:paraId="7CC1DC0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371" w:type="pct"/>
            <w:vMerge w:val="restart"/>
            <w:vAlign w:val="center"/>
          </w:tcPr>
          <w:p w14:paraId="3422433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声环境</w:t>
            </w:r>
          </w:p>
        </w:tc>
        <w:tc>
          <w:tcPr>
            <w:tcW w:w="340" w:type="pct"/>
            <w:vAlign w:val="center"/>
          </w:tcPr>
          <w:p w14:paraId="2178A26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现状评价</w:t>
            </w:r>
          </w:p>
        </w:tc>
        <w:tc>
          <w:tcPr>
            <w:tcW w:w="3977" w:type="pct"/>
            <w:vAlign w:val="center"/>
          </w:tcPr>
          <w:p w14:paraId="2BFBA0C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声环境等效连续A声级</w:t>
            </w:r>
          </w:p>
        </w:tc>
      </w:tr>
      <w:tr w14:paraId="3E0E5C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312" w:type="pct"/>
            <w:vMerge w:val="continue"/>
            <w:tcBorders>
              <w:bottom w:val="single" w:color="auto" w:sz="12" w:space="0"/>
            </w:tcBorders>
            <w:vAlign w:val="center"/>
          </w:tcPr>
          <w:p w14:paraId="65FFCC8E">
            <w:pPr>
              <w:jc w:val="center"/>
              <w:rPr>
                <w:color w:val="000000" w:themeColor="text1"/>
                <w:szCs w:val="21"/>
                <w14:textFill>
                  <w14:solidFill>
                    <w14:schemeClr w14:val="tx1"/>
                  </w14:solidFill>
                </w14:textFill>
              </w:rPr>
            </w:pPr>
          </w:p>
        </w:tc>
        <w:tc>
          <w:tcPr>
            <w:tcW w:w="371" w:type="pct"/>
            <w:vMerge w:val="continue"/>
            <w:tcBorders>
              <w:bottom w:val="single" w:color="auto" w:sz="12" w:space="0"/>
            </w:tcBorders>
            <w:vAlign w:val="center"/>
          </w:tcPr>
          <w:p w14:paraId="21573F86">
            <w:pPr>
              <w:jc w:val="center"/>
              <w:rPr>
                <w:color w:val="000000" w:themeColor="text1"/>
                <w:szCs w:val="21"/>
                <w14:textFill>
                  <w14:solidFill>
                    <w14:schemeClr w14:val="tx1"/>
                  </w14:solidFill>
                </w14:textFill>
              </w:rPr>
            </w:pPr>
          </w:p>
        </w:tc>
        <w:tc>
          <w:tcPr>
            <w:tcW w:w="340" w:type="pct"/>
            <w:tcBorders>
              <w:bottom w:val="single" w:color="auto" w:sz="12" w:space="0"/>
            </w:tcBorders>
            <w:vAlign w:val="center"/>
          </w:tcPr>
          <w:p w14:paraId="2B2CCCA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影响评价</w:t>
            </w:r>
          </w:p>
        </w:tc>
        <w:tc>
          <w:tcPr>
            <w:tcW w:w="3977" w:type="pct"/>
            <w:tcBorders>
              <w:bottom w:val="single" w:color="auto" w:sz="12" w:space="0"/>
            </w:tcBorders>
            <w:vAlign w:val="center"/>
          </w:tcPr>
          <w:p w14:paraId="70B3D56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厂界噪声等效连续A声级</w:t>
            </w:r>
          </w:p>
        </w:tc>
      </w:tr>
    </w:tbl>
    <w:p w14:paraId="47FBDE05">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00" w:name="_Toc233380116"/>
      <w:bookmarkStart w:id="101" w:name="_Toc205719455"/>
      <w:bookmarkStart w:id="102" w:name="_Toc240951698"/>
      <w:bookmarkStart w:id="103" w:name="_Toc205713665"/>
      <w:bookmarkStart w:id="104" w:name="_Toc178053601"/>
      <w:bookmarkStart w:id="105" w:name="_Toc9238"/>
      <w:bookmarkStart w:id="106" w:name="_Toc520469036"/>
      <w:bookmarkStart w:id="107" w:name="_Toc205719708"/>
      <w:bookmarkStart w:id="108" w:name="_Toc413883050"/>
      <w:bookmarkStart w:id="109" w:name="_Toc40220650"/>
      <w:bookmarkStart w:id="110" w:name="_Toc174763767"/>
      <w:bookmarkStart w:id="111" w:name="_Toc40220646"/>
      <w:bookmarkStart w:id="112" w:name="_Toc520469035"/>
      <w:r>
        <w:rPr>
          <w:rFonts w:ascii="Times New Roman" w:hAnsi="Times New Roman" w:eastAsia="宋体"/>
          <w:color w:val="000000" w:themeColor="text1"/>
          <w:sz w:val="30"/>
          <w:szCs w:val="30"/>
          <w14:textFill>
            <w14:solidFill>
              <w14:schemeClr w14:val="tx1"/>
            </w14:solidFill>
          </w14:textFill>
        </w:rPr>
        <w:t>2.4评价工作等级</w:t>
      </w:r>
      <w:bookmarkEnd w:id="100"/>
      <w:bookmarkEnd w:id="101"/>
      <w:bookmarkEnd w:id="102"/>
      <w:bookmarkEnd w:id="103"/>
      <w:bookmarkEnd w:id="104"/>
      <w:bookmarkEnd w:id="105"/>
      <w:bookmarkEnd w:id="106"/>
      <w:bookmarkEnd w:id="107"/>
      <w:bookmarkEnd w:id="108"/>
      <w:bookmarkEnd w:id="109"/>
      <w:bookmarkEnd w:id="110"/>
    </w:p>
    <w:p w14:paraId="2481304C">
      <w:pPr>
        <w:pStyle w:val="752"/>
        <w:rPr>
          <w:rFonts w:cs="Times New Roman"/>
          <w:color w:val="000000" w:themeColor="text1"/>
          <w14:textFill>
            <w14:solidFill>
              <w14:schemeClr w14:val="tx1"/>
            </w14:solidFill>
          </w14:textFill>
        </w:rPr>
      </w:pPr>
      <w:bookmarkStart w:id="113" w:name="_Toc21867_WPSOffice_Level3"/>
      <w:bookmarkStart w:id="114" w:name="_Toc40220651"/>
      <w:bookmarkStart w:id="115" w:name="_Toc233380117"/>
      <w:bookmarkStart w:id="116" w:name="_Toc22678"/>
      <w:bookmarkStart w:id="117" w:name="_Toc12916"/>
      <w:bookmarkStart w:id="118" w:name="_Toc27751089"/>
      <w:bookmarkStart w:id="119" w:name="_Toc21529544"/>
      <w:bookmarkStart w:id="120" w:name="_Toc28814573"/>
      <w:bookmarkStart w:id="121" w:name="_Toc1407_WPSOffice_Level3"/>
      <w:bookmarkStart w:id="122" w:name="_Toc174763769"/>
      <w:bookmarkStart w:id="123" w:name="_Toc178053603"/>
      <w:r>
        <w:rPr>
          <w:rFonts w:cs="Times New Roman"/>
          <w:color w:val="000000" w:themeColor="text1"/>
          <w14:textFill>
            <w14:solidFill>
              <w14:schemeClr w14:val="tx1"/>
            </w14:solidFill>
          </w14:textFill>
        </w:rPr>
        <w:t>2.4.1大气环境评价</w:t>
      </w:r>
      <w:bookmarkEnd w:id="113"/>
      <w:bookmarkEnd w:id="114"/>
      <w:bookmarkEnd w:id="115"/>
      <w:bookmarkEnd w:id="116"/>
      <w:bookmarkEnd w:id="117"/>
      <w:bookmarkEnd w:id="118"/>
      <w:bookmarkEnd w:id="119"/>
      <w:bookmarkEnd w:id="120"/>
      <w:bookmarkEnd w:id="121"/>
      <w:r>
        <w:rPr>
          <w:rFonts w:hint="eastAsia" w:cs="Times New Roman"/>
          <w:color w:val="000000" w:themeColor="text1"/>
          <w14:textFill>
            <w14:solidFill>
              <w14:schemeClr w14:val="tx1"/>
            </w14:solidFill>
          </w14:textFill>
        </w:rPr>
        <w:t>等级</w:t>
      </w:r>
    </w:p>
    <w:p w14:paraId="0B269C38">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判定依据</w:t>
      </w:r>
    </w:p>
    <w:p w14:paraId="6343C431">
      <w:pPr>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本次环评选择项目污染源正常排放的主要污染物及参数，采用《环境影响评价技术导则 大气环境》（HJ2.2-2018）附录A推荐模型中估算模型分别计算项目污染源的最大环境影响，然后按评价工作分级判据进行分级。根据项目污染源初步调查结果，选择项目污染源正常排放的颗粒物（T</w:t>
      </w:r>
      <w:r>
        <w:rPr>
          <w:color w:val="000000" w:themeColor="text1"/>
          <w:sz w:val="24"/>
          <w14:textFill>
            <w14:solidFill>
              <w14:schemeClr w14:val="tx1"/>
            </w14:solidFill>
          </w14:textFill>
        </w:rPr>
        <w:t>SP</w:t>
      </w:r>
      <w:r>
        <w:rPr>
          <w:rFonts w:hint="eastAsia"/>
          <w:color w:val="000000" w:themeColor="text1"/>
          <w:sz w:val="24"/>
          <w14:textFill>
            <w14:solidFill>
              <w14:schemeClr w14:val="tx1"/>
            </w14:solidFill>
          </w14:textFill>
        </w:rPr>
        <w:t>）、氨（</w:t>
      </w:r>
      <w:r>
        <w:rPr>
          <w:color w:val="000000" w:themeColor="text1"/>
          <w:sz w:val="24"/>
          <w14:textFill>
            <w14:solidFill>
              <w14:schemeClr w14:val="tx1"/>
            </w14:solidFill>
          </w14:textFill>
        </w:rPr>
        <w:t>NH</w:t>
      </w:r>
      <w:r>
        <w:rPr>
          <w:color w:val="000000" w:themeColor="text1"/>
          <w:sz w:val="24"/>
          <w:vertAlign w:val="subscript"/>
          <w14:textFill>
            <w14:solidFill>
              <w14:schemeClr w14:val="tx1"/>
            </w14:solidFill>
          </w14:textFill>
        </w:rPr>
        <w:t>3</w:t>
      </w:r>
      <w:r>
        <w:rPr>
          <w:rFonts w:hint="eastAsia"/>
          <w:color w:val="000000" w:themeColor="text1"/>
          <w:sz w:val="24"/>
          <w14:textFill>
            <w14:solidFill>
              <w14:schemeClr w14:val="tx1"/>
            </w14:solidFill>
          </w14:textFill>
        </w:rPr>
        <w:t>）、硫化氢（</w:t>
      </w:r>
      <w:r>
        <w:rPr>
          <w:color w:val="000000" w:themeColor="text1"/>
          <w:sz w:val="24"/>
          <w14:textFill>
            <w14:solidFill>
              <w14:schemeClr w14:val="tx1"/>
            </w14:solidFill>
          </w14:textFill>
        </w:rPr>
        <w:t>H</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S</w:t>
      </w:r>
      <w:r>
        <w:rPr>
          <w:rFonts w:hint="eastAsia"/>
          <w:color w:val="000000" w:themeColor="text1"/>
          <w:sz w:val="24"/>
          <w14:textFill>
            <w14:solidFill>
              <w14:schemeClr w14:val="tx1"/>
            </w14:solidFill>
          </w14:textFill>
        </w:rPr>
        <w:t>）为主要污染物，</w:t>
      </w:r>
      <w:r>
        <w:rPr>
          <w:color w:val="000000" w:themeColor="text1"/>
          <w:sz w:val="24"/>
          <w14:textFill>
            <w14:solidFill>
              <w14:schemeClr w14:val="tx1"/>
            </w14:solidFill>
          </w14:textFill>
        </w:rPr>
        <w:t>分别计算项目排放主要污染物的最大地面</w:t>
      </w:r>
      <w:r>
        <w:rPr>
          <w:rFonts w:hint="eastAsia"/>
          <w:color w:val="000000" w:themeColor="text1"/>
          <w:sz w:val="24"/>
          <w14:textFill>
            <w14:solidFill>
              <w14:schemeClr w14:val="tx1"/>
            </w14:solidFill>
          </w14:textFill>
        </w:rPr>
        <w:t>空气质量</w:t>
      </w:r>
      <w:r>
        <w:rPr>
          <w:color w:val="000000" w:themeColor="text1"/>
          <w:sz w:val="24"/>
          <w14:textFill>
            <w14:solidFill>
              <w14:schemeClr w14:val="tx1"/>
            </w14:solidFill>
          </w14:textFill>
        </w:rPr>
        <w:t>浓度</w:t>
      </w:r>
      <w:r>
        <w:rPr>
          <w:rFonts w:hint="eastAsia"/>
          <w:color w:val="000000" w:themeColor="text1"/>
          <w:sz w:val="24"/>
          <w14:textFill>
            <w14:solidFill>
              <w14:schemeClr w14:val="tx1"/>
            </w14:solidFill>
          </w14:textFill>
        </w:rPr>
        <w:t>占标率</w:t>
      </w:r>
      <w:r>
        <w:rPr>
          <w:i/>
          <w:color w:val="000000" w:themeColor="text1"/>
          <w:sz w:val="24"/>
          <w14:textFill>
            <w14:solidFill>
              <w14:schemeClr w14:val="tx1"/>
            </w14:solidFill>
          </w14:textFill>
        </w:rPr>
        <w:t>P</w:t>
      </w:r>
      <w:r>
        <w:rPr>
          <w:i/>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（第</w:t>
      </w:r>
      <w:r>
        <w:rPr>
          <w:i/>
          <w:color w:val="000000" w:themeColor="text1"/>
          <w:sz w:val="24"/>
          <w14:textFill>
            <w14:solidFill>
              <w14:schemeClr w14:val="tx1"/>
            </w14:solidFill>
          </w14:textFill>
        </w:rPr>
        <w:t>i</w:t>
      </w:r>
      <w:r>
        <w:rPr>
          <w:color w:val="000000" w:themeColor="text1"/>
          <w:sz w:val="24"/>
          <w14:textFill>
            <w14:solidFill>
              <w14:schemeClr w14:val="tx1"/>
            </w14:solidFill>
          </w14:textFill>
        </w:rPr>
        <w:t>个污染物，简称“最大浓度占标率”），及第</w:t>
      </w:r>
      <w:r>
        <w:rPr>
          <w:i/>
          <w:color w:val="000000" w:themeColor="text1"/>
          <w:sz w:val="24"/>
          <w14:textFill>
            <w14:solidFill>
              <w14:schemeClr w14:val="tx1"/>
            </w14:solidFill>
          </w14:textFill>
        </w:rPr>
        <w:t>i</w:t>
      </w:r>
      <w:r>
        <w:rPr>
          <w:color w:val="000000" w:themeColor="text1"/>
          <w:sz w:val="24"/>
          <w14:textFill>
            <w14:solidFill>
              <w14:schemeClr w14:val="tx1"/>
            </w14:solidFill>
          </w14:textFill>
        </w:rPr>
        <w:t>个污染物的地面空气质量浓度达到标准值的10%时所对应的最远距离</w:t>
      </w:r>
      <w:r>
        <w:rPr>
          <w:i/>
          <w:color w:val="000000" w:themeColor="text1"/>
          <w:sz w:val="24"/>
          <w14:textFill>
            <w14:solidFill>
              <w14:schemeClr w14:val="tx1"/>
            </w14:solidFill>
          </w14:textFill>
        </w:rPr>
        <w:t>D</w:t>
      </w:r>
      <w:r>
        <w:rPr>
          <w:i/>
          <w:color w:val="000000" w:themeColor="text1"/>
          <w:sz w:val="24"/>
          <w:vertAlign w:val="subscript"/>
          <w14:textFill>
            <w14:solidFill>
              <w14:schemeClr w14:val="tx1"/>
            </w14:solidFill>
          </w14:textFill>
        </w:rPr>
        <w:t>10%</w:t>
      </w:r>
      <w:r>
        <w:rPr>
          <w:color w:val="000000" w:themeColor="text1"/>
          <w:sz w:val="24"/>
          <w14:textFill>
            <w14:solidFill>
              <w14:schemeClr w14:val="tx1"/>
            </w14:solidFill>
          </w14:textFill>
        </w:rPr>
        <w:t>。其中</w:t>
      </w:r>
      <w:r>
        <w:rPr>
          <w:i/>
          <w:color w:val="000000" w:themeColor="text1"/>
          <w:sz w:val="24"/>
          <w14:textFill>
            <w14:solidFill>
              <w14:schemeClr w14:val="tx1"/>
            </w14:solidFill>
          </w14:textFill>
        </w:rPr>
        <w:t>P</w:t>
      </w:r>
      <w:r>
        <w:rPr>
          <w:i/>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定义为：</w:t>
      </w:r>
    </w:p>
    <w:p w14:paraId="39CA8051">
      <w:pPr>
        <w:spacing w:line="360" w:lineRule="auto"/>
        <w:ind w:firstLine="480" w:firstLineChars="200"/>
        <w:jc w:val="center"/>
        <w:rPr>
          <w:color w:val="000000" w:themeColor="text1"/>
          <w:sz w:val="24"/>
          <w14:textFill>
            <w14:solidFill>
              <w14:schemeClr w14:val="tx1"/>
            </w14:solidFill>
          </w14:textFill>
        </w:rPr>
      </w:pPr>
      <w:r>
        <w:rPr>
          <w:color w:val="000000" w:themeColor="text1"/>
          <w:position w:val="-30"/>
          <w:sz w:val="24"/>
          <w14:textFill>
            <w14:solidFill>
              <w14:schemeClr w14:val="tx1"/>
            </w14:solidFill>
          </w14:textFill>
        </w:rPr>
        <w:object>
          <v:shape id="_x0000_i1025" o:spt="75" type="#_x0000_t75" style="height:37.35pt;width:89.35pt;" o:ole="t" filled="f" o:preferrelative="t" stroked="f" coordsize="21600,21600">
            <v:path/>
            <v:fill on="f" focussize="0,0"/>
            <v:stroke on="f" joinstyle="miter"/>
            <v:imagedata r:id="rId34" o:title=""/>
            <o:lock v:ext="edit" aspectratio="t"/>
            <w10:wrap type="none"/>
            <w10:anchorlock/>
          </v:shape>
          <o:OLEObject Type="Embed" ProgID="Equation.3" ShapeID="_x0000_i1025" DrawAspect="Content" ObjectID="_1468075725" r:id="rId33">
            <o:LockedField>false</o:LockedField>
          </o:OLEObject>
        </w:object>
      </w:r>
    </w:p>
    <w:p w14:paraId="28A9683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i/>
          <w:color w:val="000000" w:themeColor="text1"/>
          <w:sz w:val="24"/>
          <w14:textFill>
            <w14:solidFill>
              <w14:schemeClr w14:val="tx1"/>
            </w14:solidFill>
          </w14:textFill>
        </w:rPr>
        <w:t>P</w:t>
      </w:r>
      <w:r>
        <w:rPr>
          <w:i/>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——第</w:t>
      </w:r>
      <w:r>
        <w:rPr>
          <w:i/>
          <w:color w:val="000000" w:themeColor="text1"/>
          <w:sz w:val="24"/>
          <w14:textFill>
            <w14:solidFill>
              <w14:schemeClr w14:val="tx1"/>
            </w14:solidFill>
          </w14:textFill>
        </w:rPr>
        <w:t>i</w:t>
      </w:r>
      <w:r>
        <w:rPr>
          <w:color w:val="000000" w:themeColor="text1"/>
          <w:sz w:val="24"/>
          <w14:textFill>
            <w14:solidFill>
              <w14:schemeClr w14:val="tx1"/>
            </w14:solidFill>
          </w14:textFill>
        </w:rPr>
        <w:t>个污染物的最大地面浓度占标率，%；</w:t>
      </w:r>
    </w:p>
    <w:p w14:paraId="060FAFB8">
      <w:pPr>
        <w:spacing w:line="360" w:lineRule="auto"/>
        <w:ind w:firstLine="1200" w:firstLineChars="500"/>
        <w:jc w:val="both"/>
        <w:rPr>
          <w:color w:val="000000" w:themeColor="text1"/>
          <w:sz w:val="24"/>
          <w14:textFill>
            <w14:solidFill>
              <w14:schemeClr w14:val="tx1"/>
            </w14:solidFill>
          </w14:textFill>
        </w:rPr>
      </w:pPr>
      <w:r>
        <w:rPr>
          <w:i/>
          <w:color w:val="000000" w:themeColor="text1"/>
          <w:sz w:val="24"/>
          <w14:textFill>
            <w14:solidFill>
              <w14:schemeClr w14:val="tx1"/>
            </w14:solidFill>
          </w14:textFill>
        </w:rPr>
        <w:t>C</w:t>
      </w:r>
      <w:r>
        <w:rPr>
          <w:i/>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——采用估算模式计算出的第</w:t>
      </w:r>
      <w:r>
        <w:rPr>
          <w:i/>
          <w:color w:val="000000" w:themeColor="text1"/>
          <w:sz w:val="24"/>
          <w14:textFill>
            <w14:solidFill>
              <w14:schemeClr w14:val="tx1"/>
            </w14:solidFill>
          </w14:textFill>
        </w:rPr>
        <w:t>i</w:t>
      </w:r>
      <w:r>
        <w:rPr>
          <w:color w:val="000000" w:themeColor="text1"/>
          <w:sz w:val="24"/>
          <w14:textFill>
            <w14:solidFill>
              <w14:schemeClr w14:val="tx1"/>
            </w14:solidFill>
          </w14:textFill>
        </w:rPr>
        <w:t>个污染物的最大地面浓度，mg/m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p>
    <w:p w14:paraId="09314CEA">
      <w:pPr>
        <w:spacing w:line="360" w:lineRule="auto"/>
        <w:ind w:firstLine="1200" w:firstLineChars="500"/>
        <w:jc w:val="both"/>
        <w:rPr>
          <w:color w:val="000000" w:themeColor="text1"/>
          <w:sz w:val="24"/>
          <w14:textFill>
            <w14:solidFill>
              <w14:schemeClr w14:val="tx1"/>
            </w14:solidFill>
          </w14:textFill>
        </w:rPr>
      </w:pPr>
      <w:r>
        <w:rPr>
          <w:i/>
          <w:color w:val="000000" w:themeColor="text1"/>
          <w:sz w:val="24"/>
          <w14:textFill>
            <w14:solidFill>
              <w14:schemeClr w14:val="tx1"/>
            </w14:solidFill>
          </w14:textFill>
        </w:rPr>
        <w:t>C</w:t>
      </w:r>
      <w:r>
        <w:rPr>
          <w:i/>
          <w:color w:val="000000" w:themeColor="text1"/>
          <w:sz w:val="24"/>
          <w:vertAlign w:val="subscript"/>
          <w14:textFill>
            <w14:solidFill>
              <w14:schemeClr w14:val="tx1"/>
            </w14:solidFill>
          </w14:textFill>
        </w:rPr>
        <w:t>0i</w:t>
      </w:r>
      <w:r>
        <w:rPr>
          <w:color w:val="000000" w:themeColor="text1"/>
          <w:sz w:val="24"/>
          <w14:textFill>
            <w14:solidFill>
              <w14:schemeClr w14:val="tx1"/>
            </w14:solidFill>
          </w14:textFill>
        </w:rPr>
        <w:t>——第</w:t>
      </w:r>
      <w:r>
        <w:rPr>
          <w:i/>
          <w:color w:val="000000" w:themeColor="text1"/>
          <w:sz w:val="24"/>
          <w14:textFill>
            <w14:solidFill>
              <w14:schemeClr w14:val="tx1"/>
            </w14:solidFill>
          </w14:textFill>
        </w:rPr>
        <w:t>i</w:t>
      </w:r>
      <w:r>
        <w:rPr>
          <w:color w:val="000000" w:themeColor="text1"/>
          <w:sz w:val="24"/>
          <w14:textFill>
            <w14:solidFill>
              <w14:schemeClr w14:val="tx1"/>
            </w14:solidFill>
          </w14:textFill>
        </w:rPr>
        <w:t>个污染物的环境空气质量标准，mg/m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一般取GB3095中1h平均质量浓度的二级浓度限值；对该标准中未包含的污染物，可参照附录D中的浓度限值；对仅有8h平均质量浓度限值、日平均质量浓度限值或年平均质量浓度限值的，可分别按2倍、3倍、6倍折算为1h平均质量浓度限值。大气环境影响</w:t>
      </w:r>
      <w:r>
        <w:rPr>
          <w:color w:val="000000" w:themeColor="text1"/>
          <w:sz w:val="24"/>
          <w14:textFill>
            <w14:solidFill>
              <w14:schemeClr w14:val="tx1"/>
            </w14:solidFill>
          </w14:textFill>
        </w:rPr>
        <w:t>评价等级按下表</w:t>
      </w:r>
      <w:r>
        <w:rPr>
          <w:rFonts w:hint="eastAsia"/>
          <w:color w:val="000000" w:themeColor="text1"/>
          <w:sz w:val="24"/>
          <w14:textFill>
            <w14:solidFill>
              <w14:schemeClr w14:val="tx1"/>
            </w14:solidFill>
          </w14:textFill>
        </w:rPr>
        <w:t>的分级判据进行划分。</w:t>
      </w:r>
    </w:p>
    <w:p w14:paraId="57B445CD">
      <w:pPr>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评价等级按下表的分级判据进行划分。如污染物数</w:t>
      </w:r>
      <w:r>
        <w:rPr>
          <w:rFonts w:hint="eastAsia"/>
          <w:i/>
          <w:color w:val="000000" w:themeColor="text1"/>
          <w:sz w:val="24"/>
          <w14:textFill>
            <w14:solidFill>
              <w14:schemeClr w14:val="tx1"/>
            </w14:solidFill>
          </w14:textFill>
        </w:rPr>
        <w:t>i</w:t>
      </w:r>
      <w:r>
        <w:rPr>
          <w:rFonts w:hint="eastAsia"/>
          <w:color w:val="000000" w:themeColor="text1"/>
          <w:sz w:val="24"/>
          <w14:textFill>
            <w14:solidFill>
              <w14:schemeClr w14:val="tx1"/>
            </w14:solidFill>
          </w14:textFill>
        </w:rPr>
        <w:t>大于1，取</w:t>
      </w:r>
      <w:r>
        <w:rPr>
          <w:rFonts w:hint="eastAsia"/>
          <w:i/>
          <w:color w:val="000000" w:themeColor="text1"/>
          <w:sz w:val="24"/>
          <w14:textFill>
            <w14:solidFill>
              <w14:schemeClr w14:val="tx1"/>
            </w14:solidFill>
          </w14:textFill>
        </w:rPr>
        <w:t>P</w:t>
      </w:r>
      <w:r>
        <w:rPr>
          <w:rFonts w:hint="eastAsia"/>
          <w:color w:val="000000" w:themeColor="text1"/>
          <w:sz w:val="24"/>
          <w14:textFill>
            <w14:solidFill>
              <w14:schemeClr w14:val="tx1"/>
            </w14:solidFill>
          </w14:textFill>
        </w:rPr>
        <w:t>值中最大者</w:t>
      </w:r>
      <w:r>
        <w:rPr>
          <w:rFonts w:hint="eastAsia"/>
          <w:i/>
          <w:color w:val="000000" w:themeColor="text1"/>
          <w:sz w:val="24"/>
          <w14:textFill>
            <w14:solidFill>
              <w14:schemeClr w14:val="tx1"/>
            </w14:solidFill>
          </w14:textFill>
        </w:rPr>
        <w:t>P</w:t>
      </w:r>
      <w:r>
        <w:rPr>
          <w:rFonts w:hint="eastAsia"/>
          <w:i/>
          <w:color w:val="000000" w:themeColor="text1"/>
          <w:sz w:val="24"/>
          <w:vertAlign w:val="subscript"/>
          <w14:textFill>
            <w14:solidFill>
              <w14:schemeClr w14:val="tx1"/>
            </w14:solidFill>
          </w14:textFill>
        </w:rPr>
        <w:t>max</w:t>
      </w:r>
      <w:r>
        <w:rPr>
          <w:rFonts w:hint="eastAsia"/>
          <w:color w:val="000000" w:themeColor="text1"/>
          <w:sz w:val="24"/>
          <w14:textFill>
            <w14:solidFill>
              <w14:schemeClr w14:val="tx1"/>
            </w14:solidFill>
          </w14:textFill>
        </w:rPr>
        <w:t>。</w:t>
      </w:r>
    </w:p>
    <w:p w14:paraId="680D8886">
      <w:pPr>
        <w:pStyle w:val="814"/>
        <w:numPr>
          <w:ilvl w:val="0"/>
          <w:numId w:val="22"/>
        </w:numPr>
        <w:snapToGrid w:val="0"/>
        <w:spacing w:line="240" w:lineRule="auto"/>
        <w:rPr>
          <w:b/>
          <w:bCs/>
          <w:color w:val="000000" w:themeColor="text1"/>
          <w14:textFill>
            <w14:solidFill>
              <w14:schemeClr w14:val="tx1"/>
            </w14:solidFill>
          </w14:textFill>
        </w:rPr>
      </w:pPr>
      <w:bookmarkStart w:id="124" w:name="_Toc26090_WPSOffice_Level3"/>
      <w:r>
        <w:rPr>
          <w:b/>
          <w:bCs/>
          <w:color w:val="000000" w:themeColor="text1"/>
          <w14:textFill>
            <w14:solidFill>
              <w14:schemeClr w14:val="tx1"/>
            </w14:solidFill>
          </w14:textFill>
        </w:rPr>
        <w:t>大气环境影响评价</w:t>
      </w:r>
      <w:bookmarkEnd w:id="124"/>
      <w:r>
        <w:rPr>
          <w:rFonts w:hint="eastAsia"/>
          <w:b/>
          <w:bCs/>
          <w:color w:val="000000" w:themeColor="text1"/>
          <w14:textFill>
            <w14:solidFill>
              <w14:schemeClr w14:val="tx1"/>
            </w14:solidFill>
          </w14:textFill>
        </w:rPr>
        <w:t>等级判别表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5536"/>
      </w:tblGrid>
      <w:tr w14:paraId="1F4A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8" w:hRule="atLeast"/>
          <w:jc w:val="center"/>
        </w:trPr>
        <w:tc>
          <w:tcPr>
            <w:tcW w:w="1666" w:type="pct"/>
            <w:tcBorders>
              <w:top w:val="single" w:color="auto" w:sz="12" w:space="0"/>
              <w:left w:val="nil"/>
              <w:bottom w:val="single" w:color="auto" w:sz="4" w:space="0"/>
            </w:tcBorders>
            <w:vAlign w:val="center"/>
          </w:tcPr>
          <w:p w14:paraId="6A3B6C3F">
            <w:pPr>
              <w:tabs>
                <w:tab w:val="left" w:pos="945"/>
                <w:tab w:val="right" w:leader="dot" w:pos="1155"/>
                <w:tab w:val="left" w:pos="8715"/>
              </w:tabs>
              <w:adjustRightInd w:val="0"/>
              <w:snapToGrid w:val="0"/>
              <w:jc w:val="center"/>
              <w:rPr>
                <w:b/>
                <w:snapToGrid w:val="0"/>
                <w:color w:val="000000" w:themeColor="text1"/>
                <w14:textFill>
                  <w14:solidFill>
                    <w14:schemeClr w14:val="tx1"/>
                  </w14:solidFill>
                </w14:textFill>
              </w:rPr>
            </w:pPr>
            <w:r>
              <w:rPr>
                <w:b/>
                <w:snapToGrid w:val="0"/>
                <w:color w:val="000000" w:themeColor="text1"/>
                <w14:textFill>
                  <w14:solidFill>
                    <w14:schemeClr w14:val="tx1"/>
                  </w14:solidFill>
                </w14:textFill>
              </w:rPr>
              <w:t>评价工作等级</w:t>
            </w:r>
          </w:p>
        </w:tc>
        <w:tc>
          <w:tcPr>
            <w:tcW w:w="3334" w:type="pct"/>
            <w:tcBorders>
              <w:top w:val="single" w:color="auto" w:sz="12" w:space="0"/>
              <w:bottom w:val="single" w:color="auto" w:sz="4" w:space="0"/>
              <w:right w:val="nil"/>
            </w:tcBorders>
            <w:vAlign w:val="center"/>
          </w:tcPr>
          <w:p w14:paraId="04B4987D">
            <w:pPr>
              <w:tabs>
                <w:tab w:val="left" w:pos="945"/>
                <w:tab w:val="right" w:leader="dot" w:pos="1155"/>
                <w:tab w:val="left" w:pos="8715"/>
              </w:tabs>
              <w:adjustRightInd w:val="0"/>
              <w:snapToGrid w:val="0"/>
              <w:jc w:val="center"/>
              <w:rPr>
                <w:b/>
                <w:snapToGrid w:val="0"/>
                <w:color w:val="000000" w:themeColor="text1"/>
                <w14:textFill>
                  <w14:solidFill>
                    <w14:schemeClr w14:val="tx1"/>
                  </w14:solidFill>
                </w14:textFill>
              </w:rPr>
            </w:pPr>
            <w:r>
              <w:rPr>
                <w:b/>
                <w:snapToGrid w:val="0"/>
                <w:color w:val="000000" w:themeColor="text1"/>
                <w14:textFill>
                  <w14:solidFill>
                    <w14:schemeClr w14:val="tx1"/>
                  </w14:solidFill>
                </w14:textFill>
              </w:rPr>
              <w:t>评价工作分级判据</w:t>
            </w:r>
          </w:p>
        </w:tc>
      </w:tr>
      <w:tr w14:paraId="6112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666" w:type="pct"/>
            <w:tcBorders>
              <w:top w:val="single" w:color="auto" w:sz="4" w:space="0"/>
              <w:left w:val="nil"/>
            </w:tcBorders>
            <w:vAlign w:val="center"/>
          </w:tcPr>
          <w:p w14:paraId="0CFFAF01">
            <w:pPr>
              <w:tabs>
                <w:tab w:val="left" w:pos="945"/>
                <w:tab w:val="right" w:leader="dot" w:pos="1155"/>
                <w:tab w:val="left" w:pos="8715"/>
              </w:tabs>
              <w:adjustRightInd w:val="0"/>
              <w:snapToGrid w:val="0"/>
              <w:jc w:val="center"/>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一级</w:t>
            </w:r>
            <w:r>
              <w:rPr>
                <w:rFonts w:hint="eastAsia"/>
                <w:snapToGrid w:val="0"/>
                <w:color w:val="000000" w:themeColor="text1"/>
                <w14:textFill>
                  <w14:solidFill>
                    <w14:schemeClr w14:val="tx1"/>
                  </w14:solidFill>
                </w14:textFill>
              </w:rPr>
              <w:t>评价</w:t>
            </w:r>
          </w:p>
        </w:tc>
        <w:tc>
          <w:tcPr>
            <w:tcW w:w="3334" w:type="pct"/>
            <w:tcBorders>
              <w:top w:val="single" w:color="auto" w:sz="4" w:space="0"/>
              <w:right w:val="nil"/>
            </w:tcBorders>
            <w:vAlign w:val="center"/>
          </w:tcPr>
          <w:p w14:paraId="47E96D4A">
            <w:pPr>
              <w:tabs>
                <w:tab w:val="left" w:pos="945"/>
                <w:tab w:val="right" w:leader="dot" w:pos="1155"/>
                <w:tab w:val="left" w:pos="8715"/>
              </w:tabs>
              <w:adjustRightInd w:val="0"/>
              <w:snapToGrid w:val="0"/>
              <w:jc w:val="center"/>
              <w:rPr>
                <w:snapToGrid w:val="0"/>
                <w:color w:val="000000" w:themeColor="text1"/>
                <w14:textFill>
                  <w14:solidFill>
                    <w14:schemeClr w14:val="tx1"/>
                  </w14:solidFill>
                </w14:textFill>
              </w:rPr>
            </w:pPr>
            <w:r>
              <w:rPr>
                <w:i/>
                <w:snapToGrid w:val="0"/>
                <w:color w:val="000000" w:themeColor="text1"/>
                <w14:textFill>
                  <w14:solidFill>
                    <w14:schemeClr w14:val="tx1"/>
                  </w14:solidFill>
                </w14:textFill>
              </w:rPr>
              <w:t>P</w:t>
            </w:r>
            <w:r>
              <w:rPr>
                <w:i/>
                <w:snapToGrid w:val="0"/>
                <w:color w:val="000000" w:themeColor="text1"/>
                <w:vertAlign w:val="subscript"/>
                <w14:textFill>
                  <w14:solidFill>
                    <w14:schemeClr w14:val="tx1"/>
                  </w14:solidFill>
                </w14:textFill>
              </w:rPr>
              <w:t>max</w:t>
            </w:r>
            <w:r>
              <w:rPr>
                <w:snapToGrid w:val="0"/>
                <w:color w:val="000000" w:themeColor="text1"/>
                <w14:textFill>
                  <w14:solidFill>
                    <w14:schemeClr w14:val="tx1"/>
                  </w14:solidFill>
                </w14:textFill>
              </w:rPr>
              <w:t>≥10%</w:t>
            </w:r>
          </w:p>
        </w:tc>
      </w:tr>
      <w:tr w14:paraId="16D5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666" w:type="pct"/>
            <w:tcBorders>
              <w:left w:val="nil"/>
            </w:tcBorders>
            <w:vAlign w:val="center"/>
          </w:tcPr>
          <w:p w14:paraId="1E853807">
            <w:pPr>
              <w:tabs>
                <w:tab w:val="left" w:pos="945"/>
                <w:tab w:val="right" w:leader="dot" w:pos="1155"/>
                <w:tab w:val="left" w:pos="8715"/>
              </w:tabs>
              <w:adjustRightInd w:val="0"/>
              <w:snapToGrid w:val="0"/>
              <w:jc w:val="center"/>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二级</w:t>
            </w:r>
            <w:r>
              <w:rPr>
                <w:rFonts w:hint="eastAsia"/>
                <w:snapToGrid w:val="0"/>
                <w:color w:val="000000" w:themeColor="text1"/>
                <w14:textFill>
                  <w14:solidFill>
                    <w14:schemeClr w14:val="tx1"/>
                  </w14:solidFill>
                </w14:textFill>
              </w:rPr>
              <w:t>评价</w:t>
            </w:r>
          </w:p>
        </w:tc>
        <w:tc>
          <w:tcPr>
            <w:tcW w:w="3334" w:type="pct"/>
            <w:tcBorders>
              <w:right w:val="nil"/>
            </w:tcBorders>
            <w:vAlign w:val="center"/>
          </w:tcPr>
          <w:p w14:paraId="77C33503">
            <w:pPr>
              <w:tabs>
                <w:tab w:val="left" w:pos="945"/>
                <w:tab w:val="right" w:leader="dot" w:pos="1155"/>
                <w:tab w:val="left" w:pos="8715"/>
              </w:tabs>
              <w:adjustRightInd w:val="0"/>
              <w:snapToGrid w:val="0"/>
              <w:jc w:val="center"/>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1%≤</w:t>
            </w:r>
            <w:r>
              <w:rPr>
                <w:i/>
                <w:snapToGrid w:val="0"/>
                <w:color w:val="000000" w:themeColor="text1"/>
                <w14:textFill>
                  <w14:solidFill>
                    <w14:schemeClr w14:val="tx1"/>
                  </w14:solidFill>
                </w14:textFill>
              </w:rPr>
              <w:t>P</w:t>
            </w:r>
            <w:r>
              <w:rPr>
                <w:i/>
                <w:snapToGrid w:val="0"/>
                <w:color w:val="000000" w:themeColor="text1"/>
                <w:vertAlign w:val="subscript"/>
                <w14:textFill>
                  <w14:solidFill>
                    <w14:schemeClr w14:val="tx1"/>
                  </w14:solidFill>
                </w14:textFill>
              </w:rPr>
              <w:t>max</w:t>
            </w:r>
            <w:r>
              <w:rPr>
                <w:snapToGrid w:val="0"/>
                <w:color w:val="000000" w:themeColor="text1"/>
                <w14:textFill>
                  <w14:solidFill>
                    <w14:schemeClr w14:val="tx1"/>
                  </w14:solidFill>
                </w14:textFill>
              </w:rPr>
              <w:t>＜10%</w:t>
            </w:r>
          </w:p>
        </w:tc>
      </w:tr>
      <w:tr w14:paraId="53D0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666" w:type="pct"/>
            <w:tcBorders>
              <w:left w:val="nil"/>
              <w:bottom w:val="single" w:color="auto" w:sz="12" w:space="0"/>
            </w:tcBorders>
            <w:vAlign w:val="center"/>
          </w:tcPr>
          <w:p w14:paraId="1FEB2D90">
            <w:pPr>
              <w:tabs>
                <w:tab w:val="left" w:pos="945"/>
                <w:tab w:val="right" w:leader="dot" w:pos="1155"/>
                <w:tab w:val="left" w:pos="8715"/>
              </w:tabs>
              <w:adjustRightInd w:val="0"/>
              <w:snapToGrid w:val="0"/>
              <w:jc w:val="center"/>
              <w:rPr>
                <w:snapToGrid w:val="0"/>
                <w:color w:val="000000" w:themeColor="text1"/>
                <w14:textFill>
                  <w14:solidFill>
                    <w14:schemeClr w14:val="tx1"/>
                  </w14:solidFill>
                </w14:textFill>
              </w:rPr>
            </w:pPr>
            <w:r>
              <w:rPr>
                <w:snapToGrid w:val="0"/>
                <w:color w:val="000000" w:themeColor="text1"/>
                <w14:textFill>
                  <w14:solidFill>
                    <w14:schemeClr w14:val="tx1"/>
                  </w14:solidFill>
                </w14:textFill>
              </w:rPr>
              <w:t>三级</w:t>
            </w:r>
            <w:r>
              <w:rPr>
                <w:rFonts w:hint="eastAsia"/>
                <w:snapToGrid w:val="0"/>
                <w:color w:val="000000" w:themeColor="text1"/>
                <w14:textFill>
                  <w14:solidFill>
                    <w14:schemeClr w14:val="tx1"/>
                  </w14:solidFill>
                </w14:textFill>
              </w:rPr>
              <w:t>评价</w:t>
            </w:r>
          </w:p>
        </w:tc>
        <w:tc>
          <w:tcPr>
            <w:tcW w:w="3334" w:type="pct"/>
            <w:tcBorders>
              <w:bottom w:val="single" w:color="auto" w:sz="12" w:space="0"/>
              <w:right w:val="nil"/>
            </w:tcBorders>
            <w:vAlign w:val="center"/>
          </w:tcPr>
          <w:p w14:paraId="1C3FBA0B">
            <w:pPr>
              <w:tabs>
                <w:tab w:val="left" w:pos="945"/>
                <w:tab w:val="right" w:leader="dot" w:pos="1155"/>
                <w:tab w:val="left" w:pos="8715"/>
              </w:tabs>
              <w:adjustRightInd w:val="0"/>
              <w:snapToGrid w:val="0"/>
              <w:jc w:val="center"/>
              <w:rPr>
                <w:snapToGrid w:val="0"/>
                <w:color w:val="000000" w:themeColor="text1"/>
                <w14:textFill>
                  <w14:solidFill>
                    <w14:schemeClr w14:val="tx1"/>
                  </w14:solidFill>
                </w14:textFill>
              </w:rPr>
            </w:pPr>
            <w:r>
              <w:rPr>
                <w:i/>
                <w:snapToGrid w:val="0"/>
                <w:color w:val="000000" w:themeColor="text1"/>
                <w14:textFill>
                  <w14:solidFill>
                    <w14:schemeClr w14:val="tx1"/>
                  </w14:solidFill>
                </w14:textFill>
              </w:rPr>
              <w:t>P</w:t>
            </w:r>
            <w:r>
              <w:rPr>
                <w:i/>
                <w:snapToGrid w:val="0"/>
                <w:color w:val="000000" w:themeColor="text1"/>
                <w:vertAlign w:val="subscript"/>
                <w14:textFill>
                  <w14:solidFill>
                    <w14:schemeClr w14:val="tx1"/>
                  </w14:solidFill>
                </w14:textFill>
              </w:rPr>
              <w:t>max</w:t>
            </w:r>
            <w:r>
              <w:rPr>
                <w:snapToGrid w:val="0"/>
                <w:color w:val="000000" w:themeColor="text1"/>
                <w14:textFill>
                  <w14:solidFill>
                    <w14:schemeClr w14:val="tx1"/>
                  </w14:solidFill>
                </w14:textFill>
              </w:rPr>
              <w:t>＜1%</w:t>
            </w:r>
          </w:p>
        </w:tc>
      </w:tr>
    </w:tbl>
    <w:p w14:paraId="16240722">
      <w:pPr>
        <w:spacing w:line="360" w:lineRule="auto"/>
        <w:ind w:firstLine="480" w:firstLineChars="200"/>
        <w:jc w:val="both"/>
      </w:pPr>
      <w:r>
        <w:rPr>
          <w:rFonts w:hint="eastAsia"/>
          <w:color w:val="000000" w:themeColor="text1"/>
          <w:sz w:val="24"/>
          <w14:textFill>
            <w14:solidFill>
              <w14:schemeClr w14:val="tx1"/>
            </w14:solidFill>
          </w14:textFill>
        </w:rPr>
        <w:t>根据工程分析，</w:t>
      </w:r>
      <w:r>
        <w:rPr>
          <w:color w:val="000000" w:themeColor="text1"/>
          <w:sz w:val="24"/>
          <w14:textFill>
            <w14:solidFill>
              <w14:schemeClr w14:val="tx1"/>
            </w14:solidFill>
          </w14:textFill>
        </w:rPr>
        <w:t>本次大气环境影响评价因子和评价标准见下表：</w:t>
      </w:r>
    </w:p>
    <w:p w14:paraId="7F3258FF">
      <w:pPr>
        <w:widowControl w:val="0"/>
        <w:adjustRightInd w:val="0"/>
        <w:spacing w:line="360" w:lineRule="auto"/>
        <w:jc w:val="center"/>
        <w:rPr>
          <w:rFonts w:eastAsia="黑体"/>
          <w:szCs w:val="21"/>
        </w:rPr>
      </w:pPr>
      <w:r>
        <w:rPr>
          <w:rFonts w:hint="eastAsia" w:eastAsia="黑体"/>
          <w:szCs w:val="21"/>
        </w:rPr>
        <w:t>表2</w:t>
      </w:r>
      <w:r>
        <w:rPr>
          <w:rFonts w:eastAsia="黑体"/>
          <w:szCs w:val="21"/>
        </w:rPr>
        <w:t>.4-2</w:t>
      </w:r>
      <w:r>
        <w:rPr>
          <w:rFonts w:hint="eastAsia" w:eastAsia="黑体"/>
          <w:szCs w:val="21"/>
        </w:rPr>
        <w:t>评</w:t>
      </w:r>
      <w:r>
        <w:rPr>
          <w:rFonts w:eastAsia="黑体"/>
          <w:szCs w:val="21"/>
        </w:rPr>
        <w:t>价因子和评价标准表</w:t>
      </w:r>
    </w:p>
    <w:tbl>
      <w:tblPr>
        <w:tblStyle w:val="89"/>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241"/>
        <w:gridCol w:w="1241"/>
        <w:gridCol w:w="1242"/>
        <w:gridCol w:w="3332"/>
      </w:tblGrid>
      <w:tr w14:paraId="0268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746" w:type="pct"/>
            <w:vAlign w:val="center"/>
          </w:tcPr>
          <w:p w14:paraId="498D30F0">
            <w:pPr>
              <w:pStyle w:val="257"/>
              <w:rPr>
                <w:b/>
                <w:bCs/>
              </w:rPr>
            </w:pPr>
            <w:r>
              <w:rPr>
                <w:rFonts w:hint="eastAsia"/>
                <w:b/>
                <w:bCs/>
              </w:rPr>
              <w:t>评价因子</w:t>
            </w:r>
          </w:p>
        </w:tc>
        <w:tc>
          <w:tcPr>
            <w:tcW w:w="748" w:type="pct"/>
            <w:vAlign w:val="center"/>
          </w:tcPr>
          <w:p w14:paraId="489B3C3B">
            <w:pPr>
              <w:pStyle w:val="257"/>
              <w:rPr>
                <w:b/>
                <w:bCs/>
              </w:rPr>
            </w:pPr>
            <w:r>
              <w:rPr>
                <w:rFonts w:hint="eastAsia"/>
                <w:b/>
                <w:bCs/>
              </w:rPr>
              <w:t>功能区</w:t>
            </w:r>
          </w:p>
        </w:tc>
        <w:tc>
          <w:tcPr>
            <w:tcW w:w="748" w:type="pct"/>
            <w:vAlign w:val="center"/>
          </w:tcPr>
          <w:p w14:paraId="0662837F">
            <w:pPr>
              <w:pStyle w:val="257"/>
              <w:rPr>
                <w:b/>
                <w:bCs/>
              </w:rPr>
            </w:pPr>
            <w:r>
              <w:rPr>
                <w:rFonts w:hint="eastAsia"/>
                <w:b/>
                <w:bCs/>
              </w:rPr>
              <w:t>平均时段</w:t>
            </w:r>
          </w:p>
        </w:tc>
        <w:tc>
          <w:tcPr>
            <w:tcW w:w="749" w:type="pct"/>
            <w:vAlign w:val="center"/>
          </w:tcPr>
          <w:p w14:paraId="0C5B4D5F">
            <w:pPr>
              <w:pStyle w:val="257"/>
              <w:rPr>
                <w:b/>
                <w:bCs/>
              </w:rPr>
            </w:pPr>
            <w:r>
              <w:rPr>
                <w:rFonts w:hint="eastAsia"/>
                <w:b/>
                <w:bCs/>
              </w:rPr>
              <w:t>标准值（mg/m</w:t>
            </w:r>
            <w:r>
              <w:rPr>
                <w:rFonts w:hint="eastAsia"/>
                <w:b/>
                <w:bCs/>
                <w:vertAlign w:val="superscript"/>
              </w:rPr>
              <w:t>3</w:t>
            </w:r>
            <w:r>
              <w:rPr>
                <w:rFonts w:hint="eastAsia"/>
                <w:b/>
                <w:bCs/>
              </w:rPr>
              <w:t>）</w:t>
            </w:r>
          </w:p>
        </w:tc>
        <w:tc>
          <w:tcPr>
            <w:tcW w:w="2009" w:type="pct"/>
            <w:vAlign w:val="center"/>
          </w:tcPr>
          <w:p w14:paraId="25B3EBC3">
            <w:pPr>
              <w:pStyle w:val="257"/>
              <w:rPr>
                <w:b/>
                <w:bCs/>
              </w:rPr>
            </w:pPr>
            <w:r>
              <w:rPr>
                <w:rFonts w:hint="eastAsia"/>
                <w:b/>
                <w:bCs/>
              </w:rPr>
              <w:t>标准来源</w:t>
            </w:r>
          </w:p>
        </w:tc>
      </w:tr>
      <w:tr w14:paraId="3AF1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6" w:type="pct"/>
            <w:vAlign w:val="center"/>
          </w:tcPr>
          <w:p w14:paraId="21E3F890">
            <w:pPr>
              <w:pStyle w:val="257"/>
            </w:pPr>
            <w:r>
              <w:rPr>
                <w:rFonts w:hint="eastAsia"/>
              </w:rPr>
              <w:t>TSP</w:t>
            </w:r>
          </w:p>
        </w:tc>
        <w:tc>
          <w:tcPr>
            <w:tcW w:w="748" w:type="pct"/>
            <w:shd w:val="clear" w:color="auto" w:fill="auto"/>
            <w:vAlign w:val="center"/>
          </w:tcPr>
          <w:p w14:paraId="41C36FAD">
            <w:pPr>
              <w:pStyle w:val="257"/>
            </w:pPr>
            <w:r>
              <w:rPr>
                <w:rFonts w:hint="eastAsia"/>
              </w:rPr>
              <w:t>二类区</w:t>
            </w:r>
          </w:p>
        </w:tc>
        <w:tc>
          <w:tcPr>
            <w:tcW w:w="748" w:type="pct"/>
            <w:vAlign w:val="center"/>
          </w:tcPr>
          <w:p w14:paraId="01A00A25">
            <w:pPr>
              <w:pStyle w:val="257"/>
            </w:pPr>
            <w:r>
              <w:rPr>
                <w:rFonts w:hint="eastAsia"/>
              </w:rPr>
              <w:t>折算为1小时均值</w:t>
            </w:r>
          </w:p>
        </w:tc>
        <w:tc>
          <w:tcPr>
            <w:tcW w:w="749" w:type="pct"/>
            <w:vAlign w:val="center"/>
          </w:tcPr>
          <w:p w14:paraId="73B1D167">
            <w:pPr>
              <w:pStyle w:val="257"/>
            </w:pPr>
            <w:r>
              <w:rPr>
                <w:rFonts w:hint="eastAsia"/>
              </w:rPr>
              <w:t>0.9</w:t>
            </w:r>
          </w:p>
        </w:tc>
        <w:tc>
          <w:tcPr>
            <w:tcW w:w="2009" w:type="pct"/>
            <w:vAlign w:val="center"/>
          </w:tcPr>
          <w:p w14:paraId="07BB63D1">
            <w:pPr>
              <w:pStyle w:val="257"/>
            </w:pPr>
            <w:r>
              <w:t>《环境空气质量标准》（</w:t>
            </w:r>
            <w:r>
              <w:rPr>
                <w:rFonts w:hint="eastAsia"/>
              </w:rPr>
              <w:t>GB3095-2026</w:t>
            </w:r>
            <w:r>
              <w:t>）</w:t>
            </w:r>
            <w:r>
              <w:rPr>
                <w:rFonts w:hint="eastAsia"/>
              </w:rPr>
              <w:t>表2中</w:t>
            </w:r>
            <w:r>
              <w:t>二级标准</w:t>
            </w:r>
          </w:p>
        </w:tc>
      </w:tr>
      <w:tr w14:paraId="3FD5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6" w:type="pct"/>
            <w:vAlign w:val="center"/>
          </w:tcPr>
          <w:p w14:paraId="4D17EA2C">
            <w:pPr>
              <w:pStyle w:val="257"/>
            </w:pPr>
            <w:r>
              <w:rPr>
                <w:rFonts w:hint="eastAsia"/>
              </w:rPr>
              <w:t>N</w:t>
            </w:r>
            <w:r>
              <w:t>H</w:t>
            </w:r>
            <w:r>
              <w:rPr>
                <w:vertAlign w:val="subscript"/>
              </w:rPr>
              <w:t>3</w:t>
            </w:r>
          </w:p>
        </w:tc>
        <w:tc>
          <w:tcPr>
            <w:tcW w:w="748" w:type="pct"/>
            <w:shd w:val="clear" w:color="auto" w:fill="auto"/>
            <w:vAlign w:val="center"/>
          </w:tcPr>
          <w:p w14:paraId="297F733A">
            <w:pPr>
              <w:pStyle w:val="257"/>
            </w:pPr>
            <w:r>
              <w:rPr>
                <w:rFonts w:hint="eastAsia"/>
              </w:rPr>
              <w:t>二类区</w:t>
            </w:r>
          </w:p>
        </w:tc>
        <w:tc>
          <w:tcPr>
            <w:tcW w:w="748" w:type="pct"/>
            <w:vAlign w:val="center"/>
          </w:tcPr>
          <w:p w14:paraId="1974385D">
            <w:pPr>
              <w:pStyle w:val="257"/>
            </w:pPr>
            <w:r>
              <w:rPr>
                <w:rFonts w:hint="eastAsia"/>
              </w:rPr>
              <w:t>1小时均值</w:t>
            </w:r>
          </w:p>
        </w:tc>
        <w:tc>
          <w:tcPr>
            <w:tcW w:w="749" w:type="pct"/>
            <w:vAlign w:val="center"/>
          </w:tcPr>
          <w:p w14:paraId="1AA2F56B">
            <w:pPr>
              <w:pStyle w:val="257"/>
            </w:pPr>
            <w:r>
              <w:rPr>
                <w:rFonts w:hint="eastAsia"/>
              </w:rPr>
              <w:t>0.02</w:t>
            </w:r>
          </w:p>
        </w:tc>
        <w:tc>
          <w:tcPr>
            <w:tcW w:w="2009" w:type="pct"/>
            <w:vMerge w:val="restart"/>
            <w:vAlign w:val="center"/>
          </w:tcPr>
          <w:p w14:paraId="78ADD519">
            <w:pPr>
              <w:pStyle w:val="257"/>
            </w:pPr>
            <w:r>
              <w:rPr>
                <w:rFonts w:hint="eastAsia"/>
              </w:rPr>
              <w:t>《环境影响评价技术导则 大气环境》（HJ 2.2-2018）附录D</w:t>
            </w:r>
          </w:p>
        </w:tc>
      </w:tr>
      <w:tr w14:paraId="5AB5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6" w:type="pct"/>
            <w:vAlign w:val="center"/>
          </w:tcPr>
          <w:p w14:paraId="265070EA">
            <w:pPr>
              <w:pStyle w:val="257"/>
            </w:pPr>
            <w:r>
              <w:rPr>
                <w:rFonts w:hint="eastAsia"/>
              </w:rPr>
              <w:t>H</w:t>
            </w:r>
            <w:r>
              <w:rPr>
                <w:vertAlign w:val="subscript"/>
              </w:rPr>
              <w:t>2</w:t>
            </w:r>
            <w:r>
              <w:t>S</w:t>
            </w:r>
          </w:p>
        </w:tc>
        <w:tc>
          <w:tcPr>
            <w:tcW w:w="748" w:type="pct"/>
            <w:shd w:val="clear" w:color="auto" w:fill="auto"/>
            <w:vAlign w:val="center"/>
          </w:tcPr>
          <w:p w14:paraId="77089380">
            <w:pPr>
              <w:pStyle w:val="257"/>
            </w:pPr>
            <w:r>
              <w:rPr>
                <w:rFonts w:hint="eastAsia"/>
              </w:rPr>
              <w:t>二类区</w:t>
            </w:r>
          </w:p>
        </w:tc>
        <w:tc>
          <w:tcPr>
            <w:tcW w:w="748" w:type="pct"/>
            <w:vAlign w:val="center"/>
          </w:tcPr>
          <w:p w14:paraId="1F0F952E">
            <w:pPr>
              <w:pStyle w:val="257"/>
            </w:pPr>
            <w:r>
              <w:rPr>
                <w:rFonts w:hint="eastAsia"/>
              </w:rPr>
              <w:t>1小时均值</w:t>
            </w:r>
          </w:p>
        </w:tc>
        <w:tc>
          <w:tcPr>
            <w:tcW w:w="749" w:type="pct"/>
            <w:vAlign w:val="center"/>
          </w:tcPr>
          <w:p w14:paraId="33DACCF8">
            <w:pPr>
              <w:pStyle w:val="257"/>
            </w:pPr>
            <w:r>
              <w:rPr>
                <w:rFonts w:hint="eastAsia"/>
              </w:rPr>
              <w:t>0</w:t>
            </w:r>
            <w:r>
              <w:t>.01</w:t>
            </w:r>
          </w:p>
        </w:tc>
        <w:tc>
          <w:tcPr>
            <w:tcW w:w="2009" w:type="pct"/>
            <w:vMerge w:val="continue"/>
            <w:vAlign w:val="center"/>
          </w:tcPr>
          <w:p w14:paraId="6BF615F7">
            <w:pPr>
              <w:pStyle w:val="257"/>
            </w:pPr>
          </w:p>
        </w:tc>
      </w:tr>
    </w:tbl>
    <w:p w14:paraId="10E652A2">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（2）估算模式及参数</w:t>
      </w:r>
      <w:r>
        <w:rPr>
          <w:rFonts w:hint="eastAsia"/>
          <w:color w:val="000000" w:themeColor="text1"/>
          <w:sz w:val="24"/>
          <w14:textFill>
            <w14:solidFill>
              <w14:schemeClr w14:val="tx1"/>
            </w14:solidFill>
          </w14:textFill>
        </w:rPr>
        <w:t>选取</w:t>
      </w:r>
    </w:p>
    <w:p w14:paraId="6EFCC3E0">
      <w:pPr>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本次环评采用《环境影响评价技术导则 大气环境》（HJ2.2-2018）推荐模式的AERSCREEN模式计算项目污染源的最大环境影响，该模式是基于AERMOD内核算法开发的单源估算模型，</w:t>
      </w:r>
      <w:r>
        <w:rPr>
          <w:color w:val="000000" w:themeColor="text1"/>
          <w:sz w:val="24"/>
          <w14:textFill>
            <w14:solidFill>
              <w14:schemeClr w14:val="tx1"/>
            </w14:solidFill>
          </w14:textFill>
        </w:rPr>
        <w:t>估算模型参数</w:t>
      </w:r>
      <w:r>
        <w:rPr>
          <w:rFonts w:hint="eastAsia"/>
          <w:color w:val="000000" w:themeColor="text1"/>
          <w:sz w:val="24"/>
          <w14:textFill>
            <w14:solidFill>
              <w14:schemeClr w14:val="tx1"/>
            </w14:solidFill>
          </w14:textFill>
        </w:rPr>
        <w:t>选取</w:t>
      </w:r>
      <w:r>
        <w:rPr>
          <w:color w:val="000000" w:themeColor="text1"/>
          <w:sz w:val="24"/>
          <w14:textFill>
            <w14:solidFill>
              <w14:schemeClr w14:val="tx1"/>
            </w14:solidFill>
          </w14:textFill>
        </w:rPr>
        <w:t>详见表2.4-2。</w:t>
      </w:r>
    </w:p>
    <w:p w14:paraId="71F35CF6">
      <w:pPr>
        <w:pStyle w:val="814"/>
        <w:numPr>
          <w:ilvl w:val="0"/>
          <w:numId w:val="22"/>
        </w:numPr>
        <w:snapToGrid w:val="0"/>
        <w:spacing w:line="240" w:lineRule="auto"/>
        <w:rPr>
          <w:b/>
          <w:bCs/>
          <w:color w:val="000000" w:themeColor="text1"/>
          <w14:textFill>
            <w14:solidFill>
              <w14:schemeClr w14:val="tx1"/>
            </w14:solidFill>
          </w14:textFill>
        </w:rPr>
      </w:pPr>
      <w:bookmarkStart w:id="125" w:name="_Toc30307_WPSOffice_Level3"/>
      <w:r>
        <w:rPr>
          <w:b/>
          <w:bCs/>
          <w:color w:val="000000" w:themeColor="text1"/>
          <w14:textFill>
            <w14:solidFill>
              <w14:schemeClr w14:val="tx1"/>
            </w14:solidFill>
          </w14:textFill>
        </w:rPr>
        <w:t>估算模型参数表</w:t>
      </w:r>
      <w:bookmarkEnd w:id="125"/>
    </w:p>
    <w:tbl>
      <w:tblPr>
        <w:tblStyle w:val="88"/>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46"/>
        <w:gridCol w:w="2585"/>
        <w:gridCol w:w="3482"/>
      </w:tblGrid>
      <w:tr w14:paraId="5C6C36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 w:hRule="atLeast"/>
          <w:jc w:val="center"/>
        </w:trPr>
        <w:tc>
          <w:tcPr>
            <w:tcW w:w="2906" w:type="pct"/>
            <w:gridSpan w:val="2"/>
            <w:tcBorders>
              <w:top w:val="single" w:color="auto" w:sz="12" w:space="0"/>
              <w:bottom w:val="single" w:color="auto" w:sz="4" w:space="0"/>
            </w:tcBorders>
            <w:vAlign w:val="center"/>
          </w:tcPr>
          <w:p w14:paraId="20423B7C">
            <w:pPr>
              <w:jc w:val="center"/>
              <w:rPr>
                <w:b/>
                <w:bCs/>
                <w:color w:val="000000" w:themeColor="text1"/>
                <w:szCs w:val="21"/>
                <w14:textFill>
                  <w14:solidFill>
                    <w14:schemeClr w14:val="tx1"/>
                  </w14:solidFill>
                </w14:textFill>
              </w:rPr>
            </w:pPr>
            <w:bookmarkStart w:id="126" w:name="_Toc8743"/>
            <w:bookmarkStart w:id="127" w:name="_Toc1562_WPSOffice_Level3"/>
            <w:bookmarkStart w:id="128" w:name="_Toc3176_WPSOffice_Level3"/>
            <w:r>
              <w:rPr>
                <w:b/>
                <w:bCs/>
                <w:color w:val="000000" w:themeColor="text1"/>
                <w:szCs w:val="21"/>
                <w14:textFill>
                  <w14:solidFill>
                    <w14:schemeClr w14:val="tx1"/>
                  </w14:solidFill>
                </w14:textFill>
              </w:rPr>
              <w:t>参数</w:t>
            </w:r>
          </w:p>
        </w:tc>
        <w:tc>
          <w:tcPr>
            <w:tcW w:w="2094" w:type="pct"/>
            <w:tcBorders>
              <w:top w:val="single" w:color="auto" w:sz="12" w:space="0"/>
              <w:bottom w:val="single" w:color="auto" w:sz="4" w:space="0"/>
            </w:tcBorders>
            <w:vAlign w:val="center"/>
          </w:tcPr>
          <w:p w14:paraId="27F0D01A">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取值</w:t>
            </w:r>
          </w:p>
        </w:tc>
      </w:tr>
      <w:tr w14:paraId="2415FD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1" w:type="pct"/>
            <w:vMerge w:val="restart"/>
            <w:vAlign w:val="center"/>
          </w:tcPr>
          <w:p w14:paraId="3E843F3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城市农村/选项</w:t>
            </w:r>
          </w:p>
        </w:tc>
        <w:tc>
          <w:tcPr>
            <w:tcW w:w="1555" w:type="pct"/>
            <w:vAlign w:val="center"/>
          </w:tcPr>
          <w:p w14:paraId="727A43B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城市/农村</w:t>
            </w:r>
          </w:p>
        </w:tc>
        <w:tc>
          <w:tcPr>
            <w:tcW w:w="2094" w:type="pct"/>
            <w:vAlign w:val="center"/>
          </w:tcPr>
          <w:p w14:paraId="5784FE2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农村</w:t>
            </w:r>
          </w:p>
        </w:tc>
      </w:tr>
      <w:tr w14:paraId="7123344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1" w:type="pct"/>
            <w:vMerge w:val="continue"/>
            <w:vAlign w:val="center"/>
          </w:tcPr>
          <w:p w14:paraId="7AA8E6DC">
            <w:pPr>
              <w:jc w:val="center"/>
              <w:rPr>
                <w:color w:val="000000" w:themeColor="text1"/>
                <w:szCs w:val="21"/>
                <w14:textFill>
                  <w14:solidFill>
                    <w14:schemeClr w14:val="tx1"/>
                  </w14:solidFill>
                </w14:textFill>
              </w:rPr>
            </w:pPr>
          </w:p>
        </w:tc>
        <w:tc>
          <w:tcPr>
            <w:tcW w:w="1555" w:type="pct"/>
            <w:vAlign w:val="center"/>
          </w:tcPr>
          <w:p w14:paraId="3CAD8E1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人口数（城市人口数）</w:t>
            </w:r>
          </w:p>
        </w:tc>
        <w:tc>
          <w:tcPr>
            <w:tcW w:w="2094" w:type="pct"/>
            <w:vAlign w:val="center"/>
          </w:tcPr>
          <w:p w14:paraId="692FFDA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433C0C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06" w:type="pct"/>
            <w:gridSpan w:val="2"/>
            <w:vAlign w:val="center"/>
          </w:tcPr>
          <w:p w14:paraId="6E9979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最高环境温度</w:t>
            </w:r>
          </w:p>
        </w:tc>
        <w:tc>
          <w:tcPr>
            <w:tcW w:w="2094" w:type="pct"/>
            <w:vAlign w:val="center"/>
          </w:tcPr>
          <w:p w14:paraId="10DB2C3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38.3°C</w:t>
            </w:r>
          </w:p>
        </w:tc>
      </w:tr>
      <w:tr w14:paraId="6CEB19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06" w:type="pct"/>
            <w:gridSpan w:val="2"/>
            <w:vAlign w:val="center"/>
          </w:tcPr>
          <w:p w14:paraId="71A63E6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最低环境温度</w:t>
            </w:r>
          </w:p>
        </w:tc>
        <w:tc>
          <w:tcPr>
            <w:tcW w:w="2094" w:type="pct"/>
            <w:vAlign w:val="center"/>
          </w:tcPr>
          <w:p w14:paraId="11B5222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-1.8°C</w:t>
            </w:r>
          </w:p>
        </w:tc>
      </w:tr>
      <w:tr w14:paraId="33C3D7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06" w:type="pct"/>
            <w:gridSpan w:val="2"/>
            <w:vAlign w:val="center"/>
          </w:tcPr>
          <w:p w14:paraId="12455CA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土地利用类型</w:t>
            </w:r>
          </w:p>
        </w:tc>
        <w:tc>
          <w:tcPr>
            <w:tcW w:w="2094" w:type="pct"/>
            <w:vAlign w:val="center"/>
          </w:tcPr>
          <w:p w14:paraId="09FFC20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农作地</w:t>
            </w:r>
          </w:p>
        </w:tc>
      </w:tr>
      <w:tr w14:paraId="118860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06" w:type="pct"/>
            <w:gridSpan w:val="2"/>
            <w:vAlign w:val="center"/>
          </w:tcPr>
          <w:p w14:paraId="7B3E32F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区域湿度条件</w:t>
            </w:r>
          </w:p>
        </w:tc>
        <w:tc>
          <w:tcPr>
            <w:tcW w:w="2094" w:type="pct"/>
            <w:vAlign w:val="center"/>
          </w:tcPr>
          <w:p w14:paraId="1C37536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潮湿</w:t>
            </w:r>
          </w:p>
        </w:tc>
      </w:tr>
      <w:tr w14:paraId="715FB7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1" w:type="pct"/>
            <w:vMerge w:val="restart"/>
            <w:vAlign w:val="center"/>
          </w:tcPr>
          <w:p w14:paraId="37FB464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是否考虑地形</w:t>
            </w:r>
          </w:p>
        </w:tc>
        <w:tc>
          <w:tcPr>
            <w:tcW w:w="1555" w:type="pct"/>
            <w:vAlign w:val="center"/>
          </w:tcPr>
          <w:p w14:paraId="3DC3038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考虑地形</w:t>
            </w:r>
          </w:p>
        </w:tc>
        <w:tc>
          <w:tcPr>
            <w:tcW w:w="2094" w:type="pct"/>
            <w:vAlign w:val="center"/>
          </w:tcPr>
          <w:p w14:paraId="7D6A482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w:t>
            </w:r>
          </w:p>
        </w:tc>
      </w:tr>
      <w:tr w14:paraId="5F0815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1" w:type="pct"/>
            <w:vMerge w:val="continue"/>
            <w:vAlign w:val="center"/>
          </w:tcPr>
          <w:p w14:paraId="001AD1AC">
            <w:pPr>
              <w:jc w:val="center"/>
              <w:rPr>
                <w:color w:val="000000" w:themeColor="text1"/>
                <w:szCs w:val="21"/>
                <w14:textFill>
                  <w14:solidFill>
                    <w14:schemeClr w14:val="tx1"/>
                  </w14:solidFill>
                </w14:textFill>
              </w:rPr>
            </w:pPr>
          </w:p>
        </w:tc>
        <w:tc>
          <w:tcPr>
            <w:tcW w:w="1555" w:type="pct"/>
            <w:vAlign w:val="center"/>
          </w:tcPr>
          <w:p w14:paraId="1FEA6EC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地形数据分辨率（m）</w:t>
            </w:r>
          </w:p>
        </w:tc>
        <w:tc>
          <w:tcPr>
            <w:tcW w:w="2094" w:type="pct"/>
            <w:vAlign w:val="center"/>
          </w:tcPr>
          <w:p w14:paraId="7FA7AF96">
            <w:pPr>
              <w:jc w:val="center"/>
              <w:rPr>
                <w:color w:val="FF0000"/>
                <w:szCs w:val="21"/>
              </w:rPr>
            </w:pPr>
            <w:r>
              <w:rPr>
                <w:color w:val="000000" w:themeColor="text1"/>
                <w:szCs w:val="21"/>
                <w14:textFill>
                  <w14:solidFill>
                    <w14:schemeClr w14:val="tx1"/>
                  </w14:solidFill>
                </w14:textFill>
              </w:rPr>
              <w:t>90</w:t>
            </w:r>
          </w:p>
        </w:tc>
      </w:tr>
      <w:tr w14:paraId="3F88DD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1" w:type="pct"/>
            <w:vMerge w:val="restart"/>
            <w:vAlign w:val="center"/>
          </w:tcPr>
          <w:p w14:paraId="541BEAB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是否考虑海岸线熏烟</w:t>
            </w:r>
          </w:p>
        </w:tc>
        <w:tc>
          <w:tcPr>
            <w:tcW w:w="1555" w:type="pct"/>
            <w:vAlign w:val="center"/>
          </w:tcPr>
          <w:p w14:paraId="4E0920C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考虑海岸线熏烟</w:t>
            </w:r>
          </w:p>
        </w:tc>
        <w:tc>
          <w:tcPr>
            <w:tcW w:w="2094" w:type="pct"/>
            <w:vAlign w:val="center"/>
          </w:tcPr>
          <w:p w14:paraId="4F3BADD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否</w:t>
            </w:r>
          </w:p>
        </w:tc>
      </w:tr>
      <w:tr w14:paraId="6D2B41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1" w:type="pct"/>
            <w:vMerge w:val="continue"/>
            <w:vAlign w:val="center"/>
          </w:tcPr>
          <w:p w14:paraId="00A1CF00">
            <w:pPr>
              <w:jc w:val="center"/>
              <w:rPr>
                <w:color w:val="000000" w:themeColor="text1"/>
                <w:szCs w:val="21"/>
                <w14:textFill>
                  <w14:solidFill>
                    <w14:schemeClr w14:val="tx1"/>
                  </w14:solidFill>
                </w14:textFill>
              </w:rPr>
            </w:pPr>
          </w:p>
        </w:tc>
        <w:tc>
          <w:tcPr>
            <w:tcW w:w="1555" w:type="pct"/>
            <w:vAlign w:val="center"/>
          </w:tcPr>
          <w:p w14:paraId="5A8ED0A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海岸线距离/km</w:t>
            </w:r>
          </w:p>
        </w:tc>
        <w:tc>
          <w:tcPr>
            <w:tcW w:w="2094" w:type="pct"/>
            <w:vAlign w:val="center"/>
          </w:tcPr>
          <w:p w14:paraId="33E82DA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7E83C87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1" w:type="pct"/>
            <w:vMerge w:val="continue"/>
            <w:vAlign w:val="center"/>
          </w:tcPr>
          <w:p w14:paraId="2F8DAD31">
            <w:pPr>
              <w:jc w:val="center"/>
              <w:rPr>
                <w:color w:val="000000" w:themeColor="text1"/>
                <w:szCs w:val="21"/>
                <w14:textFill>
                  <w14:solidFill>
                    <w14:schemeClr w14:val="tx1"/>
                  </w14:solidFill>
                </w14:textFill>
              </w:rPr>
            </w:pPr>
          </w:p>
        </w:tc>
        <w:tc>
          <w:tcPr>
            <w:tcW w:w="1555" w:type="pct"/>
            <w:vAlign w:val="center"/>
          </w:tcPr>
          <w:p w14:paraId="693A075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海岸线方向/o</w:t>
            </w:r>
          </w:p>
        </w:tc>
        <w:tc>
          <w:tcPr>
            <w:tcW w:w="2094" w:type="pct"/>
            <w:vAlign w:val="center"/>
          </w:tcPr>
          <w:p w14:paraId="72388C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3A20D5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bottom w:val="single" w:color="auto" w:sz="12" w:space="0"/>
            </w:tcBorders>
            <w:vAlign w:val="center"/>
          </w:tcPr>
          <w:p w14:paraId="5C8D7726">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注：</w:t>
            </w:r>
            <w:r>
              <w:rPr>
                <w:rFonts w:hint="eastAsia" w:cs="Courier New"/>
                <w:szCs w:val="21"/>
              </w:rPr>
              <w:t>根据《环境影响评价技术导则 大气环境》（HJ2.2-2018）中</w:t>
            </w:r>
            <w:r>
              <w:rPr>
                <w:rFonts w:hint="eastAsia" w:ascii="宋体" w:hAnsi="宋体" w:cs="宋体"/>
                <w:szCs w:val="21"/>
              </w:rPr>
              <w:t>“</w:t>
            </w:r>
            <w:r>
              <w:rPr>
                <w:rFonts w:hint="eastAsia" w:cs="Courier New"/>
                <w:szCs w:val="21"/>
              </w:rPr>
              <w:t>B6.1城市/农村选项当项目周边3km半径范围内一半以上面积属于城市建成区或者规划区时，选择城市，否则选择农村。</w:t>
            </w:r>
            <w:r>
              <w:rPr>
                <w:rFonts w:hint="eastAsia" w:ascii="宋体" w:hAnsi="宋体" w:cs="宋体"/>
                <w:szCs w:val="21"/>
              </w:rPr>
              <w:t>”</w:t>
            </w:r>
            <w:r>
              <w:rPr>
                <w:rFonts w:hint="eastAsia" w:cs="Courier New"/>
                <w:szCs w:val="21"/>
              </w:rPr>
              <w:t>，本项目四个建设场址周边3km半径范围内一半以上面积均不属于城镇建设用地，因此，土地利用类型选择</w:t>
            </w:r>
            <w:r>
              <w:rPr>
                <w:rFonts w:hint="eastAsia" w:ascii="宋体" w:hAnsi="宋体" w:cs="宋体"/>
                <w:szCs w:val="21"/>
              </w:rPr>
              <w:t>“</w:t>
            </w:r>
            <w:r>
              <w:rPr>
                <w:rFonts w:hint="eastAsia" w:cs="Courier New"/>
                <w:szCs w:val="21"/>
              </w:rPr>
              <w:t>农村</w:t>
            </w:r>
            <w:r>
              <w:rPr>
                <w:rFonts w:hint="eastAsia" w:ascii="宋体" w:hAnsi="宋体" w:cs="宋体"/>
                <w:szCs w:val="21"/>
              </w:rPr>
              <w:t>”</w:t>
            </w:r>
            <w:r>
              <w:rPr>
                <w:rFonts w:hint="eastAsia" w:cs="Courier New"/>
                <w:szCs w:val="21"/>
              </w:rPr>
              <w:t>；根据《中国干湿分区示意图》，本项目所在区域为湿润区。</w:t>
            </w:r>
          </w:p>
        </w:tc>
      </w:tr>
    </w:tbl>
    <w:p w14:paraId="58CD6B37">
      <w:pPr>
        <w:pStyle w:val="257"/>
        <w:spacing w:before="24" w:after="24"/>
      </w:pPr>
      <w:bookmarkStart w:id="129" w:name="_Toc21840"/>
      <w:bookmarkStart w:id="130" w:name="_Toc21529545"/>
      <w:r>
        <w:drawing>
          <wp:inline distT="0" distB="0" distL="114300" distR="114300">
            <wp:extent cx="4059555" cy="3394710"/>
            <wp:effectExtent l="0" t="0" r="17145" b="15240"/>
            <wp:docPr id="155" name="图片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36" descr="IMG_256"/>
                    <pic:cNvPicPr>
                      <a:picLocks noChangeAspect="1"/>
                    </pic:cNvPicPr>
                  </pic:nvPicPr>
                  <pic:blipFill>
                    <a:blip r:embed="rId35"/>
                    <a:stretch>
                      <a:fillRect/>
                    </a:stretch>
                  </pic:blipFill>
                  <pic:spPr>
                    <a:xfrm>
                      <a:off x="0" y="0"/>
                      <a:ext cx="4059555" cy="3394710"/>
                    </a:xfrm>
                    <a:prstGeom prst="rect">
                      <a:avLst/>
                    </a:prstGeom>
                    <a:noFill/>
                    <a:ln>
                      <a:noFill/>
                    </a:ln>
                  </pic:spPr>
                </pic:pic>
              </a:graphicData>
            </a:graphic>
          </wp:inline>
        </w:drawing>
      </w:r>
    </w:p>
    <w:p w14:paraId="294369A0">
      <w:pPr>
        <w:tabs>
          <w:tab w:val="left" w:pos="420"/>
        </w:tabs>
        <w:jc w:val="center"/>
        <w:rPr>
          <w:rFonts w:ascii="黑体" w:hAnsi="黑体" w:eastAsia="黑体"/>
        </w:rPr>
      </w:pPr>
      <w:r>
        <w:rPr>
          <w:rFonts w:hint="eastAsia" w:ascii="黑体" w:hAnsi="黑体" w:eastAsia="黑体"/>
        </w:rPr>
        <w:t>图2</w:t>
      </w:r>
      <w:r>
        <w:rPr>
          <w:rFonts w:ascii="黑体" w:hAnsi="黑体" w:eastAsia="黑体"/>
        </w:rPr>
        <w:t>.4-1</w:t>
      </w:r>
      <w:r>
        <w:rPr>
          <w:rFonts w:hint="eastAsia" w:ascii="黑体" w:hAnsi="黑体" w:eastAsia="黑体"/>
        </w:rPr>
        <w:t>中国干湿分区示意图</w:t>
      </w:r>
    </w:p>
    <w:p w14:paraId="4772139B">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经估算模式预测，本项目正常工况下主要大气污染物最大地面空气质量占标率</w:t>
      </w:r>
      <w:r>
        <w:rPr>
          <w:rFonts w:hint="eastAsia"/>
          <w:i/>
          <w:color w:val="000000" w:themeColor="text1"/>
          <w:sz w:val="24"/>
          <w14:textFill>
            <w14:solidFill>
              <w14:schemeClr w14:val="tx1"/>
            </w14:solidFill>
          </w14:textFill>
        </w:rPr>
        <w:t>P</w:t>
      </w:r>
      <w:r>
        <w:rPr>
          <w:rFonts w:hint="eastAsia"/>
          <w:i/>
          <w:color w:val="000000" w:themeColor="text1"/>
          <w:sz w:val="24"/>
          <w:vertAlign w:val="subscript"/>
          <w14:textFill>
            <w14:solidFill>
              <w14:schemeClr w14:val="tx1"/>
            </w14:solidFill>
          </w14:textFill>
        </w:rPr>
        <w:t>max</w:t>
      </w:r>
      <w:r>
        <w:rPr>
          <w:rFonts w:hint="eastAsia"/>
          <w:color w:val="000000" w:themeColor="text1"/>
          <w:sz w:val="24"/>
          <w14:textFill>
            <w14:solidFill>
              <w14:schemeClr w14:val="tx1"/>
            </w14:solidFill>
          </w14:textFill>
        </w:rPr>
        <w:t>见以下等级判定筛选结果图。</w:t>
      </w:r>
    </w:p>
    <w:p w14:paraId="27B923D6">
      <w:pPr>
        <w:adjustRightInd w:val="0"/>
        <w:snapToGrid w:val="0"/>
        <w:spacing w:line="360" w:lineRule="auto"/>
        <w:jc w:val="both"/>
        <w:rPr>
          <w:color w:val="000000" w:themeColor="text1"/>
          <w:sz w:val="24"/>
          <w14:textFill>
            <w14:solidFill>
              <w14:schemeClr w14:val="tx1"/>
            </w14:solidFill>
          </w14:textFill>
        </w:rPr>
      </w:pPr>
      <w:r>
        <w:drawing>
          <wp:inline distT="0" distB="0" distL="0" distR="0">
            <wp:extent cx="5278755" cy="3149600"/>
            <wp:effectExtent l="0" t="0" r="0" b="0"/>
            <wp:docPr id="1954241866" name="图片 195424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1866" name="图片 1954241866"/>
                    <pic:cNvPicPr>
                      <a:picLocks noChangeAspect="1"/>
                    </pic:cNvPicPr>
                  </pic:nvPicPr>
                  <pic:blipFill>
                    <a:blip r:embed="rId36"/>
                    <a:stretch>
                      <a:fillRect/>
                    </a:stretch>
                  </pic:blipFill>
                  <pic:spPr>
                    <a:xfrm>
                      <a:off x="0" y="0"/>
                      <a:ext cx="5278755" cy="3149600"/>
                    </a:xfrm>
                    <a:prstGeom prst="rect">
                      <a:avLst/>
                    </a:prstGeom>
                  </pic:spPr>
                </pic:pic>
              </a:graphicData>
            </a:graphic>
          </wp:inline>
        </w:drawing>
      </w:r>
    </w:p>
    <w:p w14:paraId="7E977BC8">
      <w:pPr>
        <w:tabs>
          <w:tab w:val="left" w:pos="420"/>
        </w:tabs>
        <w:jc w:val="center"/>
        <w:rPr>
          <w:rFonts w:ascii="黑体" w:hAnsi="黑体" w:eastAsia="黑体"/>
        </w:rPr>
      </w:pPr>
      <w:r>
        <w:rPr>
          <w:rFonts w:hint="eastAsia" w:ascii="黑体" w:hAnsi="黑体" w:eastAsia="黑体"/>
        </w:rPr>
        <w:t>图2</w:t>
      </w:r>
      <w:r>
        <w:rPr>
          <w:rFonts w:ascii="黑体" w:hAnsi="黑体" w:eastAsia="黑体"/>
        </w:rPr>
        <w:t xml:space="preserve">.4-2 </w:t>
      </w:r>
      <w:r>
        <w:rPr>
          <w:rFonts w:hint="eastAsia" w:ascii="黑体" w:hAnsi="黑体" w:eastAsia="黑体"/>
        </w:rPr>
        <w:t>百花养殖场区大气等级判定筛选结果图</w:t>
      </w:r>
    </w:p>
    <w:p w14:paraId="5D08F894">
      <w:pPr>
        <w:adjustRightInd w:val="0"/>
        <w:snapToGrid w:val="0"/>
        <w:spacing w:line="360" w:lineRule="auto"/>
        <w:jc w:val="both"/>
        <w:rPr>
          <w:color w:val="000000" w:themeColor="text1"/>
          <w:sz w:val="24"/>
          <w14:textFill>
            <w14:solidFill>
              <w14:schemeClr w14:val="tx1"/>
            </w14:solidFill>
          </w14:textFill>
        </w:rPr>
      </w:pPr>
    </w:p>
    <w:p w14:paraId="1C1664D8">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估算结果表明</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最大地面空气质量浓度占标率为</w:t>
      </w:r>
      <w:r>
        <w:rPr>
          <w:color w:val="000000" w:themeColor="text1"/>
          <w:sz w:val="24"/>
          <w14:textFill>
            <w14:solidFill>
              <w14:schemeClr w14:val="tx1"/>
            </w14:solidFill>
          </w14:textFill>
        </w:rPr>
        <w:t>29.72</w:t>
      </w:r>
      <w:r>
        <w:rPr>
          <w:rFonts w:hint="eastAsia"/>
          <w:color w:val="000000" w:themeColor="text1"/>
          <w:sz w:val="24"/>
          <w14:textFill>
            <w14:solidFill>
              <w14:schemeClr w14:val="tx1"/>
            </w14:solidFill>
          </w14:textFill>
        </w:rPr>
        <w:t>%，因此确定本项目的大气环境影响评价等级为一级。</w:t>
      </w:r>
    </w:p>
    <w:p w14:paraId="2AD218B1">
      <w:pPr>
        <w:pStyle w:val="752"/>
        <w:rPr>
          <w:rFonts w:cs="Times New Roman"/>
          <w:color w:val="000000" w:themeColor="text1"/>
          <w14:textFill>
            <w14:solidFill>
              <w14:schemeClr w14:val="tx1"/>
            </w14:solidFill>
          </w14:textFill>
        </w:rPr>
      </w:pPr>
      <w:bookmarkStart w:id="131" w:name="_Toc233380118"/>
      <w:r>
        <w:rPr>
          <w:rFonts w:cs="Times New Roman"/>
          <w:color w:val="000000" w:themeColor="text1"/>
          <w14:textFill>
            <w14:solidFill>
              <w14:schemeClr w14:val="tx1"/>
            </w14:solidFill>
          </w14:textFill>
        </w:rPr>
        <w:t>2.4.2地表水环境评价工作等级</w:t>
      </w:r>
      <w:bookmarkEnd w:id="126"/>
      <w:bookmarkEnd w:id="127"/>
      <w:bookmarkEnd w:id="128"/>
      <w:bookmarkEnd w:id="129"/>
      <w:bookmarkEnd w:id="130"/>
      <w:bookmarkEnd w:id="131"/>
    </w:p>
    <w:p w14:paraId="5909F78C">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根据《环境影响评价技术导则 地表水环境》（HJ/T2.3-2018）的项目类型划分，项目建设期和运营期均不涉及直接取用地表水，项目建设期间接排放的少量废水对水文要素影响极小。项目运营期不排放废水，地表水环境影响属于水污染影响型。水污染影响型建设项目主要根据废水排放方式和排放量划分评价等级。</w:t>
      </w:r>
    </w:p>
    <w:p w14:paraId="6E6A9E02">
      <w:pPr>
        <w:pStyle w:val="814"/>
        <w:numPr>
          <w:ilvl w:val="0"/>
          <w:numId w:val="22"/>
        </w:numPr>
        <w:snapToGrid w:val="0"/>
        <w:spacing w:line="240" w:lineRule="auto"/>
        <w:rPr>
          <w:b/>
          <w:bCs/>
          <w:color w:val="000000" w:themeColor="text1"/>
          <w14:textFill>
            <w14:solidFill>
              <w14:schemeClr w14:val="tx1"/>
            </w14:solidFill>
          </w14:textFill>
        </w:rPr>
      </w:pPr>
      <w:bookmarkStart w:id="132" w:name="_Toc24151_WPSOffice_Level3"/>
      <w:r>
        <w:rPr>
          <w:b/>
          <w:bCs/>
          <w:color w:val="000000" w:themeColor="text1"/>
          <w14:textFill>
            <w14:solidFill>
              <w14:schemeClr w14:val="tx1"/>
            </w14:solidFill>
          </w14:textFill>
        </w:rPr>
        <w:t>水污染影响型建设项目评价等级判定</w:t>
      </w:r>
      <w:bookmarkEnd w:id="132"/>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770"/>
        <w:gridCol w:w="1353"/>
        <w:gridCol w:w="4190"/>
      </w:tblGrid>
      <w:tr w14:paraId="090198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vMerge w:val="restart"/>
            <w:vAlign w:val="center"/>
          </w:tcPr>
          <w:p w14:paraId="0B3C9F00">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评价等级</w:t>
            </w:r>
          </w:p>
        </w:tc>
        <w:tc>
          <w:tcPr>
            <w:tcW w:w="3333" w:type="pct"/>
            <w:gridSpan w:val="2"/>
            <w:vAlign w:val="center"/>
          </w:tcPr>
          <w:p w14:paraId="2FAC889C">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判定依据</w:t>
            </w:r>
          </w:p>
        </w:tc>
      </w:tr>
      <w:tr w14:paraId="189E7B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6" w:type="pct"/>
            <w:vMerge w:val="continue"/>
            <w:vAlign w:val="center"/>
          </w:tcPr>
          <w:p w14:paraId="1D4BBE35">
            <w:pPr>
              <w:jc w:val="center"/>
              <w:rPr>
                <w:b/>
                <w:bCs/>
                <w:color w:val="000000" w:themeColor="text1"/>
                <w14:textFill>
                  <w14:solidFill>
                    <w14:schemeClr w14:val="tx1"/>
                  </w14:solidFill>
                </w14:textFill>
              </w:rPr>
            </w:pPr>
          </w:p>
        </w:tc>
        <w:tc>
          <w:tcPr>
            <w:tcW w:w="814" w:type="pct"/>
            <w:vAlign w:val="center"/>
          </w:tcPr>
          <w:p w14:paraId="7DCCAD0D">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排放方式</w:t>
            </w:r>
          </w:p>
        </w:tc>
        <w:tc>
          <w:tcPr>
            <w:tcW w:w="2519" w:type="pct"/>
            <w:vAlign w:val="center"/>
          </w:tcPr>
          <w:p w14:paraId="3017B599">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废水排放量Q/（m</w:t>
            </w:r>
            <w:r>
              <w:rPr>
                <w:b/>
                <w:bCs/>
                <w:color w:val="000000" w:themeColor="text1"/>
                <w:vertAlign w:val="superscript"/>
                <w14:textFill>
                  <w14:solidFill>
                    <w14:schemeClr w14:val="tx1"/>
                  </w14:solidFill>
                </w14:textFill>
              </w:rPr>
              <w:t>3</w:t>
            </w:r>
            <w:r>
              <w:rPr>
                <w:b/>
                <w:bCs/>
                <w:color w:val="000000" w:themeColor="text1"/>
                <w14:textFill>
                  <w14:solidFill>
                    <w14:schemeClr w14:val="tx1"/>
                  </w14:solidFill>
                </w14:textFill>
              </w:rPr>
              <w:t>/d）；水污染物当量数W/（无量纲）</w:t>
            </w:r>
          </w:p>
        </w:tc>
      </w:tr>
      <w:tr w14:paraId="64D2C0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66" w:type="pct"/>
            <w:vAlign w:val="center"/>
          </w:tcPr>
          <w:p w14:paraId="12F03F69">
            <w:pPr>
              <w:jc w:val="center"/>
              <w:rPr>
                <w:color w:val="000000" w:themeColor="text1"/>
                <w14:textFill>
                  <w14:solidFill>
                    <w14:schemeClr w14:val="tx1"/>
                  </w14:solidFill>
                </w14:textFill>
              </w:rPr>
            </w:pPr>
            <w:r>
              <w:rPr>
                <w:color w:val="000000" w:themeColor="text1"/>
                <w14:textFill>
                  <w14:solidFill>
                    <w14:schemeClr w14:val="tx1"/>
                  </w14:solidFill>
                </w14:textFill>
              </w:rPr>
              <w:t>一级</w:t>
            </w:r>
          </w:p>
        </w:tc>
        <w:tc>
          <w:tcPr>
            <w:tcW w:w="814" w:type="pct"/>
            <w:vAlign w:val="center"/>
          </w:tcPr>
          <w:p w14:paraId="25BD6CB2">
            <w:pPr>
              <w:jc w:val="center"/>
              <w:rPr>
                <w:color w:val="000000" w:themeColor="text1"/>
                <w14:textFill>
                  <w14:solidFill>
                    <w14:schemeClr w14:val="tx1"/>
                  </w14:solidFill>
                </w14:textFill>
              </w:rPr>
            </w:pPr>
            <w:r>
              <w:rPr>
                <w:color w:val="000000" w:themeColor="text1"/>
                <w14:textFill>
                  <w14:solidFill>
                    <w14:schemeClr w14:val="tx1"/>
                  </w14:solidFill>
                </w14:textFill>
              </w:rPr>
              <w:t>直接排放</w:t>
            </w:r>
          </w:p>
        </w:tc>
        <w:tc>
          <w:tcPr>
            <w:tcW w:w="2519" w:type="pct"/>
            <w:vAlign w:val="center"/>
          </w:tcPr>
          <w:p w14:paraId="6EFFC26D">
            <w:pPr>
              <w:jc w:val="center"/>
              <w:rPr>
                <w:color w:val="000000" w:themeColor="text1"/>
                <w14:textFill>
                  <w14:solidFill>
                    <w14:schemeClr w14:val="tx1"/>
                  </w14:solidFill>
                </w14:textFill>
              </w:rPr>
            </w:pPr>
            <w:r>
              <w:rPr>
                <w:color w:val="000000" w:themeColor="text1"/>
                <w14:textFill>
                  <w14:solidFill>
                    <w14:schemeClr w14:val="tx1"/>
                  </w14:solidFill>
                </w14:textFill>
              </w:rPr>
              <w:t>Q≥20000或W≥600000</w:t>
            </w:r>
          </w:p>
        </w:tc>
      </w:tr>
      <w:tr w14:paraId="228DCF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66" w:type="pct"/>
            <w:vAlign w:val="center"/>
          </w:tcPr>
          <w:p w14:paraId="04361759">
            <w:pPr>
              <w:jc w:val="center"/>
              <w:rPr>
                <w:color w:val="000000" w:themeColor="text1"/>
                <w14:textFill>
                  <w14:solidFill>
                    <w14:schemeClr w14:val="tx1"/>
                  </w14:solidFill>
                </w14:textFill>
              </w:rPr>
            </w:pPr>
            <w:r>
              <w:rPr>
                <w:color w:val="000000" w:themeColor="text1"/>
                <w14:textFill>
                  <w14:solidFill>
                    <w14:schemeClr w14:val="tx1"/>
                  </w14:solidFill>
                </w14:textFill>
              </w:rPr>
              <w:t>二级</w:t>
            </w:r>
          </w:p>
        </w:tc>
        <w:tc>
          <w:tcPr>
            <w:tcW w:w="814" w:type="pct"/>
            <w:vAlign w:val="center"/>
          </w:tcPr>
          <w:p w14:paraId="2A2A5FCA">
            <w:pPr>
              <w:jc w:val="center"/>
              <w:rPr>
                <w:color w:val="000000" w:themeColor="text1"/>
                <w14:textFill>
                  <w14:solidFill>
                    <w14:schemeClr w14:val="tx1"/>
                  </w14:solidFill>
                </w14:textFill>
              </w:rPr>
            </w:pPr>
            <w:r>
              <w:rPr>
                <w:color w:val="000000" w:themeColor="text1"/>
                <w14:textFill>
                  <w14:solidFill>
                    <w14:schemeClr w14:val="tx1"/>
                  </w14:solidFill>
                </w14:textFill>
              </w:rPr>
              <w:t>直接排放</w:t>
            </w:r>
          </w:p>
        </w:tc>
        <w:tc>
          <w:tcPr>
            <w:tcW w:w="2519" w:type="pct"/>
            <w:vAlign w:val="center"/>
          </w:tcPr>
          <w:p w14:paraId="36A99389">
            <w:pPr>
              <w:jc w:val="center"/>
              <w:rPr>
                <w:color w:val="000000" w:themeColor="text1"/>
                <w14:textFill>
                  <w14:solidFill>
                    <w14:schemeClr w14:val="tx1"/>
                  </w14:solidFill>
                </w14:textFill>
              </w:rPr>
            </w:pPr>
            <w:r>
              <w:rPr>
                <w:color w:val="000000" w:themeColor="text1"/>
                <w14:textFill>
                  <w14:solidFill>
                    <w14:schemeClr w14:val="tx1"/>
                  </w14:solidFill>
                </w14:textFill>
              </w:rPr>
              <w:t>其他</w:t>
            </w:r>
          </w:p>
        </w:tc>
      </w:tr>
      <w:tr w14:paraId="58FBC6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66" w:type="pct"/>
            <w:vAlign w:val="center"/>
          </w:tcPr>
          <w:p w14:paraId="3566EE0F">
            <w:pPr>
              <w:jc w:val="center"/>
              <w:rPr>
                <w:color w:val="000000" w:themeColor="text1"/>
                <w14:textFill>
                  <w14:solidFill>
                    <w14:schemeClr w14:val="tx1"/>
                  </w14:solidFill>
                </w14:textFill>
              </w:rPr>
            </w:pPr>
            <w:r>
              <w:rPr>
                <w:color w:val="000000" w:themeColor="text1"/>
                <w14:textFill>
                  <w14:solidFill>
                    <w14:schemeClr w14:val="tx1"/>
                  </w14:solidFill>
                </w14:textFill>
              </w:rPr>
              <w:t>三级A</w:t>
            </w:r>
          </w:p>
        </w:tc>
        <w:tc>
          <w:tcPr>
            <w:tcW w:w="814" w:type="pct"/>
            <w:vAlign w:val="center"/>
          </w:tcPr>
          <w:p w14:paraId="48C786F9">
            <w:pPr>
              <w:jc w:val="center"/>
              <w:rPr>
                <w:color w:val="000000" w:themeColor="text1"/>
                <w14:textFill>
                  <w14:solidFill>
                    <w14:schemeClr w14:val="tx1"/>
                  </w14:solidFill>
                </w14:textFill>
              </w:rPr>
            </w:pPr>
            <w:r>
              <w:rPr>
                <w:color w:val="000000" w:themeColor="text1"/>
                <w14:textFill>
                  <w14:solidFill>
                    <w14:schemeClr w14:val="tx1"/>
                  </w14:solidFill>
                </w14:textFill>
              </w:rPr>
              <w:t>直接排放</w:t>
            </w:r>
          </w:p>
        </w:tc>
        <w:tc>
          <w:tcPr>
            <w:tcW w:w="2519" w:type="pct"/>
            <w:vAlign w:val="center"/>
          </w:tcPr>
          <w:p w14:paraId="2991C9E9">
            <w:pPr>
              <w:jc w:val="center"/>
              <w:rPr>
                <w:color w:val="000000" w:themeColor="text1"/>
                <w14:textFill>
                  <w14:solidFill>
                    <w14:schemeClr w14:val="tx1"/>
                  </w14:solidFill>
                </w14:textFill>
              </w:rPr>
            </w:pPr>
            <w:r>
              <w:rPr>
                <w:color w:val="000000" w:themeColor="text1"/>
                <w14:textFill>
                  <w14:solidFill>
                    <w14:schemeClr w14:val="tx1"/>
                  </w14:solidFill>
                </w14:textFill>
              </w:rPr>
              <w:t>Q&lt;200且W&lt;6000</w:t>
            </w:r>
          </w:p>
        </w:tc>
      </w:tr>
      <w:tr w14:paraId="772ED5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66" w:type="pct"/>
            <w:vAlign w:val="center"/>
          </w:tcPr>
          <w:p w14:paraId="4DEC118A">
            <w:pPr>
              <w:jc w:val="center"/>
              <w:rPr>
                <w:color w:val="000000" w:themeColor="text1"/>
                <w14:textFill>
                  <w14:solidFill>
                    <w14:schemeClr w14:val="tx1"/>
                  </w14:solidFill>
                </w14:textFill>
              </w:rPr>
            </w:pPr>
            <w:r>
              <w:rPr>
                <w:color w:val="000000" w:themeColor="text1"/>
                <w14:textFill>
                  <w14:solidFill>
                    <w14:schemeClr w14:val="tx1"/>
                  </w14:solidFill>
                </w14:textFill>
              </w:rPr>
              <w:t>三级B</w:t>
            </w:r>
          </w:p>
        </w:tc>
        <w:tc>
          <w:tcPr>
            <w:tcW w:w="814" w:type="pct"/>
            <w:vAlign w:val="center"/>
          </w:tcPr>
          <w:p w14:paraId="7469AE27">
            <w:pPr>
              <w:jc w:val="center"/>
              <w:rPr>
                <w:color w:val="000000" w:themeColor="text1"/>
                <w14:textFill>
                  <w14:solidFill>
                    <w14:schemeClr w14:val="tx1"/>
                  </w14:solidFill>
                </w14:textFill>
              </w:rPr>
            </w:pPr>
            <w:r>
              <w:rPr>
                <w:color w:val="000000" w:themeColor="text1"/>
                <w14:textFill>
                  <w14:solidFill>
                    <w14:schemeClr w14:val="tx1"/>
                  </w14:solidFill>
                </w14:textFill>
              </w:rPr>
              <w:t>间接排放</w:t>
            </w:r>
          </w:p>
        </w:tc>
        <w:tc>
          <w:tcPr>
            <w:tcW w:w="2519" w:type="pct"/>
            <w:vAlign w:val="center"/>
          </w:tcPr>
          <w:p w14:paraId="154AF1E7">
            <w:pPr>
              <w:jc w:val="center"/>
              <w:rPr>
                <w:color w:val="000000" w:themeColor="text1"/>
                <w14:textFill>
                  <w14:solidFill>
                    <w14:schemeClr w14:val="tx1"/>
                  </w14:solidFill>
                </w14:textFill>
              </w:rPr>
            </w:pPr>
            <w:r>
              <w:rPr>
                <w:color w:val="000000" w:themeColor="text1"/>
                <w14:textFill>
                  <w14:solidFill>
                    <w14:schemeClr w14:val="tx1"/>
                  </w14:solidFill>
                </w14:textFill>
              </w:rPr>
              <w:t>--</w:t>
            </w:r>
          </w:p>
        </w:tc>
      </w:tr>
      <w:tr w14:paraId="380090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0" w:type="pct"/>
            <w:gridSpan w:val="3"/>
            <w:vAlign w:val="center"/>
          </w:tcPr>
          <w:p w14:paraId="5ABDA9E2">
            <w:pPr>
              <w:jc w:val="both"/>
              <w:rPr>
                <w:color w:val="000000" w:themeColor="text1"/>
                <w14:textFill>
                  <w14:solidFill>
                    <w14:schemeClr w14:val="tx1"/>
                  </w14:solidFill>
                </w14:textFill>
              </w:rPr>
            </w:pPr>
            <w:r>
              <w:rPr>
                <w:color w:val="000000" w:themeColor="text1"/>
                <w14:textFill>
                  <w14:solidFill>
                    <w14:schemeClr w14:val="tx1"/>
                  </w14:solidFill>
                </w14:textFill>
              </w:rPr>
              <w:t>注1：水污染物当量数等于该污染物的年排放量除以该污染物的污染当量值（见附录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392B1872">
            <w:pPr>
              <w:jc w:val="both"/>
              <w:rPr>
                <w:color w:val="000000" w:themeColor="text1"/>
                <w14:textFill>
                  <w14:solidFill>
                    <w14:schemeClr w14:val="tx1"/>
                  </w14:solidFill>
                </w14:textFill>
              </w:rPr>
            </w:pPr>
            <w:r>
              <w:rPr>
                <w:color w:val="000000" w:themeColor="text1"/>
                <w14:textFill>
                  <w14:solidFill>
                    <w14:schemeClr w14:val="tx1"/>
                  </w14:solidFill>
                </w14:textFill>
              </w:rPr>
              <w:t>注2：废水排放量按行业排放标准中规定的废水种类统计，没有相关行业排放标准要求的通过工程分析合理确定，应统计含热量大的冷却水的排放量，可不统计间接冷却水、循环水及其他含污染物极少的清净下水的排放量。</w:t>
            </w:r>
          </w:p>
          <w:p w14:paraId="4555A2FB">
            <w:pPr>
              <w:jc w:val="both"/>
              <w:rPr>
                <w:color w:val="000000" w:themeColor="text1"/>
                <w14:textFill>
                  <w14:solidFill>
                    <w14:schemeClr w14:val="tx1"/>
                  </w14:solidFill>
                </w14:textFill>
              </w:rPr>
            </w:pPr>
            <w:r>
              <w:rPr>
                <w:color w:val="000000" w:themeColor="text1"/>
                <w14:textFill>
                  <w14:solidFill>
                    <w14:schemeClr w14:val="tx1"/>
                  </w14:solidFill>
                </w14:textFill>
              </w:rPr>
              <w:t>注3：厂区存在堆积物（露天堆放的原料、燃料、废渣等以及垃圾堆放场）、降尘污染的，应将初期雨污水纳入废水排放量，相应的主要污染物纳入水污染当量计算。</w:t>
            </w:r>
          </w:p>
          <w:p w14:paraId="015A61A9">
            <w:pPr>
              <w:jc w:val="both"/>
              <w:rPr>
                <w:color w:val="000000" w:themeColor="text1"/>
                <w14:textFill>
                  <w14:solidFill>
                    <w14:schemeClr w14:val="tx1"/>
                  </w14:solidFill>
                </w14:textFill>
              </w:rPr>
            </w:pPr>
            <w:r>
              <w:rPr>
                <w:color w:val="000000" w:themeColor="text1"/>
                <w14:textFill>
                  <w14:solidFill>
                    <w14:schemeClr w14:val="tx1"/>
                  </w14:solidFill>
                </w14:textFill>
              </w:rPr>
              <w:t>注4：建设项目直接排放第一类污染物的，其评价等级为一级；建设项目直接排放的污染物为受纳水体超标因子的，评价等级不低于二级。</w:t>
            </w:r>
          </w:p>
          <w:p w14:paraId="03614825">
            <w:pPr>
              <w:jc w:val="both"/>
              <w:rPr>
                <w:color w:val="000000" w:themeColor="text1"/>
                <w14:textFill>
                  <w14:solidFill>
                    <w14:schemeClr w14:val="tx1"/>
                  </w14:solidFill>
                </w14:textFill>
              </w:rPr>
            </w:pPr>
            <w:r>
              <w:rPr>
                <w:color w:val="000000" w:themeColor="text1"/>
                <w14:textFill>
                  <w14:solidFill>
                    <w14:schemeClr w14:val="tx1"/>
                  </w14:solidFill>
                </w14:textFill>
              </w:rPr>
              <w:t>注5：直接排放受纳水体影响范围涉及饮用水水源保护区、饮用水取水口、重点保护与珍稀水生生物的栖息地、重要水生生物的自然产卵场等保护目标时，评价等级不低于二级。</w:t>
            </w:r>
          </w:p>
          <w:p w14:paraId="46196C50">
            <w:pPr>
              <w:jc w:val="both"/>
              <w:rPr>
                <w:color w:val="000000" w:themeColor="text1"/>
                <w14:textFill>
                  <w14:solidFill>
                    <w14:schemeClr w14:val="tx1"/>
                  </w14:solidFill>
                </w14:textFill>
              </w:rPr>
            </w:pPr>
            <w:r>
              <w:rPr>
                <w:color w:val="000000" w:themeColor="text1"/>
                <w14:textFill>
                  <w14:solidFill>
                    <w14:schemeClr w14:val="tx1"/>
                  </w14:solidFill>
                </w14:textFill>
              </w:rPr>
              <w:t>注6：建设项目向河流、湖库排放温排水引起受纳水体水温变化超过水环境质量标准要求，且评价范围有水温敏感目标时，评价等级为一级。</w:t>
            </w:r>
          </w:p>
          <w:p w14:paraId="585D193A">
            <w:pPr>
              <w:jc w:val="both"/>
              <w:rPr>
                <w:color w:val="000000" w:themeColor="text1"/>
                <w14:textFill>
                  <w14:solidFill>
                    <w14:schemeClr w14:val="tx1"/>
                  </w14:solidFill>
                </w14:textFill>
              </w:rPr>
            </w:pPr>
            <w:r>
              <w:rPr>
                <w:color w:val="000000" w:themeColor="text1"/>
                <w14:textFill>
                  <w14:solidFill>
                    <w14:schemeClr w14:val="tx1"/>
                  </w14:solidFill>
                </w14:textFill>
              </w:rPr>
              <w:t>注7：建设项目利用海水作为调节温度介质，排水量≥500万m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/d，评价等级为一级；排水量＜500万m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/d，评价等级为二级。</w:t>
            </w:r>
          </w:p>
          <w:p w14:paraId="069DB0B2">
            <w:pPr>
              <w:jc w:val="both"/>
              <w:rPr>
                <w:color w:val="000000" w:themeColor="text1"/>
                <w14:textFill>
                  <w14:solidFill>
                    <w14:schemeClr w14:val="tx1"/>
                  </w14:solidFill>
                </w14:textFill>
              </w:rPr>
            </w:pPr>
            <w:r>
              <w:rPr>
                <w:color w:val="000000" w:themeColor="text1"/>
                <w14:textFill>
                  <w14:solidFill>
                    <w14:schemeClr w14:val="tx1"/>
                  </w14:solidFill>
                </w14:textFill>
              </w:rPr>
              <w:t>注8：仅涉及清净下水排放的，如其排放水质满足受纳水体水环境质量标准要求的，评价等级为三级A。</w:t>
            </w:r>
          </w:p>
          <w:p w14:paraId="6A906258">
            <w:pPr>
              <w:jc w:val="both"/>
              <w:rPr>
                <w:color w:val="000000" w:themeColor="text1"/>
                <w14:textFill>
                  <w14:solidFill>
                    <w14:schemeClr w14:val="tx1"/>
                  </w14:solidFill>
                </w14:textFill>
              </w:rPr>
            </w:pPr>
            <w:r>
              <w:rPr>
                <w:color w:val="000000" w:themeColor="text1"/>
                <w14:textFill>
                  <w14:solidFill>
                    <w14:schemeClr w14:val="tx1"/>
                  </w14:solidFill>
                </w14:textFill>
              </w:rPr>
              <w:t>注9：依托现有排放口，且对外环境未新增排放污染物的直接排放建设项目，评价等级参照间接排放，定为三级B。</w:t>
            </w:r>
          </w:p>
          <w:p w14:paraId="4019C753">
            <w:pPr>
              <w:jc w:val="both"/>
              <w:rPr>
                <w:color w:val="000000" w:themeColor="text1"/>
                <w14:textFill>
                  <w14:solidFill>
                    <w14:schemeClr w14:val="tx1"/>
                  </w14:solidFill>
                </w14:textFill>
              </w:rPr>
            </w:pPr>
            <w:r>
              <w:rPr>
                <w:color w:val="000000" w:themeColor="text1"/>
                <w14:textFill>
                  <w14:solidFill>
                    <w14:schemeClr w14:val="tx1"/>
                  </w14:solidFill>
                </w14:textFill>
              </w:rPr>
              <w:t>注10：建设项目生产工艺中有废水产生，但作为回水利用，不排放到外环境的，按三级B评价。</w:t>
            </w:r>
          </w:p>
        </w:tc>
      </w:tr>
    </w:tbl>
    <w:p w14:paraId="08B70D94">
      <w:pPr>
        <w:spacing w:line="360" w:lineRule="auto"/>
        <w:ind w:firstLine="561" w:firstLineChars="234"/>
        <w:jc w:val="both"/>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项目生活污水</w:t>
      </w:r>
      <w:r>
        <w:rPr>
          <w:rFonts w:hint="eastAsia"/>
          <w:color w:val="000000" w:themeColor="text1"/>
          <w:kern w:val="0"/>
          <w:sz w:val="24"/>
          <w14:textFill>
            <w14:solidFill>
              <w14:schemeClr w14:val="tx1"/>
            </w14:solidFill>
          </w14:textFill>
        </w:rPr>
        <w:t>排</w:t>
      </w:r>
      <w:r>
        <w:rPr>
          <w:color w:val="000000" w:themeColor="text1"/>
          <w:kern w:val="0"/>
          <w:sz w:val="24"/>
          <w14:textFill>
            <w14:solidFill>
              <w14:schemeClr w14:val="tx1"/>
            </w14:solidFill>
          </w14:textFill>
        </w:rPr>
        <w:t>入</w:t>
      </w:r>
      <w:r>
        <w:rPr>
          <w:rFonts w:hint="eastAsia"/>
          <w:color w:val="000000" w:themeColor="text1"/>
          <w:kern w:val="0"/>
          <w:sz w:val="24"/>
          <w14:textFill>
            <w14:solidFill>
              <w14:schemeClr w14:val="tx1"/>
            </w14:solidFill>
          </w14:textFill>
        </w:rPr>
        <w:t>化粪池</w:t>
      </w:r>
      <w:r>
        <w:rPr>
          <w:color w:val="000000" w:themeColor="text1"/>
          <w:kern w:val="0"/>
          <w:sz w:val="24"/>
          <w14:textFill>
            <w14:solidFill>
              <w14:schemeClr w14:val="tx1"/>
            </w14:solidFill>
          </w14:textFill>
        </w:rPr>
        <w:t>处理后用作农肥，粪污进行综合利用，无废水外排，根据《环境影响评价技术导则 地表水环境》（HJ2.3-2018），确定本项目</w:t>
      </w:r>
      <w:r>
        <w:rPr>
          <w:b/>
          <w:bCs/>
          <w:color w:val="000000" w:themeColor="text1"/>
          <w:kern w:val="0"/>
          <w:sz w:val="24"/>
          <w14:textFill>
            <w14:solidFill>
              <w14:schemeClr w14:val="tx1"/>
            </w14:solidFill>
          </w14:textFill>
        </w:rPr>
        <w:t>地表水环境评价等级为三级B</w:t>
      </w:r>
      <w:r>
        <w:rPr>
          <w:color w:val="000000" w:themeColor="text1"/>
          <w:kern w:val="0"/>
          <w:sz w:val="24"/>
          <w14:textFill>
            <w14:solidFill>
              <w14:schemeClr w14:val="tx1"/>
            </w14:solidFill>
          </w14:textFill>
        </w:rPr>
        <w:t>。</w:t>
      </w:r>
    </w:p>
    <w:p w14:paraId="7190A6C0">
      <w:pPr>
        <w:pStyle w:val="752"/>
        <w:rPr>
          <w:rFonts w:cs="Times New Roman"/>
          <w:color w:val="000000" w:themeColor="text1"/>
          <w14:textFill>
            <w14:solidFill>
              <w14:schemeClr w14:val="tx1"/>
            </w14:solidFill>
          </w14:textFill>
        </w:rPr>
      </w:pPr>
      <w:bookmarkStart w:id="133" w:name="_Toc24430"/>
      <w:bookmarkStart w:id="134" w:name="_Toc97"/>
      <w:bookmarkStart w:id="135" w:name="_Toc9854_WPSOffice_Level3"/>
      <w:bookmarkStart w:id="136" w:name="_Toc3028_WPSOffice_Level3"/>
      <w:bookmarkStart w:id="137" w:name="_Toc21529546"/>
      <w:bookmarkStart w:id="138" w:name="_Toc233380119"/>
      <w:r>
        <w:rPr>
          <w:rFonts w:cs="Times New Roman"/>
          <w:color w:val="000000" w:themeColor="text1"/>
          <w14:textFill>
            <w14:solidFill>
              <w14:schemeClr w14:val="tx1"/>
            </w14:solidFill>
          </w14:textFill>
        </w:rPr>
        <w:t>2.4.3地下水环境评价工作等级</w:t>
      </w:r>
      <w:bookmarkEnd w:id="133"/>
      <w:bookmarkEnd w:id="134"/>
      <w:bookmarkEnd w:id="135"/>
      <w:bookmarkEnd w:id="136"/>
      <w:bookmarkEnd w:id="137"/>
      <w:bookmarkEnd w:id="138"/>
    </w:p>
    <w:p w14:paraId="555A1899">
      <w:pPr>
        <w:autoSpaceDE w:val="0"/>
        <w:autoSpaceDN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根据《环境影响评价技术导则 地下水环境》（HJ610-2016），本项目属于</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畜禽养殖场、养殖小区中年出栏生猪5000头</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其他畜禽种类折合猪的养殖规模</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及以上</w:t>
      </w:r>
      <w:r>
        <w:rPr>
          <w:rFonts w:hint="eastAsia"/>
          <w:color w:val="000000" w:themeColor="text1"/>
          <w:sz w:val="24"/>
          <w14:textFill>
            <w14:solidFill>
              <w14:schemeClr w14:val="tx1"/>
            </w14:solidFill>
          </w14:textFill>
        </w:rPr>
        <w:t>”</w:t>
      </w:r>
      <w:r>
        <w:rPr>
          <w:color w:val="FF0000"/>
          <w:sz w:val="24"/>
        </w:rPr>
        <w:t>本项目为建设标准化的肉牛养殖场，年出栏21180头，</w:t>
      </w:r>
      <w:r>
        <w:rPr>
          <w:b/>
          <w:bCs/>
          <w:color w:val="000000" w:themeColor="text1"/>
          <w:sz w:val="24"/>
          <w14:textFill>
            <w14:solidFill>
              <w14:schemeClr w14:val="tx1"/>
            </w14:solidFill>
          </w14:textFill>
        </w:rPr>
        <w:t>对应折算成105900头猪</w:t>
      </w:r>
      <w:r>
        <w:rPr>
          <w:color w:val="000000" w:themeColor="text1"/>
          <w:sz w:val="24"/>
          <w14:textFill>
            <w14:solidFill>
              <w14:schemeClr w14:val="tx1"/>
            </w14:solidFill>
          </w14:textFill>
        </w:rPr>
        <w:t>，编制环境影响报告书，故地下水环境影响评价项目类别属Ⅲ类；</w:t>
      </w:r>
      <w:r>
        <w:rPr>
          <w:b/>
          <w:bCs/>
          <w:color w:val="000000" w:themeColor="text1"/>
          <w:sz w:val="24"/>
          <w:szCs w:val="23"/>
          <w14:textFill>
            <w14:solidFill>
              <w14:schemeClr w14:val="tx1"/>
            </w14:solidFill>
          </w14:textFill>
        </w:rPr>
        <w:t>本项目地下水评价范围无集中式饮用水水源准保护区、国家或地方政府设定的与地下水环境相关的其它保护区。</w:t>
      </w:r>
      <w:r>
        <w:rPr>
          <w:color w:val="000000" w:themeColor="text1"/>
          <w:sz w:val="24"/>
          <w:szCs w:val="23"/>
          <w14:textFill>
            <w14:solidFill>
              <w14:schemeClr w14:val="tx1"/>
            </w14:solidFill>
          </w14:textFill>
        </w:rPr>
        <w:t>根据现场踏勘情况，本项目地下水评价区内市政自来水供水管网已接通，项目周边居民饮用自来水，周围居民不饮用地下水，考虑评价范围内分布有少量地下水井，因此，地下水环境敏感特征判断为较敏感。依照《环境影响评价技术导则 地下水环境》（HJ610-2016）评价工作等级分级表，确定建设项目地下水环境影响评价工作等级为三级，</w:t>
      </w:r>
      <w:r>
        <w:rPr>
          <w:color w:val="000000" w:themeColor="text1"/>
          <w:sz w:val="24"/>
          <w14:textFill>
            <w14:solidFill>
              <w14:schemeClr w14:val="tx1"/>
            </w14:solidFill>
          </w14:textFill>
        </w:rPr>
        <w:t>地下水环境敏感程度分级见表2.4-7，地下水环境影响评价工作等级分级见表2.4-8。</w:t>
      </w:r>
    </w:p>
    <w:p w14:paraId="7D6415D3">
      <w:pPr>
        <w:pStyle w:val="814"/>
        <w:numPr>
          <w:ilvl w:val="0"/>
          <w:numId w:val="22"/>
        </w:numPr>
        <w:snapToGrid w:val="0"/>
        <w:spacing w:line="240" w:lineRule="auto"/>
        <w:rPr>
          <w:b/>
          <w:bCs/>
          <w:color w:val="000000" w:themeColor="text1"/>
          <w14:textFill>
            <w14:solidFill>
              <w14:schemeClr w14:val="tx1"/>
            </w14:solidFill>
          </w14:textFill>
        </w:rPr>
      </w:pPr>
      <w:bookmarkStart w:id="139" w:name="_Toc31145_WPSOffice_Level3"/>
      <w:bookmarkStart w:id="140" w:name="_Toc24457_WPSOffice_Level3"/>
      <w:r>
        <w:rPr>
          <w:b/>
          <w:bCs/>
          <w:color w:val="000000" w:themeColor="text1"/>
          <w14:textFill>
            <w14:solidFill>
              <w14:schemeClr w14:val="tx1"/>
            </w14:solidFill>
          </w14:textFill>
        </w:rPr>
        <w:t>地下水环境敏感程度分级表</w:t>
      </w:r>
      <w:bookmarkEnd w:id="139"/>
      <w:bookmarkEnd w:id="140"/>
    </w:p>
    <w:tbl>
      <w:tblPr>
        <w:tblStyle w:val="88"/>
        <w:tblW w:w="888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8"/>
        <w:gridCol w:w="7419"/>
      </w:tblGrid>
      <w:tr w14:paraId="170BC7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468" w:type="dxa"/>
            <w:vAlign w:val="center"/>
          </w:tcPr>
          <w:p w14:paraId="03A63DFC">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敏感程度</w:t>
            </w:r>
          </w:p>
        </w:tc>
        <w:tc>
          <w:tcPr>
            <w:tcW w:w="7419" w:type="dxa"/>
            <w:vAlign w:val="center"/>
          </w:tcPr>
          <w:p w14:paraId="1BA4A99E">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地下水环境敏感特征</w:t>
            </w:r>
          </w:p>
        </w:tc>
      </w:tr>
      <w:tr w14:paraId="52490C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468" w:type="dxa"/>
            <w:vAlign w:val="center"/>
          </w:tcPr>
          <w:p w14:paraId="39E9919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敏感</w:t>
            </w:r>
          </w:p>
        </w:tc>
        <w:tc>
          <w:tcPr>
            <w:tcW w:w="7419" w:type="dxa"/>
            <w:vAlign w:val="center"/>
          </w:tcPr>
          <w:p w14:paraId="508325A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14:paraId="6CA99E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37" w:hRule="atLeast"/>
          <w:jc w:val="center"/>
        </w:trPr>
        <w:tc>
          <w:tcPr>
            <w:tcW w:w="1468" w:type="dxa"/>
            <w:vAlign w:val="center"/>
          </w:tcPr>
          <w:p w14:paraId="577DF69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较敏感</w:t>
            </w:r>
          </w:p>
        </w:tc>
        <w:tc>
          <w:tcPr>
            <w:tcW w:w="7419" w:type="dxa"/>
            <w:vAlign w:val="center"/>
          </w:tcPr>
          <w:p w14:paraId="16699C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集中式饮用水水源（包括已建成的在用、备用、应急水源，在建和规划的饮用水水源）准保护区以外的补给径流区；未划定准保护区的集中式饮用水水源，其保护区以外的补给径流区；分散式饮用水水源地；特殊地下资源（如矿泉水、温泉等）保护区以外的分布区等其他未列入上述敏感分级的环境敏感区。</w:t>
            </w:r>
          </w:p>
        </w:tc>
      </w:tr>
      <w:tr w14:paraId="5E4DFF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68" w:type="dxa"/>
            <w:vAlign w:val="center"/>
          </w:tcPr>
          <w:p w14:paraId="42215E5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不敏感</w:t>
            </w:r>
          </w:p>
        </w:tc>
        <w:tc>
          <w:tcPr>
            <w:tcW w:w="7419" w:type="dxa"/>
            <w:vAlign w:val="center"/>
          </w:tcPr>
          <w:p w14:paraId="152C44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上述地区之外的其他地区</w:t>
            </w:r>
          </w:p>
        </w:tc>
      </w:tr>
      <w:tr w14:paraId="34FE25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887" w:type="dxa"/>
            <w:gridSpan w:val="2"/>
            <w:vAlign w:val="center"/>
          </w:tcPr>
          <w:p w14:paraId="716118B7">
            <w:pPr>
              <w:rPr>
                <w:color w:val="000000" w:themeColor="text1"/>
                <w:szCs w:val="21"/>
                <w14:textFill>
                  <w14:solidFill>
                    <w14:schemeClr w14:val="tx1"/>
                  </w14:solidFill>
                </w14:textFill>
              </w:rPr>
            </w:pPr>
            <w:r>
              <w:rPr>
                <w:color w:val="000000" w:themeColor="text1"/>
                <w:szCs w:val="21"/>
                <w14:textFill>
                  <w14:solidFill>
                    <w14:schemeClr w14:val="tx1"/>
                  </w14:solidFill>
                </w14:textFill>
              </w:rPr>
              <w:t>注a：“环境敏感区”是指《建设项目环境影响评价分类管理名录》中所界定的涉及地下水的环境敏感区。</w:t>
            </w:r>
          </w:p>
        </w:tc>
      </w:tr>
    </w:tbl>
    <w:p w14:paraId="1502FD0D">
      <w:pPr>
        <w:pStyle w:val="814"/>
        <w:numPr>
          <w:ilvl w:val="0"/>
          <w:numId w:val="22"/>
        </w:numPr>
        <w:snapToGrid w:val="0"/>
        <w:spacing w:line="240" w:lineRule="auto"/>
        <w:rPr>
          <w:b/>
          <w:bCs/>
          <w:color w:val="000000" w:themeColor="text1"/>
          <w14:textFill>
            <w14:solidFill>
              <w14:schemeClr w14:val="tx1"/>
            </w14:solidFill>
          </w14:textFill>
        </w:rPr>
      </w:pPr>
      <w:bookmarkStart w:id="141" w:name="_Toc517_WPSOffice_Level3"/>
      <w:bookmarkStart w:id="142" w:name="_Toc15181_WPSOffice_Level3"/>
      <w:r>
        <w:rPr>
          <w:b/>
          <w:bCs/>
          <w:color w:val="000000" w:themeColor="text1"/>
          <w14:textFill>
            <w14:solidFill>
              <w14:schemeClr w14:val="tx1"/>
            </w14:solidFill>
          </w14:textFill>
        </w:rPr>
        <w:t>评价工作等级分级表</w:t>
      </w:r>
      <w:bookmarkEnd w:id="141"/>
      <w:bookmarkEnd w:id="142"/>
    </w:p>
    <w:tbl>
      <w:tblPr>
        <w:tblStyle w:val="88"/>
        <w:tblW w:w="888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222"/>
        <w:gridCol w:w="2221"/>
        <w:gridCol w:w="2223"/>
        <w:gridCol w:w="2222"/>
      </w:tblGrid>
      <w:tr w14:paraId="7AA5AC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704" w:hRule="atLeast"/>
          <w:jc w:val="center"/>
        </w:trPr>
        <w:tc>
          <w:tcPr>
            <w:tcW w:w="2222" w:type="dxa"/>
            <w:tcBorders>
              <w:bottom w:val="single" w:color="auto" w:sz="4" w:space="0"/>
              <w:right w:val="single" w:color="auto" w:sz="4" w:space="0"/>
              <w:tl2br w:val="single" w:color="auto" w:sz="6" w:space="0"/>
            </w:tcBorders>
            <w:vAlign w:val="bottom"/>
          </w:tcPr>
          <w:p w14:paraId="2EB2956B">
            <w:pPr>
              <w:jc w:val="right"/>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项目类别</w:t>
            </w:r>
          </w:p>
          <w:p w14:paraId="141AFE78">
            <w:pPr>
              <w:jc w:val="both"/>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环境敏感程度</w:t>
            </w:r>
          </w:p>
        </w:tc>
        <w:tc>
          <w:tcPr>
            <w:tcW w:w="2221" w:type="dxa"/>
            <w:tcBorders>
              <w:left w:val="single" w:color="auto" w:sz="4" w:space="0"/>
              <w:bottom w:val="single" w:color="auto" w:sz="4" w:space="0"/>
              <w:right w:val="single" w:color="auto" w:sz="4" w:space="0"/>
            </w:tcBorders>
            <w:vAlign w:val="center"/>
          </w:tcPr>
          <w:p w14:paraId="6AA0F7D7">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Ⅰ类项目</w:t>
            </w:r>
          </w:p>
        </w:tc>
        <w:tc>
          <w:tcPr>
            <w:tcW w:w="2223" w:type="dxa"/>
            <w:tcBorders>
              <w:left w:val="single" w:color="auto" w:sz="4" w:space="0"/>
              <w:bottom w:val="single" w:color="auto" w:sz="4" w:space="0"/>
              <w:right w:val="single" w:color="auto" w:sz="4" w:space="0"/>
            </w:tcBorders>
            <w:vAlign w:val="center"/>
          </w:tcPr>
          <w:p w14:paraId="3C50E06D">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Ⅱ类项目</w:t>
            </w:r>
          </w:p>
        </w:tc>
        <w:tc>
          <w:tcPr>
            <w:tcW w:w="2222" w:type="dxa"/>
            <w:tcBorders>
              <w:left w:val="single" w:color="auto" w:sz="4" w:space="0"/>
              <w:bottom w:val="single" w:color="auto" w:sz="4" w:space="0"/>
            </w:tcBorders>
            <w:vAlign w:val="center"/>
          </w:tcPr>
          <w:p w14:paraId="05BE8FF7">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Ⅲ类项目</w:t>
            </w:r>
          </w:p>
        </w:tc>
      </w:tr>
      <w:tr w14:paraId="32BB4B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1" w:hRule="atLeast"/>
          <w:jc w:val="center"/>
        </w:trPr>
        <w:tc>
          <w:tcPr>
            <w:tcW w:w="2222" w:type="dxa"/>
            <w:tcBorders>
              <w:top w:val="single" w:color="auto" w:sz="4" w:space="0"/>
              <w:bottom w:val="single" w:color="auto" w:sz="4" w:space="0"/>
              <w:right w:val="single" w:color="auto" w:sz="4" w:space="0"/>
            </w:tcBorders>
            <w:vAlign w:val="center"/>
          </w:tcPr>
          <w:p w14:paraId="40D5C10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敏感</w:t>
            </w:r>
          </w:p>
        </w:tc>
        <w:tc>
          <w:tcPr>
            <w:tcW w:w="2221" w:type="dxa"/>
            <w:tcBorders>
              <w:top w:val="single" w:color="auto" w:sz="4" w:space="0"/>
              <w:left w:val="single" w:color="auto" w:sz="4" w:space="0"/>
              <w:bottom w:val="single" w:color="auto" w:sz="4" w:space="0"/>
              <w:right w:val="single" w:color="auto" w:sz="4" w:space="0"/>
            </w:tcBorders>
            <w:vAlign w:val="center"/>
          </w:tcPr>
          <w:p w14:paraId="635BBA3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w:t>
            </w:r>
          </w:p>
        </w:tc>
        <w:tc>
          <w:tcPr>
            <w:tcW w:w="2223" w:type="dxa"/>
            <w:tcBorders>
              <w:top w:val="single" w:color="auto" w:sz="4" w:space="0"/>
              <w:left w:val="single" w:color="auto" w:sz="4" w:space="0"/>
              <w:bottom w:val="single" w:color="auto" w:sz="4" w:space="0"/>
              <w:right w:val="single" w:color="auto" w:sz="4" w:space="0"/>
            </w:tcBorders>
            <w:vAlign w:val="center"/>
          </w:tcPr>
          <w:p w14:paraId="51035CB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w:t>
            </w:r>
          </w:p>
        </w:tc>
        <w:tc>
          <w:tcPr>
            <w:tcW w:w="2222" w:type="dxa"/>
            <w:tcBorders>
              <w:top w:val="single" w:color="auto" w:sz="4" w:space="0"/>
              <w:left w:val="single" w:color="auto" w:sz="4" w:space="0"/>
              <w:bottom w:val="single" w:color="auto" w:sz="4" w:space="0"/>
            </w:tcBorders>
            <w:vAlign w:val="center"/>
          </w:tcPr>
          <w:p w14:paraId="0908D40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二</w:t>
            </w:r>
          </w:p>
        </w:tc>
      </w:tr>
      <w:tr w14:paraId="75A5B7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02" w:hRule="atLeast"/>
          <w:jc w:val="center"/>
        </w:trPr>
        <w:tc>
          <w:tcPr>
            <w:tcW w:w="2222" w:type="dxa"/>
            <w:tcBorders>
              <w:top w:val="single" w:color="auto" w:sz="4" w:space="0"/>
              <w:bottom w:val="single" w:color="auto" w:sz="4" w:space="0"/>
              <w:right w:val="single" w:color="auto" w:sz="4" w:space="0"/>
            </w:tcBorders>
            <w:vAlign w:val="center"/>
          </w:tcPr>
          <w:p w14:paraId="56433C0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较敏感</w:t>
            </w:r>
          </w:p>
        </w:tc>
        <w:tc>
          <w:tcPr>
            <w:tcW w:w="2221" w:type="dxa"/>
            <w:tcBorders>
              <w:top w:val="single" w:color="auto" w:sz="4" w:space="0"/>
              <w:left w:val="single" w:color="auto" w:sz="4" w:space="0"/>
              <w:bottom w:val="single" w:color="auto" w:sz="4" w:space="0"/>
              <w:right w:val="single" w:color="auto" w:sz="4" w:space="0"/>
            </w:tcBorders>
            <w:vAlign w:val="center"/>
          </w:tcPr>
          <w:p w14:paraId="6C63C27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w:t>
            </w:r>
          </w:p>
        </w:tc>
        <w:tc>
          <w:tcPr>
            <w:tcW w:w="2223" w:type="dxa"/>
            <w:tcBorders>
              <w:top w:val="single" w:color="auto" w:sz="4" w:space="0"/>
              <w:left w:val="single" w:color="auto" w:sz="4" w:space="0"/>
              <w:bottom w:val="single" w:color="auto" w:sz="4" w:space="0"/>
              <w:right w:val="single" w:color="auto" w:sz="4" w:space="0"/>
            </w:tcBorders>
            <w:vAlign w:val="center"/>
          </w:tcPr>
          <w:p w14:paraId="4A2775B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二</w:t>
            </w:r>
          </w:p>
        </w:tc>
        <w:tc>
          <w:tcPr>
            <w:tcW w:w="2222" w:type="dxa"/>
            <w:tcBorders>
              <w:top w:val="single" w:color="auto" w:sz="4" w:space="0"/>
              <w:left w:val="single" w:color="auto" w:sz="4" w:space="0"/>
              <w:bottom w:val="single" w:color="auto" w:sz="4" w:space="0"/>
            </w:tcBorders>
            <w:vAlign w:val="center"/>
          </w:tcPr>
          <w:p w14:paraId="66DADEE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三</w:t>
            </w:r>
            <w:r>
              <w:rPr>
                <w:color w:val="000000" w:themeColor="text1"/>
                <w:spacing w:val="-5"/>
                <w:szCs w:val="21"/>
                <w14:textFill>
                  <w14:solidFill>
                    <w14:schemeClr w14:val="tx1"/>
                  </w14:solidFill>
                </w14:textFill>
              </w:rPr>
              <w:t>（√）</w:t>
            </w:r>
          </w:p>
        </w:tc>
      </w:tr>
      <w:tr w14:paraId="3AF87A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0" w:hRule="atLeast"/>
          <w:jc w:val="center"/>
        </w:trPr>
        <w:tc>
          <w:tcPr>
            <w:tcW w:w="2222" w:type="dxa"/>
            <w:tcBorders>
              <w:top w:val="single" w:color="auto" w:sz="4" w:space="0"/>
              <w:right w:val="single" w:color="auto" w:sz="4" w:space="0"/>
            </w:tcBorders>
            <w:vAlign w:val="center"/>
          </w:tcPr>
          <w:p w14:paraId="71827D6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不敏感</w:t>
            </w:r>
          </w:p>
        </w:tc>
        <w:tc>
          <w:tcPr>
            <w:tcW w:w="2221" w:type="dxa"/>
            <w:tcBorders>
              <w:top w:val="single" w:color="auto" w:sz="4" w:space="0"/>
              <w:left w:val="single" w:color="auto" w:sz="4" w:space="0"/>
              <w:right w:val="single" w:color="auto" w:sz="4" w:space="0"/>
            </w:tcBorders>
            <w:vAlign w:val="center"/>
          </w:tcPr>
          <w:p w14:paraId="36125B4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二</w:t>
            </w:r>
          </w:p>
        </w:tc>
        <w:tc>
          <w:tcPr>
            <w:tcW w:w="2223" w:type="dxa"/>
            <w:tcBorders>
              <w:top w:val="single" w:color="auto" w:sz="4" w:space="0"/>
              <w:left w:val="single" w:color="auto" w:sz="4" w:space="0"/>
              <w:right w:val="single" w:color="auto" w:sz="4" w:space="0"/>
            </w:tcBorders>
            <w:vAlign w:val="center"/>
          </w:tcPr>
          <w:p w14:paraId="79453BF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三</w:t>
            </w:r>
          </w:p>
        </w:tc>
        <w:tc>
          <w:tcPr>
            <w:tcW w:w="2222" w:type="dxa"/>
            <w:tcBorders>
              <w:top w:val="single" w:color="auto" w:sz="4" w:space="0"/>
              <w:left w:val="single" w:color="auto" w:sz="4" w:space="0"/>
            </w:tcBorders>
            <w:vAlign w:val="center"/>
          </w:tcPr>
          <w:p w14:paraId="701A45E6">
            <w:pPr>
              <w:jc w:val="center"/>
              <w:rPr>
                <w:color w:val="000000" w:themeColor="text1"/>
                <w:szCs w:val="21"/>
                <w:shd w:val="pct10" w:color="auto" w:fill="FFFFFF"/>
                <w14:textFill>
                  <w14:solidFill>
                    <w14:schemeClr w14:val="tx1"/>
                  </w14:solidFill>
                </w14:textFill>
              </w:rPr>
            </w:pPr>
            <w:r>
              <w:rPr>
                <w:color w:val="000000" w:themeColor="text1"/>
                <w:spacing w:val="-5"/>
                <w:szCs w:val="21"/>
                <w14:textFill>
                  <w14:solidFill>
                    <w14:schemeClr w14:val="tx1"/>
                  </w14:solidFill>
                </w14:textFill>
              </w:rPr>
              <w:t>三</w:t>
            </w:r>
          </w:p>
        </w:tc>
      </w:tr>
    </w:tbl>
    <w:p w14:paraId="697B650D">
      <w:pPr>
        <w:pStyle w:val="752"/>
        <w:rPr>
          <w:rFonts w:cs="Times New Roman"/>
          <w:color w:val="000000" w:themeColor="text1"/>
          <w14:textFill>
            <w14:solidFill>
              <w14:schemeClr w14:val="tx1"/>
            </w14:solidFill>
          </w14:textFill>
        </w:rPr>
      </w:pPr>
      <w:bookmarkStart w:id="143" w:name="_Toc7979"/>
      <w:bookmarkStart w:id="144" w:name="_Toc2979"/>
      <w:bookmarkStart w:id="145" w:name="_Toc31846_WPSOffice_Level3"/>
      <w:bookmarkStart w:id="146" w:name="_Toc12651_WPSOffice_Level3"/>
      <w:bookmarkStart w:id="147" w:name="_Toc21529547"/>
      <w:bookmarkStart w:id="148" w:name="_Toc233380120"/>
      <w:r>
        <w:rPr>
          <w:rFonts w:cs="Times New Roman"/>
          <w:color w:val="000000" w:themeColor="text1"/>
          <w14:textFill>
            <w14:solidFill>
              <w14:schemeClr w14:val="tx1"/>
            </w14:solidFill>
          </w14:textFill>
        </w:rPr>
        <w:t>2.4.4声环境评价工作等级</w:t>
      </w:r>
      <w:bookmarkEnd w:id="143"/>
      <w:bookmarkEnd w:id="144"/>
      <w:bookmarkEnd w:id="145"/>
      <w:bookmarkEnd w:id="146"/>
      <w:bookmarkEnd w:id="147"/>
      <w:bookmarkEnd w:id="148"/>
    </w:p>
    <w:p w14:paraId="3DE09C0F">
      <w:pPr>
        <w:spacing w:line="360" w:lineRule="auto"/>
        <w:ind w:firstLine="480" w:firstLineChars="200"/>
        <w:jc w:val="both"/>
        <w:rPr>
          <w:sz w:val="24"/>
          <w:szCs w:val="32"/>
        </w:rPr>
      </w:pPr>
      <w:r>
        <w:rPr>
          <w:color w:val="000000" w:themeColor="text1"/>
          <w:sz w:val="24"/>
          <w:szCs w:val="32"/>
          <w14:textFill>
            <w14:solidFill>
              <w14:schemeClr w14:val="tx1"/>
            </w14:solidFill>
          </w14:textFill>
        </w:rPr>
        <w:t>本项目所在区域为</w:t>
      </w:r>
      <w:bookmarkStart w:id="149" w:name="OLE_LINK23"/>
      <w:r>
        <w:rPr>
          <w:color w:val="000000" w:themeColor="text1"/>
          <w:sz w:val="24"/>
          <w:szCs w:val="32"/>
          <w14:textFill>
            <w14:solidFill>
              <w14:schemeClr w14:val="tx1"/>
            </w14:solidFill>
          </w14:textFill>
        </w:rPr>
        <w:t>《声环境质量标准》（GB3096-2008）</w:t>
      </w:r>
      <w:bookmarkEnd w:id="149"/>
      <w:r>
        <w:rPr>
          <w:color w:val="000000" w:themeColor="text1"/>
          <w:sz w:val="24"/>
          <w:szCs w:val="32"/>
          <w14:textFill>
            <w14:solidFill>
              <w14:schemeClr w14:val="tx1"/>
            </w14:solidFill>
          </w14:textFill>
        </w:rPr>
        <w:t>规定的2类地区，建设项目建设前后评价范围内声环境保护目标噪声级增量小于3dB（A），且受噪声影响人口数量增加较多。按照《环境影响评价技术导则 声环境》（HJ2.4-2021）中有关规定，本项目</w:t>
      </w:r>
      <w:r>
        <w:rPr>
          <w:sz w:val="24"/>
          <w:szCs w:val="32"/>
        </w:rPr>
        <w:t>声环境影响评价等级确定为二级。</w:t>
      </w:r>
    </w:p>
    <w:p w14:paraId="6CCFBA59">
      <w:pPr>
        <w:pStyle w:val="814"/>
        <w:numPr>
          <w:ilvl w:val="0"/>
          <w:numId w:val="22"/>
        </w:numPr>
        <w:snapToGrid w:val="0"/>
        <w:spacing w:line="240" w:lineRule="auto"/>
        <w:rPr>
          <w:b/>
          <w:bCs/>
        </w:rPr>
      </w:pPr>
      <w:r>
        <w:rPr>
          <w:b/>
          <w:bCs/>
        </w:rPr>
        <w:t xml:space="preserve"> 声环境影响评价工作等级判定表</w:t>
      </w:r>
    </w:p>
    <w:tbl>
      <w:tblPr>
        <w:tblStyle w:val="1745"/>
        <w:tblW w:w="8852" w:type="dxa"/>
        <w:tblInd w:w="-263" w:type="dxa"/>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Layout w:type="fixed"/>
        <w:tblCellMar>
          <w:top w:w="0" w:type="dxa"/>
          <w:left w:w="0" w:type="dxa"/>
          <w:bottom w:w="0" w:type="dxa"/>
          <w:right w:w="0" w:type="dxa"/>
        </w:tblCellMar>
      </w:tblPr>
      <w:tblGrid>
        <w:gridCol w:w="2334"/>
        <w:gridCol w:w="1635"/>
        <w:gridCol w:w="1834"/>
        <w:gridCol w:w="1642"/>
        <w:gridCol w:w="1407"/>
      </w:tblGrid>
      <w:tr w14:paraId="6557E5DD">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54" w:hRule="atLeast"/>
        </w:trPr>
        <w:tc>
          <w:tcPr>
            <w:tcW w:w="2334" w:type="dxa"/>
            <w:tcBorders>
              <w:bottom w:val="single" w:color="000000" w:sz="4" w:space="0"/>
              <w:right w:val="single" w:color="000000" w:sz="4" w:space="0"/>
            </w:tcBorders>
            <w:vAlign w:val="center"/>
          </w:tcPr>
          <w:p w14:paraId="782CCC6F">
            <w:pPr>
              <w:widowControl/>
              <w:autoSpaceDE/>
              <w:autoSpaceDN/>
              <w:jc w:val="center"/>
              <w:rPr>
                <w:rFonts w:ascii="Times New Roman" w:hAnsi="Times New Roman" w:eastAsia="宋体"/>
                <w:szCs w:val="21"/>
                <w:lang w:eastAsia="en-US"/>
              </w:rPr>
            </w:pPr>
            <w:r>
              <w:rPr>
                <w:rFonts w:ascii="Times New Roman" w:hAnsi="Times New Roman" w:eastAsia="宋体"/>
                <w:b/>
                <w:bCs/>
                <w:spacing w:val="2"/>
                <w:szCs w:val="21"/>
                <w:lang w:eastAsia="en-US"/>
              </w:rPr>
              <w:t>项目</w:t>
            </w:r>
          </w:p>
        </w:tc>
        <w:tc>
          <w:tcPr>
            <w:tcW w:w="1635" w:type="dxa"/>
            <w:tcBorders>
              <w:left w:val="single" w:color="000000" w:sz="4" w:space="0"/>
              <w:bottom w:val="single" w:color="000000" w:sz="4" w:space="0"/>
              <w:right w:val="single" w:color="000000" w:sz="4" w:space="0"/>
            </w:tcBorders>
            <w:vAlign w:val="center"/>
          </w:tcPr>
          <w:p w14:paraId="69ABB1F0">
            <w:pPr>
              <w:widowControl/>
              <w:autoSpaceDE/>
              <w:autoSpaceDN/>
              <w:jc w:val="center"/>
              <w:rPr>
                <w:rFonts w:ascii="Times New Roman" w:hAnsi="Times New Roman" w:eastAsia="宋体"/>
                <w:szCs w:val="21"/>
                <w:lang w:eastAsia="en-US"/>
              </w:rPr>
            </w:pPr>
            <w:r>
              <w:rPr>
                <w:rFonts w:ascii="Times New Roman" w:hAnsi="Times New Roman" w:eastAsia="宋体"/>
                <w:b/>
                <w:bCs/>
                <w:spacing w:val="6"/>
                <w:szCs w:val="21"/>
                <w:lang w:eastAsia="en-US"/>
              </w:rPr>
              <w:t>环境噪声标准</w:t>
            </w:r>
          </w:p>
        </w:tc>
        <w:tc>
          <w:tcPr>
            <w:tcW w:w="1834" w:type="dxa"/>
            <w:tcBorders>
              <w:left w:val="single" w:color="000000" w:sz="4" w:space="0"/>
              <w:bottom w:val="single" w:color="000000" w:sz="4" w:space="0"/>
              <w:right w:val="single" w:color="000000" w:sz="4" w:space="0"/>
            </w:tcBorders>
            <w:vAlign w:val="center"/>
          </w:tcPr>
          <w:p w14:paraId="7AD62883">
            <w:pPr>
              <w:widowControl/>
              <w:autoSpaceDE/>
              <w:autoSpaceDN/>
              <w:jc w:val="center"/>
              <w:rPr>
                <w:rFonts w:ascii="Times New Roman" w:hAnsi="Times New Roman" w:eastAsia="宋体"/>
                <w:szCs w:val="21"/>
                <w:lang w:eastAsia="en-US"/>
              </w:rPr>
            </w:pPr>
            <w:r>
              <w:rPr>
                <w:rFonts w:ascii="Times New Roman" w:hAnsi="Times New Roman" w:eastAsia="宋体"/>
                <w:b/>
                <w:bCs/>
                <w:spacing w:val="7"/>
                <w:szCs w:val="21"/>
                <w:lang w:eastAsia="en-US"/>
              </w:rPr>
              <w:t>敏感目标噪声级</w:t>
            </w:r>
            <w:r>
              <w:rPr>
                <w:rFonts w:ascii="Times New Roman" w:hAnsi="Times New Roman" w:eastAsia="宋体"/>
                <w:b/>
                <w:bCs/>
                <w:spacing w:val="3"/>
                <w:szCs w:val="21"/>
                <w:lang w:eastAsia="en-US"/>
              </w:rPr>
              <w:t>增量</w:t>
            </w:r>
          </w:p>
        </w:tc>
        <w:tc>
          <w:tcPr>
            <w:tcW w:w="1642" w:type="dxa"/>
            <w:tcBorders>
              <w:left w:val="single" w:color="000000" w:sz="4" w:space="0"/>
              <w:bottom w:val="single" w:color="000000" w:sz="4" w:space="0"/>
              <w:right w:val="single" w:color="000000" w:sz="4" w:space="0"/>
            </w:tcBorders>
            <w:vAlign w:val="center"/>
          </w:tcPr>
          <w:p w14:paraId="04DD321D">
            <w:pPr>
              <w:widowControl/>
              <w:autoSpaceDE/>
              <w:autoSpaceDN/>
              <w:jc w:val="center"/>
              <w:rPr>
                <w:rFonts w:ascii="Times New Roman" w:hAnsi="Times New Roman" w:eastAsia="宋体"/>
                <w:szCs w:val="21"/>
                <w:lang w:eastAsia="zh-CN"/>
              </w:rPr>
            </w:pPr>
            <w:r>
              <w:rPr>
                <w:rFonts w:ascii="Times New Roman" w:hAnsi="Times New Roman" w:eastAsia="宋体"/>
                <w:b/>
                <w:bCs/>
                <w:spacing w:val="6"/>
                <w:szCs w:val="21"/>
                <w:lang w:eastAsia="zh-CN"/>
              </w:rPr>
              <w:t>受噪声影响范</w:t>
            </w:r>
            <w:r>
              <w:rPr>
                <w:rFonts w:ascii="Times New Roman" w:hAnsi="Times New Roman" w:eastAsia="宋体"/>
                <w:b/>
                <w:bCs/>
                <w:spacing w:val="2"/>
                <w:szCs w:val="21"/>
                <w:lang w:eastAsia="zh-CN"/>
              </w:rPr>
              <w:t>围内的人口</w:t>
            </w:r>
          </w:p>
        </w:tc>
        <w:tc>
          <w:tcPr>
            <w:tcW w:w="1407" w:type="dxa"/>
            <w:tcBorders>
              <w:left w:val="single" w:color="000000" w:sz="4" w:space="0"/>
              <w:bottom w:val="single" w:color="000000" w:sz="4" w:space="0"/>
            </w:tcBorders>
            <w:vAlign w:val="center"/>
          </w:tcPr>
          <w:p w14:paraId="34D83437">
            <w:pPr>
              <w:widowControl/>
              <w:autoSpaceDE/>
              <w:autoSpaceDN/>
              <w:jc w:val="center"/>
              <w:rPr>
                <w:rFonts w:ascii="Times New Roman" w:hAnsi="Times New Roman" w:eastAsia="宋体"/>
                <w:szCs w:val="21"/>
                <w:lang w:eastAsia="en-US"/>
              </w:rPr>
            </w:pPr>
            <w:r>
              <w:rPr>
                <w:rFonts w:ascii="Times New Roman" w:hAnsi="Times New Roman" w:eastAsia="宋体"/>
                <w:b/>
                <w:bCs/>
                <w:spacing w:val="2"/>
                <w:szCs w:val="21"/>
                <w:lang w:eastAsia="en-US"/>
              </w:rPr>
              <w:t>备注</w:t>
            </w:r>
          </w:p>
        </w:tc>
      </w:tr>
      <w:tr w14:paraId="5B5F527F">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49" w:hRule="atLeast"/>
        </w:trPr>
        <w:tc>
          <w:tcPr>
            <w:tcW w:w="2334" w:type="dxa"/>
            <w:tcBorders>
              <w:top w:val="single" w:color="000000" w:sz="4" w:space="0"/>
              <w:bottom w:val="single" w:color="000000" w:sz="4" w:space="0"/>
              <w:right w:val="single" w:color="000000" w:sz="4" w:space="0"/>
            </w:tcBorders>
            <w:vAlign w:val="center"/>
          </w:tcPr>
          <w:p w14:paraId="781A3EDA">
            <w:pPr>
              <w:widowControl/>
              <w:autoSpaceDE/>
              <w:autoSpaceDN/>
              <w:jc w:val="center"/>
              <w:rPr>
                <w:rFonts w:ascii="Times New Roman" w:hAnsi="Times New Roman" w:eastAsia="宋体"/>
                <w:szCs w:val="21"/>
                <w:lang w:eastAsia="en-US"/>
              </w:rPr>
            </w:pPr>
            <w:r>
              <w:rPr>
                <w:rFonts w:ascii="Times New Roman" w:hAnsi="Times New Roman" w:eastAsia="宋体"/>
                <w:spacing w:val="8"/>
                <w:szCs w:val="21"/>
                <w:lang w:eastAsia="en-US"/>
              </w:rPr>
              <w:t>一级评价标准判</w:t>
            </w:r>
            <w:r>
              <w:rPr>
                <w:rFonts w:ascii="Times New Roman" w:hAnsi="Times New Roman" w:eastAsia="宋体"/>
                <w:spacing w:val="1"/>
                <w:szCs w:val="21"/>
                <w:lang w:eastAsia="en-US"/>
              </w:rPr>
              <w:t>据</w:t>
            </w:r>
          </w:p>
        </w:tc>
        <w:tc>
          <w:tcPr>
            <w:tcW w:w="1635" w:type="dxa"/>
            <w:tcBorders>
              <w:top w:val="single" w:color="000000" w:sz="4" w:space="0"/>
              <w:left w:val="single" w:color="000000" w:sz="4" w:space="0"/>
              <w:bottom w:val="single" w:color="000000" w:sz="4" w:space="0"/>
              <w:right w:val="single" w:color="000000" w:sz="4" w:space="0"/>
            </w:tcBorders>
            <w:vAlign w:val="center"/>
          </w:tcPr>
          <w:p w14:paraId="21EA1CCB">
            <w:pPr>
              <w:widowControl/>
              <w:autoSpaceDE/>
              <w:autoSpaceDN/>
              <w:jc w:val="center"/>
              <w:rPr>
                <w:rFonts w:ascii="Times New Roman" w:hAnsi="Times New Roman" w:eastAsia="宋体"/>
                <w:szCs w:val="21"/>
                <w:lang w:eastAsia="en-US"/>
              </w:rPr>
            </w:pPr>
            <w:r>
              <w:rPr>
                <w:rFonts w:ascii="Times New Roman" w:hAnsi="Times New Roman" w:eastAsia="宋体"/>
                <w:spacing w:val="4"/>
                <w:szCs w:val="21"/>
                <w:lang w:eastAsia="en-US"/>
              </w:rPr>
              <w:t>0类以上</w:t>
            </w:r>
          </w:p>
        </w:tc>
        <w:tc>
          <w:tcPr>
            <w:tcW w:w="1834" w:type="dxa"/>
            <w:tcBorders>
              <w:top w:val="single" w:color="000000" w:sz="4" w:space="0"/>
              <w:left w:val="single" w:color="000000" w:sz="4" w:space="0"/>
              <w:bottom w:val="single" w:color="000000" w:sz="4" w:space="0"/>
              <w:right w:val="single" w:color="000000" w:sz="4" w:space="0"/>
            </w:tcBorders>
            <w:vAlign w:val="center"/>
          </w:tcPr>
          <w:p w14:paraId="2D5F6B4B">
            <w:pPr>
              <w:widowControl/>
              <w:autoSpaceDE/>
              <w:autoSpaceDN/>
              <w:jc w:val="center"/>
              <w:rPr>
                <w:rFonts w:ascii="Times New Roman" w:hAnsi="Times New Roman" w:eastAsia="宋体"/>
                <w:szCs w:val="21"/>
                <w:lang w:eastAsia="en-US"/>
              </w:rPr>
            </w:pPr>
            <w:r>
              <w:rPr>
                <w:rFonts w:ascii="Times New Roman" w:hAnsi="Times New Roman" w:eastAsia="宋体"/>
                <w:spacing w:val="6"/>
                <w:szCs w:val="21"/>
                <w:lang w:eastAsia="en-US"/>
              </w:rPr>
              <w:t>≥5</w:t>
            </w:r>
            <w:r>
              <w:rPr>
                <w:rFonts w:ascii="Times New Roman" w:hAnsi="Times New Roman" w:eastAsia="宋体"/>
                <w:szCs w:val="21"/>
                <w:lang w:eastAsia="en-US"/>
              </w:rPr>
              <w:t>dB</w:t>
            </w:r>
            <w:r>
              <w:rPr>
                <w:rFonts w:ascii="Times New Roman" w:hAnsi="Times New Roman" w:eastAsia="宋体"/>
                <w:spacing w:val="6"/>
                <w:szCs w:val="21"/>
                <w:lang w:eastAsia="en-US"/>
              </w:rPr>
              <w:t>(A)</w:t>
            </w:r>
          </w:p>
        </w:tc>
        <w:tc>
          <w:tcPr>
            <w:tcW w:w="1642" w:type="dxa"/>
            <w:tcBorders>
              <w:top w:val="single" w:color="000000" w:sz="4" w:space="0"/>
              <w:left w:val="single" w:color="000000" w:sz="4" w:space="0"/>
              <w:bottom w:val="single" w:color="000000" w:sz="4" w:space="0"/>
              <w:right w:val="single" w:color="000000" w:sz="4" w:space="0"/>
            </w:tcBorders>
            <w:vAlign w:val="center"/>
          </w:tcPr>
          <w:p w14:paraId="40A3E407">
            <w:pPr>
              <w:widowControl/>
              <w:autoSpaceDE/>
              <w:autoSpaceDN/>
              <w:jc w:val="center"/>
              <w:rPr>
                <w:rFonts w:ascii="Times New Roman" w:hAnsi="Times New Roman" w:eastAsia="宋体"/>
                <w:szCs w:val="21"/>
                <w:lang w:eastAsia="en-US"/>
              </w:rPr>
            </w:pPr>
            <w:r>
              <w:rPr>
                <w:rFonts w:ascii="Times New Roman" w:hAnsi="Times New Roman" w:eastAsia="宋体"/>
                <w:spacing w:val="6"/>
                <w:szCs w:val="21"/>
                <w:lang w:eastAsia="en-US"/>
              </w:rPr>
              <w:t>显著增多</w:t>
            </w:r>
          </w:p>
        </w:tc>
        <w:tc>
          <w:tcPr>
            <w:tcW w:w="1407" w:type="dxa"/>
            <w:vMerge w:val="restart"/>
            <w:tcBorders>
              <w:top w:val="single" w:color="000000" w:sz="4" w:space="0"/>
              <w:left w:val="single" w:color="000000" w:sz="4" w:space="0"/>
              <w:bottom w:val="single" w:color="000000" w:sz="4" w:space="0"/>
            </w:tcBorders>
            <w:vAlign w:val="center"/>
          </w:tcPr>
          <w:p w14:paraId="6A6FBAD4">
            <w:pPr>
              <w:widowControl/>
              <w:autoSpaceDE/>
              <w:autoSpaceDN/>
              <w:jc w:val="center"/>
              <w:rPr>
                <w:rFonts w:ascii="Times New Roman" w:hAnsi="Times New Roman" w:eastAsia="宋体"/>
                <w:szCs w:val="21"/>
                <w:lang w:eastAsia="zh-CN"/>
              </w:rPr>
            </w:pPr>
            <w:r>
              <w:rPr>
                <w:rFonts w:ascii="Times New Roman" w:hAnsi="Times New Roman" w:eastAsia="宋体"/>
                <w:spacing w:val="7"/>
                <w:szCs w:val="21"/>
                <w:lang w:eastAsia="zh-CN"/>
              </w:rPr>
              <w:t>符合两个以上</w:t>
            </w:r>
            <w:r>
              <w:rPr>
                <w:rFonts w:ascii="Times New Roman" w:hAnsi="Times New Roman" w:eastAsia="宋体"/>
                <w:spacing w:val="4"/>
                <w:szCs w:val="21"/>
                <w:lang w:eastAsia="zh-CN"/>
              </w:rPr>
              <w:t>的划分原则</w:t>
            </w:r>
            <w:r>
              <w:rPr>
                <w:rFonts w:ascii="Times New Roman" w:hAnsi="Times New Roman" w:eastAsia="宋体"/>
                <w:spacing w:val="6"/>
                <w:szCs w:val="21"/>
                <w:lang w:eastAsia="zh-CN"/>
              </w:rPr>
              <w:t>时，按较高级</w:t>
            </w:r>
            <w:r>
              <w:rPr>
                <w:rFonts w:ascii="Times New Roman" w:hAnsi="Times New Roman" w:eastAsia="宋体"/>
                <w:spacing w:val="4"/>
                <w:szCs w:val="21"/>
                <w:lang w:eastAsia="zh-CN"/>
              </w:rPr>
              <w:t>别执行。</w:t>
            </w:r>
          </w:p>
        </w:tc>
      </w:tr>
      <w:tr w14:paraId="29DBCD48">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48" w:hRule="atLeast"/>
        </w:trPr>
        <w:tc>
          <w:tcPr>
            <w:tcW w:w="2334" w:type="dxa"/>
            <w:tcBorders>
              <w:top w:val="single" w:color="000000" w:sz="4" w:space="0"/>
              <w:bottom w:val="single" w:color="000000" w:sz="4" w:space="0"/>
              <w:right w:val="single" w:color="000000" w:sz="4" w:space="0"/>
            </w:tcBorders>
            <w:vAlign w:val="center"/>
          </w:tcPr>
          <w:p w14:paraId="72ECB929">
            <w:pPr>
              <w:widowControl/>
              <w:autoSpaceDE/>
              <w:autoSpaceDN/>
              <w:jc w:val="center"/>
              <w:rPr>
                <w:rFonts w:ascii="Times New Roman" w:hAnsi="Times New Roman" w:eastAsia="宋体"/>
                <w:szCs w:val="21"/>
                <w:lang w:eastAsia="en-US"/>
              </w:rPr>
            </w:pPr>
            <w:r>
              <w:rPr>
                <w:rFonts w:ascii="Times New Roman" w:hAnsi="Times New Roman" w:eastAsia="宋体"/>
                <w:spacing w:val="8"/>
                <w:szCs w:val="21"/>
                <w:lang w:eastAsia="en-US"/>
              </w:rPr>
              <w:t>二级评价标准判</w:t>
            </w:r>
            <w:r>
              <w:rPr>
                <w:rFonts w:ascii="Times New Roman" w:hAnsi="Times New Roman" w:eastAsia="宋体"/>
                <w:spacing w:val="1"/>
                <w:szCs w:val="21"/>
                <w:lang w:eastAsia="en-US"/>
              </w:rPr>
              <w:t>据</w:t>
            </w:r>
          </w:p>
        </w:tc>
        <w:tc>
          <w:tcPr>
            <w:tcW w:w="1635" w:type="dxa"/>
            <w:tcBorders>
              <w:top w:val="single" w:color="000000" w:sz="4" w:space="0"/>
              <w:left w:val="single" w:color="000000" w:sz="4" w:space="0"/>
              <w:bottom w:val="single" w:color="000000" w:sz="4" w:space="0"/>
              <w:right w:val="single" w:color="000000" w:sz="4" w:space="0"/>
            </w:tcBorders>
            <w:vAlign w:val="center"/>
          </w:tcPr>
          <w:p w14:paraId="7E8850BA">
            <w:pPr>
              <w:widowControl/>
              <w:autoSpaceDE/>
              <w:autoSpaceDN/>
              <w:jc w:val="center"/>
              <w:rPr>
                <w:rFonts w:ascii="Times New Roman" w:hAnsi="Times New Roman" w:eastAsia="宋体"/>
                <w:szCs w:val="21"/>
                <w:lang w:eastAsia="en-US"/>
              </w:rPr>
            </w:pPr>
            <w:r>
              <w:rPr>
                <w:rFonts w:ascii="Times New Roman" w:hAnsi="Times New Roman" w:eastAsia="宋体"/>
                <w:b/>
                <w:bCs/>
                <w:spacing w:val="-5"/>
                <w:szCs w:val="21"/>
                <w:lang w:eastAsia="en-US"/>
              </w:rPr>
              <w:t>1类</w:t>
            </w:r>
            <w:r>
              <w:rPr>
                <w:rFonts w:ascii="Times New Roman" w:hAnsi="Times New Roman" w:eastAsia="宋体"/>
                <w:spacing w:val="-75"/>
                <w:szCs w:val="21"/>
                <w:lang w:eastAsia="en-US"/>
              </w:rPr>
              <w:t xml:space="preserve"> </w:t>
            </w:r>
            <w:r>
              <w:rPr>
                <w:rFonts w:ascii="Times New Roman" w:hAnsi="Times New Roman" w:eastAsia="宋体"/>
                <w:b/>
                <w:bCs/>
                <w:spacing w:val="-5"/>
                <w:szCs w:val="21"/>
                <w:lang w:eastAsia="en-US"/>
              </w:rPr>
              <w:t>、2类</w:t>
            </w:r>
          </w:p>
        </w:tc>
        <w:tc>
          <w:tcPr>
            <w:tcW w:w="1834" w:type="dxa"/>
            <w:tcBorders>
              <w:top w:val="single" w:color="000000" w:sz="4" w:space="0"/>
              <w:left w:val="single" w:color="000000" w:sz="4" w:space="0"/>
              <w:bottom w:val="single" w:color="000000" w:sz="4" w:space="0"/>
              <w:right w:val="single" w:color="000000" w:sz="4" w:space="0"/>
            </w:tcBorders>
            <w:vAlign w:val="center"/>
          </w:tcPr>
          <w:p w14:paraId="4E8DF312">
            <w:pPr>
              <w:widowControl/>
              <w:autoSpaceDE/>
              <w:autoSpaceDN/>
              <w:jc w:val="center"/>
              <w:rPr>
                <w:rFonts w:ascii="Times New Roman" w:hAnsi="Times New Roman" w:eastAsia="宋体"/>
                <w:szCs w:val="21"/>
                <w:lang w:eastAsia="en-US"/>
              </w:rPr>
            </w:pPr>
            <w:r>
              <w:rPr>
                <w:rFonts w:ascii="Times New Roman" w:hAnsi="Times New Roman" w:eastAsia="宋体"/>
                <w:spacing w:val="5"/>
                <w:szCs w:val="21"/>
                <w:lang w:eastAsia="en-US"/>
              </w:rPr>
              <w:t>3~5</w:t>
            </w:r>
            <w:r>
              <w:rPr>
                <w:rFonts w:ascii="Times New Roman" w:hAnsi="Times New Roman" w:eastAsia="宋体"/>
                <w:szCs w:val="21"/>
                <w:lang w:eastAsia="en-US"/>
              </w:rPr>
              <w:t>dB</w:t>
            </w:r>
            <w:r>
              <w:rPr>
                <w:rFonts w:ascii="Times New Roman" w:hAnsi="Times New Roman" w:eastAsia="宋体"/>
                <w:spacing w:val="5"/>
                <w:szCs w:val="21"/>
                <w:lang w:eastAsia="en-US"/>
              </w:rPr>
              <w:t>(A)</w:t>
            </w:r>
          </w:p>
        </w:tc>
        <w:tc>
          <w:tcPr>
            <w:tcW w:w="1642" w:type="dxa"/>
            <w:tcBorders>
              <w:top w:val="single" w:color="000000" w:sz="4" w:space="0"/>
              <w:left w:val="single" w:color="000000" w:sz="4" w:space="0"/>
              <w:bottom w:val="single" w:color="000000" w:sz="4" w:space="0"/>
              <w:right w:val="single" w:color="000000" w:sz="4" w:space="0"/>
            </w:tcBorders>
            <w:vAlign w:val="center"/>
          </w:tcPr>
          <w:p w14:paraId="36B2CAFD">
            <w:pPr>
              <w:widowControl/>
              <w:autoSpaceDE/>
              <w:autoSpaceDN/>
              <w:jc w:val="center"/>
              <w:rPr>
                <w:rFonts w:ascii="Times New Roman" w:hAnsi="Times New Roman" w:eastAsia="宋体"/>
                <w:szCs w:val="21"/>
                <w:lang w:eastAsia="en-US"/>
              </w:rPr>
            </w:pPr>
            <w:r>
              <w:rPr>
                <w:rFonts w:ascii="Times New Roman" w:hAnsi="Times New Roman" w:eastAsia="宋体"/>
                <w:b/>
                <w:bCs/>
                <w:spacing w:val="7"/>
                <w:szCs w:val="21"/>
                <w:lang w:eastAsia="en-US"/>
              </w:rPr>
              <w:t>增加较多</w:t>
            </w:r>
          </w:p>
        </w:tc>
        <w:tc>
          <w:tcPr>
            <w:tcW w:w="1407" w:type="dxa"/>
            <w:vMerge w:val="continue"/>
            <w:tcBorders>
              <w:top w:val="single" w:color="000000" w:sz="4" w:space="0"/>
              <w:left w:val="single" w:color="000000" w:sz="4" w:space="0"/>
              <w:bottom w:val="single" w:color="000000" w:sz="4" w:space="0"/>
            </w:tcBorders>
            <w:vAlign w:val="center"/>
          </w:tcPr>
          <w:p w14:paraId="04221066">
            <w:pPr>
              <w:widowControl/>
              <w:autoSpaceDE/>
              <w:autoSpaceDN/>
              <w:jc w:val="center"/>
              <w:rPr>
                <w:rFonts w:ascii="Times New Roman" w:hAnsi="Times New Roman" w:eastAsia="宋体"/>
                <w:szCs w:val="21"/>
                <w:lang w:eastAsia="en-US"/>
              </w:rPr>
            </w:pPr>
          </w:p>
        </w:tc>
      </w:tr>
      <w:tr w14:paraId="4D421304">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549" w:hRule="atLeast"/>
        </w:trPr>
        <w:tc>
          <w:tcPr>
            <w:tcW w:w="2334" w:type="dxa"/>
            <w:tcBorders>
              <w:top w:val="single" w:color="000000" w:sz="4" w:space="0"/>
              <w:bottom w:val="single" w:color="000000" w:sz="4" w:space="0"/>
              <w:right w:val="single" w:color="000000" w:sz="4" w:space="0"/>
            </w:tcBorders>
            <w:vAlign w:val="center"/>
          </w:tcPr>
          <w:p w14:paraId="705F0DC8">
            <w:pPr>
              <w:widowControl/>
              <w:autoSpaceDE/>
              <w:autoSpaceDN/>
              <w:jc w:val="center"/>
              <w:rPr>
                <w:rFonts w:ascii="Times New Roman" w:hAnsi="Times New Roman" w:eastAsia="宋体"/>
                <w:szCs w:val="21"/>
                <w:lang w:eastAsia="en-US"/>
              </w:rPr>
            </w:pPr>
            <w:r>
              <w:rPr>
                <w:rFonts w:ascii="Times New Roman" w:hAnsi="Times New Roman" w:eastAsia="宋体"/>
                <w:spacing w:val="8"/>
                <w:szCs w:val="21"/>
                <w:lang w:eastAsia="en-US"/>
              </w:rPr>
              <w:t>三级评价标准判</w:t>
            </w:r>
            <w:r>
              <w:rPr>
                <w:rFonts w:ascii="Times New Roman" w:hAnsi="Times New Roman" w:eastAsia="宋体"/>
                <w:spacing w:val="1"/>
                <w:szCs w:val="21"/>
                <w:lang w:eastAsia="en-US"/>
              </w:rPr>
              <w:t>据</w:t>
            </w:r>
          </w:p>
        </w:tc>
        <w:tc>
          <w:tcPr>
            <w:tcW w:w="1635" w:type="dxa"/>
            <w:tcBorders>
              <w:top w:val="single" w:color="000000" w:sz="4" w:space="0"/>
              <w:left w:val="single" w:color="000000" w:sz="4" w:space="0"/>
              <w:bottom w:val="single" w:color="000000" w:sz="4" w:space="0"/>
              <w:right w:val="single" w:color="000000" w:sz="4" w:space="0"/>
            </w:tcBorders>
            <w:vAlign w:val="center"/>
          </w:tcPr>
          <w:p w14:paraId="09A0AE91">
            <w:pPr>
              <w:widowControl/>
              <w:autoSpaceDE/>
              <w:autoSpaceDN/>
              <w:jc w:val="center"/>
              <w:rPr>
                <w:rFonts w:ascii="Times New Roman" w:hAnsi="Times New Roman" w:eastAsia="宋体"/>
                <w:szCs w:val="21"/>
                <w:lang w:eastAsia="en-US"/>
              </w:rPr>
            </w:pPr>
            <w:r>
              <w:rPr>
                <w:rFonts w:ascii="Times New Roman" w:hAnsi="Times New Roman" w:eastAsia="宋体"/>
                <w:spacing w:val="-2"/>
                <w:szCs w:val="21"/>
                <w:lang w:eastAsia="en-US"/>
              </w:rPr>
              <w:t>3类</w:t>
            </w:r>
            <w:r>
              <w:rPr>
                <w:rFonts w:ascii="Times New Roman" w:hAnsi="Times New Roman" w:eastAsia="宋体"/>
                <w:spacing w:val="-78"/>
                <w:szCs w:val="21"/>
                <w:lang w:eastAsia="en-US"/>
              </w:rPr>
              <w:t xml:space="preserve"> </w:t>
            </w:r>
            <w:r>
              <w:rPr>
                <w:rFonts w:ascii="Times New Roman" w:hAnsi="Times New Roman" w:eastAsia="宋体"/>
                <w:spacing w:val="-2"/>
                <w:szCs w:val="21"/>
                <w:lang w:eastAsia="en-US"/>
              </w:rPr>
              <w:t>、4类</w:t>
            </w:r>
          </w:p>
        </w:tc>
        <w:tc>
          <w:tcPr>
            <w:tcW w:w="1834" w:type="dxa"/>
            <w:tcBorders>
              <w:top w:val="single" w:color="000000" w:sz="4" w:space="0"/>
              <w:left w:val="single" w:color="000000" w:sz="4" w:space="0"/>
              <w:bottom w:val="single" w:color="000000" w:sz="4" w:space="0"/>
              <w:right w:val="single" w:color="000000" w:sz="4" w:space="0"/>
            </w:tcBorders>
            <w:vAlign w:val="center"/>
          </w:tcPr>
          <w:p w14:paraId="74559C5B">
            <w:pPr>
              <w:widowControl/>
              <w:autoSpaceDE/>
              <w:autoSpaceDN/>
              <w:jc w:val="center"/>
              <w:rPr>
                <w:rFonts w:ascii="Times New Roman" w:hAnsi="Times New Roman" w:eastAsia="宋体"/>
                <w:szCs w:val="21"/>
                <w:lang w:eastAsia="en-US"/>
              </w:rPr>
            </w:pPr>
            <w:r>
              <w:rPr>
                <w:rFonts w:ascii="Times New Roman" w:hAnsi="Times New Roman" w:eastAsia="宋体"/>
                <w:b/>
                <w:bCs/>
                <w:spacing w:val="6"/>
                <w:szCs w:val="21"/>
                <w:lang w:eastAsia="en-US"/>
              </w:rPr>
              <w:t>≤3</w:t>
            </w:r>
            <w:r>
              <w:rPr>
                <w:rFonts w:ascii="Times New Roman" w:hAnsi="Times New Roman" w:eastAsia="宋体"/>
                <w:b/>
                <w:bCs/>
                <w:szCs w:val="21"/>
                <w:lang w:eastAsia="en-US"/>
              </w:rPr>
              <w:t>dB</w:t>
            </w:r>
            <w:r>
              <w:rPr>
                <w:rFonts w:ascii="Times New Roman" w:hAnsi="Times New Roman" w:eastAsia="宋体"/>
                <w:b/>
                <w:bCs/>
                <w:spacing w:val="6"/>
                <w:szCs w:val="21"/>
                <w:lang w:eastAsia="en-US"/>
              </w:rPr>
              <w:t>(A)</w:t>
            </w:r>
          </w:p>
        </w:tc>
        <w:tc>
          <w:tcPr>
            <w:tcW w:w="1642" w:type="dxa"/>
            <w:tcBorders>
              <w:top w:val="single" w:color="000000" w:sz="4" w:space="0"/>
              <w:left w:val="single" w:color="000000" w:sz="4" w:space="0"/>
              <w:bottom w:val="single" w:color="000000" w:sz="4" w:space="0"/>
              <w:right w:val="single" w:color="000000" w:sz="4" w:space="0"/>
            </w:tcBorders>
            <w:vAlign w:val="center"/>
          </w:tcPr>
          <w:p w14:paraId="135C4B4B">
            <w:pPr>
              <w:widowControl/>
              <w:autoSpaceDE/>
              <w:autoSpaceDN/>
              <w:jc w:val="center"/>
              <w:rPr>
                <w:rFonts w:ascii="Times New Roman" w:hAnsi="Times New Roman" w:eastAsia="宋体"/>
                <w:szCs w:val="21"/>
                <w:lang w:eastAsia="en-US"/>
              </w:rPr>
            </w:pPr>
            <w:r>
              <w:rPr>
                <w:rFonts w:ascii="Times New Roman" w:hAnsi="Times New Roman" w:eastAsia="宋体"/>
                <w:spacing w:val="7"/>
                <w:szCs w:val="21"/>
                <w:lang w:eastAsia="en-US"/>
              </w:rPr>
              <w:t>变化不大</w:t>
            </w:r>
          </w:p>
        </w:tc>
        <w:tc>
          <w:tcPr>
            <w:tcW w:w="1407" w:type="dxa"/>
            <w:vMerge w:val="continue"/>
            <w:tcBorders>
              <w:top w:val="single" w:color="000000" w:sz="4" w:space="0"/>
              <w:left w:val="single" w:color="000000" w:sz="4" w:space="0"/>
              <w:bottom w:val="single" w:color="000000" w:sz="4" w:space="0"/>
            </w:tcBorders>
            <w:vAlign w:val="center"/>
          </w:tcPr>
          <w:p w14:paraId="56C13604">
            <w:pPr>
              <w:widowControl/>
              <w:autoSpaceDE/>
              <w:autoSpaceDN/>
              <w:jc w:val="center"/>
              <w:rPr>
                <w:rFonts w:ascii="Times New Roman" w:hAnsi="Times New Roman" w:eastAsia="宋体"/>
                <w:szCs w:val="21"/>
                <w:lang w:eastAsia="en-US"/>
              </w:rPr>
            </w:pPr>
          </w:p>
        </w:tc>
      </w:tr>
      <w:tr w14:paraId="3427EC20">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276" w:hRule="atLeast"/>
        </w:trPr>
        <w:tc>
          <w:tcPr>
            <w:tcW w:w="2334" w:type="dxa"/>
            <w:tcBorders>
              <w:top w:val="single" w:color="000000" w:sz="4" w:space="0"/>
              <w:bottom w:val="single" w:color="000000" w:sz="4" w:space="0"/>
              <w:right w:val="single" w:color="000000" w:sz="4" w:space="0"/>
            </w:tcBorders>
            <w:vAlign w:val="center"/>
          </w:tcPr>
          <w:p w14:paraId="7AE058F1">
            <w:pPr>
              <w:widowControl/>
              <w:autoSpaceDE/>
              <w:autoSpaceDN/>
              <w:jc w:val="center"/>
              <w:rPr>
                <w:rFonts w:ascii="Times New Roman" w:hAnsi="Times New Roman" w:eastAsia="宋体"/>
                <w:szCs w:val="21"/>
                <w:lang w:eastAsia="en-US"/>
              </w:rPr>
            </w:pPr>
            <w:r>
              <w:rPr>
                <w:rFonts w:ascii="Times New Roman" w:hAnsi="Times New Roman" w:eastAsia="宋体"/>
                <w:spacing w:val="6"/>
                <w:szCs w:val="21"/>
                <w:lang w:eastAsia="en-US"/>
              </w:rPr>
              <w:t>本项目</w:t>
            </w:r>
          </w:p>
        </w:tc>
        <w:tc>
          <w:tcPr>
            <w:tcW w:w="1635" w:type="dxa"/>
            <w:tcBorders>
              <w:top w:val="single" w:color="000000" w:sz="4" w:space="0"/>
              <w:left w:val="single" w:color="000000" w:sz="4" w:space="0"/>
              <w:bottom w:val="single" w:color="000000" w:sz="4" w:space="0"/>
              <w:right w:val="single" w:color="000000" w:sz="4" w:space="0"/>
            </w:tcBorders>
            <w:vAlign w:val="center"/>
          </w:tcPr>
          <w:p w14:paraId="0BC10340">
            <w:pPr>
              <w:widowControl/>
              <w:autoSpaceDE/>
              <w:autoSpaceDN/>
              <w:jc w:val="center"/>
              <w:rPr>
                <w:rFonts w:ascii="Times New Roman" w:hAnsi="Times New Roman" w:eastAsia="宋体"/>
                <w:szCs w:val="21"/>
                <w:lang w:eastAsia="en-US"/>
              </w:rPr>
            </w:pPr>
            <w:r>
              <w:rPr>
                <w:rFonts w:ascii="Times New Roman" w:hAnsi="Times New Roman" w:eastAsia="宋体"/>
                <w:spacing w:val="-2"/>
                <w:szCs w:val="21"/>
                <w:lang w:eastAsia="en-US"/>
              </w:rPr>
              <w:t>2类</w:t>
            </w:r>
          </w:p>
        </w:tc>
        <w:tc>
          <w:tcPr>
            <w:tcW w:w="1834" w:type="dxa"/>
            <w:tcBorders>
              <w:top w:val="single" w:color="000000" w:sz="4" w:space="0"/>
              <w:left w:val="single" w:color="000000" w:sz="4" w:space="0"/>
              <w:bottom w:val="single" w:color="000000" w:sz="4" w:space="0"/>
              <w:right w:val="single" w:color="000000" w:sz="4" w:space="0"/>
            </w:tcBorders>
            <w:vAlign w:val="center"/>
          </w:tcPr>
          <w:p w14:paraId="06A65EBC">
            <w:pPr>
              <w:widowControl/>
              <w:autoSpaceDE/>
              <w:autoSpaceDN/>
              <w:jc w:val="center"/>
              <w:rPr>
                <w:rFonts w:ascii="Times New Roman" w:hAnsi="Times New Roman" w:eastAsia="宋体"/>
                <w:szCs w:val="21"/>
                <w:lang w:eastAsia="en-US"/>
              </w:rPr>
            </w:pPr>
            <w:r>
              <w:rPr>
                <w:rFonts w:ascii="Times New Roman" w:hAnsi="Times New Roman" w:eastAsia="宋体"/>
                <w:szCs w:val="21"/>
                <w:lang w:eastAsia="en-US"/>
              </w:rPr>
              <w:t>≤3dB(A)</w:t>
            </w:r>
          </w:p>
        </w:tc>
        <w:tc>
          <w:tcPr>
            <w:tcW w:w="1642" w:type="dxa"/>
            <w:tcBorders>
              <w:top w:val="single" w:color="000000" w:sz="4" w:space="0"/>
              <w:left w:val="single" w:color="000000" w:sz="4" w:space="0"/>
              <w:bottom w:val="single" w:color="000000" w:sz="4" w:space="0"/>
              <w:right w:val="single" w:color="000000" w:sz="4" w:space="0"/>
            </w:tcBorders>
            <w:vAlign w:val="center"/>
          </w:tcPr>
          <w:p w14:paraId="378CF36B">
            <w:pPr>
              <w:widowControl/>
              <w:autoSpaceDE/>
              <w:autoSpaceDN/>
              <w:jc w:val="center"/>
              <w:rPr>
                <w:rFonts w:ascii="Times New Roman" w:hAnsi="Times New Roman" w:eastAsia="宋体"/>
                <w:szCs w:val="21"/>
                <w:lang w:eastAsia="en-US"/>
              </w:rPr>
            </w:pPr>
            <w:r>
              <w:rPr>
                <w:rFonts w:ascii="Times New Roman" w:hAnsi="Times New Roman" w:eastAsia="宋体"/>
                <w:spacing w:val="7"/>
                <w:szCs w:val="21"/>
                <w:lang w:eastAsia="en-US"/>
              </w:rPr>
              <w:t>增加较多</w:t>
            </w:r>
          </w:p>
        </w:tc>
        <w:tc>
          <w:tcPr>
            <w:tcW w:w="1407" w:type="dxa"/>
            <w:vMerge w:val="continue"/>
            <w:tcBorders>
              <w:top w:val="single" w:color="000000" w:sz="4" w:space="0"/>
              <w:left w:val="single" w:color="000000" w:sz="4" w:space="0"/>
              <w:bottom w:val="single" w:color="000000" w:sz="4" w:space="0"/>
            </w:tcBorders>
            <w:vAlign w:val="center"/>
          </w:tcPr>
          <w:p w14:paraId="35630E4A">
            <w:pPr>
              <w:widowControl/>
              <w:autoSpaceDE/>
              <w:autoSpaceDN/>
              <w:jc w:val="center"/>
              <w:rPr>
                <w:rFonts w:ascii="Times New Roman" w:hAnsi="Times New Roman" w:eastAsia="宋体"/>
                <w:szCs w:val="21"/>
                <w:lang w:eastAsia="en-US"/>
              </w:rPr>
            </w:pPr>
          </w:p>
        </w:tc>
      </w:tr>
      <w:tr w14:paraId="43DDAD62">
        <w:tblPrEx>
          <w:tblBorders>
            <w:top w:val="single" w:color="000000" w:sz="12" w:space="0"/>
            <w:left w:val="none" w:color="auto" w:sz="0" w:space="0"/>
            <w:bottom w:val="single" w:color="000000" w:sz="12" w:space="0"/>
            <w:right w:val="none" w:color="auto" w:sz="0" w:space="0"/>
            <w:insideH w:val="single" w:color="000000" w:sz="12" w:space="0"/>
            <w:insideV w:val="single" w:color="000000" w:sz="12" w:space="0"/>
          </w:tblBorders>
          <w:tblCellMar>
            <w:top w:w="0" w:type="dxa"/>
            <w:left w:w="0" w:type="dxa"/>
            <w:bottom w:w="0" w:type="dxa"/>
            <w:right w:w="0" w:type="dxa"/>
          </w:tblCellMar>
        </w:tblPrEx>
        <w:trPr>
          <w:trHeight w:val="282" w:hRule="atLeast"/>
        </w:trPr>
        <w:tc>
          <w:tcPr>
            <w:tcW w:w="2334" w:type="dxa"/>
            <w:tcBorders>
              <w:top w:val="single" w:color="000000" w:sz="4" w:space="0"/>
              <w:right w:val="single" w:color="000000" w:sz="4" w:space="0"/>
            </w:tcBorders>
            <w:vAlign w:val="center"/>
          </w:tcPr>
          <w:p w14:paraId="7A9A46C9">
            <w:pPr>
              <w:widowControl/>
              <w:autoSpaceDE/>
              <w:autoSpaceDN/>
              <w:jc w:val="center"/>
              <w:rPr>
                <w:rFonts w:ascii="Times New Roman" w:hAnsi="Times New Roman" w:eastAsia="宋体"/>
                <w:szCs w:val="21"/>
                <w:lang w:eastAsia="en-US"/>
              </w:rPr>
            </w:pPr>
            <w:r>
              <w:rPr>
                <w:rFonts w:ascii="Times New Roman" w:hAnsi="Times New Roman" w:eastAsia="宋体"/>
                <w:spacing w:val="8"/>
                <w:szCs w:val="21"/>
                <w:lang w:eastAsia="en-US"/>
              </w:rPr>
              <w:t>评价等级判定</w:t>
            </w:r>
          </w:p>
        </w:tc>
        <w:tc>
          <w:tcPr>
            <w:tcW w:w="6518" w:type="dxa"/>
            <w:gridSpan w:val="4"/>
            <w:tcBorders>
              <w:top w:val="single" w:color="000000" w:sz="4" w:space="0"/>
              <w:left w:val="single" w:color="000000" w:sz="4" w:space="0"/>
            </w:tcBorders>
            <w:vAlign w:val="center"/>
          </w:tcPr>
          <w:p w14:paraId="0B9A91F2">
            <w:pPr>
              <w:widowControl/>
              <w:autoSpaceDE/>
              <w:autoSpaceDN/>
              <w:jc w:val="center"/>
              <w:rPr>
                <w:rFonts w:ascii="Times New Roman" w:hAnsi="Times New Roman" w:eastAsia="宋体"/>
                <w:szCs w:val="21"/>
                <w:lang w:eastAsia="zh-CN"/>
              </w:rPr>
            </w:pPr>
            <w:r>
              <w:rPr>
                <w:rFonts w:ascii="Times New Roman" w:hAnsi="Times New Roman" w:eastAsia="宋体"/>
                <w:spacing w:val="9"/>
                <w:szCs w:val="21"/>
                <w:lang w:eastAsia="zh-CN"/>
              </w:rPr>
              <w:t>声环境影响评价工作等级判定结果：</w:t>
            </w:r>
            <w:r>
              <w:rPr>
                <w:rFonts w:ascii="Times New Roman" w:hAnsi="Times New Roman" w:eastAsia="宋体"/>
                <w:b/>
                <w:bCs/>
                <w:spacing w:val="9"/>
                <w:szCs w:val="21"/>
                <w:lang w:eastAsia="zh-CN"/>
              </w:rPr>
              <w:t>二级评价</w:t>
            </w:r>
          </w:p>
        </w:tc>
      </w:tr>
    </w:tbl>
    <w:p w14:paraId="2A51527C">
      <w:pPr>
        <w:pStyle w:val="752"/>
        <w:rPr>
          <w:rFonts w:cs="Times New Roman"/>
          <w:color w:val="000000" w:themeColor="text1"/>
          <w14:textFill>
            <w14:solidFill>
              <w14:schemeClr w14:val="tx1"/>
            </w14:solidFill>
          </w14:textFill>
        </w:rPr>
      </w:pPr>
      <w:bookmarkStart w:id="150" w:name="_Toc21529548"/>
      <w:bookmarkStart w:id="151" w:name="_Toc8088_WPSOffice_Level3"/>
      <w:bookmarkStart w:id="152" w:name="_Toc4003"/>
      <w:bookmarkStart w:id="153" w:name="_Toc28856_WPSOffice_Level3"/>
      <w:bookmarkStart w:id="154" w:name="_Toc13293"/>
      <w:bookmarkStart w:id="155" w:name="_Toc233380121"/>
      <w:r>
        <w:rPr>
          <w:rFonts w:cs="Times New Roman"/>
          <w:color w:val="000000" w:themeColor="text1"/>
          <w14:textFill>
            <w14:solidFill>
              <w14:schemeClr w14:val="tx1"/>
            </w14:solidFill>
          </w14:textFill>
        </w:rPr>
        <w:t>2.4.5土壤环境</w:t>
      </w:r>
      <w:bookmarkEnd w:id="150"/>
      <w:bookmarkEnd w:id="151"/>
      <w:bookmarkEnd w:id="152"/>
      <w:bookmarkEnd w:id="153"/>
      <w:r>
        <w:rPr>
          <w:rFonts w:cs="Times New Roman"/>
          <w:color w:val="000000" w:themeColor="text1"/>
          <w14:textFill>
            <w14:solidFill>
              <w14:schemeClr w14:val="tx1"/>
            </w14:solidFill>
          </w14:textFill>
        </w:rPr>
        <w:t>评价工作等级</w:t>
      </w:r>
      <w:bookmarkEnd w:id="154"/>
      <w:bookmarkEnd w:id="155"/>
    </w:p>
    <w:p w14:paraId="0CD61646">
      <w:pPr>
        <w:spacing w:line="360" w:lineRule="auto"/>
        <w:ind w:firstLine="480" w:firstLineChars="200"/>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土壤环境影响评价应对建设项目建设期、运营期和服务期满后（可根据项目情况选择）对土壤环境理化特性可能造成的影响进行分析、预测和评估。根据行业特征、工艺特点或规模大小等将建设项目类别分为Ⅰ类、Ⅱ类、Ⅲ类、Ⅳ类，见附录A，其中Ⅳ类建设项目可不开展土壤环境影响评价；自身为敏感目标的建设项目，可根据需要仅对土壤环境现状进行调查。</w:t>
      </w:r>
    </w:p>
    <w:p w14:paraId="557301A6">
      <w:pPr>
        <w:spacing w:line="360" w:lineRule="auto"/>
        <w:ind w:firstLine="480" w:firstLineChars="200"/>
        <w:rPr>
          <w:color w:val="000000" w:themeColor="text1"/>
          <w:sz w:val="24"/>
          <w:szCs w:val="32"/>
          <w14:textFill>
            <w14:solidFill>
              <w14:schemeClr w14:val="tx1"/>
            </w14:solidFill>
          </w14:textFill>
        </w:rPr>
      </w:pPr>
      <w:r>
        <w:rPr>
          <w:rFonts w:hint="eastAsia"/>
          <w:color w:val="000000" w:themeColor="text1"/>
          <w:sz w:val="24"/>
          <w:szCs w:val="32"/>
          <w14:textFill>
            <w14:solidFill>
              <w14:schemeClr w14:val="tx1"/>
            </w14:solidFill>
          </w14:textFill>
        </w:rPr>
        <w:t>本项目建设涉及4个场区，</w:t>
      </w:r>
      <w:bookmarkStart w:id="156" w:name="OLE_LINK67"/>
      <w:bookmarkStart w:id="157" w:name="OLE_LINK68"/>
      <w:r>
        <w:rPr>
          <w:rFonts w:hint="eastAsia"/>
          <w:color w:val="000000" w:themeColor="text1"/>
          <w:sz w:val="24"/>
          <w:szCs w:val="32"/>
          <w14:textFill>
            <w14:solidFill>
              <w14:schemeClr w14:val="tx1"/>
            </w14:solidFill>
          </w14:textFill>
        </w:rPr>
        <w:t>根据《环境影响评价技术导则 土壤环境（试行）》（H</w:t>
      </w:r>
      <w:r>
        <w:rPr>
          <w:color w:val="000000" w:themeColor="text1"/>
          <w:sz w:val="24"/>
          <w:szCs w:val="32"/>
          <w14:textFill>
            <w14:solidFill>
              <w14:schemeClr w14:val="tx1"/>
            </w14:solidFill>
          </w14:textFill>
        </w:rPr>
        <w:t>J964-2018</w:t>
      </w:r>
      <w:r>
        <w:rPr>
          <w:rFonts w:hint="eastAsia"/>
          <w:color w:val="000000" w:themeColor="text1"/>
          <w:sz w:val="24"/>
          <w:szCs w:val="32"/>
          <w14:textFill>
            <w14:solidFill>
              <w14:schemeClr w14:val="tx1"/>
            </w14:solidFill>
          </w14:textFill>
        </w:rPr>
        <w:t>）中</w:t>
      </w:r>
      <w:bookmarkEnd w:id="156"/>
      <w:bookmarkEnd w:id="157"/>
      <w:r>
        <w:rPr>
          <w:rFonts w:hint="eastAsia"/>
          <w:color w:val="000000" w:themeColor="text1"/>
          <w:sz w:val="24"/>
          <w:szCs w:val="32"/>
          <w14:textFill>
            <w14:solidFill>
              <w14:schemeClr w14:val="tx1"/>
            </w14:solidFill>
          </w14:textFill>
        </w:rPr>
        <w:t>“</w:t>
      </w:r>
      <w:r>
        <w:rPr>
          <w:color w:val="000000" w:themeColor="text1"/>
          <w:sz w:val="24"/>
          <w:szCs w:val="32"/>
          <w14:textFill>
            <w14:solidFill>
              <w14:schemeClr w14:val="tx1"/>
            </w14:solidFill>
          </w14:textFill>
        </w:rPr>
        <w:t xml:space="preserve">6.2.4 </w:t>
      </w:r>
      <w:r>
        <w:rPr>
          <w:rFonts w:hint="eastAsia"/>
          <w:color w:val="000000" w:themeColor="text1"/>
          <w:sz w:val="24"/>
          <w:szCs w:val="32"/>
          <w14:textFill>
            <w14:solidFill>
              <w14:schemeClr w14:val="tx1"/>
            </w14:solidFill>
          </w14:textFill>
        </w:rPr>
        <w:t>当同一建设项目涉及两个或两个以上场地时，各场地应分别判定评价工作等级，并按相应等级分别开展评价工作”。</w:t>
      </w:r>
    </w:p>
    <w:p w14:paraId="0C2129E4">
      <w:pPr>
        <w:spacing w:line="360" w:lineRule="auto"/>
        <w:ind w:firstLine="480" w:firstLineChars="200"/>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（1）项目类别</w:t>
      </w:r>
    </w:p>
    <w:p w14:paraId="6F50B49E">
      <w:pPr>
        <w:pStyle w:val="814"/>
        <w:numPr>
          <w:ilvl w:val="0"/>
          <w:numId w:val="22"/>
        </w:numPr>
        <w:snapToGrid w:val="0"/>
        <w:spacing w:line="240" w:lineRule="auto"/>
        <w:rPr>
          <w:rFonts w:eastAsia="黑体"/>
        </w:rPr>
      </w:pPr>
      <w:r>
        <w:rPr>
          <w:rFonts w:eastAsia="黑体"/>
        </w:rPr>
        <w:t>土壤环境影响评价项目类别</w:t>
      </w:r>
    </w:p>
    <w:tbl>
      <w:tblPr>
        <w:tblStyle w:val="1745"/>
        <w:tblW w:w="8422" w:type="dxa"/>
        <w:jc w:val="center"/>
        <w:tblBorders>
          <w:top w:val="single" w:color="000000" w:sz="12" w:space="0"/>
          <w:left w:val="none" w:color="auto" w:sz="0" w:space="0"/>
          <w:bottom w:val="single" w:color="000000" w:sz="12" w:space="0"/>
          <w:right w:val="none" w:color="auto" w:sz="0" w:space="0"/>
          <w:insideH w:val="none" w:color="auto" w:sz="0" w:space="0"/>
          <w:insideV w:val="single" w:color="000000" w:sz="2" w:space="0"/>
        </w:tblBorders>
        <w:tblLayout w:type="fixed"/>
        <w:tblCellMar>
          <w:top w:w="0" w:type="dxa"/>
          <w:left w:w="0" w:type="dxa"/>
          <w:bottom w:w="0" w:type="dxa"/>
          <w:right w:w="0" w:type="dxa"/>
        </w:tblCellMar>
      </w:tblPr>
      <w:tblGrid>
        <w:gridCol w:w="1271"/>
        <w:gridCol w:w="1139"/>
        <w:gridCol w:w="3260"/>
        <w:gridCol w:w="2332"/>
        <w:gridCol w:w="420"/>
      </w:tblGrid>
      <w:tr w14:paraId="36385420">
        <w:tblPrEx>
          <w:tblBorders>
            <w:top w:val="single" w:color="000000" w:sz="12" w:space="0"/>
            <w:left w:val="none" w:color="auto" w:sz="0" w:space="0"/>
            <w:bottom w:val="single" w:color="000000" w:sz="12" w:space="0"/>
            <w:right w:val="none" w:color="auto" w:sz="0" w:space="0"/>
            <w:insideH w:val="none" w:color="auto" w:sz="0" w:space="0"/>
            <w:insideV w:val="single" w:color="000000" w:sz="2" w:space="0"/>
          </w:tblBorders>
          <w:tblCellMar>
            <w:top w:w="0" w:type="dxa"/>
            <w:left w:w="0" w:type="dxa"/>
            <w:bottom w:w="0" w:type="dxa"/>
            <w:right w:w="0" w:type="dxa"/>
          </w:tblCellMar>
        </w:tblPrEx>
        <w:trPr>
          <w:trHeight w:val="340" w:hRule="atLeast"/>
          <w:jc w:val="center"/>
        </w:trPr>
        <w:tc>
          <w:tcPr>
            <w:tcW w:w="1271" w:type="dxa"/>
            <w:vMerge w:val="restart"/>
            <w:tcBorders>
              <w:bottom w:val="single" w:color="auto" w:sz="4" w:space="0"/>
              <w:right w:val="single" w:color="auto" w:sz="4" w:space="0"/>
              <w:tl2br w:val="nil"/>
              <w:tr2bl w:val="nil"/>
            </w:tcBorders>
            <w:vAlign w:val="center"/>
          </w:tcPr>
          <w:p w14:paraId="062DF25C">
            <w:pPr>
              <w:widowControl/>
              <w:autoSpaceDE/>
              <w:autoSpaceDN/>
              <w:jc w:val="center"/>
              <w:rPr>
                <w:rFonts w:ascii="Times New Roman" w:hAnsi="Times New Roman" w:eastAsia="宋体"/>
                <w:sz w:val="18"/>
                <w:szCs w:val="18"/>
                <w:lang w:eastAsia="en-US"/>
              </w:rPr>
            </w:pPr>
            <w:r>
              <w:rPr>
                <w:rFonts w:ascii="Times New Roman" w:hAnsi="Times New Roman" w:eastAsia="宋体"/>
                <w:spacing w:val="5"/>
                <w:sz w:val="18"/>
                <w:szCs w:val="18"/>
                <w:lang w:eastAsia="en-US"/>
              </w:rPr>
              <w:t>行业类别</w:t>
            </w:r>
          </w:p>
        </w:tc>
        <w:tc>
          <w:tcPr>
            <w:tcW w:w="7151" w:type="dxa"/>
            <w:gridSpan w:val="4"/>
            <w:tcBorders>
              <w:left w:val="single" w:color="auto" w:sz="4" w:space="0"/>
              <w:bottom w:val="single" w:color="auto" w:sz="4" w:space="0"/>
              <w:tl2br w:val="nil"/>
              <w:tr2bl w:val="nil"/>
            </w:tcBorders>
            <w:vAlign w:val="center"/>
          </w:tcPr>
          <w:p w14:paraId="2BB768B3">
            <w:pPr>
              <w:widowControl/>
              <w:autoSpaceDE/>
              <w:autoSpaceDN/>
              <w:jc w:val="center"/>
              <w:rPr>
                <w:rFonts w:ascii="Times New Roman" w:hAnsi="Times New Roman" w:eastAsia="宋体"/>
                <w:sz w:val="18"/>
                <w:szCs w:val="18"/>
                <w:lang w:eastAsia="en-US"/>
              </w:rPr>
            </w:pPr>
            <w:r>
              <w:rPr>
                <w:rFonts w:ascii="Times New Roman" w:hAnsi="Times New Roman" w:eastAsia="宋体"/>
                <w:spacing w:val="5"/>
                <w:sz w:val="18"/>
                <w:szCs w:val="18"/>
                <w:lang w:eastAsia="en-US"/>
              </w:rPr>
              <w:t>项目类别</w:t>
            </w:r>
          </w:p>
        </w:tc>
      </w:tr>
      <w:tr w14:paraId="5B34CE6D">
        <w:tblPrEx>
          <w:tblBorders>
            <w:top w:val="single" w:color="000000" w:sz="12" w:space="0"/>
            <w:left w:val="none" w:color="auto" w:sz="0" w:space="0"/>
            <w:bottom w:val="single" w:color="000000" w:sz="12" w:space="0"/>
            <w:right w:val="none" w:color="auto" w:sz="0" w:space="0"/>
            <w:insideH w:val="none" w:color="auto" w:sz="0" w:space="0"/>
            <w:insideV w:val="single" w:color="000000" w:sz="2" w:space="0"/>
          </w:tblBorders>
          <w:tblCellMar>
            <w:top w:w="0" w:type="dxa"/>
            <w:left w:w="0" w:type="dxa"/>
            <w:bottom w:w="0" w:type="dxa"/>
            <w:right w:w="0" w:type="dxa"/>
          </w:tblCellMar>
        </w:tblPrEx>
        <w:trPr>
          <w:trHeight w:val="340" w:hRule="atLeast"/>
          <w:jc w:val="center"/>
        </w:trPr>
        <w:tc>
          <w:tcPr>
            <w:tcW w:w="1271" w:type="dxa"/>
            <w:vMerge w:val="continue"/>
            <w:tcBorders>
              <w:top w:val="single" w:color="auto" w:sz="4" w:space="0"/>
              <w:bottom w:val="single" w:color="auto" w:sz="4" w:space="0"/>
              <w:right w:val="single" w:color="auto" w:sz="4" w:space="0"/>
              <w:tl2br w:val="nil"/>
              <w:tr2bl w:val="nil"/>
            </w:tcBorders>
            <w:vAlign w:val="center"/>
          </w:tcPr>
          <w:p w14:paraId="2A0012D6">
            <w:pPr>
              <w:widowControl/>
              <w:autoSpaceDE/>
              <w:autoSpaceDN/>
              <w:jc w:val="center"/>
              <w:rPr>
                <w:rFonts w:ascii="Times New Roman" w:hAnsi="Times New Roman" w:eastAsia="宋体"/>
                <w:sz w:val="18"/>
                <w:szCs w:val="18"/>
                <w:lang w:eastAsia="en-US"/>
              </w:rPr>
            </w:pPr>
          </w:p>
        </w:tc>
        <w:tc>
          <w:tcPr>
            <w:tcW w:w="1139" w:type="dxa"/>
            <w:tcBorders>
              <w:top w:val="single" w:color="auto" w:sz="4" w:space="0"/>
              <w:left w:val="single" w:color="auto" w:sz="4" w:space="0"/>
              <w:bottom w:val="single" w:color="auto" w:sz="4" w:space="0"/>
              <w:right w:val="single" w:color="auto" w:sz="4" w:space="0"/>
              <w:tl2br w:val="nil"/>
              <w:tr2bl w:val="nil"/>
            </w:tcBorders>
            <w:vAlign w:val="center"/>
          </w:tcPr>
          <w:p w14:paraId="5FDF72F5">
            <w:pPr>
              <w:widowControl/>
              <w:autoSpaceDE/>
              <w:autoSpaceDN/>
              <w:jc w:val="center"/>
              <w:rPr>
                <w:rFonts w:ascii="Times New Roman" w:hAnsi="Times New Roman" w:eastAsia="宋体"/>
                <w:sz w:val="18"/>
                <w:szCs w:val="18"/>
                <w:lang w:eastAsia="en-US"/>
              </w:rPr>
            </w:pPr>
            <w:r>
              <w:rPr>
                <w:rFonts w:ascii="Times New Roman" w:hAnsi="Times New Roman" w:eastAsia="宋体"/>
                <w:spacing w:val="-1"/>
                <w:sz w:val="18"/>
                <w:szCs w:val="18"/>
                <w:lang w:eastAsia="en-US"/>
              </w:rPr>
              <w:t>I类</w:t>
            </w:r>
          </w:p>
        </w:tc>
        <w:tc>
          <w:tcPr>
            <w:tcW w:w="3260" w:type="dxa"/>
            <w:tcBorders>
              <w:top w:val="single" w:color="auto" w:sz="4" w:space="0"/>
              <w:left w:val="single" w:color="auto" w:sz="4" w:space="0"/>
              <w:bottom w:val="single" w:color="auto" w:sz="4" w:space="0"/>
              <w:right w:val="single" w:color="auto" w:sz="4" w:space="0"/>
              <w:tl2br w:val="nil"/>
              <w:tr2bl w:val="nil"/>
            </w:tcBorders>
            <w:vAlign w:val="center"/>
          </w:tcPr>
          <w:p w14:paraId="1A4A0B54">
            <w:pPr>
              <w:widowControl/>
              <w:autoSpaceDE/>
              <w:autoSpaceDN/>
              <w:jc w:val="center"/>
              <w:rPr>
                <w:rFonts w:ascii="Times New Roman" w:hAnsi="Times New Roman" w:eastAsia="宋体"/>
                <w:sz w:val="18"/>
                <w:szCs w:val="18"/>
                <w:lang w:eastAsia="en-US"/>
              </w:rPr>
            </w:pPr>
            <w:r>
              <w:rPr>
                <w:rFonts w:ascii="Times New Roman" w:hAnsi="Times New Roman" w:eastAsia="宋体"/>
                <w:spacing w:val="5"/>
                <w:sz w:val="18"/>
                <w:szCs w:val="18"/>
                <w:lang w:eastAsia="en-US"/>
              </w:rPr>
              <w:t>Ⅱ类</w:t>
            </w:r>
          </w:p>
        </w:tc>
        <w:tc>
          <w:tcPr>
            <w:tcW w:w="2332" w:type="dxa"/>
            <w:tcBorders>
              <w:top w:val="single" w:color="auto" w:sz="4" w:space="0"/>
              <w:left w:val="single" w:color="auto" w:sz="4" w:space="0"/>
              <w:bottom w:val="single" w:color="auto" w:sz="4" w:space="0"/>
              <w:right w:val="single" w:color="auto" w:sz="4" w:space="0"/>
              <w:tl2br w:val="nil"/>
              <w:tr2bl w:val="nil"/>
            </w:tcBorders>
            <w:vAlign w:val="center"/>
          </w:tcPr>
          <w:p w14:paraId="25A165B1">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III</w:t>
            </w:r>
            <w:r>
              <w:rPr>
                <w:rFonts w:ascii="Times New Roman" w:hAnsi="Times New Roman" w:eastAsia="宋体"/>
                <w:spacing w:val="5"/>
                <w:sz w:val="18"/>
                <w:szCs w:val="18"/>
                <w:lang w:eastAsia="en-US"/>
              </w:rPr>
              <w:t>类</w:t>
            </w:r>
          </w:p>
        </w:tc>
        <w:tc>
          <w:tcPr>
            <w:tcW w:w="420" w:type="dxa"/>
            <w:tcBorders>
              <w:top w:val="single" w:color="auto" w:sz="4" w:space="0"/>
              <w:left w:val="single" w:color="auto" w:sz="4" w:space="0"/>
              <w:bottom w:val="single" w:color="auto" w:sz="4" w:space="0"/>
              <w:tl2br w:val="nil"/>
              <w:tr2bl w:val="nil"/>
            </w:tcBorders>
            <w:vAlign w:val="center"/>
          </w:tcPr>
          <w:p w14:paraId="3BC6F86A">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IV</w:t>
            </w:r>
            <w:r>
              <w:rPr>
                <w:rFonts w:ascii="Times New Roman" w:hAnsi="Times New Roman" w:eastAsia="宋体"/>
                <w:spacing w:val="2"/>
                <w:sz w:val="18"/>
                <w:szCs w:val="18"/>
                <w:lang w:eastAsia="en-US"/>
              </w:rPr>
              <w:t>类</w:t>
            </w:r>
          </w:p>
        </w:tc>
      </w:tr>
      <w:tr w14:paraId="4359C8BC">
        <w:tblPrEx>
          <w:tblBorders>
            <w:top w:val="single" w:color="000000" w:sz="12" w:space="0"/>
            <w:left w:val="none" w:color="auto" w:sz="0" w:space="0"/>
            <w:bottom w:val="single" w:color="000000" w:sz="12" w:space="0"/>
            <w:right w:val="none" w:color="auto" w:sz="0" w:space="0"/>
            <w:insideH w:val="none" w:color="auto" w:sz="0" w:space="0"/>
            <w:insideV w:val="single" w:color="000000" w:sz="2" w:space="0"/>
          </w:tblBorders>
          <w:tblCellMar>
            <w:top w:w="0" w:type="dxa"/>
            <w:left w:w="0" w:type="dxa"/>
            <w:bottom w:w="0" w:type="dxa"/>
            <w:right w:w="0" w:type="dxa"/>
          </w:tblCellMar>
        </w:tblPrEx>
        <w:trPr>
          <w:trHeight w:val="340" w:hRule="atLeast"/>
          <w:jc w:val="center"/>
        </w:trPr>
        <w:tc>
          <w:tcPr>
            <w:tcW w:w="1271" w:type="dxa"/>
            <w:tcBorders>
              <w:top w:val="single" w:color="auto" w:sz="4" w:space="0"/>
              <w:right w:val="single" w:color="auto" w:sz="4" w:space="0"/>
              <w:tl2br w:val="nil"/>
              <w:tr2bl w:val="nil"/>
            </w:tcBorders>
            <w:vAlign w:val="center"/>
          </w:tcPr>
          <w:p w14:paraId="13E01639">
            <w:pPr>
              <w:widowControl/>
              <w:autoSpaceDE/>
              <w:autoSpaceDN/>
              <w:jc w:val="center"/>
              <w:rPr>
                <w:rFonts w:ascii="Times New Roman" w:hAnsi="Times New Roman" w:eastAsia="宋体"/>
                <w:sz w:val="18"/>
                <w:szCs w:val="18"/>
                <w:lang w:eastAsia="en-US"/>
              </w:rPr>
            </w:pPr>
            <w:r>
              <w:rPr>
                <w:rFonts w:ascii="Times New Roman" w:hAnsi="Times New Roman" w:eastAsia="宋体"/>
                <w:spacing w:val="8"/>
                <w:sz w:val="18"/>
                <w:szCs w:val="18"/>
                <w:lang w:eastAsia="en-US"/>
              </w:rPr>
              <w:t>农林牧渔业</w:t>
            </w:r>
          </w:p>
        </w:tc>
        <w:tc>
          <w:tcPr>
            <w:tcW w:w="1139" w:type="dxa"/>
            <w:tcBorders>
              <w:top w:val="single" w:color="auto" w:sz="4" w:space="0"/>
              <w:left w:val="single" w:color="auto" w:sz="4" w:space="0"/>
              <w:right w:val="single" w:color="auto" w:sz="4" w:space="0"/>
              <w:tl2br w:val="nil"/>
              <w:tr2bl w:val="nil"/>
            </w:tcBorders>
            <w:vAlign w:val="center"/>
          </w:tcPr>
          <w:p w14:paraId="16C14E65">
            <w:pPr>
              <w:widowControl/>
              <w:autoSpaceDE/>
              <w:autoSpaceDN/>
              <w:jc w:val="center"/>
              <w:rPr>
                <w:rFonts w:ascii="Times New Roman" w:hAnsi="Times New Roman" w:eastAsia="宋体"/>
                <w:sz w:val="18"/>
                <w:szCs w:val="18"/>
                <w:lang w:eastAsia="zh-CN"/>
              </w:rPr>
            </w:pPr>
            <w:r>
              <w:rPr>
                <w:rFonts w:ascii="Times New Roman" w:hAnsi="Times New Roman" w:eastAsia="宋体"/>
                <w:spacing w:val="8"/>
                <w:sz w:val="18"/>
                <w:szCs w:val="18"/>
                <w:lang w:eastAsia="zh-CN"/>
              </w:rPr>
              <w:t>灌溉面积大于</w:t>
            </w:r>
            <w:r>
              <w:rPr>
                <w:rFonts w:ascii="Times New Roman" w:hAnsi="Times New Roman" w:eastAsia="宋体"/>
                <w:spacing w:val="5"/>
                <w:sz w:val="18"/>
                <w:szCs w:val="18"/>
                <w:lang w:eastAsia="zh-CN"/>
              </w:rPr>
              <w:t>50万亩的灌区</w:t>
            </w:r>
            <w:r>
              <w:rPr>
                <w:rFonts w:ascii="Times New Roman" w:hAnsi="Times New Roman" w:eastAsia="宋体"/>
                <w:spacing w:val="3"/>
                <w:sz w:val="18"/>
                <w:szCs w:val="18"/>
                <w:lang w:eastAsia="zh-CN"/>
              </w:rPr>
              <w:t>工程</w:t>
            </w:r>
          </w:p>
        </w:tc>
        <w:tc>
          <w:tcPr>
            <w:tcW w:w="3260" w:type="dxa"/>
            <w:tcBorders>
              <w:top w:val="single" w:color="auto" w:sz="4" w:space="0"/>
              <w:left w:val="single" w:color="auto" w:sz="4" w:space="0"/>
              <w:right w:val="single" w:color="auto" w:sz="4" w:space="0"/>
              <w:tl2br w:val="nil"/>
              <w:tr2bl w:val="nil"/>
            </w:tcBorders>
            <w:vAlign w:val="center"/>
          </w:tcPr>
          <w:p w14:paraId="10E92953">
            <w:pPr>
              <w:widowControl/>
              <w:autoSpaceDE/>
              <w:autoSpaceDN/>
              <w:jc w:val="center"/>
              <w:rPr>
                <w:rFonts w:ascii="Times New Roman" w:hAnsi="Times New Roman" w:eastAsia="宋体"/>
                <w:sz w:val="18"/>
                <w:szCs w:val="18"/>
                <w:lang w:eastAsia="zh-CN"/>
              </w:rPr>
            </w:pPr>
            <w:r>
              <w:rPr>
                <w:rFonts w:ascii="Times New Roman" w:hAnsi="Times New Roman" w:eastAsia="宋体"/>
                <w:sz w:val="18"/>
                <w:szCs w:val="18"/>
                <w:lang w:eastAsia="zh-CN"/>
              </w:rPr>
              <w:t>新建5万亩至50万亩的、改造30</w:t>
            </w:r>
            <w:r>
              <w:rPr>
                <w:rFonts w:ascii="Times New Roman" w:hAnsi="Times New Roman" w:eastAsia="宋体"/>
                <w:spacing w:val="8"/>
                <w:sz w:val="18"/>
                <w:szCs w:val="18"/>
                <w:lang w:eastAsia="zh-CN"/>
              </w:rPr>
              <w:t>万亩及以上的灌区工程；年出栏</w:t>
            </w:r>
            <w:r>
              <w:rPr>
                <w:rFonts w:ascii="Times New Roman" w:hAnsi="Times New Roman" w:eastAsia="宋体"/>
                <w:spacing w:val="5"/>
                <w:sz w:val="18"/>
                <w:szCs w:val="18"/>
                <w:lang w:eastAsia="zh-CN"/>
              </w:rPr>
              <w:t>生猪10万头（其他畜禽种类折合</w:t>
            </w:r>
            <w:r>
              <w:rPr>
                <w:rFonts w:ascii="Times New Roman" w:hAnsi="Times New Roman" w:eastAsia="宋体"/>
                <w:spacing w:val="9"/>
                <w:sz w:val="18"/>
                <w:szCs w:val="18"/>
                <w:lang w:eastAsia="zh-CN"/>
              </w:rPr>
              <w:t>猪的养殖规模）及以上的畜禽养</w:t>
            </w:r>
            <w:r>
              <w:rPr>
                <w:rFonts w:ascii="Times New Roman" w:hAnsi="Times New Roman" w:eastAsia="宋体"/>
                <w:spacing w:val="8"/>
                <w:sz w:val="18"/>
                <w:szCs w:val="18"/>
                <w:lang w:eastAsia="zh-CN"/>
              </w:rPr>
              <w:t>殖场或养殖小区</w:t>
            </w:r>
          </w:p>
        </w:tc>
        <w:tc>
          <w:tcPr>
            <w:tcW w:w="2332" w:type="dxa"/>
            <w:tcBorders>
              <w:top w:val="single" w:color="auto" w:sz="4" w:space="0"/>
              <w:left w:val="single" w:color="auto" w:sz="4" w:space="0"/>
              <w:right w:val="single" w:color="auto" w:sz="4" w:space="0"/>
              <w:tl2br w:val="nil"/>
              <w:tr2bl w:val="nil"/>
            </w:tcBorders>
            <w:vAlign w:val="center"/>
          </w:tcPr>
          <w:p w14:paraId="5BE30435">
            <w:pPr>
              <w:widowControl/>
              <w:autoSpaceDE/>
              <w:autoSpaceDN/>
              <w:jc w:val="center"/>
              <w:rPr>
                <w:rFonts w:ascii="Times New Roman" w:hAnsi="Times New Roman" w:eastAsia="宋体"/>
                <w:sz w:val="18"/>
                <w:szCs w:val="18"/>
                <w:lang w:eastAsia="zh-CN"/>
              </w:rPr>
            </w:pPr>
            <w:r>
              <w:rPr>
                <w:rFonts w:ascii="Times New Roman" w:hAnsi="Times New Roman" w:eastAsia="宋体"/>
                <w:spacing w:val="5"/>
                <w:sz w:val="18"/>
                <w:szCs w:val="18"/>
                <w:lang w:eastAsia="zh-CN"/>
              </w:rPr>
              <w:t>年出栏生猪5000头</w:t>
            </w:r>
            <w:r>
              <w:rPr>
                <w:rFonts w:ascii="Times New Roman" w:hAnsi="Times New Roman" w:eastAsia="宋体"/>
                <w:spacing w:val="7"/>
                <w:sz w:val="18"/>
                <w:szCs w:val="18"/>
                <w:lang w:eastAsia="zh-CN"/>
              </w:rPr>
              <w:t>（其他畜禽种类折合</w:t>
            </w:r>
            <w:r>
              <w:rPr>
                <w:rFonts w:ascii="Times New Roman" w:hAnsi="Times New Roman" w:eastAsia="宋体"/>
                <w:spacing w:val="8"/>
                <w:sz w:val="18"/>
                <w:szCs w:val="18"/>
                <w:lang w:eastAsia="zh-CN"/>
              </w:rPr>
              <w:t>猪的养殖规模）及以上的畜禽养殖场或养</w:t>
            </w:r>
            <w:r>
              <w:rPr>
                <w:rFonts w:ascii="Times New Roman" w:hAnsi="Times New Roman" w:eastAsia="宋体"/>
                <w:spacing w:val="6"/>
                <w:sz w:val="18"/>
                <w:szCs w:val="18"/>
                <w:lang w:eastAsia="zh-CN"/>
              </w:rPr>
              <w:t>殖小区</w:t>
            </w:r>
          </w:p>
        </w:tc>
        <w:tc>
          <w:tcPr>
            <w:tcW w:w="420" w:type="dxa"/>
            <w:tcBorders>
              <w:top w:val="single" w:color="auto" w:sz="4" w:space="0"/>
              <w:left w:val="single" w:color="auto" w:sz="4" w:space="0"/>
              <w:tl2br w:val="nil"/>
              <w:tr2bl w:val="nil"/>
            </w:tcBorders>
            <w:vAlign w:val="center"/>
          </w:tcPr>
          <w:p w14:paraId="2F2541CB">
            <w:pPr>
              <w:widowControl/>
              <w:autoSpaceDE/>
              <w:autoSpaceDN/>
              <w:jc w:val="center"/>
              <w:rPr>
                <w:rFonts w:ascii="Times New Roman" w:hAnsi="Times New Roman" w:eastAsia="宋体"/>
                <w:sz w:val="18"/>
                <w:szCs w:val="18"/>
                <w:lang w:eastAsia="en-US"/>
              </w:rPr>
            </w:pPr>
            <w:r>
              <w:rPr>
                <w:rFonts w:ascii="Times New Roman" w:hAnsi="Times New Roman" w:eastAsia="宋体"/>
                <w:spacing w:val="4"/>
                <w:sz w:val="18"/>
                <w:szCs w:val="18"/>
                <w:lang w:eastAsia="en-US"/>
              </w:rPr>
              <w:t>其它</w:t>
            </w:r>
          </w:p>
        </w:tc>
      </w:tr>
    </w:tbl>
    <w:p w14:paraId="6676B2C8">
      <w:pPr>
        <w:spacing w:line="360" w:lineRule="auto"/>
        <w:ind w:firstLine="480" w:firstLineChars="200"/>
        <w:rPr>
          <w:sz w:val="24"/>
          <w:szCs w:val="32"/>
        </w:rPr>
      </w:pPr>
      <w:r>
        <w:rPr>
          <w:sz w:val="24"/>
          <w:szCs w:val="32"/>
        </w:rPr>
        <w:t>根据《畜禽养殖业污染物排放标准》（GB 18596-2001）中“1头肉牛折算成5头猪”，</w:t>
      </w:r>
      <w:r>
        <w:rPr>
          <w:rFonts w:hint="eastAsia"/>
          <w:color w:val="000000" w:themeColor="text1"/>
          <w:sz w:val="24"/>
          <w:szCs w:val="32"/>
          <w14:textFill>
            <w14:solidFill>
              <w14:schemeClr w14:val="tx1"/>
            </w14:solidFill>
          </w14:textFill>
        </w:rPr>
        <w:t>根据“</w:t>
      </w:r>
      <w:r>
        <w:rPr>
          <w:color w:val="000000" w:themeColor="text1"/>
          <w:sz w:val="24"/>
          <w:szCs w:val="32"/>
          <w14:textFill>
            <w14:solidFill>
              <w14:schemeClr w14:val="tx1"/>
            </w14:solidFill>
          </w14:textFill>
        </w:rPr>
        <w:t>3</w:t>
      </w:r>
      <w:r>
        <w:rPr>
          <w:rFonts w:hint="eastAsia"/>
          <w:color w:val="000000" w:themeColor="text1"/>
          <w:sz w:val="24"/>
          <w:szCs w:val="32"/>
          <w14:textFill>
            <w14:solidFill>
              <w14:schemeClr w14:val="tx1"/>
            </w14:solidFill>
          </w14:textFill>
        </w:rPr>
        <w:t>建设项目工程分析”中“表3</w:t>
      </w:r>
      <w:r>
        <w:rPr>
          <w:color w:val="000000" w:themeColor="text1"/>
          <w:sz w:val="24"/>
          <w:szCs w:val="32"/>
          <w14:textFill>
            <w14:solidFill>
              <w14:schemeClr w14:val="tx1"/>
            </w14:solidFill>
          </w14:textFill>
        </w:rPr>
        <w:t>.1-1</w:t>
      </w:r>
      <w:r>
        <w:rPr>
          <w:rFonts w:hint="eastAsia"/>
          <w:color w:val="000000" w:themeColor="text1"/>
          <w:sz w:val="24"/>
          <w:szCs w:val="32"/>
          <w14:textFill>
            <w14:solidFill>
              <w14:schemeClr w14:val="tx1"/>
            </w14:solidFill>
          </w14:textFill>
        </w:rPr>
        <w:t>各养殖场区基本情况表”可知，</w:t>
      </w:r>
      <w:r>
        <w:rPr>
          <w:rFonts w:hint="eastAsia"/>
          <w:sz w:val="24"/>
          <w:szCs w:val="32"/>
        </w:rPr>
        <w:t>本项目</w:t>
      </w:r>
      <w:r>
        <w:rPr>
          <w:kern w:val="0"/>
          <w:sz w:val="24"/>
          <w:lang w:bidi="ar"/>
        </w:rPr>
        <w:t>每个养殖</w:t>
      </w:r>
      <w:r>
        <w:rPr>
          <w:rFonts w:hint="eastAsia"/>
          <w:kern w:val="0"/>
          <w:sz w:val="24"/>
          <w:lang w:bidi="ar"/>
        </w:rPr>
        <w:t>场地</w:t>
      </w:r>
      <w:r>
        <w:rPr>
          <w:kern w:val="0"/>
          <w:sz w:val="24"/>
          <w:lang w:bidi="ar"/>
        </w:rPr>
        <w:t>养殖肉牛</w:t>
      </w:r>
      <w:r>
        <w:rPr>
          <w:rFonts w:hint="eastAsia"/>
          <w:kern w:val="0"/>
          <w:sz w:val="24"/>
          <w:lang w:bidi="ar"/>
        </w:rPr>
        <w:t>出栏</w:t>
      </w:r>
      <w:r>
        <w:rPr>
          <w:kern w:val="0"/>
          <w:sz w:val="24"/>
          <w:lang w:bidi="ar"/>
        </w:rPr>
        <w:t>折算生猪年出栏数量均在10万头以下，5000头以上</w:t>
      </w:r>
      <w:r>
        <w:rPr>
          <w:sz w:val="24"/>
          <w:szCs w:val="32"/>
        </w:rPr>
        <w:t>；因此本项目属于农林牧渔业中的</w:t>
      </w:r>
      <w:r>
        <w:rPr>
          <w:rFonts w:hint="eastAsia"/>
          <w:sz w:val="24"/>
          <w:szCs w:val="32"/>
        </w:rPr>
        <w:t>“</w:t>
      </w:r>
      <w:r>
        <w:rPr>
          <w:sz w:val="24"/>
          <w:szCs w:val="32"/>
        </w:rPr>
        <w:t>年出栏生猪5000头（其他畜禽种类折合猪的养殖规模）及以上的畜禽养殖场或养殖小区</w:t>
      </w:r>
      <w:r>
        <w:rPr>
          <w:rFonts w:hint="eastAsia"/>
          <w:sz w:val="24"/>
          <w:szCs w:val="32"/>
        </w:rPr>
        <w:t>”</w:t>
      </w:r>
      <w:r>
        <w:rPr>
          <w:sz w:val="24"/>
          <w:szCs w:val="32"/>
        </w:rPr>
        <w:t>项目，属III类项目。</w:t>
      </w:r>
    </w:p>
    <w:p w14:paraId="72B57E5E">
      <w:pPr>
        <w:spacing w:line="360" w:lineRule="auto"/>
        <w:ind w:firstLine="480" w:firstLineChars="200"/>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（2）项目占地规模</w:t>
      </w:r>
    </w:p>
    <w:p w14:paraId="1E876765">
      <w:pPr>
        <w:spacing w:line="360" w:lineRule="auto"/>
        <w:ind w:firstLine="480" w:firstLineChars="200"/>
        <w:rPr>
          <w:color w:val="FF0000"/>
          <w:sz w:val="24"/>
          <w:szCs w:val="32"/>
        </w:rPr>
      </w:pPr>
      <w:r>
        <w:rPr>
          <w:rFonts w:hint="eastAsia"/>
          <w:color w:val="000000" w:themeColor="text1"/>
          <w:sz w:val="24"/>
          <w:szCs w:val="32"/>
          <w14:textFill>
            <w14:solidFill>
              <w14:schemeClr w14:val="tx1"/>
            </w14:solidFill>
          </w14:textFill>
        </w:rPr>
        <w:t>根据《环境影响评价技术导则 土壤环境（试行）》（H</w:t>
      </w:r>
      <w:r>
        <w:rPr>
          <w:color w:val="000000" w:themeColor="text1"/>
          <w:sz w:val="24"/>
          <w:szCs w:val="32"/>
          <w14:textFill>
            <w14:solidFill>
              <w14:schemeClr w14:val="tx1"/>
            </w14:solidFill>
          </w14:textFill>
        </w:rPr>
        <w:t>J964-2018</w:t>
      </w:r>
      <w:r>
        <w:rPr>
          <w:rFonts w:hint="eastAsia"/>
          <w:color w:val="000000" w:themeColor="text1"/>
          <w:sz w:val="24"/>
          <w:szCs w:val="32"/>
          <w14:textFill>
            <w14:solidFill>
              <w14:schemeClr w14:val="tx1"/>
            </w14:solidFill>
          </w14:textFill>
        </w:rPr>
        <w:t>）中“6</w:t>
      </w:r>
      <w:r>
        <w:rPr>
          <w:color w:val="000000" w:themeColor="text1"/>
          <w:sz w:val="24"/>
          <w:szCs w:val="32"/>
          <w14:textFill>
            <w14:solidFill>
              <w14:schemeClr w14:val="tx1"/>
            </w14:solidFill>
          </w14:textFill>
        </w:rPr>
        <w:t xml:space="preserve">.2.2.1 </w:t>
      </w:r>
      <w:r>
        <w:rPr>
          <w:rFonts w:hint="eastAsia"/>
          <w:color w:val="000000" w:themeColor="text1"/>
          <w:sz w:val="24"/>
          <w:szCs w:val="32"/>
          <w14:textFill>
            <w14:solidFill>
              <w14:schemeClr w14:val="tx1"/>
            </w14:solidFill>
          </w14:textFill>
        </w:rPr>
        <w:t>将建设项目占地规模分为大型（≥50hm</w:t>
      </w:r>
      <w:r>
        <w:rPr>
          <w:rFonts w:hint="eastAsia"/>
          <w:color w:val="000000" w:themeColor="text1"/>
          <w:sz w:val="24"/>
          <w:szCs w:val="32"/>
          <w:vertAlign w:val="superscript"/>
          <w14:textFill>
            <w14:solidFill>
              <w14:schemeClr w14:val="tx1"/>
            </w14:solidFill>
          </w14:textFill>
        </w:rPr>
        <w:t>2</w:t>
      </w:r>
      <w:r>
        <w:rPr>
          <w:rFonts w:hint="eastAsia"/>
          <w:color w:val="000000" w:themeColor="text1"/>
          <w:sz w:val="24"/>
          <w:szCs w:val="32"/>
          <w14:textFill>
            <w14:solidFill>
              <w14:schemeClr w14:val="tx1"/>
            </w14:solidFill>
          </w14:textFill>
        </w:rPr>
        <w:t>）、中型</w:t>
      </w:r>
      <w:bookmarkStart w:id="158" w:name="OLE_LINK69"/>
      <w:bookmarkStart w:id="159" w:name="OLE_LINK73"/>
      <w:r>
        <w:rPr>
          <w:rFonts w:hint="eastAsia"/>
          <w:color w:val="000000" w:themeColor="text1"/>
          <w:sz w:val="24"/>
          <w:szCs w:val="32"/>
          <w14:textFill>
            <w14:solidFill>
              <w14:schemeClr w14:val="tx1"/>
            </w14:solidFill>
          </w14:textFill>
        </w:rPr>
        <w:t>（5~50hm</w:t>
      </w:r>
      <w:r>
        <w:rPr>
          <w:rFonts w:hint="eastAsia"/>
          <w:color w:val="000000" w:themeColor="text1"/>
          <w:sz w:val="24"/>
          <w:szCs w:val="32"/>
          <w:vertAlign w:val="superscript"/>
          <w14:textFill>
            <w14:solidFill>
              <w14:schemeClr w14:val="tx1"/>
            </w14:solidFill>
          </w14:textFill>
        </w:rPr>
        <w:t>2</w:t>
      </w:r>
      <w:r>
        <w:rPr>
          <w:rFonts w:hint="eastAsia"/>
          <w:color w:val="000000" w:themeColor="text1"/>
          <w:sz w:val="24"/>
          <w:szCs w:val="32"/>
          <w14:textFill>
            <w14:solidFill>
              <w14:schemeClr w14:val="tx1"/>
            </w14:solidFill>
          </w14:textFill>
        </w:rPr>
        <w:t>）</w:t>
      </w:r>
      <w:bookmarkEnd w:id="158"/>
      <w:bookmarkEnd w:id="159"/>
      <w:r>
        <w:rPr>
          <w:rFonts w:hint="eastAsia"/>
          <w:color w:val="000000" w:themeColor="text1"/>
          <w:sz w:val="24"/>
          <w:szCs w:val="32"/>
          <w14:textFill>
            <w14:solidFill>
              <w14:schemeClr w14:val="tx1"/>
            </w14:solidFill>
          </w14:textFill>
        </w:rPr>
        <w:t>、小型（≤5hm</w:t>
      </w:r>
      <w:r>
        <w:rPr>
          <w:rFonts w:hint="eastAsia"/>
          <w:color w:val="000000" w:themeColor="text1"/>
          <w:sz w:val="24"/>
          <w:szCs w:val="32"/>
          <w:vertAlign w:val="superscript"/>
          <w14:textFill>
            <w14:solidFill>
              <w14:schemeClr w14:val="tx1"/>
            </w14:solidFill>
          </w14:textFill>
        </w:rPr>
        <w:t>2</w:t>
      </w:r>
      <w:r>
        <w:rPr>
          <w:rFonts w:hint="eastAsia"/>
          <w:color w:val="000000" w:themeColor="text1"/>
          <w:sz w:val="24"/>
          <w:szCs w:val="32"/>
          <w14:textFill>
            <w14:solidFill>
              <w14:schemeClr w14:val="tx1"/>
            </w14:solidFill>
          </w14:textFill>
        </w:rPr>
        <w:t>），建设项目占地主要为永久占地”。</w:t>
      </w:r>
    </w:p>
    <w:p w14:paraId="5A47E592">
      <w:pPr>
        <w:spacing w:line="360" w:lineRule="auto"/>
        <w:ind w:firstLine="480" w:firstLineChars="200"/>
        <w:rPr>
          <w:sz w:val="24"/>
          <w:szCs w:val="32"/>
        </w:rPr>
      </w:pPr>
      <w:r>
        <w:rPr>
          <w:sz w:val="24"/>
          <w:szCs w:val="32"/>
        </w:rPr>
        <w:t>本项目</w:t>
      </w:r>
      <w:r>
        <w:rPr>
          <w:kern w:val="0"/>
          <w:sz w:val="24"/>
          <w:lang w:bidi="ar"/>
        </w:rPr>
        <w:t>肉牛养殖</w:t>
      </w:r>
      <w:r>
        <w:rPr>
          <w:rFonts w:hint="eastAsia"/>
          <w:kern w:val="0"/>
          <w:sz w:val="24"/>
          <w:lang w:bidi="ar"/>
        </w:rPr>
        <w:t>涉及4个场区，</w:t>
      </w:r>
      <w:r>
        <w:rPr>
          <w:rFonts w:hint="eastAsia"/>
          <w:sz w:val="24"/>
          <w:szCs w:val="32"/>
        </w:rPr>
        <w:t>根据“</w:t>
      </w:r>
      <w:r>
        <w:rPr>
          <w:sz w:val="24"/>
          <w:szCs w:val="32"/>
        </w:rPr>
        <w:t>3</w:t>
      </w:r>
      <w:r>
        <w:rPr>
          <w:rFonts w:hint="eastAsia"/>
          <w:sz w:val="24"/>
          <w:szCs w:val="32"/>
        </w:rPr>
        <w:t>建设项目工程分析”中“表3</w:t>
      </w:r>
      <w:r>
        <w:rPr>
          <w:sz w:val="24"/>
          <w:szCs w:val="32"/>
        </w:rPr>
        <w:t>.1-1</w:t>
      </w:r>
      <w:r>
        <w:rPr>
          <w:rFonts w:hint="eastAsia"/>
          <w:sz w:val="24"/>
          <w:szCs w:val="32"/>
        </w:rPr>
        <w:t>各养殖场区基本情况表”，</w:t>
      </w:r>
      <w:r>
        <w:rPr>
          <w:rFonts w:hint="eastAsia"/>
          <w:kern w:val="0"/>
          <w:sz w:val="24"/>
          <w:lang w:bidi="ar"/>
        </w:rPr>
        <w:t>其中百花养殖场区占地6</w:t>
      </w:r>
      <w:r>
        <w:rPr>
          <w:kern w:val="0"/>
          <w:sz w:val="24"/>
          <w:lang w:bidi="ar"/>
        </w:rPr>
        <w:t>.46</w:t>
      </w:r>
      <w:r>
        <w:rPr>
          <w:rFonts w:hint="eastAsia"/>
          <w:kern w:val="0"/>
          <w:sz w:val="24"/>
          <w:lang w:bidi="ar"/>
        </w:rPr>
        <w:t>hm</w:t>
      </w:r>
      <w:r>
        <w:rPr>
          <w:kern w:val="0"/>
          <w:sz w:val="24"/>
          <w:vertAlign w:val="superscript"/>
          <w:lang w:bidi="ar"/>
        </w:rPr>
        <w:t>2</w:t>
      </w:r>
      <w:r>
        <w:rPr>
          <w:rFonts w:hint="eastAsia"/>
          <w:sz w:val="24"/>
          <w:szCs w:val="32"/>
        </w:rPr>
        <w:t>（5~50hm</w:t>
      </w:r>
      <w:r>
        <w:rPr>
          <w:rFonts w:hint="eastAsia"/>
          <w:sz w:val="24"/>
          <w:szCs w:val="32"/>
          <w:vertAlign w:val="superscript"/>
        </w:rPr>
        <w:t>2</w:t>
      </w:r>
      <w:r>
        <w:rPr>
          <w:rFonts w:hint="eastAsia"/>
          <w:sz w:val="24"/>
          <w:szCs w:val="32"/>
        </w:rPr>
        <w:t>）、佛龙养殖场区占地4</w:t>
      </w:r>
      <w:r>
        <w:rPr>
          <w:sz w:val="24"/>
          <w:szCs w:val="32"/>
        </w:rPr>
        <w:t>.46</w:t>
      </w:r>
      <w:r>
        <w:rPr>
          <w:rFonts w:hint="eastAsia"/>
          <w:sz w:val="24"/>
          <w:szCs w:val="32"/>
        </w:rPr>
        <w:t>hm</w:t>
      </w:r>
      <w:r>
        <w:rPr>
          <w:sz w:val="24"/>
          <w:szCs w:val="32"/>
          <w:vertAlign w:val="superscript"/>
        </w:rPr>
        <w:t>2</w:t>
      </w:r>
      <w:r>
        <w:rPr>
          <w:rFonts w:hint="eastAsia"/>
          <w:sz w:val="24"/>
          <w:szCs w:val="32"/>
        </w:rPr>
        <w:t>（≤5hm</w:t>
      </w:r>
      <w:r>
        <w:rPr>
          <w:rFonts w:hint="eastAsia"/>
          <w:sz w:val="24"/>
          <w:szCs w:val="32"/>
          <w:vertAlign w:val="superscript"/>
        </w:rPr>
        <w:t>2</w:t>
      </w:r>
      <w:r>
        <w:rPr>
          <w:rFonts w:hint="eastAsia"/>
          <w:sz w:val="24"/>
          <w:szCs w:val="32"/>
        </w:rPr>
        <w:t>）、塘坝养殖场区6</w:t>
      </w:r>
      <w:r>
        <w:rPr>
          <w:sz w:val="24"/>
          <w:szCs w:val="32"/>
        </w:rPr>
        <w:t>.27</w:t>
      </w:r>
      <w:r>
        <w:rPr>
          <w:rFonts w:hint="eastAsia"/>
          <w:sz w:val="24"/>
          <w:szCs w:val="32"/>
        </w:rPr>
        <w:t>hm</w:t>
      </w:r>
      <w:r>
        <w:rPr>
          <w:sz w:val="24"/>
          <w:szCs w:val="32"/>
          <w:vertAlign w:val="superscript"/>
        </w:rPr>
        <w:t>2</w:t>
      </w:r>
      <w:r>
        <w:rPr>
          <w:rFonts w:hint="eastAsia"/>
          <w:sz w:val="24"/>
          <w:szCs w:val="32"/>
        </w:rPr>
        <w:t>（5~50hm</w:t>
      </w:r>
      <w:r>
        <w:rPr>
          <w:rFonts w:hint="eastAsia"/>
          <w:sz w:val="24"/>
          <w:szCs w:val="32"/>
          <w:vertAlign w:val="superscript"/>
        </w:rPr>
        <w:t>2</w:t>
      </w:r>
      <w:r>
        <w:rPr>
          <w:rFonts w:hint="eastAsia"/>
          <w:sz w:val="24"/>
          <w:szCs w:val="32"/>
        </w:rPr>
        <w:t>）、始宁养殖场区4</w:t>
      </w:r>
      <w:r>
        <w:rPr>
          <w:sz w:val="24"/>
          <w:szCs w:val="32"/>
        </w:rPr>
        <w:t>.96</w:t>
      </w:r>
      <w:r>
        <w:rPr>
          <w:rFonts w:hint="eastAsia"/>
          <w:sz w:val="24"/>
          <w:szCs w:val="32"/>
        </w:rPr>
        <w:t>hm</w:t>
      </w:r>
      <w:r>
        <w:rPr>
          <w:sz w:val="24"/>
          <w:szCs w:val="32"/>
          <w:vertAlign w:val="superscript"/>
        </w:rPr>
        <w:t>2</w:t>
      </w:r>
      <w:r>
        <w:rPr>
          <w:rFonts w:hint="eastAsia"/>
          <w:sz w:val="24"/>
          <w:szCs w:val="32"/>
        </w:rPr>
        <w:t>（≤5hm</w:t>
      </w:r>
      <w:r>
        <w:rPr>
          <w:rFonts w:hint="eastAsia"/>
          <w:sz w:val="24"/>
          <w:szCs w:val="32"/>
          <w:vertAlign w:val="superscript"/>
        </w:rPr>
        <w:t>2</w:t>
      </w:r>
      <w:r>
        <w:rPr>
          <w:rFonts w:hint="eastAsia"/>
          <w:sz w:val="24"/>
          <w:szCs w:val="32"/>
        </w:rPr>
        <w:t>）</w:t>
      </w:r>
      <w:r>
        <w:rPr>
          <w:sz w:val="24"/>
          <w:szCs w:val="32"/>
        </w:rPr>
        <w:t>，因此</w:t>
      </w:r>
      <w:r>
        <w:rPr>
          <w:rFonts w:hint="eastAsia"/>
          <w:sz w:val="24"/>
          <w:szCs w:val="32"/>
        </w:rPr>
        <w:t>百花、塘坝养殖场区</w:t>
      </w:r>
      <w:r>
        <w:rPr>
          <w:sz w:val="24"/>
          <w:szCs w:val="32"/>
        </w:rPr>
        <w:t>占地规模均属于</w:t>
      </w:r>
      <w:r>
        <w:rPr>
          <w:rFonts w:hint="eastAsia"/>
          <w:sz w:val="24"/>
          <w:szCs w:val="32"/>
        </w:rPr>
        <w:t>中</w:t>
      </w:r>
      <w:r>
        <w:rPr>
          <w:sz w:val="24"/>
          <w:szCs w:val="32"/>
        </w:rPr>
        <w:t>型</w:t>
      </w:r>
      <w:r>
        <w:rPr>
          <w:rFonts w:hint="eastAsia"/>
          <w:sz w:val="24"/>
          <w:szCs w:val="32"/>
        </w:rPr>
        <w:t>（5~50hm</w:t>
      </w:r>
      <w:r>
        <w:rPr>
          <w:rFonts w:hint="eastAsia"/>
          <w:sz w:val="24"/>
          <w:szCs w:val="32"/>
          <w:vertAlign w:val="superscript"/>
        </w:rPr>
        <w:t>2</w:t>
      </w:r>
      <w:r>
        <w:rPr>
          <w:rFonts w:hint="eastAsia"/>
          <w:sz w:val="24"/>
          <w:szCs w:val="32"/>
        </w:rPr>
        <w:t>），佛龙、始宁养殖场区占地规模属于小型（≤5hm</w:t>
      </w:r>
      <w:r>
        <w:rPr>
          <w:rFonts w:hint="eastAsia"/>
          <w:sz w:val="24"/>
          <w:szCs w:val="32"/>
          <w:vertAlign w:val="superscript"/>
        </w:rPr>
        <w:t>2</w:t>
      </w:r>
      <w:r>
        <w:rPr>
          <w:rFonts w:hint="eastAsia"/>
          <w:sz w:val="24"/>
          <w:szCs w:val="32"/>
        </w:rPr>
        <w:t>）</w:t>
      </w:r>
      <w:r>
        <w:rPr>
          <w:sz w:val="24"/>
          <w:szCs w:val="32"/>
        </w:rPr>
        <w:t>。</w:t>
      </w:r>
    </w:p>
    <w:p w14:paraId="05DE66EF">
      <w:pPr>
        <w:spacing w:line="360" w:lineRule="auto"/>
        <w:ind w:firstLine="480" w:firstLineChars="200"/>
        <w:rPr>
          <w:sz w:val="24"/>
          <w:szCs w:val="32"/>
        </w:rPr>
      </w:pPr>
      <w:r>
        <w:rPr>
          <w:sz w:val="24"/>
          <w:szCs w:val="32"/>
        </w:rPr>
        <w:t>（3）项目所在地周边土壤环境敏感程度</w:t>
      </w:r>
    </w:p>
    <w:p w14:paraId="401F9705">
      <w:pPr>
        <w:spacing w:line="360" w:lineRule="auto"/>
        <w:ind w:firstLine="480" w:firstLineChars="200"/>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建设项目所在地周边的土壤环境敏感程度可分为敏感、较敏感、不敏感，判定依据见下表。</w:t>
      </w:r>
    </w:p>
    <w:p w14:paraId="16F17D80">
      <w:pPr>
        <w:pStyle w:val="814"/>
        <w:numPr>
          <w:ilvl w:val="0"/>
          <w:numId w:val="22"/>
        </w:numPr>
        <w:snapToGrid w:val="0"/>
        <w:spacing w:line="240" w:lineRule="auto"/>
        <w:rPr>
          <w:b/>
          <w:bCs/>
          <w:color w:val="000000" w:themeColor="text1"/>
          <w14:textFill>
            <w14:solidFill>
              <w14:schemeClr w14:val="tx1"/>
            </w14:solidFill>
          </w14:textFill>
        </w:rPr>
      </w:pPr>
      <w:r>
        <w:rPr>
          <w:rFonts w:eastAsia="黑体"/>
          <w:color w:val="000000" w:themeColor="text1"/>
          <w14:textFill>
            <w14:solidFill>
              <w14:schemeClr w14:val="tx1"/>
            </w14:solidFill>
          </w14:textFill>
        </w:rPr>
        <w:t>污染影响型敏感程度分级表</w:t>
      </w:r>
    </w:p>
    <w:tbl>
      <w:tblPr>
        <w:tblStyle w:val="88"/>
        <w:tblW w:w="8522" w:type="dxa"/>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1449"/>
        <w:gridCol w:w="7073"/>
      </w:tblGrid>
      <w:tr w14:paraId="77ACBAC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32" w:hRule="atLeast"/>
          <w:jc w:val="center"/>
        </w:trPr>
        <w:tc>
          <w:tcPr>
            <w:tcW w:w="1449" w:type="dxa"/>
            <w:tcBorders>
              <w:tl2br w:val="nil"/>
              <w:tr2bl w:val="nil"/>
            </w:tcBorders>
            <w:vAlign w:val="center"/>
          </w:tcPr>
          <w:p w14:paraId="49685371">
            <w:pPr>
              <w:adjustRightInd w:val="0"/>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敏感程度</w:t>
            </w:r>
          </w:p>
        </w:tc>
        <w:tc>
          <w:tcPr>
            <w:tcW w:w="7073" w:type="dxa"/>
            <w:tcBorders>
              <w:tl2br w:val="nil"/>
              <w:tr2bl w:val="nil"/>
            </w:tcBorders>
            <w:vAlign w:val="center"/>
          </w:tcPr>
          <w:p w14:paraId="4255FBE1">
            <w:pPr>
              <w:adjustRightInd w:val="0"/>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判定依据</w:t>
            </w:r>
          </w:p>
        </w:tc>
      </w:tr>
      <w:tr w14:paraId="4F0B5EBF">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449" w:type="dxa"/>
            <w:tcBorders>
              <w:tl2br w:val="nil"/>
              <w:tr2bl w:val="nil"/>
            </w:tcBorders>
            <w:vAlign w:val="center"/>
          </w:tcPr>
          <w:p w14:paraId="38876965">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敏感</w:t>
            </w:r>
          </w:p>
        </w:tc>
        <w:tc>
          <w:tcPr>
            <w:tcW w:w="7073" w:type="dxa"/>
            <w:tcBorders>
              <w:tl2br w:val="nil"/>
              <w:tr2bl w:val="nil"/>
            </w:tcBorders>
            <w:vAlign w:val="center"/>
          </w:tcPr>
          <w:p w14:paraId="3DE32B92">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建设项目周边存在耕地、园地、牧草地、饮用水源地或居民区、学校、医院、疗养院、养老院等土壤环境敏感目标的</w:t>
            </w:r>
          </w:p>
        </w:tc>
      </w:tr>
      <w:tr w14:paraId="3671222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449" w:type="dxa"/>
            <w:tcBorders>
              <w:tl2br w:val="nil"/>
              <w:tr2bl w:val="nil"/>
            </w:tcBorders>
            <w:vAlign w:val="center"/>
          </w:tcPr>
          <w:p w14:paraId="023EB602">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较敏感</w:t>
            </w:r>
          </w:p>
        </w:tc>
        <w:tc>
          <w:tcPr>
            <w:tcW w:w="7073" w:type="dxa"/>
            <w:tcBorders>
              <w:tl2br w:val="nil"/>
              <w:tr2bl w:val="nil"/>
            </w:tcBorders>
            <w:vAlign w:val="center"/>
          </w:tcPr>
          <w:p w14:paraId="3AD91E6D">
            <w:pP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建设项目周边存在其他土壤环境敏感目标的</w:t>
            </w:r>
          </w:p>
        </w:tc>
      </w:tr>
      <w:tr w14:paraId="199065B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1449" w:type="dxa"/>
            <w:tcBorders>
              <w:tl2br w:val="nil"/>
              <w:tr2bl w:val="nil"/>
            </w:tcBorders>
            <w:vAlign w:val="center"/>
          </w:tcPr>
          <w:p w14:paraId="2D38FC61">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不敏感</w:t>
            </w:r>
          </w:p>
        </w:tc>
        <w:tc>
          <w:tcPr>
            <w:tcW w:w="7073" w:type="dxa"/>
            <w:tcBorders>
              <w:tl2br w:val="nil"/>
              <w:tr2bl w:val="nil"/>
            </w:tcBorders>
            <w:vAlign w:val="center"/>
          </w:tcPr>
          <w:p w14:paraId="7E36DB84">
            <w:pPr>
              <w:adjustRightInd w:val="0"/>
              <w:snapToGrid w:val="0"/>
              <w:jc w:val="both"/>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其他情况</w:t>
            </w:r>
          </w:p>
        </w:tc>
      </w:tr>
    </w:tbl>
    <w:p w14:paraId="539A1230">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据现场调查，本项目</w:t>
      </w:r>
      <w:r>
        <w:rPr>
          <w:rFonts w:hint="eastAsia"/>
          <w:color w:val="000000" w:themeColor="text1"/>
          <w:sz w:val="24"/>
          <w:szCs w:val="32"/>
          <w14:textFill>
            <w14:solidFill>
              <w14:schemeClr w14:val="tx1"/>
            </w14:solidFill>
          </w14:textFill>
        </w:rPr>
        <w:t>为农村环境，</w:t>
      </w:r>
      <w:r>
        <w:rPr>
          <w:color w:val="000000" w:themeColor="text1"/>
          <w:sz w:val="24"/>
          <w:szCs w:val="32"/>
          <w14:textFill>
            <w14:solidFill>
              <w14:schemeClr w14:val="tx1"/>
            </w14:solidFill>
          </w14:textFill>
        </w:rPr>
        <w:t>周边存在耕地，因此确定区内土壤环境敏感程度为</w:t>
      </w:r>
      <w:r>
        <w:rPr>
          <w:rFonts w:hint="eastAsia"/>
          <w:color w:val="000000" w:themeColor="text1"/>
          <w:sz w:val="24"/>
          <w:szCs w:val="32"/>
          <w14:textFill>
            <w14:solidFill>
              <w14:schemeClr w14:val="tx1"/>
            </w14:solidFill>
          </w14:textFill>
        </w:rPr>
        <w:t>“</w:t>
      </w:r>
      <w:r>
        <w:rPr>
          <w:color w:val="000000" w:themeColor="text1"/>
          <w:sz w:val="24"/>
          <w:szCs w:val="32"/>
          <w14:textFill>
            <w14:solidFill>
              <w14:schemeClr w14:val="tx1"/>
            </w14:solidFill>
          </w14:textFill>
        </w:rPr>
        <w:t>敏感</w:t>
      </w:r>
      <w:r>
        <w:rPr>
          <w:rFonts w:hint="eastAsia"/>
          <w:color w:val="000000" w:themeColor="text1"/>
          <w:sz w:val="24"/>
          <w:szCs w:val="32"/>
          <w14:textFill>
            <w14:solidFill>
              <w14:schemeClr w14:val="tx1"/>
            </w14:solidFill>
          </w14:textFill>
        </w:rPr>
        <w:t>”</w:t>
      </w:r>
      <w:r>
        <w:rPr>
          <w:color w:val="000000" w:themeColor="text1"/>
          <w:sz w:val="24"/>
          <w:szCs w:val="32"/>
          <w14:textFill>
            <w14:solidFill>
              <w14:schemeClr w14:val="tx1"/>
            </w14:solidFill>
          </w14:textFill>
        </w:rPr>
        <w:t>。</w:t>
      </w:r>
    </w:p>
    <w:p w14:paraId="58B8A1F0">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（4）评价等级</w:t>
      </w:r>
    </w:p>
    <w:p w14:paraId="3E29609C">
      <w:pPr>
        <w:pStyle w:val="814"/>
        <w:numPr>
          <w:ilvl w:val="0"/>
          <w:numId w:val="22"/>
        </w:numPr>
        <w:snapToGrid w:val="0"/>
        <w:spacing w:line="240" w:lineRule="auto"/>
        <w:rPr>
          <w:b/>
          <w:bCs/>
          <w:color w:val="000000" w:themeColor="text1"/>
          <w14:textFill>
            <w14:solidFill>
              <w14:schemeClr w14:val="tx1"/>
            </w14:solidFill>
          </w14:textFill>
        </w:rPr>
      </w:pPr>
      <w:r>
        <w:rPr>
          <w:b/>
          <w:bCs/>
          <w:color w:val="000000" w:themeColor="text1"/>
          <w14:textFill>
            <w14:solidFill>
              <w14:schemeClr w14:val="tx1"/>
            </w14:solidFill>
          </w14:textFill>
        </w:rPr>
        <w:t>污染影响型评价工作等级划分表</w:t>
      </w:r>
    </w:p>
    <w:tbl>
      <w:tblPr>
        <w:tblStyle w:val="88"/>
        <w:tblW w:w="0" w:type="auto"/>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962"/>
        <w:gridCol w:w="711"/>
        <w:gridCol w:w="704"/>
        <w:gridCol w:w="793"/>
        <w:gridCol w:w="707"/>
        <w:gridCol w:w="735"/>
        <w:gridCol w:w="851"/>
        <w:gridCol w:w="692"/>
        <w:gridCol w:w="649"/>
        <w:gridCol w:w="724"/>
      </w:tblGrid>
      <w:tr w14:paraId="0C1741E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033" w:hRule="atLeast"/>
        </w:trPr>
        <w:tc>
          <w:tcPr>
            <w:tcW w:w="1962" w:type="dxa"/>
            <w:vMerge w:val="restart"/>
            <w:vAlign w:val="center"/>
          </w:tcPr>
          <w:p w14:paraId="546C1424">
            <w:pPr>
              <w:pStyle w:val="45"/>
              <w:adjustRightInd w:val="0"/>
              <w:spacing w:line="240" w:lineRule="auto"/>
              <w:jc w:val="both"/>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敏感程度</w:t>
            </w:r>
          </w:p>
          <w:p w14:paraId="514D9041">
            <w:pPr>
              <w:pStyle w:val="45"/>
              <w:adjustRightInd w:val="0"/>
              <w:jc w:val="both"/>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评价工作等级</w:t>
            </w:r>
          </w:p>
          <w:p w14:paraId="27A3EC06">
            <w:pPr>
              <w:pStyle w:val="45"/>
              <w:adjustRightInd w:val="0"/>
              <w:jc w:val="both"/>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占地规模</w:t>
            </w:r>
          </w:p>
        </w:tc>
        <w:tc>
          <w:tcPr>
            <w:tcW w:w="2208" w:type="dxa"/>
            <w:gridSpan w:val="3"/>
            <w:vAlign w:val="center"/>
          </w:tcPr>
          <w:p w14:paraId="56A276EC">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fldChar w:fldCharType="begin"/>
            </w:r>
            <w:r>
              <w:rPr>
                <w:rFonts w:ascii="Times New Roman" w:hAnsi="Times New Roman"/>
                <w:snapToGrid w:val="0"/>
                <w:color w:val="000000" w:themeColor="text1"/>
                <w:kern w:val="0"/>
                <w:szCs w:val="21"/>
                <w14:textFill>
                  <w14:solidFill>
                    <w14:schemeClr w14:val="tx1"/>
                  </w14:solidFill>
                </w14:textFill>
              </w:rPr>
              <w:instrText xml:space="preserve"> = 1 \* ROMAN \* MERGEFORMAT </w:instrText>
            </w:r>
            <w:r>
              <w:rPr>
                <w:rFonts w:ascii="Times New Roman" w:hAnsi="Times New Roman"/>
                <w:snapToGrid w:val="0"/>
                <w:color w:val="000000" w:themeColor="text1"/>
                <w:kern w:val="0"/>
                <w:szCs w:val="21"/>
                <w14:textFill>
                  <w14:solidFill>
                    <w14:schemeClr w14:val="tx1"/>
                  </w14:solidFill>
                </w14:textFill>
              </w:rPr>
              <w:fldChar w:fldCharType="separate"/>
            </w:r>
            <w:r>
              <w:rPr>
                <w:rFonts w:ascii="Times New Roman" w:hAnsi="Times New Roman"/>
                <w:color w:val="000000" w:themeColor="text1"/>
                <w:szCs w:val="21"/>
                <w14:textFill>
                  <w14:solidFill>
                    <w14:schemeClr w14:val="tx1"/>
                  </w14:solidFill>
                </w14:textFill>
              </w:rPr>
              <w:t>I</w:t>
            </w:r>
            <w:r>
              <w:rPr>
                <w:rFonts w:ascii="Times New Roman" w:hAnsi="Times New Roman"/>
                <w:snapToGrid w:val="0"/>
                <w:color w:val="000000" w:themeColor="text1"/>
                <w:kern w:val="0"/>
                <w:szCs w:val="21"/>
                <w14:textFill>
                  <w14:solidFill>
                    <w14:schemeClr w14:val="tx1"/>
                  </w14:solidFill>
                </w14:textFill>
              </w:rPr>
              <w:fldChar w:fldCharType="end"/>
            </w:r>
            <w:r>
              <w:rPr>
                <w:rFonts w:ascii="Times New Roman" w:hAnsi="Times New Roman"/>
                <w:snapToGrid w:val="0"/>
                <w:color w:val="000000" w:themeColor="text1"/>
                <w:kern w:val="0"/>
                <w:szCs w:val="21"/>
                <w14:textFill>
                  <w14:solidFill>
                    <w14:schemeClr w14:val="tx1"/>
                  </w14:solidFill>
                </w14:textFill>
              </w:rPr>
              <w:t>类</w:t>
            </w:r>
          </w:p>
        </w:tc>
        <w:tc>
          <w:tcPr>
            <w:tcW w:w="2293" w:type="dxa"/>
            <w:gridSpan w:val="3"/>
            <w:vAlign w:val="center"/>
          </w:tcPr>
          <w:p w14:paraId="31B92649">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fldChar w:fldCharType="begin"/>
            </w:r>
            <w:r>
              <w:rPr>
                <w:rFonts w:ascii="Times New Roman" w:hAnsi="Times New Roman"/>
                <w:snapToGrid w:val="0"/>
                <w:color w:val="000000" w:themeColor="text1"/>
                <w:kern w:val="0"/>
                <w:szCs w:val="21"/>
                <w14:textFill>
                  <w14:solidFill>
                    <w14:schemeClr w14:val="tx1"/>
                  </w14:solidFill>
                </w14:textFill>
              </w:rPr>
              <w:instrText xml:space="preserve"> = 2 \* ROMAN \* MERGEFORMAT </w:instrText>
            </w:r>
            <w:r>
              <w:rPr>
                <w:rFonts w:ascii="Times New Roman" w:hAnsi="Times New Roman"/>
                <w:snapToGrid w:val="0"/>
                <w:color w:val="000000" w:themeColor="text1"/>
                <w:kern w:val="0"/>
                <w:szCs w:val="21"/>
                <w14:textFill>
                  <w14:solidFill>
                    <w14:schemeClr w14:val="tx1"/>
                  </w14:solidFill>
                </w14:textFill>
              </w:rPr>
              <w:fldChar w:fldCharType="separate"/>
            </w:r>
            <w:r>
              <w:rPr>
                <w:rFonts w:ascii="Times New Roman" w:hAnsi="Times New Roman"/>
                <w:color w:val="000000" w:themeColor="text1"/>
                <w:szCs w:val="21"/>
                <w14:textFill>
                  <w14:solidFill>
                    <w14:schemeClr w14:val="tx1"/>
                  </w14:solidFill>
                </w14:textFill>
              </w:rPr>
              <w:t>II</w:t>
            </w:r>
            <w:r>
              <w:rPr>
                <w:rFonts w:ascii="Times New Roman" w:hAnsi="Times New Roman"/>
                <w:snapToGrid w:val="0"/>
                <w:color w:val="000000" w:themeColor="text1"/>
                <w:kern w:val="0"/>
                <w:szCs w:val="21"/>
                <w14:textFill>
                  <w14:solidFill>
                    <w14:schemeClr w14:val="tx1"/>
                  </w14:solidFill>
                </w14:textFill>
              </w:rPr>
              <w:fldChar w:fldCharType="end"/>
            </w:r>
            <w:r>
              <w:rPr>
                <w:rFonts w:ascii="Times New Roman" w:hAnsi="Times New Roman"/>
                <w:snapToGrid w:val="0"/>
                <w:color w:val="000000" w:themeColor="text1"/>
                <w:kern w:val="0"/>
                <w:szCs w:val="21"/>
                <w14:textFill>
                  <w14:solidFill>
                    <w14:schemeClr w14:val="tx1"/>
                  </w14:solidFill>
                </w14:textFill>
              </w:rPr>
              <w:t>类</w:t>
            </w:r>
          </w:p>
        </w:tc>
        <w:tc>
          <w:tcPr>
            <w:tcW w:w="2065" w:type="dxa"/>
            <w:gridSpan w:val="3"/>
            <w:vAlign w:val="center"/>
          </w:tcPr>
          <w:p w14:paraId="26FE7D3D">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fldChar w:fldCharType="begin"/>
            </w:r>
            <w:r>
              <w:rPr>
                <w:rFonts w:ascii="Times New Roman" w:hAnsi="Times New Roman"/>
                <w:snapToGrid w:val="0"/>
                <w:color w:val="000000" w:themeColor="text1"/>
                <w:kern w:val="0"/>
                <w:szCs w:val="21"/>
                <w14:textFill>
                  <w14:solidFill>
                    <w14:schemeClr w14:val="tx1"/>
                  </w14:solidFill>
                </w14:textFill>
              </w:rPr>
              <w:instrText xml:space="preserve"> = 3 \* ROMAN \* MERGEFORMAT </w:instrText>
            </w:r>
            <w:r>
              <w:rPr>
                <w:rFonts w:ascii="Times New Roman" w:hAnsi="Times New Roman"/>
                <w:snapToGrid w:val="0"/>
                <w:color w:val="000000" w:themeColor="text1"/>
                <w:kern w:val="0"/>
                <w:szCs w:val="21"/>
                <w14:textFill>
                  <w14:solidFill>
                    <w14:schemeClr w14:val="tx1"/>
                  </w14:solidFill>
                </w14:textFill>
              </w:rPr>
              <w:fldChar w:fldCharType="separate"/>
            </w:r>
            <w:r>
              <w:rPr>
                <w:rFonts w:ascii="Times New Roman" w:hAnsi="Times New Roman"/>
                <w:color w:val="000000" w:themeColor="text1"/>
                <w:szCs w:val="21"/>
                <w14:textFill>
                  <w14:solidFill>
                    <w14:schemeClr w14:val="tx1"/>
                  </w14:solidFill>
                </w14:textFill>
              </w:rPr>
              <w:t>III</w:t>
            </w:r>
            <w:r>
              <w:rPr>
                <w:rFonts w:ascii="Times New Roman" w:hAnsi="Times New Roman"/>
                <w:snapToGrid w:val="0"/>
                <w:color w:val="000000" w:themeColor="text1"/>
                <w:kern w:val="0"/>
                <w:szCs w:val="21"/>
                <w14:textFill>
                  <w14:solidFill>
                    <w14:schemeClr w14:val="tx1"/>
                  </w14:solidFill>
                </w14:textFill>
              </w:rPr>
              <w:fldChar w:fldCharType="end"/>
            </w:r>
            <w:r>
              <w:rPr>
                <w:rFonts w:ascii="Times New Roman" w:hAnsi="Times New Roman"/>
                <w:snapToGrid w:val="0"/>
                <w:color w:val="000000" w:themeColor="text1"/>
                <w:kern w:val="0"/>
                <w:szCs w:val="21"/>
                <w14:textFill>
                  <w14:solidFill>
                    <w14:schemeClr w14:val="tx1"/>
                  </w14:solidFill>
                </w14:textFill>
              </w:rPr>
              <w:t>类</w:t>
            </w:r>
          </w:p>
        </w:tc>
      </w:tr>
      <w:tr w14:paraId="7A0F129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60" w:hRule="atLeast"/>
        </w:trPr>
        <w:tc>
          <w:tcPr>
            <w:tcW w:w="1962" w:type="dxa"/>
            <w:vMerge w:val="continue"/>
            <w:vAlign w:val="center"/>
          </w:tcPr>
          <w:p w14:paraId="73485CAF">
            <w:pPr>
              <w:pStyle w:val="45"/>
              <w:adjustRightInd w:val="0"/>
              <w:jc w:val="center"/>
              <w:rPr>
                <w:rFonts w:ascii="Times New Roman" w:hAnsi="Times New Roman"/>
                <w:snapToGrid w:val="0"/>
                <w:color w:val="000000" w:themeColor="text1"/>
                <w:kern w:val="0"/>
                <w:szCs w:val="21"/>
                <w14:textFill>
                  <w14:solidFill>
                    <w14:schemeClr w14:val="tx1"/>
                  </w14:solidFill>
                </w14:textFill>
              </w:rPr>
            </w:pPr>
          </w:p>
        </w:tc>
        <w:tc>
          <w:tcPr>
            <w:tcW w:w="711" w:type="dxa"/>
            <w:vAlign w:val="center"/>
          </w:tcPr>
          <w:p w14:paraId="3A18ABFF">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大</w:t>
            </w:r>
          </w:p>
        </w:tc>
        <w:tc>
          <w:tcPr>
            <w:tcW w:w="704" w:type="dxa"/>
            <w:vAlign w:val="center"/>
          </w:tcPr>
          <w:p w14:paraId="5F8B2A61">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中</w:t>
            </w:r>
          </w:p>
        </w:tc>
        <w:tc>
          <w:tcPr>
            <w:tcW w:w="793" w:type="dxa"/>
            <w:vAlign w:val="center"/>
          </w:tcPr>
          <w:p w14:paraId="78E5B5C8">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小</w:t>
            </w:r>
          </w:p>
        </w:tc>
        <w:tc>
          <w:tcPr>
            <w:tcW w:w="707" w:type="dxa"/>
            <w:vAlign w:val="center"/>
          </w:tcPr>
          <w:p w14:paraId="1F7BC51A">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大</w:t>
            </w:r>
          </w:p>
        </w:tc>
        <w:tc>
          <w:tcPr>
            <w:tcW w:w="735" w:type="dxa"/>
            <w:vAlign w:val="center"/>
          </w:tcPr>
          <w:p w14:paraId="6A452B44">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中</w:t>
            </w:r>
          </w:p>
        </w:tc>
        <w:tc>
          <w:tcPr>
            <w:tcW w:w="851" w:type="dxa"/>
            <w:vAlign w:val="center"/>
          </w:tcPr>
          <w:p w14:paraId="7A99D213">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小</w:t>
            </w:r>
          </w:p>
        </w:tc>
        <w:tc>
          <w:tcPr>
            <w:tcW w:w="692" w:type="dxa"/>
            <w:vAlign w:val="center"/>
          </w:tcPr>
          <w:p w14:paraId="7A1D2533">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大</w:t>
            </w:r>
          </w:p>
        </w:tc>
        <w:tc>
          <w:tcPr>
            <w:tcW w:w="649" w:type="dxa"/>
            <w:vAlign w:val="center"/>
          </w:tcPr>
          <w:p w14:paraId="4B2910EF">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中</w:t>
            </w:r>
          </w:p>
        </w:tc>
        <w:tc>
          <w:tcPr>
            <w:tcW w:w="724" w:type="dxa"/>
            <w:vAlign w:val="center"/>
          </w:tcPr>
          <w:p w14:paraId="017B80F6">
            <w:pPr>
              <w:pStyle w:val="45"/>
              <w:adjustRightInd w:val="0"/>
              <w:jc w:val="center"/>
              <w:rPr>
                <w:rFonts w:ascii="Times New Roman" w:hAnsi="Times New Roman"/>
                <w:snapToGrid w:val="0"/>
                <w:color w:val="000000" w:themeColor="text1"/>
                <w:kern w:val="0"/>
                <w:szCs w:val="21"/>
                <w14:textFill>
                  <w14:solidFill>
                    <w14:schemeClr w14:val="tx1"/>
                  </w14:solidFill>
                </w14:textFill>
              </w:rPr>
            </w:pPr>
            <w:r>
              <w:rPr>
                <w:rFonts w:ascii="Times New Roman" w:hAnsi="Times New Roman"/>
                <w:snapToGrid w:val="0"/>
                <w:color w:val="000000" w:themeColor="text1"/>
                <w:kern w:val="0"/>
                <w:szCs w:val="21"/>
                <w14:textFill>
                  <w14:solidFill>
                    <w14:schemeClr w14:val="tx1"/>
                  </w14:solidFill>
                </w14:textFill>
              </w:rPr>
              <w:t>小</w:t>
            </w:r>
          </w:p>
        </w:tc>
      </w:tr>
      <w:tr w14:paraId="4BF3864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51" w:hRule="atLeast"/>
        </w:trPr>
        <w:tc>
          <w:tcPr>
            <w:tcW w:w="1962" w:type="dxa"/>
            <w:vAlign w:val="center"/>
          </w:tcPr>
          <w:p w14:paraId="2F481D2B">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敏感</w:t>
            </w:r>
          </w:p>
        </w:tc>
        <w:tc>
          <w:tcPr>
            <w:tcW w:w="711" w:type="dxa"/>
            <w:vAlign w:val="center"/>
          </w:tcPr>
          <w:p w14:paraId="7C93CD90">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一级</w:t>
            </w:r>
          </w:p>
        </w:tc>
        <w:tc>
          <w:tcPr>
            <w:tcW w:w="704" w:type="dxa"/>
            <w:vAlign w:val="center"/>
          </w:tcPr>
          <w:p w14:paraId="4D421070">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一级</w:t>
            </w:r>
          </w:p>
        </w:tc>
        <w:tc>
          <w:tcPr>
            <w:tcW w:w="793" w:type="dxa"/>
            <w:vAlign w:val="center"/>
          </w:tcPr>
          <w:p w14:paraId="7A7D6DBA">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一级</w:t>
            </w:r>
          </w:p>
        </w:tc>
        <w:tc>
          <w:tcPr>
            <w:tcW w:w="707" w:type="dxa"/>
            <w:vAlign w:val="center"/>
          </w:tcPr>
          <w:p w14:paraId="38E77EFE">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二级</w:t>
            </w:r>
          </w:p>
        </w:tc>
        <w:tc>
          <w:tcPr>
            <w:tcW w:w="735" w:type="dxa"/>
            <w:vAlign w:val="center"/>
          </w:tcPr>
          <w:p w14:paraId="23FFAB05">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二级</w:t>
            </w:r>
          </w:p>
        </w:tc>
        <w:tc>
          <w:tcPr>
            <w:tcW w:w="851" w:type="dxa"/>
            <w:vAlign w:val="center"/>
          </w:tcPr>
          <w:p w14:paraId="2250A301">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二级</w:t>
            </w:r>
          </w:p>
        </w:tc>
        <w:tc>
          <w:tcPr>
            <w:tcW w:w="692" w:type="dxa"/>
            <w:vAlign w:val="center"/>
          </w:tcPr>
          <w:p w14:paraId="0A8A1C15">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三级</w:t>
            </w:r>
          </w:p>
        </w:tc>
        <w:tc>
          <w:tcPr>
            <w:tcW w:w="649" w:type="dxa"/>
            <w:vAlign w:val="center"/>
          </w:tcPr>
          <w:p w14:paraId="6F640660">
            <w:pPr>
              <w:adjustRightInd w:val="0"/>
              <w:snapToGrid w:val="0"/>
              <w:jc w:val="center"/>
              <w:rPr>
                <w:b/>
                <w:snapToGrid w:val="0"/>
                <w:color w:val="000000" w:themeColor="text1"/>
                <w:kern w:val="0"/>
                <w:szCs w:val="21"/>
                <w:shd w:val="clear" w:color="FFFFFF" w:fill="D9D9D9"/>
                <w14:textFill>
                  <w14:solidFill>
                    <w14:schemeClr w14:val="tx1"/>
                  </w14:solidFill>
                </w14:textFill>
              </w:rPr>
            </w:pPr>
            <w:r>
              <w:rPr>
                <w:b/>
                <w:snapToGrid w:val="0"/>
                <w:color w:val="000000" w:themeColor="text1"/>
                <w:kern w:val="0"/>
                <w:szCs w:val="21"/>
                <w14:textFill>
                  <w14:solidFill>
                    <w14:schemeClr w14:val="tx1"/>
                  </w14:solidFill>
                </w14:textFill>
              </w:rPr>
              <w:t>三级</w:t>
            </w:r>
          </w:p>
        </w:tc>
        <w:tc>
          <w:tcPr>
            <w:tcW w:w="724" w:type="dxa"/>
            <w:vAlign w:val="center"/>
          </w:tcPr>
          <w:p w14:paraId="6B558C48">
            <w:pPr>
              <w:adjustRightInd w:val="0"/>
              <w:snapToGrid w:val="0"/>
              <w:jc w:val="center"/>
              <w:rPr>
                <w:snapToGrid w:val="0"/>
                <w:color w:val="000000" w:themeColor="text1"/>
                <w:kern w:val="0"/>
                <w:szCs w:val="21"/>
                <w14:textFill>
                  <w14:solidFill>
                    <w14:schemeClr w14:val="tx1"/>
                  </w14:solidFill>
                </w14:textFill>
              </w:rPr>
            </w:pPr>
            <w:r>
              <w:rPr>
                <w:b/>
                <w:bCs/>
                <w:snapToGrid w:val="0"/>
                <w:color w:val="000000" w:themeColor="text1"/>
                <w:kern w:val="0"/>
                <w:szCs w:val="21"/>
                <w14:textFill>
                  <w14:solidFill>
                    <w14:schemeClr w14:val="tx1"/>
                  </w14:solidFill>
                </w14:textFill>
              </w:rPr>
              <w:t>三级</w:t>
            </w:r>
          </w:p>
        </w:tc>
      </w:tr>
      <w:tr w14:paraId="0D61580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1962" w:type="dxa"/>
            <w:vAlign w:val="center"/>
          </w:tcPr>
          <w:p w14:paraId="5873A085">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较敏感</w:t>
            </w:r>
          </w:p>
        </w:tc>
        <w:tc>
          <w:tcPr>
            <w:tcW w:w="711" w:type="dxa"/>
            <w:vAlign w:val="center"/>
          </w:tcPr>
          <w:p w14:paraId="66E1EDC6">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一级</w:t>
            </w:r>
          </w:p>
        </w:tc>
        <w:tc>
          <w:tcPr>
            <w:tcW w:w="704" w:type="dxa"/>
            <w:vAlign w:val="center"/>
          </w:tcPr>
          <w:p w14:paraId="046BAE82">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一级</w:t>
            </w:r>
          </w:p>
        </w:tc>
        <w:tc>
          <w:tcPr>
            <w:tcW w:w="793" w:type="dxa"/>
            <w:vAlign w:val="center"/>
          </w:tcPr>
          <w:p w14:paraId="32126215">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二级</w:t>
            </w:r>
          </w:p>
        </w:tc>
        <w:tc>
          <w:tcPr>
            <w:tcW w:w="707" w:type="dxa"/>
            <w:vAlign w:val="center"/>
          </w:tcPr>
          <w:p w14:paraId="06498398">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二级</w:t>
            </w:r>
          </w:p>
        </w:tc>
        <w:tc>
          <w:tcPr>
            <w:tcW w:w="735" w:type="dxa"/>
            <w:vAlign w:val="center"/>
          </w:tcPr>
          <w:p w14:paraId="4D4A0807">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二级</w:t>
            </w:r>
          </w:p>
        </w:tc>
        <w:tc>
          <w:tcPr>
            <w:tcW w:w="851" w:type="dxa"/>
            <w:vAlign w:val="center"/>
          </w:tcPr>
          <w:p w14:paraId="2C22DC05">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三级</w:t>
            </w:r>
          </w:p>
        </w:tc>
        <w:tc>
          <w:tcPr>
            <w:tcW w:w="692" w:type="dxa"/>
            <w:vAlign w:val="center"/>
          </w:tcPr>
          <w:p w14:paraId="505F7FBC">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三级</w:t>
            </w:r>
          </w:p>
        </w:tc>
        <w:tc>
          <w:tcPr>
            <w:tcW w:w="649" w:type="dxa"/>
            <w:vAlign w:val="center"/>
          </w:tcPr>
          <w:p w14:paraId="7AB439EB">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三级</w:t>
            </w:r>
          </w:p>
        </w:tc>
        <w:tc>
          <w:tcPr>
            <w:tcW w:w="724" w:type="dxa"/>
            <w:vAlign w:val="center"/>
          </w:tcPr>
          <w:p w14:paraId="6F1ED86A">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w:t>
            </w:r>
          </w:p>
        </w:tc>
      </w:tr>
      <w:tr w14:paraId="075B483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1962" w:type="dxa"/>
            <w:vAlign w:val="center"/>
          </w:tcPr>
          <w:p w14:paraId="6A7A4E84">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不敏感</w:t>
            </w:r>
          </w:p>
        </w:tc>
        <w:tc>
          <w:tcPr>
            <w:tcW w:w="711" w:type="dxa"/>
            <w:vAlign w:val="center"/>
          </w:tcPr>
          <w:p w14:paraId="71231F94">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一级</w:t>
            </w:r>
          </w:p>
        </w:tc>
        <w:tc>
          <w:tcPr>
            <w:tcW w:w="704" w:type="dxa"/>
            <w:vAlign w:val="center"/>
          </w:tcPr>
          <w:p w14:paraId="6B7F53BE">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二级</w:t>
            </w:r>
          </w:p>
        </w:tc>
        <w:tc>
          <w:tcPr>
            <w:tcW w:w="793" w:type="dxa"/>
            <w:vAlign w:val="center"/>
          </w:tcPr>
          <w:p w14:paraId="0EBC9E48">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二级</w:t>
            </w:r>
          </w:p>
        </w:tc>
        <w:tc>
          <w:tcPr>
            <w:tcW w:w="707" w:type="dxa"/>
            <w:vAlign w:val="center"/>
          </w:tcPr>
          <w:p w14:paraId="7510E62D">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二级</w:t>
            </w:r>
          </w:p>
        </w:tc>
        <w:tc>
          <w:tcPr>
            <w:tcW w:w="735" w:type="dxa"/>
            <w:vAlign w:val="center"/>
          </w:tcPr>
          <w:p w14:paraId="245B4B21">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三级</w:t>
            </w:r>
          </w:p>
        </w:tc>
        <w:tc>
          <w:tcPr>
            <w:tcW w:w="851" w:type="dxa"/>
            <w:vAlign w:val="center"/>
          </w:tcPr>
          <w:p w14:paraId="5D5DF15A">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三级</w:t>
            </w:r>
          </w:p>
        </w:tc>
        <w:tc>
          <w:tcPr>
            <w:tcW w:w="692" w:type="dxa"/>
            <w:vAlign w:val="center"/>
          </w:tcPr>
          <w:p w14:paraId="7800E4A8">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三级</w:t>
            </w:r>
          </w:p>
        </w:tc>
        <w:tc>
          <w:tcPr>
            <w:tcW w:w="649" w:type="dxa"/>
            <w:vAlign w:val="center"/>
          </w:tcPr>
          <w:p w14:paraId="5550EE80">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w:t>
            </w:r>
          </w:p>
        </w:tc>
        <w:tc>
          <w:tcPr>
            <w:tcW w:w="724" w:type="dxa"/>
            <w:vAlign w:val="center"/>
          </w:tcPr>
          <w:p w14:paraId="1CDA8CE1">
            <w:pPr>
              <w:adjustRightInd w:val="0"/>
              <w:snapToGrid w:val="0"/>
              <w:jc w:val="center"/>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w:t>
            </w:r>
          </w:p>
        </w:tc>
      </w:tr>
      <w:tr w14:paraId="4EAF72A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c>
          <w:tcPr>
            <w:tcW w:w="8528" w:type="dxa"/>
            <w:gridSpan w:val="10"/>
            <w:vAlign w:val="center"/>
          </w:tcPr>
          <w:p w14:paraId="53ED38F8">
            <w:pPr>
              <w:adjustRightInd w:val="0"/>
              <w:snapToGrid w:val="0"/>
              <w:jc w:val="both"/>
              <w:rPr>
                <w:snapToGrid w:val="0"/>
                <w:color w:val="000000" w:themeColor="text1"/>
                <w:kern w:val="0"/>
                <w:szCs w:val="21"/>
                <w14:textFill>
                  <w14:solidFill>
                    <w14:schemeClr w14:val="tx1"/>
                  </w14:solidFill>
                </w14:textFill>
              </w:rPr>
            </w:pPr>
            <w:r>
              <w:rPr>
                <w:snapToGrid w:val="0"/>
                <w:color w:val="000000" w:themeColor="text1"/>
                <w:kern w:val="0"/>
                <w:szCs w:val="21"/>
                <w14:textFill>
                  <w14:solidFill>
                    <w14:schemeClr w14:val="tx1"/>
                  </w14:solidFill>
                </w14:textFill>
              </w:rPr>
              <w:t>注：“-”表示可不开展土壤环境影响评价工作。</w:t>
            </w:r>
          </w:p>
        </w:tc>
      </w:tr>
    </w:tbl>
    <w:p w14:paraId="3BCDAA50">
      <w:pPr>
        <w:spacing w:line="360" w:lineRule="auto"/>
        <w:ind w:firstLine="480" w:firstLineChars="200"/>
        <w:jc w:val="both"/>
        <w:rPr>
          <w:color w:val="000000" w:themeColor="text1"/>
          <w:sz w:val="24"/>
          <w:szCs w:val="32"/>
          <w:highlight w:val="yellow"/>
          <w14:textFill>
            <w14:solidFill>
              <w14:schemeClr w14:val="tx1"/>
            </w14:solidFill>
          </w14:textFill>
        </w:rPr>
      </w:pPr>
      <w:r>
        <w:rPr>
          <w:color w:val="000000" w:themeColor="text1"/>
          <w:sz w:val="24"/>
          <w:szCs w:val="32"/>
          <w14:textFill>
            <w14:solidFill>
              <w14:schemeClr w14:val="tx1"/>
            </w14:solidFill>
          </w14:textFill>
        </w:rPr>
        <w:t>根据《环境影响评价技术导则 土壤环境（试行）》（HJ964-2018）中附录A土壤环境影响评价项目类别可知，属Ⅲ类项目。占地规模属小型，土壤环境敏感程度为敏感，综合判定评价等级为“三级”。</w:t>
      </w:r>
    </w:p>
    <w:p w14:paraId="5C0B8365">
      <w:pPr>
        <w:pStyle w:val="752"/>
        <w:rPr>
          <w:rFonts w:cs="Times New Roman"/>
          <w:color w:val="000000" w:themeColor="text1"/>
          <w14:textFill>
            <w14:solidFill>
              <w14:schemeClr w14:val="tx1"/>
            </w14:solidFill>
          </w14:textFill>
        </w:rPr>
      </w:pPr>
      <w:bookmarkStart w:id="160" w:name="_Toc21665_WPSOffice_Level3"/>
      <w:bookmarkStart w:id="161" w:name="_Toc21529549"/>
      <w:bookmarkStart w:id="162" w:name="_Toc23093"/>
      <w:bookmarkStart w:id="163" w:name="_Toc5444_WPSOffice_Level3"/>
      <w:bookmarkStart w:id="164" w:name="_Toc20108"/>
      <w:bookmarkStart w:id="165" w:name="_Toc233380122"/>
      <w:r>
        <w:rPr>
          <w:rFonts w:cs="Times New Roman"/>
          <w:color w:val="000000" w:themeColor="text1"/>
          <w14:textFill>
            <w14:solidFill>
              <w14:schemeClr w14:val="tx1"/>
            </w14:solidFill>
          </w14:textFill>
        </w:rPr>
        <w:t>2.4.6</w:t>
      </w:r>
      <w:bookmarkEnd w:id="160"/>
      <w:bookmarkEnd w:id="161"/>
      <w:bookmarkEnd w:id="162"/>
      <w:bookmarkEnd w:id="163"/>
      <w:r>
        <w:rPr>
          <w:rFonts w:cs="Times New Roman"/>
          <w:color w:val="000000" w:themeColor="text1"/>
          <w14:textFill>
            <w14:solidFill>
              <w14:schemeClr w14:val="tx1"/>
            </w14:solidFill>
          </w14:textFill>
        </w:rPr>
        <w:t>生态环境评价工作等级</w:t>
      </w:r>
      <w:bookmarkEnd w:id="164"/>
      <w:bookmarkEnd w:id="165"/>
    </w:p>
    <w:p w14:paraId="40BCACB5">
      <w:pPr>
        <w:spacing w:line="360" w:lineRule="auto"/>
        <w:ind w:firstLine="480" w:firstLineChars="200"/>
        <w:jc w:val="both"/>
        <w:rPr>
          <w:sz w:val="24"/>
          <w:szCs w:val="32"/>
        </w:rPr>
      </w:pPr>
      <w:bookmarkStart w:id="166" w:name="_Toc21529550"/>
      <w:r>
        <w:rPr>
          <w:sz w:val="24"/>
          <w:szCs w:val="32"/>
        </w:rPr>
        <w:t>根据《环境影响评价技术导则 生态环境》（HJ19-2022）</w:t>
      </w:r>
      <w:r>
        <w:rPr>
          <w:rFonts w:hint="eastAsia"/>
          <w:sz w:val="24"/>
          <w:szCs w:val="32"/>
        </w:rPr>
        <w:t>“</w:t>
      </w:r>
      <w:r>
        <w:rPr>
          <w:sz w:val="24"/>
          <w:szCs w:val="32"/>
        </w:rPr>
        <w:t>6.1.8节，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r>
        <w:rPr>
          <w:rFonts w:hint="eastAsia"/>
          <w:sz w:val="24"/>
          <w:szCs w:val="32"/>
        </w:rPr>
        <w:t>”</w:t>
      </w:r>
      <w:r>
        <w:rPr>
          <w:sz w:val="24"/>
          <w:szCs w:val="32"/>
        </w:rPr>
        <w:t>，结合本项目情况，本项目为不涉及国家公园、自然保护区、自然公园等自然保护地、世界自然遗产、生态保护红线等区域或重要物种的天然集中分布区、栖息地，重要水生生物的产卵场、索饵场、越冬场和洄游通道，迁徙鸟类的重要繁殖地、停歇地、越冬地以及野生动物迁徙通道等敏感区的污染影响类建设项目，可仅做生态影响分析。</w:t>
      </w:r>
    </w:p>
    <w:p w14:paraId="213A6EA0">
      <w:pPr>
        <w:spacing w:line="360" w:lineRule="auto"/>
        <w:ind w:firstLine="480" w:firstLineChars="200"/>
        <w:jc w:val="both"/>
        <w:rPr>
          <w:sz w:val="24"/>
          <w:szCs w:val="32"/>
        </w:rPr>
      </w:pPr>
      <w:r>
        <w:rPr>
          <w:sz w:val="24"/>
          <w:szCs w:val="32"/>
        </w:rPr>
        <w:t>本项目所在区域为农村环境，为一般区域，本项目</w:t>
      </w:r>
      <w:r>
        <w:rPr>
          <w:rFonts w:hint="eastAsia"/>
          <w:sz w:val="24"/>
        </w:rPr>
        <w:t>涉及4个养殖场区，各养殖场地</w:t>
      </w:r>
      <w:r>
        <w:rPr>
          <w:sz w:val="24"/>
        </w:rPr>
        <w:t>占地规模</w:t>
      </w:r>
      <w:r>
        <w:rPr>
          <w:rFonts w:hint="eastAsia"/>
          <w:sz w:val="24"/>
        </w:rPr>
        <w:t>均</w:t>
      </w:r>
      <w:r>
        <w:rPr>
          <w:sz w:val="24"/>
        </w:rPr>
        <w:t>&lt;20km</w:t>
      </w:r>
      <w:r>
        <w:rPr>
          <w:sz w:val="24"/>
          <w:vertAlign w:val="superscript"/>
        </w:rPr>
        <w:t>2</w:t>
      </w:r>
      <w:r>
        <w:rPr>
          <w:sz w:val="24"/>
          <w:szCs w:val="32"/>
        </w:rPr>
        <w:t>，根据《环境影响评价技术导则 生态影响》（HJ1.9-2022），本项目生态环境影响评价工作确定为三级评价。</w:t>
      </w:r>
    </w:p>
    <w:p w14:paraId="59B2C5EB">
      <w:pPr>
        <w:pStyle w:val="814"/>
        <w:numPr>
          <w:ilvl w:val="0"/>
          <w:numId w:val="22"/>
        </w:numPr>
        <w:snapToGrid w:val="0"/>
        <w:spacing w:line="240" w:lineRule="auto"/>
        <w:rPr>
          <w:b/>
          <w:bCs/>
        </w:rPr>
      </w:pPr>
      <w:r>
        <w:rPr>
          <w:b/>
          <w:bCs/>
        </w:rPr>
        <w:t>生态影响评价工作等级划分表</w:t>
      </w:r>
    </w:p>
    <w:tbl>
      <w:tblPr>
        <w:tblStyle w:val="88"/>
        <w:tblW w:w="8522" w:type="dxa"/>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1449"/>
        <w:gridCol w:w="7073"/>
      </w:tblGrid>
      <w:tr w14:paraId="1CF03A7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449" w:type="dxa"/>
            <w:tcBorders>
              <w:tl2br w:val="nil"/>
              <w:tr2bl w:val="nil"/>
            </w:tcBorders>
            <w:vAlign w:val="center"/>
          </w:tcPr>
          <w:p w14:paraId="3A5FA163">
            <w:pPr>
              <w:jc w:val="center"/>
              <w:rPr>
                <w:szCs w:val="21"/>
              </w:rPr>
            </w:pPr>
            <w:r>
              <w:rPr>
                <w:szCs w:val="21"/>
              </w:rPr>
              <w:t>等级分级</w:t>
            </w:r>
          </w:p>
        </w:tc>
        <w:tc>
          <w:tcPr>
            <w:tcW w:w="7073" w:type="dxa"/>
            <w:tcBorders>
              <w:tl2br w:val="nil"/>
              <w:tr2bl w:val="nil"/>
            </w:tcBorders>
            <w:vAlign w:val="center"/>
          </w:tcPr>
          <w:p w14:paraId="01BF24B7">
            <w:pPr>
              <w:jc w:val="center"/>
              <w:rPr>
                <w:szCs w:val="21"/>
              </w:rPr>
            </w:pPr>
            <w:r>
              <w:rPr>
                <w:szCs w:val="21"/>
              </w:rPr>
              <w:t>等级划分基本原则</w:t>
            </w:r>
          </w:p>
        </w:tc>
      </w:tr>
      <w:tr w14:paraId="00C6615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449" w:type="dxa"/>
            <w:tcBorders>
              <w:tl2br w:val="nil"/>
              <w:tr2bl w:val="nil"/>
            </w:tcBorders>
            <w:vAlign w:val="center"/>
          </w:tcPr>
          <w:p w14:paraId="4700246D">
            <w:pPr>
              <w:jc w:val="center"/>
              <w:rPr>
                <w:szCs w:val="21"/>
              </w:rPr>
            </w:pPr>
            <w:r>
              <w:rPr>
                <w:szCs w:val="21"/>
              </w:rPr>
              <w:t>一级</w:t>
            </w:r>
          </w:p>
        </w:tc>
        <w:tc>
          <w:tcPr>
            <w:tcW w:w="7073" w:type="dxa"/>
            <w:tcBorders>
              <w:tl2br w:val="nil"/>
              <w:tr2bl w:val="nil"/>
            </w:tcBorders>
            <w:vAlign w:val="center"/>
          </w:tcPr>
          <w:p w14:paraId="6B824CBA">
            <w:pPr>
              <w:rPr>
                <w:szCs w:val="21"/>
              </w:rPr>
            </w:pPr>
            <w:r>
              <w:rPr>
                <w:szCs w:val="21"/>
              </w:rPr>
              <w:t>a）涉及国家公园、自然保护区、世界自然遗产、重要生境时，评价等级为一级</w:t>
            </w:r>
          </w:p>
        </w:tc>
      </w:tr>
      <w:tr w14:paraId="2F17348F">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449" w:type="dxa"/>
            <w:tcBorders>
              <w:tl2br w:val="nil"/>
              <w:tr2bl w:val="nil"/>
            </w:tcBorders>
            <w:vAlign w:val="center"/>
          </w:tcPr>
          <w:p w14:paraId="55907A67">
            <w:pPr>
              <w:jc w:val="center"/>
              <w:rPr>
                <w:szCs w:val="21"/>
              </w:rPr>
            </w:pPr>
            <w:r>
              <w:rPr>
                <w:szCs w:val="21"/>
              </w:rPr>
              <w:t>二级</w:t>
            </w:r>
          </w:p>
        </w:tc>
        <w:tc>
          <w:tcPr>
            <w:tcW w:w="7073" w:type="dxa"/>
            <w:tcBorders>
              <w:tl2br w:val="nil"/>
              <w:tr2bl w:val="nil"/>
            </w:tcBorders>
            <w:vAlign w:val="center"/>
          </w:tcPr>
          <w:p w14:paraId="22B4A5AD">
            <w:pPr>
              <w:pStyle w:val="547"/>
              <w:tabs>
                <w:tab w:val="left" w:pos="1120"/>
              </w:tabs>
              <w:spacing w:line="240" w:lineRule="auto"/>
              <w:jc w:val="left"/>
              <w:rPr>
                <w:szCs w:val="21"/>
                <w:lang w:val="en-US"/>
              </w:rPr>
            </w:pPr>
            <w:r>
              <w:rPr>
                <w:szCs w:val="21"/>
                <w:lang w:val="en-US"/>
              </w:rPr>
              <w:t>b）涉及自然公园时，评价等级为二级；</w:t>
            </w:r>
          </w:p>
          <w:p w14:paraId="07449E24">
            <w:pPr>
              <w:pStyle w:val="547"/>
              <w:tabs>
                <w:tab w:val="left" w:pos="1108"/>
              </w:tabs>
              <w:spacing w:line="240" w:lineRule="auto"/>
              <w:jc w:val="left"/>
              <w:rPr>
                <w:szCs w:val="21"/>
                <w:lang w:val="en-US"/>
              </w:rPr>
            </w:pPr>
            <w:r>
              <w:rPr>
                <w:szCs w:val="21"/>
                <w:lang w:val="en-US"/>
              </w:rPr>
              <w:t>c）涉及生态保护红线时，评价等级不低于二级；</w:t>
            </w:r>
          </w:p>
          <w:p w14:paraId="6E7378B5">
            <w:pPr>
              <w:pStyle w:val="547"/>
              <w:tabs>
                <w:tab w:val="left" w:pos="1120"/>
              </w:tabs>
              <w:spacing w:line="240" w:lineRule="auto"/>
              <w:jc w:val="left"/>
              <w:rPr>
                <w:szCs w:val="21"/>
                <w:lang w:val="en-US"/>
              </w:rPr>
            </w:pPr>
            <w:r>
              <w:rPr>
                <w:szCs w:val="21"/>
                <w:lang w:val="en-US"/>
              </w:rPr>
              <w:t>d）根据HJ2.3判断属于水文要素影响型且地表水评价等级不低于二级的建设项目，生态影响评价等级不低于二级；</w:t>
            </w:r>
          </w:p>
          <w:p w14:paraId="5EEAA958">
            <w:pPr>
              <w:pStyle w:val="547"/>
              <w:tabs>
                <w:tab w:val="left" w:pos="1108"/>
              </w:tabs>
              <w:spacing w:line="240" w:lineRule="auto"/>
              <w:jc w:val="left"/>
              <w:rPr>
                <w:szCs w:val="21"/>
                <w:lang w:val="en-US"/>
              </w:rPr>
            </w:pPr>
            <w:r>
              <w:rPr>
                <w:szCs w:val="21"/>
                <w:lang w:val="en-US"/>
              </w:rPr>
              <w:t>e）根据 HJ 610、HJ 964判断地下水水位或土壤影响范围内分布有天然林、公益林、湿地等生态保护目标的建设项目，生态影响评价等级不低于二级；</w:t>
            </w:r>
          </w:p>
          <w:p w14:paraId="6B6F7CE4">
            <w:pPr>
              <w:pStyle w:val="547"/>
              <w:tabs>
                <w:tab w:val="left" w:pos="1079"/>
              </w:tabs>
              <w:spacing w:line="240" w:lineRule="auto"/>
              <w:jc w:val="left"/>
              <w:rPr>
                <w:szCs w:val="21"/>
                <w:lang w:val="en-US"/>
              </w:rPr>
            </w:pPr>
            <w:r>
              <w:rPr>
                <w:szCs w:val="21"/>
                <w:lang w:val="en-US"/>
              </w:rPr>
              <w:t>f）当工程占地规模大于20km</w:t>
            </w:r>
            <w:r>
              <w:rPr>
                <w:szCs w:val="21"/>
                <w:vertAlign w:val="superscript"/>
                <w:lang w:val="en-US"/>
              </w:rPr>
              <w:t>2</w:t>
            </w:r>
            <w:r>
              <w:rPr>
                <w:szCs w:val="21"/>
                <w:lang w:val="en-US"/>
              </w:rPr>
              <w:t>时（包括永久和临时占用陆域和水域），评价等级不低于二级；改扩建项目的占地范围以新增占地（包括陆域和水域）确定；</w:t>
            </w:r>
          </w:p>
        </w:tc>
      </w:tr>
      <w:tr w14:paraId="3A49518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449" w:type="dxa"/>
            <w:tcBorders>
              <w:tl2br w:val="nil"/>
              <w:tr2bl w:val="nil"/>
            </w:tcBorders>
            <w:vAlign w:val="center"/>
          </w:tcPr>
          <w:p w14:paraId="284823FF">
            <w:pPr>
              <w:jc w:val="center"/>
              <w:rPr>
                <w:szCs w:val="21"/>
              </w:rPr>
            </w:pPr>
            <w:r>
              <w:rPr>
                <w:szCs w:val="21"/>
              </w:rPr>
              <w:t>三级（</w:t>
            </w:r>
            <w:r>
              <w:rPr>
                <w:szCs w:val="21"/>
              </w:rPr>
              <w:sym w:font="Wingdings 2" w:char="0052"/>
            </w:r>
            <w:r>
              <w:rPr>
                <w:szCs w:val="21"/>
              </w:rPr>
              <w:t>）</w:t>
            </w:r>
          </w:p>
        </w:tc>
        <w:tc>
          <w:tcPr>
            <w:tcW w:w="7073" w:type="dxa"/>
            <w:tcBorders>
              <w:tl2br w:val="nil"/>
              <w:tr2bl w:val="nil"/>
            </w:tcBorders>
            <w:vAlign w:val="center"/>
          </w:tcPr>
          <w:p w14:paraId="7299C380">
            <w:pPr>
              <w:pStyle w:val="547"/>
              <w:tabs>
                <w:tab w:val="left" w:pos="1120"/>
              </w:tabs>
              <w:spacing w:line="240" w:lineRule="auto"/>
              <w:jc w:val="left"/>
              <w:rPr>
                <w:szCs w:val="21"/>
                <w:lang w:val="en-US"/>
              </w:rPr>
            </w:pPr>
            <w:r>
              <w:rPr>
                <w:szCs w:val="21"/>
                <w:lang w:val="en-US"/>
              </w:rPr>
              <w:t>除本条a）、b）、c）、d）、f）以外的情况，评价等级为三级；</w:t>
            </w:r>
          </w:p>
          <w:p w14:paraId="0FEE0BDA">
            <w:pPr>
              <w:pStyle w:val="547"/>
              <w:tabs>
                <w:tab w:val="left" w:pos="1120"/>
              </w:tabs>
              <w:spacing w:line="240" w:lineRule="auto"/>
              <w:jc w:val="left"/>
              <w:rPr>
                <w:szCs w:val="21"/>
                <w:lang w:val="en-US"/>
              </w:rPr>
            </w:pPr>
            <w:r>
              <w:rPr>
                <w:szCs w:val="21"/>
                <w:lang w:val="en-US"/>
              </w:rPr>
              <w:t>当评价等级判定同时符合上述多种情况时，应采用其中最高的评价等级。</w:t>
            </w:r>
          </w:p>
        </w:tc>
      </w:tr>
    </w:tbl>
    <w:p w14:paraId="29C9B61C">
      <w:pPr>
        <w:pStyle w:val="1603"/>
        <w:spacing w:line="360" w:lineRule="auto"/>
        <w:ind w:firstLine="472" w:firstLineChars="200"/>
        <w:rPr>
          <w:color w:val="auto"/>
          <w:spacing w:val="0"/>
          <w:kern w:val="2"/>
          <w:sz w:val="24"/>
        </w:rPr>
      </w:pPr>
      <w:r>
        <w:rPr>
          <w:color w:val="auto"/>
          <w:sz w:val="24"/>
        </w:rPr>
        <w:t>本项目所在区域为农村环境，本项目占地规模为&lt;20km</w:t>
      </w:r>
      <w:r>
        <w:rPr>
          <w:color w:val="auto"/>
          <w:sz w:val="24"/>
          <w:vertAlign w:val="superscript"/>
        </w:rPr>
        <w:t>2</w:t>
      </w:r>
      <w:r>
        <w:rPr>
          <w:color w:val="auto"/>
          <w:sz w:val="24"/>
        </w:rPr>
        <w:t>，</w:t>
      </w:r>
      <w:r>
        <w:rPr>
          <w:color w:val="auto"/>
          <w:spacing w:val="0"/>
          <w:kern w:val="2"/>
          <w:sz w:val="24"/>
        </w:rPr>
        <w:t>本项目不涉及国家公园、自然保护区、世界自然遗产、重要生境、自然公园、生态保护红线等，且地下水、土壤影响范围内不涉及然林、公益林、湿地等生态保护目标，故本项目为三级评价。</w:t>
      </w:r>
    </w:p>
    <w:bookmarkEnd w:id="166"/>
    <w:p w14:paraId="3A5C12A2">
      <w:pPr>
        <w:pStyle w:val="752"/>
        <w:rPr>
          <w:rFonts w:cs="Times New Roman"/>
          <w:color w:val="000000" w:themeColor="text1"/>
          <w14:textFill>
            <w14:solidFill>
              <w14:schemeClr w14:val="tx1"/>
            </w14:solidFill>
          </w14:textFill>
        </w:rPr>
      </w:pPr>
      <w:bookmarkStart w:id="167" w:name="_Toc12070"/>
      <w:bookmarkStart w:id="168" w:name="_Toc233380123"/>
      <w:r>
        <w:rPr>
          <w:rFonts w:cs="Times New Roman"/>
          <w:color w:val="000000" w:themeColor="text1"/>
          <w14:textFill>
            <w14:solidFill>
              <w14:schemeClr w14:val="tx1"/>
            </w14:solidFill>
          </w14:textFill>
        </w:rPr>
        <w:t>2.4.7环境风险评价工作等级</w:t>
      </w:r>
      <w:bookmarkEnd w:id="167"/>
      <w:bookmarkEnd w:id="168"/>
    </w:p>
    <w:p w14:paraId="7943AF1C">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根据《建设项目环境风险评价技术导则》（HJ169-2018），本项目柴油、</w:t>
      </w:r>
      <w:r>
        <w:rPr>
          <w:color w:val="000000" w:themeColor="text1"/>
          <w:spacing w:val="-3"/>
          <w:sz w:val="24"/>
          <w14:textFill>
            <w14:solidFill>
              <w14:schemeClr w14:val="tx1"/>
            </w14:solidFill>
          </w14:textFill>
        </w:rPr>
        <w:t>过氧乙酸</w:t>
      </w:r>
      <w:r>
        <w:rPr>
          <w:color w:val="000000" w:themeColor="text1"/>
          <w:sz w:val="24"/>
          <w14:textFill>
            <w14:solidFill>
              <w14:schemeClr w14:val="tx1"/>
            </w14:solidFill>
          </w14:textFill>
        </w:rPr>
        <w:t>等环境风险物质储存量与临界量比值总和Q＜1，</w:t>
      </w:r>
      <w:r>
        <w:rPr>
          <w:b/>
          <w:bCs/>
          <w:color w:val="000000" w:themeColor="text1"/>
          <w:sz w:val="24"/>
          <w14:textFill>
            <w14:solidFill>
              <w14:schemeClr w14:val="tx1"/>
            </w14:solidFill>
          </w14:textFill>
        </w:rPr>
        <w:t>环境风险潜势为I，环境风险评价工作等级为“简单分析”</w:t>
      </w:r>
      <w:r>
        <w:rPr>
          <w:color w:val="000000" w:themeColor="text1"/>
          <w:sz w:val="24"/>
          <w14:textFill>
            <w14:solidFill>
              <w14:schemeClr w14:val="tx1"/>
            </w14:solidFill>
          </w14:textFill>
        </w:rPr>
        <w:t>。</w:t>
      </w:r>
    </w:p>
    <w:p w14:paraId="34A1B258">
      <w:pPr>
        <w:pStyle w:val="4"/>
        <w:spacing w:before="120" w:after="120" w:line="360" w:lineRule="auto"/>
        <w:rPr>
          <w:rFonts w:ascii="Times New Roman" w:hAnsi="Times New Roman"/>
          <w:b w:val="0"/>
          <w:color w:val="000000" w:themeColor="text1"/>
          <w:sz w:val="24"/>
          <w:szCs w:val="24"/>
          <w14:textFill>
            <w14:solidFill>
              <w14:schemeClr w14:val="tx1"/>
            </w14:solidFill>
          </w14:textFill>
        </w:rPr>
      </w:pPr>
      <w:bookmarkStart w:id="169" w:name="_Toc233380124"/>
      <w:bookmarkStart w:id="170" w:name="_Toc31526"/>
      <w:r>
        <w:rPr>
          <w:rFonts w:ascii="Times New Roman" w:hAnsi="Times New Roman" w:eastAsia="宋体"/>
          <w:color w:val="000000" w:themeColor="text1"/>
          <w:sz w:val="30"/>
          <w:szCs w:val="30"/>
          <w14:textFill>
            <w14:solidFill>
              <w14:schemeClr w14:val="tx1"/>
            </w14:solidFill>
          </w14:textFill>
        </w:rPr>
        <w:t>2.5评价范围</w:t>
      </w:r>
      <w:bookmarkEnd w:id="169"/>
      <w:bookmarkEnd w:id="170"/>
    </w:p>
    <w:p w14:paraId="3A43A679">
      <w:pPr>
        <w:pStyle w:val="752"/>
        <w:rPr>
          <w:rFonts w:cs="Times New Roman"/>
          <w:color w:val="000000" w:themeColor="text1"/>
          <w14:textFill>
            <w14:solidFill>
              <w14:schemeClr w14:val="tx1"/>
            </w14:solidFill>
          </w14:textFill>
        </w:rPr>
      </w:pPr>
      <w:bookmarkStart w:id="171" w:name="_Toc6220_WPSOffice_Level3"/>
      <w:bookmarkStart w:id="172" w:name="_Toc40220652"/>
      <w:bookmarkStart w:id="173" w:name="_Toc27458"/>
      <w:bookmarkStart w:id="174" w:name="_Toc28814574"/>
      <w:bookmarkStart w:id="175" w:name="_Toc4141"/>
      <w:bookmarkStart w:id="176" w:name="_Toc27751090"/>
      <w:bookmarkStart w:id="177" w:name="_Toc21529552"/>
      <w:bookmarkStart w:id="178" w:name="_Toc6499_WPSOffice_Level3"/>
      <w:bookmarkStart w:id="179" w:name="_Toc233380125"/>
      <w:r>
        <w:rPr>
          <w:rFonts w:cs="Times New Roman"/>
          <w:color w:val="000000" w:themeColor="text1"/>
          <w14:textFill>
            <w14:solidFill>
              <w14:schemeClr w14:val="tx1"/>
            </w14:solidFill>
          </w14:textFill>
        </w:rPr>
        <w:t>2.5.1大气环境评价范围</w:t>
      </w:r>
      <w:bookmarkEnd w:id="171"/>
      <w:bookmarkEnd w:id="172"/>
      <w:bookmarkEnd w:id="173"/>
      <w:bookmarkEnd w:id="174"/>
      <w:bookmarkEnd w:id="175"/>
      <w:bookmarkEnd w:id="176"/>
      <w:bookmarkEnd w:id="177"/>
      <w:bookmarkEnd w:id="178"/>
      <w:bookmarkEnd w:id="179"/>
    </w:p>
    <w:p w14:paraId="3852BEB2">
      <w:pPr>
        <w:adjustRightInd w:val="0"/>
        <w:snapToGrid w:val="0"/>
        <w:spacing w:line="360" w:lineRule="auto"/>
        <w:ind w:firstLine="480" w:firstLineChars="200"/>
        <w:rPr>
          <w:kern w:val="0"/>
          <w:sz w:val="24"/>
          <w:lang w:bidi="ar"/>
        </w:rPr>
      </w:pPr>
      <w:r>
        <w:rPr>
          <w:kern w:val="0"/>
          <w:sz w:val="24"/>
          <w:lang w:bidi="ar"/>
        </w:rPr>
        <w:t>根据估算结果，项目大气环境影响评价等级为一级，按照《环境影响评价技术导则大气环境》（HJ 2.2-2018）要求，</w:t>
      </w:r>
      <w:r>
        <w:rPr>
          <w:rFonts w:hint="eastAsia"/>
          <w:kern w:val="0"/>
          <w:sz w:val="24"/>
          <w:lang w:bidi="ar"/>
        </w:rPr>
        <w:t>“一级评价项目根据建设项目排放污染物的最远影响距离（D10%）确定大气环境影响评价范围。即以项目厂址为中心区域，自厂界外延 D10%的矩形区域作为大气环境影响评价范围。当 D10%超过25km时，确定评价范围为边长50km的矩形区域；当D10%小于 2.5km时，评价范围边长取5km”。</w:t>
      </w:r>
    </w:p>
    <w:p w14:paraId="7A86B28C">
      <w:pPr>
        <w:adjustRightInd w:val="0"/>
        <w:snapToGrid w:val="0"/>
        <w:spacing w:line="360" w:lineRule="auto"/>
        <w:ind w:firstLine="480" w:firstLineChars="200"/>
        <w:rPr>
          <w:b/>
          <w:kern w:val="0"/>
          <w:sz w:val="24"/>
          <w:lang w:bidi="ar"/>
        </w:rPr>
      </w:pPr>
      <w:r>
        <w:rPr>
          <w:rFonts w:hint="eastAsia"/>
          <w:kern w:val="0"/>
          <w:sz w:val="24"/>
          <w:lang w:bidi="ar"/>
        </w:rPr>
        <w:t>根据大气环境影响预测，本项目D</w:t>
      </w:r>
      <w:r>
        <w:rPr>
          <w:kern w:val="0"/>
          <w:sz w:val="24"/>
          <w:lang w:bidi="ar"/>
        </w:rPr>
        <w:t>10</w:t>
      </w:r>
      <w:r>
        <w:rPr>
          <w:rFonts w:hint="eastAsia"/>
          <w:kern w:val="0"/>
          <w:sz w:val="24"/>
          <w:lang w:bidi="ar"/>
        </w:rPr>
        <w:t>%=329m，小于2</w:t>
      </w:r>
      <w:r>
        <w:rPr>
          <w:kern w:val="0"/>
          <w:sz w:val="24"/>
          <w:lang w:bidi="ar"/>
        </w:rPr>
        <w:t>.5</w:t>
      </w:r>
      <w:r>
        <w:rPr>
          <w:rFonts w:hint="eastAsia"/>
          <w:kern w:val="0"/>
          <w:sz w:val="24"/>
          <w:lang w:bidi="ar"/>
        </w:rPr>
        <w:t>km，则本项目大气环境</w:t>
      </w:r>
      <w:r>
        <w:rPr>
          <w:kern w:val="0"/>
          <w:sz w:val="24"/>
          <w:lang w:bidi="ar"/>
        </w:rPr>
        <w:t>评价范围</w:t>
      </w:r>
      <w:r>
        <w:rPr>
          <w:b/>
          <w:kern w:val="0"/>
          <w:sz w:val="24"/>
          <w:lang w:bidi="ar"/>
        </w:rPr>
        <w:t>为以</w:t>
      </w:r>
      <w:r>
        <w:rPr>
          <w:rFonts w:hint="eastAsia"/>
          <w:b/>
          <w:kern w:val="0"/>
          <w:sz w:val="24"/>
          <w:lang w:bidi="ar"/>
        </w:rPr>
        <w:t>各点养殖场</w:t>
      </w:r>
      <w:r>
        <w:rPr>
          <w:b/>
          <w:kern w:val="0"/>
          <w:sz w:val="24"/>
          <w:lang w:bidi="ar"/>
        </w:rPr>
        <w:t>项目厂址为中心，</w:t>
      </w:r>
      <w:r>
        <w:rPr>
          <w:rFonts w:hint="eastAsia"/>
          <w:b/>
          <w:kern w:val="0"/>
          <w:sz w:val="24"/>
          <w:lang w:bidi="ar"/>
        </w:rPr>
        <w:t>各自取</w:t>
      </w:r>
      <w:r>
        <w:rPr>
          <w:b/>
          <w:kern w:val="0"/>
          <w:sz w:val="24"/>
          <w:lang w:bidi="ar"/>
        </w:rPr>
        <w:t>边长为5km</w:t>
      </w:r>
      <w:r>
        <w:rPr>
          <w:b/>
          <w:bCs/>
          <w:sz w:val="24"/>
        </w:rPr>
        <w:t>×5km</w:t>
      </w:r>
      <w:r>
        <w:rPr>
          <w:b/>
          <w:kern w:val="0"/>
          <w:sz w:val="24"/>
          <w:lang w:bidi="ar"/>
        </w:rPr>
        <w:t>的</w:t>
      </w:r>
      <w:r>
        <w:rPr>
          <w:rFonts w:hint="eastAsia"/>
          <w:b/>
          <w:kern w:val="0"/>
          <w:sz w:val="24"/>
          <w:lang w:bidi="ar"/>
        </w:rPr>
        <w:t>矩形</w:t>
      </w:r>
      <w:r>
        <w:rPr>
          <w:b/>
          <w:kern w:val="0"/>
          <w:sz w:val="24"/>
          <w:lang w:bidi="ar"/>
        </w:rPr>
        <w:t>区域</w:t>
      </w:r>
      <w:r>
        <w:rPr>
          <w:rFonts w:hint="eastAsia"/>
          <w:b/>
          <w:kern w:val="0"/>
          <w:sz w:val="24"/>
          <w:lang w:bidi="ar"/>
        </w:rPr>
        <w:t>。</w:t>
      </w:r>
    </w:p>
    <w:tbl>
      <w:tblPr>
        <w:tblStyle w:val="8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13"/>
      </w:tblGrid>
      <w:tr w14:paraId="74ACE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l2br w:val="nil"/>
              <w:tr2bl w:val="nil"/>
            </w:tcBorders>
            <w:vAlign w:val="center"/>
          </w:tcPr>
          <w:p w14:paraId="1C7CA404">
            <w:pPr>
              <w:widowControl/>
              <w:adjustRightInd w:val="0"/>
              <w:snapToGrid w:val="0"/>
              <w:spacing w:line="360" w:lineRule="auto"/>
              <w:jc w:val="center"/>
              <w:rPr>
                <w:color w:val="000000" w:themeColor="text1"/>
                <w:sz w:val="18"/>
                <w:szCs w:val="18"/>
                <w14:textFill>
                  <w14:solidFill>
                    <w14:schemeClr w14:val="tx1"/>
                  </w14:solidFill>
                </w14:textFill>
              </w:rPr>
            </w:pPr>
            <w:r>
              <w:rPr>
                <w:sz w:val="24"/>
              </w:rPr>
              <w:drawing>
                <wp:anchor distT="0" distB="0" distL="114300" distR="114300" simplePos="0" relativeHeight="251669504" behindDoc="0" locked="0" layoutInCell="1" allowOverlap="1">
                  <wp:simplePos x="0" y="0"/>
                  <wp:positionH relativeFrom="column">
                    <wp:posOffset>4751705</wp:posOffset>
                  </wp:positionH>
                  <wp:positionV relativeFrom="paragraph">
                    <wp:posOffset>-10795</wp:posOffset>
                  </wp:positionV>
                  <wp:extent cx="376555" cy="695960"/>
                  <wp:effectExtent l="0" t="0" r="4445" b="8890"/>
                  <wp:wrapNone/>
                  <wp:docPr id="4" name="图片 4" descr="C:\Users\Administrator\WorkBuddy\2026-06-30-09-41-38\extracted_images\风玫瑰图_对称延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WorkBuddy\2026-06-30-09-41-38\extracted_images\风玫瑰图_对称延长.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76555" cy="695960"/>
                          </a:xfrm>
                          <a:prstGeom prst="rect">
                            <a:avLst/>
                          </a:prstGeom>
                          <a:noFill/>
                          <a:ln>
                            <a:noFill/>
                          </a:ln>
                        </pic:spPr>
                      </pic:pic>
                    </a:graphicData>
                  </a:graphic>
                </wp:anchor>
              </w:drawing>
            </w:r>
            <w:r>
              <w:drawing>
                <wp:inline distT="0" distB="0" distL="114300" distR="114300">
                  <wp:extent cx="5120640" cy="3413760"/>
                  <wp:effectExtent l="0" t="0" r="3810" b="15240"/>
                  <wp:docPr id="6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9"/>
                          <pic:cNvPicPr>
                            <a:picLocks noChangeAspect="1"/>
                          </pic:cNvPicPr>
                        </pic:nvPicPr>
                        <pic:blipFill>
                          <a:blip r:embed="rId38"/>
                          <a:stretch>
                            <a:fillRect/>
                          </a:stretch>
                        </pic:blipFill>
                        <pic:spPr>
                          <a:xfrm>
                            <a:off x="0" y="0"/>
                            <a:ext cx="5120640" cy="3413760"/>
                          </a:xfrm>
                          <a:prstGeom prst="rect">
                            <a:avLst/>
                          </a:prstGeom>
                          <a:noFill/>
                          <a:ln>
                            <a:noFill/>
                          </a:ln>
                        </pic:spPr>
                      </pic:pic>
                    </a:graphicData>
                  </a:graphic>
                </wp:inline>
              </w:drawing>
            </w:r>
          </w:p>
        </w:tc>
      </w:tr>
      <w:tr w14:paraId="51DAF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l2br w:val="nil"/>
              <w:tr2bl w:val="nil"/>
            </w:tcBorders>
            <w:vAlign w:val="center"/>
          </w:tcPr>
          <w:p w14:paraId="28A80BD7">
            <w:pPr>
              <w:widowControl/>
              <w:adjustRightInd w:val="0"/>
              <w:snapToGrid w:val="0"/>
              <w:spacing w:line="360" w:lineRule="auto"/>
              <w:jc w:val="center"/>
              <w:rPr>
                <w:color w:val="000000" w:themeColor="text1"/>
                <w:sz w:val="18"/>
                <w:szCs w:val="18"/>
                <w14:textFill>
                  <w14:solidFill>
                    <w14:schemeClr w14:val="tx1"/>
                  </w14:solidFill>
                </w14:textFill>
              </w:rPr>
            </w:pPr>
            <w:r>
              <w:rPr>
                <w:b/>
                <w:bCs/>
                <w:szCs w:val="21"/>
              </w:rPr>
              <w:t>图2.5-1</w:t>
            </w:r>
            <w:r>
              <w:rPr>
                <w:rFonts w:eastAsia="黑体"/>
              </w:rPr>
              <w:t>大气环境评价范围示意图</w:t>
            </w:r>
          </w:p>
        </w:tc>
      </w:tr>
    </w:tbl>
    <w:p w14:paraId="17E1B380">
      <w:pPr>
        <w:pStyle w:val="752"/>
        <w:rPr>
          <w:rFonts w:cs="Times New Roman"/>
          <w:color w:val="000000" w:themeColor="text1"/>
          <w14:textFill>
            <w14:solidFill>
              <w14:schemeClr w14:val="tx1"/>
            </w14:solidFill>
          </w14:textFill>
        </w:rPr>
      </w:pPr>
      <w:bookmarkStart w:id="180" w:name="_Toc24245"/>
      <w:bookmarkStart w:id="181" w:name="_Toc233380126"/>
      <w:r>
        <w:rPr>
          <w:rFonts w:cs="Times New Roman"/>
          <w:color w:val="000000" w:themeColor="text1"/>
          <w14:textFill>
            <w14:solidFill>
              <w14:schemeClr w14:val="tx1"/>
            </w14:solidFill>
          </w14:textFill>
        </w:rPr>
        <w:t>2.5.2地表水环境评价范围</w:t>
      </w:r>
      <w:bookmarkEnd w:id="180"/>
      <w:bookmarkEnd w:id="181"/>
    </w:p>
    <w:p w14:paraId="48AFE78D">
      <w:pPr>
        <w:adjustRightInd w:val="0"/>
        <w:snapToGrid w:val="0"/>
        <w:spacing w:line="360" w:lineRule="auto"/>
        <w:ind w:firstLine="480" w:firstLineChars="200"/>
        <w:rPr>
          <w:color w:val="000000" w:themeColor="text1"/>
          <w:kern w:val="0"/>
          <w:sz w:val="24"/>
          <w:lang w:bidi="ar"/>
          <w14:textFill>
            <w14:solidFill>
              <w14:schemeClr w14:val="tx1"/>
            </w14:solidFill>
          </w14:textFill>
        </w:rPr>
      </w:pPr>
      <w:bookmarkStart w:id="182" w:name="_Toc8247"/>
      <w:r>
        <w:rPr>
          <w:color w:val="000000" w:themeColor="text1"/>
          <w:kern w:val="0"/>
          <w:sz w:val="24"/>
          <w:lang w:bidi="ar"/>
          <w14:textFill>
            <w14:solidFill>
              <w14:schemeClr w14:val="tx1"/>
            </w14:solidFill>
          </w14:textFill>
        </w:rPr>
        <w:t>根据《环境影响评价技术导则地表水环境》（HJ2.3-2018），项目评价等级为“三级B”，</w:t>
      </w:r>
      <w:r>
        <w:rPr>
          <w:color w:val="FF0000"/>
          <w:kern w:val="0"/>
          <w:sz w:val="24"/>
          <w:lang w:bidi="ar"/>
        </w:rPr>
        <w:t>其评价范围应满足其依托污水处理设施环境可行性分析的要求</w:t>
      </w:r>
      <w:r>
        <w:rPr>
          <w:color w:val="000000" w:themeColor="text1"/>
          <w:kern w:val="0"/>
          <w:sz w:val="24"/>
          <w:lang w:bidi="ar"/>
          <w14:textFill>
            <w14:solidFill>
              <w14:schemeClr w14:val="tx1"/>
            </w14:solidFill>
          </w14:textFill>
        </w:rPr>
        <w:t>；涉及地表水环境风险的，应覆盖环境风险影响范围所及的水环境保护目标水域。</w:t>
      </w:r>
    </w:p>
    <w:p w14:paraId="565AF435">
      <w:pPr>
        <w:adjustRightInd w:val="0"/>
        <w:snapToGrid w:val="0"/>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本项目肉牛养殖采用发酵床养殖工艺，</w:t>
      </w:r>
      <w:r>
        <w:rPr>
          <w:rFonts w:hint="eastAsia"/>
          <w:color w:val="000000" w:themeColor="text1"/>
          <w:kern w:val="0"/>
          <w:sz w:val="24"/>
          <w:lang w:bidi="ar"/>
          <w14:textFill>
            <w14:solidFill>
              <w14:schemeClr w14:val="tx1"/>
            </w14:solidFill>
          </w14:textFill>
        </w:rPr>
        <w:t>牛</w:t>
      </w:r>
      <w:r>
        <w:rPr>
          <w:color w:val="000000" w:themeColor="text1"/>
          <w:kern w:val="0"/>
          <w:sz w:val="24"/>
          <w:lang w:bidi="ar"/>
          <w14:textFill>
            <w14:solidFill>
              <w14:schemeClr w14:val="tx1"/>
            </w14:solidFill>
          </w14:textFill>
        </w:rPr>
        <w:t>粪、</w:t>
      </w:r>
      <w:r>
        <w:rPr>
          <w:rFonts w:hint="eastAsia"/>
          <w:color w:val="000000" w:themeColor="text1"/>
          <w:kern w:val="0"/>
          <w:sz w:val="24"/>
          <w:lang w:bidi="ar"/>
          <w14:textFill>
            <w14:solidFill>
              <w14:schemeClr w14:val="tx1"/>
            </w14:solidFill>
          </w14:textFill>
        </w:rPr>
        <w:t>牛</w:t>
      </w:r>
      <w:r>
        <w:rPr>
          <w:color w:val="000000" w:themeColor="text1"/>
          <w:kern w:val="0"/>
          <w:sz w:val="24"/>
          <w:lang w:bidi="ar"/>
          <w14:textFill>
            <w14:solidFill>
              <w14:schemeClr w14:val="tx1"/>
            </w14:solidFill>
          </w14:textFill>
        </w:rPr>
        <w:t>尿随发酵垫料分解转化，无</w:t>
      </w:r>
      <w:r>
        <w:rPr>
          <w:rFonts w:hint="eastAsia"/>
          <w:color w:val="000000" w:themeColor="text1"/>
          <w:kern w:val="0"/>
          <w:sz w:val="24"/>
          <w:lang w:bidi="ar"/>
          <w14:textFill>
            <w14:solidFill>
              <w14:schemeClr w14:val="tx1"/>
            </w14:solidFill>
          </w14:textFill>
        </w:rPr>
        <w:t>粪污</w:t>
      </w:r>
      <w:r>
        <w:rPr>
          <w:color w:val="000000" w:themeColor="text1"/>
          <w:kern w:val="0"/>
          <w:sz w:val="24"/>
          <w:lang w:bidi="ar"/>
          <w14:textFill>
            <w14:solidFill>
              <w14:schemeClr w14:val="tx1"/>
            </w14:solidFill>
          </w14:textFill>
        </w:rPr>
        <w:t>单独排出，项目无废水外排，因此无需</w:t>
      </w:r>
      <w:r>
        <w:rPr>
          <w:rFonts w:hint="eastAsia"/>
          <w:color w:val="000000" w:themeColor="text1"/>
          <w:kern w:val="0"/>
          <w:sz w:val="24"/>
          <w:lang w:bidi="ar"/>
          <w14:textFill>
            <w14:solidFill>
              <w14:schemeClr w14:val="tx1"/>
            </w14:solidFill>
          </w14:textFill>
        </w:rPr>
        <w:t>生产废水</w:t>
      </w:r>
      <w:r>
        <w:rPr>
          <w:color w:val="000000" w:themeColor="text1"/>
          <w:kern w:val="0"/>
          <w:sz w:val="24"/>
          <w:lang w:bidi="ar"/>
          <w14:textFill>
            <w14:solidFill>
              <w14:schemeClr w14:val="tx1"/>
            </w14:solidFill>
          </w14:textFill>
        </w:rPr>
        <w:t>污水处理设施进行污水处理。项目地表水环境风险为简单分析，评价范围确定为项目各养殖区对应周边地表水体断面上游500m及下游1000m。</w:t>
      </w:r>
    </w:p>
    <w:p w14:paraId="7A577396">
      <w:pPr>
        <w:pStyle w:val="752"/>
        <w:rPr>
          <w:rFonts w:cs="Times New Roman"/>
          <w:color w:val="000000" w:themeColor="text1"/>
          <w14:textFill>
            <w14:solidFill>
              <w14:schemeClr w14:val="tx1"/>
            </w14:solidFill>
          </w14:textFill>
        </w:rPr>
      </w:pPr>
      <w:bookmarkStart w:id="183" w:name="_Toc233380127"/>
      <w:r>
        <w:rPr>
          <w:rFonts w:cs="Times New Roman"/>
          <w:color w:val="000000" w:themeColor="text1"/>
          <w14:textFill>
            <w14:solidFill>
              <w14:schemeClr w14:val="tx1"/>
            </w14:solidFill>
          </w14:textFill>
        </w:rPr>
        <w:t>2.5.3声环境评价范围</w:t>
      </w:r>
      <w:bookmarkEnd w:id="182"/>
      <w:bookmarkEnd w:id="183"/>
    </w:p>
    <w:p w14:paraId="07FA35A3">
      <w:pPr>
        <w:adjustRightInd w:val="0"/>
        <w:snapToGrid w:val="0"/>
        <w:spacing w:line="360" w:lineRule="auto"/>
        <w:ind w:firstLine="480" w:firstLineChars="200"/>
        <w:jc w:val="both"/>
        <w:rPr>
          <w:sz w:val="24"/>
        </w:rPr>
      </w:pPr>
      <w:r>
        <w:rPr>
          <w:sz w:val="24"/>
        </w:rPr>
        <w:t>对于以固定声源为主的建设项目，项目声环境影响评价等级为二级，根据导则一级评价一般以建设项目边界向外200m为评价范围，二级评价范围可根据建设项目所在区域和相邻区域的声环境功能区类别及敏感目标等实际情况适当缩小，声环境评价范围确定为厂界向外延伸200m范围内的区域。</w:t>
      </w:r>
    </w:p>
    <w:p w14:paraId="48A7F736">
      <w:pPr>
        <w:pStyle w:val="752"/>
        <w:rPr>
          <w:rFonts w:cs="Times New Roman"/>
          <w:color w:val="000000" w:themeColor="text1"/>
          <w14:textFill>
            <w14:solidFill>
              <w14:schemeClr w14:val="tx1"/>
            </w14:solidFill>
          </w14:textFill>
        </w:rPr>
      </w:pPr>
      <w:bookmarkStart w:id="184" w:name="_Toc4756"/>
      <w:bookmarkStart w:id="185" w:name="_Toc233380128"/>
      <w:r>
        <w:rPr>
          <w:rFonts w:cs="Times New Roman"/>
          <w:color w:val="000000" w:themeColor="text1"/>
          <w14:textFill>
            <w14:solidFill>
              <w14:schemeClr w14:val="tx1"/>
            </w14:solidFill>
          </w14:textFill>
        </w:rPr>
        <w:t>2.5.4地下水评价范围</w:t>
      </w:r>
      <w:bookmarkEnd w:id="184"/>
      <w:bookmarkEnd w:id="185"/>
    </w:p>
    <w:p w14:paraId="6EC3BD16">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建设项目地下水环境现状调查评价范围的确定可采用公式计算法、查表法及自定义法。根据区域水文地质资料及项目周边20km</w:t>
      </w:r>
      <w:r>
        <w:rPr>
          <w:color w:val="000000" w:themeColor="text1"/>
          <w:sz w:val="24"/>
          <w:szCs w:val="32"/>
          <w:vertAlign w:val="superscript"/>
          <w14:textFill>
            <w14:solidFill>
              <w14:schemeClr w14:val="tx1"/>
            </w14:solidFill>
          </w14:textFill>
        </w:rPr>
        <w:t>2</w:t>
      </w:r>
      <w:r>
        <w:rPr>
          <w:color w:val="000000" w:themeColor="text1"/>
          <w:sz w:val="24"/>
          <w:szCs w:val="32"/>
          <w14:textFill>
            <w14:solidFill>
              <w14:schemeClr w14:val="tx1"/>
            </w14:solidFill>
          </w14:textFill>
        </w:rPr>
        <w:t>区域现场水文调查情况，重点考虑了地下水环境保护目标、地下水流场特征、地下水可能受到污染的区域，本次选取自定义法及公式法相结合的方式确定本项目地下水环境影响评价范围。</w:t>
      </w:r>
    </w:p>
    <w:p w14:paraId="7B610122">
      <w:pPr>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公式计算：</w:t>
      </w:r>
    </w:p>
    <w:p w14:paraId="5375800B">
      <w:pPr>
        <w:spacing w:line="360" w:lineRule="auto"/>
        <w:ind w:firstLine="420" w:firstLineChars="200"/>
        <w:jc w:val="center"/>
        <w:rPr>
          <w:color w:val="000000" w:themeColor="text1"/>
          <w14:textFill>
            <w14:solidFill>
              <w14:schemeClr w14:val="tx1"/>
            </w14:solidFill>
          </w14:textFill>
        </w:rPr>
      </w:pPr>
      <w:r>
        <w:rPr>
          <w:color w:val="000000" w:themeColor="text1"/>
          <w:position w:val="-12"/>
          <w14:textFill>
            <w14:solidFill>
              <w14:schemeClr w14:val="tx1"/>
            </w14:solidFill>
          </w14:textFill>
        </w:rPr>
        <w:object>
          <v:shape id="_x0000_i1026" o:spt="75" type="#_x0000_t75" style="height:18.65pt;width:100pt;" o:ole="t" filled="f" o:preferrelative="t" stroked="f" coordsize="21600,21600">
            <v:path/>
            <v:fill on="f" focussize="0,0"/>
            <v:stroke on="f" joinstyle="miter"/>
            <v:imagedata r:id="rId40" o:title=""/>
            <o:lock v:ext="edit" aspectratio="t"/>
            <w10:wrap type="none"/>
            <w10:anchorlock/>
          </v:shape>
          <o:OLEObject Type="Embed" ProgID="Equation.KSEE3" ShapeID="_x0000_i1026" DrawAspect="Content" ObjectID="_1468075726" r:id="rId39">
            <o:LockedField>false</o:LockedField>
          </o:OLEObject>
        </w:object>
      </w:r>
    </w:p>
    <w:p w14:paraId="5DBE083A">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i/>
          <w:color w:val="000000" w:themeColor="text1"/>
          <w:sz w:val="24"/>
          <w14:textFill>
            <w14:solidFill>
              <w14:schemeClr w14:val="tx1"/>
            </w14:solidFill>
          </w14:textFill>
        </w:rPr>
        <w:t>L</w:t>
      </w:r>
      <w:r>
        <w:rPr>
          <w:color w:val="000000" w:themeColor="text1"/>
          <w:sz w:val="24"/>
          <w14:textFill>
            <w14:solidFill>
              <w14:schemeClr w14:val="tx1"/>
            </w14:solidFill>
          </w14:textFill>
        </w:rPr>
        <w:t>——下游迁移距离，m；</w:t>
      </w:r>
    </w:p>
    <w:p w14:paraId="5AAAA2C3">
      <w:pPr>
        <w:spacing w:line="360" w:lineRule="auto"/>
        <w:ind w:firstLine="1200" w:firstLineChars="500"/>
        <w:jc w:val="both"/>
        <w:rPr>
          <w:color w:val="000000" w:themeColor="text1"/>
          <w:sz w:val="24"/>
          <w14:textFill>
            <w14:solidFill>
              <w14:schemeClr w14:val="tx1"/>
            </w14:solidFill>
          </w14:textFill>
        </w:rPr>
      </w:pPr>
      <w:r>
        <w:rPr>
          <w:i/>
          <w:color w:val="000000" w:themeColor="text1"/>
          <w:sz w:val="24"/>
          <w14:textFill>
            <w14:solidFill>
              <w14:schemeClr w14:val="tx1"/>
            </w14:solidFill>
          </w14:textFill>
        </w:rPr>
        <w:t>α</w:t>
      </w:r>
      <w:r>
        <w:rPr>
          <w:color w:val="000000" w:themeColor="text1"/>
          <w:sz w:val="24"/>
          <w14:textFill>
            <w14:solidFill>
              <w14:schemeClr w14:val="tx1"/>
            </w14:solidFill>
          </w14:textFill>
        </w:rPr>
        <w:t>——变化系数，</w:t>
      </w:r>
      <w:r>
        <w:rPr>
          <w:i/>
          <w:color w:val="000000" w:themeColor="text1"/>
          <w:sz w:val="24"/>
          <w14:textFill>
            <w14:solidFill>
              <w14:schemeClr w14:val="tx1"/>
            </w14:solidFill>
          </w14:textFill>
        </w:rPr>
        <w:t>α</w:t>
      </w:r>
      <w:r>
        <w:rPr>
          <w:color w:val="000000" w:themeColor="text1"/>
          <w:sz w:val="24"/>
          <w14:textFill>
            <w14:solidFill>
              <w14:schemeClr w14:val="tx1"/>
            </w14:solidFill>
          </w14:textFill>
        </w:rPr>
        <w:t>≥l，一般取2</w:t>
      </w:r>
      <w:r>
        <w:rPr>
          <w:rFonts w:hint="eastAsia"/>
          <w:color w:val="000000" w:themeColor="text1"/>
          <w:sz w:val="24"/>
          <w14:textFill>
            <w14:solidFill>
              <w14:schemeClr w14:val="tx1"/>
            </w14:solidFill>
          </w14:textFill>
        </w:rPr>
        <w:t>，本项目取2</w:t>
      </w:r>
      <w:r>
        <w:rPr>
          <w:color w:val="000000" w:themeColor="text1"/>
          <w:sz w:val="24"/>
          <w14:textFill>
            <w14:solidFill>
              <w14:schemeClr w14:val="tx1"/>
            </w14:solidFill>
          </w14:textFill>
        </w:rPr>
        <w:t>；</w:t>
      </w:r>
    </w:p>
    <w:p w14:paraId="5F32FFC9">
      <w:pPr>
        <w:spacing w:line="360" w:lineRule="auto"/>
        <w:ind w:firstLine="1200" w:firstLineChars="500"/>
        <w:jc w:val="both"/>
        <w:rPr>
          <w:color w:val="000000" w:themeColor="text1"/>
          <w:sz w:val="24"/>
          <w14:textFill>
            <w14:solidFill>
              <w14:schemeClr w14:val="tx1"/>
            </w14:solidFill>
          </w14:textFill>
        </w:rPr>
      </w:pPr>
      <w:r>
        <w:rPr>
          <w:i/>
          <w:color w:val="000000" w:themeColor="text1"/>
          <w:sz w:val="24"/>
          <w14:textFill>
            <w14:solidFill>
              <w14:schemeClr w14:val="tx1"/>
            </w14:solidFill>
          </w14:textFill>
        </w:rPr>
        <w:t>K</w:t>
      </w:r>
      <w:r>
        <w:rPr>
          <w:color w:val="000000" w:themeColor="text1"/>
          <w:sz w:val="24"/>
          <w14:textFill>
            <w14:solidFill>
              <w14:schemeClr w14:val="tx1"/>
            </w14:solidFill>
          </w14:textFill>
        </w:rPr>
        <w:t>——渗透系数，m/d，根据后文</w:t>
      </w:r>
      <w:r>
        <w:rPr>
          <w:rFonts w:hint="eastAsia"/>
          <w:color w:val="000000" w:themeColor="text1"/>
          <w:sz w:val="24"/>
          <w14:textFill>
            <w14:solidFill>
              <w14:schemeClr w14:val="tx1"/>
            </w14:solidFill>
          </w14:textFill>
        </w:rPr>
        <w:t>“</w:t>
      </w:r>
      <w:r>
        <w:fldChar w:fldCharType="begin"/>
      </w:r>
      <w:r>
        <w:instrText xml:space="preserve"> HYPERLINK "file:///C:\\Users\\Administrator\\AppData\\Roaming\\Microsoft\\Word\\6.2.3.3" </w:instrText>
      </w:r>
      <w:r>
        <w:fldChar w:fldCharType="separate"/>
      </w:r>
      <w:r>
        <w:rPr>
          <w:color w:val="000000" w:themeColor="text1"/>
          <w:sz w:val="24"/>
          <w14:textFill>
            <w14:solidFill>
              <w14:schemeClr w14:val="tx1"/>
            </w14:solidFill>
          </w14:textFill>
        </w:rPr>
        <w:t>5.4.4</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地下水环境影响预测</w:t>
      </w:r>
      <w:r>
        <w:rPr>
          <w:rFonts w:hint="eastAsia"/>
          <w:color w:val="000000" w:themeColor="text1"/>
          <w:sz w:val="24"/>
          <w14:textFill>
            <w14:solidFill>
              <w14:schemeClr w14:val="tx1"/>
            </w14:solidFill>
          </w14:textFill>
        </w:rPr>
        <w:t>分析”</w:t>
      </w:r>
      <w:r>
        <w:rPr>
          <w:color w:val="000000" w:themeColor="text1"/>
          <w:sz w:val="24"/>
          <w14:textFill>
            <w14:solidFill>
              <w14:schemeClr w14:val="tx1"/>
            </w14:solidFill>
          </w14:textFill>
        </w:rPr>
        <w:t>，</w:t>
      </w:r>
      <w:r>
        <w:rPr>
          <w:i/>
          <w:color w:val="000000" w:themeColor="text1"/>
          <w:sz w:val="24"/>
          <w14:textFill>
            <w14:solidFill>
              <w14:schemeClr w14:val="tx1"/>
            </w14:solidFill>
          </w14:textFill>
        </w:rPr>
        <w:t>K</w:t>
      </w:r>
      <w:r>
        <w:rPr>
          <w:color w:val="000000" w:themeColor="text1"/>
          <w:sz w:val="24"/>
          <w14:textFill>
            <w14:solidFill>
              <w14:schemeClr w14:val="tx1"/>
            </w14:solidFill>
          </w14:textFill>
        </w:rPr>
        <w:t>取0.3m/d；</w:t>
      </w:r>
    </w:p>
    <w:p w14:paraId="428B9FE8">
      <w:pPr>
        <w:spacing w:line="360" w:lineRule="auto"/>
        <w:ind w:firstLine="1200" w:firstLineChars="500"/>
        <w:jc w:val="both"/>
        <w:rPr>
          <w:color w:val="000000" w:themeColor="text1"/>
          <w:sz w:val="24"/>
          <w14:textFill>
            <w14:solidFill>
              <w14:schemeClr w14:val="tx1"/>
            </w14:solidFill>
          </w14:textFill>
        </w:rPr>
      </w:pPr>
      <w:r>
        <w:rPr>
          <w:i/>
          <w:color w:val="000000" w:themeColor="text1"/>
          <w:sz w:val="24"/>
          <w14:textFill>
            <w14:solidFill>
              <w14:schemeClr w14:val="tx1"/>
            </w14:solidFill>
          </w14:textFill>
        </w:rPr>
        <w:t>I</w:t>
      </w:r>
      <w:r>
        <w:rPr>
          <w:color w:val="000000" w:themeColor="text1"/>
          <w:sz w:val="24"/>
          <w14:textFill>
            <w14:solidFill>
              <w14:schemeClr w14:val="tx1"/>
            </w14:solidFill>
          </w14:textFill>
        </w:rPr>
        <w:t>——水力坡度，量纲为1，根据后文</w:t>
      </w:r>
      <w:r>
        <w:rPr>
          <w:rFonts w:hint="eastAsia"/>
          <w:color w:val="000000" w:themeColor="text1"/>
          <w:sz w:val="24"/>
          <w14:textFill>
            <w14:solidFill>
              <w14:schemeClr w14:val="tx1"/>
            </w14:solidFill>
          </w14:textFill>
        </w:rPr>
        <w:t>“</w:t>
      </w:r>
      <w:r>
        <w:fldChar w:fldCharType="begin"/>
      </w:r>
      <w:r>
        <w:instrText xml:space="preserve"> HYPERLINK "file:///C:\\Users\\Administrator\\AppData\\Roaming\\Microsoft\\Word\\6.2.3.3" </w:instrText>
      </w:r>
      <w:r>
        <w:fldChar w:fldCharType="separate"/>
      </w:r>
      <w:r>
        <w:rPr>
          <w:color w:val="000000" w:themeColor="text1"/>
          <w:sz w:val="24"/>
          <w14:textFill>
            <w14:solidFill>
              <w14:schemeClr w14:val="tx1"/>
            </w14:solidFill>
          </w14:textFill>
        </w:rPr>
        <w:t>5.4.4</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地下水环境影响预测</w:t>
      </w:r>
      <w:r>
        <w:rPr>
          <w:rFonts w:hint="eastAsia"/>
          <w:color w:val="000000" w:themeColor="text1"/>
          <w:sz w:val="24"/>
          <w14:textFill>
            <w14:solidFill>
              <w14:schemeClr w14:val="tx1"/>
            </w14:solidFill>
          </w14:textFill>
        </w:rPr>
        <w:t>分析”</w:t>
      </w:r>
      <w:r>
        <w:rPr>
          <w:color w:val="000000" w:themeColor="text1"/>
          <w:sz w:val="24"/>
          <w14:textFill>
            <w14:solidFill>
              <w14:schemeClr w14:val="tx1"/>
            </w14:solidFill>
          </w14:textFill>
        </w:rPr>
        <w:t>，</w:t>
      </w:r>
      <w:r>
        <w:rPr>
          <w:i/>
          <w:color w:val="000000" w:themeColor="text1"/>
          <w:sz w:val="24"/>
          <w14:textFill>
            <w14:solidFill>
              <w14:schemeClr w14:val="tx1"/>
            </w14:solidFill>
          </w14:textFill>
        </w:rPr>
        <w:t>I</w:t>
      </w:r>
      <w:r>
        <w:rPr>
          <w:color w:val="000000" w:themeColor="text1"/>
          <w:sz w:val="24"/>
          <w14:textFill>
            <w14:solidFill>
              <w14:schemeClr w14:val="tx1"/>
            </w14:solidFill>
          </w14:textFill>
        </w:rPr>
        <w:t>取</w:t>
      </w:r>
      <w:r>
        <w:rPr>
          <w:color w:val="000000" w:themeColor="text1"/>
          <w:spacing w:val="-3"/>
          <w:sz w:val="24"/>
          <w14:textFill>
            <w14:solidFill>
              <w14:schemeClr w14:val="tx1"/>
            </w14:solidFill>
          </w14:textFill>
        </w:rPr>
        <w:t>0.03</w:t>
      </w:r>
      <w:r>
        <w:rPr>
          <w:color w:val="000000" w:themeColor="text1"/>
          <w:sz w:val="24"/>
          <w14:textFill>
            <w14:solidFill>
              <w14:schemeClr w14:val="tx1"/>
            </w14:solidFill>
          </w14:textFill>
        </w:rPr>
        <w:t>；</w:t>
      </w:r>
    </w:p>
    <w:p w14:paraId="0182519D">
      <w:pPr>
        <w:spacing w:line="360" w:lineRule="auto"/>
        <w:ind w:firstLine="1200" w:firstLineChars="500"/>
        <w:jc w:val="both"/>
        <w:rPr>
          <w:color w:val="000000" w:themeColor="text1"/>
          <w:sz w:val="24"/>
          <w14:textFill>
            <w14:solidFill>
              <w14:schemeClr w14:val="tx1"/>
            </w14:solidFill>
          </w14:textFill>
        </w:rPr>
      </w:pPr>
      <w:r>
        <w:rPr>
          <w:i/>
          <w:color w:val="000000" w:themeColor="text1"/>
          <w:sz w:val="24"/>
          <w14:textFill>
            <w14:solidFill>
              <w14:schemeClr w14:val="tx1"/>
            </w14:solidFill>
          </w14:textFill>
        </w:rPr>
        <w:t>T</w:t>
      </w:r>
      <w:r>
        <w:rPr>
          <w:color w:val="000000" w:themeColor="text1"/>
          <w:sz w:val="24"/>
          <w14:textFill>
            <w14:solidFill>
              <w14:schemeClr w14:val="tx1"/>
            </w14:solidFill>
          </w14:textFill>
        </w:rPr>
        <w:t>——质点迁移天数，取值不小于5000d</w:t>
      </w:r>
      <w:r>
        <w:rPr>
          <w:rFonts w:hint="eastAsia"/>
          <w:color w:val="000000" w:themeColor="text1"/>
          <w:sz w:val="24"/>
          <w14:textFill>
            <w14:solidFill>
              <w14:schemeClr w14:val="tx1"/>
            </w14:solidFill>
          </w14:textFill>
        </w:rPr>
        <w:t>，</w:t>
      </w:r>
      <w:r>
        <w:rPr>
          <w:rFonts w:hint="eastAsia"/>
          <w:i/>
          <w:color w:val="000000" w:themeColor="text1"/>
          <w:sz w:val="24"/>
          <w14:textFill>
            <w14:solidFill>
              <w14:schemeClr w14:val="tx1"/>
            </w14:solidFill>
          </w14:textFill>
        </w:rPr>
        <w:t>T</w:t>
      </w:r>
      <w:r>
        <w:rPr>
          <w:rFonts w:hint="eastAsia"/>
          <w:color w:val="000000" w:themeColor="text1"/>
          <w:sz w:val="24"/>
          <w14:textFill>
            <w14:solidFill>
              <w14:schemeClr w14:val="tx1"/>
            </w14:solidFill>
          </w14:textFill>
        </w:rPr>
        <w:t>取5000d</w:t>
      </w:r>
      <w:r>
        <w:rPr>
          <w:color w:val="000000" w:themeColor="text1"/>
          <w:sz w:val="24"/>
          <w14:textFill>
            <w14:solidFill>
              <w14:schemeClr w14:val="tx1"/>
            </w14:solidFill>
          </w14:textFill>
        </w:rPr>
        <w:t>；</w:t>
      </w:r>
    </w:p>
    <w:p w14:paraId="759A542D">
      <w:pPr>
        <w:spacing w:line="360" w:lineRule="auto"/>
        <w:ind w:firstLine="1200" w:firstLineChars="500"/>
        <w:jc w:val="both"/>
        <w:rPr>
          <w:color w:val="000000" w:themeColor="text1"/>
          <w:sz w:val="24"/>
          <w14:textFill>
            <w14:solidFill>
              <w14:schemeClr w14:val="tx1"/>
            </w14:solidFill>
          </w14:textFill>
        </w:rPr>
      </w:pPr>
      <w:r>
        <w:rPr>
          <w:i/>
          <w:color w:val="000000" w:themeColor="text1"/>
          <w:sz w:val="24"/>
          <w14:textFill>
            <w14:solidFill>
              <w14:schemeClr w14:val="tx1"/>
            </w14:solidFill>
          </w14:textFill>
        </w:rPr>
        <w:t>n</w:t>
      </w:r>
      <w:r>
        <w:rPr>
          <w:i/>
          <w:color w:val="000000" w:themeColor="text1"/>
          <w:sz w:val="24"/>
          <w:vertAlign w:val="subscript"/>
          <w14:textFill>
            <w14:solidFill>
              <w14:schemeClr w14:val="tx1"/>
            </w14:solidFill>
          </w14:textFill>
        </w:rPr>
        <w:t>c</w:t>
      </w:r>
      <w:r>
        <w:rPr>
          <w:color w:val="000000" w:themeColor="text1"/>
          <w:sz w:val="24"/>
          <w14:textFill>
            <w14:solidFill>
              <w14:schemeClr w14:val="tx1"/>
            </w14:solidFill>
          </w14:textFill>
        </w:rPr>
        <w:t>——有效孔隙度，量纲为1，根据后文</w:t>
      </w:r>
      <w:r>
        <w:rPr>
          <w:rFonts w:hint="eastAsia"/>
          <w:color w:val="000000" w:themeColor="text1"/>
          <w:sz w:val="24"/>
          <w14:textFill>
            <w14:solidFill>
              <w14:schemeClr w14:val="tx1"/>
            </w14:solidFill>
          </w14:textFill>
        </w:rPr>
        <w:t>“</w:t>
      </w:r>
      <w:r>
        <w:fldChar w:fldCharType="begin"/>
      </w:r>
      <w:r>
        <w:instrText xml:space="preserve"> HYPERLINK "file:///C:\\Users\\Administrator\\AppData\\Roaming\\Microsoft\\Word\\6.2.3.3" </w:instrText>
      </w:r>
      <w:r>
        <w:fldChar w:fldCharType="separate"/>
      </w:r>
      <w:r>
        <w:rPr>
          <w:color w:val="000000" w:themeColor="text1"/>
          <w:sz w:val="24"/>
          <w14:textFill>
            <w14:solidFill>
              <w14:schemeClr w14:val="tx1"/>
            </w14:solidFill>
          </w14:textFill>
        </w:rPr>
        <w:t>5.4.4</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 xml:space="preserve"> 地下水环境影响预测</w:t>
      </w:r>
      <w:r>
        <w:rPr>
          <w:rFonts w:hint="eastAsia"/>
          <w:color w:val="000000" w:themeColor="text1"/>
          <w:sz w:val="24"/>
          <w14:textFill>
            <w14:solidFill>
              <w14:schemeClr w14:val="tx1"/>
            </w14:solidFill>
          </w14:textFill>
        </w:rPr>
        <w:t>分析”</w:t>
      </w:r>
      <w:r>
        <w:rPr>
          <w:color w:val="000000" w:themeColor="text1"/>
          <w:sz w:val="24"/>
          <w14:textFill>
            <w14:solidFill>
              <w14:schemeClr w14:val="tx1"/>
            </w14:solidFill>
          </w14:textFill>
        </w:rPr>
        <w:t>，</w:t>
      </w:r>
      <w:r>
        <w:rPr>
          <w:i/>
          <w:color w:val="000000" w:themeColor="text1"/>
          <w:sz w:val="24"/>
          <w14:textFill>
            <w14:solidFill>
              <w14:schemeClr w14:val="tx1"/>
            </w14:solidFill>
          </w14:textFill>
        </w:rPr>
        <w:t>n</w:t>
      </w:r>
      <w:r>
        <w:rPr>
          <w:i/>
          <w:color w:val="000000" w:themeColor="text1"/>
          <w:sz w:val="24"/>
          <w:vertAlign w:val="subscript"/>
          <w14:textFill>
            <w14:solidFill>
              <w14:schemeClr w14:val="tx1"/>
            </w14:solidFill>
          </w14:textFill>
        </w:rPr>
        <w:t>c</w:t>
      </w:r>
      <w:r>
        <w:rPr>
          <w:color w:val="000000" w:themeColor="text1"/>
          <w:sz w:val="24"/>
          <w14:textFill>
            <w14:solidFill>
              <w14:schemeClr w14:val="tx1"/>
            </w14:solidFill>
          </w14:textFill>
        </w:rPr>
        <w:t>取0.1m/d。</w:t>
      </w:r>
    </w:p>
    <w:p w14:paraId="69B64850">
      <w:pPr>
        <w:spacing w:line="360" w:lineRule="auto"/>
        <w:ind w:firstLine="480" w:firstLineChars="200"/>
        <w:rPr>
          <w:sz w:val="24"/>
        </w:rPr>
      </w:pPr>
      <w:r>
        <w:rPr>
          <w:rFonts w:hint="eastAsia"/>
          <w:sz w:val="24"/>
        </w:rPr>
        <w:t>根据《环境影响评价技术导则</w:t>
      </w:r>
      <w:r>
        <w:rPr>
          <w:sz w:val="24"/>
        </w:rPr>
        <w:t xml:space="preserve"> </w:t>
      </w:r>
      <w:r>
        <w:rPr>
          <w:rFonts w:hint="eastAsia"/>
          <w:sz w:val="24"/>
        </w:rPr>
        <w:t>地下水环境》（HJ610-2016），地下水环境现状调查评价范围应包括于建设项目相关的地下水环境保护目标，以能说明地下水环境现状，反映调查评价区地下水基本渗流特征，满足地下水环境影响预测和评价为基本原则。</w:t>
      </w:r>
    </w:p>
    <w:p w14:paraId="11010B58">
      <w:pPr>
        <w:spacing w:line="360" w:lineRule="auto"/>
        <w:ind w:firstLine="480" w:firstLineChars="200"/>
        <w:rPr>
          <w:sz w:val="24"/>
        </w:rPr>
      </w:pPr>
      <w:r>
        <w:rPr>
          <w:rFonts w:hint="eastAsia"/>
          <w:sz w:val="24"/>
        </w:rPr>
        <w:t>建设项目地下水环境现状调查评价范围的确定可采用公式计算法、查表法及自定义法确定，其中：</w:t>
      </w:r>
    </w:p>
    <w:p w14:paraId="701CE01E">
      <w:pPr>
        <w:spacing w:line="360" w:lineRule="auto"/>
        <w:ind w:firstLine="482" w:firstLineChars="200"/>
        <w:rPr>
          <w:b/>
          <w:sz w:val="24"/>
        </w:rPr>
      </w:pPr>
      <w:r>
        <w:rPr>
          <w:rFonts w:hint="eastAsia"/>
          <w:b/>
          <w:sz w:val="24"/>
        </w:rPr>
        <w:t>（1）公式计算法</w:t>
      </w:r>
    </w:p>
    <w:p w14:paraId="1ECEE519">
      <w:pPr>
        <w:spacing w:line="360" w:lineRule="auto"/>
        <w:ind w:firstLine="480" w:firstLineChars="200"/>
        <w:rPr>
          <w:sz w:val="24"/>
        </w:rPr>
      </w:pPr>
      <w:r>
        <w:rPr>
          <w:rFonts w:hint="eastAsia"/>
          <w:sz w:val="24"/>
        </w:rPr>
        <w:t>当建设项目所在地水文地质条件相对简单，且所掌握的资料能够满足公式计算法的要求时，应采用公式计算法确定：</w:t>
      </w:r>
    </w:p>
    <w:p w14:paraId="0237AFDA">
      <w:pPr>
        <w:spacing w:line="360" w:lineRule="auto"/>
        <w:ind w:firstLine="200"/>
        <w:jc w:val="center"/>
        <w:rPr>
          <w:sz w:val="24"/>
        </w:rPr>
      </w:pPr>
      <w:r>
        <w:rPr>
          <w:sz w:val="24"/>
        </w:rPr>
        <w:t>L</w:t>
      </w:r>
      <w:r>
        <w:rPr>
          <w:rFonts w:hint="eastAsia"/>
          <w:sz w:val="24"/>
        </w:rPr>
        <w:t>=</w:t>
      </w:r>
      <w:r>
        <w:rPr>
          <w:sz w:val="24"/>
        </w:rPr>
        <w:t>α×K×I×T/n</w:t>
      </w:r>
      <w:r>
        <w:rPr>
          <w:sz w:val="24"/>
          <w:vertAlign w:val="subscript"/>
        </w:rPr>
        <w:t>e</w:t>
      </w:r>
    </w:p>
    <w:p w14:paraId="2D61E16A">
      <w:pPr>
        <w:spacing w:line="360" w:lineRule="auto"/>
        <w:ind w:firstLine="480" w:firstLineChars="200"/>
        <w:rPr>
          <w:rFonts w:cs="宋体"/>
          <w:sz w:val="24"/>
        </w:rPr>
      </w:pPr>
      <w:r>
        <w:rPr>
          <w:rFonts w:hint="eastAsia" w:cs="宋体"/>
          <w:sz w:val="24"/>
        </w:rPr>
        <w:t>式中，</w:t>
      </w:r>
      <w:r>
        <w:rPr>
          <w:rFonts w:hint="eastAsia"/>
          <w:iCs/>
          <w:sz w:val="24"/>
        </w:rPr>
        <w:t>L</w:t>
      </w:r>
      <w:r>
        <w:rPr>
          <w:sz w:val="24"/>
        </w:rPr>
        <w:t>——</w:t>
      </w:r>
      <w:r>
        <w:rPr>
          <w:rFonts w:hint="eastAsia" w:cs="宋体"/>
          <w:sz w:val="24"/>
        </w:rPr>
        <w:t>下游迁移距离，m；</w:t>
      </w:r>
    </w:p>
    <w:p w14:paraId="1F116139">
      <w:pPr>
        <w:spacing w:line="360" w:lineRule="auto"/>
        <w:ind w:firstLine="1200" w:firstLineChars="500"/>
        <w:rPr>
          <w:rFonts w:cs="宋体"/>
          <w:sz w:val="24"/>
        </w:rPr>
      </w:pPr>
      <w:r>
        <w:rPr>
          <w:sz w:val="24"/>
        </w:rPr>
        <w:t>α——</w:t>
      </w:r>
      <w:r>
        <w:rPr>
          <w:rFonts w:hint="eastAsia" w:cs="宋体"/>
          <w:sz w:val="24"/>
        </w:rPr>
        <w:t>变化系数，</w:t>
      </w:r>
      <w:r>
        <w:rPr>
          <w:sz w:val="24"/>
        </w:rPr>
        <w:t>α≥1</w:t>
      </w:r>
      <w:r>
        <w:rPr>
          <w:rFonts w:hint="eastAsia"/>
          <w:sz w:val="24"/>
        </w:rPr>
        <w:t>，</w:t>
      </w:r>
      <w:r>
        <w:rPr>
          <w:sz w:val="24"/>
        </w:rPr>
        <w:t>一般取</w:t>
      </w:r>
      <w:r>
        <w:rPr>
          <w:rFonts w:hint="eastAsia"/>
          <w:sz w:val="24"/>
        </w:rPr>
        <w:t>2</w:t>
      </w:r>
      <w:r>
        <w:rPr>
          <w:rFonts w:hint="eastAsia" w:cs="宋体"/>
          <w:sz w:val="24"/>
        </w:rPr>
        <w:t>；</w:t>
      </w:r>
    </w:p>
    <w:p w14:paraId="78CB9DA6">
      <w:pPr>
        <w:spacing w:line="360" w:lineRule="auto"/>
        <w:ind w:firstLine="1200" w:firstLineChars="500"/>
        <w:rPr>
          <w:sz w:val="24"/>
        </w:rPr>
      </w:pPr>
      <w:r>
        <w:rPr>
          <w:sz w:val="24"/>
        </w:rPr>
        <w:t>K——渗透系数</w:t>
      </w:r>
      <w:r>
        <w:rPr>
          <w:rFonts w:hint="eastAsia"/>
          <w:sz w:val="24"/>
        </w:rPr>
        <w:t>，</w:t>
      </w:r>
      <w:r>
        <w:rPr>
          <w:sz w:val="24"/>
        </w:rPr>
        <w:t>m/d</w:t>
      </w:r>
      <w:r>
        <w:rPr>
          <w:rFonts w:hint="eastAsia"/>
          <w:sz w:val="24"/>
        </w:rPr>
        <w:t>；</w:t>
      </w:r>
    </w:p>
    <w:p w14:paraId="366BD042">
      <w:pPr>
        <w:spacing w:line="360" w:lineRule="auto"/>
        <w:ind w:firstLine="1200" w:firstLineChars="500"/>
        <w:rPr>
          <w:sz w:val="24"/>
        </w:rPr>
      </w:pPr>
      <w:r>
        <w:rPr>
          <w:sz w:val="24"/>
        </w:rPr>
        <w:t>I——水力坡度</w:t>
      </w:r>
      <w:r>
        <w:rPr>
          <w:rFonts w:hint="eastAsia"/>
          <w:sz w:val="24"/>
        </w:rPr>
        <w:t>，</w:t>
      </w:r>
      <w:r>
        <w:rPr>
          <w:sz w:val="24"/>
        </w:rPr>
        <w:t>无量纲</w:t>
      </w:r>
      <w:r>
        <w:rPr>
          <w:rFonts w:hint="eastAsia"/>
          <w:sz w:val="24"/>
        </w:rPr>
        <w:t>；</w:t>
      </w:r>
    </w:p>
    <w:p w14:paraId="61213DA1">
      <w:pPr>
        <w:spacing w:line="360" w:lineRule="auto"/>
        <w:ind w:firstLine="1200" w:firstLineChars="500"/>
        <w:rPr>
          <w:sz w:val="24"/>
        </w:rPr>
      </w:pPr>
      <w:r>
        <w:rPr>
          <w:sz w:val="24"/>
        </w:rPr>
        <w:t>T——</w:t>
      </w:r>
      <w:r>
        <w:rPr>
          <w:rFonts w:hint="eastAsia"/>
          <w:sz w:val="24"/>
        </w:rPr>
        <w:t>质点迁移天数，取值不小于5000d；</w:t>
      </w:r>
    </w:p>
    <w:p w14:paraId="53463888">
      <w:pPr>
        <w:spacing w:line="360" w:lineRule="auto"/>
        <w:ind w:firstLine="1200" w:firstLineChars="500"/>
        <w:rPr>
          <w:rFonts w:cs="宋体"/>
          <w:sz w:val="24"/>
        </w:rPr>
      </w:pPr>
      <w:r>
        <w:rPr>
          <w:sz w:val="24"/>
        </w:rPr>
        <w:t>n</w:t>
      </w:r>
      <w:r>
        <w:rPr>
          <w:sz w:val="24"/>
          <w:vertAlign w:val="subscript"/>
        </w:rPr>
        <w:t>e</w:t>
      </w:r>
      <w:r>
        <w:rPr>
          <w:sz w:val="24"/>
        </w:rPr>
        <w:t>——</w:t>
      </w:r>
      <w:r>
        <w:rPr>
          <w:rFonts w:hint="eastAsia"/>
          <w:sz w:val="24"/>
        </w:rPr>
        <w:t>有效孔隙度，无量纲。</w:t>
      </w:r>
    </w:p>
    <w:p w14:paraId="47F39A97">
      <w:pPr>
        <w:spacing w:line="360" w:lineRule="auto"/>
        <w:ind w:firstLine="482" w:firstLineChars="200"/>
        <w:rPr>
          <w:b/>
          <w:sz w:val="24"/>
        </w:rPr>
      </w:pPr>
      <w:r>
        <w:rPr>
          <w:rFonts w:hint="eastAsia"/>
          <w:b/>
          <w:sz w:val="24"/>
        </w:rPr>
        <w:t>（</w:t>
      </w:r>
      <w:r>
        <w:rPr>
          <w:b/>
          <w:sz w:val="24"/>
        </w:rPr>
        <w:t>2</w:t>
      </w:r>
      <w:r>
        <w:rPr>
          <w:rFonts w:hint="eastAsia"/>
          <w:b/>
          <w:sz w:val="24"/>
        </w:rPr>
        <w:t>）查表法</w:t>
      </w:r>
    </w:p>
    <w:p w14:paraId="677E5CE2">
      <w:pPr>
        <w:spacing w:line="360" w:lineRule="auto"/>
        <w:ind w:firstLine="480" w:firstLineChars="200"/>
        <w:rPr>
          <w:sz w:val="24"/>
        </w:rPr>
      </w:pPr>
      <w:r>
        <w:rPr>
          <w:sz w:val="24"/>
        </w:rPr>
        <w:t>当不满足公式计算法的要求时</w:t>
      </w:r>
      <w:r>
        <w:rPr>
          <w:rFonts w:hint="eastAsia"/>
          <w:sz w:val="24"/>
        </w:rPr>
        <w:t>，</w:t>
      </w:r>
      <w:r>
        <w:rPr>
          <w:sz w:val="24"/>
        </w:rPr>
        <w:t>可采用查表法确定</w:t>
      </w:r>
      <w:r>
        <w:rPr>
          <w:rFonts w:hint="eastAsia"/>
          <w:sz w:val="24"/>
        </w:rPr>
        <w:t>。</w:t>
      </w:r>
    </w:p>
    <w:p w14:paraId="75BE359F">
      <w:pPr>
        <w:widowControl w:val="0"/>
        <w:numPr>
          <w:ilvl w:val="0"/>
          <w:numId w:val="23"/>
        </w:numPr>
        <w:adjustRightInd w:val="0"/>
        <w:spacing w:line="360" w:lineRule="auto"/>
        <w:jc w:val="center"/>
        <w:rPr>
          <w:rFonts w:eastAsia="黑体"/>
          <w:szCs w:val="21"/>
        </w:rPr>
      </w:pPr>
      <w:r>
        <w:rPr>
          <w:rFonts w:hint="eastAsia" w:eastAsia="黑体"/>
          <w:szCs w:val="21"/>
        </w:rPr>
        <w:t>地下水环境现状评价范围参照表</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768"/>
        <w:gridCol w:w="2768"/>
      </w:tblGrid>
      <w:tr w14:paraId="4878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666" w:type="pct"/>
            <w:shd w:val="clear" w:color="auto" w:fill="auto"/>
            <w:vAlign w:val="center"/>
          </w:tcPr>
          <w:p w14:paraId="1D1C07B4">
            <w:pPr>
              <w:pStyle w:val="257"/>
              <w:spacing w:before="24" w:after="24"/>
              <w:rPr>
                <w:b/>
                <w:bCs/>
                <w:sz w:val="21"/>
              </w:rPr>
            </w:pPr>
            <w:r>
              <w:rPr>
                <w:rFonts w:hint="eastAsia"/>
                <w:b/>
                <w:bCs/>
                <w:sz w:val="21"/>
              </w:rPr>
              <w:t>评价等级</w:t>
            </w:r>
          </w:p>
        </w:tc>
        <w:tc>
          <w:tcPr>
            <w:tcW w:w="1667" w:type="pct"/>
            <w:shd w:val="clear" w:color="auto" w:fill="auto"/>
            <w:vAlign w:val="center"/>
          </w:tcPr>
          <w:p w14:paraId="57605071">
            <w:pPr>
              <w:pStyle w:val="257"/>
              <w:spacing w:before="24" w:after="24"/>
              <w:rPr>
                <w:b/>
                <w:bCs/>
                <w:sz w:val="21"/>
              </w:rPr>
            </w:pPr>
            <w:r>
              <w:rPr>
                <w:rFonts w:hint="eastAsia"/>
                <w:b/>
                <w:bCs/>
                <w:sz w:val="21"/>
              </w:rPr>
              <w:t>调查评价范围（km</w:t>
            </w:r>
            <w:r>
              <w:rPr>
                <w:rFonts w:hint="eastAsia"/>
                <w:b/>
                <w:bCs/>
                <w:sz w:val="21"/>
                <w:vertAlign w:val="superscript"/>
              </w:rPr>
              <w:t>2</w:t>
            </w:r>
            <w:r>
              <w:rPr>
                <w:rFonts w:hint="eastAsia"/>
                <w:b/>
                <w:bCs/>
                <w:sz w:val="21"/>
              </w:rPr>
              <w:t>）</w:t>
            </w:r>
          </w:p>
        </w:tc>
        <w:tc>
          <w:tcPr>
            <w:tcW w:w="1667" w:type="pct"/>
            <w:shd w:val="clear" w:color="auto" w:fill="auto"/>
            <w:vAlign w:val="center"/>
          </w:tcPr>
          <w:p w14:paraId="24FAE6E7">
            <w:pPr>
              <w:pStyle w:val="257"/>
              <w:spacing w:before="24" w:after="24"/>
              <w:rPr>
                <w:b/>
                <w:bCs/>
                <w:sz w:val="21"/>
              </w:rPr>
            </w:pPr>
            <w:r>
              <w:rPr>
                <w:rFonts w:hint="eastAsia"/>
                <w:b/>
                <w:bCs/>
                <w:sz w:val="21"/>
              </w:rPr>
              <w:t>备注</w:t>
            </w:r>
          </w:p>
        </w:tc>
      </w:tr>
      <w:tr w14:paraId="02890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vAlign w:val="center"/>
          </w:tcPr>
          <w:p w14:paraId="64748571">
            <w:pPr>
              <w:pStyle w:val="257"/>
              <w:spacing w:before="24" w:after="24"/>
              <w:rPr>
                <w:sz w:val="21"/>
              </w:rPr>
            </w:pPr>
            <w:r>
              <w:rPr>
                <w:rFonts w:hint="eastAsia"/>
                <w:sz w:val="21"/>
              </w:rPr>
              <w:t>一级</w:t>
            </w:r>
          </w:p>
        </w:tc>
        <w:tc>
          <w:tcPr>
            <w:tcW w:w="1667" w:type="pct"/>
            <w:shd w:val="clear" w:color="auto" w:fill="auto"/>
            <w:vAlign w:val="center"/>
          </w:tcPr>
          <w:p w14:paraId="65302DF8">
            <w:pPr>
              <w:pStyle w:val="257"/>
              <w:spacing w:before="24" w:after="24"/>
              <w:rPr>
                <w:sz w:val="21"/>
              </w:rPr>
            </w:pPr>
            <w:r>
              <w:rPr>
                <w:rFonts w:hint="eastAsia"/>
                <w:sz w:val="21"/>
              </w:rPr>
              <w:t>≥20</w:t>
            </w:r>
          </w:p>
        </w:tc>
        <w:tc>
          <w:tcPr>
            <w:tcW w:w="1667" w:type="pct"/>
            <w:vMerge w:val="restart"/>
            <w:shd w:val="clear" w:color="auto" w:fill="auto"/>
            <w:vAlign w:val="center"/>
          </w:tcPr>
          <w:p w14:paraId="04606ED8">
            <w:pPr>
              <w:pStyle w:val="257"/>
              <w:spacing w:before="24" w:after="24"/>
              <w:rPr>
                <w:sz w:val="21"/>
              </w:rPr>
            </w:pPr>
            <w:r>
              <w:rPr>
                <w:rFonts w:hint="eastAsia"/>
                <w:sz w:val="21"/>
              </w:rPr>
              <w:t>应包括重要的地下水环境保护目标，必要时适当扩大范围</w:t>
            </w:r>
          </w:p>
        </w:tc>
      </w:tr>
      <w:tr w14:paraId="232E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vAlign w:val="center"/>
          </w:tcPr>
          <w:p w14:paraId="5F27D365">
            <w:pPr>
              <w:pStyle w:val="257"/>
              <w:spacing w:before="24" w:after="24"/>
              <w:rPr>
                <w:sz w:val="21"/>
              </w:rPr>
            </w:pPr>
            <w:r>
              <w:rPr>
                <w:rFonts w:hint="eastAsia"/>
                <w:sz w:val="21"/>
              </w:rPr>
              <w:t>二级</w:t>
            </w:r>
          </w:p>
        </w:tc>
        <w:tc>
          <w:tcPr>
            <w:tcW w:w="1667" w:type="pct"/>
            <w:shd w:val="clear" w:color="auto" w:fill="auto"/>
            <w:vAlign w:val="center"/>
          </w:tcPr>
          <w:p w14:paraId="15E5A4BC">
            <w:pPr>
              <w:pStyle w:val="257"/>
              <w:spacing w:before="24" w:after="24"/>
              <w:rPr>
                <w:sz w:val="21"/>
              </w:rPr>
            </w:pPr>
            <w:r>
              <w:rPr>
                <w:rFonts w:hint="eastAsia"/>
                <w:sz w:val="21"/>
              </w:rPr>
              <w:t>6-20</w:t>
            </w:r>
          </w:p>
        </w:tc>
        <w:tc>
          <w:tcPr>
            <w:tcW w:w="1667" w:type="pct"/>
            <w:vMerge w:val="continue"/>
            <w:shd w:val="clear" w:color="auto" w:fill="auto"/>
            <w:vAlign w:val="center"/>
          </w:tcPr>
          <w:p w14:paraId="25ED7F04">
            <w:pPr>
              <w:jc w:val="center"/>
              <w:rPr>
                <w:szCs w:val="21"/>
              </w:rPr>
            </w:pPr>
          </w:p>
        </w:tc>
      </w:tr>
      <w:tr w14:paraId="3DB4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shd w:val="clear" w:color="auto" w:fill="auto"/>
            <w:vAlign w:val="center"/>
          </w:tcPr>
          <w:p w14:paraId="47B9ACEF">
            <w:pPr>
              <w:pStyle w:val="257"/>
              <w:spacing w:before="24" w:after="24"/>
              <w:rPr>
                <w:sz w:val="21"/>
              </w:rPr>
            </w:pPr>
            <w:r>
              <w:rPr>
                <w:rFonts w:hint="eastAsia"/>
                <w:sz w:val="21"/>
              </w:rPr>
              <w:t>三级</w:t>
            </w:r>
          </w:p>
        </w:tc>
        <w:tc>
          <w:tcPr>
            <w:tcW w:w="1667" w:type="pct"/>
            <w:shd w:val="clear" w:color="auto" w:fill="auto"/>
            <w:vAlign w:val="center"/>
          </w:tcPr>
          <w:p w14:paraId="392C2CE2">
            <w:pPr>
              <w:pStyle w:val="257"/>
              <w:spacing w:before="24" w:after="24"/>
              <w:rPr>
                <w:sz w:val="21"/>
              </w:rPr>
            </w:pPr>
            <w:r>
              <w:rPr>
                <w:rFonts w:hint="eastAsia"/>
                <w:sz w:val="21"/>
              </w:rPr>
              <w:t>≤6</w:t>
            </w:r>
          </w:p>
        </w:tc>
        <w:tc>
          <w:tcPr>
            <w:tcW w:w="1667" w:type="pct"/>
            <w:vMerge w:val="continue"/>
            <w:shd w:val="clear" w:color="auto" w:fill="auto"/>
            <w:vAlign w:val="center"/>
          </w:tcPr>
          <w:p w14:paraId="6EC2AEB1">
            <w:pPr>
              <w:jc w:val="center"/>
              <w:rPr>
                <w:szCs w:val="21"/>
              </w:rPr>
            </w:pPr>
          </w:p>
        </w:tc>
      </w:tr>
    </w:tbl>
    <w:p w14:paraId="5A1ACDC0">
      <w:pPr>
        <w:spacing w:line="360" w:lineRule="auto"/>
        <w:ind w:firstLine="482" w:firstLineChars="200"/>
        <w:rPr>
          <w:b/>
          <w:sz w:val="24"/>
        </w:rPr>
      </w:pPr>
      <w:r>
        <w:rPr>
          <w:rFonts w:hint="eastAsia"/>
          <w:b/>
          <w:sz w:val="24"/>
        </w:rPr>
        <w:t>（</w:t>
      </w:r>
      <w:r>
        <w:rPr>
          <w:b/>
          <w:sz w:val="24"/>
        </w:rPr>
        <w:t>3</w:t>
      </w:r>
      <w:r>
        <w:rPr>
          <w:rFonts w:hint="eastAsia"/>
          <w:b/>
          <w:sz w:val="24"/>
        </w:rPr>
        <w:t>）自定义法</w:t>
      </w:r>
    </w:p>
    <w:p w14:paraId="5154191D">
      <w:pPr>
        <w:spacing w:line="360" w:lineRule="auto"/>
        <w:ind w:firstLine="480" w:firstLineChars="200"/>
        <w:rPr>
          <w:sz w:val="24"/>
        </w:rPr>
      </w:pPr>
      <w:r>
        <w:rPr>
          <w:sz w:val="24"/>
        </w:rPr>
        <w:t>根据建设项目所在地水文地质条件自行确定</w:t>
      </w:r>
      <w:r>
        <w:rPr>
          <w:rFonts w:hint="eastAsia"/>
          <w:sz w:val="24"/>
        </w:rPr>
        <w:t>。</w:t>
      </w:r>
    </w:p>
    <w:p w14:paraId="4387A194">
      <w:pPr>
        <w:spacing w:line="360" w:lineRule="auto"/>
        <w:ind w:firstLine="480" w:firstLineChars="200"/>
        <w:jc w:val="both"/>
        <w:rPr>
          <w:color w:val="000000" w:themeColor="text1"/>
          <w:sz w:val="24"/>
          <w14:textFill>
            <w14:solidFill>
              <w14:schemeClr w14:val="tx1"/>
            </w14:solidFill>
          </w14:textFill>
        </w:rPr>
      </w:pPr>
      <w:r>
        <w:rPr>
          <w:rFonts w:hint="eastAsia"/>
          <w:sz w:val="24"/>
        </w:rPr>
        <w:t>本项目位于丘陵区，采用自定义法确定地下水环境影响评价范围，即：以完整水文地质单元为界。据</w:t>
      </w:r>
      <w:r>
        <w:rPr>
          <w:sz w:val="24"/>
        </w:rPr>
        <w:t>测算，本项目地下水环境影响评价范围面积</w:t>
      </w:r>
      <w:r>
        <w:rPr>
          <w:rFonts w:hint="eastAsia"/>
          <w:sz w:val="24"/>
        </w:rPr>
        <w:t>，其中始宁养殖场区为</w:t>
      </w:r>
      <w:r>
        <w:rPr>
          <w:sz w:val="24"/>
        </w:rPr>
        <w:t>4.34</w:t>
      </w:r>
      <w:r>
        <w:rPr>
          <w:rFonts w:hint="eastAsia"/>
          <w:sz w:val="24"/>
        </w:rPr>
        <w:t>km</w:t>
      </w:r>
      <w:r>
        <w:rPr>
          <w:sz w:val="24"/>
          <w:vertAlign w:val="superscript"/>
        </w:rPr>
        <w:t>2</w:t>
      </w:r>
      <w:r>
        <w:rPr>
          <w:rFonts w:hint="eastAsia"/>
          <w:sz w:val="24"/>
        </w:rPr>
        <w:t>，塘坝养殖场区为</w:t>
      </w:r>
      <w:r>
        <w:rPr>
          <w:sz w:val="24"/>
        </w:rPr>
        <w:t>6</w:t>
      </w:r>
      <w:r>
        <w:rPr>
          <w:rFonts w:hint="eastAsia"/>
          <w:sz w:val="24"/>
        </w:rPr>
        <w:t>km</w:t>
      </w:r>
      <w:r>
        <w:rPr>
          <w:sz w:val="24"/>
          <w:vertAlign w:val="superscript"/>
        </w:rPr>
        <w:t>2</w:t>
      </w:r>
      <w:r>
        <w:rPr>
          <w:rFonts w:hint="eastAsia"/>
          <w:sz w:val="24"/>
        </w:rPr>
        <w:t>，佛龙养殖场区为</w:t>
      </w:r>
      <w:r>
        <w:rPr>
          <w:sz w:val="24"/>
        </w:rPr>
        <w:t>6</w:t>
      </w:r>
      <w:r>
        <w:rPr>
          <w:rFonts w:hint="eastAsia"/>
          <w:sz w:val="24"/>
        </w:rPr>
        <w:t>km</w:t>
      </w:r>
      <w:r>
        <w:rPr>
          <w:sz w:val="24"/>
          <w:vertAlign w:val="superscript"/>
        </w:rPr>
        <w:t>2</w:t>
      </w:r>
      <w:r>
        <w:rPr>
          <w:rFonts w:hint="eastAsia"/>
          <w:sz w:val="24"/>
        </w:rPr>
        <w:t>，百花养殖场区为</w:t>
      </w:r>
      <w:r>
        <w:rPr>
          <w:sz w:val="24"/>
        </w:rPr>
        <w:t>3.75</w:t>
      </w:r>
      <w:r>
        <w:rPr>
          <w:rFonts w:hint="eastAsia"/>
          <w:sz w:val="24"/>
        </w:rPr>
        <w:t>km</w:t>
      </w:r>
      <w:r>
        <w:rPr>
          <w:sz w:val="24"/>
          <w:vertAlign w:val="superscript"/>
        </w:rPr>
        <w:t>2</w:t>
      </w:r>
      <w:r>
        <w:rPr>
          <w:sz w:val="24"/>
        </w:rPr>
        <w:t>。</w:t>
      </w:r>
    </w:p>
    <w:p w14:paraId="5C4623B1">
      <w:pPr>
        <w:pStyle w:val="752"/>
        <w:rPr>
          <w:rFonts w:cs="Times New Roman"/>
          <w:color w:val="000000" w:themeColor="text1"/>
          <w14:textFill>
            <w14:solidFill>
              <w14:schemeClr w14:val="tx1"/>
            </w14:solidFill>
          </w14:textFill>
        </w:rPr>
      </w:pPr>
      <w:bookmarkStart w:id="186" w:name="_Toc7236"/>
      <w:bookmarkStart w:id="187" w:name="_Toc233380129"/>
      <w:r>
        <w:rPr>
          <w:rFonts w:cs="Times New Roman"/>
          <w:color w:val="000000" w:themeColor="text1"/>
          <w14:textFill>
            <w14:solidFill>
              <w14:schemeClr w14:val="tx1"/>
            </w14:solidFill>
          </w14:textFill>
        </w:rPr>
        <w:t>2.5.5土壤评价范围</w:t>
      </w:r>
      <w:bookmarkEnd w:id="186"/>
      <w:bookmarkEnd w:id="187"/>
    </w:p>
    <w:p w14:paraId="09D434AA">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根据《环境影响评价技术导则 土壤环境》（HJ964-2018）中附录A土壤环境影响评价项目类别可知，评价范围确定为建设项目所在地及周边0.05km的范围内。</w:t>
      </w:r>
    </w:p>
    <w:p w14:paraId="0F853F32">
      <w:pPr>
        <w:pStyle w:val="752"/>
        <w:rPr>
          <w:rFonts w:cs="Times New Roman"/>
          <w:color w:val="000000" w:themeColor="text1"/>
          <w14:textFill>
            <w14:solidFill>
              <w14:schemeClr w14:val="tx1"/>
            </w14:solidFill>
          </w14:textFill>
        </w:rPr>
      </w:pPr>
      <w:bookmarkStart w:id="188" w:name="_Toc233380130"/>
      <w:bookmarkStart w:id="189" w:name="_Toc3211"/>
      <w:r>
        <w:rPr>
          <w:rFonts w:cs="Times New Roman"/>
          <w:color w:val="000000" w:themeColor="text1"/>
          <w14:textFill>
            <w14:solidFill>
              <w14:schemeClr w14:val="tx1"/>
            </w14:solidFill>
          </w14:textFill>
        </w:rPr>
        <w:t>2.5.6生态环境评价范围</w:t>
      </w:r>
      <w:bookmarkEnd w:id="188"/>
      <w:bookmarkEnd w:id="189"/>
    </w:p>
    <w:p w14:paraId="05D6267A">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价技术导则生态影响》(HJ19-2022)“6.2.8污染影响类建设项目评价范围应涵盖直接占用区域以及污染物排放产生的间接生态影响区域。”根据《全国生态状况调查评估技术规范——项目尺度生态影响评估》(HJ1175-2021)：“针对一般类项目，其生态影响评估范围应不小于主体工程、辅助工程、直接干扰区以及周边500m的区域”。综合考虑本项目施工期、运营期污染影响，结合项目周边环境敏感目标分布情况，本项目生态评价范围为项目占地红线及红线外扩500m范围评价范围。</w:t>
      </w:r>
    </w:p>
    <w:p w14:paraId="038ECA79">
      <w:pPr>
        <w:pStyle w:val="752"/>
        <w:rPr>
          <w:rFonts w:cs="Times New Roman"/>
          <w:color w:val="000000" w:themeColor="text1"/>
          <w14:textFill>
            <w14:solidFill>
              <w14:schemeClr w14:val="tx1"/>
            </w14:solidFill>
          </w14:textFill>
        </w:rPr>
      </w:pPr>
      <w:bookmarkStart w:id="190" w:name="_Toc233380131"/>
      <w:bookmarkStart w:id="191" w:name="_Toc17567"/>
      <w:r>
        <w:rPr>
          <w:rFonts w:cs="Times New Roman"/>
          <w:color w:val="000000" w:themeColor="text1"/>
          <w14:textFill>
            <w14:solidFill>
              <w14:schemeClr w14:val="tx1"/>
            </w14:solidFill>
          </w14:textFill>
        </w:rPr>
        <w:t>2.5.7环境风险评价范围</w:t>
      </w:r>
      <w:bookmarkEnd w:id="190"/>
      <w:bookmarkEnd w:id="191"/>
    </w:p>
    <w:p w14:paraId="17FA479F">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本项目环境风险潜势为I，环境风险评价仅开展简单分析。主要针对项目涉及的危险物质、环境影响途经、环境危害后果、风险防范措施等方面给出定性的说明。</w:t>
      </w:r>
    </w:p>
    <w:bookmarkEnd w:id="122"/>
    <w:bookmarkEnd w:id="123"/>
    <w:p w14:paraId="779A530F">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92" w:name="_Toc233380132"/>
      <w:bookmarkStart w:id="193" w:name="_Toc11991"/>
      <w:r>
        <w:rPr>
          <w:rFonts w:ascii="Times New Roman" w:hAnsi="Times New Roman" w:eastAsia="宋体"/>
          <w:color w:val="000000" w:themeColor="text1"/>
          <w:sz w:val="30"/>
          <w:szCs w:val="30"/>
          <w14:textFill>
            <w14:solidFill>
              <w14:schemeClr w14:val="tx1"/>
            </w14:solidFill>
          </w14:textFill>
        </w:rPr>
        <w:t>2.6评价标准</w:t>
      </w:r>
      <w:bookmarkEnd w:id="111"/>
      <w:bookmarkEnd w:id="112"/>
      <w:bookmarkEnd w:id="192"/>
      <w:bookmarkEnd w:id="193"/>
    </w:p>
    <w:p w14:paraId="76715E68">
      <w:pPr>
        <w:pStyle w:val="752"/>
        <w:rPr>
          <w:rFonts w:cs="Times New Roman"/>
          <w:color w:val="000000" w:themeColor="text1"/>
          <w14:textFill>
            <w14:solidFill>
              <w14:schemeClr w14:val="tx1"/>
            </w14:solidFill>
          </w14:textFill>
        </w:rPr>
      </w:pPr>
      <w:bookmarkStart w:id="194" w:name="_Toc28998"/>
      <w:bookmarkStart w:id="195" w:name="_Toc21529540"/>
      <w:bookmarkStart w:id="196" w:name="_Toc40220647"/>
      <w:bookmarkStart w:id="197" w:name="_Toc27751085"/>
      <w:bookmarkStart w:id="198" w:name="_Toc28814569"/>
      <w:bookmarkStart w:id="199" w:name="_Toc233380133"/>
      <w:r>
        <w:rPr>
          <w:rFonts w:cs="Times New Roman"/>
          <w:color w:val="000000" w:themeColor="text1"/>
          <w14:textFill>
            <w14:solidFill>
              <w14:schemeClr w14:val="tx1"/>
            </w14:solidFill>
          </w14:textFill>
        </w:rPr>
        <w:t>2.6.1区域环境功能区划</w:t>
      </w:r>
      <w:bookmarkEnd w:id="194"/>
      <w:bookmarkEnd w:id="195"/>
      <w:bookmarkEnd w:id="196"/>
      <w:bookmarkEnd w:id="197"/>
      <w:bookmarkEnd w:id="198"/>
      <w:bookmarkEnd w:id="199"/>
    </w:p>
    <w:p w14:paraId="763FB4A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（1）环境空气</w:t>
      </w:r>
    </w:p>
    <w:p w14:paraId="0501D0F9">
      <w:pPr>
        <w:autoSpaceDE w:val="0"/>
        <w:autoSpaceDN w:val="0"/>
        <w:adjustRightInd w:val="0"/>
        <w:spacing w:line="360" w:lineRule="auto"/>
        <w:ind w:firstLine="480" w:firstLineChars="200"/>
        <w:jc w:val="both"/>
        <w:rPr>
          <w:sz w:val="24"/>
        </w:rPr>
      </w:pPr>
      <w:r>
        <w:rPr>
          <w:sz w:val="24"/>
        </w:rPr>
        <w:t>本项目位于巴中市巴州区白庙乡、曾口镇、清江镇、水宁寺镇，项目所在地大气环境功能属二类区。项目所在地区域空气环境执行《环境空气质量标准》（GB 3095-2026）中二级标准和过渡阶段浓度限值二级标准。</w:t>
      </w:r>
    </w:p>
    <w:p w14:paraId="31BA886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（2）地表水</w:t>
      </w:r>
    </w:p>
    <w:p w14:paraId="5C0F5D69">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项目区域附近的主要地表</w:t>
      </w:r>
      <w:r>
        <w:rPr>
          <w:sz w:val="24"/>
        </w:rPr>
        <w:t>水为驷马河、巴河，根据</w:t>
      </w:r>
      <w:r>
        <w:rPr>
          <w:color w:val="000000" w:themeColor="text1"/>
          <w:sz w:val="24"/>
          <w14:textFill>
            <w14:solidFill>
              <w14:schemeClr w14:val="tx1"/>
            </w14:solidFill>
          </w14:textFill>
        </w:rPr>
        <w:t>《四川省水功能区划报告》，评价河段地表水环境功能均为II、Ⅲ类水域。</w:t>
      </w:r>
    </w:p>
    <w:p w14:paraId="547F735D">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（3）地下水</w:t>
      </w:r>
    </w:p>
    <w:p w14:paraId="3879980B">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参照《地下水质量标准》（GB14848-2017）中环境功能区划分方法，评价区域内地下水为Ⅲ类水域。</w:t>
      </w:r>
    </w:p>
    <w:p w14:paraId="2BCAAEFF">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（4）声环境</w:t>
      </w:r>
    </w:p>
    <w:p w14:paraId="19A82DAD">
      <w:pPr>
        <w:spacing w:line="360" w:lineRule="auto"/>
        <w:ind w:firstLine="480" w:firstLineChars="200"/>
        <w:jc w:val="both"/>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本项目所在区域为《声环境质量标准》（GB3096-2008）中的2类区域。</w:t>
      </w:r>
    </w:p>
    <w:p w14:paraId="63ED12CC">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（5）土壤</w:t>
      </w:r>
    </w:p>
    <w:p w14:paraId="18F70ADB">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本项目所在的区执行《土壤环境质量标准 农用地土壤污染风险管控标准（试行）》（GB15618-2018）农用地土壤污染风险筛选值。</w:t>
      </w:r>
    </w:p>
    <w:p w14:paraId="586838DE">
      <w:pPr>
        <w:pStyle w:val="752"/>
        <w:rPr>
          <w:rFonts w:cs="Times New Roman"/>
          <w:color w:val="000000" w:themeColor="text1"/>
          <w14:textFill>
            <w14:solidFill>
              <w14:schemeClr w14:val="tx1"/>
            </w14:solidFill>
          </w14:textFill>
        </w:rPr>
      </w:pPr>
      <w:bookmarkStart w:id="200" w:name="_Toc40220648"/>
      <w:bookmarkStart w:id="201" w:name="_Toc28814570"/>
      <w:bookmarkStart w:id="202" w:name="_Toc27751086"/>
      <w:bookmarkStart w:id="203" w:name="_Toc21529541"/>
      <w:bookmarkStart w:id="204" w:name="_Toc15719"/>
      <w:bookmarkStart w:id="205" w:name="_Toc233380134"/>
      <w:r>
        <w:rPr>
          <w:rFonts w:cs="Times New Roman"/>
          <w:color w:val="000000" w:themeColor="text1"/>
          <w14:textFill>
            <w14:solidFill>
              <w14:schemeClr w14:val="tx1"/>
            </w14:solidFill>
          </w14:textFill>
        </w:rPr>
        <w:t>2.6.2环境质量标准</w:t>
      </w:r>
      <w:bookmarkEnd w:id="200"/>
      <w:bookmarkEnd w:id="201"/>
      <w:bookmarkEnd w:id="202"/>
      <w:bookmarkEnd w:id="203"/>
      <w:bookmarkEnd w:id="204"/>
      <w:bookmarkEnd w:id="205"/>
    </w:p>
    <w:p w14:paraId="315A772A">
      <w:pPr>
        <w:pStyle w:val="119"/>
        <w:spacing w:line="360" w:lineRule="auto"/>
        <w:ind w:firstLine="480" w:firstLineChars="20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根据项目特点，拟采用以下标准进行本项目环境影响评价。</w:t>
      </w:r>
    </w:p>
    <w:p w14:paraId="769A49EA">
      <w:pPr>
        <w:pStyle w:val="119"/>
        <w:spacing w:line="360" w:lineRule="auto"/>
        <w:ind w:firstLine="480" w:firstLineChars="20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（1）环境空气</w:t>
      </w:r>
    </w:p>
    <w:p w14:paraId="18129709">
      <w:pPr>
        <w:pStyle w:val="119"/>
        <w:spacing w:line="360" w:lineRule="auto"/>
        <w:ind w:firstLine="480" w:firstLineChars="20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项目区域环境空气质量执</w:t>
      </w:r>
      <w:r>
        <w:rPr>
          <w:rFonts w:ascii="Times New Roman" w:hAnsi="Times New Roman" w:cs="Times New Roman"/>
          <w:color w:val="auto"/>
        </w:rPr>
        <w:t>行《环境空气质量标准》（GB 3095-2026）中二级标准和过渡阶段浓度限值二级标准。即TSP执行二级标准；SO</w:t>
      </w:r>
      <w:r>
        <w:rPr>
          <w:rFonts w:ascii="Times New Roman" w:hAnsi="Times New Roman" w:cs="Times New Roman"/>
          <w:color w:val="auto"/>
          <w:vertAlign w:val="subscript"/>
        </w:rPr>
        <w:t>2</w:t>
      </w:r>
      <w:r>
        <w:rPr>
          <w:rFonts w:ascii="Times New Roman" w:hAnsi="Times New Roman" w:cs="Times New Roman"/>
          <w:color w:val="auto"/>
        </w:rPr>
        <w:t>、NO</w:t>
      </w:r>
      <w:r>
        <w:rPr>
          <w:rFonts w:ascii="Times New Roman" w:hAnsi="Times New Roman" w:cs="Times New Roman"/>
          <w:color w:val="auto"/>
          <w:vertAlign w:val="subscript"/>
        </w:rPr>
        <w:t>2</w:t>
      </w:r>
      <w:r>
        <w:rPr>
          <w:rFonts w:ascii="Times New Roman" w:hAnsi="Times New Roman" w:cs="Times New Roman"/>
          <w:color w:val="auto"/>
        </w:rPr>
        <w:t>、PM</w:t>
      </w:r>
      <w:r>
        <w:rPr>
          <w:rFonts w:ascii="Times New Roman" w:hAnsi="Times New Roman" w:cs="Times New Roman"/>
          <w:color w:val="auto"/>
          <w:vertAlign w:val="subscript"/>
        </w:rPr>
        <w:t>10</w:t>
      </w:r>
      <w:r>
        <w:rPr>
          <w:rFonts w:ascii="Times New Roman" w:hAnsi="Times New Roman" w:cs="Times New Roman"/>
          <w:color w:val="auto"/>
        </w:rPr>
        <w:t>、PM</w:t>
      </w:r>
      <w:r>
        <w:rPr>
          <w:rFonts w:ascii="Times New Roman" w:hAnsi="Times New Roman" w:cs="Times New Roman"/>
          <w:color w:val="auto"/>
          <w:vertAlign w:val="subscript"/>
        </w:rPr>
        <w:t>2.5</w:t>
      </w:r>
      <w:r>
        <w:rPr>
          <w:rFonts w:ascii="Times New Roman" w:hAnsi="Times New Roman" w:cs="Times New Roman"/>
          <w:color w:val="auto"/>
        </w:rPr>
        <w:t>、CO、O</w:t>
      </w:r>
      <w:r>
        <w:rPr>
          <w:rFonts w:ascii="Times New Roman" w:hAnsi="Times New Roman" w:cs="Times New Roman"/>
          <w:color w:val="auto"/>
          <w:vertAlign w:val="subscript"/>
        </w:rPr>
        <w:t>3</w:t>
      </w:r>
      <w:r>
        <w:rPr>
          <w:rFonts w:ascii="Times New Roman" w:hAnsi="Times New Roman" w:cs="Times New Roman"/>
          <w:color w:val="auto"/>
        </w:rPr>
        <w:t>执行《环境空气质量标准》（GB 3095-2026）中过渡阶段浓度限值二级标准；硫化氢、氨执行《环境影响评价技术导则大气环境》（HJ2.2-2018）附录D中的标准。具体标准值详见下表。</w:t>
      </w:r>
    </w:p>
    <w:p w14:paraId="1C390605">
      <w:pPr>
        <w:pStyle w:val="814"/>
        <w:numPr>
          <w:ilvl w:val="0"/>
          <w:numId w:val="24"/>
        </w:numPr>
        <w:tabs>
          <w:tab w:val="left" w:pos="0"/>
        </w:tabs>
        <w:snapToGrid w:val="0"/>
        <w:spacing w:line="240" w:lineRule="auto"/>
        <w:rPr>
          <w:b/>
          <w:bCs/>
          <w:color w:val="000000" w:themeColor="text1"/>
          <w14:textFill>
            <w14:solidFill>
              <w14:schemeClr w14:val="tx1"/>
            </w14:solidFill>
          </w14:textFill>
        </w:rPr>
      </w:pPr>
      <w:r>
        <w:rPr>
          <w:b/>
          <w:bCs/>
          <w:color w:val="000000" w:themeColor="text1"/>
          <w14:textFill>
            <w14:solidFill>
              <w14:schemeClr w14:val="tx1"/>
            </w14:solidFill>
          </w14:textFill>
        </w:rPr>
        <w:t>环境空气质量标准</w:t>
      </w:r>
    </w:p>
    <w:tbl>
      <w:tblPr>
        <w:tblStyle w:val="88"/>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808"/>
        <w:gridCol w:w="1550"/>
        <w:gridCol w:w="2031"/>
        <w:gridCol w:w="2924"/>
      </w:tblGrid>
      <w:tr w14:paraId="776762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tcBorders>
              <w:top w:val="single" w:color="auto" w:sz="12" w:space="0"/>
            </w:tcBorders>
            <w:vAlign w:val="center"/>
          </w:tcPr>
          <w:p w14:paraId="5400D9BA">
            <w:pPr>
              <w:adjustRightInd w:val="0"/>
              <w:jc w:val="center"/>
              <w:textAlignment w:val="baseline"/>
              <w:rPr>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w:t>
            </w:r>
          </w:p>
        </w:tc>
        <w:tc>
          <w:tcPr>
            <w:tcW w:w="932" w:type="pct"/>
            <w:tcBorders>
              <w:top w:val="single" w:color="auto" w:sz="12" w:space="0"/>
            </w:tcBorders>
            <w:vAlign w:val="center"/>
          </w:tcPr>
          <w:p w14:paraId="3FADA88F">
            <w:pPr>
              <w:adjustRightIn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平均时间</w:t>
            </w:r>
          </w:p>
        </w:tc>
        <w:tc>
          <w:tcPr>
            <w:tcW w:w="1221" w:type="pct"/>
            <w:tcBorders>
              <w:top w:val="single" w:color="auto" w:sz="12" w:space="0"/>
            </w:tcBorders>
            <w:vAlign w:val="center"/>
          </w:tcPr>
          <w:p w14:paraId="042856B0">
            <w:pPr>
              <w:adjustRightIn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浓度限值(mg/m</w:t>
            </w:r>
            <w:r>
              <w:rPr>
                <w:b/>
                <w:color w:val="000000" w:themeColor="text1"/>
                <w:szCs w:val="21"/>
                <w:vertAlign w:val="superscript"/>
                <w14:textFill>
                  <w14:solidFill>
                    <w14:schemeClr w14:val="tx1"/>
                  </w14:solidFill>
                </w14:textFill>
              </w:rPr>
              <w:t>3</w:t>
            </w:r>
            <w:r>
              <w:rPr>
                <w:b/>
                <w:color w:val="000000" w:themeColor="text1"/>
                <w:szCs w:val="21"/>
                <w14:textFill>
                  <w14:solidFill>
                    <w14:schemeClr w14:val="tx1"/>
                  </w14:solidFill>
                </w14:textFill>
              </w:rPr>
              <w:t>)</w:t>
            </w:r>
          </w:p>
        </w:tc>
        <w:tc>
          <w:tcPr>
            <w:tcW w:w="1758" w:type="pct"/>
            <w:tcBorders>
              <w:top w:val="single" w:color="auto" w:sz="12" w:space="0"/>
            </w:tcBorders>
            <w:vAlign w:val="center"/>
          </w:tcPr>
          <w:p w14:paraId="1A923E29">
            <w:pPr>
              <w:adjustRightIn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依据</w:t>
            </w:r>
          </w:p>
        </w:tc>
      </w:tr>
      <w:tr w14:paraId="5A85F3A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restart"/>
            <w:vAlign w:val="center"/>
          </w:tcPr>
          <w:p w14:paraId="54376D33">
            <w:pPr>
              <w:adjustRightInd w:val="0"/>
              <w:jc w:val="center"/>
              <w:textAlignment w:val="baseline"/>
              <w:rPr>
                <w:color w:val="000000" w:themeColor="text1"/>
                <w:szCs w:val="21"/>
                <w:vertAlign w:val="subscript"/>
                <w14:textFill>
                  <w14:solidFill>
                    <w14:schemeClr w14:val="tx1"/>
                  </w14:solidFill>
                </w14:textFill>
              </w:rPr>
            </w:pPr>
            <w:r>
              <w:rPr>
                <w:color w:val="000000" w:themeColor="text1"/>
                <w:szCs w:val="21"/>
                <w14:textFill>
                  <w14:solidFill>
                    <w14:schemeClr w14:val="tx1"/>
                  </w14:solidFill>
                </w14:textFill>
              </w:rPr>
              <w:t>SO</w:t>
            </w:r>
            <w:r>
              <w:rPr>
                <w:color w:val="000000" w:themeColor="text1"/>
                <w:szCs w:val="21"/>
                <w:vertAlign w:val="subscript"/>
                <w14:textFill>
                  <w14:solidFill>
                    <w14:schemeClr w14:val="tx1"/>
                  </w14:solidFill>
                </w14:textFill>
              </w:rPr>
              <w:t>2</w:t>
            </w:r>
          </w:p>
        </w:tc>
        <w:tc>
          <w:tcPr>
            <w:tcW w:w="932" w:type="pct"/>
            <w:vAlign w:val="center"/>
          </w:tcPr>
          <w:p w14:paraId="6D651E8F">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w:t>
            </w:r>
          </w:p>
        </w:tc>
        <w:tc>
          <w:tcPr>
            <w:tcW w:w="1221" w:type="pct"/>
            <w:vAlign w:val="center"/>
          </w:tcPr>
          <w:p w14:paraId="5B523667">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0.06</w:t>
            </w:r>
          </w:p>
        </w:tc>
        <w:tc>
          <w:tcPr>
            <w:tcW w:w="1758" w:type="pct"/>
            <w:vMerge w:val="restart"/>
            <w:vAlign w:val="center"/>
          </w:tcPr>
          <w:p w14:paraId="7BFE0154">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《环境空气质量标准》（GB3095-2026）中过渡阶段二级标准</w:t>
            </w:r>
          </w:p>
        </w:tc>
      </w:tr>
      <w:tr w14:paraId="2E4522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5FE0CBCB">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4DF71631">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日平均</w:t>
            </w:r>
          </w:p>
        </w:tc>
        <w:tc>
          <w:tcPr>
            <w:tcW w:w="1221" w:type="pct"/>
            <w:vAlign w:val="center"/>
          </w:tcPr>
          <w:p w14:paraId="1B1B41C6">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0.15</w:t>
            </w:r>
          </w:p>
        </w:tc>
        <w:tc>
          <w:tcPr>
            <w:tcW w:w="1758" w:type="pct"/>
            <w:vMerge w:val="continue"/>
            <w:vAlign w:val="center"/>
          </w:tcPr>
          <w:p w14:paraId="7FB718F3">
            <w:pPr>
              <w:adjustRightInd w:val="0"/>
              <w:jc w:val="center"/>
              <w:textAlignment w:val="baseline"/>
              <w:rPr>
                <w:color w:val="000000" w:themeColor="text1"/>
                <w:szCs w:val="21"/>
                <w:highlight w:val="yellow"/>
                <w14:textFill>
                  <w14:solidFill>
                    <w14:schemeClr w14:val="tx1"/>
                  </w14:solidFill>
                </w14:textFill>
              </w:rPr>
            </w:pPr>
          </w:p>
        </w:tc>
      </w:tr>
      <w:tr w14:paraId="08510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2D3D1AF3">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1C3FA6C2">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1小时平均</w:t>
            </w:r>
          </w:p>
        </w:tc>
        <w:tc>
          <w:tcPr>
            <w:tcW w:w="1221" w:type="pct"/>
            <w:vAlign w:val="center"/>
          </w:tcPr>
          <w:p w14:paraId="50ED2915">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0.50</w:t>
            </w:r>
          </w:p>
        </w:tc>
        <w:tc>
          <w:tcPr>
            <w:tcW w:w="1758" w:type="pct"/>
            <w:vMerge w:val="continue"/>
            <w:vAlign w:val="center"/>
          </w:tcPr>
          <w:p w14:paraId="354DE4D8">
            <w:pPr>
              <w:adjustRightInd w:val="0"/>
              <w:jc w:val="center"/>
              <w:textAlignment w:val="baseline"/>
              <w:rPr>
                <w:color w:val="000000" w:themeColor="text1"/>
                <w:szCs w:val="21"/>
                <w:highlight w:val="yellow"/>
                <w14:textFill>
                  <w14:solidFill>
                    <w14:schemeClr w14:val="tx1"/>
                  </w14:solidFill>
                </w14:textFill>
              </w:rPr>
            </w:pPr>
          </w:p>
        </w:tc>
      </w:tr>
      <w:tr w14:paraId="63CF98B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restart"/>
            <w:vAlign w:val="center"/>
          </w:tcPr>
          <w:p w14:paraId="2691988C">
            <w:pPr>
              <w:adjustRightInd w:val="0"/>
              <w:jc w:val="center"/>
              <w:textAlignment w:val="baseline"/>
              <w:rPr>
                <w:color w:val="000000" w:themeColor="text1"/>
                <w:szCs w:val="21"/>
                <w:vertAlign w:val="subscript"/>
                <w14:textFill>
                  <w14:solidFill>
                    <w14:schemeClr w14:val="tx1"/>
                  </w14:solidFill>
                </w14:textFill>
              </w:rPr>
            </w:pPr>
            <w:r>
              <w:rPr>
                <w:color w:val="000000" w:themeColor="text1"/>
                <w:szCs w:val="21"/>
                <w14:textFill>
                  <w14:solidFill>
                    <w14:schemeClr w14:val="tx1"/>
                  </w14:solidFill>
                </w14:textFill>
              </w:rPr>
              <w:t>NO</w:t>
            </w:r>
            <w:r>
              <w:rPr>
                <w:color w:val="000000" w:themeColor="text1"/>
                <w:szCs w:val="21"/>
                <w:vertAlign w:val="subscript"/>
                <w14:textFill>
                  <w14:solidFill>
                    <w14:schemeClr w14:val="tx1"/>
                  </w14:solidFill>
                </w14:textFill>
              </w:rPr>
              <w:t>2</w:t>
            </w:r>
          </w:p>
        </w:tc>
        <w:tc>
          <w:tcPr>
            <w:tcW w:w="932" w:type="pct"/>
            <w:vAlign w:val="center"/>
          </w:tcPr>
          <w:p w14:paraId="3A9602F5">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w:t>
            </w:r>
          </w:p>
        </w:tc>
        <w:tc>
          <w:tcPr>
            <w:tcW w:w="1221" w:type="pct"/>
            <w:vAlign w:val="center"/>
          </w:tcPr>
          <w:p w14:paraId="27FC5183">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0.04</w:t>
            </w:r>
          </w:p>
        </w:tc>
        <w:tc>
          <w:tcPr>
            <w:tcW w:w="1758" w:type="pct"/>
            <w:vMerge w:val="continue"/>
            <w:vAlign w:val="center"/>
          </w:tcPr>
          <w:p w14:paraId="15CFE6A2">
            <w:pPr>
              <w:adjustRightInd w:val="0"/>
              <w:jc w:val="center"/>
              <w:textAlignment w:val="baseline"/>
              <w:rPr>
                <w:color w:val="000000" w:themeColor="text1"/>
                <w:szCs w:val="21"/>
                <w:highlight w:val="yellow"/>
                <w14:textFill>
                  <w14:solidFill>
                    <w14:schemeClr w14:val="tx1"/>
                  </w14:solidFill>
                </w14:textFill>
              </w:rPr>
            </w:pPr>
          </w:p>
        </w:tc>
      </w:tr>
      <w:tr w14:paraId="192E17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2E2353DE">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1C5530E2">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日平均</w:t>
            </w:r>
          </w:p>
        </w:tc>
        <w:tc>
          <w:tcPr>
            <w:tcW w:w="1221" w:type="pct"/>
            <w:vAlign w:val="center"/>
          </w:tcPr>
          <w:p w14:paraId="0B4121A6">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0.08</w:t>
            </w:r>
          </w:p>
        </w:tc>
        <w:tc>
          <w:tcPr>
            <w:tcW w:w="1758" w:type="pct"/>
            <w:vMerge w:val="continue"/>
            <w:vAlign w:val="center"/>
          </w:tcPr>
          <w:p w14:paraId="5CB4A516">
            <w:pPr>
              <w:adjustRightInd w:val="0"/>
              <w:jc w:val="center"/>
              <w:textAlignment w:val="baseline"/>
              <w:rPr>
                <w:color w:val="000000" w:themeColor="text1"/>
                <w:szCs w:val="21"/>
                <w:highlight w:val="yellow"/>
                <w14:textFill>
                  <w14:solidFill>
                    <w14:schemeClr w14:val="tx1"/>
                  </w14:solidFill>
                </w14:textFill>
              </w:rPr>
            </w:pPr>
          </w:p>
        </w:tc>
      </w:tr>
      <w:tr w14:paraId="51F715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183FFA47">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69713674">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1小时平均</w:t>
            </w:r>
          </w:p>
        </w:tc>
        <w:tc>
          <w:tcPr>
            <w:tcW w:w="1221" w:type="pct"/>
            <w:vAlign w:val="center"/>
          </w:tcPr>
          <w:p w14:paraId="3742F6FA">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0.2</w:t>
            </w:r>
          </w:p>
        </w:tc>
        <w:tc>
          <w:tcPr>
            <w:tcW w:w="1758" w:type="pct"/>
            <w:vMerge w:val="continue"/>
            <w:vAlign w:val="center"/>
          </w:tcPr>
          <w:p w14:paraId="1F09B1CF">
            <w:pPr>
              <w:adjustRightInd w:val="0"/>
              <w:jc w:val="center"/>
              <w:textAlignment w:val="baseline"/>
              <w:rPr>
                <w:color w:val="000000" w:themeColor="text1"/>
                <w:szCs w:val="21"/>
                <w:highlight w:val="yellow"/>
                <w14:textFill>
                  <w14:solidFill>
                    <w14:schemeClr w14:val="tx1"/>
                  </w14:solidFill>
                </w14:textFill>
              </w:rPr>
            </w:pPr>
          </w:p>
        </w:tc>
      </w:tr>
      <w:tr w14:paraId="2CE5CD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restart"/>
            <w:vAlign w:val="center"/>
          </w:tcPr>
          <w:p w14:paraId="0F05D3FA">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NOx</w:t>
            </w:r>
          </w:p>
        </w:tc>
        <w:tc>
          <w:tcPr>
            <w:tcW w:w="932" w:type="pct"/>
            <w:vAlign w:val="center"/>
          </w:tcPr>
          <w:p w14:paraId="6DA1D56A">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w:t>
            </w:r>
          </w:p>
        </w:tc>
        <w:tc>
          <w:tcPr>
            <w:tcW w:w="1221" w:type="pct"/>
            <w:vAlign w:val="center"/>
          </w:tcPr>
          <w:p w14:paraId="74853B2A">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1758" w:type="pct"/>
            <w:vMerge w:val="continue"/>
            <w:vAlign w:val="center"/>
          </w:tcPr>
          <w:p w14:paraId="363BBD9C">
            <w:pPr>
              <w:adjustRightInd w:val="0"/>
              <w:jc w:val="center"/>
              <w:textAlignment w:val="baseline"/>
              <w:rPr>
                <w:color w:val="000000" w:themeColor="text1"/>
                <w:szCs w:val="21"/>
                <w:highlight w:val="yellow"/>
                <w14:textFill>
                  <w14:solidFill>
                    <w14:schemeClr w14:val="tx1"/>
                  </w14:solidFill>
                </w14:textFill>
              </w:rPr>
            </w:pPr>
          </w:p>
        </w:tc>
      </w:tr>
      <w:tr w14:paraId="6043E72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06FD50CE">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3F11A250">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日平均</w:t>
            </w:r>
          </w:p>
        </w:tc>
        <w:tc>
          <w:tcPr>
            <w:tcW w:w="1221" w:type="pct"/>
            <w:vAlign w:val="center"/>
          </w:tcPr>
          <w:p w14:paraId="228CA8BD">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0.1</w:t>
            </w:r>
          </w:p>
        </w:tc>
        <w:tc>
          <w:tcPr>
            <w:tcW w:w="1758" w:type="pct"/>
            <w:vMerge w:val="continue"/>
            <w:vAlign w:val="center"/>
          </w:tcPr>
          <w:p w14:paraId="09320DB1">
            <w:pPr>
              <w:adjustRightInd w:val="0"/>
              <w:jc w:val="center"/>
              <w:textAlignment w:val="baseline"/>
              <w:rPr>
                <w:color w:val="000000" w:themeColor="text1"/>
                <w:szCs w:val="21"/>
                <w:highlight w:val="yellow"/>
                <w14:textFill>
                  <w14:solidFill>
                    <w14:schemeClr w14:val="tx1"/>
                  </w14:solidFill>
                </w14:textFill>
              </w:rPr>
            </w:pPr>
          </w:p>
        </w:tc>
      </w:tr>
      <w:tr w14:paraId="16E558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28080203">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5641F911">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1小时平均</w:t>
            </w:r>
          </w:p>
        </w:tc>
        <w:tc>
          <w:tcPr>
            <w:tcW w:w="1221" w:type="pct"/>
            <w:vAlign w:val="center"/>
          </w:tcPr>
          <w:p w14:paraId="3BFCE20F">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0.25</w:t>
            </w:r>
          </w:p>
        </w:tc>
        <w:tc>
          <w:tcPr>
            <w:tcW w:w="1758" w:type="pct"/>
            <w:vMerge w:val="continue"/>
            <w:vAlign w:val="center"/>
          </w:tcPr>
          <w:p w14:paraId="6F792DF7">
            <w:pPr>
              <w:adjustRightInd w:val="0"/>
              <w:jc w:val="center"/>
              <w:textAlignment w:val="baseline"/>
              <w:rPr>
                <w:color w:val="000000" w:themeColor="text1"/>
                <w:szCs w:val="21"/>
                <w:highlight w:val="yellow"/>
                <w14:textFill>
                  <w14:solidFill>
                    <w14:schemeClr w14:val="tx1"/>
                  </w14:solidFill>
                </w14:textFill>
              </w:rPr>
            </w:pPr>
          </w:p>
        </w:tc>
      </w:tr>
      <w:tr w14:paraId="66338AC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restart"/>
            <w:vAlign w:val="center"/>
          </w:tcPr>
          <w:p w14:paraId="778A15CF">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10</w:t>
            </w:r>
          </w:p>
        </w:tc>
        <w:tc>
          <w:tcPr>
            <w:tcW w:w="932" w:type="pct"/>
            <w:vAlign w:val="center"/>
          </w:tcPr>
          <w:p w14:paraId="0773AD86">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w:t>
            </w:r>
          </w:p>
        </w:tc>
        <w:tc>
          <w:tcPr>
            <w:tcW w:w="1221" w:type="pct"/>
            <w:vAlign w:val="center"/>
          </w:tcPr>
          <w:p w14:paraId="7BD4A2F3">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0.06</w:t>
            </w:r>
          </w:p>
        </w:tc>
        <w:tc>
          <w:tcPr>
            <w:tcW w:w="1758" w:type="pct"/>
            <w:vMerge w:val="continue"/>
            <w:vAlign w:val="center"/>
          </w:tcPr>
          <w:p w14:paraId="277C4A1A">
            <w:pPr>
              <w:adjustRightInd w:val="0"/>
              <w:jc w:val="center"/>
              <w:textAlignment w:val="baseline"/>
              <w:rPr>
                <w:color w:val="000000" w:themeColor="text1"/>
                <w:szCs w:val="21"/>
                <w:highlight w:val="yellow"/>
                <w14:textFill>
                  <w14:solidFill>
                    <w14:schemeClr w14:val="tx1"/>
                  </w14:solidFill>
                </w14:textFill>
              </w:rPr>
            </w:pPr>
          </w:p>
        </w:tc>
      </w:tr>
      <w:tr w14:paraId="366179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6260E5FD">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3A63FCFE">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日均值</w:t>
            </w:r>
          </w:p>
        </w:tc>
        <w:tc>
          <w:tcPr>
            <w:tcW w:w="1221" w:type="pct"/>
            <w:vAlign w:val="center"/>
          </w:tcPr>
          <w:p w14:paraId="28ED6D33">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0.12</w:t>
            </w:r>
          </w:p>
        </w:tc>
        <w:tc>
          <w:tcPr>
            <w:tcW w:w="1758" w:type="pct"/>
            <w:vMerge w:val="continue"/>
            <w:vAlign w:val="center"/>
          </w:tcPr>
          <w:p w14:paraId="3782F799">
            <w:pPr>
              <w:adjustRightInd w:val="0"/>
              <w:jc w:val="center"/>
              <w:textAlignment w:val="baseline"/>
              <w:rPr>
                <w:color w:val="000000" w:themeColor="text1"/>
                <w:szCs w:val="21"/>
                <w:highlight w:val="yellow"/>
                <w14:textFill>
                  <w14:solidFill>
                    <w14:schemeClr w14:val="tx1"/>
                  </w14:solidFill>
                </w14:textFill>
              </w:rPr>
            </w:pPr>
          </w:p>
        </w:tc>
      </w:tr>
      <w:tr w14:paraId="4C146E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restart"/>
            <w:vAlign w:val="center"/>
          </w:tcPr>
          <w:p w14:paraId="5484EA09">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2.5</w:t>
            </w:r>
          </w:p>
        </w:tc>
        <w:tc>
          <w:tcPr>
            <w:tcW w:w="932" w:type="pct"/>
            <w:vAlign w:val="center"/>
          </w:tcPr>
          <w:p w14:paraId="0A134A77">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w:t>
            </w:r>
          </w:p>
        </w:tc>
        <w:tc>
          <w:tcPr>
            <w:tcW w:w="1221" w:type="pct"/>
            <w:vAlign w:val="center"/>
          </w:tcPr>
          <w:p w14:paraId="211C7FFD">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0.03</w:t>
            </w:r>
          </w:p>
        </w:tc>
        <w:tc>
          <w:tcPr>
            <w:tcW w:w="1758" w:type="pct"/>
            <w:vMerge w:val="continue"/>
            <w:vAlign w:val="center"/>
          </w:tcPr>
          <w:p w14:paraId="5D66CEB2">
            <w:pPr>
              <w:adjustRightInd w:val="0"/>
              <w:jc w:val="center"/>
              <w:textAlignment w:val="baseline"/>
              <w:rPr>
                <w:color w:val="000000" w:themeColor="text1"/>
                <w:szCs w:val="21"/>
                <w:highlight w:val="yellow"/>
                <w14:textFill>
                  <w14:solidFill>
                    <w14:schemeClr w14:val="tx1"/>
                  </w14:solidFill>
                </w14:textFill>
              </w:rPr>
            </w:pPr>
          </w:p>
        </w:tc>
      </w:tr>
      <w:tr w14:paraId="73169F6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46F0B2B9">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1B052C44">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日均值</w:t>
            </w:r>
          </w:p>
        </w:tc>
        <w:tc>
          <w:tcPr>
            <w:tcW w:w="1221" w:type="pct"/>
            <w:vAlign w:val="center"/>
          </w:tcPr>
          <w:p w14:paraId="307FE400">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0.06</w:t>
            </w:r>
          </w:p>
        </w:tc>
        <w:tc>
          <w:tcPr>
            <w:tcW w:w="1758" w:type="pct"/>
            <w:vMerge w:val="continue"/>
            <w:vAlign w:val="center"/>
          </w:tcPr>
          <w:p w14:paraId="355AAFCA">
            <w:pPr>
              <w:adjustRightInd w:val="0"/>
              <w:jc w:val="center"/>
              <w:textAlignment w:val="baseline"/>
              <w:rPr>
                <w:color w:val="000000" w:themeColor="text1"/>
                <w:szCs w:val="21"/>
                <w:highlight w:val="yellow"/>
                <w14:textFill>
                  <w14:solidFill>
                    <w14:schemeClr w14:val="tx1"/>
                  </w14:solidFill>
                </w14:textFill>
              </w:rPr>
            </w:pPr>
          </w:p>
        </w:tc>
      </w:tr>
      <w:tr w14:paraId="370786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restart"/>
            <w:vAlign w:val="center"/>
          </w:tcPr>
          <w:p w14:paraId="45EE86D7">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CO</w:t>
            </w:r>
          </w:p>
        </w:tc>
        <w:tc>
          <w:tcPr>
            <w:tcW w:w="932" w:type="pct"/>
            <w:vAlign w:val="center"/>
          </w:tcPr>
          <w:p w14:paraId="6AB7BE25">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1小时平均</w:t>
            </w:r>
          </w:p>
        </w:tc>
        <w:tc>
          <w:tcPr>
            <w:tcW w:w="1221" w:type="pct"/>
            <w:vAlign w:val="center"/>
          </w:tcPr>
          <w:p w14:paraId="26067BB1">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1758" w:type="pct"/>
            <w:vMerge w:val="continue"/>
            <w:vAlign w:val="center"/>
          </w:tcPr>
          <w:p w14:paraId="61C3FE81">
            <w:pPr>
              <w:adjustRightInd w:val="0"/>
              <w:jc w:val="center"/>
              <w:textAlignment w:val="baseline"/>
              <w:rPr>
                <w:color w:val="000000" w:themeColor="text1"/>
                <w:szCs w:val="21"/>
                <w14:textFill>
                  <w14:solidFill>
                    <w14:schemeClr w14:val="tx1"/>
                  </w14:solidFill>
                </w14:textFill>
              </w:rPr>
            </w:pPr>
          </w:p>
        </w:tc>
      </w:tr>
      <w:tr w14:paraId="55FB207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36BE306A">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39541A4A">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日均值</w:t>
            </w:r>
          </w:p>
        </w:tc>
        <w:tc>
          <w:tcPr>
            <w:tcW w:w="1221" w:type="pct"/>
            <w:vAlign w:val="center"/>
          </w:tcPr>
          <w:p w14:paraId="6A81632B">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758" w:type="pct"/>
            <w:vMerge w:val="continue"/>
            <w:vAlign w:val="center"/>
          </w:tcPr>
          <w:p w14:paraId="00C6641B">
            <w:pPr>
              <w:adjustRightInd w:val="0"/>
              <w:jc w:val="center"/>
              <w:textAlignment w:val="baseline"/>
              <w:rPr>
                <w:color w:val="000000" w:themeColor="text1"/>
                <w:szCs w:val="21"/>
                <w14:textFill>
                  <w14:solidFill>
                    <w14:schemeClr w14:val="tx1"/>
                  </w14:solidFill>
                </w14:textFill>
              </w:rPr>
            </w:pPr>
          </w:p>
        </w:tc>
      </w:tr>
      <w:tr w14:paraId="3C7E5A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restart"/>
            <w:vAlign w:val="center"/>
          </w:tcPr>
          <w:p w14:paraId="1E19926F">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O</w:t>
            </w:r>
            <w:r>
              <w:rPr>
                <w:color w:val="000000" w:themeColor="text1"/>
                <w:szCs w:val="21"/>
                <w:vertAlign w:val="subscript"/>
                <w14:textFill>
                  <w14:solidFill>
                    <w14:schemeClr w14:val="tx1"/>
                  </w14:solidFill>
                </w14:textFill>
              </w:rPr>
              <w:t>3</w:t>
            </w:r>
          </w:p>
        </w:tc>
        <w:tc>
          <w:tcPr>
            <w:tcW w:w="932" w:type="pct"/>
            <w:vAlign w:val="center"/>
          </w:tcPr>
          <w:p w14:paraId="56136E69">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1小时平均</w:t>
            </w:r>
          </w:p>
        </w:tc>
        <w:tc>
          <w:tcPr>
            <w:tcW w:w="1221" w:type="pct"/>
            <w:vAlign w:val="center"/>
          </w:tcPr>
          <w:p w14:paraId="427F93ED">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0.2</w:t>
            </w:r>
          </w:p>
        </w:tc>
        <w:tc>
          <w:tcPr>
            <w:tcW w:w="1758" w:type="pct"/>
            <w:vMerge w:val="continue"/>
            <w:vAlign w:val="center"/>
          </w:tcPr>
          <w:p w14:paraId="335AC683">
            <w:pPr>
              <w:adjustRightInd w:val="0"/>
              <w:jc w:val="center"/>
              <w:textAlignment w:val="baseline"/>
              <w:rPr>
                <w:color w:val="000000" w:themeColor="text1"/>
                <w:szCs w:val="21"/>
                <w14:textFill>
                  <w14:solidFill>
                    <w14:schemeClr w14:val="tx1"/>
                  </w14:solidFill>
                </w14:textFill>
              </w:rPr>
            </w:pPr>
          </w:p>
        </w:tc>
      </w:tr>
      <w:tr w14:paraId="191706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56550D04">
            <w:pPr>
              <w:adjustRightInd w:val="0"/>
              <w:jc w:val="center"/>
              <w:textAlignment w:val="baseline"/>
              <w:rPr>
                <w:color w:val="000000" w:themeColor="text1"/>
                <w:szCs w:val="21"/>
                <w14:textFill>
                  <w14:solidFill>
                    <w14:schemeClr w14:val="tx1"/>
                  </w14:solidFill>
                </w14:textFill>
              </w:rPr>
            </w:pPr>
          </w:p>
        </w:tc>
        <w:tc>
          <w:tcPr>
            <w:tcW w:w="932" w:type="pct"/>
            <w:vAlign w:val="center"/>
          </w:tcPr>
          <w:p w14:paraId="17E1288C">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8小时均值</w:t>
            </w:r>
          </w:p>
        </w:tc>
        <w:tc>
          <w:tcPr>
            <w:tcW w:w="1221" w:type="pct"/>
            <w:vAlign w:val="center"/>
          </w:tcPr>
          <w:p w14:paraId="33DD5163">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0.16</w:t>
            </w:r>
          </w:p>
        </w:tc>
        <w:tc>
          <w:tcPr>
            <w:tcW w:w="1758" w:type="pct"/>
            <w:vMerge w:val="continue"/>
            <w:vAlign w:val="center"/>
          </w:tcPr>
          <w:p w14:paraId="4C88043A">
            <w:pPr>
              <w:adjustRightInd w:val="0"/>
              <w:jc w:val="center"/>
              <w:textAlignment w:val="baseline"/>
              <w:rPr>
                <w:color w:val="000000" w:themeColor="text1"/>
                <w:szCs w:val="21"/>
                <w14:textFill>
                  <w14:solidFill>
                    <w14:schemeClr w14:val="tx1"/>
                  </w14:solidFill>
                </w14:textFill>
              </w:rPr>
            </w:pPr>
          </w:p>
        </w:tc>
      </w:tr>
      <w:tr w14:paraId="28F505B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restart"/>
            <w:vAlign w:val="center"/>
          </w:tcPr>
          <w:p w14:paraId="2371947B">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TSP</w:t>
            </w:r>
          </w:p>
        </w:tc>
        <w:tc>
          <w:tcPr>
            <w:tcW w:w="932" w:type="pct"/>
            <w:vAlign w:val="center"/>
          </w:tcPr>
          <w:p w14:paraId="5759F91D">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日均值</w:t>
            </w:r>
          </w:p>
        </w:tc>
        <w:tc>
          <w:tcPr>
            <w:tcW w:w="1221" w:type="pct"/>
            <w:vAlign w:val="center"/>
          </w:tcPr>
          <w:p w14:paraId="31B6C3D9">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0.3</w:t>
            </w:r>
          </w:p>
        </w:tc>
        <w:tc>
          <w:tcPr>
            <w:tcW w:w="1758" w:type="pct"/>
            <w:vMerge w:val="restart"/>
            <w:vAlign w:val="center"/>
          </w:tcPr>
          <w:p w14:paraId="4B842E67">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《环境空气质量标准》（GB3095-2026）二级标准</w:t>
            </w:r>
          </w:p>
        </w:tc>
      </w:tr>
      <w:tr w14:paraId="46D737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Merge w:val="continue"/>
            <w:vAlign w:val="center"/>
          </w:tcPr>
          <w:p w14:paraId="5AE88D86">
            <w:pPr>
              <w:adjustRightInd w:val="0"/>
              <w:jc w:val="center"/>
              <w:textAlignment w:val="baseline"/>
              <w:rPr>
                <w:color w:val="000000" w:themeColor="text1"/>
                <w14:textFill>
                  <w14:solidFill>
                    <w14:schemeClr w14:val="tx1"/>
                  </w14:solidFill>
                </w14:textFill>
              </w:rPr>
            </w:pPr>
          </w:p>
        </w:tc>
        <w:tc>
          <w:tcPr>
            <w:tcW w:w="932" w:type="pct"/>
            <w:vAlign w:val="center"/>
          </w:tcPr>
          <w:p w14:paraId="268A444B">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w:t>
            </w:r>
          </w:p>
        </w:tc>
        <w:tc>
          <w:tcPr>
            <w:tcW w:w="1221" w:type="pct"/>
            <w:vAlign w:val="center"/>
          </w:tcPr>
          <w:p w14:paraId="216AB954">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0.2</w:t>
            </w:r>
          </w:p>
        </w:tc>
        <w:tc>
          <w:tcPr>
            <w:tcW w:w="1758" w:type="pct"/>
            <w:vMerge w:val="continue"/>
            <w:vAlign w:val="center"/>
          </w:tcPr>
          <w:p w14:paraId="16549B51">
            <w:pPr>
              <w:adjustRightInd w:val="0"/>
              <w:jc w:val="center"/>
              <w:textAlignment w:val="baseline"/>
              <w:rPr>
                <w:color w:val="000000" w:themeColor="text1"/>
                <w:szCs w:val="21"/>
                <w14:textFill>
                  <w14:solidFill>
                    <w14:schemeClr w14:val="tx1"/>
                  </w14:solidFill>
                </w14:textFill>
              </w:rPr>
            </w:pPr>
          </w:p>
        </w:tc>
      </w:tr>
      <w:tr w14:paraId="1FDB89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vAlign w:val="center"/>
          </w:tcPr>
          <w:p w14:paraId="496822F9">
            <w:pPr>
              <w:jc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氨（NH</w:t>
            </w:r>
            <w:r>
              <w:rPr>
                <w:color w:val="000000" w:themeColor="text1"/>
                <w:kern w:val="0"/>
                <w:sz w:val="13"/>
                <w:szCs w:val="13"/>
                <w:lang w:bidi="ar"/>
                <w14:textFill>
                  <w14:solidFill>
                    <w14:schemeClr w14:val="tx1"/>
                  </w14:solidFill>
                </w14:textFill>
              </w:rPr>
              <w:t>3</w:t>
            </w:r>
            <w:r>
              <w:rPr>
                <w:color w:val="000000" w:themeColor="text1"/>
                <w:kern w:val="0"/>
                <w:szCs w:val="21"/>
                <w:lang w:bidi="ar"/>
                <w14:textFill>
                  <w14:solidFill>
                    <w14:schemeClr w14:val="tx1"/>
                  </w14:solidFill>
                </w14:textFill>
              </w:rPr>
              <w:t>）</w:t>
            </w:r>
          </w:p>
        </w:tc>
        <w:tc>
          <w:tcPr>
            <w:tcW w:w="932" w:type="pct"/>
            <w:vAlign w:val="center"/>
          </w:tcPr>
          <w:p w14:paraId="3B129335">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1小时平均</w:t>
            </w:r>
          </w:p>
        </w:tc>
        <w:tc>
          <w:tcPr>
            <w:tcW w:w="1221" w:type="pct"/>
            <w:vAlign w:val="center"/>
          </w:tcPr>
          <w:p w14:paraId="52A62F8B">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0.2</w:t>
            </w:r>
          </w:p>
        </w:tc>
        <w:tc>
          <w:tcPr>
            <w:tcW w:w="1758" w:type="pct"/>
            <w:vMerge w:val="restart"/>
            <w:vAlign w:val="center"/>
          </w:tcPr>
          <w:p w14:paraId="4C7AD8CA">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《环境影响评价技术导则 大气环境》（HJ2.2-2018）附录D</w:t>
            </w:r>
          </w:p>
        </w:tc>
      </w:tr>
      <w:tr w14:paraId="56F2BA1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1087" w:type="pct"/>
            <w:tcBorders>
              <w:bottom w:val="single" w:color="auto" w:sz="12" w:space="0"/>
            </w:tcBorders>
            <w:vAlign w:val="center"/>
          </w:tcPr>
          <w:p w14:paraId="44344F2D">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硫化氢（H</w:t>
            </w:r>
            <w:r>
              <w:rPr>
                <w:color w:val="000000" w:themeColor="text1"/>
                <w:kern w:val="0"/>
                <w:sz w:val="13"/>
                <w:szCs w:val="13"/>
                <w:lang w:bidi="ar"/>
                <w14:textFill>
                  <w14:solidFill>
                    <w14:schemeClr w14:val="tx1"/>
                  </w14:solidFill>
                </w14:textFill>
              </w:rPr>
              <w:t>2</w:t>
            </w:r>
            <w:r>
              <w:rPr>
                <w:color w:val="000000" w:themeColor="text1"/>
                <w:kern w:val="0"/>
                <w:szCs w:val="21"/>
                <w:lang w:bidi="ar"/>
                <w14:textFill>
                  <w14:solidFill>
                    <w14:schemeClr w14:val="tx1"/>
                  </w14:solidFill>
                </w14:textFill>
              </w:rPr>
              <w:t>S）</w:t>
            </w:r>
          </w:p>
        </w:tc>
        <w:tc>
          <w:tcPr>
            <w:tcW w:w="932" w:type="pct"/>
            <w:tcBorders>
              <w:bottom w:val="single" w:color="auto" w:sz="12" w:space="0"/>
            </w:tcBorders>
            <w:vAlign w:val="center"/>
          </w:tcPr>
          <w:p w14:paraId="25CE41BF">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1小时平均</w:t>
            </w:r>
          </w:p>
        </w:tc>
        <w:tc>
          <w:tcPr>
            <w:tcW w:w="1221" w:type="pct"/>
            <w:tcBorders>
              <w:bottom w:val="single" w:color="auto" w:sz="12" w:space="0"/>
            </w:tcBorders>
            <w:vAlign w:val="center"/>
          </w:tcPr>
          <w:p w14:paraId="74BD1267">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0.01</w:t>
            </w:r>
          </w:p>
        </w:tc>
        <w:tc>
          <w:tcPr>
            <w:tcW w:w="1758" w:type="pct"/>
            <w:vMerge w:val="continue"/>
            <w:tcBorders>
              <w:bottom w:val="single" w:color="auto" w:sz="12" w:space="0"/>
            </w:tcBorders>
            <w:vAlign w:val="center"/>
          </w:tcPr>
          <w:p w14:paraId="1477E757">
            <w:pPr>
              <w:adjustRightInd w:val="0"/>
              <w:jc w:val="center"/>
              <w:textAlignment w:val="baseline"/>
              <w:rPr>
                <w:color w:val="000000" w:themeColor="text1"/>
                <w:szCs w:val="21"/>
                <w14:textFill>
                  <w14:solidFill>
                    <w14:schemeClr w14:val="tx1"/>
                  </w14:solidFill>
                </w14:textFill>
              </w:rPr>
            </w:pPr>
          </w:p>
        </w:tc>
      </w:tr>
    </w:tbl>
    <w:p w14:paraId="3ACF4033">
      <w:pPr>
        <w:pStyle w:val="814"/>
        <w:tabs>
          <w:tab w:val="left" w:pos="0"/>
        </w:tabs>
        <w:snapToGrid w:val="0"/>
        <w:spacing w:line="240" w:lineRule="auto"/>
        <w:jc w:val="left"/>
        <w:rPr>
          <w:b/>
          <w:bCs/>
          <w:color w:val="000000" w:themeColor="text1"/>
          <w14:textFill>
            <w14:solidFill>
              <w14:schemeClr w14:val="tx1"/>
            </w14:solidFill>
          </w14:textFill>
        </w:rPr>
      </w:pPr>
    </w:p>
    <w:p w14:paraId="64793987">
      <w:pPr>
        <w:adjustRightIn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（2）地表水环境</w:t>
      </w:r>
    </w:p>
    <w:p w14:paraId="19A0EB87">
      <w:pPr>
        <w:adjustRightIn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项目周边</w:t>
      </w:r>
      <w:r>
        <w:rPr>
          <w:sz w:val="24"/>
        </w:rPr>
        <w:t>水体驷马河属于Ⅲ类水体</w:t>
      </w:r>
      <w:r>
        <w:rPr>
          <w:color w:val="000000" w:themeColor="text1"/>
          <w:sz w:val="24"/>
          <w14:textFill>
            <w14:solidFill>
              <w14:schemeClr w14:val="tx1"/>
            </w14:solidFill>
          </w14:textFill>
        </w:rPr>
        <w:t>，执行《地表水环境质量标准》（GB3838-2002）Ⅲ类水域标准。</w:t>
      </w:r>
    </w:p>
    <w:p w14:paraId="4D785AB5">
      <w:pPr>
        <w:pStyle w:val="814"/>
        <w:numPr>
          <w:ilvl w:val="0"/>
          <w:numId w:val="24"/>
        </w:numPr>
        <w:tabs>
          <w:tab w:val="left" w:pos="0"/>
        </w:tabs>
        <w:snapToGrid w:val="0"/>
        <w:spacing w:line="240" w:lineRule="auto"/>
        <w:rPr>
          <w:b/>
          <w:bCs/>
          <w:color w:val="000000" w:themeColor="text1"/>
          <w14:textFill>
            <w14:solidFill>
              <w14:schemeClr w14:val="tx1"/>
            </w14:solidFill>
          </w14:textFill>
        </w:rPr>
      </w:pPr>
      <w:r>
        <w:rPr>
          <w:b/>
          <w:bCs/>
          <w:color w:val="000000" w:themeColor="text1"/>
          <w14:textFill>
            <w14:solidFill>
              <w14:schemeClr w14:val="tx1"/>
            </w14:solidFill>
          </w14:textFill>
        </w:rPr>
        <w:t>地表水环境质量标准</w:t>
      </w:r>
    </w:p>
    <w:tbl>
      <w:tblPr>
        <w:tblStyle w:val="88"/>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2754"/>
        <w:gridCol w:w="1574"/>
        <w:gridCol w:w="1273"/>
        <w:gridCol w:w="2712"/>
      </w:tblGrid>
      <w:tr w14:paraId="2A5D64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blHeader/>
          <w:jc w:val="center"/>
        </w:trPr>
        <w:tc>
          <w:tcPr>
            <w:tcW w:w="2774" w:type="dxa"/>
            <w:tcBorders>
              <w:top w:val="single" w:color="auto" w:sz="12" w:space="0"/>
            </w:tcBorders>
            <w:vAlign w:val="center"/>
          </w:tcPr>
          <w:p w14:paraId="1D3CA23B">
            <w:pPr>
              <w:adjustRightInd w:val="0"/>
              <w:spacing w:line="240" w:lineRule="exact"/>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指标</w:t>
            </w:r>
          </w:p>
        </w:tc>
        <w:tc>
          <w:tcPr>
            <w:tcW w:w="1584" w:type="dxa"/>
            <w:tcBorders>
              <w:top w:val="single" w:color="auto" w:sz="12" w:space="0"/>
            </w:tcBorders>
            <w:vAlign w:val="center"/>
          </w:tcPr>
          <w:p w14:paraId="3A28680F">
            <w:pPr>
              <w:adjustRightInd w:val="0"/>
              <w:spacing w:line="240" w:lineRule="exact"/>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标准值</w:t>
            </w:r>
          </w:p>
        </w:tc>
        <w:tc>
          <w:tcPr>
            <w:tcW w:w="1281" w:type="dxa"/>
            <w:tcBorders>
              <w:top w:val="single" w:color="auto" w:sz="12" w:space="0"/>
            </w:tcBorders>
            <w:vAlign w:val="center"/>
          </w:tcPr>
          <w:p w14:paraId="3B2CCAE3">
            <w:pPr>
              <w:adjustRightInd w:val="0"/>
              <w:spacing w:line="240" w:lineRule="exact"/>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单位</w:t>
            </w:r>
          </w:p>
        </w:tc>
        <w:tc>
          <w:tcPr>
            <w:tcW w:w="2730" w:type="dxa"/>
            <w:tcBorders>
              <w:top w:val="single" w:color="auto" w:sz="12" w:space="0"/>
            </w:tcBorders>
            <w:vAlign w:val="center"/>
          </w:tcPr>
          <w:p w14:paraId="40702C39">
            <w:pPr>
              <w:adjustRightInd w:val="0"/>
              <w:spacing w:line="240" w:lineRule="exact"/>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依据</w:t>
            </w:r>
          </w:p>
        </w:tc>
      </w:tr>
      <w:tr w14:paraId="61D866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5BEBC56B">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pH</w:t>
            </w:r>
          </w:p>
        </w:tc>
        <w:tc>
          <w:tcPr>
            <w:tcW w:w="1584" w:type="dxa"/>
            <w:vAlign w:val="center"/>
          </w:tcPr>
          <w:p w14:paraId="7F0176C7">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6～9</w:t>
            </w:r>
          </w:p>
        </w:tc>
        <w:tc>
          <w:tcPr>
            <w:tcW w:w="1281" w:type="dxa"/>
            <w:vAlign w:val="center"/>
          </w:tcPr>
          <w:p w14:paraId="7636B97C">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无量纲</w:t>
            </w:r>
          </w:p>
        </w:tc>
        <w:tc>
          <w:tcPr>
            <w:tcW w:w="2730" w:type="dxa"/>
            <w:vMerge w:val="restart"/>
            <w:vAlign w:val="center"/>
          </w:tcPr>
          <w:p w14:paraId="2C76BA5E">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《地表水环境质量标准》（GB3838-2002）Ⅲ类标准</w:t>
            </w:r>
          </w:p>
        </w:tc>
      </w:tr>
      <w:tr w14:paraId="7637EA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45DDC82D">
            <w:pPr>
              <w:adjustRightInd w:val="0"/>
              <w:spacing w:line="240" w:lineRule="exact"/>
              <w:jc w:val="center"/>
              <w:textAlignment w:val="baseline"/>
              <w:rPr>
                <w:color w:val="000000" w:themeColor="text1"/>
                <w:szCs w:val="21"/>
                <w:vertAlign w:val="subscript"/>
                <w14:textFill>
                  <w14:solidFill>
                    <w14:schemeClr w14:val="tx1"/>
                  </w14:solidFill>
                </w14:textFill>
              </w:rPr>
            </w:pPr>
            <w:r>
              <w:rPr>
                <w:color w:val="000000" w:themeColor="text1"/>
                <w:szCs w:val="21"/>
                <w14:textFill>
                  <w14:solidFill>
                    <w14:schemeClr w14:val="tx1"/>
                  </w14:solidFill>
                </w14:textFill>
              </w:rPr>
              <w:t>BOD</w:t>
            </w:r>
            <w:r>
              <w:rPr>
                <w:color w:val="000000" w:themeColor="text1"/>
                <w:szCs w:val="21"/>
                <w:vertAlign w:val="subscript"/>
                <w14:textFill>
                  <w14:solidFill>
                    <w14:schemeClr w14:val="tx1"/>
                  </w14:solidFill>
                </w14:textFill>
              </w:rPr>
              <w:t>5</w:t>
            </w:r>
          </w:p>
        </w:tc>
        <w:tc>
          <w:tcPr>
            <w:tcW w:w="1584" w:type="dxa"/>
            <w:vAlign w:val="center"/>
          </w:tcPr>
          <w:p w14:paraId="68552DC1">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281" w:type="dxa"/>
            <w:vAlign w:val="center"/>
          </w:tcPr>
          <w:p w14:paraId="26C922ED">
            <w:pPr>
              <w:adjustRightInd w:val="0"/>
              <w:spacing w:line="312" w:lineRule="atLeas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0D4DA176">
            <w:pPr>
              <w:adjustRightInd w:val="0"/>
              <w:spacing w:line="240" w:lineRule="exact"/>
              <w:jc w:val="center"/>
              <w:textAlignment w:val="baseline"/>
              <w:rPr>
                <w:color w:val="000000" w:themeColor="text1"/>
                <w:szCs w:val="21"/>
                <w14:textFill>
                  <w14:solidFill>
                    <w14:schemeClr w14:val="tx1"/>
                  </w14:solidFill>
                </w14:textFill>
              </w:rPr>
            </w:pPr>
          </w:p>
        </w:tc>
      </w:tr>
      <w:tr w14:paraId="348820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5A32111C">
            <w:pPr>
              <w:adjustRightInd w:val="0"/>
              <w:spacing w:line="240" w:lineRule="exact"/>
              <w:jc w:val="center"/>
              <w:textAlignment w:val="baseline"/>
              <w:rPr>
                <w:color w:val="000000" w:themeColor="text1"/>
                <w:szCs w:val="21"/>
                <w:vertAlign w:val="subscript"/>
                <w14:textFill>
                  <w14:solidFill>
                    <w14:schemeClr w14:val="tx1"/>
                  </w14:solidFill>
                </w14:textFill>
              </w:rPr>
            </w:pPr>
            <w:r>
              <w:rPr>
                <w:color w:val="000000" w:themeColor="text1"/>
                <w:szCs w:val="21"/>
                <w14:textFill>
                  <w14:solidFill>
                    <w14:schemeClr w14:val="tx1"/>
                  </w14:solidFill>
                </w14:textFill>
              </w:rPr>
              <w:t>COD</w:t>
            </w:r>
          </w:p>
        </w:tc>
        <w:tc>
          <w:tcPr>
            <w:tcW w:w="1584" w:type="dxa"/>
            <w:vAlign w:val="center"/>
          </w:tcPr>
          <w:p w14:paraId="4DC75688">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c>
          <w:tcPr>
            <w:tcW w:w="1281" w:type="dxa"/>
            <w:vAlign w:val="center"/>
          </w:tcPr>
          <w:p w14:paraId="734F86CE">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4CF38026">
            <w:pPr>
              <w:adjustRightInd w:val="0"/>
              <w:spacing w:line="240" w:lineRule="exact"/>
              <w:jc w:val="center"/>
              <w:textAlignment w:val="baseline"/>
              <w:rPr>
                <w:color w:val="000000" w:themeColor="text1"/>
                <w:szCs w:val="21"/>
                <w14:textFill>
                  <w14:solidFill>
                    <w14:schemeClr w14:val="tx1"/>
                  </w14:solidFill>
                </w14:textFill>
              </w:rPr>
            </w:pPr>
          </w:p>
        </w:tc>
      </w:tr>
      <w:tr w14:paraId="66DB16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65586666">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NH</w:t>
            </w:r>
            <w:r>
              <w:rPr>
                <w:color w:val="000000" w:themeColor="text1"/>
                <w:szCs w:val="21"/>
                <w:vertAlign w:val="subscript"/>
                <w14:textFill>
                  <w14:solidFill>
                    <w14:schemeClr w14:val="tx1"/>
                  </w14:solidFill>
                </w14:textFill>
              </w:rPr>
              <w:t>3</w:t>
            </w:r>
            <w:r>
              <w:rPr>
                <w:color w:val="000000" w:themeColor="text1"/>
                <w:szCs w:val="21"/>
                <w14:textFill>
                  <w14:solidFill>
                    <w14:schemeClr w14:val="tx1"/>
                  </w14:solidFill>
                </w14:textFill>
              </w:rPr>
              <w:t>-N</w:t>
            </w:r>
          </w:p>
        </w:tc>
        <w:tc>
          <w:tcPr>
            <w:tcW w:w="1584" w:type="dxa"/>
            <w:vAlign w:val="center"/>
          </w:tcPr>
          <w:p w14:paraId="0B5D53D0">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1281" w:type="dxa"/>
            <w:vAlign w:val="center"/>
          </w:tcPr>
          <w:p w14:paraId="1665169A">
            <w:pPr>
              <w:adjustRightInd w:val="0"/>
              <w:spacing w:line="312" w:lineRule="atLeas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3F20C2B9">
            <w:pPr>
              <w:adjustRightInd w:val="0"/>
              <w:spacing w:line="240" w:lineRule="exact"/>
              <w:jc w:val="center"/>
              <w:textAlignment w:val="baseline"/>
              <w:rPr>
                <w:color w:val="000000" w:themeColor="text1"/>
                <w:szCs w:val="21"/>
                <w14:textFill>
                  <w14:solidFill>
                    <w14:schemeClr w14:val="tx1"/>
                  </w14:solidFill>
                </w14:textFill>
              </w:rPr>
            </w:pPr>
          </w:p>
        </w:tc>
      </w:tr>
      <w:tr w14:paraId="48A1EA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7DFD669A">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石油类</w:t>
            </w:r>
          </w:p>
        </w:tc>
        <w:tc>
          <w:tcPr>
            <w:tcW w:w="1584" w:type="dxa"/>
            <w:vAlign w:val="center"/>
          </w:tcPr>
          <w:p w14:paraId="7D562F68">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1281" w:type="dxa"/>
            <w:vAlign w:val="center"/>
          </w:tcPr>
          <w:p w14:paraId="6E65A695">
            <w:pPr>
              <w:adjustRightInd w:val="0"/>
              <w:spacing w:line="312" w:lineRule="atLeas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4CB4A16E">
            <w:pPr>
              <w:adjustRightInd w:val="0"/>
              <w:spacing w:line="240" w:lineRule="exact"/>
              <w:jc w:val="center"/>
              <w:textAlignment w:val="baseline"/>
              <w:rPr>
                <w:color w:val="000000" w:themeColor="text1"/>
                <w:szCs w:val="21"/>
                <w14:textFill>
                  <w14:solidFill>
                    <w14:schemeClr w14:val="tx1"/>
                  </w14:solidFill>
                </w14:textFill>
              </w:rPr>
            </w:pPr>
          </w:p>
        </w:tc>
      </w:tr>
      <w:tr w14:paraId="02F24A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06A1ABCC">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总磷</w:t>
            </w:r>
          </w:p>
        </w:tc>
        <w:tc>
          <w:tcPr>
            <w:tcW w:w="1584" w:type="dxa"/>
            <w:vAlign w:val="center"/>
          </w:tcPr>
          <w:p w14:paraId="034876B9">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≤0.2</w:t>
            </w:r>
          </w:p>
        </w:tc>
        <w:tc>
          <w:tcPr>
            <w:tcW w:w="1281" w:type="dxa"/>
            <w:vAlign w:val="center"/>
          </w:tcPr>
          <w:p w14:paraId="0DFF40DF">
            <w:pPr>
              <w:adjustRightInd w:val="0"/>
              <w:spacing w:line="312" w:lineRule="atLeas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14685E31">
            <w:pPr>
              <w:adjustRightInd w:val="0"/>
              <w:spacing w:line="240" w:lineRule="exact"/>
              <w:jc w:val="center"/>
              <w:textAlignment w:val="baseline"/>
              <w:rPr>
                <w:color w:val="000000" w:themeColor="text1"/>
                <w:szCs w:val="21"/>
                <w14:textFill>
                  <w14:solidFill>
                    <w14:schemeClr w14:val="tx1"/>
                  </w14:solidFill>
                </w14:textFill>
              </w:rPr>
            </w:pPr>
          </w:p>
        </w:tc>
      </w:tr>
      <w:tr w14:paraId="4E7B0A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2424D6C1">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粪大肠菌群</w:t>
            </w:r>
          </w:p>
        </w:tc>
        <w:tc>
          <w:tcPr>
            <w:tcW w:w="1584" w:type="dxa"/>
            <w:vAlign w:val="center"/>
          </w:tcPr>
          <w:p w14:paraId="344F77AB">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≤10000</w:t>
            </w:r>
          </w:p>
        </w:tc>
        <w:tc>
          <w:tcPr>
            <w:tcW w:w="1281" w:type="dxa"/>
            <w:vAlign w:val="center"/>
          </w:tcPr>
          <w:p w14:paraId="67AEA586">
            <w:pPr>
              <w:adjustRightInd w:val="0"/>
              <w:spacing w:line="312" w:lineRule="atLeas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个/L</w:t>
            </w:r>
          </w:p>
        </w:tc>
        <w:tc>
          <w:tcPr>
            <w:tcW w:w="2730" w:type="dxa"/>
            <w:vMerge w:val="continue"/>
            <w:vAlign w:val="center"/>
          </w:tcPr>
          <w:p w14:paraId="3210EDAE">
            <w:pPr>
              <w:adjustRightInd w:val="0"/>
              <w:spacing w:line="240" w:lineRule="exact"/>
              <w:jc w:val="center"/>
              <w:textAlignment w:val="baseline"/>
              <w:rPr>
                <w:color w:val="000000" w:themeColor="text1"/>
                <w:szCs w:val="21"/>
                <w14:textFill>
                  <w14:solidFill>
                    <w14:schemeClr w14:val="tx1"/>
                  </w14:solidFill>
                </w14:textFill>
              </w:rPr>
            </w:pPr>
          </w:p>
        </w:tc>
      </w:tr>
      <w:tr w14:paraId="3F7FC9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61506AA2">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总氮</w:t>
            </w:r>
          </w:p>
        </w:tc>
        <w:tc>
          <w:tcPr>
            <w:tcW w:w="1584" w:type="dxa"/>
            <w:vAlign w:val="center"/>
          </w:tcPr>
          <w:p w14:paraId="6517B785">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1281" w:type="dxa"/>
            <w:vAlign w:val="center"/>
          </w:tcPr>
          <w:p w14:paraId="59E84E05">
            <w:pPr>
              <w:adjustRightInd w:val="0"/>
              <w:spacing w:line="312" w:lineRule="atLeas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4005F473">
            <w:pPr>
              <w:adjustRightInd w:val="0"/>
              <w:spacing w:line="240" w:lineRule="exact"/>
              <w:jc w:val="center"/>
              <w:textAlignment w:val="baseline"/>
              <w:rPr>
                <w:color w:val="000000" w:themeColor="text1"/>
                <w:szCs w:val="21"/>
                <w14:textFill>
                  <w14:solidFill>
                    <w14:schemeClr w14:val="tx1"/>
                  </w14:solidFill>
                </w14:textFill>
              </w:rPr>
            </w:pPr>
          </w:p>
        </w:tc>
      </w:tr>
      <w:tr w14:paraId="669AD9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245F38C9">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挥发酚</w:t>
            </w:r>
          </w:p>
        </w:tc>
        <w:tc>
          <w:tcPr>
            <w:tcW w:w="1584" w:type="dxa"/>
            <w:vAlign w:val="center"/>
          </w:tcPr>
          <w:p w14:paraId="741236DB">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≤0.005</w:t>
            </w:r>
          </w:p>
        </w:tc>
        <w:tc>
          <w:tcPr>
            <w:tcW w:w="1281" w:type="dxa"/>
            <w:vAlign w:val="center"/>
          </w:tcPr>
          <w:p w14:paraId="79CF6677">
            <w:pPr>
              <w:adjustRightInd w:val="0"/>
              <w:spacing w:line="312" w:lineRule="atLeas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249AEDA0">
            <w:pPr>
              <w:adjustRightInd w:val="0"/>
              <w:spacing w:line="240" w:lineRule="exact"/>
              <w:jc w:val="center"/>
              <w:textAlignment w:val="baseline"/>
              <w:rPr>
                <w:color w:val="000000" w:themeColor="text1"/>
                <w:szCs w:val="21"/>
                <w14:textFill>
                  <w14:solidFill>
                    <w14:schemeClr w14:val="tx1"/>
                  </w14:solidFill>
                </w14:textFill>
              </w:rPr>
            </w:pPr>
          </w:p>
        </w:tc>
      </w:tr>
      <w:tr w14:paraId="5FD4C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5D963307">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氰化物</w:t>
            </w:r>
          </w:p>
        </w:tc>
        <w:tc>
          <w:tcPr>
            <w:tcW w:w="1584" w:type="dxa"/>
            <w:vAlign w:val="center"/>
          </w:tcPr>
          <w:p w14:paraId="66306A3C">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≤0.2</w:t>
            </w:r>
          </w:p>
        </w:tc>
        <w:tc>
          <w:tcPr>
            <w:tcW w:w="1281" w:type="dxa"/>
          </w:tcPr>
          <w:p w14:paraId="6A685FB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412C6969">
            <w:pPr>
              <w:adjustRightInd w:val="0"/>
              <w:spacing w:line="240" w:lineRule="exact"/>
              <w:jc w:val="center"/>
              <w:textAlignment w:val="baseline"/>
              <w:rPr>
                <w:color w:val="000000" w:themeColor="text1"/>
                <w:szCs w:val="21"/>
                <w14:textFill>
                  <w14:solidFill>
                    <w14:schemeClr w14:val="tx1"/>
                  </w14:solidFill>
                </w14:textFill>
              </w:rPr>
            </w:pPr>
          </w:p>
        </w:tc>
      </w:tr>
      <w:tr w14:paraId="765657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00BCB436">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砷</w:t>
            </w:r>
          </w:p>
        </w:tc>
        <w:tc>
          <w:tcPr>
            <w:tcW w:w="1584" w:type="dxa"/>
            <w:vAlign w:val="center"/>
          </w:tcPr>
          <w:p w14:paraId="625A36A9">
            <w:pPr>
              <w:adjustRightInd w:val="0"/>
              <w:spacing w:line="240" w:lineRule="exact"/>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1281" w:type="dxa"/>
          </w:tcPr>
          <w:p w14:paraId="39EFD05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40181124">
            <w:pPr>
              <w:adjustRightInd w:val="0"/>
              <w:spacing w:line="240" w:lineRule="exact"/>
              <w:jc w:val="center"/>
              <w:textAlignment w:val="baseline"/>
              <w:rPr>
                <w:color w:val="000000" w:themeColor="text1"/>
                <w:szCs w:val="21"/>
                <w14:textFill>
                  <w14:solidFill>
                    <w14:schemeClr w14:val="tx1"/>
                  </w14:solidFill>
                </w14:textFill>
              </w:rPr>
            </w:pPr>
          </w:p>
        </w:tc>
      </w:tr>
      <w:tr w14:paraId="573073E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6971AAD4">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汞</w:t>
            </w:r>
          </w:p>
        </w:tc>
        <w:tc>
          <w:tcPr>
            <w:tcW w:w="1584" w:type="dxa"/>
          </w:tcPr>
          <w:p w14:paraId="48B382D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≤0.0001</w:t>
            </w:r>
          </w:p>
        </w:tc>
        <w:tc>
          <w:tcPr>
            <w:tcW w:w="1281" w:type="dxa"/>
          </w:tcPr>
          <w:p w14:paraId="29B0888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7472122E">
            <w:pPr>
              <w:adjustRightInd w:val="0"/>
              <w:spacing w:line="240" w:lineRule="exact"/>
              <w:jc w:val="center"/>
              <w:textAlignment w:val="baseline"/>
              <w:rPr>
                <w:color w:val="000000" w:themeColor="text1"/>
                <w:szCs w:val="21"/>
                <w14:textFill>
                  <w14:solidFill>
                    <w14:schemeClr w14:val="tx1"/>
                  </w14:solidFill>
                </w14:textFill>
              </w:rPr>
            </w:pPr>
          </w:p>
        </w:tc>
      </w:tr>
      <w:tr w14:paraId="5044810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vAlign w:val="center"/>
          </w:tcPr>
          <w:p w14:paraId="78DC7029">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铬（六价）</w:t>
            </w:r>
          </w:p>
        </w:tc>
        <w:tc>
          <w:tcPr>
            <w:tcW w:w="1584" w:type="dxa"/>
          </w:tcPr>
          <w:p w14:paraId="3BC7DB0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1281" w:type="dxa"/>
          </w:tcPr>
          <w:p w14:paraId="7D2A07A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vAlign w:val="center"/>
          </w:tcPr>
          <w:p w14:paraId="5075BF9B">
            <w:pPr>
              <w:adjustRightInd w:val="0"/>
              <w:spacing w:line="240" w:lineRule="exact"/>
              <w:jc w:val="center"/>
              <w:textAlignment w:val="baseline"/>
              <w:rPr>
                <w:color w:val="000000" w:themeColor="text1"/>
                <w:szCs w:val="21"/>
                <w14:textFill>
                  <w14:solidFill>
                    <w14:schemeClr w14:val="tx1"/>
                  </w14:solidFill>
                </w14:textFill>
              </w:rPr>
            </w:pPr>
          </w:p>
        </w:tc>
      </w:tr>
      <w:tr w14:paraId="591314B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2774" w:type="dxa"/>
            <w:tcBorders>
              <w:bottom w:val="single" w:color="auto" w:sz="12" w:space="0"/>
            </w:tcBorders>
            <w:vAlign w:val="center"/>
          </w:tcPr>
          <w:p w14:paraId="6F172D67">
            <w:pPr>
              <w:adjustRightInd w:val="0"/>
              <w:spacing w:line="24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硫化物</w:t>
            </w:r>
          </w:p>
        </w:tc>
        <w:tc>
          <w:tcPr>
            <w:tcW w:w="1584" w:type="dxa"/>
            <w:tcBorders>
              <w:bottom w:val="single" w:color="auto" w:sz="12" w:space="0"/>
            </w:tcBorders>
          </w:tcPr>
          <w:p w14:paraId="6735C14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1281" w:type="dxa"/>
            <w:tcBorders>
              <w:bottom w:val="single" w:color="auto" w:sz="12" w:space="0"/>
            </w:tcBorders>
          </w:tcPr>
          <w:p w14:paraId="14449A2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mg/L</w:t>
            </w:r>
          </w:p>
        </w:tc>
        <w:tc>
          <w:tcPr>
            <w:tcW w:w="2730" w:type="dxa"/>
            <w:vMerge w:val="continue"/>
            <w:tcBorders>
              <w:bottom w:val="single" w:color="auto" w:sz="12" w:space="0"/>
            </w:tcBorders>
            <w:vAlign w:val="center"/>
          </w:tcPr>
          <w:p w14:paraId="26DBCB4D">
            <w:pPr>
              <w:adjustRightInd w:val="0"/>
              <w:spacing w:line="240" w:lineRule="exact"/>
              <w:jc w:val="center"/>
              <w:textAlignment w:val="baseline"/>
              <w:rPr>
                <w:color w:val="000000" w:themeColor="text1"/>
                <w:szCs w:val="21"/>
                <w14:textFill>
                  <w14:solidFill>
                    <w14:schemeClr w14:val="tx1"/>
                  </w14:solidFill>
                </w14:textFill>
              </w:rPr>
            </w:pPr>
          </w:p>
        </w:tc>
      </w:tr>
    </w:tbl>
    <w:p w14:paraId="4C0EEF8C">
      <w:pPr>
        <w:adjustRightIn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（3）地下水环境</w:t>
      </w:r>
    </w:p>
    <w:p w14:paraId="7408AEBD">
      <w:pPr>
        <w:adjustRightIn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本项目所在区域地下水属于Ⅲ类水体，执行《地下水质量标准》（GB14848-2017）中Ⅲ类水域标准。</w:t>
      </w:r>
    </w:p>
    <w:p w14:paraId="0C24838C">
      <w:pPr>
        <w:pStyle w:val="814"/>
        <w:numPr>
          <w:ilvl w:val="0"/>
          <w:numId w:val="24"/>
        </w:numPr>
        <w:tabs>
          <w:tab w:val="left" w:pos="0"/>
        </w:tabs>
        <w:snapToGrid w:val="0"/>
        <w:spacing w:line="240" w:lineRule="auto"/>
        <w:rPr>
          <w:b/>
          <w:bCs/>
          <w:color w:val="000000" w:themeColor="text1"/>
          <w14:textFill>
            <w14:solidFill>
              <w14:schemeClr w14:val="tx1"/>
            </w14:solidFill>
          </w14:textFill>
        </w:rPr>
      </w:pPr>
      <w:r>
        <w:rPr>
          <w:b/>
          <w:bCs/>
          <w:color w:val="000000" w:themeColor="text1"/>
          <w14:textFill>
            <w14:solidFill>
              <w14:schemeClr w14:val="tx1"/>
            </w14:solidFill>
          </w14:textFill>
        </w:rPr>
        <w:t>地下水质量标准</w:t>
      </w:r>
    </w:p>
    <w:tbl>
      <w:tblPr>
        <w:tblStyle w:val="88"/>
        <w:tblW w:w="4984"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465"/>
        <w:gridCol w:w="1970"/>
        <w:gridCol w:w="2399"/>
        <w:gridCol w:w="2452"/>
      </w:tblGrid>
      <w:tr w14:paraId="5B173B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tcBorders>
              <w:top w:val="single" w:color="auto" w:sz="12" w:space="0"/>
            </w:tcBorders>
            <w:vAlign w:val="center"/>
          </w:tcPr>
          <w:p w14:paraId="6FD74123">
            <w:pPr>
              <w:adjustRightInd w:val="0"/>
              <w:snapToGrid w:val="0"/>
              <w:jc w:val="center"/>
              <w:textAlignment w:val="baseline"/>
              <w:rPr>
                <w:b/>
                <w:color w:val="000000" w:themeColor="text1"/>
                <w:szCs w:val="20"/>
                <w14:textFill>
                  <w14:solidFill>
                    <w14:schemeClr w14:val="tx1"/>
                  </w14:solidFill>
                </w14:textFill>
              </w:rPr>
            </w:pPr>
            <w:r>
              <w:rPr>
                <w:b/>
                <w:color w:val="000000" w:themeColor="text1"/>
                <w:szCs w:val="20"/>
                <w14:textFill>
                  <w14:solidFill>
                    <w14:schemeClr w14:val="tx1"/>
                  </w14:solidFill>
                </w14:textFill>
              </w:rPr>
              <w:t>序号</w:t>
            </w:r>
          </w:p>
        </w:tc>
        <w:tc>
          <w:tcPr>
            <w:tcW w:w="2096" w:type="dxa"/>
            <w:tcBorders>
              <w:top w:val="single" w:color="auto" w:sz="12" w:space="0"/>
            </w:tcBorders>
            <w:vAlign w:val="center"/>
          </w:tcPr>
          <w:p w14:paraId="2FEACD28">
            <w:pPr>
              <w:adjustRightInd w:val="0"/>
              <w:snapToGrid w:val="0"/>
              <w:jc w:val="center"/>
              <w:textAlignment w:val="baseline"/>
              <w:rPr>
                <w:b/>
                <w:color w:val="000000" w:themeColor="text1"/>
                <w:szCs w:val="20"/>
                <w14:textFill>
                  <w14:solidFill>
                    <w14:schemeClr w14:val="tx1"/>
                  </w14:solidFill>
                </w14:textFill>
              </w:rPr>
            </w:pPr>
            <w:r>
              <w:rPr>
                <w:b/>
                <w:color w:val="000000" w:themeColor="text1"/>
                <w:szCs w:val="20"/>
                <w14:textFill>
                  <w14:solidFill>
                    <w14:schemeClr w14:val="tx1"/>
                  </w14:solidFill>
                </w14:textFill>
              </w:rPr>
              <w:t>指标</w:t>
            </w:r>
          </w:p>
        </w:tc>
        <w:tc>
          <w:tcPr>
            <w:tcW w:w="2553" w:type="dxa"/>
            <w:tcBorders>
              <w:top w:val="single" w:color="auto" w:sz="12" w:space="0"/>
            </w:tcBorders>
            <w:vAlign w:val="center"/>
          </w:tcPr>
          <w:p w14:paraId="5DCD51AB">
            <w:pPr>
              <w:adjustRightInd w:val="0"/>
              <w:snapToGrid w:val="0"/>
              <w:jc w:val="center"/>
              <w:textAlignment w:val="baseline"/>
              <w:rPr>
                <w:b/>
                <w:color w:val="000000" w:themeColor="text1"/>
                <w:szCs w:val="20"/>
                <w14:textFill>
                  <w14:solidFill>
                    <w14:schemeClr w14:val="tx1"/>
                  </w14:solidFill>
                </w14:textFill>
              </w:rPr>
            </w:pPr>
            <w:r>
              <w:rPr>
                <w:b/>
                <w:color w:val="000000" w:themeColor="text1"/>
                <w:szCs w:val="20"/>
                <w14:textFill>
                  <w14:solidFill>
                    <w14:schemeClr w14:val="tx1"/>
                  </w14:solidFill>
                </w14:textFill>
              </w:rPr>
              <w:t>标准值（</w:t>
            </w:r>
            <w:r>
              <w:rPr>
                <w:color w:val="000000" w:themeColor="text1"/>
                <w:szCs w:val="20"/>
                <w14:textFill>
                  <w14:solidFill>
                    <w14:schemeClr w14:val="tx1"/>
                  </w14:solidFill>
                </w14:textFill>
              </w:rPr>
              <w:t>mg/L）</w:t>
            </w:r>
          </w:p>
        </w:tc>
        <w:tc>
          <w:tcPr>
            <w:tcW w:w="2610" w:type="dxa"/>
            <w:tcBorders>
              <w:top w:val="single" w:color="auto" w:sz="12" w:space="0"/>
            </w:tcBorders>
            <w:vAlign w:val="center"/>
          </w:tcPr>
          <w:p w14:paraId="28C2FAAB">
            <w:pPr>
              <w:adjustRightInd w:val="0"/>
              <w:snapToGrid w:val="0"/>
              <w:jc w:val="center"/>
              <w:textAlignment w:val="baseline"/>
              <w:rPr>
                <w:b/>
                <w:color w:val="000000" w:themeColor="text1"/>
                <w:szCs w:val="20"/>
                <w14:textFill>
                  <w14:solidFill>
                    <w14:schemeClr w14:val="tx1"/>
                  </w14:solidFill>
                </w14:textFill>
              </w:rPr>
            </w:pPr>
            <w:r>
              <w:rPr>
                <w:b/>
                <w:color w:val="000000" w:themeColor="text1"/>
                <w:szCs w:val="20"/>
                <w14:textFill>
                  <w14:solidFill>
                    <w14:schemeClr w14:val="tx1"/>
                  </w14:solidFill>
                </w14:textFill>
              </w:rPr>
              <w:t>依据</w:t>
            </w:r>
          </w:p>
        </w:tc>
      </w:tr>
      <w:tr w14:paraId="7AA2DEE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25404B4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2096" w:type="dxa"/>
            <w:vAlign w:val="center"/>
          </w:tcPr>
          <w:p w14:paraId="2E9453B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pH值</w:t>
            </w:r>
          </w:p>
        </w:tc>
        <w:tc>
          <w:tcPr>
            <w:tcW w:w="2553" w:type="dxa"/>
            <w:vAlign w:val="center"/>
          </w:tcPr>
          <w:p w14:paraId="0B5D199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6.5~8.5</w:t>
            </w:r>
          </w:p>
        </w:tc>
        <w:tc>
          <w:tcPr>
            <w:tcW w:w="2610" w:type="dxa"/>
            <w:vMerge w:val="restart"/>
            <w:vAlign w:val="center"/>
          </w:tcPr>
          <w:p w14:paraId="0DAB2B25">
            <w:pPr>
              <w:adjustRightInd w:val="0"/>
              <w:snapToGrid w:val="0"/>
              <w:jc w:val="center"/>
              <w:textAlignment w:val="baseline"/>
              <w:rPr>
                <w:color w:val="000000" w:themeColor="text1"/>
                <w:szCs w:val="20"/>
                <w14:textFill>
                  <w14:solidFill>
                    <w14:schemeClr w14:val="tx1"/>
                  </w14:solidFill>
                </w14:textFill>
              </w:rPr>
            </w:pPr>
            <w:r>
              <w:rPr>
                <w:color w:val="000000" w:themeColor="text1"/>
                <w:szCs w:val="20"/>
                <w14:textFill>
                  <w14:solidFill>
                    <w14:schemeClr w14:val="tx1"/>
                  </w14:solidFill>
                </w14:textFill>
              </w:rPr>
              <w:t>《地下水质量标准》(GB/T14848-2017)Ⅲ类标准</w:t>
            </w:r>
          </w:p>
        </w:tc>
      </w:tr>
      <w:tr w14:paraId="3253B18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554DB05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2096" w:type="dxa"/>
            <w:vAlign w:val="center"/>
          </w:tcPr>
          <w:p w14:paraId="2073AA0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色度</w:t>
            </w:r>
          </w:p>
        </w:tc>
        <w:tc>
          <w:tcPr>
            <w:tcW w:w="2553" w:type="dxa"/>
            <w:vAlign w:val="center"/>
          </w:tcPr>
          <w:p w14:paraId="104F1BB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w:t>
            </w:r>
          </w:p>
        </w:tc>
        <w:tc>
          <w:tcPr>
            <w:tcW w:w="2610" w:type="dxa"/>
            <w:vMerge w:val="continue"/>
            <w:vAlign w:val="center"/>
          </w:tcPr>
          <w:p w14:paraId="45E6623E">
            <w:pPr>
              <w:adjustRightInd w:val="0"/>
              <w:snapToGrid w:val="0"/>
              <w:jc w:val="center"/>
              <w:textAlignment w:val="baseline"/>
              <w:rPr>
                <w:color w:val="000000" w:themeColor="text1"/>
                <w:szCs w:val="20"/>
                <w14:textFill>
                  <w14:solidFill>
                    <w14:schemeClr w14:val="tx1"/>
                  </w14:solidFill>
                </w14:textFill>
              </w:rPr>
            </w:pPr>
          </w:p>
        </w:tc>
      </w:tr>
      <w:tr w14:paraId="1896CC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4FCF3D9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2096" w:type="dxa"/>
            <w:vAlign w:val="center"/>
          </w:tcPr>
          <w:p w14:paraId="5C79F19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氨氮</w:t>
            </w:r>
          </w:p>
        </w:tc>
        <w:tc>
          <w:tcPr>
            <w:tcW w:w="2553" w:type="dxa"/>
            <w:vAlign w:val="center"/>
          </w:tcPr>
          <w:p w14:paraId="4D3608B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≤0.5</w:t>
            </w:r>
          </w:p>
        </w:tc>
        <w:tc>
          <w:tcPr>
            <w:tcW w:w="2610" w:type="dxa"/>
            <w:vMerge w:val="continue"/>
            <w:vAlign w:val="center"/>
          </w:tcPr>
          <w:p w14:paraId="2CFA4787">
            <w:pPr>
              <w:adjustRightInd w:val="0"/>
              <w:snapToGrid w:val="0"/>
              <w:jc w:val="center"/>
              <w:textAlignment w:val="baseline"/>
              <w:rPr>
                <w:color w:val="000000" w:themeColor="text1"/>
                <w:szCs w:val="20"/>
                <w14:textFill>
                  <w14:solidFill>
                    <w14:schemeClr w14:val="tx1"/>
                  </w14:solidFill>
                </w14:textFill>
              </w:rPr>
            </w:pPr>
          </w:p>
        </w:tc>
      </w:tr>
      <w:tr w14:paraId="3FE09B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6C20D4E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2096" w:type="dxa"/>
            <w:vAlign w:val="center"/>
          </w:tcPr>
          <w:p w14:paraId="4294FC2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硝酸盐</w:t>
            </w:r>
          </w:p>
        </w:tc>
        <w:tc>
          <w:tcPr>
            <w:tcW w:w="2553" w:type="dxa"/>
            <w:vAlign w:val="center"/>
          </w:tcPr>
          <w:p w14:paraId="689B758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c>
          <w:tcPr>
            <w:tcW w:w="2610" w:type="dxa"/>
            <w:vMerge w:val="continue"/>
            <w:vAlign w:val="center"/>
          </w:tcPr>
          <w:p w14:paraId="2EF9CAAA">
            <w:pPr>
              <w:adjustRightInd w:val="0"/>
              <w:snapToGrid w:val="0"/>
              <w:jc w:val="center"/>
              <w:textAlignment w:val="baseline"/>
              <w:rPr>
                <w:color w:val="000000" w:themeColor="text1"/>
                <w:szCs w:val="20"/>
                <w14:textFill>
                  <w14:solidFill>
                    <w14:schemeClr w14:val="tx1"/>
                  </w14:solidFill>
                </w14:textFill>
              </w:rPr>
            </w:pPr>
          </w:p>
        </w:tc>
      </w:tr>
      <w:tr w14:paraId="035487D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26C6ACB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2096" w:type="dxa"/>
            <w:vAlign w:val="center"/>
          </w:tcPr>
          <w:p w14:paraId="2EDDCC9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亚硝酸盐</w:t>
            </w:r>
          </w:p>
        </w:tc>
        <w:tc>
          <w:tcPr>
            <w:tcW w:w="2553" w:type="dxa"/>
            <w:vAlign w:val="center"/>
          </w:tcPr>
          <w:p w14:paraId="0DFF89D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2610" w:type="dxa"/>
            <w:vMerge w:val="continue"/>
            <w:vAlign w:val="center"/>
          </w:tcPr>
          <w:p w14:paraId="1F57B8AD">
            <w:pPr>
              <w:adjustRightInd w:val="0"/>
              <w:snapToGrid w:val="0"/>
              <w:jc w:val="center"/>
              <w:textAlignment w:val="baseline"/>
              <w:rPr>
                <w:color w:val="000000" w:themeColor="text1"/>
                <w:szCs w:val="20"/>
                <w14:textFill>
                  <w14:solidFill>
                    <w14:schemeClr w14:val="tx1"/>
                  </w14:solidFill>
                </w14:textFill>
              </w:rPr>
            </w:pPr>
          </w:p>
        </w:tc>
      </w:tr>
      <w:tr w14:paraId="1F7763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5CEBDF0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p>
        </w:tc>
        <w:tc>
          <w:tcPr>
            <w:tcW w:w="2096" w:type="dxa"/>
            <w:vAlign w:val="center"/>
          </w:tcPr>
          <w:p w14:paraId="5FD8EC6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氟化物</w:t>
            </w:r>
          </w:p>
        </w:tc>
        <w:tc>
          <w:tcPr>
            <w:tcW w:w="2553" w:type="dxa"/>
            <w:vAlign w:val="center"/>
          </w:tcPr>
          <w:p w14:paraId="1FF25E3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2610" w:type="dxa"/>
            <w:vMerge w:val="continue"/>
            <w:vAlign w:val="center"/>
          </w:tcPr>
          <w:p w14:paraId="30148D24">
            <w:pPr>
              <w:adjustRightInd w:val="0"/>
              <w:snapToGrid w:val="0"/>
              <w:jc w:val="center"/>
              <w:textAlignment w:val="baseline"/>
              <w:rPr>
                <w:color w:val="000000" w:themeColor="text1"/>
                <w:szCs w:val="20"/>
                <w14:textFill>
                  <w14:solidFill>
                    <w14:schemeClr w14:val="tx1"/>
                  </w14:solidFill>
                </w14:textFill>
              </w:rPr>
            </w:pPr>
          </w:p>
        </w:tc>
      </w:tr>
      <w:tr w14:paraId="6518C5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4240C69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w:t>
            </w:r>
          </w:p>
        </w:tc>
        <w:tc>
          <w:tcPr>
            <w:tcW w:w="2096" w:type="dxa"/>
            <w:vAlign w:val="center"/>
          </w:tcPr>
          <w:p w14:paraId="4A0EC29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铁</w:t>
            </w:r>
          </w:p>
        </w:tc>
        <w:tc>
          <w:tcPr>
            <w:tcW w:w="2553" w:type="dxa"/>
            <w:vAlign w:val="center"/>
          </w:tcPr>
          <w:p w14:paraId="334B850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≤0.3</w:t>
            </w:r>
          </w:p>
        </w:tc>
        <w:tc>
          <w:tcPr>
            <w:tcW w:w="2610" w:type="dxa"/>
            <w:vMerge w:val="continue"/>
            <w:vAlign w:val="center"/>
          </w:tcPr>
          <w:p w14:paraId="733C2307">
            <w:pPr>
              <w:adjustRightInd w:val="0"/>
              <w:snapToGrid w:val="0"/>
              <w:jc w:val="center"/>
              <w:textAlignment w:val="baseline"/>
              <w:rPr>
                <w:color w:val="000000" w:themeColor="text1"/>
                <w:szCs w:val="20"/>
                <w14:textFill>
                  <w14:solidFill>
                    <w14:schemeClr w14:val="tx1"/>
                  </w14:solidFill>
                </w14:textFill>
              </w:rPr>
            </w:pPr>
          </w:p>
        </w:tc>
      </w:tr>
      <w:tr w14:paraId="038506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025F450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w:t>
            </w:r>
          </w:p>
        </w:tc>
        <w:tc>
          <w:tcPr>
            <w:tcW w:w="2096" w:type="dxa"/>
            <w:vAlign w:val="center"/>
          </w:tcPr>
          <w:p w14:paraId="1BE80E1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锰</w:t>
            </w:r>
          </w:p>
        </w:tc>
        <w:tc>
          <w:tcPr>
            <w:tcW w:w="2553" w:type="dxa"/>
            <w:vAlign w:val="center"/>
          </w:tcPr>
          <w:p w14:paraId="3071351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w:t>
            </w:r>
          </w:p>
        </w:tc>
        <w:tc>
          <w:tcPr>
            <w:tcW w:w="2610" w:type="dxa"/>
            <w:vMerge w:val="continue"/>
            <w:vAlign w:val="center"/>
          </w:tcPr>
          <w:p w14:paraId="020E8EB2">
            <w:pPr>
              <w:adjustRightInd w:val="0"/>
              <w:snapToGrid w:val="0"/>
              <w:jc w:val="center"/>
              <w:textAlignment w:val="baseline"/>
              <w:rPr>
                <w:color w:val="000000" w:themeColor="text1"/>
                <w:szCs w:val="20"/>
                <w14:textFill>
                  <w14:solidFill>
                    <w14:schemeClr w14:val="tx1"/>
                  </w14:solidFill>
                </w14:textFill>
              </w:rPr>
            </w:pPr>
          </w:p>
        </w:tc>
      </w:tr>
      <w:tr w14:paraId="347556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214D98F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w:t>
            </w:r>
          </w:p>
        </w:tc>
        <w:tc>
          <w:tcPr>
            <w:tcW w:w="2096" w:type="dxa"/>
            <w:vAlign w:val="center"/>
          </w:tcPr>
          <w:p w14:paraId="38F168A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六价铬</w:t>
            </w:r>
          </w:p>
        </w:tc>
        <w:tc>
          <w:tcPr>
            <w:tcW w:w="2553" w:type="dxa"/>
            <w:vAlign w:val="center"/>
          </w:tcPr>
          <w:p w14:paraId="2047A23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2610" w:type="dxa"/>
            <w:vMerge w:val="continue"/>
            <w:vAlign w:val="center"/>
          </w:tcPr>
          <w:p w14:paraId="772729A3">
            <w:pPr>
              <w:adjustRightInd w:val="0"/>
              <w:snapToGrid w:val="0"/>
              <w:jc w:val="center"/>
              <w:textAlignment w:val="baseline"/>
              <w:rPr>
                <w:color w:val="000000" w:themeColor="text1"/>
                <w:szCs w:val="20"/>
                <w14:textFill>
                  <w14:solidFill>
                    <w14:schemeClr w14:val="tx1"/>
                  </w14:solidFill>
                </w14:textFill>
              </w:rPr>
            </w:pPr>
          </w:p>
        </w:tc>
      </w:tr>
      <w:tr w14:paraId="2339503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14889D6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2096" w:type="dxa"/>
            <w:vAlign w:val="center"/>
          </w:tcPr>
          <w:p w14:paraId="580A4BA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铜</w:t>
            </w:r>
          </w:p>
        </w:tc>
        <w:tc>
          <w:tcPr>
            <w:tcW w:w="2553" w:type="dxa"/>
            <w:vAlign w:val="center"/>
          </w:tcPr>
          <w:p w14:paraId="1E0464F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2610" w:type="dxa"/>
            <w:vMerge w:val="continue"/>
            <w:vAlign w:val="center"/>
          </w:tcPr>
          <w:p w14:paraId="29A111EC">
            <w:pPr>
              <w:adjustRightInd w:val="0"/>
              <w:snapToGrid w:val="0"/>
              <w:jc w:val="center"/>
              <w:textAlignment w:val="baseline"/>
              <w:rPr>
                <w:color w:val="000000" w:themeColor="text1"/>
                <w:szCs w:val="20"/>
                <w14:textFill>
                  <w14:solidFill>
                    <w14:schemeClr w14:val="tx1"/>
                  </w14:solidFill>
                </w14:textFill>
              </w:rPr>
            </w:pPr>
          </w:p>
        </w:tc>
      </w:tr>
      <w:tr w14:paraId="619CEE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68C6504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w:t>
            </w:r>
          </w:p>
        </w:tc>
        <w:tc>
          <w:tcPr>
            <w:tcW w:w="2096" w:type="dxa"/>
            <w:vAlign w:val="center"/>
          </w:tcPr>
          <w:p w14:paraId="1B01890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铅</w:t>
            </w:r>
          </w:p>
        </w:tc>
        <w:tc>
          <w:tcPr>
            <w:tcW w:w="2553" w:type="dxa"/>
            <w:vAlign w:val="center"/>
          </w:tcPr>
          <w:p w14:paraId="24F2D35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≤0.01</w:t>
            </w:r>
          </w:p>
        </w:tc>
        <w:tc>
          <w:tcPr>
            <w:tcW w:w="2610" w:type="dxa"/>
            <w:vMerge w:val="continue"/>
            <w:vAlign w:val="center"/>
          </w:tcPr>
          <w:p w14:paraId="12A1BB59">
            <w:pPr>
              <w:adjustRightInd w:val="0"/>
              <w:snapToGrid w:val="0"/>
              <w:jc w:val="center"/>
              <w:textAlignment w:val="baseline"/>
              <w:rPr>
                <w:color w:val="000000" w:themeColor="text1"/>
                <w:szCs w:val="20"/>
                <w14:textFill>
                  <w14:solidFill>
                    <w14:schemeClr w14:val="tx1"/>
                  </w14:solidFill>
                </w14:textFill>
              </w:rPr>
            </w:pPr>
          </w:p>
        </w:tc>
      </w:tr>
      <w:tr w14:paraId="6F5E82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5C78209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2096" w:type="dxa"/>
            <w:vAlign w:val="center"/>
          </w:tcPr>
          <w:p w14:paraId="07870F6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锌</w:t>
            </w:r>
          </w:p>
        </w:tc>
        <w:tc>
          <w:tcPr>
            <w:tcW w:w="2553" w:type="dxa"/>
            <w:vAlign w:val="center"/>
          </w:tcPr>
          <w:p w14:paraId="6365E3D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2610" w:type="dxa"/>
            <w:vMerge w:val="continue"/>
            <w:vAlign w:val="center"/>
          </w:tcPr>
          <w:p w14:paraId="56E37724">
            <w:pPr>
              <w:adjustRightInd w:val="0"/>
              <w:snapToGrid w:val="0"/>
              <w:jc w:val="center"/>
              <w:textAlignment w:val="baseline"/>
              <w:rPr>
                <w:color w:val="000000" w:themeColor="text1"/>
                <w:szCs w:val="20"/>
                <w14:textFill>
                  <w14:solidFill>
                    <w14:schemeClr w14:val="tx1"/>
                  </w14:solidFill>
                </w14:textFill>
              </w:rPr>
            </w:pPr>
          </w:p>
        </w:tc>
      </w:tr>
      <w:tr w14:paraId="1F9F32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17BFAF4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13</w:t>
            </w:r>
          </w:p>
        </w:tc>
        <w:tc>
          <w:tcPr>
            <w:tcW w:w="2096" w:type="dxa"/>
            <w:vAlign w:val="center"/>
          </w:tcPr>
          <w:p w14:paraId="2FB4ECE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镉</w:t>
            </w:r>
          </w:p>
        </w:tc>
        <w:tc>
          <w:tcPr>
            <w:tcW w:w="2553" w:type="dxa"/>
            <w:vAlign w:val="center"/>
          </w:tcPr>
          <w:p w14:paraId="4AF1EC4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≤0.005</w:t>
            </w:r>
          </w:p>
        </w:tc>
        <w:tc>
          <w:tcPr>
            <w:tcW w:w="2610" w:type="dxa"/>
            <w:vMerge w:val="continue"/>
            <w:vAlign w:val="center"/>
          </w:tcPr>
          <w:p w14:paraId="3E034C9F">
            <w:pPr>
              <w:adjustRightInd w:val="0"/>
              <w:snapToGrid w:val="0"/>
              <w:jc w:val="center"/>
              <w:textAlignment w:val="baseline"/>
              <w:rPr>
                <w:color w:val="000000" w:themeColor="text1"/>
                <w:szCs w:val="20"/>
                <w14:textFill>
                  <w14:solidFill>
                    <w14:schemeClr w14:val="tx1"/>
                  </w14:solidFill>
                </w14:textFill>
              </w:rPr>
            </w:pPr>
          </w:p>
        </w:tc>
      </w:tr>
      <w:tr w14:paraId="0D82FF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vAlign w:val="center"/>
          </w:tcPr>
          <w:p w14:paraId="397071C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2096" w:type="dxa"/>
            <w:vAlign w:val="center"/>
          </w:tcPr>
          <w:p w14:paraId="29CAB3E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汞</w:t>
            </w:r>
          </w:p>
        </w:tc>
        <w:tc>
          <w:tcPr>
            <w:tcW w:w="2553" w:type="dxa"/>
            <w:vAlign w:val="center"/>
          </w:tcPr>
          <w:p w14:paraId="60650E2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≤0.001</w:t>
            </w:r>
          </w:p>
        </w:tc>
        <w:tc>
          <w:tcPr>
            <w:tcW w:w="2610" w:type="dxa"/>
            <w:vMerge w:val="continue"/>
            <w:vAlign w:val="center"/>
          </w:tcPr>
          <w:p w14:paraId="1FDD729F">
            <w:pPr>
              <w:adjustRightInd w:val="0"/>
              <w:snapToGrid w:val="0"/>
              <w:jc w:val="center"/>
              <w:textAlignment w:val="baseline"/>
              <w:rPr>
                <w:color w:val="000000" w:themeColor="text1"/>
                <w:szCs w:val="20"/>
                <w14:textFill>
                  <w14:solidFill>
                    <w14:schemeClr w14:val="tx1"/>
                  </w14:solidFill>
                </w14:textFill>
              </w:rPr>
            </w:pPr>
          </w:p>
        </w:tc>
      </w:tr>
      <w:tr w14:paraId="59C5BA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1556" w:type="dxa"/>
            <w:tcBorders>
              <w:bottom w:val="single" w:color="auto" w:sz="12" w:space="0"/>
            </w:tcBorders>
            <w:vAlign w:val="center"/>
          </w:tcPr>
          <w:p w14:paraId="75A0E97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w:t>
            </w:r>
          </w:p>
        </w:tc>
        <w:tc>
          <w:tcPr>
            <w:tcW w:w="2096" w:type="dxa"/>
            <w:tcBorders>
              <w:bottom w:val="single" w:color="auto" w:sz="12" w:space="0"/>
            </w:tcBorders>
            <w:vAlign w:val="center"/>
          </w:tcPr>
          <w:p w14:paraId="392A115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砷</w:t>
            </w:r>
          </w:p>
        </w:tc>
        <w:tc>
          <w:tcPr>
            <w:tcW w:w="2553" w:type="dxa"/>
            <w:tcBorders>
              <w:bottom w:val="single" w:color="auto" w:sz="12" w:space="0"/>
            </w:tcBorders>
            <w:vAlign w:val="center"/>
          </w:tcPr>
          <w:p w14:paraId="1DE8019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≤0.01</w:t>
            </w:r>
          </w:p>
        </w:tc>
        <w:tc>
          <w:tcPr>
            <w:tcW w:w="2610" w:type="dxa"/>
            <w:vMerge w:val="continue"/>
            <w:tcBorders>
              <w:bottom w:val="single" w:color="auto" w:sz="12" w:space="0"/>
            </w:tcBorders>
            <w:vAlign w:val="center"/>
          </w:tcPr>
          <w:p w14:paraId="689290B1">
            <w:pPr>
              <w:adjustRightInd w:val="0"/>
              <w:snapToGrid w:val="0"/>
              <w:jc w:val="center"/>
              <w:textAlignment w:val="baseline"/>
              <w:rPr>
                <w:color w:val="000000" w:themeColor="text1"/>
                <w:szCs w:val="20"/>
                <w14:textFill>
                  <w14:solidFill>
                    <w14:schemeClr w14:val="tx1"/>
                  </w14:solidFill>
                </w14:textFill>
              </w:rPr>
            </w:pPr>
          </w:p>
        </w:tc>
      </w:tr>
    </w:tbl>
    <w:p w14:paraId="117E95AF">
      <w:pPr>
        <w:adjustRightIn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（4）声环境</w:t>
      </w:r>
    </w:p>
    <w:p w14:paraId="404106B5">
      <w:pPr>
        <w:adjustRightIn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本项目位于2类声环境功能区，执行</w:t>
      </w:r>
      <w:bookmarkStart w:id="206" w:name="OLE_LINK21"/>
      <w:r>
        <w:rPr>
          <w:color w:val="000000" w:themeColor="text1"/>
          <w:sz w:val="24"/>
          <w14:textFill>
            <w14:solidFill>
              <w14:schemeClr w14:val="tx1"/>
            </w14:solidFill>
          </w14:textFill>
        </w:rPr>
        <w:t>《声环境质量标准》</w:t>
      </w:r>
      <w:bookmarkEnd w:id="206"/>
      <w:r>
        <w:rPr>
          <w:color w:val="000000" w:themeColor="text1"/>
          <w:sz w:val="24"/>
          <w14:textFill>
            <w14:solidFill>
              <w14:schemeClr w14:val="tx1"/>
            </w14:solidFill>
          </w14:textFill>
        </w:rPr>
        <w:t>（GB3096-2008）2类。</w:t>
      </w:r>
    </w:p>
    <w:p w14:paraId="57ECF5FB">
      <w:pPr>
        <w:pStyle w:val="814"/>
        <w:numPr>
          <w:ilvl w:val="0"/>
          <w:numId w:val="24"/>
        </w:numPr>
        <w:tabs>
          <w:tab w:val="left" w:pos="0"/>
        </w:tabs>
        <w:snapToGrid w:val="0"/>
        <w:spacing w:line="240" w:lineRule="auto"/>
        <w:rPr>
          <w:b/>
          <w:bCs/>
          <w:color w:val="000000" w:themeColor="text1"/>
          <w14:textFill>
            <w14:solidFill>
              <w14:schemeClr w14:val="tx1"/>
            </w14:solidFill>
          </w14:textFill>
        </w:rPr>
      </w:pPr>
      <w:r>
        <w:rPr>
          <w:b/>
          <w:bCs/>
          <w:color w:val="000000" w:themeColor="text1"/>
          <w14:textFill>
            <w14:solidFill>
              <w14:schemeClr w14:val="tx1"/>
            </w14:solidFill>
          </w14:textFill>
        </w:rPr>
        <w:t>声环境质量标准</w:t>
      </w:r>
    </w:p>
    <w:tbl>
      <w:tblPr>
        <w:tblStyle w:val="88"/>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2258"/>
        <w:gridCol w:w="1982"/>
        <w:gridCol w:w="4073"/>
      </w:tblGrid>
      <w:tr w14:paraId="586768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2550" w:type="pct"/>
            <w:gridSpan w:val="2"/>
            <w:tcBorders>
              <w:top w:val="single" w:color="auto" w:sz="12" w:space="0"/>
            </w:tcBorders>
            <w:vAlign w:val="center"/>
          </w:tcPr>
          <w:p w14:paraId="38A59026">
            <w:pPr>
              <w:adjustRightInd w:val="0"/>
              <w:jc w:val="center"/>
              <w:textAlignment w:val="baseline"/>
              <w:rPr>
                <w:b/>
                <w:color w:val="000000" w:themeColor="text1"/>
                <w:szCs w:val="20"/>
                <w14:textFill>
                  <w14:solidFill>
                    <w14:schemeClr w14:val="tx1"/>
                  </w14:solidFill>
                </w14:textFill>
              </w:rPr>
            </w:pPr>
            <w:r>
              <w:rPr>
                <w:b/>
                <w:color w:val="000000" w:themeColor="text1"/>
                <w:szCs w:val="20"/>
                <w14:textFill>
                  <w14:solidFill>
                    <w14:schemeClr w14:val="tx1"/>
                  </w14:solidFill>
                </w14:textFill>
              </w:rPr>
              <w:t>标准值(LeqdB(A))</w:t>
            </w:r>
          </w:p>
        </w:tc>
        <w:tc>
          <w:tcPr>
            <w:tcW w:w="2449" w:type="pct"/>
            <w:vMerge w:val="restart"/>
            <w:tcBorders>
              <w:top w:val="single" w:color="auto" w:sz="12" w:space="0"/>
            </w:tcBorders>
            <w:vAlign w:val="center"/>
          </w:tcPr>
          <w:p w14:paraId="4297E635">
            <w:pPr>
              <w:adjustRightInd w:val="0"/>
              <w:jc w:val="center"/>
              <w:textAlignment w:val="baseline"/>
              <w:rPr>
                <w:b/>
                <w:color w:val="000000" w:themeColor="text1"/>
                <w:szCs w:val="20"/>
                <w14:textFill>
                  <w14:solidFill>
                    <w14:schemeClr w14:val="tx1"/>
                  </w14:solidFill>
                </w14:textFill>
              </w:rPr>
            </w:pPr>
            <w:r>
              <w:rPr>
                <w:b/>
                <w:color w:val="000000" w:themeColor="text1"/>
                <w:szCs w:val="20"/>
                <w14:textFill>
                  <w14:solidFill>
                    <w14:schemeClr w14:val="tx1"/>
                  </w14:solidFill>
                </w14:textFill>
              </w:rPr>
              <w:t>依据</w:t>
            </w:r>
          </w:p>
        </w:tc>
      </w:tr>
      <w:tr w14:paraId="18B8529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358" w:type="pct"/>
            <w:vAlign w:val="center"/>
          </w:tcPr>
          <w:p w14:paraId="121C2503">
            <w:pPr>
              <w:adjustRightInd w:val="0"/>
              <w:jc w:val="center"/>
              <w:textAlignment w:val="baseline"/>
              <w:rPr>
                <w:b/>
                <w:color w:val="000000" w:themeColor="text1"/>
                <w:szCs w:val="20"/>
                <w14:textFill>
                  <w14:solidFill>
                    <w14:schemeClr w14:val="tx1"/>
                  </w14:solidFill>
                </w14:textFill>
              </w:rPr>
            </w:pPr>
            <w:r>
              <w:rPr>
                <w:b/>
                <w:color w:val="000000" w:themeColor="text1"/>
                <w:szCs w:val="20"/>
                <w14:textFill>
                  <w14:solidFill>
                    <w14:schemeClr w14:val="tx1"/>
                  </w14:solidFill>
                </w14:textFill>
              </w:rPr>
              <w:t>昼间</w:t>
            </w:r>
          </w:p>
        </w:tc>
        <w:tc>
          <w:tcPr>
            <w:tcW w:w="1191" w:type="pct"/>
            <w:vAlign w:val="center"/>
          </w:tcPr>
          <w:p w14:paraId="5CC49A69">
            <w:pPr>
              <w:adjustRightInd w:val="0"/>
              <w:jc w:val="center"/>
              <w:textAlignment w:val="baseline"/>
              <w:rPr>
                <w:b/>
                <w:color w:val="000000" w:themeColor="text1"/>
                <w:szCs w:val="20"/>
                <w14:textFill>
                  <w14:solidFill>
                    <w14:schemeClr w14:val="tx1"/>
                  </w14:solidFill>
                </w14:textFill>
              </w:rPr>
            </w:pPr>
            <w:r>
              <w:rPr>
                <w:b/>
                <w:color w:val="000000" w:themeColor="text1"/>
                <w:szCs w:val="20"/>
                <w14:textFill>
                  <w14:solidFill>
                    <w14:schemeClr w14:val="tx1"/>
                  </w14:solidFill>
                </w14:textFill>
              </w:rPr>
              <w:t>夜间</w:t>
            </w:r>
          </w:p>
        </w:tc>
        <w:tc>
          <w:tcPr>
            <w:tcW w:w="2449" w:type="pct"/>
            <w:vMerge w:val="continue"/>
            <w:vAlign w:val="center"/>
          </w:tcPr>
          <w:p w14:paraId="7D64A26E">
            <w:pPr>
              <w:adjustRightInd w:val="0"/>
              <w:jc w:val="center"/>
              <w:textAlignment w:val="baseline"/>
              <w:rPr>
                <w:color w:val="000000" w:themeColor="text1"/>
                <w:szCs w:val="20"/>
                <w14:textFill>
                  <w14:solidFill>
                    <w14:schemeClr w14:val="tx1"/>
                  </w14:solidFill>
                </w14:textFill>
              </w:rPr>
            </w:pPr>
          </w:p>
        </w:tc>
      </w:tr>
      <w:tr w14:paraId="08E73B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358" w:type="pct"/>
            <w:tcBorders>
              <w:bottom w:val="single" w:color="auto" w:sz="12" w:space="0"/>
            </w:tcBorders>
            <w:vAlign w:val="center"/>
          </w:tcPr>
          <w:p w14:paraId="72446136">
            <w:pPr>
              <w:adjustRightInd w:val="0"/>
              <w:jc w:val="center"/>
              <w:textAlignment w:val="baseline"/>
              <w:rPr>
                <w:color w:val="000000" w:themeColor="text1"/>
                <w:szCs w:val="20"/>
                <w14:textFill>
                  <w14:solidFill>
                    <w14:schemeClr w14:val="tx1"/>
                  </w14:solidFill>
                </w14:textFill>
              </w:rPr>
            </w:pPr>
            <w:r>
              <w:rPr>
                <w:color w:val="000000" w:themeColor="text1"/>
                <w:szCs w:val="20"/>
                <w14:textFill>
                  <w14:solidFill>
                    <w14:schemeClr w14:val="tx1"/>
                  </w14:solidFill>
                </w14:textFill>
              </w:rPr>
              <w:t>60</w:t>
            </w:r>
          </w:p>
        </w:tc>
        <w:tc>
          <w:tcPr>
            <w:tcW w:w="1191" w:type="pct"/>
            <w:tcBorders>
              <w:bottom w:val="single" w:color="auto" w:sz="12" w:space="0"/>
            </w:tcBorders>
            <w:vAlign w:val="center"/>
          </w:tcPr>
          <w:p w14:paraId="44523AF8">
            <w:pPr>
              <w:adjustRightInd w:val="0"/>
              <w:jc w:val="center"/>
              <w:textAlignment w:val="baseline"/>
              <w:rPr>
                <w:color w:val="000000" w:themeColor="text1"/>
                <w:szCs w:val="20"/>
                <w14:textFill>
                  <w14:solidFill>
                    <w14:schemeClr w14:val="tx1"/>
                  </w14:solidFill>
                </w14:textFill>
              </w:rPr>
            </w:pPr>
            <w:r>
              <w:rPr>
                <w:color w:val="000000" w:themeColor="text1"/>
                <w:szCs w:val="20"/>
                <w14:textFill>
                  <w14:solidFill>
                    <w14:schemeClr w14:val="tx1"/>
                  </w14:solidFill>
                </w14:textFill>
              </w:rPr>
              <w:t>50</w:t>
            </w:r>
          </w:p>
        </w:tc>
        <w:tc>
          <w:tcPr>
            <w:tcW w:w="2449" w:type="pct"/>
            <w:tcBorders>
              <w:bottom w:val="single" w:color="auto" w:sz="12" w:space="0"/>
            </w:tcBorders>
            <w:vAlign w:val="center"/>
          </w:tcPr>
          <w:p w14:paraId="21AD1ABB">
            <w:pPr>
              <w:adjustRightInd w:val="0"/>
              <w:jc w:val="center"/>
              <w:textAlignment w:val="baseline"/>
              <w:rPr>
                <w:color w:val="000000" w:themeColor="text1"/>
                <w:szCs w:val="20"/>
                <w14:textFill>
                  <w14:solidFill>
                    <w14:schemeClr w14:val="tx1"/>
                  </w14:solidFill>
                </w14:textFill>
              </w:rPr>
            </w:pPr>
            <w:r>
              <w:rPr>
                <w:color w:val="000000" w:themeColor="text1"/>
                <w:szCs w:val="20"/>
                <w14:textFill>
                  <w14:solidFill>
                    <w14:schemeClr w14:val="tx1"/>
                  </w14:solidFill>
                </w14:textFill>
              </w:rPr>
              <w:t>《声环境质量标准》（GB3096-2008）2类</w:t>
            </w:r>
          </w:p>
        </w:tc>
      </w:tr>
    </w:tbl>
    <w:p w14:paraId="29D7B188">
      <w:pPr>
        <w:adjustRightInd w:val="0"/>
        <w:spacing w:line="360" w:lineRule="auto"/>
        <w:ind w:firstLine="480" w:firstLineChars="200"/>
        <w:jc w:val="both"/>
        <w:textAlignment w:val="baseline"/>
        <w:rPr>
          <w:color w:val="000000" w:themeColor="text1"/>
          <w:sz w:val="24"/>
          <w14:textFill>
            <w14:solidFill>
              <w14:schemeClr w14:val="tx1"/>
            </w14:solidFill>
          </w14:textFill>
        </w:rPr>
      </w:pPr>
      <w:bookmarkStart w:id="207" w:name="_Toc40220649"/>
      <w:bookmarkStart w:id="208" w:name="_Toc21529542"/>
      <w:bookmarkStart w:id="209" w:name="_Toc28814571"/>
      <w:bookmarkStart w:id="210" w:name="_Toc27751087"/>
      <w:r>
        <w:rPr>
          <w:color w:val="000000" w:themeColor="text1"/>
          <w:sz w:val="24"/>
          <w14:textFill>
            <w14:solidFill>
              <w14:schemeClr w14:val="tx1"/>
            </w14:solidFill>
          </w14:textFill>
        </w:rPr>
        <w:t>（5）土壤环境质量标准</w:t>
      </w:r>
    </w:p>
    <w:p w14:paraId="52C26E3F">
      <w:pPr>
        <w:adjustRightIn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执行《土壤环境质量标准农用地土壤污染风险管控标准》（GB15618-2018）中相应限值</w:t>
      </w:r>
    </w:p>
    <w:p w14:paraId="080C3770">
      <w:pPr>
        <w:pStyle w:val="814"/>
        <w:numPr>
          <w:ilvl w:val="0"/>
          <w:numId w:val="24"/>
        </w:numPr>
        <w:tabs>
          <w:tab w:val="left" w:pos="0"/>
        </w:tabs>
        <w:snapToGrid w:val="0"/>
        <w:spacing w:line="240" w:lineRule="auto"/>
        <w:rPr>
          <w:b/>
          <w:bCs/>
          <w:color w:val="000000" w:themeColor="text1"/>
          <w14:textFill>
            <w14:solidFill>
              <w14:schemeClr w14:val="tx1"/>
            </w14:solidFill>
          </w14:textFill>
        </w:rPr>
      </w:pPr>
      <w:r>
        <w:rPr>
          <w:b/>
          <w:bCs/>
          <w:color w:val="000000" w:themeColor="text1"/>
          <w14:textFill>
            <w14:solidFill>
              <w14:schemeClr w14:val="tx1"/>
            </w14:solidFill>
          </w14:textFill>
        </w:rPr>
        <w:t xml:space="preserve">  农用地土壤污染风险筛选值（单位：mg/kg）</w:t>
      </w:r>
    </w:p>
    <w:p w14:paraId="57B78147">
      <w:pPr>
        <w:spacing w:line="21" w:lineRule="exact"/>
        <w:rPr>
          <w:color w:val="000000" w:themeColor="text1"/>
          <w14:textFill>
            <w14:solidFill>
              <w14:schemeClr w14:val="tx1"/>
            </w14:solidFill>
          </w14:textFill>
        </w:rPr>
      </w:pPr>
    </w:p>
    <w:tbl>
      <w:tblPr>
        <w:tblStyle w:val="1745"/>
        <w:tblW w:w="8141" w:type="dxa"/>
        <w:tblInd w:w="0"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739"/>
        <w:gridCol w:w="906"/>
        <w:gridCol w:w="1056"/>
        <w:gridCol w:w="1360"/>
        <w:gridCol w:w="1360"/>
        <w:gridCol w:w="1360"/>
        <w:gridCol w:w="1360"/>
      </w:tblGrid>
      <w:tr w14:paraId="772010C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739" w:type="dxa"/>
            <w:vMerge w:val="restart"/>
            <w:tcBorders>
              <w:tl2br w:val="nil"/>
              <w:tr2bl w:val="nil"/>
            </w:tcBorders>
            <w:vAlign w:val="center"/>
          </w:tcPr>
          <w:p w14:paraId="35E7667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6"/>
                <w:szCs w:val="21"/>
                <w:lang w:eastAsia="en-US"/>
                <w14:textFill>
                  <w14:solidFill>
                    <w14:schemeClr w14:val="tx1"/>
                  </w14:solidFill>
                </w14:textFill>
              </w:rPr>
              <w:t>序号</w:t>
            </w:r>
          </w:p>
        </w:tc>
        <w:tc>
          <w:tcPr>
            <w:tcW w:w="1962" w:type="dxa"/>
            <w:gridSpan w:val="2"/>
            <w:vMerge w:val="restart"/>
            <w:tcBorders>
              <w:tl2br w:val="nil"/>
              <w:tr2bl w:val="nil"/>
            </w:tcBorders>
            <w:vAlign w:val="center"/>
          </w:tcPr>
          <w:p w14:paraId="0952F61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3"/>
                <w:szCs w:val="21"/>
                <w:lang w:eastAsia="en-US"/>
                <w14:textFill>
                  <w14:solidFill>
                    <w14:schemeClr w14:val="tx1"/>
                  </w14:solidFill>
                </w14:textFill>
              </w:rPr>
              <w:t>污染物项目</w:t>
            </w:r>
            <w:r>
              <w:rPr>
                <w:rFonts w:hint="eastAsia" w:ascii="宋体" w:hAnsi="宋体" w:eastAsia="宋体" w:cs="宋体"/>
                <w:b/>
                <w:bCs/>
                <w:color w:val="000000" w:themeColor="text1"/>
                <w:spacing w:val="-3"/>
                <w:szCs w:val="21"/>
                <w:lang w:eastAsia="en-US"/>
                <w14:textFill>
                  <w14:solidFill>
                    <w14:schemeClr w14:val="tx1"/>
                  </w14:solidFill>
                </w14:textFill>
              </w:rPr>
              <w:t>①②</w:t>
            </w:r>
          </w:p>
        </w:tc>
        <w:tc>
          <w:tcPr>
            <w:tcW w:w="5440" w:type="dxa"/>
            <w:gridSpan w:val="4"/>
            <w:tcBorders>
              <w:tl2br w:val="nil"/>
              <w:tr2bl w:val="nil"/>
            </w:tcBorders>
            <w:vAlign w:val="center"/>
          </w:tcPr>
          <w:p w14:paraId="4EB7AAC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3"/>
                <w:szCs w:val="21"/>
                <w:lang w:eastAsia="en-US"/>
                <w14:textFill>
                  <w14:solidFill>
                    <w14:schemeClr w14:val="tx1"/>
                  </w14:solidFill>
                </w14:textFill>
              </w:rPr>
              <w:t>风险筛选值</w:t>
            </w:r>
          </w:p>
        </w:tc>
      </w:tr>
      <w:tr w14:paraId="2BD66F2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11" w:hRule="atLeast"/>
        </w:trPr>
        <w:tc>
          <w:tcPr>
            <w:tcW w:w="739" w:type="dxa"/>
            <w:vMerge w:val="continue"/>
            <w:tcBorders>
              <w:tl2br w:val="nil"/>
              <w:tr2bl w:val="nil"/>
            </w:tcBorders>
            <w:vAlign w:val="center"/>
          </w:tcPr>
          <w:p w14:paraId="2431674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962" w:type="dxa"/>
            <w:gridSpan w:val="2"/>
            <w:vMerge w:val="continue"/>
            <w:tcBorders>
              <w:tl2br w:val="nil"/>
              <w:tr2bl w:val="nil"/>
            </w:tcBorders>
            <w:vAlign w:val="center"/>
          </w:tcPr>
          <w:p w14:paraId="1653204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0" w:type="dxa"/>
            <w:tcBorders>
              <w:tl2br w:val="nil"/>
              <w:tr2bl w:val="nil"/>
            </w:tcBorders>
            <w:vAlign w:val="center"/>
          </w:tcPr>
          <w:p w14:paraId="0E09FA5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1"/>
                <w:szCs w:val="21"/>
                <w:lang w:eastAsia="en-US"/>
                <w14:textFill>
                  <w14:solidFill>
                    <w14:schemeClr w14:val="tx1"/>
                  </w14:solidFill>
                </w14:textFill>
              </w:rPr>
              <w:t>pH≤5.5</w:t>
            </w:r>
          </w:p>
        </w:tc>
        <w:tc>
          <w:tcPr>
            <w:tcW w:w="1360" w:type="dxa"/>
            <w:tcBorders>
              <w:tl2br w:val="nil"/>
              <w:tr2bl w:val="nil"/>
            </w:tcBorders>
            <w:vAlign w:val="center"/>
          </w:tcPr>
          <w:p w14:paraId="2FD5BE7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1"/>
                <w:szCs w:val="21"/>
                <w:lang w:eastAsia="en-US"/>
                <w14:textFill>
                  <w14:solidFill>
                    <w14:schemeClr w14:val="tx1"/>
                  </w14:solidFill>
                </w14:textFill>
              </w:rPr>
              <w:t>5.5&lt;pH≤6.5</w:t>
            </w:r>
          </w:p>
        </w:tc>
        <w:tc>
          <w:tcPr>
            <w:tcW w:w="1360" w:type="dxa"/>
            <w:tcBorders>
              <w:tl2br w:val="nil"/>
              <w:tr2bl w:val="nil"/>
            </w:tcBorders>
            <w:vAlign w:val="center"/>
          </w:tcPr>
          <w:p w14:paraId="35F7989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1"/>
                <w:szCs w:val="21"/>
                <w:lang w:eastAsia="en-US"/>
                <w14:textFill>
                  <w14:solidFill>
                    <w14:schemeClr w14:val="tx1"/>
                  </w14:solidFill>
                </w14:textFill>
              </w:rPr>
              <w:t>6.5&lt;pH≤7.5</w:t>
            </w:r>
          </w:p>
        </w:tc>
        <w:tc>
          <w:tcPr>
            <w:tcW w:w="1360" w:type="dxa"/>
            <w:tcBorders>
              <w:tl2br w:val="nil"/>
              <w:tr2bl w:val="nil"/>
            </w:tcBorders>
            <w:vAlign w:val="center"/>
          </w:tcPr>
          <w:p w14:paraId="76A4D04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1"/>
                <w:szCs w:val="21"/>
                <w:lang w:eastAsia="en-US"/>
                <w14:textFill>
                  <w14:solidFill>
                    <w14:schemeClr w14:val="tx1"/>
                  </w14:solidFill>
                </w14:textFill>
              </w:rPr>
              <w:t>pH&gt;7.5</w:t>
            </w:r>
          </w:p>
        </w:tc>
      </w:tr>
      <w:tr w14:paraId="079E80F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restart"/>
            <w:tcBorders>
              <w:tl2br w:val="nil"/>
              <w:tr2bl w:val="nil"/>
            </w:tcBorders>
            <w:vAlign w:val="center"/>
          </w:tcPr>
          <w:p w14:paraId="5C73430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1</w:t>
            </w:r>
          </w:p>
        </w:tc>
        <w:tc>
          <w:tcPr>
            <w:tcW w:w="906" w:type="dxa"/>
            <w:vMerge w:val="restart"/>
            <w:tcBorders>
              <w:tl2br w:val="nil"/>
              <w:tr2bl w:val="nil"/>
            </w:tcBorders>
            <w:vAlign w:val="center"/>
          </w:tcPr>
          <w:p w14:paraId="4CE0045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镉</w:t>
            </w:r>
          </w:p>
        </w:tc>
        <w:tc>
          <w:tcPr>
            <w:tcW w:w="1056" w:type="dxa"/>
            <w:tcBorders>
              <w:tl2br w:val="nil"/>
              <w:tr2bl w:val="nil"/>
            </w:tcBorders>
            <w:vAlign w:val="center"/>
          </w:tcPr>
          <w:p w14:paraId="491272E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水田</w:t>
            </w:r>
          </w:p>
        </w:tc>
        <w:tc>
          <w:tcPr>
            <w:tcW w:w="1360" w:type="dxa"/>
            <w:tcBorders>
              <w:tl2br w:val="nil"/>
              <w:tr2bl w:val="nil"/>
            </w:tcBorders>
            <w:vAlign w:val="center"/>
          </w:tcPr>
          <w:p w14:paraId="63CF4C8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0.3</w:t>
            </w:r>
          </w:p>
        </w:tc>
        <w:tc>
          <w:tcPr>
            <w:tcW w:w="1360" w:type="dxa"/>
            <w:tcBorders>
              <w:tl2br w:val="nil"/>
              <w:tr2bl w:val="nil"/>
            </w:tcBorders>
            <w:vAlign w:val="center"/>
          </w:tcPr>
          <w:p w14:paraId="22B7C8D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0.4</w:t>
            </w:r>
          </w:p>
        </w:tc>
        <w:tc>
          <w:tcPr>
            <w:tcW w:w="1360" w:type="dxa"/>
            <w:tcBorders>
              <w:tl2br w:val="nil"/>
              <w:tr2bl w:val="nil"/>
            </w:tcBorders>
            <w:vAlign w:val="center"/>
          </w:tcPr>
          <w:p w14:paraId="7FA1766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0.6</w:t>
            </w:r>
          </w:p>
        </w:tc>
        <w:tc>
          <w:tcPr>
            <w:tcW w:w="1360" w:type="dxa"/>
            <w:tcBorders>
              <w:tl2br w:val="nil"/>
              <w:tr2bl w:val="nil"/>
            </w:tcBorders>
            <w:vAlign w:val="center"/>
          </w:tcPr>
          <w:p w14:paraId="7047A55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0.8</w:t>
            </w:r>
          </w:p>
        </w:tc>
      </w:tr>
      <w:tr w14:paraId="334119A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continue"/>
            <w:tcBorders>
              <w:tl2br w:val="nil"/>
              <w:tr2bl w:val="nil"/>
            </w:tcBorders>
            <w:vAlign w:val="center"/>
          </w:tcPr>
          <w:p w14:paraId="66C6BB3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906" w:type="dxa"/>
            <w:vMerge w:val="continue"/>
            <w:tcBorders>
              <w:tl2br w:val="nil"/>
              <w:tr2bl w:val="nil"/>
            </w:tcBorders>
            <w:vAlign w:val="center"/>
          </w:tcPr>
          <w:p w14:paraId="71099A0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56" w:type="dxa"/>
            <w:tcBorders>
              <w:tl2br w:val="nil"/>
              <w:tr2bl w:val="nil"/>
            </w:tcBorders>
            <w:vAlign w:val="center"/>
          </w:tcPr>
          <w:p w14:paraId="1867D9D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其他</w:t>
            </w:r>
          </w:p>
        </w:tc>
        <w:tc>
          <w:tcPr>
            <w:tcW w:w="1360" w:type="dxa"/>
            <w:tcBorders>
              <w:tl2br w:val="nil"/>
              <w:tr2bl w:val="nil"/>
            </w:tcBorders>
            <w:vAlign w:val="center"/>
          </w:tcPr>
          <w:p w14:paraId="631CBCF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0.3</w:t>
            </w:r>
          </w:p>
        </w:tc>
        <w:tc>
          <w:tcPr>
            <w:tcW w:w="1360" w:type="dxa"/>
            <w:tcBorders>
              <w:tl2br w:val="nil"/>
              <w:tr2bl w:val="nil"/>
            </w:tcBorders>
            <w:vAlign w:val="center"/>
          </w:tcPr>
          <w:p w14:paraId="608AEC0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0.3</w:t>
            </w:r>
          </w:p>
        </w:tc>
        <w:tc>
          <w:tcPr>
            <w:tcW w:w="1360" w:type="dxa"/>
            <w:tcBorders>
              <w:tl2br w:val="nil"/>
              <w:tr2bl w:val="nil"/>
            </w:tcBorders>
            <w:vAlign w:val="center"/>
          </w:tcPr>
          <w:p w14:paraId="4C8CE81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0.3</w:t>
            </w:r>
          </w:p>
        </w:tc>
        <w:tc>
          <w:tcPr>
            <w:tcW w:w="1360" w:type="dxa"/>
            <w:tcBorders>
              <w:tl2br w:val="nil"/>
              <w:tr2bl w:val="nil"/>
            </w:tcBorders>
            <w:vAlign w:val="center"/>
          </w:tcPr>
          <w:p w14:paraId="54B15CC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0.6</w:t>
            </w:r>
          </w:p>
        </w:tc>
      </w:tr>
      <w:tr w14:paraId="70FE4FD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restart"/>
            <w:tcBorders>
              <w:tl2br w:val="nil"/>
              <w:tr2bl w:val="nil"/>
            </w:tcBorders>
            <w:vAlign w:val="center"/>
          </w:tcPr>
          <w:p w14:paraId="63811F6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2</w:t>
            </w:r>
          </w:p>
        </w:tc>
        <w:tc>
          <w:tcPr>
            <w:tcW w:w="906" w:type="dxa"/>
            <w:vMerge w:val="restart"/>
            <w:tcBorders>
              <w:tl2br w:val="nil"/>
              <w:tr2bl w:val="nil"/>
            </w:tcBorders>
            <w:vAlign w:val="center"/>
          </w:tcPr>
          <w:p w14:paraId="6B9FDF6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汞</w:t>
            </w:r>
          </w:p>
        </w:tc>
        <w:tc>
          <w:tcPr>
            <w:tcW w:w="1056" w:type="dxa"/>
            <w:tcBorders>
              <w:tl2br w:val="nil"/>
              <w:tr2bl w:val="nil"/>
            </w:tcBorders>
            <w:vAlign w:val="center"/>
          </w:tcPr>
          <w:p w14:paraId="6F49885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水田</w:t>
            </w:r>
          </w:p>
        </w:tc>
        <w:tc>
          <w:tcPr>
            <w:tcW w:w="1360" w:type="dxa"/>
            <w:tcBorders>
              <w:tl2br w:val="nil"/>
              <w:tr2bl w:val="nil"/>
            </w:tcBorders>
            <w:vAlign w:val="center"/>
          </w:tcPr>
          <w:p w14:paraId="72FF83D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0.5</w:t>
            </w:r>
          </w:p>
        </w:tc>
        <w:tc>
          <w:tcPr>
            <w:tcW w:w="1360" w:type="dxa"/>
            <w:tcBorders>
              <w:tl2br w:val="nil"/>
              <w:tr2bl w:val="nil"/>
            </w:tcBorders>
            <w:vAlign w:val="center"/>
          </w:tcPr>
          <w:p w14:paraId="4F717EA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0.5</w:t>
            </w:r>
          </w:p>
        </w:tc>
        <w:tc>
          <w:tcPr>
            <w:tcW w:w="1360" w:type="dxa"/>
            <w:tcBorders>
              <w:tl2br w:val="nil"/>
              <w:tr2bl w:val="nil"/>
            </w:tcBorders>
            <w:vAlign w:val="center"/>
          </w:tcPr>
          <w:p w14:paraId="5015E69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0.6</w:t>
            </w:r>
          </w:p>
        </w:tc>
        <w:tc>
          <w:tcPr>
            <w:tcW w:w="1360" w:type="dxa"/>
            <w:tcBorders>
              <w:tl2br w:val="nil"/>
              <w:tr2bl w:val="nil"/>
            </w:tcBorders>
            <w:vAlign w:val="center"/>
          </w:tcPr>
          <w:p w14:paraId="733C726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1.0</w:t>
            </w:r>
          </w:p>
        </w:tc>
      </w:tr>
      <w:tr w14:paraId="0CACC36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continue"/>
            <w:tcBorders>
              <w:tl2br w:val="nil"/>
              <w:tr2bl w:val="nil"/>
            </w:tcBorders>
            <w:vAlign w:val="center"/>
          </w:tcPr>
          <w:p w14:paraId="674A6E6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906" w:type="dxa"/>
            <w:vMerge w:val="continue"/>
            <w:tcBorders>
              <w:tl2br w:val="nil"/>
              <w:tr2bl w:val="nil"/>
            </w:tcBorders>
            <w:vAlign w:val="center"/>
          </w:tcPr>
          <w:p w14:paraId="2D7B652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56" w:type="dxa"/>
            <w:tcBorders>
              <w:tl2br w:val="nil"/>
              <w:tr2bl w:val="nil"/>
            </w:tcBorders>
            <w:vAlign w:val="center"/>
          </w:tcPr>
          <w:p w14:paraId="71E35D6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其他</w:t>
            </w:r>
          </w:p>
        </w:tc>
        <w:tc>
          <w:tcPr>
            <w:tcW w:w="1360" w:type="dxa"/>
            <w:tcBorders>
              <w:tl2br w:val="nil"/>
              <w:tr2bl w:val="nil"/>
            </w:tcBorders>
            <w:vAlign w:val="center"/>
          </w:tcPr>
          <w:p w14:paraId="3A8438E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1.3</w:t>
            </w:r>
          </w:p>
        </w:tc>
        <w:tc>
          <w:tcPr>
            <w:tcW w:w="1360" w:type="dxa"/>
            <w:tcBorders>
              <w:tl2br w:val="nil"/>
              <w:tr2bl w:val="nil"/>
            </w:tcBorders>
            <w:vAlign w:val="center"/>
          </w:tcPr>
          <w:p w14:paraId="7D86C33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1.8</w:t>
            </w:r>
          </w:p>
        </w:tc>
        <w:tc>
          <w:tcPr>
            <w:tcW w:w="1360" w:type="dxa"/>
            <w:tcBorders>
              <w:tl2br w:val="nil"/>
              <w:tr2bl w:val="nil"/>
            </w:tcBorders>
            <w:vAlign w:val="center"/>
          </w:tcPr>
          <w:p w14:paraId="35FBE6A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2.4</w:t>
            </w:r>
          </w:p>
        </w:tc>
        <w:tc>
          <w:tcPr>
            <w:tcW w:w="1360" w:type="dxa"/>
            <w:tcBorders>
              <w:tl2br w:val="nil"/>
              <w:tr2bl w:val="nil"/>
            </w:tcBorders>
            <w:vAlign w:val="center"/>
          </w:tcPr>
          <w:p w14:paraId="1BCC6E3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3.4</w:t>
            </w:r>
          </w:p>
        </w:tc>
      </w:tr>
      <w:tr w14:paraId="2634484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restart"/>
            <w:tcBorders>
              <w:tl2br w:val="nil"/>
              <w:tr2bl w:val="nil"/>
            </w:tcBorders>
            <w:vAlign w:val="center"/>
          </w:tcPr>
          <w:p w14:paraId="5AD1A36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3</w:t>
            </w:r>
          </w:p>
        </w:tc>
        <w:tc>
          <w:tcPr>
            <w:tcW w:w="906" w:type="dxa"/>
            <w:vMerge w:val="restart"/>
            <w:tcBorders>
              <w:tl2br w:val="nil"/>
              <w:tr2bl w:val="nil"/>
            </w:tcBorders>
            <w:vAlign w:val="center"/>
          </w:tcPr>
          <w:p w14:paraId="3775B35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砷</w:t>
            </w:r>
          </w:p>
        </w:tc>
        <w:tc>
          <w:tcPr>
            <w:tcW w:w="1056" w:type="dxa"/>
            <w:tcBorders>
              <w:tl2br w:val="nil"/>
              <w:tr2bl w:val="nil"/>
            </w:tcBorders>
            <w:vAlign w:val="center"/>
          </w:tcPr>
          <w:p w14:paraId="396D775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水田</w:t>
            </w:r>
          </w:p>
        </w:tc>
        <w:tc>
          <w:tcPr>
            <w:tcW w:w="1360" w:type="dxa"/>
            <w:tcBorders>
              <w:tl2br w:val="nil"/>
              <w:tr2bl w:val="nil"/>
            </w:tcBorders>
            <w:vAlign w:val="center"/>
          </w:tcPr>
          <w:p w14:paraId="3788AFB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30</w:t>
            </w:r>
          </w:p>
        </w:tc>
        <w:tc>
          <w:tcPr>
            <w:tcW w:w="1360" w:type="dxa"/>
            <w:tcBorders>
              <w:tl2br w:val="nil"/>
              <w:tr2bl w:val="nil"/>
            </w:tcBorders>
            <w:vAlign w:val="center"/>
          </w:tcPr>
          <w:p w14:paraId="11CA725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30</w:t>
            </w:r>
          </w:p>
        </w:tc>
        <w:tc>
          <w:tcPr>
            <w:tcW w:w="1360" w:type="dxa"/>
            <w:tcBorders>
              <w:tl2br w:val="nil"/>
              <w:tr2bl w:val="nil"/>
            </w:tcBorders>
            <w:vAlign w:val="center"/>
          </w:tcPr>
          <w:p w14:paraId="1E90A86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25</w:t>
            </w:r>
          </w:p>
        </w:tc>
        <w:tc>
          <w:tcPr>
            <w:tcW w:w="1360" w:type="dxa"/>
            <w:tcBorders>
              <w:tl2br w:val="nil"/>
              <w:tr2bl w:val="nil"/>
            </w:tcBorders>
            <w:vAlign w:val="center"/>
          </w:tcPr>
          <w:p w14:paraId="2E985CF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20</w:t>
            </w:r>
          </w:p>
        </w:tc>
      </w:tr>
      <w:tr w14:paraId="7C28F47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continue"/>
            <w:tcBorders>
              <w:tl2br w:val="nil"/>
              <w:tr2bl w:val="nil"/>
            </w:tcBorders>
            <w:vAlign w:val="center"/>
          </w:tcPr>
          <w:p w14:paraId="3EC4A02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906" w:type="dxa"/>
            <w:vMerge w:val="continue"/>
            <w:tcBorders>
              <w:tl2br w:val="nil"/>
              <w:tr2bl w:val="nil"/>
            </w:tcBorders>
            <w:vAlign w:val="center"/>
          </w:tcPr>
          <w:p w14:paraId="18400CE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56" w:type="dxa"/>
            <w:tcBorders>
              <w:tl2br w:val="nil"/>
              <w:tr2bl w:val="nil"/>
            </w:tcBorders>
            <w:vAlign w:val="center"/>
          </w:tcPr>
          <w:p w14:paraId="6C3A9CA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其他</w:t>
            </w:r>
          </w:p>
        </w:tc>
        <w:tc>
          <w:tcPr>
            <w:tcW w:w="1360" w:type="dxa"/>
            <w:tcBorders>
              <w:tl2br w:val="nil"/>
              <w:tr2bl w:val="nil"/>
            </w:tcBorders>
            <w:vAlign w:val="center"/>
          </w:tcPr>
          <w:p w14:paraId="1F98A41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40</w:t>
            </w:r>
          </w:p>
        </w:tc>
        <w:tc>
          <w:tcPr>
            <w:tcW w:w="1360" w:type="dxa"/>
            <w:tcBorders>
              <w:tl2br w:val="nil"/>
              <w:tr2bl w:val="nil"/>
            </w:tcBorders>
            <w:vAlign w:val="center"/>
          </w:tcPr>
          <w:p w14:paraId="3DDCA05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40</w:t>
            </w:r>
          </w:p>
        </w:tc>
        <w:tc>
          <w:tcPr>
            <w:tcW w:w="1360" w:type="dxa"/>
            <w:tcBorders>
              <w:tl2br w:val="nil"/>
              <w:tr2bl w:val="nil"/>
            </w:tcBorders>
            <w:vAlign w:val="center"/>
          </w:tcPr>
          <w:p w14:paraId="53FEE43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30</w:t>
            </w:r>
          </w:p>
        </w:tc>
        <w:tc>
          <w:tcPr>
            <w:tcW w:w="1360" w:type="dxa"/>
            <w:tcBorders>
              <w:tl2br w:val="nil"/>
              <w:tr2bl w:val="nil"/>
            </w:tcBorders>
            <w:vAlign w:val="center"/>
          </w:tcPr>
          <w:p w14:paraId="74870DC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25</w:t>
            </w:r>
          </w:p>
        </w:tc>
      </w:tr>
      <w:tr w14:paraId="68DF023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9" w:type="dxa"/>
            <w:vMerge w:val="restart"/>
            <w:tcBorders>
              <w:tl2br w:val="nil"/>
              <w:tr2bl w:val="nil"/>
            </w:tcBorders>
            <w:vAlign w:val="center"/>
          </w:tcPr>
          <w:p w14:paraId="4A37839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4</w:t>
            </w:r>
          </w:p>
        </w:tc>
        <w:tc>
          <w:tcPr>
            <w:tcW w:w="906" w:type="dxa"/>
            <w:vMerge w:val="restart"/>
            <w:tcBorders>
              <w:tl2br w:val="nil"/>
              <w:tr2bl w:val="nil"/>
            </w:tcBorders>
            <w:vAlign w:val="center"/>
          </w:tcPr>
          <w:p w14:paraId="4EC1577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铅</w:t>
            </w:r>
          </w:p>
        </w:tc>
        <w:tc>
          <w:tcPr>
            <w:tcW w:w="1056" w:type="dxa"/>
            <w:tcBorders>
              <w:tl2br w:val="nil"/>
              <w:tr2bl w:val="nil"/>
            </w:tcBorders>
            <w:vAlign w:val="center"/>
          </w:tcPr>
          <w:p w14:paraId="6A45F90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水田</w:t>
            </w:r>
          </w:p>
        </w:tc>
        <w:tc>
          <w:tcPr>
            <w:tcW w:w="1360" w:type="dxa"/>
            <w:tcBorders>
              <w:tl2br w:val="nil"/>
              <w:tr2bl w:val="nil"/>
            </w:tcBorders>
            <w:vAlign w:val="center"/>
          </w:tcPr>
          <w:p w14:paraId="196F583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80</w:t>
            </w:r>
          </w:p>
        </w:tc>
        <w:tc>
          <w:tcPr>
            <w:tcW w:w="1360" w:type="dxa"/>
            <w:tcBorders>
              <w:tl2br w:val="nil"/>
              <w:tr2bl w:val="nil"/>
            </w:tcBorders>
            <w:vAlign w:val="center"/>
          </w:tcPr>
          <w:p w14:paraId="5F98D5B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100</w:t>
            </w:r>
          </w:p>
        </w:tc>
        <w:tc>
          <w:tcPr>
            <w:tcW w:w="1360" w:type="dxa"/>
            <w:tcBorders>
              <w:tl2br w:val="nil"/>
              <w:tr2bl w:val="nil"/>
            </w:tcBorders>
            <w:vAlign w:val="center"/>
          </w:tcPr>
          <w:p w14:paraId="054B476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140</w:t>
            </w:r>
          </w:p>
        </w:tc>
        <w:tc>
          <w:tcPr>
            <w:tcW w:w="1360" w:type="dxa"/>
            <w:tcBorders>
              <w:tl2br w:val="nil"/>
              <w:tr2bl w:val="nil"/>
            </w:tcBorders>
            <w:vAlign w:val="center"/>
          </w:tcPr>
          <w:p w14:paraId="33FF6C0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240</w:t>
            </w:r>
          </w:p>
        </w:tc>
      </w:tr>
      <w:tr w14:paraId="42F4E7D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continue"/>
            <w:tcBorders>
              <w:tl2br w:val="nil"/>
              <w:tr2bl w:val="nil"/>
            </w:tcBorders>
            <w:vAlign w:val="center"/>
          </w:tcPr>
          <w:p w14:paraId="4E648CA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906" w:type="dxa"/>
            <w:vMerge w:val="continue"/>
            <w:tcBorders>
              <w:tl2br w:val="nil"/>
              <w:tr2bl w:val="nil"/>
            </w:tcBorders>
            <w:vAlign w:val="center"/>
          </w:tcPr>
          <w:p w14:paraId="02750E5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56" w:type="dxa"/>
            <w:tcBorders>
              <w:tl2br w:val="nil"/>
              <w:tr2bl w:val="nil"/>
            </w:tcBorders>
            <w:vAlign w:val="center"/>
          </w:tcPr>
          <w:p w14:paraId="5FB38BA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其他</w:t>
            </w:r>
          </w:p>
        </w:tc>
        <w:tc>
          <w:tcPr>
            <w:tcW w:w="1360" w:type="dxa"/>
            <w:tcBorders>
              <w:tl2br w:val="nil"/>
              <w:tr2bl w:val="nil"/>
            </w:tcBorders>
            <w:vAlign w:val="center"/>
          </w:tcPr>
          <w:p w14:paraId="0602398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70</w:t>
            </w:r>
          </w:p>
        </w:tc>
        <w:tc>
          <w:tcPr>
            <w:tcW w:w="1360" w:type="dxa"/>
            <w:tcBorders>
              <w:tl2br w:val="nil"/>
              <w:tr2bl w:val="nil"/>
            </w:tcBorders>
            <w:vAlign w:val="center"/>
          </w:tcPr>
          <w:p w14:paraId="1E66AE9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90</w:t>
            </w:r>
          </w:p>
        </w:tc>
        <w:tc>
          <w:tcPr>
            <w:tcW w:w="1360" w:type="dxa"/>
            <w:tcBorders>
              <w:tl2br w:val="nil"/>
              <w:tr2bl w:val="nil"/>
            </w:tcBorders>
            <w:vAlign w:val="center"/>
          </w:tcPr>
          <w:p w14:paraId="6443AA1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120</w:t>
            </w:r>
          </w:p>
        </w:tc>
        <w:tc>
          <w:tcPr>
            <w:tcW w:w="1360" w:type="dxa"/>
            <w:tcBorders>
              <w:tl2br w:val="nil"/>
              <w:tr2bl w:val="nil"/>
            </w:tcBorders>
            <w:vAlign w:val="center"/>
          </w:tcPr>
          <w:p w14:paraId="12E053A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170</w:t>
            </w:r>
          </w:p>
        </w:tc>
      </w:tr>
      <w:tr w14:paraId="28D6D28F">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restart"/>
            <w:tcBorders>
              <w:tl2br w:val="nil"/>
              <w:tr2bl w:val="nil"/>
            </w:tcBorders>
            <w:vAlign w:val="center"/>
          </w:tcPr>
          <w:p w14:paraId="486FA86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5</w:t>
            </w:r>
          </w:p>
        </w:tc>
        <w:tc>
          <w:tcPr>
            <w:tcW w:w="906" w:type="dxa"/>
            <w:vMerge w:val="restart"/>
            <w:tcBorders>
              <w:tl2br w:val="nil"/>
              <w:tr2bl w:val="nil"/>
            </w:tcBorders>
            <w:vAlign w:val="center"/>
          </w:tcPr>
          <w:p w14:paraId="7E9B79A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铬</w:t>
            </w:r>
          </w:p>
        </w:tc>
        <w:tc>
          <w:tcPr>
            <w:tcW w:w="1056" w:type="dxa"/>
            <w:tcBorders>
              <w:tl2br w:val="nil"/>
              <w:tr2bl w:val="nil"/>
            </w:tcBorders>
            <w:vAlign w:val="center"/>
          </w:tcPr>
          <w:p w14:paraId="2D9836B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水田</w:t>
            </w:r>
          </w:p>
        </w:tc>
        <w:tc>
          <w:tcPr>
            <w:tcW w:w="1360" w:type="dxa"/>
            <w:tcBorders>
              <w:tl2br w:val="nil"/>
              <w:tr2bl w:val="nil"/>
            </w:tcBorders>
            <w:vAlign w:val="center"/>
          </w:tcPr>
          <w:p w14:paraId="43780C5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250</w:t>
            </w:r>
          </w:p>
        </w:tc>
        <w:tc>
          <w:tcPr>
            <w:tcW w:w="1360" w:type="dxa"/>
            <w:tcBorders>
              <w:tl2br w:val="nil"/>
              <w:tr2bl w:val="nil"/>
            </w:tcBorders>
            <w:vAlign w:val="center"/>
          </w:tcPr>
          <w:p w14:paraId="6F7DEA6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250</w:t>
            </w:r>
          </w:p>
        </w:tc>
        <w:tc>
          <w:tcPr>
            <w:tcW w:w="1360" w:type="dxa"/>
            <w:tcBorders>
              <w:tl2br w:val="nil"/>
              <w:tr2bl w:val="nil"/>
            </w:tcBorders>
            <w:vAlign w:val="center"/>
          </w:tcPr>
          <w:p w14:paraId="4C963CD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300</w:t>
            </w:r>
          </w:p>
        </w:tc>
        <w:tc>
          <w:tcPr>
            <w:tcW w:w="1360" w:type="dxa"/>
            <w:tcBorders>
              <w:tl2br w:val="nil"/>
              <w:tr2bl w:val="nil"/>
            </w:tcBorders>
            <w:vAlign w:val="center"/>
          </w:tcPr>
          <w:p w14:paraId="3AAA0D8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350</w:t>
            </w:r>
          </w:p>
        </w:tc>
      </w:tr>
      <w:tr w14:paraId="7887441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9" w:hRule="atLeast"/>
        </w:trPr>
        <w:tc>
          <w:tcPr>
            <w:tcW w:w="739" w:type="dxa"/>
            <w:vMerge w:val="continue"/>
            <w:tcBorders>
              <w:tl2br w:val="nil"/>
              <w:tr2bl w:val="nil"/>
            </w:tcBorders>
            <w:vAlign w:val="center"/>
          </w:tcPr>
          <w:p w14:paraId="545886D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906" w:type="dxa"/>
            <w:vMerge w:val="continue"/>
            <w:tcBorders>
              <w:tl2br w:val="nil"/>
              <w:tr2bl w:val="nil"/>
            </w:tcBorders>
            <w:vAlign w:val="center"/>
          </w:tcPr>
          <w:p w14:paraId="633A16E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56" w:type="dxa"/>
            <w:tcBorders>
              <w:tl2br w:val="nil"/>
              <w:tr2bl w:val="nil"/>
            </w:tcBorders>
            <w:vAlign w:val="center"/>
          </w:tcPr>
          <w:p w14:paraId="468EC27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其他</w:t>
            </w:r>
          </w:p>
        </w:tc>
        <w:tc>
          <w:tcPr>
            <w:tcW w:w="1360" w:type="dxa"/>
            <w:tcBorders>
              <w:tl2br w:val="nil"/>
              <w:tr2bl w:val="nil"/>
            </w:tcBorders>
            <w:vAlign w:val="center"/>
          </w:tcPr>
          <w:p w14:paraId="6DC626F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150</w:t>
            </w:r>
          </w:p>
        </w:tc>
        <w:tc>
          <w:tcPr>
            <w:tcW w:w="1360" w:type="dxa"/>
            <w:tcBorders>
              <w:tl2br w:val="nil"/>
              <w:tr2bl w:val="nil"/>
            </w:tcBorders>
            <w:vAlign w:val="center"/>
          </w:tcPr>
          <w:p w14:paraId="65D0C6B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150</w:t>
            </w:r>
          </w:p>
        </w:tc>
        <w:tc>
          <w:tcPr>
            <w:tcW w:w="1360" w:type="dxa"/>
            <w:tcBorders>
              <w:tl2br w:val="nil"/>
              <w:tr2bl w:val="nil"/>
            </w:tcBorders>
            <w:vAlign w:val="center"/>
          </w:tcPr>
          <w:p w14:paraId="15651CC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200</w:t>
            </w:r>
          </w:p>
        </w:tc>
        <w:tc>
          <w:tcPr>
            <w:tcW w:w="1360" w:type="dxa"/>
            <w:tcBorders>
              <w:tl2br w:val="nil"/>
              <w:tr2bl w:val="nil"/>
            </w:tcBorders>
            <w:vAlign w:val="center"/>
          </w:tcPr>
          <w:p w14:paraId="630CAE4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250</w:t>
            </w:r>
          </w:p>
        </w:tc>
      </w:tr>
      <w:tr w14:paraId="1C1D44A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restart"/>
            <w:tcBorders>
              <w:tl2br w:val="nil"/>
              <w:tr2bl w:val="nil"/>
            </w:tcBorders>
            <w:vAlign w:val="center"/>
          </w:tcPr>
          <w:p w14:paraId="784C262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6</w:t>
            </w:r>
          </w:p>
        </w:tc>
        <w:tc>
          <w:tcPr>
            <w:tcW w:w="906" w:type="dxa"/>
            <w:vMerge w:val="restart"/>
            <w:tcBorders>
              <w:tl2br w:val="nil"/>
              <w:tr2bl w:val="nil"/>
            </w:tcBorders>
            <w:vAlign w:val="center"/>
          </w:tcPr>
          <w:p w14:paraId="1C61AE6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铜</w:t>
            </w:r>
          </w:p>
        </w:tc>
        <w:tc>
          <w:tcPr>
            <w:tcW w:w="1056" w:type="dxa"/>
            <w:tcBorders>
              <w:tl2br w:val="nil"/>
              <w:tr2bl w:val="nil"/>
            </w:tcBorders>
            <w:vAlign w:val="center"/>
          </w:tcPr>
          <w:p w14:paraId="6A6D148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果园</w:t>
            </w:r>
          </w:p>
        </w:tc>
        <w:tc>
          <w:tcPr>
            <w:tcW w:w="1360" w:type="dxa"/>
            <w:tcBorders>
              <w:tl2br w:val="nil"/>
              <w:tr2bl w:val="nil"/>
            </w:tcBorders>
            <w:vAlign w:val="center"/>
          </w:tcPr>
          <w:p w14:paraId="75B8D70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150</w:t>
            </w:r>
          </w:p>
        </w:tc>
        <w:tc>
          <w:tcPr>
            <w:tcW w:w="1360" w:type="dxa"/>
            <w:tcBorders>
              <w:tl2br w:val="nil"/>
              <w:tr2bl w:val="nil"/>
            </w:tcBorders>
            <w:vAlign w:val="center"/>
          </w:tcPr>
          <w:p w14:paraId="4F1E27E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150</w:t>
            </w:r>
          </w:p>
        </w:tc>
        <w:tc>
          <w:tcPr>
            <w:tcW w:w="1360" w:type="dxa"/>
            <w:tcBorders>
              <w:tl2br w:val="nil"/>
              <w:tr2bl w:val="nil"/>
            </w:tcBorders>
            <w:vAlign w:val="center"/>
          </w:tcPr>
          <w:p w14:paraId="52ED5BE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200</w:t>
            </w:r>
          </w:p>
        </w:tc>
        <w:tc>
          <w:tcPr>
            <w:tcW w:w="1360" w:type="dxa"/>
            <w:tcBorders>
              <w:tl2br w:val="nil"/>
              <w:tr2bl w:val="nil"/>
            </w:tcBorders>
            <w:vAlign w:val="center"/>
          </w:tcPr>
          <w:p w14:paraId="76EA787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200</w:t>
            </w:r>
          </w:p>
        </w:tc>
      </w:tr>
      <w:tr w14:paraId="3219F79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vMerge w:val="continue"/>
            <w:tcBorders>
              <w:tl2br w:val="nil"/>
              <w:tr2bl w:val="nil"/>
            </w:tcBorders>
            <w:vAlign w:val="center"/>
          </w:tcPr>
          <w:p w14:paraId="29DE99A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906" w:type="dxa"/>
            <w:vMerge w:val="continue"/>
            <w:tcBorders>
              <w:tl2br w:val="nil"/>
              <w:tr2bl w:val="nil"/>
            </w:tcBorders>
            <w:vAlign w:val="center"/>
          </w:tcPr>
          <w:p w14:paraId="5BB941E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56" w:type="dxa"/>
            <w:tcBorders>
              <w:tl2br w:val="nil"/>
              <w:tr2bl w:val="nil"/>
            </w:tcBorders>
            <w:vAlign w:val="center"/>
          </w:tcPr>
          <w:p w14:paraId="6D21470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其他</w:t>
            </w:r>
          </w:p>
        </w:tc>
        <w:tc>
          <w:tcPr>
            <w:tcW w:w="1360" w:type="dxa"/>
            <w:tcBorders>
              <w:tl2br w:val="nil"/>
              <w:tr2bl w:val="nil"/>
            </w:tcBorders>
            <w:vAlign w:val="center"/>
          </w:tcPr>
          <w:p w14:paraId="30ADCB4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50</w:t>
            </w:r>
          </w:p>
        </w:tc>
        <w:tc>
          <w:tcPr>
            <w:tcW w:w="1360" w:type="dxa"/>
            <w:tcBorders>
              <w:tl2br w:val="nil"/>
              <w:tr2bl w:val="nil"/>
            </w:tcBorders>
            <w:vAlign w:val="center"/>
          </w:tcPr>
          <w:p w14:paraId="165C3B7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50</w:t>
            </w:r>
          </w:p>
        </w:tc>
        <w:tc>
          <w:tcPr>
            <w:tcW w:w="1360" w:type="dxa"/>
            <w:tcBorders>
              <w:tl2br w:val="nil"/>
              <w:tr2bl w:val="nil"/>
            </w:tcBorders>
            <w:vAlign w:val="center"/>
          </w:tcPr>
          <w:p w14:paraId="6B60E69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100</w:t>
            </w:r>
          </w:p>
        </w:tc>
        <w:tc>
          <w:tcPr>
            <w:tcW w:w="1360" w:type="dxa"/>
            <w:tcBorders>
              <w:tl2br w:val="nil"/>
              <w:tr2bl w:val="nil"/>
            </w:tcBorders>
            <w:vAlign w:val="center"/>
          </w:tcPr>
          <w:p w14:paraId="7F7B23D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100</w:t>
            </w:r>
          </w:p>
        </w:tc>
      </w:tr>
      <w:tr w14:paraId="3724CC43">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8" w:hRule="atLeast"/>
        </w:trPr>
        <w:tc>
          <w:tcPr>
            <w:tcW w:w="739" w:type="dxa"/>
            <w:tcBorders>
              <w:tl2br w:val="nil"/>
              <w:tr2bl w:val="nil"/>
            </w:tcBorders>
            <w:vAlign w:val="center"/>
          </w:tcPr>
          <w:p w14:paraId="293C670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7</w:t>
            </w:r>
          </w:p>
        </w:tc>
        <w:tc>
          <w:tcPr>
            <w:tcW w:w="1962" w:type="dxa"/>
            <w:gridSpan w:val="2"/>
            <w:tcBorders>
              <w:tl2br w:val="nil"/>
              <w:tr2bl w:val="nil"/>
            </w:tcBorders>
            <w:vAlign w:val="center"/>
          </w:tcPr>
          <w:p w14:paraId="0D482A3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镍</w:t>
            </w:r>
          </w:p>
        </w:tc>
        <w:tc>
          <w:tcPr>
            <w:tcW w:w="1360" w:type="dxa"/>
            <w:tcBorders>
              <w:tl2br w:val="nil"/>
              <w:tr2bl w:val="nil"/>
            </w:tcBorders>
            <w:vAlign w:val="center"/>
          </w:tcPr>
          <w:p w14:paraId="24894BB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60</w:t>
            </w:r>
          </w:p>
        </w:tc>
        <w:tc>
          <w:tcPr>
            <w:tcW w:w="1360" w:type="dxa"/>
            <w:tcBorders>
              <w:tl2br w:val="nil"/>
              <w:tr2bl w:val="nil"/>
            </w:tcBorders>
            <w:vAlign w:val="center"/>
          </w:tcPr>
          <w:p w14:paraId="42297D7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70</w:t>
            </w:r>
          </w:p>
        </w:tc>
        <w:tc>
          <w:tcPr>
            <w:tcW w:w="1360" w:type="dxa"/>
            <w:tcBorders>
              <w:tl2br w:val="nil"/>
              <w:tr2bl w:val="nil"/>
            </w:tcBorders>
            <w:vAlign w:val="center"/>
          </w:tcPr>
          <w:p w14:paraId="4CC053D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100</w:t>
            </w:r>
          </w:p>
        </w:tc>
        <w:tc>
          <w:tcPr>
            <w:tcW w:w="1360" w:type="dxa"/>
            <w:tcBorders>
              <w:tl2br w:val="nil"/>
              <w:tr2bl w:val="nil"/>
            </w:tcBorders>
            <w:vAlign w:val="center"/>
          </w:tcPr>
          <w:p w14:paraId="095C5B3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190</w:t>
            </w:r>
          </w:p>
        </w:tc>
      </w:tr>
      <w:tr w14:paraId="38869D4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739" w:type="dxa"/>
            <w:tcBorders>
              <w:tl2br w:val="nil"/>
              <w:tr2bl w:val="nil"/>
            </w:tcBorders>
            <w:vAlign w:val="center"/>
          </w:tcPr>
          <w:p w14:paraId="19BCFA6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8</w:t>
            </w:r>
          </w:p>
        </w:tc>
        <w:tc>
          <w:tcPr>
            <w:tcW w:w="1962" w:type="dxa"/>
            <w:gridSpan w:val="2"/>
            <w:tcBorders>
              <w:tl2br w:val="nil"/>
              <w:tr2bl w:val="nil"/>
            </w:tcBorders>
            <w:vAlign w:val="center"/>
          </w:tcPr>
          <w:p w14:paraId="01DF605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锌</w:t>
            </w:r>
          </w:p>
        </w:tc>
        <w:tc>
          <w:tcPr>
            <w:tcW w:w="1360" w:type="dxa"/>
            <w:tcBorders>
              <w:tl2br w:val="nil"/>
              <w:tr2bl w:val="nil"/>
            </w:tcBorders>
            <w:vAlign w:val="center"/>
          </w:tcPr>
          <w:p w14:paraId="717FCD6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200</w:t>
            </w:r>
          </w:p>
        </w:tc>
        <w:tc>
          <w:tcPr>
            <w:tcW w:w="1360" w:type="dxa"/>
            <w:tcBorders>
              <w:tl2br w:val="nil"/>
              <w:tr2bl w:val="nil"/>
            </w:tcBorders>
            <w:vAlign w:val="center"/>
          </w:tcPr>
          <w:p w14:paraId="4EF80CE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200</w:t>
            </w:r>
          </w:p>
        </w:tc>
        <w:tc>
          <w:tcPr>
            <w:tcW w:w="1360" w:type="dxa"/>
            <w:tcBorders>
              <w:tl2br w:val="nil"/>
              <w:tr2bl w:val="nil"/>
            </w:tcBorders>
            <w:vAlign w:val="center"/>
          </w:tcPr>
          <w:p w14:paraId="1D1345D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250</w:t>
            </w:r>
          </w:p>
        </w:tc>
        <w:tc>
          <w:tcPr>
            <w:tcW w:w="1360" w:type="dxa"/>
            <w:tcBorders>
              <w:tl2br w:val="nil"/>
              <w:tr2bl w:val="nil"/>
            </w:tcBorders>
            <w:vAlign w:val="center"/>
          </w:tcPr>
          <w:p w14:paraId="076B401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300</w:t>
            </w:r>
          </w:p>
        </w:tc>
      </w:tr>
      <w:tr w14:paraId="638276C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8141" w:type="dxa"/>
            <w:gridSpan w:val="7"/>
            <w:tcBorders>
              <w:tl2br w:val="nil"/>
              <w:tr2bl w:val="nil"/>
            </w:tcBorders>
            <w:vAlign w:val="center"/>
          </w:tcPr>
          <w:p w14:paraId="1F4C8E5A">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1"/>
                <w:szCs w:val="21"/>
                <w:lang w:eastAsia="zh-CN"/>
                <w14:textFill>
                  <w14:solidFill>
                    <w14:schemeClr w14:val="tx1"/>
                  </w14:solidFill>
                </w14:textFill>
              </w:rPr>
              <w:t>注：</w:t>
            </w:r>
            <w:r>
              <w:rPr>
                <w:rFonts w:hint="eastAsia" w:ascii="宋体" w:hAnsi="宋体" w:eastAsia="宋体" w:cs="宋体"/>
                <w:color w:val="000000" w:themeColor="text1"/>
                <w:spacing w:val="-1"/>
                <w:szCs w:val="21"/>
                <w:lang w:eastAsia="zh-CN"/>
                <w14:textFill>
                  <w14:solidFill>
                    <w14:schemeClr w14:val="tx1"/>
                  </w14:solidFill>
                </w14:textFill>
              </w:rPr>
              <w:t>①</w:t>
            </w:r>
            <w:r>
              <w:rPr>
                <w:rFonts w:ascii="Times New Roman" w:hAnsi="Times New Roman" w:eastAsia="宋体"/>
                <w:color w:val="000000" w:themeColor="text1"/>
                <w:spacing w:val="-1"/>
                <w:szCs w:val="21"/>
                <w:lang w:eastAsia="zh-CN"/>
                <w14:textFill>
                  <w14:solidFill>
                    <w14:schemeClr w14:val="tx1"/>
                  </w14:solidFill>
                </w14:textFill>
              </w:rPr>
              <w:t>重金属和类金属砷均按元素总量计。</w:t>
            </w:r>
          </w:p>
          <w:p w14:paraId="56FDD934">
            <w:pPr>
              <w:widowControl/>
              <w:autoSpaceDE/>
              <w:autoSpaceDN/>
              <w:jc w:val="left"/>
              <w:rPr>
                <w:rFonts w:ascii="Times New Roman" w:hAnsi="Times New Roman" w:eastAsia="宋体"/>
                <w:color w:val="000000" w:themeColor="text1"/>
                <w:spacing w:val="-3"/>
                <w:szCs w:val="21"/>
                <w:lang w:eastAsia="zh-CN"/>
                <w14:textFill>
                  <w14:solidFill>
                    <w14:schemeClr w14:val="tx1"/>
                  </w14:solidFill>
                </w14:textFill>
              </w:rPr>
            </w:pPr>
            <w:r>
              <w:rPr>
                <w:rFonts w:hint="eastAsia" w:ascii="宋体" w:hAnsi="宋体" w:eastAsia="宋体" w:cs="宋体"/>
                <w:color w:val="000000" w:themeColor="text1"/>
                <w:spacing w:val="-1"/>
                <w:szCs w:val="21"/>
                <w:lang w:eastAsia="zh-CN"/>
                <w14:textFill>
                  <w14:solidFill>
                    <w14:schemeClr w14:val="tx1"/>
                  </w14:solidFill>
                </w14:textFill>
              </w:rPr>
              <w:t>②</w:t>
            </w:r>
            <w:r>
              <w:rPr>
                <w:rFonts w:ascii="Times New Roman" w:hAnsi="Times New Roman" w:eastAsia="宋体"/>
                <w:color w:val="000000" w:themeColor="text1"/>
                <w:spacing w:val="-1"/>
                <w:szCs w:val="21"/>
                <w:lang w:eastAsia="zh-CN"/>
                <w14:textFill>
                  <w14:solidFill>
                    <w14:schemeClr w14:val="tx1"/>
                  </w14:solidFill>
                </w14:textFill>
              </w:rPr>
              <w:t>对于水旱轮作地，采用其中较严格的风险筛选值。</w:t>
            </w:r>
          </w:p>
        </w:tc>
      </w:tr>
    </w:tbl>
    <w:p w14:paraId="1F14B1A7">
      <w:pPr>
        <w:adjustRightInd w:val="0"/>
        <w:spacing w:line="360" w:lineRule="auto"/>
        <w:ind w:firstLine="480" w:firstLineChars="200"/>
        <w:textAlignment w:val="baseline"/>
        <w:rPr>
          <w:color w:val="000000" w:themeColor="text1"/>
          <w:sz w:val="24"/>
          <w14:textFill>
            <w14:solidFill>
              <w14:schemeClr w14:val="tx1"/>
            </w14:solidFill>
          </w14:textFill>
        </w:rPr>
      </w:pPr>
      <w:bookmarkStart w:id="211" w:name="_Toc6826"/>
      <w:r>
        <w:rPr>
          <w:color w:val="000000" w:themeColor="text1"/>
          <w:sz w:val="24"/>
          <w14:textFill>
            <w14:solidFill>
              <w14:schemeClr w14:val="tx1"/>
            </w14:solidFill>
          </w14:textFill>
        </w:rPr>
        <w:t>（6）其他质量标准</w:t>
      </w:r>
    </w:p>
    <w:p w14:paraId="77F00DF6">
      <w:pPr>
        <w:adjustRightInd w:val="0"/>
        <w:spacing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项目为肉牛养殖，因此还应符合《畜禽养殖产地环境评价规范》（HJ 568-2010）相关要求。</w:t>
      </w:r>
    </w:p>
    <w:p w14:paraId="4F547C58">
      <w:pPr>
        <w:pStyle w:val="752"/>
        <w:rPr>
          <w:rFonts w:cs="Times New Roman"/>
          <w:color w:val="000000" w:themeColor="text1"/>
          <w14:textFill>
            <w14:solidFill>
              <w14:schemeClr w14:val="tx1"/>
            </w14:solidFill>
          </w14:textFill>
        </w:rPr>
      </w:pPr>
      <w:bookmarkStart w:id="212" w:name="_Toc233380135"/>
      <w:r>
        <w:rPr>
          <w:rFonts w:cs="Times New Roman"/>
          <w:color w:val="000000" w:themeColor="text1"/>
          <w14:textFill>
            <w14:solidFill>
              <w14:schemeClr w14:val="tx1"/>
            </w14:solidFill>
          </w14:textFill>
        </w:rPr>
        <w:t>2.6.3污染物排放标准</w:t>
      </w:r>
      <w:bookmarkEnd w:id="207"/>
      <w:bookmarkEnd w:id="208"/>
      <w:bookmarkEnd w:id="209"/>
      <w:bookmarkEnd w:id="210"/>
      <w:bookmarkEnd w:id="211"/>
      <w:bookmarkEnd w:id="212"/>
    </w:p>
    <w:p w14:paraId="77331E0C">
      <w:pPr>
        <w:pStyle w:val="119"/>
        <w:spacing w:line="360" w:lineRule="auto"/>
        <w:ind w:firstLine="480" w:firstLineChars="20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1、废水</w:t>
      </w:r>
    </w:p>
    <w:p w14:paraId="7F14A9A4">
      <w:pPr>
        <w:adjustRightInd w:val="0"/>
        <w:spacing w:line="360" w:lineRule="auto"/>
        <w:ind w:firstLine="480" w:firstLineChars="200"/>
        <w:textAlignment w:val="baseline"/>
        <w:rPr>
          <w:b/>
          <w:bCs/>
          <w:color w:val="000000" w:themeColor="text1"/>
          <w:sz w:val="24"/>
          <w14:textFill>
            <w14:solidFill>
              <w14:schemeClr w14:val="tx1"/>
            </w14:solidFill>
          </w14:textFill>
        </w:rPr>
      </w:pPr>
      <w:r>
        <w:rPr>
          <w:color w:val="000000" w:themeColor="text1"/>
          <w:sz w:val="24"/>
          <w14:textFill>
            <w14:solidFill>
              <w14:schemeClr w14:val="tx1"/>
            </w14:solidFill>
          </w14:textFill>
        </w:rPr>
        <w:t>项目采用发酵床养殖，牛尿直接排到发酵垫料上，部分蒸发，部分被垫料吸收，无养殖废水。项目废水主要为初期雨水和职工生活污水，收集处理后用于项目区绿化，不涉及水污染物排放。</w:t>
      </w:r>
    </w:p>
    <w:p w14:paraId="56BCFF60">
      <w:pPr>
        <w:pStyle w:val="119"/>
        <w:spacing w:line="360" w:lineRule="auto"/>
        <w:ind w:firstLine="480" w:firstLineChars="20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2、废气</w:t>
      </w:r>
    </w:p>
    <w:p w14:paraId="2B9DD706">
      <w:pPr>
        <w:adjustRightInd w:val="0"/>
        <w:snapToGrid w:val="0"/>
        <w:spacing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（1）施工期：</w:t>
      </w:r>
    </w:p>
    <w:p w14:paraId="614ED027">
      <w:pPr>
        <w:adjustRightInd w:val="0"/>
        <w:snapToGrid w:val="0"/>
        <w:spacing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项目施工期施工扬尘执行《四川省施工场地扬尘排放标准》（DB51/2682-2020）表1排放限值。</w:t>
      </w:r>
    </w:p>
    <w:p w14:paraId="2794533E">
      <w:pPr>
        <w:pStyle w:val="814"/>
        <w:tabs>
          <w:tab w:val="left" w:pos="0"/>
        </w:tabs>
        <w:snapToGrid w:val="0"/>
        <w:spacing w:line="240" w:lineRule="auto"/>
        <w:rPr>
          <w:rFonts w:eastAsia="黑体"/>
          <w:color w:val="000000" w:themeColor="text1"/>
          <w14:textFill>
            <w14:solidFill>
              <w14:schemeClr w14:val="tx1"/>
            </w14:solidFill>
          </w14:textFill>
        </w:rPr>
      </w:pPr>
      <w:r>
        <w:rPr>
          <w:b/>
          <w:bCs/>
          <w:color w:val="000000" w:themeColor="text1"/>
          <w:szCs w:val="21"/>
          <w14:textFill>
            <w14:solidFill>
              <w14:schemeClr w14:val="tx1"/>
            </w14:solidFill>
          </w14:textFill>
        </w:rPr>
        <w:t>表2.6-7</w:t>
      </w:r>
      <w:r>
        <w:rPr>
          <w:rFonts w:eastAsia="黑体"/>
          <w:color w:val="000000" w:themeColor="text1"/>
          <w14:textFill>
            <w14:solidFill>
              <w14:schemeClr w14:val="tx1"/>
            </w14:solidFill>
          </w14:textFill>
        </w:rPr>
        <w:t>四川省施工场地扬尘排放限值</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02"/>
        <w:gridCol w:w="2275"/>
        <w:gridCol w:w="2468"/>
        <w:gridCol w:w="1668"/>
      </w:tblGrid>
      <w:tr w14:paraId="4F7A8C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44" w:type="pct"/>
            <w:vAlign w:val="center"/>
          </w:tcPr>
          <w:p w14:paraId="004A3AA8">
            <w:pPr>
              <w:jc w:val="center"/>
              <w:rPr>
                <w:rFonts w:eastAsia="黑体"/>
                <w:color w:val="000000" w:themeColor="text1"/>
                <w:sz w:val="18"/>
                <w:szCs w:val="18"/>
                <w14:textFill>
                  <w14:solidFill>
                    <w14:schemeClr w14:val="tx1"/>
                  </w14:solidFill>
                </w14:textFill>
              </w:rPr>
            </w:pPr>
            <w:r>
              <w:rPr>
                <w:rFonts w:eastAsia="黑体"/>
                <w:color w:val="000000" w:themeColor="text1"/>
                <w:sz w:val="18"/>
                <w:szCs w:val="18"/>
                <w14:textFill>
                  <w14:solidFill>
                    <w14:schemeClr w14:val="tx1"/>
                  </w14:solidFill>
                </w14:textFill>
              </w:rPr>
              <w:t>监测项目</w:t>
            </w:r>
          </w:p>
        </w:tc>
        <w:tc>
          <w:tcPr>
            <w:tcW w:w="1368" w:type="pct"/>
            <w:vAlign w:val="center"/>
          </w:tcPr>
          <w:p w14:paraId="3AB8FD4C">
            <w:pPr>
              <w:jc w:val="center"/>
              <w:rPr>
                <w:rFonts w:eastAsia="黑体"/>
                <w:color w:val="000000" w:themeColor="text1"/>
                <w:sz w:val="18"/>
                <w:szCs w:val="18"/>
                <w14:textFill>
                  <w14:solidFill>
                    <w14:schemeClr w14:val="tx1"/>
                  </w14:solidFill>
                </w14:textFill>
              </w:rPr>
            </w:pPr>
            <w:r>
              <w:rPr>
                <w:rFonts w:eastAsia="黑体"/>
                <w:color w:val="000000" w:themeColor="text1"/>
                <w:sz w:val="18"/>
                <w:szCs w:val="18"/>
                <w14:textFill>
                  <w14:solidFill>
                    <w14:schemeClr w14:val="tx1"/>
                  </w14:solidFill>
                </w14:textFill>
              </w:rPr>
              <w:t>施工阶段</w:t>
            </w:r>
          </w:p>
        </w:tc>
        <w:tc>
          <w:tcPr>
            <w:tcW w:w="1484" w:type="pct"/>
            <w:vAlign w:val="center"/>
          </w:tcPr>
          <w:p w14:paraId="65DA2446">
            <w:pPr>
              <w:jc w:val="center"/>
              <w:rPr>
                <w:rFonts w:eastAsia="黑体"/>
                <w:color w:val="000000" w:themeColor="text1"/>
                <w:sz w:val="18"/>
                <w:szCs w:val="18"/>
                <w14:textFill>
                  <w14:solidFill>
                    <w14:schemeClr w14:val="tx1"/>
                  </w14:solidFill>
                </w14:textFill>
              </w:rPr>
            </w:pPr>
            <w:r>
              <w:rPr>
                <w:rFonts w:eastAsia="黑体"/>
                <w:color w:val="000000" w:themeColor="text1"/>
                <w:sz w:val="18"/>
                <w:szCs w:val="18"/>
                <w14:textFill>
                  <w14:solidFill>
                    <w14:schemeClr w14:val="tx1"/>
                  </w14:solidFill>
                </w14:textFill>
              </w:rPr>
              <w:t>监测点排放限制（μg/m</w:t>
            </w:r>
            <w:r>
              <w:rPr>
                <w:rFonts w:eastAsia="黑体"/>
                <w:color w:val="000000" w:themeColor="text1"/>
                <w:sz w:val="18"/>
                <w:szCs w:val="18"/>
                <w:vertAlign w:val="superscript"/>
                <w14:textFill>
                  <w14:solidFill>
                    <w14:schemeClr w14:val="tx1"/>
                  </w14:solidFill>
                </w14:textFill>
              </w:rPr>
              <w:t>3</w:t>
            </w:r>
            <w:r>
              <w:rPr>
                <w:rFonts w:eastAsia="黑体"/>
                <w:color w:val="000000" w:themeColor="text1"/>
                <w:sz w:val="18"/>
                <w:szCs w:val="18"/>
                <w14:textFill>
                  <w14:solidFill>
                    <w14:schemeClr w14:val="tx1"/>
                  </w14:solidFill>
                </w14:textFill>
              </w:rPr>
              <w:t>）</w:t>
            </w:r>
          </w:p>
        </w:tc>
        <w:tc>
          <w:tcPr>
            <w:tcW w:w="1003" w:type="pct"/>
            <w:vAlign w:val="center"/>
          </w:tcPr>
          <w:p w14:paraId="7CAE8D95">
            <w:pPr>
              <w:jc w:val="center"/>
              <w:rPr>
                <w:rFonts w:eastAsia="黑体"/>
                <w:color w:val="000000" w:themeColor="text1"/>
                <w:sz w:val="18"/>
                <w:szCs w:val="18"/>
                <w14:textFill>
                  <w14:solidFill>
                    <w14:schemeClr w14:val="tx1"/>
                  </w14:solidFill>
                </w14:textFill>
              </w:rPr>
            </w:pPr>
            <w:r>
              <w:rPr>
                <w:rFonts w:eastAsia="黑体"/>
                <w:color w:val="000000" w:themeColor="text1"/>
                <w:sz w:val="18"/>
                <w:szCs w:val="18"/>
                <w14:textFill>
                  <w14:solidFill>
                    <w14:schemeClr w14:val="tx1"/>
                  </w14:solidFill>
                </w14:textFill>
              </w:rPr>
              <w:t>监测时间</w:t>
            </w:r>
          </w:p>
        </w:tc>
      </w:tr>
      <w:tr w14:paraId="79FC5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144" w:type="pct"/>
            <w:vMerge w:val="restart"/>
            <w:vAlign w:val="center"/>
          </w:tcPr>
          <w:p w14:paraId="2B6D28F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总悬浮颗粒物（TSP）</w:t>
            </w:r>
          </w:p>
        </w:tc>
        <w:tc>
          <w:tcPr>
            <w:tcW w:w="2334" w:type="dxa"/>
            <w:vAlign w:val="center"/>
          </w:tcPr>
          <w:p w14:paraId="15C9B8D1">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拆除工程/土方开挖/土方回填阶段</w:t>
            </w:r>
          </w:p>
        </w:tc>
        <w:tc>
          <w:tcPr>
            <w:tcW w:w="2532" w:type="dxa"/>
            <w:vAlign w:val="center"/>
          </w:tcPr>
          <w:p w14:paraId="76C3F407">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600</w:t>
            </w:r>
          </w:p>
        </w:tc>
        <w:tc>
          <w:tcPr>
            <w:tcW w:w="1003" w:type="pct"/>
            <w:vMerge w:val="restart"/>
            <w:vAlign w:val="center"/>
          </w:tcPr>
          <w:p w14:paraId="5675A30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自监测起持续15分钟</w:t>
            </w:r>
          </w:p>
        </w:tc>
      </w:tr>
      <w:tr w14:paraId="4EEAB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144" w:type="pct"/>
            <w:vMerge w:val="continue"/>
            <w:vAlign w:val="center"/>
          </w:tcPr>
          <w:p w14:paraId="60E4A3D8">
            <w:pPr>
              <w:jc w:val="center"/>
              <w:rPr>
                <w:color w:val="000000" w:themeColor="text1"/>
                <w:sz w:val="18"/>
                <w:szCs w:val="18"/>
                <w14:textFill>
                  <w14:solidFill>
                    <w14:schemeClr w14:val="tx1"/>
                  </w14:solidFill>
                </w14:textFill>
              </w:rPr>
            </w:pPr>
          </w:p>
        </w:tc>
        <w:tc>
          <w:tcPr>
            <w:tcW w:w="2334" w:type="dxa"/>
            <w:vAlign w:val="center"/>
          </w:tcPr>
          <w:p w14:paraId="3E6E9260">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其他工程阶段</w:t>
            </w:r>
          </w:p>
        </w:tc>
        <w:tc>
          <w:tcPr>
            <w:tcW w:w="2532" w:type="dxa"/>
            <w:vAlign w:val="center"/>
          </w:tcPr>
          <w:p w14:paraId="32F23ED9">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250</w:t>
            </w:r>
          </w:p>
        </w:tc>
        <w:tc>
          <w:tcPr>
            <w:tcW w:w="1003" w:type="pct"/>
            <w:vMerge w:val="continue"/>
            <w:vAlign w:val="center"/>
          </w:tcPr>
          <w:p w14:paraId="1261D9BC">
            <w:pPr>
              <w:jc w:val="center"/>
              <w:rPr>
                <w:color w:val="000000" w:themeColor="text1"/>
                <w:sz w:val="18"/>
                <w:szCs w:val="18"/>
                <w14:textFill>
                  <w14:solidFill>
                    <w14:schemeClr w14:val="tx1"/>
                  </w14:solidFill>
                </w14:textFill>
              </w:rPr>
            </w:pPr>
          </w:p>
        </w:tc>
      </w:tr>
    </w:tbl>
    <w:p w14:paraId="1EAFAFE3">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（2）运营期：</w:t>
      </w:r>
    </w:p>
    <w:p w14:paraId="54FB555B">
      <w:pPr>
        <w:adjustRightInd w:val="0"/>
        <w:snapToGrid w:val="0"/>
        <w:spacing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项目运营期</w:t>
      </w:r>
      <w:r>
        <w:rPr>
          <w:color w:val="000000" w:themeColor="text1"/>
          <w:spacing w:val="2"/>
          <w:sz w:val="24"/>
          <w14:textFill>
            <w14:solidFill>
              <w14:schemeClr w14:val="tx1"/>
            </w14:solidFill>
          </w14:textFill>
        </w:rPr>
        <w:t>氨、硫化氢执行《恶臭污染物排放标准》（</w:t>
      </w:r>
      <w:r>
        <w:rPr>
          <w:color w:val="000000" w:themeColor="text1"/>
          <w:sz w:val="24"/>
          <w14:textFill>
            <w14:solidFill>
              <w14:schemeClr w14:val="tx1"/>
            </w14:solidFill>
          </w14:textFill>
        </w:rPr>
        <w:t xml:space="preserve">GB </w:t>
      </w:r>
      <w:r>
        <w:rPr>
          <w:rFonts w:eastAsia="Times New Roman"/>
          <w:color w:val="000000" w:themeColor="text1"/>
          <w:spacing w:val="2"/>
          <w:sz w:val="24"/>
          <w14:textFill>
            <w14:solidFill>
              <w14:schemeClr w14:val="tx1"/>
            </w14:solidFill>
          </w14:textFill>
        </w:rPr>
        <w:t>14554-93</w:t>
      </w:r>
      <w:r>
        <w:rPr>
          <w:color w:val="000000" w:themeColor="text1"/>
          <w:spacing w:val="2"/>
          <w:sz w:val="24"/>
          <w14:textFill>
            <w14:solidFill>
              <w14:schemeClr w14:val="tx1"/>
            </w14:solidFill>
          </w14:textFill>
        </w:rPr>
        <w:t>）中对应值；</w:t>
      </w:r>
      <w:r>
        <w:rPr>
          <w:color w:val="000000" w:themeColor="text1"/>
          <w:spacing w:val="-7"/>
          <w:sz w:val="24"/>
          <w14:textFill>
            <w14:solidFill>
              <w14:schemeClr w14:val="tx1"/>
            </w14:solidFill>
          </w14:textFill>
        </w:rPr>
        <w:t>臭气浓度执行《畜禽养殖业污染物排放标准》（</w:t>
      </w:r>
      <w:r>
        <w:rPr>
          <w:rFonts w:eastAsia="Times New Roman"/>
          <w:color w:val="000000" w:themeColor="text1"/>
          <w:sz w:val="24"/>
          <w14:textFill>
            <w14:solidFill>
              <w14:schemeClr w14:val="tx1"/>
            </w14:solidFill>
          </w14:textFill>
        </w:rPr>
        <w:t>GB 18596-2001</w:t>
      </w:r>
      <w:r>
        <w:rPr>
          <w:color w:val="000000" w:themeColor="text1"/>
          <w:spacing w:val="2"/>
          <w:sz w:val="24"/>
          <w14:textFill>
            <w14:solidFill>
              <w14:schemeClr w14:val="tx1"/>
            </w14:solidFill>
          </w14:textFill>
        </w:rPr>
        <w:t>）</w:t>
      </w:r>
      <w:r>
        <w:rPr>
          <w:color w:val="000000" w:themeColor="text1"/>
          <w:spacing w:val="-7"/>
          <w:sz w:val="24"/>
          <w14:textFill>
            <w14:solidFill>
              <w14:schemeClr w14:val="tx1"/>
            </w14:solidFill>
          </w14:textFill>
        </w:rPr>
        <w:t>中表7标准限值；</w:t>
      </w:r>
      <w:r>
        <w:rPr>
          <w:color w:val="000000" w:themeColor="text1"/>
          <w:sz w:val="24"/>
          <w14:textFill>
            <w14:solidFill>
              <w14:schemeClr w14:val="tx1"/>
            </w14:solidFill>
          </w14:textFill>
        </w:rPr>
        <w:t>颗粒物执行《大气污染物综合排放标准》（GB 16297-1996）相应值；</w:t>
      </w:r>
      <w:r>
        <w:rPr>
          <w:sz w:val="24"/>
        </w:rPr>
        <w:t>项目位于农村地区，食堂油烟加强通风换气即可</w:t>
      </w:r>
      <w:r>
        <w:rPr>
          <w:rFonts w:hint="eastAsia"/>
          <w:sz w:val="24"/>
        </w:rPr>
        <w:t>，食堂油烟执行《饮食业油烟排放标准（试行）》（G</w:t>
      </w:r>
      <w:r>
        <w:rPr>
          <w:sz w:val="24"/>
        </w:rPr>
        <w:t>B18483-2001</w:t>
      </w:r>
      <w:r>
        <w:rPr>
          <w:rFonts w:hint="eastAsia"/>
          <w:sz w:val="24"/>
        </w:rPr>
        <w:t>）的排放标准限值</w:t>
      </w:r>
      <w:r>
        <w:rPr>
          <w:sz w:val="24"/>
        </w:rPr>
        <w:t>。</w:t>
      </w:r>
      <w:r>
        <w:rPr>
          <w:color w:val="000000" w:themeColor="text1"/>
          <w:sz w:val="24"/>
          <w14:textFill>
            <w14:solidFill>
              <w14:schemeClr w14:val="tx1"/>
            </w14:solidFill>
          </w14:textFill>
        </w:rPr>
        <w:t>具体废气排放标准限值见下表。</w:t>
      </w:r>
    </w:p>
    <w:p w14:paraId="49065F3F">
      <w:pPr>
        <w:pStyle w:val="12"/>
        <w:jc w:val="center"/>
        <w:rPr>
          <w:rFonts w:ascii="Times New Roman" w:hAnsi="Times New Roman" w:eastAsia="黑体"/>
          <w:bCs/>
          <w:kern w:val="2"/>
          <w:sz w:val="21"/>
          <w:szCs w:val="21"/>
        </w:rPr>
      </w:pPr>
      <w:r>
        <w:rPr>
          <w:rFonts w:ascii="Times New Roman" w:hAnsi="Times New Roman" w:eastAsia="黑体"/>
          <w:bCs/>
          <w:kern w:val="2"/>
          <w:sz w:val="21"/>
          <w:szCs w:val="21"/>
        </w:rPr>
        <w:t>表2.6-8大气污染物综合排放标准</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270"/>
        <w:gridCol w:w="1449"/>
        <w:gridCol w:w="1418"/>
        <w:gridCol w:w="1072"/>
        <w:gridCol w:w="1894"/>
        <w:gridCol w:w="1210"/>
      </w:tblGrid>
      <w:tr w14:paraId="74BA7F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63" w:type="pct"/>
            <w:vMerge w:val="restart"/>
            <w:vAlign w:val="center"/>
          </w:tcPr>
          <w:p w14:paraId="1480CFE7">
            <w:pPr>
              <w:jc w:val="center"/>
              <w:rPr>
                <w:sz w:val="18"/>
                <w:szCs w:val="18"/>
              </w:rPr>
            </w:pPr>
            <w:r>
              <w:rPr>
                <w:sz w:val="18"/>
                <w:szCs w:val="18"/>
              </w:rPr>
              <w:t>污染物</w:t>
            </w:r>
          </w:p>
        </w:tc>
        <w:tc>
          <w:tcPr>
            <w:tcW w:w="871" w:type="pct"/>
            <w:vMerge w:val="restart"/>
            <w:vAlign w:val="center"/>
          </w:tcPr>
          <w:p w14:paraId="2CB4867E">
            <w:pPr>
              <w:jc w:val="center"/>
              <w:rPr>
                <w:sz w:val="18"/>
                <w:szCs w:val="18"/>
              </w:rPr>
            </w:pPr>
            <w:r>
              <w:rPr>
                <w:sz w:val="18"/>
                <w:szCs w:val="18"/>
              </w:rPr>
              <w:t>最高允许排放浓度mg/m</w:t>
            </w:r>
            <w:r>
              <w:rPr>
                <w:sz w:val="18"/>
                <w:szCs w:val="18"/>
                <w:vertAlign w:val="superscript"/>
              </w:rPr>
              <w:t>3</w:t>
            </w:r>
          </w:p>
        </w:tc>
        <w:tc>
          <w:tcPr>
            <w:tcW w:w="1497" w:type="pct"/>
            <w:gridSpan w:val="2"/>
            <w:vAlign w:val="center"/>
          </w:tcPr>
          <w:p w14:paraId="249864BE">
            <w:pPr>
              <w:jc w:val="center"/>
              <w:rPr>
                <w:sz w:val="18"/>
                <w:szCs w:val="18"/>
              </w:rPr>
            </w:pPr>
            <w:r>
              <w:rPr>
                <w:sz w:val="18"/>
                <w:szCs w:val="18"/>
              </w:rPr>
              <w:t>最高允许排放速率，kg/h</w:t>
            </w:r>
          </w:p>
        </w:tc>
        <w:tc>
          <w:tcPr>
            <w:tcW w:w="1867" w:type="pct"/>
            <w:gridSpan w:val="2"/>
            <w:vAlign w:val="center"/>
          </w:tcPr>
          <w:p w14:paraId="055DA61E">
            <w:pPr>
              <w:jc w:val="center"/>
              <w:rPr>
                <w:sz w:val="18"/>
                <w:szCs w:val="18"/>
              </w:rPr>
            </w:pPr>
            <w:r>
              <w:rPr>
                <w:sz w:val="18"/>
                <w:szCs w:val="18"/>
              </w:rPr>
              <w:t>无组织排放监控浓度限值</w:t>
            </w:r>
          </w:p>
        </w:tc>
      </w:tr>
      <w:tr w14:paraId="5B9BE0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63" w:type="pct"/>
            <w:vMerge w:val="continue"/>
            <w:tcBorders>
              <w:bottom w:val="single" w:color="auto" w:sz="12" w:space="0"/>
            </w:tcBorders>
            <w:vAlign w:val="center"/>
          </w:tcPr>
          <w:p w14:paraId="31B0967D">
            <w:pPr>
              <w:jc w:val="center"/>
              <w:rPr>
                <w:sz w:val="18"/>
                <w:szCs w:val="18"/>
              </w:rPr>
            </w:pPr>
          </w:p>
        </w:tc>
        <w:tc>
          <w:tcPr>
            <w:tcW w:w="871" w:type="pct"/>
            <w:vMerge w:val="continue"/>
            <w:tcBorders>
              <w:bottom w:val="single" w:color="auto" w:sz="12" w:space="0"/>
            </w:tcBorders>
            <w:vAlign w:val="center"/>
          </w:tcPr>
          <w:p w14:paraId="5E8A03F6">
            <w:pPr>
              <w:jc w:val="center"/>
              <w:rPr>
                <w:sz w:val="18"/>
                <w:szCs w:val="18"/>
              </w:rPr>
            </w:pPr>
          </w:p>
        </w:tc>
        <w:tc>
          <w:tcPr>
            <w:tcW w:w="852" w:type="pct"/>
            <w:tcBorders>
              <w:bottom w:val="single" w:color="auto" w:sz="12" w:space="0"/>
            </w:tcBorders>
            <w:vAlign w:val="center"/>
          </w:tcPr>
          <w:p w14:paraId="6FC6EA4D">
            <w:pPr>
              <w:jc w:val="center"/>
              <w:rPr>
                <w:sz w:val="18"/>
                <w:szCs w:val="18"/>
              </w:rPr>
            </w:pPr>
            <w:r>
              <w:rPr>
                <w:sz w:val="18"/>
                <w:szCs w:val="18"/>
              </w:rPr>
              <w:t>排气筒高度</w:t>
            </w:r>
          </w:p>
        </w:tc>
        <w:tc>
          <w:tcPr>
            <w:tcW w:w="645" w:type="pct"/>
            <w:tcBorders>
              <w:bottom w:val="single" w:color="auto" w:sz="12" w:space="0"/>
            </w:tcBorders>
            <w:vAlign w:val="center"/>
          </w:tcPr>
          <w:p w14:paraId="3D17886E">
            <w:pPr>
              <w:jc w:val="center"/>
              <w:rPr>
                <w:sz w:val="18"/>
                <w:szCs w:val="18"/>
              </w:rPr>
            </w:pPr>
            <w:r>
              <w:rPr>
                <w:sz w:val="18"/>
                <w:szCs w:val="18"/>
              </w:rPr>
              <w:t>二级</w:t>
            </w:r>
          </w:p>
        </w:tc>
        <w:tc>
          <w:tcPr>
            <w:tcW w:w="1139" w:type="pct"/>
            <w:tcBorders>
              <w:bottom w:val="single" w:color="auto" w:sz="12" w:space="0"/>
            </w:tcBorders>
            <w:vAlign w:val="center"/>
          </w:tcPr>
          <w:p w14:paraId="4AD9B28F">
            <w:pPr>
              <w:jc w:val="center"/>
              <w:rPr>
                <w:sz w:val="18"/>
                <w:szCs w:val="18"/>
              </w:rPr>
            </w:pPr>
            <w:r>
              <w:rPr>
                <w:sz w:val="18"/>
                <w:szCs w:val="18"/>
              </w:rPr>
              <w:t>监控点</w:t>
            </w:r>
          </w:p>
        </w:tc>
        <w:tc>
          <w:tcPr>
            <w:tcW w:w="728" w:type="pct"/>
            <w:tcBorders>
              <w:bottom w:val="single" w:color="auto" w:sz="12" w:space="0"/>
            </w:tcBorders>
            <w:vAlign w:val="center"/>
          </w:tcPr>
          <w:p w14:paraId="1CA4068C">
            <w:pPr>
              <w:jc w:val="center"/>
              <w:rPr>
                <w:sz w:val="18"/>
                <w:szCs w:val="18"/>
              </w:rPr>
            </w:pPr>
            <w:r>
              <w:rPr>
                <w:sz w:val="18"/>
                <w:szCs w:val="18"/>
              </w:rPr>
              <w:t>浓度mg/m</w:t>
            </w:r>
            <w:r>
              <w:rPr>
                <w:sz w:val="18"/>
                <w:szCs w:val="18"/>
                <w:vertAlign w:val="superscript"/>
              </w:rPr>
              <w:t>3</w:t>
            </w:r>
          </w:p>
        </w:tc>
      </w:tr>
      <w:tr w14:paraId="26E6EA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63" w:type="pct"/>
            <w:tcBorders>
              <w:top w:val="single" w:color="auto" w:sz="12" w:space="0"/>
              <w:tl2br w:val="nil"/>
              <w:tr2bl w:val="nil"/>
            </w:tcBorders>
            <w:vAlign w:val="center"/>
          </w:tcPr>
          <w:p w14:paraId="05F61A31">
            <w:pPr>
              <w:jc w:val="center"/>
              <w:rPr>
                <w:sz w:val="18"/>
                <w:szCs w:val="18"/>
              </w:rPr>
            </w:pPr>
            <w:r>
              <w:rPr>
                <w:sz w:val="18"/>
                <w:szCs w:val="18"/>
              </w:rPr>
              <w:t>颗粒物</w:t>
            </w:r>
          </w:p>
        </w:tc>
        <w:tc>
          <w:tcPr>
            <w:tcW w:w="871" w:type="pct"/>
            <w:tcBorders>
              <w:top w:val="single" w:color="auto" w:sz="12" w:space="0"/>
              <w:tl2br w:val="nil"/>
              <w:tr2bl w:val="nil"/>
            </w:tcBorders>
            <w:vAlign w:val="center"/>
          </w:tcPr>
          <w:p w14:paraId="4D578CB6">
            <w:pPr>
              <w:jc w:val="center"/>
              <w:rPr>
                <w:sz w:val="18"/>
                <w:szCs w:val="18"/>
              </w:rPr>
            </w:pPr>
            <w:r>
              <w:rPr>
                <w:sz w:val="18"/>
                <w:szCs w:val="18"/>
              </w:rPr>
              <w:t>120</w:t>
            </w:r>
          </w:p>
        </w:tc>
        <w:tc>
          <w:tcPr>
            <w:tcW w:w="852" w:type="pct"/>
            <w:tcBorders>
              <w:top w:val="single" w:color="auto" w:sz="12" w:space="0"/>
              <w:tl2br w:val="nil"/>
              <w:tr2bl w:val="nil"/>
            </w:tcBorders>
            <w:vAlign w:val="center"/>
          </w:tcPr>
          <w:p w14:paraId="32BE03D3">
            <w:pPr>
              <w:jc w:val="center"/>
              <w:rPr>
                <w:sz w:val="18"/>
                <w:szCs w:val="18"/>
              </w:rPr>
            </w:pPr>
            <w:r>
              <w:rPr>
                <w:sz w:val="18"/>
                <w:szCs w:val="18"/>
              </w:rPr>
              <w:t>15m</w:t>
            </w:r>
          </w:p>
        </w:tc>
        <w:tc>
          <w:tcPr>
            <w:tcW w:w="645" w:type="pct"/>
            <w:tcBorders>
              <w:top w:val="single" w:color="auto" w:sz="12" w:space="0"/>
              <w:tl2br w:val="nil"/>
              <w:tr2bl w:val="nil"/>
            </w:tcBorders>
            <w:vAlign w:val="center"/>
          </w:tcPr>
          <w:p w14:paraId="3EA58A19">
            <w:pPr>
              <w:jc w:val="center"/>
              <w:rPr>
                <w:sz w:val="18"/>
                <w:szCs w:val="18"/>
              </w:rPr>
            </w:pPr>
            <w:r>
              <w:rPr>
                <w:sz w:val="18"/>
                <w:szCs w:val="18"/>
              </w:rPr>
              <w:t>3.5</w:t>
            </w:r>
          </w:p>
        </w:tc>
        <w:tc>
          <w:tcPr>
            <w:tcW w:w="1139" w:type="pct"/>
            <w:tcBorders>
              <w:top w:val="single" w:color="auto" w:sz="12" w:space="0"/>
              <w:tl2br w:val="nil"/>
              <w:tr2bl w:val="nil"/>
            </w:tcBorders>
            <w:vAlign w:val="center"/>
          </w:tcPr>
          <w:p w14:paraId="6FAFAFC1">
            <w:pPr>
              <w:jc w:val="center"/>
              <w:rPr>
                <w:sz w:val="18"/>
                <w:szCs w:val="18"/>
              </w:rPr>
            </w:pPr>
            <w:r>
              <w:rPr>
                <w:sz w:val="18"/>
                <w:szCs w:val="18"/>
              </w:rPr>
              <w:t>周界外浓度最高点</w:t>
            </w:r>
          </w:p>
        </w:tc>
        <w:tc>
          <w:tcPr>
            <w:tcW w:w="728" w:type="pct"/>
            <w:tcBorders>
              <w:top w:val="single" w:color="auto" w:sz="12" w:space="0"/>
              <w:tl2br w:val="nil"/>
              <w:tr2bl w:val="nil"/>
            </w:tcBorders>
            <w:vAlign w:val="center"/>
          </w:tcPr>
          <w:p w14:paraId="41F674AD">
            <w:pPr>
              <w:jc w:val="center"/>
              <w:rPr>
                <w:sz w:val="18"/>
                <w:szCs w:val="18"/>
              </w:rPr>
            </w:pPr>
            <w:r>
              <w:rPr>
                <w:sz w:val="18"/>
                <w:szCs w:val="18"/>
              </w:rPr>
              <w:t>1.0</w:t>
            </w:r>
          </w:p>
        </w:tc>
      </w:tr>
    </w:tbl>
    <w:p w14:paraId="03C073DF">
      <w:pPr>
        <w:pStyle w:val="119"/>
        <w:rPr>
          <w:rFonts w:ascii="Times New Roman" w:hAnsi="Times New Roman" w:cs="Times New Roman"/>
        </w:rPr>
      </w:pPr>
    </w:p>
    <w:p w14:paraId="0929ED49">
      <w:pPr>
        <w:pStyle w:val="814"/>
        <w:tabs>
          <w:tab w:val="left" w:pos="0"/>
        </w:tabs>
        <w:snapToGrid w:val="0"/>
        <w:spacing w:line="240" w:lineRule="auto"/>
        <w:rPr>
          <w:rFonts w:eastAsia="黑体"/>
          <w:color w:val="000000" w:themeColor="text1"/>
          <w14:textFill>
            <w14:solidFill>
              <w14:schemeClr w14:val="tx1"/>
            </w14:solidFill>
          </w14:textFill>
        </w:rPr>
      </w:pPr>
      <w:r>
        <w:rPr>
          <w:b/>
          <w:bCs/>
          <w:color w:val="000000" w:themeColor="text1"/>
          <w:szCs w:val="21"/>
          <w14:textFill>
            <w14:solidFill>
              <w14:schemeClr w14:val="tx1"/>
            </w14:solidFill>
          </w14:textFill>
        </w:rPr>
        <w:t>表2.6-9</w:t>
      </w:r>
      <w:r>
        <w:rPr>
          <w:rFonts w:eastAsia="黑体"/>
          <w:color w:val="000000" w:themeColor="text1"/>
          <w14:textFill>
            <w14:solidFill>
              <w14:schemeClr w14:val="tx1"/>
            </w14:solidFill>
          </w14:textFill>
        </w:rPr>
        <w:t>恶臭污染物排放限值</w:t>
      </w:r>
    </w:p>
    <w:tbl>
      <w:tblPr>
        <w:tblStyle w:val="88"/>
        <w:tblW w:w="495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214"/>
        <w:gridCol w:w="1076"/>
        <w:gridCol w:w="1251"/>
        <w:gridCol w:w="1846"/>
        <w:gridCol w:w="2855"/>
      </w:tblGrid>
      <w:tr w14:paraId="4E5573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1388" w:type="pct"/>
            <w:gridSpan w:val="2"/>
            <w:vAlign w:val="center"/>
          </w:tcPr>
          <w:p w14:paraId="2880B0A2">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大气排放源</w:t>
            </w:r>
          </w:p>
        </w:tc>
        <w:tc>
          <w:tcPr>
            <w:tcW w:w="1879" w:type="pct"/>
            <w:gridSpan w:val="2"/>
            <w:vAlign w:val="center"/>
          </w:tcPr>
          <w:p w14:paraId="6C0509A5">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无组织排放监控浓度限值</w:t>
            </w:r>
          </w:p>
        </w:tc>
        <w:tc>
          <w:tcPr>
            <w:tcW w:w="1731" w:type="pct"/>
            <w:vMerge w:val="restart"/>
            <w:vAlign w:val="center"/>
          </w:tcPr>
          <w:p w14:paraId="184FF422">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标准名称</w:t>
            </w:r>
          </w:p>
        </w:tc>
      </w:tr>
      <w:tr w14:paraId="6DBC3A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36" w:type="pct"/>
            <w:tcBorders>
              <w:bottom w:val="single" w:color="auto" w:sz="12" w:space="0"/>
            </w:tcBorders>
            <w:vAlign w:val="center"/>
          </w:tcPr>
          <w:p w14:paraId="3F2E63FF">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编号</w:t>
            </w:r>
          </w:p>
        </w:tc>
        <w:tc>
          <w:tcPr>
            <w:tcW w:w="651" w:type="pct"/>
            <w:tcBorders>
              <w:bottom w:val="single" w:color="auto" w:sz="12" w:space="0"/>
            </w:tcBorders>
            <w:vAlign w:val="center"/>
          </w:tcPr>
          <w:p w14:paraId="71BF1183">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污染物</w:t>
            </w:r>
          </w:p>
        </w:tc>
        <w:tc>
          <w:tcPr>
            <w:tcW w:w="759" w:type="pct"/>
            <w:tcBorders>
              <w:bottom w:val="single" w:color="auto" w:sz="12" w:space="0"/>
            </w:tcBorders>
            <w:vAlign w:val="center"/>
          </w:tcPr>
          <w:p w14:paraId="4A0FD3AA">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监控点</w:t>
            </w:r>
          </w:p>
        </w:tc>
        <w:tc>
          <w:tcPr>
            <w:tcW w:w="1120" w:type="pct"/>
            <w:tcBorders>
              <w:bottom w:val="single" w:color="auto" w:sz="12" w:space="0"/>
            </w:tcBorders>
            <w:vAlign w:val="center"/>
          </w:tcPr>
          <w:p w14:paraId="5C37EB03">
            <w:pPr>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浓度（mg/m</w:t>
            </w:r>
            <w:r>
              <w:rPr>
                <w:rFonts w:eastAsia="黑体"/>
                <w:bCs/>
                <w:color w:val="000000" w:themeColor="text1"/>
                <w:sz w:val="18"/>
                <w:szCs w:val="18"/>
                <w:vertAlign w:val="superscript"/>
                <w14:textFill>
                  <w14:solidFill>
                    <w14:schemeClr w14:val="tx1"/>
                  </w14:solidFill>
                </w14:textFill>
              </w:rPr>
              <w:t>3</w:t>
            </w:r>
            <w:r>
              <w:rPr>
                <w:rFonts w:eastAsia="黑体"/>
                <w:bCs/>
                <w:color w:val="000000" w:themeColor="text1"/>
                <w:sz w:val="18"/>
                <w:szCs w:val="18"/>
                <w14:textFill>
                  <w14:solidFill>
                    <w14:schemeClr w14:val="tx1"/>
                  </w14:solidFill>
                </w14:textFill>
              </w:rPr>
              <w:t>）</w:t>
            </w:r>
          </w:p>
        </w:tc>
        <w:tc>
          <w:tcPr>
            <w:tcW w:w="1731" w:type="pct"/>
            <w:vMerge w:val="continue"/>
            <w:tcBorders>
              <w:bottom w:val="single" w:color="auto" w:sz="12" w:space="0"/>
            </w:tcBorders>
            <w:vAlign w:val="center"/>
          </w:tcPr>
          <w:p w14:paraId="683FAC27">
            <w:pPr>
              <w:snapToGrid w:val="0"/>
              <w:jc w:val="center"/>
              <w:rPr>
                <w:rFonts w:eastAsia="黑体"/>
                <w:bCs/>
                <w:color w:val="000000" w:themeColor="text1"/>
                <w:sz w:val="18"/>
                <w:szCs w:val="18"/>
                <w14:textFill>
                  <w14:solidFill>
                    <w14:schemeClr w14:val="tx1"/>
                  </w14:solidFill>
                </w14:textFill>
              </w:rPr>
            </w:pPr>
          </w:p>
        </w:tc>
      </w:tr>
      <w:tr w14:paraId="0366C0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36" w:type="pct"/>
            <w:vMerge w:val="restart"/>
            <w:tcBorders>
              <w:top w:val="single" w:color="auto" w:sz="12" w:space="0"/>
            </w:tcBorders>
            <w:vAlign w:val="center"/>
          </w:tcPr>
          <w:p w14:paraId="69267E69">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无组织</w:t>
            </w:r>
          </w:p>
        </w:tc>
        <w:tc>
          <w:tcPr>
            <w:tcW w:w="651" w:type="pct"/>
            <w:tcBorders>
              <w:top w:val="single" w:color="auto" w:sz="12" w:space="0"/>
            </w:tcBorders>
            <w:vAlign w:val="center"/>
          </w:tcPr>
          <w:p w14:paraId="04CC77DC">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硫化氢</w:t>
            </w:r>
          </w:p>
        </w:tc>
        <w:tc>
          <w:tcPr>
            <w:tcW w:w="759" w:type="pct"/>
            <w:tcBorders>
              <w:top w:val="single" w:color="auto" w:sz="12" w:space="0"/>
            </w:tcBorders>
            <w:vAlign w:val="center"/>
          </w:tcPr>
          <w:p w14:paraId="331EF41C">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厂界</w:t>
            </w:r>
          </w:p>
        </w:tc>
        <w:tc>
          <w:tcPr>
            <w:tcW w:w="1120" w:type="pct"/>
            <w:tcBorders>
              <w:top w:val="single" w:color="auto" w:sz="12" w:space="0"/>
            </w:tcBorders>
            <w:vAlign w:val="center"/>
          </w:tcPr>
          <w:p w14:paraId="4587B10F">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0.06</w:t>
            </w:r>
          </w:p>
        </w:tc>
        <w:tc>
          <w:tcPr>
            <w:tcW w:w="1731" w:type="pct"/>
            <w:vMerge w:val="restart"/>
            <w:tcBorders>
              <w:top w:val="single" w:color="auto" w:sz="12" w:space="0"/>
            </w:tcBorders>
            <w:vAlign w:val="center"/>
          </w:tcPr>
          <w:p w14:paraId="01A072F5">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《恶臭污染物排放标准》（GB 14554-93）</w:t>
            </w:r>
          </w:p>
        </w:tc>
      </w:tr>
      <w:tr w14:paraId="54D004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36" w:type="pct"/>
            <w:vMerge w:val="continue"/>
            <w:vAlign w:val="center"/>
          </w:tcPr>
          <w:p w14:paraId="17FB6680">
            <w:pPr>
              <w:snapToGrid w:val="0"/>
              <w:jc w:val="center"/>
              <w:rPr>
                <w:color w:val="000000" w:themeColor="text1"/>
                <w:sz w:val="18"/>
                <w:szCs w:val="18"/>
                <w14:textFill>
                  <w14:solidFill>
                    <w14:schemeClr w14:val="tx1"/>
                  </w14:solidFill>
                </w14:textFill>
              </w:rPr>
            </w:pPr>
          </w:p>
        </w:tc>
        <w:tc>
          <w:tcPr>
            <w:tcW w:w="651" w:type="pct"/>
            <w:vAlign w:val="center"/>
          </w:tcPr>
          <w:p w14:paraId="229808D0">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氨</w:t>
            </w:r>
          </w:p>
        </w:tc>
        <w:tc>
          <w:tcPr>
            <w:tcW w:w="759" w:type="pct"/>
            <w:vAlign w:val="center"/>
          </w:tcPr>
          <w:p w14:paraId="3D96D2A2">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厂界</w:t>
            </w:r>
          </w:p>
        </w:tc>
        <w:tc>
          <w:tcPr>
            <w:tcW w:w="1120" w:type="pct"/>
            <w:vAlign w:val="center"/>
          </w:tcPr>
          <w:p w14:paraId="5E1B704F">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1.5</w:t>
            </w:r>
          </w:p>
        </w:tc>
        <w:tc>
          <w:tcPr>
            <w:tcW w:w="1731" w:type="pct"/>
            <w:vMerge w:val="continue"/>
            <w:vAlign w:val="center"/>
          </w:tcPr>
          <w:p w14:paraId="5DB07046">
            <w:pPr>
              <w:snapToGrid w:val="0"/>
              <w:jc w:val="center"/>
              <w:rPr>
                <w:color w:val="000000" w:themeColor="text1"/>
                <w:sz w:val="18"/>
                <w:szCs w:val="18"/>
                <w14:textFill>
                  <w14:solidFill>
                    <w14:schemeClr w14:val="tx1"/>
                  </w14:solidFill>
                </w14:textFill>
              </w:rPr>
            </w:pPr>
          </w:p>
        </w:tc>
      </w:tr>
      <w:tr w14:paraId="690E88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736" w:type="pct"/>
            <w:vAlign w:val="center"/>
          </w:tcPr>
          <w:p w14:paraId="4B4F1844">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无组织</w:t>
            </w:r>
          </w:p>
        </w:tc>
        <w:tc>
          <w:tcPr>
            <w:tcW w:w="651" w:type="pct"/>
            <w:vAlign w:val="center"/>
          </w:tcPr>
          <w:p w14:paraId="3462B8E1">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臭气浓度</w:t>
            </w:r>
          </w:p>
        </w:tc>
        <w:tc>
          <w:tcPr>
            <w:tcW w:w="759" w:type="pct"/>
            <w:vAlign w:val="center"/>
          </w:tcPr>
          <w:p w14:paraId="4A5B50DA">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厂界</w:t>
            </w:r>
          </w:p>
        </w:tc>
        <w:tc>
          <w:tcPr>
            <w:tcW w:w="1120" w:type="pct"/>
            <w:vAlign w:val="center"/>
          </w:tcPr>
          <w:p w14:paraId="2C398F1E">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70（无量纲）</w:t>
            </w:r>
          </w:p>
        </w:tc>
        <w:tc>
          <w:tcPr>
            <w:tcW w:w="1731" w:type="pct"/>
            <w:vAlign w:val="center"/>
          </w:tcPr>
          <w:p w14:paraId="37343629">
            <w:pPr>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《畜禽养殖业污染物排放标准》（GB 18596-2001）中表7标准限值</w:t>
            </w:r>
          </w:p>
        </w:tc>
      </w:tr>
    </w:tbl>
    <w:p w14:paraId="6D9A6CC1">
      <w:pPr>
        <w:pStyle w:val="119"/>
        <w:spacing w:line="360" w:lineRule="auto"/>
        <w:ind w:firstLine="480" w:firstLineChars="20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3、噪声</w:t>
      </w:r>
    </w:p>
    <w:p w14:paraId="584B23E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施工期噪声执行《建筑施工场界环境噪声排放标准》（GB12523-2011）中噪声限值。运营期噪声执行《工业企业厂界环境噪声排放标准》（GB12348-2008）2类标准。</w:t>
      </w:r>
    </w:p>
    <w:p w14:paraId="55ACE4BA">
      <w:pPr>
        <w:pStyle w:val="814"/>
        <w:numPr>
          <w:ilvl w:val="0"/>
          <w:numId w:val="24"/>
        </w:numPr>
        <w:tabs>
          <w:tab w:val="left" w:pos="0"/>
        </w:tabs>
        <w:snapToGrid w:val="0"/>
        <w:spacing w:line="240" w:lineRule="auto"/>
        <w:rPr>
          <w:b/>
          <w:bCs/>
          <w:color w:val="000000" w:themeColor="text1"/>
          <w14:textFill>
            <w14:solidFill>
              <w14:schemeClr w14:val="tx1"/>
            </w14:solidFill>
          </w14:textFill>
        </w:rPr>
      </w:pPr>
      <w:r>
        <w:rPr>
          <w:b/>
          <w:bCs/>
          <w:color w:val="000000" w:themeColor="text1"/>
          <w14:textFill>
            <w14:solidFill>
              <w14:schemeClr w14:val="tx1"/>
            </w14:solidFill>
          </w14:textFill>
        </w:rPr>
        <w:t>工业企业厂界环境噪声标准</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2166"/>
        <w:gridCol w:w="1225"/>
        <w:gridCol w:w="1209"/>
        <w:gridCol w:w="3713"/>
      </w:tblGrid>
      <w:tr w14:paraId="7C387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81" w:type="dxa"/>
            <w:tcMar>
              <w:left w:w="28" w:type="dxa"/>
              <w:right w:w="28" w:type="dxa"/>
            </w:tcMar>
            <w:vAlign w:val="center"/>
          </w:tcPr>
          <w:p w14:paraId="64CF99EC">
            <w:pPr>
              <w:adjustRightIn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类别</w:t>
            </w:r>
          </w:p>
        </w:tc>
        <w:tc>
          <w:tcPr>
            <w:tcW w:w="1233" w:type="dxa"/>
            <w:tcMar>
              <w:left w:w="28" w:type="dxa"/>
              <w:right w:w="28" w:type="dxa"/>
            </w:tcMar>
            <w:vAlign w:val="center"/>
          </w:tcPr>
          <w:p w14:paraId="0B50D139">
            <w:pPr>
              <w:adjustRightIn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昼间</w:t>
            </w:r>
          </w:p>
        </w:tc>
        <w:tc>
          <w:tcPr>
            <w:tcW w:w="1217" w:type="dxa"/>
            <w:tcMar>
              <w:left w:w="28" w:type="dxa"/>
              <w:right w:w="28" w:type="dxa"/>
            </w:tcMar>
            <w:vAlign w:val="center"/>
          </w:tcPr>
          <w:p w14:paraId="36772D0F">
            <w:pPr>
              <w:adjustRightIn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夜间</w:t>
            </w:r>
          </w:p>
        </w:tc>
        <w:tc>
          <w:tcPr>
            <w:tcW w:w="3738" w:type="dxa"/>
            <w:tcMar>
              <w:left w:w="28" w:type="dxa"/>
              <w:right w:w="28" w:type="dxa"/>
            </w:tcMar>
            <w:vAlign w:val="center"/>
          </w:tcPr>
          <w:p w14:paraId="15085884">
            <w:pPr>
              <w:adjustRightInd w:val="0"/>
              <w:jc w:val="center"/>
              <w:textAlignment w:val="baseline"/>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依据</w:t>
            </w:r>
          </w:p>
        </w:tc>
      </w:tr>
      <w:tr w14:paraId="0E5E6C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81" w:type="dxa"/>
            <w:vMerge w:val="restart"/>
            <w:tcMar>
              <w:left w:w="28" w:type="dxa"/>
              <w:right w:w="28" w:type="dxa"/>
            </w:tcMar>
            <w:vAlign w:val="center"/>
          </w:tcPr>
          <w:p w14:paraId="1E6EA097">
            <w:pPr>
              <w:adjustRightInd w:val="0"/>
              <w:jc w:val="center"/>
              <w:textAlignment w:val="baseline"/>
              <w:rPr>
                <w:b/>
                <w:color w:val="000000" w:themeColor="text1"/>
                <w:szCs w:val="21"/>
                <w14:textFill>
                  <w14:solidFill>
                    <w14:schemeClr w14:val="tx1"/>
                  </w14:solidFill>
                </w14:textFill>
              </w:rPr>
            </w:pPr>
            <w:r>
              <w:rPr>
                <w:color w:val="000000" w:themeColor="text1"/>
                <w:szCs w:val="21"/>
                <w14:textFill>
                  <w14:solidFill>
                    <w14:schemeClr w14:val="tx1"/>
                  </w14:solidFill>
                </w14:textFill>
              </w:rPr>
              <w:t>噪声限值[LeqdB(A)]</w:t>
            </w:r>
          </w:p>
        </w:tc>
        <w:tc>
          <w:tcPr>
            <w:tcW w:w="1233" w:type="dxa"/>
            <w:tcMar>
              <w:left w:w="28" w:type="dxa"/>
              <w:right w:w="28" w:type="dxa"/>
            </w:tcMar>
            <w:vAlign w:val="center"/>
          </w:tcPr>
          <w:p w14:paraId="1513815F">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1217" w:type="dxa"/>
            <w:tcMar>
              <w:left w:w="28" w:type="dxa"/>
              <w:right w:w="28" w:type="dxa"/>
            </w:tcMar>
            <w:vAlign w:val="center"/>
          </w:tcPr>
          <w:p w14:paraId="2856DC0D">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55</w:t>
            </w:r>
          </w:p>
        </w:tc>
        <w:tc>
          <w:tcPr>
            <w:tcW w:w="3738" w:type="dxa"/>
            <w:tcMar>
              <w:left w:w="28" w:type="dxa"/>
              <w:right w:w="28" w:type="dxa"/>
            </w:tcMar>
            <w:vAlign w:val="center"/>
          </w:tcPr>
          <w:p w14:paraId="27449D97">
            <w:pPr>
              <w:adjustRightInd w:val="0"/>
              <w:jc w:val="center"/>
              <w:textAlignment w:val="baseline"/>
              <w:rPr>
                <w:b/>
                <w:color w:val="000000" w:themeColor="text1"/>
                <w:szCs w:val="21"/>
                <w14:textFill>
                  <w14:solidFill>
                    <w14:schemeClr w14:val="tx1"/>
                  </w14:solidFill>
                </w14:textFill>
              </w:rPr>
            </w:pPr>
            <w:r>
              <w:rPr>
                <w:color w:val="000000" w:themeColor="text1"/>
                <w:szCs w:val="21"/>
                <w14:textFill>
                  <w14:solidFill>
                    <w14:schemeClr w14:val="tx1"/>
                  </w14:solidFill>
                </w14:textFill>
              </w:rPr>
              <w:t>《建筑施工场界环境噪声排放标准》（GB12523-2011）</w:t>
            </w:r>
          </w:p>
        </w:tc>
      </w:tr>
      <w:tr w14:paraId="651FD6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181" w:type="dxa"/>
            <w:vMerge w:val="continue"/>
            <w:tcMar>
              <w:left w:w="28" w:type="dxa"/>
              <w:right w:w="28" w:type="dxa"/>
            </w:tcMar>
            <w:vAlign w:val="center"/>
          </w:tcPr>
          <w:p w14:paraId="5776DD4C">
            <w:pPr>
              <w:adjustRightInd w:val="0"/>
              <w:jc w:val="center"/>
              <w:textAlignment w:val="baseline"/>
              <w:rPr>
                <w:color w:val="000000" w:themeColor="text1"/>
                <w:szCs w:val="21"/>
                <w14:textFill>
                  <w14:solidFill>
                    <w14:schemeClr w14:val="tx1"/>
                  </w14:solidFill>
                </w14:textFill>
              </w:rPr>
            </w:pPr>
          </w:p>
        </w:tc>
        <w:tc>
          <w:tcPr>
            <w:tcW w:w="1233" w:type="dxa"/>
            <w:tcMar>
              <w:left w:w="28" w:type="dxa"/>
              <w:right w:w="28" w:type="dxa"/>
            </w:tcMar>
            <w:vAlign w:val="center"/>
          </w:tcPr>
          <w:p w14:paraId="06148D6C">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1217" w:type="dxa"/>
            <w:tcMar>
              <w:left w:w="28" w:type="dxa"/>
              <w:right w:w="28" w:type="dxa"/>
            </w:tcMar>
            <w:vAlign w:val="center"/>
          </w:tcPr>
          <w:p w14:paraId="5D820F6C">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50</w:t>
            </w:r>
          </w:p>
        </w:tc>
        <w:tc>
          <w:tcPr>
            <w:tcW w:w="3738" w:type="dxa"/>
            <w:tcMar>
              <w:left w:w="28" w:type="dxa"/>
              <w:right w:w="28" w:type="dxa"/>
            </w:tcMar>
            <w:vAlign w:val="center"/>
          </w:tcPr>
          <w:p w14:paraId="61967BFF">
            <w:pPr>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《工业企业厂界环境噪声排放标准》（GB12348-2008）2类</w:t>
            </w:r>
          </w:p>
        </w:tc>
      </w:tr>
    </w:tbl>
    <w:p w14:paraId="117C94E8">
      <w:pPr>
        <w:pStyle w:val="119"/>
        <w:spacing w:line="360" w:lineRule="auto"/>
        <w:ind w:firstLine="480" w:firstLineChars="20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4、固体废物</w:t>
      </w:r>
    </w:p>
    <w:p w14:paraId="73692FC4">
      <w:pPr>
        <w:adjustRightInd w:val="0"/>
        <w:snapToGrid w:val="0"/>
        <w:spacing w:line="360" w:lineRule="auto"/>
        <w:ind w:firstLine="480" w:firstLineChars="200"/>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一般固体废物暂存应采取防扬散、防流失、防渗漏或者其他防止污染环境的措施；危险废物暂存执行《危险废物贮存污染控制标准》（GB 18597-2023）中的相关规定，动物防疫废弃物执行《中华人民共和国动物防疫法》中的相关要求进行无害化处理，其中医疗废物执行《医疗废物处理处置污染控制标准》（GB 39707-2020）中相关要求。病死牛的贮存和处置执行《病死畜禽和病害畜禽产品无害化处理管理办法》（中华人民共和国农业农村部令2022年第3号）、《病死及病害动物无害化处理技术规范》的通知（农医发〔2017〕25号）有关要求；项目废弃发酵垫料（含粪污）由周边农户用作农肥施用，应符合《畜禽养殖业污染物排放标准》（GB 18596-2001）中表6畜禽养殖业废渣无害化环境标准要求。</w:t>
      </w:r>
    </w:p>
    <w:p w14:paraId="255A67D8">
      <w:pPr>
        <w:pStyle w:val="814"/>
        <w:tabs>
          <w:tab w:val="left" w:pos="0"/>
        </w:tabs>
        <w:snapToGrid w:val="0"/>
        <w:spacing w:line="240" w:lineRule="auto"/>
        <w:rPr>
          <w:rFonts w:eastAsia="黑体"/>
          <w:color w:val="000000" w:themeColor="text1"/>
          <w14:textFill>
            <w14:solidFill>
              <w14:schemeClr w14:val="tx1"/>
            </w14:solidFill>
          </w14:textFill>
        </w:rPr>
      </w:pPr>
      <w:r>
        <w:rPr>
          <w:b/>
          <w:bCs/>
          <w:color w:val="000000" w:themeColor="text1"/>
          <w:szCs w:val="21"/>
          <w14:textFill>
            <w14:solidFill>
              <w14:schemeClr w14:val="tx1"/>
            </w14:solidFill>
          </w14:textFill>
        </w:rPr>
        <w:t>表2.6-11</w:t>
      </w:r>
      <w:r>
        <w:rPr>
          <w:rFonts w:eastAsia="黑体"/>
          <w:color w:val="000000" w:themeColor="text1"/>
          <w14:textFill>
            <w14:solidFill>
              <w14:schemeClr w14:val="tx1"/>
            </w14:solidFill>
          </w14:textFill>
        </w:rPr>
        <w:t>畜禽养殖业废渣无害化环境标准</w:t>
      </w:r>
    </w:p>
    <w:tbl>
      <w:tblPr>
        <w:tblStyle w:val="88"/>
        <w:tblW w:w="492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2011"/>
        <w:gridCol w:w="6172"/>
      </w:tblGrid>
      <w:tr w14:paraId="718F5E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65" w:hRule="atLeast"/>
          <w:jc w:val="center"/>
        </w:trPr>
        <w:tc>
          <w:tcPr>
            <w:tcW w:w="2024" w:type="dxa"/>
            <w:tcMar>
              <w:left w:w="28" w:type="dxa"/>
              <w:right w:w="28" w:type="dxa"/>
            </w:tcMar>
            <w:vAlign w:val="center"/>
          </w:tcPr>
          <w:p w14:paraId="184E83D7">
            <w:pPr>
              <w:adjustRightInd w:val="0"/>
              <w:jc w:val="center"/>
              <w:textAlignment w:val="baseline"/>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控制项目</w:t>
            </w:r>
          </w:p>
        </w:tc>
        <w:tc>
          <w:tcPr>
            <w:tcW w:w="6215" w:type="dxa"/>
            <w:tcMar>
              <w:left w:w="28" w:type="dxa"/>
              <w:right w:w="28" w:type="dxa"/>
            </w:tcMar>
            <w:vAlign w:val="center"/>
          </w:tcPr>
          <w:p w14:paraId="172495B1">
            <w:pPr>
              <w:adjustRightInd w:val="0"/>
              <w:jc w:val="center"/>
              <w:textAlignment w:val="baseline"/>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指标</w:t>
            </w:r>
          </w:p>
        </w:tc>
      </w:tr>
      <w:tr w14:paraId="65036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6" w:hRule="atLeast"/>
          <w:jc w:val="center"/>
        </w:trPr>
        <w:tc>
          <w:tcPr>
            <w:tcW w:w="2024" w:type="dxa"/>
            <w:tcMar>
              <w:left w:w="28" w:type="dxa"/>
              <w:right w:w="28" w:type="dxa"/>
            </w:tcMar>
            <w:vAlign w:val="center"/>
          </w:tcPr>
          <w:p w14:paraId="24358EFC">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蛔虫卵</w:t>
            </w:r>
          </w:p>
        </w:tc>
        <w:tc>
          <w:tcPr>
            <w:tcW w:w="6215" w:type="dxa"/>
            <w:tcMar>
              <w:left w:w="28" w:type="dxa"/>
              <w:right w:w="28" w:type="dxa"/>
            </w:tcMar>
            <w:vAlign w:val="center"/>
          </w:tcPr>
          <w:p w14:paraId="35BB1437">
            <w:pPr>
              <w:adjustRightInd w:val="0"/>
              <w:jc w:val="center"/>
              <w:textAlignment w:val="baseline"/>
              <w:rPr>
                <w:b/>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死亡率≥95%</w:t>
            </w:r>
          </w:p>
        </w:tc>
      </w:tr>
      <w:tr w14:paraId="70581E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75" w:hRule="atLeast"/>
          <w:jc w:val="center"/>
        </w:trPr>
        <w:tc>
          <w:tcPr>
            <w:tcW w:w="2024" w:type="dxa"/>
            <w:tcMar>
              <w:left w:w="28" w:type="dxa"/>
              <w:right w:w="28" w:type="dxa"/>
            </w:tcMar>
            <w:vAlign w:val="center"/>
          </w:tcPr>
          <w:p w14:paraId="4E30EA16">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粪大肠菌群数</w:t>
            </w:r>
          </w:p>
        </w:tc>
        <w:tc>
          <w:tcPr>
            <w:tcW w:w="6215" w:type="dxa"/>
            <w:tcMar>
              <w:left w:w="28" w:type="dxa"/>
              <w:right w:w="28" w:type="dxa"/>
            </w:tcMar>
            <w:vAlign w:val="center"/>
          </w:tcPr>
          <w:p w14:paraId="4591402F">
            <w:pPr>
              <w:adjustRightInd w:val="0"/>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r>
              <w:rPr>
                <w:color w:val="000000" w:themeColor="text1"/>
                <w:sz w:val="18"/>
                <w:szCs w:val="18"/>
                <w:vertAlign w:val="superscript"/>
                <w14:textFill>
                  <w14:solidFill>
                    <w14:schemeClr w14:val="tx1"/>
                  </w14:solidFill>
                </w14:textFill>
              </w:rPr>
              <w:t>5</w:t>
            </w:r>
            <w:r>
              <w:rPr>
                <w:color w:val="000000" w:themeColor="text1"/>
                <w:sz w:val="18"/>
                <w:szCs w:val="18"/>
                <w14:textFill>
                  <w14:solidFill>
                    <w14:schemeClr w14:val="tx1"/>
                  </w14:solidFill>
                </w14:textFill>
              </w:rPr>
              <w:t>个/kg</w:t>
            </w:r>
          </w:p>
        </w:tc>
      </w:tr>
    </w:tbl>
    <w:p w14:paraId="7F848293">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5、生态环境</w:t>
      </w:r>
    </w:p>
    <w:p w14:paraId="19923CD0">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以不减少本项目区域内动植物种类及数量，不破坏生态系统完整性为准。</w:t>
      </w:r>
    </w:p>
    <w:p w14:paraId="1A33B156">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213" w:name="_Toc2592"/>
      <w:bookmarkStart w:id="214" w:name="_Toc520469037"/>
      <w:bookmarkStart w:id="215" w:name="_Toc40220653"/>
      <w:bookmarkStart w:id="216" w:name="_Toc233380136"/>
      <w:bookmarkStart w:id="217" w:name="_Toc174763772"/>
      <w:r>
        <w:rPr>
          <w:rFonts w:ascii="Times New Roman" w:hAnsi="Times New Roman" w:eastAsia="宋体"/>
          <w:color w:val="000000" w:themeColor="text1"/>
          <w:sz w:val="30"/>
          <w:szCs w:val="30"/>
          <w14:textFill>
            <w14:solidFill>
              <w14:schemeClr w14:val="tx1"/>
            </w14:solidFill>
          </w14:textFill>
        </w:rPr>
        <w:t>2.7评价重点及污染控制目标</w:t>
      </w:r>
      <w:bookmarkEnd w:id="213"/>
      <w:bookmarkEnd w:id="214"/>
      <w:bookmarkEnd w:id="215"/>
      <w:bookmarkEnd w:id="216"/>
    </w:p>
    <w:p w14:paraId="4C26E571">
      <w:pPr>
        <w:pStyle w:val="752"/>
        <w:rPr>
          <w:rFonts w:cs="Times New Roman"/>
          <w:color w:val="000000" w:themeColor="text1"/>
          <w14:textFill>
            <w14:solidFill>
              <w14:schemeClr w14:val="tx1"/>
            </w14:solidFill>
          </w14:textFill>
        </w:rPr>
      </w:pPr>
      <w:bookmarkStart w:id="218" w:name="_Toc365"/>
      <w:bookmarkStart w:id="219" w:name="_Toc21529554"/>
      <w:bookmarkStart w:id="220" w:name="_Toc28814576"/>
      <w:bookmarkStart w:id="221" w:name="_Toc27751092"/>
      <w:bookmarkStart w:id="222" w:name="_Toc40220654"/>
      <w:bookmarkStart w:id="223" w:name="_Toc233380137"/>
      <w:bookmarkStart w:id="224" w:name="OLE_LINK95"/>
      <w:bookmarkStart w:id="225" w:name="OLE_LINK96"/>
      <w:r>
        <w:rPr>
          <w:rFonts w:cs="Times New Roman"/>
          <w:color w:val="000000" w:themeColor="text1"/>
          <w14:textFill>
            <w14:solidFill>
              <w14:schemeClr w14:val="tx1"/>
            </w14:solidFill>
          </w14:textFill>
        </w:rPr>
        <w:t>2.7.1评价重点</w:t>
      </w:r>
      <w:bookmarkEnd w:id="218"/>
      <w:bookmarkEnd w:id="219"/>
      <w:bookmarkEnd w:id="220"/>
      <w:bookmarkEnd w:id="221"/>
      <w:bookmarkEnd w:id="222"/>
      <w:bookmarkEnd w:id="223"/>
    </w:p>
    <w:bookmarkEnd w:id="224"/>
    <w:bookmarkEnd w:id="225"/>
    <w:p w14:paraId="0B3CF88B">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通过收集建设项目有关资料，在深入进行工程分析的基础上，结合项目与区域各种环境因素制约条件、环境质量现状等，确定本次评价工作重点为：</w:t>
      </w:r>
    </w:p>
    <w:p w14:paraId="3D17B3D4">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（1）分析项目污染物排放源强和排放特征。</w:t>
      </w:r>
    </w:p>
    <w:p w14:paraId="515AA2DB">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（2）本项目采用的各种废水、废气及固体废物等污染物处置对策措施有效性；各污染物处理的达标可行性。</w:t>
      </w:r>
    </w:p>
    <w:p w14:paraId="1D269968">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（3）项目排放的污染物对环境可能造成的影响进行分析，明确项目排污对环境的影响范围和程度。</w:t>
      </w:r>
    </w:p>
    <w:p w14:paraId="6CD7E932">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以上三条作为评价重点，在工程分析方面，重点评价建设项目的工艺特征和污染防治措施，同时，对厂址选择的可行性给予评价。</w:t>
      </w:r>
    </w:p>
    <w:p w14:paraId="321A08C5">
      <w:pPr>
        <w:pStyle w:val="752"/>
        <w:rPr>
          <w:rFonts w:cs="Times New Roman"/>
          <w:color w:val="000000" w:themeColor="text1"/>
          <w14:textFill>
            <w14:solidFill>
              <w14:schemeClr w14:val="tx1"/>
            </w14:solidFill>
          </w14:textFill>
        </w:rPr>
      </w:pPr>
      <w:bookmarkStart w:id="226" w:name="_Toc21529555"/>
      <w:bookmarkStart w:id="227" w:name="_Toc30761"/>
      <w:bookmarkStart w:id="228" w:name="_Toc40220655"/>
      <w:bookmarkStart w:id="229" w:name="_Toc27751093"/>
      <w:bookmarkStart w:id="230" w:name="_Toc28814577"/>
      <w:bookmarkStart w:id="231" w:name="_Toc233380138"/>
      <w:r>
        <w:rPr>
          <w:rFonts w:cs="Times New Roman"/>
          <w:color w:val="000000" w:themeColor="text1"/>
          <w14:textFill>
            <w14:solidFill>
              <w14:schemeClr w14:val="tx1"/>
            </w14:solidFill>
          </w14:textFill>
        </w:rPr>
        <w:t>2.7.2污染控制目标</w:t>
      </w:r>
      <w:bookmarkEnd w:id="226"/>
      <w:bookmarkEnd w:id="227"/>
      <w:bookmarkEnd w:id="228"/>
      <w:bookmarkEnd w:id="229"/>
      <w:bookmarkEnd w:id="230"/>
      <w:bookmarkEnd w:id="231"/>
    </w:p>
    <w:p w14:paraId="2BCF2CBC">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按照国家“达标排放”、“清洁生产”、“总量控制”的原则，严格控制各种污染物的产生与排放，减少项目建设对周围环境的影响，达到保护环境的目的。</w:t>
      </w:r>
    </w:p>
    <w:p w14:paraId="45F3E07E">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（1）控制有组织及无组织废气的达标排放。</w:t>
      </w:r>
    </w:p>
    <w:p w14:paraId="37F82474">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固体废物遵守《中华人民共和国固体废物污染环境防治法》、《危险废物贮存污染控制标准》（GB18597-2023）等标准要求，落实固体废物的处理处置方案，并确保固废处置不会造成二次污染。固体废物应立足于回收或综合利用。</w:t>
      </w:r>
    </w:p>
    <w:p w14:paraId="459B5872">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（3）厂界噪声满足《工业企业厂界环境噪声排放标准》（GB12348-2008）中2类标准。</w:t>
      </w:r>
    </w:p>
    <w:bookmarkEnd w:id="217"/>
    <w:p w14:paraId="739CF33D">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r>
        <w:rPr>
          <w:rFonts w:ascii="Times New Roman" w:hAnsi="Times New Roman" w:eastAsia="宋体"/>
          <w:color w:val="000000" w:themeColor="text1"/>
          <w:sz w:val="30"/>
          <w:szCs w:val="30"/>
          <w14:textFill>
            <w14:solidFill>
              <w14:schemeClr w14:val="tx1"/>
            </w14:solidFill>
          </w14:textFill>
        </w:rPr>
        <w:t>2.8主要环境保护目标</w:t>
      </w:r>
    </w:p>
    <w:p w14:paraId="41684054">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本项目位于巴中市巴州区白庙乡</w:t>
      </w:r>
      <w:r>
        <w:rPr>
          <w:rFonts w:hint="eastAsia"/>
          <w:color w:val="000000" w:themeColor="text1"/>
          <w:sz w:val="24"/>
          <w14:textFill>
            <w14:solidFill>
              <w14:schemeClr w14:val="tx1"/>
            </w14:solidFill>
          </w14:textFill>
        </w:rPr>
        <w:t>百花村</w:t>
      </w:r>
      <w:r>
        <w:rPr>
          <w:color w:val="000000" w:themeColor="text1"/>
          <w:sz w:val="24"/>
          <w14:textFill>
            <w14:solidFill>
              <w14:schemeClr w14:val="tx1"/>
            </w14:solidFill>
          </w14:textFill>
        </w:rPr>
        <w:t>、曾口镇</w:t>
      </w:r>
      <w:r>
        <w:rPr>
          <w:rFonts w:hint="eastAsia"/>
          <w:color w:val="000000" w:themeColor="text1"/>
          <w:sz w:val="24"/>
          <w14:textFill>
            <w14:solidFill>
              <w14:schemeClr w14:val="tx1"/>
            </w14:solidFill>
          </w14:textFill>
        </w:rPr>
        <w:t>佛龙村</w:t>
      </w:r>
      <w:r>
        <w:rPr>
          <w:color w:val="000000" w:themeColor="text1"/>
          <w:sz w:val="24"/>
          <w14:textFill>
            <w14:solidFill>
              <w14:schemeClr w14:val="tx1"/>
            </w14:solidFill>
          </w14:textFill>
        </w:rPr>
        <w:t>、清江镇</w:t>
      </w:r>
      <w:r>
        <w:rPr>
          <w:rFonts w:hint="eastAsia"/>
          <w:color w:val="000000" w:themeColor="text1"/>
          <w:sz w:val="24"/>
          <w14:textFill>
            <w14:solidFill>
              <w14:schemeClr w14:val="tx1"/>
            </w14:solidFill>
          </w14:textFill>
        </w:rPr>
        <w:t>塘坝村</w:t>
      </w:r>
      <w:r>
        <w:rPr>
          <w:color w:val="000000" w:themeColor="text1"/>
          <w:sz w:val="24"/>
          <w14:textFill>
            <w14:solidFill>
              <w14:schemeClr w14:val="tx1"/>
            </w14:solidFill>
          </w14:textFill>
        </w:rPr>
        <w:t>、水宁寺镇</w:t>
      </w:r>
      <w:r>
        <w:rPr>
          <w:rFonts w:hint="eastAsia"/>
          <w:color w:val="000000" w:themeColor="text1"/>
          <w:sz w:val="24"/>
          <w14:textFill>
            <w14:solidFill>
              <w14:schemeClr w14:val="tx1"/>
            </w14:solidFill>
          </w14:textFill>
        </w:rPr>
        <w:t>始宁社区</w:t>
      </w:r>
      <w:r>
        <w:rPr>
          <w:color w:val="000000" w:themeColor="text1"/>
          <w:sz w:val="24"/>
          <w14:textFill>
            <w14:solidFill>
              <w14:schemeClr w14:val="tx1"/>
            </w14:solidFill>
          </w14:textFill>
        </w:rPr>
        <w:t>，项目占地范围内不涉及基本农田保护区、生态保护红线区、风景名胜区、自然保护区、饮用水源保护区、名胜古迹和重点文物保护单位等特殊保护目标。</w:t>
      </w:r>
    </w:p>
    <w:p w14:paraId="3B9E54CB">
      <w:pPr>
        <w:pStyle w:val="752"/>
        <w:rPr>
          <w:rFonts w:cs="Times New Roman"/>
          <w:color w:val="000000" w:themeColor="text1"/>
          <w14:textFill>
            <w14:solidFill>
              <w14:schemeClr w14:val="tx1"/>
            </w14:solidFill>
          </w14:textFill>
        </w:rPr>
      </w:pPr>
      <w:bookmarkStart w:id="232" w:name="_Toc233380140"/>
      <w:r>
        <w:rPr>
          <w:rFonts w:cs="Times New Roman"/>
          <w:color w:val="000000" w:themeColor="text1"/>
          <w14:textFill>
            <w14:solidFill>
              <w14:schemeClr w14:val="tx1"/>
            </w14:solidFill>
          </w14:textFill>
        </w:rPr>
        <w:t>2.8.1</w:t>
      </w:r>
      <w:r>
        <w:rPr>
          <w:rFonts w:hint="eastAsia" w:cs="Times New Roman"/>
          <w:color w:val="000000" w:themeColor="text1"/>
          <w14:textFill>
            <w14:solidFill>
              <w14:schemeClr w14:val="tx1"/>
            </w14:solidFill>
          </w14:textFill>
        </w:rPr>
        <w:t>大气环境保护目标</w:t>
      </w:r>
      <w:bookmarkEnd w:id="232"/>
    </w:p>
    <w:p w14:paraId="1FCE31F4">
      <w:pPr>
        <w:spacing w:line="360" w:lineRule="auto"/>
        <w:ind w:firstLine="480" w:firstLineChars="200"/>
        <w:jc w:val="both"/>
        <w:rPr>
          <w:color w:val="FF0000"/>
          <w:sz w:val="24"/>
        </w:rPr>
      </w:pPr>
      <w:r>
        <w:rPr>
          <w:rFonts w:hint="eastAsia"/>
          <w:color w:val="000000" w:themeColor="text1"/>
          <w:sz w:val="24"/>
          <w14:textFill>
            <w14:solidFill>
              <w14:schemeClr w14:val="tx1"/>
            </w14:solidFill>
          </w14:textFill>
        </w:rPr>
        <w:t>本项目环境空气评价范围内不涉及自然保护区、风景名胜区、森林公园、地质公园、世界遗产地等特殊环境保护目标，环境空气主要保护目标为周边分布的居民住户，详见表</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8</w:t>
      </w:r>
      <w:r>
        <w:rPr>
          <w:rFonts w:hint="eastAsia"/>
          <w:color w:val="000000" w:themeColor="text1"/>
          <w:sz w:val="24"/>
          <w14:textFill>
            <w14:solidFill>
              <w14:schemeClr w14:val="tx1"/>
            </w14:solidFill>
          </w14:textFill>
        </w:rPr>
        <w:t>-1（评价范围内的大气环境保护目标）。</w:t>
      </w:r>
    </w:p>
    <w:p w14:paraId="336EDDED">
      <w:pPr>
        <w:rPr>
          <w:color w:val="FF0000"/>
          <w:sz w:val="24"/>
        </w:rPr>
      </w:pPr>
      <w:r>
        <w:rPr>
          <w:color w:val="FF0000"/>
          <w:sz w:val="24"/>
        </w:rPr>
        <w:br w:type="page"/>
      </w:r>
    </w:p>
    <w:p w14:paraId="232AAF98">
      <w:pPr>
        <w:spacing w:line="360" w:lineRule="auto"/>
        <w:jc w:val="both"/>
        <w:rPr>
          <w:color w:val="FF0000"/>
          <w:sz w:val="24"/>
        </w:rPr>
        <w:sectPr>
          <w:pgSz w:w="11907" w:h="16840"/>
          <w:pgMar w:top="1440" w:right="1797" w:bottom="1440" w:left="1797" w:header="851" w:footer="992" w:gutter="0"/>
          <w:pgNumType w:chapStyle="1"/>
          <w:cols w:space="720" w:num="1"/>
          <w:docGrid w:linePitch="312" w:charSpace="0"/>
        </w:sectPr>
      </w:pPr>
    </w:p>
    <w:p w14:paraId="79827F6D">
      <w:pPr>
        <w:spacing w:line="360" w:lineRule="auto"/>
        <w:jc w:val="center"/>
        <w:rPr>
          <w:rFonts w:ascii="黑体" w:hAnsi="黑体" w:eastAsia="黑体"/>
          <w:color w:val="000000" w:themeColor="text1"/>
          <w:szCs w:val="21"/>
          <w14:textFill>
            <w14:solidFill>
              <w14:schemeClr w14:val="tx1"/>
            </w14:solidFill>
          </w14:textFill>
        </w:rPr>
      </w:pPr>
      <w:bookmarkStart w:id="233" w:name="OLE_LINK101"/>
      <w:bookmarkStart w:id="234" w:name="OLE_LINK102"/>
      <w:r>
        <w:rPr>
          <w:rFonts w:hint="eastAsia" w:ascii="黑体" w:hAnsi="黑体" w:eastAsia="黑体"/>
          <w:color w:val="000000" w:themeColor="text1"/>
          <w:szCs w:val="21"/>
          <w14:textFill>
            <w14:solidFill>
              <w14:schemeClr w14:val="tx1"/>
            </w14:solidFill>
          </w14:textFill>
        </w:rPr>
        <w:t>表2.</w:t>
      </w:r>
      <w:r>
        <w:rPr>
          <w:rFonts w:ascii="黑体" w:hAnsi="黑体" w:eastAsia="黑体"/>
          <w:color w:val="000000" w:themeColor="text1"/>
          <w:szCs w:val="21"/>
          <w14:textFill>
            <w14:solidFill>
              <w14:schemeClr w14:val="tx1"/>
            </w14:solidFill>
          </w14:textFill>
        </w:rPr>
        <w:t xml:space="preserve">8.1-1 </w:t>
      </w:r>
      <w:r>
        <w:rPr>
          <w:rFonts w:hint="eastAsia" w:ascii="黑体" w:hAnsi="黑体" w:eastAsia="黑体"/>
          <w:color w:val="000000" w:themeColor="text1"/>
          <w:szCs w:val="21"/>
          <w14:textFill>
            <w14:solidFill>
              <w14:schemeClr w14:val="tx1"/>
            </w14:solidFill>
          </w14:textFill>
        </w:rPr>
        <w:t>环境空气保护目标一览表</w:t>
      </w:r>
    </w:p>
    <w:bookmarkEnd w:id="233"/>
    <w:bookmarkEnd w:id="234"/>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
        <w:gridCol w:w="1224"/>
        <w:gridCol w:w="1424"/>
        <w:gridCol w:w="1319"/>
        <w:gridCol w:w="1268"/>
        <w:gridCol w:w="2827"/>
        <w:gridCol w:w="871"/>
        <w:gridCol w:w="1023"/>
        <w:gridCol w:w="1023"/>
        <w:gridCol w:w="2405"/>
      </w:tblGrid>
      <w:tr w14:paraId="711F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0" w:type="auto"/>
            <w:vMerge w:val="restart"/>
            <w:vAlign w:val="center"/>
          </w:tcPr>
          <w:p w14:paraId="67C973ED">
            <w:pPr>
              <w:widowControl w:val="0"/>
              <w:jc w:val="center"/>
              <w:rPr>
                <w:rFonts w:ascii="宋体" w:hAnsi="宋体"/>
                <w:color w:val="000000" w:themeColor="text1"/>
                <w:szCs w:val="21"/>
                <w14:textFill>
                  <w14:solidFill>
                    <w14:schemeClr w14:val="tx1"/>
                  </w14:solidFill>
                </w14:textFill>
              </w:rPr>
            </w:pPr>
            <w:bookmarkStart w:id="235" w:name="_Hlk234316760"/>
            <w:r>
              <w:rPr>
                <w:rFonts w:hint="eastAsia" w:ascii="宋体" w:hAnsi="宋体"/>
                <w:color w:val="000000" w:themeColor="text1"/>
                <w:szCs w:val="21"/>
                <w14:textFill>
                  <w14:solidFill>
                    <w14:schemeClr w14:val="tx1"/>
                  </w14:solidFill>
                </w14:textFill>
              </w:rPr>
              <w:t>序号</w:t>
            </w:r>
          </w:p>
        </w:tc>
        <w:tc>
          <w:tcPr>
            <w:tcW w:w="0" w:type="auto"/>
            <w:vMerge w:val="restart"/>
            <w:vAlign w:val="center"/>
          </w:tcPr>
          <w:p w14:paraId="367130DA">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名称</w:t>
            </w:r>
          </w:p>
        </w:tc>
        <w:tc>
          <w:tcPr>
            <w:tcW w:w="0" w:type="auto"/>
            <w:gridSpan w:val="2"/>
            <w:vAlign w:val="center"/>
          </w:tcPr>
          <w:p w14:paraId="59BB81ED">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中心经纬度坐标</w:t>
            </w:r>
          </w:p>
        </w:tc>
        <w:tc>
          <w:tcPr>
            <w:tcW w:w="0" w:type="auto"/>
            <w:vMerge w:val="restart"/>
            <w:vAlign w:val="center"/>
          </w:tcPr>
          <w:p w14:paraId="09744488">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保护对象</w:t>
            </w:r>
          </w:p>
        </w:tc>
        <w:tc>
          <w:tcPr>
            <w:tcW w:w="0" w:type="auto"/>
            <w:vMerge w:val="restart"/>
            <w:vAlign w:val="center"/>
          </w:tcPr>
          <w:p w14:paraId="6D75931D">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保护内容</w:t>
            </w:r>
          </w:p>
        </w:tc>
        <w:tc>
          <w:tcPr>
            <w:tcW w:w="0" w:type="auto"/>
            <w:vMerge w:val="restart"/>
            <w:vAlign w:val="center"/>
          </w:tcPr>
          <w:p w14:paraId="5DDEF551">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相对场址方位</w:t>
            </w:r>
          </w:p>
        </w:tc>
        <w:tc>
          <w:tcPr>
            <w:tcW w:w="0" w:type="auto"/>
            <w:vMerge w:val="restart"/>
            <w:vAlign w:val="center"/>
          </w:tcPr>
          <w:p w14:paraId="4D75FC3E">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相对距离（m）</w:t>
            </w:r>
          </w:p>
        </w:tc>
        <w:tc>
          <w:tcPr>
            <w:tcW w:w="0" w:type="auto"/>
            <w:vMerge w:val="restart"/>
            <w:vAlign w:val="center"/>
          </w:tcPr>
          <w:p w14:paraId="2B803938">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相对高差（m）</w:t>
            </w:r>
          </w:p>
        </w:tc>
        <w:tc>
          <w:tcPr>
            <w:tcW w:w="0" w:type="auto"/>
            <w:vMerge w:val="restart"/>
            <w:vAlign w:val="center"/>
          </w:tcPr>
          <w:p w14:paraId="0D33270A">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环境功能区划</w:t>
            </w:r>
          </w:p>
        </w:tc>
      </w:tr>
      <w:tr w14:paraId="3A8E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0" w:type="auto"/>
            <w:vMerge w:val="continue"/>
            <w:vAlign w:val="center"/>
          </w:tcPr>
          <w:p w14:paraId="7511C158">
            <w:pPr>
              <w:widowControl w:val="0"/>
              <w:jc w:val="center"/>
              <w:rPr>
                <w:rFonts w:ascii="宋体" w:hAnsi="宋体"/>
                <w:color w:val="000000" w:themeColor="text1"/>
                <w:szCs w:val="21"/>
                <w14:textFill>
                  <w14:solidFill>
                    <w14:schemeClr w14:val="tx1"/>
                  </w14:solidFill>
                </w14:textFill>
              </w:rPr>
            </w:pPr>
          </w:p>
        </w:tc>
        <w:tc>
          <w:tcPr>
            <w:tcW w:w="0" w:type="auto"/>
            <w:vMerge w:val="continue"/>
            <w:vAlign w:val="center"/>
          </w:tcPr>
          <w:p w14:paraId="45333066">
            <w:pPr>
              <w:widowControl w:val="0"/>
              <w:jc w:val="center"/>
              <w:rPr>
                <w:rFonts w:ascii="宋体" w:hAnsi="宋体"/>
                <w:color w:val="000000" w:themeColor="text1"/>
                <w:szCs w:val="21"/>
                <w14:textFill>
                  <w14:solidFill>
                    <w14:schemeClr w14:val="tx1"/>
                  </w14:solidFill>
                </w14:textFill>
              </w:rPr>
            </w:pPr>
          </w:p>
        </w:tc>
        <w:tc>
          <w:tcPr>
            <w:tcW w:w="0" w:type="auto"/>
            <w:vAlign w:val="center"/>
          </w:tcPr>
          <w:p w14:paraId="717B2693">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经度（°）</w:t>
            </w:r>
          </w:p>
        </w:tc>
        <w:tc>
          <w:tcPr>
            <w:tcW w:w="0" w:type="auto"/>
            <w:vAlign w:val="center"/>
          </w:tcPr>
          <w:p w14:paraId="57D49464">
            <w:pPr>
              <w:widowControl w:val="0"/>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纬度（°）</w:t>
            </w:r>
          </w:p>
        </w:tc>
        <w:tc>
          <w:tcPr>
            <w:tcW w:w="0" w:type="auto"/>
            <w:vMerge w:val="continue"/>
            <w:vAlign w:val="center"/>
          </w:tcPr>
          <w:p w14:paraId="114DAA48">
            <w:pPr>
              <w:widowControl w:val="0"/>
              <w:jc w:val="center"/>
              <w:rPr>
                <w:rFonts w:ascii="宋体" w:hAnsi="宋体"/>
                <w:color w:val="000000" w:themeColor="text1"/>
                <w:szCs w:val="21"/>
                <w14:textFill>
                  <w14:solidFill>
                    <w14:schemeClr w14:val="tx1"/>
                  </w14:solidFill>
                </w14:textFill>
              </w:rPr>
            </w:pPr>
          </w:p>
        </w:tc>
        <w:tc>
          <w:tcPr>
            <w:tcW w:w="0" w:type="auto"/>
            <w:vMerge w:val="continue"/>
            <w:vAlign w:val="center"/>
          </w:tcPr>
          <w:p w14:paraId="6A55C158">
            <w:pPr>
              <w:widowControl w:val="0"/>
              <w:jc w:val="center"/>
              <w:rPr>
                <w:rFonts w:ascii="宋体" w:hAnsi="宋体"/>
                <w:color w:val="000000" w:themeColor="text1"/>
                <w:szCs w:val="21"/>
                <w14:textFill>
                  <w14:solidFill>
                    <w14:schemeClr w14:val="tx1"/>
                  </w14:solidFill>
                </w14:textFill>
              </w:rPr>
            </w:pPr>
          </w:p>
        </w:tc>
        <w:tc>
          <w:tcPr>
            <w:tcW w:w="0" w:type="auto"/>
            <w:vMerge w:val="continue"/>
            <w:vAlign w:val="center"/>
          </w:tcPr>
          <w:p w14:paraId="30CC4621">
            <w:pPr>
              <w:widowControl w:val="0"/>
              <w:jc w:val="center"/>
              <w:rPr>
                <w:rFonts w:ascii="宋体" w:hAnsi="宋体"/>
                <w:color w:val="000000" w:themeColor="text1"/>
                <w:szCs w:val="21"/>
                <w14:textFill>
                  <w14:solidFill>
                    <w14:schemeClr w14:val="tx1"/>
                  </w14:solidFill>
                </w14:textFill>
              </w:rPr>
            </w:pPr>
          </w:p>
        </w:tc>
        <w:tc>
          <w:tcPr>
            <w:tcW w:w="0" w:type="auto"/>
            <w:vMerge w:val="continue"/>
            <w:vAlign w:val="center"/>
          </w:tcPr>
          <w:p w14:paraId="27AB3209">
            <w:pPr>
              <w:widowControl w:val="0"/>
              <w:jc w:val="center"/>
              <w:rPr>
                <w:rFonts w:ascii="宋体" w:hAnsi="宋体"/>
                <w:color w:val="000000" w:themeColor="text1"/>
                <w:szCs w:val="21"/>
                <w14:textFill>
                  <w14:solidFill>
                    <w14:schemeClr w14:val="tx1"/>
                  </w14:solidFill>
                </w14:textFill>
              </w:rPr>
            </w:pPr>
          </w:p>
        </w:tc>
        <w:tc>
          <w:tcPr>
            <w:tcW w:w="0" w:type="auto"/>
            <w:vMerge w:val="continue"/>
            <w:vAlign w:val="center"/>
          </w:tcPr>
          <w:p w14:paraId="618773B2">
            <w:pPr>
              <w:widowControl w:val="0"/>
              <w:jc w:val="center"/>
              <w:rPr>
                <w:rFonts w:ascii="宋体" w:hAnsi="宋体"/>
                <w:color w:val="000000" w:themeColor="text1"/>
                <w:szCs w:val="21"/>
                <w14:textFill>
                  <w14:solidFill>
                    <w14:schemeClr w14:val="tx1"/>
                  </w14:solidFill>
                </w14:textFill>
              </w:rPr>
            </w:pPr>
          </w:p>
        </w:tc>
        <w:tc>
          <w:tcPr>
            <w:tcW w:w="0" w:type="auto"/>
            <w:vMerge w:val="continue"/>
            <w:vAlign w:val="center"/>
          </w:tcPr>
          <w:p w14:paraId="4427D0B3">
            <w:pPr>
              <w:widowControl w:val="0"/>
              <w:jc w:val="center"/>
              <w:rPr>
                <w:rFonts w:ascii="宋体" w:hAnsi="宋体"/>
                <w:color w:val="000000" w:themeColor="text1"/>
                <w:szCs w:val="21"/>
                <w14:textFill>
                  <w14:solidFill>
                    <w14:schemeClr w14:val="tx1"/>
                  </w14:solidFill>
                </w14:textFill>
              </w:rPr>
            </w:pPr>
          </w:p>
        </w:tc>
      </w:tr>
      <w:tr w14:paraId="7363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gridSpan w:val="10"/>
            <w:shd w:val="clear" w:color="auto" w:fill="auto"/>
            <w:vAlign w:val="center"/>
          </w:tcPr>
          <w:p w14:paraId="3AF56652">
            <w:pPr>
              <w:widowControl w:val="0"/>
              <w:jc w:val="center"/>
              <w:rPr>
                <w:b/>
                <w:color w:val="000000" w:themeColor="text1"/>
                <w:kern w:val="0"/>
                <w:szCs w:val="21"/>
                <w14:textFill>
                  <w14:solidFill>
                    <w14:schemeClr w14:val="tx1"/>
                  </w14:solidFill>
                </w14:textFill>
              </w:rPr>
            </w:pPr>
            <w:r>
              <w:rPr>
                <w:rFonts w:hint="eastAsia"/>
                <w:b/>
                <w:color w:val="000000" w:themeColor="text1"/>
                <w:kern w:val="0"/>
                <w:szCs w:val="21"/>
                <w14:textFill>
                  <w14:solidFill>
                    <w14:schemeClr w14:val="tx1"/>
                  </w14:solidFill>
                </w14:textFill>
              </w:rPr>
              <w:t>百花养殖场区</w:t>
            </w:r>
          </w:p>
        </w:tc>
      </w:tr>
      <w:bookmarkEnd w:id="235"/>
      <w:tr w14:paraId="6F01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E7F8940">
            <w:pPr>
              <w:widowControl w:val="0"/>
              <w:jc w:val="center"/>
              <w:rPr>
                <w:rFonts w:ascii="宋体" w:hAnsi="宋体"/>
                <w:color w:val="000000" w:themeColor="text1"/>
                <w:szCs w:val="21"/>
                <w14:textFill>
                  <w14:solidFill>
                    <w14:schemeClr w14:val="tx1"/>
                  </w14:solidFill>
                </w14:textFill>
              </w:rPr>
            </w:pPr>
            <w:r>
              <w:rPr>
                <w:rFonts w:hint="eastAsia"/>
                <w:szCs w:val="21"/>
              </w:rPr>
              <w:t>1#</w:t>
            </w:r>
          </w:p>
        </w:tc>
        <w:tc>
          <w:tcPr>
            <w:tcW w:w="0" w:type="auto"/>
            <w:shd w:val="clear" w:color="auto" w:fill="auto"/>
            <w:vAlign w:val="center"/>
          </w:tcPr>
          <w:p w14:paraId="2DC13B7C">
            <w:pPr>
              <w:widowControl w:val="0"/>
              <w:jc w:val="center"/>
              <w:rPr>
                <w:rFonts w:ascii="宋体" w:hAnsi="宋体"/>
                <w:color w:val="000000" w:themeColor="text1"/>
                <w:szCs w:val="21"/>
                <w14:textFill>
                  <w14:solidFill>
                    <w14:schemeClr w14:val="tx1"/>
                  </w14:solidFill>
                </w14:textFill>
              </w:rPr>
            </w:pPr>
            <w:r>
              <w:rPr>
                <w:rFonts w:hint="eastAsia"/>
                <w:szCs w:val="21"/>
              </w:rPr>
              <w:t>九重山居民#2</w:t>
            </w:r>
          </w:p>
        </w:tc>
        <w:tc>
          <w:tcPr>
            <w:tcW w:w="0" w:type="auto"/>
            <w:shd w:val="clear" w:color="auto" w:fill="auto"/>
            <w:vAlign w:val="center"/>
          </w:tcPr>
          <w:p w14:paraId="6913D8CA">
            <w:pPr>
              <w:widowControl w:val="0"/>
              <w:jc w:val="center"/>
              <w:rPr>
                <w:rFonts w:ascii="宋体" w:hAnsi="宋体"/>
                <w:color w:val="000000" w:themeColor="text1"/>
                <w:szCs w:val="21"/>
                <w14:textFill>
                  <w14:solidFill>
                    <w14:schemeClr w14:val="tx1"/>
                  </w14:solidFill>
                </w14:textFill>
              </w:rPr>
            </w:pPr>
            <w:r>
              <w:rPr>
                <w:rFonts w:hint="eastAsia"/>
                <w:szCs w:val="21"/>
              </w:rPr>
              <w:t>107.002046</w:t>
            </w:r>
          </w:p>
        </w:tc>
        <w:tc>
          <w:tcPr>
            <w:tcW w:w="0" w:type="auto"/>
            <w:shd w:val="clear" w:color="auto" w:fill="auto"/>
            <w:vAlign w:val="center"/>
          </w:tcPr>
          <w:p w14:paraId="3970A7EE">
            <w:pPr>
              <w:widowControl w:val="0"/>
              <w:jc w:val="center"/>
              <w:rPr>
                <w:rFonts w:ascii="宋体" w:hAnsi="宋体"/>
                <w:color w:val="000000" w:themeColor="text1"/>
                <w:szCs w:val="21"/>
                <w14:textFill>
                  <w14:solidFill>
                    <w14:schemeClr w14:val="tx1"/>
                  </w14:solidFill>
                </w14:textFill>
              </w:rPr>
            </w:pPr>
            <w:r>
              <w:rPr>
                <w:rFonts w:hint="eastAsia"/>
                <w:szCs w:val="21"/>
              </w:rPr>
              <w:t>31.991034</w:t>
            </w:r>
          </w:p>
        </w:tc>
        <w:tc>
          <w:tcPr>
            <w:tcW w:w="0" w:type="auto"/>
            <w:shd w:val="clear" w:color="auto" w:fill="auto"/>
            <w:vAlign w:val="center"/>
          </w:tcPr>
          <w:p w14:paraId="31E73A8A">
            <w:pPr>
              <w:widowControl w:val="0"/>
              <w:jc w:val="center"/>
              <w:rPr>
                <w:rFonts w:ascii="宋体" w:hAnsi="宋体"/>
                <w:color w:val="000000" w:themeColor="text1"/>
                <w:szCs w:val="21"/>
                <w14:textFill>
                  <w14:solidFill>
                    <w14:schemeClr w14:val="tx1"/>
                  </w14:solidFill>
                </w14:textFill>
              </w:rPr>
            </w:pPr>
            <w:r>
              <w:rPr>
                <w:rFonts w:hint="eastAsia"/>
                <w:szCs w:val="21"/>
              </w:rPr>
              <w:t>约15人</w:t>
            </w:r>
          </w:p>
        </w:tc>
        <w:tc>
          <w:tcPr>
            <w:tcW w:w="0" w:type="auto"/>
            <w:vMerge w:val="restart"/>
            <w:vAlign w:val="center"/>
          </w:tcPr>
          <w:p w14:paraId="1E7AB158">
            <w:pPr>
              <w:widowControl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w:t>
            </w:r>
            <w:r>
              <w:rPr>
                <w:rFonts w:hint="eastAsia"/>
                <w:color w:val="000000" w:themeColor="text1"/>
                <w:kern w:val="0"/>
                <w:szCs w:val="21"/>
                <w14:textFill>
                  <w14:solidFill>
                    <w14:schemeClr w14:val="tx1"/>
                  </w14:solidFill>
                </w14:textFill>
              </w:rPr>
              <w:t>《环境空气质量标准》（</w:t>
            </w:r>
            <w:r>
              <w:rPr>
                <w:color w:val="000000" w:themeColor="text1"/>
                <w:kern w:val="0"/>
                <w:szCs w:val="21"/>
                <w14:textFill>
                  <w14:solidFill>
                    <w14:schemeClr w14:val="tx1"/>
                  </w14:solidFill>
                </w14:textFill>
              </w:rPr>
              <w:t>GB3095-2026</w:t>
            </w:r>
            <w:r>
              <w:rPr>
                <w:rFonts w:hint="eastAsia"/>
                <w:color w:val="000000" w:themeColor="text1"/>
                <w:kern w:val="0"/>
                <w:szCs w:val="21"/>
                <w14:textFill>
                  <w14:solidFill>
                    <w14:schemeClr w14:val="tx1"/>
                  </w14:solidFill>
                </w14:textFill>
              </w:rPr>
              <w:t>）过渡阶段二级标准</w:t>
            </w:r>
          </w:p>
        </w:tc>
        <w:tc>
          <w:tcPr>
            <w:tcW w:w="0" w:type="auto"/>
            <w:shd w:val="clear" w:color="auto" w:fill="auto"/>
            <w:vAlign w:val="center"/>
          </w:tcPr>
          <w:p w14:paraId="1AF994EF">
            <w:pPr>
              <w:widowControl w:val="0"/>
              <w:jc w:val="center"/>
              <w:rPr>
                <w:rFonts w:ascii="宋体" w:hAnsi="宋体"/>
                <w:color w:val="000000" w:themeColor="text1"/>
                <w:szCs w:val="21"/>
                <w14:textFill>
                  <w14:solidFill>
                    <w14:schemeClr w14:val="tx1"/>
                  </w14:solidFill>
                </w14:textFill>
              </w:rPr>
            </w:pPr>
            <w:r>
              <w:rPr>
                <w:szCs w:val="21"/>
              </w:rPr>
              <w:t>W</w:t>
            </w:r>
          </w:p>
        </w:tc>
        <w:tc>
          <w:tcPr>
            <w:tcW w:w="0" w:type="auto"/>
            <w:shd w:val="clear" w:color="auto" w:fill="auto"/>
            <w:vAlign w:val="center"/>
          </w:tcPr>
          <w:p w14:paraId="73D34E84">
            <w:pPr>
              <w:widowControl w:val="0"/>
              <w:jc w:val="center"/>
              <w:rPr>
                <w:rFonts w:ascii="宋体" w:hAnsi="宋体"/>
                <w:color w:val="000000" w:themeColor="text1"/>
                <w:szCs w:val="21"/>
                <w14:textFill>
                  <w14:solidFill>
                    <w14:schemeClr w14:val="tx1"/>
                  </w14:solidFill>
                </w14:textFill>
              </w:rPr>
            </w:pPr>
            <w:r>
              <w:rPr>
                <w:szCs w:val="21"/>
              </w:rPr>
              <w:t>2143</w:t>
            </w:r>
          </w:p>
        </w:tc>
        <w:tc>
          <w:tcPr>
            <w:tcW w:w="0" w:type="auto"/>
            <w:shd w:val="clear" w:color="auto" w:fill="auto"/>
            <w:vAlign w:val="center"/>
          </w:tcPr>
          <w:p w14:paraId="76607F54">
            <w:pPr>
              <w:widowControl w:val="0"/>
              <w:jc w:val="center"/>
              <w:rPr>
                <w:rFonts w:ascii="宋体" w:hAnsi="宋体"/>
                <w:color w:val="000000" w:themeColor="text1"/>
                <w:szCs w:val="21"/>
                <w14:textFill>
                  <w14:solidFill>
                    <w14:schemeClr w14:val="tx1"/>
                  </w14:solidFill>
                </w14:textFill>
              </w:rPr>
            </w:pPr>
            <w:r>
              <w:rPr>
                <w:szCs w:val="21"/>
              </w:rPr>
              <w:t>7</w:t>
            </w:r>
          </w:p>
        </w:tc>
        <w:tc>
          <w:tcPr>
            <w:tcW w:w="0" w:type="auto"/>
            <w:vMerge w:val="restart"/>
            <w:vAlign w:val="center"/>
          </w:tcPr>
          <w:p w14:paraId="72203745">
            <w:pPr>
              <w:widowControl w:val="0"/>
              <w:jc w:val="center"/>
              <w:rPr>
                <w:rFonts w:ascii="宋体" w:hAnsi="宋体"/>
                <w:color w:val="000000" w:themeColor="text1"/>
                <w:szCs w:val="21"/>
                <w14:textFill>
                  <w14:solidFill>
                    <w14:schemeClr w14:val="tx1"/>
                  </w14:solidFill>
                </w14:textFill>
              </w:rPr>
            </w:pPr>
            <w:bookmarkStart w:id="236" w:name="OLE_LINK202"/>
            <w:bookmarkStart w:id="237" w:name="OLE_LINK203"/>
            <w:r>
              <w:rPr>
                <w:rFonts w:hint="eastAsia"/>
                <w:color w:val="000000" w:themeColor="text1"/>
                <w:kern w:val="0"/>
                <w:szCs w:val="21"/>
                <w14:textFill>
                  <w14:solidFill>
                    <w14:schemeClr w14:val="tx1"/>
                  </w14:solidFill>
                </w14:textFill>
              </w:rPr>
              <w:t>《</w:t>
            </w:r>
            <w:bookmarkStart w:id="238" w:name="OLE_LINK99"/>
            <w:bookmarkStart w:id="239" w:name="OLE_LINK100"/>
            <w:r>
              <w:rPr>
                <w:rFonts w:hint="eastAsia"/>
                <w:color w:val="000000" w:themeColor="text1"/>
                <w:kern w:val="0"/>
                <w:szCs w:val="21"/>
                <w14:textFill>
                  <w14:solidFill>
                    <w14:schemeClr w14:val="tx1"/>
                  </w14:solidFill>
                </w14:textFill>
              </w:rPr>
              <w:t>环境空气质量标准</w:t>
            </w:r>
            <w:bookmarkEnd w:id="238"/>
            <w:bookmarkEnd w:id="239"/>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GB3095-2026</w:t>
            </w:r>
            <w:r>
              <w:rPr>
                <w:rFonts w:hint="eastAsia"/>
                <w:color w:val="000000" w:themeColor="text1"/>
                <w:kern w:val="0"/>
                <w:szCs w:val="21"/>
                <w14:textFill>
                  <w14:solidFill>
                    <w14:schemeClr w14:val="tx1"/>
                  </w14:solidFill>
                </w14:textFill>
              </w:rPr>
              <w:t>）中二类区</w:t>
            </w:r>
            <w:bookmarkEnd w:id="236"/>
            <w:bookmarkEnd w:id="237"/>
          </w:p>
        </w:tc>
      </w:tr>
      <w:tr w14:paraId="7AD7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E758E14">
            <w:pPr>
              <w:widowControl w:val="0"/>
              <w:jc w:val="center"/>
              <w:rPr>
                <w:rFonts w:ascii="宋体" w:hAnsi="宋体"/>
                <w:color w:val="000000" w:themeColor="text1"/>
                <w:szCs w:val="21"/>
                <w14:textFill>
                  <w14:solidFill>
                    <w14:schemeClr w14:val="tx1"/>
                  </w14:solidFill>
                </w14:textFill>
              </w:rPr>
            </w:pPr>
            <w:r>
              <w:rPr>
                <w:rFonts w:hint="eastAsia"/>
                <w:szCs w:val="21"/>
              </w:rPr>
              <w:t>2#</w:t>
            </w:r>
          </w:p>
        </w:tc>
        <w:tc>
          <w:tcPr>
            <w:tcW w:w="0" w:type="auto"/>
            <w:shd w:val="clear" w:color="auto" w:fill="auto"/>
            <w:vAlign w:val="center"/>
          </w:tcPr>
          <w:p w14:paraId="6ED871CD">
            <w:pPr>
              <w:widowControl w:val="0"/>
              <w:jc w:val="center"/>
              <w:rPr>
                <w:rFonts w:ascii="宋体" w:hAnsi="宋体"/>
                <w:color w:val="000000" w:themeColor="text1"/>
                <w:szCs w:val="21"/>
                <w14:textFill>
                  <w14:solidFill>
                    <w14:schemeClr w14:val="tx1"/>
                  </w14:solidFill>
                </w14:textFill>
              </w:rPr>
            </w:pPr>
            <w:r>
              <w:rPr>
                <w:rFonts w:hint="eastAsia"/>
                <w:szCs w:val="21"/>
              </w:rPr>
              <w:t>九重山居民#1</w:t>
            </w:r>
          </w:p>
        </w:tc>
        <w:tc>
          <w:tcPr>
            <w:tcW w:w="0" w:type="auto"/>
            <w:shd w:val="clear" w:color="auto" w:fill="auto"/>
            <w:vAlign w:val="center"/>
          </w:tcPr>
          <w:p w14:paraId="0092ABD4">
            <w:pPr>
              <w:widowControl w:val="0"/>
              <w:jc w:val="center"/>
              <w:rPr>
                <w:rFonts w:ascii="宋体" w:hAnsi="宋体"/>
                <w:color w:val="000000" w:themeColor="text1"/>
                <w:szCs w:val="21"/>
                <w14:textFill>
                  <w14:solidFill>
                    <w14:schemeClr w14:val="tx1"/>
                  </w14:solidFill>
                </w14:textFill>
              </w:rPr>
            </w:pPr>
            <w:r>
              <w:rPr>
                <w:rFonts w:hint="eastAsia"/>
                <w:szCs w:val="21"/>
              </w:rPr>
              <w:t>107.004712</w:t>
            </w:r>
          </w:p>
        </w:tc>
        <w:tc>
          <w:tcPr>
            <w:tcW w:w="0" w:type="auto"/>
            <w:shd w:val="clear" w:color="auto" w:fill="auto"/>
            <w:vAlign w:val="center"/>
          </w:tcPr>
          <w:p w14:paraId="15D69C4A">
            <w:pPr>
              <w:widowControl w:val="0"/>
              <w:jc w:val="center"/>
              <w:rPr>
                <w:rFonts w:ascii="宋体" w:hAnsi="宋体"/>
                <w:color w:val="000000" w:themeColor="text1"/>
                <w:szCs w:val="21"/>
                <w14:textFill>
                  <w14:solidFill>
                    <w14:schemeClr w14:val="tx1"/>
                  </w14:solidFill>
                </w14:textFill>
              </w:rPr>
            </w:pPr>
            <w:r>
              <w:rPr>
                <w:rFonts w:hint="eastAsia"/>
                <w:szCs w:val="21"/>
              </w:rPr>
              <w:t>31.995702</w:t>
            </w:r>
          </w:p>
        </w:tc>
        <w:tc>
          <w:tcPr>
            <w:tcW w:w="0" w:type="auto"/>
            <w:shd w:val="clear" w:color="auto" w:fill="auto"/>
            <w:vAlign w:val="center"/>
          </w:tcPr>
          <w:p w14:paraId="6536862B">
            <w:pPr>
              <w:widowControl w:val="0"/>
              <w:jc w:val="center"/>
              <w:rPr>
                <w:rFonts w:ascii="宋体" w:hAnsi="宋体"/>
                <w:color w:val="000000" w:themeColor="text1"/>
                <w:szCs w:val="21"/>
                <w14:textFill>
                  <w14:solidFill>
                    <w14:schemeClr w14:val="tx1"/>
                  </w14:solidFill>
                </w14:textFill>
              </w:rPr>
            </w:pPr>
            <w:r>
              <w:rPr>
                <w:rFonts w:hint="eastAsia"/>
                <w:szCs w:val="21"/>
              </w:rPr>
              <w:t>约15人</w:t>
            </w:r>
          </w:p>
        </w:tc>
        <w:tc>
          <w:tcPr>
            <w:tcW w:w="0" w:type="auto"/>
            <w:vMerge w:val="continue"/>
            <w:vAlign w:val="center"/>
          </w:tcPr>
          <w:p w14:paraId="61A5E42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35FEA3A">
            <w:pPr>
              <w:widowControl w:val="0"/>
              <w:jc w:val="center"/>
              <w:rPr>
                <w:rFonts w:ascii="宋体" w:hAnsi="宋体"/>
                <w:color w:val="000000" w:themeColor="text1"/>
                <w:szCs w:val="21"/>
                <w14:textFill>
                  <w14:solidFill>
                    <w14:schemeClr w14:val="tx1"/>
                  </w14:solidFill>
                </w14:textFill>
              </w:rPr>
            </w:pPr>
            <w:r>
              <w:rPr>
                <w:szCs w:val="21"/>
              </w:rPr>
              <w:t>W</w:t>
            </w:r>
          </w:p>
        </w:tc>
        <w:tc>
          <w:tcPr>
            <w:tcW w:w="0" w:type="auto"/>
            <w:shd w:val="clear" w:color="auto" w:fill="auto"/>
            <w:vAlign w:val="center"/>
          </w:tcPr>
          <w:p w14:paraId="11A97456">
            <w:pPr>
              <w:widowControl w:val="0"/>
              <w:jc w:val="center"/>
              <w:rPr>
                <w:rFonts w:ascii="宋体" w:hAnsi="宋体"/>
                <w:color w:val="000000" w:themeColor="text1"/>
                <w:szCs w:val="21"/>
                <w14:textFill>
                  <w14:solidFill>
                    <w14:schemeClr w14:val="tx1"/>
                  </w14:solidFill>
                </w14:textFill>
              </w:rPr>
            </w:pPr>
            <w:r>
              <w:rPr>
                <w:szCs w:val="21"/>
              </w:rPr>
              <w:t>1880</w:t>
            </w:r>
          </w:p>
        </w:tc>
        <w:tc>
          <w:tcPr>
            <w:tcW w:w="0" w:type="auto"/>
            <w:shd w:val="clear" w:color="auto" w:fill="auto"/>
            <w:vAlign w:val="center"/>
          </w:tcPr>
          <w:p w14:paraId="459B88AD">
            <w:pPr>
              <w:widowControl w:val="0"/>
              <w:jc w:val="center"/>
              <w:rPr>
                <w:rFonts w:ascii="宋体" w:hAnsi="宋体"/>
                <w:color w:val="000000" w:themeColor="text1"/>
                <w:szCs w:val="21"/>
                <w14:textFill>
                  <w14:solidFill>
                    <w14:schemeClr w14:val="tx1"/>
                  </w14:solidFill>
                </w14:textFill>
              </w:rPr>
            </w:pPr>
            <w:r>
              <w:rPr>
                <w:szCs w:val="21"/>
              </w:rPr>
              <w:t>102</w:t>
            </w:r>
          </w:p>
        </w:tc>
        <w:tc>
          <w:tcPr>
            <w:tcW w:w="0" w:type="auto"/>
            <w:vMerge w:val="continue"/>
            <w:vAlign w:val="center"/>
          </w:tcPr>
          <w:p w14:paraId="52E11B29">
            <w:pPr>
              <w:widowControl w:val="0"/>
              <w:jc w:val="center"/>
              <w:rPr>
                <w:rFonts w:ascii="宋体" w:hAnsi="宋体"/>
                <w:color w:val="000000" w:themeColor="text1"/>
                <w:szCs w:val="21"/>
                <w14:textFill>
                  <w14:solidFill>
                    <w14:schemeClr w14:val="tx1"/>
                  </w14:solidFill>
                </w14:textFill>
              </w:rPr>
            </w:pPr>
          </w:p>
        </w:tc>
      </w:tr>
      <w:tr w14:paraId="4755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EFE26E4">
            <w:pPr>
              <w:widowControl w:val="0"/>
              <w:jc w:val="center"/>
              <w:rPr>
                <w:rFonts w:ascii="宋体" w:hAnsi="宋体"/>
                <w:color w:val="000000" w:themeColor="text1"/>
                <w:szCs w:val="21"/>
                <w14:textFill>
                  <w14:solidFill>
                    <w14:schemeClr w14:val="tx1"/>
                  </w14:solidFill>
                </w14:textFill>
              </w:rPr>
            </w:pPr>
            <w:r>
              <w:rPr>
                <w:rFonts w:hint="eastAsia"/>
                <w:szCs w:val="21"/>
              </w:rPr>
              <w:t>3#</w:t>
            </w:r>
          </w:p>
        </w:tc>
        <w:tc>
          <w:tcPr>
            <w:tcW w:w="0" w:type="auto"/>
            <w:shd w:val="clear" w:color="auto" w:fill="auto"/>
            <w:vAlign w:val="center"/>
          </w:tcPr>
          <w:p w14:paraId="6726CB79">
            <w:pPr>
              <w:widowControl w:val="0"/>
              <w:jc w:val="center"/>
              <w:rPr>
                <w:rFonts w:ascii="宋体" w:hAnsi="宋体"/>
                <w:color w:val="000000" w:themeColor="text1"/>
                <w:szCs w:val="21"/>
                <w14:textFill>
                  <w14:solidFill>
                    <w14:schemeClr w14:val="tx1"/>
                  </w14:solidFill>
                </w14:textFill>
              </w:rPr>
            </w:pPr>
            <w:r>
              <w:rPr>
                <w:rFonts w:hint="eastAsia"/>
                <w:szCs w:val="21"/>
              </w:rPr>
              <w:t>大石板坡居民#2</w:t>
            </w:r>
          </w:p>
        </w:tc>
        <w:tc>
          <w:tcPr>
            <w:tcW w:w="0" w:type="auto"/>
            <w:shd w:val="clear" w:color="auto" w:fill="auto"/>
            <w:vAlign w:val="center"/>
          </w:tcPr>
          <w:p w14:paraId="5658C835">
            <w:pPr>
              <w:widowControl w:val="0"/>
              <w:jc w:val="center"/>
              <w:rPr>
                <w:rFonts w:ascii="宋体" w:hAnsi="宋体"/>
                <w:color w:val="000000" w:themeColor="text1"/>
                <w:szCs w:val="21"/>
                <w14:textFill>
                  <w14:solidFill>
                    <w14:schemeClr w14:val="tx1"/>
                  </w14:solidFill>
                </w14:textFill>
              </w:rPr>
            </w:pPr>
            <w:r>
              <w:rPr>
                <w:rFonts w:hint="eastAsia"/>
                <w:szCs w:val="21"/>
              </w:rPr>
              <w:t>107.010055</w:t>
            </w:r>
          </w:p>
        </w:tc>
        <w:tc>
          <w:tcPr>
            <w:tcW w:w="0" w:type="auto"/>
            <w:shd w:val="clear" w:color="auto" w:fill="auto"/>
            <w:vAlign w:val="center"/>
          </w:tcPr>
          <w:p w14:paraId="27057EA2">
            <w:pPr>
              <w:widowControl w:val="0"/>
              <w:jc w:val="center"/>
              <w:rPr>
                <w:rFonts w:ascii="宋体" w:hAnsi="宋体"/>
                <w:color w:val="000000" w:themeColor="text1"/>
                <w:szCs w:val="21"/>
                <w14:textFill>
                  <w14:solidFill>
                    <w14:schemeClr w14:val="tx1"/>
                  </w14:solidFill>
                </w14:textFill>
              </w:rPr>
            </w:pPr>
            <w:r>
              <w:rPr>
                <w:rFonts w:hint="eastAsia"/>
                <w:szCs w:val="21"/>
              </w:rPr>
              <w:t>31.992608</w:t>
            </w:r>
          </w:p>
        </w:tc>
        <w:tc>
          <w:tcPr>
            <w:tcW w:w="0" w:type="auto"/>
            <w:shd w:val="clear" w:color="auto" w:fill="auto"/>
            <w:vAlign w:val="center"/>
          </w:tcPr>
          <w:p w14:paraId="18D7DD7A">
            <w:pPr>
              <w:widowControl w:val="0"/>
              <w:jc w:val="center"/>
              <w:rPr>
                <w:rFonts w:ascii="宋体" w:hAnsi="宋体"/>
                <w:color w:val="000000" w:themeColor="text1"/>
                <w:szCs w:val="21"/>
                <w14:textFill>
                  <w14:solidFill>
                    <w14:schemeClr w14:val="tx1"/>
                  </w14:solidFill>
                </w14:textFill>
              </w:rPr>
            </w:pPr>
            <w:r>
              <w:rPr>
                <w:rFonts w:hint="eastAsia"/>
                <w:szCs w:val="21"/>
              </w:rPr>
              <w:t>约30人</w:t>
            </w:r>
          </w:p>
        </w:tc>
        <w:tc>
          <w:tcPr>
            <w:tcW w:w="0" w:type="auto"/>
            <w:vMerge w:val="continue"/>
            <w:vAlign w:val="center"/>
          </w:tcPr>
          <w:p w14:paraId="592AADB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3E37A4B">
            <w:pPr>
              <w:widowControl w:val="0"/>
              <w:jc w:val="center"/>
              <w:rPr>
                <w:rFonts w:ascii="宋体" w:hAnsi="宋体"/>
                <w:color w:val="000000" w:themeColor="text1"/>
                <w:szCs w:val="21"/>
                <w14:textFill>
                  <w14:solidFill>
                    <w14:schemeClr w14:val="tx1"/>
                  </w14:solidFill>
                </w14:textFill>
              </w:rPr>
            </w:pPr>
            <w:r>
              <w:rPr>
                <w:szCs w:val="21"/>
              </w:rPr>
              <w:t>W</w:t>
            </w:r>
          </w:p>
        </w:tc>
        <w:tc>
          <w:tcPr>
            <w:tcW w:w="0" w:type="auto"/>
            <w:shd w:val="clear" w:color="auto" w:fill="auto"/>
            <w:vAlign w:val="center"/>
          </w:tcPr>
          <w:p w14:paraId="58D77C1E">
            <w:pPr>
              <w:widowControl w:val="0"/>
              <w:jc w:val="center"/>
              <w:rPr>
                <w:rFonts w:ascii="宋体" w:hAnsi="宋体"/>
                <w:color w:val="000000" w:themeColor="text1"/>
                <w:szCs w:val="21"/>
                <w14:textFill>
                  <w14:solidFill>
                    <w14:schemeClr w14:val="tx1"/>
                  </w14:solidFill>
                </w14:textFill>
              </w:rPr>
            </w:pPr>
            <w:r>
              <w:rPr>
                <w:szCs w:val="21"/>
              </w:rPr>
              <w:t>1372</w:t>
            </w:r>
          </w:p>
        </w:tc>
        <w:tc>
          <w:tcPr>
            <w:tcW w:w="0" w:type="auto"/>
            <w:shd w:val="clear" w:color="auto" w:fill="auto"/>
            <w:vAlign w:val="center"/>
          </w:tcPr>
          <w:p w14:paraId="5ED25D60">
            <w:pPr>
              <w:widowControl w:val="0"/>
              <w:jc w:val="center"/>
              <w:rPr>
                <w:rFonts w:ascii="宋体" w:hAnsi="宋体"/>
                <w:color w:val="000000" w:themeColor="text1"/>
                <w:szCs w:val="21"/>
                <w14:textFill>
                  <w14:solidFill>
                    <w14:schemeClr w14:val="tx1"/>
                  </w14:solidFill>
                </w14:textFill>
              </w:rPr>
            </w:pPr>
            <w:r>
              <w:rPr>
                <w:szCs w:val="21"/>
              </w:rPr>
              <w:t>-92</w:t>
            </w:r>
          </w:p>
        </w:tc>
        <w:tc>
          <w:tcPr>
            <w:tcW w:w="0" w:type="auto"/>
            <w:vMerge w:val="continue"/>
            <w:vAlign w:val="center"/>
          </w:tcPr>
          <w:p w14:paraId="2F616994">
            <w:pPr>
              <w:widowControl w:val="0"/>
              <w:jc w:val="center"/>
              <w:rPr>
                <w:rFonts w:ascii="宋体" w:hAnsi="宋体"/>
                <w:color w:val="000000" w:themeColor="text1"/>
                <w:szCs w:val="21"/>
                <w14:textFill>
                  <w14:solidFill>
                    <w14:schemeClr w14:val="tx1"/>
                  </w14:solidFill>
                </w14:textFill>
              </w:rPr>
            </w:pPr>
          </w:p>
        </w:tc>
      </w:tr>
      <w:tr w14:paraId="33D6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4CEA363">
            <w:pPr>
              <w:widowControl w:val="0"/>
              <w:jc w:val="center"/>
              <w:rPr>
                <w:rFonts w:ascii="宋体" w:hAnsi="宋体"/>
                <w:color w:val="000000" w:themeColor="text1"/>
                <w:szCs w:val="21"/>
                <w14:textFill>
                  <w14:solidFill>
                    <w14:schemeClr w14:val="tx1"/>
                  </w14:solidFill>
                </w14:textFill>
              </w:rPr>
            </w:pPr>
            <w:r>
              <w:rPr>
                <w:rFonts w:hint="eastAsia"/>
                <w:szCs w:val="21"/>
              </w:rPr>
              <w:t>4#</w:t>
            </w:r>
          </w:p>
        </w:tc>
        <w:tc>
          <w:tcPr>
            <w:tcW w:w="0" w:type="auto"/>
            <w:shd w:val="clear" w:color="auto" w:fill="auto"/>
            <w:vAlign w:val="center"/>
          </w:tcPr>
          <w:p w14:paraId="265EC89C">
            <w:pPr>
              <w:widowControl w:val="0"/>
              <w:jc w:val="center"/>
              <w:rPr>
                <w:rFonts w:ascii="宋体" w:hAnsi="宋体"/>
                <w:color w:val="000000" w:themeColor="text1"/>
                <w:szCs w:val="21"/>
                <w14:textFill>
                  <w14:solidFill>
                    <w14:schemeClr w14:val="tx1"/>
                  </w14:solidFill>
                </w14:textFill>
              </w:rPr>
            </w:pPr>
            <w:r>
              <w:rPr>
                <w:rFonts w:hint="eastAsia"/>
                <w:szCs w:val="21"/>
              </w:rPr>
              <w:t>大石板坡居民#1</w:t>
            </w:r>
          </w:p>
        </w:tc>
        <w:tc>
          <w:tcPr>
            <w:tcW w:w="0" w:type="auto"/>
            <w:shd w:val="clear" w:color="auto" w:fill="auto"/>
            <w:vAlign w:val="center"/>
          </w:tcPr>
          <w:p w14:paraId="1D42D2A1">
            <w:pPr>
              <w:widowControl w:val="0"/>
              <w:jc w:val="center"/>
              <w:rPr>
                <w:rFonts w:ascii="宋体" w:hAnsi="宋体"/>
                <w:color w:val="000000" w:themeColor="text1"/>
                <w:szCs w:val="21"/>
                <w14:textFill>
                  <w14:solidFill>
                    <w14:schemeClr w14:val="tx1"/>
                  </w14:solidFill>
                </w14:textFill>
              </w:rPr>
            </w:pPr>
            <w:r>
              <w:rPr>
                <w:rFonts w:hint="eastAsia"/>
                <w:szCs w:val="21"/>
              </w:rPr>
              <w:t>107.010741</w:t>
            </w:r>
          </w:p>
        </w:tc>
        <w:tc>
          <w:tcPr>
            <w:tcW w:w="0" w:type="auto"/>
            <w:shd w:val="clear" w:color="auto" w:fill="auto"/>
            <w:vAlign w:val="center"/>
          </w:tcPr>
          <w:p w14:paraId="279728AE">
            <w:pPr>
              <w:widowControl w:val="0"/>
              <w:jc w:val="center"/>
              <w:rPr>
                <w:rFonts w:ascii="宋体" w:hAnsi="宋体"/>
                <w:color w:val="000000" w:themeColor="text1"/>
                <w:szCs w:val="21"/>
                <w14:textFill>
                  <w14:solidFill>
                    <w14:schemeClr w14:val="tx1"/>
                  </w14:solidFill>
                </w14:textFill>
              </w:rPr>
            </w:pPr>
            <w:r>
              <w:rPr>
                <w:rFonts w:hint="eastAsia"/>
                <w:szCs w:val="21"/>
              </w:rPr>
              <w:t>31.987021</w:t>
            </w:r>
          </w:p>
        </w:tc>
        <w:tc>
          <w:tcPr>
            <w:tcW w:w="0" w:type="auto"/>
            <w:shd w:val="clear" w:color="auto" w:fill="auto"/>
            <w:vAlign w:val="center"/>
          </w:tcPr>
          <w:p w14:paraId="6D006BE8">
            <w:pPr>
              <w:widowControl w:val="0"/>
              <w:jc w:val="center"/>
              <w:rPr>
                <w:rFonts w:ascii="宋体" w:hAnsi="宋体"/>
                <w:color w:val="000000" w:themeColor="text1"/>
                <w:szCs w:val="21"/>
                <w14:textFill>
                  <w14:solidFill>
                    <w14:schemeClr w14:val="tx1"/>
                  </w14:solidFill>
                </w14:textFill>
              </w:rPr>
            </w:pPr>
            <w:r>
              <w:rPr>
                <w:rFonts w:hint="eastAsia"/>
                <w:szCs w:val="21"/>
              </w:rPr>
              <w:t>约110人</w:t>
            </w:r>
          </w:p>
        </w:tc>
        <w:tc>
          <w:tcPr>
            <w:tcW w:w="0" w:type="auto"/>
            <w:vMerge w:val="continue"/>
            <w:vAlign w:val="center"/>
          </w:tcPr>
          <w:p w14:paraId="0D057FA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9BF966B">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55FA741E">
            <w:pPr>
              <w:widowControl w:val="0"/>
              <w:jc w:val="center"/>
              <w:rPr>
                <w:rFonts w:ascii="宋体" w:hAnsi="宋体"/>
                <w:color w:val="000000" w:themeColor="text1"/>
                <w:szCs w:val="21"/>
                <w14:textFill>
                  <w14:solidFill>
                    <w14:schemeClr w14:val="tx1"/>
                  </w14:solidFill>
                </w14:textFill>
              </w:rPr>
            </w:pPr>
            <w:r>
              <w:rPr>
                <w:szCs w:val="21"/>
              </w:rPr>
              <w:t>1395</w:t>
            </w:r>
          </w:p>
        </w:tc>
        <w:tc>
          <w:tcPr>
            <w:tcW w:w="0" w:type="auto"/>
            <w:shd w:val="clear" w:color="auto" w:fill="auto"/>
            <w:vAlign w:val="center"/>
          </w:tcPr>
          <w:p w14:paraId="77D7FB73">
            <w:pPr>
              <w:widowControl w:val="0"/>
              <w:jc w:val="center"/>
              <w:rPr>
                <w:rFonts w:ascii="宋体" w:hAnsi="宋体"/>
                <w:color w:val="000000" w:themeColor="text1"/>
                <w:szCs w:val="21"/>
                <w14:textFill>
                  <w14:solidFill>
                    <w14:schemeClr w14:val="tx1"/>
                  </w14:solidFill>
                </w14:textFill>
              </w:rPr>
            </w:pPr>
            <w:r>
              <w:rPr>
                <w:szCs w:val="21"/>
              </w:rPr>
              <w:t>-102</w:t>
            </w:r>
          </w:p>
        </w:tc>
        <w:tc>
          <w:tcPr>
            <w:tcW w:w="0" w:type="auto"/>
            <w:vMerge w:val="continue"/>
            <w:vAlign w:val="center"/>
          </w:tcPr>
          <w:p w14:paraId="1AC91772">
            <w:pPr>
              <w:widowControl w:val="0"/>
              <w:jc w:val="center"/>
              <w:rPr>
                <w:rFonts w:ascii="宋体" w:hAnsi="宋体"/>
                <w:color w:val="000000" w:themeColor="text1"/>
                <w:szCs w:val="21"/>
                <w14:textFill>
                  <w14:solidFill>
                    <w14:schemeClr w14:val="tx1"/>
                  </w14:solidFill>
                </w14:textFill>
              </w:rPr>
            </w:pPr>
          </w:p>
        </w:tc>
      </w:tr>
      <w:tr w14:paraId="0384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1EB7591">
            <w:pPr>
              <w:widowControl w:val="0"/>
              <w:jc w:val="center"/>
              <w:rPr>
                <w:rFonts w:ascii="宋体" w:hAnsi="宋体"/>
                <w:color w:val="000000" w:themeColor="text1"/>
                <w:szCs w:val="21"/>
                <w14:textFill>
                  <w14:solidFill>
                    <w14:schemeClr w14:val="tx1"/>
                  </w14:solidFill>
                </w14:textFill>
              </w:rPr>
            </w:pPr>
            <w:r>
              <w:rPr>
                <w:rFonts w:hint="eastAsia"/>
                <w:szCs w:val="21"/>
              </w:rPr>
              <w:t>5#</w:t>
            </w:r>
          </w:p>
        </w:tc>
        <w:tc>
          <w:tcPr>
            <w:tcW w:w="0" w:type="auto"/>
            <w:shd w:val="clear" w:color="auto" w:fill="auto"/>
            <w:vAlign w:val="center"/>
          </w:tcPr>
          <w:p w14:paraId="610A07BA">
            <w:pPr>
              <w:widowControl w:val="0"/>
              <w:jc w:val="center"/>
              <w:rPr>
                <w:rFonts w:ascii="宋体" w:hAnsi="宋体"/>
                <w:color w:val="000000" w:themeColor="text1"/>
                <w:szCs w:val="21"/>
                <w14:textFill>
                  <w14:solidFill>
                    <w14:schemeClr w14:val="tx1"/>
                  </w14:solidFill>
                </w14:textFill>
              </w:rPr>
            </w:pPr>
            <w:r>
              <w:rPr>
                <w:rFonts w:hint="eastAsia"/>
                <w:szCs w:val="21"/>
              </w:rPr>
              <w:t>学官坪村居民#1</w:t>
            </w:r>
          </w:p>
        </w:tc>
        <w:tc>
          <w:tcPr>
            <w:tcW w:w="0" w:type="auto"/>
            <w:shd w:val="clear" w:color="auto" w:fill="auto"/>
            <w:vAlign w:val="center"/>
          </w:tcPr>
          <w:p w14:paraId="58D7526B">
            <w:pPr>
              <w:widowControl w:val="0"/>
              <w:jc w:val="center"/>
              <w:rPr>
                <w:rFonts w:ascii="宋体" w:hAnsi="宋体"/>
                <w:color w:val="000000" w:themeColor="text1"/>
                <w:szCs w:val="21"/>
                <w14:textFill>
                  <w14:solidFill>
                    <w14:schemeClr w14:val="tx1"/>
                  </w14:solidFill>
                </w14:textFill>
              </w:rPr>
            </w:pPr>
            <w:r>
              <w:rPr>
                <w:rFonts w:hint="eastAsia"/>
                <w:szCs w:val="21"/>
              </w:rPr>
              <w:t>107.00263</w:t>
            </w:r>
          </w:p>
        </w:tc>
        <w:tc>
          <w:tcPr>
            <w:tcW w:w="0" w:type="auto"/>
            <w:shd w:val="clear" w:color="auto" w:fill="auto"/>
            <w:vAlign w:val="center"/>
          </w:tcPr>
          <w:p w14:paraId="5781C9A2">
            <w:pPr>
              <w:widowControl w:val="0"/>
              <w:jc w:val="center"/>
              <w:rPr>
                <w:rFonts w:ascii="宋体" w:hAnsi="宋体"/>
                <w:color w:val="000000" w:themeColor="text1"/>
                <w:szCs w:val="21"/>
                <w14:textFill>
                  <w14:solidFill>
                    <w14:schemeClr w14:val="tx1"/>
                  </w14:solidFill>
                </w14:textFill>
              </w:rPr>
            </w:pPr>
            <w:r>
              <w:rPr>
                <w:rFonts w:hint="eastAsia"/>
                <w:szCs w:val="21"/>
              </w:rPr>
              <w:t>31.978867</w:t>
            </w:r>
          </w:p>
        </w:tc>
        <w:tc>
          <w:tcPr>
            <w:tcW w:w="0" w:type="auto"/>
            <w:shd w:val="clear" w:color="auto" w:fill="auto"/>
            <w:vAlign w:val="center"/>
          </w:tcPr>
          <w:p w14:paraId="292121DF">
            <w:pPr>
              <w:widowControl w:val="0"/>
              <w:jc w:val="center"/>
              <w:rPr>
                <w:rFonts w:ascii="宋体" w:hAnsi="宋体"/>
                <w:color w:val="000000" w:themeColor="text1"/>
                <w:szCs w:val="21"/>
                <w14:textFill>
                  <w14:solidFill>
                    <w14:schemeClr w14:val="tx1"/>
                  </w14:solidFill>
                </w14:textFill>
              </w:rPr>
            </w:pPr>
            <w:r>
              <w:rPr>
                <w:rFonts w:hint="eastAsia"/>
                <w:szCs w:val="21"/>
              </w:rPr>
              <w:t>约100人</w:t>
            </w:r>
          </w:p>
        </w:tc>
        <w:tc>
          <w:tcPr>
            <w:tcW w:w="0" w:type="auto"/>
            <w:vMerge w:val="continue"/>
            <w:vAlign w:val="center"/>
          </w:tcPr>
          <w:p w14:paraId="4AE1787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5B6B96C">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3DF445DE">
            <w:pPr>
              <w:widowControl w:val="0"/>
              <w:jc w:val="center"/>
              <w:rPr>
                <w:rFonts w:ascii="宋体" w:hAnsi="宋体"/>
                <w:color w:val="000000" w:themeColor="text1"/>
                <w:szCs w:val="21"/>
                <w14:textFill>
                  <w14:solidFill>
                    <w14:schemeClr w14:val="tx1"/>
                  </w14:solidFill>
                </w14:textFill>
              </w:rPr>
            </w:pPr>
            <w:r>
              <w:rPr>
                <w:szCs w:val="21"/>
              </w:rPr>
              <w:t>2454</w:t>
            </w:r>
          </w:p>
        </w:tc>
        <w:tc>
          <w:tcPr>
            <w:tcW w:w="0" w:type="auto"/>
            <w:shd w:val="clear" w:color="auto" w:fill="auto"/>
            <w:vAlign w:val="center"/>
          </w:tcPr>
          <w:p w14:paraId="4835556C">
            <w:pPr>
              <w:widowControl w:val="0"/>
              <w:jc w:val="center"/>
              <w:rPr>
                <w:rFonts w:ascii="宋体" w:hAnsi="宋体"/>
                <w:color w:val="000000" w:themeColor="text1"/>
                <w:szCs w:val="21"/>
                <w14:textFill>
                  <w14:solidFill>
                    <w14:schemeClr w14:val="tx1"/>
                  </w14:solidFill>
                </w14:textFill>
              </w:rPr>
            </w:pPr>
            <w:r>
              <w:rPr>
                <w:szCs w:val="21"/>
              </w:rPr>
              <w:t>-79</w:t>
            </w:r>
          </w:p>
        </w:tc>
        <w:tc>
          <w:tcPr>
            <w:tcW w:w="0" w:type="auto"/>
            <w:vMerge w:val="continue"/>
            <w:vAlign w:val="center"/>
          </w:tcPr>
          <w:p w14:paraId="411ADF0F">
            <w:pPr>
              <w:widowControl w:val="0"/>
              <w:jc w:val="center"/>
              <w:rPr>
                <w:rFonts w:ascii="宋体" w:hAnsi="宋体"/>
                <w:color w:val="000000" w:themeColor="text1"/>
                <w:szCs w:val="21"/>
                <w14:textFill>
                  <w14:solidFill>
                    <w14:schemeClr w14:val="tx1"/>
                  </w14:solidFill>
                </w14:textFill>
              </w:rPr>
            </w:pPr>
          </w:p>
        </w:tc>
      </w:tr>
      <w:tr w14:paraId="377D0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CCD38AE">
            <w:pPr>
              <w:widowControl w:val="0"/>
              <w:jc w:val="center"/>
              <w:rPr>
                <w:rFonts w:ascii="宋体" w:hAnsi="宋体"/>
                <w:color w:val="000000" w:themeColor="text1"/>
                <w:szCs w:val="21"/>
                <w14:textFill>
                  <w14:solidFill>
                    <w14:schemeClr w14:val="tx1"/>
                  </w14:solidFill>
                </w14:textFill>
              </w:rPr>
            </w:pPr>
            <w:r>
              <w:rPr>
                <w:rFonts w:hint="eastAsia"/>
                <w:szCs w:val="21"/>
              </w:rPr>
              <w:t>6#</w:t>
            </w:r>
          </w:p>
        </w:tc>
        <w:tc>
          <w:tcPr>
            <w:tcW w:w="0" w:type="auto"/>
            <w:shd w:val="clear" w:color="auto" w:fill="auto"/>
            <w:vAlign w:val="center"/>
          </w:tcPr>
          <w:p w14:paraId="08042236">
            <w:pPr>
              <w:widowControl w:val="0"/>
              <w:jc w:val="center"/>
              <w:rPr>
                <w:rFonts w:ascii="宋体" w:hAnsi="宋体"/>
                <w:color w:val="000000" w:themeColor="text1"/>
                <w:szCs w:val="21"/>
                <w14:textFill>
                  <w14:solidFill>
                    <w14:schemeClr w14:val="tx1"/>
                  </w14:solidFill>
                </w14:textFill>
              </w:rPr>
            </w:pPr>
            <w:r>
              <w:rPr>
                <w:rFonts w:hint="eastAsia"/>
                <w:szCs w:val="21"/>
              </w:rPr>
              <w:t>王家湾居民#1</w:t>
            </w:r>
          </w:p>
        </w:tc>
        <w:tc>
          <w:tcPr>
            <w:tcW w:w="0" w:type="auto"/>
            <w:shd w:val="clear" w:color="auto" w:fill="auto"/>
            <w:vAlign w:val="center"/>
          </w:tcPr>
          <w:p w14:paraId="21A13188">
            <w:pPr>
              <w:widowControl w:val="0"/>
              <w:jc w:val="center"/>
              <w:rPr>
                <w:rFonts w:ascii="宋体" w:hAnsi="宋体"/>
                <w:color w:val="000000" w:themeColor="text1"/>
                <w:szCs w:val="21"/>
                <w14:textFill>
                  <w14:solidFill>
                    <w14:schemeClr w14:val="tx1"/>
                  </w14:solidFill>
                </w14:textFill>
              </w:rPr>
            </w:pPr>
            <w:r>
              <w:rPr>
                <w:rFonts w:hint="eastAsia"/>
                <w:szCs w:val="21"/>
              </w:rPr>
              <w:t>107.004958</w:t>
            </w:r>
          </w:p>
        </w:tc>
        <w:tc>
          <w:tcPr>
            <w:tcW w:w="0" w:type="auto"/>
            <w:shd w:val="clear" w:color="auto" w:fill="auto"/>
            <w:vAlign w:val="center"/>
          </w:tcPr>
          <w:p w14:paraId="3FF605EC">
            <w:pPr>
              <w:widowControl w:val="0"/>
              <w:jc w:val="center"/>
              <w:rPr>
                <w:rFonts w:ascii="宋体" w:hAnsi="宋体"/>
                <w:color w:val="000000" w:themeColor="text1"/>
                <w:szCs w:val="21"/>
                <w14:textFill>
                  <w14:solidFill>
                    <w14:schemeClr w14:val="tx1"/>
                  </w14:solidFill>
                </w14:textFill>
              </w:rPr>
            </w:pPr>
            <w:r>
              <w:rPr>
                <w:rFonts w:hint="eastAsia"/>
                <w:szCs w:val="21"/>
              </w:rPr>
              <w:t>31.970567</w:t>
            </w:r>
          </w:p>
        </w:tc>
        <w:tc>
          <w:tcPr>
            <w:tcW w:w="0" w:type="auto"/>
            <w:shd w:val="clear" w:color="auto" w:fill="auto"/>
            <w:vAlign w:val="center"/>
          </w:tcPr>
          <w:p w14:paraId="5C4E0E91">
            <w:pPr>
              <w:widowControl w:val="0"/>
              <w:jc w:val="center"/>
              <w:rPr>
                <w:rFonts w:ascii="宋体" w:hAnsi="宋体"/>
                <w:color w:val="000000" w:themeColor="text1"/>
                <w:szCs w:val="21"/>
                <w14:textFill>
                  <w14:solidFill>
                    <w14:schemeClr w14:val="tx1"/>
                  </w14:solidFill>
                </w14:textFill>
              </w:rPr>
            </w:pPr>
            <w:r>
              <w:rPr>
                <w:rFonts w:hint="eastAsia"/>
                <w:szCs w:val="21"/>
              </w:rPr>
              <w:t>约80人</w:t>
            </w:r>
          </w:p>
        </w:tc>
        <w:tc>
          <w:tcPr>
            <w:tcW w:w="0" w:type="auto"/>
            <w:vMerge w:val="continue"/>
            <w:vAlign w:val="center"/>
          </w:tcPr>
          <w:p w14:paraId="44D25FA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61BE68C">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17684EB2">
            <w:pPr>
              <w:widowControl w:val="0"/>
              <w:jc w:val="center"/>
              <w:rPr>
                <w:rFonts w:ascii="宋体" w:hAnsi="宋体"/>
                <w:color w:val="000000" w:themeColor="text1"/>
                <w:szCs w:val="21"/>
                <w14:textFill>
                  <w14:solidFill>
                    <w14:schemeClr w14:val="tx1"/>
                  </w14:solidFill>
                </w14:textFill>
              </w:rPr>
            </w:pPr>
            <w:r>
              <w:rPr>
                <w:szCs w:val="21"/>
              </w:rPr>
              <w:t>2846</w:t>
            </w:r>
          </w:p>
        </w:tc>
        <w:tc>
          <w:tcPr>
            <w:tcW w:w="0" w:type="auto"/>
            <w:shd w:val="clear" w:color="auto" w:fill="auto"/>
            <w:vAlign w:val="center"/>
          </w:tcPr>
          <w:p w14:paraId="66C4C19C">
            <w:pPr>
              <w:widowControl w:val="0"/>
              <w:jc w:val="center"/>
              <w:rPr>
                <w:rFonts w:ascii="宋体" w:hAnsi="宋体"/>
                <w:color w:val="000000" w:themeColor="text1"/>
                <w:szCs w:val="21"/>
                <w14:textFill>
                  <w14:solidFill>
                    <w14:schemeClr w14:val="tx1"/>
                  </w14:solidFill>
                </w14:textFill>
              </w:rPr>
            </w:pPr>
            <w:r>
              <w:rPr>
                <w:szCs w:val="21"/>
              </w:rPr>
              <w:t>-130</w:t>
            </w:r>
          </w:p>
        </w:tc>
        <w:tc>
          <w:tcPr>
            <w:tcW w:w="0" w:type="auto"/>
            <w:vMerge w:val="continue"/>
            <w:vAlign w:val="center"/>
          </w:tcPr>
          <w:p w14:paraId="25445AF6">
            <w:pPr>
              <w:widowControl w:val="0"/>
              <w:jc w:val="center"/>
              <w:rPr>
                <w:rFonts w:ascii="宋体" w:hAnsi="宋体"/>
                <w:color w:val="000000" w:themeColor="text1"/>
                <w:szCs w:val="21"/>
                <w14:textFill>
                  <w14:solidFill>
                    <w14:schemeClr w14:val="tx1"/>
                  </w14:solidFill>
                </w14:textFill>
              </w:rPr>
            </w:pPr>
          </w:p>
        </w:tc>
      </w:tr>
      <w:tr w14:paraId="4426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03776B1">
            <w:pPr>
              <w:widowControl w:val="0"/>
              <w:jc w:val="center"/>
              <w:rPr>
                <w:rFonts w:ascii="宋体" w:hAnsi="宋体"/>
                <w:color w:val="000000" w:themeColor="text1"/>
                <w:szCs w:val="21"/>
                <w14:textFill>
                  <w14:solidFill>
                    <w14:schemeClr w14:val="tx1"/>
                  </w14:solidFill>
                </w14:textFill>
              </w:rPr>
            </w:pPr>
            <w:r>
              <w:rPr>
                <w:rFonts w:hint="eastAsia"/>
                <w:szCs w:val="21"/>
              </w:rPr>
              <w:t>7#</w:t>
            </w:r>
          </w:p>
        </w:tc>
        <w:tc>
          <w:tcPr>
            <w:tcW w:w="0" w:type="auto"/>
            <w:shd w:val="clear" w:color="auto" w:fill="auto"/>
            <w:vAlign w:val="center"/>
          </w:tcPr>
          <w:p w14:paraId="1AD14D5A">
            <w:pPr>
              <w:widowControl w:val="0"/>
              <w:jc w:val="center"/>
              <w:rPr>
                <w:rFonts w:ascii="宋体" w:hAnsi="宋体"/>
                <w:color w:val="000000" w:themeColor="text1"/>
                <w:szCs w:val="21"/>
                <w14:textFill>
                  <w14:solidFill>
                    <w14:schemeClr w14:val="tx1"/>
                  </w14:solidFill>
                </w14:textFill>
              </w:rPr>
            </w:pPr>
            <w:r>
              <w:rPr>
                <w:rFonts w:hint="eastAsia"/>
                <w:szCs w:val="21"/>
              </w:rPr>
              <w:t>茅垭村居民#1</w:t>
            </w:r>
          </w:p>
        </w:tc>
        <w:tc>
          <w:tcPr>
            <w:tcW w:w="0" w:type="auto"/>
            <w:shd w:val="clear" w:color="auto" w:fill="auto"/>
            <w:vAlign w:val="center"/>
          </w:tcPr>
          <w:p w14:paraId="6A9142A5">
            <w:pPr>
              <w:widowControl w:val="0"/>
              <w:jc w:val="center"/>
              <w:rPr>
                <w:rFonts w:ascii="宋体" w:hAnsi="宋体"/>
                <w:color w:val="000000" w:themeColor="text1"/>
                <w:szCs w:val="21"/>
                <w14:textFill>
                  <w14:solidFill>
                    <w14:schemeClr w14:val="tx1"/>
                  </w14:solidFill>
                </w14:textFill>
              </w:rPr>
            </w:pPr>
            <w:r>
              <w:rPr>
                <w:rFonts w:hint="eastAsia"/>
                <w:szCs w:val="21"/>
              </w:rPr>
              <w:t>107.01263</w:t>
            </w:r>
          </w:p>
        </w:tc>
        <w:tc>
          <w:tcPr>
            <w:tcW w:w="0" w:type="auto"/>
            <w:shd w:val="clear" w:color="auto" w:fill="auto"/>
            <w:vAlign w:val="center"/>
          </w:tcPr>
          <w:p w14:paraId="61B6A2AF">
            <w:pPr>
              <w:widowControl w:val="0"/>
              <w:jc w:val="center"/>
              <w:rPr>
                <w:rFonts w:ascii="宋体" w:hAnsi="宋体"/>
                <w:color w:val="000000" w:themeColor="text1"/>
                <w:szCs w:val="21"/>
                <w14:textFill>
                  <w14:solidFill>
                    <w14:schemeClr w14:val="tx1"/>
                  </w14:solidFill>
                </w14:textFill>
              </w:rPr>
            </w:pPr>
            <w:r>
              <w:rPr>
                <w:rFonts w:hint="eastAsia"/>
                <w:szCs w:val="21"/>
              </w:rPr>
              <w:t>31.979687</w:t>
            </w:r>
          </w:p>
        </w:tc>
        <w:tc>
          <w:tcPr>
            <w:tcW w:w="0" w:type="auto"/>
            <w:shd w:val="clear" w:color="auto" w:fill="auto"/>
            <w:vAlign w:val="center"/>
          </w:tcPr>
          <w:p w14:paraId="368BFF3F">
            <w:pPr>
              <w:widowControl w:val="0"/>
              <w:jc w:val="center"/>
              <w:rPr>
                <w:rFonts w:ascii="宋体" w:hAnsi="宋体"/>
                <w:color w:val="000000" w:themeColor="text1"/>
                <w:szCs w:val="21"/>
                <w14:textFill>
                  <w14:solidFill>
                    <w14:schemeClr w14:val="tx1"/>
                  </w14:solidFill>
                </w14:textFill>
              </w:rPr>
            </w:pPr>
            <w:r>
              <w:rPr>
                <w:rFonts w:hint="eastAsia"/>
                <w:szCs w:val="21"/>
              </w:rPr>
              <w:t>约100人</w:t>
            </w:r>
          </w:p>
        </w:tc>
        <w:tc>
          <w:tcPr>
            <w:tcW w:w="0" w:type="auto"/>
            <w:vMerge w:val="continue"/>
            <w:vAlign w:val="center"/>
          </w:tcPr>
          <w:p w14:paraId="5052D0D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185A914">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6FB43EED">
            <w:pPr>
              <w:widowControl w:val="0"/>
              <w:jc w:val="center"/>
              <w:rPr>
                <w:rFonts w:ascii="宋体" w:hAnsi="宋体"/>
                <w:color w:val="000000" w:themeColor="text1"/>
                <w:szCs w:val="21"/>
                <w14:textFill>
                  <w14:solidFill>
                    <w14:schemeClr w14:val="tx1"/>
                  </w14:solidFill>
                </w14:textFill>
              </w:rPr>
            </w:pPr>
            <w:r>
              <w:rPr>
                <w:szCs w:val="21"/>
              </w:rPr>
              <w:t>1620</w:t>
            </w:r>
          </w:p>
        </w:tc>
        <w:tc>
          <w:tcPr>
            <w:tcW w:w="0" w:type="auto"/>
            <w:shd w:val="clear" w:color="auto" w:fill="auto"/>
            <w:vAlign w:val="center"/>
          </w:tcPr>
          <w:p w14:paraId="365ECBF2">
            <w:pPr>
              <w:widowControl w:val="0"/>
              <w:jc w:val="center"/>
              <w:rPr>
                <w:rFonts w:ascii="宋体" w:hAnsi="宋体"/>
                <w:color w:val="000000" w:themeColor="text1"/>
                <w:szCs w:val="21"/>
                <w14:textFill>
                  <w14:solidFill>
                    <w14:schemeClr w14:val="tx1"/>
                  </w14:solidFill>
                </w14:textFill>
              </w:rPr>
            </w:pPr>
            <w:r>
              <w:rPr>
                <w:szCs w:val="21"/>
              </w:rPr>
              <w:t>-68</w:t>
            </w:r>
          </w:p>
        </w:tc>
        <w:tc>
          <w:tcPr>
            <w:tcW w:w="0" w:type="auto"/>
            <w:vMerge w:val="continue"/>
            <w:vAlign w:val="center"/>
          </w:tcPr>
          <w:p w14:paraId="6DC2DC4D">
            <w:pPr>
              <w:widowControl w:val="0"/>
              <w:jc w:val="center"/>
              <w:rPr>
                <w:rFonts w:ascii="宋体" w:hAnsi="宋体"/>
                <w:color w:val="000000" w:themeColor="text1"/>
                <w:szCs w:val="21"/>
                <w14:textFill>
                  <w14:solidFill>
                    <w14:schemeClr w14:val="tx1"/>
                  </w14:solidFill>
                </w14:textFill>
              </w:rPr>
            </w:pPr>
          </w:p>
        </w:tc>
      </w:tr>
      <w:tr w14:paraId="1DA9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A492F1C">
            <w:pPr>
              <w:widowControl w:val="0"/>
              <w:jc w:val="center"/>
              <w:rPr>
                <w:rFonts w:ascii="宋体" w:hAnsi="宋体"/>
                <w:color w:val="000000" w:themeColor="text1"/>
                <w:szCs w:val="21"/>
                <w14:textFill>
                  <w14:solidFill>
                    <w14:schemeClr w14:val="tx1"/>
                  </w14:solidFill>
                </w14:textFill>
              </w:rPr>
            </w:pPr>
            <w:r>
              <w:rPr>
                <w:rFonts w:hint="eastAsia"/>
                <w:szCs w:val="21"/>
              </w:rPr>
              <w:t>8#</w:t>
            </w:r>
          </w:p>
        </w:tc>
        <w:tc>
          <w:tcPr>
            <w:tcW w:w="0" w:type="auto"/>
            <w:shd w:val="clear" w:color="auto" w:fill="auto"/>
            <w:vAlign w:val="center"/>
          </w:tcPr>
          <w:p w14:paraId="64A13989">
            <w:pPr>
              <w:widowControl w:val="0"/>
              <w:jc w:val="center"/>
              <w:rPr>
                <w:rFonts w:ascii="宋体" w:hAnsi="宋体"/>
                <w:color w:val="000000" w:themeColor="text1"/>
                <w:szCs w:val="21"/>
                <w14:textFill>
                  <w14:solidFill>
                    <w14:schemeClr w14:val="tx1"/>
                  </w14:solidFill>
                </w14:textFill>
              </w:rPr>
            </w:pPr>
            <w:r>
              <w:rPr>
                <w:rFonts w:hint="eastAsia"/>
                <w:szCs w:val="21"/>
              </w:rPr>
              <w:t>白庙乡集中居民#1</w:t>
            </w:r>
          </w:p>
        </w:tc>
        <w:tc>
          <w:tcPr>
            <w:tcW w:w="0" w:type="auto"/>
            <w:shd w:val="clear" w:color="auto" w:fill="auto"/>
            <w:vAlign w:val="center"/>
          </w:tcPr>
          <w:p w14:paraId="18291A0F">
            <w:pPr>
              <w:widowControl w:val="0"/>
              <w:jc w:val="center"/>
              <w:rPr>
                <w:rFonts w:ascii="宋体" w:hAnsi="宋体"/>
                <w:color w:val="000000" w:themeColor="text1"/>
                <w:szCs w:val="21"/>
                <w14:textFill>
                  <w14:solidFill>
                    <w14:schemeClr w14:val="tx1"/>
                  </w14:solidFill>
                </w14:textFill>
              </w:rPr>
            </w:pPr>
            <w:r>
              <w:rPr>
                <w:rFonts w:hint="eastAsia"/>
                <w:szCs w:val="21"/>
              </w:rPr>
              <w:t>107.016363</w:t>
            </w:r>
          </w:p>
        </w:tc>
        <w:tc>
          <w:tcPr>
            <w:tcW w:w="0" w:type="auto"/>
            <w:shd w:val="clear" w:color="auto" w:fill="auto"/>
            <w:vAlign w:val="center"/>
          </w:tcPr>
          <w:p w14:paraId="7BD96A64">
            <w:pPr>
              <w:widowControl w:val="0"/>
              <w:jc w:val="center"/>
              <w:rPr>
                <w:rFonts w:ascii="宋体" w:hAnsi="宋体"/>
                <w:color w:val="000000" w:themeColor="text1"/>
                <w:szCs w:val="21"/>
                <w14:textFill>
                  <w14:solidFill>
                    <w14:schemeClr w14:val="tx1"/>
                  </w14:solidFill>
                </w14:textFill>
              </w:rPr>
            </w:pPr>
            <w:r>
              <w:rPr>
                <w:rFonts w:hint="eastAsia"/>
                <w:szCs w:val="21"/>
              </w:rPr>
              <w:t>31.977157</w:t>
            </w:r>
          </w:p>
        </w:tc>
        <w:tc>
          <w:tcPr>
            <w:tcW w:w="0" w:type="auto"/>
            <w:shd w:val="clear" w:color="auto" w:fill="auto"/>
            <w:vAlign w:val="center"/>
          </w:tcPr>
          <w:p w14:paraId="5ED38054">
            <w:pPr>
              <w:widowControl w:val="0"/>
              <w:jc w:val="center"/>
              <w:rPr>
                <w:rFonts w:ascii="宋体" w:hAnsi="宋体"/>
                <w:color w:val="000000" w:themeColor="text1"/>
                <w:szCs w:val="21"/>
                <w14:textFill>
                  <w14:solidFill>
                    <w14:schemeClr w14:val="tx1"/>
                  </w14:solidFill>
                </w14:textFill>
              </w:rPr>
            </w:pPr>
            <w:r>
              <w:rPr>
                <w:rFonts w:hint="eastAsia"/>
                <w:szCs w:val="21"/>
              </w:rPr>
              <w:t>约</w:t>
            </w:r>
            <w:r>
              <w:rPr>
                <w:szCs w:val="21"/>
              </w:rPr>
              <w:t>10</w:t>
            </w:r>
            <w:r>
              <w:rPr>
                <w:rFonts w:hint="eastAsia"/>
                <w:szCs w:val="21"/>
              </w:rPr>
              <w:t>00人</w:t>
            </w:r>
          </w:p>
        </w:tc>
        <w:tc>
          <w:tcPr>
            <w:tcW w:w="0" w:type="auto"/>
            <w:vMerge w:val="continue"/>
            <w:vAlign w:val="center"/>
          </w:tcPr>
          <w:p w14:paraId="029F68D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4621AE7">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52AEE32A">
            <w:pPr>
              <w:widowControl w:val="0"/>
              <w:jc w:val="center"/>
              <w:rPr>
                <w:rFonts w:ascii="宋体" w:hAnsi="宋体"/>
                <w:color w:val="000000" w:themeColor="text1"/>
                <w:szCs w:val="21"/>
                <w14:textFill>
                  <w14:solidFill>
                    <w14:schemeClr w14:val="tx1"/>
                  </w14:solidFill>
                </w14:textFill>
              </w:rPr>
            </w:pPr>
            <w:r>
              <w:rPr>
                <w:szCs w:val="21"/>
              </w:rPr>
              <w:t>1600</w:t>
            </w:r>
          </w:p>
        </w:tc>
        <w:tc>
          <w:tcPr>
            <w:tcW w:w="0" w:type="auto"/>
            <w:shd w:val="clear" w:color="auto" w:fill="auto"/>
            <w:vAlign w:val="center"/>
          </w:tcPr>
          <w:p w14:paraId="2D47E9D1">
            <w:pPr>
              <w:widowControl w:val="0"/>
              <w:jc w:val="center"/>
              <w:rPr>
                <w:rFonts w:ascii="宋体" w:hAnsi="宋体"/>
                <w:color w:val="000000" w:themeColor="text1"/>
                <w:szCs w:val="21"/>
                <w14:textFill>
                  <w14:solidFill>
                    <w14:schemeClr w14:val="tx1"/>
                  </w14:solidFill>
                </w14:textFill>
              </w:rPr>
            </w:pPr>
            <w:r>
              <w:rPr>
                <w:szCs w:val="21"/>
              </w:rPr>
              <w:t>68</w:t>
            </w:r>
          </w:p>
        </w:tc>
        <w:tc>
          <w:tcPr>
            <w:tcW w:w="0" w:type="auto"/>
            <w:vMerge w:val="continue"/>
            <w:vAlign w:val="center"/>
          </w:tcPr>
          <w:p w14:paraId="3AE1CA8C">
            <w:pPr>
              <w:widowControl w:val="0"/>
              <w:jc w:val="center"/>
              <w:rPr>
                <w:rFonts w:ascii="宋体" w:hAnsi="宋体"/>
                <w:color w:val="000000" w:themeColor="text1"/>
                <w:szCs w:val="21"/>
                <w14:textFill>
                  <w14:solidFill>
                    <w14:schemeClr w14:val="tx1"/>
                  </w14:solidFill>
                </w14:textFill>
              </w:rPr>
            </w:pPr>
          </w:p>
        </w:tc>
      </w:tr>
      <w:tr w14:paraId="1C4F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9310FF3">
            <w:pPr>
              <w:widowControl w:val="0"/>
              <w:jc w:val="center"/>
              <w:rPr>
                <w:rFonts w:ascii="宋体" w:hAnsi="宋体"/>
                <w:color w:val="000000" w:themeColor="text1"/>
                <w:szCs w:val="21"/>
                <w14:textFill>
                  <w14:solidFill>
                    <w14:schemeClr w14:val="tx1"/>
                  </w14:solidFill>
                </w14:textFill>
              </w:rPr>
            </w:pPr>
            <w:r>
              <w:rPr>
                <w:rFonts w:hint="eastAsia"/>
                <w:szCs w:val="21"/>
              </w:rPr>
              <w:t>9#</w:t>
            </w:r>
          </w:p>
        </w:tc>
        <w:tc>
          <w:tcPr>
            <w:tcW w:w="0" w:type="auto"/>
            <w:shd w:val="clear" w:color="auto" w:fill="auto"/>
            <w:vAlign w:val="center"/>
          </w:tcPr>
          <w:p w14:paraId="4A3DB23F">
            <w:pPr>
              <w:widowControl w:val="0"/>
              <w:jc w:val="center"/>
              <w:rPr>
                <w:rFonts w:ascii="宋体" w:hAnsi="宋体"/>
                <w:color w:val="000000" w:themeColor="text1"/>
                <w:szCs w:val="21"/>
                <w14:textFill>
                  <w14:solidFill>
                    <w14:schemeClr w14:val="tx1"/>
                  </w14:solidFill>
                </w14:textFill>
              </w:rPr>
            </w:pPr>
            <w:r>
              <w:rPr>
                <w:rFonts w:hint="eastAsia"/>
                <w:szCs w:val="21"/>
              </w:rPr>
              <w:t>白庙乡中心小学校</w:t>
            </w:r>
          </w:p>
        </w:tc>
        <w:tc>
          <w:tcPr>
            <w:tcW w:w="0" w:type="auto"/>
            <w:shd w:val="clear" w:color="auto" w:fill="auto"/>
            <w:vAlign w:val="center"/>
          </w:tcPr>
          <w:p w14:paraId="3BEBF3FA">
            <w:pPr>
              <w:widowControl w:val="0"/>
              <w:jc w:val="center"/>
              <w:rPr>
                <w:rFonts w:ascii="宋体" w:hAnsi="宋体"/>
                <w:color w:val="000000" w:themeColor="text1"/>
                <w:szCs w:val="21"/>
                <w14:textFill>
                  <w14:solidFill>
                    <w14:schemeClr w14:val="tx1"/>
                  </w14:solidFill>
                </w14:textFill>
              </w:rPr>
            </w:pPr>
            <w:r>
              <w:rPr>
                <w:rFonts w:hint="eastAsia"/>
                <w:szCs w:val="21"/>
              </w:rPr>
              <w:t>107.016031</w:t>
            </w:r>
          </w:p>
        </w:tc>
        <w:tc>
          <w:tcPr>
            <w:tcW w:w="0" w:type="auto"/>
            <w:shd w:val="clear" w:color="auto" w:fill="auto"/>
            <w:vAlign w:val="center"/>
          </w:tcPr>
          <w:p w14:paraId="65FB9689">
            <w:pPr>
              <w:widowControl w:val="0"/>
              <w:jc w:val="center"/>
              <w:rPr>
                <w:rFonts w:ascii="宋体" w:hAnsi="宋体"/>
                <w:color w:val="000000" w:themeColor="text1"/>
                <w:szCs w:val="21"/>
                <w14:textFill>
                  <w14:solidFill>
                    <w14:schemeClr w14:val="tx1"/>
                  </w14:solidFill>
                </w14:textFill>
              </w:rPr>
            </w:pPr>
            <w:r>
              <w:rPr>
                <w:rFonts w:hint="eastAsia"/>
                <w:szCs w:val="21"/>
              </w:rPr>
              <w:t>31.975846</w:t>
            </w:r>
          </w:p>
        </w:tc>
        <w:tc>
          <w:tcPr>
            <w:tcW w:w="0" w:type="auto"/>
            <w:shd w:val="clear" w:color="auto" w:fill="auto"/>
            <w:vAlign w:val="center"/>
          </w:tcPr>
          <w:p w14:paraId="7FCAE201">
            <w:pPr>
              <w:widowControl w:val="0"/>
              <w:jc w:val="center"/>
              <w:rPr>
                <w:rFonts w:ascii="宋体" w:hAnsi="宋体"/>
                <w:color w:val="000000" w:themeColor="text1"/>
                <w:szCs w:val="21"/>
                <w14:textFill>
                  <w14:solidFill>
                    <w14:schemeClr w14:val="tx1"/>
                  </w14:solidFill>
                </w14:textFill>
              </w:rPr>
            </w:pPr>
            <w:r>
              <w:rPr>
                <w:rFonts w:hint="eastAsia"/>
                <w:szCs w:val="21"/>
              </w:rPr>
              <w:t>约600人</w:t>
            </w:r>
          </w:p>
        </w:tc>
        <w:tc>
          <w:tcPr>
            <w:tcW w:w="0" w:type="auto"/>
            <w:vMerge w:val="continue"/>
            <w:vAlign w:val="center"/>
          </w:tcPr>
          <w:p w14:paraId="237169B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D658703">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5AF93FE0">
            <w:pPr>
              <w:widowControl w:val="0"/>
              <w:jc w:val="center"/>
              <w:rPr>
                <w:rFonts w:ascii="宋体" w:hAnsi="宋体"/>
                <w:color w:val="000000" w:themeColor="text1"/>
                <w:szCs w:val="21"/>
                <w14:textFill>
                  <w14:solidFill>
                    <w14:schemeClr w14:val="tx1"/>
                  </w14:solidFill>
                </w14:textFill>
              </w:rPr>
            </w:pPr>
            <w:r>
              <w:rPr>
                <w:szCs w:val="21"/>
              </w:rPr>
              <w:t>1740</w:t>
            </w:r>
          </w:p>
        </w:tc>
        <w:tc>
          <w:tcPr>
            <w:tcW w:w="0" w:type="auto"/>
            <w:shd w:val="clear" w:color="auto" w:fill="auto"/>
            <w:vAlign w:val="center"/>
          </w:tcPr>
          <w:p w14:paraId="53CC85D6">
            <w:pPr>
              <w:widowControl w:val="0"/>
              <w:jc w:val="center"/>
              <w:rPr>
                <w:rFonts w:ascii="宋体" w:hAnsi="宋体"/>
                <w:color w:val="000000" w:themeColor="text1"/>
                <w:szCs w:val="21"/>
                <w14:textFill>
                  <w14:solidFill>
                    <w14:schemeClr w14:val="tx1"/>
                  </w14:solidFill>
                </w14:textFill>
              </w:rPr>
            </w:pPr>
            <w:r>
              <w:rPr>
                <w:szCs w:val="21"/>
              </w:rPr>
              <w:t>67</w:t>
            </w:r>
          </w:p>
        </w:tc>
        <w:tc>
          <w:tcPr>
            <w:tcW w:w="0" w:type="auto"/>
            <w:vMerge w:val="continue"/>
            <w:vAlign w:val="center"/>
          </w:tcPr>
          <w:p w14:paraId="68375229">
            <w:pPr>
              <w:widowControl w:val="0"/>
              <w:jc w:val="center"/>
              <w:rPr>
                <w:rFonts w:ascii="宋体" w:hAnsi="宋体"/>
                <w:color w:val="000000" w:themeColor="text1"/>
                <w:szCs w:val="21"/>
                <w14:textFill>
                  <w14:solidFill>
                    <w14:schemeClr w14:val="tx1"/>
                  </w14:solidFill>
                </w14:textFill>
              </w:rPr>
            </w:pPr>
          </w:p>
        </w:tc>
      </w:tr>
      <w:tr w14:paraId="402C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70E5899">
            <w:pPr>
              <w:widowControl w:val="0"/>
              <w:jc w:val="center"/>
              <w:rPr>
                <w:rFonts w:ascii="宋体" w:hAnsi="宋体"/>
                <w:color w:val="000000" w:themeColor="text1"/>
                <w:szCs w:val="21"/>
                <w14:textFill>
                  <w14:solidFill>
                    <w14:schemeClr w14:val="tx1"/>
                  </w14:solidFill>
                </w14:textFill>
              </w:rPr>
            </w:pPr>
            <w:r>
              <w:rPr>
                <w:rFonts w:hint="eastAsia"/>
                <w:szCs w:val="21"/>
              </w:rPr>
              <w:t>10#</w:t>
            </w:r>
          </w:p>
        </w:tc>
        <w:tc>
          <w:tcPr>
            <w:tcW w:w="0" w:type="auto"/>
            <w:shd w:val="clear" w:color="auto" w:fill="auto"/>
            <w:vAlign w:val="center"/>
          </w:tcPr>
          <w:p w14:paraId="4C6998C2">
            <w:pPr>
              <w:widowControl w:val="0"/>
              <w:jc w:val="center"/>
              <w:rPr>
                <w:rFonts w:ascii="宋体" w:hAnsi="宋体"/>
                <w:color w:val="000000" w:themeColor="text1"/>
                <w:szCs w:val="21"/>
                <w14:textFill>
                  <w14:solidFill>
                    <w14:schemeClr w14:val="tx1"/>
                  </w14:solidFill>
                </w14:textFill>
              </w:rPr>
            </w:pPr>
            <w:r>
              <w:rPr>
                <w:rFonts w:hint="eastAsia"/>
                <w:szCs w:val="21"/>
              </w:rPr>
              <w:t>大滑坡居民#1</w:t>
            </w:r>
          </w:p>
        </w:tc>
        <w:tc>
          <w:tcPr>
            <w:tcW w:w="0" w:type="auto"/>
            <w:shd w:val="clear" w:color="auto" w:fill="auto"/>
            <w:vAlign w:val="center"/>
          </w:tcPr>
          <w:p w14:paraId="0A1626A4">
            <w:pPr>
              <w:widowControl w:val="0"/>
              <w:jc w:val="center"/>
              <w:rPr>
                <w:rFonts w:ascii="宋体" w:hAnsi="宋体"/>
                <w:color w:val="000000" w:themeColor="text1"/>
                <w:szCs w:val="21"/>
                <w14:textFill>
                  <w14:solidFill>
                    <w14:schemeClr w14:val="tx1"/>
                  </w14:solidFill>
                </w14:textFill>
              </w:rPr>
            </w:pPr>
            <w:r>
              <w:rPr>
                <w:rFonts w:hint="eastAsia"/>
                <w:szCs w:val="21"/>
              </w:rPr>
              <w:t>107.006171</w:t>
            </w:r>
          </w:p>
        </w:tc>
        <w:tc>
          <w:tcPr>
            <w:tcW w:w="0" w:type="auto"/>
            <w:shd w:val="clear" w:color="auto" w:fill="auto"/>
            <w:vAlign w:val="center"/>
          </w:tcPr>
          <w:p w14:paraId="0ED52518">
            <w:pPr>
              <w:widowControl w:val="0"/>
              <w:jc w:val="center"/>
              <w:rPr>
                <w:rFonts w:ascii="宋体" w:hAnsi="宋体"/>
                <w:color w:val="000000" w:themeColor="text1"/>
                <w:szCs w:val="21"/>
                <w14:textFill>
                  <w14:solidFill>
                    <w14:schemeClr w14:val="tx1"/>
                  </w14:solidFill>
                </w14:textFill>
              </w:rPr>
            </w:pPr>
            <w:r>
              <w:rPr>
                <w:rFonts w:hint="eastAsia"/>
                <w:szCs w:val="21"/>
              </w:rPr>
              <w:t>32.011005</w:t>
            </w:r>
          </w:p>
        </w:tc>
        <w:tc>
          <w:tcPr>
            <w:tcW w:w="0" w:type="auto"/>
            <w:shd w:val="clear" w:color="auto" w:fill="auto"/>
            <w:vAlign w:val="center"/>
          </w:tcPr>
          <w:p w14:paraId="21FCB016">
            <w:pPr>
              <w:widowControl w:val="0"/>
              <w:jc w:val="center"/>
              <w:rPr>
                <w:rFonts w:ascii="宋体" w:hAnsi="宋体"/>
                <w:color w:val="000000" w:themeColor="text1"/>
                <w:szCs w:val="21"/>
                <w14:textFill>
                  <w14:solidFill>
                    <w14:schemeClr w14:val="tx1"/>
                  </w14:solidFill>
                </w14:textFill>
              </w:rPr>
            </w:pPr>
            <w:r>
              <w:rPr>
                <w:rFonts w:hint="eastAsia"/>
                <w:szCs w:val="21"/>
              </w:rPr>
              <w:t>约30人</w:t>
            </w:r>
          </w:p>
        </w:tc>
        <w:tc>
          <w:tcPr>
            <w:tcW w:w="0" w:type="auto"/>
            <w:vMerge w:val="continue"/>
            <w:vAlign w:val="center"/>
          </w:tcPr>
          <w:p w14:paraId="581C610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D1EA044">
            <w:pPr>
              <w:widowControl w:val="0"/>
              <w:jc w:val="center"/>
              <w:rPr>
                <w:rFonts w:ascii="宋体" w:hAnsi="宋体"/>
                <w:color w:val="000000" w:themeColor="text1"/>
                <w:szCs w:val="21"/>
                <w14:textFill>
                  <w14:solidFill>
                    <w14:schemeClr w14:val="tx1"/>
                  </w14:solidFill>
                </w14:textFill>
              </w:rPr>
            </w:pPr>
            <w:r>
              <w:rPr>
                <w:szCs w:val="21"/>
              </w:rPr>
              <w:t>NW</w:t>
            </w:r>
          </w:p>
        </w:tc>
        <w:tc>
          <w:tcPr>
            <w:tcW w:w="0" w:type="auto"/>
            <w:shd w:val="clear" w:color="auto" w:fill="auto"/>
            <w:vAlign w:val="center"/>
          </w:tcPr>
          <w:p w14:paraId="7AF72A3D">
            <w:pPr>
              <w:widowControl w:val="0"/>
              <w:jc w:val="center"/>
              <w:rPr>
                <w:rFonts w:ascii="宋体" w:hAnsi="宋体"/>
                <w:color w:val="000000" w:themeColor="text1"/>
                <w:szCs w:val="21"/>
                <w14:textFill>
                  <w14:solidFill>
                    <w14:schemeClr w14:val="tx1"/>
                  </w14:solidFill>
                </w14:textFill>
              </w:rPr>
            </w:pPr>
            <w:r>
              <w:rPr>
                <w:szCs w:val="21"/>
              </w:rPr>
              <w:t>2638</w:t>
            </w:r>
          </w:p>
        </w:tc>
        <w:tc>
          <w:tcPr>
            <w:tcW w:w="0" w:type="auto"/>
            <w:shd w:val="clear" w:color="auto" w:fill="auto"/>
            <w:vAlign w:val="center"/>
          </w:tcPr>
          <w:p w14:paraId="17E8EB9A">
            <w:pPr>
              <w:widowControl w:val="0"/>
              <w:jc w:val="center"/>
              <w:rPr>
                <w:rFonts w:ascii="宋体" w:hAnsi="宋体"/>
                <w:color w:val="000000" w:themeColor="text1"/>
                <w:szCs w:val="21"/>
                <w14:textFill>
                  <w14:solidFill>
                    <w14:schemeClr w14:val="tx1"/>
                  </w14:solidFill>
                </w14:textFill>
              </w:rPr>
            </w:pPr>
            <w:r>
              <w:rPr>
                <w:szCs w:val="21"/>
              </w:rPr>
              <w:t>123</w:t>
            </w:r>
          </w:p>
        </w:tc>
        <w:tc>
          <w:tcPr>
            <w:tcW w:w="0" w:type="auto"/>
            <w:vMerge w:val="continue"/>
            <w:vAlign w:val="center"/>
          </w:tcPr>
          <w:p w14:paraId="5DA32752">
            <w:pPr>
              <w:widowControl w:val="0"/>
              <w:jc w:val="center"/>
              <w:rPr>
                <w:rFonts w:ascii="宋体" w:hAnsi="宋体"/>
                <w:color w:val="000000" w:themeColor="text1"/>
                <w:szCs w:val="21"/>
                <w14:textFill>
                  <w14:solidFill>
                    <w14:schemeClr w14:val="tx1"/>
                  </w14:solidFill>
                </w14:textFill>
              </w:rPr>
            </w:pPr>
          </w:p>
        </w:tc>
      </w:tr>
      <w:tr w14:paraId="45B8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E2F2CBA">
            <w:pPr>
              <w:widowControl w:val="0"/>
              <w:jc w:val="center"/>
              <w:rPr>
                <w:rFonts w:ascii="宋体" w:hAnsi="宋体"/>
                <w:color w:val="000000" w:themeColor="text1"/>
                <w:szCs w:val="21"/>
                <w14:textFill>
                  <w14:solidFill>
                    <w14:schemeClr w14:val="tx1"/>
                  </w14:solidFill>
                </w14:textFill>
              </w:rPr>
            </w:pPr>
            <w:r>
              <w:rPr>
                <w:rFonts w:hint="eastAsia"/>
                <w:szCs w:val="21"/>
              </w:rPr>
              <w:t>11#</w:t>
            </w:r>
          </w:p>
        </w:tc>
        <w:tc>
          <w:tcPr>
            <w:tcW w:w="0" w:type="auto"/>
            <w:shd w:val="clear" w:color="auto" w:fill="auto"/>
            <w:vAlign w:val="center"/>
          </w:tcPr>
          <w:p w14:paraId="22D3D555">
            <w:pPr>
              <w:widowControl w:val="0"/>
              <w:jc w:val="center"/>
              <w:rPr>
                <w:rFonts w:ascii="宋体" w:hAnsi="宋体"/>
                <w:color w:val="000000" w:themeColor="text1"/>
                <w:szCs w:val="21"/>
                <w14:textFill>
                  <w14:solidFill>
                    <w14:schemeClr w14:val="tx1"/>
                  </w14:solidFill>
                </w14:textFill>
              </w:rPr>
            </w:pPr>
            <w:r>
              <w:rPr>
                <w:rFonts w:hint="eastAsia"/>
                <w:szCs w:val="21"/>
              </w:rPr>
              <w:t>向家坡居民#1</w:t>
            </w:r>
          </w:p>
        </w:tc>
        <w:tc>
          <w:tcPr>
            <w:tcW w:w="0" w:type="auto"/>
            <w:shd w:val="clear" w:color="auto" w:fill="auto"/>
            <w:vAlign w:val="center"/>
          </w:tcPr>
          <w:p w14:paraId="33ABD7CD">
            <w:pPr>
              <w:widowControl w:val="0"/>
              <w:jc w:val="center"/>
              <w:rPr>
                <w:rFonts w:ascii="宋体" w:hAnsi="宋体"/>
                <w:color w:val="000000" w:themeColor="text1"/>
                <w:szCs w:val="21"/>
                <w14:textFill>
                  <w14:solidFill>
                    <w14:schemeClr w14:val="tx1"/>
                  </w14:solidFill>
                </w14:textFill>
              </w:rPr>
            </w:pPr>
            <w:r>
              <w:rPr>
                <w:rFonts w:hint="eastAsia"/>
                <w:szCs w:val="21"/>
              </w:rPr>
              <w:t>107.004036</w:t>
            </w:r>
          </w:p>
        </w:tc>
        <w:tc>
          <w:tcPr>
            <w:tcW w:w="0" w:type="auto"/>
            <w:shd w:val="clear" w:color="auto" w:fill="auto"/>
            <w:vAlign w:val="center"/>
          </w:tcPr>
          <w:p w14:paraId="6282969B">
            <w:pPr>
              <w:widowControl w:val="0"/>
              <w:jc w:val="center"/>
              <w:rPr>
                <w:rFonts w:ascii="宋体" w:hAnsi="宋体"/>
                <w:color w:val="000000" w:themeColor="text1"/>
                <w:szCs w:val="21"/>
                <w14:textFill>
                  <w14:solidFill>
                    <w14:schemeClr w14:val="tx1"/>
                  </w14:solidFill>
                </w14:textFill>
              </w:rPr>
            </w:pPr>
            <w:r>
              <w:rPr>
                <w:rFonts w:hint="eastAsia"/>
                <w:szCs w:val="21"/>
              </w:rPr>
              <w:t>32.001034</w:t>
            </w:r>
          </w:p>
        </w:tc>
        <w:tc>
          <w:tcPr>
            <w:tcW w:w="0" w:type="auto"/>
            <w:shd w:val="clear" w:color="auto" w:fill="auto"/>
            <w:vAlign w:val="center"/>
          </w:tcPr>
          <w:p w14:paraId="46D8AEEC">
            <w:pPr>
              <w:widowControl w:val="0"/>
              <w:jc w:val="center"/>
              <w:rPr>
                <w:rFonts w:ascii="宋体" w:hAnsi="宋体"/>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2B1E69DD">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BBE30BA">
            <w:pPr>
              <w:widowControl w:val="0"/>
              <w:jc w:val="center"/>
              <w:rPr>
                <w:rFonts w:ascii="宋体" w:hAnsi="宋体"/>
                <w:color w:val="000000" w:themeColor="text1"/>
                <w:szCs w:val="21"/>
                <w14:textFill>
                  <w14:solidFill>
                    <w14:schemeClr w14:val="tx1"/>
                  </w14:solidFill>
                </w14:textFill>
              </w:rPr>
            </w:pPr>
            <w:r>
              <w:rPr>
                <w:szCs w:val="21"/>
              </w:rPr>
              <w:t>NW</w:t>
            </w:r>
          </w:p>
        </w:tc>
        <w:tc>
          <w:tcPr>
            <w:tcW w:w="0" w:type="auto"/>
            <w:shd w:val="clear" w:color="auto" w:fill="auto"/>
            <w:vAlign w:val="center"/>
          </w:tcPr>
          <w:p w14:paraId="1A601436">
            <w:pPr>
              <w:widowControl w:val="0"/>
              <w:jc w:val="center"/>
              <w:rPr>
                <w:rFonts w:ascii="宋体" w:hAnsi="宋体"/>
                <w:color w:val="000000" w:themeColor="text1"/>
                <w:szCs w:val="21"/>
                <w14:textFill>
                  <w14:solidFill>
                    <w14:schemeClr w14:val="tx1"/>
                  </w14:solidFill>
                </w14:textFill>
              </w:rPr>
            </w:pPr>
            <w:r>
              <w:rPr>
                <w:szCs w:val="21"/>
              </w:rPr>
              <w:t>2130</w:t>
            </w:r>
          </w:p>
        </w:tc>
        <w:tc>
          <w:tcPr>
            <w:tcW w:w="0" w:type="auto"/>
            <w:shd w:val="clear" w:color="auto" w:fill="auto"/>
            <w:vAlign w:val="center"/>
          </w:tcPr>
          <w:p w14:paraId="17D9A295">
            <w:pPr>
              <w:widowControl w:val="0"/>
              <w:jc w:val="center"/>
              <w:rPr>
                <w:rFonts w:ascii="宋体" w:hAnsi="宋体"/>
                <w:color w:val="000000" w:themeColor="text1"/>
                <w:szCs w:val="21"/>
                <w14:textFill>
                  <w14:solidFill>
                    <w14:schemeClr w14:val="tx1"/>
                  </w14:solidFill>
                </w14:textFill>
              </w:rPr>
            </w:pPr>
            <w:r>
              <w:rPr>
                <w:szCs w:val="21"/>
              </w:rPr>
              <w:t>41</w:t>
            </w:r>
          </w:p>
        </w:tc>
        <w:tc>
          <w:tcPr>
            <w:tcW w:w="0" w:type="auto"/>
            <w:vMerge w:val="continue"/>
            <w:vAlign w:val="center"/>
          </w:tcPr>
          <w:p w14:paraId="133EF47D">
            <w:pPr>
              <w:widowControl w:val="0"/>
              <w:jc w:val="center"/>
              <w:rPr>
                <w:rFonts w:ascii="宋体" w:hAnsi="宋体"/>
                <w:color w:val="000000" w:themeColor="text1"/>
                <w:szCs w:val="21"/>
                <w14:textFill>
                  <w14:solidFill>
                    <w14:schemeClr w14:val="tx1"/>
                  </w14:solidFill>
                </w14:textFill>
              </w:rPr>
            </w:pPr>
          </w:p>
        </w:tc>
      </w:tr>
      <w:tr w14:paraId="436C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BAA49D2">
            <w:pPr>
              <w:widowControl w:val="0"/>
              <w:jc w:val="center"/>
              <w:rPr>
                <w:rFonts w:ascii="宋体" w:hAnsi="宋体"/>
                <w:color w:val="000000" w:themeColor="text1"/>
                <w:szCs w:val="21"/>
                <w14:textFill>
                  <w14:solidFill>
                    <w14:schemeClr w14:val="tx1"/>
                  </w14:solidFill>
                </w14:textFill>
              </w:rPr>
            </w:pPr>
            <w:r>
              <w:rPr>
                <w:rFonts w:hint="eastAsia"/>
                <w:szCs w:val="21"/>
              </w:rPr>
              <w:t>12#</w:t>
            </w:r>
          </w:p>
        </w:tc>
        <w:tc>
          <w:tcPr>
            <w:tcW w:w="0" w:type="auto"/>
            <w:shd w:val="clear" w:color="auto" w:fill="auto"/>
            <w:vAlign w:val="center"/>
          </w:tcPr>
          <w:p w14:paraId="0EDED6FB">
            <w:pPr>
              <w:widowControl w:val="0"/>
              <w:jc w:val="center"/>
              <w:rPr>
                <w:rFonts w:ascii="宋体" w:hAnsi="宋体"/>
                <w:color w:val="000000" w:themeColor="text1"/>
                <w:szCs w:val="21"/>
                <w14:textFill>
                  <w14:solidFill>
                    <w14:schemeClr w14:val="tx1"/>
                  </w14:solidFill>
                </w14:textFill>
              </w:rPr>
            </w:pPr>
            <w:r>
              <w:rPr>
                <w:rFonts w:hint="eastAsia"/>
                <w:szCs w:val="21"/>
              </w:rPr>
              <w:t>九重村居民#1</w:t>
            </w:r>
          </w:p>
        </w:tc>
        <w:tc>
          <w:tcPr>
            <w:tcW w:w="0" w:type="auto"/>
            <w:shd w:val="clear" w:color="auto" w:fill="auto"/>
            <w:vAlign w:val="center"/>
          </w:tcPr>
          <w:p w14:paraId="15EA1EEC">
            <w:pPr>
              <w:widowControl w:val="0"/>
              <w:jc w:val="center"/>
              <w:rPr>
                <w:rFonts w:ascii="宋体" w:hAnsi="宋体"/>
                <w:color w:val="000000" w:themeColor="text1"/>
                <w:szCs w:val="21"/>
                <w14:textFill>
                  <w14:solidFill>
                    <w14:schemeClr w14:val="tx1"/>
                  </w14:solidFill>
                </w14:textFill>
              </w:rPr>
            </w:pPr>
            <w:r>
              <w:rPr>
                <w:rFonts w:hint="eastAsia"/>
                <w:szCs w:val="21"/>
              </w:rPr>
              <w:t>107.01396</w:t>
            </w:r>
          </w:p>
        </w:tc>
        <w:tc>
          <w:tcPr>
            <w:tcW w:w="0" w:type="auto"/>
            <w:shd w:val="clear" w:color="auto" w:fill="auto"/>
            <w:vAlign w:val="center"/>
          </w:tcPr>
          <w:p w14:paraId="51B0FF00">
            <w:pPr>
              <w:widowControl w:val="0"/>
              <w:jc w:val="center"/>
              <w:rPr>
                <w:rFonts w:ascii="宋体" w:hAnsi="宋体"/>
                <w:color w:val="000000" w:themeColor="text1"/>
                <w:szCs w:val="21"/>
                <w14:textFill>
                  <w14:solidFill>
                    <w14:schemeClr w14:val="tx1"/>
                  </w14:solidFill>
                </w14:textFill>
              </w:rPr>
            </w:pPr>
            <w:r>
              <w:rPr>
                <w:rFonts w:hint="eastAsia"/>
                <w:szCs w:val="21"/>
              </w:rPr>
              <w:t>32.001616</w:t>
            </w:r>
          </w:p>
        </w:tc>
        <w:tc>
          <w:tcPr>
            <w:tcW w:w="0" w:type="auto"/>
            <w:shd w:val="clear" w:color="auto" w:fill="auto"/>
            <w:vAlign w:val="center"/>
          </w:tcPr>
          <w:p w14:paraId="0E3396D8">
            <w:pPr>
              <w:widowControl w:val="0"/>
              <w:jc w:val="center"/>
              <w:rPr>
                <w:rFonts w:ascii="宋体" w:hAnsi="宋体"/>
                <w:color w:val="000000" w:themeColor="text1"/>
                <w:szCs w:val="21"/>
                <w14:textFill>
                  <w14:solidFill>
                    <w14:schemeClr w14:val="tx1"/>
                  </w14:solidFill>
                </w14:textFill>
              </w:rPr>
            </w:pPr>
            <w:r>
              <w:rPr>
                <w:rFonts w:hint="eastAsia"/>
                <w:szCs w:val="21"/>
              </w:rPr>
              <w:t>约25人</w:t>
            </w:r>
          </w:p>
        </w:tc>
        <w:tc>
          <w:tcPr>
            <w:tcW w:w="0" w:type="auto"/>
            <w:vMerge w:val="continue"/>
            <w:vAlign w:val="center"/>
          </w:tcPr>
          <w:p w14:paraId="6F0933B0">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046D4BE">
            <w:pPr>
              <w:widowControl w:val="0"/>
              <w:jc w:val="center"/>
              <w:rPr>
                <w:rFonts w:ascii="宋体" w:hAnsi="宋体"/>
                <w:color w:val="000000" w:themeColor="text1"/>
                <w:szCs w:val="21"/>
                <w14:textFill>
                  <w14:solidFill>
                    <w14:schemeClr w14:val="tx1"/>
                  </w14:solidFill>
                </w14:textFill>
              </w:rPr>
            </w:pPr>
            <w:r>
              <w:rPr>
                <w:szCs w:val="21"/>
              </w:rPr>
              <w:t>NW</w:t>
            </w:r>
          </w:p>
        </w:tc>
        <w:tc>
          <w:tcPr>
            <w:tcW w:w="0" w:type="auto"/>
            <w:shd w:val="clear" w:color="auto" w:fill="auto"/>
            <w:vAlign w:val="center"/>
          </w:tcPr>
          <w:p w14:paraId="485C5A29">
            <w:pPr>
              <w:widowControl w:val="0"/>
              <w:jc w:val="center"/>
              <w:rPr>
                <w:rFonts w:ascii="宋体" w:hAnsi="宋体"/>
                <w:color w:val="000000" w:themeColor="text1"/>
                <w:szCs w:val="21"/>
                <w14:textFill>
                  <w14:solidFill>
                    <w14:schemeClr w14:val="tx1"/>
                  </w14:solidFill>
                </w14:textFill>
              </w:rPr>
            </w:pPr>
            <w:r>
              <w:rPr>
                <w:szCs w:val="21"/>
              </w:rPr>
              <w:t>1375</w:t>
            </w:r>
          </w:p>
        </w:tc>
        <w:tc>
          <w:tcPr>
            <w:tcW w:w="0" w:type="auto"/>
            <w:shd w:val="clear" w:color="auto" w:fill="auto"/>
            <w:vAlign w:val="center"/>
          </w:tcPr>
          <w:p w14:paraId="66731C95">
            <w:pPr>
              <w:widowControl w:val="0"/>
              <w:jc w:val="center"/>
              <w:rPr>
                <w:rFonts w:ascii="宋体" w:hAnsi="宋体"/>
                <w:color w:val="000000" w:themeColor="text1"/>
                <w:szCs w:val="21"/>
                <w14:textFill>
                  <w14:solidFill>
                    <w14:schemeClr w14:val="tx1"/>
                  </w14:solidFill>
                </w14:textFill>
              </w:rPr>
            </w:pPr>
            <w:r>
              <w:rPr>
                <w:szCs w:val="21"/>
              </w:rPr>
              <w:t>-59</w:t>
            </w:r>
          </w:p>
        </w:tc>
        <w:tc>
          <w:tcPr>
            <w:tcW w:w="0" w:type="auto"/>
            <w:vMerge w:val="continue"/>
            <w:vAlign w:val="center"/>
          </w:tcPr>
          <w:p w14:paraId="691C5ED6">
            <w:pPr>
              <w:widowControl w:val="0"/>
              <w:jc w:val="center"/>
              <w:rPr>
                <w:rFonts w:ascii="宋体" w:hAnsi="宋体"/>
                <w:color w:val="000000" w:themeColor="text1"/>
                <w:szCs w:val="21"/>
                <w14:textFill>
                  <w14:solidFill>
                    <w14:schemeClr w14:val="tx1"/>
                  </w14:solidFill>
                </w14:textFill>
              </w:rPr>
            </w:pPr>
          </w:p>
        </w:tc>
      </w:tr>
      <w:tr w14:paraId="685C9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E1CE737">
            <w:pPr>
              <w:widowControl w:val="0"/>
              <w:jc w:val="center"/>
              <w:rPr>
                <w:rFonts w:ascii="宋体" w:hAnsi="宋体"/>
                <w:color w:val="000000" w:themeColor="text1"/>
                <w:szCs w:val="21"/>
                <w14:textFill>
                  <w14:solidFill>
                    <w14:schemeClr w14:val="tx1"/>
                  </w14:solidFill>
                </w14:textFill>
              </w:rPr>
            </w:pPr>
            <w:r>
              <w:rPr>
                <w:rFonts w:hint="eastAsia"/>
                <w:szCs w:val="21"/>
              </w:rPr>
              <w:t>13#</w:t>
            </w:r>
          </w:p>
        </w:tc>
        <w:tc>
          <w:tcPr>
            <w:tcW w:w="0" w:type="auto"/>
            <w:shd w:val="clear" w:color="auto" w:fill="auto"/>
            <w:vAlign w:val="center"/>
          </w:tcPr>
          <w:p w14:paraId="65DF2D9A">
            <w:pPr>
              <w:widowControl w:val="0"/>
              <w:jc w:val="center"/>
              <w:rPr>
                <w:rFonts w:ascii="宋体" w:hAnsi="宋体"/>
                <w:color w:val="000000" w:themeColor="text1"/>
                <w:szCs w:val="21"/>
                <w14:textFill>
                  <w14:solidFill>
                    <w14:schemeClr w14:val="tx1"/>
                  </w14:solidFill>
                </w14:textFill>
              </w:rPr>
            </w:pPr>
            <w:r>
              <w:rPr>
                <w:rFonts w:hint="eastAsia"/>
                <w:szCs w:val="21"/>
              </w:rPr>
              <w:t>严家梁居民#1</w:t>
            </w:r>
          </w:p>
        </w:tc>
        <w:tc>
          <w:tcPr>
            <w:tcW w:w="0" w:type="auto"/>
            <w:shd w:val="clear" w:color="auto" w:fill="auto"/>
            <w:vAlign w:val="center"/>
          </w:tcPr>
          <w:p w14:paraId="3DE55A44">
            <w:pPr>
              <w:widowControl w:val="0"/>
              <w:jc w:val="center"/>
              <w:rPr>
                <w:rFonts w:ascii="宋体" w:hAnsi="宋体"/>
                <w:color w:val="000000" w:themeColor="text1"/>
                <w:szCs w:val="21"/>
                <w14:textFill>
                  <w14:solidFill>
                    <w14:schemeClr w14:val="tx1"/>
                  </w14:solidFill>
                </w14:textFill>
              </w:rPr>
            </w:pPr>
            <w:r>
              <w:rPr>
                <w:rFonts w:hint="eastAsia"/>
                <w:szCs w:val="21"/>
              </w:rPr>
              <w:t>107.02147</w:t>
            </w:r>
          </w:p>
        </w:tc>
        <w:tc>
          <w:tcPr>
            <w:tcW w:w="0" w:type="auto"/>
            <w:shd w:val="clear" w:color="auto" w:fill="auto"/>
            <w:vAlign w:val="center"/>
          </w:tcPr>
          <w:p w14:paraId="22C4BD12">
            <w:pPr>
              <w:widowControl w:val="0"/>
              <w:jc w:val="center"/>
              <w:rPr>
                <w:rFonts w:ascii="宋体" w:hAnsi="宋体"/>
                <w:color w:val="000000" w:themeColor="text1"/>
                <w:szCs w:val="21"/>
                <w14:textFill>
                  <w14:solidFill>
                    <w14:schemeClr w14:val="tx1"/>
                  </w14:solidFill>
                </w14:textFill>
              </w:rPr>
            </w:pPr>
            <w:r>
              <w:rPr>
                <w:rFonts w:hint="eastAsia"/>
                <w:szCs w:val="21"/>
              </w:rPr>
              <w:t>32.011042</w:t>
            </w:r>
          </w:p>
        </w:tc>
        <w:tc>
          <w:tcPr>
            <w:tcW w:w="0" w:type="auto"/>
            <w:shd w:val="clear" w:color="auto" w:fill="auto"/>
            <w:vAlign w:val="center"/>
          </w:tcPr>
          <w:p w14:paraId="70961143">
            <w:pPr>
              <w:widowControl w:val="0"/>
              <w:jc w:val="center"/>
              <w:rPr>
                <w:rFonts w:ascii="宋体" w:hAnsi="宋体"/>
                <w:color w:val="000000" w:themeColor="text1"/>
                <w:szCs w:val="21"/>
                <w14:textFill>
                  <w14:solidFill>
                    <w14:schemeClr w14:val="tx1"/>
                  </w14:solidFill>
                </w14:textFill>
              </w:rPr>
            </w:pPr>
            <w:r>
              <w:rPr>
                <w:rFonts w:hint="eastAsia"/>
                <w:szCs w:val="21"/>
              </w:rPr>
              <w:t>约10人</w:t>
            </w:r>
          </w:p>
        </w:tc>
        <w:tc>
          <w:tcPr>
            <w:tcW w:w="0" w:type="auto"/>
            <w:vMerge w:val="continue"/>
            <w:vAlign w:val="center"/>
          </w:tcPr>
          <w:p w14:paraId="54BCD63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8F8B3BC">
            <w:pPr>
              <w:widowControl w:val="0"/>
              <w:jc w:val="center"/>
              <w:rPr>
                <w:rFonts w:ascii="宋体" w:hAnsi="宋体"/>
                <w:color w:val="000000" w:themeColor="text1"/>
                <w:szCs w:val="21"/>
                <w14:textFill>
                  <w14:solidFill>
                    <w14:schemeClr w14:val="tx1"/>
                  </w14:solidFill>
                </w14:textFill>
              </w:rPr>
            </w:pPr>
            <w:r>
              <w:rPr>
                <w:szCs w:val="21"/>
              </w:rPr>
              <w:t>N</w:t>
            </w:r>
          </w:p>
        </w:tc>
        <w:tc>
          <w:tcPr>
            <w:tcW w:w="0" w:type="auto"/>
            <w:shd w:val="clear" w:color="auto" w:fill="auto"/>
            <w:vAlign w:val="center"/>
          </w:tcPr>
          <w:p w14:paraId="38140CC3">
            <w:pPr>
              <w:widowControl w:val="0"/>
              <w:jc w:val="center"/>
              <w:rPr>
                <w:rFonts w:ascii="宋体" w:hAnsi="宋体"/>
                <w:color w:val="000000" w:themeColor="text1"/>
                <w:szCs w:val="21"/>
                <w14:textFill>
                  <w14:solidFill>
                    <w14:schemeClr w14:val="tx1"/>
                  </w14:solidFill>
                </w14:textFill>
              </w:rPr>
            </w:pPr>
            <w:r>
              <w:rPr>
                <w:szCs w:val="21"/>
              </w:rPr>
              <w:t>2000</w:t>
            </w:r>
          </w:p>
        </w:tc>
        <w:tc>
          <w:tcPr>
            <w:tcW w:w="0" w:type="auto"/>
            <w:shd w:val="clear" w:color="auto" w:fill="auto"/>
            <w:vAlign w:val="center"/>
          </w:tcPr>
          <w:p w14:paraId="0002A2E8">
            <w:pPr>
              <w:widowControl w:val="0"/>
              <w:jc w:val="center"/>
              <w:rPr>
                <w:rFonts w:ascii="宋体" w:hAnsi="宋体"/>
                <w:color w:val="000000" w:themeColor="text1"/>
                <w:szCs w:val="21"/>
                <w14:textFill>
                  <w14:solidFill>
                    <w14:schemeClr w14:val="tx1"/>
                  </w14:solidFill>
                </w14:textFill>
              </w:rPr>
            </w:pPr>
            <w:r>
              <w:rPr>
                <w:szCs w:val="21"/>
              </w:rPr>
              <w:t>30</w:t>
            </w:r>
          </w:p>
        </w:tc>
        <w:tc>
          <w:tcPr>
            <w:tcW w:w="0" w:type="auto"/>
            <w:vMerge w:val="continue"/>
            <w:vAlign w:val="center"/>
          </w:tcPr>
          <w:p w14:paraId="00304446">
            <w:pPr>
              <w:widowControl w:val="0"/>
              <w:jc w:val="center"/>
              <w:rPr>
                <w:rFonts w:ascii="宋体" w:hAnsi="宋体"/>
                <w:color w:val="000000" w:themeColor="text1"/>
                <w:szCs w:val="21"/>
                <w14:textFill>
                  <w14:solidFill>
                    <w14:schemeClr w14:val="tx1"/>
                  </w14:solidFill>
                </w14:textFill>
              </w:rPr>
            </w:pPr>
          </w:p>
        </w:tc>
      </w:tr>
      <w:tr w14:paraId="3592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D9EA01C">
            <w:pPr>
              <w:widowControl w:val="0"/>
              <w:jc w:val="center"/>
              <w:rPr>
                <w:rFonts w:ascii="宋体" w:hAnsi="宋体"/>
                <w:color w:val="000000" w:themeColor="text1"/>
                <w:szCs w:val="21"/>
                <w14:textFill>
                  <w14:solidFill>
                    <w14:schemeClr w14:val="tx1"/>
                  </w14:solidFill>
                </w14:textFill>
              </w:rPr>
            </w:pPr>
            <w:r>
              <w:rPr>
                <w:rFonts w:hint="eastAsia"/>
                <w:szCs w:val="21"/>
              </w:rPr>
              <w:t>14#</w:t>
            </w:r>
          </w:p>
        </w:tc>
        <w:tc>
          <w:tcPr>
            <w:tcW w:w="0" w:type="auto"/>
            <w:shd w:val="clear" w:color="auto" w:fill="auto"/>
            <w:vAlign w:val="center"/>
          </w:tcPr>
          <w:p w14:paraId="09712472">
            <w:pPr>
              <w:widowControl w:val="0"/>
              <w:jc w:val="center"/>
              <w:rPr>
                <w:rFonts w:ascii="宋体" w:hAnsi="宋体"/>
                <w:color w:val="000000" w:themeColor="text1"/>
                <w:szCs w:val="21"/>
                <w14:textFill>
                  <w14:solidFill>
                    <w14:schemeClr w14:val="tx1"/>
                  </w14:solidFill>
                </w14:textFill>
              </w:rPr>
            </w:pPr>
            <w:r>
              <w:rPr>
                <w:rFonts w:hint="eastAsia"/>
                <w:szCs w:val="21"/>
              </w:rPr>
              <w:t>大石板坡居民#3</w:t>
            </w:r>
          </w:p>
        </w:tc>
        <w:tc>
          <w:tcPr>
            <w:tcW w:w="0" w:type="auto"/>
            <w:shd w:val="clear" w:color="auto" w:fill="auto"/>
            <w:vAlign w:val="center"/>
          </w:tcPr>
          <w:p w14:paraId="548FEDD3">
            <w:pPr>
              <w:widowControl w:val="0"/>
              <w:jc w:val="center"/>
              <w:rPr>
                <w:rFonts w:ascii="宋体" w:hAnsi="宋体"/>
                <w:color w:val="000000" w:themeColor="text1"/>
                <w:szCs w:val="21"/>
                <w14:textFill>
                  <w14:solidFill>
                    <w14:schemeClr w14:val="tx1"/>
                  </w14:solidFill>
                </w14:textFill>
              </w:rPr>
            </w:pPr>
            <w:r>
              <w:rPr>
                <w:rFonts w:hint="eastAsia"/>
                <w:szCs w:val="21"/>
              </w:rPr>
              <w:t>107.012115</w:t>
            </w:r>
          </w:p>
        </w:tc>
        <w:tc>
          <w:tcPr>
            <w:tcW w:w="0" w:type="auto"/>
            <w:shd w:val="clear" w:color="auto" w:fill="auto"/>
            <w:vAlign w:val="center"/>
          </w:tcPr>
          <w:p w14:paraId="30A38B46">
            <w:pPr>
              <w:widowControl w:val="0"/>
              <w:jc w:val="center"/>
              <w:rPr>
                <w:rFonts w:ascii="宋体" w:hAnsi="宋体"/>
                <w:color w:val="000000" w:themeColor="text1"/>
                <w:szCs w:val="21"/>
                <w14:textFill>
                  <w14:solidFill>
                    <w14:schemeClr w14:val="tx1"/>
                  </w14:solidFill>
                </w14:textFill>
              </w:rPr>
            </w:pPr>
            <w:r>
              <w:rPr>
                <w:rFonts w:hint="eastAsia"/>
                <w:szCs w:val="21"/>
              </w:rPr>
              <w:t>31.995293</w:t>
            </w:r>
          </w:p>
        </w:tc>
        <w:tc>
          <w:tcPr>
            <w:tcW w:w="0" w:type="auto"/>
            <w:shd w:val="clear" w:color="auto" w:fill="auto"/>
            <w:vAlign w:val="center"/>
          </w:tcPr>
          <w:p w14:paraId="0D22CB2F">
            <w:pPr>
              <w:widowControl w:val="0"/>
              <w:jc w:val="center"/>
              <w:rPr>
                <w:rFonts w:ascii="宋体" w:hAnsi="宋体"/>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1F81834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425823B">
            <w:pPr>
              <w:widowControl w:val="0"/>
              <w:jc w:val="center"/>
              <w:rPr>
                <w:rFonts w:ascii="宋体" w:hAnsi="宋体"/>
                <w:color w:val="000000" w:themeColor="text1"/>
                <w:szCs w:val="21"/>
                <w14:textFill>
                  <w14:solidFill>
                    <w14:schemeClr w14:val="tx1"/>
                  </w14:solidFill>
                </w14:textFill>
              </w:rPr>
            </w:pPr>
            <w:r>
              <w:rPr>
                <w:szCs w:val="21"/>
              </w:rPr>
              <w:t>NW</w:t>
            </w:r>
          </w:p>
        </w:tc>
        <w:tc>
          <w:tcPr>
            <w:tcW w:w="0" w:type="auto"/>
            <w:shd w:val="clear" w:color="auto" w:fill="auto"/>
            <w:vAlign w:val="center"/>
          </w:tcPr>
          <w:p w14:paraId="3E01F4F0">
            <w:pPr>
              <w:widowControl w:val="0"/>
              <w:jc w:val="center"/>
              <w:rPr>
                <w:rFonts w:ascii="宋体" w:hAnsi="宋体"/>
                <w:color w:val="000000" w:themeColor="text1"/>
                <w:szCs w:val="21"/>
                <w14:textFill>
                  <w14:solidFill>
                    <w14:schemeClr w14:val="tx1"/>
                  </w14:solidFill>
                </w14:textFill>
              </w:rPr>
            </w:pPr>
            <w:r>
              <w:rPr>
                <w:szCs w:val="21"/>
              </w:rPr>
              <w:t>1200</w:t>
            </w:r>
          </w:p>
        </w:tc>
        <w:tc>
          <w:tcPr>
            <w:tcW w:w="0" w:type="auto"/>
            <w:shd w:val="clear" w:color="auto" w:fill="auto"/>
            <w:vAlign w:val="center"/>
          </w:tcPr>
          <w:p w14:paraId="68BE50BA">
            <w:pPr>
              <w:widowControl w:val="0"/>
              <w:jc w:val="center"/>
              <w:rPr>
                <w:rFonts w:ascii="宋体" w:hAnsi="宋体"/>
                <w:color w:val="000000" w:themeColor="text1"/>
                <w:szCs w:val="21"/>
                <w14:textFill>
                  <w14:solidFill>
                    <w14:schemeClr w14:val="tx1"/>
                  </w14:solidFill>
                </w14:textFill>
              </w:rPr>
            </w:pPr>
            <w:r>
              <w:rPr>
                <w:szCs w:val="21"/>
              </w:rPr>
              <w:t>-145</w:t>
            </w:r>
          </w:p>
        </w:tc>
        <w:tc>
          <w:tcPr>
            <w:tcW w:w="0" w:type="auto"/>
            <w:vMerge w:val="continue"/>
            <w:vAlign w:val="center"/>
          </w:tcPr>
          <w:p w14:paraId="682BEE46">
            <w:pPr>
              <w:widowControl w:val="0"/>
              <w:jc w:val="center"/>
              <w:rPr>
                <w:rFonts w:ascii="宋体" w:hAnsi="宋体"/>
                <w:color w:val="000000" w:themeColor="text1"/>
                <w:szCs w:val="21"/>
                <w14:textFill>
                  <w14:solidFill>
                    <w14:schemeClr w14:val="tx1"/>
                  </w14:solidFill>
                </w14:textFill>
              </w:rPr>
            </w:pPr>
          </w:p>
        </w:tc>
      </w:tr>
      <w:tr w14:paraId="42A2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E232392">
            <w:pPr>
              <w:widowControl w:val="0"/>
              <w:jc w:val="center"/>
              <w:rPr>
                <w:rFonts w:ascii="宋体" w:hAnsi="宋体"/>
                <w:color w:val="000000" w:themeColor="text1"/>
                <w:szCs w:val="21"/>
                <w14:textFill>
                  <w14:solidFill>
                    <w14:schemeClr w14:val="tx1"/>
                  </w14:solidFill>
                </w14:textFill>
              </w:rPr>
            </w:pPr>
            <w:r>
              <w:rPr>
                <w:rFonts w:hint="eastAsia"/>
                <w:szCs w:val="21"/>
              </w:rPr>
              <w:t>15#</w:t>
            </w:r>
          </w:p>
        </w:tc>
        <w:tc>
          <w:tcPr>
            <w:tcW w:w="0" w:type="auto"/>
            <w:shd w:val="clear" w:color="auto" w:fill="auto"/>
            <w:vAlign w:val="center"/>
          </w:tcPr>
          <w:p w14:paraId="35187BFF">
            <w:pPr>
              <w:widowControl w:val="0"/>
              <w:jc w:val="center"/>
              <w:rPr>
                <w:rFonts w:ascii="宋体" w:hAnsi="宋体"/>
                <w:color w:val="000000" w:themeColor="text1"/>
                <w:szCs w:val="21"/>
                <w14:textFill>
                  <w14:solidFill>
                    <w14:schemeClr w14:val="tx1"/>
                  </w14:solidFill>
                </w14:textFill>
              </w:rPr>
            </w:pPr>
            <w:r>
              <w:rPr>
                <w:rFonts w:hint="eastAsia"/>
                <w:szCs w:val="21"/>
              </w:rPr>
              <w:t>石狭子居民#1</w:t>
            </w:r>
          </w:p>
        </w:tc>
        <w:tc>
          <w:tcPr>
            <w:tcW w:w="0" w:type="auto"/>
            <w:shd w:val="clear" w:color="auto" w:fill="auto"/>
            <w:vAlign w:val="center"/>
          </w:tcPr>
          <w:p w14:paraId="0759A4F4">
            <w:pPr>
              <w:widowControl w:val="0"/>
              <w:jc w:val="center"/>
              <w:rPr>
                <w:rFonts w:ascii="宋体" w:hAnsi="宋体"/>
                <w:color w:val="000000" w:themeColor="text1"/>
                <w:szCs w:val="21"/>
                <w14:textFill>
                  <w14:solidFill>
                    <w14:schemeClr w14:val="tx1"/>
                  </w14:solidFill>
                </w14:textFill>
              </w:rPr>
            </w:pPr>
            <w:r>
              <w:rPr>
                <w:rFonts w:hint="eastAsia"/>
                <w:szCs w:val="21"/>
              </w:rPr>
              <w:t>107.028047</w:t>
            </w:r>
          </w:p>
        </w:tc>
        <w:tc>
          <w:tcPr>
            <w:tcW w:w="0" w:type="auto"/>
            <w:shd w:val="clear" w:color="auto" w:fill="auto"/>
            <w:vAlign w:val="center"/>
          </w:tcPr>
          <w:p w14:paraId="1519EAC7">
            <w:pPr>
              <w:widowControl w:val="0"/>
              <w:jc w:val="center"/>
              <w:rPr>
                <w:rFonts w:ascii="宋体" w:hAnsi="宋体"/>
                <w:color w:val="000000" w:themeColor="text1"/>
                <w:szCs w:val="21"/>
                <w14:textFill>
                  <w14:solidFill>
                    <w14:schemeClr w14:val="tx1"/>
                  </w14:solidFill>
                </w14:textFill>
              </w:rPr>
            </w:pPr>
            <w:r>
              <w:rPr>
                <w:rFonts w:hint="eastAsia"/>
                <w:szCs w:val="21"/>
              </w:rPr>
              <w:t>32.004364</w:t>
            </w:r>
          </w:p>
        </w:tc>
        <w:tc>
          <w:tcPr>
            <w:tcW w:w="0" w:type="auto"/>
            <w:shd w:val="clear" w:color="auto" w:fill="auto"/>
            <w:vAlign w:val="center"/>
          </w:tcPr>
          <w:p w14:paraId="1E50885F">
            <w:pPr>
              <w:widowControl w:val="0"/>
              <w:jc w:val="center"/>
              <w:rPr>
                <w:rFonts w:ascii="宋体" w:hAnsi="宋体"/>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5EC5E7A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E79E6AD">
            <w:pPr>
              <w:widowControl w:val="0"/>
              <w:jc w:val="center"/>
              <w:rPr>
                <w:rFonts w:ascii="宋体" w:hAnsi="宋体"/>
                <w:color w:val="000000" w:themeColor="text1"/>
                <w:szCs w:val="21"/>
                <w14:textFill>
                  <w14:solidFill>
                    <w14:schemeClr w14:val="tx1"/>
                  </w14:solidFill>
                </w14:textFill>
              </w:rPr>
            </w:pPr>
            <w:r>
              <w:rPr>
                <w:szCs w:val="21"/>
              </w:rPr>
              <w:t>NE</w:t>
            </w:r>
          </w:p>
        </w:tc>
        <w:tc>
          <w:tcPr>
            <w:tcW w:w="0" w:type="auto"/>
            <w:shd w:val="clear" w:color="auto" w:fill="auto"/>
            <w:vAlign w:val="center"/>
          </w:tcPr>
          <w:p w14:paraId="15934C13">
            <w:pPr>
              <w:widowControl w:val="0"/>
              <w:jc w:val="center"/>
              <w:rPr>
                <w:rFonts w:ascii="宋体" w:hAnsi="宋体"/>
                <w:color w:val="000000" w:themeColor="text1"/>
                <w:szCs w:val="21"/>
                <w14:textFill>
                  <w14:solidFill>
                    <w14:schemeClr w14:val="tx1"/>
                  </w14:solidFill>
                </w14:textFill>
              </w:rPr>
            </w:pPr>
            <w:r>
              <w:rPr>
                <w:szCs w:val="21"/>
              </w:rPr>
              <w:t>1250</w:t>
            </w:r>
          </w:p>
        </w:tc>
        <w:tc>
          <w:tcPr>
            <w:tcW w:w="0" w:type="auto"/>
            <w:shd w:val="clear" w:color="auto" w:fill="auto"/>
            <w:vAlign w:val="center"/>
          </w:tcPr>
          <w:p w14:paraId="21B669A3">
            <w:pPr>
              <w:widowControl w:val="0"/>
              <w:jc w:val="center"/>
              <w:rPr>
                <w:rFonts w:ascii="宋体" w:hAnsi="宋体"/>
                <w:color w:val="000000" w:themeColor="text1"/>
                <w:szCs w:val="21"/>
                <w14:textFill>
                  <w14:solidFill>
                    <w14:schemeClr w14:val="tx1"/>
                  </w14:solidFill>
                </w14:textFill>
              </w:rPr>
            </w:pPr>
            <w:r>
              <w:rPr>
                <w:szCs w:val="21"/>
              </w:rPr>
              <w:t>88</w:t>
            </w:r>
          </w:p>
        </w:tc>
        <w:tc>
          <w:tcPr>
            <w:tcW w:w="0" w:type="auto"/>
            <w:vMerge w:val="continue"/>
            <w:vAlign w:val="center"/>
          </w:tcPr>
          <w:p w14:paraId="6DFF5BB8">
            <w:pPr>
              <w:widowControl w:val="0"/>
              <w:jc w:val="center"/>
              <w:rPr>
                <w:rFonts w:ascii="宋体" w:hAnsi="宋体"/>
                <w:color w:val="000000" w:themeColor="text1"/>
                <w:szCs w:val="21"/>
                <w14:textFill>
                  <w14:solidFill>
                    <w14:schemeClr w14:val="tx1"/>
                  </w14:solidFill>
                </w14:textFill>
              </w:rPr>
            </w:pPr>
          </w:p>
        </w:tc>
      </w:tr>
      <w:tr w14:paraId="1DE7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4BEAC0D">
            <w:pPr>
              <w:widowControl w:val="0"/>
              <w:jc w:val="center"/>
              <w:rPr>
                <w:rFonts w:ascii="宋体" w:hAnsi="宋体"/>
                <w:color w:val="000000" w:themeColor="text1"/>
                <w:szCs w:val="21"/>
                <w14:textFill>
                  <w14:solidFill>
                    <w14:schemeClr w14:val="tx1"/>
                  </w14:solidFill>
                </w14:textFill>
              </w:rPr>
            </w:pPr>
            <w:r>
              <w:rPr>
                <w:rFonts w:hint="eastAsia"/>
                <w:szCs w:val="21"/>
              </w:rPr>
              <w:t>16#</w:t>
            </w:r>
          </w:p>
        </w:tc>
        <w:tc>
          <w:tcPr>
            <w:tcW w:w="0" w:type="auto"/>
            <w:shd w:val="clear" w:color="auto" w:fill="auto"/>
            <w:vAlign w:val="center"/>
          </w:tcPr>
          <w:p w14:paraId="01DB4BB6">
            <w:pPr>
              <w:widowControl w:val="0"/>
              <w:jc w:val="center"/>
              <w:rPr>
                <w:rFonts w:ascii="宋体" w:hAnsi="宋体"/>
                <w:color w:val="000000" w:themeColor="text1"/>
                <w:szCs w:val="21"/>
                <w14:textFill>
                  <w14:solidFill>
                    <w14:schemeClr w14:val="tx1"/>
                  </w14:solidFill>
                </w14:textFill>
              </w:rPr>
            </w:pPr>
            <w:r>
              <w:rPr>
                <w:rFonts w:hint="eastAsia"/>
                <w:szCs w:val="21"/>
              </w:rPr>
              <w:t>茅垭村居民#2</w:t>
            </w:r>
          </w:p>
        </w:tc>
        <w:tc>
          <w:tcPr>
            <w:tcW w:w="0" w:type="auto"/>
            <w:shd w:val="clear" w:color="auto" w:fill="auto"/>
            <w:vAlign w:val="center"/>
          </w:tcPr>
          <w:p w14:paraId="54F4488D">
            <w:pPr>
              <w:widowControl w:val="0"/>
              <w:jc w:val="center"/>
              <w:rPr>
                <w:rFonts w:ascii="宋体" w:hAnsi="宋体"/>
                <w:color w:val="000000" w:themeColor="text1"/>
                <w:szCs w:val="21"/>
                <w14:textFill>
                  <w14:solidFill>
                    <w14:schemeClr w14:val="tx1"/>
                  </w14:solidFill>
                </w14:textFill>
              </w:rPr>
            </w:pPr>
            <w:r>
              <w:rPr>
                <w:rFonts w:hint="eastAsia"/>
                <w:szCs w:val="21"/>
              </w:rPr>
              <w:t>107.01825</w:t>
            </w:r>
          </w:p>
        </w:tc>
        <w:tc>
          <w:tcPr>
            <w:tcW w:w="0" w:type="auto"/>
            <w:shd w:val="clear" w:color="auto" w:fill="auto"/>
            <w:vAlign w:val="center"/>
          </w:tcPr>
          <w:p w14:paraId="3A903559">
            <w:pPr>
              <w:widowControl w:val="0"/>
              <w:jc w:val="center"/>
              <w:rPr>
                <w:rFonts w:ascii="宋体" w:hAnsi="宋体"/>
                <w:color w:val="000000" w:themeColor="text1"/>
                <w:szCs w:val="21"/>
                <w14:textFill>
                  <w14:solidFill>
                    <w14:schemeClr w14:val="tx1"/>
                  </w14:solidFill>
                </w14:textFill>
              </w:rPr>
            </w:pPr>
            <w:r>
              <w:rPr>
                <w:rFonts w:hint="eastAsia"/>
                <w:szCs w:val="21"/>
              </w:rPr>
              <w:t>31.995256</w:t>
            </w:r>
          </w:p>
        </w:tc>
        <w:tc>
          <w:tcPr>
            <w:tcW w:w="0" w:type="auto"/>
            <w:shd w:val="clear" w:color="auto" w:fill="auto"/>
            <w:vAlign w:val="center"/>
          </w:tcPr>
          <w:p w14:paraId="495B65EE">
            <w:pPr>
              <w:widowControl w:val="0"/>
              <w:jc w:val="center"/>
              <w:rPr>
                <w:rFonts w:ascii="宋体" w:hAnsi="宋体"/>
                <w:color w:val="000000" w:themeColor="text1"/>
                <w:szCs w:val="21"/>
                <w14:textFill>
                  <w14:solidFill>
                    <w14:schemeClr w14:val="tx1"/>
                  </w14:solidFill>
                </w14:textFill>
              </w:rPr>
            </w:pPr>
            <w:r>
              <w:rPr>
                <w:rFonts w:hint="eastAsia"/>
                <w:szCs w:val="21"/>
              </w:rPr>
              <w:t>约50人</w:t>
            </w:r>
          </w:p>
        </w:tc>
        <w:tc>
          <w:tcPr>
            <w:tcW w:w="0" w:type="auto"/>
            <w:vMerge w:val="continue"/>
            <w:vAlign w:val="center"/>
          </w:tcPr>
          <w:p w14:paraId="548002F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FBFD8D3">
            <w:pPr>
              <w:widowControl w:val="0"/>
              <w:jc w:val="center"/>
              <w:rPr>
                <w:rFonts w:ascii="宋体" w:hAnsi="宋体"/>
                <w:color w:val="000000" w:themeColor="text1"/>
                <w:szCs w:val="21"/>
                <w14:textFill>
                  <w14:solidFill>
                    <w14:schemeClr w14:val="tx1"/>
                  </w14:solidFill>
                </w14:textFill>
              </w:rPr>
            </w:pPr>
            <w:r>
              <w:rPr>
                <w:szCs w:val="21"/>
              </w:rPr>
              <w:t>W</w:t>
            </w:r>
          </w:p>
        </w:tc>
        <w:tc>
          <w:tcPr>
            <w:tcW w:w="0" w:type="auto"/>
            <w:shd w:val="clear" w:color="auto" w:fill="auto"/>
            <w:vAlign w:val="center"/>
          </w:tcPr>
          <w:p w14:paraId="1DEDD30C">
            <w:pPr>
              <w:widowControl w:val="0"/>
              <w:jc w:val="center"/>
              <w:rPr>
                <w:rFonts w:ascii="宋体" w:hAnsi="宋体"/>
                <w:color w:val="000000" w:themeColor="text1"/>
                <w:szCs w:val="21"/>
                <w14:textFill>
                  <w14:solidFill>
                    <w14:schemeClr w14:val="tx1"/>
                  </w14:solidFill>
                </w14:textFill>
              </w:rPr>
            </w:pPr>
            <w:r>
              <w:rPr>
                <w:szCs w:val="21"/>
              </w:rPr>
              <w:t>645</w:t>
            </w:r>
          </w:p>
        </w:tc>
        <w:tc>
          <w:tcPr>
            <w:tcW w:w="0" w:type="auto"/>
            <w:shd w:val="clear" w:color="auto" w:fill="auto"/>
            <w:vAlign w:val="center"/>
          </w:tcPr>
          <w:p w14:paraId="1A1CD6C7">
            <w:pPr>
              <w:widowControl w:val="0"/>
              <w:jc w:val="center"/>
              <w:rPr>
                <w:rFonts w:ascii="宋体" w:hAnsi="宋体"/>
                <w:color w:val="000000" w:themeColor="text1"/>
                <w:szCs w:val="21"/>
                <w14:textFill>
                  <w14:solidFill>
                    <w14:schemeClr w14:val="tx1"/>
                  </w14:solidFill>
                </w14:textFill>
              </w:rPr>
            </w:pPr>
            <w:r>
              <w:rPr>
                <w:szCs w:val="21"/>
              </w:rPr>
              <w:t>-37</w:t>
            </w:r>
          </w:p>
        </w:tc>
        <w:tc>
          <w:tcPr>
            <w:tcW w:w="0" w:type="auto"/>
            <w:vMerge w:val="continue"/>
            <w:vAlign w:val="center"/>
          </w:tcPr>
          <w:p w14:paraId="5F683E5F">
            <w:pPr>
              <w:widowControl w:val="0"/>
              <w:jc w:val="center"/>
              <w:rPr>
                <w:rFonts w:ascii="宋体" w:hAnsi="宋体"/>
                <w:color w:val="000000" w:themeColor="text1"/>
                <w:szCs w:val="21"/>
                <w14:textFill>
                  <w14:solidFill>
                    <w14:schemeClr w14:val="tx1"/>
                  </w14:solidFill>
                </w14:textFill>
              </w:rPr>
            </w:pPr>
          </w:p>
        </w:tc>
      </w:tr>
      <w:tr w14:paraId="3DDE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E6FAA52">
            <w:pPr>
              <w:widowControl w:val="0"/>
              <w:jc w:val="center"/>
              <w:rPr>
                <w:rFonts w:ascii="宋体" w:hAnsi="宋体"/>
                <w:color w:val="000000" w:themeColor="text1"/>
                <w:szCs w:val="21"/>
                <w14:textFill>
                  <w14:solidFill>
                    <w14:schemeClr w14:val="tx1"/>
                  </w14:solidFill>
                </w14:textFill>
              </w:rPr>
            </w:pPr>
            <w:r>
              <w:rPr>
                <w:rFonts w:hint="eastAsia"/>
                <w:szCs w:val="21"/>
              </w:rPr>
              <w:t>17#</w:t>
            </w:r>
          </w:p>
        </w:tc>
        <w:tc>
          <w:tcPr>
            <w:tcW w:w="0" w:type="auto"/>
            <w:shd w:val="clear" w:color="auto" w:fill="auto"/>
            <w:vAlign w:val="center"/>
          </w:tcPr>
          <w:p w14:paraId="7CE5FB81">
            <w:pPr>
              <w:widowControl w:val="0"/>
              <w:jc w:val="center"/>
              <w:rPr>
                <w:rFonts w:ascii="宋体" w:hAnsi="宋体"/>
                <w:color w:val="000000" w:themeColor="text1"/>
                <w:szCs w:val="21"/>
                <w14:textFill>
                  <w14:solidFill>
                    <w14:schemeClr w14:val="tx1"/>
                  </w14:solidFill>
                </w14:textFill>
              </w:rPr>
            </w:pPr>
            <w:r>
              <w:rPr>
                <w:rFonts w:hint="eastAsia"/>
                <w:szCs w:val="21"/>
              </w:rPr>
              <w:t>黄梁树湾居民#1</w:t>
            </w:r>
          </w:p>
        </w:tc>
        <w:tc>
          <w:tcPr>
            <w:tcW w:w="0" w:type="auto"/>
            <w:shd w:val="clear" w:color="auto" w:fill="auto"/>
            <w:vAlign w:val="center"/>
          </w:tcPr>
          <w:p w14:paraId="1DEE7D66">
            <w:pPr>
              <w:widowControl w:val="0"/>
              <w:jc w:val="center"/>
              <w:rPr>
                <w:rFonts w:ascii="宋体" w:hAnsi="宋体"/>
                <w:color w:val="000000" w:themeColor="text1"/>
                <w:szCs w:val="21"/>
                <w14:textFill>
                  <w14:solidFill>
                    <w14:schemeClr w14:val="tx1"/>
                  </w14:solidFill>
                </w14:textFill>
              </w:rPr>
            </w:pPr>
            <w:r>
              <w:rPr>
                <w:rFonts w:hint="eastAsia"/>
                <w:szCs w:val="21"/>
              </w:rPr>
              <w:t>107.025279</w:t>
            </w:r>
          </w:p>
        </w:tc>
        <w:tc>
          <w:tcPr>
            <w:tcW w:w="0" w:type="auto"/>
            <w:shd w:val="clear" w:color="auto" w:fill="auto"/>
            <w:vAlign w:val="center"/>
          </w:tcPr>
          <w:p w14:paraId="614D7D81">
            <w:pPr>
              <w:widowControl w:val="0"/>
              <w:jc w:val="center"/>
              <w:rPr>
                <w:rFonts w:ascii="宋体" w:hAnsi="宋体"/>
                <w:color w:val="000000" w:themeColor="text1"/>
                <w:szCs w:val="21"/>
                <w14:textFill>
                  <w14:solidFill>
                    <w14:schemeClr w14:val="tx1"/>
                  </w14:solidFill>
                </w14:textFill>
              </w:rPr>
            </w:pPr>
            <w:r>
              <w:rPr>
                <w:rFonts w:hint="eastAsia"/>
                <w:szCs w:val="21"/>
              </w:rPr>
              <w:t>31.994665</w:t>
            </w:r>
          </w:p>
        </w:tc>
        <w:tc>
          <w:tcPr>
            <w:tcW w:w="0" w:type="auto"/>
            <w:shd w:val="clear" w:color="auto" w:fill="auto"/>
            <w:vAlign w:val="center"/>
          </w:tcPr>
          <w:p w14:paraId="74D4BAB1">
            <w:pPr>
              <w:widowControl w:val="0"/>
              <w:jc w:val="center"/>
              <w:rPr>
                <w:rFonts w:ascii="宋体" w:hAnsi="宋体"/>
                <w:color w:val="000000" w:themeColor="text1"/>
                <w:szCs w:val="21"/>
                <w14:textFill>
                  <w14:solidFill>
                    <w14:schemeClr w14:val="tx1"/>
                  </w14:solidFill>
                </w14:textFill>
              </w:rPr>
            </w:pPr>
            <w:r>
              <w:rPr>
                <w:rFonts w:hint="eastAsia"/>
                <w:szCs w:val="21"/>
              </w:rPr>
              <w:t>约5人</w:t>
            </w:r>
          </w:p>
        </w:tc>
        <w:tc>
          <w:tcPr>
            <w:tcW w:w="0" w:type="auto"/>
            <w:vMerge w:val="continue"/>
            <w:vAlign w:val="center"/>
          </w:tcPr>
          <w:p w14:paraId="1B7C391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27EB837">
            <w:pPr>
              <w:widowControl w:val="0"/>
              <w:jc w:val="center"/>
              <w:rPr>
                <w:rFonts w:ascii="宋体" w:hAnsi="宋体"/>
                <w:color w:val="000000" w:themeColor="text1"/>
                <w:szCs w:val="21"/>
                <w14:textFill>
                  <w14:solidFill>
                    <w14:schemeClr w14:val="tx1"/>
                  </w14:solidFill>
                </w14:textFill>
              </w:rPr>
            </w:pPr>
            <w:r>
              <w:rPr>
                <w:szCs w:val="21"/>
              </w:rPr>
              <w:t>N</w:t>
            </w:r>
          </w:p>
        </w:tc>
        <w:tc>
          <w:tcPr>
            <w:tcW w:w="0" w:type="auto"/>
            <w:shd w:val="clear" w:color="auto" w:fill="auto"/>
            <w:vAlign w:val="center"/>
          </w:tcPr>
          <w:p w14:paraId="326E00AE">
            <w:pPr>
              <w:widowControl w:val="0"/>
              <w:jc w:val="center"/>
              <w:rPr>
                <w:rFonts w:ascii="宋体" w:hAnsi="宋体"/>
                <w:color w:val="000000" w:themeColor="text1"/>
                <w:szCs w:val="21"/>
                <w14:textFill>
                  <w14:solidFill>
                    <w14:schemeClr w14:val="tx1"/>
                  </w14:solidFill>
                </w14:textFill>
              </w:rPr>
            </w:pPr>
            <w:r>
              <w:rPr>
                <w:szCs w:val="21"/>
              </w:rPr>
              <w:t>140</w:t>
            </w:r>
          </w:p>
        </w:tc>
        <w:tc>
          <w:tcPr>
            <w:tcW w:w="0" w:type="auto"/>
            <w:shd w:val="clear" w:color="auto" w:fill="auto"/>
            <w:vAlign w:val="center"/>
          </w:tcPr>
          <w:p w14:paraId="0BC4F429">
            <w:pPr>
              <w:widowControl w:val="0"/>
              <w:jc w:val="center"/>
              <w:rPr>
                <w:rFonts w:ascii="宋体" w:hAnsi="宋体"/>
                <w:color w:val="000000" w:themeColor="text1"/>
                <w:szCs w:val="21"/>
                <w14:textFill>
                  <w14:solidFill>
                    <w14:schemeClr w14:val="tx1"/>
                  </w14:solidFill>
                </w14:textFill>
              </w:rPr>
            </w:pPr>
            <w:r>
              <w:rPr>
                <w:szCs w:val="21"/>
              </w:rPr>
              <w:t>15</w:t>
            </w:r>
          </w:p>
        </w:tc>
        <w:tc>
          <w:tcPr>
            <w:tcW w:w="0" w:type="auto"/>
            <w:vMerge w:val="continue"/>
            <w:vAlign w:val="center"/>
          </w:tcPr>
          <w:p w14:paraId="1DD77854">
            <w:pPr>
              <w:widowControl w:val="0"/>
              <w:jc w:val="center"/>
              <w:rPr>
                <w:rFonts w:ascii="宋体" w:hAnsi="宋体"/>
                <w:color w:val="000000" w:themeColor="text1"/>
                <w:szCs w:val="21"/>
                <w14:textFill>
                  <w14:solidFill>
                    <w14:schemeClr w14:val="tx1"/>
                  </w14:solidFill>
                </w14:textFill>
              </w:rPr>
            </w:pPr>
          </w:p>
        </w:tc>
      </w:tr>
      <w:tr w14:paraId="2142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992EA23">
            <w:pPr>
              <w:widowControl w:val="0"/>
              <w:jc w:val="center"/>
              <w:rPr>
                <w:rFonts w:ascii="宋体" w:hAnsi="宋体"/>
                <w:color w:val="000000" w:themeColor="text1"/>
                <w:szCs w:val="21"/>
                <w14:textFill>
                  <w14:solidFill>
                    <w14:schemeClr w14:val="tx1"/>
                  </w14:solidFill>
                </w14:textFill>
              </w:rPr>
            </w:pPr>
            <w:r>
              <w:rPr>
                <w:rFonts w:hint="eastAsia"/>
                <w:szCs w:val="21"/>
              </w:rPr>
              <w:t>18#</w:t>
            </w:r>
          </w:p>
        </w:tc>
        <w:tc>
          <w:tcPr>
            <w:tcW w:w="0" w:type="auto"/>
            <w:shd w:val="clear" w:color="auto" w:fill="auto"/>
            <w:vAlign w:val="center"/>
          </w:tcPr>
          <w:p w14:paraId="342D0A72">
            <w:pPr>
              <w:widowControl w:val="0"/>
              <w:jc w:val="center"/>
              <w:rPr>
                <w:rFonts w:ascii="宋体" w:hAnsi="宋体"/>
                <w:color w:val="000000" w:themeColor="text1"/>
                <w:szCs w:val="21"/>
                <w14:textFill>
                  <w14:solidFill>
                    <w14:schemeClr w14:val="tx1"/>
                  </w14:solidFill>
                </w14:textFill>
              </w:rPr>
            </w:pPr>
            <w:r>
              <w:rPr>
                <w:rFonts w:hint="eastAsia"/>
                <w:szCs w:val="21"/>
              </w:rPr>
              <w:t>茅垭村居民#3</w:t>
            </w:r>
          </w:p>
        </w:tc>
        <w:tc>
          <w:tcPr>
            <w:tcW w:w="0" w:type="auto"/>
            <w:shd w:val="clear" w:color="auto" w:fill="auto"/>
            <w:vAlign w:val="center"/>
          </w:tcPr>
          <w:p w14:paraId="3EF68710">
            <w:pPr>
              <w:widowControl w:val="0"/>
              <w:jc w:val="center"/>
              <w:rPr>
                <w:rFonts w:ascii="宋体" w:hAnsi="宋体"/>
                <w:color w:val="000000" w:themeColor="text1"/>
                <w:szCs w:val="21"/>
                <w14:textFill>
                  <w14:solidFill>
                    <w14:schemeClr w14:val="tx1"/>
                  </w14:solidFill>
                </w14:textFill>
              </w:rPr>
            </w:pPr>
            <w:r>
              <w:rPr>
                <w:rFonts w:hint="eastAsia"/>
                <w:szCs w:val="21"/>
              </w:rPr>
              <w:t>107.018552</w:t>
            </w:r>
          </w:p>
        </w:tc>
        <w:tc>
          <w:tcPr>
            <w:tcW w:w="0" w:type="auto"/>
            <w:shd w:val="clear" w:color="auto" w:fill="auto"/>
            <w:vAlign w:val="center"/>
          </w:tcPr>
          <w:p w14:paraId="12A84DE0">
            <w:pPr>
              <w:widowControl w:val="0"/>
              <w:jc w:val="center"/>
              <w:rPr>
                <w:rFonts w:ascii="宋体" w:hAnsi="宋体"/>
                <w:color w:val="000000" w:themeColor="text1"/>
                <w:szCs w:val="21"/>
                <w14:textFill>
                  <w14:solidFill>
                    <w14:schemeClr w14:val="tx1"/>
                  </w14:solidFill>
                </w14:textFill>
              </w:rPr>
            </w:pPr>
            <w:r>
              <w:rPr>
                <w:rFonts w:hint="eastAsia"/>
                <w:szCs w:val="21"/>
              </w:rPr>
              <w:t>31.989205</w:t>
            </w:r>
          </w:p>
        </w:tc>
        <w:tc>
          <w:tcPr>
            <w:tcW w:w="0" w:type="auto"/>
            <w:shd w:val="clear" w:color="auto" w:fill="auto"/>
            <w:vAlign w:val="center"/>
          </w:tcPr>
          <w:p w14:paraId="5DC054C7">
            <w:pPr>
              <w:widowControl w:val="0"/>
              <w:jc w:val="center"/>
              <w:rPr>
                <w:rFonts w:ascii="宋体" w:hAnsi="宋体"/>
                <w:color w:val="000000" w:themeColor="text1"/>
                <w:szCs w:val="21"/>
                <w14:textFill>
                  <w14:solidFill>
                    <w14:schemeClr w14:val="tx1"/>
                  </w14:solidFill>
                </w14:textFill>
              </w:rPr>
            </w:pPr>
            <w:r>
              <w:rPr>
                <w:rFonts w:hint="eastAsia"/>
                <w:szCs w:val="21"/>
              </w:rPr>
              <w:t>约30人</w:t>
            </w:r>
          </w:p>
        </w:tc>
        <w:tc>
          <w:tcPr>
            <w:tcW w:w="0" w:type="auto"/>
            <w:vMerge w:val="continue"/>
            <w:vAlign w:val="center"/>
          </w:tcPr>
          <w:p w14:paraId="543DE7AD">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73FA195">
            <w:pPr>
              <w:widowControl w:val="0"/>
              <w:jc w:val="center"/>
              <w:rPr>
                <w:rFonts w:ascii="宋体" w:hAnsi="宋体"/>
                <w:color w:val="000000" w:themeColor="text1"/>
                <w:szCs w:val="21"/>
                <w14:textFill>
                  <w14:solidFill>
                    <w14:schemeClr w14:val="tx1"/>
                  </w14:solidFill>
                </w14:textFill>
              </w:rPr>
            </w:pPr>
            <w:r>
              <w:rPr>
                <w:szCs w:val="21"/>
              </w:rPr>
              <w:t>W</w:t>
            </w:r>
          </w:p>
        </w:tc>
        <w:tc>
          <w:tcPr>
            <w:tcW w:w="0" w:type="auto"/>
            <w:shd w:val="clear" w:color="auto" w:fill="auto"/>
            <w:vAlign w:val="center"/>
          </w:tcPr>
          <w:p w14:paraId="7F269EE7">
            <w:pPr>
              <w:widowControl w:val="0"/>
              <w:jc w:val="center"/>
              <w:rPr>
                <w:rFonts w:ascii="宋体" w:hAnsi="宋体"/>
                <w:color w:val="000000" w:themeColor="text1"/>
                <w:szCs w:val="21"/>
                <w14:textFill>
                  <w14:solidFill>
                    <w14:schemeClr w14:val="tx1"/>
                  </w14:solidFill>
                </w14:textFill>
              </w:rPr>
            </w:pPr>
            <w:r>
              <w:rPr>
                <w:szCs w:val="21"/>
              </w:rPr>
              <w:t>660</w:t>
            </w:r>
          </w:p>
        </w:tc>
        <w:tc>
          <w:tcPr>
            <w:tcW w:w="0" w:type="auto"/>
            <w:shd w:val="clear" w:color="auto" w:fill="auto"/>
            <w:vAlign w:val="center"/>
          </w:tcPr>
          <w:p w14:paraId="44294945">
            <w:pPr>
              <w:widowControl w:val="0"/>
              <w:jc w:val="center"/>
              <w:rPr>
                <w:rFonts w:ascii="宋体" w:hAnsi="宋体"/>
                <w:color w:val="000000" w:themeColor="text1"/>
                <w:szCs w:val="21"/>
                <w14:textFill>
                  <w14:solidFill>
                    <w14:schemeClr w14:val="tx1"/>
                  </w14:solidFill>
                </w14:textFill>
              </w:rPr>
            </w:pPr>
            <w:r>
              <w:rPr>
                <w:szCs w:val="21"/>
              </w:rPr>
              <w:t>59</w:t>
            </w:r>
          </w:p>
        </w:tc>
        <w:tc>
          <w:tcPr>
            <w:tcW w:w="0" w:type="auto"/>
            <w:vMerge w:val="continue"/>
            <w:vAlign w:val="center"/>
          </w:tcPr>
          <w:p w14:paraId="7EECC1AA">
            <w:pPr>
              <w:widowControl w:val="0"/>
              <w:jc w:val="center"/>
              <w:rPr>
                <w:rFonts w:ascii="宋体" w:hAnsi="宋体"/>
                <w:color w:val="000000" w:themeColor="text1"/>
                <w:szCs w:val="21"/>
                <w14:textFill>
                  <w14:solidFill>
                    <w14:schemeClr w14:val="tx1"/>
                  </w14:solidFill>
                </w14:textFill>
              </w:rPr>
            </w:pPr>
          </w:p>
        </w:tc>
      </w:tr>
      <w:tr w14:paraId="6CB4E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10E7C09">
            <w:pPr>
              <w:widowControl w:val="0"/>
              <w:jc w:val="center"/>
              <w:rPr>
                <w:rFonts w:ascii="宋体" w:hAnsi="宋体"/>
                <w:color w:val="000000" w:themeColor="text1"/>
                <w:szCs w:val="21"/>
                <w14:textFill>
                  <w14:solidFill>
                    <w14:schemeClr w14:val="tx1"/>
                  </w14:solidFill>
                </w14:textFill>
              </w:rPr>
            </w:pPr>
            <w:r>
              <w:rPr>
                <w:rFonts w:hint="eastAsia"/>
                <w:szCs w:val="21"/>
              </w:rPr>
              <w:t>19#</w:t>
            </w:r>
          </w:p>
        </w:tc>
        <w:tc>
          <w:tcPr>
            <w:tcW w:w="0" w:type="auto"/>
            <w:shd w:val="clear" w:color="auto" w:fill="auto"/>
            <w:vAlign w:val="center"/>
          </w:tcPr>
          <w:p w14:paraId="43B9396A">
            <w:pPr>
              <w:widowControl w:val="0"/>
              <w:jc w:val="center"/>
              <w:rPr>
                <w:rFonts w:ascii="宋体" w:hAnsi="宋体"/>
                <w:color w:val="000000" w:themeColor="text1"/>
                <w:szCs w:val="21"/>
                <w14:textFill>
                  <w14:solidFill>
                    <w14:schemeClr w14:val="tx1"/>
                  </w14:solidFill>
                </w14:textFill>
              </w:rPr>
            </w:pPr>
            <w:r>
              <w:rPr>
                <w:rFonts w:hint="eastAsia"/>
                <w:szCs w:val="21"/>
              </w:rPr>
              <w:t>百花村居民#1</w:t>
            </w:r>
          </w:p>
        </w:tc>
        <w:tc>
          <w:tcPr>
            <w:tcW w:w="0" w:type="auto"/>
            <w:shd w:val="clear" w:color="auto" w:fill="auto"/>
            <w:vAlign w:val="center"/>
          </w:tcPr>
          <w:p w14:paraId="33DC70AC">
            <w:pPr>
              <w:widowControl w:val="0"/>
              <w:jc w:val="center"/>
              <w:rPr>
                <w:rFonts w:ascii="宋体" w:hAnsi="宋体"/>
                <w:color w:val="000000" w:themeColor="text1"/>
                <w:szCs w:val="21"/>
                <w14:textFill>
                  <w14:solidFill>
                    <w14:schemeClr w14:val="tx1"/>
                  </w14:solidFill>
                </w14:textFill>
              </w:rPr>
            </w:pPr>
            <w:r>
              <w:rPr>
                <w:rFonts w:hint="eastAsia"/>
                <w:szCs w:val="21"/>
              </w:rPr>
              <w:t>107.024506</w:t>
            </w:r>
          </w:p>
        </w:tc>
        <w:tc>
          <w:tcPr>
            <w:tcW w:w="0" w:type="auto"/>
            <w:shd w:val="clear" w:color="auto" w:fill="auto"/>
            <w:vAlign w:val="center"/>
          </w:tcPr>
          <w:p w14:paraId="2ADB562B">
            <w:pPr>
              <w:widowControl w:val="0"/>
              <w:jc w:val="center"/>
              <w:rPr>
                <w:rFonts w:ascii="宋体" w:hAnsi="宋体"/>
                <w:color w:val="000000" w:themeColor="text1"/>
                <w:szCs w:val="21"/>
                <w14:textFill>
                  <w14:solidFill>
                    <w14:schemeClr w14:val="tx1"/>
                  </w14:solidFill>
                </w14:textFill>
              </w:rPr>
            </w:pPr>
            <w:r>
              <w:rPr>
                <w:rFonts w:hint="eastAsia"/>
                <w:szCs w:val="21"/>
              </w:rPr>
              <w:t>31.985756</w:t>
            </w:r>
          </w:p>
        </w:tc>
        <w:tc>
          <w:tcPr>
            <w:tcW w:w="0" w:type="auto"/>
            <w:shd w:val="clear" w:color="auto" w:fill="auto"/>
            <w:vAlign w:val="center"/>
          </w:tcPr>
          <w:p w14:paraId="3B8587BD">
            <w:pPr>
              <w:widowControl w:val="0"/>
              <w:jc w:val="center"/>
              <w:rPr>
                <w:rFonts w:ascii="宋体" w:hAnsi="宋体"/>
                <w:color w:val="000000" w:themeColor="text1"/>
                <w:szCs w:val="21"/>
                <w14:textFill>
                  <w14:solidFill>
                    <w14:schemeClr w14:val="tx1"/>
                  </w14:solidFill>
                </w14:textFill>
              </w:rPr>
            </w:pPr>
            <w:r>
              <w:rPr>
                <w:rFonts w:hint="eastAsia"/>
                <w:szCs w:val="21"/>
              </w:rPr>
              <w:t>约40人</w:t>
            </w:r>
          </w:p>
        </w:tc>
        <w:tc>
          <w:tcPr>
            <w:tcW w:w="0" w:type="auto"/>
            <w:vMerge w:val="continue"/>
            <w:vAlign w:val="center"/>
          </w:tcPr>
          <w:p w14:paraId="6E1F181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CE0150A">
            <w:pPr>
              <w:widowControl w:val="0"/>
              <w:jc w:val="center"/>
              <w:rPr>
                <w:rFonts w:ascii="宋体" w:hAnsi="宋体"/>
                <w:color w:val="000000" w:themeColor="text1"/>
                <w:szCs w:val="21"/>
                <w14:textFill>
                  <w14:solidFill>
                    <w14:schemeClr w14:val="tx1"/>
                  </w14:solidFill>
                </w14:textFill>
              </w:rPr>
            </w:pPr>
            <w:r>
              <w:rPr>
                <w:szCs w:val="21"/>
              </w:rPr>
              <w:t>S</w:t>
            </w:r>
          </w:p>
        </w:tc>
        <w:tc>
          <w:tcPr>
            <w:tcW w:w="0" w:type="auto"/>
            <w:shd w:val="clear" w:color="auto" w:fill="auto"/>
            <w:vAlign w:val="center"/>
          </w:tcPr>
          <w:p w14:paraId="5B93E63D">
            <w:pPr>
              <w:widowControl w:val="0"/>
              <w:jc w:val="center"/>
              <w:rPr>
                <w:rFonts w:ascii="宋体" w:hAnsi="宋体"/>
                <w:color w:val="000000" w:themeColor="text1"/>
                <w:szCs w:val="21"/>
                <w14:textFill>
                  <w14:solidFill>
                    <w14:schemeClr w14:val="tx1"/>
                  </w14:solidFill>
                </w14:textFill>
              </w:rPr>
            </w:pPr>
            <w:r>
              <w:rPr>
                <w:szCs w:val="21"/>
              </w:rPr>
              <w:t>400</w:t>
            </w:r>
          </w:p>
        </w:tc>
        <w:tc>
          <w:tcPr>
            <w:tcW w:w="0" w:type="auto"/>
            <w:shd w:val="clear" w:color="auto" w:fill="auto"/>
            <w:vAlign w:val="center"/>
          </w:tcPr>
          <w:p w14:paraId="6BF2DC65">
            <w:pPr>
              <w:widowControl w:val="0"/>
              <w:jc w:val="center"/>
              <w:rPr>
                <w:rFonts w:ascii="宋体" w:hAnsi="宋体"/>
                <w:color w:val="000000" w:themeColor="text1"/>
                <w:szCs w:val="21"/>
                <w14:textFill>
                  <w14:solidFill>
                    <w14:schemeClr w14:val="tx1"/>
                  </w14:solidFill>
                </w14:textFill>
              </w:rPr>
            </w:pPr>
            <w:r>
              <w:rPr>
                <w:szCs w:val="21"/>
              </w:rPr>
              <w:t>-12</w:t>
            </w:r>
          </w:p>
        </w:tc>
        <w:tc>
          <w:tcPr>
            <w:tcW w:w="0" w:type="auto"/>
            <w:vMerge w:val="continue"/>
            <w:vAlign w:val="center"/>
          </w:tcPr>
          <w:p w14:paraId="5EFE1137">
            <w:pPr>
              <w:widowControl w:val="0"/>
              <w:jc w:val="center"/>
              <w:rPr>
                <w:rFonts w:ascii="宋体" w:hAnsi="宋体"/>
                <w:color w:val="000000" w:themeColor="text1"/>
                <w:szCs w:val="21"/>
                <w14:textFill>
                  <w14:solidFill>
                    <w14:schemeClr w14:val="tx1"/>
                  </w14:solidFill>
                </w14:textFill>
              </w:rPr>
            </w:pPr>
          </w:p>
        </w:tc>
      </w:tr>
      <w:tr w14:paraId="5737A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B44166D">
            <w:pPr>
              <w:widowControl w:val="0"/>
              <w:jc w:val="center"/>
              <w:rPr>
                <w:rFonts w:ascii="宋体" w:hAnsi="宋体"/>
                <w:color w:val="000000" w:themeColor="text1"/>
                <w:szCs w:val="21"/>
                <w14:textFill>
                  <w14:solidFill>
                    <w14:schemeClr w14:val="tx1"/>
                  </w14:solidFill>
                </w14:textFill>
              </w:rPr>
            </w:pPr>
            <w:r>
              <w:rPr>
                <w:rFonts w:hint="eastAsia"/>
                <w:szCs w:val="21"/>
              </w:rPr>
              <w:t>20#</w:t>
            </w:r>
          </w:p>
        </w:tc>
        <w:tc>
          <w:tcPr>
            <w:tcW w:w="0" w:type="auto"/>
            <w:shd w:val="clear" w:color="auto" w:fill="auto"/>
            <w:vAlign w:val="center"/>
          </w:tcPr>
          <w:p w14:paraId="0E1D2AF8">
            <w:pPr>
              <w:widowControl w:val="0"/>
              <w:jc w:val="center"/>
              <w:rPr>
                <w:rFonts w:ascii="宋体" w:hAnsi="宋体"/>
                <w:color w:val="000000" w:themeColor="text1"/>
                <w:szCs w:val="21"/>
                <w14:textFill>
                  <w14:solidFill>
                    <w14:schemeClr w14:val="tx1"/>
                  </w14:solidFill>
                </w14:textFill>
              </w:rPr>
            </w:pPr>
            <w:r>
              <w:rPr>
                <w:rFonts w:hint="eastAsia"/>
                <w:szCs w:val="21"/>
              </w:rPr>
              <w:t>百花村居民#2</w:t>
            </w:r>
          </w:p>
        </w:tc>
        <w:tc>
          <w:tcPr>
            <w:tcW w:w="0" w:type="auto"/>
            <w:shd w:val="clear" w:color="auto" w:fill="auto"/>
            <w:vAlign w:val="center"/>
          </w:tcPr>
          <w:p w14:paraId="100617A1">
            <w:pPr>
              <w:widowControl w:val="0"/>
              <w:jc w:val="center"/>
              <w:rPr>
                <w:rFonts w:ascii="宋体" w:hAnsi="宋体"/>
                <w:color w:val="000000" w:themeColor="text1"/>
                <w:szCs w:val="21"/>
                <w14:textFill>
                  <w14:solidFill>
                    <w14:schemeClr w14:val="tx1"/>
                  </w14:solidFill>
                </w14:textFill>
              </w:rPr>
            </w:pPr>
            <w:r>
              <w:rPr>
                <w:rFonts w:hint="eastAsia"/>
                <w:szCs w:val="21"/>
              </w:rPr>
              <w:t>107.025515</w:t>
            </w:r>
          </w:p>
        </w:tc>
        <w:tc>
          <w:tcPr>
            <w:tcW w:w="0" w:type="auto"/>
            <w:shd w:val="clear" w:color="auto" w:fill="auto"/>
            <w:vAlign w:val="center"/>
          </w:tcPr>
          <w:p w14:paraId="54C5436B">
            <w:pPr>
              <w:widowControl w:val="0"/>
              <w:jc w:val="center"/>
              <w:rPr>
                <w:rFonts w:ascii="宋体" w:hAnsi="宋体"/>
                <w:color w:val="000000" w:themeColor="text1"/>
                <w:szCs w:val="21"/>
                <w14:textFill>
                  <w14:solidFill>
                    <w14:schemeClr w14:val="tx1"/>
                  </w14:solidFill>
                </w14:textFill>
              </w:rPr>
            </w:pPr>
            <w:r>
              <w:rPr>
                <w:rFonts w:hint="eastAsia"/>
                <w:szCs w:val="21"/>
              </w:rPr>
              <w:t>31.987831</w:t>
            </w:r>
          </w:p>
        </w:tc>
        <w:tc>
          <w:tcPr>
            <w:tcW w:w="0" w:type="auto"/>
            <w:shd w:val="clear" w:color="auto" w:fill="auto"/>
            <w:vAlign w:val="center"/>
          </w:tcPr>
          <w:p w14:paraId="2EB84819">
            <w:pPr>
              <w:widowControl w:val="0"/>
              <w:jc w:val="center"/>
              <w:rPr>
                <w:rFonts w:ascii="宋体" w:hAnsi="宋体"/>
                <w:color w:val="000000" w:themeColor="text1"/>
                <w:szCs w:val="21"/>
                <w14:textFill>
                  <w14:solidFill>
                    <w14:schemeClr w14:val="tx1"/>
                  </w14:solidFill>
                </w14:textFill>
              </w:rPr>
            </w:pPr>
            <w:r>
              <w:rPr>
                <w:rFonts w:hint="eastAsia"/>
                <w:szCs w:val="21"/>
              </w:rPr>
              <w:t>约30人</w:t>
            </w:r>
          </w:p>
        </w:tc>
        <w:tc>
          <w:tcPr>
            <w:tcW w:w="0" w:type="auto"/>
            <w:vMerge w:val="continue"/>
            <w:vAlign w:val="center"/>
          </w:tcPr>
          <w:p w14:paraId="1188908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8AEA5C7">
            <w:pPr>
              <w:widowControl w:val="0"/>
              <w:jc w:val="center"/>
              <w:rPr>
                <w:rFonts w:ascii="宋体" w:hAnsi="宋体"/>
                <w:color w:val="000000" w:themeColor="text1"/>
                <w:szCs w:val="21"/>
                <w14:textFill>
                  <w14:solidFill>
                    <w14:schemeClr w14:val="tx1"/>
                  </w14:solidFill>
                </w14:textFill>
              </w:rPr>
            </w:pPr>
            <w:r>
              <w:rPr>
                <w:szCs w:val="21"/>
              </w:rPr>
              <w:t>S</w:t>
            </w:r>
          </w:p>
        </w:tc>
        <w:tc>
          <w:tcPr>
            <w:tcW w:w="0" w:type="auto"/>
            <w:shd w:val="clear" w:color="auto" w:fill="auto"/>
            <w:vAlign w:val="center"/>
          </w:tcPr>
          <w:p w14:paraId="3F1AB329">
            <w:pPr>
              <w:widowControl w:val="0"/>
              <w:jc w:val="center"/>
              <w:rPr>
                <w:rFonts w:ascii="宋体" w:hAnsi="宋体"/>
                <w:color w:val="000000" w:themeColor="text1"/>
                <w:szCs w:val="21"/>
                <w14:textFill>
                  <w14:solidFill>
                    <w14:schemeClr w14:val="tx1"/>
                  </w14:solidFill>
                </w14:textFill>
              </w:rPr>
            </w:pPr>
            <w:r>
              <w:rPr>
                <w:szCs w:val="21"/>
              </w:rPr>
              <w:t>150</w:t>
            </w:r>
          </w:p>
        </w:tc>
        <w:tc>
          <w:tcPr>
            <w:tcW w:w="0" w:type="auto"/>
            <w:shd w:val="clear" w:color="auto" w:fill="auto"/>
            <w:vAlign w:val="center"/>
          </w:tcPr>
          <w:p w14:paraId="12F7A26D">
            <w:pPr>
              <w:widowControl w:val="0"/>
              <w:jc w:val="center"/>
              <w:rPr>
                <w:rFonts w:ascii="宋体" w:hAnsi="宋体"/>
                <w:color w:val="000000" w:themeColor="text1"/>
                <w:szCs w:val="21"/>
                <w14:textFill>
                  <w14:solidFill>
                    <w14:schemeClr w14:val="tx1"/>
                  </w14:solidFill>
                </w14:textFill>
              </w:rPr>
            </w:pPr>
            <w:r>
              <w:rPr>
                <w:szCs w:val="21"/>
              </w:rPr>
              <w:t>-36</w:t>
            </w:r>
          </w:p>
        </w:tc>
        <w:tc>
          <w:tcPr>
            <w:tcW w:w="0" w:type="auto"/>
            <w:vMerge w:val="continue"/>
            <w:vAlign w:val="center"/>
          </w:tcPr>
          <w:p w14:paraId="411EF8F4">
            <w:pPr>
              <w:widowControl w:val="0"/>
              <w:jc w:val="center"/>
              <w:rPr>
                <w:rFonts w:ascii="宋体" w:hAnsi="宋体"/>
                <w:color w:val="000000" w:themeColor="text1"/>
                <w:szCs w:val="21"/>
                <w14:textFill>
                  <w14:solidFill>
                    <w14:schemeClr w14:val="tx1"/>
                  </w14:solidFill>
                </w14:textFill>
              </w:rPr>
            </w:pPr>
          </w:p>
        </w:tc>
      </w:tr>
      <w:tr w14:paraId="73115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7850FFC">
            <w:pPr>
              <w:widowControl w:val="0"/>
              <w:jc w:val="center"/>
              <w:rPr>
                <w:rFonts w:ascii="宋体" w:hAnsi="宋体"/>
                <w:color w:val="000000" w:themeColor="text1"/>
                <w:szCs w:val="21"/>
                <w14:textFill>
                  <w14:solidFill>
                    <w14:schemeClr w14:val="tx1"/>
                  </w14:solidFill>
                </w14:textFill>
              </w:rPr>
            </w:pPr>
            <w:r>
              <w:rPr>
                <w:rFonts w:hint="eastAsia"/>
                <w:szCs w:val="21"/>
              </w:rPr>
              <w:t>21#</w:t>
            </w:r>
          </w:p>
        </w:tc>
        <w:tc>
          <w:tcPr>
            <w:tcW w:w="0" w:type="auto"/>
            <w:shd w:val="clear" w:color="auto" w:fill="auto"/>
            <w:vAlign w:val="center"/>
          </w:tcPr>
          <w:p w14:paraId="06C3188F">
            <w:pPr>
              <w:widowControl w:val="0"/>
              <w:jc w:val="center"/>
              <w:rPr>
                <w:rFonts w:ascii="宋体" w:hAnsi="宋体"/>
                <w:color w:val="000000" w:themeColor="text1"/>
                <w:szCs w:val="21"/>
                <w14:textFill>
                  <w14:solidFill>
                    <w14:schemeClr w14:val="tx1"/>
                  </w14:solidFill>
                </w14:textFill>
              </w:rPr>
            </w:pPr>
            <w:r>
              <w:rPr>
                <w:rFonts w:hint="eastAsia"/>
                <w:szCs w:val="21"/>
              </w:rPr>
              <w:t>散户居民#1</w:t>
            </w:r>
          </w:p>
        </w:tc>
        <w:tc>
          <w:tcPr>
            <w:tcW w:w="0" w:type="auto"/>
            <w:shd w:val="clear" w:color="auto" w:fill="auto"/>
            <w:vAlign w:val="center"/>
          </w:tcPr>
          <w:p w14:paraId="0591C98B">
            <w:pPr>
              <w:widowControl w:val="0"/>
              <w:jc w:val="center"/>
              <w:rPr>
                <w:rFonts w:ascii="宋体" w:hAnsi="宋体"/>
                <w:color w:val="000000" w:themeColor="text1"/>
                <w:szCs w:val="21"/>
                <w14:textFill>
                  <w14:solidFill>
                    <w14:schemeClr w14:val="tx1"/>
                  </w14:solidFill>
                </w14:textFill>
              </w:rPr>
            </w:pPr>
            <w:r>
              <w:rPr>
                <w:rFonts w:hint="eastAsia"/>
                <w:szCs w:val="21"/>
              </w:rPr>
              <w:t>107.027513</w:t>
            </w:r>
          </w:p>
        </w:tc>
        <w:tc>
          <w:tcPr>
            <w:tcW w:w="0" w:type="auto"/>
            <w:shd w:val="clear" w:color="auto" w:fill="auto"/>
            <w:vAlign w:val="center"/>
          </w:tcPr>
          <w:p w14:paraId="44ED97B0">
            <w:pPr>
              <w:widowControl w:val="0"/>
              <w:jc w:val="center"/>
              <w:rPr>
                <w:rFonts w:ascii="宋体" w:hAnsi="宋体"/>
                <w:color w:val="000000" w:themeColor="text1"/>
                <w:szCs w:val="21"/>
                <w14:textFill>
                  <w14:solidFill>
                    <w14:schemeClr w14:val="tx1"/>
                  </w14:solidFill>
                </w14:textFill>
              </w:rPr>
            </w:pPr>
            <w:r>
              <w:rPr>
                <w:rFonts w:hint="eastAsia"/>
                <w:szCs w:val="21"/>
              </w:rPr>
              <w:t>31.987344</w:t>
            </w:r>
          </w:p>
        </w:tc>
        <w:tc>
          <w:tcPr>
            <w:tcW w:w="0" w:type="auto"/>
            <w:shd w:val="clear" w:color="auto" w:fill="auto"/>
            <w:vAlign w:val="center"/>
          </w:tcPr>
          <w:p w14:paraId="69E10BA2">
            <w:pPr>
              <w:widowControl w:val="0"/>
              <w:jc w:val="center"/>
              <w:rPr>
                <w:rFonts w:ascii="宋体" w:hAnsi="宋体"/>
                <w:color w:val="000000" w:themeColor="text1"/>
                <w:szCs w:val="21"/>
                <w14:textFill>
                  <w14:solidFill>
                    <w14:schemeClr w14:val="tx1"/>
                  </w14:solidFill>
                </w14:textFill>
              </w:rPr>
            </w:pPr>
            <w:r>
              <w:rPr>
                <w:rFonts w:hint="eastAsia"/>
                <w:szCs w:val="21"/>
              </w:rPr>
              <w:t>3人</w:t>
            </w:r>
          </w:p>
        </w:tc>
        <w:tc>
          <w:tcPr>
            <w:tcW w:w="0" w:type="auto"/>
            <w:vMerge w:val="continue"/>
            <w:vAlign w:val="center"/>
          </w:tcPr>
          <w:p w14:paraId="73D700F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9CF5175">
            <w:pPr>
              <w:widowControl w:val="0"/>
              <w:jc w:val="center"/>
              <w:rPr>
                <w:rFonts w:ascii="宋体" w:hAnsi="宋体"/>
                <w:color w:val="000000" w:themeColor="text1"/>
                <w:szCs w:val="21"/>
                <w14:textFill>
                  <w14:solidFill>
                    <w14:schemeClr w14:val="tx1"/>
                  </w14:solidFill>
                </w14:textFill>
              </w:rPr>
            </w:pPr>
            <w:r>
              <w:rPr>
                <w:szCs w:val="21"/>
              </w:rPr>
              <w:t>S</w:t>
            </w:r>
          </w:p>
        </w:tc>
        <w:tc>
          <w:tcPr>
            <w:tcW w:w="0" w:type="auto"/>
            <w:shd w:val="clear" w:color="auto" w:fill="auto"/>
            <w:vAlign w:val="center"/>
          </w:tcPr>
          <w:p w14:paraId="2174E2D4">
            <w:pPr>
              <w:widowControl w:val="0"/>
              <w:jc w:val="center"/>
              <w:rPr>
                <w:rFonts w:ascii="宋体" w:hAnsi="宋体"/>
                <w:color w:val="000000" w:themeColor="text1"/>
                <w:szCs w:val="21"/>
                <w14:textFill>
                  <w14:solidFill>
                    <w14:schemeClr w14:val="tx1"/>
                  </w14:solidFill>
                </w14:textFill>
              </w:rPr>
            </w:pPr>
            <w:r>
              <w:rPr>
                <w:szCs w:val="21"/>
              </w:rPr>
              <w:t>200</w:t>
            </w:r>
          </w:p>
        </w:tc>
        <w:tc>
          <w:tcPr>
            <w:tcW w:w="0" w:type="auto"/>
            <w:shd w:val="clear" w:color="auto" w:fill="auto"/>
            <w:vAlign w:val="center"/>
          </w:tcPr>
          <w:p w14:paraId="41CDBC69">
            <w:pPr>
              <w:widowControl w:val="0"/>
              <w:jc w:val="center"/>
              <w:rPr>
                <w:rFonts w:ascii="宋体" w:hAnsi="宋体"/>
                <w:color w:val="000000" w:themeColor="text1"/>
                <w:szCs w:val="21"/>
                <w14:textFill>
                  <w14:solidFill>
                    <w14:schemeClr w14:val="tx1"/>
                  </w14:solidFill>
                </w14:textFill>
              </w:rPr>
            </w:pPr>
            <w:r>
              <w:rPr>
                <w:szCs w:val="21"/>
              </w:rPr>
              <w:t>-23</w:t>
            </w:r>
          </w:p>
        </w:tc>
        <w:tc>
          <w:tcPr>
            <w:tcW w:w="0" w:type="auto"/>
            <w:vMerge w:val="continue"/>
            <w:vAlign w:val="center"/>
          </w:tcPr>
          <w:p w14:paraId="0CC1E6EF">
            <w:pPr>
              <w:widowControl w:val="0"/>
              <w:jc w:val="center"/>
              <w:rPr>
                <w:rFonts w:ascii="宋体" w:hAnsi="宋体"/>
                <w:color w:val="000000" w:themeColor="text1"/>
                <w:szCs w:val="21"/>
                <w14:textFill>
                  <w14:solidFill>
                    <w14:schemeClr w14:val="tx1"/>
                  </w14:solidFill>
                </w14:textFill>
              </w:rPr>
            </w:pPr>
          </w:p>
        </w:tc>
      </w:tr>
      <w:tr w14:paraId="328E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7A87A7A">
            <w:pPr>
              <w:widowControl w:val="0"/>
              <w:jc w:val="center"/>
              <w:rPr>
                <w:rFonts w:ascii="宋体" w:hAnsi="宋体"/>
                <w:color w:val="000000" w:themeColor="text1"/>
                <w:szCs w:val="21"/>
                <w14:textFill>
                  <w14:solidFill>
                    <w14:schemeClr w14:val="tx1"/>
                  </w14:solidFill>
                </w14:textFill>
              </w:rPr>
            </w:pPr>
            <w:r>
              <w:rPr>
                <w:rFonts w:hint="eastAsia"/>
                <w:szCs w:val="21"/>
              </w:rPr>
              <w:t>22#</w:t>
            </w:r>
          </w:p>
        </w:tc>
        <w:tc>
          <w:tcPr>
            <w:tcW w:w="0" w:type="auto"/>
            <w:shd w:val="clear" w:color="auto" w:fill="auto"/>
            <w:vAlign w:val="center"/>
          </w:tcPr>
          <w:p w14:paraId="556F6300">
            <w:pPr>
              <w:widowControl w:val="0"/>
              <w:jc w:val="center"/>
              <w:rPr>
                <w:rFonts w:ascii="宋体" w:hAnsi="宋体"/>
                <w:color w:val="000000" w:themeColor="text1"/>
                <w:szCs w:val="21"/>
                <w14:textFill>
                  <w14:solidFill>
                    <w14:schemeClr w14:val="tx1"/>
                  </w14:solidFill>
                </w14:textFill>
              </w:rPr>
            </w:pPr>
            <w:r>
              <w:rPr>
                <w:rFonts w:hint="eastAsia"/>
                <w:szCs w:val="21"/>
              </w:rPr>
              <w:t>百花村居民#3</w:t>
            </w:r>
          </w:p>
        </w:tc>
        <w:tc>
          <w:tcPr>
            <w:tcW w:w="0" w:type="auto"/>
            <w:shd w:val="clear" w:color="auto" w:fill="auto"/>
            <w:vAlign w:val="center"/>
          </w:tcPr>
          <w:p w14:paraId="2D35D82F">
            <w:pPr>
              <w:widowControl w:val="0"/>
              <w:jc w:val="center"/>
              <w:rPr>
                <w:rFonts w:ascii="宋体" w:hAnsi="宋体"/>
                <w:color w:val="000000" w:themeColor="text1"/>
                <w:szCs w:val="21"/>
                <w14:textFill>
                  <w14:solidFill>
                    <w14:schemeClr w14:val="tx1"/>
                  </w14:solidFill>
                </w14:textFill>
              </w:rPr>
            </w:pPr>
            <w:r>
              <w:rPr>
                <w:rFonts w:hint="eastAsia"/>
                <w:szCs w:val="21"/>
              </w:rPr>
              <w:t>107.021384</w:t>
            </w:r>
          </w:p>
        </w:tc>
        <w:tc>
          <w:tcPr>
            <w:tcW w:w="0" w:type="auto"/>
            <w:shd w:val="clear" w:color="auto" w:fill="auto"/>
            <w:vAlign w:val="center"/>
          </w:tcPr>
          <w:p w14:paraId="05B34D1B">
            <w:pPr>
              <w:widowControl w:val="0"/>
              <w:jc w:val="center"/>
              <w:rPr>
                <w:rFonts w:ascii="宋体" w:hAnsi="宋体"/>
                <w:color w:val="000000" w:themeColor="text1"/>
                <w:szCs w:val="21"/>
                <w14:textFill>
                  <w14:solidFill>
                    <w14:schemeClr w14:val="tx1"/>
                  </w14:solidFill>
                </w14:textFill>
              </w:rPr>
            </w:pPr>
            <w:r>
              <w:rPr>
                <w:rFonts w:hint="eastAsia"/>
                <w:szCs w:val="21"/>
              </w:rPr>
              <w:t>31.983472</w:t>
            </w:r>
          </w:p>
        </w:tc>
        <w:tc>
          <w:tcPr>
            <w:tcW w:w="0" w:type="auto"/>
            <w:shd w:val="clear" w:color="auto" w:fill="auto"/>
            <w:vAlign w:val="center"/>
          </w:tcPr>
          <w:p w14:paraId="4AA1C9F8">
            <w:pPr>
              <w:widowControl w:val="0"/>
              <w:jc w:val="center"/>
              <w:rPr>
                <w:rFonts w:ascii="宋体" w:hAnsi="宋体"/>
                <w:color w:val="000000" w:themeColor="text1"/>
                <w:szCs w:val="21"/>
                <w14:textFill>
                  <w14:solidFill>
                    <w14:schemeClr w14:val="tx1"/>
                  </w14:solidFill>
                </w14:textFill>
              </w:rPr>
            </w:pPr>
            <w:r>
              <w:rPr>
                <w:rFonts w:hint="eastAsia"/>
                <w:szCs w:val="21"/>
              </w:rPr>
              <w:t>约40人</w:t>
            </w:r>
          </w:p>
        </w:tc>
        <w:tc>
          <w:tcPr>
            <w:tcW w:w="0" w:type="auto"/>
            <w:vMerge w:val="continue"/>
            <w:vAlign w:val="center"/>
          </w:tcPr>
          <w:p w14:paraId="7F25334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83CC162">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7DD3CCE0">
            <w:pPr>
              <w:widowControl w:val="0"/>
              <w:jc w:val="center"/>
              <w:rPr>
                <w:rFonts w:ascii="宋体" w:hAnsi="宋体"/>
                <w:color w:val="000000" w:themeColor="text1"/>
                <w:szCs w:val="21"/>
                <w14:textFill>
                  <w14:solidFill>
                    <w14:schemeClr w14:val="tx1"/>
                  </w14:solidFill>
                </w14:textFill>
              </w:rPr>
            </w:pPr>
            <w:r>
              <w:rPr>
                <w:szCs w:val="21"/>
              </w:rPr>
              <w:t>735</w:t>
            </w:r>
          </w:p>
        </w:tc>
        <w:tc>
          <w:tcPr>
            <w:tcW w:w="0" w:type="auto"/>
            <w:shd w:val="clear" w:color="auto" w:fill="auto"/>
            <w:vAlign w:val="center"/>
          </w:tcPr>
          <w:p w14:paraId="414CDA95">
            <w:pPr>
              <w:widowControl w:val="0"/>
              <w:jc w:val="center"/>
              <w:rPr>
                <w:rFonts w:ascii="宋体" w:hAnsi="宋体"/>
                <w:color w:val="000000" w:themeColor="text1"/>
                <w:szCs w:val="21"/>
                <w14:textFill>
                  <w14:solidFill>
                    <w14:schemeClr w14:val="tx1"/>
                  </w14:solidFill>
                </w14:textFill>
              </w:rPr>
            </w:pPr>
            <w:r>
              <w:rPr>
                <w:szCs w:val="21"/>
              </w:rPr>
              <w:t>66</w:t>
            </w:r>
          </w:p>
        </w:tc>
        <w:tc>
          <w:tcPr>
            <w:tcW w:w="0" w:type="auto"/>
            <w:vMerge w:val="continue"/>
            <w:vAlign w:val="center"/>
          </w:tcPr>
          <w:p w14:paraId="3C6A5BB3">
            <w:pPr>
              <w:widowControl w:val="0"/>
              <w:jc w:val="center"/>
              <w:rPr>
                <w:rFonts w:ascii="宋体" w:hAnsi="宋体"/>
                <w:color w:val="000000" w:themeColor="text1"/>
                <w:szCs w:val="21"/>
                <w14:textFill>
                  <w14:solidFill>
                    <w14:schemeClr w14:val="tx1"/>
                  </w14:solidFill>
                </w14:textFill>
              </w:rPr>
            </w:pPr>
          </w:p>
        </w:tc>
      </w:tr>
      <w:tr w14:paraId="67FC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F84DCEF">
            <w:pPr>
              <w:widowControl w:val="0"/>
              <w:jc w:val="center"/>
              <w:rPr>
                <w:rFonts w:ascii="宋体" w:hAnsi="宋体"/>
                <w:color w:val="000000" w:themeColor="text1"/>
                <w:szCs w:val="21"/>
                <w14:textFill>
                  <w14:solidFill>
                    <w14:schemeClr w14:val="tx1"/>
                  </w14:solidFill>
                </w14:textFill>
              </w:rPr>
            </w:pPr>
            <w:r>
              <w:rPr>
                <w:rFonts w:hint="eastAsia"/>
                <w:szCs w:val="21"/>
              </w:rPr>
              <w:t>23#</w:t>
            </w:r>
          </w:p>
        </w:tc>
        <w:tc>
          <w:tcPr>
            <w:tcW w:w="0" w:type="auto"/>
            <w:shd w:val="clear" w:color="auto" w:fill="auto"/>
            <w:vAlign w:val="center"/>
          </w:tcPr>
          <w:p w14:paraId="571CA559">
            <w:pPr>
              <w:widowControl w:val="0"/>
              <w:jc w:val="center"/>
              <w:rPr>
                <w:rFonts w:ascii="宋体" w:hAnsi="宋体"/>
                <w:color w:val="000000" w:themeColor="text1"/>
                <w:szCs w:val="21"/>
                <w14:textFill>
                  <w14:solidFill>
                    <w14:schemeClr w14:val="tx1"/>
                  </w14:solidFill>
                </w14:textFill>
              </w:rPr>
            </w:pPr>
            <w:r>
              <w:rPr>
                <w:rFonts w:hint="eastAsia"/>
                <w:szCs w:val="21"/>
              </w:rPr>
              <w:t>百花村居民#4</w:t>
            </w:r>
          </w:p>
        </w:tc>
        <w:tc>
          <w:tcPr>
            <w:tcW w:w="0" w:type="auto"/>
            <w:shd w:val="clear" w:color="auto" w:fill="auto"/>
            <w:vAlign w:val="center"/>
          </w:tcPr>
          <w:p w14:paraId="01003029">
            <w:pPr>
              <w:widowControl w:val="0"/>
              <w:jc w:val="center"/>
              <w:rPr>
                <w:rFonts w:ascii="宋体" w:hAnsi="宋体"/>
                <w:color w:val="000000" w:themeColor="text1"/>
                <w:szCs w:val="21"/>
                <w14:textFill>
                  <w14:solidFill>
                    <w14:schemeClr w14:val="tx1"/>
                  </w14:solidFill>
                </w14:textFill>
              </w:rPr>
            </w:pPr>
            <w:r>
              <w:rPr>
                <w:rFonts w:hint="eastAsia"/>
                <w:szCs w:val="21"/>
              </w:rPr>
              <w:t>107.021599</w:t>
            </w:r>
          </w:p>
        </w:tc>
        <w:tc>
          <w:tcPr>
            <w:tcW w:w="0" w:type="auto"/>
            <w:shd w:val="clear" w:color="auto" w:fill="auto"/>
            <w:vAlign w:val="center"/>
          </w:tcPr>
          <w:p w14:paraId="7F444CCA">
            <w:pPr>
              <w:widowControl w:val="0"/>
              <w:jc w:val="center"/>
              <w:rPr>
                <w:rFonts w:ascii="宋体" w:hAnsi="宋体"/>
                <w:color w:val="000000" w:themeColor="text1"/>
                <w:szCs w:val="21"/>
                <w14:textFill>
                  <w14:solidFill>
                    <w14:schemeClr w14:val="tx1"/>
                  </w14:solidFill>
                </w14:textFill>
              </w:rPr>
            </w:pPr>
            <w:r>
              <w:rPr>
                <w:rFonts w:hint="eastAsia"/>
                <w:szCs w:val="21"/>
              </w:rPr>
              <w:t>31.980105</w:t>
            </w:r>
          </w:p>
        </w:tc>
        <w:tc>
          <w:tcPr>
            <w:tcW w:w="0" w:type="auto"/>
            <w:shd w:val="clear" w:color="auto" w:fill="auto"/>
            <w:vAlign w:val="center"/>
          </w:tcPr>
          <w:p w14:paraId="7A42CE8D">
            <w:pPr>
              <w:widowControl w:val="0"/>
              <w:jc w:val="center"/>
              <w:rPr>
                <w:rFonts w:ascii="宋体" w:hAnsi="宋体"/>
                <w:color w:val="000000" w:themeColor="text1"/>
                <w:szCs w:val="21"/>
                <w14:textFill>
                  <w14:solidFill>
                    <w14:schemeClr w14:val="tx1"/>
                  </w14:solidFill>
                </w14:textFill>
              </w:rPr>
            </w:pPr>
            <w:r>
              <w:rPr>
                <w:rFonts w:hint="eastAsia"/>
                <w:szCs w:val="21"/>
              </w:rPr>
              <w:t>约70人</w:t>
            </w:r>
          </w:p>
        </w:tc>
        <w:tc>
          <w:tcPr>
            <w:tcW w:w="0" w:type="auto"/>
            <w:vMerge w:val="continue"/>
            <w:vAlign w:val="center"/>
          </w:tcPr>
          <w:p w14:paraId="642F5D9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9ADE574">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6F483D06">
            <w:pPr>
              <w:widowControl w:val="0"/>
              <w:jc w:val="center"/>
              <w:rPr>
                <w:rFonts w:ascii="宋体" w:hAnsi="宋体"/>
                <w:color w:val="000000" w:themeColor="text1"/>
                <w:szCs w:val="21"/>
                <w14:textFill>
                  <w14:solidFill>
                    <w14:schemeClr w14:val="tx1"/>
                  </w14:solidFill>
                </w14:textFill>
              </w:rPr>
            </w:pPr>
            <w:r>
              <w:rPr>
                <w:szCs w:val="21"/>
              </w:rPr>
              <w:t>1080</w:t>
            </w:r>
          </w:p>
        </w:tc>
        <w:tc>
          <w:tcPr>
            <w:tcW w:w="0" w:type="auto"/>
            <w:shd w:val="clear" w:color="auto" w:fill="auto"/>
            <w:vAlign w:val="center"/>
          </w:tcPr>
          <w:p w14:paraId="3463B313">
            <w:pPr>
              <w:widowControl w:val="0"/>
              <w:jc w:val="center"/>
              <w:rPr>
                <w:rFonts w:ascii="宋体" w:hAnsi="宋体"/>
                <w:color w:val="000000" w:themeColor="text1"/>
                <w:szCs w:val="21"/>
                <w14:textFill>
                  <w14:solidFill>
                    <w14:schemeClr w14:val="tx1"/>
                  </w14:solidFill>
                </w14:textFill>
              </w:rPr>
            </w:pPr>
            <w:r>
              <w:rPr>
                <w:szCs w:val="21"/>
              </w:rPr>
              <w:t>32</w:t>
            </w:r>
          </w:p>
        </w:tc>
        <w:tc>
          <w:tcPr>
            <w:tcW w:w="0" w:type="auto"/>
            <w:vMerge w:val="continue"/>
            <w:vAlign w:val="center"/>
          </w:tcPr>
          <w:p w14:paraId="6FD9B279">
            <w:pPr>
              <w:widowControl w:val="0"/>
              <w:jc w:val="center"/>
              <w:rPr>
                <w:rFonts w:ascii="宋体" w:hAnsi="宋体"/>
                <w:color w:val="000000" w:themeColor="text1"/>
                <w:szCs w:val="21"/>
                <w14:textFill>
                  <w14:solidFill>
                    <w14:schemeClr w14:val="tx1"/>
                  </w14:solidFill>
                </w14:textFill>
              </w:rPr>
            </w:pPr>
          </w:p>
        </w:tc>
      </w:tr>
      <w:tr w14:paraId="39C1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AAEE556">
            <w:pPr>
              <w:widowControl w:val="0"/>
              <w:jc w:val="center"/>
              <w:rPr>
                <w:rFonts w:ascii="宋体" w:hAnsi="宋体"/>
                <w:color w:val="000000" w:themeColor="text1"/>
                <w:szCs w:val="21"/>
                <w14:textFill>
                  <w14:solidFill>
                    <w14:schemeClr w14:val="tx1"/>
                  </w14:solidFill>
                </w14:textFill>
              </w:rPr>
            </w:pPr>
            <w:r>
              <w:rPr>
                <w:rFonts w:hint="eastAsia"/>
                <w:szCs w:val="21"/>
              </w:rPr>
              <w:t>24#</w:t>
            </w:r>
          </w:p>
        </w:tc>
        <w:tc>
          <w:tcPr>
            <w:tcW w:w="0" w:type="auto"/>
            <w:shd w:val="clear" w:color="auto" w:fill="auto"/>
            <w:vAlign w:val="center"/>
          </w:tcPr>
          <w:p w14:paraId="32A0E05F">
            <w:pPr>
              <w:widowControl w:val="0"/>
              <w:jc w:val="center"/>
              <w:rPr>
                <w:rFonts w:ascii="宋体" w:hAnsi="宋体"/>
                <w:color w:val="000000" w:themeColor="text1"/>
                <w:szCs w:val="21"/>
                <w14:textFill>
                  <w14:solidFill>
                    <w14:schemeClr w14:val="tx1"/>
                  </w14:solidFill>
                </w14:textFill>
              </w:rPr>
            </w:pPr>
            <w:r>
              <w:rPr>
                <w:rFonts w:hint="eastAsia"/>
                <w:szCs w:val="21"/>
              </w:rPr>
              <w:t>百花村居民#5</w:t>
            </w:r>
          </w:p>
        </w:tc>
        <w:tc>
          <w:tcPr>
            <w:tcW w:w="0" w:type="auto"/>
            <w:shd w:val="clear" w:color="auto" w:fill="auto"/>
            <w:vAlign w:val="center"/>
          </w:tcPr>
          <w:p w14:paraId="60CC64F7">
            <w:pPr>
              <w:widowControl w:val="0"/>
              <w:jc w:val="center"/>
              <w:rPr>
                <w:rFonts w:ascii="宋体" w:hAnsi="宋体"/>
                <w:color w:val="000000" w:themeColor="text1"/>
                <w:szCs w:val="21"/>
                <w14:textFill>
                  <w14:solidFill>
                    <w14:schemeClr w14:val="tx1"/>
                  </w14:solidFill>
                </w14:textFill>
              </w:rPr>
            </w:pPr>
            <w:r>
              <w:rPr>
                <w:rFonts w:hint="eastAsia"/>
                <w:szCs w:val="21"/>
              </w:rPr>
              <w:t>107.020698</w:t>
            </w:r>
          </w:p>
        </w:tc>
        <w:tc>
          <w:tcPr>
            <w:tcW w:w="0" w:type="auto"/>
            <w:shd w:val="clear" w:color="auto" w:fill="auto"/>
            <w:vAlign w:val="center"/>
          </w:tcPr>
          <w:p w14:paraId="1C4A4A60">
            <w:pPr>
              <w:widowControl w:val="0"/>
              <w:jc w:val="center"/>
              <w:rPr>
                <w:rFonts w:ascii="宋体" w:hAnsi="宋体"/>
                <w:color w:val="000000" w:themeColor="text1"/>
                <w:szCs w:val="21"/>
                <w14:textFill>
                  <w14:solidFill>
                    <w14:schemeClr w14:val="tx1"/>
                  </w14:solidFill>
                </w14:textFill>
              </w:rPr>
            </w:pPr>
            <w:r>
              <w:rPr>
                <w:rFonts w:hint="eastAsia"/>
                <w:szCs w:val="21"/>
              </w:rPr>
              <w:t>31.975546</w:t>
            </w:r>
          </w:p>
        </w:tc>
        <w:tc>
          <w:tcPr>
            <w:tcW w:w="0" w:type="auto"/>
            <w:shd w:val="clear" w:color="auto" w:fill="auto"/>
            <w:vAlign w:val="center"/>
          </w:tcPr>
          <w:p w14:paraId="6913F4E7">
            <w:pPr>
              <w:widowControl w:val="0"/>
              <w:jc w:val="center"/>
              <w:rPr>
                <w:rFonts w:ascii="宋体" w:hAnsi="宋体"/>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3F1F73E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15BF691">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500EFC08">
            <w:pPr>
              <w:widowControl w:val="0"/>
              <w:jc w:val="center"/>
              <w:rPr>
                <w:rFonts w:ascii="宋体" w:hAnsi="宋体"/>
                <w:color w:val="000000" w:themeColor="text1"/>
                <w:szCs w:val="21"/>
                <w14:textFill>
                  <w14:solidFill>
                    <w14:schemeClr w14:val="tx1"/>
                  </w14:solidFill>
                </w14:textFill>
              </w:rPr>
            </w:pPr>
            <w:r>
              <w:rPr>
                <w:szCs w:val="21"/>
              </w:rPr>
              <w:t>1590</w:t>
            </w:r>
          </w:p>
        </w:tc>
        <w:tc>
          <w:tcPr>
            <w:tcW w:w="0" w:type="auto"/>
            <w:shd w:val="clear" w:color="auto" w:fill="auto"/>
            <w:vAlign w:val="center"/>
          </w:tcPr>
          <w:p w14:paraId="7406F2A0">
            <w:pPr>
              <w:widowControl w:val="0"/>
              <w:jc w:val="center"/>
              <w:rPr>
                <w:rFonts w:ascii="宋体" w:hAnsi="宋体"/>
                <w:color w:val="000000" w:themeColor="text1"/>
                <w:szCs w:val="21"/>
                <w14:textFill>
                  <w14:solidFill>
                    <w14:schemeClr w14:val="tx1"/>
                  </w14:solidFill>
                </w14:textFill>
              </w:rPr>
            </w:pPr>
            <w:r>
              <w:rPr>
                <w:szCs w:val="21"/>
              </w:rPr>
              <w:t>-9</w:t>
            </w:r>
          </w:p>
        </w:tc>
        <w:tc>
          <w:tcPr>
            <w:tcW w:w="0" w:type="auto"/>
            <w:vMerge w:val="continue"/>
            <w:vAlign w:val="center"/>
          </w:tcPr>
          <w:p w14:paraId="4996E1EE">
            <w:pPr>
              <w:widowControl w:val="0"/>
              <w:jc w:val="center"/>
              <w:rPr>
                <w:rFonts w:ascii="宋体" w:hAnsi="宋体"/>
                <w:color w:val="000000" w:themeColor="text1"/>
                <w:szCs w:val="21"/>
                <w14:textFill>
                  <w14:solidFill>
                    <w14:schemeClr w14:val="tx1"/>
                  </w14:solidFill>
                </w14:textFill>
              </w:rPr>
            </w:pPr>
          </w:p>
        </w:tc>
      </w:tr>
      <w:tr w14:paraId="77D5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31D3D8E">
            <w:pPr>
              <w:widowControl w:val="0"/>
              <w:jc w:val="center"/>
              <w:rPr>
                <w:rFonts w:ascii="宋体" w:hAnsi="宋体"/>
                <w:color w:val="000000" w:themeColor="text1"/>
                <w:szCs w:val="21"/>
                <w14:textFill>
                  <w14:solidFill>
                    <w14:schemeClr w14:val="tx1"/>
                  </w14:solidFill>
                </w14:textFill>
              </w:rPr>
            </w:pPr>
            <w:r>
              <w:rPr>
                <w:rFonts w:hint="eastAsia"/>
                <w:szCs w:val="21"/>
              </w:rPr>
              <w:t>25#</w:t>
            </w:r>
          </w:p>
        </w:tc>
        <w:tc>
          <w:tcPr>
            <w:tcW w:w="0" w:type="auto"/>
            <w:shd w:val="clear" w:color="auto" w:fill="auto"/>
            <w:vAlign w:val="center"/>
          </w:tcPr>
          <w:p w14:paraId="73CF5091">
            <w:pPr>
              <w:widowControl w:val="0"/>
              <w:jc w:val="center"/>
              <w:rPr>
                <w:rFonts w:ascii="宋体" w:hAnsi="宋体"/>
                <w:color w:val="000000" w:themeColor="text1"/>
                <w:szCs w:val="21"/>
                <w14:textFill>
                  <w14:solidFill>
                    <w14:schemeClr w14:val="tx1"/>
                  </w14:solidFill>
                </w14:textFill>
              </w:rPr>
            </w:pPr>
            <w:r>
              <w:rPr>
                <w:rFonts w:hint="eastAsia"/>
                <w:szCs w:val="21"/>
              </w:rPr>
              <w:t>李家坝居民#1</w:t>
            </w:r>
          </w:p>
        </w:tc>
        <w:tc>
          <w:tcPr>
            <w:tcW w:w="0" w:type="auto"/>
            <w:shd w:val="clear" w:color="auto" w:fill="auto"/>
            <w:vAlign w:val="center"/>
          </w:tcPr>
          <w:p w14:paraId="7352BEA9">
            <w:pPr>
              <w:widowControl w:val="0"/>
              <w:jc w:val="center"/>
              <w:rPr>
                <w:rFonts w:ascii="宋体" w:hAnsi="宋体"/>
                <w:color w:val="000000" w:themeColor="text1"/>
                <w:szCs w:val="21"/>
                <w14:textFill>
                  <w14:solidFill>
                    <w14:schemeClr w14:val="tx1"/>
                  </w14:solidFill>
                </w14:textFill>
              </w:rPr>
            </w:pPr>
            <w:r>
              <w:rPr>
                <w:rFonts w:hint="eastAsia"/>
                <w:szCs w:val="21"/>
              </w:rPr>
              <w:t>107.022511</w:t>
            </w:r>
          </w:p>
        </w:tc>
        <w:tc>
          <w:tcPr>
            <w:tcW w:w="0" w:type="auto"/>
            <w:shd w:val="clear" w:color="auto" w:fill="auto"/>
            <w:vAlign w:val="center"/>
          </w:tcPr>
          <w:p w14:paraId="4869607D">
            <w:pPr>
              <w:widowControl w:val="0"/>
              <w:jc w:val="center"/>
              <w:rPr>
                <w:rFonts w:ascii="宋体" w:hAnsi="宋体"/>
                <w:color w:val="000000" w:themeColor="text1"/>
                <w:szCs w:val="21"/>
                <w14:textFill>
                  <w14:solidFill>
                    <w14:schemeClr w14:val="tx1"/>
                  </w14:solidFill>
                </w14:textFill>
              </w:rPr>
            </w:pPr>
            <w:r>
              <w:rPr>
                <w:rFonts w:hint="eastAsia"/>
                <w:szCs w:val="21"/>
              </w:rPr>
              <w:t>31.971441</w:t>
            </w:r>
          </w:p>
        </w:tc>
        <w:tc>
          <w:tcPr>
            <w:tcW w:w="0" w:type="auto"/>
            <w:shd w:val="clear" w:color="auto" w:fill="auto"/>
            <w:vAlign w:val="center"/>
          </w:tcPr>
          <w:p w14:paraId="0DA7886F">
            <w:pPr>
              <w:widowControl w:val="0"/>
              <w:jc w:val="center"/>
              <w:rPr>
                <w:rFonts w:ascii="宋体" w:hAnsi="宋体"/>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2BCD104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109C023">
            <w:pPr>
              <w:widowControl w:val="0"/>
              <w:jc w:val="center"/>
              <w:rPr>
                <w:rFonts w:ascii="宋体" w:hAnsi="宋体"/>
                <w:color w:val="000000" w:themeColor="text1"/>
                <w:szCs w:val="21"/>
                <w14:textFill>
                  <w14:solidFill>
                    <w14:schemeClr w14:val="tx1"/>
                  </w14:solidFill>
                </w14:textFill>
              </w:rPr>
            </w:pPr>
            <w:r>
              <w:rPr>
                <w:szCs w:val="21"/>
              </w:rPr>
              <w:t>SW</w:t>
            </w:r>
          </w:p>
        </w:tc>
        <w:tc>
          <w:tcPr>
            <w:tcW w:w="0" w:type="auto"/>
            <w:shd w:val="clear" w:color="auto" w:fill="auto"/>
            <w:vAlign w:val="center"/>
          </w:tcPr>
          <w:p w14:paraId="5E1CB9D5">
            <w:pPr>
              <w:widowControl w:val="0"/>
              <w:jc w:val="center"/>
              <w:rPr>
                <w:rFonts w:ascii="宋体" w:hAnsi="宋体"/>
                <w:color w:val="000000" w:themeColor="text1"/>
                <w:szCs w:val="21"/>
                <w14:textFill>
                  <w14:solidFill>
                    <w14:schemeClr w14:val="tx1"/>
                  </w14:solidFill>
                </w14:textFill>
              </w:rPr>
            </w:pPr>
            <w:r>
              <w:rPr>
                <w:szCs w:val="21"/>
              </w:rPr>
              <w:t>2000</w:t>
            </w:r>
          </w:p>
        </w:tc>
        <w:tc>
          <w:tcPr>
            <w:tcW w:w="0" w:type="auto"/>
            <w:shd w:val="clear" w:color="auto" w:fill="auto"/>
            <w:vAlign w:val="center"/>
          </w:tcPr>
          <w:p w14:paraId="4187D332">
            <w:pPr>
              <w:widowControl w:val="0"/>
              <w:jc w:val="center"/>
              <w:rPr>
                <w:rFonts w:ascii="宋体" w:hAnsi="宋体"/>
                <w:color w:val="000000" w:themeColor="text1"/>
                <w:szCs w:val="21"/>
                <w14:textFill>
                  <w14:solidFill>
                    <w14:schemeClr w14:val="tx1"/>
                  </w14:solidFill>
                </w14:textFill>
              </w:rPr>
            </w:pPr>
            <w:r>
              <w:rPr>
                <w:szCs w:val="21"/>
              </w:rPr>
              <w:t>-121</w:t>
            </w:r>
          </w:p>
        </w:tc>
        <w:tc>
          <w:tcPr>
            <w:tcW w:w="0" w:type="auto"/>
            <w:vMerge w:val="continue"/>
            <w:vAlign w:val="center"/>
          </w:tcPr>
          <w:p w14:paraId="12BDF33E">
            <w:pPr>
              <w:widowControl w:val="0"/>
              <w:jc w:val="center"/>
              <w:rPr>
                <w:rFonts w:ascii="宋体" w:hAnsi="宋体"/>
                <w:color w:val="000000" w:themeColor="text1"/>
                <w:szCs w:val="21"/>
                <w14:textFill>
                  <w14:solidFill>
                    <w14:schemeClr w14:val="tx1"/>
                  </w14:solidFill>
                </w14:textFill>
              </w:rPr>
            </w:pPr>
          </w:p>
        </w:tc>
      </w:tr>
      <w:tr w14:paraId="7CB14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F7139AD">
            <w:pPr>
              <w:widowControl w:val="0"/>
              <w:jc w:val="center"/>
              <w:rPr>
                <w:rFonts w:ascii="宋体" w:hAnsi="宋体"/>
                <w:color w:val="000000" w:themeColor="text1"/>
                <w:szCs w:val="21"/>
                <w14:textFill>
                  <w14:solidFill>
                    <w14:schemeClr w14:val="tx1"/>
                  </w14:solidFill>
                </w14:textFill>
              </w:rPr>
            </w:pPr>
            <w:r>
              <w:rPr>
                <w:rFonts w:hint="eastAsia"/>
                <w:szCs w:val="21"/>
              </w:rPr>
              <w:t>26#</w:t>
            </w:r>
          </w:p>
        </w:tc>
        <w:tc>
          <w:tcPr>
            <w:tcW w:w="0" w:type="auto"/>
            <w:shd w:val="clear" w:color="auto" w:fill="auto"/>
            <w:vAlign w:val="center"/>
          </w:tcPr>
          <w:p w14:paraId="75BE71DE">
            <w:pPr>
              <w:widowControl w:val="0"/>
              <w:jc w:val="center"/>
              <w:rPr>
                <w:rFonts w:ascii="宋体" w:hAnsi="宋体"/>
                <w:color w:val="000000" w:themeColor="text1"/>
                <w:szCs w:val="21"/>
                <w14:textFill>
                  <w14:solidFill>
                    <w14:schemeClr w14:val="tx1"/>
                  </w14:solidFill>
                </w14:textFill>
              </w:rPr>
            </w:pPr>
            <w:r>
              <w:rPr>
                <w:rFonts w:hint="eastAsia"/>
                <w:szCs w:val="21"/>
              </w:rPr>
              <w:t>李家坝居民#2</w:t>
            </w:r>
          </w:p>
        </w:tc>
        <w:tc>
          <w:tcPr>
            <w:tcW w:w="0" w:type="auto"/>
            <w:shd w:val="clear" w:color="auto" w:fill="auto"/>
            <w:vAlign w:val="center"/>
          </w:tcPr>
          <w:p w14:paraId="2623518E">
            <w:pPr>
              <w:widowControl w:val="0"/>
              <w:jc w:val="center"/>
              <w:rPr>
                <w:rFonts w:ascii="宋体" w:hAnsi="宋体"/>
                <w:color w:val="000000" w:themeColor="text1"/>
                <w:szCs w:val="21"/>
                <w14:textFill>
                  <w14:solidFill>
                    <w14:schemeClr w14:val="tx1"/>
                  </w14:solidFill>
                </w14:textFill>
              </w:rPr>
            </w:pPr>
            <w:r>
              <w:rPr>
                <w:rFonts w:hint="eastAsia"/>
                <w:szCs w:val="21"/>
              </w:rPr>
              <w:t>107.025622</w:t>
            </w:r>
          </w:p>
        </w:tc>
        <w:tc>
          <w:tcPr>
            <w:tcW w:w="0" w:type="auto"/>
            <w:shd w:val="clear" w:color="auto" w:fill="auto"/>
            <w:vAlign w:val="center"/>
          </w:tcPr>
          <w:p w14:paraId="33FC6A76">
            <w:pPr>
              <w:widowControl w:val="0"/>
              <w:jc w:val="center"/>
              <w:rPr>
                <w:rFonts w:ascii="宋体" w:hAnsi="宋体"/>
                <w:color w:val="000000" w:themeColor="text1"/>
                <w:szCs w:val="21"/>
                <w14:textFill>
                  <w14:solidFill>
                    <w14:schemeClr w14:val="tx1"/>
                  </w14:solidFill>
                </w14:textFill>
              </w:rPr>
            </w:pPr>
            <w:r>
              <w:rPr>
                <w:rFonts w:hint="eastAsia"/>
                <w:szCs w:val="21"/>
              </w:rPr>
              <w:t>31.972419</w:t>
            </w:r>
          </w:p>
        </w:tc>
        <w:tc>
          <w:tcPr>
            <w:tcW w:w="0" w:type="auto"/>
            <w:shd w:val="clear" w:color="auto" w:fill="auto"/>
            <w:vAlign w:val="center"/>
          </w:tcPr>
          <w:p w14:paraId="758CFB58">
            <w:pPr>
              <w:widowControl w:val="0"/>
              <w:jc w:val="center"/>
              <w:rPr>
                <w:rFonts w:ascii="宋体" w:hAnsi="宋体"/>
                <w:color w:val="000000" w:themeColor="text1"/>
                <w:szCs w:val="21"/>
                <w14:textFill>
                  <w14:solidFill>
                    <w14:schemeClr w14:val="tx1"/>
                  </w14:solidFill>
                </w14:textFill>
              </w:rPr>
            </w:pPr>
            <w:r>
              <w:rPr>
                <w:rFonts w:hint="eastAsia"/>
                <w:szCs w:val="21"/>
              </w:rPr>
              <w:t>约60人</w:t>
            </w:r>
          </w:p>
        </w:tc>
        <w:tc>
          <w:tcPr>
            <w:tcW w:w="0" w:type="auto"/>
            <w:vMerge w:val="continue"/>
            <w:vAlign w:val="center"/>
          </w:tcPr>
          <w:p w14:paraId="53E038C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A21CA79">
            <w:pPr>
              <w:widowControl w:val="0"/>
              <w:jc w:val="center"/>
              <w:rPr>
                <w:rFonts w:ascii="宋体" w:hAnsi="宋体"/>
                <w:color w:val="000000" w:themeColor="text1"/>
                <w:szCs w:val="21"/>
                <w14:textFill>
                  <w14:solidFill>
                    <w14:schemeClr w14:val="tx1"/>
                  </w14:solidFill>
                </w14:textFill>
              </w:rPr>
            </w:pPr>
            <w:r>
              <w:rPr>
                <w:szCs w:val="21"/>
              </w:rPr>
              <w:t>S</w:t>
            </w:r>
          </w:p>
        </w:tc>
        <w:tc>
          <w:tcPr>
            <w:tcW w:w="0" w:type="auto"/>
            <w:shd w:val="clear" w:color="auto" w:fill="auto"/>
            <w:vAlign w:val="center"/>
          </w:tcPr>
          <w:p w14:paraId="7D617F6F">
            <w:pPr>
              <w:widowControl w:val="0"/>
              <w:jc w:val="center"/>
              <w:rPr>
                <w:rFonts w:ascii="宋体" w:hAnsi="宋体"/>
                <w:color w:val="000000" w:themeColor="text1"/>
                <w:szCs w:val="21"/>
                <w14:textFill>
                  <w14:solidFill>
                    <w14:schemeClr w14:val="tx1"/>
                  </w14:solidFill>
                </w14:textFill>
              </w:rPr>
            </w:pPr>
            <w:r>
              <w:rPr>
                <w:szCs w:val="21"/>
              </w:rPr>
              <w:t>1870</w:t>
            </w:r>
          </w:p>
        </w:tc>
        <w:tc>
          <w:tcPr>
            <w:tcW w:w="0" w:type="auto"/>
            <w:shd w:val="clear" w:color="auto" w:fill="auto"/>
            <w:vAlign w:val="center"/>
          </w:tcPr>
          <w:p w14:paraId="0A3A8708">
            <w:pPr>
              <w:widowControl w:val="0"/>
              <w:jc w:val="center"/>
              <w:rPr>
                <w:rFonts w:ascii="宋体" w:hAnsi="宋体"/>
                <w:color w:val="000000" w:themeColor="text1"/>
                <w:szCs w:val="21"/>
                <w14:textFill>
                  <w14:solidFill>
                    <w14:schemeClr w14:val="tx1"/>
                  </w14:solidFill>
                </w14:textFill>
              </w:rPr>
            </w:pPr>
            <w:r>
              <w:rPr>
                <w:szCs w:val="21"/>
              </w:rPr>
              <w:t>-196</w:t>
            </w:r>
          </w:p>
        </w:tc>
        <w:tc>
          <w:tcPr>
            <w:tcW w:w="0" w:type="auto"/>
            <w:vMerge w:val="continue"/>
            <w:vAlign w:val="center"/>
          </w:tcPr>
          <w:p w14:paraId="025AFB80">
            <w:pPr>
              <w:widowControl w:val="0"/>
              <w:jc w:val="center"/>
              <w:rPr>
                <w:rFonts w:ascii="宋体" w:hAnsi="宋体"/>
                <w:color w:val="000000" w:themeColor="text1"/>
                <w:szCs w:val="21"/>
                <w14:textFill>
                  <w14:solidFill>
                    <w14:schemeClr w14:val="tx1"/>
                  </w14:solidFill>
                </w14:textFill>
              </w:rPr>
            </w:pPr>
          </w:p>
        </w:tc>
      </w:tr>
      <w:tr w14:paraId="3052A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3E7FFA9">
            <w:pPr>
              <w:widowControl w:val="0"/>
              <w:jc w:val="center"/>
              <w:rPr>
                <w:rFonts w:ascii="宋体" w:hAnsi="宋体"/>
                <w:color w:val="000000" w:themeColor="text1"/>
                <w:szCs w:val="21"/>
                <w14:textFill>
                  <w14:solidFill>
                    <w14:schemeClr w14:val="tx1"/>
                  </w14:solidFill>
                </w14:textFill>
              </w:rPr>
            </w:pPr>
            <w:r>
              <w:rPr>
                <w:rFonts w:hint="eastAsia"/>
                <w:szCs w:val="21"/>
              </w:rPr>
              <w:t>27#</w:t>
            </w:r>
          </w:p>
        </w:tc>
        <w:tc>
          <w:tcPr>
            <w:tcW w:w="0" w:type="auto"/>
            <w:shd w:val="clear" w:color="auto" w:fill="auto"/>
            <w:vAlign w:val="center"/>
          </w:tcPr>
          <w:p w14:paraId="0647E3B8">
            <w:pPr>
              <w:widowControl w:val="0"/>
              <w:jc w:val="center"/>
              <w:rPr>
                <w:rFonts w:ascii="宋体" w:hAnsi="宋体"/>
                <w:color w:val="000000" w:themeColor="text1"/>
                <w:szCs w:val="21"/>
                <w14:textFill>
                  <w14:solidFill>
                    <w14:schemeClr w14:val="tx1"/>
                  </w14:solidFill>
                </w14:textFill>
              </w:rPr>
            </w:pPr>
            <w:r>
              <w:rPr>
                <w:rFonts w:hint="eastAsia"/>
                <w:szCs w:val="21"/>
              </w:rPr>
              <w:t>板溪村居民#1</w:t>
            </w:r>
          </w:p>
        </w:tc>
        <w:tc>
          <w:tcPr>
            <w:tcW w:w="0" w:type="auto"/>
            <w:shd w:val="clear" w:color="auto" w:fill="auto"/>
            <w:vAlign w:val="center"/>
          </w:tcPr>
          <w:p w14:paraId="0EF7BDD9">
            <w:pPr>
              <w:widowControl w:val="0"/>
              <w:jc w:val="center"/>
              <w:rPr>
                <w:rFonts w:ascii="宋体" w:hAnsi="宋体"/>
                <w:color w:val="000000" w:themeColor="text1"/>
                <w:szCs w:val="21"/>
                <w14:textFill>
                  <w14:solidFill>
                    <w14:schemeClr w14:val="tx1"/>
                  </w14:solidFill>
                </w14:textFill>
              </w:rPr>
            </w:pPr>
            <w:r>
              <w:rPr>
                <w:rFonts w:hint="eastAsia"/>
                <w:szCs w:val="21"/>
              </w:rPr>
              <w:t>107.02765</w:t>
            </w:r>
          </w:p>
        </w:tc>
        <w:tc>
          <w:tcPr>
            <w:tcW w:w="0" w:type="auto"/>
            <w:shd w:val="clear" w:color="auto" w:fill="auto"/>
            <w:vAlign w:val="center"/>
          </w:tcPr>
          <w:p w14:paraId="513AE38E">
            <w:pPr>
              <w:widowControl w:val="0"/>
              <w:jc w:val="center"/>
              <w:rPr>
                <w:rFonts w:ascii="宋体" w:hAnsi="宋体"/>
                <w:color w:val="000000" w:themeColor="text1"/>
                <w:szCs w:val="21"/>
                <w14:textFill>
                  <w14:solidFill>
                    <w14:schemeClr w14:val="tx1"/>
                  </w14:solidFill>
                </w14:textFill>
              </w:rPr>
            </w:pPr>
            <w:r>
              <w:rPr>
                <w:rFonts w:hint="eastAsia"/>
                <w:szCs w:val="21"/>
              </w:rPr>
              <w:t>31.980433</w:t>
            </w:r>
          </w:p>
        </w:tc>
        <w:tc>
          <w:tcPr>
            <w:tcW w:w="0" w:type="auto"/>
            <w:shd w:val="clear" w:color="auto" w:fill="auto"/>
            <w:vAlign w:val="center"/>
          </w:tcPr>
          <w:p w14:paraId="5B38A17D">
            <w:pPr>
              <w:widowControl w:val="0"/>
              <w:jc w:val="center"/>
              <w:rPr>
                <w:rFonts w:ascii="宋体" w:hAnsi="宋体"/>
                <w:color w:val="000000" w:themeColor="text1"/>
                <w:szCs w:val="21"/>
                <w14:textFill>
                  <w14:solidFill>
                    <w14:schemeClr w14:val="tx1"/>
                  </w14:solidFill>
                </w14:textFill>
              </w:rPr>
            </w:pPr>
            <w:r>
              <w:rPr>
                <w:rFonts w:hint="eastAsia"/>
                <w:szCs w:val="21"/>
              </w:rPr>
              <w:t>约500人</w:t>
            </w:r>
          </w:p>
        </w:tc>
        <w:tc>
          <w:tcPr>
            <w:tcW w:w="0" w:type="auto"/>
            <w:vMerge w:val="continue"/>
            <w:vAlign w:val="center"/>
          </w:tcPr>
          <w:p w14:paraId="68A6F70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767C03A">
            <w:pPr>
              <w:widowControl w:val="0"/>
              <w:jc w:val="center"/>
              <w:rPr>
                <w:rFonts w:ascii="宋体" w:hAnsi="宋体"/>
                <w:color w:val="000000" w:themeColor="text1"/>
                <w:szCs w:val="21"/>
                <w14:textFill>
                  <w14:solidFill>
                    <w14:schemeClr w14:val="tx1"/>
                  </w14:solidFill>
                </w14:textFill>
              </w:rPr>
            </w:pPr>
            <w:r>
              <w:rPr>
                <w:szCs w:val="21"/>
              </w:rPr>
              <w:t>S</w:t>
            </w:r>
          </w:p>
        </w:tc>
        <w:tc>
          <w:tcPr>
            <w:tcW w:w="0" w:type="auto"/>
            <w:shd w:val="clear" w:color="auto" w:fill="auto"/>
            <w:vAlign w:val="center"/>
          </w:tcPr>
          <w:p w14:paraId="22464644">
            <w:pPr>
              <w:widowControl w:val="0"/>
              <w:jc w:val="center"/>
              <w:rPr>
                <w:rFonts w:ascii="宋体" w:hAnsi="宋体"/>
                <w:color w:val="000000" w:themeColor="text1"/>
                <w:szCs w:val="21"/>
                <w14:textFill>
                  <w14:solidFill>
                    <w14:schemeClr w14:val="tx1"/>
                  </w14:solidFill>
                </w14:textFill>
              </w:rPr>
            </w:pPr>
            <w:r>
              <w:rPr>
                <w:szCs w:val="21"/>
              </w:rPr>
              <w:t>980</w:t>
            </w:r>
          </w:p>
        </w:tc>
        <w:tc>
          <w:tcPr>
            <w:tcW w:w="0" w:type="auto"/>
            <w:shd w:val="clear" w:color="auto" w:fill="auto"/>
            <w:vAlign w:val="center"/>
          </w:tcPr>
          <w:p w14:paraId="601CBD98">
            <w:pPr>
              <w:widowControl w:val="0"/>
              <w:jc w:val="center"/>
              <w:rPr>
                <w:rFonts w:ascii="宋体" w:hAnsi="宋体"/>
                <w:color w:val="000000" w:themeColor="text1"/>
                <w:szCs w:val="21"/>
                <w14:textFill>
                  <w14:solidFill>
                    <w14:schemeClr w14:val="tx1"/>
                  </w14:solidFill>
                </w14:textFill>
              </w:rPr>
            </w:pPr>
            <w:r>
              <w:rPr>
                <w:szCs w:val="21"/>
              </w:rPr>
              <w:t>-81</w:t>
            </w:r>
          </w:p>
        </w:tc>
        <w:tc>
          <w:tcPr>
            <w:tcW w:w="0" w:type="auto"/>
            <w:vMerge w:val="continue"/>
            <w:vAlign w:val="center"/>
          </w:tcPr>
          <w:p w14:paraId="49A24DA7">
            <w:pPr>
              <w:widowControl w:val="0"/>
              <w:jc w:val="center"/>
              <w:rPr>
                <w:rFonts w:ascii="宋体" w:hAnsi="宋体"/>
                <w:color w:val="000000" w:themeColor="text1"/>
                <w:szCs w:val="21"/>
                <w14:textFill>
                  <w14:solidFill>
                    <w14:schemeClr w14:val="tx1"/>
                  </w14:solidFill>
                </w14:textFill>
              </w:rPr>
            </w:pPr>
          </w:p>
        </w:tc>
      </w:tr>
      <w:tr w14:paraId="49C78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E6FC603">
            <w:pPr>
              <w:widowControl w:val="0"/>
              <w:jc w:val="center"/>
              <w:rPr>
                <w:rFonts w:ascii="宋体" w:hAnsi="宋体"/>
                <w:color w:val="000000" w:themeColor="text1"/>
                <w:szCs w:val="21"/>
                <w14:textFill>
                  <w14:solidFill>
                    <w14:schemeClr w14:val="tx1"/>
                  </w14:solidFill>
                </w14:textFill>
              </w:rPr>
            </w:pPr>
            <w:r>
              <w:rPr>
                <w:rFonts w:hint="eastAsia"/>
                <w:szCs w:val="21"/>
              </w:rPr>
              <w:t>28#</w:t>
            </w:r>
          </w:p>
        </w:tc>
        <w:tc>
          <w:tcPr>
            <w:tcW w:w="0" w:type="auto"/>
            <w:shd w:val="clear" w:color="auto" w:fill="auto"/>
            <w:vAlign w:val="center"/>
          </w:tcPr>
          <w:p w14:paraId="510C4EC9">
            <w:pPr>
              <w:widowControl w:val="0"/>
              <w:jc w:val="center"/>
              <w:rPr>
                <w:rFonts w:ascii="宋体" w:hAnsi="宋体"/>
                <w:color w:val="000000" w:themeColor="text1"/>
                <w:szCs w:val="21"/>
                <w14:textFill>
                  <w14:solidFill>
                    <w14:schemeClr w14:val="tx1"/>
                  </w14:solidFill>
                </w14:textFill>
              </w:rPr>
            </w:pPr>
            <w:r>
              <w:rPr>
                <w:rFonts w:hint="eastAsia"/>
                <w:szCs w:val="21"/>
              </w:rPr>
              <w:t>板溪村居民#2</w:t>
            </w:r>
          </w:p>
        </w:tc>
        <w:tc>
          <w:tcPr>
            <w:tcW w:w="0" w:type="auto"/>
            <w:shd w:val="clear" w:color="auto" w:fill="auto"/>
            <w:vAlign w:val="center"/>
          </w:tcPr>
          <w:p w14:paraId="60374BDC">
            <w:pPr>
              <w:widowControl w:val="0"/>
              <w:jc w:val="center"/>
              <w:rPr>
                <w:rFonts w:ascii="宋体" w:hAnsi="宋体"/>
                <w:color w:val="000000" w:themeColor="text1"/>
                <w:szCs w:val="21"/>
                <w14:textFill>
                  <w14:solidFill>
                    <w14:schemeClr w14:val="tx1"/>
                  </w14:solidFill>
                </w14:textFill>
              </w:rPr>
            </w:pPr>
            <w:r>
              <w:rPr>
                <w:rFonts w:hint="eastAsia"/>
                <w:szCs w:val="21"/>
              </w:rPr>
              <w:t>107.032183</w:t>
            </w:r>
          </w:p>
        </w:tc>
        <w:tc>
          <w:tcPr>
            <w:tcW w:w="0" w:type="auto"/>
            <w:shd w:val="clear" w:color="auto" w:fill="auto"/>
            <w:vAlign w:val="center"/>
          </w:tcPr>
          <w:p w14:paraId="446624C4">
            <w:pPr>
              <w:widowControl w:val="0"/>
              <w:jc w:val="center"/>
              <w:rPr>
                <w:rFonts w:ascii="宋体" w:hAnsi="宋体"/>
                <w:color w:val="000000" w:themeColor="text1"/>
                <w:szCs w:val="21"/>
                <w14:textFill>
                  <w14:solidFill>
                    <w14:schemeClr w14:val="tx1"/>
                  </w14:solidFill>
                </w14:textFill>
              </w:rPr>
            </w:pPr>
            <w:r>
              <w:rPr>
                <w:rFonts w:hint="eastAsia"/>
                <w:szCs w:val="21"/>
              </w:rPr>
              <w:t>31.987299</w:t>
            </w:r>
          </w:p>
        </w:tc>
        <w:tc>
          <w:tcPr>
            <w:tcW w:w="0" w:type="auto"/>
            <w:shd w:val="clear" w:color="auto" w:fill="auto"/>
            <w:vAlign w:val="center"/>
          </w:tcPr>
          <w:p w14:paraId="1D9D57FC">
            <w:pPr>
              <w:widowControl w:val="0"/>
              <w:jc w:val="center"/>
              <w:rPr>
                <w:rFonts w:ascii="宋体" w:hAnsi="宋体"/>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3EE32C0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E948D8C">
            <w:pPr>
              <w:widowControl w:val="0"/>
              <w:jc w:val="center"/>
              <w:rPr>
                <w:rFonts w:ascii="宋体" w:hAnsi="宋体"/>
                <w:color w:val="000000" w:themeColor="text1"/>
                <w:szCs w:val="21"/>
                <w14:textFill>
                  <w14:solidFill>
                    <w14:schemeClr w14:val="tx1"/>
                  </w14:solidFill>
                </w14:textFill>
              </w:rPr>
            </w:pPr>
            <w:r>
              <w:rPr>
                <w:szCs w:val="21"/>
              </w:rPr>
              <w:t>SE</w:t>
            </w:r>
          </w:p>
        </w:tc>
        <w:tc>
          <w:tcPr>
            <w:tcW w:w="0" w:type="auto"/>
            <w:shd w:val="clear" w:color="auto" w:fill="auto"/>
            <w:vAlign w:val="center"/>
          </w:tcPr>
          <w:p w14:paraId="3407126C">
            <w:pPr>
              <w:widowControl w:val="0"/>
              <w:jc w:val="center"/>
              <w:rPr>
                <w:rFonts w:ascii="宋体" w:hAnsi="宋体"/>
                <w:color w:val="000000" w:themeColor="text1"/>
                <w:szCs w:val="21"/>
                <w14:textFill>
                  <w14:solidFill>
                    <w14:schemeClr w14:val="tx1"/>
                  </w14:solidFill>
                </w14:textFill>
              </w:rPr>
            </w:pPr>
            <w:r>
              <w:rPr>
                <w:szCs w:val="21"/>
              </w:rPr>
              <w:t>480</w:t>
            </w:r>
          </w:p>
        </w:tc>
        <w:tc>
          <w:tcPr>
            <w:tcW w:w="0" w:type="auto"/>
            <w:shd w:val="clear" w:color="auto" w:fill="auto"/>
            <w:vAlign w:val="center"/>
          </w:tcPr>
          <w:p w14:paraId="3F5C8487">
            <w:pPr>
              <w:widowControl w:val="0"/>
              <w:jc w:val="center"/>
              <w:rPr>
                <w:rFonts w:ascii="宋体" w:hAnsi="宋体"/>
                <w:color w:val="000000" w:themeColor="text1"/>
                <w:szCs w:val="21"/>
                <w14:textFill>
                  <w14:solidFill>
                    <w14:schemeClr w14:val="tx1"/>
                  </w14:solidFill>
                </w14:textFill>
              </w:rPr>
            </w:pPr>
            <w:r>
              <w:rPr>
                <w:szCs w:val="21"/>
              </w:rPr>
              <w:t>-178</w:t>
            </w:r>
          </w:p>
        </w:tc>
        <w:tc>
          <w:tcPr>
            <w:tcW w:w="0" w:type="auto"/>
            <w:vMerge w:val="continue"/>
            <w:vAlign w:val="center"/>
          </w:tcPr>
          <w:p w14:paraId="5B5514DF">
            <w:pPr>
              <w:widowControl w:val="0"/>
              <w:jc w:val="center"/>
              <w:rPr>
                <w:rFonts w:ascii="宋体" w:hAnsi="宋体"/>
                <w:color w:val="000000" w:themeColor="text1"/>
                <w:szCs w:val="21"/>
                <w14:textFill>
                  <w14:solidFill>
                    <w14:schemeClr w14:val="tx1"/>
                  </w14:solidFill>
                </w14:textFill>
              </w:rPr>
            </w:pPr>
          </w:p>
        </w:tc>
      </w:tr>
      <w:tr w14:paraId="585A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1773682">
            <w:pPr>
              <w:widowControl w:val="0"/>
              <w:jc w:val="center"/>
              <w:rPr>
                <w:rFonts w:ascii="宋体" w:hAnsi="宋体"/>
                <w:color w:val="000000" w:themeColor="text1"/>
                <w:szCs w:val="21"/>
                <w14:textFill>
                  <w14:solidFill>
                    <w14:schemeClr w14:val="tx1"/>
                  </w14:solidFill>
                </w14:textFill>
              </w:rPr>
            </w:pPr>
            <w:r>
              <w:rPr>
                <w:rFonts w:hint="eastAsia"/>
                <w:szCs w:val="21"/>
              </w:rPr>
              <w:t>29#</w:t>
            </w:r>
          </w:p>
        </w:tc>
        <w:tc>
          <w:tcPr>
            <w:tcW w:w="0" w:type="auto"/>
            <w:shd w:val="clear" w:color="auto" w:fill="auto"/>
            <w:vAlign w:val="center"/>
          </w:tcPr>
          <w:p w14:paraId="0573117E">
            <w:pPr>
              <w:widowControl w:val="0"/>
              <w:jc w:val="center"/>
              <w:rPr>
                <w:rFonts w:ascii="宋体" w:hAnsi="宋体"/>
                <w:color w:val="000000" w:themeColor="text1"/>
                <w:szCs w:val="21"/>
                <w14:textFill>
                  <w14:solidFill>
                    <w14:schemeClr w14:val="tx1"/>
                  </w14:solidFill>
                </w14:textFill>
              </w:rPr>
            </w:pPr>
            <w:r>
              <w:rPr>
                <w:rFonts w:hint="eastAsia"/>
                <w:szCs w:val="21"/>
              </w:rPr>
              <w:t>郭家河居民#1</w:t>
            </w:r>
          </w:p>
        </w:tc>
        <w:tc>
          <w:tcPr>
            <w:tcW w:w="0" w:type="auto"/>
            <w:shd w:val="clear" w:color="auto" w:fill="auto"/>
            <w:vAlign w:val="center"/>
          </w:tcPr>
          <w:p w14:paraId="2A72B06B">
            <w:pPr>
              <w:widowControl w:val="0"/>
              <w:jc w:val="center"/>
              <w:rPr>
                <w:rFonts w:ascii="宋体" w:hAnsi="宋体"/>
                <w:color w:val="000000" w:themeColor="text1"/>
                <w:szCs w:val="21"/>
                <w14:textFill>
                  <w14:solidFill>
                    <w14:schemeClr w14:val="tx1"/>
                  </w14:solidFill>
                </w14:textFill>
              </w:rPr>
            </w:pPr>
            <w:r>
              <w:rPr>
                <w:rFonts w:hint="eastAsia"/>
                <w:szCs w:val="21"/>
              </w:rPr>
              <w:t>107.032623</w:t>
            </w:r>
          </w:p>
        </w:tc>
        <w:tc>
          <w:tcPr>
            <w:tcW w:w="0" w:type="auto"/>
            <w:shd w:val="clear" w:color="auto" w:fill="auto"/>
            <w:vAlign w:val="center"/>
          </w:tcPr>
          <w:p w14:paraId="0CE6C1B4">
            <w:pPr>
              <w:widowControl w:val="0"/>
              <w:jc w:val="center"/>
              <w:rPr>
                <w:rFonts w:ascii="宋体" w:hAnsi="宋体"/>
                <w:color w:val="000000" w:themeColor="text1"/>
                <w:szCs w:val="21"/>
                <w14:textFill>
                  <w14:solidFill>
                    <w14:schemeClr w14:val="tx1"/>
                  </w14:solidFill>
                </w14:textFill>
              </w:rPr>
            </w:pPr>
            <w:r>
              <w:rPr>
                <w:rFonts w:hint="eastAsia"/>
                <w:szCs w:val="21"/>
              </w:rPr>
              <w:t>31.969689</w:t>
            </w:r>
          </w:p>
        </w:tc>
        <w:tc>
          <w:tcPr>
            <w:tcW w:w="0" w:type="auto"/>
            <w:shd w:val="clear" w:color="auto" w:fill="auto"/>
            <w:vAlign w:val="center"/>
          </w:tcPr>
          <w:p w14:paraId="0BA1DF26">
            <w:pPr>
              <w:widowControl w:val="0"/>
              <w:jc w:val="center"/>
              <w:rPr>
                <w:rFonts w:ascii="宋体" w:hAnsi="宋体"/>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637D337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2A46B21">
            <w:pPr>
              <w:widowControl w:val="0"/>
              <w:jc w:val="center"/>
              <w:rPr>
                <w:rFonts w:ascii="宋体" w:hAnsi="宋体"/>
                <w:color w:val="000000" w:themeColor="text1"/>
                <w:szCs w:val="21"/>
                <w14:textFill>
                  <w14:solidFill>
                    <w14:schemeClr w14:val="tx1"/>
                  </w14:solidFill>
                </w14:textFill>
              </w:rPr>
            </w:pPr>
            <w:r>
              <w:rPr>
                <w:szCs w:val="21"/>
              </w:rPr>
              <w:t>SE</w:t>
            </w:r>
          </w:p>
        </w:tc>
        <w:tc>
          <w:tcPr>
            <w:tcW w:w="0" w:type="auto"/>
            <w:shd w:val="clear" w:color="auto" w:fill="auto"/>
            <w:vAlign w:val="center"/>
          </w:tcPr>
          <w:p w14:paraId="68AE9685">
            <w:pPr>
              <w:widowControl w:val="0"/>
              <w:jc w:val="center"/>
              <w:rPr>
                <w:rFonts w:ascii="宋体" w:hAnsi="宋体"/>
                <w:color w:val="000000" w:themeColor="text1"/>
                <w:szCs w:val="21"/>
                <w14:textFill>
                  <w14:solidFill>
                    <w14:schemeClr w14:val="tx1"/>
                  </w14:solidFill>
                </w14:textFill>
              </w:rPr>
            </w:pPr>
            <w:r>
              <w:rPr>
                <w:szCs w:val="21"/>
              </w:rPr>
              <w:t>2220</w:t>
            </w:r>
          </w:p>
        </w:tc>
        <w:tc>
          <w:tcPr>
            <w:tcW w:w="0" w:type="auto"/>
            <w:shd w:val="clear" w:color="auto" w:fill="auto"/>
            <w:vAlign w:val="center"/>
          </w:tcPr>
          <w:p w14:paraId="56B918F5">
            <w:pPr>
              <w:widowControl w:val="0"/>
              <w:jc w:val="center"/>
              <w:rPr>
                <w:rFonts w:ascii="宋体" w:hAnsi="宋体"/>
                <w:color w:val="000000" w:themeColor="text1"/>
                <w:szCs w:val="21"/>
                <w14:textFill>
                  <w14:solidFill>
                    <w14:schemeClr w14:val="tx1"/>
                  </w14:solidFill>
                </w14:textFill>
              </w:rPr>
            </w:pPr>
            <w:r>
              <w:rPr>
                <w:szCs w:val="21"/>
              </w:rPr>
              <w:t>-175</w:t>
            </w:r>
          </w:p>
        </w:tc>
        <w:tc>
          <w:tcPr>
            <w:tcW w:w="0" w:type="auto"/>
            <w:vMerge w:val="continue"/>
            <w:vAlign w:val="center"/>
          </w:tcPr>
          <w:p w14:paraId="15FF4ACB">
            <w:pPr>
              <w:widowControl w:val="0"/>
              <w:jc w:val="center"/>
              <w:rPr>
                <w:rFonts w:ascii="宋体" w:hAnsi="宋体"/>
                <w:color w:val="000000" w:themeColor="text1"/>
                <w:szCs w:val="21"/>
                <w14:textFill>
                  <w14:solidFill>
                    <w14:schemeClr w14:val="tx1"/>
                  </w14:solidFill>
                </w14:textFill>
              </w:rPr>
            </w:pPr>
          </w:p>
        </w:tc>
      </w:tr>
      <w:tr w14:paraId="4566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9313516">
            <w:pPr>
              <w:widowControl w:val="0"/>
              <w:jc w:val="center"/>
              <w:rPr>
                <w:rFonts w:ascii="宋体" w:hAnsi="宋体"/>
                <w:color w:val="000000" w:themeColor="text1"/>
                <w:szCs w:val="21"/>
                <w14:textFill>
                  <w14:solidFill>
                    <w14:schemeClr w14:val="tx1"/>
                  </w14:solidFill>
                </w14:textFill>
              </w:rPr>
            </w:pPr>
            <w:r>
              <w:rPr>
                <w:rFonts w:hint="eastAsia"/>
                <w:szCs w:val="21"/>
              </w:rPr>
              <w:t>30#</w:t>
            </w:r>
          </w:p>
        </w:tc>
        <w:tc>
          <w:tcPr>
            <w:tcW w:w="0" w:type="auto"/>
            <w:shd w:val="clear" w:color="auto" w:fill="auto"/>
            <w:vAlign w:val="center"/>
          </w:tcPr>
          <w:p w14:paraId="4FCE6D20">
            <w:pPr>
              <w:widowControl w:val="0"/>
              <w:jc w:val="center"/>
              <w:rPr>
                <w:rFonts w:ascii="宋体" w:hAnsi="宋体"/>
                <w:color w:val="000000" w:themeColor="text1"/>
                <w:szCs w:val="21"/>
                <w14:textFill>
                  <w14:solidFill>
                    <w14:schemeClr w14:val="tx1"/>
                  </w14:solidFill>
                </w14:textFill>
              </w:rPr>
            </w:pPr>
            <w:r>
              <w:rPr>
                <w:rFonts w:hint="eastAsia"/>
                <w:szCs w:val="21"/>
              </w:rPr>
              <w:t>龙家</w:t>
            </w:r>
            <w:r>
              <w:rPr>
                <w:rFonts w:hint="eastAsia" w:ascii="微软雅黑" w:hAnsi="微软雅黑" w:eastAsia="微软雅黑" w:cs="微软雅黑"/>
                <w:szCs w:val="21"/>
              </w:rPr>
              <w:t>𤧛</w:t>
            </w:r>
            <w:r>
              <w:rPr>
                <w:rFonts w:hint="eastAsia"/>
                <w:szCs w:val="21"/>
              </w:rPr>
              <w:t>居民#1</w:t>
            </w:r>
          </w:p>
        </w:tc>
        <w:tc>
          <w:tcPr>
            <w:tcW w:w="0" w:type="auto"/>
            <w:shd w:val="clear" w:color="auto" w:fill="auto"/>
            <w:vAlign w:val="center"/>
          </w:tcPr>
          <w:p w14:paraId="3D3D4030">
            <w:pPr>
              <w:widowControl w:val="0"/>
              <w:jc w:val="center"/>
              <w:rPr>
                <w:rFonts w:ascii="宋体" w:hAnsi="宋体"/>
                <w:color w:val="000000" w:themeColor="text1"/>
                <w:szCs w:val="21"/>
                <w14:textFill>
                  <w14:solidFill>
                    <w14:schemeClr w14:val="tx1"/>
                  </w14:solidFill>
                </w14:textFill>
              </w:rPr>
            </w:pPr>
            <w:r>
              <w:rPr>
                <w:rFonts w:hint="eastAsia"/>
                <w:szCs w:val="21"/>
              </w:rPr>
              <w:t>107.03722</w:t>
            </w:r>
          </w:p>
        </w:tc>
        <w:tc>
          <w:tcPr>
            <w:tcW w:w="0" w:type="auto"/>
            <w:shd w:val="clear" w:color="auto" w:fill="auto"/>
            <w:vAlign w:val="center"/>
          </w:tcPr>
          <w:p w14:paraId="71D449ED">
            <w:pPr>
              <w:widowControl w:val="0"/>
              <w:jc w:val="center"/>
              <w:rPr>
                <w:rFonts w:ascii="宋体" w:hAnsi="宋体"/>
                <w:color w:val="000000" w:themeColor="text1"/>
                <w:szCs w:val="21"/>
                <w14:textFill>
                  <w14:solidFill>
                    <w14:schemeClr w14:val="tx1"/>
                  </w14:solidFill>
                </w14:textFill>
              </w:rPr>
            </w:pPr>
            <w:r>
              <w:rPr>
                <w:rFonts w:hint="eastAsia"/>
                <w:szCs w:val="21"/>
              </w:rPr>
              <w:t>31.978849</w:t>
            </w:r>
          </w:p>
        </w:tc>
        <w:tc>
          <w:tcPr>
            <w:tcW w:w="0" w:type="auto"/>
            <w:shd w:val="clear" w:color="auto" w:fill="auto"/>
            <w:vAlign w:val="center"/>
          </w:tcPr>
          <w:p w14:paraId="7824F6CA">
            <w:pPr>
              <w:widowControl w:val="0"/>
              <w:jc w:val="center"/>
              <w:rPr>
                <w:rFonts w:ascii="宋体" w:hAnsi="宋体"/>
                <w:color w:val="000000" w:themeColor="text1"/>
                <w:szCs w:val="21"/>
                <w14:textFill>
                  <w14:solidFill>
                    <w14:schemeClr w14:val="tx1"/>
                  </w14:solidFill>
                </w14:textFill>
              </w:rPr>
            </w:pPr>
            <w:r>
              <w:rPr>
                <w:rFonts w:hint="eastAsia"/>
                <w:szCs w:val="21"/>
              </w:rPr>
              <w:t>约30人</w:t>
            </w:r>
          </w:p>
        </w:tc>
        <w:tc>
          <w:tcPr>
            <w:tcW w:w="0" w:type="auto"/>
            <w:vMerge w:val="continue"/>
            <w:vAlign w:val="center"/>
          </w:tcPr>
          <w:p w14:paraId="29128D3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E49886A">
            <w:pPr>
              <w:widowControl w:val="0"/>
              <w:jc w:val="center"/>
              <w:rPr>
                <w:rFonts w:ascii="宋体" w:hAnsi="宋体"/>
                <w:color w:val="000000" w:themeColor="text1"/>
                <w:szCs w:val="21"/>
                <w14:textFill>
                  <w14:solidFill>
                    <w14:schemeClr w14:val="tx1"/>
                  </w14:solidFill>
                </w14:textFill>
              </w:rPr>
            </w:pPr>
            <w:r>
              <w:rPr>
                <w:szCs w:val="21"/>
              </w:rPr>
              <w:t>SE</w:t>
            </w:r>
          </w:p>
        </w:tc>
        <w:tc>
          <w:tcPr>
            <w:tcW w:w="0" w:type="auto"/>
            <w:shd w:val="clear" w:color="auto" w:fill="auto"/>
            <w:vAlign w:val="center"/>
          </w:tcPr>
          <w:p w14:paraId="36030FE4">
            <w:pPr>
              <w:widowControl w:val="0"/>
              <w:jc w:val="center"/>
              <w:rPr>
                <w:rFonts w:ascii="宋体" w:hAnsi="宋体"/>
                <w:color w:val="000000" w:themeColor="text1"/>
                <w:szCs w:val="21"/>
                <w14:textFill>
                  <w14:solidFill>
                    <w14:schemeClr w14:val="tx1"/>
                  </w14:solidFill>
                </w14:textFill>
              </w:rPr>
            </w:pPr>
            <w:r>
              <w:rPr>
                <w:szCs w:val="21"/>
              </w:rPr>
              <w:t>1466</w:t>
            </w:r>
          </w:p>
        </w:tc>
        <w:tc>
          <w:tcPr>
            <w:tcW w:w="0" w:type="auto"/>
            <w:shd w:val="clear" w:color="auto" w:fill="auto"/>
            <w:vAlign w:val="center"/>
          </w:tcPr>
          <w:p w14:paraId="5271DF9A">
            <w:pPr>
              <w:widowControl w:val="0"/>
              <w:jc w:val="center"/>
              <w:rPr>
                <w:rFonts w:ascii="宋体" w:hAnsi="宋体"/>
                <w:color w:val="000000" w:themeColor="text1"/>
                <w:szCs w:val="21"/>
                <w14:textFill>
                  <w14:solidFill>
                    <w14:schemeClr w14:val="tx1"/>
                  </w14:solidFill>
                </w14:textFill>
              </w:rPr>
            </w:pPr>
            <w:r>
              <w:rPr>
                <w:szCs w:val="21"/>
              </w:rPr>
              <w:t>-157</w:t>
            </w:r>
          </w:p>
        </w:tc>
        <w:tc>
          <w:tcPr>
            <w:tcW w:w="0" w:type="auto"/>
            <w:vMerge w:val="continue"/>
            <w:vAlign w:val="center"/>
          </w:tcPr>
          <w:p w14:paraId="759BF1FB">
            <w:pPr>
              <w:widowControl w:val="0"/>
              <w:jc w:val="center"/>
              <w:rPr>
                <w:rFonts w:ascii="宋体" w:hAnsi="宋体"/>
                <w:color w:val="000000" w:themeColor="text1"/>
                <w:szCs w:val="21"/>
                <w14:textFill>
                  <w14:solidFill>
                    <w14:schemeClr w14:val="tx1"/>
                  </w14:solidFill>
                </w14:textFill>
              </w:rPr>
            </w:pPr>
          </w:p>
        </w:tc>
      </w:tr>
      <w:tr w14:paraId="240DA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08AE377">
            <w:pPr>
              <w:widowControl w:val="0"/>
              <w:jc w:val="center"/>
              <w:rPr>
                <w:rFonts w:ascii="宋体" w:hAnsi="宋体"/>
                <w:color w:val="000000" w:themeColor="text1"/>
                <w:szCs w:val="21"/>
                <w14:textFill>
                  <w14:solidFill>
                    <w14:schemeClr w14:val="tx1"/>
                  </w14:solidFill>
                </w14:textFill>
              </w:rPr>
            </w:pPr>
            <w:r>
              <w:rPr>
                <w:rFonts w:hint="eastAsia"/>
                <w:szCs w:val="21"/>
              </w:rPr>
              <w:t>31#</w:t>
            </w:r>
          </w:p>
        </w:tc>
        <w:tc>
          <w:tcPr>
            <w:tcW w:w="0" w:type="auto"/>
            <w:shd w:val="clear" w:color="auto" w:fill="auto"/>
            <w:vAlign w:val="center"/>
          </w:tcPr>
          <w:p w14:paraId="6B44FC08">
            <w:pPr>
              <w:widowControl w:val="0"/>
              <w:jc w:val="center"/>
              <w:rPr>
                <w:rFonts w:ascii="宋体" w:hAnsi="宋体"/>
                <w:color w:val="000000" w:themeColor="text1"/>
                <w:szCs w:val="21"/>
                <w14:textFill>
                  <w14:solidFill>
                    <w14:schemeClr w14:val="tx1"/>
                  </w14:solidFill>
                </w14:textFill>
              </w:rPr>
            </w:pPr>
            <w:r>
              <w:rPr>
                <w:rFonts w:hint="eastAsia"/>
                <w:szCs w:val="21"/>
              </w:rPr>
              <w:t>董家河居民#1</w:t>
            </w:r>
          </w:p>
        </w:tc>
        <w:tc>
          <w:tcPr>
            <w:tcW w:w="0" w:type="auto"/>
            <w:shd w:val="clear" w:color="auto" w:fill="auto"/>
            <w:vAlign w:val="center"/>
          </w:tcPr>
          <w:p w14:paraId="5085BAC3">
            <w:pPr>
              <w:widowControl w:val="0"/>
              <w:jc w:val="center"/>
              <w:rPr>
                <w:rFonts w:ascii="宋体" w:hAnsi="宋体"/>
                <w:color w:val="000000" w:themeColor="text1"/>
                <w:szCs w:val="21"/>
                <w14:textFill>
                  <w14:solidFill>
                    <w14:schemeClr w14:val="tx1"/>
                  </w14:solidFill>
                </w14:textFill>
              </w:rPr>
            </w:pPr>
            <w:r>
              <w:rPr>
                <w:rFonts w:hint="eastAsia"/>
                <w:szCs w:val="21"/>
              </w:rPr>
              <w:t>107.031276</w:t>
            </w:r>
          </w:p>
        </w:tc>
        <w:tc>
          <w:tcPr>
            <w:tcW w:w="0" w:type="auto"/>
            <w:shd w:val="clear" w:color="auto" w:fill="auto"/>
            <w:vAlign w:val="center"/>
          </w:tcPr>
          <w:p w14:paraId="355AB9F6">
            <w:pPr>
              <w:widowControl w:val="0"/>
              <w:jc w:val="center"/>
              <w:rPr>
                <w:rFonts w:ascii="宋体" w:hAnsi="宋体"/>
                <w:color w:val="000000" w:themeColor="text1"/>
                <w:szCs w:val="21"/>
                <w14:textFill>
                  <w14:solidFill>
                    <w14:schemeClr w14:val="tx1"/>
                  </w14:solidFill>
                </w14:textFill>
              </w:rPr>
            </w:pPr>
            <w:r>
              <w:rPr>
                <w:rFonts w:hint="eastAsia"/>
                <w:szCs w:val="21"/>
              </w:rPr>
              <w:t>31.99189</w:t>
            </w:r>
          </w:p>
        </w:tc>
        <w:tc>
          <w:tcPr>
            <w:tcW w:w="0" w:type="auto"/>
            <w:shd w:val="clear" w:color="auto" w:fill="auto"/>
            <w:vAlign w:val="center"/>
          </w:tcPr>
          <w:p w14:paraId="749CD427">
            <w:pPr>
              <w:widowControl w:val="0"/>
              <w:jc w:val="center"/>
              <w:rPr>
                <w:rFonts w:ascii="宋体" w:hAnsi="宋体"/>
                <w:color w:val="000000" w:themeColor="text1"/>
                <w:szCs w:val="21"/>
                <w14:textFill>
                  <w14:solidFill>
                    <w14:schemeClr w14:val="tx1"/>
                  </w14:solidFill>
                </w14:textFill>
              </w:rPr>
            </w:pPr>
            <w:r>
              <w:rPr>
                <w:rFonts w:hint="eastAsia"/>
                <w:szCs w:val="21"/>
              </w:rPr>
              <w:t>约30人</w:t>
            </w:r>
          </w:p>
        </w:tc>
        <w:tc>
          <w:tcPr>
            <w:tcW w:w="0" w:type="auto"/>
            <w:vMerge w:val="continue"/>
            <w:vAlign w:val="center"/>
          </w:tcPr>
          <w:p w14:paraId="4A87438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DAD5CA9">
            <w:pPr>
              <w:widowControl w:val="0"/>
              <w:jc w:val="center"/>
              <w:rPr>
                <w:rFonts w:ascii="宋体" w:hAnsi="宋体"/>
                <w:color w:val="000000" w:themeColor="text1"/>
                <w:szCs w:val="21"/>
                <w14:textFill>
                  <w14:solidFill>
                    <w14:schemeClr w14:val="tx1"/>
                  </w14:solidFill>
                </w14:textFill>
              </w:rPr>
            </w:pPr>
            <w:r>
              <w:rPr>
                <w:szCs w:val="21"/>
              </w:rPr>
              <w:t>E</w:t>
            </w:r>
          </w:p>
        </w:tc>
        <w:tc>
          <w:tcPr>
            <w:tcW w:w="0" w:type="auto"/>
            <w:shd w:val="clear" w:color="auto" w:fill="auto"/>
            <w:vAlign w:val="center"/>
          </w:tcPr>
          <w:p w14:paraId="3EC88F6B">
            <w:pPr>
              <w:widowControl w:val="0"/>
              <w:jc w:val="center"/>
              <w:rPr>
                <w:rFonts w:ascii="宋体" w:hAnsi="宋体"/>
                <w:color w:val="000000" w:themeColor="text1"/>
                <w:szCs w:val="21"/>
                <w14:textFill>
                  <w14:solidFill>
                    <w14:schemeClr w14:val="tx1"/>
                  </w14:solidFill>
                </w14:textFill>
              </w:rPr>
            </w:pPr>
            <w:r>
              <w:rPr>
                <w:szCs w:val="21"/>
              </w:rPr>
              <w:t>400</w:t>
            </w:r>
          </w:p>
        </w:tc>
        <w:tc>
          <w:tcPr>
            <w:tcW w:w="0" w:type="auto"/>
            <w:shd w:val="clear" w:color="auto" w:fill="auto"/>
            <w:vAlign w:val="center"/>
          </w:tcPr>
          <w:p w14:paraId="4C31F94E">
            <w:pPr>
              <w:widowControl w:val="0"/>
              <w:jc w:val="center"/>
              <w:rPr>
                <w:rFonts w:ascii="宋体" w:hAnsi="宋体"/>
                <w:color w:val="000000" w:themeColor="text1"/>
                <w:szCs w:val="21"/>
                <w14:textFill>
                  <w14:solidFill>
                    <w14:schemeClr w14:val="tx1"/>
                  </w14:solidFill>
                </w14:textFill>
              </w:rPr>
            </w:pPr>
            <w:r>
              <w:rPr>
                <w:szCs w:val="21"/>
              </w:rPr>
              <w:t>-100</w:t>
            </w:r>
          </w:p>
        </w:tc>
        <w:tc>
          <w:tcPr>
            <w:tcW w:w="0" w:type="auto"/>
            <w:vMerge w:val="continue"/>
            <w:vAlign w:val="center"/>
          </w:tcPr>
          <w:p w14:paraId="34360F36">
            <w:pPr>
              <w:widowControl w:val="0"/>
              <w:jc w:val="center"/>
              <w:rPr>
                <w:rFonts w:ascii="宋体" w:hAnsi="宋体"/>
                <w:color w:val="000000" w:themeColor="text1"/>
                <w:szCs w:val="21"/>
                <w14:textFill>
                  <w14:solidFill>
                    <w14:schemeClr w14:val="tx1"/>
                  </w14:solidFill>
                </w14:textFill>
              </w:rPr>
            </w:pPr>
          </w:p>
        </w:tc>
      </w:tr>
      <w:tr w14:paraId="22B3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E0ABBE8">
            <w:pPr>
              <w:widowControl w:val="0"/>
              <w:jc w:val="center"/>
              <w:rPr>
                <w:rFonts w:ascii="宋体" w:hAnsi="宋体"/>
                <w:color w:val="000000" w:themeColor="text1"/>
                <w:szCs w:val="21"/>
                <w14:textFill>
                  <w14:solidFill>
                    <w14:schemeClr w14:val="tx1"/>
                  </w14:solidFill>
                </w14:textFill>
              </w:rPr>
            </w:pPr>
            <w:r>
              <w:rPr>
                <w:rFonts w:hint="eastAsia"/>
                <w:szCs w:val="21"/>
              </w:rPr>
              <w:t>32#</w:t>
            </w:r>
          </w:p>
        </w:tc>
        <w:tc>
          <w:tcPr>
            <w:tcW w:w="0" w:type="auto"/>
            <w:shd w:val="clear" w:color="auto" w:fill="auto"/>
            <w:vAlign w:val="center"/>
          </w:tcPr>
          <w:p w14:paraId="1CD77C7D">
            <w:pPr>
              <w:widowControl w:val="0"/>
              <w:jc w:val="center"/>
              <w:rPr>
                <w:rFonts w:ascii="宋体" w:hAnsi="宋体"/>
                <w:color w:val="000000" w:themeColor="text1"/>
                <w:szCs w:val="21"/>
                <w14:textFill>
                  <w14:solidFill>
                    <w14:schemeClr w14:val="tx1"/>
                  </w14:solidFill>
                </w14:textFill>
              </w:rPr>
            </w:pPr>
            <w:r>
              <w:rPr>
                <w:rFonts w:hint="eastAsia"/>
                <w:szCs w:val="21"/>
              </w:rPr>
              <w:t>烂田湾居民#1</w:t>
            </w:r>
          </w:p>
        </w:tc>
        <w:tc>
          <w:tcPr>
            <w:tcW w:w="0" w:type="auto"/>
            <w:shd w:val="clear" w:color="auto" w:fill="auto"/>
            <w:vAlign w:val="center"/>
          </w:tcPr>
          <w:p w14:paraId="11CF8CA6">
            <w:pPr>
              <w:widowControl w:val="0"/>
              <w:jc w:val="center"/>
              <w:rPr>
                <w:rFonts w:ascii="宋体" w:hAnsi="宋体"/>
                <w:color w:val="000000" w:themeColor="text1"/>
                <w:szCs w:val="21"/>
                <w14:textFill>
                  <w14:solidFill>
                    <w14:schemeClr w14:val="tx1"/>
                  </w14:solidFill>
                </w14:textFill>
              </w:rPr>
            </w:pPr>
            <w:r>
              <w:rPr>
                <w:rFonts w:hint="eastAsia"/>
                <w:szCs w:val="21"/>
              </w:rPr>
              <w:t>107.038191</w:t>
            </w:r>
          </w:p>
        </w:tc>
        <w:tc>
          <w:tcPr>
            <w:tcW w:w="0" w:type="auto"/>
            <w:shd w:val="clear" w:color="auto" w:fill="auto"/>
            <w:vAlign w:val="center"/>
          </w:tcPr>
          <w:p w14:paraId="6253697C">
            <w:pPr>
              <w:widowControl w:val="0"/>
              <w:jc w:val="center"/>
              <w:rPr>
                <w:rFonts w:ascii="宋体" w:hAnsi="宋体"/>
                <w:color w:val="000000" w:themeColor="text1"/>
                <w:szCs w:val="21"/>
                <w14:textFill>
                  <w14:solidFill>
                    <w14:schemeClr w14:val="tx1"/>
                  </w14:solidFill>
                </w14:textFill>
              </w:rPr>
            </w:pPr>
            <w:r>
              <w:rPr>
                <w:rFonts w:hint="eastAsia"/>
                <w:szCs w:val="21"/>
              </w:rPr>
              <w:t>31.969593</w:t>
            </w:r>
          </w:p>
        </w:tc>
        <w:tc>
          <w:tcPr>
            <w:tcW w:w="0" w:type="auto"/>
            <w:shd w:val="clear" w:color="auto" w:fill="auto"/>
            <w:vAlign w:val="center"/>
          </w:tcPr>
          <w:p w14:paraId="3502A831">
            <w:pPr>
              <w:widowControl w:val="0"/>
              <w:jc w:val="center"/>
              <w:rPr>
                <w:rFonts w:ascii="宋体" w:hAnsi="宋体"/>
                <w:color w:val="000000" w:themeColor="text1"/>
                <w:szCs w:val="21"/>
                <w14:textFill>
                  <w14:solidFill>
                    <w14:schemeClr w14:val="tx1"/>
                  </w14:solidFill>
                </w14:textFill>
              </w:rPr>
            </w:pPr>
            <w:r>
              <w:rPr>
                <w:rFonts w:hint="eastAsia"/>
                <w:szCs w:val="21"/>
              </w:rPr>
              <w:t>约30人</w:t>
            </w:r>
          </w:p>
        </w:tc>
        <w:tc>
          <w:tcPr>
            <w:tcW w:w="0" w:type="auto"/>
            <w:vMerge w:val="continue"/>
            <w:vAlign w:val="center"/>
          </w:tcPr>
          <w:p w14:paraId="4D684FE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DF05979">
            <w:pPr>
              <w:widowControl w:val="0"/>
              <w:jc w:val="center"/>
              <w:rPr>
                <w:rFonts w:ascii="宋体" w:hAnsi="宋体"/>
                <w:color w:val="000000" w:themeColor="text1"/>
                <w:szCs w:val="21"/>
                <w14:textFill>
                  <w14:solidFill>
                    <w14:schemeClr w14:val="tx1"/>
                  </w14:solidFill>
                </w14:textFill>
              </w:rPr>
            </w:pPr>
            <w:r>
              <w:rPr>
                <w:szCs w:val="21"/>
              </w:rPr>
              <w:t>SE</w:t>
            </w:r>
          </w:p>
        </w:tc>
        <w:tc>
          <w:tcPr>
            <w:tcW w:w="0" w:type="auto"/>
            <w:shd w:val="clear" w:color="auto" w:fill="auto"/>
            <w:vAlign w:val="center"/>
          </w:tcPr>
          <w:p w14:paraId="68A55DFB">
            <w:pPr>
              <w:widowControl w:val="0"/>
              <w:jc w:val="center"/>
              <w:rPr>
                <w:rFonts w:ascii="宋体" w:hAnsi="宋体"/>
                <w:color w:val="000000" w:themeColor="text1"/>
                <w:szCs w:val="21"/>
                <w14:textFill>
                  <w14:solidFill>
                    <w14:schemeClr w14:val="tx1"/>
                  </w14:solidFill>
                </w14:textFill>
              </w:rPr>
            </w:pPr>
            <w:r>
              <w:rPr>
                <w:szCs w:val="21"/>
              </w:rPr>
              <w:t>2400</w:t>
            </w:r>
          </w:p>
        </w:tc>
        <w:tc>
          <w:tcPr>
            <w:tcW w:w="0" w:type="auto"/>
            <w:shd w:val="clear" w:color="auto" w:fill="auto"/>
            <w:vAlign w:val="center"/>
          </w:tcPr>
          <w:p w14:paraId="20E465CE">
            <w:pPr>
              <w:widowControl w:val="0"/>
              <w:jc w:val="center"/>
              <w:rPr>
                <w:rFonts w:ascii="宋体" w:hAnsi="宋体"/>
                <w:color w:val="000000" w:themeColor="text1"/>
                <w:szCs w:val="21"/>
                <w14:textFill>
                  <w14:solidFill>
                    <w14:schemeClr w14:val="tx1"/>
                  </w14:solidFill>
                </w14:textFill>
              </w:rPr>
            </w:pPr>
            <w:r>
              <w:rPr>
                <w:szCs w:val="21"/>
              </w:rPr>
              <w:t>35</w:t>
            </w:r>
          </w:p>
        </w:tc>
        <w:tc>
          <w:tcPr>
            <w:tcW w:w="0" w:type="auto"/>
            <w:vMerge w:val="continue"/>
            <w:vAlign w:val="center"/>
          </w:tcPr>
          <w:p w14:paraId="75225345">
            <w:pPr>
              <w:widowControl w:val="0"/>
              <w:jc w:val="center"/>
              <w:rPr>
                <w:rFonts w:ascii="宋体" w:hAnsi="宋体"/>
                <w:color w:val="000000" w:themeColor="text1"/>
                <w:szCs w:val="21"/>
                <w14:textFill>
                  <w14:solidFill>
                    <w14:schemeClr w14:val="tx1"/>
                  </w14:solidFill>
                </w14:textFill>
              </w:rPr>
            </w:pPr>
          </w:p>
        </w:tc>
      </w:tr>
      <w:tr w14:paraId="048D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077087B">
            <w:pPr>
              <w:widowControl w:val="0"/>
              <w:jc w:val="center"/>
              <w:rPr>
                <w:rFonts w:ascii="宋体" w:hAnsi="宋体"/>
                <w:color w:val="000000" w:themeColor="text1"/>
                <w:szCs w:val="21"/>
                <w14:textFill>
                  <w14:solidFill>
                    <w14:schemeClr w14:val="tx1"/>
                  </w14:solidFill>
                </w14:textFill>
              </w:rPr>
            </w:pPr>
            <w:r>
              <w:rPr>
                <w:rFonts w:hint="eastAsia"/>
                <w:szCs w:val="21"/>
              </w:rPr>
              <w:t>33#</w:t>
            </w:r>
          </w:p>
        </w:tc>
        <w:tc>
          <w:tcPr>
            <w:tcW w:w="0" w:type="auto"/>
            <w:shd w:val="clear" w:color="auto" w:fill="auto"/>
            <w:vAlign w:val="center"/>
          </w:tcPr>
          <w:p w14:paraId="018D3625">
            <w:pPr>
              <w:widowControl w:val="0"/>
              <w:jc w:val="center"/>
              <w:rPr>
                <w:rFonts w:ascii="宋体" w:hAnsi="宋体"/>
                <w:color w:val="000000" w:themeColor="text1"/>
                <w:szCs w:val="21"/>
                <w14:textFill>
                  <w14:solidFill>
                    <w14:schemeClr w14:val="tx1"/>
                  </w14:solidFill>
                </w14:textFill>
              </w:rPr>
            </w:pPr>
            <w:r>
              <w:rPr>
                <w:rFonts w:hint="eastAsia"/>
                <w:szCs w:val="21"/>
              </w:rPr>
              <w:t>上八家坪居民#1</w:t>
            </w:r>
          </w:p>
        </w:tc>
        <w:tc>
          <w:tcPr>
            <w:tcW w:w="0" w:type="auto"/>
            <w:shd w:val="clear" w:color="auto" w:fill="auto"/>
            <w:vAlign w:val="center"/>
          </w:tcPr>
          <w:p w14:paraId="2162ECA7">
            <w:pPr>
              <w:widowControl w:val="0"/>
              <w:jc w:val="center"/>
              <w:rPr>
                <w:rFonts w:ascii="宋体" w:hAnsi="宋体"/>
                <w:color w:val="000000" w:themeColor="text1"/>
                <w:szCs w:val="21"/>
                <w14:textFill>
                  <w14:solidFill>
                    <w14:schemeClr w14:val="tx1"/>
                  </w14:solidFill>
                </w14:textFill>
              </w:rPr>
            </w:pPr>
            <w:r>
              <w:rPr>
                <w:rFonts w:hint="eastAsia"/>
                <w:szCs w:val="21"/>
              </w:rPr>
              <w:t>107.049215</w:t>
            </w:r>
          </w:p>
        </w:tc>
        <w:tc>
          <w:tcPr>
            <w:tcW w:w="0" w:type="auto"/>
            <w:shd w:val="clear" w:color="auto" w:fill="auto"/>
            <w:vAlign w:val="center"/>
          </w:tcPr>
          <w:p w14:paraId="6B1D99E2">
            <w:pPr>
              <w:widowControl w:val="0"/>
              <w:jc w:val="center"/>
              <w:rPr>
                <w:rFonts w:ascii="宋体" w:hAnsi="宋体"/>
                <w:color w:val="000000" w:themeColor="text1"/>
                <w:szCs w:val="21"/>
                <w14:textFill>
                  <w14:solidFill>
                    <w14:schemeClr w14:val="tx1"/>
                  </w14:solidFill>
                </w14:textFill>
              </w:rPr>
            </w:pPr>
            <w:r>
              <w:rPr>
                <w:rFonts w:hint="eastAsia"/>
                <w:szCs w:val="21"/>
              </w:rPr>
              <w:t>31.974699</w:t>
            </w:r>
          </w:p>
        </w:tc>
        <w:tc>
          <w:tcPr>
            <w:tcW w:w="0" w:type="auto"/>
            <w:shd w:val="clear" w:color="auto" w:fill="auto"/>
            <w:vAlign w:val="center"/>
          </w:tcPr>
          <w:p w14:paraId="69A568ED">
            <w:pPr>
              <w:widowControl w:val="0"/>
              <w:jc w:val="center"/>
              <w:rPr>
                <w:rFonts w:ascii="宋体" w:hAnsi="宋体"/>
                <w:color w:val="000000" w:themeColor="text1"/>
                <w:szCs w:val="21"/>
                <w14:textFill>
                  <w14:solidFill>
                    <w14:schemeClr w14:val="tx1"/>
                  </w14:solidFill>
                </w14:textFill>
              </w:rPr>
            </w:pPr>
            <w:r>
              <w:rPr>
                <w:rFonts w:hint="eastAsia"/>
                <w:szCs w:val="21"/>
              </w:rPr>
              <w:t>约300人</w:t>
            </w:r>
          </w:p>
        </w:tc>
        <w:tc>
          <w:tcPr>
            <w:tcW w:w="0" w:type="auto"/>
            <w:vMerge w:val="continue"/>
            <w:vAlign w:val="center"/>
          </w:tcPr>
          <w:p w14:paraId="2CCA524D">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2FAB110">
            <w:pPr>
              <w:widowControl w:val="0"/>
              <w:jc w:val="center"/>
              <w:rPr>
                <w:rFonts w:ascii="宋体" w:hAnsi="宋体"/>
                <w:color w:val="000000" w:themeColor="text1"/>
                <w:szCs w:val="21"/>
                <w14:textFill>
                  <w14:solidFill>
                    <w14:schemeClr w14:val="tx1"/>
                  </w14:solidFill>
                </w14:textFill>
              </w:rPr>
            </w:pPr>
            <w:r>
              <w:rPr>
                <w:szCs w:val="21"/>
              </w:rPr>
              <w:t>SE</w:t>
            </w:r>
          </w:p>
        </w:tc>
        <w:tc>
          <w:tcPr>
            <w:tcW w:w="0" w:type="auto"/>
            <w:shd w:val="clear" w:color="auto" w:fill="auto"/>
            <w:vAlign w:val="center"/>
          </w:tcPr>
          <w:p w14:paraId="7667A6E0">
            <w:pPr>
              <w:widowControl w:val="0"/>
              <w:jc w:val="center"/>
              <w:rPr>
                <w:rFonts w:ascii="宋体" w:hAnsi="宋体"/>
                <w:color w:val="000000" w:themeColor="text1"/>
                <w:szCs w:val="21"/>
                <w14:textFill>
                  <w14:solidFill>
                    <w14:schemeClr w14:val="tx1"/>
                  </w14:solidFill>
                </w14:textFill>
              </w:rPr>
            </w:pPr>
            <w:r>
              <w:rPr>
                <w:szCs w:val="21"/>
              </w:rPr>
              <w:t>2600</w:t>
            </w:r>
          </w:p>
        </w:tc>
        <w:tc>
          <w:tcPr>
            <w:tcW w:w="0" w:type="auto"/>
            <w:shd w:val="clear" w:color="auto" w:fill="auto"/>
            <w:vAlign w:val="center"/>
          </w:tcPr>
          <w:p w14:paraId="37D70CBA">
            <w:pPr>
              <w:widowControl w:val="0"/>
              <w:jc w:val="center"/>
              <w:rPr>
                <w:rFonts w:ascii="宋体" w:hAnsi="宋体"/>
                <w:color w:val="000000" w:themeColor="text1"/>
                <w:szCs w:val="21"/>
                <w14:textFill>
                  <w14:solidFill>
                    <w14:schemeClr w14:val="tx1"/>
                  </w14:solidFill>
                </w14:textFill>
              </w:rPr>
            </w:pPr>
            <w:r>
              <w:rPr>
                <w:szCs w:val="21"/>
              </w:rPr>
              <w:t>106</w:t>
            </w:r>
          </w:p>
        </w:tc>
        <w:tc>
          <w:tcPr>
            <w:tcW w:w="0" w:type="auto"/>
            <w:vMerge w:val="continue"/>
            <w:vAlign w:val="center"/>
          </w:tcPr>
          <w:p w14:paraId="501019D5">
            <w:pPr>
              <w:widowControl w:val="0"/>
              <w:jc w:val="center"/>
              <w:rPr>
                <w:rFonts w:ascii="宋体" w:hAnsi="宋体"/>
                <w:color w:val="000000" w:themeColor="text1"/>
                <w:szCs w:val="21"/>
                <w14:textFill>
                  <w14:solidFill>
                    <w14:schemeClr w14:val="tx1"/>
                  </w14:solidFill>
                </w14:textFill>
              </w:rPr>
            </w:pPr>
          </w:p>
        </w:tc>
      </w:tr>
      <w:tr w14:paraId="1B9D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F14AB79">
            <w:pPr>
              <w:widowControl w:val="0"/>
              <w:jc w:val="center"/>
              <w:rPr>
                <w:rFonts w:ascii="宋体" w:hAnsi="宋体"/>
                <w:color w:val="000000" w:themeColor="text1"/>
                <w:szCs w:val="21"/>
                <w14:textFill>
                  <w14:solidFill>
                    <w14:schemeClr w14:val="tx1"/>
                  </w14:solidFill>
                </w14:textFill>
              </w:rPr>
            </w:pPr>
            <w:r>
              <w:rPr>
                <w:rFonts w:hint="eastAsia"/>
                <w:szCs w:val="21"/>
              </w:rPr>
              <w:t>34#</w:t>
            </w:r>
          </w:p>
        </w:tc>
        <w:tc>
          <w:tcPr>
            <w:tcW w:w="0" w:type="auto"/>
            <w:shd w:val="clear" w:color="auto" w:fill="auto"/>
            <w:vAlign w:val="center"/>
          </w:tcPr>
          <w:p w14:paraId="07033A1F">
            <w:pPr>
              <w:widowControl w:val="0"/>
              <w:jc w:val="center"/>
              <w:rPr>
                <w:rFonts w:ascii="宋体" w:hAnsi="宋体"/>
                <w:color w:val="000000" w:themeColor="text1"/>
                <w:szCs w:val="21"/>
                <w14:textFill>
                  <w14:solidFill>
                    <w14:schemeClr w14:val="tx1"/>
                  </w14:solidFill>
                </w14:textFill>
              </w:rPr>
            </w:pPr>
            <w:r>
              <w:rPr>
                <w:rFonts w:hint="eastAsia"/>
                <w:szCs w:val="21"/>
              </w:rPr>
              <w:t>凉水井沟居民#1</w:t>
            </w:r>
          </w:p>
        </w:tc>
        <w:tc>
          <w:tcPr>
            <w:tcW w:w="0" w:type="auto"/>
            <w:shd w:val="clear" w:color="auto" w:fill="auto"/>
            <w:vAlign w:val="center"/>
          </w:tcPr>
          <w:p w14:paraId="21D95FCD">
            <w:pPr>
              <w:widowControl w:val="0"/>
              <w:jc w:val="center"/>
              <w:rPr>
                <w:rFonts w:ascii="宋体" w:hAnsi="宋体"/>
                <w:color w:val="000000" w:themeColor="text1"/>
                <w:szCs w:val="21"/>
                <w14:textFill>
                  <w14:solidFill>
                    <w14:schemeClr w14:val="tx1"/>
                  </w14:solidFill>
                </w14:textFill>
              </w:rPr>
            </w:pPr>
            <w:r>
              <w:rPr>
                <w:rFonts w:hint="eastAsia"/>
                <w:szCs w:val="21"/>
              </w:rPr>
              <w:t>107.047082</w:t>
            </w:r>
          </w:p>
        </w:tc>
        <w:tc>
          <w:tcPr>
            <w:tcW w:w="0" w:type="auto"/>
            <w:shd w:val="clear" w:color="auto" w:fill="auto"/>
            <w:vAlign w:val="center"/>
          </w:tcPr>
          <w:p w14:paraId="2B3CF937">
            <w:pPr>
              <w:widowControl w:val="0"/>
              <w:jc w:val="center"/>
              <w:rPr>
                <w:rFonts w:ascii="宋体" w:hAnsi="宋体"/>
                <w:color w:val="000000" w:themeColor="text1"/>
                <w:szCs w:val="21"/>
                <w14:textFill>
                  <w14:solidFill>
                    <w14:schemeClr w14:val="tx1"/>
                  </w14:solidFill>
                </w14:textFill>
              </w:rPr>
            </w:pPr>
            <w:r>
              <w:rPr>
                <w:rFonts w:hint="eastAsia"/>
                <w:szCs w:val="21"/>
              </w:rPr>
              <w:t>31.987474</w:t>
            </w:r>
          </w:p>
        </w:tc>
        <w:tc>
          <w:tcPr>
            <w:tcW w:w="0" w:type="auto"/>
            <w:shd w:val="clear" w:color="auto" w:fill="auto"/>
            <w:vAlign w:val="center"/>
          </w:tcPr>
          <w:p w14:paraId="5D31803B">
            <w:pPr>
              <w:widowControl w:val="0"/>
              <w:jc w:val="center"/>
              <w:rPr>
                <w:rFonts w:ascii="宋体" w:hAnsi="宋体"/>
                <w:color w:val="000000" w:themeColor="text1"/>
                <w:szCs w:val="21"/>
                <w14:textFill>
                  <w14:solidFill>
                    <w14:schemeClr w14:val="tx1"/>
                  </w14:solidFill>
                </w14:textFill>
              </w:rPr>
            </w:pPr>
            <w:r>
              <w:rPr>
                <w:rFonts w:hint="eastAsia"/>
                <w:szCs w:val="21"/>
              </w:rPr>
              <w:t>约40人</w:t>
            </w:r>
          </w:p>
        </w:tc>
        <w:tc>
          <w:tcPr>
            <w:tcW w:w="0" w:type="auto"/>
            <w:vMerge w:val="continue"/>
            <w:vAlign w:val="center"/>
          </w:tcPr>
          <w:p w14:paraId="442D8F2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32BAA20">
            <w:pPr>
              <w:widowControl w:val="0"/>
              <w:jc w:val="center"/>
              <w:rPr>
                <w:rFonts w:ascii="宋体" w:hAnsi="宋体"/>
                <w:color w:val="000000" w:themeColor="text1"/>
                <w:szCs w:val="21"/>
                <w14:textFill>
                  <w14:solidFill>
                    <w14:schemeClr w14:val="tx1"/>
                  </w14:solidFill>
                </w14:textFill>
              </w:rPr>
            </w:pPr>
            <w:r>
              <w:rPr>
                <w:szCs w:val="21"/>
              </w:rPr>
              <w:t>E</w:t>
            </w:r>
          </w:p>
        </w:tc>
        <w:tc>
          <w:tcPr>
            <w:tcW w:w="0" w:type="auto"/>
            <w:shd w:val="clear" w:color="auto" w:fill="auto"/>
            <w:vAlign w:val="center"/>
          </w:tcPr>
          <w:p w14:paraId="1D2A69A4">
            <w:pPr>
              <w:widowControl w:val="0"/>
              <w:jc w:val="center"/>
              <w:rPr>
                <w:rFonts w:ascii="宋体" w:hAnsi="宋体"/>
                <w:color w:val="000000" w:themeColor="text1"/>
                <w:szCs w:val="21"/>
                <w14:textFill>
                  <w14:solidFill>
                    <w14:schemeClr w14:val="tx1"/>
                  </w14:solidFill>
                </w14:textFill>
              </w:rPr>
            </w:pPr>
            <w:r>
              <w:rPr>
                <w:szCs w:val="21"/>
              </w:rPr>
              <w:t>1850</w:t>
            </w:r>
          </w:p>
        </w:tc>
        <w:tc>
          <w:tcPr>
            <w:tcW w:w="0" w:type="auto"/>
            <w:shd w:val="clear" w:color="auto" w:fill="auto"/>
            <w:vAlign w:val="center"/>
          </w:tcPr>
          <w:p w14:paraId="0D45A324">
            <w:pPr>
              <w:widowControl w:val="0"/>
              <w:jc w:val="center"/>
              <w:rPr>
                <w:rFonts w:ascii="宋体" w:hAnsi="宋体"/>
                <w:color w:val="000000" w:themeColor="text1"/>
                <w:szCs w:val="21"/>
                <w14:textFill>
                  <w14:solidFill>
                    <w14:schemeClr w14:val="tx1"/>
                  </w14:solidFill>
                </w14:textFill>
              </w:rPr>
            </w:pPr>
            <w:r>
              <w:rPr>
                <w:szCs w:val="21"/>
              </w:rPr>
              <w:t>-72</w:t>
            </w:r>
          </w:p>
        </w:tc>
        <w:tc>
          <w:tcPr>
            <w:tcW w:w="0" w:type="auto"/>
            <w:vMerge w:val="continue"/>
            <w:vAlign w:val="center"/>
          </w:tcPr>
          <w:p w14:paraId="43904EF4">
            <w:pPr>
              <w:widowControl w:val="0"/>
              <w:jc w:val="center"/>
              <w:rPr>
                <w:rFonts w:ascii="宋体" w:hAnsi="宋体"/>
                <w:color w:val="000000" w:themeColor="text1"/>
                <w:szCs w:val="21"/>
                <w14:textFill>
                  <w14:solidFill>
                    <w14:schemeClr w14:val="tx1"/>
                  </w14:solidFill>
                </w14:textFill>
              </w:rPr>
            </w:pPr>
          </w:p>
        </w:tc>
      </w:tr>
      <w:tr w14:paraId="00DD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4FDEAB8">
            <w:pPr>
              <w:widowControl w:val="0"/>
              <w:jc w:val="center"/>
              <w:rPr>
                <w:rFonts w:ascii="宋体" w:hAnsi="宋体"/>
                <w:color w:val="000000" w:themeColor="text1"/>
                <w:szCs w:val="21"/>
                <w14:textFill>
                  <w14:solidFill>
                    <w14:schemeClr w14:val="tx1"/>
                  </w14:solidFill>
                </w14:textFill>
              </w:rPr>
            </w:pPr>
            <w:r>
              <w:rPr>
                <w:rFonts w:hint="eastAsia"/>
                <w:szCs w:val="21"/>
              </w:rPr>
              <w:t>35#</w:t>
            </w:r>
          </w:p>
        </w:tc>
        <w:tc>
          <w:tcPr>
            <w:tcW w:w="0" w:type="auto"/>
            <w:shd w:val="clear" w:color="auto" w:fill="auto"/>
            <w:vAlign w:val="center"/>
          </w:tcPr>
          <w:p w14:paraId="3C224D44">
            <w:pPr>
              <w:widowControl w:val="0"/>
              <w:jc w:val="center"/>
              <w:rPr>
                <w:rFonts w:ascii="宋体" w:hAnsi="宋体"/>
                <w:color w:val="000000" w:themeColor="text1"/>
                <w:szCs w:val="21"/>
                <w14:textFill>
                  <w14:solidFill>
                    <w14:schemeClr w14:val="tx1"/>
                  </w14:solidFill>
                </w14:textFill>
              </w:rPr>
            </w:pPr>
            <w:r>
              <w:rPr>
                <w:rFonts w:hint="eastAsia"/>
                <w:szCs w:val="21"/>
              </w:rPr>
              <w:t>荀家河居民#1</w:t>
            </w:r>
          </w:p>
        </w:tc>
        <w:tc>
          <w:tcPr>
            <w:tcW w:w="0" w:type="auto"/>
            <w:shd w:val="clear" w:color="auto" w:fill="auto"/>
            <w:vAlign w:val="center"/>
          </w:tcPr>
          <w:p w14:paraId="0AFAFAEE">
            <w:pPr>
              <w:widowControl w:val="0"/>
              <w:jc w:val="center"/>
              <w:rPr>
                <w:rFonts w:ascii="宋体" w:hAnsi="宋体"/>
                <w:color w:val="000000" w:themeColor="text1"/>
                <w:szCs w:val="21"/>
                <w14:textFill>
                  <w14:solidFill>
                    <w14:schemeClr w14:val="tx1"/>
                  </w14:solidFill>
                </w14:textFill>
              </w:rPr>
            </w:pPr>
            <w:r>
              <w:rPr>
                <w:rFonts w:hint="eastAsia"/>
                <w:szCs w:val="21"/>
              </w:rPr>
              <w:t>107.052299</w:t>
            </w:r>
          </w:p>
        </w:tc>
        <w:tc>
          <w:tcPr>
            <w:tcW w:w="0" w:type="auto"/>
            <w:shd w:val="clear" w:color="auto" w:fill="auto"/>
            <w:vAlign w:val="center"/>
          </w:tcPr>
          <w:p w14:paraId="59792C0A">
            <w:pPr>
              <w:widowControl w:val="0"/>
              <w:jc w:val="center"/>
              <w:rPr>
                <w:rFonts w:ascii="宋体" w:hAnsi="宋体"/>
                <w:color w:val="000000" w:themeColor="text1"/>
                <w:szCs w:val="21"/>
                <w14:textFill>
                  <w14:solidFill>
                    <w14:schemeClr w14:val="tx1"/>
                  </w14:solidFill>
                </w14:textFill>
              </w:rPr>
            </w:pPr>
            <w:r>
              <w:rPr>
                <w:rFonts w:hint="eastAsia"/>
                <w:szCs w:val="21"/>
              </w:rPr>
              <w:t>31.988853</w:t>
            </w:r>
          </w:p>
        </w:tc>
        <w:tc>
          <w:tcPr>
            <w:tcW w:w="0" w:type="auto"/>
            <w:shd w:val="clear" w:color="auto" w:fill="auto"/>
            <w:vAlign w:val="center"/>
          </w:tcPr>
          <w:p w14:paraId="189B6296">
            <w:pPr>
              <w:widowControl w:val="0"/>
              <w:jc w:val="center"/>
              <w:rPr>
                <w:rFonts w:ascii="宋体" w:hAnsi="宋体"/>
                <w:color w:val="000000" w:themeColor="text1"/>
                <w:szCs w:val="21"/>
                <w14:textFill>
                  <w14:solidFill>
                    <w14:schemeClr w14:val="tx1"/>
                  </w14:solidFill>
                </w14:textFill>
              </w:rPr>
            </w:pPr>
            <w:r>
              <w:rPr>
                <w:rFonts w:hint="eastAsia"/>
                <w:szCs w:val="21"/>
              </w:rPr>
              <w:t>约10人</w:t>
            </w:r>
          </w:p>
        </w:tc>
        <w:tc>
          <w:tcPr>
            <w:tcW w:w="0" w:type="auto"/>
            <w:vMerge w:val="continue"/>
            <w:vAlign w:val="center"/>
          </w:tcPr>
          <w:p w14:paraId="7D12C77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A4E60BE">
            <w:pPr>
              <w:widowControl w:val="0"/>
              <w:jc w:val="center"/>
              <w:rPr>
                <w:rFonts w:ascii="宋体" w:hAnsi="宋体"/>
                <w:color w:val="000000" w:themeColor="text1"/>
                <w:szCs w:val="21"/>
                <w14:textFill>
                  <w14:solidFill>
                    <w14:schemeClr w14:val="tx1"/>
                  </w14:solidFill>
                </w14:textFill>
              </w:rPr>
            </w:pPr>
            <w:r>
              <w:rPr>
                <w:szCs w:val="21"/>
              </w:rPr>
              <w:t>E</w:t>
            </w:r>
          </w:p>
        </w:tc>
        <w:tc>
          <w:tcPr>
            <w:tcW w:w="0" w:type="auto"/>
            <w:shd w:val="clear" w:color="auto" w:fill="auto"/>
            <w:vAlign w:val="center"/>
          </w:tcPr>
          <w:p w14:paraId="0BE24273">
            <w:pPr>
              <w:widowControl w:val="0"/>
              <w:jc w:val="center"/>
              <w:rPr>
                <w:rFonts w:ascii="宋体" w:hAnsi="宋体"/>
                <w:color w:val="000000" w:themeColor="text1"/>
                <w:szCs w:val="21"/>
                <w14:textFill>
                  <w14:solidFill>
                    <w14:schemeClr w14:val="tx1"/>
                  </w14:solidFill>
                </w14:textFill>
              </w:rPr>
            </w:pPr>
            <w:r>
              <w:rPr>
                <w:szCs w:val="21"/>
              </w:rPr>
              <w:t>2300</w:t>
            </w:r>
          </w:p>
        </w:tc>
        <w:tc>
          <w:tcPr>
            <w:tcW w:w="0" w:type="auto"/>
            <w:shd w:val="clear" w:color="auto" w:fill="auto"/>
            <w:vAlign w:val="center"/>
          </w:tcPr>
          <w:p w14:paraId="0714AEA8">
            <w:pPr>
              <w:widowControl w:val="0"/>
              <w:jc w:val="center"/>
              <w:rPr>
                <w:rFonts w:ascii="宋体" w:hAnsi="宋体"/>
                <w:color w:val="000000" w:themeColor="text1"/>
                <w:szCs w:val="21"/>
                <w14:textFill>
                  <w14:solidFill>
                    <w14:schemeClr w14:val="tx1"/>
                  </w14:solidFill>
                </w14:textFill>
              </w:rPr>
            </w:pPr>
            <w:r>
              <w:rPr>
                <w:szCs w:val="21"/>
              </w:rPr>
              <w:t>34</w:t>
            </w:r>
          </w:p>
        </w:tc>
        <w:tc>
          <w:tcPr>
            <w:tcW w:w="0" w:type="auto"/>
            <w:vMerge w:val="continue"/>
            <w:vAlign w:val="center"/>
          </w:tcPr>
          <w:p w14:paraId="3F7D0C18">
            <w:pPr>
              <w:widowControl w:val="0"/>
              <w:jc w:val="center"/>
              <w:rPr>
                <w:rFonts w:ascii="宋体" w:hAnsi="宋体"/>
                <w:color w:val="000000" w:themeColor="text1"/>
                <w:szCs w:val="21"/>
                <w14:textFill>
                  <w14:solidFill>
                    <w14:schemeClr w14:val="tx1"/>
                  </w14:solidFill>
                </w14:textFill>
              </w:rPr>
            </w:pPr>
          </w:p>
        </w:tc>
      </w:tr>
      <w:tr w14:paraId="594D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0E62728">
            <w:pPr>
              <w:widowControl w:val="0"/>
              <w:jc w:val="center"/>
              <w:rPr>
                <w:rFonts w:ascii="宋体" w:hAnsi="宋体"/>
                <w:color w:val="000000" w:themeColor="text1"/>
                <w:szCs w:val="21"/>
                <w14:textFill>
                  <w14:solidFill>
                    <w14:schemeClr w14:val="tx1"/>
                  </w14:solidFill>
                </w14:textFill>
              </w:rPr>
            </w:pPr>
            <w:r>
              <w:rPr>
                <w:rFonts w:hint="eastAsia"/>
                <w:szCs w:val="21"/>
              </w:rPr>
              <w:t>36#</w:t>
            </w:r>
          </w:p>
        </w:tc>
        <w:tc>
          <w:tcPr>
            <w:tcW w:w="0" w:type="auto"/>
            <w:shd w:val="clear" w:color="auto" w:fill="auto"/>
            <w:vAlign w:val="center"/>
          </w:tcPr>
          <w:p w14:paraId="2879168E">
            <w:pPr>
              <w:widowControl w:val="0"/>
              <w:jc w:val="center"/>
              <w:rPr>
                <w:rFonts w:ascii="宋体" w:hAnsi="宋体"/>
                <w:color w:val="000000" w:themeColor="text1"/>
                <w:szCs w:val="21"/>
                <w14:textFill>
                  <w14:solidFill>
                    <w14:schemeClr w14:val="tx1"/>
                  </w14:solidFill>
                </w14:textFill>
              </w:rPr>
            </w:pPr>
            <w:r>
              <w:rPr>
                <w:rFonts w:hint="eastAsia"/>
                <w:szCs w:val="21"/>
              </w:rPr>
              <w:t>长田河居民#1</w:t>
            </w:r>
          </w:p>
        </w:tc>
        <w:tc>
          <w:tcPr>
            <w:tcW w:w="0" w:type="auto"/>
            <w:shd w:val="clear" w:color="auto" w:fill="auto"/>
            <w:vAlign w:val="center"/>
          </w:tcPr>
          <w:p w14:paraId="48630413">
            <w:pPr>
              <w:widowControl w:val="0"/>
              <w:jc w:val="center"/>
              <w:rPr>
                <w:rFonts w:ascii="宋体" w:hAnsi="宋体"/>
                <w:color w:val="000000" w:themeColor="text1"/>
                <w:szCs w:val="21"/>
                <w14:textFill>
                  <w14:solidFill>
                    <w14:schemeClr w14:val="tx1"/>
                  </w14:solidFill>
                </w14:textFill>
              </w:rPr>
            </w:pPr>
            <w:r>
              <w:rPr>
                <w:rFonts w:hint="eastAsia"/>
                <w:szCs w:val="21"/>
              </w:rPr>
              <w:t>107.043067</w:t>
            </w:r>
          </w:p>
        </w:tc>
        <w:tc>
          <w:tcPr>
            <w:tcW w:w="0" w:type="auto"/>
            <w:shd w:val="clear" w:color="auto" w:fill="auto"/>
            <w:vAlign w:val="center"/>
          </w:tcPr>
          <w:p w14:paraId="19A0397A">
            <w:pPr>
              <w:widowControl w:val="0"/>
              <w:jc w:val="center"/>
              <w:rPr>
                <w:rFonts w:ascii="宋体" w:hAnsi="宋体"/>
                <w:color w:val="000000" w:themeColor="text1"/>
                <w:szCs w:val="21"/>
                <w14:textFill>
                  <w14:solidFill>
                    <w14:schemeClr w14:val="tx1"/>
                  </w14:solidFill>
                </w14:textFill>
              </w:rPr>
            </w:pPr>
            <w:r>
              <w:rPr>
                <w:rFonts w:hint="eastAsia"/>
                <w:szCs w:val="21"/>
              </w:rPr>
              <w:t>31.989728</w:t>
            </w:r>
          </w:p>
        </w:tc>
        <w:tc>
          <w:tcPr>
            <w:tcW w:w="0" w:type="auto"/>
            <w:shd w:val="clear" w:color="auto" w:fill="auto"/>
            <w:vAlign w:val="center"/>
          </w:tcPr>
          <w:p w14:paraId="32C9B85D">
            <w:pPr>
              <w:widowControl w:val="0"/>
              <w:jc w:val="center"/>
              <w:rPr>
                <w:rFonts w:ascii="宋体" w:hAnsi="宋体"/>
                <w:color w:val="000000" w:themeColor="text1"/>
                <w:szCs w:val="21"/>
                <w14:textFill>
                  <w14:solidFill>
                    <w14:schemeClr w14:val="tx1"/>
                  </w14:solidFill>
                </w14:textFill>
              </w:rPr>
            </w:pPr>
            <w:r>
              <w:rPr>
                <w:rFonts w:hint="eastAsia"/>
                <w:szCs w:val="21"/>
              </w:rPr>
              <w:t>约30人</w:t>
            </w:r>
          </w:p>
        </w:tc>
        <w:tc>
          <w:tcPr>
            <w:tcW w:w="0" w:type="auto"/>
            <w:vMerge w:val="continue"/>
            <w:vAlign w:val="center"/>
          </w:tcPr>
          <w:p w14:paraId="703C1FC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3B2C002">
            <w:pPr>
              <w:widowControl w:val="0"/>
              <w:jc w:val="center"/>
              <w:rPr>
                <w:rFonts w:ascii="宋体" w:hAnsi="宋体"/>
                <w:color w:val="000000" w:themeColor="text1"/>
                <w:szCs w:val="21"/>
                <w14:textFill>
                  <w14:solidFill>
                    <w14:schemeClr w14:val="tx1"/>
                  </w14:solidFill>
                </w14:textFill>
              </w:rPr>
            </w:pPr>
            <w:r>
              <w:rPr>
                <w:szCs w:val="21"/>
              </w:rPr>
              <w:t>E</w:t>
            </w:r>
          </w:p>
        </w:tc>
        <w:tc>
          <w:tcPr>
            <w:tcW w:w="0" w:type="auto"/>
            <w:shd w:val="clear" w:color="auto" w:fill="auto"/>
            <w:vAlign w:val="center"/>
          </w:tcPr>
          <w:p w14:paraId="7B7CB436">
            <w:pPr>
              <w:widowControl w:val="0"/>
              <w:jc w:val="center"/>
              <w:rPr>
                <w:rFonts w:ascii="宋体" w:hAnsi="宋体"/>
                <w:color w:val="000000" w:themeColor="text1"/>
                <w:szCs w:val="21"/>
                <w14:textFill>
                  <w14:solidFill>
                    <w14:schemeClr w14:val="tx1"/>
                  </w14:solidFill>
                </w14:textFill>
              </w:rPr>
            </w:pPr>
            <w:r>
              <w:rPr>
                <w:szCs w:val="21"/>
              </w:rPr>
              <w:t>1430</w:t>
            </w:r>
          </w:p>
        </w:tc>
        <w:tc>
          <w:tcPr>
            <w:tcW w:w="0" w:type="auto"/>
            <w:shd w:val="clear" w:color="auto" w:fill="auto"/>
            <w:vAlign w:val="center"/>
          </w:tcPr>
          <w:p w14:paraId="6377AB58">
            <w:pPr>
              <w:widowControl w:val="0"/>
              <w:jc w:val="center"/>
              <w:rPr>
                <w:rFonts w:ascii="宋体" w:hAnsi="宋体"/>
                <w:color w:val="000000" w:themeColor="text1"/>
                <w:szCs w:val="21"/>
                <w14:textFill>
                  <w14:solidFill>
                    <w14:schemeClr w14:val="tx1"/>
                  </w14:solidFill>
                </w14:textFill>
              </w:rPr>
            </w:pPr>
            <w:r>
              <w:rPr>
                <w:szCs w:val="21"/>
              </w:rPr>
              <w:t>-69</w:t>
            </w:r>
          </w:p>
        </w:tc>
        <w:tc>
          <w:tcPr>
            <w:tcW w:w="0" w:type="auto"/>
            <w:vMerge w:val="continue"/>
            <w:vAlign w:val="center"/>
          </w:tcPr>
          <w:p w14:paraId="00F53BFE">
            <w:pPr>
              <w:widowControl w:val="0"/>
              <w:jc w:val="center"/>
              <w:rPr>
                <w:rFonts w:ascii="宋体" w:hAnsi="宋体"/>
                <w:color w:val="000000" w:themeColor="text1"/>
                <w:szCs w:val="21"/>
                <w14:textFill>
                  <w14:solidFill>
                    <w14:schemeClr w14:val="tx1"/>
                  </w14:solidFill>
                </w14:textFill>
              </w:rPr>
            </w:pPr>
          </w:p>
        </w:tc>
      </w:tr>
      <w:tr w14:paraId="7C9D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4E73849">
            <w:pPr>
              <w:widowControl w:val="0"/>
              <w:jc w:val="center"/>
              <w:rPr>
                <w:rFonts w:ascii="宋体" w:hAnsi="宋体"/>
                <w:color w:val="000000" w:themeColor="text1"/>
                <w:szCs w:val="21"/>
                <w14:textFill>
                  <w14:solidFill>
                    <w14:schemeClr w14:val="tx1"/>
                  </w14:solidFill>
                </w14:textFill>
              </w:rPr>
            </w:pPr>
            <w:r>
              <w:rPr>
                <w:rFonts w:hint="eastAsia"/>
                <w:szCs w:val="21"/>
              </w:rPr>
              <w:t>37#</w:t>
            </w:r>
          </w:p>
        </w:tc>
        <w:tc>
          <w:tcPr>
            <w:tcW w:w="0" w:type="auto"/>
            <w:shd w:val="clear" w:color="auto" w:fill="auto"/>
            <w:vAlign w:val="center"/>
          </w:tcPr>
          <w:p w14:paraId="656745A6">
            <w:pPr>
              <w:widowControl w:val="0"/>
              <w:jc w:val="center"/>
              <w:rPr>
                <w:rFonts w:ascii="宋体" w:hAnsi="宋体"/>
                <w:color w:val="000000" w:themeColor="text1"/>
                <w:szCs w:val="21"/>
                <w14:textFill>
                  <w14:solidFill>
                    <w14:schemeClr w14:val="tx1"/>
                  </w14:solidFill>
                </w14:textFill>
              </w:rPr>
            </w:pPr>
            <w:r>
              <w:rPr>
                <w:rFonts w:hint="eastAsia"/>
                <w:szCs w:val="21"/>
              </w:rPr>
              <w:t>长田河居民#2</w:t>
            </w:r>
          </w:p>
        </w:tc>
        <w:tc>
          <w:tcPr>
            <w:tcW w:w="0" w:type="auto"/>
            <w:shd w:val="clear" w:color="auto" w:fill="auto"/>
            <w:vAlign w:val="center"/>
          </w:tcPr>
          <w:p w14:paraId="45E7D855">
            <w:pPr>
              <w:widowControl w:val="0"/>
              <w:jc w:val="center"/>
              <w:rPr>
                <w:rFonts w:ascii="宋体" w:hAnsi="宋体"/>
                <w:color w:val="000000" w:themeColor="text1"/>
                <w:szCs w:val="21"/>
                <w14:textFill>
                  <w14:solidFill>
                    <w14:schemeClr w14:val="tx1"/>
                  </w14:solidFill>
                </w14:textFill>
              </w:rPr>
            </w:pPr>
            <w:r>
              <w:rPr>
                <w:rFonts w:hint="eastAsia"/>
                <w:szCs w:val="21"/>
              </w:rPr>
              <w:t>107.045771</w:t>
            </w:r>
          </w:p>
        </w:tc>
        <w:tc>
          <w:tcPr>
            <w:tcW w:w="0" w:type="auto"/>
            <w:shd w:val="clear" w:color="auto" w:fill="auto"/>
            <w:vAlign w:val="center"/>
          </w:tcPr>
          <w:p w14:paraId="6A63055A">
            <w:pPr>
              <w:widowControl w:val="0"/>
              <w:jc w:val="center"/>
              <w:rPr>
                <w:rFonts w:ascii="宋体" w:hAnsi="宋体"/>
                <w:color w:val="000000" w:themeColor="text1"/>
                <w:szCs w:val="21"/>
                <w14:textFill>
                  <w14:solidFill>
                    <w14:schemeClr w14:val="tx1"/>
                  </w14:solidFill>
                </w14:textFill>
              </w:rPr>
            </w:pPr>
            <w:r>
              <w:rPr>
                <w:rFonts w:hint="eastAsia"/>
                <w:szCs w:val="21"/>
              </w:rPr>
              <w:t>31.995456</w:t>
            </w:r>
          </w:p>
        </w:tc>
        <w:tc>
          <w:tcPr>
            <w:tcW w:w="0" w:type="auto"/>
            <w:shd w:val="clear" w:color="auto" w:fill="auto"/>
            <w:vAlign w:val="center"/>
          </w:tcPr>
          <w:p w14:paraId="73D12AAE">
            <w:pPr>
              <w:widowControl w:val="0"/>
              <w:jc w:val="center"/>
              <w:rPr>
                <w:rFonts w:ascii="宋体" w:hAnsi="宋体"/>
                <w:color w:val="000000" w:themeColor="text1"/>
                <w:szCs w:val="21"/>
                <w14:textFill>
                  <w14:solidFill>
                    <w14:schemeClr w14:val="tx1"/>
                  </w14:solidFill>
                </w14:textFill>
              </w:rPr>
            </w:pPr>
            <w:r>
              <w:rPr>
                <w:rFonts w:hint="eastAsia"/>
                <w:szCs w:val="21"/>
              </w:rPr>
              <w:t>约10人</w:t>
            </w:r>
          </w:p>
        </w:tc>
        <w:tc>
          <w:tcPr>
            <w:tcW w:w="0" w:type="auto"/>
            <w:vMerge w:val="continue"/>
            <w:vAlign w:val="center"/>
          </w:tcPr>
          <w:p w14:paraId="1F80535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3011BD8">
            <w:pPr>
              <w:widowControl w:val="0"/>
              <w:jc w:val="center"/>
              <w:rPr>
                <w:rFonts w:ascii="宋体" w:hAnsi="宋体"/>
                <w:color w:val="000000" w:themeColor="text1"/>
                <w:szCs w:val="21"/>
                <w14:textFill>
                  <w14:solidFill>
                    <w14:schemeClr w14:val="tx1"/>
                  </w14:solidFill>
                </w14:textFill>
              </w:rPr>
            </w:pPr>
            <w:r>
              <w:rPr>
                <w:szCs w:val="21"/>
              </w:rPr>
              <w:t>NE</w:t>
            </w:r>
          </w:p>
        </w:tc>
        <w:tc>
          <w:tcPr>
            <w:tcW w:w="0" w:type="auto"/>
            <w:shd w:val="clear" w:color="auto" w:fill="auto"/>
            <w:vAlign w:val="center"/>
          </w:tcPr>
          <w:p w14:paraId="0C9631CC">
            <w:pPr>
              <w:widowControl w:val="0"/>
              <w:jc w:val="center"/>
              <w:rPr>
                <w:rFonts w:ascii="宋体" w:hAnsi="宋体"/>
                <w:color w:val="000000" w:themeColor="text1"/>
                <w:szCs w:val="21"/>
                <w14:textFill>
                  <w14:solidFill>
                    <w14:schemeClr w14:val="tx1"/>
                  </w14:solidFill>
                </w14:textFill>
              </w:rPr>
            </w:pPr>
            <w:r>
              <w:rPr>
                <w:szCs w:val="21"/>
              </w:rPr>
              <w:t>1805</w:t>
            </w:r>
          </w:p>
        </w:tc>
        <w:tc>
          <w:tcPr>
            <w:tcW w:w="0" w:type="auto"/>
            <w:shd w:val="clear" w:color="auto" w:fill="auto"/>
            <w:vAlign w:val="center"/>
          </w:tcPr>
          <w:p w14:paraId="37F0E4A6">
            <w:pPr>
              <w:widowControl w:val="0"/>
              <w:jc w:val="center"/>
              <w:rPr>
                <w:rFonts w:ascii="宋体" w:hAnsi="宋体"/>
                <w:color w:val="000000" w:themeColor="text1"/>
                <w:szCs w:val="21"/>
                <w14:textFill>
                  <w14:solidFill>
                    <w14:schemeClr w14:val="tx1"/>
                  </w14:solidFill>
                </w14:textFill>
              </w:rPr>
            </w:pPr>
            <w:r>
              <w:rPr>
                <w:szCs w:val="21"/>
              </w:rPr>
              <w:t>11</w:t>
            </w:r>
          </w:p>
        </w:tc>
        <w:tc>
          <w:tcPr>
            <w:tcW w:w="0" w:type="auto"/>
            <w:vMerge w:val="continue"/>
            <w:vAlign w:val="center"/>
          </w:tcPr>
          <w:p w14:paraId="2F808F0B">
            <w:pPr>
              <w:widowControl w:val="0"/>
              <w:jc w:val="center"/>
              <w:rPr>
                <w:rFonts w:ascii="宋体" w:hAnsi="宋体"/>
                <w:color w:val="000000" w:themeColor="text1"/>
                <w:szCs w:val="21"/>
                <w14:textFill>
                  <w14:solidFill>
                    <w14:schemeClr w14:val="tx1"/>
                  </w14:solidFill>
                </w14:textFill>
              </w:rPr>
            </w:pPr>
          </w:p>
        </w:tc>
      </w:tr>
      <w:tr w14:paraId="532D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0E6B6F9">
            <w:pPr>
              <w:widowControl w:val="0"/>
              <w:jc w:val="center"/>
              <w:rPr>
                <w:rFonts w:ascii="宋体" w:hAnsi="宋体"/>
                <w:color w:val="000000" w:themeColor="text1"/>
                <w:szCs w:val="21"/>
                <w14:textFill>
                  <w14:solidFill>
                    <w14:schemeClr w14:val="tx1"/>
                  </w14:solidFill>
                </w14:textFill>
              </w:rPr>
            </w:pPr>
            <w:r>
              <w:rPr>
                <w:rFonts w:hint="eastAsia"/>
                <w:szCs w:val="21"/>
              </w:rPr>
              <w:t>38#</w:t>
            </w:r>
          </w:p>
        </w:tc>
        <w:tc>
          <w:tcPr>
            <w:tcW w:w="0" w:type="auto"/>
            <w:shd w:val="clear" w:color="auto" w:fill="auto"/>
            <w:vAlign w:val="center"/>
          </w:tcPr>
          <w:p w14:paraId="4E062408">
            <w:pPr>
              <w:widowControl w:val="0"/>
              <w:jc w:val="center"/>
              <w:rPr>
                <w:rFonts w:ascii="宋体" w:hAnsi="宋体"/>
                <w:color w:val="000000" w:themeColor="text1"/>
                <w:szCs w:val="21"/>
                <w14:textFill>
                  <w14:solidFill>
                    <w14:schemeClr w14:val="tx1"/>
                  </w14:solidFill>
                </w14:textFill>
              </w:rPr>
            </w:pPr>
            <w:r>
              <w:rPr>
                <w:rFonts w:hint="eastAsia"/>
                <w:szCs w:val="21"/>
              </w:rPr>
              <w:t>长田河居民#3</w:t>
            </w:r>
          </w:p>
        </w:tc>
        <w:tc>
          <w:tcPr>
            <w:tcW w:w="0" w:type="auto"/>
            <w:shd w:val="clear" w:color="auto" w:fill="auto"/>
            <w:vAlign w:val="center"/>
          </w:tcPr>
          <w:p w14:paraId="5CA11BE0">
            <w:pPr>
              <w:widowControl w:val="0"/>
              <w:jc w:val="center"/>
              <w:rPr>
                <w:rFonts w:ascii="宋体" w:hAnsi="宋体"/>
                <w:color w:val="000000" w:themeColor="text1"/>
                <w:szCs w:val="21"/>
                <w14:textFill>
                  <w14:solidFill>
                    <w14:schemeClr w14:val="tx1"/>
                  </w14:solidFill>
                </w14:textFill>
              </w:rPr>
            </w:pPr>
            <w:r>
              <w:rPr>
                <w:rFonts w:hint="eastAsia"/>
                <w:szCs w:val="21"/>
              </w:rPr>
              <w:t>107.05039</w:t>
            </w:r>
          </w:p>
        </w:tc>
        <w:tc>
          <w:tcPr>
            <w:tcW w:w="0" w:type="auto"/>
            <w:shd w:val="clear" w:color="auto" w:fill="auto"/>
            <w:vAlign w:val="center"/>
          </w:tcPr>
          <w:p w14:paraId="2BB73977">
            <w:pPr>
              <w:widowControl w:val="0"/>
              <w:jc w:val="center"/>
              <w:rPr>
                <w:rFonts w:ascii="宋体" w:hAnsi="宋体"/>
                <w:color w:val="000000" w:themeColor="text1"/>
                <w:szCs w:val="21"/>
                <w14:textFill>
                  <w14:solidFill>
                    <w14:schemeClr w14:val="tx1"/>
                  </w14:solidFill>
                </w14:textFill>
              </w:rPr>
            </w:pPr>
            <w:r>
              <w:rPr>
                <w:rFonts w:hint="eastAsia"/>
                <w:szCs w:val="21"/>
              </w:rPr>
              <w:t>31.996849</w:t>
            </w:r>
          </w:p>
        </w:tc>
        <w:tc>
          <w:tcPr>
            <w:tcW w:w="0" w:type="auto"/>
            <w:shd w:val="clear" w:color="auto" w:fill="auto"/>
            <w:vAlign w:val="center"/>
          </w:tcPr>
          <w:p w14:paraId="2F2462F2">
            <w:pPr>
              <w:widowControl w:val="0"/>
              <w:jc w:val="center"/>
              <w:rPr>
                <w:rFonts w:ascii="宋体" w:hAnsi="宋体"/>
                <w:color w:val="000000" w:themeColor="text1"/>
                <w:szCs w:val="21"/>
                <w14:textFill>
                  <w14:solidFill>
                    <w14:schemeClr w14:val="tx1"/>
                  </w14:solidFill>
                </w14:textFill>
              </w:rPr>
            </w:pPr>
            <w:r>
              <w:rPr>
                <w:rFonts w:hint="eastAsia"/>
                <w:szCs w:val="21"/>
              </w:rPr>
              <w:t>约10人</w:t>
            </w:r>
          </w:p>
        </w:tc>
        <w:tc>
          <w:tcPr>
            <w:tcW w:w="0" w:type="auto"/>
            <w:vMerge w:val="continue"/>
            <w:vAlign w:val="center"/>
          </w:tcPr>
          <w:p w14:paraId="36726D3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49634A6">
            <w:pPr>
              <w:widowControl w:val="0"/>
              <w:jc w:val="center"/>
              <w:rPr>
                <w:rFonts w:ascii="宋体" w:hAnsi="宋体"/>
                <w:color w:val="000000" w:themeColor="text1"/>
                <w:szCs w:val="21"/>
                <w14:textFill>
                  <w14:solidFill>
                    <w14:schemeClr w14:val="tx1"/>
                  </w14:solidFill>
                </w14:textFill>
              </w:rPr>
            </w:pPr>
            <w:r>
              <w:rPr>
                <w:szCs w:val="21"/>
              </w:rPr>
              <w:t>NE</w:t>
            </w:r>
          </w:p>
        </w:tc>
        <w:tc>
          <w:tcPr>
            <w:tcW w:w="0" w:type="auto"/>
            <w:shd w:val="clear" w:color="auto" w:fill="auto"/>
            <w:vAlign w:val="center"/>
          </w:tcPr>
          <w:p w14:paraId="516E8CE9">
            <w:pPr>
              <w:widowControl w:val="0"/>
              <w:jc w:val="center"/>
              <w:rPr>
                <w:rFonts w:ascii="宋体" w:hAnsi="宋体"/>
                <w:color w:val="000000" w:themeColor="text1"/>
                <w:szCs w:val="21"/>
                <w14:textFill>
                  <w14:solidFill>
                    <w14:schemeClr w14:val="tx1"/>
                  </w14:solidFill>
                </w14:textFill>
              </w:rPr>
            </w:pPr>
            <w:r>
              <w:rPr>
                <w:szCs w:val="21"/>
              </w:rPr>
              <w:t>2265</w:t>
            </w:r>
          </w:p>
        </w:tc>
        <w:tc>
          <w:tcPr>
            <w:tcW w:w="0" w:type="auto"/>
            <w:shd w:val="clear" w:color="auto" w:fill="auto"/>
            <w:vAlign w:val="center"/>
          </w:tcPr>
          <w:p w14:paraId="13C7E613">
            <w:pPr>
              <w:widowControl w:val="0"/>
              <w:jc w:val="center"/>
              <w:rPr>
                <w:rFonts w:ascii="宋体" w:hAnsi="宋体"/>
                <w:color w:val="000000" w:themeColor="text1"/>
                <w:szCs w:val="21"/>
                <w14:textFill>
                  <w14:solidFill>
                    <w14:schemeClr w14:val="tx1"/>
                  </w14:solidFill>
                </w14:textFill>
              </w:rPr>
            </w:pPr>
            <w:r>
              <w:rPr>
                <w:szCs w:val="21"/>
              </w:rPr>
              <w:t>28</w:t>
            </w:r>
          </w:p>
        </w:tc>
        <w:tc>
          <w:tcPr>
            <w:tcW w:w="0" w:type="auto"/>
            <w:vMerge w:val="continue"/>
            <w:vAlign w:val="center"/>
          </w:tcPr>
          <w:p w14:paraId="76D22BAF">
            <w:pPr>
              <w:widowControl w:val="0"/>
              <w:jc w:val="center"/>
              <w:rPr>
                <w:rFonts w:ascii="宋体" w:hAnsi="宋体"/>
                <w:color w:val="000000" w:themeColor="text1"/>
                <w:szCs w:val="21"/>
                <w14:textFill>
                  <w14:solidFill>
                    <w14:schemeClr w14:val="tx1"/>
                  </w14:solidFill>
                </w14:textFill>
              </w:rPr>
            </w:pPr>
          </w:p>
        </w:tc>
      </w:tr>
      <w:tr w14:paraId="3EF6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DACB7C5">
            <w:pPr>
              <w:widowControl w:val="0"/>
              <w:jc w:val="center"/>
              <w:rPr>
                <w:color w:val="000000" w:themeColor="text1"/>
                <w:szCs w:val="21"/>
                <w14:textFill>
                  <w14:solidFill>
                    <w14:schemeClr w14:val="tx1"/>
                  </w14:solidFill>
                </w14:textFill>
              </w:rPr>
            </w:pPr>
            <w:r>
              <w:rPr>
                <w:rFonts w:hint="eastAsia"/>
                <w:szCs w:val="21"/>
              </w:rPr>
              <w:t>39#</w:t>
            </w:r>
          </w:p>
        </w:tc>
        <w:tc>
          <w:tcPr>
            <w:tcW w:w="0" w:type="auto"/>
            <w:shd w:val="clear" w:color="auto" w:fill="auto"/>
            <w:vAlign w:val="center"/>
          </w:tcPr>
          <w:p w14:paraId="1612F7C8">
            <w:pPr>
              <w:widowControl w:val="0"/>
              <w:jc w:val="center"/>
              <w:rPr>
                <w:color w:val="000000" w:themeColor="text1"/>
                <w:szCs w:val="21"/>
                <w14:textFill>
                  <w14:solidFill>
                    <w14:schemeClr w14:val="tx1"/>
                  </w14:solidFill>
                </w14:textFill>
              </w:rPr>
            </w:pPr>
            <w:r>
              <w:rPr>
                <w:rFonts w:hint="eastAsia"/>
                <w:szCs w:val="21"/>
              </w:rPr>
              <w:t>庞家河居民#1</w:t>
            </w:r>
          </w:p>
        </w:tc>
        <w:tc>
          <w:tcPr>
            <w:tcW w:w="0" w:type="auto"/>
            <w:shd w:val="clear" w:color="auto" w:fill="auto"/>
            <w:vAlign w:val="center"/>
          </w:tcPr>
          <w:p w14:paraId="70B866D4">
            <w:pPr>
              <w:widowControl w:val="0"/>
              <w:jc w:val="center"/>
              <w:rPr>
                <w:color w:val="000000" w:themeColor="text1"/>
                <w:szCs w:val="21"/>
                <w14:textFill>
                  <w14:solidFill>
                    <w14:schemeClr w14:val="tx1"/>
                  </w14:solidFill>
                </w14:textFill>
              </w:rPr>
            </w:pPr>
            <w:r>
              <w:rPr>
                <w:rFonts w:hint="eastAsia"/>
                <w:szCs w:val="21"/>
              </w:rPr>
              <w:t>107.038894</w:t>
            </w:r>
          </w:p>
        </w:tc>
        <w:tc>
          <w:tcPr>
            <w:tcW w:w="0" w:type="auto"/>
            <w:shd w:val="clear" w:color="auto" w:fill="auto"/>
            <w:vAlign w:val="center"/>
          </w:tcPr>
          <w:p w14:paraId="6D4DD58A">
            <w:pPr>
              <w:widowControl w:val="0"/>
              <w:jc w:val="center"/>
              <w:rPr>
                <w:color w:val="000000" w:themeColor="text1"/>
                <w:szCs w:val="21"/>
                <w14:textFill>
                  <w14:solidFill>
                    <w14:schemeClr w14:val="tx1"/>
                  </w14:solidFill>
                </w14:textFill>
              </w:rPr>
            </w:pPr>
            <w:r>
              <w:rPr>
                <w:rFonts w:hint="eastAsia"/>
                <w:szCs w:val="21"/>
              </w:rPr>
              <w:t>32.005638</w:t>
            </w:r>
          </w:p>
        </w:tc>
        <w:tc>
          <w:tcPr>
            <w:tcW w:w="0" w:type="auto"/>
            <w:shd w:val="clear" w:color="auto" w:fill="auto"/>
            <w:vAlign w:val="center"/>
          </w:tcPr>
          <w:p w14:paraId="5E05F928">
            <w:pPr>
              <w:widowControl w:val="0"/>
              <w:jc w:val="center"/>
              <w:rPr>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26344E4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FAB85A2">
            <w:pPr>
              <w:widowControl w:val="0"/>
              <w:jc w:val="center"/>
              <w:rPr>
                <w:color w:val="000000" w:themeColor="text1"/>
                <w:szCs w:val="21"/>
                <w14:textFill>
                  <w14:solidFill>
                    <w14:schemeClr w14:val="tx1"/>
                  </w14:solidFill>
                </w14:textFill>
              </w:rPr>
            </w:pPr>
            <w:r>
              <w:rPr>
                <w:szCs w:val="21"/>
              </w:rPr>
              <w:t>NE</w:t>
            </w:r>
          </w:p>
        </w:tc>
        <w:tc>
          <w:tcPr>
            <w:tcW w:w="0" w:type="auto"/>
            <w:shd w:val="clear" w:color="auto" w:fill="auto"/>
            <w:vAlign w:val="center"/>
          </w:tcPr>
          <w:p w14:paraId="32326627">
            <w:pPr>
              <w:widowControl w:val="0"/>
              <w:jc w:val="center"/>
              <w:rPr>
                <w:color w:val="000000" w:themeColor="text1"/>
                <w:szCs w:val="21"/>
                <w14:textFill>
                  <w14:solidFill>
                    <w14:schemeClr w14:val="tx1"/>
                  </w14:solidFill>
                </w14:textFill>
              </w:rPr>
            </w:pPr>
            <w:r>
              <w:rPr>
                <w:szCs w:val="21"/>
              </w:rPr>
              <w:t>1870</w:t>
            </w:r>
          </w:p>
        </w:tc>
        <w:tc>
          <w:tcPr>
            <w:tcW w:w="0" w:type="auto"/>
            <w:shd w:val="clear" w:color="auto" w:fill="auto"/>
            <w:vAlign w:val="center"/>
          </w:tcPr>
          <w:p w14:paraId="5285B8E3">
            <w:pPr>
              <w:widowControl w:val="0"/>
              <w:jc w:val="center"/>
              <w:rPr>
                <w:color w:val="000000" w:themeColor="text1"/>
                <w:szCs w:val="21"/>
                <w14:textFill>
                  <w14:solidFill>
                    <w14:schemeClr w14:val="tx1"/>
                  </w14:solidFill>
                </w14:textFill>
              </w:rPr>
            </w:pPr>
            <w:r>
              <w:rPr>
                <w:szCs w:val="21"/>
              </w:rPr>
              <w:t>-107</w:t>
            </w:r>
          </w:p>
        </w:tc>
        <w:tc>
          <w:tcPr>
            <w:tcW w:w="0" w:type="auto"/>
            <w:vMerge w:val="continue"/>
            <w:vAlign w:val="center"/>
          </w:tcPr>
          <w:p w14:paraId="6F12CAAF">
            <w:pPr>
              <w:widowControl w:val="0"/>
              <w:jc w:val="center"/>
              <w:rPr>
                <w:rFonts w:ascii="宋体" w:hAnsi="宋体"/>
                <w:color w:val="000000" w:themeColor="text1"/>
                <w:szCs w:val="21"/>
                <w14:textFill>
                  <w14:solidFill>
                    <w14:schemeClr w14:val="tx1"/>
                  </w14:solidFill>
                </w14:textFill>
              </w:rPr>
            </w:pPr>
          </w:p>
        </w:tc>
      </w:tr>
      <w:tr w14:paraId="39F3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5FFE440">
            <w:pPr>
              <w:widowControl w:val="0"/>
              <w:jc w:val="center"/>
              <w:rPr>
                <w:color w:val="000000" w:themeColor="text1"/>
                <w:szCs w:val="21"/>
                <w14:textFill>
                  <w14:solidFill>
                    <w14:schemeClr w14:val="tx1"/>
                  </w14:solidFill>
                </w14:textFill>
              </w:rPr>
            </w:pPr>
            <w:r>
              <w:rPr>
                <w:rFonts w:hint="eastAsia"/>
                <w:szCs w:val="21"/>
              </w:rPr>
              <w:t>40#</w:t>
            </w:r>
          </w:p>
        </w:tc>
        <w:tc>
          <w:tcPr>
            <w:tcW w:w="0" w:type="auto"/>
            <w:shd w:val="clear" w:color="auto" w:fill="auto"/>
            <w:vAlign w:val="center"/>
          </w:tcPr>
          <w:p w14:paraId="54E45247">
            <w:pPr>
              <w:widowControl w:val="0"/>
              <w:jc w:val="center"/>
              <w:rPr>
                <w:color w:val="000000" w:themeColor="text1"/>
                <w:szCs w:val="21"/>
                <w14:textFill>
                  <w14:solidFill>
                    <w14:schemeClr w14:val="tx1"/>
                  </w14:solidFill>
                </w14:textFill>
              </w:rPr>
            </w:pPr>
            <w:r>
              <w:rPr>
                <w:rFonts w:hint="eastAsia"/>
                <w:szCs w:val="21"/>
              </w:rPr>
              <w:t>姜家坡居民#1</w:t>
            </w:r>
          </w:p>
        </w:tc>
        <w:tc>
          <w:tcPr>
            <w:tcW w:w="0" w:type="auto"/>
            <w:shd w:val="clear" w:color="auto" w:fill="auto"/>
            <w:vAlign w:val="center"/>
          </w:tcPr>
          <w:p w14:paraId="56353E44">
            <w:pPr>
              <w:widowControl w:val="0"/>
              <w:jc w:val="center"/>
              <w:rPr>
                <w:color w:val="000000" w:themeColor="text1"/>
                <w:szCs w:val="21"/>
                <w14:textFill>
                  <w14:solidFill>
                    <w14:schemeClr w14:val="tx1"/>
                  </w14:solidFill>
                </w14:textFill>
              </w:rPr>
            </w:pPr>
            <w:r>
              <w:rPr>
                <w:rFonts w:hint="eastAsia"/>
                <w:szCs w:val="21"/>
              </w:rPr>
              <w:t>107.049349</w:t>
            </w:r>
          </w:p>
        </w:tc>
        <w:tc>
          <w:tcPr>
            <w:tcW w:w="0" w:type="auto"/>
            <w:shd w:val="clear" w:color="auto" w:fill="auto"/>
            <w:vAlign w:val="center"/>
          </w:tcPr>
          <w:p w14:paraId="53A293B0">
            <w:pPr>
              <w:widowControl w:val="0"/>
              <w:jc w:val="center"/>
              <w:rPr>
                <w:color w:val="000000" w:themeColor="text1"/>
                <w:szCs w:val="21"/>
                <w14:textFill>
                  <w14:solidFill>
                    <w14:schemeClr w14:val="tx1"/>
                  </w14:solidFill>
                </w14:textFill>
              </w:rPr>
            </w:pPr>
            <w:r>
              <w:rPr>
                <w:rFonts w:hint="eastAsia"/>
                <w:szCs w:val="21"/>
              </w:rPr>
              <w:t>32.012129</w:t>
            </w:r>
          </w:p>
        </w:tc>
        <w:tc>
          <w:tcPr>
            <w:tcW w:w="0" w:type="auto"/>
            <w:shd w:val="clear" w:color="auto" w:fill="auto"/>
            <w:vAlign w:val="center"/>
          </w:tcPr>
          <w:p w14:paraId="1F08B0BD">
            <w:pPr>
              <w:widowControl w:val="0"/>
              <w:jc w:val="center"/>
              <w:rPr>
                <w:color w:val="000000" w:themeColor="text1"/>
                <w:szCs w:val="21"/>
                <w14:textFill>
                  <w14:solidFill>
                    <w14:schemeClr w14:val="tx1"/>
                  </w14:solidFill>
                </w14:textFill>
              </w:rPr>
            </w:pPr>
            <w:r>
              <w:rPr>
                <w:rFonts w:hint="eastAsia"/>
                <w:szCs w:val="21"/>
              </w:rPr>
              <w:t>约30人</w:t>
            </w:r>
          </w:p>
        </w:tc>
        <w:tc>
          <w:tcPr>
            <w:tcW w:w="0" w:type="auto"/>
            <w:vMerge w:val="continue"/>
            <w:vAlign w:val="center"/>
          </w:tcPr>
          <w:p w14:paraId="2B71086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A5CCED5">
            <w:pPr>
              <w:widowControl w:val="0"/>
              <w:jc w:val="center"/>
              <w:rPr>
                <w:color w:val="000000" w:themeColor="text1"/>
                <w:szCs w:val="21"/>
                <w14:textFill>
                  <w14:solidFill>
                    <w14:schemeClr w14:val="tx1"/>
                  </w14:solidFill>
                </w14:textFill>
              </w:rPr>
            </w:pPr>
            <w:r>
              <w:rPr>
                <w:szCs w:val="21"/>
              </w:rPr>
              <w:t>NE</w:t>
            </w:r>
          </w:p>
        </w:tc>
        <w:tc>
          <w:tcPr>
            <w:tcW w:w="0" w:type="auto"/>
            <w:shd w:val="clear" w:color="auto" w:fill="auto"/>
            <w:vAlign w:val="center"/>
          </w:tcPr>
          <w:p w14:paraId="457792AD">
            <w:pPr>
              <w:widowControl w:val="0"/>
              <w:jc w:val="center"/>
              <w:rPr>
                <w:color w:val="000000" w:themeColor="text1"/>
                <w:szCs w:val="21"/>
                <w14:textFill>
                  <w14:solidFill>
                    <w14:schemeClr w14:val="tx1"/>
                  </w14:solidFill>
                </w14:textFill>
              </w:rPr>
            </w:pPr>
            <w:r>
              <w:rPr>
                <w:szCs w:val="21"/>
              </w:rPr>
              <w:t>3080</w:t>
            </w:r>
          </w:p>
        </w:tc>
        <w:tc>
          <w:tcPr>
            <w:tcW w:w="0" w:type="auto"/>
            <w:shd w:val="clear" w:color="auto" w:fill="auto"/>
            <w:vAlign w:val="center"/>
          </w:tcPr>
          <w:p w14:paraId="1742D3C3">
            <w:pPr>
              <w:widowControl w:val="0"/>
              <w:jc w:val="center"/>
              <w:rPr>
                <w:color w:val="000000" w:themeColor="text1"/>
                <w:szCs w:val="21"/>
                <w14:textFill>
                  <w14:solidFill>
                    <w14:schemeClr w14:val="tx1"/>
                  </w14:solidFill>
                </w14:textFill>
              </w:rPr>
            </w:pPr>
            <w:r>
              <w:rPr>
                <w:szCs w:val="21"/>
              </w:rPr>
              <w:t>37</w:t>
            </w:r>
          </w:p>
        </w:tc>
        <w:tc>
          <w:tcPr>
            <w:tcW w:w="0" w:type="auto"/>
            <w:vMerge w:val="continue"/>
            <w:vAlign w:val="center"/>
          </w:tcPr>
          <w:p w14:paraId="79C29C4E">
            <w:pPr>
              <w:widowControl w:val="0"/>
              <w:jc w:val="center"/>
              <w:rPr>
                <w:rFonts w:ascii="宋体" w:hAnsi="宋体"/>
                <w:color w:val="000000" w:themeColor="text1"/>
                <w:szCs w:val="21"/>
                <w14:textFill>
                  <w14:solidFill>
                    <w14:schemeClr w14:val="tx1"/>
                  </w14:solidFill>
                </w14:textFill>
              </w:rPr>
            </w:pPr>
          </w:p>
        </w:tc>
      </w:tr>
      <w:tr w14:paraId="2CC4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EA9B131">
            <w:pPr>
              <w:widowControl w:val="0"/>
              <w:jc w:val="center"/>
              <w:rPr>
                <w:color w:val="000000" w:themeColor="text1"/>
                <w:szCs w:val="21"/>
                <w14:textFill>
                  <w14:solidFill>
                    <w14:schemeClr w14:val="tx1"/>
                  </w14:solidFill>
                </w14:textFill>
              </w:rPr>
            </w:pPr>
            <w:r>
              <w:rPr>
                <w:rFonts w:hint="eastAsia"/>
                <w:szCs w:val="21"/>
              </w:rPr>
              <w:t>41#</w:t>
            </w:r>
          </w:p>
        </w:tc>
        <w:tc>
          <w:tcPr>
            <w:tcW w:w="0" w:type="auto"/>
            <w:shd w:val="clear" w:color="auto" w:fill="auto"/>
            <w:vAlign w:val="center"/>
          </w:tcPr>
          <w:p w14:paraId="0EFF7773">
            <w:pPr>
              <w:widowControl w:val="0"/>
              <w:jc w:val="center"/>
              <w:rPr>
                <w:color w:val="000000" w:themeColor="text1"/>
                <w:szCs w:val="21"/>
                <w14:textFill>
                  <w14:solidFill>
                    <w14:schemeClr w14:val="tx1"/>
                  </w14:solidFill>
                </w14:textFill>
              </w:rPr>
            </w:pPr>
            <w:r>
              <w:rPr>
                <w:rFonts w:hint="eastAsia"/>
                <w:szCs w:val="21"/>
              </w:rPr>
              <w:t>鲜家梁居民#1</w:t>
            </w:r>
          </w:p>
        </w:tc>
        <w:tc>
          <w:tcPr>
            <w:tcW w:w="0" w:type="auto"/>
            <w:shd w:val="clear" w:color="auto" w:fill="auto"/>
            <w:vAlign w:val="center"/>
          </w:tcPr>
          <w:p w14:paraId="799637A9">
            <w:pPr>
              <w:widowControl w:val="0"/>
              <w:jc w:val="center"/>
              <w:rPr>
                <w:color w:val="000000" w:themeColor="text1"/>
                <w:szCs w:val="21"/>
                <w14:textFill>
                  <w14:solidFill>
                    <w14:schemeClr w14:val="tx1"/>
                  </w14:solidFill>
                </w14:textFill>
              </w:rPr>
            </w:pPr>
            <w:r>
              <w:rPr>
                <w:rFonts w:hint="eastAsia"/>
                <w:szCs w:val="21"/>
              </w:rPr>
              <w:t>107.041777</w:t>
            </w:r>
          </w:p>
        </w:tc>
        <w:tc>
          <w:tcPr>
            <w:tcW w:w="0" w:type="auto"/>
            <w:shd w:val="clear" w:color="auto" w:fill="auto"/>
            <w:vAlign w:val="center"/>
          </w:tcPr>
          <w:p w14:paraId="12E25A24">
            <w:pPr>
              <w:widowControl w:val="0"/>
              <w:jc w:val="center"/>
              <w:rPr>
                <w:color w:val="000000" w:themeColor="text1"/>
                <w:szCs w:val="21"/>
                <w14:textFill>
                  <w14:solidFill>
                    <w14:schemeClr w14:val="tx1"/>
                  </w14:solidFill>
                </w14:textFill>
              </w:rPr>
            </w:pPr>
            <w:r>
              <w:rPr>
                <w:rFonts w:hint="eastAsia"/>
                <w:szCs w:val="21"/>
              </w:rPr>
              <w:t>32.013235</w:t>
            </w:r>
          </w:p>
        </w:tc>
        <w:tc>
          <w:tcPr>
            <w:tcW w:w="0" w:type="auto"/>
            <w:shd w:val="clear" w:color="auto" w:fill="auto"/>
            <w:vAlign w:val="center"/>
          </w:tcPr>
          <w:p w14:paraId="10A8C16A">
            <w:pPr>
              <w:widowControl w:val="0"/>
              <w:jc w:val="center"/>
              <w:rPr>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3510CB0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049F5B4">
            <w:pPr>
              <w:widowControl w:val="0"/>
              <w:jc w:val="center"/>
              <w:rPr>
                <w:color w:val="000000" w:themeColor="text1"/>
                <w:szCs w:val="21"/>
                <w14:textFill>
                  <w14:solidFill>
                    <w14:schemeClr w14:val="tx1"/>
                  </w14:solidFill>
                </w14:textFill>
              </w:rPr>
            </w:pPr>
            <w:r>
              <w:rPr>
                <w:szCs w:val="21"/>
              </w:rPr>
              <w:t>NE</w:t>
            </w:r>
          </w:p>
        </w:tc>
        <w:tc>
          <w:tcPr>
            <w:tcW w:w="0" w:type="auto"/>
            <w:shd w:val="clear" w:color="auto" w:fill="auto"/>
            <w:vAlign w:val="center"/>
          </w:tcPr>
          <w:p w14:paraId="1063E7A4">
            <w:pPr>
              <w:widowControl w:val="0"/>
              <w:jc w:val="center"/>
              <w:rPr>
                <w:color w:val="000000" w:themeColor="text1"/>
                <w:szCs w:val="21"/>
                <w14:textFill>
                  <w14:solidFill>
                    <w14:schemeClr w14:val="tx1"/>
                  </w14:solidFill>
                </w14:textFill>
              </w:rPr>
            </w:pPr>
            <w:r>
              <w:rPr>
                <w:szCs w:val="21"/>
              </w:rPr>
              <w:t>2700</w:t>
            </w:r>
          </w:p>
        </w:tc>
        <w:tc>
          <w:tcPr>
            <w:tcW w:w="0" w:type="auto"/>
            <w:shd w:val="clear" w:color="auto" w:fill="auto"/>
            <w:vAlign w:val="center"/>
          </w:tcPr>
          <w:p w14:paraId="63BA2B9C">
            <w:pPr>
              <w:widowControl w:val="0"/>
              <w:jc w:val="center"/>
              <w:rPr>
                <w:color w:val="000000" w:themeColor="text1"/>
                <w:szCs w:val="21"/>
                <w14:textFill>
                  <w14:solidFill>
                    <w14:schemeClr w14:val="tx1"/>
                  </w14:solidFill>
                </w14:textFill>
              </w:rPr>
            </w:pPr>
            <w:r>
              <w:rPr>
                <w:szCs w:val="21"/>
              </w:rPr>
              <w:t>160</w:t>
            </w:r>
          </w:p>
        </w:tc>
        <w:tc>
          <w:tcPr>
            <w:tcW w:w="0" w:type="auto"/>
            <w:vMerge w:val="continue"/>
            <w:vAlign w:val="center"/>
          </w:tcPr>
          <w:p w14:paraId="7827DFE0">
            <w:pPr>
              <w:widowControl w:val="0"/>
              <w:jc w:val="center"/>
              <w:rPr>
                <w:rFonts w:ascii="宋体" w:hAnsi="宋体"/>
                <w:color w:val="000000" w:themeColor="text1"/>
                <w:szCs w:val="21"/>
                <w14:textFill>
                  <w14:solidFill>
                    <w14:schemeClr w14:val="tx1"/>
                  </w14:solidFill>
                </w14:textFill>
              </w:rPr>
            </w:pPr>
          </w:p>
        </w:tc>
      </w:tr>
      <w:tr w14:paraId="38C5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AB3EBCD">
            <w:pPr>
              <w:widowControl w:val="0"/>
              <w:jc w:val="center"/>
              <w:rPr>
                <w:color w:val="000000" w:themeColor="text1"/>
                <w:szCs w:val="21"/>
                <w14:textFill>
                  <w14:solidFill>
                    <w14:schemeClr w14:val="tx1"/>
                  </w14:solidFill>
                </w14:textFill>
              </w:rPr>
            </w:pPr>
            <w:r>
              <w:rPr>
                <w:rFonts w:hint="eastAsia"/>
                <w:szCs w:val="21"/>
              </w:rPr>
              <w:t>42#</w:t>
            </w:r>
          </w:p>
        </w:tc>
        <w:tc>
          <w:tcPr>
            <w:tcW w:w="0" w:type="auto"/>
            <w:shd w:val="clear" w:color="auto" w:fill="auto"/>
            <w:vAlign w:val="center"/>
          </w:tcPr>
          <w:p w14:paraId="636A01DE">
            <w:pPr>
              <w:widowControl w:val="0"/>
              <w:jc w:val="center"/>
              <w:rPr>
                <w:color w:val="000000" w:themeColor="text1"/>
                <w:szCs w:val="21"/>
                <w14:textFill>
                  <w14:solidFill>
                    <w14:schemeClr w14:val="tx1"/>
                  </w14:solidFill>
                </w14:textFill>
              </w:rPr>
            </w:pPr>
            <w:r>
              <w:rPr>
                <w:rFonts w:hint="eastAsia"/>
                <w:szCs w:val="21"/>
              </w:rPr>
              <w:t>叶家河居民#1</w:t>
            </w:r>
          </w:p>
        </w:tc>
        <w:tc>
          <w:tcPr>
            <w:tcW w:w="0" w:type="auto"/>
            <w:shd w:val="clear" w:color="auto" w:fill="auto"/>
            <w:vAlign w:val="center"/>
          </w:tcPr>
          <w:p w14:paraId="74D69F27">
            <w:pPr>
              <w:widowControl w:val="0"/>
              <w:jc w:val="center"/>
              <w:rPr>
                <w:color w:val="000000" w:themeColor="text1"/>
                <w:szCs w:val="21"/>
                <w14:textFill>
                  <w14:solidFill>
                    <w14:schemeClr w14:val="tx1"/>
                  </w14:solidFill>
                </w14:textFill>
              </w:rPr>
            </w:pPr>
            <w:r>
              <w:rPr>
                <w:rFonts w:hint="eastAsia"/>
                <w:szCs w:val="21"/>
              </w:rPr>
              <w:t>107.039838</w:t>
            </w:r>
          </w:p>
        </w:tc>
        <w:tc>
          <w:tcPr>
            <w:tcW w:w="0" w:type="auto"/>
            <w:shd w:val="clear" w:color="auto" w:fill="auto"/>
            <w:vAlign w:val="center"/>
          </w:tcPr>
          <w:p w14:paraId="68A47E85">
            <w:pPr>
              <w:widowControl w:val="0"/>
              <w:jc w:val="center"/>
              <w:rPr>
                <w:color w:val="000000" w:themeColor="text1"/>
                <w:szCs w:val="21"/>
                <w14:textFill>
                  <w14:solidFill>
                    <w14:schemeClr w14:val="tx1"/>
                  </w14:solidFill>
                </w14:textFill>
              </w:rPr>
            </w:pPr>
            <w:r>
              <w:rPr>
                <w:rFonts w:hint="eastAsia"/>
                <w:szCs w:val="21"/>
              </w:rPr>
              <w:t>32.010005</w:t>
            </w:r>
          </w:p>
        </w:tc>
        <w:tc>
          <w:tcPr>
            <w:tcW w:w="0" w:type="auto"/>
            <w:shd w:val="clear" w:color="auto" w:fill="auto"/>
            <w:vAlign w:val="center"/>
          </w:tcPr>
          <w:p w14:paraId="0996AF21">
            <w:pPr>
              <w:widowControl w:val="0"/>
              <w:jc w:val="center"/>
              <w:rPr>
                <w:color w:val="000000" w:themeColor="text1"/>
                <w:szCs w:val="21"/>
                <w14:textFill>
                  <w14:solidFill>
                    <w14:schemeClr w14:val="tx1"/>
                  </w14:solidFill>
                </w14:textFill>
              </w:rPr>
            </w:pPr>
            <w:r>
              <w:rPr>
                <w:rFonts w:hint="eastAsia"/>
                <w:szCs w:val="21"/>
              </w:rPr>
              <w:t>约15人</w:t>
            </w:r>
          </w:p>
        </w:tc>
        <w:tc>
          <w:tcPr>
            <w:tcW w:w="0" w:type="auto"/>
            <w:vMerge w:val="continue"/>
            <w:vAlign w:val="center"/>
          </w:tcPr>
          <w:p w14:paraId="74C92D4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4DBB22C">
            <w:pPr>
              <w:widowControl w:val="0"/>
              <w:jc w:val="center"/>
              <w:rPr>
                <w:color w:val="000000" w:themeColor="text1"/>
                <w:szCs w:val="21"/>
                <w14:textFill>
                  <w14:solidFill>
                    <w14:schemeClr w14:val="tx1"/>
                  </w14:solidFill>
                </w14:textFill>
              </w:rPr>
            </w:pPr>
            <w:r>
              <w:rPr>
                <w:szCs w:val="21"/>
              </w:rPr>
              <w:t>NE</w:t>
            </w:r>
          </w:p>
        </w:tc>
        <w:tc>
          <w:tcPr>
            <w:tcW w:w="0" w:type="auto"/>
            <w:shd w:val="clear" w:color="auto" w:fill="auto"/>
            <w:vAlign w:val="center"/>
          </w:tcPr>
          <w:p w14:paraId="5B4F1BAC">
            <w:pPr>
              <w:widowControl w:val="0"/>
              <w:jc w:val="center"/>
              <w:rPr>
                <w:color w:val="000000" w:themeColor="text1"/>
                <w:szCs w:val="21"/>
                <w14:textFill>
                  <w14:solidFill>
                    <w14:schemeClr w14:val="tx1"/>
                  </w14:solidFill>
                </w14:textFill>
              </w:rPr>
            </w:pPr>
            <w:r>
              <w:rPr>
                <w:szCs w:val="21"/>
              </w:rPr>
              <w:t>2300</w:t>
            </w:r>
          </w:p>
        </w:tc>
        <w:tc>
          <w:tcPr>
            <w:tcW w:w="0" w:type="auto"/>
            <w:shd w:val="clear" w:color="auto" w:fill="auto"/>
            <w:vAlign w:val="center"/>
          </w:tcPr>
          <w:p w14:paraId="04E57F96">
            <w:pPr>
              <w:widowControl w:val="0"/>
              <w:jc w:val="center"/>
              <w:rPr>
                <w:color w:val="000000" w:themeColor="text1"/>
                <w:szCs w:val="21"/>
                <w14:textFill>
                  <w14:solidFill>
                    <w14:schemeClr w14:val="tx1"/>
                  </w14:solidFill>
                </w14:textFill>
              </w:rPr>
            </w:pPr>
            <w:r>
              <w:rPr>
                <w:szCs w:val="21"/>
              </w:rPr>
              <w:t>43</w:t>
            </w:r>
          </w:p>
        </w:tc>
        <w:tc>
          <w:tcPr>
            <w:tcW w:w="0" w:type="auto"/>
            <w:vMerge w:val="continue"/>
            <w:vAlign w:val="center"/>
          </w:tcPr>
          <w:p w14:paraId="735C58C2">
            <w:pPr>
              <w:widowControl w:val="0"/>
              <w:jc w:val="center"/>
              <w:rPr>
                <w:rFonts w:ascii="宋体" w:hAnsi="宋体"/>
                <w:color w:val="000000" w:themeColor="text1"/>
                <w:szCs w:val="21"/>
                <w14:textFill>
                  <w14:solidFill>
                    <w14:schemeClr w14:val="tx1"/>
                  </w14:solidFill>
                </w14:textFill>
              </w:rPr>
            </w:pPr>
          </w:p>
        </w:tc>
      </w:tr>
      <w:tr w14:paraId="72D6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48EF684">
            <w:pPr>
              <w:widowControl w:val="0"/>
              <w:jc w:val="center"/>
              <w:rPr>
                <w:color w:val="000000" w:themeColor="text1"/>
                <w:szCs w:val="21"/>
                <w14:textFill>
                  <w14:solidFill>
                    <w14:schemeClr w14:val="tx1"/>
                  </w14:solidFill>
                </w14:textFill>
              </w:rPr>
            </w:pPr>
            <w:r>
              <w:rPr>
                <w:rFonts w:hint="eastAsia"/>
                <w:szCs w:val="21"/>
              </w:rPr>
              <w:t>43#</w:t>
            </w:r>
          </w:p>
        </w:tc>
        <w:tc>
          <w:tcPr>
            <w:tcW w:w="0" w:type="auto"/>
            <w:shd w:val="clear" w:color="auto" w:fill="auto"/>
            <w:vAlign w:val="center"/>
          </w:tcPr>
          <w:p w14:paraId="6B93EE8E">
            <w:pPr>
              <w:widowControl w:val="0"/>
              <w:jc w:val="center"/>
              <w:rPr>
                <w:color w:val="000000" w:themeColor="text1"/>
                <w:szCs w:val="21"/>
                <w14:textFill>
                  <w14:solidFill>
                    <w14:schemeClr w14:val="tx1"/>
                  </w14:solidFill>
                </w14:textFill>
              </w:rPr>
            </w:pPr>
            <w:r>
              <w:rPr>
                <w:rFonts w:hint="eastAsia"/>
                <w:szCs w:val="21"/>
              </w:rPr>
              <w:t>叶家河居民#2</w:t>
            </w:r>
          </w:p>
        </w:tc>
        <w:tc>
          <w:tcPr>
            <w:tcW w:w="0" w:type="auto"/>
            <w:shd w:val="clear" w:color="auto" w:fill="auto"/>
            <w:vAlign w:val="center"/>
          </w:tcPr>
          <w:p w14:paraId="2533BE2A">
            <w:pPr>
              <w:widowControl w:val="0"/>
              <w:jc w:val="center"/>
              <w:rPr>
                <w:color w:val="000000" w:themeColor="text1"/>
                <w:szCs w:val="21"/>
                <w14:textFill>
                  <w14:solidFill>
                    <w14:schemeClr w14:val="tx1"/>
                  </w14:solidFill>
                </w14:textFill>
              </w:rPr>
            </w:pPr>
            <w:r>
              <w:rPr>
                <w:rFonts w:hint="eastAsia"/>
                <w:szCs w:val="21"/>
              </w:rPr>
              <w:t>107.034371</w:t>
            </w:r>
          </w:p>
        </w:tc>
        <w:tc>
          <w:tcPr>
            <w:tcW w:w="0" w:type="auto"/>
            <w:shd w:val="clear" w:color="auto" w:fill="auto"/>
            <w:vAlign w:val="center"/>
          </w:tcPr>
          <w:p w14:paraId="4D131F68">
            <w:pPr>
              <w:widowControl w:val="0"/>
              <w:jc w:val="center"/>
              <w:rPr>
                <w:color w:val="000000" w:themeColor="text1"/>
                <w:szCs w:val="21"/>
                <w14:textFill>
                  <w14:solidFill>
                    <w14:schemeClr w14:val="tx1"/>
                  </w14:solidFill>
                </w14:textFill>
              </w:rPr>
            </w:pPr>
            <w:r>
              <w:rPr>
                <w:rFonts w:hint="eastAsia"/>
                <w:szCs w:val="21"/>
              </w:rPr>
              <w:t>32.011815</w:t>
            </w:r>
          </w:p>
        </w:tc>
        <w:tc>
          <w:tcPr>
            <w:tcW w:w="0" w:type="auto"/>
            <w:shd w:val="clear" w:color="auto" w:fill="auto"/>
            <w:vAlign w:val="center"/>
          </w:tcPr>
          <w:p w14:paraId="71A8C3ED">
            <w:pPr>
              <w:widowControl w:val="0"/>
              <w:jc w:val="center"/>
              <w:rPr>
                <w:color w:val="000000" w:themeColor="text1"/>
                <w:szCs w:val="21"/>
                <w14:textFill>
                  <w14:solidFill>
                    <w14:schemeClr w14:val="tx1"/>
                  </w14:solidFill>
                </w14:textFill>
              </w:rPr>
            </w:pPr>
            <w:r>
              <w:rPr>
                <w:rFonts w:hint="eastAsia"/>
                <w:szCs w:val="21"/>
              </w:rPr>
              <w:t>约20人</w:t>
            </w:r>
          </w:p>
        </w:tc>
        <w:tc>
          <w:tcPr>
            <w:tcW w:w="0" w:type="auto"/>
            <w:vMerge w:val="continue"/>
            <w:vAlign w:val="center"/>
          </w:tcPr>
          <w:p w14:paraId="7271518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052BB89">
            <w:pPr>
              <w:widowControl w:val="0"/>
              <w:jc w:val="center"/>
              <w:rPr>
                <w:color w:val="000000" w:themeColor="text1"/>
                <w:szCs w:val="21"/>
                <w14:textFill>
                  <w14:solidFill>
                    <w14:schemeClr w14:val="tx1"/>
                  </w14:solidFill>
                </w14:textFill>
              </w:rPr>
            </w:pPr>
            <w:r>
              <w:rPr>
                <w:szCs w:val="21"/>
              </w:rPr>
              <w:t>NE</w:t>
            </w:r>
          </w:p>
        </w:tc>
        <w:tc>
          <w:tcPr>
            <w:tcW w:w="0" w:type="auto"/>
            <w:shd w:val="clear" w:color="auto" w:fill="auto"/>
            <w:vAlign w:val="center"/>
          </w:tcPr>
          <w:p w14:paraId="00F12F7F">
            <w:pPr>
              <w:widowControl w:val="0"/>
              <w:jc w:val="center"/>
              <w:rPr>
                <w:color w:val="000000" w:themeColor="text1"/>
                <w:szCs w:val="21"/>
                <w14:textFill>
                  <w14:solidFill>
                    <w14:schemeClr w14:val="tx1"/>
                  </w14:solidFill>
                </w14:textFill>
              </w:rPr>
            </w:pPr>
            <w:r>
              <w:rPr>
                <w:szCs w:val="21"/>
              </w:rPr>
              <w:t>2220</w:t>
            </w:r>
          </w:p>
        </w:tc>
        <w:tc>
          <w:tcPr>
            <w:tcW w:w="0" w:type="auto"/>
            <w:shd w:val="clear" w:color="auto" w:fill="auto"/>
            <w:vAlign w:val="center"/>
          </w:tcPr>
          <w:p w14:paraId="3FB7BB82">
            <w:pPr>
              <w:widowControl w:val="0"/>
              <w:jc w:val="center"/>
              <w:rPr>
                <w:color w:val="000000" w:themeColor="text1"/>
                <w:szCs w:val="21"/>
                <w14:textFill>
                  <w14:solidFill>
                    <w14:schemeClr w14:val="tx1"/>
                  </w14:solidFill>
                </w14:textFill>
              </w:rPr>
            </w:pPr>
            <w:r>
              <w:rPr>
                <w:szCs w:val="21"/>
              </w:rPr>
              <w:t>-128</w:t>
            </w:r>
          </w:p>
        </w:tc>
        <w:tc>
          <w:tcPr>
            <w:tcW w:w="0" w:type="auto"/>
            <w:vMerge w:val="continue"/>
            <w:vAlign w:val="center"/>
          </w:tcPr>
          <w:p w14:paraId="06A13E10">
            <w:pPr>
              <w:widowControl w:val="0"/>
              <w:jc w:val="center"/>
              <w:rPr>
                <w:rFonts w:ascii="宋体" w:hAnsi="宋体"/>
                <w:color w:val="000000" w:themeColor="text1"/>
                <w:szCs w:val="21"/>
                <w14:textFill>
                  <w14:solidFill>
                    <w14:schemeClr w14:val="tx1"/>
                  </w14:solidFill>
                </w14:textFill>
              </w:rPr>
            </w:pPr>
          </w:p>
        </w:tc>
      </w:tr>
      <w:tr w14:paraId="5213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gridSpan w:val="10"/>
            <w:shd w:val="clear" w:color="auto" w:fill="auto"/>
            <w:vAlign w:val="center"/>
          </w:tcPr>
          <w:p w14:paraId="00C64A10">
            <w:pPr>
              <w:widowControl w:val="0"/>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佛龙养殖场区</w:t>
            </w:r>
          </w:p>
        </w:tc>
      </w:tr>
      <w:tr w14:paraId="1ACE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A2EF727">
            <w:pPr>
              <w:widowControl w:val="0"/>
              <w:jc w:val="center"/>
              <w:rPr>
                <w:szCs w:val="21"/>
              </w:rPr>
            </w:pPr>
            <w:r>
              <w:t>1#</w:t>
            </w:r>
          </w:p>
        </w:tc>
        <w:tc>
          <w:tcPr>
            <w:tcW w:w="0" w:type="auto"/>
            <w:shd w:val="clear" w:color="auto" w:fill="auto"/>
            <w:vAlign w:val="center"/>
          </w:tcPr>
          <w:p w14:paraId="36CC6464">
            <w:pPr>
              <w:widowControl w:val="0"/>
              <w:jc w:val="center"/>
              <w:rPr>
                <w:szCs w:val="21"/>
              </w:rPr>
            </w:pPr>
            <w:r>
              <w:rPr>
                <w:rFonts w:hint="eastAsia"/>
              </w:rPr>
              <w:t>黄家咀居民</w:t>
            </w:r>
          </w:p>
        </w:tc>
        <w:tc>
          <w:tcPr>
            <w:tcW w:w="0" w:type="auto"/>
            <w:shd w:val="clear" w:color="auto" w:fill="auto"/>
            <w:vAlign w:val="center"/>
          </w:tcPr>
          <w:p w14:paraId="5A342645">
            <w:pPr>
              <w:widowControl w:val="0"/>
              <w:jc w:val="center"/>
              <w:rPr>
                <w:szCs w:val="21"/>
              </w:rPr>
            </w:pPr>
            <w:r>
              <w:rPr>
                <w:rFonts w:hint="eastAsia"/>
              </w:rPr>
              <w:t>106.83702</w:t>
            </w:r>
          </w:p>
        </w:tc>
        <w:tc>
          <w:tcPr>
            <w:tcW w:w="0" w:type="auto"/>
            <w:shd w:val="clear" w:color="auto" w:fill="auto"/>
            <w:vAlign w:val="center"/>
          </w:tcPr>
          <w:p w14:paraId="1DAD0C05">
            <w:pPr>
              <w:widowControl w:val="0"/>
              <w:jc w:val="center"/>
              <w:rPr>
                <w:szCs w:val="21"/>
              </w:rPr>
            </w:pPr>
            <w:r>
              <w:rPr>
                <w:rFonts w:hint="eastAsia"/>
              </w:rPr>
              <w:t>31.82058</w:t>
            </w:r>
          </w:p>
        </w:tc>
        <w:tc>
          <w:tcPr>
            <w:tcW w:w="0" w:type="auto"/>
            <w:shd w:val="clear" w:color="auto" w:fill="auto"/>
            <w:vAlign w:val="center"/>
          </w:tcPr>
          <w:p w14:paraId="12B2E553">
            <w:pPr>
              <w:widowControl w:val="0"/>
              <w:jc w:val="center"/>
              <w:rPr>
                <w:szCs w:val="21"/>
              </w:rPr>
            </w:pPr>
            <w:r>
              <w:rPr>
                <w:rFonts w:hint="eastAsia"/>
              </w:rPr>
              <w:t>约105人</w:t>
            </w:r>
          </w:p>
        </w:tc>
        <w:tc>
          <w:tcPr>
            <w:tcW w:w="0" w:type="auto"/>
            <w:vMerge w:val="restart"/>
            <w:vAlign w:val="center"/>
          </w:tcPr>
          <w:p w14:paraId="74145BE5">
            <w:pPr>
              <w:widowControl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w:t>
            </w:r>
            <w:r>
              <w:rPr>
                <w:rFonts w:hint="eastAsia"/>
                <w:color w:val="000000" w:themeColor="text1"/>
                <w:kern w:val="0"/>
                <w:szCs w:val="21"/>
                <w14:textFill>
                  <w14:solidFill>
                    <w14:schemeClr w14:val="tx1"/>
                  </w14:solidFill>
                </w14:textFill>
              </w:rPr>
              <w:t>《环境空气质量标准》（</w:t>
            </w:r>
            <w:r>
              <w:rPr>
                <w:color w:val="000000" w:themeColor="text1"/>
                <w:kern w:val="0"/>
                <w:szCs w:val="21"/>
                <w14:textFill>
                  <w14:solidFill>
                    <w14:schemeClr w14:val="tx1"/>
                  </w14:solidFill>
                </w14:textFill>
              </w:rPr>
              <w:t>GB3095-2026</w:t>
            </w:r>
            <w:r>
              <w:rPr>
                <w:rFonts w:hint="eastAsia"/>
                <w:color w:val="000000" w:themeColor="text1"/>
                <w:kern w:val="0"/>
                <w:szCs w:val="21"/>
                <w14:textFill>
                  <w14:solidFill>
                    <w14:schemeClr w14:val="tx1"/>
                  </w14:solidFill>
                </w14:textFill>
              </w:rPr>
              <w:t>）过渡阶段二级标准</w:t>
            </w:r>
          </w:p>
        </w:tc>
        <w:tc>
          <w:tcPr>
            <w:tcW w:w="0" w:type="auto"/>
            <w:shd w:val="clear" w:color="auto" w:fill="auto"/>
            <w:vAlign w:val="center"/>
          </w:tcPr>
          <w:p w14:paraId="4C16499D">
            <w:pPr>
              <w:widowControl w:val="0"/>
              <w:jc w:val="center"/>
              <w:rPr>
                <w:szCs w:val="21"/>
              </w:rPr>
            </w:pPr>
            <w:r>
              <w:t>N</w:t>
            </w:r>
          </w:p>
        </w:tc>
        <w:tc>
          <w:tcPr>
            <w:tcW w:w="0" w:type="auto"/>
            <w:shd w:val="clear" w:color="auto" w:fill="auto"/>
            <w:vAlign w:val="center"/>
          </w:tcPr>
          <w:p w14:paraId="0E12FBC2">
            <w:pPr>
              <w:widowControl w:val="0"/>
              <w:jc w:val="center"/>
              <w:rPr>
                <w:szCs w:val="21"/>
              </w:rPr>
            </w:pPr>
            <w:r>
              <w:t>1553</w:t>
            </w:r>
          </w:p>
        </w:tc>
        <w:tc>
          <w:tcPr>
            <w:tcW w:w="0" w:type="auto"/>
            <w:shd w:val="clear" w:color="auto" w:fill="auto"/>
            <w:vAlign w:val="center"/>
          </w:tcPr>
          <w:p w14:paraId="0950EE4A">
            <w:pPr>
              <w:widowControl w:val="0"/>
              <w:jc w:val="center"/>
              <w:rPr>
                <w:szCs w:val="21"/>
              </w:rPr>
            </w:pPr>
            <w:r>
              <w:t>-8</w:t>
            </w:r>
          </w:p>
        </w:tc>
        <w:tc>
          <w:tcPr>
            <w:tcW w:w="0" w:type="auto"/>
            <w:vMerge w:val="restart"/>
            <w:vAlign w:val="center"/>
          </w:tcPr>
          <w:p w14:paraId="00D231D4">
            <w:pPr>
              <w:widowControl w:val="0"/>
              <w:jc w:val="center"/>
              <w:rPr>
                <w:rFonts w:ascii="宋体" w:hAnsi="宋体"/>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《环境空气质量标准》（</w:t>
            </w:r>
            <w:r>
              <w:rPr>
                <w:color w:val="000000" w:themeColor="text1"/>
                <w:kern w:val="0"/>
                <w:szCs w:val="21"/>
                <w14:textFill>
                  <w14:solidFill>
                    <w14:schemeClr w14:val="tx1"/>
                  </w14:solidFill>
                </w14:textFill>
              </w:rPr>
              <w:t>GB3095-2026</w:t>
            </w:r>
            <w:r>
              <w:rPr>
                <w:rFonts w:hint="eastAsia"/>
                <w:color w:val="000000" w:themeColor="text1"/>
                <w:kern w:val="0"/>
                <w:szCs w:val="21"/>
                <w14:textFill>
                  <w14:solidFill>
                    <w14:schemeClr w14:val="tx1"/>
                  </w14:solidFill>
                </w14:textFill>
              </w:rPr>
              <w:t>）中二类区</w:t>
            </w:r>
          </w:p>
        </w:tc>
      </w:tr>
      <w:tr w14:paraId="0F718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DAEF163">
            <w:pPr>
              <w:widowControl w:val="0"/>
              <w:jc w:val="center"/>
              <w:rPr>
                <w:szCs w:val="21"/>
              </w:rPr>
            </w:pPr>
            <w:r>
              <w:t>2#</w:t>
            </w:r>
          </w:p>
        </w:tc>
        <w:tc>
          <w:tcPr>
            <w:tcW w:w="0" w:type="auto"/>
            <w:shd w:val="clear" w:color="auto" w:fill="auto"/>
            <w:vAlign w:val="center"/>
          </w:tcPr>
          <w:p w14:paraId="7B6F3CE0">
            <w:pPr>
              <w:widowControl w:val="0"/>
              <w:jc w:val="center"/>
              <w:rPr>
                <w:szCs w:val="21"/>
              </w:rPr>
            </w:pPr>
            <w:r>
              <w:rPr>
                <w:rFonts w:hint="eastAsia"/>
              </w:rPr>
              <w:t>甘泉小学茨垭村校</w:t>
            </w:r>
          </w:p>
        </w:tc>
        <w:tc>
          <w:tcPr>
            <w:tcW w:w="0" w:type="auto"/>
            <w:shd w:val="clear" w:color="auto" w:fill="auto"/>
            <w:vAlign w:val="center"/>
          </w:tcPr>
          <w:p w14:paraId="757F5C60">
            <w:pPr>
              <w:widowControl w:val="0"/>
              <w:jc w:val="center"/>
              <w:rPr>
                <w:szCs w:val="21"/>
              </w:rPr>
            </w:pPr>
            <w:r>
              <w:rPr>
                <w:rFonts w:hint="eastAsia"/>
              </w:rPr>
              <w:t>106.83842</w:t>
            </w:r>
          </w:p>
        </w:tc>
        <w:tc>
          <w:tcPr>
            <w:tcW w:w="0" w:type="auto"/>
            <w:shd w:val="clear" w:color="auto" w:fill="auto"/>
            <w:vAlign w:val="center"/>
          </w:tcPr>
          <w:p w14:paraId="3207CA95">
            <w:pPr>
              <w:widowControl w:val="0"/>
              <w:jc w:val="center"/>
              <w:rPr>
                <w:szCs w:val="21"/>
              </w:rPr>
            </w:pPr>
            <w:r>
              <w:rPr>
                <w:rFonts w:hint="eastAsia"/>
              </w:rPr>
              <w:t>31.81465</w:t>
            </w:r>
          </w:p>
        </w:tc>
        <w:tc>
          <w:tcPr>
            <w:tcW w:w="0" w:type="auto"/>
            <w:shd w:val="clear" w:color="auto" w:fill="auto"/>
            <w:vAlign w:val="center"/>
          </w:tcPr>
          <w:p w14:paraId="6FF38BC5">
            <w:pPr>
              <w:widowControl w:val="0"/>
              <w:jc w:val="center"/>
              <w:rPr>
                <w:szCs w:val="21"/>
              </w:rPr>
            </w:pPr>
            <w:r>
              <w:rPr>
                <w:rFonts w:hint="eastAsia"/>
              </w:rPr>
              <w:t>学校（注：已废弃）</w:t>
            </w:r>
          </w:p>
        </w:tc>
        <w:tc>
          <w:tcPr>
            <w:tcW w:w="0" w:type="auto"/>
            <w:vMerge w:val="continue"/>
            <w:vAlign w:val="center"/>
          </w:tcPr>
          <w:p w14:paraId="6D45F60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FFB84DE">
            <w:pPr>
              <w:widowControl w:val="0"/>
              <w:jc w:val="center"/>
              <w:rPr>
                <w:szCs w:val="21"/>
              </w:rPr>
            </w:pPr>
            <w:r>
              <w:t>N</w:t>
            </w:r>
          </w:p>
        </w:tc>
        <w:tc>
          <w:tcPr>
            <w:tcW w:w="0" w:type="auto"/>
            <w:shd w:val="clear" w:color="auto" w:fill="auto"/>
            <w:vAlign w:val="center"/>
          </w:tcPr>
          <w:p w14:paraId="5F24FFE7">
            <w:pPr>
              <w:widowControl w:val="0"/>
              <w:jc w:val="center"/>
              <w:rPr>
                <w:szCs w:val="21"/>
              </w:rPr>
            </w:pPr>
            <w:r>
              <w:rPr>
                <w:rFonts w:hint="eastAsia"/>
                <w:szCs w:val="21"/>
              </w:rPr>
              <w:t>/</w:t>
            </w:r>
          </w:p>
        </w:tc>
        <w:tc>
          <w:tcPr>
            <w:tcW w:w="0" w:type="auto"/>
            <w:shd w:val="clear" w:color="auto" w:fill="auto"/>
            <w:vAlign w:val="center"/>
          </w:tcPr>
          <w:p w14:paraId="297A3728">
            <w:pPr>
              <w:widowControl w:val="0"/>
              <w:jc w:val="center"/>
              <w:rPr>
                <w:szCs w:val="21"/>
              </w:rPr>
            </w:pPr>
            <w:r>
              <w:t>75</w:t>
            </w:r>
          </w:p>
        </w:tc>
        <w:tc>
          <w:tcPr>
            <w:tcW w:w="0" w:type="auto"/>
            <w:vMerge w:val="continue"/>
            <w:vAlign w:val="center"/>
          </w:tcPr>
          <w:p w14:paraId="50A2C522">
            <w:pPr>
              <w:widowControl w:val="0"/>
              <w:jc w:val="center"/>
              <w:rPr>
                <w:rFonts w:ascii="宋体" w:hAnsi="宋体"/>
                <w:color w:val="000000" w:themeColor="text1"/>
                <w:szCs w:val="21"/>
                <w14:textFill>
                  <w14:solidFill>
                    <w14:schemeClr w14:val="tx1"/>
                  </w14:solidFill>
                </w14:textFill>
              </w:rPr>
            </w:pPr>
          </w:p>
        </w:tc>
      </w:tr>
      <w:tr w14:paraId="2C17E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EF6F75F">
            <w:pPr>
              <w:widowControl w:val="0"/>
              <w:jc w:val="center"/>
              <w:rPr>
                <w:szCs w:val="21"/>
              </w:rPr>
            </w:pPr>
            <w:r>
              <w:t>3#</w:t>
            </w:r>
          </w:p>
        </w:tc>
        <w:tc>
          <w:tcPr>
            <w:tcW w:w="0" w:type="auto"/>
            <w:shd w:val="clear" w:color="auto" w:fill="auto"/>
            <w:vAlign w:val="center"/>
          </w:tcPr>
          <w:p w14:paraId="237CCDFB">
            <w:pPr>
              <w:widowControl w:val="0"/>
              <w:jc w:val="center"/>
              <w:rPr>
                <w:szCs w:val="21"/>
              </w:rPr>
            </w:pPr>
            <w:r>
              <w:rPr>
                <w:rFonts w:hint="eastAsia"/>
              </w:rPr>
              <w:t>茨垭村居民#1-2</w:t>
            </w:r>
          </w:p>
        </w:tc>
        <w:tc>
          <w:tcPr>
            <w:tcW w:w="0" w:type="auto"/>
            <w:shd w:val="clear" w:color="auto" w:fill="auto"/>
            <w:vAlign w:val="center"/>
          </w:tcPr>
          <w:p w14:paraId="05F6E131">
            <w:pPr>
              <w:widowControl w:val="0"/>
              <w:jc w:val="center"/>
              <w:rPr>
                <w:szCs w:val="21"/>
              </w:rPr>
            </w:pPr>
            <w:r>
              <w:rPr>
                <w:rFonts w:hint="eastAsia"/>
              </w:rPr>
              <w:t>106.839563</w:t>
            </w:r>
          </w:p>
        </w:tc>
        <w:tc>
          <w:tcPr>
            <w:tcW w:w="0" w:type="auto"/>
            <w:shd w:val="clear" w:color="auto" w:fill="auto"/>
            <w:vAlign w:val="center"/>
          </w:tcPr>
          <w:p w14:paraId="6B29C175">
            <w:pPr>
              <w:widowControl w:val="0"/>
              <w:jc w:val="center"/>
              <w:rPr>
                <w:szCs w:val="21"/>
              </w:rPr>
            </w:pPr>
            <w:r>
              <w:rPr>
                <w:rFonts w:hint="eastAsia"/>
              </w:rPr>
              <w:t>31.814458</w:t>
            </w:r>
          </w:p>
        </w:tc>
        <w:tc>
          <w:tcPr>
            <w:tcW w:w="0" w:type="auto"/>
            <w:shd w:val="clear" w:color="auto" w:fill="auto"/>
            <w:vAlign w:val="center"/>
          </w:tcPr>
          <w:p w14:paraId="3BEF893C">
            <w:pPr>
              <w:widowControl w:val="0"/>
              <w:jc w:val="center"/>
              <w:rPr>
                <w:szCs w:val="21"/>
              </w:rPr>
            </w:pPr>
            <w:r>
              <w:rPr>
                <w:rFonts w:hint="eastAsia"/>
              </w:rPr>
              <w:t>约180人</w:t>
            </w:r>
          </w:p>
        </w:tc>
        <w:tc>
          <w:tcPr>
            <w:tcW w:w="0" w:type="auto"/>
            <w:vMerge w:val="continue"/>
            <w:vAlign w:val="center"/>
          </w:tcPr>
          <w:p w14:paraId="6F7093A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CDCFA68">
            <w:pPr>
              <w:widowControl w:val="0"/>
              <w:jc w:val="center"/>
              <w:rPr>
                <w:szCs w:val="21"/>
              </w:rPr>
            </w:pPr>
            <w:r>
              <w:t>N</w:t>
            </w:r>
          </w:p>
        </w:tc>
        <w:tc>
          <w:tcPr>
            <w:tcW w:w="0" w:type="auto"/>
            <w:shd w:val="clear" w:color="auto" w:fill="auto"/>
            <w:vAlign w:val="center"/>
          </w:tcPr>
          <w:p w14:paraId="547F3D20">
            <w:pPr>
              <w:widowControl w:val="0"/>
              <w:jc w:val="center"/>
              <w:rPr>
                <w:szCs w:val="21"/>
              </w:rPr>
            </w:pPr>
            <w:r>
              <w:t>821</w:t>
            </w:r>
          </w:p>
        </w:tc>
        <w:tc>
          <w:tcPr>
            <w:tcW w:w="0" w:type="auto"/>
            <w:shd w:val="clear" w:color="auto" w:fill="auto"/>
            <w:vAlign w:val="center"/>
          </w:tcPr>
          <w:p w14:paraId="3058CA32">
            <w:pPr>
              <w:widowControl w:val="0"/>
              <w:jc w:val="center"/>
              <w:rPr>
                <w:szCs w:val="21"/>
              </w:rPr>
            </w:pPr>
            <w:r>
              <w:t>70</w:t>
            </w:r>
          </w:p>
        </w:tc>
        <w:tc>
          <w:tcPr>
            <w:tcW w:w="0" w:type="auto"/>
            <w:vMerge w:val="continue"/>
            <w:vAlign w:val="center"/>
          </w:tcPr>
          <w:p w14:paraId="5951A446">
            <w:pPr>
              <w:widowControl w:val="0"/>
              <w:jc w:val="center"/>
              <w:rPr>
                <w:rFonts w:ascii="宋体" w:hAnsi="宋体"/>
                <w:color w:val="000000" w:themeColor="text1"/>
                <w:szCs w:val="21"/>
                <w14:textFill>
                  <w14:solidFill>
                    <w14:schemeClr w14:val="tx1"/>
                  </w14:solidFill>
                </w14:textFill>
              </w:rPr>
            </w:pPr>
          </w:p>
        </w:tc>
      </w:tr>
      <w:tr w14:paraId="3632D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12AEE64">
            <w:pPr>
              <w:widowControl w:val="0"/>
              <w:jc w:val="center"/>
              <w:rPr>
                <w:szCs w:val="21"/>
              </w:rPr>
            </w:pPr>
            <w:r>
              <w:t>4#</w:t>
            </w:r>
          </w:p>
        </w:tc>
        <w:tc>
          <w:tcPr>
            <w:tcW w:w="0" w:type="auto"/>
            <w:shd w:val="clear" w:color="auto" w:fill="auto"/>
            <w:vAlign w:val="center"/>
          </w:tcPr>
          <w:p w14:paraId="0708358B">
            <w:pPr>
              <w:widowControl w:val="0"/>
              <w:jc w:val="center"/>
              <w:rPr>
                <w:szCs w:val="21"/>
              </w:rPr>
            </w:pPr>
            <w:r>
              <w:rPr>
                <w:rFonts w:hint="eastAsia"/>
              </w:rPr>
              <w:t>吴家湾#1-1</w:t>
            </w:r>
          </w:p>
        </w:tc>
        <w:tc>
          <w:tcPr>
            <w:tcW w:w="0" w:type="auto"/>
            <w:shd w:val="clear" w:color="auto" w:fill="auto"/>
            <w:vAlign w:val="center"/>
          </w:tcPr>
          <w:p w14:paraId="60FAC659">
            <w:pPr>
              <w:widowControl w:val="0"/>
              <w:jc w:val="center"/>
              <w:rPr>
                <w:szCs w:val="21"/>
              </w:rPr>
            </w:pPr>
            <w:r>
              <w:rPr>
                <w:rFonts w:hint="eastAsia"/>
              </w:rPr>
              <w:t>106.843758</w:t>
            </w:r>
          </w:p>
        </w:tc>
        <w:tc>
          <w:tcPr>
            <w:tcW w:w="0" w:type="auto"/>
            <w:shd w:val="clear" w:color="auto" w:fill="auto"/>
            <w:vAlign w:val="center"/>
          </w:tcPr>
          <w:p w14:paraId="0F982EA9">
            <w:pPr>
              <w:widowControl w:val="0"/>
              <w:jc w:val="center"/>
              <w:rPr>
                <w:szCs w:val="21"/>
              </w:rPr>
            </w:pPr>
            <w:r>
              <w:rPr>
                <w:rFonts w:hint="eastAsia"/>
              </w:rPr>
              <w:t>31.81717</w:t>
            </w:r>
          </w:p>
        </w:tc>
        <w:tc>
          <w:tcPr>
            <w:tcW w:w="0" w:type="auto"/>
            <w:shd w:val="clear" w:color="auto" w:fill="auto"/>
            <w:vAlign w:val="center"/>
          </w:tcPr>
          <w:p w14:paraId="5C42B334">
            <w:pPr>
              <w:widowControl w:val="0"/>
              <w:jc w:val="center"/>
              <w:rPr>
                <w:szCs w:val="21"/>
              </w:rPr>
            </w:pPr>
            <w:r>
              <w:rPr>
                <w:rFonts w:hint="eastAsia"/>
              </w:rPr>
              <w:t>约195人</w:t>
            </w:r>
          </w:p>
        </w:tc>
        <w:tc>
          <w:tcPr>
            <w:tcW w:w="0" w:type="auto"/>
            <w:vMerge w:val="continue"/>
            <w:vAlign w:val="center"/>
          </w:tcPr>
          <w:p w14:paraId="05E1B95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F911F12">
            <w:pPr>
              <w:widowControl w:val="0"/>
              <w:jc w:val="center"/>
              <w:rPr>
                <w:szCs w:val="21"/>
              </w:rPr>
            </w:pPr>
            <w:r>
              <w:t>NE</w:t>
            </w:r>
          </w:p>
        </w:tc>
        <w:tc>
          <w:tcPr>
            <w:tcW w:w="0" w:type="auto"/>
            <w:shd w:val="clear" w:color="auto" w:fill="auto"/>
            <w:vAlign w:val="center"/>
          </w:tcPr>
          <w:p w14:paraId="3D61B9CD">
            <w:pPr>
              <w:widowControl w:val="0"/>
              <w:jc w:val="center"/>
              <w:rPr>
                <w:szCs w:val="21"/>
              </w:rPr>
            </w:pPr>
            <w:r>
              <w:t>1101</w:t>
            </w:r>
          </w:p>
        </w:tc>
        <w:tc>
          <w:tcPr>
            <w:tcW w:w="0" w:type="auto"/>
            <w:shd w:val="clear" w:color="auto" w:fill="auto"/>
            <w:vAlign w:val="center"/>
          </w:tcPr>
          <w:p w14:paraId="6921B327">
            <w:pPr>
              <w:widowControl w:val="0"/>
              <w:jc w:val="center"/>
              <w:rPr>
                <w:szCs w:val="21"/>
              </w:rPr>
            </w:pPr>
            <w:r>
              <w:t>35</w:t>
            </w:r>
          </w:p>
        </w:tc>
        <w:tc>
          <w:tcPr>
            <w:tcW w:w="0" w:type="auto"/>
            <w:vMerge w:val="continue"/>
            <w:vAlign w:val="center"/>
          </w:tcPr>
          <w:p w14:paraId="4CE2DC86">
            <w:pPr>
              <w:widowControl w:val="0"/>
              <w:jc w:val="center"/>
              <w:rPr>
                <w:rFonts w:ascii="宋体" w:hAnsi="宋体"/>
                <w:color w:val="000000" w:themeColor="text1"/>
                <w:szCs w:val="21"/>
                <w14:textFill>
                  <w14:solidFill>
                    <w14:schemeClr w14:val="tx1"/>
                  </w14:solidFill>
                </w14:textFill>
              </w:rPr>
            </w:pPr>
          </w:p>
        </w:tc>
      </w:tr>
      <w:tr w14:paraId="2F65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27A96E0">
            <w:pPr>
              <w:widowControl w:val="0"/>
              <w:jc w:val="center"/>
              <w:rPr>
                <w:szCs w:val="21"/>
              </w:rPr>
            </w:pPr>
            <w:r>
              <w:t>5#</w:t>
            </w:r>
          </w:p>
        </w:tc>
        <w:tc>
          <w:tcPr>
            <w:tcW w:w="0" w:type="auto"/>
            <w:shd w:val="clear" w:color="auto" w:fill="auto"/>
            <w:vAlign w:val="center"/>
          </w:tcPr>
          <w:p w14:paraId="13FAF61B">
            <w:pPr>
              <w:widowControl w:val="0"/>
              <w:jc w:val="center"/>
              <w:rPr>
                <w:szCs w:val="21"/>
              </w:rPr>
            </w:pPr>
            <w:r>
              <w:rPr>
                <w:rFonts w:hint="eastAsia"/>
              </w:rPr>
              <w:t>罗家梁</w:t>
            </w:r>
          </w:p>
        </w:tc>
        <w:tc>
          <w:tcPr>
            <w:tcW w:w="0" w:type="auto"/>
            <w:shd w:val="clear" w:color="auto" w:fill="auto"/>
            <w:vAlign w:val="center"/>
          </w:tcPr>
          <w:p w14:paraId="1DC01E69">
            <w:pPr>
              <w:widowControl w:val="0"/>
              <w:jc w:val="center"/>
              <w:rPr>
                <w:szCs w:val="21"/>
              </w:rPr>
            </w:pPr>
            <w:r>
              <w:rPr>
                <w:rFonts w:hint="eastAsia"/>
              </w:rPr>
              <w:t>106.848511</w:t>
            </w:r>
          </w:p>
        </w:tc>
        <w:tc>
          <w:tcPr>
            <w:tcW w:w="0" w:type="auto"/>
            <w:shd w:val="clear" w:color="auto" w:fill="auto"/>
            <w:vAlign w:val="center"/>
          </w:tcPr>
          <w:p w14:paraId="6E5B6940">
            <w:pPr>
              <w:widowControl w:val="0"/>
              <w:jc w:val="center"/>
              <w:rPr>
                <w:szCs w:val="21"/>
              </w:rPr>
            </w:pPr>
            <w:r>
              <w:rPr>
                <w:rFonts w:hint="eastAsia"/>
              </w:rPr>
              <w:t>31.818283</w:t>
            </w:r>
          </w:p>
        </w:tc>
        <w:tc>
          <w:tcPr>
            <w:tcW w:w="0" w:type="auto"/>
            <w:shd w:val="clear" w:color="auto" w:fill="auto"/>
            <w:vAlign w:val="center"/>
          </w:tcPr>
          <w:p w14:paraId="43E1A48D">
            <w:pPr>
              <w:widowControl w:val="0"/>
              <w:jc w:val="center"/>
              <w:rPr>
                <w:szCs w:val="21"/>
              </w:rPr>
            </w:pPr>
            <w:r>
              <w:rPr>
                <w:rFonts w:hint="eastAsia"/>
              </w:rPr>
              <w:t>约75人</w:t>
            </w:r>
          </w:p>
        </w:tc>
        <w:tc>
          <w:tcPr>
            <w:tcW w:w="0" w:type="auto"/>
            <w:vMerge w:val="continue"/>
            <w:vAlign w:val="center"/>
          </w:tcPr>
          <w:p w14:paraId="4272891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F0134D5">
            <w:pPr>
              <w:widowControl w:val="0"/>
              <w:jc w:val="center"/>
              <w:rPr>
                <w:szCs w:val="21"/>
              </w:rPr>
            </w:pPr>
            <w:r>
              <w:t>NE</w:t>
            </w:r>
          </w:p>
        </w:tc>
        <w:tc>
          <w:tcPr>
            <w:tcW w:w="0" w:type="auto"/>
            <w:shd w:val="clear" w:color="auto" w:fill="auto"/>
            <w:vAlign w:val="center"/>
          </w:tcPr>
          <w:p w14:paraId="2C54992F">
            <w:pPr>
              <w:widowControl w:val="0"/>
              <w:jc w:val="center"/>
              <w:rPr>
                <w:szCs w:val="21"/>
              </w:rPr>
            </w:pPr>
            <w:r>
              <w:t>1462</w:t>
            </w:r>
          </w:p>
        </w:tc>
        <w:tc>
          <w:tcPr>
            <w:tcW w:w="0" w:type="auto"/>
            <w:shd w:val="clear" w:color="auto" w:fill="auto"/>
            <w:vAlign w:val="center"/>
          </w:tcPr>
          <w:p w14:paraId="448576B1">
            <w:pPr>
              <w:widowControl w:val="0"/>
              <w:jc w:val="center"/>
              <w:rPr>
                <w:szCs w:val="21"/>
              </w:rPr>
            </w:pPr>
            <w:r>
              <w:t>19</w:t>
            </w:r>
          </w:p>
        </w:tc>
        <w:tc>
          <w:tcPr>
            <w:tcW w:w="0" w:type="auto"/>
            <w:vMerge w:val="continue"/>
            <w:vAlign w:val="center"/>
          </w:tcPr>
          <w:p w14:paraId="4F273D3D">
            <w:pPr>
              <w:widowControl w:val="0"/>
              <w:jc w:val="center"/>
              <w:rPr>
                <w:rFonts w:ascii="宋体" w:hAnsi="宋体"/>
                <w:color w:val="000000" w:themeColor="text1"/>
                <w:szCs w:val="21"/>
                <w14:textFill>
                  <w14:solidFill>
                    <w14:schemeClr w14:val="tx1"/>
                  </w14:solidFill>
                </w14:textFill>
              </w:rPr>
            </w:pPr>
          </w:p>
        </w:tc>
      </w:tr>
      <w:tr w14:paraId="3EDCC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EA3D6B8">
            <w:pPr>
              <w:widowControl w:val="0"/>
              <w:jc w:val="center"/>
              <w:rPr>
                <w:szCs w:val="21"/>
              </w:rPr>
            </w:pPr>
            <w:r>
              <w:t>6#</w:t>
            </w:r>
          </w:p>
        </w:tc>
        <w:tc>
          <w:tcPr>
            <w:tcW w:w="0" w:type="auto"/>
            <w:shd w:val="clear" w:color="auto" w:fill="auto"/>
            <w:vAlign w:val="center"/>
          </w:tcPr>
          <w:p w14:paraId="2E7114A8">
            <w:pPr>
              <w:widowControl w:val="0"/>
              <w:jc w:val="center"/>
              <w:rPr>
                <w:szCs w:val="21"/>
              </w:rPr>
            </w:pPr>
            <w:r>
              <w:rPr>
                <w:rFonts w:hint="eastAsia"/>
              </w:rPr>
              <w:t>方包寨</w:t>
            </w:r>
          </w:p>
        </w:tc>
        <w:tc>
          <w:tcPr>
            <w:tcW w:w="0" w:type="auto"/>
            <w:shd w:val="clear" w:color="auto" w:fill="auto"/>
            <w:vAlign w:val="center"/>
          </w:tcPr>
          <w:p w14:paraId="43323345">
            <w:pPr>
              <w:widowControl w:val="0"/>
              <w:jc w:val="center"/>
              <w:rPr>
                <w:szCs w:val="21"/>
              </w:rPr>
            </w:pPr>
            <w:r>
              <w:rPr>
                <w:rFonts w:hint="eastAsia"/>
              </w:rPr>
              <w:t>106.85748</w:t>
            </w:r>
          </w:p>
        </w:tc>
        <w:tc>
          <w:tcPr>
            <w:tcW w:w="0" w:type="auto"/>
            <w:shd w:val="clear" w:color="auto" w:fill="auto"/>
            <w:vAlign w:val="center"/>
          </w:tcPr>
          <w:p w14:paraId="77E5A76B">
            <w:pPr>
              <w:widowControl w:val="0"/>
              <w:jc w:val="center"/>
              <w:rPr>
                <w:szCs w:val="21"/>
              </w:rPr>
            </w:pPr>
            <w:r>
              <w:rPr>
                <w:rFonts w:hint="eastAsia"/>
              </w:rPr>
              <w:t>31.817508</w:t>
            </w:r>
          </w:p>
        </w:tc>
        <w:tc>
          <w:tcPr>
            <w:tcW w:w="0" w:type="auto"/>
            <w:shd w:val="clear" w:color="auto" w:fill="auto"/>
            <w:vAlign w:val="center"/>
          </w:tcPr>
          <w:p w14:paraId="4054AD68">
            <w:pPr>
              <w:widowControl w:val="0"/>
              <w:jc w:val="center"/>
              <w:rPr>
                <w:szCs w:val="21"/>
              </w:rPr>
            </w:pPr>
            <w:r>
              <w:rPr>
                <w:rFonts w:hint="eastAsia"/>
              </w:rPr>
              <w:t>约240人</w:t>
            </w:r>
          </w:p>
        </w:tc>
        <w:tc>
          <w:tcPr>
            <w:tcW w:w="0" w:type="auto"/>
            <w:vMerge w:val="continue"/>
            <w:vAlign w:val="center"/>
          </w:tcPr>
          <w:p w14:paraId="0B8D3A3D">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3FFE644">
            <w:pPr>
              <w:widowControl w:val="0"/>
              <w:jc w:val="center"/>
              <w:rPr>
                <w:szCs w:val="21"/>
              </w:rPr>
            </w:pPr>
            <w:r>
              <w:t>NE</w:t>
            </w:r>
          </w:p>
        </w:tc>
        <w:tc>
          <w:tcPr>
            <w:tcW w:w="0" w:type="auto"/>
            <w:shd w:val="clear" w:color="auto" w:fill="auto"/>
            <w:vAlign w:val="center"/>
          </w:tcPr>
          <w:p w14:paraId="4B3189B5">
            <w:pPr>
              <w:widowControl w:val="0"/>
              <w:jc w:val="center"/>
              <w:rPr>
                <w:szCs w:val="21"/>
              </w:rPr>
            </w:pPr>
            <w:r>
              <w:t>1685</w:t>
            </w:r>
          </w:p>
        </w:tc>
        <w:tc>
          <w:tcPr>
            <w:tcW w:w="0" w:type="auto"/>
            <w:shd w:val="clear" w:color="auto" w:fill="auto"/>
            <w:vAlign w:val="center"/>
          </w:tcPr>
          <w:p w14:paraId="467CB7C6">
            <w:pPr>
              <w:widowControl w:val="0"/>
              <w:jc w:val="center"/>
              <w:rPr>
                <w:szCs w:val="21"/>
              </w:rPr>
            </w:pPr>
            <w:r>
              <w:t>-104</w:t>
            </w:r>
          </w:p>
        </w:tc>
        <w:tc>
          <w:tcPr>
            <w:tcW w:w="0" w:type="auto"/>
            <w:vMerge w:val="continue"/>
            <w:vAlign w:val="center"/>
          </w:tcPr>
          <w:p w14:paraId="39A30AA9">
            <w:pPr>
              <w:widowControl w:val="0"/>
              <w:jc w:val="center"/>
              <w:rPr>
                <w:rFonts w:ascii="宋体" w:hAnsi="宋体"/>
                <w:color w:val="000000" w:themeColor="text1"/>
                <w:szCs w:val="21"/>
                <w14:textFill>
                  <w14:solidFill>
                    <w14:schemeClr w14:val="tx1"/>
                  </w14:solidFill>
                </w14:textFill>
              </w:rPr>
            </w:pPr>
          </w:p>
        </w:tc>
      </w:tr>
      <w:tr w14:paraId="0EE95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DF2E4F6">
            <w:pPr>
              <w:widowControl w:val="0"/>
              <w:jc w:val="center"/>
              <w:rPr>
                <w:szCs w:val="21"/>
              </w:rPr>
            </w:pPr>
            <w:r>
              <w:t>7#</w:t>
            </w:r>
          </w:p>
        </w:tc>
        <w:tc>
          <w:tcPr>
            <w:tcW w:w="0" w:type="auto"/>
            <w:shd w:val="clear" w:color="auto" w:fill="auto"/>
            <w:vAlign w:val="center"/>
          </w:tcPr>
          <w:p w14:paraId="0A4678A1">
            <w:pPr>
              <w:widowControl w:val="0"/>
              <w:jc w:val="center"/>
              <w:rPr>
                <w:szCs w:val="21"/>
              </w:rPr>
            </w:pPr>
            <w:r>
              <w:rPr>
                <w:rFonts w:hint="eastAsia"/>
              </w:rPr>
              <w:t>麦家坡</w:t>
            </w:r>
          </w:p>
        </w:tc>
        <w:tc>
          <w:tcPr>
            <w:tcW w:w="0" w:type="auto"/>
            <w:shd w:val="clear" w:color="auto" w:fill="auto"/>
            <w:vAlign w:val="center"/>
          </w:tcPr>
          <w:p w14:paraId="4C8E6200">
            <w:pPr>
              <w:widowControl w:val="0"/>
              <w:jc w:val="center"/>
              <w:rPr>
                <w:szCs w:val="21"/>
              </w:rPr>
            </w:pPr>
            <w:r>
              <w:rPr>
                <w:rFonts w:hint="eastAsia"/>
              </w:rPr>
              <w:t>106.847438</w:t>
            </w:r>
          </w:p>
        </w:tc>
        <w:tc>
          <w:tcPr>
            <w:tcW w:w="0" w:type="auto"/>
            <w:shd w:val="clear" w:color="auto" w:fill="auto"/>
            <w:vAlign w:val="center"/>
          </w:tcPr>
          <w:p w14:paraId="0D52659B">
            <w:pPr>
              <w:widowControl w:val="0"/>
              <w:jc w:val="center"/>
              <w:rPr>
                <w:szCs w:val="21"/>
              </w:rPr>
            </w:pPr>
            <w:r>
              <w:rPr>
                <w:rFonts w:hint="eastAsia"/>
              </w:rPr>
              <w:t>31.812822</w:t>
            </w:r>
          </w:p>
        </w:tc>
        <w:tc>
          <w:tcPr>
            <w:tcW w:w="0" w:type="auto"/>
            <w:shd w:val="clear" w:color="auto" w:fill="auto"/>
            <w:vAlign w:val="center"/>
          </w:tcPr>
          <w:p w14:paraId="2D10A95A">
            <w:pPr>
              <w:widowControl w:val="0"/>
              <w:jc w:val="center"/>
              <w:rPr>
                <w:szCs w:val="21"/>
              </w:rPr>
            </w:pPr>
            <w:r>
              <w:rPr>
                <w:rFonts w:hint="eastAsia"/>
              </w:rPr>
              <w:t>约120人</w:t>
            </w:r>
          </w:p>
        </w:tc>
        <w:tc>
          <w:tcPr>
            <w:tcW w:w="0" w:type="auto"/>
            <w:vMerge w:val="continue"/>
            <w:vAlign w:val="center"/>
          </w:tcPr>
          <w:p w14:paraId="733DA47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EDAF047">
            <w:pPr>
              <w:widowControl w:val="0"/>
              <w:jc w:val="center"/>
              <w:rPr>
                <w:szCs w:val="21"/>
              </w:rPr>
            </w:pPr>
            <w:r>
              <w:t>NE</w:t>
            </w:r>
          </w:p>
        </w:tc>
        <w:tc>
          <w:tcPr>
            <w:tcW w:w="0" w:type="auto"/>
            <w:shd w:val="clear" w:color="auto" w:fill="auto"/>
            <w:vAlign w:val="center"/>
          </w:tcPr>
          <w:p w14:paraId="50408A44">
            <w:pPr>
              <w:widowControl w:val="0"/>
              <w:jc w:val="center"/>
              <w:rPr>
                <w:szCs w:val="21"/>
              </w:rPr>
            </w:pPr>
            <w:r>
              <w:t>797</w:t>
            </w:r>
          </w:p>
        </w:tc>
        <w:tc>
          <w:tcPr>
            <w:tcW w:w="0" w:type="auto"/>
            <w:shd w:val="clear" w:color="auto" w:fill="auto"/>
            <w:vAlign w:val="center"/>
          </w:tcPr>
          <w:p w14:paraId="57052E90">
            <w:pPr>
              <w:widowControl w:val="0"/>
              <w:jc w:val="center"/>
              <w:rPr>
                <w:szCs w:val="21"/>
              </w:rPr>
            </w:pPr>
            <w:r>
              <w:t>-76</w:t>
            </w:r>
          </w:p>
        </w:tc>
        <w:tc>
          <w:tcPr>
            <w:tcW w:w="0" w:type="auto"/>
            <w:vMerge w:val="continue"/>
            <w:vAlign w:val="center"/>
          </w:tcPr>
          <w:p w14:paraId="7CD83EAC">
            <w:pPr>
              <w:widowControl w:val="0"/>
              <w:jc w:val="center"/>
              <w:rPr>
                <w:rFonts w:ascii="宋体" w:hAnsi="宋体"/>
                <w:color w:val="000000" w:themeColor="text1"/>
                <w:szCs w:val="21"/>
                <w14:textFill>
                  <w14:solidFill>
                    <w14:schemeClr w14:val="tx1"/>
                  </w14:solidFill>
                </w14:textFill>
              </w:rPr>
            </w:pPr>
          </w:p>
        </w:tc>
      </w:tr>
      <w:tr w14:paraId="5FE9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6529917">
            <w:pPr>
              <w:widowControl w:val="0"/>
              <w:jc w:val="center"/>
              <w:rPr>
                <w:szCs w:val="21"/>
              </w:rPr>
            </w:pPr>
            <w:r>
              <w:t>8#</w:t>
            </w:r>
          </w:p>
        </w:tc>
        <w:tc>
          <w:tcPr>
            <w:tcW w:w="0" w:type="auto"/>
            <w:shd w:val="clear" w:color="auto" w:fill="auto"/>
            <w:vAlign w:val="center"/>
          </w:tcPr>
          <w:p w14:paraId="19C7C9BF">
            <w:pPr>
              <w:widowControl w:val="0"/>
              <w:jc w:val="center"/>
              <w:rPr>
                <w:szCs w:val="21"/>
              </w:rPr>
            </w:pPr>
            <w:r>
              <w:rPr>
                <w:rFonts w:hint="eastAsia"/>
              </w:rPr>
              <w:t>龙家沟</w:t>
            </w:r>
          </w:p>
        </w:tc>
        <w:tc>
          <w:tcPr>
            <w:tcW w:w="0" w:type="auto"/>
            <w:shd w:val="clear" w:color="auto" w:fill="auto"/>
            <w:vAlign w:val="center"/>
          </w:tcPr>
          <w:p w14:paraId="20935551">
            <w:pPr>
              <w:widowControl w:val="0"/>
              <w:jc w:val="center"/>
              <w:rPr>
                <w:szCs w:val="21"/>
              </w:rPr>
            </w:pPr>
            <w:r>
              <w:rPr>
                <w:rFonts w:hint="eastAsia"/>
              </w:rPr>
              <w:t>106.840861</w:t>
            </w:r>
          </w:p>
        </w:tc>
        <w:tc>
          <w:tcPr>
            <w:tcW w:w="0" w:type="auto"/>
            <w:shd w:val="clear" w:color="auto" w:fill="auto"/>
            <w:vAlign w:val="center"/>
          </w:tcPr>
          <w:p w14:paraId="4F3CCF5A">
            <w:pPr>
              <w:widowControl w:val="0"/>
              <w:jc w:val="center"/>
              <w:rPr>
                <w:szCs w:val="21"/>
              </w:rPr>
            </w:pPr>
            <w:r>
              <w:rPr>
                <w:rFonts w:hint="eastAsia"/>
              </w:rPr>
              <w:t>31.808783</w:t>
            </w:r>
          </w:p>
        </w:tc>
        <w:tc>
          <w:tcPr>
            <w:tcW w:w="0" w:type="auto"/>
            <w:shd w:val="clear" w:color="auto" w:fill="auto"/>
            <w:vAlign w:val="center"/>
          </w:tcPr>
          <w:p w14:paraId="6AEBA21C">
            <w:pPr>
              <w:widowControl w:val="0"/>
              <w:jc w:val="center"/>
              <w:rPr>
                <w:szCs w:val="21"/>
              </w:rPr>
            </w:pPr>
            <w:r>
              <w:rPr>
                <w:rFonts w:hint="eastAsia"/>
              </w:rPr>
              <w:t>约105人</w:t>
            </w:r>
          </w:p>
        </w:tc>
        <w:tc>
          <w:tcPr>
            <w:tcW w:w="0" w:type="auto"/>
            <w:vMerge w:val="continue"/>
            <w:vAlign w:val="center"/>
          </w:tcPr>
          <w:p w14:paraId="6CB6F40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1BC5ABA">
            <w:pPr>
              <w:widowControl w:val="0"/>
              <w:jc w:val="center"/>
              <w:rPr>
                <w:szCs w:val="21"/>
              </w:rPr>
            </w:pPr>
            <w:r>
              <w:t>NE</w:t>
            </w:r>
          </w:p>
        </w:tc>
        <w:tc>
          <w:tcPr>
            <w:tcW w:w="0" w:type="auto"/>
            <w:shd w:val="clear" w:color="auto" w:fill="auto"/>
            <w:vAlign w:val="center"/>
          </w:tcPr>
          <w:p w14:paraId="71F17599">
            <w:pPr>
              <w:widowControl w:val="0"/>
              <w:jc w:val="center"/>
              <w:rPr>
                <w:szCs w:val="21"/>
              </w:rPr>
            </w:pPr>
            <w:r>
              <w:t>159</w:t>
            </w:r>
          </w:p>
        </w:tc>
        <w:tc>
          <w:tcPr>
            <w:tcW w:w="0" w:type="auto"/>
            <w:shd w:val="clear" w:color="auto" w:fill="auto"/>
            <w:vAlign w:val="center"/>
          </w:tcPr>
          <w:p w14:paraId="57395B3A">
            <w:pPr>
              <w:widowControl w:val="0"/>
              <w:jc w:val="center"/>
              <w:rPr>
                <w:szCs w:val="21"/>
              </w:rPr>
            </w:pPr>
            <w:r>
              <w:t>-45</w:t>
            </w:r>
          </w:p>
        </w:tc>
        <w:tc>
          <w:tcPr>
            <w:tcW w:w="0" w:type="auto"/>
            <w:vMerge w:val="continue"/>
            <w:vAlign w:val="center"/>
          </w:tcPr>
          <w:p w14:paraId="4E6DA898">
            <w:pPr>
              <w:widowControl w:val="0"/>
              <w:jc w:val="center"/>
              <w:rPr>
                <w:rFonts w:ascii="宋体" w:hAnsi="宋体"/>
                <w:color w:val="000000" w:themeColor="text1"/>
                <w:szCs w:val="21"/>
                <w14:textFill>
                  <w14:solidFill>
                    <w14:schemeClr w14:val="tx1"/>
                  </w14:solidFill>
                </w14:textFill>
              </w:rPr>
            </w:pPr>
          </w:p>
        </w:tc>
      </w:tr>
      <w:tr w14:paraId="0824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28238CF">
            <w:pPr>
              <w:widowControl w:val="0"/>
              <w:jc w:val="center"/>
              <w:rPr>
                <w:szCs w:val="21"/>
              </w:rPr>
            </w:pPr>
            <w:r>
              <w:t>9#</w:t>
            </w:r>
          </w:p>
        </w:tc>
        <w:tc>
          <w:tcPr>
            <w:tcW w:w="0" w:type="auto"/>
            <w:shd w:val="clear" w:color="auto" w:fill="auto"/>
            <w:vAlign w:val="center"/>
          </w:tcPr>
          <w:p w14:paraId="08CA3FE2">
            <w:pPr>
              <w:widowControl w:val="0"/>
              <w:jc w:val="center"/>
              <w:rPr>
                <w:szCs w:val="21"/>
              </w:rPr>
            </w:pPr>
            <w:r>
              <w:rPr>
                <w:rFonts w:hint="eastAsia"/>
              </w:rPr>
              <w:t>东华咀</w:t>
            </w:r>
          </w:p>
        </w:tc>
        <w:tc>
          <w:tcPr>
            <w:tcW w:w="0" w:type="auto"/>
            <w:shd w:val="clear" w:color="auto" w:fill="auto"/>
            <w:vAlign w:val="center"/>
          </w:tcPr>
          <w:p w14:paraId="52017D1E">
            <w:pPr>
              <w:widowControl w:val="0"/>
              <w:jc w:val="center"/>
              <w:rPr>
                <w:szCs w:val="21"/>
              </w:rPr>
            </w:pPr>
            <w:r>
              <w:rPr>
                <w:rFonts w:hint="eastAsia"/>
              </w:rPr>
              <w:t>106.8485</w:t>
            </w:r>
          </w:p>
        </w:tc>
        <w:tc>
          <w:tcPr>
            <w:tcW w:w="0" w:type="auto"/>
            <w:shd w:val="clear" w:color="auto" w:fill="auto"/>
            <w:vAlign w:val="center"/>
          </w:tcPr>
          <w:p w14:paraId="1E29D4B2">
            <w:pPr>
              <w:widowControl w:val="0"/>
              <w:jc w:val="center"/>
              <w:rPr>
                <w:szCs w:val="21"/>
              </w:rPr>
            </w:pPr>
            <w:r>
              <w:rPr>
                <w:rFonts w:hint="eastAsia"/>
              </w:rPr>
              <w:t>31.806941</w:t>
            </w:r>
          </w:p>
        </w:tc>
        <w:tc>
          <w:tcPr>
            <w:tcW w:w="0" w:type="auto"/>
            <w:shd w:val="clear" w:color="auto" w:fill="auto"/>
            <w:vAlign w:val="center"/>
          </w:tcPr>
          <w:p w14:paraId="45D1809D">
            <w:pPr>
              <w:widowControl w:val="0"/>
              <w:jc w:val="center"/>
              <w:rPr>
                <w:szCs w:val="21"/>
              </w:rPr>
            </w:pPr>
            <w:r>
              <w:rPr>
                <w:rFonts w:hint="eastAsia"/>
              </w:rPr>
              <w:t>约75人</w:t>
            </w:r>
          </w:p>
        </w:tc>
        <w:tc>
          <w:tcPr>
            <w:tcW w:w="0" w:type="auto"/>
            <w:vMerge w:val="continue"/>
            <w:vAlign w:val="center"/>
          </w:tcPr>
          <w:p w14:paraId="113FD99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98BEF97">
            <w:pPr>
              <w:widowControl w:val="0"/>
              <w:jc w:val="center"/>
              <w:rPr>
                <w:szCs w:val="21"/>
              </w:rPr>
            </w:pPr>
            <w:r>
              <w:t>E</w:t>
            </w:r>
          </w:p>
        </w:tc>
        <w:tc>
          <w:tcPr>
            <w:tcW w:w="0" w:type="auto"/>
            <w:shd w:val="clear" w:color="auto" w:fill="auto"/>
            <w:vAlign w:val="center"/>
          </w:tcPr>
          <w:p w14:paraId="68735D5A">
            <w:pPr>
              <w:widowControl w:val="0"/>
              <w:jc w:val="center"/>
              <w:rPr>
                <w:szCs w:val="21"/>
              </w:rPr>
            </w:pPr>
            <w:r>
              <w:t>714</w:t>
            </w:r>
          </w:p>
        </w:tc>
        <w:tc>
          <w:tcPr>
            <w:tcW w:w="0" w:type="auto"/>
            <w:shd w:val="clear" w:color="auto" w:fill="auto"/>
            <w:vAlign w:val="center"/>
          </w:tcPr>
          <w:p w14:paraId="2CD13C4F">
            <w:pPr>
              <w:widowControl w:val="0"/>
              <w:jc w:val="center"/>
              <w:rPr>
                <w:szCs w:val="21"/>
              </w:rPr>
            </w:pPr>
            <w:r>
              <w:t>-65</w:t>
            </w:r>
          </w:p>
        </w:tc>
        <w:tc>
          <w:tcPr>
            <w:tcW w:w="0" w:type="auto"/>
            <w:vMerge w:val="continue"/>
            <w:vAlign w:val="center"/>
          </w:tcPr>
          <w:p w14:paraId="72036AC7">
            <w:pPr>
              <w:widowControl w:val="0"/>
              <w:jc w:val="center"/>
              <w:rPr>
                <w:rFonts w:ascii="宋体" w:hAnsi="宋体"/>
                <w:color w:val="000000" w:themeColor="text1"/>
                <w:szCs w:val="21"/>
                <w14:textFill>
                  <w14:solidFill>
                    <w14:schemeClr w14:val="tx1"/>
                  </w14:solidFill>
                </w14:textFill>
              </w:rPr>
            </w:pPr>
          </w:p>
        </w:tc>
      </w:tr>
      <w:tr w14:paraId="4A3F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CA64270">
            <w:pPr>
              <w:widowControl w:val="0"/>
              <w:jc w:val="center"/>
              <w:rPr>
                <w:szCs w:val="21"/>
              </w:rPr>
            </w:pPr>
            <w:r>
              <w:t>10#</w:t>
            </w:r>
          </w:p>
        </w:tc>
        <w:tc>
          <w:tcPr>
            <w:tcW w:w="0" w:type="auto"/>
            <w:shd w:val="clear" w:color="auto" w:fill="auto"/>
            <w:vAlign w:val="center"/>
          </w:tcPr>
          <w:p w14:paraId="214F9436">
            <w:pPr>
              <w:widowControl w:val="0"/>
              <w:jc w:val="center"/>
              <w:rPr>
                <w:szCs w:val="21"/>
              </w:rPr>
            </w:pPr>
            <w:r>
              <w:rPr>
                <w:rFonts w:hint="eastAsia"/>
              </w:rPr>
              <w:t>罗家</w:t>
            </w:r>
            <w:r>
              <w:rPr>
                <w:rFonts w:hint="eastAsia" w:ascii="微软雅黑" w:hAnsi="微软雅黑" w:eastAsia="微软雅黑" w:cs="微软雅黑"/>
              </w:rPr>
              <w:t>𤧛</w:t>
            </w:r>
          </w:p>
        </w:tc>
        <w:tc>
          <w:tcPr>
            <w:tcW w:w="0" w:type="auto"/>
            <w:shd w:val="clear" w:color="auto" w:fill="auto"/>
            <w:vAlign w:val="center"/>
          </w:tcPr>
          <w:p w14:paraId="04F5A713">
            <w:pPr>
              <w:widowControl w:val="0"/>
              <w:jc w:val="center"/>
              <w:rPr>
                <w:szCs w:val="21"/>
              </w:rPr>
            </w:pPr>
            <w:r>
              <w:rPr>
                <w:rFonts w:hint="eastAsia"/>
              </w:rPr>
              <w:t>106.854465</w:t>
            </w:r>
          </w:p>
        </w:tc>
        <w:tc>
          <w:tcPr>
            <w:tcW w:w="0" w:type="auto"/>
            <w:shd w:val="clear" w:color="auto" w:fill="auto"/>
            <w:vAlign w:val="center"/>
          </w:tcPr>
          <w:p w14:paraId="5F173401">
            <w:pPr>
              <w:widowControl w:val="0"/>
              <w:jc w:val="center"/>
              <w:rPr>
                <w:szCs w:val="21"/>
              </w:rPr>
            </w:pPr>
            <w:r>
              <w:rPr>
                <w:rFonts w:hint="eastAsia"/>
              </w:rPr>
              <w:t>31.807989</w:t>
            </w:r>
          </w:p>
        </w:tc>
        <w:tc>
          <w:tcPr>
            <w:tcW w:w="0" w:type="auto"/>
            <w:shd w:val="clear" w:color="auto" w:fill="auto"/>
            <w:vAlign w:val="center"/>
          </w:tcPr>
          <w:p w14:paraId="1832FBBC">
            <w:pPr>
              <w:widowControl w:val="0"/>
              <w:jc w:val="center"/>
              <w:rPr>
                <w:szCs w:val="21"/>
              </w:rPr>
            </w:pPr>
            <w:r>
              <w:rPr>
                <w:rFonts w:hint="eastAsia"/>
              </w:rPr>
              <w:t>约155人</w:t>
            </w:r>
          </w:p>
        </w:tc>
        <w:tc>
          <w:tcPr>
            <w:tcW w:w="0" w:type="auto"/>
            <w:vMerge w:val="continue"/>
            <w:vAlign w:val="center"/>
          </w:tcPr>
          <w:p w14:paraId="76F007F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16DFF5E">
            <w:pPr>
              <w:widowControl w:val="0"/>
              <w:jc w:val="center"/>
              <w:rPr>
                <w:szCs w:val="21"/>
              </w:rPr>
            </w:pPr>
            <w:r>
              <w:t>E</w:t>
            </w:r>
          </w:p>
        </w:tc>
        <w:tc>
          <w:tcPr>
            <w:tcW w:w="0" w:type="auto"/>
            <w:shd w:val="clear" w:color="auto" w:fill="auto"/>
            <w:vAlign w:val="center"/>
          </w:tcPr>
          <w:p w14:paraId="23EAB05D">
            <w:pPr>
              <w:widowControl w:val="0"/>
              <w:jc w:val="center"/>
              <w:rPr>
                <w:szCs w:val="21"/>
              </w:rPr>
            </w:pPr>
            <w:r>
              <w:t>1112</w:t>
            </w:r>
          </w:p>
        </w:tc>
        <w:tc>
          <w:tcPr>
            <w:tcW w:w="0" w:type="auto"/>
            <w:shd w:val="clear" w:color="auto" w:fill="auto"/>
            <w:vAlign w:val="center"/>
          </w:tcPr>
          <w:p w14:paraId="7D7C92F5">
            <w:pPr>
              <w:widowControl w:val="0"/>
              <w:jc w:val="center"/>
              <w:rPr>
                <w:szCs w:val="21"/>
              </w:rPr>
            </w:pPr>
            <w:r>
              <w:t>-102</w:t>
            </w:r>
          </w:p>
        </w:tc>
        <w:tc>
          <w:tcPr>
            <w:tcW w:w="0" w:type="auto"/>
            <w:vMerge w:val="continue"/>
            <w:vAlign w:val="center"/>
          </w:tcPr>
          <w:p w14:paraId="2F1EC388">
            <w:pPr>
              <w:widowControl w:val="0"/>
              <w:jc w:val="center"/>
              <w:rPr>
                <w:rFonts w:ascii="宋体" w:hAnsi="宋体"/>
                <w:color w:val="000000" w:themeColor="text1"/>
                <w:szCs w:val="21"/>
                <w14:textFill>
                  <w14:solidFill>
                    <w14:schemeClr w14:val="tx1"/>
                  </w14:solidFill>
                </w14:textFill>
              </w:rPr>
            </w:pPr>
          </w:p>
        </w:tc>
      </w:tr>
      <w:tr w14:paraId="2A2D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497ED49">
            <w:pPr>
              <w:widowControl w:val="0"/>
              <w:jc w:val="center"/>
              <w:rPr>
                <w:szCs w:val="21"/>
              </w:rPr>
            </w:pPr>
            <w:r>
              <w:t>11#</w:t>
            </w:r>
          </w:p>
        </w:tc>
        <w:tc>
          <w:tcPr>
            <w:tcW w:w="0" w:type="auto"/>
            <w:shd w:val="clear" w:color="auto" w:fill="auto"/>
            <w:vAlign w:val="center"/>
          </w:tcPr>
          <w:p w14:paraId="33770334">
            <w:pPr>
              <w:widowControl w:val="0"/>
              <w:jc w:val="center"/>
              <w:rPr>
                <w:szCs w:val="21"/>
              </w:rPr>
            </w:pPr>
            <w:r>
              <w:rPr>
                <w:rFonts w:hint="eastAsia"/>
              </w:rPr>
              <w:t>王家</w:t>
            </w:r>
            <w:r>
              <w:rPr>
                <w:rFonts w:hint="eastAsia" w:ascii="微软雅黑" w:hAnsi="微软雅黑" w:eastAsia="微软雅黑" w:cs="微软雅黑"/>
              </w:rPr>
              <w:t>𤧛</w:t>
            </w:r>
          </w:p>
        </w:tc>
        <w:tc>
          <w:tcPr>
            <w:tcW w:w="0" w:type="auto"/>
            <w:shd w:val="clear" w:color="auto" w:fill="auto"/>
            <w:vAlign w:val="center"/>
          </w:tcPr>
          <w:p w14:paraId="77C2BB21">
            <w:pPr>
              <w:widowControl w:val="0"/>
              <w:jc w:val="center"/>
              <w:rPr>
                <w:szCs w:val="21"/>
              </w:rPr>
            </w:pPr>
            <w:r>
              <w:rPr>
                <w:rFonts w:hint="eastAsia"/>
              </w:rPr>
              <w:t>106.860967</w:t>
            </w:r>
          </w:p>
        </w:tc>
        <w:tc>
          <w:tcPr>
            <w:tcW w:w="0" w:type="auto"/>
            <w:shd w:val="clear" w:color="auto" w:fill="auto"/>
            <w:vAlign w:val="center"/>
          </w:tcPr>
          <w:p w14:paraId="0491C7A5">
            <w:pPr>
              <w:widowControl w:val="0"/>
              <w:jc w:val="center"/>
              <w:rPr>
                <w:szCs w:val="21"/>
              </w:rPr>
            </w:pPr>
            <w:r>
              <w:rPr>
                <w:rFonts w:hint="eastAsia"/>
              </w:rPr>
              <w:t>31.806139</w:t>
            </w:r>
          </w:p>
        </w:tc>
        <w:tc>
          <w:tcPr>
            <w:tcW w:w="0" w:type="auto"/>
            <w:shd w:val="clear" w:color="auto" w:fill="auto"/>
            <w:vAlign w:val="center"/>
          </w:tcPr>
          <w:p w14:paraId="67A4B2B8">
            <w:pPr>
              <w:widowControl w:val="0"/>
              <w:jc w:val="center"/>
              <w:rPr>
                <w:szCs w:val="21"/>
              </w:rPr>
            </w:pPr>
            <w:r>
              <w:rPr>
                <w:rFonts w:hint="eastAsia"/>
              </w:rPr>
              <w:t>约150人</w:t>
            </w:r>
          </w:p>
        </w:tc>
        <w:tc>
          <w:tcPr>
            <w:tcW w:w="0" w:type="auto"/>
            <w:vMerge w:val="continue"/>
            <w:vAlign w:val="center"/>
          </w:tcPr>
          <w:p w14:paraId="34693C5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43DE832">
            <w:pPr>
              <w:widowControl w:val="0"/>
              <w:jc w:val="center"/>
              <w:rPr>
                <w:szCs w:val="21"/>
              </w:rPr>
            </w:pPr>
            <w:r>
              <w:t>E</w:t>
            </w:r>
          </w:p>
        </w:tc>
        <w:tc>
          <w:tcPr>
            <w:tcW w:w="0" w:type="auto"/>
            <w:shd w:val="clear" w:color="auto" w:fill="auto"/>
            <w:vAlign w:val="center"/>
          </w:tcPr>
          <w:p w14:paraId="16019E48">
            <w:pPr>
              <w:widowControl w:val="0"/>
              <w:jc w:val="center"/>
              <w:rPr>
                <w:szCs w:val="21"/>
              </w:rPr>
            </w:pPr>
            <w:r>
              <w:t>1931</w:t>
            </w:r>
          </w:p>
        </w:tc>
        <w:tc>
          <w:tcPr>
            <w:tcW w:w="0" w:type="auto"/>
            <w:shd w:val="clear" w:color="auto" w:fill="auto"/>
            <w:vAlign w:val="center"/>
          </w:tcPr>
          <w:p w14:paraId="5721FB02">
            <w:pPr>
              <w:widowControl w:val="0"/>
              <w:jc w:val="center"/>
              <w:rPr>
                <w:szCs w:val="21"/>
              </w:rPr>
            </w:pPr>
            <w:r>
              <w:t>-69</w:t>
            </w:r>
          </w:p>
        </w:tc>
        <w:tc>
          <w:tcPr>
            <w:tcW w:w="0" w:type="auto"/>
            <w:vMerge w:val="continue"/>
            <w:vAlign w:val="center"/>
          </w:tcPr>
          <w:p w14:paraId="4DA7672C">
            <w:pPr>
              <w:widowControl w:val="0"/>
              <w:jc w:val="center"/>
              <w:rPr>
                <w:rFonts w:ascii="宋体" w:hAnsi="宋体"/>
                <w:color w:val="000000" w:themeColor="text1"/>
                <w:szCs w:val="21"/>
                <w14:textFill>
                  <w14:solidFill>
                    <w14:schemeClr w14:val="tx1"/>
                  </w14:solidFill>
                </w14:textFill>
              </w:rPr>
            </w:pPr>
          </w:p>
        </w:tc>
      </w:tr>
      <w:tr w14:paraId="1A44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1D1EB8E">
            <w:pPr>
              <w:widowControl w:val="0"/>
              <w:jc w:val="center"/>
              <w:rPr>
                <w:szCs w:val="21"/>
              </w:rPr>
            </w:pPr>
            <w:r>
              <w:t>12#</w:t>
            </w:r>
          </w:p>
        </w:tc>
        <w:tc>
          <w:tcPr>
            <w:tcW w:w="0" w:type="auto"/>
            <w:shd w:val="clear" w:color="auto" w:fill="auto"/>
            <w:vAlign w:val="center"/>
          </w:tcPr>
          <w:p w14:paraId="1D4687FF">
            <w:pPr>
              <w:widowControl w:val="0"/>
              <w:jc w:val="center"/>
              <w:rPr>
                <w:szCs w:val="21"/>
              </w:rPr>
            </w:pPr>
            <w:r>
              <w:rPr>
                <w:rFonts w:hint="eastAsia"/>
              </w:rPr>
              <w:t>李家湾</w:t>
            </w:r>
          </w:p>
        </w:tc>
        <w:tc>
          <w:tcPr>
            <w:tcW w:w="0" w:type="auto"/>
            <w:shd w:val="clear" w:color="auto" w:fill="auto"/>
            <w:vAlign w:val="center"/>
          </w:tcPr>
          <w:p w14:paraId="35DBFA35">
            <w:pPr>
              <w:widowControl w:val="0"/>
              <w:jc w:val="center"/>
              <w:rPr>
                <w:szCs w:val="21"/>
              </w:rPr>
            </w:pPr>
            <w:r>
              <w:rPr>
                <w:rFonts w:hint="eastAsia"/>
              </w:rPr>
              <w:t>106.858563</w:t>
            </w:r>
          </w:p>
        </w:tc>
        <w:tc>
          <w:tcPr>
            <w:tcW w:w="0" w:type="auto"/>
            <w:shd w:val="clear" w:color="auto" w:fill="auto"/>
            <w:vAlign w:val="center"/>
          </w:tcPr>
          <w:p w14:paraId="531AA269">
            <w:pPr>
              <w:widowControl w:val="0"/>
              <w:jc w:val="center"/>
              <w:rPr>
                <w:szCs w:val="21"/>
              </w:rPr>
            </w:pPr>
            <w:r>
              <w:rPr>
                <w:rFonts w:hint="eastAsia"/>
              </w:rPr>
              <w:t>31.803476</w:t>
            </w:r>
          </w:p>
        </w:tc>
        <w:tc>
          <w:tcPr>
            <w:tcW w:w="0" w:type="auto"/>
            <w:shd w:val="clear" w:color="auto" w:fill="auto"/>
            <w:vAlign w:val="center"/>
          </w:tcPr>
          <w:p w14:paraId="3FD58A35">
            <w:pPr>
              <w:widowControl w:val="0"/>
              <w:jc w:val="center"/>
              <w:rPr>
                <w:szCs w:val="21"/>
              </w:rPr>
            </w:pPr>
            <w:r>
              <w:rPr>
                <w:rFonts w:hint="eastAsia"/>
              </w:rPr>
              <w:t>约90人</w:t>
            </w:r>
          </w:p>
        </w:tc>
        <w:tc>
          <w:tcPr>
            <w:tcW w:w="0" w:type="auto"/>
            <w:vMerge w:val="continue"/>
            <w:vAlign w:val="center"/>
          </w:tcPr>
          <w:p w14:paraId="7E23FAF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55F4B77">
            <w:pPr>
              <w:widowControl w:val="0"/>
              <w:jc w:val="center"/>
              <w:rPr>
                <w:szCs w:val="21"/>
              </w:rPr>
            </w:pPr>
            <w:r>
              <w:t>E</w:t>
            </w:r>
          </w:p>
        </w:tc>
        <w:tc>
          <w:tcPr>
            <w:tcW w:w="0" w:type="auto"/>
            <w:shd w:val="clear" w:color="auto" w:fill="auto"/>
            <w:vAlign w:val="center"/>
          </w:tcPr>
          <w:p w14:paraId="73DEF290">
            <w:pPr>
              <w:widowControl w:val="0"/>
              <w:jc w:val="center"/>
              <w:rPr>
                <w:szCs w:val="21"/>
              </w:rPr>
            </w:pPr>
            <w:r>
              <w:t>1837</w:t>
            </w:r>
          </w:p>
        </w:tc>
        <w:tc>
          <w:tcPr>
            <w:tcW w:w="0" w:type="auto"/>
            <w:shd w:val="clear" w:color="auto" w:fill="auto"/>
            <w:vAlign w:val="center"/>
          </w:tcPr>
          <w:p w14:paraId="4B0C7273">
            <w:pPr>
              <w:widowControl w:val="0"/>
              <w:jc w:val="center"/>
              <w:rPr>
                <w:szCs w:val="21"/>
              </w:rPr>
            </w:pPr>
            <w:r>
              <w:t>-81</w:t>
            </w:r>
          </w:p>
        </w:tc>
        <w:tc>
          <w:tcPr>
            <w:tcW w:w="0" w:type="auto"/>
            <w:vMerge w:val="continue"/>
            <w:vAlign w:val="center"/>
          </w:tcPr>
          <w:p w14:paraId="378F9499">
            <w:pPr>
              <w:widowControl w:val="0"/>
              <w:jc w:val="center"/>
              <w:rPr>
                <w:rFonts w:ascii="宋体" w:hAnsi="宋体"/>
                <w:color w:val="000000" w:themeColor="text1"/>
                <w:szCs w:val="21"/>
                <w14:textFill>
                  <w14:solidFill>
                    <w14:schemeClr w14:val="tx1"/>
                  </w14:solidFill>
                </w14:textFill>
              </w:rPr>
            </w:pPr>
          </w:p>
        </w:tc>
      </w:tr>
      <w:tr w14:paraId="2F60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5DCFA28">
            <w:pPr>
              <w:widowControl w:val="0"/>
              <w:jc w:val="center"/>
              <w:rPr>
                <w:szCs w:val="21"/>
              </w:rPr>
            </w:pPr>
            <w:r>
              <w:t>13#</w:t>
            </w:r>
          </w:p>
        </w:tc>
        <w:tc>
          <w:tcPr>
            <w:tcW w:w="0" w:type="auto"/>
            <w:shd w:val="clear" w:color="auto" w:fill="auto"/>
            <w:vAlign w:val="center"/>
          </w:tcPr>
          <w:p w14:paraId="7975AECA">
            <w:pPr>
              <w:widowControl w:val="0"/>
              <w:jc w:val="center"/>
              <w:rPr>
                <w:szCs w:val="21"/>
              </w:rPr>
            </w:pPr>
            <w:r>
              <w:rPr>
                <w:rFonts w:hint="eastAsia"/>
              </w:rPr>
              <w:t>佛龙村</w:t>
            </w:r>
          </w:p>
        </w:tc>
        <w:tc>
          <w:tcPr>
            <w:tcW w:w="0" w:type="auto"/>
            <w:shd w:val="clear" w:color="auto" w:fill="auto"/>
            <w:vAlign w:val="center"/>
          </w:tcPr>
          <w:p w14:paraId="32BF688E">
            <w:pPr>
              <w:widowControl w:val="0"/>
              <w:jc w:val="center"/>
              <w:rPr>
                <w:szCs w:val="21"/>
              </w:rPr>
            </w:pPr>
            <w:r>
              <w:rPr>
                <w:rFonts w:hint="eastAsia"/>
              </w:rPr>
              <w:t>106.83996</w:t>
            </w:r>
          </w:p>
        </w:tc>
        <w:tc>
          <w:tcPr>
            <w:tcW w:w="0" w:type="auto"/>
            <w:shd w:val="clear" w:color="auto" w:fill="auto"/>
            <w:vAlign w:val="center"/>
          </w:tcPr>
          <w:p w14:paraId="741ADC16">
            <w:pPr>
              <w:widowControl w:val="0"/>
              <w:jc w:val="center"/>
              <w:rPr>
                <w:szCs w:val="21"/>
              </w:rPr>
            </w:pPr>
            <w:r>
              <w:rPr>
                <w:rFonts w:hint="eastAsia"/>
              </w:rPr>
              <w:t>31.801853</w:t>
            </w:r>
          </w:p>
        </w:tc>
        <w:tc>
          <w:tcPr>
            <w:tcW w:w="0" w:type="auto"/>
            <w:shd w:val="clear" w:color="auto" w:fill="auto"/>
            <w:vAlign w:val="center"/>
          </w:tcPr>
          <w:p w14:paraId="457A234A">
            <w:pPr>
              <w:widowControl w:val="0"/>
              <w:jc w:val="center"/>
              <w:rPr>
                <w:szCs w:val="21"/>
              </w:rPr>
            </w:pPr>
            <w:r>
              <w:rPr>
                <w:rFonts w:hint="eastAsia"/>
              </w:rPr>
              <w:t>约105人</w:t>
            </w:r>
          </w:p>
        </w:tc>
        <w:tc>
          <w:tcPr>
            <w:tcW w:w="0" w:type="auto"/>
            <w:vMerge w:val="continue"/>
            <w:vAlign w:val="center"/>
          </w:tcPr>
          <w:p w14:paraId="79A8ABE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6D82EA3">
            <w:pPr>
              <w:widowControl w:val="0"/>
              <w:jc w:val="center"/>
              <w:rPr>
                <w:szCs w:val="21"/>
              </w:rPr>
            </w:pPr>
            <w:r>
              <w:t>E</w:t>
            </w:r>
          </w:p>
        </w:tc>
        <w:tc>
          <w:tcPr>
            <w:tcW w:w="0" w:type="auto"/>
            <w:shd w:val="clear" w:color="auto" w:fill="auto"/>
            <w:vAlign w:val="center"/>
          </w:tcPr>
          <w:p w14:paraId="3E81FC28">
            <w:pPr>
              <w:widowControl w:val="0"/>
              <w:jc w:val="center"/>
              <w:rPr>
                <w:szCs w:val="21"/>
              </w:rPr>
            </w:pPr>
            <w:r>
              <w:t>137</w:t>
            </w:r>
          </w:p>
        </w:tc>
        <w:tc>
          <w:tcPr>
            <w:tcW w:w="0" w:type="auto"/>
            <w:shd w:val="clear" w:color="auto" w:fill="auto"/>
            <w:vAlign w:val="center"/>
          </w:tcPr>
          <w:p w14:paraId="1BB35550">
            <w:pPr>
              <w:widowControl w:val="0"/>
              <w:jc w:val="center"/>
              <w:rPr>
                <w:szCs w:val="21"/>
              </w:rPr>
            </w:pPr>
            <w:r>
              <w:t>-88</w:t>
            </w:r>
          </w:p>
        </w:tc>
        <w:tc>
          <w:tcPr>
            <w:tcW w:w="0" w:type="auto"/>
            <w:vMerge w:val="continue"/>
            <w:vAlign w:val="center"/>
          </w:tcPr>
          <w:p w14:paraId="49DC9C2E">
            <w:pPr>
              <w:widowControl w:val="0"/>
              <w:jc w:val="center"/>
              <w:rPr>
                <w:rFonts w:ascii="宋体" w:hAnsi="宋体"/>
                <w:color w:val="000000" w:themeColor="text1"/>
                <w:szCs w:val="21"/>
                <w14:textFill>
                  <w14:solidFill>
                    <w14:schemeClr w14:val="tx1"/>
                  </w14:solidFill>
                </w14:textFill>
              </w:rPr>
            </w:pPr>
          </w:p>
        </w:tc>
      </w:tr>
      <w:tr w14:paraId="62E7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DBBC4DE">
            <w:pPr>
              <w:widowControl w:val="0"/>
              <w:jc w:val="center"/>
              <w:rPr>
                <w:szCs w:val="21"/>
              </w:rPr>
            </w:pPr>
            <w:r>
              <w:t>14#</w:t>
            </w:r>
          </w:p>
        </w:tc>
        <w:tc>
          <w:tcPr>
            <w:tcW w:w="0" w:type="auto"/>
            <w:shd w:val="clear" w:color="auto" w:fill="auto"/>
            <w:vAlign w:val="center"/>
          </w:tcPr>
          <w:p w14:paraId="377C4B5F">
            <w:pPr>
              <w:widowControl w:val="0"/>
              <w:jc w:val="center"/>
              <w:rPr>
                <w:szCs w:val="21"/>
              </w:rPr>
            </w:pPr>
            <w:r>
              <w:rPr>
                <w:rFonts w:hint="eastAsia"/>
              </w:rPr>
              <w:t>李家</w:t>
            </w:r>
            <w:r>
              <w:rPr>
                <w:rFonts w:hint="eastAsia" w:ascii="微软雅黑" w:hAnsi="微软雅黑" w:eastAsia="微软雅黑" w:cs="微软雅黑"/>
              </w:rPr>
              <w:t>𤧛</w:t>
            </w:r>
          </w:p>
        </w:tc>
        <w:tc>
          <w:tcPr>
            <w:tcW w:w="0" w:type="auto"/>
            <w:shd w:val="clear" w:color="auto" w:fill="auto"/>
            <w:vAlign w:val="center"/>
          </w:tcPr>
          <w:p w14:paraId="3664435E">
            <w:pPr>
              <w:widowControl w:val="0"/>
              <w:jc w:val="center"/>
              <w:rPr>
                <w:szCs w:val="21"/>
              </w:rPr>
            </w:pPr>
            <w:r>
              <w:rPr>
                <w:rFonts w:hint="eastAsia"/>
              </w:rPr>
              <w:t>106.840925</w:t>
            </w:r>
          </w:p>
        </w:tc>
        <w:tc>
          <w:tcPr>
            <w:tcW w:w="0" w:type="auto"/>
            <w:shd w:val="clear" w:color="auto" w:fill="auto"/>
            <w:vAlign w:val="center"/>
          </w:tcPr>
          <w:p w14:paraId="3F794E68">
            <w:pPr>
              <w:widowControl w:val="0"/>
              <w:jc w:val="center"/>
              <w:rPr>
                <w:szCs w:val="21"/>
              </w:rPr>
            </w:pPr>
            <w:r>
              <w:rPr>
                <w:rFonts w:hint="eastAsia"/>
              </w:rPr>
              <w:t>31.797002</w:t>
            </w:r>
          </w:p>
        </w:tc>
        <w:tc>
          <w:tcPr>
            <w:tcW w:w="0" w:type="auto"/>
            <w:shd w:val="clear" w:color="auto" w:fill="auto"/>
            <w:vAlign w:val="center"/>
          </w:tcPr>
          <w:p w14:paraId="2BC1BCC8">
            <w:pPr>
              <w:widowControl w:val="0"/>
              <w:jc w:val="center"/>
              <w:rPr>
                <w:szCs w:val="21"/>
              </w:rPr>
            </w:pPr>
            <w:r>
              <w:rPr>
                <w:rFonts w:hint="eastAsia"/>
              </w:rPr>
              <w:t>约150人</w:t>
            </w:r>
          </w:p>
        </w:tc>
        <w:tc>
          <w:tcPr>
            <w:tcW w:w="0" w:type="auto"/>
            <w:vMerge w:val="continue"/>
            <w:vAlign w:val="center"/>
          </w:tcPr>
          <w:p w14:paraId="427405B2">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80B4A9D">
            <w:pPr>
              <w:widowControl w:val="0"/>
              <w:jc w:val="center"/>
              <w:rPr>
                <w:szCs w:val="21"/>
              </w:rPr>
            </w:pPr>
            <w:r>
              <w:t>E</w:t>
            </w:r>
          </w:p>
        </w:tc>
        <w:tc>
          <w:tcPr>
            <w:tcW w:w="0" w:type="auto"/>
            <w:shd w:val="clear" w:color="auto" w:fill="auto"/>
            <w:vAlign w:val="center"/>
          </w:tcPr>
          <w:p w14:paraId="643A57C7">
            <w:pPr>
              <w:widowControl w:val="0"/>
              <w:jc w:val="center"/>
              <w:rPr>
                <w:szCs w:val="21"/>
              </w:rPr>
            </w:pPr>
            <w:r>
              <w:t>140</w:t>
            </w:r>
          </w:p>
        </w:tc>
        <w:tc>
          <w:tcPr>
            <w:tcW w:w="0" w:type="auto"/>
            <w:shd w:val="clear" w:color="auto" w:fill="auto"/>
            <w:vAlign w:val="center"/>
          </w:tcPr>
          <w:p w14:paraId="2D46591E">
            <w:pPr>
              <w:widowControl w:val="0"/>
              <w:jc w:val="center"/>
              <w:rPr>
                <w:szCs w:val="21"/>
              </w:rPr>
            </w:pPr>
            <w:r>
              <w:t>-60</w:t>
            </w:r>
          </w:p>
        </w:tc>
        <w:tc>
          <w:tcPr>
            <w:tcW w:w="0" w:type="auto"/>
            <w:vMerge w:val="continue"/>
            <w:vAlign w:val="center"/>
          </w:tcPr>
          <w:p w14:paraId="7ED595FB">
            <w:pPr>
              <w:widowControl w:val="0"/>
              <w:jc w:val="center"/>
              <w:rPr>
                <w:rFonts w:ascii="宋体" w:hAnsi="宋体"/>
                <w:color w:val="000000" w:themeColor="text1"/>
                <w:szCs w:val="21"/>
                <w14:textFill>
                  <w14:solidFill>
                    <w14:schemeClr w14:val="tx1"/>
                  </w14:solidFill>
                </w14:textFill>
              </w:rPr>
            </w:pPr>
          </w:p>
        </w:tc>
      </w:tr>
      <w:tr w14:paraId="4E08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FFC054B">
            <w:pPr>
              <w:widowControl w:val="0"/>
              <w:jc w:val="center"/>
              <w:rPr>
                <w:szCs w:val="21"/>
              </w:rPr>
            </w:pPr>
            <w:r>
              <w:t>15#</w:t>
            </w:r>
          </w:p>
        </w:tc>
        <w:tc>
          <w:tcPr>
            <w:tcW w:w="0" w:type="auto"/>
            <w:shd w:val="clear" w:color="auto" w:fill="auto"/>
            <w:vAlign w:val="center"/>
          </w:tcPr>
          <w:p w14:paraId="3264047C">
            <w:pPr>
              <w:widowControl w:val="0"/>
              <w:jc w:val="center"/>
              <w:rPr>
                <w:szCs w:val="21"/>
              </w:rPr>
            </w:pPr>
            <w:r>
              <w:rPr>
                <w:rFonts w:hint="eastAsia"/>
              </w:rPr>
              <w:t>春树沟</w:t>
            </w:r>
          </w:p>
        </w:tc>
        <w:tc>
          <w:tcPr>
            <w:tcW w:w="0" w:type="auto"/>
            <w:shd w:val="clear" w:color="auto" w:fill="auto"/>
            <w:vAlign w:val="center"/>
          </w:tcPr>
          <w:p w14:paraId="420CD4CD">
            <w:pPr>
              <w:widowControl w:val="0"/>
              <w:jc w:val="center"/>
              <w:rPr>
                <w:szCs w:val="21"/>
              </w:rPr>
            </w:pPr>
            <w:r>
              <w:rPr>
                <w:rFonts w:hint="eastAsia"/>
              </w:rPr>
              <w:t>106.859855</w:t>
            </w:r>
          </w:p>
        </w:tc>
        <w:tc>
          <w:tcPr>
            <w:tcW w:w="0" w:type="auto"/>
            <w:shd w:val="clear" w:color="auto" w:fill="auto"/>
            <w:vAlign w:val="center"/>
          </w:tcPr>
          <w:p w14:paraId="014C8874">
            <w:pPr>
              <w:widowControl w:val="0"/>
              <w:jc w:val="center"/>
              <w:rPr>
                <w:szCs w:val="21"/>
              </w:rPr>
            </w:pPr>
            <w:r>
              <w:rPr>
                <w:rFonts w:hint="eastAsia"/>
              </w:rPr>
              <w:t>31.798861</w:t>
            </w:r>
          </w:p>
        </w:tc>
        <w:tc>
          <w:tcPr>
            <w:tcW w:w="0" w:type="auto"/>
            <w:shd w:val="clear" w:color="auto" w:fill="auto"/>
            <w:vAlign w:val="center"/>
          </w:tcPr>
          <w:p w14:paraId="701B84A8">
            <w:pPr>
              <w:widowControl w:val="0"/>
              <w:jc w:val="center"/>
              <w:rPr>
                <w:szCs w:val="21"/>
              </w:rPr>
            </w:pPr>
            <w:r>
              <w:rPr>
                <w:rFonts w:hint="eastAsia"/>
              </w:rPr>
              <w:t>约75人</w:t>
            </w:r>
          </w:p>
        </w:tc>
        <w:tc>
          <w:tcPr>
            <w:tcW w:w="0" w:type="auto"/>
            <w:vMerge w:val="continue"/>
            <w:vAlign w:val="center"/>
          </w:tcPr>
          <w:p w14:paraId="6ABD1BE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3E4C130">
            <w:pPr>
              <w:widowControl w:val="0"/>
              <w:jc w:val="center"/>
              <w:rPr>
                <w:szCs w:val="21"/>
              </w:rPr>
            </w:pPr>
            <w:r>
              <w:t>E</w:t>
            </w:r>
          </w:p>
        </w:tc>
        <w:tc>
          <w:tcPr>
            <w:tcW w:w="0" w:type="auto"/>
            <w:shd w:val="clear" w:color="auto" w:fill="auto"/>
            <w:vAlign w:val="center"/>
          </w:tcPr>
          <w:p w14:paraId="29D43ED5">
            <w:pPr>
              <w:widowControl w:val="0"/>
              <w:jc w:val="center"/>
              <w:rPr>
                <w:szCs w:val="21"/>
              </w:rPr>
            </w:pPr>
            <w:r>
              <w:t>2052</w:t>
            </w:r>
          </w:p>
        </w:tc>
        <w:tc>
          <w:tcPr>
            <w:tcW w:w="0" w:type="auto"/>
            <w:shd w:val="clear" w:color="auto" w:fill="auto"/>
            <w:vAlign w:val="center"/>
          </w:tcPr>
          <w:p w14:paraId="4E7B368A">
            <w:pPr>
              <w:widowControl w:val="0"/>
              <w:jc w:val="center"/>
              <w:rPr>
                <w:szCs w:val="21"/>
              </w:rPr>
            </w:pPr>
            <w:r>
              <w:t>-118</w:t>
            </w:r>
          </w:p>
        </w:tc>
        <w:tc>
          <w:tcPr>
            <w:tcW w:w="0" w:type="auto"/>
            <w:vMerge w:val="continue"/>
            <w:vAlign w:val="center"/>
          </w:tcPr>
          <w:p w14:paraId="67E818B5">
            <w:pPr>
              <w:widowControl w:val="0"/>
              <w:jc w:val="center"/>
              <w:rPr>
                <w:rFonts w:ascii="宋体" w:hAnsi="宋体"/>
                <w:color w:val="000000" w:themeColor="text1"/>
                <w:szCs w:val="21"/>
                <w14:textFill>
                  <w14:solidFill>
                    <w14:schemeClr w14:val="tx1"/>
                  </w14:solidFill>
                </w14:textFill>
              </w:rPr>
            </w:pPr>
          </w:p>
        </w:tc>
      </w:tr>
      <w:tr w14:paraId="4183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0D1042C">
            <w:pPr>
              <w:widowControl w:val="0"/>
              <w:jc w:val="center"/>
              <w:rPr>
                <w:szCs w:val="21"/>
              </w:rPr>
            </w:pPr>
            <w:r>
              <w:t>16#</w:t>
            </w:r>
          </w:p>
        </w:tc>
        <w:tc>
          <w:tcPr>
            <w:tcW w:w="0" w:type="auto"/>
            <w:shd w:val="clear" w:color="auto" w:fill="auto"/>
            <w:vAlign w:val="center"/>
          </w:tcPr>
          <w:p w14:paraId="4D99FE79">
            <w:pPr>
              <w:widowControl w:val="0"/>
              <w:jc w:val="center"/>
              <w:rPr>
                <w:szCs w:val="21"/>
              </w:rPr>
            </w:pPr>
            <w:r>
              <w:rPr>
                <w:rFonts w:hint="eastAsia"/>
              </w:rPr>
              <w:t>李家梁</w:t>
            </w:r>
          </w:p>
        </w:tc>
        <w:tc>
          <w:tcPr>
            <w:tcW w:w="0" w:type="auto"/>
            <w:shd w:val="clear" w:color="auto" w:fill="auto"/>
            <w:vAlign w:val="center"/>
          </w:tcPr>
          <w:p w14:paraId="27C456C7">
            <w:pPr>
              <w:widowControl w:val="0"/>
              <w:jc w:val="center"/>
              <w:rPr>
                <w:szCs w:val="21"/>
              </w:rPr>
            </w:pPr>
            <w:r>
              <w:rPr>
                <w:rFonts w:hint="eastAsia"/>
              </w:rPr>
              <w:t>106.848907</w:t>
            </w:r>
          </w:p>
        </w:tc>
        <w:tc>
          <w:tcPr>
            <w:tcW w:w="0" w:type="auto"/>
            <w:shd w:val="clear" w:color="auto" w:fill="auto"/>
            <w:vAlign w:val="center"/>
          </w:tcPr>
          <w:p w14:paraId="3241DC92">
            <w:pPr>
              <w:widowControl w:val="0"/>
              <w:jc w:val="center"/>
              <w:rPr>
                <w:szCs w:val="21"/>
              </w:rPr>
            </w:pPr>
            <w:r>
              <w:rPr>
                <w:rFonts w:hint="eastAsia"/>
              </w:rPr>
              <w:t>31.79319</w:t>
            </w:r>
          </w:p>
        </w:tc>
        <w:tc>
          <w:tcPr>
            <w:tcW w:w="0" w:type="auto"/>
            <w:shd w:val="clear" w:color="auto" w:fill="auto"/>
            <w:vAlign w:val="center"/>
          </w:tcPr>
          <w:p w14:paraId="23B7A36F">
            <w:pPr>
              <w:widowControl w:val="0"/>
              <w:jc w:val="center"/>
              <w:rPr>
                <w:szCs w:val="21"/>
              </w:rPr>
            </w:pPr>
            <w:r>
              <w:rPr>
                <w:rFonts w:hint="eastAsia"/>
              </w:rPr>
              <w:t>约180人</w:t>
            </w:r>
          </w:p>
        </w:tc>
        <w:tc>
          <w:tcPr>
            <w:tcW w:w="0" w:type="auto"/>
            <w:vMerge w:val="continue"/>
            <w:vAlign w:val="center"/>
          </w:tcPr>
          <w:p w14:paraId="57059D5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D72A991">
            <w:pPr>
              <w:widowControl w:val="0"/>
              <w:jc w:val="center"/>
              <w:rPr>
                <w:szCs w:val="21"/>
              </w:rPr>
            </w:pPr>
            <w:r>
              <w:t>SE</w:t>
            </w:r>
          </w:p>
        </w:tc>
        <w:tc>
          <w:tcPr>
            <w:tcW w:w="0" w:type="auto"/>
            <w:shd w:val="clear" w:color="auto" w:fill="auto"/>
            <w:vAlign w:val="center"/>
          </w:tcPr>
          <w:p w14:paraId="02DFDCAC">
            <w:pPr>
              <w:widowControl w:val="0"/>
              <w:jc w:val="center"/>
              <w:rPr>
                <w:szCs w:val="21"/>
              </w:rPr>
            </w:pPr>
            <w:r>
              <w:t>1255</w:t>
            </w:r>
          </w:p>
        </w:tc>
        <w:tc>
          <w:tcPr>
            <w:tcW w:w="0" w:type="auto"/>
            <w:shd w:val="clear" w:color="auto" w:fill="auto"/>
            <w:vAlign w:val="center"/>
          </w:tcPr>
          <w:p w14:paraId="6121606A">
            <w:pPr>
              <w:widowControl w:val="0"/>
              <w:jc w:val="center"/>
              <w:rPr>
                <w:szCs w:val="21"/>
              </w:rPr>
            </w:pPr>
            <w:r>
              <w:t>-65</w:t>
            </w:r>
          </w:p>
        </w:tc>
        <w:tc>
          <w:tcPr>
            <w:tcW w:w="0" w:type="auto"/>
            <w:vMerge w:val="continue"/>
            <w:vAlign w:val="center"/>
          </w:tcPr>
          <w:p w14:paraId="587CA99C">
            <w:pPr>
              <w:widowControl w:val="0"/>
              <w:jc w:val="center"/>
              <w:rPr>
                <w:rFonts w:ascii="宋体" w:hAnsi="宋体"/>
                <w:color w:val="000000" w:themeColor="text1"/>
                <w:szCs w:val="21"/>
                <w14:textFill>
                  <w14:solidFill>
                    <w14:schemeClr w14:val="tx1"/>
                  </w14:solidFill>
                </w14:textFill>
              </w:rPr>
            </w:pPr>
          </w:p>
        </w:tc>
      </w:tr>
      <w:tr w14:paraId="4FCA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CCFB962">
            <w:pPr>
              <w:widowControl w:val="0"/>
              <w:jc w:val="center"/>
              <w:rPr>
                <w:szCs w:val="21"/>
              </w:rPr>
            </w:pPr>
            <w:r>
              <w:t>17#</w:t>
            </w:r>
          </w:p>
        </w:tc>
        <w:tc>
          <w:tcPr>
            <w:tcW w:w="0" w:type="auto"/>
            <w:shd w:val="clear" w:color="auto" w:fill="auto"/>
            <w:vAlign w:val="center"/>
          </w:tcPr>
          <w:p w14:paraId="7807CED9">
            <w:pPr>
              <w:widowControl w:val="0"/>
              <w:jc w:val="center"/>
              <w:rPr>
                <w:szCs w:val="21"/>
              </w:rPr>
            </w:pPr>
            <w:r>
              <w:rPr>
                <w:rFonts w:hint="eastAsia"/>
              </w:rPr>
              <w:t>李家镇</w:t>
            </w:r>
          </w:p>
        </w:tc>
        <w:tc>
          <w:tcPr>
            <w:tcW w:w="0" w:type="auto"/>
            <w:shd w:val="clear" w:color="auto" w:fill="auto"/>
            <w:vAlign w:val="center"/>
          </w:tcPr>
          <w:p w14:paraId="5E974A8C">
            <w:pPr>
              <w:widowControl w:val="0"/>
              <w:jc w:val="center"/>
              <w:rPr>
                <w:szCs w:val="21"/>
              </w:rPr>
            </w:pPr>
            <w:r>
              <w:rPr>
                <w:rFonts w:hint="eastAsia"/>
              </w:rPr>
              <w:t>106.851697</w:t>
            </w:r>
          </w:p>
        </w:tc>
        <w:tc>
          <w:tcPr>
            <w:tcW w:w="0" w:type="auto"/>
            <w:shd w:val="clear" w:color="auto" w:fill="auto"/>
            <w:vAlign w:val="center"/>
          </w:tcPr>
          <w:p w14:paraId="6D13D677">
            <w:pPr>
              <w:widowControl w:val="0"/>
              <w:jc w:val="center"/>
              <w:rPr>
                <w:szCs w:val="21"/>
              </w:rPr>
            </w:pPr>
            <w:r>
              <w:rPr>
                <w:rFonts w:hint="eastAsia"/>
              </w:rPr>
              <w:t>31.794431</w:t>
            </w:r>
          </w:p>
        </w:tc>
        <w:tc>
          <w:tcPr>
            <w:tcW w:w="0" w:type="auto"/>
            <w:shd w:val="clear" w:color="auto" w:fill="auto"/>
            <w:vAlign w:val="center"/>
          </w:tcPr>
          <w:p w14:paraId="2D178BDE">
            <w:pPr>
              <w:widowControl w:val="0"/>
              <w:jc w:val="center"/>
              <w:rPr>
                <w:szCs w:val="21"/>
              </w:rPr>
            </w:pPr>
            <w:r>
              <w:rPr>
                <w:rFonts w:hint="eastAsia"/>
              </w:rPr>
              <w:t>约600人</w:t>
            </w:r>
          </w:p>
        </w:tc>
        <w:tc>
          <w:tcPr>
            <w:tcW w:w="0" w:type="auto"/>
            <w:vMerge w:val="continue"/>
            <w:vAlign w:val="center"/>
          </w:tcPr>
          <w:p w14:paraId="7B5D883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E3F3ACF">
            <w:pPr>
              <w:widowControl w:val="0"/>
              <w:jc w:val="center"/>
              <w:rPr>
                <w:szCs w:val="21"/>
              </w:rPr>
            </w:pPr>
            <w:r>
              <w:t>SE</w:t>
            </w:r>
          </w:p>
        </w:tc>
        <w:tc>
          <w:tcPr>
            <w:tcW w:w="0" w:type="auto"/>
            <w:shd w:val="clear" w:color="auto" w:fill="auto"/>
            <w:vAlign w:val="center"/>
          </w:tcPr>
          <w:p w14:paraId="6AC00438">
            <w:pPr>
              <w:widowControl w:val="0"/>
              <w:jc w:val="center"/>
              <w:rPr>
                <w:szCs w:val="21"/>
              </w:rPr>
            </w:pPr>
            <w:r>
              <w:t>1335</w:t>
            </w:r>
          </w:p>
        </w:tc>
        <w:tc>
          <w:tcPr>
            <w:tcW w:w="0" w:type="auto"/>
            <w:shd w:val="clear" w:color="auto" w:fill="auto"/>
            <w:vAlign w:val="center"/>
          </w:tcPr>
          <w:p w14:paraId="636EBD32">
            <w:pPr>
              <w:widowControl w:val="0"/>
              <w:jc w:val="center"/>
              <w:rPr>
                <w:szCs w:val="21"/>
              </w:rPr>
            </w:pPr>
            <w:r>
              <w:t>-91</w:t>
            </w:r>
          </w:p>
        </w:tc>
        <w:tc>
          <w:tcPr>
            <w:tcW w:w="0" w:type="auto"/>
            <w:vMerge w:val="continue"/>
            <w:vAlign w:val="center"/>
          </w:tcPr>
          <w:p w14:paraId="2A5D13BD">
            <w:pPr>
              <w:widowControl w:val="0"/>
              <w:jc w:val="center"/>
              <w:rPr>
                <w:rFonts w:ascii="宋体" w:hAnsi="宋体"/>
                <w:color w:val="000000" w:themeColor="text1"/>
                <w:szCs w:val="21"/>
                <w14:textFill>
                  <w14:solidFill>
                    <w14:schemeClr w14:val="tx1"/>
                  </w14:solidFill>
                </w14:textFill>
              </w:rPr>
            </w:pPr>
          </w:p>
        </w:tc>
      </w:tr>
      <w:tr w14:paraId="021C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0095761">
            <w:pPr>
              <w:widowControl w:val="0"/>
              <w:jc w:val="center"/>
              <w:rPr>
                <w:szCs w:val="21"/>
              </w:rPr>
            </w:pPr>
            <w:r>
              <w:t>18#</w:t>
            </w:r>
          </w:p>
        </w:tc>
        <w:tc>
          <w:tcPr>
            <w:tcW w:w="0" w:type="auto"/>
            <w:shd w:val="clear" w:color="auto" w:fill="auto"/>
            <w:vAlign w:val="center"/>
          </w:tcPr>
          <w:p w14:paraId="5169DF48">
            <w:pPr>
              <w:widowControl w:val="0"/>
              <w:jc w:val="center"/>
              <w:rPr>
                <w:szCs w:val="21"/>
              </w:rPr>
            </w:pPr>
            <w:r>
              <w:rPr>
                <w:rFonts w:hint="eastAsia"/>
              </w:rPr>
              <w:t>张家大院子</w:t>
            </w:r>
          </w:p>
        </w:tc>
        <w:tc>
          <w:tcPr>
            <w:tcW w:w="0" w:type="auto"/>
            <w:shd w:val="clear" w:color="auto" w:fill="auto"/>
            <w:vAlign w:val="center"/>
          </w:tcPr>
          <w:p w14:paraId="65A7AC17">
            <w:pPr>
              <w:widowControl w:val="0"/>
              <w:jc w:val="center"/>
              <w:rPr>
                <w:szCs w:val="21"/>
              </w:rPr>
            </w:pPr>
            <w:r>
              <w:rPr>
                <w:rFonts w:hint="eastAsia"/>
              </w:rPr>
              <w:t>106.856997</w:t>
            </w:r>
          </w:p>
        </w:tc>
        <w:tc>
          <w:tcPr>
            <w:tcW w:w="0" w:type="auto"/>
            <w:shd w:val="clear" w:color="auto" w:fill="auto"/>
            <w:vAlign w:val="center"/>
          </w:tcPr>
          <w:p w14:paraId="6C81CD83">
            <w:pPr>
              <w:widowControl w:val="0"/>
              <w:jc w:val="center"/>
              <w:rPr>
                <w:szCs w:val="21"/>
              </w:rPr>
            </w:pPr>
            <w:r>
              <w:rPr>
                <w:rFonts w:hint="eastAsia"/>
              </w:rPr>
              <w:t>31.79268</w:t>
            </w:r>
          </w:p>
        </w:tc>
        <w:tc>
          <w:tcPr>
            <w:tcW w:w="0" w:type="auto"/>
            <w:shd w:val="clear" w:color="auto" w:fill="auto"/>
            <w:vAlign w:val="center"/>
          </w:tcPr>
          <w:p w14:paraId="4AB60EA7">
            <w:pPr>
              <w:widowControl w:val="0"/>
              <w:jc w:val="center"/>
              <w:rPr>
                <w:szCs w:val="21"/>
              </w:rPr>
            </w:pPr>
            <w:r>
              <w:rPr>
                <w:rFonts w:hint="eastAsia"/>
              </w:rPr>
              <w:t>约75人</w:t>
            </w:r>
          </w:p>
        </w:tc>
        <w:tc>
          <w:tcPr>
            <w:tcW w:w="0" w:type="auto"/>
            <w:vMerge w:val="continue"/>
            <w:vAlign w:val="center"/>
          </w:tcPr>
          <w:p w14:paraId="455D0472">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C8052D9">
            <w:pPr>
              <w:widowControl w:val="0"/>
              <w:jc w:val="center"/>
              <w:rPr>
                <w:szCs w:val="21"/>
              </w:rPr>
            </w:pPr>
            <w:r>
              <w:t>SE</w:t>
            </w:r>
          </w:p>
        </w:tc>
        <w:tc>
          <w:tcPr>
            <w:tcW w:w="0" w:type="auto"/>
            <w:shd w:val="clear" w:color="auto" w:fill="auto"/>
            <w:vAlign w:val="center"/>
          </w:tcPr>
          <w:p w14:paraId="01F7029D">
            <w:pPr>
              <w:widowControl w:val="0"/>
              <w:jc w:val="center"/>
              <w:rPr>
                <w:szCs w:val="21"/>
              </w:rPr>
            </w:pPr>
            <w:r>
              <w:t>1882</w:t>
            </w:r>
          </w:p>
        </w:tc>
        <w:tc>
          <w:tcPr>
            <w:tcW w:w="0" w:type="auto"/>
            <w:shd w:val="clear" w:color="auto" w:fill="auto"/>
            <w:vAlign w:val="center"/>
          </w:tcPr>
          <w:p w14:paraId="7C2BE1DA">
            <w:pPr>
              <w:widowControl w:val="0"/>
              <w:jc w:val="center"/>
              <w:rPr>
                <w:szCs w:val="21"/>
              </w:rPr>
            </w:pPr>
            <w:r>
              <w:t>-179</w:t>
            </w:r>
          </w:p>
        </w:tc>
        <w:tc>
          <w:tcPr>
            <w:tcW w:w="0" w:type="auto"/>
            <w:vMerge w:val="continue"/>
            <w:vAlign w:val="center"/>
          </w:tcPr>
          <w:p w14:paraId="3A845778">
            <w:pPr>
              <w:widowControl w:val="0"/>
              <w:jc w:val="center"/>
              <w:rPr>
                <w:rFonts w:ascii="宋体" w:hAnsi="宋体"/>
                <w:color w:val="000000" w:themeColor="text1"/>
                <w:szCs w:val="21"/>
                <w14:textFill>
                  <w14:solidFill>
                    <w14:schemeClr w14:val="tx1"/>
                  </w14:solidFill>
                </w14:textFill>
              </w:rPr>
            </w:pPr>
          </w:p>
        </w:tc>
      </w:tr>
      <w:tr w14:paraId="10347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7DE059B">
            <w:pPr>
              <w:widowControl w:val="0"/>
              <w:jc w:val="center"/>
              <w:rPr>
                <w:szCs w:val="21"/>
              </w:rPr>
            </w:pPr>
            <w:r>
              <w:t>19#</w:t>
            </w:r>
          </w:p>
        </w:tc>
        <w:tc>
          <w:tcPr>
            <w:tcW w:w="0" w:type="auto"/>
            <w:shd w:val="clear" w:color="auto" w:fill="auto"/>
            <w:vAlign w:val="center"/>
          </w:tcPr>
          <w:p w14:paraId="0B89D604">
            <w:pPr>
              <w:widowControl w:val="0"/>
              <w:jc w:val="center"/>
              <w:rPr>
                <w:szCs w:val="21"/>
              </w:rPr>
            </w:pPr>
            <w:r>
              <w:rPr>
                <w:rFonts w:hint="eastAsia"/>
              </w:rPr>
              <w:t>马家沟</w:t>
            </w:r>
          </w:p>
        </w:tc>
        <w:tc>
          <w:tcPr>
            <w:tcW w:w="0" w:type="auto"/>
            <w:shd w:val="clear" w:color="auto" w:fill="auto"/>
            <w:vAlign w:val="center"/>
          </w:tcPr>
          <w:p w14:paraId="41E40E9A">
            <w:pPr>
              <w:widowControl w:val="0"/>
              <w:jc w:val="center"/>
              <w:rPr>
                <w:szCs w:val="21"/>
              </w:rPr>
            </w:pPr>
            <w:r>
              <w:rPr>
                <w:rFonts w:hint="eastAsia"/>
              </w:rPr>
              <w:t>106.839359</w:t>
            </w:r>
          </w:p>
        </w:tc>
        <w:tc>
          <w:tcPr>
            <w:tcW w:w="0" w:type="auto"/>
            <w:shd w:val="clear" w:color="auto" w:fill="auto"/>
            <w:vAlign w:val="center"/>
          </w:tcPr>
          <w:p w14:paraId="6510F7CB">
            <w:pPr>
              <w:widowControl w:val="0"/>
              <w:jc w:val="center"/>
              <w:rPr>
                <w:szCs w:val="21"/>
              </w:rPr>
            </w:pPr>
            <w:r>
              <w:rPr>
                <w:rFonts w:hint="eastAsia"/>
              </w:rPr>
              <w:t>31.792333</w:t>
            </w:r>
          </w:p>
        </w:tc>
        <w:tc>
          <w:tcPr>
            <w:tcW w:w="0" w:type="auto"/>
            <w:shd w:val="clear" w:color="auto" w:fill="auto"/>
            <w:vAlign w:val="center"/>
          </w:tcPr>
          <w:p w14:paraId="56FF1C62">
            <w:pPr>
              <w:widowControl w:val="0"/>
              <w:jc w:val="center"/>
              <w:rPr>
                <w:szCs w:val="21"/>
              </w:rPr>
            </w:pPr>
            <w:r>
              <w:rPr>
                <w:rFonts w:hint="eastAsia"/>
              </w:rPr>
              <w:t>约60人</w:t>
            </w:r>
          </w:p>
        </w:tc>
        <w:tc>
          <w:tcPr>
            <w:tcW w:w="0" w:type="auto"/>
            <w:vMerge w:val="continue"/>
            <w:vAlign w:val="center"/>
          </w:tcPr>
          <w:p w14:paraId="13F0BC30">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5703616">
            <w:pPr>
              <w:widowControl w:val="0"/>
              <w:jc w:val="center"/>
              <w:rPr>
                <w:szCs w:val="21"/>
              </w:rPr>
            </w:pPr>
            <w:r>
              <w:t>SE</w:t>
            </w:r>
          </w:p>
        </w:tc>
        <w:tc>
          <w:tcPr>
            <w:tcW w:w="0" w:type="auto"/>
            <w:shd w:val="clear" w:color="auto" w:fill="auto"/>
            <w:vAlign w:val="center"/>
          </w:tcPr>
          <w:p w14:paraId="0CD7A9C2">
            <w:pPr>
              <w:widowControl w:val="0"/>
              <w:jc w:val="center"/>
              <w:rPr>
                <w:szCs w:val="21"/>
              </w:rPr>
            </w:pPr>
            <w:r>
              <w:t>775</w:t>
            </w:r>
          </w:p>
        </w:tc>
        <w:tc>
          <w:tcPr>
            <w:tcW w:w="0" w:type="auto"/>
            <w:shd w:val="clear" w:color="auto" w:fill="auto"/>
            <w:vAlign w:val="center"/>
          </w:tcPr>
          <w:p w14:paraId="4898410E">
            <w:pPr>
              <w:widowControl w:val="0"/>
              <w:jc w:val="center"/>
              <w:rPr>
                <w:szCs w:val="21"/>
              </w:rPr>
            </w:pPr>
            <w:r>
              <w:t>-60</w:t>
            </w:r>
          </w:p>
        </w:tc>
        <w:tc>
          <w:tcPr>
            <w:tcW w:w="0" w:type="auto"/>
            <w:vMerge w:val="continue"/>
            <w:vAlign w:val="center"/>
          </w:tcPr>
          <w:p w14:paraId="14049E2A">
            <w:pPr>
              <w:widowControl w:val="0"/>
              <w:jc w:val="center"/>
              <w:rPr>
                <w:rFonts w:ascii="宋体" w:hAnsi="宋体"/>
                <w:color w:val="000000" w:themeColor="text1"/>
                <w:szCs w:val="21"/>
                <w14:textFill>
                  <w14:solidFill>
                    <w14:schemeClr w14:val="tx1"/>
                  </w14:solidFill>
                </w14:textFill>
              </w:rPr>
            </w:pPr>
          </w:p>
        </w:tc>
      </w:tr>
      <w:tr w14:paraId="23D2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907BD65">
            <w:pPr>
              <w:widowControl w:val="0"/>
              <w:jc w:val="center"/>
              <w:rPr>
                <w:szCs w:val="21"/>
              </w:rPr>
            </w:pPr>
            <w:r>
              <w:t>20#</w:t>
            </w:r>
          </w:p>
        </w:tc>
        <w:tc>
          <w:tcPr>
            <w:tcW w:w="0" w:type="auto"/>
            <w:shd w:val="clear" w:color="auto" w:fill="auto"/>
            <w:vAlign w:val="center"/>
          </w:tcPr>
          <w:p w14:paraId="78F998F0">
            <w:pPr>
              <w:widowControl w:val="0"/>
              <w:jc w:val="center"/>
              <w:rPr>
                <w:szCs w:val="21"/>
              </w:rPr>
            </w:pPr>
            <w:r>
              <w:rPr>
                <w:rFonts w:hint="eastAsia"/>
              </w:rPr>
              <w:t>鸡冠咀</w:t>
            </w:r>
          </w:p>
        </w:tc>
        <w:tc>
          <w:tcPr>
            <w:tcW w:w="0" w:type="auto"/>
            <w:shd w:val="clear" w:color="auto" w:fill="auto"/>
            <w:vAlign w:val="center"/>
          </w:tcPr>
          <w:p w14:paraId="1A6D39CF">
            <w:pPr>
              <w:widowControl w:val="0"/>
              <w:jc w:val="center"/>
              <w:rPr>
                <w:szCs w:val="21"/>
              </w:rPr>
            </w:pPr>
            <w:r>
              <w:rPr>
                <w:rFonts w:hint="eastAsia"/>
              </w:rPr>
              <w:t>106.843221</w:t>
            </w:r>
          </w:p>
        </w:tc>
        <w:tc>
          <w:tcPr>
            <w:tcW w:w="0" w:type="auto"/>
            <w:shd w:val="clear" w:color="auto" w:fill="auto"/>
            <w:vAlign w:val="center"/>
          </w:tcPr>
          <w:p w14:paraId="6B4F6F2C">
            <w:pPr>
              <w:widowControl w:val="0"/>
              <w:jc w:val="center"/>
              <w:rPr>
                <w:szCs w:val="21"/>
              </w:rPr>
            </w:pPr>
            <w:r>
              <w:rPr>
                <w:rFonts w:hint="eastAsia"/>
              </w:rPr>
              <w:t>31.788631</w:t>
            </w:r>
          </w:p>
        </w:tc>
        <w:tc>
          <w:tcPr>
            <w:tcW w:w="0" w:type="auto"/>
            <w:shd w:val="clear" w:color="auto" w:fill="auto"/>
            <w:vAlign w:val="center"/>
          </w:tcPr>
          <w:p w14:paraId="6168D4EE">
            <w:pPr>
              <w:widowControl w:val="0"/>
              <w:jc w:val="center"/>
              <w:rPr>
                <w:szCs w:val="21"/>
              </w:rPr>
            </w:pPr>
            <w:r>
              <w:rPr>
                <w:rFonts w:hint="eastAsia"/>
              </w:rPr>
              <w:t>约105人</w:t>
            </w:r>
          </w:p>
        </w:tc>
        <w:tc>
          <w:tcPr>
            <w:tcW w:w="0" w:type="auto"/>
            <w:vMerge w:val="continue"/>
            <w:vAlign w:val="center"/>
          </w:tcPr>
          <w:p w14:paraId="0DBDA8A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FFC8BC7">
            <w:pPr>
              <w:widowControl w:val="0"/>
              <w:jc w:val="center"/>
              <w:rPr>
                <w:szCs w:val="21"/>
              </w:rPr>
            </w:pPr>
            <w:r>
              <w:t>SE</w:t>
            </w:r>
          </w:p>
        </w:tc>
        <w:tc>
          <w:tcPr>
            <w:tcW w:w="0" w:type="auto"/>
            <w:shd w:val="clear" w:color="auto" w:fill="auto"/>
            <w:vAlign w:val="center"/>
          </w:tcPr>
          <w:p w14:paraId="568B1B19">
            <w:pPr>
              <w:widowControl w:val="0"/>
              <w:jc w:val="center"/>
              <w:rPr>
                <w:szCs w:val="21"/>
              </w:rPr>
            </w:pPr>
            <w:r>
              <w:t>1109</w:t>
            </w:r>
          </w:p>
        </w:tc>
        <w:tc>
          <w:tcPr>
            <w:tcW w:w="0" w:type="auto"/>
            <w:shd w:val="clear" w:color="auto" w:fill="auto"/>
            <w:vAlign w:val="center"/>
          </w:tcPr>
          <w:p w14:paraId="319B64B3">
            <w:pPr>
              <w:widowControl w:val="0"/>
              <w:jc w:val="center"/>
              <w:rPr>
                <w:szCs w:val="21"/>
              </w:rPr>
            </w:pPr>
            <w:r>
              <w:t>-27</w:t>
            </w:r>
          </w:p>
        </w:tc>
        <w:tc>
          <w:tcPr>
            <w:tcW w:w="0" w:type="auto"/>
            <w:vMerge w:val="continue"/>
            <w:vAlign w:val="center"/>
          </w:tcPr>
          <w:p w14:paraId="3172FFF8">
            <w:pPr>
              <w:widowControl w:val="0"/>
              <w:jc w:val="center"/>
              <w:rPr>
                <w:rFonts w:ascii="宋体" w:hAnsi="宋体"/>
                <w:color w:val="000000" w:themeColor="text1"/>
                <w:szCs w:val="21"/>
                <w14:textFill>
                  <w14:solidFill>
                    <w14:schemeClr w14:val="tx1"/>
                  </w14:solidFill>
                </w14:textFill>
              </w:rPr>
            </w:pPr>
          </w:p>
        </w:tc>
      </w:tr>
      <w:tr w14:paraId="1CB3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8E158EA">
            <w:pPr>
              <w:widowControl w:val="0"/>
              <w:jc w:val="center"/>
              <w:rPr>
                <w:szCs w:val="21"/>
              </w:rPr>
            </w:pPr>
            <w:r>
              <w:t>21#</w:t>
            </w:r>
          </w:p>
        </w:tc>
        <w:tc>
          <w:tcPr>
            <w:tcW w:w="0" w:type="auto"/>
            <w:shd w:val="clear" w:color="auto" w:fill="auto"/>
            <w:vAlign w:val="center"/>
          </w:tcPr>
          <w:p w14:paraId="381CE3D2">
            <w:pPr>
              <w:widowControl w:val="0"/>
              <w:jc w:val="center"/>
              <w:rPr>
                <w:szCs w:val="21"/>
              </w:rPr>
            </w:pPr>
            <w:r>
              <w:rPr>
                <w:rFonts w:hint="eastAsia"/>
              </w:rPr>
              <w:t>张家湾</w:t>
            </w:r>
          </w:p>
        </w:tc>
        <w:tc>
          <w:tcPr>
            <w:tcW w:w="0" w:type="auto"/>
            <w:shd w:val="clear" w:color="auto" w:fill="auto"/>
            <w:vAlign w:val="center"/>
          </w:tcPr>
          <w:p w14:paraId="475CCED3">
            <w:pPr>
              <w:widowControl w:val="0"/>
              <w:jc w:val="center"/>
              <w:rPr>
                <w:szCs w:val="21"/>
              </w:rPr>
            </w:pPr>
            <w:r>
              <w:rPr>
                <w:rFonts w:hint="eastAsia"/>
              </w:rPr>
              <w:t>106.8513</w:t>
            </w:r>
          </w:p>
        </w:tc>
        <w:tc>
          <w:tcPr>
            <w:tcW w:w="0" w:type="auto"/>
            <w:shd w:val="clear" w:color="auto" w:fill="auto"/>
            <w:vAlign w:val="center"/>
          </w:tcPr>
          <w:p w14:paraId="4E773ED5">
            <w:pPr>
              <w:widowControl w:val="0"/>
              <w:jc w:val="center"/>
              <w:rPr>
                <w:szCs w:val="21"/>
              </w:rPr>
            </w:pPr>
            <w:r>
              <w:rPr>
                <w:rFonts w:hint="eastAsia"/>
              </w:rPr>
              <w:t>31.785512</w:t>
            </w:r>
          </w:p>
        </w:tc>
        <w:tc>
          <w:tcPr>
            <w:tcW w:w="0" w:type="auto"/>
            <w:shd w:val="clear" w:color="auto" w:fill="auto"/>
            <w:vAlign w:val="center"/>
          </w:tcPr>
          <w:p w14:paraId="4FB24479">
            <w:pPr>
              <w:widowControl w:val="0"/>
              <w:jc w:val="center"/>
              <w:rPr>
                <w:szCs w:val="21"/>
              </w:rPr>
            </w:pPr>
            <w:r>
              <w:rPr>
                <w:rFonts w:hint="eastAsia"/>
              </w:rPr>
              <w:t>约75人</w:t>
            </w:r>
          </w:p>
        </w:tc>
        <w:tc>
          <w:tcPr>
            <w:tcW w:w="0" w:type="auto"/>
            <w:vMerge w:val="continue"/>
            <w:vAlign w:val="center"/>
          </w:tcPr>
          <w:p w14:paraId="04F9C0A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C60B9AE">
            <w:pPr>
              <w:widowControl w:val="0"/>
              <w:jc w:val="center"/>
              <w:rPr>
                <w:szCs w:val="21"/>
              </w:rPr>
            </w:pPr>
            <w:r>
              <w:t>SE</w:t>
            </w:r>
          </w:p>
        </w:tc>
        <w:tc>
          <w:tcPr>
            <w:tcW w:w="0" w:type="auto"/>
            <w:shd w:val="clear" w:color="auto" w:fill="auto"/>
            <w:vAlign w:val="center"/>
          </w:tcPr>
          <w:p w14:paraId="25C04172">
            <w:pPr>
              <w:widowControl w:val="0"/>
              <w:jc w:val="center"/>
              <w:rPr>
                <w:szCs w:val="21"/>
              </w:rPr>
            </w:pPr>
            <w:r>
              <w:t>1751</w:t>
            </w:r>
          </w:p>
        </w:tc>
        <w:tc>
          <w:tcPr>
            <w:tcW w:w="0" w:type="auto"/>
            <w:shd w:val="clear" w:color="auto" w:fill="auto"/>
            <w:vAlign w:val="center"/>
          </w:tcPr>
          <w:p w14:paraId="5B9B885B">
            <w:pPr>
              <w:widowControl w:val="0"/>
              <w:jc w:val="center"/>
              <w:rPr>
                <w:szCs w:val="21"/>
              </w:rPr>
            </w:pPr>
            <w:r>
              <w:t>-35</w:t>
            </w:r>
          </w:p>
        </w:tc>
        <w:tc>
          <w:tcPr>
            <w:tcW w:w="0" w:type="auto"/>
            <w:vMerge w:val="continue"/>
            <w:vAlign w:val="center"/>
          </w:tcPr>
          <w:p w14:paraId="78CAF202">
            <w:pPr>
              <w:widowControl w:val="0"/>
              <w:jc w:val="center"/>
              <w:rPr>
                <w:rFonts w:ascii="宋体" w:hAnsi="宋体"/>
                <w:color w:val="000000" w:themeColor="text1"/>
                <w:szCs w:val="21"/>
                <w14:textFill>
                  <w14:solidFill>
                    <w14:schemeClr w14:val="tx1"/>
                  </w14:solidFill>
                </w14:textFill>
              </w:rPr>
            </w:pPr>
          </w:p>
        </w:tc>
      </w:tr>
      <w:tr w14:paraId="0AB2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2B28FC4">
            <w:pPr>
              <w:widowControl w:val="0"/>
              <w:jc w:val="center"/>
              <w:rPr>
                <w:szCs w:val="21"/>
              </w:rPr>
            </w:pPr>
            <w:r>
              <w:t>22#</w:t>
            </w:r>
          </w:p>
        </w:tc>
        <w:tc>
          <w:tcPr>
            <w:tcW w:w="0" w:type="auto"/>
            <w:shd w:val="clear" w:color="auto" w:fill="auto"/>
            <w:vAlign w:val="center"/>
          </w:tcPr>
          <w:p w14:paraId="47423509">
            <w:pPr>
              <w:widowControl w:val="0"/>
              <w:jc w:val="center"/>
              <w:rPr>
                <w:szCs w:val="21"/>
              </w:rPr>
            </w:pPr>
            <w:r>
              <w:rPr>
                <w:rFonts w:hint="eastAsia"/>
              </w:rPr>
              <w:t>芶家塝</w:t>
            </w:r>
          </w:p>
        </w:tc>
        <w:tc>
          <w:tcPr>
            <w:tcW w:w="0" w:type="auto"/>
            <w:shd w:val="clear" w:color="auto" w:fill="auto"/>
            <w:vAlign w:val="center"/>
          </w:tcPr>
          <w:p w14:paraId="51F96439">
            <w:pPr>
              <w:widowControl w:val="0"/>
              <w:jc w:val="center"/>
              <w:rPr>
                <w:szCs w:val="21"/>
              </w:rPr>
            </w:pPr>
            <w:r>
              <w:rPr>
                <w:rFonts w:hint="eastAsia"/>
              </w:rPr>
              <w:t>106.85822</w:t>
            </w:r>
          </w:p>
        </w:tc>
        <w:tc>
          <w:tcPr>
            <w:tcW w:w="0" w:type="auto"/>
            <w:shd w:val="clear" w:color="auto" w:fill="auto"/>
            <w:vAlign w:val="center"/>
          </w:tcPr>
          <w:p w14:paraId="6786C342">
            <w:pPr>
              <w:widowControl w:val="0"/>
              <w:jc w:val="center"/>
              <w:rPr>
                <w:szCs w:val="21"/>
              </w:rPr>
            </w:pPr>
            <w:r>
              <w:rPr>
                <w:rFonts w:hint="eastAsia"/>
              </w:rPr>
              <w:t>31.784673</w:t>
            </w:r>
          </w:p>
        </w:tc>
        <w:tc>
          <w:tcPr>
            <w:tcW w:w="0" w:type="auto"/>
            <w:shd w:val="clear" w:color="auto" w:fill="auto"/>
            <w:vAlign w:val="center"/>
          </w:tcPr>
          <w:p w14:paraId="37FDB20A">
            <w:pPr>
              <w:widowControl w:val="0"/>
              <w:jc w:val="center"/>
              <w:rPr>
                <w:szCs w:val="21"/>
              </w:rPr>
            </w:pPr>
            <w:r>
              <w:rPr>
                <w:rFonts w:hint="eastAsia"/>
              </w:rPr>
              <w:t>约135人</w:t>
            </w:r>
          </w:p>
        </w:tc>
        <w:tc>
          <w:tcPr>
            <w:tcW w:w="0" w:type="auto"/>
            <w:vMerge w:val="continue"/>
            <w:vAlign w:val="center"/>
          </w:tcPr>
          <w:p w14:paraId="1AA3F52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F010355">
            <w:pPr>
              <w:widowControl w:val="0"/>
              <w:jc w:val="center"/>
              <w:rPr>
                <w:szCs w:val="21"/>
              </w:rPr>
            </w:pPr>
            <w:r>
              <w:t>SE</w:t>
            </w:r>
          </w:p>
        </w:tc>
        <w:tc>
          <w:tcPr>
            <w:tcW w:w="0" w:type="auto"/>
            <w:shd w:val="clear" w:color="auto" w:fill="auto"/>
            <w:vAlign w:val="center"/>
          </w:tcPr>
          <w:p w14:paraId="04E99AC4">
            <w:pPr>
              <w:widowControl w:val="0"/>
              <w:jc w:val="center"/>
              <w:rPr>
                <w:szCs w:val="21"/>
              </w:rPr>
            </w:pPr>
            <w:r>
              <w:t>2057</w:t>
            </w:r>
          </w:p>
        </w:tc>
        <w:tc>
          <w:tcPr>
            <w:tcW w:w="0" w:type="auto"/>
            <w:shd w:val="clear" w:color="auto" w:fill="auto"/>
            <w:vAlign w:val="center"/>
          </w:tcPr>
          <w:p w14:paraId="10E2FE3D">
            <w:pPr>
              <w:widowControl w:val="0"/>
              <w:jc w:val="center"/>
              <w:rPr>
                <w:szCs w:val="21"/>
              </w:rPr>
            </w:pPr>
            <w:r>
              <w:t>-62</w:t>
            </w:r>
          </w:p>
        </w:tc>
        <w:tc>
          <w:tcPr>
            <w:tcW w:w="0" w:type="auto"/>
            <w:vMerge w:val="continue"/>
            <w:vAlign w:val="center"/>
          </w:tcPr>
          <w:p w14:paraId="6F402401">
            <w:pPr>
              <w:widowControl w:val="0"/>
              <w:jc w:val="center"/>
              <w:rPr>
                <w:rFonts w:ascii="宋体" w:hAnsi="宋体"/>
                <w:color w:val="000000" w:themeColor="text1"/>
                <w:szCs w:val="21"/>
                <w14:textFill>
                  <w14:solidFill>
                    <w14:schemeClr w14:val="tx1"/>
                  </w14:solidFill>
                </w14:textFill>
              </w:rPr>
            </w:pPr>
          </w:p>
        </w:tc>
      </w:tr>
      <w:tr w14:paraId="311E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A09E51A">
            <w:pPr>
              <w:widowControl w:val="0"/>
              <w:jc w:val="center"/>
              <w:rPr>
                <w:szCs w:val="21"/>
              </w:rPr>
            </w:pPr>
            <w:r>
              <w:t>23#</w:t>
            </w:r>
          </w:p>
        </w:tc>
        <w:tc>
          <w:tcPr>
            <w:tcW w:w="0" w:type="auto"/>
            <w:shd w:val="clear" w:color="auto" w:fill="auto"/>
            <w:vAlign w:val="center"/>
          </w:tcPr>
          <w:p w14:paraId="68A7179F">
            <w:pPr>
              <w:widowControl w:val="0"/>
              <w:jc w:val="center"/>
              <w:rPr>
                <w:szCs w:val="21"/>
              </w:rPr>
            </w:pPr>
            <w:r>
              <w:rPr>
                <w:rFonts w:hint="eastAsia"/>
              </w:rPr>
              <w:t>石滩院</w:t>
            </w:r>
            <w:r>
              <w:rPr>
                <w:rFonts w:hint="eastAsia" w:ascii="微软雅黑" w:hAnsi="微软雅黑" w:eastAsia="微软雅黑" w:cs="微软雅黑"/>
              </w:rPr>
              <w:t>𤧛</w:t>
            </w:r>
          </w:p>
        </w:tc>
        <w:tc>
          <w:tcPr>
            <w:tcW w:w="0" w:type="auto"/>
            <w:shd w:val="clear" w:color="auto" w:fill="auto"/>
            <w:vAlign w:val="center"/>
          </w:tcPr>
          <w:p w14:paraId="6D420E4B">
            <w:pPr>
              <w:widowControl w:val="0"/>
              <w:jc w:val="center"/>
              <w:rPr>
                <w:szCs w:val="21"/>
              </w:rPr>
            </w:pPr>
            <w:r>
              <w:rPr>
                <w:rFonts w:hint="eastAsia"/>
              </w:rPr>
              <w:t>106.847856</w:t>
            </w:r>
          </w:p>
        </w:tc>
        <w:tc>
          <w:tcPr>
            <w:tcW w:w="0" w:type="auto"/>
            <w:shd w:val="clear" w:color="auto" w:fill="auto"/>
            <w:vAlign w:val="center"/>
          </w:tcPr>
          <w:p w14:paraId="1A2B43CB">
            <w:pPr>
              <w:widowControl w:val="0"/>
              <w:jc w:val="center"/>
              <w:rPr>
                <w:szCs w:val="21"/>
              </w:rPr>
            </w:pPr>
            <w:r>
              <w:rPr>
                <w:rFonts w:hint="eastAsia"/>
              </w:rPr>
              <w:t>31.781581</w:t>
            </w:r>
          </w:p>
        </w:tc>
        <w:tc>
          <w:tcPr>
            <w:tcW w:w="0" w:type="auto"/>
            <w:shd w:val="clear" w:color="auto" w:fill="auto"/>
            <w:vAlign w:val="center"/>
          </w:tcPr>
          <w:p w14:paraId="08D46FA2">
            <w:pPr>
              <w:widowControl w:val="0"/>
              <w:jc w:val="center"/>
              <w:rPr>
                <w:szCs w:val="21"/>
              </w:rPr>
            </w:pPr>
            <w:r>
              <w:rPr>
                <w:rFonts w:hint="eastAsia"/>
              </w:rPr>
              <w:t>约120人</w:t>
            </w:r>
          </w:p>
        </w:tc>
        <w:tc>
          <w:tcPr>
            <w:tcW w:w="0" w:type="auto"/>
            <w:vMerge w:val="continue"/>
            <w:vAlign w:val="center"/>
          </w:tcPr>
          <w:p w14:paraId="58CB45C2">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9400E41">
            <w:pPr>
              <w:widowControl w:val="0"/>
              <w:jc w:val="center"/>
              <w:rPr>
                <w:szCs w:val="21"/>
              </w:rPr>
            </w:pPr>
            <w:r>
              <w:t>SE</w:t>
            </w:r>
          </w:p>
        </w:tc>
        <w:tc>
          <w:tcPr>
            <w:tcW w:w="0" w:type="auto"/>
            <w:shd w:val="clear" w:color="auto" w:fill="auto"/>
            <w:vAlign w:val="center"/>
          </w:tcPr>
          <w:p w14:paraId="796F80DE">
            <w:pPr>
              <w:widowControl w:val="0"/>
              <w:jc w:val="center"/>
              <w:rPr>
                <w:szCs w:val="21"/>
              </w:rPr>
            </w:pPr>
            <w:r>
              <w:t>2133</w:t>
            </w:r>
          </w:p>
        </w:tc>
        <w:tc>
          <w:tcPr>
            <w:tcW w:w="0" w:type="auto"/>
            <w:shd w:val="clear" w:color="auto" w:fill="auto"/>
            <w:vAlign w:val="center"/>
          </w:tcPr>
          <w:p w14:paraId="45AFB9C3">
            <w:pPr>
              <w:widowControl w:val="0"/>
              <w:jc w:val="center"/>
              <w:rPr>
                <w:szCs w:val="21"/>
              </w:rPr>
            </w:pPr>
            <w:r>
              <w:t>-183</w:t>
            </w:r>
          </w:p>
        </w:tc>
        <w:tc>
          <w:tcPr>
            <w:tcW w:w="0" w:type="auto"/>
            <w:vMerge w:val="continue"/>
            <w:vAlign w:val="center"/>
          </w:tcPr>
          <w:p w14:paraId="01764416">
            <w:pPr>
              <w:widowControl w:val="0"/>
              <w:jc w:val="center"/>
              <w:rPr>
                <w:rFonts w:ascii="宋体" w:hAnsi="宋体"/>
                <w:color w:val="000000" w:themeColor="text1"/>
                <w:szCs w:val="21"/>
                <w14:textFill>
                  <w14:solidFill>
                    <w14:schemeClr w14:val="tx1"/>
                  </w14:solidFill>
                </w14:textFill>
              </w:rPr>
            </w:pPr>
          </w:p>
        </w:tc>
      </w:tr>
      <w:tr w14:paraId="4853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7101033">
            <w:pPr>
              <w:widowControl w:val="0"/>
              <w:jc w:val="center"/>
              <w:rPr>
                <w:szCs w:val="21"/>
              </w:rPr>
            </w:pPr>
            <w:r>
              <w:t>24#</w:t>
            </w:r>
          </w:p>
        </w:tc>
        <w:tc>
          <w:tcPr>
            <w:tcW w:w="0" w:type="auto"/>
            <w:shd w:val="clear" w:color="auto" w:fill="auto"/>
            <w:vAlign w:val="center"/>
          </w:tcPr>
          <w:p w14:paraId="4E4A4DB1">
            <w:pPr>
              <w:widowControl w:val="0"/>
              <w:jc w:val="center"/>
              <w:rPr>
                <w:szCs w:val="21"/>
              </w:rPr>
            </w:pPr>
            <w:r>
              <w:rPr>
                <w:rFonts w:hint="eastAsia"/>
              </w:rPr>
              <w:t>曹家院</w:t>
            </w:r>
            <w:r>
              <w:rPr>
                <w:rFonts w:hint="eastAsia" w:ascii="微软雅黑" w:hAnsi="微软雅黑" w:eastAsia="微软雅黑" w:cs="微软雅黑"/>
              </w:rPr>
              <w:t>𤧛</w:t>
            </w:r>
          </w:p>
        </w:tc>
        <w:tc>
          <w:tcPr>
            <w:tcW w:w="0" w:type="auto"/>
            <w:shd w:val="clear" w:color="auto" w:fill="auto"/>
            <w:vAlign w:val="center"/>
          </w:tcPr>
          <w:p w14:paraId="13935EFD">
            <w:pPr>
              <w:widowControl w:val="0"/>
              <w:jc w:val="center"/>
              <w:rPr>
                <w:szCs w:val="21"/>
              </w:rPr>
            </w:pPr>
            <w:r>
              <w:rPr>
                <w:rFonts w:hint="eastAsia"/>
              </w:rPr>
              <w:t>106.839337</w:t>
            </w:r>
          </w:p>
        </w:tc>
        <w:tc>
          <w:tcPr>
            <w:tcW w:w="0" w:type="auto"/>
            <w:shd w:val="clear" w:color="auto" w:fill="auto"/>
            <w:vAlign w:val="center"/>
          </w:tcPr>
          <w:p w14:paraId="17AFC1AA">
            <w:pPr>
              <w:widowControl w:val="0"/>
              <w:jc w:val="center"/>
              <w:rPr>
                <w:szCs w:val="21"/>
              </w:rPr>
            </w:pPr>
            <w:r>
              <w:rPr>
                <w:rFonts w:hint="eastAsia"/>
              </w:rPr>
              <w:t>31.785038</w:t>
            </w:r>
          </w:p>
        </w:tc>
        <w:tc>
          <w:tcPr>
            <w:tcW w:w="0" w:type="auto"/>
            <w:shd w:val="clear" w:color="auto" w:fill="auto"/>
            <w:vAlign w:val="center"/>
          </w:tcPr>
          <w:p w14:paraId="4CA5619C">
            <w:pPr>
              <w:widowControl w:val="0"/>
              <w:jc w:val="center"/>
              <w:rPr>
                <w:szCs w:val="21"/>
              </w:rPr>
            </w:pPr>
            <w:r>
              <w:rPr>
                <w:rFonts w:hint="eastAsia"/>
              </w:rPr>
              <w:t>约180人</w:t>
            </w:r>
          </w:p>
        </w:tc>
        <w:tc>
          <w:tcPr>
            <w:tcW w:w="0" w:type="auto"/>
            <w:vMerge w:val="continue"/>
            <w:vAlign w:val="center"/>
          </w:tcPr>
          <w:p w14:paraId="7F9E891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FFF2FDE">
            <w:pPr>
              <w:widowControl w:val="0"/>
              <w:jc w:val="center"/>
              <w:rPr>
                <w:szCs w:val="21"/>
              </w:rPr>
            </w:pPr>
            <w:r>
              <w:t>S</w:t>
            </w:r>
          </w:p>
        </w:tc>
        <w:tc>
          <w:tcPr>
            <w:tcW w:w="0" w:type="auto"/>
            <w:shd w:val="clear" w:color="auto" w:fill="auto"/>
            <w:vAlign w:val="center"/>
          </w:tcPr>
          <w:p w14:paraId="7BDC4E1B">
            <w:pPr>
              <w:widowControl w:val="0"/>
              <w:jc w:val="center"/>
              <w:rPr>
                <w:szCs w:val="21"/>
              </w:rPr>
            </w:pPr>
            <w:r>
              <w:t>1486</w:t>
            </w:r>
          </w:p>
        </w:tc>
        <w:tc>
          <w:tcPr>
            <w:tcW w:w="0" w:type="auto"/>
            <w:shd w:val="clear" w:color="auto" w:fill="auto"/>
            <w:vAlign w:val="center"/>
          </w:tcPr>
          <w:p w14:paraId="4DAD68C1">
            <w:pPr>
              <w:widowControl w:val="0"/>
              <w:jc w:val="center"/>
              <w:rPr>
                <w:szCs w:val="21"/>
              </w:rPr>
            </w:pPr>
            <w:r>
              <w:t>-37</w:t>
            </w:r>
          </w:p>
        </w:tc>
        <w:tc>
          <w:tcPr>
            <w:tcW w:w="0" w:type="auto"/>
            <w:vMerge w:val="continue"/>
            <w:vAlign w:val="center"/>
          </w:tcPr>
          <w:p w14:paraId="10989333">
            <w:pPr>
              <w:widowControl w:val="0"/>
              <w:jc w:val="center"/>
              <w:rPr>
                <w:rFonts w:ascii="宋体" w:hAnsi="宋体"/>
                <w:color w:val="000000" w:themeColor="text1"/>
                <w:szCs w:val="21"/>
                <w14:textFill>
                  <w14:solidFill>
                    <w14:schemeClr w14:val="tx1"/>
                  </w14:solidFill>
                </w14:textFill>
              </w:rPr>
            </w:pPr>
          </w:p>
        </w:tc>
      </w:tr>
      <w:tr w14:paraId="3DB6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A0C7C69">
            <w:pPr>
              <w:widowControl w:val="0"/>
              <w:jc w:val="center"/>
              <w:rPr>
                <w:szCs w:val="21"/>
              </w:rPr>
            </w:pPr>
            <w:r>
              <w:t>25#</w:t>
            </w:r>
          </w:p>
        </w:tc>
        <w:tc>
          <w:tcPr>
            <w:tcW w:w="0" w:type="auto"/>
            <w:shd w:val="clear" w:color="auto" w:fill="auto"/>
            <w:vAlign w:val="center"/>
          </w:tcPr>
          <w:p w14:paraId="6C0D98B1">
            <w:pPr>
              <w:widowControl w:val="0"/>
              <w:jc w:val="center"/>
              <w:rPr>
                <w:szCs w:val="21"/>
              </w:rPr>
            </w:pPr>
            <w:r>
              <w:rPr>
                <w:rFonts w:hint="eastAsia"/>
              </w:rPr>
              <w:t>张家院子</w:t>
            </w:r>
          </w:p>
        </w:tc>
        <w:tc>
          <w:tcPr>
            <w:tcW w:w="0" w:type="auto"/>
            <w:shd w:val="clear" w:color="auto" w:fill="auto"/>
            <w:vAlign w:val="center"/>
          </w:tcPr>
          <w:p w14:paraId="60A7A241">
            <w:pPr>
              <w:widowControl w:val="0"/>
              <w:jc w:val="center"/>
              <w:rPr>
                <w:szCs w:val="21"/>
              </w:rPr>
            </w:pPr>
            <w:r>
              <w:rPr>
                <w:rFonts w:hint="eastAsia"/>
              </w:rPr>
              <w:t>106.841921</w:t>
            </w:r>
          </w:p>
        </w:tc>
        <w:tc>
          <w:tcPr>
            <w:tcW w:w="0" w:type="auto"/>
            <w:shd w:val="clear" w:color="auto" w:fill="auto"/>
            <w:vAlign w:val="center"/>
          </w:tcPr>
          <w:p w14:paraId="1A087D72">
            <w:pPr>
              <w:widowControl w:val="0"/>
              <w:jc w:val="center"/>
              <w:rPr>
                <w:szCs w:val="21"/>
              </w:rPr>
            </w:pPr>
            <w:r>
              <w:rPr>
                <w:rFonts w:hint="eastAsia"/>
              </w:rPr>
              <w:t>31.781472</w:t>
            </w:r>
          </w:p>
        </w:tc>
        <w:tc>
          <w:tcPr>
            <w:tcW w:w="0" w:type="auto"/>
            <w:shd w:val="clear" w:color="auto" w:fill="auto"/>
            <w:vAlign w:val="center"/>
          </w:tcPr>
          <w:p w14:paraId="52C12C1F">
            <w:pPr>
              <w:widowControl w:val="0"/>
              <w:jc w:val="center"/>
              <w:rPr>
                <w:szCs w:val="21"/>
              </w:rPr>
            </w:pPr>
            <w:r>
              <w:rPr>
                <w:rFonts w:hint="eastAsia"/>
              </w:rPr>
              <w:t>约45人</w:t>
            </w:r>
          </w:p>
        </w:tc>
        <w:tc>
          <w:tcPr>
            <w:tcW w:w="0" w:type="auto"/>
            <w:vMerge w:val="continue"/>
            <w:vAlign w:val="center"/>
          </w:tcPr>
          <w:p w14:paraId="57C6737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348334E">
            <w:pPr>
              <w:widowControl w:val="0"/>
              <w:jc w:val="center"/>
              <w:rPr>
                <w:szCs w:val="21"/>
              </w:rPr>
            </w:pPr>
            <w:r>
              <w:t>S</w:t>
            </w:r>
          </w:p>
        </w:tc>
        <w:tc>
          <w:tcPr>
            <w:tcW w:w="0" w:type="auto"/>
            <w:shd w:val="clear" w:color="auto" w:fill="auto"/>
            <w:vAlign w:val="center"/>
          </w:tcPr>
          <w:p w14:paraId="33E53571">
            <w:pPr>
              <w:widowControl w:val="0"/>
              <w:jc w:val="center"/>
              <w:rPr>
                <w:szCs w:val="21"/>
              </w:rPr>
            </w:pPr>
            <w:r>
              <w:t>2030</w:t>
            </w:r>
          </w:p>
        </w:tc>
        <w:tc>
          <w:tcPr>
            <w:tcW w:w="0" w:type="auto"/>
            <w:shd w:val="clear" w:color="auto" w:fill="auto"/>
            <w:vAlign w:val="center"/>
          </w:tcPr>
          <w:p w14:paraId="7B3FFE7F">
            <w:pPr>
              <w:widowControl w:val="0"/>
              <w:jc w:val="center"/>
              <w:rPr>
                <w:szCs w:val="21"/>
              </w:rPr>
            </w:pPr>
            <w:r>
              <w:t>-188</w:t>
            </w:r>
          </w:p>
        </w:tc>
        <w:tc>
          <w:tcPr>
            <w:tcW w:w="0" w:type="auto"/>
            <w:vMerge w:val="continue"/>
            <w:vAlign w:val="center"/>
          </w:tcPr>
          <w:p w14:paraId="61135528">
            <w:pPr>
              <w:widowControl w:val="0"/>
              <w:jc w:val="center"/>
              <w:rPr>
                <w:rFonts w:ascii="宋体" w:hAnsi="宋体"/>
                <w:color w:val="000000" w:themeColor="text1"/>
                <w:szCs w:val="21"/>
                <w14:textFill>
                  <w14:solidFill>
                    <w14:schemeClr w14:val="tx1"/>
                  </w14:solidFill>
                </w14:textFill>
              </w:rPr>
            </w:pPr>
          </w:p>
        </w:tc>
      </w:tr>
      <w:tr w14:paraId="158D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0CA58EC">
            <w:pPr>
              <w:widowControl w:val="0"/>
              <w:jc w:val="center"/>
              <w:rPr>
                <w:szCs w:val="21"/>
              </w:rPr>
            </w:pPr>
            <w:r>
              <w:t>26#</w:t>
            </w:r>
          </w:p>
        </w:tc>
        <w:tc>
          <w:tcPr>
            <w:tcW w:w="0" w:type="auto"/>
            <w:shd w:val="clear" w:color="auto" w:fill="auto"/>
            <w:vAlign w:val="center"/>
          </w:tcPr>
          <w:p w14:paraId="0DC210A2">
            <w:pPr>
              <w:widowControl w:val="0"/>
              <w:jc w:val="center"/>
              <w:rPr>
                <w:szCs w:val="21"/>
              </w:rPr>
            </w:pPr>
            <w:r>
              <w:rPr>
                <w:rFonts w:hint="eastAsia"/>
              </w:rPr>
              <w:t>庙儿咀</w:t>
            </w:r>
          </w:p>
        </w:tc>
        <w:tc>
          <w:tcPr>
            <w:tcW w:w="0" w:type="auto"/>
            <w:shd w:val="clear" w:color="auto" w:fill="auto"/>
            <w:vAlign w:val="center"/>
          </w:tcPr>
          <w:p w14:paraId="6904C17C">
            <w:pPr>
              <w:widowControl w:val="0"/>
              <w:jc w:val="center"/>
              <w:rPr>
                <w:szCs w:val="21"/>
              </w:rPr>
            </w:pPr>
            <w:r>
              <w:rPr>
                <w:rFonts w:hint="eastAsia"/>
              </w:rPr>
              <w:t>106.83466</w:t>
            </w:r>
          </w:p>
        </w:tc>
        <w:tc>
          <w:tcPr>
            <w:tcW w:w="0" w:type="auto"/>
            <w:shd w:val="clear" w:color="auto" w:fill="auto"/>
            <w:vAlign w:val="center"/>
          </w:tcPr>
          <w:p w14:paraId="767F9972">
            <w:pPr>
              <w:widowControl w:val="0"/>
              <w:jc w:val="center"/>
              <w:rPr>
                <w:szCs w:val="21"/>
              </w:rPr>
            </w:pPr>
            <w:r>
              <w:rPr>
                <w:rFonts w:hint="eastAsia"/>
              </w:rPr>
              <w:t>31.783068</w:t>
            </w:r>
          </w:p>
        </w:tc>
        <w:tc>
          <w:tcPr>
            <w:tcW w:w="0" w:type="auto"/>
            <w:shd w:val="clear" w:color="auto" w:fill="auto"/>
            <w:vAlign w:val="center"/>
          </w:tcPr>
          <w:p w14:paraId="182E9DBB">
            <w:pPr>
              <w:widowControl w:val="0"/>
              <w:jc w:val="center"/>
              <w:rPr>
                <w:szCs w:val="21"/>
              </w:rPr>
            </w:pPr>
            <w:r>
              <w:rPr>
                <w:rFonts w:hint="eastAsia"/>
              </w:rPr>
              <w:t>约114人</w:t>
            </w:r>
          </w:p>
        </w:tc>
        <w:tc>
          <w:tcPr>
            <w:tcW w:w="0" w:type="auto"/>
            <w:vMerge w:val="continue"/>
            <w:vAlign w:val="center"/>
          </w:tcPr>
          <w:p w14:paraId="4F65D76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104E39C">
            <w:pPr>
              <w:widowControl w:val="0"/>
              <w:jc w:val="center"/>
              <w:rPr>
                <w:szCs w:val="21"/>
              </w:rPr>
            </w:pPr>
            <w:r>
              <w:t>S</w:t>
            </w:r>
          </w:p>
        </w:tc>
        <w:tc>
          <w:tcPr>
            <w:tcW w:w="0" w:type="auto"/>
            <w:shd w:val="clear" w:color="auto" w:fill="auto"/>
            <w:vAlign w:val="center"/>
          </w:tcPr>
          <w:p w14:paraId="039C87B4">
            <w:pPr>
              <w:widowControl w:val="0"/>
              <w:jc w:val="center"/>
              <w:rPr>
                <w:szCs w:val="21"/>
              </w:rPr>
            </w:pPr>
            <w:r>
              <w:t>1758</w:t>
            </w:r>
          </w:p>
        </w:tc>
        <w:tc>
          <w:tcPr>
            <w:tcW w:w="0" w:type="auto"/>
            <w:shd w:val="clear" w:color="auto" w:fill="auto"/>
            <w:vAlign w:val="center"/>
          </w:tcPr>
          <w:p w14:paraId="270EC86D">
            <w:pPr>
              <w:widowControl w:val="0"/>
              <w:jc w:val="center"/>
              <w:rPr>
                <w:szCs w:val="21"/>
              </w:rPr>
            </w:pPr>
            <w:r>
              <w:t>-71</w:t>
            </w:r>
          </w:p>
        </w:tc>
        <w:tc>
          <w:tcPr>
            <w:tcW w:w="0" w:type="auto"/>
            <w:vMerge w:val="continue"/>
            <w:vAlign w:val="center"/>
          </w:tcPr>
          <w:p w14:paraId="7D2BD4BC">
            <w:pPr>
              <w:widowControl w:val="0"/>
              <w:jc w:val="center"/>
              <w:rPr>
                <w:rFonts w:ascii="宋体" w:hAnsi="宋体"/>
                <w:color w:val="000000" w:themeColor="text1"/>
                <w:szCs w:val="21"/>
                <w14:textFill>
                  <w14:solidFill>
                    <w14:schemeClr w14:val="tx1"/>
                  </w14:solidFill>
                </w14:textFill>
              </w:rPr>
            </w:pPr>
          </w:p>
        </w:tc>
      </w:tr>
      <w:tr w14:paraId="526F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33B3B0A">
            <w:pPr>
              <w:widowControl w:val="0"/>
              <w:jc w:val="center"/>
              <w:rPr>
                <w:szCs w:val="21"/>
              </w:rPr>
            </w:pPr>
            <w:r>
              <w:t>27#</w:t>
            </w:r>
          </w:p>
        </w:tc>
        <w:tc>
          <w:tcPr>
            <w:tcW w:w="0" w:type="auto"/>
            <w:shd w:val="clear" w:color="auto" w:fill="auto"/>
            <w:vAlign w:val="center"/>
          </w:tcPr>
          <w:p w14:paraId="1254A6D5">
            <w:pPr>
              <w:widowControl w:val="0"/>
              <w:jc w:val="center"/>
              <w:rPr>
                <w:szCs w:val="21"/>
              </w:rPr>
            </w:pPr>
            <w:r>
              <w:rPr>
                <w:rFonts w:hint="eastAsia"/>
              </w:rPr>
              <w:t>甘泉道班</w:t>
            </w:r>
          </w:p>
        </w:tc>
        <w:tc>
          <w:tcPr>
            <w:tcW w:w="0" w:type="auto"/>
            <w:shd w:val="clear" w:color="auto" w:fill="auto"/>
            <w:vAlign w:val="center"/>
          </w:tcPr>
          <w:p w14:paraId="54910132">
            <w:pPr>
              <w:widowControl w:val="0"/>
              <w:jc w:val="center"/>
              <w:rPr>
                <w:szCs w:val="21"/>
              </w:rPr>
            </w:pPr>
            <w:r>
              <w:rPr>
                <w:rFonts w:hint="eastAsia"/>
              </w:rPr>
              <w:t>106.832514</w:t>
            </w:r>
          </w:p>
        </w:tc>
        <w:tc>
          <w:tcPr>
            <w:tcW w:w="0" w:type="auto"/>
            <w:shd w:val="clear" w:color="auto" w:fill="auto"/>
            <w:vAlign w:val="center"/>
          </w:tcPr>
          <w:p w14:paraId="59E7B51D">
            <w:pPr>
              <w:widowControl w:val="0"/>
              <w:jc w:val="center"/>
              <w:rPr>
                <w:szCs w:val="21"/>
              </w:rPr>
            </w:pPr>
            <w:r>
              <w:rPr>
                <w:rFonts w:hint="eastAsia"/>
              </w:rPr>
              <w:t>31.794358</w:t>
            </w:r>
          </w:p>
        </w:tc>
        <w:tc>
          <w:tcPr>
            <w:tcW w:w="0" w:type="auto"/>
            <w:shd w:val="clear" w:color="auto" w:fill="auto"/>
            <w:vAlign w:val="center"/>
          </w:tcPr>
          <w:p w14:paraId="291C08E1">
            <w:pPr>
              <w:widowControl w:val="0"/>
              <w:jc w:val="center"/>
              <w:rPr>
                <w:szCs w:val="21"/>
              </w:rPr>
            </w:pPr>
            <w:r>
              <w:rPr>
                <w:rFonts w:hint="eastAsia"/>
              </w:rPr>
              <w:t>约96人</w:t>
            </w:r>
          </w:p>
        </w:tc>
        <w:tc>
          <w:tcPr>
            <w:tcW w:w="0" w:type="auto"/>
            <w:vMerge w:val="continue"/>
            <w:vAlign w:val="center"/>
          </w:tcPr>
          <w:p w14:paraId="338D766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50539DE">
            <w:pPr>
              <w:widowControl w:val="0"/>
              <w:jc w:val="center"/>
              <w:rPr>
                <w:szCs w:val="21"/>
              </w:rPr>
            </w:pPr>
            <w:r>
              <w:t>SW</w:t>
            </w:r>
          </w:p>
        </w:tc>
        <w:tc>
          <w:tcPr>
            <w:tcW w:w="0" w:type="auto"/>
            <w:shd w:val="clear" w:color="auto" w:fill="auto"/>
            <w:vAlign w:val="center"/>
          </w:tcPr>
          <w:p w14:paraId="4489E6AB">
            <w:pPr>
              <w:widowControl w:val="0"/>
              <w:jc w:val="center"/>
              <w:rPr>
                <w:szCs w:val="21"/>
              </w:rPr>
            </w:pPr>
            <w:r>
              <w:t>316</w:t>
            </w:r>
          </w:p>
        </w:tc>
        <w:tc>
          <w:tcPr>
            <w:tcW w:w="0" w:type="auto"/>
            <w:shd w:val="clear" w:color="auto" w:fill="auto"/>
            <w:vAlign w:val="center"/>
          </w:tcPr>
          <w:p w14:paraId="796312F9">
            <w:pPr>
              <w:widowControl w:val="0"/>
              <w:jc w:val="center"/>
              <w:rPr>
                <w:szCs w:val="21"/>
              </w:rPr>
            </w:pPr>
            <w:r>
              <w:t>42</w:t>
            </w:r>
          </w:p>
        </w:tc>
        <w:tc>
          <w:tcPr>
            <w:tcW w:w="0" w:type="auto"/>
            <w:vMerge w:val="continue"/>
            <w:vAlign w:val="center"/>
          </w:tcPr>
          <w:p w14:paraId="68DBC707">
            <w:pPr>
              <w:widowControl w:val="0"/>
              <w:jc w:val="center"/>
              <w:rPr>
                <w:rFonts w:ascii="宋体" w:hAnsi="宋体"/>
                <w:color w:val="000000" w:themeColor="text1"/>
                <w:szCs w:val="21"/>
                <w14:textFill>
                  <w14:solidFill>
                    <w14:schemeClr w14:val="tx1"/>
                  </w14:solidFill>
                </w14:textFill>
              </w:rPr>
            </w:pPr>
          </w:p>
        </w:tc>
      </w:tr>
      <w:tr w14:paraId="4AC1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72EC730">
            <w:pPr>
              <w:widowControl w:val="0"/>
              <w:jc w:val="center"/>
              <w:rPr>
                <w:szCs w:val="21"/>
              </w:rPr>
            </w:pPr>
            <w:r>
              <w:t>28#</w:t>
            </w:r>
          </w:p>
        </w:tc>
        <w:tc>
          <w:tcPr>
            <w:tcW w:w="0" w:type="auto"/>
            <w:shd w:val="clear" w:color="auto" w:fill="auto"/>
            <w:vAlign w:val="center"/>
          </w:tcPr>
          <w:p w14:paraId="589C7884">
            <w:pPr>
              <w:widowControl w:val="0"/>
              <w:jc w:val="center"/>
              <w:rPr>
                <w:szCs w:val="21"/>
              </w:rPr>
            </w:pPr>
            <w:r>
              <w:rPr>
                <w:rFonts w:hint="eastAsia"/>
              </w:rPr>
              <w:t>鲁班石</w:t>
            </w:r>
          </w:p>
        </w:tc>
        <w:tc>
          <w:tcPr>
            <w:tcW w:w="0" w:type="auto"/>
            <w:shd w:val="clear" w:color="auto" w:fill="auto"/>
            <w:vAlign w:val="center"/>
          </w:tcPr>
          <w:p w14:paraId="05C8585E">
            <w:pPr>
              <w:widowControl w:val="0"/>
              <w:jc w:val="center"/>
              <w:rPr>
                <w:szCs w:val="21"/>
              </w:rPr>
            </w:pPr>
            <w:r>
              <w:rPr>
                <w:rFonts w:hint="eastAsia"/>
              </w:rPr>
              <w:t>106.830132</w:t>
            </w:r>
          </w:p>
        </w:tc>
        <w:tc>
          <w:tcPr>
            <w:tcW w:w="0" w:type="auto"/>
            <w:shd w:val="clear" w:color="auto" w:fill="auto"/>
            <w:vAlign w:val="center"/>
          </w:tcPr>
          <w:p w14:paraId="71F2BDA6">
            <w:pPr>
              <w:widowControl w:val="0"/>
              <w:jc w:val="center"/>
              <w:rPr>
                <w:szCs w:val="21"/>
              </w:rPr>
            </w:pPr>
            <w:r>
              <w:rPr>
                <w:rFonts w:hint="eastAsia"/>
              </w:rPr>
              <w:t>31.788157</w:t>
            </w:r>
          </w:p>
        </w:tc>
        <w:tc>
          <w:tcPr>
            <w:tcW w:w="0" w:type="auto"/>
            <w:shd w:val="clear" w:color="auto" w:fill="auto"/>
            <w:vAlign w:val="center"/>
          </w:tcPr>
          <w:p w14:paraId="08628FA8">
            <w:pPr>
              <w:widowControl w:val="0"/>
              <w:jc w:val="center"/>
              <w:rPr>
                <w:szCs w:val="21"/>
              </w:rPr>
            </w:pPr>
            <w:r>
              <w:rPr>
                <w:rFonts w:hint="eastAsia"/>
              </w:rPr>
              <w:t>约64人</w:t>
            </w:r>
          </w:p>
        </w:tc>
        <w:tc>
          <w:tcPr>
            <w:tcW w:w="0" w:type="auto"/>
            <w:vMerge w:val="continue"/>
            <w:vAlign w:val="center"/>
          </w:tcPr>
          <w:p w14:paraId="482DC75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F4648DA">
            <w:pPr>
              <w:widowControl w:val="0"/>
              <w:jc w:val="center"/>
              <w:rPr>
                <w:szCs w:val="21"/>
              </w:rPr>
            </w:pPr>
            <w:r>
              <w:t>SW</w:t>
            </w:r>
          </w:p>
        </w:tc>
        <w:tc>
          <w:tcPr>
            <w:tcW w:w="0" w:type="auto"/>
            <w:shd w:val="clear" w:color="auto" w:fill="auto"/>
            <w:vAlign w:val="center"/>
          </w:tcPr>
          <w:p w14:paraId="666595A8">
            <w:pPr>
              <w:widowControl w:val="0"/>
              <w:jc w:val="center"/>
              <w:rPr>
                <w:szCs w:val="21"/>
              </w:rPr>
            </w:pPr>
            <w:r>
              <w:t>1300</w:t>
            </w:r>
          </w:p>
        </w:tc>
        <w:tc>
          <w:tcPr>
            <w:tcW w:w="0" w:type="auto"/>
            <w:shd w:val="clear" w:color="auto" w:fill="auto"/>
            <w:vAlign w:val="center"/>
          </w:tcPr>
          <w:p w14:paraId="622B2C4A">
            <w:pPr>
              <w:widowControl w:val="0"/>
              <w:jc w:val="center"/>
              <w:rPr>
                <w:szCs w:val="21"/>
              </w:rPr>
            </w:pPr>
            <w:r>
              <w:t>-37</w:t>
            </w:r>
          </w:p>
        </w:tc>
        <w:tc>
          <w:tcPr>
            <w:tcW w:w="0" w:type="auto"/>
            <w:vMerge w:val="continue"/>
            <w:vAlign w:val="center"/>
          </w:tcPr>
          <w:p w14:paraId="2D4F000E">
            <w:pPr>
              <w:widowControl w:val="0"/>
              <w:jc w:val="center"/>
              <w:rPr>
                <w:rFonts w:ascii="宋体" w:hAnsi="宋体"/>
                <w:color w:val="000000" w:themeColor="text1"/>
                <w:szCs w:val="21"/>
                <w14:textFill>
                  <w14:solidFill>
                    <w14:schemeClr w14:val="tx1"/>
                  </w14:solidFill>
                </w14:textFill>
              </w:rPr>
            </w:pPr>
          </w:p>
        </w:tc>
      </w:tr>
      <w:tr w14:paraId="7D497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167EC34">
            <w:pPr>
              <w:widowControl w:val="0"/>
              <w:jc w:val="center"/>
              <w:rPr>
                <w:szCs w:val="21"/>
              </w:rPr>
            </w:pPr>
            <w:r>
              <w:t>29#</w:t>
            </w:r>
          </w:p>
        </w:tc>
        <w:tc>
          <w:tcPr>
            <w:tcW w:w="0" w:type="auto"/>
            <w:shd w:val="clear" w:color="auto" w:fill="auto"/>
            <w:vAlign w:val="center"/>
          </w:tcPr>
          <w:p w14:paraId="4ADD6B25">
            <w:pPr>
              <w:widowControl w:val="0"/>
              <w:jc w:val="center"/>
              <w:rPr>
                <w:szCs w:val="21"/>
              </w:rPr>
            </w:pPr>
            <w:r>
              <w:rPr>
                <w:rFonts w:hint="eastAsia"/>
              </w:rPr>
              <w:t>何家</w:t>
            </w:r>
            <w:r>
              <w:rPr>
                <w:rFonts w:hint="eastAsia" w:ascii="微软雅黑" w:hAnsi="微软雅黑" w:eastAsia="微软雅黑" w:cs="微软雅黑"/>
              </w:rPr>
              <w:t>𤧛</w:t>
            </w:r>
          </w:p>
        </w:tc>
        <w:tc>
          <w:tcPr>
            <w:tcW w:w="0" w:type="auto"/>
            <w:shd w:val="clear" w:color="auto" w:fill="auto"/>
            <w:vAlign w:val="center"/>
          </w:tcPr>
          <w:p w14:paraId="2B6445A1">
            <w:pPr>
              <w:widowControl w:val="0"/>
              <w:jc w:val="center"/>
              <w:rPr>
                <w:szCs w:val="21"/>
              </w:rPr>
            </w:pPr>
            <w:r>
              <w:rPr>
                <w:rFonts w:hint="eastAsia"/>
              </w:rPr>
              <w:t>106.829467</w:t>
            </w:r>
          </w:p>
        </w:tc>
        <w:tc>
          <w:tcPr>
            <w:tcW w:w="0" w:type="auto"/>
            <w:shd w:val="clear" w:color="auto" w:fill="auto"/>
            <w:vAlign w:val="center"/>
          </w:tcPr>
          <w:p w14:paraId="40D00D80">
            <w:pPr>
              <w:widowControl w:val="0"/>
              <w:jc w:val="center"/>
              <w:rPr>
                <w:szCs w:val="21"/>
              </w:rPr>
            </w:pPr>
            <w:r>
              <w:rPr>
                <w:rFonts w:hint="eastAsia"/>
              </w:rPr>
              <w:t>31.784071</w:t>
            </w:r>
          </w:p>
        </w:tc>
        <w:tc>
          <w:tcPr>
            <w:tcW w:w="0" w:type="auto"/>
            <w:shd w:val="clear" w:color="auto" w:fill="auto"/>
            <w:vAlign w:val="center"/>
          </w:tcPr>
          <w:p w14:paraId="08A2C371">
            <w:pPr>
              <w:widowControl w:val="0"/>
              <w:jc w:val="center"/>
              <w:rPr>
                <w:szCs w:val="21"/>
              </w:rPr>
            </w:pPr>
            <w:r>
              <w:rPr>
                <w:rFonts w:hint="eastAsia"/>
              </w:rPr>
              <w:t>约72人</w:t>
            </w:r>
          </w:p>
        </w:tc>
        <w:tc>
          <w:tcPr>
            <w:tcW w:w="0" w:type="auto"/>
            <w:vMerge w:val="continue"/>
            <w:vAlign w:val="center"/>
          </w:tcPr>
          <w:p w14:paraId="673074A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8F82A1F">
            <w:pPr>
              <w:widowControl w:val="0"/>
              <w:jc w:val="center"/>
              <w:rPr>
                <w:szCs w:val="21"/>
              </w:rPr>
            </w:pPr>
            <w:r>
              <w:t>SW</w:t>
            </w:r>
          </w:p>
        </w:tc>
        <w:tc>
          <w:tcPr>
            <w:tcW w:w="0" w:type="auto"/>
            <w:shd w:val="clear" w:color="auto" w:fill="auto"/>
            <w:vAlign w:val="center"/>
          </w:tcPr>
          <w:p w14:paraId="7374BFF9">
            <w:pPr>
              <w:widowControl w:val="0"/>
              <w:jc w:val="center"/>
              <w:rPr>
                <w:szCs w:val="21"/>
              </w:rPr>
            </w:pPr>
            <w:r>
              <w:t>1487</w:t>
            </w:r>
          </w:p>
        </w:tc>
        <w:tc>
          <w:tcPr>
            <w:tcW w:w="0" w:type="auto"/>
            <w:shd w:val="clear" w:color="auto" w:fill="auto"/>
            <w:vAlign w:val="center"/>
          </w:tcPr>
          <w:p w14:paraId="60F5B60E">
            <w:pPr>
              <w:widowControl w:val="0"/>
              <w:jc w:val="center"/>
              <w:rPr>
                <w:szCs w:val="21"/>
              </w:rPr>
            </w:pPr>
            <w:r>
              <w:t>-110</w:t>
            </w:r>
          </w:p>
        </w:tc>
        <w:tc>
          <w:tcPr>
            <w:tcW w:w="0" w:type="auto"/>
            <w:vMerge w:val="continue"/>
            <w:vAlign w:val="center"/>
          </w:tcPr>
          <w:p w14:paraId="4D562801">
            <w:pPr>
              <w:widowControl w:val="0"/>
              <w:jc w:val="center"/>
              <w:rPr>
                <w:rFonts w:ascii="宋体" w:hAnsi="宋体"/>
                <w:color w:val="000000" w:themeColor="text1"/>
                <w:szCs w:val="21"/>
                <w14:textFill>
                  <w14:solidFill>
                    <w14:schemeClr w14:val="tx1"/>
                  </w14:solidFill>
                </w14:textFill>
              </w:rPr>
            </w:pPr>
          </w:p>
        </w:tc>
      </w:tr>
      <w:tr w14:paraId="2A12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1E03483">
            <w:pPr>
              <w:widowControl w:val="0"/>
              <w:jc w:val="center"/>
              <w:rPr>
                <w:szCs w:val="21"/>
              </w:rPr>
            </w:pPr>
            <w:r>
              <w:t>30#</w:t>
            </w:r>
          </w:p>
        </w:tc>
        <w:tc>
          <w:tcPr>
            <w:tcW w:w="0" w:type="auto"/>
            <w:shd w:val="clear" w:color="auto" w:fill="auto"/>
            <w:vAlign w:val="center"/>
          </w:tcPr>
          <w:p w14:paraId="314B4E92">
            <w:pPr>
              <w:widowControl w:val="0"/>
              <w:jc w:val="center"/>
              <w:rPr>
                <w:szCs w:val="21"/>
              </w:rPr>
            </w:pPr>
            <w:r>
              <w:rPr>
                <w:rFonts w:hint="eastAsia"/>
              </w:rPr>
              <w:t>田家湾</w:t>
            </w:r>
          </w:p>
        </w:tc>
        <w:tc>
          <w:tcPr>
            <w:tcW w:w="0" w:type="auto"/>
            <w:shd w:val="clear" w:color="auto" w:fill="auto"/>
            <w:vAlign w:val="center"/>
          </w:tcPr>
          <w:p w14:paraId="31120DBB">
            <w:pPr>
              <w:widowControl w:val="0"/>
              <w:jc w:val="center"/>
              <w:rPr>
                <w:szCs w:val="21"/>
              </w:rPr>
            </w:pPr>
            <w:r>
              <w:rPr>
                <w:rFonts w:hint="eastAsia"/>
              </w:rPr>
              <w:t>106.825111</w:t>
            </w:r>
          </w:p>
        </w:tc>
        <w:tc>
          <w:tcPr>
            <w:tcW w:w="0" w:type="auto"/>
            <w:shd w:val="clear" w:color="auto" w:fill="auto"/>
            <w:vAlign w:val="center"/>
          </w:tcPr>
          <w:p w14:paraId="1CA59ED8">
            <w:pPr>
              <w:widowControl w:val="0"/>
              <w:jc w:val="center"/>
              <w:rPr>
                <w:szCs w:val="21"/>
              </w:rPr>
            </w:pPr>
            <w:r>
              <w:rPr>
                <w:rFonts w:hint="eastAsia"/>
              </w:rPr>
              <w:t>31.78615</w:t>
            </w:r>
          </w:p>
        </w:tc>
        <w:tc>
          <w:tcPr>
            <w:tcW w:w="0" w:type="auto"/>
            <w:shd w:val="clear" w:color="auto" w:fill="auto"/>
            <w:vAlign w:val="center"/>
          </w:tcPr>
          <w:p w14:paraId="18CB8B21">
            <w:pPr>
              <w:widowControl w:val="0"/>
              <w:jc w:val="center"/>
              <w:rPr>
                <w:szCs w:val="21"/>
              </w:rPr>
            </w:pPr>
            <w:r>
              <w:rPr>
                <w:rFonts w:hint="eastAsia"/>
              </w:rPr>
              <w:t>约69人</w:t>
            </w:r>
          </w:p>
        </w:tc>
        <w:tc>
          <w:tcPr>
            <w:tcW w:w="0" w:type="auto"/>
            <w:vMerge w:val="continue"/>
            <w:vAlign w:val="center"/>
          </w:tcPr>
          <w:p w14:paraId="53A52F7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31B47E5">
            <w:pPr>
              <w:widowControl w:val="0"/>
              <w:jc w:val="center"/>
              <w:rPr>
                <w:szCs w:val="21"/>
              </w:rPr>
            </w:pPr>
            <w:r>
              <w:t>SW</w:t>
            </w:r>
          </w:p>
        </w:tc>
        <w:tc>
          <w:tcPr>
            <w:tcW w:w="0" w:type="auto"/>
            <w:shd w:val="clear" w:color="auto" w:fill="auto"/>
            <w:vAlign w:val="center"/>
          </w:tcPr>
          <w:p w14:paraId="48A1D73C">
            <w:pPr>
              <w:widowControl w:val="0"/>
              <w:jc w:val="center"/>
              <w:rPr>
                <w:szCs w:val="21"/>
              </w:rPr>
            </w:pPr>
            <w:r>
              <w:t>1628</w:t>
            </w:r>
          </w:p>
        </w:tc>
        <w:tc>
          <w:tcPr>
            <w:tcW w:w="0" w:type="auto"/>
            <w:shd w:val="clear" w:color="auto" w:fill="auto"/>
            <w:vAlign w:val="center"/>
          </w:tcPr>
          <w:p w14:paraId="03CAF7BD">
            <w:pPr>
              <w:widowControl w:val="0"/>
              <w:jc w:val="center"/>
              <w:rPr>
                <w:szCs w:val="21"/>
              </w:rPr>
            </w:pPr>
            <w:r>
              <w:t>-115</w:t>
            </w:r>
          </w:p>
        </w:tc>
        <w:tc>
          <w:tcPr>
            <w:tcW w:w="0" w:type="auto"/>
            <w:vMerge w:val="continue"/>
            <w:vAlign w:val="center"/>
          </w:tcPr>
          <w:p w14:paraId="1C8EB719">
            <w:pPr>
              <w:widowControl w:val="0"/>
              <w:jc w:val="center"/>
              <w:rPr>
                <w:rFonts w:ascii="宋体" w:hAnsi="宋体"/>
                <w:color w:val="000000" w:themeColor="text1"/>
                <w:szCs w:val="21"/>
                <w14:textFill>
                  <w14:solidFill>
                    <w14:schemeClr w14:val="tx1"/>
                  </w14:solidFill>
                </w14:textFill>
              </w:rPr>
            </w:pPr>
          </w:p>
        </w:tc>
      </w:tr>
      <w:tr w14:paraId="3387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86010BE">
            <w:pPr>
              <w:widowControl w:val="0"/>
              <w:jc w:val="center"/>
              <w:rPr>
                <w:szCs w:val="21"/>
              </w:rPr>
            </w:pPr>
            <w:r>
              <w:t>31#</w:t>
            </w:r>
          </w:p>
        </w:tc>
        <w:tc>
          <w:tcPr>
            <w:tcW w:w="0" w:type="auto"/>
            <w:shd w:val="clear" w:color="auto" w:fill="auto"/>
            <w:vAlign w:val="center"/>
          </w:tcPr>
          <w:p w14:paraId="486F3718">
            <w:pPr>
              <w:widowControl w:val="0"/>
              <w:jc w:val="center"/>
              <w:rPr>
                <w:szCs w:val="21"/>
              </w:rPr>
            </w:pPr>
            <w:r>
              <w:rPr>
                <w:rFonts w:hint="eastAsia"/>
              </w:rPr>
              <w:t>苏湾</w:t>
            </w:r>
          </w:p>
        </w:tc>
        <w:tc>
          <w:tcPr>
            <w:tcW w:w="0" w:type="auto"/>
            <w:shd w:val="clear" w:color="auto" w:fill="auto"/>
            <w:vAlign w:val="center"/>
          </w:tcPr>
          <w:p w14:paraId="6DA16709">
            <w:pPr>
              <w:widowControl w:val="0"/>
              <w:jc w:val="center"/>
              <w:rPr>
                <w:szCs w:val="21"/>
              </w:rPr>
            </w:pPr>
            <w:r>
              <w:rPr>
                <w:rFonts w:hint="eastAsia"/>
              </w:rPr>
              <w:t>106.83157</w:t>
            </w:r>
          </w:p>
        </w:tc>
        <w:tc>
          <w:tcPr>
            <w:tcW w:w="0" w:type="auto"/>
            <w:shd w:val="clear" w:color="auto" w:fill="auto"/>
            <w:vAlign w:val="center"/>
          </w:tcPr>
          <w:p w14:paraId="63FAC3DF">
            <w:pPr>
              <w:widowControl w:val="0"/>
              <w:jc w:val="center"/>
              <w:rPr>
                <w:szCs w:val="21"/>
              </w:rPr>
            </w:pPr>
            <w:r>
              <w:rPr>
                <w:rFonts w:hint="eastAsia"/>
              </w:rPr>
              <w:t>31.795726</w:t>
            </w:r>
          </w:p>
        </w:tc>
        <w:tc>
          <w:tcPr>
            <w:tcW w:w="0" w:type="auto"/>
            <w:shd w:val="clear" w:color="auto" w:fill="auto"/>
            <w:vAlign w:val="center"/>
          </w:tcPr>
          <w:p w14:paraId="263928BE">
            <w:pPr>
              <w:widowControl w:val="0"/>
              <w:jc w:val="center"/>
              <w:rPr>
                <w:szCs w:val="21"/>
              </w:rPr>
            </w:pPr>
            <w:r>
              <w:rPr>
                <w:rFonts w:hint="eastAsia"/>
              </w:rPr>
              <w:t>约15人</w:t>
            </w:r>
          </w:p>
        </w:tc>
        <w:tc>
          <w:tcPr>
            <w:tcW w:w="0" w:type="auto"/>
            <w:vMerge w:val="continue"/>
            <w:vAlign w:val="center"/>
          </w:tcPr>
          <w:p w14:paraId="79DCB59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330823C">
            <w:pPr>
              <w:widowControl w:val="0"/>
              <w:jc w:val="center"/>
              <w:rPr>
                <w:szCs w:val="21"/>
              </w:rPr>
            </w:pPr>
            <w:r>
              <w:t>SW</w:t>
            </w:r>
          </w:p>
        </w:tc>
        <w:tc>
          <w:tcPr>
            <w:tcW w:w="0" w:type="auto"/>
            <w:shd w:val="clear" w:color="auto" w:fill="auto"/>
            <w:vAlign w:val="center"/>
          </w:tcPr>
          <w:p w14:paraId="1700F9D0">
            <w:pPr>
              <w:widowControl w:val="0"/>
              <w:jc w:val="center"/>
              <w:rPr>
                <w:szCs w:val="21"/>
              </w:rPr>
            </w:pPr>
            <w:r>
              <w:t>485</w:t>
            </w:r>
          </w:p>
        </w:tc>
        <w:tc>
          <w:tcPr>
            <w:tcW w:w="0" w:type="auto"/>
            <w:shd w:val="clear" w:color="auto" w:fill="auto"/>
            <w:vAlign w:val="center"/>
          </w:tcPr>
          <w:p w14:paraId="1B7C5504">
            <w:pPr>
              <w:widowControl w:val="0"/>
              <w:jc w:val="center"/>
              <w:rPr>
                <w:szCs w:val="21"/>
              </w:rPr>
            </w:pPr>
            <w:r>
              <w:t>40</w:t>
            </w:r>
          </w:p>
        </w:tc>
        <w:tc>
          <w:tcPr>
            <w:tcW w:w="0" w:type="auto"/>
            <w:vMerge w:val="continue"/>
            <w:vAlign w:val="center"/>
          </w:tcPr>
          <w:p w14:paraId="0BD633A0">
            <w:pPr>
              <w:widowControl w:val="0"/>
              <w:jc w:val="center"/>
              <w:rPr>
                <w:rFonts w:ascii="宋体" w:hAnsi="宋体"/>
                <w:color w:val="000000" w:themeColor="text1"/>
                <w:szCs w:val="21"/>
                <w14:textFill>
                  <w14:solidFill>
                    <w14:schemeClr w14:val="tx1"/>
                  </w14:solidFill>
                </w14:textFill>
              </w:rPr>
            </w:pPr>
          </w:p>
        </w:tc>
      </w:tr>
      <w:tr w14:paraId="6262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ED766C6">
            <w:pPr>
              <w:widowControl w:val="0"/>
              <w:jc w:val="center"/>
              <w:rPr>
                <w:szCs w:val="21"/>
              </w:rPr>
            </w:pPr>
            <w:r>
              <w:t>32#</w:t>
            </w:r>
          </w:p>
        </w:tc>
        <w:tc>
          <w:tcPr>
            <w:tcW w:w="0" w:type="auto"/>
            <w:shd w:val="clear" w:color="auto" w:fill="auto"/>
            <w:vAlign w:val="center"/>
          </w:tcPr>
          <w:p w14:paraId="488E6F0E">
            <w:pPr>
              <w:widowControl w:val="0"/>
              <w:jc w:val="center"/>
              <w:rPr>
                <w:szCs w:val="21"/>
              </w:rPr>
            </w:pPr>
            <w:r>
              <w:rPr>
                <w:rFonts w:hint="eastAsia"/>
              </w:rPr>
              <w:t>碾子湾</w:t>
            </w:r>
          </w:p>
        </w:tc>
        <w:tc>
          <w:tcPr>
            <w:tcW w:w="0" w:type="auto"/>
            <w:shd w:val="clear" w:color="auto" w:fill="auto"/>
            <w:vAlign w:val="center"/>
          </w:tcPr>
          <w:p w14:paraId="1B47549D">
            <w:pPr>
              <w:widowControl w:val="0"/>
              <w:jc w:val="center"/>
              <w:rPr>
                <w:szCs w:val="21"/>
              </w:rPr>
            </w:pPr>
            <w:r>
              <w:rPr>
                <w:rFonts w:hint="eastAsia"/>
              </w:rPr>
              <w:t>106.829499</w:t>
            </w:r>
          </w:p>
        </w:tc>
        <w:tc>
          <w:tcPr>
            <w:tcW w:w="0" w:type="auto"/>
            <w:shd w:val="clear" w:color="auto" w:fill="auto"/>
            <w:vAlign w:val="center"/>
          </w:tcPr>
          <w:p w14:paraId="1A85CD6D">
            <w:pPr>
              <w:widowControl w:val="0"/>
              <w:jc w:val="center"/>
              <w:rPr>
                <w:szCs w:val="21"/>
              </w:rPr>
            </w:pPr>
            <w:r>
              <w:rPr>
                <w:rFonts w:hint="eastAsia"/>
              </w:rPr>
              <w:t>31.794823</w:t>
            </w:r>
          </w:p>
        </w:tc>
        <w:tc>
          <w:tcPr>
            <w:tcW w:w="0" w:type="auto"/>
            <w:shd w:val="clear" w:color="auto" w:fill="auto"/>
            <w:vAlign w:val="center"/>
          </w:tcPr>
          <w:p w14:paraId="1A267F87">
            <w:pPr>
              <w:widowControl w:val="0"/>
              <w:jc w:val="center"/>
              <w:rPr>
                <w:szCs w:val="21"/>
              </w:rPr>
            </w:pPr>
            <w:r>
              <w:rPr>
                <w:rFonts w:hint="eastAsia"/>
              </w:rPr>
              <w:t>约9人</w:t>
            </w:r>
          </w:p>
        </w:tc>
        <w:tc>
          <w:tcPr>
            <w:tcW w:w="0" w:type="auto"/>
            <w:vMerge w:val="continue"/>
            <w:vAlign w:val="center"/>
          </w:tcPr>
          <w:p w14:paraId="51F728F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1EBA483">
            <w:pPr>
              <w:widowControl w:val="0"/>
              <w:jc w:val="center"/>
              <w:rPr>
                <w:szCs w:val="21"/>
              </w:rPr>
            </w:pPr>
            <w:r>
              <w:t>SW</w:t>
            </w:r>
          </w:p>
        </w:tc>
        <w:tc>
          <w:tcPr>
            <w:tcW w:w="0" w:type="auto"/>
            <w:shd w:val="clear" w:color="auto" w:fill="auto"/>
            <w:vAlign w:val="center"/>
          </w:tcPr>
          <w:p w14:paraId="1812F714">
            <w:pPr>
              <w:widowControl w:val="0"/>
              <w:jc w:val="center"/>
              <w:rPr>
                <w:szCs w:val="21"/>
              </w:rPr>
            </w:pPr>
            <w:r>
              <w:t>751</w:t>
            </w:r>
          </w:p>
        </w:tc>
        <w:tc>
          <w:tcPr>
            <w:tcW w:w="0" w:type="auto"/>
            <w:shd w:val="clear" w:color="auto" w:fill="auto"/>
            <w:vAlign w:val="center"/>
          </w:tcPr>
          <w:p w14:paraId="2A9D8AAA">
            <w:pPr>
              <w:widowControl w:val="0"/>
              <w:jc w:val="center"/>
              <w:rPr>
                <w:szCs w:val="21"/>
              </w:rPr>
            </w:pPr>
            <w:r>
              <w:t>3</w:t>
            </w:r>
          </w:p>
        </w:tc>
        <w:tc>
          <w:tcPr>
            <w:tcW w:w="0" w:type="auto"/>
            <w:vMerge w:val="continue"/>
            <w:vAlign w:val="center"/>
          </w:tcPr>
          <w:p w14:paraId="78DD71C6">
            <w:pPr>
              <w:widowControl w:val="0"/>
              <w:jc w:val="center"/>
              <w:rPr>
                <w:rFonts w:ascii="宋体" w:hAnsi="宋体"/>
                <w:color w:val="000000" w:themeColor="text1"/>
                <w:szCs w:val="21"/>
                <w14:textFill>
                  <w14:solidFill>
                    <w14:schemeClr w14:val="tx1"/>
                  </w14:solidFill>
                </w14:textFill>
              </w:rPr>
            </w:pPr>
          </w:p>
        </w:tc>
      </w:tr>
      <w:tr w14:paraId="3D4CC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7FE70B5">
            <w:pPr>
              <w:widowControl w:val="0"/>
              <w:jc w:val="center"/>
              <w:rPr>
                <w:szCs w:val="21"/>
              </w:rPr>
            </w:pPr>
            <w:r>
              <w:t>33#</w:t>
            </w:r>
          </w:p>
        </w:tc>
        <w:tc>
          <w:tcPr>
            <w:tcW w:w="0" w:type="auto"/>
            <w:shd w:val="clear" w:color="auto" w:fill="auto"/>
            <w:vAlign w:val="center"/>
          </w:tcPr>
          <w:p w14:paraId="2736B309">
            <w:pPr>
              <w:widowControl w:val="0"/>
              <w:jc w:val="center"/>
              <w:rPr>
                <w:szCs w:val="21"/>
              </w:rPr>
            </w:pPr>
            <w:r>
              <w:rPr>
                <w:rFonts w:hint="eastAsia"/>
              </w:rPr>
              <w:t>碑梁</w:t>
            </w:r>
          </w:p>
        </w:tc>
        <w:tc>
          <w:tcPr>
            <w:tcW w:w="0" w:type="auto"/>
            <w:shd w:val="clear" w:color="auto" w:fill="auto"/>
            <w:vAlign w:val="center"/>
          </w:tcPr>
          <w:p w14:paraId="787F2D98">
            <w:pPr>
              <w:widowControl w:val="0"/>
              <w:jc w:val="center"/>
              <w:rPr>
                <w:szCs w:val="21"/>
              </w:rPr>
            </w:pPr>
            <w:r>
              <w:rPr>
                <w:rFonts w:hint="eastAsia"/>
              </w:rPr>
              <w:t>106.829499</w:t>
            </w:r>
          </w:p>
        </w:tc>
        <w:tc>
          <w:tcPr>
            <w:tcW w:w="0" w:type="auto"/>
            <w:shd w:val="clear" w:color="auto" w:fill="auto"/>
            <w:vAlign w:val="center"/>
          </w:tcPr>
          <w:p w14:paraId="42050B71">
            <w:pPr>
              <w:widowControl w:val="0"/>
              <w:jc w:val="center"/>
              <w:rPr>
                <w:szCs w:val="21"/>
              </w:rPr>
            </w:pPr>
            <w:r>
              <w:rPr>
                <w:rFonts w:hint="eastAsia"/>
              </w:rPr>
              <w:t>31.794823</w:t>
            </w:r>
          </w:p>
        </w:tc>
        <w:tc>
          <w:tcPr>
            <w:tcW w:w="0" w:type="auto"/>
            <w:shd w:val="clear" w:color="auto" w:fill="auto"/>
            <w:vAlign w:val="center"/>
          </w:tcPr>
          <w:p w14:paraId="5694C531">
            <w:pPr>
              <w:widowControl w:val="0"/>
              <w:jc w:val="center"/>
              <w:rPr>
                <w:szCs w:val="21"/>
              </w:rPr>
            </w:pPr>
            <w:r>
              <w:rPr>
                <w:rFonts w:hint="eastAsia"/>
              </w:rPr>
              <w:t>约9人</w:t>
            </w:r>
          </w:p>
        </w:tc>
        <w:tc>
          <w:tcPr>
            <w:tcW w:w="0" w:type="auto"/>
            <w:vMerge w:val="continue"/>
            <w:vAlign w:val="center"/>
          </w:tcPr>
          <w:p w14:paraId="245DCC2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D6DEED3">
            <w:pPr>
              <w:widowControl w:val="0"/>
              <w:jc w:val="center"/>
              <w:rPr>
                <w:szCs w:val="21"/>
              </w:rPr>
            </w:pPr>
            <w:r>
              <w:t>SW</w:t>
            </w:r>
          </w:p>
        </w:tc>
        <w:tc>
          <w:tcPr>
            <w:tcW w:w="0" w:type="auto"/>
            <w:shd w:val="clear" w:color="auto" w:fill="auto"/>
            <w:vAlign w:val="center"/>
          </w:tcPr>
          <w:p w14:paraId="3D6FFBC1">
            <w:pPr>
              <w:widowControl w:val="0"/>
              <w:jc w:val="center"/>
              <w:rPr>
                <w:szCs w:val="21"/>
              </w:rPr>
            </w:pPr>
            <w:r>
              <w:t>1059</w:t>
            </w:r>
          </w:p>
        </w:tc>
        <w:tc>
          <w:tcPr>
            <w:tcW w:w="0" w:type="auto"/>
            <w:shd w:val="clear" w:color="auto" w:fill="auto"/>
            <w:vAlign w:val="center"/>
          </w:tcPr>
          <w:p w14:paraId="0C19F28F">
            <w:pPr>
              <w:widowControl w:val="0"/>
              <w:jc w:val="center"/>
              <w:rPr>
                <w:szCs w:val="21"/>
              </w:rPr>
            </w:pPr>
            <w:r>
              <w:t>3</w:t>
            </w:r>
          </w:p>
        </w:tc>
        <w:tc>
          <w:tcPr>
            <w:tcW w:w="0" w:type="auto"/>
            <w:vMerge w:val="continue"/>
            <w:vAlign w:val="center"/>
          </w:tcPr>
          <w:p w14:paraId="5A7B0A73">
            <w:pPr>
              <w:widowControl w:val="0"/>
              <w:jc w:val="center"/>
              <w:rPr>
                <w:rFonts w:ascii="宋体" w:hAnsi="宋体"/>
                <w:color w:val="000000" w:themeColor="text1"/>
                <w:szCs w:val="21"/>
                <w14:textFill>
                  <w14:solidFill>
                    <w14:schemeClr w14:val="tx1"/>
                  </w14:solidFill>
                </w14:textFill>
              </w:rPr>
            </w:pPr>
          </w:p>
        </w:tc>
      </w:tr>
      <w:tr w14:paraId="292C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D4CA8F2">
            <w:pPr>
              <w:widowControl w:val="0"/>
              <w:jc w:val="center"/>
              <w:rPr>
                <w:szCs w:val="21"/>
              </w:rPr>
            </w:pPr>
            <w:r>
              <w:t>34#</w:t>
            </w:r>
          </w:p>
        </w:tc>
        <w:tc>
          <w:tcPr>
            <w:tcW w:w="0" w:type="auto"/>
            <w:shd w:val="clear" w:color="auto" w:fill="auto"/>
            <w:vAlign w:val="center"/>
          </w:tcPr>
          <w:p w14:paraId="10FA35F1">
            <w:pPr>
              <w:widowControl w:val="0"/>
              <w:jc w:val="center"/>
              <w:rPr>
                <w:szCs w:val="21"/>
              </w:rPr>
            </w:pPr>
            <w:r>
              <w:rPr>
                <w:rFonts w:hint="eastAsia"/>
              </w:rPr>
              <w:t>李家沟</w:t>
            </w:r>
          </w:p>
        </w:tc>
        <w:tc>
          <w:tcPr>
            <w:tcW w:w="0" w:type="auto"/>
            <w:shd w:val="clear" w:color="auto" w:fill="auto"/>
            <w:vAlign w:val="center"/>
          </w:tcPr>
          <w:p w14:paraId="69F412D9">
            <w:pPr>
              <w:widowControl w:val="0"/>
              <w:jc w:val="center"/>
              <w:rPr>
                <w:szCs w:val="21"/>
              </w:rPr>
            </w:pPr>
            <w:r>
              <w:rPr>
                <w:rFonts w:hint="eastAsia"/>
              </w:rPr>
              <w:t>106.828287</w:t>
            </w:r>
          </w:p>
        </w:tc>
        <w:tc>
          <w:tcPr>
            <w:tcW w:w="0" w:type="auto"/>
            <w:shd w:val="clear" w:color="auto" w:fill="auto"/>
            <w:vAlign w:val="center"/>
          </w:tcPr>
          <w:p w14:paraId="538406CB">
            <w:pPr>
              <w:widowControl w:val="0"/>
              <w:jc w:val="center"/>
              <w:rPr>
                <w:szCs w:val="21"/>
              </w:rPr>
            </w:pPr>
            <w:r>
              <w:rPr>
                <w:rFonts w:hint="eastAsia"/>
              </w:rPr>
              <w:t>31.799264</w:t>
            </w:r>
          </w:p>
        </w:tc>
        <w:tc>
          <w:tcPr>
            <w:tcW w:w="0" w:type="auto"/>
            <w:shd w:val="clear" w:color="auto" w:fill="auto"/>
            <w:vAlign w:val="center"/>
          </w:tcPr>
          <w:p w14:paraId="0B056C2C">
            <w:pPr>
              <w:widowControl w:val="0"/>
              <w:jc w:val="center"/>
              <w:rPr>
                <w:szCs w:val="21"/>
              </w:rPr>
            </w:pPr>
            <w:r>
              <w:rPr>
                <w:rFonts w:hint="eastAsia"/>
              </w:rPr>
              <w:t>约66人</w:t>
            </w:r>
          </w:p>
        </w:tc>
        <w:tc>
          <w:tcPr>
            <w:tcW w:w="0" w:type="auto"/>
            <w:vMerge w:val="continue"/>
            <w:vAlign w:val="center"/>
          </w:tcPr>
          <w:p w14:paraId="6A137FF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921187A">
            <w:pPr>
              <w:widowControl w:val="0"/>
              <w:jc w:val="center"/>
              <w:rPr>
                <w:szCs w:val="21"/>
              </w:rPr>
            </w:pPr>
            <w:r>
              <w:t>SW</w:t>
            </w:r>
          </w:p>
        </w:tc>
        <w:tc>
          <w:tcPr>
            <w:tcW w:w="0" w:type="auto"/>
            <w:shd w:val="clear" w:color="auto" w:fill="auto"/>
            <w:vAlign w:val="center"/>
          </w:tcPr>
          <w:p w14:paraId="55B4A974">
            <w:pPr>
              <w:widowControl w:val="0"/>
              <w:jc w:val="center"/>
              <w:rPr>
                <w:szCs w:val="21"/>
              </w:rPr>
            </w:pPr>
            <w:r>
              <w:t>570</w:t>
            </w:r>
          </w:p>
        </w:tc>
        <w:tc>
          <w:tcPr>
            <w:tcW w:w="0" w:type="auto"/>
            <w:shd w:val="clear" w:color="auto" w:fill="auto"/>
            <w:vAlign w:val="center"/>
          </w:tcPr>
          <w:p w14:paraId="0ED5BCA2">
            <w:pPr>
              <w:widowControl w:val="0"/>
              <w:jc w:val="center"/>
              <w:rPr>
                <w:szCs w:val="21"/>
              </w:rPr>
            </w:pPr>
            <w:r>
              <w:t>-87</w:t>
            </w:r>
          </w:p>
        </w:tc>
        <w:tc>
          <w:tcPr>
            <w:tcW w:w="0" w:type="auto"/>
            <w:vMerge w:val="continue"/>
            <w:vAlign w:val="center"/>
          </w:tcPr>
          <w:p w14:paraId="38B23F23">
            <w:pPr>
              <w:widowControl w:val="0"/>
              <w:jc w:val="center"/>
              <w:rPr>
                <w:rFonts w:ascii="宋体" w:hAnsi="宋体"/>
                <w:color w:val="000000" w:themeColor="text1"/>
                <w:szCs w:val="21"/>
                <w14:textFill>
                  <w14:solidFill>
                    <w14:schemeClr w14:val="tx1"/>
                  </w14:solidFill>
                </w14:textFill>
              </w:rPr>
            </w:pPr>
          </w:p>
        </w:tc>
      </w:tr>
      <w:tr w14:paraId="6D813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A1A3D50">
            <w:pPr>
              <w:widowControl w:val="0"/>
              <w:jc w:val="center"/>
              <w:rPr>
                <w:szCs w:val="21"/>
              </w:rPr>
            </w:pPr>
            <w:r>
              <w:t>35#</w:t>
            </w:r>
          </w:p>
        </w:tc>
        <w:tc>
          <w:tcPr>
            <w:tcW w:w="0" w:type="auto"/>
            <w:shd w:val="clear" w:color="auto" w:fill="auto"/>
            <w:vAlign w:val="center"/>
          </w:tcPr>
          <w:p w14:paraId="6BAEFF00">
            <w:pPr>
              <w:widowControl w:val="0"/>
              <w:jc w:val="center"/>
              <w:rPr>
                <w:szCs w:val="21"/>
              </w:rPr>
            </w:pPr>
            <w:r>
              <w:rPr>
                <w:rFonts w:hint="eastAsia"/>
              </w:rPr>
              <w:t>魏家</w:t>
            </w:r>
            <w:r>
              <w:rPr>
                <w:rFonts w:hint="eastAsia" w:ascii="微软雅黑" w:hAnsi="微软雅黑" w:eastAsia="微软雅黑" w:cs="微软雅黑"/>
              </w:rPr>
              <w:t>𤧛</w:t>
            </w:r>
          </w:p>
        </w:tc>
        <w:tc>
          <w:tcPr>
            <w:tcW w:w="0" w:type="auto"/>
            <w:shd w:val="clear" w:color="auto" w:fill="auto"/>
            <w:vAlign w:val="center"/>
          </w:tcPr>
          <w:p w14:paraId="33799425">
            <w:pPr>
              <w:widowControl w:val="0"/>
              <w:jc w:val="center"/>
              <w:rPr>
                <w:szCs w:val="21"/>
              </w:rPr>
            </w:pPr>
            <w:r>
              <w:rPr>
                <w:rFonts w:hint="eastAsia"/>
              </w:rPr>
              <w:t>106.826549</w:t>
            </w:r>
          </w:p>
        </w:tc>
        <w:tc>
          <w:tcPr>
            <w:tcW w:w="0" w:type="auto"/>
            <w:shd w:val="clear" w:color="auto" w:fill="auto"/>
            <w:vAlign w:val="center"/>
          </w:tcPr>
          <w:p w14:paraId="5A350DB5">
            <w:pPr>
              <w:widowControl w:val="0"/>
              <w:jc w:val="center"/>
              <w:rPr>
                <w:szCs w:val="21"/>
              </w:rPr>
            </w:pPr>
            <w:r>
              <w:rPr>
                <w:rFonts w:hint="eastAsia"/>
              </w:rPr>
              <w:t>31.796820</w:t>
            </w:r>
          </w:p>
        </w:tc>
        <w:tc>
          <w:tcPr>
            <w:tcW w:w="0" w:type="auto"/>
            <w:shd w:val="clear" w:color="auto" w:fill="auto"/>
            <w:vAlign w:val="center"/>
          </w:tcPr>
          <w:p w14:paraId="405BB06C">
            <w:pPr>
              <w:widowControl w:val="0"/>
              <w:jc w:val="center"/>
              <w:rPr>
                <w:szCs w:val="21"/>
              </w:rPr>
            </w:pPr>
            <w:r>
              <w:rPr>
                <w:rFonts w:hint="eastAsia"/>
              </w:rPr>
              <w:t>约24人</w:t>
            </w:r>
          </w:p>
        </w:tc>
        <w:tc>
          <w:tcPr>
            <w:tcW w:w="0" w:type="auto"/>
            <w:vMerge w:val="continue"/>
            <w:vAlign w:val="center"/>
          </w:tcPr>
          <w:p w14:paraId="188BE6A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A1BFF63">
            <w:pPr>
              <w:widowControl w:val="0"/>
              <w:jc w:val="center"/>
              <w:rPr>
                <w:szCs w:val="21"/>
              </w:rPr>
            </w:pPr>
            <w:r>
              <w:t>SW</w:t>
            </w:r>
          </w:p>
        </w:tc>
        <w:tc>
          <w:tcPr>
            <w:tcW w:w="0" w:type="auto"/>
            <w:shd w:val="clear" w:color="auto" w:fill="auto"/>
            <w:vAlign w:val="center"/>
          </w:tcPr>
          <w:p w14:paraId="2F2162B1">
            <w:pPr>
              <w:widowControl w:val="0"/>
              <w:jc w:val="center"/>
              <w:rPr>
                <w:szCs w:val="21"/>
              </w:rPr>
            </w:pPr>
            <w:r>
              <w:t>802</w:t>
            </w:r>
          </w:p>
        </w:tc>
        <w:tc>
          <w:tcPr>
            <w:tcW w:w="0" w:type="auto"/>
            <w:shd w:val="clear" w:color="auto" w:fill="auto"/>
            <w:vAlign w:val="center"/>
          </w:tcPr>
          <w:p w14:paraId="2ED3DF18">
            <w:pPr>
              <w:widowControl w:val="0"/>
              <w:jc w:val="center"/>
              <w:rPr>
                <w:szCs w:val="21"/>
              </w:rPr>
            </w:pPr>
            <w:r>
              <w:t>-101</w:t>
            </w:r>
          </w:p>
        </w:tc>
        <w:tc>
          <w:tcPr>
            <w:tcW w:w="0" w:type="auto"/>
            <w:vMerge w:val="continue"/>
            <w:vAlign w:val="center"/>
          </w:tcPr>
          <w:p w14:paraId="11225771">
            <w:pPr>
              <w:widowControl w:val="0"/>
              <w:jc w:val="center"/>
              <w:rPr>
                <w:rFonts w:ascii="宋体" w:hAnsi="宋体"/>
                <w:color w:val="000000" w:themeColor="text1"/>
                <w:szCs w:val="21"/>
                <w14:textFill>
                  <w14:solidFill>
                    <w14:schemeClr w14:val="tx1"/>
                  </w14:solidFill>
                </w14:textFill>
              </w:rPr>
            </w:pPr>
          </w:p>
        </w:tc>
      </w:tr>
      <w:tr w14:paraId="609A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9578FF2">
            <w:pPr>
              <w:widowControl w:val="0"/>
              <w:jc w:val="center"/>
              <w:rPr>
                <w:szCs w:val="21"/>
              </w:rPr>
            </w:pPr>
            <w:r>
              <w:t>36#</w:t>
            </w:r>
          </w:p>
        </w:tc>
        <w:tc>
          <w:tcPr>
            <w:tcW w:w="0" w:type="auto"/>
            <w:shd w:val="clear" w:color="auto" w:fill="auto"/>
            <w:vAlign w:val="center"/>
          </w:tcPr>
          <w:p w14:paraId="4F39F9E6">
            <w:pPr>
              <w:widowControl w:val="0"/>
              <w:jc w:val="center"/>
              <w:rPr>
                <w:szCs w:val="21"/>
              </w:rPr>
            </w:pPr>
            <w:r>
              <w:rPr>
                <w:rFonts w:hint="eastAsia"/>
              </w:rPr>
              <w:t>魏家院子</w:t>
            </w:r>
          </w:p>
        </w:tc>
        <w:tc>
          <w:tcPr>
            <w:tcW w:w="0" w:type="auto"/>
            <w:shd w:val="clear" w:color="auto" w:fill="auto"/>
            <w:vAlign w:val="center"/>
          </w:tcPr>
          <w:p w14:paraId="7E34D53A">
            <w:pPr>
              <w:widowControl w:val="0"/>
              <w:jc w:val="center"/>
              <w:rPr>
                <w:szCs w:val="21"/>
              </w:rPr>
            </w:pPr>
            <w:r>
              <w:rPr>
                <w:rFonts w:hint="eastAsia"/>
              </w:rPr>
              <w:t>106.823995</w:t>
            </w:r>
          </w:p>
        </w:tc>
        <w:tc>
          <w:tcPr>
            <w:tcW w:w="0" w:type="auto"/>
            <w:shd w:val="clear" w:color="auto" w:fill="auto"/>
            <w:vAlign w:val="center"/>
          </w:tcPr>
          <w:p w14:paraId="4BE508C2">
            <w:pPr>
              <w:widowControl w:val="0"/>
              <w:jc w:val="center"/>
              <w:rPr>
                <w:szCs w:val="21"/>
              </w:rPr>
            </w:pPr>
            <w:r>
              <w:rPr>
                <w:rFonts w:hint="eastAsia"/>
              </w:rPr>
              <w:t>31.793519</w:t>
            </w:r>
          </w:p>
        </w:tc>
        <w:tc>
          <w:tcPr>
            <w:tcW w:w="0" w:type="auto"/>
            <w:shd w:val="clear" w:color="auto" w:fill="auto"/>
            <w:vAlign w:val="center"/>
          </w:tcPr>
          <w:p w14:paraId="2C8DC987">
            <w:pPr>
              <w:widowControl w:val="0"/>
              <w:jc w:val="center"/>
              <w:rPr>
                <w:szCs w:val="21"/>
              </w:rPr>
            </w:pPr>
            <w:r>
              <w:rPr>
                <w:rFonts w:hint="eastAsia"/>
              </w:rPr>
              <w:t>约48人</w:t>
            </w:r>
          </w:p>
        </w:tc>
        <w:tc>
          <w:tcPr>
            <w:tcW w:w="0" w:type="auto"/>
            <w:vMerge w:val="continue"/>
            <w:vAlign w:val="center"/>
          </w:tcPr>
          <w:p w14:paraId="56790BB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CC37D36">
            <w:pPr>
              <w:widowControl w:val="0"/>
              <w:jc w:val="center"/>
              <w:rPr>
                <w:szCs w:val="21"/>
              </w:rPr>
            </w:pPr>
            <w:r>
              <w:t>SW</w:t>
            </w:r>
          </w:p>
        </w:tc>
        <w:tc>
          <w:tcPr>
            <w:tcW w:w="0" w:type="auto"/>
            <w:shd w:val="clear" w:color="auto" w:fill="auto"/>
            <w:vAlign w:val="center"/>
          </w:tcPr>
          <w:p w14:paraId="72A78BFB">
            <w:pPr>
              <w:widowControl w:val="0"/>
              <w:jc w:val="center"/>
              <w:rPr>
                <w:szCs w:val="21"/>
              </w:rPr>
            </w:pPr>
            <w:r>
              <w:t>1112</w:t>
            </w:r>
          </w:p>
        </w:tc>
        <w:tc>
          <w:tcPr>
            <w:tcW w:w="0" w:type="auto"/>
            <w:shd w:val="clear" w:color="auto" w:fill="auto"/>
            <w:vAlign w:val="center"/>
          </w:tcPr>
          <w:p w14:paraId="20B216B2">
            <w:pPr>
              <w:widowControl w:val="0"/>
              <w:jc w:val="center"/>
              <w:rPr>
                <w:szCs w:val="21"/>
              </w:rPr>
            </w:pPr>
            <w:r>
              <w:t>-89</w:t>
            </w:r>
          </w:p>
        </w:tc>
        <w:tc>
          <w:tcPr>
            <w:tcW w:w="0" w:type="auto"/>
            <w:vMerge w:val="continue"/>
            <w:vAlign w:val="center"/>
          </w:tcPr>
          <w:p w14:paraId="6B1D5D8A">
            <w:pPr>
              <w:widowControl w:val="0"/>
              <w:jc w:val="center"/>
              <w:rPr>
                <w:rFonts w:ascii="宋体" w:hAnsi="宋体"/>
                <w:color w:val="000000" w:themeColor="text1"/>
                <w:szCs w:val="21"/>
                <w14:textFill>
                  <w14:solidFill>
                    <w14:schemeClr w14:val="tx1"/>
                  </w14:solidFill>
                </w14:textFill>
              </w:rPr>
            </w:pPr>
          </w:p>
        </w:tc>
      </w:tr>
      <w:tr w14:paraId="2C2B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A76C6A9">
            <w:pPr>
              <w:widowControl w:val="0"/>
              <w:jc w:val="center"/>
              <w:rPr>
                <w:szCs w:val="21"/>
              </w:rPr>
            </w:pPr>
            <w:r>
              <w:t>37#</w:t>
            </w:r>
          </w:p>
        </w:tc>
        <w:tc>
          <w:tcPr>
            <w:tcW w:w="0" w:type="auto"/>
            <w:shd w:val="clear" w:color="auto" w:fill="auto"/>
            <w:vAlign w:val="center"/>
          </w:tcPr>
          <w:p w14:paraId="29B00E7F">
            <w:pPr>
              <w:widowControl w:val="0"/>
              <w:jc w:val="center"/>
              <w:rPr>
                <w:szCs w:val="21"/>
              </w:rPr>
            </w:pPr>
            <w:r>
              <w:rPr>
                <w:rFonts w:hint="eastAsia"/>
              </w:rPr>
              <w:t>苏家院子</w:t>
            </w:r>
          </w:p>
        </w:tc>
        <w:tc>
          <w:tcPr>
            <w:tcW w:w="0" w:type="auto"/>
            <w:shd w:val="clear" w:color="auto" w:fill="auto"/>
            <w:vAlign w:val="center"/>
          </w:tcPr>
          <w:p w14:paraId="6228F474">
            <w:pPr>
              <w:widowControl w:val="0"/>
              <w:jc w:val="center"/>
              <w:rPr>
                <w:szCs w:val="21"/>
              </w:rPr>
            </w:pPr>
            <w:r>
              <w:rPr>
                <w:rFonts w:hint="eastAsia"/>
              </w:rPr>
              <w:t>106.823711</w:t>
            </w:r>
          </w:p>
        </w:tc>
        <w:tc>
          <w:tcPr>
            <w:tcW w:w="0" w:type="auto"/>
            <w:shd w:val="clear" w:color="auto" w:fill="auto"/>
            <w:vAlign w:val="center"/>
          </w:tcPr>
          <w:p w14:paraId="5836E992">
            <w:pPr>
              <w:widowControl w:val="0"/>
              <w:jc w:val="center"/>
              <w:rPr>
                <w:szCs w:val="21"/>
              </w:rPr>
            </w:pPr>
            <w:r>
              <w:rPr>
                <w:rFonts w:hint="eastAsia"/>
              </w:rPr>
              <w:t>31.791554</w:t>
            </w:r>
          </w:p>
        </w:tc>
        <w:tc>
          <w:tcPr>
            <w:tcW w:w="0" w:type="auto"/>
            <w:shd w:val="clear" w:color="auto" w:fill="auto"/>
            <w:vAlign w:val="center"/>
          </w:tcPr>
          <w:p w14:paraId="4DAB614D">
            <w:pPr>
              <w:widowControl w:val="0"/>
              <w:jc w:val="center"/>
              <w:rPr>
                <w:szCs w:val="21"/>
              </w:rPr>
            </w:pPr>
            <w:r>
              <w:rPr>
                <w:rFonts w:hint="eastAsia"/>
              </w:rPr>
              <w:t>约30人</w:t>
            </w:r>
          </w:p>
        </w:tc>
        <w:tc>
          <w:tcPr>
            <w:tcW w:w="0" w:type="auto"/>
            <w:vMerge w:val="continue"/>
            <w:vAlign w:val="center"/>
          </w:tcPr>
          <w:p w14:paraId="42C0A9F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444CD74">
            <w:pPr>
              <w:widowControl w:val="0"/>
              <w:jc w:val="center"/>
              <w:rPr>
                <w:szCs w:val="21"/>
              </w:rPr>
            </w:pPr>
            <w:r>
              <w:t>SW</w:t>
            </w:r>
          </w:p>
        </w:tc>
        <w:tc>
          <w:tcPr>
            <w:tcW w:w="0" w:type="auto"/>
            <w:shd w:val="clear" w:color="auto" w:fill="auto"/>
            <w:vAlign w:val="center"/>
          </w:tcPr>
          <w:p w14:paraId="0E8AD6DA">
            <w:pPr>
              <w:widowControl w:val="0"/>
              <w:jc w:val="center"/>
              <w:rPr>
                <w:szCs w:val="21"/>
              </w:rPr>
            </w:pPr>
            <w:r>
              <w:t>1321</w:t>
            </w:r>
          </w:p>
        </w:tc>
        <w:tc>
          <w:tcPr>
            <w:tcW w:w="0" w:type="auto"/>
            <w:shd w:val="clear" w:color="auto" w:fill="auto"/>
            <w:vAlign w:val="center"/>
          </w:tcPr>
          <w:p w14:paraId="7F611879">
            <w:pPr>
              <w:widowControl w:val="0"/>
              <w:jc w:val="center"/>
              <w:rPr>
                <w:szCs w:val="21"/>
              </w:rPr>
            </w:pPr>
            <w:r>
              <w:t>-95</w:t>
            </w:r>
          </w:p>
        </w:tc>
        <w:tc>
          <w:tcPr>
            <w:tcW w:w="0" w:type="auto"/>
            <w:vMerge w:val="continue"/>
            <w:vAlign w:val="center"/>
          </w:tcPr>
          <w:p w14:paraId="4AF4CB66">
            <w:pPr>
              <w:widowControl w:val="0"/>
              <w:jc w:val="center"/>
              <w:rPr>
                <w:rFonts w:ascii="宋体" w:hAnsi="宋体"/>
                <w:color w:val="000000" w:themeColor="text1"/>
                <w:szCs w:val="21"/>
                <w14:textFill>
                  <w14:solidFill>
                    <w14:schemeClr w14:val="tx1"/>
                  </w14:solidFill>
                </w14:textFill>
              </w:rPr>
            </w:pPr>
          </w:p>
        </w:tc>
      </w:tr>
      <w:tr w14:paraId="1872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BFDBA5E">
            <w:pPr>
              <w:widowControl w:val="0"/>
              <w:jc w:val="center"/>
              <w:rPr>
                <w:szCs w:val="21"/>
              </w:rPr>
            </w:pPr>
            <w:r>
              <w:t>38#</w:t>
            </w:r>
          </w:p>
        </w:tc>
        <w:tc>
          <w:tcPr>
            <w:tcW w:w="0" w:type="auto"/>
            <w:shd w:val="clear" w:color="auto" w:fill="auto"/>
            <w:vAlign w:val="center"/>
          </w:tcPr>
          <w:p w14:paraId="3FE37447">
            <w:pPr>
              <w:widowControl w:val="0"/>
              <w:jc w:val="center"/>
              <w:rPr>
                <w:szCs w:val="21"/>
              </w:rPr>
            </w:pPr>
            <w:r>
              <w:rPr>
                <w:rFonts w:hint="eastAsia"/>
              </w:rPr>
              <w:t>苏家</w:t>
            </w:r>
            <w:r>
              <w:rPr>
                <w:rFonts w:hint="eastAsia" w:ascii="微软雅黑" w:hAnsi="微软雅黑" w:eastAsia="微软雅黑" w:cs="微软雅黑"/>
              </w:rPr>
              <w:t>𤧛</w:t>
            </w:r>
          </w:p>
        </w:tc>
        <w:tc>
          <w:tcPr>
            <w:tcW w:w="0" w:type="auto"/>
            <w:shd w:val="clear" w:color="auto" w:fill="auto"/>
            <w:vAlign w:val="center"/>
          </w:tcPr>
          <w:p w14:paraId="13F09040">
            <w:pPr>
              <w:widowControl w:val="0"/>
              <w:jc w:val="center"/>
              <w:rPr>
                <w:szCs w:val="21"/>
              </w:rPr>
            </w:pPr>
            <w:r>
              <w:rPr>
                <w:rFonts w:hint="eastAsia"/>
              </w:rPr>
              <w:t>106.820691</w:t>
            </w:r>
          </w:p>
        </w:tc>
        <w:tc>
          <w:tcPr>
            <w:tcW w:w="0" w:type="auto"/>
            <w:shd w:val="clear" w:color="auto" w:fill="auto"/>
            <w:vAlign w:val="center"/>
          </w:tcPr>
          <w:p w14:paraId="0EDAB388">
            <w:pPr>
              <w:widowControl w:val="0"/>
              <w:jc w:val="center"/>
              <w:rPr>
                <w:szCs w:val="21"/>
              </w:rPr>
            </w:pPr>
            <w:r>
              <w:rPr>
                <w:rFonts w:hint="eastAsia"/>
              </w:rPr>
              <w:t>31.787518</w:t>
            </w:r>
          </w:p>
        </w:tc>
        <w:tc>
          <w:tcPr>
            <w:tcW w:w="0" w:type="auto"/>
            <w:shd w:val="clear" w:color="auto" w:fill="auto"/>
            <w:vAlign w:val="center"/>
          </w:tcPr>
          <w:p w14:paraId="7726186F">
            <w:pPr>
              <w:widowControl w:val="0"/>
              <w:jc w:val="center"/>
              <w:rPr>
                <w:szCs w:val="21"/>
              </w:rPr>
            </w:pPr>
            <w:r>
              <w:rPr>
                <w:rFonts w:hint="eastAsia"/>
              </w:rPr>
              <w:t>约108人</w:t>
            </w:r>
          </w:p>
        </w:tc>
        <w:tc>
          <w:tcPr>
            <w:tcW w:w="0" w:type="auto"/>
            <w:vMerge w:val="continue"/>
            <w:vAlign w:val="center"/>
          </w:tcPr>
          <w:p w14:paraId="0B8444B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C4D4459">
            <w:pPr>
              <w:widowControl w:val="0"/>
              <w:jc w:val="center"/>
              <w:rPr>
                <w:szCs w:val="21"/>
              </w:rPr>
            </w:pPr>
            <w:r>
              <w:t>SW</w:t>
            </w:r>
          </w:p>
        </w:tc>
        <w:tc>
          <w:tcPr>
            <w:tcW w:w="0" w:type="auto"/>
            <w:shd w:val="clear" w:color="auto" w:fill="auto"/>
            <w:vAlign w:val="center"/>
          </w:tcPr>
          <w:p w14:paraId="6B43EDAF">
            <w:pPr>
              <w:widowControl w:val="0"/>
              <w:jc w:val="center"/>
              <w:rPr>
                <w:szCs w:val="21"/>
              </w:rPr>
            </w:pPr>
            <w:r>
              <w:t>1590</w:t>
            </w:r>
          </w:p>
        </w:tc>
        <w:tc>
          <w:tcPr>
            <w:tcW w:w="0" w:type="auto"/>
            <w:shd w:val="clear" w:color="auto" w:fill="auto"/>
            <w:vAlign w:val="center"/>
          </w:tcPr>
          <w:p w14:paraId="28024D62">
            <w:pPr>
              <w:widowControl w:val="0"/>
              <w:jc w:val="center"/>
              <w:rPr>
                <w:szCs w:val="21"/>
              </w:rPr>
            </w:pPr>
            <w:r>
              <w:t>-108</w:t>
            </w:r>
          </w:p>
        </w:tc>
        <w:tc>
          <w:tcPr>
            <w:tcW w:w="0" w:type="auto"/>
            <w:vMerge w:val="continue"/>
            <w:vAlign w:val="center"/>
          </w:tcPr>
          <w:p w14:paraId="7B5F7759">
            <w:pPr>
              <w:widowControl w:val="0"/>
              <w:jc w:val="center"/>
              <w:rPr>
                <w:rFonts w:ascii="宋体" w:hAnsi="宋体"/>
                <w:color w:val="000000" w:themeColor="text1"/>
                <w:szCs w:val="21"/>
                <w14:textFill>
                  <w14:solidFill>
                    <w14:schemeClr w14:val="tx1"/>
                  </w14:solidFill>
                </w14:textFill>
              </w:rPr>
            </w:pPr>
          </w:p>
        </w:tc>
      </w:tr>
      <w:tr w14:paraId="084E7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C1E0CAC">
            <w:pPr>
              <w:widowControl w:val="0"/>
              <w:jc w:val="center"/>
              <w:rPr>
                <w:szCs w:val="21"/>
              </w:rPr>
            </w:pPr>
            <w:r>
              <w:t>39#</w:t>
            </w:r>
          </w:p>
        </w:tc>
        <w:tc>
          <w:tcPr>
            <w:tcW w:w="0" w:type="auto"/>
            <w:shd w:val="clear" w:color="auto" w:fill="auto"/>
            <w:vAlign w:val="center"/>
          </w:tcPr>
          <w:p w14:paraId="07D90CBD">
            <w:pPr>
              <w:widowControl w:val="0"/>
              <w:jc w:val="center"/>
              <w:rPr>
                <w:szCs w:val="21"/>
              </w:rPr>
            </w:pPr>
            <w:r>
              <w:rPr>
                <w:rFonts w:hint="eastAsia"/>
              </w:rPr>
              <w:t>牟家祠堂</w:t>
            </w:r>
          </w:p>
        </w:tc>
        <w:tc>
          <w:tcPr>
            <w:tcW w:w="0" w:type="auto"/>
            <w:shd w:val="clear" w:color="auto" w:fill="auto"/>
            <w:vAlign w:val="center"/>
          </w:tcPr>
          <w:p w14:paraId="2CCA5181">
            <w:pPr>
              <w:widowControl w:val="0"/>
              <w:jc w:val="center"/>
              <w:rPr>
                <w:szCs w:val="21"/>
              </w:rPr>
            </w:pPr>
            <w:r>
              <w:rPr>
                <w:rFonts w:hint="eastAsia"/>
              </w:rPr>
              <w:t>106.813674</w:t>
            </w:r>
          </w:p>
        </w:tc>
        <w:tc>
          <w:tcPr>
            <w:tcW w:w="0" w:type="auto"/>
            <w:shd w:val="clear" w:color="auto" w:fill="auto"/>
            <w:vAlign w:val="center"/>
          </w:tcPr>
          <w:p w14:paraId="68A58718">
            <w:pPr>
              <w:widowControl w:val="0"/>
              <w:jc w:val="center"/>
              <w:rPr>
                <w:szCs w:val="21"/>
              </w:rPr>
            </w:pPr>
            <w:r>
              <w:rPr>
                <w:rFonts w:hint="eastAsia"/>
              </w:rPr>
              <w:t>31.785001</w:t>
            </w:r>
          </w:p>
        </w:tc>
        <w:tc>
          <w:tcPr>
            <w:tcW w:w="0" w:type="auto"/>
            <w:shd w:val="clear" w:color="auto" w:fill="auto"/>
            <w:vAlign w:val="center"/>
          </w:tcPr>
          <w:p w14:paraId="313C9DA1">
            <w:pPr>
              <w:widowControl w:val="0"/>
              <w:jc w:val="center"/>
              <w:rPr>
                <w:szCs w:val="21"/>
              </w:rPr>
            </w:pPr>
            <w:r>
              <w:rPr>
                <w:rFonts w:hint="eastAsia"/>
              </w:rPr>
              <w:t>约99人</w:t>
            </w:r>
          </w:p>
        </w:tc>
        <w:tc>
          <w:tcPr>
            <w:tcW w:w="0" w:type="auto"/>
            <w:vMerge w:val="continue"/>
            <w:vAlign w:val="center"/>
          </w:tcPr>
          <w:p w14:paraId="7D77F14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D6FBE5A">
            <w:pPr>
              <w:widowControl w:val="0"/>
              <w:jc w:val="center"/>
              <w:rPr>
                <w:szCs w:val="21"/>
              </w:rPr>
            </w:pPr>
            <w:r>
              <w:t>SW</w:t>
            </w:r>
          </w:p>
        </w:tc>
        <w:tc>
          <w:tcPr>
            <w:tcW w:w="0" w:type="auto"/>
            <w:shd w:val="clear" w:color="auto" w:fill="auto"/>
            <w:vAlign w:val="center"/>
          </w:tcPr>
          <w:p w14:paraId="42E67E41">
            <w:pPr>
              <w:widowControl w:val="0"/>
              <w:jc w:val="center"/>
              <w:rPr>
                <w:szCs w:val="21"/>
              </w:rPr>
            </w:pPr>
            <w:r>
              <w:t>2396</w:t>
            </w:r>
          </w:p>
        </w:tc>
        <w:tc>
          <w:tcPr>
            <w:tcW w:w="0" w:type="auto"/>
            <w:shd w:val="clear" w:color="auto" w:fill="auto"/>
            <w:vAlign w:val="center"/>
          </w:tcPr>
          <w:p w14:paraId="1F864B52">
            <w:pPr>
              <w:widowControl w:val="0"/>
              <w:jc w:val="center"/>
              <w:rPr>
                <w:szCs w:val="21"/>
              </w:rPr>
            </w:pPr>
            <w:r>
              <w:t>-117</w:t>
            </w:r>
          </w:p>
        </w:tc>
        <w:tc>
          <w:tcPr>
            <w:tcW w:w="0" w:type="auto"/>
            <w:vMerge w:val="continue"/>
            <w:vAlign w:val="center"/>
          </w:tcPr>
          <w:p w14:paraId="7E045C1B">
            <w:pPr>
              <w:widowControl w:val="0"/>
              <w:jc w:val="center"/>
              <w:rPr>
                <w:rFonts w:ascii="宋体" w:hAnsi="宋体"/>
                <w:color w:val="000000" w:themeColor="text1"/>
                <w:szCs w:val="21"/>
                <w14:textFill>
                  <w14:solidFill>
                    <w14:schemeClr w14:val="tx1"/>
                  </w14:solidFill>
                </w14:textFill>
              </w:rPr>
            </w:pPr>
          </w:p>
        </w:tc>
      </w:tr>
      <w:tr w14:paraId="51CC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B01891E">
            <w:pPr>
              <w:widowControl w:val="0"/>
              <w:jc w:val="center"/>
              <w:rPr>
                <w:szCs w:val="21"/>
              </w:rPr>
            </w:pPr>
            <w:r>
              <w:t>40#</w:t>
            </w:r>
          </w:p>
        </w:tc>
        <w:tc>
          <w:tcPr>
            <w:tcW w:w="0" w:type="auto"/>
            <w:shd w:val="clear" w:color="auto" w:fill="auto"/>
            <w:vAlign w:val="center"/>
          </w:tcPr>
          <w:p w14:paraId="44F61545">
            <w:pPr>
              <w:widowControl w:val="0"/>
              <w:jc w:val="center"/>
              <w:rPr>
                <w:szCs w:val="21"/>
              </w:rPr>
            </w:pPr>
            <w:r>
              <w:rPr>
                <w:rFonts w:hint="eastAsia"/>
              </w:rPr>
              <w:t>马家沟</w:t>
            </w:r>
          </w:p>
        </w:tc>
        <w:tc>
          <w:tcPr>
            <w:tcW w:w="0" w:type="auto"/>
            <w:shd w:val="clear" w:color="auto" w:fill="auto"/>
            <w:vAlign w:val="center"/>
          </w:tcPr>
          <w:p w14:paraId="2F9ADBF2">
            <w:pPr>
              <w:widowControl w:val="0"/>
              <w:jc w:val="center"/>
              <w:rPr>
                <w:szCs w:val="21"/>
              </w:rPr>
            </w:pPr>
            <w:r>
              <w:rPr>
                <w:rFonts w:hint="eastAsia"/>
              </w:rPr>
              <w:t>106.819167</w:t>
            </w:r>
          </w:p>
        </w:tc>
        <w:tc>
          <w:tcPr>
            <w:tcW w:w="0" w:type="auto"/>
            <w:shd w:val="clear" w:color="auto" w:fill="auto"/>
            <w:vAlign w:val="center"/>
          </w:tcPr>
          <w:p w14:paraId="62F4B19F">
            <w:pPr>
              <w:widowControl w:val="0"/>
              <w:jc w:val="center"/>
              <w:rPr>
                <w:szCs w:val="21"/>
              </w:rPr>
            </w:pPr>
            <w:r>
              <w:rPr>
                <w:rFonts w:hint="eastAsia"/>
              </w:rPr>
              <w:t>31.796026</w:t>
            </w:r>
          </w:p>
        </w:tc>
        <w:tc>
          <w:tcPr>
            <w:tcW w:w="0" w:type="auto"/>
            <w:shd w:val="clear" w:color="auto" w:fill="auto"/>
            <w:vAlign w:val="center"/>
          </w:tcPr>
          <w:p w14:paraId="604F1161">
            <w:pPr>
              <w:widowControl w:val="0"/>
              <w:jc w:val="center"/>
              <w:rPr>
                <w:szCs w:val="21"/>
              </w:rPr>
            </w:pPr>
            <w:r>
              <w:rPr>
                <w:rFonts w:hint="eastAsia"/>
              </w:rPr>
              <w:t>约102人</w:t>
            </w:r>
          </w:p>
        </w:tc>
        <w:tc>
          <w:tcPr>
            <w:tcW w:w="0" w:type="auto"/>
            <w:vMerge w:val="continue"/>
            <w:vAlign w:val="center"/>
          </w:tcPr>
          <w:p w14:paraId="545A904D">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15EC08D">
            <w:pPr>
              <w:widowControl w:val="0"/>
              <w:jc w:val="center"/>
              <w:rPr>
                <w:szCs w:val="21"/>
              </w:rPr>
            </w:pPr>
            <w:r>
              <w:t>SW</w:t>
            </w:r>
          </w:p>
        </w:tc>
        <w:tc>
          <w:tcPr>
            <w:tcW w:w="0" w:type="auto"/>
            <w:shd w:val="clear" w:color="auto" w:fill="auto"/>
            <w:vAlign w:val="center"/>
          </w:tcPr>
          <w:p w14:paraId="1B0DAE40">
            <w:pPr>
              <w:widowControl w:val="0"/>
              <w:jc w:val="center"/>
              <w:rPr>
                <w:szCs w:val="21"/>
              </w:rPr>
            </w:pPr>
            <w:r>
              <w:t>1435</w:t>
            </w:r>
          </w:p>
        </w:tc>
        <w:tc>
          <w:tcPr>
            <w:tcW w:w="0" w:type="auto"/>
            <w:shd w:val="clear" w:color="auto" w:fill="auto"/>
            <w:vAlign w:val="center"/>
          </w:tcPr>
          <w:p w14:paraId="76E29C99">
            <w:pPr>
              <w:widowControl w:val="0"/>
              <w:jc w:val="center"/>
              <w:rPr>
                <w:szCs w:val="21"/>
              </w:rPr>
            </w:pPr>
            <w:r>
              <w:t>-139</w:t>
            </w:r>
          </w:p>
        </w:tc>
        <w:tc>
          <w:tcPr>
            <w:tcW w:w="0" w:type="auto"/>
            <w:vMerge w:val="continue"/>
            <w:vAlign w:val="center"/>
          </w:tcPr>
          <w:p w14:paraId="6E9E8121">
            <w:pPr>
              <w:widowControl w:val="0"/>
              <w:jc w:val="center"/>
              <w:rPr>
                <w:rFonts w:ascii="宋体" w:hAnsi="宋体"/>
                <w:color w:val="000000" w:themeColor="text1"/>
                <w:szCs w:val="21"/>
                <w14:textFill>
                  <w14:solidFill>
                    <w14:schemeClr w14:val="tx1"/>
                  </w14:solidFill>
                </w14:textFill>
              </w:rPr>
            </w:pPr>
          </w:p>
        </w:tc>
      </w:tr>
      <w:tr w14:paraId="1E4C8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C9744F6">
            <w:pPr>
              <w:widowControl w:val="0"/>
              <w:jc w:val="center"/>
              <w:rPr>
                <w:szCs w:val="21"/>
              </w:rPr>
            </w:pPr>
            <w:r>
              <w:t>41#</w:t>
            </w:r>
          </w:p>
        </w:tc>
        <w:tc>
          <w:tcPr>
            <w:tcW w:w="0" w:type="auto"/>
            <w:shd w:val="clear" w:color="auto" w:fill="auto"/>
            <w:vAlign w:val="center"/>
          </w:tcPr>
          <w:p w14:paraId="723D6536">
            <w:pPr>
              <w:widowControl w:val="0"/>
              <w:jc w:val="center"/>
              <w:rPr>
                <w:szCs w:val="21"/>
              </w:rPr>
            </w:pPr>
            <w:r>
              <w:rPr>
                <w:rFonts w:hint="eastAsia"/>
              </w:rPr>
              <w:t>金凤村</w:t>
            </w:r>
          </w:p>
        </w:tc>
        <w:tc>
          <w:tcPr>
            <w:tcW w:w="0" w:type="auto"/>
            <w:shd w:val="clear" w:color="auto" w:fill="auto"/>
            <w:vAlign w:val="center"/>
          </w:tcPr>
          <w:p w14:paraId="3860AC46">
            <w:pPr>
              <w:widowControl w:val="0"/>
              <w:jc w:val="center"/>
              <w:rPr>
                <w:szCs w:val="21"/>
              </w:rPr>
            </w:pPr>
            <w:r>
              <w:rPr>
                <w:rFonts w:hint="eastAsia"/>
              </w:rPr>
              <w:t>106.816485</w:t>
            </w:r>
          </w:p>
        </w:tc>
        <w:tc>
          <w:tcPr>
            <w:tcW w:w="0" w:type="auto"/>
            <w:shd w:val="clear" w:color="auto" w:fill="auto"/>
            <w:vAlign w:val="center"/>
          </w:tcPr>
          <w:p w14:paraId="6FBDC362">
            <w:pPr>
              <w:widowControl w:val="0"/>
              <w:jc w:val="center"/>
              <w:rPr>
                <w:szCs w:val="21"/>
              </w:rPr>
            </w:pPr>
            <w:r>
              <w:rPr>
                <w:rFonts w:hint="eastAsia"/>
              </w:rPr>
              <w:t>31.791257</w:t>
            </w:r>
          </w:p>
        </w:tc>
        <w:tc>
          <w:tcPr>
            <w:tcW w:w="0" w:type="auto"/>
            <w:shd w:val="clear" w:color="auto" w:fill="auto"/>
            <w:vAlign w:val="center"/>
          </w:tcPr>
          <w:p w14:paraId="5DFD6B27">
            <w:pPr>
              <w:widowControl w:val="0"/>
              <w:jc w:val="center"/>
              <w:rPr>
                <w:szCs w:val="21"/>
              </w:rPr>
            </w:pPr>
            <w:r>
              <w:rPr>
                <w:rFonts w:hint="eastAsia"/>
              </w:rPr>
              <w:t>约87人</w:t>
            </w:r>
          </w:p>
        </w:tc>
        <w:tc>
          <w:tcPr>
            <w:tcW w:w="0" w:type="auto"/>
            <w:vMerge w:val="continue"/>
            <w:vAlign w:val="center"/>
          </w:tcPr>
          <w:p w14:paraId="5E04AE6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4A298B3">
            <w:pPr>
              <w:widowControl w:val="0"/>
              <w:jc w:val="center"/>
              <w:rPr>
                <w:szCs w:val="21"/>
              </w:rPr>
            </w:pPr>
            <w:r>
              <w:t>SW</w:t>
            </w:r>
          </w:p>
        </w:tc>
        <w:tc>
          <w:tcPr>
            <w:tcW w:w="0" w:type="auto"/>
            <w:shd w:val="clear" w:color="auto" w:fill="auto"/>
            <w:vAlign w:val="center"/>
          </w:tcPr>
          <w:p w14:paraId="1CC90696">
            <w:pPr>
              <w:widowControl w:val="0"/>
              <w:jc w:val="center"/>
              <w:rPr>
                <w:szCs w:val="21"/>
              </w:rPr>
            </w:pPr>
            <w:r>
              <w:t>1944</w:t>
            </w:r>
          </w:p>
        </w:tc>
        <w:tc>
          <w:tcPr>
            <w:tcW w:w="0" w:type="auto"/>
            <w:shd w:val="clear" w:color="auto" w:fill="auto"/>
            <w:vAlign w:val="center"/>
          </w:tcPr>
          <w:p w14:paraId="670E7032">
            <w:pPr>
              <w:widowControl w:val="0"/>
              <w:jc w:val="center"/>
              <w:rPr>
                <w:szCs w:val="21"/>
              </w:rPr>
            </w:pPr>
            <w:r>
              <w:t>-130</w:t>
            </w:r>
          </w:p>
        </w:tc>
        <w:tc>
          <w:tcPr>
            <w:tcW w:w="0" w:type="auto"/>
            <w:vMerge w:val="continue"/>
            <w:vAlign w:val="center"/>
          </w:tcPr>
          <w:p w14:paraId="2FF327D9">
            <w:pPr>
              <w:widowControl w:val="0"/>
              <w:jc w:val="center"/>
              <w:rPr>
                <w:rFonts w:ascii="宋体" w:hAnsi="宋体"/>
                <w:color w:val="000000" w:themeColor="text1"/>
                <w:szCs w:val="21"/>
                <w14:textFill>
                  <w14:solidFill>
                    <w14:schemeClr w14:val="tx1"/>
                  </w14:solidFill>
                </w14:textFill>
              </w:rPr>
            </w:pPr>
          </w:p>
        </w:tc>
      </w:tr>
      <w:tr w14:paraId="0DBB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ABC28FB">
            <w:pPr>
              <w:widowControl w:val="0"/>
              <w:jc w:val="center"/>
              <w:rPr>
                <w:szCs w:val="21"/>
              </w:rPr>
            </w:pPr>
            <w:r>
              <w:t>42#</w:t>
            </w:r>
          </w:p>
        </w:tc>
        <w:tc>
          <w:tcPr>
            <w:tcW w:w="0" w:type="auto"/>
            <w:shd w:val="clear" w:color="auto" w:fill="auto"/>
            <w:vAlign w:val="center"/>
          </w:tcPr>
          <w:p w14:paraId="1F7D24A4">
            <w:pPr>
              <w:widowControl w:val="0"/>
              <w:jc w:val="center"/>
              <w:rPr>
                <w:szCs w:val="21"/>
              </w:rPr>
            </w:pPr>
            <w:r>
              <w:rPr>
                <w:rFonts w:hint="eastAsia"/>
              </w:rPr>
              <w:t>曾口镇</w:t>
            </w:r>
          </w:p>
        </w:tc>
        <w:tc>
          <w:tcPr>
            <w:tcW w:w="0" w:type="auto"/>
            <w:shd w:val="clear" w:color="auto" w:fill="auto"/>
            <w:vAlign w:val="center"/>
          </w:tcPr>
          <w:p w14:paraId="1EF35A02">
            <w:pPr>
              <w:widowControl w:val="0"/>
              <w:jc w:val="center"/>
              <w:rPr>
                <w:szCs w:val="21"/>
              </w:rPr>
            </w:pPr>
            <w:r>
              <w:rPr>
                <w:rFonts w:hint="eastAsia"/>
              </w:rPr>
              <w:t>106.832385</w:t>
            </w:r>
          </w:p>
        </w:tc>
        <w:tc>
          <w:tcPr>
            <w:tcW w:w="0" w:type="auto"/>
            <w:shd w:val="clear" w:color="auto" w:fill="auto"/>
            <w:vAlign w:val="center"/>
          </w:tcPr>
          <w:p w14:paraId="78D0BB91">
            <w:pPr>
              <w:widowControl w:val="0"/>
              <w:jc w:val="center"/>
              <w:rPr>
                <w:szCs w:val="21"/>
              </w:rPr>
            </w:pPr>
            <w:r>
              <w:rPr>
                <w:rFonts w:hint="eastAsia"/>
              </w:rPr>
              <w:t>31.802537</w:t>
            </w:r>
          </w:p>
        </w:tc>
        <w:tc>
          <w:tcPr>
            <w:tcW w:w="0" w:type="auto"/>
            <w:shd w:val="clear" w:color="auto" w:fill="auto"/>
            <w:vAlign w:val="center"/>
          </w:tcPr>
          <w:p w14:paraId="7AB89665">
            <w:pPr>
              <w:widowControl w:val="0"/>
              <w:jc w:val="center"/>
              <w:rPr>
                <w:szCs w:val="21"/>
              </w:rPr>
            </w:pPr>
            <w:r>
              <w:rPr>
                <w:rFonts w:hint="eastAsia"/>
              </w:rPr>
              <w:t>约1500人</w:t>
            </w:r>
          </w:p>
        </w:tc>
        <w:tc>
          <w:tcPr>
            <w:tcW w:w="0" w:type="auto"/>
            <w:vMerge w:val="continue"/>
            <w:vAlign w:val="center"/>
          </w:tcPr>
          <w:p w14:paraId="166E901D">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A9B5FE9">
            <w:pPr>
              <w:widowControl w:val="0"/>
              <w:jc w:val="center"/>
              <w:rPr>
                <w:szCs w:val="21"/>
              </w:rPr>
            </w:pPr>
            <w:r>
              <w:t>W</w:t>
            </w:r>
          </w:p>
        </w:tc>
        <w:tc>
          <w:tcPr>
            <w:tcW w:w="0" w:type="auto"/>
            <w:shd w:val="clear" w:color="auto" w:fill="auto"/>
            <w:vAlign w:val="center"/>
          </w:tcPr>
          <w:p w14:paraId="25BB2A0A">
            <w:pPr>
              <w:widowControl w:val="0"/>
              <w:jc w:val="center"/>
              <w:rPr>
                <w:szCs w:val="21"/>
              </w:rPr>
            </w:pPr>
            <w:r>
              <w:t>75</w:t>
            </w:r>
          </w:p>
        </w:tc>
        <w:tc>
          <w:tcPr>
            <w:tcW w:w="0" w:type="auto"/>
            <w:shd w:val="clear" w:color="auto" w:fill="auto"/>
            <w:vAlign w:val="center"/>
          </w:tcPr>
          <w:p w14:paraId="1848848C">
            <w:pPr>
              <w:widowControl w:val="0"/>
              <w:jc w:val="center"/>
              <w:rPr>
                <w:szCs w:val="21"/>
              </w:rPr>
            </w:pPr>
            <w:r>
              <w:t>44</w:t>
            </w:r>
          </w:p>
        </w:tc>
        <w:tc>
          <w:tcPr>
            <w:tcW w:w="0" w:type="auto"/>
            <w:vMerge w:val="continue"/>
            <w:vAlign w:val="center"/>
          </w:tcPr>
          <w:p w14:paraId="3111AA34">
            <w:pPr>
              <w:widowControl w:val="0"/>
              <w:jc w:val="center"/>
              <w:rPr>
                <w:rFonts w:ascii="宋体" w:hAnsi="宋体"/>
                <w:color w:val="000000" w:themeColor="text1"/>
                <w:szCs w:val="21"/>
                <w14:textFill>
                  <w14:solidFill>
                    <w14:schemeClr w14:val="tx1"/>
                  </w14:solidFill>
                </w14:textFill>
              </w:rPr>
            </w:pPr>
          </w:p>
        </w:tc>
      </w:tr>
      <w:tr w14:paraId="3885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F7AED02">
            <w:pPr>
              <w:widowControl w:val="0"/>
              <w:jc w:val="center"/>
              <w:rPr>
                <w:szCs w:val="21"/>
              </w:rPr>
            </w:pPr>
            <w:r>
              <w:t>43#</w:t>
            </w:r>
          </w:p>
        </w:tc>
        <w:tc>
          <w:tcPr>
            <w:tcW w:w="0" w:type="auto"/>
            <w:shd w:val="clear" w:color="auto" w:fill="auto"/>
            <w:vAlign w:val="center"/>
          </w:tcPr>
          <w:p w14:paraId="19E33FB8">
            <w:pPr>
              <w:widowControl w:val="0"/>
              <w:jc w:val="center"/>
              <w:rPr>
                <w:szCs w:val="21"/>
              </w:rPr>
            </w:pPr>
            <w:r>
              <w:rPr>
                <w:rFonts w:hint="eastAsia"/>
              </w:rPr>
              <w:t>曾口镇甘泉小学</w:t>
            </w:r>
          </w:p>
        </w:tc>
        <w:tc>
          <w:tcPr>
            <w:tcW w:w="0" w:type="auto"/>
            <w:shd w:val="clear" w:color="auto" w:fill="auto"/>
            <w:vAlign w:val="center"/>
          </w:tcPr>
          <w:p w14:paraId="3E102F17">
            <w:pPr>
              <w:widowControl w:val="0"/>
              <w:jc w:val="center"/>
              <w:rPr>
                <w:szCs w:val="21"/>
              </w:rPr>
            </w:pPr>
            <w:r>
              <w:rPr>
                <w:rFonts w:hint="eastAsia"/>
              </w:rPr>
              <w:t>106.833018</w:t>
            </w:r>
          </w:p>
        </w:tc>
        <w:tc>
          <w:tcPr>
            <w:tcW w:w="0" w:type="auto"/>
            <w:shd w:val="clear" w:color="auto" w:fill="auto"/>
            <w:vAlign w:val="center"/>
          </w:tcPr>
          <w:p w14:paraId="0DEB5682">
            <w:pPr>
              <w:widowControl w:val="0"/>
              <w:jc w:val="center"/>
              <w:rPr>
                <w:szCs w:val="21"/>
              </w:rPr>
            </w:pPr>
            <w:r>
              <w:rPr>
                <w:rFonts w:hint="eastAsia"/>
              </w:rPr>
              <w:t>31.800248</w:t>
            </w:r>
          </w:p>
        </w:tc>
        <w:tc>
          <w:tcPr>
            <w:tcW w:w="0" w:type="auto"/>
            <w:shd w:val="clear" w:color="auto" w:fill="auto"/>
            <w:vAlign w:val="center"/>
          </w:tcPr>
          <w:p w14:paraId="186261D7">
            <w:pPr>
              <w:widowControl w:val="0"/>
              <w:jc w:val="center"/>
              <w:rPr>
                <w:szCs w:val="21"/>
              </w:rPr>
            </w:pPr>
            <w:r>
              <w:rPr>
                <w:rFonts w:hint="eastAsia"/>
              </w:rPr>
              <w:t>约200人</w:t>
            </w:r>
          </w:p>
        </w:tc>
        <w:tc>
          <w:tcPr>
            <w:tcW w:w="0" w:type="auto"/>
            <w:vMerge w:val="continue"/>
            <w:vAlign w:val="center"/>
          </w:tcPr>
          <w:p w14:paraId="115039D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DC6D00E">
            <w:pPr>
              <w:widowControl w:val="0"/>
              <w:jc w:val="center"/>
              <w:rPr>
                <w:szCs w:val="21"/>
              </w:rPr>
            </w:pPr>
            <w:r>
              <w:t>W</w:t>
            </w:r>
          </w:p>
        </w:tc>
        <w:tc>
          <w:tcPr>
            <w:tcW w:w="0" w:type="auto"/>
            <w:shd w:val="clear" w:color="auto" w:fill="auto"/>
            <w:vAlign w:val="center"/>
          </w:tcPr>
          <w:p w14:paraId="5F288DB7">
            <w:pPr>
              <w:widowControl w:val="0"/>
              <w:jc w:val="center"/>
              <w:rPr>
                <w:szCs w:val="21"/>
              </w:rPr>
            </w:pPr>
            <w:r>
              <w:t>180</w:t>
            </w:r>
          </w:p>
        </w:tc>
        <w:tc>
          <w:tcPr>
            <w:tcW w:w="0" w:type="auto"/>
            <w:shd w:val="clear" w:color="auto" w:fill="auto"/>
            <w:vAlign w:val="center"/>
          </w:tcPr>
          <w:p w14:paraId="31D17D26">
            <w:pPr>
              <w:widowControl w:val="0"/>
              <w:jc w:val="center"/>
              <w:rPr>
                <w:szCs w:val="21"/>
              </w:rPr>
            </w:pPr>
            <w:r>
              <w:t>27</w:t>
            </w:r>
          </w:p>
        </w:tc>
        <w:tc>
          <w:tcPr>
            <w:tcW w:w="0" w:type="auto"/>
            <w:vMerge w:val="continue"/>
            <w:vAlign w:val="center"/>
          </w:tcPr>
          <w:p w14:paraId="4CBAE236">
            <w:pPr>
              <w:widowControl w:val="0"/>
              <w:jc w:val="center"/>
              <w:rPr>
                <w:rFonts w:ascii="宋体" w:hAnsi="宋体"/>
                <w:color w:val="000000" w:themeColor="text1"/>
                <w:szCs w:val="21"/>
                <w14:textFill>
                  <w14:solidFill>
                    <w14:schemeClr w14:val="tx1"/>
                  </w14:solidFill>
                </w14:textFill>
              </w:rPr>
            </w:pPr>
          </w:p>
        </w:tc>
      </w:tr>
      <w:tr w14:paraId="0C4A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5D5E860">
            <w:pPr>
              <w:widowControl w:val="0"/>
              <w:jc w:val="center"/>
              <w:rPr>
                <w:szCs w:val="21"/>
              </w:rPr>
            </w:pPr>
            <w:r>
              <w:t>44#</w:t>
            </w:r>
          </w:p>
        </w:tc>
        <w:tc>
          <w:tcPr>
            <w:tcW w:w="0" w:type="auto"/>
            <w:shd w:val="clear" w:color="auto" w:fill="auto"/>
            <w:vAlign w:val="center"/>
          </w:tcPr>
          <w:p w14:paraId="0A408E62">
            <w:pPr>
              <w:widowControl w:val="0"/>
              <w:jc w:val="center"/>
              <w:rPr>
                <w:szCs w:val="21"/>
              </w:rPr>
            </w:pPr>
            <w:r>
              <w:rPr>
                <w:rFonts w:hint="eastAsia"/>
              </w:rPr>
              <w:t>响滩村#1-2</w:t>
            </w:r>
          </w:p>
        </w:tc>
        <w:tc>
          <w:tcPr>
            <w:tcW w:w="0" w:type="auto"/>
            <w:shd w:val="clear" w:color="auto" w:fill="auto"/>
            <w:vAlign w:val="center"/>
          </w:tcPr>
          <w:p w14:paraId="69A30178">
            <w:pPr>
              <w:widowControl w:val="0"/>
              <w:jc w:val="center"/>
              <w:rPr>
                <w:szCs w:val="21"/>
              </w:rPr>
            </w:pPr>
            <w:r>
              <w:rPr>
                <w:rFonts w:hint="eastAsia"/>
              </w:rPr>
              <w:t>106.822643</w:t>
            </w:r>
          </w:p>
        </w:tc>
        <w:tc>
          <w:tcPr>
            <w:tcW w:w="0" w:type="auto"/>
            <w:shd w:val="clear" w:color="auto" w:fill="auto"/>
            <w:vAlign w:val="center"/>
          </w:tcPr>
          <w:p w14:paraId="2D7C3774">
            <w:pPr>
              <w:widowControl w:val="0"/>
              <w:jc w:val="center"/>
              <w:rPr>
                <w:szCs w:val="21"/>
              </w:rPr>
            </w:pPr>
            <w:r>
              <w:rPr>
                <w:rFonts w:hint="eastAsia"/>
              </w:rPr>
              <w:t>31.804990</w:t>
            </w:r>
          </w:p>
        </w:tc>
        <w:tc>
          <w:tcPr>
            <w:tcW w:w="0" w:type="auto"/>
            <w:shd w:val="clear" w:color="auto" w:fill="auto"/>
            <w:vAlign w:val="center"/>
          </w:tcPr>
          <w:p w14:paraId="11683556">
            <w:pPr>
              <w:widowControl w:val="0"/>
              <w:jc w:val="center"/>
              <w:rPr>
                <w:szCs w:val="21"/>
              </w:rPr>
            </w:pPr>
            <w:r>
              <w:rPr>
                <w:rFonts w:hint="eastAsia"/>
              </w:rPr>
              <w:t>约84人</w:t>
            </w:r>
          </w:p>
        </w:tc>
        <w:tc>
          <w:tcPr>
            <w:tcW w:w="0" w:type="auto"/>
            <w:vMerge w:val="continue"/>
            <w:vAlign w:val="center"/>
          </w:tcPr>
          <w:p w14:paraId="65D2CFB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376ED5A">
            <w:pPr>
              <w:widowControl w:val="0"/>
              <w:jc w:val="center"/>
              <w:rPr>
                <w:szCs w:val="21"/>
              </w:rPr>
            </w:pPr>
            <w:r>
              <w:t>W</w:t>
            </w:r>
          </w:p>
        </w:tc>
        <w:tc>
          <w:tcPr>
            <w:tcW w:w="0" w:type="auto"/>
            <w:shd w:val="clear" w:color="auto" w:fill="auto"/>
            <w:vAlign w:val="center"/>
          </w:tcPr>
          <w:p w14:paraId="647C820A">
            <w:pPr>
              <w:widowControl w:val="0"/>
              <w:jc w:val="center"/>
              <w:rPr>
                <w:szCs w:val="21"/>
              </w:rPr>
            </w:pPr>
            <w:r>
              <w:t>838</w:t>
            </w:r>
          </w:p>
        </w:tc>
        <w:tc>
          <w:tcPr>
            <w:tcW w:w="0" w:type="auto"/>
            <w:shd w:val="clear" w:color="auto" w:fill="auto"/>
            <w:vAlign w:val="center"/>
          </w:tcPr>
          <w:p w14:paraId="1795AC80">
            <w:pPr>
              <w:widowControl w:val="0"/>
              <w:jc w:val="center"/>
              <w:rPr>
                <w:szCs w:val="21"/>
              </w:rPr>
            </w:pPr>
            <w:r>
              <w:t>-113</w:t>
            </w:r>
          </w:p>
        </w:tc>
        <w:tc>
          <w:tcPr>
            <w:tcW w:w="0" w:type="auto"/>
            <w:vMerge w:val="continue"/>
            <w:vAlign w:val="center"/>
          </w:tcPr>
          <w:p w14:paraId="64076F6F">
            <w:pPr>
              <w:widowControl w:val="0"/>
              <w:jc w:val="center"/>
              <w:rPr>
                <w:rFonts w:ascii="宋体" w:hAnsi="宋体"/>
                <w:color w:val="000000" w:themeColor="text1"/>
                <w:szCs w:val="21"/>
                <w14:textFill>
                  <w14:solidFill>
                    <w14:schemeClr w14:val="tx1"/>
                  </w14:solidFill>
                </w14:textFill>
              </w:rPr>
            </w:pPr>
          </w:p>
        </w:tc>
      </w:tr>
      <w:tr w14:paraId="7498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20FB4BC">
            <w:pPr>
              <w:widowControl w:val="0"/>
              <w:jc w:val="center"/>
              <w:rPr>
                <w:szCs w:val="21"/>
              </w:rPr>
            </w:pPr>
            <w:r>
              <w:t>45#</w:t>
            </w:r>
          </w:p>
        </w:tc>
        <w:tc>
          <w:tcPr>
            <w:tcW w:w="0" w:type="auto"/>
            <w:shd w:val="clear" w:color="auto" w:fill="auto"/>
            <w:vAlign w:val="center"/>
          </w:tcPr>
          <w:p w14:paraId="3F956198">
            <w:pPr>
              <w:widowControl w:val="0"/>
              <w:jc w:val="center"/>
              <w:rPr>
                <w:szCs w:val="21"/>
              </w:rPr>
            </w:pPr>
            <w:r>
              <w:rPr>
                <w:rFonts w:hint="eastAsia"/>
              </w:rPr>
              <w:t>朝天沟</w:t>
            </w:r>
          </w:p>
        </w:tc>
        <w:tc>
          <w:tcPr>
            <w:tcW w:w="0" w:type="auto"/>
            <w:shd w:val="clear" w:color="auto" w:fill="auto"/>
            <w:vAlign w:val="center"/>
          </w:tcPr>
          <w:p w14:paraId="60CDE121">
            <w:pPr>
              <w:widowControl w:val="0"/>
              <w:jc w:val="center"/>
              <w:rPr>
                <w:szCs w:val="21"/>
              </w:rPr>
            </w:pPr>
            <w:r>
              <w:rPr>
                <w:rFonts w:hint="eastAsia"/>
              </w:rPr>
              <w:t>106.812000</w:t>
            </w:r>
          </w:p>
        </w:tc>
        <w:tc>
          <w:tcPr>
            <w:tcW w:w="0" w:type="auto"/>
            <w:shd w:val="clear" w:color="auto" w:fill="auto"/>
            <w:vAlign w:val="center"/>
          </w:tcPr>
          <w:p w14:paraId="554291D1">
            <w:pPr>
              <w:widowControl w:val="0"/>
              <w:jc w:val="center"/>
              <w:rPr>
                <w:szCs w:val="21"/>
              </w:rPr>
            </w:pPr>
            <w:r>
              <w:rPr>
                <w:rFonts w:hint="eastAsia"/>
              </w:rPr>
              <w:t>31.806175</w:t>
            </w:r>
          </w:p>
        </w:tc>
        <w:tc>
          <w:tcPr>
            <w:tcW w:w="0" w:type="auto"/>
            <w:shd w:val="clear" w:color="auto" w:fill="auto"/>
            <w:vAlign w:val="center"/>
          </w:tcPr>
          <w:p w14:paraId="75E0EF2A">
            <w:pPr>
              <w:widowControl w:val="0"/>
              <w:jc w:val="center"/>
              <w:rPr>
                <w:szCs w:val="21"/>
              </w:rPr>
            </w:pPr>
            <w:r>
              <w:rPr>
                <w:rFonts w:hint="eastAsia"/>
              </w:rPr>
              <w:t>约108人</w:t>
            </w:r>
          </w:p>
        </w:tc>
        <w:tc>
          <w:tcPr>
            <w:tcW w:w="0" w:type="auto"/>
            <w:vMerge w:val="continue"/>
            <w:vAlign w:val="center"/>
          </w:tcPr>
          <w:p w14:paraId="5144223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DE12026">
            <w:pPr>
              <w:widowControl w:val="0"/>
              <w:jc w:val="center"/>
              <w:rPr>
                <w:szCs w:val="21"/>
              </w:rPr>
            </w:pPr>
            <w:r>
              <w:t>W</w:t>
            </w:r>
          </w:p>
        </w:tc>
        <w:tc>
          <w:tcPr>
            <w:tcW w:w="0" w:type="auto"/>
            <w:shd w:val="clear" w:color="auto" w:fill="auto"/>
            <w:vAlign w:val="center"/>
          </w:tcPr>
          <w:p w14:paraId="009B23EE">
            <w:pPr>
              <w:widowControl w:val="0"/>
              <w:jc w:val="center"/>
              <w:rPr>
                <w:szCs w:val="21"/>
              </w:rPr>
            </w:pPr>
            <w:r>
              <w:t>2059</w:t>
            </w:r>
          </w:p>
        </w:tc>
        <w:tc>
          <w:tcPr>
            <w:tcW w:w="0" w:type="auto"/>
            <w:shd w:val="clear" w:color="auto" w:fill="auto"/>
            <w:vAlign w:val="center"/>
          </w:tcPr>
          <w:p w14:paraId="5ABE17EF">
            <w:pPr>
              <w:widowControl w:val="0"/>
              <w:jc w:val="center"/>
              <w:rPr>
                <w:szCs w:val="21"/>
              </w:rPr>
            </w:pPr>
            <w:r>
              <w:t>19</w:t>
            </w:r>
          </w:p>
        </w:tc>
        <w:tc>
          <w:tcPr>
            <w:tcW w:w="0" w:type="auto"/>
            <w:vMerge w:val="continue"/>
            <w:vAlign w:val="center"/>
          </w:tcPr>
          <w:p w14:paraId="49A907B0">
            <w:pPr>
              <w:widowControl w:val="0"/>
              <w:jc w:val="center"/>
              <w:rPr>
                <w:rFonts w:ascii="宋体" w:hAnsi="宋体"/>
                <w:color w:val="000000" w:themeColor="text1"/>
                <w:szCs w:val="21"/>
                <w14:textFill>
                  <w14:solidFill>
                    <w14:schemeClr w14:val="tx1"/>
                  </w14:solidFill>
                </w14:textFill>
              </w:rPr>
            </w:pPr>
          </w:p>
        </w:tc>
      </w:tr>
      <w:tr w14:paraId="6610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51A1D17">
            <w:pPr>
              <w:widowControl w:val="0"/>
              <w:jc w:val="center"/>
              <w:rPr>
                <w:szCs w:val="21"/>
              </w:rPr>
            </w:pPr>
            <w:r>
              <w:t>46#</w:t>
            </w:r>
          </w:p>
        </w:tc>
        <w:tc>
          <w:tcPr>
            <w:tcW w:w="0" w:type="auto"/>
            <w:shd w:val="clear" w:color="auto" w:fill="auto"/>
            <w:vAlign w:val="center"/>
          </w:tcPr>
          <w:p w14:paraId="75DAD21F">
            <w:pPr>
              <w:widowControl w:val="0"/>
              <w:jc w:val="center"/>
              <w:rPr>
                <w:szCs w:val="21"/>
              </w:rPr>
            </w:pPr>
            <w:r>
              <w:rPr>
                <w:rFonts w:hint="eastAsia"/>
              </w:rPr>
              <w:t>向家梁</w:t>
            </w:r>
          </w:p>
        </w:tc>
        <w:tc>
          <w:tcPr>
            <w:tcW w:w="0" w:type="auto"/>
            <w:shd w:val="clear" w:color="auto" w:fill="auto"/>
            <w:vAlign w:val="center"/>
          </w:tcPr>
          <w:p w14:paraId="66BBD623">
            <w:pPr>
              <w:widowControl w:val="0"/>
              <w:jc w:val="center"/>
              <w:rPr>
                <w:szCs w:val="21"/>
              </w:rPr>
            </w:pPr>
            <w:r>
              <w:rPr>
                <w:rFonts w:hint="eastAsia"/>
              </w:rPr>
              <w:t>106.83054</w:t>
            </w:r>
          </w:p>
        </w:tc>
        <w:tc>
          <w:tcPr>
            <w:tcW w:w="0" w:type="auto"/>
            <w:shd w:val="clear" w:color="auto" w:fill="auto"/>
            <w:vAlign w:val="center"/>
          </w:tcPr>
          <w:p w14:paraId="4F12E5B0">
            <w:pPr>
              <w:widowControl w:val="0"/>
              <w:jc w:val="center"/>
              <w:rPr>
                <w:szCs w:val="21"/>
              </w:rPr>
            </w:pPr>
            <w:r>
              <w:rPr>
                <w:rFonts w:hint="eastAsia"/>
              </w:rPr>
              <w:t>31.809877</w:t>
            </w:r>
          </w:p>
        </w:tc>
        <w:tc>
          <w:tcPr>
            <w:tcW w:w="0" w:type="auto"/>
            <w:shd w:val="clear" w:color="auto" w:fill="auto"/>
            <w:vAlign w:val="center"/>
          </w:tcPr>
          <w:p w14:paraId="23027D23">
            <w:pPr>
              <w:widowControl w:val="0"/>
              <w:jc w:val="center"/>
              <w:rPr>
                <w:szCs w:val="21"/>
              </w:rPr>
            </w:pPr>
            <w:r>
              <w:rPr>
                <w:rFonts w:hint="eastAsia"/>
              </w:rPr>
              <w:t>约174人</w:t>
            </w:r>
          </w:p>
        </w:tc>
        <w:tc>
          <w:tcPr>
            <w:tcW w:w="0" w:type="auto"/>
            <w:vMerge w:val="continue"/>
            <w:vAlign w:val="center"/>
          </w:tcPr>
          <w:p w14:paraId="3187664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26BA555">
            <w:pPr>
              <w:widowControl w:val="0"/>
              <w:jc w:val="center"/>
              <w:rPr>
                <w:szCs w:val="21"/>
              </w:rPr>
            </w:pPr>
            <w:r>
              <w:t>NW</w:t>
            </w:r>
          </w:p>
        </w:tc>
        <w:tc>
          <w:tcPr>
            <w:tcW w:w="0" w:type="auto"/>
            <w:shd w:val="clear" w:color="auto" w:fill="auto"/>
            <w:vAlign w:val="center"/>
          </w:tcPr>
          <w:p w14:paraId="66B28B2A">
            <w:pPr>
              <w:widowControl w:val="0"/>
              <w:jc w:val="center"/>
              <w:rPr>
                <w:szCs w:val="21"/>
              </w:rPr>
            </w:pPr>
            <w:r>
              <w:t>431</w:t>
            </w:r>
          </w:p>
        </w:tc>
        <w:tc>
          <w:tcPr>
            <w:tcW w:w="0" w:type="auto"/>
            <w:shd w:val="clear" w:color="auto" w:fill="auto"/>
            <w:vAlign w:val="center"/>
          </w:tcPr>
          <w:p w14:paraId="6A91A990">
            <w:pPr>
              <w:widowControl w:val="0"/>
              <w:jc w:val="center"/>
              <w:rPr>
                <w:szCs w:val="21"/>
              </w:rPr>
            </w:pPr>
            <w:r>
              <w:t>49</w:t>
            </w:r>
          </w:p>
        </w:tc>
        <w:tc>
          <w:tcPr>
            <w:tcW w:w="0" w:type="auto"/>
            <w:vMerge w:val="continue"/>
            <w:vAlign w:val="center"/>
          </w:tcPr>
          <w:p w14:paraId="7122FB4F">
            <w:pPr>
              <w:widowControl w:val="0"/>
              <w:jc w:val="center"/>
              <w:rPr>
                <w:rFonts w:ascii="宋体" w:hAnsi="宋体"/>
                <w:color w:val="000000" w:themeColor="text1"/>
                <w:szCs w:val="21"/>
                <w14:textFill>
                  <w14:solidFill>
                    <w14:schemeClr w14:val="tx1"/>
                  </w14:solidFill>
                </w14:textFill>
              </w:rPr>
            </w:pPr>
          </w:p>
        </w:tc>
      </w:tr>
      <w:tr w14:paraId="7DC1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C9810DB">
            <w:pPr>
              <w:widowControl w:val="0"/>
              <w:jc w:val="center"/>
              <w:rPr>
                <w:szCs w:val="21"/>
              </w:rPr>
            </w:pPr>
            <w:r>
              <w:t>47#</w:t>
            </w:r>
          </w:p>
        </w:tc>
        <w:tc>
          <w:tcPr>
            <w:tcW w:w="0" w:type="auto"/>
            <w:shd w:val="clear" w:color="auto" w:fill="auto"/>
            <w:vAlign w:val="center"/>
          </w:tcPr>
          <w:p w14:paraId="50CB910D">
            <w:pPr>
              <w:widowControl w:val="0"/>
              <w:jc w:val="center"/>
              <w:rPr>
                <w:szCs w:val="21"/>
              </w:rPr>
            </w:pPr>
            <w:r>
              <w:rPr>
                <w:rFonts w:hint="eastAsia"/>
              </w:rPr>
              <w:t>太平洞</w:t>
            </w:r>
          </w:p>
        </w:tc>
        <w:tc>
          <w:tcPr>
            <w:tcW w:w="0" w:type="auto"/>
            <w:shd w:val="clear" w:color="auto" w:fill="auto"/>
            <w:vAlign w:val="center"/>
          </w:tcPr>
          <w:p w14:paraId="2C88845A">
            <w:pPr>
              <w:widowControl w:val="0"/>
              <w:jc w:val="center"/>
              <w:rPr>
                <w:szCs w:val="21"/>
              </w:rPr>
            </w:pPr>
            <w:r>
              <w:rPr>
                <w:rFonts w:hint="eastAsia"/>
              </w:rPr>
              <w:t>106.817107</w:t>
            </w:r>
          </w:p>
        </w:tc>
        <w:tc>
          <w:tcPr>
            <w:tcW w:w="0" w:type="auto"/>
            <w:shd w:val="clear" w:color="auto" w:fill="auto"/>
            <w:vAlign w:val="center"/>
          </w:tcPr>
          <w:p w14:paraId="0C4A485D">
            <w:pPr>
              <w:widowControl w:val="0"/>
              <w:jc w:val="center"/>
              <w:rPr>
                <w:szCs w:val="21"/>
              </w:rPr>
            </w:pPr>
            <w:r>
              <w:rPr>
                <w:rFonts w:hint="eastAsia"/>
              </w:rPr>
              <w:t>31.813323</w:t>
            </w:r>
          </w:p>
        </w:tc>
        <w:tc>
          <w:tcPr>
            <w:tcW w:w="0" w:type="auto"/>
            <w:shd w:val="clear" w:color="auto" w:fill="auto"/>
            <w:vAlign w:val="center"/>
          </w:tcPr>
          <w:p w14:paraId="18C6DF32">
            <w:pPr>
              <w:widowControl w:val="0"/>
              <w:jc w:val="center"/>
              <w:rPr>
                <w:szCs w:val="21"/>
              </w:rPr>
            </w:pPr>
            <w:r>
              <w:rPr>
                <w:rFonts w:hint="eastAsia"/>
              </w:rPr>
              <w:t>约48人</w:t>
            </w:r>
          </w:p>
        </w:tc>
        <w:tc>
          <w:tcPr>
            <w:tcW w:w="0" w:type="auto"/>
            <w:vMerge w:val="continue"/>
            <w:vAlign w:val="center"/>
          </w:tcPr>
          <w:p w14:paraId="206D389D">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921A266">
            <w:pPr>
              <w:widowControl w:val="0"/>
              <w:jc w:val="center"/>
              <w:rPr>
                <w:szCs w:val="21"/>
              </w:rPr>
            </w:pPr>
            <w:r>
              <w:t>NW</w:t>
            </w:r>
          </w:p>
        </w:tc>
        <w:tc>
          <w:tcPr>
            <w:tcW w:w="0" w:type="auto"/>
            <w:shd w:val="clear" w:color="auto" w:fill="auto"/>
            <w:vAlign w:val="center"/>
          </w:tcPr>
          <w:p w14:paraId="3A5FE1D8">
            <w:pPr>
              <w:widowControl w:val="0"/>
              <w:jc w:val="center"/>
              <w:rPr>
                <w:szCs w:val="21"/>
              </w:rPr>
            </w:pPr>
            <w:r>
              <w:t>1733</w:t>
            </w:r>
          </w:p>
        </w:tc>
        <w:tc>
          <w:tcPr>
            <w:tcW w:w="0" w:type="auto"/>
            <w:shd w:val="clear" w:color="auto" w:fill="auto"/>
            <w:vAlign w:val="center"/>
          </w:tcPr>
          <w:p w14:paraId="0B67FD8E">
            <w:pPr>
              <w:widowControl w:val="0"/>
              <w:jc w:val="center"/>
              <w:rPr>
                <w:szCs w:val="21"/>
              </w:rPr>
            </w:pPr>
            <w:r>
              <w:t>-97</w:t>
            </w:r>
          </w:p>
        </w:tc>
        <w:tc>
          <w:tcPr>
            <w:tcW w:w="0" w:type="auto"/>
            <w:vMerge w:val="continue"/>
            <w:vAlign w:val="center"/>
          </w:tcPr>
          <w:p w14:paraId="2F76DB26">
            <w:pPr>
              <w:widowControl w:val="0"/>
              <w:jc w:val="center"/>
              <w:rPr>
                <w:rFonts w:ascii="宋体" w:hAnsi="宋体"/>
                <w:color w:val="000000" w:themeColor="text1"/>
                <w:szCs w:val="21"/>
                <w14:textFill>
                  <w14:solidFill>
                    <w14:schemeClr w14:val="tx1"/>
                  </w14:solidFill>
                </w14:textFill>
              </w:rPr>
            </w:pPr>
          </w:p>
        </w:tc>
      </w:tr>
      <w:tr w14:paraId="3E1C0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DD41823">
            <w:pPr>
              <w:widowControl w:val="0"/>
              <w:jc w:val="center"/>
              <w:rPr>
                <w:szCs w:val="21"/>
              </w:rPr>
            </w:pPr>
            <w:r>
              <w:t>48#</w:t>
            </w:r>
          </w:p>
        </w:tc>
        <w:tc>
          <w:tcPr>
            <w:tcW w:w="0" w:type="auto"/>
            <w:shd w:val="clear" w:color="auto" w:fill="auto"/>
            <w:vAlign w:val="center"/>
          </w:tcPr>
          <w:p w14:paraId="3CAEBD5F">
            <w:pPr>
              <w:widowControl w:val="0"/>
              <w:jc w:val="center"/>
              <w:rPr>
                <w:szCs w:val="21"/>
              </w:rPr>
            </w:pPr>
            <w:r>
              <w:rPr>
                <w:rFonts w:hint="eastAsia"/>
              </w:rPr>
              <w:t>会房子</w:t>
            </w:r>
          </w:p>
        </w:tc>
        <w:tc>
          <w:tcPr>
            <w:tcW w:w="0" w:type="auto"/>
            <w:shd w:val="clear" w:color="auto" w:fill="auto"/>
            <w:vAlign w:val="center"/>
          </w:tcPr>
          <w:p w14:paraId="16A3CA5E">
            <w:pPr>
              <w:widowControl w:val="0"/>
              <w:jc w:val="center"/>
              <w:rPr>
                <w:szCs w:val="21"/>
              </w:rPr>
            </w:pPr>
            <w:r>
              <w:rPr>
                <w:rFonts w:hint="eastAsia"/>
              </w:rPr>
              <w:t>106.811067</w:t>
            </w:r>
          </w:p>
        </w:tc>
        <w:tc>
          <w:tcPr>
            <w:tcW w:w="0" w:type="auto"/>
            <w:shd w:val="clear" w:color="auto" w:fill="auto"/>
            <w:vAlign w:val="center"/>
          </w:tcPr>
          <w:p w14:paraId="24973E5C">
            <w:pPr>
              <w:widowControl w:val="0"/>
              <w:jc w:val="center"/>
              <w:rPr>
                <w:szCs w:val="21"/>
              </w:rPr>
            </w:pPr>
            <w:r>
              <w:rPr>
                <w:rFonts w:hint="eastAsia"/>
              </w:rPr>
              <w:t>31.811992</w:t>
            </w:r>
          </w:p>
        </w:tc>
        <w:tc>
          <w:tcPr>
            <w:tcW w:w="0" w:type="auto"/>
            <w:shd w:val="clear" w:color="auto" w:fill="auto"/>
            <w:vAlign w:val="center"/>
          </w:tcPr>
          <w:p w14:paraId="59400A77">
            <w:pPr>
              <w:widowControl w:val="0"/>
              <w:jc w:val="center"/>
              <w:rPr>
                <w:szCs w:val="21"/>
              </w:rPr>
            </w:pPr>
            <w:r>
              <w:rPr>
                <w:rFonts w:hint="eastAsia"/>
              </w:rPr>
              <w:t>约54人</w:t>
            </w:r>
          </w:p>
        </w:tc>
        <w:tc>
          <w:tcPr>
            <w:tcW w:w="0" w:type="auto"/>
            <w:vMerge w:val="continue"/>
            <w:vAlign w:val="center"/>
          </w:tcPr>
          <w:p w14:paraId="08DE562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49C686A">
            <w:pPr>
              <w:widowControl w:val="0"/>
              <w:jc w:val="center"/>
              <w:rPr>
                <w:szCs w:val="21"/>
              </w:rPr>
            </w:pPr>
            <w:r>
              <w:t>NW</w:t>
            </w:r>
          </w:p>
        </w:tc>
        <w:tc>
          <w:tcPr>
            <w:tcW w:w="0" w:type="auto"/>
            <w:shd w:val="clear" w:color="auto" w:fill="auto"/>
            <w:vAlign w:val="center"/>
          </w:tcPr>
          <w:p w14:paraId="0F5E9E93">
            <w:pPr>
              <w:widowControl w:val="0"/>
              <w:jc w:val="center"/>
              <w:rPr>
                <w:szCs w:val="21"/>
              </w:rPr>
            </w:pPr>
            <w:r>
              <w:t>2408</w:t>
            </w:r>
          </w:p>
        </w:tc>
        <w:tc>
          <w:tcPr>
            <w:tcW w:w="0" w:type="auto"/>
            <w:shd w:val="clear" w:color="auto" w:fill="auto"/>
            <w:vAlign w:val="center"/>
          </w:tcPr>
          <w:p w14:paraId="3BF62EBE">
            <w:pPr>
              <w:widowControl w:val="0"/>
              <w:jc w:val="center"/>
              <w:rPr>
                <w:szCs w:val="21"/>
              </w:rPr>
            </w:pPr>
            <w:r>
              <w:t>44</w:t>
            </w:r>
          </w:p>
        </w:tc>
        <w:tc>
          <w:tcPr>
            <w:tcW w:w="0" w:type="auto"/>
            <w:vMerge w:val="continue"/>
            <w:vAlign w:val="center"/>
          </w:tcPr>
          <w:p w14:paraId="6E6BF17B">
            <w:pPr>
              <w:widowControl w:val="0"/>
              <w:jc w:val="center"/>
              <w:rPr>
                <w:rFonts w:ascii="宋体" w:hAnsi="宋体"/>
                <w:color w:val="000000" w:themeColor="text1"/>
                <w:szCs w:val="21"/>
                <w14:textFill>
                  <w14:solidFill>
                    <w14:schemeClr w14:val="tx1"/>
                  </w14:solidFill>
                </w14:textFill>
              </w:rPr>
            </w:pPr>
          </w:p>
        </w:tc>
      </w:tr>
      <w:tr w14:paraId="68BA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52B9F2B">
            <w:pPr>
              <w:widowControl w:val="0"/>
              <w:jc w:val="center"/>
              <w:rPr>
                <w:szCs w:val="21"/>
              </w:rPr>
            </w:pPr>
            <w:r>
              <w:t>49#</w:t>
            </w:r>
          </w:p>
        </w:tc>
        <w:tc>
          <w:tcPr>
            <w:tcW w:w="0" w:type="auto"/>
            <w:shd w:val="clear" w:color="auto" w:fill="auto"/>
            <w:vAlign w:val="center"/>
          </w:tcPr>
          <w:p w14:paraId="4585F1D6">
            <w:pPr>
              <w:widowControl w:val="0"/>
              <w:jc w:val="center"/>
              <w:rPr>
                <w:szCs w:val="21"/>
              </w:rPr>
            </w:pPr>
            <w:r>
              <w:rPr>
                <w:rFonts w:hint="eastAsia"/>
              </w:rPr>
              <w:t>茨垭村#1-1</w:t>
            </w:r>
          </w:p>
        </w:tc>
        <w:tc>
          <w:tcPr>
            <w:tcW w:w="0" w:type="auto"/>
            <w:shd w:val="clear" w:color="auto" w:fill="auto"/>
            <w:vAlign w:val="center"/>
          </w:tcPr>
          <w:p w14:paraId="3E9B87F1">
            <w:pPr>
              <w:widowControl w:val="0"/>
              <w:jc w:val="center"/>
              <w:rPr>
                <w:szCs w:val="21"/>
              </w:rPr>
            </w:pPr>
            <w:r>
              <w:rPr>
                <w:rFonts w:hint="eastAsia"/>
              </w:rPr>
              <w:t>106.834102</w:t>
            </w:r>
          </w:p>
        </w:tc>
        <w:tc>
          <w:tcPr>
            <w:tcW w:w="0" w:type="auto"/>
            <w:shd w:val="clear" w:color="auto" w:fill="auto"/>
            <w:vAlign w:val="center"/>
          </w:tcPr>
          <w:p w14:paraId="6FBB0349">
            <w:pPr>
              <w:widowControl w:val="0"/>
              <w:jc w:val="center"/>
              <w:rPr>
                <w:szCs w:val="21"/>
              </w:rPr>
            </w:pPr>
            <w:r>
              <w:rPr>
                <w:rFonts w:hint="eastAsia"/>
              </w:rPr>
              <w:t>31.812703</w:t>
            </w:r>
          </w:p>
        </w:tc>
        <w:tc>
          <w:tcPr>
            <w:tcW w:w="0" w:type="auto"/>
            <w:shd w:val="clear" w:color="auto" w:fill="auto"/>
            <w:vAlign w:val="center"/>
          </w:tcPr>
          <w:p w14:paraId="747A0672">
            <w:pPr>
              <w:widowControl w:val="0"/>
              <w:jc w:val="center"/>
              <w:rPr>
                <w:szCs w:val="21"/>
              </w:rPr>
            </w:pPr>
            <w:r>
              <w:rPr>
                <w:rFonts w:hint="eastAsia"/>
              </w:rPr>
              <w:t>约114人</w:t>
            </w:r>
          </w:p>
        </w:tc>
        <w:tc>
          <w:tcPr>
            <w:tcW w:w="0" w:type="auto"/>
            <w:vMerge w:val="continue"/>
            <w:vAlign w:val="center"/>
          </w:tcPr>
          <w:p w14:paraId="0856383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EB7E9CD">
            <w:pPr>
              <w:widowControl w:val="0"/>
              <w:jc w:val="center"/>
              <w:rPr>
                <w:szCs w:val="21"/>
              </w:rPr>
            </w:pPr>
            <w:r>
              <w:t>NW</w:t>
            </w:r>
          </w:p>
        </w:tc>
        <w:tc>
          <w:tcPr>
            <w:tcW w:w="0" w:type="auto"/>
            <w:shd w:val="clear" w:color="auto" w:fill="auto"/>
            <w:vAlign w:val="center"/>
          </w:tcPr>
          <w:p w14:paraId="20914A6C">
            <w:pPr>
              <w:widowControl w:val="0"/>
              <w:jc w:val="center"/>
              <w:rPr>
                <w:szCs w:val="21"/>
              </w:rPr>
            </w:pPr>
            <w:r>
              <w:t>378</w:t>
            </w:r>
          </w:p>
        </w:tc>
        <w:tc>
          <w:tcPr>
            <w:tcW w:w="0" w:type="auto"/>
            <w:shd w:val="clear" w:color="auto" w:fill="auto"/>
            <w:vAlign w:val="center"/>
          </w:tcPr>
          <w:p w14:paraId="00E0C8E9">
            <w:pPr>
              <w:widowControl w:val="0"/>
              <w:jc w:val="center"/>
              <w:rPr>
                <w:szCs w:val="21"/>
              </w:rPr>
            </w:pPr>
            <w:r>
              <w:t>39</w:t>
            </w:r>
          </w:p>
        </w:tc>
        <w:tc>
          <w:tcPr>
            <w:tcW w:w="0" w:type="auto"/>
            <w:vMerge w:val="continue"/>
            <w:vAlign w:val="center"/>
          </w:tcPr>
          <w:p w14:paraId="4A88448C">
            <w:pPr>
              <w:widowControl w:val="0"/>
              <w:jc w:val="center"/>
              <w:rPr>
                <w:rFonts w:ascii="宋体" w:hAnsi="宋体"/>
                <w:color w:val="000000" w:themeColor="text1"/>
                <w:szCs w:val="21"/>
                <w14:textFill>
                  <w14:solidFill>
                    <w14:schemeClr w14:val="tx1"/>
                  </w14:solidFill>
                </w14:textFill>
              </w:rPr>
            </w:pPr>
          </w:p>
        </w:tc>
      </w:tr>
      <w:tr w14:paraId="2422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947685A">
            <w:pPr>
              <w:widowControl w:val="0"/>
              <w:jc w:val="center"/>
              <w:rPr>
                <w:szCs w:val="21"/>
              </w:rPr>
            </w:pPr>
            <w:r>
              <w:t>50#</w:t>
            </w:r>
          </w:p>
        </w:tc>
        <w:tc>
          <w:tcPr>
            <w:tcW w:w="0" w:type="auto"/>
            <w:shd w:val="clear" w:color="auto" w:fill="auto"/>
            <w:vAlign w:val="center"/>
          </w:tcPr>
          <w:p w14:paraId="537B1DEF">
            <w:pPr>
              <w:widowControl w:val="0"/>
              <w:jc w:val="center"/>
              <w:rPr>
                <w:szCs w:val="21"/>
              </w:rPr>
            </w:pPr>
            <w:r>
              <w:rPr>
                <w:rFonts w:hint="eastAsia"/>
              </w:rPr>
              <w:t>李家湾#1-1</w:t>
            </w:r>
          </w:p>
        </w:tc>
        <w:tc>
          <w:tcPr>
            <w:tcW w:w="0" w:type="auto"/>
            <w:shd w:val="clear" w:color="auto" w:fill="auto"/>
            <w:vAlign w:val="center"/>
          </w:tcPr>
          <w:p w14:paraId="3538407A">
            <w:pPr>
              <w:widowControl w:val="0"/>
              <w:jc w:val="center"/>
              <w:rPr>
                <w:szCs w:val="21"/>
              </w:rPr>
            </w:pPr>
            <w:r>
              <w:rPr>
                <w:rFonts w:hint="eastAsia"/>
              </w:rPr>
              <w:t>106.828287</w:t>
            </w:r>
          </w:p>
        </w:tc>
        <w:tc>
          <w:tcPr>
            <w:tcW w:w="0" w:type="auto"/>
            <w:shd w:val="clear" w:color="auto" w:fill="auto"/>
            <w:vAlign w:val="center"/>
          </w:tcPr>
          <w:p w14:paraId="4A0E5C51">
            <w:pPr>
              <w:widowControl w:val="0"/>
              <w:jc w:val="center"/>
              <w:rPr>
                <w:szCs w:val="21"/>
              </w:rPr>
            </w:pPr>
            <w:r>
              <w:rPr>
                <w:rFonts w:hint="eastAsia"/>
              </w:rPr>
              <w:t>31.817681</w:t>
            </w:r>
          </w:p>
        </w:tc>
        <w:tc>
          <w:tcPr>
            <w:tcW w:w="0" w:type="auto"/>
            <w:shd w:val="clear" w:color="auto" w:fill="auto"/>
            <w:vAlign w:val="center"/>
          </w:tcPr>
          <w:p w14:paraId="23F85AA8">
            <w:pPr>
              <w:widowControl w:val="0"/>
              <w:jc w:val="center"/>
              <w:rPr>
                <w:szCs w:val="21"/>
              </w:rPr>
            </w:pPr>
            <w:r>
              <w:rPr>
                <w:rFonts w:hint="eastAsia"/>
              </w:rPr>
              <w:t>约48人</w:t>
            </w:r>
          </w:p>
        </w:tc>
        <w:tc>
          <w:tcPr>
            <w:tcW w:w="0" w:type="auto"/>
            <w:vMerge w:val="continue"/>
            <w:vAlign w:val="center"/>
          </w:tcPr>
          <w:p w14:paraId="09BAA09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7AFBE96">
            <w:pPr>
              <w:widowControl w:val="0"/>
              <w:jc w:val="center"/>
              <w:rPr>
                <w:szCs w:val="21"/>
              </w:rPr>
            </w:pPr>
            <w:r>
              <w:t>NW</w:t>
            </w:r>
          </w:p>
        </w:tc>
        <w:tc>
          <w:tcPr>
            <w:tcW w:w="0" w:type="auto"/>
            <w:shd w:val="clear" w:color="auto" w:fill="auto"/>
            <w:vAlign w:val="center"/>
          </w:tcPr>
          <w:p w14:paraId="0C2F5264">
            <w:pPr>
              <w:widowControl w:val="0"/>
              <w:jc w:val="center"/>
              <w:rPr>
                <w:szCs w:val="21"/>
              </w:rPr>
            </w:pPr>
            <w:r>
              <w:t>1351</w:t>
            </w:r>
          </w:p>
        </w:tc>
        <w:tc>
          <w:tcPr>
            <w:tcW w:w="0" w:type="auto"/>
            <w:shd w:val="clear" w:color="auto" w:fill="auto"/>
            <w:vAlign w:val="center"/>
          </w:tcPr>
          <w:p w14:paraId="0E788E43">
            <w:pPr>
              <w:widowControl w:val="0"/>
              <w:jc w:val="center"/>
              <w:rPr>
                <w:szCs w:val="21"/>
              </w:rPr>
            </w:pPr>
            <w:r>
              <w:t>34</w:t>
            </w:r>
          </w:p>
        </w:tc>
        <w:tc>
          <w:tcPr>
            <w:tcW w:w="0" w:type="auto"/>
            <w:vMerge w:val="continue"/>
            <w:vAlign w:val="center"/>
          </w:tcPr>
          <w:p w14:paraId="41F66234">
            <w:pPr>
              <w:widowControl w:val="0"/>
              <w:jc w:val="center"/>
              <w:rPr>
                <w:rFonts w:ascii="宋体" w:hAnsi="宋体"/>
                <w:color w:val="000000" w:themeColor="text1"/>
                <w:szCs w:val="21"/>
                <w14:textFill>
                  <w14:solidFill>
                    <w14:schemeClr w14:val="tx1"/>
                  </w14:solidFill>
                </w14:textFill>
              </w:rPr>
            </w:pPr>
          </w:p>
        </w:tc>
      </w:tr>
      <w:tr w14:paraId="40507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C2415D0">
            <w:pPr>
              <w:widowControl w:val="0"/>
              <w:jc w:val="center"/>
              <w:rPr>
                <w:szCs w:val="21"/>
              </w:rPr>
            </w:pPr>
            <w:r>
              <w:t>51#</w:t>
            </w:r>
          </w:p>
        </w:tc>
        <w:tc>
          <w:tcPr>
            <w:tcW w:w="0" w:type="auto"/>
            <w:shd w:val="clear" w:color="auto" w:fill="auto"/>
            <w:vAlign w:val="center"/>
          </w:tcPr>
          <w:p w14:paraId="2F658C8D">
            <w:pPr>
              <w:widowControl w:val="0"/>
              <w:jc w:val="center"/>
              <w:rPr>
                <w:szCs w:val="21"/>
              </w:rPr>
            </w:pPr>
            <w:r>
              <w:rPr>
                <w:rFonts w:hint="eastAsia"/>
              </w:rPr>
              <w:t>吴家湾#1-2</w:t>
            </w:r>
          </w:p>
        </w:tc>
        <w:tc>
          <w:tcPr>
            <w:tcW w:w="0" w:type="auto"/>
            <w:shd w:val="clear" w:color="auto" w:fill="auto"/>
            <w:vAlign w:val="center"/>
          </w:tcPr>
          <w:p w14:paraId="65CDDBB5">
            <w:pPr>
              <w:widowControl w:val="0"/>
              <w:jc w:val="center"/>
              <w:rPr>
                <w:szCs w:val="21"/>
              </w:rPr>
            </w:pPr>
            <w:r>
              <w:rPr>
                <w:rFonts w:hint="eastAsia"/>
              </w:rPr>
              <w:t>106.831419</w:t>
            </w:r>
          </w:p>
        </w:tc>
        <w:tc>
          <w:tcPr>
            <w:tcW w:w="0" w:type="auto"/>
            <w:shd w:val="clear" w:color="auto" w:fill="auto"/>
            <w:vAlign w:val="center"/>
          </w:tcPr>
          <w:p w14:paraId="25728A78">
            <w:pPr>
              <w:widowControl w:val="0"/>
              <w:jc w:val="center"/>
              <w:rPr>
                <w:szCs w:val="21"/>
              </w:rPr>
            </w:pPr>
            <w:r>
              <w:rPr>
                <w:rFonts w:hint="eastAsia"/>
              </w:rPr>
              <w:t>31.819759</w:t>
            </w:r>
          </w:p>
        </w:tc>
        <w:tc>
          <w:tcPr>
            <w:tcW w:w="0" w:type="auto"/>
            <w:shd w:val="clear" w:color="auto" w:fill="auto"/>
            <w:vAlign w:val="center"/>
          </w:tcPr>
          <w:p w14:paraId="3636DDA9">
            <w:pPr>
              <w:widowControl w:val="0"/>
              <w:jc w:val="center"/>
              <w:rPr>
                <w:szCs w:val="21"/>
              </w:rPr>
            </w:pPr>
            <w:r>
              <w:rPr>
                <w:rFonts w:hint="eastAsia"/>
              </w:rPr>
              <w:t>约96人</w:t>
            </w:r>
          </w:p>
        </w:tc>
        <w:tc>
          <w:tcPr>
            <w:tcW w:w="0" w:type="auto"/>
            <w:vMerge w:val="continue"/>
            <w:vAlign w:val="center"/>
          </w:tcPr>
          <w:p w14:paraId="71E25B7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3DC7BA4">
            <w:pPr>
              <w:widowControl w:val="0"/>
              <w:jc w:val="center"/>
              <w:rPr>
                <w:szCs w:val="21"/>
              </w:rPr>
            </w:pPr>
            <w:r>
              <w:t>NW</w:t>
            </w:r>
          </w:p>
        </w:tc>
        <w:tc>
          <w:tcPr>
            <w:tcW w:w="0" w:type="auto"/>
            <w:shd w:val="clear" w:color="auto" w:fill="auto"/>
            <w:vAlign w:val="center"/>
          </w:tcPr>
          <w:p w14:paraId="0C800318">
            <w:pPr>
              <w:widowControl w:val="0"/>
              <w:jc w:val="center"/>
              <w:rPr>
                <w:szCs w:val="21"/>
              </w:rPr>
            </w:pPr>
            <w:r>
              <w:t>1513</w:t>
            </w:r>
          </w:p>
        </w:tc>
        <w:tc>
          <w:tcPr>
            <w:tcW w:w="0" w:type="auto"/>
            <w:shd w:val="clear" w:color="auto" w:fill="auto"/>
            <w:vAlign w:val="center"/>
          </w:tcPr>
          <w:p w14:paraId="26037242">
            <w:pPr>
              <w:widowControl w:val="0"/>
              <w:jc w:val="center"/>
              <w:rPr>
                <w:szCs w:val="21"/>
              </w:rPr>
            </w:pPr>
            <w:r>
              <w:t>28</w:t>
            </w:r>
          </w:p>
        </w:tc>
        <w:tc>
          <w:tcPr>
            <w:tcW w:w="0" w:type="auto"/>
            <w:vMerge w:val="continue"/>
            <w:vAlign w:val="center"/>
          </w:tcPr>
          <w:p w14:paraId="6D430CD7">
            <w:pPr>
              <w:widowControl w:val="0"/>
              <w:jc w:val="center"/>
              <w:rPr>
                <w:rFonts w:ascii="宋体" w:hAnsi="宋体"/>
                <w:color w:val="000000" w:themeColor="text1"/>
                <w:szCs w:val="21"/>
                <w14:textFill>
                  <w14:solidFill>
                    <w14:schemeClr w14:val="tx1"/>
                  </w14:solidFill>
                </w14:textFill>
              </w:rPr>
            </w:pPr>
          </w:p>
        </w:tc>
      </w:tr>
      <w:tr w14:paraId="42A4D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D15E348">
            <w:pPr>
              <w:widowControl w:val="0"/>
              <w:jc w:val="center"/>
              <w:rPr>
                <w:szCs w:val="21"/>
              </w:rPr>
            </w:pPr>
            <w:r>
              <w:t>52#</w:t>
            </w:r>
          </w:p>
        </w:tc>
        <w:tc>
          <w:tcPr>
            <w:tcW w:w="0" w:type="auto"/>
            <w:shd w:val="clear" w:color="auto" w:fill="auto"/>
            <w:vAlign w:val="center"/>
          </w:tcPr>
          <w:p w14:paraId="2BBD36B8">
            <w:pPr>
              <w:widowControl w:val="0"/>
              <w:jc w:val="center"/>
              <w:rPr>
                <w:szCs w:val="21"/>
              </w:rPr>
            </w:pPr>
            <w:r>
              <w:rPr>
                <w:rFonts w:hint="eastAsia"/>
              </w:rPr>
              <w:t>谷田沟</w:t>
            </w:r>
          </w:p>
        </w:tc>
        <w:tc>
          <w:tcPr>
            <w:tcW w:w="0" w:type="auto"/>
            <w:shd w:val="clear" w:color="auto" w:fill="auto"/>
            <w:vAlign w:val="center"/>
          </w:tcPr>
          <w:p w14:paraId="14E90A76">
            <w:pPr>
              <w:widowControl w:val="0"/>
              <w:jc w:val="center"/>
              <w:rPr>
                <w:szCs w:val="21"/>
              </w:rPr>
            </w:pPr>
            <w:r>
              <w:rPr>
                <w:rFonts w:hint="eastAsia"/>
              </w:rPr>
              <w:t>106.828812</w:t>
            </w:r>
          </w:p>
        </w:tc>
        <w:tc>
          <w:tcPr>
            <w:tcW w:w="0" w:type="auto"/>
            <w:shd w:val="clear" w:color="auto" w:fill="auto"/>
            <w:vAlign w:val="center"/>
          </w:tcPr>
          <w:p w14:paraId="4B430DA2">
            <w:pPr>
              <w:widowControl w:val="0"/>
              <w:jc w:val="center"/>
              <w:rPr>
                <w:szCs w:val="21"/>
              </w:rPr>
            </w:pPr>
            <w:r>
              <w:rPr>
                <w:rFonts w:hint="eastAsia"/>
              </w:rPr>
              <w:t>31.824053</w:t>
            </w:r>
          </w:p>
        </w:tc>
        <w:tc>
          <w:tcPr>
            <w:tcW w:w="0" w:type="auto"/>
            <w:shd w:val="clear" w:color="auto" w:fill="auto"/>
            <w:vAlign w:val="center"/>
          </w:tcPr>
          <w:p w14:paraId="666EE59A">
            <w:pPr>
              <w:widowControl w:val="0"/>
              <w:jc w:val="center"/>
              <w:rPr>
                <w:szCs w:val="21"/>
              </w:rPr>
            </w:pPr>
            <w:r>
              <w:rPr>
                <w:rFonts w:hint="eastAsia"/>
              </w:rPr>
              <w:t>约72人</w:t>
            </w:r>
          </w:p>
        </w:tc>
        <w:tc>
          <w:tcPr>
            <w:tcW w:w="0" w:type="auto"/>
            <w:vMerge w:val="continue"/>
            <w:vAlign w:val="center"/>
          </w:tcPr>
          <w:p w14:paraId="476B386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75FEA75">
            <w:pPr>
              <w:widowControl w:val="0"/>
              <w:jc w:val="center"/>
              <w:rPr>
                <w:szCs w:val="21"/>
              </w:rPr>
            </w:pPr>
            <w:r>
              <w:t>NW</w:t>
            </w:r>
          </w:p>
        </w:tc>
        <w:tc>
          <w:tcPr>
            <w:tcW w:w="0" w:type="auto"/>
            <w:shd w:val="clear" w:color="auto" w:fill="auto"/>
            <w:vAlign w:val="center"/>
          </w:tcPr>
          <w:p w14:paraId="35B2944C">
            <w:pPr>
              <w:widowControl w:val="0"/>
              <w:jc w:val="center"/>
              <w:rPr>
                <w:szCs w:val="21"/>
              </w:rPr>
            </w:pPr>
            <w:r>
              <w:t>2038</w:t>
            </w:r>
          </w:p>
        </w:tc>
        <w:tc>
          <w:tcPr>
            <w:tcW w:w="0" w:type="auto"/>
            <w:shd w:val="clear" w:color="auto" w:fill="auto"/>
            <w:vAlign w:val="center"/>
          </w:tcPr>
          <w:p w14:paraId="1EF002F3">
            <w:pPr>
              <w:widowControl w:val="0"/>
              <w:jc w:val="center"/>
              <w:rPr>
                <w:szCs w:val="21"/>
              </w:rPr>
            </w:pPr>
            <w:r>
              <w:t>71</w:t>
            </w:r>
          </w:p>
        </w:tc>
        <w:tc>
          <w:tcPr>
            <w:tcW w:w="0" w:type="auto"/>
            <w:vMerge w:val="continue"/>
            <w:vAlign w:val="center"/>
          </w:tcPr>
          <w:p w14:paraId="78ADE7DC">
            <w:pPr>
              <w:widowControl w:val="0"/>
              <w:jc w:val="center"/>
              <w:rPr>
                <w:rFonts w:ascii="宋体" w:hAnsi="宋体"/>
                <w:color w:val="000000" w:themeColor="text1"/>
                <w:szCs w:val="21"/>
                <w14:textFill>
                  <w14:solidFill>
                    <w14:schemeClr w14:val="tx1"/>
                  </w14:solidFill>
                </w14:textFill>
              </w:rPr>
            </w:pPr>
          </w:p>
        </w:tc>
      </w:tr>
      <w:tr w14:paraId="03F9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C173195">
            <w:pPr>
              <w:widowControl w:val="0"/>
              <w:jc w:val="center"/>
              <w:rPr>
                <w:szCs w:val="21"/>
              </w:rPr>
            </w:pPr>
            <w:r>
              <w:t>53#</w:t>
            </w:r>
          </w:p>
        </w:tc>
        <w:tc>
          <w:tcPr>
            <w:tcW w:w="0" w:type="auto"/>
            <w:shd w:val="clear" w:color="auto" w:fill="auto"/>
            <w:vAlign w:val="center"/>
          </w:tcPr>
          <w:p w14:paraId="10D5E026">
            <w:pPr>
              <w:widowControl w:val="0"/>
              <w:jc w:val="center"/>
              <w:rPr>
                <w:szCs w:val="21"/>
              </w:rPr>
            </w:pPr>
            <w:r>
              <w:rPr>
                <w:rFonts w:hint="eastAsia"/>
              </w:rPr>
              <w:t>李家院子</w:t>
            </w:r>
          </w:p>
        </w:tc>
        <w:tc>
          <w:tcPr>
            <w:tcW w:w="0" w:type="auto"/>
            <w:shd w:val="clear" w:color="auto" w:fill="auto"/>
            <w:vAlign w:val="center"/>
          </w:tcPr>
          <w:p w14:paraId="7804BC10">
            <w:pPr>
              <w:widowControl w:val="0"/>
              <w:jc w:val="center"/>
              <w:rPr>
                <w:szCs w:val="21"/>
              </w:rPr>
            </w:pPr>
            <w:r>
              <w:rPr>
                <w:rFonts w:hint="eastAsia"/>
              </w:rPr>
              <w:t>106.825958</w:t>
            </w:r>
          </w:p>
        </w:tc>
        <w:tc>
          <w:tcPr>
            <w:tcW w:w="0" w:type="auto"/>
            <w:shd w:val="clear" w:color="auto" w:fill="auto"/>
            <w:vAlign w:val="center"/>
          </w:tcPr>
          <w:p w14:paraId="68AF9CBC">
            <w:pPr>
              <w:widowControl w:val="0"/>
              <w:jc w:val="center"/>
              <w:rPr>
                <w:szCs w:val="21"/>
              </w:rPr>
            </w:pPr>
            <w:r>
              <w:rPr>
                <w:rFonts w:hint="eastAsia"/>
              </w:rPr>
              <w:t>31.821902</w:t>
            </w:r>
          </w:p>
        </w:tc>
        <w:tc>
          <w:tcPr>
            <w:tcW w:w="0" w:type="auto"/>
            <w:shd w:val="clear" w:color="auto" w:fill="auto"/>
            <w:vAlign w:val="center"/>
          </w:tcPr>
          <w:p w14:paraId="341CB9EE">
            <w:pPr>
              <w:widowControl w:val="0"/>
              <w:jc w:val="center"/>
              <w:rPr>
                <w:szCs w:val="21"/>
              </w:rPr>
            </w:pPr>
            <w:r>
              <w:rPr>
                <w:rFonts w:hint="eastAsia"/>
              </w:rPr>
              <w:t>约126人</w:t>
            </w:r>
          </w:p>
        </w:tc>
        <w:tc>
          <w:tcPr>
            <w:tcW w:w="0" w:type="auto"/>
            <w:vMerge w:val="continue"/>
            <w:vAlign w:val="center"/>
          </w:tcPr>
          <w:p w14:paraId="4D15ACF0">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39845FB">
            <w:pPr>
              <w:widowControl w:val="0"/>
              <w:jc w:val="center"/>
              <w:rPr>
                <w:szCs w:val="21"/>
              </w:rPr>
            </w:pPr>
            <w:r>
              <w:t>NW</w:t>
            </w:r>
          </w:p>
        </w:tc>
        <w:tc>
          <w:tcPr>
            <w:tcW w:w="0" w:type="auto"/>
            <w:shd w:val="clear" w:color="auto" w:fill="auto"/>
            <w:vAlign w:val="center"/>
          </w:tcPr>
          <w:p w14:paraId="13C1A360">
            <w:pPr>
              <w:widowControl w:val="0"/>
              <w:jc w:val="center"/>
              <w:rPr>
                <w:szCs w:val="21"/>
              </w:rPr>
            </w:pPr>
            <w:r>
              <w:t>1795</w:t>
            </w:r>
          </w:p>
        </w:tc>
        <w:tc>
          <w:tcPr>
            <w:tcW w:w="0" w:type="auto"/>
            <w:shd w:val="clear" w:color="auto" w:fill="auto"/>
            <w:vAlign w:val="center"/>
          </w:tcPr>
          <w:p w14:paraId="06A550A7">
            <w:pPr>
              <w:widowControl w:val="0"/>
              <w:jc w:val="center"/>
              <w:rPr>
                <w:szCs w:val="21"/>
              </w:rPr>
            </w:pPr>
            <w:r>
              <w:t>79</w:t>
            </w:r>
          </w:p>
        </w:tc>
        <w:tc>
          <w:tcPr>
            <w:tcW w:w="0" w:type="auto"/>
            <w:vMerge w:val="continue"/>
            <w:vAlign w:val="center"/>
          </w:tcPr>
          <w:p w14:paraId="0F13C1AE">
            <w:pPr>
              <w:widowControl w:val="0"/>
              <w:jc w:val="center"/>
              <w:rPr>
                <w:rFonts w:ascii="宋体" w:hAnsi="宋体"/>
                <w:color w:val="000000" w:themeColor="text1"/>
                <w:szCs w:val="21"/>
                <w14:textFill>
                  <w14:solidFill>
                    <w14:schemeClr w14:val="tx1"/>
                  </w14:solidFill>
                </w14:textFill>
              </w:rPr>
            </w:pPr>
          </w:p>
        </w:tc>
      </w:tr>
      <w:tr w14:paraId="136E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FB6EDF3">
            <w:pPr>
              <w:widowControl w:val="0"/>
              <w:jc w:val="center"/>
              <w:rPr>
                <w:szCs w:val="21"/>
              </w:rPr>
            </w:pPr>
            <w:r>
              <w:t>54#</w:t>
            </w:r>
          </w:p>
        </w:tc>
        <w:tc>
          <w:tcPr>
            <w:tcW w:w="0" w:type="auto"/>
            <w:shd w:val="clear" w:color="auto" w:fill="auto"/>
            <w:vAlign w:val="center"/>
          </w:tcPr>
          <w:p w14:paraId="47D336C1">
            <w:pPr>
              <w:widowControl w:val="0"/>
              <w:jc w:val="center"/>
              <w:rPr>
                <w:szCs w:val="21"/>
              </w:rPr>
            </w:pPr>
            <w:r>
              <w:rPr>
                <w:rFonts w:hint="eastAsia"/>
              </w:rPr>
              <w:t>大湾</w:t>
            </w:r>
          </w:p>
        </w:tc>
        <w:tc>
          <w:tcPr>
            <w:tcW w:w="0" w:type="auto"/>
            <w:shd w:val="clear" w:color="auto" w:fill="auto"/>
            <w:vAlign w:val="center"/>
          </w:tcPr>
          <w:p w14:paraId="0CE85BCA">
            <w:pPr>
              <w:widowControl w:val="0"/>
              <w:jc w:val="center"/>
              <w:rPr>
                <w:szCs w:val="21"/>
              </w:rPr>
            </w:pPr>
            <w:r>
              <w:rPr>
                <w:rFonts w:hint="eastAsia"/>
              </w:rPr>
              <w:t>106.820583</w:t>
            </w:r>
          </w:p>
        </w:tc>
        <w:tc>
          <w:tcPr>
            <w:tcW w:w="0" w:type="auto"/>
            <w:shd w:val="clear" w:color="auto" w:fill="auto"/>
            <w:vAlign w:val="center"/>
          </w:tcPr>
          <w:p w14:paraId="49160769">
            <w:pPr>
              <w:widowControl w:val="0"/>
              <w:jc w:val="center"/>
              <w:rPr>
                <w:szCs w:val="21"/>
              </w:rPr>
            </w:pPr>
            <w:r>
              <w:rPr>
                <w:rFonts w:hint="eastAsia"/>
              </w:rPr>
              <w:t>31.818374</w:t>
            </w:r>
          </w:p>
        </w:tc>
        <w:tc>
          <w:tcPr>
            <w:tcW w:w="0" w:type="auto"/>
            <w:shd w:val="clear" w:color="auto" w:fill="auto"/>
            <w:vAlign w:val="center"/>
          </w:tcPr>
          <w:p w14:paraId="6D27155E">
            <w:pPr>
              <w:widowControl w:val="0"/>
              <w:jc w:val="center"/>
              <w:rPr>
                <w:szCs w:val="21"/>
              </w:rPr>
            </w:pPr>
            <w:r>
              <w:rPr>
                <w:rFonts w:hint="eastAsia"/>
              </w:rPr>
              <w:t>约144人</w:t>
            </w:r>
          </w:p>
        </w:tc>
        <w:tc>
          <w:tcPr>
            <w:tcW w:w="0" w:type="auto"/>
            <w:vMerge w:val="continue"/>
            <w:vAlign w:val="center"/>
          </w:tcPr>
          <w:p w14:paraId="0F6BA94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04961C2">
            <w:pPr>
              <w:widowControl w:val="0"/>
              <w:jc w:val="center"/>
              <w:rPr>
                <w:szCs w:val="21"/>
              </w:rPr>
            </w:pPr>
            <w:r>
              <w:t>NW</w:t>
            </w:r>
          </w:p>
        </w:tc>
        <w:tc>
          <w:tcPr>
            <w:tcW w:w="0" w:type="auto"/>
            <w:shd w:val="clear" w:color="auto" w:fill="auto"/>
            <w:vAlign w:val="center"/>
          </w:tcPr>
          <w:p w14:paraId="0A3810F8">
            <w:pPr>
              <w:widowControl w:val="0"/>
              <w:jc w:val="center"/>
              <w:rPr>
                <w:szCs w:val="21"/>
              </w:rPr>
            </w:pPr>
            <w:r>
              <w:t>2012</w:t>
            </w:r>
          </w:p>
        </w:tc>
        <w:tc>
          <w:tcPr>
            <w:tcW w:w="0" w:type="auto"/>
            <w:shd w:val="clear" w:color="auto" w:fill="auto"/>
            <w:vAlign w:val="center"/>
          </w:tcPr>
          <w:p w14:paraId="23EFA421">
            <w:pPr>
              <w:widowControl w:val="0"/>
              <w:jc w:val="center"/>
              <w:rPr>
                <w:szCs w:val="21"/>
              </w:rPr>
            </w:pPr>
            <w:r>
              <w:t>31</w:t>
            </w:r>
          </w:p>
        </w:tc>
        <w:tc>
          <w:tcPr>
            <w:tcW w:w="0" w:type="auto"/>
            <w:vMerge w:val="continue"/>
            <w:vAlign w:val="center"/>
          </w:tcPr>
          <w:p w14:paraId="3B785C02">
            <w:pPr>
              <w:widowControl w:val="0"/>
              <w:jc w:val="center"/>
              <w:rPr>
                <w:rFonts w:ascii="宋体" w:hAnsi="宋体"/>
                <w:color w:val="000000" w:themeColor="text1"/>
                <w:szCs w:val="21"/>
                <w14:textFill>
                  <w14:solidFill>
                    <w14:schemeClr w14:val="tx1"/>
                  </w14:solidFill>
                </w14:textFill>
              </w:rPr>
            </w:pPr>
          </w:p>
        </w:tc>
      </w:tr>
      <w:tr w14:paraId="6CE9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C720B43">
            <w:pPr>
              <w:widowControl w:val="0"/>
              <w:jc w:val="center"/>
              <w:rPr>
                <w:szCs w:val="21"/>
              </w:rPr>
            </w:pPr>
            <w:r>
              <w:t>55#</w:t>
            </w:r>
          </w:p>
        </w:tc>
        <w:tc>
          <w:tcPr>
            <w:tcW w:w="0" w:type="auto"/>
            <w:shd w:val="clear" w:color="auto" w:fill="auto"/>
            <w:vAlign w:val="center"/>
          </w:tcPr>
          <w:p w14:paraId="4E26F1F0">
            <w:pPr>
              <w:widowControl w:val="0"/>
              <w:jc w:val="center"/>
              <w:rPr>
                <w:szCs w:val="21"/>
              </w:rPr>
            </w:pPr>
            <w:r>
              <w:rPr>
                <w:rFonts w:hint="eastAsia"/>
              </w:rPr>
              <w:t>李家湾#1-2</w:t>
            </w:r>
          </w:p>
        </w:tc>
        <w:tc>
          <w:tcPr>
            <w:tcW w:w="0" w:type="auto"/>
            <w:shd w:val="clear" w:color="auto" w:fill="auto"/>
            <w:vAlign w:val="center"/>
          </w:tcPr>
          <w:p w14:paraId="471C73E8">
            <w:pPr>
              <w:widowControl w:val="0"/>
              <w:jc w:val="center"/>
              <w:rPr>
                <w:szCs w:val="21"/>
              </w:rPr>
            </w:pPr>
            <w:r>
              <w:rPr>
                <w:rFonts w:hint="eastAsia"/>
              </w:rPr>
              <w:t>106.821924</w:t>
            </w:r>
          </w:p>
        </w:tc>
        <w:tc>
          <w:tcPr>
            <w:tcW w:w="0" w:type="auto"/>
            <w:shd w:val="clear" w:color="auto" w:fill="auto"/>
            <w:vAlign w:val="center"/>
          </w:tcPr>
          <w:p w14:paraId="29975E74">
            <w:pPr>
              <w:widowControl w:val="0"/>
              <w:jc w:val="center"/>
              <w:rPr>
                <w:szCs w:val="21"/>
              </w:rPr>
            </w:pPr>
            <w:r>
              <w:rPr>
                <w:rFonts w:hint="eastAsia"/>
              </w:rPr>
              <w:t>31.822458</w:t>
            </w:r>
          </w:p>
        </w:tc>
        <w:tc>
          <w:tcPr>
            <w:tcW w:w="0" w:type="auto"/>
            <w:shd w:val="clear" w:color="auto" w:fill="auto"/>
            <w:vAlign w:val="center"/>
          </w:tcPr>
          <w:p w14:paraId="2F0F5372">
            <w:pPr>
              <w:widowControl w:val="0"/>
              <w:jc w:val="center"/>
              <w:rPr>
                <w:szCs w:val="21"/>
              </w:rPr>
            </w:pPr>
            <w:r>
              <w:rPr>
                <w:rFonts w:hint="eastAsia"/>
              </w:rPr>
              <w:t>约78人</w:t>
            </w:r>
          </w:p>
        </w:tc>
        <w:tc>
          <w:tcPr>
            <w:tcW w:w="0" w:type="auto"/>
            <w:vMerge w:val="continue"/>
            <w:vAlign w:val="center"/>
          </w:tcPr>
          <w:p w14:paraId="7A0104F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4278B2A">
            <w:pPr>
              <w:widowControl w:val="0"/>
              <w:jc w:val="center"/>
              <w:rPr>
                <w:szCs w:val="21"/>
              </w:rPr>
            </w:pPr>
            <w:r>
              <w:t>NW</w:t>
            </w:r>
          </w:p>
        </w:tc>
        <w:tc>
          <w:tcPr>
            <w:tcW w:w="0" w:type="auto"/>
            <w:shd w:val="clear" w:color="auto" w:fill="auto"/>
            <w:vAlign w:val="center"/>
          </w:tcPr>
          <w:p w14:paraId="4C12763E">
            <w:pPr>
              <w:widowControl w:val="0"/>
              <w:jc w:val="center"/>
              <w:rPr>
                <w:szCs w:val="21"/>
              </w:rPr>
            </w:pPr>
            <w:r>
              <w:t>2228</w:t>
            </w:r>
          </w:p>
        </w:tc>
        <w:tc>
          <w:tcPr>
            <w:tcW w:w="0" w:type="auto"/>
            <w:shd w:val="clear" w:color="auto" w:fill="auto"/>
            <w:vAlign w:val="center"/>
          </w:tcPr>
          <w:p w14:paraId="7B4EF3E6">
            <w:pPr>
              <w:widowControl w:val="0"/>
              <w:jc w:val="center"/>
              <w:rPr>
                <w:szCs w:val="21"/>
              </w:rPr>
            </w:pPr>
            <w:r>
              <w:t>10</w:t>
            </w:r>
          </w:p>
        </w:tc>
        <w:tc>
          <w:tcPr>
            <w:tcW w:w="0" w:type="auto"/>
            <w:vMerge w:val="continue"/>
            <w:vAlign w:val="center"/>
          </w:tcPr>
          <w:p w14:paraId="1EEFB46B">
            <w:pPr>
              <w:widowControl w:val="0"/>
              <w:jc w:val="center"/>
              <w:rPr>
                <w:rFonts w:ascii="宋体" w:hAnsi="宋体"/>
                <w:color w:val="000000" w:themeColor="text1"/>
                <w:szCs w:val="21"/>
                <w14:textFill>
                  <w14:solidFill>
                    <w14:schemeClr w14:val="tx1"/>
                  </w14:solidFill>
                </w14:textFill>
              </w:rPr>
            </w:pPr>
          </w:p>
        </w:tc>
      </w:tr>
      <w:tr w14:paraId="5A0C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2DFC85E">
            <w:pPr>
              <w:widowControl w:val="0"/>
              <w:jc w:val="center"/>
              <w:rPr>
                <w:szCs w:val="21"/>
              </w:rPr>
            </w:pPr>
            <w:r>
              <w:t>56#</w:t>
            </w:r>
          </w:p>
        </w:tc>
        <w:tc>
          <w:tcPr>
            <w:tcW w:w="0" w:type="auto"/>
            <w:shd w:val="clear" w:color="auto" w:fill="auto"/>
            <w:vAlign w:val="center"/>
          </w:tcPr>
          <w:p w14:paraId="3E169B5C">
            <w:pPr>
              <w:widowControl w:val="0"/>
              <w:jc w:val="center"/>
              <w:rPr>
                <w:szCs w:val="21"/>
              </w:rPr>
            </w:pPr>
            <w:r>
              <w:rPr>
                <w:rFonts w:hint="eastAsia"/>
              </w:rPr>
              <w:t>张家湾#1-2</w:t>
            </w:r>
          </w:p>
        </w:tc>
        <w:tc>
          <w:tcPr>
            <w:tcW w:w="0" w:type="auto"/>
            <w:shd w:val="clear" w:color="auto" w:fill="auto"/>
            <w:vAlign w:val="center"/>
          </w:tcPr>
          <w:p w14:paraId="0452F0C4">
            <w:pPr>
              <w:widowControl w:val="0"/>
              <w:jc w:val="center"/>
              <w:rPr>
                <w:szCs w:val="21"/>
              </w:rPr>
            </w:pPr>
            <w:r>
              <w:rPr>
                <w:rFonts w:hint="eastAsia"/>
              </w:rPr>
              <w:t>106.815884</w:t>
            </w:r>
          </w:p>
        </w:tc>
        <w:tc>
          <w:tcPr>
            <w:tcW w:w="0" w:type="auto"/>
            <w:shd w:val="clear" w:color="auto" w:fill="auto"/>
            <w:vAlign w:val="center"/>
          </w:tcPr>
          <w:p w14:paraId="7CEB4898">
            <w:pPr>
              <w:widowControl w:val="0"/>
              <w:jc w:val="center"/>
              <w:rPr>
                <w:szCs w:val="21"/>
              </w:rPr>
            </w:pPr>
            <w:r>
              <w:rPr>
                <w:rFonts w:hint="eastAsia"/>
              </w:rPr>
              <w:t>31.822932</w:t>
            </w:r>
          </w:p>
        </w:tc>
        <w:tc>
          <w:tcPr>
            <w:tcW w:w="0" w:type="auto"/>
            <w:shd w:val="clear" w:color="auto" w:fill="auto"/>
            <w:vAlign w:val="center"/>
          </w:tcPr>
          <w:p w14:paraId="694CF4AA">
            <w:pPr>
              <w:widowControl w:val="0"/>
              <w:jc w:val="center"/>
              <w:rPr>
                <w:szCs w:val="21"/>
              </w:rPr>
            </w:pPr>
            <w:r>
              <w:rPr>
                <w:rFonts w:hint="eastAsia"/>
              </w:rPr>
              <w:t>约84人</w:t>
            </w:r>
          </w:p>
        </w:tc>
        <w:tc>
          <w:tcPr>
            <w:tcW w:w="0" w:type="auto"/>
            <w:vMerge w:val="continue"/>
            <w:vAlign w:val="center"/>
          </w:tcPr>
          <w:p w14:paraId="48530AE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4D718E4">
            <w:pPr>
              <w:widowControl w:val="0"/>
              <w:jc w:val="center"/>
              <w:rPr>
                <w:szCs w:val="21"/>
              </w:rPr>
            </w:pPr>
            <w:r>
              <w:t>NW</w:t>
            </w:r>
          </w:p>
        </w:tc>
        <w:tc>
          <w:tcPr>
            <w:tcW w:w="0" w:type="auto"/>
            <w:shd w:val="clear" w:color="auto" w:fill="auto"/>
            <w:vAlign w:val="center"/>
          </w:tcPr>
          <w:p w14:paraId="3AE2A0CB">
            <w:pPr>
              <w:widowControl w:val="0"/>
              <w:jc w:val="center"/>
              <w:rPr>
                <w:szCs w:val="21"/>
              </w:rPr>
            </w:pPr>
            <w:r>
              <w:t>2561</w:t>
            </w:r>
          </w:p>
        </w:tc>
        <w:tc>
          <w:tcPr>
            <w:tcW w:w="0" w:type="auto"/>
            <w:shd w:val="clear" w:color="auto" w:fill="auto"/>
            <w:vAlign w:val="center"/>
          </w:tcPr>
          <w:p w14:paraId="233F6DE7">
            <w:pPr>
              <w:widowControl w:val="0"/>
              <w:jc w:val="center"/>
              <w:rPr>
                <w:szCs w:val="21"/>
              </w:rPr>
            </w:pPr>
            <w:r>
              <w:t>35</w:t>
            </w:r>
          </w:p>
        </w:tc>
        <w:tc>
          <w:tcPr>
            <w:tcW w:w="0" w:type="auto"/>
            <w:vMerge w:val="continue"/>
            <w:vAlign w:val="center"/>
          </w:tcPr>
          <w:p w14:paraId="53680ECF">
            <w:pPr>
              <w:widowControl w:val="0"/>
              <w:jc w:val="center"/>
              <w:rPr>
                <w:rFonts w:ascii="宋体" w:hAnsi="宋体"/>
                <w:color w:val="000000" w:themeColor="text1"/>
                <w:szCs w:val="21"/>
                <w14:textFill>
                  <w14:solidFill>
                    <w14:schemeClr w14:val="tx1"/>
                  </w14:solidFill>
                </w14:textFill>
              </w:rPr>
            </w:pPr>
          </w:p>
        </w:tc>
      </w:tr>
      <w:tr w14:paraId="10F4B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0D174AF">
            <w:pPr>
              <w:widowControl w:val="0"/>
              <w:jc w:val="center"/>
              <w:rPr>
                <w:szCs w:val="21"/>
              </w:rPr>
            </w:pPr>
            <w:r>
              <w:t>57#</w:t>
            </w:r>
          </w:p>
        </w:tc>
        <w:tc>
          <w:tcPr>
            <w:tcW w:w="0" w:type="auto"/>
            <w:shd w:val="clear" w:color="auto" w:fill="auto"/>
            <w:vAlign w:val="center"/>
          </w:tcPr>
          <w:p w14:paraId="7E760C40">
            <w:pPr>
              <w:widowControl w:val="0"/>
              <w:jc w:val="center"/>
              <w:rPr>
                <w:szCs w:val="21"/>
              </w:rPr>
            </w:pPr>
            <w:r>
              <w:rPr>
                <w:rFonts w:hint="eastAsia"/>
              </w:rPr>
              <w:t>李家梁#1-2</w:t>
            </w:r>
          </w:p>
        </w:tc>
        <w:tc>
          <w:tcPr>
            <w:tcW w:w="0" w:type="auto"/>
            <w:shd w:val="clear" w:color="auto" w:fill="auto"/>
            <w:vAlign w:val="center"/>
          </w:tcPr>
          <w:p w14:paraId="11C0F9AD">
            <w:pPr>
              <w:widowControl w:val="0"/>
              <w:jc w:val="center"/>
              <w:rPr>
                <w:szCs w:val="21"/>
              </w:rPr>
            </w:pPr>
            <w:r>
              <w:rPr>
                <w:rFonts w:hint="eastAsia"/>
              </w:rPr>
              <w:t>106.81067</w:t>
            </w:r>
          </w:p>
        </w:tc>
        <w:tc>
          <w:tcPr>
            <w:tcW w:w="0" w:type="auto"/>
            <w:shd w:val="clear" w:color="auto" w:fill="auto"/>
            <w:vAlign w:val="center"/>
          </w:tcPr>
          <w:p w14:paraId="33371B9E">
            <w:pPr>
              <w:widowControl w:val="0"/>
              <w:jc w:val="center"/>
              <w:rPr>
                <w:szCs w:val="21"/>
              </w:rPr>
            </w:pPr>
            <w:r>
              <w:rPr>
                <w:rFonts w:hint="eastAsia"/>
              </w:rPr>
              <w:t>31.820753</w:t>
            </w:r>
          </w:p>
        </w:tc>
        <w:tc>
          <w:tcPr>
            <w:tcW w:w="0" w:type="auto"/>
            <w:shd w:val="clear" w:color="auto" w:fill="auto"/>
            <w:vAlign w:val="center"/>
          </w:tcPr>
          <w:p w14:paraId="642B57F5">
            <w:pPr>
              <w:widowControl w:val="0"/>
              <w:jc w:val="center"/>
              <w:rPr>
                <w:szCs w:val="21"/>
              </w:rPr>
            </w:pPr>
            <w:r>
              <w:rPr>
                <w:rFonts w:hint="eastAsia"/>
              </w:rPr>
              <w:t>约18人</w:t>
            </w:r>
          </w:p>
        </w:tc>
        <w:tc>
          <w:tcPr>
            <w:tcW w:w="0" w:type="auto"/>
            <w:vMerge w:val="continue"/>
            <w:vAlign w:val="center"/>
          </w:tcPr>
          <w:p w14:paraId="6DDA50D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B5CCF40">
            <w:pPr>
              <w:widowControl w:val="0"/>
              <w:jc w:val="center"/>
              <w:rPr>
                <w:szCs w:val="21"/>
              </w:rPr>
            </w:pPr>
            <w:r>
              <w:t>NW</w:t>
            </w:r>
          </w:p>
        </w:tc>
        <w:tc>
          <w:tcPr>
            <w:tcW w:w="0" w:type="auto"/>
            <w:shd w:val="clear" w:color="auto" w:fill="auto"/>
            <w:vAlign w:val="center"/>
          </w:tcPr>
          <w:p w14:paraId="6287C774">
            <w:pPr>
              <w:widowControl w:val="0"/>
              <w:jc w:val="center"/>
              <w:rPr>
                <w:szCs w:val="21"/>
              </w:rPr>
            </w:pPr>
            <w:r>
              <w:t>2958</w:t>
            </w:r>
          </w:p>
        </w:tc>
        <w:tc>
          <w:tcPr>
            <w:tcW w:w="0" w:type="auto"/>
            <w:shd w:val="clear" w:color="auto" w:fill="auto"/>
            <w:vAlign w:val="center"/>
          </w:tcPr>
          <w:p w14:paraId="0DFB9B10">
            <w:pPr>
              <w:widowControl w:val="0"/>
              <w:jc w:val="center"/>
              <w:rPr>
                <w:szCs w:val="21"/>
              </w:rPr>
            </w:pPr>
            <w:r>
              <w:t>23</w:t>
            </w:r>
          </w:p>
        </w:tc>
        <w:tc>
          <w:tcPr>
            <w:tcW w:w="0" w:type="auto"/>
            <w:vMerge w:val="continue"/>
            <w:vAlign w:val="center"/>
          </w:tcPr>
          <w:p w14:paraId="08787A33">
            <w:pPr>
              <w:widowControl w:val="0"/>
              <w:jc w:val="center"/>
              <w:rPr>
                <w:rFonts w:ascii="宋体" w:hAnsi="宋体"/>
                <w:color w:val="000000" w:themeColor="text1"/>
                <w:szCs w:val="21"/>
                <w14:textFill>
                  <w14:solidFill>
                    <w14:schemeClr w14:val="tx1"/>
                  </w14:solidFill>
                </w14:textFill>
              </w:rPr>
            </w:pPr>
          </w:p>
        </w:tc>
      </w:tr>
      <w:tr w14:paraId="0D9D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gridSpan w:val="10"/>
            <w:shd w:val="clear" w:color="auto" w:fill="auto"/>
            <w:vAlign w:val="center"/>
          </w:tcPr>
          <w:p w14:paraId="56A83249">
            <w:pPr>
              <w:widowControl w:val="0"/>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塘坝养殖场区</w:t>
            </w:r>
          </w:p>
        </w:tc>
      </w:tr>
      <w:tr w14:paraId="6BFE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4D83094">
            <w:pPr>
              <w:widowControl w:val="0"/>
              <w:jc w:val="center"/>
              <w:rPr>
                <w:szCs w:val="21"/>
              </w:rPr>
            </w:pPr>
            <w:r>
              <w:t>1#</w:t>
            </w:r>
          </w:p>
        </w:tc>
        <w:tc>
          <w:tcPr>
            <w:tcW w:w="0" w:type="auto"/>
            <w:shd w:val="clear" w:color="auto" w:fill="auto"/>
            <w:vAlign w:val="center"/>
          </w:tcPr>
          <w:p w14:paraId="34CC6699">
            <w:pPr>
              <w:widowControl w:val="0"/>
              <w:jc w:val="center"/>
              <w:rPr>
                <w:szCs w:val="21"/>
              </w:rPr>
            </w:pPr>
            <w:r>
              <w:rPr>
                <w:rFonts w:hint="eastAsia"/>
              </w:rPr>
              <w:t>枣清路沿路居民</w:t>
            </w:r>
          </w:p>
        </w:tc>
        <w:tc>
          <w:tcPr>
            <w:tcW w:w="0" w:type="auto"/>
            <w:shd w:val="clear" w:color="auto" w:fill="auto"/>
            <w:vAlign w:val="center"/>
          </w:tcPr>
          <w:p w14:paraId="2088C457">
            <w:pPr>
              <w:widowControl w:val="0"/>
              <w:jc w:val="center"/>
              <w:rPr>
                <w:szCs w:val="21"/>
              </w:rPr>
            </w:pPr>
            <w:r>
              <w:rPr>
                <w:rFonts w:hint="eastAsia"/>
              </w:rPr>
              <w:t>106.958857°</w:t>
            </w:r>
          </w:p>
        </w:tc>
        <w:tc>
          <w:tcPr>
            <w:tcW w:w="0" w:type="auto"/>
            <w:shd w:val="clear" w:color="auto" w:fill="auto"/>
            <w:vAlign w:val="center"/>
          </w:tcPr>
          <w:p w14:paraId="39E0FF65">
            <w:pPr>
              <w:widowControl w:val="0"/>
              <w:jc w:val="center"/>
              <w:rPr>
                <w:szCs w:val="21"/>
              </w:rPr>
            </w:pPr>
            <w:r>
              <w:rPr>
                <w:rFonts w:hint="eastAsia"/>
              </w:rPr>
              <w:t>31.860519°</w:t>
            </w:r>
          </w:p>
        </w:tc>
        <w:tc>
          <w:tcPr>
            <w:tcW w:w="0" w:type="auto"/>
            <w:shd w:val="clear" w:color="auto" w:fill="auto"/>
            <w:vAlign w:val="center"/>
          </w:tcPr>
          <w:p w14:paraId="07B28B9A">
            <w:pPr>
              <w:widowControl w:val="0"/>
              <w:jc w:val="center"/>
              <w:rPr>
                <w:szCs w:val="21"/>
              </w:rPr>
            </w:pPr>
            <w:r>
              <w:rPr>
                <w:rFonts w:hint="eastAsia"/>
              </w:rPr>
              <w:t>约93人</w:t>
            </w:r>
          </w:p>
        </w:tc>
        <w:tc>
          <w:tcPr>
            <w:tcW w:w="0" w:type="auto"/>
            <w:vMerge w:val="restart"/>
            <w:vAlign w:val="center"/>
          </w:tcPr>
          <w:p w14:paraId="67A2587A">
            <w:pPr>
              <w:widowControl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w:t>
            </w:r>
            <w:r>
              <w:rPr>
                <w:rFonts w:hint="eastAsia"/>
                <w:color w:val="000000" w:themeColor="text1"/>
                <w:kern w:val="0"/>
                <w:szCs w:val="21"/>
                <w14:textFill>
                  <w14:solidFill>
                    <w14:schemeClr w14:val="tx1"/>
                  </w14:solidFill>
                </w14:textFill>
              </w:rPr>
              <w:t>《环境空气质量标准》（</w:t>
            </w:r>
            <w:r>
              <w:rPr>
                <w:color w:val="000000" w:themeColor="text1"/>
                <w:kern w:val="0"/>
                <w:szCs w:val="21"/>
                <w14:textFill>
                  <w14:solidFill>
                    <w14:schemeClr w14:val="tx1"/>
                  </w14:solidFill>
                </w14:textFill>
              </w:rPr>
              <w:t>GB3095-2026</w:t>
            </w:r>
            <w:r>
              <w:rPr>
                <w:rFonts w:hint="eastAsia"/>
                <w:color w:val="000000" w:themeColor="text1"/>
                <w:kern w:val="0"/>
                <w:szCs w:val="21"/>
                <w14:textFill>
                  <w14:solidFill>
                    <w14:schemeClr w14:val="tx1"/>
                  </w14:solidFill>
                </w14:textFill>
              </w:rPr>
              <w:t>）过渡阶段二级标准</w:t>
            </w:r>
          </w:p>
        </w:tc>
        <w:tc>
          <w:tcPr>
            <w:tcW w:w="0" w:type="auto"/>
            <w:shd w:val="clear" w:color="auto" w:fill="auto"/>
            <w:vAlign w:val="center"/>
          </w:tcPr>
          <w:p w14:paraId="5A292FBD">
            <w:pPr>
              <w:widowControl w:val="0"/>
              <w:jc w:val="center"/>
              <w:rPr>
                <w:szCs w:val="21"/>
              </w:rPr>
            </w:pPr>
            <w:r>
              <w:t>NE</w:t>
            </w:r>
          </w:p>
        </w:tc>
        <w:tc>
          <w:tcPr>
            <w:tcW w:w="0" w:type="auto"/>
            <w:shd w:val="clear" w:color="auto" w:fill="auto"/>
            <w:vAlign w:val="center"/>
          </w:tcPr>
          <w:p w14:paraId="79194351">
            <w:pPr>
              <w:widowControl w:val="0"/>
              <w:jc w:val="center"/>
              <w:rPr>
                <w:szCs w:val="21"/>
              </w:rPr>
            </w:pPr>
            <w:r>
              <w:t>479</w:t>
            </w:r>
          </w:p>
        </w:tc>
        <w:tc>
          <w:tcPr>
            <w:tcW w:w="0" w:type="auto"/>
            <w:shd w:val="clear" w:color="auto" w:fill="auto"/>
            <w:vAlign w:val="center"/>
          </w:tcPr>
          <w:p w14:paraId="59387C93">
            <w:pPr>
              <w:widowControl w:val="0"/>
              <w:jc w:val="center"/>
              <w:rPr>
                <w:szCs w:val="21"/>
              </w:rPr>
            </w:pPr>
            <w:r>
              <w:t>-5</w:t>
            </w:r>
          </w:p>
        </w:tc>
        <w:tc>
          <w:tcPr>
            <w:tcW w:w="0" w:type="auto"/>
            <w:vMerge w:val="restart"/>
            <w:vAlign w:val="center"/>
          </w:tcPr>
          <w:p w14:paraId="671000DF">
            <w:pPr>
              <w:widowControl w:val="0"/>
              <w:jc w:val="center"/>
              <w:rPr>
                <w:rFonts w:ascii="宋体" w:hAnsi="宋体"/>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《环境空气质量标准》（</w:t>
            </w:r>
            <w:r>
              <w:rPr>
                <w:color w:val="000000" w:themeColor="text1"/>
                <w:kern w:val="0"/>
                <w:szCs w:val="21"/>
                <w14:textFill>
                  <w14:solidFill>
                    <w14:schemeClr w14:val="tx1"/>
                  </w14:solidFill>
                </w14:textFill>
              </w:rPr>
              <w:t>GB3095-2026</w:t>
            </w:r>
            <w:r>
              <w:rPr>
                <w:rFonts w:hint="eastAsia"/>
                <w:color w:val="000000" w:themeColor="text1"/>
                <w:kern w:val="0"/>
                <w:szCs w:val="21"/>
                <w14:textFill>
                  <w14:solidFill>
                    <w14:schemeClr w14:val="tx1"/>
                  </w14:solidFill>
                </w14:textFill>
              </w:rPr>
              <w:t>）中二类区</w:t>
            </w:r>
          </w:p>
        </w:tc>
      </w:tr>
      <w:tr w14:paraId="1048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A60934C">
            <w:pPr>
              <w:widowControl w:val="0"/>
              <w:jc w:val="center"/>
              <w:rPr>
                <w:szCs w:val="21"/>
              </w:rPr>
            </w:pPr>
            <w:r>
              <w:t>2#</w:t>
            </w:r>
          </w:p>
        </w:tc>
        <w:tc>
          <w:tcPr>
            <w:tcW w:w="0" w:type="auto"/>
            <w:shd w:val="clear" w:color="auto" w:fill="auto"/>
            <w:vAlign w:val="center"/>
          </w:tcPr>
          <w:p w14:paraId="75FFA113">
            <w:pPr>
              <w:widowControl w:val="0"/>
              <w:jc w:val="center"/>
              <w:rPr>
                <w:szCs w:val="21"/>
              </w:rPr>
            </w:pPr>
            <w:r>
              <w:rPr>
                <w:rFonts w:hint="eastAsia"/>
              </w:rPr>
              <w:t>钟家湾1</w:t>
            </w:r>
          </w:p>
        </w:tc>
        <w:tc>
          <w:tcPr>
            <w:tcW w:w="0" w:type="auto"/>
            <w:shd w:val="clear" w:color="auto" w:fill="auto"/>
            <w:vAlign w:val="center"/>
          </w:tcPr>
          <w:p w14:paraId="6AD34744">
            <w:pPr>
              <w:widowControl w:val="0"/>
              <w:jc w:val="center"/>
              <w:rPr>
                <w:szCs w:val="21"/>
              </w:rPr>
            </w:pPr>
            <w:r>
              <w:rPr>
                <w:rFonts w:hint="eastAsia"/>
              </w:rPr>
              <w:t>106.972289°</w:t>
            </w:r>
          </w:p>
        </w:tc>
        <w:tc>
          <w:tcPr>
            <w:tcW w:w="0" w:type="auto"/>
            <w:shd w:val="clear" w:color="auto" w:fill="auto"/>
            <w:vAlign w:val="center"/>
          </w:tcPr>
          <w:p w14:paraId="4661F529">
            <w:pPr>
              <w:widowControl w:val="0"/>
              <w:jc w:val="center"/>
              <w:rPr>
                <w:szCs w:val="21"/>
              </w:rPr>
            </w:pPr>
            <w:r>
              <w:rPr>
                <w:rFonts w:hint="eastAsia"/>
              </w:rPr>
              <w:t>31.865877°</w:t>
            </w:r>
          </w:p>
        </w:tc>
        <w:tc>
          <w:tcPr>
            <w:tcW w:w="0" w:type="auto"/>
            <w:shd w:val="clear" w:color="auto" w:fill="auto"/>
            <w:vAlign w:val="center"/>
          </w:tcPr>
          <w:p w14:paraId="370710AB">
            <w:pPr>
              <w:widowControl w:val="0"/>
              <w:jc w:val="center"/>
              <w:rPr>
                <w:szCs w:val="21"/>
              </w:rPr>
            </w:pPr>
            <w:r>
              <w:rPr>
                <w:rFonts w:hint="eastAsia"/>
              </w:rPr>
              <w:t>约321人</w:t>
            </w:r>
          </w:p>
        </w:tc>
        <w:tc>
          <w:tcPr>
            <w:tcW w:w="0" w:type="auto"/>
            <w:vMerge w:val="continue"/>
            <w:vAlign w:val="center"/>
          </w:tcPr>
          <w:p w14:paraId="251743B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88E9EC7">
            <w:pPr>
              <w:widowControl w:val="0"/>
              <w:jc w:val="center"/>
              <w:rPr>
                <w:szCs w:val="21"/>
              </w:rPr>
            </w:pPr>
            <w:r>
              <w:t>NE</w:t>
            </w:r>
          </w:p>
        </w:tc>
        <w:tc>
          <w:tcPr>
            <w:tcW w:w="0" w:type="auto"/>
            <w:shd w:val="clear" w:color="auto" w:fill="auto"/>
            <w:vAlign w:val="center"/>
          </w:tcPr>
          <w:p w14:paraId="626DE818">
            <w:pPr>
              <w:widowControl w:val="0"/>
              <w:jc w:val="center"/>
              <w:rPr>
                <w:szCs w:val="21"/>
              </w:rPr>
            </w:pPr>
            <w:r>
              <w:t>1878</w:t>
            </w:r>
          </w:p>
        </w:tc>
        <w:tc>
          <w:tcPr>
            <w:tcW w:w="0" w:type="auto"/>
            <w:shd w:val="clear" w:color="auto" w:fill="auto"/>
            <w:vAlign w:val="center"/>
          </w:tcPr>
          <w:p w14:paraId="2D6DDC94">
            <w:pPr>
              <w:widowControl w:val="0"/>
              <w:jc w:val="center"/>
              <w:rPr>
                <w:szCs w:val="21"/>
              </w:rPr>
            </w:pPr>
            <w:r>
              <w:t>-31</w:t>
            </w:r>
          </w:p>
        </w:tc>
        <w:tc>
          <w:tcPr>
            <w:tcW w:w="0" w:type="auto"/>
            <w:vMerge w:val="continue"/>
            <w:vAlign w:val="center"/>
          </w:tcPr>
          <w:p w14:paraId="6AB3D6E8">
            <w:pPr>
              <w:widowControl w:val="0"/>
              <w:jc w:val="center"/>
              <w:rPr>
                <w:rFonts w:ascii="宋体" w:hAnsi="宋体"/>
                <w:color w:val="000000" w:themeColor="text1"/>
                <w:szCs w:val="21"/>
                <w14:textFill>
                  <w14:solidFill>
                    <w14:schemeClr w14:val="tx1"/>
                  </w14:solidFill>
                </w14:textFill>
              </w:rPr>
            </w:pPr>
          </w:p>
        </w:tc>
      </w:tr>
      <w:tr w14:paraId="75CE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FDE83F5">
            <w:pPr>
              <w:widowControl w:val="0"/>
              <w:jc w:val="center"/>
              <w:rPr>
                <w:szCs w:val="21"/>
              </w:rPr>
            </w:pPr>
            <w:r>
              <w:t>3#</w:t>
            </w:r>
          </w:p>
        </w:tc>
        <w:tc>
          <w:tcPr>
            <w:tcW w:w="0" w:type="auto"/>
            <w:shd w:val="clear" w:color="auto" w:fill="auto"/>
            <w:vAlign w:val="center"/>
          </w:tcPr>
          <w:p w14:paraId="167946F1">
            <w:pPr>
              <w:widowControl w:val="0"/>
              <w:jc w:val="center"/>
              <w:rPr>
                <w:szCs w:val="21"/>
              </w:rPr>
            </w:pPr>
            <w:r>
              <w:rPr>
                <w:rFonts w:hint="eastAsia"/>
              </w:rPr>
              <w:t>李家湾1</w:t>
            </w:r>
          </w:p>
        </w:tc>
        <w:tc>
          <w:tcPr>
            <w:tcW w:w="0" w:type="auto"/>
            <w:shd w:val="clear" w:color="auto" w:fill="auto"/>
            <w:vAlign w:val="center"/>
          </w:tcPr>
          <w:p w14:paraId="45A3459F">
            <w:pPr>
              <w:widowControl w:val="0"/>
              <w:jc w:val="center"/>
              <w:rPr>
                <w:szCs w:val="21"/>
              </w:rPr>
            </w:pPr>
            <w:r>
              <w:rPr>
                <w:rFonts w:hint="eastAsia"/>
              </w:rPr>
              <w:t>106.967139°</w:t>
            </w:r>
          </w:p>
        </w:tc>
        <w:tc>
          <w:tcPr>
            <w:tcW w:w="0" w:type="auto"/>
            <w:shd w:val="clear" w:color="auto" w:fill="auto"/>
            <w:vAlign w:val="center"/>
          </w:tcPr>
          <w:p w14:paraId="23B2B5D6">
            <w:pPr>
              <w:widowControl w:val="0"/>
              <w:jc w:val="center"/>
              <w:rPr>
                <w:szCs w:val="21"/>
              </w:rPr>
            </w:pPr>
            <w:r>
              <w:rPr>
                <w:rFonts w:hint="eastAsia"/>
              </w:rPr>
              <w:t>31.869467°</w:t>
            </w:r>
          </w:p>
        </w:tc>
        <w:tc>
          <w:tcPr>
            <w:tcW w:w="0" w:type="auto"/>
            <w:shd w:val="clear" w:color="auto" w:fill="auto"/>
            <w:vAlign w:val="center"/>
          </w:tcPr>
          <w:p w14:paraId="19F69AC0">
            <w:pPr>
              <w:widowControl w:val="0"/>
              <w:jc w:val="center"/>
              <w:rPr>
                <w:szCs w:val="21"/>
              </w:rPr>
            </w:pPr>
            <w:r>
              <w:rPr>
                <w:rFonts w:hint="eastAsia"/>
              </w:rPr>
              <w:t>约96人</w:t>
            </w:r>
          </w:p>
        </w:tc>
        <w:tc>
          <w:tcPr>
            <w:tcW w:w="0" w:type="auto"/>
            <w:vMerge w:val="continue"/>
            <w:vAlign w:val="center"/>
          </w:tcPr>
          <w:p w14:paraId="249B809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CA09CE2">
            <w:pPr>
              <w:widowControl w:val="0"/>
              <w:jc w:val="center"/>
              <w:rPr>
                <w:szCs w:val="21"/>
              </w:rPr>
            </w:pPr>
            <w:r>
              <w:t>NE</w:t>
            </w:r>
          </w:p>
        </w:tc>
        <w:tc>
          <w:tcPr>
            <w:tcW w:w="0" w:type="auto"/>
            <w:shd w:val="clear" w:color="auto" w:fill="auto"/>
            <w:vAlign w:val="center"/>
          </w:tcPr>
          <w:p w14:paraId="38AF7241">
            <w:pPr>
              <w:widowControl w:val="0"/>
              <w:jc w:val="center"/>
              <w:rPr>
                <w:szCs w:val="21"/>
              </w:rPr>
            </w:pPr>
            <w:r>
              <w:t>1683</w:t>
            </w:r>
          </w:p>
        </w:tc>
        <w:tc>
          <w:tcPr>
            <w:tcW w:w="0" w:type="auto"/>
            <w:shd w:val="clear" w:color="auto" w:fill="auto"/>
            <w:vAlign w:val="center"/>
          </w:tcPr>
          <w:p w14:paraId="3DBEEDAC">
            <w:pPr>
              <w:widowControl w:val="0"/>
              <w:jc w:val="center"/>
              <w:rPr>
                <w:szCs w:val="21"/>
              </w:rPr>
            </w:pPr>
            <w:r>
              <w:t>-32</w:t>
            </w:r>
          </w:p>
        </w:tc>
        <w:tc>
          <w:tcPr>
            <w:tcW w:w="0" w:type="auto"/>
            <w:vMerge w:val="continue"/>
            <w:vAlign w:val="center"/>
          </w:tcPr>
          <w:p w14:paraId="60B0B2F4">
            <w:pPr>
              <w:widowControl w:val="0"/>
              <w:jc w:val="center"/>
              <w:rPr>
                <w:rFonts w:ascii="宋体" w:hAnsi="宋体"/>
                <w:color w:val="000000" w:themeColor="text1"/>
                <w:szCs w:val="21"/>
                <w14:textFill>
                  <w14:solidFill>
                    <w14:schemeClr w14:val="tx1"/>
                  </w14:solidFill>
                </w14:textFill>
              </w:rPr>
            </w:pPr>
          </w:p>
        </w:tc>
      </w:tr>
      <w:tr w14:paraId="31F6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89CA505">
            <w:pPr>
              <w:widowControl w:val="0"/>
              <w:jc w:val="center"/>
              <w:rPr>
                <w:szCs w:val="21"/>
              </w:rPr>
            </w:pPr>
            <w:r>
              <w:t>4#</w:t>
            </w:r>
          </w:p>
        </w:tc>
        <w:tc>
          <w:tcPr>
            <w:tcW w:w="0" w:type="auto"/>
            <w:shd w:val="clear" w:color="auto" w:fill="auto"/>
            <w:vAlign w:val="center"/>
          </w:tcPr>
          <w:p w14:paraId="6C73730D">
            <w:pPr>
              <w:widowControl w:val="0"/>
              <w:jc w:val="center"/>
              <w:rPr>
                <w:szCs w:val="21"/>
              </w:rPr>
            </w:pPr>
            <w:r>
              <w:rPr>
                <w:rFonts w:hint="eastAsia"/>
              </w:rPr>
              <w:t>石家湾</w:t>
            </w:r>
          </w:p>
        </w:tc>
        <w:tc>
          <w:tcPr>
            <w:tcW w:w="0" w:type="auto"/>
            <w:shd w:val="clear" w:color="auto" w:fill="auto"/>
            <w:vAlign w:val="center"/>
          </w:tcPr>
          <w:p w14:paraId="2411A971">
            <w:pPr>
              <w:widowControl w:val="0"/>
              <w:jc w:val="center"/>
              <w:rPr>
                <w:szCs w:val="21"/>
              </w:rPr>
            </w:pPr>
            <w:r>
              <w:rPr>
                <w:rFonts w:hint="eastAsia"/>
              </w:rPr>
              <w:t>106.974134°</w:t>
            </w:r>
          </w:p>
        </w:tc>
        <w:tc>
          <w:tcPr>
            <w:tcW w:w="0" w:type="auto"/>
            <w:shd w:val="clear" w:color="auto" w:fill="auto"/>
            <w:vAlign w:val="center"/>
          </w:tcPr>
          <w:p w14:paraId="549E274C">
            <w:pPr>
              <w:widowControl w:val="0"/>
              <w:jc w:val="center"/>
              <w:rPr>
                <w:szCs w:val="21"/>
              </w:rPr>
            </w:pPr>
            <w:r>
              <w:rPr>
                <w:rFonts w:hint="eastAsia"/>
              </w:rPr>
              <w:t>31.876829°</w:t>
            </w:r>
          </w:p>
        </w:tc>
        <w:tc>
          <w:tcPr>
            <w:tcW w:w="0" w:type="auto"/>
            <w:shd w:val="clear" w:color="auto" w:fill="auto"/>
            <w:vAlign w:val="center"/>
          </w:tcPr>
          <w:p w14:paraId="525660E1">
            <w:pPr>
              <w:widowControl w:val="0"/>
              <w:jc w:val="center"/>
              <w:rPr>
                <w:szCs w:val="21"/>
              </w:rPr>
            </w:pPr>
            <w:r>
              <w:rPr>
                <w:rFonts w:hint="eastAsia"/>
              </w:rPr>
              <w:t>约171人</w:t>
            </w:r>
          </w:p>
        </w:tc>
        <w:tc>
          <w:tcPr>
            <w:tcW w:w="0" w:type="auto"/>
            <w:vMerge w:val="continue"/>
            <w:vAlign w:val="center"/>
          </w:tcPr>
          <w:p w14:paraId="56CF828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1CEAF35">
            <w:pPr>
              <w:widowControl w:val="0"/>
              <w:jc w:val="center"/>
              <w:rPr>
                <w:szCs w:val="21"/>
              </w:rPr>
            </w:pPr>
            <w:r>
              <w:t>NE</w:t>
            </w:r>
          </w:p>
        </w:tc>
        <w:tc>
          <w:tcPr>
            <w:tcW w:w="0" w:type="auto"/>
            <w:shd w:val="clear" w:color="auto" w:fill="auto"/>
            <w:vAlign w:val="center"/>
          </w:tcPr>
          <w:p w14:paraId="2124795E">
            <w:pPr>
              <w:widowControl w:val="0"/>
              <w:jc w:val="center"/>
              <w:rPr>
                <w:szCs w:val="21"/>
              </w:rPr>
            </w:pPr>
            <w:r>
              <w:t>2729</w:t>
            </w:r>
          </w:p>
        </w:tc>
        <w:tc>
          <w:tcPr>
            <w:tcW w:w="0" w:type="auto"/>
            <w:shd w:val="clear" w:color="auto" w:fill="auto"/>
            <w:vAlign w:val="center"/>
          </w:tcPr>
          <w:p w14:paraId="0F50E165">
            <w:pPr>
              <w:widowControl w:val="0"/>
              <w:jc w:val="center"/>
              <w:rPr>
                <w:szCs w:val="21"/>
              </w:rPr>
            </w:pPr>
            <w:r>
              <w:t>11</w:t>
            </w:r>
          </w:p>
        </w:tc>
        <w:tc>
          <w:tcPr>
            <w:tcW w:w="0" w:type="auto"/>
            <w:vMerge w:val="continue"/>
            <w:vAlign w:val="center"/>
          </w:tcPr>
          <w:p w14:paraId="2CE395CB">
            <w:pPr>
              <w:widowControl w:val="0"/>
              <w:jc w:val="center"/>
              <w:rPr>
                <w:rFonts w:ascii="宋体" w:hAnsi="宋体"/>
                <w:color w:val="000000" w:themeColor="text1"/>
                <w:szCs w:val="21"/>
                <w14:textFill>
                  <w14:solidFill>
                    <w14:schemeClr w14:val="tx1"/>
                  </w14:solidFill>
                </w14:textFill>
              </w:rPr>
            </w:pPr>
          </w:p>
        </w:tc>
      </w:tr>
      <w:tr w14:paraId="5D79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A366D26">
            <w:pPr>
              <w:widowControl w:val="0"/>
              <w:jc w:val="center"/>
              <w:rPr>
                <w:szCs w:val="21"/>
              </w:rPr>
            </w:pPr>
            <w:r>
              <w:t>5#</w:t>
            </w:r>
          </w:p>
        </w:tc>
        <w:tc>
          <w:tcPr>
            <w:tcW w:w="0" w:type="auto"/>
            <w:shd w:val="clear" w:color="auto" w:fill="auto"/>
            <w:vAlign w:val="center"/>
          </w:tcPr>
          <w:p w14:paraId="45064BFB">
            <w:pPr>
              <w:widowControl w:val="0"/>
              <w:jc w:val="center"/>
              <w:rPr>
                <w:szCs w:val="21"/>
              </w:rPr>
            </w:pPr>
            <w:r>
              <w:rPr>
                <w:rFonts w:hint="eastAsia"/>
              </w:rPr>
              <w:t>沙溪沟</w:t>
            </w:r>
          </w:p>
        </w:tc>
        <w:tc>
          <w:tcPr>
            <w:tcW w:w="0" w:type="auto"/>
            <w:shd w:val="clear" w:color="auto" w:fill="auto"/>
            <w:vAlign w:val="center"/>
          </w:tcPr>
          <w:p w14:paraId="1D9DBBB8">
            <w:pPr>
              <w:widowControl w:val="0"/>
              <w:jc w:val="center"/>
              <w:rPr>
                <w:szCs w:val="21"/>
              </w:rPr>
            </w:pPr>
            <w:r>
              <w:rPr>
                <w:rFonts w:hint="eastAsia"/>
              </w:rPr>
              <w:t>106.960487°</w:t>
            </w:r>
          </w:p>
        </w:tc>
        <w:tc>
          <w:tcPr>
            <w:tcW w:w="0" w:type="auto"/>
            <w:shd w:val="clear" w:color="auto" w:fill="auto"/>
            <w:vAlign w:val="center"/>
          </w:tcPr>
          <w:p w14:paraId="47374C06">
            <w:pPr>
              <w:widowControl w:val="0"/>
              <w:jc w:val="center"/>
              <w:rPr>
                <w:szCs w:val="21"/>
              </w:rPr>
            </w:pPr>
            <w:r>
              <w:rPr>
                <w:rFonts w:hint="eastAsia"/>
              </w:rPr>
              <w:t>31.870888°</w:t>
            </w:r>
          </w:p>
        </w:tc>
        <w:tc>
          <w:tcPr>
            <w:tcW w:w="0" w:type="auto"/>
            <w:shd w:val="clear" w:color="auto" w:fill="auto"/>
            <w:vAlign w:val="center"/>
          </w:tcPr>
          <w:p w14:paraId="2F6C5547">
            <w:pPr>
              <w:widowControl w:val="0"/>
              <w:jc w:val="center"/>
              <w:rPr>
                <w:szCs w:val="21"/>
              </w:rPr>
            </w:pPr>
            <w:r>
              <w:rPr>
                <w:rFonts w:hint="eastAsia"/>
              </w:rPr>
              <w:t>约51人</w:t>
            </w:r>
          </w:p>
        </w:tc>
        <w:tc>
          <w:tcPr>
            <w:tcW w:w="0" w:type="auto"/>
            <w:vMerge w:val="continue"/>
            <w:vAlign w:val="center"/>
          </w:tcPr>
          <w:p w14:paraId="6A104920">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DD243A5">
            <w:pPr>
              <w:widowControl w:val="0"/>
              <w:jc w:val="center"/>
              <w:rPr>
                <w:szCs w:val="21"/>
              </w:rPr>
            </w:pPr>
            <w:r>
              <w:t>NE</w:t>
            </w:r>
          </w:p>
        </w:tc>
        <w:tc>
          <w:tcPr>
            <w:tcW w:w="0" w:type="auto"/>
            <w:shd w:val="clear" w:color="auto" w:fill="auto"/>
            <w:vAlign w:val="center"/>
          </w:tcPr>
          <w:p w14:paraId="5679BD73">
            <w:pPr>
              <w:widowControl w:val="0"/>
              <w:jc w:val="center"/>
              <w:rPr>
                <w:szCs w:val="21"/>
              </w:rPr>
            </w:pPr>
            <w:r>
              <w:t>1433</w:t>
            </w:r>
          </w:p>
        </w:tc>
        <w:tc>
          <w:tcPr>
            <w:tcW w:w="0" w:type="auto"/>
            <w:shd w:val="clear" w:color="auto" w:fill="auto"/>
            <w:vAlign w:val="center"/>
          </w:tcPr>
          <w:p w14:paraId="1765BA93">
            <w:pPr>
              <w:widowControl w:val="0"/>
              <w:jc w:val="center"/>
              <w:rPr>
                <w:szCs w:val="21"/>
              </w:rPr>
            </w:pPr>
            <w:r>
              <w:t>-51</w:t>
            </w:r>
          </w:p>
        </w:tc>
        <w:tc>
          <w:tcPr>
            <w:tcW w:w="0" w:type="auto"/>
            <w:vMerge w:val="continue"/>
            <w:vAlign w:val="center"/>
          </w:tcPr>
          <w:p w14:paraId="34B34C0E">
            <w:pPr>
              <w:widowControl w:val="0"/>
              <w:jc w:val="center"/>
              <w:rPr>
                <w:rFonts w:ascii="宋体" w:hAnsi="宋体"/>
                <w:color w:val="000000" w:themeColor="text1"/>
                <w:szCs w:val="21"/>
                <w14:textFill>
                  <w14:solidFill>
                    <w14:schemeClr w14:val="tx1"/>
                  </w14:solidFill>
                </w14:textFill>
              </w:rPr>
            </w:pPr>
          </w:p>
        </w:tc>
      </w:tr>
      <w:tr w14:paraId="64E1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925A75B">
            <w:pPr>
              <w:widowControl w:val="0"/>
              <w:jc w:val="center"/>
              <w:rPr>
                <w:szCs w:val="21"/>
              </w:rPr>
            </w:pPr>
            <w:r>
              <w:t>6#</w:t>
            </w:r>
          </w:p>
        </w:tc>
        <w:tc>
          <w:tcPr>
            <w:tcW w:w="0" w:type="auto"/>
            <w:shd w:val="clear" w:color="auto" w:fill="auto"/>
            <w:vAlign w:val="center"/>
          </w:tcPr>
          <w:p w14:paraId="64924EEF">
            <w:pPr>
              <w:widowControl w:val="0"/>
              <w:jc w:val="center"/>
              <w:rPr>
                <w:szCs w:val="21"/>
              </w:rPr>
            </w:pPr>
            <w:r>
              <w:rPr>
                <w:rFonts w:hint="eastAsia"/>
              </w:rPr>
              <w:t>黄泥巴梁</w:t>
            </w:r>
          </w:p>
        </w:tc>
        <w:tc>
          <w:tcPr>
            <w:tcW w:w="0" w:type="auto"/>
            <w:shd w:val="clear" w:color="auto" w:fill="auto"/>
            <w:vAlign w:val="center"/>
          </w:tcPr>
          <w:p w14:paraId="5BEB10D9">
            <w:pPr>
              <w:widowControl w:val="0"/>
              <w:jc w:val="center"/>
              <w:rPr>
                <w:szCs w:val="21"/>
              </w:rPr>
            </w:pPr>
            <w:r>
              <w:rPr>
                <w:rFonts w:hint="eastAsia"/>
              </w:rPr>
              <w:t>106.963964°</w:t>
            </w:r>
          </w:p>
        </w:tc>
        <w:tc>
          <w:tcPr>
            <w:tcW w:w="0" w:type="auto"/>
            <w:shd w:val="clear" w:color="auto" w:fill="auto"/>
            <w:vAlign w:val="center"/>
          </w:tcPr>
          <w:p w14:paraId="63F22F7E">
            <w:pPr>
              <w:widowControl w:val="0"/>
              <w:jc w:val="center"/>
              <w:rPr>
                <w:szCs w:val="21"/>
              </w:rPr>
            </w:pPr>
            <w:r>
              <w:rPr>
                <w:rFonts w:hint="eastAsia"/>
              </w:rPr>
              <w:t>31.875335°</w:t>
            </w:r>
          </w:p>
        </w:tc>
        <w:tc>
          <w:tcPr>
            <w:tcW w:w="0" w:type="auto"/>
            <w:shd w:val="clear" w:color="auto" w:fill="auto"/>
            <w:vAlign w:val="center"/>
          </w:tcPr>
          <w:p w14:paraId="5D14ECBB">
            <w:pPr>
              <w:widowControl w:val="0"/>
              <w:jc w:val="center"/>
              <w:rPr>
                <w:szCs w:val="21"/>
              </w:rPr>
            </w:pPr>
            <w:r>
              <w:rPr>
                <w:rFonts w:hint="eastAsia"/>
              </w:rPr>
              <w:t>约219人</w:t>
            </w:r>
          </w:p>
        </w:tc>
        <w:tc>
          <w:tcPr>
            <w:tcW w:w="0" w:type="auto"/>
            <w:vMerge w:val="continue"/>
            <w:vAlign w:val="center"/>
          </w:tcPr>
          <w:p w14:paraId="06CABAB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A69F731">
            <w:pPr>
              <w:widowControl w:val="0"/>
              <w:jc w:val="center"/>
              <w:rPr>
                <w:szCs w:val="21"/>
              </w:rPr>
            </w:pPr>
            <w:r>
              <w:t>NE</w:t>
            </w:r>
          </w:p>
        </w:tc>
        <w:tc>
          <w:tcPr>
            <w:tcW w:w="0" w:type="auto"/>
            <w:shd w:val="clear" w:color="auto" w:fill="auto"/>
            <w:vAlign w:val="center"/>
          </w:tcPr>
          <w:p w14:paraId="3E3CDE2E">
            <w:pPr>
              <w:widowControl w:val="0"/>
              <w:jc w:val="center"/>
              <w:rPr>
                <w:szCs w:val="21"/>
              </w:rPr>
            </w:pPr>
            <w:r>
              <w:t>2023</w:t>
            </w:r>
          </w:p>
        </w:tc>
        <w:tc>
          <w:tcPr>
            <w:tcW w:w="0" w:type="auto"/>
            <w:shd w:val="clear" w:color="auto" w:fill="auto"/>
            <w:vAlign w:val="center"/>
          </w:tcPr>
          <w:p w14:paraId="40245A36">
            <w:pPr>
              <w:widowControl w:val="0"/>
              <w:jc w:val="center"/>
              <w:rPr>
                <w:szCs w:val="21"/>
              </w:rPr>
            </w:pPr>
            <w:r>
              <w:t>-32</w:t>
            </w:r>
          </w:p>
        </w:tc>
        <w:tc>
          <w:tcPr>
            <w:tcW w:w="0" w:type="auto"/>
            <w:vMerge w:val="continue"/>
            <w:vAlign w:val="center"/>
          </w:tcPr>
          <w:p w14:paraId="4DA598BE">
            <w:pPr>
              <w:widowControl w:val="0"/>
              <w:jc w:val="center"/>
              <w:rPr>
                <w:rFonts w:ascii="宋体" w:hAnsi="宋体"/>
                <w:color w:val="000000" w:themeColor="text1"/>
                <w:szCs w:val="21"/>
                <w14:textFill>
                  <w14:solidFill>
                    <w14:schemeClr w14:val="tx1"/>
                  </w14:solidFill>
                </w14:textFill>
              </w:rPr>
            </w:pPr>
          </w:p>
        </w:tc>
      </w:tr>
      <w:tr w14:paraId="5C13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6FD7333">
            <w:pPr>
              <w:widowControl w:val="0"/>
              <w:jc w:val="center"/>
              <w:rPr>
                <w:szCs w:val="21"/>
              </w:rPr>
            </w:pPr>
            <w:r>
              <w:t>7#</w:t>
            </w:r>
          </w:p>
        </w:tc>
        <w:tc>
          <w:tcPr>
            <w:tcW w:w="0" w:type="auto"/>
            <w:shd w:val="clear" w:color="auto" w:fill="auto"/>
            <w:vAlign w:val="center"/>
          </w:tcPr>
          <w:p w14:paraId="24395B19">
            <w:pPr>
              <w:widowControl w:val="0"/>
              <w:jc w:val="center"/>
              <w:rPr>
                <w:szCs w:val="21"/>
              </w:rPr>
            </w:pPr>
            <w:r>
              <w:rPr>
                <w:rFonts w:hint="eastAsia"/>
              </w:rPr>
              <w:t>张家湾</w:t>
            </w:r>
          </w:p>
        </w:tc>
        <w:tc>
          <w:tcPr>
            <w:tcW w:w="0" w:type="auto"/>
            <w:shd w:val="clear" w:color="auto" w:fill="auto"/>
            <w:vAlign w:val="center"/>
          </w:tcPr>
          <w:p w14:paraId="47689351">
            <w:pPr>
              <w:widowControl w:val="0"/>
              <w:jc w:val="center"/>
              <w:rPr>
                <w:szCs w:val="21"/>
              </w:rPr>
            </w:pPr>
            <w:r>
              <w:rPr>
                <w:rFonts w:hint="eastAsia"/>
              </w:rPr>
              <w:t>106.956453</w:t>
            </w:r>
          </w:p>
        </w:tc>
        <w:tc>
          <w:tcPr>
            <w:tcW w:w="0" w:type="auto"/>
            <w:shd w:val="clear" w:color="auto" w:fill="auto"/>
            <w:vAlign w:val="center"/>
          </w:tcPr>
          <w:p w14:paraId="11E85DF9">
            <w:pPr>
              <w:widowControl w:val="0"/>
              <w:jc w:val="center"/>
              <w:rPr>
                <w:szCs w:val="21"/>
              </w:rPr>
            </w:pPr>
            <w:r>
              <w:rPr>
                <w:rFonts w:hint="eastAsia"/>
              </w:rPr>
              <w:t>31.878068</w:t>
            </w:r>
          </w:p>
        </w:tc>
        <w:tc>
          <w:tcPr>
            <w:tcW w:w="0" w:type="auto"/>
            <w:shd w:val="clear" w:color="auto" w:fill="auto"/>
            <w:vAlign w:val="center"/>
          </w:tcPr>
          <w:p w14:paraId="1A69E13E">
            <w:pPr>
              <w:widowControl w:val="0"/>
              <w:jc w:val="center"/>
              <w:rPr>
                <w:szCs w:val="21"/>
              </w:rPr>
            </w:pPr>
            <w:r>
              <w:rPr>
                <w:rFonts w:hint="eastAsia"/>
              </w:rPr>
              <w:t>约201人</w:t>
            </w:r>
          </w:p>
        </w:tc>
        <w:tc>
          <w:tcPr>
            <w:tcW w:w="0" w:type="auto"/>
            <w:vMerge w:val="continue"/>
            <w:vAlign w:val="center"/>
          </w:tcPr>
          <w:p w14:paraId="6AF2BB72">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D0DFFE4">
            <w:pPr>
              <w:widowControl w:val="0"/>
              <w:jc w:val="center"/>
              <w:rPr>
                <w:szCs w:val="21"/>
              </w:rPr>
            </w:pPr>
            <w:r>
              <w:t>N</w:t>
            </w:r>
          </w:p>
        </w:tc>
        <w:tc>
          <w:tcPr>
            <w:tcW w:w="0" w:type="auto"/>
            <w:shd w:val="clear" w:color="auto" w:fill="auto"/>
            <w:vAlign w:val="center"/>
          </w:tcPr>
          <w:p w14:paraId="1D1EDB38">
            <w:pPr>
              <w:widowControl w:val="0"/>
              <w:jc w:val="center"/>
              <w:rPr>
                <w:szCs w:val="21"/>
              </w:rPr>
            </w:pPr>
            <w:r>
              <w:t>1591</w:t>
            </w:r>
          </w:p>
        </w:tc>
        <w:tc>
          <w:tcPr>
            <w:tcW w:w="0" w:type="auto"/>
            <w:shd w:val="clear" w:color="auto" w:fill="auto"/>
            <w:vAlign w:val="center"/>
          </w:tcPr>
          <w:p w14:paraId="43CCC3E4">
            <w:pPr>
              <w:widowControl w:val="0"/>
              <w:jc w:val="center"/>
              <w:rPr>
                <w:szCs w:val="21"/>
              </w:rPr>
            </w:pPr>
            <w:r>
              <w:t>-27</w:t>
            </w:r>
          </w:p>
        </w:tc>
        <w:tc>
          <w:tcPr>
            <w:tcW w:w="0" w:type="auto"/>
            <w:vMerge w:val="continue"/>
            <w:vAlign w:val="center"/>
          </w:tcPr>
          <w:p w14:paraId="2183E5C9">
            <w:pPr>
              <w:widowControl w:val="0"/>
              <w:jc w:val="center"/>
              <w:rPr>
                <w:rFonts w:ascii="宋体" w:hAnsi="宋体"/>
                <w:color w:val="000000" w:themeColor="text1"/>
                <w:szCs w:val="21"/>
                <w14:textFill>
                  <w14:solidFill>
                    <w14:schemeClr w14:val="tx1"/>
                  </w14:solidFill>
                </w14:textFill>
              </w:rPr>
            </w:pPr>
          </w:p>
        </w:tc>
      </w:tr>
      <w:tr w14:paraId="4F74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8DE5A31">
            <w:pPr>
              <w:widowControl w:val="0"/>
              <w:jc w:val="center"/>
              <w:rPr>
                <w:szCs w:val="21"/>
              </w:rPr>
            </w:pPr>
            <w:r>
              <w:t>8#</w:t>
            </w:r>
          </w:p>
        </w:tc>
        <w:tc>
          <w:tcPr>
            <w:tcW w:w="0" w:type="auto"/>
            <w:shd w:val="clear" w:color="auto" w:fill="auto"/>
            <w:vAlign w:val="center"/>
          </w:tcPr>
          <w:p w14:paraId="3537062F">
            <w:pPr>
              <w:widowControl w:val="0"/>
              <w:jc w:val="center"/>
              <w:rPr>
                <w:szCs w:val="21"/>
              </w:rPr>
            </w:pPr>
            <w:r>
              <w:rPr>
                <w:rFonts w:hint="eastAsia"/>
              </w:rPr>
              <w:t>垭豁田湾</w:t>
            </w:r>
          </w:p>
        </w:tc>
        <w:tc>
          <w:tcPr>
            <w:tcW w:w="0" w:type="auto"/>
            <w:shd w:val="clear" w:color="auto" w:fill="auto"/>
            <w:vAlign w:val="center"/>
          </w:tcPr>
          <w:p w14:paraId="1AF500A2">
            <w:pPr>
              <w:widowControl w:val="0"/>
              <w:jc w:val="center"/>
              <w:rPr>
                <w:szCs w:val="21"/>
              </w:rPr>
            </w:pPr>
            <w:r>
              <w:rPr>
                <w:rFonts w:hint="eastAsia"/>
              </w:rPr>
              <w:t>106.955209</w:t>
            </w:r>
          </w:p>
        </w:tc>
        <w:tc>
          <w:tcPr>
            <w:tcW w:w="0" w:type="auto"/>
            <w:shd w:val="clear" w:color="auto" w:fill="auto"/>
            <w:vAlign w:val="center"/>
          </w:tcPr>
          <w:p w14:paraId="44260C3C">
            <w:pPr>
              <w:widowControl w:val="0"/>
              <w:jc w:val="center"/>
              <w:rPr>
                <w:szCs w:val="21"/>
              </w:rPr>
            </w:pPr>
            <w:r>
              <w:rPr>
                <w:rFonts w:hint="eastAsia"/>
              </w:rPr>
              <w:t>31.871563</w:t>
            </w:r>
          </w:p>
        </w:tc>
        <w:tc>
          <w:tcPr>
            <w:tcW w:w="0" w:type="auto"/>
            <w:shd w:val="clear" w:color="auto" w:fill="auto"/>
            <w:vAlign w:val="center"/>
          </w:tcPr>
          <w:p w14:paraId="02B03B48">
            <w:pPr>
              <w:widowControl w:val="0"/>
              <w:jc w:val="center"/>
              <w:rPr>
                <w:szCs w:val="21"/>
              </w:rPr>
            </w:pPr>
            <w:r>
              <w:rPr>
                <w:rFonts w:hint="eastAsia"/>
              </w:rPr>
              <w:t>约228人</w:t>
            </w:r>
          </w:p>
        </w:tc>
        <w:tc>
          <w:tcPr>
            <w:tcW w:w="0" w:type="auto"/>
            <w:vMerge w:val="continue"/>
            <w:vAlign w:val="center"/>
          </w:tcPr>
          <w:p w14:paraId="3DDEF8B2">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DF79FB5">
            <w:pPr>
              <w:widowControl w:val="0"/>
              <w:jc w:val="center"/>
              <w:rPr>
                <w:szCs w:val="21"/>
              </w:rPr>
            </w:pPr>
            <w:r>
              <w:t>N</w:t>
            </w:r>
          </w:p>
        </w:tc>
        <w:tc>
          <w:tcPr>
            <w:tcW w:w="0" w:type="auto"/>
            <w:shd w:val="clear" w:color="auto" w:fill="auto"/>
            <w:vAlign w:val="center"/>
          </w:tcPr>
          <w:p w14:paraId="0FB6A179">
            <w:pPr>
              <w:widowControl w:val="0"/>
              <w:jc w:val="center"/>
              <w:rPr>
                <w:szCs w:val="21"/>
              </w:rPr>
            </w:pPr>
            <w:r>
              <w:t>1330</w:t>
            </w:r>
          </w:p>
        </w:tc>
        <w:tc>
          <w:tcPr>
            <w:tcW w:w="0" w:type="auto"/>
            <w:shd w:val="clear" w:color="auto" w:fill="auto"/>
            <w:vAlign w:val="center"/>
          </w:tcPr>
          <w:p w14:paraId="6C5D53B4">
            <w:pPr>
              <w:widowControl w:val="0"/>
              <w:jc w:val="center"/>
              <w:rPr>
                <w:szCs w:val="21"/>
              </w:rPr>
            </w:pPr>
            <w:r>
              <w:t>-52</w:t>
            </w:r>
          </w:p>
        </w:tc>
        <w:tc>
          <w:tcPr>
            <w:tcW w:w="0" w:type="auto"/>
            <w:vMerge w:val="continue"/>
            <w:vAlign w:val="center"/>
          </w:tcPr>
          <w:p w14:paraId="53611BCC">
            <w:pPr>
              <w:widowControl w:val="0"/>
              <w:jc w:val="center"/>
              <w:rPr>
                <w:rFonts w:ascii="宋体" w:hAnsi="宋体"/>
                <w:color w:val="000000" w:themeColor="text1"/>
                <w:szCs w:val="21"/>
                <w14:textFill>
                  <w14:solidFill>
                    <w14:schemeClr w14:val="tx1"/>
                  </w14:solidFill>
                </w14:textFill>
              </w:rPr>
            </w:pPr>
          </w:p>
        </w:tc>
      </w:tr>
      <w:tr w14:paraId="0EF5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5CF2675">
            <w:pPr>
              <w:widowControl w:val="0"/>
              <w:jc w:val="center"/>
              <w:rPr>
                <w:szCs w:val="21"/>
              </w:rPr>
            </w:pPr>
            <w:r>
              <w:t>9#</w:t>
            </w:r>
          </w:p>
        </w:tc>
        <w:tc>
          <w:tcPr>
            <w:tcW w:w="0" w:type="auto"/>
            <w:shd w:val="clear" w:color="auto" w:fill="auto"/>
            <w:vAlign w:val="center"/>
          </w:tcPr>
          <w:p w14:paraId="67032D45">
            <w:pPr>
              <w:widowControl w:val="0"/>
              <w:jc w:val="center"/>
              <w:rPr>
                <w:szCs w:val="21"/>
              </w:rPr>
            </w:pPr>
            <w:r>
              <w:rPr>
                <w:rFonts w:hint="eastAsia"/>
              </w:rPr>
              <w:t>龙潭子</w:t>
            </w:r>
          </w:p>
        </w:tc>
        <w:tc>
          <w:tcPr>
            <w:tcW w:w="0" w:type="auto"/>
            <w:shd w:val="clear" w:color="auto" w:fill="auto"/>
            <w:vAlign w:val="center"/>
          </w:tcPr>
          <w:p w14:paraId="7FEC96F0">
            <w:pPr>
              <w:widowControl w:val="0"/>
              <w:jc w:val="center"/>
              <w:rPr>
                <w:szCs w:val="21"/>
              </w:rPr>
            </w:pPr>
            <w:r>
              <w:rPr>
                <w:rFonts w:hint="eastAsia"/>
              </w:rPr>
              <w:t>106.954120°</w:t>
            </w:r>
          </w:p>
        </w:tc>
        <w:tc>
          <w:tcPr>
            <w:tcW w:w="0" w:type="auto"/>
            <w:shd w:val="clear" w:color="auto" w:fill="auto"/>
            <w:vAlign w:val="center"/>
          </w:tcPr>
          <w:p w14:paraId="32678474">
            <w:pPr>
              <w:widowControl w:val="0"/>
              <w:jc w:val="center"/>
              <w:rPr>
                <w:szCs w:val="21"/>
              </w:rPr>
            </w:pPr>
            <w:r>
              <w:rPr>
                <w:rFonts w:hint="eastAsia"/>
              </w:rPr>
              <w:t>31.867312°</w:t>
            </w:r>
          </w:p>
        </w:tc>
        <w:tc>
          <w:tcPr>
            <w:tcW w:w="0" w:type="auto"/>
            <w:shd w:val="clear" w:color="auto" w:fill="auto"/>
            <w:vAlign w:val="center"/>
          </w:tcPr>
          <w:p w14:paraId="48511501">
            <w:pPr>
              <w:widowControl w:val="0"/>
              <w:jc w:val="center"/>
              <w:rPr>
                <w:szCs w:val="21"/>
              </w:rPr>
            </w:pPr>
            <w:r>
              <w:rPr>
                <w:rFonts w:hint="eastAsia"/>
              </w:rPr>
              <w:t>约66人</w:t>
            </w:r>
          </w:p>
        </w:tc>
        <w:tc>
          <w:tcPr>
            <w:tcW w:w="0" w:type="auto"/>
            <w:vMerge w:val="continue"/>
            <w:vAlign w:val="center"/>
          </w:tcPr>
          <w:p w14:paraId="699FB06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E3F9F50">
            <w:pPr>
              <w:widowControl w:val="0"/>
              <w:jc w:val="center"/>
              <w:rPr>
                <w:szCs w:val="21"/>
              </w:rPr>
            </w:pPr>
            <w:r>
              <w:t>N</w:t>
            </w:r>
          </w:p>
        </w:tc>
        <w:tc>
          <w:tcPr>
            <w:tcW w:w="0" w:type="auto"/>
            <w:shd w:val="clear" w:color="auto" w:fill="auto"/>
            <w:vAlign w:val="center"/>
          </w:tcPr>
          <w:p w14:paraId="59CF7A81">
            <w:pPr>
              <w:widowControl w:val="0"/>
              <w:jc w:val="center"/>
              <w:rPr>
                <w:szCs w:val="21"/>
              </w:rPr>
            </w:pPr>
            <w:r>
              <w:t>832</w:t>
            </w:r>
          </w:p>
        </w:tc>
        <w:tc>
          <w:tcPr>
            <w:tcW w:w="0" w:type="auto"/>
            <w:shd w:val="clear" w:color="auto" w:fill="auto"/>
            <w:vAlign w:val="center"/>
          </w:tcPr>
          <w:p w14:paraId="079B9AC8">
            <w:pPr>
              <w:widowControl w:val="0"/>
              <w:jc w:val="center"/>
              <w:rPr>
                <w:szCs w:val="21"/>
              </w:rPr>
            </w:pPr>
            <w:r>
              <w:t>-69</w:t>
            </w:r>
          </w:p>
        </w:tc>
        <w:tc>
          <w:tcPr>
            <w:tcW w:w="0" w:type="auto"/>
            <w:vMerge w:val="continue"/>
            <w:vAlign w:val="center"/>
          </w:tcPr>
          <w:p w14:paraId="778D9E0E">
            <w:pPr>
              <w:widowControl w:val="0"/>
              <w:jc w:val="center"/>
              <w:rPr>
                <w:rFonts w:ascii="宋体" w:hAnsi="宋体"/>
                <w:color w:val="000000" w:themeColor="text1"/>
                <w:szCs w:val="21"/>
                <w14:textFill>
                  <w14:solidFill>
                    <w14:schemeClr w14:val="tx1"/>
                  </w14:solidFill>
                </w14:textFill>
              </w:rPr>
            </w:pPr>
          </w:p>
        </w:tc>
      </w:tr>
      <w:tr w14:paraId="58E5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3F13C4F">
            <w:pPr>
              <w:widowControl w:val="0"/>
              <w:jc w:val="center"/>
              <w:rPr>
                <w:szCs w:val="21"/>
              </w:rPr>
            </w:pPr>
            <w:r>
              <w:t>10#</w:t>
            </w:r>
          </w:p>
        </w:tc>
        <w:tc>
          <w:tcPr>
            <w:tcW w:w="0" w:type="auto"/>
            <w:shd w:val="clear" w:color="auto" w:fill="auto"/>
            <w:vAlign w:val="center"/>
          </w:tcPr>
          <w:p w14:paraId="68A39304">
            <w:pPr>
              <w:widowControl w:val="0"/>
              <w:jc w:val="center"/>
              <w:rPr>
                <w:szCs w:val="21"/>
              </w:rPr>
            </w:pPr>
            <w:r>
              <w:rPr>
                <w:rFonts w:hint="eastAsia"/>
              </w:rPr>
              <w:t>李家湾2</w:t>
            </w:r>
          </w:p>
        </w:tc>
        <w:tc>
          <w:tcPr>
            <w:tcW w:w="0" w:type="auto"/>
            <w:shd w:val="clear" w:color="auto" w:fill="auto"/>
            <w:vAlign w:val="center"/>
          </w:tcPr>
          <w:p w14:paraId="664BE501">
            <w:pPr>
              <w:widowControl w:val="0"/>
              <w:jc w:val="center"/>
              <w:rPr>
                <w:szCs w:val="21"/>
              </w:rPr>
            </w:pPr>
            <w:r>
              <w:rPr>
                <w:rFonts w:hint="eastAsia"/>
              </w:rPr>
              <w:t>106.948919°</w:t>
            </w:r>
          </w:p>
        </w:tc>
        <w:tc>
          <w:tcPr>
            <w:tcW w:w="0" w:type="auto"/>
            <w:shd w:val="clear" w:color="auto" w:fill="auto"/>
            <w:vAlign w:val="center"/>
          </w:tcPr>
          <w:p w14:paraId="089D4E6E">
            <w:pPr>
              <w:widowControl w:val="0"/>
              <w:jc w:val="center"/>
              <w:rPr>
                <w:szCs w:val="21"/>
              </w:rPr>
            </w:pPr>
            <w:r>
              <w:rPr>
                <w:rFonts w:hint="eastAsia"/>
              </w:rPr>
              <w:t>31.877027°</w:t>
            </w:r>
          </w:p>
        </w:tc>
        <w:tc>
          <w:tcPr>
            <w:tcW w:w="0" w:type="auto"/>
            <w:shd w:val="clear" w:color="auto" w:fill="auto"/>
            <w:vAlign w:val="center"/>
          </w:tcPr>
          <w:p w14:paraId="15D67721">
            <w:pPr>
              <w:widowControl w:val="0"/>
              <w:jc w:val="center"/>
              <w:rPr>
                <w:szCs w:val="21"/>
              </w:rPr>
            </w:pPr>
            <w:r>
              <w:rPr>
                <w:rFonts w:hint="eastAsia"/>
              </w:rPr>
              <w:t>约42人</w:t>
            </w:r>
          </w:p>
        </w:tc>
        <w:tc>
          <w:tcPr>
            <w:tcW w:w="0" w:type="auto"/>
            <w:vMerge w:val="continue"/>
            <w:vAlign w:val="center"/>
          </w:tcPr>
          <w:p w14:paraId="5FA4E40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3CE00B2">
            <w:pPr>
              <w:widowControl w:val="0"/>
              <w:jc w:val="center"/>
              <w:rPr>
                <w:szCs w:val="21"/>
              </w:rPr>
            </w:pPr>
            <w:r>
              <w:t>N</w:t>
            </w:r>
          </w:p>
        </w:tc>
        <w:tc>
          <w:tcPr>
            <w:tcW w:w="0" w:type="auto"/>
            <w:shd w:val="clear" w:color="auto" w:fill="auto"/>
            <w:vAlign w:val="center"/>
          </w:tcPr>
          <w:p w14:paraId="20FD8010">
            <w:pPr>
              <w:widowControl w:val="0"/>
              <w:jc w:val="center"/>
              <w:rPr>
                <w:szCs w:val="21"/>
              </w:rPr>
            </w:pPr>
            <w:r>
              <w:t>1840</w:t>
            </w:r>
          </w:p>
        </w:tc>
        <w:tc>
          <w:tcPr>
            <w:tcW w:w="0" w:type="auto"/>
            <w:shd w:val="clear" w:color="auto" w:fill="auto"/>
            <w:vAlign w:val="center"/>
          </w:tcPr>
          <w:p w14:paraId="38269FA8">
            <w:pPr>
              <w:widowControl w:val="0"/>
              <w:jc w:val="center"/>
              <w:rPr>
                <w:szCs w:val="21"/>
              </w:rPr>
            </w:pPr>
            <w:r>
              <w:t>-51</w:t>
            </w:r>
          </w:p>
        </w:tc>
        <w:tc>
          <w:tcPr>
            <w:tcW w:w="0" w:type="auto"/>
            <w:vMerge w:val="continue"/>
            <w:vAlign w:val="center"/>
          </w:tcPr>
          <w:p w14:paraId="3CC7D290">
            <w:pPr>
              <w:widowControl w:val="0"/>
              <w:jc w:val="center"/>
              <w:rPr>
                <w:rFonts w:ascii="宋体" w:hAnsi="宋体"/>
                <w:color w:val="000000" w:themeColor="text1"/>
                <w:szCs w:val="21"/>
                <w14:textFill>
                  <w14:solidFill>
                    <w14:schemeClr w14:val="tx1"/>
                  </w14:solidFill>
                </w14:textFill>
              </w:rPr>
            </w:pPr>
          </w:p>
        </w:tc>
      </w:tr>
      <w:tr w14:paraId="13EEE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55CF2D4">
            <w:pPr>
              <w:widowControl w:val="0"/>
              <w:jc w:val="center"/>
              <w:rPr>
                <w:szCs w:val="21"/>
              </w:rPr>
            </w:pPr>
            <w:r>
              <w:t>11#</w:t>
            </w:r>
          </w:p>
        </w:tc>
        <w:tc>
          <w:tcPr>
            <w:tcW w:w="0" w:type="auto"/>
            <w:shd w:val="clear" w:color="auto" w:fill="auto"/>
            <w:vAlign w:val="center"/>
          </w:tcPr>
          <w:p w14:paraId="29DC596B">
            <w:pPr>
              <w:widowControl w:val="0"/>
              <w:jc w:val="center"/>
              <w:rPr>
                <w:szCs w:val="21"/>
              </w:rPr>
            </w:pPr>
            <w:r>
              <w:rPr>
                <w:rFonts w:hint="eastAsia"/>
              </w:rPr>
              <w:t>朱家湾</w:t>
            </w:r>
          </w:p>
        </w:tc>
        <w:tc>
          <w:tcPr>
            <w:tcW w:w="0" w:type="auto"/>
            <w:shd w:val="clear" w:color="auto" w:fill="auto"/>
            <w:vAlign w:val="center"/>
          </w:tcPr>
          <w:p w14:paraId="055F2120">
            <w:pPr>
              <w:widowControl w:val="0"/>
              <w:jc w:val="center"/>
              <w:rPr>
                <w:szCs w:val="21"/>
              </w:rPr>
            </w:pPr>
            <w:r>
              <w:rPr>
                <w:rFonts w:hint="eastAsia"/>
              </w:rPr>
              <w:t>106.948321°</w:t>
            </w:r>
          </w:p>
        </w:tc>
        <w:tc>
          <w:tcPr>
            <w:tcW w:w="0" w:type="auto"/>
            <w:shd w:val="clear" w:color="auto" w:fill="auto"/>
            <w:vAlign w:val="center"/>
          </w:tcPr>
          <w:p w14:paraId="2D8669C8">
            <w:pPr>
              <w:widowControl w:val="0"/>
              <w:jc w:val="center"/>
              <w:rPr>
                <w:szCs w:val="21"/>
              </w:rPr>
            </w:pPr>
            <w:r>
              <w:rPr>
                <w:rFonts w:hint="eastAsia"/>
              </w:rPr>
              <w:t>31.871727°</w:t>
            </w:r>
          </w:p>
        </w:tc>
        <w:tc>
          <w:tcPr>
            <w:tcW w:w="0" w:type="auto"/>
            <w:shd w:val="clear" w:color="auto" w:fill="auto"/>
            <w:vAlign w:val="center"/>
          </w:tcPr>
          <w:p w14:paraId="1894F2BD">
            <w:pPr>
              <w:widowControl w:val="0"/>
              <w:jc w:val="center"/>
              <w:rPr>
                <w:szCs w:val="21"/>
              </w:rPr>
            </w:pPr>
            <w:r>
              <w:rPr>
                <w:rFonts w:hint="eastAsia"/>
              </w:rPr>
              <w:t>约147人</w:t>
            </w:r>
          </w:p>
        </w:tc>
        <w:tc>
          <w:tcPr>
            <w:tcW w:w="0" w:type="auto"/>
            <w:vMerge w:val="continue"/>
            <w:vAlign w:val="center"/>
          </w:tcPr>
          <w:p w14:paraId="25310D0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5CD5E88">
            <w:pPr>
              <w:widowControl w:val="0"/>
              <w:jc w:val="center"/>
              <w:rPr>
                <w:szCs w:val="21"/>
              </w:rPr>
            </w:pPr>
            <w:r>
              <w:t>N</w:t>
            </w:r>
          </w:p>
        </w:tc>
        <w:tc>
          <w:tcPr>
            <w:tcW w:w="0" w:type="auto"/>
            <w:shd w:val="clear" w:color="auto" w:fill="auto"/>
            <w:vAlign w:val="center"/>
          </w:tcPr>
          <w:p w14:paraId="12B06435">
            <w:pPr>
              <w:widowControl w:val="0"/>
              <w:jc w:val="center"/>
              <w:rPr>
                <w:szCs w:val="21"/>
              </w:rPr>
            </w:pPr>
            <w:r>
              <w:t>1265</w:t>
            </w:r>
          </w:p>
        </w:tc>
        <w:tc>
          <w:tcPr>
            <w:tcW w:w="0" w:type="auto"/>
            <w:shd w:val="clear" w:color="auto" w:fill="auto"/>
            <w:vAlign w:val="center"/>
          </w:tcPr>
          <w:p w14:paraId="14010A7E">
            <w:pPr>
              <w:widowControl w:val="0"/>
              <w:jc w:val="center"/>
              <w:rPr>
                <w:szCs w:val="21"/>
              </w:rPr>
            </w:pPr>
            <w:r>
              <w:t>-65</w:t>
            </w:r>
          </w:p>
        </w:tc>
        <w:tc>
          <w:tcPr>
            <w:tcW w:w="0" w:type="auto"/>
            <w:vMerge w:val="continue"/>
            <w:vAlign w:val="center"/>
          </w:tcPr>
          <w:p w14:paraId="06FC30F6">
            <w:pPr>
              <w:widowControl w:val="0"/>
              <w:jc w:val="center"/>
              <w:rPr>
                <w:rFonts w:ascii="宋体" w:hAnsi="宋体"/>
                <w:color w:val="000000" w:themeColor="text1"/>
                <w:szCs w:val="21"/>
                <w14:textFill>
                  <w14:solidFill>
                    <w14:schemeClr w14:val="tx1"/>
                  </w14:solidFill>
                </w14:textFill>
              </w:rPr>
            </w:pPr>
          </w:p>
        </w:tc>
      </w:tr>
      <w:tr w14:paraId="627E6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20FB110">
            <w:pPr>
              <w:widowControl w:val="0"/>
              <w:jc w:val="center"/>
              <w:rPr>
                <w:szCs w:val="21"/>
              </w:rPr>
            </w:pPr>
            <w:r>
              <w:t>12#</w:t>
            </w:r>
          </w:p>
        </w:tc>
        <w:tc>
          <w:tcPr>
            <w:tcW w:w="0" w:type="auto"/>
            <w:shd w:val="clear" w:color="auto" w:fill="auto"/>
            <w:vAlign w:val="center"/>
          </w:tcPr>
          <w:p w14:paraId="1F088B74">
            <w:pPr>
              <w:widowControl w:val="0"/>
              <w:jc w:val="center"/>
              <w:rPr>
                <w:szCs w:val="21"/>
              </w:rPr>
            </w:pPr>
            <w:r>
              <w:rPr>
                <w:rFonts w:hint="eastAsia"/>
              </w:rPr>
              <w:t>蜡红山1</w:t>
            </w:r>
          </w:p>
        </w:tc>
        <w:tc>
          <w:tcPr>
            <w:tcW w:w="0" w:type="auto"/>
            <w:shd w:val="clear" w:color="auto" w:fill="auto"/>
            <w:vAlign w:val="center"/>
          </w:tcPr>
          <w:p w14:paraId="25DAB669">
            <w:pPr>
              <w:widowControl w:val="0"/>
              <w:jc w:val="center"/>
              <w:rPr>
                <w:szCs w:val="21"/>
              </w:rPr>
            </w:pPr>
            <w:r>
              <w:rPr>
                <w:rFonts w:hint="eastAsia"/>
              </w:rPr>
              <w:t>106.952229°</w:t>
            </w:r>
          </w:p>
        </w:tc>
        <w:tc>
          <w:tcPr>
            <w:tcW w:w="0" w:type="auto"/>
            <w:shd w:val="clear" w:color="auto" w:fill="auto"/>
            <w:vAlign w:val="center"/>
          </w:tcPr>
          <w:p w14:paraId="5294A8BE">
            <w:pPr>
              <w:widowControl w:val="0"/>
              <w:jc w:val="center"/>
              <w:rPr>
                <w:szCs w:val="21"/>
              </w:rPr>
            </w:pPr>
            <w:r>
              <w:rPr>
                <w:rFonts w:hint="eastAsia"/>
              </w:rPr>
              <w:t>31.860743°</w:t>
            </w:r>
          </w:p>
        </w:tc>
        <w:tc>
          <w:tcPr>
            <w:tcW w:w="0" w:type="auto"/>
            <w:shd w:val="clear" w:color="auto" w:fill="auto"/>
            <w:vAlign w:val="center"/>
          </w:tcPr>
          <w:p w14:paraId="2C1A6F9E">
            <w:pPr>
              <w:widowControl w:val="0"/>
              <w:jc w:val="center"/>
              <w:rPr>
                <w:szCs w:val="21"/>
              </w:rPr>
            </w:pPr>
            <w:r>
              <w:rPr>
                <w:rFonts w:hint="eastAsia"/>
              </w:rPr>
              <w:t>约12人</w:t>
            </w:r>
          </w:p>
        </w:tc>
        <w:tc>
          <w:tcPr>
            <w:tcW w:w="0" w:type="auto"/>
            <w:vMerge w:val="continue"/>
            <w:vAlign w:val="center"/>
          </w:tcPr>
          <w:p w14:paraId="0D38DE2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9AEA11B">
            <w:pPr>
              <w:widowControl w:val="0"/>
              <w:jc w:val="center"/>
              <w:rPr>
                <w:szCs w:val="21"/>
              </w:rPr>
            </w:pPr>
            <w:r>
              <w:t>N</w:t>
            </w:r>
          </w:p>
        </w:tc>
        <w:tc>
          <w:tcPr>
            <w:tcW w:w="0" w:type="auto"/>
            <w:shd w:val="clear" w:color="auto" w:fill="auto"/>
            <w:vAlign w:val="center"/>
          </w:tcPr>
          <w:p w14:paraId="1B677216">
            <w:pPr>
              <w:widowControl w:val="0"/>
              <w:jc w:val="center"/>
              <w:rPr>
                <w:szCs w:val="21"/>
              </w:rPr>
            </w:pPr>
            <w:r>
              <w:t>82</w:t>
            </w:r>
          </w:p>
        </w:tc>
        <w:tc>
          <w:tcPr>
            <w:tcW w:w="0" w:type="auto"/>
            <w:shd w:val="clear" w:color="auto" w:fill="auto"/>
            <w:vAlign w:val="center"/>
          </w:tcPr>
          <w:p w14:paraId="6A907155">
            <w:pPr>
              <w:widowControl w:val="0"/>
              <w:jc w:val="center"/>
              <w:rPr>
                <w:szCs w:val="21"/>
              </w:rPr>
            </w:pPr>
            <w:r>
              <w:t>25</w:t>
            </w:r>
          </w:p>
        </w:tc>
        <w:tc>
          <w:tcPr>
            <w:tcW w:w="0" w:type="auto"/>
            <w:vMerge w:val="continue"/>
            <w:vAlign w:val="center"/>
          </w:tcPr>
          <w:p w14:paraId="4258C4B0">
            <w:pPr>
              <w:widowControl w:val="0"/>
              <w:jc w:val="center"/>
              <w:rPr>
                <w:rFonts w:ascii="宋体" w:hAnsi="宋体"/>
                <w:color w:val="000000" w:themeColor="text1"/>
                <w:szCs w:val="21"/>
                <w14:textFill>
                  <w14:solidFill>
                    <w14:schemeClr w14:val="tx1"/>
                  </w14:solidFill>
                </w14:textFill>
              </w:rPr>
            </w:pPr>
          </w:p>
        </w:tc>
      </w:tr>
      <w:tr w14:paraId="28F9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CAC7A19">
            <w:pPr>
              <w:widowControl w:val="0"/>
              <w:jc w:val="center"/>
              <w:rPr>
                <w:szCs w:val="21"/>
              </w:rPr>
            </w:pPr>
            <w:r>
              <w:t>13#</w:t>
            </w:r>
          </w:p>
        </w:tc>
        <w:tc>
          <w:tcPr>
            <w:tcW w:w="0" w:type="auto"/>
            <w:shd w:val="clear" w:color="auto" w:fill="auto"/>
            <w:vAlign w:val="center"/>
          </w:tcPr>
          <w:p w14:paraId="6FD4CFA5">
            <w:pPr>
              <w:widowControl w:val="0"/>
              <w:jc w:val="center"/>
              <w:rPr>
                <w:szCs w:val="21"/>
              </w:rPr>
            </w:pPr>
            <w:r>
              <w:rPr>
                <w:rFonts w:hint="eastAsia"/>
              </w:rPr>
              <w:t>狼石湾-李家湾</w:t>
            </w:r>
          </w:p>
        </w:tc>
        <w:tc>
          <w:tcPr>
            <w:tcW w:w="0" w:type="auto"/>
            <w:shd w:val="clear" w:color="auto" w:fill="auto"/>
            <w:vAlign w:val="center"/>
          </w:tcPr>
          <w:p w14:paraId="522EE07B">
            <w:pPr>
              <w:widowControl w:val="0"/>
              <w:jc w:val="center"/>
              <w:rPr>
                <w:szCs w:val="21"/>
              </w:rPr>
            </w:pPr>
            <w:r>
              <w:rPr>
                <w:rFonts w:hint="eastAsia"/>
              </w:rPr>
              <w:t>106.944265°</w:t>
            </w:r>
          </w:p>
        </w:tc>
        <w:tc>
          <w:tcPr>
            <w:tcW w:w="0" w:type="auto"/>
            <w:shd w:val="clear" w:color="auto" w:fill="auto"/>
            <w:vAlign w:val="center"/>
          </w:tcPr>
          <w:p w14:paraId="6B66AC1E">
            <w:pPr>
              <w:widowControl w:val="0"/>
              <w:jc w:val="center"/>
              <w:rPr>
                <w:szCs w:val="21"/>
              </w:rPr>
            </w:pPr>
            <w:r>
              <w:rPr>
                <w:rFonts w:hint="eastAsia"/>
              </w:rPr>
              <w:t>31.868847°</w:t>
            </w:r>
          </w:p>
        </w:tc>
        <w:tc>
          <w:tcPr>
            <w:tcW w:w="0" w:type="auto"/>
            <w:shd w:val="clear" w:color="auto" w:fill="auto"/>
            <w:vAlign w:val="center"/>
          </w:tcPr>
          <w:p w14:paraId="5CE5E824">
            <w:pPr>
              <w:widowControl w:val="0"/>
              <w:jc w:val="center"/>
              <w:rPr>
                <w:szCs w:val="21"/>
              </w:rPr>
            </w:pPr>
            <w:r>
              <w:rPr>
                <w:rFonts w:hint="eastAsia"/>
              </w:rPr>
              <w:t>约231人</w:t>
            </w:r>
          </w:p>
        </w:tc>
        <w:tc>
          <w:tcPr>
            <w:tcW w:w="0" w:type="auto"/>
            <w:vMerge w:val="continue"/>
            <w:vAlign w:val="center"/>
          </w:tcPr>
          <w:p w14:paraId="7B07A6F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F9DFFB0">
            <w:pPr>
              <w:widowControl w:val="0"/>
              <w:jc w:val="center"/>
              <w:rPr>
                <w:szCs w:val="21"/>
              </w:rPr>
            </w:pPr>
            <w:r>
              <w:t>NW</w:t>
            </w:r>
          </w:p>
        </w:tc>
        <w:tc>
          <w:tcPr>
            <w:tcW w:w="0" w:type="auto"/>
            <w:shd w:val="clear" w:color="auto" w:fill="auto"/>
            <w:vAlign w:val="center"/>
          </w:tcPr>
          <w:p w14:paraId="1B6703BE">
            <w:pPr>
              <w:widowControl w:val="0"/>
              <w:jc w:val="center"/>
              <w:rPr>
                <w:szCs w:val="21"/>
              </w:rPr>
            </w:pPr>
            <w:r>
              <w:t>1092</w:t>
            </w:r>
          </w:p>
        </w:tc>
        <w:tc>
          <w:tcPr>
            <w:tcW w:w="0" w:type="auto"/>
            <w:shd w:val="clear" w:color="auto" w:fill="auto"/>
            <w:vAlign w:val="center"/>
          </w:tcPr>
          <w:p w14:paraId="5A074CCA">
            <w:pPr>
              <w:widowControl w:val="0"/>
              <w:jc w:val="center"/>
              <w:rPr>
                <w:szCs w:val="21"/>
              </w:rPr>
            </w:pPr>
            <w:r>
              <w:t>-60</w:t>
            </w:r>
          </w:p>
        </w:tc>
        <w:tc>
          <w:tcPr>
            <w:tcW w:w="0" w:type="auto"/>
            <w:vMerge w:val="continue"/>
            <w:vAlign w:val="center"/>
          </w:tcPr>
          <w:p w14:paraId="6519C722">
            <w:pPr>
              <w:widowControl w:val="0"/>
              <w:jc w:val="center"/>
              <w:rPr>
                <w:rFonts w:ascii="宋体" w:hAnsi="宋体"/>
                <w:color w:val="000000" w:themeColor="text1"/>
                <w:szCs w:val="21"/>
                <w14:textFill>
                  <w14:solidFill>
                    <w14:schemeClr w14:val="tx1"/>
                  </w14:solidFill>
                </w14:textFill>
              </w:rPr>
            </w:pPr>
          </w:p>
        </w:tc>
      </w:tr>
      <w:tr w14:paraId="219A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9F1C5D5">
            <w:pPr>
              <w:widowControl w:val="0"/>
              <w:jc w:val="center"/>
              <w:rPr>
                <w:szCs w:val="21"/>
              </w:rPr>
            </w:pPr>
            <w:r>
              <w:t>14#</w:t>
            </w:r>
          </w:p>
        </w:tc>
        <w:tc>
          <w:tcPr>
            <w:tcW w:w="0" w:type="auto"/>
            <w:shd w:val="clear" w:color="auto" w:fill="auto"/>
            <w:vAlign w:val="center"/>
          </w:tcPr>
          <w:p w14:paraId="3B3F541F">
            <w:pPr>
              <w:widowControl w:val="0"/>
              <w:jc w:val="center"/>
              <w:rPr>
                <w:szCs w:val="21"/>
              </w:rPr>
            </w:pPr>
            <w:r>
              <w:rPr>
                <w:rFonts w:hint="eastAsia"/>
              </w:rPr>
              <w:t>冯家湾-上朱家湾</w:t>
            </w:r>
          </w:p>
        </w:tc>
        <w:tc>
          <w:tcPr>
            <w:tcW w:w="0" w:type="auto"/>
            <w:shd w:val="clear" w:color="auto" w:fill="auto"/>
            <w:vAlign w:val="center"/>
          </w:tcPr>
          <w:p w14:paraId="078AF7A4">
            <w:pPr>
              <w:widowControl w:val="0"/>
              <w:jc w:val="center"/>
              <w:rPr>
                <w:szCs w:val="21"/>
              </w:rPr>
            </w:pPr>
            <w:r>
              <w:rPr>
                <w:rFonts w:hint="eastAsia"/>
              </w:rPr>
              <w:t>106.942806°</w:t>
            </w:r>
          </w:p>
        </w:tc>
        <w:tc>
          <w:tcPr>
            <w:tcW w:w="0" w:type="auto"/>
            <w:shd w:val="clear" w:color="auto" w:fill="auto"/>
            <w:vAlign w:val="center"/>
          </w:tcPr>
          <w:p w14:paraId="794B01E7">
            <w:pPr>
              <w:widowControl w:val="0"/>
              <w:jc w:val="center"/>
              <w:rPr>
                <w:szCs w:val="21"/>
              </w:rPr>
            </w:pPr>
            <w:r>
              <w:rPr>
                <w:rFonts w:hint="eastAsia"/>
              </w:rPr>
              <w:t>31.875881°</w:t>
            </w:r>
          </w:p>
        </w:tc>
        <w:tc>
          <w:tcPr>
            <w:tcW w:w="0" w:type="auto"/>
            <w:shd w:val="clear" w:color="auto" w:fill="auto"/>
            <w:vAlign w:val="center"/>
          </w:tcPr>
          <w:p w14:paraId="4D94E504">
            <w:pPr>
              <w:widowControl w:val="0"/>
              <w:jc w:val="center"/>
              <w:rPr>
                <w:szCs w:val="21"/>
              </w:rPr>
            </w:pPr>
            <w:r>
              <w:rPr>
                <w:rFonts w:hint="eastAsia"/>
              </w:rPr>
              <w:t>约771人</w:t>
            </w:r>
          </w:p>
        </w:tc>
        <w:tc>
          <w:tcPr>
            <w:tcW w:w="0" w:type="auto"/>
            <w:vMerge w:val="continue"/>
            <w:vAlign w:val="center"/>
          </w:tcPr>
          <w:p w14:paraId="6422AC1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1309578">
            <w:pPr>
              <w:widowControl w:val="0"/>
              <w:jc w:val="center"/>
              <w:rPr>
                <w:szCs w:val="21"/>
              </w:rPr>
            </w:pPr>
            <w:r>
              <w:t>NW</w:t>
            </w:r>
          </w:p>
        </w:tc>
        <w:tc>
          <w:tcPr>
            <w:tcW w:w="0" w:type="auto"/>
            <w:shd w:val="clear" w:color="auto" w:fill="auto"/>
            <w:vAlign w:val="center"/>
          </w:tcPr>
          <w:p w14:paraId="5FE2EF63">
            <w:pPr>
              <w:widowControl w:val="0"/>
              <w:jc w:val="center"/>
              <w:rPr>
                <w:szCs w:val="21"/>
              </w:rPr>
            </w:pPr>
            <w:r>
              <w:t>1847</w:t>
            </w:r>
          </w:p>
        </w:tc>
        <w:tc>
          <w:tcPr>
            <w:tcW w:w="0" w:type="auto"/>
            <w:shd w:val="clear" w:color="auto" w:fill="auto"/>
            <w:vAlign w:val="center"/>
          </w:tcPr>
          <w:p w14:paraId="20069E28">
            <w:pPr>
              <w:widowControl w:val="0"/>
              <w:jc w:val="center"/>
              <w:rPr>
                <w:szCs w:val="21"/>
              </w:rPr>
            </w:pPr>
            <w:r>
              <w:t>-57</w:t>
            </w:r>
          </w:p>
        </w:tc>
        <w:tc>
          <w:tcPr>
            <w:tcW w:w="0" w:type="auto"/>
            <w:vMerge w:val="continue"/>
            <w:vAlign w:val="center"/>
          </w:tcPr>
          <w:p w14:paraId="38EE1B4E">
            <w:pPr>
              <w:widowControl w:val="0"/>
              <w:jc w:val="center"/>
              <w:rPr>
                <w:rFonts w:ascii="宋体" w:hAnsi="宋体"/>
                <w:color w:val="000000" w:themeColor="text1"/>
                <w:szCs w:val="21"/>
                <w14:textFill>
                  <w14:solidFill>
                    <w14:schemeClr w14:val="tx1"/>
                  </w14:solidFill>
                </w14:textFill>
              </w:rPr>
            </w:pPr>
          </w:p>
        </w:tc>
      </w:tr>
      <w:tr w14:paraId="62D8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81C3BF9">
            <w:pPr>
              <w:widowControl w:val="0"/>
              <w:jc w:val="center"/>
              <w:rPr>
                <w:szCs w:val="21"/>
              </w:rPr>
            </w:pPr>
            <w:r>
              <w:t>15#</w:t>
            </w:r>
          </w:p>
        </w:tc>
        <w:tc>
          <w:tcPr>
            <w:tcW w:w="0" w:type="auto"/>
            <w:shd w:val="clear" w:color="auto" w:fill="auto"/>
            <w:vAlign w:val="center"/>
          </w:tcPr>
          <w:p w14:paraId="7E35A488">
            <w:pPr>
              <w:widowControl w:val="0"/>
              <w:jc w:val="center"/>
              <w:rPr>
                <w:szCs w:val="21"/>
              </w:rPr>
            </w:pPr>
            <w:r>
              <w:rPr>
                <w:rFonts w:hint="eastAsia"/>
              </w:rPr>
              <w:t>周家坝</w:t>
            </w:r>
          </w:p>
        </w:tc>
        <w:tc>
          <w:tcPr>
            <w:tcW w:w="0" w:type="auto"/>
            <w:shd w:val="clear" w:color="auto" w:fill="auto"/>
            <w:vAlign w:val="center"/>
          </w:tcPr>
          <w:p w14:paraId="6AF5F6E1">
            <w:pPr>
              <w:widowControl w:val="0"/>
              <w:jc w:val="center"/>
              <w:rPr>
                <w:szCs w:val="21"/>
              </w:rPr>
            </w:pPr>
            <w:r>
              <w:rPr>
                <w:rFonts w:hint="eastAsia"/>
              </w:rPr>
              <w:t>106.933022°</w:t>
            </w:r>
          </w:p>
        </w:tc>
        <w:tc>
          <w:tcPr>
            <w:tcW w:w="0" w:type="auto"/>
            <w:shd w:val="clear" w:color="auto" w:fill="auto"/>
            <w:vAlign w:val="center"/>
          </w:tcPr>
          <w:p w14:paraId="790D1124">
            <w:pPr>
              <w:widowControl w:val="0"/>
              <w:jc w:val="center"/>
              <w:rPr>
                <w:szCs w:val="21"/>
              </w:rPr>
            </w:pPr>
            <w:r>
              <w:rPr>
                <w:rFonts w:hint="eastAsia"/>
              </w:rPr>
              <w:t>31.878797°</w:t>
            </w:r>
          </w:p>
        </w:tc>
        <w:tc>
          <w:tcPr>
            <w:tcW w:w="0" w:type="auto"/>
            <w:shd w:val="clear" w:color="auto" w:fill="auto"/>
            <w:vAlign w:val="center"/>
          </w:tcPr>
          <w:p w14:paraId="05579894">
            <w:pPr>
              <w:widowControl w:val="0"/>
              <w:jc w:val="center"/>
              <w:rPr>
                <w:szCs w:val="21"/>
              </w:rPr>
            </w:pPr>
            <w:r>
              <w:rPr>
                <w:rFonts w:hint="eastAsia"/>
              </w:rPr>
              <w:t>约186人</w:t>
            </w:r>
          </w:p>
        </w:tc>
        <w:tc>
          <w:tcPr>
            <w:tcW w:w="0" w:type="auto"/>
            <w:vMerge w:val="continue"/>
            <w:vAlign w:val="center"/>
          </w:tcPr>
          <w:p w14:paraId="0C851B0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96B2E17">
            <w:pPr>
              <w:widowControl w:val="0"/>
              <w:jc w:val="center"/>
              <w:rPr>
                <w:szCs w:val="21"/>
              </w:rPr>
            </w:pPr>
            <w:r>
              <w:t>NW</w:t>
            </w:r>
          </w:p>
        </w:tc>
        <w:tc>
          <w:tcPr>
            <w:tcW w:w="0" w:type="auto"/>
            <w:shd w:val="clear" w:color="auto" w:fill="auto"/>
            <w:vAlign w:val="center"/>
          </w:tcPr>
          <w:p w14:paraId="4FD411EE">
            <w:pPr>
              <w:widowControl w:val="0"/>
              <w:jc w:val="center"/>
              <w:rPr>
                <w:szCs w:val="21"/>
              </w:rPr>
            </w:pPr>
            <w:r>
              <w:t>2596</w:t>
            </w:r>
          </w:p>
        </w:tc>
        <w:tc>
          <w:tcPr>
            <w:tcW w:w="0" w:type="auto"/>
            <w:shd w:val="clear" w:color="auto" w:fill="auto"/>
            <w:vAlign w:val="center"/>
          </w:tcPr>
          <w:p w14:paraId="15C0AEAE">
            <w:pPr>
              <w:widowControl w:val="0"/>
              <w:jc w:val="center"/>
              <w:rPr>
                <w:szCs w:val="21"/>
              </w:rPr>
            </w:pPr>
            <w:r>
              <w:t>-63</w:t>
            </w:r>
          </w:p>
        </w:tc>
        <w:tc>
          <w:tcPr>
            <w:tcW w:w="0" w:type="auto"/>
            <w:vMerge w:val="continue"/>
            <w:vAlign w:val="center"/>
          </w:tcPr>
          <w:p w14:paraId="1BFA0D2C">
            <w:pPr>
              <w:widowControl w:val="0"/>
              <w:jc w:val="center"/>
              <w:rPr>
                <w:rFonts w:ascii="宋体" w:hAnsi="宋体"/>
                <w:color w:val="000000" w:themeColor="text1"/>
                <w:szCs w:val="21"/>
                <w14:textFill>
                  <w14:solidFill>
                    <w14:schemeClr w14:val="tx1"/>
                  </w14:solidFill>
                </w14:textFill>
              </w:rPr>
            </w:pPr>
          </w:p>
        </w:tc>
      </w:tr>
      <w:tr w14:paraId="23AB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994AD97">
            <w:pPr>
              <w:widowControl w:val="0"/>
              <w:jc w:val="center"/>
              <w:rPr>
                <w:szCs w:val="21"/>
              </w:rPr>
            </w:pPr>
            <w:r>
              <w:t>16#</w:t>
            </w:r>
          </w:p>
        </w:tc>
        <w:tc>
          <w:tcPr>
            <w:tcW w:w="0" w:type="auto"/>
            <w:shd w:val="clear" w:color="auto" w:fill="auto"/>
            <w:vAlign w:val="center"/>
          </w:tcPr>
          <w:p w14:paraId="07D46E39">
            <w:pPr>
              <w:widowControl w:val="0"/>
              <w:jc w:val="center"/>
              <w:rPr>
                <w:szCs w:val="21"/>
              </w:rPr>
            </w:pPr>
            <w:r>
              <w:rPr>
                <w:rFonts w:hint="eastAsia"/>
              </w:rPr>
              <w:t>马家湾</w:t>
            </w:r>
          </w:p>
        </w:tc>
        <w:tc>
          <w:tcPr>
            <w:tcW w:w="0" w:type="auto"/>
            <w:shd w:val="clear" w:color="auto" w:fill="auto"/>
            <w:vAlign w:val="center"/>
          </w:tcPr>
          <w:p w14:paraId="7B95378D">
            <w:pPr>
              <w:widowControl w:val="0"/>
              <w:jc w:val="center"/>
              <w:rPr>
                <w:szCs w:val="21"/>
              </w:rPr>
            </w:pPr>
            <w:r>
              <w:rPr>
                <w:rFonts w:hint="eastAsia"/>
              </w:rPr>
              <w:t>106.934298°</w:t>
            </w:r>
          </w:p>
        </w:tc>
        <w:tc>
          <w:tcPr>
            <w:tcW w:w="0" w:type="auto"/>
            <w:shd w:val="clear" w:color="auto" w:fill="auto"/>
            <w:vAlign w:val="center"/>
          </w:tcPr>
          <w:p w14:paraId="26811AEE">
            <w:pPr>
              <w:widowControl w:val="0"/>
              <w:jc w:val="center"/>
              <w:rPr>
                <w:szCs w:val="21"/>
              </w:rPr>
            </w:pPr>
            <w:r>
              <w:rPr>
                <w:rFonts w:hint="eastAsia"/>
              </w:rPr>
              <w:t>31.872273°</w:t>
            </w:r>
          </w:p>
        </w:tc>
        <w:tc>
          <w:tcPr>
            <w:tcW w:w="0" w:type="auto"/>
            <w:shd w:val="clear" w:color="auto" w:fill="auto"/>
            <w:vAlign w:val="center"/>
          </w:tcPr>
          <w:p w14:paraId="41F2D5EE">
            <w:pPr>
              <w:widowControl w:val="0"/>
              <w:jc w:val="center"/>
              <w:rPr>
                <w:szCs w:val="21"/>
              </w:rPr>
            </w:pPr>
            <w:r>
              <w:rPr>
                <w:rFonts w:hint="eastAsia"/>
              </w:rPr>
              <w:t>约219人</w:t>
            </w:r>
          </w:p>
        </w:tc>
        <w:tc>
          <w:tcPr>
            <w:tcW w:w="0" w:type="auto"/>
            <w:vMerge w:val="continue"/>
            <w:vAlign w:val="center"/>
          </w:tcPr>
          <w:p w14:paraId="1C05F18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B0F1791">
            <w:pPr>
              <w:widowControl w:val="0"/>
              <w:jc w:val="center"/>
              <w:rPr>
                <w:szCs w:val="21"/>
              </w:rPr>
            </w:pPr>
            <w:r>
              <w:t>NW</w:t>
            </w:r>
          </w:p>
        </w:tc>
        <w:tc>
          <w:tcPr>
            <w:tcW w:w="0" w:type="auto"/>
            <w:shd w:val="clear" w:color="auto" w:fill="auto"/>
            <w:vAlign w:val="center"/>
          </w:tcPr>
          <w:p w14:paraId="7D07DB81">
            <w:pPr>
              <w:widowControl w:val="0"/>
              <w:jc w:val="center"/>
              <w:rPr>
                <w:szCs w:val="21"/>
              </w:rPr>
            </w:pPr>
            <w:r>
              <w:t>1954</w:t>
            </w:r>
          </w:p>
        </w:tc>
        <w:tc>
          <w:tcPr>
            <w:tcW w:w="0" w:type="auto"/>
            <w:shd w:val="clear" w:color="auto" w:fill="auto"/>
            <w:vAlign w:val="center"/>
          </w:tcPr>
          <w:p w14:paraId="317CEF28">
            <w:pPr>
              <w:widowControl w:val="0"/>
              <w:jc w:val="center"/>
              <w:rPr>
                <w:szCs w:val="21"/>
              </w:rPr>
            </w:pPr>
            <w:r>
              <w:t>-51</w:t>
            </w:r>
          </w:p>
        </w:tc>
        <w:tc>
          <w:tcPr>
            <w:tcW w:w="0" w:type="auto"/>
            <w:vMerge w:val="continue"/>
            <w:vAlign w:val="center"/>
          </w:tcPr>
          <w:p w14:paraId="20EF9EC9">
            <w:pPr>
              <w:widowControl w:val="0"/>
              <w:jc w:val="center"/>
              <w:rPr>
                <w:rFonts w:ascii="宋体" w:hAnsi="宋体"/>
                <w:color w:val="000000" w:themeColor="text1"/>
                <w:szCs w:val="21"/>
                <w14:textFill>
                  <w14:solidFill>
                    <w14:schemeClr w14:val="tx1"/>
                  </w14:solidFill>
                </w14:textFill>
              </w:rPr>
            </w:pPr>
          </w:p>
        </w:tc>
      </w:tr>
      <w:tr w14:paraId="44562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C6214A2">
            <w:pPr>
              <w:widowControl w:val="0"/>
              <w:jc w:val="center"/>
              <w:rPr>
                <w:szCs w:val="21"/>
              </w:rPr>
            </w:pPr>
            <w:r>
              <w:t>17#</w:t>
            </w:r>
          </w:p>
        </w:tc>
        <w:tc>
          <w:tcPr>
            <w:tcW w:w="0" w:type="auto"/>
            <w:shd w:val="clear" w:color="auto" w:fill="auto"/>
            <w:vAlign w:val="center"/>
          </w:tcPr>
          <w:p w14:paraId="69BE71E0">
            <w:pPr>
              <w:widowControl w:val="0"/>
              <w:jc w:val="center"/>
              <w:rPr>
                <w:szCs w:val="21"/>
              </w:rPr>
            </w:pPr>
            <w:r>
              <w:rPr>
                <w:rFonts w:hint="eastAsia"/>
              </w:rPr>
              <w:t>瓦厂梁</w:t>
            </w:r>
          </w:p>
        </w:tc>
        <w:tc>
          <w:tcPr>
            <w:tcW w:w="0" w:type="auto"/>
            <w:shd w:val="clear" w:color="auto" w:fill="auto"/>
            <w:vAlign w:val="center"/>
          </w:tcPr>
          <w:p w14:paraId="4A239536">
            <w:pPr>
              <w:widowControl w:val="0"/>
              <w:jc w:val="center"/>
              <w:rPr>
                <w:szCs w:val="21"/>
              </w:rPr>
            </w:pPr>
            <w:r>
              <w:rPr>
                <w:rFonts w:hint="eastAsia"/>
              </w:rPr>
              <w:t>106.929331°</w:t>
            </w:r>
          </w:p>
        </w:tc>
        <w:tc>
          <w:tcPr>
            <w:tcW w:w="0" w:type="auto"/>
            <w:shd w:val="clear" w:color="auto" w:fill="auto"/>
            <w:vAlign w:val="center"/>
          </w:tcPr>
          <w:p w14:paraId="5220159A">
            <w:pPr>
              <w:widowControl w:val="0"/>
              <w:jc w:val="center"/>
              <w:rPr>
                <w:szCs w:val="21"/>
              </w:rPr>
            </w:pPr>
            <w:r>
              <w:rPr>
                <w:rFonts w:hint="eastAsia"/>
              </w:rPr>
              <w:t>31.874642°</w:t>
            </w:r>
          </w:p>
        </w:tc>
        <w:tc>
          <w:tcPr>
            <w:tcW w:w="0" w:type="auto"/>
            <w:shd w:val="clear" w:color="auto" w:fill="auto"/>
            <w:vAlign w:val="center"/>
          </w:tcPr>
          <w:p w14:paraId="33E99EBF">
            <w:pPr>
              <w:widowControl w:val="0"/>
              <w:jc w:val="center"/>
              <w:rPr>
                <w:szCs w:val="21"/>
              </w:rPr>
            </w:pPr>
            <w:r>
              <w:rPr>
                <w:rFonts w:hint="eastAsia"/>
              </w:rPr>
              <w:t>约60人</w:t>
            </w:r>
          </w:p>
        </w:tc>
        <w:tc>
          <w:tcPr>
            <w:tcW w:w="0" w:type="auto"/>
            <w:vMerge w:val="continue"/>
            <w:vAlign w:val="center"/>
          </w:tcPr>
          <w:p w14:paraId="247BCB2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C2D2867">
            <w:pPr>
              <w:widowControl w:val="0"/>
              <w:jc w:val="center"/>
              <w:rPr>
                <w:szCs w:val="21"/>
              </w:rPr>
            </w:pPr>
            <w:r>
              <w:t>NW</w:t>
            </w:r>
          </w:p>
        </w:tc>
        <w:tc>
          <w:tcPr>
            <w:tcW w:w="0" w:type="auto"/>
            <w:shd w:val="clear" w:color="auto" w:fill="auto"/>
            <w:vAlign w:val="center"/>
          </w:tcPr>
          <w:p w14:paraId="2B73C8B7">
            <w:pPr>
              <w:widowControl w:val="0"/>
              <w:jc w:val="center"/>
              <w:rPr>
                <w:szCs w:val="21"/>
              </w:rPr>
            </w:pPr>
            <w:r>
              <w:t>2511</w:t>
            </w:r>
          </w:p>
        </w:tc>
        <w:tc>
          <w:tcPr>
            <w:tcW w:w="0" w:type="auto"/>
            <w:shd w:val="clear" w:color="auto" w:fill="auto"/>
            <w:vAlign w:val="center"/>
          </w:tcPr>
          <w:p w14:paraId="13E7F165">
            <w:pPr>
              <w:widowControl w:val="0"/>
              <w:jc w:val="center"/>
              <w:rPr>
                <w:szCs w:val="21"/>
              </w:rPr>
            </w:pPr>
            <w:r>
              <w:t>-60</w:t>
            </w:r>
          </w:p>
        </w:tc>
        <w:tc>
          <w:tcPr>
            <w:tcW w:w="0" w:type="auto"/>
            <w:vMerge w:val="continue"/>
            <w:vAlign w:val="center"/>
          </w:tcPr>
          <w:p w14:paraId="44246C29">
            <w:pPr>
              <w:widowControl w:val="0"/>
              <w:jc w:val="center"/>
              <w:rPr>
                <w:rFonts w:ascii="宋体" w:hAnsi="宋体"/>
                <w:color w:val="000000" w:themeColor="text1"/>
                <w:szCs w:val="21"/>
                <w14:textFill>
                  <w14:solidFill>
                    <w14:schemeClr w14:val="tx1"/>
                  </w14:solidFill>
                </w14:textFill>
              </w:rPr>
            </w:pPr>
          </w:p>
        </w:tc>
      </w:tr>
      <w:tr w14:paraId="5341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F664DEC">
            <w:pPr>
              <w:widowControl w:val="0"/>
              <w:jc w:val="center"/>
              <w:rPr>
                <w:szCs w:val="21"/>
              </w:rPr>
            </w:pPr>
            <w:r>
              <w:t>18#</w:t>
            </w:r>
          </w:p>
        </w:tc>
        <w:tc>
          <w:tcPr>
            <w:tcW w:w="0" w:type="auto"/>
            <w:shd w:val="clear" w:color="auto" w:fill="auto"/>
            <w:vAlign w:val="center"/>
          </w:tcPr>
          <w:p w14:paraId="42C8500B">
            <w:pPr>
              <w:widowControl w:val="0"/>
              <w:jc w:val="center"/>
              <w:rPr>
                <w:szCs w:val="21"/>
              </w:rPr>
            </w:pPr>
            <w:r>
              <w:rPr>
                <w:rFonts w:hint="eastAsia"/>
              </w:rPr>
              <w:t>张家沟-罗家湾</w:t>
            </w:r>
          </w:p>
        </w:tc>
        <w:tc>
          <w:tcPr>
            <w:tcW w:w="0" w:type="auto"/>
            <w:shd w:val="clear" w:color="auto" w:fill="auto"/>
            <w:vAlign w:val="center"/>
          </w:tcPr>
          <w:p w14:paraId="19B392D6">
            <w:pPr>
              <w:widowControl w:val="0"/>
              <w:jc w:val="center"/>
              <w:rPr>
                <w:szCs w:val="21"/>
              </w:rPr>
            </w:pPr>
            <w:r>
              <w:rPr>
                <w:rFonts w:hint="eastAsia"/>
              </w:rPr>
              <w:t>106.935940°</w:t>
            </w:r>
          </w:p>
        </w:tc>
        <w:tc>
          <w:tcPr>
            <w:tcW w:w="0" w:type="auto"/>
            <w:shd w:val="clear" w:color="auto" w:fill="auto"/>
            <w:vAlign w:val="center"/>
          </w:tcPr>
          <w:p w14:paraId="1914D13E">
            <w:pPr>
              <w:widowControl w:val="0"/>
              <w:jc w:val="center"/>
              <w:rPr>
                <w:szCs w:val="21"/>
              </w:rPr>
            </w:pPr>
            <w:r>
              <w:rPr>
                <w:rFonts w:hint="eastAsia"/>
              </w:rPr>
              <w:t>31.860938°</w:t>
            </w:r>
          </w:p>
        </w:tc>
        <w:tc>
          <w:tcPr>
            <w:tcW w:w="0" w:type="auto"/>
            <w:shd w:val="clear" w:color="auto" w:fill="auto"/>
            <w:vAlign w:val="center"/>
          </w:tcPr>
          <w:p w14:paraId="4EAC0586">
            <w:pPr>
              <w:widowControl w:val="0"/>
              <w:jc w:val="center"/>
              <w:rPr>
                <w:szCs w:val="21"/>
              </w:rPr>
            </w:pPr>
            <w:r>
              <w:rPr>
                <w:rFonts w:hint="eastAsia"/>
              </w:rPr>
              <w:t>约237人</w:t>
            </w:r>
          </w:p>
        </w:tc>
        <w:tc>
          <w:tcPr>
            <w:tcW w:w="0" w:type="auto"/>
            <w:vMerge w:val="continue"/>
            <w:vAlign w:val="center"/>
          </w:tcPr>
          <w:p w14:paraId="385CC2E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9AD7D2B">
            <w:pPr>
              <w:widowControl w:val="0"/>
              <w:jc w:val="center"/>
              <w:rPr>
                <w:szCs w:val="21"/>
              </w:rPr>
            </w:pPr>
            <w:r>
              <w:t>W</w:t>
            </w:r>
          </w:p>
        </w:tc>
        <w:tc>
          <w:tcPr>
            <w:tcW w:w="0" w:type="auto"/>
            <w:shd w:val="clear" w:color="auto" w:fill="auto"/>
            <w:vAlign w:val="center"/>
          </w:tcPr>
          <w:p w14:paraId="6FA7BA60">
            <w:pPr>
              <w:widowControl w:val="0"/>
              <w:jc w:val="center"/>
              <w:rPr>
                <w:szCs w:val="21"/>
              </w:rPr>
            </w:pPr>
            <w:r>
              <w:t>1313</w:t>
            </w:r>
          </w:p>
        </w:tc>
        <w:tc>
          <w:tcPr>
            <w:tcW w:w="0" w:type="auto"/>
            <w:shd w:val="clear" w:color="auto" w:fill="auto"/>
            <w:vAlign w:val="center"/>
          </w:tcPr>
          <w:p w14:paraId="10A5FA53">
            <w:pPr>
              <w:widowControl w:val="0"/>
              <w:jc w:val="center"/>
              <w:rPr>
                <w:szCs w:val="21"/>
              </w:rPr>
            </w:pPr>
            <w:r>
              <w:t>-62</w:t>
            </w:r>
          </w:p>
        </w:tc>
        <w:tc>
          <w:tcPr>
            <w:tcW w:w="0" w:type="auto"/>
            <w:vMerge w:val="continue"/>
            <w:vAlign w:val="center"/>
          </w:tcPr>
          <w:p w14:paraId="4A8108F6">
            <w:pPr>
              <w:widowControl w:val="0"/>
              <w:jc w:val="center"/>
              <w:rPr>
                <w:rFonts w:ascii="宋体" w:hAnsi="宋体"/>
                <w:color w:val="000000" w:themeColor="text1"/>
                <w:szCs w:val="21"/>
                <w14:textFill>
                  <w14:solidFill>
                    <w14:schemeClr w14:val="tx1"/>
                  </w14:solidFill>
                </w14:textFill>
              </w:rPr>
            </w:pPr>
          </w:p>
        </w:tc>
      </w:tr>
      <w:tr w14:paraId="212F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9BB5D71">
            <w:pPr>
              <w:widowControl w:val="0"/>
              <w:jc w:val="center"/>
              <w:rPr>
                <w:szCs w:val="21"/>
              </w:rPr>
            </w:pPr>
            <w:r>
              <w:t>19#</w:t>
            </w:r>
          </w:p>
        </w:tc>
        <w:tc>
          <w:tcPr>
            <w:tcW w:w="0" w:type="auto"/>
            <w:shd w:val="clear" w:color="auto" w:fill="auto"/>
            <w:vAlign w:val="center"/>
          </w:tcPr>
          <w:p w14:paraId="13FC8C6C">
            <w:pPr>
              <w:widowControl w:val="0"/>
              <w:jc w:val="center"/>
              <w:rPr>
                <w:szCs w:val="21"/>
              </w:rPr>
            </w:pPr>
            <w:r>
              <w:rPr>
                <w:rFonts w:hint="eastAsia"/>
              </w:rPr>
              <w:t>张家梁</w:t>
            </w:r>
          </w:p>
        </w:tc>
        <w:tc>
          <w:tcPr>
            <w:tcW w:w="0" w:type="auto"/>
            <w:shd w:val="clear" w:color="auto" w:fill="auto"/>
            <w:vAlign w:val="center"/>
          </w:tcPr>
          <w:p w14:paraId="5AA3D2F0">
            <w:pPr>
              <w:widowControl w:val="0"/>
              <w:jc w:val="center"/>
              <w:rPr>
                <w:szCs w:val="21"/>
              </w:rPr>
            </w:pPr>
            <w:r>
              <w:rPr>
                <w:rFonts w:hint="eastAsia"/>
              </w:rPr>
              <w:t>106.933365°</w:t>
            </w:r>
          </w:p>
        </w:tc>
        <w:tc>
          <w:tcPr>
            <w:tcW w:w="0" w:type="auto"/>
            <w:shd w:val="clear" w:color="auto" w:fill="auto"/>
            <w:vAlign w:val="center"/>
          </w:tcPr>
          <w:p w14:paraId="59E03ADF">
            <w:pPr>
              <w:widowControl w:val="0"/>
              <w:jc w:val="center"/>
              <w:rPr>
                <w:szCs w:val="21"/>
              </w:rPr>
            </w:pPr>
            <w:r>
              <w:rPr>
                <w:rFonts w:hint="eastAsia"/>
              </w:rPr>
              <w:t>31.856601°</w:t>
            </w:r>
          </w:p>
        </w:tc>
        <w:tc>
          <w:tcPr>
            <w:tcW w:w="0" w:type="auto"/>
            <w:shd w:val="clear" w:color="auto" w:fill="auto"/>
            <w:vAlign w:val="center"/>
          </w:tcPr>
          <w:p w14:paraId="0A3F5641">
            <w:pPr>
              <w:widowControl w:val="0"/>
              <w:jc w:val="center"/>
              <w:rPr>
                <w:szCs w:val="21"/>
              </w:rPr>
            </w:pPr>
            <w:r>
              <w:rPr>
                <w:rFonts w:hint="eastAsia"/>
              </w:rPr>
              <w:t>约183人</w:t>
            </w:r>
          </w:p>
        </w:tc>
        <w:tc>
          <w:tcPr>
            <w:tcW w:w="0" w:type="auto"/>
            <w:vMerge w:val="continue"/>
            <w:vAlign w:val="center"/>
          </w:tcPr>
          <w:p w14:paraId="3ADCBBE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12160EA">
            <w:pPr>
              <w:widowControl w:val="0"/>
              <w:jc w:val="center"/>
              <w:rPr>
                <w:szCs w:val="21"/>
              </w:rPr>
            </w:pPr>
            <w:r>
              <w:t>W</w:t>
            </w:r>
          </w:p>
        </w:tc>
        <w:tc>
          <w:tcPr>
            <w:tcW w:w="0" w:type="auto"/>
            <w:shd w:val="clear" w:color="auto" w:fill="auto"/>
            <w:vAlign w:val="center"/>
          </w:tcPr>
          <w:p w14:paraId="388FBC3D">
            <w:pPr>
              <w:widowControl w:val="0"/>
              <w:jc w:val="center"/>
              <w:rPr>
                <w:szCs w:val="21"/>
              </w:rPr>
            </w:pPr>
            <w:r>
              <w:t>1543</w:t>
            </w:r>
          </w:p>
        </w:tc>
        <w:tc>
          <w:tcPr>
            <w:tcW w:w="0" w:type="auto"/>
            <w:shd w:val="clear" w:color="auto" w:fill="auto"/>
            <w:vAlign w:val="center"/>
          </w:tcPr>
          <w:p w14:paraId="7D3531B8">
            <w:pPr>
              <w:widowControl w:val="0"/>
              <w:jc w:val="center"/>
              <w:rPr>
                <w:szCs w:val="21"/>
              </w:rPr>
            </w:pPr>
            <w:r>
              <w:t>32</w:t>
            </w:r>
          </w:p>
        </w:tc>
        <w:tc>
          <w:tcPr>
            <w:tcW w:w="0" w:type="auto"/>
            <w:vMerge w:val="continue"/>
            <w:vAlign w:val="center"/>
          </w:tcPr>
          <w:p w14:paraId="7CC15D92">
            <w:pPr>
              <w:widowControl w:val="0"/>
              <w:jc w:val="center"/>
              <w:rPr>
                <w:rFonts w:ascii="宋体" w:hAnsi="宋体"/>
                <w:color w:val="000000" w:themeColor="text1"/>
                <w:szCs w:val="21"/>
                <w14:textFill>
                  <w14:solidFill>
                    <w14:schemeClr w14:val="tx1"/>
                  </w14:solidFill>
                </w14:textFill>
              </w:rPr>
            </w:pPr>
          </w:p>
        </w:tc>
      </w:tr>
      <w:tr w14:paraId="034C1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3257CE8">
            <w:pPr>
              <w:widowControl w:val="0"/>
              <w:jc w:val="center"/>
              <w:rPr>
                <w:szCs w:val="21"/>
              </w:rPr>
            </w:pPr>
            <w:r>
              <w:t>20#</w:t>
            </w:r>
          </w:p>
        </w:tc>
        <w:tc>
          <w:tcPr>
            <w:tcW w:w="0" w:type="auto"/>
            <w:shd w:val="clear" w:color="auto" w:fill="auto"/>
            <w:vAlign w:val="center"/>
          </w:tcPr>
          <w:p w14:paraId="70358B3F">
            <w:pPr>
              <w:widowControl w:val="0"/>
              <w:jc w:val="center"/>
              <w:rPr>
                <w:szCs w:val="21"/>
              </w:rPr>
            </w:pPr>
            <w:r>
              <w:rPr>
                <w:rFonts w:hint="eastAsia"/>
              </w:rPr>
              <w:t>蜡红山森林公园附近东侧</w:t>
            </w:r>
          </w:p>
        </w:tc>
        <w:tc>
          <w:tcPr>
            <w:tcW w:w="0" w:type="auto"/>
            <w:shd w:val="clear" w:color="auto" w:fill="auto"/>
            <w:vAlign w:val="center"/>
          </w:tcPr>
          <w:p w14:paraId="512BEE37">
            <w:pPr>
              <w:widowControl w:val="0"/>
              <w:jc w:val="center"/>
              <w:rPr>
                <w:szCs w:val="21"/>
              </w:rPr>
            </w:pPr>
            <w:r>
              <w:rPr>
                <w:rFonts w:hint="eastAsia"/>
              </w:rPr>
              <w:t>106.945059°</w:t>
            </w:r>
          </w:p>
        </w:tc>
        <w:tc>
          <w:tcPr>
            <w:tcW w:w="0" w:type="auto"/>
            <w:shd w:val="clear" w:color="auto" w:fill="auto"/>
            <w:vAlign w:val="center"/>
          </w:tcPr>
          <w:p w14:paraId="1D5E976A">
            <w:pPr>
              <w:widowControl w:val="0"/>
              <w:jc w:val="center"/>
              <w:rPr>
                <w:szCs w:val="21"/>
              </w:rPr>
            </w:pPr>
            <w:r>
              <w:rPr>
                <w:rFonts w:hint="eastAsia"/>
              </w:rPr>
              <w:t>31.859471°</w:t>
            </w:r>
          </w:p>
        </w:tc>
        <w:tc>
          <w:tcPr>
            <w:tcW w:w="0" w:type="auto"/>
            <w:shd w:val="clear" w:color="auto" w:fill="auto"/>
            <w:vAlign w:val="center"/>
          </w:tcPr>
          <w:p w14:paraId="50E37268">
            <w:pPr>
              <w:widowControl w:val="0"/>
              <w:jc w:val="center"/>
              <w:rPr>
                <w:szCs w:val="21"/>
              </w:rPr>
            </w:pPr>
            <w:r>
              <w:rPr>
                <w:rFonts w:hint="eastAsia"/>
              </w:rPr>
              <w:t>约18人</w:t>
            </w:r>
          </w:p>
        </w:tc>
        <w:tc>
          <w:tcPr>
            <w:tcW w:w="0" w:type="auto"/>
            <w:vMerge w:val="continue"/>
            <w:vAlign w:val="center"/>
          </w:tcPr>
          <w:p w14:paraId="40A8E2C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A102AA8">
            <w:pPr>
              <w:widowControl w:val="0"/>
              <w:jc w:val="center"/>
              <w:rPr>
                <w:szCs w:val="21"/>
              </w:rPr>
            </w:pPr>
            <w:r>
              <w:t>W</w:t>
            </w:r>
          </w:p>
        </w:tc>
        <w:tc>
          <w:tcPr>
            <w:tcW w:w="0" w:type="auto"/>
            <w:shd w:val="clear" w:color="auto" w:fill="auto"/>
            <w:vAlign w:val="center"/>
          </w:tcPr>
          <w:p w14:paraId="49414460">
            <w:pPr>
              <w:widowControl w:val="0"/>
              <w:jc w:val="center"/>
              <w:rPr>
                <w:szCs w:val="21"/>
              </w:rPr>
            </w:pPr>
            <w:r>
              <w:t>441</w:t>
            </w:r>
          </w:p>
        </w:tc>
        <w:tc>
          <w:tcPr>
            <w:tcW w:w="0" w:type="auto"/>
            <w:shd w:val="clear" w:color="auto" w:fill="auto"/>
            <w:vAlign w:val="center"/>
          </w:tcPr>
          <w:p w14:paraId="67E8EC71">
            <w:pPr>
              <w:widowControl w:val="0"/>
              <w:jc w:val="center"/>
              <w:rPr>
                <w:szCs w:val="21"/>
              </w:rPr>
            </w:pPr>
            <w:r>
              <w:t>55</w:t>
            </w:r>
          </w:p>
        </w:tc>
        <w:tc>
          <w:tcPr>
            <w:tcW w:w="0" w:type="auto"/>
            <w:vMerge w:val="continue"/>
            <w:vAlign w:val="center"/>
          </w:tcPr>
          <w:p w14:paraId="6DC39585">
            <w:pPr>
              <w:widowControl w:val="0"/>
              <w:jc w:val="center"/>
              <w:rPr>
                <w:rFonts w:ascii="宋体" w:hAnsi="宋体"/>
                <w:color w:val="000000" w:themeColor="text1"/>
                <w:szCs w:val="21"/>
                <w14:textFill>
                  <w14:solidFill>
                    <w14:schemeClr w14:val="tx1"/>
                  </w14:solidFill>
                </w14:textFill>
              </w:rPr>
            </w:pPr>
          </w:p>
        </w:tc>
      </w:tr>
      <w:tr w14:paraId="6781E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0F59F24">
            <w:pPr>
              <w:widowControl w:val="0"/>
              <w:jc w:val="center"/>
              <w:rPr>
                <w:szCs w:val="21"/>
              </w:rPr>
            </w:pPr>
            <w:r>
              <w:t>21#</w:t>
            </w:r>
          </w:p>
        </w:tc>
        <w:tc>
          <w:tcPr>
            <w:tcW w:w="0" w:type="auto"/>
            <w:shd w:val="clear" w:color="auto" w:fill="auto"/>
            <w:vAlign w:val="center"/>
          </w:tcPr>
          <w:p w14:paraId="09E6F7F5">
            <w:pPr>
              <w:widowControl w:val="0"/>
              <w:jc w:val="center"/>
              <w:rPr>
                <w:szCs w:val="21"/>
              </w:rPr>
            </w:pPr>
            <w:r>
              <w:rPr>
                <w:rFonts w:hint="eastAsia"/>
              </w:rPr>
              <w:t>厂界西南邻近</w:t>
            </w:r>
          </w:p>
        </w:tc>
        <w:tc>
          <w:tcPr>
            <w:tcW w:w="0" w:type="auto"/>
            <w:shd w:val="clear" w:color="auto" w:fill="auto"/>
            <w:vAlign w:val="center"/>
          </w:tcPr>
          <w:p w14:paraId="7CC3173D">
            <w:pPr>
              <w:widowControl w:val="0"/>
              <w:jc w:val="center"/>
              <w:rPr>
                <w:szCs w:val="21"/>
              </w:rPr>
            </w:pPr>
            <w:r>
              <w:rPr>
                <w:rFonts w:hint="eastAsia"/>
              </w:rPr>
              <w:t>106.949541°</w:t>
            </w:r>
          </w:p>
        </w:tc>
        <w:tc>
          <w:tcPr>
            <w:tcW w:w="0" w:type="auto"/>
            <w:shd w:val="clear" w:color="auto" w:fill="auto"/>
            <w:vAlign w:val="center"/>
          </w:tcPr>
          <w:p w14:paraId="635F89ED">
            <w:pPr>
              <w:widowControl w:val="0"/>
              <w:jc w:val="center"/>
              <w:rPr>
                <w:szCs w:val="21"/>
              </w:rPr>
            </w:pPr>
            <w:r>
              <w:rPr>
                <w:rFonts w:hint="eastAsia"/>
              </w:rPr>
              <w:t>31.858608°</w:t>
            </w:r>
          </w:p>
        </w:tc>
        <w:tc>
          <w:tcPr>
            <w:tcW w:w="0" w:type="auto"/>
            <w:shd w:val="clear" w:color="auto" w:fill="auto"/>
            <w:vAlign w:val="center"/>
          </w:tcPr>
          <w:p w14:paraId="633B3238">
            <w:pPr>
              <w:widowControl w:val="0"/>
              <w:jc w:val="center"/>
              <w:rPr>
                <w:szCs w:val="21"/>
              </w:rPr>
            </w:pPr>
            <w:r>
              <w:rPr>
                <w:rFonts w:hint="eastAsia"/>
              </w:rPr>
              <w:t>约6人</w:t>
            </w:r>
          </w:p>
        </w:tc>
        <w:tc>
          <w:tcPr>
            <w:tcW w:w="0" w:type="auto"/>
            <w:vMerge w:val="continue"/>
            <w:vAlign w:val="center"/>
          </w:tcPr>
          <w:p w14:paraId="7102887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93A8D03">
            <w:pPr>
              <w:widowControl w:val="0"/>
              <w:jc w:val="center"/>
              <w:rPr>
                <w:szCs w:val="21"/>
              </w:rPr>
            </w:pPr>
            <w:r>
              <w:t>SW</w:t>
            </w:r>
          </w:p>
        </w:tc>
        <w:tc>
          <w:tcPr>
            <w:tcW w:w="0" w:type="auto"/>
            <w:shd w:val="clear" w:color="auto" w:fill="auto"/>
            <w:vAlign w:val="center"/>
          </w:tcPr>
          <w:p w14:paraId="264053BB">
            <w:pPr>
              <w:widowControl w:val="0"/>
              <w:jc w:val="center"/>
              <w:rPr>
                <w:szCs w:val="21"/>
              </w:rPr>
            </w:pPr>
            <w:r>
              <w:t>15</w:t>
            </w:r>
          </w:p>
        </w:tc>
        <w:tc>
          <w:tcPr>
            <w:tcW w:w="0" w:type="auto"/>
            <w:shd w:val="clear" w:color="auto" w:fill="auto"/>
            <w:vAlign w:val="center"/>
          </w:tcPr>
          <w:p w14:paraId="0CD8E3C9">
            <w:pPr>
              <w:widowControl w:val="0"/>
              <w:jc w:val="center"/>
              <w:rPr>
                <w:szCs w:val="21"/>
              </w:rPr>
            </w:pPr>
            <w:r>
              <w:t>-1</w:t>
            </w:r>
          </w:p>
        </w:tc>
        <w:tc>
          <w:tcPr>
            <w:tcW w:w="0" w:type="auto"/>
            <w:vMerge w:val="continue"/>
            <w:vAlign w:val="center"/>
          </w:tcPr>
          <w:p w14:paraId="77A747FE">
            <w:pPr>
              <w:widowControl w:val="0"/>
              <w:jc w:val="center"/>
              <w:rPr>
                <w:rFonts w:ascii="宋体" w:hAnsi="宋体"/>
                <w:color w:val="000000" w:themeColor="text1"/>
                <w:szCs w:val="21"/>
                <w14:textFill>
                  <w14:solidFill>
                    <w14:schemeClr w14:val="tx1"/>
                  </w14:solidFill>
                </w14:textFill>
              </w:rPr>
            </w:pPr>
          </w:p>
        </w:tc>
      </w:tr>
      <w:tr w14:paraId="5D25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AC0CC0F">
            <w:pPr>
              <w:widowControl w:val="0"/>
              <w:jc w:val="center"/>
              <w:rPr>
                <w:szCs w:val="21"/>
              </w:rPr>
            </w:pPr>
            <w:r>
              <w:t>22#</w:t>
            </w:r>
          </w:p>
        </w:tc>
        <w:tc>
          <w:tcPr>
            <w:tcW w:w="0" w:type="auto"/>
            <w:shd w:val="clear" w:color="auto" w:fill="auto"/>
            <w:vAlign w:val="center"/>
          </w:tcPr>
          <w:p w14:paraId="71610ACD">
            <w:pPr>
              <w:widowControl w:val="0"/>
              <w:jc w:val="center"/>
              <w:rPr>
                <w:szCs w:val="21"/>
              </w:rPr>
            </w:pPr>
            <w:r>
              <w:rPr>
                <w:rFonts w:hint="eastAsia"/>
              </w:rPr>
              <w:t>孙家湾-贾家梁-塘坝村1</w:t>
            </w:r>
          </w:p>
        </w:tc>
        <w:tc>
          <w:tcPr>
            <w:tcW w:w="0" w:type="auto"/>
            <w:shd w:val="clear" w:color="auto" w:fill="auto"/>
            <w:vAlign w:val="center"/>
          </w:tcPr>
          <w:p w14:paraId="32E852E2">
            <w:pPr>
              <w:widowControl w:val="0"/>
              <w:jc w:val="center"/>
              <w:rPr>
                <w:szCs w:val="21"/>
              </w:rPr>
            </w:pPr>
            <w:r>
              <w:rPr>
                <w:rFonts w:hint="eastAsia"/>
              </w:rPr>
              <w:t>106.937141°</w:t>
            </w:r>
          </w:p>
        </w:tc>
        <w:tc>
          <w:tcPr>
            <w:tcW w:w="0" w:type="auto"/>
            <w:shd w:val="clear" w:color="auto" w:fill="auto"/>
            <w:vAlign w:val="center"/>
          </w:tcPr>
          <w:p w14:paraId="15C07E0C">
            <w:pPr>
              <w:widowControl w:val="0"/>
              <w:jc w:val="center"/>
              <w:rPr>
                <w:szCs w:val="21"/>
              </w:rPr>
            </w:pPr>
            <w:r>
              <w:rPr>
                <w:rFonts w:hint="eastAsia"/>
              </w:rPr>
              <w:t>31.850878°</w:t>
            </w:r>
          </w:p>
        </w:tc>
        <w:tc>
          <w:tcPr>
            <w:tcW w:w="0" w:type="auto"/>
            <w:shd w:val="clear" w:color="auto" w:fill="auto"/>
            <w:vAlign w:val="center"/>
          </w:tcPr>
          <w:p w14:paraId="14B052F3">
            <w:pPr>
              <w:widowControl w:val="0"/>
              <w:jc w:val="center"/>
              <w:rPr>
                <w:szCs w:val="21"/>
              </w:rPr>
            </w:pPr>
            <w:r>
              <w:rPr>
                <w:rFonts w:hint="eastAsia"/>
              </w:rPr>
              <w:t>约606人</w:t>
            </w:r>
          </w:p>
        </w:tc>
        <w:tc>
          <w:tcPr>
            <w:tcW w:w="0" w:type="auto"/>
            <w:vMerge w:val="continue"/>
            <w:vAlign w:val="center"/>
          </w:tcPr>
          <w:p w14:paraId="4B6AFDC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296C2C3">
            <w:pPr>
              <w:widowControl w:val="0"/>
              <w:jc w:val="center"/>
              <w:rPr>
                <w:szCs w:val="21"/>
              </w:rPr>
            </w:pPr>
            <w:r>
              <w:t>SW</w:t>
            </w:r>
          </w:p>
        </w:tc>
        <w:tc>
          <w:tcPr>
            <w:tcW w:w="0" w:type="auto"/>
            <w:shd w:val="clear" w:color="auto" w:fill="auto"/>
            <w:vAlign w:val="center"/>
          </w:tcPr>
          <w:p w14:paraId="4CBA9C43">
            <w:pPr>
              <w:widowControl w:val="0"/>
              <w:jc w:val="center"/>
              <w:rPr>
                <w:szCs w:val="21"/>
              </w:rPr>
            </w:pPr>
            <w:r>
              <w:t>1484</w:t>
            </w:r>
          </w:p>
        </w:tc>
        <w:tc>
          <w:tcPr>
            <w:tcW w:w="0" w:type="auto"/>
            <w:shd w:val="clear" w:color="auto" w:fill="auto"/>
            <w:vAlign w:val="center"/>
          </w:tcPr>
          <w:p w14:paraId="2E09A5FC">
            <w:pPr>
              <w:widowControl w:val="0"/>
              <w:jc w:val="center"/>
              <w:rPr>
                <w:szCs w:val="21"/>
              </w:rPr>
            </w:pPr>
            <w:r>
              <w:t>-10</w:t>
            </w:r>
          </w:p>
        </w:tc>
        <w:tc>
          <w:tcPr>
            <w:tcW w:w="0" w:type="auto"/>
            <w:vMerge w:val="continue"/>
            <w:vAlign w:val="center"/>
          </w:tcPr>
          <w:p w14:paraId="433180C0">
            <w:pPr>
              <w:widowControl w:val="0"/>
              <w:jc w:val="center"/>
              <w:rPr>
                <w:rFonts w:ascii="宋体" w:hAnsi="宋体"/>
                <w:color w:val="000000" w:themeColor="text1"/>
                <w:szCs w:val="21"/>
                <w14:textFill>
                  <w14:solidFill>
                    <w14:schemeClr w14:val="tx1"/>
                  </w14:solidFill>
                </w14:textFill>
              </w:rPr>
            </w:pPr>
          </w:p>
        </w:tc>
      </w:tr>
      <w:tr w14:paraId="76E9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2590FF3">
            <w:pPr>
              <w:widowControl w:val="0"/>
              <w:jc w:val="center"/>
              <w:rPr>
                <w:szCs w:val="21"/>
              </w:rPr>
            </w:pPr>
            <w:r>
              <w:t>23#</w:t>
            </w:r>
          </w:p>
        </w:tc>
        <w:tc>
          <w:tcPr>
            <w:tcW w:w="0" w:type="auto"/>
            <w:shd w:val="clear" w:color="auto" w:fill="auto"/>
            <w:vAlign w:val="center"/>
          </w:tcPr>
          <w:p w14:paraId="7DC59459">
            <w:pPr>
              <w:widowControl w:val="0"/>
              <w:jc w:val="center"/>
              <w:rPr>
                <w:szCs w:val="21"/>
              </w:rPr>
            </w:pPr>
            <w:r>
              <w:rPr>
                <w:rFonts w:hint="eastAsia"/>
              </w:rPr>
              <w:t>王家湾-刘家大院子-李家湾</w:t>
            </w:r>
          </w:p>
        </w:tc>
        <w:tc>
          <w:tcPr>
            <w:tcW w:w="0" w:type="auto"/>
            <w:shd w:val="clear" w:color="auto" w:fill="auto"/>
            <w:vAlign w:val="center"/>
          </w:tcPr>
          <w:p w14:paraId="1FD90794">
            <w:pPr>
              <w:widowControl w:val="0"/>
              <w:jc w:val="center"/>
              <w:rPr>
                <w:szCs w:val="21"/>
              </w:rPr>
            </w:pPr>
            <w:r>
              <w:rPr>
                <w:rFonts w:hint="eastAsia"/>
              </w:rPr>
              <w:t>106.937270°</w:t>
            </w:r>
          </w:p>
        </w:tc>
        <w:tc>
          <w:tcPr>
            <w:tcW w:w="0" w:type="auto"/>
            <w:shd w:val="clear" w:color="auto" w:fill="auto"/>
            <w:vAlign w:val="center"/>
          </w:tcPr>
          <w:p w14:paraId="64048C4F">
            <w:pPr>
              <w:widowControl w:val="0"/>
              <w:jc w:val="center"/>
              <w:rPr>
                <w:szCs w:val="21"/>
              </w:rPr>
            </w:pPr>
            <w:r>
              <w:rPr>
                <w:rFonts w:hint="eastAsia"/>
              </w:rPr>
              <w:t>31.853575°</w:t>
            </w:r>
          </w:p>
        </w:tc>
        <w:tc>
          <w:tcPr>
            <w:tcW w:w="0" w:type="auto"/>
            <w:shd w:val="clear" w:color="auto" w:fill="auto"/>
            <w:vAlign w:val="center"/>
          </w:tcPr>
          <w:p w14:paraId="1D87A0D9">
            <w:pPr>
              <w:widowControl w:val="0"/>
              <w:jc w:val="center"/>
              <w:rPr>
                <w:szCs w:val="21"/>
              </w:rPr>
            </w:pPr>
            <w:r>
              <w:rPr>
                <w:rFonts w:hint="eastAsia"/>
              </w:rPr>
              <w:t>约579人</w:t>
            </w:r>
          </w:p>
        </w:tc>
        <w:tc>
          <w:tcPr>
            <w:tcW w:w="0" w:type="auto"/>
            <w:vMerge w:val="continue"/>
            <w:vAlign w:val="center"/>
          </w:tcPr>
          <w:p w14:paraId="773258C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183DF98">
            <w:pPr>
              <w:widowControl w:val="0"/>
              <w:jc w:val="center"/>
              <w:rPr>
                <w:szCs w:val="21"/>
              </w:rPr>
            </w:pPr>
            <w:r>
              <w:t>SW</w:t>
            </w:r>
          </w:p>
        </w:tc>
        <w:tc>
          <w:tcPr>
            <w:tcW w:w="0" w:type="auto"/>
            <w:shd w:val="clear" w:color="auto" w:fill="auto"/>
            <w:vAlign w:val="center"/>
          </w:tcPr>
          <w:p w14:paraId="1B25B13F">
            <w:pPr>
              <w:widowControl w:val="0"/>
              <w:jc w:val="center"/>
              <w:rPr>
                <w:szCs w:val="21"/>
              </w:rPr>
            </w:pPr>
            <w:r>
              <w:t>1320</w:t>
            </w:r>
          </w:p>
        </w:tc>
        <w:tc>
          <w:tcPr>
            <w:tcW w:w="0" w:type="auto"/>
            <w:shd w:val="clear" w:color="auto" w:fill="auto"/>
            <w:vAlign w:val="center"/>
          </w:tcPr>
          <w:p w14:paraId="100D8E5D">
            <w:pPr>
              <w:widowControl w:val="0"/>
              <w:jc w:val="center"/>
              <w:rPr>
                <w:szCs w:val="21"/>
              </w:rPr>
            </w:pPr>
            <w:r>
              <w:t>-14</w:t>
            </w:r>
          </w:p>
        </w:tc>
        <w:tc>
          <w:tcPr>
            <w:tcW w:w="0" w:type="auto"/>
            <w:vMerge w:val="continue"/>
            <w:vAlign w:val="center"/>
          </w:tcPr>
          <w:p w14:paraId="731B3C68">
            <w:pPr>
              <w:widowControl w:val="0"/>
              <w:jc w:val="center"/>
              <w:rPr>
                <w:rFonts w:ascii="宋体" w:hAnsi="宋体"/>
                <w:color w:val="000000" w:themeColor="text1"/>
                <w:szCs w:val="21"/>
                <w14:textFill>
                  <w14:solidFill>
                    <w14:schemeClr w14:val="tx1"/>
                  </w14:solidFill>
                </w14:textFill>
              </w:rPr>
            </w:pPr>
          </w:p>
        </w:tc>
      </w:tr>
      <w:tr w14:paraId="11C5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F760EAB">
            <w:pPr>
              <w:widowControl w:val="0"/>
              <w:jc w:val="center"/>
              <w:rPr>
                <w:szCs w:val="21"/>
              </w:rPr>
            </w:pPr>
            <w:r>
              <w:t>24#</w:t>
            </w:r>
          </w:p>
        </w:tc>
        <w:tc>
          <w:tcPr>
            <w:tcW w:w="0" w:type="auto"/>
            <w:shd w:val="clear" w:color="auto" w:fill="auto"/>
            <w:vAlign w:val="center"/>
          </w:tcPr>
          <w:p w14:paraId="6F1DC1DC">
            <w:pPr>
              <w:widowControl w:val="0"/>
              <w:jc w:val="center"/>
              <w:rPr>
                <w:szCs w:val="21"/>
              </w:rPr>
            </w:pPr>
            <w:r>
              <w:rPr>
                <w:rFonts w:hint="eastAsia"/>
              </w:rPr>
              <w:t>马家湾</w:t>
            </w:r>
          </w:p>
        </w:tc>
        <w:tc>
          <w:tcPr>
            <w:tcW w:w="0" w:type="auto"/>
            <w:shd w:val="clear" w:color="auto" w:fill="auto"/>
            <w:vAlign w:val="center"/>
          </w:tcPr>
          <w:p w14:paraId="63A30BFB">
            <w:pPr>
              <w:widowControl w:val="0"/>
              <w:jc w:val="center"/>
              <w:rPr>
                <w:szCs w:val="21"/>
              </w:rPr>
            </w:pPr>
            <w:r>
              <w:rPr>
                <w:rFonts w:hint="eastAsia"/>
              </w:rPr>
              <w:t>106.948106°</w:t>
            </w:r>
          </w:p>
        </w:tc>
        <w:tc>
          <w:tcPr>
            <w:tcW w:w="0" w:type="auto"/>
            <w:shd w:val="clear" w:color="auto" w:fill="auto"/>
            <w:vAlign w:val="center"/>
          </w:tcPr>
          <w:p w14:paraId="010F8E27">
            <w:pPr>
              <w:widowControl w:val="0"/>
              <w:jc w:val="center"/>
              <w:rPr>
                <w:szCs w:val="21"/>
              </w:rPr>
            </w:pPr>
            <w:r>
              <w:rPr>
                <w:rFonts w:hint="eastAsia"/>
              </w:rPr>
              <w:t>31.855744°</w:t>
            </w:r>
          </w:p>
        </w:tc>
        <w:tc>
          <w:tcPr>
            <w:tcW w:w="0" w:type="auto"/>
            <w:shd w:val="clear" w:color="auto" w:fill="auto"/>
            <w:vAlign w:val="center"/>
          </w:tcPr>
          <w:p w14:paraId="4CCD2C35">
            <w:pPr>
              <w:widowControl w:val="0"/>
              <w:jc w:val="center"/>
              <w:rPr>
                <w:szCs w:val="21"/>
              </w:rPr>
            </w:pPr>
            <w:r>
              <w:rPr>
                <w:rFonts w:hint="eastAsia"/>
              </w:rPr>
              <w:t>约72人</w:t>
            </w:r>
          </w:p>
        </w:tc>
        <w:tc>
          <w:tcPr>
            <w:tcW w:w="0" w:type="auto"/>
            <w:vMerge w:val="continue"/>
            <w:vAlign w:val="center"/>
          </w:tcPr>
          <w:p w14:paraId="7625D660">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49E2679">
            <w:pPr>
              <w:widowControl w:val="0"/>
              <w:jc w:val="center"/>
              <w:rPr>
                <w:szCs w:val="21"/>
              </w:rPr>
            </w:pPr>
            <w:r>
              <w:t>SW</w:t>
            </w:r>
          </w:p>
        </w:tc>
        <w:tc>
          <w:tcPr>
            <w:tcW w:w="0" w:type="auto"/>
            <w:shd w:val="clear" w:color="auto" w:fill="auto"/>
            <w:vAlign w:val="center"/>
          </w:tcPr>
          <w:p w14:paraId="6236C4B3">
            <w:pPr>
              <w:widowControl w:val="0"/>
              <w:jc w:val="center"/>
              <w:rPr>
                <w:szCs w:val="21"/>
              </w:rPr>
            </w:pPr>
            <w:r>
              <w:t>355</w:t>
            </w:r>
          </w:p>
        </w:tc>
        <w:tc>
          <w:tcPr>
            <w:tcW w:w="0" w:type="auto"/>
            <w:shd w:val="clear" w:color="auto" w:fill="auto"/>
            <w:vAlign w:val="center"/>
          </w:tcPr>
          <w:p w14:paraId="6A24F193">
            <w:pPr>
              <w:widowControl w:val="0"/>
              <w:jc w:val="center"/>
              <w:rPr>
                <w:szCs w:val="21"/>
              </w:rPr>
            </w:pPr>
            <w:r>
              <w:t>-12</w:t>
            </w:r>
          </w:p>
        </w:tc>
        <w:tc>
          <w:tcPr>
            <w:tcW w:w="0" w:type="auto"/>
            <w:vMerge w:val="continue"/>
            <w:vAlign w:val="center"/>
          </w:tcPr>
          <w:p w14:paraId="2654797C">
            <w:pPr>
              <w:widowControl w:val="0"/>
              <w:jc w:val="center"/>
              <w:rPr>
                <w:rFonts w:ascii="宋体" w:hAnsi="宋体"/>
                <w:color w:val="000000" w:themeColor="text1"/>
                <w:szCs w:val="21"/>
                <w14:textFill>
                  <w14:solidFill>
                    <w14:schemeClr w14:val="tx1"/>
                  </w14:solidFill>
                </w14:textFill>
              </w:rPr>
            </w:pPr>
          </w:p>
        </w:tc>
      </w:tr>
      <w:tr w14:paraId="735A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39FEBC8">
            <w:pPr>
              <w:widowControl w:val="0"/>
              <w:jc w:val="center"/>
              <w:rPr>
                <w:szCs w:val="21"/>
              </w:rPr>
            </w:pPr>
            <w:r>
              <w:t>25#</w:t>
            </w:r>
          </w:p>
        </w:tc>
        <w:tc>
          <w:tcPr>
            <w:tcW w:w="0" w:type="auto"/>
            <w:shd w:val="clear" w:color="auto" w:fill="auto"/>
            <w:vAlign w:val="center"/>
          </w:tcPr>
          <w:p w14:paraId="292512C7">
            <w:pPr>
              <w:widowControl w:val="0"/>
              <w:jc w:val="center"/>
              <w:rPr>
                <w:szCs w:val="21"/>
              </w:rPr>
            </w:pPr>
            <w:r>
              <w:rPr>
                <w:rFonts w:hint="eastAsia"/>
              </w:rPr>
              <w:t>木子岭</w:t>
            </w:r>
          </w:p>
        </w:tc>
        <w:tc>
          <w:tcPr>
            <w:tcW w:w="0" w:type="auto"/>
            <w:shd w:val="clear" w:color="auto" w:fill="auto"/>
            <w:vAlign w:val="center"/>
          </w:tcPr>
          <w:p w14:paraId="0E4E1BD6">
            <w:pPr>
              <w:widowControl w:val="0"/>
              <w:jc w:val="center"/>
              <w:rPr>
                <w:szCs w:val="21"/>
              </w:rPr>
            </w:pPr>
            <w:r>
              <w:rPr>
                <w:rFonts w:hint="eastAsia"/>
              </w:rPr>
              <w:t>106.935854°</w:t>
            </w:r>
          </w:p>
        </w:tc>
        <w:tc>
          <w:tcPr>
            <w:tcW w:w="0" w:type="auto"/>
            <w:shd w:val="clear" w:color="auto" w:fill="auto"/>
            <w:vAlign w:val="center"/>
          </w:tcPr>
          <w:p w14:paraId="658E956A">
            <w:pPr>
              <w:widowControl w:val="0"/>
              <w:jc w:val="center"/>
              <w:rPr>
                <w:szCs w:val="21"/>
              </w:rPr>
            </w:pPr>
            <w:r>
              <w:rPr>
                <w:rFonts w:hint="eastAsia"/>
              </w:rPr>
              <w:t>31.843915°</w:t>
            </w:r>
          </w:p>
        </w:tc>
        <w:tc>
          <w:tcPr>
            <w:tcW w:w="0" w:type="auto"/>
            <w:shd w:val="clear" w:color="auto" w:fill="auto"/>
            <w:vAlign w:val="center"/>
          </w:tcPr>
          <w:p w14:paraId="2A06F7F3">
            <w:pPr>
              <w:widowControl w:val="0"/>
              <w:jc w:val="center"/>
              <w:rPr>
                <w:szCs w:val="21"/>
              </w:rPr>
            </w:pPr>
            <w:r>
              <w:rPr>
                <w:rFonts w:hint="eastAsia"/>
              </w:rPr>
              <w:t>约63人</w:t>
            </w:r>
          </w:p>
        </w:tc>
        <w:tc>
          <w:tcPr>
            <w:tcW w:w="0" w:type="auto"/>
            <w:vMerge w:val="continue"/>
            <w:vAlign w:val="center"/>
          </w:tcPr>
          <w:p w14:paraId="6862E31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4AEE3F0">
            <w:pPr>
              <w:widowControl w:val="0"/>
              <w:jc w:val="center"/>
              <w:rPr>
                <w:szCs w:val="21"/>
              </w:rPr>
            </w:pPr>
            <w:r>
              <w:t>SW</w:t>
            </w:r>
          </w:p>
        </w:tc>
        <w:tc>
          <w:tcPr>
            <w:tcW w:w="0" w:type="auto"/>
            <w:shd w:val="clear" w:color="auto" w:fill="auto"/>
            <w:vAlign w:val="center"/>
          </w:tcPr>
          <w:p w14:paraId="346B4E52">
            <w:pPr>
              <w:widowControl w:val="0"/>
              <w:jc w:val="center"/>
              <w:rPr>
                <w:szCs w:val="21"/>
              </w:rPr>
            </w:pPr>
            <w:r>
              <w:t>2103</w:t>
            </w:r>
          </w:p>
        </w:tc>
        <w:tc>
          <w:tcPr>
            <w:tcW w:w="0" w:type="auto"/>
            <w:shd w:val="clear" w:color="auto" w:fill="auto"/>
            <w:vAlign w:val="center"/>
          </w:tcPr>
          <w:p w14:paraId="13A87B5B">
            <w:pPr>
              <w:widowControl w:val="0"/>
              <w:jc w:val="center"/>
              <w:rPr>
                <w:szCs w:val="21"/>
              </w:rPr>
            </w:pPr>
            <w:r>
              <w:t>75</w:t>
            </w:r>
          </w:p>
        </w:tc>
        <w:tc>
          <w:tcPr>
            <w:tcW w:w="0" w:type="auto"/>
            <w:vMerge w:val="continue"/>
            <w:vAlign w:val="center"/>
          </w:tcPr>
          <w:p w14:paraId="41910430">
            <w:pPr>
              <w:widowControl w:val="0"/>
              <w:jc w:val="center"/>
              <w:rPr>
                <w:rFonts w:ascii="宋体" w:hAnsi="宋体"/>
                <w:color w:val="000000" w:themeColor="text1"/>
                <w:szCs w:val="21"/>
                <w14:textFill>
                  <w14:solidFill>
                    <w14:schemeClr w14:val="tx1"/>
                  </w14:solidFill>
                </w14:textFill>
              </w:rPr>
            </w:pPr>
          </w:p>
        </w:tc>
      </w:tr>
      <w:tr w14:paraId="0C64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B33EF45">
            <w:pPr>
              <w:widowControl w:val="0"/>
              <w:jc w:val="center"/>
              <w:rPr>
                <w:szCs w:val="21"/>
              </w:rPr>
            </w:pPr>
            <w:r>
              <w:t>26#</w:t>
            </w:r>
          </w:p>
        </w:tc>
        <w:tc>
          <w:tcPr>
            <w:tcW w:w="0" w:type="auto"/>
            <w:shd w:val="clear" w:color="auto" w:fill="auto"/>
            <w:vAlign w:val="center"/>
          </w:tcPr>
          <w:p w14:paraId="526EF7D7">
            <w:pPr>
              <w:widowControl w:val="0"/>
              <w:jc w:val="center"/>
              <w:rPr>
                <w:szCs w:val="21"/>
              </w:rPr>
            </w:pPr>
            <w:r>
              <w:rPr>
                <w:rFonts w:hint="eastAsia"/>
              </w:rPr>
              <w:t>新庙子</w:t>
            </w:r>
          </w:p>
        </w:tc>
        <w:tc>
          <w:tcPr>
            <w:tcW w:w="0" w:type="auto"/>
            <w:shd w:val="clear" w:color="auto" w:fill="auto"/>
            <w:vAlign w:val="center"/>
          </w:tcPr>
          <w:p w14:paraId="0626E1C7">
            <w:pPr>
              <w:widowControl w:val="0"/>
              <w:jc w:val="center"/>
              <w:rPr>
                <w:szCs w:val="21"/>
              </w:rPr>
            </w:pPr>
            <w:r>
              <w:rPr>
                <w:rFonts w:hint="eastAsia"/>
              </w:rPr>
              <w:t>106.930146°</w:t>
            </w:r>
          </w:p>
        </w:tc>
        <w:tc>
          <w:tcPr>
            <w:tcW w:w="0" w:type="auto"/>
            <w:shd w:val="clear" w:color="auto" w:fill="auto"/>
            <w:vAlign w:val="center"/>
          </w:tcPr>
          <w:p w14:paraId="1CB04DA3">
            <w:pPr>
              <w:widowControl w:val="0"/>
              <w:jc w:val="center"/>
              <w:rPr>
                <w:szCs w:val="21"/>
              </w:rPr>
            </w:pPr>
            <w:r>
              <w:rPr>
                <w:rFonts w:hint="eastAsia"/>
              </w:rPr>
              <w:t>31.842529°</w:t>
            </w:r>
          </w:p>
        </w:tc>
        <w:tc>
          <w:tcPr>
            <w:tcW w:w="0" w:type="auto"/>
            <w:shd w:val="clear" w:color="auto" w:fill="auto"/>
            <w:vAlign w:val="center"/>
          </w:tcPr>
          <w:p w14:paraId="329F1E7D">
            <w:pPr>
              <w:widowControl w:val="0"/>
              <w:jc w:val="center"/>
              <w:rPr>
                <w:szCs w:val="21"/>
              </w:rPr>
            </w:pPr>
            <w:r>
              <w:rPr>
                <w:rFonts w:hint="eastAsia"/>
              </w:rPr>
              <w:t>约87人</w:t>
            </w:r>
          </w:p>
        </w:tc>
        <w:tc>
          <w:tcPr>
            <w:tcW w:w="0" w:type="auto"/>
            <w:vMerge w:val="continue"/>
            <w:vAlign w:val="center"/>
          </w:tcPr>
          <w:p w14:paraId="1D6164B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C60DED9">
            <w:pPr>
              <w:widowControl w:val="0"/>
              <w:jc w:val="center"/>
              <w:rPr>
                <w:szCs w:val="21"/>
              </w:rPr>
            </w:pPr>
            <w:r>
              <w:t>SW</w:t>
            </w:r>
          </w:p>
        </w:tc>
        <w:tc>
          <w:tcPr>
            <w:tcW w:w="0" w:type="auto"/>
            <w:shd w:val="clear" w:color="auto" w:fill="auto"/>
            <w:vAlign w:val="center"/>
          </w:tcPr>
          <w:p w14:paraId="6B521108">
            <w:pPr>
              <w:widowControl w:val="0"/>
              <w:jc w:val="center"/>
              <w:rPr>
                <w:szCs w:val="21"/>
              </w:rPr>
            </w:pPr>
            <w:r>
              <w:t>2587</w:t>
            </w:r>
          </w:p>
        </w:tc>
        <w:tc>
          <w:tcPr>
            <w:tcW w:w="0" w:type="auto"/>
            <w:shd w:val="clear" w:color="auto" w:fill="auto"/>
            <w:vAlign w:val="center"/>
          </w:tcPr>
          <w:p w14:paraId="466456D1">
            <w:pPr>
              <w:widowControl w:val="0"/>
              <w:jc w:val="center"/>
              <w:rPr>
                <w:szCs w:val="21"/>
              </w:rPr>
            </w:pPr>
            <w:r>
              <w:t>87</w:t>
            </w:r>
          </w:p>
        </w:tc>
        <w:tc>
          <w:tcPr>
            <w:tcW w:w="0" w:type="auto"/>
            <w:vMerge w:val="continue"/>
            <w:vAlign w:val="center"/>
          </w:tcPr>
          <w:p w14:paraId="126373F5">
            <w:pPr>
              <w:widowControl w:val="0"/>
              <w:jc w:val="center"/>
              <w:rPr>
                <w:rFonts w:ascii="宋体" w:hAnsi="宋体"/>
                <w:color w:val="000000" w:themeColor="text1"/>
                <w:szCs w:val="21"/>
                <w14:textFill>
                  <w14:solidFill>
                    <w14:schemeClr w14:val="tx1"/>
                  </w14:solidFill>
                </w14:textFill>
              </w:rPr>
            </w:pPr>
          </w:p>
        </w:tc>
      </w:tr>
      <w:tr w14:paraId="46D2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69113EC">
            <w:pPr>
              <w:widowControl w:val="0"/>
              <w:jc w:val="center"/>
              <w:rPr>
                <w:szCs w:val="21"/>
              </w:rPr>
            </w:pPr>
            <w:r>
              <w:t>27#</w:t>
            </w:r>
          </w:p>
        </w:tc>
        <w:tc>
          <w:tcPr>
            <w:tcW w:w="0" w:type="auto"/>
            <w:shd w:val="clear" w:color="auto" w:fill="auto"/>
            <w:vAlign w:val="center"/>
          </w:tcPr>
          <w:p w14:paraId="56B612E2">
            <w:pPr>
              <w:widowControl w:val="0"/>
              <w:jc w:val="center"/>
              <w:rPr>
                <w:szCs w:val="21"/>
              </w:rPr>
            </w:pPr>
            <w:r>
              <w:rPr>
                <w:rFonts w:hint="eastAsia"/>
              </w:rPr>
              <w:t>向家湾</w:t>
            </w:r>
          </w:p>
        </w:tc>
        <w:tc>
          <w:tcPr>
            <w:tcW w:w="0" w:type="auto"/>
            <w:shd w:val="clear" w:color="auto" w:fill="auto"/>
            <w:vAlign w:val="center"/>
          </w:tcPr>
          <w:p w14:paraId="21FF5340">
            <w:pPr>
              <w:widowControl w:val="0"/>
              <w:jc w:val="center"/>
              <w:rPr>
                <w:szCs w:val="21"/>
              </w:rPr>
            </w:pPr>
            <w:r>
              <w:rPr>
                <w:rFonts w:hint="eastAsia"/>
              </w:rPr>
              <w:t>106.936498°</w:t>
            </w:r>
          </w:p>
        </w:tc>
        <w:tc>
          <w:tcPr>
            <w:tcW w:w="0" w:type="auto"/>
            <w:shd w:val="clear" w:color="auto" w:fill="auto"/>
            <w:vAlign w:val="center"/>
          </w:tcPr>
          <w:p w14:paraId="5B298E59">
            <w:pPr>
              <w:widowControl w:val="0"/>
              <w:jc w:val="center"/>
              <w:rPr>
                <w:szCs w:val="21"/>
              </w:rPr>
            </w:pPr>
            <w:r>
              <w:rPr>
                <w:rFonts w:hint="eastAsia"/>
              </w:rPr>
              <w:t>31.842165°</w:t>
            </w:r>
          </w:p>
        </w:tc>
        <w:tc>
          <w:tcPr>
            <w:tcW w:w="0" w:type="auto"/>
            <w:shd w:val="clear" w:color="auto" w:fill="auto"/>
            <w:vAlign w:val="center"/>
          </w:tcPr>
          <w:p w14:paraId="6446CCD6">
            <w:pPr>
              <w:widowControl w:val="0"/>
              <w:jc w:val="center"/>
              <w:rPr>
                <w:szCs w:val="21"/>
              </w:rPr>
            </w:pPr>
            <w:r>
              <w:rPr>
                <w:rFonts w:hint="eastAsia"/>
              </w:rPr>
              <w:t>约57人</w:t>
            </w:r>
          </w:p>
        </w:tc>
        <w:tc>
          <w:tcPr>
            <w:tcW w:w="0" w:type="auto"/>
            <w:vMerge w:val="continue"/>
            <w:vAlign w:val="center"/>
          </w:tcPr>
          <w:p w14:paraId="0B2D2C2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F0371B0">
            <w:pPr>
              <w:widowControl w:val="0"/>
              <w:jc w:val="center"/>
              <w:rPr>
                <w:szCs w:val="21"/>
              </w:rPr>
            </w:pPr>
            <w:r>
              <w:t>SW</w:t>
            </w:r>
          </w:p>
        </w:tc>
        <w:tc>
          <w:tcPr>
            <w:tcW w:w="0" w:type="auto"/>
            <w:shd w:val="clear" w:color="auto" w:fill="auto"/>
            <w:vAlign w:val="center"/>
          </w:tcPr>
          <w:p w14:paraId="222D5C82">
            <w:pPr>
              <w:widowControl w:val="0"/>
              <w:jc w:val="center"/>
              <w:rPr>
                <w:szCs w:val="21"/>
              </w:rPr>
            </w:pPr>
            <w:r>
              <w:t>2221</w:t>
            </w:r>
          </w:p>
        </w:tc>
        <w:tc>
          <w:tcPr>
            <w:tcW w:w="0" w:type="auto"/>
            <w:shd w:val="clear" w:color="auto" w:fill="auto"/>
            <w:vAlign w:val="center"/>
          </w:tcPr>
          <w:p w14:paraId="4142AC76">
            <w:pPr>
              <w:widowControl w:val="0"/>
              <w:jc w:val="center"/>
              <w:rPr>
                <w:szCs w:val="21"/>
              </w:rPr>
            </w:pPr>
            <w:r>
              <w:t>19</w:t>
            </w:r>
          </w:p>
        </w:tc>
        <w:tc>
          <w:tcPr>
            <w:tcW w:w="0" w:type="auto"/>
            <w:vMerge w:val="continue"/>
            <w:vAlign w:val="center"/>
          </w:tcPr>
          <w:p w14:paraId="35DEFE6A">
            <w:pPr>
              <w:widowControl w:val="0"/>
              <w:jc w:val="center"/>
              <w:rPr>
                <w:rFonts w:ascii="宋体" w:hAnsi="宋体"/>
                <w:color w:val="000000" w:themeColor="text1"/>
                <w:szCs w:val="21"/>
                <w14:textFill>
                  <w14:solidFill>
                    <w14:schemeClr w14:val="tx1"/>
                  </w14:solidFill>
                </w14:textFill>
              </w:rPr>
            </w:pPr>
          </w:p>
        </w:tc>
      </w:tr>
      <w:tr w14:paraId="59BB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68B1100">
            <w:pPr>
              <w:widowControl w:val="0"/>
              <w:jc w:val="center"/>
              <w:rPr>
                <w:szCs w:val="21"/>
              </w:rPr>
            </w:pPr>
            <w:r>
              <w:t>28#</w:t>
            </w:r>
          </w:p>
        </w:tc>
        <w:tc>
          <w:tcPr>
            <w:tcW w:w="0" w:type="auto"/>
            <w:shd w:val="clear" w:color="auto" w:fill="auto"/>
            <w:vAlign w:val="center"/>
          </w:tcPr>
          <w:p w14:paraId="00181036">
            <w:pPr>
              <w:widowControl w:val="0"/>
              <w:jc w:val="center"/>
              <w:rPr>
                <w:szCs w:val="21"/>
              </w:rPr>
            </w:pPr>
            <w:r>
              <w:rPr>
                <w:rFonts w:hint="eastAsia"/>
              </w:rPr>
              <w:t>塘坝村2</w:t>
            </w:r>
          </w:p>
        </w:tc>
        <w:tc>
          <w:tcPr>
            <w:tcW w:w="0" w:type="auto"/>
            <w:shd w:val="clear" w:color="auto" w:fill="auto"/>
            <w:vAlign w:val="center"/>
          </w:tcPr>
          <w:p w14:paraId="3632879D">
            <w:pPr>
              <w:widowControl w:val="0"/>
              <w:jc w:val="center"/>
              <w:rPr>
                <w:szCs w:val="21"/>
              </w:rPr>
            </w:pPr>
            <w:r>
              <w:rPr>
                <w:rFonts w:hint="eastAsia"/>
              </w:rPr>
              <w:t>106.951518°</w:t>
            </w:r>
          </w:p>
        </w:tc>
        <w:tc>
          <w:tcPr>
            <w:tcW w:w="0" w:type="auto"/>
            <w:shd w:val="clear" w:color="auto" w:fill="auto"/>
            <w:vAlign w:val="center"/>
          </w:tcPr>
          <w:p w14:paraId="4B895B04">
            <w:pPr>
              <w:widowControl w:val="0"/>
              <w:jc w:val="center"/>
              <w:rPr>
                <w:szCs w:val="21"/>
              </w:rPr>
            </w:pPr>
            <w:r>
              <w:rPr>
                <w:rFonts w:hint="eastAsia"/>
              </w:rPr>
              <w:t>31.855216°</w:t>
            </w:r>
          </w:p>
        </w:tc>
        <w:tc>
          <w:tcPr>
            <w:tcW w:w="0" w:type="auto"/>
            <w:shd w:val="clear" w:color="auto" w:fill="auto"/>
            <w:vAlign w:val="center"/>
          </w:tcPr>
          <w:p w14:paraId="6F758CC8">
            <w:pPr>
              <w:widowControl w:val="0"/>
              <w:jc w:val="center"/>
              <w:rPr>
                <w:szCs w:val="21"/>
              </w:rPr>
            </w:pPr>
            <w:r>
              <w:rPr>
                <w:rFonts w:hint="eastAsia"/>
              </w:rPr>
              <w:t>约204人</w:t>
            </w:r>
          </w:p>
        </w:tc>
        <w:tc>
          <w:tcPr>
            <w:tcW w:w="0" w:type="auto"/>
            <w:vMerge w:val="continue"/>
            <w:vAlign w:val="center"/>
          </w:tcPr>
          <w:p w14:paraId="0BA6B6D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5C0219B">
            <w:pPr>
              <w:widowControl w:val="0"/>
              <w:jc w:val="center"/>
              <w:rPr>
                <w:szCs w:val="21"/>
              </w:rPr>
            </w:pPr>
            <w:r>
              <w:t>S</w:t>
            </w:r>
          </w:p>
        </w:tc>
        <w:tc>
          <w:tcPr>
            <w:tcW w:w="0" w:type="auto"/>
            <w:shd w:val="clear" w:color="auto" w:fill="auto"/>
            <w:vAlign w:val="center"/>
          </w:tcPr>
          <w:p w14:paraId="06D5FB33">
            <w:pPr>
              <w:widowControl w:val="0"/>
              <w:jc w:val="center"/>
              <w:rPr>
                <w:szCs w:val="21"/>
              </w:rPr>
            </w:pPr>
            <w:r>
              <w:t>380</w:t>
            </w:r>
          </w:p>
        </w:tc>
        <w:tc>
          <w:tcPr>
            <w:tcW w:w="0" w:type="auto"/>
            <w:shd w:val="clear" w:color="auto" w:fill="auto"/>
            <w:vAlign w:val="center"/>
          </w:tcPr>
          <w:p w14:paraId="5A12765E">
            <w:pPr>
              <w:widowControl w:val="0"/>
              <w:jc w:val="center"/>
              <w:rPr>
                <w:szCs w:val="21"/>
              </w:rPr>
            </w:pPr>
            <w:r>
              <w:t>-19</w:t>
            </w:r>
          </w:p>
        </w:tc>
        <w:tc>
          <w:tcPr>
            <w:tcW w:w="0" w:type="auto"/>
            <w:vMerge w:val="continue"/>
            <w:vAlign w:val="center"/>
          </w:tcPr>
          <w:p w14:paraId="1153DFC0">
            <w:pPr>
              <w:widowControl w:val="0"/>
              <w:jc w:val="center"/>
              <w:rPr>
                <w:rFonts w:ascii="宋体" w:hAnsi="宋体"/>
                <w:color w:val="000000" w:themeColor="text1"/>
                <w:szCs w:val="21"/>
                <w14:textFill>
                  <w14:solidFill>
                    <w14:schemeClr w14:val="tx1"/>
                  </w14:solidFill>
                </w14:textFill>
              </w:rPr>
            </w:pPr>
          </w:p>
        </w:tc>
      </w:tr>
      <w:tr w14:paraId="1E28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F152DF2">
            <w:pPr>
              <w:widowControl w:val="0"/>
              <w:jc w:val="center"/>
              <w:rPr>
                <w:szCs w:val="21"/>
              </w:rPr>
            </w:pPr>
            <w:r>
              <w:t>29#</w:t>
            </w:r>
          </w:p>
        </w:tc>
        <w:tc>
          <w:tcPr>
            <w:tcW w:w="0" w:type="auto"/>
            <w:shd w:val="clear" w:color="auto" w:fill="auto"/>
            <w:vAlign w:val="center"/>
          </w:tcPr>
          <w:p w14:paraId="0A90654C">
            <w:pPr>
              <w:widowControl w:val="0"/>
              <w:jc w:val="center"/>
              <w:rPr>
                <w:szCs w:val="21"/>
              </w:rPr>
            </w:pPr>
            <w:r>
              <w:rPr>
                <w:rFonts w:hint="eastAsia"/>
              </w:rPr>
              <w:t>李家湾3</w:t>
            </w:r>
          </w:p>
        </w:tc>
        <w:tc>
          <w:tcPr>
            <w:tcW w:w="0" w:type="auto"/>
            <w:shd w:val="clear" w:color="auto" w:fill="auto"/>
            <w:vAlign w:val="center"/>
          </w:tcPr>
          <w:p w14:paraId="608AD9EB">
            <w:pPr>
              <w:widowControl w:val="0"/>
              <w:jc w:val="center"/>
              <w:rPr>
                <w:szCs w:val="21"/>
              </w:rPr>
            </w:pPr>
            <w:r>
              <w:rPr>
                <w:rFonts w:hint="eastAsia"/>
              </w:rPr>
              <w:t>106.956089°</w:t>
            </w:r>
          </w:p>
        </w:tc>
        <w:tc>
          <w:tcPr>
            <w:tcW w:w="0" w:type="auto"/>
            <w:shd w:val="clear" w:color="auto" w:fill="auto"/>
            <w:vAlign w:val="center"/>
          </w:tcPr>
          <w:p w14:paraId="49D6E6E2">
            <w:pPr>
              <w:widowControl w:val="0"/>
              <w:jc w:val="center"/>
              <w:rPr>
                <w:szCs w:val="21"/>
              </w:rPr>
            </w:pPr>
            <w:r>
              <w:rPr>
                <w:rFonts w:hint="eastAsia"/>
              </w:rPr>
              <w:t>31.851698°</w:t>
            </w:r>
          </w:p>
        </w:tc>
        <w:tc>
          <w:tcPr>
            <w:tcW w:w="0" w:type="auto"/>
            <w:shd w:val="clear" w:color="auto" w:fill="auto"/>
            <w:vAlign w:val="center"/>
          </w:tcPr>
          <w:p w14:paraId="54645620">
            <w:pPr>
              <w:widowControl w:val="0"/>
              <w:jc w:val="center"/>
              <w:rPr>
                <w:szCs w:val="21"/>
              </w:rPr>
            </w:pPr>
            <w:r>
              <w:rPr>
                <w:rFonts w:hint="eastAsia"/>
              </w:rPr>
              <w:t>约315人</w:t>
            </w:r>
          </w:p>
        </w:tc>
        <w:tc>
          <w:tcPr>
            <w:tcW w:w="0" w:type="auto"/>
            <w:vMerge w:val="continue"/>
            <w:vAlign w:val="center"/>
          </w:tcPr>
          <w:p w14:paraId="2848E44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F6ABC7C">
            <w:pPr>
              <w:widowControl w:val="0"/>
              <w:jc w:val="center"/>
              <w:rPr>
                <w:szCs w:val="21"/>
              </w:rPr>
            </w:pPr>
            <w:r>
              <w:t>S</w:t>
            </w:r>
          </w:p>
        </w:tc>
        <w:tc>
          <w:tcPr>
            <w:tcW w:w="0" w:type="auto"/>
            <w:shd w:val="clear" w:color="auto" w:fill="auto"/>
            <w:vAlign w:val="center"/>
          </w:tcPr>
          <w:p w14:paraId="0CCD8D1C">
            <w:pPr>
              <w:widowControl w:val="0"/>
              <w:jc w:val="center"/>
              <w:rPr>
                <w:szCs w:val="21"/>
              </w:rPr>
            </w:pPr>
            <w:r>
              <w:t>778</w:t>
            </w:r>
          </w:p>
        </w:tc>
        <w:tc>
          <w:tcPr>
            <w:tcW w:w="0" w:type="auto"/>
            <w:shd w:val="clear" w:color="auto" w:fill="auto"/>
            <w:vAlign w:val="center"/>
          </w:tcPr>
          <w:p w14:paraId="44AB1728">
            <w:pPr>
              <w:widowControl w:val="0"/>
              <w:jc w:val="center"/>
              <w:rPr>
                <w:szCs w:val="21"/>
              </w:rPr>
            </w:pPr>
            <w:r>
              <w:t>-27</w:t>
            </w:r>
          </w:p>
        </w:tc>
        <w:tc>
          <w:tcPr>
            <w:tcW w:w="0" w:type="auto"/>
            <w:vMerge w:val="continue"/>
            <w:vAlign w:val="center"/>
          </w:tcPr>
          <w:p w14:paraId="72A424E8">
            <w:pPr>
              <w:widowControl w:val="0"/>
              <w:jc w:val="center"/>
              <w:rPr>
                <w:rFonts w:ascii="宋体" w:hAnsi="宋体"/>
                <w:color w:val="000000" w:themeColor="text1"/>
                <w:szCs w:val="21"/>
                <w14:textFill>
                  <w14:solidFill>
                    <w14:schemeClr w14:val="tx1"/>
                  </w14:solidFill>
                </w14:textFill>
              </w:rPr>
            </w:pPr>
          </w:p>
        </w:tc>
      </w:tr>
      <w:tr w14:paraId="5173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6BB1B56">
            <w:pPr>
              <w:widowControl w:val="0"/>
              <w:jc w:val="center"/>
              <w:rPr>
                <w:szCs w:val="21"/>
              </w:rPr>
            </w:pPr>
            <w:r>
              <w:t>30#</w:t>
            </w:r>
          </w:p>
        </w:tc>
        <w:tc>
          <w:tcPr>
            <w:tcW w:w="0" w:type="auto"/>
            <w:shd w:val="clear" w:color="auto" w:fill="auto"/>
            <w:vAlign w:val="center"/>
          </w:tcPr>
          <w:p w14:paraId="33149D17">
            <w:pPr>
              <w:widowControl w:val="0"/>
              <w:jc w:val="center"/>
              <w:rPr>
                <w:szCs w:val="21"/>
              </w:rPr>
            </w:pPr>
            <w:r>
              <w:rPr>
                <w:rFonts w:hint="eastAsia"/>
              </w:rPr>
              <w:t>文昌村安置房</w:t>
            </w:r>
          </w:p>
        </w:tc>
        <w:tc>
          <w:tcPr>
            <w:tcW w:w="0" w:type="auto"/>
            <w:shd w:val="clear" w:color="auto" w:fill="auto"/>
            <w:vAlign w:val="center"/>
          </w:tcPr>
          <w:p w14:paraId="38DB55F2">
            <w:pPr>
              <w:widowControl w:val="0"/>
              <w:jc w:val="center"/>
              <w:rPr>
                <w:szCs w:val="21"/>
              </w:rPr>
            </w:pPr>
            <w:r>
              <w:rPr>
                <w:rFonts w:hint="eastAsia"/>
              </w:rPr>
              <w:t>106.952505°</w:t>
            </w:r>
          </w:p>
        </w:tc>
        <w:tc>
          <w:tcPr>
            <w:tcW w:w="0" w:type="auto"/>
            <w:shd w:val="clear" w:color="auto" w:fill="auto"/>
            <w:vAlign w:val="center"/>
          </w:tcPr>
          <w:p w14:paraId="517CEF8B">
            <w:pPr>
              <w:widowControl w:val="0"/>
              <w:jc w:val="center"/>
              <w:rPr>
                <w:szCs w:val="21"/>
              </w:rPr>
            </w:pPr>
            <w:r>
              <w:rPr>
                <w:rFonts w:hint="eastAsia"/>
              </w:rPr>
              <w:t>31.849310°</w:t>
            </w:r>
          </w:p>
        </w:tc>
        <w:tc>
          <w:tcPr>
            <w:tcW w:w="0" w:type="auto"/>
            <w:shd w:val="clear" w:color="auto" w:fill="auto"/>
            <w:vAlign w:val="center"/>
          </w:tcPr>
          <w:p w14:paraId="40FE7E0A">
            <w:pPr>
              <w:widowControl w:val="0"/>
              <w:jc w:val="center"/>
              <w:rPr>
                <w:szCs w:val="21"/>
              </w:rPr>
            </w:pPr>
            <w:r>
              <w:rPr>
                <w:rFonts w:hint="eastAsia"/>
              </w:rPr>
              <w:t>约1500人</w:t>
            </w:r>
          </w:p>
        </w:tc>
        <w:tc>
          <w:tcPr>
            <w:tcW w:w="0" w:type="auto"/>
            <w:vMerge w:val="continue"/>
            <w:vAlign w:val="center"/>
          </w:tcPr>
          <w:p w14:paraId="7E36179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C346434">
            <w:pPr>
              <w:widowControl w:val="0"/>
              <w:jc w:val="center"/>
              <w:rPr>
                <w:szCs w:val="21"/>
              </w:rPr>
            </w:pPr>
            <w:r>
              <w:t>S</w:t>
            </w:r>
          </w:p>
        </w:tc>
        <w:tc>
          <w:tcPr>
            <w:tcW w:w="0" w:type="auto"/>
            <w:shd w:val="clear" w:color="auto" w:fill="auto"/>
            <w:vAlign w:val="center"/>
          </w:tcPr>
          <w:p w14:paraId="00F52970">
            <w:pPr>
              <w:widowControl w:val="0"/>
              <w:jc w:val="center"/>
              <w:rPr>
                <w:szCs w:val="21"/>
              </w:rPr>
            </w:pPr>
            <w:r>
              <w:t>1026</w:t>
            </w:r>
          </w:p>
        </w:tc>
        <w:tc>
          <w:tcPr>
            <w:tcW w:w="0" w:type="auto"/>
            <w:shd w:val="clear" w:color="auto" w:fill="auto"/>
            <w:vAlign w:val="center"/>
          </w:tcPr>
          <w:p w14:paraId="58435B9E">
            <w:pPr>
              <w:widowControl w:val="0"/>
              <w:jc w:val="center"/>
              <w:rPr>
                <w:szCs w:val="21"/>
              </w:rPr>
            </w:pPr>
            <w:r>
              <w:t>-12</w:t>
            </w:r>
          </w:p>
        </w:tc>
        <w:tc>
          <w:tcPr>
            <w:tcW w:w="0" w:type="auto"/>
            <w:vMerge w:val="continue"/>
            <w:vAlign w:val="center"/>
          </w:tcPr>
          <w:p w14:paraId="2B1EA381">
            <w:pPr>
              <w:widowControl w:val="0"/>
              <w:jc w:val="center"/>
              <w:rPr>
                <w:rFonts w:ascii="宋体" w:hAnsi="宋体"/>
                <w:color w:val="000000" w:themeColor="text1"/>
                <w:szCs w:val="21"/>
                <w14:textFill>
                  <w14:solidFill>
                    <w14:schemeClr w14:val="tx1"/>
                  </w14:solidFill>
                </w14:textFill>
              </w:rPr>
            </w:pPr>
          </w:p>
        </w:tc>
      </w:tr>
      <w:tr w14:paraId="1C0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11A850C">
            <w:pPr>
              <w:widowControl w:val="0"/>
              <w:jc w:val="center"/>
              <w:rPr>
                <w:szCs w:val="21"/>
              </w:rPr>
            </w:pPr>
            <w:r>
              <w:t>31#</w:t>
            </w:r>
          </w:p>
        </w:tc>
        <w:tc>
          <w:tcPr>
            <w:tcW w:w="0" w:type="auto"/>
            <w:shd w:val="clear" w:color="auto" w:fill="auto"/>
            <w:vAlign w:val="center"/>
          </w:tcPr>
          <w:p w14:paraId="416EC4FF">
            <w:pPr>
              <w:widowControl w:val="0"/>
              <w:jc w:val="center"/>
              <w:rPr>
                <w:szCs w:val="21"/>
              </w:rPr>
            </w:pPr>
            <w:r>
              <w:rPr>
                <w:rFonts w:hint="eastAsia"/>
              </w:rPr>
              <w:t>钟家湾2</w:t>
            </w:r>
          </w:p>
        </w:tc>
        <w:tc>
          <w:tcPr>
            <w:tcW w:w="0" w:type="auto"/>
            <w:shd w:val="clear" w:color="auto" w:fill="auto"/>
            <w:vAlign w:val="center"/>
          </w:tcPr>
          <w:p w14:paraId="518847D9">
            <w:pPr>
              <w:widowControl w:val="0"/>
              <w:jc w:val="center"/>
              <w:rPr>
                <w:szCs w:val="21"/>
              </w:rPr>
            </w:pPr>
            <w:r>
              <w:rPr>
                <w:rFonts w:hint="eastAsia"/>
              </w:rPr>
              <w:t>106.946282°</w:t>
            </w:r>
          </w:p>
        </w:tc>
        <w:tc>
          <w:tcPr>
            <w:tcW w:w="0" w:type="auto"/>
            <w:shd w:val="clear" w:color="auto" w:fill="auto"/>
            <w:vAlign w:val="center"/>
          </w:tcPr>
          <w:p w14:paraId="7439282B">
            <w:pPr>
              <w:widowControl w:val="0"/>
              <w:jc w:val="center"/>
              <w:rPr>
                <w:szCs w:val="21"/>
              </w:rPr>
            </w:pPr>
            <w:r>
              <w:rPr>
                <w:rFonts w:hint="eastAsia"/>
              </w:rPr>
              <w:t>31.843605°</w:t>
            </w:r>
          </w:p>
        </w:tc>
        <w:tc>
          <w:tcPr>
            <w:tcW w:w="0" w:type="auto"/>
            <w:shd w:val="clear" w:color="auto" w:fill="auto"/>
            <w:vAlign w:val="center"/>
          </w:tcPr>
          <w:p w14:paraId="4FC6FFBE">
            <w:pPr>
              <w:widowControl w:val="0"/>
              <w:jc w:val="center"/>
              <w:rPr>
                <w:szCs w:val="21"/>
              </w:rPr>
            </w:pPr>
            <w:r>
              <w:rPr>
                <w:rFonts w:hint="eastAsia"/>
              </w:rPr>
              <w:t>约36人</w:t>
            </w:r>
          </w:p>
        </w:tc>
        <w:tc>
          <w:tcPr>
            <w:tcW w:w="0" w:type="auto"/>
            <w:vMerge w:val="continue"/>
            <w:vAlign w:val="center"/>
          </w:tcPr>
          <w:p w14:paraId="204DFB42">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AACE7A5">
            <w:pPr>
              <w:widowControl w:val="0"/>
              <w:jc w:val="center"/>
              <w:rPr>
                <w:szCs w:val="21"/>
              </w:rPr>
            </w:pPr>
            <w:r>
              <w:t>S</w:t>
            </w:r>
          </w:p>
        </w:tc>
        <w:tc>
          <w:tcPr>
            <w:tcW w:w="0" w:type="auto"/>
            <w:shd w:val="clear" w:color="auto" w:fill="auto"/>
            <w:vAlign w:val="center"/>
          </w:tcPr>
          <w:p w14:paraId="063F8886">
            <w:pPr>
              <w:widowControl w:val="0"/>
              <w:jc w:val="center"/>
              <w:rPr>
                <w:szCs w:val="21"/>
              </w:rPr>
            </w:pPr>
            <w:r>
              <w:t>1680</w:t>
            </w:r>
          </w:p>
        </w:tc>
        <w:tc>
          <w:tcPr>
            <w:tcW w:w="0" w:type="auto"/>
            <w:shd w:val="clear" w:color="auto" w:fill="auto"/>
            <w:vAlign w:val="center"/>
          </w:tcPr>
          <w:p w14:paraId="4E653F84">
            <w:pPr>
              <w:widowControl w:val="0"/>
              <w:jc w:val="center"/>
              <w:rPr>
                <w:szCs w:val="21"/>
              </w:rPr>
            </w:pPr>
            <w:r>
              <w:t>11</w:t>
            </w:r>
          </w:p>
        </w:tc>
        <w:tc>
          <w:tcPr>
            <w:tcW w:w="0" w:type="auto"/>
            <w:vMerge w:val="continue"/>
            <w:vAlign w:val="center"/>
          </w:tcPr>
          <w:p w14:paraId="1D4285B2">
            <w:pPr>
              <w:widowControl w:val="0"/>
              <w:jc w:val="center"/>
              <w:rPr>
                <w:rFonts w:ascii="宋体" w:hAnsi="宋体"/>
                <w:color w:val="000000" w:themeColor="text1"/>
                <w:szCs w:val="21"/>
                <w14:textFill>
                  <w14:solidFill>
                    <w14:schemeClr w14:val="tx1"/>
                  </w14:solidFill>
                </w14:textFill>
              </w:rPr>
            </w:pPr>
          </w:p>
        </w:tc>
      </w:tr>
      <w:tr w14:paraId="134D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0CB15F2">
            <w:pPr>
              <w:widowControl w:val="0"/>
              <w:jc w:val="center"/>
              <w:rPr>
                <w:szCs w:val="21"/>
              </w:rPr>
            </w:pPr>
            <w:r>
              <w:t>32#</w:t>
            </w:r>
          </w:p>
        </w:tc>
        <w:tc>
          <w:tcPr>
            <w:tcW w:w="0" w:type="auto"/>
            <w:shd w:val="clear" w:color="auto" w:fill="auto"/>
            <w:vAlign w:val="center"/>
          </w:tcPr>
          <w:p w14:paraId="1A15CBDE">
            <w:pPr>
              <w:widowControl w:val="0"/>
              <w:jc w:val="center"/>
              <w:rPr>
                <w:szCs w:val="21"/>
              </w:rPr>
            </w:pPr>
            <w:r>
              <w:rPr>
                <w:rFonts w:hint="eastAsia"/>
              </w:rPr>
              <w:t>安家湾</w:t>
            </w:r>
          </w:p>
        </w:tc>
        <w:tc>
          <w:tcPr>
            <w:tcW w:w="0" w:type="auto"/>
            <w:shd w:val="clear" w:color="auto" w:fill="auto"/>
            <w:vAlign w:val="center"/>
          </w:tcPr>
          <w:p w14:paraId="513ACD27">
            <w:pPr>
              <w:widowControl w:val="0"/>
              <w:jc w:val="center"/>
              <w:rPr>
                <w:szCs w:val="21"/>
              </w:rPr>
            </w:pPr>
            <w:r>
              <w:rPr>
                <w:rFonts w:hint="eastAsia"/>
              </w:rPr>
              <w:t>106.951046°</w:t>
            </w:r>
          </w:p>
        </w:tc>
        <w:tc>
          <w:tcPr>
            <w:tcW w:w="0" w:type="auto"/>
            <w:shd w:val="clear" w:color="auto" w:fill="auto"/>
            <w:vAlign w:val="center"/>
          </w:tcPr>
          <w:p w14:paraId="57DD3246">
            <w:pPr>
              <w:widowControl w:val="0"/>
              <w:jc w:val="center"/>
              <w:rPr>
                <w:szCs w:val="21"/>
              </w:rPr>
            </w:pPr>
            <w:r>
              <w:rPr>
                <w:rFonts w:hint="eastAsia"/>
              </w:rPr>
              <w:t>31.837931°</w:t>
            </w:r>
          </w:p>
        </w:tc>
        <w:tc>
          <w:tcPr>
            <w:tcW w:w="0" w:type="auto"/>
            <w:shd w:val="clear" w:color="auto" w:fill="auto"/>
            <w:vAlign w:val="center"/>
          </w:tcPr>
          <w:p w14:paraId="5BDE90DA">
            <w:pPr>
              <w:widowControl w:val="0"/>
              <w:jc w:val="center"/>
              <w:rPr>
                <w:szCs w:val="21"/>
              </w:rPr>
            </w:pPr>
            <w:r>
              <w:rPr>
                <w:rFonts w:hint="eastAsia"/>
              </w:rPr>
              <w:t>约117人</w:t>
            </w:r>
          </w:p>
        </w:tc>
        <w:tc>
          <w:tcPr>
            <w:tcW w:w="0" w:type="auto"/>
            <w:vMerge w:val="continue"/>
            <w:vAlign w:val="center"/>
          </w:tcPr>
          <w:p w14:paraId="0467EAD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1A9064F">
            <w:pPr>
              <w:widowControl w:val="0"/>
              <w:jc w:val="center"/>
              <w:rPr>
                <w:szCs w:val="21"/>
              </w:rPr>
            </w:pPr>
            <w:r>
              <w:t>S</w:t>
            </w:r>
          </w:p>
        </w:tc>
        <w:tc>
          <w:tcPr>
            <w:tcW w:w="0" w:type="auto"/>
            <w:shd w:val="clear" w:color="auto" w:fill="auto"/>
            <w:vAlign w:val="center"/>
          </w:tcPr>
          <w:p w14:paraId="6C63D41F">
            <w:pPr>
              <w:widowControl w:val="0"/>
              <w:jc w:val="center"/>
              <w:rPr>
                <w:szCs w:val="21"/>
              </w:rPr>
            </w:pPr>
            <w:r>
              <w:t>2293</w:t>
            </w:r>
          </w:p>
        </w:tc>
        <w:tc>
          <w:tcPr>
            <w:tcW w:w="0" w:type="auto"/>
            <w:shd w:val="clear" w:color="auto" w:fill="auto"/>
            <w:vAlign w:val="center"/>
          </w:tcPr>
          <w:p w14:paraId="4CCD97C8">
            <w:pPr>
              <w:widowControl w:val="0"/>
              <w:jc w:val="center"/>
              <w:rPr>
                <w:szCs w:val="21"/>
              </w:rPr>
            </w:pPr>
            <w:r>
              <w:t>1</w:t>
            </w:r>
          </w:p>
        </w:tc>
        <w:tc>
          <w:tcPr>
            <w:tcW w:w="0" w:type="auto"/>
            <w:vMerge w:val="continue"/>
            <w:vAlign w:val="center"/>
          </w:tcPr>
          <w:p w14:paraId="0644AA81">
            <w:pPr>
              <w:widowControl w:val="0"/>
              <w:jc w:val="center"/>
              <w:rPr>
                <w:rFonts w:ascii="宋体" w:hAnsi="宋体"/>
                <w:color w:val="000000" w:themeColor="text1"/>
                <w:szCs w:val="21"/>
                <w14:textFill>
                  <w14:solidFill>
                    <w14:schemeClr w14:val="tx1"/>
                  </w14:solidFill>
                </w14:textFill>
              </w:rPr>
            </w:pPr>
          </w:p>
        </w:tc>
      </w:tr>
      <w:tr w14:paraId="340D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5F6A8A0">
            <w:pPr>
              <w:widowControl w:val="0"/>
              <w:jc w:val="center"/>
              <w:rPr>
                <w:szCs w:val="21"/>
              </w:rPr>
            </w:pPr>
            <w:bookmarkStart w:id="240" w:name="_Hlk234583209"/>
            <w:r>
              <w:t>33#</w:t>
            </w:r>
          </w:p>
        </w:tc>
        <w:tc>
          <w:tcPr>
            <w:tcW w:w="0" w:type="auto"/>
            <w:shd w:val="clear" w:color="auto" w:fill="auto"/>
            <w:vAlign w:val="center"/>
          </w:tcPr>
          <w:p w14:paraId="22AFE4A8">
            <w:pPr>
              <w:widowControl w:val="0"/>
              <w:jc w:val="center"/>
              <w:rPr>
                <w:szCs w:val="21"/>
              </w:rPr>
            </w:pPr>
            <w:r>
              <w:rPr>
                <w:rFonts w:hint="eastAsia"/>
              </w:rPr>
              <w:t>向家粱-碾子岩-蚂蟥梁</w:t>
            </w:r>
          </w:p>
        </w:tc>
        <w:tc>
          <w:tcPr>
            <w:tcW w:w="0" w:type="auto"/>
            <w:shd w:val="clear" w:color="auto" w:fill="auto"/>
            <w:vAlign w:val="center"/>
          </w:tcPr>
          <w:p w14:paraId="50E3D566">
            <w:pPr>
              <w:widowControl w:val="0"/>
              <w:jc w:val="center"/>
              <w:rPr>
                <w:szCs w:val="21"/>
              </w:rPr>
            </w:pPr>
            <w:r>
              <w:rPr>
                <w:rFonts w:hint="eastAsia"/>
              </w:rPr>
              <w:t>106.966753°</w:t>
            </w:r>
          </w:p>
        </w:tc>
        <w:tc>
          <w:tcPr>
            <w:tcW w:w="0" w:type="auto"/>
            <w:shd w:val="clear" w:color="auto" w:fill="auto"/>
            <w:vAlign w:val="center"/>
          </w:tcPr>
          <w:p w14:paraId="4F7E9820">
            <w:pPr>
              <w:widowControl w:val="0"/>
              <w:jc w:val="center"/>
              <w:rPr>
                <w:szCs w:val="21"/>
              </w:rPr>
            </w:pPr>
            <w:r>
              <w:rPr>
                <w:rFonts w:hint="eastAsia"/>
              </w:rPr>
              <w:t>31.840488°</w:t>
            </w:r>
          </w:p>
        </w:tc>
        <w:tc>
          <w:tcPr>
            <w:tcW w:w="0" w:type="auto"/>
            <w:shd w:val="clear" w:color="auto" w:fill="auto"/>
            <w:vAlign w:val="center"/>
          </w:tcPr>
          <w:p w14:paraId="469ED6F2">
            <w:pPr>
              <w:widowControl w:val="0"/>
              <w:jc w:val="center"/>
              <w:rPr>
                <w:szCs w:val="21"/>
              </w:rPr>
            </w:pPr>
            <w:r>
              <w:rPr>
                <w:rFonts w:hint="eastAsia"/>
              </w:rPr>
              <w:t>约350人</w:t>
            </w:r>
          </w:p>
        </w:tc>
        <w:tc>
          <w:tcPr>
            <w:tcW w:w="0" w:type="auto"/>
            <w:vMerge w:val="continue"/>
            <w:vAlign w:val="center"/>
          </w:tcPr>
          <w:p w14:paraId="56A8DB2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6EC4DD2">
            <w:pPr>
              <w:widowControl w:val="0"/>
              <w:jc w:val="center"/>
              <w:rPr>
                <w:szCs w:val="21"/>
              </w:rPr>
            </w:pPr>
            <w:r>
              <w:t>SE</w:t>
            </w:r>
          </w:p>
        </w:tc>
        <w:tc>
          <w:tcPr>
            <w:tcW w:w="0" w:type="auto"/>
            <w:shd w:val="clear" w:color="auto" w:fill="auto"/>
            <w:vAlign w:val="center"/>
          </w:tcPr>
          <w:p w14:paraId="52724548">
            <w:pPr>
              <w:widowControl w:val="0"/>
              <w:jc w:val="center"/>
              <w:rPr>
                <w:szCs w:val="21"/>
              </w:rPr>
            </w:pPr>
            <w:r>
              <w:t>2320</w:t>
            </w:r>
          </w:p>
        </w:tc>
        <w:tc>
          <w:tcPr>
            <w:tcW w:w="0" w:type="auto"/>
            <w:shd w:val="clear" w:color="auto" w:fill="auto"/>
            <w:vAlign w:val="center"/>
          </w:tcPr>
          <w:p w14:paraId="04D8CCC0">
            <w:pPr>
              <w:widowControl w:val="0"/>
              <w:jc w:val="center"/>
              <w:rPr>
                <w:szCs w:val="21"/>
              </w:rPr>
            </w:pPr>
            <w:r>
              <w:t>-17</w:t>
            </w:r>
          </w:p>
        </w:tc>
        <w:tc>
          <w:tcPr>
            <w:tcW w:w="0" w:type="auto"/>
            <w:vMerge w:val="continue"/>
            <w:vAlign w:val="center"/>
          </w:tcPr>
          <w:p w14:paraId="0C33A351">
            <w:pPr>
              <w:widowControl w:val="0"/>
              <w:jc w:val="center"/>
              <w:rPr>
                <w:rFonts w:ascii="宋体" w:hAnsi="宋体"/>
                <w:color w:val="000000" w:themeColor="text1"/>
                <w:szCs w:val="21"/>
                <w14:textFill>
                  <w14:solidFill>
                    <w14:schemeClr w14:val="tx1"/>
                  </w14:solidFill>
                </w14:textFill>
              </w:rPr>
            </w:pPr>
          </w:p>
        </w:tc>
      </w:tr>
      <w:tr w14:paraId="6193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1DF9C2C">
            <w:pPr>
              <w:widowControl w:val="0"/>
              <w:jc w:val="center"/>
              <w:rPr>
                <w:szCs w:val="21"/>
              </w:rPr>
            </w:pPr>
            <w:r>
              <w:t>34#</w:t>
            </w:r>
          </w:p>
        </w:tc>
        <w:tc>
          <w:tcPr>
            <w:tcW w:w="0" w:type="auto"/>
            <w:shd w:val="clear" w:color="auto" w:fill="auto"/>
            <w:vAlign w:val="center"/>
          </w:tcPr>
          <w:p w14:paraId="1A76F78A">
            <w:pPr>
              <w:widowControl w:val="0"/>
              <w:jc w:val="center"/>
              <w:rPr>
                <w:szCs w:val="21"/>
              </w:rPr>
            </w:pPr>
            <w:r>
              <w:rPr>
                <w:rFonts w:hint="eastAsia"/>
              </w:rPr>
              <w:t>杨家湾</w:t>
            </w:r>
          </w:p>
        </w:tc>
        <w:tc>
          <w:tcPr>
            <w:tcW w:w="0" w:type="auto"/>
            <w:shd w:val="clear" w:color="auto" w:fill="auto"/>
            <w:vAlign w:val="center"/>
          </w:tcPr>
          <w:p w14:paraId="61031B68">
            <w:pPr>
              <w:widowControl w:val="0"/>
              <w:jc w:val="center"/>
              <w:rPr>
                <w:szCs w:val="21"/>
              </w:rPr>
            </w:pPr>
            <w:r>
              <w:rPr>
                <w:rFonts w:hint="eastAsia"/>
              </w:rPr>
              <w:t>106.966925°</w:t>
            </w:r>
          </w:p>
        </w:tc>
        <w:tc>
          <w:tcPr>
            <w:tcW w:w="0" w:type="auto"/>
            <w:shd w:val="clear" w:color="auto" w:fill="auto"/>
            <w:vAlign w:val="center"/>
          </w:tcPr>
          <w:p w14:paraId="4F3F606A">
            <w:pPr>
              <w:widowControl w:val="0"/>
              <w:jc w:val="center"/>
              <w:rPr>
                <w:szCs w:val="21"/>
              </w:rPr>
            </w:pPr>
            <w:r>
              <w:rPr>
                <w:rFonts w:hint="eastAsia"/>
              </w:rPr>
              <w:t>31.847487°</w:t>
            </w:r>
          </w:p>
        </w:tc>
        <w:tc>
          <w:tcPr>
            <w:tcW w:w="0" w:type="auto"/>
            <w:shd w:val="clear" w:color="auto" w:fill="auto"/>
            <w:vAlign w:val="center"/>
          </w:tcPr>
          <w:p w14:paraId="4D62911B">
            <w:pPr>
              <w:widowControl w:val="0"/>
              <w:jc w:val="center"/>
              <w:rPr>
                <w:szCs w:val="21"/>
              </w:rPr>
            </w:pPr>
            <w:r>
              <w:rPr>
                <w:rFonts w:hint="eastAsia"/>
              </w:rPr>
              <w:t>约130人</w:t>
            </w:r>
          </w:p>
        </w:tc>
        <w:tc>
          <w:tcPr>
            <w:tcW w:w="0" w:type="auto"/>
            <w:vMerge w:val="continue"/>
            <w:vAlign w:val="center"/>
          </w:tcPr>
          <w:p w14:paraId="5965A76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BD3F828">
            <w:pPr>
              <w:widowControl w:val="0"/>
              <w:jc w:val="center"/>
              <w:rPr>
                <w:szCs w:val="21"/>
              </w:rPr>
            </w:pPr>
            <w:r>
              <w:t>SE</w:t>
            </w:r>
          </w:p>
        </w:tc>
        <w:tc>
          <w:tcPr>
            <w:tcW w:w="0" w:type="auto"/>
            <w:shd w:val="clear" w:color="auto" w:fill="auto"/>
            <w:vAlign w:val="center"/>
          </w:tcPr>
          <w:p w14:paraId="7DE3D2EC">
            <w:pPr>
              <w:widowControl w:val="0"/>
              <w:jc w:val="center"/>
              <w:rPr>
                <w:szCs w:val="21"/>
              </w:rPr>
            </w:pPr>
            <w:r>
              <w:t>1711</w:t>
            </w:r>
          </w:p>
        </w:tc>
        <w:tc>
          <w:tcPr>
            <w:tcW w:w="0" w:type="auto"/>
            <w:shd w:val="clear" w:color="auto" w:fill="auto"/>
            <w:vAlign w:val="center"/>
          </w:tcPr>
          <w:p w14:paraId="281F9103">
            <w:pPr>
              <w:widowControl w:val="0"/>
              <w:jc w:val="center"/>
              <w:rPr>
                <w:szCs w:val="21"/>
              </w:rPr>
            </w:pPr>
            <w:r>
              <w:t>-20</w:t>
            </w:r>
          </w:p>
        </w:tc>
        <w:tc>
          <w:tcPr>
            <w:tcW w:w="0" w:type="auto"/>
            <w:vMerge w:val="continue"/>
            <w:vAlign w:val="center"/>
          </w:tcPr>
          <w:p w14:paraId="5E0ADB82">
            <w:pPr>
              <w:widowControl w:val="0"/>
              <w:jc w:val="center"/>
              <w:rPr>
                <w:rFonts w:ascii="宋体" w:hAnsi="宋体"/>
                <w:color w:val="000000" w:themeColor="text1"/>
                <w:szCs w:val="21"/>
                <w14:textFill>
                  <w14:solidFill>
                    <w14:schemeClr w14:val="tx1"/>
                  </w14:solidFill>
                </w14:textFill>
              </w:rPr>
            </w:pPr>
          </w:p>
        </w:tc>
      </w:tr>
      <w:tr w14:paraId="2EE51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3D6E50C">
            <w:pPr>
              <w:widowControl w:val="0"/>
              <w:jc w:val="center"/>
              <w:rPr>
                <w:szCs w:val="21"/>
              </w:rPr>
            </w:pPr>
            <w:r>
              <w:t>35#</w:t>
            </w:r>
          </w:p>
        </w:tc>
        <w:tc>
          <w:tcPr>
            <w:tcW w:w="0" w:type="auto"/>
            <w:shd w:val="clear" w:color="auto" w:fill="auto"/>
            <w:vAlign w:val="center"/>
          </w:tcPr>
          <w:p w14:paraId="361DBC13">
            <w:pPr>
              <w:widowControl w:val="0"/>
              <w:jc w:val="center"/>
              <w:rPr>
                <w:szCs w:val="21"/>
              </w:rPr>
            </w:pPr>
            <w:r>
              <w:rPr>
                <w:rFonts w:hint="eastAsia"/>
              </w:rPr>
              <w:t>挖断垭</w:t>
            </w:r>
          </w:p>
        </w:tc>
        <w:tc>
          <w:tcPr>
            <w:tcW w:w="0" w:type="auto"/>
            <w:shd w:val="clear" w:color="auto" w:fill="auto"/>
            <w:vAlign w:val="center"/>
          </w:tcPr>
          <w:p w14:paraId="2DC50004">
            <w:pPr>
              <w:widowControl w:val="0"/>
              <w:jc w:val="center"/>
              <w:rPr>
                <w:szCs w:val="21"/>
              </w:rPr>
            </w:pPr>
            <w:r>
              <w:rPr>
                <w:rFonts w:hint="eastAsia"/>
              </w:rPr>
              <w:t>106.974649°</w:t>
            </w:r>
          </w:p>
        </w:tc>
        <w:tc>
          <w:tcPr>
            <w:tcW w:w="0" w:type="auto"/>
            <w:shd w:val="clear" w:color="auto" w:fill="auto"/>
            <w:vAlign w:val="center"/>
          </w:tcPr>
          <w:p w14:paraId="799E6E7E">
            <w:pPr>
              <w:widowControl w:val="0"/>
              <w:jc w:val="center"/>
              <w:rPr>
                <w:szCs w:val="21"/>
              </w:rPr>
            </w:pPr>
            <w:r>
              <w:rPr>
                <w:rFonts w:hint="eastAsia"/>
              </w:rPr>
              <w:t>31.849492°</w:t>
            </w:r>
          </w:p>
        </w:tc>
        <w:tc>
          <w:tcPr>
            <w:tcW w:w="0" w:type="auto"/>
            <w:shd w:val="clear" w:color="auto" w:fill="auto"/>
            <w:vAlign w:val="center"/>
          </w:tcPr>
          <w:p w14:paraId="4E01DE32">
            <w:pPr>
              <w:widowControl w:val="0"/>
              <w:jc w:val="center"/>
              <w:rPr>
                <w:szCs w:val="21"/>
              </w:rPr>
            </w:pPr>
            <w:r>
              <w:rPr>
                <w:rFonts w:hint="eastAsia"/>
              </w:rPr>
              <w:t>约150人</w:t>
            </w:r>
          </w:p>
        </w:tc>
        <w:tc>
          <w:tcPr>
            <w:tcW w:w="0" w:type="auto"/>
            <w:vMerge w:val="continue"/>
            <w:vAlign w:val="center"/>
          </w:tcPr>
          <w:p w14:paraId="38B5F8E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81AC6D5">
            <w:pPr>
              <w:widowControl w:val="0"/>
              <w:jc w:val="center"/>
              <w:rPr>
                <w:szCs w:val="21"/>
              </w:rPr>
            </w:pPr>
            <w:r>
              <w:t>SE</w:t>
            </w:r>
          </w:p>
        </w:tc>
        <w:tc>
          <w:tcPr>
            <w:tcW w:w="0" w:type="auto"/>
            <w:shd w:val="clear" w:color="auto" w:fill="auto"/>
            <w:vAlign w:val="center"/>
          </w:tcPr>
          <w:p w14:paraId="764A9817">
            <w:pPr>
              <w:widowControl w:val="0"/>
              <w:jc w:val="center"/>
              <w:rPr>
                <w:szCs w:val="21"/>
              </w:rPr>
            </w:pPr>
            <w:r>
              <w:t>2173</w:t>
            </w:r>
          </w:p>
        </w:tc>
        <w:tc>
          <w:tcPr>
            <w:tcW w:w="0" w:type="auto"/>
            <w:shd w:val="clear" w:color="auto" w:fill="auto"/>
            <w:vAlign w:val="center"/>
          </w:tcPr>
          <w:p w14:paraId="26B9ABD5">
            <w:pPr>
              <w:widowControl w:val="0"/>
              <w:jc w:val="center"/>
              <w:rPr>
                <w:szCs w:val="21"/>
              </w:rPr>
            </w:pPr>
            <w:r>
              <w:t>-37</w:t>
            </w:r>
          </w:p>
        </w:tc>
        <w:tc>
          <w:tcPr>
            <w:tcW w:w="0" w:type="auto"/>
            <w:vMerge w:val="continue"/>
            <w:vAlign w:val="center"/>
          </w:tcPr>
          <w:p w14:paraId="3C01DF6C">
            <w:pPr>
              <w:widowControl w:val="0"/>
              <w:jc w:val="center"/>
              <w:rPr>
                <w:rFonts w:ascii="宋体" w:hAnsi="宋体"/>
                <w:color w:val="000000" w:themeColor="text1"/>
                <w:szCs w:val="21"/>
                <w14:textFill>
                  <w14:solidFill>
                    <w14:schemeClr w14:val="tx1"/>
                  </w14:solidFill>
                </w14:textFill>
              </w:rPr>
            </w:pPr>
          </w:p>
        </w:tc>
      </w:tr>
      <w:tr w14:paraId="657B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6311AC3">
            <w:pPr>
              <w:widowControl w:val="0"/>
              <w:jc w:val="center"/>
              <w:rPr>
                <w:szCs w:val="21"/>
              </w:rPr>
            </w:pPr>
            <w:r>
              <w:t>36#</w:t>
            </w:r>
          </w:p>
        </w:tc>
        <w:tc>
          <w:tcPr>
            <w:tcW w:w="0" w:type="auto"/>
            <w:shd w:val="clear" w:color="auto" w:fill="auto"/>
            <w:vAlign w:val="center"/>
          </w:tcPr>
          <w:p w14:paraId="64DC7937">
            <w:pPr>
              <w:widowControl w:val="0"/>
              <w:jc w:val="center"/>
              <w:rPr>
                <w:szCs w:val="21"/>
              </w:rPr>
            </w:pPr>
            <w:r>
              <w:rPr>
                <w:rFonts w:hint="eastAsia"/>
              </w:rPr>
              <w:t>清江镇</w:t>
            </w:r>
          </w:p>
        </w:tc>
        <w:tc>
          <w:tcPr>
            <w:tcW w:w="0" w:type="auto"/>
            <w:shd w:val="clear" w:color="auto" w:fill="auto"/>
            <w:vAlign w:val="center"/>
          </w:tcPr>
          <w:p w14:paraId="79230CAB">
            <w:pPr>
              <w:widowControl w:val="0"/>
              <w:jc w:val="center"/>
              <w:rPr>
                <w:szCs w:val="21"/>
              </w:rPr>
            </w:pPr>
            <w:r>
              <w:rPr>
                <w:rFonts w:hint="eastAsia"/>
              </w:rPr>
              <w:t>106.966968°</w:t>
            </w:r>
          </w:p>
        </w:tc>
        <w:tc>
          <w:tcPr>
            <w:tcW w:w="0" w:type="auto"/>
            <w:shd w:val="clear" w:color="auto" w:fill="auto"/>
            <w:vAlign w:val="center"/>
          </w:tcPr>
          <w:p w14:paraId="50A9E638">
            <w:pPr>
              <w:widowControl w:val="0"/>
              <w:jc w:val="center"/>
              <w:rPr>
                <w:szCs w:val="21"/>
              </w:rPr>
            </w:pPr>
            <w:r>
              <w:rPr>
                <w:rFonts w:hint="eastAsia"/>
              </w:rPr>
              <w:t>31.854158°</w:t>
            </w:r>
          </w:p>
        </w:tc>
        <w:tc>
          <w:tcPr>
            <w:tcW w:w="0" w:type="auto"/>
            <w:shd w:val="clear" w:color="auto" w:fill="auto"/>
            <w:vAlign w:val="center"/>
          </w:tcPr>
          <w:p w14:paraId="20F1D3FA">
            <w:pPr>
              <w:widowControl w:val="0"/>
              <w:jc w:val="center"/>
              <w:rPr>
                <w:szCs w:val="21"/>
              </w:rPr>
            </w:pPr>
            <w:r>
              <w:rPr>
                <w:rFonts w:hint="eastAsia"/>
              </w:rPr>
              <w:t>约5000人</w:t>
            </w:r>
          </w:p>
        </w:tc>
        <w:tc>
          <w:tcPr>
            <w:tcW w:w="0" w:type="auto"/>
            <w:vMerge w:val="continue"/>
            <w:vAlign w:val="center"/>
          </w:tcPr>
          <w:p w14:paraId="785DEB4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6189568">
            <w:pPr>
              <w:widowControl w:val="0"/>
              <w:jc w:val="center"/>
              <w:rPr>
                <w:szCs w:val="21"/>
              </w:rPr>
            </w:pPr>
            <w:r>
              <w:t>SE</w:t>
            </w:r>
          </w:p>
        </w:tc>
        <w:tc>
          <w:tcPr>
            <w:tcW w:w="0" w:type="auto"/>
            <w:shd w:val="clear" w:color="auto" w:fill="auto"/>
            <w:vAlign w:val="center"/>
          </w:tcPr>
          <w:p w14:paraId="382885AE">
            <w:pPr>
              <w:widowControl w:val="0"/>
              <w:jc w:val="center"/>
              <w:rPr>
                <w:szCs w:val="21"/>
              </w:rPr>
            </w:pPr>
            <w:r>
              <w:t>1309</w:t>
            </w:r>
          </w:p>
        </w:tc>
        <w:tc>
          <w:tcPr>
            <w:tcW w:w="0" w:type="auto"/>
            <w:shd w:val="clear" w:color="auto" w:fill="auto"/>
            <w:vAlign w:val="center"/>
          </w:tcPr>
          <w:p w14:paraId="059D4852">
            <w:pPr>
              <w:widowControl w:val="0"/>
              <w:jc w:val="center"/>
              <w:rPr>
                <w:szCs w:val="21"/>
              </w:rPr>
            </w:pPr>
            <w:r>
              <w:t>-19</w:t>
            </w:r>
          </w:p>
        </w:tc>
        <w:tc>
          <w:tcPr>
            <w:tcW w:w="0" w:type="auto"/>
            <w:vMerge w:val="continue"/>
            <w:vAlign w:val="center"/>
          </w:tcPr>
          <w:p w14:paraId="7DEC18AC">
            <w:pPr>
              <w:widowControl w:val="0"/>
              <w:jc w:val="center"/>
              <w:rPr>
                <w:rFonts w:ascii="宋体" w:hAnsi="宋体"/>
                <w:color w:val="000000" w:themeColor="text1"/>
                <w:szCs w:val="21"/>
                <w14:textFill>
                  <w14:solidFill>
                    <w14:schemeClr w14:val="tx1"/>
                  </w14:solidFill>
                </w14:textFill>
              </w:rPr>
            </w:pPr>
          </w:p>
        </w:tc>
      </w:tr>
      <w:tr w14:paraId="6E475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8EFCC35">
            <w:pPr>
              <w:widowControl w:val="0"/>
              <w:jc w:val="center"/>
              <w:rPr>
                <w:szCs w:val="21"/>
              </w:rPr>
            </w:pPr>
            <w:r>
              <w:t>37#</w:t>
            </w:r>
          </w:p>
        </w:tc>
        <w:tc>
          <w:tcPr>
            <w:tcW w:w="0" w:type="auto"/>
            <w:shd w:val="clear" w:color="auto" w:fill="auto"/>
            <w:vAlign w:val="center"/>
          </w:tcPr>
          <w:p w14:paraId="5279ECB6">
            <w:pPr>
              <w:widowControl w:val="0"/>
              <w:jc w:val="center"/>
              <w:rPr>
                <w:szCs w:val="21"/>
              </w:rPr>
            </w:pPr>
            <w:r>
              <w:rPr>
                <w:rFonts w:hint="eastAsia"/>
              </w:rPr>
              <w:t>光耀学校</w:t>
            </w:r>
          </w:p>
        </w:tc>
        <w:tc>
          <w:tcPr>
            <w:tcW w:w="0" w:type="auto"/>
            <w:shd w:val="clear" w:color="auto" w:fill="auto"/>
            <w:vAlign w:val="center"/>
          </w:tcPr>
          <w:p w14:paraId="2A7AEBB1">
            <w:pPr>
              <w:widowControl w:val="0"/>
              <w:jc w:val="center"/>
              <w:rPr>
                <w:szCs w:val="21"/>
              </w:rPr>
            </w:pPr>
            <w:r>
              <w:rPr>
                <w:rFonts w:hint="eastAsia"/>
              </w:rPr>
              <w:t>106.962655°</w:t>
            </w:r>
          </w:p>
        </w:tc>
        <w:tc>
          <w:tcPr>
            <w:tcW w:w="0" w:type="auto"/>
            <w:shd w:val="clear" w:color="auto" w:fill="auto"/>
            <w:vAlign w:val="center"/>
          </w:tcPr>
          <w:p w14:paraId="48B0BC84">
            <w:pPr>
              <w:widowControl w:val="0"/>
              <w:jc w:val="center"/>
              <w:rPr>
                <w:szCs w:val="21"/>
              </w:rPr>
            </w:pPr>
            <w:r>
              <w:rPr>
                <w:rFonts w:hint="eastAsia"/>
              </w:rPr>
              <w:t>31.856473°</w:t>
            </w:r>
          </w:p>
        </w:tc>
        <w:tc>
          <w:tcPr>
            <w:tcW w:w="0" w:type="auto"/>
            <w:shd w:val="clear" w:color="auto" w:fill="auto"/>
            <w:vAlign w:val="center"/>
          </w:tcPr>
          <w:p w14:paraId="3F3CFE47">
            <w:pPr>
              <w:widowControl w:val="0"/>
              <w:jc w:val="center"/>
              <w:rPr>
                <w:szCs w:val="21"/>
              </w:rPr>
            </w:pPr>
            <w:r>
              <w:rPr>
                <w:rFonts w:hint="eastAsia"/>
              </w:rPr>
              <w:t>约2200人</w:t>
            </w:r>
          </w:p>
        </w:tc>
        <w:tc>
          <w:tcPr>
            <w:tcW w:w="0" w:type="auto"/>
            <w:vMerge w:val="continue"/>
            <w:vAlign w:val="center"/>
          </w:tcPr>
          <w:p w14:paraId="21F3B9F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E322035">
            <w:pPr>
              <w:widowControl w:val="0"/>
              <w:jc w:val="center"/>
              <w:rPr>
                <w:szCs w:val="21"/>
              </w:rPr>
            </w:pPr>
            <w:r>
              <w:t>SE</w:t>
            </w:r>
          </w:p>
        </w:tc>
        <w:tc>
          <w:tcPr>
            <w:tcW w:w="0" w:type="auto"/>
            <w:shd w:val="clear" w:color="auto" w:fill="auto"/>
            <w:vAlign w:val="center"/>
          </w:tcPr>
          <w:p w14:paraId="040A652D">
            <w:pPr>
              <w:widowControl w:val="0"/>
              <w:jc w:val="center"/>
              <w:rPr>
                <w:szCs w:val="21"/>
              </w:rPr>
            </w:pPr>
            <w:r>
              <w:t>821</w:t>
            </w:r>
          </w:p>
        </w:tc>
        <w:tc>
          <w:tcPr>
            <w:tcW w:w="0" w:type="auto"/>
            <w:shd w:val="clear" w:color="auto" w:fill="auto"/>
            <w:vAlign w:val="center"/>
          </w:tcPr>
          <w:p w14:paraId="1DD8339C">
            <w:pPr>
              <w:widowControl w:val="0"/>
              <w:jc w:val="center"/>
              <w:rPr>
                <w:szCs w:val="21"/>
              </w:rPr>
            </w:pPr>
            <w:r>
              <w:t>-24</w:t>
            </w:r>
          </w:p>
        </w:tc>
        <w:tc>
          <w:tcPr>
            <w:tcW w:w="0" w:type="auto"/>
            <w:vMerge w:val="continue"/>
            <w:vAlign w:val="center"/>
          </w:tcPr>
          <w:p w14:paraId="0A40AD5C">
            <w:pPr>
              <w:widowControl w:val="0"/>
              <w:jc w:val="center"/>
              <w:rPr>
                <w:rFonts w:ascii="宋体" w:hAnsi="宋体"/>
                <w:color w:val="000000" w:themeColor="text1"/>
                <w:szCs w:val="21"/>
                <w14:textFill>
                  <w14:solidFill>
                    <w14:schemeClr w14:val="tx1"/>
                  </w14:solidFill>
                </w14:textFill>
              </w:rPr>
            </w:pPr>
          </w:p>
        </w:tc>
      </w:tr>
      <w:tr w14:paraId="3B4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8F4F4DE">
            <w:pPr>
              <w:widowControl w:val="0"/>
              <w:jc w:val="center"/>
              <w:rPr>
                <w:szCs w:val="21"/>
              </w:rPr>
            </w:pPr>
            <w:r>
              <w:t>38#</w:t>
            </w:r>
          </w:p>
        </w:tc>
        <w:tc>
          <w:tcPr>
            <w:tcW w:w="0" w:type="auto"/>
            <w:shd w:val="clear" w:color="auto" w:fill="auto"/>
            <w:vAlign w:val="center"/>
          </w:tcPr>
          <w:p w14:paraId="6862E960">
            <w:pPr>
              <w:widowControl w:val="0"/>
              <w:jc w:val="center"/>
              <w:rPr>
                <w:szCs w:val="21"/>
              </w:rPr>
            </w:pPr>
            <w:r>
              <w:rPr>
                <w:rFonts w:hint="eastAsia"/>
              </w:rPr>
              <w:t>清江镇中心小学</w:t>
            </w:r>
          </w:p>
        </w:tc>
        <w:tc>
          <w:tcPr>
            <w:tcW w:w="0" w:type="auto"/>
            <w:shd w:val="clear" w:color="auto" w:fill="auto"/>
            <w:vAlign w:val="center"/>
          </w:tcPr>
          <w:p w14:paraId="359FE41D">
            <w:pPr>
              <w:widowControl w:val="0"/>
              <w:jc w:val="center"/>
              <w:rPr>
                <w:szCs w:val="21"/>
              </w:rPr>
            </w:pPr>
            <w:r>
              <w:rPr>
                <w:rFonts w:hint="eastAsia"/>
              </w:rPr>
              <w:t>106.969736°</w:t>
            </w:r>
          </w:p>
        </w:tc>
        <w:tc>
          <w:tcPr>
            <w:tcW w:w="0" w:type="auto"/>
            <w:shd w:val="clear" w:color="auto" w:fill="auto"/>
            <w:vAlign w:val="center"/>
          </w:tcPr>
          <w:p w14:paraId="51FEF703">
            <w:pPr>
              <w:widowControl w:val="0"/>
              <w:jc w:val="center"/>
              <w:rPr>
                <w:szCs w:val="21"/>
              </w:rPr>
            </w:pPr>
            <w:r>
              <w:rPr>
                <w:rFonts w:hint="eastAsia"/>
              </w:rPr>
              <w:t>31.852390°</w:t>
            </w:r>
          </w:p>
        </w:tc>
        <w:tc>
          <w:tcPr>
            <w:tcW w:w="0" w:type="auto"/>
            <w:shd w:val="clear" w:color="auto" w:fill="auto"/>
            <w:vAlign w:val="center"/>
          </w:tcPr>
          <w:p w14:paraId="3D571D0F">
            <w:pPr>
              <w:widowControl w:val="0"/>
              <w:jc w:val="center"/>
              <w:rPr>
                <w:szCs w:val="21"/>
              </w:rPr>
            </w:pPr>
            <w:r>
              <w:rPr>
                <w:rFonts w:hint="eastAsia"/>
              </w:rPr>
              <w:t>约2100人</w:t>
            </w:r>
          </w:p>
        </w:tc>
        <w:tc>
          <w:tcPr>
            <w:tcW w:w="0" w:type="auto"/>
            <w:vMerge w:val="continue"/>
            <w:vAlign w:val="center"/>
          </w:tcPr>
          <w:p w14:paraId="5202A2A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A2721E8">
            <w:pPr>
              <w:widowControl w:val="0"/>
              <w:jc w:val="center"/>
              <w:rPr>
                <w:szCs w:val="21"/>
              </w:rPr>
            </w:pPr>
            <w:r>
              <w:t>SE</w:t>
            </w:r>
          </w:p>
        </w:tc>
        <w:tc>
          <w:tcPr>
            <w:tcW w:w="0" w:type="auto"/>
            <w:shd w:val="clear" w:color="auto" w:fill="auto"/>
            <w:vAlign w:val="center"/>
          </w:tcPr>
          <w:p w14:paraId="5A4CAC6D">
            <w:pPr>
              <w:widowControl w:val="0"/>
              <w:jc w:val="center"/>
              <w:rPr>
                <w:szCs w:val="21"/>
              </w:rPr>
            </w:pPr>
            <w:r>
              <w:t>1611</w:t>
            </w:r>
          </w:p>
        </w:tc>
        <w:tc>
          <w:tcPr>
            <w:tcW w:w="0" w:type="auto"/>
            <w:shd w:val="clear" w:color="auto" w:fill="auto"/>
            <w:vAlign w:val="center"/>
          </w:tcPr>
          <w:p w14:paraId="4A7FC80F">
            <w:pPr>
              <w:widowControl w:val="0"/>
              <w:jc w:val="center"/>
              <w:rPr>
                <w:szCs w:val="21"/>
              </w:rPr>
            </w:pPr>
            <w:r>
              <w:t>-21</w:t>
            </w:r>
          </w:p>
        </w:tc>
        <w:tc>
          <w:tcPr>
            <w:tcW w:w="0" w:type="auto"/>
            <w:vMerge w:val="continue"/>
            <w:vAlign w:val="center"/>
          </w:tcPr>
          <w:p w14:paraId="232AC7F5">
            <w:pPr>
              <w:widowControl w:val="0"/>
              <w:jc w:val="center"/>
              <w:rPr>
                <w:rFonts w:ascii="宋体" w:hAnsi="宋体"/>
                <w:color w:val="000000" w:themeColor="text1"/>
                <w:szCs w:val="21"/>
                <w14:textFill>
                  <w14:solidFill>
                    <w14:schemeClr w14:val="tx1"/>
                  </w14:solidFill>
                </w14:textFill>
              </w:rPr>
            </w:pPr>
          </w:p>
        </w:tc>
      </w:tr>
      <w:tr w14:paraId="011CB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D99E823">
            <w:pPr>
              <w:widowControl w:val="0"/>
              <w:jc w:val="center"/>
              <w:rPr>
                <w:szCs w:val="21"/>
              </w:rPr>
            </w:pPr>
            <w:r>
              <w:t>39#</w:t>
            </w:r>
          </w:p>
        </w:tc>
        <w:tc>
          <w:tcPr>
            <w:tcW w:w="0" w:type="auto"/>
            <w:shd w:val="clear" w:color="auto" w:fill="auto"/>
            <w:vAlign w:val="center"/>
          </w:tcPr>
          <w:p w14:paraId="646B42E1">
            <w:pPr>
              <w:widowControl w:val="0"/>
              <w:jc w:val="center"/>
              <w:rPr>
                <w:szCs w:val="21"/>
              </w:rPr>
            </w:pPr>
            <w:r>
              <w:rPr>
                <w:rFonts w:hint="eastAsia"/>
              </w:rPr>
              <w:t>奇章中学</w:t>
            </w:r>
          </w:p>
        </w:tc>
        <w:tc>
          <w:tcPr>
            <w:tcW w:w="0" w:type="auto"/>
            <w:shd w:val="clear" w:color="auto" w:fill="auto"/>
            <w:vAlign w:val="center"/>
          </w:tcPr>
          <w:p w14:paraId="01F1AC7A">
            <w:pPr>
              <w:widowControl w:val="0"/>
              <w:jc w:val="center"/>
              <w:rPr>
                <w:szCs w:val="21"/>
              </w:rPr>
            </w:pPr>
            <w:r>
              <w:rPr>
                <w:rFonts w:hint="eastAsia"/>
              </w:rPr>
              <w:t>106.971774°</w:t>
            </w:r>
          </w:p>
        </w:tc>
        <w:tc>
          <w:tcPr>
            <w:tcW w:w="0" w:type="auto"/>
            <w:shd w:val="clear" w:color="auto" w:fill="auto"/>
            <w:vAlign w:val="center"/>
          </w:tcPr>
          <w:p w14:paraId="2F7265AA">
            <w:pPr>
              <w:widowControl w:val="0"/>
              <w:jc w:val="center"/>
              <w:rPr>
                <w:szCs w:val="21"/>
              </w:rPr>
            </w:pPr>
            <w:r>
              <w:rPr>
                <w:rFonts w:hint="eastAsia"/>
              </w:rPr>
              <w:t>31.852427°</w:t>
            </w:r>
          </w:p>
        </w:tc>
        <w:tc>
          <w:tcPr>
            <w:tcW w:w="0" w:type="auto"/>
            <w:shd w:val="clear" w:color="auto" w:fill="auto"/>
            <w:vAlign w:val="center"/>
          </w:tcPr>
          <w:p w14:paraId="52B2FE14">
            <w:pPr>
              <w:widowControl w:val="0"/>
              <w:jc w:val="center"/>
              <w:rPr>
                <w:szCs w:val="21"/>
              </w:rPr>
            </w:pPr>
            <w:r>
              <w:rPr>
                <w:rFonts w:hint="eastAsia"/>
              </w:rPr>
              <w:t>约3000人</w:t>
            </w:r>
          </w:p>
        </w:tc>
        <w:tc>
          <w:tcPr>
            <w:tcW w:w="0" w:type="auto"/>
            <w:vMerge w:val="continue"/>
            <w:vAlign w:val="center"/>
          </w:tcPr>
          <w:p w14:paraId="37CA3582">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37399CF">
            <w:pPr>
              <w:widowControl w:val="0"/>
              <w:jc w:val="center"/>
              <w:rPr>
                <w:szCs w:val="21"/>
              </w:rPr>
            </w:pPr>
            <w:r>
              <w:t>SE</w:t>
            </w:r>
          </w:p>
        </w:tc>
        <w:tc>
          <w:tcPr>
            <w:tcW w:w="0" w:type="auto"/>
            <w:shd w:val="clear" w:color="auto" w:fill="auto"/>
            <w:vAlign w:val="center"/>
          </w:tcPr>
          <w:p w14:paraId="64E09561">
            <w:pPr>
              <w:widowControl w:val="0"/>
              <w:jc w:val="center"/>
              <w:rPr>
                <w:szCs w:val="21"/>
              </w:rPr>
            </w:pPr>
            <w:r>
              <w:t>1790</w:t>
            </w:r>
          </w:p>
        </w:tc>
        <w:tc>
          <w:tcPr>
            <w:tcW w:w="0" w:type="auto"/>
            <w:shd w:val="clear" w:color="auto" w:fill="auto"/>
            <w:vAlign w:val="center"/>
          </w:tcPr>
          <w:p w14:paraId="16CF9BC2">
            <w:pPr>
              <w:widowControl w:val="0"/>
              <w:jc w:val="center"/>
              <w:rPr>
                <w:szCs w:val="21"/>
              </w:rPr>
            </w:pPr>
            <w:r>
              <w:t>-16</w:t>
            </w:r>
          </w:p>
        </w:tc>
        <w:tc>
          <w:tcPr>
            <w:tcW w:w="0" w:type="auto"/>
            <w:vMerge w:val="continue"/>
            <w:vAlign w:val="center"/>
          </w:tcPr>
          <w:p w14:paraId="35971C12">
            <w:pPr>
              <w:widowControl w:val="0"/>
              <w:jc w:val="center"/>
              <w:rPr>
                <w:rFonts w:ascii="宋体" w:hAnsi="宋体"/>
                <w:color w:val="000000" w:themeColor="text1"/>
                <w:szCs w:val="21"/>
                <w14:textFill>
                  <w14:solidFill>
                    <w14:schemeClr w14:val="tx1"/>
                  </w14:solidFill>
                </w14:textFill>
              </w:rPr>
            </w:pPr>
          </w:p>
        </w:tc>
      </w:tr>
      <w:tr w14:paraId="37659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94813F1">
            <w:pPr>
              <w:widowControl w:val="0"/>
              <w:jc w:val="center"/>
              <w:rPr>
                <w:szCs w:val="21"/>
              </w:rPr>
            </w:pPr>
            <w:r>
              <w:t>40#</w:t>
            </w:r>
          </w:p>
        </w:tc>
        <w:tc>
          <w:tcPr>
            <w:tcW w:w="0" w:type="auto"/>
            <w:shd w:val="clear" w:color="auto" w:fill="auto"/>
            <w:vAlign w:val="center"/>
          </w:tcPr>
          <w:p w14:paraId="0D31FCD0">
            <w:pPr>
              <w:widowControl w:val="0"/>
              <w:jc w:val="center"/>
              <w:rPr>
                <w:szCs w:val="21"/>
              </w:rPr>
            </w:pPr>
            <w:r>
              <w:rPr>
                <w:rFonts w:hint="eastAsia"/>
              </w:rPr>
              <w:t>贾家湾1</w:t>
            </w:r>
          </w:p>
        </w:tc>
        <w:tc>
          <w:tcPr>
            <w:tcW w:w="0" w:type="auto"/>
            <w:shd w:val="clear" w:color="auto" w:fill="auto"/>
            <w:vAlign w:val="center"/>
          </w:tcPr>
          <w:p w14:paraId="51BC7F7E">
            <w:pPr>
              <w:widowControl w:val="0"/>
              <w:jc w:val="center"/>
              <w:rPr>
                <w:szCs w:val="21"/>
              </w:rPr>
            </w:pPr>
            <w:r>
              <w:rPr>
                <w:rFonts w:hint="eastAsia"/>
              </w:rPr>
              <w:t>106.955174°</w:t>
            </w:r>
          </w:p>
        </w:tc>
        <w:tc>
          <w:tcPr>
            <w:tcW w:w="0" w:type="auto"/>
            <w:shd w:val="clear" w:color="auto" w:fill="auto"/>
            <w:vAlign w:val="center"/>
          </w:tcPr>
          <w:p w14:paraId="4773ED00">
            <w:pPr>
              <w:widowControl w:val="0"/>
              <w:jc w:val="center"/>
              <w:rPr>
                <w:szCs w:val="21"/>
              </w:rPr>
            </w:pPr>
            <w:r>
              <w:rPr>
                <w:rFonts w:hint="eastAsia"/>
              </w:rPr>
              <w:t>31.858660°</w:t>
            </w:r>
          </w:p>
        </w:tc>
        <w:tc>
          <w:tcPr>
            <w:tcW w:w="0" w:type="auto"/>
            <w:shd w:val="clear" w:color="auto" w:fill="auto"/>
            <w:vAlign w:val="center"/>
          </w:tcPr>
          <w:p w14:paraId="4557E5E0">
            <w:pPr>
              <w:widowControl w:val="0"/>
              <w:jc w:val="center"/>
              <w:rPr>
                <w:szCs w:val="21"/>
              </w:rPr>
            </w:pPr>
            <w:r>
              <w:rPr>
                <w:rFonts w:hint="eastAsia"/>
              </w:rPr>
              <w:t>约6人</w:t>
            </w:r>
          </w:p>
        </w:tc>
        <w:tc>
          <w:tcPr>
            <w:tcW w:w="0" w:type="auto"/>
            <w:vMerge w:val="continue"/>
            <w:vAlign w:val="center"/>
          </w:tcPr>
          <w:p w14:paraId="581AAA2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1FE639A">
            <w:pPr>
              <w:widowControl w:val="0"/>
              <w:jc w:val="center"/>
              <w:rPr>
                <w:szCs w:val="21"/>
              </w:rPr>
            </w:pPr>
            <w:r>
              <w:t>E</w:t>
            </w:r>
          </w:p>
        </w:tc>
        <w:tc>
          <w:tcPr>
            <w:tcW w:w="0" w:type="auto"/>
            <w:shd w:val="clear" w:color="auto" w:fill="auto"/>
            <w:vAlign w:val="center"/>
          </w:tcPr>
          <w:p w14:paraId="673FBEB8">
            <w:pPr>
              <w:widowControl w:val="0"/>
              <w:jc w:val="center"/>
              <w:rPr>
                <w:szCs w:val="21"/>
              </w:rPr>
            </w:pPr>
            <w:r>
              <w:t>88</w:t>
            </w:r>
          </w:p>
        </w:tc>
        <w:tc>
          <w:tcPr>
            <w:tcW w:w="0" w:type="auto"/>
            <w:shd w:val="clear" w:color="auto" w:fill="auto"/>
            <w:vAlign w:val="center"/>
          </w:tcPr>
          <w:p w14:paraId="13848664">
            <w:pPr>
              <w:widowControl w:val="0"/>
              <w:jc w:val="center"/>
              <w:rPr>
                <w:szCs w:val="21"/>
              </w:rPr>
            </w:pPr>
            <w:r>
              <w:t>1</w:t>
            </w:r>
          </w:p>
        </w:tc>
        <w:tc>
          <w:tcPr>
            <w:tcW w:w="0" w:type="auto"/>
            <w:vMerge w:val="continue"/>
            <w:vAlign w:val="center"/>
          </w:tcPr>
          <w:p w14:paraId="5E24733B">
            <w:pPr>
              <w:widowControl w:val="0"/>
              <w:jc w:val="center"/>
              <w:rPr>
                <w:rFonts w:ascii="宋体" w:hAnsi="宋体"/>
                <w:color w:val="000000" w:themeColor="text1"/>
                <w:szCs w:val="21"/>
                <w14:textFill>
                  <w14:solidFill>
                    <w14:schemeClr w14:val="tx1"/>
                  </w14:solidFill>
                </w14:textFill>
              </w:rPr>
            </w:pPr>
          </w:p>
        </w:tc>
      </w:tr>
      <w:tr w14:paraId="2740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CAFE593">
            <w:pPr>
              <w:widowControl w:val="0"/>
              <w:jc w:val="center"/>
              <w:rPr>
                <w:szCs w:val="21"/>
              </w:rPr>
            </w:pPr>
            <w:r>
              <w:t>41#</w:t>
            </w:r>
          </w:p>
        </w:tc>
        <w:tc>
          <w:tcPr>
            <w:tcW w:w="0" w:type="auto"/>
            <w:shd w:val="clear" w:color="auto" w:fill="auto"/>
            <w:vAlign w:val="center"/>
          </w:tcPr>
          <w:p w14:paraId="03072BF2">
            <w:pPr>
              <w:widowControl w:val="0"/>
              <w:jc w:val="center"/>
              <w:rPr>
                <w:szCs w:val="21"/>
              </w:rPr>
            </w:pPr>
            <w:r>
              <w:rPr>
                <w:rFonts w:hint="eastAsia"/>
              </w:rPr>
              <w:t>贾家湾2</w:t>
            </w:r>
          </w:p>
        </w:tc>
        <w:tc>
          <w:tcPr>
            <w:tcW w:w="0" w:type="auto"/>
            <w:shd w:val="clear" w:color="auto" w:fill="auto"/>
            <w:vAlign w:val="center"/>
          </w:tcPr>
          <w:p w14:paraId="452D99FD">
            <w:pPr>
              <w:widowControl w:val="0"/>
              <w:jc w:val="center"/>
              <w:rPr>
                <w:szCs w:val="21"/>
              </w:rPr>
            </w:pPr>
            <w:r>
              <w:rPr>
                <w:rFonts w:hint="eastAsia"/>
              </w:rPr>
              <w:t>106.957580°</w:t>
            </w:r>
          </w:p>
        </w:tc>
        <w:tc>
          <w:tcPr>
            <w:tcW w:w="0" w:type="auto"/>
            <w:shd w:val="clear" w:color="auto" w:fill="auto"/>
            <w:vAlign w:val="center"/>
          </w:tcPr>
          <w:p w14:paraId="017945CC">
            <w:pPr>
              <w:widowControl w:val="0"/>
              <w:jc w:val="center"/>
              <w:rPr>
                <w:szCs w:val="21"/>
              </w:rPr>
            </w:pPr>
            <w:r>
              <w:rPr>
                <w:rFonts w:hint="eastAsia"/>
              </w:rPr>
              <w:t>31.857772°</w:t>
            </w:r>
          </w:p>
        </w:tc>
        <w:tc>
          <w:tcPr>
            <w:tcW w:w="0" w:type="auto"/>
            <w:shd w:val="clear" w:color="auto" w:fill="auto"/>
            <w:vAlign w:val="center"/>
          </w:tcPr>
          <w:p w14:paraId="24776725">
            <w:pPr>
              <w:widowControl w:val="0"/>
              <w:jc w:val="center"/>
              <w:rPr>
                <w:szCs w:val="21"/>
              </w:rPr>
            </w:pPr>
            <w:r>
              <w:rPr>
                <w:rFonts w:hint="eastAsia"/>
              </w:rPr>
              <w:t>约55人</w:t>
            </w:r>
          </w:p>
        </w:tc>
        <w:tc>
          <w:tcPr>
            <w:tcW w:w="0" w:type="auto"/>
            <w:vMerge w:val="continue"/>
            <w:vAlign w:val="center"/>
          </w:tcPr>
          <w:p w14:paraId="13BCCD9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D27BBFC">
            <w:pPr>
              <w:widowControl w:val="0"/>
              <w:jc w:val="center"/>
              <w:rPr>
                <w:szCs w:val="21"/>
              </w:rPr>
            </w:pPr>
            <w:r>
              <w:t>E</w:t>
            </w:r>
          </w:p>
        </w:tc>
        <w:tc>
          <w:tcPr>
            <w:tcW w:w="0" w:type="auto"/>
            <w:shd w:val="clear" w:color="auto" w:fill="auto"/>
            <w:vAlign w:val="center"/>
          </w:tcPr>
          <w:p w14:paraId="0863957E">
            <w:pPr>
              <w:widowControl w:val="0"/>
              <w:jc w:val="center"/>
              <w:rPr>
                <w:szCs w:val="21"/>
              </w:rPr>
            </w:pPr>
            <w:r>
              <w:t>325</w:t>
            </w:r>
          </w:p>
        </w:tc>
        <w:tc>
          <w:tcPr>
            <w:tcW w:w="0" w:type="auto"/>
            <w:shd w:val="clear" w:color="auto" w:fill="auto"/>
            <w:vAlign w:val="center"/>
          </w:tcPr>
          <w:p w14:paraId="6F6AC3F5">
            <w:pPr>
              <w:widowControl w:val="0"/>
              <w:jc w:val="center"/>
              <w:rPr>
                <w:szCs w:val="21"/>
              </w:rPr>
            </w:pPr>
            <w:r>
              <w:t>-23</w:t>
            </w:r>
          </w:p>
        </w:tc>
        <w:tc>
          <w:tcPr>
            <w:tcW w:w="0" w:type="auto"/>
            <w:vMerge w:val="continue"/>
            <w:vAlign w:val="center"/>
          </w:tcPr>
          <w:p w14:paraId="6DEC8F41">
            <w:pPr>
              <w:widowControl w:val="0"/>
              <w:jc w:val="center"/>
              <w:rPr>
                <w:rFonts w:ascii="宋体" w:hAnsi="宋体"/>
                <w:color w:val="000000" w:themeColor="text1"/>
                <w:szCs w:val="21"/>
                <w14:textFill>
                  <w14:solidFill>
                    <w14:schemeClr w14:val="tx1"/>
                  </w14:solidFill>
                </w14:textFill>
              </w:rPr>
            </w:pPr>
          </w:p>
        </w:tc>
      </w:tr>
      <w:bookmarkEnd w:id="240"/>
      <w:tr w14:paraId="6FA3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gridSpan w:val="10"/>
            <w:shd w:val="clear" w:color="auto" w:fill="auto"/>
            <w:vAlign w:val="center"/>
          </w:tcPr>
          <w:p w14:paraId="51C0E1CE">
            <w:pPr>
              <w:widowControl w:val="0"/>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始宁养殖场区</w:t>
            </w:r>
          </w:p>
        </w:tc>
      </w:tr>
      <w:tr w14:paraId="54D2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8C701B6">
            <w:pPr>
              <w:widowControl w:val="0"/>
              <w:jc w:val="center"/>
              <w:rPr>
                <w:szCs w:val="21"/>
              </w:rPr>
            </w:pPr>
            <w:r>
              <w:rPr>
                <w:rFonts w:hint="eastAsia"/>
              </w:rPr>
              <w:t>1#</w:t>
            </w:r>
          </w:p>
        </w:tc>
        <w:tc>
          <w:tcPr>
            <w:tcW w:w="0" w:type="auto"/>
            <w:shd w:val="clear" w:color="auto" w:fill="auto"/>
            <w:vAlign w:val="center"/>
          </w:tcPr>
          <w:p w14:paraId="15996CD9">
            <w:pPr>
              <w:widowControl w:val="0"/>
              <w:jc w:val="center"/>
              <w:rPr>
                <w:szCs w:val="21"/>
              </w:rPr>
            </w:pPr>
            <w:r>
              <w:rPr>
                <w:rFonts w:hint="eastAsia"/>
              </w:rPr>
              <w:t>昆山村</w:t>
            </w:r>
          </w:p>
        </w:tc>
        <w:tc>
          <w:tcPr>
            <w:tcW w:w="0" w:type="auto"/>
            <w:shd w:val="clear" w:color="auto" w:fill="auto"/>
            <w:vAlign w:val="center"/>
          </w:tcPr>
          <w:p w14:paraId="39F1907B">
            <w:pPr>
              <w:widowControl w:val="0"/>
              <w:jc w:val="center"/>
              <w:rPr>
                <w:szCs w:val="21"/>
              </w:rPr>
            </w:pPr>
            <w:r>
              <w:rPr>
                <w:rFonts w:hint="eastAsia"/>
              </w:rPr>
              <w:t>106.974349</w:t>
            </w:r>
          </w:p>
        </w:tc>
        <w:tc>
          <w:tcPr>
            <w:tcW w:w="0" w:type="auto"/>
            <w:shd w:val="clear" w:color="auto" w:fill="auto"/>
            <w:vAlign w:val="center"/>
          </w:tcPr>
          <w:p w14:paraId="03409BC0">
            <w:pPr>
              <w:widowControl w:val="0"/>
              <w:jc w:val="center"/>
              <w:rPr>
                <w:szCs w:val="21"/>
              </w:rPr>
            </w:pPr>
            <w:r>
              <w:rPr>
                <w:rFonts w:hint="eastAsia"/>
              </w:rPr>
              <w:t>31.828092</w:t>
            </w:r>
          </w:p>
        </w:tc>
        <w:tc>
          <w:tcPr>
            <w:tcW w:w="0" w:type="auto"/>
            <w:shd w:val="clear" w:color="auto" w:fill="auto"/>
            <w:vAlign w:val="center"/>
          </w:tcPr>
          <w:p w14:paraId="60A3B8CA">
            <w:pPr>
              <w:widowControl w:val="0"/>
              <w:jc w:val="center"/>
              <w:rPr>
                <w:szCs w:val="21"/>
              </w:rPr>
            </w:pPr>
            <w:r>
              <w:rPr>
                <w:rFonts w:hint="eastAsia"/>
              </w:rPr>
              <w:t>约120人</w:t>
            </w:r>
          </w:p>
        </w:tc>
        <w:tc>
          <w:tcPr>
            <w:tcW w:w="0" w:type="auto"/>
            <w:vMerge w:val="restart"/>
            <w:vAlign w:val="center"/>
          </w:tcPr>
          <w:p w14:paraId="03F50564">
            <w:pPr>
              <w:widowControl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w:t>
            </w:r>
            <w:r>
              <w:rPr>
                <w:rFonts w:hint="eastAsia"/>
                <w:color w:val="000000" w:themeColor="text1"/>
                <w:kern w:val="0"/>
                <w:szCs w:val="21"/>
                <w14:textFill>
                  <w14:solidFill>
                    <w14:schemeClr w14:val="tx1"/>
                  </w14:solidFill>
                </w14:textFill>
              </w:rPr>
              <w:t>《环境空气质量标准》（</w:t>
            </w:r>
            <w:r>
              <w:rPr>
                <w:color w:val="000000" w:themeColor="text1"/>
                <w:kern w:val="0"/>
                <w:szCs w:val="21"/>
                <w14:textFill>
                  <w14:solidFill>
                    <w14:schemeClr w14:val="tx1"/>
                  </w14:solidFill>
                </w14:textFill>
              </w:rPr>
              <w:t>GB3095-2026</w:t>
            </w:r>
            <w:r>
              <w:rPr>
                <w:rFonts w:hint="eastAsia"/>
                <w:color w:val="000000" w:themeColor="text1"/>
                <w:kern w:val="0"/>
                <w:szCs w:val="21"/>
                <w14:textFill>
                  <w14:solidFill>
                    <w14:schemeClr w14:val="tx1"/>
                  </w14:solidFill>
                </w14:textFill>
              </w:rPr>
              <w:t>）过渡阶段二级标准</w:t>
            </w:r>
          </w:p>
        </w:tc>
        <w:tc>
          <w:tcPr>
            <w:tcW w:w="0" w:type="auto"/>
            <w:shd w:val="clear" w:color="auto" w:fill="auto"/>
            <w:vAlign w:val="center"/>
          </w:tcPr>
          <w:p w14:paraId="69DC75F0">
            <w:pPr>
              <w:widowControl w:val="0"/>
              <w:jc w:val="center"/>
              <w:rPr>
                <w:szCs w:val="21"/>
              </w:rPr>
            </w:pPr>
            <w:r>
              <w:t>NW</w:t>
            </w:r>
          </w:p>
        </w:tc>
        <w:tc>
          <w:tcPr>
            <w:tcW w:w="0" w:type="auto"/>
            <w:shd w:val="clear" w:color="auto" w:fill="auto"/>
            <w:vAlign w:val="center"/>
          </w:tcPr>
          <w:p w14:paraId="49A56342">
            <w:pPr>
              <w:widowControl w:val="0"/>
              <w:jc w:val="center"/>
              <w:rPr>
                <w:szCs w:val="21"/>
              </w:rPr>
            </w:pPr>
            <w:r>
              <w:t>3049</w:t>
            </w:r>
          </w:p>
        </w:tc>
        <w:tc>
          <w:tcPr>
            <w:tcW w:w="0" w:type="auto"/>
            <w:shd w:val="clear" w:color="auto" w:fill="auto"/>
            <w:vAlign w:val="center"/>
          </w:tcPr>
          <w:p w14:paraId="68DDCA78">
            <w:pPr>
              <w:widowControl w:val="0"/>
              <w:jc w:val="center"/>
              <w:rPr>
                <w:szCs w:val="21"/>
              </w:rPr>
            </w:pPr>
            <w:r>
              <w:t>-46</w:t>
            </w:r>
          </w:p>
        </w:tc>
        <w:tc>
          <w:tcPr>
            <w:tcW w:w="0" w:type="auto"/>
            <w:vMerge w:val="restart"/>
            <w:vAlign w:val="center"/>
          </w:tcPr>
          <w:p w14:paraId="1FAD423A">
            <w:pPr>
              <w:widowControl w:val="0"/>
              <w:jc w:val="center"/>
              <w:rPr>
                <w:rFonts w:ascii="宋体" w:hAnsi="宋体"/>
                <w:color w:val="000000" w:themeColor="text1"/>
                <w:szCs w:val="21"/>
                <w14:textFill>
                  <w14:solidFill>
                    <w14:schemeClr w14:val="tx1"/>
                  </w14:solidFill>
                </w14:textFill>
              </w:rPr>
            </w:pPr>
            <w:r>
              <w:rPr>
                <w:rFonts w:hint="eastAsia"/>
                <w:color w:val="000000" w:themeColor="text1"/>
                <w:kern w:val="0"/>
                <w:szCs w:val="21"/>
                <w14:textFill>
                  <w14:solidFill>
                    <w14:schemeClr w14:val="tx1"/>
                  </w14:solidFill>
                </w14:textFill>
              </w:rPr>
              <w:t>《环境空气质量标准》（</w:t>
            </w:r>
            <w:r>
              <w:rPr>
                <w:color w:val="000000" w:themeColor="text1"/>
                <w:kern w:val="0"/>
                <w:szCs w:val="21"/>
                <w14:textFill>
                  <w14:solidFill>
                    <w14:schemeClr w14:val="tx1"/>
                  </w14:solidFill>
                </w14:textFill>
              </w:rPr>
              <w:t>GB3095-2026</w:t>
            </w:r>
            <w:r>
              <w:rPr>
                <w:rFonts w:hint="eastAsia"/>
                <w:color w:val="000000" w:themeColor="text1"/>
                <w:kern w:val="0"/>
                <w:szCs w:val="21"/>
                <w14:textFill>
                  <w14:solidFill>
                    <w14:schemeClr w14:val="tx1"/>
                  </w14:solidFill>
                </w14:textFill>
              </w:rPr>
              <w:t>）中二类区</w:t>
            </w:r>
          </w:p>
        </w:tc>
      </w:tr>
      <w:tr w14:paraId="0B8D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8C12DEB">
            <w:pPr>
              <w:widowControl w:val="0"/>
              <w:jc w:val="center"/>
              <w:rPr>
                <w:szCs w:val="21"/>
              </w:rPr>
            </w:pPr>
            <w:r>
              <w:rPr>
                <w:rFonts w:hint="eastAsia"/>
              </w:rPr>
              <w:t>2#</w:t>
            </w:r>
          </w:p>
        </w:tc>
        <w:tc>
          <w:tcPr>
            <w:tcW w:w="0" w:type="auto"/>
            <w:shd w:val="clear" w:color="auto" w:fill="auto"/>
            <w:vAlign w:val="center"/>
          </w:tcPr>
          <w:p w14:paraId="460B5215">
            <w:pPr>
              <w:widowControl w:val="0"/>
              <w:jc w:val="center"/>
              <w:rPr>
                <w:szCs w:val="21"/>
              </w:rPr>
            </w:pPr>
            <w:r>
              <w:rPr>
                <w:rFonts w:hint="eastAsia"/>
              </w:rPr>
              <w:t>吴家湾-1</w:t>
            </w:r>
          </w:p>
        </w:tc>
        <w:tc>
          <w:tcPr>
            <w:tcW w:w="0" w:type="auto"/>
            <w:shd w:val="clear" w:color="auto" w:fill="auto"/>
            <w:vAlign w:val="center"/>
          </w:tcPr>
          <w:p w14:paraId="3B58D4EF">
            <w:pPr>
              <w:widowControl w:val="0"/>
              <w:jc w:val="center"/>
              <w:rPr>
                <w:szCs w:val="21"/>
              </w:rPr>
            </w:pPr>
            <w:r>
              <w:rPr>
                <w:rFonts w:hint="eastAsia"/>
              </w:rPr>
              <w:t>106.978598</w:t>
            </w:r>
          </w:p>
        </w:tc>
        <w:tc>
          <w:tcPr>
            <w:tcW w:w="0" w:type="auto"/>
            <w:shd w:val="clear" w:color="auto" w:fill="auto"/>
            <w:vAlign w:val="center"/>
          </w:tcPr>
          <w:p w14:paraId="59ED9E7A">
            <w:pPr>
              <w:widowControl w:val="0"/>
              <w:jc w:val="center"/>
              <w:rPr>
                <w:szCs w:val="21"/>
              </w:rPr>
            </w:pPr>
            <w:r>
              <w:rPr>
                <w:rFonts w:hint="eastAsia"/>
              </w:rPr>
              <w:t>31.825794</w:t>
            </w:r>
          </w:p>
        </w:tc>
        <w:tc>
          <w:tcPr>
            <w:tcW w:w="0" w:type="auto"/>
            <w:shd w:val="clear" w:color="auto" w:fill="auto"/>
            <w:vAlign w:val="center"/>
          </w:tcPr>
          <w:p w14:paraId="0BE59D5E">
            <w:pPr>
              <w:widowControl w:val="0"/>
              <w:jc w:val="center"/>
              <w:rPr>
                <w:szCs w:val="21"/>
              </w:rPr>
            </w:pPr>
            <w:r>
              <w:rPr>
                <w:rFonts w:hint="eastAsia"/>
              </w:rPr>
              <w:t>约130人</w:t>
            </w:r>
          </w:p>
        </w:tc>
        <w:tc>
          <w:tcPr>
            <w:tcW w:w="0" w:type="auto"/>
            <w:vMerge w:val="continue"/>
            <w:vAlign w:val="center"/>
          </w:tcPr>
          <w:p w14:paraId="02D2D9F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E00C91F">
            <w:pPr>
              <w:widowControl w:val="0"/>
              <w:jc w:val="center"/>
              <w:rPr>
                <w:szCs w:val="21"/>
              </w:rPr>
            </w:pPr>
            <w:r>
              <w:t>NW</w:t>
            </w:r>
          </w:p>
        </w:tc>
        <w:tc>
          <w:tcPr>
            <w:tcW w:w="0" w:type="auto"/>
            <w:shd w:val="clear" w:color="auto" w:fill="auto"/>
            <w:vAlign w:val="center"/>
          </w:tcPr>
          <w:p w14:paraId="2F3095CA">
            <w:pPr>
              <w:widowControl w:val="0"/>
              <w:jc w:val="center"/>
              <w:rPr>
                <w:szCs w:val="21"/>
              </w:rPr>
            </w:pPr>
            <w:r>
              <w:t>2378</w:t>
            </w:r>
          </w:p>
        </w:tc>
        <w:tc>
          <w:tcPr>
            <w:tcW w:w="0" w:type="auto"/>
            <w:shd w:val="clear" w:color="auto" w:fill="auto"/>
            <w:vAlign w:val="center"/>
          </w:tcPr>
          <w:p w14:paraId="75EF2399">
            <w:pPr>
              <w:widowControl w:val="0"/>
              <w:jc w:val="center"/>
              <w:rPr>
                <w:szCs w:val="21"/>
              </w:rPr>
            </w:pPr>
            <w:r>
              <w:t>-24</w:t>
            </w:r>
          </w:p>
        </w:tc>
        <w:tc>
          <w:tcPr>
            <w:tcW w:w="0" w:type="auto"/>
            <w:vMerge w:val="continue"/>
            <w:vAlign w:val="center"/>
          </w:tcPr>
          <w:p w14:paraId="72358DC7">
            <w:pPr>
              <w:widowControl w:val="0"/>
              <w:jc w:val="center"/>
              <w:rPr>
                <w:rFonts w:ascii="宋体" w:hAnsi="宋体"/>
                <w:color w:val="000000" w:themeColor="text1"/>
                <w:szCs w:val="21"/>
                <w14:textFill>
                  <w14:solidFill>
                    <w14:schemeClr w14:val="tx1"/>
                  </w14:solidFill>
                </w14:textFill>
              </w:rPr>
            </w:pPr>
          </w:p>
        </w:tc>
      </w:tr>
      <w:tr w14:paraId="4A25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65BD954">
            <w:pPr>
              <w:widowControl w:val="0"/>
              <w:jc w:val="center"/>
              <w:rPr>
                <w:szCs w:val="21"/>
              </w:rPr>
            </w:pPr>
            <w:r>
              <w:rPr>
                <w:rFonts w:hint="eastAsia"/>
              </w:rPr>
              <w:t>3#</w:t>
            </w:r>
          </w:p>
        </w:tc>
        <w:tc>
          <w:tcPr>
            <w:tcW w:w="0" w:type="auto"/>
            <w:shd w:val="clear" w:color="auto" w:fill="auto"/>
            <w:vAlign w:val="center"/>
          </w:tcPr>
          <w:p w14:paraId="3CAD632D">
            <w:pPr>
              <w:widowControl w:val="0"/>
              <w:jc w:val="center"/>
              <w:rPr>
                <w:szCs w:val="21"/>
              </w:rPr>
            </w:pPr>
            <w:r>
              <w:rPr>
                <w:rFonts w:hint="eastAsia"/>
              </w:rPr>
              <w:t>吴家湾-1</w:t>
            </w:r>
          </w:p>
        </w:tc>
        <w:tc>
          <w:tcPr>
            <w:tcW w:w="0" w:type="auto"/>
            <w:shd w:val="clear" w:color="auto" w:fill="auto"/>
            <w:vAlign w:val="center"/>
          </w:tcPr>
          <w:p w14:paraId="62C29255">
            <w:pPr>
              <w:widowControl w:val="0"/>
              <w:jc w:val="center"/>
              <w:rPr>
                <w:szCs w:val="21"/>
              </w:rPr>
            </w:pPr>
            <w:r>
              <w:rPr>
                <w:rFonts w:hint="eastAsia"/>
              </w:rPr>
              <w:t>106.979156</w:t>
            </w:r>
          </w:p>
        </w:tc>
        <w:tc>
          <w:tcPr>
            <w:tcW w:w="0" w:type="auto"/>
            <w:shd w:val="clear" w:color="auto" w:fill="auto"/>
            <w:vAlign w:val="center"/>
          </w:tcPr>
          <w:p w14:paraId="5D74B0AD">
            <w:pPr>
              <w:widowControl w:val="0"/>
              <w:jc w:val="center"/>
              <w:rPr>
                <w:szCs w:val="21"/>
              </w:rPr>
            </w:pPr>
            <w:r>
              <w:rPr>
                <w:rFonts w:hint="eastAsia"/>
              </w:rPr>
              <w:t>31.81996</w:t>
            </w:r>
          </w:p>
        </w:tc>
        <w:tc>
          <w:tcPr>
            <w:tcW w:w="0" w:type="auto"/>
            <w:shd w:val="clear" w:color="auto" w:fill="auto"/>
            <w:vAlign w:val="center"/>
          </w:tcPr>
          <w:p w14:paraId="60AAC8F8">
            <w:pPr>
              <w:widowControl w:val="0"/>
              <w:jc w:val="center"/>
              <w:rPr>
                <w:szCs w:val="21"/>
              </w:rPr>
            </w:pPr>
            <w:r>
              <w:rPr>
                <w:rFonts w:hint="eastAsia"/>
              </w:rPr>
              <w:t>约130人</w:t>
            </w:r>
          </w:p>
        </w:tc>
        <w:tc>
          <w:tcPr>
            <w:tcW w:w="0" w:type="auto"/>
            <w:vMerge w:val="continue"/>
            <w:vAlign w:val="center"/>
          </w:tcPr>
          <w:p w14:paraId="12ECB00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D2ADA63">
            <w:pPr>
              <w:widowControl w:val="0"/>
              <w:jc w:val="center"/>
              <w:rPr>
                <w:szCs w:val="21"/>
              </w:rPr>
            </w:pPr>
            <w:r>
              <w:t>NW</w:t>
            </w:r>
          </w:p>
        </w:tc>
        <w:tc>
          <w:tcPr>
            <w:tcW w:w="0" w:type="auto"/>
            <w:shd w:val="clear" w:color="auto" w:fill="auto"/>
            <w:vAlign w:val="center"/>
          </w:tcPr>
          <w:p w14:paraId="1008BE84">
            <w:pPr>
              <w:widowControl w:val="0"/>
              <w:jc w:val="center"/>
              <w:rPr>
                <w:szCs w:val="21"/>
              </w:rPr>
            </w:pPr>
            <w:r>
              <w:t>1846</w:t>
            </w:r>
          </w:p>
        </w:tc>
        <w:tc>
          <w:tcPr>
            <w:tcW w:w="0" w:type="auto"/>
            <w:shd w:val="clear" w:color="auto" w:fill="auto"/>
            <w:vAlign w:val="center"/>
          </w:tcPr>
          <w:p w14:paraId="3A818A6C">
            <w:pPr>
              <w:widowControl w:val="0"/>
              <w:jc w:val="center"/>
              <w:rPr>
                <w:szCs w:val="21"/>
              </w:rPr>
            </w:pPr>
            <w:r>
              <w:t>-28</w:t>
            </w:r>
          </w:p>
        </w:tc>
        <w:tc>
          <w:tcPr>
            <w:tcW w:w="0" w:type="auto"/>
            <w:vMerge w:val="continue"/>
            <w:vAlign w:val="center"/>
          </w:tcPr>
          <w:p w14:paraId="16A81B1E">
            <w:pPr>
              <w:widowControl w:val="0"/>
              <w:jc w:val="center"/>
              <w:rPr>
                <w:rFonts w:ascii="宋体" w:hAnsi="宋体"/>
                <w:color w:val="000000" w:themeColor="text1"/>
                <w:szCs w:val="21"/>
                <w14:textFill>
                  <w14:solidFill>
                    <w14:schemeClr w14:val="tx1"/>
                  </w14:solidFill>
                </w14:textFill>
              </w:rPr>
            </w:pPr>
          </w:p>
        </w:tc>
      </w:tr>
      <w:tr w14:paraId="3A25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804F22F">
            <w:pPr>
              <w:widowControl w:val="0"/>
              <w:jc w:val="center"/>
              <w:rPr>
                <w:szCs w:val="21"/>
              </w:rPr>
            </w:pPr>
            <w:r>
              <w:rPr>
                <w:rFonts w:hint="eastAsia"/>
              </w:rPr>
              <w:t>4#</w:t>
            </w:r>
          </w:p>
        </w:tc>
        <w:tc>
          <w:tcPr>
            <w:tcW w:w="0" w:type="auto"/>
            <w:shd w:val="clear" w:color="auto" w:fill="auto"/>
            <w:vAlign w:val="center"/>
          </w:tcPr>
          <w:p w14:paraId="50CBEA69">
            <w:pPr>
              <w:widowControl w:val="0"/>
              <w:jc w:val="center"/>
              <w:rPr>
                <w:szCs w:val="21"/>
              </w:rPr>
            </w:pPr>
            <w:r>
              <w:rPr>
                <w:rFonts w:hint="eastAsia"/>
              </w:rPr>
              <w:t>杨家垭豁</w:t>
            </w:r>
          </w:p>
        </w:tc>
        <w:tc>
          <w:tcPr>
            <w:tcW w:w="0" w:type="auto"/>
            <w:shd w:val="clear" w:color="auto" w:fill="auto"/>
            <w:vAlign w:val="center"/>
          </w:tcPr>
          <w:p w14:paraId="39ECA938">
            <w:pPr>
              <w:widowControl w:val="0"/>
              <w:jc w:val="center"/>
              <w:rPr>
                <w:szCs w:val="21"/>
              </w:rPr>
            </w:pPr>
            <w:r>
              <w:rPr>
                <w:rFonts w:hint="eastAsia"/>
              </w:rPr>
              <w:t>106.982589</w:t>
            </w:r>
          </w:p>
        </w:tc>
        <w:tc>
          <w:tcPr>
            <w:tcW w:w="0" w:type="auto"/>
            <w:shd w:val="clear" w:color="auto" w:fill="auto"/>
            <w:vAlign w:val="center"/>
          </w:tcPr>
          <w:p w14:paraId="47249279">
            <w:pPr>
              <w:widowControl w:val="0"/>
              <w:jc w:val="center"/>
              <w:rPr>
                <w:szCs w:val="21"/>
              </w:rPr>
            </w:pPr>
            <w:r>
              <w:rPr>
                <w:rFonts w:hint="eastAsia"/>
              </w:rPr>
              <w:t>31.828237</w:t>
            </w:r>
          </w:p>
        </w:tc>
        <w:tc>
          <w:tcPr>
            <w:tcW w:w="0" w:type="auto"/>
            <w:shd w:val="clear" w:color="auto" w:fill="auto"/>
            <w:vAlign w:val="center"/>
          </w:tcPr>
          <w:p w14:paraId="61141096">
            <w:pPr>
              <w:widowControl w:val="0"/>
              <w:jc w:val="center"/>
              <w:rPr>
                <w:szCs w:val="21"/>
              </w:rPr>
            </w:pPr>
            <w:r>
              <w:rPr>
                <w:rFonts w:hint="eastAsia"/>
              </w:rPr>
              <w:t>约50人</w:t>
            </w:r>
          </w:p>
        </w:tc>
        <w:tc>
          <w:tcPr>
            <w:tcW w:w="0" w:type="auto"/>
            <w:vMerge w:val="continue"/>
            <w:vAlign w:val="center"/>
          </w:tcPr>
          <w:p w14:paraId="59CD222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DA4464D">
            <w:pPr>
              <w:widowControl w:val="0"/>
              <w:jc w:val="center"/>
              <w:rPr>
                <w:szCs w:val="21"/>
              </w:rPr>
            </w:pPr>
            <w:r>
              <w:t>NW</w:t>
            </w:r>
          </w:p>
        </w:tc>
        <w:tc>
          <w:tcPr>
            <w:tcW w:w="0" w:type="auto"/>
            <w:shd w:val="clear" w:color="auto" w:fill="auto"/>
            <w:vAlign w:val="center"/>
          </w:tcPr>
          <w:p w14:paraId="1229D5C9">
            <w:pPr>
              <w:widowControl w:val="0"/>
              <w:jc w:val="center"/>
              <w:rPr>
                <w:szCs w:val="21"/>
              </w:rPr>
            </w:pPr>
            <w:r>
              <w:t>2600</w:t>
            </w:r>
          </w:p>
        </w:tc>
        <w:tc>
          <w:tcPr>
            <w:tcW w:w="0" w:type="auto"/>
            <w:shd w:val="clear" w:color="auto" w:fill="auto"/>
            <w:vAlign w:val="center"/>
          </w:tcPr>
          <w:p w14:paraId="69FB4361">
            <w:pPr>
              <w:widowControl w:val="0"/>
              <w:jc w:val="center"/>
              <w:rPr>
                <w:szCs w:val="21"/>
              </w:rPr>
            </w:pPr>
            <w:r>
              <w:t>-37</w:t>
            </w:r>
          </w:p>
        </w:tc>
        <w:tc>
          <w:tcPr>
            <w:tcW w:w="0" w:type="auto"/>
            <w:vMerge w:val="continue"/>
            <w:vAlign w:val="center"/>
          </w:tcPr>
          <w:p w14:paraId="6754C564">
            <w:pPr>
              <w:widowControl w:val="0"/>
              <w:jc w:val="center"/>
              <w:rPr>
                <w:rFonts w:ascii="宋体" w:hAnsi="宋体"/>
                <w:color w:val="000000" w:themeColor="text1"/>
                <w:szCs w:val="21"/>
                <w14:textFill>
                  <w14:solidFill>
                    <w14:schemeClr w14:val="tx1"/>
                  </w14:solidFill>
                </w14:textFill>
              </w:rPr>
            </w:pPr>
          </w:p>
        </w:tc>
      </w:tr>
      <w:tr w14:paraId="74D9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4EF0FB1">
            <w:pPr>
              <w:widowControl w:val="0"/>
              <w:jc w:val="center"/>
              <w:rPr>
                <w:szCs w:val="21"/>
              </w:rPr>
            </w:pPr>
            <w:r>
              <w:rPr>
                <w:rFonts w:hint="eastAsia"/>
              </w:rPr>
              <w:t>5#</w:t>
            </w:r>
          </w:p>
        </w:tc>
        <w:tc>
          <w:tcPr>
            <w:tcW w:w="0" w:type="auto"/>
            <w:shd w:val="clear" w:color="auto" w:fill="auto"/>
            <w:vAlign w:val="center"/>
          </w:tcPr>
          <w:p w14:paraId="3239C02F">
            <w:pPr>
              <w:widowControl w:val="0"/>
              <w:jc w:val="center"/>
              <w:rPr>
                <w:szCs w:val="21"/>
              </w:rPr>
            </w:pPr>
            <w:r>
              <w:rPr>
                <w:rFonts w:hint="eastAsia"/>
              </w:rPr>
              <w:t>碾子沟</w:t>
            </w:r>
          </w:p>
        </w:tc>
        <w:tc>
          <w:tcPr>
            <w:tcW w:w="0" w:type="auto"/>
            <w:shd w:val="clear" w:color="auto" w:fill="auto"/>
            <w:vAlign w:val="center"/>
          </w:tcPr>
          <w:p w14:paraId="6C8E9E78">
            <w:pPr>
              <w:widowControl w:val="0"/>
              <w:jc w:val="center"/>
              <w:rPr>
                <w:szCs w:val="21"/>
              </w:rPr>
            </w:pPr>
            <w:r>
              <w:rPr>
                <w:rFonts w:hint="eastAsia"/>
              </w:rPr>
              <w:t>106.989391</w:t>
            </w:r>
          </w:p>
        </w:tc>
        <w:tc>
          <w:tcPr>
            <w:tcW w:w="0" w:type="auto"/>
            <w:shd w:val="clear" w:color="auto" w:fill="auto"/>
            <w:vAlign w:val="center"/>
          </w:tcPr>
          <w:p w14:paraId="366241CD">
            <w:pPr>
              <w:widowControl w:val="0"/>
              <w:jc w:val="center"/>
              <w:rPr>
                <w:szCs w:val="21"/>
              </w:rPr>
            </w:pPr>
            <w:r>
              <w:rPr>
                <w:rFonts w:hint="eastAsia"/>
              </w:rPr>
              <w:t>31.825977</w:t>
            </w:r>
          </w:p>
        </w:tc>
        <w:tc>
          <w:tcPr>
            <w:tcW w:w="0" w:type="auto"/>
            <w:shd w:val="clear" w:color="auto" w:fill="auto"/>
            <w:vAlign w:val="center"/>
          </w:tcPr>
          <w:p w14:paraId="72833800">
            <w:pPr>
              <w:widowControl w:val="0"/>
              <w:jc w:val="center"/>
              <w:rPr>
                <w:szCs w:val="21"/>
              </w:rPr>
            </w:pPr>
            <w:r>
              <w:rPr>
                <w:rFonts w:hint="eastAsia"/>
              </w:rPr>
              <w:t>约50人</w:t>
            </w:r>
          </w:p>
        </w:tc>
        <w:tc>
          <w:tcPr>
            <w:tcW w:w="0" w:type="auto"/>
            <w:vMerge w:val="continue"/>
            <w:vAlign w:val="center"/>
          </w:tcPr>
          <w:p w14:paraId="2F0852B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D5ABE27">
            <w:pPr>
              <w:widowControl w:val="0"/>
              <w:jc w:val="center"/>
              <w:rPr>
                <w:szCs w:val="21"/>
              </w:rPr>
            </w:pPr>
            <w:r>
              <w:t>NW</w:t>
            </w:r>
          </w:p>
        </w:tc>
        <w:tc>
          <w:tcPr>
            <w:tcW w:w="0" w:type="auto"/>
            <w:shd w:val="clear" w:color="auto" w:fill="auto"/>
            <w:vAlign w:val="center"/>
          </w:tcPr>
          <w:p w14:paraId="4D3DBF6D">
            <w:pPr>
              <w:widowControl w:val="0"/>
              <w:jc w:val="center"/>
              <w:rPr>
                <w:szCs w:val="21"/>
              </w:rPr>
            </w:pPr>
            <w:r>
              <w:t>1959</w:t>
            </w:r>
          </w:p>
        </w:tc>
        <w:tc>
          <w:tcPr>
            <w:tcW w:w="0" w:type="auto"/>
            <w:shd w:val="clear" w:color="auto" w:fill="auto"/>
            <w:vAlign w:val="center"/>
          </w:tcPr>
          <w:p w14:paraId="54E589BE">
            <w:pPr>
              <w:widowControl w:val="0"/>
              <w:jc w:val="center"/>
              <w:rPr>
                <w:szCs w:val="21"/>
              </w:rPr>
            </w:pPr>
            <w:r>
              <w:t>-55</w:t>
            </w:r>
          </w:p>
        </w:tc>
        <w:tc>
          <w:tcPr>
            <w:tcW w:w="0" w:type="auto"/>
            <w:vMerge w:val="continue"/>
            <w:vAlign w:val="center"/>
          </w:tcPr>
          <w:p w14:paraId="04E2335D">
            <w:pPr>
              <w:widowControl w:val="0"/>
              <w:jc w:val="center"/>
              <w:rPr>
                <w:rFonts w:ascii="宋体" w:hAnsi="宋体"/>
                <w:color w:val="000000" w:themeColor="text1"/>
                <w:szCs w:val="21"/>
                <w14:textFill>
                  <w14:solidFill>
                    <w14:schemeClr w14:val="tx1"/>
                  </w14:solidFill>
                </w14:textFill>
              </w:rPr>
            </w:pPr>
          </w:p>
        </w:tc>
      </w:tr>
      <w:tr w14:paraId="1B42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8D96925">
            <w:pPr>
              <w:widowControl w:val="0"/>
              <w:jc w:val="center"/>
              <w:rPr>
                <w:szCs w:val="21"/>
              </w:rPr>
            </w:pPr>
            <w:r>
              <w:rPr>
                <w:rFonts w:hint="eastAsia"/>
              </w:rPr>
              <w:t>6#</w:t>
            </w:r>
          </w:p>
        </w:tc>
        <w:tc>
          <w:tcPr>
            <w:tcW w:w="0" w:type="auto"/>
            <w:shd w:val="clear" w:color="auto" w:fill="auto"/>
            <w:vAlign w:val="center"/>
          </w:tcPr>
          <w:p w14:paraId="77A396DE">
            <w:pPr>
              <w:widowControl w:val="0"/>
              <w:jc w:val="center"/>
              <w:rPr>
                <w:szCs w:val="21"/>
              </w:rPr>
            </w:pPr>
            <w:r>
              <w:rPr>
                <w:rFonts w:hint="eastAsia"/>
              </w:rPr>
              <w:t>李家大房子</w:t>
            </w:r>
          </w:p>
        </w:tc>
        <w:tc>
          <w:tcPr>
            <w:tcW w:w="0" w:type="auto"/>
            <w:shd w:val="clear" w:color="auto" w:fill="auto"/>
            <w:vAlign w:val="center"/>
          </w:tcPr>
          <w:p w14:paraId="59DFA81A">
            <w:pPr>
              <w:widowControl w:val="0"/>
              <w:jc w:val="center"/>
              <w:rPr>
                <w:szCs w:val="21"/>
              </w:rPr>
            </w:pPr>
            <w:r>
              <w:rPr>
                <w:rFonts w:hint="eastAsia"/>
              </w:rPr>
              <w:t>106.981730</w:t>
            </w:r>
          </w:p>
        </w:tc>
        <w:tc>
          <w:tcPr>
            <w:tcW w:w="0" w:type="auto"/>
            <w:shd w:val="clear" w:color="auto" w:fill="auto"/>
            <w:vAlign w:val="center"/>
          </w:tcPr>
          <w:p w14:paraId="7440C52F">
            <w:pPr>
              <w:widowControl w:val="0"/>
              <w:jc w:val="center"/>
              <w:rPr>
                <w:szCs w:val="21"/>
              </w:rPr>
            </w:pPr>
            <w:r>
              <w:rPr>
                <w:rFonts w:hint="eastAsia"/>
              </w:rPr>
              <w:t>31.81542</w:t>
            </w:r>
          </w:p>
        </w:tc>
        <w:tc>
          <w:tcPr>
            <w:tcW w:w="0" w:type="auto"/>
            <w:shd w:val="clear" w:color="auto" w:fill="auto"/>
            <w:vAlign w:val="center"/>
          </w:tcPr>
          <w:p w14:paraId="73D990CF">
            <w:pPr>
              <w:widowControl w:val="0"/>
              <w:jc w:val="center"/>
              <w:rPr>
                <w:szCs w:val="21"/>
              </w:rPr>
            </w:pPr>
            <w:r>
              <w:rPr>
                <w:rFonts w:hint="eastAsia"/>
              </w:rPr>
              <w:t>约25人</w:t>
            </w:r>
          </w:p>
        </w:tc>
        <w:tc>
          <w:tcPr>
            <w:tcW w:w="0" w:type="auto"/>
            <w:vMerge w:val="continue"/>
            <w:vAlign w:val="center"/>
          </w:tcPr>
          <w:p w14:paraId="7C95556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7FA222B">
            <w:pPr>
              <w:widowControl w:val="0"/>
              <w:jc w:val="center"/>
              <w:rPr>
                <w:szCs w:val="21"/>
              </w:rPr>
            </w:pPr>
            <w:r>
              <w:t>NW</w:t>
            </w:r>
          </w:p>
        </w:tc>
        <w:tc>
          <w:tcPr>
            <w:tcW w:w="0" w:type="auto"/>
            <w:shd w:val="clear" w:color="auto" w:fill="auto"/>
            <w:vAlign w:val="center"/>
          </w:tcPr>
          <w:p w14:paraId="21FD85B1">
            <w:pPr>
              <w:widowControl w:val="0"/>
              <w:jc w:val="center"/>
              <w:rPr>
                <w:szCs w:val="21"/>
              </w:rPr>
            </w:pPr>
            <w:r>
              <w:t>1564</w:t>
            </w:r>
          </w:p>
        </w:tc>
        <w:tc>
          <w:tcPr>
            <w:tcW w:w="0" w:type="auto"/>
            <w:shd w:val="clear" w:color="auto" w:fill="auto"/>
            <w:vAlign w:val="center"/>
          </w:tcPr>
          <w:p w14:paraId="15FEA860">
            <w:pPr>
              <w:widowControl w:val="0"/>
              <w:jc w:val="center"/>
              <w:rPr>
                <w:szCs w:val="21"/>
              </w:rPr>
            </w:pPr>
            <w:r>
              <w:t>-94</w:t>
            </w:r>
          </w:p>
        </w:tc>
        <w:tc>
          <w:tcPr>
            <w:tcW w:w="0" w:type="auto"/>
            <w:vMerge w:val="continue"/>
            <w:vAlign w:val="center"/>
          </w:tcPr>
          <w:p w14:paraId="658E32E1">
            <w:pPr>
              <w:widowControl w:val="0"/>
              <w:jc w:val="center"/>
              <w:rPr>
                <w:rFonts w:ascii="宋体" w:hAnsi="宋体"/>
                <w:color w:val="000000" w:themeColor="text1"/>
                <w:szCs w:val="21"/>
                <w14:textFill>
                  <w14:solidFill>
                    <w14:schemeClr w14:val="tx1"/>
                  </w14:solidFill>
                </w14:textFill>
              </w:rPr>
            </w:pPr>
          </w:p>
        </w:tc>
      </w:tr>
      <w:tr w14:paraId="52D34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DDAAB77">
            <w:pPr>
              <w:widowControl w:val="0"/>
              <w:jc w:val="center"/>
              <w:rPr>
                <w:szCs w:val="21"/>
              </w:rPr>
            </w:pPr>
            <w:r>
              <w:rPr>
                <w:rFonts w:hint="eastAsia"/>
              </w:rPr>
              <w:t>7#</w:t>
            </w:r>
          </w:p>
        </w:tc>
        <w:tc>
          <w:tcPr>
            <w:tcW w:w="0" w:type="auto"/>
            <w:shd w:val="clear" w:color="auto" w:fill="auto"/>
            <w:vAlign w:val="center"/>
          </w:tcPr>
          <w:p w14:paraId="48F0F3D5">
            <w:pPr>
              <w:widowControl w:val="0"/>
              <w:jc w:val="center"/>
              <w:rPr>
                <w:szCs w:val="21"/>
              </w:rPr>
            </w:pPr>
            <w:r>
              <w:rPr>
                <w:rFonts w:hint="eastAsia"/>
              </w:rPr>
              <w:t>鲜家院</w:t>
            </w:r>
          </w:p>
        </w:tc>
        <w:tc>
          <w:tcPr>
            <w:tcW w:w="0" w:type="auto"/>
            <w:shd w:val="clear" w:color="auto" w:fill="auto"/>
            <w:vAlign w:val="center"/>
          </w:tcPr>
          <w:p w14:paraId="5EC7191B">
            <w:pPr>
              <w:widowControl w:val="0"/>
              <w:jc w:val="center"/>
              <w:rPr>
                <w:szCs w:val="21"/>
              </w:rPr>
            </w:pPr>
            <w:r>
              <w:rPr>
                <w:rFonts w:hint="eastAsia"/>
              </w:rPr>
              <w:t>106.986451</w:t>
            </w:r>
          </w:p>
        </w:tc>
        <w:tc>
          <w:tcPr>
            <w:tcW w:w="0" w:type="auto"/>
            <w:shd w:val="clear" w:color="auto" w:fill="auto"/>
            <w:vAlign w:val="center"/>
          </w:tcPr>
          <w:p w14:paraId="171AFBC6">
            <w:pPr>
              <w:widowControl w:val="0"/>
              <w:jc w:val="center"/>
              <w:rPr>
                <w:szCs w:val="21"/>
              </w:rPr>
            </w:pPr>
            <w:r>
              <w:rPr>
                <w:rFonts w:hint="eastAsia"/>
              </w:rPr>
              <w:t>31.816313</w:t>
            </w:r>
          </w:p>
        </w:tc>
        <w:tc>
          <w:tcPr>
            <w:tcW w:w="0" w:type="auto"/>
            <w:shd w:val="clear" w:color="auto" w:fill="auto"/>
            <w:vAlign w:val="center"/>
          </w:tcPr>
          <w:p w14:paraId="0139A20A">
            <w:pPr>
              <w:widowControl w:val="0"/>
              <w:jc w:val="center"/>
              <w:rPr>
                <w:szCs w:val="21"/>
              </w:rPr>
            </w:pPr>
            <w:r>
              <w:rPr>
                <w:rFonts w:hint="eastAsia"/>
              </w:rPr>
              <w:t>约60人</w:t>
            </w:r>
          </w:p>
        </w:tc>
        <w:tc>
          <w:tcPr>
            <w:tcW w:w="0" w:type="auto"/>
            <w:vMerge w:val="continue"/>
            <w:vAlign w:val="center"/>
          </w:tcPr>
          <w:p w14:paraId="1B0A1B9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DD083E2">
            <w:pPr>
              <w:widowControl w:val="0"/>
              <w:jc w:val="center"/>
              <w:rPr>
                <w:szCs w:val="21"/>
              </w:rPr>
            </w:pPr>
            <w:r>
              <w:t>NW</w:t>
            </w:r>
          </w:p>
        </w:tc>
        <w:tc>
          <w:tcPr>
            <w:tcW w:w="0" w:type="auto"/>
            <w:shd w:val="clear" w:color="auto" w:fill="auto"/>
            <w:vAlign w:val="center"/>
          </w:tcPr>
          <w:p w14:paraId="73606441">
            <w:pPr>
              <w:widowControl w:val="0"/>
              <w:jc w:val="center"/>
              <w:rPr>
                <w:szCs w:val="21"/>
              </w:rPr>
            </w:pPr>
            <w:r>
              <w:t>1311</w:t>
            </w:r>
          </w:p>
        </w:tc>
        <w:tc>
          <w:tcPr>
            <w:tcW w:w="0" w:type="auto"/>
            <w:shd w:val="clear" w:color="auto" w:fill="auto"/>
            <w:vAlign w:val="center"/>
          </w:tcPr>
          <w:p w14:paraId="53F31077">
            <w:pPr>
              <w:widowControl w:val="0"/>
              <w:jc w:val="center"/>
              <w:rPr>
                <w:szCs w:val="21"/>
              </w:rPr>
            </w:pPr>
            <w:r>
              <w:t>-39</w:t>
            </w:r>
          </w:p>
        </w:tc>
        <w:tc>
          <w:tcPr>
            <w:tcW w:w="0" w:type="auto"/>
            <w:vMerge w:val="continue"/>
            <w:vAlign w:val="center"/>
          </w:tcPr>
          <w:p w14:paraId="2ECB9300">
            <w:pPr>
              <w:widowControl w:val="0"/>
              <w:jc w:val="center"/>
              <w:rPr>
                <w:rFonts w:ascii="宋体" w:hAnsi="宋体"/>
                <w:color w:val="000000" w:themeColor="text1"/>
                <w:szCs w:val="21"/>
                <w14:textFill>
                  <w14:solidFill>
                    <w14:schemeClr w14:val="tx1"/>
                  </w14:solidFill>
                </w14:textFill>
              </w:rPr>
            </w:pPr>
          </w:p>
        </w:tc>
      </w:tr>
      <w:tr w14:paraId="3B31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BB2D1B5">
            <w:pPr>
              <w:widowControl w:val="0"/>
              <w:jc w:val="center"/>
              <w:rPr>
                <w:szCs w:val="21"/>
              </w:rPr>
            </w:pPr>
            <w:r>
              <w:rPr>
                <w:rFonts w:hint="eastAsia"/>
              </w:rPr>
              <w:t>8#</w:t>
            </w:r>
          </w:p>
        </w:tc>
        <w:tc>
          <w:tcPr>
            <w:tcW w:w="0" w:type="auto"/>
            <w:shd w:val="clear" w:color="auto" w:fill="auto"/>
            <w:vAlign w:val="center"/>
          </w:tcPr>
          <w:p w14:paraId="7623FB32">
            <w:pPr>
              <w:widowControl w:val="0"/>
              <w:jc w:val="center"/>
              <w:rPr>
                <w:szCs w:val="21"/>
              </w:rPr>
            </w:pPr>
            <w:r>
              <w:rPr>
                <w:rFonts w:hint="eastAsia"/>
              </w:rPr>
              <w:t>王家湾</w:t>
            </w:r>
          </w:p>
        </w:tc>
        <w:tc>
          <w:tcPr>
            <w:tcW w:w="0" w:type="auto"/>
            <w:shd w:val="clear" w:color="auto" w:fill="auto"/>
            <w:vAlign w:val="center"/>
          </w:tcPr>
          <w:p w14:paraId="5D68A353">
            <w:pPr>
              <w:widowControl w:val="0"/>
              <w:jc w:val="center"/>
              <w:rPr>
                <w:szCs w:val="21"/>
              </w:rPr>
            </w:pPr>
            <w:r>
              <w:rPr>
                <w:rFonts w:hint="eastAsia"/>
              </w:rPr>
              <w:t>106.987395</w:t>
            </w:r>
          </w:p>
        </w:tc>
        <w:tc>
          <w:tcPr>
            <w:tcW w:w="0" w:type="auto"/>
            <w:shd w:val="clear" w:color="auto" w:fill="auto"/>
            <w:vAlign w:val="center"/>
          </w:tcPr>
          <w:p w14:paraId="124E923A">
            <w:pPr>
              <w:widowControl w:val="0"/>
              <w:jc w:val="center"/>
              <w:rPr>
                <w:szCs w:val="21"/>
              </w:rPr>
            </w:pPr>
            <w:r>
              <w:rPr>
                <w:rFonts w:hint="eastAsia"/>
              </w:rPr>
              <w:t>31.813104</w:t>
            </w:r>
          </w:p>
        </w:tc>
        <w:tc>
          <w:tcPr>
            <w:tcW w:w="0" w:type="auto"/>
            <w:shd w:val="clear" w:color="auto" w:fill="auto"/>
            <w:vAlign w:val="center"/>
          </w:tcPr>
          <w:p w14:paraId="6B4C8433">
            <w:pPr>
              <w:widowControl w:val="0"/>
              <w:jc w:val="center"/>
              <w:rPr>
                <w:szCs w:val="21"/>
              </w:rPr>
            </w:pPr>
            <w:r>
              <w:rPr>
                <w:rFonts w:hint="eastAsia"/>
              </w:rPr>
              <w:t>约110人</w:t>
            </w:r>
          </w:p>
        </w:tc>
        <w:tc>
          <w:tcPr>
            <w:tcW w:w="0" w:type="auto"/>
            <w:vMerge w:val="continue"/>
            <w:vAlign w:val="center"/>
          </w:tcPr>
          <w:p w14:paraId="71787D2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6663F46">
            <w:pPr>
              <w:widowControl w:val="0"/>
              <w:jc w:val="center"/>
              <w:rPr>
                <w:szCs w:val="21"/>
              </w:rPr>
            </w:pPr>
            <w:r>
              <w:t>NW</w:t>
            </w:r>
          </w:p>
        </w:tc>
        <w:tc>
          <w:tcPr>
            <w:tcW w:w="0" w:type="auto"/>
            <w:shd w:val="clear" w:color="auto" w:fill="auto"/>
            <w:vAlign w:val="center"/>
          </w:tcPr>
          <w:p w14:paraId="0B962EE2">
            <w:pPr>
              <w:widowControl w:val="0"/>
              <w:jc w:val="center"/>
              <w:rPr>
                <w:szCs w:val="21"/>
              </w:rPr>
            </w:pPr>
            <w:r>
              <w:t>9876</w:t>
            </w:r>
          </w:p>
        </w:tc>
        <w:tc>
          <w:tcPr>
            <w:tcW w:w="0" w:type="auto"/>
            <w:shd w:val="clear" w:color="auto" w:fill="auto"/>
            <w:vAlign w:val="center"/>
          </w:tcPr>
          <w:p w14:paraId="1B914E66">
            <w:pPr>
              <w:widowControl w:val="0"/>
              <w:jc w:val="center"/>
              <w:rPr>
                <w:szCs w:val="21"/>
              </w:rPr>
            </w:pPr>
            <w:r>
              <w:t>19</w:t>
            </w:r>
          </w:p>
        </w:tc>
        <w:tc>
          <w:tcPr>
            <w:tcW w:w="0" w:type="auto"/>
            <w:vMerge w:val="continue"/>
            <w:vAlign w:val="center"/>
          </w:tcPr>
          <w:p w14:paraId="30795EAC">
            <w:pPr>
              <w:widowControl w:val="0"/>
              <w:jc w:val="center"/>
              <w:rPr>
                <w:rFonts w:ascii="宋体" w:hAnsi="宋体"/>
                <w:color w:val="000000" w:themeColor="text1"/>
                <w:szCs w:val="21"/>
                <w14:textFill>
                  <w14:solidFill>
                    <w14:schemeClr w14:val="tx1"/>
                  </w14:solidFill>
                </w14:textFill>
              </w:rPr>
            </w:pPr>
          </w:p>
        </w:tc>
      </w:tr>
      <w:tr w14:paraId="60EB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5761860">
            <w:pPr>
              <w:widowControl w:val="0"/>
              <w:jc w:val="center"/>
              <w:rPr>
                <w:szCs w:val="21"/>
              </w:rPr>
            </w:pPr>
            <w:r>
              <w:rPr>
                <w:rFonts w:hint="eastAsia"/>
              </w:rPr>
              <w:t>9#</w:t>
            </w:r>
          </w:p>
        </w:tc>
        <w:tc>
          <w:tcPr>
            <w:tcW w:w="0" w:type="auto"/>
            <w:shd w:val="clear" w:color="auto" w:fill="auto"/>
            <w:vAlign w:val="center"/>
          </w:tcPr>
          <w:p w14:paraId="2E9209D8">
            <w:pPr>
              <w:widowControl w:val="0"/>
              <w:jc w:val="center"/>
              <w:rPr>
                <w:szCs w:val="21"/>
              </w:rPr>
            </w:pPr>
            <w:r>
              <w:rPr>
                <w:rFonts w:hint="eastAsia"/>
              </w:rPr>
              <w:t>祖寺庙</w:t>
            </w:r>
          </w:p>
        </w:tc>
        <w:tc>
          <w:tcPr>
            <w:tcW w:w="0" w:type="auto"/>
            <w:shd w:val="clear" w:color="auto" w:fill="auto"/>
            <w:vAlign w:val="center"/>
          </w:tcPr>
          <w:p w14:paraId="33907DAF">
            <w:pPr>
              <w:widowControl w:val="0"/>
              <w:jc w:val="center"/>
              <w:rPr>
                <w:szCs w:val="21"/>
              </w:rPr>
            </w:pPr>
            <w:r>
              <w:rPr>
                <w:rFonts w:hint="eastAsia"/>
              </w:rPr>
              <w:t>106.994069</w:t>
            </w:r>
          </w:p>
        </w:tc>
        <w:tc>
          <w:tcPr>
            <w:tcW w:w="0" w:type="auto"/>
            <w:shd w:val="clear" w:color="auto" w:fill="auto"/>
            <w:vAlign w:val="center"/>
          </w:tcPr>
          <w:p w14:paraId="493270B9">
            <w:pPr>
              <w:widowControl w:val="0"/>
              <w:jc w:val="center"/>
              <w:rPr>
                <w:szCs w:val="21"/>
              </w:rPr>
            </w:pPr>
            <w:r>
              <w:rPr>
                <w:rFonts w:hint="eastAsia"/>
              </w:rPr>
              <w:t>31.814873</w:t>
            </w:r>
          </w:p>
        </w:tc>
        <w:tc>
          <w:tcPr>
            <w:tcW w:w="0" w:type="auto"/>
            <w:shd w:val="clear" w:color="auto" w:fill="auto"/>
            <w:vAlign w:val="center"/>
          </w:tcPr>
          <w:p w14:paraId="2F1B545B">
            <w:pPr>
              <w:widowControl w:val="0"/>
              <w:jc w:val="center"/>
              <w:rPr>
                <w:szCs w:val="21"/>
              </w:rPr>
            </w:pPr>
            <w:r>
              <w:rPr>
                <w:rFonts w:hint="eastAsia"/>
              </w:rPr>
              <w:t>约60人</w:t>
            </w:r>
          </w:p>
        </w:tc>
        <w:tc>
          <w:tcPr>
            <w:tcW w:w="0" w:type="auto"/>
            <w:vMerge w:val="continue"/>
            <w:vAlign w:val="center"/>
          </w:tcPr>
          <w:p w14:paraId="467FF72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6399A0A">
            <w:pPr>
              <w:widowControl w:val="0"/>
              <w:jc w:val="center"/>
              <w:rPr>
                <w:szCs w:val="21"/>
              </w:rPr>
            </w:pPr>
            <w:r>
              <w:t>NW</w:t>
            </w:r>
          </w:p>
        </w:tc>
        <w:tc>
          <w:tcPr>
            <w:tcW w:w="0" w:type="auto"/>
            <w:shd w:val="clear" w:color="auto" w:fill="auto"/>
            <w:vAlign w:val="center"/>
          </w:tcPr>
          <w:p w14:paraId="5AD749AC">
            <w:pPr>
              <w:widowControl w:val="0"/>
              <w:jc w:val="center"/>
              <w:rPr>
                <w:szCs w:val="21"/>
              </w:rPr>
            </w:pPr>
            <w:r>
              <w:t>746</w:t>
            </w:r>
          </w:p>
        </w:tc>
        <w:tc>
          <w:tcPr>
            <w:tcW w:w="0" w:type="auto"/>
            <w:shd w:val="clear" w:color="auto" w:fill="auto"/>
            <w:vAlign w:val="center"/>
          </w:tcPr>
          <w:p w14:paraId="103235BC">
            <w:pPr>
              <w:widowControl w:val="0"/>
              <w:jc w:val="center"/>
              <w:rPr>
                <w:szCs w:val="21"/>
              </w:rPr>
            </w:pPr>
            <w:r>
              <w:t>18</w:t>
            </w:r>
          </w:p>
        </w:tc>
        <w:tc>
          <w:tcPr>
            <w:tcW w:w="0" w:type="auto"/>
            <w:vMerge w:val="continue"/>
            <w:vAlign w:val="center"/>
          </w:tcPr>
          <w:p w14:paraId="71443680">
            <w:pPr>
              <w:widowControl w:val="0"/>
              <w:jc w:val="center"/>
              <w:rPr>
                <w:rFonts w:ascii="宋体" w:hAnsi="宋体"/>
                <w:color w:val="000000" w:themeColor="text1"/>
                <w:szCs w:val="21"/>
                <w14:textFill>
                  <w14:solidFill>
                    <w14:schemeClr w14:val="tx1"/>
                  </w14:solidFill>
                </w14:textFill>
              </w:rPr>
            </w:pPr>
          </w:p>
        </w:tc>
      </w:tr>
      <w:tr w14:paraId="7CCE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06DB851">
            <w:pPr>
              <w:widowControl w:val="0"/>
              <w:jc w:val="center"/>
              <w:rPr>
                <w:szCs w:val="21"/>
              </w:rPr>
            </w:pPr>
            <w:r>
              <w:rPr>
                <w:rFonts w:hint="eastAsia"/>
              </w:rPr>
              <w:t>10#</w:t>
            </w:r>
          </w:p>
        </w:tc>
        <w:tc>
          <w:tcPr>
            <w:tcW w:w="0" w:type="auto"/>
            <w:shd w:val="clear" w:color="auto" w:fill="auto"/>
            <w:vAlign w:val="center"/>
          </w:tcPr>
          <w:p w14:paraId="5C44C2E8">
            <w:pPr>
              <w:widowControl w:val="0"/>
              <w:jc w:val="center"/>
              <w:rPr>
                <w:szCs w:val="21"/>
              </w:rPr>
            </w:pPr>
            <w:r>
              <w:rPr>
                <w:rFonts w:hint="eastAsia"/>
              </w:rPr>
              <w:t>庙上梁</w:t>
            </w:r>
          </w:p>
        </w:tc>
        <w:tc>
          <w:tcPr>
            <w:tcW w:w="0" w:type="auto"/>
            <w:shd w:val="clear" w:color="auto" w:fill="auto"/>
            <w:vAlign w:val="center"/>
          </w:tcPr>
          <w:p w14:paraId="54F6230F">
            <w:pPr>
              <w:widowControl w:val="0"/>
              <w:jc w:val="center"/>
              <w:rPr>
                <w:szCs w:val="21"/>
              </w:rPr>
            </w:pPr>
            <w:r>
              <w:rPr>
                <w:rFonts w:hint="eastAsia"/>
              </w:rPr>
              <w:t>106.989927</w:t>
            </w:r>
          </w:p>
        </w:tc>
        <w:tc>
          <w:tcPr>
            <w:tcW w:w="0" w:type="auto"/>
            <w:shd w:val="clear" w:color="auto" w:fill="auto"/>
            <w:vAlign w:val="center"/>
          </w:tcPr>
          <w:p w14:paraId="01ABDC0E">
            <w:pPr>
              <w:widowControl w:val="0"/>
              <w:jc w:val="center"/>
              <w:rPr>
                <w:szCs w:val="21"/>
              </w:rPr>
            </w:pPr>
            <w:r>
              <w:rPr>
                <w:rFonts w:hint="eastAsia"/>
              </w:rPr>
              <w:t>31.807634</w:t>
            </w:r>
          </w:p>
        </w:tc>
        <w:tc>
          <w:tcPr>
            <w:tcW w:w="0" w:type="auto"/>
            <w:shd w:val="clear" w:color="auto" w:fill="auto"/>
            <w:vAlign w:val="center"/>
          </w:tcPr>
          <w:p w14:paraId="3925C440">
            <w:pPr>
              <w:widowControl w:val="0"/>
              <w:jc w:val="center"/>
              <w:rPr>
                <w:szCs w:val="21"/>
              </w:rPr>
            </w:pPr>
            <w:r>
              <w:rPr>
                <w:rFonts w:hint="eastAsia"/>
              </w:rPr>
              <w:t>约70人</w:t>
            </w:r>
          </w:p>
        </w:tc>
        <w:tc>
          <w:tcPr>
            <w:tcW w:w="0" w:type="auto"/>
            <w:vMerge w:val="continue"/>
            <w:vAlign w:val="center"/>
          </w:tcPr>
          <w:p w14:paraId="78E6A9C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40D63E2">
            <w:pPr>
              <w:widowControl w:val="0"/>
              <w:jc w:val="center"/>
              <w:rPr>
                <w:szCs w:val="21"/>
              </w:rPr>
            </w:pPr>
            <w:r>
              <w:t>W</w:t>
            </w:r>
          </w:p>
        </w:tc>
        <w:tc>
          <w:tcPr>
            <w:tcW w:w="0" w:type="auto"/>
            <w:shd w:val="clear" w:color="auto" w:fill="auto"/>
            <w:vAlign w:val="center"/>
          </w:tcPr>
          <w:p w14:paraId="50BDAE57">
            <w:pPr>
              <w:widowControl w:val="0"/>
              <w:jc w:val="center"/>
              <w:rPr>
                <w:szCs w:val="21"/>
              </w:rPr>
            </w:pPr>
            <w:r>
              <w:t>470</w:t>
            </w:r>
          </w:p>
        </w:tc>
        <w:tc>
          <w:tcPr>
            <w:tcW w:w="0" w:type="auto"/>
            <w:shd w:val="clear" w:color="auto" w:fill="auto"/>
            <w:vAlign w:val="center"/>
          </w:tcPr>
          <w:p w14:paraId="17D62643">
            <w:pPr>
              <w:widowControl w:val="0"/>
              <w:jc w:val="center"/>
              <w:rPr>
                <w:szCs w:val="21"/>
              </w:rPr>
            </w:pPr>
            <w:r>
              <w:t>117</w:t>
            </w:r>
          </w:p>
        </w:tc>
        <w:tc>
          <w:tcPr>
            <w:tcW w:w="0" w:type="auto"/>
            <w:vMerge w:val="continue"/>
            <w:vAlign w:val="center"/>
          </w:tcPr>
          <w:p w14:paraId="0D8685F9">
            <w:pPr>
              <w:widowControl w:val="0"/>
              <w:jc w:val="center"/>
              <w:rPr>
                <w:rFonts w:ascii="宋体" w:hAnsi="宋体"/>
                <w:color w:val="000000" w:themeColor="text1"/>
                <w:szCs w:val="21"/>
                <w14:textFill>
                  <w14:solidFill>
                    <w14:schemeClr w14:val="tx1"/>
                  </w14:solidFill>
                </w14:textFill>
              </w:rPr>
            </w:pPr>
          </w:p>
        </w:tc>
      </w:tr>
      <w:tr w14:paraId="4DDE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48387D3">
            <w:pPr>
              <w:widowControl w:val="0"/>
              <w:jc w:val="center"/>
              <w:rPr>
                <w:szCs w:val="21"/>
              </w:rPr>
            </w:pPr>
            <w:r>
              <w:rPr>
                <w:rFonts w:hint="eastAsia"/>
              </w:rPr>
              <w:t>11#</w:t>
            </w:r>
          </w:p>
        </w:tc>
        <w:tc>
          <w:tcPr>
            <w:tcW w:w="0" w:type="auto"/>
            <w:shd w:val="clear" w:color="auto" w:fill="auto"/>
            <w:vAlign w:val="center"/>
          </w:tcPr>
          <w:p w14:paraId="64FE80B8">
            <w:pPr>
              <w:widowControl w:val="0"/>
              <w:jc w:val="center"/>
              <w:rPr>
                <w:szCs w:val="21"/>
              </w:rPr>
            </w:pPr>
            <w:r>
              <w:rPr>
                <w:rFonts w:hint="eastAsia"/>
              </w:rPr>
              <w:t>陈家沟</w:t>
            </w:r>
          </w:p>
        </w:tc>
        <w:tc>
          <w:tcPr>
            <w:tcW w:w="0" w:type="auto"/>
            <w:shd w:val="clear" w:color="auto" w:fill="auto"/>
            <w:vAlign w:val="center"/>
          </w:tcPr>
          <w:p w14:paraId="129CEF3C">
            <w:pPr>
              <w:widowControl w:val="0"/>
              <w:jc w:val="center"/>
              <w:rPr>
                <w:szCs w:val="21"/>
              </w:rPr>
            </w:pPr>
            <w:r>
              <w:rPr>
                <w:rFonts w:hint="eastAsia"/>
              </w:rPr>
              <w:t>106.973834</w:t>
            </w:r>
          </w:p>
        </w:tc>
        <w:tc>
          <w:tcPr>
            <w:tcW w:w="0" w:type="auto"/>
            <w:shd w:val="clear" w:color="auto" w:fill="auto"/>
            <w:vAlign w:val="center"/>
          </w:tcPr>
          <w:p w14:paraId="299282DA">
            <w:pPr>
              <w:widowControl w:val="0"/>
              <w:jc w:val="center"/>
              <w:rPr>
                <w:szCs w:val="21"/>
              </w:rPr>
            </w:pPr>
            <w:r>
              <w:rPr>
                <w:rFonts w:hint="eastAsia"/>
              </w:rPr>
              <w:t>31.805327</w:t>
            </w:r>
          </w:p>
        </w:tc>
        <w:tc>
          <w:tcPr>
            <w:tcW w:w="0" w:type="auto"/>
            <w:shd w:val="clear" w:color="auto" w:fill="auto"/>
            <w:vAlign w:val="center"/>
          </w:tcPr>
          <w:p w14:paraId="74B2A58E">
            <w:pPr>
              <w:widowControl w:val="0"/>
              <w:jc w:val="center"/>
              <w:rPr>
                <w:szCs w:val="21"/>
              </w:rPr>
            </w:pPr>
            <w:r>
              <w:rPr>
                <w:rFonts w:hint="eastAsia"/>
              </w:rPr>
              <w:t>约15人</w:t>
            </w:r>
          </w:p>
        </w:tc>
        <w:tc>
          <w:tcPr>
            <w:tcW w:w="0" w:type="auto"/>
            <w:vMerge w:val="continue"/>
            <w:vAlign w:val="center"/>
          </w:tcPr>
          <w:p w14:paraId="048639E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C688D44">
            <w:pPr>
              <w:widowControl w:val="0"/>
              <w:jc w:val="center"/>
              <w:rPr>
                <w:szCs w:val="21"/>
              </w:rPr>
            </w:pPr>
            <w:r>
              <w:t>W</w:t>
            </w:r>
          </w:p>
        </w:tc>
        <w:tc>
          <w:tcPr>
            <w:tcW w:w="0" w:type="auto"/>
            <w:shd w:val="clear" w:color="auto" w:fill="auto"/>
            <w:vAlign w:val="center"/>
          </w:tcPr>
          <w:p w14:paraId="42003994">
            <w:pPr>
              <w:widowControl w:val="0"/>
              <w:jc w:val="center"/>
              <w:rPr>
                <w:szCs w:val="21"/>
              </w:rPr>
            </w:pPr>
            <w:r>
              <w:t>2059</w:t>
            </w:r>
          </w:p>
        </w:tc>
        <w:tc>
          <w:tcPr>
            <w:tcW w:w="0" w:type="auto"/>
            <w:shd w:val="clear" w:color="auto" w:fill="auto"/>
            <w:vAlign w:val="center"/>
          </w:tcPr>
          <w:p w14:paraId="1DADAE5F">
            <w:pPr>
              <w:widowControl w:val="0"/>
              <w:jc w:val="center"/>
              <w:rPr>
                <w:szCs w:val="21"/>
              </w:rPr>
            </w:pPr>
            <w:r>
              <w:t>33</w:t>
            </w:r>
          </w:p>
        </w:tc>
        <w:tc>
          <w:tcPr>
            <w:tcW w:w="0" w:type="auto"/>
            <w:vMerge w:val="continue"/>
            <w:vAlign w:val="center"/>
          </w:tcPr>
          <w:p w14:paraId="2B07308E">
            <w:pPr>
              <w:widowControl w:val="0"/>
              <w:jc w:val="center"/>
              <w:rPr>
                <w:rFonts w:ascii="宋体" w:hAnsi="宋体"/>
                <w:color w:val="000000" w:themeColor="text1"/>
                <w:szCs w:val="21"/>
                <w14:textFill>
                  <w14:solidFill>
                    <w14:schemeClr w14:val="tx1"/>
                  </w14:solidFill>
                </w14:textFill>
              </w:rPr>
            </w:pPr>
          </w:p>
        </w:tc>
      </w:tr>
      <w:tr w14:paraId="62EC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FBD5F67">
            <w:pPr>
              <w:widowControl w:val="0"/>
              <w:jc w:val="center"/>
              <w:rPr>
                <w:szCs w:val="21"/>
              </w:rPr>
            </w:pPr>
            <w:r>
              <w:rPr>
                <w:rFonts w:hint="eastAsia"/>
              </w:rPr>
              <w:t>12#</w:t>
            </w:r>
          </w:p>
        </w:tc>
        <w:tc>
          <w:tcPr>
            <w:tcW w:w="0" w:type="auto"/>
            <w:shd w:val="clear" w:color="auto" w:fill="auto"/>
            <w:vAlign w:val="center"/>
          </w:tcPr>
          <w:p w14:paraId="4F01DC84">
            <w:pPr>
              <w:widowControl w:val="0"/>
              <w:jc w:val="center"/>
              <w:rPr>
                <w:szCs w:val="21"/>
              </w:rPr>
            </w:pPr>
            <w:r>
              <w:rPr>
                <w:rFonts w:hint="eastAsia"/>
              </w:rPr>
              <w:t>马家湾</w:t>
            </w:r>
          </w:p>
        </w:tc>
        <w:tc>
          <w:tcPr>
            <w:tcW w:w="0" w:type="auto"/>
            <w:shd w:val="clear" w:color="auto" w:fill="auto"/>
            <w:vAlign w:val="center"/>
          </w:tcPr>
          <w:p w14:paraId="15759596">
            <w:pPr>
              <w:widowControl w:val="0"/>
              <w:jc w:val="center"/>
              <w:rPr>
                <w:szCs w:val="21"/>
              </w:rPr>
            </w:pPr>
            <w:r>
              <w:rPr>
                <w:rFonts w:hint="eastAsia"/>
              </w:rPr>
              <w:t>106.994240</w:t>
            </w:r>
          </w:p>
        </w:tc>
        <w:tc>
          <w:tcPr>
            <w:tcW w:w="0" w:type="auto"/>
            <w:shd w:val="clear" w:color="auto" w:fill="auto"/>
            <w:vAlign w:val="center"/>
          </w:tcPr>
          <w:p w14:paraId="5AF868F7">
            <w:pPr>
              <w:widowControl w:val="0"/>
              <w:jc w:val="center"/>
              <w:rPr>
                <w:szCs w:val="21"/>
              </w:rPr>
            </w:pPr>
            <w:r>
              <w:rPr>
                <w:rFonts w:hint="eastAsia"/>
              </w:rPr>
              <w:t>31.802236</w:t>
            </w:r>
          </w:p>
        </w:tc>
        <w:tc>
          <w:tcPr>
            <w:tcW w:w="0" w:type="auto"/>
            <w:shd w:val="clear" w:color="auto" w:fill="auto"/>
            <w:vAlign w:val="center"/>
          </w:tcPr>
          <w:p w14:paraId="06DFC4E5">
            <w:pPr>
              <w:widowControl w:val="0"/>
              <w:jc w:val="center"/>
              <w:rPr>
                <w:szCs w:val="21"/>
              </w:rPr>
            </w:pPr>
            <w:r>
              <w:rPr>
                <w:rFonts w:hint="eastAsia"/>
              </w:rPr>
              <w:t>约180人</w:t>
            </w:r>
          </w:p>
        </w:tc>
        <w:tc>
          <w:tcPr>
            <w:tcW w:w="0" w:type="auto"/>
            <w:vMerge w:val="continue"/>
            <w:vAlign w:val="center"/>
          </w:tcPr>
          <w:p w14:paraId="51912DA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9913CCE">
            <w:pPr>
              <w:widowControl w:val="0"/>
              <w:jc w:val="center"/>
              <w:rPr>
                <w:szCs w:val="21"/>
              </w:rPr>
            </w:pPr>
            <w:r>
              <w:t>SW</w:t>
            </w:r>
          </w:p>
        </w:tc>
        <w:tc>
          <w:tcPr>
            <w:tcW w:w="0" w:type="auto"/>
            <w:shd w:val="clear" w:color="auto" w:fill="auto"/>
            <w:vAlign w:val="center"/>
          </w:tcPr>
          <w:p w14:paraId="63D67C35">
            <w:pPr>
              <w:widowControl w:val="0"/>
              <w:jc w:val="center"/>
              <w:rPr>
                <w:szCs w:val="21"/>
              </w:rPr>
            </w:pPr>
            <w:r>
              <w:t>256</w:t>
            </w:r>
          </w:p>
        </w:tc>
        <w:tc>
          <w:tcPr>
            <w:tcW w:w="0" w:type="auto"/>
            <w:shd w:val="clear" w:color="auto" w:fill="auto"/>
            <w:vAlign w:val="center"/>
          </w:tcPr>
          <w:p w14:paraId="3667E122">
            <w:pPr>
              <w:widowControl w:val="0"/>
              <w:jc w:val="center"/>
              <w:rPr>
                <w:szCs w:val="21"/>
              </w:rPr>
            </w:pPr>
            <w:r>
              <w:t>93</w:t>
            </w:r>
          </w:p>
        </w:tc>
        <w:tc>
          <w:tcPr>
            <w:tcW w:w="0" w:type="auto"/>
            <w:vMerge w:val="continue"/>
            <w:vAlign w:val="center"/>
          </w:tcPr>
          <w:p w14:paraId="4A34B410">
            <w:pPr>
              <w:widowControl w:val="0"/>
              <w:jc w:val="center"/>
              <w:rPr>
                <w:rFonts w:ascii="宋体" w:hAnsi="宋体"/>
                <w:color w:val="000000" w:themeColor="text1"/>
                <w:szCs w:val="21"/>
                <w14:textFill>
                  <w14:solidFill>
                    <w14:schemeClr w14:val="tx1"/>
                  </w14:solidFill>
                </w14:textFill>
              </w:rPr>
            </w:pPr>
          </w:p>
        </w:tc>
      </w:tr>
      <w:tr w14:paraId="7D1D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1B15D7E">
            <w:pPr>
              <w:widowControl w:val="0"/>
              <w:jc w:val="center"/>
              <w:rPr>
                <w:szCs w:val="21"/>
              </w:rPr>
            </w:pPr>
            <w:r>
              <w:rPr>
                <w:rFonts w:hint="eastAsia"/>
              </w:rPr>
              <w:t>13#</w:t>
            </w:r>
          </w:p>
        </w:tc>
        <w:tc>
          <w:tcPr>
            <w:tcW w:w="0" w:type="auto"/>
            <w:shd w:val="clear" w:color="auto" w:fill="auto"/>
            <w:vAlign w:val="center"/>
          </w:tcPr>
          <w:p w14:paraId="3C5CA5E2">
            <w:pPr>
              <w:widowControl w:val="0"/>
              <w:jc w:val="center"/>
              <w:rPr>
                <w:szCs w:val="21"/>
              </w:rPr>
            </w:pPr>
            <w:r>
              <w:rPr>
                <w:rFonts w:hint="eastAsia"/>
              </w:rPr>
              <w:t>长梁</w:t>
            </w:r>
          </w:p>
        </w:tc>
        <w:tc>
          <w:tcPr>
            <w:tcW w:w="0" w:type="auto"/>
            <w:shd w:val="clear" w:color="auto" w:fill="auto"/>
            <w:vAlign w:val="center"/>
          </w:tcPr>
          <w:p w14:paraId="4954935C">
            <w:pPr>
              <w:widowControl w:val="0"/>
              <w:jc w:val="center"/>
              <w:rPr>
                <w:szCs w:val="21"/>
              </w:rPr>
            </w:pPr>
            <w:r>
              <w:rPr>
                <w:rFonts w:hint="eastAsia"/>
              </w:rPr>
              <w:t>106.986473</w:t>
            </w:r>
          </w:p>
        </w:tc>
        <w:tc>
          <w:tcPr>
            <w:tcW w:w="0" w:type="auto"/>
            <w:shd w:val="clear" w:color="auto" w:fill="auto"/>
            <w:vAlign w:val="center"/>
          </w:tcPr>
          <w:p w14:paraId="4CA61C78">
            <w:pPr>
              <w:widowControl w:val="0"/>
              <w:jc w:val="center"/>
              <w:rPr>
                <w:szCs w:val="21"/>
              </w:rPr>
            </w:pPr>
            <w:r>
              <w:rPr>
                <w:rFonts w:hint="eastAsia"/>
              </w:rPr>
              <w:t>31.802291</w:t>
            </w:r>
          </w:p>
        </w:tc>
        <w:tc>
          <w:tcPr>
            <w:tcW w:w="0" w:type="auto"/>
            <w:shd w:val="clear" w:color="auto" w:fill="auto"/>
            <w:vAlign w:val="center"/>
          </w:tcPr>
          <w:p w14:paraId="1B9EFE97">
            <w:pPr>
              <w:widowControl w:val="0"/>
              <w:jc w:val="center"/>
              <w:rPr>
                <w:szCs w:val="21"/>
              </w:rPr>
            </w:pPr>
            <w:r>
              <w:rPr>
                <w:rFonts w:hint="eastAsia"/>
              </w:rPr>
              <w:t>约110人</w:t>
            </w:r>
          </w:p>
        </w:tc>
        <w:tc>
          <w:tcPr>
            <w:tcW w:w="0" w:type="auto"/>
            <w:vMerge w:val="continue"/>
            <w:vAlign w:val="center"/>
          </w:tcPr>
          <w:p w14:paraId="3D9995E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818E82E">
            <w:pPr>
              <w:widowControl w:val="0"/>
              <w:jc w:val="center"/>
              <w:rPr>
                <w:szCs w:val="21"/>
              </w:rPr>
            </w:pPr>
            <w:r>
              <w:t>SW</w:t>
            </w:r>
          </w:p>
        </w:tc>
        <w:tc>
          <w:tcPr>
            <w:tcW w:w="0" w:type="auto"/>
            <w:shd w:val="clear" w:color="auto" w:fill="auto"/>
            <w:vAlign w:val="center"/>
          </w:tcPr>
          <w:p w14:paraId="7E90130F">
            <w:pPr>
              <w:widowControl w:val="0"/>
              <w:jc w:val="center"/>
              <w:rPr>
                <w:szCs w:val="21"/>
              </w:rPr>
            </w:pPr>
            <w:r>
              <w:t>954</w:t>
            </w:r>
          </w:p>
        </w:tc>
        <w:tc>
          <w:tcPr>
            <w:tcW w:w="0" w:type="auto"/>
            <w:shd w:val="clear" w:color="auto" w:fill="auto"/>
            <w:vAlign w:val="center"/>
          </w:tcPr>
          <w:p w14:paraId="78382B4B">
            <w:pPr>
              <w:widowControl w:val="0"/>
              <w:jc w:val="center"/>
              <w:rPr>
                <w:szCs w:val="21"/>
              </w:rPr>
            </w:pPr>
            <w:r>
              <w:t>79</w:t>
            </w:r>
          </w:p>
        </w:tc>
        <w:tc>
          <w:tcPr>
            <w:tcW w:w="0" w:type="auto"/>
            <w:vMerge w:val="continue"/>
            <w:vAlign w:val="center"/>
          </w:tcPr>
          <w:p w14:paraId="1DE1DE66">
            <w:pPr>
              <w:widowControl w:val="0"/>
              <w:jc w:val="center"/>
              <w:rPr>
                <w:rFonts w:ascii="宋体" w:hAnsi="宋体"/>
                <w:color w:val="000000" w:themeColor="text1"/>
                <w:szCs w:val="21"/>
                <w14:textFill>
                  <w14:solidFill>
                    <w14:schemeClr w14:val="tx1"/>
                  </w14:solidFill>
                </w14:textFill>
              </w:rPr>
            </w:pPr>
          </w:p>
        </w:tc>
      </w:tr>
      <w:tr w14:paraId="49F9F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90B1B88">
            <w:pPr>
              <w:widowControl w:val="0"/>
              <w:jc w:val="center"/>
              <w:rPr>
                <w:szCs w:val="21"/>
              </w:rPr>
            </w:pPr>
            <w:r>
              <w:rPr>
                <w:rFonts w:hint="eastAsia"/>
              </w:rPr>
              <w:t>14#</w:t>
            </w:r>
          </w:p>
        </w:tc>
        <w:tc>
          <w:tcPr>
            <w:tcW w:w="0" w:type="auto"/>
            <w:shd w:val="clear" w:color="auto" w:fill="auto"/>
            <w:vAlign w:val="center"/>
          </w:tcPr>
          <w:p w14:paraId="1A2C1317">
            <w:pPr>
              <w:widowControl w:val="0"/>
              <w:jc w:val="center"/>
              <w:rPr>
                <w:szCs w:val="21"/>
              </w:rPr>
            </w:pPr>
            <w:r>
              <w:rPr>
                <w:rFonts w:hint="eastAsia"/>
              </w:rPr>
              <w:t>龙台村</w:t>
            </w:r>
          </w:p>
        </w:tc>
        <w:tc>
          <w:tcPr>
            <w:tcW w:w="0" w:type="auto"/>
            <w:shd w:val="clear" w:color="auto" w:fill="auto"/>
            <w:vAlign w:val="center"/>
          </w:tcPr>
          <w:p w14:paraId="27E5154D">
            <w:pPr>
              <w:widowControl w:val="0"/>
              <w:jc w:val="center"/>
              <w:rPr>
                <w:szCs w:val="21"/>
              </w:rPr>
            </w:pPr>
            <w:r>
              <w:rPr>
                <w:rFonts w:hint="eastAsia"/>
              </w:rPr>
              <w:t>106.977224</w:t>
            </w:r>
          </w:p>
        </w:tc>
        <w:tc>
          <w:tcPr>
            <w:tcW w:w="0" w:type="auto"/>
            <w:shd w:val="clear" w:color="auto" w:fill="auto"/>
            <w:vAlign w:val="center"/>
          </w:tcPr>
          <w:p w14:paraId="1A6EEA71">
            <w:pPr>
              <w:widowControl w:val="0"/>
              <w:jc w:val="center"/>
              <w:rPr>
                <w:szCs w:val="21"/>
              </w:rPr>
            </w:pPr>
            <w:r>
              <w:rPr>
                <w:rFonts w:hint="eastAsia"/>
              </w:rPr>
              <w:t>31.795744</w:t>
            </w:r>
          </w:p>
        </w:tc>
        <w:tc>
          <w:tcPr>
            <w:tcW w:w="0" w:type="auto"/>
            <w:shd w:val="clear" w:color="auto" w:fill="auto"/>
            <w:vAlign w:val="center"/>
          </w:tcPr>
          <w:p w14:paraId="2C249EC2">
            <w:pPr>
              <w:widowControl w:val="0"/>
              <w:jc w:val="center"/>
              <w:rPr>
                <w:szCs w:val="21"/>
              </w:rPr>
            </w:pPr>
            <w:r>
              <w:rPr>
                <w:rFonts w:hint="eastAsia"/>
              </w:rPr>
              <w:t>约300人</w:t>
            </w:r>
          </w:p>
        </w:tc>
        <w:tc>
          <w:tcPr>
            <w:tcW w:w="0" w:type="auto"/>
            <w:vMerge w:val="continue"/>
            <w:vAlign w:val="center"/>
          </w:tcPr>
          <w:p w14:paraId="13EB4AAD">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49C8C4A">
            <w:pPr>
              <w:widowControl w:val="0"/>
              <w:jc w:val="center"/>
              <w:rPr>
                <w:szCs w:val="21"/>
              </w:rPr>
            </w:pPr>
            <w:r>
              <w:t>SW</w:t>
            </w:r>
          </w:p>
        </w:tc>
        <w:tc>
          <w:tcPr>
            <w:tcW w:w="0" w:type="auto"/>
            <w:shd w:val="clear" w:color="auto" w:fill="auto"/>
            <w:vAlign w:val="center"/>
          </w:tcPr>
          <w:p w14:paraId="44BECAA0">
            <w:pPr>
              <w:widowControl w:val="0"/>
              <w:jc w:val="center"/>
              <w:rPr>
                <w:szCs w:val="21"/>
              </w:rPr>
            </w:pPr>
            <w:r>
              <w:t>1740</w:t>
            </w:r>
          </w:p>
        </w:tc>
        <w:tc>
          <w:tcPr>
            <w:tcW w:w="0" w:type="auto"/>
            <w:shd w:val="clear" w:color="auto" w:fill="auto"/>
            <w:vAlign w:val="center"/>
          </w:tcPr>
          <w:p w14:paraId="66702A7F">
            <w:pPr>
              <w:widowControl w:val="0"/>
              <w:jc w:val="center"/>
              <w:rPr>
                <w:szCs w:val="21"/>
              </w:rPr>
            </w:pPr>
            <w:r>
              <w:t>31</w:t>
            </w:r>
          </w:p>
        </w:tc>
        <w:tc>
          <w:tcPr>
            <w:tcW w:w="0" w:type="auto"/>
            <w:vMerge w:val="continue"/>
            <w:vAlign w:val="center"/>
          </w:tcPr>
          <w:p w14:paraId="781B4A30">
            <w:pPr>
              <w:widowControl w:val="0"/>
              <w:jc w:val="center"/>
              <w:rPr>
                <w:rFonts w:ascii="宋体" w:hAnsi="宋体"/>
                <w:color w:val="000000" w:themeColor="text1"/>
                <w:szCs w:val="21"/>
                <w14:textFill>
                  <w14:solidFill>
                    <w14:schemeClr w14:val="tx1"/>
                  </w14:solidFill>
                </w14:textFill>
              </w:rPr>
            </w:pPr>
          </w:p>
        </w:tc>
      </w:tr>
      <w:tr w14:paraId="048E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BD93442">
            <w:pPr>
              <w:widowControl w:val="0"/>
              <w:jc w:val="center"/>
              <w:rPr>
                <w:szCs w:val="21"/>
              </w:rPr>
            </w:pPr>
            <w:r>
              <w:rPr>
                <w:rFonts w:hint="eastAsia"/>
              </w:rPr>
              <w:t>15#</w:t>
            </w:r>
          </w:p>
        </w:tc>
        <w:tc>
          <w:tcPr>
            <w:tcW w:w="0" w:type="auto"/>
            <w:shd w:val="clear" w:color="auto" w:fill="auto"/>
            <w:vAlign w:val="center"/>
          </w:tcPr>
          <w:p w14:paraId="46B6A32A">
            <w:pPr>
              <w:widowControl w:val="0"/>
              <w:jc w:val="center"/>
              <w:rPr>
                <w:szCs w:val="21"/>
              </w:rPr>
            </w:pPr>
            <w:r>
              <w:rPr>
                <w:rFonts w:hint="eastAsia"/>
              </w:rPr>
              <w:t>水宁寺镇斯连小学校</w:t>
            </w:r>
          </w:p>
        </w:tc>
        <w:tc>
          <w:tcPr>
            <w:tcW w:w="0" w:type="auto"/>
            <w:shd w:val="clear" w:color="auto" w:fill="auto"/>
            <w:vAlign w:val="center"/>
          </w:tcPr>
          <w:p w14:paraId="679E5E45">
            <w:pPr>
              <w:widowControl w:val="0"/>
              <w:jc w:val="center"/>
              <w:rPr>
                <w:szCs w:val="21"/>
              </w:rPr>
            </w:pPr>
            <w:r>
              <w:rPr>
                <w:rFonts w:hint="eastAsia"/>
              </w:rPr>
              <w:t>106.976945</w:t>
            </w:r>
          </w:p>
        </w:tc>
        <w:tc>
          <w:tcPr>
            <w:tcW w:w="0" w:type="auto"/>
            <w:shd w:val="clear" w:color="auto" w:fill="auto"/>
            <w:vAlign w:val="center"/>
          </w:tcPr>
          <w:p w14:paraId="41935901">
            <w:pPr>
              <w:widowControl w:val="0"/>
              <w:jc w:val="center"/>
              <w:rPr>
                <w:szCs w:val="21"/>
              </w:rPr>
            </w:pPr>
            <w:r>
              <w:rPr>
                <w:rFonts w:hint="eastAsia"/>
              </w:rPr>
              <w:t>31.794918</w:t>
            </w:r>
          </w:p>
        </w:tc>
        <w:tc>
          <w:tcPr>
            <w:tcW w:w="0" w:type="auto"/>
            <w:shd w:val="clear" w:color="auto" w:fill="auto"/>
            <w:vAlign w:val="center"/>
          </w:tcPr>
          <w:p w14:paraId="4CCA5055">
            <w:pPr>
              <w:widowControl w:val="0"/>
              <w:jc w:val="center"/>
              <w:rPr>
                <w:szCs w:val="21"/>
              </w:rPr>
            </w:pPr>
            <w:r>
              <w:rPr>
                <w:rFonts w:hint="eastAsia"/>
              </w:rPr>
              <w:t>学生1500人</w:t>
            </w:r>
          </w:p>
        </w:tc>
        <w:tc>
          <w:tcPr>
            <w:tcW w:w="0" w:type="auto"/>
            <w:vMerge w:val="continue"/>
            <w:vAlign w:val="center"/>
          </w:tcPr>
          <w:p w14:paraId="0878A5F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783F3D0">
            <w:pPr>
              <w:widowControl w:val="0"/>
              <w:jc w:val="center"/>
              <w:rPr>
                <w:szCs w:val="21"/>
              </w:rPr>
            </w:pPr>
            <w:r>
              <w:t>SW</w:t>
            </w:r>
          </w:p>
        </w:tc>
        <w:tc>
          <w:tcPr>
            <w:tcW w:w="0" w:type="auto"/>
            <w:shd w:val="clear" w:color="auto" w:fill="auto"/>
            <w:vAlign w:val="center"/>
          </w:tcPr>
          <w:p w14:paraId="3C2D2870">
            <w:pPr>
              <w:widowControl w:val="0"/>
              <w:jc w:val="center"/>
              <w:rPr>
                <w:szCs w:val="21"/>
              </w:rPr>
            </w:pPr>
            <w:r>
              <w:t>2266</w:t>
            </w:r>
          </w:p>
        </w:tc>
        <w:tc>
          <w:tcPr>
            <w:tcW w:w="0" w:type="auto"/>
            <w:shd w:val="clear" w:color="auto" w:fill="auto"/>
            <w:vAlign w:val="center"/>
          </w:tcPr>
          <w:p w14:paraId="2B751B2B">
            <w:pPr>
              <w:widowControl w:val="0"/>
              <w:jc w:val="center"/>
              <w:rPr>
                <w:szCs w:val="21"/>
              </w:rPr>
            </w:pPr>
            <w:r>
              <w:t>34</w:t>
            </w:r>
          </w:p>
        </w:tc>
        <w:tc>
          <w:tcPr>
            <w:tcW w:w="0" w:type="auto"/>
            <w:vMerge w:val="continue"/>
            <w:vAlign w:val="center"/>
          </w:tcPr>
          <w:p w14:paraId="46A0093A">
            <w:pPr>
              <w:widowControl w:val="0"/>
              <w:jc w:val="center"/>
              <w:rPr>
                <w:rFonts w:ascii="宋体" w:hAnsi="宋体"/>
                <w:color w:val="000000" w:themeColor="text1"/>
                <w:szCs w:val="21"/>
                <w14:textFill>
                  <w14:solidFill>
                    <w14:schemeClr w14:val="tx1"/>
                  </w14:solidFill>
                </w14:textFill>
              </w:rPr>
            </w:pPr>
          </w:p>
        </w:tc>
      </w:tr>
      <w:tr w14:paraId="3301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03DC57D">
            <w:pPr>
              <w:widowControl w:val="0"/>
              <w:jc w:val="center"/>
              <w:rPr>
                <w:szCs w:val="21"/>
              </w:rPr>
            </w:pPr>
            <w:r>
              <w:rPr>
                <w:rFonts w:hint="eastAsia"/>
              </w:rPr>
              <w:t>16#</w:t>
            </w:r>
          </w:p>
        </w:tc>
        <w:tc>
          <w:tcPr>
            <w:tcW w:w="0" w:type="auto"/>
            <w:shd w:val="clear" w:color="auto" w:fill="auto"/>
            <w:vAlign w:val="center"/>
          </w:tcPr>
          <w:p w14:paraId="5CCDECC7">
            <w:pPr>
              <w:widowControl w:val="0"/>
              <w:jc w:val="center"/>
              <w:rPr>
                <w:szCs w:val="21"/>
              </w:rPr>
            </w:pPr>
            <w:r>
              <w:rPr>
                <w:rFonts w:hint="eastAsia"/>
              </w:rPr>
              <w:t>碾子沟</w:t>
            </w:r>
          </w:p>
        </w:tc>
        <w:tc>
          <w:tcPr>
            <w:tcW w:w="0" w:type="auto"/>
            <w:shd w:val="clear" w:color="auto" w:fill="auto"/>
            <w:vAlign w:val="center"/>
          </w:tcPr>
          <w:p w14:paraId="63017A1D">
            <w:pPr>
              <w:widowControl w:val="0"/>
              <w:jc w:val="center"/>
              <w:rPr>
                <w:szCs w:val="21"/>
              </w:rPr>
            </w:pPr>
            <w:r>
              <w:rPr>
                <w:rFonts w:hint="eastAsia"/>
              </w:rPr>
              <w:t>106.989235</w:t>
            </w:r>
          </w:p>
        </w:tc>
        <w:tc>
          <w:tcPr>
            <w:tcW w:w="0" w:type="auto"/>
            <w:shd w:val="clear" w:color="auto" w:fill="auto"/>
            <w:vAlign w:val="center"/>
          </w:tcPr>
          <w:p w14:paraId="4AB6A15F">
            <w:pPr>
              <w:widowControl w:val="0"/>
              <w:jc w:val="center"/>
              <w:rPr>
                <w:szCs w:val="21"/>
              </w:rPr>
            </w:pPr>
            <w:r>
              <w:rPr>
                <w:rFonts w:hint="eastAsia"/>
              </w:rPr>
              <w:t>31.797791</w:t>
            </w:r>
          </w:p>
        </w:tc>
        <w:tc>
          <w:tcPr>
            <w:tcW w:w="0" w:type="auto"/>
            <w:shd w:val="clear" w:color="auto" w:fill="auto"/>
            <w:vAlign w:val="center"/>
          </w:tcPr>
          <w:p w14:paraId="5B59967F">
            <w:pPr>
              <w:widowControl w:val="0"/>
              <w:jc w:val="center"/>
              <w:rPr>
                <w:szCs w:val="21"/>
              </w:rPr>
            </w:pPr>
            <w:r>
              <w:rPr>
                <w:rFonts w:hint="eastAsia"/>
              </w:rPr>
              <w:t>约30人</w:t>
            </w:r>
          </w:p>
        </w:tc>
        <w:tc>
          <w:tcPr>
            <w:tcW w:w="0" w:type="auto"/>
            <w:vMerge w:val="continue"/>
            <w:vAlign w:val="center"/>
          </w:tcPr>
          <w:p w14:paraId="16EF6FF0">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AA60FF1">
            <w:pPr>
              <w:widowControl w:val="0"/>
              <w:jc w:val="center"/>
              <w:rPr>
                <w:szCs w:val="21"/>
              </w:rPr>
            </w:pPr>
            <w:r>
              <w:t>SW</w:t>
            </w:r>
          </w:p>
        </w:tc>
        <w:tc>
          <w:tcPr>
            <w:tcW w:w="0" w:type="auto"/>
            <w:shd w:val="clear" w:color="auto" w:fill="auto"/>
            <w:vAlign w:val="center"/>
          </w:tcPr>
          <w:p w14:paraId="4FBE94E0">
            <w:pPr>
              <w:widowControl w:val="0"/>
              <w:jc w:val="center"/>
              <w:rPr>
                <w:szCs w:val="21"/>
              </w:rPr>
            </w:pPr>
            <w:r>
              <w:t>1114</w:t>
            </w:r>
          </w:p>
        </w:tc>
        <w:tc>
          <w:tcPr>
            <w:tcW w:w="0" w:type="auto"/>
            <w:shd w:val="clear" w:color="auto" w:fill="auto"/>
            <w:vAlign w:val="center"/>
          </w:tcPr>
          <w:p w14:paraId="5D6226D2">
            <w:pPr>
              <w:widowControl w:val="0"/>
              <w:jc w:val="center"/>
              <w:rPr>
                <w:szCs w:val="21"/>
              </w:rPr>
            </w:pPr>
            <w:r>
              <w:t>12</w:t>
            </w:r>
          </w:p>
        </w:tc>
        <w:tc>
          <w:tcPr>
            <w:tcW w:w="0" w:type="auto"/>
            <w:vMerge w:val="continue"/>
            <w:vAlign w:val="center"/>
          </w:tcPr>
          <w:p w14:paraId="19783124">
            <w:pPr>
              <w:widowControl w:val="0"/>
              <w:jc w:val="center"/>
              <w:rPr>
                <w:rFonts w:ascii="宋体" w:hAnsi="宋体"/>
                <w:color w:val="000000" w:themeColor="text1"/>
                <w:szCs w:val="21"/>
                <w14:textFill>
                  <w14:solidFill>
                    <w14:schemeClr w14:val="tx1"/>
                  </w14:solidFill>
                </w14:textFill>
              </w:rPr>
            </w:pPr>
          </w:p>
        </w:tc>
      </w:tr>
      <w:tr w14:paraId="0A11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1AD6BE8">
            <w:pPr>
              <w:widowControl w:val="0"/>
              <w:jc w:val="center"/>
              <w:rPr>
                <w:szCs w:val="21"/>
              </w:rPr>
            </w:pPr>
            <w:r>
              <w:rPr>
                <w:rFonts w:hint="eastAsia"/>
              </w:rPr>
              <w:t>17#</w:t>
            </w:r>
          </w:p>
        </w:tc>
        <w:tc>
          <w:tcPr>
            <w:tcW w:w="0" w:type="auto"/>
            <w:shd w:val="clear" w:color="auto" w:fill="auto"/>
            <w:vAlign w:val="center"/>
          </w:tcPr>
          <w:p w14:paraId="651181B0">
            <w:pPr>
              <w:widowControl w:val="0"/>
              <w:jc w:val="center"/>
              <w:rPr>
                <w:szCs w:val="21"/>
              </w:rPr>
            </w:pPr>
            <w:r>
              <w:rPr>
                <w:rFonts w:hint="eastAsia"/>
              </w:rPr>
              <w:t>花鼓寺</w:t>
            </w:r>
          </w:p>
        </w:tc>
        <w:tc>
          <w:tcPr>
            <w:tcW w:w="0" w:type="auto"/>
            <w:shd w:val="clear" w:color="auto" w:fill="auto"/>
            <w:vAlign w:val="center"/>
          </w:tcPr>
          <w:p w14:paraId="6BA9380B">
            <w:pPr>
              <w:widowControl w:val="0"/>
              <w:jc w:val="center"/>
              <w:rPr>
                <w:szCs w:val="21"/>
              </w:rPr>
            </w:pPr>
            <w:r>
              <w:rPr>
                <w:rFonts w:hint="eastAsia"/>
              </w:rPr>
              <w:t>106.980422</w:t>
            </w:r>
          </w:p>
        </w:tc>
        <w:tc>
          <w:tcPr>
            <w:tcW w:w="0" w:type="auto"/>
            <w:shd w:val="clear" w:color="auto" w:fill="auto"/>
            <w:vAlign w:val="center"/>
          </w:tcPr>
          <w:p w14:paraId="55D7E88B">
            <w:pPr>
              <w:widowControl w:val="0"/>
              <w:jc w:val="center"/>
              <w:rPr>
                <w:szCs w:val="21"/>
              </w:rPr>
            </w:pPr>
            <w:r>
              <w:rPr>
                <w:rFonts w:hint="eastAsia"/>
              </w:rPr>
              <w:t>31.791968</w:t>
            </w:r>
          </w:p>
        </w:tc>
        <w:tc>
          <w:tcPr>
            <w:tcW w:w="0" w:type="auto"/>
            <w:shd w:val="clear" w:color="auto" w:fill="auto"/>
            <w:vAlign w:val="center"/>
          </w:tcPr>
          <w:p w14:paraId="570101B9">
            <w:pPr>
              <w:widowControl w:val="0"/>
              <w:jc w:val="center"/>
              <w:rPr>
                <w:szCs w:val="21"/>
              </w:rPr>
            </w:pPr>
            <w:r>
              <w:rPr>
                <w:rFonts w:hint="eastAsia"/>
              </w:rPr>
              <w:t>约70人</w:t>
            </w:r>
          </w:p>
        </w:tc>
        <w:tc>
          <w:tcPr>
            <w:tcW w:w="0" w:type="auto"/>
            <w:vMerge w:val="continue"/>
            <w:vAlign w:val="center"/>
          </w:tcPr>
          <w:p w14:paraId="5CABFF41">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D6C53C7">
            <w:pPr>
              <w:widowControl w:val="0"/>
              <w:jc w:val="center"/>
              <w:rPr>
                <w:szCs w:val="21"/>
              </w:rPr>
            </w:pPr>
            <w:r>
              <w:t>SW</w:t>
            </w:r>
          </w:p>
        </w:tc>
        <w:tc>
          <w:tcPr>
            <w:tcW w:w="0" w:type="auto"/>
            <w:shd w:val="clear" w:color="auto" w:fill="auto"/>
            <w:vAlign w:val="center"/>
          </w:tcPr>
          <w:p w14:paraId="4FD6DA1A">
            <w:pPr>
              <w:widowControl w:val="0"/>
              <w:jc w:val="center"/>
              <w:rPr>
                <w:szCs w:val="21"/>
              </w:rPr>
            </w:pPr>
            <w:r>
              <w:t>2026</w:t>
            </w:r>
          </w:p>
        </w:tc>
        <w:tc>
          <w:tcPr>
            <w:tcW w:w="0" w:type="auto"/>
            <w:shd w:val="clear" w:color="auto" w:fill="auto"/>
            <w:vAlign w:val="center"/>
          </w:tcPr>
          <w:p w14:paraId="0079E500">
            <w:pPr>
              <w:widowControl w:val="0"/>
              <w:jc w:val="center"/>
              <w:rPr>
                <w:szCs w:val="21"/>
              </w:rPr>
            </w:pPr>
            <w:r>
              <w:t>54</w:t>
            </w:r>
          </w:p>
        </w:tc>
        <w:tc>
          <w:tcPr>
            <w:tcW w:w="0" w:type="auto"/>
            <w:vMerge w:val="continue"/>
            <w:vAlign w:val="center"/>
          </w:tcPr>
          <w:p w14:paraId="5F52E466">
            <w:pPr>
              <w:widowControl w:val="0"/>
              <w:jc w:val="center"/>
              <w:rPr>
                <w:rFonts w:ascii="宋体" w:hAnsi="宋体"/>
                <w:color w:val="000000" w:themeColor="text1"/>
                <w:szCs w:val="21"/>
                <w14:textFill>
                  <w14:solidFill>
                    <w14:schemeClr w14:val="tx1"/>
                  </w14:solidFill>
                </w14:textFill>
              </w:rPr>
            </w:pPr>
          </w:p>
        </w:tc>
      </w:tr>
      <w:tr w14:paraId="764CA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C9B5F31">
            <w:pPr>
              <w:widowControl w:val="0"/>
              <w:jc w:val="center"/>
              <w:rPr>
                <w:szCs w:val="21"/>
              </w:rPr>
            </w:pPr>
            <w:r>
              <w:rPr>
                <w:rFonts w:hint="eastAsia"/>
              </w:rPr>
              <w:t>18#</w:t>
            </w:r>
          </w:p>
        </w:tc>
        <w:tc>
          <w:tcPr>
            <w:tcW w:w="0" w:type="auto"/>
            <w:shd w:val="clear" w:color="auto" w:fill="auto"/>
            <w:vAlign w:val="center"/>
          </w:tcPr>
          <w:p w14:paraId="5F9F9A30">
            <w:pPr>
              <w:widowControl w:val="0"/>
              <w:jc w:val="center"/>
              <w:rPr>
                <w:szCs w:val="21"/>
              </w:rPr>
            </w:pPr>
            <w:r>
              <w:rPr>
                <w:rFonts w:hint="eastAsia"/>
              </w:rPr>
              <w:t>染房湾</w:t>
            </w:r>
          </w:p>
        </w:tc>
        <w:tc>
          <w:tcPr>
            <w:tcW w:w="0" w:type="auto"/>
            <w:shd w:val="clear" w:color="auto" w:fill="auto"/>
            <w:vAlign w:val="center"/>
          </w:tcPr>
          <w:p w14:paraId="08EB16E8">
            <w:pPr>
              <w:widowControl w:val="0"/>
              <w:jc w:val="center"/>
              <w:rPr>
                <w:szCs w:val="21"/>
              </w:rPr>
            </w:pPr>
            <w:r>
              <w:rPr>
                <w:rFonts w:hint="eastAsia"/>
              </w:rPr>
              <w:t>106.983361</w:t>
            </w:r>
          </w:p>
        </w:tc>
        <w:tc>
          <w:tcPr>
            <w:tcW w:w="0" w:type="auto"/>
            <w:shd w:val="clear" w:color="auto" w:fill="auto"/>
            <w:vAlign w:val="center"/>
          </w:tcPr>
          <w:p w14:paraId="3DDA723C">
            <w:pPr>
              <w:widowControl w:val="0"/>
              <w:jc w:val="center"/>
              <w:rPr>
                <w:szCs w:val="21"/>
              </w:rPr>
            </w:pPr>
            <w:r>
              <w:rPr>
                <w:rFonts w:hint="eastAsia"/>
              </w:rPr>
              <w:t>31.788558</w:t>
            </w:r>
          </w:p>
        </w:tc>
        <w:tc>
          <w:tcPr>
            <w:tcW w:w="0" w:type="auto"/>
            <w:shd w:val="clear" w:color="auto" w:fill="auto"/>
            <w:vAlign w:val="center"/>
          </w:tcPr>
          <w:p w14:paraId="005D4B3B">
            <w:pPr>
              <w:widowControl w:val="0"/>
              <w:jc w:val="center"/>
              <w:rPr>
                <w:szCs w:val="21"/>
              </w:rPr>
            </w:pPr>
            <w:r>
              <w:rPr>
                <w:rFonts w:hint="eastAsia"/>
              </w:rPr>
              <w:t>约15人</w:t>
            </w:r>
          </w:p>
        </w:tc>
        <w:tc>
          <w:tcPr>
            <w:tcW w:w="0" w:type="auto"/>
            <w:vMerge w:val="continue"/>
            <w:vAlign w:val="center"/>
          </w:tcPr>
          <w:p w14:paraId="161BCB5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3545EDC">
            <w:pPr>
              <w:widowControl w:val="0"/>
              <w:jc w:val="center"/>
              <w:rPr>
                <w:szCs w:val="21"/>
              </w:rPr>
            </w:pPr>
            <w:r>
              <w:t>SW</w:t>
            </w:r>
          </w:p>
        </w:tc>
        <w:tc>
          <w:tcPr>
            <w:tcW w:w="0" w:type="auto"/>
            <w:shd w:val="clear" w:color="auto" w:fill="auto"/>
            <w:vAlign w:val="center"/>
          </w:tcPr>
          <w:p w14:paraId="16C8041C">
            <w:pPr>
              <w:widowControl w:val="0"/>
              <w:jc w:val="center"/>
              <w:rPr>
                <w:szCs w:val="21"/>
              </w:rPr>
            </w:pPr>
            <w:r>
              <w:t>2309</w:t>
            </w:r>
          </w:p>
        </w:tc>
        <w:tc>
          <w:tcPr>
            <w:tcW w:w="0" w:type="auto"/>
            <w:shd w:val="clear" w:color="auto" w:fill="auto"/>
            <w:vAlign w:val="center"/>
          </w:tcPr>
          <w:p w14:paraId="1252583A">
            <w:pPr>
              <w:widowControl w:val="0"/>
              <w:jc w:val="center"/>
              <w:rPr>
                <w:szCs w:val="21"/>
              </w:rPr>
            </w:pPr>
            <w:r>
              <w:t>48</w:t>
            </w:r>
          </w:p>
        </w:tc>
        <w:tc>
          <w:tcPr>
            <w:tcW w:w="0" w:type="auto"/>
            <w:vMerge w:val="continue"/>
            <w:vAlign w:val="center"/>
          </w:tcPr>
          <w:p w14:paraId="7C0F696E">
            <w:pPr>
              <w:widowControl w:val="0"/>
              <w:jc w:val="center"/>
              <w:rPr>
                <w:rFonts w:ascii="宋体" w:hAnsi="宋体"/>
                <w:color w:val="000000" w:themeColor="text1"/>
                <w:szCs w:val="21"/>
                <w14:textFill>
                  <w14:solidFill>
                    <w14:schemeClr w14:val="tx1"/>
                  </w14:solidFill>
                </w14:textFill>
              </w:rPr>
            </w:pPr>
          </w:p>
        </w:tc>
      </w:tr>
      <w:tr w14:paraId="5AEC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A363BB6">
            <w:pPr>
              <w:widowControl w:val="0"/>
              <w:jc w:val="center"/>
              <w:rPr>
                <w:szCs w:val="21"/>
              </w:rPr>
            </w:pPr>
            <w:r>
              <w:rPr>
                <w:rFonts w:hint="eastAsia"/>
              </w:rPr>
              <w:t>19#</w:t>
            </w:r>
          </w:p>
        </w:tc>
        <w:tc>
          <w:tcPr>
            <w:tcW w:w="0" w:type="auto"/>
            <w:shd w:val="clear" w:color="auto" w:fill="auto"/>
            <w:vAlign w:val="center"/>
          </w:tcPr>
          <w:p w14:paraId="3D9DA4B0">
            <w:pPr>
              <w:widowControl w:val="0"/>
              <w:jc w:val="center"/>
              <w:rPr>
                <w:szCs w:val="21"/>
              </w:rPr>
            </w:pPr>
            <w:r>
              <w:rPr>
                <w:rFonts w:hint="eastAsia"/>
              </w:rPr>
              <w:t>丝碾子包</w:t>
            </w:r>
          </w:p>
        </w:tc>
        <w:tc>
          <w:tcPr>
            <w:tcW w:w="0" w:type="auto"/>
            <w:shd w:val="clear" w:color="auto" w:fill="auto"/>
            <w:vAlign w:val="center"/>
          </w:tcPr>
          <w:p w14:paraId="63C3B92B">
            <w:pPr>
              <w:widowControl w:val="0"/>
              <w:jc w:val="center"/>
              <w:rPr>
                <w:szCs w:val="21"/>
              </w:rPr>
            </w:pPr>
            <w:r>
              <w:rPr>
                <w:rFonts w:hint="eastAsia"/>
              </w:rPr>
              <w:t>106.980207</w:t>
            </w:r>
          </w:p>
        </w:tc>
        <w:tc>
          <w:tcPr>
            <w:tcW w:w="0" w:type="auto"/>
            <w:shd w:val="clear" w:color="auto" w:fill="auto"/>
            <w:vAlign w:val="center"/>
          </w:tcPr>
          <w:p w14:paraId="66A3A087">
            <w:pPr>
              <w:widowControl w:val="0"/>
              <w:jc w:val="center"/>
              <w:rPr>
                <w:szCs w:val="21"/>
              </w:rPr>
            </w:pPr>
            <w:r>
              <w:rPr>
                <w:rFonts w:hint="eastAsia"/>
              </w:rPr>
              <w:t>31.786497</w:t>
            </w:r>
          </w:p>
        </w:tc>
        <w:tc>
          <w:tcPr>
            <w:tcW w:w="0" w:type="auto"/>
            <w:shd w:val="clear" w:color="auto" w:fill="auto"/>
            <w:vAlign w:val="center"/>
          </w:tcPr>
          <w:p w14:paraId="2E524930">
            <w:pPr>
              <w:widowControl w:val="0"/>
              <w:jc w:val="center"/>
              <w:rPr>
                <w:szCs w:val="21"/>
              </w:rPr>
            </w:pPr>
            <w:r>
              <w:rPr>
                <w:rFonts w:hint="eastAsia"/>
              </w:rPr>
              <w:t>约50人</w:t>
            </w:r>
          </w:p>
        </w:tc>
        <w:tc>
          <w:tcPr>
            <w:tcW w:w="0" w:type="auto"/>
            <w:vMerge w:val="continue"/>
            <w:vAlign w:val="center"/>
          </w:tcPr>
          <w:p w14:paraId="25CE90B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09304B1">
            <w:pPr>
              <w:widowControl w:val="0"/>
              <w:jc w:val="center"/>
              <w:rPr>
                <w:szCs w:val="21"/>
              </w:rPr>
            </w:pPr>
            <w:r>
              <w:t>SW</w:t>
            </w:r>
          </w:p>
        </w:tc>
        <w:tc>
          <w:tcPr>
            <w:tcW w:w="0" w:type="auto"/>
            <w:shd w:val="clear" w:color="auto" w:fill="auto"/>
            <w:vAlign w:val="center"/>
          </w:tcPr>
          <w:p w14:paraId="2327BAF7">
            <w:pPr>
              <w:widowControl w:val="0"/>
              <w:jc w:val="center"/>
              <w:rPr>
                <w:szCs w:val="21"/>
              </w:rPr>
            </w:pPr>
            <w:r>
              <w:t>2566</w:t>
            </w:r>
          </w:p>
        </w:tc>
        <w:tc>
          <w:tcPr>
            <w:tcW w:w="0" w:type="auto"/>
            <w:shd w:val="clear" w:color="auto" w:fill="auto"/>
            <w:vAlign w:val="center"/>
          </w:tcPr>
          <w:p w14:paraId="463C6634">
            <w:pPr>
              <w:widowControl w:val="0"/>
              <w:jc w:val="center"/>
              <w:rPr>
                <w:szCs w:val="21"/>
              </w:rPr>
            </w:pPr>
            <w:r>
              <w:t>140</w:t>
            </w:r>
          </w:p>
        </w:tc>
        <w:tc>
          <w:tcPr>
            <w:tcW w:w="0" w:type="auto"/>
            <w:vMerge w:val="continue"/>
            <w:vAlign w:val="center"/>
          </w:tcPr>
          <w:p w14:paraId="1629C162">
            <w:pPr>
              <w:widowControl w:val="0"/>
              <w:jc w:val="center"/>
              <w:rPr>
                <w:rFonts w:ascii="宋体" w:hAnsi="宋体"/>
                <w:color w:val="000000" w:themeColor="text1"/>
                <w:szCs w:val="21"/>
                <w14:textFill>
                  <w14:solidFill>
                    <w14:schemeClr w14:val="tx1"/>
                  </w14:solidFill>
                </w14:textFill>
              </w:rPr>
            </w:pPr>
          </w:p>
        </w:tc>
      </w:tr>
      <w:tr w14:paraId="49BF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ECEB5B4">
            <w:pPr>
              <w:widowControl w:val="0"/>
              <w:jc w:val="center"/>
              <w:rPr>
                <w:szCs w:val="21"/>
              </w:rPr>
            </w:pPr>
            <w:r>
              <w:rPr>
                <w:rFonts w:hint="eastAsia"/>
              </w:rPr>
              <w:t>20#</w:t>
            </w:r>
          </w:p>
        </w:tc>
        <w:tc>
          <w:tcPr>
            <w:tcW w:w="0" w:type="auto"/>
            <w:shd w:val="clear" w:color="auto" w:fill="auto"/>
            <w:vAlign w:val="center"/>
          </w:tcPr>
          <w:p w14:paraId="1B1D8CF7">
            <w:pPr>
              <w:widowControl w:val="0"/>
              <w:jc w:val="center"/>
              <w:rPr>
                <w:szCs w:val="21"/>
              </w:rPr>
            </w:pPr>
            <w:r>
              <w:rPr>
                <w:rFonts w:hint="eastAsia"/>
              </w:rPr>
              <w:t>猪槽湾</w:t>
            </w:r>
          </w:p>
        </w:tc>
        <w:tc>
          <w:tcPr>
            <w:tcW w:w="0" w:type="auto"/>
            <w:shd w:val="clear" w:color="auto" w:fill="auto"/>
            <w:vAlign w:val="center"/>
          </w:tcPr>
          <w:p w14:paraId="57B599A6">
            <w:pPr>
              <w:widowControl w:val="0"/>
              <w:jc w:val="center"/>
              <w:rPr>
                <w:szCs w:val="21"/>
              </w:rPr>
            </w:pPr>
            <w:r>
              <w:rPr>
                <w:rFonts w:hint="eastAsia"/>
              </w:rPr>
              <w:t>106.974242</w:t>
            </w:r>
          </w:p>
        </w:tc>
        <w:tc>
          <w:tcPr>
            <w:tcW w:w="0" w:type="auto"/>
            <w:shd w:val="clear" w:color="auto" w:fill="auto"/>
            <w:vAlign w:val="center"/>
          </w:tcPr>
          <w:p w14:paraId="6CD45ECD">
            <w:pPr>
              <w:widowControl w:val="0"/>
              <w:jc w:val="center"/>
              <w:rPr>
                <w:szCs w:val="21"/>
              </w:rPr>
            </w:pPr>
            <w:r>
              <w:rPr>
                <w:rFonts w:hint="eastAsia"/>
              </w:rPr>
              <w:t>31.785202</w:t>
            </w:r>
          </w:p>
        </w:tc>
        <w:tc>
          <w:tcPr>
            <w:tcW w:w="0" w:type="auto"/>
            <w:shd w:val="clear" w:color="auto" w:fill="auto"/>
            <w:vAlign w:val="center"/>
          </w:tcPr>
          <w:p w14:paraId="2A45D516">
            <w:pPr>
              <w:widowControl w:val="0"/>
              <w:jc w:val="center"/>
              <w:rPr>
                <w:szCs w:val="21"/>
              </w:rPr>
            </w:pPr>
            <w:r>
              <w:rPr>
                <w:rFonts w:hint="eastAsia"/>
              </w:rPr>
              <w:t>约60人</w:t>
            </w:r>
          </w:p>
        </w:tc>
        <w:tc>
          <w:tcPr>
            <w:tcW w:w="0" w:type="auto"/>
            <w:vMerge w:val="continue"/>
            <w:vAlign w:val="center"/>
          </w:tcPr>
          <w:p w14:paraId="540C752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CF70991">
            <w:pPr>
              <w:widowControl w:val="0"/>
              <w:jc w:val="center"/>
              <w:rPr>
                <w:szCs w:val="21"/>
              </w:rPr>
            </w:pPr>
            <w:r>
              <w:t>SW</w:t>
            </w:r>
          </w:p>
        </w:tc>
        <w:tc>
          <w:tcPr>
            <w:tcW w:w="0" w:type="auto"/>
            <w:shd w:val="clear" w:color="auto" w:fill="auto"/>
            <w:vAlign w:val="center"/>
          </w:tcPr>
          <w:p w14:paraId="2C370CEB">
            <w:pPr>
              <w:widowControl w:val="0"/>
              <w:jc w:val="center"/>
              <w:rPr>
                <w:szCs w:val="21"/>
              </w:rPr>
            </w:pPr>
            <w:r>
              <w:t>2987</w:t>
            </w:r>
          </w:p>
        </w:tc>
        <w:tc>
          <w:tcPr>
            <w:tcW w:w="0" w:type="auto"/>
            <w:shd w:val="clear" w:color="auto" w:fill="auto"/>
            <w:vAlign w:val="center"/>
          </w:tcPr>
          <w:p w14:paraId="56F755FB">
            <w:pPr>
              <w:widowControl w:val="0"/>
              <w:jc w:val="center"/>
              <w:rPr>
                <w:szCs w:val="21"/>
              </w:rPr>
            </w:pPr>
            <w:r>
              <w:t>67</w:t>
            </w:r>
          </w:p>
        </w:tc>
        <w:tc>
          <w:tcPr>
            <w:tcW w:w="0" w:type="auto"/>
            <w:vMerge w:val="continue"/>
            <w:vAlign w:val="center"/>
          </w:tcPr>
          <w:p w14:paraId="69AA6A61">
            <w:pPr>
              <w:widowControl w:val="0"/>
              <w:jc w:val="center"/>
              <w:rPr>
                <w:rFonts w:ascii="宋体" w:hAnsi="宋体"/>
                <w:color w:val="000000" w:themeColor="text1"/>
                <w:szCs w:val="21"/>
                <w14:textFill>
                  <w14:solidFill>
                    <w14:schemeClr w14:val="tx1"/>
                  </w14:solidFill>
                </w14:textFill>
              </w:rPr>
            </w:pPr>
          </w:p>
        </w:tc>
      </w:tr>
      <w:tr w14:paraId="7695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52557DD">
            <w:pPr>
              <w:widowControl w:val="0"/>
              <w:jc w:val="center"/>
              <w:rPr>
                <w:szCs w:val="21"/>
              </w:rPr>
            </w:pPr>
            <w:r>
              <w:rPr>
                <w:rFonts w:hint="eastAsia"/>
              </w:rPr>
              <w:t>21#</w:t>
            </w:r>
          </w:p>
        </w:tc>
        <w:tc>
          <w:tcPr>
            <w:tcW w:w="0" w:type="auto"/>
            <w:shd w:val="clear" w:color="auto" w:fill="auto"/>
            <w:vAlign w:val="center"/>
          </w:tcPr>
          <w:p w14:paraId="14A8A1BD">
            <w:pPr>
              <w:widowControl w:val="0"/>
              <w:jc w:val="center"/>
              <w:rPr>
                <w:szCs w:val="21"/>
              </w:rPr>
            </w:pPr>
            <w:r>
              <w:rPr>
                <w:rFonts w:hint="eastAsia"/>
              </w:rPr>
              <w:t>靳家大院子</w:t>
            </w:r>
          </w:p>
        </w:tc>
        <w:tc>
          <w:tcPr>
            <w:tcW w:w="0" w:type="auto"/>
            <w:shd w:val="clear" w:color="auto" w:fill="auto"/>
            <w:vAlign w:val="center"/>
          </w:tcPr>
          <w:p w14:paraId="24518B15">
            <w:pPr>
              <w:widowControl w:val="0"/>
              <w:jc w:val="center"/>
              <w:rPr>
                <w:szCs w:val="21"/>
              </w:rPr>
            </w:pPr>
            <w:r>
              <w:rPr>
                <w:rFonts w:hint="eastAsia"/>
              </w:rPr>
              <w:t>106.986558</w:t>
            </w:r>
          </w:p>
        </w:tc>
        <w:tc>
          <w:tcPr>
            <w:tcW w:w="0" w:type="auto"/>
            <w:shd w:val="clear" w:color="auto" w:fill="auto"/>
            <w:vAlign w:val="center"/>
          </w:tcPr>
          <w:p w14:paraId="675159AD">
            <w:pPr>
              <w:widowControl w:val="0"/>
              <w:jc w:val="center"/>
              <w:rPr>
                <w:szCs w:val="21"/>
              </w:rPr>
            </w:pPr>
            <w:r>
              <w:rPr>
                <w:rFonts w:hint="eastAsia"/>
              </w:rPr>
              <w:t>31.791130</w:t>
            </w:r>
          </w:p>
        </w:tc>
        <w:tc>
          <w:tcPr>
            <w:tcW w:w="0" w:type="auto"/>
            <w:shd w:val="clear" w:color="auto" w:fill="auto"/>
            <w:vAlign w:val="center"/>
          </w:tcPr>
          <w:p w14:paraId="36EA32C4">
            <w:pPr>
              <w:widowControl w:val="0"/>
              <w:jc w:val="center"/>
              <w:rPr>
                <w:szCs w:val="21"/>
              </w:rPr>
            </w:pPr>
            <w:r>
              <w:rPr>
                <w:rFonts w:hint="eastAsia"/>
              </w:rPr>
              <w:t>约60人</w:t>
            </w:r>
          </w:p>
        </w:tc>
        <w:tc>
          <w:tcPr>
            <w:tcW w:w="0" w:type="auto"/>
            <w:vMerge w:val="continue"/>
            <w:vAlign w:val="center"/>
          </w:tcPr>
          <w:p w14:paraId="51AA58C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F1CA064">
            <w:pPr>
              <w:widowControl w:val="0"/>
              <w:jc w:val="center"/>
              <w:rPr>
                <w:szCs w:val="21"/>
              </w:rPr>
            </w:pPr>
            <w:r>
              <w:t>SW</w:t>
            </w:r>
          </w:p>
        </w:tc>
        <w:tc>
          <w:tcPr>
            <w:tcW w:w="0" w:type="auto"/>
            <w:shd w:val="clear" w:color="auto" w:fill="auto"/>
            <w:vAlign w:val="center"/>
          </w:tcPr>
          <w:p w14:paraId="5841C47D">
            <w:pPr>
              <w:widowControl w:val="0"/>
              <w:jc w:val="center"/>
              <w:rPr>
                <w:szCs w:val="21"/>
              </w:rPr>
            </w:pPr>
            <w:r>
              <w:t>1713</w:t>
            </w:r>
          </w:p>
        </w:tc>
        <w:tc>
          <w:tcPr>
            <w:tcW w:w="0" w:type="auto"/>
            <w:shd w:val="clear" w:color="auto" w:fill="auto"/>
            <w:vAlign w:val="center"/>
          </w:tcPr>
          <w:p w14:paraId="6E1BD709">
            <w:pPr>
              <w:widowControl w:val="0"/>
              <w:jc w:val="center"/>
              <w:rPr>
                <w:szCs w:val="21"/>
              </w:rPr>
            </w:pPr>
            <w:r>
              <w:t>53</w:t>
            </w:r>
          </w:p>
        </w:tc>
        <w:tc>
          <w:tcPr>
            <w:tcW w:w="0" w:type="auto"/>
            <w:vMerge w:val="continue"/>
            <w:vAlign w:val="center"/>
          </w:tcPr>
          <w:p w14:paraId="3D155620">
            <w:pPr>
              <w:widowControl w:val="0"/>
              <w:jc w:val="center"/>
              <w:rPr>
                <w:rFonts w:ascii="宋体" w:hAnsi="宋体"/>
                <w:color w:val="000000" w:themeColor="text1"/>
                <w:szCs w:val="21"/>
                <w14:textFill>
                  <w14:solidFill>
                    <w14:schemeClr w14:val="tx1"/>
                  </w14:solidFill>
                </w14:textFill>
              </w:rPr>
            </w:pPr>
          </w:p>
        </w:tc>
      </w:tr>
      <w:tr w14:paraId="1CB8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AC9F957">
            <w:pPr>
              <w:widowControl w:val="0"/>
              <w:jc w:val="center"/>
              <w:rPr>
                <w:szCs w:val="21"/>
              </w:rPr>
            </w:pPr>
            <w:r>
              <w:rPr>
                <w:rFonts w:hint="eastAsia"/>
              </w:rPr>
              <w:t>22#</w:t>
            </w:r>
          </w:p>
        </w:tc>
        <w:tc>
          <w:tcPr>
            <w:tcW w:w="0" w:type="auto"/>
            <w:shd w:val="clear" w:color="auto" w:fill="auto"/>
            <w:vAlign w:val="center"/>
          </w:tcPr>
          <w:p w14:paraId="216F5227">
            <w:pPr>
              <w:widowControl w:val="0"/>
              <w:jc w:val="center"/>
              <w:rPr>
                <w:szCs w:val="21"/>
              </w:rPr>
            </w:pPr>
            <w:r>
              <w:rPr>
                <w:rFonts w:hint="eastAsia"/>
              </w:rPr>
              <w:t>S垭子</w:t>
            </w:r>
          </w:p>
        </w:tc>
        <w:tc>
          <w:tcPr>
            <w:tcW w:w="0" w:type="auto"/>
            <w:shd w:val="clear" w:color="auto" w:fill="auto"/>
            <w:vAlign w:val="center"/>
          </w:tcPr>
          <w:p w14:paraId="46AF69F3">
            <w:pPr>
              <w:widowControl w:val="0"/>
              <w:jc w:val="center"/>
              <w:rPr>
                <w:szCs w:val="21"/>
              </w:rPr>
            </w:pPr>
            <w:r>
              <w:rPr>
                <w:rFonts w:hint="eastAsia"/>
              </w:rPr>
              <w:t>107.000163</w:t>
            </w:r>
          </w:p>
        </w:tc>
        <w:tc>
          <w:tcPr>
            <w:tcW w:w="0" w:type="auto"/>
            <w:shd w:val="clear" w:color="auto" w:fill="auto"/>
            <w:vAlign w:val="center"/>
          </w:tcPr>
          <w:p w14:paraId="52806991">
            <w:pPr>
              <w:widowControl w:val="0"/>
              <w:jc w:val="center"/>
              <w:rPr>
                <w:szCs w:val="21"/>
              </w:rPr>
            </w:pPr>
            <w:r>
              <w:rPr>
                <w:rFonts w:hint="eastAsia"/>
              </w:rPr>
              <w:t>31.800850</w:t>
            </w:r>
          </w:p>
        </w:tc>
        <w:tc>
          <w:tcPr>
            <w:tcW w:w="0" w:type="auto"/>
            <w:shd w:val="clear" w:color="auto" w:fill="auto"/>
            <w:vAlign w:val="center"/>
          </w:tcPr>
          <w:p w14:paraId="235EB4CC">
            <w:pPr>
              <w:widowControl w:val="0"/>
              <w:jc w:val="center"/>
              <w:rPr>
                <w:szCs w:val="21"/>
              </w:rPr>
            </w:pPr>
            <w:r>
              <w:rPr>
                <w:rFonts w:hint="eastAsia"/>
              </w:rPr>
              <w:t>约110人</w:t>
            </w:r>
          </w:p>
        </w:tc>
        <w:tc>
          <w:tcPr>
            <w:tcW w:w="0" w:type="auto"/>
            <w:vMerge w:val="continue"/>
            <w:vAlign w:val="center"/>
          </w:tcPr>
          <w:p w14:paraId="034AB6C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4529A67">
            <w:pPr>
              <w:widowControl w:val="0"/>
              <w:jc w:val="center"/>
              <w:rPr>
                <w:szCs w:val="21"/>
              </w:rPr>
            </w:pPr>
            <w:r>
              <w:t>S</w:t>
            </w:r>
          </w:p>
        </w:tc>
        <w:tc>
          <w:tcPr>
            <w:tcW w:w="0" w:type="auto"/>
            <w:shd w:val="clear" w:color="auto" w:fill="auto"/>
            <w:vAlign w:val="center"/>
          </w:tcPr>
          <w:p w14:paraId="4FFA3E68">
            <w:pPr>
              <w:widowControl w:val="0"/>
              <w:jc w:val="center"/>
              <w:rPr>
                <w:szCs w:val="21"/>
              </w:rPr>
            </w:pPr>
            <w:r>
              <w:t>398</w:t>
            </w:r>
          </w:p>
        </w:tc>
        <w:tc>
          <w:tcPr>
            <w:tcW w:w="0" w:type="auto"/>
            <w:shd w:val="clear" w:color="auto" w:fill="auto"/>
            <w:vAlign w:val="center"/>
          </w:tcPr>
          <w:p w14:paraId="4E38F638">
            <w:pPr>
              <w:widowControl w:val="0"/>
              <w:jc w:val="center"/>
              <w:rPr>
                <w:szCs w:val="21"/>
              </w:rPr>
            </w:pPr>
            <w:r>
              <w:t>60</w:t>
            </w:r>
          </w:p>
        </w:tc>
        <w:tc>
          <w:tcPr>
            <w:tcW w:w="0" w:type="auto"/>
            <w:vMerge w:val="continue"/>
            <w:vAlign w:val="center"/>
          </w:tcPr>
          <w:p w14:paraId="7A4AA565">
            <w:pPr>
              <w:widowControl w:val="0"/>
              <w:jc w:val="center"/>
              <w:rPr>
                <w:rFonts w:ascii="宋体" w:hAnsi="宋体"/>
                <w:color w:val="000000" w:themeColor="text1"/>
                <w:szCs w:val="21"/>
                <w14:textFill>
                  <w14:solidFill>
                    <w14:schemeClr w14:val="tx1"/>
                  </w14:solidFill>
                </w14:textFill>
              </w:rPr>
            </w:pPr>
          </w:p>
        </w:tc>
      </w:tr>
      <w:tr w14:paraId="37CEC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7E093A0">
            <w:pPr>
              <w:widowControl w:val="0"/>
              <w:jc w:val="center"/>
              <w:rPr>
                <w:szCs w:val="21"/>
              </w:rPr>
            </w:pPr>
            <w:r>
              <w:rPr>
                <w:rFonts w:hint="eastAsia"/>
              </w:rPr>
              <w:t>23#</w:t>
            </w:r>
          </w:p>
        </w:tc>
        <w:tc>
          <w:tcPr>
            <w:tcW w:w="0" w:type="auto"/>
            <w:shd w:val="clear" w:color="auto" w:fill="auto"/>
            <w:vAlign w:val="center"/>
          </w:tcPr>
          <w:p w14:paraId="3D8C4561">
            <w:pPr>
              <w:widowControl w:val="0"/>
              <w:jc w:val="center"/>
              <w:rPr>
                <w:szCs w:val="21"/>
              </w:rPr>
            </w:pPr>
            <w:r>
              <w:rPr>
                <w:rFonts w:hint="eastAsia"/>
              </w:rPr>
              <w:t>谢家河</w:t>
            </w:r>
          </w:p>
        </w:tc>
        <w:tc>
          <w:tcPr>
            <w:tcW w:w="0" w:type="auto"/>
            <w:shd w:val="clear" w:color="auto" w:fill="auto"/>
            <w:vAlign w:val="center"/>
          </w:tcPr>
          <w:p w14:paraId="494E756D">
            <w:pPr>
              <w:widowControl w:val="0"/>
              <w:jc w:val="center"/>
              <w:rPr>
                <w:szCs w:val="21"/>
              </w:rPr>
            </w:pPr>
            <w:r>
              <w:rPr>
                <w:rFonts w:hint="eastAsia"/>
              </w:rPr>
              <w:t>107.001922</w:t>
            </w:r>
          </w:p>
        </w:tc>
        <w:tc>
          <w:tcPr>
            <w:tcW w:w="0" w:type="auto"/>
            <w:shd w:val="clear" w:color="auto" w:fill="auto"/>
            <w:vAlign w:val="center"/>
          </w:tcPr>
          <w:p w14:paraId="61FBB29C">
            <w:pPr>
              <w:widowControl w:val="0"/>
              <w:jc w:val="center"/>
              <w:rPr>
                <w:szCs w:val="21"/>
              </w:rPr>
            </w:pPr>
            <w:r>
              <w:rPr>
                <w:rFonts w:hint="eastAsia"/>
              </w:rPr>
              <w:t>31.796674</w:t>
            </w:r>
          </w:p>
        </w:tc>
        <w:tc>
          <w:tcPr>
            <w:tcW w:w="0" w:type="auto"/>
            <w:shd w:val="clear" w:color="auto" w:fill="auto"/>
            <w:vAlign w:val="center"/>
          </w:tcPr>
          <w:p w14:paraId="0FFFE69D">
            <w:pPr>
              <w:widowControl w:val="0"/>
              <w:jc w:val="center"/>
              <w:rPr>
                <w:szCs w:val="21"/>
              </w:rPr>
            </w:pPr>
            <w:r>
              <w:rPr>
                <w:rFonts w:hint="eastAsia"/>
              </w:rPr>
              <w:t>约50人</w:t>
            </w:r>
          </w:p>
        </w:tc>
        <w:tc>
          <w:tcPr>
            <w:tcW w:w="0" w:type="auto"/>
            <w:vMerge w:val="continue"/>
            <w:vAlign w:val="center"/>
          </w:tcPr>
          <w:p w14:paraId="673EC3A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6DE443AA">
            <w:pPr>
              <w:widowControl w:val="0"/>
              <w:jc w:val="center"/>
              <w:rPr>
                <w:szCs w:val="21"/>
              </w:rPr>
            </w:pPr>
            <w:r>
              <w:t>S</w:t>
            </w:r>
          </w:p>
        </w:tc>
        <w:tc>
          <w:tcPr>
            <w:tcW w:w="0" w:type="auto"/>
            <w:shd w:val="clear" w:color="auto" w:fill="auto"/>
            <w:vAlign w:val="center"/>
          </w:tcPr>
          <w:p w14:paraId="6904CFD6">
            <w:pPr>
              <w:widowControl w:val="0"/>
              <w:jc w:val="center"/>
              <w:rPr>
                <w:szCs w:val="21"/>
              </w:rPr>
            </w:pPr>
            <w:r>
              <w:t>875</w:t>
            </w:r>
          </w:p>
        </w:tc>
        <w:tc>
          <w:tcPr>
            <w:tcW w:w="0" w:type="auto"/>
            <w:shd w:val="clear" w:color="auto" w:fill="auto"/>
            <w:vAlign w:val="center"/>
          </w:tcPr>
          <w:p w14:paraId="78A620FA">
            <w:pPr>
              <w:widowControl w:val="0"/>
              <w:jc w:val="center"/>
              <w:rPr>
                <w:szCs w:val="21"/>
              </w:rPr>
            </w:pPr>
            <w:r>
              <w:t>-100</w:t>
            </w:r>
          </w:p>
        </w:tc>
        <w:tc>
          <w:tcPr>
            <w:tcW w:w="0" w:type="auto"/>
            <w:vMerge w:val="continue"/>
            <w:vAlign w:val="center"/>
          </w:tcPr>
          <w:p w14:paraId="184C07AA">
            <w:pPr>
              <w:widowControl w:val="0"/>
              <w:jc w:val="center"/>
              <w:rPr>
                <w:rFonts w:ascii="宋体" w:hAnsi="宋体"/>
                <w:color w:val="000000" w:themeColor="text1"/>
                <w:szCs w:val="21"/>
                <w14:textFill>
                  <w14:solidFill>
                    <w14:schemeClr w14:val="tx1"/>
                  </w14:solidFill>
                </w14:textFill>
              </w:rPr>
            </w:pPr>
          </w:p>
        </w:tc>
      </w:tr>
      <w:tr w14:paraId="392E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3CB8C7F">
            <w:pPr>
              <w:widowControl w:val="0"/>
              <w:jc w:val="center"/>
              <w:rPr>
                <w:szCs w:val="21"/>
              </w:rPr>
            </w:pPr>
            <w:r>
              <w:rPr>
                <w:rFonts w:hint="eastAsia"/>
              </w:rPr>
              <w:t>24#</w:t>
            </w:r>
          </w:p>
        </w:tc>
        <w:tc>
          <w:tcPr>
            <w:tcW w:w="0" w:type="auto"/>
            <w:shd w:val="clear" w:color="auto" w:fill="auto"/>
            <w:vAlign w:val="center"/>
          </w:tcPr>
          <w:p w14:paraId="02D9AC4C">
            <w:pPr>
              <w:widowControl w:val="0"/>
              <w:jc w:val="center"/>
              <w:rPr>
                <w:szCs w:val="21"/>
              </w:rPr>
            </w:pPr>
            <w:r>
              <w:rPr>
                <w:rFonts w:hint="eastAsia"/>
              </w:rPr>
              <w:t>金家院子</w:t>
            </w:r>
          </w:p>
        </w:tc>
        <w:tc>
          <w:tcPr>
            <w:tcW w:w="0" w:type="auto"/>
            <w:shd w:val="clear" w:color="auto" w:fill="auto"/>
            <w:vAlign w:val="center"/>
          </w:tcPr>
          <w:p w14:paraId="73B39003">
            <w:pPr>
              <w:widowControl w:val="0"/>
              <w:jc w:val="center"/>
              <w:rPr>
                <w:szCs w:val="21"/>
              </w:rPr>
            </w:pPr>
            <w:r>
              <w:rPr>
                <w:rFonts w:hint="eastAsia"/>
              </w:rPr>
              <w:t>106.999347</w:t>
            </w:r>
          </w:p>
        </w:tc>
        <w:tc>
          <w:tcPr>
            <w:tcW w:w="0" w:type="auto"/>
            <w:shd w:val="clear" w:color="auto" w:fill="auto"/>
            <w:vAlign w:val="center"/>
          </w:tcPr>
          <w:p w14:paraId="4AA8A9F8">
            <w:pPr>
              <w:widowControl w:val="0"/>
              <w:jc w:val="center"/>
              <w:rPr>
                <w:szCs w:val="21"/>
              </w:rPr>
            </w:pPr>
            <w:r>
              <w:rPr>
                <w:rFonts w:hint="eastAsia"/>
              </w:rPr>
              <w:t>31.794649</w:t>
            </w:r>
          </w:p>
        </w:tc>
        <w:tc>
          <w:tcPr>
            <w:tcW w:w="0" w:type="auto"/>
            <w:shd w:val="clear" w:color="auto" w:fill="auto"/>
            <w:vAlign w:val="center"/>
          </w:tcPr>
          <w:p w14:paraId="438D68A2">
            <w:pPr>
              <w:widowControl w:val="0"/>
              <w:jc w:val="center"/>
              <w:rPr>
                <w:szCs w:val="21"/>
              </w:rPr>
            </w:pPr>
            <w:r>
              <w:rPr>
                <w:rFonts w:hint="eastAsia"/>
              </w:rPr>
              <w:t>约100人</w:t>
            </w:r>
          </w:p>
        </w:tc>
        <w:tc>
          <w:tcPr>
            <w:tcW w:w="0" w:type="auto"/>
            <w:vMerge w:val="continue"/>
            <w:vAlign w:val="center"/>
          </w:tcPr>
          <w:p w14:paraId="22F3EB04">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28BBBF8">
            <w:pPr>
              <w:widowControl w:val="0"/>
              <w:jc w:val="center"/>
              <w:rPr>
                <w:szCs w:val="21"/>
              </w:rPr>
            </w:pPr>
            <w:r>
              <w:t>S</w:t>
            </w:r>
          </w:p>
        </w:tc>
        <w:tc>
          <w:tcPr>
            <w:tcW w:w="0" w:type="auto"/>
            <w:shd w:val="clear" w:color="auto" w:fill="auto"/>
            <w:vAlign w:val="center"/>
          </w:tcPr>
          <w:p w14:paraId="45B6BF75">
            <w:pPr>
              <w:widowControl w:val="0"/>
              <w:jc w:val="center"/>
              <w:rPr>
                <w:szCs w:val="21"/>
              </w:rPr>
            </w:pPr>
            <w:r>
              <w:t>1081</w:t>
            </w:r>
          </w:p>
        </w:tc>
        <w:tc>
          <w:tcPr>
            <w:tcW w:w="0" w:type="auto"/>
            <w:shd w:val="clear" w:color="auto" w:fill="auto"/>
            <w:vAlign w:val="center"/>
          </w:tcPr>
          <w:p w14:paraId="0EDBC559">
            <w:pPr>
              <w:widowControl w:val="0"/>
              <w:jc w:val="center"/>
              <w:rPr>
                <w:szCs w:val="21"/>
              </w:rPr>
            </w:pPr>
            <w:r>
              <w:t>-94</w:t>
            </w:r>
          </w:p>
        </w:tc>
        <w:tc>
          <w:tcPr>
            <w:tcW w:w="0" w:type="auto"/>
            <w:vMerge w:val="continue"/>
            <w:vAlign w:val="center"/>
          </w:tcPr>
          <w:p w14:paraId="202EA9A5">
            <w:pPr>
              <w:widowControl w:val="0"/>
              <w:jc w:val="center"/>
              <w:rPr>
                <w:rFonts w:ascii="宋体" w:hAnsi="宋体"/>
                <w:color w:val="000000" w:themeColor="text1"/>
                <w:szCs w:val="21"/>
                <w14:textFill>
                  <w14:solidFill>
                    <w14:schemeClr w14:val="tx1"/>
                  </w14:solidFill>
                </w14:textFill>
              </w:rPr>
            </w:pPr>
          </w:p>
        </w:tc>
      </w:tr>
      <w:tr w14:paraId="2D76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0789B68">
            <w:pPr>
              <w:widowControl w:val="0"/>
              <w:jc w:val="center"/>
              <w:rPr>
                <w:szCs w:val="21"/>
              </w:rPr>
            </w:pPr>
            <w:r>
              <w:rPr>
                <w:rFonts w:hint="eastAsia"/>
              </w:rPr>
              <w:t>25#</w:t>
            </w:r>
          </w:p>
        </w:tc>
        <w:tc>
          <w:tcPr>
            <w:tcW w:w="0" w:type="auto"/>
            <w:shd w:val="clear" w:color="auto" w:fill="auto"/>
            <w:vAlign w:val="center"/>
          </w:tcPr>
          <w:p w14:paraId="2DEE976F">
            <w:pPr>
              <w:widowControl w:val="0"/>
              <w:jc w:val="center"/>
              <w:rPr>
                <w:szCs w:val="21"/>
              </w:rPr>
            </w:pPr>
            <w:r>
              <w:rPr>
                <w:rFonts w:hint="eastAsia"/>
              </w:rPr>
              <w:t>樊家湾</w:t>
            </w:r>
          </w:p>
        </w:tc>
        <w:tc>
          <w:tcPr>
            <w:tcW w:w="0" w:type="auto"/>
            <w:shd w:val="clear" w:color="auto" w:fill="auto"/>
            <w:vAlign w:val="center"/>
          </w:tcPr>
          <w:p w14:paraId="35344F13">
            <w:pPr>
              <w:widowControl w:val="0"/>
              <w:jc w:val="center"/>
              <w:rPr>
                <w:szCs w:val="21"/>
              </w:rPr>
            </w:pPr>
            <w:r>
              <w:rPr>
                <w:rFonts w:hint="eastAsia"/>
              </w:rPr>
              <w:t>107.002544</w:t>
            </w:r>
          </w:p>
        </w:tc>
        <w:tc>
          <w:tcPr>
            <w:tcW w:w="0" w:type="auto"/>
            <w:shd w:val="clear" w:color="auto" w:fill="auto"/>
            <w:vAlign w:val="center"/>
          </w:tcPr>
          <w:p w14:paraId="32CA5166">
            <w:pPr>
              <w:widowControl w:val="0"/>
              <w:jc w:val="center"/>
              <w:rPr>
                <w:szCs w:val="21"/>
              </w:rPr>
            </w:pPr>
            <w:r>
              <w:rPr>
                <w:rFonts w:hint="eastAsia"/>
              </w:rPr>
              <w:t>31.791955</w:t>
            </w:r>
          </w:p>
        </w:tc>
        <w:tc>
          <w:tcPr>
            <w:tcW w:w="0" w:type="auto"/>
            <w:shd w:val="clear" w:color="auto" w:fill="auto"/>
            <w:vAlign w:val="center"/>
          </w:tcPr>
          <w:p w14:paraId="16A18ECF">
            <w:pPr>
              <w:widowControl w:val="0"/>
              <w:jc w:val="center"/>
              <w:rPr>
                <w:szCs w:val="21"/>
              </w:rPr>
            </w:pPr>
            <w:r>
              <w:rPr>
                <w:rFonts w:hint="eastAsia"/>
              </w:rPr>
              <w:t>约15人</w:t>
            </w:r>
          </w:p>
        </w:tc>
        <w:tc>
          <w:tcPr>
            <w:tcW w:w="0" w:type="auto"/>
            <w:vMerge w:val="continue"/>
            <w:vAlign w:val="center"/>
          </w:tcPr>
          <w:p w14:paraId="4EF067BD">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7C89942">
            <w:pPr>
              <w:widowControl w:val="0"/>
              <w:jc w:val="center"/>
              <w:rPr>
                <w:szCs w:val="21"/>
              </w:rPr>
            </w:pPr>
            <w:r>
              <w:t>S</w:t>
            </w:r>
          </w:p>
        </w:tc>
        <w:tc>
          <w:tcPr>
            <w:tcW w:w="0" w:type="auto"/>
            <w:shd w:val="clear" w:color="auto" w:fill="auto"/>
            <w:vAlign w:val="center"/>
          </w:tcPr>
          <w:p w14:paraId="65AC682B">
            <w:pPr>
              <w:widowControl w:val="0"/>
              <w:jc w:val="center"/>
              <w:rPr>
                <w:szCs w:val="21"/>
              </w:rPr>
            </w:pPr>
            <w:r>
              <w:t>1415</w:t>
            </w:r>
          </w:p>
        </w:tc>
        <w:tc>
          <w:tcPr>
            <w:tcW w:w="0" w:type="auto"/>
            <w:shd w:val="clear" w:color="auto" w:fill="auto"/>
            <w:vAlign w:val="center"/>
          </w:tcPr>
          <w:p w14:paraId="222528BE">
            <w:pPr>
              <w:widowControl w:val="0"/>
              <w:jc w:val="center"/>
              <w:rPr>
                <w:szCs w:val="21"/>
              </w:rPr>
            </w:pPr>
            <w:r>
              <w:t>-23</w:t>
            </w:r>
          </w:p>
        </w:tc>
        <w:tc>
          <w:tcPr>
            <w:tcW w:w="0" w:type="auto"/>
            <w:vMerge w:val="continue"/>
            <w:vAlign w:val="center"/>
          </w:tcPr>
          <w:p w14:paraId="0698C2D0">
            <w:pPr>
              <w:widowControl w:val="0"/>
              <w:jc w:val="center"/>
              <w:rPr>
                <w:rFonts w:ascii="宋体" w:hAnsi="宋体"/>
                <w:color w:val="000000" w:themeColor="text1"/>
                <w:szCs w:val="21"/>
                <w14:textFill>
                  <w14:solidFill>
                    <w14:schemeClr w14:val="tx1"/>
                  </w14:solidFill>
                </w14:textFill>
              </w:rPr>
            </w:pPr>
          </w:p>
        </w:tc>
      </w:tr>
      <w:tr w14:paraId="6959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4834EAC">
            <w:pPr>
              <w:widowControl w:val="0"/>
              <w:jc w:val="center"/>
              <w:rPr>
                <w:szCs w:val="21"/>
              </w:rPr>
            </w:pPr>
            <w:r>
              <w:rPr>
                <w:rFonts w:hint="eastAsia"/>
              </w:rPr>
              <w:t>26#</w:t>
            </w:r>
          </w:p>
        </w:tc>
        <w:tc>
          <w:tcPr>
            <w:tcW w:w="0" w:type="auto"/>
            <w:shd w:val="clear" w:color="auto" w:fill="auto"/>
            <w:vAlign w:val="center"/>
          </w:tcPr>
          <w:p w14:paraId="2C6DE0E5">
            <w:pPr>
              <w:widowControl w:val="0"/>
              <w:jc w:val="center"/>
              <w:rPr>
                <w:szCs w:val="21"/>
              </w:rPr>
            </w:pPr>
            <w:r>
              <w:rPr>
                <w:rFonts w:hint="eastAsia"/>
              </w:rPr>
              <w:t>枇杷村</w:t>
            </w:r>
          </w:p>
        </w:tc>
        <w:tc>
          <w:tcPr>
            <w:tcW w:w="0" w:type="auto"/>
            <w:shd w:val="clear" w:color="auto" w:fill="auto"/>
            <w:vAlign w:val="center"/>
          </w:tcPr>
          <w:p w14:paraId="0E5984D1">
            <w:pPr>
              <w:widowControl w:val="0"/>
              <w:jc w:val="center"/>
              <w:rPr>
                <w:szCs w:val="21"/>
              </w:rPr>
            </w:pPr>
            <w:r>
              <w:rPr>
                <w:rFonts w:hint="eastAsia"/>
              </w:rPr>
              <w:t>106.993725</w:t>
            </w:r>
          </w:p>
        </w:tc>
        <w:tc>
          <w:tcPr>
            <w:tcW w:w="0" w:type="auto"/>
            <w:shd w:val="clear" w:color="auto" w:fill="auto"/>
            <w:vAlign w:val="center"/>
          </w:tcPr>
          <w:p w14:paraId="1B48EE51">
            <w:pPr>
              <w:widowControl w:val="0"/>
              <w:jc w:val="center"/>
              <w:rPr>
                <w:szCs w:val="21"/>
              </w:rPr>
            </w:pPr>
            <w:r>
              <w:rPr>
                <w:rFonts w:hint="eastAsia"/>
              </w:rPr>
              <w:t>31.786625</w:t>
            </w:r>
          </w:p>
        </w:tc>
        <w:tc>
          <w:tcPr>
            <w:tcW w:w="0" w:type="auto"/>
            <w:shd w:val="clear" w:color="auto" w:fill="auto"/>
            <w:vAlign w:val="center"/>
          </w:tcPr>
          <w:p w14:paraId="57EB493B">
            <w:pPr>
              <w:widowControl w:val="0"/>
              <w:jc w:val="center"/>
              <w:rPr>
                <w:szCs w:val="21"/>
              </w:rPr>
            </w:pPr>
            <w:r>
              <w:rPr>
                <w:rFonts w:hint="eastAsia"/>
              </w:rPr>
              <w:t>约200人</w:t>
            </w:r>
          </w:p>
        </w:tc>
        <w:tc>
          <w:tcPr>
            <w:tcW w:w="0" w:type="auto"/>
            <w:vMerge w:val="continue"/>
            <w:vAlign w:val="center"/>
          </w:tcPr>
          <w:p w14:paraId="786531E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D39349A">
            <w:pPr>
              <w:widowControl w:val="0"/>
              <w:jc w:val="center"/>
              <w:rPr>
                <w:szCs w:val="21"/>
              </w:rPr>
            </w:pPr>
            <w:r>
              <w:t>S</w:t>
            </w:r>
          </w:p>
        </w:tc>
        <w:tc>
          <w:tcPr>
            <w:tcW w:w="0" w:type="auto"/>
            <w:shd w:val="clear" w:color="auto" w:fill="auto"/>
            <w:vAlign w:val="center"/>
          </w:tcPr>
          <w:p w14:paraId="76A3DA2C">
            <w:pPr>
              <w:widowControl w:val="0"/>
              <w:jc w:val="center"/>
              <w:rPr>
                <w:szCs w:val="21"/>
              </w:rPr>
            </w:pPr>
            <w:r>
              <w:t>1772</w:t>
            </w:r>
          </w:p>
        </w:tc>
        <w:tc>
          <w:tcPr>
            <w:tcW w:w="0" w:type="auto"/>
            <w:shd w:val="clear" w:color="auto" w:fill="auto"/>
            <w:vAlign w:val="center"/>
          </w:tcPr>
          <w:p w14:paraId="06F5CF36">
            <w:pPr>
              <w:widowControl w:val="0"/>
              <w:jc w:val="center"/>
              <w:rPr>
                <w:szCs w:val="21"/>
              </w:rPr>
            </w:pPr>
            <w:r>
              <w:t>58</w:t>
            </w:r>
          </w:p>
        </w:tc>
        <w:tc>
          <w:tcPr>
            <w:tcW w:w="0" w:type="auto"/>
            <w:vMerge w:val="continue"/>
            <w:vAlign w:val="center"/>
          </w:tcPr>
          <w:p w14:paraId="1F1AFC99">
            <w:pPr>
              <w:widowControl w:val="0"/>
              <w:jc w:val="center"/>
              <w:rPr>
                <w:rFonts w:ascii="宋体" w:hAnsi="宋体"/>
                <w:color w:val="000000" w:themeColor="text1"/>
                <w:szCs w:val="21"/>
                <w14:textFill>
                  <w14:solidFill>
                    <w14:schemeClr w14:val="tx1"/>
                  </w14:solidFill>
                </w14:textFill>
              </w:rPr>
            </w:pPr>
          </w:p>
        </w:tc>
      </w:tr>
      <w:tr w14:paraId="315C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1811125">
            <w:pPr>
              <w:widowControl w:val="0"/>
              <w:jc w:val="center"/>
              <w:rPr>
                <w:szCs w:val="21"/>
              </w:rPr>
            </w:pPr>
            <w:r>
              <w:rPr>
                <w:rFonts w:hint="eastAsia"/>
              </w:rPr>
              <w:t>27#</w:t>
            </w:r>
          </w:p>
        </w:tc>
        <w:tc>
          <w:tcPr>
            <w:tcW w:w="0" w:type="auto"/>
            <w:shd w:val="clear" w:color="auto" w:fill="auto"/>
            <w:vAlign w:val="center"/>
          </w:tcPr>
          <w:p w14:paraId="1F7B6B18">
            <w:pPr>
              <w:widowControl w:val="0"/>
              <w:jc w:val="center"/>
              <w:rPr>
                <w:szCs w:val="21"/>
              </w:rPr>
            </w:pPr>
            <w:r>
              <w:rPr>
                <w:rFonts w:hint="eastAsia"/>
              </w:rPr>
              <w:t>苟家湾</w:t>
            </w:r>
          </w:p>
        </w:tc>
        <w:tc>
          <w:tcPr>
            <w:tcW w:w="0" w:type="auto"/>
            <w:shd w:val="clear" w:color="auto" w:fill="auto"/>
            <w:vAlign w:val="center"/>
          </w:tcPr>
          <w:p w14:paraId="5CC84977">
            <w:pPr>
              <w:widowControl w:val="0"/>
              <w:jc w:val="center"/>
              <w:rPr>
                <w:szCs w:val="21"/>
              </w:rPr>
            </w:pPr>
            <w:r>
              <w:rPr>
                <w:rFonts w:hint="eastAsia"/>
              </w:rPr>
              <w:t>107.001160</w:t>
            </w:r>
          </w:p>
        </w:tc>
        <w:tc>
          <w:tcPr>
            <w:tcW w:w="0" w:type="auto"/>
            <w:shd w:val="clear" w:color="auto" w:fill="auto"/>
            <w:vAlign w:val="center"/>
          </w:tcPr>
          <w:p w14:paraId="0AB73A98">
            <w:pPr>
              <w:widowControl w:val="0"/>
              <w:jc w:val="center"/>
              <w:rPr>
                <w:szCs w:val="21"/>
              </w:rPr>
            </w:pPr>
            <w:r>
              <w:rPr>
                <w:rFonts w:hint="eastAsia"/>
              </w:rPr>
              <w:t>31.784636</w:t>
            </w:r>
          </w:p>
        </w:tc>
        <w:tc>
          <w:tcPr>
            <w:tcW w:w="0" w:type="auto"/>
            <w:shd w:val="clear" w:color="auto" w:fill="auto"/>
            <w:vAlign w:val="center"/>
          </w:tcPr>
          <w:p w14:paraId="324F7CF6">
            <w:pPr>
              <w:widowControl w:val="0"/>
              <w:jc w:val="center"/>
              <w:rPr>
                <w:szCs w:val="21"/>
              </w:rPr>
            </w:pPr>
            <w:r>
              <w:rPr>
                <w:rFonts w:hint="eastAsia"/>
              </w:rPr>
              <w:t>约70人</w:t>
            </w:r>
          </w:p>
        </w:tc>
        <w:tc>
          <w:tcPr>
            <w:tcW w:w="0" w:type="auto"/>
            <w:vMerge w:val="continue"/>
            <w:vAlign w:val="center"/>
          </w:tcPr>
          <w:p w14:paraId="2E79B57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E349199">
            <w:pPr>
              <w:widowControl w:val="0"/>
              <w:jc w:val="center"/>
              <w:rPr>
                <w:szCs w:val="21"/>
              </w:rPr>
            </w:pPr>
            <w:r>
              <w:t>S</w:t>
            </w:r>
          </w:p>
        </w:tc>
        <w:tc>
          <w:tcPr>
            <w:tcW w:w="0" w:type="auto"/>
            <w:shd w:val="clear" w:color="auto" w:fill="auto"/>
            <w:vAlign w:val="center"/>
          </w:tcPr>
          <w:p w14:paraId="11C24080">
            <w:pPr>
              <w:widowControl w:val="0"/>
              <w:jc w:val="center"/>
              <w:rPr>
                <w:szCs w:val="21"/>
              </w:rPr>
            </w:pPr>
            <w:r>
              <w:t>2137</w:t>
            </w:r>
          </w:p>
        </w:tc>
        <w:tc>
          <w:tcPr>
            <w:tcW w:w="0" w:type="auto"/>
            <w:shd w:val="clear" w:color="auto" w:fill="auto"/>
            <w:vAlign w:val="center"/>
          </w:tcPr>
          <w:p w14:paraId="64311E87">
            <w:pPr>
              <w:widowControl w:val="0"/>
              <w:jc w:val="center"/>
              <w:rPr>
                <w:szCs w:val="21"/>
              </w:rPr>
            </w:pPr>
            <w:r>
              <w:t>65</w:t>
            </w:r>
          </w:p>
        </w:tc>
        <w:tc>
          <w:tcPr>
            <w:tcW w:w="0" w:type="auto"/>
            <w:vMerge w:val="continue"/>
            <w:vAlign w:val="center"/>
          </w:tcPr>
          <w:p w14:paraId="4B6D0B71">
            <w:pPr>
              <w:widowControl w:val="0"/>
              <w:jc w:val="center"/>
              <w:rPr>
                <w:rFonts w:ascii="宋体" w:hAnsi="宋体"/>
                <w:color w:val="000000" w:themeColor="text1"/>
                <w:szCs w:val="21"/>
                <w14:textFill>
                  <w14:solidFill>
                    <w14:schemeClr w14:val="tx1"/>
                  </w14:solidFill>
                </w14:textFill>
              </w:rPr>
            </w:pPr>
          </w:p>
        </w:tc>
      </w:tr>
      <w:tr w14:paraId="7B68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AC5A89E">
            <w:pPr>
              <w:widowControl w:val="0"/>
              <w:jc w:val="center"/>
              <w:rPr>
                <w:szCs w:val="21"/>
              </w:rPr>
            </w:pPr>
            <w:r>
              <w:rPr>
                <w:rFonts w:hint="eastAsia"/>
              </w:rPr>
              <w:t>28#</w:t>
            </w:r>
          </w:p>
        </w:tc>
        <w:tc>
          <w:tcPr>
            <w:tcW w:w="0" w:type="auto"/>
            <w:shd w:val="clear" w:color="auto" w:fill="auto"/>
            <w:vAlign w:val="center"/>
          </w:tcPr>
          <w:p w14:paraId="1BE28A25">
            <w:pPr>
              <w:widowControl w:val="0"/>
              <w:jc w:val="center"/>
              <w:rPr>
                <w:szCs w:val="21"/>
              </w:rPr>
            </w:pPr>
            <w:r>
              <w:rPr>
                <w:rFonts w:hint="eastAsia"/>
              </w:rPr>
              <w:t>陈家</w:t>
            </w:r>
            <w:r>
              <w:rPr>
                <w:rFonts w:hint="eastAsia" w:ascii="微软雅黑" w:hAnsi="微软雅黑" w:eastAsia="微软雅黑" w:cs="微软雅黑"/>
              </w:rPr>
              <w:t>𤧛</w:t>
            </w:r>
          </w:p>
        </w:tc>
        <w:tc>
          <w:tcPr>
            <w:tcW w:w="0" w:type="auto"/>
            <w:shd w:val="clear" w:color="auto" w:fill="auto"/>
            <w:vAlign w:val="center"/>
          </w:tcPr>
          <w:p w14:paraId="5CDA71A0">
            <w:pPr>
              <w:widowControl w:val="0"/>
              <w:jc w:val="center"/>
              <w:rPr>
                <w:szCs w:val="21"/>
              </w:rPr>
            </w:pPr>
            <w:r>
              <w:rPr>
                <w:rFonts w:hint="eastAsia"/>
              </w:rPr>
              <w:t>107.003338</w:t>
            </w:r>
          </w:p>
        </w:tc>
        <w:tc>
          <w:tcPr>
            <w:tcW w:w="0" w:type="auto"/>
            <w:shd w:val="clear" w:color="auto" w:fill="auto"/>
            <w:vAlign w:val="center"/>
          </w:tcPr>
          <w:p w14:paraId="4345EC34">
            <w:pPr>
              <w:widowControl w:val="0"/>
              <w:jc w:val="center"/>
              <w:rPr>
                <w:szCs w:val="21"/>
              </w:rPr>
            </w:pPr>
            <w:r>
              <w:rPr>
                <w:rFonts w:hint="eastAsia"/>
              </w:rPr>
              <w:t>31.788521</w:t>
            </w:r>
          </w:p>
        </w:tc>
        <w:tc>
          <w:tcPr>
            <w:tcW w:w="0" w:type="auto"/>
            <w:shd w:val="clear" w:color="auto" w:fill="auto"/>
            <w:vAlign w:val="center"/>
          </w:tcPr>
          <w:p w14:paraId="6C836200">
            <w:pPr>
              <w:widowControl w:val="0"/>
              <w:jc w:val="center"/>
              <w:rPr>
                <w:szCs w:val="21"/>
              </w:rPr>
            </w:pPr>
            <w:r>
              <w:rPr>
                <w:rFonts w:hint="eastAsia"/>
              </w:rPr>
              <w:t>约250人</w:t>
            </w:r>
          </w:p>
        </w:tc>
        <w:tc>
          <w:tcPr>
            <w:tcW w:w="0" w:type="auto"/>
            <w:vMerge w:val="continue"/>
            <w:vAlign w:val="center"/>
          </w:tcPr>
          <w:p w14:paraId="0753956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C9796EA">
            <w:pPr>
              <w:widowControl w:val="0"/>
              <w:jc w:val="center"/>
              <w:rPr>
                <w:szCs w:val="21"/>
              </w:rPr>
            </w:pPr>
            <w:r>
              <w:t>S</w:t>
            </w:r>
          </w:p>
        </w:tc>
        <w:tc>
          <w:tcPr>
            <w:tcW w:w="0" w:type="auto"/>
            <w:shd w:val="clear" w:color="auto" w:fill="auto"/>
            <w:vAlign w:val="center"/>
          </w:tcPr>
          <w:p w14:paraId="4E856A92">
            <w:pPr>
              <w:widowControl w:val="0"/>
              <w:jc w:val="center"/>
              <w:rPr>
                <w:szCs w:val="21"/>
              </w:rPr>
            </w:pPr>
            <w:r>
              <w:t>1538</w:t>
            </w:r>
          </w:p>
        </w:tc>
        <w:tc>
          <w:tcPr>
            <w:tcW w:w="0" w:type="auto"/>
            <w:shd w:val="clear" w:color="auto" w:fill="auto"/>
            <w:vAlign w:val="center"/>
          </w:tcPr>
          <w:p w14:paraId="6F563B87">
            <w:pPr>
              <w:widowControl w:val="0"/>
              <w:jc w:val="center"/>
              <w:rPr>
                <w:szCs w:val="21"/>
              </w:rPr>
            </w:pPr>
            <w:r>
              <w:t>45</w:t>
            </w:r>
          </w:p>
        </w:tc>
        <w:tc>
          <w:tcPr>
            <w:tcW w:w="0" w:type="auto"/>
            <w:vMerge w:val="continue"/>
            <w:vAlign w:val="center"/>
          </w:tcPr>
          <w:p w14:paraId="5A3697BD">
            <w:pPr>
              <w:widowControl w:val="0"/>
              <w:jc w:val="center"/>
              <w:rPr>
                <w:rFonts w:ascii="宋体" w:hAnsi="宋体"/>
                <w:color w:val="000000" w:themeColor="text1"/>
                <w:szCs w:val="21"/>
                <w14:textFill>
                  <w14:solidFill>
                    <w14:schemeClr w14:val="tx1"/>
                  </w14:solidFill>
                </w14:textFill>
              </w:rPr>
            </w:pPr>
          </w:p>
        </w:tc>
      </w:tr>
      <w:tr w14:paraId="7748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3D51BCA">
            <w:pPr>
              <w:widowControl w:val="0"/>
              <w:jc w:val="center"/>
              <w:rPr>
                <w:szCs w:val="21"/>
              </w:rPr>
            </w:pPr>
            <w:r>
              <w:rPr>
                <w:rFonts w:hint="eastAsia"/>
              </w:rPr>
              <w:t>29#</w:t>
            </w:r>
          </w:p>
        </w:tc>
        <w:tc>
          <w:tcPr>
            <w:tcW w:w="0" w:type="auto"/>
            <w:shd w:val="clear" w:color="auto" w:fill="auto"/>
            <w:vAlign w:val="center"/>
          </w:tcPr>
          <w:p w14:paraId="7197DEA2">
            <w:pPr>
              <w:widowControl w:val="0"/>
              <w:jc w:val="center"/>
              <w:rPr>
                <w:szCs w:val="21"/>
              </w:rPr>
            </w:pPr>
            <w:r>
              <w:rPr>
                <w:rFonts w:hint="eastAsia"/>
              </w:rPr>
              <w:t>谢家院</w:t>
            </w:r>
          </w:p>
        </w:tc>
        <w:tc>
          <w:tcPr>
            <w:tcW w:w="0" w:type="auto"/>
            <w:shd w:val="clear" w:color="auto" w:fill="auto"/>
            <w:vAlign w:val="center"/>
          </w:tcPr>
          <w:p w14:paraId="6A44ED47">
            <w:pPr>
              <w:widowControl w:val="0"/>
              <w:jc w:val="center"/>
              <w:rPr>
                <w:szCs w:val="21"/>
              </w:rPr>
            </w:pPr>
            <w:r>
              <w:rPr>
                <w:rFonts w:hint="eastAsia"/>
              </w:rPr>
              <w:t>107.014561</w:t>
            </w:r>
          </w:p>
        </w:tc>
        <w:tc>
          <w:tcPr>
            <w:tcW w:w="0" w:type="auto"/>
            <w:shd w:val="clear" w:color="auto" w:fill="auto"/>
            <w:vAlign w:val="center"/>
          </w:tcPr>
          <w:p w14:paraId="714FA384">
            <w:pPr>
              <w:widowControl w:val="0"/>
              <w:jc w:val="center"/>
              <w:rPr>
                <w:szCs w:val="21"/>
              </w:rPr>
            </w:pPr>
            <w:r>
              <w:rPr>
                <w:rFonts w:hint="eastAsia"/>
              </w:rPr>
              <w:t>31.798078</w:t>
            </w:r>
          </w:p>
        </w:tc>
        <w:tc>
          <w:tcPr>
            <w:tcW w:w="0" w:type="auto"/>
            <w:shd w:val="clear" w:color="auto" w:fill="auto"/>
            <w:vAlign w:val="center"/>
          </w:tcPr>
          <w:p w14:paraId="17410048">
            <w:pPr>
              <w:widowControl w:val="0"/>
              <w:jc w:val="center"/>
              <w:rPr>
                <w:szCs w:val="21"/>
              </w:rPr>
            </w:pPr>
            <w:r>
              <w:rPr>
                <w:rFonts w:hint="eastAsia"/>
              </w:rPr>
              <w:t>约100人</w:t>
            </w:r>
          </w:p>
        </w:tc>
        <w:tc>
          <w:tcPr>
            <w:tcW w:w="0" w:type="auto"/>
            <w:vMerge w:val="continue"/>
            <w:vAlign w:val="center"/>
          </w:tcPr>
          <w:p w14:paraId="33B4916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13B5F62">
            <w:pPr>
              <w:widowControl w:val="0"/>
              <w:jc w:val="center"/>
              <w:rPr>
                <w:szCs w:val="21"/>
              </w:rPr>
            </w:pPr>
            <w:r>
              <w:t>SE</w:t>
            </w:r>
          </w:p>
        </w:tc>
        <w:tc>
          <w:tcPr>
            <w:tcW w:w="0" w:type="auto"/>
            <w:shd w:val="clear" w:color="auto" w:fill="auto"/>
            <w:vAlign w:val="center"/>
          </w:tcPr>
          <w:p w14:paraId="4DC6FE34">
            <w:pPr>
              <w:widowControl w:val="0"/>
              <w:jc w:val="center"/>
              <w:rPr>
                <w:szCs w:val="21"/>
              </w:rPr>
            </w:pPr>
            <w:r>
              <w:t>1326</w:t>
            </w:r>
          </w:p>
        </w:tc>
        <w:tc>
          <w:tcPr>
            <w:tcW w:w="0" w:type="auto"/>
            <w:shd w:val="clear" w:color="auto" w:fill="auto"/>
            <w:vAlign w:val="center"/>
          </w:tcPr>
          <w:p w14:paraId="6612F54B">
            <w:pPr>
              <w:widowControl w:val="0"/>
              <w:jc w:val="center"/>
              <w:rPr>
                <w:szCs w:val="21"/>
              </w:rPr>
            </w:pPr>
            <w:r>
              <w:t>22</w:t>
            </w:r>
          </w:p>
        </w:tc>
        <w:tc>
          <w:tcPr>
            <w:tcW w:w="0" w:type="auto"/>
            <w:vMerge w:val="continue"/>
            <w:vAlign w:val="center"/>
          </w:tcPr>
          <w:p w14:paraId="00592760">
            <w:pPr>
              <w:widowControl w:val="0"/>
              <w:jc w:val="center"/>
              <w:rPr>
                <w:rFonts w:ascii="宋体" w:hAnsi="宋体"/>
                <w:color w:val="000000" w:themeColor="text1"/>
                <w:szCs w:val="21"/>
                <w14:textFill>
                  <w14:solidFill>
                    <w14:schemeClr w14:val="tx1"/>
                  </w14:solidFill>
                </w14:textFill>
              </w:rPr>
            </w:pPr>
          </w:p>
        </w:tc>
      </w:tr>
      <w:tr w14:paraId="4D65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AA90061">
            <w:pPr>
              <w:widowControl w:val="0"/>
              <w:jc w:val="center"/>
              <w:rPr>
                <w:szCs w:val="21"/>
              </w:rPr>
            </w:pPr>
            <w:r>
              <w:rPr>
                <w:rFonts w:hint="eastAsia"/>
              </w:rPr>
              <w:t>30#</w:t>
            </w:r>
          </w:p>
        </w:tc>
        <w:tc>
          <w:tcPr>
            <w:tcW w:w="0" w:type="auto"/>
            <w:shd w:val="clear" w:color="auto" w:fill="auto"/>
            <w:vAlign w:val="center"/>
          </w:tcPr>
          <w:p w14:paraId="70807FC6">
            <w:pPr>
              <w:widowControl w:val="0"/>
              <w:jc w:val="center"/>
              <w:rPr>
                <w:szCs w:val="21"/>
              </w:rPr>
            </w:pPr>
            <w:r>
              <w:rPr>
                <w:rFonts w:hint="eastAsia"/>
              </w:rPr>
              <w:t>周家大院子</w:t>
            </w:r>
          </w:p>
        </w:tc>
        <w:tc>
          <w:tcPr>
            <w:tcW w:w="0" w:type="auto"/>
            <w:shd w:val="clear" w:color="auto" w:fill="auto"/>
            <w:vAlign w:val="center"/>
          </w:tcPr>
          <w:p w14:paraId="0CB2B669">
            <w:pPr>
              <w:widowControl w:val="0"/>
              <w:jc w:val="center"/>
              <w:rPr>
                <w:szCs w:val="21"/>
              </w:rPr>
            </w:pPr>
            <w:r>
              <w:rPr>
                <w:rFonts w:hint="eastAsia"/>
              </w:rPr>
              <w:t>107.009153</w:t>
            </w:r>
          </w:p>
        </w:tc>
        <w:tc>
          <w:tcPr>
            <w:tcW w:w="0" w:type="auto"/>
            <w:shd w:val="clear" w:color="auto" w:fill="auto"/>
            <w:vAlign w:val="center"/>
          </w:tcPr>
          <w:p w14:paraId="3F0C87C7">
            <w:pPr>
              <w:widowControl w:val="0"/>
              <w:jc w:val="center"/>
              <w:rPr>
                <w:szCs w:val="21"/>
              </w:rPr>
            </w:pPr>
            <w:r>
              <w:rPr>
                <w:rFonts w:hint="eastAsia"/>
              </w:rPr>
              <w:t>31.795561</w:t>
            </w:r>
          </w:p>
        </w:tc>
        <w:tc>
          <w:tcPr>
            <w:tcW w:w="0" w:type="auto"/>
            <w:shd w:val="clear" w:color="auto" w:fill="auto"/>
            <w:vAlign w:val="center"/>
          </w:tcPr>
          <w:p w14:paraId="5EC1A885">
            <w:pPr>
              <w:widowControl w:val="0"/>
              <w:jc w:val="center"/>
              <w:rPr>
                <w:szCs w:val="21"/>
              </w:rPr>
            </w:pPr>
            <w:r>
              <w:rPr>
                <w:rFonts w:hint="eastAsia"/>
              </w:rPr>
              <w:t>约40人</w:t>
            </w:r>
          </w:p>
        </w:tc>
        <w:tc>
          <w:tcPr>
            <w:tcW w:w="0" w:type="auto"/>
            <w:vMerge w:val="continue"/>
            <w:vAlign w:val="center"/>
          </w:tcPr>
          <w:p w14:paraId="466ADE3E">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CDCC7E5">
            <w:pPr>
              <w:widowControl w:val="0"/>
              <w:jc w:val="center"/>
              <w:rPr>
                <w:szCs w:val="21"/>
              </w:rPr>
            </w:pPr>
            <w:r>
              <w:t>SE</w:t>
            </w:r>
          </w:p>
        </w:tc>
        <w:tc>
          <w:tcPr>
            <w:tcW w:w="0" w:type="auto"/>
            <w:shd w:val="clear" w:color="auto" w:fill="auto"/>
            <w:vAlign w:val="center"/>
          </w:tcPr>
          <w:p w14:paraId="0CED47BA">
            <w:pPr>
              <w:widowControl w:val="0"/>
              <w:jc w:val="center"/>
              <w:rPr>
                <w:szCs w:val="21"/>
              </w:rPr>
            </w:pPr>
            <w:r>
              <w:t>1156</w:t>
            </w:r>
          </w:p>
        </w:tc>
        <w:tc>
          <w:tcPr>
            <w:tcW w:w="0" w:type="auto"/>
            <w:shd w:val="clear" w:color="auto" w:fill="auto"/>
            <w:vAlign w:val="center"/>
          </w:tcPr>
          <w:p w14:paraId="05E57281">
            <w:pPr>
              <w:widowControl w:val="0"/>
              <w:jc w:val="center"/>
              <w:rPr>
                <w:szCs w:val="21"/>
              </w:rPr>
            </w:pPr>
            <w:r>
              <w:t>-76</w:t>
            </w:r>
          </w:p>
        </w:tc>
        <w:tc>
          <w:tcPr>
            <w:tcW w:w="0" w:type="auto"/>
            <w:vMerge w:val="continue"/>
            <w:vAlign w:val="center"/>
          </w:tcPr>
          <w:p w14:paraId="4E6680BA">
            <w:pPr>
              <w:widowControl w:val="0"/>
              <w:jc w:val="center"/>
              <w:rPr>
                <w:rFonts w:ascii="宋体" w:hAnsi="宋体"/>
                <w:color w:val="000000" w:themeColor="text1"/>
                <w:szCs w:val="21"/>
                <w14:textFill>
                  <w14:solidFill>
                    <w14:schemeClr w14:val="tx1"/>
                  </w14:solidFill>
                </w14:textFill>
              </w:rPr>
            </w:pPr>
          </w:p>
        </w:tc>
      </w:tr>
      <w:tr w14:paraId="18A7B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8A1696C">
            <w:pPr>
              <w:widowControl w:val="0"/>
              <w:jc w:val="center"/>
              <w:rPr>
                <w:szCs w:val="21"/>
              </w:rPr>
            </w:pPr>
            <w:r>
              <w:rPr>
                <w:rFonts w:hint="eastAsia"/>
              </w:rPr>
              <w:t>31#</w:t>
            </w:r>
          </w:p>
        </w:tc>
        <w:tc>
          <w:tcPr>
            <w:tcW w:w="0" w:type="auto"/>
            <w:shd w:val="clear" w:color="auto" w:fill="auto"/>
            <w:vAlign w:val="center"/>
          </w:tcPr>
          <w:p w14:paraId="7356381C">
            <w:pPr>
              <w:widowControl w:val="0"/>
              <w:jc w:val="center"/>
              <w:rPr>
                <w:szCs w:val="21"/>
              </w:rPr>
            </w:pPr>
            <w:r>
              <w:rPr>
                <w:rFonts w:hint="eastAsia"/>
              </w:rPr>
              <w:t>李家湾</w:t>
            </w:r>
          </w:p>
        </w:tc>
        <w:tc>
          <w:tcPr>
            <w:tcW w:w="0" w:type="auto"/>
            <w:shd w:val="clear" w:color="auto" w:fill="auto"/>
            <w:vAlign w:val="center"/>
          </w:tcPr>
          <w:p w14:paraId="4DB38F3E">
            <w:pPr>
              <w:widowControl w:val="0"/>
              <w:jc w:val="center"/>
              <w:rPr>
                <w:szCs w:val="21"/>
              </w:rPr>
            </w:pPr>
            <w:r>
              <w:rPr>
                <w:rFonts w:hint="eastAsia"/>
              </w:rPr>
              <w:t>107.012286</w:t>
            </w:r>
          </w:p>
        </w:tc>
        <w:tc>
          <w:tcPr>
            <w:tcW w:w="0" w:type="auto"/>
            <w:shd w:val="clear" w:color="auto" w:fill="auto"/>
            <w:vAlign w:val="center"/>
          </w:tcPr>
          <w:p w14:paraId="7C8B2E23">
            <w:pPr>
              <w:widowControl w:val="0"/>
              <w:jc w:val="center"/>
              <w:rPr>
                <w:szCs w:val="21"/>
              </w:rPr>
            </w:pPr>
            <w:r>
              <w:rPr>
                <w:rFonts w:hint="eastAsia"/>
              </w:rPr>
              <w:t>31.786406</w:t>
            </w:r>
          </w:p>
        </w:tc>
        <w:tc>
          <w:tcPr>
            <w:tcW w:w="0" w:type="auto"/>
            <w:shd w:val="clear" w:color="auto" w:fill="auto"/>
            <w:vAlign w:val="center"/>
          </w:tcPr>
          <w:p w14:paraId="0275F525">
            <w:pPr>
              <w:widowControl w:val="0"/>
              <w:jc w:val="center"/>
              <w:rPr>
                <w:szCs w:val="21"/>
              </w:rPr>
            </w:pPr>
            <w:r>
              <w:rPr>
                <w:rFonts w:hint="eastAsia"/>
              </w:rPr>
              <w:t>约30人</w:t>
            </w:r>
          </w:p>
        </w:tc>
        <w:tc>
          <w:tcPr>
            <w:tcW w:w="0" w:type="auto"/>
            <w:vMerge w:val="continue"/>
            <w:vAlign w:val="center"/>
          </w:tcPr>
          <w:p w14:paraId="024A4CCF">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77155CC">
            <w:pPr>
              <w:widowControl w:val="0"/>
              <w:jc w:val="center"/>
              <w:rPr>
                <w:szCs w:val="21"/>
              </w:rPr>
            </w:pPr>
            <w:r>
              <w:t>SE</w:t>
            </w:r>
          </w:p>
        </w:tc>
        <w:tc>
          <w:tcPr>
            <w:tcW w:w="0" w:type="auto"/>
            <w:shd w:val="clear" w:color="auto" w:fill="auto"/>
            <w:vAlign w:val="center"/>
          </w:tcPr>
          <w:p w14:paraId="51F57794">
            <w:pPr>
              <w:widowControl w:val="0"/>
              <w:jc w:val="center"/>
              <w:rPr>
                <w:szCs w:val="21"/>
              </w:rPr>
            </w:pPr>
            <w:r>
              <w:t>2154</w:t>
            </w:r>
          </w:p>
        </w:tc>
        <w:tc>
          <w:tcPr>
            <w:tcW w:w="0" w:type="auto"/>
            <w:shd w:val="clear" w:color="auto" w:fill="auto"/>
            <w:vAlign w:val="center"/>
          </w:tcPr>
          <w:p w14:paraId="50F94082">
            <w:pPr>
              <w:widowControl w:val="0"/>
              <w:jc w:val="center"/>
              <w:rPr>
                <w:szCs w:val="21"/>
              </w:rPr>
            </w:pPr>
            <w:r>
              <w:t>-49</w:t>
            </w:r>
          </w:p>
        </w:tc>
        <w:tc>
          <w:tcPr>
            <w:tcW w:w="0" w:type="auto"/>
            <w:vMerge w:val="continue"/>
            <w:vAlign w:val="center"/>
          </w:tcPr>
          <w:p w14:paraId="052C899B">
            <w:pPr>
              <w:widowControl w:val="0"/>
              <w:jc w:val="center"/>
              <w:rPr>
                <w:rFonts w:ascii="宋体" w:hAnsi="宋体"/>
                <w:color w:val="000000" w:themeColor="text1"/>
                <w:szCs w:val="21"/>
                <w14:textFill>
                  <w14:solidFill>
                    <w14:schemeClr w14:val="tx1"/>
                  </w14:solidFill>
                </w14:textFill>
              </w:rPr>
            </w:pPr>
          </w:p>
        </w:tc>
      </w:tr>
      <w:tr w14:paraId="546A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1E185F5">
            <w:pPr>
              <w:widowControl w:val="0"/>
              <w:jc w:val="center"/>
              <w:rPr>
                <w:szCs w:val="21"/>
              </w:rPr>
            </w:pPr>
            <w:r>
              <w:rPr>
                <w:rFonts w:hint="eastAsia"/>
              </w:rPr>
              <w:t>32#</w:t>
            </w:r>
          </w:p>
        </w:tc>
        <w:tc>
          <w:tcPr>
            <w:tcW w:w="0" w:type="auto"/>
            <w:shd w:val="clear" w:color="auto" w:fill="auto"/>
            <w:vAlign w:val="center"/>
          </w:tcPr>
          <w:p w14:paraId="43DCAD3E">
            <w:pPr>
              <w:widowControl w:val="0"/>
              <w:jc w:val="center"/>
              <w:rPr>
                <w:szCs w:val="21"/>
              </w:rPr>
            </w:pPr>
            <w:r>
              <w:rPr>
                <w:rFonts w:hint="eastAsia"/>
              </w:rPr>
              <w:t>周家河</w:t>
            </w:r>
          </w:p>
        </w:tc>
        <w:tc>
          <w:tcPr>
            <w:tcW w:w="0" w:type="auto"/>
            <w:shd w:val="clear" w:color="auto" w:fill="auto"/>
            <w:vAlign w:val="center"/>
          </w:tcPr>
          <w:p w14:paraId="03EF07EF">
            <w:pPr>
              <w:widowControl w:val="0"/>
              <w:jc w:val="center"/>
              <w:rPr>
                <w:szCs w:val="21"/>
              </w:rPr>
            </w:pPr>
            <w:r>
              <w:rPr>
                <w:rFonts w:hint="eastAsia"/>
              </w:rPr>
              <w:t>107.017286</w:t>
            </w:r>
          </w:p>
        </w:tc>
        <w:tc>
          <w:tcPr>
            <w:tcW w:w="0" w:type="auto"/>
            <w:shd w:val="clear" w:color="auto" w:fill="auto"/>
            <w:vAlign w:val="center"/>
          </w:tcPr>
          <w:p w14:paraId="04100F3B">
            <w:pPr>
              <w:widowControl w:val="0"/>
              <w:jc w:val="center"/>
              <w:rPr>
                <w:szCs w:val="21"/>
              </w:rPr>
            </w:pPr>
            <w:r>
              <w:rPr>
                <w:rFonts w:hint="eastAsia"/>
              </w:rPr>
              <w:t>31.786187</w:t>
            </w:r>
          </w:p>
        </w:tc>
        <w:tc>
          <w:tcPr>
            <w:tcW w:w="0" w:type="auto"/>
            <w:shd w:val="clear" w:color="auto" w:fill="auto"/>
            <w:vAlign w:val="center"/>
          </w:tcPr>
          <w:p w14:paraId="7724EEC5">
            <w:pPr>
              <w:widowControl w:val="0"/>
              <w:jc w:val="center"/>
              <w:rPr>
                <w:szCs w:val="21"/>
              </w:rPr>
            </w:pPr>
            <w:r>
              <w:rPr>
                <w:rFonts w:hint="eastAsia"/>
              </w:rPr>
              <w:t>约250人</w:t>
            </w:r>
          </w:p>
        </w:tc>
        <w:tc>
          <w:tcPr>
            <w:tcW w:w="0" w:type="auto"/>
            <w:vMerge w:val="continue"/>
            <w:vAlign w:val="center"/>
          </w:tcPr>
          <w:p w14:paraId="5EE8FF70">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B9C5FE7">
            <w:pPr>
              <w:widowControl w:val="0"/>
              <w:jc w:val="center"/>
              <w:rPr>
                <w:szCs w:val="21"/>
              </w:rPr>
            </w:pPr>
            <w:r>
              <w:t>SE</w:t>
            </w:r>
          </w:p>
        </w:tc>
        <w:tc>
          <w:tcPr>
            <w:tcW w:w="0" w:type="auto"/>
            <w:shd w:val="clear" w:color="auto" w:fill="auto"/>
            <w:vAlign w:val="center"/>
          </w:tcPr>
          <w:p w14:paraId="2917F032">
            <w:pPr>
              <w:widowControl w:val="0"/>
              <w:jc w:val="center"/>
              <w:rPr>
                <w:szCs w:val="21"/>
              </w:rPr>
            </w:pPr>
            <w:r>
              <w:t>2060</w:t>
            </w:r>
          </w:p>
        </w:tc>
        <w:tc>
          <w:tcPr>
            <w:tcW w:w="0" w:type="auto"/>
            <w:shd w:val="clear" w:color="auto" w:fill="auto"/>
            <w:vAlign w:val="center"/>
          </w:tcPr>
          <w:p w14:paraId="16666863">
            <w:pPr>
              <w:widowControl w:val="0"/>
              <w:jc w:val="center"/>
              <w:rPr>
                <w:szCs w:val="21"/>
              </w:rPr>
            </w:pPr>
            <w:r>
              <w:t>-148</w:t>
            </w:r>
          </w:p>
        </w:tc>
        <w:tc>
          <w:tcPr>
            <w:tcW w:w="0" w:type="auto"/>
            <w:vMerge w:val="continue"/>
            <w:vAlign w:val="center"/>
          </w:tcPr>
          <w:p w14:paraId="71BF569C">
            <w:pPr>
              <w:widowControl w:val="0"/>
              <w:jc w:val="center"/>
              <w:rPr>
                <w:rFonts w:ascii="宋体" w:hAnsi="宋体"/>
                <w:color w:val="000000" w:themeColor="text1"/>
                <w:szCs w:val="21"/>
                <w14:textFill>
                  <w14:solidFill>
                    <w14:schemeClr w14:val="tx1"/>
                  </w14:solidFill>
                </w14:textFill>
              </w:rPr>
            </w:pPr>
          </w:p>
        </w:tc>
      </w:tr>
      <w:tr w14:paraId="162D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D142BBF">
            <w:pPr>
              <w:widowControl w:val="0"/>
              <w:jc w:val="center"/>
              <w:rPr>
                <w:szCs w:val="21"/>
              </w:rPr>
            </w:pPr>
            <w:r>
              <w:rPr>
                <w:rFonts w:hint="eastAsia"/>
              </w:rPr>
              <w:t>33#</w:t>
            </w:r>
          </w:p>
        </w:tc>
        <w:tc>
          <w:tcPr>
            <w:tcW w:w="0" w:type="auto"/>
            <w:shd w:val="clear" w:color="auto" w:fill="auto"/>
            <w:vAlign w:val="center"/>
          </w:tcPr>
          <w:p w14:paraId="79DF080A">
            <w:pPr>
              <w:widowControl w:val="0"/>
              <w:jc w:val="center"/>
              <w:rPr>
                <w:szCs w:val="21"/>
              </w:rPr>
            </w:pPr>
            <w:r>
              <w:rPr>
                <w:rFonts w:hint="eastAsia"/>
              </w:rPr>
              <w:t>大石板湾</w:t>
            </w:r>
          </w:p>
        </w:tc>
        <w:tc>
          <w:tcPr>
            <w:tcW w:w="0" w:type="auto"/>
            <w:shd w:val="clear" w:color="auto" w:fill="auto"/>
            <w:vAlign w:val="center"/>
          </w:tcPr>
          <w:p w14:paraId="7C4456AC">
            <w:pPr>
              <w:widowControl w:val="0"/>
              <w:jc w:val="center"/>
              <w:rPr>
                <w:szCs w:val="21"/>
              </w:rPr>
            </w:pPr>
            <w:r>
              <w:rPr>
                <w:rFonts w:hint="eastAsia"/>
              </w:rPr>
              <w:t>107.023401</w:t>
            </w:r>
          </w:p>
        </w:tc>
        <w:tc>
          <w:tcPr>
            <w:tcW w:w="0" w:type="auto"/>
            <w:shd w:val="clear" w:color="auto" w:fill="auto"/>
            <w:vAlign w:val="center"/>
          </w:tcPr>
          <w:p w14:paraId="64BE0C2D">
            <w:pPr>
              <w:widowControl w:val="0"/>
              <w:jc w:val="center"/>
              <w:rPr>
                <w:szCs w:val="21"/>
              </w:rPr>
            </w:pPr>
            <w:r>
              <w:rPr>
                <w:rFonts w:hint="eastAsia"/>
              </w:rPr>
              <w:t>31.793300</w:t>
            </w:r>
          </w:p>
        </w:tc>
        <w:tc>
          <w:tcPr>
            <w:tcW w:w="0" w:type="auto"/>
            <w:shd w:val="clear" w:color="auto" w:fill="auto"/>
            <w:vAlign w:val="center"/>
          </w:tcPr>
          <w:p w14:paraId="69E618C0">
            <w:pPr>
              <w:widowControl w:val="0"/>
              <w:jc w:val="center"/>
              <w:rPr>
                <w:szCs w:val="21"/>
              </w:rPr>
            </w:pPr>
            <w:r>
              <w:rPr>
                <w:rFonts w:hint="eastAsia"/>
              </w:rPr>
              <w:t>约130人</w:t>
            </w:r>
          </w:p>
        </w:tc>
        <w:tc>
          <w:tcPr>
            <w:tcW w:w="0" w:type="auto"/>
            <w:vMerge w:val="continue"/>
            <w:vAlign w:val="center"/>
          </w:tcPr>
          <w:p w14:paraId="3B506800">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16B29135">
            <w:pPr>
              <w:widowControl w:val="0"/>
              <w:jc w:val="center"/>
              <w:rPr>
                <w:szCs w:val="21"/>
              </w:rPr>
            </w:pPr>
            <w:r>
              <w:t>SE</w:t>
            </w:r>
          </w:p>
        </w:tc>
        <w:tc>
          <w:tcPr>
            <w:tcW w:w="0" w:type="auto"/>
            <w:shd w:val="clear" w:color="auto" w:fill="auto"/>
            <w:vAlign w:val="center"/>
          </w:tcPr>
          <w:p w14:paraId="5B79637C">
            <w:pPr>
              <w:widowControl w:val="0"/>
              <w:jc w:val="center"/>
              <w:rPr>
                <w:szCs w:val="21"/>
              </w:rPr>
            </w:pPr>
            <w:r>
              <w:t>2347</w:t>
            </w:r>
          </w:p>
        </w:tc>
        <w:tc>
          <w:tcPr>
            <w:tcW w:w="0" w:type="auto"/>
            <w:shd w:val="clear" w:color="auto" w:fill="auto"/>
            <w:vAlign w:val="center"/>
          </w:tcPr>
          <w:p w14:paraId="5AEA85F4">
            <w:pPr>
              <w:widowControl w:val="0"/>
              <w:jc w:val="center"/>
              <w:rPr>
                <w:szCs w:val="21"/>
              </w:rPr>
            </w:pPr>
            <w:r>
              <w:t>-72</w:t>
            </w:r>
          </w:p>
        </w:tc>
        <w:tc>
          <w:tcPr>
            <w:tcW w:w="0" w:type="auto"/>
            <w:vMerge w:val="continue"/>
            <w:vAlign w:val="center"/>
          </w:tcPr>
          <w:p w14:paraId="7221CFC8">
            <w:pPr>
              <w:widowControl w:val="0"/>
              <w:jc w:val="center"/>
              <w:rPr>
                <w:rFonts w:ascii="宋体" w:hAnsi="宋体"/>
                <w:color w:val="000000" w:themeColor="text1"/>
                <w:szCs w:val="21"/>
                <w14:textFill>
                  <w14:solidFill>
                    <w14:schemeClr w14:val="tx1"/>
                  </w14:solidFill>
                </w14:textFill>
              </w:rPr>
            </w:pPr>
          </w:p>
        </w:tc>
      </w:tr>
      <w:tr w14:paraId="14ED7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AC485C0">
            <w:pPr>
              <w:widowControl w:val="0"/>
              <w:jc w:val="center"/>
              <w:rPr>
                <w:szCs w:val="21"/>
              </w:rPr>
            </w:pPr>
            <w:r>
              <w:rPr>
                <w:rFonts w:hint="eastAsia"/>
              </w:rPr>
              <w:t>34#</w:t>
            </w:r>
          </w:p>
        </w:tc>
        <w:tc>
          <w:tcPr>
            <w:tcW w:w="0" w:type="auto"/>
            <w:shd w:val="clear" w:color="auto" w:fill="auto"/>
            <w:vAlign w:val="center"/>
          </w:tcPr>
          <w:p w14:paraId="604C0618">
            <w:pPr>
              <w:widowControl w:val="0"/>
              <w:jc w:val="center"/>
              <w:rPr>
                <w:szCs w:val="21"/>
              </w:rPr>
            </w:pPr>
            <w:r>
              <w:rPr>
                <w:rFonts w:hint="eastAsia"/>
              </w:rPr>
              <w:t>陈家湾</w:t>
            </w:r>
          </w:p>
        </w:tc>
        <w:tc>
          <w:tcPr>
            <w:tcW w:w="0" w:type="auto"/>
            <w:shd w:val="clear" w:color="auto" w:fill="auto"/>
            <w:vAlign w:val="center"/>
          </w:tcPr>
          <w:p w14:paraId="5F929D8F">
            <w:pPr>
              <w:widowControl w:val="0"/>
              <w:jc w:val="center"/>
              <w:rPr>
                <w:szCs w:val="21"/>
              </w:rPr>
            </w:pPr>
            <w:r>
              <w:rPr>
                <w:rFonts w:hint="eastAsia"/>
              </w:rPr>
              <w:t>107.003703</w:t>
            </w:r>
          </w:p>
        </w:tc>
        <w:tc>
          <w:tcPr>
            <w:tcW w:w="0" w:type="auto"/>
            <w:shd w:val="clear" w:color="auto" w:fill="auto"/>
            <w:vAlign w:val="center"/>
          </w:tcPr>
          <w:p w14:paraId="16B364CC">
            <w:pPr>
              <w:widowControl w:val="0"/>
              <w:jc w:val="center"/>
              <w:rPr>
                <w:szCs w:val="21"/>
              </w:rPr>
            </w:pPr>
            <w:r>
              <w:rPr>
                <w:rFonts w:hint="eastAsia"/>
              </w:rPr>
              <w:t>31.805354</w:t>
            </w:r>
          </w:p>
        </w:tc>
        <w:tc>
          <w:tcPr>
            <w:tcW w:w="0" w:type="auto"/>
            <w:shd w:val="clear" w:color="auto" w:fill="auto"/>
            <w:vAlign w:val="center"/>
          </w:tcPr>
          <w:p w14:paraId="7B2EA485">
            <w:pPr>
              <w:widowControl w:val="0"/>
              <w:jc w:val="center"/>
              <w:rPr>
                <w:szCs w:val="21"/>
              </w:rPr>
            </w:pPr>
            <w:r>
              <w:rPr>
                <w:rFonts w:hint="eastAsia"/>
              </w:rPr>
              <w:t>约15人</w:t>
            </w:r>
          </w:p>
        </w:tc>
        <w:tc>
          <w:tcPr>
            <w:tcW w:w="0" w:type="auto"/>
            <w:vMerge w:val="continue"/>
            <w:vAlign w:val="center"/>
          </w:tcPr>
          <w:p w14:paraId="476A8E4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DE145AF">
            <w:pPr>
              <w:widowControl w:val="0"/>
              <w:jc w:val="center"/>
              <w:rPr>
                <w:szCs w:val="21"/>
              </w:rPr>
            </w:pPr>
            <w:r>
              <w:t>E</w:t>
            </w:r>
          </w:p>
        </w:tc>
        <w:tc>
          <w:tcPr>
            <w:tcW w:w="0" w:type="auto"/>
            <w:shd w:val="clear" w:color="auto" w:fill="auto"/>
            <w:vAlign w:val="center"/>
          </w:tcPr>
          <w:p w14:paraId="263B2923">
            <w:pPr>
              <w:widowControl w:val="0"/>
              <w:jc w:val="center"/>
              <w:rPr>
                <w:szCs w:val="21"/>
              </w:rPr>
            </w:pPr>
            <w:r>
              <w:t>251</w:t>
            </w:r>
          </w:p>
        </w:tc>
        <w:tc>
          <w:tcPr>
            <w:tcW w:w="0" w:type="auto"/>
            <w:shd w:val="clear" w:color="auto" w:fill="auto"/>
            <w:vAlign w:val="center"/>
          </w:tcPr>
          <w:p w14:paraId="46A5E008">
            <w:pPr>
              <w:widowControl w:val="0"/>
              <w:jc w:val="center"/>
              <w:rPr>
                <w:szCs w:val="21"/>
              </w:rPr>
            </w:pPr>
            <w:r>
              <w:t>73</w:t>
            </w:r>
          </w:p>
        </w:tc>
        <w:tc>
          <w:tcPr>
            <w:tcW w:w="0" w:type="auto"/>
            <w:vMerge w:val="continue"/>
            <w:vAlign w:val="center"/>
          </w:tcPr>
          <w:p w14:paraId="64907536">
            <w:pPr>
              <w:widowControl w:val="0"/>
              <w:jc w:val="center"/>
              <w:rPr>
                <w:rFonts w:ascii="宋体" w:hAnsi="宋体"/>
                <w:color w:val="000000" w:themeColor="text1"/>
                <w:szCs w:val="21"/>
                <w14:textFill>
                  <w14:solidFill>
                    <w14:schemeClr w14:val="tx1"/>
                  </w14:solidFill>
                </w14:textFill>
              </w:rPr>
            </w:pPr>
          </w:p>
        </w:tc>
      </w:tr>
      <w:tr w14:paraId="0A4D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1C185E7">
            <w:pPr>
              <w:widowControl w:val="0"/>
              <w:jc w:val="center"/>
              <w:rPr>
                <w:szCs w:val="21"/>
              </w:rPr>
            </w:pPr>
            <w:r>
              <w:rPr>
                <w:rFonts w:hint="eastAsia"/>
              </w:rPr>
              <w:t>35#</w:t>
            </w:r>
          </w:p>
        </w:tc>
        <w:tc>
          <w:tcPr>
            <w:tcW w:w="0" w:type="auto"/>
            <w:shd w:val="clear" w:color="auto" w:fill="auto"/>
            <w:vAlign w:val="center"/>
          </w:tcPr>
          <w:p w14:paraId="683AC229">
            <w:pPr>
              <w:widowControl w:val="0"/>
              <w:jc w:val="center"/>
              <w:rPr>
                <w:szCs w:val="21"/>
              </w:rPr>
            </w:pPr>
            <w:r>
              <w:rPr>
                <w:rFonts w:hint="eastAsia"/>
              </w:rPr>
              <w:t>天宫村</w:t>
            </w:r>
          </w:p>
        </w:tc>
        <w:tc>
          <w:tcPr>
            <w:tcW w:w="0" w:type="auto"/>
            <w:shd w:val="clear" w:color="auto" w:fill="auto"/>
            <w:vAlign w:val="center"/>
          </w:tcPr>
          <w:p w14:paraId="31379788">
            <w:pPr>
              <w:widowControl w:val="0"/>
              <w:jc w:val="center"/>
              <w:rPr>
                <w:szCs w:val="21"/>
              </w:rPr>
            </w:pPr>
            <w:r>
              <w:rPr>
                <w:rFonts w:hint="eastAsia"/>
              </w:rPr>
              <w:t>107.010655</w:t>
            </w:r>
          </w:p>
        </w:tc>
        <w:tc>
          <w:tcPr>
            <w:tcW w:w="0" w:type="auto"/>
            <w:shd w:val="clear" w:color="auto" w:fill="auto"/>
            <w:vAlign w:val="center"/>
          </w:tcPr>
          <w:p w14:paraId="3CBD00D1">
            <w:pPr>
              <w:widowControl w:val="0"/>
              <w:jc w:val="center"/>
              <w:rPr>
                <w:szCs w:val="21"/>
              </w:rPr>
            </w:pPr>
            <w:r>
              <w:rPr>
                <w:rFonts w:hint="eastAsia"/>
              </w:rPr>
              <w:t>31.805628</w:t>
            </w:r>
          </w:p>
        </w:tc>
        <w:tc>
          <w:tcPr>
            <w:tcW w:w="0" w:type="auto"/>
            <w:shd w:val="clear" w:color="auto" w:fill="auto"/>
            <w:vAlign w:val="center"/>
          </w:tcPr>
          <w:p w14:paraId="39D5258C">
            <w:pPr>
              <w:widowControl w:val="0"/>
              <w:jc w:val="center"/>
              <w:rPr>
                <w:szCs w:val="21"/>
              </w:rPr>
            </w:pPr>
            <w:r>
              <w:rPr>
                <w:rFonts w:hint="eastAsia"/>
              </w:rPr>
              <w:t>约230人</w:t>
            </w:r>
          </w:p>
        </w:tc>
        <w:tc>
          <w:tcPr>
            <w:tcW w:w="0" w:type="auto"/>
            <w:vMerge w:val="continue"/>
            <w:vAlign w:val="center"/>
          </w:tcPr>
          <w:p w14:paraId="410E3A9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9EB48D7">
            <w:pPr>
              <w:widowControl w:val="0"/>
              <w:jc w:val="center"/>
              <w:rPr>
                <w:szCs w:val="21"/>
              </w:rPr>
            </w:pPr>
            <w:r>
              <w:t>E</w:t>
            </w:r>
          </w:p>
        </w:tc>
        <w:tc>
          <w:tcPr>
            <w:tcW w:w="0" w:type="auto"/>
            <w:shd w:val="clear" w:color="auto" w:fill="auto"/>
            <w:vAlign w:val="center"/>
          </w:tcPr>
          <w:p w14:paraId="3256359A">
            <w:pPr>
              <w:widowControl w:val="0"/>
              <w:jc w:val="center"/>
              <w:rPr>
                <w:szCs w:val="21"/>
              </w:rPr>
            </w:pPr>
            <w:r>
              <w:t>940</w:t>
            </w:r>
          </w:p>
        </w:tc>
        <w:tc>
          <w:tcPr>
            <w:tcW w:w="0" w:type="auto"/>
            <w:shd w:val="clear" w:color="auto" w:fill="auto"/>
            <w:vAlign w:val="center"/>
          </w:tcPr>
          <w:p w14:paraId="30531217">
            <w:pPr>
              <w:widowControl w:val="0"/>
              <w:jc w:val="center"/>
              <w:rPr>
                <w:szCs w:val="21"/>
              </w:rPr>
            </w:pPr>
            <w:r>
              <w:t>-119</w:t>
            </w:r>
          </w:p>
        </w:tc>
        <w:tc>
          <w:tcPr>
            <w:tcW w:w="0" w:type="auto"/>
            <w:vMerge w:val="continue"/>
            <w:vAlign w:val="center"/>
          </w:tcPr>
          <w:p w14:paraId="7DE9B838">
            <w:pPr>
              <w:widowControl w:val="0"/>
              <w:jc w:val="center"/>
              <w:rPr>
                <w:rFonts w:ascii="宋体" w:hAnsi="宋体"/>
                <w:color w:val="000000" w:themeColor="text1"/>
                <w:szCs w:val="21"/>
                <w14:textFill>
                  <w14:solidFill>
                    <w14:schemeClr w14:val="tx1"/>
                  </w14:solidFill>
                </w14:textFill>
              </w:rPr>
            </w:pPr>
          </w:p>
        </w:tc>
      </w:tr>
      <w:tr w14:paraId="1DAAB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5C9C81A">
            <w:pPr>
              <w:widowControl w:val="0"/>
              <w:jc w:val="center"/>
              <w:rPr>
                <w:szCs w:val="21"/>
              </w:rPr>
            </w:pPr>
            <w:r>
              <w:rPr>
                <w:rFonts w:hint="eastAsia"/>
              </w:rPr>
              <w:t>36#</w:t>
            </w:r>
          </w:p>
        </w:tc>
        <w:tc>
          <w:tcPr>
            <w:tcW w:w="0" w:type="auto"/>
            <w:shd w:val="clear" w:color="auto" w:fill="auto"/>
            <w:vAlign w:val="center"/>
          </w:tcPr>
          <w:p w14:paraId="290E38D5">
            <w:pPr>
              <w:widowControl w:val="0"/>
              <w:jc w:val="center"/>
              <w:rPr>
                <w:szCs w:val="21"/>
              </w:rPr>
            </w:pPr>
            <w:r>
              <w:rPr>
                <w:rFonts w:hint="eastAsia"/>
              </w:rPr>
              <w:t>水宁村-1</w:t>
            </w:r>
          </w:p>
        </w:tc>
        <w:tc>
          <w:tcPr>
            <w:tcW w:w="0" w:type="auto"/>
            <w:shd w:val="clear" w:color="auto" w:fill="auto"/>
            <w:vAlign w:val="center"/>
          </w:tcPr>
          <w:p w14:paraId="21A6FD60">
            <w:pPr>
              <w:widowControl w:val="0"/>
              <w:jc w:val="center"/>
              <w:rPr>
                <w:szCs w:val="21"/>
              </w:rPr>
            </w:pPr>
            <w:r>
              <w:rPr>
                <w:rFonts w:hint="eastAsia"/>
              </w:rPr>
              <w:t>107.041777</w:t>
            </w:r>
          </w:p>
        </w:tc>
        <w:tc>
          <w:tcPr>
            <w:tcW w:w="0" w:type="auto"/>
            <w:shd w:val="clear" w:color="auto" w:fill="auto"/>
            <w:vAlign w:val="center"/>
          </w:tcPr>
          <w:p w14:paraId="1E5315FB">
            <w:pPr>
              <w:widowControl w:val="0"/>
              <w:jc w:val="center"/>
              <w:rPr>
                <w:szCs w:val="21"/>
              </w:rPr>
            </w:pPr>
            <w:r>
              <w:rPr>
                <w:rFonts w:hint="eastAsia"/>
              </w:rPr>
              <w:t>31.824937</w:t>
            </w:r>
          </w:p>
        </w:tc>
        <w:tc>
          <w:tcPr>
            <w:tcW w:w="0" w:type="auto"/>
            <w:shd w:val="clear" w:color="auto" w:fill="auto"/>
            <w:vAlign w:val="center"/>
          </w:tcPr>
          <w:p w14:paraId="747F0A4F">
            <w:pPr>
              <w:widowControl w:val="0"/>
              <w:jc w:val="center"/>
              <w:rPr>
                <w:szCs w:val="21"/>
              </w:rPr>
            </w:pPr>
            <w:r>
              <w:rPr>
                <w:rFonts w:hint="eastAsia"/>
              </w:rPr>
              <w:t>约60人</w:t>
            </w:r>
          </w:p>
        </w:tc>
        <w:tc>
          <w:tcPr>
            <w:tcW w:w="0" w:type="auto"/>
            <w:vMerge w:val="continue"/>
            <w:vAlign w:val="center"/>
          </w:tcPr>
          <w:p w14:paraId="48BB678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87F25AB">
            <w:pPr>
              <w:widowControl w:val="0"/>
              <w:jc w:val="center"/>
              <w:rPr>
                <w:szCs w:val="21"/>
              </w:rPr>
            </w:pPr>
            <w:r>
              <w:t>NE</w:t>
            </w:r>
          </w:p>
        </w:tc>
        <w:tc>
          <w:tcPr>
            <w:tcW w:w="0" w:type="auto"/>
            <w:shd w:val="clear" w:color="auto" w:fill="auto"/>
            <w:vAlign w:val="center"/>
          </w:tcPr>
          <w:p w14:paraId="20D4EE7C">
            <w:pPr>
              <w:widowControl w:val="0"/>
              <w:jc w:val="center"/>
              <w:rPr>
                <w:szCs w:val="21"/>
              </w:rPr>
            </w:pPr>
            <w:r>
              <w:t>2319</w:t>
            </w:r>
          </w:p>
        </w:tc>
        <w:tc>
          <w:tcPr>
            <w:tcW w:w="0" w:type="auto"/>
            <w:shd w:val="clear" w:color="auto" w:fill="auto"/>
            <w:vAlign w:val="center"/>
          </w:tcPr>
          <w:p w14:paraId="23CDCAF6">
            <w:pPr>
              <w:widowControl w:val="0"/>
              <w:jc w:val="center"/>
              <w:rPr>
                <w:szCs w:val="21"/>
              </w:rPr>
            </w:pPr>
            <w:r>
              <w:t>-79</w:t>
            </w:r>
          </w:p>
        </w:tc>
        <w:tc>
          <w:tcPr>
            <w:tcW w:w="0" w:type="auto"/>
            <w:vMerge w:val="continue"/>
            <w:vAlign w:val="center"/>
          </w:tcPr>
          <w:p w14:paraId="28F016E3">
            <w:pPr>
              <w:widowControl w:val="0"/>
              <w:jc w:val="center"/>
              <w:rPr>
                <w:rFonts w:ascii="宋体" w:hAnsi="宋体"/>
                <w:color w:val="000000" w:themeColor="text1"/>
                <w:szCs w:val="21"/>
                <w14:textFill>
                  <w14:solidFill>
                    <w14:schemeClr w14:val="tx1"/>
                  </w14:solidFill>
                </w14:textFill>
              </w:rPr>
            </w:pPr>
          </w:p>
        </w:tc>
      </w:tr>
      <w:tr w14:paraId="651E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77931A9">
            <w:pPr>
              <w:widowControl w:val="0"/>
              <w:jc w:val="center"/>
              <w:rPr>
                <w:szCs w:val="21"/>
              </w:rPr>
            </w:pPr>
            <w:r>
              <w:rPr>
                <w:rFonts w:hint="eastAsia"/>
              </w:rPr>
              <w:t>37#</w:t>
            </w:r>
          </w:p>
        </w:tc>
        <w:tc>
          <w:tcPr>
            <w:tcW w:w="0" w:type="auto"/>
            <w:shd w:val="clear" w:color="auto" w:fill="auto"/>
            <w:vAlign w:val="center"/>
          </w:tcPr>
          <w:p w14:paraId="6F72D90A">
            <w:pPr>
              <w:widowControl w:val="0"/>
              <w:jc w:val="center"/>
              <w:rPr>
                <w:szCs w:val="21"/>
              </w:rPr>
            </w:pPr>
            <w:r>
              <w:rPr>
                <w:rFonts w:hint="eastAsia"/>
              </w:rPr>
              <w:t>水宁村-2</w:t>
            </w:r>
          </w:p>
        </w:tc>
        <w:tc>
          <w:tcPr>
            <w:tcW w:w="0" w:type="auto"/>
            <w:shd w:val="clear" w:color="auto" w:fill="auto"/>
            <w:vAlign w:val="center"/>
          </w:tcPr>
          <w:p w14:paraId="23FD3AC3">
            <w:pPr>
              <w:widowControl w:val="0"/>
              <w:jc w:val="center"/>
              <w:rPr>
                <w:szCs w:val="21"/>
              </w:rPr>
            </w:pPr>
            <w:r>
              <w:rPr>
                <w:rFonts w:hint="eastAsia"/>
              </w:rPr>
              <w:t>107.024152</w:t>
            </w:r>
          </w:p>
        </w:tc>
        <w:tc>
          <w:tcPr>
            <w:tcW w:w="0" w:type="auto"/>
            <w:shd w:val="clear" w:color="auto" w:fill="auto"/>
            <w:vAlign w:val="center"/>
          </w:tcPr>
          <w:p w14:paraId="44C4147F">
            <w:pPr>
              <w:widowControl w:val="0"/>
              <w:jc w:val="center"/>
              <w:rPr>
                <w:szCs w:val="21"/>
              </w:rPr>
            </w:pPr>
            <w:r>
              <w:rPr>
                <w:rFonts w:hint="eastAsia"/>
              </w:rPr>
              <w:t>31.827239</w:t>
            </w:r>
          </w:p>
        </w:tc>
        <w:tc>
          <w:tcPr>
            <w:tcW w:w="0" w:type="auto"/>
            <w:shd w:val="clear" w:color="auto" w:fill="auto"/>
            <w:vAlign w:val="center"/>
          </w:tcPr>
          <w:p w14:paraId="315314D2">
            <w:pPr>
              <w:widowControl w:val="0"/>
              <w:jc w:val="center"/>
              <w:rPr>
                <w:szCs w:val="21"/>
              </w:rPr>
            </w:pPr>
            <w:r>
              <w:rPr>
                <w:rFonts w:hint="eastAsia"/>
              </w:rPr>
              <w:t>约20人</w:t>
            </w:r>
          </w:p>
        </w:tc>
        <w:tc>
          <w:tcPr>
            <w:tcW w:w="0" w:type="auto"/>
            <w:vMerge w:val="continue"/>
            <w:vAlign w:val="center"/>
          </w:tcPr>
          <w:p w14:paraId="5B52771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5B03734">
            <w:pPr>
              <w:widowControl w:val="0"/>
              <w:jc w:val="center"/>
              <w:rPr>
                <w:szCs w:val="21"/>
              </w:rPr>
            </w:pPr>
            <w:r>
              <w:t>NE</w:t>
            </w:r>
          </w:p>
        </w:tc>
        <w:tc>
          <w:tcPr>
            <w:tcW w:w="0" w:type="auto"/>
            <w:shd w:val="clear" w:color="auto" w:fill="auto"/>
            <w:vAlign w:val="center"/>
          </w:tcPr>
          <w:p w14:paraId="54428B0C">
            <w:pPr>
              <w:widowControl w:val="0"/>
              <w:jc w:val="center"/>
              <w:rPr>
                <w:szCs w:val="21"/>
              </w:rPr>
            </w:pPr>
            <w:r>
              <w:t>3113</w:t>
            </w:r>
          </w:p>
        </w:tc>
        <w:tc>
          <w:tcPr>
            <w:tcW w:w="0" w:type="auto"/>
            <w:shd w:val="clear" w:color="auto" w:fill="auto"/>
            <w:vAlign w:val="center"/>
          </w:tcPr>
          <w:p w14:paraId="17DD3E4D">
            <w:pPr>
              <w:widowControl w:val="0"/>
              <w:jc w:val="center"/>
              <w:rPr>
                <w:szCs w:val="21"/>
              </w:rPr>
            </w:pPr>
            <w:r>
              <w:t>11</w:t>
            </w:r>
          </w:p>
        </w:tc>
        <w:tc>
          <w:tcPr>
            <w:tcW w:w="0" w:type="auto"/>
            <w:vMerge w:val="continue"/>
            <w:vAlign w:val="center"/>
          </w:tcPr>
          <w:p w14:paraId="1DABDBE1">
            <w:pPr>
              <w:widowControl w:val="0"/>
              <w:jc w:val="center"/>
              <w:rPr>
                <w:rFonts w:ascii="宋体" w:hAnsi="宋体"/>
                <w:color w:val="000000" w:themeColor="text1"/>
                <w:szCs w:val="21"/>
                <w14:textFill>
                  <w14:solidFill>
                    <w14:schemeClr w14:val="tx1"/>
                  </w14:solidFill>
                </w14:textFill>
              </w:rPr>
            </w:pPr>
          </w:p>
        </w:tc>
      </w:tr>
      <w:tr w14:paraId="4027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200AB1C">
            <w:pPr>
              <w:widowControl w:val="0"/>
              <w:jc w:val="center"/>
              <w:rPr>
                <w:szCs w:val="21"/>
              </w:rPr>
            </w:pPr>
            <w:r>
              <w:rPr>
                <w:rFonts w:hint="eastAsia"/>
              </w:rPr>
              <w:t>38#</w:t>
            </w:r>
          </w:p>
        </w:tc>
        <w:tc>
          <w:tcPr>
            <w:tcW w:w="0" w:type="auto"/>
            <w:shd w:val="clear" w:color="auto" w:fill="auto"/>
            <w:vAlign w:val="center"/>
          </w:tcPr>
          <w:p w14:paraId="4EB12FA8">
            <w:pPr>
              <w:widowControl w:val="0"/>
              <w:jc w:val="center"/>
              <w:rPr>
                <w:szCs w:val="21"/>
              </w:rPr>
            </w:pPr>
            <w:r>
              <w:rPr>
                <w:rFonts w:hint="eastAsia"/>
              </w:rPr>
              <w:t>何家湾</w:t>
            </w:r>
          </w:p>
        </w:tc>
        <w:tc>
          <w:tcPr>
            <w:tcW w:w="0" w:type="auto"/>
            <w:shd w:val="clear" w:color="auto" w:fill="auto"/>
            <w:vAlign w:val="center"/>
          </w:tcPr>
          <w:p w14:paraId="7E7E1BBD">
            <w:pPr>
              <w:widowControl w:val="0"/>
              <w:jc w:val="center"/>
              <w:rPr>
                <w:szCs w:val="21"/>
              </w:rPr>
            </w:pPr>
            <w:r>
              <w:rPr>
                <w:rFonts w:hint="eastAsia"/>
              </w:rPr>
              <w:t>107.020912</w:t>
            </w:r>
          </w:p>
        </w:tc>
        <w:tc>
          <w:tcPr>
            <w:tcW w:w="0" w:type="auto"/>
            <w:shd w:val="clear" w:color="auto" w:fill="auto"/>
            <w:vAlign w:val="center"/>
          </w:tcPr>
          <w:p w14:paraId="46FB2E73">
            <w:pPr>
              <w:widowControl w:val="0"/>
              <w:jc w:val="center"/>
              <w:rPr>
                <w:szCs w:val="21"/>
              </w:rPr>
            </w:pPr>
            <w:r>
              <w:rPr>
                <w:rFonts w:hint="eastAsia"/>
              </w:rPr>
              <w:t>31.820434</w:t>
            </w:r>
          </w:p>
        </w:tc>
        <w:tc>
          <w:tcPr>
            <w:tcW w:w="0" w:type="auto"/>
            <w:shd w:val="clear" w:color="auto" w:fill="auto"/>
            <w:vAlign w:val="center"/>
          </w:tcPr>
          <w:p w14:paraId="2D31D74F">
            <w:pPr>
              <w:widowControl w:val="0"/>
              <w:jc w:val="center"/>
              <w:rPr>
                <w:szCs w:val="21"/>
              </w:rPr>
            </w:pPr>
            <w:r>
              <w:rPr>
                <w:rFonts w:hint="eastAsia"/>
              </w:rPr>
              <w:t>约170人</w:t>
            </w:r>
          </w:p>
        </w:tc>
        <w:tc>
          <w:tcPr>
            <w:tcW w:w="0" w:type="auto"/>
            <w:vMerge w:val="continue"/>
            <w:vAlign w:val="center"/>
          </w:tcPr>
          <w:p w14:paraId="6C1DA9E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90B98DF">
            <w:pPr>
              <w:widowControl w:val="0"/>
              <w:jc w:val="center"/>
              <w:rPr>
                <w:szCs w:val="21"/>
              </w:rPr>
            </w:pPr>
            <w:r>
              <w:t>NE</w:t>
            </w:r>
          </w:p>
        </w:tc>
        <w:tc>
          <w:tcPr>
            <w:tcW w:w="0" w:type="auto"/>
            <w:shd w:val="clear" w:color="auto" w:fill="auto"/>
            <w:vAlign w:val="center"/>
          </w:tcPr>
          <w:p w14:paraId="5CF48564">
            <w:pPr>
              <w:widowControl w:val="0"/>
              <w:jc w:val="center"/>
              <w:rPr>
                <w:szCs w:val="21"/>
              </w:rPr>
            </w:pPr>
            <w:r>
              <w:t>2199</w:t>
            </w:r>
          </w:p>
        </w:tc>
        <w:tc>
          <w:tcPr>
            <w:tcW w:w="0" w:type="auto"/>
            <w:shd w:val="clear" w:color="auto" w:fill="auto"/>
            <w:vAlign w:val="center"/>
          </w:tcPr>
          <w:p w14:paraId="2BAE3A20">
            <w:pPr>
              <w:widowControl w:val="0"/>
              <w:jc w:val="center"/>
              <w:rPr>
                <w:szCs w:val="21"/>
              </w:rPr>
            </w:pPr>
            <w:r>
              <w:t>19</w:t>
            </w:r>
          </w:p>
        </w:tc>
        <w:tc>
          <w:tcPr>
            <w:tcW w:w="0" w:type="auto"/>
            <w:vMerge w:val="continue"/>
            <w:vAlign w:val="center"/>
          </w:tcPr>
          <w:p w14:paraId="55F8AD93">
            <w:pPr>
              <w:widowControl w:val="0"/>
              <w:jc w:val="center"/>
              <w:rPr>
                <w:rFonts w:ascii="宋体" w:hAnsi="宋体"/>
                <w:color w:val="000000" w:themeColor="text1"/>
                <w:szCs w:val="21"/>
                <w14:textFill>
                  <w14:solidFill>
                    <w14:schemeClr w14:val="tx1"/>
                  </w14:solidFill>
                </w14:textFill>
              </w:rPr>
            </w:pPr>
          </w:p>
        </w:tc>
      </w:tr>
      <w:tr w14:paraId="747E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025D8DA8">
            <w:pPr>
              <w:widowControl w:val="0"/>
              <w:jc w:val="center"/>
              <w:rPr>
                <w:szCs w:val="21"/>
              </w:rPr>
            </w:pPr>
            <w:r>
              <w:rPr>
                <w:rFonts w:hint="eastAsia"/>
              </w:rPr>
              <w:t>39#</w:t>
            </w:r>
          </w:p>
        </w:tc>
        <w:tc>
          <w:tcPr>
            <w:tcW w:w="0" w:type="auto"/>
            <w:shd w:val="clear" w:color="auto" w:fill="auto"/>
            <w:vAlign w:val="center"/>
          </w:tcPr>
          <w:p w14:paraId="5A1006D9">
            <w:pPr>
              <w:widowControl w:val="0"/>
              <w:jc w:val="center"/>
              <w:rPr>
                <w:szCs w:val="21"/>
              </w:rPr>
            </w:pPr>
            <w:r>
              <w:rPr>
                <w:rFonts w:hint="eastAsia"/>
              </w:rPr>
              <w:t>谢家湾-1</w:t>
            </w:r>
          </w:p>
        </w:tc>
        <w:tc>
          <w:tcPr>
            <w:tcW w:w="0" w:type="auto"/>
            <w:shd w:val="clear" w:color="auto" w:fill="auto"/>
            <w:vAlign w:val="center"/>
          </w:tcPr>
          <w:p w14:paraId="33E3A21B">
            <w:pPr>
              <w:widowControl w:val="0"/>
              <w:jc w:val="center"/>
              <w:rPr>
                <w:szCs w:val="21"/>
              </w:rPr>
            </w:pPr>
            <w:r>
              <w:rPr>
                <w:rFonts w:hint="eastAsia"/>
              </w:rPr>
              <w:t>107.018166</w:t>
            </w:r>
          </w:p>
        </w:tc>
        <w:tc>
          <w:tcPr>
            <w:tcW w:w="0" w:type="auto"/>
            <w:shd w:val="clear" w:color="auto" w:fill="auto"/>
            <w:vAlign w:val="center"/>
          </w:tcPr>
          <w:p w14:paraId="3ECEA62C">
            <w:pPr>
              <w:widowControl w:val="0"/>
              <w:jc w:val="center"/>
              <w:rPr>
                <w:szCs w:val="21"/>
              </w:rPr>
            </w:pPr>
            <w:r>
              <w:rPr>
                <w:rFonts w:hint="eastAsia"/>
              </w:rPr>
              <w:t>31.809786</w:t>
            </w:r>
          </w:p>
        </w:tc>
        <w:tc>
          <w:tcPr>
            <w:tcW w:w="0" w:type="auto"/>
            <w:shd w:val="clear" w:color="auto" w:fill="auto"/>
            <w:vAlign w:val="center"/>
          </w:tcPr>
          <w:p w14:paraId="18C9C0F3">
            <w:pPr>
              <w:widowControl w:val="0"/>
              <w:jc w:val="center"/>
              <w:rPr>
                <w:szCs w:val="21"/>
              </w:rPr>
            </w:pPr>
            <w:r>
              <w:rPr>
                <w:rFonts w:hint="eastAsia"/>
              </w:rPr>
              <w:t>约120人</w:t>
            </w:r>
          </w:p>
        </w:tc>
        <w:tc>
          <w:tcPr>
            <w:tcW w:w="0" w:type="auto"/>
            <w:vMerge w:val="continue"/>
            <w:vAlign w:val="center"/>
          </w:tcPr>
          <w:p w14:paraId="0EFBF163">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26824E6">
            <w:pPr>
              <w:widowControl w:val="0"/>
              <w:jc w:val="center"/>
              <w:rPr>
                <w:szCs w:val="21"/>
              </w:rPr>
            </w:pPr>
            <w:r>
              <w:t>NE</w:t>
            </w:r>
          </w:p>
        </w:tc>
        <w:tc>
          <w:tcPr>
            <w:tcW w:w="0" w:type="auto"/>
            <w:shd w:val="clear" w:color="auto" w:fill="auto"/>
            <w:vAlign w:val="center"/>
          </w:tcPr>
          <w:p w14:paraId="205C85C4">
            <w:pPr>
              <w:widowControl w:val="0"/>
              <w:jc w:val="center"/>
              <w:rPr>
                <w:szCs w:val="21"/>
              </w:rPr>
            </w:pPr>
            <w:r>
              <w:t>1803</w:t>
            </w:r>
          </w:p>
        </w:tc>
        <w:tc>
          <w:tcPr>
            <w:tcW w:w="0" w:type="auto"/>
            <w:shd w:val="clear" w:color="auto" w:fill="auto"/>
            <w:vAlign w:val="center"/>
          </w:tcPr>
          <w:p w14:paraId="18846D92">
            <w:pPr>
              <w:widowControl w:val="0"/>
              <w:jc w:val="center"/>
              <w:rPr>
                <w:szCs w:val="21"/>
              </w:rPr>
            </w:pPr>
            <w:r>
              <w:t>-31</w:t>
            </w:r>
          </w:p>
        </w:tc>
        <w:tc>
          <w:tcPr>
            <w:tcW w:w="0" w:type="auto"/>
            <w:vMerge w:val="continue"/>
            <w:vAlign w:val="center"/>
          </w:tcPr>
          <w:p w14:paraId="2B6C4AD0">
            <w:pPr>
              <w:widowControl w:val="0"/>
              <w:jc w:val="center"/>
              <w:rPr>
                <w:rFonts w:ascii="宋体" w:hAnsi="宋体"/>
                <w:color w:val="000000" w:themeColor="text1"/>
                <w:szCs w:val="21"/>
                <w14:textFill>
                  <w14:solidFill>
                    <w14:schemeClr w14:val="tx1"/>
                  </w14:solidFill>
                </w14:textFill>
              </w:rPr>
            </w:pPr>
          </w:p>
        </w:tc>
      </w:tr>
      <w:tr w14:paraId="3FA8E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CD0B7D1">
            <w:pPr>
              <w:widowControl w:val="0"/>
              <w:jc w:val="center"/>
              <w:rPr>
                <w:szCs w:val="21"/>
              </w:rPr>
            </w:pPr>
            <w:r>
              <w:rPr>
                <w:rFonts w:hint="eastAsia"/>
              </w:rPr>
              <w:t>40#</w:t>
            </w:r>
          </w:p>
        </w:tc>
        <w:tc>
          <w:tcPr>
            <w:tcW w:w="0" w:type="auto"/>
            <w:shd w:val="clear" w:color="auto" w:fill="auto"/>
            <w:vAlign w:val="center"/>
          </w:tcPr>
          <w:p w14:paraId="2E28B3E1">
            <w:pPr>
              <w:widowControl w:val="0"/>
              <w:jc w:val="center"/>
              <w:rPr>
                <w:szCs w:val="21"/>
              </w:rPr>
            </w:pPr>
            <w:r>
              <w:rPr>
                <w:rFonts w:hint="eastAsia"/>
              </w:rPr>
              <w:t>谢家湾-2</w:t>
            </w:r>
          </w:p>
        </w:tc>
        <w:tc>
          <w:tcPr>
            <w:tcW w:w="0" w:type="auto"/>
            <w:shd w:val="clear" w:color="auto" w:fill="auto"/>
            <w:vAlign w:val="center"/>
          </w:tcPr>
          <w:p w14:paraId="6A89883E">
            <w:pPr>
              <w:widowControl w:val="0"/>
              <w:jc w:val="center"/>
              <w:rPr>
                <w:szCs w:val="21"/>
              </w:rPr>
            </w:pPr>
            <w:r>
              <w:rPr>
                <w:rFonts w:hint="eastAsia"/>
              </w:rPr>
              <w:t>107.011943</w:t>
            </w:r>
          </w:p>
        </w:tc>
        <w:tc>
          <w:tcPr>
            <w:tcW w:w="0" w:type="auto"/>
            <w:shd w:val="clear" w:color="auto" w:fill="auto"/>
            <w:vAlign w:val="center"/>
          </w:tcPr>
          <w:p w14:paraId="393C93A2">
            <w:pPr>
              <w:widowControl w:val="0"/>
              <w:jc w:val="center"/>
              <w:rPr>
                <w:szCs w:val="21"/>
              </w:rPr>
            </w:pPr>
            <w:r>
              <w:rPr>
                <w:rFonts w:hint="eastAsia"/>
              </w:rPr>
              <w:t>31.810515°</w:t>
            </w:r>
          </w:p>
        </w:tc>
        <w:tc>
          <w:tcPr>
            <w:tcW w:w="0" w:type="auto"/>
            <w:shd w:val="clear" w:color="auto" w:fill="auto"/>
            <w:vAlign w:val="center"/>
          </w:tcPr>
          <w:p w14:paraId="63F870E9">
            <w:pPr>
              <w:widowControl w:val="0"/>
              <w:jc w:val="center"/>
              <w:rPr>
                <w:szCs w:val="21"/>
              </w:rPr>
            </w:pPr>
            <w:r>
              <w:rPr>
                <w:rFonts w:hint="eastAsia"/>
              </w:rPr>
              <w:t>约70人</w:t>
            </w:r>
          </w:p>
        </w:tc>
        <w:tc>
          <w:tcPr>
            <w:tcW w:w="0" w:type="auto"/>
            <w:vMerge w:val="continue"/>
            <w:vAlign w:val="center"/>
          </w:tcPr>
          <w:p w14:paraId="4D108A4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E960517">
            <w:pPr>
              <w:widowControl w:val="0"/>
              <w:jc w:val="center"/>
              <w:rPr>
                <w:szCs w:val="21"/>
              </w:rPr>
            </w:pPr>
            <w:r>
              <w:t>NE</w:t>
            </w:r>
          </w:p>
        </w:tc>
        <w:tc>
          <w:tcPr>
            <w:tcW w:w="0" w:type="auto"/>
            <w:shd w:val="clear" w:color="auto" w:fill="auto"/>
            <w:vAlign w:val="center"/>
          </w:tcPr>
          <w:p w14:paraId="2C4DEC6B">
            <w:pPr>
              <w:widowControl w:val="0"/>
              <w:jc w:val="center"/>
              <w:rPr>
                <w:szCs w:val="21"/>
              </w:rPr>
            </w:pPr>
            <w:r>
              <w:t>1533</w:t>
            </w:r>
          </w:p>
        </w:tc>
        <w:tc>
          <w:tcPr>
            <w:tcW w:w="0" w:type="auto"/>
            <w:shd w:val="clear" w:color="auto" w:fill="auto"/>
            <w:vAlign w:val="center"/>
          </w:tcPr>
          <w:p w14:paraId="44738D07">
            <w:pPr>
              <w:widowControl w:val="0"/>
              <w:jc w:val="center"/>
              <w:rPr>
                <w:szCs w:val="21"/>
              </w:rPr>
            </w:pPr>
            <w:r>
              <w:t>-68</w:t>
            </w:r>
          </w:p>
        </w:tc>
        <w:tc>
          <w:tcPr>
            <w:tcW w:w="0" w:type="auto"/>
            <w:vMerge w:val="continue"/>
            <w:vAlign w:val="center"/>
          </w:tcPr>
          <w:p w14:paraId="1FF61C50">
            <w:pPr>
              <w:widowControl w:val="0"/>
              <w:jc w:val="center"/>
              <w:rPr>
                <w:rFonts w:ascii="宋体" w:hAnsi="宋体"/>
                <w:color w:val="000000" w:themeColor="text1"/>
                <w:szCs w:val="21"/>
                <w14:textFill>
                  <w14:solidFill>
                    <w14:schemeClr w14:val="tx1"/>
                  </w14:solidFill>
                </w14:textFill>
              </w:rPr>
            </w:pPr>
          </w:p>
        </w:tc>
      </w:tr>
      <w:tr w14:paraId="4306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9225A7F">
            <w:pPr>
              <w:widowControl w:val="0"/>
              <w:jc w:val="center"/>
              <w:rPr>
                <w:szCs w:val="21"/>
              </w:rPr>
            </w:pPr>
            <w:r>
              <w:rPr>
                <w:rFonts w:hint="eastAsia"/>
              </w:rPr>
              <w:t>41#</w:t>
            </w:r>
          </w:p>
        </w:tc>
        <w:tc>
          <w:tcPr>
            <w:tcW w:w="0" w:type="auto"/>
            <w:shd w:val="clear" w:color="auto" w:fill="auto"/>
            <w:vAlign w:val="center"/>
          </w:tcPr>
          <w:p w14:paraId="35F6BF36">
            <w:pPr>
              <w:widowControl w:val="0"/>
              <w:jc w:val="center"/>
              <w:rPr>
                <w:szCs w:val="21"/>
              </w:rPr>
            </w:pPr>
            <w:r>
              <w:rPr>
                <w:rFonts w:hint="eastAsia"/>
              </w:rPr>
              <w:t>重田观-1</w:t>
            </w:r>
          </w:p>
        </w:tc>
        <w:tc>
          <w:tcPr>
            <w:tcW w:w="0" w:type="auto"/>
            <w:shd w:val="clear" w:color="auto" w:fill="auto"/>
            <w:vAlign w:val="center"/>
          </w:tcPr>
          <w:p w14:paraId="561244DF">
            <w:pPr>
              <w:widowControl w:val="0"/>
              <w:jc w:val="center"/>
              <w:rPr>
                <w:szCs w:val="21"/>
              </w:rPr>
            </w:pPr>
            <w:r>
              <w:rPr>
                <w:rFonts w:hint="eastAsia"/>
              </w:rPr>
              <w:t>107.003832</w:t>
            </w:r>
          </w:p>
        </w:tc>
        <w:tc>
          <w:tcPr>
            <w:tcW w:w="0" w:type="auto"/>
            <w:shd w:val="clear" w:color="auto" w:fill="auto"/>
            <w:vAlign w:val="center"/>
          </w:tcPr>
          <w:p w14:paraId="15E8F914">
            <w:pPr>
              <w:widowControl w:val="0"/>
              <w:jc w:val="center"/>
              <w:rPr>
                <w:szCs w:val="21"/>
              </w:rPr>
            </w:pPr>
            <w:r>
              <w:rPr>
                <w:rFonts w:hint="eastAsia"/>
              </w:rPr>
              <w:t>31.811336</w:t>
            </w:r>
          </w:p>
        </w:tc>
        <w:tc>
          <w:tcPr>
            <w:tcW w:w="0" w:type="auto"/>
            <w:shd w:val="clear" w:color="auto" w:fill="auto"/>
            <w:vAlign w:val="center"/>
          </w:tcPr>
          <w:p w14:paraId="25A8347B">
            <w:pPr>
              <w:widowControl w:val="0"/>
              <w:jc w:val="center"/>
              <w:rPr>
                <w:szCs w:val="21"/>
              </w:rPr>
            </w:pPr>
            <w:r>
              <w:rPr>
                <w:rFonts w:hint="eastAsia"/>
              </w:rPr>
              <w:t>约100人</w:t>
            </w:r>
          </w:p>
        </w:tc>
        <w:tc>
          <w:tcPr>
            <w:tcW w:w="0" w:type="auto"/>
            <w:vMerge w:val="continue"/>
            <w:vAlign w:val="center"/>
          </w:tcPr>
          <w:p w14:paraId="40F21FB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3B75878">
            <w:pPr>
              <w:widowControl w:val="0"/>
              <w:jc w:val="center"/>
              <w:rPr>
                <w:szCs w:val="21"/>
              </w:rPr>
            </w:pPr>
            <w:r>
              <w:t>NE</w:t>
            </w:r>
          </w:p>
        </w:tc>
        <w:tc>
          <w:tcPr>
            <w:tcW w:w="0" w:type="auto"/>
            <w:shd w:val="clear" w:color="auto" w:fill="auto"/>
            <w:vAlign w:val="center"/>
          </w:tcPr>
          <w:p w14:paraId="4BC9B4C8">
            <w:pPr>
              <w:widowControl w:val="0"/>
              <w:jc w:val="center"/>
              <w:rPr>
                <w:szCs w:val="21"/>
              </w:rPr>
            </w:pPr>
            <w:r>
              <w:t>385</w:t>
            </w:r>
          </w:p>
        </w:tc>
        <w:tc>
          <w:tcPr>
            <w:tcW w:w="0" w:type="auto"/>
            <w:shd w:val="clear" w:color="auto" w:fill="auto"/>
            <w:vAlign w:val="center"/>
          </w:tcPr>
          <w:p w14:paraId="1429378C">
            <w:pPr>
              <w:widowControl w:val="0"/>
              <w:jc w:val="center"/>
              <w:rPr>
                <w:szCs w:val="21"/>
              </w:rPr>
            </w:pPr>
            <w:r>
              <w:t>30</w:t>
            </w:r>
          </w:p>
        </w:tc>
        <w:tc>
          <w:tcPr>
            <w:tcW w:w="0" w:type="auto"/>
            <w:vMerge w:val="continue"/>
            <w:vAlign w:val="center"/>
          </w:tcPr>
          <w:p w14:paraId="0C44B600">
            <w:pPr>
              <w:widowControl w:val="0"/>
              <w:jc w:val="center"/>
              <w:rPr>
                <w:rFonts w:ascii="宋体" w:hAnsi="宋体"/>
                <w:color w:val="000000" w:themeColor="text1"/>
                <w:szCs w:val="21"/>
                <w14:textFill>
                  <w14:solidFill>
                    <w14:schemeClr w14:val="tx1"/>
                  </w14:solidFill>
                </w14:textFill>
              </w:rPr>
            </w:pPr>
          </w:p>
        </w:tc>
      </w:tr>
      <w:tr w14:paraId="6C98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B818397">
            <w:pPr>
              <w:widowControl w:val="0"/>
              <w:jc w:val="center"/>
              <w:rPr>
                <w:szCs w:val="21"/>
              </w:rPr>
            </w:pPr>
            <w:r>
              <w:rPr>
                <w:rFonts w:hint="eastAsia"/>
              </w:rPr>
              <w:t>42#</w:t>
            </w:r>
          </w:p>
        </w:tc>
        <w:tc>
          <w:tcPr>
            <w:tcW w:w="0" w:type="auto"/>
            <w:shd w:val="clear" w:color="auto" w:fill="auto"/>
            <w:vAlign w:val="center"/>
          </w:tcPr>
          <w:p w14:paraId="22A1F72C">
            <w:pPr>
              <w:widowControl w:val="0"/>
              <w:jc w:val="center"/>
              <w:rPr>
                <w:szCs w:val="21"/>
              </w:rPr>
            </w:pPr>
            <w:r>
              <w:rPr>
                <w:rFonts w:hint="eastAsia"/>
              </w:rPr>
              <w:t>重田观-2</w:t>
            </w:r>
          </w:p>
        </w:tc>
        <w:tc>
          <w:tcPr>
            <w:tcW w:w="0" w:type="auto"/>
            <w:shd w:val="clear" w:color="auto" w:fill="auto"/>
            <w:vAlign w:val="center"/>
          </w:tcPr>
          <w:p w14:paraId="3A94191E">
            <w:pPr>
              <w:widowControl w:val="0"/>
              <w:jc w:val="center"/>
              <w:rPr>
                <w:szCs w:val="21"/>
              </w:rPr>
            </w:pPr>
            <w:r>
              <w:rPr>
                <w:rFonts w:hint="eastAsia"/>
              </w:rPr>
              <w:t>107.002072</w:t>
            </w:r>
          </w:p>
        </w:tc>
        <w:tc>
          <w:tcPr>
            <w:tcW w:w="0" w:type="auto"/>
            <w:shd w:val="clear" w:color="auto" w:fill="auto"/>
            <w:vAlign w:val="center"/>
          </w:tcPr>
          <w:p w14:paraId="5E946E56">
            <w:pPr>
              <w:widowControl w:val="0"/>
              <w:jc w:val="center"/>
              <w:rPr>
                <w:szCs w:val="21"/>
              </w:rPr>
            </w:pPr>
            <w:r>
              <w:rPr>
                <w:rFonts w:hint="eastAsia"/>
              </w:rPr>
              <w:t>31.808473</w:t>
            </w:r>
          </w:p>
        </w:tc>
        <w:tc>
          <w:tcPr>
            <w:tcW w:w="0" w:type="auto"/>
            <w:shd w:val="clear" w:color="auto" w:fill="auto"/>
            <w:vAlign w:val="center"/>
          </w:tcPr>
          <w:p w14:paraId="7F59BC4B">
            <w:pPr>
              <w:widowControl w:val="0"/>
              <w:jc w:val="center"/>
              <w:rPr>
                <w:szCs w:val="21"/>
              </w:rPr>
            </w:pPr>
            <w:r>
              <w:rPr>
                <w:rFonts w:hint="eastAsia"/>
              </w:rPr>
              <w:t>约10人</w:t>
            </w:r>
          </w:p>
        </w:tc>
        <w:tc>
          <w:tcPr>
            <w:tcW w:w="0" w:type="auto"/>
            <w:vMerge w:val="continue"/>
            <w:vAlign w:val="center"/>
          </w:tcPr>
          <w:p w14:paraId="30998E65">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0DF889FE">
            <w:pPr>
              <w:widowControl w:val="0"/>
              <w:jc w:val="center"/>
              <w:rPr>
                <w:szCs w:val="21"/>
              </w:rPr>
            </w:pPr>
            <w:r>
              <w:t>NE</w:t>
            </w:r>
          </w:p>
        </w:tc>
        <w:tc>
          <w:tcPr>
            <w:tcW w:w="0" w:type="auto"/>
            <w:shd w:val="clear" w:color="auto" w:fill="auto"/>
            <w:vAlign w:val="center"/>
          </w:tcPr>
          <w:p w14:paraId="12D28BD3">
            <w:pPr>
              <w:widowControl w:val="0"/>
              <w:jc w:val="center"/>
              <w:rPr>
                <w:szCs w:val="21"/>
              </w:rPr>
            </w:pPr>
            <w:r>
              <w:t>236</w:t>
            </w:r>
          </w:p>
        </w:tc>
        <w:tc>
          <w:tcPr>
            <w:tcW w:w="0" w:type="auto"/>
            <w:shd w:val="clear" w:color="auto" w:fill="auto"/>
            <w:vAlign w:val="center"/>
          </w:tcPr>
          <w:p w14:paraId="324ADA1F">
            <w:pPr>
              <w:widowControl w:val="0"/>
              <w:jc w:val="center"/>
              <w:rPr>
                <w:szCs w:val="21"/>
              </w:rPr>
            </w:pPr>
            <w:r>
              <w:t>79</w:t>
            </w:r>
          </w:p>
        </w:tc>
        <w:tc>
          <w:tcPr>
            <w:tcW w:w="0" w:type="auto"/>
            <w:vMerge w:val="continue"/>
            <w:vAlign w:val="center"/>
          </w:tcPr>
          <w:p w14:paraId="7C9EA123">
            <w:pPr>
              <w:widowControl w:val="0"/>
              <w:jc w:val="center"/>
              <w:rPr>
                <w:rFonts w:ascii="宋体" w:hAnsi="宋体"/>
                <w:color w:val="000000" w:themeColor="text1"/>
                <w:szCs w:val="21"/>
                <w14:textFill>
                  <w14:solidFill>
                    <w14:schemeClr w14:val="tx1"/>
                  </w14:solidFill>
                </w14:textFill>
              </w:rPr>
            </w:pPr>
          </w:p>
        </w:tc>
      </w:tr>
      <w:tr w14:paraId="391C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5F0C3F1">
            <w:pPr>
              <w:widowControl w:val="0"/>
              <w:jc w:val="center"/>
              <w:rPr>
                <w:szCs w:val="21"/>
              </w:rPr>
            </w:pPr>
            <w:r>
              <w:rPr>
                <w:rFonts w:hint="eastAsia"/>
              </w:rPr>
              <w:t>43#</w:t>
            </w:r>
          </w:p>
        </w:tc>
        <w:tc>
          <w:tcPr>
            <w:tcW w:w="0" w:type="auto"/>
            <w:shd w:val="clear" w:color="auto" w:fill="auto"/>
            <w:vAlign w:val="center"/>
          </w:tcPr>
          <w:p w14:paraId="7099CDDD">
            <w:pPr>
              <w:widowControl w:val="0"/>
              <w:jc w:val="center"/>
              <w:rPr>
                <w:szCs w:val="21"/>
              </w:rPr>
            </w:pPr>
            <w:r>
              <w:rPr>
                <w:rFonts w:hint="eastAsia"/>
              </w:rPr>
              <w:t>重田观-3</w:t>
            </w:r>
          </w:p>
        </w:tc>
        <w:tc>
          <w:tcPr>
            <w:tcW w:w="0" w:type="auto"/>
            <w:shd w:val="clear" w:color="auto" w:fill="auto"/>
            <w:vAlign w:val="center"/>
          </w:tcPr>
          <w:p w14:paraId="577B84E7">
            <w:pPr>
              <w:widowControl w:val="0"/>
              <w:jc w:val="center"/>
              <w:rPr>
                <w:szCs w:val="21"/>
              </w:rPr>
            </w:pPr>
            <w:r>
              <w:rPr>
                <w:rFonts w:hint="eastAsia"/>
              </w:rPr>
              <w:t>107.004304</w:t>
            </w:r>
          </w:p>
        </w:tc>
        <w:tc>
          <w:tcPr>
            <w:tcW w:w="0" w:type="auto"/>
            <w:shd w:val="clear" w:color="auto" w:fill="auto"/>
            <w:vAlign w:val="center"/>
          </w:tcPr>
          <w:p w14:paraId="38A6883B">
            <w:pPr>
              <w:widowControl w:val="0"/>
              <w:jc w:val="center"/>
              <w:rPr>
                <w:szCs w:val="21"/>
              </w:rPr>
            </w:pPr>
            <w:r>
              <w:rPr>
                <w:rFonts w:hint="eastAsia"/>
              </w:rPr>
              <w:t>31.808345</w:t>
            </w:r>
          </w:p>
        </w:tc>
        <w:tc>
          <w:tcPr>
            <w:tcW w:w="0" w:type="auto"/>
            <w:shd w:val="clear" w:color="auto" w:fill="auto"/>
            <w:vAlign w:val="center"/>
          </w:tcPr>
          <w:p w14:paraId="67C51201">
            <w:pPr>
              <w:widowControl w:val="0"/>
              <w:jc w:val="center"/>
              <w:rPr>
                <w:szCs w:val="21"/>
              </w:rPr>
            </w:pPr>
            <w:r>
              <w:rPr>
                <w:rFonts w:hint="eastAsia"/>
              </w:rPr>
              <w:t>3人</w:t>
            </w:r>
          </w:p>
        </w:tc>
        <w:tc>
          <w:tcPr>
            <w:tcW w:w="0" w:type="auto"/>
            <w:vMerge w:val="continue"/>
            <w:vAlign w:val="center"/>
          </w:tcPr>
          <w:p w14:paraId="0E5090A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3C9F371">
            <w:pPr>
              <w:widowControl w:val="0"/>
              <w:jc w:val="center"/>
              <w:rPr>
                <w:szCs w:val="21"/>
              </w:rPr>
            </w:pPr>
            <w:r>
              <w:t>NE</w:t>
            </w:r>
          </w:p>
        </w:tc>
        <w:tc>
          <w:tcPr>
            <w:tcW w:w="0" w:type="auto"/>
            <w:shd w:val="clear" w:color="auto" w:fill="auto"/>
            <w:vAlign w:val="center"/>
          </w:tcPr>
          <w:p w14:paraId="358D064D">
            <w:pPr>
              <w:widowControl w:val="0"/>
              <w:jc w:val="center"/>
              <w:rPr>
                <w:szCs w:val="21"/>
              </w:rPr>
            </w:pPr>
            <w:r>
              <w:t>411</w:t>
            </w:r>
          </w:p>
        </w:tc>
        <w:tc>
          <w:tcPr>
            <w:tcW w:w="0" w:type="auto"/>
            <w:shd w:val="clear" w:color="auto" w:fill="auto"/>
            <w:vAlign w:val="center"/>
          </w:tcPr>
          <w:p w14:paraId="7E37800D">
            <w:pPr>
              <w:widowControl w:val="0"/>
              <w:jc w:val="center"/>
              <w:rPr>
                <w:szCs w:val="21"/>
              </w:rPr>
            </w:pPr>
            <w:r>
              <w:t>92</w:t>
            </w:r>
          </w:p>
        </w:tc>
        <w:tc>
          <w:tcPr>
            <w:tcW w:w="0" w:type="auto"/>
            <w:vMerge w:val="continue"/>
            <w:vAlign w:val="center"/>
          </w:tcPr>
          <w:p w14:paraId="323868E3">
            <w:pPr>
              <w:widowControl w:val="0"/>
              <w:jc w:val="center"/>
              <w:rPr>
                <w:rFonts w:ascii="宋体" w:hAnsi="宋体"/>
                <w:color w:val="000000" w:themeColor="text1"/>
                <w:szCs w:val="21"/>
                <w14:textFill>
                  <w14:solidFill>
                    <w14:schemeClr w14:val="tx1"/>
                  </w14:solidFill>
                </w14:textFill>
              </w:rPr>
            </w:pPr>
          </w:p>
        </w:tc>
      </w:tr>
      <w:tr w14:paraId="6A68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48624BF7">
            <w:pPr>
              <w:widowControl w:val="0"/>
              <w:jc w:val="center"/>
              <w:rPr>
                <w:szCs w:val="21"/>
              </w:rPr>
            </w:pPr>
            <w:r>
              <w:rPr>
                <w:rFonts w:hint="eastAsia"/>
              </w:rPr>
              <w:t>44#</w:t>
            </w:r>
          </w:p>
        </w:tc>
        <w:tc>
          <w:tcPr>
            <w:tcW w:w="0" w:type="auto"/>
            <w:shd w:val="clear" w:color="auto" w:fill="auto"/>
            <w:vAlign w:val="center"/>
          </w:tcPr>
          <w:p w14:paraId="7E092508">
            <w:pPr>
              <w:widowControl w:val="0"/>
              <w:jc w:val="center"/>
              <w:rPr>
                <w:szCs w:val="21"/>
              </w:rPr>
            </w:pPr>
            <w:r>
              <w:rPr>
                <w:rFonts w:hint="eastAsia"/>
              </w:rPr>
              <w:t>重田观-4</w:t>
            </w:r>
          </w:p>
        </w:tc>
        <w:tc>
          <w:tcPr>
            <w:tcW w:w="0" w:type="auto"/>
            <w:shd w:val="clear" w:color="auto" w:fill="auto"/>
            <w:vAlign w:val="center"/>
          </w:tcPr>
          <w:p w14:paraId="3FDEB019">
            <w:pPr>
              <w:widowControl w:val="0"/>
              <w:jc w:val="center"/>
              <w:rPr>
                <w:szCs w:val="21"/>
              </w:rPr>
            </w:pPr>
            <w:r>
              <w:rPr>
                <w:rFonts w:hint="eastAsia"/>
              </w:rPr>
              <w:t>107.009797</w:t>
            </w:r>
          </w:p>
        </w:tc>
        <w:tc>
          <w:tcPr>
            <w:tcW w:w="0" w:type="auto"/>
            <w:shd w:val="clear" w:color="auto" w:fill="auto"/>
            <w:vAlign w:val="center"/>
          </w:tcPr>
          <w:p w14:paraId="5D16833A">
            <w:pPr>
              <w:widowControl w:val="0"/>
              <w:jc w:val="center"/>
              <w:rPr>
                <w:szCs w:val="21"/>
              </w:rPr>
            </w:pPr>
            <w:r>
              <w:rPr>
                <w:rFonts w:hint="eastAsia"/>
              </w:rPr>
              <w:t>31.815529</w:t>
            </w:r>
          </w:p>
        </w:tc>
        <w:tc>
          <w:tcPr>
            <w:tcW w:w="0" w:type="auto"/>
            <w:shd w:val="clear" w:color="auto" w:fill="auto"/>
            <w:vAlign w:val="center"/>
          </w:tcPr>
          <w:p w14:paraId="43B5213C">
            <w:pPr>
              <w:widowControl w:val="0"/>
              <w:jc w:val="center"/>
              <w:rPr>
                <w:szCs w:val="21"/>
              </w:rPr>
            </w:pPr>
            <w:r>
              <w:rPr>
                <w:rFonts w:hint="eastAsia"/>
              </w:rPr>
              <w:t>约20人</w:t>
            </w:r>
          </w:p>
        </w:tc>
        <w:tc>
          <w:tcPr>
            <w:tcW w:w="0" w:type="auto"/>
            <w:vMerge w:val="continue"/>
            <w:vAlign w:val="center"/>
          </w:tcPr>
          <w:p w14:paraId="16C8DA7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27278CD">
            <w:pPr>
              <w:widowControl w:val="0"/>
              <w:jc w:val="center"/>
              <w:rPr>
                <w:szCs w:val="21"/>
              </w:rPr>
            </w:pPr>
            <w:r>
              <w:t>NE</w:t>
            </w:r>
          </w:p>
        </w:tc>
        <w:tc>
          <w:tcPr>
            <w:tcW w:w="0" w:type="auto"/>
            <w:shd w:val="clear" w:color="auto" w:fill="auto"/>
            <w:vAlign w:val="center"/>
          </w:tcPr>
          <w:p w14:paraId="6C911B53">
            <w:pPr>
              <w:widowControl w:val="0"/>
              <w:jc w:val="center"/>
              <w:rPr>
                <w:szCs w:val="21"/>
              </w:rPr>
            </w:pPr>
            <w:r>
              <w:t>1256</w:t>
            </w:r>
          </w:p>
        </w:tc>
        <w:tc>
          <w:tcPr>
            <w:tcW w:w="0" w:type="auto"/>
            <w:shd w:val="clear" w:color="auto" w:fill="auto"/>
            <w:vAlign w:val="center"/>
          </w:tcPr>
          <w:p w14:paraId="15D22A9A">
            <w:pPr>
              <w:widowControl w:val="0"/>
              <w:jc w:val="center"/>
              <w:rPr>
                <w:szCs w:val="21"/>
              </w:rPr>
            </w:pPr>
            <w:r>
              <w:t>-4</w:t>
            </w:r>
          </w:p>
        </w:tc>
        <w:tc>
          <w:tcPr>
            <w:tcW w:w="0" w:type="auto"/>
            <w:vMerge w:val="continue"/>
            <w:vAlign w:val="center"/>
          </w:tcPr>
          <w:p w14:paraId="3AB91BB4">
            <w:pPr>
              <w:widowControl w:val="0"/>
              <w:jc w:val="center"/>
              <w:rPr>
                <w:rFonts w:ascii="宋体" w:hAnsi="宋体"/>
                <w:color w:val="000000" w:themeColor="text1"/>
                <w:szCs w:val="21"/>
                <w14:textFill>
                  <w14:solidFill>
                    <w14:schemeClr w14:val="tx1"/>
                  </w14:solidFill>
                </w14:textFill>
              </w:rPr>
            </w:pPr>
          </w:p>
        </w:tc>
      </w:tr>
      <w:tr w14:paraId="1097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0522CF1">
            <w:pPr>
              <w:widowControl w:val="0"/>
              <w:jc w:val="center"/>
              <w:rPr>
                <w:szCs w:val="21"/>
              </w:rPr>
            </w:pPr>
            <w:r>
              <w:rPr>
                <w:rFonts w:hint="eastAsia"/>
              </w:rPr>
              <w:t>45#</w:t>
            </w:r>
          </w:p>
        </w:tc>
        <w:tc>
          <w:tcPr>
            <w:tcW w:w="0" w:type="auto"/>
            <w:shd w:val="clear" w:color="auto" w:fill="auto"/>
            <w:vAlign w:val="center"/>
          </w:tcPr>
          <w:p w14:paraId="3B92D592">
            <w:pPr>
              <w:widowControl w:val="0"/>
              <w:jc w:val="center"/>
              <w:rPr>
                <w:szCs w:val="21"/>
              </w:rPr>
            </w:pPr>
            <w:r>
              <w:rPr>
                <w:rFonts w:hint="eastAsia"/>
              </w:rPr>
              <w:t>石咀子-1</w:t>
            </w:r>
          </w:p>
        </w:tc>
        <w:tc>
          <w:tcPr>
            <w:tcW w:w="0" w:type="auto"/>
            <w:shd w:val="clear" w:color="auto" w:fill="auto"/>
            <w:vAlign w:val="center"/>
          </w:tcPr>
          <w:p w14:paraId="0B18087A">
            <w:pPr>
              <w:widowControl w:val="0"/>
              <w:jc w:val="center"/>
              <w:rPr>
                <w:szCs w:val="21"/>
              </w:rPr>
            </w:pPr>
            <w:r>
              <w:rPr>
                <w:rFonts w:hint="eastAsia"/>
              </w:rPr>
              <w:t>107.007351</w:t>
            </w:r>
          </w:p>
        </w:tc>
        <w:tc>
          <w:tcPr>
            <w:tcW w:w="0" w:type="auto"/>
            <w:shd w:val="clear" w:color="auto" w:fill="auto"/>
            <w:vAlign w:val="center"/>
          </w:tcPr>
          <w:p w14:paraId="3409D9E8">
            <w:pPr>
              <w:widowControl w:val="0"/>
              <w:jc w:val="center"/>
              <w:rPr>
                <w:szCs w:val="21"/>
              </w:rPr>
            </w:pPr>
            <w:r>
              <w:rPr>
                <w:rFonts w:hint="eastAsia"/>
              </w:rPr>
              <w:t>31.825065</w:t>
            </w:r>
          </w:p>
        </w:tc>
        <w:tc>
          <w:tcPr>
            <w:tcW w:w="0" w:type="auto"/>
            <w:shd w:val="clear" w:color="auto" w:fill="auto"/>
            <w:vAlign w:val="center"/>
          </w:tcPr>
          <w:p w14:paraId="78F96BD9">
            <w:pPr>
              <w:widowControl w:val="0"/>
              <w:jc w:val="center"/>
              <w:rPr>
                <w:szCs w:val="21"/>
              </w:rPr>
            </w:pPr>
            <w:r>
              <w:rPr>
                <w:rFonts w:hint="eastAsia"/>
              </w:rPr>
              <w:t>约50人</w:t>
            </w:r>
          </w:p>
        </w:tc>
        <w:tc>
          <w:tcPr>
            <w:tcW w:w="0" w:type="auto"/>
            <w:vMerge w:val="continue"/>
            <w:vAlign w:val="center"/>
          </w:tcPr>
          <w:p w14:paraId="13AB6A7B">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220B3E5">
            <w:pPr>
              <w:widowControl w:val="0"/>
              <w:jc w:val="center"/>
              <w:rPr>
                <w:szCs w:val="21"/>
              </w:rPr>
            </w:pPr>
            <w:r>
              <w:t>NE</w:t>
            </w:r>
          </w:p>
        </w:tc>
        <w:tc>
          <w:tcPr>
            <w:tcW w:w="0" w:type="auto"/>
            <w:shd w:val="clear" w:color="auto" w:fill="auto"/>
            <w:vAlign w:val="center"/>
          </w:tcPr>
          <w:p w14:paraId="2BA22F69">
            <w:pPr>
              <w:widowControl w:val="0"/>
              <w:jc w:val="center"/>
              <w:rPr>
                <w:szCs w:val="21"/>
              </w:rPr>
            </w:pPr>
            <w:r>
              <w:t>1945</w:t>
            </w:r>
          </w:p>
        </w:tc>
        <w:tc>
          <w:tcPr>
            <w:tcW w:w="0" w:type="auto"/>
            <w:shd w:val="clear" w:color="auto" w:fill="auto"/>
            <w:vAlign w:val="center"/>
          </w:tcPr>
          <w:p w14:paraId="0801931C">
            <w:pPr>
              <w:widowControl w:val="0"/>
              <w:jc w:val="center"/>
              <w:rPr>
                <w:szCs w:val="21"/>
              </w:rPr>
            </w:pPr>
            <w:r>
              <w:t>-11</w:t>
            </w:r>
          </w:p>
        </w:tc>
        <w:tc>
          <w:tcPr>
            <w:tcW w:w="0" w:type="auto"/>
            <w:vMerge w:val="continue"/>
            <w:vAlign w:val="center"/>
          </w:tcPr>
          <w:p w14:paraId="3F7542FB">
            <w:pPr>
              <w:widowControl w:val="0"/>
              <w:jc w:val="center"/>
              <w:rPr>
                <w:rFonts w:ascii="宋体" w:hAnsi="宋体"/>
                <w:color w:val="000000" w:themeColor="text1"/>
                <w:szCs w:val="21"/>
                <w14:textFill>
                  <w14:solidFill>
                    <w14:schemeClr w14:val="tx1"/>
                  </w14:solidFill>
                </w14:textFill>
              </w:rPr>
            </w:pPr>
          </w:p>
        </w:tc>
      </w:tr>
      <w:tr w14:paraId="79B3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70B23773">
            <w:pPr>
              <w:widowControl w:val="0"/>
              <w:jc w:val="center"/>
              <w:rPr>
                <w:szCs w:val="21"/>
              </w:rPr>
            </w:pPr>
            <w:r>
              <w:rPr>
                <w:rFonts w:hint="eastAsia"/>
              </w:rPr>
              <w:t>46#</w:t>
            </w:r>
          </w:p>
        </w:tc>
        <w:tc>
          <w:tcPr>
            <w:tcW w:w="0" w:type="auto"/>
            <w:shd w:val="clear" w:color="auto" w:fill="auto"/>
            <w:vAlign w:val="center"/>
          </w:tcPr>
          <w:p w14:paraId="000628F9">
            <w:pPr>
              <w:widowControl w:val="0"/>
              <w:jc w:val="center"/>
              <w:rPr>
                <w:szCs w:val="21"/>
              </w:rPr>
            </w:pPr>
            <w:r>
              <w:rPr>
                <w:rFonts w:hint="eastAsia"/>
              </w:rPr>
              <w:t>石咀子-2</w:t>
            </w:r>
          </w:p>
        </w:tc>
        <w:tc>
          <w:tcPr>
            <w:tcW w:w="0" w:type="auto"/>
            <w:shd w:val="clear" w:color="auto" w:fill="auto"/>
            <w:vAlign w:val="center"/>
          </w:tcPr>
          <w:p w14:paraId="075E850B">
            <w:pPr>
              <w:widowControl w:val="0"/>
              <w:jc w:val="center"/>
              <w:rPr>
                <w:szCs w:val="21"/>
              </w:rPr>
            </w:pPr>
            <w:r>
              <w:rPr>
                <w:rFonts w:hint="eastAsia"/>
              </w:rPr>
              <w:t>107.013273</w:t>
            </w:r>
          </w:p>
        </w:tc>
        <w:tc>
          <w:tcPr>
            <w:tcW w:w="0" w:type="auto"/>
            <w:shd w:val="clear" w:color="auto" w:fill="auto"/>
            <w:vAlign w:val="center"/>
          </w:tcPr>
          <w:p w14:paraId="5022AD65">
            <w:pPr>
              <w:widowControl w:val="0"/>
              <w:jc w:val="center"/>
              <w:rPr>
                <w:szCs w:val="21"/>
              </w:rPr>
            </w:pPr>
            <w:r>
              <w:rPr>
                <w:rFonts w:hint="eastAsia"/>
              </w:rPr>
              <w:t>31.826524</w:t>
            </w:r>
          </w:p>
        </w:tc>
        <w:tc>
          <w:tcPr>
            <w:tcW w:w="0" w:type="auto"/>
            <w:shd w:val="clear" w:color="auto" w:fill="auto"/>
            <w:vAlign w:val="center"/>
          </w:tcPr>
          <w:p w14:paraId="5D62DE3D">
            <w:pPr>
              <w:widowControl w:val="0"/>
              <w:jc w:val="center"/>
              <w:rPr>
                <w:szCs w:val="21"/>
              </w:rPr>
            </w:pPr>
            <w:r>
              <w:rPr>
                <w:rFonts w:hint="eastAsia"/>
              </w:rPr>
              <w:t>约40人</w:t>
            </w:r>
          </w:p>
        </w:tc>
        <w:tc>
          <w:tcPr>
            <w:tcW w:w="0" w:type="auto"/>
            <w:vMerge w:val="continue"/>
            <w:vAlign w:val="center"/>
          </w:tcPr>
          <w:p w14:paraId="34F4BD0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C047A7B">
            <w:pPr>
              <w:widowControl w:val="0"/>
              <w:jc w:val="center"/>
              <w:rPr>
                <w:szCs w:val="21"/>
              </w:rPr>
            </w:pPr>
            <w:r>
              <w:t>NE</w:t>
            </w:r>
          </w:p>
        </w:tc>
        <w:tc>
          <w:tcPr>
            <w:tcW w:w="0" w:type="auto"/>
            <w:shd w:val="clear" w:color="auto" w:fill="auto"/>
            <w:vAlign w:val="center"/>
          </w:tcPr>
          <w:p w14:paraId="42DB785B">
            <w:pPr>
              <w:widowControl w:val="0"/>
              <w:jc w:val="center"/>
              <w:rPr>
                <w:szCs w:val="21"/>
              </w:rPr>
            </w:pPr>
            <w:r>
              <w:t>2439</w:t>
            </w:r>
          </w:p>
        </w:tc>
        <w:tc>
          <w:tcPr>
            <w:tcW w:w="0" w:type="auto"/>
            <w:shd w:val="clear" w:color="auto" w:fill="auto"/>
            <w:vAlign w:val="center"/>
          </w:tcPr>
          <w:p w14:paraId="78A51352">
            <w:pPr>
              <w:widowControl w:val="0"/>
              <w:jc w:val="center"/>
              <w:rPr>
                <w:szCs w:val="21"/>
              </w:rPr>
            </w:pPr>
            <w:r>
              <w:t>-4</w:t>
            </w:r>
          </w:p>
        </w:tc>
        <w:tc>
          <w:tcPr>
            <w:tcW w:w="0" w:type="auto"/>
            <w:vMerge w:val="continue"/>
            <w:vAlign w:val="center"/>
          </w:tcPr>
          <w:p w14:paraId="6FE32FF1">
            <w:pPr>
              <w:widowControl w:val="0"/>
              <w:jc w:val="center"/>
              <w:rPr>
                <w:rFonts w:ascii="宋体" w:hAnsi="宋体"/>
                <w:color w:val="000000" w:themeColor="text1"/>
                <w:szCs w:val="21"/>
                <w14:textFill>
                  <w14:solidFill>
                    <w14:schemeClr w14:val="tx1"/>
                  </w14:solidFill>
                </w14:textFill>
              </w:rPr>
            </w:pPr>
          </w:p>
        </w:tc>
      </w:tr>
      <w:tr w14:paraId="6C955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E4FCA3E">
            <w:pPr>
              <w:widowControl w:val="0"/>
              <w:jc w:val="center"/>
              <w:rPr>
                <w:szCs w:val="21"/>
              </w:rPr>
            </w:pPr>
            <w:r>
              <w:rPr>
                <w:rFonts w:hint="eastAsia"/>
              </w:rPr>
              <w:t>47#</w:t>
            </w:r>
          </w:p>
        </w:tc>
        <w:tc>
          <w:tcPr>
            <w:tcW w:w="0" w:type="auto"/>
            <w:shd w:val="clear" w:color="auto" w:fill="auto"/>
            <w:vAlign w:val="center"/>
          </w:tcPr>
          <w:p w14:paraId="460E85EA">
            <w:pPr>
              <w:widowControl w:val="0"/>
              <w:jc w:val="center"/>
              <w:rPr>
                <w:szCs w:val="21"/>
              </w:rPr>
            </w:pPr>
            <w:r>
              <w:rPr>
                <w:rFonts w:hint="eastAsia"/>
              </w:rPr>
              <w:t>唐家沟-1</w:t>
            </w:r>
          </w:p>
        </w:tc>
        <w:tc>
          <w:tcPr>
            <w:tcW w:w="0" w:type="auto"/>
            <w:shd w:val="clear" w:color="auto" w:fill="auto"/>
            <w:vAlign w:val="center"/>
          </w:tcPr>
          <w:p w14:paraId="3634303C">
            <w:pPr>
              <w:widowControl w:val="0"/>
              <w:jc w:val="center"/>
              <w:rPr>
                <w:szCs w:val="21"/>
              </w:rPr>
            </w:pPr>
            <w:r>
              <w:rPr>
                <w:rFonts w:hint="eastAsia"/>
              </w:rPr>
              <w:t>106.999111</w:t>
            </w:r>
          </w:p>
        </w:tc>
        <w:tc>
          <w:tcPr>
            <w:tcW w:w="0" w:type="auto"/>
            <w:shd w:val="clear" w:color="auto" w:fill="auto"/>
            <w:vAlign w:val="center"/>
          </w:tcPr>
          <w:p w14:paraId="0B2B398E">
            <w:pPr>
              <w:widowControl w:val="0"/>
              <w:jc w:val="center"/>
              <w:rPr>
                <w:szCs w:val="21"/>
              </w:rPr>
            </w:pPr>
            <w:r>
              <w:rPr>
                <w:rFonts w:hint="eastAsia"/>
              </w:rPr>
              <w:t>31.809822</w:t>
            </w:r>
          </w:p>
        </w:tc>
        <w:tc>
          <w:tcPr>
            <w:tcW w:w="0" w:type="auto"/>
            <w:shd w:val="clear" w:color="auto" w:fill="auto"/>
            <w:vAlign w:val="center"/>
          </w:tcPr>
          <w:p w14:paraId="144BA234">
            <w:pPr>
              <w:widowControl w:val="0"/>
              <w:jc w:val="center"/>
              <w:rPr>
                <w:szCs w:val="21"/>
              </w:rPr>
            </w:pPr>
            <w:r>
              <w:rPr>
                <w:rFonts w:hint="eastAsia"/>
              </w:rPr>
              <w:t>约10人</w:t>
            </w:r>
          </w:p>
        </w:tc>
        <w:tc>
          <w:tcPr>
            <w:tcW w:w="0" w:type="auto"/>
            <w:vMerge w:val="continue"/>
            <w:vAlign w:val="center"/>
          </w:tcPr>
          <w:p w14:paraId="349A5F69">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14B13AA">
            <w:pPr>
              <w:widowControl w:val="0"/>
              <w:jc w:val="center"/>
              <w:rPr>
                <w:szCs w:val="21"/>
              </w:rPr>
            </w:pPr>
            <w:r>
              <w:t>N</w:t>
            </w:r>
          </w:p>
        </w:tc>
        <w:tc>
          <w:tcPr>
            <w:tcW w:w="0" w:type="auto"/>
            <w:shd w:val="clear" w:color="auto" w:fill="auto"/>
            <w:vAlign w:val="center"/>
          </w:tcPr>
          <w:p w14:paraId="583E3666">
            <w:pPr>
              <w:widowControl w:val="0"/>
              <w:jc w:val="center"/>
              <w:rPr>
                <w:szCs w:val="21"/>
              </w:rPr>
            </w:pPr>
            <w:r>
              <w:t>266</w:t>
            </w:r>
          </w:p>
        </w:tc>
        <w:tc>
          <w:tcPr>
            <w:tcW w:w="0" w:type="auto"/>
            <w:shd w:val="clear" w:color="auto" w:fill="auto"/>
            <w:vAlign w:val="center"/>
          </w:tcPr>
          <w:p w14:paraId="65B9D87F">
            <w:pPr>
              <w:widowControl w:val="0"/>
              <w:jc w:val="center"/>
              <w:rPr>
                <w:szCs w:val="21"/>
              </w:rPr>
            </w:pPr>
            <w:r>
              <w:t>-50</w:t>
            </w:r>
          </w:p>
        </w:tc>
        <w:tc>
          <w:tcPr>
            <w:tcW w:w="0" w:type="auto"/>
            <w:vMerge w:val="continue"/>
            <w:vAlign w:val="center"/>
          </w:tcPr>
          <w:p w14:paraId="25B35A21">
            <w:pPr>
              <w:widowControl w:val="0"/>
              <w:jc w:val="center"/>
              <w:rPr>
                <w:rFonts w:ascii="宋体" w:hAnsi="宋体"/>
                <w:color w:val="000000" w:themeColor="text1"/>
                <w:szCs w:val="21"/>
                <w14:textFill>
                  <w14:solidFill>
                    <w14:schemeClr w14:val="tx1"/>
                  </w14:solidFill>
                </w14:textFill>
              </w:rPr>
            </w:pPr>
          </w:p>
        </w:tc>
      </w:tr>
      <w:tr w14:paraId="5F4F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613EDF8A">
            <w:pPr>
              <w:widowControl w:val="0"/>
              <w:jc w:val="center"/>
              <w:rPr>
                <w:szCs w:val="21"/>
              </w:rPr>
            </w:pPr>
            <w:r>
              <w:rPr>
                <w:rFonts w:hint="eastAsia"/>
              </w:rPr>
              <w:t>48#</w:t>
            </w:r>
          </w:p>
        </w:tc>
        <w:tc>
          <w:tcPr>
            <w:tcW w:w="0" w:type="auto"/>
            <w:shd w:val="clear" w:color="auto" w:fill="auto"/>
            <w:vAlign w:val="center"/>
          </w:tcPr>
          <w:p w14:paraId="44128C78">
            <w:pPr>
              <w:widowControl w:val="0"/>
              <w:jc w:val="center"/>
              <w:rPr>
                <w:szCs w:val="21"/>
              </w:rPr>
            </w:pPr>
            <w:r>
              <w:rPr>
                <w:rFonts w:hint="eastAsia"/>
              </w:rPr>
              <w:t>唐家沟-2</w:t>
            </w:r>
          </w:p>
        </w:tc>
        <w:tc>
          <w:tcPr>
            <w:tcW w:w="0" w:type="auto"/>
            <w:shd w:val="clear" w:color="auto" w:fill="auto"/>
            <w:vAlign w:val="center"/>
          </w:tcPr>
          <w:p w14:paraId="16A3C18C">
            <w:pPr>
              <w:widowControl w:val="0"/>
              <w:jc w:val="center"/>
              <w:rPr>
                <w:szCs w:val="21"/>
              </w:rPr>
            </w:pPr>
            <w:r>
              <w:rPr>
                <w:rFonts w:hint="eastAsia"/>
              </w:rPr>
              <w:t>106.997094</w:t>
            </w:r>
          </w:p>
        </w:tc>
        <w:tc>
          <w:tcPr>
            <w:tcW w:w="0" w:type="auto"/>
            <w:shd w:val="clear" w:color="auto" w:fill="auto"/>
            <w:vAlign w:val="center"/>
          </w:tcPr>
          <w:p w14:paraId="2344C531">
            <w:pPr>
              <w:widowControl w:val="0"/>
              <w:jc w:val="center"/>
              <w:rPr>
                <w:szCs w:val="21"/>
              </w:rPr>
            </w:pPr>
            <w:r>
              <w:rPr>
                <w:rFonts w:hint="eastAsia"/>
              </w:rPr>
              <w:t>31.810989</w:t>
            </w:r>
          </w:p>
        </w:tc>
        <w:tc>
          <w:tcPr>
            <w:tcW w:w="0" w:type="auto"/>
            <w:shd w:val="clear" w:color="auto" w:fill="auto"/>
            <w:vAlign w:val="center"/>
          </w:tcPr>
          <w:p w14:paraId="204DBE85">
            <w:pPr>
              <w:widowControl w:val="0"/>
              <w:jc w:val="center"/>
              <w:rPr>
                <w:szCs w:val="21"/>
              </w:rPr>
            </w:pPr>
            <w:r>
              <w:rPr>
                <w:rFonts w:hint="eastAsia"/>
              </w:rPr>
              <w:t>约20人</w:t>
            </w:r>
          </w:p>
        </w:tc>
        <w:tc>
          <w:tcPr>
            <w:tcW w:w="0" w:type="auto"/>
            <w:vMerge w:val="continue"/>
            <w:vAlign w:val="center"/>
          </w:tcPr>
          <w:p w14:paraId="6192C65C">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56D0B3A7">
            <w:pPr>
              <w:widowControl w:val="0"/>
              <w:jc w:val="center"/>
              <w:rPr>
                <w:szCs w:val="21"/>
              </w:rPr>
            </w:pPr>
            <w:r>
              <w:t>N</w:t>
            </w:r>
          </w:p>
        </w:tc>
        <w:tc>
          <w:tcPr>
            <w:tcW w:w="0" w:type="auto"/>
            <w:shd w:val="clear" w:color="auto" w:fill="auto"/>
            <w:vAlign w:val="center"/>
          </w:tcPr>
          <w:p w14:paraId="1F88EDA7">
            <w:pPr>
              <w:widowControl w:val="0"/>
              <w:jc w:val="center"/>
              <w:rPr>
                <w:szCs w:val="21"/>
              </w:rPr>
            </w:pPr>
            <w:r>
              <w:t>287</w:t>
            </w:r>
          </w:p>
        </w:tc>
        <w:tc>
          <w:tcPr>
            <w:tcW w:w="0" w:type="auto"/>
            <w:shd w:val="clear" w:color="auto" w:fill="auto"/>
            <w:vAlign w:val="center"/>
          </w:tcPr>
          <w:p w14:paraId="6311ED4B">
            <w:pPr>
              <w:widowControl w:val="0"/>
              <w:jc w:val="center"/>
              <w:rPr>
                <w:szCs w:val="21"/>
              </w:rPr>
            </w:pPr>
            <w:r>
              <w:t>-57</w:t>
            </w:r>
          </w:p>
        </w:tc>
        <w:tc>
          <w:tcPr>
            <w:tcW w:w="0" w:type="auto"/>
            <w:vMerge w:val="continue"/>
            <w:vAlign w:val="center"/>
          </w:tcPr>
          <w:p w14:paraId="41C936FB">
            <w:pPr>
              <w:widowControl w:val="0"/>
              <w:jc w:val="center"/>
              <w:rPr>
                <w:rFonts w:ascii="宋体" w:hAnsi="宋体"/>
                <w:color w:val="000000" w:themeColor="text1"/>
                <w:szCs w:val="21"/>
                <w14:textFill>
                  <w14:solidFill>
                    <w14:schemeClr w14:val="tx1"/>
                  </w14:solidFill>
                </w14:textFill>
              </w:rPr>
            </w:pPr>
          </w:p>
        </w:tc>
      </w:tr>
      <w:tr w14:paraId="3809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593BF4B2">
            <w:pPr>
              <w:widowControl w:val="0"/>
              <w:jc w:val="center"/>
              <w:rPr>
                <w:szCs w:val="21"/>
              </w:rPr>
            </w:pPr>
            <w:r>
              <w:rPr>
                <w:rFonts w:hint="eastAsia"/>
              </w:rPr>
              <w:t>49#</w:t>
            </w:r>
          </w:p>
        </w:tc>
        <w:tc>
          <w:tcPr>
            <w:tcW w:w="0" w:type="auto"/>
            <w:shd w:val="clear" w:color="auto" w:fill="auto"/>
            <w:vAlign w:val="center"/>
          </w:tcPr>
          <w:p w14:paraId="6C2733B8">
            <w:pPr>
              <w:widowControl w:val="0"/>
              <w:jc w:val="center"/>
              <w:rPr>
                <w:szCs w:val="21"/>
              </w:rPr>
            </w:pPr>
            <w:r>
              <w:rPr>
                <w:rFonts w:hint="eastAsia"/>
              </w:rPr>
              <w:t>肖家湾-1</w:t>
            </w:r>
          </w:p>
        </w:tc>
        <w:tc>
          <w:tcPr>
            <w:tcW w:w="0" w:type="auto"/>
            <w:shd w:val="clear" w:color="auto" w:fill="auto"/>
            <w:vAlign w:val="center"/>
          </w:tcPr>
          <w:p w14:paraId="36F7F8A1">
            <w:pPr>
              <w:widowControl w:val="0"/>
              <w:jc w:val="center"/>
              <w:rPr>
                <w:szCs w:val="21"/>
              </w:rPr>
            </w:pPr>
            <w:r>
              <w:rPr>
                <w:rFonts w:hint="eastAsia"/>
              </w:rPr>
              <w:t>106.999583</w:t>
            </w:r>
          </w:p>
        </w:tc>
        <w:tc>
          <w:tcPr>
            <w:tcW w:w="0" w:type="auto"/>
            <w:shd w:val="clear" w:color="auto" w:fill="auto"/>
            <w:vAlign w:val="center"/>
          </w:tcPr>
          <w:p w14:paraId="620A09C9">
            <w:pPr>
              <w:widowControl w:val="0"/>
              <w:jc w:val="center"/>
              <w:rPr>
                <w:szCs w:val="21"/>
              </w:rPr>
            </w:pPr>
            <w:r>
              <w:rPr>
                <w:rFonts w:hint="eastAsia"/>
              </w:rPr>
              <w:t>31.813250</w:t>
            </w:r>
          </w:p>
        </w:tc>
        <w:tc>
          <w:tcPr>
            <w:tcW w:w="0" w:type="auto"/>
            <w:shd w:val="clear" w:color="auto" w:fill="auto"/>
            <w:vAlign w:val="center"/>
          </w:tcPr>
          <w:p w14:paraId="362640EE">
            <w:pPr>
              <w:widowControl w:val="0"/>
              <w:jc w:val="center"/>
              <w:rPr>
                <w:szCs w:val="21"/>
              </w:rPr>
            </w:pPr>
            <w:r>
              <w:rPr>
                <w:rFonts w:hint="eastAsia"/>
              </w:rPr>
              <w:t>约40人</w:t>
            </w:r>
          </w:p>
        </w:tc>
        <w:tc>
          <w:tcPr>
            <w:tcW w:w="0" w:type="auto"/>
            <w:vMerge w:val="continue"/>
            <w:vAlign w:val="center"/>
          </w:tcPr>
          <w:p w14:paraId="7495CD4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1F18020">
            <w:pPr>
              <w:widowControl w:val="0"/>
              <w:jc w:val="center"/>
              <w:rPr>
                <w:szCs w:val="21"/>
              </w:rPr>
            </w:pPr>
            <w:r>
              <w:t>N</w:t>
            </w:r>
          </w:p>
        </w:tc>
        <w:tc>
          <w:tcPr>
            <w:tcW w:w="0" w:type="auto"/>
            <w:shd w:val="clear" w:color="auto" w:fill="auto"/>
            <w:vAlign w:val="center"/>
          </w:tcPr>
          <w:p w14:paraId="18CD295D">
            <w:pPr>
              <w:widowControl w:val="0"/>
              <w:jc w:val="center"/>
              <w:rPr>
                <w:szCs w:val="21"/>
              </w:rPr>
            </w:pPr>
            <w:r>
              <w:t>527</w:t>
            </w:r>
          </w:p>
        </w:tc>
        <w:tc>
          <w:tcPr>
            <w:tcW w:w="0" w:type="auto"/>
            <w:shd w:val="clear" w:color="auto" w:fill="auto"/>
            <w:vAlign w:val="center"/>
          </w:tcPr>
          <w:p w14:paraId="11B8912E">
            <w:pPr>
              <w:widowControl w:val="0"/>
              <w:jc w:val="center"/>
              <w:rPr>
                <w:szCs w:val="21"/>
              </w:rPr>
            </w:pPr>
            <w:r>
              <w:t>-73</w:t>
            </w:r>
          </w:p>
        </w:tc>
        <w:tc>
          <w:tcPr>
            <w:tcW w:w="0" w:type="auto"/>
            <w:vMerge w:val="continue"/>
            <w:vAlign w:val="center"/>
          </w:tcPr>
          <w:p w14:paraId="70A6549F">
            <w:pPr>
              <w:widowControl w:val="0"/>
              <w:jc w:val="center"/>
              <w:rPr>
                <w:rFonts w:ascii="宋体" w:hAnsi="宋体"/>
                <w:color w:val="000000" w:themeColor="text1"/>
                <w:szCs w:val="21"/>
                <w14:textFill>
                  <w14:solidFill>
                    <w14:schemeClr w14:val="tx1"/>
                  </w14:solidFill>
                </w14:textFill>
              </w:rPr>
            </w:pPr>
          </w:p>
        </w:tc>
      </w:tr>
      <w:tr w14:paraId="12FC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3B5A423">
            <w:pPr>
              <w:widowControl w:val="0"/>
              <w:jc w:val="center"/>
              <w:rPr>
                <w:szCs w:val="21"/>
              </w:rPr>
            </w:pPr>
            <w:r>
              <w:rPr>
                <w:rFonts w:hint="eastAsia"/>
              </w:rPr>
              <w:t>50#</w:t>
            </w:r>
          </w:p>
        </w:tc>
        <w:tc>
          <w:tcPr>
            <w:tcW w:w="0" w:type="auto"/>
            <w:shd w:val="clear" w:color="auto" w:fill="auto"/>
            <w:vAlign w:val="center"/>
          </w:tcPr>
          <w:p w14:paraId="0A6686DE">
            <w:pPr>
              <w:widowControl w:val="0"/>
              <w:jc w:val="center"/>
              <w:rPr>
                <w:szCs w:val="21"/>
              </w:rPr>
            </w:pPr>
            <w:r>
              <w:rPr>
                <w:rFonts w:hint="eastAsia"/>
              </w:rPr>
              <w:t>肖家湾-2</w:t>
            </w:r>
          </w:p>
        </w:tc>
        <w:tc>
          <w:tcPr>
            <w:tcW w:w="0" w:type="auto"/>
            <w:shd w:val="clear" w:color="auto" w:fill="auto"/>
            <w:vAlign w:val="center"/>
          </w:tcPr>
          <w:p w14:paraId="1A50B650">
            <w:pPr>
              <w:widowControl w:val="0"/>
              <w:jc w:val="center"/>
              <w:rPr>
                <w:szCs w:val="21"/>
              </w:rPr>
            </w:pPr>
            <w:r>
              <w:rPr>
                <w:rFonts w:hint="eastAsia"/>
              </w:rPr>
              <w:t>106.997309</w:t>
            </w:r>
          </w:p>
        </w:tc>
        <w:tc>
          <w:tcPr>
            <w:tcW w:w="0" w:type="auto"/>
            <w:shd w:val="clear" w:color="auto" w:fill="auto"/>
            <w:vAlign w:val="center"/>
          </w:tcPr>
          <w:p w14:paraId="256ECF5D">
            <w:pPr>
              <w:widowControl w:val="0"/>
              <w:jc w:val="center"/>
              <w:rPr>
                <w:szCs w:val="21"/>
              </w:rPr>
            </w:pPr>
            <w:r>
              <w:rPr>
                <w:rFonts w:hint="eastAsia"/>
              </w:rPr>
              <w:t>31.814417</w:t>
            </w:r>
          </w:p>
        </w:tc>
        <w:tc>
          <w:tcPr>
            <w:tcW w:w="0" w:type="auto"/>
            <w:shd w:val="clear" w:color="auto" w:fill="auto"/>
            <w:vAlign w:val="center"/>
          </w:tcPr>
          <w:p w14:paraId="2715F462">
            <w:pPr>
              <w:widowControl w:val="0"/>
              <w:jc w:val="center"/>
              <w:rPr>
                <w:szCs w:val="21"/>
              </w:rPr>
            </w:pPr>
            <w:r>
              <w:rPr>
                <w:rFonts w:hint="eastAsia"/>
              </w:rPr>
              <w:t>约20人</w:t>
            </w:r>
          </w:p>
        </w:tc>
        <w:tc>
          <w:tcPr>
            <w:tcW w:w="0" w:type="auto"/>
            <w:vMerge w:val="continue"/>
            <w:vAlign w:val="center"/>
          </w:tcPr>
          <w:p w14:paraId="104D260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7AB88686">
            <w:pPr>
              <w:widowControl w:val="0"/>
              <w:jc w:val="center"/>
              <w:rPr>
                <w:szCs w:val="21"/>
              </w:rPr>
            </w:pPr>
            <w:r>
              <w:t>N</w:t>
            </w:r>
          </w:p>
        </w:tc>
        <w:tc>
          <w:tcPr>
            <w:tcW w:w="0" w:type="auto"/>
            <w:shd w:val="clear" w:color="auto" w:fill="auto"/>
            <w:vAlign w:val="center"/>
          </w:tcPr>
          <w:p w14:paraId="140DB46D">
            <w:pPr>
              <w:widowControl w:val="0"/>
              <w:jc w:val="center"/>
              <w:rPr>
                <w:szCs w:val="21"/>
              </w:rPr>
            </w:pPr>
            <w:r>
              <w:t>697</w:t>
            </w:r>
          </w:p>
        </w:tc>
        <w:tc>
          <w:tcPr>
            <w:tcW w:w="0" w:type="auto"/>
            <w:shd w:val="clear" w:color="auto" w:fill="auto"/>
            <w:vAlign w:val="center"/>
          </w:tcPr>
          <w:p w14:paraId="6CCF62E1">
            <w:pPr>
              <w:widowControl w:val="0"/>
              <w:jc w:val="center"/>
              <w:rPr>
                <w:szCs w:val="21"/>
              </w:rPr>
            </w:pPr>
            <w:r>
              <w:t>-76</w:t>
            </w:r>
          </w:p>
        </w:tc>
        <w:tc>
          <w:tcPr>
            <w:tcW w:w="0" w:type="auto"/>
            <w:vMerge w:val="continue"/>
            <w:vAlign w:val="center"/>
          </w:tcPr>
          <w:p w14:paraId="6B115529">
            <w:pPr>
              <w:widowControl w:val="0"/>
              <w:jc w:val="center"/>
              <w:rPr>
                <w:rFonts w:ascii="宋体" w:hAnsi="宋体"/>
                <w:color w:val="000000" w:themeColor="text1"/>
                <w:szCs w:val="21"/>
                <w14:textFill>
                  <w14:solidFill>
                    <w14:schemeClr w14:val="tx1"/>
                  </w14:solidFill>
                </w14:textFill>
              </w:rPr>
            </w:pPr>
          </w:p>
        </w:tc>
      </w:tr>
      <w:tr w14:paraId="0D00E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2B432CF">
            <w:pPr>
              <w:widowControl w:val="0"/>
              <w:jc w:val="center"/>
              <w:rPr>
                <w:szCs w:val="21"/>
              </w:rPr>
            </w:pPr>
            <w:r>
              <w:rPr>
                <w:rFonts w:hint="eastAsia"/>
              </w:rPr>
              <w:t>51#</w:t>
            </w:r>
          </w:p>
        </w:tc>
        <w:tc>
          <w:tcPr>
            <w:tcW w:w="0" w:type="auto"/>
            <w:shd w:val="clear" w:color="auto" w:fill="auto"/>
            <w:vAlign w:val="center"/>
          </w:tcPr>
          <w:p w14:paraId="260DE2D4">
            <w:pPr>
              <w:widowControl w:val="0"/>
              <w:jc w:val="center"/>
              <w:rPr>
                <w:szCs w:val="21"/>
              </w:rPr>
            </w:pPr>
            <w:r>
              <w:rPr>
                <w:rFonts w:hint="eastAsia"/>
              </w:rPr>
              <w:t>水宁寺镇</w:t>
            </w:r>
          </w:p>
        </w:tc>
        <w:tc>
          <w:tcPr>
            <w:tcW w:w="0" w:type="auto"/>
            <w:shd w:val="clear" w:color="auto" w:fill="auto"/>
            <w:vAlign w:val="center"/>
          </w:tcPr>
          <w:p w14:paraId="7DC3A6A0">
            <w:pPr>
              <w:widowControl w:val="0"/>
              <w:jc w:val="center"/>
              <w:rPr>
                <w:szCs w:val="21"/>
              </w:rPr>
            </w:pPr>
            <w:r>
              <w:rPr>
                <w:rFonts w:hint="eastAsia"/>
              </w:rPr>
              <w:t>107.004776</w:t>
            </w:r>
          </w:p>
        </w:tc>
        <w:tc>
          <w:tcPr>
            <w:tcW w:w="0" w:type="auto"/>
            <w:shd w:val="clear" w:color="auto" w:fill="auto"/>
            <w:vAlign w:val="center"/>
          </w:tcPr>
          <w:p w14:paraId="55DC42B5">
            <w:pPr>
              <w:widowControl w:val="0"/>
              <w:jc w:val="center"/>
              <w:rPr>
                <w:szCs w:val="21"/>
              </w:rPr>
            </w:pPr>
            <w:r>
              <w:rPr>
                <w:rFonts w:hint="eastAsia"/>
              </w:rPr>
              <w:t>31.817699</w:t>
            </w:r>
          </w:p>
        </w:tc>
        <w:tc>
          <w:tcPr>
            <w:tcW w:w="0" w:type="auto"/>
            <w:shd w:val="clear" w:color="auto" w:fill="auto"/>
            <w:vAlign w:val="center"/>
          </w:tcPr>
          <w:p w14:paraId="7DF7F9E2">
            <w:pPr>
              <w:widowControl w:val="0"/>
              <w:jc w:val="center"/>
              <w:rPr>
                <w:szCs w:val="21"/>
              </w:rPr>
            </w:pPr>
            <w:r>
              <w:rPr>
                <w:rFonts w:hint="eastAsia"/>
              </w:rPr>
              <w:t>约1200人</w:t>
            </w:r>
          </w:p>
        </w:tc>
        <w:tc>
          <w:tcPr>
            <w:tcW w:w="0" w:type="auto"/>
            <w:vMerge w:val="continue"/>
            <w:vAlign w:val="center"/>
          </w:tcPr>
          <w:p w14:paraId="2D3A5507">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31DCC62F">
            <w:pPr>
              <w:widowControl w:val="0"/>
              <w:jc w:val="center"/>
              <w:rPr>
                <w:szCs w:val="21"/>
              </w:rPr>
            </w:pPr>
            <w:r>
              <w:t>N</w:t>
            </w:r>
          </w:p>
        </w:tc>
        <w:tc>
          <w:tcPr>
            <w:tcW w:w="0" w:type="auto"/>
            <w:shd w:val="clear" w:color="auto" w:fill="auto"/>
            <w:vAlign w:val="center"/>
          </w:tcPr>
          <w:p w14:paraId="7DABCE57">
            <w:pPr>
              <w:widowControl w:val="0"/>
              <w:jc w:val="center"/>
              <w:rPr>
                <w:szCs w:val="21"/>
              </w:rPr>
            </w:pPr>
            <w:r>
              <w:t>1039</w:t>
            </w:r>
          </w:p>
        </w:tc>
        <w:tc>
          <w:tcPr>
            <w:tcW w:w="0" w:type="auto"/>
            <w:shd w:val="clear" w:color="auto" w:fill="auto"/>
            <w:vAlign w:val="center"/>
          </w:tcPr>
          <w:p w14:paraId="4317D492">
            <w:pPr>
              <w:widowControl w:val="0"/>
              <w:jc w:val="center"/>
              <w:rPr>
                <w:szCs w:val="21"/>
              </w:rPr>
            </w:pPr>
            <w:r>
              <w:t>-91</w:t>
            </w:r>
          </w:p>
        </w:tc>
        <w:tc>
          <w:tcPr>
            <w:tcW w:w="0" w:type="auto"/>
            <w:vMerge w:val="continue"/>
            <w:vAlign w:val="center"/>
          </w:tcPr>
          <w:p w14:paraId="0442AD59">
            <w:pPr>
              <w:widowControl w:val="0"/>
              <w:jc w:val="center"/>
              <w:rPr>
                <w:rFonts w:ascii="宋体" w:hAnsi="宋体"/>
                <w:color w:val="000000" w:themeColor="text1"/>
                <w:szCs w:val="21"/>
                <w14:textFill>
                  <w14:solidFill>
                    <w14:schemeClr w14:val="tx1"/>
                  </w14:solidFill>
                </w14:textFill>
              </w:rPr>
            </w:pPr>
          </w:p>
        </w:tc>
      </w:tr>
      <w:tr w14:paraId="22FA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128046DA">
            <w:pPr>
              <w:widowControl w:val="0"/>
              <w:jc w:val="center"/>
              <w:rPr>
                <w:szCs w:val="21"/>
              </w:rPr>
            </w:pPr>
            <w:r>
              <w:rPr>
                <w:rFonts w:hint="eastAsia"/>
              </w:rPr>
              <w:t>52#</w:t>
            </w:r>
          </w:p>
        </w:tc>
        <w:tc>
          <w:tcPr>
            <w:tcW w:w="0" w:type="auto"/>
            <w:shd w:val="clear" w:color="auto" w:fill="auto"/>
            <w:vAlign w:val="center"/>
          </w:tcPr>
          <w:p w14:paraId="5E2ADD3B">
            <w:pPr>
              <w:widowControl w:val="0"/>
              <w:jc w:val="center"/>
              <w:rPr>
                <w:szCs w:val="21"/>
              </w:rPr>
            </w:pPr>
            <w:r>
              <w:rPr>
                <w:rFonts w:hint="eastAsia"/>
              </w:rPr>
              <w:t>水宁寺镇中心小学</w:t>
            </w:r>
          </w:p>
        </w:tc>
        <w:tc>
          <w:tcPr>
            <w:tcW w:w="0" w:type="auto"/>
            <w:shd w:val="clear" w:color="auto" w:fill="auto"/>
            <w:vAlign w:val="center"/>
          </w:tcPr>
          <w:p w14:paraId="2D75F794">
            <w:pPr>
              <w:widowControl w:val="0"/>
              <w:jc w:val="center"/>
              <w:rPr>
                <w:szCs w:val="21"/>
              </w:rPr>
            </w:pPr>
            <w:r>
              <w:rPr>
                <w:rFonts w:hint="eastAsia"/>
              </w:rPr>
              <w:t>107.004776</w:t>
            </w:r>
          </w:p>
        </w:tc>
        <w:tc>
          <w:tcPr>
            <w:tcW w:w="0" w:type="auto"/>
            <w:shd w:val="clear" w:color="auto" w:fill="auto"/>
            <w:vAlign w:val="center"/>
          </w:tcPr>
          <w:p w14:paraId="21A7A5C2">
            <w:pPr>
              <w:widowControl w:val="0"/>
              <w:jc w:val="center"/>
              <w:rPr>
                <w:szCs w:val="21"/>
              </w:rPr>
            </w:pPr>
            <w:r>
              <w:rPr>
                <w:rFonts w:hint="eastAsia"/>
              </w:rPr>
              <w:t>31.818319</w:t>
            </w:r>
          </w:p>
        </w:tc>
        <w:tc>
          <w:tcPr>
            <w:tcW w:w="0" w:type="auto"/>
            <w:shd w:val="clear" w:color="auto" w:fill="auto"/>
            <w:vAlign w:val="center"/>
          </w:tcPr>
          <w:p w14:paraId="378ED7C6">
            <w:pPr>
              <w:widowControl w:val="0"/>
              <w:jc w:val="center"/>
              <w:rPr>
                <w:szCs w:val="21"/>
              </w:rPr>
            </w:pPr>
            <w:r>
              <w:rPr>
                <w:rFonts w:hint="eastAsia"/>
              </w:rPr>
              <w:t>学生1360人</w:t>
            </w:r>
          </w:p>
        </w:tc>
        <w:tc>
          <w:tcPr>
            <w:tcW w:w="0" w:type="auto"/>
            <w:vMerge w:val="continue"/>
            <w:vAlign w:val="center"/>
          </w:tcPr>
          <w:p w14:paraId="7DF887AA">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2798290">
            <w:pPr>
              <w:widowControl w:val="0"/>
              <w:jc w:val="center"/>
              <w:rPr>
                <w:szCs w:val="21"/>
              </w:rPr>
            </w:pPr>
            <w:r>
              <w:t>N</w:t>
            </w:r>
          </w:p>
        </w:tc>
        <w:tc>
          <w:tcPr>
            <w:tcW w:w="0" w:type="auto"/>
            <w:shd w:val="clear" w:color="auto" w:fill="auto"/>
            <w:vAlign w:val="center"/>
          </w:tcPr>
          <w:p w14:paraId="4A92A741">
            <w:pPr>
              <w:widowControl w:val="0"/>
              <w:jc w:val="center"/>
              <w:rPr>
                <w:szCs w:val="21"/>
              </w:rPr>
            </w:pPr>
            <w:r>
              <w:t>1375</w:t>
            </w:r>
          </w:p>
        </w:tc>
        <w:tc>
          <w:tcPr>
            <w:tcW w:w="0" w:type="auto"/>
            <w:shd w:val="clear" w:color="auto" w:fill="auto"/>
            <w:vAlign w:val="center"/>
          </w:tcPr>
          <w:p w14:paraId="77273364">
            <w:pPr>
              <w:widowControl w:val="0"/>
              <w:jc w:val="center"/>
              <w:rPr>
                <w:szCs w:val="21"/>
              </w:rPr>
            </w:pPr>
            <w:r>
              <w:t>-91</w:t>
            </w:r>
          </w:p>
        </w:tc>
        <w:tc>
          <w:tcPr>
            <w:tcW w:w="0" w:type="auto"/>
            <w:vMerge w:val="continue"/>
            <w:vAlign w:val="center"/>
          </w:tcPr>
          <w:p w14:paraId="35EB67CF">
            <w:pPr>
              <w:widowControl w:val="0"/>
              <w:jc w:val="center"/>
              <w:rPr>
                <w:rFonts w:ascii="宋体" w:hAnsi="宋体"/>
                <w:color w:val="000000" w:themeColor="text1"/>
                <w:szCs w:val="21"/>
                <w14:textFill>
                  <w14:solidFill>
                    <w14:schemeClr w14:val="tx1"/>
                  </w14:solidFill>
                </w14:textFill>
              </w:rPr>
            </w:pPr>
          </w:p>
        </w:tc>
      </w:tr>
      <w:tr w14:paraId="74C1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2AE5A644">
            <w:pPr>
              <w:widowControl w:val="0"/>
              <w:jc w:val="center"/>
              <w:rPr>
                <w:szCs w:val="21"/>
              </w:rPr>
            </w:pPr>
            <w:r>
              <w:rPr>
                <w:rFonts w:hint="eastAsia"/>
              </w:rPr>
              <w:t>53#</w:t>
            </w:r>
          </w:p>
        </w:tc>
        <w:tc>
          <w:tcPr>
            <w:tcW w:w="0" w:type="auto"/>
            <w:shd w:val="clear" w:color="auto" w:fill="auto"/>
            <w:vAlign w:val="center"/>
          </w:tcPr>
          <w:p w14:paraId="47285731">
            <w:pPr>
              <w:widowControl w:val="0"/>
              <w:jc w:val="center"/>
              <w:rPr>
                <w:szCs w:val="21"/>
              </w:rPr>
            </w:pPr>
            <w:r>
              <w:rPr>
                <w:rFonts w:hint="eastAsia"/>
              </w:rPr>
              <w:t>钓鱼咀</w:t>
            </w:r>
          </w:p>
        </w:tc>
        <w:tc>
          <w:tcPr>
            <w:tcW w:w="0" w:type="auto"/>
            <w:shd w:val="clear" w:color="auto" w:fill="auto"/>
            <w:vAlign w:val="center"/>
          </w:tcPr>
          <w:p w14:paraId="71A5E07E">
            <w:pPr>
              <w:widowControl w:val="0"/>
              <w:jc w:val="center"/>
              <w:rPr>
                <w:szCs w:val="21"/>
              </w:rPr>
            </w:pPr>
            <w:r>
              <w:rPr>
                <w:rFonts w:hint="eastAsia"/>
              </w:rPr>
              <w:t>106.996665</w:t>
            </w:r>
          </w:p>
        </w:tc>
        <w:tc>
          <w:tcPr>
            <w:tcW w:w="0" w:type="auto"/>
            <w:shd w:val="clear" w:color="auto" w:fill="auto"/>
            <w:vAlign w:val="center"/>
          </w:tcPr>
          <w:p w14:paraId="03A23EFC">
            <w:pPr>
              <w:widowControl w:val="0"/>
              <w:jc w:val="center"/>
              <w:rPr>
                <w:szCs w:val="21"/>
              </w:rPr>
            </w:pPr>
            <w:r>
              <w:rPr>
                <w:rFonts w:hint="eastAsia"/>
              </w:rPr>
              <w:t>31.826341</w:t>
            </w:r>
          </w:p>
        </w:tc>
        <w:tc>
          <w:tcPr>
            <w:tcW w:w="0" w:type="auto"/>
            <w:shd w:val="clear" w:color="auto" w:fill="auto"/>
            <w:vAlign w:val="center"/>
          </w:tcPr>
          <w:p w14:paraId="0256EABF">
            <w:pPr>
              <w:widowControl w:val="0"/>
              <w:jc w:val="center"/>
              <w:rPr>
                <w:szCs w:val="21"/>
              </w:rPr>
            </w:pPr>
            <w:r>
              <w:rPr>
                <w:rFonts w:hint="eastAsia"/>
              </w:rPr>
              <w:t>约20人</w:t>
            </w:r>
          </w:p>
        </w:tc>
        <w:tc>
          <w:tcPr>
            <w:tcW w:w="0" w:type="auto"/>
            <w:vMerge w:val="continue"/>
            <w:vAlign w:val="center"/>
          </w:tcPr>
          <w:p w14:paraId="5B784068">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2F4BB744">
            <w:pPr>
              <w:widowControl w:val="0"/>
              <w:jc w:val="center"/>
              <w:rPr>
                <w:szCs w:val="21"/>
              </w:rPr>
            </w:pPr>
            <w:r>
              <w:t>N</w:t>
            </w:r>
          </w:p>
        </w:tc>
        <w:tc>
          <w:tcPr>
            <w:tcW w:w="0" w:type="auto"/>
            <w:shd w:val="clear" w:color="auto" w:fill="auto"/>
            <w:vAlign w:val="center"/>
          </w:tcPr>
          <w:p w14:paraId="06C28240">
            <w:pPr>
              <w:widowControl w:val="0"/>
              <w:jc w:val="center"/>
              <w:rPr>
                <w:szCs w:val="21"/>
              </w:rPr>
            </w:pPr>
            <w:r>
              <w:t>1926</w:t>
            </w:r>
          </w:p>
        </w:tc>
        <w:tc>
          <w:tcPr>
            <w:tcW w:w="0" w:type="auto"/>
            <w:shd w:val="clear" w:color="auto" w:fill="auto"/>
            <w:vAlign w:val="center"/>
          </w:tcPr>
          <w:p w14:paraId="6F0B7CDB">
            <w:pPr>
              <w:widowControl w:val="0"/>
              <w:jc w:val="center"/>
              <w:rPr>
                <w:szCs w:val="21"/>
              </w:rPr>
            </w:pPr>
            <w:r>
              <w:t>-58</w:t>
            </w:r>
          </w:p>
        </w:tc>
        <w:tc>
          <w:tcPr>
            <w:tcW w:w="0" w:type="auto"/>
            <w:vMerge w:val="continue"/>
            <w:vAlign w:val="center"/>
          </w:tcPr>
          <w:p w14:paraId="26C1D2D3">
            <w:pPr>
              <w:widowControl w:val="0"/>
              <w:jc w:val="center"/>
              <w:rPr>
                <w:rFonts w:ascii="宋体" w:hAnsi="宋体"/>
                <w:color w:val="000000" w:themeColor="text1"/>
                <w:szCs w:val="21"/>
                <w14:textFill>
                  <w14:solidFill>
                    <w14:schemeClr w14:val="tx1"/>
                  </w14:solidFill>
                </w14:textFill>
              </w:rPr>
            </w:pPr>
          </w:p>
        </w:tc>
      </w:tr>
      <w:tr w14:paraId="0F6F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shd w:val="clear" w:color="auto" w:fill="auto"/>
            <w:vAlign w:val="center"/>
          </w:tcPr>
          <w:p w14:paraId="30E3059D">
            <w:pPr>
              <w:widowControl w:val="0"/>
              <w:jc w:val="center"/>
              <w:rPr>
                <w:szCs w:val="21"/>
              </w:rPr>
            </w:pPr>
            <w:r>
              <w:rPr>
                <w:rFonts w:hint="eastAsia"/>
              </w:rPr>
              <w:t>54#</w:t>
            </w:r>
          </w:p>
        </w:tc>
        <w:tc>
          <w:tcPr>
            <w:tcW w:w="0" w:type="auto"/>
            <w:shd w:val="clear" w:color="auto" w:fill="auto"/>
            <w:vAlign w:val="center"/>
          </w:tcPr>
          <w:p w14:paraId="105B127C">
            <w:pPr>
              <w:widowControl w:val="0"/>
              <w:jc w:val="center"/>
              <w:rPr>
                <w:szCs w:val="21"/>
              </w:rPr>
            </w:pPr>
            <w:r>
              <w:rPr>
                <w:rFonts w:hint="eastAsia"/>
              </w:rPr>
              <w:t>何家湾</w:t>
            </w:r>
          </w:p>
        </w:tc>
        <w:tc>
          <w:tcPr>
            <w:tcW w:w="0" w:type="auto"/>
            <w:shd w:val="clear" w:color="auto" w:fill="auto"/>
            <w:vAlign w:val="center"/>
          </w:tcPr>
          <w:p w14:paraId="10E0C63D">
            <w:pPr>
              <w:widowControl w:val="0"/>
              <w:jc w:val="center"/>
              <w:rPr>
                <w:szCs w:val="21"/>
              </w:rPr>
            </w:pPr>
            <w:r>
              <w:rPr>
                <w:rFonts w:hint="eastAsia"/>
              </w:rPr>
              <w:t>107.000270</w:t>
            </w:r>
          </w:p>
        </w:tc>
        <w:tc>
          <w:tcPr>
            <w:tcW w:w="0" w:type="auto"/>
            <w:shd w:val="clear" w:color="auto" w:fill="auto"/>
            <w:vAlign w:val="center"/>
          </w:tcPr>
          <w:p w14:paraId="1A21C590">
            <w:pPr>
              <w:widowControl w:val="0"/>
              <w:jc w:val="center"/>
              <w:rPr>
                <w:szCs w:val="21"/>
              </w:rPr>
            </w:pPr>
            <w:r>
              <w:rPr>
                <w:rFonts w:hint="eastAsia"/>
              </w:rPr>
              <w:t>31.821090</w:t>
            </w:r>
          </w:p>
        </w:tc>
        <w:tc>
          <w:tcPr>
            <w:tcW w:w="0" w:type="auto"/>
            <w:shd w:val="clear" w:color="auto" w:fill="auto"/>
            <w:vAlign w:val="center"/>
          </w:tcPr>
          <w:p w14:paraId="1CA4F005">
            <w:pPr>
              <w:widowControl w:val="0"/>
              <w:jc w:val="center"/>
              <w:rPr>
                <w:szCs w:val="21"/>
              </w:rPr>
            </w:pPr>
            <w:r>
              <w:rPr>
                <w:rFonts w:hint="eastAsia"/>
              </w:rPr>
              <w:t>约30人</w:t>
            </w:r>
          </w:p>
        </w:tc>
        <w:tc>
          <w:tcPr>
            <w:tcW w:w="0" w:type="auto"/>
            <w:vMerge w:val="continue"/>
            <w:vAlign w:val="center"/>
          </w:tcPr>
          <w:p w14:paraId="7E98A6F6">
            <w:pPr>
              <w:widowControl w:val="0"/>
              <w:jc w:val="center"/>
              <w:rPr>
                <w:color w:val="000000" w:themeColor="text1"/>
                <w:szCs w:val="21"/>
                <w14:textFill>
                  <w14:solidFill>
                    <w14:schemeClr w14:val="tx1"/>
                  </w14:solidFill>
                </w14:textFill>
              </w:rPr>
            </w:pPr>
          </w:p>
        </w:tc>
        <w:tc>
          <w:tcPr>
            <w:tcW w:w="0" w:type="auto"/>
            <w:shd w:val="clear" w:color="auto" w:fill="auto"/>
            <w:vAlign w:val="center"/>
          </w:tcPr>
          <w:p w14:paraId="414A1F95">
            <w:pPr>
              <w:widowControl w:val="0"/>
              <w:jc w:val="center"/>
              <w:rPr>
                <w:szCs w:val="21"/>
              </w:rPr>
            </w:pPr>
            <w:r>
              <w:t>N</w:t>
            </w:r>
          </w:p>
        </w:tc>
        <w:tc>
          <w:tcPr>
            <w:tcW w:w="0" w:type="auto"/>
            <w:shd w:val="clear" w:color="auto" w:fill="auto"/>
            <w:vAlign w:val="center"/>
          </w:tcPr>
          <w:p w14:paraId="53AA667A">
            <w:pPr>
              <w:widowControl w:val="0"/>
              <w:jc w:val="center"/>
              <w:rPr>
                <w:szCs w:val="21"/>
              </w:rPr>
            </w:pPr>
            <w:r>
              <w:t>1452</w:t>
            </w:r>
          </w:p>
        </w:tc>
        <w:tc>
          <w:tcPr>
            <w:tcW w:w="0" w:type="auto"/>
            <w:shd w:val="clear" w:color="auto" w:fill="auto"/>
            <w:vAlign w:val="center"/>
          </w:tcPr>
          <w:p w14:paraId="4B2A3DDF">
            <w:pPr>
              <w:widowControl w:val="0"/>
              <w:jc w:val="center"/>
              <w:rPr>
                <w:szCs w:val="21"/>
              </w:rPr>
            </w:pPr>
            <w:r>
              <w:t>-37</w:t>
            </w:r>
          </w:p>
        </w:tc>
        <w:tc>
          <w:tcPr>
            <w:tcW w:w="0" w:type="auto"/>
            <w:vMerge w:val="continue"/>
            <w:vAlign w:val="center"/>
          </w:tcPr>
          <w:p w14:paraId="2E946EE7">
            <w:pPr>
              <w:widowControl w:val="0"/>
              <w:jc w:val="center"/>
              <w:rPr>
                <w:rFonts w:ascii="宋体" w:hAnsi="宋体"/>
                <w:color w:val="000000" w:themeColor="text1"/>
                <w:szCs w:val="21"/>
                <w14:textFill>
                  <w14:solidFill>
                    <w14:schemeClr w14:val="tx1"/>
                  </w14:solidFill>
                </w14:textFill>
              </w:rPr>
            </w:pPr>
          </w:p>
        </w:tc>
      </w:tr>
    </w:tbl>
    <w:p w14:paraId="0D3847DD">
      <w:pPr>
        <w:spacing w:line="360" w:lineRule="auto"/>
        <w:ind w:firstLine="480" w:firstLineChars="200"/>
        <w:jc w:val="both"/>
        <w:rPr>
          <w:color w:val="000000" w:themeColor="text1"/>
          <w:sz w:val="24"/>
          <w14:textFill>
            <w14:solidFill>
              <w14:schemeClr w14:val="tx1"/>
            </w14:solidFill>
          </w14:textFill>
        </w:rPr>
        <w:sectPr>
          <w:pgSz w:w="16840" w:h="11907" w:orient="landscape"/>
          <w:pgMar w:top="1797" w:right="1440" w:bottom="1797" w:left="1440" w:header="851" w:footer="992" w:gutter="0"/>
          <w:pgNumType w:chapStyle="1"/>
          <w:cols w:space="720" w:num="1"/>
          <w:docGrid w:linePitch="312" w:charSpace="0"/>
        </w:sectPr>
      </w:pPr>
    </w:p>
    <w:p w14:paraId="3F893FC1">
      <w:pPr>
        <w:pStyle w:val="752"/>
        <w:rPr>
          <w:rFonts w:cs="Times New Roman"/>
          <w:color w:val="000000" w:themeColor="text1"/>
          <w14:textFill>
            <w14:solidFill>
              <w14:schemeClr w14:val="tx1"/>
            </w14:solidFill>
          </w14:textFill>
        </w:rPr>
      </w:pPr>
      <w:bookmarkStart w:id="241" w:name="_Toc233380141"/>
      <w:r>
        <w:rPr>
          <w:rFonts w:cs="Times New Roman"/>
          <w:color w:val="000000" w:themeColor="text1"/>
          <w14:textFill>
            <w14:solidFill>
              <w14:schemeClr w14:val="tx1"/>
            </w14:solidFill>
          </w14:textFill>
        </w:rPr>
        <w:t>2.8.2地表水环境保护目标</w:t>
      </w:r>
      <w:bookmarkEnd w:id="241"/>
    </w:p>
    <w:p w14:paraId="4051692D">
      <w:pPr>
        <w:spacing w:line="360" w:lineRule="auto"/>
        <w:ind w:firstLine="480" w:firstLineChars="200"/>
        <w:jc w:val="both"/>
        <w:rPr>
          <w:color w:val="FF0000"/>
          <w:sz w:val="24"/>
        </w:rPr>
      </w:pPr>
      <w:r>
        <w:rPr>
          <w:sz w:val="24"/>
        </w:rPr>
        <w:t>项目地表水环境影响评价范围内无饮用水源保护区、饮用水源饮用水取水口，涉水的自然保护区、风景名胜区，重要湿地、重点保护与珍稀水生生物的栖息地、重要水生生物的自然产卵场及索饵场、越冬场和洄游通道，天然渔场等渔业水体，以及水产种质资源保护区等水环境保护目标。</w:t>
      </w:r>
    </w:p>
    <w:p w14:paraId="300EBB3B">
      <w:pPr>
        <w:pStyle w:val="752"/>
        <w:rPr>
          <w:rFonts w:cs="Times New Roman"/>
          <w:color w:val="000000" w:themeColor="text1"/>
          <w14:textFill>
            <w14:solidFill>
              <w14:schemeClr w14:val="tx1"/>
            </w14:solidFill>
          </w14:textFill>
        </w:rPr>
      </w:pPr>
      <w:bookmarkStart w:id="242" w:name="_Toc233380142"/>
      <w:r>
        <w:rPr>
          <w:rFonts w:cs="Times New Roman"/>
          <w:color w:val="000000" w:themeColor="text1"/>
          <w14:textFill>
            <w14:solidFill>
              <w14:schemeClr w14:val="tx1"/>
            </w14:solidFill>
          </w14:textFill>
        </w:rPr>
        <w:t>2</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8</w:t>
      </w:r>
      <w:r>
        <w:rPr>
          <w:rFonts w:hint="eastAsia" w:cs="Times New Roman"/>
          <w:color w:val="000000" w:themeColor="text1"/>
          <w14:textFill>
            <w14:solidFill>
              <w14:schemeClr w14:val="tx1"/>
            </w14:solidFill>
          </w14:textFill>
        </w:rPr>
        <w:t>.3地下水环境保护目标</w:t>
      </w:r>
      <w:bookmarkEnd w:id="242"/>
    </w:p>
    <w:p w14:paraId="16F5BA33">
      <w:pPr>
        <w:spacing w:line="360" w:lineRule="auto"/>
        <w:ind w:firstLine="480" w:firstLineChars="200"/>
        <w:jc w:val="both"/>
        <w:rPr>
          <w:sz w:val="24"/>
        </w:rPr>
      </w:pPr>
      <w:r>
        <w:rPr>
          <w:rFonts w:hint="eastAsia"/>
          <w:sz w:val="24"/>
        </w:rPr>
        <w:t>本项目所在的水文地质单元内无地下饮用水源等地下水环境保护目标（周边居民已实现水厂集中供水），周边存在多处泉点，均无饮用功能。本项目地下水环境保护目标主要为项目所在水文地质单元内的潜水含水层。</w:t>
      </w:r>
    </w:p>
    <w:p w14:paraId="78ED1D87">
      <w:pPr>
        <w:pStyle w:val="752"/>
        <w:rPr>
          <w:rFonts w:cs="Times New Roman"/>
          <w:color w:val="000000" w:themeColor="text1"/>
          <w14:textFill>
            <w14:solidFill>
              <w14:schemeClr w14:val="tx1"/>
            </w14:solidFill>
          </w14:textFill>
        </w:rPr>
      </w:pPr>
      <w:bookmarkStart w:id="243" w:name="_Toc233380143"/>
      <w:r>
        <w:rPr>
          <w:rFonts w:cs="Times New Roman"/>
          <w:color w:val="000000" w:themeColor="text1"/>
          <w14:textFill>
            <w14:solidFill>
              <w14:schemeClr w14:val="tx1"/>
            </w14:solidFill>
          </w14:textFill>
        </w:rPr>
        <w:t>2</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8</w:t>
      </w:r>
      <w:r>
        <w:rPr>
          <w:rFonts w:hint="eastAsia" w:cs="Times New Roman"/>
          <w:color w:val="000000" w:themeColor="text1"/>
          <w14:textFill>
            <w14:solidFill>
              <w14:schemeClr w14:val="tx1"/>
            </w14:solidFill>
          </w14:textFill>
        </w:rPr>
        <w:t>.4土壤环境保护目标</w:t>
      </w:r>
      <w:bookmarkEnd w:id="243"/>
    </w:p>
    <w:p w14:paraId="50099477">
      <w:pPr>
        <w:spacing w:line="360" w:lineRule="auto"/>
        <w:ind w:firstLine="480" w:firstLineChars="200"/>
        <w:jc w:val="both"/>
        <w:rPr>
          <w:color w:val="FF0000"/>
          <w:sz w:val="24"/>
        </w:rPr>
      </w:pPr>
      <w:r>
        <w:rPr>
          <w:rFonts w:hint="eastAsia"/>
          <w:color w:val="FF0000"/>
          <w:sz w:val="24"/>
        </w:rPr>
        <w:t>本项目土壤环境影响评价范围内存在耕地、园地、居住用地（居民宅基地，项目投运前对环境防护距离内居民实施搬迁或功能置换后，土壤环境影响评价范围内无居民住宅分布）、学校、医院、疗养院、养老院等土壤环境敏感目标。</w:t>
      </w:r>
    </w:p>
    <w:p w14:paraId="650ADEDD">
      <w:pPr>
        <w:pStyle w:val="752"/>
        <w:rPr>
          <w:rFonts w:cs="Times New Roman"/>
          <w:color w:val="000000" w:themeColor="text1"/>
          <w14:textFill>
            <w14:solidFill>
              <w14:schemeClr w14:val="tx1"/>
            </w14:solidFill>
          </w14:textFill>
        </w:rPr>
      </w:pPr>
      <w:bookmarkStart w:id="244" w:name="_Toc233380144"/>
      <w:r>
        <w:rPr>
          <w:rFonts w:cs="Times New Roman"/>
          <w:color w:val="000000" w:themeColor="text1"/>
          <w14:textFill>
            <w14:solidFill>
              <w14:schemeClr w14:val="tx1"/>
            </w14:solidFill>
          </w14:textFill>
        </w:rPr>
        <w:t>2</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8</w:t>
      </w:r>
      <w:r>
        <w:rPr>
          <w:rFonts w:hint="eastAsia" w:cs="Times New Roman"/>
          <w:color w:val="000000" w:themeColor="text1"/>
          <w14:textFill>
            <w14:solidFill>
              <w14:schemeClr w14:val="tx1"/>
            </w14:solidFill>
          </w14:textFill>
        </w:rPr>
        <w:t>.5声环境保护目标</w:t>
      </w:r>
      <w:bookmarkEnd w:id="244"/>
    </w:p>
    <w:p w14:paraId="3EEED1DE">
      <w:pPr>
        <w:spacing w:line="360" w:lineRule="auto"/>
        <w:ind w:firstLine="480" w:firstLineChars="200"/>
        <w:jc w:val="both"/>
        <w:rPr>
          <w:sz w:val="24"/>
        </w:rPr>
      </w:pPr>
      <w:r>
        <w:rPr>
          <w:rFonts w:hint="eastAsia"/>
          <w:sz w:val="24"/>
        </w:rPr>
        <w:t>声环境保护目标为项目厂界200m范围内的居民住户。</w:t>
      </w:r>
    </w:p>
    <w:p w14:paraId="73811E53">
      <w:pPr>
        <w:pStyle w:val="752"/>
        <w:rPr>
          <w:rFonts w:cs="Times New Roman"/>
          <w:color w:val="000000" w:themeColor="text1"/>
          <w14:textFill>
            <w14:solidFill>
              <w14:schemeClr w14:val="tx1"/>
            </w14:solidFill>
          </w14:textFill>
        </w:rPr>
      </w:pPr>
      <w:bookmarkStart w:id="245" w:name="_Toc233380145"/>
      <w:r>
        <w:rPr>
          <w:rFonts w:cs="Times New Roman"/>
          <w:color w:val="000000" w:themeColor="text1"/>
          <w14:textFill>
            <w14:solidFill>
              <w14:schemeClr w14:val="tx1"/>
            </w14:solidFill>
          </w14:textFill>
        </w:rPr>
        <w:t>2.8.6环境风险保护目标</w:t>
      </w:r>
      <w:bookmarkEnd w:id="245"/>
    </w:p>
    <w:p w14:paraId="562811B4">
      <w:pPr>
        <w:spacing w:line="360" w:lineRule="auto"/>
        <w:ind w:firstLine="480" w:firstLineChars="200"/>
        <w:jc w:val="both"/>
        <w:rPr>
          <w:sz w:val="24"/>
        </w:rPr>
      </w:pPr>
      <w:r>
        <w:rPr>
          <w:sz w:val="24"/>
        </w:rPr>
        <w:t>结合现场踏勘情况并查阅饮用水源划分等相关文件，依据《建设项目环境风险评价技术导则》（HJ169-2018），统计项目环境风险保护目标见表2.8-4。</w:t>
      </w:r>
    </w:p>
    <w:p w14:paraId="5E0D95B8">
      <w:pPr>
        <w:pStyle w:val="752"/>
        <w:rPr>
          <w:rFonts w:cs="Times New Roman"/>
          <w:color w:val="000000" w:themeColor="text1"/>
          <w14:textFill>
            <w14:solidFill>
              <w14:schemeClr w14:val="tx1"/>
            </w14:solidFill>
          </w14:textFill>
        </w:rPr>
      </w:pPr>
      <w:bookmarkStart w:id="246" w:name="_Toc233380146"/>
      <w:r>
        <w:rPr>
          <w:rFonts w:cs="Times New Roman"/>
          <w:color w:val="000000" w:themeColor="text1"/>
          <w14:textFill>
            <w14:solidFill>
              <w14:schemeClr w14:val="tx1"/>
            </w14:solidFill>
          </w14:textFill>
        </w:rPr>
        <w:t>2.8.7生态环境保护目标</w:t>
      </w:r>
      <w:bookmarkEnd w:id="246"/>
    </w:p>
    <w:p w14:paraId="2C112C60">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经</w:t>
      </w:r>
      <w:r>
        <w:rPr>
          <w:rFonts w:hint="eastAsia"/>
          <w:color w:val="000000" w:themeColor="text1"/>
          <w:sz w:val="24"/>
          <w14:textFill>
            <w14:solidFill>
              <w14:schemeClr w14:val="tx1"/>
            </w14:solidFill>
          </w14:textFill>
        </w:rPr>
        <w:t>查阅四川省</w:t>
      </w:r>
      <w:r>
        <w:rPr>
          <w:color w:val="000000" w:themeColor="text1"/>
          <w:sz w:val="24"/>
          <w14:textFill>
            <w14:solidFill>
              <w14:schemeClr w14:val="tx1"/>
            </w14:solidFill>
          </w14:textFill>
        </w:rPr>
        <w:t>“三线一单”检索系统，项目不涉及生态保护红线、自然保护区等《环境影响评价技术导则 生态影响》（HJ 19-2011）中明确的生态保护目标。</w:t>
      </w:r>
    </w:p>
    <w:p w14:paraId="3182AC9B">
      <w:pPr>
        <w:spacing w:line="360" w:lineRule="auto"/>
        <w:ind w:firstLine="480" w:firstLineChars="200"/>
        <w:jc w:val="both"/>
        <w:rPr>
          <w:color w:val="FF0000"/>
          <w:sz w:val="24"/>
        </w:rPr>
        <w:sectPr>
          <w:pgSz w:w="11907" w:h="16840"/>
          <w:pgMar w:top="1440" w:right="1797" w:bottom="1440" w:left="1797" w:header="851" w:footer="992" w:gutter="0"/>
          <w:pgNumType w:chapStyle="1"/>
          <w:cols w:space="720" w:num="1"/>
          <w:docGrid w:linePitch="312" w:charSpace="0"/>
        </w:sectPr>
      </w:pPr>
    </w:p>
    <w:p w14:paraId="48BDE1C9">
      <w:pPr>
        <w:pStyle w:val="3"/>
        <w:snapToGrid w:val="0"/>
        <w:spacing w:before="240" w:beforeLines="100" w:after="240" w:afterLines="100" w:line="360" w:lineRule="auto"/>
        <w:rPr>
          <w:bCs w:val="0"/>
          <w:color w:val="000000" w:themeColor="text1"/>
          <w:sz w:val="36"/>
          <w:szCs w:val="36"/>
          <w14:textFill>
            <w14:solidFill>
              <w14:schemeClr w14:val="tx1"/>
            </w14:solidFill>
          </w14:textFill>
        </w:rPr>
      </w:pPr>
      <w:bookmarkStart w:id="247" w:name="_Toc233380147"/>
      <w:bookmarkStart w:id="248" w:name="_Toc40220661"/>
      <w:bookmarkStart w:id="249" w:name="_Toc13951"/>
      <w:r>
        <w:rPr>
          <w:bCs w:val="0"/>
          <w:color w:val="000000" w:themeColor="text1"/>
          <w:sz w:val="36"/>
          <w:szCs w:val="36"/>
          <w14:textFill>
            <w14:solidFill>
              <w14:schemeClr w14:val="tx1"/>
            </w14:solidFill>
          </w14:textFill>
        </w:rPr>
        <w:t>3建设项目工程分析</w:t>
      </w:r>
      <w:bookmarkEnd w:id="247"/>
      <w:bookmarkEnd w:id="248"/>
      <w:bookmarkEnd w:id="249"/>
    </w:p>
    <w:p w14:paraId="378BC1C6">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250" w:name="_Toc30814"/>
      <w:bookmarkStart w:id="251" w:name="_Toc233380148"/>
      <w:bookmarkStart w:id="252" w:name="_Toc40220662"/>
      <w:r>
        <w:rPr>
          <w:rFonts w:ascii="Times New Roman" w:hAnsi="Times New Roman" w:eastAsia="宋体"/>
          <w:color w:val="000000" w:themeColor="text1"/>
          <w:sz w:val="30"/>
          <w:szCs w:val="30"/>
          <w14:textFill>
            <w14:solidFill>
              <w14:schemeClr w14:val="tx1"/>
            </w14:solidFill>
          </w14:textFill>
        </w:rPr>
        <w:t>3.1建设项目概况</w:t>
      </w:r>
      <w:bookmarkEnd w:id="250"/>
      <w:bookmarkEnd w:id="251"/>
    </w:p>
    <w:p w14:paraId="07959609">
      <w:pPr>
        <w:pStyle w:val="752"/>
        <w:rPr>
          <w:rFonts w:cs="Times New Roman"/>
          <w:color w:val="000000" w:themeColor="text1"/>
          <w14:textFill>
            <w14:solidFill>
              <w14:schemeClr w14:val="tx1"/>
            </w14:solidFill>
          </w14:textFill>
        </w:rPr>
      </w:pPr>
      <w:bookmarkStart w:id="253" w:name="_Toc21617"/>
      <w:bookmarkStart w:id="254" w:name="_Toc233380149"/>
      <w:r>
        <w:rPr>
          <w:rFonts w:cs="Times New Roman"/>
          <w:color w:val="000000" w:themeColor="text1"/>
          <w14:textFill>
            <w14:solidFill>
              <w14:schemeClr w14:val="tx1"/>
            </w14:solidFill>
          </w14:textFill>
        </w:rPr>
        <w:t>3.1.1项目名称、性质、地点</w:t>
      </w:r>
      <w:bookmarkEnd w:id="252"/>
      <w:r>
        <w:rPr>
          <w:rFonts w:cs="Times New Roman"/>
          <w:color w:val="000000" w:themeColor="text1"/>
          <w14:textFill>
            <w14:solidFill>
              <w14:schemeClr w14:val="tx1"/>
            </w14:solidFill>
          </w14:textFill>
        </w:rPr>
        <w:t>等</w:t>
      </w:r>
      <w:bookmarkEnd w:id="253"/>
      <w:bookmarkEnd w:id="254"/>
    </w:p>
    <w:p w14:paraId="10A9873A">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bookmarkStart w:id="255" w:name="_Toc15640"/>
      <w:r>
        <w:rPr>
          <w:color w:val="000000" w:themeColor="text1"/>
          <w:kern w:val="0"/>
          <w:sz w:val="24"/>
          <w14:textFill>
            <w14:solidFill>
              <w14:schemeClr w14:val="tx1"/>
            </w14:solidFill>
          </w14:textFill>
        </w:rPr>
        <w:t>（1）项目名称：</w:t>
      </w:r>
      <w:bookmarkStart w:id="256" w:name="OLE_LINK9"/>
      <w:bookmarkStart w:id="257" w:name="OLE_LINK10"/>
      <w:r>
        <w:rPr>
          <w:color w:val="000000" w:themeColor="text1"/>
          <w:kern w:val="0"/>
          <w:sz w:val="24"/>
          <w14:textFill>
            <w14:solidFill>
              <w14:schemeClr w14:val="tx1"/>
            </w14:solidFill>
          </w14:textFill>
        </w:rPr>
        <w:t>巴州区肉牛产业建设项目</w:t>
      </w:r>
      <w:bookmarkEnd w:id="256"/>
      <w:bookmarkEnd w:id="257"/>
    </w:p>
    <w:p w14:paraId="52B57923">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（2）建设单位：巴中市巨城市政工程有限公司</w:t>
      </w:r>
    </w:p>
    <w:p w14:paraId="16F50EFB">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（3）建设性质：新建</w:t>
      </w:r>
    </w:p>
    <w:p w14:paraId="524C6FCD">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（4）建设地点：巴中市巴州区白庙乡百花村，曾口镇佛龙村，清江镇塘坝村，水宁寺镇始宁社区，项目地理位置图见附图1。</w:t>
      </w:r>
    </w:p>
    <w:p w14:paraId="5969E34A">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（5）项目投资：</w:t>
      </w:r>
      <w:r>
        <w:rPr>
          <w:color w:val="FF0000"/>
          <w:kern w:val="0"/>
          <w:sz w:val="24"/>
        </w:rPr>
        <w:t>项目总投资35090.20万元，其中环保投资360.0万元，占项目总投资的1.026%。</w:t>
      </w:r>
    </w:p>
    <w:p w14:paraId="4E41633A">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（6）</w:t>
      </w:r>
      <w:r>
        <w:rPr>
          <w:rFonts w:hint="eastAsia"/>
          <w:color w:val="000000" w:themeColor="text1"/>
          <w:kern w:val="0"/>
          <w:sz w:val="24"/>
          <w14:textFill>
            <w14:solidFill>
              <w14:schemeClr w14:val="tx1"/>
            </w14:solidFill>
          </w14:textFill>
        </w:rPr>
        <w:t>总</w:t>
      </w:r>
      <w:r>
        <w:rPr>
          <w:color w:val="000000" w:themeColor="text1"/>
          <w:kern w:val="0"/>
          <w:sz w:val="24"/>
          <w14:textFill>
            <w14:solidFill>
              <w14:schemeClr w14:val="tx1"/>
            </w14:solidFill>
          </w14:textFill>
        </w:rPr>
        <w:t>用地面积：</w:t>
      </w:r>
      <w:r>
        <w:rPr>
          <w:color w:val="000000" w:themeColor="text1"/>
          <w:sz w:val="24"/>
          <w14:textFill>
            <w14:solidFill>
              <w14:schemeClr w14:val="tx1"/>
            </w14:solidFill>
          </w14:textFill>
        </w:rPr>
        <w:t>22.15</w:t>
      </w: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2</w:t>
      </w:r>
    </w:p>
    <w:p w14:paraId="3D887DA4">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（7）建设进度：建设周期24个月。</w:t>
      </w:r>
    </w:p>
    <w:p w14:paraId="3848C0B0">
      <w:pPr>
        <w:adjustRightInd w:val="0"/>
        <w:snapToGrid w:val="0"/>
        <w:spacing w:line="360" w:lineRule="auto"/>
        <w:ind w:firstLine="480" w:firstLineChars="200"/>
        <w:rPr>
          <w:kern w:val="0"/>
          <w:sz w:val="24"/>
        </w:rPr>
      </w:pPr>
      <w:r>
        <w:rPr>
          <w:kern w:val="0"/>
          <w:sz w:val="24"/>
        </w:rPr>
        <w:t>（8）劳动定员：50人，厂内设置食宿。</w:t>
      </w:r>
    </w:p>
    <w:p w14:paraId="5A14FE0C">
      <w:pPr>
        <w:adjustRightInd w:val="0"/>
        <w:snapToGrid w:val="0"/>
        <w:spacing w:line="360" w:lineRule="auto"/>
        <w:ind w:firstLine="480" w:firstLineChars="200"/>
        <w:rPr>
          <w:kern w:val="0"/>
          <w:sz w:val="24"/>
        </w:rPr>
      </w:pPr>
      <w:r>
        <w:rPr>
          <w:kern w:val="0"/>
          <w:sz w:val="24"/>
        </w:rPr>
        <w:t>（9）工作制度：工作365天/年，每班8h，三班制。</w:t>
      </w:r>
    </w:p>
    <w:p w14:paraId="1C575766">
      <w:pPr>
        <w:adjustRightInd w:val="0"/>
        <w:snapToGrid w:val="0"/>
        <w:spacing w:line="360" w:lineRule="auto"/>
        <w:jc w:val="center"/>
        <w:rPr>
          <w:rFonts w:ascii="黑体" w:hAnsi="黑体" w:eastAsia="黑体"/>
          <w:kern w:val="0"/>
          <w:szCs w:val="21"/>
        </w:rPr>
      </w:pPr>
      <w:r>
        <w:rPr>
          <w:rFonts w:hint="eastAsia" w:ascii="黑体" w:hAnsi="黑体" w:eastAsia="黑体"/>
          <w:kern w:val="0"/>
          <w:szCs w:val="21"/>
        </w:rPr>
        <w:t>表3</w:t>
      </w:r>
      <w:r>
        <w:rPr>
          <w:rFonts w:ascii="黑体" w:hAnsi="黑体" w:eastAsia="黑体"/>
          <w:kern w:val="0"/>
          <w:szCs w:val="21"/>
        </w:rPr>
        <w:t>.1-1</w:t>
      </w:r>
      <w:r>
        <w:rPr>
          <w:rFonts w:hint="eastAsia" w:ascii="黑体" w:hAnsi="黑体" w:eastAsia="黑体"/>
          <w:kern w:val="0"/>
          <w:szCs w:val="21"/>
        </w:rPr>
        <w:t>各养殖场区基本情况表</w:t>
      </w:r>
    </w:p>
    <w:tbl>
      <w:tblPr>
        <w:tblStyle w:val="8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2579"/>
        <w:gridCol w:w="1294"/>
        <w:gridCol w:w="928"/>
        <w:gridCol w:w="742"/>
        <w:gridCol w:w="846"/>
        <w:gridCol w:w="569"/>
        <w:gridCol w:w="658"/>
      </w:tblGrid>
      <w:tr w14:paraId="4165F4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0" w:type="pct"/>
            <w:vMerge w:val="restart"/>
            <w:vAlign w:val="center"/>
          </w:tcPr>
          <w:p w14:paraId="65EDBF79">
            <w:pPr>
              <w:widowControl w:val="0"/>
              <w:adjustRightInd w:val="0"/>
              <w:snapToGrid w:val="0"/>
              <w:jc w:val="center"/>
              <w:rPr>
                <w:rFonts w:ascii="宋体" w:hAnsi="宋体"/>
                <w:kern w:val="0"/>
                <w:szCs w:val="21"/>
              </w:rPr>
            </w:pPr>
            <w:r>
              <w:rPr>
                <w:rFonts w:hint="eastAsia" w:ascii="宋体" w:hAnsi="宋体"/>
                <w:kern w:val="0"/>
                <w:szCs w:val="21"/>
              </w:rPr>
              <w:t>养殖场区</w:t>
            </w:r>
          </w:p>
        </w:tc>
        <w:tc>
          <w:tcPr>
            <w:tcW w:w="1551" w:type="pct"/>
            <w:vMerge w:val="restart"/>
            <w:vAlign w:val="center"/>
          </w:tcPr>
          <w:p w14:paraId="10075775">
            <w:pPr>
              <w:widowControl w:val="0"/>
              <w:adjustRightInd w:val="0"/>
              <w:snapToGrid w:val="0"/>
              <w:jc w:val="center"/>
              <w:rPr>
                <w:rFonts w:ascii="宋体" w:hAnsi="宋体"/>
                <w:kern w:val="0"/>
                <w:szCs w:val="21"/>
              </w:rPr>
            </w:pPr>
            <w:r>
              <w:rPr>
                <w:rFonts w:hint="eastAsia" w:ascii="宋体" w:hAnsi="宋体"/>
                <w:kern w:val="0"/>
                <w:szCs w:val="21"/>
              </w:rPr>
              <w:t>建设位置</w:t>
            </w:r>
          </w:p>
          <w:p w14:paraId="6CD766BC">
            <w:pPr>
              <w:widowControl w:val="0"/>
              <w:adjustRightInd w:val="0"/>
              <w:snapToGrid w:val="0"/>
              <w:jc w:val="center"/>
              <w:rPr>
                <w:rFonts w:ascii="宋体" w:hAnsi="宋体"/>
                <w:kern w:val="0"/>
                <w:szCs w:val="21"/>
              </w:rPr>
            </w:pPr>
            <w:r>
              <w:rPr>
                <w:rFonts w:hint="eastAsia" w:ascii="宋体" w:hAnsi="宋体"/>
                <w:kern w:val="0"/>
                <w:szCs w:val="21"/>
              </w:rPr>
              <w:t>（地理坐标）</w:t>
            </w:r>
          </w:p>
        </w:tc>
        <w:tc>
          <w:tcPr>
            <w:tcW w:w="778" w:type="pct"/>
            <w:vMerge w:val="restart"/>
            <w:vAlign w:val="center"/>
          </w:tcPr>
          <w:p w14:paraId="1E8D3C13">
            <w:pPr>
              <w:widowControl w:val="0"/>
              <w:adjustRightInd w:val="0"/>
              <w:snapToGrid w:val="0"/>
              <w:jc w:val="center"/>
              <w:rPr>
                <w:rFonts w:ascii="宋体" w:hAnsi="宋体"/>
                <w:kern w:val="0"/>
                <w:szCs w:val="21"/>
              </w:rPr>
            </w:pPr>
            <w:r>
              <w:rPr>
                <w:rFonts w:hint="eastAsia" w:ascii="宋体" w:hAnsi="宋体"/>
                <w:kern w:val="0"/>
                <w:szCs w:val="21"/>
              </w:rPr>
              <w:t>占地面积/m</w:t>
            </w:r>
            <w:r>
              <w:rPr>
                <w:rFonts w:ascii="宋体" w:hAnsi="宋体"/>
                <w:kern w:val="0"/>
                <w:szCs w:val="21"/>
                <w:vertAlign w:val="superscript"/>
              </w:rPr>
              <w:t>2</w:t>
            </w:r>
          </w:p>
        </w:tc>
        <w:tc>
          <w:tcPr>
            <w:tcW w:w="1004" w:type="pct"/>
            <w:gridSpan w:val="2"/>
            <w:vAlign w:val="center"/>
          </w:tcPr>
          <w:p w14:paraId="453FAC60">
            <w:pPr>
              <w:widowControl w:val="0"/>
              <w:adjustRightInd w:val="0"/>
              <w:snapToGrid w:val="0"/>
              <w:jc w:val="center"/>
              <w:rPr>
                <w:rFonts w:ascii="宋体" w:hAnsi="宋体"/>
                <w:kern w:val="0"/>
                <w:szCs w:val="21"/>
              </w:rPr>
            </w:pPr>
            <w:r>
              <w:rPr>
                <w:rFonts w:hint="eastAsia" w:ascii="宋体" w:hAnsi="宋体"/>
                <w:kern w:val="0"/>
                <w:szCs w:val="21"/>
              </w:rPr>
              <w:t>养殖规模</w:t>
            </w:r>
          </w:p>
        </w:tc>
        <w:tc>
          <w:tcPr>
            <w:tcW w:w="509" w:type="pct"/>
            <w:vMerge w:val="restart"/>
            <w:vAlign w:val="center"/>
          </w:tcPr>
          <w:p w14:paraId="28689C9F">
            <w:pPr>
              <w:widowControl w:val="0"/>
              <w:adjustRightInd w:val="0"/>
              <w:snapToGrid w:val="0"/>
              <w:jc w:val="center"/>
              <w:rPr>
                <w:rFonts w:ascii="宋体" w:hAnsi="宋体"/>
                <w:kern w:val="0"/>
                <w:szCs w:val="21"/>
              </w:rPr>
            </w:pPr>
            <w:r>
              <w:rPr>
                <w:rFonts w:hint="eastAsia" w:ascii="宋体" w:hAnsi="宋体"/>
                <w:kern w:val="0"/>
                <w:szCs w:val="21"/>
              </w:rPr>
              <w:t>折算生猪当量/头</w:t>
            </w:r>
          </w:p>
        </w:tc>
        <w:tc>
          <w:tcPr>
            <w:tcW w:w="342" w:type="pct"/>
            <w:vMerge w:val="restart"/>
            <w:vAlign w:val="center"/>
          </w:tcPr>
          <w:p w14:paraId="5F4A774B">
            <w:pPr>
              <w:widowControl w:val="0"/>
              <w:adjustRightInd w:val="0"/>
              <w:snapToGrid w:val="0"/>
              <w:jc w:val="center"/>
              <w:rPr>
                <w:rFonts w:ascii="宋体" w:hAnsi="宋体"/>
                <w:kern w:val="0"/>
                <w:szCs w:val="21"/>
              </w:rPr>
            </w:pPr>
            <w:r>
              <w:rPr>
                <w:rFonts w:hint="eastAsia" w:ascii="宋体" w:hAnsi="宋体"/>
                <w:kern w:val="0"/>
                <w:szCs w:val="21"/>
              </w:rPr>
              <w:t>养殖周期/天</w:t>
            </w:r>
          </w:p>
        </w:tc>
        <w:tc>
          <w:tcPr>
            <w:tcW w:w="396" w:type="pct"/>
            <w:vMerge w:val="restart"/>
            <w:vAlign w:val="center"/>
          </w:tcPr>
          <w:p w14:paraId="482EAB14">
            <w:pPr>
              <w:widowControl w:val="0"/>
              <w:adjustRightInd w:val="0"/>
              <w:snapToGrid w:val="0"/>
              <w:jc w:val="center"/>
              <w:rPr>
                <w:rFonts w:ascii="宋体" w:hAnsi="宋体"/>
                <w:kern w:val="0"/>
                <w:szCs w:val="21"/>
              </w:rPr>
            </w:pPr>
            <w:r>
              <w:rPr>
                <w:rFonts w:hint="eastAsia" w:ascii="宋体" w:hAnsi="宋体"/>
                <w:kern w:val="0"/>
                <w:szCs w:val="21"/>
              </w:rPr>
              <w:t>劳动定员/人</w:t>
            </w:r>
          </w:p>
        </w:tc>
      </w:tr>
      <w:tr w14:paraId="172159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0" w:type="pct"/>
            <w:vMerge w:val="continue"/>
            <w:vAlign w:val="center"/>
          </w:tcPr>
          <w:p w14:paraId="7BDFE375">
            <w:pPr>
              <w:widowControl w:val="0"/>
              <w:adjustRightInd w:val="0"/>
              <w:snapToGrid w:val="0"/>
              <w:jc w:val="center"/>
              <w:rPr>
                <w:rFonts w:ascii="宋体" w:hAnsi="宋体"/>
                <w:kern w:val="0"/>
                <w:szCs w:val="21"/>
              </w:rPr>
            </w:pPr>
          </w:p>
        </w:tc>
        <w:tc>
          <w:tcPr>
            <w:tcW w:w="1551" w:type="pct"/>
            <w:vMerge w:val="continue"/>
            <w:vAlign w:val="center"/>
          </w:tcPr>
          <w:p w14:paraId="57260A7F">
            <w:pPr>
              <w:widowControl w:val="0"/>
              <w:adjustRightInd w:val="0"/>
              <w:snapToGrid w:val="0"/>
              <w:jc w:val="center"/>
              <w:rPr>
                <w:rFonts w:ascii="宋体" w:hAnsi="宋体"/>
                <w:kern w:val="0"/>
                <w:szCs w:val="21"/>
              </w:rPr>
            </w:pPr>
          </w:p>
        </w:tc>
        <w:tc>
          <w:tcPr>
            <w:tcW w:w="778" w:type="pct"/>
            <w:vMerge w:val="continue"/>
            <w:vAlign w:val="center"/>
          </w:tcPr>
          <w:p w14:paraId="696D81E0">
            <w:pPr>
              <w:widowControl w:val="0"/>
              <w:adjustRightInd w:val="0"/>
              <w:snapToGrid w:val="0"/>
              <w:jc w:val="center"/>
              <w:rPr>
                <w:rFonts w:ascii="宋体" w:hAnsi="宋体"/>
                <w:kern w:val="0"/>
                <w:szCs w:val="21"/>
              </w:rPr>
            </w:pPr>
          </w:p>
        </w:tc>
        <w:tc>
          <w:tcPr>
            <w:tcW w:w="558" w:type="pct"/>
            <w:vAlign w:val="center"/>
          </w:tcPr>
          <w:p w14:paraId="64092E79">
            <w:pPr>
              <w:widowControl w:val="0"/>
              <w:adjustRightInd w:val="0"/>
              <w:snapToGrid w:val="0"/>
              <w:jc w:val="center"/>
              <w:rPr>
                <w:rFonts w:ascii="宋体" w:hAnsi="宋体"/>
                <w:kern w:val="0"/>
                <w:szCs w:val="21"/>
              </w:rPr>
            </w:pPr>
            <w:r>
              <w:rPr>
                <w:rFonts w:hint="eastAsia" w:ascii="宋体" w:hAnsi="宋体"/>
                <w:kern w:val="0"/>
                <w:szCs w:val="21"/>
              </w:rPr>
              <w:t>年最大存栏量，头/a</w:t>
            </w:r>
          </w:p>
        </w:tc>
        <w:tc>
          <w:tcPr>
            <w:tcW w:w="446" w:type="pct"/>
            <w:vAlign w:val="center"/>
          </w:tcPr>
          <w:p w14:paraId="291C631D">
            <w:pPr>
              <w:widowControl w:val="0"/>
              <w:adjustRightInd w:val="0"/>
              <w:snapToGrid w:val="0"/>
              <w:jc w:val="center"/>
              <w:rPr>
                <w:rFonts w:ascii="宋体" w:hAnsi="宋体"/>
                <w:kern w:val="0"/>
                <w:szCs w:val="21"/>
              </w:rPr>
            </w:pPr>
            <w:r>
              <w:rPr>
                <w:rFonts w:hint="eastAsia" w:ascii="宋体" w:hAnsi="宋体"/>
                <w:kern w:val="0"/>
                <w:szCs w:val="21"/>
              </w:rPr>
              <w:t>出栏量，头/a</w:t>
            </w:r>
          </w:p>
        </w:tc>
        <w:tc>
          <w:tcPr>
            <w:tcW w:w="509" w:type="pct"/>
            <w:vMerge w:val="continue"/>
            <w:vAlign w:val="center"/>
          </w:tcPr>
          <w:p w14:paraId="3D96929E">
            <w:pPr>
              <w:widowControl w:val="0"/>
              <w:adjustRightInd w:val="0"/>
              <w:snapToGrid w:val="0"/>
              <w:jc w:val="center"/>
              <w:rPr>
                <w:rFonts w:ascii="宋体" w:hAnsi="宋体"/>
                <w:kern w:val="0"/>
                <w:szCs w:val="21"/>
              </w:rPr>
            </w:pPr>
          </w:p>
        </w:tc>
        <w:tc>
          <w:tcPr>
            <w:tcW w:w="342" w:type="pct"/>
            <w:vMerge w:val="continue"/>
            <w:vAlign w:val="center"/>
          </w:tcPr>
          <w:p w14:paraId="1E1C35AC">
            <w:pPr>
              <w:widowControl w:val="0"/>
              <w:adjustRightInd w:val="0"/>
              <w:snapToGrid w:val="0"/>
              <w:jc w:val="center"/>
              <w:rPr>
                <w:rFonts w:ascii="宋体" w:hAnsi="宋体"/>
                <w:kern w:val="0"/>
                <w:szCs w:val="21"/>
              </w:rPr>
            </w:pPr>
          </w:p>
        </w:tc>
        <w:tc>
          <w:tcPr>
            <w:tcW w:w="396" w:type="pct"/>
            <w:vMerge w:val="continue"/>
            <w:vAlign w:val="center"/>
          </w:tcPr>
          <w:p w14:paraId="41132939">
            <w:pPr>
              <w:widowControl w:val="0"/>
              <w:adjustRightInd w:val="0"/>
              <w:snapToGrid w:val="0"/>
              <w:jc w:val="center"/>
              <w:rPr>
                <w:rFonts w:ascii="宋体" w:hAnsi="宋体"/>
                <w:kern w:val="0"/>
                <w:szCs w:val="21"/>
              </w:rPr>
            </w:pPr>
          </w:p>
        </w:tc>
      </w:tr>
      <w:tr w14:paraId="4BA3FB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0" w:type="pct"/>
            <w:vAlign w:val="center"/>
          </w:tcPr>
          <w:p w14:paraId="7F5C3BF1">
            <w:pPr>
              <w:widowControl w:val="0"/>
              <w:adjustRightInd w:val="0"/>
              <w:snapToGrid w:val="0"/>
              <w:jc w:val="center"/>
              <w:rPr>
                <w:rFonts w:ascii="宋体" w:hAnsi="宋体"/>
                <w:kern w:val="0"/>
                <w:szCs w:val="21"/>
              </w:rPr>
            </w:pPr>
            <w:r>
              <w:rPr>
                <w:rFonts w:hint="eastAsia" w:ascii="宋体" w:hAnsi="宋体"/>
                <w:kern w:val="0"/>
                <w:szCs w:val="21"/>
              </w:rPr>
              <w:t>百花养殖场区</w:t>
            </w:r>
          </w:p>
        </w:tc>
        <w:tc>
          <w:tcPr>
            <w:tcW w:w="1551" w:type="pct"/>
            <w:vAlign w:val="center"/>
          </w:tcPr>
          <w:p w14:paraId="38CC0751">
            <w:pPr>
              <w:widowControl w:val="0"/>
              <w:adjustRightInd w:val="0"/>
              <w:snapToGrid w:val="0"/>
              <w:jc w:val="center"/>
              <w:rPr>
                <w:rFonts w:ascii="宋体" w:hAnsi="宋体"/>
                <w:kern w:val="0"/>
                <w:szCs w:val="21"/>
              </w:rPr>
            </w:pPr>
            <w:r>
              <w:rPr>
                <w:rFonts w:hint="eastAsia" w:ascii="宋体" w:hAnsi="宋体"/>
                <w:kern w:val="0"/>
                <w:szCs w:val="21"/>
              </w:rPr>
              <w:t>白庙乡百花村</w:t>
            </w:r>
          </w:p>
          <w:p w14:paraId="10749A8B">
            <w:pPr>
              <w:widowControl w:val="0"/>
              <w:adjustRightInd w:val="0"/>
              <w:snapToGrid w:val="0"/>
              <w:jc w:val="center"/>
              <w:rPr>
                <w:rFonts w:ascii="宋体" w:hAnsi="宋体"/>
                <w:kern w:val="0"/>
                <w:szCs w:val="21"/>
              </w:rPr>
            </w:pPr>
            <w:r>
              <w:rPr>
                <w:rFonts w:hint="eastAsia" w:ascii="宋体" w:hAnsi="宋体"/>
                <w:kern w:val="0"/>
                <w:szCs w:val="21"/>
              </w:rPr>
              <w:t>（</w:t>
            </w:r>
            <w:bookmarkStart w:id="258" w:name="OLE_LINK129"/>
            <w:bookmarkStart w:id="259" w:name="OLE_LINK130"/>
            <w:r>
              <w:rPr>
                <w:color w:val="FF0000"/>
                <w:szCs w:val="21"/>
              </w:rPr>
              <w:t>107.026439,31.990819</w:t>
            </w:r>
            <w:bookmarkEnd w:id="258"/>
            <w:bookmarkEnd w:id="259"/>
            <w:r>
              <w:rPr>
                <w:rFonts w:hint="eastAsia"/>
                <w:color w:val="FF0000"/>
                <w:szCs w:val="21"/>
              </w:rPr>
              <w:t>）</w:t>
            </w:r>
          </w:p>
        </w:tc>
        <w:tc>
          <w:tcPr>
            <w:tcW w:w="778" w:type="pct"/>
            <w:vAlign w:val="center"/>
          </w:tcPr>
          <w:p w14:paraId="64598210">
            <w:pPr>
              <w:widowControl w:val="0"/>
              <w:adjustRightInd w:val="0"/>
              <w:snapToGrid w:val="0"/>
              <w:jc w:val="center"/>
              <w:rPr>
                <w:rFonts w:ascii="宋体" w:hAnsi="宋体"/>
                <w:kern w:val="0"/>
                <w:szCs w:val="21"/>
              </w:rPr>
            </w:pPr>
            <w:r>
              <w:rPr>
                <w:rFonts w:hint="eastAsia" w:ascii="宋体" w:hAnsi="宋体"/>
                <w:kern w:val="0"/>
                <w:szCs w:val="21"/>
              </w:rPr>
              <w:t>6</w:t>
            </w:r>
            <w:r>
              <w:rPr>
                <w:rFonts w:ascii="宋体" w:hAnsi="宋体"/>
                <w:kern w:val="0"/>
                <w:szCs w:val="21"/>
              </w:rPr>
              <w:t>4634.93</w:t>
            </w:r>
          </w:p>
        </w:tc>
        <w:tc>
          <w:tcPr>
            <w:tcW w:w="558" w:type="pct"/>
            <w:vAlign w:val="center"/>
          </w:tcPr>
          <w:p w14:paraId="58DF8929">
            <w:pPr>
              <w:widowControl w:val="0"/>
              <w:adjustRightInd w:val="0"/>
              <w:snapToGrid w:val="0"/>
              <w:jc w:val="center"/>
              <w:rPr>
                <w:rFonts w:ascii="宋体" w:hAnsi="宋体"/>
                <w:kern w:val="0"/>
                <w:szCs w:val="21"/>
              </w:rPr>
            </w:pPr>
            <w:r>
              <w:rPr>
                <w:rFonts w:hint="eastAsia" w:ascii="宋体" w:hAnsi="宋体"/>
                <w:kern w:val="0"/>
                <w:szCs w:val="21"/>
              </w:rPr>
              <w:t>3290</w:t>
            </w:r>
          </w:p>
        </w:tc>
        <w:tc>
          <w:tcPr>
            <w:tcW w:w="446" w:type="pct"/>
            <w:vAlign w:val="center"/>
          </w:tcPr>
          <w:p w14:paraId="33485DA8">
            <w:pPr>
              <w:widowControl w:val="0"/>
              <w:adjustRightInd w:val="0"/>
              <w:snapToGrid w:val="0"/>
              <w:jc w:val="center"/>
              <w:rPr>
                <w:rFonts w:ascii="宋体" w:hAnsi="宋体"/>
                <w:kern w:val="0"/>
                <w:szCs w:val="21"/>
              </w:rPr>
            </w:pPr>
            <w:r>
              <w:rPr>
                <w:rFonts w:hint="eastAsia" w:ascii="宋体" w:hAnsi="宋体"/>
                <w:kern w:val="0"/>
                <w:szCs w:val="21"/>
              </w:rPr>
              <w:t>6</w:t>
            </w:r>
            <w:r>
              <w:rPr>
                <w:rFonts w:ascii="宋体" w:hAnsi="宋体"/>
                <w:kern w:val="0"/>
                <w:szCs w:val="21"/>
              </w:rPr>
              <w:t>580</w:t>
            </w:r>
          </w:p>
        </w:tc>
        <w:tc>
          <w:tcPr>
            <w:tcW w:w="509" w:type="pct"/>
            <w:vAlign w:val="center"/>
          </w:tcPr>
          <w:p w14:paraId="538AA3CF">
            <w:pPr>
              <w:widowControl w:val="0"/>
              <w:adjustRightInd w:val="0"/>
              <w:snapToGrid w:val="0"/>
              <w:jc w:val="center"/>
              <w:rPr>
                <w:rFonts w:ascii="宋体" w:hAnsi="宋体"/>
                <w:kern w:val="0"/>
                <w:szCs w:val="21"/>
              </w:rPr>
            </w:pPr>
            <w:r>
              <w:rPr>
                <w:rFonts w:ascii="宋体" w:hAnsi="宋体"/>
                <w:kern w:val="0"/>
                <w:szCs w:val="21"/>
              </w:rPr>
              <w:t>32900</w:t>
            </w:r>
          </w:p>
        </w:tc>
        <w:tc>
          <w:tcPr>
            <w:tcW w:w="342" w:type="pct"/>
            <w:vMerge w:val="restart"/>
            <w:vAlign w:val="center"/>
          </w:tcPr>
          <w:p w14:paraId="346D52BE">
            <w:pPr>
              <w:widowControl w:val="0"/>
              <w:adjustRightInd w:val="0"/>
              <w:snapToGrid w:val="0"/>
              <w:jc w:val="center"/>
              <w:rPr>
                <w:rFonts w:ascii="宋体" w:hAnsi="宋体"/>
                <w:kern w:val="0"/>
                <w:szCs w:val="21"/>
              </w:rPr>
            </w:pPr>
            <w:r>
              <w:rPr>
                <w:rFonts w:hint="eastAsia" w:ascii="宋体" w:hAnsi="宋体"/>
                <w:kern w:val="0"/>
                <w:szCs w:val="21"/>
              </w:rPr>
              <w:t>1</w:t>
            </w:r>
            <w:r>
              <w:rPr>
                <w:rFonts w:ascii="宋体" w:hAnsi="宋体"/>
                <w:kern w:val="0"/>
                <w:szCs w:val="21"/>
              </w:rPr>
              <w:t>80</w:t>
            </w:r>
          </w:p>
        </w:tc>
        <w:tc>
          <w:tcPr>
            <w:tcW w:w="396" w:type="pct"/>
            <w:vAlign w:val="center"/>
          </w:tcPr>
          <w:p w14:paraId="129DD293">
            <w:pPr>
              <w:widowControl w:val="0"/>
              <w:adjustRightInd w:val="0"/>
              <w:snapToGrid w:val="0"/>
              <w:jc w:val="center"/>
              <w:rPr>
                <w:rFonts w:ascii="宋体" w:hAnsi="宋体"/>
                <w:kern w:val="0"/>
                <w:szCs w:val="21"/>
              </w:rPr>
            </w:pPr>
            <w:r>
              <w:rPr>
                <w:rFonts w:hint="eastAsia" w:ascii="宋体" w:hAnsi="宋体"/>
                <w:kern w:val="0"/>
                <w:szCs w:val="21"/>
              </w:rPr>
              <w:t>1</w:t>
            </w:r>
            <w:r>
              <w:rPr>
                <w:rFonts w:ascii="宋体" w:hAnsi="宋体"/>
                <w:kern w:val="0"/>
                <w:szCs w:val="21"/>
              </w:rPr>
              <w:t>5</w:t>
            </w:r>
          </w:p>
        </w:tc>
      </w:tr>
      <w:tr w14:paraId="1F009F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0" w:type="pct"/>
            <w:vAlign w:val="center"/>
          </w:tcPr>
          <w:p w14:paraId="6CEEEDD5">
            <w:pPr>
              <w:widowControl w:val="0"/>
              <w:adjustRightInd w:val="0"/>
              <w:snapToGrid w:val="0"/>
              <w:jc w:val="center"/>
              <w:rPr>
                <w:rFonts w:ascii="宋体" w:hAnsi="宋体"/>
                <w:kern w:val="0"/>
                <w:szCs w:val="21"/>
              </w:rPr>
            </w:pPr>
            <w:r>
              <w:rPr>
                <w:rFonts w:hint="eastAsia" w:ascii="宋体" w:hAnsi="宋体"/>
                <w:kern w:val="0"/>
                <w:szCs w:val="21"/>
              </w:rPr>
              <w:t>佛龙养殖场区</w:t>
            </w:r>
          </w:p>
        </w:tc>
        <w:tc>
          <w:tcPr>
            <w:tcW w:w="1551" w:type="pct"/>
            <w:vAlign w:val="center"/>
          </w:tcPr>
          <w:p w14:paraId="2526F66C">
            <w:pPr>
              <w:widowControl w:val="0"/>
              <w:adjustRightInd w:val="0"/>
              <w:snapToGrid w:val="0"/>
              <w:jc w:val="center"/>
              <w:rPr>
                <w:rFonts w:ascii="宋体" w:hAnsi="宋体"/>
                <w:kern w:val="0"/>
                <w:szCs w:val="21"/>
              </w:rPr>
            </w:pPr>
            <w:r>
              <w:rPr>
                <w:color w:val="FF0000"/>
                <w:szCs w:val="21"/>
              </w:rPr>
              <w:t>曾口镇佛龙村</w:t>
            </w:r>
            <w:r>
              <w:rPr>
                <w:rFonts w:hint="eastAsia" w:ascii="宋体" w:hAnsi="宋体"/>
                <w:kern w:val="0"/>
                <w:szCs w:val="21"/>
              </w:rPr>
              <w:t>（</w:t>
            </w:r>
            <w:bookmarkStart w:id="260" w:name="OLE_LINK137"/>
            <w:bookmarkStart w:id="261" w:name="OLE_LINK138"/>
            <w:r>
              <w:rPr>
                <w:color w:val="FF0000"/>
                <w:szCs w:val="21"/>
              </w:rPr>
              <w:t>106.836812,31.803301</w:t>
            </w:r>
            <w:bookmarkEnd w:id="260"/>
            <w:bookmarkEnd w:id="261"/>
            <w:r>
              <w:rPr>
                <w:rFonts w:hint="eastAsia"/>
                <w:color w:val="FF0000"/>
                <w:szCs w:val="21"/>
              </w:rPr>
              <w:t>）</w:t>
            </w:r>
          </w:p>
        </w:tc>
        <w:tc>
          <w:tcPr>
            <w:tcW w:w="778" w:type="pct"/>
            <w:vAlign w:val="center"/>
          </w:tcPr>
          <w:p w14:paraId="62C85264">
            <w:pPr>
              <w:widowControl w:val="0"/>
              <w:adjustRightInd w:val="0"/>
              <w:snapToGrid w:val="0"/>
              <w:jc w:val="center"/>
              <w:rPr>
                <w:rFonts w:ascii="宋体" w:hAnsi="宋体"/>
                <w:kern w:val="0"/>
                <w:szCs w:val="21"/>
              </w:rPr>
            </w:pPr>
            <w:r>
              <w:rPr>
                <w:rFonts w:hint="eastAsia" w:ascii="宋体" w:hAnsi="宋体"/>
                <w:kern w:val="0"/>
                <w:szCs w:val="21"/>
              </w:rPr>
              <w:t>4</w:t>
            </w:r>
            <w:r>
              <w:rPr>
                <w:rFonts w:ascii="宋体" w:hAnsi="宋体"/>
                <w:kern w:val="0"/>
                <w:szCs w:val="21"/>
              </w:rPr>
              <w:t>4639.4</w:t>
            </w:r>
          </w:p>
        </w:tc>
        <w:tc>
          <w:tcPr>
            <w:tcW w:w="558" w:type="pct"/>
            <w:vAlign w:val="center"/>
          </w:tcPr>
          <w:p w14:paraId="3A0DB945">
            <w:pPr>
              <w:widowControl w:val="0"/>
              <w:adjustRightInd w:val="0"/>
              <w:snapToGrid w:val="0"/>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1680</w:t>
            </w:r>
          </w:p>
        </w:tc>
        <w:tc>
          <w:tcPr>
            <w:tcW w:w="446" w:type="pct"/>
            <w:vAlign w:val="center"/>
          </w:tcPr>
          <w:p w14:paraId="2BDEA36A">
            <w:pPr>
              <w:widowControl w:val="0"/>
              <w:adjustRightInd w:val="0"/>
              <w:snapToGrid w:val="0"/>
              <w:jc w:val="center"/>
              <w:rPr>
                <w:rFonts w:ascii="宋体" w:hAnsi="宋体"/>
                <w:kern w:val="0"/>
                <w:szCs w:val="21"/>
              </w:rPr>
            </w:pPr>
            <w:r>
              <w:rPr>
                <w:rFonts w:hint="eastAsia" w:ascii="宋体" w:hAnsi="宋体"/>
                <w:kern w:val="0"/>
                <w:szCs w:val="21"/>
              </w:rPr>
              <w:t>3</w:t>
            </w:r>
            <w:r>
              <w:rPr>
                <w:rFonts w:ascii="宋体" w:hAnsi="宋体"/>
                <w:kern w:val="0"/>
                <w:szCs w:val="21"/>
              </w:rPr>
              <w:t>360</w:t>
            </w:r>
          </w:p>
        </w:tc>
        <w:tc>
          <w:tcPr>
            <w:tcW w:w="509" w:type="pct"/>
            <w:vAlign w:val="center"/>
          </w:tcPr>
          <w:p w14:paraId="0E79D617">
            <w:pPr>
              <w:widowControl w:val="0"/>
              <w:adjustRightInd w:val="0"/>
              <w:snapToGrid w:val="0"/>
              <w:jc w:val="center"/>
              <w:rPr>
                <w:rFonts w:ascii="宋体" w:hAnsi="宋体"/>
                <w:kern w:val="0"/>
                <w:szCs w:val="21"/>
              </w:rPr>
            </w:pPr>
            <w:r>
              <w:rPr>
                <w:rFonts w:hint="eastAsia" w:ascii="宋体" w:hAnsi="宋体"/>
                <w:kern w:val="0"/>
                <w:szCs w:val="21"/>
              </w:rPr>
              <w:t>1</w:t>
            </w:r>
            <w:r>
              <w:rPr>
                <w:rFonts w:ascii="宋体" w:hAnsi="宋体"/>
                <w:kern w:val="0"/>
                <w:szCs w:val="21"/>
              </w:rPr>
              <w:t>6800</w:t>
            </w:r>
          </w:p>
        </w:tc>
        <w:tc>
          <w:tcPr>
            <w:tcW w:w="342" w:type="pct"/>
            <w:vMerge w:val="continue"/>
            <w:vAlign w:val="center"/>
          </w:tcPr>
          <w:p w14:paraId="260A3AFF">
            <w:pPr>
              <w:widowControl w:val="0"/>
              <w:adjustRightInd w:val="0"/>
              <w:snapToGrid w:val="0"/>
              <w:jc w:val="center"/>
              <w:rPr>
                <w:rFonts w:ascii="宋体" w:hAnsi="宋体"/>
                <w:kern w:val="0"/>
                <w:szCs w:val="21"/>
              </w:rPr>
            </w:pPr>
          </w:p>
        </w:tc>
        <w:tc>
          <w:tcPr>
            <w:tcW w:w="396" w:type="pct"/>
            <w:vAlign w:val="center"/>
          </w:tcPr>
          <w:p w14:paraId="3B8957F8">
            <w:pPr>
              <w:widowControl w:val="0"/>
              <w:adjustRightInd w:val="0"/>
              <w:snapToGrid w:val="0"/>
              <w:jc w:val="center"/>
              <w:rPr>
                <w:rFonts w:ascii="宋体" w:hAnsi="宋体"/>
                <w:kern w:val="0"/>
                <w:szCs w:val="21"/>
              </w:rPr>
            </w:pPr>
            <w:r>
              <w:rPr>
                <w:rFonts w:hint="eastAsia" w:ascii="宋体" w:hAnsi="宋体"/>
                <w:kern w:val="0"/>
                <w:szCs w:val="21"/>
              </w:rPr>
              <w:t>1</w:t>
            </w:r>
            <w:r>
              <w:rPr>
                <w:rFonts w:ascii="宋体" w:hAnsi="宋体"/>
                <w:kern w:val="0"/>
                <w:szCs w:val="21"/>
              </w:rPr>
              <w:t>0</w:t>
            </w:r>
          </w:p>
        </w:tc>
      </w:tr>
      <w:tr w14:paraId="209DC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0" w:type="pct"/>
            <w:vAlign w:val="center"/>
          </w:tcPr>
          <w:p w14:paraId="17AFB481">
            <w:pPr>
              <w:widowControl w:val="0"/>
              <w:adjustRightInd w:val="0"/>
              <w:snapToGrid w:val="0"/>
              <w:jc w:val="center"/>
              <w:rPr>
                <w:rFonts w:ascii="宋体" w:hAnsi="宋体"/>
                <w:kern w:val="0"/>
                <w:szCs w:val="21"/>
              </w:rPr>
            </w:pPr>
            <w:r>
              <w:rPr>
                <w:rFonts w:hint="eastAsia" w:ascii="宋体" w:hAnsi="宋体"/>
                <w:kern w:val="0"/>
                <w:szCs w:val="21"/>
              </w:rPr>
              <w:t>塘坝养殖场区</w:t>
            </w:r>
          </w:p>
        </w:tc>
        <w:tc>
          <w:tcPr>
            <w:tcW w:w="1551" w:type="pct"/>
            <w:vAlign w:val="center"/>
          </w:tcPr>
          <w:p w14:paraId="4AAC873D">
            <w:pPr>
              <w:widowControl w:val="0"/>
              <w:adjustRightInd w:val="0"/>
              <w:snapToGrid w:val="0"/>
              <w:jc w:val="center"/>
              <w:rPr>
                <w:rFonts w:ascii="宋体" w:hAnsi="宋体"/>
                <w:kern w:val="0"/>
                <w:szCs w:val="21"/>
              </w:rPr>
            </w:pPr>
            <w:r>
              <w:rPr>
                <w:color w:val="FF0000"/>
                <w:szCs w:val="21"/>
              </w:rPr>
              <w:t>清江镇塘坝村</w:t>
            </w:r>
            <w:r>
              <w:rPr>
                <w:rFonts w:hint="eastAsia" w:ascii="宋体" w:hAnsi="宋体"/>
                <w:kern w:val="0"/>
                <w:szCs w:val="21"/>
              </w:rPr>
              <w:t>（</w:t>
            </w:r>
            <w:bookmarkStart w:id="262" w:name="OLE_LINK131"/>
            <w:bookmarkStart w:id="263" w:name="OLE_LINK132"/>
            <w:bookmarkStart w:id="264" w:name="OLE_LINK133"/>
            <w:bookmarkStart w:id="265" w:name="OLE_LINK134"/>
            <w:r>
              <w:rPr>
                <w:color w:val="FF0000"/>
                <w:szCs w:val="21"/>
              </w:rPr>
              <w:t>106.951904,31.859245</w:t>
            </w:r>
            <w:bookmarkEnd w:id="262"/>
            <w:bookmarkEnd w:id="263"/>
            <w:bookmarkEnd w:id="264"/>
            <w:bookmarkEnd w:id="265"/>
            <w:r>
              <w:rPr>
                <w:rFonts w:hint="eastAsia"/>
                <w:color w:val="FF0000"/>
                <w:szCs w:val="21"/>
              </w:rPr>
              <w:t>）</w:t>
            </w:r>
          </w:p>
        </w:tc>
        <w:tc>
          <w:tcPr>
            <w:tcW w:w="778" w:type="pct"/>
            <w:vAlign w:val="center"/>
          </w:tcPr>
          <w:p w14:paraId="57CD08D9">
            <w:pPr>
              <w:widowControl w:val="0"/>
              <w:adjustRightInd w:val="0"/>
              <w:snapToGrid w:val="0"/>
              <w:jc w:val="center"/>
              <w:rPr>
                <w:rFonts w:ascii="宋体" w:hAnsi="宋体"/>
                <w:kern w:val="0"/>
                <w:szCs w:val="21"/>
              </w:rPr>
            </w:pPr>
            <w:r>
              <w:rPr>
                <w:rFonts w:hint="eastAsia" w:ascii="宋体" w:hAnsi="宋体"/>
                <w:kern w:val="0"/>
                <w:szCs w:val="21"/>
              </w:rPr>
              <w:t>6</w:t>
            </w:r>
            <w:r>
              <w:rPr>
                <w:rFonts w:ascii="宋体" w:hAnsi="宋体"/>
                <w:kern w:val="0"/>
                <w:szCs w:val="21"/>
              </w:rPr>
              <w:t>2715.39</w:t>
            </w:r>
          </w:p>
        </w:tc>
        <w:tc>
          <w:tcPr>
            <w:tcW w:w="558" w:type="pct"/>
            <w:vAlign w:val="center"/>
          </w:tcPr>
          <w:p w14:paraId="6FD956EE">
            <w:pPr>
              <w:widowControl w:val="0"/>
              <w:adjustRightInd w:val="0"/>
              <w:snapToGrid w:val="0"/>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3290</w:t>
            </w:r>
          </w:p>
        </w:tc>
        <w:tc>
          <w:tcPr>
            <w:tcW w:w="446" w:type="pct"/>
            <w:vAlign w:val="center"/>
          </w:tcPr>
          <w:p w14:paraId="255DF198">
            <w:pPr>
              <w:widowControl w:val="0"/>
              <w:adjustRightInd w:val="0"/>
              <w:snapToGrid w:val="0"/>
              <w:jc w:val="center"/>
              <w:rPr>
                <w:rFonts w:ascii="宋体" w:hAnsi="宋体"/>
                <w:kern w:val="0"/>
                <w:szCs w:val="21"/>
              </w:rPr>
            </w:pPr>
            <w:r>
              <w:rPr>
                <w:rFonts w:hint="eastAsia" w:ascii="宋体" w:hAnsi="宋体"/>
                <w:kern w:val="0"/>
                <w:szCs w:val="21"/>
              </w:rPr>
              <w:t>6</w:t>
            </w:r>
            <w:r>
              <w:rPr>
                <w:rFonts w:ascii="宋体" w:hAnsi="宋体"/>
                <w:kern w:val="0"/>
                <w:szCs w:val="21"/>
              </w:rPr>
              <w:t>580</w:t>
            </w:r>
          </w:p>
        </w:tc>
        <w:tc>
          <w:tcPr>
            <w:tcW w:w="509" w:type="pct"/>
            <w:vAlign w:val="center"/>
          </w:tcPr>
          <w:p w14:paraId="506B9156">
            <w:pPr>
              <w:widowControl w:val="0"/>
              <w:adjustRightInd w:val="0"/>
              <w:snapToGrid w:val="0"/>
              <w:jc w:val="center"/>
              <w:rPr>
                <w:rFonts w:ascii="宋体" w:hAnsi="宋体"/>
                <w:kern w:val="0"/>
                <w:szCs w:val="21"/>
              </w:rPr>
            </w:pPr>
            <w:r>
              <w:rPr>
                <w:rFonts w:hint="eastAsia" w:ascii="宋体" w:hAnsi="宋体"/>
                <w:kern w:val="0"/>
                <w:szCs w:val="21"/>
              </w:rPr>
              <w:t>3</w:t>
            </w:r>
            <w:r>
              <w:rPr>
                <w:rFonts w:ascii="宋体" w:hAnsi="宋体"/>
                <w:kern w:val="0"/>
                <w:szCs w:val="21"/>
              </w:rPr>
              <w:t>2900</w:t>
            </w:r>
          </w:p>
        </w:tc>
        <w:tc>
          <w:tcPr>
            <w:tcW w:w="342" w:type="pct"/>
            <w:vMerge w:val="continue"/>
            <w:vAlign w:val="center"/>
          </w:tcPr>
          <w:p w14:paraId="40924341">
            <w:pPr>
              <w:widowControl w:val="0"/>
              <w:adjustRightInd w:val="0"/>
              <w:snapToGrid w:val="0"/>
              <w:jc w:val="center"/>
              <w:rPr>
                <w:rFonts w:ascii="宋体" w:hAnsi="宋体"/>
                <w:kern w:val="0"/>
                <w:szCs w:val="21"/>
              </w:rPr>
            </w:pPr>
          </w:p>
        </w:tc>
        <w:tc>
          <w:tcPr>
            <w:tcW w:w="396" w:type="pct"/>
            <w:vAlign w:val="center"/>
          </w:tcPr>
          <w:p w14:paraId="7FE8CA17">
            <w:pPr>
              <w:widowControl w:val="0"/>
              <w:adjustRightInd w:val="0"/>
              <w:snapToGrid w:val="0"/>
              <w:jc w:val="center"/>
              <w:rPr>
                <w:rFonts w:ascii="宋体" w:hAnsi="宋体"/>
                <w:kern w:val="0"/>
                <w:szCs w:val="21"/>
              </w:rPr>
            </w:pPr>
            <w:r>
              <w:rPr>
                <w:rFonts w:hint="eastAsia" w:ascii="宋体" w:hAnsi="宋体"/>
                <w:kern w:val="0"/>
                <w:szCs w:val="21"/>
              </w:rPr>
              <w:t>1</w:t>
            </w:r>
            <w:r>
              <w:rPr>
                <w:rFonts w:ascii="宋体" w:hAnsi="宋体"/>
                <w:kern w:val="0"/>
                <w:szCs w:val="21"/>
              </w:rPr>
              <w:t>5</w:t>
            </w:r>
          </w:p>
        </w:tc>
      </w:tr>
      <w:tr w14:paraId="3BDD1E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0" w:type="pct"/>
            <w:vAlign w:val="center"/>
          </w:tcPr>
          <w:p w14:paraId="75E0E85D">
            <w:pPr>
              <w:widowControl w:val="0"/>
              <w:adjustRightInd w:val="0"/>
              <w:snapToGrid w:val="0"/>
              <w:jc w:val="center"/>
              <w:rPr>
                <w:rFonts w:ascii="宋体" w:hAnsi="宋体"/>
                <w:kern w:val="0"/>
                <w:szCs w:val="21"/>
              </w:rPr>
            </w:pPr>
            <w:r>
              <w:rPr>
                <w:rFonts w:hint="eastAsia" w:ascii="宋体" w:hAnsi="宋体"/>
                <w:kern w:val="0"/>
                <w:szCs w:val="21"/>
              </w:rPr>
              <w:t>始宁养殖场区</w:t>
            </w:r>
          </w:p>
        </w:tc>
        <w:tc>
          <w:tcPr>
            <w:tcW w:w="1551" w:type="pct"/>
            <w:vAlign w:val="center"/>
          </w:tcPr>
          <w:p w14:paraId="503F336B">
            <w:pPr>
              <w:widowControl w:val="0"/>
              <w:adjustRightInd w:val="0"/>
              <w:snapToGrid w:val="0"/>
              <w:jc w:val="center"/>
              <w:rPr>
                <w:rFonts w:ascii="宋体" w:hAnsi="宋体"/>
                <w:kern w:val="0"/>
                <w:szCs w:val="21"/>
              </w:rPr>
            </w:pPr>
            <w:r>
              <w:rPr>
                <w:color w:val="FF0000"/>
                <w:szCs w:val="21"/>
              </w:rPr>
              <w:t>水宁寺镇始宁社区</w:t>
            </w:r>
            <w:r>
              <w:rPr>
                <w:rFonts w:hint="eastAsia" w:ascii="宋体" w:hAnsi="宋体"/>
                <w:kern w:val="0"/>
                <w:szCs w:val="21"/>
              </w:rPr>
              <w:t>（</w:t>
            </w:r>
            <w:bookmarkStart w:id="266" w:name="OLE_LINK135"/>
            <w:bookmarkStart w:id="267" w:name="OLE_LINK136"/>
            <w:r>
              <w:rPr>
                <w:color w:val="FF0000"/>
                <w:szCs w:val="21"/>
              </w:rPr>
              <w:t>106.998944,31.806439</w:t>
            </w:r>
            <w:bookmarkEnd w:id="266"/>
            <w:bookmarkEnd w:id="267"/>
            <w:r>
              <w:rPr>
                <w:rFonts w:hint="eastAsia"/>
                <w:color w:val="FF0000"/>
                <w:szCs w:val="21"/>
              </w:rPr>
              <w:t>）</w:t>
            </w:r>
          </w:p>
        </w:tc>
        <w:tc>
          <w:tcPr>
            <w:tcW w:w="778" w:type="pct"/>
            <w:vAlign w:val="center"/>
          </w:tcPr>
          <w:p w14:paraId="23A45E9F">
            <w:pPr>
              <w:widowControl w:val="0"/>
              <w:adjustRightInd w:val="0"/>
              <w:snapToGrid w:val="0"/>
              <w:jc w:val="center"/>
              <w:rPr>
                <w:rFonts w:ascii="宋体" w:hAnsi="宋体"/>
                <w:kern w:val="0"/>
                <w:szCs w:val="21"/>
              </w:rPr>
            </w:pPr>
            <w:r>
              <w:rPr>
                <w:rFonts w:hint="eastAsia" w:ascii="宋体" w:hAnsi="宋体"/>
                <w:kern w:val="0"/>
                <w:szCs w:val="21"/>
              </w:rPr>
              <w:t>4</w:t>
            </w:r>
            <w:r>
              <w:rPr>
                <w:rFonts w:ascii="宋体" w:hAnsi="宋体"/>
                <w:kern w:val="0"/>
                <w:szCs w:val="21"/>
              </w:rPr>
              <w:t>9597.04</w:t>
            </w:r>
          </w:p>
        </w:tc>
        <w:tc>
          <w:tcPr>
            <w:tcW w:w="558" w:type="pct"/>
            <w:vAlign w:val="center"/>
          </w:tcPr>
          <w:p w14:paraId="73CECFED">
            <w:pPr>
              <w:widowControl w:val="0"/>
              <w:adjustRightInd w:val="0"/>
              <w:snapToGrid w:val="0"/>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2330</w:t>
            </w:r>
          </w:p>
        </w:tc>
        <w:tc>
          <w:tcPr>
            <w:tcW w:w="446" w:type="pct"/>
            <w:vAlign w:val="center"/>
          </w:tcPr>
          <w:p w14:paraId="3C9F4049">
            <w:pPr>
              <w:widowControl w:val="0"/>
              <w:adjustRightInd w:val="0"/>
              <w:snapToGrid w:val="0"/>
              <w:jc w:val="center"/>
              <w:rPr>
                <w:rFonts w:ascii="宋体" w:hAnsi="宋体"/>
                <w:kern w:val="0"/>
                <w:szCs w:val="21"/>
              </w:rPr>
            </w:pPr>
            <w:r>
              <w:rPr>
                <w:rFonts w:hint="eastAsia" w:ascii="宋体" w:hAnsi="宋体"/>
                <w:kern w:val="0"/>
                <w:szCs w:val="21"/>
              </w:rPr>
              <w:t>4</w:t>
            </w:r>
            <w:r>
              <w:rPr>
                <w:rFonts w:ascii="宋体" w:hAnsi="宋体"/>
                <w:kern w:val="0"/>
                <w:szCs w:val="21"/>
              </w:rPr>
              <w:t>660</w:t>
            </w:r>
          </w:p>
        </w:tc>
        <w:tc>
          <w:tcPr>
            <w:tcW w:w="509" w:type="pct"/>
            <w:vAlign w:val="center"/>
          </w:tcPr>
          <w:p w14:paraId="01728AE5">
            <w:pPr>
              <w:widowControl w:val="0"/>
              <w:adjustRightInd w:val="0"/>
              <w:snapToGrid w:val="0"/>
              <w:jc w:val="center"/>
              <w:rPr>
                <w:rFonts w:ascii="宋体" w:hAnsi="宋体"/>
                <w:kern w:val="0"/>
                <w:szCs w:val="21"/>
              </w:rPr>
            </w:pPr>
            <w:r>
              <w:rPr>
                <w:rFonts w:hint="eastAsia" w:ascii="宋体" w:hAnsi="宋体"/>
                <w:kern w:val="0"/>
                <w:szCs w:val="21"/>
              </w:rPr>
              <w:t>2</w:t>
            </w:r>
            <w:r>
              <w:rPr>
                <w:rFonts w:ascii="宋体" w:hAnsi="宋体"/>
                <w:kern w:val="0"/>
                <w:szCs w:val="21"/>
              </w:rPr>
              <w:t>3300</w:t>
            </w:r>
          </w:p>
        </w:tc>
        <w:tc>
          <w:tcPr>
            <w:tcW w:w="342" w:type="pct"/>
            <w:vMerge w:val="continue"/>
            <w:vAlign w:val="center"/>
          </w:tcPr>
          <w:p w14:paraId="761C400E">
            <w:pPr>
              <w:widowControl w:val="0"/>
              <w:adjustRightInd w:val="0"/>
              <w:snapToGrid w:val="0"/>
              <w:jc w:val="center"/>
              <w:rPr>
                <w:rFonts w:ascii="宋体" w:hAnsi="宋体"/>
                <w:kern w:val="0"/>
                <w:szCs w:val="21"/>
              </w:rPr>
            </w:pPr>
          </w:p>
        </w:tc>
        <w:tc>
          <w:tcPr>
            <w:tcW w:w="396" w:type="pct"/>
            <w:vAlign w:val="center"/>
          </w:tcPr>
          <w:p w14:paraId="600BB2F4">
            <w:pPr>
              <w:widowControl w:val="0"/>
              <w:adjustRightInd w:val="0"/>
              <w:snapToGrid w:val="0"/>
              <w:jc w:val="center"/>
              <w:rPr>
                <w:rFonts w:ascii="宋体" w:hAnsi="宋体"/>
                <w:kern w:val="0"/>
                <w:szCs w:val="21"/>
              </w:rPr>
            </w:pPr>
            <w:r>
              <w:rPr>
                <w:rFonts w:hint="eastAsia" w:ascii="宋体" w:hAnsi="宋体"/>
                <w:kern w:val="0"/>
                <w:szCs w:val="21"/>
              </w:rPr>
              <w:t>1</w:t>
            </w:r>
            <w:r>
              <w:rPr>
                <w:rFonts w:ascii="宋体" w:hAnsi="宋体"/>
                <w:kern w:val="0"/>
                <w:szCs w:val="21"/>
              </w:rPr>
              <w:t>0</w:t>
            </w:r>
          </w:p>
        </w:tc>
      </w:tr>
      <w:tr w14:paraId="4549E4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0" w:type="pct"/>
            <w:vAlign w:val="center"/>
          </w:tcPr>
          <w:p w14:paraId="2C7C67E2">
            <w:pPr>
              <w:widowControl w:val="0"/>
              <w:adjustRightInd w:val="0"/>
              <w:snapToGrid w:val="0"/>
              <w:jc w:val="center"/>
              <w:rPr>
                <w:rFonts w:ascii="宋体" w:hAnsi="宋体"/>
                <w:kern w:val="0"/>
                <w:szCs w:val="21"/>
              </w:rPr>
            </w:pPr>
            <w:r>
              <w:rPr>
                <w:rFonts w:hint="eastAsia" w:ascii="宋体" w:hAnsi="宋体"/>
                <w:kern w:val="0"/>
                <w:szCs w:val="21"/>
              </w:rPr>
              <w:t>合计</w:t>
            </w:r>
          </w:p>
        </w:tc>
        <w:tc>
          <w:tcPr>
            <w:tcW w:w="1551" w:type="pct"/>
            <w:vAlign w:val="center"/>
          </w:tcPr>
          <w:p w14:paraId="3BAA1A66">
            <w:pPr>
              <w:widowControl w:val="0"/>
              <w:adjustRightInd w:val="0"/>
              <w:snapToGrid w:val="0"/>
              <w:jc w:val="center"/>
              <w:rPr>
                <w:color w:val="FF0000"/>
                <w:szCs w:val="21"/>
              </w:rPr>
            </w:pPr>
            <w:r>
              <w:rPr>
                <w:rFonts w:hint="eastAsia"/>
                <w:color w:val="FF0000"/>
                <w:szCs w:val="21"/>
              </w:rPr>
              <w:t>/</w:t>
            </w:r>
          </w:p>
        </w:tc>
        <w:tc>
          <w:tcPr>
            <w:tcW w:w="778" w:type="pct"/>
            <w:vAlign w:val="center"/>
          </w:tcPr>
          <w:p w14:paraId="07C397F8">
            <w:pPr>
              <w:widowControl w:val="0"/>
              <w:adjustRightInd w:val="0"/>
              <w:snapToGrid w:val="0"/>
              <w:jc w:val="center"/>
              <w:rPr>
                <w:rFonts w:ascii="宋体" w:hAnsi="宋体"/>
                <w:kern w:val="0"/>
                <w:szCs w:val="21"/>
              </w:rPr>
            </w:pPr>
            <w:r>
              <w:rPr>
                <w:rFonts w:hint="eastAsia" w:ascii="宋体" w:hAnsi="宋体"/>
                <w:kern w:val="0"/>
                <w:szCs w:val="21"/>
              </w:rPr>
              <w:t>2</w:t>
            </w:r>
            <w:r>
              <w:rPr>
                <w:rFonts w:ascii="宋体" w:hAnsi="宋体"/>
                <w:kern w:val="0"/>
                <w:szCs w:val="21"/>
              </w:rPr>
              <w:t>21586.76</w:t>
            </w:r>
          </w:p>
        </w:tc>
        <w:tc>
          <w:tcPr>
            <w:tcW w:w="558" w:type="pct"/>
            <w:vAlign w:val="center"/>
          </w:tcPr>
          <w:p w14:paraId="75A9C18F">
            <w:pPr>
              <w:widowControl w:val="0"/>
              <w:adjustRightInd w:val="0"/>
              <w:snapToGrid w:val="0"/>
              <w:jc w:val="center"/>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10590</w:t>
            </w:r>
          </w:p>
        </w:tc>
        <w:tc>
          <w:tcPr>
            <w:tcW w:w="446" w:type="pct"/>
            <w:vAlign w:val="center"/>
          </w:tcPr>
          <w:p w14:paraId="62F66045">
            <w:pPr>
              <w:widowControl w:val="0"/>
              <w:adjustRightInd w:val="0"/>
              <w:snapToGrid w:val="0"/>
              <w:jc w:val="center"/>
              <w:rPr>
                <w:rFonts w:ascii="宋体" w:hAnsi="宋体"/>
                <w:kern w:val="0"/>
                <w:szCs w:val="21"/>
              </w:rPr>
            </w:pPr>
            <w:r>
              <w:rPr>
                <w:rFonts w:hint="eastAsia" w:ascii="宋体" w:hAnsi="宋体"/>
                <w:kern w:val="0"/>
                <w:szCs w:val="21"/>
              </w:rPr>
              <w:t>2</w:t>
            </w:r>
            <w:r>
              <w:rPr>
                <w:rFonts w:ascii="宋体" w:hAnsi="宋体"/>
                <w:kern w:val="0"/>
                <w:szCs w:val="21"/>
              </w:rPr>
              <w:t>1180</w:t>
            </w:r>
          </w:p>
        </w:tc>
        <w:tc>
          <w:tcPr>
            <w:tcW w:w="509" w:type="pct"/>
            <w:vAlign w:val="center"/>
          </w:tcPr>
          <w:p w14:paraId="1C531A70">
            <w:pPr>
              <w:widowControl w:val="0"/>
              <w:adjustRightInd w:val="0"/>
              <w:snapToGrid w:val="0"/>
              <w:jc w:val="center"/>
              <w:rPr>
                <w:rFonts w:ascii="宋体" w:hAnsi="宋体"/>
                <w:kern w:val="0"/>
                <w:szCs w:val="21"/>
              </w:rPr>
            </w:pPr>
            <w:r>
              <w:rPr>
                <w:rFonts w:hint="eastAsia" w:ascii="宋体" w:hAnsi="宋体"/>
                <w:kern w:val="0"/>
                <w:szCs w:val="21"/>
              </w:rPr>
              <w:t>1</w:t>
            </w:r>
            <w:r>
              <w:rPr>
                <w:rFonts w:ascii="宋体" w:hAnsi="宋体"/>
                <w:kern w:val="0"/>
                <w:szCs w:val="21"/>
              </w:rPr>
              <w:t>05900</w:t>
            </w:r>
          </w:p>
        </w:tc>
        <w:tc>
          <w:tcPr>
            <w:tcW w:w="342" w:type="pct"/>
            <w:vMerge w:val="continue"/>
            <w:vAlign w:val="center"/>
          </w:tcPr>
          <w:p w14:paraId="01A4A112">
            <w:pPr>
              <w:widowControl w:val="0"/>
              <w:adjustRightInd w:val="0"/>
              <w:snapToGrid w:val="0"/>
              <w:jc w:val="center"/>
              <w:rPr>
                <w:rFonts w:ascii="宋体" w:hAnsi="宋体"/>
                <w:kern w:val="0"/>
                <w:szCs w:val="21"/>
              </w:rPr>
            </w:pPr>
          </w:p>
        </w:tc>
        <w:tc>
          <w:tcPr>
            <w:tcW w:w="396" w:type="pct"/>
            <w:vAlign w:val="center"/>
          </w:tcPr>
          <w:p w14:paraId="0C737B32">
            <w:pPr>
              <w:widowControl w:val="0"/>
              <w:adjustRightInd w:val="0"/>
              <w:snapToGrid w:val="0"/>
              <w:jc w:val="center"/>
              <w:rPr>
                <w:rFonts w:ascii="宋体" w:hAnsi="宋体"/>
                <w:kern w:val="0"/>
                <w:szCs w:val="21"/>
              </w:rPr>
            </w:pPr>
            <w:r>
              <w:rPr>
                <w:rFonts w:hint="eastAsia" w:ascii="宋体" w:hAnsi="宋体"/>
                <w:kern w:val="0"/>
                <w:szCs w:val="21"/>
              </w:rPr>
              <w:t>5</w:t>
            </w:r>
            <w:r>
              <w:rPr>
                <w:rFonts w:ascii="宋体" w:hAnsi="宋体"/>
                <w:kern w:val="0"/>
                <w:szCs w:val="21"/>
              </w:rPr>
              <w:t>0</w:t>
            </w:r>
          </w:p>
        </w:tc>
      </w:tr>
    </w:tbl>
    <w:p w14:paraId="003EBEED">
      <w:pPr>
        <w:adjustRightInd w:val="0"/>
        <w:snapToGrid w:val="0"/>
        <w:spacing w:line="360" w:lineRule="auto"/>
        <w:rPr>
          <w:kern w:val="0"/>
          <w:sz w:val="24"/>
        </w:rPr>
      </w:pPr>
    </w:p>
    <w:p w14:paraId="7262F197">
      <w:pPr>
        <w:pStyle w:val="752"/>
        <w:rPr>
          <w:rFonts w:cs="Times New Roman"/>
          <w:color w:val="000000" w:themeColor="text1"/>
          <w14:textFill>
            <w14:solidFill>
              <w14:schemeClr w14:val="tx1"/>
            </w14:solidFill>
          </w14:textFill>
        </w:rPr>
      </w:pPr>
      <w:bookmarkStart w:id="268" w:name="_Toc233380150"/>
      <w:r>
        <w:rPr>
          <w:rFonts w:cs="Times New Roman"/>
          <w:color w:val="000000" w:themeColor="text1"/>
          <w14:textFill>
            <w14:solidFill>
              <w14:schemeClr w14:val="tx1"/>
            </w14:solidFill>
          </w14:textFill>
        </w:rPr>
        <w:t>3.1.2项目建设内容及规模</w:t>
      </w:r>
      <w:bookmarkEnd w:id="255"/>
      <w:bookmarkEnd w:id="268"/>
    </w:p>
    <w:p w14:paraId="58DB28E3">
      <w:pPr>
        <w:autoSpaceDE w:val="0"/>
        <w:autoSpaceDN w:val="0"/>
        <w:adjustRightInd w:val="0"/>
        <w:snapToGrid w:val="0"/>
        <w:spacing w:line="360" w:lineRule="auto"/>
        <w:ind w:firstLine="480" w:firstLineChars="200"/>
        <w:rPr>
          <w:color w:val="FF0000"/>
          <w:sz w:val="24"/>
        </w:rPr>
      </w:pPr>
      <w:bookmarkStart w:id="269" w:name="_Toc40220663"/>
      <w:bookmarkStart w:id="270" w:name="_Toc9905"/>
      <w:r>
        <w:rPr>
          <w:color w:val="FF0000"/>
          <w:kern w:val="0"/>
          <w:sz w:val="24"/>
        </w:rPr>
        <w:t>本项目主要建设内容及规模为：巴中市巨城市政工程有限公司拟投资35090.20万元，在巴州区占地面积0.63万亩，其中建设饲草料种植基地0.6万亩、饲草料加工基地0.6万平方米；建设肉牛养殖区17.57万平方米，可存栏1.89万头育肥牛，并配套建设其他附属设施工程。建成后可年出栏安格斯肉牛19380头、巴山肉牛1800头</w:t>
      </w:r>
      <w:r>
        <w:rPr>
          <w:color w:val="FF0000"/>
          <w:sz w:val="24"/>
        </w:rPr>
        <w:t>。</w:t>
      </w:r>
    </w:p>
    <w:p w14:paraId="2B616320">
      <w:pPr>
        <w:pStyle w:val="34"/>
        <w:ind w:firstLine="482"/>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本项目仅对牛只进行育肥，不设置种牛繁殖场，不进行繁育，不进行肉牛加工处理。</w:t>
      </w:r>
    </w:p>
    <w:p w14:paraId="5A28FEEF">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271" w:name="_Toc233380151"/>
      <w:r>
        <w:rPr>
          <w:rFonts w:ascii="Times New Roman" w:hAnsi="Times New Roman" w:eastAsia="宋体"/>
          <w:color w:val="000000" w:themeColor="text1"/>
          <w:sz w:val="30"/>
          <w:szCs w:val="30"/>
          <w14:textFill>
            <w14:solidFill>
              <w14:schemeClr w14:val="tx1"/>
            </w14:solidFill>
          </w14:textFill>
        </w:rPr>
        <w:t>3.2项目产品方案及项目组成</w:t>
      </w:r>
      <w:bookmarkEnd w:id="269"/>
      <w:bookmarkEnd w:id="270"/>
      <w:bookmarkEnd w:id="271"/>
    </w:p>
    <w:p w14:paraId="71C90FAE">
      <w:pPr>
        <w:pStyle w:val="752"/>
        <w:rPr>
          <w:rFonts w:cs="Times New Roman"/>
          <w:color w:val="000000" w:themeColor="text1"/>
          <w14:textFill>
            <w14:solidFill>
              <w14:schemeClr w14:val="tx1"/>
            </w14:solidFill>
          </w14:textFill>
        </w:rPr>
      </w:pPr>
      <w:bookmarkStart w:id="272" w:name="_Toc28814586"/>
      <w:bookmarkStart w:id="273" w:name="_Toc40220664"/>
      <w:bookmarkStart w:id="274" w:name="_Toc28845"/>
      <w:bookmarkStart w:id="275" w:name="_Toc21529565"/>
      <w:bookmarkStart w:id="276" w:name="_Toc27751102"/>
      <w:bookmarkStart w:id="277" w:name="_Toc233380152"/>
      <w:r>
        <w:rPr>
          <w:rFonts w:cs="Times New Roman"/>
          <w:color w:val="000000" w:themeColor="text1"/>
          <w14:textFill>
            <w14:solidFill>
              <w14:schemeClr w14:val="tx1"/>
            </w14:solidFill>
          </w14:textFill>
        </w:rPr>
        <w:t>3.2.1项目产品方案</w:t>
      </w:r>
      <w:bookmarkEnd w:id="272"/>
      <w:bookmarkEnd w:id="273"/>
      <w:bookmarkEnd w:id="274"/>
      <w:bookmarkEnd w:id="275"/>
      <w:bookmarkEnd w:id="276"/>
      <w:bookmarkEnd w:id="277"/>
    </w:p>
    <w:p w14:paraId="496B85E3">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bookmarkStart w:id="278" w:name="_Toc28814587"/>
      <w:bookmarkStart w:id="279" w:name="_Toc27751103"/>
      <w:bookmarkStart w:id="280" w:name="_Toc21529566"/>
      <w:bookmarkStart w:id="281" w:name="_Toc40220665"/>
      <w:bookmarkStart w:id="282" w:name="_Toc27154"/>
      <w:r>
        <w:rPr>
          <w:color w:val="000000" w:themeColor="text1"/>
          <w:kern w:val="0"/>
          <w:sz w:val="24"/>
          <w14:textFill>
            <w14:solidFill>
              <w14:schemeClr w14:val="tx1"/>
            </w14:solidFill>
          </w14:textFill>
        </w:rPr>
        <w:t>项目肉牛养殖场共计4处，分别位于白庙乡百花村，曾口镇佛龙村，清江镇塘坝村及水宁寺镇始宁社区。</w:t>
      </w:r>
    </w:p>
    <w:p w14:paraId="3CFC4316">
      <w:pPr>
        <w:autoSpaceDE w:val="0"/>
        <w:autoSpaceDN w:val="0"/>
        <w:adjustRightInd w:val="0"/>
        <w:snapToGrid w:val="0"/>
        <w:spacing w:line="360" w:lineRule="auto"/>
        <w:ind w:firstLine="480" w:firstLineChars="200"/>
        <w:rPr>
          <w:kern w:val="0"/>
          <w:sz w:val="24"/>
        </w:rPr>
      </w:pPr>
      <w:r>
        <w:rPr>
          <w:kern w:val="0"/>
          <w:sz w:val="24"/>
        </w:rPr>
        <w:t>本项目的养殖模式是饲养商品肉牛的专业育肥场，项目以肉牛育肥养殖为主，</w:t>
      </w:r>
      <w:bookmarkStart w:id="283" w:name="OLE_LINK40"/>
      <w:bookmarkStart w:id="284" w:name="OLE_LINK38"/>
      <w:r>
        <w:rPr>
          <w:kern w:val="0"/>
          <w:sz w:val="24"/>
        </w:rPr>
        <w:t>从非疫区的周边农户或养殖场</w:t>
      </w:r>
      <w:bookmarkEnd w:id="283"/>
      <w:bookmarkEnd w:id="284"/>
      <w:r>
        <w:rPr>
          <w:kern w:val="0"/>
          <w:sz w:val="24"/>
        </w:rPr>
        <w:t>收购</w:t>
      </w:r>
      <w:bookmarkStart w:id="285" w:name="OLE_LINK56"/>
      <w:bookmarkStart w:id="286" w:name="OLE_LINK43"/>
      <w:r>
        <w:rPr>
          <w:kern w:val="0"/>
          <w:sz w:val="24"/>
        </w:rPr>
        <w:t>12月龄的生长牛（架子牛）</w:t>
      </w:r>
      <w:bookmarkEnd w:id="285"/>
      <w:bookmarkEnd w:id="286"/>
      <w:r>
        <w:rPr>
          <w:kern w:val="0"/>
          <w:sz w:val="24"/>
        </w:rPr>
        <w:t>，统一进行现代化、标准化、无公害的育肥养殖，育肥6个月（18个月月龄）后即出栏。项目采用多轮滚动养殖模式，4月~9月一批次（养殖约10590头肉牛），10月~次年5月一批次（养殖约10590头肉牛）。</w:t>
      </w:r>
      <w:r>
        <w:rPr>
          <w:b/>
          <w:kern w:val="0"/>
          <w:sz w:val="24"/>
        </w:rPr>
        <w:t>项目不饲养母牛，不进行牛犊的分娩，不进行肉牛加工处理。</w:t>
      </w:r>
      <w:r>
        <w:rPr>
          <w:kern w:val="0"/>
          <w:sz w:val="24"/>
        </w:rPr>
        <w:t>项目建成后可年出栏安格斯肉牛19380头、巴山肉牛</w:t>
      </w:r>
      <w:r>
        <w:rPr>
          <w:rFonts w:hint="eastAsia"/>
          <w:kern w:val="0"/>
          <w:sz w:val="24"/>
        </w:rPr>
        <w:t>（空山牛）</w:t>
      </w:r>
      <w:r>
        <w:rPr>
          <w:kern w:val="0"/>
          <w:sz w:val="24"/>
        </w:rPr>
        <w:t>1800头。</w:t>
      </w:r>
    </w:p>
    <w:p w14:paraId="34A672DE">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育肥牛牛种介绍：</w:t>
      </w:r>
    </w:p>
    <w:p w14:paraId="70917A40">
      <w:pPr>
        <w:adjustRightInd w:val="0"/>
        <w:snapToGrid w:val="0"/>
        <w:spacing w:line="360" w:lineRule="auto"/>
        <w:ind w:firstLine="480" w:firstLineChars="200"/>
        <w:rPr>
          <w:color w:val="000000" w:themeColor="text1"/>
          <w:sz w:val="24"/>
          <w14:textFill>
            <w14:solidFill>
              <w14:schemeClr w14:val="tx1"/>
            </w14:solidFill>
          </w14:textFill>
        </w:rPr>
      </w:pPr>
      <w:bookmarkStart w:id="287" w:name="OLE_LINK30"/>
      <w:bookmarkStart w:id="288" w:name="OLE_LINK31"/>
      <w:r>
        <w:rPr>
          <w:color w:val="000000" w:themeColor="text1"/>
          <w:sz w:val="24"/>
          <w14:textFill>
            <w14:solidFill>
              <w14:schemeClr w14:val="tx1"/>
            </w14:solidFill>
          </w14:textFill>
        </w:rPr>
        <w:t>1）安格斯牛</w:t>
      </w:r>
    </w:p>
    <w:bookmarkEnd w:id="287"/>
    <w:bookmarkEnd w:id="288"/>
    <w:p w14:paraId="180BCDA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以被毛黑色和无角为其重要特征，故也称其为无角黑牛，外貌特征是黑色无角，体躯矮而结实，肉质好，出肉率高。纯种或杂交的安格斯阉牛在英美主要肉畜展览会中保持很高声誉。安格斯牛肉用性能良好，表现早熟易肥、饲料转化率高，被认为是世界上各种专门化肉用品种中肉质最优秀的品种。安格斯牛胴体品质好、净肉率高、大理石花纹明显，屠宰率70%～75%，安格斯牛肉嫩度和风味很好，是世界上唯一一种用品种名称作为肉的品牌名称的肉牛品种。</w:t>
      </w:r>
    </w:p>
    <w:p w14:paraId="17DD68C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主要特点：</w:t>
      </w: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生长发育快，早熟，易肥育，易配种；</w:t>
      </w: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出肉率高，胴体品质好；</w:t>
      </w: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12月龄屠宰牛的眼肌面积达32.5平方厘米，肉质呈大理石状；</w:t>
      </w:r>
      <w:r>
        <w:rPr>
          <w:rFonts w:hint="eastAsia" w:ascii="宋体" w:hAnsi="宋体" w:cs="宋体"/>
          <w:color w:val="000000" w:themeColor="text1"/>
          <w:sz w:val="24"/>
          <w14:textFill>
            <w14:solidFill>
              <w14:schemeClr w14:val="tx1"/>
            </w14:solidFill>
          </w14:textFill>
        </w:rPr>
        <w:t>④</w:t>
      </w:r>
      <w:r>
        <w:rPr>
          <w:color w:val="000000" w:themeColor="text1"/>
          <w:sz w:val="24"/>
          <w14:textFill>
            <w14:solidFill>
              <w14:schemeClr w14:val="tx1"/>
            </w14:solidFill>
          </w14:textFill>
        </w:rPr>
        <w:t>对环境的适应性强。抗寒、抗病、耐粒饲；性情温和，无角便于放牧管理。</w:t>
      </w:r>
    </w:p>
    <w:p w14:paraId="240A078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在饲料转化率方面，安格斯牛同样展现出了其独特的优势。在相同的生产资料投入下，安格斯牛能够比普通牛更快地增加体重，这意味着养殖安格斯牛可以更有效地利用饲料资源，降低养殖成本，提高经济效益。这一特点使得安格斯牛在畜牧业中具有较高的竞争力，也为养殖户带来了更多的收益。</w:t>
      </w:r>
    </w:p>
    <w:p w14:paraId="2FCF2FA4">
      <w:pPr>
        <w:adjustRightInd w:val="0"/>
        <w:snapToGrid w:val="0"/>
        <w:spacing w:line="360" w:lineRule="auto"/>
        <w:jc w:val="center"/>
        <w:rPr>
          <w:color w:val="000000" w:themeColor="text1"/>
          <w:sz w:val="24"/>
          <w14:textFill>
            <w14:solidFill>
              <w14:schemeClr w14:val="tx1"/>
            </w14:solidFill>
          </w14:textFill>
        </w:rPr>
      </w:pPr>
      <w:r>
        <w:drawing>
          <wp:inline distT="0" distB="0" distL="0" distR="0">
            <wp:extent cx="5278755" cy="3371215"/>
            <wp:effectExtent l="0" t="0" r="0" b="635"/>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451"/>
                    <pic:cNvPicPr>
                      <a:picLocks noChangeAspect="1"/>
                    </pic:cNvPicPr>
                  </pic:nvPicPr>
                  <pic:blipFill>
                    <a:blip r:embed="rId41"/>
                    <a:stretch>
                      <a:fillRect/>
                    </a:stretch>
                  </pic:blipFill>
                  <pic:spPr>
                    <a:xfrm>
                      <a:off x="0" y="0"/>
                      <a:ext cx="5278755" cy="3371215"/>
                    </a:xfrm>
                    <a:prstGeom prst="rect">
                      <a:avLst/>
                    </a:prstGeom>
                  </pic:spPr>
                </pic:pic>
              </a:graphicData>
            </a:graphic>
          </wp:inline>
        </w:drawing>
      </w:r>
    </w:p>
    <w:p w14:paraId="3A63748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2）巴山肉牛（DB5119/T 38-2024）</w:t>
      </w:r>
    </w:p>
    <w:p w14:paraId="14794F1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山肉牛又称空山牛，空山牛在四川省巴中市具有2000多年养牛史，属肉役兼用型牛，适应强、耐粗饲、肉用性能好。原产地为四川省巴中市通江县，中心产区为通江县空山镇、两河口镇、诺水河镇，主要分布于通江县火炬镇、杨柏镇等其他26个乡镇，四川省平昌县、南江县、巴州区亦有分布。逐渐形成了适应性强、具有山地放牧耐粗、肉质细嫩，风味独特的地方黄牛良种，1982年农业部委托全国肉牛繁育协作组进行实地调查后，将通江空山黄牛定名为通江黄牛，收入世界牛种名录。空山黄牛成年公牛体高128cm，体斜长152cm，胸围182cm，管围20cm；成年母牛体高115cm，体斜长143cm，胸围178cm，管围17cm。该品种相较南方黄牛品种具有个体较大、适应性强、抗逆抗病耐粗饲、繁殖力高、利用年限长、风味独特等特质。</w:t>
      </w:r>
    </w:p>
    <w:p w14:paraId="0CDC9B4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主要特点：</w:t>
      </w: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抗逆性强，耐粗饲，能适应比较恶劣的气候条件，寒冷冬季农户只需放牧加喂秸秆，适当补充食盐，牛就能保膘，夏秋只需放牧即能育肥；</w:t>
      </w: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肉质风味好，炒、炖、烤、涮、蒸皆宜，香味浓郁，一直是巴山“灯影牛肉”及牛肉干的主要生产原料，深受人们喜爱。</w:t>
      </w:r>
    </w:p>
    <w:p w14:paraId="01356F63">
      <w:pPr>
        <w:adjustRightInd w:val="0"/>
        <w:snapToGrid w:val="0"/>
        <w:spacing w:line="360" w:lineRule="auto"/>
        <w:rPr>
          <w:color w:val="000000" w:themeColor="text1"/>
          <w:sz w:val="24"/>
          <w14:textFill>
            <w14:solidFill>
              <w14:schemeClr w14:val="tx1"/>
            </w14:solidFill>
          </w14:textFill>
        </w:rPr>
      </w:pPr>
      <w:r>
        <w:drawing>
          <wp:inline distT="0" distB="0" distL="0" distR="0">
            <wp:extent cx="5278755" cy="3064510"/>
            <wp:effectExtent l="0" t="0" r="0" b="254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453"/>
                    <pic:cNvPicPr>
                      <a:picLocks noChangeAspect="1"/>
                    </pic:cNvPicPr>
                  </pic:nvPicPr>
                  <pic:blipFill>
                    <a:blip r:embed="rId42"/>
                    <a:stretch>
                      <a:fillRect/>
                    </a:stretch>
                  </pic:blipFill>
                  <pic:spPr>
                    <a:xfrm>
                      <a:off x="0" y="0"/>
                      <a:ext cx="5278755" cy="3064510"/>
                    </a:xfrm>
                    <a:prstGeom prst="rect">
                      <a:avLst/>
                    </a:prstGeom>
                  </pic:spPr>
                </pic:pic>
              </a:graphicData>
            </a:graphic>
          </wp:inline>
        </w:drawing>
      </w:r>
    </w:p>
    <w:p w14:paraId="41952A23">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项目养殖及产品方案如下表。</w:t>
      </w:r>
    </w:p>
    <w:p w14:paraId="7DA4447E">
      <w:pPr>
        <w:pStyle w:val="1771"/>
        <w:spacing w:line="360" w:lineRule="auto"/>
        <w:rPr>
          <w:rFonts w:eastAsia="黑体"/>
          <w:b w:val="0"/>
          <w:color w:val="000000" w:themeColor="text1"/>
          <w:kern w:val="2"/>
          <w:szCs w:val="24"/>
          <w:lang w:val="en-US"/>
          <w14:textFill>
            <w14:solidFill>
              <w14:schemeClr w14:val="tx1"/>
            </w14:solidFill>
          </w14:textFill>
        </w:rPr>
      </w:pPr>
      <w:bookmarkStart w:id="289" w:name="OLE_LINK80"/>
      <w:bookmarkStart w:id="290" w:name="OLE_LINK81"/>
      <w:r>
        <w:rPr>
          <w:rFonts w:eastAsia="黑体"/>
          <w:b w:val="0"/>
          <w:color w:val="000000" w:themeColor="text1"/>
          <w:kern w:val="2"/>
          <w:szCs w:val="24"/>
          <w:lang w:val="en-US"/>
          <w14:textFill>
            <w14:solidFill>
              <w14:schemeClr w14:val="tx1"/>
            </w14:solidFill>
          </w14:textFill>
        </w:rPr>
        <w:t>表3.2-1项目养殖及产品方案表</w:t>
      </w:r>
    </w:p>
    <w:bookmarkEnd w:id="289"/>
    <w:bookmarkEnd w:id="290"/>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417"/>
        <w:gridCol w:w="1701"/>
        <w:gridCol w:w="4344"/>
      </w:tblGrid>
      <w:tr w14:paraId="7DA80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pct"/>
            <w:tcBorders>
              <w:tl2br w:val="nil"/>
              <w:tr2bl w:val="nil"/>
            </w:tcBorders>
            <w:vAlign w:val="center"/>
          </w:tcPr>
          <w:p w14:paraId="21E47EFA">
            <w:pPr>
              <w:adjustRightInd w:val="0"/>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名称</w:t>
            </w:r>
          </w:p>
        </w:tc>
        <w:tc>
          <w:tcPr>
            <w:tcW w:w="852" w:type="pct"/>
            <w:tcBorders>
              <w:tl2br w:val="nil"/>
              <w:tr2bl w:val="nil"/>
            </w:tcBorders>
            <w:vAlign w:val="center"/>
          </w:tcPr>
          <w:p w14:paraId="55E7F132">
            <w:pPr>
              <w:adjustRightInd w:val="0"/>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最大存栏量</w:t>
            </w:r>
          </w:p>
        </w:tc>
        <w:tc>
          <w:tcPr>
            <w:tcW w:w="1023" w:type="pct"/>
            <w:tcBorders>
              <w:tl2br w:val="nil"/>
              <w:tr2bl w:val="nil"/>
            </w:tcBorders>
            <w:vAlign w:val="center"/>
          </w:tcPr>
          <w:p w14:paraId="3E1CE3BB">
            <w:pPr>
              <w:adjustRightInd w:val="0"/>
              <w:snapToGrid w:val="0"/>
              <w:jc w:val="center"/>
              <w:rPr>
                <w:rFonts w:eastAsia="黑体"/>
                <w:bCs/>
                <w:color w:val="000000" w:themeColor="text1"/>
                <w:sz w:val="18"/>
                <w:szCs w:val="18"/>
                <w14:textFill>
                  <w14:solidFill>
                    <w14:schemeClr w14:val="tx1"/>
                  </w14:solidFill>
                </w14:textFill>
              </w:rPr>
            </w:pPr>
            <w:r>
              <w:rPr>
                <w:rFonts w:eastAsia="黑体"/>
                <w:bCs/>
                <w:color w:val="000000" w:themeColor="text1"/>
                <w:sz w:val="18"/>
                <w:szCs w:val="18"/>
                <w14:textFill>
                  <w14:solidFill>
                    <w14:schemeClr w14:val="tx1"/>
                  </w14:solidFill>
                </w14:textFill>
              </w:rPr>
              <w:t>出栏量</w:t>
            </w:r>
          </w:p>
        </w:tc>
        <w:tc>
          <w:tcPr>
            <w:tcW w:w="2613" w:type="pct"/>
            <w:tcBorders>
              <w:tl2br w:val="nil"/>
              <w:tr2bl w:val="nil"/>
            </w:tcBorders>
          </w:tcPr>
          <w:p w14:paraId="75594B3B">
            <w:pPr>
              <w:adjustRightInd w:val="0"/>
              <w:snapToGrid w:val="0"/>
              <w:jc w:val="center"/>
              <w:rPr>
                <w:rFonts w:eastAsia="黑体"/>
                <w:bCs/>
                <w:color w:val="000000" w:themeColor="text1"/>
                <w:sz w:val="18"/>
                <w:szCs w:val="18"/>
                <w14:textFill>
                  <w14:solidFill>
                    <w14:schemeClr w14:val="tx1"/>
                  </w14:solidFill>
                </w14:textFill>
              </w:rPr>
            </w:pPr>
            <w:r>
              <w:rPr>
                <w:rFonts w:hint="eastAsia" w:eastAsia="黑体"/>
                <w:bCs/>
                <w:color w:val="000000" w:themeColor="text1"/>
                <w:sz w:val="18"/>
                <w:szCs w:val="18"/>
                <w14:textFill>
                  <w14:solidFill>
                    <w14:schemeClr w14:val="tx1"/>
                  </w14:solidFill>
                </w14:textFill>
              </w:rPr>
              <w:t>产品</w:t>
            </w:r>
            <w:r>
              <w:rPr>
                <w:rFonts w:eastAsia="黑体"/>
                <w:bCs/>
                <w:color w:val="000000" w:themeColor="text1"/>
                <w:sz w:val="18"/>
                <w:szCs w:val="18"/>
                <w14:textFill>
                  <w14:solidFill>
                    <w14:schemeClr w14:val="tx1"/>
                  </w14:solidFill>
                </w14:textFill>
              </w:rPr>
              <w:t>出栏标准</w:t>
            </w:r>
          </w:p>
        </w:tc>
      </w:tr>
      <w:tr w14:paraId="61CB6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12" w:type="pct"/>
            <w:tcBorders>
              <w:tl2br w:val="nil"/>
              <w:tr2bl w:val="nil"/>
            </w:tcBorders>
            <w:vAlign w:val="center"/>
          </w:tcPr>
          <w:p w14:paraId="3368292C">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肉牛</w:t>
            </w:r>
          </w:p>
        </w:tc>
        <w:tc>
          <w:tcPr>
            <w:tcW w:w="852" w:type="pct"/>
            <w:tcBorders>
              <w:tl2br w:val="nil"/>
              <w:tr2bl w:val="nil"/>
            </w:tcBorders>
            <w:vAlign w:val="center"/>
          </w:tcPr>
          <w:p w14:paraId="3E005E51">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10590头</w:t>
            </w:r>
          </w:p>
        </w:tc>
        <w:tc>
          <w:tcPr>
            <w:tcW w:w="1023" w:type="pct"/>
            <w:tcBorders>
              <w:tl2br w:val="nil"/>
              <w:tr2bl w:val="nil"/>
            </w:tcBorders>
            <w:vAlign w:val="center"/>
          </w:tcPr>
          <w:p w14:paraId="2F2F2165">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21180头（安格斯肉牛19380头、巴山肉牛1800头）</w:t>
            </w:r>
          </w:p>
        </w:tc>
        <w:tc>
          <w:tcPr>
            <w:tcW w:w="2613" w:type="pct"/>
            <w:tcBorders>
              <w:tl2br w:val="nil"/>
              <w:tr2bl w:val="nil"/>
            </w:tcBorders>
          </w:tcPr>
          <w:p w14:paraId="3E20DC9C">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参考《安格斯牛育肥技术规程》（DB23/T2611-2020），安格斯牛出栏体重达到650kg以上；</w:t>
            </w:r>
          </w:p>
          <w:p w14:paraId="043E36DD">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参考《空山牛》（DB5119/T 38-2024）中表B.3体重等级评定表及同类型养殖场空山牛出栏标准，本项目空山牛出栏标准为≥400kg。</w:t>
            </w:r>
          </w:p>
        </w:tc>
      </w:tr>
      <w:tr w14:paraId="1161F6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4"/>
            <w:tcBorders>
              <w:tl2br w:val="nil"/>
              <w:tr2bl w:val="nil"/>
            </w:tcBorders>
            <w:vAlign w:val="center"/>
          </w:tcPr>
          <w:p w14:paraId="5421024C">
            <w:pPr>
              <w:adjustRightInd w:val="0"/>
              <w:snapToGrid w:val="0"/>
              <w:jc w:val="center"/>
              <w:rPr>
                <w:bCs/>
                <w:color w:val="000000" w:themeColor="text1"/>
                <w:sz w:val="18"/>
                <w:szCs w:val="18"/>
                <w14:textFill>
                  <w14:solidFill>
                    <w14:schemeClr w14:val="tx1"/>
                  </w14:solidFill>
                </w14:textFill>
              </w:rPr>
            </w:pPr>
            <w:r>
              <w:rPr>
                <w:bCs/>
                <w:color w:val="000000" w:themeColor="text1"/>
                <w:sz w:val="18"/>
                <w:szCs w:val="18"/>
                <w14:textFill>
                  <w14:solidFill>
                    <w14:schemeClr w14:val="tx1"/>
                  </w14:solidFill>
                </w14:textFill>
              </w:rPr>
              <w:t>注：育肥肉牛达到出栏标准后直接外售，不进行屠宰或加工。</w:t>
            </w:r>
          </w:p>
        </w:tc>
      </w:tr>
    </w:tbl>
    <w:p w14:paraId="0D9421A0">
      <w:pPr>
        <w:pStyle w:val="1771"/>
        <w:spacing w:line="360" w:lineRule="auto"/>
        <w:rPr>
          <w:rFonts w:eastAsia="黑体"/>
          <w:b w:val="0"/>
          <w:color w:val="000000" w:themeColor="text1"/>
          <w:kern w:val="2"/>
          <w:szCs w:val="24"/>
          <w:lang w:val="en-US"/>
          <w14:textFill>
            <w14:solidFill>
              <w14:schemeClr w14:val="tx1"/>
            </w14:solidFill>
          </w14:textFill>
        </w:rPr>
      </w:pPr>
      <w:r>
        <w:rPr>
          <w:rFonts w:eastAsia="黑体"/>
          <w:b w:val="0"/>
          <w:color w:val="000000" w:themeColor="text1"/>
          <w:kern w:val="2"/>
          <w:szCs w:val="24"/>
          <w:lang w:val="en-US"/>
          <w14:textFill>
            <w14:solidFill>
              <w14:schemeClr w14:val="tx1"/>
            </w14:solidFill>
          </w14:textFill>
        </w:rPr>
        <w:t>表3.2-2</w:t>
      </w:r>
      <w:r>
        <w:rPr>
          <w:rFonts w:hint="eastAsia" w:eastAsia="黑体"/>
          <w:b w:val="0"/>
          <w:color w:val="000000" w:themeColor="text1"/>
          <w:kern w:val="2"/>
          <w:szCs w:val="24"/>
          <w:lang w:val="en-US"/>
          <w14:textFill>
            <w14:solidFill>
              <w14:schemeClr w14:val="tx1"/>
            </w14:solidFill>
          </w14:textFill>
        </w:rPr>
        <w:t>各养殖场区</w:t>
      </w:r>
      <w:r>
        <w:rPr>
          <w:rFonts w:eastAsia="黑体"/>
          <w:b w:val="0"/>
          <w:color w:val="000000" w:themeColor="text1"/>
          <w:kern w:val="2"/>
          <w:szCs w:val="24"/>
          <w:lang w:val="en-US"/>
          <w14:textFill>
            <w14:solidFill>
              <w14:schemeClr w14:val="tx1"/>
            </w14:solidFill>
          </w14:textFill>
        </w:rPr>
        <w:t>项目养殖</w:t>
      </w:r>
      <w:r>
        <w:rPr>
          <w:rFonts w:hint="eastAsia" w:eastAsia="黑体"/>
          <w:b w:val="0"/>
          <w:color w:val="000000" w:themeColor="text1"/>
          <w:kern w:val="2"/>
          <w:szCs w:val="24"/>
          <w:lang w:val="en-US"/>
          <w14:textFill>
            <w14:solidFill>
              <w14:schemeClr w14:val="tx1"/>
            </w14:solidFill>
          </w14:textFill>
        </w:rPr>
        <w:t>规模一览表</w:t>
      </w:r>
    </w:p>
    <w:tbl>
      <w:tblPr>
        <w:tblStyle w:val="8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47"/>
        <w:gridCol w:w="738"/>
        <w:gridCol w:w="959"/>
        <w:gridCol w:w="1382"/>
        <w:gridCol w:w="1091"/>
        <w:gridCol w:w="1091"/>
        <w:gridCol w:w="1205"/>
      </w:tblGrid>
      <w:tr w14:paraId="1C56C3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1" w:type="pct"/>
            <w:vAlign w:val="center"/>
          </w:tcPr>
          <w:p w14:paraId="3093B396">
            <w:pPr>
              <w:widowControl w:val="0"/>
              <w:autoSpaceDE w:val="0"/>
              <w:autoSpaceDN w:val="0"/>
              <w:adjustRightInd w:val="0"/>
              <w:snapToGrid w:val="0"/>
              <w:jc w:val="center"/>
              <w:rPr>
                <w:kern w:val="0"/>
                <w:szCs w:val="21"/>
              </w:rPr>
            </w:pPr>
            <w:r>
              <w:rPr>
                <w:rFonts w:hint="eastAsia"/>
                <w:kern w:val="0"/>
                <w:szCs w:val="21"/>
              </w:rPr>
              <w:t>养殖场区</w:t>
            </w:r>
          </w:p>
        </w:tc>
        <w:tc>
          <w:tcPr>
            <w:tcW w:w="444" w:type="pct"/>
            <w:vAlign w:val="center"/>
          </w:tcPr>
          <w:p w14:paraId="2D5D53B1">
            <w:pPr>
              <w:widowControl w:val="0"/>
              <w:autoSpaceDE w:val="0"/>
              <w:autoSpaceDN w:val="0"/>
              <w:adjustRightInd w:val="0"/>
              <w:snapToGrid w:val="0"/>
              <w:jc w:val="center"/>
              <w:rPr>
                <w:kern w:val="0"/>
                <w:szCs w:val="21"/>
              </w:rPr>
            </w:pPr>
            <w:r>
              <w:rPr>
                <w:rFonts w:hint="eastAsia"/>
                <w:kern w:val="0"/>
                <w:szCs w:val="21"/>
              </w:rPr>
              <w:t>圈舍数量/栋</w:t>
            </w:r>
          </w:p>
        </w:tc>
        <w:tc>
          <w:tcPr>
            <w:tcW w:w="577" w:type="pct"/>
            <w:vAlign w:val="center"/>
          </w:tcPr>
          <w:p w14:paraId="70606ABD">
            <w:pPr>
              <w:widowControl w:val="0"/>
              <w:autoSpaceDE w:val="0"/>
              <w:autoSpaceDN w:val="0"/>
              <w:adjustRightInd w:val="0"/>
              <w:snapToGrid w:val="0"/>
              <w:jc w:val="center"/>
              <w:rPr>
                <w:kern w:val="0"/>
                <w:szCs w:val="21"/>
              </w:rPr>
            </w:pPr>
            <w:r>
              <w:rPr>
                <w:rFonts w:hint="eastAsia"/>
                <w:kern w:val="0"/>
                <w:szCs w:val="21"/>
              </w:rPr>
              <w:t>圈舍面积/m</w:t>
            </w:r>
            <w:r>
              <w:rPr>
                <w:kern w:val="0"/>
                <w:szCs w:val="21"/>
                <w:vertAlign w:val="superscript"/>
              </w:rPr>
              <w:t>2</w:t>
            </w:r>
          </w:p>
        </w:tc>
        <w:tc>
          <w:tcPr>
            <w:tcW w:w="831" w:type="pct"/>
            <w:vAlign w:val="center"/>
          </w:tcPr>
          <w:p w14:paraId="46FB941F">
            <w:pPr>
              <w:widowControl w:val="0"/>
              <w:autoSpaceDE w:val="0"/>
              <w:autoSpaceDN w:val="0"/>
              <w:adjustRightInd w:val="0"/>
              <w:snapToGrid w:val="0"/>
              <w:jc w:val="center"/>
              <w:rPr>
                <w:kern w:val="0"/>
                <w:szCs w:val="21"/>
              </w:rPr>
            </w:pPr>
            <w:r>
              <w:rPr>
                <w:rFonts w:hint="eastAsia"/>
                <w:kern w:val="0"/>
                <w:szCs w:val="21"/>
              </w:rPr>
              <w:t>存栏量</w:t>
            </w:r>
          </w:p>
          <w:p w14:paraId="3DEBD2C4">
            <w:pPr>
              <w:widowControl w:val="0"/>
              <w:autoSpaceDE w:val="0"/>
              <w:autoSpaceDN w:val="0"/>
              <w:adjustRightInd w:val="0"/>
              <w:snapToGrid w:val="0"/>
              <w:jc w:val="center"/>
              <w:rPr>
                <w:kern w:val="0"/>
                <w:szCs w:val="21"/>
              </w:rPr>
            </w:pPr>
            <w:r>
              <w:rPr>
                <w:rFonts w:hint="eastAsia"/>
                <w:kern w:val="0"/>
                <w:szCs w:val="21"/>
              </w:rPr>
              <w:t>头/半年</w:t>
            </w:r>
          </w:p>
        </w:tc>
        <w:tc>
          <w:tcPr>
            <w:tcW w:w="656" w:type="pct"/>
            <w:vAlign w:val="center"/>
          </w:tcPr>
          <w:p w14:paraId="5ED402D7">
            <w:pPr>
              <w:widowControl w:val="0"/>
              <w:autoSpaceDE w:val="0"/>
              <w:autoSpaceDN w:val="0"/>
              <w:adjustRightInd w:val="0"/>
              <w:snapToGrid w:val="0"/>
              <w:jc w:val="center"/>
              <w:rPr>
                <w:kern w:val="0"/>
                <w:szCs w:val="21"/>
              </w:rPr>
            </w:pPr>
            <w:r>
              <w:rPr>
                <w:rFonts w:hint="eastAsia"/>
                <w:kern w:val="0"/>
                <w:szCs w:val="21"/>
              </w:rPr>
              <w:t>养殖周期/天</w:t>
            </w:r>
          </w:p>
        </w:tc>
        <w:tc>
          <w:tcPr>
            <w:tcW w:w="656" w:type="pct"/>
            <w:vAlign w:val="center"/>
          </w:tcPr>
          <w:p w14:paraId="02770DEB">
            <w:pPr>
              <w:widowControl w:val="0"/>
              <w:autoSpaceDE w:val="0"/>
              <w:autoSpaceDN w:val="0"/>
              <w:adjustRightInd w:val="0"/>
              <w:snapToGrid w:val="0"/>
              <w:jc w:val="center"/>
              <w:rPr>
                <w:kern w:val="0"/>
                <w:szCs w:val="21"/>
              </w:rPr>
            </w:pPr>
            <w:r>
              <w:rPr>
                <w:rFonts w:hint="eastAsia"/>
                <w:kern w:val="0"/>
                <w:szCs w:val="21"/>
              </w:rPr>
              <w:t>年出栏量</w:t>
            </w:r>
          </w:p>
          <w:p w14:paraId="1B0177A8">
            <w:pPr>
              <w:widowControl w:val="0"/>
              <w:autoSpaceDE w:val="0"/>
              <w:autoSpaceDN w:val="0"/>
              <w:adjustRightInd w:val="0"/>
              <w:snapToGrid w:val="0"/>
              <w:jc w:val="center"/>
              <w:rPr>
                <w:kern w:val="0"/>
                <w:szCs w:val="21"/>
              </w:rPr>
            </w:pPr>
            <w:r>
              <w:rPr>
                <w:rFonts w:hint="eastAsia"/>
                <w:kern w:val="0"/>
                <w:szCs w:val="21"/>
              </w:rPr>
              <w:t>头/年</w:t>
            </w:r>
          </w:p>
        </w:tc>
        <w:tc>
          <w:tcPr>
            <w:tcW w:w="725" w:type="pct"/>
            <w:vAlign w:val="center"/>
          </w:tcPr>
          <w:p w14:paraId="2A29B022">
            <w:pPr>
              <w:widowControl w:val="0"/>
              <w:autoSpaceDE w:val="0"/>
              <w:autoSpaceDN w:val="0"/>
              <w:adjustRightInd w:val="0"/>
              <w:snapToGrid w:val="0"/>
              <w:jc w:val="center"/>
              <w:rPr>
                <w:kern w:val="0"/>
                <w:szCs w:val="21"/>
              </w:rPr>
            </w:pPr>
            <w:r>
              <w:rPr>
                <w:rFonts w:hint="eastAsia"/>
                <w:kern w:val="0"/>
                <w:szCs w:val="21"/>
              </w:rPr>
              <w:t>折算存栏猪当量</w:t>
            </w:r>
            <w:r>
              <w:rPr>
                <w:kern w:val="0"/>
                <w:szCs w:val="21"/>
              </w:rPr>
              <w:t xml:space="preserve"> </w:t>
            </w:r>
            <w:r>
              <w:rPr>
                <w:rFonts w:hint="eastAsia"/>
                <w:kern w:val="0"/>
                <w:szCs w:val="21"/>
              </w:rPr>
              <w:t>头/年</w:t>
            </w:r>
          </w:p>
        </w:tc>
      </w:tr>
      <w:tr w14:paraId="47539C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1" w:type="pct"/>
            <w:vAlign w:val="center"/>
          </w:tcPr>
          <w:p w14:paraId="47A9D797">
            <w:pPr>
              <w:widowControl w:val="0"/>
              <w:autoSpaceDE w:val="0"/>
              <w:autoSpaceDN w:val="0"/>
              <w:adjustRightInd w:val="0"/>
              <w:snapToGrid w:val="0"/>
              <w:jc w:val="center"/>
              <w:rPr>
                <w:kern w:val="0"/>
                <w:szCs w:val="21"/>
              </w:rPr>
            </w:pPr>
            <w:bookmarkStart w:id="291" w:name="_Hlk232973495"/>
            <w:r>
              <w:rPr>
                <w:rFonts w:hint="eastAsia" w:ascii="宋体" w:hAnsi="宋体"/>
                <w:kern w:val="0"/>
                <w:szCs w:val="21"/>
              </w:rPr>
              <w:t>百花养殖场区</w:t>
            </w:r>
          </w:p>
        </w:tc>
        <w:tc>
          <w:tcPr>
            <w:tcW w:w="444" w:type="pct"/>
            <w:vAlign w:val="center"/>
          </w:tcPr>
          <w:p w14:paraId="59C0A068">
            <w:pPr>
              <w:widowControl w:val="0"/>
              <w:autoSpaceDE w:val="0"/>
              <w:autoSpaceDN w:val="0"/>
              <w:adjustRightInd w:val="0"/>
              <w:snapToGrid w:val="0"/>
              <w:jc w:val="center"/>
              <w:rPr>
                <w:kern w:val="0"/>
                <w:szCs w:val="21"/>
              </w:rPr>
            </w:pPr>
            <w:r>
              <w:rPr>
                <w:rFonts w:hint="eastAsia"/>
                <w:kern w:val="0"/>
                <w:szCs w:val="21"/>
              </w:rPr>
              <w:t>15</w:t>
            </w:r>
          </w:p>
        </w:tc>
        <w:tc>
          <w:tcPr>
            <w:tcW w:w="577" w:type="pct"/>
            <w:vAlign w:val="center"/>
          </w:tcPr>
          <w:p w14:paraId="4DD6ACD7">
            <w:pPr>
              <w:widowControl w:val="0"/>
              <w:autoSpaceDE w:val="0"/>
              <w:autoSpaceDN w:val="0"/>
              <w:adjustRightInd w:val="0"/>
              <w:snapToGrid w:val="0"/>
              <w:jc w:val="center"/>
              <w:rPr>
                <w:kern w:val="0"/>
                <w:szCs w:val="21"/>
              </w:rPr>
            </w:pPr>
            <w:r>
              <w:rPr>
                <w:rFonts w:hint="eastAsia"/>
                <w:kern w:val="0"/>
                <w:szCs w:val="21"/>
              </w:rPr>
              <w:t>19740</w:t>
            </w:r>
          </w:p>
        </w:tc>
        <w:tc>
          <w:tcPr>
            <w:tcW w:w="831" w:type="pct"/>
            <w:vAlign w:val="center"/>
          </w:tcPr>
          <w:p w14:paraId="3FB1A5FF">
            <w:pPr>
              <w:widowControl w:val="0"/>
              <w:autoSpaceDE w:val="0"/>
              <w:autoSpaceDN w:val="0"/>
              <w:adjustRightInd w:val="0"/>
              <w:snapToGrid w:val="0"/>
              <w:jc w:val="center"/>
              <w:rPr>
                <w:kern w:val="0"/>
                <w:szCs w:val="21"/>
              </w:rPr>
            </w:pPr>
            <w:r>
              <w:rPr>
                <w:kern w:val="0"/>
                <w:szCs w:val="21"/>
              </w:rPr>
              <w:t>3290</w:t>
            </w:r>
          </w:p>
        </w:tc>
        <w:tc>
          <w:tcPr>
            <w:tcW w:w="656" w:type="pct"/>
            <w:vMerge w:val="restart"/>
            <w:vAlign w:val="center"/>
          </w:tcPr>
          <w:p w14:paraId="25811802">
            <w:pPr>
              <w:widowControl w:val="0"/>
              <w:autoSpaceDE w:val="0"/>
              <w:autoSpaceDN w:val="0"/>
              <w:adjustRightInd w:val="0"/>
              <w:snapToGrid w:val="0"/>
              <w:jc w:val="center"/>
              <w:rPr>
                <w:kern w:val="0"/>
                <w:szCs w:val="21"/>
              </w:rPr>
            </w:pPr>
            <w:r>
              <w:rPr>
                <w:rFonts w:hint="eastAsia"/>
                <w:kern w:val="0"/>
                <w:szCs w:val="21"/>
              </w:rPr>
              <w:t>1</w:t>
            </w:r>
            <w:r>
              <w:rPr>
                <w:kern w:val="0"/>
                <w:szCs w:val="21"/>
              </w:rPr>
              <w:t>80</w:t>
            </w:r>
          </w:p>
        </w:tc>
        <w:tc>
          <w:tcPr>
            <w:tcW w:w="656" w:type="pct"/>
            <w:vAlign w:val="center"/>
          </w:tcPr>
          <w:p w14:paraId="1D3A0513">
            <w:pPr>
              <w:widowControl w:val="0"/>
              <w:autoSpaceDE w:val="0"/>
              <w:autoSpaceDN w:val="0"/>
              <w:adjustRightInd w:val="0"/>
              <w:snapToGrid w:val="0"/>
              <w:jc w:val="center"/>
              <w:rPr>
                <w:kern w:val="0"/>
                <w:szCs w:val="21"/>
              </w:rPr>
            </w:pPr>
            <w:bookmarkStart w:id="292" w:name="OLE_LINK26"/>
            <w:r>
              <w:rPr>
                <w:rFonts w:hint="eastAsia"/>
                <w:kern w:val="0"/>
                <w:szCs w:val="21"/>
              </w:rPr>
              <w:t>6580</w:t>
            </w:r>
            <w:bookmarkEnd w:id="292"/>
          </w:p>
        </w:tc>
        <w:tc>
          <w:tcPr>
            <w:tcW w:w="725" w:type="pct"/>
            <w:vAlign w:val="center"/>
          </w:tcPr>
          <w:p w14:paraId="44B0A26A">
            <w:pPr>
              <w:widowControl w:val="0"/>
              <w:autoSpaceDE w:val="0"/>
              <w:autoSpaceDN w:val="0"/>
              <w:adjustRightInd w:val="0"/>
              <w:snapToGrid w:val="0"/>
              <w:jc w:val="center"/>
              <w:rPr>
                <w:kern w:val="0"/>
                <w:szCs w:val="21"/>
              </w:rPr>
            </w:pPr>
            <w:r>
              <w:rPr>
                <w:rFonts w:hint="eastAsia"/>
                <w:kern w:val="0"/>
                <w:szCs w:val="21"/>
              </w:rPr>
              <w:t>32900</w:t>
            </w:r>
          </w:p>
        </w:tc>
      </w:tr>
      <w:tr w14:paraId="063524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1" w:type="pct"/>
            <w:vMerge w:val="restart"/>
            <w:vAlign w:val="center"/>
          </w:tcPr>
          <w:p w14:paraId="232F7BD2">
            <w:pPr>
              <w:widowControl w:val="0"/>
              <w:autoSpaceDE w:val="0"/>
              <w:autoSpaceDN w:val="0"/>
              <w:adjustRightInd w:val="0"/>
              <w:snapToGrid w:val="0"/>
              <w:jc w:val="center"/>
              <w:rPr>
                <w:rFonts w:ascii="宋体" w:hAnsi="宋体"/>
                <w:kern w:val="0"/>
                <w:szCs w:val="21"/>
              </w:rPr>
            </w:pPr>
            <w:r>
              <w:rPr>
                <w:rFonts w:hint="eastAsia" w:ascii="宋体" w:hAnsi="宋体"/>
                <w:kern w:val="0"/>
                <w:szCs w:val="21"/>
              </w:rPr>
              <w:t>佛龙养殖场区</w:t>
            </w:r>
          </w:p>
          <w:p w14:paraId="6DAFFB02">
            <w:pPr>
              <w:widowControl w:val="0"/>
              <w:autoSpaceDE w:val="0"/>
              <w:autoSpaceDN w:val="0"/>
              <w:adjustRightInd w:val="0"/>
              <w:snapToGrid w:val="0"/>
              <w:jc w:val="center"/>
              <w:rPr>
                <w:kern w:val="0"/>
                <w:szCs w:val="21"/>
              </w:rPr>
            </w:pPr>
            <w:r>
              <w:rPr>
                <w:rFonts w:hint="eastAsia" w:ascii="宋体" w:hAnsi="宋体"/>
                <w:kern w:val="0"/>
                <w:szCs w:val="21"/>
              </w:rPr>
              <w:t>（空山牛养殖基地）</w:t>
            </w:r>
          </w:p>
        </w:tc>
        <w:tc>
          <w:tcPr>
            <w:tcW w:w="444" w:type="pct"/>
            <w:vAlign w:val="center"/>
          </w:tcPr>
          <w:p w14:paraId="133D7676">
            <w:pPr>
              <w:widowControl w:val="0"/>
              <w:autoSpaceDE w:val="0"/>
              <w:autoSpaceDN w:val="0"/>
              <w:adjustRightInd w:val="0"/>
              <w:snapToGrid w:val="0"/>
              <w:jc w:val="center"/>
              <w:rPr>
                <w:kern w:val="0"/>
                <w:szCs w:val="21"/>
              </w:rPr>
            </w:pPr>
            <w:r>
              <w:rPr>
                <w:rFonts w:hint="eastAsia"/>
                <w:kern w:val="0"/>
                <w:szCs w:val="21"/>
              </w:rPr>
              <w:t>6</w:t>
            </w:r>
          </w:p>
        </w:tc>
        <w:tc>
          <w:tcPr>
            <w:tcW w:w="577" w:type="pct"/>
            <w:vAlign w:val="center"/>
          </w:tcPr>
          <w:p w14:paraId="37F654B9">
            <w:pPr>
              <w:widowControl w:val="0"/>
              <w:autoSpaceDE w:val="0"/>
              <w:autoSpaceDN w:val="0"/>
              <w:adjustRightInd w:val="0"/>
              <w:snapToGrid w:val="0"/>
              <w:jc w:val="center"/>
              <w:rPr>
                <w:kern w:val="0"/>
                <w:szCs w:val="21"/>
              </w:rPr>
            </w:pPr>
            <w:r>
              <w:rPr>
                <w:rFonts w:hint="eastAsia"/>
                <w:kern w:val="0"/>
                <w:szCs w:val="21"/>
              </w:rPr>
              <w:t>4980</w:t>
            </w:r>
          </w:p>
        </w:tc>
        <w:tc>
          <w:tcPr>
            <w:tcW w:w="831" w:type="pct"/>
            <w:vAlign w:val="center"/>
          </w:tcPr>
          <w:p w14:paraId="001D1E78">
            <w:pPr>
              <w:widowControl w:val="0"/>
              <w:autoSpaceDE w:val="0"/>
              <w:autoSpaceDN w:val="0"/>
              <w:adjustRightInd w:val="0"/>
              <w:snapToGrid w:val="0"/>
              <w:jc w:val="center"/>
              <w:rPr>
                <w:kern w:val="0"/>
                <w:szCs w:val="21"/>
              </w:rPr>
            </w:pPr>
            <w:r>
              <w:rPr>
                <w:kern w:val="0"/>
                <w:szCs w:val="21"/>
              </w:rPr>
              <w:t>780</w:t>
            </w:r>
          </w:p>
        </w:tc>
        <w:tc>
          <w:tcPr>
            <w:tcW w:w="656" w:type="pct"/>
            <w:vMerge w:val="continue"/>
            <w:vAlign w:val="center"/>
          </w:tcPr>
          <w:p w14:paraId="074E8424">
            <w:pPr>
              <w:widowControl w:val="0"/>
              <w:autoSpaceDE w:val="0"/>
              <w:autoSpaceDN w:val="0"/>
              <w:adjustRightInd w:val="0"/>
              <w:snapToGrid w:val="0"/>
              <w:jc w:val="center"/>
              <w:rPr>
                <w:kern w:val="0"/>
                <w:szCs w:val="21"/>
              </w:rPr>
            </w:pPr>
          </w:p>
        </w:tc>
        <w:tc>
          <w:tcPr>
            <w:tcW w:w="656" w:type="pct"/>
            <w:vAlign w:val="center"/>
          </w:tcPr>
          <w:p w14:paraId="78268C3A">
            <w:pPr>
              <w:widowControl w:val="0"/>
              <w:autoSpaceDE w:val="0"/>
              <w:autoSpaceDN w:val="0"/>
              <w:adjustRightInd w:val="0"/>
              <w:snapToGrid w:val="0"/>
              <w:jc w:val="center"/>
              <w:rPr>
                <w:kern w:val="0"/>
                <w:szCs w:val="21"/>
              </w:rPr>
            </w:pPr>
            <w:r>
              <w:rPr>
                <w:rFonts w:hint="eastAsia"/>
                <w:kern w:val="0"/>
                <w:szCs w:val="21"/>
              </w:rPr>
              <w:t>1560</w:t>
            </w:r>
          </w:p>
        </w:tc>
        <w:tc>
          <w:tcPr>
            <w:tcW w:w="725" w:type="pct"/>
            <w:vAlign w:val="center"/>
          </w:tcPr>
          <w:p w14:paraId="6627214B">
            <w:pPr>
              <w:widowControl w:val="0"/>
              <w:autoSpaceDE w:val="0"/>
              <w:autoSpaceDN w:val="0"/>
              <w:adjustRightInd w:val="0"/>
              <w:snapToGrid w:val="0"/>
              <w:jc w:val="center"/>
              <w:rPr>
                <w:kern w:val="0"/>
                <w:szCs w:val="21"/>
              </w:rPr>
            </w:pPr>
            <w:r>
              <w:rPr>
                <w:rFonts w:hint="eastAsia"/>
                <w:kern w:val="0"/>
                <w:szCs w:val="21"/>
              </w:rPr>
              <w:t>7800</w:t>
            </w:r>
          </w:p>
        </w:tc>
      </w:tr>
      <w:tr w14:paraId="0457A2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1" w:type="pct"/>
            <w:vMerge w:val="continue"/>
            <w:vAlign w:val="center"/>
          </w:tcPr>
          <w:p w14:paraId="47626BE8">
            <w:pPr>
              <w:widowControl w:val="0"/>
              <w:autoSpaceDE w:val="0"/>
              <w:autoSpaceDN w:val="0"/>
              <w:adjustRightInd w:val="0"/>
              <w:snapToGrid w:val="0"/>
              <w:jc w:val="center"/>
              <w:rPr>
                <w:rFonts w:ascii="宋体" w:hAnsi="宋体"/>
                <w:kern w:val="0"/>
                <w:szCs w:val="21"/>
              </w:rPr>
            </w:pPr>
          </w:p>
        </w:tc>
        <w:tc>
          <w:tcPr>
            <w:tcW w:w="444" w:type="pct"/>
            <w:vAlign w:val="center"/>
          </w:tcPr>
          <w:p w14:paraId="25D28298">
            <w:pPr>
              <w:widowControl w:val="0"/>
              <w:autoSpaceDE w:val="0"/>
              <w:autoSpaceDN w:val="0"/>
              <w:adjustRightInd w:val="0"/>
              <w:snapToGrid w:val="0"/>
              <w:jc w:val="center"/>
              <w:rPr>
                <w:kern w:val="0"/>
                <w:szCs w:val="21"/>
              </w:rPr>
            </w:pPr>
            <w:r>
              <w:rPr>
                <w:rFonts w:hint="eastAsia"/>
                <w:kern w:val="0"/>
                <w:szCs w:val="21"/>
              </w:rPr>
              <w:t>4</w:t>
            </w:r>
          </w:p>
        </w:tc>
        <w:tc>
          <w:tcPr>
            <w:tcW w:w="577" w:type="pct"/>
            <w:vAlign w:val="center"/>
          </w:tcPr>
          <w:p w14:paraId="17E8B67F">
            <w:pPr>
              <w:widowControl w:val="0"/>
              <w:autoSpaceDE w:val="0"/>
              <w:autoSpaceDN w:val="0"/>
              <w:adjustRightInd w:val="0"/>
              <w:snapToGrid w:val="0"/>
              <w:jc w:val="center"/>
              <w:rPr>
                <w:kern w:val="0"/>
                <w:szCs w:val="21"/>
              </w:rPr>
            </w:pPr>
            <w:r>
              <w:rPr>
                <w:rFonts w:hint="eastAsia"/>
                <w:kern w:val="0"/>
                <w:szCs w:val="21"/>
              </w:rPr>
              <w:t>5760</w:t>
            </w:r>
          </w:p>
        </w:tc>
        <w:tc>
          <w:tcPr>
            <w:tcW w:w="831" w:type="pct"/>
            <w:vAlign w:val="center"/>
          </w:tcPr>
          <w:p w14:paraId="386CA3E3">
            <w:pPr>
              <w:widowControl w:val="0"/>
              <w:autoSpaceDE w:val="0"/>
              <w:autoSpaceDN w:val="0"/>
              <w:adjustRightInd w:val="0"/>
              <w:snapToGrid w:val="0"/>
              <w:jc w:val="center"/>
              <w:rPr>
                <w:kern w:val="0"/>
                <w:szCs w:val="21"/>
              </w:rPr>
            </w:pPr>
            <w:r>
              <w:rPr>
                <w:kern w:val="0"/>
                <w:szCs w:val="21"/>
              </w:rPr>
              <w:t>900</w:t>
            </w:r>
          </w:p>
          <w:p w14:paraId="55ADDF3B">
            <w:pPr>
              <w:widowControl w:val="0"/>
              <w:autoSpaceDE w:val="0"/>
              <w:autoSpaceDN w:val="0"/>
              <w:adjustRightInd w:val="0"/>
              <w:snapToGrid w:val="0"/>
              <w:jc w:val="center"/>
              <w:rPr>
                <w:kern w:val="0"/>
                <w:szCs w:val="21"/>
              </w:rPr>
            </w:pPr>
            <w:r>
              <w:rPr>
                <w:rFonts w:hint="eastAsia"/>
                <w:kern w:val="0"/>
                <w:szCs w:val="21"/>
              </w:rPr>
              <w:t>（</w:t>
            </w:r>
            <w:r>
              <w:rPr>
                <w:rFonts w:hint="eastAsia" w:ascii="宋体" w:hAnsi="宋体"/>
                <w:kern w:val="0"/>
                <w:szCs w:val="21"/>
              </w:rPr>
              <w:t>空山牛）</w:t>
            </w:r>
          </w:p>
        </w:tc>
        <w:tc>
          <w:tcPr>
            <w:tcW w:w="656" w:type="pct"/>
            <w:vMerge w:val="continue"/>
            <w:vAlign w:val="center"/>
          </w:tcPr>
          <w:p w14:paraId="525B3E5E">
            <w:pPr>
              <w:widowControl w:val="0"/>
              <w:autoSpaceDE w:val="0"/>
              <w:autoSpaceDN w:val="0"/>
              <w:adjustRightInd w:val="0"/>
              <w:snapToGrid w:val="0"/>
              <w:jc w:val="center"/>
              <w:rPr>
                <w:kern w:val="0"/>
                <w:szCs w:val="21"/>
              </w:rPr>
            </w:pPr>
          </w:p>
        </w:tc>
        <w:tc>
          <w:tcPr>
            <w:tcW w:w="656" w:type="pct"/>
            <w:vAlign w:val="center"/>
          </w:tcPr>
          <w:p w14:paraId="0A59C403">
            <w:pPr>
              <w:widowControl w:val="0"/>
              <w:autoSpaceDE w:val="0"/>
              <w:autoSpaceDN w:val="0"/>
              <w:adjustRightInd w:val="0"/>
              <w:snapToGrid w:val="0"/>
              <w:jc w:val="center"/>
              <w:rPr>
                <w:kern w:val="0"/>
                <w:szCs w:val="21"/>
              </w:rPr>
            </w:pPr>
            <w:r>
              <w:rPr>
                <w:rFonts w:hint="eastAsia"/>
                <w:kern w:val="0"/>
                <w:szCs w:val="21"/>
              </w:rPr>
              <w:t>1800</w:t>
            </w:r>
          </w:p>
        </w:tc>
        <w:tc>
          <w:tcPr>
            <w:tcW w:w="725" w:type="pct"/>
            <w:vAlign w:val="center"/>
          </w:tcPr>
          <w:p w14:paraId="30C157F2">
            <w:pPr>
              <w:widowControl w:val="0"/>
              <w:autoSpaceDE w:val="0"/>
              <w:autoSpaceDN w:val="0"/>
              <w:adjustRightInd w:val="0"/>
              <w:snapToGrid w:val="0"/>
              <w:jc w:val="center"/>
              <w:rPr>
                <w:kern w:val="0"/>
                <w:szCs w:val="21"/>
              </w:rPr>
            </w:pPr>
            <w:r>
              <w:rPr>
                <w:rFonts w:hint="eastAsia"/>
                <w:kern w:val="0"/>
                <w:szCs w:val="21"/>
              </w:rPr>
              <w:t>9000</w:t>
            </w:r>
          </w:p>
        </w:tc>
      </w:tr>
      <w:tr w14:paraId="5266DA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1" w:type="pct"/>
            <w:vAlign w:val="center"/>
          </w:tcPr>
          <w:p w14:paraId="3FBD45BB">
            <w:pPr>
              <w:widowControl w:val="0"/>
              <w:autoSpaceDE w:val="0"/>
              <w:autoSpaceDN w:val="0"/>
              <w:adjustRightInd w:val="0"/>
              <w:snapToGrid w:val="0"/>
              <w:jc w:val="center"/>
              <w:rPr>
                <w:kern w:val="0"/>
                <w:szCs w:val="21"/>
              </w:rPr>
            </w:pPr>
            <w:r>
              <w:rPr>
                <w:rFonts w:hint="eastAsia" w:ascii="宋体" w:hAnsi="宋体"/>
                <w:kern w:val="0"/>
                <w:szCs w:val="21"/>
              </w:rPr>
              <w:t>塘坝养殖场区</w:t>
            </w:r>
          </w:p>
        </w:tc>
        <w:tc>
          <w:tcPr>
            <w:tcW w:w="444" w:type="pct"/>
            <w:vAlign w:val="center"/>
          </w:tcPr>
          <w:p w14:paraId="5B28E887">
            <w:pPr>
              <w:widowControl w:val="0"/>
              <w:autoSpaceDE w:val="0"/>
              <w:autoSpaceDN w:val="0"/>
              <w:adjustRightInd w:val="0"/>
              <w:snapToGrid w:val="0"/>
              <w:jc w:val="center"/>
              <w:rPr>
                <w:kern w:val="0"/>
                <w:szCs w:val="21"/>
              </w:rPr>
            </w:pPr>
            <w:r>
              <w:rPr>
                <w:rFonts w:hint="eastAsia"/>
                <w:kern w:val="0"/>
                <w:szCs w:val="21"/>
              </w:rPr>
              <w:t>16</w:t>
            </w:r>
          </w:p>
        </w:tc>
        <w:tc>
          <w:tcPr>
            <w:tcW w:w="577" w:type="pct"/>
            <w:vAlign w:val="center"/>
          </w:tcPr>
          <w:p w14:paraId="4B6D7BD4">
            <w:pPr>
              <w:widowControl w:val="0"/>
              <w:autoSpaceDE w:val="0"/>
              <w:autoSpaceDN w:val="0"/>
              <w:adjustRightInd w:val="0"/>
              <w:snapToGrid w:val="0"/>
              <w:jc w:val="center"/>
              <w:rPr>
                <w:kern w:val="0"/>
                <w:szCs w:val="21"/>
              </w:rPr>
            </w:pPr>
            <w:r>
              <w:rPr>
                <w:rFonts w:hint="eastAsia"/>
                <w:kern w:val="0"/>
                <w:szCs w:val="21"/>
              </w:rPr>
              <w:t>19740</w:t>
            </w:r>
          </w:p>
        </w:tc>
        <w:tc>
          <w:tcPr>
            <w:tcW w:w="831" w:type="pct"/>
            <w:vAlign w:val="center"/>
          </w:tcPr>
          <w:p w14:paraId="4234465D">
            <w:pPr>
              <w:widowControl w:val="0"/>
              <w:autoSpaceDE w:val="0"/>
              <w:autoSpaceDN w:val="0"/>
              <w:adjustRightInd w:val="0"/>
              <w:snapToGrid w:val="0"/>
              <w:jc w:val="center"/>
              <w:rPr>
                <w:kern w:val="0"/>
                <w:szCs w:val="21"/>
              </w:rPr>
            </w:pPr>
            <w:r>
              <w:rPr>
                <w:kern w:val="0"/>
                <w:szCs w:val="21"/>
              </w:rPr>
              <w:t>3290</w:t>
            </w:r>
          </w:p>
        </w:tc>
        <w:tc>
          <w:tcPr>
            <w:tcW w:w="656" w:type="pct"/>
            <w:vMerge w:val="continue"/>
            <w:vAlign w:val="center"/>
          </w:tcPr>
          <w:p w14:paraId="3BB9DE44">
            <w:pPr>
              <w:widowControl w:val="0"/>
              <w:autoSpaceDE w:val="0"/>
              <w:autoSpaceDN w:val="0"/>
              <w:adjustRightInd w:val="0"/>
              <w:snapToGrid w:val="0"/>
              <w:jc w:val="center"/>
              <w:rPr>
                <w:kern w:val="0"/>
                <w:szCs w:val="21"/>
              </w:rPr>
            </w:pPr>
          </w:p>
        </w:tc>
        <w:tc>
          <w:tcPr>
            <w:tcW w:w="656" w:type="pct"/>
            <w:vAlign w:val="center"/>
          </w:tcPr>
          <w:p w14:paraId="6A7C2929">
            <w:pPr>
              <w:widowControl w:val="0"/>
              <w:autoSpaceDE w:val="0"/>
              <w:autoSpaceDN w:val="0"/>
              <w:adjustRightInd w:val="0"/>
              <w:snapToGrid w:val="0"/>
              <w:jc w:val="center"/>
              <w:rPr>
                <w:kern w:val="0"/>
                <w:szCs w:val="21"/>
              </w:rPr>
            </w:pPr>
            <w:r>
              <w:rPr>
                <w:rFonts w:hint="eastAsia"/>
                <w:kern w:val="0"/>
                <w:szCs w:val="21"/>
              </w:rPr>
              <w:t>6580</w:t>
            </w:r>
          </w:p>
        </w:tc>
        <w:tc>
          <w:tcPr>
            <w:tcW w:w="725" w:type="pct"/>
            <w:vAlign w:val="center"/>
          </w:tcPr>
          <w:p w14:paraId="23B7849A">
            <w:pPr>
              <w:widowControl w:val="0"/>
              <w:autoSpaceDE w:val="0"/>
              <w:autoSpaceDN w:val="0"/>
              <w:adjustRightInd w:val="0"/>
              <w:snapToGrid w:val="0"/>
              <w:jc w:val="center"/>
              <w:rPr>
                <w:kern w:val="0"/>
                <w:szCs w:val="21"/>
              </w:rPr>
            </w:pPr>
            <w:r>
              <w:rPr>
                <w:rFonts w:hint="eastAsia"/>
                <w:kern w:val="0"/>
                <w:szCs w:val="21"/>
              </w:rPr>
              <w:t>32900</w:t>
            </w:r>
          </w:p>
        </w:tc>
      </w:tr>
      <w:tr w14:paraId="424B2F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1" w:type="pct"/>
            <w:vAlign w:val="center"/>
          </w:tcPr>
          <w:p w14:paraId="4EDCBA1B">
            <w:pPr>
              <w:widowControl w:val="0"/>
              <w:autoSpaceDE w:val="0"/>
              <w:autoSpaceDN w:val="0"/>
              <w:adjustRightInd w:val="0"/>
              <w:snapToGrid w:val="0"/>
              <w:jc w:val="center"/>
              <w:rPr>
                <w:kern w:val="0"/>
                <w:szCs w:val="21"/>
              </w:rPr>
            </w:pPr>
            <w:bookmarkStart w:id="293" w:name="OLE_LINK128"/>
            <w:bookmarkStart w:id="294" w:name="OLE_LINK141"/>
            <w:r>
              <w:rPr>
                <w:rFonts w:hint="eastAsia" w:ascii="宋体" w:hAnsi="宋体"/>
                <w:kern w:val="0"/>
                <w:szCs w:val="21"/>
              </w:rPr>
              <w:t>始宁养殖场区</w:t>
            </w:r>
            <w:bookmarkEnd w:id="293"/>
            <w:bookmarkEnd w:id="294"/>
          </w:p>
        </w:tc>
        <w:tc>
          <w:tcPr>
            <w:tcW w:w="444" w:type="pct"/>
            <w:vAlign w:val="center"/>
          </w:tcPr>
          <w:p w14:paraId="04DC8331">
            <w:pPr>
              <w:widowControl w:val="0"/>
              <w:autoSpaceDE w:val="0"/>
              <w:autoSpaceDN w:val="0"/>
              <w:adjustRightInd w:val="0"/>
              <w:snapToGrid w:val="0"/>
              <w:jc w:val="center"/>
              <w:rPr>
                <w:kern w:val="0"/>
                <w:szCs w:val="21"/>
              </w:rPr>
            </w:pPr>
            <w:r>
              <w:rPr>
                <w:rFonts w:hint="eastAsia"/>
                <w:kern w:val="0"/>
                <w:szCs w:val="21"/>
              </w:rPr>
              <w:t>12</w:t>
            </w:r>
          </w:p>
        </w:tc>
        <w:tc>
          <w:tcPr>
            <w:tcW w:w="577" w:type="pct"/>
            <w:vAlign w:val="center"/>
          </w:tcPr>
          <w:p w14:paraId="1AA19910">
            <w:pPr>
              <w:widowControl w:val="0"/>
              <w:autoSpaceDE w:val="0"/>
              <w:autoSpaceDN w:val="0"/>
              <w:adjustRightInd w:val="0"/>
              <w:snapToGrid w:val="0"/>
              <w:jc w:val="center"/>
              <w:rPr>
                <w:kern w:val="0"/>
                <w:szCs w:val="21"/>
              </w:rPr>
            </w:pPr>
            <w:r>
              <w:rPr>
                <w:rFonts w:hint="eastAsia"/>
                <w:kern w:val="0"/>
                <w:szCs w:val="21"/>
              </w:rPr>
              <w:t>13980</w:t>
            </w:r>
          </w:p>
        </w:tc>
        <w:tc>
          <w:tcPr>
            <w:tcW w:w="831" w:type="pct"/>
            <w:vAlign w:val="center"/>
          </w:tcPr>
          <w:p w14:paraId="4479BF5F">
            <w:pPr>
              <w:widowControl w:val="0"/>
              <w:autoSpaceDE w:val="0"/>
              <w:autoSpaceDN w:val="0"/>
              <w:adjustRightInd w:val="0"/>
              <w:snapToGrid w:val="0"/>
              <w:jc w:val="center"/>
              <w:rPr>
                <w:kern w:val="0"/>
                <w:szCs w:val="21"/>
              </w:rPr>
            </w:pPr>
            <w:r>
              <w:rPr>
                <w:kern w:val="0"/>
                <w:szCs w:val="21"/>
              </w:rPr>
              <w:t>2330</w:t>
            </w:r>
          </w:p>
        </w:tc>
        <w:tc>
          <w:tcPr>
            <w:tcW w:w="656" w:type="pct"/>
            <w:vMerge w:val="continue"/>
            <w:vAlign w:val="center"/>
          </w:tcPr>
          <w:p w14:paraId="1A481EE9">
            <w:pPr>
              <w:widowControl w:val="0"/>
              <w:autoSpaceDE w:val="0"/>
              <w:autoSpaceDN w:val="0"/>
              <w:adjustRightInd w:val="0"/>
              <w:snapToGrid w:val="0"/>
              <w:jc w:val="center"/>
              <w:rPr>
                <w:kern w:val="0"/>
                <w:szCs w:val="21"/>
              </w:rPr>
            </w:pPr>
          </w:p>
        </w:tc>
        <w:tc>
          <w:tcPr>
            <w:tcW w:w="656" w:type="pct"/>
            <w:vAlign w:val="center"/>
          </w:tcPr>
          <w:p w14:paraId="0DAF8112">
            <w:pPr>
              <w:widowControl w:val="0"/>
              <w:autoSpaceDE w:val="0"/>
              <w:autoSpaceDN w:val="0"/>
              <w:adjustRightInd w:val="0"/>
              <w:snapToGrid w:val="0"/>
              <w:jc w:val="center"/>
              <w:rPr>
                <w:kern w:val="0"/>
                <w:szCs w:val="21"/>
              </w:rPr>
            </w:pPr>
            <w:r>
              <w:rPr>
                <w:rFonts w:hint="eastAsia"/>
                <w:kern w:val="0"/>
                <w:szCs w:val="21"/>
              </w:rPr>
              <w:t>4660</w:t>
            </w:r>
          </w:p>
        </w:tc>
        <w:tc>
          <w:tcPr>
            <w:tcW w:w="725" w:type="pct"/>
            <w:vAlign w:val="center"/>
          </w:tcPr>
          <w:p w14:paraId="4BACE147">
            <w:pPr>
              <w:widowControl w:val="0"/>
              <w:autoSpaceDE w:val="0"/>
              <w:autoSpaceDN w:val="0"/>
              <w:adjustRightInd w:val="0"/>
              <w:snapToGrid w:val="0"/>
              <w:jc w:val="center"/>
              <w:rPr>
                <w:kern w:val="0"/>
                <w:szCs w:val="21"/>
              </w:rPr>
            </w:pPr>
            <w:r>
              <w:rPr>
                <w:rFonts w:hint="eastAsia"/>
                <w:kern w:val="0"/>
                <w:szCs w:val="21"/>
              </w:rPr>
              <w:t>23300</w:t>
            </w:r>
          </w:p>
        </w:tc>
      </w:tr>
      <w:bookmarkEnd w:id="291"/>
      <w:tr w14:paraId="21FFC2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11" w:type="pct"/>
            <w:vAlign w:val="center"/>
          </w:tcPr>
          <w:p w14:paraId="59603E2E">
            <w:pPr>
              <w:widowControl w:val="0"/>
              <w:autoSpaceDE w:val="0"/>
              <w:autoSpaceDN w:val="0"/>
              <w:adjustRightInd w:val="0"/>
              <w:snapToGrid w:val="0"/>
              <w:jc w:val="center"/>
              <w:rPr>
                <w:kern w:val="0"/>
                <w:szCs w:val="21"/>
              </w:rPr>
            </w:pPr>
            <w:r>
              <w:rPr>
                <w:rFonts w:hint="eastAsia" w:ascii="宋体" w:hAnsi="宋体"/>
                <w:kern w:val="0"/>
                <w:szCs w:val="21"/>
              </w:rPr>
              <w:t>合计</w:t>
            </w:r>
          </w:p>
        </w:tc>
        <w:tc>
          <w:tcPr>
            <w:tcW w:w="444" w:type="pct"/>
            <w:vAlign w:val="center"/>
          </w:tcPr>
          <w:p w14:paraId="5C3E50B0">
            <w:pPr>
              <w:widowControl w:val="0"/>
              <w:autoSpaceDE w:val="0"/>
              <w:autoSpaceDN w:val="0"/>
              <w:adjustRightInd w:val="0"/>
              <w:snapToGrid w:val="0"/>
              <w:jc w:val="center"/>
              <w:rPr>
                <w:kern w:val="0"/>
                <w:szCs w:val="21"/>
              </w:rPr>
            </w:pPr>
            <w:r>
              <w:rPr>
                <w:rFonts w:hint="eastAsia"/>
                <w:kern w:val="0"/>
                <w:szCs w:val="21"/>
              </w:rPr>
              <w:t>53</w:t>
            </w:r>
          </w:p>
        </w:tc>
        <w:tc>
          <w:tcPr>
            <w:tcW w:w="577" w:type="pct"/>
            <w:vAlign w:val="center"/>
          </w:tcPr>
          <w:p w14:paraId="5DAA51F1">
            <w:pPr>
              <w:widowControl w:val="0"/>
              <w:autoSpaceDE w:val="0"/>
              <w:autoSpaceDN w:val="0"/>
              <w:adjustRightInd w:val="0"/>
              <w:snapToGrid w:val="0"/>
              <w:jc w:val="center"/>
              <w:rPr>
                <w:kern w:val="0"/>
                <w:szCs w:val="21"/>
              </w:rPr>
            </w:pPr>
            <w:r>
              <w:rPr>
                <w:rFonts w:hint="eastAsia"/>
                <w:kern w:val="0"/>
                <w:szCs w:val="21"/>
              </w:rPr>
              <w:t>64200</w:t>
            </w:r>
          </w:p>
        </w:tc>
        <w:tc>
          <w:tcPr>
            <w:tcW w:w="831" w:type="pct"/>
            <w:vAlign w:val="center"/>
          </w:tcPr>
          <w:p w14:paraId="6A167ADE">
            <w:pPr>
              <w:widowControl w:val="0"/>
              <w:autoSpaceDE w:val="0"/>
              <w:autoSpaceDN w:val="0"/>
              <w:adjustRightInd w:val="0"/>
              <w:snapToGrid w:val="0"/>
              <w:jc w:val="center"/>
              <w:rPr>
                <w:kern w:val="0"/>
                <w:szCs w:val="21"/>
              </w:rPr>
            </w:pPr>
            <w:r>
              <w:rPr>
                <w:kern w:val="0"/>
                <w:szCs w:val="21"/>
              </w:rPr>
              <w:t>10590</w:t>
            </w:r>
          </w:p>
        </w:tc>
        <w:tc>
          <w:tcPr>
            <w:tcW w:w="656" w:type="pct"/>
            <w:vAlign w:val="center"/>
          </w:tcPr>
          <w:p w14:paraId="4E979671">
            <w:pPr>
              <w:widowControl w:val="0"/>
              <w:autoSpaceDE w:val="0"/>
              <w:autoSpaceDN w:val="0"/>
              <w:adjustRightInd w:val="0"/>
              <w:snapToGrid w:val="0"/>
              <w:jc w:val="center"/>
              <w:rPr>
                <w:kern w:val="0"/>
                <w:szCs w:val="21"/>
              </w:rPr>
            </w:pPr>
          </w:p>
        </w:tc>
        <w:tc>
          <w:tcPr>
            <w:tcW w:w="656" w:type="pct"/>
            <w:vAlign w:val="center"/>
          </w:tcPr>
          <w:p w14:paraId="7B747B33">
            <w:pPr>
              <w:widowControl w:val="0"/>
              <w:autoSpaceDE w:val="0"/>
              <w:autoSpaceDN w:val="0"/>
              <w:adjustRightInd w:val="0"/>
              <w:snapToGrid w:val="0"/>
              <w:jc w:val="center"/>
              <w:rPr>
                <w:kern w:val="0"/>
                <w:szCs w:val="21"/>
              </w:rPr>
            </w:pPr>
            <w:bookmarkStart w:id="295" w:name="OLE_LINK57"/>
            <w:r>
              <w:rPr>
                <w:rFonts w:hint="eastAsia"/>
                <w:kern w:val="0"/>
                <w:szCs w:val="21"/>
              </w:rPr>
              <w:t>21180</w:t>
            </w:r>
            <w:bookmarkEnd w:id="295"/>
          </w:p>
        </w:tc>
        <w:tc>
          <w:tcPr>
            <w:tcW w:w="725" w:type="pct"/>
            <w:vAlign w:val="center"/>
          </w:tcPr>
          <w:p w14:paraId="32E54E76">
            <w:pPr>
              <w:widowControl w:val="0"/>
              <w:autoSpaceDE w:val="0"/>
              <w:autoSpaceDN w:val="0"/>
              <w:adjustRightInd w:val="0"/>
              <w:snapToGrid w:val="0"/>
              <w:jc w:val="center"/>
              <w:rPr>
                <w:kern w:val="0"/>
                <w:szCs w:val="21"/>
              </w:rPr>
            </w:pPr>
            <w:r>
              <w:rPr>
                <w:rFonts w:hint="eastAsia"/>
                <w:kern w:val="0"/>
                <w:szCs w:val="21"/>
              </w:rPr>
              <w:t>105900</w:t>
            </w:r>
          </w:p>
        </w:tc>
      </w:tr>
    </w:tbl>
    <w:p w14:paraId="3D97719E">
      <w:pPr>
        <w:autoSpaceDE w:val="0"/>
        <w:autoSpaceDN w:val="0"/>
        <w:adjustRightInd w:val="0"/>
        <w:snapToGrid w:val="0"/>
        <w:spacing w:line="360" w:lineRule="auto"/>
        <w:ind w:firstLine="480" w:firstLineChars="200"/>
        <w:rPr>
          <w:color w:val="FF0000"/>
          <w:kern w:val="0"/>
          <w:sz w:val="24"/>
        </w:rPr>
      </w:pPr>
      <w:r>
        <w:rPr>
          <w:rFonts w:hint="eastAsia"/>
          <w:kern w:val="0"/>
          <w:sz w:val="24"/>
        </w:rPr>
        <w:t>根据《标准化养殖场</w:t>
      </w:r>
      <w:r>
        <w:rPr>
          <w:kern w:val="0"/>
          <w:sz w:val="24"/>
        </w:rPr>
        <w:t xml:space="preserve"> </w:t>
      </w:r>
      <w:r>
        <w:rPr>
          <w:rFonts w:hint="eastAsia"/>
          <w:kern w:val="0"/>
          <w:sz w:val="24"/>
        </w:rPr>
        <w:t>肉牛》（</w:t>
      </w:r>
      <w:r>
        <w:rPr>
          <w:kern w:val="0"/>
          <w:sz w:val="24"/>
        </w:rPr>
        <w:t>NYT2663-2014</w:t>
      </w:r>
      <w:r>
        <w:rPr>
          <w:rFonts w:hint="eastAsia"/>
          <w:kern w:val="0"/>
          <w:sz w:val="24"/>
        </w:rPr>
        <w:t>）中规定，每头存栏牛所需牛舍建筑面积</w:t>
      </w:r>
      <w:r>
        <w:rPr>
          <w:kern w:val="0"/>
          <w:sz w:val="24"/>
        </w:rPr>
        <w:t>6m</w:t>
      </w:r>
      <w:r>
        <w:rPr>
          <w:kern w:val="0"/>
          <w:sz w:val="24"/>
          <w:vertAlign w:val="superscript"/>
        </w:rPr>
        <w:t>2</w:t>
      </w:r>
      <w:r>
        <w:rPr>
          <w:kern w:val="0"/>
          <w:sz w:val="24"/>
        </w:rPr>
        <w:t>~8m</w:t>
      </w:r>
      <w:r>
        <w:rPr>
          <w:kern w:val="0"/>
          <w:sz w:val="24"/>
          <w:vertAlign w:val="superscript"/>
        </w:rPr>
        <w:t>2</w:t>
      </w:r>
      <w:r>
        <w:rPr>
          <w:rFonts w:hint="eastAsia"/>
          <w:kern w:val="0"/>
          <w:sz w:val="24"/>
        </w:rPr>
        <w:t>。本项目牛舍面积按</w:t>
      </w:r>
      <w:r>
        <w:rPr>
          <w:kern w:val="0"/>
          <w:sz w:val="24"/>
        </w:rPr>
        <w:t>6</w:t>
      </w:r>
      <w:r>
        <w:rPr>
          <w:rFonts w:hint="eastAsia"/>
          <w:kern w:val="0"/>
          <w:sz w:val="24"/>
        </w:rPr>
        <w:t>平方米</w:t>
      </w:r>
      <w:r>
        <w:rPr>
          <w:kern w:val="0"/>
          <w:sz w:val="24"/>
        </w:rPr>
        <w:t>/</w:t>
      </w:r>
      <w:r>
        <w:rPr>
          <w:rFonts w:hint="eastAsia"/>
          <w:kern w:val="0"/>
          <w:sz w:val="24"/>
        </w:rPr>
        <w:t>头，存栏肉牛最大1</w:t>
      </w:r>
      <w:r>
        <w:rPr>
          <w:kern w:val="0"/>
          <w:sz w:val="24"/>
        </w:rPr>
        <w:t>0590</w:t>
      </w:r>
      <w:r>
        <w:rPr>
          <w:rFonts w:hint="eastAsia"/>
          <w:kern w:val="0"/>
          <w:sz w:val="24"/>
        </w:rPr>
        <w:t>头，计算得出本项目养殖圈舍至少需</w:t>
      </w:r>
      <w:r>
        <w:rPr>
          <w:kern w:val="0"/>
          <w:sz w:val="24"/>
        </w:rPr>
        <w:t>63540</w:t>
      </w:r>
      <w:r>
        <w:rPr>
          <w:rFonts w:hint="eastAsia"/>
          <w:kern w:val="0"/>
          <w:sz w:val="24"/>
        </w:rPr>
        <w:t>平方米。本项目新建标准化圈舍</w:t>
      </w:r>
      <w:r>
        <w:rPr>
          <w:kern w:val="0"/>
          <w:sz w:val="24"/>
        </w:rPr>
        <w:t>64</w:t>
      </w:r>
      <w:r>
        <w:rPr>
          <w:rFonts w:hint="eastAsia"/>
          <w:kern w:val="0"/>
          <w:sz w:val="24"/>
        </w:rPr>
        <w:t>200平方米</w:t>
      </w:r>
      <w:r>
        <w:rPr>
          <w:rFonts w:hint="eastAsia"/>
          <w:color w:val="FF0000"/>
          <w:kern w:val="0"/>
          <w:sz w:val="24"/>
        </w:rPr>
        <w:t>，能够满足规定要求。本项目进行肉牛养殖，引进</w:t>
      </w:r>
      <w:r>
        <w:rPr>
          <w:color w:val="FF0000"/>
          <w:kern w:val="0"/>
          <w:sz w:val="24"/>
        </w:rPr>
        <w:t>12</w:t>
      </w:r>
      <w:r>
        <w:rPr>
          <w:rFonts w:hint="eastAsia"/>
          <w:color w:val="FF0000"/>
          <w:kern w:val="0"/>
          <w:sz w:val="24"/>
        </w:rPr>
        <w:t>月龄架子牛，其中，安格斯架子牛体重在</w:t>
      </w:r>
      <w:r>
        <w:rPr>
          <w:color w:val="FF0000"/>
          <w:kern w:val="0"/>
          <w:sz w:val="24"/>
        </w:rPr>
        <w:t>400kg</w:t>
      </w:r>
      <w:r>
        <w:rPr>
          <w:rFonts w:hint="eastAsia"/>
          <w:color w:val="FF0000"/>
          <w:kern w:val="0"/>
          <w:sz w:val="24"/>
        </w:rPr>
        <w:t>左右，空山牛体重在200kg左右，经过</w:t>
      </w:r>
      <w:r>
        <w:rPr>
          <w:color w:val="FF0000"/>
          <w:kern w:val="0"/>
          <w:sz w:val="24"/>
        </w:rPr>
        <w:t>6</w:t>
      </w:r>
      <w:r>
        <w:rPr>
          <w:rFonts w:hint="eastAsia"/>
          <w:color w:val="FF0000"/>
          <w:kern w:val="0"/>
          <w:sz w:val="24"/>
        </w:rPr>
        <w:t>个月养殖后，安格斯牛达到</w:t>
      </w:r>
      <w:r>
        <w:rPr>
          <w:color w:val="FF0000"/>
          <w:kern w:val="0"/>
          <w:sz w:val="24"/>
        </w:rPr>
        <w:t>650kg</w:t>
      </w:r>
      <w:r>
        <w:rPr>
          <w:rFonts w:hint="eastAsia"/>
          <w:color w:val="FF0000"/>
          <w:kern w:val="0"/>
          <w:sz w:val="24"/>
        </w:rPr>
        <w:t>以上、空山牛达到400kg以上的出栏标准时出栏外售。年存栏肉牛</w:t>
      </w:r>
      <w:r>
        <w:rPr>
          <w:color w:val="FF0000"/>
          <w:kern w:val="0"/>
          <w:sz w:val="24"/>
        </w:rPr>
        <w:t>21180</w:t>
      </w:r>
      <w:r>
        <w:rPr>
          <w:rFonts w:hint="eastAsia"/>
          <w:color w:val="FF0000"/>
          <w:kern w:val="0"/>
          <w:sz w:val="24"/>
        </w:rPr>
        <w:t>头，年出栏肉牛</w:t>
      </w:r>
      <w:r>
        <w:rPr>
          <w:color w:val="FF0000"/>
          <w:kern w:val="0"/>
          <w:sz w:val="24"/>
        </w:rPr>
        <w:t>21180</w:t>
      </w:r>
      <w:r>
        <w:rPr>
          <w:rFonts w:hint="eastAsia"/>
          <w:color w:val="FF0000"/>
          <w:kern w:val="0"/>
          <w:sz w:val="24"/>
        </w:rPr>
        <w:t>头。项目采用分批次养殖的方式，批次购入和批次出栏。</w:t>
      </w:r>
    </w:p>
    <w:p w14:paraId="7E02E13E">
      <w:pPr>
        <w:pStyle w:val="752"/>
        <w:rPr>
          <w:rFonts w:cs="Times New Roman"/>
          <w:color w:val="000000" w:themeColor="text1"/>
          <w14:textFill>
            <w14:solidFill>
              <w14:schemeClr w14:val="tx1"/>
            </w14:solidFill>
          </w14:textFill>
        </w:rPr>
      </w:pPr>
      <w:bookmarkStart w:id="296" w:name="_Toc233380153"/>
      <w:r>
        <w:rPr>
          <w:rFonts w:cs="Times New Roman"/>
          <w:color w:val="000000" w:themeColor="text1"/>
          <w14:textFill>
            <w14:solidFill>
              <w14:schemeClr w14:val="tx1"/>
            </w14:solidFill>
          </w14:textFill>
        </w:rPr>
        <w:t>3.2.2 建设规模及项目组成</w:t>
      </w:r>
      <w:bookmarkEnd w:id="278"/>
      <w:bookmarkEnd w:id="279"/>
      <w:bookmarkEnd w:id="280"/>
      <w:bookmarkEnd w:id="281"/>
      <w:bookmarkEnd w:id="282"/>
      <w:bookmarkEnd w:id="296"/>
    </w:p>
    <w:p w14:paraId="34D49150">
      <w:pPr>
        <w:adjustRightInd w:val="0"/>
        <w:snapToGrid w:val="0"/>
        <w:spacing w:line="360" w:lineRule="auto"/>
        <w:ind w:firstLine="480" w:firstLineChars="200"/>
        <w:rPr>
          <w:color w:val="000000" w:themeColor="text1"/>
          <w:sz w:val="24"/>
          <w:highlight w:val="yellow"/>
          <w14:textFill>
            <w14:solidFill>
              <w14:schemeClr w14:val="tx1"/>
            </w14:solidFill>
          </w14:textFill>
        </w:rPr>
        <w:sectPr>
          <w:headerReference r:id="rId11" w:type="default"/>
          <w:footerReference r:id="rId12" w:type="default"/>
          <w:pgSz w:w="11907" w:h="16840"/>
          <w:pgMar w:top="1440" w:right="1797" w:bottom="1440" w:left="1797" w:header="851" w:footer="992" w:gutter="0"/>
          <w:cols w:space="720" w:num="1"/>
          <w:docGrid w:linePitch="286" w:charSpace="0"/>
        </w:sectPr>
      </w:pPr>
      <w:bookmarkStart w:id="297" w:name="OLE_LINK58"/>
      <w:bookmarkStart w:id="298" w:name="_Toc40220666"/>
      <w:bookmarkStart w:id="299" w:name="_Toc29893"/>
      <w:r>
        <w:rPr>
          <w:rFonts w:hint="eastAsia"/>
          <w:color w:val="000000" w:themeColor="text1"/>
          <w:sz w:val="24"/>
          <w14:textFill>
            <w14:solidFill>
              <w14:schemeClr w14:val="tx1"/>
            </w14:solidFill>
          </w14:textFill>
        </w:rPr>
        <w:t>本项目建设4个养殖场区，各养殖场区均按照相同的建设方案设计建设，</w:t>
      </w:r>
      <w:r>
        <w:rPr>
          <w:color w:val="000000" w:themeColor="text1"/>
          <w:sz w:val="24"/>
          <w14:textFill>
            <w14:solidFill>
              <w14:schemeClr w14:val="tx1"/>
            </w14:solidFill>
          </w14:textFill>
        </w:rPr>
        <w:t>项目组成及主要环境问题见下表。</w:t>
      </w:r>
      <w:bookmarkEnd w:id="297"/>
      <w:bookmarkStart w:id="300" w:name="OLE_LINK82"/>
    </w:p>
    <w:p w14:paraId="38D14B4F">
      <w:pPr>
        <w:jc w:val="center"/>
        <w:rPr>
          <w:rFonts w:eastAsia="黑体"/>
          <w:bCs/>
          <w:szCs w:val="21"/>
        </w:rPr>
      </w:pPr>
      <w:r>
        <w:rPr>
          <w:rFonts w:eastAsia="黑体"/>
          <w:bCs/>
          <w:szCs w:val="21"/>
        </w:rPr>
        <w:t>表3.2-2项目组成及主要环境问题一览表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751"/>
        <w:gridCol w:w="75"/>
        <w:gridCol w:w="997"/>
        <w:gridCol w:w="3747"/>
        <w:gridCol w:w="5386"/>
        <w:gridCol w:w="1134"/>
        <w:gridCol w:w="919"/>
      </w:tblGrid>
      <w:tr w14:paraId="42174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341" w:type="pct"/>
            <w:vMerge w:val="restart"/>
            <w:tcMar>
              <w:top w:w="0" w:type="dxa"/>
              <w:left w:w="28" w:type="dxa"/>
              <w:bottom w:w="0" w:type="dxa"/>
              <w:right w:w="28" w:type="dxa"/>
            </w:tcMar>
            <w:vAlign w:val="center"/>
          </w:tcPr>
          <w:p w14:paraId="5042D876">
            <w:pPr>
              <w:jc w:val="center"/>
              <w:rPr>
                <w:rFonts w:ascii="宋体" w:hAnsi="宋体"/>
                <w:bCs/>
                <w:szCs w:val="21"/>
              </w:rPr>
            </w:pPr>
            <w:bookmarkStart w:id="301" w:name="OLE_LINK77"/>
            <w:r>
              <w:rPr>
                <w:rFonts w:ascii="宋体" w:hAnsi="宋体"/>
                <w:bCs/>
                <w:szCs w:val="21"/>
              </w:rPr>
              <w:t>工程</w:t>
            </w:r>
          </w:p>
          <w:p w14:paraId="2F76FAA3">
            <w:pPr>
              <w:jc w:val="center"/>
              <w:rPr>
                <w:rFonts w:ascii="宋体" w:hAnsi="宋体"/>
                <w:bCs/>
                <w:szCs w:val="21"/>
              </w:rPr>
            </w:pPr>
            <w:r>
              <w:rPr>
                <w:rFonts w:ascii="宋体" w:hAnsi="宋体"/>
                <w:bCs/>
                <w:szCs w:val="21"/>
              </w:rPr>
              <w:t>分类</w:t>
            </w:r>
          </w:p>
        </w:tc>
        <w:tc>
          <w:tcPr>
            <w:tcW w:w="1995" w:type="pct"/>
            <w:gridSpan w:val="4"/>
            <w:vMerge w:val="restart"/>
            <w:tcMar>
              <w:top w:w="0" w:type="dxa"/>
              <w:left w:w="28" w:type="dxa"/>
              <w:bottom w:w="0" w:type="dxa"/>
              <w:right w:w="28" w:type="dxa"/>
            </w:tcMar>
            <w:vAlign w:val="center"/>
          </w:tcPr>
          <w:p w14:paraId="027A1BE8">
            <w:pPr>
              <w:jc w:val="center"/>
              <w:rPr>
                <w:rFonts w:ascii="宋体" w:hAnsi="宋体"/>
                <w:bCs/>
                <w:szCs w:val="21"/>
              </w:rPr>
            </w:pPr>
            <w:r>
              <w:rPr>
                <w:rFonts w:ascii="宋体" w:hAnsi="宋体"/>
                <w:bCs/>
                <w:szCs w:val="21"/>
              </w:rPr>
              <w:t>建设内容</w:t>
            </w:r>
          </w:p>
        </w:tc>
        <w:tc>
          <w:tcPr>
            <w:tcW w:w="1929" w:type="pct"/>
            <w:vMerge w:val="restart"/>
            <w:vAlign w:val="center"/>
          </w:tcPr>
          <w:p w14:paraId="517BD12A">
            <w:pPr>
              <w:jc w:val="center"/>
              <w:rPr>
                <w:rFonts w:ascii="宋体" w:hAnsi="宋体"/>
                <w:bCs/>
                <w:szCs w:val="21"/>
              </w:rPr>
            </w:pPr>
            <w:r>
              <w:rPr>
                <w:rFonts w:hint="eastAsia" w:ascii="宋体" w:hAnsi="宋体"/>
                <w:bCs/>
                <w:szCs w:val="21"/>
              </w:rPr>
              <w:t>建设规模</w:t>
            </w:r>
          </w:p>
        </w:tc>
        <w:tc>
          <w:tcPr>
            <w:tcW w:w="735" w:type="pct"/>
            <w:gridSpan w:val="2"/>
            <w:tcMar>
              <w:top w:w="0" w:type="dxa"/>
              <w:left w:w="28" w:type="dxa"/>
              <w:bottom w:w="0" w:type="dxa"/>
              <w:right w:w="28" w:type="dxa"/>
            </w:tcMar>
            <w:vAlign w:val="center"/>
          </w:tcPr>
          <w:p w14:paraId="218D3AD8">
            <w:pPr>
              <w:jc w:val="center"/>
              <w:rPr>
                <w:rFonts w:ascii="宋体" w:hAnsi="宋体"/>
                <w:bCs/>
                <w:szCs w:val="21"/>
              </w:rPr>
            </w:pPr>
            <w:r>
              <w:rPr>
                <w:rFonts w:ascii="宋体" w:hAnsi="宋体"/>
                <w:bCs/>
                <w:szCs w:val="21"/>
              </w:rPr>
              <w:t>主要环境问题</w:t>
            </w:r>
          </w:p>
        </w:tc>
      </w:tr>
      <w:tr w14:paraId="17E57E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341" w:type="pct"/>
            <w:vMerge w:val="continue"/>
            <w:vAlign w:val="center"/>
          </w:tcPr>
          <w:p w14:paraId="1200A796">
            <w:pPr>
              <w:jc w:val="center"/>
              <w:rPr>
                <w:rFonts w:ascii="宋体" w:hAnsi="宋体"/>
                <w:bCs/>
                <w:szCs w:val="21"/>
              </w:rPr>
            </w:pPr>
          </w:p>
        </w:tc>
        <w:tc>
          <w:tcPr>
            <w:tcW w:w="1995" w:type="pct"/>
            <w:gridSpan w:val="4"/>
            <w:vMerge w:val="continue"/>
            <w:vAlign w:val="center"/>
          </w:tcPr>
          <w:p w14:paraId="3E29D572">
            <w:pPr>
              <w:jc w:val="center"/>
              <w:rPr>
                <w:rFonts w:ascii="宋体" w:hAnsi="宋体"/>
                <w:bCs/>
                <w:szCs w:val="21"/>
              </w:rPr>
            </w:pPr>
          </w:p>
        </w:tc>
        <w:tc>
          <w:tcPr>
            <w:tcW w:w="1929" w:type="pct"/>
            <w:vMerge w:val="continue"/>
          </w:tcPr>
          <w:p w14:paraId="1C20CE15">
            <w:pPr>
              <w:jc w:val="center"/>
              <w:rPr>
                <w:rFonts w:ascii="宋体" w:hAnsi="宋体"/>
                <w:bCs/>
                <w:szCs w:val="21"/>
              </w:rPr>
            </w:pPr>
          </w:p>
        </w:tc>
        <w:tc>
          <w:tcPr>
            <w:tcW w:w="406" w:type="pct"/>
            <w:tcMar>
              <w:top w:w="0" w:type="dxa"/>
              <w:left w:w="28" w:type="dxa"/>
              <w:bottom w:w="0" w:type="dxa"/>
              <w:right w:w="28" w:type="dxa"/>
            </w:tcMar>
            <w:vAlign w:val="center"/>
          </w:tcPr>
          <w:p w14:paraId="65EE59D8">
            <w:pPr>
              <w:jc w:val="center"/>
              <w:rPr>
                <w:rFonts w:ascii="宋体" w:hAnsi="宋体"/>
                <w:bCs/>
                <w:szCs w:val="21"/>
              </w:rPr>
            </w:pPr>
            <w:r>
              <w:rPr>
                <w:rFonts w:ascii="宋体" w:hAnsi="宋体"/>
                <w:bCs/>
                <w:szCs w:val="21"/>
              </w:rPr>
              <w:t>施工期</w:t>
            </w:r>
          </w:p>
        </w:tc>
        <w:tc>
          <w:tcPr>
            <w:tcW w:w="329" w:type="pct"/>
            <w:tcMar>
              <w:top w:w="0" w:type="dxa"/>
              <w:left w:w="28" w:type="dxa"/>
              <w:bottom w:w="0" w:type="dxa"/>
              <w:right w:w="28" w:type="dxa"/>
            </w:tcMar>
            <w:vAlign w:val="center"/>
          </w:tcPr>
          <w:p w14:paraId="03F98EBC">
            <w:pPr>
              <w:jc w:val="center"/>
              <w:rPr>
                <w:rFonts w:ascii="宋体" w:hAnsi="宋体"/>
                <w:bCs/>
                <w:szCs w:val="21"/>
              </w:rPr>
            </w:pPr>
            <w:r>
              <w:rPr>
                <w:rFonts w:ascii="宋体" w:hAnsi="宋体"/>
                <w:bCs/>
                <w:szCs w:val="21"/>
              </w:rPr>
              <w:t>营运期</w:t>
            </w:r>
          </w:p>
        </w:tc>
      </w:tr>
      <w:tr w14:paraId="429A33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restart"/>
            <w:tcMar>
              <w:top w:w="0" w:type="dxa"/>
              <w:left w:w="28" w:type="dxa"/>
              <w:bottom w:w="0" w:type="dxa"/>
              <w:right w:w="28" w:type="dxa"/>
            </w:tcMar>
            <w:vAlign w:val="center"/>
          </w:tcPr>
          <w:p w14:paraId="5A42AED3">
            <w:pPr>
              <w:jc w:val="center"/>
              <w:rPr>
                <w:rFonts w:ascii="宋体" w:hAnsi="宋体"/>
                <w:szCs w:val="21"/>
              </w:rPr>
            </w:pPr>
            <w:r>
              <w:rPr>
                <w:rFonts w:ascii="宋体" w:hAnsi="宋体"/>
                <w:szCs w:val="21"/>
              </w:rPr>
              <w:t>主体</w:t>
            </w:r>
          </w:p>
          <w:p w14:paraId="4B39A9FF">
            <w:pPr>
              <w:jc w:val="center"/>
              <w:rPr>
                <w:rFonts w:ascii="宋体" w:hAnsi="宋体"/>
                <w:szCs w:val="21"/>
              </w:rPr>
            </w:pPr>
            <w:r>
              <w:rPr>
                <w:rFonts w:ascii="宋体" w:hAnsi="宋体"/>
                <w:szCs w:val="21"/>
              </w:rPr>
              <w:t>工程</w:t>
            </w:r>
          </w:p>
        </w:tc>
        <w:tc>
          <w:tcPr>
            <w:tcW w:w="269" w:type="pct"/>
            <w:vMerge w:val="restart"/>
            <w:tcMar>
              <w:top w:w="0" w:type="dxa"/>
              <w:left w:w="28" w:type="dxa"/>
              <w:bottom w:w="0" w:type="dxa"/>
              <w:right w:w="28" w:type="dxa"/>
            </w:tcMar>
            <w:vAlign w:val="center"/>
          </w:tcPr>
          <w:p w14:paraId="68424F6A">
            <w:pPr>
              <w:jc w:val="center"/>
              <w:rPr>
                <w:rFonts w:ascii="宋体" w:hAnsi="宋体"/>
                <w:szCs w:val="21"/>
              </w:rPr>
            </w:pPr>
            <w:r>
              <w:rPr>
                <w:rFonts w:ascii="宋体" w:hAnsi="宋体"/>
                <w:szCs w:val="21"/>
              </w:rPr>
              <w:t>标准化牛舍</w:t>
            </w:r>
          </w:p>
        </w:tc>
        <w:tc>
          <w:tcPr>
            <w:tcW w:w="384" w:type="pct"/>
            <w:gridSpan w:val="2"/>
            <w:vAlign w:val="center"/>
          </w:tcPr>
          <w:p w14:paraId="7E3B7134">
            <w:pPr>
              <w:jc w:val="center"/>
              <w:rPr>
                <w:rFonts w:ascii="宋体" w:hAnsi="宋体"/>
                <w:szCs w:val="21"/>
              </w:rPr>
            </w:pPr>
            <w:r>
              <w:rPr>
                <w:rFonts w:hint="eastAsia" w:ascii="宋体" w:hAnsi="宋体"/>
                <w:kern w:val="0"/>
                <w:szCs w:val="21"/>
              </w:rPr>
              <w:t>百花养殖场区</w:t>
            </w:r>
          </w:p>
        </w:tc>
        <w:tc>
          <w:tcPr>
            <w:tcW w:w="1342" w:type="pct"/>
            <w:vMerge w:val="restart"/>
            <w:tcMar>
              <w:top w:w="0" w:type="dxa"/>
              <w:left w:w="28" w:type="dxa"/>
              <w:bottom w:w="0" w:type="dxa"/>
              <w:right w:w="28" w:type="dxa"/>
            </w:tcMar>
            <w:vAlign w:val="center"/>
          </w:tcPr>
          <w:p w14:paraId="4972C25D">
            <w:pPr>
              <w:ind w:firstLine="360" w:firstLineChars="200"/>
              <w:rPr>
                <w:rFonts w:ascii="宋体" w:hAnsi="宋体"/>
                <w:sz w:val="18"/>
                <w:szCs w:val="18"/>
              </w:rPr>
            </w:pPr>
            <w:r>
              <w:rPr>
                <w:rFonts w:ascii="宋体" w:hAnsi="宋体"/>
                <w:sz w:val="18"/>
                <w:szCs w:val="18"/>
              </w:rPr>
              <w:t>采用砖混结构或轻钢结构，牛舍屋顶采用双坡式屋顶的砖混结构或轻钢结构，接缝密封防渗；牛舍脊高4.0m，前后檐高2.5m，采用散栏式饲养，肉牛不拴系，无固定床位。牛舍主要为对头式双列牛舍，中间设置饲料通道。在牛舍内铺设发酵垫料（秸秆、锯末和微生物菌种混合），牛将粪尿直接排泄到垫料上，发酵垫料通过牛的踩踏和人工辅助翻耙，使粪尿和垫料充分混合，让有益微生物菌种发酵，使粪、尿有机物质分解和转化。每栋牛舍内设置饮水、供料系统以及喷雾消毒系统。年出栏肉牛21180头（其中安格斯肉牛19380头、巴山肉牛1800头）。</w:t>
            </w:r>
          </w:p>
        </w:tc>
        <w:tc>
          <w:tcPr>
            <w:tcW w:w="1929" w:type="pct"/>
            <w:vAlign w:val="center"/>
          </w:tcPr>
          <w:p w14:paraId="4F3706B8">
            <w:pPr>
              <w:ind w:firstLine="372" w:firstLineChars="200"/>
              <w:jc w:val="both"/>
              <w:rPr>
                <w:spacing w:val="3"/>
                <w:sz w:val="18"/>
                <w:szCs w:val="18"/>
              </w:rPr>
            </w:pPr>
            <w:bookmarkStart w:id="302" w:name="OLE_LINK83"/>
            <w:r>
              <w:rPr>
                <w:color w:val="000000" w:themeColor="text1"/>
                <w:spacing w:val="3"/>
                <w:sz w:val="18"/>
                <w:szCs w:val="18"/>
                <w14:textFill>
                  <w14:solidFill>
                    <w14:schemeClr w14:val="tx1"/>
                  </w14:solidFill>
                </w14:textFill>
              </w:rPr>
              <w:t>共计建设15间标准牛舍，最大存栏量为3290头</w:t>
            </w:r>
            <w:r>
              <w:rPr>
                <w:spacing w:val="3"/>
                <w:sz w:val="18"/>
                <w:szCs w:val="18"/>
              </w:rPr>
              <w:t>。</w:t>
            </w:r>
          </w:p>
          <w:p w14:paraId="0D09ACF8">
            <w:pPr>
              <w:ind w:firstLine="372" w:firstLineChars="200"/>
              <w:jc w:val="both"/>
              <w:rPr>
                <w:spacing w:val="3"/>
                <w:sz w:val="18"/>
                <w:szCs w:val="18"/>
              </w:rPr>
            </w:pPr>
            <w:r>
              <w:rPr>
                <w:spacing w:val="3"/>
                <w:sz w:val="18"/>
                <w:szCs w:val="18"/>
              </w:rPr>
              <w:t>百花1#~2#牛舍：建筑面积750m</w:t>
            </w:r>
            <w:r>
              <w:rPr>
                <w:spacing w:val="3"/>
                <w:sz w:val="18"/>
                <w:szCs w:val="18"/>
                <w:vertAlign w:val="superscript"/>
              </w:rPr>
              <w:t>2</w:t>
            </w:r>
            <w:r>
              <w:rPr>
                <w:spacing w:val="3"/>
                <w:sz w:val="18"/>
                <w:szCs w:val="18"/>
              </w:rPr>
              <w:t>，每间圈舍长30m，宽25m，最大存栏量合计250头肉牛；</w:t>
            </w:r>
          </w:p>
          <w:p w14:paraId="473D5DB1">
            <w:pPr>
              <w:ind w:firstLine="372" w:firstLineChars="200"/>
              <w:jc w:val="both"/>
              <w:rPr>
                <w:spacing w:val="3"/>
                <w:sz w:val="18"/>
                <w:szCs w:val="18"/>
              </w:rPr>
            </w:pPr>
            <w:r>
              <w:rPr>
                <w:spacing w:val="3"/>
                <w:sz w:val="18"/>
                <w:szCs w:val="18"/>
              </w:rPr>
              <w:t>百花3#~14#牛舍：建筑面积1440m</w:t>
            </w:r>
            <w:r>
              <w:rPr>
                <w:spacing w:val="3"/>
                <w:sz w:val="18"/>
                <w:szCs w:val="18"/>
                <w:vertAlign w:val="superscript"/>
              </w:rPr>
              <w:t>2</w:t>
            </w:r>
            <w:r>
              <w:rPr>
                <w:spacing w:val="3"/>
                <w:sz w:val="18"/>
                <w:szCs w:val="18"/>
              </w:rPr>
              <w:t>，每间圈舍长45m，宽32m，最大存栏量合计2880头肉牛；</w:t>
            </w:r>
          </w:p>
          <w:p w14:paraId="1840209A">
            <w:pPr>
              <w:ind w:firstLine="372" w:firstLineChars="200"/>
              <w:jc w:val="both"/>
              <w:rPr>
                <w:spacing w:val="3"/>
                <w:sz w:val="18"/>
                <w:szCs w:val="18"/>
              </w:rPr>
            </w:pPr>
            <w:r>
              <w:rPr>
                <w:spacing w:val="3"/>
                <w:sz w:val="18"/>
                <w:szCs w:val="18"/>
              </w:rPr>
              <w:t>百花15#牛舍：建筑面积960m</w:t>
            </w:r>
            <w:r>
              <w:rPr>
                <w:spacing w:val="3"/>
                <w:sz w:val="18"/>
                <w:szCs w:val="18"/>
                <w:vertAlign w:val="superscript"/>
              </w:rPr>
              <w:t>2</w:t>
            </w:r>
            <w:r>
              <w:rPr>
                <w:spacing w:val="3"/>
                <w:sz w:val="18"/>
                <w:szCs w:val="18"/>
              </w:rPr>
              <w:t>，圈舍长32m，宽30m，最大存栏量合计160头肉牛；</w:t>
            </w:r>
          </w:p>
          <w:p w14:paraId="4C86D1F6">
            <w:pPr>
              <w:ind w:firstLine="372" w:firstLineChars="200"/>
              <w:jc w:val="both"/>
              <w:rPr>
                <w:sz w:val="18"/>
                <w:szCs w:val="18"/>
              </w:rPr>
            </w:pPr>
            <w:r>
              <w:rPr>
                <w:spacing w:val="3"/>
                <w:sz w:val="18"/>
                <w:szCs w:val="18"/>
              </w:rPr>
              <w:t>百花养殖场</w:t>
            </w:r>
            <w:r>
              <w:rPr>
                <w:rFonts w:hint="eastAsia"/>
                <w:spacing w:val="3"/>
                <w:sz w:val="18"/>
                <w:szCs w:val="18"/>
              </w:rPr>
              <w:t>区</w:t>
            </w:r>
            <w:r>
              <w:rPr>
                <w:spacing w:val="3"/>
                <w:sz w:val="18"/>
                <w:szCs w:val="18"/>
              </w:rPr>
              <w:t>圈舍均按照设计最大存栏量进行养殖，存栏量为3290头肉牛。</w:t>
            </w:r>
            <w:bookmarkEnd w:id="302"/>
          </w:p>
        </w:tc>
        <w:tc>
          <w:tcPr>
            <w:tcW w:w="406" w:type="pct"/>
            <w:vMerge w:val="restart"/>
            <w:tcMar>
              <w:top w:w="0" w:type="dxa"/>
              <w:left w:w="28" w:type="dxa"/>
              <w:bottom w:w="0" w:type="dxa"/>
              <w:right w:w="28" w:type="dxa"/>
            </w:tcMar>
            <w:vAlign w:val="center"/>
          </w:tcPr>
          <w:p w14:paraId="529747F8">
            <w:pPr>
              <w:jc w:val="center"/>
              <w:rPr>
                <w:rFonts w:ascii="宋体" w:hAnsi="宋体"/>
                <w:szCs w:val="21"/>
              </w:rPr>
            </w:pPr>
            <w:r>
              <w:rPr>
                <w:rFonts w:ascii="宋体" w:hAnsi="宋体"/>
                <w:szCs w:val="21"/>
              </w:rPr>
              <w:t>施工扬尘、</w:t>
            </w:r>
          </w:p>
          <w:p w14:paraId="10B0DB4D">
            <w:pPr>
              <w:jc w:val="center"/>
              <w:rPr>
                <w:rFonts w:ascii="宋体" w:hAnsi="宋体"/>
                <w:szCs w:val="21"/>
              </w:rPr>
            </w:pPr>
            <w:r>
              <w:rPr>
                <w:rFonts w:ascii="宋体" w:hAnsi="宋体"/>
                <w:szCs w:val="21"/>
              </w:rPr>
              <w:t>施工噪声、</w:t>
            </w:r>
          </w:p>
          <w:p w14:paraId="6BD9C328">
            <w:pPr>
              <w:jc w:val="center"/>
              <w:rPr>
                <w:rFonts w:ascii="宋体" w:hAnsi="宋体"/>
                <w:szCs w:val="21"/>
              </w:rPr>
            </w:pPr>
            <w:r>
              <w:rPr>
                <w:rFonts w:ascii="宋体" w:hAnsi="宋体"/>
                <w:szCs w:val="21"/>
              </w:rPr>
              <w:t>施工废水、</w:t>
            </w:r>
          </w:p>
          <w:p w14:paraId="1C20B97D">
            <w:pPr>
              <w:jc w:val="center"/>
              <w:rPr>
                <w:rFonts w:ascii="宋体" w:hAnsi="宋体"/>
                <w:szCs w:val="21"/>
              </w:rPr>
            </w:pPr>
            <w:r>
              <w:rPr>
                <w:rFonts w:ascii="宋体" w:hAnsi="宋体"/>
                <w:szCs w:val="21"/>
              </w:rPr>
              <w:t>建筑垃圾、</w:t>
            </w:r>
          </w:p>
          <w:p w14:paraId="2E78AFE0">
            <w:pPr>
              <w:jc w:val="center"/>
              <w:rPr>
                <w:rFonts w:ascii="宋体" w:hAnsi="宋体"/>
                <w:szCs w:val="21"/>
              </w:rPr>
            </w:pPr>
            <w:r>
              <w:rPr>
                <w:rFonts w:ascii="宋体" w:hAnsi="宋体"/>
                <w:szCs w:val="21"/>
              </w:rPr>
              <w:t>生活污水、</w:t>
            </w:r>
          </w:p>
          <w:p w14:paraId="66FFF871">
            <w:pPr>
              <w:jc w:val="center"/>
              <w:rPr>
                <w:rFonts w:ascii="宋体" w:hAnsi="宋体"/>
                <w:szCs w:val="21"/>
              </w:rPr>
            </w:pPr>
            <w:r>
              <w:rPr>
                <w:rFonts w:ascii="宋体" w:hAnsi="宋体"/>
                <w:szCs w:val="21"/>
              </w:rPr>
              <w:t>生活垃圾</w:t>
            </w:r>
          </w:p>
        </w:tc>
        <w:tc>
          <w:tcPr>
            <w:tcW w:w="329" w:type="pct"/>
            <w:vMerge w:val="restart"/>
            <w:tcMar>
              <w:top w:w="0" w:type="dxa"/>
              <w:left w:w="28" w:type="dxa"/>
              <w:bottom w:w="0" w:type="dxa"/>
              <w:right w:w="28" w:type="dxa"/>
            </w:tcMar>
            <w:vAlign w:val="center"/>
          </w:tcPr>
          <w:p w14:paraId="04EAFF9D">
            <w:pPr>
              <w:jc w:val="center"/>
              <w:rPr>
                <w:rFonts w:ascii="宋体" w:hAnsi="宋体"/>
                <w:szCs w:val="21"/>
              </w:rPr>
            </w:pPr>
            <w:r>
              <w:rPr>
                <w:rFonts w:ascii="宋体" w:hAnsi="宋体"/>
                <w:szCs w:val="21"/>
              </w:rPr>
              <w:t>废气、</w:t>
            </w:r>
          </w:p>
          <w:p w14:paraId="465CE77A">
            <w:pPr>
              <w:jc w:val="center"/>
              <w:rPr>
                <w:rFonts w:ascii="宋体" w:hAnsi="宋体"/>
                <w:szCs w:val="21"/>
              </w:rPr>
            </w:pPr>
            <w:r>
              <w:rPr>
                <w:rFonts w:ascii="宋体" w:hAnsi="宋体"/>
                <w:szCs w:val="21"/>
              </w:rPr>
              <w:t>固废、</w:t>
            </w:r>
          </w:p>
          <w:p w14:paraId="75290B0F">
            <w:pPr>
              <w:jc w:val="center"/>
              <w:rPr>
                <w:rFonts w:ascii="宋体" w:hAnsi="宋体"/>
                <w:szCs w:val="21"/>
              </w:rPr>
            </w:pPr>
            <w:r>
              <w:rPr>
                <w:rFonts w:ascii="宋体" w:hAnsi="宋体"/>
                <w:szCs w:val="21"/>
              </w:rPr>
              <w:t>噪声</w:t>
            </w:r>
          </w:p>
        </w:tc>
      </w:tr>
      <w:tr w14:paraId="272F7B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tcMar>
              <w:top w:w="0" w:type="dxa"/>
              <w:left w:w="28" w:type="dxa"/>
              <w:bottom w:w="0" w:type="dxa"/>
              <w:right w:w="28" w:type="dxa"/>
            </w:tcMar>
            <w:vAlign w:val="center"/>
          </w:tcPr>
          <w:p w14:paraId="6AFA6E9C">
            <w:pPr>
              <w:jc w:val="center"/>
              <w:rPr>
                <w:rFonts w:ascii="宋体" w:hAnsi="宋体"/>
                <w:szCs w:val="21"/>
              </w:rPr>
            </w:pPr>
          </w:p>
        </w:tc>
        <w:tc>
          <w:tcPr>
            <w:tcW w:w="269" w:type="pct"/>
            <w:vMerge w:val="continue"/>
            <w:tcMar>
              <w:top w:w="0" w:type="dxa"/>
              <w:left w:w="28" w:type="dxa"/>
              <w:bottom w:w="0" w:type="dxa"/>
              <w:right w:w="28" w:type="dxa"/>
            </w:tcMar>
            <w:vAlign w:val="center"/>
          </w:tcPr>
          <w:p w14:paraId="7849C934">
            <w:pPr>
              <w:jc w:val="center"/>
              <w:rPr>
                <w:rFonts w:ascii="宋体" w:hAnsi="宋体"/>
                <w:szCs w:val="21"/>
              </w:rPr>
            </w:pPr>
          </w:p>
        </w:tc>
        <w:tc>
          <w:tcPr>
            <w:tcW w:w="384" w:type="pct"/>
            <w:gridSpan w:val="2"/>
            <w:vAlign w:val="center"/>
          </w:tcPr>
          <w:p w14:paraId="2472486B">
            <w:pPr>
              <w:autoSpaceDE w:val="0"/>
              <w:autoSpaceDN w:val="0"/>
              <w:adjustRightInd w:val="0"/>
              <w:snapToGrid w:val="0"/>
              <w:jc w:val="center"/>
              <w:rPr>
                <w:rFonts w:ascii="宋体" w:hAnsi="宋体"/>
                <w:kern w:val="0"/>
                <w:szCs w:val="21"/>
              </w:rPr>
            </w:pPr>
            <w:r>
              <w:rPr>
                <w:rFonts w:hint="eastAsia" w:ascii="宋体" w:hAnsi="宋体"/>
                <w:kern w:val="0"/>
                <w:szCs w:val="21"/>
              </w:rPr>
              <w:t>佛龙养殖场区</w:t>
            </w:r>
          </w:p>
        </w:tc>
        <w:tc>
          <w:tcPr>
            <w:tcW w:w="1342" w:type="pct"/>
            <w:vMerge w:val="continue"/>
            <w:tcMar>
              <w:top w:w="0" w:type="dxa"/>
              <w:left w:w="28" w:type="dxa"/>
              <w:bottom w:w="0" w:type="dxa"/>
              <w:right w:w="28" w:type="dxa"/>
            </w:tcMar>
            <w:vAlign w:val="center"/>
          </w:tcPr>
          <w:p w14:paraId="4F50F116">
            <w:pPr>
              <w:ind w:firstLine="360" w:firstLineChars="200"/>
              <w:rPr>
                <w:rFonts w:ascii="宋体" w:hAnsi="宋体"/>
                <w:sz w:val="18"/>
                <w:szCs w:val="18"/>
              </w:rPr>
            </w:pPr>
          </w:p>
        </w:tc>
        <w:tc>
          <w:tcPr>
            <w:tcW w:w="1929" w:type="pct"/>
            <w:vAlign w:val="center"/>
          </w:tcPr>
          <w:p w14:paraId="44B6C11C">
            <w:pPr>
              <w:ind w:firstLine="372" w:firstLineChars="200"/>
              <w:jc w:val="both"/>
              <w:rPr>
                <w:spacing w:val="3"/>
                <w:sz w:val="18"/>
                <w:szCs w:val="18"/>
              </w:rPr>
            </w:pPr>
            <w:r>
              <w:rPr>
                <w:color w:val="000000" w:themeColor="text1"/>
                <w:spacing w:val="3"/>
                <w:sz w:val="18"/>
                <w:szCs w:val="18"/>
                <w14:textFill>
                  <w14:solidFill>
                    <w14:schemeClr w14:val="tx1"/>
                  </w14:solidFill>
                </w14:textFill>
              </w:rPr>
              <w:t>此养殖区作为空山牛养殖基地，共计建设10间标准牛舍，其中4间进行空山牛养殖，最大存栏量为1790头</w:t>
            </w:r>
            <w:r>
              <w:rPr>
                <w:spacing w:val="3"/>
                <w:sz w:val="18"/>
                <w:szCs w:val="18"/>
              </w:rPr>
              <w:t>。</w:t>
            </w:r>
          </w:p>
          <w:p w14:paraId="321B220B">
            <w:pPr>
              <w:ind w:firstLine="372" w:firstLineChars="200"/>
              <w:jc w:val="both"/>
              <w:rPr>
                <w:spacing w:val="3"/>
                <w:sz w:val="18"/>
                <w:szCs w:val="18"/>
              </w:rPr>
            </w:pPr>
            <w:r>
              <w:rPr>
                <w:spacing w:val="3"/>
                <w:sz w:val="18"/>
                <w:szCs w:val="18"/>
              </w:rPr>
              <w:t>佛龙1#牛舍：建筑面积300m</w:t>
            </w:r>
            <w:r>
              <w:rPr>
                <w:spacing w:val="3"/>
                <w:sz w:val="18"/>
                <w:szCs w:val="18"/>
                <w:vertAlign w:val="superscript"/>
              </w:rPr>
              <w:t>2</w:t>
            </w:r>
            <w:r>
              <w:rPr>
                <w:spacing w:val="3"/>
                <w:sz w:val="18"/>
                <w:szCs w:val="18"/>
              </w:rPr>
              <w:t>，每间圈舍长30m，宽10m，最大存栏量合计50头肉牛；</w:t>
            </w:r>
          </w:p>
          <w:p w14:paraId="55F5D5CA">
            <w:pPr>
              <w:ind w:firstLine="372" w:firstLineChars="200"/>
              <w:jc w:val="both"/>
              <w:rPr>
                <w:spacing w:val="3"/>
                <w:sz w:val="18"/>
                <w:szCs w:val="18"/>
              </w:rPr>
            </w:pPr>
            <w:r>
              <w:rPr>
                <w:spacing w:val="3"/>
                <w:sz w:val="18"/>
                <w:szCs w:val="18"/>
              </w:rPr>
              <w:t>佛龙2#~4#牛舍：建筑面积600m</w:t>
            </w:r>
            <w:r>
              <w:rPr>
                <w:spacing w:val="3"/>
                <w:sz w:val="18"/>
                <w:szCs w:val="18"/>
                <w:vertAlign w:val="superscript"/>
              </w:rPr>
              <w:t>2</w:t>
            </w:r>
            <w:r>
              <w:rPr>
                <w:spacing w:val="3"/>
                <w:sz w:val="18"/>
                <w:szCs w:val="18"/>
              </w:rPr>
              <w:t>，每间圈舍长30m，宽20m，最大存栏量合计300头肉牛；</w:t>
            </w:r>
          </w:p>
          <w:p w14:paraId="1F2DA598">
            <w:pPr>
              <w:ind w:firstLine="372" w:firstLineChars="200"/>
              <w:jc w:val="both"/>
              <w:rPr>
                <w:spacing w:val="3"/>
                <w:sz w:val="18"/>
                <w:szCs w:val="18"/>
              </w:rPr>
            </w:pPr>
            <w:r>
              <w:rPr>
                <w:spacing w:val="3"/>
                <w:sz w:val="18"/>
                <w:szCs w:val="18"/>
              </w:rPr>
              <w:t>佛龙5#~10#牛舍：建筑面积1440m</w:t>
            </w:r>
            <w:r>
              <w:rPr>
                <w:spacing w:val="3"/>
                <w:sz w:val="18"/>
                <w:szCs w:val="18"/>
                <w:vertAlign w:val="superscript"/>
              </w:rPr>
              <w:t>2</w:t>
            </w:r>
            <w:r>
              <w:rPr>
                <w:spacing w:val="3"/>
                <w:sz w:val="18"/>
                <w:szCs w:val="18"/>
              </w:rPr>
              <w:t>，圈舍长45m，宽32m，最大存栏量合计1440头肉牛；</w:t>
            </w:r>
          </w:p>
          <w:p w14:paraId="53177F66">
            <w:pPr>
              <w:ind w:firstLine="372" w:firstLineChars="200"/>
              <w:jc w:val="both"/>
              <w:rPr>
                <w:spacing w:val="3"/>
                <w:sz w:val="18"/>
                <w:szCs w:val="18"/>
              </w:rPr>
            </w:pPr>
            <w:r>
              <w:rPr>
                <w:spacing w:val="3"/>
                <w:sz w:val="18"/>
                <w:szCs w:val="18"/>
              </w:rPr>
              <w:t>其中5#、6#两间牛舍养殖安格斯牛，每间存栏量为215头，7#~10#养殖空山牛，每间养殖量为225头；</w:t>
            </w:r>
          </w:p>
          <w:p w14:paraId="685EAEFA">
            <w:pPr>
              <w:ind w:firstLine="372" w:firstLineChars="200"/>
              <w:jc w:val="both"/>
              <w:rPr>
                <w:sz w:val="18"/>
                <w:szCs w:val="18"/>
              </w:rPr>
            </w:pPr>
            <w:r>
              <w:rPr>
                <w:spacing w:val="3"/>
                <w:sz w:val="18"/>
                <w:szCs w:val="18"/>
              </w:rPr>
              <w:t>佛龙养殖场</w:t>
            </w:r>
            <w:r>
              <w:rPr>
                <w:rFonts w:hint="eastAsia"/>
                <w:spacing w:val="3"/>
                <w:sz w:val="18"/>
                <w:szCs w:val="18"/>
              </w:rPr>
              <w:t>区</w:t>
            </w:r>
            <w:r>
              <w:rPr>
                <w:spacing w:val="3"/>
                <w:sz w:val="18"/>
                <w:szCs w:val="18"/>
              </w:rPr>
              <w:t>设计最大存栏量为1790头肉牛，实际养殖存栏量为1680头肉牛。</w:t>
            </w:r>
          </w:p>
        </w:tc>
        <w:tc>
          <w:tcPr>
            <w:tcW w:w="406" w:type="pct"/>
            <w:vMerge w:val="continue"/>
            <w:tcMar>
              <w:top w:w="0" w:type="dxa"/>
              <w:left w:w="28" w:type="dxa"/>
              <w:bottom w:w="0" w:type="dxa"/>
              <w:right w:w="28" w:type="dxa"/>
            </w:tcMar>
            <w:vAlign w:val="center"/>
          </w:tcPr>
          <w:p w14:paraId="6F3DA604">
            <w:pPr>
              <w:jc w:val="center"/>
              <w:rPr>
                <w:rFonts w:ascii="宋体" w:hAnsi="宋体"/>
                <w:szCs w:val="21"/>
              </w:rPr>
            </w:pPr>
          </w:p>
        </w:tc>
        <w:tc>
          <w:tcPr>
            <w:tcW w:w="329" w:type="pct"/>
            <w:vMerge w:val="continue"/>
            <w:tcMar>
              <w:top w:w="0" w:type="dxa"/>
              <w:left w:w="28" w:type="dxa"/>
              <w:bottom w:w="0" w:type="dxa"/>
              <w:right w:w="28" w:type="dxa"/>
            </w:tcMar>
            <w:vAlign w:val="center"/>
          </w:tcPr>
          <w:p w14:paraId="2B16DD2B">
            <w:pPr>
              <w:jc w:val="center"/>
              <w:rPr>
                <w:rFonts w:ascii="宋体" w:hAnsi="宋体"/>
                <w:szCs w:val="21"/>
              </w:rPr>
            </w:pPr>
          </w:p>
        </w:tc>
      </w:tr>
      <w:tr w14:paraId="23262A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tcMar>
              <w:top w:w="0" w:type="dxa"/>
              <w:left w:w="28" w:type="dxa"/>
              <w:bottom w:w="0" w:type="dxa"/>
              <w:right w:w="28" w:type="dxa"/>
            </w:tcMar>
            <w:vAlign w:val="center"/>
          </w:tcPr>
          <w:p w14:paraId="28C72CB0">
            <w:pPr>
              <w:jc w:val="center"/>
              <w:rPr>
                <w:rFonts w:ascii="宋体" w:hAnsi="宋体"/>
                <w:szCs w:val="21"/>
              </w:rPr>
            </w:pPr>
          </w:p>
        </w:tc>
        <w:tc>
          <w:tcPr>
            <w:tcW w:w="269" w:type="pct"/>
            <w:vMerge w:val="continue"/>
            <w:tcMar>
              <w:top w:w="0" w:type="dxa"/>
              <w:left w:w="28" w:type="dxa"/>
              <w:bottom w:w="0" w:type="dxa"/>
              <w:right w:w="28" w:type="dxa"/>
            </w:tcMar>
            <w:vAlign w:val="center"/>
          </w:tcPr>
          <w:p w14:paraId="65F101F1">
            <w:pPr>
              <w:jc w:val="center"/>
              <w:rPr>
                <w:rFonts w:ascii="宋体" w:hAnsi="宋体"/>
                <w:szCs w:val="21"/>
              </w:rPr>
            </w:pPr>
          </w:p>
        </w:tc>
        <w:tc>
          <w:tcPr>
            <w:tcW w:w="384" w:type="pct"/>
            <w:gridSpan w:val="2"/>
            <w:vAlign w:val="center"/>
          </w:tcPr>
          <w:p w14:paraId="7C0A1D32">
            <w:pPr>
              <w:jc w:val="center"/>
              <w:rPr>
                <w:rFonts w:ascii="宋体" w:hAnsi="宋体"/>
                <w:szCs w:val="21"/>
              </w:rPr>
            </w:pPr>
            <w:r>
              <w:rPr>
                <w:rFonts w:hint="eastAsia" w:ascii="宋体" w:hAnsi="宋体"/>
                <w:kern w:val="0"/>
                <w:szCs w:val="21"/>
              </w:rPr>
              <w:t>塘坝养殖场区</w:t>
            </w:r>
          </w:p>
        </w:tc>
        <w:tc>
          <w:tcPr>
            <w:tcW w:w="1342" w:type="pct"/>
            <w:vMerge w:val="continue"/>
            <w:tcMar>
              <w:top w:w="0" w:type="dxa"/>
              <w:left w:w="28" w:type="dxa"/>
              <w:bottom w:w="0" w:type="dxa"/>
              <w:right w:w="28" w:type="dxa"/>
            </w:tcMar>
            <w:vAlign w:val="center"/>
          </w:tcPr>
          <w:p w14:paraId="2B0F0F63">
            <w:pPr>
              <w:ind w:firstLine="360" w:firstLineChars="200"/>
              <w:rPr>
                <w:rFonts w:ascii="宋体" w:hAnsi="宋体"/>
                <w:sz w:val="18"/>
                <w:szCs w:val="18"/>
              </w:rPr>
            </w:pPr>
          </w:p>
        </w:tc>
        <w:tc>
          <w:tcPr>
            <w:tcW w:w="1929" w:type="pct"/>
            <w:vAlign w:val="center"/>
          </w:tcPr>
          <w:p w14:paraId="5999735B">
            <w:pPr>
              <w:ind w:firstLine="372" w:firstLineChars="200"/>
              <w:jc w:val="both"/>
              <w:rPr>
                <w:spacing w:val="3"/>
                <w:sz w:val="18"/>
                <w:szCs w:val="18"/>
              </w:rPr>
            </w:pPr>
            <w:r>
              <w:rPr>
                <w:color w:val="000000" w:themeColor="text1"/>
                <w:spacing w:val="3"/>
                <w:sz w:val="18"/>
                <w:szCs w:val="18"/>
                <w14:textFill>
                  <w14:solidFill>
                    <w14:schemeClr w14:val="tx1"/>
                  </w14:solidFill>
                </w14:textFill>
              </w:rPr>
              <w:t>共计建设1</w:t>
            </w:r>
            <w:r>
              <w:rPr>
                <w:rFonts w:hint="eastAsia"/>
                <w:color w:val="000000" w:themeColor="text1"/>
                <w:spacing w:val="3"/>
                <w:sz w:val="18"/>
                <w:szCs w:val="18"/>
                <w14:textFill>
                  <w14:solidFill>
                    <w14:schemeClr w14:val="tx1"/>
                  </w14:solidFill>
                </w14:textFill>
              </w:rPr>
              <w:t>6</w:t>
            </w:r>
            <w:r>
              <w:rPr>
                <w:color w:val="000000" w:themeColor="text1"/>
                <w:spacing w:val="3"/>
                <w:sz w:val="18"/>
                <w:szCs w:val="18"/>
                <w14:textFill>
                  <w14:solidFill>
                    <w14:schemeClr w14:val="tx1"/>
                  </w14:solidFill>
                </w14:textFill>
              </w:rPr>
              <w:t>间标准牛舍，最大存栏量为3290头</w:t>
            </w:r>
            <w:r>
              <w:rPr>
                <w:spacing w:val="3"/>
                <w:sz w:val="18"/>
                <w:szCs w:val="18"/>
              </w:rPr>
              <w:t>。</w:t>
            </w:r>
          </w:p>
          <w:p w14:paraId="6EEB4146">
            <w:pPr>
              <w:ind w:firstLine="372" w:firstLineChars="200"/>
              <w:jc w:val="both"/>
              <w:rPr>
                <w:spacing w:val="3"/>
                <w:sz w:val="18"/>
                <w:szCs w:val="18"/>
              </w:rPr>
            </w:pPr>
            <w:r>
              <w:rPr>
                <w:rFonts w:hint="eastAsia"/>
                <w:spacing w:val="3"/>
                <w:sz w:val="18"/>
                <w:szCs w:val="18"/>
              </w:rPr>
              <w:t>塘坝</w:t>
            </w:r>
            <w:r>
              <w:rPr>
                <w:spacing w:val="3"/>
                <w:sz w:val="18"/>
                <w:szCs w:val="18"/>
              </w:rPr>
              <w:t>1#~</w:t>
            </w:r>
            <w:r>
              <w:rPr>
                <w:rFonts w:hint="eastAsia"/>
                <w:spacing w:val="3"/>
                <w:sz w:val="18"/>
                <w:szCs w:val="18"/>
              </w:rPr>
              <w:t>4</w:t>
            </w:r>
            <w:r>
              <w:rPr>
                <w:spacing w:val="3"/>
                <w:sz w:val="18"/>
                <w:szCs w:val="18"/>
              </w:rPr>
              <w:t>#牛舍：建筑面积</w:t>
            </w:r>
            <w:r>
              <w:rPr>
                <w:rFonts w:hint="eastAsia"/>
                <w:spacing w:val="3"/>
                <w:sz w:val="18"/>
                <w:szCs w:val="18"/>
              </w:rPr>
              <w:t>960</w:t>
            </w:r>
            <w:r>
              <w:rPr>
                <w:spacing w:val="3"/>
                <w:sz w:val="18"/>
                <w:szCs w:val="18"/>
              </w:rPr>
              <w:t>m</w:t>
            </w:r>
            <w:r>
              <w:rPr>
                <w:spacing w:val="3"/>
                <w:sz w:val="18"/>
                <w:szCs w:val="18"/>
                <w:vertAlign w:val="superscript"/>
              </w:rPr>
              <w:t>2</w:t>
            </w:r>
            <w:r>
              <w:rPr>
                <w:spacing w:val="3"/>
                <w:sz w:val="18"/>
                <w:szCs w:val="18"/>
              </w:rPr>
              <w:t>，每间圈舍长3</w:t>
            </w:r>
            <w:r>
              <w:rPr>
                <w:rFonts w:hint="eastAsia"/>
                <w:spacing w:val="3"/>
                <w:sz w:val="18"/>
                <w:szCs w:val="18"/>
              </w:rPr>
              <w:t>2</w:t>
            </w:r>
            <w:r>
              <w:rPr>
                <w:spacing w:val="3"/>
                <w:sz w:val="18"/>
                <w:szCs w:val="18"/>
              </w:rPr>
              <w:t>m，宽</w:t>
            </w:r>
            <w:r>
              <w:rPr>
                <w:rFonts w:hint="eastAsia"/>
                <w:spacing w:val="3"/>
                <w:sz w:val="18"/>
                <w:szCs w:val="18"/>
              </w:rPr>
              <w:t>30</w:t>
            </w:r>
            <w:r>
              <w:rPr>
                <w:spacing w:val="3"/>
                <w:sz w:val="18"/>
                <w:szCs w:val="18"/>
              </w:rPr>
              <w:t>m，最大存栏量合计</w:t>
            </w:r>
            <w:r>
              <w:rPr>
                <w:rFonts w:hint="eastAsia"/>
                <w:spacing w:val="3"/>
                <w:sz w:val="18"/>
                <w:szCs w:val="18"/>
              </w:rPr>
              <w:t>640</w:t>
            </w:r>
            <w:r>
              <w:rPr>
                <w:spacing w:val="3"/>
                <w:sz w:val="18"/>
                <w:szCs w:val="18"/>
              </w:rPr>
              <w:t>头肉牛；</w:t>
            </w:r>
          </w:p>
          <w:p w14:paraId="523404C1">
            <w:pPr>
              <w:ind w:firstLine="372" w:firstLineChars="200"/>
              <w:jc w:val="both"/>
              <w:rPr>
                <w:spacing w:val="3"/>
                <w:sz w:val="18"/>
                <w:szCs w:val="18"/>
              </w:rPr>
            </w:pPr>
            <w:r>
              <w:rPr>
                <w:spacing w:val="3"/>
                <w:sz w:val="18"/>
                <w:szCs w:val="18"/>
              </w:rPr>
              <w:t>百花</w:t>
            </w:r>
            <w:r>
              <w:rPr>
                <w:rFonts w:hint="eastAsia"/>
                <w:spacing w:val="3"/>
                <w:sz w:val="18"/>
                <w:szCs w:val="18"/>
              </w:rPr>
              <w:t>5</w:t>
            </w:r>
            <w:r>
              <w:rPr>
                <w:spacing w:val="3"/>
                <w:sz w:val="18"/>
                <w:szCs w:val="18"/>
              </w:rPr>
              <w:t>#</w:t>
            </w:r>
            <w:bookmarkStart w:id="303" w:name="OLE_LINK84"/>
            <w:r>
              <w:rPr>
                <w:spacing w:val="3"/>
                <w:sz w:val="18"/>
                <w:szCs w:val="18"/>
              </w:rPr>
              <w:t>~14#</w:t>
            </w:r>
            <w:bookmarkEnd w:id="303"/>
            <w:r>
              <w:rPr>
                <w:spacing w:val="3"/>
                <w:sz w:val="18"/>
                <w:szCs w:val="18"/>
              </w:rPr>
              <w:t>牛舍：建筑面积1440m</w:t>
            </w:r>
            <w:r>
              <w:rPr>
                <w:spacing w:val="3"/>
                <w:sz w:val="18"/>
                <w:szCs w:val="18"/>
                <w:vertAlign w:val="superscript"/>
              </w:rPr>
              <w:t>2</w:t>
            </w:r>
            <w:r>
              <w:rPr>
                <w:spacing w:val="3"/>
                <w:sz w:val="18"/>
                <w:szCs w:val="18"/>
              </w:rPr>
              <w:t>，每间圈舍长45m，宽32m，最大存栏量合计</w:t>
            </w:r>
            <w:r>
              <w:rPr>
                <w:rFonts w:hint="eastAsia"/>
                <w:spacing w:val="3"/>
                <w:sz w:val="18"/>
                <w:szCs w:val="18"/>
              </w:rPr>
              <w:t>2400</w:t>
            </w:r>
            <w:r>
              <w:rPr>
                <w:spacing w:val="3"/>
                <w:sz w:val="18"/>
                <w:szCs w:val="18"/>
              </w:rPr>
              <w:t>头肉牛；</w:t>
            </w:r>
          </w:p>
          <w:p w14:paraId="30A7305D">
            <w:pPr>
              <w:ind w:firstLine="372" w:firstLineChars="200"/>
              <w:jc w:val="both"/>
              <w:rPr>
                <w:spacing w:val="3"/>
                <w:sz w:val="18"/>
                <w:szCs w:val="18"/>
              </w:rPr>
            </w:pPr>
            <w:r>
              <w:rPr>
                <w:spacing w:val="3"/>
                <w:sz w:val="18"/>
                <w:szCs w:val="18"/>
              </w:rPr>
              <w:t>百花15#~1</w:t>
            </w:r>
            <w:r>
              <w:rPr>
                <w:rFonts w:hint="eastAsia"/>
                <w:spacing w:val="3"/>
                <w:sz w:val="18"/>
                <w:szCs w:val="18"/>
              </w:rPr>
              <w:t>6</w:t>
            </w:r>
            <w:r>
              <w:rPr>
                <w:spacing w:val="3"/>
                <w:sz w:val="18"/>
                <w:szCs w:val="18"/>
              </w:rPr>
              <w:t>#牛舍：建筑面积</w:t>
            </w:r>
            <w:r>
              <w:rPr>
                <w:rFonts w:hint="eastAsia"/>
                <w:spacing w:val="3"/>
                <w:sz w:val="18"/>
                <w:szCs w:val="18"/>
              </w:rPr>
              <w:t>750</w:t>
            </w:r>
            <w:r>
              <w:rPr>
                <w:spacing w:val="3"/>
                <w:sz w:val="18"/>
                <w:szCs w:val="18"/>
              </w:rPr>
              <w:t>m</w:t>
            </w:r>
            <w:r>
              <w:rPr>
                <w:spacing w:val="3"/>
                <w:sz w:val="18"/>
                <w:szCs w:val="18"/>
                <w:vertAlign w:val="superscript"/>
              </w:rPr>
              <w:t>2</w:t>
            </w:r>
            <w:r>
              <w:rPr>
                <w:spacing w:val="3"/>
                <w:sz w:val="18"/>
                <w:szCs w:val="18"/>
              </w:rPr>
              <w:t>，圈舍长</w:t>
            </w:r>
            <w:r>
              <w:rPr>
                <w:rFonts w:hint="eastAsia"/>
                <w:spacing w:val="3"/>
                <w:sz w:val="18"/>
                <w:szCs w:val="18"/>
              </w:rPr>
              <w:t>30</w:t>
            </w:r>
            <w:r>
              <w:rPr>
                <w:spacing w:val="3"/>
                <w:sz w:val="18"/>
                <w:szCs w:val="18"/>
              </w:rPr>
              <w:t>m，宽</w:t>
            </w:r>
            <w:r>
              <w:rPr>
                <w:rFonts w:hint="eastAsia"/>
                <w:spacing w:val="3"/>
                <w:sz w:val="18"/>
                <w:szCs w:val="18"/>
              </w:rPr>
              <w:t>25</w:t>
            </w:r>
            <w:r>
              <w:rPr>
                <w:spacing w:val="3"/>
                <w:sz w:val="18"/>
                <w:szCs w:val="18"/>
              </w:rPr>
              <w:t>m，最大存栏量合计</w:t>
            </w:r>
            <w:r>
              <w:rPr>
                <w:rFonts w:hint="eastAsia"/>
                <w:spacing w:val="3"/>
                <w:sz w:val="18"/>
                <w:szCs w:val="18"/>
              </w:rPr>
              <w:t>250</w:t>
            </w:r>
            <w:r>
              <w:rPr>
                <w:spacing w:val="3"/>
                <w:sz w:val="18"/>
                <w:szCs w:val="18"/>
              </w:rPr>
              <w:t>头肉牛；</w:t>
            </w:r>
          </w:p>
          <w:p w14:paraId="24AB92EC">
            <w:pPr>
              <w:ind w:firstLine="372" w:firstLineChars="200"/>
              <w:jc w:val="both"/>
              <w:rPr>
                <w:sz w:val="18"/>
                <w:szCs w:val="18"/>
              </w:rPr>
            </w:pPr>
            <w:r>
              <w:rPr>
                <w:spacing w:val="3"/>
                <w:sz w:val="18"/>
                <w:szCs w:val="18"/>
              </w:rPr>
              <w:t>百花养殖场</w:t>
            </w:r>
            <w:r>
              <w:rPr>
                <w:rFonts w:hint="eastAsia"/>
                <w:spacing w:val="3"/>
                <w:sz w:val="18"/>
                <w:szCs w:val="18"/>
              </w:rPr>
              <w:t>区</w:t>
            </w:r>
            <w:r>
              <w:rPr>
                <w:spacing w:val="3"/>
                <w:sz w:val="18"/>
                <w:szCs w:val="18"/>
              </w:rPr>
              <w:t>圈舍均按照设计最大存栏量进行养殖，存栏量为3290头肉牛。</w:t>
            </w:r>
          </w:p>
        </w:tc>
        <w:tc>
          <w:tcPr>
            <w:tcW w:w="406" w:type="pct"/>
            <w:vMerge w:val="continue"/>
            <w:tcMar>
              <w:top w:w="0" w:type="dxa"/>
              <w:left w:w="28" w:type="dxa"/>
              <w:bottom w:w="0" w:type="dxa"/>
              <w:right w:w="28" w:type="dxa"/>
            </w:tcMar>
            <w:vAlign w:val="center"/>
          </w:tcPr>
          <w:p w14:paraId="7BCE0521">
            <w:pPr>
              <w:jc w:val="center"/>
              <w:rPr>
                <w:rFonts w:ascii="宋体" w:hAnsi="宋体"/>
                <w:szCs w:val="21"/>
              </w:rPr>
            </w:pPr>
          </w:p>
        </w:tc>
        <w:tc>
          <w:tcPr>
            <w:tcW w:w="329" w:type="pct"/>
            <w:vMerge w:val="continue"/>
            <w:tcMar>
              <w:top w:w="0" w:type="dxa"/>
              <w:left w:w="28" w:type="dxa"/>
              <w:bottom w:w="0" w:type="dxa"/>
              <w:right w:w="28" w:type="dxa"/>
            </w:tcMar>
            <w:vAlign w:val="center"/>
          </w:tcPr>
          <w:p w14:paraId="29A7BDB9">
            <w:pPr>
              <w:jc w:val="center"/>
              <w:rPr>
                <w:rFonts w:ascii="宋体" w:hAnsi="宋体"/>
                <w:szCs w:val="21"/>
              </w:rPr>
            </w:pPr>
          </w:p>
        </w:tc>
      </w:tr>
      <w:tr w14:paraId="05F640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tcMar>
              <w:top w:w="0" w:type="dxa"/>
              <w:left w:w="28" w:type="dxa"/>
              <w:bottom w:w="0" w:type="dxa"/>
              <w:right w:w="28" w:type="dxa"/>
            </w:tcMar>
            <w:vAlign w:val="center"/>
          </w:tcPr>
          <w:p w14:paraId="0A20805A">
            <w:pPr>
              <w:jc w:val="center"/>
              <w:rPr>
                <w:rFonts w:ascii="宋体" w:hAnsi="宋体"/>
                <w:szCs w:val="21"/>
              </w:rPr>
            </w:pPr>
          </w:p>
        </w:tc>
        <w:tc>
          <w:tcPr>
            <w:tcW w:w="269" w:type="pct"/>
            <w:vMerge w:val="continue"/>
            <w:tcMar>
              <w:top w:w="0" w:type="dxa"/>
              <w:left w:w="28" w:type="dxa"/>
              <w:bottom w:w="0" w:type="dxa"/>
              <w:right w:w="28" w:type="dxa"/>
            </w:tcMar>
            <w:vAlign w:val="center"/>
          </w:tcPr>
          <w:p w14:paraId="32D13B08">
            <w:pPr>
              <w:jc w:val="center"/>
              <w:rPr>
                <w:rFonts w:ascii="宋体" w:hAnsi="宋体"/>
                <w:szCs w:val="21"/>
              </w:rPr>
            </w:pPr>
          </w:p>
        </w:tc>
        <w:tc>
          <w:tcPr>
            <w:tcW w:w="384" w:type="pct"/>
            <w:gridSpan w:val="2"/>
            <w:vAlign w:val="center"/>
          </w:tcPr>
          <w:p w14:paraId="1BE8B0EC">
            <w:pPr>
              <w:jc w:val="center"/>
              <w:rPr>
                <w:rFonts w:ascii="宋体" w:hAnsi="宋体"/>
                <w:szCs w:val="21"/>
              </w:rPr>
            </w:pPr>
            <w:r>
              <w:rPr>
                <w:rFonts w:hint="eastAsia" w:ascii="宋体" w:hAnsi="宋体"/>
                <w:kern w:val="0"/>
                <w:szCs w:val="21"/>
              </w:rPr>
              <w:t>始宁养殖场区</w:t>
            </w:r>
          </w:p>
        </w:tc>
        <w:tc>
          <w:tcPr>
            <w:tcW w:w="1342" w:type="pct"/>
            <w:vMerge w:val="continue"/>
            <w:tcMar>
              <w:top w:w="0" w:type="dxa"/>
              <w:left w:w="28" w:type="dxa"/>
              <w:bottom w:w="0" w:type="dxa"/>
              <w:right w:w="28" w:type="dxa"/>
            </w:tcMar>
            <w:vAlign w:val="center"/>
          </w:tcPr>
          <w:p w14:paraId="48D8185D">
            <w:pPr>
              <w:ind w:firstLine="360" w:firstLineChars="200"/>
              <w:rPr>
                <w:rFonts w:ascii="宋体" w:hAnsi="宋体"/>
                <w:sz w:val="18"/>
                <w:szCs w:val="18"/>
              </w:rPr>
            </w:pPr>
          </w:p>
        </w:tc>
        <w:tc>
          <w:tcPr>
            <w:tcW w:w="1929" w:type="pct"/>
            <w:vAlign w:val="center"/>
          </w:tcPr>
          <w:p w14:paraId="26C980F6">
            <w:pPr>
              <w:ind w:firstLine="372" w:firstLineChars="200"/>
              <w:jc w:val="both"/>
              <w:rPr>
                <w:spacing w:val="3"/>
                <w:sz w:val="18"/>
                <w:szCs w:val="18"/>
              </w:rPr>
            </w:pPr>
            <w:r>
              <w:rPr>
                <w:color w:val="000000" w:themeColor="text1"/>
                <w:spacing w:val="3"/>
                <w:sz w:val="18"/>
                <w:szCs w:val="18"/>
                <w14:textFill>
                  <w14:solidFill>
                    <w14:schemeClr w14:val="tx1"/>
                  </w14:solidFill>
                </w14:textFill>
              </w:rPr>
              <w:t>共计建设12间标准牛舍，最大存栏量为2330头</w:t>
            </w:r>
            <w:r>
              <w:rPr>
                <w:spacing w:val="3"/>
                <w:sz w:val="18"/>
                <w:szCs w:val="18"/>
              </w:rPr>
              <w:t>。</w:t>
            </w:r>
          </w:p>
          <w:p w14:paraId="1B651B56">
            <w:pPr>
              <w:ind w:firstLine="372" w:firstLineChars="200"/>
              <w:jc w:val="both"/>
              <w:rPr>
                <w:spacing w:val="3"/>
                <w:sz w:val="18"/>
                <w:szCs w:val="18"/>
              </w:rPr>
            </w:pPr>
            <w:r>
              <w:rPr>
                <w:spacing w:val="3"/>
                <w:sz w:val="18"/>
                <w:szCs w:val="18"/>
              </w:rPr>
              <w:t>始宁1#牛舍：建筑面积900m</w:t>
            </w:r>
            <w:r>
              <w:rPr>
                <w:spacing w:val="3"/>
                <w:sz w:val="18"/>
                <w:szCs w:val="18"/>
                <w:vertAlign w:val="superscript"/>
              </w:rPr>
              <w:t>2</w:t>
            </w:r>
            <w:r>
              <w:rPr>
                <w:spacing w:val="3"/>
                <w:sz w:val="18"/>
                <w:szCs w:val="18"/>
              </w:rPr>
              <w:t>，每间圈舍长30m，宽30m，最大存栏量合计150头肉牛；</w:t>
            </w:r>
          </w:p>
          <w:p w14:paraId="10D66E0A">
            <w:pPr>
              <w:ind w:firstLine="372" w:firstLineChars="200"/>
              <w:jc w:val="both"/>
              <w:rPr>
                <w:spacing w:val="3"/>
                <w:sz w:val="18"/>
                <w:szCs w:val="18"/>
              </w:rPr>
            </w:pPr>
            <w:r>
              <w:rPr>
                <w:spacing w:val="3"/>
                <w:sz w:val="18"/>
                <w:szCs w:val="18"/>
              </w:rPr>
              <w:t>始宁2#~8#牛舍：建筑面积1440m</w:t>
            </w:r>
            <w:r>
              <w:rPr>
                <w:spacing w:val="3"/>
                <w:sz w:val="18"/>
                <w:szCs w:val="18"/>
                <w:vertAlign w:val="superscript"/>
              </w:rPr>
              <w:t>2</w:t>
            </w:r>
            <w:r>
              <w:rPr>
                <w:spacing w:val="3"/>
                <w:sz w:val="18"/>
                <w:szCs w:val="18"/>
              </w:rPr>
              <w:t>，每间圈舍长45m，宽32m，最大存栏量合计</w:t>
            </w:r>
            <w:r>
              <w:rPr>
                <w:rFonts w:hint="eastAsia"/>
                <w:spacing w:val="3"/>
                <w:sz w:val="18"/>
                <w:szCs w:val="18"/>
              </w:rPr>
              <w:t>1680</w:t>
            </w:r>
            <w:r>
              <w:rPr>
                <w:spacing w:val="3"/>
                <w:sz w:val="18"/>
                <w:szCs w:val="18"/>
              </w:rPr>
              <w:t>头肉牛；</w:t>
            </w:r>
          </w:p>
          <w:p w14:paraId="0D48272A">
            <w:pPr>
              <w:ind w:firstLine="372" w:firstLineChars="200"/>
              <w:jc w:val="both"/>
              <w:rPr>
                <w:spacing w:val="3"/>
                <w:sz w:val="18"/>
                <w:szCs w:val="18"/>
              </w:rPr>
            </w:pPr>
            <w:r>
              <w:rPr>
                <w:spacing w:val="3"/>
                <w:sz w:val="18"/>
                <w:szCs w:val="18"/>
              </w:rPr>
              <w:t>始宁9~12#牛舍：建筑面积</w:t>
            </w:r>
            <w:r>
              <w:rPr>
                <w:rFonts w:hint="eastAsia"/>
                <w:spacing w:val="3"/>
                <w:sz w:val="18"/>
                <w:szCs w:val="18"/>
              </w:rPr>
              <w:t>750</w:t>
            </w:r>
            <w:r>
              <w:rPr>
                <w:spacing w:val="3"/>
                <w:sz w:val="18"/>
                <w:szCs w:val="18"/>
              </w:rPr>
              <w:t>m</w:t>
            </w:r>
            <w:r>
              <w:rPr>
                <w:spacing w:val="3"/>
                <w:sz w:val="18"/>
                <w:szCs w:val="18"/>
                <w:vertAlign w:val="superscript"/>
              </w:rPr>
              <w:t>2</w:t>
            </w:r>
            <w:r>
              <w:rPr>
                <w:spacing w:val="3"/>
                <w:sz w:val="18"/>
                <w:szCs w:val="18"/>
              </w:rPr>
              <w:t>，圈舍长</w:t>
            </w:r>
            <w:r>
              <w:rPr>
                <w:rFonts w:hint="eastAsia"/>
                <w:spacing w:val="3"/>
                <w:sz w:val="18"/>
                <w:szCs w:val="18"/>
              </w:rPr>
              <w:t>30</w:t>
            </w:r>
            <w:r>
              <w:rPr>
                <w:spacing w:val="3"/>
                <w:sz w:val="18"/>
                <w:szCs w:val="18"/>
              </w:rPr>
              <w:t>m，宽</w:t>
            </w:r>
            <w:r>
              <w:rPr>
                <w:rFonts w:hint="eastAsia"/>
                <w:spacing w:val="3"/>
                <w:sz w:val="18"/>
                <w:szCs w:val="18"/>
              </w:rPr>
              <w:t>25</w:t>
            </w:r>
            <w:r>
              <w:rPr>
                <w:spacing w:val="3"/>
                <w:sz w:val="18"/>
                <w:szCs w:val="18"/>
              </w:rPr>
              <w:t>m，最大存栏量合计</w:t>
            </w:r>
            <w:r>
              <w:rPr>
                <w:rFonts w:hint="eastAsia"/>
                <w:spacing w:val="3"/>
                <w:sz w:val="18"/>
                <w:szCs w:val="18"/>
              </w:rPr>
              <w:t>500</w:t>
            </w:r>
            <w:r>
              <w:rPr>
                <w:spacing w:val="3"/>
                <w:sz w:val="18"/>
                <w:szCs w:val="18"/>
              </w:rPr>
              <w:t>头肉牛；</w:t>
            </w:r>
          </w:p>
          <w:p w14:paraId="05A1497A">
            <w:pPr>
              <w:ind w:firstLine="372" w:firstLineChars="200"/>
              <w:jc w:val="both"/>
              <w:rPr>
                <w:sz w:val="18"/>
                <w:szCs w:val="18"/>
              </w:rPr>
            </w:pPr>
            <w:r>
              <w:rPr>
                <w:rFonts w:hint="eastAsia"/>
                <w:spacing w:val="3"/>
                <w:sz w:val="18"/>
                <w:szCs w:val="18"/>
              </w:rPr>
              <w:t>始宁</w:t>
            </w:r>
            <w:r>
              <w:rPr>
                <w:spacing w:val="3"/>
                <w:sz w:val="18"/>
                <w:szCs w:val="18"/>
              </w:rPr>
              <w:t>养殖场</w:t>
            </w:r>
            <w:r>
              <w:rPr>
                <w:rFonts w:hint="eastAsia"/>
                <w:spacing w:val="3"/>
                <w:sz w:val="18"/>
                <w:szCs w:val="18"/>
              </w:rPr>
              <w:t>区</w:t>
            </w:r>
            <w:r>
              <w:rPr>
                <w:spacing w:val="3"/>
                <w:sz w:val="18"/>
                <w:szCs w:val="18"/>
              </w:rPr>
              <w:t>圈舍均按照设计最大存栏量进行养殖，存栏量为</w:t>
            </w:r>
            <w:r>
              <w:rPr>
                <w:rFonts w:hint="eastAsia"/>
                <w:spacing w:val="3"/>
                <w:sz w:val="18"/>
                <w:szCs w:val="18"/>
              </w:rPr>
              <w:t>2330</w:t>
            </w:r>
            <w:r>
              <w:rPr>
                <w:spacing w:val="3"/>
                <w:sz w:val="18"/>
                <w:szCs w:val="18"/>
              </w:rPr>
              <w:t>头肉牛。</w:t>
            </w:r>
          </w:p>
        </w:tc>
        <w:tc>
          <w:tcPr>
            <w:tcW w:w="406" w:type="pct"/>
            <w:vMerge w:val="continue"/>
            <w:tcMar>
              <w:top w:w="0" w:type="dxa"/>
              <w:left w:w="28" w:type="dxa"/>
              <w:bottom w:w="0" w:type="dxa"/>
              <w:right w:w="28" w:type="dxa"/>
            </w:tcMar>
            <w:vAlign w:val="center"/>
          </w:tcPr>
          <w:p w14:paraId="252B7E54">
            <w:pPr>
              <w:jc w:val="center"/>
              <w:rPr>
                <w:rFonts w:ascii="宋体" w:hAnsi="宋体"/>
                <w:szCs w:val="21"/>
              </w:rPr>
            </w:pPr>
          </w:p>
        </w:tc>
        <w:tc>
          <w:tcPr>
            <w:tcW w:w="329" w:type="pct"/>
            <w:vMerge w:val="continue"/>
            <w:tcMar>
              <w:top w:w="0" w:type="dxa"/>
              <w:left w:w="28" w:type="dxa"/>
              <w:bottom w:w="0" w:type="dxa"/>
              <w:right w:w="28" w:type="dxa"/>
            </w:tcMar>
            <w:vAlign w:val="center"/>
          </w:tcPr>
          <w:p w14:paraId="109A2E7E">
            <w:pPr>
              <w:jc w:val="center"/>
              <w:rPr>
                <w:rFonts w:ascii="宋体" w:hAnsi="宋体"/>
                <w:szCs w:val="21"/>
              </w:rPr>
            </w:pPr>
          </w:p>
        </w:tc>
      </w:tr>
      <w:bookmarkEnd w:id="301"/>
      <w:tr w14:paraId="24632F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restart"/>
            <w:tcMar>
              <w:top w:w="0" w:type="dxa"/>
              <w:left w:w="28" w:type="dxa"/>
              <w:bottom w:w="0" w:type="dxa"/>
              <w:right w:w="28" w:type="dxa"/>
            </w:tcMar>
            <w:vAlign w:val="center"/>
          </w:tcPr>
          <w:p w14:paraId="1479B51E">
            <w:pPr>
              <w:jc w:val="center"/>
              <w:rPr>
                <w:rFonts w:ascii="宋体" w:hAnsi="宋体"/>
                <w:szCs w:val="21"/>
              </w:rPr>
            </w:pPr>
            <w:r>
              <w:rPr>
                <w:rFonts w:ascii="宋体" w:hAnsi="宋体"/>
                <w:szCs w:val="21"/>
              </w:rPr>
              <w:t>辅助</w:t>
            </w:r>
          </w:p>
          <w:p w14:paraId="662BF3D0">
            <w:pPr>
              <w:jc w:val="center"/>
              <w:rPr>
                <w:rFonts w:ascii="宋体" w:hAnsi="宋体"/>
                <w:szCs w:val="21"/>
              </w:rPr>
            </w:pPr>
            <w:r>
              <w:rPr>
                <w:rFonts w:ascii="宋体" w:hAnsi="宋体"/>
                <w:szCs w:val="21"/>
              </w:rPr>
              <w:t>工程</w:t>
            </w:r>
          </w:p>
        </w:tc>
        <w:tc>
          <w:tcPr>
            <w:tcW w:w="653" w:type="pct"/>
            <w:gridSpan w:val="3"/>
            <w:tcMar>
              <w:top w:w="0" w:type="dxa"/>
              <w:left w:w="28" w:type="dxa"/>
              <w:bottom w:w="0" w:type="dxa"/>
              <w:right w:w="28" w:type="dxa"/>
            </w:tcMar>
            <w:vAlign w:val="center"/>
          </w:tcPr>
          <w:p w14:paraId="3F35655A">
            <w:pPr>
              <w:jc w:val="center"/>
              <w:rPr>
                <w:rFonts w:ascii="宋体" w:hAnsi="宋体"/>
                <w:szCs w:val="21"/>
              </w:rPr>
            </w:pPr>
            <w:r>
              <w:rPr>
                <w:rFonts w:ascii="宋体" w:hAnsi="宋体"/>
                <w:szCs w:val="21"/>
              </w:rPr>
              <w:t>隔离</w:t>
            </w:r>
            <w:r>
              <w:rPr>
                <w:rFonts w:hint="eastAsia" w:ascii="宋体" w:hAnsi="宋体"/>
                <w:szCs w:val="21"/>
              </w:rPr>
              <w:t>室</w:t>
            </w:r>
          </w:p>
        </w:tc>
        <w:tc>
          <w:tcPr>
            <w:tcW w:w="1342" w:type="pct"/>
            <w:tcMar>
              <w:top w:w="0" w:type="dxa"/>
              <w:left w:w="28" w:type="dxa"/>
              <w:bottom w:w="0" w:type="dxa"/>
              <w:right w:w="28" w:type="dxa"/>
            </w:tcMar>
            <w:vAlign w:val="center"/>
          </w:tcPr>
          <w:p w14:paraId="7E7E1205">
            <w:pPr>
              <w:ind w:firstLine="360" w:firstLineChars="200"/>
              <w:rPr>
                <w:rFonts w:ascii="宋体" w:hAnsi="宋体"/>
                <w:sz w:val="18"/>
                <w:szCs w:val="18"/>
              </w:rPr>
            </w:pPr>
            <w:r>
              <w:rPr>
                <w:rFonts w:ascii="宋体" w:hAnsi="宋体"/>
                <w:sz w:val="18"/>
                <w:szCs w:val="18"/>
              </w:rPr>
              <w:t>单层钢架结构，用于病牛隔离。4处养殖场隔离舍各1栋；转入牛要在隔离舍观察不少于15天。</w:t>
            </w:r>
          </w:p>
        </w:tc>
        <w:tc>
          <w:tcPr>
            <w:tcW w:w="1929" w:type="pct"/>
            <w:vAlign w:val="center"/>
          </w:tcPr>
          <w:p w14:paraId="45865256">
            <w:pPr>
              <w:ind w:firstLine="372" w:firstLineChars="200"/>
              <w:jc w:val="both"/>
              <w:rPr>
                <w:rFonts w:ascii="宋体" w:hAnsi="宋体"/>
                <w:color w:val="000000" w:themeColor="text1"/>
                <w:sz w:val="18"/>
                <w:szCs w:val="18"/>
                <w14:textFill>
                  <w14:solidFill>
                    <w14:schemeClr w14:val="tx1"/>
                  </w14:solidFill>
                </w14:textFill>
              </w:rPr>
            </w:pPr>
            <w:r>
              <w:rPr>
                <w:rFonts w:hint="eastAsia"/>
                <w:color w:val="000000" w:themeColor="text1"/>
                <w:spacing w:val="3"/>
                <w:sz w:val="18"/>
                <w:szCs w:val="18"/>
                <w14:textFill>
                  <w14:solidFill>
                    <w14:schemeClr w14:val="tx1"/>
                  </w14:solidFill>
                </w14:textFill>
              </w:rPr>
              <w:t>各养殖场区均设置相同建筑规模的隔离室1间，建筑面积180m</w:t>
            </w:r>
            <w:r>
              <w:rPr>
                <w:rFonts w:hint="eastAsia"/>
                <w:color w:val="000000" w:themeColor="text1"/>
                <w:spacing w:val="3"/>
                <w:sz w:val="18"/>
                <w:szCs w:val="18"/>
                <w:vertAlign w:val="superscript"/>
                <w14:textFill>
                  <w14:solidFill>
                    <w14:schemeClr w14:val="tx1"/>
                  </w14:solidFill>
                </w14:textFill>
              </w:rPr>
              <w:t>2</w:t>
            </w:r>
            <w:r>
              <w:rPr>
                <w:rFonts w:hint="eastAsia"/>
                <w:color w:val="000000" w:themeColor="text1"/>
                <w:spacing w:val="3"/>
                <w:sz w:val="18"/>
                <w:szCs w:val="18"/>
                <w14:textFill>
                  <w14:solidFill>
                    <w14:schemeClr w14:val="tx1"/>
                  </w14:solidFill>
                </w14:textFill>
              </w:rPr>
              <w:t>，长30m，宽6m</w:t>
            </w:r>
            <w:r>
              <w:rPr>
                <w:color w:val="000000" w:themeColor="text1"/>
                <w:spacing w:val="3"/>
                <w:sz w:val="18"/>
                <w:szCs w:val="18"/>
                <w14:textFill>
                  <w14:solidFill>
                    <w14:schemeClr w14:val="tx1"/>
                  </w14:solidFill>
                </w14:textFill>
              </w:rPr>
              <w:t>。</w:t>
            </w:r>
          </w:p>
        </w:tc>
        <w:tc>
          <w:tcPr>
            <w:tcW w:w="406" w:type="pct"/>
            <w:vMerge w:val="continue"/>
            <w:vAlign w:val="center"/>
          </w:tcPr>
          <w:p w14:paraId="4D118548">
            <w:pPr>
              <w:jc w:val="center"/>
              <w:rPr>
                <w:rFonts w:ascii="宋体" w:hAnsi="宋体"/>
                <w:szCs w:val="21"/>
              </w:rPr>
            </w:pPr>
          </w:p>
        </w:tc>
        <w:tc>
          <w:tcPr>
            <w:tcW w:w="329" w:type="pct"/>
            <w:tcMar>
              <w:top w:w="0" w:type="dxa"/>
              <w:left w:w="28" w:type="dxa"/>
              <w:bottom w:w="0" w:type="dxa"/>
              <w:right w:w="28" w:type="dxa"/>
            </w:tcMar>
            <w:vAlign w:val="center"/>
          </w:tcPr>
          <w:p w14:paraId="34330568">
            <w:pPr>
              <w:jc w:val="center"/>
              <w:rPr>
                <w:rFonts w:ascii="宋体" w:hAnsi="宋体"/>
                <w:szCs w:val="21"/>
              </w:rPr>
            </w:pPr>
          </w:p>
        </w:tc>
      </w:tr>
      <w:tr w14:paraId="15AA8B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tcMar>
              <w:top w:w="0" w:type="dxa"/>
              <w:left w:w="28" w:type="dxa"/>
              <w:bottom w:w="0" w:type="dxa"/>
              <w:right w:w="28" w:type="dxa"/>
            </w:tcMar>
            <w:vAlign w:val="center"/>
          </w:tcPr>
          <w:p w14:paraId="6BD8801E">
            <w:pPr>
              <w:jc w:val="center"/>
              <w:rPr>
                <w:rFonts w:ascii="宋体" w:hAnsi="宋体"/>
                <w:szCs w:val="21"/>
              </w:rPr>
            </w:pPr>
          </w:p>
        </w:tc>
        <w:tc>
          <w:tcPr>
            <w:tcW w:w="269" w:type="pct"/>
            <w:vMerge w:val="restart"/>
            <w:tcMar>
              <w:top w:w="0" w:type="dxa"/>
              <w:left w:w="28" w:type="dxa"/>
              <w:bottom w:w="0" w:type="dxa"/>
              <w:right w:w="28" w:type="dxa"/>
            </w:tcMar>
            <w:vAlign w:val="center"/>
          </w:tcPr>
          <w:p w14:paraId="2AE3578D">
            <w:pPr>
              <w:jc w:val="center"/>
              <w:rPr>
                <w:rFonts w:ascii="宋体" w:hAnsi="宋体"/>
                <w:szCs w:val="21"/>
              </w:rPr>
            </w:pPr>
            <w:r>
              <w:rPr>
                <w:rFonts w:ascii="宋体" w:hAnsi="宋体"/>
                <w:szCs w:val="21"/>
              </w:rPr>
              <w:t>饲草料加工车间</w:t>
            </w:r>
          </w:p>
        </w:tc>
        <w:tc>
          <w:tcPr>
            <w:tcW w:w="384" w:type="pct"/>
            <w:gridSpan w:val="2"/>
            <w:vAlign w:val="center"/>
          </w:tcPr>
          <w:p w14:paraId="6BB7FB47">
            <w:pPr>
              <w:jc w:val="center"/>
              <w:rPr>
                <w:rFonts w:ascii="宋体" w:hAnsi="宋体"/>
                <w:szCs w:val="21"/>
              </w:rPr>
            </w:pPr>
            <w:r>
              <w:rPr>
                <w:rFonts w:hint="eastAsia" w:ascii="宋体" w:hAnsi="宋体"/>
                <w:kern w:val="0"/>
                <w:szCs w:val="21"/>
              </w:rPr>
              <w:t>百花养殖场区</w:t>
            </w:r>
          </w:p>
        </w:tc>
        <w:tc>
          <w:tcPr>
            <w:tcW w:w="1342" w:type="pct"/>
            <w:vMerge w:val="restart"/>
            <w:tcMar>
              <w:top w:w="0" w:type="dxa"/>
              <w:left w:w="28" w:type="dxa"/>
              <w:bottom w:w="0" w:type="dxa"/>
              <w:right w:w="28" w:type="dxa"/>
            </w:tcMar>
            <w:vAlign w:val="center"/>
          </w:tcPr>
          <w:p w14:paraId="0C2FC0B7">
            <w:pPr>
              <w:ind w:firstLine="360" w:firstLineChars="200"/>
              <w:rPr>
                <w:rFonts w:ascii="宋体" w:hAnsi="宋体"/>
                <w:sz w:val="18"/>
                <w:szCs w:val="18"/>
              </w:rPr>
            </w:pPr>
            <w:r>
              <w:rPr>
                <w:rFonts w:ascii="宋体" w:hAnsi="宋体"/>
                <w:sz w:val="18"/>
                <w:szCs w:val="18"/>
              </w:rPr>
              <w:t>项目在各养殖场设置饲草料加工1间，用于</w:t>
            </w:r>
            <w:r>
              <w:rPr>
                <w:rFonts w:hint="eastAsia" w:ascii="宋体" w:hAnsi="宋体"/>
                <w:sz w:val="18"/>
                <w:szCs w:val="18"/>
              </w:rPr>
              <w:t>精</w:t>
            </w:r>
            <w:r>
              <w:rPr>
                <w:rFonts w:ascii="宋体" w:hAnsi="宋体"/>
                <w:sz w:val="18"/>
                <w:szCs w:val="18"/>
              </w:rPr>
              <w:t>饲料、</w:t>
            </w:r>
            <w:r>
              <w:rPr>
                <w:rFonts w:hint="eastAsia" w:ascii="宋体" w:hAnsi="宋体"/>
                <w:sz w:val="18"/>
                <w:szCs w:val="18"/>
              </w:rPr>
              <w:t>青贮料切碎</w:t>
            </w:r>
            <w:r>
              <w:rPr>
                <w:rFonts w:ascii="宋体" w:hAnsi="宋体"/>
                <w:sz w:val="18"/>
                <w:szCs w:val="18"/>
              </w:rPr>
              <w:t>的加工，并最终加工成全混合日粮（TMR）。</w:t>
            </w:r>
          </w:p>
        </w:tc>
        <w:tc>
          <w:tcPr>
            <w:tcW w:w="1929" w:type="pct"/>
            <w:vAlign w:val="center"/>
          </w:tcPr>
          <w:p w14:paraId="742F6A20">
            <w:pPr>
              <w:ind w:firstLine="360" w:firstLineChars="200"/>
              <w:jc w:val="both"/>
              <w:rPr>
                <w:rFonts w:ascii="宋体" w:hAnsi="宋体"/>
                <w:color w:val="000000" w:themeColor="text1"/>
                <w:sz w:val="18"/>
                <w:szCs w:val="18"/>
                <w14:textFill>
                  <w14:solidFill>
                    <w14:schemeClr w14:val="tx1"/>
                  </w14:solidFill>
                </w14:textFill>
              </w:rPr>
            </w:pPr>
            <w:bookmarkStart w:id="304" w:name="OLE_LINK85"/>
            <w:r>
              <w:rPr>
                <w:rFonts w:hint="eastAsia"/>
                <w:color w:val="000000" w:themeColor="text1"/>
                <w:sz w:val="18"/>
                <w:szCs w:val="18"/>
                <w14:textFill>
                  <w14:solidFill>
                    <w14:schemeClr w14:val="tx1"/>
                  </w14:solidFill>
                </w14:textFill>
              </w:rPr>
              <w:t>1间，</w:t>
            </w:r>
            <w:r>
              <w:rPr>
                <w:rFonts w:hint="eastAsia"/>
                <w:color w:val="000000" w:themeColor="text1"/>
                <w:spacing w:val="3"/>
                <w:sz w:val="18"/>
                <w:szCs w:val="18"/>
                <w14:textFill>
                  <w14:solidFill>
                    <w14:schemeClr w14:val="tx1"/>
                  </w14:solidFill>
                </w14:textFill>
              </w:rPr>
              <w:t>建筑面积1875m</w:t>
            </w:r>
            <w:r>
              <w:rPr>
                <w:rFonts w:hint="eastAsia"/>
                <w:color w:val="000000" w:themeColor="text1"/>
                <w:spacing w:val="3"/>
                <w:sz w:val="18"/>
                <w:szCs w:val="18"/>
                <w:vertAlign w:val="superscript"/>
                <w14:textFill>
                  <w14:solidFill>
                    <w14:schemeClr w14:val="tx1"/>
                  </w14:solidFill>
                </w14:textFill>
              </w:rPr>
              <w:t>2</w:t>
            </w:r>
            <w:r>
              <w:rPr>
                <w:color w:val="000000" w:themeColor="text1"/>
                <w:spacing w:val="3"/>
                <w:sz w:val="18"/>
                <w:szCs w:val="18"/>
                <w14:textFill>
                  <w14:solidFill>
                    <w14:schemeClr w14:val="tx1"/>
                  </w14:solidFill>
                </w14:textFill>
              </w:rPr>
              <w:t>。</w:t>
            </w:r>
            <w:r>
              <w:rPr>
                <w:rFonts w:hint="eastAsia"/>
                <w:color w:val="000000" w:themeColor="text1"/>
                <w:spacing w:val="3"/>
                <w:sz w:val="18"/>
                <w:szCs w:val="18"/>
                <w14:textFill>
                  <w14:solidFill>
                    <w14:schemeClr w14:val="tx1"/>
                  </w14:solidFill>
                </w14:textFill>
              </w:rPr>
              <w:t>年加工精饲料共计11844t，青贮料切碎共计8401t，年加工全混合日粮24039t。</w:t>
            </w:r>
            <w:bookmarkEnd w:id="304"/>
          </w:p>
        </w:tc>
        <w:tc>
          <w:tcPr>
            <w:tcW w:w="406" w:type="pct"/>
            <w:vMerge w:val="continue"/>
            <w:vAlign w:val="center"/>
          </w:tcPr>
          <w:p w14:paraId="1F00F1F1">
            <w:pPr>
              <w:jc w:val="center"/>
              <w:rPr>
                <w:rFonts w:ascii="宋体" w:hAnsi="宋体"/>
                <w:szCs w:val="21"/>
              </w:rPr>
            </w:pPr>
          </w:p>
        </w:tc>
        <w:tc>
          <w:tcPr>
            <w:tcW w:w="329" w:type="pct"/>
            <w:tcMar>
              <w:top w:w="0" w:type="dxa"/>
              <w:left w:w="28" w:type="dxa"/>
              <w:bottom w:w="0" w:type="dxa"/>
              <w:right w:w="28" w:type="dxa"/>
            </w:tcMar>
            <w:vAlign w:val="center"/>
          </w:tcPr>
          <w:p w14:paraId="024E6CA4">
            <w:pPr>
              <w:jc w:val="center"/>
              <w:rPr>
                <w:rFonts w:ascii="宋体" w:hAnsi="宋体"/>
                <w:szCs w:val="21"/>
              </w:rPr>
            </w:pPr>
            <w:r>
              <w:rPr>
                <w:rFonts w:ascii="宋体" w:hAnsi="宋体"/>
                <w:szCs w:val="21"/>
              </w:rPr>
              <w:t>废气、噪声</w:t>
            </w:r>
          </w:p>
        </w:tc>
      </w:tr>
      <w:tr w14:paraId="0B849E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tcMar>
              <w:top w:w="0" w:type="dxa"/>
              <w:left w:w="28" w:type="dxa"/>
              <w:bottom w:w="0" w:type="dxa"/>
              <w:right w:w="28" w:type="dxa"/>
            </w:tcMar>
            <w:vAlign w:val="center"/>
          </w:tcPr>
          <w:p w14:paraId="18C5714E">
            <w:pPr>
              <w:jc w:val="center"/>
              <w:rPr>
                <w:rFonts w:ascii="宋体" w:hAnsi="宋体"/>
                <w:szCs w:val="21"/>
              </w:rPr>
            </w:pPr>
          </w:p>
        </w:tc>
        <w:tc>
          <w:tcPr>
            <w:tcW w:w="269" w:type="pct"/>
            <w:vMerge w:val="continue"/>
            <w:tcMar>
              <w:top w:w="0" w:type="dxa"/>
              <w:left w:w="28" w:type="dxa"/>
              <w:bottom w:w="0" w:type="dxa"/>
              <w:right w:w="28" w:type="dxa"/>
            </w:tcMar>
            <w:vAlign w:val="center"/>
          </w:tcPr>
          <w:p w14:paraId="7ECC755A">
            <w:pPr>
              <w:jc w:val="center"/>
              <w:rPr>
                <w:rFonts w:ascii="宋体" w:hAnsi="宋体"/>
                <w:szCs w:val="21"/>
              </w:rPr>
            </w:pPr>
          </w:p>
        </w:tc>
        <w:tc>
          <w:tcPr>
            <w:tcW w:w="384" w:type="pct"/>
            <w:gridSpan w:val="2"/>
            <w:vAlign w:val="center"/>
          </w:tcPr>
          <w:p w14:paraId="69988B09">
            <w:pPr>
              <w:autoSpaceDE w:val="0"/>
              <w:autoSpaceDN w:val="0"/>
              <w:adjustRightInd w:val="0"/>
              <w:snapToGrid w:val="0"/>
              <w:jc w:val="center"/>
              <w:rPr>
                <w:rFonts w:ascii="宋体" w:hAnsi="宋体"/>
                <w:kern w:val="0"/>
                <w:szCs w:val="21"/>
              </w:rPr>
            </w:pPr>
            <w:r>
              <w:rPr>
                <w:rFonts w:hint="eastAsia" w:ascii="宋体" w:hAnsi="宋体"/>
                <w:kern w:val="0"/>
                <w:szCs w:val="21"/>
              </w:rPr>
              <w:t>佛龙养殖场区</w:t>
            </w:r>
          </w:p>
        </w:tc>
        <w:tc>
          <w:tcPr>
            <w:tcW w:w="1342" w:type="pct"/>
            <w:vMerge w:val="continue"/>
            <w:tcMar>
              <w:top w:w="0" w:type="dxa"/>
              <w:left w:w="28" w:type="dxa"/>
              <w:bottom w:w="0" w:type="dxa"/>
              <w:right w:w="28" w:type="dxa"/>
            </w:tcMar>
            <w:vAlign w:val="center"/>
          </w:tcPr>
          <w:p w14:paraId="1C1ABFF9">
            <w:pPr>
              <w:ind w:firstLine="360" w:firstLineChars="200"/>
              <w:rPr>
                <w:rFonts w:ascii="宋体" w:hAnsi="宋体"/>
                <w:sz w:val="18"/>
                <w:szCs w:val="18"/>
              </w:rPr>
            </w:pPr>
          </w:p>
        </w:tc>
        <w:tc>
          <w:tcPr>
            <w:tcW w:w="1929" w:type="pct"/>
            <w:vAlign w:val="center"/>
          </w:tcPr>
          <w:p w14:paraId="494375EB">
            <w:pPr>
              <w:ind w:firstLine="360" w:firstLineChars="200"/>
              <w:jc w:val="both"/>
              <w:rPr>
                <w:rFonts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1间，</w:t>
            </w:r>
            <w:r>
              <w:rPr>
                <w:rFonts w:hint="eastAsia"/>
                <w:color w:val="000000" w:themeColor="text1"/>
                <w:spacing w:val="3"/>
                <w:sz w:val="18"/>
                <w:szCs w:val="18"/>
                <w14:textFill>
                  <w14:solidFill>
                    <w14:schemeClr w14:val="tx1"/>
                  </w14:solidFill>
                </w14:textFill>
              </w:rPr>
              <w:t>建筑面积1575m</w:t>
            </w:r>
            <w:r>
              <w:rPr>
                <w:rFonts w:hint="eastAsia"/>
                <w:color w:val="000000" w:themeColor="text1"/>
                <w:spacing w:val="3"/>
                <w:sz w:val="18"/>
                <w:szCs w:val="18"/>
                <w:vertAlign w:val="superscript"/>
                <w14:textFill>
                  <w14:solidFill>
                    <w14:schemeClr w14:val="tx1"/>
                  </w14:solidFill>
                </w14:textFill>
              </w:rPr>
              <w:t>2</w:t>
            </w:r>
            <w:r>
              <w:rPr>
                <w:color w:val="000000" w:themeColor="text1"/>
                <w:spacing w:val="3"/>
                <w:sz w:val="18"/>
                <w:szCs w:val="18"/>
                <w14:textFill>
                  <w14:solidFill>
                    <w14:schemeClr w14:val="tx1"/>
                  </w14:solidFill>
                </w14:textFill>
              </w:rPr>
              <w:t>。</w:t>
            </w:r>
            <w:r>
              <w:rPr>
                <w:rFonts w:hint="eastAsia"/>
                <w:color w:val="000000" w:themeColor="text1"/>
                <w:spacing w:val="3"/>
                <w:sz w:val="18"/>
                <w:szCs w:val="18"/>
                <w14:textFill>
                  <w14:solidFill>
                    <w14:schemeClr w14:val="tx1"/>
                  </w14:solidFill>
                </w14:textFill>
              </w:rPr>
              <w:t>年加工精饲料共计5400t，青贮料切碎共计3830t，年加工全混合日粮10960t。</w:t>
            </w:r>
          </w:p>
        </w:tc>
        <w:tc>
          <w:tcPr>
            <w:tcW w:w="406" w:type="pct"/>
            <w:vMerge w:val="continue"/>
            <w:vAlign w:val="center"/>
          </w:tcPr>
          <w:p w14:paraId="3C0F96A2">
            <w:pPr>
              <w:jc w:val="center"/>
              <w:rPr>
                <w:rFonts w:ascii="宋体" w:hAnsi="宋体"/>
                <w:szCs w:val="21"/>
              </w:rPr>
            </w:pPr>
          </w:p>
        </w:tc>
        <w:tc>
          <w:tcPr>
            <w:tcW w:w="329" w:type="pct"/>
            <w:tcMar>
              <w:top w:w="0" w:type="dxa"/>
              <w:left w:w="28" w:type="dxa"/>
              <w:bottom w:w="0" w:type="dxa"/>
              <w:right w:w="28" w:type="dxa"/>
            </w:tcMar>
            <w:vAlign w:val="center"/>
          </w:tcPr>
          <w:p w14:paraId="3D128BA9">
            <w:pPr>
              <w:jc w:val="center"/>
              <w:rPr>
                <w:rFonts w:ascii="宋体" w:hAnsi="宋体"/>
                <w:szCs w:val="21"/>
              </w:rPr>
            </w:pPr>
          </w:p>
        </w:tc>
      </w:tr>
      <w:tr w14:paraId="45C34A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tcMar>
              <w:top w:w="0" w:type="dxa"/>
              <w:left w:w="28" w:type="dxa"/>
              <w:bottom w:w="0" w:type="dxa"/>
              <w:right w:w="28" w:type="dxa"/>
            </w:tcMar>
            <w:vAlign w:val="center"/>
          </w:tcPr>
          <w:p w14:paraId="0157CA9E">
            <w:pPr>
              <w:jc w:val="center"/>
              <w:rPr>
                <w:rFonts w:ascii="宋体" w:hAnsi="宋体"/>
                <w:szCs w:val="21"/>
              </w:rPr>
            </w:pPr>
          </w:p>
        </w:tc>
        <w:tc>
          <w:tcPr>
            <w:tcW w:w="269" w:type="pct"/>
            <w:vMerge w:val="continue"/>
            <w:tcMar>
              <w:top w:w="0" w:type="dxa"/>
              <w:left w:w="28" w:type="dxa"/>
              <w:bottom w:w="0" w:type="dxa"/>
              <w:right w:w="28" w:type="dxa"/>
            </w:tcMar>
            <w:vAlign w:val="center"/>
          </w:tcPr>
          <w:p w14:paraId="2004D203">
            <w:pPr>
              <w:jc w:val="center"/>
              <w:rPr>
                <w:rFonts w:ascii="宋体" w:hAnsi="宋体"/>
                <w:szCs w:val="21"/>
              </w:rPr>
            </w:pPr>
          </w:p>
        </w:tc>
        <w:tc>
          <w:tcPr>
            <w:tcW w:w="384" w:type="pct"/>
            <w:gridSpan w:val="2"/>
            <w:vAlign w:val="center"/>
          </w:tcPr>
          <w:p w14:paraId="73F982EC">
            <w:pPr>
              <w:jc w:val="center"/>
              <w:rPr>
                <w:rFonts w:ascii="宋体" w:hAnsi="宋体"/>
                <w:szCs w:val="21"/>
              </w:rPr>
            </w:pPr>
            <w:r>
              <w:rPr>
                <w:rFonts w:hint="eastAsia" w:ascii="宋体" w:hAnsi="宋体"/>
                <w:kern w:val="0"/>
                <w:szCs w:val="21"/>
              </w:rPr>
              <w:t>塘坝养殖场区</w:t>
            </w:r>
          </w:p>
        </w:tc>
        <w:tc>
          <w:tcPr>
            <w:tcW w:w="1342" w:type="pct"/>
            <w:vMerge w:val="continue"/>
            <w:tcMar>
              <w:top w:w="0" w:type="dxa"/>
              <w:left w:w="28" w:type="dxa"/>
              <w:bottom w:w="0" w:type="dxa"/>
              <w:right w:w="28" w:type="dxa"/>
            </w:tcMar>
            <w:vAlign w:val="center"/>
          </w:tcPr>
          <w:p w14:paraId="4620882A">
            <w:pPr>
              <w:ind w:firstLine="360" w:firstLineChars="200"/>
              <w:rPr>
                <w:rFonts w:ascii="宋体" w:hAnsi="宋体"/>
                <w:sz w:val="18"/>
                <w:szCs w:val="18"/>
              </w:rPr>
            </w:pPr>
          </w:p>
        </w:tc>
        <w:tc>
          <w:tcPr>
            <w:tcW w:w="1929" w:type="pct"/>
            <w:vAlign w:val="center"/>
          </w:tcPr>
          <w:p w14:paraId="69148F31">
            <w:pPr>
              <w:ind w:firstLine="360" w:firstLineChars="200"/>
              <w:jc w:val="both"/>
              <w:rPr>
                <w:rFonts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1间，</w:t>
            </w:r>
            <w:r>
              <w:rPr>
                <w:rFonts w:hint="eastAsia"/>
                <w:color w:val="000000" w:themeColor="text1"/>
                <w:spacing w:val="3"/>
                <w:sz w:val="18"/>
                <w:szCs w:val="18"/>
                <w14:textFill>
                  <w14:solidFill>
                    <w14:schemeClr w14:val="tx1"/>
                  </w14:solidFill>
                </w14:textFill>
              </w:rPr>
              <w:t>建筑面积1875m</w:t>
            </w:r>
            <w:r>
              <w:rPr>
                <w:rFonts w:hint="eastAsia"/>
                <w:color w:val="000000" w:themeColor="text1"/>
                <w:spacing w:val="3"/>
                <w:sz w:val="18"/>
                <w:szCs w:val="18"/>
                <w:vertAlign w:val="superscript"/>
                <w14:textFill>
                  <w14:solidFill>
                    <w14:schemeClr w14:val="tx1"/>
                  </w14:solidFill>
                </w14:textFill>
              </w:rPr>
              <w:t>2</w:t>
            </w:r>
            <w:r>
              <w:rPr>
                <w:color w:val="000000" w:themeColor="text1"/>
                <w:spacing w:val="3"/>
                <w:sz w:val="18"/>
                <w:szCs w:val="18"/>
                <w14:textFill>
                  <w14:solidFill>
                    <w14:schemeClr w14:val="tx1"/>
                  </w14:solidFill>
                </w14:textFill>
              </w:rPr>
              <w:t>。</w:t>
            </w:r>
            <w:r>
              <w:rPr>
                <w:rFonts w:hint="eastAsia"/>
                <w:color w:val="000000" w:themeColor="text1"/>
                <w:spacing w:val="3"/>
                <w:sz w:val="18"/>
                <w:szCs w:val="18"/>
                <w14:textFill>
                  <w14:solidFill>
                    <w14:schemeClr w14:val="tx1"/>
                  </w14:solidFill>
                </w14:textFill>
              </w:rPr>
              <w:t>年加工精饲料共计11844t</w:t>
            </w:r>
            <w:bookmarkStart w:id="305" w:name="OLE_LINK86"/>
            <w:r>
              <w:rPr>
                <w:rFonts w:hint="eastAsia"/>
                <w:color w:val="000000" w:themeColor="text1"/>
                <w:spacing w:val="3"/>
                <w:sz w:val="18"/>
                <w:szCs w:val="18"/>
                <w14:textFill>
                  <w14:solidFill>
                    <w14:schemeClr w14:val="tx1"/>
                  </w14:solidFill>
                </w14:textFill>
              </w:rPr>
              <w:t>，青贮料切碎共计8401t，年加工全混合日粮24039t。</w:t>
            </w:r>
            <w:bookmarkEnd w:id="305"/>
          </w:p>
        </w:tc>
        <w:tc>
          <w:tcPr>
            <w:tcW w:w="406" w:type="pct"/>
            <w:vMerge w:val="continue"/>
            <w:vAlign w:val="center"/>
          </w:tcPr>
          <w:p w14:paraId="54C64622">
            <w:pPr>
              <w:jc w:val="center"/>
              <w:rPr>
                <w:rFonts w:ascii="宋体" w:hAnsi="宋体"/>
                <w:szCs w:val="21"/>
              </w:rPr>
            </w:pPr>
          </w:p>
        </w:tc>
        <w:tc>
          <w:tcPr>
            <w:tcW w:w="329" w:type="pct"/>
            <w:tcMar>
              <w:top w:w="0" w:type="dxa"/>
              <w:left w:w="28" w:type="dxa"/>
              <w:bottom w:w="0" w:type="dxa"/>
              <w:right w:w="28" w:type="dxa"/>
            </w:tcMar>
            <w:vAlign w:val="center"/>
          </w:tcPr>
          <w:p w14:paraId="557D5F71">
            <w:pPr>
              <w:jc w:val="center"/>
              <w:rPr>
                <w:rFonts w:ascii="宋体" w:hAnsi="宋体"/>
                <w:szCs w:val="21"/>
              </w:rPr>
            </w:pPr>
          </w:p>
        </w:tc>
      </w:tr>
      <w:tr w14:paraId="6B0BB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tcMar>
              <w:top w:w="0" w:type="dxa"/>
              <w:left w:w="28" w:type="dxa"/>
              <w:bottom w:w="0" w:type="dxa"/>
              <w:right w:w="28" w:type="dxa"/>
            </w:tcMar>
            <w:vAlign w:val="center"/>
          </w:tcPr>
          <w:p w14:paraId="3784EDA9">
            <w:pPr>
              <w:jc w:val="center"/>
              <w:rPr>
                <w:rFonts w:ascii="宋体" w:hAnsi="宋体"/>
                <w:szCs w:val="21"/>
              </w:rPr>
            </w:pPr>
          </w:p>
        </w:tc>
        <w:tc>
          <w:tcPr>
            <w:tcW w:w="269" w:type="pct"/>
            <w:vMerge w:val="continue"/>
            <w:tcMar>
              <w:top w:w="0" w:type="dxa"/>
              <w:left w:w="28" w:type="dxa"/>
              <w:bottom w:w="0" w:type="dxa"/>
              <w:right w:w="28" w:type="dxa"/>
            </w:tcMar>
            <w:vAlign w:val="center"/>
          </w:tcPr>
          <w:p w14:paraId="019E4856">
            <w:pPr>
              <w:jc w:val="center"/>
              <w:rPr>
                <w:rFonts w:ascii="宋体" w:hAnsi="宋体"/>
                <w:szCs w:val="21"/>
              </w:rPr>
            </w:pPr>
          </w:p>
        </w:tc>
        <w:tc>
          <w:tcPr>
            <w:tcW w:w="384" w:type="pct"/>
            <w:gridSpan w:val="2"/>
            <w:vAlign w:val="center"/>
          </w:tcPr>
          <w:p w14:paraId="3049B9D9">
            <w:pPr>
              <w:jc w:val="center"/>
              <w:rPr>
                <w:rFonts w:ascii="宋体" w:hAnsi="宋体"/>
                <w:szCs w:val="21"/>
              </w:rPr>
            </w:pPr>
            <w:r>
              <w:rPr>
                <w:rFonts w:hint="eastAsia" w:ascii="宋体" w:hAnsi="宋体"/>
                <w:kern w:val="0"/>
                <w:szCs w:val="21"/>
              </w:rPr>
              <w:t>始宁养殖场区</w:t>
            </w:r>
          </w:p>
        </w:tc>
        <w:tc>
          <w:tcPr>
            <w:tcW w:w="1342" w:type="pct"/>
            <w:vMerge w:val="continue"/>
            <w:tcMar>
              <w:top w:w="0" w:type="dxa"/>
              <w:left w:w="28" w:type="dxa"/>
              <w:bottom w:w="0" w:type="dxa"/>
              <w:right w:w="28" w:type="dxa"/>
            </w:tcMar>
            <w:vAlign w:val="center"/>
          </w:tcPr>
          <w:p w14:paraId="176B92ED">
            <w:pPr>
              <w:ind w:firstLine="360" w:firstLineChars="200"/>
              <w:rPr>
                <w:rFonts w:ascii="宋体" w:hAnsi="宋体"/>
                <w:sz w:val="18"/>
                <w:szCs w:val="18"/>
              </w:rPr>
            </w:pPr>
          </w:p>
        </w:tc>
        <w:tc>
          <w:tcPr>
            <w:tcW w:w="1929" w:type="pct"/>
            <w:vAlign w:val="center"/>
          </w:tcPr>
          <w:p w14:paraId="14F04BF4">
            <w:pPr>
              <w:ind w:firstLine="360" w:firstLineChars="200"/>
              <w:jc w:val="both"/>
              <w:rPr>
                <w:rFonts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1间，</w:t>
            </w:r>
            <w:r>
              <w:rPr>
                <w:rFonts w:hint="eastAsia"/>
                <w:color w:val="000000" w:themeColor="text1"/>
                <w:spacing w:val="3"/>
                <w:sz w:val="18"/>
                <w:szCs w:val="18"/>
                <w14:textFill>
                  <w14:solidFill>
                    <w14:schemeClr w14:val="tx1"/>
                  </w14:solidFill>
                </w14:textFill>
              </w:rPr>
              <w:t>建筑面积1500m</w:t>
            </w:r>
            <w:r>
              <w:rPr>
                <w:rFonts w:hint="eastAsia"/>
                <w:color w:val="000000" w:themeColor="text1"/>
                <w:spacing w:val="3"/>
                <w:sz w:val="18"/>
                <w:szCs w:val="18"/>
                <w:vertAlign w:val="superscript"/>
                <w14:textFill>
                  <w14:solidFill>
                    <w14:schemeClr w14:val="tx1"/>
                  </w14:solidFill>
                </w14:textFill>
              </w:rPr>
              <w:t>2</w:t>
            </w:r>
            <w:r>
              <w:rPr>
                <w:color w:val="000000" w:themeColor="text1"/>
                <w:spacing w:val="3"/>
                <w:sz w:val="18"/>
                <w:szCs w:val="18"/>
                <w14:textFill>
                  <w14:solidFill>
                    <w14:schemeClr w14:val="tx1"/>
                  </w14:solidFill>
                </w14:textFill>
              </w:rPr>
              <w:t>。</w:t>
            </w:r>
            <w:r>
              <w:rPr>
                <w:rFonts w:hint="eastAsia"/>
                <w:color w:val="000000" w:themeColor="text1"/>
                <w:spacing w:val="3"/>
                <w:sz w:val="18"/>
                <w:szCs w:val="18"/>
                <w14:textFill>
                  <w14:solidFill>
                    <w14:schemeClr w14:val="tx1"/>
                  </w14:solidFill>
                </w14:textFill>
              </w:rPr>
              <w:t>年加工精饲料共计8388t，青贮料切碎共计5950t，年加工全混合日粮17025t。</w:t>
            </w:r>
          </w:p>
        </w:tc>
        <w:tc>
          <w:tcPr>
            <w:tcW w:w="406" w:type="pct"/>
            <w:vMerge w:val="continue"/>
            <w:vAlign w:val="center"/>
          </w:tcPr>
          <w:p w14:paraId="619E9429">
            <w:pPr>
              <w:jc w:val="center"/>
              <w:rPr>
                <w:rFonts w:ascii="宋体" w:hAnsi="宋体"/>
                <w:szCs w:val="21"/>
              </w:rPr>
            </w:pPr>
          </w:p>
        </w:tc>
        <w:tc>
          <w:tcPr>
            <w:tcW w:w="329" w:type="pct"/>
            <w:tcMar>
              <w:top w:w="0" w:type="dxa"/>
              <w:left w:w="28" w:type="dxa"/>
              <w:bottom w:w="0" w:type="dxa"/>
              <w:right w:w="28" w:type="dxa"/>
            </w:tcMar>
            <w:vAlign w:val="center"/>
          </w:tcPr>
          <w:p w14:paraId="1BA6DA27">
            <w:pPr>
              <w:jc w:val="center"/>
              <w:rPr>
                <w:rFonts w:ascii="宋体" w:hAnsi="宋体"/>
                <w:szCs w:val="21"/>
              </w:rPr>
            </w:pPr>
          </w:p>
        </w:tc>
      </w:tr>
      <w:tr w14:paraId="69FB75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4AA3340D">
            <w:pPr>
              <w:jc w:val="center"/>
              <w:rPr>
                <w:rFonts w:ascii="宋体" w:hAnsi="宋体"/>
                <w:szCs w:val="21"/>
              </w:rPr>
            </w:pPr>
          </w:p>
        </w:tc>
        <w:tc>
          <w:tcPr>
            <w:tcW w:w="653" w:type="pct"/>
            <w:gridSpan w:val="3"/>
            <w:tcMar>
              <w:top w:w="0" w:type="dxa"/>
              <w:left w:w="28" w:type="dxa"/>
              <w:bottom w:w="0" w:type="dxa"/>
              <w:right w:w="28" w:type="dxa"/>
            </w:tcMar>
            <w:vAlign w:val="center"/>
          </w:tcPr>
          <w:p w14:paraId="7210B847">
            <w:pPr>
              <w:jc w:val="center"/>
              <w:rPr>
                <w:rFonts w:ascii="宋体" w:hAnsi="宋体"/>
                <w:szCs w:val="21"/>
              </w:rPr>
            </w:pPr>
            <w:r>
              <w:rPr>
                <w:rFonts w:ascii="宋体" w:hAnsi="宋体"/>
                <w:szCs w:val="21"/>
              </w:rPr>
              <w:t>车辆消毒通道</w:t>
            </w:r>
          </w:p>
        </w:tc>
        <w:tc>
          <w:tcPr>
            <w:tcW w:w="1342" w:type="pct"/>
            <w:tcMar>
              <w:top w:w="0" w:type="dxa"/>
              <w:left w:w="28" w:type="dxa"/>
              <w:bottom w:w="0" w:type="dxa"/>
              <w:right w:w="28" w:type="dxa"/>
            </w:tcMar>
            <w:vAlign w:val="center"/>
          </w:tcPr>
          <w:p w14:paraId="067A68AB">
            <w:pPr>
              <w:ind w:firstLine="360" w:firstLineChars="200"/>
              <w:rPr>
                <w:rFonts w:ascii="宋体" w:hAnsi="宋体"/>
                <w:sz w:val="18"/>
                <w:szCs w:val="18"/>
              </w:rPr>
            </w:pPr>
            <w:r>
              <w:rPr>
                <w:rFonts w:ascii="宋体" w:hAnsi="宋体"/>
                <w:sz w:val="18"/>
                <w:szCs w:val="18"/>
              </w:rPr>
              <w:t>各养殖场均在出入口处设置车辆消毒通道，混凝土+钢架结构，用于进出车辆的消毒，底部设消毒池。</w:t>
            </w:r>
          </w:p>
        </w:tc>
        <w:tc>
          <w:tcPr>
            <w:tcW w:w="1929" w:type="pct"/>
            <w:vAlign w:val="center"/>
          </w:tcPr>
          <w:p w14:paraId="64729912">
            <w:pPr>
              <w:ind w:firstLine="360" w:firstLineChars="200"/>
              <w:jc w:val="both"/>
              <w:rPr>
                <w:rFonts w:ascii="宋体" w:hAnsi="宋体"/>
                <w:color w:val="000000" w:themeColor="text1"/>
                <w:sz w:val="18"/>
                <w:szCs w:val="18"/>
                <w14:textFill>
                  <w14:solidFill>
                    <w14:schemeClr w14:val="tx1"/>
                  </w14:solidFill>
                </w14:textFill>
              </w:rPr>
            </w:pPr>
            <w:bookmarkStart w:id="306" w:name="OLE_LINK87"/>
            <w:bookmarkStart w:id="307" w:name="OLE_LINK88"/>
            <w:r>
              <w:rPr>
                <w:rFonts w:hint="eastAsia"/>
                <w:color w:val="000000" w:themeColor="text1"/>
                <w:sz w:val="18"/>
                <w:szCs w:val="18"/>
                <w14:textFill>
                  <w14:solidFill>
                    <w14:schemeClr w14:val="tx1"/>
                  </w14:solidFill>
                </w14:textFill>
              </w:rPr>
              <w:t>各养殖场区均设置相同规模的</w:t>
            </w:r>
            <w:bookmarkEnd w:id="306"/>
            <w:r>
              <w:rPr>
                <w:rFonts w:hint="eastAsia"/>
                <w:color w:val="000000" w:themeColor="text1"/>
                <w:sz w:val="18"/>
                <w:szCs w:val="18"/>
                <w14:textFill>
                  <w14:solidFill>
                    <w14:schemeClr w14:val="tx1"/>
                  </w14:solidFill>
                </w14:textFill>
              </w:rPr>
              <w:t>消毒通道2个，占地</w:t>
            </w:r>
            <w:r>
              <w:rPr>
                <w:rFonts w:hint="eastAsia"/>
                <w:color w:val="000000" w:themeColor="text1"/>
                <w:spacing w:val="3"/>
                <w:sz w:val="18"/>
                <w:szCs w:val="18"/>
                <w14:textFill>
                  <w14:solidFill>
                    <w14:schemeClr w14:val="tx1"/>
                  </w14:solidFill>
                </w14:textFill>
              </w:rPr>
              <w:t>面积40m</w:t>
            </w:r>
            <w:r>
              <w:rPr>
                <w:rFonts w:hint="eastAsia"/>
                <w:color w:val="000000" w:themeColor="text1"/>
                <w:spacing w:val="3"/>
                <w:sz w:val="18"/>
                <w:szCs w:val="18"/>
                <w:vertAlign w:val="superscript"/>
                <w14:textFill>
                  <w14:solidFill>
                    <w14:schemeClr w14:val="tx1"/>
                  </w14:solidFill>
                </w14:textFill>
              </w:rPr>
              <w:t>2</w:t>
            </w:r>
            <w:r>
              <w:rPr>
                <w:color w:val="000000" w:themeColor="text1"/>
                <w:spacing w:val="3"/>
                <w:sz w:val="18"/>
                <w:szCs w:val="18"/>
                <w14:textFill>
                  <w14:solidFill>
                    <w14:schemeClr w14:val="tx1"/>
                  </w14:solidFill>
                </w14:textFill>
              </w:rPr>
              <w:t>。</w:t>
            </w:r>
            <w:bookmarkEnd w:id="307"/>
          </w:p>
        </w:tc>
        <w:tc>
          <w:tcPr>
            <w:tcW w:w="406" w:type="pct"/>
            <w:vMerge w:val="continue"/>
            <w:vAlign w:val="center"/>
          </w:tcPr>
          <w:p w14:paraId="210E18C0">
            <w:pPr>
              <w:jc w:val="center"/>
              <w:rPr>
                <w:rFonts w:ascii="宋体" w:hAnsi="宋体"/>
                <w:szCs w:val="21"/>
              </w:rPr>
            </w:pPr>
          </w:p>
        </w:tc>
        <w:tc>
          <w:tcPr>
            <w:tcW w:w="329" w:type="pct"/>
            <w:tcMar>
              <w:top w:w="0" w:type="dxa"/>
              <w:left w:w="28" w:type="dxa"/>
              <w:bottom w:w="0" w:type="dxa"/>
              <w:right w:w="28" w:type="dxa"/>
            </w:tcMar>
            <w:vAlign w:val="center"/>
          </w:tcPr>
          <w:p w14:paraId="34D8532B">
            <w:pPr>
              <w:jc w:val="center"/>
              <w:rPr>
                <w:rFonts w:ascii="宋体" w:hAnsi="宋体"/>
                <w:szCs w:val="21"/>
              </w:rPr>
            </w:pPr>
            <w:r>
              <w:rPr>
                <w:rFonts w:ascii="宋体" w:hAnsi="宋体"/>
                <w:szCs w:val="21"/>
              </w:rPr>
              <w:t>废水</w:t>
            </w:r>
          </w:p>
        </w:tc>
      </w:tr>
      <w:tr w14:paraId="23E66B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6ECA65E1">
            <w:pPr>
              <w:jc w:val="center"/>
              <w:rPr>
                <w:rFonts w:ascii="宋体" w:hAnsi="宋体"/>
                <w:szCs w:val="21"/>
              </w:rPr>
            </w:pPr>
          </w:p>
        </w:tc>
        <w:tc>
          <w:tcPr>
            <w:tcW w:w="653" w:type="pct"/>
            <w:gridSpan w:val="3"/>
            <w:tcMar>
              <w:top w:w="0" w:type="dxa"/>
              <w:left w:w="28" w:type="dxa"/>
              <w:bottom w:w="0" w:type="dxa"/>
              <w:right w:w="28" w:type="dxa"/>
            </w:tcMar>
            <w:vAlign w:val="center"/>
          </w:tcPr>
          <w:p w14:paraId="65B36D96">
            <w:pPr>
              <w:jc w:val="center"/>
              <w:rPr>
                <w:rFonts w:ascii="宋体" w:hAnsi="宋体"/>
                <w:szCs w:val="21"/>
              </w:rPr>
            </w:pPr>
            <w:r>
              <w:rPr>
                <w:rFonts w:ascii="宋体" w:hAnsi="宋体"/>
                <w:szCs w:val="21"/>
              </w:rPr>
              <w:t>门卫室+消毒间</w:t>
            </w:r>
          </w:p>
        </w:tc>
        <w:tc>
          <w:tcPr>
            <w:tcW w:w="1342" w:type="pct"/>
            <w:tcMar>
              <w:top w:w="0" w:type="dxa"/>
              <w:left w:w="28" w:type="dxa"/>
              <w:bottom w:w="0" w:type="dxa"/>
              <w:right w:w="28" w:type="dxa"/>
            </w:tcMar>
            <w:vAlign w:val="center"/>
          </w:tcPr>
          <w:p w14:paraId="2F7FEF48">
            <w:pPr>
              <w:ind w:firstLine="360" w:firstLineChars="200"/>
              <w:rPr>
                <w:rFonts w:ascii="宋体" w:hAnsi="宋体"/>
                <w:sz w:val="18"/>
                <w:szCs w:val="18"/>
              </w:rPr>
            </w:pPr>
            <w:r>
              <w:rPr>
                <w:rFonts w:ascii="宋体" w:hAnsi="宋体"/>
                <w:sz w:val="18"/>
                <w:szCs w:val="18"/>
              </w:rPr>
              <w:t>各养殖场在养殖区出入口处设生产区消毒间。混凝土+钢架结构，用于生产区工作人员更衣、消毒。</w:t>
            </w:r>
          </w:p>
        </w:tc>
        <w:tc>
          <w:tcPr>
            <w:tcW w:w="1929" w:type="pct"/>
            <w:vAlign w:val="center"/>
          </w:tcPr>
          <w:p w14:paraId="63AB3C08">
            <w:pPr>
              <w:ind w:firstLine="360" w:firstLineChars="200"/>
              <w:jc w:val="both"/>
              <w:rPr>
                <w:rFonts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各养殖场区均设置相同建筑规模的门卫+消毒一体式建筑2间，</w:t>
            </w:r>
            <w:r>
              <w:rPr>
                <w:rFonts w:hint="eastAsia"/>
                <w:color w:val="000000" w:themeColor="text1"/>
                <w:spacing w:val="3"/>
                <w:sz w:val="18"/>
                <w:szCs w:val="18"/>
                <w14:textFill>
                  <w14:solidFill>
                    <w14:schemeClr w14:val="tx1"/>
                  </w14:solidFill>
                </w14:textFill>
              </w:rPr>
              <w:t>建筑面积32m</w:t>
            </w:r>
            <w:r>
              <w:rPr>
                <w:rFonts w:hint="eastAsia"/>
                <w:color w:val="000000" w:themeColor="text1"/>
                <w:spacing w:val="3"/>
                <w:sz w:val="18"/>
                <w:szCs w:val="18"/>
                <w:vertAlign w:val="superscript"/>
                <w14:textFill>
                  <w14:solidFill>
                    <w14:schemeClr w14:val="tx1"/>
                  </w14:solidFill>
                </w14:textFill>
              </w:rPr>
              <w:t>2</w:t>
            </w:r>
            <w:r>
              <w:rPr>
                <w:color w:val="000000" w:themeColor="text1"/>
                <w:spacing w:val="3"/>
                <w:sz w:val="18"/>
                <w:szCs w:val="18"/>
                <w14:textFill>
                  <w14:solidFill>
                    <w14:schemeClr w14:val="tx1"/>
                  </w14:solidFill>
                </w14:textFill>
              </w:rPr>
              <w:t>。</w:t>
            </w:r>
            <w:r>
              <w:rPr>
                <w:rFonts w:hint="eastAsia"/>
                <w:color w:val="000000" w:themeColor="text1"/>
                <w:spacing w:val="3"/>
                <w:sz w:val="18"/>
                <w:szCs w:val="18"/>
                <w14:textFill>
                  <w14:solidFill>
                    <w14:schemeClr w14:val="tx1"/>
                  </w14:solidFill>
                </w14:textFill>
              </w:rPr>
              <w:t>长8m，宽4m。</w:t>
            </w:r>
          </w:p>
        </w:tc>
        <w:tc>
          <w:tcPr>
            <w:tcW w:w="406" w:type="pct"/>
            <w:vMerge w:val="continue"/>
            <w:vAlign w:val="center"/>
          </w:tcPr>
          <w:p w14:paraId="5A0B6430">
            <w:pPr>
              <w:jc w:val="center"/>
              <w:rPr>
                <w:rFonts w:ascii="宋体" w:hAnsi="宋体"/>
                <w:szCs w:val="21"/>
              </w:rPr>
            </w:pPr>
          </w:p>
        </w:tc>
        <w:tc>
          <w:tcPr>
            <w:tcW w:w="329" w:type="pct"/>
            <w:tcMar>
              <w:top w:w="0" w:type="dxa"/>
              <w:left w:w="28" w:type="dxa"/>
              <w:bottom w:w="0" w:type="dxa"/>
              <w:right w:w="28" w:type="dxa"/>
            </w:tcMar>
            <w:vAlign w:val="center"/>
          </w:tcPr>
          <w:p w14:paraId="020F66C6">
            <w:pPr>
              <w:jc w:val="center"/>
              <w:rPr>
                <w:rFonts w:ascii="宋体" w:hAnsi="宋体"/>
                <w:szCs w:val="21"/>
              </w:rPr>
            </w:pPr>
            <w:r>
              <w:rPr>
                <w:rFonts w:ascii="宋体" w:hAnsi="宋体"/>
                <w:szCs w:val="21"/>
              </w:rPr>
              <w:t>/</w:t>
            </w:r>
          </w:p>
        </w:tc>
      </w:tr>
      <w:tr w14:paraId="0B1BB9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59B823B0">
            <w:pPr>
              <w:jc w:val="center"/>
              <w:rPr>
                <w:rFonts w:ascii="宋体" w:hAnsi="宋体"/>
                <w:szCs w:val="21"/>
              </w:rPr>
            </w:pPr>
          </w:p>
        </w:tc>
        <w:tc>
          <w:tcPr>
            <w:tcW w:w="653" w:type="pct"/>
            <w:gridSpan w:val="3"/>
            <w:tcMar>
              <w:top w:w="0" w:type="dxa"/>
              <w:left w:w="28" w:type="dxa"/>
              <w:bottom w:w="0" w:type="dxa"/>
              <w:right w:w="28" w:type="dxa"/>
            </w:tcMar>
            <w:vAlign w:val="center"/>
          </w:tcPr>
          <w:p w14:paraId="083DFB45">
            <w:pPr>
              <w:jc w:val="center"/>
              <w:rPr>
                <w:rFonts w:ascii="宋体" w:hAnsi="宋体"/>
                <w:szCs w:val="21"/>
              </w:rPr>
            </w:pPr>
            <w:r>
              <w:rPr>
                <w:rFonts w:ascii="宋体" w:hAnsi="宋体"/>
                <w:szCs w:val="21"/>
              </w:rPr>
              <w:t>治疗室</w:t>
            </w:r>
          </w:p>
        </w:tc>
        <w:tc>
          <w:tcPr>
            <w:tcW w:w="1342" w:type="pct"/>
            <w:tcMar>
              <w:top w:w="0" w:type="dxa"/>
              <w:left w:w="28" w:type="dxa"/>
              <w:bottom w:w="0" w:type="dxa"/>
              <w:right w:w="28" w:type="dxa"/>
            </w:tcMar>
            <w:vAlign w:val="center"/>
          </w:tcPr>
          <w:p w14:paraId="4CDD41DC">
            <w:pPr>
              <w:ind w:firstLine="360" w:firstLineChars="200"/>
              <w:rPr>
                <w:rFonts w:ascii="宋体" w:hAnsi="宋体"/>
                <w:sz w:val="18"/>
                <w:szCs w:val="18"/>
              </w:rPr>
            </w:pPr>
            <w:r>
              <w:rPr>
                <w:rFonts w:ascii="宋体" w:hAnsi="宋体"/>
                <w:sz w:val="18"/>
                <w:szCs w:val="18"/>
              </w:rPr>
              <w:t>各处养殖场均设置治疗室，位于隔离舍旁的单独建筑，为肉牛养殖生产提供防疫、诊疗配套服务。不涉及牛犊接生与病死牛尸体解剖。</w:t>
            </w:r>
          </w:p>
        </w:tc>
        <w:tc>
          <w:tcPr>
            <w:tcW w:w="1929" w:type="pct"/>
            <w:vAlign w:val="center"/>
          </w:tcPr>
          <w:p w14:paraId="773CB85F">
            <w:pPr>
              <w:ind w:firstLine="372" w:firstLineChars="200"/>
              <w:jc w:val="both"/>
              <w:rPr>
                <w:rFonts w:ascii="宋体" w:hAnsi="宋体"/>
                <w:color w:val="000000" w:themeColor="text1"/>
                <w:sz w:val="18"/>
                <w:szCs w:val="18"/>
                <w14:textFill>
                  <w14:solidFill>
                    <w14:schemeClr w14:val="tx1"/>
                  </w14:solidFill>
                </w14:textFill>
              </w:rPr>
            </w:pPr>
            <w:r>
              <w:rPr>
                <w:rFonts w:hint="eastAsia"/>
                <w:color w:val="000000" w:themeColor="text1"/>
                <w:spacing w:val="3"/>
                <w:sz w:val="18"/>
                <w:szCs w:val="18"/>
                <w14:textFill>
                  <w14:solidFill>
                    <w14:schemeClr w14:val="tx1"/>
                  </w14:solidFill>
                </w14:textFill>
              </w:rPr>
              <w:t>各养殖场区均设置相同建筑规模的隔离室1间，建筑面积180m</w:t>
            </w:r>
            <w:r>
              <w:rPr>
                <w:rFonts w:hint="eastAsia"/>
                <w:color w:val="000000" w:themeColor="text1"/>
                <w:spacing w:val="3"/>
                <w:sz w:val="18"/>
                <w:szCs w:val="18"/>
                <w:vertAlign w:val="superscript"/>
                <w14:textFill>
                  <w14:solidFill>
                    <w14:schemeClr w14:val="tx1"/>
                  </w14:solidFill>
                </w14:textFill>
              </w:rPr>
              <w:t>2</w:t>
            </w:r>
            <w:r>
              <w:rPr>
                <w:rFonts w:hint="eastAsia"/>
                <w:color w:val="000000" w:themeColor="text1"/>
                <w:spacing w:val="3"/>
                <w:sz w:val="18"/>
                <w:szCs w:val="18"/>
                <w14:textFill>
                  <w14:solidFill>
                    <w14:schemeClr w14:val="tx1"/>
                  </w14:solidFill>
                </w14:textFill>
              </w:rPr>
              <w:t>，长30m，宽6m</w:t>
            </w:r>
            <w:r>
              <w:rPr>
                <w:color w:val="000000" w:themeColor="text1"/>
                <w:spacing w:val="3"/>
                <w:sz w:val="18"/>
                <w:szCs w:val="18"/>
                <w14:textFill>
                  <w14:solidFill>
                    <w14:schemeClr w14:val="tx1"/>
                  </w14:solidFill>
                </w14:textFill>
              </w:rPr>
              <w:t>。</w:t>
            </w:r>
          </w:p>
        </w:tc>
        <w:tc>
          <w:tcPr>
            <w:tcW w:w="406" w:type="pct"/>
            <w:vMerge w:val="continue"/>
            <w:vAlign w:val="center"/>
          </w:tcPr>
          <w:p w14:paraId="5F346CD0">
            <w:pPr>
              <w:jc w:val="center"/>
              <w:rPr>
                <w:rFonts w:ascii="宋体" w:hAnsi="宋体"/>
                <w:szCs w:val="21"/>
              </w:rPr>
            </w:pPr>
          </w:p>
        </w:tc>
        <w:tc>
          <w:tcPr>
            <w:tcW w:w="329" w:type="pct"/>
            <w:tcMar>
              <w:top w:w="0" w:type="dxa"/>
              <w:left w:w="28" w:type="dxa"/>
              <w:bottom w:w="0" w:type="dxa"/>
              <w:right w:w="28" w:type="dxa"/>
            </w:tcMar>
            <w:vAlign w:val="center"/>
          </w:tcPr>
          <w:p w14:paraId="793F43DF">
            <w:pPr>
              <w:jc w:val="center"/>
              <w:rPr>
                <w:rFonts w:ascii="宋体" w:hAnsi="宋体"/>
                <w:szCs w:val="21"/>
              </w:rPr>
            </w:pPr>
            <w:r>
              <w:rPr>
                <w:rFonts w:ascii="宋体" w:hAnsi="宋体"/>
                <w:szCs w:val="21"/>
              </w:rPr>
              <w:t>医疗废物</w:t>
            </w:r>
          </w:p>
        </w:tc>
      </w:tr>
      <w:tr w14:paraId="793AE1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41B49836">
            <w:pPr>
              <w:jc w:val="center"/>
              <w:rPr>
                <w:rFonts w:ascii="宋体" w:hAnsi="宋体"/>
                <w:szCs w:val="21"/>
              </w:rPr>
            </w:pPr>
          </w:p>
        </w:tc>
        <w:tc>
          <w:tcPr>
            <w:tcW w:w="653" w:type="pct"/>
            <w:gridSpan w:val="3"/>
            <w:tcMar>
              <w:top w:w="0" w:type="dxa"/>
              <w:left w:w="28" w:type="dxa"/>
              <w:bottom w:w="0" w:type="dxa"/>
              <w:right w:w="28" w:type="dxa"/>
            </w:tcMar>
            <w:vAlign w:val="center"/>
          </w:tcPr>
          <w:p w14:paraId="4840312C">
            <w:pPr>
              <w:jc w:val="center"/>
              <w:rPr>
                <w:rFonts w:ascii="宋体" w:hAnsi="宋体"/>
                <w:szCs w:val="21"/>
              </w:rPr>
            </w:pPr>
            <w:r>
              <w:rPr>
                <w:rFonts w:ascii="宋体" w:hAnsi="宋体"/>
                <w:szCs w:val="21"/>
              </w:rPr>
              <w:t>配电房</w:t>
            </w:r>
          </w:p>
        </w:tc>
        <w:tc>
          <w:tcPr>
            <w:tcW w:w="1342" w:type="pct"/>
            <w:tcMar>
              <w:top w:w="0" w:type="dxa"/>
              <w:left w:w="28" w:type="dxa"/>
              <w:bottom w:w="0" w:type="dxa"/>
              <w:right w:w="28" w:type="dxa"/>
            </w:tcMar>
            <w:vAlign w:val="center"/>
          </w:tcPr>
          <w:p w14:paraId="61AB51DA">
            <w:pPr>
              <w:ind w:firstLine="360" w:firstLineChars="200"/>
              <w:rPr>
                <w:rFonts w:ascii="宋体" w:hAnsi="宋体"/>
                <w:sz w:val="18"/>
                <w:szCs w:val="18"/>
              </w:rPr>
            </w:pPr>
            <w:r>
              <w:rPr>
                <w:rFonts w:ascii="宋体" w:hAnsi="宋体"/>
                <w:sz w:val="18"/>
                <w:szCs w:val="18"/>
              </w:rPr>
              <w:t>各养殖场均设置配电房，砖混结构。</w:t>
            </w:r>
          </w:p>
        </w:tc>
        <w:tc>
          <w:tcPr>
            <w:tcW w:w="1929" w:type="pct"/>
            <w:vAlign w:val="center"/>
          </w:tcPr>
          <w:p w14:paraId="3A3A19A3">
            <w:pPr>
              <w:ind w:firstLine="360" w:firstLineChars="200"/>
              <w:jc w:val="both"/>
              <w:rPr>
                <w:rFonts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各养殖场区均设置相同建筑规模的配电房1间，</w:t>
            </w:r>
            <w:r>
              <w:rPr>
                <w:rFonts w:hint="eastAsia"/>
                <w:color w:val="000000" w:themeColor="text1"/>
                <w:spacing w:val="3"/>
                <w:sz w:val="18"/>
                <w:szCs w:val="18"/>
                <w14:textFill>
                  <w14:solidFill>
                    <w14:schemeClr w14:val="tx1"/>
                  </w14:solidFill>
                </w14:textFill>
              </w:rPr>
              <w:t>建筑面积10m</w:t>
            </w:r>
            <w:r>
              <w:rPr>
                <w:rFonts w:hint="eastAsia"/>
                <w:color w:val="000000" w:themeColor="text1"/>
                <w:spacing w:val="3"/>
                <w:sz w:val="18"/>
                <w:szCs w:val="18"/>
                <w:vertAlign w:val="superscript"/>
                <w14:textFill>
                  <w14:solidFill>
                    <w14:schemeClr w14:val="tx1"/>
                  </w14:solidFill>
                </w14:textFill>
              </w:rPr>
              <w:t>2</w:t>
            </w:r>
            <w:r>
              <w:rPr>
                <w:rFonts w:hint="eastAsia"/>
                <w:color w:val="000000" w:themeColor="text1"/>
                <w:spacing w:val="3"/>
                <w:sz w:val="18"/>
                <w:szCs w:val="18"/>
                <w14:textFill>
                  <w14:solidFill>
                    <w14:schemeClr w14:val="tx1"/>
                  </w14:solidFill>
                </w14:textFill>
              </w:rPr>
              <w:t>。</w:t>
            </w:r>
          </w:p>
        </w:tc>
        <w:tc>
          <w:tcPr>
            <w:tcW w:w="406" w:type="pct"/>
            <w:vMerge w:val="continue"/>
            <w:vAlign w:val="center"/>
          </w:tcPr>
          <w:p w14:paraId="0470157B">
            <w:pPr>
              <w:jc w:val="center"/>
              <w:rPr>
                <w:rFonts w:ascii="宋体" w:hAnsi="宋体"/>
                <w:szCs w:val="21"/>
              </w:rPr>
            </w:pPr>
          </w:p>
        </w:tc>
        <w:tc>
          <w:tcPr>
            <w:tcW w:w="329" w:type="pct"/>
            <w:tcMar>
              <w:top w:w="0" w:type="dxa"/>
              <w:left w:w="28" w:type="dxa"/>
              <w:bottom w:w="0" w:type="dxa"/>
              <w:right w:w="28" w:type="dxa"/>
            </w:tcMar>
            <w:vAlign w:val="center"/>
          </w:tcPr>
          <w:p w14:paraId="5AF4B7C5">
            <w:pPr>
              <w:jc w:val="center"/>
              <w:rPr>
                <w:rFonts w:ascii="宋体" w:hAnsi="宋体"/>
                <w:szCs w:val="21"/>
              </w:rPr>
            </w:pPr>
            <w:r>
              <w:rPr>
                <w:rFonts w:ascii="宋体" w:hAnsi="宋体"/>
                <w:szCs w:val="21"/>
              </w:rPr>
              <w:t>/</w:t>
            </w:r>
          </w:p>
        </w:tc>
      </w:tr>
      <w:tr w14:paraId="731001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62DF2DAF">
            <w:pPr>
              <w:jc w:val="center"/>
              <w:rPr>
                <w:rFonts w:ascii="宋体" w:hAnsi="宋体"/>
                <w:szCs w:val="21"/>
              </w:rPr>
            </w:pPr>
          </w:p>
        </w:tc>
        <w:tc>
          <w:tcPr>
            <w:tcW w:w="653" w:type="pct"/>
            <w:gridSpan w:val="3"/>
            <w:tcMar>
              <w:top w:w="0" w:type="dxa"/>
              <w:left w:w="28" w:type="dxa"/>
              <w:bottom w:w="0" w:type="dxa"/>
              <w:right w:w="28" w:type="dxa"/>
            </w:tcMar>
            <w:vAlign w:val="center"/>
          </w:tcPr>
          <w:p w14:paraId="26E874A8">
            <w:pPr>
              <w:jc w:val="center"/>
              <w:rPr>
                <w:rFonts w:ascii="宋体" w:hAnsi="宋体"/>
                <w:szCs w:val="21"/>
              </w:rPr>
            </w:pPr>
            <w:r>
              <w:rPr>
                <w:rFonts w:ascii="宋体" w:hAnsi="宋体"/>
                <w:szCs w:val="21"/>
              </w:rPr>
              <w:t>备用发电机房</w:t>
            </w:r>
          </w:p>
        </w:tc>
        <w:tc>
          <w:tcPr>
            <w:tcW w:w="1342" w:type="pct"/>
            <w:tcMar>
              <w:top w:w="0" w:type="dxa"/>
              <w:left w:w="28" w:type="dxa"/>
              <w:bottom w:w="0" w:type="dxa"/>
              <w:right w:w="28" w:type="dxa"/>
            </w:tcMar>
            <w:vAlign w:val="center"/>
          </w:tcPr>
          <w:p w14:paraId="3ED021F4">
            <w:pPr>
              <w:ind w:firstLine="360" w:firstLineChars="200"/>
              <w:rPr>
                <w:rFonts w:ascii="宋体" w:hAnsi="宋体"/>
                <w:sz w:val="18"/>
                <w:szCs w:val="18"/>
              </w:rPr>
            </w:pPr>
            <w:r>
              <w:rPr>
                <w:rFonts w:ascii="宋体" w:hAnsi="宋体"/>
                <w:sz w:val="18"/>
                <w:szCs w:val="18"/>
              </w:rPr>
              <w:t>各养殖场均设置备用柴油发电机房，砖混结构。内设柴油发电机，用作照明等设施备用发电。</w:t>
            </w:r>
          </w:p>
        </w:tc>
        <w:tc>
          <w:tcPr>
            <w:tcW w:w="1929" w:type="pct"/>
            <w:vAlign w:val="center"/>
          </w:tcPr>
          <w:p w14:paraId="441C4C69">
            <w:pPr>
              <w:ind w:firstLine="360" w:firstLineChars="200"/>
              <w:jc w:val="both"/>
              <w:rPr>
                <w:rFonts w:ascii="宋体" w:hAnsi="宋体"/>
                <w:color w:val="000000" w:themeColor="text1"/>
                <w:sz w:val="18"/>
                <w:szCs w:val="18"/>
                <w14:textFill>
                  <w14:solidFill>
                    <w14:schemeClr w14:val="tx1"/>
                  </w14:solidFill>
                </w14:textFill>
              </w:rPr>
            </w:pPr>
            <w:bookmarkStart w:id="308" w:name="OLE_LINK89"/>
            <w:r>
              <w:rPr>
                <w:rFonts w:hint="eastAsia"/>
                <w:color w:val="000000" w:themeColor="text1"/>
                <w:sz w:val="18"/>
                <w:szCs w:val="18"/>
                <w14:textFill>
                  <w14:solidFill>
                    <w14:schemeClr w14:val="tx1"/>
                  </w14:solidFill>
                </w14:textFill>
              </w:rPr>
              <w:t>各养殖场区均设置相同建筑规模的</w:t>
            </w:r>
            <w:bookmarkEnd w:id="308"/>
            <w:r>
              <w:rPr>
                <w:rFonts w:hint="eastAsia"/>
                <w:color w:val="000000" w:themeColor="text1"/>
                <w:sz w:val="18"/>
                <w:szCs w:val="18"/>
                <w14:textFill>
                  <w14:solidFill>
                    <w14:schemeClr w14:val="tx1"/>
                  </w14:solidFill>
                </w14:textFill>
              </w:rPr>
              <w:t>备用发电机房1间，</w:t>
            </w:r>
            <w:r>
              <w:rPr>
                <w:rFonts w:hint="eastAsia"/>
                <w:color w:val="000000" w:themeColor="text1"/>
                <w:spacing w:val="3"/>
                <w:sz w:val="18"/>
                <w:szCs w:val="18"/>
                <w14:textFill>
                  <w14:solidFill>
                    <w14:schemeClr w14:val="tx1"/>
                  </w14:solidFill>
                </w14:textFill>
              </w:rPr>
              <w:t>建筑面积10m</w:t>
            </w:r>
            <w:r>
              <w:rPr>
                <w:rFonts w:hint="eastAsia"/>
                <w:color w:val="000000" w:themeColor="text1"/>
                <w:spacing w:val="3"/>
                <w:sz w:val="18"/>
                <w:szCs w:val="18"/>
                <w:vertAlign w:val="superscript"/>
                <w14:textFill>
                  <w14:solidFill>
                    <w14:schemeClr w14:val="tx1"/>
                  </w14:solidFill>
                </w14:textFill>
              </w:rPr>
              <w:t>2</w:t>
            </w:r>
            <w:r>
              <w:rPr>
                <w:rFonts w:hint="eastAsia"/>
                <w:color w:val="000000" w:themeColor="text1"/>
                <w:spacing w:val="3"/>
                <w:sz w:val="18"/>
                <w:szCs w:val="18"/>
                <w14:textFill>
                  <w14:solidFill>
                    <w14:schemeClr w14:val="tx1"/>
                  </w14:solidFill>
                </w14:textFill>
              </w:rPr>
              <w:t>。</w:t>
            </w:r>
          </w:p>
        </w:tc>
        <w:tc>
          <w:tcPr>
            <w:tcW w:w="406" w:type="pct"/>
            <w:vMerge w:val="continue"/>
            <w:vAlign w:val="center"/>
          </w:tcPr>
          <w:p w14:paraId="51B36E13">
            <w:pPr>
              <w:jc w:val="center"/>
              <w:rPr>
                <w:rFonts w:ascii="宋体" w:hAnsi="宋体"/>
                <w:szCs w:val="21"/>
              </w:rPr>
            </w:pPr>
          </w:p>
        </w:tc>
        <w:tc>
          <w:tcPr>
            <w:tcW w:w="329" w:type="pct"/>
            <w:tcMar>
              <w:top w:w="0" w:type="dxa"/>
              <w:left w:w="28" w:type="dxa"/>
              <w:bottom w:w="0" w:type="dxa"/>
              <w:right w:w="28" w:type="dxa"/>
            </w:tcMar>
            <w:vAlign w:val="center"/>
          </w:tcPr>
          <w:p w14:paraId="6B929FF9">
            <w:pPr>
              <w:jc w:val="center"/>
              <w:rPr>
                <w:rFonts w:ascii="宋体" w:hAnsi="宋体"/>
                <w:szCs w:val="21"/>
              </w:rPr>
            </w:pPr>
            <w:r>
              <w:rPr>
                <w:rFonts w:ascii="宋体" w:hAnsi="宋体"/>
                <w:szCs w:val="21"/>
              </w:rPr>
              <w:t>柴油发电机废气</w:t>
            </w:r>
          </w:p>
        </w:tc>
      </w:tr>
      <w:tr w14:paraId="3CE7B9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4822EAEC">
            <w:pPr>
              <w:jc w:val="center"/>
              <w:rPr>
                <w:rFonts w:ascii="宋体" w:hAnsi="宋体"/>
                <w:szCs w:val="21"/>
              </w:rPr>
            </w:pPr>
          </w:p>
        </w:tc>
        <w:tc>
          <w:tcPr>
            <w:tcW w:w="653" w:type="pct"/>
            <w:gridSpan w:val="3"/>
            <w:tcMar>
              <w:top w:w="0" w:type="dxa"/>
              <w:left w:w="28" w:type="dxa"/>
              <w:bottom w:w="0" w:type="dxa"/>
              <w:right w:w="28" w:type="dxa"/>
            </w:tcMar>
            <w:vAlign w:val="center"/>
          </w:tcPr>
          <w:p w14:paraId="7E9B2F88">
            <w:pPr>
              <w:jc w:val="center"/>
              <w:rPr>
                <w:rFonts w:ascii="宋体" w:hAnsi="宋体"/>
                <w:szCs w:val="21"/>
              </w:rPr>
            </w:pPr>
            <w:r>
              <w:rPr>
                <w:rFonts w:ascii="宋体" w:hAnsi="宋体"/>
                <w:szCs w:val="21"/>
              </w:rPr>
              <w:t>地磅</w:t>
            </w:r>
          </w:p>
        </w:tc>
        <w:tc>
          <w:tcPr>
            <w:tcW w:w="1342" w:type="pct"/>
            <w:tcMar>
              <w:top w:w="0" w:type="dxa"/>
              <w:left w:w="28" w:type="dxa"/>
              <w:bottom w:w="0" w:type="dxa"/>
              <w:right w:w="28" w:type="dxa"/>
            </w:tcMar>
            <w:vAlign w:val="center"/>
          </w:tcPr>
          <w:p w14:paraId="227B5F68">
            <w:pPr>
              <w:ind w:firstLine="360" w:firstLineChars="200"/>
              <w:rPr>
                <w:rFonts w:ascii="宋体" w:hAnsi="宋体"/>
                <w:sz w:val="18"/>
                <w:szCs w:val="18"/>
              </w:rPr>
            </w:pPr>
            <w:r>
              <w:rPr>
                <w:rFonts w:ascii="宋体" w:hAnsi="宋体"/>
                <w:sz w:val="18"/>
                <w:szCs w:val="18"/>
              </w:rPr>
              <w:t>各处养殖场均设有地磅，用于肉牛、饲草料、垫料等称重</w:t>
            </w:r>
            <w:r>
              <w:rPr>
                <w:rFonts w:hint="eastAsia" w:ascii="宋体" w:hAnsi="宋体"/>
                <w:sz w:val="18"/>
                <w:szCs w:val="18"/>
              </w:rPr>
              <w:t>，位于场区出入口</w:t>
            </w:r>
            <w:r>
              <w:rPr>
                <w:rFonts w:ascii="宋体" w:hAnsi="宋体"/>
                <w:sz w:val="18"/>
                <w:szCs w:val="18"/>
              </w:rPr>
              <w:t>。</w:t>
            </w:r>
          </w:p>
        </w:tc>
        <w:tc>
          <w:tcPr>
            <w:tcW w:w="1929" w:type="pct"/>
            <w:vAlign w:val="center"/>
          </w:tcPr>
          <w:p w14:paraId="474B0818">
            <w:pPr>
              <w:ind w:firstLine="360" w:firstLineChars="200"/>
              <w:jc w:val="both"/>
              <w:rPr>
                <w:rFonts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各养殖场区均设置相同规模的地磅2个，占地</w:t>
            </w:r>
            <w:r>
              <w:rPr>
                <w:rFonts w:hint="eastAsia"/>
                <w:color w:val="000000" w:themeColor="text1"/>
                <w:spacing w:val="3"/>
                <w:sz w:val="18"/>
                <w:szCs w:val="18"/>
                <w14:textFill>
                  <w14:solidFill>
                    <w14:schemeClr w14:val="tx1"/>
                  </w14:solidFill>
                </w14:textFill>
              </w:rPr>
              <w:t>面积20m</w:t>
            </w:r>
            <w:r>
              <w:rPr>
                <w:rFonts w:hint="eastAsia"/>
                <w:color w:val="000000" w:themeColor="text1"/>
                <w:spacing w:val="3"/>
                <w:sz w:val="18"/>
                <w:szCs w:val="18"/>
                <w:vertAlign w:val="superscript"/>
                <w14:textFill>
                  <w14:solidFill>
                    <w14:schemeClr w14:val="tx1"/>
                  </w14:solidFill>
                </w14:textFill>
              </w:rPr>
              <w:t>2</w:t>
            </w:r>
            <w:r>
              <w:rPr>
                <w:color w:val="000000" w:themeColor="text1"/>
                <w:spacing w:val="3"/>
                <w:sz w:val="18"/>
                <w:szCs w:val="18"/>
                <w14:textFill>
                  <w14:solidFill>
                    <w14:schemeClr w14:val="tx1"/>
                  </w14:solidFill>
                </w14:textFill>
              </w:rPr>
              <w:t>。</w:t>
            </w:r>
          </w:p>
        </w:tc>
        <w:tc>
          <w:tcPr>
            <w:tcW w:w="406" w:type="pct"/>
            <w:vMerge w:val="continue"/>
            <w:vAlign w:val="center"/>
          </w:tcPr>
          <w:p w14:paraId="7207DAF1">
            <w:pPr>
              <w:jc w:val="center"/>
              <w:rPr>
                <w:rFonts w:ascii="宋体" w:hAnsi="宋体"/>
                <w:szCs w:val="21"/>
              </w:rPr>
            </w:pPr>
          </w:p>
        </w:tc>
        <w:tc>
          <w:tcPr>
            <w:tcW w:w="329" w:type="pct"/>
            <w:tcMar>
              <w:top w:w="0" w:type="dxa"/>
              <w:left w:w="28" w:type="dxa"/>
              <w:bottom w:w="0" w:type="dxa"/>
              <w:right w:w="28" w:type="dxa"/>
            </w:tcMar>
            <w:vAlign w:val="center"/>
          </w:tcPr>
          <w:p w14:paraId="3267384D">
            <w:pPr>
              <w:jc w:val="center"/>
              <w:rPr>
                <w:rFonts w:ascii="宋体" w:hAnsi="宋体"/>
                <w:szCs w:val="21"/>
              </w:rPr>
            </w:pPr>
            <w:r>
              <w:rPr>
                <w:rFonts w:ascii="宋体" w:hAnsi="宋体"/>
                <w:szCs w:val="21"/>
              </w:rPr>
              <w:t>/</w:t>
            </w:r>
          </w:p>
        </w:tc>
      </w:tr>
      <w:tr w14:paraId="57855A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20C0F060">
            <w:pPr>
              <w:jc w:val="center"/>
              <w:rPr>
                <w:rFonts w:ascii="宋体" w:hAnsi="宋体"/>
                <w:szCs w:val="21"/>
              </w:rPr>
            </w:pPr>
          </w:p>
        </w:tc>
        <w:tc>
          <w:tcPr>
            <w:tcW w:w="653" w:type="pct"/>
            <w:gridSpan w:val="3"/>
            <w:tcMar>
              <w:top w:w="0" w:type="dxa"/>
              <w:left w:w="28" w:type="dxa"/>
              <w:bottom w:w="0" w:type="dxa"/>
              <w:right w:w="28" w:type="dxa"/>
            </w:tcMar>
            <w:vAlign w:val="center"/>
          </w:tcPr>
          <w:p w14:paraId="24D256B0">
            <w:pPr>
              <w:jc w:val="center"/>
              <w:rPr>
                <w:rFonts w:ascii="宋体" w:hAnsi="宋体"/>
                <w:szCs w:val="21"/>
              </w:rPr>
            </w:pPr>
            <w:r>
              <w:rPr>
                <w:rFonts w:ascii="宋体" w:hAnsi="宋体"/>
                <w:szCs w:val="21"/>
              </w:rPr>
              <w:t>办公生活区</w:t>
            </w:r>
          </w:p>
        </w:tc>
        <w:tc>
          <w:tcPr>
            <w:tcW w:w="1342" w:type="pct"/>
            <w:tcMar>
              <w:top w:w="0" w:type="dxa"/>
              <w:left w:w="28" w:type="dxa"/>
              <w:bottom w:w="0" w:type="dxa"/>
              <w:right w:w="28" w:type="dxa"/>
            </w:tcMar>
            <w:vAlign w:val="center"/>
          </w:tcPr>
          <w:p w14:paraId="3454602D">
            <w:pPr>
              <w:ind w:firstLine="360" w:firstLineChars="200"/>
              <w:rPr>
                <w:rFonts w:ascii="宋体" w:hAnsi="宋体"/>
                <w:sz w:val="18"/>
                <w:szCs w:val="18"/>
              </w:rPr>
            </w:pPr>
            <w:r>
              <w:rPr>
                <w:rFonts w:ascii="宋体" w:hAnsi="宋体"/>
                <w:sz w:val="18"/>
                <w:szCs w:val="18"/>
              </w:rPr>
              <w:t>各处养殖场均设有办公生活区，设置办公室、食堂、职工宿舍。</w:t>
            </w:r>
          </w:p>
        </w:tc>
        <w:tc>
          <w:tcPr>
            <w:tcW w:w="1929" w:type="pct"/>
            <w:vAlign w:val="center"/>
          </w:tcPr>
          <w:p w14:paraId="39825E7B">
            <w:pPr>
              <w:ind w:firstLine="360" w:firstLineChars="200"/>
              <w:jc w:val="both"/>
              <w:rPr>
                <w:rFonts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各养殖场区均设置相同建筑规模的办公生活区</w:t>
            </w:r>
            <w:r>
              <w:rPr>
                <w:rFonts w:ascii="宋体" w:hAnsi="宋体"/>
                <w:color w:val="000000" w:themeColor="text1"/>
                <w:sz w:val="18"/>
                <w:szCs w:val="18"/>
                <w14:textFill>
                  <w14:solidFill>
                    <w14:schemeClr w14:val="tx1"/>
                  </w14:solidFill>
                </w14:textFill>
              </w:rPr>
              <w:t>2层，占地面积均为288m</w:t>
            </w:r>
            <w:r>
              <w:rPr>
                <w:rFonts w:ascii="宋体" w:hAnsi="宋体"/>
                <w:color w:val="000000" w:themeColor="text1"/>
                <w:sz w:val="18"/>
                <w:szCs w:val="18"/>
                <w:vertAlign w:val="superscript"/>
                <w14:textFill>
                  <w14:solidFill>
                    <w14:schemeClr w14:val="tx1"/>
                  </w14:solidFill>
                </w14:textFill>
              </w:rPr>
              <w:t>2</w:t>
            </w:r>
            <w:r>
              <w:rPr>
                <w:rFonts w:ascii="宋体" w:hAnsi="宋体"/>
                <w:color w:val="000000" w:themeColor="text1"/>
                <w:sz w:val="18"/>
                <w:szCs w:val="18"/>
                <w14:textFill>
                  <w14:solidFill>
                    <w14:schemeClr w14:val="tx1"/>
                  </w14:solidFill>
                </w14:textFill>
              </w:rPr>
              <w:t>，建筑面积均为576m</w:t>
            </w:r>
            <w:r>
              <w:rPr>
                <w:rFonts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p>
        </w:tc>
        <w:tc>
          <w:tcPr>
            <w:tcW w:w="406" w:type="pct"/>
            <w:vMerge w:val="continue"/>
            <w:vAlign w:val="center"/>
          </w:tcPr>
          <w:p w14:paraId="23FA67B4">
            <w:pPr>
              <w:jc w:val="center"/>
              <w:rPr>
                <w:rFonts w:ascii="宋体" w:hAnsi="宋体"/>
                <w:szCs w:val="21"/>
              </w:rPr>
            </w:pPr>
          </w:p>
        </w:tc>
        <w:tc>
          <w:tcPr>
            <w:tcW w:w="329" w:type="pct"/>
            <w:tcMar>
              <w:top w:w="0" w:type="dxa"/>
              <w:left w:w="28" w:type="dxa"/>
              <w:bottom w:w="0" w:type="dxa"/>
              <w:right w:w="28" w:type="dxa"/>
            </w:tcMar>
            <w:vAlign w:val="center"/>
          </w:tcPr>
          <w:p w14:paraId="5869378F">
            <w:pPr>
              <w:jc w:val="center"/>
              <w:rPr>
                <w:rFonts w:ascii="宋体" w:hAnsi="宋体"/>
                <w:szCs w:val="21"/>
              </w:rPr>
            </w:pPr>
            <w:r>
              <w:rPr>
                <w:rFonts w:ascii="宋体" w:hAnsi="宋体"/>
                <w:szCs w:val="21"/>
              </w:rPr>
              <w:t>生活垃圾、生活污水、油烟</w:t>
            </w:r>
          </w:p>
        </w:tc>
      </w:tr>
      <w:tr w14:paraId="0CD35F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31F227EE">
            <w:pPr>
              <w:jc w:val="center"/>
              <w:rPr>
                <w:rFonts w:ascii="宋体" w:hAnsi="宋体"/>
                <w:szCs w:val="21"/>
              </w:rPr>
            </w:pPr>
          </w:p>
        </w:tc>
        <w:tc>
          <w:tcPr>
            <w:tcW w:w="653" w:type="pct"/>
            <w:gridSpan w:val="3"/>
            <w:tcMar>
              <w:top w:w="0" w:type="dxa"/>
              <w:left w:w="28" w:type="dxa"/>
              <w:bottom w:w="0" w:type="dxa"/>
              <w:right w:w="28" w:type="dxa"/>
            </w:tcMar>
            <w:vAlign w:val="center"/>
          </w:tcPr>
          <w:p w14:paraId="31F2A8B5">
            <w:pPr>
              <w:jc w:val="center"/>
              <w:rPr>
                <w:rFonts w:ascii="宋体" w:hAnsi="宋体"/>
                <w:szCs w:val="21"/>
              </w:rPr>
            </w:pPr>
            <w:r>
              <w:rPr>
                <w:rFonts w:ascii="宋体" w:hAnsi="宋体"/>
                <w:szCs w:val="21"/>
              </w:rPr>
              <w:t>围墙</w:t>
            </w:r>
          </w:p>
        </w:tc>
        <w:tc>
          <w:tcPr>
            <w:tcW w:w="3271" w:type="pct"/>
            <w:gridSpan w:val="2"/>
            <w:tcMar>
              <w:top w:w="0" w:type="dxa"/>
              <w:left w:w="28" w:type="dxa"/>
              <w:bottom w:w="0" w:type="dxa"/>
              <w:right w:w="28" w:type="dxa"/>
            </w:tcMar>
            <w:vAlign w:val="center"/>
          </w:tcPr>
          <w:p w14:paraId="23741668">
            <w:pPr>
              <w:ind w:firstLine="360" w:firstLineChars="200"/>
              <w:jc w:val="both"/>
              <w:rPr>
                <w:rFonts w:ascii="宋体" w:hAnsi="宋体"/>
                <w:sz w:val="18"/>
                <w:szCs w:val="18"/>
              </w:rPr>
            </w:pPr>
            <w:r>
              <w:rPr>
                <w:rFonts w:ascii="宋体" w:hAnsi="宋体"/>
                <w:sz w:val="18"/>
                <w:szCs w:val="18"/>
              </w:rPr>
              <w:t>各养殖场均设设置高2.5m，砖混结构的围墙。</w:t>
            </w:r>
          </w:p>
        </w:tc>
        <w:tc>
          <w:tcPr>
            <w:tcW w:w="406" w:type="pct"/>
            <w:vMerge w:val="continue"/>
            <w:vAlign w:val="center"/>
          </w:tcPr>
          <w:p w14:paraId="1C0AA2F4">
            <w:pPr>
              <w:jc w:val="center"/>
              <w:rPr>
                <w:rFonts w:ascii="宋体" w:hAnsi="宋体"/>
                <w:szCs w:val="21"/>
              </w:rPr>
            </w:pPr>
          </w:p>
        </w:tc>
        <w:tc>
          <w:tcPr>
            <w:tcW w:w="329" w:type="pct"/>
            <w:tcMar>
              <w:top w:w="0" w:type="dxa"/>
              <w:left w:w="28" w:type="dxa"/>
              <w:bottom w:w="0" w:type="dxa"/>
              <w:right w:w="28" w:type="dxa"/>
            </w:tcMar>
            <w:vAlign w:val="center"/>
          </w:tcPr>
          <w:p w14:paraId="5F1A3E42">
            <w:pPr>
              <w:jc w:val="center"/>
              <w:rPr>
                <w:rFonts w:ascii="宋体" w:hAnsi="宋体"/>
                <w:szCs w:val="21"/>
              </w:rPr>
            </w:pPr>
            <w:r>
              <w:rPr>
                <w:rFonts w:ascii="宋体" w:hAnsi="宋体"/>
                <w:szCs w:val="21"/>
              </w:rPr>
              <w:t>/</w:t>
            </w:r>
          </w:p>
        </w:tc>
      </w:tr>
      <w:tr w14:paraId="34FC2B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restart"/>
            <w:tcMar>
              <w:top w:w="0" w:type="dxa"/>
              <w:left w:w="28" w:type="dxa"/>
              <w:bottom w:w="0" w:type="dxa"/>
              <w:right w:w="28" w:type="dxa"/>
            </w:tcMar>
            <w:vAlign w:val="center"/>
          </w:tcPr>
          <w:p w14:paraId="23F3CB86">
            <w:pPr>
              <w:jc w:val="center"/>
              <w:rPr>
                <w:rFonts w:ascii="宋体" w:hAnsi="宋体"/>
                <w:szCs w:val="21"/>
              </w:rPr>
            </w:pPr>
            <w:r>
              <w:rPr>
                <w:rFonts w:ascii="宋体" w:hAnsi="宋体"/>
                <w:szCs w:val="21"/>
              </w:rPr>
              <w:t>公用</w:t>
            </w:r>
          </w:p>
          <w:p w14:paraId="5AD3A92C">
            <w:pPr>
              <w:jc w:val="center"/>
              <w:rPr>
                <w:rFonts w:ascii="宋体" w:hAnsi="宋体"/>
                <w:szCs w:val="21"/>
              </w:rPr>
            </w:pPr>
            <w:r>
              <w:rPr>
                <w:rFonts w:ascii="宋体" w:hAnsi="宋体"/>
                <w:szCs w:val="21"/>
              </w:rPr>
              <w:t>工程</w:t>
            </w:r>
          </w:p>
        </w:tc>
        <w:tc>
          <w:tcPr>
            <w:tcW w:w="653" w:type="pct"/>
            <w:gridSpan w:val="3"/>
            <w:tcMar>
              <w:top w:w="0" w:type="dxa"/>
              <w:left w:w="28" w:type="dxa"/>
              <w:bottom w:w="0" w:type="dxa"/>
              <w:right w:w="28" w:type="dxa"/>
            </w:tcMar>
            <w:vAlign w:val="center"/>
          </w:tcPr>
          <w:p w14:paraId="050DE07E">
            <w:pPr>
              <w:jc w:val="center"/>
              <w:rPr>
                <w:rFonts w:ascii="宋体" w:hAnsi="宋体"/>
                <w:szCs w:val="21"/>
              </w:rPr>
            </w:pPr>
            <w:r>
              <w:rPr>
                <w:rFonts w:ascii="宋体" w:hAnsi="宋体"/>
                <w:szCs w:val="21"/>
              </w:rPr>
              <w:t>给水</w:t>
            </w:r>
          </w:p>
        </w:tc>
        <w:tc>
          <w:tcPr>
            <w:tcW w:w="3271" w:type="pct"/>
            <w:gridSpan w:val="2"/>
            <w:tcMar>
              <w:top w:w="0" w:type="dxa"/>
              <w:left w:w="28" w:type="dxa"/>
              <w:bottom w:w="0" w:type="dxa"/>
              <w:right w:w="28" w:type="dxa"/>
            </w:tcMar>
            <w:vAlign w:val="center"/>
          </w:tcPr>
          <w:p w14:paraId="1BDB7D8C">
            <w:pPr>
              <w:ind w:firstLine="360" w:firstLineChars="200"/>
              <w:jc w:val="both"/>
              <w:rPr>
                <w:rFonts w:ascii="宋体" w:hAnsi="宋体"/>
                <w:sz w:val="18"/>
                <w:szCs w:val="18"/>
              </w:rPr>
            </w:pPr>
            <w:r>
              <w:rPr>
                <w:rFonts w:ascii="宋体" w:hAnsi="宋体"/>
                <w:sz w:val="18"/>
                <w:szCs w:val="18"/>
              </w:rPr>
              <w:t>就近接入当地市政自来水管网；</w:t>
            </w:r>
          </w:p>
        </w:tc>
        <w:tc>
          <w:tcPr>
            <w:tcW w:w="406" w:type="pct"/>
            <w:vMerge w:val="continue"/>
            <w:vAlign w:val="center"/>
          </w:tcPr>
          <w:p w14:paraId="7D345B6F">
            <w:pPr>
              <w:jc w:val="center"/>
              <w:rPr>
                <w:rFonts w:ascii="宋体" w:hAnsi="宋体"/>
                <w:szCs w:val="21"/>
              </w:rPr>
            </w:pPr>
          </w:p>
        </w:tc>
        <w:tc>
          <w:tcPr>
            <w:tcW w:w="329" w:type="pct"/>
            <w:tcMar>
              <w:top w:w="0" w:type="dxa"/>
              <w:left w:w="28" w:type="dxa"/>
              <w:bottom w:w="0" w:type="dxa"/>
              <w:right w:w="28" w:type="dxa"/>
            </w:tcMar>
            <w:vAlign w:val="center"/>
          </w:tcPr>
          <w:p w14:paraId="5CA4AFE1">
            <w:pPr>
              <w:jc w:val="center"/>
              <w:rPr>
                <w:rFonts w:ascii="宋体" w:hAnsi="宋体"/>
                <w:szCs w:val="21"/>
              </w:rPr>
            </w:pPr>
            <w:r>
              <w:rPr>
                <w:rFonts w:ascii="宋体" w:hAnsi="宋体"/>
                <w:szCs w:val="21"/>
              </w:rPr>
              <w:t>/</w:t>
            </w:r>
          </w:p>
        </w:tc>
      </w:tr>
      <w:tr w14:paraId="5223D8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490B4851">
            <w:pPr>
              <w:jc w:val="center"/>
              <w:rPr>
                <w:rFonts w:ascii="宋体" w:hAnsi="宋体"/>
                <w:szCs w:val="21"/>
              </w:rPr>
            </w:pPr>
          </w:p>
        </w:tc>
        <w:tc>
          <w:tcPr>
            <w:tcW w:w="653" w:type="pct"/>
            <w:gridSpan w:val="3"/>
            <w:tcMar>
              <w:top w:w="0" w:type="dxa"/>
              <w:left w:w="28" w:type="dxa"/>
              <w:bottom w:w="0" w:type="dxa"/>
              <w:right w:w="28" w:type="dxa"/>
            </w:tcMar>
            <w:vAlign w:val="center"/>
          </w:tcPr>
          <w:p w14:paraId="50E21BAC">
            <w:pPr>
              <w:jc w:val="center"/>
              <w:rPr>
                <w:rFonts w:ascii="宋体" w:hAnsi="宋体"/>
                <w:szCs w:val="21"/>
              </w:rPr>
            </w:pPr>
            <w:r>
              <w:rPr>
                <w:rFonts w:ascii="宋体" w:hAnsi="宋体"/>
                <w:szCs w:val="21"/>
              </w:rPr>
              <w:t>排水</w:t>
            </w:r>
          </w:p>
        </w:tc>
        <w:tc>
          <w:tcPr>
            <w:tcW w:w="3271" w:type="pct"/>
            <w:gridSpan w:val="2"/>
            <w:tcMar>
              <w:top w:w="0" w:type="dxa"/>
              <w:left w:w="28" w:type="dxa"/>
              <w:bottom w:w="0" w:type="dxa"/>
              <w:right w:w="28" w:type="dxa"/>
            </w:tcMar>
            <w:vAlign w:val="center"/>
          </w:tcPr>
          <w:p w14:paraId="20AD7787">
            <w:pPr>
              <w:ind w:firstLine="360" w:firstLineChars="200"/>
              <w:rPr>
                <w:rFonts w:ascii="宋体" w:hAnsi="宋体"/>
                <w:sz w:val="18"/>
                <w:szCs w:val="18"/>
              </w:rPr>
            </w:pPr>
            <w:r>
              <w:rPr>
                <w:rFonts w:ascii="宋体" w:hAnsi="宋体"/>
                <w:sz w:val="18"/>
                <w:szCs w:val="18"/>
              </w:rPr>
              <w:t>项目实施雨污分流。</w:t>
            </w:r>
          </w:p>
          <w:p w14:paraId="39CF40E6">
            <w:pPr>
              <w:ind w:firstLine="360" w:firstLineChars="200"/>
              <w:rPr>
                <w:rFonts w:ascii="宋体" w:hAnsi="宋体"/>
                <w:sz w:val="18"/>
                <w:szCs w:val="18"/>
              </w:rPr>
            </w:pPr>
            <w:r>
              <w:rPr>
                <w:rFonts w:ascii="宋体" w:hAnsi="宋体"/>
                <w:sz w:val="18"/>
                <w:szCs w:val="18"/>
              </w:rPr>
              <w:t>项目场区内各建筑四周及道路两侧均设置雨水排水沟，牛舍及辅助设施的干净雨水经过雨水卷管、雨水落管及雨水排放管排出项目区，厂区地面雨水依靠地势排至场区雨水收集池，对场区雨水径流进行收集沉淀处理后用于厂区绿化。</w:t>
            </w:r>
          </w:p>
          <w:p w14:paraId="2623B4C2">
            <w:pPr>
              <w:ind w:firstLine="360" w:firstLineChars="200"/>
              <w:jc w:val="both"/>
              <w:rPr>
                <w:rFonts w:ascii="宋体" w:hAnsi="宋体"/>
                <w:sz w:val="18"/>
                <w:szCs w:val="18"/>
              </w:rPr>
            </w:pPr>
            <w:r>
              <w:rPr>
                <w:rFonts w:ascii="宋体" w:hAnsi="宋体"/>
                <w:sz w:val="18"/>
                <w:szCs w:val="18"/>
              </w:rPr>
              <w:t>项目办公生活区设置卫生间，生活污水经管道收集至化粪池，预处理后用于厂区绿化。</w:t>
            </w:r>
          </w:p>
        </w:tc>
        <w:tc>
          <w:tcPr>
            <w:tcW w:w="406" w:type="pct"/>
            <w:vMerge w:val="continue"/>
            <w:vAlign w:val="center"/>
          </w:tcPr>
          <w:p w14:paraId="000767FC">
            <w:pPr>
              <w:jc w:val="center"/>
              <w:rPr>
                <w:rFonts w:ascii="宋体" w:hAnsi="宋体"/>
                <w:szCs w:val="21"/>
              </w:rPr>
            </w:pPr>
          </w:p>
        </w:tc>
        <w:tc>
          <w:tcPr>
            <w:tcW w:w="329" w:type="pct"/>
            <w:tcMar>
              <w:top w:w="0" w:type="dxa"/>
              <w:left w:w="28" w:type="dxa"/>
              <w:bottom w:w="0" w:type="dxa"/>
              <w:right w:w="28" w:type="dxa"/>
            </w:tcMar>
            <w:vAlign w:val="center"/>
          </w:tcPr>
          <w:p w14:paraId="372CF0EF">
            <w:pPr>
              <w:jc w:val="center"/>
              <w:rPr>
                <w:rFonts w:ascii="宋体" w:hAnsi="宋体"/>
                <w:szCs w:val="21"/>
              </w:rPr>
            </w:pPr>
            <w:r>
              <w:rPr>
                <w:rFonts w:ascii="宋体" w:hAnsi="宋体"/>
                <w:szCs w:val="21"/>
              </w:rPr>
              <w:t>/</w:t>
            </w:r>
          </w:p>
        </w:tc>
      </w:tr>
      <w:tr w14:paraId="05418E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4426CF77">
            <w:pPr>
              <w:jc w:val="center"/>
              <w:rPr>
                <w:rFonts w:ascii="宋体" w:hAnsi="宋体"/>
                <w:szCs w:val="21"/>
              </w:rPr>
            </w:pPr>
          </w:p>
        </w:tc>
        <w:tc>
          <w:tcPr>
            <w:tcW w:w="653" w:type="pct"/>
            <w:gridSpan w:val="3"/>
            <w:tcMar>
              <w:top w:w="0" w:type="dxa"/>
              <w:left w:w="28" w:type="dxa"/>
              <w:bottom w:w="0" w:type="dxa"/>
              <w:right w:w="28" w:type="dxa"/>
            </w:tcMar>
            <w:vAlign w:val="center"/>
          </w:tcPr>
          <w:p w14:paraId="1FF1D688">
            <w:pPr>
              <w:jc w:val="center"/>
              <w:rPr>
                <w:rFonts w:ascii="宋体" w:hAnsi="宋体"/>
                <w:szCs w:val="21"/>
              </w:rPr>
            </w:pPr>
            <w:r>
              <w:rPr>
                <w:rFonts w:ascii="宋体" w:hAnsi="宋体"/>
                <w:szCs w:val="21"/>
              </w:rPr>
              <w:t>供电</w:t>
            </w:r>
          </w:p>
        </w:tc>
        <w:tc>
          <w:tcPr>
            <w:tcW w:w="3271" w:type="pct"/>
            <w:gridSpan w:val="2"/>
            <w:tcMar>
              <w:top w:w="0" w:type="dxa"/>
              <w:left w:w="28" w:type="dxa"/>
              <w:bottom w:w="0" w:type="dxa"/>
              <w:right w:w="28" w:type="dxa"/>
            </w:tcMar>
            <w:vAlign w:val="center"/>
          </w:tcPr>
          <w:p w14:paraId="4900AADC">
            <w:pPr>
              <w:ind w:firstLine="360" w:firstLineChars="200"/>
              <w:jc w:val="both"/>
              <w:rPr>
                <w:rFonts w:ascii="宋体" w:hAnsi="宋体"/>
                <w:sz w:val="18"/>
                <w:szCs w:val="18"/>
              </w:rPr>
            </w:pPr>
            <w:r>
              <w:rPr>
                <w:rFonts w:ascii="宋体" w:hAnsi="宋体"/>
                <w:sz w:val="18"/>
                <w:szCs w:val="18"/>
              </w:rPr>
              <w:t>养殖场设置配电房，供电电源来自项目区附近的国家供电网络。</w:t>
            </w:r>
          </w:p>
        </w:tc>
        <w:tc>
          <w:tcPr>
            <w:tcW w:w="406" w:type="pct"/>
            <w:vMerge w:val="continue"/>
            <w:vAlign w:val="center"/>
          </w:tcPr>
          <w:p w14:paraId="2DB8A3D9">
            <w:pPr>
              <w:jc w:val="center"/>
              <w:rPr>
                <w:rFonts w:ascii="宋体" w:hAnsi="宋体"/>
                <w:szCs w:val="21"/>
              </w:rPr>
            </w:pPr>
          </w:p>
        </w:tc>
        <w:tc>
          <w:tcPr>
            <w:tcW w:w="329" w:type="pct"/>
            <w:tcMar>
              <w:top w:w="0" w:type="dxa"/>
              <w:left w:w="28" w:type="dxa"/>
              <w:bottom w:w="0" w:type="dxa"/>
              <w:right w:w="28" w:type="dxa"/>
            </w:tcMar>
            <w:vAlign w:val="center"/>
          </w:tcPr>
          <w:p w14:paraId="1F7276BA">
            <w:pPr>
              <w:jc w:val="center"/>
              <w:rPr>
                <w:rFonts w:ascii="宋体" w:hAnsi="宋体"/>
                <w:szCs w:val="21"/>
              </w:rPr>
            </w:pPr>
            <w:r>
              <w:rPr>
                <w:rFonts w:ascii="宋体" w:hAnsi="宋体"/>
                <w:szCs w:val="21"/>
              </w:rPr>
              <w:t>/</w:t>
            </w:r>
          </w:p>
        </w:tc>
      </w:tr>
      <w:tr w14:paraId="143C8F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3F073814">
            <w:pPr>
              <w:jc w:val="center"/>
              <w:rPr>
                <w:rFonts w:ascii="宋体" w:hAnsi="宋体"/>
                <w:szCs w:val="21"/>
              </w:rPr>
            </w:pPr>
          </w:p>
        </w:tc>
        <w:tc>
          <w:tcPr>
            <w:tcW w:w="653" w:type="pct"/>
            <w:gridSpan w:val="3"/>
            <w:tcMar>
              <w:top w:w="0" w:type="dxa"/>
              <w:left w:w="28" w:type="dxa"/>
              <w:bottom w:w="0" w:type="dxa"/>
              <w:right w:w="28" w:type="dxa"/>
            </w:tcMar>
            <w:vAlign w:val="center"/>
          </w:tcPr>
          <w:p w14:paraId="12FF2438">
            <w:pPr>
              <w:jc w:val="center"/>
              <w:rPr>
                <w:rFonts w:ascii="宋体" w:hAnsi="宋体"/>
                <w:szCs w:val="21"/>
              </w:rPr>
            </w:pPr>
            <w:r>
              <w:rPr>
                <w:rFonts w:ascii="宋体" w:hAnsi="宋体"/>
                <w:szCs w:val="21"/>
              </w:rPr>
              <w:t>供热</w:t>
            </w:r>
          </w:p>
        </w:tc>
        <w:tc>
          <w:tcPr>
            <w:tcW w:w="3271" w:type="pct"/>
            <w:gridSpan w:val="2"/>
            <w:tcMar>
              <w:top w:w="0" w:type="dxa"/>
              <w:left w:w="28" w:type="dxa"/>
              <w:bottom w:w="0" w:type="dxa"/>
              <w:right w:w="28" w:type="dxa"/>
            </w:tcMar>
            <w:vAlign w:val="center"/>
          </w:tcPr>
          <w:p w14:paraId="6EE799F9">
            <w:pPr>
              <w:ind w:firstLine="360" w:firstLineChars="200"/>
              <w:jc w:val="both"/>
              <w:rPr>
                <w:rFonts w:ascii="宋体" w:hAnsi="宋体"/>
                <w:sz w:val="18"/>
                <w:szCs w:val="18"/>
              </w:rPr>
            </w:pPr>
            <w:r>
              <w:rPr>
                <w:rFonts w:ascii="宋体" w:hAnsi="宋体"/>
                <w:sz w:val="18"/>
                <w:szCs w:val="18"/>
              </w:rPr>
              <w:t>项目员工生活供热使用电能。</w:t>
            </w:r>
          </w:p>
        </w:tc>
        <w:tc>
          <w:tcPr>
            <w:tcW w:w="406" w:type="pct"/>
            <w:vMerge w:val="continue"/>
            <w:vAlign w:val="center"/>
          </w:tcPr>
          <w:p w14:paraId="3A48E4E1">
            <w:pPr>
              <w:jc w:val="center"/>
              <w:rPr>
                <w:rFonts w:ascii="宋体" w:hAnsi="宋体"/>
                <w:szCs w:val="21"/>
              </w:rPr>
            </w:pPr>
          </w:p>
        </w:tc>
        <w:tc>
          <w:tcPr>
            <w:tcW w:w="329" w:type="pct"/>
            <w:tcMar>
              <w:top w:w="0" w:type="dxa"/>
              <w:left w:w="28" w:type="dxa"/>
              <w:bottom w:w="0" w:type="dxa"/>
              <w:right w:w="28" w:type="dxa"/>
            </w:tcMar>
            <w:vAlign w:val="center"/>
          </w:tcPr>
          <w:p w14:paraId="19816641">
            <w:pPr>
              <w:jc w:val="center"/>
              <w:rPr>
                <w:rFonts w:ascii="宋体" w:hAnsi="宋体"/>
                <w:szCs w:val="21"/>
              </w:rPr>
            </w:pPr>
            <w:r>
              <w:rPr>
                <w:rFonts w:ascii="宋体" w:hAnsi="宋体"/>
                <w:szCs w:val="21"/>
              </w:rPr>
              <w:t>/</w:t>
            </w:r>
          </w:p>
        </w:tc>
      </w:tr>
      <w:tr w14:paraId="447972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restart"/>
            <w:tcMar>
              <w:top w:w="0" w:type="dxa"/>
              <w:left w:w="28" w:type="dxa"/>
              <w:bottom w:w="0" w:type="dxa"/>
              <w:right w:w="28" w:type="dxa"/>
            </w:tcMar>
            <w:vAlign w:val="center"/>
          </w:tcPr>
          <w:p w14:paraId="72514B17">
            <w:pPr>
              <w:jc w:val="center"/>
              <w:rPr>
                <w:rFonts w:ascii="宋体" w:hAnsi="宋体"/>
                <w:szCs w:val="21"/>
              </w:rPr>
            </w:pPr>
            <w:r>
              <w:rPr>
                <w:rFonts w:ascii="宋体" w:hAnsi="宋体"/>
                <w:szCs w:val="21"/>
              </w:rPr>
              <w:t>储运</w:t>
            </w:r>
          </w:p>
          <w:p w14:paraId="33BAA951">
            <w:pPr>
              <w:jc w:val="center"/>
              <w:rPr>
                <w:rFonts w:ascii="宋体" w:hAnsi="宋体"/>
                <w:szCs w:val="21"/>
              </w:rPr>
            </w:pPr>
            <w:r>
              <w:rPr>
                <w:rFonts w:ascii="宋体" w:hAnsi="宋体"/>
                <w:szCs w:val="21"/>
              </w:rPr>
              <w:t>工程</w:t>
            </w:r>
          </w:p>
        </w:tc>
        <w:tc>
          <w:tcPr>
            <w:tcW w:w="653" w:type="pct"/>
            <w:gridSpan w:val="3"/>
            <w:tcMar>
              <w:top w:w="0" w:type="dxa"/>
              <w:left w:w="28" w:type="dxa"/>
              <w:bottom w:w="0" w:type="dxa"/>
              <w:right w:w="28" w:type="dxa"/>
            </w:tcMar>
            <w:vAlign w:val="center"/>
          </w:tcPr>
          <w:p w14:paraId="1AFE5AED">
            <w:pPr>
              <w:jc w:val="center"/>
              <w:rPr>
                <w:rFonts w:ascii="宋体" w:hAnsi="宋体"/>
                <w:szCs w:val="21"/>
              </w:rPr>
            </w:pPr>
            <w:r>
              <w:rPr>
                <w:rFonts w:ascii="宋体" w:hAnsi="宋体"/>
                <w:szCs w:val="21"/>
              </w:rPr>
              <w:t>场区道路</w:t>
            </w:r>
          </w:p>
        </w:tc>
        <w:tc>
          <w:tcPr>
            <w:tcW w:w="3271" w:type="pct"/>
            <w:gridSpan w:val="2"/>
            <w:tcMar>
              <w:top w:w="0" w:type="dxa"/>
              <w:left w:w="28" w:type="dxa"/>
              <w:bottom w:w="0" w:type="dxa"/>
              <w:right w:w="28" w:type="dxa"/>
            </w:tcMar>
            <w:vAlign w:val="center"/>
          </w:tcPr>
          <w:p w14:paraId="27DD7B64">
            <w:pPr>
              <w:ind w:firstLine="360" w:firstLineChars="200"/>
              <w:jc w:val="both"/>
              <w:rPr>
                <w:rFonts w:ascii="宋体" w:hAnsi="宋体"/>
                <w:sz w:val="18"/>
                <w:szCs w:val="18"/>
              </w:rPr>
            </w:pPr>
            <w:r>
              <w:rPr>
                <w:rFonts w:ascii="宋体" w:hAnsi="宋体"/>
                <w:sz w:val="18"/>
                <w:szCs w:val="18"/>
              </w:rPr>
              <w:t>各处养殖场均设置场内连通办公生活区、养殖区、仓库各处的场内道路。</w:t>
            </w:r>
          </w:p>
        </w:tc>
        <w:tc>
          <w:tcPr>
            <w:tcW w:w="406" w:type="pct"/>
            <w:vMerge w:val="continue"/>
            <w:vAlign w:val="center"/>
          </w:tcPr>
          <w:p w14:paraId="43E35EFB">
            <w:pPr>
              <w:jc w:val="center"/>
              <w:rPr>
                <w:rFonts w:ascii="宋体" w:hAnsi="宋体"/>
                <w:szCs w:val="21"/>
              </w:rPr>
            </w:pPr>
          </w:p>
        </w:tc>
        <w:tc>
          <w:tcPr>
            <w:tcW w:w="329" w:type="pct"/>
            <w:tcMar>
              <w:top w:w="0" w:type="dxa"/>
              <w:left w:w="28" w:type="dxa"/>
              <w:bottom w:w="0" w:type="dxa"/>
              <w:right w:w="28" w:type="dxa"/>
            </w:tcMar>
            <w:vAlign w:val="center"/>
          </w:tcPr>
          <w:p w14:paraId="04BF9310">
            <w:pPr>
              <w:jc w:val="center"/>
              <w:rPr>
                <w:rFonts w:ascii="宋体" w:hAnsi="宋体"/>
                <w:szCs w:val="21"/>
              </w:rPr>
            </w:pPr>
            <w:r>
              <w:rPr>
                <w:rFonts w:ascii="宋体" w:hAnsi="宋体"/>
                <w:szCs w:val="21"/>
              </w:rPr>
              <w:t>车辆噪声</w:t>
            </w:r>
          </w:p>
        </w:tc>
      </w:tr>
      <w:tr w14:paraId="17690E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02194121">
            <w:pPr>
              <w:jc w:val="center"/>
              <w:rPr>
                <w:rFonts w:ascii="宋体" w:hAnsi="宋体"/>
                <w:szCs w:val="21"/>
              </w:rPr>
            </w:pPr>
          </w:p>
        </w:tc>
        <w:tc>
          <w:tcPr>
            <w:tcW w:w="653" w:type="pct"/>
            <w:gridSpan w:val="3"/>
            <w:tcMar>
              <w:top w:w="0" w:type="dxa"/>
              <w:left w:w="28" w:type="dxa"/>
              <w:bottom w:w="0" w:type="dxa"/>
              <w:right w:w="28" w:type="dxa"/>
            </w:tcMar>
            <w:vAlign w:val="center"/>
          </w:tcPr>
          <w:p w14:paraId="1DE451C0">
            <w:pPr>
              <w:jc w:val="center"/>
              <w:rPr>
                <w:rFonts w:ascii="宋体" w:hAnsi="宋体"/>
                <w:szCs w:val="21"/>
              </w:rPr>
            </w:pPr>
            <w:r>
              <w:rPr>
                <w:rFonts w:ascii="宋体" w:hAnsi="宋体"/>
                <w:szCs w:val="21"/>
              </w:rPr>
              <w:t>饲料仓库</w:t>
            </w:r>
          </w:p>
        </w:tc>
        <w:tc>
          <w:tcPr>
            <w:tcW w:w="1342" w:type="pct"/>
            <w:tcMar>
              <w:top w:w="0" w:type="dxa"/>
              <w:left w:w="28" w:type="dxa"/>
              <w:bottom w:w="0" w:type="dxa"/>
              <w:right w:w="28" w:type="dxa"/>
            </w:tcMar>
            <w:vAlign w:val="center"/>
          </w:tcPr>
          <w:p w14:paraId="5B210685">
            <w:pPr>
              <w:ind w:firstLine="360" w:firstLineChars="200"/>
              <w:rPr>
                <w:rFonts w:ascii="宋体" w:hAnsi="宋体"/>
                <w:sz w:val="18"/>
                <w:szCs w:val="18"/>
              </w:rPr>
            </w:pPr>
            <w:r>
              <w:rPr>
                <w:rFonts w:ascii="宋体" w:hAnsi="宋体"/>
                <w:sz w:val="18"/>
                <w:szCs w:val="18"/>
              </w:rPr>
              <w:t>存放饲料加工原材料及干草，用于后续全混合日粮（TMR）的制备。</w:t>
            </w:r>
          </w:p>
        </w:tc>
        <w:tc>
          <w:tcPr>
            <w:tcW w:w="1929" w:type="pct"/>
            <w:vAlign w:val="center"/>
          </w:tcPr>
          <w:p w14:paraId="2686EF66">
            <w:pPr>
              <w:ind w:firstLine="360" w:firstLineChars="200"/>
              <w:jc w:val="both"/>
              <w:rPr>
                <w:rFonts w:ascii="宋体" w:hAnsi="宋体"/>
                <w:sz w:val="18"/>
                <w:szCs w:val="18"/>
              </w:rPr>
            </w:pPr>
            <w:bookmarkStart w:id="309" w:name="OLE_LINK93"/>
            <w:r>
              <w:rPr>
                <w:rFonts w:hint="eastAsia" w:ascii="宋体" w:hAnsi="宋体"/>
                <w:sz w:val="18"/>
                <w:szCs w:val="18"/>
              </w:rPr>
              <w:t>均设置单层建筑，其中</w:t>
            </w:r>
            <w:bookmarkStart w:id="310" w:name="OLE_LINK92"/>
            <w:r>
              <w:rPr>
                <w:rFonts w:hint="eastAsia" w:ascii="宋体" w:hAnsi="宋体"/>
                <w:sz w:val="18"/>
                <w:szCs w:val="18"/>
              </w:rPr>
              <w:t>百花养殖区建筑面积480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bookmarkEnd w:id="310"/>
            <w:r>
              <w:rPr>
                <w:rFonts w:hint="eastAsia" w:ascii="宋体" w:hAnsi="宋体"/>
                <w:sz w:val="18"/>
                <w:szCs w:val="18"/>
              </w:rPr>
              <w:t>佛龙养殖区建筑面积480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；塘坝</w:t>
            </w:r>
            <w:r>
              <w:rPr>
                <w:rFonts w:ascii="宋体" w:hAnsi="宋体"/>
                <w:color w:val="000000" w:themeColor="text1"/>
                <w:sz w:val="18"/>
                <w:szCs w:val="18"/>
                <w14:textFill>
                  <w14:solidFill>
                    <w14:schemeClr w14:val="tx1"/>
                  </w14:solidFill>
                </w14:textFill>
              </w:rPr>
              <w:t>养殖区建筑面积360m</w:t>
            </w:r>
            <w:r>
              <w:rPr>
                <w:rFonts w:ascii="宋体" w:hAnsi="宋体"/>
                <w:color w:val="000000" w:themeColor="text1"/>
                <w:sz w:val="18"/>
                <w:szCs w:val="18"/>
                <w:vertAlign w:val="superscript"/>
                <w14:textFill>
                  <w14:solidFill>
                    <w14:schemeClr w14:val="tx1"/>
                  </w14:solidFill>
                </w14:textFill>
              </w:rPr>
              <w:t>2</w:t>
            </w:r>
            <w:r>
              <w:rPr>
                <w:rFonts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始宁</w:t>
            </w:r>
            <w:r>
              <w:rPr>
                <w:rFonts w:ascii="宋体" w:hAnsi="宋体"/>
                <w:color w:val="000000" w:themeColor="text1"/>
                <w:sz w:val="18"/>
                <w:szCs w:val="18"/>
                <w14:textFill>
                  <w14:solidFill>
                    <w14:schemeClr w14:val="tx1"/>
                  </w14:solidFill>
                </w14:textFill>
              </w:rPr>
              <w:t>养殖区建筑面积</w:t>
            </w:r>
            <w:r>
              <w:rPr>
                <w:rFonts w:hint="eastAsia" w:ascii="宋体" w:hAnsi="宋体"/>
                <w:color w:val="000000" w:themeColor="text1"/>
                <w:sz w:val="18"/>
                <w:szCs w:val="18"/>
                <w14:textFill>
                  <w14:solidFill>
                    <w14:schemeClr w14:val="tx1"/>
                  </w14:solidFill>
                </w14:textFill>
              </w:rPr>
              <w:t>720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ascii="宋体" w:hAnsi="宋体"/>
                <w:color w:val="000000" w:themeColor="text1"/>
                <w:sz w:val="18"/>
                <w:szCs w:val="18"/>
                <w14:textFill>
                  <w14:solidFill>
                    <w14:schemeClr w14:val="tx1"/>
                  </w14:solidFill>
                </w14:textFill>
              </w:rPr>
              <w:t>；</w:t>
            </w:r>
            <w:bookmarkEnd w:id="309"/>
          </w:p>
        </w:tc>
        <w:tc>
          <w:tcPr>
            <w:tcW w:w="406" w:type="pct"/>
            <w:vMerge w:val="continue"/>
            <w:vAlign w:val="center"/>
          </w:tcPr>
          <w:p w14:paraId="1D041002">
            <w:pPr>
              <w:jc w:val="center"/>
              <w:rPr>
                <w:rFonts w:ascii="宋体" w:hAnsi="宋体"/>
                <w:szCs w:val="21"/>
              </w:rPr>
            </w:pPr>
          </w:p>
        </w:tc>
        <w:tc>
          <w:tcPr>
            <w:tcW w:w="329" w:type="pct"/>
            <w:tcMar>
              <w:top w:w="0" w:type="dxa"/>
              <w:left w:w="28" w:type="dxa"/>
              <w:bottom w:w="0" w:type="dxa"/>
              <w:right w:w="28" w:type="dxa"/>
            </w:tcMar>
            <w:vAlign w:val="center"/>
          </w:tcPr>
          <w:p w14:paraId="3FE6E196">
            <w:pPr>
              <w:jc w:val="center"/>
              <w:rPr>
                <w:rFonts w:ascii="宋体" w:hAnsi="宋体"/>
                <w:szCs w:val="21"/>
              </w:rPr>
            </w:pPr>
            <w:r>
              <w:rPr>
                <w:rFonts w:ascii="宋体" w:hAnsi="宋体"/>
                <w:szCs w:val="21"/>
              </w:rPr>
              <w:t>/</w:t>
            </w:r>
          </w:p>
        </w:tc>
      </w:tr>
      <w:tr w14:paraId="237026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34606056">
            <w:pPr>
              <w:jc w:val="center"/>
              <w:rPr>
                <w:rFonts w:ascii="宋体" w:hAnsi="宋体"/>
                <w:szCs w:val="21"/>
              </w:rPr>
            </w:pPr>
          </w:p>
        </w:tc>
        <w:tc>
          <w:tcPr>
            <w:tcW w:w="653" w:type="pct"/>
            <w:gridSpan w:val="3"/>
            <w:tcMar>
              <w:top w:w="0" w:type="dxa"/>
              <w:left w:w="28" w:type="dxa"/>
              <w:bottom w:w="0" w:type="dxa"/>
              <w:right w:w="28" w:type="dxa"/>
            </w:tcMar>
            <w:vAlign w:val="center"/>
          </w:tcPr>
          <w:p w14:paraId="705C9BA8">
            <w:pPr>
              <w:jc w:val="center"/>
              <w:rPr>
                <w:rFonts w:ascii="宋体" w:hAnsi="宋体"/>
                <w:szCs w:val="21"/>
              </w:rPr>
            </w:pPr>
            <w:r>
              <w:rPr>
                <w:rFonts w:ascii="宋体" w:hAnsi="宋体"/>
                <w:szCs w:val="21"/>
              </w:rPr>
              <w:t>青贮窖</w:t>
            </w:r>
          </w:p>
        </w:tc>
        <w:tc>
          <w:tcPr>
            <w:tcW w:w="1342" w:type="pct"/>
            <w:tcMar>
              <w:top w:w="0" w:type="dxa"/>
              <w:left w:w="28" w:type="dxa"/>
              <w:bottom w:w="0" w:type="dxa"/>
              <w:right w:w="28" w:type="dxa"/>
            </w:tcMar>
            <w:vAlign w:val="center"/>
          </w:tcPr>
          <w:p w14:paraId="2BCC62C2">
            <w:pPr>
              <w:ind w:firstLine="360" w:firstLineChars="200"/>
              <w:rPr>
                <w:rFonts w:ascii="宋体" w:hAnsi="宋体"/>
                <w:sz w:val="18"/>
                <w:szCs w:val="18"/>
              </w:rPr>
            </w:pPr>
            <w:r>
              <w:rPr>
                <w:rFonts w:ascii="宋体" w:hAnsi="宋体"/>
                <w:sz w:val="18"/>
                <w:szCs w:val="18"/>
              </w:rPr>
              <w:t>设置饲草料加工基地的养殖场设置青贮窖，用于后续全混合日粮（TMR）的制备。</w:t>
            </w:r>
          </w:p>
          <w:p w14:paraId="5AF58783">
            <w:pPr>
              <w:ind w:firstLine="360" w:firstLineChars="200"/>
              <w:rPr>
                <w:rFonts w:ascii="宋体" w:hAnsi="宋体"/>
                <w:sz w:val="18"/>
                <w:szCs w:val="18"/>
              </w:rPr>
            </w:pPr>
            <w:r>
              <w:rPr>
                <w:rFonts w:ascii="宋体" w:hAnsi="宋体"/>
                <w:sz w:val="18"/>
                <w:szCs w:val="18"/>
              </w:rPr>
              <w:t>青贮窖为长方形池体（每个养殖场</w:t>
            </w:r>
            <w:r>
              <w:rPr>
                <w:rFonts w:hint="eastAsia" w:ascii="宋体" w:hAnsi="宋体"/>
                <w:sz w:val="18"/>
                <w:szCs w:val="18"/>
              </w:rPr>
              <w:t>区</w:t>
            </w:r>
            <w:r>
              <w:rPr>
                <w:rFonts w:ascii="宋体" w:hAnsi="宋体"/>
                <w:sz w:val="18"/>
                <w:szCs w:val="18"/>
              </w:rPr>
              <w:t>4个），选择地势较高，排水好的位置设置，窖池宽3m，深2.5m，长度根据需建设规模和便于贮料、取料而定。窖池使用石头或砖块砌成，四周和地面使用水泥砂浆赶光压实，由里向外应有1%-2%的坡度便于青贮渗出液的排出。青贮窖出口地面高度高于外部地面，以利于排水和防止水倒灌。青贮窖上方设置遮雨棚遮风挡雨。</w:t>
            </w:r>
          </w:p>
        </w:tc>
        <w:tc>
          <w:tcPr>
            <w:tcW w:w="1929" w:type="pct"/>
            <w:vAlign w:val="center"/>
          </w:tcPr>
          <w:p w14:paraId="4B9120A5">
            <w:pPr>
              <w:ind w:firstLine="360" w:firstLineChars="200"/>
              <w:jc w:val="both"/>
              <w:rPr>
                <w:rFonts w:ascii="宋体" w:hAnsi="宋体"/>
                <w:sz w:val="18"/>
                <w:szCs w:val="18"/>
              </w:rPr>
            </w:pPr>
            <w:r>
              <w:rPr>
                <w:rFonts w:hint="eastAsia" w:ascii="宋体" w:hAnsi="宋体"/>
                <w:sz w:val="18"/>
                <w:szCs w:val="18"/>
              </w:rPr>
              <w:t>均设置单层建筑，其中百花养殖区建筑面积360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r>
              <w:rPr>
                <w:rFonts w:hint="eastAsia" w:ascii="宋体" w:hAnsi="宋体"/>
                <w:sz w:val="18"/>
                <w:szCs w:val="18"/>
              </w:rPr>
              <w:t>佛龙养殖区建筑面积360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；塘坝</w:t>
            </w:r>
            <w:r>
              <w:rPr>
                <w:rFonts w:ascii="宋体" w:hAnsi="宋体"/>
                <w:color w:val="000000" w:themeColor="text1"/>
                <w:sz w:val="18"/>
                <w:szCs w:val="18"/>
                <w14:textFill>
                  <w14:solidFill>
                    <w14:schemeClr w14:val="tx1"/>
                  </w14:solidFill>
                </w14:textFill>
              </w:rPr>
              <w:t>养殖区建筑面积</w:t>
            </w:r>
            <w:r>
              <w:rPr>
                <w:rFonts w:hint="eastAsia" w:ascii="宋体" w:hAnsi="宋体"/>
                <w:color w:val="000000" w:themeColor="text1"/>
                <w:sz w:val="18"/>
                <w:szCs w:val="18"/>
                <w14:textFill>
                  <w14:solidFill>
                    <w14:schemeClr w14:val="tx1"/>
                  </w14:solidFill>
                </w14:textFill>
              </w:rPr>
              <w:t>240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始宁</w:t>
            </w:r>
            <w:r>
              <w:rPr>
                <w:rFonts w:ascii="宋体" w:hAnsi="宋体"/>
                <w:color w:val="000000" w:themeColor="text1"/>
                <w:sz w:val="18"/>
                <w:szCs w:val="18"/>
                <w14:textFill>
                  <w14:solidFill>
                    <w14:schemeClr w14:val="tx1"/>
                  </w14:solidFill>
                </w14:textFill>
              </w:rPr>
              <w:t>养殖区建筑面积</w:t>
            </w:r>
            <w:r>
              <w:rPr>
                <w:rFonts w:hint="eastAsia" w:ascii="宋体" w:hAnsi="宋体"/>
                <w:color w:val="000000" w:themeColor="text1"/>
                <w:sz w:val="18"/>
                <w:szCs w:val="18"/>
                <w14:textFill>
                  <w14:solidFill>
                    <w14:schemeClr w14:val="tx1"/>
                  </w14:solidFill>
                </w14:textFill>
              </w:rPr>
              <w:t>360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ascii="宋体" w:hAnsi="宋体"/>
                <w:color w:val="000000" w:themeColor="text1"/>
                <w:sz w:val="18"/>
                <w:szCs w:val="18"/>
                <w14:textFill>
                  <w14:solidFill>
                    <w14:schemeClr w14:val="tx1"/>
                  </w14:solidFill>
                </w14:textFill>
              </w:rPr>
              <w:t>；</w:t>
            </w:r>
          </w:p>
        </w:tc>
        <w:tc>
          <w:tcPr>
            <w:tcW w:w="406" w:type="pct"/>
            <w:vMerge w:val="continue"/>
            <w:vAlign w:val="center"/>
          </w:tcPr>
          <w:p w14:paraId="185CA108">
            <w:pPr>
              <w:jc w:val="center"/>
              <w:rPr>
                <w:rFonts w:ascii="宋体" w:hAnsi="宋体"/>
                <w:szCs w:val="21"/>
              </w:rPr>
            </w:pPr>
          </w:p>
        </w:tc>
        <w:tc>
          <w:tcPr>
            <w:tcW w:w="329" w:type="pct"/>
            <w:tcMar>
              <w:top w:w="0" w:type="dxa"/>
              <w:left w:w="28" w:type="dxa"/>
              <w:bottom w:w="0" w:type="dxa"/>
              <w:right w:w="28" w:type="dxa"/>
            </w:tcMar>
            <w:vAlign w:val="center"/>
          </w:tcPr>
          <w:p w14:paraId="349A6DB9">
            <w:pPr>
              <w:jc w:val="center"/>
              <w:rPr>
                <w:rFonts w:ascii="宋体" w:hAnsi="宋体"/>
                <w:szCs w:val="21"/>
              </w:rPr>
            </w:pPr>
            <w:r>
              <w:rPr>
                <w:rFonts w:ascii="宋体" w:hAnsi="宋体"/>
                <w:szCs w:val="21"/>
              </w:rPr>
              <w:t>青贮窖渗滤液、青贮发酵废气</w:t>
            </w:r>
          </w:p>
        </w:tc>
      </w:tr>
      <w:tr w14:paraId="28B8C9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207F03BC">
            <w:pPr>
              <w:jc w:val="center"/>
              <w:rPr>
                <w:rFonts w:ascii="宋体" w:hAnsi="宋体"/>
                <w:szCs w:val="21"/>
              </w:rPr>
            </w:pPr>
          </w:p>
        </w:tc>
        <w:tc>
          <w:tcPr>
            <w:tcW w:w="653" w:type="pct"/>
            <w:gridSpan w:val="3"/>
            <w:tcMar>
              <w:top w:w="0" w:type="dxa"/>
              <w:left w:w="28" w:type="dxa"/>
              <w:bottom w:w="0" w:type="dxa"/>
              <w:right w:w="28" w:type="dxa"/>
            </w:tcMar>
            <w:vAlign w:val="center"/>
          </w:tcPr>
          <w:p w14:paraId="43BEF87F">
            <w:pPr>
              <w:jc w:val="center"/>
              <w:rPr>
                <w:rFonts w:ascii="宋体" w:hAnsi="宋体"/>
                <w:szCs w:val="21"/>
              </w:rPr>
            </w:pPr>
            <w:r>
              <w:rPr>
                <w:rFonts w:ascii="宋体" w:hAnsi="宋体"/>
                <w:szCs w:val="21"/>
              </w:rPr>
              <w:t>药品库</w:t>
            </w:r>
          </w:p>
        </w:tc>
        <w:tc>
          <w:tcPr>
            <w:tcW w:w="3271" w:type="pct"/>
            <w:gridSpan w:val="2"/>
            <w:tcMar>
              <w:top w:w="0" w:type="dxa"/>
              <w:left w:w="28" w:type="dxa"/>
              <w:bottom w:w="0" w:type="dxa"/>
              <w:right w:w="28" w:type="dxa"/>
            </w:tcMar>
            <w:vAlign w:val="center"/>
          </w:tcPr>
          <w:p w14:paraId="67F2B1C5">
            <w:pPr>
              <w:ind w:firstLine="360" w:firstLineChars="200"/>
              <w:jc w:val="both"/>
              <w:rPr>
                <w:rFonts w:ascii="宋体" w:hAnsi="宋体"/>
                <w:sz w:val="18"/>
                <w:szCs w:val="18"/>
              </w:rPr>
            </w:pPr>
            <w:r>
              <w:rPr>
                <w:rFonts w:ascii="宋体" w:hAnsi="宋体"/>
                <w:sz w:val="18"/>
                <w:szCs w:val="18"/>
              </w:rPr>
              <w:t>各处养殖场均设置兽用药品库</w:t>
            </w:r>
            <w:r>
              <w:rPr>
                <w:rFonts w:hint="eastAsia" w:ascii="宋体" w:hAnsi="宋体"/>
                <w:sz w:val="18"/>
                <w:szCs w:val="18"/>
              </w:rPr>
              <w:t>10</w:t>
            </w:r>
            <w:bookmarkStart w:id="311" w:name="OLE_LINK94"/>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bookmarkEnd w:id="311"/>
            <w:r>
              <w:rPr>
                <w:rFonts w:ascii="宋体" w:hAnsi="宋体"/>
                <w:sz w:val="18"/>
                <w:szCs w:val="18"/>
              </w:rPr>
              <w:t>，位于治疗室内。</w:t>
            </w:r>
          </w:p>
        </w:tc>
        <w:tc>
          <w:tcPr>
            <w:tcW w:w="406" w:type="pct"/>
            <w:vMerge w:val="continue"/>
            <w:vAlign w:val="center"/>
          </w:tcPr>
          <w:p w14:paraId="6701FFD1">
            <w:pPr>
              <w:jc w:val="center"/>
              <w:rPr>
                <w:rFonts w:ascii="宋体" w:hAnsi="宋体"/>
                <w:szCs w:val="21"/>
              </w:rPr>
            </w:pPr>
          </w:p>
        </w:tc>
        <w:tc>
          <w:tcPr>
            <w:tcW w:w="329" w:type="pct"/>
            <w:tcMar>
              <w:top w:w="0" w:type="dxa"/>
              <w:left w:w="28" w:type="dxa"/>
              <w:bottom w:w="0" w:type="dxa"/>
              <w:right w:w="28" w:type="dxa"/>
            </w:tcMar>
            <w:vAlign w:val="center"/>
          </w:tcPr>
          <w:p w14:paraId="52BFF221">
            <w:pPr>
              <w:jc w:val="center"/>
              <w:rPr>
                <w:rFonts w:ascii="宋体" w:hAnsi="宋体"/>
                <w:szCs w:val="21"/>
              </w:rPr>
            </w:pPr>
          </w:p>
        </w:tc>
      </w:tr>
      <w:tr w14:paraId="6DA7DD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5423D528">
            <w:pPr>
              <w:jc w:val="center"/>
              <w:rPr>
                <w:rFonts w:ascii="宋体" w:hAnsi="宋体"/>
                <w:szCs w:val="21"/>
              </w:rPr>
            </w:pPr>
          </w:p>
        </w:tc>
        <w:tc>
          <w:tcPr>
            <w:tcW w:w="653" w:type="pct"/>
            <w:gridSpan w:val="3"/>
            <w:tcMar>
              <w:top w:w="0" w:type="dxa"/>
              <w:left w:w="28" w:type="dxa"/>
              <w:bottom w:w="0" w:type="dxa"/>
              <w:right w:w="28" w:type="dxa"/>
            </w:tcMar>
            <w:vAlign w:val="center"/>
          </w:tcPr>
          <w:p w14:paraId="7DB54521">
            <w:pPr>
              <w:jc w:val="center"/>
              <w:rPr>
                <w:rFonts w:ascii="宋体" w:hAnsi="宋体"/>
                <w:szCs w:val="21"/>
              </w:rPr>
            </w:pPr>
            <w:r>
              <w:rPr>
                <w:rFonts w:ascii="宋体" w:hAnsi="宋体"/>
                <w:szCs w:val="21"/>
              </w:rPr>
              <w:t>物资库</w:t>
            </w:r>
          </w:p>
        </w:tc>
        <w:tc>
          <w:tcPr>
            <w:tcW w:w="3271" w:type="pct"/>
            <w:gridSpan w:val="2"/>
            <w:tcMar>
              <w:top w:w="0" w:type="dxa"/>
              <w:left w:w="28" w:type="dxa"/>
              <w:bottom w:w="0" w:type="dxa"/>
              <w:right w:w="28" w:type="dxa"/>
            </w:tcMar>
            <w:vAlign w:val="center"/>
          </w:tcPr>
          <w:p w14:paraId="214CEFFC">
            <w:pPr>
              <w:ind w:firstLine="360" w:firstLineChars="200"/>
              <w:jc w:val="both"/>
              <w:rPr>
                <w:rFonts w:ascii="宋体" w:hAnsi="宋体"/>
                <w:sz w:val="18"/>
                <w:szCs w:val="18"/>
              </w:rPr>
            </w:pPr>
            <w:r>
              <w:rPr>
                <w:rFonts w:ascii="宋体" w:hAnsi="宋体"/>
                <w:sz w:val="18"/>
                <w:szCs w:val="18"/>
              </w:rPr>
              <w:t>各处养殖场均设置物资库</w:t>
            </w:r>
            <w:r>
              <w:rPr>
                <w:rFonts w:hint="eastAsia" w:ascii="宋体" w:hAnsi="宋体"/>
                <w:sz w:val="18"/>
                <w:szCs w:val="18"/>
              </w:rPr>
              <w:t>40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ascii="宋体" w:hAnsi="宋体"/>
                <w:sz w:val="18"/>
                <w:szCs w:val="18"/>
              </w:rPr>
              <w:t>，主要存储EM制剂、</w:t>
            </w:r>
            <w:r>
              <w:rPr>
                <w:rFonts w:ascii="宋体" w:hAnsi="宋体"/>
                <w:bCs/>
                <w:sz w:val="18"/>
                <w:szCs w:val="18"/>
              </w:rPr>
              <w:t>发酵菌种、生物除臭剂</w:t>
            </w:r>
            <w:r>
              <w:rPr>
                <w:rFonts w:hint="eastAsia" w:ascii="宋体" w:hAnsi="宋体"/>
                <w:bCs/>
                <w:sz w:val="18"/>
                <w:szCs w:val="18"/>
              </w:rPr>
              <w:t>、消毒剂</w:t>
            </w:r>
            <w:r>
              <w:rPr>
                <w:rFonts w:ascii="宋体" w:hAnsi="宋体"/>
                <w:bCs/>
                <w:sz w:val="18"/>
                <w:szCs w:val="18"/>
              </w:rPr>
              <w:t>等</w:t>
            </w:r>
            <w:r>
              <w:rPr>
                <w:rFonts w:ascii="宋体" w:hAnsi="宋体"/>
                <w:sz w:val="18"/>
                <w:szCs w:val="18"/>
              </w:rPr>
              <w:t>。</w:t>
            </w:r>
          </w:p>
        </w:tc>
        <w:tc>
          <w:tcPr>
            <w:tcW w:w="406" w:type="pct"/>
            <w:vMerge w:val="continue"/>
            <w:vAlign w:val="center"/>
          </w:tcPr>
          <w:p w14:paraId="1E89AC60">
            <w:pPr>
              <w:jc w:val="center"/>
              <w:rPr>
                <w:rFonts w:ascii="宋体" w:hAnsi="宋体"/>
                <w:szCs w:val="21"/>
              </w:rPr>
            </w:pPr>
          </w:p>
        </w:tc>
        <w:tc>
          <w:tcPr>
            <w:tcW w:w="329" w:type="pct"/>
            <w:tcMar>
              <w:top w:w="0" w:type="dxa"/>
              <w:left w:w="28" w:type="dxa"/>
              <w:bottom w:w="0" w:type="dxa"/>
              <w:right w:w="28" w:type="dxa"/>
            </w:tcMar>
            <w:vAlign w:val="center"/>
          </w:tcPr>
          <w:p w14:paraId="22A6A22A">
            <w:pPr>
              <w:jc w:val="center"/>
              <w:rPr>
                <w:rFonts w:ascii="宋体" w:hAnsi="宋体"/>
                <w:szCs w:val="21"/>
              </w:rPr>
            </w:pPr>
            <w:r>
              <w:rPr>
                <w:rFonts w:ascii="宋体" w:hAnsi="宋体"/>
                <w:szCs w:val="21"/>
              </w:rPr>
              <w:t>/</w:t>
            </w:r>
          </w:p>
        </w:tc>
      </w:tr>
      <w:tr w14:paraId="0DAF7B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5BD92E77">
            <w:pPr>
              <w:jc w:val="center"/>
              <w:rPr>
                <w:rFonts w:ascii="宋体" w:hAnsi="宋体"/>
                <w:szCs w:val="21"/>
              </w:rPr>
            </w:pPr>
          </w:p>
        </w:tc>
        <w:tc>
          <w:tcPr>
            <w:tcW w:w="653" w:type="pct"/>
            <w:gridSpan w:val="3"/>
            <w:tcMar>
              <w:top w:w="0" w:type="dxa"/>
              <w:left w:w="28" w:type="dxa"/>
              <w:bottom w:w="0" w:type="dxa"/>
              <w:right w:w="28" w:type="dxa"/>
            </w:tcMar>
            <w:vAlign w:val="center"/>
          </w:tcPr>
          <w:p w14:paraId="35D88225">
            <w:pPr>
              <w:jc w:val="center"/>
              <w:rPr>
                <w:rFonts w:ascii="宋体" w:hAnsi="宋体"/>
                <w:szCs w:val="21"/>
              </w:rPr>
            </w:pPr>
            <w:r>
              <w:rPr>
                <w:rFonts w:ascii="宋体" w:hAnsi="宋体"/>
                <w:szCs w:val="21"/>
              </w:rPr>
              <w:t>冷库</w:t>
            </w:r>
          </w:p>
        </w:tc>
        <w:tc>
          <w:tcPr>
            <w:tcW w:w="1342" w:type="pct"/>
            <w:tcMar>
              <w:top w:w="0" w:type="dxa"/>
              <w:left w:w="28" w:type="dxa"/>
              <w:bottom w:w="0" w:type="dxa"/>
              <w:right w:w="28" w:type="dxa"/>
            </w:tcMar>
            <w:vAlign w:val="center"/>
          </w:tcPr>
          <w:p w14:paraId="4E058308">
            <w:pPr>
              <w:ind w:firstLine="360" w:firstLineChars="200"/>
              <w:rPr>
                <w:rFonts w:ascii="宋体" w:hAnsi="宋体"/>
                <w:sz w:val="18"/>
                <w:szCs w:val="18"/>
              </w:rPr>
            </w:pPr>
            <w:r>
              <w:rPr>
                <w:rFonts w:ascii="宋体" w:hAnsi="宋体"/>
                <w:sz w:val="18"/>
                <w:szCs w:val="18"/>
              </w:rPr>
              <w:t>各处养殖场均设置冷库，位于</w:t>
            </w:r>
            <w:r>
              <w:rPr>
                <w:rFonts w:hint="eastAsia" w:ascii="宋体" w:hAnsi="宋体"/>
                <w:sz w:val="18"/>
                <w:szCs w:val="18"/>
              </w:rPr>
              <w:t>治疗室</w:t>
            </w:r>
            <w:r>
              <w:rPr>
                <w:rFonts w:ascii="宋体" w:hAnsi="宋体"/>
                <w:sz w:val="18"/>
                <w:szCs w:val="18"/>
              </w:rPr>
              <w:t>旁，用于病死牛的暂时存储，定期转交病死牛无害化处置协议单位处置。</w:t>
            </w:r>
          </w:p>
        </w:tc>
        <w:tc>
          <w:tcPr>
            <w:tcW w:w="1929" w:type="pct"/>
            <w:vAlign w:val="center"/>
          </w:tcPr>
          <w:p w14:paraId="3E408A55">
            <w:pPr>
              <w:ind w:firstLine="360" w:firstLineChars="200"/>
              <w:jc w:val="both"/>
              <w:rPr>
                <w:rFonts w:ascii="宋体" w:hAnsi="宋体"/>
                <w:sz w:val="18"/>
                <w:szCs w:val="18"/>
              </w:rPr>
            </w:pPr>
            <w:r>
              <w:rPr>
                <w:rFonts w:hint="eastAsia" w:ascii="宋体" w:hAnsi="宋体"/>
                <w:sz w:val="18"/>
                <w:szCs w:val="18"/>
              </w:rPr>
              <w:t>均设置单层建筑，其中百花养殖区建筑面积80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r>
              <w:rPr>
                <w:rFonts w:hint="eastAsia" w:ascii="宋体" w:hAnsi="宋体"/>
                <w:sz w:val="18"/>
                <w:szCs w:val="18"/>
              </w:rPr>
              <w:t>佛龙养殖区建筑面积80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；塘坝</w:t>
            </w:r>
            <w:r>
              <w:rPr>
                <w:rFonts w:ascii="宋体" w:hAnsi="宋体"/>
                <w:color w:val="000000" w:themeColor="text1"/>
                <w:sz w:val="18"/>
                <w:szCs w:val="18"/>
                <w14:textFill>
                  <w14:solidFill>
                    <w14:schemeClr w14:val="tx1"/>
                  </w14:solidFill>
                </w14:textFill>
              </w:rPr>
              <w:t>养殖区建筑面积</w:t>
            </w:r>
            <w:r>
              <w:rPr>
                <w:rFonts w:hint="eastAsia" w:ascii="宋体" w:hAnsi="宋体"/>
                <w:color w:val="000000" w:themeColor="text1"/>
                <w:sz w:val="18"/>
                <w:szCs w:val="18"/>
                <w14:textFill>
                  <w14:solidFill>
                    <w14:schemeClr w14:val="tx1"/>
                  </w14:solidFill>
                </w14:textFill>
              </w:rPr>
              <w:t>80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始宁</w:t>
            </w:r>
            <w:r>
              <w:rPr>
                <w:rFonts w:ascii="宋体" w:hAnsi="宋体"/>
                <w:color w:val="000000" w:themeColor="text1"/>
                <w:sz w:val="18"/>
                <w:szCs w:val="18"/>
                <w14:textFill>
                  <w14:solidFill>
                    <w14:schemeClr w14:val="tx1"/>
                  </w14:solidFill>
                </w14:textFill>
              </w:rPr>
              <w:t>养殖区建筑面积</w:t>
            </w:r>
            <w:r>
              <w:rPr>
                <w:rFonts w:hint="eastAsia" w:ascii="宋体" w:hAnsi="宋体"/>
                <w:color w:val="000000" w:themeColor="text1"/>
                <w:sz w:val="18"/>
                <w:szCs w:val="18"/>
                <w14:textFill>
                  <w14:solidFill>
                    <w14:schemeClr w14:val="tx1"/>
                  </w14:solidFill>
                </w14:textFill>
              </w:rPr>
              <w:t>96</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ascii="宋体" w:hAnsi="宋体"/>
                <w:color w:val="000000" w:themeColor="text1"/>
                <w:sz w:val="18"/>
                <w:szCs w:val="18"/>
                <w14:textFill>
                  <w14:solidFill>
                    <w14:schemeClr w14:val="tx1"/>
                  </w14:solidFill>
                </w14:textFill>
              </w:rPr>
              <w:t>；</w:t>
            </w:r>
          </w:p>
        </w:tc>
        <w:tc>
          <w:tcPr>
            <w:tcW w:w="406" w:type="pct"/>
            <w:vMerge w:val="continue"/>
            <w:vAlign w:val="center"/>
          </w:tcPr>
          <w:p w14:paraId="4480AF96">
            <w:pPr>
              <w:jc w:val="center"/>
              <w:rPr>
                <w:rFonts w:ascii="宋体" w:hAnsi="宋体"/>
                <w:szCs w:val="21"/>
              </w:rPr>
            </w:pPr>
          </w:p>
        </w:tc>
        <w:tc>
          <w:tcPr>
            <w:tcW w:w="329" w:type="pct"/>
            <w:tcMar>
              <w:top w:w="0" w:type="dxa"/>
              <w:left w:w="28" w:type="dxa"/>
              <w:bottom w:w="0" w:type="dxa"/>
              <w:right w:w="28" w:type="dxa"/>
            </w:tcMar>
            <w:vAlign w:val="center"/>
          </w:tcPr>
          <w:p w14:paraId="17DCD3A1">
            <w:pPr>
              <w:jc w:val="center"/>
              <w:rPr>
                <w:rFonts w:ascii="宋体" w:hAnsi="宋体"/>
                <w:szCs w:val="21"/>
              </w:rPr>
            </w:pPr>
            <w:r>
              <w:rPr>
                <w:rFonts w:ascii="宋体" w:hAnsi="宋体"/>
                <w:szCs w:val="21"/>
              </w:rPr>
              <w:t>/</w:t>
            </w:r>
          </w:p>
        </w:tc>
      </w:tr>
      <w:tr w14:paraId="1B2E74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11242A5E">
            <w:pPr>
              <w:jc w:val="center"/>
              <w:rPr>
                <w:rFonts w:ascii="宋体" w:hAnsi="宋体"/>
                <w:szCs w:val="21"/>
              </w:rPr>
            </w:pPr>
          </w:p>
        </w:tc>
        <w:tc>
          <w:tcPr>
            <w:tcW w:w="653" w:type="pct"/>
            <w:gridSpan w:val="3"/>
            <w:tcMar>
              <w:top w:w="0" w:type="dxa"/>
              <w:left w:w="28" w:type="dxa"/>
              <w:bottom w:w="0" w:type="dxa"/>
              <w:right w:w="28" w:type="dxa"/>
            </w:tcMar>
            <w:vAlign w:val="center"/>
          </w:tcPr>
          <w:p w14:paraId="337A0D80">
            <w:pPr>
              <w:jc w:val="center"/>
              <w:rPr>
                <w:rFonts w:ascii="宋体" w:hAnsi="宋体"/>
                <w:szCs w:val="21"/>
              </w:rPr>
            </w:pPr>
            <w:r>
              <w:rPr>
                <w:rFonts w:hint="eastAsia" w:ascii="宋体" w:hAnsi="宋体"/>
                <w:szCs w:val="21"/>
              </w:rPr>
              <w:t>垫料棚</w:t>
            </w:r>
          </w:p>
        </w:tc>
        <w:tc>
          <w:tcPr>
            <w:tcW w:w="1342" w:type="pct"/>
            <w:tcMar>
              <w:top w:w="0" w:type="dxa"/>
              <w:left w:w="28" w:type="dxa"/>
              <w:bottom w:w="0" w:type="dxa"/>
              <w:right w:w="28" w:type="dxa"/>
            </w:tcMar>
            <w:vAlign w:val="center"/>
          </w:tcPr>
          <w:p w14:paraId="6C64A790">
            <w:pPr>
              <w:ind w:firstLine="360" w:firstLineChars="200"/>
              <w:rPr>
                <w:rFonts w:ascii="宋体" w:hAnsi="宋体"/>
                <w:sz w:val="18"/>
                <w:szCs w:val="18"/>
              </w:rPr>
            </w:pPr>
            <w:r>
              <w:rPr>
                <w:rFonts w:ascii="宋体" w:hAnsi="宋体"/>
                <w:sz w:val="18"/>
                <w:szCs w:val="18"/>
              </w:rPr>
              <w:t>各处养殖场均设置</w:t>
            </w:r>
            <w:r>
              <w:rPr>
                <w:rFonts w:hint="eastAsia" w:ascii="宋体" w:hAnsi="宋体"/>
                <w:sz w:val="18"/>
                <w:szCs w:val="18"/>
              </w:rPr>
              <w:t>垫料棚</w:t>
            </w:r>
            <w:r>
              <w:rPr>
                <w:rFonts w:ascii="宋体" w:hAnsi="宋体"/>
                <w:sz w:val="18"/>
                <w:szCs w:val="18"/>
              </w:rPr>
              <w:t>，</w:t>
            </w:r>
            <w:r>
              <w:rPr>
                <w:rFonts w:hint="eastAsia" w:ascii="宋体" w:hAnsi="宋体"/>
                <w:sz w:val="18"/>
                <w:szCs w:val="18"/>
              </w:rPr>
              <w:t>用于存储垫料</w:t>
            </w:r>
            <w:r>
              <w:rPr>
                <w:rFonts w:ascii="宋体" w:hAnsi="宋体"/>
                <w:sz w:val="18"/>
                <w:szCs w:val="18"/>
              </w:rPr>
              <w:t>。</w:t>
            </w:r>
          </w:p>
        </w:tc>
        <w:tc>
          <w:tcPr>
            <w:tcW w:w="1929" w:type="pct"/>
            <w:vAlign w:val="center"/>
          </w:tcPr>
          <w:p w14:paraId="6C7D24C3">
            <w:pPr>
              <w:ind w:firstLine="360" w:firstLineChars="200"/>
              <w:jc w:val="both"/>
              <w:rPr>
                <w:rFonts w:ascii="宋体" w:hAnsi="宋体"/>
                <w:sz w:val="18"/>
                <w:szCs w:val="18"/>
              </w:rPr>
            </w:pPr>
            <w:r>
              <w:rPr>
                <w:rFonts w:hint="eastAsia" w:ascii="宋体" w:hAnsi="宋体"/>
                <w:sz w:val="18"/>
                <w:szCs w:val="18"/>
              </w:rPr>
              <w:t>均设置单层建筑，其中百花养殖区建筑面积486</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r>
              <w:rPr>
                <w:rFonts w:hint="eastAsia" w:ascii="宋体" w:hAnsi="宋体"/>
                <w:sz w:val="18"/>
                <w:szCs w:val="18"/>
              </w:rPr>
              <w:t>佛龙养殖区建筑面积486</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；塘坝</w:t>
            </w:r>
            <w:r>
              <w:rPr>
                <w:rFonts w:ascii="宋体" w:hAnsi="宋体"/>
                <w:color w:val="000000" w:themeColor="text1"/>
                <w:sz w:val="18"/>
                <w:szCs w:val="18"/>
                <w14:textFill>
                  <w14:solidFill>
                    <w14:schemeClr w14:val="tx1"/>
                  </w14:solidFill>
                </w14:textFill>
              </w:rPr>
              <w:t>养殖区建筑面积</w:t>
            </w:r>
            <w:r>
              <w:rPr>
                <w:rFonts w:hint="eastAsia" w:ascii="宋体" w:hAnsi="宋体"/>
                <w:color w:val="000000" w:themeColor="text1"/>
                <w:sz w:val="18"/>
                <w:szCs w:val="18"/>
                <w14:textFill>
                  <w14:solidFill>
                    <w14:schemeClr w14:val="tx1"/>
                  </w14:solidFill>
                </w14:textFill>
              </w:rPr>
              <w:t>486</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始宁</w:t>
            </w:r>
            <w:r>
              <w:rPr>
                <w:rFonts w:ascii="宋体" w:hAnsi="宋体"/>
                <w:color w:val="000000" w:themeColor="text1"/>
                <w:sz w:val="18"/>
                <w:szCs w:val="18"/>
                <w14:textFill>
                  <w14:solidFill>
                    <w14:schemeClr w14:val="tx1"/>
                  </w14:solidFill>
                </w14:textFill>
              </w:rPr>
              <w:t>养殖区建筑面积</w:t>
            </w:r>
            <w:r>
              <w:rPr>
                <w:rFonts w:hint="eastAsia" w:ascii="宋体" w:hAnsi="宋体"/>
                <w:color w:val="000000" w:themeColor="text1"/>
                <w:sz w:val="18"/>
                <w:szCs w:val="18"/>
                <w14:textFill>
                  <w14:solidFill>
                    <w14:schemeClr w14:val="tx1"/>
                  </w14:solidFill>
                </w14:textFill>
              </w:rPr>
              <w:t>360</w:t>
            </w:r>
            <w:r>
              <w:rPr>
                <w:rFonts w:ascii="宋体" w:hAnsi="宋体"/>
                <w:color w:val="000000" w:themeColor="text1"/>
                <w:sz w:val="18"/>
                <w:szCs w:val="18"/>
                <w14:textFill>
                  <w14:solidFill>
                    <w14:schemeClr w14:val="tx1"/>
                  </w14:solidFill>
                </w14:textFill>
              </w:rPr>
              <w:t>m</w:t>
            </w:r>
            <w:r>
              <w:rPr>
                <w:rFonts w:ascii="宋体" w:hAnsi="宋体"/>
                <w:color w:val="000000" w:themeColor="text1"/>
                <w:sz w:val="18"/>
                <w:szCs w:val="18"/>
                <w:vertAlign w:val="superscript"/>
                <w14:textFill>
                  <w14:solidFill>
                    <w14:schemeClr w14:val="tx1"/>
                  </w14:solidFill>
                </w14:textFill>
              </w:rPr>
              <w:t>2</w:t>
            </w:r>
            <w:r>
              <w:rPr>
                <w:rFonts w:ascii="宋体" w:hAnsi="宋体"/>
                <w:color w:val="000000" w:themeColor="text1"/>
                <w:sz w:val="18"/>
                <w:szCs w:val="18"/>
                <w14:textFill>
                  <w14:solidFill>
                    <w14:schemeClr w14:val="tx1"/>
                  </w14:solidFill>
                </w14:textFill>
              </w:rPr>
              <w:t>；</w:t>
            </w:r>
          </w:p>
        </w:tc>
        <w:tc>
          <w:tcPr>
            <w:tcW w:w="406" w:type="pct"/>
            <w:vMerge w:val="continue"/>
            <w:vAlign w:val="center"/>
          </w:tcPr>
          <w:p w14:paraId="17F84AF2">
            <w:pPr>
              <w:jc w:val="center"/>
              <w:rPr>
                <w:rFonts w:ascii="宋体" w:hAnsi="宋体"/>
                <w:szCs w:val="21"/>
              </w:rPr>
            </w:pPr>
          </w:p>
        </w:tc>
        <w:tc>
          <w:tcPr>
            <w:tcW w:w="329" w:type="pct"/>
            <w:tcMar>
              <w:top w:w="0" w:type="dxa"/>
              <w:left w:w="28" w:type="dxa"/>
              <w:bottom w:w="0" w:type="dxa"/>
              <w:right w:w="28" w:type="dxa"/>
            </w:tcMar>
            <w:vAlign w:val="center"/>
          </w:tcPr>
          <w:p w14:paraId="2B5FF45E">
            <w:pPr>
              <w:jc w:val="center"/>
              <w:rPr>
                <w:rFonts w:ascii="宋体" w:hAnsi="宋体"/>
                <w:szCs w:val="21"/>
              </w:rPr>
            </w:pPr>
          </w:p>
        </w:tc>
      </w:tr>
      <w:tr w14:paraId="6305FC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restart"/>
            <w:tcMar>
              <w:top w:w="0" w:type="dxa"/>
              <w:left w:w="28" w:type="dxa"/>
              <w:bottom w:w="0" w:type="dxa"/>
              <w:right w:w="28" w:type="dxa"/>
            </w:tcMar>
            <w:vAlign w:val="center"/>
          </w:tcPr>
          <w:p w14:paraId="2024265F">
            <w:pPr>
              <w:jc w:val="center"/>
              <w:rPr>
                <w:rFonts w:ascii="宋体" w:hAnsi="宋体"/>
                <w:szCs w:val="21"/>
              </w:rPr>
            </w:pPr>
            <w:r>
              <w:rPr>
                <w:rFonts w:ascii="宋体" w:hAnsi="宋体"/>
                <w:szCs w:val="21"/>
              </w:rPr>
              <w:t>环保</w:t>
            </w:r>
          </w:p>
          <w:p w14:paraId="25E0C2EF">
            <w:pPr>
              <w:jc w:val="center"/>
              <w:rPr>
                <w:rFonts w:ascii="宋体" w:hAnsi="宋体"/>
                <w:szCs w:val="21"/>
              </w:rPr>
            </w:pPr>
            <w:r>
              <w:rPr>
                <w:rFonts w:ascii="宋体" w:hAnsi="宋体"/>
                <w:szCs w:val="21"/>
              </w:rPr>
              <w:t>工程</w:t>
            </w:r>
          </w:p>
        </w:tc>
        <w:tc>
          <w:tcPr>
            <w:tcW w:w="653" w:type="pct"/>
            <w:gridSpan w:val="3"/>
            <w:tcMar>
              <w:top w:w="0" w:type="dxa"/>
              <w:left w:w="28" w:type="dxa"/>
              <w:bottom w:w="0" w:type="dxa"/>
              <w:right w:w="28" w:type="dxa"/>
            </w:tcMar>
            <w:vAlign w:val="center"/>
          </w:tcPr>
          <w:p w14:paraId="3AA31C0C">
            <w:pPr>
              <w:jc w:val="center"/>
              <w:rPr>
                <w:rFonts w:ascii="宋体" w:hAnsi="宋体"/>
                <w:szCs w:val="21"/>
              </w:rPr>
            </w:pPr>
            <w:r>
              <w:rPr>
                <w:rFonts w:ascii="宋体" w:hAnsi="宋体"/>
                <w:szCs w:val="21"/>
              </w:rPr>
              <w:t>废气治理</w:t>
            </w:r>
          </w:p>
        </w:tc>
        <w:tc>
          <w:tcPr>
            <w:tcW w:w="3271" w:type="pct"/>
            <w:gridSpan w:val="2"/>
            <w:tcMar>
              <w:top w:w="0" w:type="dxa"/>
              <w:left w:w="28" w:type="dxa"/>
              <w:bottom w:w="0" w:type="dxa"/>
              <w:right w:w="28" w:type="dxa"/>
            </w:tcMar>
            <w:vAlign w:val="center"/>
          </w:tcPr>
          <w:p w14:paraId="07F4312A">
            <w:pPr>
              <w:ind w:firstLine="360" w:firstLineChars="200"/>
              <w:rPr>
                <w:rFonts w:ascii="宋体" w:hAnsi="宋体"/>
                <w:sz w:val="18"/>
                <w:szCs w:val="18"/>
              </w:rPr>
            </w:pPr>
            <w:r>
              <w:rPr>
                <w:rFonts w:ascii="宋体" w:hAnsi="宋体"/>
                <w:sz w:val="18"/>
                <w:szCs w:val="18"/>
              </w:rPr>
              <w:t>圈舍恶臭：肉牛养殖过程采用在精料里添加益生菌，以及圈舍喷洒生物除臭剂的方式，能够显著减少恶臭影响，同时以牛舍边界为起点划定100m的卫生防护距离范围。</w:t>
            </w:r>
          </w:p>
          <w:p w14:paraId="3E0EBF39">
            <w:pPr>
              <w:ind w:firstLine="360" w:firstLineChars="200"/>
              <w:rPr>
                <w:rFonts w:ascii="宋体" w:hAnsi="宋体"/>
                <w:sz w:val="18"/>
                <w:szCs w:val="18"/>
              </w:rPr>
            </w:pPr>
            <w:r>
              <w:rPr>
                <w:rFonts w:ascii="宋体" w:hAnsi="宋体"/>
                <w:sz w:val="18"/>
                <w:szCs w:val="18"/>
              </w:rPr>
              <w:t>饲料粉尘：饲料加工设备设置布袋除尘器收集，并经1根15m高排气筒排放，加工间密闭；</w:t>
            </w:r>
          </w:p>
          <w:p w14:paraId="56CAB291">
            <w:pPr>
              <w:ind w:firstLine="360" w:firstLineChars="200"/>
              <w:rPr>
                <w:rFonts w:ascii="宋体" w:hAnsi="宋体"/>
                <w:sz w:val="18"/>
                <w:szCs w:val="18"/>
              </w:rPr>
            </w:pPr>
            <w:r>
              <w:rPr>
                <w:rFonts w:ascii="宋体" w:hAnsi="宋体"/>
                <w:sz w:val="18"/>
                <w:szCs w:val="18"/>
              </w:rPr>
              <w:t>垫料粉尘：垫料棚除车辆进出通道外四面封闭，顶部加盖顶棚，地面硬化；</w:t>
            </w:r>
          </w:p>
          <w:p w14:paraId="39313BBE">
            <w:pPr>
              <w:ind w:firstLine="360" w:firstLineChars="200"/>
              <w:rPr>
                <w:rFonts w:ascii="宋体" w:hAnsi="宋体"/>
                <w:sz w:val="18"/>
                <w:szCs w:val="18"/>
              </w:rPr>
            </w:pPr>
            <w:r>
              <w:rPr>
                <w:rFonts w:ascii="宋体" w:hAnsi="宋体"/>
                <w:sz w:val="18"/>
                <w:szCs w:val="18"/>
              </w:rPr>
              <w:t>食堂油烟：项目地处农村环境，加强食堂通风换气即可。</w:t>
            </w:r>
          </w:p>
          <w:p w14:paraId="3CD5F60D">
            <w:pPr>
              <w:ind w:firstLine="360" w:firstLineChars="200"/>
              <w:jc w:val="both"/>
              <w:rPr>
                <w:rFonts w:ascii="宋体" w:hAnsi="宋体"/>
                <w:sz w:val="18"/>
                <w:szCs w:val="18"/>
              </w:rPr>
            </w:pPr>
            <w:r>
              <w:rPr>
                <w:rFonts w:ascii="宋体" w:hAnsi="宋体"/>
                <w:sz w:val="18"/>
                <w:szCs w:val="18"/>
              </w:rPr>
              <w:t>备用柴油发电机烟气：经自带消烟除尘设施处理后排放</w:t>
            </w:r>
          </w:p>
        </w:tc>
        <w:tc>
          <w:tcPr>
            <w:tcW w:w="406" w:type="pct"/>
            <w:vMerge w:val="continue"/>
            <w:vAlign w:val="center"/>
          </w:tcPr>
          <w:p w14:paraId="1BD1D4FB">
            <w:pPr>
              <w:jc w:val="center"/>
              <w:rPr>
                <w:rFonts w:ascii="宋体" w:hAnsi="宋体"/>
                <w:szCs w:val="21"/>
              </w:rPr>
            </w:pPr>
          </w:p>
        </w:tc>
        <w:tc>
          <w:tcPr>
            <w:tcW w:w="329" w:type="pct"/>
            <w:tcMar>
              <w:top w:w="0" w:type="dxa"/>
              <w:left w:w="28" w:type="dxa"/>
              <w:bottom w:w="0" w:type="dxa"/>
              <w:right w:w="28" w:type="dxa"/>
            </w:tcMar>
            <w:vAlign w:val="center"/>
          </w:tcPr>
          <w:p w14:paraId="5BE45E64">
            <w:pPr>
              <w:jc w:val="center"/>
              <w:rPr>
                <w:rFonts w:ascii="宋体" w:hAnsi="宋体"/>
                <w:szCs w:val="21"/>
              </w:rPr>
            </w:pPr>
            <w:r>
              <w:rPr>
                <w:rFonts w:ascii="宋体" w:hAnsi="宋体"/>
                <w:szCs w:val="21"/>
              </w:rPr>
              <w:t>废气</w:t>
            </w:r>
          </w:p>
        </w:tc>
      </w:tr>
      <w:tr w14:paraId="3F81DC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77AC1F22">
            <w:pPr>
              <w:jc w:val="center"/>
              <w:rPr>
                <w:rFonts w:ascii="宋体" w:hAnsi="宋体"/>
                <w:szCs w:val="21"/>
              </w:rPr>
            </w:pPr>
          </w:p>
        </w:tc>
        <w:tc>
          <w:tcPr>
            <w:tcW w:w="296" w:type="pct"/>
            <w:gridSpan w:val="2"/>
            <w:vMerge w:val="restart"/>
            <w:tcMar>
              <w:top w:w="0" w:type="dxa"/>
              <w:left w:w="28" w:type="dxa"/>
              <w:bottom w:w="0" w:type="dxa"/>
              <w:right w:w="28" w:type="dxa"/>
            </w:tcMar>
            <w:vAlign w:val="center"/>
          </w:tcPr>
          <w:p w14:paraId="21335869">
            <w:pPr>
              <w:jc w:val="center"/>
              <w:rPr>
                <w:rFonts w:ascii="宋体" w:hAnsi="宋体"/>
                <w:szCs w:val="21"/>
              </w:rPr>
            </w:pPr>
            <w:r>
              <w:rPr>
                <w:rFonts w:ascii="宋体" w:hAnsi="宋体"/>
                <w:szCs w:val="21"/>
              </w:rPr>
              <w:t>废水治理</w:t>
            </w:r>
          </w:p>
        </w:tc>
        <w:tc>
          <w:tcPr>
            <w:tcW w:w="357" w:type="pct"/>
            <w:tcMar>
              <w:top w:w="0" w:type="dxa"/>
              <w:left w:w="28" w:type="dxa"/>
              <w:bottom w:w="0" w:type="dxa"/>
              <w:right w:w="28" w:type="dxa"/>
            </w:tcMar>
            <w:vAlign w:val="center"/>
          </w:tcPr>
          <w:p w14:paraId="49D36DC4">
            <w:pPr>
              <w:jc w:val="center"/>
              <w:rPr>
                <w:rFonts w:ascii="宋体" w:hAnsi="宋体"/>
                <w:szCs w:val="21"/>
              </w:rPr>
            </w:pPr>
            <w:r>
              <w:rPr>
                <w:rFonts w:ascii="宋体" w:hAnsi="宋体"/>
                <w:szCs w:val="21"/>
              </w:rPr>
              <w:t>化粪池</w:t>
            </w:r>
          </w:p>
        </w:tc>
        <w:tc>
          <w:tcPr>
            <w:tcW w:w="3271" w:type="pct"/>
            <w:gridSpan w:val="2"/>
            <w:tcMar>
              <w:top w:w="0" w:type="dxa"/>
              <w:left w:w="28" w:type="dxa"/>
              <w:bottom w:w="0" w:type="dxa"/>
              <w:right w:w="28" w:type="dxa"/>
            </w:tcMar>
            <w:vAlign w:val="center"/>
          </w:tcPr>
          <w:p w14:paraId="64334155">
            <w:pPr>
              <w:ind w:firstLine="360" w:firstLineChars="200"/>
              <w:jc w:val="both"/>
              <w:rPr>
                <w:rFonts w:ascii="宋体" w:hAnsi="宋体"/>
                <w:sz w:val="18"/>
                <w:szCs w:val="18"/>
              </w:rPr>
            </w:pPr>
            <w:r>
              <w:rPr>
                <w:rFonts w:ascii="宋体" w:hAnsi="宋体"/>
                <w:sz w:val="18"/>
                <w:szCs w:val="18"/>
              </w:rPr>
              <w:t>各处养殖场办公生活区设有卫生间，生活污水收集至化粪池</w:t>
            </w:r>
            <w:r>
              <w:rPr>
                <w:rFonts w:hint="eastAsia" w:ascii="宋体" w:hAnsi="宋体"/>
                <w:sz w:val="18"/>
                <w:szCs w:val="18"/>
              </w:rPr>
              <w:t>（位于办公楼旁，10m</w:t>
            </w:r>
            <w:r>
              <w:rPr>
                <w:rFonts w:hint="eastAsia" w:ascii="宋体" w:hAnsi="宋体"/>
                <w:sz w:val="18"/>
                <w:szCs w:val="18"/>
                <w:vertAlign w:val="superscript"/>
              </w:rPr>
              <w:t>3</w:t>
            </w:r>
            <w:r>
              <w:rPr>
                <w:rFonts w:hint="eastAsia" w:ascii="宋体" w:hAnsi="宋体"/>
                <w:sz w:val="18"/>
                <w:szCs w:val="18"/>
              </w:rPr>
              <w:t>）</w:t>
            </w:r>
            <w:r>
              <w:rPr>
                <w:rFonts w:ascii="宋体" w:hAnsi="宋体"/>
                <w:sz w:val="18"/>
                <w:szCs w:val="18"/>
              </w:rPr>
              <w:t>，预处理后后用于厂区绿化。</w:t>
            </w:r>
          </w:p>
        </w:tc>
        <w:tc>
          <w:tcPr>
            <w:tcW w:w="406" w:type="pct"/>
            <w:vMerge w:val="continue"/>
            <w:vAlign w:val="center"/>
          </w:tcPr>
          <w:p w14:paraId="1D8036C0">
            <w:pPr>
              <w:jc w:val="center"/>
              <w:rPr>
                <w:rFonts w:ascii="宋体" w:hAnsi="宋体"/>
                <w:szCs w:val="21"/>
              </w:rPr>
            </w:pPr>
          </w:p>
        </w:tc>
        <w:tc>
          <w:tcPr>
            <w:tcW w:w="329" w:type="pct"/>
            <w:tcMar>
              <w:top w:w="0" w:type="dxa"/>
              <w:left w:w="28" w:type="dxa"/>
              <w:bottom w:w="0" w:type="dxa"/>
              <w:right w:w="28" w:type="dxa"/>
            </w:tcMar>
            <w:vAlign w:val="center"/>
          </w:tcPr>
          <w:p w14:paraId="5AC12A55">
            <w:pPr>
              <w:jc w:val="center"/>
              <w:rPr>
                <w:rFonts w:ascii="宋体" w:hAnsi="宋体"/>
                <w:szCs w:val="21"/>
              </w:rPr>
            </w:pPr>
            <w:r>
              <w:rPr>
                <w:rFonts w:ascii="宋体" w:hAnsi="宋体"/>
                <w:szCs w:val="21"/>
              </w:rPr>
              <w:t>生活污水</w:t>
            </w:r>
          </w:p>
        </w:tc>
      </w:tr>
      <w:tr w14:paraId="2DF3E1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73FF1587">
            <w:pPr>
              <w:jc w:val="center"/>
              <w:rPr>
                <w:rFonts w:ascii="宋体" w:hAnsi="宋体"/>
                <w:szCs w:val="21"/>
              </w:rPr>
            </w:pPr>
          </w:p>
        </w:tc>
        <w:tc>
          <w:tcPr>
            <w:tcW w:w="296" w:type="pct"/>
            <w:gridSpan w:val="2"/>
            <w:vMerge w:val="continue"/>
            <w:vAlign w:val="center"/>
          </w:tcPr>
          <w:p w14:paraId="1BE9E371">
            <w:pPr>
              <w:jc w:val="center"/>
              <w:rPr>
                <w:rFonts w:ascii="宋体" w:hAnsi="宋体"/>
                <w:szCs w:val="21"/>
              </w:rPr>
            </w:pPr>
          </w:p>
        </w:tc>
        <w:tc>
          <w:tcPr>
            <w:tcW w:w="357" w:type="pct"/>
            <w:tcMar>
              <w:top w:w="0" w:type="dxa"/>
              <w:left w:w="28" w:type="dxa"/>
              <w:bottom w:w="0" w:type="dxa"/>
              <w:right w:w="28" w:type="dxa"/>
            </w:tcMar>
            <w:vAlign w:val="center"/>
          </w:tcPr>
          <w:p w14:paraId="76C72237">
            <w:pPr>
              <w:jc w:val="center"/>
              <w:rPr>
                <w:rFonts w:ascii="宋体" w:hAnsi="宋体"/>
                <w:szCs w:val="21"/>
              </w:rPr>
            </w:pPr>
            <w:r>
              <w:rPr>
                <w:rFonts w:ascii="宋体" w:hAnsi="宋体"/>
                <w:szCs w:val="21"/>
              </w:rPr>
              <w:t>初期雨水池</w:t>
            </w:r>
          </w:p>
        </w:tc>
        <w:tc>
          <w:tcPr>
            <w:tcW w:w="3271" w:type="pct"/>
            <w:gridSpan w:val="2"/>
            <w:tcMar>
              <w:top w:w="0" w:type="dxa"/>
              <w:left w:w="28" w:type="dxa"/>
              <w:bottom w:w="0" w:type="dxa"/>
              <w:right w:w="28" w:type="dxa"/>
            </w:tcMar>
            <w:vAlign w:val="center"/>
          </w:tcPr>
          <w:p w14:paraId="4237E869">
            <w:pPr>
              <w:ind w:firstLine="360" w:firstLineChars="200"/>
              <w:jc w:val="both"/>
              <w:rPr>
                <w:rFonts w:ascii="宋体" w:hAnsi="宋体"/>
                <w:sz w:val="18"/>
                <w:szCs w:val="18"/>
              </w:rPr>
            </w:pPr>
            <w:r>
              <w:rPr>
                <w:rFonts w:ascii="宋体" w:hAnsi="宋体"/>
                <w:sz w:val="18"/>
                <w:szCs w:val="18"/>
              </w:rPr>
              <w:t>各处养殖场厂区地面雨水依靠地势排至场区雨水收集池，对场区雨水径流进行收集沉淀处理后用于厂区绿化。</w:t>
            </w:r>
          </w:p>
        </w:tc>
        <w:tc>
          <w:tcPr>
            <w:tcW w:w="406" w:type="pct"/>
            <w:vMerge w:val="continue"/>
            <w:vAlign w:val="center"/>
          </w:tcPr>
          <w:p w14:paraId="3CA13E56">
            <w:pPr>
              <w:jc w:val="center"/>
              <w:rPr>
                <w:rFonts w:ascii="宋体" w:hAnsi="宋体"/>
                <w:szCs w:val="21"/>
              </w:rPr>
            </w:pPr>
          </w:p>
        </w:tc>
        <w:tc>
          <w:tcPr>
            <w:tcW w:w="329" w:type="pct"/>
            <w:tcMar>
              <w:top w:w="0" w:type="dxa"/>
              <w:left w:w="28" w:type="dxa"/>
              <w:bottom w:w="0" w:type="dxa"/>
              <w:right w:w="28" w:type="dxa"/>
            </w:tcMar>
            <w:vAlign w:val="center"/>
          </w:tcPr>
          <w:p w14:paraId="10E14A81">
            <w:pPr>
              <w:jc w:val="center"/>
              <w:rPr>
                <w:rFonts w:ascii="宋体" w:hAnsi="宋体"/>
                <w:szCs w:val="21"/>
              </w:rPr>
            </w:pPr>
            <w:r>
              <w:rPr>
                <w:rFonts w:ascii="宋体" w:hAnsi="宋体"/>
                <w:szCs w:val="21"/>
              </w:rPr>
              <w:t>初期雨水</w:t>
            </w:r>
          </w:p>
        </w:tc>
      </w:tr>
      <w:tr w14:paraId="648578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001EAC8B">
            <w:pPr>
              <w:jc w:val="center"/>
              <w:rPr>
                <w:rFonts w:ascii="宋体" w:hAnsi="宋体"/>
                <w:szCs w:val="21"/>
              </w:rPr>
            </w:pPr>
          </w:p>
        </w:tc>
        <w:tc>
          <w:tcPr>
            <w:tcW w:w="653" w:type="pct"/>
            <w:gridSpan w:val="3"/>
            <w:tcMar>
              <w:top w:w="0" w:type="dxa"/>
              <w:left w:w="28" w:type="dxa"/>
              <w:bottom w:w="0" w:type="dxa"/>
              <w:right w:w="28" w:type="dxa"/>
            </w:tcMar>
            <w:vAlign w:val="center"/>
          </w:tcPr>
          <w:p w14:paraId="33CDF716">
            <w:pPr>
              <w:jc w:val="center"/>
              <w:rPr>
                <w:rFonts w:ascii="宋体" w:hAnsi="宋体"/>
                <w:szCs w:val="21"/>
              </w:rPr>
            </w:pPr>
            <w:r>
              <w:rPr>
                <w:rFonts w:ascii="宋体" w:hAnsi="宋体"/>
                <w:szCs w:val="21"/>
              </w:rPr>
              <w:t>噪声治理</w:t>
            </w:r>
          </w:p>
        </w:tc>
        <w:tc>
          <w:tcPr>
            <w:tcW w:w="3271" w:type="pct"/>
            <w:gridSpan w:val="2"/>
            <w:tcMar>
              <w:top w:w="0" w:type="dxa"/>
              <w:left w:w="28" w:type="dxa"/>
              <w:bottom w:w="0" w:type="dxa"/>
              <w:right w:w="28" w:type="dxa"/>
            </w:tcMar>
            <w:vAlign w:val="center"/>
          </w:tcPr>
          <w:p w14:paraId="47722D14">
            <w:pPr>
              <w:ind w:firstLine="360" w:firstLineChars="200"/>
              <w:rPr>
                <w:rFonts w:ascii="宋体" w:hAnsi="宋体"/>
                <w:sz w:val="18"/>
                <w:szCs w:val="18"/>
              </w:rPr>
            </w:pPr>
            <w:r>
              <w:rPr>
                <w:rFonts w:ascii="宋体" w:hAnsi="宋体"/>
                <w:sz w:val="18"/>
                <w:szCs w:val="18"/>
              </w:rPr>
              <w:t>通过优选低噪声设备，动力设备安装减振垫，连接处采用柔性接头，优化布局等方式降低设备噪声；</w:t>
            </w:r>
          </w:p>
          <w:p w14:paraId="02383448">
            <w:pPr>
              <w:ind w:firstLine="360" w:firstLineChars="200"/>
              <w:rPr>
                <w:rFonts w:ascii="宋体" w:hAnsi="宋体"/>
                <w:sz w:val="18"/>
                <w:szCs w:val="18"/>
              </w:rPr>
            </w:pPr>
            <w:r>
              <w:rPr>
                <w:rFonts w:ascii="宋体" w:hAnsi="宋体"/>
                <w:sz w:val="18"/>
                <w:szCs w:val="18"/>
              </w:rPr>
              <w:t>通过控制合理的养殖密度，保障饲料与饮水充足，减少人为惊扰等方式减少牛叫声，将牛舍布置远离周边民居，周边种植绿化，围墙围挡等方式进一步降低；</w:t>
            </w:r>
          </w:p>
          <w:p w14:paraId="113B8310">
            <w:pPr>
              <w:ind w:firstLine="360" w:firstLineChars="200"/>
              <w:jc w:val="both"/>
              <w:rPr>
                <w:rFonts w:ascii="宋体" w:hAnsi="宋体"/>
                <w:sz w:val="18"/>
                <w:szCs w:val="18"/>
              </w:rPr>
            </w:pPr>
            <w:r>
              <w:rPr>
                <w:rFonts w:ascii="宋体" w:hAnsi="宋体"/>
                <w:sz w:val="18"/>
                <w:szCs w:val="18"/>
              </w:rPr>
              <w:t>通过控制车速，禁止鸣笛，避开夜间时段等方式降低养殖场进出车辆噪声影响。</w:t>
            </w:r>
          </w:p>
        </w:tc>
        <w:tc>
          <w:tcPr>
            <w:tcW w:w="406" w:type="pct"/>
            <w:vMerge w:val="continue"/>
            <w:vAlign w:val="center"/>
          </w:tcPr>
          <w:p w14:paraId="63805364">
            <w:pPr>
              <w:jc w:val="center"/>
              <w:rPr>
                <w:rFonts w:ascii="宋体" w:hAnsi="宋体"/>
                <w:szCs w:val="21"/>
              </w:rPr>
            </w:pPr>
          </w:p>
        </w:tc>
        <w:tc>
          <w:tcPr>
            <w:tcW w:w="329" w:type="pct"/>
            <w:tcMar>
              <w:top w:w="0" w:type="dxa"/>
              <w:left w:w="28" w:type="dxa"/>
              <w:bottom w:w="0" w:type="dxa"/>
              <w:right w:w="28" w:type="dxa"/>
            </w:tcMar>
            <w:vAlign w:val="center"/>
          </w:tcPr>
          <w:p w14:paraId="4D0C1B70">
            <w:pPr>
              <w:jc w:val="center"/>
              <w:rPr>
                <w:rFonts w:ascii="宋体" w:hAnsi="宋体"/>
                <w:szCs w:val="21"/>
              </w:rPr>
            </w:pPr>
            <w:r>
              <w:rPr>
                <w:rFonts w:ascii="宋体" w:hAnsi="宋体"/>
                <w:szCs w:val="21"/>
              </w:rPr>
              <w:t>噪声</w:t>
            </w:r>
          </w:p>
        </w:tc>
      </w:tr>
      <w:tr w14:paraId="2BBEEA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6F5B2E76">
            <w:pPr>
              <w:jc w:val="center"/>
              <w:rPr>
                <w:rFonts w:ascii="宋体" w:hAnsi="宋体"/>
                <w:szCs w:val="21"/>
              </w:rPr>
            </w:pPr>
          </w:p>
        </w:tc>
        <w:tc>
          <w:tcPr>
            <w:tcW w:w="296" w:type="pct"/>
            <w:gridSpan w:val="2"/>
            <w:vMerge w:val="restart"/>
            <w:tcMar>
              <w:top w:w="0" w:type="dxa"/>
              <w:left w:w="28" w:type="dxa"/>
              <w:bottom w:w="0" w:type="dxa"/>
              <w:right w:w="28" w:type="dxa"/>
            </w:tcMar>
            <w:vAlign w:val="center"/>
          </w:tcPr>
          <w:p w14:paraId="1812575C">
            <w:pPr>
              <w:jc w:val="center"/>
              <w:rPr>
                <w:rFonts w:ascii="宋体" w:hAnsi="宋体"/>
                <w:szCs w:val="21"/>
              </w:rPr>
            </w:pPr>
            <w:r>
              <w:rPr>
                <w:rFonts w:ascii="宋体" w:hAnsi="宋体"/>
                <w:szCs w:val="21"/>
              </w:rPr>
              <w:t>固废治理</w:t>
            </w:r>
          </w:p>
        </w:tc>
        <w:tc>
          <w:tcPr>
            <w:tcW w:w="357" w:type="pct"/>
            <w:tcMar>
              <w:top w:w="0" w:type="dxa"/>
              <w:left w:w="28" w:type="dxa"/>
              <w:bottom w:w="0" w:type="dxa"/>
              <w:right w:w="28" w:type="dxa"/>
            </w:tcMar>
            <w:vAlign w:val="center"/>
          </w:tcPr>
          <w:p w14:paraId="12AE2CE1">
            <w:pPr>
              <w:jc w:val="center"/>
              <w:rPr>
                <w:rFonts w:ascii="宋体" w:hAnsi="宋体"/>
                <w:szCs w:val="21"/>
              </w:rPr>
            </w:pPr>
            <w:r>
              <w:rPr>
                <w:rFonts w:hint="eastAsia" w:ascii="宋体" w:hAnsi="宋体"/>
                <w:szCs w:val="21"/>
              </w:rPr>
              <w:t>医废</w:t>
            </w:r>
            <w:r>
              <w:rPr>
                <w:rFonts w:ascii="宋体" w:hAnsi="宋体"/>
                <w:szCs w:val="21"/>
              </w:rPr>
              <w:t>暂存间</w:t>
            </w:r>
          </w:p>
        </w:tc>
        <w:tc>
          <w:tcPr>
            <w:tcW w:w="3271" w:type="pct"/>
            <w:gridSpan w:val="2"/>
            <w:tcMar>
              <w:top w:w="0" w:type="dxa"/>
              <w:left w:w="28" w:type="dxa"/>
              <w:bottom w:w="0" w:type="dxa"/>
              <w:right w:w="28" w:type="dxa"/>
            </w:tcMar>
            <w:vAlign w:val="center"/>
          </w:tcPr>
          <w:p w14:paraId="64333C1A">
            <w:pPr>
              <w:ind w:firstLine="360" w:firstLineChars="200"/>
              <w:jc w:val="both"/>
              <w:rPr>
                <w:rFonts w:ascii="宋体" w:hAnsi="宋体"/>
                <w:sz w:val="18"/>
                <w:szCs w:val="18"/>
              </w:rPr>
            </w:pPr>
            <w:r>
              <w:rPr>
                <w:rFonts w:ascii="宋体" w:hAnsi="宋体"/>
                <w:sz w:val="18"/>
                <w:szCs w:val="18"/>
              </w:rPr>
              <w:t>各处养殖场均配置防疫废物暂存间，统一按建筑面积5m</w:t>
            </w:r>
            <w:r>
              <w:rPr>
                <w:rFonts w:ascii="宋体" w:hAnsi="宋体"/>
                <w:sz w:val="18"/>
                <w:szCs w:val="18"/>
                <w:vertAlign w:val="superscript"/>
              </w:rPr>
              <w:t>2</w:t>
            </w:r>
            <w:r>
              <w:rPr>
                <w:rFonts w:ascii="宋体" w:hAnsi="宋体"/>
                <w:sz w:val="18"/>
                <w:szCs w:val="18"/>
              </w:rPr>
              <w:t>建设，砖混结构，用于暂存禽畜防疫废物。本项目设置位于治疗室内。</w:t>
            </w:r>
          </w:p>
        </w:tc>
        <w:tc>
          <w:tcPr>
            <w:tcW w:w="406" w:type="pct"/>
            <w:vMerge w:val="continue"/>
            <w:vAlign w:val="center"/>
          </w:tcPr>
          <w:p w14:paraId="77C7EFD8">
            <w:pPr>
              <w:jc w:val="center"/>
              <w:rPr>
                <w:rFonts w:ascii="宋体" w:hAnsi="宋体"/>
                <w:szCs w:val="21"/>
              </w:rPr>
            </w:pPr>
          </w:p>
        </w:tc>
        <w:tc>
          <w:tcPr>
            <w:tcW w:w="329" w:type="pct"/>
            <w:tcMar>
              <w:top w:w="0" w:type="dxa"/>
              <w:left w:w="28" w:type="dxa"/>
              <w:bottom w:w="0" w:type="dxa"/>
              <w:right w:w="28" w:type="dxa"/>
            </w:tcMar>
            <w:vAlign w:val="center"/>
          </w:tcPr>
          <w:p w14:paraId="4C491BDE">
            <w:pPr>
              <w:jc w:val="center"/>
              <w:rPr>
                <w:rFonts w:ascii="宋体" w:hAnsi="宋体"/>
                <w:szCs w:val="21"/>
              </w:rPr>
            </w:pPr>
            <w:r>
              <w:rPr>
                <w:rFonts w:ascii="宋体" w:hAnsi="宋体"/>
                <w:szCs w:val="21"/>
              </w:rPr>
              <w:t>/</w:t>
            </w:r>
          </w:p>
        </w:tc>
      </w:tr>
      <w:tr w14:paraId="7F7554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56422ABD">
            <w:pPr>
              <w:jc w:val="center"/>
              <w:rPr>
                <w:rFonts w:ascii="宋体" w:hAnsi="宋体"/>
                <w:szCs w:val="21"/>
              </w:rPr>
            </w:pPr>
          </w:p>
        </w:tc>
        <w:tc>
          <w:tcPr>
            <w:tcW w:w="296" w:type="pct"/>
            <w:gridSpan w:val="2"/>
            <w:vMerge w:val="continue"/>
            <w:vAlign w:val="center"/>
          </w:tcPr>
          <w:p w14:paraId="436E68F4">
            <w:pPr>
              <w:jc w:val="center"/>
              <w:rPr>
                <w:rFonts w:ascii="宋体" w:hAnsi="宋体"/>
                <w:szCs w:val="21"/>
              </w:rPr>
            </w:pPr>
          </w:p>
        </w:tc>
        <w:tc>
          <w:tcPr>
            <w:tcW w:w="357" w:type="pct"/>
            <w:tcMar>
              <w:top w:w="0" w:type="dxa"/>
              <w:left w:w="28" w:type="dxa"/>
              <w:bottom w:w="0" w:type="dxa"/>
              <w:right w:w="28" w:type="dxa"/>
            </w:tcMar>
            <w:vAlign w:val="center"/>
          </w:tcPr>
          <w:p w14:paraId="7DBD3FBD">
            <w:pPr>
              <w:jc w:val="center"/>
              <w:rPr>
                <w:rFonts w:ascii="宋体" w:hAnsi="宋体"/>
                <w:szCs w:val="21"/>
              </w:rPr>
            </w:pPr>
            <w:r>
              <w:rPr>
                <w:rFonts w:ascii="宋体" w:hAnsi="宋体"/>
                <w:szCs w:val="21"/>
              </w:rPr>
              <w:t>冷库</w:t>
            </w:r>
          </w:p>
        </w:tc>
        <w:tc>
          <w:tcPr>
            <w:tcW w:w="3271" w:type="pct"/>
            <w:gridSpan w:val="2"/>
            <w:tcMar>
              <w:top w:w="0" w:type="dxa"/>
              <w:left w:w="28" w:type="dxa"/>
              <w:bottom w:w="0" w:type="dxa"/>
              <w:right w:w="28" w:type="dxa"/>
            </w:tcMar>
            <w:vAlign w:val="center"/>
          </w:tcPr>
          <w:p w14:paraId="321869A8">
            <w:pPr>
              <w:ind w:firstLine="360" w:firstLineChars="200"/>
              <w:jc w:val="both"/>
              <w:rPr>
                <w:rFonts w:ascii="宋体" w:hAnsi="宋体"/>
                <w:sz w:val="18"/>
                <w:szCs w:val="18"/>
              </w:rPr>
            </w:pPr>
            <w:r>
              <w:rPr>
                <w:rFonts w:ascii="宋体" w:hAnsi="宋体"/>
                <w:sz w:val="18"/>
                <w:szCs w:val="18"/>
              </w:rPr>
              <w:t>各处养殖场均配置冷库，冷库远离肉牛养殖区，用于病死牛的暂时存储，定期转交病死牛无害化处置协议单位处置。冷库配备紫外线灯消毒设备，进出人员需严格消毒。</w:t>
            </w:r>
          </w:p>
        </w:tc>
        <w:tc>
          <w:tcPr>
            <w:tcW w:w="406" w:type="pct"/>
            <w:vMerge w:val="continue"/>
            <w:vAlign w:val="center"/>
          </w:tcPr>
          <w:p w14:paraId="0D1A352C">
            <w:pPr>
              <w:jc w:val="center"/>
              <w:rPr>
                <w:rFonts w:ascii="宋体" w:hAnsi="宋体"/>
                <w:szCs w:val="21"/>
              </w:rPr>
            </w:pPr>
          </w:p>
        </w:tc>
        <w:tc>
          <w:tcPr>
            <w:tcW w:w="329" w:type="pct"/>
            <w:tcMar>
              <w:top w:w="0" w:type="dxa"/>
              <w:left w:w="28" w:type="dxa"/>
              <w:bottom w:w="0" w:type="dxa"/>
              <w:right w:w="28" w:type="dxa"/>
            </w:tcMar>
            <w:vAlign w:val="center"/>
          </w:tcPr>
          <w:p w14:paraId="4176A3C3">
            <w:pPr>
              <w:jc w:val="center"/>
              <w:rPr>
                <w:rFonts w:ascii="宋体" w:hAnsi="宋体"/>
                <w:szCs w:val="21"/>
              </w:rPr>
            </w:pPr>
            <w:r>
              <w:rPr>
                <w:rFonts w:ascii="宋体" w:hAnsi="宋体"/>
                <w:szCs w:val="21"/>
              </w:rPr>
              <w:t>/</w:t>
            </w:r>
          </w:p>
        </w:tc>
      </w:tr>
      <w:tr w14:paraId="3FFE62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53309785">
            <w:pPr>
              <w:jc w:val="center"/>
              <w:rPr>
                <w:rFonts w:ascii="宋体" w:hAnsi="宋体"/>
                <w:szCs w:val="21"/>
              </w:rPr>
            </w:pPr>
          </w:p>
        </w:tc>
        <w:tc>
          <w:tcPr>
            <w:tcW w:w="653" w:type="pct"/>
            <w:gridSpan w:val="3"/>
            <w:tcMar>
              <w:top w:w="0" w:type="dxa"/>
              <w:left w:w="28" w:type="dxa"/>
              <w:bottom w:w="0" w:type="dxa"/>
              <w:right w:w="28" w:type="dxa"/>
            </w:tcMar>
            <w:vAlign w:val="center"/>
          </w:tcPr>
          <w:p w14:paraId="0A3198F8">
            <w:pPr>
              <w:jc w:val="center"/>
              <w:rPr>
                <w:rFonts w:ascii="宋体" w:hAnsi="宋体"/>
                <w:szCs w:val="21"/>
              </w:rPr>
            </w:pPr>
            <w:r>
              <w:rPr>
                <w:rFonts w:ascii="宋体" w:hAnsi="宋体"/>
                <w:szCs w:val="21"/>
              </w:rPr>
              <w:t>地下水及土壤污染防治</w:t>
            </w:r>
          </w:p>
        </w:tc>
        <w:tc>
          <w:tcPr>
            <w:tcW w:w="3271" w:type="pct"/>
            <w:gridSpan w:val="2"/>
            <w:tcMar>
              <w:top w:w="0" w:type="dxa"/>
              <w:left w:w="28" w:type="dxa"/>
              <w:bottom w:w="0" w:type="dxa"/>
              <w:right w:w="28" w:type="dxa"/>
            </w:tcMar>
            <w:vAlign w:val="center"/>
          </w:tcPr>
          <w:p w14:paraId="4972A580">
            <w:pPr>
              <w:ind w:firstLine="360" w:firstLineChars="200"/>
              <w:rPr>
                <w:rFonts w:ascii="宋体" w:hAnsi="宋体"/>
                <w:sz w:val="18"/>
                <w:szCs w:val="18"/>
              </w:rPr>
            </w:pPr>
            <w:r>
              <w:rPr>
                <w:rFonts w:ascii="宋体" w:hAnsi="宋体"/>
                <w:sz w:val="18"/>
                <w:szCs w:val="18"/>
              </w:rPr>
              <w:t>防疫废物暂存间、柴油发电机房、青贮窖</w:t>
            </w:r>
            <w:r>
              <w:rPr>
                <w:rFonts w:hint="eastAsia" w:ascii="宋体" w:hAnsi="宋体"/>
                <w:sz w:val="18"/>
                <w:szCs w:val="18"/>
              </w:rPr>
              <w:t>窖池</w:t>
            </w:r>
            <w:r>
              <w:rPr>
                <w:rFonts w:ascii="宋体" w:hAnsi="宋体"/>
                <w:sz w:val="18"/>
                <w:szCs w:val="18"/>
              </w:rPr>
              <w:t>、</w:t>
            </w:r>
            <w:r>
              <w:rPr>
                <w:rFonts w:hint="eastAsia" w:ascii="宋体" w:hAnsi="宋体"/>
                <w:sz w:val="18"/>
                <w:szCs w:val="18"/>
              </w:rPr>
              <w:t>医废</w:t>
            </w:r>
            <w:r>
              <w:rPr>
                <w:rFonts w:ascii="宋体" w:hAnsi="宋体"/>
                <w:sz w:val="18"/>
                <w:szCs w:val="18"/>
              </w:rPr>
              <w:t>暂存间重点防渗，防渗层为至少1m厚黏土层（渗透系数不大于10</w:t>
            </w:r>
            <w:r>
              <w:rPr>
                <w:rFonts w:ascii="宋体" w:hAnsi="宋体"/>
                <w:sz w:val="18"/>
                <w:szCs w:val="18"/>
                <w:vertAlign w:val="superscript"/>
              </w:rPr>
              <w:t>-7</w:t>
            </w:r>
            <w:r>
              <w:rPr>
                <w:rFonts w:ascii="宋体" w:hAnsi="宋体"/>
                <w:sz w:val="18"/>
                <w:szCs w:val="18"/>
              </w:rPr>
              <w:t>cm/s），或至少2mm厚高密度聚乙烯膜等人工防渗材料（渗透系数不大于10</w:t>
            </w:r>
            <w:r>
              <w:rPr>
                <w:rFonts w:ascii="宋体" w:hAnsi="宋体"/>
                <w:sz w:val="18"/>
                <w:szCs w:val="18"/>
                <w:vertAlign w:val="superscript"/>
              </w:rPr>
              <w:t>-10</w:t>
            </w:r>
            <w:r>
              <w:rPr>
                <w:rFonts w:ascii="宋体" w:hAnsi="宋体"/>
                <w:sz w:val="18"/>
                <w:szCs w:val="18"/>
              </w:rPr>
              <w:t>cm/s）；</w:t>
            </w:r>
          </w:p>
          <w:p w14:paraId="4E43FB70">
            <w:pPr>
              <w:ind w:firstLine="360" w:firstLineChars="200"/>
              <w:rPr>
                <w:rFonts w:ascii="宋体" w:hAnsi="宋体"/>
                <w:sz w:val="18"/>
                <w:szCs w:val="18"/>
              </w:rPr>
            </w:pPr>
            <w:r>
              <w:rPr>
                <w:rFonts w:ascii="宋体" w:hAnsi="宋体"/>
                <w:sz w:val="18"/>
                <w:szCs w:val="18"/>
              </w:rPr>
              <w:t>圈舍、隔离舍、化粪池、药品库房采取一般防渗，要求其等效黏土防渗层Mb≥1.5m，渗透系数K≤1.0×10</w:t>
            </w:r>
            <w:r>
              <w:rPr>
                <w:rFonts w:ascii="宋体" w:hAnsi="宋体"/>
                <w:sz w:val="18"/>
                <w:szCs w:val="18"/>
                <w:vertAlign w:val="superscript"/>
              </w:rPr>
              <w:t>-7</w:t>
            </w:r>
            <w:r>
              <w:rPr>
                <w:rFonts w:ascii="宋体" w:hAnsi="宋体"/>
                <w:sz w:val="18"/>
                <w:szCs w:val="18"/>
              </w:rPr>
              <w:t>cm/s；</w:t>
            </w:r>
          </w:p>
          <w:p w14:paraId="4B5600EE">
            <w:pPr>
              <w:ind w:firstLine="360" w:firstLineChars="200"/>
              <w:jc w:val="both"/>
              <w:rPr>
                <w:rFonts w:ascii="宋体" w:hAnsi="宋体"/>
                <w:sz w:val="18"/>
                <w:szCs w:val="18"/>
              </w:rPr>
            </w:pPr>
            <w:r>
              <w:rPr>
                <w:rFonts w:ascii="宋体" w:hAnsi="宋体"/>
                <w:sz w:val="18"/>
                <w:szCs w:val="18"/>
              </w:rPr>
              <w:t>办公生活区、道路、饲料加工间等采取简易防渗，地面硬化处理。</w:t>
            </w:r>
          </w:p>
        </w:tc>
        <w:tc>
          <w:tcPr>
            <w:tcW w:w="406" w:type="pct"/>
            <w:vMerge w:val="continue"/>
            <w:vAlign w:val="center"/>
          </w:tcPr>
          <w:p w14:paraId="1F0D302C">
            <w:pPr>
              <w:jc w:val="center"/>
              <w:rPr>
                <w:rFonts w:ascii="宋体" w:hAnsi="宋体"/>
                <w:szCs w:val="21"/>
              </w:rPr>
            </w:pPr>
          </w:p>
        </w:tc>
        <w:tc>
          <w:tcPr>
            <w:tcW w:w="329" w:type="pct"/>
            <w:tcMar>
              <w:top w:w="0" w:type="dxa"/>
              <w:left w:w="28" w:type="dxa"/>
              <w:bottom w:w="0" w:type="dxa"/>
              <w:right w:w="28" w:type="dxa"/>
            </w:tcMar>
            <w:vAlign w:val="center"/>
          </w:tcPr>
          <w:p w14:paraId="57FDD5C2">
            <w:pPr>
              <w:jc w:val="center"/>
              <w:rPr>
                <w:rFonts w:ascii="宋体" w:hAnsi="宋体"/>
                <w:szCs w:val="21"/>
              </w:rPr>
            </w:pPr>
            <w:r>
              <w:rPr>
                <w:rFonts w:ascii="宋体" w:hAnsi="宋体"/>
                <w:szCs w:val="21"/>
              </w:rPr>
              <w:t>/</w:t>
            </w:r>
          </w:p>
        </w:tc>
      </w:tr>
      <w:tr w14:paraId="6A181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1" w:type="pct"/>
            <w:vMerge w:val="continue"/>
            <w:vAlign w:val="center"/>
          </w:tcPr>
          <w:p w14:paraId="1D080A26">
            <w:pPr>
              <w:jc w:val="center"/>
              <w:rPr>
                <w:rFonts w:ascii="宋体" w:hAnsi="宋体"/>
                <w:szCs w:val="21"/>
              </w:rPr>
            </w:pPr>
          </w:p>
        </w:tc>
        <w:tc>
          <w:tcPr>
            <w:tcW w:w="653" w:type="pct"/>
            <w:gridSpan w:val="3"/>
            <w:tcMar>
              <w:top w:w="0" w:type="dxa"/>
              <w:left w:w="28" w:type="dxa"/>
              <w:bottom w:w="0" w:type="dxa"/>
              <w:right w:w="28" w:type="dxa"/>
            </w:tcMar>
            <w:vAlign w:val="center"/>
          </w:tcPr>
          <w:p w14:paraId="587A0C13">
            <w:pPr>
              <w:jc w:val="center"/>
              <w:rPr>
                <w:rFonts w:ascii="宋体" w:hAnsi="宋体"/>
                <w:szCs w:val="21"/>
              </w:rPr>
            </w:pPr>
            <w:r>
              <w:rPr>
                <w:rFonts w:ascii="宋体" w:hAnsi="宋体"/>
                <w:szCs w:val="21"/>
              </w:rPr>
              <w:t>绿化</w:t>
            </w:r>
          </w:p>
        </w:tc>
        <w:tc>
          <w:tcPr>
            <w:tcW w:w="1342" w:type="pct"/>
            <w:tcMar>
              <w:top w:w="0" w:type="dxa"/>
              <w:left w:w="28" w:type="dxa"/>
              <w:bottom w:w="0" w:type="dxa"/>
              <w:right w:w="28" w:type="dxa"/>
            </w:tcMar>
            <w:vAlign w:val="center"/>
          </w:tcPr>
          <w:p w14:paraId="6C720F75">
            <w:pPr>
              <w:ind w:firstLine="360" w:firstLineChars="200"/>
              <w:jc w:val="both"/>
              <w:rPr>
                <w:rFonts w:ascii="宋体" w:hAnsi="宋体"/>
                <w:sz w:val="18"/>
                <w:szCs w:val="18"/>
              </w:rPr>
            </w:pPr>
            <w:r>
              <w:rPr>
                <w:rFonts w:ascii="宋体" w:hAnsi="宋体"/>
                <w:sz w:val="18"/>
                <w:szCs w:val="18"/>
              </w:rPr>
              <w:t>养殖场内非建筑、构筑物设施及场地外，其余区域绿化，绿化采用饲草皇竹草作为绿化植被。</w:t>
            </w:r>
          </w:p>
        </w:tc>
        <w:tc>
          <w:tcPr>
            <w:tcW w:w="1929" w:type="pct"/>
            <w:vAlign w:val="center"/>
          </w:tcPr>
          <w:p w14:paraId="536ED44D">
            <w:pPr>
              <w:ind w:firstLine="360" w:firstLineChars="200"/>
              <w:jc w:val="both"/>
              <w:rPr>
                <w:rFonts w:ascii="宋体" w:hAnsi="宋体"/>
                <w:sz w:val="18"/>
                <w:szCs w:val="18"/>
              </w:rPr>
            </w:pPr>
            <w:r>
              <w:rPr>
                <w:rFonts w:hint="eastAsia" w:ascii="宋体" w:hAnsi="宋体"/>
                <w:color w:val="000000" w:themeColor="text1"/>
                <w:sz w:val="18"/>
                <w:szCs w:val="18"/>
                <w14:textFill>
                  <w14:solidFill>
                    <w14:schemeClr w14:val="tx1"/>
                  </w14:solidFill>
                </w14:textFill>
              </w:rPr>
              <w:t>其中百花养殖场区绿化面积29000m</w:t>
            </w:r>
            <w:r>
              <w:rPr>
                <w:rFonts w:hint="eastAsia"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；佛龙养殖场区绿化面积20000m</w:t>
            </w:r>
            <w:r>
              <w:rPr>
                <w:rFonts w:hint="eastAsia"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；塘坝养殖场区绿化面积29000m</w:t>
            </w:r>
            <w:r>
              <w:rPr>
                <w:rFonts w:hint="eastAsia"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；始宁养殖场区绿化面积20000m</w:t>
            </w:r>
            <w:r>
              <w:rPr>
                <w:rFonts w:hint="eastAsia" w:ascii="宋体" w:hAnsi="宋体"/>
                <w:color w:val="000000" w:themeColor="text1"/>
                <w:sz w:val="18"/>
                <w:szCs w:val="18"/>
                <w:vertAlign w:val="superscript"/>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w:t>
            </w:r>
          </w:p>
        </w:tc>
        <w:tc>
          <w:tcPr>
            <w:tcW w:w="406" w:type="pct"/>
            <w:vMerge w:val="continue"/>
            <w:vAlign w:val="center"/>
          </w:tcPr>
          <w:p w14:paraId="4D56E568">
            <w:pPr>
              <w:jc w:val="center"/>
              <w:rPr>
                <w:rFonts w:ascii="宋体" w:hAnsi="宋体"/>
                <w:szCs w:val="21"/>
              </w:rPr>
            </w:pPr>
          </w:p>
        </w:tc>
        <w:tc>
          <w:tcPr>
            <w:tcW w:w="329" w:type="pct"/>
            <w:tcMar>
              <w:top w:w="0" w:type="dxa"/>
              <w:left w:w="28" w:type="dxa"/>
              <w:bottom w:w="0" w:type="dxa"/>
              <w:right w:w="28" w:type="dxa"/>
            </w:tcMar>
            <w:vAlign w:val="center"/>
          </w:tcPr>
          <w:p w14:paraId="19ABACFC">
            <w:pPr>
              <w:jc w:val="center"/>
              <w:rPr>
                <w:rFonts w:ascii="宋体" w:hAnsi="宋体"/>
                <w:szCs w:val="21"/>
              </w:rPr>
            </w:pPr>
            <w:r>
              <w:rPr>
                <w:rFonts w:ascii="宋体" w:hAnsi="宋体"/>
                <w:szCs w:val="21"/>
              </w:rPr>
              <w:t>/</w:t>
            </w:r>
          </w:p>
        </w:tc>
      </w:tr>
    </w:tbl>
    <w:p w14:paraId="61D32F23">
      <w:pPr>
        <w:rPr>
          <w:rFonts w:eastAsia="黑体"/>
          <w:szCs w:val="21"/>
        </w:rPr>
        <w:sectPr>
          <w:footerReference r:id="rId13" w:type="default"/>
          <w:pgSz w:w="16840" w:h="11907" w:orient="landscape"/>
          <w:pgMar w:top="1797" w:right="1440" w:bottom="1797" w:left="1440" w:header="851" w:footer="992" w:gutter="0"/>
          <w:cols w:space="720" w:num="1"/>
          <w:docGrid w:linePitch="286" w:charSpace="0"/>
        </w:sectPr>
      </w:pPr>
    </w:p>
    <w:bookmarkEnd w:id="300"/>
    <w:p w14:paraId="1E72D232">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312" w:name="_Toc233380154"/>
      <w:r>
        <w:rPr>
          <w:rFonts w:ascii="Times New Roman" w:hAnsi="Times New Roman" w:eastAsia="宋体"/>
          <w:color w:val="000000" w:themeColor="text1"/>
          <w:sz w:val="30"/>
          <w:szCs w:val="30"/>
          <w14:textFill>
            <w14:solidFill>
              <w14:schemeClr w14:val="tx1"/>
            </w14:solidFill>
          </w14:textFill>
        </w:rPr>
        <w:t>3.3主要原辅料及动力消耗</w:t>
      </w:r>
      <w:bookmarkEnd w:id="298"/>
      <w:bookmarkEnd w:id="299"/>
      <w:bookmarkEnd w:id="312"/>
    </w:p>
    <w:p w14:paraId="35F6830F">
      <w:pPr>
        <w:pStyle w:val="5"/>
        <w:spacing w:before="0" w:after="0" w:line="360" w:lineRule="auto"/>
        <w:rPr>
          <w:color w:val="000000" w:themeColor="text1"/>
          <w:sz w:val="28"/>
          <w:szCs w:val="28"/>
          <w14:textFill>
            <w14:solidFill>
              <w14:schemeClr w14:val="tx1"/>
            </w14:solidFill>
          </w14:textFill>
        </w:rPr>
      </w:pPr>
      <w:bookmarkStart w:id="313" w:name="_Toc21529569"/>
      <w:bookmarkStart w:id="314" w:name="_Toc14649"/>
      <w:bookmarkStart w:id="315" w:name="_Toc233380155"/>
      <w:bookmarkStart w:id="316" w:name="_Toc28814589"/>
      <w:bookmarkStart w:id="317" w:name="_Toc40220667"/>
      <w:bookmarkStart w:id="318" w:name="_Toc27751105"/>
      <w:r>
        <w:rPr>
          <w:color w:val="000000" w:themeColor="text1"/>
          <w:sz w:val="28"/>
          <w:szCs w:val="28"/>
          <w14:textFill>
            <w14:solidFill>
              <w14:schemeClr w14:val="tx1"/>
            </w14:solidFill>
          </w14:textFill>
        </w:rPr>
        <w:t>3.3.1</w:t>
      </w:r>
      <w:bookmarkEnd w:id="313"/>
      <w:r>
        <w:rPr>
          <w:color w:val="000000" w:themeColor="text1"/>
          <w:sz w:val="28"/>
          <w:szCs w:val="28"/>
          <w14:textFill>
            <w14:solidFill>
              <w14:schemeClr w14:val="tx1"/>
            </w14:solidFill>
          </w14:textFill>
        </w:rPr>
        <w:t>主要原辅材料及能耗情况</w:t>
      </w:r>
      <w:bookmarkEnd w:id="314"/>
      <w:bookmarkEnd w:id="315"/>
      <w:bookmarkEnd w:id="316"/>
      <w:bookmarkEnd w:id="317"/>
      <w:bookmarkEnd w:id="318"/>
    </w:p>
    <w:p w14:paraId="4D0EA772">
      <w:pPr>
        <w:adjustRightInd w:val="0"/>
        <w:snapToGrid w:val="0"/>
        <w:spacing w:line="360" w:lineRule="auto"/>
        <w:ind w:firstLine="480" w:firstLineChars="200"/>
        <w:rPr>
          <w:color w:val="000000" w:themeColor="text1"/>
          <w:sz w:val="24"/>
          <w14:textFill>
            <w14:solidFill>
              <w14:schemeClr w14:val="tx1"/>
            </w14:solidFill>
          </w14:textFill>
        </w:rPr>
      </w:pPr>
      <w:bookmarkStart w:id="319" w:name="_Toc8868"/>
      <w:bookmarkStart w:id="320" w:name="_Toc28814590"/>
      <w:bookmarkStart w:id="321" w:name="_Toc27751106"/>
      <w:bookmarkStart w:id="322" w:name="_Toc40220668"/>
      <w:r>
        <w:rPr>
          <w:color w:val="000000" w:themeColor="text1"/>
          <w:sz w:val="24"/>
          <w14:textFill>
            <w14:solidFill>
              <w14:schemeClr w14:val="tx1"/>
            </w14:solidFill>
          </w14:textFill>
        </w:rPr>
        <w:t>本项目为肉牛养殖，</w:t>
      </w:r>
      <w:r>
        <w:rPr>
          <w:sz w:val="24"/>
        </w:rPr>
        <w:t>所需要的原辅材料主要为饲料、消毒剂等</w:t>
      </w:r>
      <w:r>
        <w:rPr>
          <w:color w:val="000000" w:themeColor="text1"/>
          <w:sz w:val="24"/>
          <w14:textFill>
            <w14:solidFill>
              <w14:schemeClr w14:val="tx1"/>
            </w14:solidFill>
          </w14:textFill>
        </w:rPr>
        <w:t>。能源主要为电力。项目地处农村环境，周边分布有大量耕地，牧草、秸秆等农作物及其农作废弃物充足，可满足项目生产需要，同时能实现废物综合利用。</w:t>
      </w:r>
    </w:p>
    <w:p w14:paraId="463AA7D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项目育肥牛用饲料主要为饲料精料、秸秆以及青贮料等。</w:t>
      </w:r>
    </w:p>
    <w:p w14:paraId="5344C9E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根据建设单位提供资料，项目育肥牛育肥周期为6个月，育肥牛达到出栏标准即出栏，则育肥牛喂养周期为180天。饲料精料和青贮料成品消耗量见下表：</w:t>
      </w:r>
    </w:p>
    <w:p w14:paraId="1101851F">
      <w:pPr>
        <w:pStyle w:val="1771"/>
        <w:spacing w:line="360" w:lineRule="auto"/>
        <w:rPr>
          <w:rFonts w:eastAsia="黑体"/>
          <w:b w:val="0"/>
          <w:bCs/>
          <w:snapToGrid w:val="0"/>
          <w:color w:val="000000" w:themeColor="text1"/>
          <w:szCs w:val="21"/>
          <w14:textFill>
            <w14:solidFill>
              <w14:schemeClr w14:val="tx1"/>
            </w14:solidFill>
          </w14:textFill>
        </w:rPr>
      </w:pPr>
      <w:bookmarkStart w:id="323" w:name="OLE_LINK143"/>
      <w:bookmarkStart w:id="324" w:name="OLE_LINK142"/>
      <w:r>
        <w:rPr>
          <w:rFonts w:hint="eastAsia" w:eastAsia="黑体"/>
          <w:b w:val="0"/>
          <w:bCs/>
          <w:snapToGrid w:val="0"/>
          <w:color w:val="000000" w:themeColor="text1"/>
          <w:szCs w:val="21"/>
          <w14:textFill>
            <w14:solidFill>
              <w14:schemeClr w14:val="tx1"/>
            </w14:solidFill>
          </w14:textFill>
        </w:rPr>
        <w:t>3.</w:t>
      </w:r>
      <w:r>
        <w:rPr>
          <w:rFonts w:eastAsia="黑体"/>
          <w:b w:val="0"/>
          <w:bCs/>
          <w:snapToGrid w:val="0"/>
          <w:color w:val="000000" w:themeColor="text1"/>
          <w:szCs w:val="21"/>
          <w14:textFill>
            <w14:solidFill>
              <w14:schemeClr w14:val="tx1"/>
            </w14:solidFill>
          </w14:textFill>
        </w:rPr>
        <w:t>3.1-1饲料消耗定额及消耗量一览表</w:t>
      </w:r>
    </w:p>
    <w:bookmarkEnd w:id="323"/>
    <w:bookmarkEnd w:id="324"/>
    <w:tbl>
      <w:tblPr>
        <w:tblStyle w:val="8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7"/>
        <w:gridCol w:w="1187"/>
        <w:gridCol w:w="1187"/>
        <w:gridCol w:w="1189"/>
        <w:gridCol w:w="1189"/>
        <w:gridCol w:w="1290"/>
        <w:gridCol w:w="1084"/>
      </w:tblGrid>
      <w:tr w14:paraId="1A51DB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Merge w:val="restart"/>
            <w:vAlign w:val="center"/>
          </w:tcPr>
          <w:p w14:paraId="025CBB93">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存栏规模（头）</w:t>
            </w:r>
          </w:p>
        </w:tc>
        <w:tc>
          <w:tcPr>
            <w:tcW w:w="1428" w:type="pct"/>
            <w:gridSpan w:val="2"/>
            <w:vAlign w:val="center"/>
          </w:tcPr>
          <w:p w14:paraId="3A94AA8E">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饲料精料</w:t>
            </w:r>
          </w:p>
        </w:tc>
        <w:tc>
          <w:tcPr>
            <w:tcW w:w="1430" w:type="pct"/>
            <w:gridSpan w:val="2"/>
            <w:vAlign w:val="center"/>
          </w:tcPr>
          <w:p w14:paraId="14611723">
            <w:pPr>
              <w:pStyle w:val="1771"/>
              <w:widowControl w:val="0"/>
              <w:rPr>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干草</w:t>
            </w:r>
          </w:p>
        </w:tc>
        <w:tc>
          <w:tcPr>
            <w:tcW w:w="1428" w:type="pct"/>
            <w:gridSpan w:val="2"/>
            <w:vAlign w:val="center"/>
          </w:tcPr>
          <w:p w14:paraId="745FCD3F">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青贮料</w:t>
            </w:r>
          </w:p>
        </w:tc>
      </w:tr>
      <w:tr w14:paraId="4417B1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Merge w:val="continue"/>
            <w:vAlign w:val="center"/>
          </w:tcPr>
          <w:p w14:paraId="51609F31">
            <w:pPr>
              <w:pStyle w:val="1771"/>
              <w:widowControl w:val="0"/>
              <w:rPr>
                <w:b w:val="0"/>
                <w:bCs/>
                <w:snapToGrid w:val="0"/>
                <w:color w:val="000000" w:themeColor="text1"/>
                <w:szCs w:val="21"/>
                <w14:textFill>
                  <w14:solidFill>
                    <w14:schemeClr w14:val="tx1"/>
                  </w14:solidFill>
                </w14:textFill>
              </w:rPr>
            </w:pPr>
          </w:p>
        </w:tc>
        <w:tc>
          <w:tcPr>
            <w:tcW w:w="714" w:type="pct"/>
            <w:vAlign w:val="center"/>
          </w:tcPr>
          <w:p w14:paraId="02C7F505">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定额（kg/d*头）</w:t>
            </w:r>
          </w:p>
        </w:tc>
        <w:tc>
          <w:tcPr>
            <w:tcW w:w="714" w:type="pct"/>
            <w:vAlign w:val="center"/>
          </w:tcPr>
          <w:p w14:paraId="4C0F689A">
            <w:pPr>
              <w:pStyle w:val="1771"/>
              <w:widowControl w:val="0"/>
              <w:rPr>
                <w:b w:val="0"/>
                <w:bCs/>
                <w:snapToGrid w:val="0"/>
                <w:color w:val="000000" w:themeColor="text1"/>
                <w:szCs w:val="21"/>
                <w14:textFill>
                  <w14:solidFill>
                    <w14:schemeClr w14:val="tx1"/>
                  </w14:solidFill>
                </w14:textFill>
              </w:rPr>
            </w:pPr>
            <w:bookmarkStart w:id="325" w:name="OLE_LINK54"/>
            <w:bookmarkStart w:id="326" w:name="OLE_LINK55"/>
            <w:r>
              <w:rPr>
                <w:b w:val="0"/>
                <w:bCs/>
                <w:snapToGrid w:val="0"/>
                <w:color w:val="000000" w:themeColor="text1"/>
                <w:szCs w:val="21"/>
                <w14:textFill>
                  <w14:solidFill>
                    <w14:schemeClr w14:val="tx1"/>
                  </w14:solidFill>
                </w14:textFill>
              </w:rPr>
              <w:t>年消耗量（t/a）</w:t>
            </w:r>
            <w:bookmarkEnd w:id="325"/>
            <w:bookmarkEnd w:id="326"/>
          </w:p>
        </w:tc>
        <w:tc>
          <w:tcPr>
            <w:tcW w:w="715" w:type="pct"/>
            <w:vAlign w:val="center"/>
          </w:tcPr>
          <w:p w14:paraId="5054E21D">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定额（kg/d*头）</w:t>
            </w:r>
          </w:p>
        </w:tc>
        <w:tc>
          <w:tcPr>
            <w:tcW w:w="715" w:type="pct"/>
            <w:vAlign w:val="center"/>
          </w:tcPr>
          <w:p w14:paraId="727BB9CE">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年消耗量（t/a）</w:t>
            </w:r>
          </w:p>
        </w:tc>
        <w:tc>
          <w:tcPr>
            <w:tcW w:w="776" w:type="pct"/>
            <w:vAlign w:val="center"/>
          </w:tcPr>
          <w:p w14:paraId="062CC719">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定额（kg/d*头）</w:t>
            </w:r>
          </w:p>
        </w:tc>
        <w:tc>
          <w:tcPr>
            <w:tcW w:w="652" w:type="pct"/>
            <w:vAlign w:val="center"/>
          </w:tcPr>
          <w:p w14:paraId="7EDECAD1">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年消耗量（t/a）</w:t>
            </w:r>
          </w:p>
        </w:tc>
      </w:tr>
      <w:tr w14:paraId="5B71AD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5C0A2BDF">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安格斯牛/9690头</w:t>
            </w:r>
          </w:p>
        </w:tc>
        <w:tc>
          <w:tcPr>
            <w:tcW w:w="714" w:type="pct"/>
            <w:vAlign w:val="center"/>
          </w:tcPr>
          <w:p w14:paraId="0D41FB28">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10</w:t>
            </w:r>
          </w:p>
        </w:tc>
        <w:tc>
          <w:tcPr>
            <w:tcW w:w="714" w:type="pct"/>
            <w:vAlign w:val="center"/>
          </w:tcPr>
          <w:p w14:paraId="374CEBA6">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34884</w:t>
            </w:r>
          </w:p>
        </w:tc>
        <w:tc>
          <w:tcPr>
            <w:tcW w:w="715" w:type="pct"/>
            <w:vAlign w:val="center"/>
          </w:tcPr>
          <w:p w14:paraId="6FEEAD93">
            <w:pPr>
              <w:pStyle w:val="1771"/>
              <w:widowControl w:val="0"/>
              <w:rPr>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3</w:t>
            </w:r>
            <w:r>
              <w:rPr>
                <w:b w:val="0"/>
                <w:bCs/>
                <w:snapToGrid w:val="0"/>
                <w:color w:val="000000" w:themeColor="text1"/>
                <w:szCs w:val="21"/>
                <w14:textFill>
                  <w14:solidFill>
                    <w14:schemeClr w14:val="tx1"/>
                  </w14:solidFill>
                </w14:textFill>
              </w:rPr>
              <w:t>.2</w:t>
            </w:r>
          </w:p>
        </w:tc>
        <w:tc>
          <w:tcPr>
            <w:tcW w:w="715" w:type="pct"/>
            <w:vAlign w:val="center"/>
          </w:tcPr>
          <w:p w14:paraId="3DA0E317">
            <w:pPr>
              <w:pStyle w:val="1771"/>
              <w:widowControl w:val="0"/>
              <w:rPr>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1</w:t>
            </w:r>
            <w:r>
              <w:rPr>
                <w:b w:val="0"/>
                <w:bCs/>
                <w:snapToGrid w:val="0"/>
                <w:color w:val="000000" w:themeColor="text1"/>
                <w:szCs w:val="21"/>
                <w14:textFill>
                  <w14:solidFill>
                    <w14:schemeClr w14:val="tx1"/>
                  </w14:solidFill>
                </w14:textFill>
              </w:rPr>
              <w:t>1162.88</w:t>
            </w:r>
          </w:p>
        </w:tc>
        <w:tc>
          <w:tcPr>
            <w:tcW w:w="776" w:type="pct"/>
            <w:vAlign w:val="center"/>
          </w:tcPr>
          <w:p w14:paraId="1CF90909">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7.1</w:t>
            </w:r>
          </w:p>
        </w:tc>
        <w:tc>
          <w:tcPr>
            <w:tcW w:w="652" w:type="pct"/>
            <w:vAlign w:val="center"/>
          </w:tcPr>
          <w:p w14:paraId="18DC6DEC">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24767.64</w:t>
            </w:r>
          </w:p>
        </w:tc>
      </w:tr>
      <w:tr w14:paraId="16C2C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331745BB">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空山牛/900头</w:t>
            </w:r>
          </w:p>
        </w:tc>
        <w:tc>
          <w:tcPr>
            <w:tcW w:w="714" w:type="pct"/>
            <w:vAlign w:val="center"/>
          </w:tcPr>
          <w:p w14:paraId="1EDAD893">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8</w:t>
            </w:r>
          </w:p>
        </w:tc>
        <w:tc>
          <w:tcPr>
            <w:tcW w:w="714" w:type="pct"/>
            <w:vAlign w:val="center"/>
          </w:tcPr>
          <w:p w14:paraId="4CB33760">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2592</w:t>
            </w:r>
          </w:p>
        </w:tc>
        <w:tc>
          <w:tcPr>
            <w:tcW w:w="715" w:type="pct"/>
            <w:vAlign w:val="center"/>
          </w:tcPr>
          <w:p w14:paraId="1C81109C">
            <w:pPr>
              <w:pStyle w:val="1771"/>
              <w:widowControl w:val="0"/>
              <w:rPr>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2</w:t>
            </w:r>
            <w:r>
              <w:rPr>
                <w:b w:val="0"/>
                <w:bCs/>
                <w:snapToGrid w:val="0"/>
                <w:color w:val="000000" w:themeColor="text1"/>
                <w:szCs w:val="21"/>
                <w14:textFill>
                  <w14:solidFill>
                    <w14:schemeClr w14:val="tx1"/>
                  </w14:solidFill>
                </w14:textFill>
              </w:rPr>
              <w:t>.6</w:t>
            </w:r>
          </w:p>
        </w:tc>
        <w:tc>
          <w:tcPr>
            <w:tcW w:w="715" w:type="pct"/>
            <w:vAlign w:val="center"/>
          </w:tcPr>
          <w:p w14:paraId="60A4A431">
            <w:pPr>
              <w:pStyle w:val="1771"/>
              <w:widowControl w:val="0"/>
              <w:rPr>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8</w:t>
            </w:r>
            <w:r>
              <w:rPr>
                <w:b w:val="0"/>
                <w:bCs/>
                <w:snapToGrid w:val="0"/>
                <w:color w:val="000000" w:themeColor="text1"/>
                <w:szCs w:val="21"/>
                <w14:textFill>
                  <w14:solidFill>
                    <w14:schemeClr w14:val="tx1"/>
                  </w14:solidFill>
                </w14:textFill>
              </w:rPr>
              <w:t>42.4</w:t>
            </w:r>
          </w:p>
        </w:tc>
        <w:tc>
          <w:tcPr>
            <w:tcW w:w="776" w:type="pct"/>
            <w:vAlign w:val="center"/>
          </w:tcPr>
          <w:p w14:paraId="12602BA7">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5.6</w:t>
            </w:r>
          </w:p>
        </w:tc>
        <w:tc>
          <w:tcPr>
            <w:tcW w:w="652" w:type="pct"/>
            <w:vAlign w:val="center"/>
          </w:tcPr>
          <w:p w14:paraId="0E776DFA">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1814.4</w:t>
            </w:r>
          </w:p>
        </w:tc>
      </w:tr>
      <w:tr w14:paraId="60C2B1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4" w:type="pct"/>
            <w:vAlign w:val="center"/>
          </w:tcPr>
          <w:p w14:paraId="4A6BD987">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总计</w:t>
            </w:r>
          </w:p>
        </w:tc>
        <w:tc>
          <w:tcPr>
            <w:tcW w:w="714" w:type="pct"/>
            <w:vAlign w:val="center"/>
          </w:tcPr>
          <w:p w14:paraId="2684F9B2">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w:t>
            </w:r>
          </w:p>
        </w:tc>
        <w:tc>
          <w:tcPr>
            <w:tcW w:w="714" w:type="pct"/>
            <w:vAlign w:val="center"/>
          </w:tcPr>
          <w:p w14:paraId="566BD97C">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37476</w:t>
            </w:r>
          </w:p>
        </w:tc>
        <w:tc>
          <w:tcPr>
            <w:tcW w:w="715" w:type="pct"/>
            <w:vAlign w:val="center"/>
          </w:tcPr>
          <w:p w14:paraId="513E579E">
            <w:pPr>
              <w:pStyle w:val="1771"/>
              <w:widowControl w:val="0"/>
              <w:rPr>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w:t>
            </w:r>
          </w:p>
        </w:tc>
        <w:tc>
          <w:tcPr>
            <w:tcW w:w="715" w:type="pct"/>
            <w:vAlign w:val="center"/>
          </w:tcPr>
          <w:p w14:paraId="3D3EFD8D">
            <w:pPr>
              <w:pStyle w:val="1771"/>
              <w:widowControl w:val="0"/>
              <w:rPr>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1</w:t>
            </w:r>
            <w:r>
              <w:rPr>
                <w:b w:val="0"/>
                <w:bCs/>
                <w:snapToGrid w:val="0"/>
                <w:color w:val="000000" w:themeColor="text1"/>
                <w:szCs w:val="21"/>
                <w14:textFill>
                  <w14:solidFill>
                    <w14:schemeClr w14:val="tx1"/>
                  </w14:solidFill>
                </w14:textFill>
              </w:rPr>
              <w:t>2005.28</w:t>
            </w:r>
          </w:p>
        </w:tc>
        <w:tc>
          <w:tcPr>
            <w:tcW w:w="776" w:type="pct"/>
            <w:vAlign w:val="center"/>
          </w:tcPr>
          <w:p w14:paraId="02835041">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w:t>
            </w:r>
          </w:p>
        </w:tc>
        <w:tc>
          <w:tcPr>
            <w:tcW w:w="652" w:type="pct"/>
            <w:vAlign w:val="center"/>
          </w:tcPr>
          <w:p w14:paraId="02AA77CD">
            <w:pPr>
              <w:pStyle w:val="1771"/>
              <w:widowControl w:val="0"/>
              <w:rPr>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26582.04</w:t>
            </w:r>
          </w:p>
        </w:tc>
      </w:tr>
    </w:tbl>
    <w:p w14:paraId="004A6C0C">
      <w:pPr>
        <w:pStyle w:val="1771"/>
        <w:spacing w:line="360" w:lineRule="auto"/>
        <w:rPr>
          <w:rFonts w:eastAsia="黑体"/>
          <w:b w:val="0"/>
          <w:bCs/>
          <w:snapToGrid w:val="0"/>
          <w:color w:val="000000" w:themeColor="text1"/>
          <w:szCs w:val="21"/>
          <w14:textFill>
            <w14:solidFill>
              <w14:schemeClr w14:val="tx1"/>
            </w14:solidFill>
          </w14:textFill>
        </w:rPr>
      </w:pPr>
      <w:r>
        <w:rPr>
          <w:rFonts w:hint="eastAsia" w:eastAsia="黑体"/>
          <w:b w:val="0"/>
          <w:bCs/>
          <w:snapToGrid w:val="0"/>
          <w:color w:val="000000" w:themeColor="text1"/>
          <w:szCs w:val="21"/>
          <w14:textFill>
            <w14:solidFill>
              <w14:schemeClr w14:val="tx1"/>
            </w14:solidFill>
          </w14:textFill>
        </w:rPr>
        <w:t>3.</w:t>
      </w:r>
      <w:r>
        <w:rPr>
          <w:rFonts w:eastAsia="黑体"/>
          <w:b w:val="0"/>
          <w:bCs/>
          <w:snapToGrid w:val="0"/>
          <w:color w:val="000000" w:themeColor="text1"/>
          <w:szCs w:val="21"/>
          <w14:textFill>
            <w14:solidFill>
              <w14:schemeClr w14:val="tx1"/>
            </w14:solidFill>
          </w14:textFill>
        </w:rPr>
        <w:t>3.1-2</w:t>
      </w:r>
      <w:r>
        <w:rPr>
          <w:rFonts w:hint="eastAsia" w:eastAsia="黑体"/>
          <w:b w:val="0"/>
          <w:bCs/>
          <w:snapToGrid w:val="0"/>
          <w:color w:val="000000" w:themeColor="text1"/>
          <w:szCs w:val="21"/>
          <w14:textFill>
            <w14:solidFill>
              <w14:schemeClr w14:val="tx1"/>
            </w14:solidFill>
          </w14:textFill>
        </w:rPr>
        <w:t>各养殖场区</w:t>
      </w:r>
      <w:r>
        <w:rPr>
          <w:rFonts w:eastAsia="黑体"/>
          <w:b w:val="0"/>
          <w:bCs/>
          <w:snapToGrid w:val="0"/>
          <w:color w:val="000000" w:themeColor="text1"/>
          <w:szCs w:val="21"/>
          <w14:textFill>
            <w14:solidFill>
              <w14:schemeClr w14:val="tx1"/>
            </w14:solidFill>
          </w14:textFill>
        </w:rPr>
        <w:t>饲料消耗量一览表</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1"/>
        <w:gridCol w:w="1032"/>
        <w:gridCol w:w="1034"/>
        <w:gridCol w:w="1036"/>
        <w:gridCol w:w="1034"/>
        <w:gridCol w:w="1056"/>
        <w:gridCol w:w="1034"/>
        <w:gridCol w:w="1056"/>
      </w:tblGrid>
      <w:tr w14:paraId="20EC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1" w:type="dxa"/>
            <w:vMerge w:val="restart"/>
            <w:vAlign w:val="center"/>
          </w:tcPr>
          <w:p w14:paraId="3757D325">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养殖场区</w:t>
            </w:r>
          </w:p>
        </w:tc>
        <w:tc>
          <w:tcPr>
            <w:tcW w:w="1032" w:type="dxa"/>
            <w:vMerge w:val="restart"/>
            <w:vAlign w:val="center"/>
          </w:tcPr>
          <w:p w14:paraId="3F4BF14E">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存栏规模（头）</w:t>
            </w:r>
          </w:p>
        </w:tc>
        <w:tc>
          <w:tcPr>
            <w:tcW w:w="2070" w:type="dxa"/>
            <w:gridSpan w:val="2"/>
            <w:vAlign w:val="center"/>
          </w:tcPr>
          <w:p w14:paraId="2C4E70C5">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饲料精料</w:t>
            </w:r>
          </w:p>
        </w:tc>
        <w:tc>
          <w:tcPr>
            <w:tcW w:w="2090" w:type="dxa"/>
            <w:gridSpan w:val="2"/>
            <w:vAlign w:val="center"/>
          </w:tcPr>
          <w:p w14:paraId="47972DE6">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干草</w:t>
            </w:r>
          </w:p>
        </w:tc>
        <w:tc>
          <w:tcPr>
            <w:tcW w:w="2090" w:type="dxa"/>
            <w:gridSpan w:val="2"/>
            <w:vAlign w:val="center"/>
          </w:tcPr>
          <w:p w14:paraId="507483AC">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青贮料</w:t>
            </w:r>
          </w:p>
        </w:tc>
      </w:tr>
      <w:tr w14:paraId="1F9D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1" w:type="dxa"/>
            <w:vMerge w:val="continue"/>
            <w:vAlign w:val="center"/>
          </w:tcPr>
          <w:p w14:paraId="098C276A">
            <w:pPr>
              <w:pStyle w:val="1771"/>
              <w:widowControl w:val="0"/>
              <w:rPr>
                <w:rFonts w:ascii="宋体" w:hAnsi="宋体"/>
                <w:b w:val="0"/>
                <w:bCs/>
                <w:snapToGrid w:val="0"/>
                <w:color w:val="000000" w:themeColor="text1"/>
                <w:szCs w:val="21"/>
                <w14:textFill>
                  <w14:solidFill>
                    <w14:schemeClr w14:val="tx1"/>
                  </w14:solidFill>
                </w14:textFill>
              </w:rPr>
            </w:pPr>
          </w:p>
        </w:tc>
        <w:tc>
          <w:tcPr>
            <w:tcW w:w="1032" w:type="dxa"/>
            <w:vMerge w:val="continue"/>
            <w:vAlign w:val="center"/>
          </w:tcPr>
          <w:p w14:paraId="60D0D151">
            <w:pPr>
              <w:pStyle w:val="1771"/>
              <w:widowControl w:val="0"/>
              <w:rPr>
                <w:rFonts w:ascii="宋体" w:hAnsi="宋体"/>
                <w:b w:val="0"/>
                <w:bCs/>
                <w:snapToGrid w:val="0"/>
                <w:color w:val="000000" w:themeColor="text1"/>
                <w:szCs w:val="21"/>
                <w14:textFill>
                  <w14:solidFill>
                    <w14:schemeClr w14:val="tx1"/>
                  </w14:solidFill>
                </w14:textFill>
              </w:rPr>
            </w:pPr>
          </w:p>
        </w:tc>
        <w:tc>
          <w:tcPr>
            <w:tcW w:w="1034" w:type="dxa"/>
            <w:vAlign w:val="center"/>
          </w:tcPr>
          <w:p w14:paraId="63F0377A">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定额</w:t>
            </w:r>
            <w:r>
              <w:rPr>
                <w:b w:val="0"/>
                <w:bCs/>
                <w:snapToGrid w:val="0"/>
                <w:color w:val="000000" w:themeColor="text1"/>
                <w:szCs w:val="21"/>
                <w14:textFill>
                  <w14:solidFill>
                    <w14:schemeClr w14:val="tx1"/>
                  </w14:solidFill>
                </w14:textFill>
              </w:rPr>
              <w:t>（kg/d*头）</w:t>
            </w:r>
          </w:p>
        </w:tc>
        <w:tc>
          <w:tcPr>
            <w:tcW w:w="1036" w:type="dxa"/>
            <w:vAlign w:val="center"/>
          </w:tcPr>
          <w:p w14:paraId="45FAF907">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消耗量（t</w:t>
            </w:r>
            <w:r>
              <w:rPr>
                <w:rFonts w:ascii="宋体" w:hAnsi="宋体"/>
                <w:b w:val="0"/>
                <w:bCs/>
                <w:snapToGrid w:val="0"/>
                <w:color w:val="000000" w:themeColor="text1"/>
                <w:szCs w:val="21"/>
                <w14:textFill>
                  <w14:solidFill>
                    <w14:schemeClr w14:val="tx1"/>
                  </w14:solidFill>
                </w14:textFill>
              </w:rPr>
              <w:t>/</w:t>
            </w:r>
            <w:r>
              <w:rPr>
                <w:rFonts w:hint="eastAsia" w:ascii="宋体" w:hAnsi="宋体"/>
                <w:b w:val="0"/>
                <w:bCs/>
                <w:snapToGrid w:val="0"/>
                <w:color w:val="000000" w:themeColor="text1"/>
                <w:szCs w:val="21"/>
                <w14:textFill>
                  <w14:solidFill>
                    <w14:schemeClr w14:val="tx1"/>
                  </w14:solidFill>
                </w14:textFill>
              </w:rPr>
              <w:t>a）</w:t>
            </w:r>
          </w:p>
        </w:tc>
        <w:tc>
          <w:tcPr>
            <w:tcW w:w="1034" w:type="dxa"/>
            <w:vAlign w:val="center"/>
          </w:tcPr>
          <w:p w14:paraId="0766DD37">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定额</w:t>
            </w:r>
            <w:r>
              <w:rPr>
                <w:b w:val="0"/>
                <w:bCs/>
                <w:snapToGrid w:val="0"/>
                <w:color w:val="000000" w:themeColor="text1"/>
                <w:szCs w:val="21"/>
                <w14:textFill>
                  <w14:solidFill>
                    <w14:schemeClr w14:val="tx1"/>
                  </w14:solidFill>
                </w14:textFill>
              </w:rPr>
              <w:t>（kg/d*头）</w:t>
            </w:r>
          </w:p>
        </w:tc>
        <w:tc>
          <w:tcPr>
            <w:tcW w:w="1056" w:type="dxa"/>
            <w:vAlign w:val="center"/>
          </w:tcPr>
          <w:p w14:paraId="10413BA9">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消耗量（t</w:t>
            </w:r>
            <w:r>
              <w:rPr>
                <w:rFonts w:ascii="宋体" w:hAnsi="宋体"/>
                <w:b w:val="0"/>
                <w:bCs/>
                <w:snapToGrid w:val="0"/>
                <w:color w:val="000000" w:themeColor="text1"/>
                <w:szCs w:val="21"/>
                <w14:textFill>
                  <w14:solidFill>
                    <w14:schemeClr w14:val="tx1"/>
                  </w14:solidFill>
                </w14:textFill>
              </w:rPr>
              <w:t>/</w:t>
            </w:r>
            <w:r>
              <w:rPr>
                <w:rFonts w:hint="eastAsia" w:ascii="宋体" w:hAnsi="宋体"/>
                <w:b w:val="0"/>
                <w:bCs/>
                <w:snapToGrid w:val="0"/>
                <w:color w:val="000000" w:themeColor="text1"/>
                <w:szCs w:val="21"/>
                <w14:textFill>
                  <w14:solidFill>
                    <w14:schemeClr w14:val="tx1"/>
                  </w14:solidFill>
                </w14:textFill>
              </w:rPr>
              <w:t>a）</w:t>
            </w:r>
          </w:p>
        </w:tc>
        <w:tc>
          <w:tcPr>
            <w:tcW w:w="1034" w:type="dxa"/>
            <w:vAlign w:val="center"/>
          </w:tcPr>
          <w:p w14:paraId="319A6A1C">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定额</w:t>
            </w:r>
            <w:r>
              <w:rPr>
                <w:b w:val="0"/>
                <w:bCs/>
                <w:snapToGrid w:val="0"/>
                <w:color w:val="000000" w:themeColor="text1"/>
                <w:szCs w:val="21"/>
                <w14:textFill>
                  <w14:solidFill>
                    <w14:schemeClr w14:val="tx1"/>
                  </w14:solidFill>
                </w14:textFill>
              </w:rPr>
              <w:t>（kg/d*头）</w:t>
            </w:r>
          </w:p>
        </w:tc>
        <w:tc>
          <w:tcPr>
            <w:tcW w:w="1056" w:type="dxa"/>
            <w:vAlign w:val="center"/>
          </w:tcPr>
          <w:p w14:paraId="1AB4A7FC">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消耗量（t</w:t>
            </w:r>
            <w:r>
              <w:rPr>
                <w:rFonts w:ascii="宋体" w:hAnsi="宋体"/>
                <w:b w:val="0"/>
                <w:bCs/>
                <w:snapToGrid w:val="0"/>
                <w:color w:val="000000" w:themeColor="text1"/>
                <w:szCs w:val="21"/>
                <w14:textFill>
                  <w14:solidFill>
                    <w14:schemeClr w14:val="tx1"/>
                  </w14:solidFill>
                </w14:textFill>
              </w:rPr>
              <w:t>/</w:t>
            </w:r>
            <w:r>
              <w:rPr>
                <w:rFonts w:hint="eastAsia" w:ascii="宋体" w:hAnsi="宋体"/>
                <w:b w:val="0"/>
                <w:bCs/>
                <w:snapToGrid w:val="0"/>
                <w:color w:val="000000" w:themeColor="text1"/>
                <w:szCs w:val="21"/>
                <w14:textFill>
                  <w14:solidFill>
                    <w14:schemeClr w14:val="tx1"/>
                  </w14:solidFill>
                </w14:textFill>
              </w:rPr>
              <w:t>a）</w:t>
            </w:r>
          </w:p>
        </w:tc>
      </w:tr>
      <w:tr w14:paraId="6D4E6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1" w:type="dxa"/>
            <w:vAlign w:val="center"/>
          </w:tcPr>
          <w:p w14:paraId="2359529A">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szCs w:val="21"/>
              </w:rPr>
              <w:t>百花养殖场区</w:t>
            </w:r>
          </w:p>
        </w:tc>
        <w:tc>
          <w:tcPr>
            <w:tcW w:w="1032" w:type="dxa"/>
            <w:vAlign w:val="center"/>
          </w:tcPr>
          <w:p w14:paraId="34C296F7">
            <w:pPr>
              <w:pStyle w:val="1771"/>
              <w:widowControl w:val="0"/>
              <w:rPr>
                <w:rFonts w:ascii="宋体" w:hAnsi="宋体"/>
                <w:b w:val="0"/>
                <w:bCs/>
                <w:snapToGrid w:val="0"/>
                <w:color w:val="000000" w:themeColor="text1"/>
                <w:szCs w:val="21"/>
                <w14:textFill>
                  <w14:solidFill>
                    <w14:schemeClr w14:val="tx1"/>
                  </w14:solidFill>
                </w14:textFill>
              </w:rPr>
            </w:pPr>
            <w:r>
              <w:rPr>
                <w:b w:val="0"/>
                <w:szCs w:val="21"/>
              </w:rPr>
              <w:t>3290</w:t>
            </w:r>
          </w:p>
        </w:tc>
        <w:tc>
          <w:tcPr>
            <w:tcW w:w="1034" w:type="dxa"/>
            <w:vAlign w:val="center"/>
          </w:tcPr>
          <w:p w14:paraId="28266456">
            <w:pPr>
              <w:pStyle w:val="1771"/>
              <w:widowControl w:val="0"/>
              <w:rPr>
                <w:rFonts w:ascii="宋体" w:hAnsi="宋体"/>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10</w:t>
            </w:r>
          </w:p>
        </w:tc>
        <w:tc>
          <w:tcPr>
            <w:tcW w:w="1036" w:type="dxa"/>
            <w:tcBorders>
              <w:top w:val="nil"/>
              <w:left w:val="nil"/>
              <w:bottom w:val="single" w:color="auto" w:sz="8" w:space="0"/>
              <w:right w:val="single" w:color="auto" w:sz="8" w:space="0"/>
            </w:tcBorders>
            <w:vAlign w:val="center"/>
          </w:tcPr>
          <w:p w14:paraId="63E41294">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11844</w:t>
            </w:r>
          </w:p>
        </w:tc>
        <w:tc>
          <w:tcPr>
            <w:tcW w:w="1034" w:type="dxa"/>
            <w:vAlign w:val="center"/>
          </w:tcPr>
          <w:p w14:paraId="3FA9A1B7">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3</w:t>
            </w:r>
            <w:r>
              <w:rPr>
                <w:b w:val="0"/>
                <w:bCs/>
                <w:snapToGrid w:val="0"/>
                <w:color w:val="000000" w:themeColor="text1"/>
                <w:szCs w:val="21"/>
                <w14:textFill>
                  <w14:solidFill>
                    <w14:schemeClr w14:val="tx1"/>
                  </w14:solidFill>
                </w14:textFill>
              </w:rPr>
              <w:t>.2</w:t>
            </w:r>
          </w:p>
        </w:tc>
        <w:tc>
          <w:tcPr>
            <w:tcW w:w="1056" w:type="dxa"/>
            <w:tcBorders>
              <w:top w:val="nil"/>
              <w:left w:val="nil"/>
              <w:bottom w:val="single" w:color="auto" w:sz="8" w:space="0"/>
              <w:right w:val="single" w:color="auto" w:sz="8" w:space="0"/>
            </w:tcBorders>
            <w:vAlign w:val="center"/>
          </w:tcPr>
          <w:p w14:paraId="69ADBD2C">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3790.08</w:t>
            </w:r>
          </w:p>
        </w:tc>
        <w:tc>
          <w:tcPr>
            <w:tcW w:w="1034" w:type="dxa"/>
            <w:vAlign w:val="center"/>
          </w:tcPr>
          <w:p w14:paraId="493F3D11">
            <w:pPr>
              <w:pStyle w:val="1771"/>
              <w:widowControl w:val="0"/>
              <w:rPr>
                <w:rFonts w:ascii="宋体" w:hAnsi="宋体"/>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7.1</w:t>
            </w:r>
          </w:p>
        </w:tc>
        <w:tc>
          <w:tcPr>
            <w:tcW w:w="1056" w:type="dxa"/>
            <w:tcBorders>
              <w:top w:val="nil"/>
              <w:left w:val="nil"/>
              <w:bottom w:val="single" w:color="auto" w:sz="8" w:space="0"/>
              <w:right w:val="single" w:color="auto" w:sz="8" w:space="0"/>
            </w:tcBorders>
            <w:vAlign w:val="center"/>
          </w:tcPr>
          <w:p w14:paraId="1A16873A">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8409.24</w:t>
            </w:r>
          </w:p>
        </w:tc>
      </w:tr>
      <w:tr w14:paraId="75D9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1" w:type="dxa"/>
            <w:vMerge w:val="restart"/>
            <w:vAlign w:val="center"/>
          </w:tcPr>
          <w:p w14:paraId="7481C662">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szCs w:val="21"/>
              </w:rPr>
              <w:t>佛龙养殖场区</w:t>
            </w:r>
          </w:p>
        </w:tc>
        <w:tc>
          <w:tcPr>
            <w:tcW w:w="1032" w:type="dxa"/>
            <w:vAlign w:val="center"/>
          </w:tcPr>
          <w:p w14:paraId="31A491AB">
            <w:pPr>
              <w:pStyle w:val="1771"/>
              <w:widowControl w:val="0"/>
              <w:rPr>
                <w:rFonts w:ascii="宋体" w:hAnsi="宋体"/>
                <w:b w:val="0"/>
                <w:bCs/>
                <w:snapToGrid w:val="0"/>
                <w:color w:val="000000" w:themeColor="text1"/>
                <w:szCs w:val="21"/>
                <w14:textFill>
                  <w14:solidFill>
                    <w14:schemeClr w14:val="tx1"/>
                  </w14:solidFill>
                </w14:textFill>
              </w:rPr>
            </w:pPr>
            <w:r>
              <w:rPr>
                <w:b w:val="0"/>
                <w:szCs w:val="21"/>
              </w:rPr>
              <w:t>780</w:t>
            </w:r>
          </w:p>
        </w:tc>
        <w:tc>
          <w:tcPr>
            <w:tcW w:w="1034" w:type="dxa"/>
            <w:vAlign w:val="center"/>
          </w:tcPr>
          <w:p w14:paraId="11750E89">
            <w:pPr>
              <w:pStyle w:val="1771"/>
              <w:widowControl w:val="0"/>
              <w:rPr>
                <w:rFonts w:ascii="宋体" w:hAnsi="宋体"/>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10</w:t>
            </w:r>
          </w:p>
        </w:tc>
        <w:tc>
          <w:tcPr>
            <w:tcW w:w="1036" w:type="dxa"/>
            <w:tcBorders>
              <w:top w:val="nil"/>
              <w:left w:val="nil"/>
              <w:bottom w:val="single" w:color="auto" w:sz="8" w:space="0"/>
              <w:right w:val="single" w:color="auto" w:sz="8" w:space="0"/>
            </w:tcBorders>
            <w:vAlign w:val="center"/>
          </w:tcPr>
          <w:p w14:paraId="52BB6733">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2808</w:t>
            </w:r>
          </w:p>
        </w:tc>
        <w:tc>
          <w:tcPr>
            <w:tcW w:w="1034" w:type="dxa"/>
            <w:vAlign w:val="center"/>
          </w:tcPr>
          <w:p w14:paraId="7A72E9AA">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3</w:t>
            </w:r>
            <w:r>
              <w:rPr>
                <w:b w:val="0"/>
                <w:bCs/>
                <w:snapToGrid w:val="0"/>
                <w:color w:val="000000" w:themeColor="text1"/>
                <w:szCs w:val="21"/>
                <w14:textFill>
                  <w14:solidFill>
                    <w14:schemeClr w14:val="tx1"/>
                  </w14:solidFill>
                </w14:textFill>
              </w:rPr>
              <w:t>.2</w:t>
            </w:r>
          </w:p>
        </w:tc>
        <w:tc>
          <w:tcPr>
            <w:tcW w:w="1056" w:type="dxa"/>
            <w:tcBorders>
              <w:top w:val="nil"/>
              <w:left w:val="nil"/>
              <w:bottom w:val="single" w:color="auto" w:sz="8" w:space="0"/>
              <w:right w:val="single" w:color="auto" w:sz="8" w:space="0"/>
            </w:tcBorders>
            <w:vAlign w:val="center"/>
          </w:tcPr>
          <w:p w14:paraId="257B0C4E">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898.56</w:t>
            </w:r>
          </w:p>
        </w:tc>
        <w:tc>
          <w:tcPr>
            <w:tcW w:w="1034" w:type="dxa"/>
            <w:vAlign w:val="center"/>
          </w:tcPr>
          <w:p w14:paraId="7C93D563">
            <w:pPr>
              <w:pStyle w:val="1771"/>
              <w:widowControl w:val="0"/>
              <w:rPr>
                <w:rFonts w:ascii="宋体" w:hAnsi="宋体"/>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7.1</w:t>
            </w:r>
          </w:p>
        </w:tc>
        <w:tc>
          <w:tcPr>
            <w:tcW w:w="1056" w:type="dxa"/>
            <w:tcBorders>
              <w:top w:val="nil"/>
              <w:left w:val="nil"/>
              <w:bottom w:val="single" w:color="auto" w:sz="8" w:space="0"/>
              <w:right w:val="single" w:color="auto" w:sz="8" w:space="0"/>
            </w:tcBorders>
            <w:vAlign w:val="center"/>
          </w:tcPr>
          <w:p w14:paraId="4E6E3AFD">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1993.68</w:t>
            </w:r>
          </w:p>
        </w:tc>
      </w:tr>
      <w:tr w14:paraId="50E2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1" w:type="dxa"/>
            <w:vMerge w:val="continue"/>
            <w:vAlign w:val="center"/>
          </w:tcPr>
          <w:p w14:paraId="413A74CD">
            <w:pPr>
              <w:pStyle w:val="1771"/>
              <w:widowControl w:val="0"/>
              <w:rPr>
                <w:rFonts w:ascii="宋体" w:hAnsi="宋体"/>
                <w:b w:val="0"/>
                <w:bCs/>
                <w:snapToGrid w:val="0"/>
                <w:color w:val="000000" w:themeColor="text1"/>
                <w:szCs w:val="21"/>
                <w14:textFill>
                  <w14:solidFill>
                    <w14:schemeClr w14:val="tx1"/>
                  </w14:solidFill>
                </w14:textFill>
              </w:rPr>
            </w:pPr>
          </w:p>
        </w:tc>
        <w:tc>
          <w:tcPr>
            <w:tcW w:w="1032" w:type="dxa"/>
            <w:vAlign w:val="center"/>
          </w:tcPr>
          <w:p w14:paraId="4F6C3BE7">
            <w:pPr>
              <w:widowControl w:val="0"/>
              <w:autoSpaceDE w:val="0"/>
              <w:autoSpaceDN w:val="0"/>
              <w:adjustRightInd w:val="0"/>
              <w:snapToGrid w:val="0"/>
              <w:jc w:val="center"/>
              <w:rPr>
                <w:kern w:val="0"/>
                <w:szCs w:val="21"/>
              </w:rPr>
            </w:pPr>
            <w:r>
              <w:rPr>
                <w:kern w:val="0"/>
                <w:szCs w:val="21"/>
              </w:rPr>
              <w:t>900</w:t>
            </w:r>
          </w:p>
          <w:p w14:paraId="7A9FB5B6">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szCs w:val="21"/>
              </w:rPr>
              <w:t>（</w:t>
            </w:r>
            <w:r>
              <w:rPr>
                <w:rFonts w:hint="eastAsia" w:ascii="宋体" w:hAnsi="宋体"/>
                <w:b w:val="0"/>
                <w:szCs w:val="21"/>
              </w:rPr>
              <w:t>空山牛）</w:t>
            </w:r>
          </w:p>
        </w:tc>
        <w:tc>
          <w:tcPr>
            <w:tcW w:w="1034" w:type="dxa"/>
            <w:vAlign w:val="center"/>
          </w:tcPr>
          <w:p w14:paraId="5C0AEDC4">
            <w:pPr>
              <w:pStyle w:val="1771"/>
              <w:widowControl w:val="0"/>
              <w:rPr>
                <w:rFonts w:ascii="宋体" w:hAnsi="宋体"/>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8</w:t>
            </w:r>
          </w:p>
        </w:tc>
        <w:tc>
          <w:tcPr>
            <w:tcW w:w="1036" w:type="dxa"/>
            <w:tcBorders>
              <w:top w:val="nil"/>
              <w:left w:val="nil"/>
              <w:bottom w:val="single" w:color="auto" w:sz="8" w:space="0"/>
              <w:right w:val="single" w:color="auto" w:sz="8" w:space="0"/>
            </w:tcBorders>
            <w:vAlign w:val="center"/>
          </w:tcPr>
          <w:p w14:paraId="2A5072B6">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2592</w:t>
            </w:r>
          </w:p>
        </w:tc>
        <w:tc>
          <w:tcPr>
            <w:tcW w:w="1034" w:type="dxa"/>
            <w:vAlign w:val="center"/>
          </w:tcPr>
          <w:p w14:paraId="6B4D8948">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2</w:t>
            </w:r>
            <w:r>
              <w:rPr>
                <w:rFonts w:ascii="宋体" w:hAnsi="宋体"/>
                <w:b w:val="0"/>
                <w:bCs/>
                <w:snapToGrid w:val="0"/>
                <w:color w:val="000000" w:themeColor="text1"/>
                <w:szCs w:val="21"/>
                <w14:textFill>
                  <w14:solidFill>
                    <w14:schemeClr w14:val="tx1"/>
                  </w14:solidFill>
                </w14:textFill>
              </w:rPr>
              <w:t>.6</w:t>
            </w:r>
          </w:p>
        </w:tc>
        <w:tc>
          <w:tcPr>
            <w:tcW w:w="1056" w:type="dxa"/>
            <w:tcBorders>
              <w:top w:val="nil"/>
              <w:left w:val="single" w:color="auto" w:sz="8" w:space="0"/>
              <w:bottom w:val="single" w:color="000000" w:sz="8" w:space="0"/>
              <w:right w:val="single" w:color="auto" w:sz="8" w:space="0"/>
            </w:tcBorders>
            <w:vAlign w:val="center"/>
          </w:tcPr>
          <w:p w14:paraId="18986ED8">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842.4</w:t>
            </w:r>
          </w:p>
        </w:tc>
        <w:tc>
          <w:tcPr>
            <w:tcW w:w="1034" w:type="dxa"/>
            <w:vAlign w:val="center"/>
          </w:tcPr>
          <w:p w14:paraId="2AE1064C">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5</w:t>
            </w:r>
            <w:r>
              <w:rPr>
                <w:rFonts w:ascii="宋体" w:hAnsi="宋体"/>
                <w:b w:val="0"/>
                <w:bCs/>
                <w:snapToGrid w:val="0"/>
                <w:color w:val="000000" w:themeColor="text1"/>
                <w:szCs w:val="21"/>
                <w14:textFill>
                  <w14:solidFill>
                    <w14:schemeClr w14:val="tx1"/>
                  </w14:solidFill>
                </w14:textFill>
              </w:rPr>
              <w:t>.6</w:t>
            </w:r>
          </w:p>
        </w:tc>
        <w:tc>
          <w:tcPr>
            <w:tcW w:w="1056" w:type="dxa"/>
            <w:tcBorders>
              <w:top w:val="nil"/>
              <w:left w:val="single" w:color="auto" w:sz="8" w:space="0"/>
              <w:bottom w:val="single" w:color="000000" w:sz="8" w:space="0"/>
              <w:right w:val="single" w:color="auto" w:sz="8" w:space="0"/>
            </w:tcBorders>
            <w:vAlign w:val="center"/>
          </w:tcPr>
          <w:p w14:paraId="15BB636F">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1814.4</w:t>
            </w:r>
          </w:p>
        </w:tc>
      </w:tr>
      <w:tr w14:paraId="3990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1" w:type="dxa"/>
            <w:vAlign w:val="center"/>
          </w:tcPr>
          <w:p w14:paraId="3B66FB97">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szCs w:val="21"/>
              </w:rPr>
              <w:t>塘坝养殖场区</w:t>
            </w:r>
          </w:p>
        </w:tc>
        <w:tc>
          <w:tcPr>
            <w:tcW w:w="1032" w:type="dxa"/>
            <w:vAlign w:val="center"/>
          </w:tcPr>
          <w:p w14:paraId="78CEADBD">
            <w:pPr>
              <w:pStyle w:val="1771"/>
              <w:widowControl w:val="0"/>
              <w:rPr>
                <w:rFonts w:ascii="宋体" w:hAnsi="宋体"/>
                <w:b w:val="0"/>
                <w:bCs/>
                <w:snapToGrid w:val="0"/>
                <w:color w:val="000000" w:themeColor="text1"/>
                <w:szCs w:val="21"/>
                <w14:textFill>
                  <w14:solidFill>
                    <w14:schemeClr w14:val="tx1"/>
                  </w14:solidFill>
                </w14:textFill>
              </w:rPr>
            </w:pPr>
            <w:r>
              <w:rPr>
                <w:b w:val="0"/>
                <w:szCs w:val="21"/>
              </w:rPr>
              <w:t>3290</w:t>
            </w:r>
          </w:p>
        </w:tc>
        <w:tc>
          <w:tcPr>
            <w:tcW w:w="1034" w:type="dxa"/>
            <w:vAlign w:val="center"/>
          </w:tcPr>
          <w:p w14:paraId="2BEC1C5B">
            <w:pPr>
              <w:pStyle w:val="1771"/>
              <w:widowControl w:val="0"/>
              <w:rPr>
                <w:rFonts w:ascii="宋体" w:hAnsi="宋体"/>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10</w:t>
            </w:r>
          </w:p>
        </w:tc>
        <w:tc>
          <w:tcPr>
            <w:tcW w:w="1036" w:type="dxa"/>
            <w:tcBorders>
              <w:top w:val="nil"/>
              <w:left w:val="nil"/>
              <w:bottom w:val="single" w:color="auto" w:sz="8" w:space="0"/>
              <w:right w:val="single" w:color="auto" w:sz="8" w:space="0"/>
            </w:tcBorders>
            <w:vAlign w:val="center"/>
          </w:tcPr>
          <w:p w14:paraId="1C0889BB">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11844</w:t>
            </w:r>
          </w:p>
        </w:tc>
        <w:tc>
          <w:tcPr>
            <w:tcW w:w="1034" w:type="dxa"/>
            <w:vAlign w:val="center"/>
          </w:tcPr>
          <w:p w14:paraId="0E988708">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3</w:t>
            </w:r>
            <w:r>
              <w:rPr>
                <w:b w:val="0"/>
                <w:bCs/>
                <w:snapToGrid w:val="0"/>
                <w:color w:val="000000" w:themeColor="text1"/>
                <w:szCs w:val="21"/>
                <w14:textFill>
                  <w14:solidFill>
                    <w14:schemeClr w14:val="tx1"/>
                  </w14:solidFill>
                </w14:textFill>
              </w:rPr>
              <w:t>.2</w:t>
            </w:r>
          </w:p>
        </w:tc>
        <w:tc>
          <w:tcPr>
            <w:tcW w:w="1056" w:type="dxa"/>
            <w:tcBorders>
              <w:top w:val="nil"/>
              <w:left w:val="single" w:color="auto" w:sz="8" w:space="0"/>
              <w:bottom w:val="single" w:color="000000" w:sz="8" w:space="0"/>
              <w:right w:val="single" w:color="auto" w:sz="8" w:space="0"/>
            </w:tcBorders>
            <w:vAlign w:val="center"/>
          </w:tcPr>
          <w:p w14:paraId="0C80E4F3">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3790.08</w:t>
            </w:r>
          </w:p>
        </w:tc>
        <w:tc>
          <w:tcPr>
            <w:tcW w:w="1034" w:type="dxa"/>
            <w:vAlign w:val="center"/>
          </w:tcPr>
          <w:p w14:paraId="47DBE3BE">
            <w:pPr>
              <w:pStyle w:val="1771"/>
              <w:widowControl w:val="0"/>
              <w:rPr>
                <w:rFonts w:ascii="宋体" w:hAnsi="宋体"/>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7.1</w:t>
            </w:r>
          </w:p>
        </w:tc>
        <w:tc>
          <w:tcPr>
            <w:tcW w:w="1056" w:type="dxa"/>
            <w:tcBorders>
              <w:top w:val="nil"/>
              <w:left w:val="single" w:color="auto" w:sz="8" w:space="0"/>
              <w:bottom w:val="single" w:color="000000" w:sz="8" w:space="0"/>
              <w:right w:val="single" w:color="auto" w:sz="8" w:space="0"/>
            </w:tcBorders>
            <w:vAlign w:val="center"/>
          </w:tcPr>
          <w:p w14:paraId="59BCC2F8">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8409.24</w:t>
            </w:r>
          </w:p>
        </w:tc>
      </w:tr>
      <w:tr w14:paraId="248D5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1" w:type="dxa"/>
            <w:vAlign w:val="center"/>
          </w:tcPr>
          <w:p w14:paraId="4B126D9B">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szCs w:val="21"/>
              </w:rPr>
              <w:t>始宁养殖场区</w:t>
            </w:r>
          </w:p>
        </w:tc>
        <w:tc>
          <w:tcPr>
            <w:tcW w:w="1032" w:type="dxa"/>
            <w:vAlign w:val="center"/>
          </w:tcPr>
          <w:p w14:paraId="1D03C307">
            <w:pPr>
              <w:pStyle w:val="1771"/>
              <w:widowControl w:val="0"/>
              <w:rPr>
                <w:rFonts w:ascii="宋体" w:hAnsi="宋体"/>
                <w:b w:val="0"/>
                <w:bCs/>
                <w:snapToGrid w:val="0"/>
                <w:color w:val="000000" w:themeColor="text1"/>
                <w:szCs w:val="21"/>
                <w14:textFill>
                  <w14:solidFill>
                    <w14:schemeClr w14:val="tx1"/>
                  </w14:solidFill>
                </w14:textFill>
              </w:rPr>
            </w:pPr>
            <w:r>
              <w:rPr>
                <w:b w:val="0"/>
                <w:szCs w:val="21"/>
              </w:rPr>
              <w:t>2330</w:t>
            </w:r>
          </w:p>
        </w:tc>
        <w:tc>
          <w:tcPr>
            <w:tcW w:w="1034" w:type="dxa"/>
            <w:vAlign w:val="center"/>
          </w:tcPr>
          <w:p w14:paraId="345DB6B7">
            <w:pPr>
              <w:pStyle w:val="1771"/>
              <w:widowControl w:val="0"/>
              <w:rPr>
                <w:rFonts w:ascii="宋体" w:hAnsi="宋体"/>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10</w:t>
            </w:r>
          </w:p>
        </w:tc>
        <w:tc>
          <w:tcPr>
            <w:tcW w:w="1036" w:type="dxa"/>
            <w:tcBorders>
              <w:top w:val="nil"/>
              <w:left w:val="nil"/>
              <w:bottom w:val="single" w:color="auto" w:sz="8" w:space="0"/>
              <w:right w:val="single" w:color="auto" w:sz="8" w:space="0"/>
            </w:tcBorders>
            <w:vAlign w:val="center"/>
          </w:tcPr>
          <w:p w14:paraId="0A3755C9">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8388</w:t>
            </w:r>
          </w:p>
        </w:tc>
        <w:tc>
          <w:tcPr>
            <w:tcW w:w="1034" w:type="dxa"/>
            <w:vAlign w:val="center"/>
          </w:tcPr>
          <w:p w14:paraId="07E2C88E">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bCs/>
                <w:snapToGrid w:val="0"/>
                <w:color w:val="000000" w:themeColor="text1"/>
                <w:szCs w:val="21"/>
                <w14:textFill>
                  <w14:solidFill>
                    <w14:schemeClr w14:val="tx1"/>
                  </w14:solidFill>
                </w14:textFill>
              </w:rPr>
              <w:t>3</w:t>
            </w:r>
            <w:r>
              <w:rPr>
                <w:b w:val="0"/>
                <w:bCs/>
                <w:snapToGrid w:val="0"/>
                <w:color w:val="000000" w:themeColor="text1"/>
                <w:szCs w:val="21"/>
                <w14:textFill>
                  <w14:solidFill>
                    <w14:schemeClr w14:val="tx1"/>
                  </w14:solidFill>
                </w14:textFill>
              </w:rPr>
              <w:t>.2</w:t>
            </w:r>
          </w:p>
        </w:tc>
        <w:tc>
          <w:tcPr>
            <w:tcW w:w="1056" w:type="dxa"/>
            <w:tcBorders>
              <w:top w:val="nil"/>
              <w:left w:val="nil"/>
              <w:bottom w:val="single" w:color="auto" w:sz="8" w:space="0"/>
              <w:right w:val="single" w:color="auto" w:sz="8" w:space="0"/>
            </w:tcBorders>
            <w:vAlign w:val="center"/>
          </w:tcPr>
          <w:p w14:paraId="22349C78">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2684.16</w:t>
            </w:r>
          </w:p>
        </w:tc>
        <w:tc>
          <w:tcPr>
            <w:tcW w:w="1034" w:type="dxa"/>
            <w:vAlign w:val="center"/>
          </w:tcPr>
          <w:p w14:paraId="576379DD">
            <w:pPr>
              <w:pStyle w:val="1771"/>
              <w:widowControl w:val="0"/>
              <w:rPr>
                <w:rFonts w:ascii="宋体" w:hAnsi="宋体"/>
                <w:b w:val="0"/>
                <w:bCs/>
                <w:snapToGrid w:val="0"/>
                <w:color w:val="000000" w:themeColor="text1"/>
                <w:szCs w:val="21"/>
                <w14:textFill>
                  <w14:solidFill>
                    <w14:schemeClr w14:val="tx1"/>
                  </w14:solidFill>
                </w14:textFill>
              </w:rPr>
            </w:pPr>
            <w:r>
              <w:rPr>
                <w:b w:val="0"/>
                <w:bCs/>
                <w:snapToGrid w:val="0"/>
                <w:color w:val="000000" w:themeColor="text1"/>
                <w:szCs w:val="21"/>
                <w14:textFill>
                  <w14:solidFill>
                    <w14:schemeClr w14:val="tx1"/>
                  </w14:solidFill>
                </w14:textFill>
              </w:rPr>
              <w:t>7.1</w:t>
            </w:r>
          </w:p>
        </w:tc>
        <w:tc>
          <w:tcPr>
            <w:tcW w:w="1056" w:type="dxa"/>
            <w:tcBorders>
              <w:top w:val="nil"/>
              <w:left w:val="nil"/>
              <w:bottom w:val="single" w:color="auto" w:sz="8" w:space="0"/>
              <w:right w:val="single" w:color="auto" w:sz="8" w:space="0"/>
            </w:tcBorders>
            <w:vAlign w:val="center"/>
          </w:tcPr>
          <w:p w14:paraId="1E46FE0F">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5955.48</w:t>
            </w:r>
          </w:p>
        </w:tc>
      </w:tr>
      <w:tr w14:paraId="5D4D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21" w:type="dxa"/>
            <w:vAlign w:val="center"/>
          </w:tcPr>
          <w:p w14:paraId="5E691891">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合计</w:t>
            </w:r>
          </w:p>
        </w:tc>
        <w:tc>
          <w:tcPr>
            <w:tcW w:w="1032" w:type="dxa"/>
            <w:vAlign w:val="center"/>
          </w:tcPr>
          <w:p w14:paraId="00E04E04">
            <w:pPr>
              <w:pStyle w:val="1771"/>
              <w:widowControl w:val="0"/>
              <w:rPr>
                <w:b w:val="0"/>
                <w:szCs w:val="21"/>
              </w:rPr>
            </w:pPr>
            <w:r>
              <w:rPr>
                <w:b w:val="0"/>
                <w:szCs w:val="21"/>
              </w:rPr>
              <w:t>10590</w:t>
            </w:r>
          </w:p>
        </w:tc>
        <w:tc>
          <w:tcPr>
            <w:tcW w:w="1034" w:type="dxa"/>
            <w:vAlign w:val="center"/>
          </w:tcPr>
          <w:p w14:paraId="381DB30A">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w:t>
            </w:r>
          </w:p>
        </w:tc>
        <w:tc>
          <w:tcPr>
            <w:tcW w:w="1036" w:type="dxa"/>
            <w:tcBorders>
              <w:top w:val="nil"/>
              <w:left w:val="nil"/>
              <w:bottom w:val="single" w:color="auto" w:sz="8" w:space="0"/>
              <w:right w:val="single" w:color="auto" w:sz="8" w:space="0"/>
            </w:tcBorders>
            <w:vAlign w:val="center"/>
          </w:tcPr>
          <w:p w14:paraId="666A5A54">
            <w:pPr>
              <w:pStyle w:val="1771"/>
              <w:widowControl w:val="0"/>
              <w:rPr>
                <w:rFonts w:ascii="宋体" w:hAnsi="宋体"/>
                <w:b w:val="0"/>
                <w:bCs/>
                <w:snapToGrid w:val="0"/>
                <w:color w:val="000000" w:themeColor="text1"/>
                <w:szCs w:val="21"/>
                <w14:textFill>
                  <w14:solidFill>
                    <w14:schemeClr w14:val="tx1"/>
                  </w14:solidFill>
                </w14:textFill>
              </w:rPr>
            </w:pPr>
            <w:r>
              <w:rPr>
                <w:rFonts w:hint="eastAsia"/>
                <w:b w:val="0"/>
                <w:color w:val="000000"/>
                <w:szCs w:val="21"/>
              </w:rPr>
              <w:t>37476</w:t>
            </w:r>
          </w:p>
        </w:tc>
        <w:tc>
          <w:tcPr>
            <w:tcW w:w="1034" w:type="dxa"/>
            <w:vAlign w:val="center"/>
          </w:tcPr>
          <w:p w14:paraId="191829B3">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w:t>
            </w:r>
          </w:p>
        </w:tc>
        <w:tc>
          <w:tcPr>
            <w:tcW w:w="1056" w:type="dxa"/>
            <w:tcBorders>
              <w:top w:val="nil"/>
              <w:left w:val="nil"/>
              <w:bottom w:val="single" w:color="auto" w:sz="8" w:space="0"/>
              <w:right w:val="single" w:color="auto" w:sz="8" w:space="0"/>
            </w:tcBorders>
            <w:vAlign w:val="center"/>
          </w:tcPr>
          <w:p w14:paraId="4F04820E">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1</w:t>
            </w:r>
            <w:r>
              <w:rPr>
                <w:rFonts w:ascii="宋体" w:hAnsi="宋体"/>
                <w:b w:val="0"/>
                <w:bCs/>
                <w:snapToGrid w:val="0"/>
                <w:color w:val="000000" w:themeColor="text1"/>
                <w:szCs w:val="21"/>
                <w14:textFill>
                  <w14:solidFill>
                    <w14:schemeClr w14:val="tx1"/>
                  </w14:solidFill>
                </w14:textFill>
              </w:rPr>
              <w:t>2005.28</w:t>
            </w:r>
          </w:p>
        </w:tc>
        <w:tc>
          <w:tcPr>
            <w:tcW w:w="1034" w:type="dxa"/>
            <w:vAlign w:val="center"/>
          </w:tcPr>
          <w:p w14:paraId="7AFE3E9B">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w:t>
            </w:r>
          </w:p>
        </w:tc>
        <w:tc>
          <w:tcPr>
            <w:tcW w:w="1056" w:type="dxa"/>
            <w:tcBorders>
              <w:top w:val="nil"/>
              <w:left w:val="nil"/>
              <w:bottom w:val="single" w:color="auto" w:sz="8" w:space="0"/>
              <w:right w:val="single" w:color="auto" w:sz="8" w:space="0"/>
            </w:tcBorders>
            <w:vAlign w:val="center"/>
          </w:tcPr>
          <w:p w14:paraId="06B4B341">
            <w:pPr>
              <w:pStyle w:val="1771"/>
              <w:widowControl w:val="0"/>
              <w:rPr>
                <w:rFonts w:ascii="宋体" w:hAnsi="宋体"/>
                <w:b w:val="0"/>
                <w:bCs/>
                <w:snapToGrid w:val="0"/>
                <w:color w:val="000000" w:themeColor="text1"/>
                <w:szCs w:val="21"/>
                <w14:textFill>
                  <w14:solidFill>
                    <w14:schemeClr w14:val="tx1"/>
                  </w14:solidFill>
                </w14:textFill>
              </w:rPr>
            </w:pPr>
            <w:r>
              <w:rPr>
                <w:rFonts w:hint="eastAsia" w:ascii="宋体" w:hAnsi="宋体"/>
                <w:b w:val="0"/>
                <w:bCs/>
                <w:snapToGrid w:val="0"/>
                <w:color w:val="000000" w:themeColor="text1"/>
                <w:szCs w:val="21"/>
                <w14:textFill>
                  <w14:solidFill>
                    <w14:schemeClr w14:val="tx1"/>
                  </w14:solidFill>
                </w14:textFill>
              </w:rPr>
              <w:t>26</w:t>
            </w:r>
            <w:r>
              <w:rPr>
                <w:rFonts w:ascii="宋体" w:hAnsi="宋体"/>
                <w:b w:val="0"/>
                <w:bCs/>
                <w:snapToGrid w:val="0"/>
                <w:color w:val="000000" w:themeColor="text1"/>
                <w:szCs w:val="21"/>
                <w14:textFill>
                  <w14:solidFill>
                    <w14:schemeClr w14:val="tx1"/>
                  </w14:solidFill>
                </w14:textFill>
              </w:rPr>
              <w:t>582.04</w:t>
            </w:r>
          </w:p>
        </w:tc>
      </w:tr>
    </w:tbl>
    <w:p w14:paraId="19E51673">
      <w:pPr>
        <w:pStyle w:val="1771"/>
        <w:spacing w:line="360" w:lineRule="auto"/>
        <w:rPr>
          <w:rFonts w:eastAsia="黑体"/>
          <w:b w:val="0"/>
          <w:bCs/>
          <w:snapToGrid w:val="0"/>
          <w:color w:val="000000" w:themeColor="text1"/>
          <w:szCs w:val="21"/>
          <w14:textFill>
            <w14:solidFill>
              <w14:schemeClr w14:val="tx1"/>
            </w14:solidFill>
          </w14:textFill>
        </w:rPr>
      </w:pPr>
    </w:p>
    <w:p w14:paraId="280FAF7E">
      <w:pPr>
        <w:adjustRightInd w:val="0"/>
        <w:snapToGrid w:val="0"/>
        <w:spacing w:line="360" w:lineRule="auto"/>
        <w:ind w:firstLine="480" w:firstLineChars="200"/>
        <w:rPr>
          <w:sz w:val="24"/>
        </w:rPr>
      </w:pPr>
      <w:r>
        <w:rPr>
          <w:bCs/>
          <w:sz w:val="24"/>
        </w:rPr>
        <w:t>项目肉牛养殖精料以玉米粉、豆粕、麦麸为主，补充肉牛专用预混料（</w:t>
      </w:r>
      <w:bookmarkStart w:id="327" w:name="OLE_LINK98"/>
      <w:bookmarkStart w:id="328" w:name="OLE_LINK97"/>
      <w:r>
        <w:rPr>
          <w:bCs/>
          <w:sz w:val="24"/>
        </w:rPr>
        <w:t>钙、磷、钠、维生素A/D/E、微量元素</w:t>
      </w:r>
      <w:bookmarkEnd w:id="327"/>
      <w:bookmarkEnd w:id="328"/>
      <w:r>
        <w:rPr>
          <w:bCs/>
          <w:sz w:val="24"/>
        </w:rPr>
        <w:t>），避免出现异食癖、软骨病等营养缺乏症，</w:t>
      </w:r>
      <w:r>
        <w:rPr>
          <w:sz w:val="24"/>
        </w:rPr>
        <w:t>满足营养均衡。</w:t>
      </w:r>
    </w:p>
    <w:p w14:paraId="7CCC2A32">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外购玉米进行粉碎，加入麦麸、豆粕、预混料粉碎打粉混合后生产精饲料，</w:t>
      </w:r>
      <w:r>
        <w:rPr>
          <w:color w:val="000000" w:themeColor="text1"/>
          <w:sz w:val="24"/>
          <w14:textFill>
            <w14:solidFill>
              <w14:schemeClr w14:val="tx1"/>
            </w14:solidFill>
          </w14:textFill>
        </w:rPr>
        <w:t>精料配比：玉米粉65%、麦麸15%、豆粕15%、</w:t>
      </w:r>
      <w:r>
        <w:rPr>
          <w:rFonts w:hint="eastAsia"/>
          <w:color w:val="000000" w:themeColor="text1"/>
          <w:sz w:val="24"/>
          <w14:textFill>
            <w14:solidFill>
              <w14:schemeClr w14:val="tx1"/>
            </w14:solidFill>
          </w14:textFill>
        </w:rPr>
        <w:t>预混料5%</w:t>
      </w:r>
      <w:r>
        <w:rPr>
          <w:color w:val="000000" w:themeColor="text1"/>
          <w:sz w:val="24"/>
          <w14:textFill>
            <w14:solidFill>
              <w14:schemeClr w14:val="tx1"/>
            </w14:solidFill>
          </w14:textFill>
        </w:rPr>
        <w:t>。</w:t>
      </w:r>
    </w:p>
    <w:p w14:paraId="3F7BAD8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本项目安格斯牛属于中型肉牛，本项目采用外购非疫区的12月龄生长牛（架子牛）育肥，育肥期间肉牛体重为400~760kg，根据《肉牛营养需要量》（GB/T 47364-2026）中表5中型肉牛生长和育肥阶段每日干物质、能量、蛋白质、氨基酸、钙和磷需要量中，日增重为0~1.6kg/d，干物质采食量为9.0~15.5kg/d。</w:t>
      </w:r>
    </w:p>
    <w:p w14:paraId="06BE284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本项目空山牛属于中型肉牛，本项目采用外购非疫区的12月龄生长牛（架子牛）育肥，育肥期间肉牛体重为200~480kg，根据《肉牛营养需要量》（GB/T 47364-2026）中表5中型肉牛生长和育肥阶段每日干物质、能量、蛋白质、氨基酸、钙和磷需要量中，日增重为0~1.4kg/d，干物质采食量为4.7~11.0kg/d。</w:t>
      </w:r>
    </w:p>
    <w:p w14:paraId="481C2A1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根据上述资料，本项目育肥过程中，安格斯牛育肥牛重量为400kg至大于650kg，则日增重大于1.4kg/d，根据《肉牛营养需要量》（GB/T 47364-2026）中表5中型肉牛生长和育肥阶段每日干物质、能量、蛋白质、氨基酸、钙和磷需要量查询，当日增重大于1.4kg/d时，干物质采食量对应关系如下：</w:t>
      </w:r>
    </w:p>
    <w:p w14:paraId="7B88CA8A">
      <w:pPr>
        <w:adjustRightInd w:val="0"/>
        <w:snapToGrid w:val="0"/>
        <w:spacing w:line="360" w:lineRule="auto"/>
        <w:jc w:val="center"/>
        <w:rPr>
          <w:rFonts w:eastAsia="黑体"/>
          <w:color w:val="000000" w:themeColor="text1"/>
          <w:szCs w:val="21"/>
          <w14:textFill>
            <w14:solidFill>
              <w14:schemeClr w14:val="tx1"/>
            </w14:solidFill>
          </w14:textFill>
        </w:rPr>
      </w:pPr>
      <w:r>
        <w:rPr>
          <w:rFonts w:eastAsia="黑体"/>
          <w:color w:val="000000" w:themeColor="text1"/>
          <w:szCs w:val="21"/>
          <w14:textFill>
            <w14:solidFill>
              <w14:schemeClr w14:val="tx1"/>
            </w14:solidFill>
          </w14:textFill>
        </w:rPr>
        <w:t>中型肉牛在不同体重阶段日增重需求下对应的干物质采食量表</w:t>
      </w:r>
    </w:p>
    <w:tbl>
      <w:tblPr>
        <w:tblStyle w:val="8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8"/>
        <w:gridCol w:w="2768"/>
        <w:gridCol w:w="2767"/>
      </w:tblGrid>
      <w:tr w14:paraId="6415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667" w:type="pct"/>
            <w:vAlign w:val="center"/>
          </w:tcPr>
          <w:p w14:paraId="49CF03D2">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体重（kg）</w:t>
            </w:r>
          </w:p>
        </w:tc>
        <w:tc>
          <w:tcPr>
            <w:tcW w:w="1667" w:type="pct"/>
            <w:vAlign w:val="center"/>
          </w:tcPr>
          <w:p w14:paraId="25D27A83">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日增重（kg/d）</w:t>
            </w:r>
          </w:p>
        </w:tc>
        <w:tc>
          <w:tcPr>
            <w:tcW w:w="1667" w:type="pct"/>
            <w:vAlign w:val="center"/>
          </w:tcPr>
          <w:p w14:paraId="16B2CAA9">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干物质采食量（kg/d）</w:t>
            </w:r>
          </w:p>
        </w:tc>
      </w:tr>
      <w:tr w14:paraId="47BD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Align w:val="center"/>
          </w:tcPr>
          <w:p w14:paraId="24C6C04A">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c>
          <w:tcPr>
            <w:tcW w:w="1667" w:type="pct"/>
            <w:vAlign w:val="center"/>
          </w:tcPr>
          <w:p w14:paraId="77CB973E">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587626D9">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5.6</w:t>
            </w:r>
          </w:p>
        </w:tc>
      </w:tr>
      <w:tr w14:paraId="301D1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Align w:val="center"/>
          </w:tcPr>
          <w:p w14:paraId="425E7204">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240</w:t>
            </w:r>
          </w:p>
        </w:tc>
        <w:tc>
          <w:tcPr>
            <w:tcW w:w="1667" w:type="pct"/>
            <w:vAlign w:val="center"/>
          </w:tcPr>
          <w:p w14:paraId="3C48CF0E">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503C307D">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6.4</w:t>
            </w:r>
          </w:p>
        </w:tc>
      </w:tr>
      <w:tr w14:paraId="254DF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Align w:val="center"/>
          </w:tcPr>
          <w:p w14:paraId="66A99F8A">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280</w:t>
            </w:r>
          </w:p>
        </w:tc>
        <w:tc>
          <w:tcPr>
            <w:tcW w:w="1667" w:type="pct"/>
            <w:vAlign w:val="center"/>
          </w:tcPr>
          <w:p w14:paraId="145A4DD2">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67683F36">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7.2</w:t>
            </w:r>
          </w:p>
        </w:tc>
      </w:tr>
      <w:tr w14:paraId="2A003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3B12222B">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320</w:t>
            </w:r>
          </w:p>
        </w:tc>
        <w:tc>
          <w:tcPr>
            <w:tcW w:w="1667" w:type="pct"/>
            <w:vAlign w:val="center"/>
          </w:tcPr>
          <w:p w14:paraId="41B5AB01">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716E27F7">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7.9</w:t>
            </w:r>
          </w:p>
        </w:tc>
      </w:tr>
      <w:tr w14:paraId="4299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644ED5FC">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3F73FF36">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60128C36">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7.6</w:t>
            </w:r>
          </w:p>
        </w:tc>
      </w:tr>
      <w:tr w14:paraId="742A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260EFDC4">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360</w:t>
            </w:r>
          </w:p>
        </w:tc>
        <w:tc>
          <w:tcPr>
            <w:tcW w:w="1667" w:type="pct"/>
            <w:vAlign w:val="center"/>
          </w:tcPr>
          <w:p w14:paraId="282A1395">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713E0AA0">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8.7</w:t>
            </w:r>
          </w:p>
        </w:tc>
      </w:tr>
      <w:tr w14:paraId="6AF1D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202106AF">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2E0A288A">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56C1FC1D">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8.3</w:t>
            </w:r>
          </w:p>
        </w:tc>
      </w:tr>
      <w:tr w14:paraId="5522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5AE14F5A">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400</w:t>
            </w:r>
          </w:p>
        </w:tc>
        <w:tc>
          <w:tcPr>
            <w:tcW w:w="1667" w:type="pct"/>
            <w:vAlign w:val="center"/>
          </w:tcPr>
          <w:p w14:paraId="10AE0DBC">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00519734">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9.4</w:t>
            </w:r>
          </w:p>
        </w:tc>
      </w:tr>
      <w:tr w14:paraId="7617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21A2FEA2">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050F6199">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3A1FEEC4">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9.0</w:t>
            </w:r>
          </w:p>
        </w:tc>
      </w:tr>
      <w:tr w14:paraId="6235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07523746">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440</w:t>
            </w:r>
          </w:p>
        </w:tc>
        <w:tc>
          <w:tcPr>
            <w:tcW w:w="1667" w:type="pct"/>
            <w:vAlign w:val="center"/>
          </w:tcPr>
          <w:p w14:paraId="781F271B">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5E2C3D3A">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10.1</w:t>
            </w:r>
          </w:p>
        </w:tc>
      </w:tr>
      <w:tr w14:paraId="3224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464009E5">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21C87B46">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232DE12E">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9.7</w:t>
            </w:r>
          </w:p>
        </w:tc>
      </w:tr>
      <w:tr w14:paraId="05BD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3BECAA2C">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480</w:t>
            </w:r>
          </w:p>
        </w:tc>
        <w:tc>
          <w:tcPr>
            <w:tcW w:w="1667" w:type="pct"/>
            <w:vAlign w:val="center"/>
          </w:tcPr>
          <w:p w14:paraId="01492E95">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6F8CC060">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10.7</w:t>
            </w:r>
          </w:p>
        </w:tc>
      </w:tr>
      <w:tr w14:paraId="2E3B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41233424">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7E942B15">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1545B4F3">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10.3</w:t>
            </w:r>
          </w:p>
        </w:tc>
      </w:tr>
      <w:tr w14:paraId="3B370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3D8B882A">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2CF37AAA">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1.6</w:t>
            </w:r>
          </w:p>
        </w:tc>
        <w:tc>
          <w:tcPr>
            <w:tcW w:w="1667" w:type="pct"/>
            <w:vAlign w:val="center"/>
          </w:tcPr>
          <w:p w14:paraId="13B5A992">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9.9</w:t>
            </w:r>
          </w:p>
        </w:tc>
      </w:tr>
      <w:tr w14:paraId="664C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49707335">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520</w:t>
            </w:r>
          </w:p>
        </w:tc>
        <w:tc>
          <w:tcPr>
            <w:tcW w:w="1667" w:type="pct"/>
            <w:vAlign w:val="center"/>
          </w:tcPr>
          <w:p w14:paraId="7A009A55">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042DA62B">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11.4</w:t>
            </w:r>
          </w:p>
        </w:tc>
      </w:tr>
      <w:tr w14:paraId="75F7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1EE54C60">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5DAFC6E1">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3B6D94EF">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11.0</w:t>
            </w:r>
          </w:p>
        </w:tc>
      </w:tr>
      <w:tr w14:paraId="0C69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2DCDDEEB">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4DEDA36E">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1.6</w:t>
            </w:r>
          </w:p>
        </w:tc>
        <w:tc>
          <w:tcPr>
            <w:tcW w:w="1667" w:type="pct"/>
            <w:vAlign w:val="center"/>
          </w:tcPr>
          <w:p w14:paraId="30A3866F">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10.5</w:t>
            </w:r>
          </w:p>
        </w:tc>
      </w:tr>
      <w:tr w14:paraId="368DA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35C34A20">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560</w:t>
            </w:r>
          </w:p>
        </w:tc>
        <w:tc>
          <w:tcPr>
            <w:tcW w:w="1667" w:type="pct"/>
            <w:vAlign w:val="center"/>
          </w:tcPr>
          <w:p w14:paraId="1FFF825F">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28393AB3">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12.1</w:t>
            </w:r>
          </w:p>
        </w:tc>
      </w:tr>
      <w:tr w14:paraId="6D2A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72CF8B22">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1F1992C3">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331FFC9C">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11.6</w:t>
            </w:r>
          </w:p>
        </w:tc>
      </w:tr>
      <w:tr w14:paraId="56B8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1D507E4A">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3409A44A">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1.6</w:t>
            </w:r>
          </w:p>
        </w:tc>
        <w:tc>
          <w:tcPr>
            <w:tcW w:w="1667" w:type="pct"/>
            <w:vAlign w:val="center"/>
          </w:tcPr>
          <w:p w14:paraId="70F088B1">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11.1</w:t>
            </w:r>
          </w:p>
        </w:tc>
      </w:tr>
      <w:tr w14:paraId="3CB4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0C444369">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600</w:t>
            </w:r>
          </w:p>
        </w:tc>
        <w:tc>
          <w:tcPr>
            <w:tcW w:w="1667" w:type="pct"/>
            <w:vAlign w:val="center"/>
          </w:tcPr>
          <w:p w14:paraId="31DAD5D5">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334A192E">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12.7</w:t>
            </w:r>
          </w:p>
        </w:tc>
      </w:tr>
      <w:tr w14:paraId="49A1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012FEDDF">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26C5376A">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76EBA836">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12.2</w:t>
            </w:r>
          </w:p>
        </w:tc>
      </w:tr>
      <w:tr w14:paraId="621E8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41D4E506">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1F62FD89">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1.6</w:t>
            </w:r>
          </w:p>
        </w:tc>
        <w:tc>
          <w:tcPr>
            <w:tcW w:w="1667" w:type="pct"/>
            <w:vAlign w:val="center"/>
          </w:tcPr>
          <w:p w14:paraId="33A528E4">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11.7</w:t>
            </w:r>
          </w:p>
        </w:tc>
      </w:tr>
      <w:tr w14:paraId="1E72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494F2A8F">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640</w:t>
            </w:r>
          </w:p>
        </w:tc>
        <w:tc>
          <w:tcPr>
            <w:tcW w:w="1667" w:type="pct"/>
            <w:vAlign w:val="center"/>
          </w:tcPr>
          <w:p w14:paraId="7D209566">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66106802">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13.3</w:t>
            </w:r>
          </w:p>
        </w:tc>
      </w:tr>
      <w:tr w14:paraId="6E17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3C2B2BD8">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5F3DE2B2">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642EAFB6">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12.8</w:t>
            </w:r>
          </w:p>
        </w:tc>
      </w:tr>
      <w:tr w14:paraId="1C2A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2204C6F7">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2C51BF48">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1.6</w:t>
            </w:r>
          </w:p>
        </w:tc>
        <w:tc>
          <w:tcPr>
            <w:tcW w:w="1667" w:type="pct"/>
            <w:vAlign w:val="center"/>
          </w:tcPr>
          <w:p w14:paraId="572406EB">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12.3</w:t>
            </w:r>
          </w:p>
        </w:tc>
      </w:tr>
      <w:tr w14:paraId="36C5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1F42E433">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680</w:t>
            </w:r>
          </w:p>
        </w:tc>
        <w:tc>
          <w:tcPr>
            <w:tcW w:w="1667" w:type="pct"/>
            <w:vAlign w:val="center"/>
          </w:tcPr>
          <w:p w14:paraId="64394660">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044DC684">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14.0</w:t>
            </w:r>
          </w:p>
        </w:tc>
      </w:tr>
      <w:tr w14:paraId="4E36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4F6D26FE">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297DC467">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58E46CFF">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13.4</w:t>
            </w:r>
          </w:p>
        </w:tc>
      </w:tr>
      <w:tr w14:paraId="7B0D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1642DD6C">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720</w:t>
            </w:r>
          </w:p>
        </w:tc>
        <w:tc>
          <w:tcPr>
            <w:tcW w:w="1667" w:type="pct"/>
            <w:vAlign w:val="center"/>
          </w:tcPr>
          <w:p w14:paraId="1E3541E4">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7C2D9081">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14.6</w:t>
            </w:r>
          </w:p>
        </w:tc>
      </w:tr>
      <w:tr w14:paraId="51A7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569C023F">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3A0F1D74">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70E9BA90">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14.0</w:t>
            </w:r>
          </w:p>
        </w:tc>
      </w:tr>
      <w:tr w14:paraId="63CF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restart"/>
            <w:vAlign w:val="center"/>
          </w:tcPr>
          <w:p w14:paraId="11D70639">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760</w:t>
            </w:r>
          </w:p>
        </w:tc>
        <w:tc>
          <w:tcPr>
            <w:tcW w:w="1667" w:type="pct"/>
            <w:vAlign w:val="center"/>
          </w:tcPr>
          <w:p w14:paraId="01168031">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667" w:type="pct"/>
            <w:vAlign w:val="center"/>
          </w:tcPr>
          <w:p w14:paraId="57409637">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15.2</w:t>
            </w:r>
          </w:p>
        </w:tc>
      </w:tr>
      <w:tr w14:paraId="7E952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67" w:type="pct"/>
            <w:vMerge w:val="continue"/>
            <w:vAlign w:val="center"/>
          </w:tcPr>
          <w:p w14:paraId="2F76C21F">
            <w:pPr>
              <w:widowControl w:val="0"/>
              <w:adjustRightInd w:val="0"/>
              <w:snapToGrid w:val="0"/>
              <w:spacing w:line="360" w:lineRule="auto"/>
              <w:jc w:val="center"/>
              <w:rPr>
                <w:color w:val="000000" w:themeColor="text1"/>
                <w:szCs w:val="21"/>
                <w14:textFill>
                  <w14:solidFill>
                    <w14:schemeClr w14:val="tx1"/>
                  </w14:solidFill>
                </w14:textFill>
              </w:rPr>
            </w:pPr>
          </w:p>
        </w:tc>
        <w:tc>
          <w:tcPr>
            <w:tcW w:w="1667" w:type="pct"/>
            <w:vAlign w:val="center"/>
          </w:tcPr>
          <w:p w14:paraId="7A01F5CD">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667" w:type="pct"/>
            <w:vAlign w:val="center"/>
          </w:tcPr>
          <w:p w14:paraId="383FB1CF">
            <w:pPr>
              <w:widowControl w:val="0"/>
              <w:adjustRightInd w:val="0"/>
              <w:snapToGrid w:val="0"/>
              <w:spacing w:line="360" w:lineRule="auto"/>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14.6</w:t>
            </w:r>
          </w:p>
        </w:tc>
      </w:tr>
    </w:tbl>
    <w:p w14:paraId="3A295FEE">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营养物质需要量干物质采食量为9.0~14.6kg/d，日粮用量中，干物质采食来源精料（含水率≤10%）占比为65%~70%（参考全国畜牧总站经验数据），粗料（</w:t>
      </w:r>
      <w:r>
        <w:rPr>
          <w:rFonts w:hint="eastAsia"/>
          <w:color w:val="000000" w:themeColor="text1"/>
          <w:sz w:val="24"/>
          <w14:textFill>
            <w14:solidFill>
              <w14:schemeClr w14:val="tx1"/>
            </w14:solidFill>
          </w14:textFill>
        </w:rPr>
        <w:t>包含青贮料和干草</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青贮料</w:t>
      </w:r>
      <w:r>
        <w:rPr>
          <w:color w:val="000000" w:themeColor="text1"/>
          <w:sz w:val="24"/>
          <w14:textFill>
            <w14:solidFill>
              <w14:schemeClr w14:val="tx1"/>
            </w14:solidFill>
          </w14:textFill>
        </w:rPr>
        <w:t>含水率约</w:t>
      </w:r>
      <w:r>
        <w:rPr>
          <w:color w:val="FF0000"/>
          <w:sz w:val="24"/>
        </w:rPr>
        <w:t>为70</w:t>
      </w:r>
      <w:r>
        <w:rPr>
          <w:rFonts w:hint="eastAsia"/>
          <w:color w:val="FF0000"/>
          <w:sz w:val="24"/>
        </w:rPr>
        <w:t>%</w:t>
      </w:r>
      <w:r>
        <w:rPr>
          <w:rFonts w:hint="eastAsia"/>
          <w:color w:val="000000" w:themeColor="text1"/>
          <w:sz w:val="24"/>
          <w14:textFill>
            <w14:solidFill>
              <w14:schemeClr w14:val="tx1"/>
            </w14:solidFill>
          </w14:textFill>
        </w:rPr>
        <w:t>左右，干草（苜宿和黑麦草）含水率</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）占比为30%~35%，则精料用量范围为6.36</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11.11kg/d，粗料用量范围为10.8~20.44kg/d。根据项目养殖情况综合考虑，本项目安格斯育肥牛日粮</w:t>
      </w:r>
      <w:bookmarkStart w:id="329" w:name="OLE_LINK59"/>
      <w:bookmarkStart w:id="330" w:name="OLE_LINK60"/>
      <w:r>
        <w:rPr>
          <w:rFonts w:hint="eastAsia"/>
          <w:color w:val="000000" w:themeColor="text1"/>
          <w:sz w:val="24"/>
          <w14:textFill>
            <w14:solidFill>
              <w14:schemeClr w14:val="tx1"/>
            </w14:solidFill>
          </w14:textFill>
        </w:rPr>
        <w:t>干物质采食来源</w:t>
      </w:r>
      <w:bookmarkEnd w:id="329"/>
      <w:bookmarkEnd w:id="330"/>
      <w:r>
        <w:rPr>
          <w:color w:val="000000" w:themeColor="text1"/>
          <w:sz w:val="24"/>
          <w14:textFill>
            <w14:solidFill>
              <w14:schemeClr w14:val="tx1"/>
            </w14:solidFill>
          </w14:textFill>
        </w:rPr>
        <w:t>精粗料比例为精料约为65%，粗料约为35%，本项目精料用量综合考虑取10kg/d，则粗料用料取10.3kg/d</w:t>
      </w:r>
      <w:bookmarkStart w:id="331" w:name="OLE_LINK17"/>
      <w:bookmarkStart w:id="332" w:name="OLE_LINK22"/>
      <w:r>
        <w:rPr>
          <w:rFonts w:hint="eastAsia"/>
          <w:color w:val="000000" w:themeColor="text1"/>
          <w:sz w:val="24"/>
          <w14:textFill>
            <w14:solidFill>
              <w14:schemeClr w14:val="tx1"/>
            </w14:solidFill>
          </w14:textFill>
        </w:rPr>
        <w:t>（青贮料</w:t>
      </w:r>
      <w:r>
        <w:rPr>
          <w:color w:val="000000" w:themeColor="text1"/>
          <w:sz w:val="24"/>
          <w14:textFill>
            <w14:solidFill>
              <w14:schemeClr w14:val="tx1"/>
            </w14:solidFill>
          </w14:textFill>
        </w:rPr>
        <w:t>7.1</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d，干草</w:t>
      </w:r>
      <w:r>
        <w:rPr>
          <w:color w:val="000000" w:themeColor="text1"/>
          <w:sz w:val="24"/>
          <w14:textFill>
            <w14:solidFill>
              <w14:schemeClr w14:val="tx1"/>
            </w14:solidFill>
          </w14:textFill>
        </w:rPr>
        <w:t>3.2</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d（苜宿和黑麦草各1</w:t>
      </w:r>
      <w:r>
        <w:rPr>
          <w:color w:val="000000" w:themeColor="text1"/>
          <w:sz w:val="24"/>
          <w14:textFill>
            <w14:solidFill>
              <w14:schemeClr w14:val="tx1"/>
            </w14:solidFill>
          </w14:textFill>
        </w:rPr>
        <w:t>.6</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/d</w:t>
      </w:r>
      <w:r>
        <w:rPr>
          <w:rFonts w:hint="eastAsia"/>
          <w:color w:val="000000" w:themeColor="text1"/>
          <w:sz w:val="24"/>
          <w14:textFill>
            <w14:solidFill>
              <w14:schemeClr w14:val="tx1"/>
            </w14:solidFill>
          </w14:textFill>
        </w:rPr>
        <w:t>））</w:t>
      </w:r>
      <w:bookmarkEnd w:id="331"/>
      <w:bookmarkEnd w:id="332"/>
      <w:r>
        <w:rPr>
          <w:color w:val="000000" w:themeColor="text1"/>
          <w:sz w:val="24"/>
          <w14:textFill>
            <w14:solidFill>
              <w14:schemeClr w14:val="tx1"/>
            </w14:solidFill>
          </w14:textFill>
        </w:rPr>
        <w:t>，则每日干物质采食量为13.85kg/d。满足《肉牛营养需要量》（GB/T 47364-2026）中营养物质需要量。</w:t>
      </w:r>
    </w:p>
    <w:p w14:paraId="6051F29E">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空山牛育肥牛重量为200kg至大于400kg，则日增重大于1.2kg/d，根据《肉牛营养需要量》（GB/T 47364-2026）中表5中型肉牛生长和育肥阶段每日干物质、能量、蛋白质、氨基酸、钙和磷需要量查询，当日增重大于1.2kg/d时，干物质采食量对应关系如上表。</w:t>
      </w:r>
    </w:p>
    <w:p w14:paraId="45C15DD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营养物质需要量干物质采食量为5.6~11.4kg/d，日粮用量中，干物质采食来源精料（含水率≤10%）占比为65%~70%（参考全国畜牧总站经验数据），粗料（</w:t>
      </w:r>
      <w:r>
        <w:rPr>
          <w:rFonts w:hint="eastAsia"/>
          <w:color w:val="000000" w:themeColor="text1"/>
          <w:sz w:val="24"/>
          <w14:textFill>
            <w14:solidFill>
              <w14:schemeClr w14:val="tx1"/>
            </w14:solidFill>
          </w14:textFill>
        </w:rPr>
        <w:t>包含青贮料和干草</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青贮料</w:t>
      </w:r>
      <w:r>
        <w:rPr>
          <w:color w:val="000000" w:themeColor="text1"/>
          <w:sz w:val="24"/>
          <w14:textFill>
            <w14:solidFill>
              <w14:schemeClr w14:val="tx1"/>
            </w14:solidFill>
          </w14:textFill>
        </w:rPr>
        <w:t>含水率约为70</w:t>
      </w:r>
      <w:r>
        <w:rPr>
          <w:rFonts w:hint="eastAsia"/>
          <w:color w:val="000000" w:themeColor="text1"/>
          <w:sz w:val="24"/>
          <w14:textFill>
            <w14:solidFill>
              <w14:schemeClr w14:val="tx1"/>
            </w14:solidFill>
          </w14:textFill>
        </w:rPr>
        <w:t>%左右，干草（苜宿和黑麦草）含水率</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）占比为30%~35%，则精料用量范围为3.96~8.67kg/d，粗料用量范围为6.72~15.96kg/d。根据项目养殖情况综合考虑，本项目</w:t>
      </w:r>
      <w:r>
        <w:rPr>
          <w:rFonts w:hint="eastAsia"/>
          <w:color w:val="000000" w:themeColor="text1"/>
          <w:sz w:val="24"/>
          <w14:textFill>
            <w14:solidFill>
              <w14:schemeClr w14:val="tx1"/>
            </w14:solidFill>
          </w14:textFill>
        </w:rPr>
        <w:t>空山</w:t>
      </w:r>
      <w:r>
        <w:rPr>
          <w:color w:val="000000" w:themeColor="text1"/>
          <w:sz w:val="24"/>
          <w14:textFill>
            <w14:solidFill>
              <w14:schemeClr w14:val="tx1"/>
            </w14:solidFill>
          </w14:textFill>
        </w:rPr>
        <w:t>牛日粮</w:t>
      </w:r>
      <w:r>
        <w:rPr>
          <w:rFonts w:hint="eastAsia"/>
          <w:color w:val="000000" w:themeColor="text1"/>
          <w:sz w:val="24"/>
          <w14:textFill>
            <w14:solidFill>
              <w14:schemeClr w14:val="tx1"/>
            </w14:solidFill>
          </w14:textFill>
        </w:rPr>
        <w:t>干物质采食来源</w:t>
      </w:r>
      <w:r>
        <w:rPr>
          <w:color w:val="000000" w:themeColor="text1"/>
          <w:sz w:val="24"/>
          <w14:textFill>
            <w14:solidFill>
              <w14:schemeClr w14:val="tx1"/>
            </w14:solidFill>
          </w14:textFill>
        </w:rPr>
        <w:t>精粗料比例为精料约为65%，粗料约为35%，本项目精料用量综合考虑取8kg/d，则粗料用料取8.2kg/d</w:t>
      </w:r>
      <w:r>
        <w:rPr>
          <w:rFonts w:hint="eastAsia"/>
          <w:color w:val="000000" w:themeColor="text1"/>
          <w:sz w:val="24"/>
          <w14:textFill>
            <w14:solidFill>
              <w14:schemeClr w14:val="tx1"/>
            </w14:solidFill>
          </w14:textFill>
        </w:rPr>
        <w:t>（青贮料</w:t>
      </w:r>
      <w:r>
        <w:rPr>
          <w:color w:val="000000" w:themeColor="text1"/>
          <w:sz w:val="24"/>
          <w14:textFill>
            <w14:solidFill>
              <w14:schemeClr w14:val="tx1"/>
            </w14:solidFill>
          </w14:textFill>
        </w:rPr>
        <w:t>5.6</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d，干草</w:t>
      </w:r>
      <w:r>
        <w:rPr>
          <w:color w:val="000000" w:themeColor="text1"/>
          <w:sz w:val="24"/>
          <w14:textFill>
            <w14:solidFill>
              <w14:schemeClr w14:val="tx1"/>
            </w14:solidFill>
          </w14:textFill>
        </w:rPr>
        <w:t>2.6</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d（苜宿和黑麦草各1</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/d</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，则每日干物质采食量为11.09kg/d。满足《肉牛营养需要量》（GB/T 47364-2026）中营养物质需要量。</w:t>
      </w:r>
      <w:r>
        <w:rPr>
          <w:rFonts w:hint="eastAsia"/>
          <w:color w:val="000000" w:themeColor="text1"/>
          <w:sz w:val="24"/>
          <w14:textFill>
            <w14:solidFill>
              <w14:schemeClr w14:val="tx1"/>
            </w14:solidFill>
          </w14:textFill>
        </w:rPr>
        <w:t xml:space="preserve"> </w:t>
      </w:r>
    </w:p>
    <w:p w14:paraId="2638EA2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本项目主要原辅材料及能耗情况详见下表。</w:t>
      </w:r>
    </w:p>
    <w:p w14:paraId="707AA73D">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表3.</w:t>
      </w:r>
      <w:r>
        <w:rPr>
          <w:snapToGrid w:val="0"/>
          <w:color w:val="000000" w:themeColor="text1"/>
          <w:szCs w:val="21"/>
          <w:lang w:val="en-US"/>
          <w14:textFill>
            <w14:solidFill>
              <w14:schemeClr w14:val="tx1"/>
            </w14:solidFill>
          </w14:textFill>
        </w:rPr>
        <w:t>3</w:t>
      </w:r>
      <w:r>
        <w:rPr>
          <w:snapToGrid w:val="0"/>
          <w:color w:val="000000" w:themeColor="text1"/>
          <w:szCs w:val="21"/>
          <w14:textFill>
            <w14:solidFill>
              <w14:schemeClr w14:val="tx1"/>
            </w14:solidFill>
          </w14:textFill>
        </w:rPr>
        <w:t>-1</w:t>
      </w:r>
      <w:r>
        <w:rPr>
          <w:rFonts w:eastAsia="黑体"/>
          <w:b w:val="0"/>
          <w:bCs/>
          <w:snapToGrid w:val="0"/>
          <w:color w:val="000000" w:themeColor="text1"/>
          <w:szCs w:val="21"/>
          <w14:textFill>
            <w14:solidFill>
              <w14:schemeClr w14:val="tx1"/>
            </w14:solidFill>
          </w14:textFill>
        </w:rPr>
        <w:t>项目主要原辅料及用量</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2"/>
        <w:gridCol w:w="499"/>
        <w:gridCol w:w="274"/>
        <w:gridCol w:w="773"/>
        <w:gridCol w:w="707"/>
        <w:gridCol w:w="850"/>
        <w:gridCol w:w="2409"/>
        <w:gridCol w:w="1134"/>
        <w:gridCol w:w="1225"/>
      </w:tblGrid>
      <w:tr w14:paraId="6D6A47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66" w:type="pct"/>
            <w:tcBorders>
              <w:tl2br w:val="nil"/>
              <w:tr2bl w:val="nil"/>
            </w:tcBorders>
            <w:tcMar>
              <w:left w:w="28" w:type="dxa"/>
              <w:right w:w="28" w:type="dxa"/>
            </w:tcMar>
            <w:vAlign w:val="center"/>
          </w:tcPr>
          <w:p w14:paraId="2C6EB24B">
            <w:pPr>
              <w:adjustRightInd w:val="0"/>
              <w:snapToGrid w:val="0"/>
              <w:jc w:val="center"/>
              <w:rPr>
                <w:b/>
                <w:color w:val="000000" w:themeColor="text1"/>
                <w:kern w:val="0"/>
                <w:sz w:val="18"/>
                <w:szCs w:val="18"/>
                <w14:textFill>
                  <w14:solidFill>
                    <w14:schemeClr w14:val="tx1"/>
                  </w14:solidFill>
                </w14:textFill>
              </w:rPr>
            </w:pPr>
            <w:r>
              <w:rPr>
                <w:b/>
                <w:color w:val="000000" w:themeColor="text1"/>
                <w:kern w:val="0"/>
                <w:sz w:val="18"/>
                <w:szCs w:val="18"/>
                <w14:textFill>
                  <w14:solidFill>
                    <w14:schemeClr w14:val="tx1"/>
                  </w14:solidFill>
                </w14:textFill>
              </w:rPr>
              <w:t>序号</w:t>
            </w:r>
          </w:p>
        </w:tc>
        <w:tc>
          <w:tcPr>
            <w:tcW w:w="930" w:type="pct"/>
            <w:gridSpan w:val="3"/>
            <w:tcBorders>
              <w:tl2br w:val="nil"/>
              <w:tr2bl w:val="nil"/>
            </w:tcBorders>
            <w:tcMar>
              <w:left w:w="28" w:type="dxa"/>
              <w:right w:w="28" w:type="dxa"/>
            </w:tcMar>
            <w:vAlign w:val="center"/>
          </w:tcPr>
          <w:p w14:paraId="2DBAA6B6">
            <w:pPr>
              <w:adjustRightInd w:val="0"/>
              <w:snapToGrid w:val="0"/>
              <w:jc w:val="center"/>
              <w:rPr>
                <w:b/>
                <w:color w:val="000000" w:themeColor="text1"/>
                <w:kern w:val="0"/>
                <w:sz w:val="18"/>
                <w:szCs w:val="18"/>
                <w14:textFill>
                  <w14:solidFill>
                    <w14:schemeClr w14:val="tx1"/>
                  </w14:solidFill>
                </w14:textFill>
              </w:rPr>
            </w:pPr>
            <w:r>
              <w:rPr>
                <w:b/>
                <w:color w:val="000000" w:themeColor="text1"/>
                <w:kern w:val="0"/>
                <w:sz w:val="18"/>
                <w:szCs w:val="18"/>
                <w14:textFill>
                  <w14:solidFill>
                    <w14:schemeClr w14:val="tx1"/>
                  </w14:solidFill>
                </w14:textFill>
              </w:rPr>
              <w:t>原辅料名称</w:t>
            </w:r>
          </w:p>
        </w:tc>
        <w:tc>
          <w:tcPr>
            <w:tcW w:w="425" w:type="pct"/>
            <w:tcBorders>
              <w:tl2br w:val="nil"/>
              <w:tr2bl w:val="nil"/>
            </w:tcBorders>
            <w:tcMar>
              <w:left w:w="28" w:type="dxa"/>
              <w:right w:w="28" w:type="dxa"/>
            </w:tcMar>
            <w:vAlign w:val="center"/>
          </w:tcPr>
          <w:p w14:paraId="6C9A682F">
            <w:pPr>
              <w:adjustRightInd w:val="0"/>
              <w:snapToGrid w:val="0"/>
              <w:jc w:val="center"/>
              <w:rPr>
                <w:b/>
                <w:color w:val="000000" w:themeColor="text1"/>
                <w:kern w:val="0"/>
                <w:sz w:val="18"/>
                <w:szCs w:val="18"/>
                <w14:textFill>
                  <w14:solidFill>
                    <w14:schemeClr w14:val="tx1"/>
                  </w14:solidFill>
                </w14:textFill>
              </w:rPr>
            </w:pPr>
            <w:r>
              <w:rPr>
                <w:b/>
                <w:color w:val="000000" w:themeColor="text1"/>
                <w:kern w:val="0"/>
                <w:sz w:val="18"/>
                <w:szCs w:val="18"/>
                <w14:textFill>
                  <w14:solidFill>
                    <w14:schemeClr w14:val="tx1"/>
                  </w14:solidFill>
                </w14:textFill>
              </w:rPr>
              <w:t>单位</w:t>
            </w:r>
          </w:p>
        </w:tc>
        <w:tc>
          <w:tcPr>
            <w:tcW w:w="511" w:type="pct"/>
            <w:tcBorders>
              <w:tl2br w:val="nil"/>
              <w:tr2bl w:val="nil"/>
            </w:tcBorders>
            <w:tcMar>
              <w:left w:w="28" w:type="dxa"/>
              <w:right w:w="28" w:type="dxa"/>
            </w:tcMar>
            <w:vAlign w:val="center"/>
          </w:tcPr>
          <w:p w14:paraId="7A9BCBA1">
            <w:pPr>
              <w:jc w:val="center"/>
              <w:rPr>
                <w:b/>
                <w:color w:val="000000" w:themeColor="text1"/>
                <w:kern w:val="0"/>
                <w:sz w:val="18"/>
                <w:szCs w:val="18"/>
                <w14:textFill>
                  <w14:solidFill>
                    <w14:schemeClr w14:val="tx1"/>
                  </w14:solidFill>
                </w14:textFill>
              </w:rPr>
            </w:pPr>
            <w:r>
              <w:rPr>
                <w:b/>
                <w:color w:val="000000" w:themeColor="text1"/>
                <w:kern w:val="0"/>
                <w:sz w:val="18"/>
                <w:szCs w:val="18"/>
                <w14:textFill>
                  <w14:solidFill>
                    <w14:schemeClr w14:val="tx1"/>
                  </w14:solidFill>
                </w14:textFill>
              </w:rPr>
              <w:t>年耗量</w:t>
            </w:r>
          </w:p>
        </w:tc>
        <w:tc>
          <w:tcPr>
            <w:tcW w:w="1449" w:type="pct"/>
            <w:tcBorders>
              <w:tl2br w:val="nil"/>
              <w:tr2bl w:val="nil"/>
            </w:tcBorders>
            <w:tcMar>
              <w:left w:w="28" w:type="dxa"/>
              <w:right w:w="28" w:type="dxa"/>
            </w:tcMar>
            <w:vAlign w:val="center"/>
          </w:tcPr>
          <w:p w14:paraId="45DFE9BB">
            <w:pPr>
              <w:jc w:val="center"/>
              <w:rPr>
                <w:b/>
                <w:color w:val="000000" w:themeColor="text1"/>
                <w:kern w:val="0"/>
                <w:sz w:val="18"/>
                <w:szCs w:val="18"/>
                <w14:textFill>
                  <w14:solidFill>
                    <w14:schemeClr w14:val="tx1"/>
                  </w14:solidFill>
                </w14:textFill>
              </w:rPr>
            </w:pPr>
            <w:r>
              <w:rPr>
                <w:b/>
                <w:bCs/>
                <w:color w:val="000000" w:themeColor="text1"/>
                <w:spacing w:val="4"/>
                <w:sz w:val="18"/>
                <w:szCs w:val="18"/>
                <w14:textFill>
                  <w14:solidFill>
                    <w14:schemeClr w14:val="tx1"/>
                  </w14:solidFill>
                </w14:textFill>
              </w:rPr>
              <w:t>主要成分</w:t>
            </w:r>
          </w:p>
        </w:tc>
        <w:tc>
          <w:tcPr>
            <w:tcW w:w="682" w:type="pct"/>
            <w:tcBorders>
              <w:tl2br w:val="nil"/>
              <w:tr2bl w:val="nil"/>
            </w:tcBorders>
            <w:tcMar>
              <w:left w:w="28" w:type="dxa"/>
              <w:right w:w="28" w:type="dxa"/>
            </w:tcMar>
            <w:vAlign w:val="center"/>
          </w:tcPr>
          <w:p w14:paraId="3A1689B8">
            <w:pPr>
              <w:adjustRightInd w:val="0"/>
              <w:snapToGrid w:val="0"/>
              <w:jc w:val="center"/>
              <w:rPr>
                <w:b/>
                <w:color w:val="000000" w:themeColor="text1"/>
                <w:kern w:val="0"/>
                <w:sz w:val="18"/>
                <w:szCs w:val="18"/>
                <w14:textFill>
                  <w14:solidFill>
                    <w14:schemeClr w14:val="tx1"/>
                  </w14:solidFill>
                </w14:textFill>
              </w:rPr>
            </w:pPr>
            <w:r>
              <w:rPr>
                <w:b/>
                <w:color w:val="000000" w:themeColor="text1"/>
                <w:kern w:val="0"/>
                <w:sz w:val="18"/>
                <w:szCs w:val="18"/>
                <w14:textFill>
                  <w14:solidFill>
                    <w14:schemeClr w14:val="tx1"/>
                  </w14:solidFill>
                </w14:textFill>
              </w:rPr>
              <w:t>存储位置</w:t>
            </w:r>
          </w:p>
        </w:tc>
        <w:tc>
          <w:tcPr>
            <w:tcW w:w="737" w:type="pct"/>
            <w:tcBorders>
              <w:tl2br w:val="nil"/>
              <w:tr2bl w:val="nil"/>
            </w:tcBorders>
            <w:tcMar>
              <w:left w:w="28" w:type="dxa"/>
              <w:right w:w="28" w:type="dxa"/>
            </w:tcMar>
            <w:vAlign w:val="center"/>
          </w:tcPr>
          <w:p w14:paraId="0DAE2912">
            <w:pPr>
              <w:adjustRightInd w:val="0"/>
              <w:snapToGrid w:val="0"/>
              <w:jc w:val="center"/>
              <w:rPr>
                <w:b/>
                <w:color w:val="000000" w:themeColor="text1"/>
                <w:kern w:val="0"/>
                <w:sz w:val="18"/>
                <w:szCs w:val="18"/>
                <w14:textFill>
                  <w14:solidFill>
                    <w14:schemeClr w14:val="tx1"/>
                  </w14:solidFill>
                </w14:textFill>
              </w:rPr>
            </w:pPr>
            <w:r>
              <w:rPr>
                <w:b/>
                <w:color w:val="000000" w:themeColor="text1"/>
                <w:kern w:val="0"/>
                <w:sz w:val="18"/>
                <w:szCs w:val="18"/>
                <w14:textFill>
                  <w14:solidFill>
                    <w14:schemeClr w14:val="tx1"/>
                  </w14:solidFill>
                </w14:textFill>
              </w:rPr>
              <w:t>来源</w:t>
            </w:r>
          </w:p>
        </w:tc>
      </w:tr>
      <w:tr w14:paraId="00DE24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213730DA">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1</w:t>
            </w:r>
          </w:p>
        </w:tc>
        <w:tc>
          <w:tcPr>
            <w:tcW w:w="465" w:type="pct"/>
            <w:gridSpan w:val="2"/>
            <w:vMerge w:val="restart"/>
            <w:tcBorders>
              <w:tl2br w:val="nil"/>
              <w:tr2bl w:val="nil"/>
            </w:tcBorders>
            <w:tcMar>
              <w:left w:w="28" w:type="dxa"/>
              <w:right w:w="28" w:type="dxa"/>
            </w:tcMar>
            <w:vAlign w:val="center"/>
          </w:tcPr>
          <w:p w14:paraId="14B378EB">
            <w:pPr>
              <w:jc w:val="center"/>
              <w:rPr>
                <w:bCs/>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精</w:t>
            </w:r>
            <w:r>
              <w:rPr>
                <w:rFonts w:hint="eastAsia"/>
                <w:color w:val="000000" w:themeColor="text1"/>
                <w:sz w:val="18"/>
                <w:szCs w:val="18"/>
                <w14:textFill>
                  <w14:solidFill>
                    <w14:schemeClr w14:val="tx1"/>
                  </w14:solidFill>
                </w14:textFill>
              </w:rPr>
              <w:t>饲料</w:t>
            </w:r>
          </w:p>
        </w:tc>
        <w:tc>
          <w:tcPr>
            <w:tcW w:w="465" w:type="pct"/>
            <w:tcBorders>
              <w:tl2br w:val="nil"/>
              <w:tr2bl w:val="nil"/>
            </w:tcBorders>
            <w:vAlign w:val="center"/>
          </w:tcPr>
          <w:p w14:paraId="5D59E4D9">
            <w:pPr>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玉米</w:t>
            </w:r>
          </w:p>
        </w:tc>
        <w:tc>
          <w:tcPr>
            <w:tcW w:w="425" w:type="pct"/>
            <w:tcBorders>
              <w:tl2br w:val="nil"/>
              <w:tr2bl w:val="nil"/>
            </w:tcBorders>
            <w:tcMar>
              <w:left w:w="28" w:type="dxa"/>
              <w:right w:w="28" w:type="dxa"/>
            </w:tcMar>
            <w:vAlign w:val="center"/>
          </w:tcPr>
          <w:p w14:paraId="5CAD47E0">
            <w:pPr>
              <w:adjustRightInd w:val="0"/>
              <w:snapToGrid w:val="0"/>
              <w:jc w:val="center"/>
              <w:rPr>
                <w:bCs/>
                <w:color w:val="000000" w:themeColor="text1"/>
                <w:kern w:val="0"/>
                <w:sz w:val="18"/>
                <w:szCs w:val="18"/>
                <w14:textFill>
                  <w14:solidFill>
                    <w14:schemeClr w14:val="tx1"/>
                  </w14:solidFill>
                </w14:textFill>
              </w:rPr>
            </w:pPr>
            <w:bookmarkStart w:id="333" w:name="OLE_LINK37"/>
            <w:r>
              <w:rPr>
                <w:bCs/>
                <w:color w:val="000000" w:themeColor="text1"/>
                <w:kern w:val="0"/>
                <w:sz w:val="18"/>
                <w:szCs w:val="18"/>
                <w14:textFill>
                  <w14:solidFill>
                    <w14:schemeClr w14:val="tx1"/>
                  </w14:solidFill>
                </w14:textFill>
              </w:rPr>
              <w:t>t/a</w:t>
            </w:r>
            <w:bookmarkEnd w:id="333"/>
          </w:p>
        </w:tc>
        <w:tc>
          <w:tcPr>
            <w:tcW w:w="511" w:type="pct"/>
            <w:tcBorders>
              <w:tl2br w:val="nil"/>
              <w:tr2bl w:val="nil"/>
            </w:tcBorders>
            <w:tcMar>
              <w:left w:w="28" w:type="dxa"/>
              <w:right w:w="28" w:type="dxa"/>
            </w:tcMar>
            <w:vAlign w:val="center"/>
          </w:tcPr>
          <w:p w14:paraId="7EAB3D8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24359.4</w:t>
            </w:r>
          </w:p>
        </w:tc>
        <w:tc>
          <w:tcPr>
            <w:tcW w:w="1449" w:type="pct"/>
            <w:tcBorders>
              <w:tl2br w:val="nil"/>
              <w:tr2bl w:val="nil"/>
            </w:tcBorders>
            <w:tcMar>
              <w:left w:w="28" w:type="dxa"/>
              <w:right w:w="28" w:type="dxa"/>
            </w:tcMar>
            <w:vAlign w:val="center"/>
          </w:tcPr>
          <w:p w14:paraId="0A6560FB">
            <w:pPr>
              <w:adjustRightInd w:val="0"/>
              <w:snapToGrid w:val="0"/>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玉米</w:t>
            </w:r>
          </w:p>
        </w:tc>
        <w:tc>
          <w:tcPr>
            <w:tcW w:w="682" w:type="pct"/>
            <w:tcBorders>
              <w:tl2br w:val="nil"/>
              <w:tr2bl w:val="nil"/>
            </w:tcBorders>
            <w:tcMar>
              <w:left w:w="28" w:type="dxa"/>
              <w:right w:w="28" w:type="dxa"/>
            </w:tcMar>
            <w:vAlign w:val="center"/>
          </w:tcPr>
          <w:p w14:paraId="6E464257">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饲料库</w:t>
            </w:r>
          </w:p>
        </w:tc>
        <w:tc>
          <w:tcPr>
            <w:tcW w:w="737" w:type="pct"/>
            <w:tcBorders>
              <w:tl2br w:val="nil"/>
              <w:tr2bl w:val="nil"/>
            </w:tcBorders>
            <w:tcMar>
              <w:left w:w="28" w:type="dxa"/>
              <w:right w:w="28" w:type="dxa"/>
            </w:tcMar>
            <w:vAlign w:val="center"/>
          </w:tcPr>
          <w:p w14:paraId="186BF68C">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外购</w:t>
            </w:r>
          </w:p>
        </w:tc>
      </w:tr>
      <w:tr w14:paraId="787A50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69A08EFD">
            <w:pPr>
              <w:adjustRightInd w:val="0"/>
              <w:snapToGrid w:val="0"/>
              <w:jc w:val="center"/>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2</w:t>
            </w:r>
          </w:p>
        </w:tc>
        <w:tc>
          <w:tcPr>
            <w:tcW w:w="465" w:type="pct"/>
            <w:gridSpan w:val="2"/>
            <w:vMerge w:val="continue"/>
            <w:tcBorders>
              <w:tl2br w:val="nil"/>
              <w:tr2bl w:val="nil"/>
            </w:tcBorders>
            <w:tcMar>
              <w:left w:w="28" w:type="dxa"/>
              <w:right w:w="28" w:type="dxa"/>
            </w:tcMar>
            <w:vAlign w:val="center"/>
          </w:tcPr>
          <w:p w14:paraId="57240D43">
            <w:pPr>
              <w:jc w:val="center"/>
              <w:rPr>
                <w:color w:val="000000" w:themeColor="text1"/>
                <w:sz w:val="18"/>
                <w:szCs w:val="18"/>
                <w14:textFill>
                  <w14:solidFill>
                    <w14:schemeClr w14:val="tx1"/>
                  </w14:solidFill>
                </w14:textFill>
              </w:rPr>
            </w:pPr>
          </w:p>
        </w:tc>
        <w:tc>
          <w:tcPr>
            <w:tcW w:w="465" w:type="pct"/>
            <w:tcBorders>
              <w:tl2br w:val="nil"/>
              <w:tr2bl w:val="nil"/>
            </w:tcBorders>
            <w:vAlign w:val="center"/>
          </w:tcPr>
          <w:p w14:paraId="4F9A7AF1">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豆粕</w:t>
            </w:r>
          </w:p>
        </w:tc>
        <w:tc>
          <w:tcPr>
            <w:tcW w:w="425" w:type="pct"/>
            <w:tcBorders>
              <w:tl2br w:val="nil"/>
              <w:tr2bl w:val="nil"/>
            </w:tcBorders>
            <w:tcMar>
              <w:left w:w="28" w:type="dxa"/>
              <w:right w:w="28" w:type="dxa"/>
            </w:tcMar>
            <w:vAlign w:val="center"/>
          </w:tcPr>
          <w:p w14:paraId="746B5321">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t/a</w:t>
            </w:r>
          </w:p>
        </w:tc>
        <w:tc>
          <w:tcPr>
            <w:tcW w:w="511" w:type="pct"/>
            <w:tcBorders>
              <w:tl2br w:val="nil"/>
              <w:tr2bl w:val="nil"/>
            </w:tcBorders>
            <w:tcMar>
              <w:left w:w="28" w:type="dxa"/>
              <w:right w:w="28" w:type="dxa"/>
            </w:tcMar>
            <w:vAlign w:val="center"/>
          </w:tcPr>
          <w:p w14:paraId="54610230">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r>
              <w:rPr>
                <w:color w:val="000000" w:themeColor="text1"/>
                <w:sz w:val="18"/>
                <w:szCs w:val="18"/>
                <w14:textFill>
                  <w14:solidFill>
                    <w14:schemeClr w14:val="tx1"/>
                  </w14:solidFill>
                </w14:textFill>
              </w:rPr>
              <w:t>621.4</w:t>
            </w:r>
          </w:p>
        </w:tc>
        <w:tc>
          <w:tcPr>
            <w:tcW w:w="1449" w:type="pct"/>
            <w:tcBorders>
              <w:tl2br w:val="nil"/>
              <w:tr2bl w:val="nil"/>
            </w:tcBorders>
            <w:tcMar>
              <w:left w:w="28" w:type="dxa"/>
              <w:right w:w="28" w:type="dxa"/>
            </w:tcMar>
            <w:vAlign w:val="center"/>
          </w:tcPr>
          <w:p w14:paraId="289DC62D">
            <w:pPr>
              <w:adjustRightInd w:val="0"/>
              <w:snapToGrid w:val="0"/>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豆粕</w:t>
            </w:r>
          </w:p>
        </w:tc>
        <w:tc>
          <w:tcPr>
            <w:tcW w:w="682" w:type="pct"/>
            <w:tcBorders>
              <w:tl2br w:val="nil"/>
              <w:tr2bl w:val="nil"/>
            </w:tcBorders>
            <w:tcMar>
              <w:left w:w="28" w:type="dxa"/>
              <w:right w:w="28" w:type="dxa"/>
            </w:tcMar>
            <w:vAlign w:val="center"/>
          </w:tcPr>
          <w:p w14:paraId="47C884EA">
            <w:pPr>
              <w:adjustRightInd w:val="0"/>
              <w:snapToGrid w:val="0"/>
              <w:jc w:val="center"/>
              <w:rPr>
                <w:color w:val="000000" w:themeColor="text1"/>
                <w:sz w:val="18"/>
                <w:szCs w:val="18"/>
                <w14:textFill>
                  <w14:solidFill>
                    <w14:schemeClr w14:val="tx1"/>
                  </w14:solidFill>
                </w14:textFill>
              </w:rPr>
            </w:pPr>
          </w:p>
        </w:tc>
        <w:tc>
          <w:tcPr>
            <w:tcW w:w="737" w:type="pct"/>
            <w:tcBorders>
              <w:tl2br w:val="nil"/>
              <w:tr2bl w:val="nil"/>
            </w:tcBorders>
            <w:tcMar>
              <w:left w:w="28" w:type="dxa"/>
              <w:right w:w="28" w:type="dxa"/>
            </w:tcMar>
            <w:vAlign w:val="center"/>
          </w:tcPr>
          <w:p w14:paraId="729FD34E">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外购</w:t>
            </w:r>
          </w:p>
        </w:tc>
      </w:tr>
      <w:tr w14:paraId="558B8C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686D97B4">
            <w:pPr>
              <w:adjustRightInd w:val="0"/>
              <w:snapToGrid w:val="0"/>
              <w:jc w:val="center"/>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3</w:t>
            </w:r>
          </w:p>
        </w:tc>
        <w:tc>
          <w:tcPr>
            <w:tcW w:w="465" w:type="pct"/>
            <w:gridSpan w:val="2"/>
            <w:vMerge w:val="continue"/>
            <w:tcBorders>
              <w:tl2br w:val="nil"/>
              <w:tr2bl w:val="nil"/>
            </w:tcBorders>
            <w:tcMar>
              <w:left w:w="28" w:type="dxa"/>
              <w:right w:w="28" w:type="dxa"/>
            </w:tcMar>
            <w:vAlign w:val="center"/>
          </w:tcPr>
          <w:p w14:paraId="5751AD03">
            <w:pPr>
              <w:jc w:val="center"/>
              <w:rPr>
                <w:color w:val="000000" w:themeColor="text1"/>
                <w:sz w:val="18"/>
                <w:szCs w:val="18"/>
                <w14:textFill>
                  <w14:solidFill>
                    <w14:schemeClr w14:val="tx1"/>
                  </w14:solidFill>
                </w14:textFill>
              </w:rPr>
            </w:pPr>
          </w:p>
        </w:tc>
        <w:tc>
          <w:tcPr>
            <w:tcW w:w="465" w:type="pct"/>
            <w:tcBorders>
              <w:tl2br w:val="nil"/>
              <w:tr2bl w:val="nil"/>
            </w:tcBorders>
            <w:vAlign w:val="center"/>
          </w:tcPr>
          <w:p w14:paraId="4F61C5AE">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麦麸</w:t>
            </w:r>
          </w:p>
        </w:tc>
        <w:tc>
          <w:tcPr>
            <w:tcW w:w="425" w:type="pct"/>
            <w:tcBorders>
              <w:tl2br w:val="nil"/>
              <w:tr2bl w:val="nil"/>
            </w:tcBorders>
            <w:tcMar>
              <w:left w:w="28" w:type="dxa"/>
              <w:right w:w="28" w:type="dxa"/>
            </w:tcMar>
            <w:vAlign w:val="center"/>
          </w:tcPr>
          <w:p w14:paraId="74E996A0">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t/a</w:t>
            </w:r>
          </w:p>
        </w:tc>
        <w:tc>
          <w:tcPr>
            <w:tcW w:w="511" w:type="pct"/>
            <w:tcBorders>
              <w:tl2br w:val="nil"/>
              <w:tr2bl w:val="nil"/>
            </w:tcBorders>
            <w:tcMar>
              <w:left w:w="28" w:type="dxa"/>
              <w:right w:w="28" w:type="dxa"/>
            </w:tcMar>
            <w:vAlign w:val="center"/>
          </w:tcPr>
          <w:p w14:paraId="40445FF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5621.4</w:t>
            </w:r>
          </w:p>
        </w:tc>
        <w:tc>
          <w:tcPr>
            <w:tcW w:w="1449" w:type="pct"/>
            <w:tcBorders>
              <w:tl2br w:val="nil"/>
              <w:tr2bl w:val="nil"/>
            </w:tcBorders>
            <w:tcMar>
              <w:left w:w="28" w:type="dxa"/>
              <w:right w:w="28" w:type="dxa"/>
            </w:tcMar>
            <w:vAlign w:val="center"/>
          </w:tcPr>
          <w:p w14:paraId="1A22CA5F">
            <w:pPr>
              <w:adjustRightInd w:val="0"/>
              <w:snapToGrid w:val="0"/>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麦麸</w:t>
            </w:r>
          </w:p>
        </w:tc>
        <w:tc>
          <w:tcPr>
            <w:tcW w:w="682" w:type="pct"/>
            <w:tcBorders>
              <w:tl2br w:val="nil"/>
              <w:tr2bl w:val="nil"/>
            </w:tcBorders>
            <w:tcMar>
              <w:left w:w="28" w:type="dxa"/>
              <w:right w:w="28" w:type="dxa"/>
            </w:tcMar>
            <w:vAlign w:val="center"/>
          </w:tcPr>
          <w:p w14:paraId="43BA5C1A">
            <w:pPr>
              <w:adjustRightInd w:val="0"/>
              <w:snapToGrid w:val="0"/>
              <w:jc w:val="center"/>
              <w:rPr>
                <w:color w:val="000000" w:themeColor="text1"/>
                <w:sz w:val="18"/>
                <w:szCs w:val="18"/>
                <w14:textFill>
                  <w14:solidFill>
                    <w14:schemeClr w14:val="tx1"/>
                  </w14:solidFill>
                </w14:textFill>
              </w:rPr>
            </w:pPr>
          </w:p>
        </w:tc>
        <w:tc>
          <w:tcPr>
            <w:tcW w:w="737" w:type="pct"/>
            <w:tcBorders>
              <w:tl2br w:val="nil"/>
              <w:tr2bl w:val="nil"/>
            </w:tcBorders>
            <w:tcMar>
              <w:left w:w="28" w:type="dxa"/>
              <w:right w:w="28" w:type="dxa"/>
            </w:tcMar>
            <w:vAlign w:val="center"/>
          </w:tcPr>
          <w:p w14:paraId="5F6C371F">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外购</w:t>
            </w:r>
          </w:p>
        </w:tc>
      </w:tr>
      <w:tr w14:paraId="73386F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2D88436E">
            <w:pPr>
              <w:adjustRightInd w:val="0"/>
              <w:snapToGrid w:val="0"/>
              <w:jc w:val="center"/>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4</w:t>
            </w:r>
          </w:p>
        </w:tc>
        <w:tc>
          <w:tcPr>
            <w:tcW w:w="465" w:type="pct"/>
            <w:gridSpan w:val="2"/>
            <w:vMerge w:val="continue"/>
            <w:tcBorders>
              <w:tl2br w:val="nil"/>
              <w:tr2bl w:val="nil"/>
            </w:tcBorders>
            <w:tcMar>
              <w:left w:w="28" w:type="dxa"/>
              <w:right w:w="28" w:type="dxa"/>
            </w:tcMar>
            <w:vAlign w:val="center"/>
          </w:tcPr>
          <w:p w14:paraId="6BE1ABCD">
            <w:pPr>
              <w:jc w:val="center"/>
              <w:rPr>
                <w:color w:val="000000" w:themeColor="text1"/>
                <w:sz w:val="18"/>
                <w:szCs w:val="18"/>
                <w14:textFill>
                  <w14:solidFill>
                    <w14:schemeClr w14:val="tx1"/>
                  </w14:solidFill>
                </w14:textFill>
              </w:rPr>
            </w:pPr>
          </w:p>
        </w:tc>
        <w:tc>
          <w:tcPr>
            <w:tcW w:w="465" w:type="pct"/>
            <w:tcBorders>
              <w:tl2br w:val="nil"/>
              <w:tr2bl w:val="nil"/>
            </w:tcBorders>
            <w:vAlign w:val="center"/>
          </w:tcPr>
          <w:p w14:paraId="5F8FA89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预混料</w:t>
            </w:r>
          </w:p>
        </w:tc>
        <w:tc>
          <w:tcPr>
            <w:tcW w:w="425" w:type="pct"/>
            <w:tcBorders>
              <w:tl2br w:val="nil"/>
              <w:tr2bl w:val="nil"/>
            </w:tcBorders>
            <w:tcMar>
              <w:left w:w="28" w:type="dxa"/>
              <w:right w:w="28" w:type="dxa"/>
            </w:tcMar>
            <w:vAlign w:val="center"/>
          </w:tcPr>
          <w:p w14:paraId="25440D64">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t/a</w:t>
            </w:r>
          </w:p>
        </w:tc>
        <w:tc>
          <w:tcPr>
            <w:tcW w:w="511" w:type="pct"/>
            <w:tcBorders>
              <w:tl2br w:val="nil"/>
              <w:tr2bl w:val="nil"/>
            </w:tcBorders>
            <w:tcMar>
              <w:left w:w="28" w:type="dxa"/>
              <w:right w:w="28" w:type="dxa"/>
            </w:tcMar>
            <w:vAlign w:val="center"/>
          </w:tcPr>
          <w:p w14:paraId="3EC268F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873.8</w:t>
            </w:r>
          </w:p>
        </w:tc>
        <w:tc>
          <w:tcPr>
            <w:tcW w:w="1449" w:type="pct"/>
            <w:tcBorders>
              <w:tl2br w:val="nil"/>
              <w:tr2bl w:val="nil"/>
            </w:tcBorders>
            <w:tcMar>
              <w:left w:w="28" w:type="dxa"/>
              <w:right w:w="28" w:type="dxa"/>
            </w:tcMar>
            <w:vAlign w:val="center"/>
          </w:tcPr>
          <w:p w14:paraId="43413840">
            <w:pPr>
              <w:adjustRightInd w:val="0"/>
              <w:snapToGrid w:val="0"/>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钙、磷、钠、维生素A/D/E、微量元素</w:t>
            </w:r>
          </w:p>
        </w:tc>
        <w:tc>
          <w:tcPr>
            <w:tcW w:w="682" w:type="pct"/>
            <w:tcBorders>
              <w:tl2br w:val="nil"/>
              <w:tr2bl w:val="nil"/>
            </w:tcBorders>
            <w:tcMar>
              <w:left w:w="28" w:type="dxa"/>
              <w:right w:w="28" w:type="dxa"/>
            </w:tcMar>
            <w:vAlign w:val="center"/>
          </w:tcPr>
          <w:p w14:paraId="3817C066">
            <w:pPr>
              <w:adjustRightInd w:val="0"/>
              <w:snapToGrid w:val="0"/>
              <w:jc w:val="center"/>
              <w:rPr>
                <w:color w:val="000000" w:themeColor="text1"/>
                <w:sz w:val="18"/>
                <w:szCs w:val="18"/>
                <w14:textFill>
                  <w14:solidFill>
                    <w14:schemeClr w14:val="tx1"/>
                  </w14:solidFill>
                </w14:textFill>
              </w:rPr>
            </w:pPr>
          </w:p>
        </w:tc>
        <w:tc>
          <w:tcPr>
            <w:tcW w:w="737" w:type="pct"/>
            <w:tcBorders>
              <w:tl2br w:val="nil"/>
              <w:tr2bl w:val="nil"/>
            </w:tcBorders>
            <w:tcMar>
              <w:left w:w="28" w:type="dxa"/>
              <w:right w:w="28" w:type="dxa"/>
            </w:tcMar>
            <w:vAlign w:val="center"/>
          </w:tcPr>
          <w:p w14:paraId="023CD809">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外购</w:t>
            </w:r>
          </w:p>
        </w:tc>
      </w:tr>
      <w:tr w14:paraId="7269EA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266" w:type="pct"/>
            <w:tcBorders>
              <w:tl2br w:val="nil"/>
              <w:tr2bl w:val="nil"/>
            </w:tcBorders>
            <w:tcMar>
              <w:left w:w="28" w:type="dxa"/>
              <w:right w:w="28" w:type="dxa"/>
            </w:tcMar>
            <w:vAlign w:val="center"/>
          </w:tcPr>
          <w:p w14:paraId="653AE67E">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5</w:t>
            </w:r>
          </w:p>
        </w:tc>
        <w:tc>
          <w:tcPr>
            <w:tcW w:w="465" w:type="pct"/>
            <w:gridSpan w:val="2"/>
            <w:vMerge w:val="restart"/>
            <w:tcBorders>
              <w:tl2br w:val="nil"/>
              <w:tr2bl w:val="nil"/>
            </w:tcBorders>
            <w:tcMar>
              <w:left w:w="28" w:type="dxa"/>
              <w:right w:w="28" w:type="dxa"/>
            </w:tcMar>
            <w:vAlign w:val="center"/>
          </w:tcPr>
          <w:p w14:paraId="1CC74CB9">
            <w:pPr>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粗饲料</w:t>
            </w:r>
          </w:p>
        </w:tc>
        <w:tc>
          <w:tcPr>
            <w:tcW w:w="465" w:type="pct"/>
            <w:tcBorders>
              <w:tl2br w:val="nil"/>
              <w:tr2bl w:val="nil"/>
            </w:tcBorders>
            <w:vAlign w:val="center"/>
          </w:tcPr>
          <w:p w14:paraId="1FA9668A">
            <w:pPr>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皇竹草</w:t>
            </w:r>
          </w:p>
        </w:tc>
        <w:tc>
          <w:tcPr>
            <w:tcW w:w="425" w:type="pct"/>
            <w:tcBorders>
              <w:tl2br w:val="nil"/>
              <w:tr2bl w:val="nil"/>
            </w:tcBorders>
            <w:tcMar>
              <w:left w:w="28" w:type="dxa"/>
              <w:right w:w="28" w:type="dxa"/>
            </w:tcMar>
            <w:vAlign w:val="center"/>
          </w:tcPr>
          <w:p w14:paraId="40CF7740">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t/a</w:t>
            </w:r>
          </w:p>
        </w:tc>
        <w:tc>
          <w:tcPr>
            <w:tcW w:w="511" w:type="pct"/>
            <w:tcBorders>
              <w:tl2br w:val="nil"/>
              <w:tr2bl w:val="nil"/>
            </w:tcBorders>
            <w:tcMar>
              <w:left w:w="28" w:type="dxa"/>
              <w:right w:w="28" w:type="dxa"/>
            </w:tcMar>
            <w:vAlign w:val="center"/>
          </w:tcPr>
          <w:p w14:paraId="721EB826">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26582.04</w:t>
            </w:r>
          </w:p>
        </w:tc>
        <w:tc>
          <w:tcPr>
            <w:tcW w:w="1449" w:type="pct"/>
            <w:tcBorders>
              <w:tl2br w:val="nil"/>
              <w:tr2bl w:val="nil"/>
            </w:tcBorders>
            <w:tcMar>
              <w:left w:w="28" w:type="dxa"/>
              <w:right w:w="28" w:type="dxa"/>
            </w:tcMar>
            <w:vAlign w:val="center"/>
          </w:tcPr>
          <w:p w14:paraId="1F8B8B35">
            <w:pPr>
              <w:adjustRightInd w:val="0"/>
              <w:snapToGrid w:val="0"/>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皇竹草</w:t>
            </w:r>
          </w:p>
        </w:tc>
        <w:tc>
          <w:tcPr>
            <w:tcW w:w="682" w:type="pct"/>
            <w:tcBorders>
              <w:tl2br w:val="nil"/>
              <w:tr2bl w:val="nil"/>
            </w:tcBorders>
            <w:tcMar>
              <w:left w:w="28" w:type="dxa"/>
              <w:right w:w="28" w:type="dxa"/>
            </w:tcMar>
            <w:vAlign w:val="center"/>
          </w:tcPr>
          <w:p w14:paraId="47683E67">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青贮窖</w:t>
            </w:r>
          </w:p>
        </w:tc>
        <w:tc>
          <w:tcPr>
            <w:tcW w:w="737" w:type="pct"/>
            <w:tcBorders>
              <w:tl2br w:val="nil"/>
              <w:tr2bl w:val="nil"/>
            </w:tcBorders>
            <w:tcMar>
              <w:left w:w="28" w:type="dxa"/>
              <w:right w:w="28" w:type="dxa"/>
            </w:tcMar>
            <w:vAlign w:val="center"/>
          </w:tcPr>
          <w:p w14:paraId="052EE092">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使用新鲜皇竹草青贮而成</w:t>
            </w:r>
          </w:p>
        </w:tc>
      </w:tr>
      <w:tr w14:paraId="357AE2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40610B5C">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6</w:t>
            </w:r>
          </w:p>
        </w:tc>
        <w:tc>
          <w:tcPr>
            <w:tcW w:w="465" w:type="pct"/>
            <w:gridSpan w:val="2"/>
            <w:vMerge w:val="continue"/>
            <w:tcBorders>
              <w:tl2br w:val="nil"/>
              <w:tr2bl w:val="nil"/>
            </w:tcBorders>
            <w:tcMar>
              <w:left w:w="28" w:type="dxa"/>
              <w:right w:w="28" w:type="dxa"/>
            </w:tcMar>
            <w:vAlign w:val="center"/>
          </w:tcPr>
          <w:p w14:paraId="0869FD8D">
            <w:pPr>
              <w:jc w:val="center"/>
              <w:rPr>
                <w:bCs/>
                <w:color w:val="000000" w:themeColor="text1"/>
                <w:kern w:val="0"/>
                <w:sz w:val="18"/>
                <w:szCs w:val="18"/>
                <w14:textFill>
                  <w14:solidFill>
                    <w14:schemeClr w14:val="tx1"/>
                  </w14:solidFill>
                </w14:textFill>
              </w:rPr>
            </w:pPr>
          </w:p>
        </w:tc>
        <w:tc>
          <w:tcPr>
            <w:tcW w:w="465" w:type="pct"/>
            <w:tcBorders>
              <w:tl2br w:val="nil"/>
              <w:tr2bl w:val="nil"/>
            </w:tcBorders>
            <w:vAlign w:val="center"/>
          </w:tcPr>
          <w:p w14:paraId="65FDAACD">
            <w:pPr>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苜宿干草</w:t>
            </w:r>
          </w:p>
        </w:tc>
        <w:tc>
          <w:tcPr>
            <w:tcW w:w="425" w:type="pct"/>
            <w:tcBorders>
              <w:tl2br w:val="nil"/>
              <w:tr2bl w:val="nil"/>
            </w:tcBorders>
            <w:tcMar>
              <w:left w:w="28" w:type="dxa"/>
              <w:right w:w="28" w:type="dxa"/>
            </w:tcMar>
            <w:vAlign w:val="center"/>
          </w:tcPr>
          <w:p w14:paraId="4F8E6745">
            <w:pPr>
              <w:adjustRightInd w:val="0"/>
              <w:snapToGrid w:val="0"/>
              <w:jc w:val="center"/>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t</w:t>
            </w:r>
            <w:r>
              <w:rPr>
                <w:bCs/>
                <w:color w:val="000000" w:themeColor="text1"/>
                <w:kern w:val="0"/>
                <w:sz w:val="18"/>
                <w:szCs w:val="18"/>
                <w14:textFill>
                  <w14:solidFill>
                    <w14:schemeClr w14:val="tx1"/>
                  </w14:solidFill>
                </w14:textFill>
              </w:rPr>
              <w:t>/</w:t>
            </w:r>
            <w:r>
              <w:rPr>
                <w:rFonts w:hint="eastAsia"/>
                <w:bCs/>
                <w:color w:val="000000" w:themeColor="text1"/>
                <w:kern w:val="0"/>
                <w:sz w:val="18"/>
                <w:szCs w:val="18"/>
                <w14:textFill>
                  <w14:solidFill>
                    <w14:schemeClr w14:val="tx1"/>
                  </w14:solidFill>
                </w14:textFill>
              </w:rPr>
              <w:t>a</w:t>
            </w:r>
          </w:p>
        </w:tc>
        <w:tc>
          <w:tcPr>
            <w:tcW w:w="511" w:type="pct"/>
            <w:tcBorders>
              <w:tl2br w:val="nil"/>
              <w:tr2bl w:val="nil"/>
            </w:tcBorders>
            <w:tcMar>
              <w:left w:w="28" w:type="dxa"/>
              <w:right w:w="28" w:type="dxa"/>
            </w:tcMar>
            <w:vAlign w:val="center"/>
          </w:tcPr>
          <w:p w14:paraId="251C9204">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r>
              <w:rPr>
                <w:color w:val="000000" w:themeColor="text1"/>
                <w:sz w:val="18"/>
                <w:szCs w:val="18"/>
                <w14:textFill>
                  <w14:solidFill>
                    <w14:schemeClr w14:val="tx1"/>
                  </w14:solidFill>
                </w14:textFill>
              </w:rPr>
              <w:t>002.64</w:t>
            </w:r>
          </w:p>
        </w:tc>
        <w:tc>
          <w:tcPr>
            <w:tcW w:w="1449" w:type="pct"/>
            <w:tcBorders>
              <w:tl2br w:val="nil"/>
              <w:tr2bl w:val="nil"/>
            </w:tcBorders>
            <w:tcMar>
              <w:left w:w="28" w:type="dxa"/>
              <w:right w:w="28" w:type="dxa"/>
            </w:tcMar>
            <w:vAlign w:val="center"/>
          </w:tcPr>
          <w:p w14:paraId="541A7606">
            <w:pPr>
              <w:adjustRightInd w:val="0"/>
              <w:snapToGrid w:val="0"/>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苜宿</w:t>
            </w:r>
          </w:p>
        </w:tc>
        <w:tc>
          <w:tcPr>
            <w:tcW w:w="682" w:type="pct"/>
            <w:vMerge w:val="restart"/>
            <w:tcBorders>
              <w:tl2br w:val="nil"/>
              <w:tr2bl w:val="nil"/>
            </w:tcBorders>
            <w:tcMar>
              <w:left w:w="28" w:type="dxa"/>
              <w:right w:w="28" w:type="dxa"/>
            </w:tcMar>
            <w:vAlign w:val="center"/>
          </w:tcPr>
          <w:p w14:paraId="162EA477">
            <w:pPr>
              <w:adjustRightInd w:val="0"/>
              <w:snapToGrid w:val="0"/>
              <w:jc w:val="center"/>
              <w:rPr>
                <w:color w:val="000000" w:themeColor="text1"/>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饲料库</w:t>
            </w:r>
          </w:p>
        </w:tc>
        <w:tc>
          <w:tcPr>
            <w:tcW w:w="737" w:type="pct"/>
            <w:tcBorders>
              <w:tl2br w:val="nil"/>
              <w:tr2bl w:val="nil"/>
            </w:tcBorders>
            <w:tcMar>
              <w:left w:w="28" w:type="dxa"/>
              <w:right w:w="28" w:type="dxa"/>
            </w:tcMar>
            <w:vAlign w:val="center"/>
          </w:tcPr>
          <w:p w14:paraId="16682C5E">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外购</w:t>
            </w:r>
          </w:p>
        </w:tc>
      </w:tr>
      <w:tr w14:paraId="0519B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215A28CC">
            <w:pPr>
              <w:adjustRightInd w:val="0"/>
              <w:snapToGrid w:val="0"/>
              <w:jc w:val="center"/>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7</w:t>
            </w:r>
          </w:p>
        </w:tc>
        <w:tc>
          <w:tcPr>
            <w:tcW w:w="465" w:type="pct"/>
            <w:gridSpan w:val="2"/>
            <w:vMerge w:val="continue"/>
            <w:tcBorders>
              <w:tl2br w:val="nil"/>
              <w:tr2bl w:val="nil"/>
            </w:tcBorders>
            <w:tcMar>
              <w:left w:w="28" w:type="dxa"/>
              <w:right w:w="28" w:type="dxa"/>
            </w:tcMar>
            <w:vAlign w:val="center"/>
          </w:tcPr>
          <w:p w14:paraId="616960A8">
            <w:pPr>
              <w:jc w:val="center"/>
              <w:rPr>
                <w:bCs/>
                <w:color w:val="000000" w:themeColor="text1"/>
                <w:kern w:val="0"/>
                <w:sz w:val="18"/>
                <w:szCs w:val="18"/>
                <w14:textFill>
                  <w14:solidFill>
                    <w14:schemeClr w14:val="tx1"/>
                  </w14:solidFill>
                </w14:textFill>
              </w:rPr>
            </w:pPr>
          </w:p>
        </w:tc>
        <w:tc>
          <w:tcPr>
            <w:tcW w:w="465" w:type="pct"/>
            <w:tcBorders>
              <w:tl2br w:val="nil"/>
              <w:tr2bl w:val="nil"/>
            </w:tcBorders>
            <w:vAlign w:val="center"/>
          </w:tcPr>
          <w:p w14:paraId="1ADBEA5C">
            <w:pPr>
              <w:jc w:val="center"/>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黑麦草干草</w:t>
            </w:r>
          </w:p>
        </w:tc>
        <w:tc>
          <w:tcPr>
            <w:tcW w:w="425" w:type="pct"/>
            <w:tcBorders>
              <w:tl2br w:val="nil"/>
              <w:tr2bl w:val="nil"/>
            </w:tcBorders>
            <w:tcMar>
              <w:left w:w="28" w:type="dxa"/>
              <w:right w:w="28" w:type="dxa"/>
            </w:tcMar>
            <w:vAlign w:val="center"/>
          </w:tcPr>
          <w:p w14:paraId="01BA9382">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t/a</w:t>
            </w:r>
          </w:p>
        </w:tc>
        <w:tc>
          <w:tcPr>
            <w:tcW w:w="511" w:type="pct"/>
            <w:tcBorders>
              <w:tl2br w:val="nil"/>
              <w:tr2bl w:val="nil"/>
            </w:tcBorders>
            <w:tcMar>
              <w:left w:w="28" w:type="dxa"/>
              <w:right w:w="28" w:type="dxa"/>
            </w:tcMar>
            <w:vAlign w:val="center"/>
          </w:tcPr>
          <w:p w14:paraId="6DB98BA9">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r>
              <w:rPr>
                <w:color w:val="000000" w:themeColor="text1"/>
                <w:sz w:val="18"/>
                <w:szCs w:val="18"/>
                <w14:textFill>
                  <w14:solidFill>
                    <w14:schemeClr w14:val="tx1"/>
                  </w14:solidFill>
                </w14:textFill>
              </w:rPr>
              <w:t>002.64</w:t>
            </w:r>
          </w:p>
        </w:tc>
        <w:tc>
          <w:tcPr>
            <w:tcW w:w="1449" w:type="pct"/>
            <w:tcBorders>
              <w:tl2br w:val="nil"/>
              <w:tr2bl w:val="nil"/>
            </w:tcBorders>
            <w:tcMar>
              <w:left w:w="28" w:type="dxa"/>
              <w:right w:w="28" w:type="dxa"/>
            </w:tcMar>
            <w:vAlign w:val="center"/>
          </w:tcPr>
          <w:p w14:paraId="022FBD66">
            <w:pPr>
              <w:adjustRightInd w:val="0"/>
              <w:snapToGrid w:val="0"/>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黑麦草</w:t>
            </w:r>
          </w:p>
        </w:tc>
        <w:tc>
          <w:tcPr>
            <w:tcW w:w="682" w:type="pct"/>
            <w:vMerge w:val="continue"/>
            <w:tcBorders>
              <w:tl2br w:val="nil"/>
              <w:tr2bl w:val="nil"/>
            </w:tcBorders>
            <w:tcMar>
              <w:left w:w="28" w:type="dxa"/>
              <w:right w:w="28" w:type="dxa"/>
            </w:tcMar>
            <w:vAlign w:val="center"/>
          </w:tcPr>
          <w:p w14:paraId="7C81A4ED">
            <w:pPr>
              <w:adjustRightInd w:val="0"/>
              <w:snapToGrid w:val="0"/>
              <w:jc w:val="center"/>
              <w:rPr>
                <w:color w:val="000000" w:themeColor="text1"/>
                <w:sz w:val="18"/>
                <w:szCs w:val="18"/>
                <w14:textFill>
                  <w14:solidFill>
                    <w14:schemeClr w14:val="tx1"/>
                  </w14:solidFill>
                </w14:textFill>
              </w:rPr>
            </w:pPr>
          </w:p>
        </w:tc>
        <w:tc>
          <w:tcPr>
            <w:tcW w:w="737" w:type="pct"/>
            <w:tcBorders>
              <w:tl2br w:val="nil"/>
              <w:tr2bl w:val="nil"/>
            </w:tcBorders>
            <w:tcMar>
              <w:left w:w="28" w:type="dxa"/>
              <w:right w:w="28" w:type="dxa"/>
            </w:tcMar>
            <w:vAlign w:val="center"/>
          </w:tcPr>
          <w:p w14:paraId="14A1251E">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外购</w:t>
            </w:r>
          </w:p>
        </w:tc>
      </w:tr>
      <w:tr w14:paraId="04F78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6294BE4F">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8</w:t>
            </w:r>
          </w:p>
        </w:tc>
        <w:tc>
          <w:tcPr>
            <w:tcW w:w="930" w:type="pct"/>
            <w:gridSpan w:val="3"/>
            <w:tcBorders>
              <w:tl2br w:val="nil"/>
              <w:tr2bl w:val="nil"/>
            </w:tcBorders>
            <w:tcMar>
              <w:left w:w="28" w:type="dxa"/>
              <w:right w:w="28" w:type="dxa"/>
            </w:tcMar>
            <w:vAlign w:val="center"/>
          </w:tcPr>
          <w:p w14:paraId="7F55B4D0">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发酵床垫料</w:t>
            </w:r>
          </w:p>
        </w:tc>
        <w:tc>
          <w:tcPr>
            <w:tcW w:w="425" w:type="pct"/>
            <w:tcBorders>
              <w:tl2br w:val="nil"/>
              <w:tr2bl w:val="nil"/>
            </w:tcBorders>
            <w:tcMar>
              <w:left w:w="28" w:type="dxa"/>
              <w:right w:w="28" w:type="dxa"/>
            </w:tcMar>
            <w:vAlign w:val="center"/>
          </w:tcPr>
          <w:p w14:paraId="160680C8">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t/a</w:t>
            </w:r>
          </w:p>
        </w:tc>
        <w:tc>
          <w:tcPr>
            <w:tcW w:w="511" w:type="pct"/>
            <w:tcBorders>
              <w:tl2br w:val="nil"/>
              <w:tr2bl w:val="nil"/>
            </w:tcBorders>
            <w:tcMar>
              <w:left w:w="28" w:type="dxa"/>
              <w:right w:w="28" w:type="dxa"/>
            </w:tcMar>
            <w:vAlign w:val="center"/>
          </w:tcPr>
          <w:p w14:paraId="12873DD1">
            <w:pPr>
              <w:adjustRightInd w:val="0"/>
              <w:snapToGrid w:val="0"/>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15408</w:t>
            </w:r>
          </w:p>
        </w:tc>
        <w:tc>
          <w:tcPr>
            <w:tcW w:w="1449" w:type="pct"/>
            <w:tcBorders>
              <w:tl2br w:val="nil"/>
              <w:tr2bl w:val="nil"/>
            </w:tcBorders>
            <w:tcMar>
              <w:left w:w="28" w:type="dxa"/>
              <w:right w:w="28" w:type="dxa"/>
            </w:tcMar>
            <w:vAlign w:val="center"/>
          </w:tcPr>
          <w:p w14:paraId="695B4780">
            <w:pPr>
              <w:adjustRightInd w:val="0"/>
              <w:snapToGrid w:val="0"/>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锯末、稻壳</w:t>
            </w:r>
          </w:p>
        </w:tc>
        <w:tc>
          <w:tcPr>
            <w:tcW w:w="682" w:type="pct"/>
            <w:tcBorders>
              <w:tl2br w:val="nil"/>
              <w:tr2bl w:val="nil"/>
            </w:tcBorders>
            <w:tcMar>
              <w:left w:w="28" w:type="dxa"/>
              <w:right w:w="28" w:type="dxa"/>
            </w:tcMar>
            <w:vAlign w:val="center"/>
          </w:tcPr>
          <w:p w14:paraId="6DD2EBC3">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垫料棚</w:t>
            </w:r>
          </w:p>
        </w:tc>
        <w:tc>
          <w:tcPr>
            <w:tcW w:w="737" w:type="pct"/>
            <w:tcBorders>
              <w:tl2br w:val="nil"/>
              <w:tr2bl w:val="nil"/>
            </w:tcBorders>
            <w:tcMar>
              <w:left w:w="28" w:type="dxa"/>
              <w:right w:w="28" w:type="dxa"/>
            </w:tcMar>
            <w:vAlign w:val="center"/>
          </w:tcPr>
          <w:p w14:paraId="4FAB981E">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外购</w:t>
            </w:r>
          </w:p>
        </w:tc>
      </w:tr>
      <w:tr w14:paraId="1EC2E6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284A7667">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9</w:t>
            </w:r>
          </w:p>
        </w:tc>
        <w:tc>
          <w:tcPr>
            <w:tcW w:w="930" w:type="pct"/>
            <w:gridSpan w:val="3"/>
            <w:tcBorders>
              <w:tl2br w:val="nil"/>
              <w:tr2bl w:val="nil"/>
            </w:tcBorders>
            <w:tcMar>
              <w:left w:w="28" w:type="dxa"/>
              <w:right w:w="28" w:type="dxa"/>
            </w:tcMar>
            <w:vAlign w:val="center"/>
          </w:tcPr>
          <w:p w14:paraId="4BAD1C04">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发酵</w:t>
            </w:r>
            <w:r>
              <w:rPr>
                <w:rFonts w:hint="eastAsia"/>
                <w:bCs/>
                <w:color w:val="000000" w:themeColor="text1"/>
                <w:kern w:val="0"/>
                <w:sz w:val="18"/>
                <w:szCs w:val="18"/>
                <w14:textFill>
                  <w14:solidFill>
                    <w14:schemeClr w14:val="tx1"/>
                  </w14:solidFill>
                </w14:textFill>
              </w:rPr>
              <w:t>剂</w:t>
            </w:r>
          </w:p>
        </w:tc>
        <w:tc>
          <w:tcPr>
            <w:tcW w:w="425" w:type="pct"/>
            <w:tcBorders>
              <w:tl2br w:val="nil"/>
              <w:tr2bl w:val="nil"/>
            </w:tcBorders>
            <w:tcMar>
              <w:left w:w="28" w:type="dxa"/>
              <w:right w:w="28" w:type="dxa"/>
            </w:tcMar>
            <w:vAlign w:val="center"/>
          </w:tcPr>
          <w:p w14:paraId="4B18B40C">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t/a</w:t>
            </w:r>
          </w:p>
        </w:tc>
        <w:tc>
          <w:tcPr>
            <w:tcW w:w="511" w:type="pct"/>
            <w:tcBorders>
              <w:tl2br w:val="nil"/>
              <w:tr2bl w:val="nil"/>
            </w:tcBorders>
            <w:tcMar>
              <w:left w:w="28" w:type="dxa"/>
              <w:right w:w="28" w:type="dxa"/>
            </w:tcMar>
            <w:vAlign w:val="center"/>
          </w:tcPr>
          <w:p w14:paraId="0DC00E19">
            <w:pPr>
              <w:adjustRightInd w:val="0"/>
              <w:snapToGrid w:val="0"/>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15.408</w:t>
            </w:r>
          </w:p>
        </w:tc>
        <w:tc>
          <w:tcPr>
            <w:tcW w:w="1449" w:type="pct"/>
            <w:tcBorders>
              <w:tl2br w:val="nil"/>
              <w:tr2bl w:val="nil"/>
            </w:tcBorders>
            <w:tcMar>
              <w:left w:w="28" w:type="dxa"/>
              <w:right w:w="28" w:type="dxa"/>
            </w:tcMar>
            <w:vAlign w:val="center"/>
          </w:tcPr>
          <w:p w14:paraId="1BE9917A">
            <w:pPr>
              <w:adjustRightInd w:val="0"/>
              <w:snapToGrid w:val="0"/>
              <w:jc w:val="center"/>
              <w:rPr>
                <w:color w:val="000000" w:themeColor="text1"/>
                <w:kern w:val="0"/>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E</w:t>
            </w:r>
            <w:r>
              <w:rPr>
                <w:color w:val="000000" w:themeColor="text1"/>
                <w:kern w:val="0"/>
                <w:sz w:val="18"/>
                <w:szCs w:val="18"/>
                <w14:textFill>
                  <w14:solidFill>
                    <w14:schemeClr w14:val="tx1"/>
                  </w14:solidFill>
                </w14:textFill>
              </w:rPr>
              <w:t>M</w:t>
            </w:r>
            <w:r>
              <w:rPr>
                <w:rFonts w:hint="eastAsia"/>
                <w:color w:val="000000" w:themeColor="text1"/>
                <w:kern w:val="0"/>
                <w:sz w:val="18"/>
                <w:szCs w:val="18"/>
                <w14:textFill>
                  <w14:solidFill>
                    <w14:schemeClr w14:val="tx1"/>
                  </w14:solidFill>
                </w14:textFill>
              </w:rPr>
              <w:t>菌</w:t>
            </w:r>
          </w:p>
        </w:tc>
        <w:tc>
          <w:tcPr>
            <w:tcW w:w="682" w:type="pct"/>
            <w:tcBorders>
              <w:tl2br w:val="nil"/>
              <w:tr2bl w:val="nil"/>
            </w:tcBorders>
            <w:tcMar>
              <w:left w:w="28" w:type="dxa"/>
              <w:right w:w="28" w:type="dxa"/>
            </w:tcMar>
            <w:vAlign w:val="center"/>
          </w:tcPr>
          <w:p w14:paraId="6A7EB83B">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饲料库</w:t>
            </w:r>
          </w:p>
        </w:tc>
        <w:tc>
          <w:tcPr>
            <w:tcW w:w="737" w:type="pct"/>
            <w:tcBorders>
              <w:tl2br w:val="nil"/>
              <w:tr2bl w:val="nil"/>
            </w:tcBorders>
            <w:tcMar>
              <w:left w:w="28" w:type="dxa"/>
              <w:right w:w="28" w:type="dxa"/>
            </w:tcMar>
            <w:vAlign w:val="center"/>
          </w:tcPr>
          <w:p w14:paraId="1A6E9125">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外购</w:t>
            </w:r>
          </w:p>
        </w:tc>
      </w:tr>
      <w:tr w14:paraId="0A41E3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727E6D31">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10</w:t>
            </w:r>
          </w:p>
        </w:tc>
        <w:tc>
          <w:tcPr>
            <w:tcW w:w="930" w:type="pct"/>
            <w:gridSpan w:val="3"/>
            <w:tcBorders>
              <w:tl2br w:val="nil"/>
              <w:tr2bl w:val="nil"/>
            </w:tcBorders>
            <w:tcMar>
              <w:left w:w="28" w:type="dxa"/>
              <w:right w:w="28" w:type="dxa"/>
            </w:tcMar>
            <w:vAlign w:val="center"/>
          </w:tcPr>
          <w:p w14:paraId="772FF50C">
            <w:pPr>
              <w:adjustRightInd w:val="0"/>
              <w:snapToGrid w:val="0"/>
              <w:jc w:val="center"/>
              <w:rPr>
                <w:bCs/>
                <w:color w:val="000000" w:themeColor="text1"/>
                <w:kern w:val="0"/>
                <w:sz w:val="18"/>
                <w:szCs w:val="18"/>
                <w14:textFill>
                  <w14:solidFill>
                    <w14:schemeClr w14:val="tx1"/>
                  </w14:solidFill>
                </w14:textFill>
              </w:rPr>
            </w:pPr>
            <w:r>
              <w:rPr>
                <w:rFonts w:hint="eastAsia"/>
                <w:bCs/>
                <w:color w:val="000000" w:themeColor="text1"/>
                <w:kern w:val="0"/>
                <w:sz w:val="18"/>
                <w:szCs w:val="18"/>
                <w14:textFill>
                  <w14:solidFill>
                    <w14:schemeClr w14:val="tx1"/>
                  </w14:solidFill>
                </w14:textFill>
              </w:rPr>
              <w:t>消毒用品</w:t>
            </w:r>
          </w:p>
        </w:tc>
        <w:tc>
          <w:tcPr>
            <w:tcW w:w="425" w:type="pct"/>
            <w:tcBorders>
              <w:tl2br w:val="nil"/>
              <w:tr2bl w:val="nil"/>
            </w:tcBorders>
            <w:tcMar>
              <w:left w:w="28" w:type="dxa"/>
              <w:right w:w="28" w:type="dxa"/>
            </w:tcMar>
            <w:vAlign w:val="center"/>
          </w:tcPr>
          <w:p w14:paraId="05D8BE21">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t/a</w:t>
            </w:r>
          </w:p>
        </w:tc>
        <w:tc>
          <w:tcPr>
            <w:tcW w:w="511" w:type="pct"/>
            <w:tcBorders>
              <w:tl2br w:val="nil"/>
              <w:tr2bl w:val="nil"/>
            </w:tcBorders>
            <w:tcMar>
              <w:left w:w="28" w:type="dxa"/>
              <w:right w:w="28" w:type="dxa"/>
            </w:tcMar>
            <w:vAlign w:val="center"/>
          </w:tcPr>
          <w:p w14:paraId="6702B9B3">
            <w:pPr>
              <w:adjustRightInd w:val="0"/>
              <w:snapToGrid w:val="0"/>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10</w:t>
            </w:r>
          </w:p>
        </w:tc>
        <w:tc>
          <w:tcPr>
            <w:tcW w:w="1449" w:type="pct"/>
            <w:tcBorders>
              <w:tl2br w:val="nil"/>
              <w:tr2bl w:val="nil"/>
            </w:tcBorders>
            <w:tcMar>
              <w:left w:w="28" w:type="dxa"/>
              <w:right w:w="28" w:type="dxa"/>
            </w:tcMar>
            <w:vAlign w:val="center"/>
          </w:tcPr>
          <w:p w14:paraId="6E9AED54">
            <w:pPr>
              <w:adjustRightInd w:val="0"/>
              <w:snapToGrid w:val="0"/>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生物消毒剂（有益菌）、卫可（过硫酸氢钾复合物）、复合碘等</w:t>
            </w:r>
          </w:p>
        </w:tc>
        <w:tc>
          <w:tcPr>
            <w:tcW w:w="682" w:type="pct"/>
            <w:tcBorders>
              <w:tl2br w:val="nil"/>
              <w:tr2bl w:val="nil"/>
            </w:tcBorders>
            <w:tcMar>
              <w:left w:w="28" w:type="dxa"/>
              <w:right w:w="28" w:type="dxa"/>
            </w:tcMar>
            <w:vAlign w:val="center"/>
          </w:tcPr>
          <w:p w14:paraId="488F9F89">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物资库</w:t>
            </w:r>
          </w:p>
        </w:tc>
        <w:tc>
          <w:tcPr>
            <w:tcW w:w="737" w:type="pct"/>
            <w:tcBorders>
              <w:tl2br w:val="nil"/>
              <w:tr2bl w:val="nil"/>
            </w:tcBorders>
            <w:tcMar>
              <w:left w:w="28" w:type="dxa"/>
              <w:right w:w="28" w:type="dxa"/>
            </w:tcMar>
            <w:vAlign w:val="center"/>
          </w:tcPr>
          <w:p w14:paraId="48E81386">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外购</w:t>
            </w:r>
          </w:p>
        </w:tc>
      </w:tr>
      <w:tr w14:paraId="6AC597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7C27EBAC">
            <w:pPr>
              <w:tabs>
                <w:tab w:val="left" w:pos="360"/>
              </w:tabs>
              <w:adjustRightInd w:val="0"/>
              <w:snapToGrid w:val="0"/>
              <w:jc w:val="center"/>
              <w:rPr>
                <w:bCs/>
                <w:color w:val="000000" w:themeColor="text1"/>
                <w:kern w:val="0"/>
                <w:sz w:val="18"/>
                <w:szCs w:val="18"/>
                <w14:textFill>
                  <w14:solidFill>
                    <w14:schemeClr w14:val="tx1"/>
                  </w14:solidFill>
                </w14:textFill>
              </w:rPr>
            </w:pPr>
            <w:r>
              <w:rPr>
                <w:bCs/>
                <w:snapToGrid w:val="0"/>
                <w:color w:val="000000" w:themeColor="text1"/>
                <w:sz w:val="18"/>
                <w:szCs w:val="18"/>
                <w14:textFill>
                  <w14:solidFill>
                    <w14:schemeClr w14:val="tx1"/>
                  </w14:solidFill>
                </w14:textFill>
              </w:rPr>
              <w:t>11</w:t>
            </w:r>
          </w:p>
        </w:tc>
        <w:tc>
          <w:tcPr>
            <w:tcW w:w="930" w:type="pct"/>
            <w:gridSpan w:val="3"/>
            <w:tcBorders>
              <w:tl2br w:val="nil"/>
              <w:tr2bl w:val="nil"/>
            </w:tcBorders>
            <w:tcMar>
              <w:left w:w="28" w:type="dxa"/>
              <w:right w:w="28" w:type="dxa"/>
            </w:tcMar>
            <w:vAlign w:val="center"/>
          </w:tcPr>
          <w:p w14:paraId="22892025">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防疫用品</w:t>
            </w:r>
          </w:p>
        </w:tc>
        <w:tc>
          <w:tcPr>
            <w:tcW w:w="425" w:type="pct"/>
            <w:tcBorders>
              <w:tl2br w:val="nil"/>
              <w:tr2bl w:val="nil"/>
            </w:tcBorders>
            <w:tcMar>
              <w:left w:w="28" w:type="dxa"/>
              <w:right w:w="28" w:type="dxa"/>
            </w:tcMar>
            <w:vAlign w:val="center"/>
          </w:tcPr>
          <w:p w14:paraId="01A2EC42">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套/a</w:t>
            </w:r>
          </w:p>
        </w:tc>
        <w:tc>
          <w:tcPr>
            <w:tcW w:w="511" w:type="pct"/>
            <w:tcBorders>
              <w:tl2br w:val="nil"/>
              <w:tr2bl w:val="nil"/>
            </w:tcBorders>
            <w:tcMar>
              <w:left w:w="28" w:type="dxa"/>
              <w:right w:w="28" w:type="dxa"/>
            </w:tcMar>
            <w:vAlign w:val="center"/>
          </w:tcPr>
          <w:p w14:paraId="624E5805">
            <w:pPr>
              <w:adjustRightInd w:val="0"/>
              <w:snapToGrid w:val="0"/>
              <w:jc w:val="center"/>
              <w:rPr>
                <w:color w:val="000000" w:themeColor="text1"/>
                <w:kern w:val="0"/>
                <w:sz w:val="18"/>
                <w:szCs w:val="18"/>
                <w:highlight w:val="yellow"/>
                <w14:textFill>
                  <w14:solidFill>
                    <w14:schemeClr w14:val="tx1"/>
                  </w14:solidFill>
                </w14:textFill>
              </w:rPr>
            </w:pPr>
            <w:r>
              <w:rPr>
                <w:color w:val="000000" w:themeColor="text1"/>
                <w:kern w:val="0"/>
                <w:sz w:val="18"/>
                <w:szCs w:val="18"/>
                <w14:textFill>
                  <w14:solidFill>
                    <w14:schemeClr w14:val="tx1"/>
                  </w14:solidFill>
                </w14:textFill>
              </w:rPr>
              <w:t>22000</w:t>
            </w:r>
          </w:p>
        </w:tc>
        <w:tc>
          <w:tcPr>
            <w:tcW w:w="1449" w:type="pct"/>
            <w:tcBorders>
              <w:tl2br w:val="nil"/>
              <w:tr2bl w:val="nil"/>
            </w:tcBorders>
            <w:tcMar>
              <w:left w:w="28" w:type="dxa"/>
              <w:right w:w="28" w:type="dxa"/>
            </w:tcMar>
            <w:vAlign w:val="center"/>
          </w:tcPr>
          <w:p w14:paraId="7293B2EC">
            <w:pPr>
              <w:jc w:val="center"/>
              <w:rPr>
                <w:color w:val="000000" w:themeColor="text1"/>
                <w:kern w:val="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防疫药品、疫苗</w:t>
            </w:r>
          </w:p>
        </w:tc>
        <w:tc>
          <w:tcPr>
            <w:tcW w:w="682" w:type="pct"/>
            <w:tcBorders>
              <w:tl2br w:val="nil"/>
              <w:tr2bl w:val="nil"/>
            </w:tcBorders>
            <w:tcMar>
              <w:left w:w="28" w:type="dxa"/>
              <w:right w:w="28" w:type="dxa"/>
            </w:tcMar>
            <w:vAlign w:val="center"/>
          </w:tcPr>
          <w:p w14:paraId="2743FDC0">
            <w:pPr>
              <w:adjustRightInd w:val="0"/>
              <w:snapToGrid w:val="0"/>
              <w:jc w:val="center"/>
              <w:rPr>
                <w:color w:val="000000" w:themeColor="text1"/>
                <w:kern w:val="0"/>
                <w:sz w:val="18"/>
                <w:szCs w:val="18"/>
                <w14:textFill>
                  <w14:solidFill>
                    <w14:schemeClr w14:val="tx1"/>
                  </w14:solidFill>
                </w14:textFill>
              </w:rPr>
            </w:pPr>
            <w:r>
              <w:rPr>
                <w:rFonts w:hint="eastAsia"/>
                <w:color w:val="000000" w:themeColor="text1"/>
                <w:sz w:val="18"/>
                <w:szCs w:val="18"/>
                <w14:textFill>
                  <w14:solidFill>
                    <w14:schemeClr w14:val="tx1"/>
                  </w14:solidFill>
                </w14:textFill>
              </w:rPr>
              <w:t>治疗室</w:t>
            </w:r>
          </w:p>
        </w:tc>
        <w:tc>
          <w:tcPr>
            <w:tcW w:w="737" w:type="pct"/>
            <w:tcBorders>
              <w:tl2br w:val="nil"/>
              <w:tr2bl w:val="nil"/>
            </w:tcBorders>
            <w:tcMar>
              <w:left w:w="28" w:type="dxa"/>
              <w:right w:w="28" w:type="dxa"/>
            </w:tcMar>
            <w:vAlign w:val="center"/>
          </w:tcPr>
          <w:p w14:paraId="766A6585">
            <w:pPr>
              <w:adjustRightInd w:val="0"/>
              <w:snapToGrid w:val="0"/>
              <w:jc w:val="center"/>
              <w:rPr>
                <w:color w:val="000000" w:themeColor="text1"/>
                <w:kern w:val="0"/>
                <w:sz w:val="18"/>
                <w:szCs w:val="18"/>
                <w14:textFill>
                  <w14:solidFill>
                    <w14:schemeClr w14:val="tx1"/>
                  </w14:solidFill>
                </w14:textFill>
              </w:rPr>
            </w:pPr>
            <w:r>
              <w:rPr>
                <w:color w:val="000000" w:themeColor="text1"/>
                <w:sz w:val="18"/>
                <w:szCs w:val="18"/>
                <w14:textFill>
                  <w14:solidFill>
                    <w14:schemeClr w14:val="tx1"/>
                  </w14:solidFill>
                </w14:textFill>
              </w:rPr>
              <w:t>外购</w:t>
            </w:r>
          </w:p>
        </w:tc>
      </w:tr>
      <w:tr w14:paraId="2B52A0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tcBorders>
              <w:tl2br w:val="nil"/>
              <w:tr2bl w:val="nil"/>
            </w:tcBorders>
            <w:tcMar>
              <w:left w:w="28" w:type="dxa"/>
              <w:right w:w="28" w:type="dxa"/>
            </w:tcMar>
            <w:vAlign w:val="center"/>
          </w:tcPr>
          <w:p w14:paraId="3940B1C1">
            <w:pPr>
              <w:tabs>
                <w:tab w:val="left" w:pos="360"/>
              </w:tabs>
              <w:adjustRightInd w:val="0"/>
              <w:snapToGrid w:val="0"/>
              <w:jc w:val="center"/>
              <w:rPr>
                <w:bCs/>
                <w:snapToGrid w:val="0"/>
                <w:color w:val="000000" w:themeColor="text1"/>
                <w:sz w:val="18"/>
                <w:szCs w:val="18"/>
                <w14:textFill>
                  <w14:solidFill>
                    <w14:schemeClr w14:val="tx1"/>
                  </w14:solidFill>
                </w14:textFill>
              </w:rPr>
            </w:pPr>
            <w:r>
              <w:rPr>
                <w:bCs/>
                <w:snapToGrid w:val="0"/>
                <w:color w:val="000000" w:themeColor="text1"/>
                <w:sz w:val="18"/>
                <w:szCs w:val="18"/>
                <w14:textFill>
                  <w14:solidFill>
                    <w14:schemeClr w14:val="tx1"/>
                  </w14:solidFill>
                </w14:textFill>
              </w:rPr>
              <w:t>12</w:t>
            </w:r>
          </w:p>
        </w:tc>
        <w:tc>
          <w:tcPr>
            <w:tcW w:w="930" w:type="pct"/>
            <w:gridSpan w:val="3"/>
            <w:tcBorders>
              <w:tl2br w:val="nil"/>
              <w:tr2bl w:val="nil"/>
            </w:tcBorders>
            <w:tcMar>
              <w:left w:w="28" w:type="dxa"/>
              <w:right w:w="28" w:type="dxa"/>
            </w:tcMar>
            <w:vAlign w:val="center"/>
          </w:tcPr>
          <w:p w14:paraId="01EFFF7A">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生物除臭剂</w:t>
            </w:r>
          </w:p>
        </w:tc>
        <w:tc>
          <w:tcPr>
            <w:tcW w:w="425" w:type="pct"/>
            <w:tcBorders>
              <w:tl2br w:val="nil"/>
              <w:tr2bl w:val="nil"/>
            </w:tcBorders>
            <w:tcMar>
              <w:left w:w="28" w:type="dxa"/>
              <w:right w:w="28" w:type="dxa"/>
            </w:tcMar>
            <w:vAlign w:val="center"/>
          </w:tcPr>
          <w:p w14:paraId="6F288DEF">
            <w:pPr>
              <w:adjustRightInd w:val="0"/>
              <w:snapToGrid w:val="0"/>
              <w:jc w:val="center"/>
              <w:rPr>
                <w:bCs/>
                <w:color w:val="000000" w:themeColor="text1"/>
                <w:kern w:val="0"/>
                <w:sz w:val="18"/>
                <w:szCs w:val="18"/>
                <w14:textFill>
                  <w14:solidFill>
                    <w14:schemeClr w14:val="tx1"/>
                  </w14:solidFill>
                </w14:textFill>
              </w:rPr>
            </w:pPr>
            <w:r>
              <w:rPr>
                <w:bCs/>
                <w:color w:val="000000" w:themeColor="text1"/>
                <w:kern w:val="0"/>
                <w:sz w:val="18"/>
                <w:szCs w:val="18"/>
                <w14:textFill>
                  <w14:solidFill>
                    <w14:schemeClr w14:val="tx1"/>
                  </w14:solidFill>
                </w14:textFill>
              </w:rPr>
              <w:t>t/a</w:t>
            </w:r>
          </w:p>
        </w:tc>
        <w:tc>
          <w:tcPr>
            <w:tcW w:w="511" w:type="pct"/>
            <w:tcBorders>
              <w:tl2br w:val="nil"/>
              <w:tr2bl w:val="nil"/>
            </w:tcBorders>
            <w:tcMar>
              <w:left w:w="28" w:type="dxa"/>
              <w:right w:w="28" w:type="dxa"/>
            </w:tcMar>
            <w:vAlign w:val="center"/>
          </w:tcPr>
          <w:p w14:paraId="01DA06E3">
            <w:pPr>
              <w:adjustRightInd w:val="0"/>
              <w:snapToGrid w:val="0"/>
              <w:jc w:val="center"/>
              <w:rPr>
                <w:color w:val="000000" w:themeColor="text1"/>
                <w:kern w:val="0"/>
                <w:sz w:val="18"/>
                <w:szCs w:val="18"/>
                <w:highlight w:val="yellow"/>
                <w14:textFill>
                  <w14:solidFill>
                    <w14:schemeClr w14:val="tx1"/>
                  </w14:solidFill>
                </w14:textFill>
              </w:rPr>
            </w:pPr>
            <w:r>
              <w:rPr>
                <w:color w:val="000000" w:themeColor="text1"/>
                <w:kern w:val="0"/>
                <w:sz w:val="18"/>
                <w:szCs w:val="18"/>
                <w14:textFill>
                  <w14:solidFill>
                    <w14:schemeClr w14:val="tx1"/>
                  </w14:solidFill>
                </w14:textFill>
              </w:rPr>
              <w:t>12</w:t>
            </w:r>
          </w:p>
        </w:tc>
        <w:tc>
          <w:tcPr>
            <w:tcW w:w="1449" w:type="pct"/>
            <w:tcBorders>
              <w:tl2br w:val="nil"/>
              <w:tr2bl w:val="nil"/>
            </w:tcBorders>
            <w:tcMar>
              <w:left w:w="28" w:type="dxa"/>
              <w:right w:w="28" w:type="dxa"/>
            </w:tcMar>
            <w:vAlign w:val="center"/>
          </w:tcPr>
          <w:p w14:paraId="2446DCA7">
            <w:pPr>
              <w:jc w:val="center"/>
              <w:rPr>
                <w:color w:val="000000" w:themeColor="text1"/>
                <w:kern w:val="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复合微生物菌、生物菌除臭液</w:t>
            </w:r>
          </w:p>
        </w:tc>
        <w:tc>
          <w:tcPr>
            <w:tcW w:w="682" w:type="pct"/>
            <w:tcBorders>
              <w:tl2br w:val="nil"/>
              <w:tr2bl w:val="nil"/>
            </w:tcBorders>
            <w:tcMar>
              <w:left w:w="28" w:type="dxa"/>
              <w:right w:w="28" w:type="dxa"/>
            </w:tcMar>
            <w:vAlign w:val="center"/>
          </w:tcPr>
          <w:p w14:paraId="4D8BB043">
            <w:pPr>
              <w:adjustRightInd w:val="0"/>
              <w:snapToGrid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物资库</w:t>
            </w:r>
          </w:p>
        </w:tc>
        <w:tc>
          <w:tcPr>
            <w:tcW w:w="737" w:type="pct"/>
            <w:tcBorders>
              <w:tl2br w:val="nil"/>
              <w:tr2bl w:val="nil"/>
            </w:tcBorders>
            <w:tcMar>
              <w:left w:w="28" w:type="dxa"/>
              <w:right w:w="28" w:type="dxa"/>
            </w:tcMar>
            <w:vAlign w:val="center"/>
          </w:tcPr>
          <w:p w14:paraId="02F5D0A9">
            <w:pPr>
              <w:adjustRightInd w:val="0"/>
              <w:snapToGrid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外购</w:t>
            </w:r>
          </w:p>
        </w:tc>
      </w:tr>
      <w:tr w14:paraId="57402E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vMerge w:val="restart"/>
            <w:tcBorders>
              <w:tl2br w:val="nil"/>
              <w:tr2bl w:val="nil"/>
            </w:tcBorders>
            <w:vAlign w:val="center"/>
          </w:tcPr>
          <w:p w14:paraId="6800550A">
            <w:pPr>
              <w:tabs>
                <w:tab w:val="left" w:pos="360"/>
              </w:tabs>
              <w:adjustRightInd w:val="0"/>
              <w:snapToGrid w:val="0"/>
              <w:jc w:val="center"/>
              <w:rPr>
                <w:bCs/>
                <w:snapToGrid w:val="0"/>
                <w:color w:val="000000" w:themeColor="text1"/>
                <w:sz w:val="18"/>
                <w:szCs w:val="18"/>
                <w14:textFill>
                  <w14:solidFill>
                    <w14:schemeClr w14:val="tx1"/>
                  </w14:solidFill>
                </w14:textFill>
              </w:rPr>
            </w:pPr>
            <w:r>
              <w:rPr>
                <w:bCs/>
                <w:snapToGrid w:val="0"/>
                <w:color w:val="000000" w:themeColor="text1"/>
                <w:sz w:val="18"/>
                <w:szCs w:val="18"/>
                <w14:textFill>
                  <w14:solidFill>
                    <w14:schemeClr w14:val="tx1"/>
                  </w14:solidFill>
                </w14:textFill>
              </w:rPr>
              <w:t>13</w:t>
            </w:r>
          </w:p>
        </w:tc>
        <w:tc>
          <w:tcPr>
            <w:tcW w:w="300" w:type="pct"/>
            <w:vMerge w:val="restart"/>
            <w:tcBorders>
              <w:tl2br w:val="nil"/>
              <w:tr2bl w:val="nil"/>
            </w:tcBorders>
            <w:vAlign w:val="center"/>
          </w:tcPr>
          <w:p w14:paraId="6FCB5ECF">
            <w:pPr>
              <w:tabs>
                <w:tab w:val="left" w:pos="360"/>
              </w:tabs>
              <w:adjustRightInd w:val="0"/>
              <w:snapToGrid w:val="0"/>
              <w:jc w:val="center"/>
              <w:rPr>
                <w:bCs/>
                <w:snapToGrid w:val="0"/>
                <w:color w:val="000000" w:themeColor="text1"/>
                <w:sz w:val="18"/>
                <w:szCs w:val="18"/>
                <w14:textFill>
                  <w14:solidFill>
                    <w14:schemeClr w14:val="tx1"/>
                  </w14:solidFill>
                </w14:textFill>
              </w:rPr>
            </w:pPr>
            <w:r>
              <w:rPr>
                <w:bCs/>
                <w:snapToGrid w:val="0"/>
                <w:color w:val="000000" w:themeColor="text1"/>
                <w:sz w:val="18"/>
                <w:szCs w:val="18"/>
                <w14:textFill>
                  <w14:solidFill>
                    <w14:schemeClr w14:val="tx1"/>
                  </w14:solidFill>
                </w14:textFill>
              </w:rPr>
              <w:t>能源</w:t>
            </w:r>
          </w:p>
        </w:tc>
        <w:tc>
          <w:tcPr>
            <w:tcW w:w="630" w:type="pct"/>
            <w:gridSpan w:val="2"/>
            <w:tcBorders>
              <w:tl2br w:val="nil"/>
              <w:tr2bl w:val="nil"/>
            </w:tcBorders>
            <w:vAlign w:val="center"/>
          </w:tcPr>
          <w:p w14:paraId="680126E7">
            <w:pPr>
              <w:jc w:val="center"/>
              <w:textAlignment w:val="top"/>
              <w:rPr>
                <w:bCs/>
                <w:snapToGrid w:val="0"/>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电力</w:t>
            </w:r>
          </w:p>
        </w:tc>
        <w:tc>
          <w:tcPr>
            <w:tcW w:w="425" w:type="pct"/>
            <w:tcBorders>
              <w:tl2br w:val="nil"/>
              <w:tr2bl w:val="nil"/>
            </w:tcBorders>
            <w:vAlign w:val="center"/>
          </w:tcPr>
          <w:p w14:paraId="0F3E67ED">
            <w:pPr>
              <w:jc w:val="center"/>
              <w:textAlignment w:val="top"/>
              <w:rPr>
                <w:bCs/>
                <w:snapToGrid w:val="0"/>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万KW.h</w:t>
            </w:r>
          </w:p>
        </w:tc>
        <w:tc>
          <w:tcPr>
            <w:tcW w:w="511" w:type="pct"/>
            <w:tcBorders>
              <w:tl2br w:val="nil"/>
              <w:tr2bl w:val="nil"/>
            </w:tcBorders>
            <w:vAlign w:val="center"/>
          </w:tcPr>
          <w:p w14:paraId="6825BA2C">
            <w:pPr>
              <w:jc w:val="center"/>
              <w:textAlignment w:val="top"/>
              <w:rPr>
                <w:bCs/>
                <w:snapToGrid w:val="0"/>
                <w:color w:val="000000" w:themeColor="text1"/>
                <w:sz w:val="18"/>
                <w:szCs w:val="18"/>
                <w14:textFill>
                  <w14:solidFill>
                    <w14:schemeClr w14:val="tx1"/>
                  </w14:solidFill>
                </w14:textFill>
              </w:rPr>
            </w:pPr>
            <w:r>
              <w:rPr>
                <w:rFonts w:hint="eastAsia"/>
                <w:bCs/>
                <w:snapToGrid w:val="0"/>
                <w:color w:val="000000" w:themeColor="text1"/>
                <w:sz w:val="18"/>
                <w:szCs w:val="18"/>
                <w14:textFill>
                  <w14:solidFill>
                    <w14:schemeClr w14:val="tx1"/>
                  </w14:solidFill>
                </w14:textFill>
              </w:rPr>
              <w:t>60</w:t>
            </w:r>
          </w:p>
        </w:tc>
        <w:tc>
          <w:tcPr>
            <w:tcW w:w="1449" w:type="pct"/>
            <w:tcBorders>
              <w:tl2br w:val="nil"/>
              <w:tr2bl w:val="nil"/>
            </w:tcBorders>
            <w:vAlign w:val="center"/>
          </w:tcPr>
          <w:p w14:paraId="0A642A57">
            <w:pPr>
              <w:tabs>
                <w:tab w:val="left" w:pos="360"/>
              </w:tabs>
              <w:adjustRightInd w:val="0"/>
              <w:snapToGrid w:val="0"/>
              <w:jc w:val="center"/>
              <w:rPr>
                <w:bCs/>
                <w:snapToGrid w:val="0"/>
                <w:color w:val="000000" w:themeColor="text1"/>
                <w:sz w:val="18"/>
                <w:szCs w:val="18"/>
                <w14:textFill>
                  <w14:solidFill>
                    <w14:schemeClr w14:val="tx1"/>
                  </w14:solidFill>
                </w14:textFill>
              </w:rPr>
            </w:pPr>
            <w:r>
              <w:rPr>
                <w:bCs/>
                <w:snapToGrid w:val="0"/>
                <w:color w:val="000000" w:themeColor="text1"/>
                <w:sz w:val="18"/>
                <w:szCs w:val="18"/>
                <w14:textFill>
                  <w14:solidFill>
                    <w14:schemeClr w14:val="tx1"/>
                  </w14:solidFill>
                </w14:textFill>
              </w:rPr>
              <w:t>/</w:t>
            </w:r>
          </w:p>
        </w:tc>
        <w:tc>
          <w:tcPr>
            <w:tcW w:w="682" w:type="pct"/>
            <w:tcBorders>
              <w:tl2br w:val="nil"/>
              <w:tr2bl w:val="nil"/>
            </w:tcBorders>
            <w:vAlign w:val="center"/>
          </w:tcPr>
          <w:p w14:paraId="3FB904DA">
            <w:pPr>
              <w:jc w:val="center"/>
              <w:textAlignment w:val="top"/>
              <w:rPr>
                <w:bCs/>
                <w:snapToGrid w:val="0"/>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737" w:type="pct"/>
            <w:tcBorders>
              <w:tl2br w:val="nil"/>
              <w:tr2bl w:val="nil"/>
            </w:tcBorders>
            <w:vAlign w:val="center"/>
          </w:tcPr>
          <w:p w14:paraId="37FBF058">
            <w:pPr>
              <w:jc w:val="center"/>
              <w:textAlignment w:val="top"/>
              <w:rPr>
                <w:color w:val="000000" w:themeColor="text1"/>
                <w:spacing w:val="17"/>
                <w:sz w:val="18"/>
                <w:szCs w:val="18"/>
                <w14:textFill>
                  <w14:solidFill>
                    <w14:schemeClr w14:val="tx1"/>
                  </w14:solidFill>
                </w14:textFill>
              </w:rPr>
            </w:pPr>
            <w:r>
              <w:rPr>
                <w:color w:val="000000" w:themeColor="text1"/>
                <w:sz w:val="18"/>
                <w:szCs w:val="18"/>
                <w14:textFill>
                  <w14:solidFill>
                    <w14:schemeClr w14:val="tx1"/>
                  </w14:solidFill>
                </w14:textFill>
              </w:rPr>
              <w:t>国家电网提供</w:t>
            </w:r>
          </w:p>
        </w:tc>
      </w:tr>
      <w:tr w14:paraId="587289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6" w:type="pct"/>
            <w:vMerge w:val="continue"/>
            <w:tcBorders>
              <w:tl2br w:val="nil"/>
              <w:tr2bl w:val="nil"/>
            </w:tcBorders>
            <w:vAlign w:val="center"/>
          </w:tcPr>
          <w:p w14:paraId="5455BE9F">
            <w:pPr>
              <w:tabs>
                <w:tab w:val="left" w:pos="360"/>
              </w:tabs>
              <w:adjustRightInd w:val="0"/>
              <w:snapToGrid w:val="0"/>
              <w:jc w:val="center"/>
              <w:rPr>
                <w:bCs/>
                <w:snapToGrid w:val="0"/>
                <w:color w:val="000000" w:themeColor="text1"/>
                <w:sz w:val="18"/>
                <w:szCs w:val="18"/>
                <w14:textFill>
                  <w14:solidFill>
                    <w14:schemeClr w14:val="tx1"/>
                  </w14:solidFill>
                </w14:textFill>
              </w:rPr>
            </w:pPr>
          </w:p>
        </w:tc>
        <w:tc>
          <w:tcPr>
            <w:tcW w:w="300" w:type="pct"/>
            <w:vMerge w:val="continue"/>
            <w:tcBorders>
              <w:tl2br w:val="nil"/>
              <w:tr2bl w:val="nil"/>
            </w:tcBorders>
            <w:vAlign w:val="center"/>
          </w:tcPr>
          <w:p w14:paraId="787EC940">
            <w:pPr>
              <w:tabs>
                <w:tab w:val="left" w:pos="360"/>
              </w:tabs>
              <w:adjustRightInd w:val="0"/>
              <w:snapToGrid w:val="0"/>
              <w:jc w:val="center"/>
              <w:rPr>
                <w:bCs/>
                <w:snapToGrid w:val="0"/>
                <w:color w:val="000000" w:themeColor="text1"/>
                <w:sz w:val="18"/>
                <w:szCs w:val="18"/>
                <w14:textFill>
                  <w14:solidFill>
                    <w14:schemeClr w14:val="tx1"/>
                  </w14:solidFill>
                </w14:textFill>
              </w:rPr>
            </w:pPr>
          </w:p>
        </w:tc>
        <w:tc>
          <w:tcPr>
            <w:tcW w:w="630" w:type="pct"/>
            <w:gridSpan w:val="2"/>
            <w:tcBorders>
              <w:tl2br w:val="nil"/>
              <w:tr2bl w:val="nil"/>
            </w:tcBorders>
            <w:vAlign w:val="center"/>
          </w:tcPr>
          <w:p w14:paraId="32FBA73E">
            <w:pPr>
              <w:jc w:val="center"/>
              <w:textAlignment w:val="top"/>
              <w:rPr>
                <w:bCs/>
                <w:snapToGrid w:val="0"/>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水</w:t>
            </w:r>
          </w:p>
        </w:tc>
        <w:tc>
          <w:tcPr>
            <w:tcW w:w="425" w:type="pct"/>
            <w:tcBorders>
              <w:tl2br w:val="nil"/>
              <w:tr2bl w:val="nil"/>
            </w:tcBorders>
            <w:vAlign w:val="center"/>
          </w:tcPr>
          <w:p w14:paraId="7B4BCD43">
            <w:pPr>
              <w:jc w:val="center"/>
              <w:textAlignment w:val="top"/>
              <w:rPr>
                <w:bCs/>
                <w:snapToGrid w:val="0"/>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m</w:t>
            </w:r>
            <w:r>
              <w:rPr>
                <w:color w:val="000000" w:themeColor="text1"/>
                <w:sz w:val="18"/>
                <w:szCs w:val="18"/>
                <w:vertAlign w:val="superscript"/>
                <w14:textFill>
                  <w14:solidFill>
                    <w14:schemeClr w14:val="tx1"/>
                  </w14:solidFill>
                </w14:textFill>
              </w:rPr>
              <w:t>3</w:t>
            </w:r>
          </w:p>
        </w:tc>
        <w:tc>
          <w:tcPr>
            <w:tcW w:w="511" w:type="pct"/>
            <w:tcBorders>
              <w:tl2br w:val="nil"/>
              <w:tr2bl w:val="nil"/>
            </w:tcBorders>
            <w:vAlign w:val="center"/>
          </w:tcPr>
          <w:p w14:paraId="260E7814">
            <w:pPr>
              <w:jc w:val="center"/>
              <w:textAlignment w:val="top"/>
              <w:rPr>
                <w:bCs/>
                <w:snapToGrid w:val="0"/>
                <w:color w:val="000000" w:themeColor="text1"/>
                <w:sz w:val="18"/>
                <w:szCs w:val="18"/>
                <w:highlight w:val="yellow"/>
                <w14:textFill>
                  <w14:solidFill>
                    <w14:schemeClr w14:val="tx1"/>
                  </w14:solidFill>
                </w14:textFill>
              </w:rPr>
            </w:pPr>
            <w:r>
              <w:rPr>
                <w:bCs/>
                <w:snapToGrid w:val="0"/>
                <w:color w:val="000000" w:themeColor="text1"/>
                <w:sz w:val="18"/>
                <w:szCs w:val="18"/>
                <w14:textFill>
                  <w14:solidFill>
                    <w14:schemeClr w14:val="tx1"/>
                  </w14:solidFill>
                </w14:textFill>
              </w:rPr>
              <w:t>235813.515</w:t>
            </w:r>
          </w:p>
        </w:tc>
        <w:tc>
          <w:tcPr>
            <w:tcW w:w="1449" w:type="pct"/>
            <w:tcBorders>
              <w:tl2br w:val="nil"/>
              <w:tr2bl w:val="nil"/>
            </w:tcBorders>
            <w:vAlign w:val="center"/>
          </w:tcPr>
          <w:p w14:paraId="1421711C">
            <w:pPr>
              <w:tabs>
                <w:tab w:val="left" w:pos="360"/>
              </w:tabs>
              <w:adjustRightInd w:val="0"/>
              <w:snapToGrid w:val="0"/>
              <w:jc w:val="center"/>
              <w:rPr>
                <w:bCs/>
                <w:snapToGrid w:val="0"/>
                <w:color w:val="000000" w:themeColor="text1"/>
                <w:sz w:val="18"/>
                <w:szCs w:val="18"/>
                <w14:textFill>
                  <w14:solidFill>
                    <w14:schemeClr w14:val="tx1"/>
                  </w14:solidFill>
                </w14:textFill>
              </w:rPr>
            </w:pPr>
            <w:r>
              <w:rPr>
                <w:bCs/>
                <w:snapToGrid w:val="0"/>
                <w:color w:val="000000" w:themeColor="text1"/>
                <w:sz w:val="18"/>
                <w:szCs w:val="18"/>
                <w14:textFill>
                  <w14:solidFill>
                    <w14:schemeClr w14:val="tx1"/>
                  </w14:solidFill>
                </w14:textFill>
              </w:rPr>
              <w:t>H</w:t>
            </w:r>
            <w:r>
              <w:rPr>
                <w:bCs/>
                <w:snapToGrid w:val="0"/>
                <w:color w:val="000000" w:themeColor="text1"/>
                <w:sz w:val="18"/>
                <w:szCs w:val="18"/>
                <w:vertAlign w:val="subscript"/>
                <w14:textFill>
                  <w14:solidFill>
                    <w14:schemeClr w14:val="tx1"/>
                  </w14:solidFill>
                </w14:textFill>
              </w:rPr>
              <w:t>2</w:t>
            </w:r>
            <w:r>
              <w:rPr>
                <w:bCs/>
                <w:snapToGrid w:val="0"/>
                <w:color w:val="000000" w:themeColor="text1"/>
                <w:sz w:val="18"/>
                <w:szCs w:val="18"/>
                <w14:textFill>
                  <w14:solidFill>
                    <w14:schemeClr w14:val="tx1"/>
                  </w14:solidFill>
                </w14:textFill>
              </w:rPr>
              <w:t>O</w:t>
            </w:r>
          </w:p>
        </w:tc>
        <w:tc>
          <w:tcPr>
            <w:tcW w:w="682" w:type="pct"/>
            <w:tcBorders>
              <w:tl2br w:val="nil"/>
              <w:tr2bl w:val="nil"/>
            </w:tcBorders>
            <w:vAlign w:val="center"/>
          </w:tcPr>
          <w:p w14:paraId="61FCEA7B">
            <w:pPr>
              <w:jc w:val="center"/>
              <w:textAlignment w:val="top"/>
              <w:rPr>
                <w:bCs/>
                <w:snapToGrid w:val="0"/>
                <w:color w:val="000000" w:themeColor="text1"/>
                <w:sz w:val="18"/>
                <w:szCs w:val="18"/>
                <w14:textFill>
                  <w14:solidFill>
                    <w14:schemeClr w14:val="tx1"/>
                  </w14:solidFill>
                </w14:textFill>
              </w:rPr>
            </w:pPr>
            <w:r>
              <w:rPr>
                <w:bCs/>
                <w:snapToGrid w:val="0"/>
                <w:color w:val="000000" w:themeColor="text1"/>
                <w:sz w:val="18"/>
                <w:szCs w:val="18"/>
                <w14:textFill>
                  <w14:solidFill>
                    <w14:schemeClr w14:val="tx1"/>
                  </w14:solidFill>
                </w14:textFill>
              </w:rPr>
              <w:t>/</w:t>
            </w:r>
          </w:p>
        </w:tc>
        <w:tc>
          <w:tcPr>
            <w:tcW w:w="737" w:type="pct"/>
            <w:tcBorders>
              <w:tl2br w:val="nil"/>
              <w:tr2bl w:val="nil"/>
            </w:tcBorders>
            <w:vAlign w:val="center"/>
          </w:tcPr>
          <w:p w14:paraId="3EBC4A13">
            <w:pPr>
              <w:jc w:val="center"/>
              <w:textAlignment w:val="top"/>
              <w:rPr>
                <w:color w:val="000000" w:themeColor="text1"/>
                <w:spacing w:val="17"/>
                <w:sz w:val="18"/>
                <w:szCs w:val="18"/>
                <w14:textFill>
                  <w14:solidFill>
                    <w14:schemeClr w14:val="tx1"/>
                  </w14:solidFill>
                </w14:textFill>
              </w:rPr>
            </w:pPr>
            <w:r>
              <w:rPr>
                <w:color w:val="000000" w:themeColor="text1"/>
                <w:sz w:val="18"/>
                <w:szCs w:val="18"/>
                <w14:textFill>
                  <w14:solidFill>
                    <w14:schemeClr w14:val="tx1"/>
                  </w14:solidFill>
                </w14:textFill>
              </w:rPr>
              <w:t>预留市政管网接口接入本项目</w:t>
            </w:r>
          </w:p>
        </w:tc>
      </w:tr>
    </w:tbl>
    <w:p w14:paraId="451CFBEA">
      <w:pPr>
        <w:pStyle w:val="5"/>
        <w:spacing w:before="0" w:after="0" w:line="360" w:lineRule="auto"/>
        <w:rPr>
          <w:color w:val="000000" w:themeColor="text1"/>
          <w:sz w:val="28"/>
          <w:szCs w:val="28"/>
          <w14:textFill>
            <w14:solidFill>
              <w14:schemeClr w14:val="tx1"/>
            </w14:solidFill>
          </w14:textFill>
        </w:rPr>
      </w:pPr>
      <w:bookmarkStart w:id="334" w:name="_Toc233380156"/>
      <w:r>
        <w:rPr>
          <w:color w:val="000000" w:themeColor="text1"/>
          <w:sz w:val="28"/>
          <w:szCs w:val="28"/>
          <w14:textFill>
            <w14:solidFill>
              <w14:schemeClr w14:val="tx1"/>
            </w14:solidFill>
          </w14:textFill>
        </w:rPr>
        <w:t>3.3.2主要原辅材料成分及理化性质</w:t>
      </w:r>
      <w:bookmarkEnd w:id="319"/>
      <w:bookmarkEnd w:id="320"/>
      <w:bookmarkEnd w:id="321"/>
      <w:bookmarkEnd w:id="322"/>
      <w:bookmarkEnd w:id="334"/>
      <w:bookmarkStart w:id="335" w:name="_Toc40220671"/>
      <w:bookmarkStart w:id="336" w:name="_Toc21529570"/>
    </w:p>
    <w:p w14:paraId="160403E3">
      <w:pPr>
        <w:spacing w:line="360" w:lineRule="auto"/>
        <w:ind w:firstLine="483"/>
        <w:rPr>
          <w:color w:val="000000" w:themeColor="text1"/>
          <w:spacing w:val="-3"/>
          <w:sz w:val="24"/>
          <w14:textFill>
            <w14:solidFill>
              <w14:schemeClr w14:val="tx1"/>
            </w14:solidFill>
          </w14:textFill>
        </w:rPr>
      </w:pPr>
      <w:r>
        <w:rPr>
          <w:color w:val="000000" w:themeColor="text1"/>
          <w:sz w:val="24"/>
          <w14:textFill>
            <w14:solidFill>
              <w14:schemeClr w14:val="tx1"/>
            </w14:solidFill>
          </w14:textFill>
        </w:rPr>
        <w:t>（1）</w:t>
      </w:r>
      <w:r>
        <w:rPr>
          <w:color w:val="000000" w:themeColor="text1"/>
          <w:spacing w:val="-3"/>
          <w:sz w:val="24"/>
          <w14:textFill>
            <w14:solidFill>
              <w14:schemeClr w14:val="tx1"/>
            </w14:solidFill>
          </w14:textFill>
        </w:rPr>
        <w:t>EM</w:t>
      </w:r>
      <w:r>
        <w:rPr>
          <w:rFonts w:hint="eastAsia"/>
          <w:color w:val="000000" w:themeColor="text1"/>
          <w:spacing w:val="-3"/>
          <w:sz w:val="24"/>
          <w14:textFill>
            <w14:solidFill>
              <w14:schemeClr w14:val="tx1"/>
            </w14:solidFill>
          </w14:textFill>
        </w:rPr>
        <w:t>菌</w:t>
      </w:r>
    </w:p>
    <w:p w14:paraId="3315C99F">
      <w:pPr>
        <w:adjustRightInd w:val="0"/>
        <w:snapToGrid w:val="0"/>
        <w:spacing w:line="360" w:lineRule="auto"/>
        <w:ind w:firstLine="468" w:firstLineChars="200"/>
        <w:jc w:val="both"/>
        <w:rPr>
          <w:color w:val="000000" w:themeColor="text1"/>
          <w:spacing w:val="-3"/>
          <w:sz w:val="24"/>
          <w14:textFill>
            <w14:solidFill>
              <w14:schemeClr w14:val="tx1"/>
            </w14:solidFill>
          </w14:textFill>
        </w:rPr>
      </w:pPr>
      <w:r>
        <w:rPr>
          <w:color w:val="000000" w:themeColor="text1"/>
          <w:spacing w:val="-3"/>
          <w:sz w:val="24"/>
          <w14:textFill>
            <w14:solidFill>
              <w14:schemeClr w14:val="tx1"/>
            </w14:solidFill>
          </w14:textFill>
        </w:rPr>
        <w:t>EM是一种由多种有益微生物组成的复合菌剂，主要用于促进动物健康、改善养殖环境及增强免疫力。EM制剂的核心是3大类有益微生物的共生组合，别为光合细菌、乳酸菌、酵母菌。EM制剂在养</w:t>
      </w:r>
      <w:r>
        <w:rPr>
          <w:rFonts w:hint="eastAsia"/>
          <w:color w:val="000000" w:themeColor="text1"/>
          <w:spacing w:val="-3"/>
          <w:sz w:val="24"/>
          <w14:textFill>
            <w14:solidFill>
              <w14:schemeClr w14:val="tx1"/>
            </w14:solidFill>
          </w14:textFill>
        </w:rPr>
        <w:t>牛</w:t>
      </w:r>
      <w:r>
        <w:rPr>
          <w:color w:val="000000" w:themeColor="text1"/>
          <w:spacing w:val="-3"/>
          <w:sz w:val="24"/>
          <w14:textFill>
            <w14:solidFill>
              <w14:schemeClr w14:val="tx1"/>
            </w14:solidFill>
          </w14:textFill>
        </w:rPr>
        <w:t>中的作用为改善养殖环境，减少氨味，抑制蚊蝇滋生。分解粪便有机物，增强</w:t>
      </w:r>
      <w:r>
        <w:rPr>
          <w:rFonts w:hint="eastAsia"/>
          <w:color w:val="000000" w:themeColor="text1"/>
          <w:spacing w:val="-3"/>
          <w:sz w:val="24"/>
          <w14:textFill>
            <w14:solidFill>
              <w14:schemeClr w14:val="tx1"/>
            </w14:solidFill>
          </w14:textFill>
        </w:rPr>
        <w:t>牛</w:t>
      </w:r>
      <w:r>
        <w:rPr>
          <w:color w:val="000000" w:themeColor="text1"/>
          <w:spacing w:val="-3"/>
          <w:sz w:val="24"/>
          <w14:textFill>
            <w14:solidFill>
              <w14:schemeClr w14:val="tx1"/>
            </w14:solidFill>
          </w14:textFill>
        </w:rPr>
        <w:t>群健康，调节肠道菌群，预防腹泻。提高饲料转化率，减少抗生素使用。</w:t>
      </w:r>
      <w:r>
        <w:rPr>
          <w:rFonts w:hint="eastAsia"/>
          <w:color w:val="000000" w:themeColor="text1"/>
          <w:spacing w:val="-3"/>
          <w:sz w:val="24"/>
          <w14:textFill>
            <w14:solidFill>
              <w14:schemeClr w14:val="tx1"/>
            </w14:solidFill>
          </w14:textFill>
        </w:rPr>
        <w:t>本项目掺入精饲料中搅拌混合饲用。</w:t>
      </w:r>
    </w:p>
    <w:p w14:paraId="676E16CA">
      <w:pPr>
        <w:spacing w:line="360" w:lineRule="auto"/>
        <w:ind w:firstLine="468" w:firstLineChars="200"/>
        <w:rPr>
          <w:color w:val="000000" w:themeColor="text1"/>
          <w:spacing w:val="-3"/>
          <w:sz w:val="24"/>
          <w14:textFill>
            <w14:solidFill>
              <w14:schemeClr w14:val="tx1"/>
            </w14:solidFill>
          </w14:textFill>
        </w:rPr>
      </w:pPr>
      <w:r>
        <w:rPr>
          <w:color w:val="000000" w:themeColor="text1"/>
          <w:spacing w:val="-3"/>
          <w:sz w:val="24"/>
          <w14:textFill>
            <w14:solidFill>
              <w14:schemeClr w14:val="tx1"/>
            </w14:solidFill>
          </w14:textFill>
        </w:rPr>
        <w:t>（2</w:t>
      </w:r>
      <w:r>
        <w:rPr>
          <w:rFonts w:hint="eastAsia"/>
          <w:color w:val="000000" w:themeColor="text1"/>
          <w:spacing w:val="-3"/>
          <w:sz w:val="24"/>
          <w14:textFill>
            <w14:solidFill>
              <w14:schemeClr w14:val="tx1"/>
            </w14:solidFill>
          </w14:textFill>
        </w:rPr>
        <w:t>）</w:t>
      </w:r>
      <w:r>
        <w:rPr>
          <w:color w:val="000000" w:themeColor="text1"/>
          <w:spacing w:val="-3"/>
          <w:sz w:val="24"/>
          <w14:textFill>
            <w14:solidFill>
              <w14:schemeClr w14:val="tx1"/>
            </w14:solidFill>
          </w14:textFill>
        </w:rPr>
        <w:t>生物除臭剂</w:t>
      </w:r>
    </w:p>
    <w:p w14:paraId="056D3F18">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其菌种采用天然植物成分（如从多种植物中提取的绿色素、叶绿素等）作为营养基质培养而成。除臭剂中的有益微生物通过分泌酶类物质，将恶臭物质分解为二氧化碳、水、无机盐等小分子物质；同时，微生物也能吸附恶臭物质并将其作为营养物质吸收利用，从而从根本上消除和降低空气中的臭味浓度</w:t>
      </w:r>
      <w:r>
        <w:rPr>
          <w:color w:val="000000" w:themeColor="text1"/>
          <w:sz w:val="24"/>
          <w14:textFill>
            <w14:solidFill>
              <w14:schemeClr w14:val="tx1"/>
            </w14:solidFill>
          </w14:textFill>
        </w:rPr>
        <w:t>，从而减少空气中的臭味浓度。微生物除臭剂中的有益微生物能够与产生臭味的微生物竞争营养物质和生存空间，抑制其生长繁殖，从而减少臭味的产生。</w:t>
      </w:r>
    </w:p>
    <w:p w14:paraId="4B1A2AEC">
      <w:pPr>
        <w:pStyle w:val="4"/>
        <w:adjustRightInd w:val="0"/>
        <w:snapToGrid w:val="0"/>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337" w:name="_Toc21699"/>
      <w:bookmarkStart w:id="338" w:name="_Toc233380157"/>
      <w:r>
        <w:rPr>
          <w:rFonts w:ascii="Times New Roman" w:hAnsi="Times New Roman" w:eastAsia="宋体"/>
          <w:color w:val="000000" w:themeColor="text1"/>
          <w:sz w:val="30"/>
          <w:szCs w:val="30"/>
          <w14:textFill>
            <w14:solidFill>
              <w14:schemeClr w14:val="tx1"/>
            </w14:solidFill>
          </w14:textFill>
        </w:rPr>
        <w:t>3.4 主要生产设备</w:t>
      </w:r>
      <w:bookmarkEnd w:id="335"/>
      <w:bookmarkEnd w:id="336"/>
      <w:bookmarkEnd w:id="337"/>
      <w:bookmarkEnd w:id="338"/>
    </w:p>
    <w:p w14:paraId="45ED8A35">
      <w:pPr>
        <w:adjustRightInd w:val="0"/>
        <w:snapToGrid w:val="0"/>
        <w:spacing w:line="360" w:lineRule="auto"/>
        <w:ind w:firstLine="482" w:firstLineChars="200"/>
        <w:jc w:val="both"/>
        <w:rPr>
          <w:rFonts w:ascii="宋体" w:hAnsi="宋体"/>
          <w:b/>
          <w:color w:val="000000" w:themeColor="text1"/>
          <w:sz w:val="24"/>
          <w:shd w:val="clear" w:color="auto" w:fill="FFFFFF"/>
          <w14:textFill>
            <w14:solidFill>
              <w14:schemeClr w14:val="tx1"/>
            </w14:solidFill>
          </w14:textFill>
        </w:rPr>
      </w:pPr>
      <w:bookmarkStart w:id="339" w:name="_Toc40220682"/>
      <w:bookmarkStart w:id="340" w:name="_Toc31538"/>
      <w:r>
        <w:rPr>
          <w:rFonts w:hint="eastAsia" w:ascii="宋体" w:hAnsi="宋体" w:cs="微软雅黑"/>
          <w:b/>
          <w:color w:val="000000" w:themeColor="text1"/>
          <w:sz w:val="24"/>
          <w:shd w:val="clear" w:color="auto" w:fill="FFFFFF"/>
          <w14:textFill>
            <w14:solidFill>
              <w14:schemeClr w14:val="tx1"/>
            </w14:solidFill>
          </w14:textFill>
        </w:rPr>
        <w:t>根据《产业结构调整指导目录（</w:t>
      </w:r>
      <w:r>
        <w:rPr>
          <w:rFonts w:ascii="宋体" w:hAnsi="宋体"/>
          <w:b/>
          <w:color w:val="000000" w:themeColor="text1"/>
          <w:sz w:val="24"/>
          <w:shd w:val="clear" w:color="auto" w:fill="FFFFFF"/>
          <w14:textFill>
            <w14:solidFill>
              <w14:schemeClr w14:val="tx1"/>
            </w14:solidFill>
          </w14:textFill>
        </w:rPr>
        <w:t>2024</w:t>
      </w:r>
      <w:r>
        <w:rPr>
          <w:rFonts w:hint="eastAsia" w:ascii="宋体" w:hAnsi="宋体" w:cs="微软雅黑"/>
          <w:b/>
          <w:color w:val="000000" w:themeColor="text1"/>
          <w:sz w:val="24"/>
          <w:shd w:val="clear" w:color="auto" w:fill="FFFFFF"/>
          <w14:textFill>
            <w14:solidFill>
              <w14:schemeClr w14:val="tx1"/>
            </w14:solidFill>
          </w14:textFill>
        </w:rPr>
        <w:t>年本）》可知，本项目使用设备不属于其中</w:t>
      </w:r>
      <w:r>
        <w:rPr>
          <w:rFonts w:ascii="宋体" w:hAnsi="宋体"/>
          <w:b/>
          <w:color w:val="000000" w:themeColor="text1"/>
          <w:sz w:val="24"/>
          <w:shd w:val="clear" w:color="auto" w:fill="FFFFFF"/>
          <w14:textFill>
            <w14:solidFill>
              <w14:schemeClr w14:val="tx1"/>
            </w14:solidFill>
          </w14:textFill>
        </w:rPr>
        <w:t>“</w:t>
      </w:r>
      <w:r>
        <w:rPr>
          <w:rFonts w:hint="eastAsia" w:ascii="宋体" w:hAnsi="宋体" w:cs="微软雅黑"/>
          <w:b/>
          <w:color w:val="000000" w:themeColor="text1"/>
          <w:sz w:val="24"/>
          <w:shd w:val="clear" w:color="auto" w:fill="FFFFFF"/>
          <w14:textFill>
            <w14:solidFill>
              <w14:schemeClr w14:val="tx1"/>
            </w14:solidFill>
          </w14:textFill>
        </w:rPr>
        <w:t>落后生产工艺装备</w:t>
      </w:r>
      <w:r>
        <w:rPr>
          <w:rFonts w:ascii="宋体" w:hAnsi="宋体"/>
          <w:b/>
          <w:color w:val="000000" w:themeColor="text1"/>
          <w:sz w:val="24"/>
          <w:shd w:val="clear" w:color="auto" w:fill="FFFFFF"/>
          <w14:textFill>
            <w14:solidFill>
              <w14:schemeClr w14:val="tx1"/>
            </w14:solidFill>
          </w14:textFill>
        </w:rPr>
        <w:t>”</w:t>
      </w:r>
      <w:r>
        <w:rPr>
          <w:rFonts w:hint="eastAsia" w:ascii="宋体" w:hAnsi="宋体" w:cs="微软雅黑"/>
          <w:b/>
          <w:color w:val="000000" w:themeColor="text1"/>
          <w:sz w:val="24"/>
          <w:shd w:val="clear" w:color="auto" w:fill="FFFFFF"/>
          <w14:textFill>
            <w14:solidFill>
              <w14:schemeClr w14:val="tx1"/>
            </w14:solidFill>
          </w14:textFill>
        </w:rPr>
        <w:t>之列项目主要设备见下表。</w:t>
      </w:r>
    </w:p>
    <w:p w14:paraId="44DBF15D">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表3.</w:t>
      </w:r>
      <w:r>
        <w:rPr>
          <w:snapToGrid w:val="0"/>
          <w:color w:val="000000" w:themeColor="text1"/>
          <w:szCs w:val="21"/>
          <w:lang w:val="en-US"/>
          <w14:textFill>
            <w14:solidFill>
              <w14:schemeClr w14:val="tx1"/>
            </w14:solidFill>
          </w14:textFill>
        </w:rPr>
        <w:t>4</w:t>
      </w:r>
      <w:r>
        <w:rPr>
          <w:snapToGrid w:val="0"/>
          <w:color w:val="000000" w:themeColor="text1"/>
          <w:szCs w:val="21"/>
          <w14:textFill>
            <w14:solidFill>
              <w14:schemeClr w14:val="tx1"/>
            </w14:solidFill>
          </w14:textFill>
        </w:rPr>
        <w:t>-1</w:t>
      </w:r>
      <w:r>
        <w:rPr>
          <w:rFonts w:eastAsia="黑体"/>
          <w:b w:val="0"/>
          <w:bCs/>
          <w:snapToGrid w:val="0"/>
          <w:color w:val="000000" w:themeColor="text1"/>
          <w:szCs w:val="21"/>
          <w14:textFill>
            <w14:solidFill>
              <w14:schemeClr w14:val="tx1"/>
            </w14:solidFill>
          </w14:textFill>
        </w:rPr>
        <w:t>项目主要生产设备一览表</w:t>
      </w:r>
    </w:p>
    <w:tbl>
      <w:tblPr>
        <w:tblStyle w:val="89"/>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2021"/>
        <w:gridCol w:w="1417"/>
        <w:gridCol w:w="1904"/>
        <w:gridCol w:w="2298"/>
      </w:tblGrid>
      <w:tr w14:paraId="7C28F9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673" w:type="dxa"/>
            <w:tcBorders>
              <w:bottom w:val="single" w:color="auto" w:sz="12" w:space="0"/>
            </w:tcBorders>
            <w:vAlign w:val="center"/>
          </w:tcPr>
          <w:p w14:paraId="44C75C05">
            <w:pPr>
              <w:widowControl w:val="0"/>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序号</w:t>
            </w:r>
          </w:p>
        </w:tc>
        <w:tc>
          <w:tcPr>
            <w:tcW w:w="2021" w:type="dxa"/>
            <w:tcBorders>
              <w:bottom w:val="single" w:color="auto" w:sz="12" w:space="0"/>
            </w:tcBorders>
            <w:vAlign w:val="center"/>
          </w:tcPr>
          <w:p w14:paraId="2F22007D">
            <w:pPr>
              <w:widowControl w:val="0"/>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设备名称</w:t>
            </w:r>
          </w:p>
        </w:tc>
        <w:tc>
          <w:tcPr>
            <w:tcW w:w="1417" w:type="dxa"/>
            <w:tcBorders>
              <w:bottom w:val="single" w:color="auto" w:sz="12" w:space="0"/>
            </w:tcBorders>
            <w:vAlign w:val="center"/>
          </w:tcPr>
          <w:p w14:paraId="467978A0">
            <w:pPr>
              <w:widowControl w:val="0"/>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规格/型号</w:t>
            </w:r>
          </w:p>
        </w:tc>
        <w:tc>
          <w:tcPr>
            <w:tcW w:w="1904" w:type="dxa"/>
            <w:tcBorders>
              <w:bottom w:val="single" w:color="auto" w:sz="12" w:space="0"/>
            </w:tcBorders>
            <w:vAlign w:val="center"/>
          </w:tcPr>
          <w:p w14:paraId="3D157B53">
            <w:pPr>
              <w:widowControl w:val="0"/>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数量</w:t>
            </w:r>
          </w:p>
        </w:tc>
        <w:tc>
          <w:tcPr>
            <w:tcW w:w="2298" w:type="dxa"/>
            <w:tcBorders>
              <w:bottom w:val="single" w:color="auto" w:sz="12" w:space="0"/>
            </w:tcBorders>
            <w:vAlign w:val="center"/>
          </w:tcPr>
          <w:p w14:paraId="450017A0">
            <w:pPr>
              <w:widowControl w:val="0"/>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备注</w:t>
            </w:r>
          </w:p>
        </w:tc>
      </w:tr>
      <w:tr w14:paraId="78A289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3" w:type="dxa"/>
            <w:gridSpan w:val="5"/>
            <w:tcBorders>
              <w:bottom w:val="single" w:color="auto" w:sz="12" w:space="0"/>
            </w:tcBorders>
            <w:vAlign w:val="center"/>
          </w:tcPr>
          <w:p w14:paraId="53456A2E">
            <w:pPr>
              <w:widowControl w:val="0"/>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牛舍设备</w:t>
            </w:r>
          </w:p>
        </w:tc>
      </w:tr>
      <w:tr w14:paraId="77443D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op w:val="single" w:color="auto" w:sz="12" w:space="0"/>
              <w:tl2br w:val="nil"/>
              <w:tr2bl w:val="nil"/>
            </w:tcBorders>
            <w:vAlign w:val="center"/>
          </w:tcPr>
          <w:p w14:paraId="0E740AB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021" w:type="dxa"/>
            <w:tcBorders>
              <w:top w:val="single" w:color="auto" w:sz="12" w:space="0"/>
              <w:tl2br w:val="nil"/>
              <w:tr2bl w:val="nil"/>
            </w:tcBorders>
            <w:vAlign w:val="center"/>
          </w:tcPr>
          <w:p w14:paraId="14CCB46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刮粪板</w:t>
            </w:r>
          </w:p>
        </w:tc>
        <w:tc>
          <w:tcPr>
            <w:tcW w:w="1417" w:type="dxa"/>
            <w:tcBorders>
              <w:top w:val="single" w:color="auto" w:sz="12" w:space="0"/>
              <w:tl2br w:val="nil"/>
              <w:tr2bl w:val="nil"/>
            </w:tcBorders>
            <w:vAlign w:val="center"/>
          </w:tcPr>
          <w:p w14:paraId="0C32832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op w:val="single" w:color="auto" w:sz="12" w:space="0"/>
              <w:tl2br w:val="nil"/>
              <w:tr2bl w:val="nil"/>
            </w:tcBorders>
            <w:vAlign w:val="center"/>
          </w:tcPr>
          <w:p w14:paraId="08DF3D6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60套</w:t>
            </w:r>
          </w:p>
        </w:tc>
        <w:tc>
          <w:tcPr>
            <w:tcW w:w="2298" w:type="dxa"/>
            <w:tcBorders>
              <w:top w:val="single" w:color="auto" w:sz="12" w:space="0"/>
              <w:tl2br w:val="nil"/>
              <w:tr2bl w:val="nil"/>
            </w:tcBorders>
            <w:vAlign w:val="center"/>
          </w:tcPr>
          <w:p w14:paraId="19748E2B">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37B7BE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549EDEE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2021" w:type="dxa"/>
            <w:tcBorders>
              <w:tl2br w:val="nil"/>
              <w:tr2bl w:val="nil"/>
            </w:tcBorders>
            <w:vAlign w:val="center"/>
          </w:tcPr>
          <w:p w14:paraId="6DD9628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电动铲车</w:t>
            </w:r>
          </w:p>
        </w:tc>
        <w:tc>
          <w:tcPr>
            <w:tcW w:w="1417" w:type="dxa"/>
            <w:tcBorders>
              <w:tl2br w:val="nil"/>
              <w:tr2bl w:val="nil"/>
            </w:tcBorders>
            <w:vAlign w:val="center"/>
          </w:tcPr>
          <w:p w14:paraId="47A51BC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242843A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4辆</w:t>
            </w:r>
          </w:p>
        </w:tc>
        <w:tc>
          <w:tcPr>
            <w:tcW w:w="2298" w:type="dxa"/>
            <w:tcBorders>
              <w:tl2br w:val="nil"/>
              <w:tr2bl w:val="nil"/>
            </w:tcBorders>
            <w:vAlign w:val="center"/>
          </w:tcPr>
          <w:p w14:paraId="469F9FF1">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5C999F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3" w:type="dxa"/>
            <w:gridSpan w:val="5"/>
            <w:tcBorders>
              <w:tl2br w:val="nil"/>
              <w:tr2bl w:val="nil"/>
            </w:tcBorders>
            <w:vAlign w:val="center"/>
          </w:tcPr>
          <w:p w14:paraId="155D91E1">
            <w:pPr>
              <w:widowControl w:val="0"/>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精料</w:t>
            </w:r>
            <w:r>
              <w:rPr>
                <w:b/>
                <w:color w:val="000000" w:themeColor="text1"/>
                <w:sz w:val="18"/>
                <w:szCs w:val="18"/>
                <w14:textFill>
                  <w14:solidFill>
                    <w14:schemeClr w14:val="tx1"/>
                  </w14:solidFill>
                </w14:textFill>
              </w:rPr>
              <w:t>饲料加工设备</w:t>
            </w:r>
          </w:p>
        </w:tc>
      </w:tr>
      <w:tr w14:paraId="4ED8E2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0C9B303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2021" w:type="dxa"/>
            <w:tcBorders>
              <w:tl2br w:val="nil"/>
              <w:tr2bl w:val="nil"/>
            </w:tcBorders>
            <w:vAlign w:val="center"/>
          </w:tcPr>
          <w:p w14:paraId="38953ACB">
            <w:pPr>
              <w:widowControl w:val="0"/>
              <w:jc w:val="center"/>
              <w:rPr>
                <w:sz w:val="18"/>
                <w:szCs w:val="18"/>
              </w:rPr>
            </w:pPr>
            <w:r>
              <w:rPr>
                <w:sz w:val="18"/>
                <w:szCs w:val="18"/>
              </w:rPr>
              <w:t>精料加工设备</w:t>
            </w:r>
          </w:p>
        </w:tc>
        <w:tc>
          <w:tcPr>
            <w:tcW w:w="1417" w:type="dxa"/>
            <w:tcBorders>
              <w:tl2br w:val="nil"/>
              <w:tr2bl w:val="nil"/>
            </w:tcBorders>
            <w:vAlign w:val="center"/>
          </w:tcPr>
          <w:p w14:paraId="4FFD59E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456F032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8套</w:t>
            </w:r>
          </w:p>
        </w:tc>
        <w:tc>
          <w:tcPr>
            <w:tcW w:w="2298" w:type="dxa"/>
            <w:tcBorders>
              <w:tl2br w:val="nil"/>
              <w:tr2bl w:val="nil"/>
            </w:tcBorders>
            <w:vAlign w:val="center"/>
          </w:tcPr>
          <w:p w14:paraId="683B1FF2">
            <w:pPr>
              <w:widowControl w:val="0"/>
              <w:jc w:val="center"/>
              <w:rPr>
                <w:color w:val="000000" w:themeColor="text1"/>
                <w:sz w:val="18"/>
                <w:szCs w:val="18"/>
                <w14:textFill>
                  <w14:solidFill>
                    <w14:schemeClr w14:val="tx1"/>
                  </w14:solidFill>
                </w14:textFill>
              </w:rPr>
            </w:pPr>
            <w:bookmarkStart w:id="341" w:name="OLE_LINK158"/>
            <w:bookmarkStart w:id="342" w:name="OLE_LINK163"/>
            <w:r>
              <w:rPr>
                <w:rFonts w:hint="eastAsia"/>
                <w:color w:val="000000" w:themeColor="text1"/>
                <w:sz w:val="18"/>
                <w:szCs w:val="18"/>
                <w14:textFill>
                  <w14:solidFill>
                    <w14:schemeClr w14:val="tx1"/>
                  </w14:solidFill>
                </w14:textFill>
              </w:rPr>
              <w:t>/</w:t>
            </w:r>
            <w:bookmarkEnd w:id="341"/>
            <w:bookmarkEnd w:id="342"/>
          </w:p>
        </w:tc>
      </w:tr>
      <w:tr w14:paraId="6AF0EA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3" w:type="dxa"/>
            <w:gridSpan w:val="5"/>
            <w:tcBorders>
              <w:tl2br w:val="nil"/>
              <w:tr2bl w:val="nil"/>
            </w:tcBorders>
            <w:vAlign w:val="center"/>
          </w:tcPr>
          <w:p w14:paraId="044A6D25">
            <w:pPr>
              <w:widowControl w:val="0"/>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饲养设备</w:t>
            </w:r>
          </w:p>
        </w:tc>
      </w:tr>
      <w:tr w14:paraId="637046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3764BDB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w:t>
            </w:r>
          </w:p>
        </w:tc>
        <w:tc>
          <w:tcPr>
            <w:tcW w:w="2021" w:type="dxa"/>
            <w:tcBorders>
              <w:tl2br w:val="nil"/>
              <w:tr2bl w:val="nil"/>
            </w:tcBorders>
            <w:vAlign w:val="center"/>
          </w:tcPr>
          <w:p w14:paraId="2ECF9A28">
            <w:pPr>
              <w:widowControl w:val="0"/>
              <w:jc w:val="center"/>
              <w:rPr>
                <w:sz w:val="18"/>
                <w:szCs w:val="18"/>
              </w:rPr>
            </w:pPr>
            <w:bookmarkStart w:id="343" w:name="OLE_LINK25"/>
            <w:bookmarkStart w:id="344" w:name="OLE_LINK36"/>
            <w:r>
              <w:rPr>
                <w:rFonts w:hint="eastAsia"/>
                <w:sz w:val="18"/>
                <w:szCs w:val="18"/>
              </w:rPr>
              <w:t>全混合日粮搅拌机（</w:t>
            </w:r>
            <w:r>
              <w:rPr>
                <w:sz w:val="18"/>
                <w:szCs w:val="18"/>
              </w:rPr>
              <w:t>TMR</w:t>
            </w:r>
            <w:bookmarkEnd w:id="343"/>
            <w:bookmarkEnd w:id="344"/>
            <w:r>
              <w:rPr>
                <w:rFonts w:hint="eastAsia"/>
                <w:sz w:val="18"/>
                <w:szCs w:val="18"/>
              </w:rPr>
              <w:t>）</w:t>
            </w:r>
          </w:p>
        </w:tc>
        <w:tc>
          <w:tcPr>
            <w:tcW w:w="1417" w:type="dxa"/>
            <w:tcBorders>
              <w:tl2br w:val="nil"/>
              <w:tr2bl w:val="nil"/>
            </w:tcBorders>
            <w:vAlign w:val="center"/>
          </w:tcPr>
          <w:p w14:paraId="6D59C79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284B14F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8台</w:t>
            </w:r>
          </w:p>
        </w:tc>
        <w:tc>
          <w:tcPr>
            <w:tcW w:w="2298" w:type="dxa"/>
            <w:tcBorders>
              <w:tl2br w:val="nil"/>
              <w:tr2bl w:val="nil"/>
            </w:tcBorders>
            <w:vAlign w:val="center"/>
          </w:tcPr>
          <w:p w14:paraId="48CAD11B">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5D635C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6550AFD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2021" w:type="dxa"/>
            <w:tcBorders>
              <w:tl2br w:val="nil"/>
              <w:tr2bl w:val="nil"/>
            </w:tcBorders>
            <w:vAlign w:val="center"/>
          </w:tcPr>
          <w:p w14:paraId="6376087E">
            <w:pPr>
              <w:widowControl w:val="0"/>
              <w:jc w:val="center"/>
              <w:rPr>
                <w:sz w:val="18"/>
                <w:szCs w:val="18"/>
              </w:rPr>
            </w:pPr>
            <w:r>
              <w:rPr>
                <w:sz w:val="18"/>
                <w:szCs w:val="18"/>
              </w:rPr>
              <w:t>撒料车</w:t>
            </w:r>
          </w:p>
        </w:tc>
        <w:tc>
          <w:tcPr>
            <w:tcW w:w="1417" w:type="dxa"/>
            <w:tcBorders>
              <w:tl2br w:val="nil"/>
              <w:tr2bl w:val="nil"/>
            </w:tcBorders>
            <w:vAlign w:val="center"/>
          </w:tcPr>
          <w:p w14:paraId="4230B79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62010D2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4台</w:t>
            </w:r>
          </w:p>
        </w:tc>
        <w:tc>
          <w:tcPr>
            <w:tcW w:w="2298" w:type="dxa"/>
            <w:tcBorders>
              <w:tl2br w:val="nil"/>
              <w:tr2bl w:val="nil"/>
            </w:tcBorders>
            <w:vAlign w:val="center"/>
          </w:tcPr>
          <w:p w14:paraId="43E366B6">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074466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47F1BBC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w:t>
            </w:r>
          </w:p>
        </w:tc>
        <w:tc>
          <w:tcPr>
            <w:tcW w:w="2021" w:type="dxa"/>
            <w:tcBorders>
              <w:tl2br w:val="nil"/>
              <w:tr2bl w:val="nil"/>
            </w:tcBorders>
            <w:vAlign w:val="center"/>
          </w:tcPr>
          <w:p w14:paraId="1FBEAC66">
            <w:pPr>
              <w:widowControl w:val="0"/>
              <w:jc w:val="center"/>
              <w:rPr>
                <w:sz w:val="18"/>
                <w:szCs w:val="18"/>
              </w:rPr>
            </w:pPr>
            <w:r>
              <w:rPr>
                <w:sz w:val="18"/>
                <w:szCs w:val="18"/>
              </w:rPr>
              <w:t>青贮取料机</w:t>
            </w:r>
          </w:p>
        </w:tc>
        <w:tc>
          <w:tcPr>
            <w:tcW w:w="1417" w:type="dxa"/>
            <w:tcBorders>
              <w:tl2br w:val="nil"/>
              <w:tr2bl w:val="nil"/>
            </w:tcBorders>
            <w:vAlign w:val="center"/>
          </w:tcPr>
          <w:p w14:paraId="70E8815F">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22B7FBD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4台</w:t>
            </w:r>
          </w:p>
        </w:tc>
        <w:tc>
          <w:tcPr>
            <w:tcW w:w="2298" w:type="dxa"/>
            <w:tcBorders>
              <w:tl2br w:val="nil"/>
              <w:tr2bl w:val="nil"/>
            </w:tcBorders>
            <w:vAlign w:val="center"/>
          </w:tcPr>
          <w:p w14:paraId="36AB0803">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7F6DBD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6626CE2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p>
        </w:tc>
        <w:tc>
          <w:tcPr>
            <w:tcW w:w="2021" w:type="dxa"/>
            <w:tcBorders>
              <w:tl2br w:val="nil"/>
              <w:tr2bl w:val="nil"/>
            </w:tcBorders>
            <w:vAlign w:val="center"/>
          </w:tcPr>
          <w:p w14:paraId="79C0B344">
            <w:pPr>
              <w:widowControl w:val="0"/>
              <w:jc w:val="center"/>
              <w:rPr>
                <w:sz w:val="18"/>
                <w:szCs w:val="18"/>
              </w:rPr>
            </w:pPr>
            <w:r>
              <w:rPr>
                <w:sz w:val="18"/>
                <w:szCs w:val="18"/>
              </w:rPr>
              <w:t>饮水</w:t>
            </w:r>
            <w:r>
              <w:rPr>
                <w:rFonts w:hint="eastAsia"/>
                <w:sz w:val="18"/>
                <w:szCs w:val="18"/>
              </w:rPr>
              <w:t>器</w:t>
            </w:r>
          </w:p>
        </w:tc>
        <w:tc>
          <w:tcPr>
            <w:tcW w:w="1417" w:type="dxa"/>
            <w:tcBorders>
              <w:tl2br w:val="nil"/>
              <w:tr2bl w:val="nil"/>
            </w:tcBorders>
            <w:vAlign w:val="center"/>
          </w:tcPr>
          <w:p w14:paraId="70AA41D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4EADDFC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11000个</w:t>
            </w:r>
          </w:p>
        </w:tc>
        <w:tc>
          <w:tcPr>
            <w:tcW w:w="2298" w:type="dxa"/>
            <w:tcBorders>
              <w:tl2br w:val="nil"/>
              <w:tr2bl w:val="nil"/>
            </w:tcBorders>
            <w:vAlign w:val="center"/>
          </w:tcPr>
          <w:p w14:paraId="12F12F74">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28A099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3" w:type="dxa"/>
            <w:gridSpan w:val="5"/>
            <w:tcBorders>
              <w:tl2br w:val="nil"/>
              <w:tr2bl w:val="nil"/>
            </w:tcBorders>
            <w:vAlign w:val="center"/>
          </w:tcPr>
          <w:p w14:paraId="6D019E67">
            <w:pPr>
              <w:widowControl w:val="0"/>
              <w:jc w:val="center"/>
              <w:rPr>
                <w:b/>
                <w:color w:val="000000" w:themeColor="text1"/>
                <w:sz w:val="18"/>
                <w:szCs w:val="18"/>
                <w14:textFill>
                  <w14:solidFill>
                    <w14:schemeClr w14:val="tx1"/>
                  </w14:solidFill>
                </w14:textFill>
              </w:rPr>
            </w:pPr>
            <w:r>
              <w:rPr>
                <w:rFonts w:hint="eastAsia"/>
                <w:b/>
                <w:color w:val="000000" w:themeColor="text1"/>
                <w:sz w:val="18"/>
                <w:szCs w:val="18"/>
                <w14:textFill>
                  <w14:solidFill>
                    <w14:schemeClr w14:val="tx1"/>
                  </w14:solidFill>
                </w14:textFill>
              </w:rPr>
              <w:t>青贮饲</w:t>
            </w:r>
            <w:r>
              <w:rPr>
                <w:b/>
                <w:color w:val="000000" w:themeColor="text1"/>
                <w:sz w:val="18"/>
                <w:szCs w:val="18"/>
                <w14:textFill>
                  <w14:solidFill>
                    <w14:schemeClr w14:val="tx1"/>
                  </w14:solidFill>
                </w14:textFill>
              </w:rPr>
              <w:t>料加工设备</w:t>
            </w:r>
          </w:p>
        </w:tc>
      </w:tr>
      <w:tr w14:paraId="1010FB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1B7914E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10</w:t>
            </w:r>
          </w:p>
        </w:tc>
        <w:tc>
          <w:tcPr>
            <w:tcW w:w="2021" w:type="dxa"/>
            <w:tcBorders>
              <w:tl2br w:val="nil"/>
              <w:tr2bl w:val="nil"/>
            </w:tcBorders>
            <w:vAlign w:val="center"/>
          </w:tcPr>
          <w:p w14:paraId="0F244567">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草料铡草机</w:t>
            </w:r>
          </w:p>
        </w:tc>
        <w:tc>
          <w:tcPr>
            <w:tcW w:w="1417" w:type="dxa"/>
            <w:tcBorders>
              <w:tl2br w:val="nil"/>
              <w:tr2bl w:val="nil"/>
            </w:tcBorders>
            <w:vAlign w:val="center"/>
          </w:tcPr>
          <w:p w14:paraId="7D87459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49850B5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4台</w:t>
            </w:r>
          </w:p>
        </w:tc>
        <w:tc>
          <w:tcPr>
            <w:tcW w:w="2298" w:type="dxa"/>
            <w:tcBorders>
              <w:tl2br w:val="nil"/>
              <w:tr2bl w:val="nil"/>
            </w:tcBorders>
            <w:vAlign w:val="center"/>
          </w:tcPr>
          <w:p w14:paraId="0CFDF9E2">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301173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767AD6AA">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11</w:t>
            </w:r>
          </w:p>
        </w:tc>
        <w:tc>
          <w:tcPr>
            <w:tcW w:w="2021" w:type="dxa"/>
            <w:tcBorders>
              <w:tl2br w:val="nil"/>
              <w:tr2bl w:val="nil"/>
            </w:tcBorders>
            <w:vAlign w:val="center"/>
          </w:tcPr>
          <w:p w14:paraId="618A2E8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叉车</w:t>
            </w:r>
          </w:p>
        </w:tc>
        <w:tc>
          <w:tcPr>
            <w:tcW w:w="1417" w:type="dxa"/>
            <w:tcBorders>
              <w:tl2br w:val="nil"/>
              <w:tr2bl w:val="nil"/>
            </w:tcBorders>
            <w:vAlign w:val="center"/>
          </w:tcPr>
          <w:p w14:paraId="0D277A6A">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3E8FDCA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4台</w:t>
            </w:r>
          </w:p>
        </w:tc>
        <w:tc>
          <w:tcPr>
            <w:tcW w:w="2298" w:type="dxa"/>
            <w:tcBorders>
              <w:tl2br w:val="nil"/>
              <w:tr2bl w:val="nil"/>
            </w:tcBorders>
            <w:vAlign w:val="center"/>
          </w:tcPr>
          <w:p w14:paraId="61D0D66A">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710C18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2892483F">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w:t>
            </w:r>
          </w:p>
        </w:tc>
        <w:tc>
          <w:tcPr>
            <w:tcW w:w="2021" w:type="dxa"/>
            <w:tcBorders>
              <w:tl2br w:val="nil"/>
              <w:tr2bl w:val="nil"/>
            </w:tcBorders>
            <w:vAlign w:val="center"/>
          </w:tcPr>
          <w:p w14:paraId="0EEA54E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打包机</w:t>
            </w:r>
          </w:p>
        </w:tc>
        <w:tc>
          <w:tcPr>
            <w:tcW w:w="1417" w:type="dxa"/>
            <w:tcBorders>
              <w:tl2br w:val="nil"/>
              <w:tr2bl w:val="nil"/>
            </w:tcBorders>
            <w:vAlign w:val="center"/>
          </w:tcPr>
          <w:p w14:paraId="4EC80EB7">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6BE9526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4台</w:t>
            </w:r>
          </w:p>
        </w:tc>
        <w:tc>
          <w:tcPr>
            <w:tcW w:w="2298" w:type="dxa"/>
            <w:tcBorders>
              <w:tl2br w:val="nil"/>
              <w:tr2bl w:val="nil"/>
            </w:tcBorders>
            <w:vAlign w:val="center"/>
          </w:tcPr>
          <w:p w14:paraId="6264C095">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275DE0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7815F9D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13</w:t>
            </w:r>
          </w:p>
        </w:tc>
        <w:tc>
          <w:tcPr>
            <w:tcW w:w="2021" w:type="dxa"/>
            <w:tcBorders>
              <w:tl2br w:val="nil"/>
              <w:tr2bl w:val="nil"/>
            </w:tcBorders>
            <w:vAlign w:val="center"/>
          </w:tcPr>
          <w:p w14:paraId="7E1E7E40">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货车</w:t>
            </w:r>
          </w:p>
        </w:tc>
        <w:tc>
          <w:tcPr>
            <w:tcW w:w="1417" w:type="dxa"/>
            <w:tcBorders>
              <w:tl2br w:val="nil"/>
              <w:tr2bl w:val="nil"/>
            </w:tcBorders>
            <w:vAlign w:val="center"/>
          </w:tcPr>
          <w:p w14:paraId="72DE52A9">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56160F8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4辆</w:t>
            </w:r>
          </w:p>
        </w:tc>
        <w:tc>
          <w:tcPr>
            <w:tcW w:w="2298" w:type="dxa"/>
            <w:tcBorders>
              <w:tl2br w:val="nil"/>
              <w:tr2bl w:val="nil"/>
            </w:tcBorders>
            <w:vAlign w:val="center"/>
          </w:tcPr>
          <w:p w14:paraId="1431415F">
            <w:pPr>
              <w:widowControl w:val="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72F464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313" w:type="dxa"/>
            <w:gridSpan w:val="5"/>
            <w:tcBorders>
              <w:tl2br w:val="nil"/>
              <w:tr2bl w:val="nil"/>
            </w:tcBorders>
            <w:vAlign w:val="center"/>
          </w:tcPr>
          <w:p w14:paraId="2D019791">
            <w:pPr>
              <w:widowControl w:val="0"/>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其他设备</w:t>
            </w:r>
          </w:p>
        </w:tc>
      </w:tr>
      <w:tr w14:paraId="73ECFB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24C35CC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15</w:t>
            </w:r>
          </w:p>
        </w:tc>
        <w:tc>
          <w:tcPr>
            <w:tcW w:w="2021" w:type="dxa"/>
            <w:tcBorders>
              <w:tl2br w:val="nil"/>
              <w:tr2bl w:val="nil"/>
            </w:tcBorders>
            <w:vAlign w:val="center"/>
          </w:tcPr>
          <w:p w14:paraId="75CC18FC">
            <w:pPr>
              <w:widowControl w:val="0"/>
              <w:jc w:val="center"/>
              <w:rPr>
                <w:sz w:val="18"/>
                <w:szCs w:val="18"/>
              </w:rPr>
            </w:pPr>
            <w:r>
              <w:rPr>
                <w:sz w:val="18"/>
                <w:szCs w:val="18"/>
              </w:rPr>
              <w:t>拖拉机</w:t>
            </w:r>
          </w:p>
        </w:tc>
        <w:tc>
          <w:tcPr>
            <w:tcW w:w="1417" w:type="dxa"/>
            <w:tcBorders>
              <w:tl2br w:val="nil"/>
              <w:tr2bl w:val="nil"/>
            </w:tcBorders>
            <w:vAlign w:val="center"/>
          </w:tcPr>
          <w:p w14:paraId="31E766B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155B8AEA">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4辆</w:t>
            </w:r>
          </w:p>
        </w:tc>
        <w:tc>
          <w:tcPr>
            <w:tcW w:w="2298" w:type="dxa"/>
            <w:tcBorders>
              <w:tl2br w:val="nil"/>
              <w:tr2bl w:val="nil"/>
            </w:tcBorders>
            <w:vAlign w:val="center"/>
          </w:tcPr>
          <w:p w14:paraId="418E8D37">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165E9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65697127">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w:t>
            </w:r>
          </w:p>
        </w:tc>
        <w:tc>
          <w:tcPr>
            <w:tcW w:w="2021" w:type="dxa"/>
            <w:tcBorders>
              <w:tl2br w:val="nil"/>
              <w:tr2bl w:val="nil"/>
            </w:tcBorders>
            <w:vAlign w:val="center"/>
          </w:tcPr>
          <w:p w14:paraId="1926D03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发电机</w:t>
            </w:r>
          </w:p>
        </w:tc>
        <w:tc>
          <w:tcPr>
            <w:tcW w:w="1417" w:type="dxa"/>
            <w:tcBorders>
              <w:tl2br w:val="nil"/>
              <w:tr2bl w:val="nil"/>
            </w:tcBorders>
            <w:vAlign w:val="center"/>
          </w:tcPr>
          <w:p w14:paraId="010FA3A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500KW</w:t>
            </w:r>
          </w:p>
        </w:tc>
        <w:tc>
          <w:tcPr>
            <w:tcW w:w="1904" w:type="dxa"/>
            <w:tcBorders>
              <w:tl2br w:val="nil"/>
              <w:tr2bl w:val="nil"/>
            </w:tcBorders>
            <w:vAlign w:val="center"/>
          </w:tcPr>
          <w:p w14:paraId="5006224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4台</w:t>
            </w:r>
          </w:p>
        </w:tc>
        <w:tc>
          <w:tcPr>
            <w:tcW w:w="2298" w:type="dxa"/>
            <w:tcBorders>
              <w:tl2br w:val="nil"/>
              <w:tr2bl w:val="nil"/>
            </w:tcBorders>
            <w:vAlign w:val="center"/>
          </w:tcPr>
          <w:p w14:paraId="7D9B961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6FDBC1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459197AA">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17</w:t>
            </w:r>
          </w:p>
        </w:tc>
        <w:tc>
          <w:tcPr>
            <w:tcW w:w="2021" w:type="dxa"/>
            <w:tcBorders>
              <w:tl2br w:val="nil"/>
              <w:tr2bl w:val="nil"/>
            </w:tcBorders>
            <w:vAlign w:val="center"/>
          </w:tcPr>
          <w:p w14:paraId="7D742A8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电动叉车</w:t>
            </w:r>
          </w:p>
        </w:tc>
        <w:tc>
          <w:tcPr>
            <w:tcW w:w="1417" w:type="dxa"/>
            <w:tcBorders>
              <w:tl2br w:val="nil"/>
              <w:tr2bl w:val="nil"/>
            </w:tcBorders>
            <w:vAlign w:val="center"/>
          </w:tcPr>
          <w:p w14:paraId="6C913C3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1AC0C1E9">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4辆</w:t>
            </w:r>
          </w:p>
        </w:tc>
        <w:tc>
          <w:tcPr>
            <w:tcW w:w="2298" w:type="dxa"/>
            <w:tcBorders>
              <w:tl2br w:val="nil"/>
              <w:tr2bl w:val="nil"/>
            </w:tcBorders>
            <w:vAlign w:val="center"/>
          </w:tcPr>
          <w:p w14:paraId="355645D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4104AB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5CA35A8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18</w:t>
            </w:r>
          </w:p>
        </w:tc>
        <w:tc>
          <w:tcPr>
            <w:tcW w:w="2021" w:type="dxa"/>
            <w:tcBorders>
              <w:tl2br w:val="nil"/>
              <w:tr2bl w:val="nil"/>
            </w:tcBorders>
            <w:vAlign w:val="center"/>
          </w:tcPr>
          <w:p w14:paraId="01D5C1BF">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挖掘机</w:t>
            </w:r>
          </w:p>
        </w:tc>
        <w:tc>
          <w:tcPr>
            <w:tcW w:w="1417" w:type="dxa"/>
            <w:tcBorders>
              <w:tl2br w:val="nil"/>
              <w:tr2bl w:val="nil"/>
            </w:tcBorders>
            <w:vAlign w:val="center"/>
          </w:tcPr>
          <w:p w14:paraId="00766CC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5A38684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4辆</w:t>
            </w:r>
          </w:p>
        </w:tc>
        <w:tc>
          <w:tcPr>
            <w:tcW w:w="2298" w:type="dxa"/>
            <w:tcBorders>
              <w:tl2br w:val="nil"/>
              <w:tr2bl w:val="nil"/>
            </w:tcBorders>
            <w:vAlign w:val="center"/>
          </w:tcPr>
          <w:p w14:paraId="54DB4080">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117687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6B42796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19</w:t>
            </w:r>
          </w:p>
        </w:tc>
        <w:tc>
          <w:tcPr>
            <w:tcW w:w="2021" w:type="dxa"/>
            <w:tcBorders>
              <w:tl2br w:val="nil"/>
              <w:tr2bl w:val="nil"/>
            </w:tcBorders>
            <w:vAlign w:val="center"/>
          </w:tcPr>
          <w:p w14:paraId="70394E9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配料车</w:t>
            </w:r>
          </w:p>
        </w:tc>
        <w:tc>
          <w:tcPr>
            <w:tcW w:w="1417" w:type="dxa"/>
            <w:tcBorders>
              <w:tl2br w:val="nil"/>
              <w:tr2bl w:val="nil"/>
            </w:tcBorders>
            <w:vAlign w:val="center"/>
          </w:tcPr>
          <w:p w14:paraId="618A05B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0709791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8辆</w:t>
            </w:r>
          </w:p>
        </w:tc>
        <w:tc>
          <w:tcPr>
            <w:tcW w:w="2298" w:type="dxa"/>
            <w:tcBorders>
              <w:tl2br w:val="nil"/>
              <w:tr2bl w:val="nil"/>
            </w:tcBorders>
            <w:vAlign w:val="center"/>
          </w:tcPr>
          <w:p w14:paraId="791AB7B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192AA9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0B3CCD2E">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20</w:t>
            </w:r>
          </w:p>
        </w:tc>
        <w:tc>
          <w:tcPr>
            <w:tcW w:w="2021" w:type="dxa"/>
            <w:tcBorders>
              <w:tl2br w:val="nil"/>
              <w:tr2bl w:val="nil"/>
            </w:tcBorders>
            <w:vAlign w:val="center"/>
          </w:tcPr>
          <w:p w14:paraId="369813F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兽医器械</w:t>
            </w:r>
          </w:p>
        </w:tc>
        <w:tc>
          <w:tcPr>
            <w:tcW w:w="1417" w:type="dxa"/>
            <w:tcBorders>
              <w:tl2br w:val="nil"/>
              <w:tr2bl w:val="nil"/>
            </w:tcBorders>
            <w:vAlign w:val="center"/>
          </w:tcPr>
          <w:p w14:paraId="03428B5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2AE7C98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8套</w:t>
            </w:r>
          </w:p>
        </w:tc>
        <w:tc>
          <w:tcPr>
            <w:tcW w:w="2298" w:type="dxa"/>
            <w:tcBorders>
              <w:tl2br w:val="nil"/>
              <w:tr2bl w:val="nil"/>
            </w:tcBorders>
            <w:vAlign w:val="center"/>
          </w:tcPr>
          <w:p w14:paraId="2D3E119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543070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14A3DE8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21</w:t>
            </w:r>
          </w:p>
        </w:tc>
        <w:tc>
          <w:tcPr>
            <w:tcW w:w="2021" w:type="dxa"/>
            <w:tcBorders>
              <w:tl2br w:val="nil"/>
              <w:tr2bl w:val="nil"/>
            </w:tcBorders>
            <w:vAlign w:val="center"/>
          </w:tcPr>
          <w:p w14:paraId="6D9D424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货车</w:t>
            </w:r>
          </w:p>
        </w:tc>
        <w:tc>
          <w:tcPr>
            <w:tcW w:w="1417" w:type="dxa"/>
            <w:tcBorders>
              <w:tl2br w:val="nil"/>
              <w:tr2bl w:val="nil"/>
            </w:tcBorders>
            <w:vAlign w:val="center"/>
          </w:tcPr>
          <w:p w14:paraId="45047815">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577F92D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8辆</w:t>
            </w:r>
          </w:p>
        </w:tc>
        <w:tc>
          <w:tcPr>
            <w:tcW w:w="2298" w:type="dxa"/>
            <w:tcBorders>
              <w:tl2br w:val="nil"/>
              <w:tr2bl w:val="nil"/>
            </w:tcBorders>
            <w:vAlign w:val="center"/>
          </w:tcPr>
          <w:p w14:paraId="2FDF9F1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4C6EE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4DB67C5F">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23</w:t>
            </w:r>
          </w:p>
        </w:tc>
        <w:tc>
          <w:tcPr>
            <w:tcW w:w="2021" w:type="dxa"/>
            <w:tcBorders>
              <w:tl2br w:val="nil"/>
              <w:tr2bl w:val="nil"/>
            </w:tcBorders>
            <w:vAlign w:val="center"/>
          </w:tcPr>
          <w:p w14:paraId="6CCE29B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信息化管理系统</w:t>
            </w:r>
          </w:p>
        </w:tc>
        <w:tc>
          <w:tcPr>
            <w:tcW w:w="1417" w:type="dxa"/>
            <w:tcBorders>
              <w:tl2br w:val="nil"/>
              <w:tr2bl w:val="nil"/>
            </w:tcBorders>
            <w:vAlign w:val="center"/>
          </w:tcPr>
          <w:p w14:paraId="3C225BB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0D2480D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1套</w:t>
            </w:r>
          </w:p>
        </w:tc>
        <w:tc>
          <w:tcPr>
            <w:tcW w:w="2298" w:type="dxa"/>
            <w:tcBorders>
              <w:tl2br w:val="nil"/>
              <w:tr2bl w:val="nil"/>
            </w:tcBorders>
            <w:vAlign w:val="center"/>
          </w:tcPr>
          <w:p w14:paraId="53DCE87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738447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56430256">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24</w:t>
            </w:r>
          </w:p>
        </w:tc>
        <w:tc>
          <w:tcPr>
            <w:tcW w:w="2021" w:type="dxa"/>
            <w:tcBorders>
              <w:tl2br w:val="nil"/>
              <w:tr2bl w:val="nil"/>
            </w:tcBorders>
            <w:vAlign w:val="center"/>
          </w:tcPr>
          <w:p w14:paraId="63BD7727">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大门消毒系统</w:t>
            </w:r>
          </w:p>
        </w:tc>
        <w:tc>
          <w:tcPr>
            <w:tcW w:w="1417" w:type="dxa"/>
            <w:tcBorders>
              <w:tl2br w:val="nil"/>
              <w:tr2bl w:val="nil"/>
            </w:tcBorders>
            <w:vAlign w:val="center"/>
          </w:tcPr>
          <w:p w14:paraId="7691122B">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3672F741">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8套</w:t>
            </w:r>
          </w:p>
        </w:tc>
        <w:tc>
          <w:tcPr>
            <w:tcW w:w="2298" w:type="dxa"/>
            <w:tcBorders>
              <w:tl2br w:val="nil"/>
              <w:tr2bl w:val="nil"/>
            </w:tcBorders>
            <w:vAlign w:val="center"/>
          </w:tcPr>
          <w:p w14:paraId="70DF4B1D">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25BB6C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34B290F4">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2021" w:type="dxa"/>
            <w:tcBorders>
              <w:tl2br w:val="nil"/>
              <w:tr2bl w:val="nil"/>
            </w:tcBorders>
            <w:vAlign w:val="center"/>
          </w:tcPr>
          <w:p w14:paraId="416FB649">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牛只保定称重系统</w:t>
            </w:r>
          </w:p>
        </w:tc>
        <w:tc>
          <w:tcPr>
            <w:tcW w:w="1417" w:type="dxa"/>
            <w:tcBorders>
              <w:tl2br w:val="nil"/>
              <w:tr2bl w:val="nil"/>
            </w:tcBorders>
            <w:vAlign w:val="center"/>
          </w:tcPr>
          <w:p w14:paraId="75B0D998">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1C989C9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4套</w:t>
            </w:r>
          </w:p>
        </w:tc>
        <w:tc>
          <w:tcPr>
            <w:tcW w:w="2298" w:type="dxa"/>
            <w:tcBorders>
              <w:tl2br w:val="nil"/>
              <w:tr2bl w:val="nil"/>
            </w:tcBorders>
            <w:vAlign w:val="center"/>
          </w:tcPr>
          <w:p w14:paraId="72C998E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r w14:paraId="087DD2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3" w:type="dxa"/>
            <w:tcBorders>
              <w:tl2br w:val="nil"/>
              <w:tr2bl w:val="nil"/>
            </w:tcBorders>
            <w:vAlign w:val="center"/>
          </w:tcPr>
          <w:p w14:paraId="2246CD53">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26</w:t>
            </w:r>
          </w:p>
        </w:tc>
        <w:tc>
          <w:tcPr>
            <w:tcW w:w="2021" w:type="dxa"/>
            <w:tcBorders>
              <w:tl2br w:val="nil"/>
              <w:tr2bl w:val="nil"/>
            </w:tcBorders>
            <w:vAlign w:val="center"/>
          </w:tcPr>
          <w:p w14:paraId="113FB402">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实验室常规检查设备</w:t>
            </w:r>
          </w:p>
        </w:tc>
        <w:tc>
          <w:tcPr>
            <w:tcW w:w="1417" w:type="dxa"/>
            <w:tcBorders>
              <w:tl2br w:val="nil"/>
              <w:tr2bl w:val="nil"/>
            </w:tcBorders>
            <w:vAlign w:val="center"/>
          </w:tcPr>
          <w:p w14:paraId="53E975CF">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904" w:type="dxa"/>
            <w:tcBorders>
              <w:tl2br w:val="nil"/>
              <w:tr2bl w:val="nil"/>
            </w:tcBorders>
            <w:vAlign w:val="center"/>
          </w:tcPr>
          <w:p w14:paraId="3E59722C">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1套</w:t>
            </w:r>
          </w:p>
        </w:tc>
        <w:tc>
          <w:tcPr>
            <w:tcW w:w="2298" w:type="dxa"/>
            <w:tcBorders>
              <w:tl2br w:val="nil"/>
              <w:tr2bl w:val="nil"/>
            </w:tcBorders>
            <w:vAlign w:val="center"/>
          </w:tcPr>
          <w:p w14:paraId="4CD8A890">
            <w:pPr>
              <w:widowControl w:val="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r>
    </w:tbl>
    <w:p w14:paraId="5DEE7044">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345" w:name="_Toc233380158"/>
      <w:r>
        <w:rPr>
          <w:rFonts w:ascii="Times New Roman" w:hAnsi="Times New Roman" w:eastAsia="宋体"/>
          <w:color w:val="000000" w:themeColor="text1"/>
          <w:sz w:val="30"/>
          <w:szCs w:val="30"/>
          <w14:textFill>
            <w14:solidFill>
              <w14:schemeClr w14:val="tx1"/>
            </w14:solidFill>
          </w14:textFill>
        </w:rPr>
        <w:t>3.5 项目总平面布置合理性分析</w:t>
      </w:r>
      <w:bookmarkEnd w:id="339"/>
      <w:bookmarkEnd w:id="340"/>
      <w:bookmarkEnd w:id="345"/>
    </w:p>
    <w:p w14:paraId="1F55BCDE">
      <w:p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1、厂区总体布局合理性</w:t>
      </w:r>
    </w:p>
    <w:p w14:paraId="373B5429">
      <w:pPr>
        <w:autoSpaceDE w:val="0"/>
        <w:autoSpaceDN w:val="0"/>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项目肉牛养殖场共计4处，分别位于白庙乡百花村，曾口镇佛龙村，清江镇塘坝村，水宁寺镇始宁社区。</w:t>
      </w:r>
    </w:p>
    <w:p w14:paraId="7A18759E">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各处养殖场场地较为平整。项目总平面布置上结合场地周围环境情况，按工艺流程顺畅、运输及物流合理、生产管理方便、最大限度节约土地的原则进行布置。各个场区均分为办公生活区、养殖区，功能明确。各养殖场均设有2个出入口，其中清洁出入口供人员、饲料车、健康牛只进出场，此通道连接办公区、生活区和饲料库，全程与污染区隔离；污染出入口供废弃发酵垫料清运车、病死牛无害化处理车等出场，此通道直接连接粪圈舍、隔离舍，污染出入口与清洁通道互不交叉，中间设有绿化隔离。出入口连接乡村道路，便于运输。出入口设置消毒池，便于车辆进出厂消毒处理。</w:t>
      </w:r>
    </w:p>
    <w:p w14:paraId="17652E9B">
      <w:pPr>
        <w:adjustRightInd w:val="0"/>
        <w:snapToGrid w:val="0"/>
        <w:spacing w:line="360" w:lineRule="auto"/>
        <w:ind w:firstLine="480" w:firstLineChars="200"/>
        <w:rPr>
          <w:color w:val="FF0000"/>
          <w:sz w:val="24"/>
        </w:rPr>
      </w:pPr>
      <w:r>
        <w:rPr>
          <w:color w:val="000000" w:themeColor="text1"/>
          <w:sz w:val="24"/>
          <w14:textFill>
            <w14:solidFill>
              <w14:schemeClr w14:val="tx1"/>
            </w14:solidFill>
          </w14:textFill>
        </w:rPr>
        <w:t>项目整体布设，办公生活区位于养殖区的上风向或侧风向；养殖区占了养殖场的大部分区域，圈舍布局避开了周围敏感点。总体而言，项目区布设功能明确，互不干扰，在做好相应隔离的防范措施下，内部相互影响较小。项目场区在布局上充分考虑了生产工艺的需求，各功能区分布明确，组织协作良好，同时满足消防、运输、卫生等要求。</w:t>
      </w:r>
    </w:p>
    <w:p w14:paraId="1FB99BB2">
      <w:pPr>
        <w:spacing w:line="360" w:lineRule="auto"/>
        <w:ind w:firstLine="464" w:firstLineChars="200"/>
        <w:rPr>
          <w:color w:val="000000" w:themeColor="text1"/>
          <w:sz w:val="24"/>
          <w14:textFill>
            <w14:solidFill>
              <w14:schemeClr w14:val="tx1"/>
            </w14:solidFill>
          </w14:textFill>
        </w:rPr>
      </w:pPr>
      <w:r>
        <w:rPr>
          <w:rFonts w:eastAsia="Times New Roman"/>
          <w:b/>
          <w:bCs/>
          <w:color w:val="000000" w:themeColor="text1"/>
          <w:spacing w:val="-4"/>
          <w:sz w:val="24"/>
          <w14:textFill>
            <w14:solidFill>
              <w14:schemeClr w14:val="tx1"/>
            </w14:solidFill>
          </w14:textFill>
        </w:rPr>
        <w:t>2</w:t>
      </w:r>
      <w:r>
        <w:rPr>
          <w:b/>
          <w:bCs/>
          <w:color w:val="000000" w:themeColor="text1"/>
          <w:spacing w:val="-4"/>
          <w:sz w:val="24"/>
          <w14:textFill>
            <w14:solidFill>
              <w14:schemeClr w14:val="tx1"/>
            </w14:solidFill>
          </w14:textFill>
        </w:rPr>
        <w:t>、总图布置与相关规范符合性</w:t>
      </w:r>
    </w:p>
    <w:p w14:paraId="2E96B5A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根据《动物防疫条件审查办法》、《畜禽养殖业污染防治技术规范》（HJ /T 81-2001）、</w:t>
      </w:r>
      <w:r>
        <w:rPr>
          <w:color w:val="000000" w:themeColor="text1"/>
          <w:spacing w:val="5"/>
          <w:sz w:val="24"/>
          <w14:textFill>
            <w14:solidFill>
              <w14:schemeClr w14:val="tx1"/>
            </w14:solidFill>
          </w14:textFill>
        </w:rPr>
        <w:t>《畜禽场场区设计技术规范》（</w:t>
      </w:r>
      <w:r>
        <w:rPr>
          <w:rFonts w:eastAsia="Times New Roman"/>
          <w:color w:val="000000" w:themeColor="text1"/>
          <w:sz w:val="24"/>
          <w14:textFill>
            <w14:solidFill>
              <w14:schemeClr w14:val="tx1"/>
            </w14:solidFill>
          </w14:textFill>
        </w:rPr>
        <w:t>NY</w:t>
      </w:r>
      <w:r>
        <w:rPr>
          <w:color w:val="000000" w:themeColor="text1"/>
          <w:spacing w:val="5"/>
          <w:sz w:val="24"/>
          <w14:textFill>
            <w14:solidFill>
              <w14:schemeClr w14:val="tx1"/>
            </w14:solidFill>
          </w14:textFill>
        </w:rPr>
        <w:t xml:space="preserve">/T </w:t>
      </w:r>
      <w:r>
        <w:rPr>
          <w:rFonts w:eastAsia="Times New Roman"/>
          <w:color w:val="000000" w:themeColor="text1"/>
          <w:spacing w:val="5"/>
          <w:sz w:val="24"/>
          <w14:textFill>
            <w14:solidFill>
              <w14:schemeClr w14:val="tx1"/>
            </w14:solidFill>
          </w14:textFill>
        </w:rPr>
        <w:t>68</w:t>
      </w:r>
      <w:r>
        <w:rPr>
          <w:rFonts w:eastAsia="Times New Roman"/>
          <w:color w:val="000000" w:themeColor="text1"/>
          <w:sz w:val="24"/>
          <w14:textFill>
            <w14:solidFill>
              <w14:schemeClr w14:val="tx1"/>
            </w14:solidFill>
          </w14:textFill>
        </w:rPr>
        <w:t>2-2023</w:t>
      </w:r>
      <w:r>
        <w:rPr>
          <w:color w:val="000000" w:themeColor="text1"/>
          <w:sz w:val="24"/>
          <w14:textFill>
            <w14:solidFill>
              <w14:schemeClr w14:val="tx1"/>
            </w14:solidFill>
          </w14:textFill>
        </w:rPr>
        <w:t>）和</w:t>
      </w:r>
      <w:r>
        <w:rPr>
          <w:color w:val="000000" w:themeColor="text1"/>
          <w:spacing w:val="-2"/>
          <w:sz w:val="24"/>
          <w14:textFill>
            <w14:solidFill>
              <w14:schemeClr w14:val="tx1"/>
            </w14:solidFill>
          </w14:textFill>
        </w:rPr>
        <w:t>《四川省畜禽养殖污染防治技术指南（试行）》（川农业函〔2017〕647号），</w:t>
      </w:r>
      <w:r>
        <w:rPr>
          <w:color w:val="000000" w:themeColor="text1"/>
          <w:sz w:val="24"/>
          <w14:textFill>
            <w14:solidFill>
              <w14:schemeClr w14:val="tx1"/>
            </w14:solidFill>
          </w14:textFill>
        </w:rPr>
        <w:t>本项目场区布局与其有关要求符合性见下表。</w:t>
      </w:r>
    </w:p>
    <w:p w14:paraId="66C3DE7F">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w:t>
      </w:r>
      <w:r>
        <w:rPr>
          <w:snapToGrid w:val="0"/>
          <w:color w:val="000000" w:themeColor="text1"/>
          <w:szCs w:val="21"/>
          <w:lang w:val="en-US"/>
          <w14:textFill>
            <w14:solidFill>
              <w14:schemeClr w14:val="tx1"/>
            </w14:solidFill>
          </w14:textFill>
        </w:rPr>
        <w:t>3.5-1</w:t>
      </w:r>
      <w:r>
        <w:rPr>
          <w:rFonts w:eastAsia="黑体"/>
          <w:b w:val="0"/>
          <w:bCs/>
          <w:snapToGrid w:val="0"/>
          <w:color w:val="000000" w:themeColor="text1"/>
          <w:szCs w:val="21"/>
          <w14:textFill>
            <w14:solidFill>
              <w14:schemeClr w14:val="tx1"/>
            </w14:solidFill>
          </w14:textFill>
        </w:rPr>
        <w:t>厂区布局与畜禽养殖相关规范选址</w:t>
      </w:r>
      <w:r>
        <w:rPr>
          <w:rFonts w:eastAsia="黑体"/>
          <w:b w:val="0"/>
          <w:bCs/>
          <w:snapToGrid w:val="0"/>
          <w:color w:val="000000" w:themeColor="text1"/>
          <w:szCs w:val="21"/>
          <w:lang w:val="en-US"/>
          <w14:textFill>
            <w14:solidFill>
              <w14:schemeClr w14:val="tx1"/>
            </w14:solidFill>
          </w14:textFill>
        </w:rPr>
        <w:t>布局</w:t>
      </w:r>
      <w:r>
        <w:rPr>
          <w:rFonts w:eastAsia="黑体"/>
          <w:b w:val="0"/>
          <w:bCs/>
          <w:snapToGrid w:val="0"/>
          <w:color w:val="000000" w:themeColor="text1"/>
          <w:szCs w:val="21"/>
          <w14:textFill>
            <w14:solidFill>
              <w14:schemeClr w14:val="tx1"/>
            </w14:solidFill>
          </w14:textFill>
        </w:rPr>
        <w:t>要求</w:t>
      </w:r>
      <w:r>
        <w:rPr>
          <w:rFonts w:eastAsia="黑体"/>
          <w:b w:val="0"/>
          <w:bCs/>
          <w:snapToGrid w:val="0"/>
          <w:color w:val="000000" w:themeColor="text1"/>
          <w:szCs w:val="21"/>
          <w:lang w:val="en-US"/>
          <w14:textFill>
            <w14:solidFill>
              <w14:schemeClr w14:val="tx1"/>
            </w14:solidFill>
          </w14:textFill>
        </w:rPr>
        <w:t>的</w:t>
      </w:r>
      <w:r>
        <w:rPr>
          <w:rFonts w:eastAsia="黑体"/>
          <w:b w:val="0"/>
          <w:bCs/>
          <w:snapToGrid w:val="0"/>
          <w:color w:val="000000" w:themeColor="text1"/>
          <w:szCs w:val="21"/>
          <w14:textFill>
            <w14:solidFill>
              <w14:schemeClr w14:val="tx1"/>
            </w14:solidFill>
          </w14:textFill>
        </w:rPr>
        <w:t>符合性</w:t>
      </w:r>
    </w:p>
    <w:p w14:paraId="033BA0A2">
      <w:pPr>
        <w:spacing w:line="130" w:lineRule="auto"/>
        <w:rPr>
          <w:color w:val="000000" w:themeColor="text1"/>
          <w:sz w:val="2"/>
          <w:highlight w:val="yellow"/>
          <w14:textFill>
            <w14:solidFill>
              <w14:schemeClr w14:val="tx1"/>
            </w14:solidFill>
          </w14:textFill>
        </w:rPr>
      </w:pPr>
    </w:p>
    <w:tbl>
      <w:tblPr>
        <w:tblStyle w:val="1745"/>
        <w:tblW w:w="8430" w:type="dxa"/>
        <w:jc w:val="center"/>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908"/>
        <w:gridCol w:w="3645"/>
        <w:gridCol w:w="3247"/>
        <w:gridCol w:w="630"/>
      </w:tblGrid>
      <w:tr w14:paraId="431D682D">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42" w:hRule="atLeast"/>
          <w:jc w:val="center"/>
        </w:trPr>
        <w:tc>
          <w:tcPr>
            <w:tcW w:w="908" w:type="dxa"/>
            <w:tcBorders>
              <w:tl2br w:val="nil"/>
              <w:tr2bl w:val="nil"/>
            </w:tcBorders>
            <w:vAlign w:val="center"/>
          </w:tcPr>
          <w:p w14:paraId="218E08F2">
            <w:pPr>
              <w:widowControl/>
              <w:autoSpaceDE/>
              <w:autoSpaceDN/>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规范名称</w:t>
            </w:r>
          </w:p>
        </w:tc>
        <w:tc>
          <w:tcPr>
            <w:tcW w:w="3645" w:type="dxa"/>
            <w:tcBorders>
              <w:tl2br w:val="nil"/>
              <w:tr2bl w:val="nil"/>
            </w:tcBorders>
            <w:vAlign w:val="center"/>
          </w:tcPr>
          <w:p w14:paraId="60F9F831">
            <w:pPr>
              <w:widowControl/>
              <w:autoSpaceDE/>
              <w:autoSpaceDN/>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具体内容</w:t>
            </w:r>
          </w:p>
        </w:tc>
        <w:tc>
          <w:tcPr>
            <w:tcW w:w="3247" w:type="dxa"/>
            <w:tcBorders>
              <w:tl2br w:val="nil"/>
              <w:tr2bl w:val="nil"/>
            </w:tcBorders>
            <w:vAlign w:val="center"/>
          </w:tcPr>
          <w:p w14:paraId="70B35D32">
            <w:pPr>
              <w:widowControl/>
              <w:autoSpaceDE/>
              <w:autoSpaceDN/>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本项目</w:t>
            </w:r>
          </w:p>
        </w:tc>
        <w:tc>
          <w:tcPr>
            <w:tcW w:w="630" w:type="dxa"/>
            <w:tcBorders>
              <w:tl2br w:val="nil"/>
              <w:tr2bl w:val="nil"/>
            </w:tcBorders>
            <w:vAlign w:val="center"/>
          </w:tcPr>
          <w:p w14:paraId="2C0B287F">
            <w:pPr>
              <w:widowControl/>
              <w:autoSpaceDE/>
              <w:autoSpaceDN/>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符合性</w:t>
            </w:r>
          </w:p>
        </w:tc>
      </w:tr>
      <w:tr w14:paraId="44EE9819">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37" w:hRule="atLeast"/>
          <w:jc w:val="center"/>
        </w:trPr>
        <w:tc>
          <w:tcPr>
            <w:tcW w:w="908" w:type="dxa"/>
            <w:tcBorders>
              <w:tl2br w:val="nil"/>
              <w:tr2bl w:val="nil"/>
            </w:tcBorders>
            <w:vAlign w:val="center"/>
          </w:tcPr>
          <w:p w14:paraId="5A327098">
            <w:pPr>
              <w:widowControl/>
              <w:autoSpaceDE/>
              <w:autoSpaceDN/>
              <w:jc w:val="center"/>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《动物防疫条件审查办法》</w:t>
            </w:r>
          </w:p>
        </w:tc>
        <w:tc>
          <w:tcPr>
            <w:tcW w:w="3645" w:type="dxa"/>
            <w:tcBorders>
              <w:tl2br w:val="nil"/>
              <w:tr2bl w:val="nil"/>
            </w:tcBorders>
            <w:vAlign w:val="center"/>
          </w:tcPr>
          <w:p w14:paraId="5C1666C9">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①</w:t>
            </w:r>
            <w:r>
              <w:rPr>
                <w:rFonts w:ascii="Times New Roman" w:hAnsi="Times New Roman" w:eastAsia="宋体"/>
                <w:color w:val="000000" w:themeColor="text1"/>
                <w:sz w:val="18"/>
                <w:szCs w:val="18"/>
                <w:lang w:eastAsia="zh-CN"/>
                <w14:textFill>
                  <w14:solidFill>
                    <w14:schemeClr w14:val="tx1"/>
                  </w14:solidFill>
                </w14:textFill>
              </w:rPr>
              <w:t>场区周围建有围墙；</w:t>
            </w:r>
          </w:p>
          <w:p w14:paraId="6272189D">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②</w:t>
            </w:r>
            <w:r>
              <w:rPr>
                <w:rFonts w:ascii="Times New Roman" w:hAnsi="Times New Roman" w:eastAsia="宋体"/>
                <w:color w:val="000000" w:themeColor="text1"/>
                <w:sz w:val="18"/>
                <w:szCs w:val="18"/>
                <w:lang w:eastAsia="zh-CN"/>
                <w14:textFill>
                  <w14:solidFill>
                    <w14:schemeClr w14:val="tx1"/>
                  </w14:solidFill>
                </w14:textFill>
              </w:rPr>
              <w:t>场区出入口处设置与门同宽，长4米、深0.3米以上的消毒池；</w:t>
            </w:r>
          </w:p>
          <w:p w14:paraId="4E2738F1">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③</w:t>
            </w:r>
            <w:r>
              <w:rPr>
                <w:rFonts w:ascii="Times New Roman" w:hAnsi="Times New Roman" w:eastAsia="宋体"/>
                <w:color w:val="000000" w:themeColor="text1"/>
                <w:sz w:val="18"/>
                <w:szCs w:val="18"/>
                <w:lang w:eastAsia="zh-CN"/>
                <w14:textFill>
                  <w14:solidFill>
                    <w14:schemeClr w14:val="tx1"/>
                  </w14:solidFill>
                </w14:textFill>
              </w:rPr>
              <w:t>生产区与生活办公区分开，并有隔离设施；</w:t>
            </w:r>
          </w:p>
          <w:p w14:paraId="51C063B2">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④</w:t>
            </w:r>
            <w:r>
              <w:rPr>
                <w:rFonts w:ascii="Times New Roman" w:hAnsi="Times New Roman" w:eastAsia="宋体"/>
                <w:color w:val="000000" w:themeColor="text1"/>
                <w:sz w:val="18"/>
                <w:szCs w:val="18"/>
                <w:lang w:eastAsia="zh-CN"/>
                <w14:textFill>
                  <w14:solidFill>
                    <w14:schemeClr w14:val="tx1"/>
                  </w14:solidFill>
                </w14:textFill>
              </w:rPr>
              <w:t>生产区入口处设置更衣消毒室，各养殖栋舍出入口设置消毒池或者消毒垫；</w:t>
            </w:r>
          </w:p>
          <w:p w14:paraId="5CBD7DF4">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⑤</w:t>
            </w:r>
            <w:r>
              <w:rPr>
                <w:rFonts w:ascii="Times New Roman" w:hAnsi="Times New Roman" w:eastAsia="宋体"/>
                <w:color w:val="000000" w:themeColor="text1"/>
                <w:sz w:val="18"/>
                <w:szCs w:val="18"/>
                <w:lang w:eastAsia="zh-CN"/>
                <w14:textFill>
                  <w14:solidFill>
                    <w14:schemeClr w14:val="tx1"/>
                  </w14:solidFill>
                </w14:textFill>
              </w:rPr>
              <w:t>生产区内清洁道、污染道分设；</w:t>
            </w:r>
          </w:p>
          <w:p w14:paraId="6C95CEC2">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⑥</w:t>
            </w:r>
            <w:r>
              <w:rPr>
                <w:rFonts w:ascii="Times New Roman" w:hAnsi="Times New Roman" w:eastAsia="宋体"/>
                <w:color w:val="000000" w:themeColor="text1"/>
                <w:sz w:val="18"/>
                <w:szCs w:val="18"/>
                <w:lang w:eastAsia="zh-CN"/>
                <w14:textFill>
                  <w14:solidFill>
                    <w14:schemeClr w14:val="tx1"/>
                  </w14:solidFill>
                </w14:textFill>
              </w:rPr>
              <w:t>生产区内各养殖栋舍之间距离在5米以上或者有隔离设施。</w:t>
            </w:r>
          </w:p>
        </w:tc>
        <w:tc>
          <w:tcPr>
            <w:tcW w:w="3247" w:type="dxa"/>
            <w:tcBorders>
              <w:tl2br w:val="nil"/>
              <w:tr2bl w:val="nil"/>
            </w:tcBorders>
            <w:vAlign w:val="center"/>
          </w:tcPr>
          <w:p w14:paraId="4A29CF81">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本项目各养殖场在场界建设围墙，入口设符合规范的消毒池。项目场区布局上实现了生产区和主要办公生活区的隔离。项目各类设施之间设置绿化隔离，互不干扰。</w:t>
            </w:r>
          </w:p>
        </w:tc>
        <w:tc>
          <w:tcPr>
            <w:tcW w:w="630" w:type="dxa"/>
            <w:tcBorders>
              <w:tl2br w:val="nil"/>
              <w:tr2bl w:val="nil"/>
            </w:tcBorders>
            <w:vAlign w:val="center"/>
          </w:tcPr>
          <w:p w14:paraId="410A5869">
            <w:pPr>
              <w:widowControl/>
              <w:autoSpaceDE/>
              <w:autoSpaceDN/>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符合</w:t>
            </w:r>
          </w:p>
        </w:tc>
      </w:tr>
      <w:tr w14:paraId="4977DE9E">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37" w:hRule="atLeast"/>
          <w:jc w:val="center"/>
        </w:trPr>
        <w:tc>
          <w:tcPr>
            <w:tcW w:w="908" w:type="dxa"/>
            <w:tcBorders>
              <w:tl2br w:val="nil"/>
              <w:tr2bl w:val="nil"/>
            </w:tcBorders>
            <w:vAlign w:val="center"/>
          </w:tcPr>
          <w:p w14:paraId="104DDCC3">
            <w:pPr>
              <w:widowControl/>
              <w:autoSpaceDE/>
              <w:autoSpaceDN/>
              <w:jc w:val="center"/>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《畜禽养殖业污染防治技术规范》（HJ /T 81-2001）</w:t>
            </w:r>
          </w:p>
        </w:tc>
        <w:tc>
          <w:tcPr>
            <w:tcW w:w="3645" w:type="dxa"/>
            <w:tcBorders>
              <w:tl2br w:val="nil"/>
              <w:tr2bl w:val="nil"/>
            </w:tcBorders>
            <w:vAlign w:val="center"/>
          </w:tcPr>
          <w:p w14:paraId="161AEAFA">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①</w:t>
            </w:r>
            <w:r>
              <w:rPr>
                <w:rFonts w:ascii="Times New Roman" w:hAnsi="Times New Roman" w:eastAsia="宋体"/>
                <w:color w:val="000000" w:themeColor="text1"/>
                <w:sz w:val="18"/>
                <w:szCs w:val="18"/>
                <w:lang w:eastAsia="zh-CN"/>
                <w14:textFill>
                  <w14:solidFill>
                    <w14:schemeClr w14:val="tx1"/>
                  </w14:solidFill>
                </w14:textFill>
              </w:rPr>
              <w:t>新建、改建、扩建的畜禽养殖场应实现生产区、生活管理区的隔离，粪便污水处理设施和畜禽尸体焚烧炉应设在养殖场的生产区、生活管理区的常年主导风向的下风向或侧风向处；</w:t>
            </w:r>
          </w:p>
          <w:p w14:paraId="21B52CE6">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②</w:t>
            </w:r>
            <w:r>
              <w:rPr>
                <w:rFonts w:ascii="Times New Roman" w:hAnsi="Times New Roman" w:eastAsia="宋体"/>
                <w:color w:val="000000" w:themeColor="text1"/>
                <w:sz w:val="18"/>
                <w:szCs w:val="18"/>
                <w:lang w:eastAsia="zh-CN"/>
                <w14:textFill>
                  <w14:solidFill>
                    <w14:schemeClr w14:val="tx1"/>
                  </w14:solidFill>
                </w14:textFill>
              </w:rPr>
              <w:t>养殖场的排水系统应实行雨水和污水收集输送系统分离，在场区内外设置的污水收集输送系统，不得采取明沟布设；</w:t>
            </w:r>
          </w:p>
          <w:p w14:paraId="3E88303F">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hint="eastAsia" w:ascii="宋体" w:hAnsi="宋体" w:eastAsia="宋体" w:cs="宋体"/>
                <w:color w:val="000000" w:themeColor="text1"/>
                <w:sz w:val="18"/>
                <w:szCs w:val="18"/>
                <w:lang w:eastAsia="zh-CN"/>
                <w14:textFill>
                  <w14:solidFill>
                    <w14:schemeClr w14:val="tx1"/>
                  </w14:solidFill>
                </w14:textFill>
              </w:rPr>
              <w:t>③</w:t>
            </w:r>
            <w:r>
              <w:rPr>
                <w:rFonts w:ascii="Times New Roman" w:hAnsi="Times New Roman" w:eastAsia="宋体"/>
                <w:color w:val="000000" w:themeColor="text1"/>
                <w:sz w:val="18"/>
                <w:szCs w:val="18"/>
                <w:lang w:eastAsia="zh-CN"/>
                <w14:textFill>
                  <w14:solidFill>
                    <w14:schemeClr w14:val="tx1"/>
                  </w14:solidFill>
                </w14:textFill>
              </w:rPr>
              <w:t>新建、改建、扩建的畜禽养殖场应采取干法清粪工艺，采取有效措施将粪及时、单独清除，不可与尿、污水混合排出，并将产生的粪渣及时运至贮存或处理场所，实现日产日清。</w:t>
            </w:r>
          </w:p>
        </w:tc>
        <w:tc>
          <w:tcPr>
            <w:tcW w:w="3247" w:type="dxa"/>
            <w:tcBorders>
              <w:tl2br w:val="nil"/>
              <w:tr2bl w:val="nil"/>
            </w:tcBorders>
            <w:vAlign w:val="center"/>
          </w:tcPr>
          <w:p w14:paraId="09AFBFAD">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项目场区布局上实现了生产区和主要办公生活区的隔离；项目区整体布设，办公生活区位于牛舍的上风向，项目各类设施之间设置绿化隔离，互不干扰。</w:t>
            </w:r>
          </w:p>
          <w:p w14:paraId="3658FAB5">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项目采用原位发酵床饲养工艺，无养殖废水产生。项目区内实行雨污分流，</w:t>
            </w:r>
            <w:r>
              <w:rPr>
                <w:rFonts w:hint="eastAsia" w:ascii="Times New Roman" w:hAnsi="Times New Roman" w:eastAsia="宋体"/>
                <w:color w:val="000000" w:themeColor="text1"/>
                <w:sz w:val="18"/>
                <w:szCs w:val="18"/>
                <w:lang w:eastAsia="zh-CN"/>
                <w14:textFill>
                  <w14:solidFill>
                    <w14:schemeClr w14:val="tx1"/>
                  </w14:solidFill>
                </w14:textFill>
              </w:rPr>
              <w:t>生活</w:t>
            </w:r>
            <w:r>
              <w:rPr>
                <w:rFonts w:ascii="Times New Roman" w:hAnsi="Times New Roman" w:eastAsia="宋体"/>
                <w:color w:val="000000" w:themeColor="text1"/>
                <w:sz w:val="18"/>
                <w:szCs w:val="18"/>
                <w:lang w:eastAsia="zh-CN"/>
                <w14:textFill>
                  <w14:solidFill>
                    <w14:schemeClr w14:val="tx1"/>
                  </w14:solidFill>
                </w14:textFill>
              </w:rPr>
              <w:t>污水</w:t>
            </w:r>
            <w:r>
              <w:rPr>
                <w:rFonts w:hint="eastAsia" w:ascii="Times New Roman" w:hAnsi="Times New Roman" w:eastAsia="宋体"/>
                <w:color w:val="000000" w:themeColor="text1"/>
                <w:sz w:val="18"/>
                <w:szCs w:val="18"/>
                <w:lang w:eastAsia="zh-CN"/>
                <w14:textFill>
                  <w14:solidFill>
                    <w14:schemeClr w14:val="tx1"/>
                  </w14:solidFill>
                </w14:textFill>
              </w:rPr>
              <w:t>经</w:t>
            </w:r>
            <w:r>
              <w:rPr>
                <w:rFonts w:ascii="Times New Roman" w:hAnsi="Times New Roman" w:eastAsia="宋体"/>
                <w:color w:val="000000" w:themeColor="text1"/>
                <w:sz w:val="18"/>
                <w:szCs w:val="18"/>
                <w:lang w:eastAsia="zh-CN"/>
                <w14:textFill>
                  <w14:solidFill>
                    <w14:schemeClr w14:val="tx1"/>
                  </w14:solidFill>
                </w14:textFill>
              </w:rPr>
              <w:t>管道输送</w:t>
            </w:r>
            <w:r>
              <w:rPr>
                <w:rFonts w:hint="eastAsia" w:ascii="Times New Roman" w:hAnsi="Times New Roman" w:eastAsia="宋体"/>
                <w:color w:val="000000" w:themeColor="text1"/>
                <w:sz w:val="18"/>
                <w:szCs w:val="18"/>
                <w:lang w:eastAsia="zh-CN"/>
                <w14:textFill>
                  <w14:solidFill>
                    <w14:schemeClr w14:val="tx1"/>
                  </w14:solidFill>
                </w14:textFill>
              </w:rPr>
              <w:t>至化粪池</w:t>
            </w:r>
            <w:r>
              <w:rPr>
                <w:rFonts w:ascii="Times New Roman" w:hAnsi="Times New Roman" w:eastAsia="宋体"/>
                <w:color w:val="000000" w:themeColor="text1"/>
                <w:sz w:val="18"/>
                <w:szCs w:val="18"/>
                <w:lang w:eastAsia="zh-CN"/>
                <w14:textFill>
                  <w14:solidFill>
                    <w14:schemeClr w14:val="tx1"/>
                  </w14:solidFill>
                </w14:textFill>
              </w:rPr>
              <w:t>，不设置明沟。建设单位与周边农户签订协议，废弃垫料</w:t>
            </w:r>
            <w:r>
              <w:rPr>
                <w:rFonts w:hint="eastAsia" w:ascii="Times New Roman" w:hAnsi="Times New Roman" w:eastAsia="宋体"/>
                <w:color w:val="000000" w:themeColor="text1"/>
                <w:sz w:val="18"/>
                <w:szCs w:val="18"/>
                <w:lang w:eastAsia="zh-CN"/>
                <w14:textFill>
                  <w14:solidFill>
                    <w14:schemeClr w14:val="tx1"/>
                  </w14:solidFill>
                </w14:textFill>
              </w:rPr>
              <w:t>在换栏时更换</w:t>
            </w:r>
            <w:r>
              <w:rPr>
                <w:rFonts w:ascii="Times New Roman" w:hAnsi="Times New Roman" w:eastAsia="宋体"/>
                <w:color w:val="000000" w:themeColor="text1"/>
                <w:sz w:val="18"/>
                <w:szCs w:val="18"/>
                <w:lang w:eastAsia="zh-CN"/>
                <w14:textFill>
                  <w14:solidFill>
                    <w14:schemeClr w14:val="tx1"/>
                  </w14:solidFill>
                </w14:textFill>
              </w:rPr>
              <w:t>后</w:t>
            </w:r>
            <w:r>
              <w:rPr>
                <w:rFonts w:hint="eastAsia" w:ascii="Times New Roman" w:hAnsi="Times New Roman" w:eastAsia="宋体"/>
                <w:color w:val="000000" w:themeColor="text1"/>
                <w:sz w:val="18"/>
                <w:szCs w:val="18"/>
                <w:lang w:eastAsia="zh-CN"/>
                <w14:textFill>
                  <w14:solidFill>
                    <w14:schemeClr w14:val="tx1"/>
                  </w14:solidFill>
                </w14:textFill>
              </w:rPr>
              <w:t>外运</w:t>
            </w:r>
            <w:r>
              <w:rPr>
                <w:rFonts w:ascii="Times New Roman" w:hAnsi="Times New Roman" w:eastAsia="宋体"/>
                <w:color w:val="000000" w:themeColor="text1"/>
                <w:sz w:val="18"/>
                <w:szCs w:val="18"/>
                <w:lang w:eastAsia="zh-CN"/>
                <w14:textFill>
                  <w14:solidFill>
                    <w14:schemeClr w14:val="tx1"/>
                  </w14:solidFill>
                </w14:textFill>
              </w:rPr>
              <w:t>用作农肥施用，实现粪污资源化利用。项目病死牛委托四川科农动物无害化处理有限公司清运处置。</w:t>
            </w:r>
          </w:p>
        </w:tc>
        <w:tc>
          <w:tcPr>
            <w:tcW w:w="630" w:type="dxa"/>
            <w:tcBorders>
              <w:tl2br w:val="nil"/>
              <w:tr2bl w:val="nil"/>
            </w:tcBorders>
            <w:vAlign w:val="center"/>
          </w:tcPr>
          <w:p w14:paraId="0E96C7B3">
            <w:pPr>
              <w:widowControl/>
              <w:autoSpaceDE/>
              <w:autoSpaceDN/>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符合</w:t>
            </w:r>
          </w:p>
        </w:tc>
      </w:tr>
      <w:tr w14:paraId="5784753F">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012" w:hRule="atLeast"/>
          <w:jc w:val="center"/>
        </w:trPr>
        <w:tc>
          <w:tcPr>
            <w:tcW w:w="908" w:type="dxa"/>
            <w:tcBorders>
              <w:tl2br w:val="nil"/>
              <w:tr2bl w:val="nil"/>
            </w:tcBorders>
            <w:vAlign w:val="center"/>
          </w:tcPr>
          <w:p w14:paraId="16A41CE8">
            <w:pPr>
              <w:widowControl/>
              <w:autoSpaceDE/>
              <w:autoSpaceDN/>
              <w:jc w:val="center"/>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《畜禽场场区设计技术规范》（NY/T 682-2023）</w:t>
            </w:r>
          </w:p>
        </w:tc>
        <w:tc>
          <w:tcPr>
            <w:tcW w:w="3645" w:type="dxa"/>
            <w:tcBorders>
              <w:tl2br w:val="nil"/>
              <w:tr2bl w:val="nil"/>
            </w:tcBorders>
            <w:vAlign w:val="center"/>
          </w:tcPr>
          <w:p w14:paraId="30F5AB07">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根据畜禽场的生产工艺要求，按功能分区布置各建（构）筑物的位置，畜禽场一般划分为生活管理区、辅助生产区、生产区、无害化处理区和隔离区。</w:t>
            </w:r>
          </w:p>
          <w:p w14:paraId="5BAEEE9A">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生活管理区主要布置管理人员办公用房、技术人员业务用房、职工生活用房、人员和车辆消毒设施及门卫，大门等。应位于场区全年主导风向的上风处或侧风处。</w:t>
            </w:r>
          </w:p>
        </w:tc>
        <w:tc>
          <w:tcPr>
            <w:tcW w:w="3247" w:type="dxa"/>
            <w:tcBorders>
              <w:tl2br w:val="nil"/>
              <w:tr2bl w:val="nil"/>
            </w:tcBorders>
            <w:vAlign w:val="center"/>
          </w:tcPr>
          <w:p w14:paraId="61047996">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项目场区布局上实现了生产区和主要办公生活区的隔离。项目各类设施之间设置绿化隔离，互不干扰。</w:t>
            </w:r>
          </w:p>
          <w:p w14:paraId="03B96210">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项目养殖场不设置无害化处理区，项目病死牛委托四川科农动物无害化处理有限公司清运处置。</w:t>
            </w:r>
          </w:p>
          <w:p w14:paraId="79F3A8DF">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项目养殖场办公生活区位于养殖区的上风向或侧风向。</w:t>
            </w:r>
          </w:p>
        </w:tc>
        <w:tc>
          <w:tcPr>
            <w:tcW w:w="630" w:type="dxa"/>
            <w:tcBorders>
              <w:tl2br w:val="nil"/>
              <w:tr2bl w:val="nil"/>
            </w:tcBorders>
            <w:vAlign w:val="center"/>
          </w:tcPr>
          <w:p w14:paraId="13A26189">
            <w:pPr>
              <w:widowControl/>
              <w:autoSpaceDE/>
              <w:autoSpaceDN/>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符合</w:t>
            </w:r>
          </w:p>
        </w:tc>
      </w:tr>
      <w:tr w14:paraId="47FDCC4A">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908" w:type="dxa"/>
            <w:tcBorders>
              <w:tl2br w:val="nil"/>
              <w:tr2bl w:val="nil"/>
            </w:tcBorders>
            <w:vAlign w:val="center"/>
          </w:tcPr>
          <w:p w14:paraId="64F676A6">
            <w:pPr>
              <w:widowControl/>
              <w:autoSpaceDE/>
              <w:autoSpaceDN/>
              <w:jc w:val="center"/>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《四川省畜禽养殖污染防治技术指南（试行）》（川农业函〔2017〕647号）</w:t>
            </w:r>
          </w:p>
        </w:tc>
        <w:tc>
          <w:tcPr>
            <w:tcW w:w="3645" w:type="dxa"/>
            <w:tcBorders>
              <w:tl2br w:val="nil"/>
              <w:tr2bl w:val="nil"/>
            </w:tcBorders>
            <w:vAlign w:val="center"/>
          </w:tcPr>
          <w:p w14:paraId="5E32A421">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规模养殖场应布局生活管理区、生产区、辅助生产区和资源化利用区（含隔离区）。粪便污水处理设施和畜禽尸体焚烧炉应在养殖场的常年主导风向的下风向或侧风向处；养殖场的排水系统应实行雨水和污水收集输送系统分离，在场区内外设置的污水收集输送系统，不得采取明沟布设</w:t>
            </w:r>
          </w:p>
        </w:tc>
        <w:tc>
          <w:tcPr>
            <w:tcW w:w="3247" w:type="dxa"/>
            <w:tcBorders>
              <w:tl2br w:val="nil"/>
              <w:tr2bl w:val="nil"/>
            </w:tcBorders>
            <w:vAlign w:val="center"/>
          </w:tcPr>
          <w:p w14:paraId="57CF806C">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各养殖场可分为养殖区、办公生活区和辅助生产区。</w:t>
            </w:r>
          </w:p>
          <w:p w14:paraId="4E7E816E">
            <w:pPr>
              <w:widowControl/>
              <w:autoSpaceDE/>
              <w:autoSpaceDN/>
              <w:ind w:firstLine="360" w:firstLineChars="200"/>
              <w:jc w:val="left"/>
              <w:rPr>
                <w:rFonts w:ascii="Times New Roman" w:hAnsi="Times New Roman" w:eastAsia="宋体"/>
                <w:color w:val="000000" w:themeColor="text1"/>
                <w:sz w:val="18"/>
                <w:szCs w:val="18"/>
                <w:highlight w:val="yellow"/>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项目养殖场不设置无害化处理区，项目病死牛委托四川科农动物无害化处理有限公司清运处置。</w:t>
            </w:r>
          </w:p>
          <w:p w14:paraId="66383CC3">
            <w:pPr>
              <w:widowControl/>
              <w:autoSpaceDE/>
              <w:autoSpaceDN/>
              <w:ind w:firstLine="360" w:firstLineChars="200"/>
              <w:jc w:val="left"/>
              <w:rPr>
                <w:rFonts w:ascii="Times New Roman" w:hAnsi="Times New Roman" w:eastAsia="宋体"/>
                <w:color w:val="000000" w:themeColor="text1"/>
                <w:sz w:val="18"/>
                <w:szCs w:val="18"/>
                <w:lang w:eastAsia="zh-CN"/>
                <w14:textFill>
                  <w14:solidFill>
                    <w14:schemeClr w14:val="tx1"/>
                  </w14:solidFill>
                </w14:textFill>
              </w:rPr>
            </w:pPr>
            <w:r>
              <w:rPr>
                <w:rFonts w:ascii="Times New Roman" w:hAnsi="Times New Roman" w:eastAsia="宋体"/>
                <w:color w:val="000000" w:themeColor="text1"/>
                <w:sz w:val="18"/>
                <w:szCs w:val="18"/>
                <w:lang w:eastAsia="zh-CN"/>
                <w14:textFill>
                  <w14:solidFill>
                    <w14:schemeClr w14:val="tx1"/>
                  </w14:solidFill>
                </w14:textFill>
              </w:rPr>
              <w:t>本次环评要求排水系统采用雨、污分流制，完善雨水管沟的建设。</w:t>
            </w:r>
          </w:p>
        </w:tc>
        <w:tc>
          <w:tcPr>
            <w:tcW w:w="630" w:type="dxa"/>
            <w:tcBorders>
              <w:tl2br w:val="nil"/>
              <w:tr2bl w:val="nil"/>
            </w:tcBorders>
            <w:vAlign w:val="center"/>
          </w:tcPr>
          <w:p w14:paraId="168002F2">
            <w:pPr>
              <w:widowControl/>
              <w:autoSpaceDE/>
              <w:autoSpaceDN/>
              <w:jc w:val="center"/>
              <w:rPr>
                <w:rFonts w:ascii="Times New Roman" w:hAnsi="Times New Roman" w:eastAsia="宋体"/>
                <w:color w:val="000000" w:themeColor="text1"/>
                <w:sz w:val="18"/>
                <w:szCs w:val="18"/>
                <w:lang w:eastAsia="en-US"/>
                <w14:textFill>
                  <w14:solidFill>
                    <w14:schemeClr w14:val="tx1"/>
                  </w14:solidFill>
                </w14:textFill>
              </w:rPr>
            </w:pPr>
            <w:r>
              <w:rPr>
                <w:rFonts w:ascii="Times New Roman" w:hAnsi="Times New Roman" w:eastAsia="宋体"/>
                <w:color w:val="000000" w:themeColor="text1"/>
                <w:sz w:val="18"/>
                <w:szCs w:val="18"/>
                <w:lang w:eastAsia="en-US"/>
                <w14:textFill>
                  <w14:solidFill>
                    <w14:schemeClr w14:val="tx1"/>
                  </w14:solidFill>
                </w14:textFill>
              </w:rPr>
              <w:t>符合</w:t>
            </w:r>
          </w:p>
        </w:tc>
      </w:tr>
    </w:tbl>
    <w:p w14:paraId="6E930C92">
      <w:pPr>
        <w:spacing w:line="360" w:lineRule="auto"/>
        <w:ind w:firstLine="480" w:firstLineChars="200"/>
        <w:jc w:val="both"/>
        <w:rPr>
          <w:color w:val="000000" w:themeColor="text1"/>
          <w:spacing w:val="-1"/>
          <w:sz w:val="24"/>
          <w14:textFill>
            <w14:solidFill>
              <w14:schemeClr w14:val="tx1"/>
            </w14:solidFill>
          </w14:textFill>
        </w:rPr>
      </w:pPr>
      <w:r>
        <w:rPr>
          <w:color w:val="000000" w:themeColor="text1"/>
          <w:sz w:val="24"/>
          <w14:textFill>
            <w14:solidFill>
              <w14:schemeClr w14:val="tx1"/>
            </w14:solidFill>
          </w14:textFill>
        </w:rPr>
        <w:t>综上所述，全厂总平面布置功能分区明确，合理规</w:t>
      </w:r>
      <w:r>
        <w:rPr>
          <w:color w:val="000000" w:themeColor="text1"/>
          <w:spacing w:val="-1"/>
          <w:sz w:val="24"/>
          <w14:textFill>
            <w14:solidFill>
              <w14:schemeClr w14:val="tx1"/>
            </w14:solidFill>
          </w14:textFill>
        </w:rPr>
        <w:t>划布局，工艺流程顺畅。减少不</w:t>
      </w:r>
      <w:r>
        <w:rPr>
          <w:color w:val="000000" w:themeColor="text1"/>
          <w:sz w:val="24"/>
          <w14:textFill>
            <w14:solidFill>
              <w14:schemeClr w14:val="tx1"/>
            </w14:solidFill>
          </w14:textFill>
        </w:rPr>
        <w:t>必要的交叉，切断疫病的传播途径。牛舍周围建设茂密乔木，有利</w:t>
      </w:r>
      <w:r>
        <w:rPr>
          <w:color w:val="000000" w:themeColor="text1"/>
          <w:spacing w:val="-1"/>
          <w:sz w:val="24"/>
          <w14:textFill>
            <w14:solidFill>
              <w14:schemeClr w14:val="tx1"/>
            </w14:solidFill>
          </w14:textFill>
        </w:rPr>
        <w:t>于净化空气。同时，厂</w:t>
      </w:r>
      <w:r>
        <w:rPr>
          <w:color w:val="000000" w:themeColor="text1"/>
          <w:spacing w:val="4"/>
          <w:sz w:val="24"/>
          <w14:textFill>
            <w14:solidFill>
              <w14:schemeClr w14:val="tx1"/>
            </w14:solidFill>
          </w14:textFill>
        </w:rPr>
        <w:t>区布局符合《</w:t>
      </w:r>
      <w:r>
        <w:rPr>
          <w:color w:val="000000" w:themeColor="text1"/>
          <w:sz w:val="24"/>
          <w14:textFill>
            <w14:solidFill>
              <w14:schemeClr w14:val="tx1"/>
            </w14:solidFill>
          </w14:textFill>
        </w:rPr>
        <w:t>动物防疫条件审查办法》、《畜禽养殖业污染防治技术规范》（HJ/T81-2001）、</w:t>
      </w:r>
      <w:r>
        <w:rPr>
          <w:color w:val="000000" w:themeColor="text1"/>
          <w:spacing w:val="5"/>
          <w:sz w:val="24"/>
          <w14:textFill>
            <w14:solidFill>
              <w14:schemeClr w14:val="tx1"/>
            </w14:solidFill>
          </w14:textFill>
        </w:rPr>
        <w:t>《畜禽场场区设计技术规范》（</w:t>
      </w:r>
      <w:r>
        <w:rPr>
          <w:rFonts w:eastAsia="Times New Roman"/>
          <w:color w:val="000000" w:themeColor="text1"/>
          <w:sz w:val="24"/>
          <w14:textFill>
            <w14:solidFill>
              <w14:schemeClr w14:val="tx1"/>
            </w14:solidFill>
          </w14:textFill>
        </w:rPr>
        <w:t>NY</w:t>
      </w:r>
      <w:r>
        <w:rPr>
          <w:color w:val="000000" w:themeColor="text1"/>
          <w:spacing w:val="5"/>
          <w:sz w:val="24"/>
          <w14:textFill>
            <w14:solidFill>
              <w14:schemeClr w14:val="tx1"/>
            </w14:solidFill>
          </w14:textFill>
        </w:rPr>
        <w:t>/T</w:t>
      </w:r>
      <w:r>
        <w:rPr>
          <w:rFonts w:eastAsia="Times New Roman"/>
          <w:color w:val="000000" w:themeColor="text1"/>
          <w:spacing w:val="5"/>
          <w:sz w:val="24"/>
          <w14:textFill>
            <w14:solidFill>
              <w14:schemeClr w14:val="tx1"/>
            </w14:solidFill>
          </w14:textFill>
        </w:rPr>
        <w:t>68</w:t>
      </w:r>
      <w:r>
        <w:rPr>
          <w:rFonts w:eastAsia="Times New Roman"/>
          <w:color w:val="000000" w:themeColor="text1"/>
          <w:sz w:val="24"/>
          <w14:textFill>
            <w14:solidFill>
              <w14:schemeClr w14:val="tx1"/>
            </w14:solidFill>
          </w14:textFill>
        </w:rPr>
        <w:t>2-2023</w:t>
      </w:r>
      <w:r>
        <w:rPr>
          <w:color w:val="000000" w:themeColor="text1"/>
          <w:sz w:val="24"/>
          <w14:textFill>
            <w14:solidFill>
              <w14:schemeClr w14:val="tx1"/>
            </w14:solidFill>
          </w14:textFill>
        </w:rPr>
        <w:t>）和</w:t>
      </w:r>
      <w:r>
        <w:rPr>
          <w:color w:val="000000" w:themeColor="text1"/>
          <w:spacing w:val="-2"/>
          <w:sz w:val="24"/>
          <w14:textFill>
            <w14:solidFill>
              <w14:schemeClr w14:val="tx1"/>
            </w14:solidFill>
          </w14:textFill>
        </w:rPr>
        <w:t>《四川省畜禽养殖污染防治技术指南（试行）》（川农业函〔2017〕647号）</w:t>
      </w:r>
      <w:r>
        <w:rPr>
          <w:color w:val="000000" w:themeColor="text1"/>
          <w:spacing w:val="-1"/>
          <w:sz w:val="24"/>
          <w14:textFill>
            <w14:solidFill>
              <w14:schemeClr w14:val="tx1"/>
            </w14:solidFill>
          </w14:textFill>
        </w:rPr>
        <w:t>等法规要求，从环保角度而言，全厂总平面布置基本是合理的。</w:t>
      </w:r>
    </w:p>
    <w:p w14:paraId="1A562724">
      <w:pPr>
        <w:spacing w:line="360" w:lineRule="auto"/>
        <w:ind w:firstLine="466" w:firstLineChars="200"/>
        <w:rPr>
          <w:rFonts w:eastAsia="Times New Roman"/>
          <w:b/>
          <w:bCs/>
          <w:color w:val="000000" w:themeColor="text1"/>
          <w:spacing w:val="-4"/>
          <w:sz w:val="24"/>
          <w14:textFill>
            <w14:solidFill>
              <w14:schemeClr w14:val="tx1"/>
            </w14:solidFill>
          </w14:textFill>
        </w:rPr>
      </w:pPr>
      <w:r>
        <w:rPr>
          <w:rFonts w:hint="eastAsia" w:ascii="宋体" w:hAnsi="宋体" w:cs="宋体"/>
          <w:b/>
          <w:bCs/>
          <w:color w:val="000000" w:themeColor="text1"/>
          <w:spacing w:val="-4"/>
          <w:sz w:val="24"/>
          <w14:textFill>
            <w14:solidFill>
              <w14:schemeClr w14:val="tx1"/>
            </w14:solidFill>
          </w14:textFill>
        </w:rPr>
        <w:t>3、储运设施规模设置合理性分析</w:t>
      </w:r>
    </w:p>
    <w:p w14:paraId="76284B58">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1、青贮窖设置合理性分析</w:t>
      </w:r>
    </w:p>
    <w:p w14:paraId="02DF62D0">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根据《标准化养殖场 肉牛》（NYT2663-2014）中相关规定，养牛场内宜有青贮窖池、</w:t>
      </w:r>
      <w:r>
        <w:rPr>
          <w:rFonts w:hint="eastAsia"/>
          <w:color w:val="000000" w:themeColor="text1"/>
          <w:sz w:val="24"/>
          <w14:textFill>
            <w14:solidFill>
              <w14:schemeClr w14:val="tx1"/>
            </w14:solidFill>
          </w14:textFill>
        </w:rPr>
        <w:t>饲料库</w:t>
      </w:r>
      <w:r>
        <w:rPr>
          <w:color w:val="000000" w:themeColor="text1"/>
          <w:sz w:val="24"/>
          <w14:textFill>
            <w14:solidFill>
              <w14:schemeClr w14:val="tx1"/>
            </w14:solidFill>
          </w14:textFill>
        </w:rPr>
        <w:t>等饲料加工与储存设施，牛场设有粉碎机、搅拌机等相应的加工设备。本项目</w:t>
      </w:r>
      <w:r>
        <w:rPr>
          <w:rFonts w:hint="eastAsia"/>
          <w:color w:val="000000" w:themeColor="text1"/>
          <w:sz w:val="24"/>
          <w14:textFill>
            <w14:solidFill>
              <w14:schemeClr w14:val="tx1"/>
            </w14:solidFill>
          </w14:textFill>
        </w:rPr>
        <w:t>各养殖场均</w:t>
      </w:r>
      <w:r>
        <w:rPr>
          <w:color w:val="000000" w:themeColor="text1"/>
          <w:sz w:val="24"/>
          <w14:textFill>
            <w14:solidFill>
              <w14:schemeClr w14:val="tx1"/>
            </w14:solidFill>
          </w14:textFill>
        </w:rPr>
        <w:t>设置1座青贮窖，用于存放</w:t>
      </w:r>
      <w:r>
        <w:rPr>
          <w:rFonts w:hint="eastAsia"/>
          <w:color w:val="000000" w:themeColor="text1"/>
          <w:sz w:val="24"/>
          <w14:textFill>
            <w14:solidFill>
              <w14:schemeClr w14:val="tx1"/>
            </w14:solidFill>
          </w14:textFill>
        </w:rPr>
        <w:t>皇竹草</w:t>
      </w:r>
      <w:r>
        <w:rPr>
          <w:color w:val="000000" w:themeColor="text1"/>
          <w:sz w:val="24"/>
          <w14:textFill>
            <w14:solidFill>
              <w14:schemeClr w14:val="tx1"/>
            </w14:solidFill>
          </w14:textFill>
        </w:rPr>
        <w:t>饲料，</w:t>
      </w:r>
      <w:r>
        <w:rPr>
          <w:rFonts w:hint="eastAsia"/>
          <w:color w:val="000000" w:themeColor="text1"/>
          <w:sz w:val="24"/>
          <w14:textFill>
            <w14:solidFill>
              <w14:schemeClr w14:val="tx1"/>
            </w14:solidFill>
          </w14:textFill>
        </w:rPr>
        <w:t>皇竹草</w:t>
      </w:r>
      <w:r>
        <w:rPr>
          <w:color w:val="000000" w:themeColor="text1"/>
          <w:sz w:val="24"/>
          <w14:textFill>
            <w14:solidFill>
              <w14:schemeClr w14:val="tx1"/>
            </w14:solidFill>
          </w14:textFill>
        </w:rPr>
        <w:t>饲料经青贮窖贮存，可长期保存其青绿多汁营养特性。</w:t>
      </w:r>
    </w:p>
    <w:p w14:paraId="4EDE722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青贮窖设置要求：青贮窖要选择建在排水好，地下水位低，防止倒塌和地下水渗入的地方，要求用水泥等建筑材料制作，密封性好，防止空气进入。项目青贮饲料主要为新鲜玉米秸秆等，由于青贮饲料含水率较高，要求业主进行一般防渗；青贮窖密闭，青贮过程中产生的臭气不会对周围环境造成影响。</w:t>
      </w:r>
    </w:p>
    <w:p w14:paraId="46CDD234">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因此，本项目青贮窖设置合理。</w:t>
      </w:r>
    </w:p>
    <w:p w14:paraId="610600C9">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饲料库</w:t>
      </w:r>
      <w:r>
        <w:rPr>
          <w:color w:val="000000" w:themeColor="text1"/>
          <w:sz w:val="24"/>
          <w14:textFill>
            <w14:solidFill>
              <w14:schemeClr w14:val="tx1"/>
            </w14:solidFill>
          </w14:textFill>
        </w:rPr>
        <w:t>设置合理性分析</w:t>
      </w:r>
    </w:p>
    <w:p w14:paraId="3E590E70">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本项目将干草、精料暂存于饲料原料库房。项目干草料主要为苜蓿草、</w:t>
      </w:r>
      <w:r>
        <w:rPr>
          <w:rFonts w:hint="eastAsia"/>
          <w:color w:val="000000" w:themeColor="text1"/>
          <w:sz w:val="24"/>
          <w14:textFill>
            <w14:solidFill>
              <w14:schemeClr w14:val="tx1"/>
            </w14:solidFill>
          </w14:textFill>
        </w:rPr>
        <w:t>黑麦</w:t>
      </w:r>
      <w:r>
        <w:rPr>
          <w:color w:val="000000" w:themeColor="text1"/>
          <w:sz w:val="24"/>
          <w14:textFill>
            <w14:solidFill>
              <w14:schemeClr w14:val="tx1"/>
            </w14:solidFill>
          </w14:textFill>
        </w:rPr>
        <w:t>草等，精料主要为玉米</w:t>
      </w:r>
      <w:r>
        <w:rPr>
          <w:rFonts w:hint="eastAsia"/>
          <w:color w:val="000000" w:themeColor="text1"/>
          <w:sz w:val="24"/>
          <w14:textFill>
            <w14:solidFill>
              <w14:schemeClr w14:val="tx1"/>
            </w14:solidFill>
          </w14:textFill>
        </w:rPr>
        <w:t>、豆粕、麦麸、预混料</w:t>
      </w:r>
      <w:r>
        <w:rPr>
          <w:color w:val="000000" w:themeColor="text1"/>
          <w:sz w:val="24"/>
          <w14:textFill>
            <w14:solidFill>
              <w14:schemeClr w14:val="tx1"/>
            </w14:solidFill>
          </w14:textFill>
        </w:rPr>
        <w:t>；项目干草精料含水率低，进行简单防渗。饲料加工过程中产生的粉尘经设备自带布袋除尘器处理后无组织排放，不会对周围环境造成明显影响。</w:t>
      </w:r>
    </w:p>
    <w:p w14:paraId="798BBC58">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综上所述，本项目的</w:t>
      </w:r>
      <w:r>
        <w:rPr>
          <w:rFonts w:hint="eastAsia"/>
          <w:color w:val="000000" w:themeColor="text1"/>
          <w:sz w:val="24"/>
          <w14:textFill>
            <w14:solidFill>
              <w14:schemeClr w14:val="tx1"/>
            </w14:solidFill>
          </w14:textFill>
        </w:rPr>
        <w:t>饲料</w:t>
      </w:r>
      <w:r>
        <w:rPr>
          <w:color w:val="000000" w:themeColor="text1"/>
          <w:sz w:val="24"/>
          <w14:textFill>
            <w14:solidFill>
              <w14:schemeClr w14:val="tx1"/>
            </w14:solidFill>
          </w14:textFill>
        </w:rPr>
        <w:t>库设置合理。</w:t>
      </w:r>
    </w:p>
    <w:p w14:paraId="00C57E20">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3、药品库房设置合理性分析</w:t>
      </w:r>
    </w:p>
    <w:p w14:paraId="3384325F">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本项目设置1处药品库房</w:t>
      </w:r>
      <w:r>
        <w:rPr>
          <w:rFonts w:hint="eastAsia"/>
          <w:color w:val="000000" w:themeColor="text1"/>
          <w:sz w:val="24"/>
          <w14:textFill>
            <w14:solidFill>
              <w14:schemeClr w14:val="tx1"/>
            </w14:solidFill>
          </w14:textFill>
        </w:rPr>
        <w:t>位于治疗室</w:t>
      </w:r>
      <w:r>
        <w:rPr>
          <w:color w:val="000000" w:themeColor="text1"/>
          <w:sz w:val="24"/>
          <w14:textFill>
            <w14:solidFill>
              <w14:schemeClr w14:val="tx1"/>
            </w14:solidFill>
          </w14:textFill>
        </w:rPr>
        <w:t>，主要用于储存疫苗、兽药、除臭剂和消毒剂等。由于本项目所用药品涉及危险化学品，需要对药品库房加强管理；要求业主对药品库房进行重点防渗，防止药品泄露污染周围环境。</w:t>
      </w:r>
    </w:p>
    <w:p w14:paraId="421060F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因此，本项目药品库房设置合理。</w:t>
      </w:r>
    </w:p>
    <w:p w14:paraId="25AC72CF">
      <w:pPr>
        <w:pStyle w:val="4"/>
        <w:spacing w:before="120" w:after="120" w:line="360" w:lineRule="auto"/>
        <w:rPr>
          <w:rFonts w:ascii="Times New Roman" w:hAnsi="Times New Roman" w:eastAsia="宋体"/>
          <w:sz w:val="30"/>
          <w:szCs w:val="30"/>
        </w:rPr>
      </w:pPr>
      <w:bookmarkStart w:id="346" w:name="_Toc233380159"/>
      <w:bookmarkStart w:id="347" w:name="_Hlk51610121"/>
      <w:r>
        <w:rPr>
          <w:rFonts w:ascii="Times New Roman" w:hAnsi="Times New Roman" w:eastAsia="宋体"/>
          <w:sz w:val="30"/>
          <w:szCs w:val="30"/>
        </w:rPr>
        <w:t>3.6公用工程</w:t>
      </w:r>
      <w:bookmarkEnd w:id="346"/>
    </w:p>
    <w:p w14:paraId="63BD30FC">
      <w:pPr>
        <w:pStyle w:val="752"/>
        <w:rPr>
          <w:rFonts w:cs="Times New Roman"/>
          <w:color w:val="000000" w:themeColor="text1"/>
          <w14:textFill>
            <w14:solidFill>
              <w14:schemeClr w14:val="tx1"/>
            </w14:solidFill>
          </w14:textFill>
        </w:rPr>
      </w:pPr>
      <w:bookmarkStart w:id="348" w:name="_Toc233380160"/>
      <w:r>
        <w:rPr>
          <w:rFonts w:cs="Times New Roman"/>
          <w:color w:val="000000" w:themeColor="text1"/>
          <w14:textFill>
            <w14:solidFill>
              <w14:schemeClr w14:val="tx1"/>
            </w14:solidFill>
          </w14:textFill>
        </w:rPr>
        <w:t>3.6.1给排水</w:t>
      </w:r>
      <w:bookmarkEnd w:id="348"/>
    </w:p>
    <w:p w14:paraId="6C0D1FD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（1）给水</w:t>
      </w:r>
    </w:p>
    <w:p w14:paraId="4E8A80D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本项目养殖场就近接入当地市政自来水管网，由市政管网预留管接入点引入场内给水管直接供至本工程，能够满足养殖场内生产及生活持续供水需求。</w:t>
      </w:r>
    </w:p>
    <w:p w14:paraId="327CE7B5">
      <w:pPr>
        <w:spacing w:line="360" w:lineRule="auto"/>
        <w:ind w:firstLine="480" w:firstLineChars="200"/>
        <w:rPr>
          <w:sz w:val="24"/>
        </w:rPr>
      </w:pPr>
      <w:r>
        <w:rPr>
          <w:sz w:val="24"/>
        </w:rPr>
        <w:t>（2）排水</w:t>
      </w:r>
    </w:p>
    <w:p w14:paraId="7CD1E869">
      <w:pPr>
        <w:spacing w:line="360" w:lineRule="auto"/>
        <w:ind w:firstLine="480" w:firstLineChars="200"/>
        <w:rPr>
          <w:sz w:val="24"/>
        </w:rPr>
      </w:pPr>
      <w:r>
        <w:rPr>
          <w:sz w:val="24"/>
        </w:rPr>
        <w:t>项目实施雨污分流。</w:t>
      </w:r>
    </w:p>
    <w:p w14:paraId="1BCE064C">
      <w:pPr>
        <w:spacing w:line="360" w:lineRule="auto"/>
        <w:ind w:firstLine="480" w:firstLineChars="200"/>
        <w:rPr>
          <w:sz w:val="24"/>
        </w:rPr>
      </w:pPr>
      <w:r>
        <w:rPr>
          <w:sz w:val="24"/>
        </w:rPr>
        <w:t>项目场区内各建筑四周及道路两侧均设置雨水排水沟，牛舍及辅助设施的干净雨水经过雨水卷管、雨水落管及雨水排放管排出项目区，厂区地面雨水依靠地势排至场区雨水收集池，对场区雨水径流进行收集沉淀处理后用于厂区绿化。</w:t>
      </w:r>
    </w:p>
    <w:p w14:paraId="49D458B7">
      <w:pPr>
        <w:spacing w:line="360" w:lineRule="auto"/>
        <w:ind w:firstLine="480" w:firstLineChars="200"/>
        <w:rPr>
          <w:sz w:val="24"/>
        </w:rPr>
      </w:pPr>
      <w:r>
        <w:rPr>
          <w:sz w:val="24"/>
        </w:rPr>
        <w:t>项目办公生活区设置卫生间，生活污水经管道收集至化粪池，预处理后用于厂区绿化。</w:t>
      </w:r>
    </w:p>
    <w:p w14:paraId="725C4CC7">
      <w:pPr>
        <w:spacing w:line="360" w:lineRule="auto"/>
        <w:ind w:firstLine="480" w:firstLineChars="200"/>
        <w:rPr>
          <w:sz w:val="24"/>
        </w:rPr>
      </w:pPr>
      <w:r>
        <w:rPr>
          <w:sz w:val="24"/>
        </w:rPr>
        <w:t>项目采用发酵床养牛工艺，无需清洗牛舍，粪尿全部进入发酵床分解，无养殖废水产生。项目青贮窖产生的少量渗滤液，用污水泵抽取，均匀喷洒在青贮窖表层或新入窖的原料上，渗滤液中的有机酸和糖分可作为发酵底物，促进乳酸菌繁殖，提升青贮品质。</w:t>
      </w:r>
    </w:p>
    <w:p w14:paraId="7687DA3A">
      <w:pPr>
        <w:spacing w:line="360" w:lineRule="auto"/>
        <w:ind w:firstLine="480" w:firstLineChars="200"/>
        <w:rPr>
          <w:sz w:val="24"/>
        </w:rPr>
      </w:pPr>
      <w:r>
        <w:rPr>
          <w:sz w:val="24"/>
        </w:rPr>
        <w:t>项目排水实行雨污分流制度。生活区雨水经地面集雨沟收集至场区边界外排放；养殖区各牛舍棚顶雨水通过棚顶设的天沟以及落水管收集、地面雨水经集雨沟收集，一并排入场地南侧外冲沟。</w:t>
      </w:r>
    </w:p>
    <w:p w14:paraId="24FC55D9">
      <w:pPr>
        <w:spacing w:line="360" w:lineRule="auto"/>
        <w:ind w:firstLine="480" w:firstLineChars="200"/>
        <w:rPr>
          <w:sz w:val="24"/>
        </w:rPr>
      </w:pPr>
      <w:r>
        <w:rPr>
          <w:sz w:val="24"/>
        </w:rPr>
        <w:t>牛舍内牛产生的粪便、尿液经2%~3%坡度的硬化地面流入场床或直接排泄在场床（较牛栏区下沉约50cm）吸收发酵后定期清运至异位发酵床</w:t>
      </w:r>
      <w:r>
        <w:rPr>
          <w:rFonts w:hint="eastAsia"/>
          <w:sz w:val="24"/>
        </w:rPr>
        <w:t>吸附</w:t>
      </w:r>
      <w:r>
        <w:rPr>
          <w:sz w:val="24"/>
        </w:rPr>
        <w:t>处理；生活污水经化粪池处理后用作农肥，不外排。</w:t>
      </w:r>
    </w:p>
    <w:p w14:paraId="2B7EF5E7">
      <w:pPr>
        <w:pStyle w:val="752"/>
        <w:spacing w:before="0" w:after="0"/>
        <w:rPr>
          <w:rFonts w:cs="Times New Roman"/>
          <w:color w:val="000000" w:themeColor="text1"/>
          <w14:textFill>
            <w14:solidFill>
              <w14:schemeClr w14:val="tx1"/>
            </w14:solidFill>
          </w14:textFill>
        </w:rPr>
      </w:pPr>
      <w:bookmarkStart w:id="349" w:name="_Toc233380161"/>
      <w:r>
        <w:rPr>
          <w:rFonts w:cs="Times New Roman"/>
          <w:color w:val="000000" w:themeColor="text1"/>
          <w14:textFill>
            <w14:solidFill>
              <w14:schemeClr w14:val="tx1"/>
            </w14:solidFill>
          </w14:textFill>
        </w:rPr>
        <w:t>3.6.2供电</w:t>
      </w:r>
      <w:bookmarkEnd w:id="349"/>
    </w:p>
    <w:p w14:paraId="40AC5FCE">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本项目供电由附近国家电网电力总线引入一路10KV电源供电至配电室，作为供电电源。</w:t>
      </w:r>
    </w:p>
    <w:p w14:paraId="2FE44737">
      <w:pPr>
        <w:pStyle w:val="752"/>
        <w:spacing w:before="0" w:after="0"/>
        <w:rPr>
          <w:rFonts w:cs="Times New Roman"/>
        </w:rPr>
      </w:pPr>
      <w:bookmarkStart w:id="350" w:name="_Toc233380162"/>
      <w:r>
        <w:rPr>
          <w:rFonts w:cs="Times New Roman"/>
        </w:rPr>
        <w:t>3.6.3</w:t>
      </w:r>
      <w:r>
        <w:rPr>
          <w:rFonts w:hint="eastAsia" w:cs="Times New Roman"/>
        </w:rPr>
        <w:t>供暖</w:t>
      </w:r>
      <w:bookmarkEnd w:id="350"/>
    </w:p>
    <w:p w14:paraId="638CD99A">
      <w:pPr>
        <w:spacing w:line="360" w:lineRule="auto"/>
        <w:ind w:firstLine="476" w:firstLineChars="200"/>
        <w:rPr>
          <w:spacing w:val="-1"/>
          <w:sz w:val="24"/>
        </w:rPr>
      </w:pPr>
      <w:r>
        <w:rPr>
          <w:spacing w:val="-1"/>
          <w:sz w:val="24"/>
        </w:rPr>
        <w:t>本项目办公生活区冬季供暖采用电取暖。</w:t>
      </w:r>
      <w:r>
        <w:rPr>
          <w:rFonts w:hint="eastAsia"/>
          <w:spacing w:val="-1"/>
          <w:sz w:val="24"/>
        </w:rPr>
        <w:t>牛舍不单独设置供暖措施。</w:t>
      </w:r>
    </w:p>
    <w:p w14:paraId="2D84D3DF">
      <w:pPr>
        <w:pStyle w:val="752"/>
        <w:spacing w:before="0" w:after="0"/>
        <w:rPr>
          <w:rFonts w:cs="Times New Roman"/>
        </w:rPr>
      </w:pPr>
      <w:bookmarkStart w:id="351" w:name="_Toc233380163"/>
      <w:r>
        <w:rPr>
          <w:rFonts w:cs="Times New Roman"/>
        </w:rPr>
        <w:t>3.6.4保温降温、通风系统</w:t>
      </w:r>
      <w:bookmarkEnd w:id="351"/>
    </w:p>
    <w:p w14:paraId="5BC0CD34">
      <w:pPr>
        <w:spacing w:line="360" w:lineRule="auto"/>
        <w:ind w:firstLine="480" w:firstLineChars="200"/>
      </w:pPr>
      <w:r>
        <w:rPr>
          <w:sz w:val="24"/>
        </w:rPr>
        <w:t>夏季牛舍温度调节主要依靠加强通风来实现</w:t>
      </w:r>
      <w:r>
        <w:rPr>
          <w:rFonts w:hint="eastAsia"/>
          <w:sz w:val="24"/>
        </w:rPr>
        <w:t>，圈舍设置风扇，夏季采用风扇降温</w:t>
      </w:r>
      <w:r>
        <w:rPr>
          <w:sz w:val="24"/>
        </w:rPr>
        <w:t>。牛舍为可控制敞开式，通风良好。巴州区冬季气温多在0℃–10℃，偶有霜冻，牛舍地面铺垫发酵床垫料，可利用垫料发酵产热，提高地面温度。</w:t>
      </w:r>
      <w:r>
        <w:rPr>
          <w:b/>
          <w:sz w:val="24"/>
        </w:rPr>
        <w:t>项目仅购入12月龄的健壮生长牛（架子牛）进行育肥养殖，无犊牛和繁殖母牛</w:t>
      </w:r>
      <w:r>
        <w:rPr>
          <w:sz w:val="24"/>
        </w:rPr>
        <w:t>，通常无需其他保暖保温措施。</w:t>
      </w:r>
    </w:p>
    <w:p w14:paraId="6D04D0F4">
      <w:pPr>
        <w:pStyle w:val="752"/>
        <w:spacing w:before="0" w:after="0"/>
        <w:rPr>
          <w:rFonts w:cs="Times New Roman"/>
        </w:rPr>
      </w:pPr>
      <w:bookmarkStart w:id="352" w:name="_Toc233380164"/>
      <w:r>
        <w:rPr>
          <w:rFonts w:cs="Times New Roman"/>
        </w:rPr>
        <w:t>3.6.5</w:t>
      </w:r>
      <w:r>
        <w:rPr>
          <w:rFonts w:hint="eastAsia" w:cs="Times New Roman"/>
        </w:rPr>
        <w:t>绿化</w:t>
      </w:r>
      <w:bookmarkEnd w:id="352"/>
    </w:p>
    <w:p w14:paraId="5158CBD9">
      <w:pPr>
        <w:spacing w:line="360" w:lineRule="auto"/>
        <w:ind w:firstLine="480" w:firstLineChars="200"/>
        <w:rPr>
          <w:sz w:val="24"/>
        </w:rPr>
      </w:pPr>
      <w:r>
        <w:rPr>
          <w:rFonts w:hint="eastAsia"/>
          <w:sz w:val="24"/>
        </w:rPr>
        <w:t>1）原则要求</w:t>
      </w:r>
    </w:p>
    <w:p w14:paraId="56912AB5">
      <w:pPr>
        <w:spacing w:line="360" w:lineRule="auto"/>
        <w:ind w:firstLine="480" w:firstLineChars="200"/>
        <w:rPr>
          <w:sz w:val="24"/>
        </w:rPr>
      </w:pPr>
      <w:r>
        <w:rPr>
          <w:rFonts w:hint="eastAsia"/>
          <w:sz w:val="24"/>
        </w:rPr>
        <w:t>（1）在规划设计前要对牛场的自然条件、生产性质、规模、污染状况等进行充分的调查。要从保护环境的观点出发，合理规划。合理地设置牛场饲养牛的类型、头数，从而优化牛场本身的生态条件。</w:t>
      </w:r>
    </w:p>
    <w:p w14:paraId="42FEBB2B">
      <w:pPr>
        <w:spacing w:line="360" w:lineRule="auto"/>
        <w:ind w:firstLine="480" w:firstLineChars="200"/>
        <w:rPr>
          <w:sz w:val="24"/>
        </w:rPr>
      </w:pPr>
      <w:r>
        <w:rPr>
          <w:rFonts w:hint="eastAsia"/>
          <w:sz w:val="24"/>
        </w:rPr>
        <w:t>（2）牛场的绿化规划是总体规划的有机组成部分，要在牛场建设总规划的同时进行绿化规划。首先尽可能利用红线内原始生态，减少人工种植；要本着统一安排、统一布局的原则进行，规划时既要有长远考虑，又要有近期安排，要与全场的建设协调一致。</w:t>
      </w:r>
    </w:p>
    <w:p w14:paraId="11B322C5">
      <w:pPr>
        <w:spacing w:line="360" w:lineRule="auto"/>
        <w:ind w:firstLine="480" w:firstLineChars="200"/>
        <w:rPr>
          <w:sz w:val="24"/>
        </w:rPr>
      </w:pPr>
      <w:r>
        <w:rPr>
          <w:rFonts w:hint="eastAsia"/>
          <w:sz w:val="24"/>
        </w:rPr>
        <w:t>（3）绿化规划设计布局要合理，以保证安全生产。绿化时不能影响地下、地上管线和牛舍的采光。</w:t>
      </w:r>
    </w:p>
    <w:p w14:paraId="2049AD6B">
      <w:pPr>
        <w:spacing w:line="360" w:lineRule="auto"/>
        <w:ind w:firstLine="480" w:firstLineChars="200"/>
        <w:rPr>
          <w:sz w:val="24"/>
        </w:rPr>
      </w:pPr>
      <w:r>
        <w:rPr>
          <w:rFonts w:hint="eastAsia"/>
          <w:sz w:val="24"/>
        </w:rPr>
        <w:t>（4）在进行绿化苗木选择时要考虑各功能区特点、地形、土质特点、环境污染等情况。为了达到良好的绿化美化效果，树种的选择，除考虑其满足绿化设计功能、易生长、抗病害等因素外，还要考虑其具有较强的抗污染和净化空气的功能。在满足各项功能要求的前提下，还可适当结合牛场生产，种植一些经济植物，以充分合理地利用土地，提高整场的经济效益。</w:t>
      </w:r>
    </w:p>
    <w:p w14:paraId="458EB125">
      <w:pPr>
        <w:spacing w:line="360" w:lineRule="auto"/>
        <w:ind w:firstLine="480" w:firstLineChars="200"/>
        <w:rPr>
          <w:sz w:val="24"/>
        </w:rPr>
      </w:pPr>
      <w:r>
        <w:rPr>
          <w:rFonts w:hint="eastAsia"/>
          <w:sz w:val="24"/>
        </w:rPr>
        <w:t>2）绿化措施</w:t>
      </w:r>
    </w:p>
    <w:p w14:paraId="36844270">
      <w:pPr>
        <w:spacing w:line="360" w:lineRule="auto"/>
        <w:ind w:firstLine="480" w:firstLineChars="200"/>
        <w:rPr>
          <w:sz w:val="24"/>
        </w:rPr>
      </w:pPr>
      <w:r>
        <w:rPr>
          <w:rFonts w:hint="eastAsia"/>
          <w:sz w:val="24"/>
        </w:rPr>
        <w:t>（1）场区林带的规划：在场界周边种植乔木、灌木混合林带或规划种植水果类植物带。乔木类的有大叶杨、钻天杨、白杨、常绿针叶树等。</w:t>
      </w:r>
    </w:p>
    <w:p w14:paraId="1D05FA0F">
      <w:pPr>
        <w:spacing w:line="360" w:lineRule="auto"/>
        <w:ind w:firstLine="480" w:firstLineChars="200"/>
        <w:rPr>
          <w:sz w:val="24"/>
        </w:rPr>
      </w:pPr>
      <w:r>
        <w:rPr>
          <w:rFonts w:hint="eastAsia"/>
          <w:sz w:val="24"/>
        </w:rPr>
        <w:t>（2）场区隔离带的设计：场内各区，如生产区、生活管理区的四周，都应设置隔离林带，采用绿篱植物小叶杨树、松树、竹林等，或以栽种刺笆为主。</w:t>
      </w:r>
    </w:p>
    <w:p w14:paraId="0E2EB907">
      <w:pPr>
        <w:spacing w:line="360" w:lineRule="auto"/>
        <w:ind w:firstLine="480" w:firstLineChars="200"/>
        <w:rPr>
          <w:sz w:val="24"/>
        </w:rPr>
      </w:pPr>
      <w:r>
        <w:rPr>
          <w:rFonts w:hint="eastAsia"/>
          <w:sz w:val="24"/>
        </w:rPr>
        <w:t>（3）场区道路绿化：宜采用乔木为主，乔、灌木搭配种植。如选种塔柏、冬青、侧柏等四季常青树种，并配置小叶女贞组成绿化带。</w:t>
      </w:r>
    </w:p>
    <w:p w14:paraId="317CFA31">
      <w:pPr>
        <w:spacing w:line="360" w:lineRule="auto"/>
        <w:ind w:firstLine="480" w:firstLineChars="200"/>
        <w:rPr>
          <w:sz w:val="24"/>
        </w:rPr>
      </w:pPr>
      <w:r>
        <w:rPr>
          <w:rFonts w:hint="eastAsia"/>
          <w:sz w:val="24"/>
        </w:rPr>
        <w:t>（4）对于生产区内的牛舍，不宜在其四周密植成片的树林，而应多种植低矮的花卉或草坪，以利于通风，便于有害气体扩散。</w:t>
      </w:r>
    </w:p>
    <w:p w14:paraId="2296E991">
      <w:pPr>
        <w:spacing w:line="360" w:lineRule="auto"/>
        <w:ind w:firstLine="480" w:firstLineChars="200"/>
        <w:rPr>
          <w:sz w:val="24"/>
        </w:rPr>
      </w:pPr>
      <w:r>
        <w:rPr>
          <w:rFonts w:hint="eastAsia"/>
          <w:sz w:val="24"/>
        </w:rPr>
        <w:t>（5）生活管理区：该区是与外界社会接触和员工生活休息的主要区域。该区的环境绿化可以适当进行园林式的规划，提升企业的形象和优美员工的生活环境。为了丰富色彩，宜种植容易繁殖、栽培和管理的花卉灌木为主。</w:t>
      </w:r>
    </w:p>
    <w:p w14:paraId="0FE640D2">
      <w:pPr>
        <w:spacing w:line="360" w:lineRule="auto"/>
        <w:ind w:firstLine="480" w:firstLineChars="200"/>
        <w:rPr>
          <w:sz w:val="24"/>
        </w:rPr>
      </w:pPr>
      <w:r>
        <w:rPr>
          <w:rFonts w:hint="eastAsia"/>
          <w:color w:val="000000" w:themeColor="text1"/>
          <w:sz w:val="24"/>
          <w14:textFill>
            <w14:solidFill>
              <w14:schemeClr w14:val="tx1"/>
            </w14:solidFill>
          </w14:textFill>
        </w:rPr>
        <w:t>项目场区绿化带沿场区线</w:t>
      </w:r>
      <w:r>
        <w:rPr>
          <w:rFonts w:hint="eastAsia"/>
          <w:sz w:val="24"/>
        </w:rPr>
        <w:t>形道路布置，边界种植高大的乔木以分隔生产区和周边环境，场内空闲区域种植花草以美化环境，形成一个良好的工作环境。</w:t>
      </w:r>
    </w:p>
    <w:p w14:paraId="59947FC1">
      <w:pPr>
        <w:pStyle w:val="752"/>
        <w:spacing w:before="0" w:after="0"/>
        <w:rPr>
          <w:rFonts w:cs="Times New Roman"/>
        </w:rPr>
      </w:pPr>
      <w:bookmarkStart w:id="353" w:name="_Toc233380165"/>
      <w:r>
        <w:rPr>
          <w:rFonts w:cs="Times New Roman"/>
        </w:rPr>
        <w:t>3.6.5运输系统</w:t>
      </w:r>
      <w:bookmarkEnd w:id="353"/>
    </w:p>
    <w:p w14:paraId="30F603ED">
      <w:pPr>
        <w:spacing w:line="360" w:lineRule="auto"/>
        <w:ind w:firstLine="480" w:firstLineChars="200"/>
        <w:rPr>
          <w:sz w:val="24"/>
        </w:rPr>
      </w:pPr>
      <w:r>
        <w:rPr>
          <w:sz w:val="24"/>
        </w:rPr>
        <w:t>1、饲料运输系统</w:t>
      </w:r>
    </w:p>
    <w:p w14:paraId="69017BC1">
      <w:pPr>
        <w:spacing w:line="360" w:lineRule="auto"/>
        <w:ind w:firstLine="480" w:firstLineChars="200"/>
        <w:rPr>
          <w:sz w:val="24"/>
        </w:rPr>
      </w:pPr>
      <w:r>
        <w:rPr>
          <w:sz w:val="24"/>
        </w:rPr>
        <w:t>项目所需饲料主要包括成品精料和秸秆垫料、青贮料等，通过汽车送至项目区，通过饲料搅拌机混合后，由自动供料系统输送至牛舍。</w:t>
      </w:r>
    </w:p>
    <w:p w14:paraId="78F58116">
      <w:pPr>
        <w:spacing w:line="360" w:lineRule="auto"/>
        <w:ind w:firstLine="480" w:firstLineChars="200"/>
        <w:rPr>
          <w:sz w:val="24"/>
        </w:rPr>
      </w:pPr>
      <w:r>
        <w:rPr>
          <w:sz w:val="24"/>
        </w:rPr>
        <w:t>2、粪便运输系统</w:t>
      </w:r>
    </w:p>
    <w:p w14:paraId="7D66315C">
      <w:pPr>
        <w:spacing w:line="360" w:lineRule="auto"/>
        <w:ind w:firstLine="480" w:firstLineChars="200"/>
        <w:rPr>
          <w:sz w:val="24"/>
        </w:rPr>
      </w:pPr>
      <w:r>
        <w:rPr>
          <w:sz w:val="24"/>
        </w:rPr>
        <w:t>本项目采用发酵床养牛工艺，无需清洗牛舍，粪尿全部进入发酵床分解，无养殖废水产生。发酵垫床使用牛粪和秸秆锯末作为垫料，并添加专用发酵菌种，牛活动时通过踩踏自然搅拌，牛粪尿原位发酵，通过刮粪车将更换的发酵垫料送入运输车内，废弃垫料外运至有机肥厂无害化处理后生产有机肥，实现粪污资源化利用。</w:t>
      </w:r>
    </w:p>
    <w:p w14:paraId="548086BD">
      <w:pPr>
        <w:spacing w:line="360" w:lineRule="auto"/>
        <w:ind w:firstLine="480" w:firstLineChars="200"/>
        <w:rPr>
          <w:sz w:val="24"/>
        </w:rPr>
      </w:pPr>
      <w:r>
        <w:rPr>
          <w:sz w:val="24"/>
        </w:rPr>
        <w:t>3、厂区道路运输系统</w:t>
      </w:r>
    </w:p>
    <w:p w14:paraId="61BDE54A">
      <w:pPr>
        <w:spacing w:line="360" w:lineRule="auto"/>
        <w:ind w:firstLine="480" w:firstLineChars="200"/>
        <w:rPr>
          <w:sz w:val="24"/>
        </w:rPr>
      </w:pPr>
      <w:r>
        <w:rPr>
          <w:sz w:val="24"/>
        </w:rPr>
        <w:t>项目进厂的各种原辅材料和出厂的肉牛等全部采用公路运输的方式，厂区内修有水泥硬化道路，交通便利。</w:t>
      </w:r>
    </w:p>
    <w:p w14:paraId="4D121F8C">
      <w:pPr>
        <w:spacing w:line="360" w:lineRule="auto"/>
        <w:ind w:firstLine="480" w:firstLineChars="200"/>
        <w:rPr>
          <w:sz w:val="24"/>
        </w:rPr>
      </w:pPr>
      <w:r>
        <w:rPr>
          <w:sz w:val="24"/>
        </w:rPr>
        <w:t>各养殖场均设置2个出入口，厂区内部走向在设计时将人流、物流分开，防止交叉污染，并严格限制进厂的车辆。根据项目总体规划，综合考虑到养殖场各功能区的特点、规模、内外部交通运输性质和道路服务功能，货物流向交通量，人流量等，修建场区道路构成养殖场完整的道路网络。</w:t>
      </w:r>
    </w:p>
    <w:p w14:paraId="4B512BA1">
      <w:pPr>
        <w:pStyle w:val="752"/>
        <w:rPr>
          <w:rFonts w:cs="Times New Roman"/>
        </w:rPr>
      </w:pPr>
      <w:bookmarkStart w:id="354" w:name="_Toc233380166"/>
      <w:r>
        <w:rPr>
          <w:rFonts w:cs="Times New Roman"/>
        </w:rPr>
        <w:t>3.6.6消毒系统</w:t>
      </w:r>
      <w:bookmarkEnd w:id="354"/>
    </w:p>
    <w:p w14:paraId="04039D4D">
      <w:pPr>
        <w:spacing w:line="360" w:lineRule="auto"/>
        <w:ind w:firstLine="480" w:firstLineChars="200"/>
        <w:rPr>
          <w:sz w:val="24"/>
        </w:rPr>
      </w:pPr>
      <w:r>
        <w:rPr>
          <w:sz w:val="24"/>
        </w:rPr>
        <w:t>主要针对人员、车辆、圈舍，遵循“预防为主、分区施策、定期消杀、应急强化”原则，不同场景的消毒方式和操作要点如下表。</w:t>
      </w:r>
    </w:p>
    <w:p w14:paraId="19B65656">
      <w:pPr>
        <w:pStyle w:val="1771"/>
        <w:spacing w:line="360" w:lineRule="auto"/>
        <w:rPr>
          <w:rFonts w:ascii="黑体" w:hAnsi="黑体" w:eastAsia="黑体"/>
          <w:b w:val="0"/>
          <w:snapToGrid w:val="0"/>
          <w:szCs w:val="21"/>
          <w:lang w:val="en-US"/>
        </w:rPr>
      </w:pPr>
      <w:r>
        <w:rPr>
          <w:rFonts w:ascii="黑体" w:hAnsi="黑体" w:eastAsia="黑体"/>
          <w:b w:val="0"/>
          <w:snapToGrid w:val="0"/>
          <w:szCs w:val="21"/>
        </w:rPr>
        <w:t>表</w:t>
      </w:r>
      <w:r>
        <w:rPr>
          <w:rFonts w:ascii="黑体" w:hAnsi="黑体" w:eastAsia="黑体"/>
          <w:b w:val="0"/>
          <w:snapToGrid w:val="0"/>
          <w:szCs w:val="21"/>
          <w:lang w:val="en-US"/>
        </w:rPr>
        <w:t>3.6-1</w:t>
      </w:r>
      <w:r>
        <w:rPr>
          <w:rFonts w:ascii="黑体" w:hAnsi="黑体" w:eastAsia="黑体"/>
          <w:b w:val="0"/>
          <w:bCs/>
          <w:snapToGrid w:val="0"/>
          <w:szCs w:val="21"/>
          <w:lang w:val="en-US"/>
        </w:rPr>
        <w:t>项目消毒方式</w:t>
      </w:r>
    </w:p>
    <w:p w14:paraId="031AE009">
      <w:pPr>
        <w:spacing w:line="130" w:lineRule="auto"/>
        <w:rPr>
          <w:sz w:val="2"/>
          <w:highlight w:val="yellow"/>
        </w:rPr>
      </w:pPr>
    </w:p>
    <w:tbl>
      <w:tblPr>
        <w:tblStyle w:val="1745"/>
        <w:tblW w:w="8430" w:type="dxa"/>
        <w:jc w:val="center"/>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908"/>
        <w:gridCol w:w="1360"/>
        <w:gridCol w:w="4395"/>
        <w:gridCol w:w="1767"/>
      </w:tblGrid>
      <w:tr w14:paraId="31423666">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08" w:type="dxa"/>
            <w:tcBorders>
              <w:tl2br w:val="nil"/>
              <w:tr2bl w:val="nil"/>
            </w:tcBorders>
            <w:vAlign w:val="center"/>
          </w:tcPr>
          <w:p w14:paraId="391174FD">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消毒场景</w:t>
            </w:r>
          </w:p>
        </w:tc>
        <w:tc>
          <w:tcPr>
            <w:tcW w:w="1360" w:type="dxa"/>
            <w:tcBorders>
              <w:tl2br w:val="nil"/>
              <w:tr2bl w:val="nil"/>
            </w:tcBorders>
            <w:vAlign w:val="center"/>
          </w:tcPr>
          <w:p w14:paraId="6DC1DED5">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消毒方式</w:t>
            </w:r>
          </w:p>
        </w:tc>
        <w:tc>
          <w:tcPr>
            <w:tcW w:w="4395" w:type="dxa"/>
            <w:tcBorders>
              <w:tl2br w:val="nil"/>
              <w:tr2bl w:val="nil"/>
            </w:tcBorders>
            <w:vAlign w:val="center"/>
          </w:tcPr>
          <w:p w14:paraId="418E88D1">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操作要点</w:t>
            </w:r>
          </w:p>
        </w:tc>
        <w:tc>
          <w:tcPr>
            <w:tcW w:w="1767" w:type="dxa"/>
            <w:tcBorders>
              <w:tl2br w:val="nil"/>
              <w:tr2bl w:val="nil"/>
            </w:tcBorders>
            <w:vAlign w:val="center"/>
          </w:tcPr>
          <w:p w14:paraId="14238216">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消毒剂选择</w:t>
            </w:r>
          </w:p>
        </w:tc>
      </w:tr>
      <w:tr w14:paraId="47F06B09">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08" w:type="dxa"/>
            <w:tcBorders>
              <w:tl2br w:val="nil"/>
              <w:tr2bl w:val="nil"/>
            </w:tcBorders>
            <w:vAlign w:val="center"/>
          </w:tcPr>
          <w:p w14:paraId="542DA791">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场区入口人员消毒间</w:t>
            </w:r>
          </w:p>
        </w:tc>
        <w:tc>
          <w:tcPr>
            <w:tcW w:w="1360" w:type="dxa"/>
            <w:tcBorders>
              <w:tl2br w:val="nil"/>
              <w:tr2bl w:val="nil"/>
            </w:tcBorders>
            <w:vAlign w:val="center"/>
          </w:tcPr>
          <w:p w14:paraId="76824E93">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更衣+淋浴+风淋+手部消毒</w:t>
            </w:r>
          </w:p>
        </w:tc>
        <w:tc>
          <w:tcPr>
            <w:tcW w:w="4395" w:type="dxa"/>
            <w:tcBorders>
              <w:tl2br w:val="nil"/>
              <w:tr2bl w:val="nil"/>
            </w:tcBorders>
            <w:vAlign w:val="center"/>
          </w:tcPr>
          <w:p w14:paraId="000D42A2">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1.入场人员需更换场区专用防护服、胶鞋，经淋浴去除体表污染物；</w:t>
            </w:r>
          </w:p>
          <w:p w14:paraId="17C2039E">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2.风淋室吹风1–2分钟，吹落衣物浮尘；</w:t>
            </w:r>
          </w:p>
          <w:p w14:paraId="091171CF">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3.手部用免洗消毒凝胶揉搓30秒。</w:t>
            </w:r>
          </w:p>
        </w:tc>
        <w:tc>
          <w:tcPr>
            <w:tcW w:w="1767" w:type="dxa"/>
            <w:tcBorders>
              <w:tl2br w:val="nil"/>
              <w:tr2bl w:val="nil"/>
            </w:tcBorders>
            <w:vAlign w:val="center"/>
          </w:tcPr>
          <w:p w14:paraId="7D47D62D">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免洗消毒凝胶（含75%酒精）、0.5%~10%聚维酮碘稀释液</w:t>
            </w:r>
          </w:p>
        </w:tc>
      </w:tr>
      <w:tr w14:paraId="006E1379">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08" w:type="dxa"/>
            <w:tcBorders>
              <w:tl2br w:val="nil"/>
              <w:tr2bl w:val="nil"/>
            </w:tcBorders>
            <w:vAlign w:val="center"/>
          </w:tcPr>
          <w:p w14:paraId="6D471541">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养殖区入口缓冲间</w:t>
            </w:r>
          </w:p>
        </w:tc>
        <w:tc>
          <w:tcPr>
            <w:tcW w:w="1360" w:type="dxa"/>
            <w:tcBorders>
              <w:tl2br w:val="nil"/>
              <w:tr2bl w:val="nil"/>
            </w:tcBorders>
            <w:vAlign w:val="center"/>
          </w:tcPr>
          <w:p w14:paraId="5B074869">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鞋底消毒+手部消毒及雾化消毒+紫外线灯</w:t>
            </w:r>
          </w:p>
        </w:tc>
        <w:tc>
          <w:tcPr>
            <w:tcW w:w="4395" w:type="dxa"/>
            <w:tcBorders>
              <w:tl2br w:val="nil"/>
              <w:tr2bl w:val="nil"/>
            </w:tcBorders>
            <w:vAlign w:val="center"/>
          </w:tcPr>
          <w:p w14:paraId="4171D044">
            <w:pPr>
              <w:widowControl/>
              <w:numPr>
                <w:ilvl w:val="0"/>
                <w:numId w:val="25"/>
              </w:numPr>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设置消毒池，池内放浸湿消毒剂的防滑垫；</w:t>
            </w:r>
          </w:p>
          <w:p w14:paraId="464F9EAA">
            <w:pPr>
              <w:widowControl/>
              <w:numPr>
                <w:ilvl w:val="0"/>
                <w:numId w:val="25"/>
              </w:numPr>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人员踩踏消毒池10–15秒，再对手部消毒后进入；</w:t>
            </w:r>
          </w:p>
          <w:p w14:paraId="7786B10D">
            <w:pPr>
              <w:widowControl/>
              <w:numPr>
                <w:ilvl w:val="0"/>
                <w:numId w:val="25"/>
              </w:numPr>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紫外线灯消毒时人员必须离开消毒间。</w:t>
            </w:r>
          </w:p>
        </w:tc>
        <w:tc>
          <w:tcPr>
            <w:tcW w:w="1767" w:type="dxa"/>
            <w:tcBorders>
              <w:tl2br w:val="nil"/>
              <w:tr2bl w:val="nil"/>
            </w:tcBorders>
            <w:vAlign w:val="center"/>
          </w:tcPr>
          <w:p w14:paraId="05434300">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消毒池用2%氢氧化钠溶液；手部用免洗凝胶、雾化消毒需选择对人低刺激的消毒剂</w:t>
            </w:r>
          </w:p>
        </w:tc>
      </w:tr>
      <w:tr w14:paraId="0656B93B">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08" w:type="dxa"/>
            <w:tcBorders>
              <w:tl2br w:val="nil"/>
              <w:tr2bl w:val="nil"/>
            </w:tcBorders>
            <w:vAlign w:val="center"/>
          </w:tcPr>
          <w:p w14:paraId="19EDAC7A">
            <w:pPr>
              <w:widowControl/>
              <w:autoSpaceDE/>
              <w:autoSpaceDN/>
              <w:jc w:val="center"/>
              <w:rPr>
                <w:rFonts w:ascii="Times New Roman" w:hAnsi="Times New Roman" w:eastAsia="宋体"/>
                <w:sz w:val="18"/>
                <w:szCs w:val="18"/>
                <w:lang w:eastAsia="en-US"/>
              </w:rPr>
            </w:pPr>
            <w:r>
              <w:rPr>
                <w:rFonts w:hint="eastAsia" w:ascii="Times New Roman" w:hAnsi="Times New Roman" w:eastAsia="宋体"/>
                <w:sz w:val="18"/>
                <w:szCs w:val="18"/>
                <w:lang w:eastAsia="zh-CN"/>
              </w:rPr>
              <w:t>治疗</w:t>
            </w:r>
            <w:r>
              <w:rPr>
                <w:rFonts w:ascii="Times New Roman" w:hAnsi="Times New Roman" w:eastAsia="宋体"/>
                <w:sz w:val="18"/>
                <w:szCs w:val="18"/>
                <w:lang w:eastAsia="en-US"/>
              </w:rPr>
              <w:t>室</w:t>
            </w:r>
          </w:p>
        </w:tc>
        <w:tc>
          <w:tcPr>
            <w:tcW w:w="1360" w:type="dxa"/>
            <w:tcBorders>
              <w:tl2br w:val="nil"/>
              <w:tr2bl w:val="nil"/>
            </w:tcBorders>
            <w:vAlign w:val="center"/>
          </w:tcPr>
          <w:p w14:paraId="4DFE7B8B">
            <w:pPr>
              <w:widowControl/>
              <w:autoSpaceDE/>
              <w:autoSpaceDN/>
              <w:jc w:val="left"/>
              <w:rPr>
                <w:rFonts w:ascii="Times New Roman" w:hAnsi="Times New Roman" w:eastAsia="宋体"/>
                <w:sz w:val="18"/>
                <w:szCs w:val="18"/>
                <w:lang w:eastAsia="en-US"/>
              </w:rPr>
            </w:pPr>
            <w:r>
              <w:rPr>
                <w:rFonts w:ascii="Times New Roman" w:hAnsi="Times New Roman" w:eastAsia="宋体"/>
                <w:sz w:val="18"/>
                <w:szCs w:val="18"/>
                <w:lang w:eastAsia="en-US"/>
              </w:rPr>
              <w:t>台面+器械+手部消毒</w:t>
            </w:r>
          </w:p>
        </w:tc>
        <w:tc>
          <w:tcPr>
            <w:tcW w:w="4395" w:type="dxa"/>
            <w:tcBorders>
              <w:tl2br w:val="nil"/>
              <w:tr2bl w:val="nil"/>
            </w:tcBorders>
            <w:vAlign w:val="center"/>
          </w:tcPr>
          <w:p w14:paraId="36D663D1">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1.诊疗台面每日用消毒剂擦拭2次；</w:t>
            </w:r>
          </w:p>
          <w:p w14:paraId="59C022B0">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2.器械经高压蒸汽灭菌后，再用消毒液浸泡30分钟；</w:t>
            </w:r>
          </w:p>
          <w:p w14:paraId="3AFFAB01">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3.操作前后必须对手部消毒。</w:t>
            </w:r>
          </w:p>
        </w:tc>
        <w:tc>
          <w:tcPr>
            <w:tcW w:w="1767" w:type="dxa"/>
            <w:tcBorders>
              <w:tl2br w:val="nil"/>
              <w:tr2bl w:val="nil"/>
            </w:tcBorders>
            <w:vAlign w:val="center"/>
          </w:tcPr>
          <w:p w14:paraId="7D5022DF">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台面：1：50稀释84消毒剂；器械：0.1%过氧乙酸溶液</w:t>
            </w:r>
          </w:p>
        </w:tc>
      </w:tr>
      <w:tr w14:paraId="6F8A24E2">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08" w:type="dxa"/>
            <w:tcBorders>
              <w:tl2br w:val="nil"/>
              <w:tr2bl w:val="nil"/>
            </w:tcBorders>
            <w:vAlign w:val="center"/>
          </w:tcPr>
          <w:p w14:paraId="480CB56B">
            <w:pPr>
              <w:widowControl/>
              <w:autoSpaceDE/>
              <w:autoSpaceDN/>
              <w:jc w:val="center"/>
              <w:rPr>
                <w:rFonts w:ascii="Times New Roman" w:hAnsi="Times New Roman" w:eastAsia="宋体"/>
                <w:sz w:val="18"/>
                <w:szCs w:val="18"/>
                <w:lang w:eastAsia="zh-CN"/>
              </w:rPr>
            </w:pPr>
            <w:r>
              <w:rPr>
                <w:rFonts w:ascii="Times New Roman" w:hAnsi="Times New Roman" w:eastAsia="宋体"/>
                <w:sz w:val="18"/>
                <w:szCs w:val="18"/>
                <w:lang w:eastAsia="zh-CN"/>
              </w:rPr>
              <w:t>清洁出入口车辆消毒通道</w:t>
            </w:r>
          </w:p>
        </w:tc>
        <w:tc>
          <w:tcPr>
            <w:tcW w:w="1360" w:type="dxa"/>
            <w:tcBorders>
              <w:tl2br w:val="nil"/>
              <w:tr2bl w:val="nil"/>
            </w:tcBorders>
            <w:vAlign w:val="center"/>
          </w:tcPr>
          <w:p w14:paraId="2A98B16C">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全自动喷雾消毒+轮胎消毒池</w:t>
            </w:r>
          </w:p>
        </w:tc>
        <w:tc>
          <w:tcPr>
            <w:tcW w:w="4395" w:type="dxa"/>
            <w:tcBorders>
              <w:tl2br w:val="nil"/>
              <w:tr2bl w:val="nil"/>
            </w:tcBorders>
            <w:vAlign w:val="center"/>
          </w:tcPr>
          <w:p w14:paraId="3EDB571F">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1.车辆进入通道后，低速行驶（≤5km/h），喷雾消毒时间≥10分钟，确保车身、底盘、轮胎全覆盖；</w:t>
            </w:r>
          </w:p>
          <w:p w14:paraId="7FAA26C3">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2.消毒池长度≥车辆轮距的3倍，消毒剂定期更换。</w:t>
            </w:r>
          </w:p>
        </w:tc>
        <w:tc>
          <w:tcPr>
            <w:tcW w:w="1767" w:type="dxa"/>
            <w:tcBorders>
              <w:tl2br w:val="nil"/>
              <w:tr2bl w:val="nil"/>
            </w:tcBorders>
            <w:vAlign w:val="center"/>
          </w:tcPr>
          <w:p w14:paraId="3D9DF343">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喷雾用0.3%过氧乙酸溶液；消毒池用2%氢氧化钠溶液</w:t>
            </w:r>
          </w:p>
        </w:tc>
      </w:tr>
      <w:tr w14:paraId="0840B275">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08" w:type="dxa"/>
            <w:tcBorders>
              <w:tl2br w:val="nil"/>
              <w:tr2bl w:val="nil"/>
            </w:tcBorders>
            <w:vAlign w:val="center"/>
          </w:tcPr>
          <w:p w14:paraId="21B5E040">
            <w:pPr>
              <w:widowControl/>
              <w:autoSpaceDE/>
              <w:autoSpaceDN/>
              <w:jc w:val="center"/>
              <w:rPr>
                <w:rFonts w:ascii="Times New Roman" w:hAnsi="Times New Roman" w:eastAsia="宋体"/>
                <w:sz w:val="18"/>
                <w:szCs w:val="18"/>
                <w:lang w:eastAsia="zh-CN"/>
              </w:rPr>
            </w:pPr>
            <w:r>
              <w:rPr>
                <w:rFonts w:ascii="Times New Roman" w:hAnsi="Times New Roman" w:eastAsia="宋体"/>
                <w:sz w:val="18"/>
                <w:szCs w:val="18"/>
                <w:lang w:eastAsia="zh-CN"/>
              </w:rPr>
              <w:t>污染出入口车辆冲洗消毒台</w:t>
            </w:r>
          </w:p>
        </w:tc>
        <w:tc>
          <w:tcPr>
            <w:tcW w:w="1360" w:type="dxa"/>
            <w:tcBorders>
              <w:tl2br w:val="nil"/>
              <w:tr2bl w:val="nil"/>
            </w:tcBorders>
            <w:vAlign w:val="center"/>
          </w:tcPr>
          <w:p w14:paraId="5968AB53">
            <w:pPr>
              <w:widowControl/>
              <w:autoSpaceDE/>
              <w:autoSpaceDN/>
              <w:jc w:val="left"/>
              <w:rPr>
                <w:rFonts w:ascii="Times New Roman" w:hAnsi="Times New Roman" w:eastAsia="宋体"/>
                <w:sz w:val="18"/>
                <w:szCs w:val="18"/>
                <w:lang w:eastAsia="en-US"/>
              </w:rPr>
            </w:pPr>
            <w:r>
              <w:rPr>
                <w:rFonts w:ascii="Times New Roman" w:hAnsi="Times New Roman" w:eastAsia="宋体"/>
                <w:sz w:val="18"/>
                <w:szCs w:val="18"/>
                <w:lang w:eastAsia="en-US"/>
              </w:rPr>
              <w:t>高压冲洗+喷雾消毒</w:t>
            </w:r>
          </w:p>
        </w:tc>
        <w:tc>
          <w:tcPr>
            <w:tcW w:w="4395" w:type="dxa"/>
            <w:tcBorders>
              <w:tl2br w:val="nil"/>
              <w:tr2bl w:val="nil"/>
            </w:tcBorders>
            <w:vAlign w:val="center"/>
          </w:tcPr>
          <w:p w14:paraId="1F817236">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1.车辆出场前，用高压水枪冲洗车身残留粪污、垫料；</w:t>
            </w:r>
          </w:p>
          <w:p w14:paraId="44073A0A">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2.再用消毒剂喷雾消毒车身、轮胎，晾干后离场；</w:t>
            </w:r>
          </w:p>
          <w:p w14:paraId="644A62DA">
            <w:pPr>
              <w:widowControl/>
              <w:autoSpaceDE/>
              <w:autoSpaceDN/>
              <w:jc w:val="left"/>
              <w:rPr>
                <w:rFonts w:ascii="Times New Roman" w:hAnsi="Times New Roman" w:eastAsia="宋体"/>
                <w:sz w:val="18"/>
                <w:szCs w:val="18"/>
                <w:lang w:eastAsia="en-US"/>
              </w:rPr>
            </w:pPr>
            <w:r>
              <w:rPr>
                <w:rFonts w:ascii="Times New Roman" w:hAnsi="Times New Roman" w:eastAsia="宋体"/>
                <w:sz w:val="18"/>
                <w:szCs w:val="18"/>
                <w:lang w:eastAsia="en-US"/>
              </w:rPr>
              <w:t>3.驾驶员全程不下车</w:t>
            </w:r>
            <w:r>
              <w:rPr>
                <w:rFonts w:ascii="Times New Roman" w:hAnsi="Times New Roman" w:eastAsia="宋体"/>
                <w:sz w:val="18"/>
                <w:szCs w:val="18"/>
                <w:lang w:eastAsia="zh-CN"/>
              </w:rPr>
              <w:t>。</w:t>
            </w:r>
          </w:p>
        </w:tc>
        <w:tc>
          <w:tcPr>
            <w:tcW w:w="1767" w:type="dxa"/>
            <w:tcBorders>
              <w:tl2br w:val="nil"/>
              <w:tr2bl w:val="nil"/>
            </w:tcBorders>
            <w:vAlign w:val="center"/>
          </w:tcPr>
          <w:p w14:paraId="14BF4181">
            <w:pPr>
              <w:widowControl/>
              <w:autoSpaceDE/>
              <w:autoSpaceDN/>
              <w:jc w:val="both"/>
              <w:rPr>
                <w:rFonts w:ascii="Times New Roman" w:hAnsi="Times New Roman" w:eastAsia="宋体"/>
                <w:sz w:val="18"/>
                <w:szCs w:val="18"/>
                <w:lang w:eastAsia="zh-CN"/>
              </w:rPr>
            </w:pPr>
            <w:r>
              <w:rPr>
                <w:rFonts w:ascii="Times New Roman" w:hAnsi="Times New Roman" w:eastAsia="宋体"/>
                <w:sz w:val="18"/>
                <w:szCs w:val="18"/>
                <w:lang w:eastAsia="zh-CN"/>
              </w:rPr>
              <w:t>高压冲洗后用1：200稀释过硫酸氢钾复合盐溶液喷雾</w:t>
            </w:r>
          </w:p>
        </w:tc>
      </w:tr>
      <w:tr w14:paraId="5C97F5FF">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08" w:type="dxa"/>
            <w:tcBorders>
              <w:tl2br w:val="nil"/>
              <w:tr2bl w:val="nil"/>
            </w:tcBorders>
            <w:vAlign w:val="center"/>
          </w:tcPr>
          <w:p w14:paraId="350AD5A5">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空舍全流程消毒</w:t>
            </w:r>
          </w:p>
        </w:tc>
        <w:tc>
          <w:tcPr>
            <w:tcW w:w="1360" w:type="dxa"/>
            <w:tcBorders>
              <w:tl2br w:val="nil"/>
              <w:tr2bl w:val="nil"/>
            </w:tcBorders>
            <w:vAlign w:val="center"/>
          </w:tcPr>
          <w:p w14:paraId="7BB2FC0C">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清污→冲洗→碱消→喷雾→熏蒸→干燥</w:t>
            </w:r>
          </w:p>
        </w:tc>
        <w:tc>
          <w:tcPr>
            <w:tcW w:w="4395" w:type="dxa"/>
            <w:tcBorders>
              <w:tl2br w:val="nil"/>
              <w:tr2bl w:val="nil"/>
            </w:tcBorders>
            <w:vAlign w:val="center"/>
          </w:tcPr>
          <w:p w14:paraId="1C7C41C9">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1.彻底清除粪污、垫料，高压水枪冲洗地面、墙面、栏杆；</w:t>
            </w:r>
          </w:p>
          <w:p w14:paraId="65F4855F">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2.用2%氢氧化钠溶液涂刷地面和墙面，静置4–6小时后清水冲洗；</w:t>
            </w:r>
          </w:p>
          <w:p w14:paraId="70AD870B">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3.0.5%过氧乙酸喷雾消毒，密闭熏蒸24小时；</w:t>
            </w:r>
          </w:p>
          <w:p w14:paraId="4C22A2A9">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4.通风干燥7天后方可进牛。</w:t>
            </w:r>
          </w:p>
        </w:tc>
        <w:tc>
          <w:tcPr>
            <w:tcW w:w="1767" w:type="dxa"/>
            <w:tcBorders>
              <w:tl2br w:val="nil"/>
              <w:tr2bl w:val="nil"/>
            </w:tcBorders>
            <w:vAlign w:val="center"/>
          </w:tcPr>
          <w:p w14:paraId="67C71C5C">
            <w:pPr>
              <w:widowControl/>
              <w:autoSpaceDE/>
              <w:autoSpaceDN/>
              <w:jc w:val="both"/>
              <w:rPr>
                <w:rFonts w:ascii="Times New Roman" w:hAnsi="Times New Roman" w:eastAsia="宋体"/>
                <w:sz w:val="18"/>
                <w:szCs w:val="18"/>
                <w:lang w:eastAsia="zh-CN"/>
              </w:rPr>
            </w:pPr>
            <w:r>
              <w:rPr>
                <w:rFonts w:ascii="Times New Roman" w:hAnsi="Times New Roman" w:eastAsia="宋体"/>
                <w:sz w:val="18"/>
                <w:szCs w:val="18"/>
                <w:lang w:eastAsia="zh-CN"/>
              </w:rPr>
              <w:t>氢氧化钠（碱消）、过氧乙酸（喷雾+熏蒸）</w:t>
            </w:r>
          </w:p>
        </w:tc>
      </w:tr>
      <w:tr w14:paraId="3E821FA6">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08" w:type="dxa"/>
            <w:tcBorders>
              <w:tl2br w:val="nil"/>
              <w:tr2bl w:val="nil"/>
            </w:tcBorders>
            <w:vAlign w:val="center"/>
          </w:tcPr>
          <w:p w14:paraId="4CC52C26">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带牛日常消毒</w:t>
            </w:r>
          </w:p>
        </w:tc>
        <w:tc>
          <w:tcPr>
            <w:tcW w:w="1360" w:type="dxa"/>
            <w:tcBorders>
              <w:tl2br w:val="nil"/>
              <w:tr2bl w:val="nil"/>
            </w:tcBorders>
            <w:vAlign w:val="center"/>
          </w:tcPr>
          <w:p w14:paraId="433B98F4">
            <w:pPr>
              <w:widowControl/>
              <w:autoSpaceDE/>
              <w:autoSpaceDN/>
              <w:jc w:val="left"/>
              <w:rPr>
                <w:rFonts w:ascii="Times New Roman" w:hAnsi="Times New Roman" w:eastAsia="宋体"/>
                <w:sz w:val="18"/>
                <w:szCs w:val="18"/>
                <w:lang w:eastAsia="en-US"/>
              </w:rPr>
            </w:pPr>
            <w:r>
              <w:rPr>
                <w:rFonts w:ascii="Times New Roman" w:hAnsi="Times New Roman" w:eastAsia="宋体"/>
                <w:sz w:val="18"/>
                <w:szCs w:val="18"/>
                <w:lang w:eastAsia="en-US"/>
              </w:rPr>
              <w:t>低刺激喷雾消毒</w:t>
            </w:r>
          </w:p>
        </w:tc>
        <w:tc>
          <w:tcPr>
            <w:tcW w:w="4395" w:type="dxa"/>
            <w:tcBorders>
              <w:tl2br w:val="nil"/>
              <w:tr2bl w:val="nil"/>
            </w:tcBorders>
            <w:vAlign w:val="center"/>
          </w:tcPr>
          <w:p w14:paraId="606798BD">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1.每周2次，选择中午气温高时消毒，避免冷风直吹牛体；</w:t>
            </w:r>
          </w:p>
          <w:p w14:paraId="015B6B2C">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2.消毒剂雾滴直径≥50</w:t>
            </w:r>
            <w:r>
              <w:rPr>
                <w:rFonts w:ascii="Times New Roman" w:hAnsi="Times New Roman" w:eastAsia="宋体"/>
                <w:sz w:val="18"/>
                <w:szCs w:val="18"/>
                <w:lang w:eastAsia="en-US"/>
              </w:rPr>
              <w:t>μ</w:t>
            </w:r>
            <w:r>
              <w:rPr>
                <w:rFonts w:ascii="Times New Roman" w:hAnsi="Times New Roman" w:eastAsia="宋体"/>
                <w:sz w:val="18"/>
                <w:szCs w:val="18"/>
                <w:lang w:eastAsia="zh-CN"/>
              </w:rPr>
              <w:t>m，重点喷洒地面、走道、粪沟，避开牛体头部；</w:t>
            </w:r>
          </w:p>
          <w:p w14:paraId="2B2B28AA">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3.疫病高发期增至每日1次。</w:t>
            </w:r>
          </w:p>
        </w:tc>
        <w:tc>
          <w:tcPr>
            <w:tcW w:w="1767" w:type="dxa"/>
            <w:tcBorders>
              <w:tl2br w:val="nil"/>
              <w:tr2bl w:val="nil"/>
            </w:tcBorders>
            <w:vAlign w:val="center"/>
          </w:tcPr>
          <w:p w14:paraId="31C3C5A5">
            <w:pPr>
              <w:widowControl/>
              <w:autoSpaceDE/>
              <w:autoSpaceDN/>
              <w:jc w:val="both"/>
              <w:rPr>
                <w:rFonts w:ascii="Times New Roman" w:hAnsi="Times New Roman" w:eastAsia="宋体"/>
                <w:sz w:val="18"/>
                <w:szCs w:val="18"/>
                <w:lang w:eastAsia="zh-CN"/>
              </w:rPr>
            </w:pPr>
            <w:r>
              <w:rPr>
                <w:rFonts w:ascii="Times New Roman" w:hAnsi="Times New Roman" w:eastAsia="宋体"/>
                <w:sz w:val="18"/>
                <w:szCs w:val="18"/>
                <w:lang w:eastAsia="zh-CN"/>
              </w:rPr>
              <w:t>过硫酸氢钾复合盐稀释液（1：200）</w:t>
            </w:r>
          </w:p>
        </w:tc>
      </w:tr>
      <w:tr w14:paraId="16120321">
        <w:tblPrEx>
          <w:tblBorders>
            <w:top w:val="single" w:color="auto" w:sz="12" w:space="0"/>
            <w:left w:val="none" w:color="auto" w:sz="0"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908" w:type="dxa"/>
            <w:tcBorders>
              <w:tl2br w:val="nil"/>
              <w:tr2bl w:val="nil"/>
            </w:tcBorders>
            <w:vAlign w:val="center"/>
          </w:tcPr>
          <w:p w14:paraId="2104F730">
            <w:pPr>
              <w:widowControl/>
              <w:autoSpaceDE/>
              <w:autoSpaceDN/>
              <w:jc w:val="center"/>
              <w:rPr>
                <w:rFonts w:ascii="Times New Roman" w:hAnsi="Times New Roman" w:eastAsia="宋体"/>
                <w:sz w:val="18"/>
                <w:szCs w:val="18"/>
                <w:lang w:eastAsia="en-US"/>
              </w:rPr>
            </w:pPr>
            <w:r>
              <w:rPr>
                <w:rFonts w:ascii="Times New Roman" w:hAnsi="Times New Roman" w:eastAsia="宋体"/>
                <w:sz w:val="18"/>
                <w:szCs w:val="18"/>
                <w:lang w:eastAsia="en-US"/>
              </w:rPr>
              <w:t>隔离舍消毒</w:t>
            </w:r>
          </w:p>
        </w:tc>
        <w:tc>
          <w:tcPr>
            <w:tcW w:w="1360" w:type="dxa"/>
            <w:tcBorders>
              <w:tl2br w:val="nil"/>
              <w:tr2bl w:val="nil"/>
            </w:tcBorders>
            <w:vAlign w:val="center"/>
          </w:tcPr>
          <w:p w14:paraId="568BC05B">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每日喷雾消毒+排泄物消毒</w:t>
            </w:r>
          </w:p>
        </w:tc>
        <w:tc>
          <w:tcPr>
            <w:tcW w:w="4395" w:type="dxa"/>
            <w:tcBorders>
              <w:tl2br w:val="nil"/>
              <w:tr2bl w:val="nil"/>
            </w:tcBorders>
            <w:vAlign w:val="center"/>
          </w:tcPr>
          <w:p w14:paraId="4A5F4DAE">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1.舍内地面、栏杆每日用消毒剂喷雾2次；</w:t>
            </w:r>
          </w:p>
          <w:p w14:paraId="4533F842">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2.病牛排泄物、分泌物需用生石灰覆盖（比例1：1），静置2小时后清运至粪污处理系统；</w:t>
            </w:r>
          </w:p>
          <w:p w14:paraId="75C7D2F7">
            <w:pPr>
              <w:widowControl/>
              <w:autoSpaceDE/>
              <w:autoSpaceDN/>
              <w:jc w:val="left"/>
              <w:rPr>
                <w:rFonts w:ascii="Times New Roman" w:hAnsi="Times New Roman" w:eastAsia="宋体"/>
                <w:sz w:val="18"/>
                <w:szCs w:val="18"/>
                <w:lang w:eastAsia="zh-CN"/>
              </w:rPr>
            </w:pPr>
            <w:r>
              <w:rPr>
                <w:rFonts w:ascii="Times New Roman" w:hAnsi="Times New Roman" w:eastAsia="宋体"/>
                <w:sz w:val="18"/>
                <w:szCs w:val="18"/>
                <w:lang w:eastAsia="zh-CN"/>
              </w:rPr>
              <w:t>3.人员进出需强化防护和消毒。</w:t>
            </w:r>
          </w:p>
        </w:tc>
        <w:tc>
          <w:tcPr>
            <w:tcW w:w="1767" w:type="dxa"/>
            <w:tcBorders>
              <w:tl2br w:val="nil"/>
              <w:tr2bl w:val="nil"/>
            </w:tcBorders>
            <w:vAlign w:val="center"/>
          </w:tcPr>
          <w:p w14:paraId="0DF54984">
            <w:pPr>
              <w:widowControl/>
              <w:autoSpaceDE/>
              <w:autoSpaceDN/>
              <w:jc w:val="both"/>
              <w:rPr>
                <w:rFonts w:ascii="Times New Roman" w:hAnsi="Times New Roman" w:eastAsia="宋体"/>
                <w:sz w:val="18"/>
                <w:szCs w:val="18"/>
                <w:lang w:eastAsia="zh-CN"/>
              </w:rPr>
            </w:pPr>
            <w:r>
              <w:rPr>
                <w:rFonts w:ascii="Times New Roman" w:hAnsi="Times New Roman" w:eastAsia="宋体"/>
                <w:sz w:val="18"/>
                <w:szCs w:val="18"/>
                <w:lang w:eastAsia="zh-CN"/>
              </w:rPr>
              <w:t>过氧乙酸（0.3%）、过硫酸氢钾复合盐（1：100）</w:t>
            </w:r>
          </w:p>
        </w:tc>
      </w:tr>
    </w:tbl>
    <w:p w14:paraId="4C0EC8FA">
      <w:pPr>
        <w:spacing w:line="360" w:lineRule="auto"/>
        <w:ind w:firstLine="480" w:firstLineChars="200"/>
        <w:rPr>
          <w:sz w:val="24"/>
        </w:rPr>
      </w:pPr>
      <w:r>
        <w:rPr>
          <w:sz w:val="24"/>
        </w:rPr>
        <w:t>此外，在发生疫病时，立即封闭清洁出入口，仅保留污染出入口用于应急处置；病牛所在舍每日3次喷雾消毒，全场其他区域每日1次；人员、车辆进出需“双消毒”；疫病解除后，全场进行空舍级别的彻底消毒，通风干燥14天后方可恢复生产。</w:t>
      </w:r>
    </w:p>
    <w:p w14:paraId="35ADE504">
      <w:pPr>
        <w:pStyle w:val="752"/>
        <w:rPr>
          <w:rFonts w:cs="Times New Roman"/>
        </w:rPr>
      </w:pPr>
      <w:bookmarkStart w:id="355" w:name="_Toc233380167"/>
      <w:r>
        <w:rPr>
          <w:rFonts w:cs="Times New Roman"/>
        </w:rPr>
        <w:t>3.6.7防疫处置</w:t>
      </w:r>
      <w:bookmarkEnd w:id="355"/>
    </w:p>
    <w:p w14:paraId="13F04124">
      <w:pPr>
        <w:pStyle w:val="86"/>
        <w:ind w:firstLine="480" w:firstLineChars="200"/>
        <w:jc w:val="left"/>
        <w:rPr>
          <w:sz w:val="24"/>
        </w:rPr>
      </w:pPr>
      <w:r>
        <w:rPr>
          <w:sz w:val="24"/>
        </w:rPr>
        <w:t>项目养殖区入口处设有专门的消毒间及消毒池，确保进入的人员或车辆进行严格的消毒，严禁非生产人员出入场内。</w:t>
      </w:r>
    </w:p>
    <w:p w14:paraId="3017CDF5">
      <w:pPr>
        <w:pStyle w:val="86"/>
        <w:ind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肉牛养殖过程中常见疫病如下表：</w:t>
      </w:r>
    </w:p>
    <w:p w14:paraId="3CB33B1F">
      <w:pPr>
        <w:pStyle w:val="86"/>
        <w:ind w:firstLine="0" w:firstLineChars="0"/>
        <w:jc w:val="center"/>
        <w:rPr>
          <w:rFonts w:ascii="黑体" w:hAnsi="黑体" w:eastAsia="黑体"/>
          <w:sz w:val="24"/>
        </w:rPr>
      </w:pPr>
      <w:r>
        <w:rPr>
          <w:rFonts w:ascii="黑体" w:hAnsi="黑体" w:eastAsia="黑体" w:cs="Segoe UI"/>
          <w:color w:val="1A1A1A"/>
          <w:kern w:val="0"/>
          <w:szCs w:val="21"/>
        </w:rPr>
        <w:t>表3.6.7-1肉牛养殖过程中常见疫病种类</w:t>
      </w:r>
    </w:p>
    <w:tbl>
      <w:tblPr>
        <w:tblStyle w:val="8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80"/>
        <w:gridCol w:w="1078"/>
        <w:gridCol w:w="3035"/>
        <w:gridCol w:w="3410"/>
      </w:tblGrid>
      <w:tr w14:paraId="2825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trPr>
        <w:tc>
          <w:tcPr>
            <w:tcW w:w="0" w:type="auto"/>
            <w:noWrap/>
            <w:tcMar>
              <w:top w:w="150" w:type="dxa"/>
              <w:left w:w="180" w:type="dxa"/>
              <w:bottom w:w="150" w:type="dxa"/>
              <w:right w:w="180" w:type="dxa"/>
            </w:tcMar>
            <w:vAlign w:val="center"/>
          </w:tcPr>
          <w:p w14:paraId="02FFC24C">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序号</w:t>
            </w:r>
          </w:p>
        </w:tc>
        <w:tc>
          <w:tcPr>
            <w:tcW w:w="1078" w:type="dxa"/>
            <w:noWrap/>
            <w:tcMar>
              <w:top w:w="150" w:type="dxa"/>
              <w:left w:w="180" w:type="dxa"/>
              <w:bottom w:w="150" w:type="dxa"/>
              <w:right w:w="180" w:type="dxa"/>
            </w:tcMar>
            <w:vAlign w:val="center"/>
          </w:tcPr>
          <w:p w14:paraId="28CD8446">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常见疫病种类</w:t>
            </w:r>
          </w:p>
        </w:tc>
        <w:tc>
          <w:tcPr>
            <w:tcW w:w="3035" w:type="dxa"/>
            <w:tcMar>
              <w:top w:w="150" w:type="dxa"/>
              <w:left w:w="180" w:type="dxa"/>
              <w:bottom w:w="150" w:type="dxa"/>
              <w:right w:w="180" w:type="dxa"/>
            </w:tcMar>
            <w:vAlign w:val="center"/>
          </w:tcPr>
          <w:p w14:paraId="6F5840C7">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疫病特征</w:t>
            </w:r>
          </w:p>
        </w:tc>
        <w:tc>
          <w:tcPr>
            <w:tcW w:w="0" w:type="auto"/>
            <w:tcMar>
              <w:top w:w="150" w:type="dxa"/>
              <w:left w:w="180" w:type="dxa"/>
              <w:bottom w:w="150" w:type="dxa"/>
              <w:right w:w="180" w:type="dxa"/>
            </w:tcMar>
            <w:vAlign w:val="center"/>
          </w:tcPr>
          <w:p w14:paraId="27BA10D9">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出现症状</w:t>
            </w:r>
          </w:p>
        </w:tc>
      </w:tr>
      <w:tr w14:paraId="409EC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0" w:type="auto"/>
            <w:noWrap/>
            <w:tcMar>
              <w:top w:w="150" w:type="dxa"/>
              <w:left w:w="180" w:type="dxa"/>
              <w:bottom w:w="150" w:type="dxa"/>
              <w:right w:w="180" w:type="dxa"/>
            </w:tcMar>
            <w:vAlign w:val="center"/>
          </w:tcPr>
          <w:p w14:paraId="344B9BDE">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1</w:t>
            </w:r>
          </w:p>
        </w:tc>
        <w:tc>
          <w:tcPr>
            <w:tcW w:w="1078" w:type="dxa"/>
            <w:noWrap/>
            <w:tcMar>
              <w:top w:w="150" w:type="dxa"/>
              <w:left w:w="180" w:type="dxa"/>
              <w:bottom w:w="150" w:type="dxa"/>
              <w:right w:w="180" w:type="dxa"/>
            </w:tcMar>
            <w:vAlign w:val="center"/>
          </w:tcPr>
          <w:p w14:paraId="53A75582">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口蹄疫</w:t>
            </w:r>
          </w:p>
        </w:tc>
        <w:tc>
          <w:tcPr>
            <w:tcW w:w="3035" w:type="dxa"/>
            <w:tcMar>
              <w:top w:w="150" w:type="dxa"/>
              <w:left w:w="180" w:type="dxa"/>
              <w:bottom w:w="150" w:type="dxa"/>
              <w:right w:w="180" w:type="dxa"/>
            </w:tcMar>
            <w:vAlign w:val="center"/>
          </w:tcPr>
          <w:p w14:paraId="55884F77">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由口蹄疫病毒所引起的一种急性、热性、高度接触性传染病，世界动物卫生组织（OIE）将其列为 A 类传染病。</w:t>
            </w:r>
          </w:p>
        </w:tc>
        <w:tc>
          <w:tcPr>
            <w:tcW w:w="0" w:type="auto"/>
            <w:tcMar>
              <w:top w:w="150" w:type="dxa"/>
              <w:left w:w="180" w:type="dxa"/>
              <w:bottom w:w="150" w:type="dxa"/>
              <w:right w:w="180" w:type="dxa"/>
            </w:tcMar>
            <w:vAlign w:val="center"/>
          </w:tcPr>
          <w:p w14:paraId="695D7001">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口腔黏膜、蹄部和乳房皮肤发生水疱性疹。传播途径多、速度快，可造成巨大损失。</w:t>
            </w:r>
          </w:p>
        </w:tc>
      </w:tr>
      <w:tr w14:paraId="0E10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0" w:type="auto"/>
            <w:noWrap/>
            <w:tcMar>
              <w:top w:w="150" w:type="dxa"/>
              <w:left w:w="180" w:type="dxa"/>
              <w:bottom w:w="150" w:type="dxa"/>
              <w:right w:w="180" w:type="dxa"/>
            </w:tcMar>
            <w:vAlign w:val="center"/>
          </w:tcPr>
          <w:p w14:paraId="2624C6AC">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2</w:t>
            </w:r>
          </w:p>
        </w:tc>
        <w:tc>
          <w:tcPr>
            <w:tcW w:w="1078" w:type="dxa"/>
            <w:noWrap/>
            <w:tcMar>
              <w:top w:w="150" w:type="dxa"/>
              <w:left w:w="180" w:type="dxa"/>
              <w:bottom w:w="150" w:type="dxa"/>
              <w:right w:w="180" w:type="dxa"/>
            </w:tcMar>
            <w:vAlign w:val="center"/>
          </w:tcPr>
          <w:p w14:paraId="6BE67BAA">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牛病毒性腹泻</w:t>
            </w:r>
          </w:p>
        </w:tc>
        <w:tc>
          <w:tcPr>
            <w:tcW w:w="3035" w:type="dxa"/>
            <w:tcMar>
              <w:top w:w="150" w:type="dxa"/>
              <w:left w:w="180" w:type="dxa"/>
              <w:bottom w:w="150" w:type="dxa"/>
              <w:right w:w="180" w:type="dxa"/>
            </w:tcMar>
            <w:vAlign w:val="center"/>
          </w:tcPr>
          <w:p w14:paraId="04231808">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由牛病毒性腹泻病毒引起的传染病。</w:t>
            </w:r>
          </w:p>
        </w:tc>
        <w:tc>
          <w:tcPr>
            <w:tcW w:w="0" w:type="auto"/>
            <w:tcMar>
              <w:top w:w="150" w:type="dxa"/>
              <w:left w:w="180" w:type="dxa"/>
              <w:bottom w:w="150" w:type="dxa"/>
              <w:right w:w="180" w:type="dxa"/>
            </w:tcMar>
            <w:vAlign w:val="center"/>
          </w:tcPr>
          <w:p w14:paraId="515D9457">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消化道、淋巴组织、口腔、咽部等部位出现不规则溃烂、溃疡、持续高热、流泪等。</w:t>
            </w:r>
          </w:p>
        </w:tc>
      </w:tr>
      <w:tr w14:paraId="22B7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0" w:type="auto"/>
            <w:noWrap/>
            <w:tcMar>
              <w:top w:w="150" w:type="dxa"/>
              <w:left w:w="180" w:type="dxa"/>
              <w:bottom w:w="150" w:type="dxa"/>
              <w:right w:w="180" w:type="dxa"/>
            </w:tcMar>
            <w:vAlign w:val="center"/>
          </w:tcPr>
          <w:p w14:paraId="3286D479">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3</w:t>
            </w:r>
          </w:p>
        </w:tc>
        <w:tc>
          <w:tcPr>
            <w:tcW w:w="1078" w:type="dxa"/>
            <w:noWrap/>
            <w:tcMar>
              <w:top w:w="150" w:type="dxa"/>
              <w:left w:w="180" w:type="dxa"/>
              <w:bottom w:w="150" w:type="dxa"/>
              <w:right w:w="180" w:type="dxa"/>
            </w:tcMar>
            <w:vAlign w:val="center"/>
          </w:tcPr>
          <w:p w14:paraId="7991E857">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牛疥癣病</w:t>
            </w:r>
          </w:p>
        </w:tc>
        <w:tc>
          <w:tcPr>
            <w:tcW w:w="3035" w:type="dxa"/>
            <w:tcMar>
              <w:top w:w="150" w:type="dxa"/>
              <w:left w:w="180" w:type="dxa"/>
              <w:bottom w:w="150" w:type="dxa"/>
              <w:right w:w="180" w:type="dxa"/>
            </w:tcMar>
            <w:vAlign w:val="center"/>
          </w:tcPr>
          <w:p w14:paraId="6D8B4F42">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属于牛皮肤病，是由疥癣螨虫引起的皮肤炎，进而导致部分皮肤脱毛。</w:t>
            </w:r>
          </w:p>
        </w:tc>
        <w:tc>
          <w:tcPr>
            <w:tcW w:w="0" w:type="auto"/>
            <w:tcMar>
              <w:top w:w="150" w:type="dxa"/>
              <w:left w:w="180" w:type="dxa"/>
              <w:bottom w:w="150" w:type="dxa"/>
              <w:right w:w="180" w:type="dxa"/>
            </w:tcMar>
            <w:vAlign w:val="center"/>
          </w:tcPr>
          <w:p w14:paraId="146C8859">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出现剧痒，使动物磨蹭患部，形成脱毛、落屑、皮肤增厚等现象，鳞屑、被毛和渗出的炎性液体粘连在一起，形成痂垢，严重时病变波及全身。</w:t>
            </w:r>
          </w:p>
        </w:tc>
      </w:tr>
      <w:tr w14:paraId="1CC9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0" w:type="auto"/>
            <w:noWrap/>
            <w:tcMar>
              <w:top w:w="150" w:type="dxa"/>
              <w:left w:w="180" w:type="dxa"/>
              <w:bottom w:w="150" w:type="dxa"/>
              <w:right w:w="180" w:type="dxa"/>
            </w:tcMar>
            <w:vAlign w:val="center"/>
          </w:tcPr>
          <w:p w14:paraId="71932F82">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4</w:t>
            </w:r>
          </w:p>
        </w:tc>
        <w:tc>
          <w:tcPr>
            <w:tcW w:w="1078" w:type="dxa"/>
            <w:noWrap/>
            <w:tcMar>
              <w:top w:w="150" w:type="dxa"/>
              <w:left w:w="180" w:type="dxa"/>
              <w:bottom w:w="150" w:type="dxa"/>
              <w:right w:w="180" w:type="dxa"/>
            </w:tcMar>
            <w:vAlign w:val="center"/>
          </w:tcPr>
          <w:p w14:paraId="3692813E">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结核病</w:t>
            </w:r>
          </w:p>
        </w:tc>
        <w:tc>
          <w:tcPr>
            <w:tcW w:w="3035" w:type="dxa"/>
            <w:tcMar>
              <w:top w:w="150" w:type="dxa"/>
              <w:left w:w="180" w:type="dxa"/>
              <w:bottom w:w="150" w:type="dxa"/>
              <w:right w:w="180" w:type="dxa"/>
            </w:tcMar>
            <w:vAlign w:val="center"/>
          </w:tcPr>
          <w:p w14:paraId="2D74FA78">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致病原是结核杆菌，由于该病菌广泛存在于病牛的各个器官内，因此其传播途径十分广泛。</w:t>
            </w:r>
          </w:p>
        </w:tc>
        <w:tc>
          <w:tcPr>
            <w:tcW w:w="0" w:type="auto"/>
            <w:tcMar>
              <w:top w:w="150" w:type="dxa"/>
              <w:left w:w="180" w:type="dxa"/>
              <w:bottom w:w="150" w:type="dxa"/>
              <w:right w:w="180" w:type="dxa"/>
            </w:tcMar>
            <w:vAlign w:val="center"/>
          </w:tcPr>
          <w:p w14:paraId="7BB9AA5A">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存在于消化系统内的结核杆菌，可以通过病牛的粪便排出，污染水源、牧草、饲料，接触健康牛后造成传染；存在于呼吸系统的结核杆菌，可以通过病牛的唾液、喷出的飞沫等传染健康的牛。</w:t>
            </w:r>
          </w:p>
        </w:tc>
      </w:tr>
    </w:tbl>
    <w:p w14:paraId="669133C9">
      <w:pPr>
        <w:pStyle w:val="86"/>
        <w:ind w:firstLine="480" w:firstLineChars="200"/>
        <w:jc w:val="left"/>
        <w:rPr>
          <w:sz w:val="24"/>
        </w:rPr>
      </w:pPr>
      <w:r>
        <w:rPr>
          <w:sz w:val="24"/>
        </w:rPr>
        <w:t>饲料和原料应符合营养标准和卫生指标标准。不得使用变质、霉变或被污染的饲料，不得使用未经无害化处理的其他畜禽副产品。使用的饲料添加剂产品必须是具有饲料添加剂生产许可证的企业生产并且具有产品批准文号。药物饲料添加剂的使用须符合国家有关规定和无公害养殖对药物使用的要求。饲料中添加的兽药严格遵循兽药使用规范，不得添加国家严禁使用的违禁药物。且牛舍外聘有专职的兽医，兽医具备兽医执业资格或相应专业技能。</w:t>
      </w:r>
    </w:p>
    <w:p w14:paraId="6B7C8B78">
      <w:pPr>
        <w:pStyle w:val="86"/>
        <w:ind w:firstLine="480" w:firstLineChars="200"/>
        <w:jc w:val="left"/>
        <w:rPr>
          <w:sz w:val="24"/>
        </w:rPr>
      </w:pPr>
      <w:r>
        <w:rPr>
          <w:sz w:val="24"/>
        </w:rPr>
        <w:t>养殖场或周边区域发生地方政府认定的重大动物疫病疫情，被地方政府划定为疫点、划定在疫区或受威胁区内时，应按照县级以上兽医主管部门的规定程序及方法实施消毒和无害化处理。</w:t>
      </w:r>
    </w:p>
    <w:p w14:paraId="23FF788D">
      <w:pPr>
        <w:pStyle w:val="86"/>
        <w:ind w:firstLine="480" w:firstLineChars="200"/>
        <w:jc w:val="left"/>
        <w:rPr>
          <w:sz w:val="24"/>
        </w:rPr>
      </w:pPr>
      <w:r>
        <w:rPr>
          <w:sz w:val="24"/>
        </w:rPr>
        <w:t>养殖场发生国家规定无须扑杀的病毒、细菌或寄生虫病时，应及时采取隔离、淘汰或治疗措施，并加大场区道路、畜禽舍周围和畜禽消毒频率。</w:t>
      </w:r>
    </w:p>
    <w:p w14:paraId="1AC079BD">
      <w:pPr>
        <w:pStyle w:val="86"/>
        <w:ind w:firstLine="480" w:firstLineChars="200"/>
        <w:jc w:val="left"/>
        <w:rPr>
          <w:sz w:val="24"/>
        </w:rPr>
      </w:pPr>
      <w:r>
        <w:rPr>
          <w:sz w:val="24"/>
        </w:rPr>
        <w:t>养殖场病死、淘汰的畜禽尸体应按照《病死及病害动物无害化处理技术规范》（农医发〔2017〕25号）的规定进行无害化处理和消毒。</w:t>
      </w:r>
    </w:p>
    <w:p w14:paraId="650B0A32">
      <w:pPr>
        <w:pStyle w:val="752"/>
        <w:rPr>
          <w:rFonts w:cs="Times New Roman"/>
          <w:color w:val="000000" w:themeColor="text1"/>
          <w14:textFill>
            <w14:solidFill>
              <w14:schemeClr w14:val="tx1"/>
            </w14:solidFill>
          </w14:textFill>
        </w:rPr>
      </w:pPr>
      <w:bookmarkStart w:id="356" w:name="_Toc233380168"/>
      <w:r>
        <w:rPr>
          <w:rFonts w:cs="Times New Roman"/>
          <w:color w:val="000000" w:themeColor="text1"/>
          <w14:textFill>
            <w14:solidFill>
              <w14:schemeClr w14:val="tx1"/>
            </w14:solidFill>
          </w14:textFill>
        </w:rPr>
        <w:t>3.6.8垫料</w:t>
      </w:r>
      <w:r>
        <w:rPr>
          <w:rFonts w:hint="eastAsia" w:cs="Times New Roman"/>
          <w:color w:val="000000" w:themeColor="text1"/>
          <w14:textFill>
            <w14:solidFill>
              <w14:schemeClr w14:val="tx1"/>
            </w14:solidFill>
          </w14:textFill>
        </w:rPr>
        <w:t>铺设及</w:t>
      </w:r>
      <w:r>
        <w:rPr>
          <w:rFonts w:cs="Times New Roman"/>
          <w:color w:val="000000" w:themeColor="text1"/>
          <w14:textFill>
            <w14:solidFill>
              <w14:schemeClr w14:val="tx1"/>
            </w14:solidFill>
          </w14:textFill>
        </w:rPr>
        <w:t>控制</w:t>
      </w:r>
      <w:bookmarkEnd w:id="356"/>
    </w:p>
    <w:p w14:paraId="23508494">
      <w:pPr>
        <w:pStyle w:val="86"/>
        <w:ind w:firstLine="480" w:firstLineChars="200"/>
        <w:jc w:val="left"/>
        <w:rPr>
          <w:sz w:val="24"/>
        </w:rPr>
      </w:pPr>
      <w:r>
        <w:rPr>
          <w:rFonts w:hint="eastAsia"/>
          <w:sz w:val="24"/>
        </w:rPr>
        <w:t>架子牛进场前，每层牛舍地面铺设</w:t>
      </w:r>
      <w:r>
        <w:rPr>
          <w:sz w:val="24"/>
        </w:rPr>
        <w:t>50</w:t>
      </w:r>
      <w:r>
        <w:rPr>
          <w:rFonts w:hint="eastAsia"/>
          <w:sz w:val="24"/>
        </w:rPr>
        <w:t>cm 垫料（锯末、稻壳），垫料容重为</w:t>
      </w:r>
      <w:r>
        <w:rPr>
          <w:sz w:val="24"/>
        </w:rPr>
        <w:t>200</w:t>
      </w:r>
      <w:r>
        <w:rPr>
          <w:rFonts w:hint="eastAsia"/>
          <w:sz w:val="24"/>
        </w:rPr>
        <w:t>kg/m</w:t>
      </w:r>
      <w:r>
        <w:rPr>
          <w:rFonts w:hint="eastAsia"/>
          <w:sz w:val="24"/>
          <w:vertAlign w:val="superscript"/>
        </w:rPr>
        <w:t>3</w:t>
      </w:r>
      <w:r>
        <w:rPr>
          <w:rFonts w:hint="eastAsia"/>
          <w:sz w:val="24"/>
        </w:rPr>
        <w:t>，发酵剂添加比例为垫料的1~2</w:t>
      </w:r>
      <w:bookmarkStart w:id="357" w:name="OLE_LINK121"/>
      <w:bookmarkStart w:id="358" w:name="OLE_LINK122"/>
      <w:r>
        <w:rPr>
          <w:rFonts w:hint="eastAsia"/>
          <w:sz w:val="24"/>
        </w:rPr>
        <w:t>‰</w:t>
      </w:r>
      <w:bookmarkEnd w:id="357"/>
      <w:bookmarkEnd w:id="358"/>
      <w:r>
        <w:rPr>
          <w:rFonts w:hint="eastAsia"/>
          <w:sz w:val="24"/>
        </w:rPr>
        <w:t>，本项目取1‰。约90天补充垫料一次，一次补充量约</w:t>
      </w:r>
      <w:r>
        <w:rPr>
          <w:sz w:val="24"/>
        </w:rPr>
        <w:t>10</w:t>
      </w:r>
      <w:r>
        <w:rPr>
          <w:rFonts w:hint="eastAsia"/>
          <w:sz w:val="24"/>
        </w:rPr>
        <w:t xml:space="preserve"> cm，项目垫料耗量估算见下表。</w:t>
      </w:r>
    </w:p>
    <w:p w14:paraId="3B81DEAA">
      <w:pPr>
        <w:pStyle w:val="86"/>
        <w:ind w:firstLine="0" w:firstLineChars="0"/>
        <w:jc w:val="center"/>
        <w:rPr>
          <w:rFonts w:ascii="黑体" w:hAnsi="黑体" w:eastAsia="黑体" w:cs="Segoe UI"/>
          <w:color w:val="1A1A1A"/>
          <w:kern w:val="0"/>
          <w:szCs w:val="21"/>
        </w:rPr>
      </w:pPr>
      <w:r>
        <w:rPr>
          <w:rFonts w:hint="eastAsia" w:ascii="黑体" w:hAnsi="黑体" w:eastAsia="黑体" w:cs="Segoe UI"/>
          <w:color w:val="1A1A1A"/>
          <w:kern w:val="0"/>
          <w:szCs w:val="21"/>
        </w:rPr>
        <w:t>表</w:t>
      </w:r>
      <w:r>
        <w:rPr>
          <w:rFonts w:ascii="黑体" w:hAnsi="黑体" w:eastAsia="黑体" w:cs="Segoe UI"/>
          <w:color w:val="1A1A1A"/>
          <w:kern w:val="0"/>
          <w:szCs w:val="21"/>
        </w:rPr>
        <w:t>3</w:t>
      </w:r>
      <w:r>
        <w:rPr>
          <w:rFonts w:hint="eastAsia" w:ascii="黑体" w:hAnsi="黑体" w:eastAsia="黑体" w:cs="Segoe UI"/>
          <w:color w:val="1A1A1A"/>
          <w:kern w:val="0"/>
          <w:szCs w:val="21"/>
        </w:rPr>
        <w:t>.6</w:t>
      </w:r>
      <w:r>
        <w:rPr>
          <w:rFonts w:ascii="黑体" w:hAnsi="黑体" w:eastAsia="黑体" w:cs="Segoe UI"/>
          <w:color w:val="1A1A1A"/>
          <w:kern w:val="0"/>
          <w:szCs w:val="21"/>
        </w:rPr>
        <w:t>.8</w:t>
      </w:r>
      <w:r>
        <w:rPr>
          <w:rFonts w:hint="eastAsia" w:ascii="黑体" w:hAnsi="黑体" w:eastAsia="黑体" w:cs="Segoe UI"/>
          <w:color w:val="1A1A1A"/>
          <w:kern w:val="0"/>
          <w:szCs w:val="21"/>
        </w:rPr>
        <w:t>-</w:t>
      </w:r>
      <w:r>
        <w:rPr>
          <w:rFonts w:ascii="黑体" w:hAnsi="黑体" w:eastAsia="黑体" w:cs="Segoe UI"/>
          <w:color w:val="1A1A1A"/>
          <w:kern w:val="0"/>
          <w:szCs w:val="21"/>
        </w:rPr>
        <w:t>1</w:t>
      </w:r>
      <w:r>
        <w:rPr>
          <w:rFonts w:hint="eastAsia" w:ascii="黑体" w:hAnsi="黑体" w:eastAsia="黑体" w:cs="Segoe UI"/>
          <w:color w:val="1A1A1A"/>
          <w:kern w:val="0"/>
          <w:szCs w:val="21"/>
        </w:rPr>
        <w:t>项目垫料、发酵剂耗量估算表</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6"/>
        <w:gridCol w:w="1071"/>
        <w:gridCol w:w="892"/>
        <w:gridCol w:w="923"/>
        <w:gridCol w:w="923"/>
        <w:gridCol w:w="849"/>
        <w:gridCol w:w="849"/>
        <w:gridCol w:w="930"/>
        <w:gridCol w:w="930"/>
      </w:tblGrid>
      <w:tr w14:paraId="295B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 w:type="pct"/>
            <w:vAlign w:val="center"/>
          </w:tcPr>
          <w:p w14:paraId="799928E3">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养殖场区</w:t>
            </w:r>
          </w:p>
        </w:tc>
        <w:tc>
          <w:tcPr>
            <w:tcW w:w="645" w:type="pct"/>
            <w:vAlign w:val="center"/>
          </w:tcPr>
          <w:p w14:paraId="03C28720">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圈舍总面积,</w:t>
            </w:r>
            <w:r>
              <w:rPr>
                <w:rFonts w:ascii="宋体" w:hAnsi="宋体" w:cs="Segoe UI"/>
                <w:color w:val="1A1A1A"/>
                <w:kern w:val="0"/>
                <w:szCs w:val="21"/>
              </w:rPr>
              <w:t>m</w:t>
            </w:r>
            <w:r>
              <w:rPr>
                <w:rFonts w:ascii="宋体" w:hAnsi="宋体" w:cs="Segoe UI"/>
                <w:color w:val="1A1A1A"/>
                <w:kern w:val="0"/>
                <w:szCs w:val="21"/>
                <w:vertAlign w:val="superscript"/>
              </w:rPr>
              <w:t>2</w:t>
            </w:r>
          </w:p>
        </w:tc>
        <w:tc>
          <w:tcPr>
            <w:tcW w:w="537" w:type="pct"/>
            <w:vAlign w:val="center"/>
          </w:tcPr>
          <w:p w14:paraId="58C69770">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垫料铺设厚度</w:t>
            </w:r>
            <w:r>
              <w:rPr>
                <w:rFonts w:ascii="宋体" w:hAnsi="宋体" w:cs="Segoe UI"/>
                <w:color w:val="1A1A1A"/>
                <w:kern w:val="0"/>
                <w:szCs w:val="21"/>
              </w:rPr>
              <w:t>,</w:t>
            </w:r>
            <w:r>
              <w:rPr>
                <w:rFonts w:hint="eastAsia" w:ascii="宋体" w:hAnsi="宋体" w:cs="Segoe UI"/>
                <w:color w:val="1A1A1A"/>
                <w:kern w:val="0"/>
                <w:szCs w:val="21"/>
              </w:rPr>
              <w:t>cm</w:t>
            </w:r>
          </w:p>
        </w:tc>
        <w:tc>
          <w:tcPr>
            <w:tcW w:w="556" w:type="pct"/>
            <w:vAlign w:val="center"/>
          </w:tcPr>
          <w:p w14:paraId="3BF04F38">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每年更换次数，次</w:t>
            </w:r>
          </w:p>
        </w:tc>
        <w:tc>
          <w:tcPr>
            <w:tcW w:w="556" w:type="pct"/>
            <w:vAlign w:val="center"/>
          </w:tcPr>
          <w:p w14:paraId="55AC8219">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补充次数，次/年</w:t>
            </w:r>
          </w:p>
        </w:tc>
        <w:tc>
          <w:tcPr>
            <w:tcW w:w="511" w:type="pct"/>
            <w:vAlign w:val="center"/>
          </w:tcPr>
          <w:p w14:paraId="418BC19C">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每次补充厚度，cm</w:t>
            </w:r>
          </w:p>
        </w:tc>
        <w:tc>
          <w:tcPr>
            <w:tcW w:w="511" w:type="pct"/>
            <w:vAlign w:val="center"/>
          </w:tcPr>
          <w:p w14:paraId="5607CDD3">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垫料容重，kg</w:t>
            </w:r>
            <w:r>
              <w:rPr>
                <w:rFonts w:ascii="宋体" w:hAnsi="宋体" w:cs="Segoe UI"/>
                <w:color w:val="1A1A1A"/>
                <w:kern w:val="0"/>
                <w:szCs w:val="21"/>
              </w:rPr>
              <w:t>/</w:t>
            </w:r>
            <w:r>
              <w:rPr>
                <w:rFonts w:hint="eastAsia" w:ascii="宋体" w:hAnsi="宋体" w:cs="Segoe UI"/>
                <w:color w:val="1A1A1A"/>
                <w:kern w:val="0"/>
                <w:szCs w:val="21"/>
              </w:rPr>
              <w:t>m</w:t>
            </w:r>
            <w:r>
              <w:rPr>
                <w:rFonts w:ascii="宋体" w:hAnsi="宋体" w:cs="Segoe UI"/>
                <w:color w:val="1A1A1A"/>
                <w:kern w:val="0"/>
                <w:szCs w:val="21"/>
                <w:vertAlign w:val="superscript"/>
              </w:rPr>
              <w:t>3</w:t>
            </w:r>
          </w:p>
        </w:tc>
        <w:tc>
          <w:tcPr>
            <w:tcW w:w="560" w:type="pct"/>
            <w:vAlign w:val="center"/>
          </w:tcPr>
          <w:p w14:paraId="04700234">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垫料用量，t</w:t>
            </w:r>
            <w:r>
              <w:rPr>
                <w:rFonts w:ascii="宋体" w:hAnsi="宋体" w:cs="Segoe UI"/>
                <w:color w:val="1A1A1A"/>
                <w:kern w:val="0"/>
                <w:szCs w:val="21"/>
              </w:rPr>
              <w:t>/</w:t>
            </w:r>
            <w:r>
              <w:rPr>
                <w:rFonts w:hint="eastAsia" w:ascii="宋体" w:hAnsi="宋体" w:cs="Segoe UI"/>
                <w:color w:val="1A1A1A"/>
                <w:kern w:val="0"/>
                <w:szCs w:val="21"/>
              </w:rPr>
              <w:t>a</w:t>
            </w:r>
          </w:p>
        </w:tc>
        <w:tc>
          <w:tcPr>
            <w:tcW w:w="560" w:type="pct"/>
            <w:vAlign w:val="center"/>
          </w:tcPr>
          <w:p w14:paraId="261DCFA9">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发酵剂用量，t</w:t>
            </w:r>
            <w:r>
              <w:rPr>
                <w:rFonts w:ascii="宋体" w:hAnsi="宋体" w:cs="Segoe UI"/>
                <w:color w:val="1A1A1A"/>
                <w:kern w:val="0"/>
                <w:szCs w:val="21"/>
              </w:rPr>
              <w:t>/</w:t>
            </w:r>
            <w:r>
              <w:rPr>
                <w:rFonts w:hint="eastAsia" w:ascii="宋体" w:hAnsi="宋体" w:cs="Segoe UI"/>
                <w:color w:val="1A1A1A"/>
                <w:kern w:val="0"/>
                <w:szCs w:val="21"/>
              </w:rPr>
              <w:t>a</w:t>
            </w:r>
          </w:p>
        </w:tc>
      </w:tr>
      <w:tr w14:paraId="0B52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 w:type="pct"/>
            <w:vAlign w:val="center"/>
          </w:tcPr>
          <w:p w14:paraId="335B4047">
            <w:pPr>
              <w:pStyle w:val="86"/>
              <w:widowControl w:val="0"/>
              <w:spacing w:line="240" w:lineRule="auto"/>
              <w:ind w:firstLine="0" w:firstLineChars="0"/>
              <w:jc w:val="center"/>
              <w:rPr>
                <w:rFonts w:ascii="宋体" w:hAnsi="宋体" w:cs="Segoe UI"/>
                <w:color w:val="1A1A1A"/>
                <w:kern w:val="0"/>
                <w:szCs w:val="21"/>
              </w:rPr>
            </w:pPr>
            <w:bookmarkStart w:id="359" w:name="_Hlk233038012"/>
            <w:r>
              <w:rPr>
                <w:rFonts w:hint="eastAsia" w:ascii="宋体" w:hAnsi="宋体"/>
                <w:kern w:val="0"/>
                <w:szCs w:val="21"/>
              </w:rPr>
              <w:t>百花养殖场区</w:t>
            </w:r>
          </w:p>
        </w:tc>
        <w:tc>
          <w:tcPr>
            <w:tcW w:w="645" w:type="pct"/>
            <w:vAlign w:val="center"/>
          </w:tcPr>
          <w:p w14:paraId="4EBDC3DA">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9740</w:t>
            </w:r>
            <w:r>
              <w:rPr>
                <w:rFonts w:hint="eastAsia" w:ascii="宋体" w:hAnsi="宋体" w:cs="Segoe UI"/>
                <w:color w:val="1A1A1A"/>
                <w:kern w:val="0"/>
                <w:szCs w:val="21"/>
              </w:rPr>
              <w:t>m</w:t>
            </w:r>
            <w:r>
              <w:rPr>
                <w:rFonts w:ascii="宋体" w:hAnsi="宋体" w:cs="Segoe UI"/>
                <w:color w:val="1A1A1A"/>
                <w:kern w:val="0"/>
                <w:szCs w:val="21"/>
                <w:vertAlign w:val="superscript"/>
              </w:rPr>
              <w:t>2</w:t>
            </w:r>
          </w:p>
        </w:tc>
        <w:tc>
          <w:tcPr>
            <w:tcW w:w="537" w:type="pct"/>
            <w:vAlign w:val="center"/>
          </w:tcPr>
          <w:p w14:paraId="610F56CA">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5</w:t>
            </w:r>
            <w:r>
              <w:rPr>
                <w:rFonts w:ascii="宋体" w:hAnsi="宋体" w:cs="Segoe UI"/>
                <w:color w:val="1A1A1A"/>
                <w:kern w:val="0"/>
                <w:szCs w:val="21"/>
              </w:rPr>
              <w:t>0</w:t>
            </w:r>
          </w:p>
        </w:tc>
        <w:tc>
          <w:tcPr>
            <w:tcW w:w="556" w:type="pct"/>
            <w:vAlign w:val="center"/>
          </w:tcPr>
          <w:p w14:paraId="057C90A1">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p>
        </w:tc>
        <w:tc>
          <w:tcPr>
            <w:tcW w:w="556" w:type="pct"/>
            <w:vAlign w:val="center"/>
          </w:tcPr>
          <w:p w14:paraId="24815FFF">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2</w:t>
            </w:r>
          </w:p>
        </w:tc>
        <w:tc>
          <w:tcPr>
            <w:tcW w:w="511" w:type="pct"/>
            <w:vAlign w:val="center"/>
          </w:tcPr>
          <w:p w14:paraId="7B22CE00">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0</w:t>
            </w:r>
          </w:p>
        </w:tc>
        <w:tc>
          <w:tcPr>
            <w:tcW w:w="511" w:type="pct"/>
            <w:vAlign w:val="center"/>
          </w:tcPr>
          <w:p w14:paraId="124C8099">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2</w:t>
            </w:r>
            <w:r>
              <w:rPr>
                <w:rFonts w:ascii="宋体" w:hAnsi="宋体" w:cs="Segoe UI"/>
                <w:color w:val="1A1A1A"/>
                <w:kern w:val="0"/>
                <w:szCs w:val="21"/>
              </w:rPr>
              <w:t>00</w:t>
            </w:r>
          </w:p>
        </w:tc>
        <w:tc>
          <w:tcPr>
            <w:tcW w:w="560" w:type="pct"/>
            <w:vAlign w:val="center"/>
          </w:tcPr>
          <w:p w14:paraId="1BEE2196">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4</w:t>
            </w:r>
            <w:r>
              <w:rPr>
                <w:rFonts w:ascii="宋体" w:hAnsi="宋体" w:cs="Segoe UI"/>
                <w:color w:val="1A1A1A"/>
                <w:kern w:val="0"/>
                <w:szCs w:val="21"/>
              </w:rPr>
              <w:t>737.6</w:t>
            </w:r>
          </w:p>
        </w:tc>
        <w:tc>
          <w:tcPr>
            <w:tcW w:w="560" w:type="pct"/>
            <w:vAlign w:val="center"/>
          </w:tcPr>
          <w:p w14:paraId="01F6B9D2">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4</w:t>
            </w:r>
            <w:r>
              <w:rPr>
                <w:rFonts w:ascii="宋体" w:hAnsi="宋体" w:cs="Segoe UI"/>
                <w:color w:val="1A1A1A"/>
                <w:kern w:val="0"/>
                <w:szCs w:val="21"/>
              </w:rPr>
              <w:t>.7376</w:t>
            </w:r>
          </w:p>
        </w:tc>
      </w:tr>
      <w:tr w14:paraId="5E6F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 w:type="pct"/>
            <w:vAlign w:val="center"/>
          </w:tcPr>
          <w:p w14:paraId="761ACA4F">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kern w:val="0"/>
                <w:szCs w:val="21"/>
              </w:rPr>
              <w:t>佛龙养殖场区</w:t>
            </w:r>
          </w:p>
        </w:tc>
        <w:tc>
          <w:tcPr>
            <w:tcW w:w="645" w:type="pct"/>
            <w:vAlign w:val="center"/>
          </w:tcPr>
          <w:p w14:paraId="7CD03886">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0740</w:t>
            </w:r>
            <w:r>
              <w:rPr>
                <w:rFonts w:hint="eastAsia" w:ascii="宋体" w:hAnsi="宋体" w:cs="Segoe UI"/>
                <w:color w:val="1A1A1A"/>
                <w:kern w:val="0"/>
                <w:szCs w:val="21"/>
              </w:rPr>
              <w:t>m</w:t>
            </w:r>
            <w:r>
              <w:rPr>
                <w:rFonts w:ascii="宋体" w:hAnsi="宋体" w:cs="Segoe UI"/>
                <w:color w:val="1A1A1A"/>
                <w:kern w:val="0"/>
                <w:szCs w:val="21"/>
                <w:vertAlign w:val="superscript"/>
              </w:rPr>
              <w:t>2</w:t>
            </w:r>
          </w:p>
        </w:tc>
        <w:tc>
          <w:tcPr>
            <w:tcW w:w="537" w:type="pct"/>
            <w:vAlign w:val="center"/>
          </w:tcPr>
          <w:p w14:paraId="5B156863">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5</w:t>
            </w:r>
            <w:r>
              <w:rPr>
                <w:rFonts w:ascii="宋体" w:hAnsi="宋体" w:cs="Segoe UI"/>
                <w:color w:val="1A1A1A"/>
                <w:kern w:val="0"/>
                <w:szCs w:val="21"/>
              </w:rPr>
              <w:t>0</w:t>
            </w:r>
          </w:p>
        </w:tc>
        <w:tc>
          <w:tcPr>
            <w:tcW w:w="556" w:type="pct"/>
            <w:vAlign w:val="center"/>
          </w:tcPr>
          <w:p w14:paraId="227D7DDD">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p>
        </w:tc>
        <w:tc>
          <w:tcPr>
            <w:tcW w:w="556" w:type="pct"/>
            <w:vAlign w:val="center"/>
          </w:tcPr>
          <w:p w14:paraId="5F52739B">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2</w:t>
            </w:r>
          </w:p>
        </w:tc>
        <w:tc>
          <w:tcPr>
            <w:tcW w:w="511" w:type="pct"/>
            <w:vAlign w:val="center"/>
          </w:tcPr>
          <w:p w14:paraId="6DE9E9A3">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0</w:t>
            </w:r>
          </w:p>
        </w:tc>
        <w:tc>
          <w:tcPr>
            <w:tcW w:w="511" w:type="pct"/>
            <w:vAlign w:val="center"/>
          </w:tcPr>
          <w:p w14:paraId="7929F2BF">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2</w:t>
            </w:r>
            <w:r>
              <w:rPr>
                <w:rFonts w:ascii="宋体" w:hAnsi="宋体" w:cs="Segoe UI"/>
                <w:color w:val="1A1A1A"/>
                <w:kern w:val="0"/>
                <w:szCs w:val="21"/>
              </w:rPr>
              <w:t>00</w:t>
            </w:r>
          </w:p>
        </w:tc>
        <w:tc>
          <w:tcPr>
            <w:tcW w:w="560" w:type="pct"/>
            <w:vAlign w:val="center"/>
          </w:tcPr>
          <w:p w14:paraId="595289BD">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2</w:t>
            </w:r>
            <w:r>
              <w:rPr>
                <w:rFonts w:ascii="宋体" w:hAnsi="宋体" w:cs="Segoe UI"/>
                <w:color w:val="1A1A1A"/>
                <w:kern w:val="0"/>
                <w:szCs w:val="21"/>
              </w:rPr>
              <w:t>577.6</w:t>
            </w:r>
          </w:p>
        </w:tc>
        <w:tc>
          <w:tcPr>
            <w:tcW w:w="560" w:type="pct"/>
            <w:vAlign w:val="center"/>
          </w:tcPr>
          <w:p w14:paraId="3E7CEC8E">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2</w:t>
            </w:r>
            <w:r>
              <w:rPr>
                <w:rFonts w:ascii="宋体" w:hAnsi="宋体" w:cs="Segoe UI"/>
                <w:color w:val="1A1A1A"/>
                <w:kern w:val="0"/>
                <w:szCs w:val="21"/>
              </w:rPr>
              <w:t>.5776</w:t>
            </w:r>
          </w:p>
        </w:tc>
      </w:tr>
      <w:tr w14:paraId="73D76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 w:type="pct"/>
            <w:vAlign w:val="center"/>
          </w:tcPr>
          <w:p w14:paraId="009BEDDA">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kern w:val="0"/>
                <w:szCs w:val="21"/>
              </w:rPr>
              <w:t>塘坝养殖场区</w:t>
            </w:r>
          </w:p>
        </w:tc>
        <w:tc>
          <w:tcPr>
            <w:tcW w:w="645" w:type="pct"/>
            <w:vAlign w:val="center"/>
          </w:tcPr>
          <w:p w14:paraId="790062EA">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9740</w:t>
            </w:r>
            <w:r>
              <w:rPr>
                <w:rFonts w:hint="eastAsia" w:ascii="宋体" w:hAnsi="宋体" w:cs="Segoe UI"/>
                <w:color w:val="1A1A1A"/>
                <w:kern w:val="0"/>
                <w:szCs w:val="21"/>
              </w:rPr>
              <w:t>m</w:t>
            </w:r>
            <w:r>
              <w:rPr>
                <w:rFonts w:ascii="宋体" w:hAnsi="宋体" w:cs="Segoe UI"/>
                <w:color w:val="1A1A1A"/>
                <w:kern w:val="0"/>
                <w:szCs w:val="21"/>
                <w:vertAlign w:val="superscript"/>
              </w:rPr>
              <w:t>2</w:t>
            </w:r>
          </w:p>
        </w:tc>
        <w:tc>
          <w:tcPr>
            <w:tcW w:w="537" w:type="pct"/>
            <w:vAlign w:val="center"/>
          </w:tcPr>
          <w:p w14:paraId="1EDF96FC">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5</w:t>
            </w:r>
            <w:r>
              <w:rPr>
                <w:rFonts w:ascii="宋体" w:hAnsi="宋体" w:cs="Segoe UI"/>
                <w:color w:val="1A1A1A"/>
                <w:kern w:val="0"/>
                <w:szCs w:val="21"/>
              </w:rPr>
              <w:t>0</w:t>
            </w:r>
          </w:p>
        </w:tc>
        <w:tc>
          <w:tcPr>
            <w:tcW w:w="556" w:type="pct"/>
            <w:vAlign w:val="center"/>
          </w:tcPr>
          <w:p w14:paraId="47769C0D">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p>
        </w:tc>
        <w:tc>
          <w:tcPr>
            <w:tcW w:w="556" w:type="pct"/>
            <w:vAlign w:val="center"/>
          </w:tcPr>
          <w:p w14:paraId="02AFF6D3">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2</w:t>
            </w:r>
          </w:p>
        </w:tc>
        <w:tc>
          <w:tcPr>
            <w:tcW w:w="511" w:type="pct"/>
            <w:vAlign w:val="center"/>
          </w:tcPr>
          <w:p w14:paraId="58712886">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0</w:t>
            </w:r>
          </w:p>
        </w:tc>
        <w:tc>
          <w:tcPr>
            <w:tcW w:w="511" w:type="pct"/>
            <w:vAlign w:val="center"/>
          </w:tcPr>
          <w:p w14:paraId="339CB5C0">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2</w:t>
            </w:r>
            <w:r>
              <w:rPr>
                <w:rFonts w:ascii="宋体" w:hAnsi="宋体" w:cs="Segoe UI"/>
                <w:color w:val="1A1A1A"/>
                <w:kern w:val="0"/>
                <w:szCs w:val="21"/>
              </w:rPr>
              <w:t>00</w:t>
            </w:r>
          </w:p>
        </w:tc>
        <w:tc>
          <w:tcPr>
            <w:tcW w:w="560" w:type="pct"/>
            <w:vAlign w:val="center"/>
          </w:tcPr>
          <w:p w14:paraId="1DF549F7">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4</w:t>
            </w:r>
            <w:r>
              <w:rPr>
                <w:rFonts w:ascii="宋体" w:hAnsi="宋体" w:cs="Segoe UI"/>
                <w:color w:val="1A1A1A"/>
                <w:kern w:val="0"/>
                <w:szCs w:val="21"/>
              </w:rPr>
              <w:t>737.6</w:t>
            </w:r>
          </w:p>
        </w:tc>
        <w:tc>
          <w:tcPr>
            <w:tcW w:w="560" w:type="pct"/>
            <w:vAlign w:val="center"/>
          </w:tcPr>
          <w:p w14:paraId="634D8C34">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4</w:t>
            </w:r>
            <w:r>
              <w:rPr>
                <w:rFonts w:ascii="宋体" w:hAnsi="宋体" w:cs="Segoe UI"/>
                <w:color w:val="1A1A1A"/>
                <w:kern w:val="0"/>
                <w:szCs w:val="21"/>
              </w:rPr>
              <w:t>.7376</w:t>
            </w:r>
          </w:p>
        </w:tc>
      </w:tr>
      <w:tr w14:paraId="18B7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 w:type="pct"/>
            <w:vAlign w:val="center"/>
          </w:tcPr>
          <w:p w14:paraId="2A4D75C0">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kern w:val="0"/>
                <w:szCs w:val="21"/>
              </w:rPr>
              <w:t>始宁养殖场区</w:t>
            </w:r>
          </w:p>
        </w:tc>
        <w:tc>
          <w:tcPr>
            <w:tcW w:w="645" w:type="pct"/>
            <w:vAlign w:val="center"/>
          </w:tcPr>
          <w:p w14:paraId="78AB07DC">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3980</w:t>
            </w:r>
            <w:r>
              <w:rPr>
                <w:rFonts w:hint="eastAsia" w:ascii="宋体" w:hAnsi="宋体" w:cs="Segoe UI"/>
                <w:color w:val="1A1A1A"/>
                <w:kern w:val="0"/>
                <w:szCs w:val="21"/>
              </w:rPr>
              <w:t>m</w:t>
            </w:r>
            <w:r>
              <w:rPr>
                <w:rFonts w:ascii="宋体" w:hAnsi="宋体" w:cs="Segoe UI"/>
                <w:color w:val="1A1A1A"/>
                <w:kern w:val="0"/>
                <w:szCs w:val="21"/>
                <w:vertAlign w:val="superscript"/>
              </w:rPr>
              <w:t>2</w:t>
            </w:r>
          </w:p>
        </w:tc>
        <w:tc>
          <w:tcPr>
            <w:tcW w:w="537" w:type="pct"/>
            <w:vAlign w:val="center"/>
          </w:tcPr>
          <w:p w14:paraId="54597D34">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5</w:t>
            </w:r>
            <w:r>
              <w:rPr>
                <w:rFonts w:ascii="宋体" w:hAnsi="宋体" w:cs="Segoe UI"/>
                <w:color w:val="1A1A1A"/>
                <w:kern w:val="0"/>
                <w:szCs w:val="21"/>
              </w:rPr>
              <w:t>0</w:t>
            </w:r>
          </w:p>
        </w:tc>
        <w:tc>
          <w:tcPr>
            <w:tcW w:w="556" w:type="pct"/>
            <w:vAlign w:val="center"/>
          </w:tcPr>
          <w:p w14:paraId="333C5C4E">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p>
        </w:tc>
        <w:tc>
          <w:tcPr>
            <w:tcW w:w="556" w:type="pct"/>
            <w:vAlign w:val="center"/>
          </w:tcPr>
          <w:p w14:paraId="08251E84">
            <w:pPr>
              <w:pStyle w:val="86"/>
              <w:widowControl w:val="0"/>
              <w:spacing w:line="240" w:lineRule="auto"/>
              <w:ind w:firstLine="0" w:firstLineChars="0"/>
              <w:jc w:val="center"/>
              <w:rPr>
                <w:rFonts w:ascii="宋体" w:hAnsi="宋体" w:cs="Segoe UI"/>
                <w:color w:val="1A1A1A"/>
                <w:kern w:val="0"/>
                <w:szCs w:val="21"/>
              </w:rPr>
            </w:pPr>
            <w:r>
              <w:rPr>
                <w:rFonts w:ascii="宋体" w:hAnsi="宋体" w:cs="Segoe UI"/>
                <w:color w:val="1A1A1A"/>
                <w:kern w:val="0"/>
                <w:szCs w:val="21"/>
              </w:rPr>
              <w:t>2</w:t>
            </w:r>
          </w:p>
        </w:tc>
        <w:tc>
          <w:tcPr>
            <w:tcW w:w="511" w:type="pct"/>
            <w:vAlign w:val="center"/>
          </w:tcPr>
          <w:p w14:paraId="2E4FAC88">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0</w:t>
            </w:r>
          </w:p>
        </w:tc>
        <w:tc>
          <w:tcPr>
            <w:tcW w:w="511" w:type="pct"/>
            <w:vAlign w:val="center"/>
          </w:tcPr>
          <w:p w14:paraId="131073A4">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2</w:t>
            </w:r>
            <w:r>
              <w:rPr>
                <w:rFonts w:ascii="宋体" w:hAnsi="宋体" w:cs="Segoe UI"/>
                <w:color w:val="1A1A1A"/>
                <w:kern w:val="0"/>
                <w:szCs w:val="21"/>
              </w:rPr>
              <w:t>00</w:t>
            </w:r>
          </w:p>
        </w:tc>
        <w:tc>
          <w:tcPr>
            <w:tcW w:w="560" w:type="pct"/>
            <w:vAlign w:val="center"/>
          </w:tcPr>
          <w:p w14:paraId="79310B34">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3</w:t>
            </w:r>
            <w:r>
              <w:rPr>
                <w:rFonts w:ascii="宋体" w:hAnsi="宋体" w:cs="Segoe UI"/>
                <w:color w:val="1A1A1A"/>
                <w:kern w:val="0"/>
                <w:szCs w:val="21"/>
              </w:rPr>
              <w:t>355.2</w:t>
            </w:r>
          </w:p>
        </w:tc>
        <w:tc>
          <w:tcPr>
            <w:tcW w:w="560" w:type="pct"/>
            <w:vAlign w:val="center"/>
          </w:tcPr>
          <w:p w14:paraId="2F590AEF">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3</w:t>
            </w:r>
            <w:r>
              <w:rPr>
                <w:rFonts w:ascii="宋体" w:hAnsi="宋体" w:cs="Segoe UI"/>
                <w:color w:val="1A1A1A"/>
                <w:kern w:val="0"/>
                <w:szCs w:val="21"/>
              </w:rPr>
              <w:t>.3352</w:t>
            </w:r>
          </w:p>
        </w:tc>
      </w:tr>
      <w:bookmarkEnd w:id="359"/>
      <w:tr w14:paraId="2E16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 w:type="pct"/>
            <w:vAlign w:val="center"/>
          </w:tcPr>
          <w:p w14:paraId="47538A2B">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合计</w:t>
            </w:r>
          </w:p>
        </w:tc>
        <w:tc>
          <w:tcPr>
            <w:tcW w:w="645" w:type="pct"/>
            <w:vAlign w:val="center"/>
          </w:tcPr>
          <w:p w14:paraId="6AE8721A">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6</w:t>
            </w:r>
            <w:r>
              <w:rPr>
                <w:rFonts w:ascii="宋体" w:hAnsi="宋体" w:cs="Segoe UI"/>
                <w:color w:val="1A1A1A"/>
                <w:kern w:val="0"/>
                <w:szCs w:val="21"/>
              </w:rPr>
              <w:t>4200</w:t>
            </w:r>
            <w:r>
              <w:rPr>
                <w:rFonts w:hint="eastAsia" w:ascii="宋体" w:hAnsi="宋体" w:cs="Segoe UI"/>
                <w:color w:val="1A1A1A"/>
                <w:kern w:val="0"/>
                <w:szCs w:val="21"/>
              </w:rPr>
              <w:t>m</w:t>
            </w:r>
            <w:r>
              <w:rPr>
                <w:rFonts w:ascii="宋体" w:hAnsi="宋体" w:cs="Segoe UI"/>
                <w:color w:val="1A1A1A"/>
                <w:kern w:val="0"/>
                <w:szCs w:val="21"/>
                <w:vertAlign w:val="superscript"/>
              </w:rPr>
              <w:t>2</w:t>
            </w:r>
          </w:p>
        </w:tc>
        <w:tc>
          <w:tcPr>
            <w:tcW w:w="537" w:type="pct"/>
            <w:vAlign w:val="center"/>
          </w:tcPr>
          <w:p w14:paraId="726E5185">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w:t>
            </w:r>
          </w:p>
        </w:tc>
        <w:tc>
          <w:tcPr>
            <w:tcW w:w="556" w:type="pct"/>
            <w:vAlign w:val="center"/>
          </w:tcPr>
          <w:p w14:paraId="0371290D">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w:t>
            </w:r>
          </w:p>
        </w:tc>
        <w:tc>
          <w:tcPr>
            <w:tcW w:w="556" w:type="pct"/>
            <w:vAlign w:val="center"/>
          </w:tcPr>
          <w:p w14:paraId="0D3A41BF">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w:t>
            </w:r>
          </w:p>
        </w:tc>
        <w:tc>
          <w:tcPr>
            <w:tcW w:w="511" w:type="pct"/>
            <w:vAlign w:val="center"/>
          </w:tcPr>
          <w:p w14:paraId="6480BF92">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w:t>
            </w:r>
          </w:p>
        </w:tc>
        <w:tc>
          <w:tcPr>
            <w:tcW w:w="511" w:type="pct"/>
            <w:vAlign w:val="center"/>
          </w:tcPr>
          <w:p w14:paraId="0EF8FB8E">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w:t>
            </w:r>
          </w:p>
        </w:tc>
        <w:tc>
          <w:tcPr>
            <w:tcW w:w="560" w:type="pct"/>
            <w:vAlign w:val="center"/>
          </w:tcPr>
          <w:p w14:paraId="00D72EC9">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5408</w:t>
            </w:r>
          </w:p>
        </w:tc>
        <w:tc>
          <w:tcPr>
            <w:tcW w:w="560" w:type="pct"/>
            <w:vAlign w:val="center"/>
          </w:tcPr>
          <w:p w14:paraId="11418B20">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1</w:t>
            </w:r>
            <w:r>
              <w:rPr>
                <w:rFonts w:ascii="宋体" w:hAnsi="宋体" w:cs="Segoe UI"/>
                <w:color w:val="1A1A1A"/>
                <w:kern w:val="0"/>
                <w:szCs w:val="21"/>
              </w:rPr>
              <w:t>5.408</w:t>
            </w:r>
          </w:p>
        </w:tc>
      </w:tr>
    </w:tbl>
    <w:p w14:paraId="73930564">
      <w:pPr>
        <w:pStyle w:val="86"/>
        <w:ind w:firstLine="480" w:firstLineChars="200"/>
        <w:jc w:val="left"/>
        <w:rPr>
          <w:sz w:val="24"/>
        </w:rPr>
      </w:pPr>
      <w:r>
        <w:rPr>
          <w:sz w:val="24"/>
        </w:rPr>
        <w:t>垫料长期使用后，一方面由于被牛只长期踩踏、人为翻耙扰动及微生物分解作用，造成垫料的颗粒变细，有机物不断分解，有机成分含量降低，从而导致垫料的通透性和吸附性变差；另一方面则是长期使用后，垫料中累积大量由粪尿带来的盐分及物质转化产生的盐分离子，如钠离子、钙离子、钾离子、硝酸根离子等，盐分的升高对于微生物活性产生抑制作用，进而导致发酵床的降解能力下降甚至丧失。因此，需要对垫料进行定期更新。垫料是否需要更新，可按以下方法进行判断：</w:t>
      </w:r>
    </w:p>
    <w:p w14:paraId="6A42B660">
      <w:pPr>
        <w:pStyle w:val="86"/>
        <w:ind w:firstLine="480" w:firstLineChars="200"/>
        <w:jc w:val="left"/>
        <w:rPr>
          <w:sz w:val="24"/>
        </w:rPr>
      </w:pPr>
      <w:r>
        <w:rPr>
          <w:sz w:val="24"/>
        </w:rPr>
        <w:t>a）高温段上移。</w:t>
      </w:r>
    </w:p>
    <w:p w14:paraId="1C5B7431">
      <w:pPr>
        <w:pStyle w:val="86"/>
        <w:ind w:firstLine="480" w:firstLineChars="200"/>
        <w:jc w:val="left"/>
        <w:rPr>
          <w:sz w:val="24"/>
        </w:rPr>
      </w:pPr>
      <w:r>
        <w:rPr>
          <w:sz w:val="24"/>
        </w:rPr>
        <w:t>b）发酵床持水能力减弱。</w:t>
      </w:r>
    </w:p>
    <w:p w14:paraId="7B85442E">
      <w:pPr>
        <w:pStyle w:val="86"/>
        <w:ind w:firstLine="480" w:firstLineChars="200"/>
        <w:jc w:val="left"/>
        <w:rPr>
          <w:sz w:val="24"/>
        </w:rPr>
      </w:pPr>
      <w:r>
        <w:rPr>
          <w:sz w:val="24"/>
        </w:rPr>
        <w:t>c）牛舍出现臭味，并逐渐加重。</w:t>
      </w:r>
    </w:p>
    <w:p w14:paraId="42958462">
      <w:pPr>
        <w:pStyle w:val="86"/>
        <w:ind w:firstLine="480" w:firstLineChars="200"/>
        <w:jc w:val="left"/>
        <w:rPr>
          <w:color w:val="FF0000"/>
          <w:sz w:val="24"/>
        </w:rPr>
      </w:pPr>
      <w:r>
        <w:rPr>
          <w:sz w:val="24"/>
        </w:rPr>
        <w:t>项目运营时为了减小发酵床清理对牛群生活的影响，一般采用分区清理、分区铺设垫床的方式，更换发酵床。当发酵床清理后，重新铺设垫床。项目运营期根据养殖计划每半年更换一次发酵床。不同牛舍不在同一时段内安排清舍。清理完发酵床的区域需要进行消毒清扫再铺设新垫料。消毒清扫方式采用喷雾消毒及干清扫方式，无废水产生。</w:t>
      </w:r>
      <w:r>
        <w:rPr>
          <w:bCs/>
          <w:sz w:val="24"/>
        </w:rPr>
        <w:t>由于本项目肉牛刚好进行6个月的育肥养殖，因此发酵床的清理及更换刚好在牛只出栏时进行，即实际无需分区清理和更换。</w:t>
      </w:r>
      <w:r>
        <w:rPr>
          <w:color w:val="000000" w:themeColor="text1"/>
          <w:sz w:val="24"/>
          <w14:textFill>
            <w14:solidFill>
              <w14:schemeClr w14:val="tx1"/>
            </w14:solidFill>
          </w14:textFill>
        </w:rPr>
        <w:t>建设单位与</w:t>
      </w:r>
      <w:r>
        <w:rPr>
          <w:rFonts w:hint="eastAsia"/>
          <w:color w:val="000000" w:themeColor="text1"/>
          <w:sz w:val="24"/>
          <w14:textFill>
            <w14:solidFill>
              <w14:schemeClr w14:val="tx1"/>
            </w14:solidFill>
          </w14:textFill>
        </w:rPr>
        <w:t>有机肥生产企业</w:t>
      </w:r>
      <w:r>
        <w:rPr>
          <w:color w:val="000000" w:themeColor="text1"/>
          <w:sz w:val="24"/>
          <w14:textFill>
            <w14:solidFill>
              <w14:schemeClr w14:val="tx1"/>
            </w14:solidFill>
          </w14:textFill>
        </w:rPr>
        <w:t>签订协议，废弃垫料</w:t>
      </w:r>
      <w:r>
        <w:rPr>
          <w:rFonts w:hint="eastAsia"/>
          <w:color w:val="000000" w:themeColor="text1"/>
          <w:sz w:val="24"/>
          <w14:textFill>
            <w14:solidFill>
              <w14:schemeClr w14:val="tx1"/>
            </w14:solidFill>
          </w14:textFill>
        </w:rPr>
        <w:t>在肉牛出栏后由有机肥生产企业及时清运无害化处置。</w:t>
      </w:r>
    </w:p>
    <w:p w14:paraId="7D047E30">
      <w:pPr>
        <w:pStyle w:val="752"/>
        <w:rPr>
          <w:rFonts w:cs="Times New Roman"/>
        </w:rPr>
      </w:pPr>
      <w:bookmarkStart w:id="360" w:name="_Toc233380169"/>
      <w:r>
        <w:rPr>
          <w:rFonts w:cs="Times New Roman"/>
        </w:rPr>
        <w:t>3.6.9消防</w:t>
      </w:r>
      <w:bookmarkEnd w:id="360"/>
    </w:p>
    <w:p w14:paraId="4BE3B03A">
      <w:pPr>
        <w:spacing w:line="360" w:lineRule="auto"/>
        <w:ind w:firstLine="480" w:firstLineChars="200"/>
        <w:rPr>
          <w:sz w:val="24"/>
        </w:rPr>
      </w:pPr>
      <w:r>
        <w:rPr>
          <w:sz w:val="24"/>
        </w:rPr>
        <w:t>项目按照《建筑设计防火规范》（2018年版）要求设置移动式灭火器，各建（构）筑物内灭火器的类型、数量符合《建筑灭火器配置设计规范》（GB 50140-2005）的要求。</w:t>
      </w:r>
    </w:p>
    <w:p w14:paraId="5BB15B90">
      <w:pPr>
        <w:pStyle w:val="752"/>
        <w:rPr>
          <w:rFonts w:cs="Times New Roman"/>
          <w:color w:val="000000" w:themeColor="text1"/>
          <w14:textFill>
            <w14:solidFill>
              <w14:schemeClr w14:val="tx1"/>
            </w14:solidFill>
          </w14:textFill>
        </w:rPr>
      </w:pPr>
      <w:bookmarkStart w:id="361" w:name="_Toc233380170"/>
      <w:r>
        <w:rPr>
          <w:rFonts w:cs="Times New Roman"/>
          <w:color w:val="000000" w:themeColor="text1"/>
          <w14:textFill>
            <w14:solidFill>
              <w14:schemeClr w14:val="tx1"/>
            </w14:solidFill>
          </w14:textFill>
        </w:rPr>
        <w:t>3.6.10</w:t>
      </w:r>
      <w:r>
        <w:rPr>
          <w:rFonts w:hint="eastAsia" w:cs="Times New Roman"/>
          <w:color w:val="000000" w:themeColor="text1"/>
          <w14:textFill>
            <w14:solidFill>
              <w14:schemeClr w14:val="tx1"/>
            </w14:solidFill>
          </w14:textFill>
        </w:rPr>
        <w:t>贮运</w:t>
      </w:r>
      <w:bookmarkEnd w:id="361"/>
    </w:p>
    <w:p w14:paraId="75B8045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项目按照《建筑设计防火规范》（2018年版）要求设置移动式灭火器，各建（构）筑物内灭火器的类型、数量符合《建筑灭火器配置设计规范》（GB 50140-2005）的要求。</w:t>
      </w:r>
    </w:p>
    <w:p w14:paraId="6A069A80">
      <w:pPr>
        <w:pStyle w:val="4"/>
        <w:spacing w:before="0" w:after="0" w:line="360" w:lineRule="auto"/>
        <w:rPr>
          <w:rFonts w:ascii="Times New Roman" w:hAnsi="Times New Roman" w:eastAsia="宋体"/>
          <w:color w:val="000000" w:themeColor="text1"/>
          <w:sz w:val="30"/>
          <w:szCs w:val="30"/>
          <w14:textFill>
            <w14:solidFill>
              <w14:schemeClr w14:val="tx1"/>
            </w14:solidFill>
          </w14:textFill>
        </w:rPr>
      </w:pPr>
      <w:bookmarkStart w:id="362" w:name="_Toc233380171"/>
      <w:r>
        <w:rPr>
          <w:rFonts w:ascii="Times New Roman" w:hAnsi="Times New Roman" w:eastAsia="宋体"/>
          <w:color w:val="000000" w:themeColor="text1"/>
          <w:sz w:val="30"/>
          <w:szCs w:val="30"/>
          <w14:textFill>
            <w14:solidFill>
              <w14:schemeClr w14:val="tx1"/>
            </w14:solidFill>
          </w14:textFill>
        </w:rPr>
        <w:t>3.7劳动定员和生产制度</w:t>
      </w:r>
      <w:bookmarkEnd w:id="362"/>
    </w:p>
    <w:p w14:paraId="1A6218D6">
      <w:pPr>
        <w:autoSpaceDE w:val="0"/>
        <w:autoSpaceDN w:val="0"/>
        <w:adjustRightIn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本项目劳动定员50人，年工作天数</w:t>
      </w:r>
      <w:r>
        <w:rPr>
          <w:color w:val="000000" w:themeColor="text1"/>
          <w:sz w:val="24"/>
          <w14:textFill>
            <w14:solidFill>
              <w14:schemeClr w14:val="tx1"/>
            </w14:solidFill>
          </w14:textFill>
        </w:rPr>
        <w:t>365</w:t>
      </w:r>
      <w:r>
        <w:rPr>
          <w:color w:val="000000" w:themeColor="text1"/>
          <w:kern w:val="0"/>
          <w:sz w:val="24"/>
          <w14:textFill>
            <w14:solidFill>
              <w14:schemeClr w14:val="tx1"/>
            </w14:solidFill>
          </w14:textFill>
        </w:rPr>
        <w:t>天。育肥牛育肥时间180天。厂区设置食堂、宿舍。</w:t>
      </w:r>
    </w:p>
    <w:p w14:paraId="405F98A4">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363" w:name="_Toc233380172"/>
      <w:r>
        <w:rPr>
          <w:rFonts w:ascii="Times New Roman" w:hAnsi="Times New Roman" w:eastAsia="宋体"/>
          <w:color w:val="000000" w:themeColor="text1"/>
          <w:sz w:val="30"/>
          <w:szCs w:val="30"/>
          <w14:textFill>
            <w14:solidFill>
              <w14:schemeClr w14:val="tx1"/>
            </w14:solidFill>
          </w14:textFill>
        </w:rPr>
        <w:t>3.8总投资及资金筹措</w:t>
      </w:r>
      <w:bookmarkEnd w:id="363"/>
    </w:p>
    <w:p w14:paraId="2E6FAFA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项目总投资35090.20万元人民币，全部由企业自筹。</w:t>
      </w:r>
    </w:p>
    <w:p w14:paraId="0DB399D4">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364" w:name="_Toc40220685"/>
      <w:bookmarkStart w:id="365" w:name="_Toc233380173"/>
      <w:r>
        <w:rPr>
          <w:rFonts w:ascii="Times New Roman" w:hAnsi="Times New Roman" w:eastAsia="宋体"/>
          <w:color w:val="000000" w:themeColor="text1"/>
          <w:sz w:val="30"/>
          <w:szCs w:val="30"/>
          <w14:textFill>
            <w14:solidFill>
              <w14:schemeClr w14:val="tx1"/>
            </w14:solidFill>
          </w14:textFill>
        </w:rPr>
        <w:t>3.9施工期工程分析</w:t>
      </w:r>
      <w:bookmarkEnd w:id="364"/>
      <w:bookmarkEnd w:id="365"/>
    </w:p>
    <w:p w14:paraId="3E2117E8">
      <w:pPr>
        <w:pStyle w:val="752"/>
        <w:rPr>
          <w:rFonts w:cs="Times New Roman"/>
          <w:color w:val="000000" w:themeColor="text1"/>
          <w14:textFill>
            <w14:solidFill>
              <w14:schemeClr w14:val="tx1"/>
            </w14:solidFill>
          </w14:textFill>
        </w:rPr>
      </w:pPr>
      <w:bookmarkStart w:id="366" w:name="_Toc233380174"/>
      <w:bookmarkStart w:id="367" w:name="_Toc11006"/>
      <w:bookmarkStart w:id="368" w:name="_Toc28814608"/>
      <w:bookmarkStart w:id="369" w:name="_Toc27751123"/>
      <w:bookmarkStart w:id="370" w:name="_Toc40220686"/>
      <w:r>
        <w:rPr>
          <w:rFonts w:cs="Times New Roman"/>
          <w:color w:val="000000" w:themeColor="text1"/>
          <w14:textFill>
            <w14:solidFill>
              <w14:schemeClr w14:val="tx1"/>
            </w14:solidFill>
          </w14:textFill>
        </w:rPr>
        <w:t>3.9.1施工期工艺流程及产污环节分析</w:t>
      </w:r>
      <w:bookmarkEnd w:id="366"/>
    </w:p>
    <w:p w14:paraId="169EFA79">
      <w:pPr>
        <w:snapToGrid w:val="0"/>
        <w:spacing w:line="360" w:lineRule="auto"/>
        <w:ind w:firstLine="480" w:firstLineChars="200"/>
        <w:rPr>
          <w:sz w:val="24"/>
        </w:rPr>
      </w:pPr>
      <w:r>
        <w:rPr>
          <w:sz w:val="24"/>
        </w:rPr>
        <w:t>项目施工期养殖场建设主要包括基础工程、主体工程、装饰工程、工程验收等，具体工艺流程及产污环节见下图。</w:t>
      </w:r>
    </w:p>
    <w:p w14:paraId="6BFBA99A">
      <w:pPr>
        <w:snapToGrid w:val="0"/>
        <w:spacing w:line="360" w:lineRule="auto"/>
        <w:jc w:val="center"/>
        <w:rPr>
          <w:b/>
          <w:szCs w:val="21"/>
        </w:rPr>
      </w:pPr>
      <w:r>
        <w:rPr>
          <w:b/>
          <w:szCs w:val="21"/>
        </w:rPr>
        <w:drawing>
          <wp:inline distT="0" distB="0" distL="114300" distR="114300">
            <wp:extent cx="5191760" cy="1790700"/>
            <wp:effectExtent l="0" t="0" r="8890" b="0"/>
            <wp:docPr id="11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55"/>
                    <pic:cNvPicPr>
                      <a:picLocks noChangeAspect="1" noChangeArrowheads="1"/>
                    </pic:cNvPicPr>
                  </pic:nvPicPr>
                  <pic:blipFill>
                    <a:blip r:embed="rId43"/>
                    <a:srcRect/>
                    <a:stretch>
                      <a:fillRect/>
                    </a:stretch>
                  </pic:blipFill>
                  <pic:spPr>
                    <a:xfrm>
                      <a:off x="0" y="0"/>
                      <a:ext cx="5191760" cy="1790700"/>
                    </a:xfrm>
                    <a:prstGeom prst="rect">
                      <a:avLst/>
                    </a:prstGeom>
                    <a:noFill/>
                    <a:ln w="9525">
                      <a:noFill/>
                      <a:miter lim="800000"/>
                      <a:headEnd/>
                      <a:tailEnd/>
                    </a:ln>
                    <a:effectLst/>
                  </pic:spPr>
                </pic:pic>
              </a:graphicData>
            </a:graphic>
          </wp:inline>
        </w:drawing>
      </w:r>
    </w:p>
    <w:p w14:paraId="30A67B3F">
      <w:pPr>
        <w:snapToGrid w:val="0"/>
        <w:spacing w:line="360" w:lineRule="auto"/>
        <w:ind w:firstLine="422" w:firstLineChars="200"/>
        <w:jc w:val="center"/>
        <w:rPr>
          <w:rFonts w:eastAsia="黑体"/>
          <w:bCs/>
          <w:szCs w:val="21"/>
        </w:rPr>
      </w:pPr>
      <w:r>
        <w:rPr>
          <w:b/>
          <w:szCs w:val="21"/>
        </w:rPr>
        <w:t>3.9.1-1</w:t>
      </w:r>
      <w:r>
        <w:rPr>
          <w:rFonts w:eastAsia="黑体"/>
          <w:bCs/>
          <w:szCs w:val="21"/>
        </w:rPr>
        <w:t>施工期工艺流程及产污环节</w:t>
      </w:r>
    </w:p>
    <w:p w14:paraId="7DD2F4ED">
      <w:pPr>
        <w:pStyle w:val="752"/>
        <w:rPr>
          <w:rFonts w:cs="Times New Roman"/>
          <w:color w:val="000000" w:themeColor="text1"/>
          <w14:textFill>
            <w14:solidFill>
              <w14:schemeClr w14:val="tx1"/>
            </w14:solidFill>
          </w14:textFill>
        </w:rPr>
      </w:pPr>
      <w:bookmarkStart w:id="371" w:name="_Toc233380175"/>
      <w:r>
        <w:rPr>
          <w:rFonts w:cs="Times New Roman"/>
          <w:color w:val="000000" w:themeColor="text1"/>
          <w14:textFill>
            <w14:solidFill>
              <w14:schemeClr w14:val="tx1"/>
            </w14:solidFill>
          </w14:textFill>
        </w:rPr>
        <w:t>3.9.</w:t>
      </w:r>
      <w:bookmarkEnd w:id="367"/>
      <w:r>
        <w:rPr>
          <w:rFonts w:cs="Times New Roman"/>
          <w:color w:val="000000" w:themeColor="text1"/>
          <w14:textFill>
            <w14:solidFill>
              <w14:schemeClr w14:val="tx1"/>
            </w14:solidFill>
          </w14:textFill>
        </w:rPr>
        <w:t>2施工期主要污染物</w:t>
      </w:r>
      <w:bookmarkEnd w:id="371"/>
    </w:p>
    <w:p w14:paraId="210B2E8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1、废气</w:t>
      </w:r>
    </w:p>
    <w:p w14:paraId="4504790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（1）施工扬尘；</w:t>
      </w:r>
    </w:p>
    <w:p w14:paraId="57A51EF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（2）车辆及机械运行排放的尾气。</w:t>
      </w:r>
    </w:p>
    <w:p w14:paraId="74A301B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2、废水</w:t>
      </w:r>
    </w:p>
    <w:p w14:paraId="2C85A49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（1）施工废水；</w:t>
      </w:r>
    </w:p>
    <w:p w14:paraId="1E08304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（2）生活污水。</w:t>
      </w:r>
    </w:p>
    <w:p w14:paraId="3B305A6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3、噪声</w:t>
      </w:r>
    </w:p>
    <w:p w14:paraId="4908CFA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（1）施工机械噪声和设备安装动力噪声；</w:t>
      </w:r>
    </w:p>
    <w:p w14:paraId="7212EFE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（2）车辆运输噪声。</w:t>
      </w:r>
    </w:p>
    <w:p w14:paraId="5B8AD15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4、固废</w:t>
      </w:r>
    </w:p>
    <w:p w14:paraId="778D5DF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（1）建筑垃圾；</w:t>
      </w:r>
    </w:p>
    <w:p w14:paraId="055A3CB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（2）生活垃圾。</w:t>
      </w:r>
    </w:p>
    <w:p w14:paraId="71D7579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5、生态影响防治措施</w:t>
      </w:r>
    </w:p>
    <w:p w14:paraId="6D4867BD">
      <w:pPr>
        <w:pStyle w:val="752"/>
        <w:rPr>
          <w:rFonts w:cs="Times New Roman"/>
          <w:color w:val="000000" w:themeColor="text1"/>
          <w14:textFill>
            <w14:solidFill>
              <w14:schemeClr w14:val="tx1"/>
            </w14:solidFill>
          </w14:textFill>
        </w:rPr>
      </w:pPr>
      <w:bookmarkStart w:id="372" w:name="_Toc233380176"/>
      <w:r>
        <w:rPr>
          <w:rFonts w:cs="Times New Roman"/>
          <w:color w:val="000000" w:themeColor="text1"/>
          <w14:textFill>
            <w14:solidFill>
              <w14:schemeClr w14:val="tx1"/>
            </w14:solidFill>
          </w14:textFill>
        </w:rPr>
        <w:t>3.9.</w:t>
      </w:r>
      <w:bookmarkEnd w:id="368"/>
      <w:bookmarkEnd w:id="369"/>
      <w:bookmarkEnd w:id="370"/>
      <w:r>
        <w:rPr>
          <w:rFonts w:cs="Times New Roman"/>
          <w:color w:val="000000" w:themeColor="text1"/>
          <w14:textFill>
            <w14:solidFill>
              <w14:schemeClr w14:val="tx1"/>
            </w14:solidFill>
          </w14:textFill>
        </w:rPr>
        <w:t>3施工期污染物排放及治理措施</w:t>
      </w:r>
      <w:bookmarkEnd w:id="372"/>
    </w:p>
    <w:p w14:paraId="0DC0B1E1">
      <w:pPr>
        <w:spacing w:line="360" w:lineRule="auto"/>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1、大气污染物治理措施</w:t>
      </w:r>
    </w:p>
    <w:p w14:paraId="3474ADB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（1）施工扬尘</w:t>
      </w:r>
    </w:p>
    <w:p w14:paraId="7B3979C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本项目施工扬尘主要来自前期基础工程，包括场地清理和场地平整等，进入后续阶段扬尘产生量较少，后续阶段主要为垃圾堆放、建材堆放以及运输车辆扬尘。经类比分析，施工场地扬尘浓度平均值约为4.5mg/m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因此，项目施工期须严格按照《四川省&lt;中华人民共和国大气污染防治法&gt;实施办法》、《四川省空气质量持续改善行动计划实施方案》（川府发〔2024〕20号）及《四川省建筑工程施工扬尘防治标准》(DBJ51/T231-2023)中对施工场地的相关要求采取扬尘治理措施，具体如下：</w:t>
      </w:r>
    </w:p>
    <w:p w14:paraId="6700E25D">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在施工现场出入口公示施工负责人、扬尘污染控制措施、主管部门以及举报电话等信息，接受社会监督；</w:t>
      </w:r>
    </w:p>
    <w:p w14:paraId="27F8F05D">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施工工地设置围墙或者硬质密闭围挡，并对围挡进行维护；</w:t>
      </w:r>
    </w:p>
    <w:p w14:paraId="1429ECD0">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对施工现场进出口通道、场内道路，以及材料存放区、加工区等场所地坪硬化，对其他场地进行覆盖或者临时绿化，对土方集中堆放并按照规范覆盖或者固化；</w:t>
      </w:r>
    </w:p>
    <w:p w14:paraId="276EB6EA">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w:t>
      </w:r>
      <w:r>
        <w:rPr>
          <w:color w:val="000000" w:themeColor="text1"/>
          <w:sz w:val="24"/>
          <w14:textFill>
            <w14:solidFill>
              <w14:schemeClr w14:val="tx1"/>
            </w14:solidFill>
          </w14:textFill>
        </w:rPr>
        <w:t>施工现场出入口应当设置车辆冲洗设施，施工及运输车辆经除泥、冲洗后方能驶出工地，不得带泥上路；</w:t>
      </w:r>
    </w:p>
    <w:p w14:paraId="5D6BF032">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w:t>
      </w:r>
      <w:r>
        <w:rPr>
          <w:color w:val="000000" w:themeColor="text1"/>
          <w:sz w:val="24"/>
          <w14:textFill>
            <w14:solidFill>
              <w14:schemeClr w14:val="tx1"/>
            </w14:solidFill>
          </w14:textFill>
        </w:rPr>
        <w:t>露天堆放的河沙、石粉、水泥、灰浆等易产生扬尘的物料以及不能及时清运的建筑垃圾，应当设置不低于堆放高度的密闭围栏，并对堆放物品予以覆盖；</w:t>
      </w:r>
    </w:p>
    <w:p w14:paraId="10EA890E">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⑥</w:t>
      </w:r>
      <w:r>
        <w:rPr>
          <w:color w:val="000000" w:themeColor="text1"/>
          <w:sz w:val="24"/>
          <w14:textFill>
            <w14:solidFill>
              <w14:schemeClr w14:val="tx1"/>
            </w14:solidFill>
          </w14:textFill>
        </w:rPr>
        <w:t>土方施工、主体施工、装饰装修、总坪施工及爆破、拆除、切割作业时，应当使用洒水或者喷淋等降尘措施；</w:t>
      </w:r>
    </w:p>
    <w:p w14:paraId="10989E3A">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⑦</w:t>
      </w:r>
      <w:r>
        <w:rPr>
          <w:color w:val="000000" w:themeColor="text1"/>
          <w:sz w:val="24"/>
          <w14:textFill>
            <w14:solidFill>
              <w14:schemeClr w14:val="tx1"/>
            </w14:solidFill>
          </w14:textFill>
        </w:rPr>
        <w:t>严格落实“六必须”（必须围挡作业、必须硬化道路、必须设置冲洗设施、必须及时洒水作业、必须落实保洁人员、必须定时清扫施工现场）、“六不准”（不准车辆带泥出门、不准运渣车辆冒顶装载、不准高空抛撒建筑垃圾、不准现场搅拌混凝土、不准场地积水、不准现场焚烧废弃物），在重污染天气环境应急预案启动时，停止施工作业。加强施工人员的环保教育，文明施工；</w:t>
      </w:r>
    </w:p>
    <w:p w14:paraId="49FADD21">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⑧</w:t>
      </w:r>
      <w:r>
        <w:rPr>
          <w:color w:val="000000" w:themeColor="text1"/>
          <w:sz w:val="24"/>
          <w14:textFill>
            <w14:solidFill>
              <w14:schemeClr w14:val="tx1"/>
            </w14:solidFill>
          </w14:textFill>
        </w:rPr>
        <w:t>施工工地必须贯彻执行巴中市人民政府关于印发《巴中市空气质量持续改善行动计划实施方案》的通知(巴府发〔2025〕1号)，加强建设工程扬尘网格化、精细化管理，推行绿色施工，制定、完善和严格执行建设施工管理制度，全面推行现场标准化管理；严格落实施工现场“六必须、六不准”及“六个百分之百”；加强建设工地监督检查，落实降尘、压尘和抑尘措施。施工必须采用清洁能源施工设备，不得使用黄标车；在运输过程中，应限制车辆运输速度（≤40km/h）；通过强化城市环境综合管理，最大程度降低施工期对周围大气环境的影响。</w:t>
      </w:r>
    </w:p>
    <w:p w14:paraId="38020E7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采取上述措施后，项目施工期扬尘排放可满足《四川省施工场地扬尘排放标准》（DB51/2682-2020）中标准限值。</w:t>
      </w:r>
    </w:p>
    <w:p w14:paraId="41F185A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（2）车辆及机械运行排放的尾气</w:t>
      </w:r>
    </w:p>
    <w:p w14:paraId="69A2429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期间，使用机动车运送建材以及施工机械运行等过程，均会排放一定量的CO、NOx以及未完全燃烧的HC等，其特点是排放量小，且属间断性无组织排放。环评要求选用达到环保要求的设备，通过自然稀释后场界的贡献值可控制在较低水平。</w:t>
      </w:r>
    </w:p>
    <w:p w14:paraId="10E2A282">
      <w:pPr>
        <w:spacing w:line="360" w:lineRule="auto"/>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2、废水治理措施</w:t>
      </w:r>
    </w:p>
    <w:p w14:paraId="6181196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本项目施工期采取雨污分流，施工场地外雨水设置截洪沟截排，防止上游雨水冲刷项目区形成面源污染和水土流失，施工场地雨水应设置雨水收集沟收集至临时雨水收集池沉淀后回用于施工过程或控尘。</w:t>
      </w:r>
    </w:p>
    <w:p w14:paraId="30B8B63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（1）施工废水</w:t>
      </w:r>
    </w:p>
    <w:p w14:paraId="393383D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施工废水主要为泥浆废水，主要污染因子为SS，主要来自车辆冲洗过程，通过控制水的添加量可以将废水产生量控制在较低的水平。施工产生的车辆冲洗废水经临时沉淀池（5m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，2格，砖混结构）处理后重复利用。</w:t>
      </w:r>
    </w:p>
    <w:p w14:paraId="0854E45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（2）生活污水</w:t>
      </w:r>
    </w:p>
    <w:p w14:paraId="3BC870F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本项目施工高峰期工人以20人计，施工人员生活用水量定额按照50L/人·d计算，则项目施工期生活用水量为1.0m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/d，生活污水的产生量按照用水量的85%计算，即0.85m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/d，主要污染因子为COD、SS、动植物油等，施工期的生活污水依托周边居民已有化粪池处理后用于项目区周边耕地施肥。</w:t>
      </w:r>
    </w:p>
    <w:p w14:paraId="13A17BC9">
      <w:pPr>
        <w:spacing w:line="360" w:lineRule="auto"/>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3、噪声治理措施</w:t>
      </w:r>
    </w:p>
    <w:p w14:paraId="3516844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噪声主要来自建筑施工过程。施工期间产生的噪声具有阶段性、临时性和不固定性。</w:t>
      </w:r>
    </w:p>
    <w:p w14:paraId="3BDD120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环评要求：在建筑施工期间，必须严格执行《建筑施工场界环境噪声排放标准》（GB 12523-2025）的要求。采取如下防治措施：</w:t>
      </w:r>
    </w:p>
    <w:p w14:paraId="2B094A8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（1）打围施工，施工场地四周设置2m高彩钢瓦围挡。加强管理，文明施工，降低噪声源强。</w:t>
      </w:r>
    </w:p>
    <w:p w14:paraId="1E7D929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合理安排施工计划和施工机械设备组合以及施工时间，禁止在中午（12：00-14：00）和夜间（22：00-6：00）施工，避免在同一时间集中使用大量的动力机械设备。严格执行《建筑施工场界环境噪声排放标准》（GB 12523-2011）的要求，在施工过程中，尽量减少运行动力机械设备的数量，尽可能使动力机械设备比较均匀地使用。</w:t>
      </w:r>
    </w:p>
    <w:p w14:paraId="526D410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（3）选用低噪声施工设备；对产生高噪声的设备应远离居民点，建议在其外设置隔声屏障。</w:t>
      </w:r>
    </w:p>
    <w:p w14:paraId="4464C71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（4）优化项目施工时间，除连续浇筑外，禁止夜间施工。环评要求本项目在进行施工作业和连续浇筑作业前，与附近居民做好沟通，征得附近住户理解，集中在不干扰附近住户正常生活的时段施工。</w:t>
      </w:r>
    </w:p>
    <w:p w14:paraId="6937A35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本项目施工期较短，且施工场地与周边居民距离较远（最近居民距离80m），施工噪声不会对周边居民造成显著影响。</w:t>
      </w:r>
    </w:p>
    <w:p w14:paraId="1682FBFB">
      <w:pPr>
        <w:spacing w:line="360" w:lineRule="auto"/>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4、固废治理措施</w:t>
      </w:r>
    </w:p>
    <w:p w14:paraId="3A0993D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本项目养殖场均位于农村环境，</w:t>
      </w:r>
      <w:r>
        <w:rPr>
          <w:sz w:val="24"/>
        </w:rPr>
        <w:t>开挖土石方均就地用于土地平整和堡坎堆砌，无外运弃土。</w:t>
      </w:r>
      <w:r>
        <w:rPr>
          <w:color w:val="000000" w:themeColor="text1"/>
          <w:sz w:val="24"/>
          <w14:textFill>
            <w14:solidFill>
              <w14:schemeClr w14:val="tx1"/>
            </w14:solidFill>
          </w14:textFill>
        </w:rPr>
        <w:t>项目施工期主要固废为建筑垃圾和生活垃圾，具体处置措施如下：</w:t>
      </w:r>
    </w:p>
    <w:p w14:paraId="1C78854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（1）建筑垃圾</w:t>
      </w:r>
    </w:p>
    <w:p w14:paraId="569DD22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施工期建筑垃圾主要为项目建设过程产生的建筑垃圾，同时还包括少量的有机垃圾，主要是各种包装材料等。施工现场应设置建筑废弃物临时库房（树立标示牌）并进行防雨、防泄漏处理。施工产生的废料首先应考虑废料的回收利用，不能利用的应集中堆放，定时清运到指定场所，以免影响环境质量。</w:t>
      </w:r>
    </w:p>
    <w:p w14:paraId="7F94087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（2）生活垃圾</w:t>
      </w:r>
    </w:p>
    <w:p w14:paraId="6D14D4E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人员生活垃圾产生量按每人每日0.5kg计，高峰期施工人员每个养殖小区20人，则每天产生生活垃圾最大量为40kg。对于施工人员产生的分散垃圾，除对施工人员加强环境保护教育和有关宣传外，同时增设一些分散的垃圾桶，收集的垃圾送指定地点由环卫部门统一清运。</w:t>
      </w:r>
    </w:p>
    <w:p w14:paraId="53398E4B">
      <w:pPr>
        <w:spacing w:line="360" w:lineRule="auto"/>
        <w:ind w:firstLine="480" w:firstLineChars="200"/>
        <w:rPr>
          <w:rFonts w:eastAsia="黑体"/>
          <w:color w:val="000000" w:themeColor="text1"/>
          <w:sz w:val="24"/>
          <w14:textFill>
            <w14:solidFill>
              <w14:schemeClr w14:val="tx1"/>
            </w14:solidFill>
          </w14:textFill>
        </w:rPr>
      </w:pPr>
      <w:r>
        <w:rPr>
          <w:rFonts w:eastAsia="黑体"/>
          <w:color w:val="000000" w:themeColor="text1"/>
          <w:sz w:val="24"/>
          <w14:textFill>
            <w14:solidFill>
              <w14:schemeClr w14:val="tx1"/>
            </w14:solidFill>
          </w14:textFill>
        </w:rPr>
        <w:t>5、生态影响防治措施</w:t>
      </w:r>
    </w:p>
    <w:p w14:paraId="6214B95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项目施工期主要生态影响为土地占用、植被破坏、水土流失、施工噪声对周边动物产生的影响。</w:t>
      </w:r>
    </w:p>
    <w:p w14:paraId="5018617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本次环评要求施工期要严格控制临时占地范围，对于施工人员活动造成的植被破坏，应及时进行恢复。具体措施如下：</w:t>
      </w:r>
    </w:p>
    <w:p w14:paraId="525F873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a、项目施工前应对工程占用区域可利用的表土进行剥离，设置表土暂存区，表面覆盖篷布，防止扬尘及雨水冲刷造成的水土流失；建设后期对表土进行利用。</w:t>
      </w:r>
    </w:p>
    <w:p w14:paraId="35D32E4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b、施工上应严格按照施工图进行开挖，尽量不要多挖（因为开挖后的土无法再恢复到原来的密度与体积），另外要尽量求得土石工程的平衡，减少弃土，做好各项排水、截水、防止水土流失的设计。</w:t>
      </w:r>
    </w:p>
    <w:p w14:paraId="01A3702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c、在施工中，应合理安排施工计划、施工程序，协调好各个施工步骤，最大限度控制施工扰动范围；雨季中尽量减少开挖等作业面，以避免受降雨的直接冲刷，在暴雨期，还应采取应急措施，尽量用覆盖物覆盖新开挖的土面，防止冲刷。</w:t>
      </w:r>
    </w:p>
    <w:p w14:paraId="7613370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d、合理安排施工计划，避免在多风季节施工。如在大风天气，对路面和散料堆场采用水喷淋，避免地表土壤流失。干旱、多风季节可增加洒水次数，以保持下垫面和空气湿润，减少起尘量。风速过大时应停止施工，并对堆放的砂石等建筑材料进行遮盖处理。优化项目施工时间，除连续浇筑外，禁止夜间施工，减少噪声和灯光对当地野生动物的影响；</w:t>
      </w:r>
    </w:p>
    <w:p w14:paraId="5A32E8B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e、在施工场地，且争取做到土料随填随压，不留松土。同时，要开边沟，填土作业应尽量集中和避开暴雨期。</w:t>
      </w:r>
    </w:p>
    <w:p w14:paraId="6E16FD3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f、在工程场地内需构筑相应容量的集水沉沙池和排水沟，设临时导流沟，以收集地表径流和施工过程产生的泥浆水，经过沉沙，除渣等预处理后，才排入排水沟或回用于喷洒裸露地表抑尘。</w:t>
      </w:r>
    </w:p>
    <w:p w14:paraId="02FCF210">
      <w:pPr>
        <w:spacing w:line="360" w:lineRule="auto"/>
        <w:ind w:firstLine="480" w:firstLineChars="200"/>
        <w:rPr>
          <w:b/>
          <w:color w:val="000000" w:themeColor="text1"/>
          <w:sz w:val="24"/>
          <w14:textFill>
            <w14:solidFill>
              <w14:schemeClr w14:val="tx1"/>
            </w14:solidFill>
          </w14:textFill>
        </w:rPr>
      </w:pPr>
      <w:r>
        <w:rPr>
          <w:color w:val="000000" w:themeColor="text1"/>
          <w:sz w:val="24"/>
          <w14:textFill>
            <w14:solidFill>
              <w14:schemeClr w14:val="tx1"/>
            </w14:solidFill>
          </w14:textFill>
        </w:rPr>
        <w:t>g、对不布设厂房设施的空地，施工期间及时种树、种草皮以绿化固土。</w:t>
      </w:r>
    </w:p>
    <w:p w14:paraId="3CDF0397">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373" w:name="_Toc28937"/>
      <w:bookmarkStart w:id="374" w:name="_Toc233380177"/>
      <w:r>
        <w:rPr>
          <w:rFonts w:ascii="Times New Roman" w:hAnsi="Times New Roman" w:eastAsia="宋体"/>
          <w:color w:val="000000" w:themeColor="text1"/>
          <w:sz w:val="30"/>
          <w:szCs w:val="30"/>
          <w14:textFill>
            <w14:solidFill>
              <w14:schemeClr w14:val="tx1"/>
            </w14:solidFill>
          </w14:textFill>
        </w:rPr>
        <w:t>3.10运营期工程分析</w:t>
      </w:r>
      <w:bookmarkEnd w:id="373"/>
      <w:bookmarkEnd w:id="374"/>
    </w:p>
    <w:p w14:paraId="52997F0A">
      <w:pPr>
        <w:pStyle w:val="752"/>
        <w:rPr>
          <w:rFonts w:cs="Times New Roman"/>
          <w:color w:val="000000" w:themeColor="text1"/>
          <w14:textFill>
            <w14:solidFill>
              <w14:schemeClr w14:val="tx1"/>
            </w14:solidFill>
          </w14:textFill>
        </w:rPr>
      </w:pPr>
      <w:bookmarkStart w:id="375" w:name="_Toc14456"/>
      <w:bookmarkStart w:id="376" w:name="_Toc233380178"/>
      <w:r>
        <w:rPr>
          <w:rFonts w:cs="Times New Roman"/>
          <w:color w:val="000000" w:themeColor="text1"/>
          <w14:textFill>
            <w14:solidFill>
              <w14:schemeClr w14:val="tx1"/>
            </w14:solidFill>
          </w14:textFill>
        </w:rPr>
        <w:t>3.10.1运营期工艺流程</w:t>
      </w:r>
      <w:bookmarkEnd w:id="375"/>
      <w:bookmarkEnd w:id="376"/>
    </w:p>
    <w:p w14:paraId="65AB828A">
      <w:pPr>
        <w:spacing w:line="360" w:lineRule="auto"/>
        <w:ind w:firstLine="480" w:firstLineChars="200"/>
        <w:rPr>
          <w:bCs/>
          <w:color w:val="000000" w:themeColor="text1"/>
          <w:sz w:val="24"/>
          <w14:textFill>
            <w14:solidFill>
              <w14:schemeClr w14:val="tx1"/>
            </w14:solidFill>
          </w14:textFill>
        </w:rPr>
      </w:pPr>
      <w:bookmarkStart w:id="377" w:name="_Toc30887"/>
      <w:r>
        <w:rPr>
          <w:bCs/>
          <w:color w:val="000000" w:themeColor="text1"/>
          <w:sz w:val="24"/>
          <w14:textFill>
            <w14:solidFill>
              <w14:schemeClr w14:val="tx1"/>
            </w14:solidFill>
          </w14:textFill>
        </w:rPr>
        <w:t>本项目肉牛饲养主要包括</w:t>
      </w:r>
      <w:r>
        <w:rPr>
          <w:rFonts w:hint="eastAsia"/>
          <w:bCs/>
          <w:color w:val="000000" w:themeColor="text1"/>
          <w:sz w:val="24"/>
          <w14:textFill>
            <w14:solidFill>
              <w14:schemeClr w14:val="tx1"/>
            </w14:solidFill>
          </w14:textFill>
        </w:rPr>
        <w:t>以下工艺</w:t>
      </w:r>
      <w:r>
        <w:rPr>
          <w:bCs/>
          <w:color w:val="000000" w:themeColor="text1"/>
          <w:sz w:val="24"/>
          <w14:textFill>
            <w14:solidFill>
              <w14:schemeClr w14:val="tx1"/>
            </w14:solidFill>
          </w14:textFill>
        </w:rPr>
        <w:t>环节：饲料加工工艺、肉牛饲养工艺、</w:t>
      </w:r>
      <w:r>
        <w:rPr>
          <w:rFonts w:hint="eastAsia"/>
          <w:bCs/>
          <w:color w:val="FF0000"/>
          <w:sz w:val="24"/>
        </w:rPr>
        <w:t>床场一体化养殖工艺</w:t>
      </w:r>
      <w:r>
        <w:rPr>
          <w:bCs/>
          <w:color w:val="000000" w:themeColor="text1"/>
          <w:sz w:val="24"/>
          <w14:textFill>
            <w14:solidFill>
              <w14:schemeClr w14:val="tx1"/>
            </w14:solidFill>
          </w14:textFill>
        </w:rPr>
        <w:t>。工艺流程及产污节点如下：</w:t>
      </w:r>
    </w:p>
    <w:p w14:paraId="7FBBD526">
      <w:pPr>
        <w:spacing w:line="360" w:lineRule="auto"/>
        <w:ind w:firstLine="480" w:firstLineChars="200"/>
        <w:rPr>
          <w:rFonts w:eastAsia="黑体"/>
          <w:bCs/>
          <w:color w:val="000000" w:themeColor="text1"/>
          <w:sz w:val="24"/>
          <w14:textFill>
            <w14:solidFill>
              <w14:schemeClr w14:val="tx1"/>
            </w14:solidFill>
          </w14:textFill>
        </w:rPr>
      </w:pPr>
      <w:r>
        <w:rPr>
          <w:rFonts w:eastAsia="黑体"/>
          <w:bCs/>
          <w:color w:val="000000" w:themeColor="text1"/>
          <w:sz w:val="24"/>
          <w14:textFill>
            <w14:solidFill>
              <w14:schemeClr w14:val="tx1"/>
            </w14:solidFill>
          </w14:textFill>
        </w:rPr>
        <w:t>3.10.1.1饲料加工工艺</w:t>
      </w:r>
    </w:p>
    <w:p w14:paraId="35CBEFCA">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本项目采用每个</w:t>
      </w:r>
      <w:r>
        <w:rPr>
          <w:rFonts w:hint="eastAsia"/>
          <w:bCs/>
          <w:color w:val="000000" w:themeColor="text1"/>
          <w:sz w:val="24"/>
          <w14:textFill>
            <w14:solidFill>
              <w14:schemeClr w14:val="tx1"/>
            </w14:solidFill>
          </w14:textFill>
        </w:rPr>
        <w:t>养殖场</w:t>
      </w:r>
      <w:r>
        <w:rPr>
          <w:bCs/>
          <w:color w:val="000000" w:themeColor="text1"/>
          <w:sz w:val="24"/>
          <w14:textFill>
            <w14:solidFill>
              <w14:schemeClr w14:val="tx1"/>
            </w14:solidFill>
          </w14:textFill>
        </w:rPr>
        <w:t>配套建设</w:t>
      </w:r>
      <w:r>
        <w:rPr>
          <w:rFonts w:hint="eastAsia"/>
          <w:bCs/>
          <w:color w:val="000000" w:themeColor="text1"/>
          <w:sz w:val="24"/>
          <w14:textFill>
            <w14:solidFill>
              <w14:schemeClr w14:val="tx1"/>
            </w14:solidFill>
          </w14:textFill>
        </w:rPr>
        <w:t>饲料加工相关设施设备</w:t>
      </w:r>
      <w:r>
        <w:rPr>
          <w:bCs/>
          <w:color w:val="000000" w:themeColor="text1"/>
          <w:sz w:val="24"/>
          <w14:textFill>
            <w14:solidFill>
              <w14:schemeClr w14:val="tx1"/>
            </w14:solidFill>
          </w14:textFill>
        </w:rPr>
        <w:t>的模式，保证每个养殖</w:t>
      </w:r>
      <w:r>
        <w:rPr>
          <w:rFonts w:hint="eastAsia"/>
          <w:bCs/>
          <w:color w:val="000000" w:themeColor="text1"/>
          <w:sz w:val="24"/>
          <w14:textFill>
            <w14:solidFill>
              <w14:schemeClr w14:val="tx1"/>
            </w14:solidFill>
          </w14:textFill>
        </w:rPr>
        <w:t>场</w:t>
      </w:r>
      <w:r>
        <w:rPr>
          <w:bCs/>
          <w:color w:val="000000" w:themeColor="text1"/>
          <w:sz w:val="24"/>
          <w14:textFill>
            <w14:solidFill>
              <w14:schemeClr w14:val="tx1"/>
            </w14:solidFill>
          </w14:textFill>
        </w:rPr>
        <w:t>日粮营养均衡、口味统一。厂内日粮配料完成后转运方式是配置撒料车，进入各牛舍进行投喂。</w:t>
      </w:r>
      <w:r>
        <w:rPr>
          <w:rFonts w:hint="eastAsia"/>
          <w:bCs/>
          <w:color w:val="000000" w:themeColor="text1"/>
          <w:sz w:val="24"/>
          <w14:textFill>
            <w14:solidFill>
              <w14:schemeClr w14:val="tx1"/>
            </w14:solidFill>
          </w14:textFill>
        </w:rPr>
        <w:t>工艺流程如下：</w:t>
      </w:r>
    </w:p>
    <w:p w14:paraId="2D57726B">
      <w:pPr>
        <w:spacing w:line="360" w:lineRule="auto"/>
        <w:jc w:val="center"/>
        <w:rPr>
          <w:bCs/>
          <w:color w:val="000000" w:themeColor="text1"/>
          <w:sz w:val="24"/>
          <w14:textFill>
            <w14:solidFill>
              <w14:schemeClr w14:val="tx1"/>
            </w14:solidFill>
          </w14:textFill>
        </w:rPr>
      </w:pPr>
      <w:r>
        <w:rPr>
          <w:rFonts w:hint="eastAsia"/>
        </w:rPr>
        <w:object>
          <v:shape id="_x0000_i1027" o:spt="75" type="#_x0000_t75" style="height:253.35pt;width:392pt;" o:ole="t" filled="f" o:preferrelative="t" stroked="f" coordsize="21600,21600">
            <v:path/>
            <v:fill on="f" focussize="0,0"/>
            <v:stroke on="f" joinstyle="miter"/>
            <v:imagedata r:id="rId45" o:title=""/>
            <o:lock v:ext="edit" aspectratio="t"/>
            <w10:wrap type="none"/>
            <w10:anchorlock/>
          </v:shape>
          <o:OLEObject Type="Embed" ProgID="Visio.Drawing.15" ShapeID="_x0000_i1027" DrawAspect="Content" ObjectID="_1468075727" r:id="rId44">
            <o:LockedField>false</o:LockedField>
          </o:OLEObject>
        </w:object>
      </w:r>
    </w:p>
    <w:p w14:paraId="0913F190">
      <w:pPr>
        <w:pStyle w:val="87"/>
        <w:ind w:left="0" w:firstLine="0"/>
        <w:jc w:val="center"/>
        <w:rPr>
          <w:sz w:val="21"/>
          <w:szCs w:val="21"/>
          <w:lang w:val="en-US"/>
        </w:rPr>
      </w:pPr>
      <w:r>
        <w:rPr>
          <w:sz w:val="21"/>
          <w:szCs w:val="21"/>
        </w:rPr>
        <w:t>3.</w:t>
      </w:r>
      <w:r>
        <w:rPr>
          <w:sz w:val="21"/>
          <w:szCs w:val="21"/>
          <w:lang w:val="en-US"/>
        </w:rPr>
        <w:t>10</w:t>
      </w:r>
      <w:r>
        <w:rPr>
          <w:sz w:val="21"/>
          <w:szCs w:val="21"/>
        </w:rPr>
        <w:t>.1-1</w:t>
      </w:r>
      <w:r>
        <w:rPr>
          <w:rFonts w:eastAsia="黑体"/>
          <w:b w:val="0"/>
          <w:sz w:val="21"/>
          <w:szCs w:val="21"/>
          <w:lang w:val="en-US"/>
        </w:rPr>
        <w:t>饲料加工</w:t>
      </w:r>
      <w:r>
        <w:rPr>
          <w:rFonts w:eastAsia="黑体"/>
          <w:b w:val="0"/>
          <w:sz w:val="21"/>
          <w:szCs w:val="21"/>
        </w:rPr>
        <w:t>工艺流程及产污环节</w:t>
      </w:r>
      <w:r>
        <w:rPr>
          <w:rFonts w:hint="eastAsia" w:eastAsia="黑体"/>
          <w:b w:val="0"/>
          <w:sz w:val="21"/>
          <w:szCs w:val="21"/>
        </w:rPr>
        <w:t>图</w:t>
      </w:r>
    </w:p>
    <w:p w14:paraId="2575299E">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（1）青贮工艺</w:t>
      </w:r>
    </w:p>
    <w:p w14:paraId="0914955D">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本项目所使用青贮饲料加工流程包括新鲜皇竹草切碎、装填、封窖发酵。</w:t>
      </w:r>
    </w:p>
    <w:p w14:paraId="052D9F5B">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切碎：外购的新鲜皇竹草（含水率控制在</w:t>
      </w:r>
      <w:r>
        <w:rPr>
          <w:bCs/>
          <w:color w:val="000000" w:themeColor="text1"/>
          <w:sz w:val="24"/>
          <w14:textFill>
            <w14:solidFill>
              <w14:schemeClr w14:val="tx1"/>
            </w14:solidFill>
          </w14:textFill>
        </w:rPr>
        <w:t>70</w:t>
      </w:r>
      <w:r>
        <w:rPr>
          <w:rFonts w:hint="eastAsia"/>
          <w:bCs/>
          <w:color w:val="000000" w:themeColor="text1"/>
          <w:sz w:val="24"/>
          <w14:textFill>
            <w14:solidFill>
              <w14:schemeClr w14:val="tx1"/>
            </w14:solidFill>
          </w14:textFill>
        </w:rPr>
        <w:t>%左右，一般以用手攥紧切碎的青贮原料有液体渗出而不下滴为宜）通过铡草机切碎至细度1~2cm,。此过程原料含水率较大，切碎长度较大，基本不会产生粉尘。</w:t>
      </w:r>
    </w:p>
    <w:p w14:paraId="2420179C">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装填：青贮窖窖底铺上30cm厚的垫草，然后将粉碎后的牧草迅速装入窖池内，每装20cm至40cm左右时压实一次，尽量排除窖内空气。</w:t>
      </w:r>
    </w:p>
    <w:p w14:paraId="7E36809A">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封窑：本项目采用地面式青贮窖，地面为水泥抹面，方便青贮饲料的储用。青贮原料装满后，继续装至原料高出池的边沿40cm至60cm，然后用2~3层防老化的塑料薄膜从一端铺至另一端封严，塑料薄膜的宽度余出池体30~40cm，确保不漏水不漏气，然后在薄膜上压一层10～20cm的草帘，尽量避免池内空气残留。</w:t>
      </w:r>
      <w:r>
        <w:rPr>
          <w:rFonts w:hint="eastAsia"/>
          <w:bCs/>
          <w:color w:val="FF0000"/>
          <w:sz w:val="24"/>
        </w:rPr>
        <w:t>该过程会产生少量发酵异味。</w:t>
      </w:r>
    </w:p>
    <w:p w14:paraId="5E41611F">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取料：饲料青贮后30～50d便可开窑取喂。取料口应选在避阳一端，取料时用多少取多少，从一端开启，由上到下垂直切取，不可全面打开或掏洞取料，尽量减小取料横截面，取料后立即盖严取料口。</w:t>
      </w:r>
    </w:p>
    <w:p w14:paraId="09345285">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（2）精饲料加工</w:t>
      </w:r>
    </w:p>
    <w:p w14:paraId="3DE23F84">
      <w:pPr>
        <w:spacing w:line="360" w:lineRule="auto"/>
        <w:ind w:firstLine="480" w:firstLineChars="200"/>
        <w:rPr>
          <w:bCs/>
          <w:color w:val="FF0000"/>
          <w:sz w:val="24"/>
        </w:rPr>
      </w:pPr>
      <w:r>
        <w:rPr>
          <w:rFonts w:hint="eastAsia"/>
          <w:bCs/>
          <w:color w:val="000000" w:themeColor="text1"/>
          <w:sz w:val="24"/>
          <w14:textFill>
            <w14:solidFill>
              <w14:schemeClr w14:val="tx1"/>
            </w14:solidFill>
          </w14:textFill>
        </w:rPr>
        <w:t>外购玉米进行粉碎，加入麦麸、豆粕、预混料混合后生产精饲料，玉米采用玉米粉碎机进行粉碎，精饲料加工采用精料加工设备（粉碎搅拌一体）。玉米颗粒投入器皿中经密闭上料管至粉碎机中，经粉碎机粉碎后由密闭管道输送至密闭搅拌机中，麦麸、豆粕、预混料均为颗粒状或片状，由密封搅拌机的辅料斗添加经管道输送至搅拌机中与粉碎后的玉米进行充分搅拌，搅拌完成后袋装暂存。上料过程粉尘产生量较少，搅拌为密闭状态。</w:t>
      </w:r>
      <w:r>
        <w:rPr>
          <w:rFonts w:hint="eastAsia"/>
          <w:bCs/>
          <w:color w:val="FF0000"/>
          <w:sz w:val="24"/>
        </w:rPr>
        <w:t>因此该过程主要产生粉尘以及设备噪声。</w:t>
      </w:r>
    </w:p>
    <w:p w14:paraId="09A4D416">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（3）T</w:t>
      </w:r>
      <w:r>
        <w:rPr>
          <w:bCs/>
          <w:color w:val="000000" w:themeColor="text1"/>
          <w:sz w:val="24"/>
          <w14:textFill>
            <w14:solidFill>
              <w14:schemeClr w14:val="tx1"/>
            </w14:solidFill>
          </w14:textFill>
        </w:rPr>
        <w:t>MR</w:t>
      </w:r>
      <w:r>
        <w:rPr>
          <w:rFonts w:hint="eastAsia"/>
          <w:bCs/>
          <w:color w:val="000000" w:themeColor="text1"/>
          <w:sz w:val="24"/>
          <w14:textFill>
            <w14:solidFill>
              <w14:schemeClr w14:val="tx1"/>
            </w14:solidFill>
          </w14:textFill>
        </w:rPr>
        <w:t>加工工艺</w:t>
      </w:r>
    </w:p>
    <w:p w14:paraId="5E92FC06">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本项目各种饲料混合采用专用的全混合日粮饲喂（TMR）技术，是指根据牛不同的生理阶段，制定不同的营养配方，再按照营养配方，用专用搅拌机械，将青贮饲料、</w:t>
      </w:r>
      <w:r>
        <w:rPr>
          <w:rFonts w:hint="eastAsia"/>
          <w:bCs/>
          <w:color w:val="000000" w:themeColor="text1"/>
          <w:sz w:val="24"/>
          <w14:textFill>
            <w14:solidFill>
              <w14:schemeClr w14:val="tx1"/>
            </w14:solidFill>
          </w14:textFill>
        </w:rPr>
        <w:t>干草、</w:t>
      </w:r>
      <w:r>
        <w:rPr>
          <w:bCs/>
          <w:color w:val="000000" w:themeColor="text1"/>
          <w:sz w:val="24"/>
          <w14:textFill>
            <w14:solidFill>
              <w14:schemeClr w14:val="tx1"/>
            </w14:solidFill>
          </w14:textFill>
        </w:rPr>
        <w:t>精饲料等日粮各组分按照一定比例、投入顺序混合充分而获得一种营养相对均衡的混合饲料，供肉牛自由采食的一种营养平衡日粮</w:t>
      </w:r>
      <w:r>
        <w:rPr>
          <w:rFonts w:hint="eastAsia"/>
          <w:bCs/>
          <w:color w:val="000000" w:themeColor="text1"/>
          <w:sz w:val="24"/>
          <w14:textFill>
            <w14:solidFill>
              <w14:schemeClr w14:val="tx1"/>
            </w14:solidFill>
          </w14:textFill>
        </w:rPr>
        <w:t>的技术</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添加顺序为先干草，然后是青贮饲料，最后是精料补充料。搅拌时间为</w:t>
      </w:r>
      <w:r>
        <w:rPr>
          <w:bCs/>
          <w:color w:val="000000" w:themeColor="text1"/>
          <w:sz w:val="24"/>
          <w14:textFill>
            <w14:solidFill>
              <w14:schemeClr w14:val="tx1"/>
            </w14:solidFill>
          </w14:textFill>
        </w:rPr>
        <w:t>5</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8</w:t>
      </w:r>
      <w:r>
        <w:rPr>
          <w:rFonts w:hint="eastAsia"/>
          <w:bCs/>
          <w:color w:val="000000" w:themeColor="text1"/>
          <w:sz w:val="24"/>
          <w14:textFill>
            <w14:solidFill>
              <w14:schemeClr w14:val="tx1"/>
            </w14:solidFill>
          </w14:textFill>
        </w:rPr>
        <w:t>分钟，混合后将饲料投放至肉牛采食区域。</w:t>
      </w:r>
    </w:p>
    <w:p w14:paraId="432C6009">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其加工制作方法步骤如下：</w:t>
      </w:r>
    </w:p>
    <w:p w14:paraId="186D0673">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1）原料填装。</w:t>
      </w:r>
      <w:r>
        <w:rPr>
          <w:rFonts w:hint="eastAsia"/>
          <w:bCs/>
          <w:color w:val="000000" w:themeColor="text1"/>
          <w:sz w:val="24"/>
          <w14:textFill>
            <w14:solidFill>
              <w14:schemeClr w14:val="tx1"/>
            </w14:solidFill>
          </w14:textFill>
        </w:rPr>
        <w:t>根据</w:t>
      </w:r>
      <w:r>
        <w:rPr>
          <w:bCs/>
          <w:color w:val="000000" w:themeColor="text1"/>
          <w:sz w:val="24"/>
          <w14:textFill>
            <w14:solidFill>
              <w14:schemeClr w14:val="tx1"/>
            </w14:solidFill>
          </w14:textFill>
        </w:rPr>
        <w:t>全混合日粮</w:t>
      </w:r>
      <w:r>
        <w:rPr>
          <w:rFonts w:hint="eastAsia"/>
          <w:bCs/>
          <w:color w:val="000000" w:themeColor="text1"/>
          <w:sz w:val="24"/>
          <w14:textFill>
            <w14:solidFill>
              <w14:schemeClr w14:val="tx1"/>
            </w14:solidFill>
          </w14:textFill>
        </w:rPr>
        <w:t>配方将原料依次填充于T</w:t>
      </w:r>
      <w:r>
        <w:rPr>
          <w:bCs/>
          <w:color w:val="000000" w:themeColor="text1"/>
          <w:sz w:val="24"/>
          <w14:textFill>
            <w14:solidFill>
              <w14:schemeClr w14:val="tx1"/>
            </w14:solidFill>
          </w14:textFill>
        </w:rPr>
        <w:t>MR搅拌机</w:t>
      </w:r>
      <w:r>
        <w:rPr>
          <w:rFonts w:hint="eastAsia"/>
          <w:bCs/>
          <w:color w:val="000000" w:themeColor="text1"/>
          <w:sz w:val="24"/>
          <w14:textFill>
            <w14:solidFill>
              <w14:schemeClr w14:val="tx1"/>
            </w14:solidFill>
          </w14:textFill>
        </w:rPr>
        <w:t>内，</w:t>
      </w:r>
      <w:r>
        <w:rPr>
          <w:bCs/>
          <w:color w:val="000000" w:themeColor="text1"/>
          <w:sz w:val="24"/>
          <w14:textFill>
            <w14:solidFill>
              <w14:schemeClr w14:val="tx1"/>
            </w14:solidFill>
          </w14:textFill>
        </w:rPr>
        <w:t>原料填装顺序为</w:t>
      </w:r>
      <w:r>
        <w:rPr>
          <w:rFonts w:hint="eastAsia"/>
          <w:bCs/>
          <w:color w:val="000000" w:themeColor="text1"/>
          <w:sz w:val="24"/>
          <w14:textFill>
            <w14:solidFill>
              <w14:schemeClr w14:val="tx1"/>
            </w14:solidFill>
          </w14:textFill>
        </w:rPr>
        <w:t>干草、</w:t>
      </w:r>
      <w:r>
        <w:rPr>
          <w:bCs/>
          <w:color w:val="000000" w:themeColor="text1"/>
          <w:sz w:val="24"/>
          <w14:textFill>
            <w14:solidFill>
              <w14:schemeClr w14:val="tx1"/>
            </w14:solidFill>
          </w14:textFill>
        </w:rPr>
        <w:t>青贮饲料、精饲料。人工添加原料过程中，防止将</w:t>
      </w:r>
      <w:r>
        <w:rPr>
          <w:rFonts w:hint="eastAsia"/>
          <w:bCs/>
          <w:color w:val="000000" w:themeColor="text1"/>
          <w:sz w:val="24"/>
          <w14:textFill>
            <w14:solidFill>
              <w14:schemeClr w14:val="tx1"/>
            </w14:solidFill>
          </w14:textFill>
        </w:rPr>
        <w:t>其他异物</w:t>
      </w:r>
      <w:r>
        <w:rPr>
          <w:bCs/>
          <w:color w:val="000000" w:themeColor="text1"/>
          <w:sz w:val="24"/>
          <w14:textFill>
            <w14:solidFill>
              <w14:schemeClr w14:val="tx1"/>
            </w14:solidFill>
          </w14:textFill>
        </w:rPr>
        <w:t>混入搅拌车。</w:t>
      </w:r>
    </w:p>
    <w:p w14:paraId="23F6C472">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2）原料混合。</w:t>
      </w:r>
      <w:r>
        <w:rPr>
          <w:rFonts w:hint="eastAsia"/>
          <w:bCs/>
          <w:color w:val="000000" w:themeColor="text1"/>
          <w:sz w:val="24"/>
          <w14:textFill>
            <w14:solidFill>
              <w14:schemeClr w14:val="tx1"/>
            </w14:solidFill>
          </w14:textFill>
        </w:rPr>
        <w:t>根据日粮配方方案，</w:t>
      </w:r>
      <w:r>
        <w:rPr>
          <w:bCs/>
          <w:color w:val="000000" w:themeColor="text1"/>
          <w:sz w:val="24"/>
          <w14:textFill>
            <w14:solidFill>
              <w14:schemeClr w14:val="tx1"/>
            </w14:solidFill>
          </w14:textFill>
        </w:rPr>
        <w:t>由人工将配制好的精饲料与定量的</w:t>
      </w:r>
      <w:r>
        <w:rPr>
          <w:rFonts w:hint="eastAsia"/>
          <w:bCs/>
          <w:color w:val="000000" w:themeColor="text1"/>
          <w:sz w:val="24"/>
          <w14:textFill>
            <w14:solidFill>
              <w14:schemeClr w14:val="tx1"/>
            </w14:solidFill>
          </w14:textFill>
        </w:rPr>
        <w:t>青贮料、干草</w:t>
      </w:r>
      <w:r>
        <w:rPr>
          <w:bCs/>
          <w:color w:val="000000" w:themeColor="text1"/>
          <w:sz w:val="24"/>
          <w14:textFill>
            <w14:solidFill>
              <w14:schemeClr w14:val="tx1"/>
            </w14:solidFill>
          </w14:textFill>
        </w:rPr>
        <w:t xml:space="preserve">多次掺拌，至混合均匀。 </w:t>
      </w:r>
    </w:p>
    <w:p w14:paraId="299D20B4">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采用边投料边搅拌的方式，通常在最后一批原料加完后再混合5分钟~8 分钟。由人工将配制好的精饲料与定量的粗饲料多次掺拌，至混合均匀。</w:t>
      </w:r>
    </w:p>
    <w:p w14:paraId="0BFC5257">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使用TMR饲喂技术，可充分利用饲料资源，降低养殖成本。减少人工需求，提高牛场工作效率。维持瘤胃内环境稳定，提高饲料的利用效率。</w:t>
      </w:r>
    </w:p>
    <w:p w14:paraId="69EF88E1">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固定式TMR制备机可将饲料制备和饲料投放进行分离，大幅度节约喂料时间，一台固定式TMR制备机可完成两台以上其它机器的作业任务显著减少了人员配备，牧场不需额外购买拖拉机装载机、取料机、皮带输送机等辅助设备，由于豆粕、</w:t>
      </w:r>
      <w:r>
        <w:rPr>
          <w:rFonts w:hint="eastAsia"/>
          <w:bCs/>
          <w:color w:val="000000" w:themeColor="text1"/>
          <w:sz w:val="24"/>
          <w14:textFill>
            <w14:solidFill>
              <w14:schemeClr w14:val="tx1"/>
            </w14:solidFill>
          </w14:textFill>
        </w:rPr>
        <w:t>麦麸</w:t>
      </w:r>
      <w:r>
        <w:rPr>
          <w:bCs/>
          <w:color w:val="000000" w:themeColor="text1"/>
          <w:sz w:val="24"/>
          <w14:textFill>
            <w14:solidFill>
              <w14:schemeClr w14:val="tx1"/>
            </w14:solidFill>
          </w14:textFill>
        </w:rPr>
        <w:t>、玉米粉等原料粒度大，而青贮料均为短段、湿度大，无破碎工序，各物料一般都有一定的湿度，同时其配方中喷入一定量的水，以保持饲料的湿度，因此在配制过程中，需在喷水的情况下进行搅拌，</w:t>
      </w:r>
      <w:r>
        <w:rPr>
          <w:bCs/>
          <w:color w:val="FF0000"/>
          <w:sz w:val="24"/>
        </w:rPr>
        <w:t>且固定式TMR制备机封闭运行，故不考虑饲料粉尘。</w:t>
      </w:r>
    </w:p>
    <w:p w14:paraId="61E50ABC">
      <w:pPr>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TMR技术简介：</w:t>
      </w:r>
    </w:p>
    <w:p w14:paraId="2AD9CBE1">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（1）TMR工作原理</w:t>
      </w:r>
    </w:p>
    <w:p w14:paraId="006F3AB4">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全混合日粮搅拌机主要由一个或两个绞龙组成，螺旋绞龙分为左旋和右旋。在混切搅拌时，物料从箱体两端各个方位同时向搅拌机中间位置旋切搅拌。绞龙螺旋体上每个螺旋导程装有动刀片，与饲料搅拌机中心线位置上的固定齿作切割工作，将通过的各种纤维性秸秆进行切割搅拌，从而达到粉碎混合均匀的全混合日粮喂养效果。</w:t>
      </w:r>
    </w:p>
    <w:p w14:paraId="462BB533">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（2）出料系统</w:t>
      </w:r>
    </w:p>
    <w:p w14:paraId="15D34D02">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出料门控制由液压油缸、固定支座、联动支座、滑动放料挡板组成。出料滑动挡板装在液压油缸往复运动轴上，可开启放料或关闭挡料，出料处装有高强度磁板完成除铁任务。</w:t>
      </w:r>
    </w:p>
    <w:p w14:paraId="663DFEBF">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（3）称重计量系统</w:t>
      </w:r>
    </w:p>
    <w:p w14:paraId="7362C7FD">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由四支桥式称重传感器和称重显示控制仪组成。该系统由220V电源通过四个方位的桥式称重传感器将信号输送到称重显示仪，显示毛重、净重、峰值及重量变动输出零位，完成饲料的配比和计量。并具有超载报警功能。</w:t>
      </w:r>
    </w:p>
    <w:p w14:paraId="2F9F369D">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（4）TMR饲料搅拌机</w:t>
      </w:r>
    </w:p>
    <w:p w14:paraId="09FEE8B3">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TMR是英文Total Mixed Rations（全混合日粮）的简称，所谓全混合日粮（TMR）是一种粗料、精料、矿物质、微生物和其他添加剂充分混合，能够提供足够的营养以满足肉牛需要。TMR饲养技术在配套技术措施和性能优良的TMR机械的基础上，能够保证肉牛每采食一口日粮都是精粗比例稳定、营养浓度一致的全价日粮，是肉牛饲养方式的一大变革。</w:t>
      </w:r>
    </w:p>
    <w:p w14:paraId="1331CF55">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（5）TMR喂养与传统喂养方式相比，TMR具有以下优点</w:t>
      </w:r>
    </w:p>
    <w:p w14:paraId="7C293245">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加肉牛干物质的采食量，可以排除肉牛对某一特殊饲料的选择性（挑食），有利于最大限度地利用低成本的饲料配方。同时TMR是按日粮中规定的比例完全混合的，减少了偶然发生的微量元素、维生素的缺乏或中毒现象；提高肉牛质量；降低肉牛疾病发生率；提高肉牛繁殖率；节省饲料成本；节约劳力时间，提高经济效益等。集中饲料贮存设施，移动撒料车饲喂。</w:t>
      </w:r>
    </w:p>
    <w:p w14:paraId="78EB9B1C">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项目从刺激肉牛采食和保证肉牛进食量的角度考虑，每天2次上料，每天至少进行2次整槽，2次清槽。</w:t>
      </w:r>
    </w:p>
    <w:p w14:paraId="01AA79F6">
      <w:pPr>
        <w:spacing w:line="360" w:lineRule="auto"/>
        <w:ind w:firstLine="480" w:firstLineChars="200"/>
        <w:rPr>
          <w:rFonts w:eastAsia="黑体"/>
          <w:bCs/>
          <w:color w:val="FF0000"/>
          <w:sz w:val="24"/>
        </w:rPr>
      </w:pPr>
      <w:r>
        <w:rPr>
          <w:rFonts w:eastAsia="黑体"/>
          <w:bCs/>
          <w:color w:val="FF0000"/>
          <w:sz w:val="24"/>
        </w:rPr>
        <w:t>3.10.1.2肉牛饲养工艺</w:t>
      </w:r>
    </w:p>
    <w:p w14:paraId="04157E5B">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本项目以</w:t>
      </w:r>
      <w:r>
        <w:rPr>
          <w:kern w:val="0"/>
          <w:sz w:val="24"/>
        </w:rPr>
        <w:t>肉牛育肥养殖为主</w:t>
      </w:r>
      <w:r>
        <w:rPr>
          <w:rFonts w:hint="eastAsia"/>
          <w:kern w:val="0"/>
          <w:sz w:val="24"/>
        </w:rPr>
        <w:t>，</w:t>
      </w:r>
      <w:r>
        <w:rPr>
          <w:rFonts w:hint="eastAsia"/>
          <w:bCs/>
          <w:sz w:val="24"/>
        </w:rPr>
        <w:t>采取舍饲短期快速育肥模式育肥肉牛</w:t>
      </w:r>
      <w:r>
        <w:rPr>
          <w:bCs/>
          <w:sz w:val="24"/>
        </w:rPr>
        <w:t>，</w:t>
      </w:r>
      <w:r>
        <w:rPr>
          <w:kern w:val="0"/>
          <w:sz w:val="24"/>
        </w:rPr>
        <w:t>非疫区的周边农户或养殖场</w:t>
      </w:r>
      <w:r>
        <w:rPr>
          <w:rFonts w:hint="eastAsia"/>
          <w:bCs/>
          <w:color w:val="000000" w:themeColor="text1"/>
          <w:sz w:val="24"/>
          <w14:textFill>
            <w14:solidFill>
              <w14:schemeClr w14:val="tx1"/>
            </w14:solidFill>
          </w14:textFill>
        </w:rPr>
        <w:t>收</w:t>
      </w:r>
      <w:r>
        <w:rPr>
          <w:bCs/>
          <w:color w:val="000000" w:themeColor="text1"/>
          <w:sz w:val="24"/>
          <w14:textFill>
            <w14:solidFill>
              <w14:schemeClr w14:val="tx1"/>
            </w14:solidFill>
          </w14:textFill>
        </w:rPr>
        <w:t>购</w:t>
      </w:r>
      <w:r>
        <w:rPr>
          <w:kern w:val="0"/>
          <w:sz w:val="24"/>
        </w:rPr>
        <w:t>12月龄的生长牛（架子牛）</w:t>
      </w:r>
      <w:r>
        <w:rPr>
          <w:bCs/>
          <w:color w:val="000000" w:themeColor="text1"/>
          <w:sz w:val="24"/>
          <w14:textFill>
            <w14:solidFill>
              <w14:schemeClr w14:val="tx1"/>
            </w14:solidFill>
          </w14:textFill>
        </w:rPr>
        <w:t>，其中安格斯牛生长牛入场大于400kg左右，空山牛生长牛入场大于200kg，由本项目进行育肥至安格斯牛达到大于650kg，空山牛达到大于400kg 后出栏外售，生长牛育肥成活率99.9%。肉牛养殖圈舍在育肥牛进场前应进行彻底的冲洗、消毒处理，待育肥肉牛正式进厂后应保持舍内清洁、干燥、通风良好、饮水充足，温度控制在18～22℃，夏季注意防暑降温。</w:t>
      </w:r>
    </w:p>
    <w:p w14:paraId="479D0E13">
      <w:pPr>
        <w:pStyle w:val="87"/>
        <w:spacing w:before="0" w:after="0"/>
        <w:ind w:left="0" w:firstLine="0"/>
        <w:jc w:val="center"/>
        <w:rPr>
          <w:sz w:val="21"/>
          <w:szCs w:val="21"/>
        </w:rPr>
      </w:pPr>
      <w:bookmarkStart w:id="378" w:name="OLE_LINK90"/>
      <w:r>
        <w:object>
          <v:shape id="_x0000_i1028" o:spt="75" type="#_x0000_t75" style="height:272pt;width:330pt;" o:ole="t" filled="f" o:preferrelative="t" stroked="f" coordsize="21600,21600">
            <v:path/>
            <v:fill on="f" focussize="0,0"/>
            <v:stroke on="f" joinstyle="miter"/>
            <v:imagedata r:id="rId47" o:title=""/>
            <o:lock v:ext="edit" aspectratio="t"/>
            <w10:wrap type="none"/>
            <w10:anchorlock/>
          </v:shape>
          <o:OLEObject Type="Embed" ProgID="Visio.Drawing.15" ShapeID="_x0000_i1028" DrawAspect="Content" ObjectID="_1468075728" r:id="rId46">
            <o:LockedField>false</o:LockedField>
          </o:OLEObject>
        </w:object>
      </w:r>
      <w:bookmarkEnd w:id="378"/>
    </w:p>
    <w:p w14:paraId="6F31D564">
      <w:pPr>
        <w:pStyle w:val="87"/>
        <w:ind w:left="0" w:firstLine="0"/>
        <w:jc w:val="center"/>
        <w:rPr>
          <w:sz w:val="21"/>
          <w:szCs w:val="21"/>
          <w:lang w:val="en-US"/>
        </w:rPr>
      </w:pPr>
      <w:r>
        <w:rPr>
          <w:sz w:val="21"/>
          <w:szCs w:val="21"/>
        </w:rPr>
        <w:t>3.</w:t>
      </w:r>
      <w:r>
        <w:rPr>
          <w:sz w:val="21"/>
          <w:szCs w:val="21"/>
          <w:lang w:val="en-US"/>
        </w:rPr>
        <w:t>10</w:t>
      </w:r>
      <w:r>
        <w:rPr>
          <w:sz w:val="21"/>
          <w:szCs w:val="21"/>
        </w:rPr>
        <w:t>.1-</w:t>
      </w:r>
      <w:r>
        <w:rPr>
          <w:sz w:val="21"/>
          <w:szCs w:val="21"/>
          <w:lang w:val="en-US"/>
        </w:rPr>
        <w:t>2</w:t>
      </w:r>
      <w:r>
        <w:rPr>
          <w:rFonts w:eastAsia="黑体"/>
          <w:b w:val="0"/>
          <w:sz w:val="21"/>
          <w:szCs w:val="21"/>
          <w:lang w:val="en-US"/>
        </w:rPr>
        <w:t>肉牛养殖</w:t>
      </w:r>
      <w:r>
        <w:rPr>
          <w:rFonts w:eastAsia="黑体"/>
          <w:b w:val="0"/>
          <w:sz w:val="21"/>
          <w:szCs w:val="21"/>
        </w:rPr>
        <w:t>工艺流程及产污环节</w:t>
      </w:r>
      <w:r>
        <w:rPr>
          <w:rFonts w:hint="eastAsia" w:eastAsia="黑体"/>
          <w:b w:val="0"/>
          <w:sz w:val="21"/>
          <w:szCs w:val="21"/>
        </w:rPr>
        <w:t>图</w:t>
      </w:r>
    </w:p>
    <w:p w14:paraId="65D460D3">
      <w:pPr>
        <w:spacing w:line="360" w:lineRule="auto"/>
        <w:ind w:firstLine="480" w:firstLineChars="200"/>
        <w:rPr>
          <w:bCs/>
          <w:sz w:val="24"/>
        </w:rPr>
      </w:pPr>
      <w:r>
        <w:rPr>
          <w:rFonts w:hint="eastAsia"/>
          <w:bCs/>
          <w:sz w:val="24"/>
        </w:rPr>
        <w:t>本项目</w:t>
      </w:r>
      <w:r>
        <w:rPr>
          <w:bCs/>
          <w:sz w:val="24"/>
        </w:rPr>
        <w:t>主要技术流程如下：</w:t>
      </w:r>
    </w:p>
    <w:p w14:paraId="1F937677">
      <w:pPr>
        <w:spacing w:line="360" w:lineRule="auto"/>
        <w:ind w:firstLine="480" w:firstLineChars="200"/>
        <w:rPr>
          <w:bCs/>
          <w:sz w:val="24"/>
        </w:rPr>
      </w:pPr>
      <w:r>
        <w:rPr>
          <w:rFonts w:hint="eastAsia"/>
          <w:bCs/>
          <w:sz w:val="24"/>
        </w:rPr>
        <w:t>圈舍</w:t>
      </w:r>
      <w:r>
        <w:rPr>
          <w:bCs/>
          <w:sz w:val="24"/>
        </w:rPr>
        <w:t>消毒→</w:t>
      </w:r>
      <w:r>
        <w:rPr>
          <w:rFonts w:hint="eastAsia"/>
          <w:bCs/>
          <w:sz w:val="24"/>
        </w:rPr>
        <w:t>场床铺设</w:t>
      </w:r>
      <w:r>
        <w:rPr>
          <w:bCs/>
          <w:sz w:val="24"/>
        </w:rPr>
        <w:t>→</w:t>
      </w:r>
      <w:r>
        <w:rPr>
          <w:rFonts w:hint="eastAsia"/>
          <w:bCs/>
          <w:sz w:val="24"/>
        </w:rPr>
        <w:t>发酵菌制作</w:t>
      </w:r>
      <w:r>
        <w:rPr>
          <w:bCs/>
          <w:sz w:val="24"/>
        </w:rPr>
        <w:t>→当地或外地畜选购架子牛</w:t>
      </w:r>
      <w:r>
        <w:rPr>
          <w:rFonts w:hint="eastAsia"/>
          <w:bCs/>
          <w:sz w:val="24"/>
        </w:rPr>
        <w:t>及牛群</w:t>
      </w:r>
      <w:r>
        <w:rPr>
          <w:bCs/>
          <w:sz w:val="24"/>
        </w:rPr>
        <w:t>入场→防疫驱虫→隔离观察→称重分群→科学舍饲短期育肥→膘情评定→出栏。</w:t>
      </w:r>
    </w:p>
    <w:p w14:paraId="1047B73F">
      <w:pPr>
        <w:spacing w:line="360" w:lineRule="auto"/>
        <w:ind w:firstLine="480" w:firstLineChars="200"/>
        <w:rPr>
          <w:bCs/>
          <w:sz w:val="24"/>
        </w:rPr>
      </w:pPr>
      <w:r>
        <w:rPr>
          <w:bCs/>
          <w:sz w:val="24"/>
        </w:rPr>
        <w:t>（1）</w:t>
      </w:r>
      <w:r>
        <w:rPr>
          <w:rFonts w:hint="eastAsia"/>
          <w:bCs/>
          <w:sz w:val="24"/>
        </w:rPr>
        <w:t>圈舍</w:t>
      </w:r>
      <w:r>
        <w:rPr>
          <w:bCs/>
          <w:sz w:val="24"/>
        </w:rPr>
        <w:t>消毒：牛舍在</w:t>
      </w:r>
      <w:r>
        <w:rPr>
          <w:rFonts w:hint="eastAsia"/>
          <w:bCs/>
          <w:sz w:val="24"/>
        </w:rPr>
        <w:t>第一次架子牛入栏前及</w:t>
      </w:r>
      <w:r>
        <w:rPr>
          <w:bCs/>
          <w:sz w:val="24"/>
        </w:rPr>
        <w:t>批次出栏后，要及时消毒</w:t>
      </w:r>
      <w:r>
        <w:rPr>
          <w:rFonts w:hint="eastAsia"/>
          <w:bCs/>
          <w:sz w:val="24"/>
        </w:rPr>
        <w:t>圈舍</w:t>
      </w:r>
      <w:r>
        <w:rPr>
          <w:bCs/>
          <w:sz w:val="24"/>
        </w:rPr>
        <w:t>，待下批次牛转入；</w:t>
      </w:r>
    </w:p>
    <w:p w14:paraId="2A4DA309">
      <w:pPr>
        <w:spacing w:line="360" w:lineRule="auto"/>
        <w:ind w:firstLine="480" w:firstLineChars="200"/>
        <w:rPr>
          <w:bCs/>
          <w:sz w:val="24"/>
        </w:rPr>
      </w:pPr>
      <w:r>
        <w:rPr>
          <w:bCs/>
          <w:sz w:val="24"/>
        </w:rPr>
        <w:t>（2）外购生长牛</w:t>
      </w:r>
      <w:r>
        <w:rPr>
          <w:rFonts w:hint="eastAsia"/>
          <w:bCs/>
          <w:sz w:val="24"/>
        </w:rPr>
        <w:t>（</w:t>
      </w:r>
      <w:r>
        <w:rPr>
          <w:bCs/>
          <w:sz w:val="24"/>
        </w:rPr>
        <w:t>架子牛）</w:t>
      </w:r>
      <w:r>
        <w:rPr>
          <w:rFonts w:hint="eastAsia"/>
          <w:bCs/>
          <w:sz w:val="24"/>
        </w:rPr>
        <w:t>、牛群入场：</w:t>
      </w:r>
      <w:r>
        <w:rPr>
          <w:bCs/>
          <w:sz w:val="24"/>
        </w:rPr>
        <w:t>本项目外购进入养殖场内的肉牛为12月龄的生长牛（架子牛），安格斯牛体重在400kg左右、空山牛体重在200kg左右。进场后经过检疫检查，驱虫、育肥前的适应性饲养、过渡期饲养后开始正式育肥。</w:t>
      </w:r>
    </w:p>
    <w:p w14:paraId="7F745E1E">
      <w:pPr>
        <w:spacing w:line="360" w:lineRule="auto"/>
        <w:ind w:firstLine="480" w:firstLineChars="200"/>
        <w:rPr>
          <w:bCs/>
          <w:sz w:val="24"/>
        </w:rPr>
      </w:pPr>
      <w:r>
        <w:rPr>
          <w:bCs/>
          <w:sz w:val="24"/>
        </w:rPr>
        <w:t>（3）防疫驱虫及隔离观察：这一时期主要是让牛熟悉新的环境，适应新的草料条件，消除运输过程中造成的应激反应，恢复牛的体力和体重，观察牛只健康等。驱虫选用阿维菌素，一次用药同时驱杀体内外多种寄生虫。日粮开始以品质较好的牧草和青贮饲料为主，不喂或少喂精料，过渡驱虫期时间约10天。一般在牛龄为10-12月龄时，用“虫克星”或“左旋咪唑”驱虫1次；12月龄时，用“人工盐”健胃1次，口服剂量为每头牛60-80克。</w:t>
      </w:r>
      <w:r>
        <w:rPr>
          <w:rFonts w:hint="eastAsia"/>
          <w:bCs/>
          <w:sz w:val="24"/>
        </w:rPr>
        <w:t>牛购进后在隔离区观察15天以上，确认为健康后方可合群饲养。</w:t>
      </w:r>
    </w:p>
    <w:p w14:paraId="2E4B9A8A">
      <w:pPr>
        <w:spacing w:line="360" w:lineRule="auto"/>
        <w:ind w:firstLine="480" w:firstLineChars="200"/>
        <w:rPr>
          <w:bCs/>
          <w:sz w:val="24"/>
        </w:rPr>
      </w:pPr>
      <w:r>
        <w:rPr>
          <w:bCs/>
          <w:sz w:val="24"/>
        </w:rPr>
        <w:t>（4）称重分群：根据肉牛体重</w:t>
      </w:r>
      <w:r>
        <w:rPr>
          <w:rFonts w:hint="eastAsia"/>
          <w:bCs/>
          <w:sz w:val="24"/>
        </w:rPr>
        <w:t>及品种</w:t>
      </w:r>
      <w:r>
        <w:rPr>
          <w:bCs/>
          <w:sz w:val="24"/>
        </w:rPr>
        <w:t>划分不同群组是开展精细化养殖的重要过程，有助于养殖户及时了解分群效果、掌握育肥情况，从而制定合理的饲养计划。体重是用于评测肉牛生产性能的关键参数，有助于饲养员了解分群效果、掌握育肥情况。定期测量育肥牛只的体重变化，可以迅速筛选出生产缓慢的牛只，调整饲养计划和管理方案。</w:t>
      </w:r>
    </w:p>
    <w:p w14:paraId="25745A81">
      <w:pPr>
        <w:spacing w:line="360" w:lineRule="auto"/>
        <w:ind w:firstLine="480" w:firstLineChars="200"/>
        <w:rPr>
          <w:bCs/>
          <w:sz w:val="24"/>
        </w:rPr>
      </w:pPr>
      <w:r>
        <w:rPr>
          <w:bCs/>
          <w:sz w:val="24"/>
        </w:rPr>
        <w:t>在养殖过程中，将</w:t>
      </w:r>
      <w:r>
        <w:rPr>
          <w:rFonts w:hint="eastAsia"/>
          <w:bCs/>
          <w:sz w:val="24"/>
        </w:rPr>
        <w:t>体型</w:t>
      </w:r>
      <w:r>
        <w:rPr>
          <w:bCs/>
          <w:sz w:val="24"/>
        </w:rPr>
        <w:t>相近的牛只放在一起饲养可以提高整个牛群的整齐度，有助于提高肉牛的采食量和出栏率。</w:t>
      </w:r>
    </w:p>
    <w:p w14:paraId="2E966C4D">
      <w:pPr>
        <w:spacing w:line="360" w:lineRule="auto"/>
        <w:ind w:firstLine="480" w:firstLineChars="200"/>
        <w:rPr>
          <w:bCs/>
          <w:sz w:val="24"/>
        </w:rPr>
      </w:pPr>
      <w:r>
        <w:rPr>
          <w:bCs/>
          <w:sz w:val="24"/>
        </w:rPr>
        <w:t>（5）科学舍饲短期育肥：本项目采用短期育肥的方式进行食用肉牛饲养，饲养过程中定时、定量、定位投料，自由给水，保证饲料的供应。生长牛育肥期约6个月。本项目育肥期牛的体重，安格斯牛约为400～650kg；空山牛约为200~400kg。育肥期时间约6个月。</w:t>
      </w:r>
    </w:p>
    <w:p w14:paraId="5BC59060">
      <w:pPr>
        <w:spacing w:line="360" w:lineRule="auto"/>
        <w:ind w:firstLine="482" w:firstLineChars="200"/>
        <w:rPr>
          <w:bCs/>
          <w:sz w:val="24"/>
        </w:rPr>
      </w:pPr>
      <w:r>
        <w:rPr>
          <w:b/>
          <w:bCs/>
          <w:sz w:val="24"/>
        </w:rPr>
        <w:t>养殖方式</w:t>
      </w:r>
      <w:r>
        <w:rPr>
          <w:bCs/>
          <w:sz w:val="24"/>
        </w:rPr>
        <w:t>：项目采用多轮滚动养殖模式的方式，批次购入和批次出栏</w:t>
      </w:r>
      <w:r>
        <w:rPr>
          <w:rFonts w:hint="eastAsia"/>
          <w:bCs/>
          <w:sz w:val="24"/>
        </w:rPr>
        <w:t>；采用场床一体化肉牛养殖模式（半限位+场床），外购的牛仔在牛舍内预肥；</w:t>
      </w:r>
      <w:r>
        <w:rPr>
          <w:bCs/>
          <w:sz w:val="24"/>
        </w:rPr>
        <w:t>采用散栏式饲养技术：肉牛在不拴系、无固定床位的牛舍中自由采食、自由饮水和自由运动。本项目肉牛在牛舍内自由运动，不设专门的室外运动场。</w:t>
      </w:r>
    </w:p>
    <w:p w14:paraId="74575AA2">
      <w:pPr>
        <w:spacing w:line="360" w:lineRule="auto"/>
        <w:ind w:firstLine="480" w:firstLineChars="200"/>
        <w:rPr>
          <w:bCs/>
          <w:sz w:val="24"/>
        </w:rPr>
      </w:pPr>
      <w:r>
        <w:rPr>
          <w:rFonts w:hint="eastAsia"/>
          <w:bCs/>
          <w:sz w:val="24"/>
        </w:rPr>
        <w:t>给料方式：采用TMR加料法喂养，根据肉牛的营养配方，用TMR搅拌机将青贮饲料、精饲料、干草料等日粮混合均匀后饲养。每天上料2次，进行2次清槽。清槽出的饲料渣直接泼洒于牛舍作为发酵垫料。</w:t>
      </w:r>
    </w:p>
    <w:p w14:paraId="45409AE0">
      <w:pPr>
        <w:spacing w:line="360" w:lineRule="auto"/>
        <w:ind w:firstLine="480" w:firstLineChars="200"/>
        <w:rPr>
          <w:bCs/>
          <w:sz w:val="24"/>
        </w:rPr>
      </w:pPr>
      <w:r>
        <w:rPr>
          <w:bCs/>
          <w:sz w:val="24"/>
        </w:rPr>
        <w:t>饮水方式：肉牛饮用水利用专用水管输送，每个牛栏处设置自动饮水槽供肉牛饮水，肉牛口渴时，自主吮吸饮水器，饮水器自动出水，饮水器未被吮吸时处于关闭状态，不出水。采用自动饮水槽能保证肉牛饮用清洁水，提高健康水平和生产性能；封闭饮水系统具有良好的密封性，极少漏水，避免浪费，节约水资源，改善牛舍的环境。</w:t>
      </w:r>
    </w:p>
    <w:p w14:paraId="5A8261B5">
      <w:pPr>
        <w:spacing w:line="360" w:lineRule="auto"/>
        <w:ind w:firstLine="480" w:firstLineChars="200"/>
        <w:rPr>
          <w:bCs/>
          <w:sz w:val="24"/>
        </w:rPr>
      </w:pPr>
      <w:r>
        <w:rPr>
          <w:bCs/>
          <w:sz w:val="24"/>
        </w:rPr>
        <w:t>牛舍消毒方式：采用人工消毒方式，利用喷雾器喷洒方式给牛舍消毒除臭。</w:t>
      </w:r>
    </w:p>
    <w:p w14:paraId="5E8FB48B">
      <w:pPr>
        <w:spacing w:line="360" w:lineRule="auto"/>
        <w:ind w:firstLine="480" w:firstLineChars="200"/>
        <w:rPr>
          <w:bCs/>
          <w:sz w:val="24"/>
        </w:rPr>
      </w:pPr>
      <w:r>
        <w:rPr>
          <w:bCs/>
          <w:sz w:val="24"/>
        </w:rPr>
        <w:t>牛舍采暖与通风：采用开放式牛舍，通风、采光良好，冬季不需加热采暖。</w:t>
      </w:r>
    </w:p>
    <w:p w14:paraId="1C8B2980">
      <w:pPr>
        <w:spacing w:line="360" w:lineRule="auto"/>
        <w:ind w:firstLine="480" w:firstLineChars="200"/>
        <w:rPr>
          <w:bCs/>
          <w:sz w:val="24"/>
          <w:highlight w:val="yellow"/>
        </w:rPr>
      </w:pPr>
      <w:r>
        <w:rPr>
          <w:bCs/>
          <w:sz w:val="24"/>
        </w:rPr>
        <w:t>牛只治疗及病死、病害牛只处理：项目设置隔离牛舍，牛出现病症，转移至隔离牛舍，通过饮水、喂药、观察等方式进行防疫及治疗。本项目在育肥过程中会出现病死、病害牛只，病死、病害牛只外委四川科农动物无害化处理有限公司无害化处理，项目场内不进行病死、病害牛只处理。</w:t>
      </w:r>
    </w:p>
    <w:p w14:paraId="43CC03DB">
      <w:pPr>
        <w:spacing w:line="360" w:lineRule="auto"/>
        <w:ind w:firstLine="480" w:firstLineChars="200"/>
        <w:rPr>
          <w:bCs/>
          <w:sz w:val="24"/>
        </w:rPr>
      </w:pPr>
      <w:r>
        <w:rPr>
          <w:bCs/>
          <w:sz w:val="24"/>
        </w:rPr>
        <w:t>（6）</w:t>
      </w:r>
      <w:r>
        <w:rPr>
          <w:rFonts w:hint="eastAsia"/>
          <w:bCs/>
          <w:sz w:val="24"/>
        </w:rPr>
        <w:t>膘情评定、</w:t>
      </w:r>
      <w:r>
        <w:rPr>
          <w:bCs/>
          <w:sz w:val="24"/>
        </w:rPr>
        <w:t>出栏：育肥约 6个月，安格斯肉牛体重大于650kg、空山牛大于400kg出栏外售，肉牛出栏时，更换垫料，并对牛舍进行冲洗、消毒后，开始下一轮肉牛育肥饲养。</w:t>
      </w:r>
    </w:p>
    <w:p w14:paraId="37DBDB40">
      <w:pPr>
        <w:spacing w:line="360" w:lineRule="auto"/>
        <w:ind w:firstLine="480" w:firstLineChars="200"/>
        <w:rPr>
          <w:rFonts w:eastAsia="黑体"/>
          <w:bCs/>
          <w:color w:val="FF0000"/>
          <w:sz w:val="24"/>
        </w:rPr>
      </w:pPr>
      <w:bookmarkStart w:id="379" w:name="OLE_LINK71"/>
      <w:bookmarkStart w:id="380" w:name="OLE_LINK72"/>
      <w:bookmarkStart w:id="381" w:name="OLE_LINK70"/>
      <w:r>
        <w:rPr>
          <w:rFonts w:eastAsia="黑体"/>
          <w:bCs/>
          <w:color w:val="FF0000"/>
          <w:sz w:val="24"/>
        </w:rPr>
        <w:t>3.10.1.3</w:t>
      </w:r>
      <w:r>
        <w:rPr>
          <w:rFonts w:hint="eastAsia" w:eastAsia="黑体"/>
          <w:bCs/>
          <w:color w:val="FF0000"/>
          <w:sz w:val="24"/>
        </w:rPr>
        <w:t>场床一体化养殖技术</w:t>
      </w:r>
    </w:p>
    <w:p w14:paraId="11F4AAC6">
      <w:pPr>
        <w:spacing w:line="360" w:lineRule="auto"/>
        <w:ind w:firstLine="480" w:firstLineChars="200"/>
        <w:rPr>
          <w:bCs/>
          <w:sz w:val="24"/>
        </w:rPr>
      </w:pPr>
      <w:r>
        <w:rPr>
          <w:rFonts w:hint="eastAsia"/>
          <w:bCs/>
          <w:sz w:val="24"/>
        </w:rPr>
        <w:t>拟建项目采用场床一体化养殖模式，场床一体化养殖是一种牛床和运动场一体化建设的一种肉牛养殖技术。拟建项目牛舍檐高 4m（其中围墙高1.5m，上部2.5m为防风卷帘），牛舍全部采用混凝土硬化地面，牛舍内部采用双列式或单列式布局，采用半限位+场床养殖方式，牛舍半限位围栏至场床的地面坡度为2%~3%，场床低于半限位围栏 50cm，场床外围为 1.5m 高围墙，饲料通道位于单元中间，分开设置食槽和自动化节能饮水系统。企业采取温度调节措施，夏季遮阳风扇降温处理，冬季通过卷帘布提高整个牛圈内的温度，整个牛舍采光充分、通风良好，肉牛可在不拴系、无固定床位的牛舍中自由采食、自由饮水和自由运动。</w:t>
      </w:r>
    </w:p>
    <w:p w14:paraId="6A905C16">
      <w:pPr>
        <w:spacing w:line="360" w:lineRule="auto"/>
        <w:ind w:firstLine="480" w:firstLineChars="200"/>
        <w:rPr>
          <w:bCs/>
          <w:sz w:val="24"/>
        </w:rPr>
      </w:pPr>
      <w:r>
        <w:rPr>
          <w:rFonts w:hint="eastAsia"/>
          <w:bCs/>
          <w:sz w:val="24"/>
        </w:rPr>
        <w:t>场床一体化的设置不需要任何机器设备，在牛舍内铺设垫料发酵床，牛舍入舍后，牛粪、尿可长期留存于舍内，不向外排放，不向周围流淌，靠着微生物的作用分解、转化，定期进行养护，定期更换垫料。</w:t>
      </w:r>
    </w:p>
    <w:p w14:paraId="487595BC">
      <w:pPr>
        <w:spacing w:line="360" w:lineRule="auto"/>
        <w:rPr>
          <w:bCs/>
          <w:color w:val="000000" w:themeColor="text1"/>
          <w:sz w:val="24"/>
          <w14:textFill>
            <w14:solidFill>
              <w14:schemeClr w14:val="tx1"/>
            </w14:solidFill>
          </w14:textFill>
        </w:rPr>
      </w:pPr>
      <w:r>
        <w:drawing>
          <wp:inline distT="0" distB="0" distL="0" distR="0">
            <wp:extent cx="5278755" cy="3142615"/>
            <wp:effectExtent l="0" t="0" r="0"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8"/>
                    <a:stretch>
                      <a:fillRect/>
                    </a:stretch>
                  </pic:blipFill>
                  <pic:spPr>
                    <a:xfrm>
                      <a:off x="0" y="0"/>
                      <a:ext cx="5278755" cy="3142615"/>
                    </a:xfrm>
                    <a:prstGeom prst="rect">
                      <a:avLst/>
                    </a:prstGeom>
                  </pic:spPr>
                </pic:pic>
              </a:graphicData>
            </a:graphic>
          </wp:inline>
        </w:drawing>
      </w:r>
    </w:p>
    <w:p w14:paraId="0FEF1546">
      <w:pPr>
        <w:spacing w:line="360" w:lineRule="auto"/>
        <w:jc w:val="center"/>
        <w:rPr>
          <w:rFonts w:ascii="黑体" w:hAnsi="黑体" w:eastAsia="黑体"/>
          <w:bCs/>
          <w:color w:val="000000" w:themeColor="text1"/>
          <w:szCs w:val="21"/>
          <w14:textFill>
            <w14:solidFill>
              <w14:schemeClr w14:val="tx1"/>
            </w14:solidFill>
          </w14:textFill>
        </w:rPr>
      </w:pPr>
      <w:r>
        <w:rPr>
          <w:rFonts w:hint="eastAsia" w:ascii="黑体" w:hAnsi="黑体" w:eastAsia="黑体"/>
          <w:bCs/>
          <w:color w:val="000000" w:themeColor="text1"/>
          <w:szCs w:val="21"/>
          <w14:textFill>
            <w14:solidFill>
              <w14:schemeClr w14:val="tx1"/>
            </w14:solidFill>
          </w14:textFill>
        </w:rPr>
        <w:t>3</w:t>
      </w:r>
      <w:r>
        <w:rPr>
          <w:rFonts w:ascii="黑体" w:hAnsi="黑体" w:eastAsia="黑体"/>
          <w:bCs/>
          <w:color w:val="000000" w:themeColor="text1"/>
          <w:szCs w:val="21"/>
          <w14:textFill>
            <w14:solidFill>
              <w14:schemeClr w14:val="tx1"/>
            </w14:solidFill>
          </w14:textFill>
        </w:rPr>
        <w:t>.10.1-3</w:t>
      </w:r>
      <w:r>
        <w:rPr>
          <w:rFonts w:hint="eastAsia" w:ascii="黑体" w:hAnsi="黑体" w:eastAsia="黑体"/>
          <w:bCs/>
          <w:color w:val="000000" w:themeColor="text1"/>
          <w:szCs w:val="21"/>
          <w14:textFill>
            <w14:solidFill>
              <w14:schemeClr w14:val="tx1"/>
            </w14:solidFill>
          </w14:textFill>
        </w:rPr>
        <w:t>牛舍布置示意图</w:t>
      </w:r>
    </w:p>
    <w:p w14:paraId="110E57AC">
      <w:pPr>
        <w:spacing w:line="360" w:lineRule="auto"/>
        <w:ind w:firstLine="480" w:firstLineChars="200"/>
        <w:rPr>
          <w:bCs/>
          <w:sz w:val="24"/>
        </w:rPr>
      </w:pPr>
      <w:r>
        <w:rPr>
          <w:rFonts w:hint="eastAsia"/>
          <w:bCs/>
          <w:sz w:val="24"/>
        </w:rPr>
        <w:t>场床一体化养殖工艺流程及产污环节图如下：</w:t>
      </w:r>
    </w:p>
    <w:p w14:paraId="4072780D">
      <w:pPr>
        <w:spacing w:line="360" w:lineRule="auto"/>
        <w:jc w:val="center"/>
      </w:pPr>
      <w:r>
        <w:object>
          <v:shape id="_x0000_i1029" o:spt="75" type="#_x0000_t75" style="height:120pt;width:379.35pt;" o:ole="t" filled="f" o:preferrelative="t" stroked="f" coordsize="21600,21600">
            <v:path/>
            <v:fill on="f" focussize="0,0"/>
            <v:stroke on="f" joinstyle="miter"/>
            <v:imagedata r:id="rId50" o:title=""/>
            <o:lock v:ext="edit" aspectratio="t"/>
            <w10:wrap type="none"/>
            <w10:anchorlock/>
          </v:shape>
          <o:OLEObject Type="Embed" ProgID="Visio.Drawing.15" ShapeID="_x0000_i1029" DrawAspect="Content" ObjectID="_1468075729" r:id="rId49">
            <o:LockedField>false</o:LockedField>
          </o:OLEObject>
        </w:object>
      </w:r>
    </w:p>
    <w:p w14:paraId="33D6B18E">
      <w:pPr>
        <w:spacing w:line="360" w:lineRule="auto"/>
        <w:jc w:val="center"/>
        <w:rPr>
          <w:rFonts w:ascii="黑体" w:hAnsi="黑体" w:eastAsia="黑体"/>
          <w:bCs/>
          <w:color w:val="000000" w:themeColor="text1"/>
          <w:szCs w:val="21"/>
          <w14:textFill>
            <w14:solidFill>
              <w14:schemeClr w14:val="tx1"/>
            </w14:solidFill>
          </w14:textFill>
        </w:rPr>
      </w:pPr>
      <w:r>
        <w:rPr>
          <w:rFonts w:hint="eastAsia" w:ascii="黑体" w:hAnsi="黑体" w:eastAsia="黑体"/>
          <w:bCs/>
          <w:color w:val="000000" w:themeColor="text1"/>
          <w:szCs w:val="21"/>
          <w14:textFill>
            <w14:solidFill>
              <w14:schemeClr w14:val="tx1"/>
            </w14:solidFill>
          </w14:textFill>
        </w:rPr>
        <w:t>3</w:t>
      </w:r>
      <w:r>
        <w:rPr>
          <w:rFonts w:ascii="黑体" w:hAnsi="黑体" w:eastAsia="黑体"/>
          <w:bCs/>
          <w:color w:val="000000" w:themeColor="text1"/>
          <w:szCs w:val="21"/>
          <w14:textFill>
            <w14:solidFill>
              <w14:schemeClr w14:val="tx1"/>
            </w14:solidFill>
          </w14:textFill>
        </w:rPr>
        <w:t>.10.1-4</w:t>
      </w:r>
      <w:r>
        <w:rPr>
          <w:rFonts w:hint="eastAsia" w:ascii="黑体" w:hAnsi="黑体" w:eastAsia="黑体"/>
          <w:bCs/>
          <w:color w:val="000000" w:themeColor="text1"/>
          <w:szCs w:val="21"/>
          <w14:textFill>
            <w14:solidFill>
              <w14:schemeClr w14:val="tx1"/>
            </w14:solidFill>
          </w14:textFill>
        </w:rPr>
        <w:t>场床一体化养殖技术工艺流程及产物环节图</w:t>
      </w:r>
    </w:p>
    <w:p w14:paraId="36186267">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场床铺设：牛舍选用稻壳、锯末、麸皮或米皮糠等作为垫料。将稻壳按设定好的高度铺到圈舍垫床上并表面刮平，再将锯末铺在上面，铺到设定高度后刮平表面。垫料必须无毒、无害、去杂、晒干后再用，本项目</w:t>
      </w:r>
      <w:bookmarkStart w:id="382" w:name="OLE_LINK113"/>
      <w:bookmarkStart w:id="383" w:name="OLE_LINK114"/>
      <w:r>
        <w:rPr>
          <w:rFonts w:hint="eastAsia"/>
          <w:bCs/>
          <w:color w:val="000000" w:themeColor="text1"/>
          <w:sz w:val="24"/>
          <w14:textFill>
            <w14:solidFill>
              <w14:schemeClr w14:val="tx1"/>
            </w14:solidFill>
          </w14:textFill>
        </w:rPr>
        <w:t>牛舍垫料铺设总厚度约50cm，垫料容重200kg/m</w:t>
      </w:r>
      <w:r>
        <w:rPr>
          <w:rFonts w:hint="eastAsia"/>
          <w:bCs/>
          <w:color w:val="000000" w:themeColor="text1"/>
          <w:sz w:val="24"/>
          <w:vertAlign w:val="superscript"/>
          <w14:textFill>
            <w14:solidFill>
              <w14:schemeClr w14:val="tx1"/>
            </w14:solidFill>
          </w14:textFill>
        </w:rPr>
        <w:t>3</w:t>
      </w:r>
      <w:bookmarkEnd w:id="382"/>
      <w:bookmarkEnd w:id="383"/>
      <w:r>
        <w:rPr>
          <w:rFonts w:hint="eastAsia"/>
          <w:bCs/>
          <w:color w:val="000000" w:themeColor="text1"/>
          <w:sz w:val="24"/>
          <w14:textFill>
            <w14:solidFill>
              <w14:schemeClr w14:val="tx1"/>
            </w14:solidFill>
          </w14:textFill>
        </w:rPr>
        <w:t>。</w:t>
      </w:r>
    </w:p>
    <w:p w14:paraId="7C513EB2">
      <w:pPr>
        <w:spacing w:line="360" w:lineRule="auto"/>
        <w:ind w:firstLine="480" w:firstLineChars="200"/>
        <w:rPr>
          <w:bCs/>
          <w:color w:val="FF0000"/>
          <w:sz w:val="24"/>
        </w:rPr>
      </w:pPr>
      <w:r>
        <w:rPr>
          <w:rFonts w:hint="eastAsia"/>
          <w:bCs/>
          <w:color w:val="000000" w:themeColor="text1"/>
          <w:sz w:val="24"/>
          <w14:textFill>
            <w14:solidFill>
              <w14:schemeClr w14:val="tx1"/>
            </w14:solidFill>
          </w14:textFill>
        </w:rPr>
        <w:t>（2）发酵菌制作：本项目发酵床使用菌种为购买的发酵床专用菌种，土黄色、粉末状。本品由双岐菌、乳酸菌、芽孢杆菌、光合细菌、酵母菌、放线菌、醋酸菌等单一菌种经特殊工艺研制而成的高效复合微生物菌种。每克含有益总菌数≥200亿CFU。菌种使用环境与养殖环境一致，湿度一般在50%左右，垫床温度控制在20℃左右。菌种投洒至垫料中，分解发酵垫中的粪便尿液，最终分解为H</w:t>
      </w:r>
      <w:r>
        <w:rPr>
          <w:rFonts w:hint="eastAsia"/>
          <w:bCs/>
          <w:color w:val="000000" w:themeColor="text1"/>
          <w:sz w:val="24"/>
          <w:vertAlign w:val="subscript"/>
          <w14:textFill>
            <w14:solidFill>
              <w14:schemeClr w14:val="tx1"/>
            </w14:solidFill>
          </w14:textFill>
        </w:rPr>
        <w:t>2</w:t>
      </w:r>
      <w:r>
        <w:rPr>
          <w:rFonts w:hint="eastAsia"/>
          <w:bCs/>
          <w:color w:val="000000" w:themeColor="text1"/>
          <w:sz w:val="24"/>
          <w14:textFill>
            <w14:solidFill>
              <w14:schemeClr w14:val="tx1"/>
            </w14:solidFill>
          </w14:textFill>
        </w:rPr>
        <w:t>O和CO</w:t>
      </w:r>
      <w:r>
        <w:rPr>
          <w:rFonts w:hint="eastAsia"/>
          <w:bCs/>
          <w:color w:val="000000" w:themeColor="text1"/>
          <w:sz w:val="24"/>
          <w:vertAlign w:val="subscript"/>
          <w14:textFill>
            <w14:solidFill>
              <w14:schemeClr w14:val="tx1"/>
            </w14:solidFill>
          </w14:textFill>
        </w:rPr>
        <w:t>2</w:t>
      </w:r>
      <w:r>
        <w:rPr>
          <w:rFonts w:hint="eastAsia"/>
          <w:bCs/>
          <w:color w:val="000000" w:themeColor="text1"/>
          <w:sz w:val="24"/>
          <w14:textFill>
            <w14:solidFill>
              <w14:schemeClr w14:val="tx1"/>
            </w14:solidFill>
          </w14:textFill>
        </w:rPr>
        <w:t>，同时产生大量的热量，并实现自身繁殖，有益菌的大量繁殖可以将各种病原微生物抑制和杀灭，减少肉牛疾病，为肉牛的生长、发育提供良好的环境。将麸皮或米皮糠与菌粉按2:1的比例彻底混合均匀，制成“菌粉麸皮”混合物，</w:t>
      </w:r>
      <w:bookmarkStart w:id="384" w:name="OLE_LINK118"/>
      <w:bookmarkStart w:id="385" w:name="OLE_LINK119"/>
      <w:r>
        <w:rPr>
          <w:rFonts w:hint="eastAsia"/>
          <w:bCs/>
          <w:color w:val="000000" w:themeColor="text1"/>
          <w:sz w:val="24"/>
          <w14:textFill>
            <w14:solidFill>
              <w14:schemeClr w14:val="tx1"/>
            </w14:solidFill>
          </w14:textFill>
        </w:rPr>
        <w:t>发酵剂添加比例为垫料的 1-2‰</w:t>
      </w:r>
      <w:bookmarkEnd w:id="384"/>
      <w:bookmarkEnd w:id="385"/>
      <w:r>
        <w:rPr>
          <w:rFonts w:hint="eastAsia"/>
          <w:bCs/>
          <w:color w:val="000000" w:themeColor="text1"/>
          <w:sz w:val="24"/>
          <w14:textFill>
            <w14:solidFill>
              <w14:schemeClr w14:val="tx1"/>
            </w14:solidFill>
          </w14:textFill>
        </w:rPr>
        <w:t>，撒到垫料上，菌粉与垫料适当混合后，即可铺床。</w:t>
      </w:r>
    </w:p>
    <w:p w14:paraId="05D9F2DC">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（3）牛群入舍：场床铺好后将牛放进牛舍。牛在场床上自由生活，粪便、尿液直接落在场床上，场床中的复合菌群以这些粪尿为基础迅速繁殖，可以将粪便彻底分解为H</w:t>
      </w:r>
      <w:r>
        <w:rPr>
          <w:rFonts w:hint="eastAsia"/>
          <w:bCs/>
          <w:color w:val="000000" w:themeColor="text1"/>
          <w:sz w:val="24"/>
          <w:vertAlign w:val="subscript"/>
          <w14:textFill>
            <w14:solidFill>
              <w14:schemeClr w14:val="tx1"/>
            </w14:solidFill>
          </w14:textFill>
        </w:rPr>
        <w:t>2</w:t>
      </w:r>
      <w:r>
        <w:rPr>
          <w:rFonts w:hint="eastAsia"/>
          <w:bCs/>
          <w:color w:val="000000" w:themeColor="text1"/>
          <w:sz w:val="24"/>
          <w14:textFill>
            <w14:solidFill>
              <w14:schemeClr w14:val="tx1"/>
            </w14:solidFill>
          </w14:textFill>
        </w:rPr>
        <w:t>O、CO</w:t>
      </w:r>
      <w:r>
        <w:rPr>
          <w:rFonts w:hint="eastAsia"/>
          <w:bCs/>
          <w:color w:val="000000" w:themeColor="text1"/>
          <w:sz w:val="24"/>
          <w:vertAlign w:val="subscript"/>
          <w14:textFill>
            <w14:solidFill>
              <w14:schemeClr w14:val="tx1"/>
            </w14:solidFill>
          </w14:textFill>
        </w:rPr>
        <w:t>2</w:t>
      </w:r>
      <w:r>
        <w:rPr>
          <w:rFonts w:hint="eastAsia"/>
          <w:bCs/>
          <w:color w:val="000000" w:themeColor="text1"/>
          <w:sz w:val="24"/>
          <w14:textFill>
            <w14:solidFill>
              <w14:schemeClr w14:val="tx1"/>
            </w14:solidFill>
          </w14:textFill>
        </w:rPr>
        <w:t>和N</w:t>
      </w:r>
      <w:r>
        <w:rPr>
          <w:rFonts w:hint="eastAsia"/>
          <w:bCs/>
          <w:color w:val="000000" w:themeColor="text1"/>
          <w:sz w:val="24"/>
          <w:vertAlign w:val="subscript"/>
          <w14:textFill>
            <w14:solidFill>
              <w14:schemeClr w14:val="tx1"/>
            </w14:solidFill>
          </w14:textFill>
        </w:rPr>
        <w:t>2</w:t>
      </w:r>
      <w:r>
        <w:rPr>
          <w:rFonts w:hint="eastAsia"/>
          <w:bCs/>
          <w:color w:val="000000" w:themeColor="text1"/>
          <w:sz w:val="24"/>
          <w14:textFill>
            <w14:solidFill>
              <w14:schemeClr w14:val="tx1"/>
            </w14:solidFill>
          </w14:textFill>
        </w:rPr>
        <w:t>，而菌占绝对优势，几乎没有其他病原微生物的存在空间。分解过程中产生的热能，有助于保持牛舍地表的温度。而且随着肉牛的走动，垫料与粪便将会充分混合搅拌，肉牛的尿液又进一步补充了微生物生长所需的水分。</w:t>
      </w:r>
    </w:p>
    <w:p w14:paraId="53B55951">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（4）发酵堆肥养护：发酵床养护主要涉及垫料的通透性管理、水分调节、垫料补充、疏粪管理、补菌、垫料更新等环节。</w:t>
      </w:r>
    </w:p>
    <w:p w14:paraId="25ED2E63">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牛粪污排泄在铺设垫料上，当粪尿分布不均匀时，需及时翻耙、补充垫料。场床适宜含水量为35%~50%，当含水率高于55%时，应及时更换垫料至异位发酵床处理。在养殖过程中，观察场床状态，及时增加垫料或翻耙、补菌。</w:t>
      </w:r>
    </w:p>
    <w:p w14:paraId="6F304EAA">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①垫料通透性管理：将垫料经常翻抛，保持垫料中的含氧量维持在适宜的水平，翻动深度为25cm~35cm，垫料层上下混合均匀，保持发酵床的通透性，防止垫料板结，使发酵床在保持较高粪尿分解能力的同时，抑制病原微生物繁殖，减少疾病的发生。氧含量一般保持在5%～18%比较适宜。</w:t>
      </w:r>
    </w:p>
    <w:p w14:paraId="2B46D296">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②水分调节：为使垫料微生物正常繁殖，维持垫料粪尿分解能力，场床和场床要始终保持含有适宜的水分（35%~50%）和通透性，这是保持垫料菌种扩繁的一个重要条件，可以保证垫料中有益微生物始终维持在较高的繁殖速率、理想的菌群数量以及对粪尿的快速分解消化能力，从而提高发酵床的使用寿命，当水分过高时及时更换垫料。</w:t>
      </w:r>
    </w:p>
    <w:p w14:paraId="57097DA9">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③补菌：为维护发酵堆肥正常微生态平衡，保持其粪尿持续分解能力，需定期补充发酵菌。</w:t>
      </w:r>
    </w:p>
    <w:p w14:paraId="5E70688E">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④垫料补充与更新：垫料表层稻壳、麸皮等在养殖过程中因牛仔食用减少后应及时补充新垫料，将其与发酵床上的垫料混合均匀，并调节好水分，以保持发酵床性能的稳定。一般来说，企业通过采取温度调节措施，夏季遮阳风扇降温处理，冬季通过卷帘布提高整个牛圈内的温度，会使发酵床垫料表面温度保持在25～35℃，20cm以下的发酵层温度可达60℃，在规范管理的前提下，当高温段由下层向表层位移，应该及时更新垫料。一般当场床含水率高于 55%时，易使垫料板结产生异味，垫料会黏在肉牛身上，影响牛身清洁度，这时要及时更换垫料。项目运营时为了减小粪床清理对牛只生活的影响，运营期一般采用分区清理、分区铺设垫床的方式，更换发酵床。项目牛舍发酵垫采取刮粪板清理，清理后喷洒消毒剂消毒，不冲洗圈舍，无废水产生。项目运营期每6个月清理一次发酵床，清理时在同一个牛舍中可采取分区清理，分区更换的方式，更换发酵床。</w:t>
      </w:r>
      <w:bookmarkStart w:id="386" w:name="OLE_LINK120"/>
      <w:r>
        <w:rPr>
          <w:rFonts w:hint="eastAsia"/>
          <w:bCs/>
          <w:color w:val="000000" w:themeColor="text1"/>
          <w:sz w:val="24"/>
          <w14:textFill>
            <w14:solidFill>
              <w14:schemeClr w14:val="tx1"/>
            </w14:solidFill>
          </w14:textFill>
        </w:rPr>
        <w:t>发酵床</w:t>
      </w:r>
      <w:bookmarkEnd w:id="386"/>
      <w:r>
        <w:rPr>
          <w:rFonts w:hint="eastAsia"/>
          <w:bCs/>
          <w:color w:val="000000" w:themeColor="text1"/>
          <w:sz w:val="24"/>
          <w14:textFill>
            <w14:solidFill>
              <w14:schemeClr w14:val="tx1"/>
            </w14:solidFill>
          </w14:textFill>
        </w:rPr>
        <w:t>的清理及更换由本厂区工作人员完成，更换发酵床前，厂区相关负责人通知下游有机肥公司，更换当天将更换下的发酵床废料清走。</w:t>
      </w:r>
    </w:p>
    <w:p w14:paraId="50213C3E">
      <w:pPr>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⑤消毒方式：在发酵床垫料牛舍内功能菌占绝对优势，几乎没有其他病原微生物的生存空间。其发酵菌自身含有消毒作用，因此在牛舍场床中无需再进行消毒。</w:t>
      </w:r>
    </w:p>
    <w:p w14:paraId="194DE1F4">
      <w:pPr>
        <w:spacing w:line="360" w:lineRule="auto"/>
        <w:ind w:firstLine="480" w:firstLineChars="200"/>
        <w:rPr>
          <w:bCs/>
          <w:color w:val="FF0000"/>
          <w:sz w:val="24"/>
        </w:rPr>
      </w:pPr>
      <w:r>
        <w:rPr>
          <w:rFonts w:hint="eastAsia"/>
          <w:bCs/>
          <w:color w:val="FF0000"/>
          <w:sz w:val="24"/>
        </w:rPr>
        <w:t>产污分析：肉牛养殖过程中会产生恶臭气体、场床清理产生废垫料。</w:t>
      </w:r>
    </w:p>
    <w:bookmarkEnd w:id="379"/>
    <w:bookmarkEnd w:id="380"/>
    <w:bookmarkEnd w:id="381"/>
    <w:p w14:paraId="237A111D">
      <w:pPr>
        <w:pStyle w:val="752"/>
        <w:rPr>
          <w:rFonts w:cs="Times New Roman"/>
          <w:color w:val="000000" w:themeColor="text1"/>
          <w14:textFill>
            <w14:solidFill>
              <w14:schemeClr w14:val="tx1"/>
            </w14:solidFill>
          </w14:textFill>
        </w:rPr>
      </w:pPr>
      <w:bookmarkStart w:id="387" w:name="_Toc233380179"/>
      <w:r>
        <w:rPr>
          <w:rFonts w:cs="Times New Roman"/>
          <w:color w:val="000000" w:themeColor="text1"/>
          <w14:textFill>
            <w14:solidFill>
              <w14:schemeClr w14:val="tx1"/>
            </w14:solidFill>
          </w14:textFill>
        </w:rPr>
        <w:t>3.10.2运营期污染因素分析</w:t>
      </w:r>
      <w:bookmarkEnd w:id="377"/>
      <w:bookmarkEnd w:id="387"/>
    </w:p>
    <w:p w14:paraId="1CEF5C01">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本项目运营期污染物主要包括废水、废气、噪声、固体废弃物，其污染工序及污染因素如下：</w:t>
      </w:r>
    </w:p>
    <w:p w14:paraId="25A95D5E">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1、废水</w:t>
      </w:r>
    </w:p>
    <w:p w14:paraId="6D6FB22B">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本项目废水主要为生活污水。</w:t>
      </w:r>
    </w:p>
    <w:p w14:paraId="7112FF59">
      <w:pPr>
        <w:spacing w:line="360" w:lineRule="auto"/>
        <w:ind w:firstLine="480" w:firstLineChars="200"/>
        <w:jc w:val="both"/>
        <w:rPr>
          <w:bCs/>
          <w:sz w:val="24"/>
        </w:rPr>
      </w:pPr>
      <w:r>
        <w:rPr>
          <w:bCs/>
          <w:sz w:val="24"/>
        </w:rPr>
        <w:t>2、废气</w:t>
      </w:r>
    </w:p>
    <w:p w14:paraId="00DAF08C">
      <w:pPr>
        <w:adjustRightInd w:val="0"/>
        <w:snapToGrid w:val="0"/>
        <w:spacing w:line="360" w:lineRule="auto"/>
        <w:ind w:firstLine="480" w:firstLineChars="200"/>
        <w:rPr>
          <w:color w:val="000000" w:themeColor="text1"/>
          <w:sz w:val="24"/>
          <w:szCs w:val="22"/>
          <w14:textFill>
            <w14:solidFill>
              <w14:schemeClr w14:val="tx1"/>
            </w14:solidFill>
          </w14:textFill>
        </w:rPr>
      </w:pPr>
      <w:r>
        <w:rPr>
          <w:bCs/>
          <w:sz w:val="24"/>
        </w:rPr>
        <w:t>项目废气包括</w:t>
      </w:r>
      <w:r>
        <w:rPr>
          <w:rFonts w:hint="eastAsia"/>
          <w:color w:val="000000" w:themeColor="text1"/>
          <w:sz w:val="24"/>
          <w:szCs w:val="22"/>
          <w14:textFill>
            <w14:solidFill>
              <w14:schemeClr w14:val="tx1"/>
            </w14:solidFill>
          </w14:textFill>
        </w:rPr>
        <w:t>青贮发酵异味</w:t>
      </w:r>
      <w:r>
        <w:rPr>
          <w:color w:val="000000" w:themeColor="text1"/>
          <w:sz w:val="24"/>
          <w:szCs w:val="22"/>
          <w14:textFill>
            <w14:solidFill>
              <w14:schemeClr w14:val="tx1"/>
            </w14:solidFill>
          </w14:textFill>
        </w:rPr>
        <w:t>、牛舍恶臭、</w:t>
      </w:r>
      <w:r>
        <w:rPr>
          <w:rFonts w:hint="eastAsia"/>
          <w:color w:val="000000" w:themeColor="text1"/>
          <w:sz w:val="24"/>
          <w:szCs w:val="22"/>
          <w14:textFill>
            <w14:solidFill>
              <w14:schemeClr w14:val="tx1"/>
            </w14:solidFill>
          </w14:textFill>
        </w:rPr>
        <w:t>垫料储存及装卸粉尘、精饲料</w:t>
      </w:r>
      <w:r>
        <w:rPr>
          <w:color w:val="000000" w:themeColor="text1"/>
          <w:sz w:val="24"/>
          <w:szCs w:val="22"/>
          <w14:textFill>
            <w14:solidFill>
              <w14:schemeClr w14:val="tx1"/>
            </w14:solidFill>
          </w14:textFill>
        </w:rPr>
        <w:t>加工粉尘</w:t>
      </w:r>
      <w:r>
        <w:rPr>
          <w:rFonts w:hint="eastAsia"/>
          <w:color w:val="000000" w:themeColor="text1"/>
          <w:sz w:val="24"/>
          <w:szCs w:val="22"/>
          <w14:textFill>
            <w14:solidFill>
              <w14:schemeClr w14:val="tx1"/>
            </w14:solidFill>
          </w14:textFill>
        </w:rPr>
        <w:t>、TMR日粮混料粉尘、</w:t>
      </w:r>
      <w:r>
        <w:rPr>
          <w:color w:val="000000" w:themeColor="text1"/>
          <w:sz w:val="24"/>
          <w:szCs w:val="22"/>
          <w14:textFill>
            <w14:solidFill>
              <w14:schemeClr w14:val="tx1"/>
            </w14:solidFill>
          </w14:textFill>
        </w:rPr>
        <w:t>柴油发电机废气、食堂油烟和运输恶臭</w:t>
      </w:r>
      <w:r>
        <w:rPr>
          <w:bCs/>
          <w:sz w:val="24"/>
        </w:rPr>
        <w:t>。</w:t>
      </w:r>
    </w:p>
    <w:p w14:paraId="6A4ADE08">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3、噪声</w:t>
      </w:r>
    </w:p>
    <w:p w14:paraId="5534DB6E">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运营期噪声包括牛叫及饲料粉碎机、饲料混合机、风机、柴油发电机等设备噪声。</w:t>
      </w:r>
    </w:p>
    <w:p w14:paraId="67D3004C">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4、固体废弃物</w:t>
      </w:r>
    </w:p>
    <w:p w14:paraId="24BF4EAF">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运营期一般固废包括废弃垫料、</w:t>
      </w:r>
      <w:r>
        <w:rPr>
          <w:rFonts w:hint="eastAsia"/>
          <w:bCs/>
          <w:color w:val="000000" w:themeColor="text1"/>
          <w:sz w:val="24"/>
          <w14:textFill>
            <w14:solidFill>
              <w14:schemeClr w14:val="tx1"/>
            </w14:solidFill>
          </w14:textFill>
        </w:rPr>
        <w:t>饲料残渣、</w:t>
      </w:r>
      <w:r>
        <w:rPr>
          <w:bCs/>
          <w:color w:val="000000" w:themeColor="text1"/>
          <w:sz w:val="24"/>
          <w14:textFill>
            <w14:solidFill>
              <w14:schemeClr w14:val="tx1"/>
            </w14:solidFill>
          </w14:textFill>
        </w:rPr>
        <w:t>饲料废包装材料、病死牛、生活垃圾等；危险废物包括动物医疗废物。</w:t>
      </w:r>
    </w:p>
    <w:p w14:paraId="5A3A58B4">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bookmarkStart w:id="388" w:name="OLE_LINK115"/>
      <w:bookmarkStart w:id="389" w:name="OLE_LINK116"/>
      <w:r>
        <w:rPr>
          <w:rFonts w:ascii="黑体" w:hAnsi="黑体" w:eastAsia="黑体"/>
          <w:b w:val="0"/>
          <w:snapToGrid w:val="0"/>
          <w:color w:val="000000" w:themeColor="text1"/>
          <w:szCs w:val="21"/>
          <w14:textFill>
            <w14:solidFill>
              <w14:schemeClr w14:val="tx1"/>
            </w14:solidFill>
          </w14:textFill>
        </w:rPr>
        <w:t>表3.</w:t>
      </w:r>
      <w:r>
        <w:rPr>
          <w:rFonts w:ascii="黑体" w:hAnsi="黑体" w:eastAsia="黑体"/>
          <w:b w:val="0"/>
          <w:snapToGrid w:val="0"/>
          <w:color w:val="000000" w:themeColor="text1"/>
          <w:szCs w:val="21"/>
          <w:lang w:val="en-US"/>
          <w14:textFill>
            <w14:solidFill>
              <w14:schemeClr w14:val="tx1"/>
            </w14:solidFill>
          </w14:textFill>
        </w:rPr>
        <w:t>10.2</w:t>
      </w:r>
      <w:r>
        <w:rPr>
          <w:rFonts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1</w:t>
      </w:r>
      <w:r>
        <w:rPr>
          <w:rFonts w:ascii="黑体" w:hAnsi="黑体" w:eastAsia="黑体"/>
          <w:b w:val="0"/>
          <w:snapToGrid w:val="0"/>
          <w:color w:val="000000" w:themeColor="text1"/>
          <w:szCs w:val="21"/>
          <w14:textFill>
            <w14:solidFill>
              <w14:schemeClr w14:val="tx1"/>
            </w14:solidFill>
          </w14:textFill>
        </w:rPr>
        <w:t xml:space="preserve"> 项目主要产污环节</w:t>
      </w:r>
      <w:r>
        <w:rPr>
          <w:rFonts w:ascii="黑体" w:hAnsi="黑体" w:eastAsia="黑体"/>
          <w:b w:val="0"/>
          <w:snapToGrid w:val="0"/>
          <w:color w:val="000000" w:themeColor="text1"/>
          <w:szCs w:val="21"/>
          <w:lang w:val="en-US"/>
          <w14:textFill>
            <w14:solidFill>
              <w14:schemeClr w14:val="tx1"/>
            </w14:solidFill>
          </w14:textFill>
        </w:rPr>
        <w:t>汇总</w:t>
      </w:r>
    </w:p>
    <w:bookmarkEnd w:id="388"/>
    <w:bookmarkEnd w:id="389"/>
    <w:tbl>
      <w:tblPr>
        <w:tblStyle w:val="88"/>
        <w:tblW w:w="4964"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418"/>
        <w:gridCol w:w="1561"/>
        <w:gridCol w:w="4564"/>
      </w:tblGrid>
      <w:tr w14:paraId="49D3FB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30" w:type="pct"/>
            <w:tcBorders>
              <w:tl2br w:val="nil"/>
              <w:tr2bl w:val="nil"/>
            </w:tcBorders>
            <w:vAlign w:val="center"/>
          </w:tcPr>
          <w:p w14:paraId="0B69D606">
            <w:pPr>
              <w:adjustRightInd w:val="0"/>
              <w:snapToGrid w:val="0"/>
              <w:jc w:val="center"/>
              <w:rPr>
                <w:b/>
                <w:color w:val="000000" w:themeColor="text1"/>
                <w:spacing w:val="12"/>
                <w:sz w:val="18"/>
                <w:szCs w:val="18"/>
                <w14:textFill>
                  <w14:solidFill>
                    <w14:schemeClr w14:val="tx1"/>
                  </w14:solidFill>
                </w14:textFill>
              </w:rPr>
            </w:pPr>
            <w:r>
              <w:rPr>
                <w:b/>
                <w:color w:val="000000" w:themeColor="text1"/>
                <w:spacing w:val="12"/>
                <w:sz w:val="18"/>
                <w:szCs w:val="18"/>
                <w14:textFill>
                  <w14:solidFill>
                    <w14:schemeClr w14:val="tx1"/>
                  </w14:solidFill>
                </w14:textFill>
              </w:rPr>
              <w:t>污染类别</w:t>
            </w:r>
          </w:p>
        </w:tc>
        <w:tc>
          <w:tcPr>
            <w:tcW w:w="859" w:type="pct"/>
            <w:tcBorders>
              <w:tl2br w:val="nil"/>
              <w:tr2bl w:val="nil"/>
            </w:tcBorders>
            <w:vAlign w:val="center"/>
          </w:tcPr>
          <w:p w14:paraId="7644557B">
            <w:pPr>
              <w:adjustRightInd w:val="0"/>
              <w:snapToGrid w:val="0"/>
              <w:jc w:val="center"/>
              <w:rPr>
                <w:b/>
                <w:color w:val="000000" w:themeColor="text1"/>
                <w:spacing w:val="12"/>
                <w:sz w:val="18"/>
                <w:szCs w:val="18"/>
                <w14:textFill>
                  <w14:solidFill>
                    <w14:schemeClr w14:val="tx1"/>
                  </w14:solidFill>
                </w14:textFill>
              </w:rPr>
            </w:pPr>
            <w:r>
              <w:rPr>
                <w:b/>
                <w:color w:val="000000" w:themeColor="text1"/>
                <w:spacing w:val="12"/>
                <w:sz w:val="18"/>
                <w:szCs w:val="18"/>
                <w14:textFill>
                  <w14:solidFill>
                    <w14:schemeClr w14:val="tx1"/>
                  </w14:solidFill>
                </w14:textFill>
              </w:rPr>
              <w:t>污染源名称</w:t>
            </w:r>
          </w:p>
        </w:tc>
        <w:tc>
          <w:tcPr>
            <w:tcW w:w="946" w:type="pct"/>
            <w:tcBorders>
              <w:tl2br w:val="nil"/>
              <w:tr2bl w:val="nil"/>
            </w:tcBorders>
            <w:vAlign w:val="center"/>
          </w:tcPr>
          <w:p w14:paraId="36903D74">
            <w:pPr>
              <w:adjustRightInd w:val="0"/>
              <w:snapToGrid w:val="0"/>
              <w:jc w:val="center"/>
              <w:rPr>
                <w:b/>
                <w:color w:val="000000" w:themeColor="text1"/>
                <w:spacing w:val="12"/>
                <w:sz w:val="18"/>
                <w:szCs w:val="18"/>
                <w14:textFill>
                  <w14:solidFill>
                    <w14:schemeClr w14:val="tx1"/>
                  </w14:solidFill>
                </w14:textFill>
              </w:rPr>
            </w:pPr>
            <w:r>
              <w:rPr>
                <w:b/>
                <w:color w:val="000000" w:themeColor="text1"/>
                <w:spacing w:val="12"/>
                <w:sz w:val="18"/>
                <w:szCs w:val="18"/>
                <w14:textFill>
                  <w14:solidFill>
                    <w14:schemeClr w14:val="tx1"/>
                  </w14:solidFill>
                </w14:textFill>
              </w:rPr>
              <w:t>主要污染物</w:t>
            </w:r>
          </w:p>
        </w:tc>
        <w:tc>
          <w:tcPr>
            <w:tcW w:w="2765" w:type="pct"/>
            <w:tcBorders>
              <w:tl2br w:val="nil"/>
              <w:tr2bl w:val="nil"/>
            </w:tcBorders>
            <w:vAlign w:val="center"/>
          </w:tcPr>
          <w:p w14:paraId="56926906">
            <w:pPr>
              <w:adjustRightInd w:val="0"/>
              <w:snapToGrid w:val="0"/>
              <w:jc w:val="center"/>
              <w:rPr>
                <w:b/>
                <w:color w:val="000000" w:themeColor="text1"/>
                <w:spacing w:val="12"/>
                <w:sz w:val="18"/>
                <w:szCs w:val="18"/>
                <w14:textFill>
                  <w14:solidFill>
                    <w14:schemeClr w14:val="tx1"/>
                  </w14:solidFill>
                </w14:textFill>
              </w:rPr>
            </w:pPr>
            <w:r>
              <w:rPr>
                <w:b/>
                <w:color w:val="000000" w:themeColor="text1"/>
                <w:spacing w:val="12"/>
                <w:sz w:val="18"/>
                <w:szCs w:val="18"/>
                <w14:textFill>
                  <w14:solidFill>
                    <w14:schemeClr w14:val="tx1"/>
                  </w14:solidFill>
                </w14:textFill>
              </w:rPr>
              <w:t>治理措施</w:t>
            </w:r>
          </w:p>
        </w:tc>
      </w:tr>
      <w:tr w14:paraId="12A8A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restart"/>
            <w:tcBorders>
              <w:tl2br w:val="nil"/>
              <w:tr2bl w:val="nil"/>
            </w:tcBorders>
            <w:vAlign w:val="center"/>
          </w:tcPr>
          <w:p w14:paraId="5414EDE5">
            <w:pPr>
              <w:adjustRightInd w:val="0"/>
              <w:snapToGrid w:val="0"/>
              <w:rPr>
                <w:color w:val="000000" w:themeColor="text1"/>
                <w:spacing w:val="12"/>
                <w:sz w:val="18"/>
                <w:szCs w:val="18"/>
                <w14:textFill>
                  <w14:solidFill>
                    <w14:schemeClr w14:val="tx1"/>
                  </w14:solidFill>
                </w14:textFill>
              </w:rPr>
            </w:pPr>
            <w:r>
              <w:rPr>
                <w:color w:val="000000" w:themeColor="text1"/>
                <w:spacing w:val="12"/>
                <w:sz w:val="18"/>
                <w:szCs w:val="18"/>
                <w14:textFill>
                  <w14:solidFill>
                    <w14:schemeClr w14:val="tx1"/>
                  </w14:solidFill>
                </w14:textFill>
              </w:rPr>
              <w:t>废气</w:t>
            </w:r>
          </w:p>
        </w:tc>
        <w:tc>
          <w:tcPr>
            <w:tcW w:w="859" w:type="pct"/>
            <w:tcBorders>
              <w:tl2br w:val="nil"/>
              <w:tr2bl w:val="nil"/>
            </w:tcBorders>
            <w:vAlign w:val="center"/>
          </w:tcPr>
          <w:p w14:paraId="41F7575D">
            <w:pPr>
              <w:adjustRightInd w:val="0"/>
              <w:snapToGrid w:val="0"/>
              <w:rPr>
                <w:bCs/>
                <w:color w:val="000000" w:themeColor="text1"/>
                <w:sz w:val="18"/>
                <w:szCs w:val="18"/>
                <w14:textFill>
                  <w14:solidFill>
                    <w14:schemeClr w14:val="tx1"/>
                  </w14:solidFill>
                </w14:textFill>
              </w:rPr>
            </w:pPr>
            <w:r>
              <w:rPr>
                <w:rFonts w:hint="eastAsia"/>
                <w:bCs/>
                <w:color w:val="000000" w:themeColor="text1"/>
                <w:sz w:val="18"/>
                <w:szCs w:val="18"/>
                <w14:textFill>
                  <w14:solidFill>
                    <w14:schemeClr w14:val="tx1"/>
                  </w14:solidFill>
                </w14:textFill>
              </w:rPr>
              <w:t>青贮发酵异味</w:t>
            </w:r>
          </w:p>
        </w:tc>
        <w:tc>
          <w:tcPr>
            <w:tcW w:w="946" w:type="pct"/>
            <w:tcBorders>
              <w:tl2br w:val="nil"/>
              <w:tr2bl w:val="nil"/>
            </w:tcBorders>
            <w:vAlign w:val="center"/>
          </w:tcPr>
          <w:p w14:paraId="48DF5736">
            <w:pPr>
              <w:adjustRightInd w:val="0"/>
              <w:snapToGrid w:val="0"/>
              <w:rPr>
                <w:color w:val="000000" w:themeColor="text1"/>
                <w:spacing w:val="12"/>
                <w:sz w:val="18"/>
                <w:szCs w:val="18"/>
                <w14:textFill>
                  <w14:solidFill>
                    <w14:schemeClr w14:val="tx1"/>
                  </w14:solidFill>
                </w14:textFill>
              </w:rPr>
            </w:pPr>
            <w:r>
              <w:rPr>
                <w:rFonts w:hint="eastAsia"/>
                <w:color w:val="000000" w:themeColor="text1"/>
                <w:spacing w:val="12"/>
                <w:sz w:val="18"/>
                <w:szCs w:val="18"/>
                <w14:textFill>
                  <w14:solidFill>
                    <w14:schemeClr w14:val="tx1"/>
                  </w14:solidFill>
                </w14:textFill>
              </w:rPr>
              <w:t>异味</w:t>
            </w:r>
          </w:p>
        </w:tc>
        <w:tc>
          <w:tcPr>
            <w:tcW w:w="2765" w:type="pct"/>
            <w:tcBorders>
              <w:tl2br w:val="nil"/>
              <w:tr2bl w:val="nil"/>
            </w:tcBorders>
            <w:vAlign w:val="center"/>
          </w:tcPr>
          <w:p w14:paraId="3B2196F2">
            <w:pP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r>
      <w:tr w14:paraId="02F25D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64727B0B">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16E73774">
            <w:pPr>
              <w:adjustRightInd w:val="0"/>
              <w:snapToGrid w:val="0"/>
              <w:rPr>
                <w:color w:val="000000" w:themeColor="text1"/>
                <w:spacing w:val="12"/>
                <w:sz w:val="18"/>
                <w:szCs w:val="18"/>
                <w14:textFill>
                  <w14:solidFill>
                    <w14:schemeClr w14:val="tx1"/>
                  </w14:solidFill>
                </w14:textFill>
              </w:rPr>
            </w:pPr>
            <w:r>
              <w:rPr>
                <w:bCs/>
                <w:color w:val="000000" w:themeColor="text1"/>
                <w:sz w:val="18"/>
                <w:szCs w:val="18"/>
                <w14:textFill>
                  <w14:solidFill>
                    <w14:schemeClr w14:val="tx1"/>
                  </w14:solidFill>
                </w14:textFill>
              </w:rPr>
              <w:t>牛舍恶臭</w:t>
            </w:r>
          </w:p>
        </w:tc>
        <w:tc>
          <w:tcPr>
            <w:tcW w:w="946" w:type="pct"/>
            <w:tcBorders>
              <w:tl2br w:val="nil"/>
              <w:tr2bl w:val="nil"/>
            </w:tcBorders>
            <w:vAlign w:val="center"/>
          </w:tcPr>
          <w:p w14:paraId="3F472A8B">
            <w:pPr>
              <w:adjustRightInd w:val="0"/>
              <w:snapToGrid w:val="0"/>
              <w:rPr>
                <w:color w:val="000000" w:themeColor="text1"/>
                <w:spacing w:val="12"/>
                <w:sz w:val="18"/>
                <w:szCs w:val="18"/>
                <w14:textFill>
                  <w14:solidFill>
                    <w14:schemeClr w14:val="tx1"/>
                  </w14:solidFill>
                </w14:textFill>
              </w:rPr>
            </w:pPr>
            <w:r>
              <w:rPr>
                <w:color w:val="000000" w:themeColor="text1"/>
                <w:spacing w:val="12"/>
                <w:sz w:val="18"/>
                <w:szCs w:val="18"/>
                <w14:textFill>
                  <w14:solidFill>
                    <w14:schemeClr w14:val="tx1"/>
                  </w14:solidFill>
                </w14:textFill>
              </w:rPr>
              <w:t>臭气</w:t>
            </w:r>
            <w:r>
              <w:rPr>
                <w:color w:val="000000" w:themeColor="text1"/>
                <w:kern w:val="0"/>
                <w:sz w:val="18"/>
                <w:szCs w:val="18"/>
                <w14:textFill>
                  <w14:solidFill>
                    <w14:schemeClr w14:val="tx1"/>
                  </w14:solidFill>
                </w14:textFill>
              </w:rPr>
              <w:t>浓度</w:t>
            </w:r>
            <w:r>
              <w:rPr>
                <w:color w:val="000000" w:themeColor="text1"/>
                <w:spacing w:val="12"/>
                <w:sz w:val="18"/>
                <w:szCs w:val="18"/>
                <w14:textFill>
                  <w14:solidFill>
                    <w14:schemeClr w14:val="tx1"/>
                  </w14:solidFill>
                </w14:textFill>
              </w:rPr>
              <w:t>、H</w:t>
            </w:r>
            <w:r>
              <w:rPr>
                <w:color w:val="000000" w:themeColor="text1"/>
                <w:spacing w:val="12"/>
                <w:sz w:val="18"/>
                <w:szCs w:val="18"/>
                <w:vertAlign w:val="subscript"/>
                <w14:textFill>
                  <w14:solidFill>
                    <w14:schemeClr w14:val="tx1"/>
                  </w14:solidFill>
                </w14:textFill>
              </w:rPr>
              <w:t>2</w:t>
            </w:r>
            <w:r>
              <w:rPr>
                <w:color w:val="000000" w:themeColor="text1"/>
                <w:spacing w:val="12"/>
                <w:sz w:val="18"/>
                <w:szCs w:val="18"/>
                <w14:textFill>
                  <w14:solidFill>
                    <w14:schemeClr w14:val="tx1"/>
                  </w14:solidFill>
                </w14:textFill>
              </w:rPr>
              <w:t>S、NH</w:t>
            </w:r>
            <w:r>
              <w:rPr>
                <w:color w:val="000000" w:themeColor="text1"/>
                <w:spacing w:val="12"/>
                <w:sz w:val="18"/>
                <w:szCs w:val="18"/>
                <w:vertAlign w:val="subscript"/>
                <w14:textFill>
                  <w14:solidFill>
                    <w14:schemeClr w14:val="tx1"/>
                  </w14:solidFill>
                </w14:textFill>
              </w:rPr>
              <w:t>3</w:t>
            </w:r>
          </w:p>
        </w:tc>
        <w:tc>
          <w:tcPr>
            <w:tcW w:w="2765" w:type="pct"/>
            <w:tcBorders>
              <w:tl2br w:val="nil"/>
              <w:tr2bl w:val="nil"/>
            </w:tcBorders>
            <w:vAlign w:val="center"/>
          </w:tcPr>
          <w:p w14:paraId="2837E253">
            <w:pPr>
              <w:rPr>
                <w:color w:val="000000" w:themeColor="text1"/>
                <w:spacing w:val="12"/>
                <w:sz w:val="18"/>
                <w:szCs w:val="18"/>
                <w14:textFill>
                  <w14:solidFill>
                    <w14:schemeClr w14:val="tx1"/>
                  </w14:solidFill>
                </w14:textFill>
              </w:rPr>
            </w:pPr>
            <w:r>
              <w:rPr>
                <w:color w:val="000000" w:themeColor="text1"/>
                <w:sz w:val="18"/>
                <w:szCs w:val="18"/>
                <w14:textFill>
                  <w14:solidFill>
                    <w14:schemeClr w14:val="tx1"/>
                  </w14:solidFill>
                </w14:textFill>
              </w:rPr>
              <w:t>牛舍封闭，日粮中添加EM制剂；采用干清粪工艺，通过机械通风；加强</w:t>
            </w:r>
            <w:r>
              <w:rPr>
                <w:rFonts w:hint="eastAsia"/>
                <w:color w:val="000000" w:themeColor="text1"/>
                <w:sz w:val="18"/>
                <w:szCs w:val="18"/>
                <w14:textFill>
                  <w14:solidFill>
                    <w14:schemeClr w14:val="tx1"/>
                  </w14:solidFill>
                </w14:textFill>
              </w:rPr>
              <w:t>牛</w:t>
            </w:r>
            <w:r>
              <w:rPr>
                <w:color w:val="000000" w:themeColor="text1"/>
                <w:sz w:val="18"/>
                <w:szCs w:val="18"/>
                <w14:textFill>
                  <w14:solidFill>
                    <w14:schemeClr w14:val="tx1"/>
                  </w14:solidFill>
                </w14:textFill>
              </w:rPr>
              <w:t>消毒；牛舍周边定期喷洒生物除臭剂。</w:t>
            </w:r>
          </w:p>
        </w:tc>
      </w:tr>
      <w:tr w14:paraId="031C8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23A380B4">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528D3ABA">
            <w:pPr>
              <w:adjustRightInd w:val="0"/>
              <w:snapToGrid w:val="0"/>
              <w:rPr>
                <w:bCs/>
                <w:sz w:val="18"/>
                <w:szCs w:val="18"/>
              </w:rPr>
            </w:pPr>
            <w:r>
              <w:rPr>
                <w:bCs/>
                <w:sz w:val="18"/>
                <w:szCs w:val="18"/>
              </w:rPr>
              <w:t>垫料</w:t>
            </w:r>
            <w:r>
              <w:rPr>
                <w:rFonts w:hint="eastAsia"/>
                <w:bCs/>
                <w:sz w:val="18"/>
                <w:szCs w:val="18"/>
              </w:rPr>
              <w:t>储存及装卸粉尘</w:t>
            </w:r>
          </w:p>
        </w:tc>
        <w:tc>
          <w:tcPr>
            <w:tcW w:w="946" w:type="pct"/>
            <w:tcBorders>
              <w:tl2br w:val="nil"/>
              <w:tr2bl w:val="nil"/>
            </w:tcBorders>
            <w:vAlign w:val="center"/>
          </w:tcPr>
          <w:p w14:paraId="0F12DA66">
            <w:pPr>
              <w:adjustRightInd w:val="0"/>
              <w:snapToGrid w:val="0"/>
              <w:rPr>
                <w:spacing w:val="12"/>
                <w:sz w:val="18"/>
                <w:szCs w:val="18"/>
              </w:rPr>
            </w:pPr>
            <w:r>
              <w:rPr>
                <w:sz w:val="18"/>
                <w:szCs w:val="18"/>
              </w:rPr>
              <w:t>颗粒物</w:t>
            </w:r>
          </w:p>
        </w:tc>
        <w:tc>
          <w:tcPr>
            <w:tcW w:w="2765" w:type="pct"/>
            <w:tcBorders>
              <w:tl2br w:val="nil"/>
              <w:tr2bl w:val="nil"/>
            </w:tcBorders>
            <w:vAlign w:val="center"/>
          </w:tcPr>
          <w:p w14:paraId="615132F3">
            <w:pPr>
              <w:rPr>
                <w:sz w:val="18"/>
                <w:szCs w:val="18"/>
              </w:rPr>
            </w:pPr>
            <w:r>
              <w:rPr>
                <w:rFonts w:hint="eastAsia"/>
                <w:sz w:val="18"/>
                <w:szCs w:val="18"/>
              </w:rPr>
              <w:t>项目垫料储存于封闭垫料房内，垫料棚除进出口外，四周及顶部采用全封闭彩钢结构，避免因风起尘。</w:t>
            </w:r>
          </w:p>
        </w:tc>
      </w:tr>
      <w:tr w14:paraId="3ABA1E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0E4C8A59">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29643D58">
            <w:pPr>
              <w:adjustRightInd w:val="0"/>
              <w:snapToGrid w:val="0"/>
              <w:rPr>
                <w:bCs/>
                <w:sz w:val="18"/>
                <w:szCs w:val="18"/>
              </w:rPr>
            </w:pPr>
            <w:r>
              <w:rPr>
                <w:rFonts w:hint="eastAsia"/>
                <w:bCs/>
                <w:sz w:val="18"/>
                <w:szCs w:val="18"/>
              </w:rPr>
              <w:t>TMR日粮混料粉尘</w:t>
            </w:r>
          </w:p>
        </w:tc>
        <w:tc>
          <w:tcPr>
            <w:tcW w:w="946" w:type="pct"/>
            <w:tcBorders>
              <w:tl2br w:val="nil"/>
              <w:tr2bl w:val="nil"/>
            </w:tcBorders>
            <w:vAlign w:val="center"/>
          </w:tcPr>
          <w:p w14:paraId="0592179D">
            <w:pPr>
              <w:adjustRightInd w:val="0"/>
              <w:snapToGrid w:val="0"/>
              <w:rPr>
                <w:spacing w:val="12"/>
                <w:sz w:val="18"/>
                <w:szCs w:val="18"/>
              </w:rPr>
            </w:pPr>
            <w:r>
              <w:rPr>
                <w:rFonts w:hint="eastAsia"/>
                <w:spacing w:val="12"/>
                <w:sz w:val="18"/>
                <w:szCs w:val="18"/>
              </w:rPr>
              <w:t>颗粒物</w:t>
            </w:r>
          </w:p>
        </w:tc>
        <w:tc>
          <w:tcPr>
            <w:tcW w:w="2765" w:type="pct"/>
            <w:tcBorders>
              <w:tl2br w:val="nil"/>
              <w:tr2bl w:val="nil"/>
            </w:tcBorders>
            <w:vAlign w:val="center"/>
          </w:tcPr>
          <w:p w14:paraId="50A08FD1">
            <w:pPr>
              <w:rPr>
                <w:sz w:val="18"/>
                <w:szCs w:val="18"/>
              </w:rPr>
            </w:pPr>
            <w:r>
              <w:rPr>
                <w:rFonts w:hint="eastAsia"/>
                <w:sz w:val="18"/>
                <w:szCs w:val="18"/>
              </w:rPr>
              <w:t>物料含水搅拌，产尘较少</w:t>
            </w:r>
          </w:p>
        </w:tc>
      </w:tr>
      <w:tr w14:paraId="0BC1A2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7AC24C29">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0AF0C479">
            <w:pPr>
              <w:adjustRightInd w:val="0"/>
              <w:snapToGrid w:val="0"/>
              <w:rPr>
                <w:bCs/>
                <w:sz w:val="18"/>
                <w:szCs w:val="18"/>
              </w:rPr>
            </w:pPr>
            <w:r>
              <w:rPr>
                <w:rFonts w:hint="eastAsia"/>
                <w:bCs/>
                <w:sz w:val="18"/>
                <w:szCs w:val="18"/>
              </w:rPr>
              <w:t>精</w:t>
            </w:r>
            <w:r>
              <w:rPr>
                <w:bCs/>
                <w:sz w:val="18"/>
                <w:szCs w:val="18"/>
              </w:rPr>
              <w:t>饲料加工粉尘</w:t>
            </w:r>
          </w:p>
        </w:tc>
        <w:tc>
          <w:tcPr>
            <w:tcW w:w="946" w:type="pct"/>
            <w:tcBorders>
              <w:tl2br w:val="nil"/>
              <w:tr2bl w:val="nil"/>
            </w:tcBorders>
            <w:vAlign w:val="center"/>
          </w:tcPr>
          <w:p w14:paraId="51AE07EF">
            <w:pPr>
              <w:adjustRightInd w:val="0"/>
              <w:snapToGrid w:val="0"/>
              <w:rPr>
                <w:sz w:val="18"/>
                <w:szCs w:val="18"/>
              </w:rPr>
            </w:pPr>
            <w:r>
              <w:rPr>
                <w:sz w:val="18"/>
                <w:szCs w:val="18"/>
              </w:rPr>
              <w:t>颗粒物</w:t>
            </w:r>
          </w:p>
        </w:tc>
        <w:tc>
          <w:tcPr>
            <w:tcW w:w="2765" w:type="pct"/>
            <w:tcBorders>
              <w:tl2br w:val="nil"/>
              <w:tr2bl w:val="nil"/>
            </w:tcBorders>
            <w:vAlign w:val="center"/>
          </w:tcPr>
          <w:p w14:paraId="1C733B96">
            <w:pPr>
              <w:adjustRightInd w:val="0"/>
              <w:snapToGrid w:val="0"/>
              <w:textAlignment w:val="center"/>
              <w:rPr>
                <w:bCs/>
                <w:kern w:val="0"/>
                <w:sz w:val="18"/>
                <w:szCs w:val="18"/>
              </w:rPr>
            </w:pPr>
            <w:r>
              <w:rPr>
                <w:bCs/>
                <w:kern w:val="0"/>
                <w:sz w:val="18"/>
                <w:szCs w:val="18"/>
              </w:rPr>
              <w:t>在投料口、粉碎机的出料口处设置集气罩，粉尘经布袋除尘器处理后由15m高排气筒（DA001）排放。</w:t>
            </w:r>
            <w:r>
              <w:rPr>
                <w:sz w:val="18"/>
                <w:szCs w:val="18"/>
              </w:rPr>
              <w:t>风机风量9000m</w:t>
            </w:r>
            <w:r>
              <w:rPr>
                <w:sz w:val="18"/>
                <w:szCs w:val="18"/>
                <w:vertAlign w:val="superscript"/>
              </w:rPr>
              <w:t>3</w:t>
            </w:r>
            <w:r>
              <w:rPr>
                <w:sz w:val="18"/>
                <w:szCs w:val="18"/>
              </w:rPr>
              <w:t>/h，车间建筑外围屋面敷设环形喷雾降尘管路。</w:t>
            </w:r>
          </w:p>
        </w:tc>
      </w:tr>
      <w:tr w14:paraId="77D7A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56F1878D">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0AE9FF52">
            <w:pPr>
              <w:adjustRightInd w:val="0"/>
              <w:snapToGrid w:val="0"/>
              <w:rPr>
                <w:color w:val="000000" w:themeColor="text1"/>
                <w:spacing w:val="12"/>
                <w:sz w:val="18"/>
                <w:szCs w:val="18"/>
                <w14:textFill>
                  <w14:solidFill>
                    <w14:schemeClr w14:val="tx1"/>
                  </w14:solidFill>
                </w14:textFill>
              </w:rPr>
            </w:pPr>
            <w:r>
              <w:rPr>
                <w:bCs/>
                <w:color w:val="000000" w:themeColor="text1"/>
                <w:sz w:val="18"/>
                <w:szCs w:val="18"/>
                <w14:textFill>
                  <w14:solidFill>
                    <w14:schemeClr w14:val="tx1"/>
                  </w14:solidFill>
                </w14:textFill>
              </w:rPr>
              <w:t>食堂餐饮油烟</w:t>
            </w:r>
          </w:p>
        </w:tc>
        <w:tc>
          <w:tcPr>
            <w:tcW w:w="946" w:type="pct"/>
            <w:tcBorders>
              <w:tl2br w:val="nil"/>
              <w:tr2bl w:val="nil"/>
            </w:tcBorders>
            <w:vAlign w:val="center"/>
          </w:tcPr>
          <w:p w14:paraId="4DF4B120">
            <w:pPr>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油烟</w:t>
            </w:r>
          </w:p>
        </w:tc>
        <w:tc>
          <w:tcPr>
            <w:tcW w:w="2765" w:type="pct"/>
            <w:tcBorders>
              <w:tl2br w:val="nil"/>
              <w:tr2bl w:val="nil"/>
            </w:tcBorders>
            <w:vAlign w:val="center"/>
          </w:tcPr>
          <w:p w14:paraId="3F3BE547">
            <w:pPr>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安装油烟净化装置，废气经专用烟道引至屋顶排放。</w:t>
            </w:r>
          </w:p>
        </w:tc>
      </w:tr>
      <w:tr w14:paraId="3E899A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2747FA8D">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0F63CC51">
            <w:pPr>
              <w:adjustRightInd w:val="0"/>
              <w:snapToGrid w:val="0"/>
              <w:rPr>
                <w:color w:val="000000" w:themeColor="text1"/>
                <w:spacing w:val="12"/>
                <w:sz w:val="18"/>
                <w:szCs w:val="18"/>
                <w14:textFill>
                  <w14:solidFill>
                    <w14:schemeClr w14:val="tx1"/>
                  </w14:solidFill>
                </w14:textFill>
              </w:rPr>
            </w:pPr>
            <w:r>
              <w:rPr>
                <w:bCs/>
                <w:color w:val="000000" w:themeColor="text1"/>
                <w:sz w:val="18"/>
                <w:szCs w:val="18"/>
                <w14:textFill>
                  <w14:solidFill>
                    <w14:schemeClr w14:val="tx1"/>
                  </w14:solidFill>
                </w14:textFill>
              </w:rPr>
              <w:t>柴油发电机废气</w:t>
            </w:r>
          </w:p>
        </w:tc>
        <w:tc>
          <w:tcPr>
            <w:tcW w:w="946" w:type="pct"/>
            <w:tcBorders>
              <w:tl2br w:val="nil"/>
              <w:tr2bl w:val="nil"/>
            </w:tcBorders>
            <w:vAlign w:val="center"/>
          </w:tcPr>
          <w:p w14:paraId="02A1F1C8">
            <w:pPr>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SO</w:t>
            </w:r>
            <w:r>
              <w:rPr>
                <w:color w:val="000000" w:themeColor="text1"/>
                <w:sz w:val="18"/>
                <w:szCs w:val="18"/>
                <w:vertAlign w:val="subscript"/>
                <w14:textFill>
                  <w14:solidFill>
                    <w14:schemeClr w14:val="tx1"/>
                  </w14:solidFill>
                </w14:textFill>
              </w:rPr>
              <w:t>2</w:t>
            </w:r>
            <w:r>
              <w:rPr>
                <w:color w:val="000000" w:themeColor="text1"/>
                <w:sz w:val="18"/>
                <w:szCs w:val="18"/>
                <w14:textFill>
                  <w14:solidFill>
                    <w14:schemeClr w14:val="tx1"/>
                  </w14:solidFill>
                </w14:textFill>
              </w:rPr>
              <w:t>、NOx、烟尘、CO、HC等</w:t>
            </w:r>
          </w:p>
        </w:tc>
        <w:tc>
          <w:tcPr>
            <w:tcW w:w="2765" w:type="pct"/>
            <w:tcBorders>
              <w:tl2br w:val="nil"/>
              <w:tr2bl w:val="nil"/>
            </w:tcBorders>
            <w:vAlign w:val="center"/>
          </w:tcPr>
          <w:p w14:paraId="19C53B88">
            <w:pPr>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为备用发电，使用次数很少，自带烟气净化装置直接通过专用烟囱引至所在车间屋顶排放。</w:t>
            </w:r>
          </w:p>
        </w:tc>
      </w:tr>
      <w:tr w14:paraId="0AA587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tcBorders>
              <w:tl2br w:val="nil"/>
              <w:tr2bl w:val="nil"/>
            </w:tcBorders>
            <w:vAlign w:val="center"/>
          </w:tcPr>
          <w:p w14:paraId="4007D613">
            <w:pPr>
              <w:adjustRightInd w:val="0"/>
              <w:snapToGrid w:val="0"/>
              <w:rPr>
                <w:color w:val="000000" w:themeColor="text1"/>
                <w:spacing w:val="12"/>
                <w:sz w:val="18"/>
                <w:szCs w:val="18"/>
                <w14:textFill>
                  <w14:solidFill>
                    <w14:schemeClr w14:val="tx1"/>
                  </w14:solidFill>
                </w14:textFill>
              </w:rPr>
            </w:pPr>
            <w:r>
              <w:rPr>
                <w:color w:val="000000" w:themeColor="text1"/>
                <w:spacing w:val="12"/>
                <w:sz w:val="18"/>
                <w:szCs w:val="18"/>
                <w14:textFill>
                  <w14:solidFill>
                    <w14:schemeClr w14:val="tx1"/>
                  </w14:solidFill>
                </w14:textFill>
              </w:rPr>
              <w:t>废水</w:t>
            </w:r>
          </w:p>
        </w:tc>
        <w:tc>
          <w:tcPr>
            <w:tcW w:w="859" w:type="pct"/>
            <w:tcBorders>
              <w:tl2br w:val="nil"/>
              <w:tr2bl w:val="nil"/>
            </w:tcBorders>
            <w:vAlign w:val="center"/>
          </w:tcPr>
          <w:p w14:paraId="07AC680E">
            <w:pPr>
              <w:adjustRightInd w:val="0"/>
              <w:snapToGrid w:val="0"/>
              <w:rPr>
                <w:color w:val="000000" w:themeColor="text1"/>
                <w:spacing w:val="12"/>
                <w:sz w:val="18"/>
                <w:szCs w:val="18"/>
                <w14:textFill>
                  <w14:solidFill>
                    <w14:schemeClr w14:val="tx1"/>
                  </w14:solidFill>
                </w14:textFill>
              </w:rPr>
            </w:pPr>
            <w:r>
              <w:rPr>
                <w:color w:val="000000" w:themeColor="text1"/>
                <w:spacing w:val="12"/>
                <w:sz w:val="18"/>
                <w:szCs w:val="18"/>
                <w14:textFill>
                  <w14:solidFill>
                    <w14:schemeClr w14:val="tx1"/>
                  </w14:solidFill>
                </w14:textFill>
              </w:rPr>
              <w:t>员工办公、生活产生的废水</w:t>
            </w:r>
          </w:p>
        </w:tc>
        <w:tc>
          <w:tcPr>
            <w:tcW w:w="946" w:type="pct"/>
            <w:tcBorders>
              <w:tl2br w:val="nil"/>
              <w:tr2bl w:val="nil"/>
            </w:tcBorders>
            <w:vAlign w:val="center"/>
          </w:tcPr>
          <w:p w14:paraId="7C2089B2">
            <w:pPr>
              <w:pStyle w:val="1744"/>
              <w:rPr>
                <w:rFonts w:ascii="Times New Roman" w:hAnsi="Times New Roman" w:eastAsia="宋体" w:cs="Times New Roman"/>
                <w:color w:val="000000" w:themeColor="text1"/>
                <w:spacing w:val="12"/>
                <w:sz w:val="18"/>
                <w:szCs w:val="18"/>
                <w:lang w:val="en-US"/>
                <w14:textFill>
                  <w14:solidFill>
                    <w14:schemeClr w14:val="tx1"/>
                  </w14:solidFill>
                </w14:textFill>
              </w:rPr>
            </w:pPr>
            <w:r>
              <w:rPr>
                <w:rFonts w:ascii="Times New Roman" w:hAnsi="Times New Roman" w:eastAsia="宋体" w:cs="Times New Roman"/>
                <w:color w:val="000000" w:themeColor="text1"/>
                <w:position w:val="2"/>
                <w:sz w:val="18"/>
                <w:szCs w:val="18"/>
                <w:lang w:val="en-US"/>
                <w14:textFill>
                  <w14:solidFill>
                    <w14:schemeClr w14:val="tx1"/>
                  </w14:solidFill>
                </w14:textFill>
              </w:rPr>
              <w:t>SS</w:t>
            </w:r>
            <w:r>
              <w:rPr>
                <w:rFonts w:ascii="Times New Roman" w:hAnsi="Times New Roman" w:eastAsia="宋体" w:cs="Times New Roman"/>
                <w:color w:val="000000" w:themeColor="text1"/>
                <w:position w:val="2"/>
                <w:sz w:val="18"/>
                <w:szCs w:val="18"/>
                <w14:textFill>
                  <w14:solidFill>
                    <w14:schemeClr w14:val="tx1"/>
                  </w14:solidFill>
                </w14:textFill>
              </w:rPr>
              <w:t>、</w:t>
            </w:r>
            <w:r>
              <w:rPr>
                <w:rFonts w:ascii="Times New Roman" w:hAnsi="Times New Roman" w:eastAsia="宋体" w:cs="Times New Roman"/>
                <w:color w:val="000000" w:themeColor="text1"/>
                <w:position w:val="2"/>
                <w:sz w:val="18"/>
                <w:szCs w:val="18"/>
                <w:lang w:val="en-US"/>
                <w14:textFill>
                  <w14:solidFill>
                    <w14:schemeClr w14:val="tx1"/>
                  </w14:solidFill>
                </w14:textFill>
              </w:rPr>
              <w:t>COD</w:t>
            </w:r>
            <w:r>
              <w:rPr>
                <w:rFonts w:ascii="Times New Roman" w:hAnsi="Times New Roman" w:eastAsia="宋体" w:cs="Times New Roman"/>
                <w:color w:val="000000" w:themeColor="text1"/>
                <w:position w:val="2"/>
                <w:sz w:val="18"/>
                <w:szCs w:val="18"/>
                <w14:textFill>
                  <w14:solidFill>
                    <w14:schemeClr w14:val="tx1"/>
                  </w14:solidFill>
                </w14:textFill>
              </w:rPr>
              <w:t>、</w:t>
            </w:r>
            <w:r>
              <w:rPr>
                <w:rFonts w:ascii="Times New Roman" w:hAnsi="Times New Roman" w:eastAsia="宋体" w:cs="Times New Roman"/>
                <w:color w:val="000000" w:themeColor="text1"/>
                <w:position w:val="2"/>
                <w:sz w:val="18"/>
                <w:szCs w:val="18"/>
                <w:lang w:val="en-US"/>
                <w14:textFill>
                  <w14:solidFill>
                    <w14:schemeClr w14:val="tx1"/>
                  </w14:solidFill>
                </w14:textFill>
              </w:rPr>
              <w:t>BOD</w:t>
            </w:r>
            <w:r>
              <w:rPr>
                <w:rFonts w:ascii="Times New Roman" w:hAnsi="Times New Roman" w:eastAsia="宋体" w:cs="Times New Roman"/>
                <w:color w:val="000000" w:themeColor="text1"/>
                <w:position w:val="2"/>
                <w:sz w:val="18"/>
                <w:szCs w:val="18"/>
                <w:vertAlign w:val="subscript"/>
                <w:lang w:val="en-US"/>
                <w14:textFill>
                  <w14:solidFill>
                    <w14:schemeClr w14:val="tx1"/>
                  </w14:solidFill>
                </w14:textFill>
              </w:rPr>
              <w:t>5</w:t>
            </w:r>
            <w:r>
              <w:rPr>
                <w:rFonts w:ascii="Times New Roman" w:hAnsi="Times New Roman" w:eastAsia="宋体" w:cs="Times New Roman"/>
                <w:color w:val="000000" w:themeColor="text1"/>
                <w:position w:val="2"/>
                <w:sz w:val="18"/>
                <w:szCs w:val="18"/>
                <w14:textFill>
                  <w14:solidFill>
                    <w14:schemeClr w14:val="tx1"/>
                  </w14:solidFill>
                </w14:textFill>
              </w:rPr>
              <w:t>、</w:t>
            </w:r>
            <w:r>
              <w:rPr>
                <w:rFonts w:ascii="Times New Roman" w:hAnsi="Times New Roman" w:eastAsia="宋体" w:cs="Times New Roman"/>
                <w:color w:val="000000" w:themeColor="text1"/>
                <w:position w:val="2"/>
                <w:sz w:val="18"/>
                <w:szCs w:val="18"/>
                <w:lang w:val="en-US"/>
                <w14:textFill>
                  <w14:solidFill>
                    <w14:schemeClr w14:val="tx1"/>
                  </w14:solidFill>
                </w14:textFill>
              </w:rPr>
              <w:t>NH</w:t>
            </w:r>
            <w:r>
              <w:rPr>
                <w:rFonts w:ascii="Times New Roman" w:hAnsi="Times New Roman" w:eastAsia="宋体" w:cs="Times New Roman"/>
                <w:color w:val="000000" w:themeColor="text1"/>
                <w:position w:val="2"/>
                <w:sz w:val="18"/>
                <w:szCs w:val="18"/>
                <w:vertAlign w:val="subscript"/>
                <w:lang w:val="en-US"/>
                <w14:textFill>
                  <w14:solidFill>
                    <w14:schemeClr w14:val="tx1"/>
                  </w14:solidFill>
                </w14:textFill>
              </w:rPr>
              <w:t>3</w:t>
            </w:r>
            <w:r>
              <w:rPr>
                <w:rFonts w:ascii="Times New Roman" w:hAnsi="Times New Roman" w:eastAsia="宋体" w:cs="Times New Roman"/>
                <w:color w:val="000000" w:themeColor="text1"/>
                <w:position w:val="2"/>
                <w:sz w:val="18"/>
                <w:szCs w:val="18"/>
                <w:lang w:val="en-US"/>
                <w14:textFill>
                  <w14:solidFill>
                    <w14:schemeClr w14:val="tx1"/>
                  </w14:solidFill>
                </w14:textFill>
              </w:rPr>
              <w:t>-N</w:t>
            </w:r>
          </w:p>
        </w:tc>
        <w:tc>
          <w:tcPr>
            <w:tcW w:w="2765" w:type="pct"/>
            <w:tcBorders>
              <w:tl2br w:val="nil"/>
              <w:tr2bl w:val="nil"/>
            </w:tcBorders>
            <w:vAlign w:val="center"/>
          </w:tcPr>
          <w:p w14:paraId="074F5CBE">
            <w:pPr>
              <w:pStyle w:val="1744"/>
              <w:rPr>
                <w:rFonts w:ascii="Times New Roman" w:hAnsi="Times New Roman" w:eastAsia="宋体" w:cs="Times New Roman"/>
                <w:color w:val="000000" w:themeColor="text1"/>
                <w:spacing w:val="12"/>
                <w:sz w:val="18"/>
                <w:szCs w:val="18"/>
                <w14:textFill>
                  <w14:solidFill>
                    <w14:schemeClr w14:val="tx1"/>
                  </w14:solidFill>
                </w14:textFill>
              </w:rPr>
            </w:pPr>
            <w:r>
              <w:rPr>
                <w:rFonts w:ascii="Times New Roman" w:hAnsi="Times New Roman" w:eastAsia="宋体" w:cs="Times New Roman"/>
                <w:color w:val="000000" w:themeColor="text1"/>
                <w:sz w:val="18"/>
                <w:szCs w:val="18"/>
                <w:lang w:val="en-US" w:bidi="ar"/>
                <w14:textFill>
                  <w14:solidFill>
                    <w14:schemeClr w14:val="tx1"/>
                  </w14:solidFill>
                </w14:textFill>
              </w:rPr>
              <w:t>食堂废水</w:t>
            </w:r>
            <w:r>
              <w:rPr>
                <w:rFonts w:ascii="Times New Roman" w:hAnsi="Times New Roman" w:eastAsia="宋体" w:cs="Times New Roman"/>
                <w:color w:val="000000" w:themeColor="text1"/>
                <w:sz w:val="18"/>
                <w:szCs w:val="18"/>
                <w:lang w:bidi="ar"/>
                <w14:textFill>
                  <w14:solidFill>
                    <w14:schemeClr w14:val="tx1"/>
                  </w14:solidFill>
                </w14:textFill>
              </w:rPr>
              <w:t>经</w:t>
            </w:r>
            <w:r>
              <w:rPr>
                <w:rFonts w:ascii="Times New Roman" w:hAnsi="Times New Roman" w:eastAsia="宋体" w:cs="Times New Roman"/>
                <w:color w:val="000000" w:themeColor="text1"/>
                <w:sz w:val="18"/>
                <w:szCs w:val="18"/>
                <w:lang w:val="en-US" w:bidi="ar"/>
                <w14:textFill>
                  <w14:solidFill>
                    <w14:schemeClr w14:val="tx1"/>
                  </w14:solidFill>
                </w14:textFill>
              </w:rPr>
              <w:t>隔油池处理后进入</w:t>
            </w:r>
            <w:r>
              <w:rPr>
                <w:rFonts w:hint="eastAsia" w:ascii="Times New Roman" w:hAnsi="Times New Roman" w:eastAsia="宋体" w:cs="Times New Roman"/>
                <w:color w:val="000000" w:themeColor="text1"/>
                <w:sz w:val="18"/>
                <w:szCs w:val="18"/>
                <w:lang w:val="en-US" w:bidi="ar"/>
                <w14:textFill>
                  <w14:solidFill>
                    <w14:schemeClr w14:val="tx1"/>
                  </w14:solidFill>
                </w14:textFill>
              </w:rPr>
              <w:t>化粪池</w:t>
            </w:r>
            <w:r>
              <w:rPr>
                <w:rFonts w:ascii="Times New Roman" w:hAnsi="Times New Roman" w:eastAsia="宋体" w:cs="Times New Roman"/>
                <w:color w:val="000000" w:themeColor="text1"/>
                <w:sz w:val="18"/>
                <w:szCs w:val="18"/>
                <w:lang w:val="en-US" w:bidi="ar"/>
                <w14:textFill>
                  <w14:solidFill>
                    <w14:schemeClr w14:val="tx1"/>
                  </w14:solidFill>
                </w14:textFill>
              </w:rPr>
              <w:t>，定期清掏</w:t>
            </w:r>
            <w:r>
              <w:rPr>
                <w:rFonts w:hint="eastAsia" w:ascii="微软雅黑" w:hAnsi="微软雅黑" w:eastAsia="微软雅黑" w:cs="微软雅黑"/>
                <w:color w:val="000000" w:themeColor="text1"/>
                <w:sz w:val="18"/>
                <w:szCs w:val="18"/>
                <w:lang w:val="en-US" w:bidi="ar"/>
                <w14:textFill>
                  <w14:solidFill>
                    <w14:schemeClr w14:val="tx1"/>
                  </w14:solidFill>
                </w14:textFill>
              </w:rPr>
              <w:t>用作农肥</w:t>
            </w:r>
            <w:r>
              <w:rPr>
                <w:rFonts w:ascii="Times New Roman" w:hAnsi="Times New Roman" w:eastAsia="宋体" w:cs="Times New Roman"/>
                <w:color w:val="000000" w:themeColor="text1"/>
                <w:sz w:val="18"/>
                <w:szCs w:val="18"/>
                <w:lang w:val="en-US" w:bidi="ar"/>
                <w14:textFill>
                  <w14:solidFill>
                    <w14:schemeClr w14:val="tx1"/>
                  </w14:solidFill>
                </w14:textFill>
              </w:rPr>
              <w:t>。</w:t>
            </w:r>
          </w:p>
        </w:tc>
      </w:tr>
      <w:tr w14:paraId="6C4D56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restart"/>
            <w:tcBorders>
              <w:tl2br w:val="nil"/>
              <w:tr2bl w:val="nil"/>
            </w:tcBorders>
            <w:vAlign w:val="center"/>
          </w:tcPr>
          <w:p w14:paraId="40684A75">
            <w:pPr>
              <w:adjustRightInd w:val="0"/>
              <w:snapToGrid w:val="0"/>
              <w:rPr>
                <w:color w:val="000000" w:themeColor="text1"/>
                <w:spacing w:val="12"/>
                <w:sz w:val="18"/>
                <w:szCs w:val="18"/>
                <w14:textFill>
                  <w14:solidFill>
                    <w14:schemeClr w14:val="tx1"/>
                  </w14:solidFill>
                </w14:textFill>
              </w:rPr>
            </w:pPr>
            <w:r>
              <w:rPr>
                <w:color w:val="000000" w:themeColor="text1"/>
                <w:spacing w:val="12"/>
                <w:sz w:val="18"/>
                <w:szCs w:val="18"/>
                <w14:textFill>
                  <w14:solidFill>
                    <w14:schemeClr w14:val="tx1"/>
                  </w14:solidFill>
                </w14:textFill>
              </w:rPr>
              <w:t>固体废物</w:t>
            </w:r>
          </w:p>
        </w:tc>
        <w:tc>
          <w:tcPr>
            <w:tcW w:w="859" w:type="pct"/>
            <w:tcBorders>
              <w:tl2br w:val="nil"/>
              <w:tr2bl w:val="nil"/>
            </w:tcBorders>
            <w:vAlign w:val="center"/>
          </w:tcPr>
          <w:p w14:paraId="7BFD51FA">
            <w:pPr>
              <w:adjustRightInd w:val="0"/>
              <w:snapToGrid w:val="0"/>
              <w:rPr>
                <w:color w:val="000000" w:themeColor="text1"/>
                <w:spacing w:val="12"/>
                <w:sz w:val="18"/>
                <w:szCs w:val="18"/>
                <w14:textFill>
                  <w14:solidFill>
                    <w14:schemeClr w14:val="tx1"/>
                  </w14:solidFill>
                </w14:textFill>
              </w:rPr>
            </w:pPr>
            <w:r>
              <w:rPr>
                <w:color w:val="000000" w:themeColor="text1"/>
                <w:sz w:val="18"/>
                <w:szCs w:val="18"/>
                <w14:textFill>
                  <w14:solidFill>
                    <w14:schemeClr w14:val="tx1"/>
                  </w14:solidFill>
                </w14:textFill>
              </w:rPr>
              <w:t>职工产生的垃圾</w:t>
            </w:r>
          </w:p>
        </w:tc>
        <w:tc>
          <w:tcPr>
            <w:tcW w:w="946" w:type="pct"/>
            <w:tcBorders>
              <w:tl2br w:val="nil"/>
              <w:tr2bl w:val="nil"/>
            </w:tcBorders>
            <w:vAlign w:val="center"/>
          </w:tcPr>
          <w:p w14:paraId="403EDE1B">
            <w:pPr>
              <w:adjustRightInd w:val="0"/>
              <w:snapToGrid w:val="0"/>
              <w:rPr>
                <w:color w:val="000000" w:themeColor="text1"/>
                <w:spacing w:val="12"/>
                <w:sz w:val="18"/>
                <w:szCs w:val="18"/>
                <w14:textFill>
                  <w14:solidFill>
                    <w14:schemeClr w14:val="tx1"/>
                  </w14:solidFill>
                </w14:textFill>
              </w:rPr>
            </w:pPr>
            <w:r>
              <w:rPr>
                <w:color w:val="000000" w:themeColor="text1"/>
                <w:sz w:val="18"/>
                <w:szCs w:val="18"/>
                <w14:textFill>
                  <w14:solidFill>
                    <w14:schemeClr w14:val="tx1"/>
                  </w14:solidFill>
                </w14:textFill>
              </w:rPr>
              <w:t>生活垃圾</w:t>
            </w:r>
          </w:p>
        </w:tc>
        <w:tc>
          <w:tcPr>
            <w:tcW w:w="2765" w:type="pct"/>
            <w:tcBorders>
              <w:tl2br w:val="nil"/>
              <w:tr2bl w:val="nil"/>
            </w:tcBorders>
            <w:vAlign w:val="center"/>
          </w:tcPr>
          <w:p w14:paraId="46DB7611">
            <w:pPr>
              <w:adjustRightInd w:val="0"/>
              <w:snapToGrid w:val="0"/>
              <w:rPr>
                <w:color w:val="000000" w:themeColor="text1"/>
                <w:spacing w:val="12"/>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集中收集后由当地环卫部门统一处理。</w:t>
            </w:r>
          </w:p>
        </w:tc>
      </w:tr>
      <w:tr w14:paraId="483319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6DF19FB2">
            <w:pPr>
              <w:adjustRightInd w:val="0"/>
              <w:snapToGrid w:val="0"/>
              <w:rPr>
                <w:color w:val="000000" w:themeColor="text1"/>
                <w:sz w:val="18"/>
                <w:szCs w:val="18"/>
                <w14:textFill>
                  <w14:solidFill>
                    <w14:schemeClr w14:val="tx1"/>
                  </w14:solidFill>
                </w14:textFill>
              </w:rPr>
            </w:pPr>
          </w:p>
        </w:tc>
        <w:tc>
          <w:tcPr>
            <w:tcW w:w="859" w:type="pct"/>
            <w:tcBorders>
              <w:tl2br w:val="nil"/>
              <w:tr2bl w:val="nil"/>
            </w:tcBorders>
            <w:vAlign w:val="center"/>
          </w:tcPr>
          <w:p w14:paraId="69886B85">
            <w:pPr>
              <w:adjustRightInd w:val="0"/>
              <w:snapToGrid w:val="0"/>
              <w:rPr>
                <w:spacing w:val="12"/>
                <w:sz w:val="18"/>
                <w:szCs w:val="18"/>
              </w:rPr>
            </w:pPr>
            <w:r>
              <w:rPr>
                <w:kern w:val="0"/>
                <w:sz w:val="18"/>
                <w:szCs w:val="18"/>
              </w:rPr>
              <w:t>废弃垫料</w:t>
            </w:r>
          </w:p>
        </w:tc>
        <w:tc>
          <w:tcPr>
            <w:tcW w:w="946" w:type="pct"/>
            <w:tcBorders>
              <w:tl2br w:val="nil"/>
              <w:tr2bl w:val="nil"/>
            </w:tcBorders>
            <w:vAlign w:val="center"/>
          </w:tcPr>
          <w:p w14:paraId="3191B0E6">
            <w:pPr>
              <w:adjustRightInd w:val="0"/>
              <w:snapToGrid w:val="0"/>
              <w:rPr>
                <w:spacing w:val="12"/>
                <w:sz w:val="18"/>
                <w:szCs w:val="18"/>
              </w:rPr>
            </w:pPr>
            <w:r>
              <w:rPr>
                <w:spacing w:val="12"/>
                <w:sz w:val="18"/>
                <w:szCs w:val="18"/>
              </w:rPr>
              <w:t>粪污秸秆稻壳混合体</w:t>
            </w:r>
          </w:p>
        </w:tc>
        <w:tc>
          <w:tcPr>
            <w:tcW w:w="2765" w:type="pct"/>
            <w:tcBorders>
              <w:tl2br w:val="nil"/>
              <w:tr2bl w:val="nil"/>
            </w:tcBorders>
            <w:vAlign w:val="center"/>
          </w:tcPr>
          <w:p w14:paraId="3D3C2A64">
            <w:pPr>
              <w:adjustRightInd w:val="0"/>
              <w:snapToGrid w:val="0"/>
              <w:rPr>
                <w:spacing w:val="12"/>
                <w:sz w:val="18"/>
                <w:szCs w:val="18"/>
              </w:rPr>
            </w:pPr>
            <w:r>
              <w:rPr>
                <w:spacing w:val="12"/>
                <w:sz w:val="18"/>
                <w:szCs w:val="18"/>
              </w:rPr>
              <w:t>外运</w:t>
            </w:r>
            <w:r>
              <w:rPr>
                <w:rFonts w:hint="eastAsia"/>
                <w:spacing w:val="12"/>
                <w:sz w:val="18"/>
                <w:szCs w:val="18"/>
              </w:rPr>
              <w:t>有机肥厂无害化处置</w:t>
            </w:r>
          </w:p>
        </w:tc>
      </w:tr>
      <w:tr w14:paraId="3188DE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570FA680">
            <w:pPr>
              <w:adjustRightInd w:val="0"/>
              <w:snapToGrid w:val="0"/>
              <w:rPr>
                <w:color w:val="000000" w:themeColor="text1"/>
                <w:sz w:val="18"/>
                <w:szCs w:val="18"/>
                <w14:textFill>
                  <w14:solidFill>
                    <w14:schemeClr w14:val="tx1"/>
                  </w14:solidFill>
                </w14:textFill>
              </w:rPr>
            </w:pPr>
          </w:p>
        </w:tc>
        <w:tc>
          <w:tcPr>
            <w:tcW w:w="859" w:type="pct"/>
            <w:tcBorders>
              <w:tl2br w:val="nil"/>
              <w:tr2bl w:val="nil"/>
            </w:tcBorders>
            <w:vAlign w:val="center"/>
          </w:tcPr>
          <w:p w14:paraId="0E736062">
            <w:pPr>
              <w:adjustRightInd w:val="0"/>
              <w:snapToGrid w:val="0"/>
              <w:rPr>
                <w:spacing w:val="12"/>
                <w:sz w:val="18"/>
                <w:szCs w:val="18"/>
              </w:rPr>
            </w:pPr>
            <w:r>
              <w:rPr>
                <w:spacing w:val="12"/>
                <w:sz w:val="18"/>
                <w:szCs w:val="18"/>
              </w:rPr>
              <w:t>废包装袋</w:t>
            </w:r>
          </w:p>
        </w:tc>
        <w:tc>
          <w:tcPr>
            <w:tcW w:w="946" w:type="pct"/>
            <w:tcBorders>
              <w:tl2br w:val="nil"/>
              <w:tr2bl w:val="nil"/>
            </w:tcBorders>
            <w:vAlign w:val="center"/>
          </w:tcPr>
          <w:p w14:paraId="7B4547F2">
            <w:pPr>
              <w:adjustRightInd w:val="0"/>
              <w:snapToGrid w:val="0"/>
              <w:rPr>
                <w:spacing w:val="12"/>
                <w:sz w:val="18"/>
                <w:szCs w:val="18"/>
              </w:rPr>
            </w:pPr>
            <w:r>
              <w:rPr>
                <w:spacing w:val="12"/>
                <w:sz w:val="18"/>
                <w:szCs w:val="18"/>
              </w:rPr>
              <w:t>饲料等废包装材料</w:t>
            </w:r>
          </w:p>
        </w:tc>
        <w:tc>
          <w:tcPr>
            <w:tcW w:w="2765" w:type="pct"/>
            <w:tcBorders>
              <w:tl2br w:val="nil"/>
              <w:tr2bl w:val="nil"/>
            </w:tcBorders>
            <w:vAlign w:val="center"/>
          </w:tcPr>
          <w:p w14:paraId="2BE5FF88">
            <w:pPr>
              <w:adjustRightInd w:val="0"/>
              <w:snapToGrid w:val="0"/>
              <w:rPr>
                <w:spacing w:val="12"/>
                <w:sz w:val="18"/>
                <w:szCs w:val="18"/>
              </w:rPr>
            </w:pPr>
            <w:r>
              <w:rPr>
                <w:sz w:val="18"/>
                <w:szCs w:val="18"/>
              </w:rPr>
              <w:t>分类收集后出售给废品回收站。</w:t>
            </w:r>
          </w:p>
        </w:tc>
      </w:tr>
      <w:tr w14:paraId="7F015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511E3D38">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101F64A3">
            <w:pPr>
              <w:adjustRightInd w:val="0"/>
              <w:snapToGrid w:val="0"/>
              <w:rPr>
                <w:color w:val="000000" w:themeColor="text1"/>
                <w:spacing w:val="12"/>
                <w:sz w:val="18"/>
                <w:szCs w:val="18"/>
                <w14:textFill>
                  <w14:solidFill>
                    <w14:schemeClr w14:val="tx1"/>
                  </w14:solidFill>
                </w14:textFill>
              </w:rPr>
            </w:pPr>
            <w:r>
              <w:rPr>
                <w:color w:val="000000" w:themeColor="text1"/>
                <w:spacing w:val="12"/>
                <w:sz w:val="18"/>
                <w:szCs w:val="18"/>
                <w14:textFill>
                  <w14:solidFill>
                    <w14:schemeClr w14:val="tx1"/>
                  </w14:solidFill>
                </w14:textFill>
              </w:rPr>
              <w:t>饲料残渣</w:t>
            </w:r>
          </w:p>
        </w:tc>
        <w:tc>
          <w:tcPr>
            <w:tcW w:w="946" w:type="pct"/>
            <w:tcBorders>
              <w:tl2br w:val="nil"/>
              <w:tr2bl w:val="nil"/>
            </w:tcBorders>
            <w:vAlign w:val="center"/>
          </w:tcPr>
          <w:p w14:paraId="1F648C25">
            <w:pPr>
              <w:adjustRightInd w:val="0"/>
              <w:snapToGrid w:val="0"/>
              <w:rPr>
                <w:color w:val="000000" w:themeColor="text1"/>
                <w:spacing w:val="12"/>
                <w:sz w:val="18"/>
                <w:szCs w:val="18"/>
                <w14:textFill>
                  <w14:solidFill>
                    <w14:schemeClr w14:val="tx1"/>
                  </w14:solidFill>
                </w14:textFill>
              </w:rPr>
            </w:pPr>
            <w:r>
              <w:rPr>
                <w:color w:val="000000" w:themeColor="text1"/>
                <w:spacing w:val="12"/>
                <w:sz w:val="18"/>
                <w:szCs w:val="18"/>
                <w14:textFill>
                  <w14:solidFill>
                    <w14:schemeClr w14:val="tx1"/>
                  </w14:solidFill>
                </w14:textFill>
              </w:rPr>
              <w:t>饲料残渣</w:t>
            </w:r>
          </w:p>
        </w:tc>
        <w:tc>
          <w:tcPr>
            <w:tcW w:w="2765" w:type="pct"/>
            <w:tcBorders>
              <w:tl2br w:val="nil"/>
              <w:tr2bl w:val="nil"/>
            </w:tcBorders>
            <w:vAlign w:val="center"/>
          </w:tcPr>
          <w:p w14:paraId="6F61337E">
            <w:pPr>
              <w:adjustRightInd w:val="0"/>
              <w:snapToGrid w:val="0"/>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饲料残渣</w:t>
            </w:r>
            <w:r>
              <w:rPr>
                <w:rFonts w:hint="eastAsia"/>
                <w:color w:val="000000" w:themeColor="text1"/>
                <w:sz w:val="18"/>
                <w:szCs w:val="18"/>
                <w14:textFill>
                  <w14:solidFill>
                    <w14:schemeClr w14:val="tx1"/>
                  </w14:solidFill>
                </w14:textFill>
              </w:rPr>
              <w:t>随牛粪、牛尿一起形成发酵垫料</w:t>
            </w:r>
            <w:r>
              <w:rPr>
                <w:color w:val="000000" w:themeColor="text1"/>
                <w:sz w:val="18"/>
                <w:szCs w:val="18"/>
                <w14:textFill>
                  <w14:solidFill>
                    <w14:schemeClr w14:val="tx1"/>
                  </w14:solidFill>
                </w14:textFill>
              </w:rPr>
              <w:t>。</w:t>
            </w:r>
          </w:p>
        </w:tc>
      </w:tr>
      <w:tr w14:paraId="63AF34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707EDAAC">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4D97DC83">
            <w:pPr>
              <w:adjustRightInd w:val="0"/>
              <w:snapToGrid w:val="0"/>
              <w:rPr>
                <w:color w:val="000000" w:themeColor="text1"/>
                <w:spacing w:val="12"/>
                <w:sz w:val="18"/>
                <w:szCs w:val="18"/>
                <w14:textFill>
                  <w14:solidFill>
                    <w14:schemeClr w14:val="tx1"/>
                  </w14:solidFill>
                </w14:textFill>
              </w:rPr>
            </w:pPr>
            <w:r>
              <w:rPr>
                <w:color w:val="000000" w:themeColor="text1"/>
                <w:sz w:val="18"/>
                <w:szCs w:val="18"/>
                <w14:textFill>
                  <w14:solidFill>
                    <w14:schemeClr w14:val="tx1"/>
                  </w14:solidFill>
                </w14:textFill>
              </w:rPr>
              <w:t>病死畜</w:t>
            </w:r>
          </w:p>
        </w:tc>
        <w:tc>
          <w:tcPr>
            <w:tcW w:w="946" w:type="pct"/>
            <w:tcBorders>
              <w:tl2br w:val="nil"/>
              <w:tr2bl w:val="nil"/>
            </w:tcBorders>
            <w:vAlign w:val="center"/>
          </w:tcPr>
          <w:p w14:paraId="55F37A4F">
            <w:pPr>
              <w:adjustRightInd w:val="0"/>
              <w:snapToGrid w:val="0"/>
              <w:rPr>
                <w:color w:val="000000" w:themeColor="text1"/>
                <w:spacing w:val="12"/>
                <w:sz w:val="18"/>
                <w:szCs w:val="18"/>
                <w14:textFill>
                  <w14:solidFill>
                    <w14:schemeClr w14:val="tx1"/>
                  </w14:solidFill>
                </w14:textFill>
              </w:rPr>
            </w:pPr>
            <w:r>
              <w:rPr>
                <w:color w:val="000000" w:themeColor="text1"/>
                <w:sz w:val="18"/>
                <w:szCs w:val="18"/>
                <w14:textFill>
                  <w14:solidFill>
                    <w14:schemeClr w14:val="tx1"/>
                  </w14:solidFill>
                </w14:textFill>
              </w:rPr>
              <w:t>病死牛</w:t>
            </w:r>
          </w:p>
        </w:tc>
        <w:tc>
          <w:tcPr>
            <w:tcW w:w="2765" w:type="pct"/>
            <w:tcBorders>
              <w:tl2br w:val="nil"/>
              <w:tr2bl w:val="nil"/>
            </w:tcBorders>
            <w:vAlign w:val="center"/>
          </w:tcPr>
          <w:p w14:paraId="78A8180A">
            <w:pPr>
              <w:adjustRightInd w:val="0"/>
              <w:snapToGrid w:val="0"/>
              <w:rPr>
                <w:color w:val="000000" w:themeColor="text1"/>
                <w:spacing w:val="12"/>
                <w:sz w:val="18"/>
                <w:szCs w:val="18"/>
                <w14:textFill>
                  <w14:solidFill>
                    <w14:schemeClr w14:val="tx1"/>
                  </w14:solidFill>
                </w14:textFill>
              </w:rPr>
            </w:pPr>
            <w:r>
              <w:rPr>
                <w:color w:val="000000" w:themeColor="text1"/>
                <w:sz w:val="18"/>
                <w:szCs w:val="18"/>
                <w14:textFill>
                  <w14:solidFill>
                    <w14:schemeClr w14:val="tx1"/>
                  </w14:solidFill>
                </w14:textFill>
              </w:rPr>
              <w:t>交四川科农动物无害化处理有限公司无害化处理中心处置。</w:t>
            </w:r>
          </w:p>
        </w:tc>
      </w:tr>
      <w:tr w14:paraId="42E1A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538523EB">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35BFE25C">
            <w:pPr>
              <w:pStyle w:val="1744"/>
              <w:rPr>
                <w:rFonts w:ascii="Times New Roman" w:hAnsi="Times New Roman" w:eastAsia="宋体" w:cs="Times New Roman"/>
                <w:sz w:val="18"/>
                <w:szCs w:val="18"/>
              </w:rPr>
            </w:pPr>
            <w:r>
              <w:rPr>
                <w:rFonts w:ascii="Times New Roman" w:hAnsi="Times New Roman" w:eastAsia="宋体" w:cs="Times New Roman"/>
                <w:sz w:val="18"/>
                <w:szCs w:val="18"/>
                <w:lang w:val="en-US"/>
              </w:rPr>
              <w:t>餐厨垃圾（含隔油池油脂）</w:t>
            </w:r>
          </w:p>
        </w:tc>
        <w:tc>
          <w:tcPr>
            <w:tcW w:w="946" w:type="pct"/>
            <w:tcBorders>
              <w:tl2br w:val="nil"/>
              <w:tr2bl w:val="nil"/>
            </w:tcBorders>
            <w:vAlign w:val="center"/>
          </w:tcPr>
          <w:p w14:paraId="1D5BC428">
            <w:pPr>
              <w:pStyle w:val="1744"/>
              <w:rPr>
                <w:rFonts w:ascii="Times New Roman" w:hAnsi="Times New Roman" w:eastAsia="宋体" w:cs="Times New Roman"/>
                <w:sz w:val="18"/>
                <w:szCs w:val="18"/>
              </w:rPr>
            </w:pPr>
            <w:r>
              <w:rPr>
                <w:rFonts w:ascii="Times New Roman" w:hAnsi="Times New Roman" w:eastAsia="宋体" w:cs="Times New Roman"/>
                <w:sz w:val="18"/>
                <w:szCs w:val="18"/>
                <w:lang w:val="en-US"/>
              </w:rPr>
              <w:t>油脂</w:t>
            </w:r>
          </w:p>
        </w:tc>
        <w:tc>
          <w:tcPr>
            <w:tcW w:w="2765" w:type="pct"/>
            <w:tcBorders>
              <w:tl2br w:val="nil"/>
              <w:tr2bl w:val="nil"/>
            </w:tcBorders>
            <w:vAlign w:val="center"/>
          </w:tcPr>
          <w:p w14:paraId="6480F91D">
            <w:pPr>
              <w:rPr>
                <w:sz w:val="18"/>
                <w:szCs w:val="18"/>
              </w:rPr>
            </w:pPr>
            <w:r>
              <w:rPr>
                <w:spacing w:val="-1"/>
                <w:sz w:val="18"/>
                <w:szCs w:val="18"/>
              </w:rPr>
              <w:t>收集后交由取得经营许可的餐厨垃圾处理单位处置。</w:t>
            </w:r>
          </w:p>
        </w:tc>
      </w:tr>
      <w:tr w14:paraId="211621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vMerge w:val="continue"/>
            <w:tcBorders>
              <w:tl2br w:val="nil"/>
              <w:tr2bl w:val="nil"/>
            </w:tcBorders>
            <w:vAlign w:val="center"/>
          </w:tcPr>
          <w:p w14:paraId="1CAA2535">
            <w:pPr>
              <w:adjustRightInd w:val="0"/>
              <w:snapToGrid w:val="0"/>
              <w:rPr>
                <w:color w:val="000000" w:themeColor="text1"/>
                <w:spacing w:val="12"/>
                <w:sz w:val="18"/>
                <w:szCs w:val="18"/>
                <w14:textFill>
                  <w14:solidFill>
                    <w14:schemeClr w14:val="tx1"/>
                  </w14:solidFill>
                </w14:textFill>
              </w:rPr>
            </w:pPr>
          </w:p>
        </w:tc>
        <w:tc>
          <w:tcPr>
            <w:tcW w:w="859" w:type="pct"/>
            <w:tcBorders>
              <w:tl2br w:val="nil"/>
              <w:tr2bl w:val="nil"/>
            </w:tcBorders>
            <w:vAlign w:val="center"/>
          </w:tcPr>
          <w:p w14:paraId="46622205">
            <w:pPr>
              <w:pStyle w:val="1744"/>
              <w:rPr>
                <w:rFonts w:ascii="Times New Roman" w:hAnsi="Times New Roman" w:eastAsia="宋体" w:cs="Times New Roman"/>
                <w:sz w:val="18"/>
                <w:szCs w:val="18"/>
                <w:lang w:val="en-US"/>
              </w:rPr>
            </w:pPr>
            <w:r>
              <w:rPr>
                <w:rFonts w:ascii="Times New Roman" w:hAnsi="Times New Roman" w:eastAsia="宋体" w:cs="Times New Roman"/>
                <w:sz w:val="18"/>
                <w:szCs w:val="18"/>
              </w:rPr>
              <w:t>动物医疗废物</w:t>
            </w:r>
          </w:p>
        </w:tc>
        <w:tc>
          <w:tcPr>
            <w:tcW w:w="946" w:type="pct"/>
            <w:tcBorders>
              <w:tl2br w:val="nil"/>
              <w:tr2bl w:val="nil"/>
            </w:tcBorders>
            <w:vAlign w:val="center"/>
          </w:tcPr>
          <w:p w14:paraId="3DBFE365">
            <w:pPr>
              <w:pStyle w:val="1744"/>
              <w:rPr>
                <w:rFonts w:ascii="Times New Roman" w:hAnsi="Times New Roman" w:eastAsia="宋体" w:cs="Times New Roman"/>
                <w:sz w:val="18"/>
                <w:szCs w:val="18"/>
                <w:lang w:val="en-US"/>
              </w:rPr>
            </w:pPr>
            <w:r>
              <w:rPr>
                <w:rFonts w:ascii="Times New Roman" w:hAnsi="Times New Roman" w:eastAsia="宋体" w:cs="Times New Roman"/>
                <w:sz w:val="18"/>
                <w:szCs w:val="18"/>
                <w:lang w:val="en-US"/>
              </w:rPr>
              <w:t>防疫等</w:t>
            </w:r>
            <w:r>
              <w:rPr>
                <w:rFonts w:ascii="Times New Roman" w:hAnsi="Times New Roman" w:eastAsia="宋体" w:cs="Times New Roman"/>
                <w:sz w:val="18"/>
                <w:szCs w:val="18"/>
              </w:rPr>
              <w:t>日常产生的针头、消毒棉纱、</w:t>
            </w:r>
            <w:r>
              <w:rPr>
                <w:rFonts w:ascii="Times New Roman" w:hAnsi="Times New Roman" w:eastAsia="宋体" w:cs="Times New Roman"/>
                <w:sz w:val="18"/>
                <w:szCs w:val="18"/>
                <w:lang w:val="en-US"/>
              </w:rPr>
              <w:t>废兽药试剂</w:t>
            </w:r>
            <w:r>
              <w:rPr>
                <w:rFonts w:ascii="Times New Roman" w:hAnsi="Times New Roman" w:eastAsia="宋体" w:cs="Times New Roman"/>
                <w:sz w:val="18"/>
                <w:szCs w:val="18"/>
              </w:rPr>
              <w:t>等</w:t>
            </w:r>
          </w:p>
        </w:tc>
        <w:tc>
          <w:tcPr>
            <w:tcW w:w="2765" w:type="pct"/>
            <w:tcBorders>
              <w:tl2br w:val="nil"/>
              <w:tr2bl w:val="nil"/>
            </w:tcBorders>
            <w:vAlign w:val="center"/>
          </w:tcPr>
          <w:p w14:paraId="058381C5">
            <w:pPr>
              <w:adjustRightInd w:val="0"/>
              <w:snapToGrid w:val="0"/>
              <w:rPr>
                <w:sz w:val="18"/>
                <w:szCs w:val="18"/>
              </w:rPr>
            </w:pPr>
            <w:r>
              <w:rPr>
                <w:sz w:val="18"/>
                <w:szCs w:val="18"/>
              </w:rPr>
              <w:t>经危废暂存间暂存后</w:t>
            </w:r>
            <w:r>
              <w:rPr>
                <w:kern w:val="0"/>
                <w:sz w:val="18"/>
                <w:szCs w:val="18"/>
                <w:lang w:bidi="ar"/>
              </w:rPr>
              <w:t>定期交由有资质的单位处理。</w:t>
            </w:r>
          </w:p>
        </w:tc>
      </w:tr>
      <w:tr w14:paraId="15A240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30" w:type="pct"/>
            <w:tcBorders>
              <w:tl2br w:val="nil"/>
              <w:tr2bl w:val="nil"/>
            </w:tcBorders>
            <w:vAlign w:val="center"/>
          </w:tcPr>
          <w:p w14:paraId="2951CC09">
            <w:pPr>
              <w:adjustRightInd w:val="0"/>
              <w:snapToGrid w:val="0"/>
              <w:rPr>
                <w:color w:val="000000" w:themeColor="text1"/>
                <w:spacing w:val="12"/>
                <w:sz w:val="18"/>
                <w:szCs w:val="18"/>
                <w14:textFill>
                  <w14:solidFill>
                    <w14:schemeClr w14:val="tx1"/>
                  </w14:solidFill>
                </w14:textFill>
              </w:rPr>
            </w:pPr>
            <w:r>
              <w:rPr>
                <w:color w:val="000000" w:themeColor="text1"/>
                <w:spacing w:val="12"/>
                <w:sz w:val="18"/>
                <w:szCs w:val="18"/>
                <w14:textFill>
                  <w14:solidFill>
                    <w14:schemeClr w14:val="tx1"/>
                  </w14:solidFill>
                </w14:textFill>
              </w:rPr>
              <w:t>噪声</w:t>
            </w:r>
          </w:p>
        </w:tc>
        <w:tc>
          <w:tcPr>
            <w:tcW w:w="859" w:type="pct"/>
            <w:tcBorders>
              <w:tl2br w:val="nil"/>
              <w:tr2bl w:val="nil"/>
            </w:tcBorders>
            <w:vAlign w:val="center"/>
          </w:tcPr>
          <w:p w14:paraId="420D46A4">
            <w:pPr>
              <w:pStyle w:val="1744"/>
              <w:rPr>
                <w:rFonts w:ascii="Times New Roman" w:hAnsi="Times New Roman" w:eastAsia="宋体" w:cs="Times New Roman"/>
                <w:sz w:val="18"/>
                <w:szCs w:val="18"/>
                <w:lang w:val="en-US"/>
              </w:rPr>
            </w:pPr>
            <w:r>
              <w:rPr>
                <w:rFonts w:ascii="Times New Roman" w:hAnsi="Times New Roman" w:eastAsia="宋体" w:cs="Times New Roman"/>
                <w:sz w:val="18"/>
                <w:szCs w:val="18"/>
                <w:lang w:val="en-US"/>
              </w:rPr>
              <w:t>牛叫声、设备噪声、车辆运输噪声</w:t>
            </w:r>
          </w:p>
        </w:tc>
        <w:tc>
          <w:tcPr>
            <w:tcW w:w="946" w:type="pct"/>
            <w:tcBorders>
              <w:tl2br w:val="nil"/>
              <w:tr2bl w:val="nil"/>
            </w:tcBorders>
            <w:vAlign w:val="center"/>
          </w:tcPr>
          <w:p w14:paraId="125BE576">
            <w:pPr>
              <w:pStyle w:val="1744"/>
              <w:rPr>
                <w:rFonts w:ascii="Times New Roman" w:hAnsi="Times New Roman" w:eastAsia="宋体" w:cs="Times New Roman"/>
                <w:sz w:val="18"/>
                <w:szCs w:val="18"/>
                <w:lang w:val="en-US"/>
              </w:rPr>
            </w:pPr>
            <w:r>
              <w:rPr>
                <w:rFonts w:ascii="Times New Roman" w:hAnsi="Times New Roman" w:eastAsia="宋体" w:cs="Times New Roman"/>
                <w:sz w:val="18"/>
                <w:szCs w:val="18"/>
                <w:lang w:val="en-US"/>
              </w:rPr>
              <w:t>等效A声级L</w:t>
            </w:r>
            <w:r>
              <w:rPr>
                <w:rFonts w:hint="eastAsia" w:ascii="Times New Roman" w:hAnsi="Times New Roman" w:eastAsia="宋体" w:cs="Times New Roman"/>
                <w:sz w:val="18"/>
                <w:szCs w:val="18"/>
                <w:lang w:val="en-US"/>
              </w:rPr>
              <w:t>e</w:t>
            </w:r>
            <w:r>
              <w:rPr>
                <w:rFonts w:ascii="Times New Roman" w:hAnsi="Times New Roman" w:eastAsia="宋体" w:cs="Times New Roman"/>
                <w:sz w:val="18"/>
                <w:szCs w:val="18"/>
                <w:lang w:val="en-US"/>
              </w:rPr>
              <w:t>q</w:t>
            </w:r>
          </w:p>
        </w:tc>
        <w:tc>
          <w:tcPr>
            <w:tcW w:w="2765" w:type="pct"/>
            <w:tcBorders>
              <w:tl2br w:val="nil"/>
              <w:tr2bl w:val="nil"/>
            </w:tcBorders>
            <w:vAlign w:val="center"/>
          </w:tcPr>
          <w:p w14:paraId="6A7E9836">
            <w:pPr>
              <w:rPr>
                <w:sz w:val="18"/>
                <w:szCs w:val="18"/>
              </w:rPr>
            </w:pPr>
            <w:r>
              <w:rPr>
                <w:bCs/>
                <w:sz w:val="18"/>
                <w:szCs w:val="18"/>
              </w:rPr>
              <w:t>猪舍隔声、减少扰动、加强管理；加装减振、合理布局、隔声。</w:t>
            </w:r>
          </w:p>
        </w:tc>
      </w:tr>
    </w:tbl>
    <w:p w14:paraId="4002DD5B">
      <w:pPr>
        <w:pStyle w:val="752"/>
        <w:rPr>
          <w:rFonts w:cs="Times New Roman"/>
          <w:color w:val="000000" w:themeColor="text1"/>
          <w14:textFill>
            <w14:solidFill>
              <w14:schemeClr w14:val="tx1"/>
            </w14:solidFill>
          </w14:textFill>
        </w:rPr>
      </w:pPr>
      <w:bookmarkStart w:id="390" w:name="_Toc18391"/>
      <w:bookmarkStart w:id="391" w:name="_Toc233380180"/>
      <w:r>
        <w:rPr>
          <w:rFonts w:cs="Times New Roman"/>
          <w:color w:val="000000" w:themeColor="text1"/>
          <w14:textFill>
            <w14:solidFill>
              <w14:schemeClr w14:val="tx1"/>
            </w14:solidFill>
          </w14:textFill>
        </w:rPr>
        <w:t>3.10.3水平衡分析</w:t>
      </w:r>
      <w:bookmarkEnd w:id="390"/>
      <w:bookmarkEnd w:id="391"/>
    </w:p>
    <w:p w14:paraId="48F2B02B">
      <w:pPr>
        <w:pStyle w:val="1771"/>
        <w:spacing w:line="360" w:lineRule="auto"/>
        <w:ind w:firstLine="482" w:firstLineChars="200"/>
        <w:jc w:val="left"/>
        <w:rPr>
          <w:snapToGrid w:val="0"/>
          <w:color w:val="000000" w:themeColor="text1"/>
          <w:sz w:val="24"/>
          <w:szCs w:val="24"/>
          <w:lang w:val="en-US"/>
          <w14:textFill>
            <w14:solidFill>
              <w14:schemeClr w14:val="tx1"/>
            </w14:solidFill>
          </w14:textFill>
        </w:rPr>
      </w:pPr>
      <w:r>
        <w:rPr>
          <w:snapToGrid w:val="0"/>
          <w:color w:val="000000" w:themeColor="text1"/>
          <w:sz w:val="24"/>
          <w:szCs w:val="24"/>
          <w:lang w:val="en-US"/>
          <w14:textFill>
            <w14:solidFill>
              <w14:schemeClr w14:val="tx1"/>
            </w14:solidFill>
          </w14:textFill>
        </w:rPr>
        <w:t>1、水平衡</w:t>
      </w:r>
    </w:p>
    <w:p w14:paraId="15A5EE4B">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本项目给水来源于乡镇市政给水管网</w:t>
      </w:r>
      <w:r>
        <w:rPr>
          <w:color w:val="000000" w:themeColor="text1"/>
          <w:sz w:val="24"/>
          <w14:textFill>
            <w14:solidFill>
              <w14:schemeClr w14:val="tx1"/>
            </w14:solidFill>
          </w14:textFill>
        </w:rPr>
        <w:t>。</w:t>
      </w:r>
      <w:r>
        <w:rPr>
          <w:bCs/>
          <w:color w:val="000000" w:themeColor="text1"/>
          <w:sz w:val="24"/>
          <w14:textFill>
            <w14:solidFill>
              <w14:schemeClr w14:val="tx1"/>
            </w14:solidFill>
          </w14:textFill>
        </w:rPr>
        <w:t>项目用水主要包括牛饮用水、消毒用水、</w:t>
      </w:r>
      <w:r>
        <w:rPr>
          <w:rFonts w:hint="eastAsia"/>
          <w:bCs/>
          <w:color w:val="000000" w:themeColor="text1"/>
          <w:sz w:val="24"/>
          <w14:textFill>
            <w14:solidFill>
              <w14:schemeClr w14:val="tx1"/>
            </w14:solidFill>
          </w14:textFill>
        </w:rPr>
        <w:t>发酵菌溶解</w:t>
      </w:r>
      <w:r>
        <w:rPr>
          <w:bCs/>
          <w:color w:val="000000" w:themeColor="text1"/>
          <w:sz w:val="24"/>
          <w14:textFill>
            <w14:solidFill>
              <w14:schemeClr w14:val="tx1"/>
            </w14:solidFill>
          </w14:textFill>
        </w:rPr>
        <w:t>用水、</w:t>
      </w:r>
      <w:r>
        <w:rPr>
          <w:rFonts w:hint="eastAsia"/>
          <w:bCs/>
          <w:color w:val="000000" w:themeColor="text1"/>
          <w:sz w:val="24"/>
          <w14:textFill>
            <w14:solidFill>
              <w14:schemeClr w14:val="tx1"/>
            </w14:solidFill>
          </w14:textFill>
        </w:rPr>
        <w:t>除臭用水、</w:t>
      </w:r>
      <w:r>
        <w:rPr>
          <w:bCs/>
          <w:color w:val="000000" w:themeColor="text1"/>
          <w:sz w:val="24"/>
          <w14:textFill>
            <w14:solidFill>
              <w14:schemeClr w14:val="tx1"/>
            </w14:solidFill>
          </w14:textFill>
        </w:rPr>
        <w:t>生活用水、绿化用水。</w:t>
      </w:r>
    </w:p>
    <w:p w14:paraId="19B37077">
      <w:pPr>
        <w:spacing w:line="360" w:lineRule="auto"/>
        <w:ind w:firstLine="480" w:firstLineChars="200"/>
        <w:jc w:val="both"/>
        <w:rPr>
          <w:bCs/>
          <w:sz w:val="24"/>
        </w:rPr>
      </w:pPr>
      <w:r>
        <w:rPr>
          <w:bCs/>
          <w:sz w:val="24"/>
        </w:rPr>
        <w:t>1）牛饮用水</w:t>
      </w:r>
    </w:p>
    <w:p w14:paraId="53CDCB0F">
      <w:pPr>
        <w:spacing w:line="360" w:lineRule="auto"/>
        <w:ind w:firstLine="480" w:firstLineChars="200"/>
        <w:jc w:val="both"/>
        <w:rPr>
          <w:bCs/>
          <w:sz w:val="24"/>
        </w:rPr>
      </w:pPr>
      <w:r>
        <w:rPr>
          <w:bCs/>
          <w:sz w:val="24"/>
        </w:rPr>
        <w:t>牛群采用舍内节水型饮水器自由饮水。根据《四川省用水定额》（川府函〔2021〕8号），畜牧业用水定额为某类牲畜每日每头（只/羽）平均饮用和清洁卫生用水量的限定值，</w:t>
      </w:r>
      <w:bookmarkStart w:id="392" w:name="OLE_LINK150"/>
      <w:bookmarkStart w:id="393" w:name="OLE_LINK149"/>
      <w:r>
        <w:rPr>
          <w:rFonts w:hint="eastAsia"/>
          <w:bCs/>
          <w:sz w:val="24"/>
        </w:rPr>
        <w:t>牛舍采用场床一体化（生物菌发酵床）技术，不需要对牛舍进行冲洗，无冲栏废水产生，牛尿直接排到发酵床的垫料上，垫料里富含特殊有益微生物，能够快速被消化分解，因此本项目无养殖废水排出</w:t>
      </w:r>
      <w:bookmarkEnd w:id="392"/>
      <w:bookmarkEnd w:id="393"/>
      <w:r>
        <w:rPr>
          <w:bCs/>
          <w:sz w:val="24"/>
        </w:rPr>
        <w:t>，肉牛用水定额采用先进值，即肉牛饲养用水定额为40L/头·d，项目肉牛最大存栏量10590头</w:t>
      </w:r>
      <w:r>
        <w:rPr>
          <w:rFonts w:hint="eastAsia"/>
          <w:bCs/>
          <w:sz w:val="24"/>
        </w:rPr>
        <w:t>，一年出栏两次</w:t>
      </w:r>
      <w:r>
        <w:rPr>
          <w:bCs/>
          <w:sz w:val="24"/>
        </w:rPr>
        <w:t>，则项目区牛饮用水总量为152496m</w:t>
      </w:r>
      <w:r>
        <w:rPr>
          <w:bCs/>
          <w:sz w:val="24"/>
          <w:vertAlign w:val="superscript"/>
        </w:rPr>
        <w:t>3</w:t>
      </w:r>
      <w:r>
        <w:rPr>
          <w:bCs/>
          <w:sz w:val="24"/>
        </w:rPr>
        <w:t>/a（423.6m</w:t>
      </w:r>
      <w:r>
        <w:rPr>
          <w:bCs/>
          <w:sz w:val="24"/>
          <w:vertAlign w:val="superscript"/>
        </w:rPr>
        <w:t>3</w:t>
      </w:r>
      <w:r>
        <w:rPr>
          <w:bCs/>
          <w:sz w:val="24"/>
        </w:rPr>
        <w:t>/d）。</w:t>
      </w:r>
    </w:p>
    <w:p w14:paraId="46CCCD85">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表3.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hint="eastAsia" w:ascii="黑体" w:hAnsi="黑体" w:eastAsia="黑体"/>
          <w:b w:val="0"/>
          <w:snapToGrid w:val="0"/>
          <w:color w:val="000000" w:themeColor="text1"/>
          <w:szCs w:val="21"/>
          <w:lang w:val="en-US"/>
          <w14:textFill>
            <w14:solidFill>
              <w14:schemeClr w14:val="tx1"/>
            </w14:solidFill>
          </w14:textFill>
        </w:rPr>
        <w:t>1 各养殖场区肉牛饮用水量情况表</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0"/>
        <w:gridCol w:w="1661"/>
        <w:gridCol w:w="1659"/>
        <w:gridCol w:w="1536"/>
        <w:gridCol w:w="1787"/>
      </w:tblGrid>
      <w:tr w14:paraId="5692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000" w:type="pct"/>
            <w:vMerge w:val="restart"/>
            <w:vAlign w:val="center"/>
          </w:tcPr>
          <w:p w14:paraId="5A9097CF">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养殖场区</w:t>
            </w:r>
          </w:p>
        </w:tc>
        <w:tc>
          <w:tcPr>
            <w:tcW w:w="1000" w:type="pct"/>
            <w:vMerge w:val="restart"/>
            <w:vAlign w:val="center"/>
          </w:tcPr>
          <w:p w14:paraId="781CD96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存栏量，头</w:t>
            </w:r>
          </w:p>
        </w:tc>
        <w:tc>
          <w:tcPr>
            <w:tcW w:w="1924" w:type="pct"/>
            <w:gridSpan w:val="2"/>
            <w:vAlign w:val="center"/>
          </w:tcPr>
          <w:p w14:paraId="3C69205D">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饮用水量</w:t>
            </w:r>
          </w:p>
        </w:tc>
        <w:tc>
          <w:tcPr>
            <w:tcW w:w="1076" w:type="pct"/>
            <w:vMerge w:val="restart"/>
            <w:vAlign w:val="center"/>
          </w:tcPr>
          <w:p w14:paraId="280B5A4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备注</w:t>
            </w:r>
          </w:p>
        </w:tc>
      </w:tr>
      <w:tr w14:paraId="1515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000" w:type="pct"/>
            <w:vMerge w:val="continue"/>
            <w:vAlign w:val="center"/>
          </w:tcPr>
          <w:p w14:paraId="14BF010D">
            <w:pPr>
              <w:pStyle w:val="1771"/>
              <w:widowControl w:val="0"/>
              <w:rPr>
                <w:rFonts w:ascii="宋体" w:hAnsi="宋体"/>
                <w:b w:val="0"/>
                <w:snapToGrid w:val="0"/>
                <w:color w:val="000000" w:themeColor="text1"/>
                <w:szCs w:val="21"/>
                <w:lang w:val="en-US"/>
                <w14:textFill>
                  <w14:solidFill>
                    <w14:schemeClr w14:val="tx1"/>
                  </w14:solidFill>
                </w14:textFill>
              </w:rPr>
            </w:pPr>
          </w:p>
        </w:tc>
        <w:tc>
          <w:tcPr>
            <w:tcW w:w="1000" w:type="pct"/>
            <w:vMerge w:val="continue"/>
            <w:vAlign w:val="center"/>
          </w:tcPr>
          <w:p w14:paraId="7E97FF86">
            <w:pPr>
              <w:pStyle w:val="1771"/>
              <w:widowControl w:val="0"/>
              <w:rPr>
                <w:rFonts w:ascii="宋体" w:hAnsi="宋体"/>
                <w:b w:val="0"/>
                <w:snapToGrid w:val="0"/>
                <w:color w:val="000000" w:themeColor="text1"/>
                <w:szCs w:val="21"/>
                <w:lang w:val="en-US"/>
                <w14:textFill>
                  <w14:solidFill>
                    <w14:schemeClr w14:val="tx1"/>
                  </w14:solidFill>
                </w14:textFill>
              </w:rPr>
            </w:pPr>
          </w:p>
        </w:tc>
        <w:tc>
          <w:tcPr>
            <w:tcW w:w="999" w:type="pct"/>
            <w:vAlign w:val="center"/>
          </w:tcPr>
          <w:p w14:paraId="345B0735">
            <w:pPr>
              <w:pStyle w:val="1771"/>
              <w:widowControl w:val="0"/>
              <w:rPr>
                <w:rFonts w:ascii="宋体" w:hAnsi="宋体"/>
                <w:b w:val="0"/>
                <w:snapToGrid w:val="0"/>
                <w:color w:val="000000" w:themeColor="text1"/>
                <w:szCs w:val="21"/>
                <w:lang w:val="en-US"/>
                <w14:textFill>
                  <w14:solidFill>
                    <w14:schemeClr w14:val="tx1"/>
                  </w14:solidFill>
                </w14:textFill>
              </w:rPr>
            </w:pPr>
            <w:r>
              <w:rPr>
                <w:b w:val="0"/>
                <w:bCs/>
                <w:szCs w:val="21"/>
              </w:rPr>
              <w:t>m</w:t>
            </w:r>
            <w:r>
              <w:rPr>
                <w:b w:val="0"/>
                <w:bCs/>
                <w:szCs w:val="21"/>
                <w:vertAlign w:val="superscript"/>
              </w:rPr>
              <w:t>3</w:t>
            </w:r>
            <w:r>
              <w:rPr>
                <w:b w:val="0"/>
                <w:bCs/>
                <w:szCs w:val="21"/>
              </w:rPr>
              <w:t>/d</w:t>
            </w:r>
          </w:p>
        </w:tc>
        <w:tc>
          <w:tcPr>
            <w:tcW w:w="925" w:type="pct"/>
            <w:vAlign w:val="center"/>
          </w:tcPr>
          <w:p w14:paraId="3C1E725A">
            <w:pPr>
              <w:pStyle w:val="1771"/>
              <w:widowControl w:val="0"/>
              <w:rPr>
                <w:rFonts w:ascii="宋体" w:hAnsi="宋体"/>
                <w:b w:val="0"/>
                <w:snapToGrid w:val="0"/>
                <w:color w:val="000000" w:themeColor="text1"/>
                <w:szCs w:val="21"/>
                <w:lang w:val="en-US"/>
                <w14:textFill>
                  <w14:solidFill>
                    <w14:schemeClr w14:val="tx1"/>
                  </w14:solidFill>
                </w14:textFill>
              </w:rPr>
            </w:pPr>
            <w:r>
              <w:rPr>
                <w:b w:val="0"/>
                <w:bCs/>
                <w:szCs w:val="21"/>
              </w:rPr>
              <w:t>m</w:t>
            </w:r>
            <w:r>
              <w:rPr>
                <w:b w:val="0"/>
                <w:bCs/>
                <w:szCs w:val="21"/>
                <w:vertAlign w:val="superscript"/>
              </w:rPr>
              <w:t>3</w:t>
            </w:r>
            <w:r>
              <w:rPr>
                <w:b w:val="0"/>
                <w:bCs/>
                <w:szCs w:val="21"/>
              </w:rPr>
              <w:t>/</w:t>
            </w:r>
            <w:r>
              <w:rPr>
                <w:rFonts w:hint="eastAsia"/>
                <w:b w:val="0"/>
                <w:bCs/>
                <w:szCs w:val="21"/>
              </w:rPr>
              <w:t>a</w:t>
            </w:r>
          </w:p>
        </w:tc>
        <w:tc>
          <w:tcPr>
            <w:tcW w:w="1076" w:type="pct"/>
            <w:vMerge w:val="continue"/>
            <w:vAlign w:val="center"/>
          </w:tcPr>
          <w:p w14:paraId="7715A987">
            <w:pPr>
              <w:pStyle w:val="1771"/>
              <w:widowControl w:val="0"/>
              <w:rPr>
                <w:rFonts w:ascii="宋体" w:hAnsi="宋体"/>
                <w:b w:val="0"/>
                <w:snapToGrid w:val="0"/>
                <w:color w:val="000000" w:themeColor="text1"/>
                <w:szCs w:val="21"/>
                <w:lang w:val="en-US"/>
                <w14:textFill>
                  <w14:solidFill>
                    <w14:schemeClr w14:val="tx1"/>
                  </w14:solidFill>
                </w14:textFill>
              </w:rPr>
            </w:pPr>
          </w:p>
        </w:tc>
      </w:tr>
      <w:tr w14:paraId="3A86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Align w:val="center"/>
          </w:tcPr>
          <w:p w14:paraId="53C2CFE9">
            <w:pPr>
              <w:pStyle w:val="1771"/>
              <w:widowControl w:val="0"/>
              <w:rPr>
                <w:rFonts w:ascii="宋体" w:hAnsi="宋体"/>
                <w:b w:val="0"/>
                <w:snapToGrid w:val="0"/>
                <w:color w:val="000000" w:themeColor="text1"/>
                <w:szCs w:val="21"/>
                <w:lang w:val="en-US"/>
                <w14:textFill>
                  <w14:solidFill>
                    <w14:schemeClr w14:val="tx1"/>
                  </w14:solidFill>
                </w14:textFill>
              </w:rPr>
            </w:pPr>
            <w:bookmarkStart w:id="394" w:name="_Hlk233121373"/>
            <w:r>
              <w:rPr>
                <w:rFonts w:hint="eastAsia" w:ascii="宋体" w:hAnsi="宋体"/>
                <w:b w:val="0"/>
                <w:szCs w:val="21"/>
              </w:rPr>
              <w:t>百花养殖场区</w:t>
            </w:r>
          </w:p>
        </w:tc>
        <w:tc>
          <w:tcPr>
            <w:tcW w:w="1000" w:type="pct"/>
            <w:vAlign w:val="center"/>
          </w:tcPr>
          <w:p w14:paraId="73AF1228">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3290</w:t>
            </w:r>
          </w:p>
        </w:tc>
        <w:tc>
          <w:tcPr>
            <w:tcW w:w="999" w:type="pct"/>
            <w:vAlign w:val="center"/>
          </w:tcPr>
          <w:p w14:paraId="2B4A38F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1</w:t>
            </w:r>
            <w:r>
              <w:rPr>
                <w:rFonts w:ascii="宋体" w:hAnsi="宋体"/>
                <w:b w:val="0"/>
                <w:snapToGrid w:val="0"/>
                <w:color w:val="000000" w:themeColor="text1"/>
                <w:szCs w:val="21"/>
                <w:lang w:val="en-US"/>
                <w14:textFill>
                  <w14:solidFill>
                    <w14:schemeClr w14:val="tx1"/>
                  </w14:solidFill>
                </w14:textFill>
              </w:rPr>
              <w:t>31.6</w:t>
            </w:r>
          </w:p>
        </w:tc>
        <w:tc>
          <w:tcPr>
            <w:tcW w:w="925" w:type="pct"/>
            <w:vAlign w:val="center"/>
          </w:tcPr>
          <w:p w14:paraId="5977921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4</w:t>
            </w:r>
            <w:r>
              <w:rPr>
                <w:rFonts w:ascii="宋体" w:hAnsi="宋体"/>
                <w:b w:val="0"/>
                <w:snapToGrid w:val="0"/>
                <w:color w:val="000000" w:themeColor="text1"/>
                <w:szCs w:val="21"/>
                <w:lang w:val="en-US"/>
                <w14:textFill>
                  <w14:solidFill>
                    <w14:schemeClr w14:val="tx1"/>
                  </w14:solidFill>
                </w14:textFill>
              </w:rPr>
              <w:t>7376</w:t>
            </w:r>
          </w:p>
        </w:tc>
        <w:tc>
          <w:tcPr>
            <w:tcW w:w="1076" w:type="pct"/>
            <w:vMerge w:val="restart"/>
            <w:vAlign w:val="center"/>
          </w:tcPr>
          <w:p w14:paraId="5B2BCDE6">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饮用水以尿液及粪便方式排出，排出后经场床垫料吸收，无废水外排。</w:t>
            </w:r>
          </w:p>
        </w:tc>
      </w:tr>
      <w:tr w14:paraId="36D2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Align w:val="center"/>
          </w:tcPr>
          <w:p w14:paraId="6242BD0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佛龙养殖场区</w:t>
            </w:r>
          </w:p>
        </w:tc>
        <w:tc>
          <w:tcPr>
            <w:tcW w:w="1000" w:type="pct"/>
            <w:vAlign w:val="center"/>
          </w:tcPr>
          <w:p w14:paraId="355A19BF">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1680</w:t>
            </w:r>
          </w:p>
        </w:tc>
        <w:tc>
          <w:tcPr>
            <w:tcW w:w="999" w:type="pct"/>
            <w:vAlign w:val="center"/>
          </w:tcPr>
          <w:p w14:paraId="2CB8BA2C">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6</w:t>
            </w:r>
            <w:r>
              <w:rPr>
                <w:rFonts w:ascii="宋体" w:hAnsi="宋体"/>
                <w:b w:val="0"/>
                <w:snapToGrid w:val="0"/>
                <w:color w:val="000000" w:themeColor="text1"/>
                <w:szCs w:val="21"/>
                <w:lang w:val="en-US"/>
                <w14:textFill>
                  <w14:solidFill>
                    <w14:schemeClr w14:val="tx1"/>
                  </w14:solidFill>
                </w14:textFill>
              </w:rPr>
              <w:t>7.2</w:t>
            </w:r>
          </w:p>
        </w:tc>
        <w:tc>
          <w:tcPr>
            <w:tcW w:w="925" w:type="pct"/>
            <w:vAlign w:val="center"/>
          </w:tcPr>
          <w:p w14:paraId="45CAFA62">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2</w:t>
            </w:r>
            <w:r>
              <w:rPr>
                <w:rFonts w:ascii="宋体" w:hAnsi="宋体"/>
                <w:b w:val="0"/>
                <w:snapToGrid w:val="0"/>
                <w:color w:val="000000" w:themeColor="text1"/>
                <w:szCs w:val="21"/>
                <w:lang w:val="en-US"/>
                <w14:textFill>
                  <w14:solidFill>
                    <w14:schemeClr w14:val="tx1"/>
                  </w14:solidFill>
                </w14:textFill>
              </w:rPr>
              <w:t>4192</w:t>
            </w:r>
          </w:p>
        </w:tc>
        <w:tc>
          <w:tcPr>
            <w:tcW w:w="1076" w:type="pct"/>
            <w:vMerge w:val="continue"/>
            <w:vAlign w:val="center"/>
          </w:tcPr>
          <w:p w14:paraId="16F4579F">
            <w:pPr>
              <w:pStyle w:val="1771"/>
              <w:widowControl w:val="0"/>
              <w:rPr>
                <w:rFonts w:ascii="宋体" w:hAnsi="宋体"/>
                <w:b w:val="0"/>
                <w:snapToGrid w:val="0"/>
                <w:color w:val="000000" w:themeColor="text1"/>
                <w:szCs w:val="21"/>
                <w:lang w:val="en-US"/>
                <w14:textFill>
                  <w14:solidFill>
                    <w14:schemeClr w14:val="tx1"/>
                  </w14:solidFill>
                </w14:textFill>
              </w:rPr>
            </w:pPr>
          </w:p>
        </w:tc>
      </w:tr>
      <w:tr w14:paraId="5D1B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Align w:val="center"/>
          </w:tcPr>
          <w:p w14:paraId="397AAD2C">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塘坝养殖场区</w:t>
            </w:r>
          </w:p>
        </w:tc>
        <w:tc>
          <w:tcPr>
            <w:tcW w:w="1000" w:type="pct"/>
            <w:vAlign w:val="center"/>
          </w:tcPr>
          <w:p w14:paraId="32525278">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3290</w:t>
            </w:r>
          </w:p>
        </w:tc>
        <w:tc>
          <w:tcPr>
            <w:tcW w:w="999" w:type="pct"/>
            <w:vAlign w:val="center"/>
          </w:tcPr>
          <w:p w14:paraId="7C8E7E66">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1</w:t>
            </w:r>
            <w:r>
              <w:rPr>
                <w:rFonts w:ascii="宋体" w:hAnsi="宋体"/>
                <w:b w:val="0"/>
                <w:snapToGrid w:val="0"/>
                <w:color w:val="000000" w:themeColor="text1"/>
                <w:szCs w:val="21"/>
                <w:lang w:val="en-US"/>
                <w14:textFill>
                  <w14:solidFill>
                    <w14:schemeClr w14:val="tx1"/>
                  </w14:solidFill>
                </w14:textFill>
              </w:rPr>
              <w:t>31.6</w:t>
            </w:r>
          </w:p>
        </w:tc>
        <w:tc>
          <w:tcPr>
            <w:tcW w:w="925" w:type="pct"/>
            <w:vAlign w:val="center"/>
          </w:tcPr>
          <w:p w14:paraId="019419C0">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4</w:t>
            </w:r>
            <w:r>
              <w:rPr>
                <w:rFonts w:ascii="宋体" w:hAnsi="宋体"/>
                <w:b w:val="0"/>
                <w:snapToGrid w:val="0"/>
                <w:color w:val="000000" w:themeColor="text1"/>
                <w:szCs w:val="21"/>
                <w:lang w:val="en-US"/>
                <w14:textFill>
                  <w14:solidFill>
                    <w14:schemeClr w14:val="tx1"/>
                  </w14:solidFill>
                </w14:textFill>
              </w:rPr>
              <w:t>7376</w:t>
            </w:r>
          </w:p>
        </w:tc>
        <w:tc>
          <w:tcPr>
            <w:tcW w:w="1076" w:type="pct"/>
            <w:vMerge w:val="continue"/>
            <w:vAlign w:val="center"/>
          </w:tcPr>
          <w:p w14:paraId="29AC969F">
            <w:pPr>
              <w:pStyle w:val="1771"/>
              <w:widowControl w:val="0"/>
              <w:rPr>
                <w:rFonts w:ascii="宋体" w:hAnsi="宋体"/>
                <w:b w:val="0"/>
                <w:snapToGrid w:val="0"/>
                <w:color w:val="000000" w:themeColor="text1"/>
                <w:szCs w:val="21"/>
                <w:lang w:val="en-US"/>
                <w14:textFill>
                  <w14:solidFill>
                    <w14:schemeClr w14:val="tx1"/>
                  </w14:solidFill>
                </w14:textFill>
              </w:rPr>
            </w:pPr>
          </w:p>
        </w:tc>
      </w:tr>
      <w:tr w14:paraId="6402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1000" w:type="pct"/>
            <w:vAlign w:val="center"/>
          </w:tcPr>
          <w:p w14:paraId="716569AA">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始宁养殖场区</w:t>
            </w:r>
          </w:p>
        </w:tc>
        <w:tc>
          <w:tcPr>
            <w:tcW w:w="1000" w:type="pct"/>
            <w:vAlign w:val="center"/>
          </w:tcPr>
          <w:p w14:paraId="5A93A5A1">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2330</w:t>
            </w:r>
          </w:p>
        </w:tc>
        <w:tc>
          <w:tcPr>
            <w:tcW w:w="999" w:type="pct"/>
            <w:vAlign w:val="center"/>
          </w:tcPr>
          <w:p w14:paraId="2189689A">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9</w:t>
            </w:r>
            <w:r>
              <w:rPr>
                <w:rFonts w:ascii="宋体" w:hAnsi="宋体"/>
                <w:b w:val="0"/>
                <w:snapToGrid w:val="0"/>
                <w:color w:val="000000" w:themeColor="text1"/>
                <w:szCs w:val="21"/>
                <w:lang w:val="en-US"/>
                <w14:textFill>
                  <w14:solidFill>
                    <w14:schemeClr w14:val="tx1"/>
                  </w14:solidFill>
                </w14:textFill>
              </w:rPr>
              <w:t>3.2</w:t>
            </w:r>
          </w:p>
        </w:tc>
        <w:tc>
          <w:tcPr>
            <w:tcW w:w="925" w:type="pct"/>
            <w:vAlign w:val="center"/>
          </w:tcPr>
          <w:p w14:paraId="2F7EAF1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3</w:t>
            </w:r>
            <w:r>
              <w:rPr>
                <w:rFonts w:ascii="宋体" w:hAnsi="宋体"/>
                <w:b w:val="0"/>
                <w:snapToGrid w:val="0"/>
                <w:color w:val="000000" w:themeColor="text1"/>
                <w:szCs w:val="21"/>
                <w:lang w:val="en-US"/>
                <w14:textFill>
                  <w14:solidFill>
                    <w14:schemeClr w14:val="tx1"/>
                  </w14:solidFill>
                </w14:textFill>
              </w:rPr>
              <w:t>3552</w:t>
            </w:r>
          </w:p>
        </w:tc>
        <w:tc>
          <w:tcPr>
            <w:tcW w:w="1076" w:type="pct"/>
            <w:vMerge w:val="continue"/>
            <w:vAlign w:val="center"/>
          </w:tcPr>
          <w:p w14:paraId="2A10DD34">
            <w:pPr>
              <w:pStyle w:val="1771"/>
              <w:widowControl w:val="0"/>
              <w:rPr>
                <w:rFonts w:ascii="宋体" w:hAnsi="宋体"/>
                <w:b w:val="0"/>
                <w:snapToGrid w:val="0"/>
                <w:color w:val="000000" w:themeColor="text1"/>
                <w:szCs w:val="21"/>
                <w:lang w:val="en-US"/>
                <w14:textFill>
                  <w14:solidFill>
                    <w14:schemeClr w14:val="tx1"/>
                  </w14:solidFill>
                </w14:textFill>
              </w:rPr>
            </w:pPr>
          </w:p>
        </w:tc>
      </w:tr>
      <w:tr w14:paraId="1BA7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Align w:val="center"/>
          </w:tcPr>
          <w:p w14:paraId="5CCEEE7A">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合计</w:t>
            </w:r>
          </w:p>
        </w:tc>
        <w:tc>
          <w:tcPr>
            <w:tcW w:w="1000" w:type="pct"/>
            <w:vAlign w:val="center"/>
          </w:tcPr>
          <w:p w14:paraId="099FB6F5">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10590</w:t>
            </w:r>
          </w:p>
        </w:tc>
        <w:tc>
          <w:tcPr>
            <w:tcW w:w="999" w:type="pct"/>
            <w:vAlign w:val="center"/>
          </w:tcPr>
          <w:p w14:paraId="567AFFBD">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4</w:t>
            </w:r>
            <w:r>
              <w:rPr>
                <w:rFonts w:ascii="宋体" w:hAnsi="宋体"/>
                <w:b w:val="0"/>
                <w:snapToGrid w:val="0"/>
                <w:color w:val="000000" w:themeColor="text1"/>
                <w:szCs w:val="21"/>
                <w:lang w:val="en-US"/>
                <w14:textFill>
                  <w14:solidFill>
                    <w14:schemeClr w14:val="tx1"/>
                  </w14:solidFill>
                </w14:textFill>
              </w:rPr>
              <w:t>23.6</w:t>
            </w:r>
          </w:p>
        </w:tc>
        <w:tc>
          <w:tcPr>
            <w:tcW w:w="925" w:type="pct"/>
            <w:vAlign w:val="center"/>
          </w:tcPr>
          <w:p w14:paraId="47B1CBD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1</w:t>
            </w:r>
            <w:r>
              <w:rPr>
                <w:rFonts w:ascii="宋体" w:hAnsi="宋体"/>
                <w:b w:val="0"/>
                <w:snapToGrid w:val="0"/>
                <w:color w:val="000000" w:themeColor="text1"/>
                <w:szCs w:val="21"/>
                <w:lang w:val="en-US"/>
                <w14:textFill>
                  <w14:solidFill>
                    <w14:schemeClr w14:val="tx1"/>
                  </w14:solidFill>
                </w14:textFill>
              </w:rPr>
              <w:t>52496</w:t>
            </w:r>
          </w:p>
        </w:tc>
        <w:tc>
          <w:tcPr>
            <w:tcW w:w="1076" w:type="pct"/>
            <w:vMerge w:val="continue"/>
            <w:vAlign w:val="center"/>
          </w:tcPr>
          <w:p w14:paraId="0AE55983">
            <w:pPr>
              <w:pStyle w:val="1771"/>
              <w:widowControl w:val="0"/>
              <w:rPr>
                <w:rFonts w:ascii="宋体" w:hAnsi="宋体"/>
                <w:b w:val="0"/>
                <w:snapToGrid w:val="0"/>
                <w:color w:val="000000" w:themeColor="text1"/>
                <w:szCs w:val="21"/>
                <w:lang w:val="en-US"/>
                <w14:textFill>
                  <w14:solidFill>
                    <w14:schemeClr w14:val="tx1"/>
                  </w14:solidFill>
                </w14:textFill>
              </w:rPr>
            </w:pPr>
          </w:p>
        </w:tc>
      </w:tr>
      <w:bookmarkEnd w:id="394"/>
    </w:tbl>
    <w:p w14:paraId="374F8EEA">
      <w:pPr>
        <w:spacing w:line="360" w:lineRule="auto"/>
        <w:ind w:firstLine="480" w:firstLineChars="200"/>
        <w:jc w:val="both"/>
        <w:rPr>
          <w:bCs/>
          <w:sz w:val="24"/>
        </w:rPr>
      </w:pPr>
      <w:r>
        <w:rPr>
          <w:bCs/>
          <w:sz w:val="24"/>
        </w:rPr>
        <w:t>根据《畜禽养殖业污染治理工程技术规范》（HJ497－2009）中表A.2不同畜禽粪污日排泄量中的产污系数，牛产生的尿液为10kg/（头·d），牛粪产污系数为20kg/头·d。则本项目牛舍尿液产生量为105.9t/d（38124t/a），牛粪产生量为211.8t/d（76248t/a）。牛粪含水率为80%，则牛粪中水为169.44t/d（60998.4t/a）。产生的牛尿和牛粪经牛舍内的垫料吸收，无废水排放。</w:t>
      </w:r>
    </w:p>
    <w:p w14:paraId="0F99A4F4">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表3.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2</w:t>
      </w:r>
      <w:r>
        <w:rPr>
          <w:rFonts w:hint="eastAsia" w:ascii="黑体" w:hAnsi="黑体" w:eastAsia="黑体"/>
          <w:b w:val="0"/>
          <w:snapToGrid w:val="0"/>
          <w:color w:val="000000" w:themeColor="text1"/>
          <w:szCs w:val="21"/>
          <w:lang w:val="en-US"/>
          <w14:textFill>
            <w14:solidFill>
              <w14:schemeClr w14:val="tx1"/>
            </w14:solidFill>
          </w14:textFill>
        </w:rPr>
        <w:t xml:space="preserve"> 各养殖场区肉牛牛尿、牛粪产生情况表</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8"/>
        <w:gridCol w:w="1448"/>
        <w:gridCol w:w="842"/>
        <w:gridCol w:w="963"/>
        <w:gridCol w:w="721"/>
        <w:gridCol w:w="842"/>
        <w:gridCol w:w="847"/>
        <w:gridCol w:w="952"/>
      </w:tblGrid>
      <w:tr w14:paraId="150A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017" w:type="pct"/>
            <w:vMerge w:val="restart"/>
            <w:vAlign w:val="center"/>
          </w:tcPr>
          <w:p w14:paraId="1459D05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养殖场区</w:t>
            </w:r>
          </w:p>
        </w:tc>
        <w:tc>
          <w:tcPr>
            <w:tcW w:w="872" w:type="pct"/>
            <w:vMerge w:val="restart"/>
            <w:vAlign w:val="center"/>
          </w:tcPr>
          <w:p w14:paraId="5499D605">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存栏量，头</w:t>
            </w:r>
          </w:p>
        </w:tc>
        <w:tc>
          <w:tcPr>
            <w:tcW w:w="1087" w:type="pct"/>
            <w:gridSpan w:val="2"/>
            <w:vAlign w:val="center"/>
          </w:tcPr>
          <w:p w14:paraId="2CB45DCD">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牛尿产生量</w:t>
            </w:r>
          </w:p>
        </w:tc>
        <w:tc>
          <w:tcPr>
            <w:tcW w:w="941" w:type="pct"/>
            <w:gridSpan w:val="2"/>
            <w:vAlign w:val="center"/>
          </w:tcPr>
          <w:p w14:paraId="5AB1F38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牛粪产生量</w:t>
            </w:r>
          </w:p>
        </w:tc>
        <w:tc>
          <w:tcPr>
            <w:tcW w:w="1083" w:type="pct"/>
            <w:gridSpan w:val="2"/>
            <w:vAlign w:val="center"/>
          </w:tcPr>
          <w:p w14:paraId="1FB4D5F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牛粪中含水量</w:t>
            </w:r>
          </w:p>
        </w:tc>
      </w:tr>
      <w:tr w14:paraId="5495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017" w:type="pct"/>
            <w:vMerge w:val="continue"/>
            <w:vAlign w:val="center"/>
          </w:tcPr>
          <w:p w14:paraId="4817E282">
            <w:pPr>
              <w:pStyle w:val="1771"/>
              <w:widowControl w:val="0"/>
              <w:rPr>
                <w:rFonts w:ascii="宋体" w:hAnsi="宋体"/>
                <w:b w:val="0"/>
                <w:snapToGrid w:val="0"/>
                <w:color w:val="000000" w:themeColor="text1"/>
                <w:szCs w:val="21"/>
                <w:lang w:val="en-US"/>
                <w14:textFill>
                  <w14:solidFill>
                    <w14:schemeClr w14:val="tx1"/>
                  </w14:solidFill>
                </w14:textFill>
              </w:rPr>
            </w:pPr>
          </w:p>
        </w:tc>
        <w:tc>
          <w:tcPr>
            <w:tcW w:w="872" w:type="pct"/>
            <w:vMerge w:val="continue"/>
            <w:vAlign w:val="center"/>
          </w:tcPr>
          <w:p w14:paraId="5759731C">
            <w:pPr>
              <w:pStyle w:val="1771"/>
              <w:widowControl w:val="0"/>
              <w:rPr>
                <w:rFonts w:ascii="宋体" w:hAnsi="宋体"/>
                <w:b w:val="0"/>
                <w:snapToGrid w:val="0"/>
                <w:color w:val="000000" w:themeColor="text1"/>
                <w:szCs w:val="21"/>
                <w:lang w:val="en-US"/>
                <w14:textFill>
                  <w14:solidFill>
                    <w14:schemeClr w14:val="tx1"/>
                  </w14:solidFill>
                </w14:textFill>
              </w:rPr>
            </w:pPr>
          </w:p>
        </w:tc>
        <w:tc>
          <w:tcPr>
            <w:tcW w:w="507" w:type="pct"/>
            <w:vAlign w:val="center"/>
          </w:tcPr>
          <w:p w14:paraId="1DA1E9D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bCs/>
                <w:szCs w:val="21"/>
              </w:rPr>
              <w:t>t</w:t>
            </w:r>
            <w:r>
              <w:rPr>
                <w:b w:val="0"/>
                <w:bCs/>
                <w:szCs w:val="21"/>
              </w:rPr>
              <w:t>/d</w:t>
            </w:r>
          </w:p>
        </w:tc>
        <w:tc>
          <w:tcPr>
            <w:tcW w:w="580" w:type="pct"/>
            <w:vAlign w:val="center"/>
          </w:tcPr>
          <w:p w14:paraId="6795A45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bCs/>
                <w:szCs w:val="21"/>
              </w:rPr>
              <w:t>t</w:t>
            </w:r>
            <w:r>
              <w:rPr>
                <w:b w:val="0"/>
                <w:bCs/>
                <w:szCs w:val="21"/>
              </w:rPr>
              <w:t>/</w:t>
            </w:r>
            <w:r>
              <w:rPr>
                <w:rFonts w:hint="eastAsia"/>
                <w:b w:val="0"/>
                <w:bCs/>
                <w:szCs w:val="21"/>
              </w:rPr>
              <w:t>a</w:t>
            </w:r>
          </w:p>
        </w:tc>
        <w:tc>
          <w:tcPr>
            <w:tcW w:w="434" w:type="pct"/>
            <w:vAlign w:val="center"/>
          </w:tcPr>
          <w:p w14:paraId="1437DB5A">
            <w:pPr>
              <w:pStyle w:val="1771"/>
              <w:widowControl w:val="0"/>
              <w:rPr>
                <w:b w:val="0"/>
                <w:bCs/>
                <w:szCs w:val="21"/>
              </w:rPr>
            </w:pPr>
            <w:r>
              <w:rPr>
                <w:rFonts w:hint="eastAsia"/>
                <w:b w:val="0"/>
                <w:bCs/>
                <w:szCs w:val="21"/>
              </w:rPr>
              <w:t>t</w:t>
            </w:r>
            <w:r>
              <w:rPr>
                <w:b w:val="0"/>
                <w:bCs/>
                <w:szCs w:val="21"/>
              </w:rPr>
              <w:t>/d</w:t>
            </w:r>
          </w:p>
        </w:tc>
        <w:tc>
          <w:tcPr>
            <w:tcW w:w="507" w:type="pct"/>
            <w:vAlign w:val="center"/>
          </w:tcPr>
          <w:p w14:paraId="34859D54">
            <w:pPr>
              <w:pStyle w:val="1771"/>
              <w:widowControl w:val="0"/>
              <w:rPr>
                <w:b w:val="0"/>
                <w:bCs/>
                <w:szCs w:val="21"/>
              </w:rPr>
            </w:pPr>
            <w:r>
              <w:rPr>
                <w:rFonts w:hint="eastAsia"/>
                <w:b w:val="0"/>
                <w:bCs/>
                <w:szCs w:val="21"/>
              </w:rPr>
              <w:t>t</w:t>
            </w:r>
            <w:r>
              <w:rPr>
                <w:b w:val="0"/>
                <w:bCs/>
                <w:szCs w:val="21"/>
              </w:rPr>
              <w:t>/</w:t>
            </w:r>
            <w:r>
              <w:rPr>
                <w:rFonts w:hint="eastAsia"/>
                <w:b w:val="0"/>
                <w:bCs/>
                <w:szCs w:val="21"/>
              </w:rPr>
              <w:t>a</w:t>
            </w:r>
          </w:p>
        </w:tc>
        <w:tc>
          <w:tcPr>
            <w:tcW w:w="510" w:type="pct"/>
            <w:vAlign w:val="center"/>
          </w:tcPr>
          <w:p w14:paraId="48AB86B4">
            <w:pPr>
              <w:pStyle w:val="1771"/>
              <w:widowControl w:val="0"/>
              <w:rPr>
                <w:b w:val="0"/>
                <w:bCs/>
                <w:szCs w:val="21"/>
              </w:rPr>
            </w:pPr>
            <w:r>
              <w:rPr>
                <w:b w:val="0"/>
                <w:bCs/>
                <w:szCs w:val="21"/>
              </w:rPr>
              <w:t>m</w:t>
            </w:r>
            <w:r>
              <w:rPr>
                <w:b w:val="0"/>
                <w:bCs/>
                <w:szCs w:val="21"/>
                <w:vertAlign w:val="superscript"/>
              </w:rPr>
              <w:t>3</w:t>
            </w:r>
            <w:r>
              <w:rPr>
                <w:b w:val="0"/>
                <w:bCs/>
                <w:szCs w:val="21"/>
              </w:rPr>
              <w:t>/d</w:t>
            </w:r>
          </w:p>
        </w:tc>
        <w:tc>
          <w:tcPr>
            <w:tcW w:w="573" w:type="pct"/>
            <w:vAlign w:val="center"/>
          </w:tcPr>
          <w:p w14:paraId="0D341AE6">
            <w:pPr>
              <w:pStyle w:val="1771"/>
              <w:widowControl w:val="0"/>
              <w:rPr>
                <w:b w:val="0"/>
                <w:bCs/>
                <w:szCs w:val="21"/>
              </w:rPr>
            </w:pPr>
            <w:r>
              <w:rPr>
                <w:b w:val="0"/>
                <w:bCs/>
                <w:szCs w:val="21"/>
              </w:rPr>
              <w:t>m</w:t>
            </w:r>
            <w:r>
              <w:rPr>
                <w:b w:val="0"/>
                <w:bCs/>
                <w:szCs w:val="21"/>
                <w:vertAlign w:val="superscript"/>
              </w:rPr>
              <w:t>3</w:t>
            </w:r>
            <w:r>
              <w:rPr>
                <w:b w:val="0"/>
                <w:bCs/>
                <w:szCs w:val="21"/>
              </w:rPr>
              <w:t>/</w:t>
            </w:r>
            <w:r>
              <w:rPr>
                <w:rFonts w:hint="eastAsia"/>
                <w:b w:val="0"/>
                <w:bCs/>
                <w:szCs w:val="21"/>
              </w:rPr>
              <w:t>a</w:t>
            </w:r>
          </w:p>
        </w:tc>
      </w:tr>
      <w:tr w14:paraId="3B12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7" w:type="pct"/>
            <w:vAlign w:val="center"/>
          </w:tcPr>
          <w:p w14:paraId="7CD860C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百花养殖场区</w:t>
            </w:r>
          </w:p>
        </w:tc>
        <w:tc>
          <w:tcPr>
            <w:tcW w:w="872" w:type="pct"/>
            <w:vAlign w:val="center"/>
          </w:tcPr>
          <w:p w14:paraId="1405191F">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3290</w:t>
            </w:r>
          </w:p>
        </w:tc>
        <w:tc>
          <w:tcPr>
            <w:tcW w:w="507" w:type="pct"/>
            <w:vAlign w:val="center"/>
          </w:tcPr>
          <w:p w14:paraId="22A16C8A">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32.9</w:t>
            </w:r>
          </w:p>
        </w:tc>
        <w:tc>
          <w:tcPr>
            <w:tcW w:w="580" w:type="pct"/>
            <w:vAlign w:val="center"/>
          </w:tcPr>
          <w:p w14:paraId="25CDBF67">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11844</w:t>
            </w:r>
          </w:p>
        </w:tc>
        <w:tc>
          <w:tcPr>
            <w:tcW w:w="434" w:type="pct"/>
            <w:vAlign w:val="center"/>
          </w:tcPr>
          <w:p w14:paraId="5B34CAA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6</w:t>
            </w:r>
            <w:r>
              <w:rPr>
                <w:rFonts w:ascii="宋体" w:hAnsi="宋体"/>
                <w:b w:val="0"/>
                <w:snapToGrid w:val="0"/>
                <w:color w:val="000000" w:themeColor="text1"/>
                <w:szCs w:val="21"/>
                <w:lang w:val="en-US"/>
                <w14:textFill>
                  <w14:solidFill>
                    <w14:schemeClr w14:val="tx1"/>
                  </w14:solidFill>
                </w14:textFill>
              </w:rPr>
              <w:t>5.8</w:t>
            </w:r>
          </w:p>
        </w:tc>
        <w:tc>
          <w:tcPr>
            <w:tcW w:w="507" w:type="pct"/>
            <w:vAlign w:val="center"/>
          </w:tcPr>
          <w:p w14:paraId="3CFD7E6C">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2</w:t>
            </w:r>
            <w:r>
              <w:rPr>
                <w:rFonts w:ascii="宋体" w:hAnsi="宋体"/>
                <w:b w:val="0"/>
                <w:snapToGrid w:val="0"/>
                <w:color w:val="000000" w:themeColor="text1"/>
                <w:szCs w:val="21"/>
                <w:lang w:val="en-US"/>
                <w14:textFill>
                  <w14:solidFill>
                    <w14:schemeClr w14:val="tx1"/>
                  </w14:solidFill>
                </w14:textFill>
              </w:rPr>
              <w:t>3688</w:t>
            </w:r>
          </w:p>
        </w:tc>
        <w:tc>
          <w:tcPr>
            <w:tcW w:w="510" w:type="pct"/>
            <w:vAlign w:val="center"/>
          </w:tcPr>
          <w:p w14:paraId="0CDB41B6">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5</w:t>
            </w:r>
            <w:r>
              <w:rPr>
                <w:rFonts w:ascii="宋体" w:hAnsi="宋体"/>
                <w:b w:val="0"/>
                <w:snapToGrid w:val="0"/>
                <w:color w:val="000000" w:themeColor="text1"/>
                <w:szCs w:val="21"/>
                <w:lang w:val="en-US"/>
                <w14:textFill>
                  <w14:solidFill>
                    <w14:schemeClr w14:val="tx1"/>
                  </w14:solidFill>
                </w14:textFill>
              </w:rPr>
              <w:t>2.64</w:t>
            </w:r>
          </w:p>
        </w:tc>
        <w:tc>
          <w:tcPr>
            <w:tcW w:w="573" w:type="pct"/>
            <w:vAlign w:val="center"/>
          </w:tcPr>
          <w:p w14:paraId="363FD27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1</w:t>
            </w:r>
            <w:r>
              <w:rPr>
                <w:rFonts w:ascii="宋体" w:hAnsi="宋体"/>
                <w:b w:val="0"/>
                <w:snapToGrid w:val="0"/>
                <w:color w:val="000000" w:themeColor="text1"/>
                <w:szCs w:val="21"/>
                <w:lang w:val="en-US"/>
                <w14:textFill>
                  <w14:solidFill>
                    <w14:schemeClr w14:val="tx1"/>
                  </w14:solidFill>
                </w14:textFill>
              </w:rPr>
              <w:t>8950.4</w:t>
            </w:r>
          </w:p>
        </w:tc>
      </w:tr>
      <w:tr w14:paraId="4C3B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7" w:type="pct"/>
            <w:vAlign w:val="center"/>
          </w:tcPr>
          <w:p w14:paraId="3D587B18">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佛龙养殖场区</w:t>
            </w:r>
          </w:p>
        </w:tc>
        <w:tc>
          <w:tcPr>
            <w:tcW w:w="872" w:type="pct"/>
            <w:vAlign w:val="center"/>
          </w:tcPr>
          <w:p w14:paraId="06772A7A">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1680</w:t>
            </w:r>
          </w:p>
        </w:tc>
        <w:tc>
          <w:tcPr>
            <w:tcW w:w="507" w:type="pct"/>
            <w:vAlign w:val="center"/>
          </w:tcPr>
          <w:p w14:paraId="24A54D3C">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16.8</w:t>
            </w:r>
          </w:p>
        </w:tc>
        <w:tc>
          <w:tcPr>
            <w:tcW w:w="580" w:type="pct"/>
            <w:vAlign w:val="center"/>
          </w:tcPr>
          <w:p w14:paraId="7490B223">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6048</w:t>
            </w:r>
          </w:p>
        </w:tc>
        <w:tc>
          <w:tcPr>
            <w:tcW w:w="434" w:type="pct"/>
            <w:vAlign w:val="center"/>
          </w:tcPr>
          <w:p w14:paraId="55B3BCC9">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3</w:t>
            </w:r>
            <w:r>
              <w:rPr>
                <w:rFonts w:ascii="宋体" w:hAnsi="宋体"/>
                <w:b w:val="0"/>
                <w:snapToGrid w:val="0"/>
                <w:color w:val="000000" w:themeColor="text1"/>
                <w:szCs w:val="21"/>
                <w:lang w:val="en-US"/>
                <w14:textFill>
                  <w14:solidFill>
                    <w14:schemeClr w14:val="tx1"/>
                  </w14:solidFill>
                </w14:textFill>
              </w:rPr>
              <w:t>3.6</w:t>
            </w:r>
          </w:p>
        </w:tc>
        <w:tc>
          <w:tcPr>
            <w:tcW w:w="507" w:type="pct"/>
            <w:vAlign w:val="center"/>
          </w:tcPr>
          <w:p w14:paraId="500291EF">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1</w:t>
            </w:r>
            <w:r>
              <w:rPr>
                <w:rFonts w:ascii="宋体" w:hAnsi="宋体"/>
                <w:b w:val="0"/>
                <w:snapToGrid w:val="0"/>
                <w:color w:val="000000" w:themeColor="text1"/>
                <w:szCs w:val="21"/>
                <w:lang w:val="en-US"/>
                <w14:textFill>
                  <w14:solidFill>
                    <w14:schemeClr w14:val="tx1"/>
                  </w14:solidFill>
                </w14:textFill>
              </w:rPr>
              <w:t>2096</w:t>
            </w:r>
          </w:p>
        </w:tc>
        <w:tc>
          <w:tcPr>
            <w:tcW w:w="510" w:type="pct"/>
            <w:vAlign w:val="center"/>
          </w:tcPr>
          <w:p w14:paraId="5FB080A5">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2</w:t>
            </w:r>
            <w:r>
              <w:rPr>
                <w:rFonts w:ascii="宋体" w:hAnsi="宋体"/>
                <w:b w:val="0"/>
                <w:snapToGrid w:val="0"/>
                <w:color w:val="000000" w:themeColor="text1"/>
                <w:szCs w:val="21"/>
                <w:lang w:val="en-US"/>
                <w14:textFill>
                  <w14:solidFill>
                    <w14:schemeClr w14:val="tx1"/>
                  </w14:solidFill>
                </w14:textFill>
              </w:rPr>
              <w:t>6.88</w:t>
            </w:r>
          </w:p>
        </w:tc>
        <w:tc>
          <w:tcPr>
            <w:tcW w:w="573" w:type="pct"/>
            <w:vAlign w:val="center"/>
          </w:tcPr>
          <w:p w14:paraId="0FFAA50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9</w:t>
            </w:r>
            <w:r>
              <w:rPr>
                <w:rFonts w:ascii="宋体" w:hAnsi="宋体"/>
                <w:b w:val="0"/>
                <w:snapToGrid w:val="0"/>
                <w:color w:val="000000" w:themeColor="text1"/>
                <w:szCs w:val="21"/>
                <w:lang w:val="en-US"/>
                <w14:textFill>
                  <w14:solidFill>
                    <w14:schemeClr w14:val="tx1"/>
                  </w14:solidFill>
                </w14:textFill>
              </w:rPr>
              <w:t>676.8</w:t>
            </w:r>
          </w:p>
        </w:tc>
      </w:tr>
      <w:tr w14:paraId="3A9C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7" w:type="pct"/>
            <w:vAlign w:val="center"/>
          </w:tcPr>
          <w:p w14:paraId="1C090435">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塘坝养殖场区</w:t>
            </w:r>
          </w:p>
        </w:tc>
        <w:tc>
          <w:tcPr>
            <w:tcW w:w="872" w:type="pct"/>
            <w:vAlign w:val="center"/>
          </w:tcPr>
          <w:p w14:paraId="20F31B5B">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3290</w:t>
            </w:r>
          </w:p>
        </w:tc>
        <w:tc>
          <w:tcPr>
            <w:tcW w:w="507" w:type="pct"/>
            <w:vAlign w:val="center"/>
          </w:tcPr>
          <w:p w14:paraId="296D2B15">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32.9</w:t>
            </w:r>
          </w:p>
        </w:tc>
        <w:tc>
          <w:tcPr>
            <w:tcW w:w="580" w:type="pct"/>
            <w:vAlign w:val="center"/>
          </w:tcPr>
          <w:p w14:paraId="5C1A80DF">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11844</w:t>
            </w:r>
          </w:p>
        </w:tc>
        <w:tc>
          <w:tcPr>
            <w:tcW w:w="434" w:type="pct"/>
            <w:vAlign w:val="center"/>
          </w:tcPr>
          <w:p w14:paraId="1D55FD2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6</w:t>
            </w:r>
            <w:r>
              <w:rPr>
                <w:rFonts w:ascii="宋体" w:hAnsi="宋体"/>
                <w:b w:val="0"/>
                <w:snapToGrid w:val="0"/>
                <w:color w:val="000000" w:themeColor="text1"/>
                <w:szCs w:val="21"/>
                <w:lang w:val="en-US"/>
                <w14:textFill>
                  <w14:solidFill>
                    <w14:schemeClr w14:val="tx1"/>
                  </w14:solidFill>
                </w14:textFill>
              </w:rPr>
              <w:t>5.8</w:t>
            </w:r>
          </w:p>
        </w:tc>
        <w:tc>
          <w:tcPr>
            <w:tcW w:w="507" w:type="pct"/>
            <w:vAlign w:val="center"/>
          </w:tcPr>
          <w:p w14:paraId="1CF85139">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2</w:t>
            </w:r>
            <w:r>
              <w:rPr>
                <w:rFonts w:ascii="宋体" w:hAnsi="宋体"/>
                <w:b w:val="0"/>
                <w:snapToGrid w:val="0"/>
                <w:color w:val="000000" w:themeColor="text1"/>
                <w:szCs w:val="21"/>
                <w:lang w:val="en-US"/>
                <w14:textFill>
                  <w14:solidFill>
                    <w14:schemeClr w14:val="tx1"/>
                  </w14:solidFill>
                </w14:textFill>
              </w:rPr>
              <w:t>3688</w:t>
            </w:r>
          </w:p>
        </w:tc>
        <w:tc>
          <w:tcPr>
            <w:tcW w:w="510" w:type="pct"/>
            <w:vAlign w:val="center"/>
          </w:tcPr>
          <w:p w14:paraId="7EA8CF7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5</w:t>
            </w:r>
            <w:r>
              <w:rPr>
                <w:rFonts w:ascii="宋体" w:hAnsi="宋体"/>
                <w:b w:val="0"/>
                <w:snapToGrid w:val="0"/>
                <w:color w:val="000000" w:themeColor="text1"/>
                <w:szCs w:val="21"/>
                <w:lang w:val="en-US"/>
                <w14:textFill>
                  <w14:solidFill>
                    <w14:schemeClr w14:val="tx1"/>
                  </w14:solidFill>
                </w14:textFill>
              </w:rPr>
              <w:t>2.64</w:t>
            </w:r>
          </w:p>
        </w:tc>
        <w:tc>
          <w:tcPr>
            <w:tcW w:w="573" w:type="pct"/>
            <w:vAlign w:val="center"/>
          </w:tcPr>
          <w:p w14:paraId="551946F7">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1</w:t>
            </w:r>
            <w:r>
              <w:rPr>
                <w:rFonts w:ascii="宋体" w:hAnsi="宋体"/>
                <w:b w:val="0"/>
                <w:snapToGrid w:val="0"/>
                <w:color w:val="000000" w:themeColor="text1"/>
                <w:szCs w:val="21"/>
                <w:lang w:val="en-US"/>
                <w14:textFill>
                  <w14:solidFill>
                    <w14:schemeClr w14:val="tx1"/>
                  </w14:solidFill>
                </w14:textFill>
              </w:rPr>
              <w:t>8950.4</w:t>
            </w:r>
          </w:p>
        </w:tc>
      </w:tr>
      <w:tr w14:paraId="69AB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1017" w:type="pct"/>
            <w:vAlign w:val="center"/>
          </w:tcPr>
          <w:p w14:paraId="14A8540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始宁养殖场区</w:t>
            </w:r>
          </w:p>
        </w:tc>
        <w:tc>
          <w:tcPr>
            <w:tcW w:w="872" w:type="pct"/>
            <w:vAlign w:val="center"/>
          </w:tcPr>
          <w:p w14:paraId="18AB67A8">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2330</w:t>
            </w:r>
          </w:p>
        </w:tc>
        <w:tc>
          <w:tcPr>
            <w:tcW w:w="507" w:type="pct"/>
            <w:vAlign w:val="center"/>
          </w:tcPr>
          <w:p w14:paraId="02B461D7">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23.3</w:t>
            </w:r>
          </w:p>
        </w:tc>
        <w:tc>
          <w:tcPr>
            <w:tcW w:w="580" w:type="pct"/>
            <w:vAlign w:val="center"/>
          </w:tcPr>
          <w:p w14:paraId="5D1A255C">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8388</w:t>
            </w:r>
          </w:p>
        </w:tc>
        <w:tc>
          <w:tcPr>
            <w:tcW w:w="434" w:type="pct"/>
            <w:vAlign w:val="center"/>
          </w:tcPr>
          <w:p w14:paraId="61F9F6A9">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4</w:t>
            </w:r>
            <w:r>
              <w:rPr>
                <w:rFonts w:ascii="宋体" w:hAnsi="宋体"/>
                <w:b w:val="0"/>
                <w:snapToGrid w:val="0"/>
                <w:color w:val="000000" w:themeColor="text1"/>
                <w:szCs w:val="21"/>
                <w:lang w:val="en-US"/>
                <w14:textFill>
                  <w14:solidFill>
                    <w14:schemeClr w14:val="tx1"/>
                  </w14:solidFill>
                </w14:textFill>
              </w:rPr>
              <w:t>6.6</w:t>
            </w:r>
          </w:p>
        </w:tc>
        <w:tc>
          <w:tcPr>
            <w:tcW w:w="507" w:type="pct"/>
            <w:vAlign w:val="center"/>
          </w:tcPr>
          <w:p w14:paraId="1CE6232D">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1</w:t>
            </w:r>
            <w:r>
              <w:rPr>
                <w:rFonts w:ascii="宋体" w:hAnsi="宋体"/>
                <w:b w:val="0"/>
                <w:snapToGrid w:val="0"/>
                <w:color w:val="000000" w:themeColor="text1"/>
                <w:szCs w:val="21"/>
                <w:lang w:val="en-US"/>
                <w14:textFill>
                  <w14:solidFill>
                    <w14:schemeClr w14:val="tx1"/>
                  </w14:solidFill>
                </w14:textFill>
              </w:rPr>
              <w:t>6776</w:t>
            </w:r>
          </w:p>
        </w:tc>
        <w:tc>
          <w:tcPr>
            <w:tcW w:w="510" w:type="pct"/>
            <w:vAlign w:val="center"/>
          </w:tcPr>
          <w:p w14:paraId="69E7F3B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3</w:t>
            </w:r>
            <w:r>
              <w:rPr>
                <w:rFonts w:ascii="宋体" w:hAnsi="宋体"/>
                <w:b w:val="0"/>
                <w:snapToGrid w:val="0"/>
                <w:color w:val="000000" w:themeColor="text1"/>
                <w:szCs w:val="21"/>
                <w:lang w:val="en-US"/>
                <w14:textFill>
                  <w14:solidFill>
                    <w14:schemeClr w14:val="tx1"/>
                  </w14:solidFill>
                </w14:textFill>
              </w:rPr>
              <w:t>7.28</w:t>
            </w:r>
          </w:p>
        </w:tc>
        <w:tc>
          <w:tcPr>
            <w:tcW w:w="573" w:type="pct"/>
            <w:vAlign w:val="center"/>
          </w:tcPr>
          <w:p w14:paraId="1876DBFD">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1</w:t>
            </w:r>
            <w:r>
              <w:rPr>
                <w:rFonts w:ascii="宋体" w:hAnsi="宋体"/>
                <w:b w:val="0"/>
                <w:snapToGrid w:val="0"/>
                <w:color w:val="000000" w:themeColor="text1"/>
                <w:szCs w:val="21"/>
                <w:lang w:val="en-US"/>
                <w14:textFill>
                  <w14:solidFill>
                    <w14:schemeClr w14:val="tx1"/>
                  </w14:solidFill>
                </w14:textFill>
              </w:rPr>
              <w:t>3420.8</w:t>
            </w:r>
          </w:p>
        </w:tc>
      </w:tr>
      <w:tr w14:paraId="3A22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17" w:type="pct"/>
            <w:vAlign w:val="center"/>
          </w:tcPr>
          <w:p w14:paraId="7BD46E16">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合计</w:t>
            </w:r>
          </w:p>
        </w:tc>
        <w:tc>
          <w:tcPr>
            <w:tcW w:w="872" w:type="pct"/>
            <w:vAlign w:val="center"/>
          </w:tcPr>
          <w:p w14:paraId="1F9032E9">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10590</w:t>
            </w:r>
          </w:p>
        </w:tc>
        <w:tc>
          <w:tcPr>
            <w:tcW w:w="507" w:type="pct"/>
            <w:vAlign w:val="center"/>
          </w:tcPr>
          <w:p w14:paraId="79FDE44A">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105.9</w:t>
            </w:r>
          </w:p>
        </w:tc>
        <w:tc>
          <w:tcPr>
            <w:tcW w:w="580" w:type="pct"/>
            <w:vAlign w:val="center"/>
          </w:tcPr>
          <w:p w14:paraId="1C2BEE4F">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38124</w:t>
            </w:r>
          </w:p>
        </w:tc>
        <w:tc>
          <w:tcPr>
            <w:tcW w:w="434" w:type="pct"/>
            <w:vAlign w:val="center"/>
          </w:tcPr>
          <w:p w14:paraId="274B2E66">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211.8</w:t>
            </w:r>
          </w:p>
        </w:tc>
        <w:tc>
          <w:tcPr>
            <w:tcW w:w="507" w:type="pct"/>
            <w:vAlign w:val="center"/>
          </w:tcPr>
          <w:p w14:paraId="0CDDD20C">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76248</w:t>
            </w:r>
          </w:p>
        </w:tc>
        <w:tc>
          <w:tcPr>
            <w:tcW w:w="510" w:type="pct"/>
            <w:vAlign w:val="center"/>
          </w:tcPr>
          <w:p w14:paraId="18C8088B">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169.44</w:t>
            </w:r>
          </w:p>
        </w:tc>
        <w:tc>
          <w:tcPr>
            <w:tcW w:w="573" w:type="pct"/>
            <w:vAlign w:val="center"/>
          </w:tcPr>
          <w:p w14:paraId="5977678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60998.4</w:t>
            </w:r>
          </w:p>
        </w:tc>
      </w:tr>
    </w:tbl>
    <w:p w14:paraId="6C172CFD">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2）消毒用水</w:t>
      </w:r>
    </w:p>
    <w:p w14:paraId="2A7499C7">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养殖场大门口设置消毒池，凡进入车辆，必须进行消毒清洗；同时厂区运牛饲料的车辆进出时，也必须清洗消毒；牛舍各生产用具均定期消毒；各牛舍入口处也设置小型消毒池，用于人员鞋底消毒。本项目消毒池无排水设施，只定期加入清水和消毒药剂。消毒用水约16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/d</w:t>
      </w:r>
      <w:r>
        <w:rPr>
          <w:rFonts w:hint="eastAsia"/>
          <w:bCs/>
          <w:color w:val="000000" w:themeColor="text1"/>
          <w:sz w:val="24"/>
          <w14:textFill>
            <w14:solidFill>
              <w14:schemeClr w14:val="tx1"/>
            </w14:solidFill>
          </w14:textFill>
        </w:rPr>
        <w:t>（每个养殖场址4</w:t>
      </w:r>
      <w:r>
        <w:rPr>
          <w:bCs/>
          <w:color w:val="000000" w:themeColor="text1"/>
          <w:sz w:val="24"/>
          <w14:textFill>
            <w14:solidFill>
              <w14:schemeClr w14:val="tx1"/>
            </w14:solidFill>
          </w14:textFill>
        </w:rPr>
        <w:t xml:space="preserve"> 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/d</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，合计为5840</w:t>
      </w:r>
      <w:bookmarkStart w:id="395" w:name="OLE_LINK117"/>
      <w:r>
        <w:rPr>
          <w:bCs/>
          <w:color w:val="000000" w:themeColor="text1"/>
          <w:sz w:val="24"/>
          <w14:textFill>
            <w14:solidFill>
              <w14:schemeClr w14:val="tx1"/>
            </w14:solidFill>
          </w14:textFill>
        </w:rPr>
        <w:t>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/a</w:t>
      </w:r>
      <w:bookmarkEnd w:id="395"/>
      <w:r>
        <w:rPr>
          <w:rFonts w:hint="eastAsia"/>
          <w:bCs/>
          <w:color w:val="000000" w:themeColor="text1"/>
          <w:sz w:val="24"/>
          <w14:textFill>
            <w14:solidFill>
              <w14:schemeClr w14:val="tx1"/>
            </w14:solidFill>
          </w14:textFill>
        </w:rPr>
        <w:t>（每个养殖场址1</w:t>
      </w:r>
      <w:r>
        <w:rPr>
          <w:bCs/>
          <w:color w:val="000000" w:themeColor="text1"/>
          <w:sz w:val="24"/>
          <w14:textFill>
            <w14:solidFill>
              <w14:schemeClr w14:val="tx1"/>
            </w14:solidFill>
          </w14:textFill>
        </w:rPr>
        <w:t>460m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/a</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，消毒水全部自然蒸发消耗。</w:t>
      </w:r>
    </w:p>
    <w:p w14:paraId="09A819EC">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表3.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3</w:t>
      </w:r>
      <w:r>
        <w:rPr>
          <w:rFonts w:hint="eastAsia" w:ascii="黑体" w:hAnsi="黑体" w:eastAsia="黑体"/>
          <w:b w:val="0"/>
          <w:snapToGrid w:val="0"/>
          <w:color w:val="000000" w:themeColor="text1"/>
          <w:szCs w:val="21"/>
          <w:lang w:val="en-US"/>
          <w14:textFill>
            <w14:solidFill>
              <w14:schemeClr w14:val="tx1"/>
            </w14:solidFill>
          </w14:textFill>
        </w:rPr>
        <w:t xml:space="preserve"> 各养殖场区消毒用水耗量情况表</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6"/>
        <w:gridCol w:w="1521"/>
        <w:gridCol w:w="1583"/>
        <w:gridCol w:w="1583"/>
      </w:tblGrid>
      <w:tr w14:paraId="02D6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178" w:type="pct"/>
            <w:vMerge w:val="restart"/>
            <w:vAlign w:val="center"/>
          </w:tcPr>
          <w:p w14:paraId="10F730C7">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养殖场区</w:t>
            </w:r>
          </w:p>
        </w:tc>
        <w:tc>
          <w:tcPr>
            <w:tcW w:w="1869" w:type="pct"/>
            <w:gridSpan w:val="2"/>
            <w:vAlign w:val="center"/>
          </w:tcPr>
          <w:p w14:paraId="6C29BDDA">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消毒用水量</w:t>
            </w:r>
          </w:p>
        </w:tc>
        <w:tc>
          <w:tcPr>
            <w:tcW w:w="953" w:type="pct"/>
            <w:vMerge w:val="restart"/>
            <w:vAlign w:val="center"/>
          </w:tcPr>
          <w:p w14:paraId="4AB97FD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备注</w:t>
            </w:r>
          </w:p>
        </w:tc>
      </w:tr>
      <w:tr w14:paraId="52578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178" w:type="pct"/>
            <w:vMerge w:val="continue"/>
            <w:vAlign w:val="center"/>
          </w:tcPr>
          <w:p w14:paraId="7DD08A74">
            <w:pPr>
              <w:pStyle w:val="1771"/>
              <w:widowControl w:val="0"/>
              <w:rPr>
                <w:rFonts w:ascii="宋体" w:hAnsi="宋体"/>
                <w:b w:val="0"/>
                <w:snapToGrid w:val="0"/>
                <w:color w:val="000000" w:themeColor="text1"/>
                <w:szCs w:val="21"/>
                <w:lang w:val="en-US"/>
                <w14:textFill>
                  <w14:solidFill>
                    <w14:schemeClr w14:val="tx1"/>
                  </w14:solidFill>
                </w14:textFill>
              </w:rPr>
            </w:pPr>
          </w:p>
        </w:tc>
        <w:tc>
          <w:tcPr>
            <w:tcW w:w="916" w:type="pct"/>
            <w:vAlign w:val="center"/>
          </w:tcPr>
          <w:p w14:paraId="2C314DF0">
            <w:pPr>
              <w:pStyle w:val="1771"/>
              <w:widowControl w:val="0"/>
              <w:rPr>
                <w:rFonts w:ascii="宋体" w:hAnsi="宋体"/>
                <w:b w:val="0"/>
                <w:snapToGrid w:val="0"/>
                <w:color w:val="000000" w:themeColor="text1"/>
                <w:szCs w:val="21"/>
                <w:lang w:val="en-US"/>
                <w14:textFill>
                  <w14:solidFill>
                    <w14:schemeClr w14:val="tx1"/>
                  </w14:solidFill>
                </w14:textFill>
              </w:rPr>
            </w:pPr>
            <w:r>
              <w:rPr>
                <w:b w:val="0"/>
                <w:bCs/>
                <w:szCs w:val="21"/>
              </w:rPr>
              <w:t>m</w:t>
            </w:r>
            <w:r>
              <w:rPr>
                <w:b w:val="0"/>
                <w:bCs/>
                <w:szCs w:val="21"/>
                <w:vertAlign w:val="superscript"/>
              </w:rPr>
              <w:t>3</w:t>
            </w:r>
            <w:r>
              <w:rPr>
                <w:b w:val="0"/>
                <w:bCs/>
                <w:szCs w:val="21"/>
              </w:rPr>
              <w:t>/d</w:t>
            </w:r>
          </w:p>
        </w:tc>
        <w:tc>
          <w:tcPr>
            <w:tcW w:w="953" w:type="pct"/>
            <w:vAlign w:val="center"/>
          </w:tcPr>
          <w:p w14:paraId="7A87C35B">
            <w:pPr>
              <w:pStyle w:val="1771"/>
              <w:widowControl w:val="0"/>
              <w:rPr>
                <w:rFonts w:ascii="宋体" w:hAnsi="宋体"/>
                <w:b w:val="0"/>
                <w:snapToGrid w:val="0"/>
                <w:color w:val="000000" w:themeColor="text1"/>
                <w:szCs w:val="21"/>
                <w:lang w:val="en-US"/>
                <w14:textFill>
                  <w14:solidFill>
                    <w14:schemeClr w14:val="tx1"/>
                  </w14:solidFill>
                </w14:textFill>
              </w:rPr>
            </w:pPr>
            <w:r>
              <w:rPr>
                <w:b w:val="0"/>
                <w:bCs/>
                <w:szCs w:val="21"/>
              </w:rPr>
              <w:t>m</w:t>
            </w:r>
            <w:r>
              <w:rPr>
                <w:b w:val="0"/>
                <w:bCs/>
                <w:szCs w:val="21"/>
                <w:vertAlign w:val="superscript"/>
              </w:rPr>
              <w:t>3</w:t>
            </w:r>
            <w:r>
              <w:rPr>
                <w:b w:val="0"/>
                <w:bCs/>
                <w:szCs w:val="21"/>
              </w:rPr>
              <w:t>/</w:t>
            </w:r>
            <w:r>
              <w:rPr>
                <w:rFonts w:hint="eastAsia"/>
                <w:b w:val="0"/>
                <w:bCs/>
                <w:szCs w:val="21"/>
              </w:rPr>
              <w:t>a</w:t>
            </w:r>
          </w:p>
        </w:tc>
        <w:tc>
          <w:tcPr>
            <w:tcW w:w="953" w:type="pct"/>
            <w:vMerge w:val="continue"/>
            <w:vAlign w:val="center"/>
          </w:tcPr>
          <w:p w14:paraId="3085E38F">
            <w:pPr>
              <w:pStyle w:val="1771"/>
              <w:widowControl w:val="0"/>
              <w:rPr>
                <w:b w:val="0"/>
                <w:bCs/>
                <w:szCs w:val="21"/>
              </w:rPr>
            </w:pPr>
          </w:p>
        </w:tc>
      </w:tr>
      <w:tr w14:paraId="668F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78" w:type="pct"/>
            <w:vAlign w:val="center"/>
          </w:tcPr>
          <w:p w14:paraId="02E9A39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百花养殖场区</w:t>
            </w:r>
          </w:p>
        </w:tc>
        <w:tc>
          <w:tcPr>
            <w:tcW w:w="916" w:type="pct"/>
            <w:vAlign w:val="center"/>
          </w:tcPr>
          <w:p w14:paraId="74F02F04">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4</w:t>
            </w:r>
          </w:p>
        </w:tc>
        <w:tc>
          <w:tcPr>
            <w:tcW w:w="953" w:type="pct"/>
            <w:vAlign w:val="center"/>
          </w:tcPr>
          <w:p w14:paraId="3D48938E">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1460</w:t>
            </w:r>
          </w:p>
        </w:tc>
        <w:tc>
          <w:tcPr>
            <w:tcW w:w="953" w:type="pct"/>
            <w:vMerge w:val="restart"/>
            <w:vAlign w:val="center"/>
          </w:tcPr>
          <w:p w14:paraId="5CBC7318">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蒸发损耗，无废水外排。</w:t>
            </w:r>
          </w:p>
        </w:tc>
      </w:tr>
      <w:tr w14:paraId="47446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78" w:type="pct"/>
            <w:vAlign w:val="center"/>
          </w:tcPr>
          <w:p w14:paraId="2D16E6F5">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佛龙养殖场区</w:t>
            </w:r>
          </w:p>
        </w:tc>
        <w:tc>
          <w:tcPr>
            <w:tcW w:w="916" w:type="pct"/>
            <w:vAlign w:val="center"/>
          </w:tcPr>
          <w:p w14:paraId="3CCD9EE1">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4</w:t>
            </w:r>
          </w:p>
        </w:tc>
        <w:tc>
          <w:tcPr>
            <w:tcW w:w="953" w:type="pct"/>
            <w:vAlign w:val="center"/>
          </w:tcPr>
          <w:p w14:paraId="3754F0E9">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1460</w:t>
            </w:r>
          </w:p>
        </w:tc>
        <w:tc>
          <w:tcPr>
            <w:tcW w:w="953" w:type="pct"/>
            <w:vMerge w:val="continue"/>
            <w:vAlign w:val="center"/>
          </w:tcPr>
          <w:p w14:paraId="2303E529">
            <w:pPr>
              <w:pStyle w:val="1771"/>
              <w:widowControl w:val="0"/>
              <w:rPr>
                <w:rFonts w:ascii="宋体" w:hAnsi="宋体"/>
                <w:b w:val="0"/>
                <w:snapToGrid w:val="0"/>
                <w:color w:val="000000" w:themeColor="text1"/>
                <w:szCs w:val="21"/>
                <w:lang w:val="en-US"/>
                <w14:textFill>
                  <w14:solidFill>
                    <w14:schemeClr w14:val="tx1"/>
                  </w14:solidFill>
                </w14:textFill>
              </w:rPr>
            </w:pPr>
          </w:p>
        </w:tc>
      </w:tr>
      <w:tr w14:paraId="7187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78" w:type="pct"/>
            <w:vAlign w:val="center"/>
          </w:tcPr>
          <w:p w14:paraId="25B5CF72">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塘坝养殖场区</w:t>
            </w:r>
          </w:p>
        </w:tc>
        <w:tc>
          <w:tcPr>
            <w:tcW w:w="916" w:type="pct"/>
            <w:vAlign w:val="center"/>
          </w:tcPr>
          <w:p w14:paraId="2BE09659">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4</w:t>
            </w:r>
          </w:p>
        </w:tc>
        <w:tc>
          <w:tcPr>
            <w:tcW w:w="953" w:type="pct"/>
            <w:vAlign w:val="center"/>
          </w:tcPr>
          <w:p w14:paraId="61F4A7F3">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1460</w:t>
            </w:r>
          </w:p>
        </w:tc>
        <w:tc>
          <w:tcPr>
            <w:tcW w:w="953" w:type="pct"/>
            <w:vMerge w:val="continue"/>
            <w:vAlign w:val="center"/>
          </w:tcPr>
          <w:p w14:paraId="79620DCE">
            <w:pPr>
              <w:pStyle w:val="1771"/>
              <w:widowControl w:val="0"/>
              <w:rPr>
                <w:rFonts w:ascii="宋体" w:hAnsi="宋体"/>
                <w:b w:val="0"/>
                <w:snapToGrid w:val="0"/>
                <w:color w:val="000000" w:themeColor="text1"/>
                <w:szCs w:val="21"/>
                <w:lang w:val="en-US"/>
                <w14:textFill>
                  <w14:solidFill>
                    <w14:schemeClr w14:val="tx1"/>
                  </w14:solidFill>
                </w14:textFill>
              </w:rPr>
            </w:pPr>
          </w:p>
        </w:tc>
      </w:tr>
      <w:tr w14:paraId="6D3D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2178" w:type="pct"/>
            <w:vAlign w:val="center"/>
          </w:tcPr>
          <w:p w14:paraId="748D01A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始宁养殖场区</w:t>
            </w:r>
          </w:p>
        </w:tc>
        <w:tc>
          <w:tcPr>
            <w:tcW w:w="916" w:type="pct"/>
            <w:vAlign w:val="center"/>
          </w:tcPr>
          <w:p w14:paraId="54FC4AE0">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4</w:t>
            </w:r>
          </w:p>
        </w:tc>
        <w:tc>
          <w:tcPr>
            <w:tcW w:w="953" w:type="pct"/>
            <w:vAlign w:val="center"/>
          </w:tcPr>
          <w:p w14:paraId="6DD15A06">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1460</w:t>
            </w:r>
          </w:p>
        </w:tc>
        <w:tc>
          <w:tcPr>
            <w:tcW w:w="953" w:type="pct"/>
            <w:vMerge w:val="continue"/>
            <w:vAlign w:val="center"/>
          </w:tcPr>
          <w:p w14:paraId="615A2D34">
            <w:pPr>
              <w:pStyle w:val="1771"/>
              <w:widowControl w:val="0"/>
              <w:rPr>
                <w:rFonts w:ascii="宋体" w:hAnsi="宋体"/>
                <w:b w:val="0"/>
                <w:snapToGrid w:val="0"/>
                <w:color w:val="000000" w:themeColor="text1"/>
                <w:szCs w:val="21"/>
                <w:lang w:val="en-US"/>
                <w14:textFill>
                  <w14:solidFill>
                    <w14:schemeClr w14:val="tx1"/>
                  </w14:solidFill>
                </w14:textFill>
              </w:rPr>
            </w:pPr>
          </w:p>
        </w:tc>
      </w:tr>
      <w:tr w14:paraId="5D60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78" w:type="pct"/>
            <w:vAlign w:val="center"/>
          </w:tcPr>
          <w:p w14:paraId="6BE82837">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合计</w:t>
            </w:r>
          </w:p>
        </w:tc>
        <w:tc>
          <w:tcPr>
            <w:tcW w:w="916" w:type="pct"/>
            <w:vAlign w:val="center"/>
          </w:tcPr>
          <w:p w14:paraId="0ED1D634">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16</w:t>
            </w:r>
          </w:p>
        </w:tc>
        <w:tc>
          <w:tcPr>
            <w:tcW w:w="953" w:type="pct"/>
            <w:vAlign w:val="center"/>
          </w:tcPr>
          <w:p w14:paraId="23135445">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5840</w:t>
            </w:r>
          </w:p>
        </w:tc>
        <w:tc>
          <w:tcPr>
            <w:tcW w:w="953" w:type="pct"/>
            <w:vMerge w:val="continue"/>
            <w:vAlign w:val="center"/>
          </w:tcPr>
          <w:p w14:paraId="1AB5C1B3">
            <w:pPr>
              <w:pStyle w:val="1771"/>
              <w:widowControl w:val="0"/>
              <w:rPr>
                <w:rFonts w:ascii="宋体" w:hAnsi="宋体"/>
                <w:b w:val="0"/>
                <w:snapToGrid w:val="0"/>
                <w:color w:val="000000" w:themeColor="text1"/>
                <w:szCs w:val="21"/>
                <w:lang w:val="en-US"/>
                <w14:textFill>
                  <w14:solidFill>
                    <w14:schemeClr w14:val="tx1"/>
                  </w14:solidFill>
                </w14:textFill>
              </w:rPr>
            </w:pPr>
          </w:p>
        </w:tc>
      </w:tr>
    </w:tbl>
    <w:p w14:paraId="16930A01">
      <w:pPr>
        <w:spacing w:line="360" w:lineRule="auto"/>
        <w:ind w:firstLine="480" w:firstLineChars="200"/>
        <w:jc w:val="both"/>
        <w:rPr>
          <w:bCs/>
          <w:sz w:val="24"/>
        </w:rPr>
      </w:pPr>
      <w:r>
        <w:rPr>
          <w:bCs/>
          <w:sz w:val="24"/>
        </w:rPr>
        <w:t>3）</w:t>
      </w:r>
      <w:r>
        <w:rPr>
          <w:rFonts w:hint="eastAsia"/>
          <w:bCs/>
          <w:sz w:val="24"/>
        </w:rPr>
        <w:t>发酵</w:t>
      </w:r>
      <w:r>
        <w:rPr>
          <w:bCs/>
          <w:sz w:val="24"/>
        </w:rPr>
        <w:t>剂溶解水</w:t>
      </w:r>
    </w:p>
    <w:p w14:paraId="4CF1B6DF">
      <w:pPr>
        <w:spacing w:line="360" w:lineRule="auto"/>
        <w:ind w:firstLine="480" w:firstLineChars="200"/>
        <w:jc w:val="both"/>
        <w:rPr>
          <w:bCs/>
          <w:sz w:val="24"/>
        </w:rPr>
      </w:pPr>
      <w:r>
        <w:rPr>
          <w:bCs/>
          <w:sz w:val="24"/>
        </w:rPr>
        <w:t>本项目发酵垫料发酵采用微生物菌剂进行发酵，每1kg菌种用30L水进行溶解，项目发酵微生物菌群用量为</w:t>
      </w:r>
      <w:r>
        <w:rPr>
          <w:bCs/>
          <w:color w:val="EE0000"/>
          <w:sz w:val="24"/>
        </w:rPr>
        <w:t>15.408t/a</w:t>
      </w:r>
      <w:r>
        <w:rPr>
          <w:bCs/>
          <w:sz w:val="24"/>
        </w:rPr>
        <w:t>，则微生物菌群溶解用水量为462.24m</w:t>
      </w:r>
      <w:r>
        <w:rPr>
          <w:bCs/>
          <w:sz w:val="24"/>
          <w:vertAlign w:val="superscript"/>
        </w:rPr>
        <w:t>3</w:t>
      </w:r>
      <w:r>
        <w:rPr>
          <w:bCs/>
          <w:sz w:val="24"/>
        </w:rPr>
        <w:t>/a（3.28m</w:t>
      </w:r>
      <w:r>
        <w:rPr>
          <w:bCs/>
          <w:sz w:val="24"/>
          <w:vertAlign w:val="superscript"/>
        </w:rPr>
        <w:t>3</w:t>
      </w:r>
      <w:r>
        <w:rPr>
          <w:bCs/>
          <w:sz w:val="24"/>
        </w:rPr>
        <w:t>/d）。</w:t>
      </w:r>
    </w:p>
    <w:p w14:paraId="2A734619">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表3.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4</w:t>
      </w:r>
      <w:r>
        <w:rPr>
          <w:rFonts w:hint="eastAsia" w:ascii="黑体" w:hAnsi="黑体" w:eastAsia="黑体"/>
          <w:b w:val="0"/>
          <w:snapToGrid w:val="0"/>
          <w:color w:val="000000" w:themeColor="text1"/>
          <w:szCs w:val="21"/>
          <w:lang w:val="en-US"/>
          <w14:textFill>
            <w14:solidFill>
              <w14:schemeClr w14:val="tx1"/>
            </w14:solidFill>
          </w14:textFill>
        </w:rPr>
        <w:t xml:space="preserve"> 各养殖场区发酵剂溶解用水量情况表</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1454"/>
        <w:gridCol w:w="1822"/>
        <w:gridCol w:w="846"/>
        <w:gridCol w:w="952"/>
        <w:gridCol w:w="2126"/>
      </w:tblGrid>
      <w:tr w14:paraId="28E2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5" w:type="pct"/>
            <w:vMerge w:val="restart"/>
            <w:vAlign w:val="center"/>
          </w:tcPr>
          <w:p w14:paraId="2355008E">
            <w:pPr>
              <w:pStyle w:val="1771"/>
              <w:widowControl w:val="0"/>
              <w:rPr>
                <w:rFonts w:ascii="宋体" w:hAnsi="宋体"/>
                <w:b w:val="0"/>
                <w:snapToGrid w:val="0"/>
                <w:color w:val="000000" w:themeColor="text1"/>
                <w:szCs w:val="21"/>
                <w:lang w:val="en-US"/>
                <w14:textFill>
                  <w14:solidFill>
                    <w14:schemeClr w14:val="tx1"/>
                  </w14:solidFill>
                </w14:textFill>
              </w:rPr>
            </w:pPr>
            <w:bookmarkStart w:id="396" w:name="_Hlk233102769"/>
            <w:r>
              <w:rPr>
                <w:rFonts w:hint="eastAsia" w:ascii="宋体" w:hAnsi="宋体"/>
                <w:b w:val="0"/>
                <w:snapToGrid w:val="0"/>
                <w:color w:val="000000" w:themeColor="text1"/>
                <w:szCs w:val="21"/>
                <w:lang w:val="en-US"/>
                <w14:textFill>
                  <w14:solidFill>
                    <w14:schemeClr w14:val="tx1"/>
                  </w14:solidFill>
                </w14:textFill>
              </w:rPr>
              <w:t>养殖场区</w:t>
            </w:r>
          </w:p>
        </w:tc>
        <w:tc>
          <w:tcPr>
            <w:tcW w:w="876" w:type="pct"/>
            <w:vMerge w:val="restart"/>
            <w:vAlign w:val="center"/>
          </w:tcPr>
          <w:p w14:paraId="78911DE8">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发酵剂用量</w:t>
            </w:r>
            <w:r>
              <w:rPr>
                <w:rFonts w:hint="eastAsia" w:ascii="宋体" w:hAnsi="宋体" w:cs="Segoe UI"/>
                <w:b w:val="0"/>
                <w:color w:val="1A1A1A"/>
                <w:szCs w:val="21"/>
              </w:rPr>
              <w:t>，t</w:t>
            </w:r>
            <w:r>
              <w:rPr>
                <w:rFonts w:ascii="宋体" w:hAnsi="宋体" w:cs="Segoe UI"/>
                <w:b w:val="0"/>
                <w:color w:val="1A1A1A"/>
                <w:szCs w:val="21"/>
              </w:rPr>
              <w:t>/</w:t>
            </w:r>
            <w:r>
              <w:rPr>
                <w:rFonts w:hint="eastAsia" w:ascii="宋体" w:hAnsi="宋体" w:cs="Segoe UI"/>
                <w:b w:val="0"/>
                <w:color w:val="1A1A1A"/>
                <w:szCs w:val="21"/>
              </w:rPr>
              <w:t>a</w:t>
            </w:r>
          </w:p>
        </w:tc>
        <w:tc>
          <w:tcPr>
            <w:tcW w:w="1097" w:type="pct"/>
            <w:vMerge w:val="restart"/>
            <w:vAlign w:val="center"/>
          </w:tcPr>
          <w:p w14:paraId="0F0313E7">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用水定额，</w:t>
            </w:r>
            <w:r>
              <w:rPr>
                <w:rFonts w:ascii="宋体" w:hAnsi="宋体"/>
                <w:b w:val="0"/>
                <w:snapToGrid w:val="0"/>
                <w:color w:val="000000" w:themeColor="text1"/>
                <w:szCs w:val="21"/>
                <w:lang w:val="en-US"/>
                <w14:textFill>
                  <w14:solidFill>
                    <w14:schemeClr w14:val="tx1"/>
                  </w14:solidFill>
                </w14:textFill>
              </w:rPr>
              <w:t xml:space="preserve"> L/</w:t>
            </w:r>
            <w:r>
              <w:rPr>
                <w:rFonts w:hint="eastAsia" w:ascii="宋体" w:hAnsi="宋体"/>
                <w:b w:val="0"/>
                <w:snapToGrid w:val="0"/>
                <w:color w:val="000000" w:themeColor="text1"/>
                <w:szCs w:val="21"/>
                <w:lang w:val="en-US"/>
                <w14:textFill>
                  <w14:solidFill>
                    <w14:schemeClr w14:val="tx1"/>
                  </w14:solidFill>
                </w14:textFill>
              </w:rPr>
              <w:t>kg发酵剂</w:t>
            </w:r>
          </w:p>
        </w:tc>
        <w:tc>
          <w:tcPr>
            <w:tcW w:w="1082" w:type="pct"/>
            <w:gridSpan w:val="2"/>
            <w:vAlign w:val="center"/>
          </w:tcPr>
          <w:p w14:paraId="041F4B9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溶解用水量</w:t>
            </w:r>
          </w:p>
        </w:tc>
        <w:tc>
          <w:tcPr>
            <w:tcW w:w="1280" w:type="pct"/>
            <w:vMerge w:val="restart"/>
            <w:vAlign w:val="center"/>
          </w:tcPr>
          <w:p w14:paraId="3FA49B3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备注</w:t>
            </w:r>
          </w:p>
        </w:tc>
      </w:tr>
      <w:tr w14:paraId="7840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5" w:type="pct"/>
            <w:vMerge w:val="continue"/>
            <w:vAlign w:val="center"/>
          </w:tcPr>
          <w:p w14:paraId="140D998C">
            <w:pPr>
              <w:pStyle w:val="1771"/>
              <w:widowControl w:val="0"/>
              <w:rPr>
                <w:rFonts w:ascii="宋体" w:hAnsi="宋体"/>
                <w:b w:val="0"/>
                <w:snapToGrid w:val="0"/>
                <w:color w:val="000000" w:themeColor="text1"/>
                <w:szCs w:val="21"/>
                <w:lang w:val="en-US"/>
                <w14:textFill>
                  <w14:solidFill>
                    <w14:schemeClr w14:val="tx1"/>
                  </w14:solidFill>
                </w14:textFill>
              </w:rPr>
            </w:pPr>
          </w:p>
        </w:tc>
        <w:tc>
          <w:tcPr>
            <w:tcW w:w="876" w:type="pct"/>
            <w:vMerge w:val="continue"/>
            <w:vAlign w:val="center"/>
          </w:tcPr>
          <w:p w14:paraId="016905B1">
            <w:pPr>
              <w:pStyle w:val="1771"/>
              <w:widowControl w:val="0"/>
              <w:rPr>
                <w:rFonts w:ascii="宋体" w:hAnsi="宋体"/>
                <w:b w:val="0"/>
                <w:snapToGrid w:val="0"/>
                <w:color w:val="000000" w:themeColor="text1"/>
                <w:szCs w:val="21"/>
                <w:lang w:val="en-US"/>
                <w14:textFill>
                  <w14:solidFill>
                    <w14:schemeClr w14:val="tx1"/>
                  </w14:solidFill>
                </w14:textFill>
              </w:rPr>
            </w:pPr>
          </w:p>
        </w:tc>
        <w:tc>
          <w:tcPr>
            <w:tcW w:w="1097" w:type="pct"/>
            <w:vMerge w:val="continue"/>
            <w:vAlign w:val="center"/>
          </w:tcPr>
          <w:p w14:paraId="68C8565D">
            <w:pPr>
              <w:pStyle w:val="1771"/>
              <w:widowControl w:val="0"/>
              <w:rPr>
                <w:rFonts w:ascii="宋体" w:hAnsi="宋体"/>
                <w:b w:val="0"/>
                <w:snapToGrid w:val="0"/>
                <w:color w:val="000000" w:themeColor="text1"/>
                <w:szCs w:val="21"/>
                <w:lang w:val="en-US"/>
                <w14:textFill>
                  <w14:solidFill>
                    <w14:schemeClr w14:val="tx1"/>
                  </w14:solidFill>
                </w14:textFill>
              </w:rPr>
            </w:pPr>
          </w:p>
        </w:tc>
        <w:tc>
          <w:tcPr>
            <w:tcW w:w="509" w:type="pct"/>
            <w:vAlign w:val="center"/>
          </w:tcPr>
          <w:p w14:paraId="68A62B10">
            <w:pPr>
              <w:pStyle w:val="1771"/>
              <w:widowControl w:val="0"/>
              <w:rPr>
                <w:rFonts w:ascii="宋体" w:hAnsi="宋体"/>
                <w:b w:val="0"/>
                <w:snapToGrid w:val="0"/>
                <w:color w:val="000000" w:themeColor="text1"/>
                <w:szCs w:val="21"/>
                <w:lang w:val="en-US"/>
                <w14:textFill>
                  <w14:solidFill>
                    <w14:schemeClr w14:val="tx1"/>
                  </w14:solidFill>
                </w14:textFill>
              </w:rPr>
            </w:pPr>
            <w:r>
              <w:rPr>
                <w:b w:val="0"/>
                <w:bCs/>
                <w:szCs w:val="21"/>
              </w:rPr>
              <w:t>m</w:t>
            </w:r>
            <w:r>
              <w:rPr>
                <w:b w:val="0"/>
                <w:bCs/>
                <w:szCs w:val="21"/>
                <w:vertAlign w:val="superscript"/>
              </w:rPr>
              <w:t>3</w:t>
            </w:r>
            <w:r>
              <w:rPr>
                <w:b w:val="0"/>
                <w:bCs/>
                <w:szCs w:val="21"/>
              </w:rPr>
              <w:t>/d</w:t>
            </w:r>
          </w:p>
        </w:tc>
        <w:tc>
          <w:tcPr>
            <w:tcW w:w="573" w:type="pct"/>
            <w:vAlign w:val="center"/>
          </w:tcPr>
          <w:p w14:paraId="49CEF9A0">
            <w:pPr>
              <w:pStyle w:val="1771"/>
              <w:widowControl w:val="0"/>
              <w:rPr>
                <w:rFonts w:ascii="宋体" w:hAnsi="宋体"/>
                <w:b w:val="0"/>
                <w:snapToGrid w:val="0"/>
                <w:color w:val="000000" w:themeColor="text1"/>
                <w:szCs w:val="21"/>
                <w:lang w:val="en-US"/>
                <w14:textFill>
                  <w14:solidFill>
                    <w14:schemeClr w14:val="tx1"/>
                  </w14:solidFill>
                </w14:textFill>
              </w:rPr>
            </w:pPr>
            <w:r>
              <w:rPr>
                <w:b w:val="0"/>
                <w:bCs/>
                <w:szCs w:val="21"/>
              </w:rPr>
              <w:t>m</w:t>
            </w:r>
            <w:r>
              <w:rPr>
                <w:b w:val="0"/>
                <w:bCs/>
                <w:szCs w:val="21"/>
                <w:vertAlign w:val="superscript"/>
              </w:rPr>
              <w:t>3</w:t>
            </w:r>
            <w:r>
              <w:rPr>
                <w:b w:val="0"/>
                <w:bCs/>
                <w:szCs w:val="21"/>
              </w:rPr>
              <w:t>/</w:t>
            </w:r>
            <w:r>
              <w:rPr>
                <w:rFonts w:hint="eastAsia"/>
                <w:b w:val="0"/>
                <w:bCs/>
                <w:szCs w:val="21"/>
              </w:rPr>
              <w:t>a</w:t>
            </w:r>
          </w:p>
        </w:tc>
        <w:tc>
          <w:tcPr>
            <w:tcW w:w="1280" w:type="pct"/>
            <w:vMerge w:val="continue"/>
            <w:vAlign w:val="center"/>
          </w:tcPr>
          <w:p w14:paraId="244B4FC9">
            <w:pPr>
              <w:pStyle w:val="1771"/>
              <w:widowControl w:val="0"/>
              <w:rPr>
                <w:rFonts w:ascii="宋体" w:hAnsi="宋体"/>
                <w:b w:val="0"/>
                <w:snapToGrid w:val="0"/>
                <w:color w:val="000000" w:themeColor="text1"/>
                <w:szCs w:val="21"/>
                <w:lang w:val="en-US"/>
                <w14:textFill>
                  <w14:solidFill>
                    <w14:schemeClr w14:val="tx1"/>
                  </w14:solidFill>
                </w14:textFill>
              </w:rPr>
            </w:pPr>
          </w:p>
        </w:tc>
      </w:tr>
      <w:tr w14:paraId="48B3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5" w:type="pct"/>
            <w:vAlign w:val="center"/>
          </w:tcPr>
          <w:p w14:paraId="601FD5DB">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百花养殖场区</w:t>
            </w:r>
          </w:p>
        </w:tc>
        <w:tc>
          <w:tcPr>
            <w:tcW w:w="876" w:type="pct"/>
            <w:vAlign w:val="center"/>
          </w:tcPr>
          <w:p w14:paraId="2B1A398D">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4</w:t>
            </w:r>
            <w:r>
              <w:rPr>
                <w:rFonts w:ascii="宋体" w:hAnsi="宋体"/>
                <w:b w:val="0"/>
                <w:snapToGrid w:val="0"/>
                <w:color w:val="000000" w:themeColor="text1"/>
                <w:szCs w:val="21"/>
                <w:lang w:val="en-US"/>
                <w14:textFill>
                  <w14:solidFill>
                    <w14:schemeClr w14:val="tx1"/>
                  </w14:solidFill>
                </w14:textFill>
              </w:rPr>
              <w:t>.7376</w:t>
            </w:r>
          </w:p>
        </w:tc>
        <w:tc>
          <w:tcPr>
            <w:tcW w:w="1097" w:type="pct"/>
            <w:vAlign w:val="center"/>
          </w:tcPr>
          <w:p w14:paraId="405C22E0">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30</w:t>
            </w:r>
          </w:p>
        </w:tc>
        <w:tc>
          <w:tcPr>
            <w:tcW w:w="509" w:type="pct"/>
            <w:vAlign w:val="center"/>
          </w:tcPr>
          <w:p w14:paraId="29B2CFE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0</w:t>
            </w:r>
            <w:r>
              <w:rPr>
                <w:rFonts w:ascii="宋体" w:hAnsi="宋体"/>
                <w:b w:val="0"/>
                <w:snapToGrid w:val="0"/>
                <w:color w:val="000000" w:themeColor="text1"/>
                <w:szCs w:val="21"/>
                <w:lang w:val="en-US"/>
                <w14:textFill>
                  <w14:solidFill>
                    <w14:schemeClr w14:val="tx1"/>
                  </w14:solidFill>
                </w14:textFill>
              </w:rPr>
              <w:t>.3894</w:t>
            </w:r>
          </w:p>
        </w:tc>
        <w:tc>
          <w:tcPr>
            <w:tcW w:w="573" w:type="pct"/>
            <w:vAlign w:val="center"/>
          </w:tcPr>
          <w:p w14:paraId="4BDFAE29">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142.128</w:t>
            </w:r>
          </w:p>
        </w:tc>
        <w:tc>
          <w:tcPr>
            <w:tcW w:w="1280" w:type="pct"/>
            <w:vMerge w:val="restart"/>
            <w:vAlign w:val="center"/>
          </w:tcPr>
          <w:p w14:paraId="5F29266C">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全部进入垫料，无废水外排。</w:t>
            </w:r>
          </w:p>
        </w:tc>
      </w:tr>
      <w:tr w14:paraId="58E58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5" w:type="pct"/>
            <w:vAlign w:val="center"/>
          </w:tcPr>
          <w:p w14:paraId="36D8BF5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佛龙养殖场区</w:t>
            </w:r>
          </w:p>
        </w:tc>
        <w:tc>
          <w:tcPr>
            <w:tcW w:w="876" w:type="pct"/>
            <w:vAlign w:val="center"/>
          </w:tcPr>
          <w:p w14:paraId="3C31391A">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2</w:t>
            </w:r>
            <w:r>
              <w:rPr>
                <w:rFonts w:ascii="宋体" w:hAnsi="宋体"/>
                <w:b w:val="0"/>
                <w:snapToGrid w:val="0"/>
                <w:color w:val="000000" w:themeColor="text1"/>
                <w:szCs w:val="21"/>
                <w:lang w:val="en-US"/>
                <w14:textFill>
                  <w14:solidFill>
                    <w14:schemeClr w14:val="tx1"/>
                  </w14:solidFill>
                </w14:textFill>
              </w:rPr>
              <w:t>.5776</w:t>
            </w:r>
          </w:p>
        </w:tc>
        <w:tc>
          <w:tcPr>
            <w:tcW w:w="1097" w:type="pct"/>
            <w:vAlign w:val="center"/>
          </w:tcPr>
          <w:p w14:paraId="34324C8B">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30</w:t>
            </w:r>
          </w:p>
        </w:tc>
        <w:tc>
          <w:tcPr>
            <w:tcW w:w="509" w:type="pct"/>
            <w:vAlign w:val="center"/>
          </w:tcPr>
          <w:p w14:paraId="08AF50B5">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0</w:t>
            </w:r>
            <w:r>
              <w:rPr>
                <w:rFonts w:ascii="宋体" w:hAnsi="宋体"/>
                <w:b w:val="0"/>
                <w:snapToGrid w:val="0"/>
                <w:color w:val="000000" w:themeColor="text1"/>
                <w:szCs w:val="21"/>
                <w:lang w:val="en-US"/>
                <w14:textFill>
                  <w14:solidFill>
                    <w14:schemeClr w14:val="tx1"/>
                  </w14:solidFill>
                </w14:textFill>
              </w:rPr>
              <w:t>.2117</w:t>
            </w:r>
          </w:p>
        </w:tc>
        <w:tc>
          <w:tcPr>
            <w:tcW w:w="573" w:type="pct"/>
            <w:vAlign w:val="center"/>
          </w:tcPr>
          <w:p w14:paraId="48B7EBEC">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77.328</w:t>
            </w:r>
          </w:p>
        </w:tc>
        <w:tc>
          <w:tcPr>
            <w:tcW w:w="1280" w:type="pct"/>
            <w:vMerge w:val="continue"/>
            <w:vAlign w:val="center"/>
          </w:tcPr>
          <w:p w14:paraId="52E2911A">
            <w:pPr>
              <w:pStyle w:val="1771"/>
              <w:widowControl w:val="0"/>
              <w:rPr>
                <w:rFonts w:ascii="宋体" w:hAnsi="宋体"/>
                <w:b w:val="0"/>
                <w:snapToGrid w:val="0"/>
                <w:color w:val="000000" w:themeColor="text1"/>
                <w:szCs w:val="21"/>
                <w:lang w:val="en-US"/>
                <w14:textFill>
                  <w14:solidFill>
                    <w14:schemeClr w14:val="tx1"/>
                  </w14:solidFill>
                </w14:textFill>
              </w:rPr>
            </w:pPr>
          </w:p>
        </w:tc>
      </w:tr>
      <w:tr w14:paraId="0357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5" w:type="pct"/>
            <w:vAlign w:val="center"/>
          </w:tcPr>
          <w:p w14:paraId="77801B45">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塘坝养殖场区</w:t>
            </w:r>
          </w:p>
        </w:tc>
        <w:tc>
          <w:tcPr>
            <w:tcW w:w="876" w:type="pct"/>
            <w:vAlign w:val="center"/>
          </w:tcPr>
          <w:p w14:paraId="0C49416B">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4</w:t>
            </w:r>
            <w:r>
              <w:rPr>
                <w:rFonts w:ascii="宋体" w:hAnsi="宋体"/>
                <w:b w:val="0"/>
                <w:snapToGrid w:val="0"/>
                <w:color w:val="000000" w:themeColor="text1"/>
                <w:szCs w:val="21"/>
                <w:lang w:val="en-US"/>
                <w14:textFill>
                  <w14:solidFill>
                    <w14:schemeClr w14:val="tx1"/>
                  </w14:solidFill>
                </w14:textFill>
              </w:rPr>
              <w:t>.7376</w:t>
            </w:r>
          </w:p>
        </w:tc>
        <w:tc>
          <w:tcPr>
            <w:tcW w:w="1097" w:type="pct"/>
            <w:vAlign w:val="center"/>
          </w:tcPr>
          <w:p w14:paraId="08A325AC">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30</w:t>
            </w:r>
          </w:p>
        </w:tc>
        <w:tc>
          <w:tcPr>
            <w:tcW w:w="509" w:type="pct"/>
            <w:vAlign w:val="center"/>
          </w:tcPr>
          <w:p w14:paraId="75E8F7D8">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0</w:t>
            </w:r>
            <w:r>
              <w:rPr>
                <w:rFonts w:ascii="宋体" w:hAnsi="宋体"/>
                <w:b w:val="0"/>
                <w:snapToGrid w:val="0"/>
                <w:color w:val="000000" w:themeColor="text1"/>
                <w:szCs w:val="21"/>
                <w:lang w:val="en-US"/>
                <w14:textFill>
                  <w14:solidFill>
                    <w14:schemeClr w14:val="tx1"/>
                  </w14:solidFill>
                </w14:textFill>
              </w:rPr>
              <w:t>.3894</w:t>
            </w:r>
          </w:p>
        </w:tc>
        <w:tc>
          <w:tcPr>
            <w:tcW w:w="573" w:type="pct"/>
            <w:vAlign w:val="center"/>
          </w:tcPr>
          <w:p w14:paraId="05791ACD">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142.128</w:t>
            </w:r>
          </w:p>
        </w:tc>
        <w:tc>
          <w:tcPr>
            <w:tcW w:w="1280" w:type="pct"/>
            <w:vMerge w:val="continue"/>
            <w:vAlign w:val="center"/>
          </w:tcPr>
          <w:p w14:paraId="1205CB5F">
            <w:pPr>
              <w:pStyle w:val="1771"/>
              <w:widowControl w:val="0"/>
              <w:rPr>
                <w:rFonts w:ascii="宋体" w:hAnsi="宋体"/>
                <w:b w:val="0"/>
                <w:snapToGrid w:val="0"/>
                <w:color w:val="000000" w:themeColor="text1"/>
                <w:szCs w:val="21"/>
                <w:lang w:val="en-US"/>
                <w14:textFill>
                  <w14:solidFill>
                    <w14:schemeClr w14:val="tx1"/>
                  </w14:solidFill>
                </w14:textFill>
              </w:rPr>
            </w:pPr>
          </w:p>
        </w:tc>
      </w:tr>
      <w:tr w14:paraId="5139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5" w:type="pct"/>
            <w:vAlign w:val="center"/>
          </w:tcPr>
          <w:p w14:paraId="5462A2C8">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始宁养殖场区</w:t>
            </w:r>
          </w:p>
        </w:tc>
        <w:tc>
          <w:tcPr>
            <w:tcW w:w="876" w:type="pct"/>
            <w:vAlign w:val="center"/>
          </w:tcPr>
          <w:p w14:paraId="7415A46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3</w:t>
            </w:r>
            <w:r>
              <w:rPr>
                <w:rFonts w:ascii="宋体" w:hAnsi="宋体"/>
                <w:b w:val="0"/>
                <w:snapToGrid w:val="0"/>
                <w:color w:val="000000" w:themeColor="text1"/>
                <w:szCs w:val="21"/>
                <w:lang w:val="en-US"/>
                <w14:textFill>
                  <w14:solidFill>
                    <w14:schemeClr w14:val="tx1"/>
                  </w14:solidFill>
                </w14:textFill>
              </w:rPr>
              <w:t>.3352</w:t>
            </w:r>
          </w:p>
        </w:tc>
        <w:tc>
          <w:tcPr>
            <w:tcW w:w="1097" w:type="pct"/>
            <w:vAlign w:val="center"/>
          </w:tcPr>
          <w:p w14:paraId="670BB70F">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30</w:t>
            </w:r>
          </w:p>
        </w:tc>
        <w:tc>
          <w:tcPr>
            <w:tcW w:w="509" w:type="pct"/>
            <w:vAlign w:val="center"/>
          </w:tcPr>
          <w:p w14:paraId="477AA39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0</w:t>
            </w:r>
            <w:r>
              <w:rPr>
                <w:rFonts w:ascii="宋体" w:hAnsi="宋体"/>
                <w:b w:val="0"/>
                <w:snapToGrid w:val="0"/>
                <w:color w:val="000000" w:themeColor="text1"/>
                <w:szCs w:val="21"/>
                <w:lang w:val="en-US"/>
                <w14:textFill>
                  <w14:solidFill>
                    <w14:schemeClr w14:val="tx1"/>
                  </w14:solidFill>
                </w14:textFill>
              </w:rPr>
              <w:t>.2741</w:t>
            </w:r>
          </w:p>
        </w:tc>
        <w:tc>
          <w:tcPr>
            <w:tcW w:w="573" w:type="pct"/>
            <w:vAlign w:val="center"/>
          </w:tcPr>
          <w:p w14:paraId="46E2122C">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100.056</w:t>
            </w:r>
          </w:p>
        </w:tc>
        <w:tc>
          <w:tcPr>
            <w:tcW w:w="1280" w:type="pct"/>
            <w:vMerge w:val="continue"/>
            <w:vAlign w:val="center"/>
          </w:tcPr>
          <w:p w14:paraId="69DFFEAB">
            <w:pPr>
              <w:pStyle w:val="1771"/>
              <w:widowControl w:val="0"/>
              <w:rPr>
                <w:rFonts w:ascii="宋体" w:hAnsi="宋体"/>
                <w:b w:val="0"/>
                <w:snapToGrid w:val="0"/>
                <w:color w:val="000000" w:themeColor="text1"/>
                <w:szCs w:val="21"/>
                <w:lang w:val="en-US"/>
                <w14:textFill>
                  <w14:solidFill>
                    <w14:schemeClr w14:val="tx1"/>
                  </w14:solidFill>
                </w14:textFill>
              </w:rPr>
            </w:pPr>
          </w:p>
        </w:tc>
      </w:tr>
      <w:tr w14:paraId="00D9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65" w:type="pct"/>
            <w:vAlign w:val="center"/>
          </w:tcPr>
          <w:p w14:paraId="337CC46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合计</w:t>
            </w:r>
          </w:p>
        </w:tc>
        <w:tc>
          <w:tcPr>
            <w:tcW w:w="876" w:type="pct"/>
            <w:vAlign w:val="center"/>
          </w:tcPr>
          <w:p w14:paraId="4DD608F0">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1</w:t>
            </w:r>
            <w:r>
              <w:rPr>
                <w:rFonts w:ascii="宋体" w:hAnsi="宋体"/>
                <w:b w:val="0"/>
                <w:snapToGrid w:val="0"/>
                <w:color w:val="000000" w:themeColor="text1"/>
                <w:szCs w:val="21"/>
                <w:lang w:val="en-US"/>
                <w14:textFill>
                  <w14:solidFill>
                    <w14:schemeClr w14:val="tx1"/>
                  </w14:solidFill>
                </w14:textFill>
              </w:rPr>
              <w:t>5.408</w:t>
            </w:r>
          </w:p>
        </w:tc>
        <w:tc>
          <w:tcPr>
            <w:tcW w:w="1097" w:type="pct"/>
            <w:vAlign w:val="center"/>
          </w:tcPr>
          <w:p w14:paraId="5486E66D">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w:t>
            </w:r>
          </w:p>
        </w:tc>
        <w:tc>
          <w:tcPr>
            <w:tcW w:w="509" w:type="pct"/>
            <w:vAlign w:val="center"/>
          </w:tcPr>
          <w:p w14:paraId="5642C2FB">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4</w:t>
            </w:r>
            <w:r>
              <w:rPr>
                <w:rFonts w:ascii="宋体" w:hAnsi="宋体"/>
                <w:b w:val="0"/>
                <w:snapToGrid w:val="0"/>
                <w:color w:val="000000" w:themeColor="text1"/>
                <w:szCs w:val="21"/>
                <w:lang w:val="en-US"/>
                <w14:textFill>
                  <w14:solidFill>
                    <w14:schemeClr w14:val="tx1"/>
                  </w14:solidFill>
                </w14:textFill>
              </w:rPr>
              <w:t>23.6</w:t>
            </w:r>
          </w:p>
        </w:tc>
        <w:tc>
          <w:tcPr>
            <w:tcW w:w="573" w:type="pct"/>
            <w:vAlign w:val="center"/>
          </w:tcPr>
          <w:p w14:paraId="5A3EF9CA">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462.24</w:t>
            </w:r>
          </w:p>
        </w:tc>
        <w:tc>
          <w:tcPr>
            <w:tcW w:w="1280" w:type="pct"/>
            <w:vMerge w:val="continue"/>
            <w:vAlign w:val="center"/>
          </w:tcPr>
          <w:p w14:paraId="3D0195B9">
            <w:pPr>
              <w:pStyle w:val="1771"/>
              <w:widowControl w:val="0"/>
              <w:rPr>
                <w:rFonts w:ascii="宋体" w:hAnsi="宋体"/>
                <w:b w:val="0"/>
                <w:snapToGrid w:val="0"/>
                <w:color w:val="000000" w:themeColor="text1"/>
                <w:szCs w:val="21"/>
                <w:lang w:val="en-US"/>
                <w14:textFill>
                  <w14:solidFill>
                    <w14:schemeClr w14:val="tx1"/>
                  </w14:solidFill>
                </w14:textFill>
              </w:rPr>
            </w:pPr>
          </w:p>
        </w:tc>
      </w:tr>
      <w:bookmarkEnd w:id="396"/>
    </w:tbl>
    <w:p w14:paraId="019397F6">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4）除臭</w:t>
      </w:r>
      <w:r>
        <w:rPr>
          <w:rFonts w:hint="eastAsia"/>
          <w:bCs/>
          <w:color w:val="000000" w:themeColor="text1"/>
          <w:sz w:val="24"/>
          <w14:textFill>
            <w14:solidFill>
              <w14:schemeClr w14:val="tx1"/>
            </w14:solidFill>
          </w14:textFill>
        </w:rPr>
        <w:t>剂稀释</w:t>
      </w:r>
      <w:r>
        <w:rPr>
          <w:bCs/>
          <w:color w:val="000000" w:themeColor="text1"/>
          <w:sz w:val="24"/>
          <w14:textFill>
            <w14:solidFill>
              <w14:schemeClr w14:val="tx1"/>
            </w14:solidFill>
          </w14:textFill>
        </w:rPr>
        <w:t>用水</w:t>
      </w:r>
    </w:p>
    <w:p w14:paraId="16396B52">
      <w:pPr>
        <w:spacing w:line="360" w:lineRule="auto"/>
        <w:ind w:firstLine="480" w:firstLineChars="200"/>
        <w:jc w:val="both"/>
        <w:rPr>
          <w:bCs/>
          <w:color w:val="EE0000"/>
          <w:sz w:val="24"/>
        </w:rPr>
      </w:pPr>
      <w:r>
        <w:rPr>
          <w:bCs/>
          <w:color w:val="000000" w:themeColor="text1"/>
          <w:sz w:val="24"/>
          <w14:textFill>
            <w14:solidFill>
              <w14:schemeClr w14:val="tx1"/>
            </w14:solidFill>
          </w14:textFill>
        </w:rPr>
        <w:t>项目使用生物除臭剂进行去除臭味，外购的除臭剂需使用水按照1kg除臭剂：100L水的比例进行稀释，根据除臭剂用量</w:t>
      </w:r>
      <w:r>
        <w:rPr>
          <w:rFonts w:hint="eastAsia"/>
          <w:bCs/>
          <w:color w:val="000000" w:themeColor="text1"/>
          <w:sz w:val="24"/>
          <w14:textFill>
            <w14:solidFill>
              <w14:schemeClr w14:val="tx1"/>
            </w14:solidFill>
          </w14:textFill>
        </w:rPr>
        <w:t>（全场用量1</w:t>
      </w:r>
      <w:r>
        <w:rPr>
          <w:bCs/>
          <w:color w:val="000000" w:themeColor="text1"/>
          <w:sz w:val="24"/>
          <w14:textFill>
            <w14:solidFill>
              <w14:schemeClr w14:val="tx1"/>
            </w14:solidFill>
          </w14:textFill>
        </w:rPr>
        <w:t>2t</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a</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，全场除臭用水约为1200m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/a（3.2876m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d</w:t>
      </w:r>
      <w:r>
        <w:rPr>
          <w:bCs/>
          <w:color w:val="000000" w:themeColor="text1"/>
          <w:sz w:val="24"/>
          <w14:textFill>
            <w14:solidFill>
              <w14:schemeClr w14:val="tx1"/>
            </w14:solidFill>
          </w14:textFill>
        </w:rPr>
        <w:t>），全部蒸发损耗，无废水外排。</w:t>
      </w:r>
    </w:p>
    <w:p w14:paraId="3A8292AA">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表3.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5</w:t>
      </w:r>
      <w:r>
        <w:rPr>
          <w:rFonts w:hint="eastAsia" w:ascii="黑体" w:hAnsi="黑体" w:eastAsia="黑体"/>
          <w:b w:val="0"/>
          <w:snapToGrid w:val="0"/>
          <w:color w:val="000000" w:themeColor="text1"/>
          <w:szCs w:val="21"/>
          <w:lang w:val="en-US"/>
          <w14:textFill>
            <w14:solidFill>
              <w14:schemeClr w14:val="tx1"/>
            </w14:solidFill>
          </w14:textFill>
        </w:rPr>
        <w:t xml:space="preserve"> 各养殖场区除臭剂稀释用水量情况表</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1699"/>
        <w:gridCol w:w="1845"/>
        <w:gridCol w:w="1275"/>
        <w:gridCol w:w="1134"/>
        <w:gridCol w:w="1359"/>
      </w:tblGrid>
      <w:tr w14:paraId="1CEF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7" w:type="pct"/>
            <w:vMerge w:val="restart"/>
            <w:vAlign w:val="center"/>
          </w:tcPr>
          <w:p w14:paraId="3E414B17">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养殖场区</w:t>
            </w:r>
          </w:p>
        </w:tc>
        <w:tc>
          <w:tcPr>
            <w:tcW w:w="1023" w:type="pct"/>
            <w:vMerge w:val="restart"/>
            <w:vAlign w:val="center"/>
          </w:tcPr>
          <w:p w14:paraId="69EA8832">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除臭剂用量</w:t>
            </w:r>
            <w:r>
              <w:rPr>
                <w:rFonts w:hint="eastAsia" w:ascii="宋体" w:hAnsi="宋体" w:cs="Segoe UI"/>
                <w:b w:val="0"/>
                <w:color w:val="1A1A1A"/>
                <w:szCs w:val="21"/>
              </w:rPr>
              <w:t>，t</w:t>
            </w:r>
            <w:r>
              <w:rPr>
                <w:rFonts w:ascii="宋体" w:hAnsi="宋体" w:cs="Segoe UI"/>
                <w:b w:val="0"/>
                <w:color w:val="1A1A1A"/>
                <w:szCs w:val="21"/>
              </w:rPr>
              <w:t>/</w:t>
            </w:r>
            <w:r>
              <w:rPr>
                <w:rFonts w:hint="eastAsia" w:ascii="宋体" w:hAnsi="宋体" w:cs="Segoe UI"/>
                <w:b w:val="0"/>
                <w:color w:val="1A1A1A"/>
                <w:szCs w:val="21"/>
              </w:rPr>
              <w:t>a</w:t>
            </w:r>
          </w:p>
        </w:tc>
        <w:tc>
          <w:tcPr>
            <w:tcW w:w="1111" w:type="pct"/>
            <w:vMerge w:val="restart"/>
            <w:vAlign w:val="center"/>
          </w:tcPr>
          <w:p w14:paraId="6577D402">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用水定额，</w:t>
            </w:r>
            <w:r>
              <w:rPr>
                <w:rFonts w:ascii="宋体" w:hAnsi="宋体"/>
                <w:b w:val="0"/>
                <w:snapToGrid w:val="0"/>
                <w:color w:val="000000" w:themeColor="text1"/>
                <w:szCs w:val="21"/>
                <w:lang w:val="en-US"/>
                <w14:textFill>
                  <w14:solidFill>
                    <w14:schemeClr w14:val="tx1"/>
                  </w14:solidFill>
                </w14:textFill>
              </w:rPr>
              <w:t>L/</w:t>
            </w:r>
            <w:r>
              <w:rPr>
                <w:rFonts w:hint="eastAsia" w:ascii="宋体" w:hAnsi="宋体"/>
                <w:b w:val="0"/>
                <w:snapToGrid w:val="0"/>
                <w:color w:val="000000" w:themeColor="text1"/>
                <w:szCs w:val="21"/>
                <w:lang w:val="en-US"/>
                <w14:textFill>
                  <w14:solidFill>
                    <w14:schemeClr w14:val="tx1"/>
                  </w14:solidFill>
                </w14:textFill>
              </w:rPr>
              <w:t>kg除臭剂</w:t>
            </w:r>
          </w:p>
        </w:tc>
        <w:tc>
          <w:tcPr>
            <w:tcW w:w="1451" w:type="pct"/>
            <w:gridSpan w:val="2"/>
            <w:vAlign w:val="center"/>
          </w:tcPr>
          <w:p w14:paraId="410D358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稀释用水量</w:t>
            </w:r>
          </w:p>
        </w:tc>
        <w:tc>
          <w:tcPr>
            <w:tcW w:w="819" w:type="pct"/>
            <w:vMerge w:val="restart"/>
            <w:vAlign w:val="center"/>
          </w:tcPr>
          <w:p w14:paraId="73CE3B12">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备注</w:t>
            </w:r>
          </w:p>
        </w:tc>
      </w:tr>
      <w:tr w14:paraId="7E98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7" w:type="pct"/>
            <w:vMerge w:val="continue"/>
            <w:vAlign w:val="center"/>
          </w:tcPr>
          <w:p w14:paraId="27B9160A">
            <w:pPr>
              <w:pStyle w:val="1771"/>
              <w:widowControl w:val="0"/>
              <w:rPr>
                <w:rFonts w:ascii="宋体" w:hAnsi="宋体"/>
                <w:b w:val="0"/>
                <w:snapToGrid w:val="0"/>
                <w:color w:val="000000" w:themeColor="text1"/>
                <w:szCs w:val="21"/>
                <w:lang w:val="en-US"/>
                <w14:textFill>
                  <w14:solidFill>
                    <w14:schemeClr w14:val="tx1"/>
                  </w14:solidFill>
                </w14:textFill>
              </w:rPr>
            </w:pPr>
          </w:p>
        </w:tc>
        <w:tc>
          <w:tcPr>
            <w:tcW w:w="1023" w:type="pct"/>
            <w:vMerge w:val="continue"/>
            <w:vAlign w:val="center"/>
          </w:tcPr>
          <w:p w14:paraId="028F39F4">
            <w:pPr>
              <w:pStyle w:val="1771"/>
              <w:widowControl w:val="0"/>
              <w:rPr>
                <w:rFonts w:ascii="宋体" w:hAnsi="宋体"/>
                <w:b w:val="0"/>
                <w:snapToGrid w:val="0"/>
                <w:color w:val="000000" w:themeColor="text1"/>
                <w:szCs w:val="21"/>
                <w:lang w:val="en-US"/>
                <w14:textFill>
                  <w14:solidFill>
                    <w14:schemeClr w14:val="tx1"/>
                  </w14:solidFill>
                </w14:textFill>
              </w:rPr>
            </w:pPr>
          </w:p>
        </w:tc>
        <w:tc>
          <w:tcPr>
            <w:tcW w:w="1111" w:type="pct"/>
            <w:vMerge w:val="continue"/>
            <w:vAlign w:val="center"/>
          </w:tcPr>
          <w:p w14:paraId="4BAF0195">
            <w:pPr>
              <w:pStyle w:val="1771"/>
              <w:widowControl w:val="0"/>
              <w:rPr>
                <w:rFonts w:ascii="宋体" w:hAnsi="宋体"/>
                <w:b w:val="0"/>
                <w:snapToGrid w:val="0"/>
                <w:color w:val="000000" w:themeColor="text1"/>
                <w:szCs w:val="21"/>
                <w:lang w:val="en-US"/>
                <w14:textFill>
                  <w14:solidFill>
                    <w14:schemeClr w14:val="tx1"/>
                  </w14:solidFill>
                </w14:textFill>
              </w:rPr>
            </w:pPr>
          </w:p>
        </w:tc>
        <w:tc>
          <w:tcPr>
            <w:tcW w:w="768" w:type="pct"/>
            <w:vAlign w:val="center"/>
          </w:tcPr>
          <w:p w14:paraId="13DC96F6">
            <w:pPr>
              <w:pStyle w:val="1771"/>
              <w:widowControl w:val="0"/>
              <w:rPr>
                <w:rFonts w:ascii="宋体" w:hAnsi="宋体"/>
                <w:b w:val="0"/>
                <w:snapToGrid w:val="0"/>
                <w:color w:val="000000" w:themeColor="text1"/>
                <w:szCs w:val="21"/>
                <w:lang w:val="en-US"/>
                <w14:textFill>
                  <w14:solidFill>
                    <w14:schemeClr w14:val="tx1"/>
                  </w14:solidFill>
                </w14:textFill>
              </w:rPr>
            </w:pPr>
            <w:r>
              <w:rPr>
                <w:b w:val="0"/>
                <w:bCs/>
                <w:szCs w:val="21"/>
              </w:rPr>
              <w:t>m</w:t>
            </w:r>
            <w:r>
              <w:rPr>
                <w:b w:val="0"/>
                <w:bCs/>
                <w:szCs w:val="21"/>
                <w:vertAlign w:val="superscript"/>
              </w:rPr>
              <w:t>3</w:t>
            </w:r>
            <w:r>
              <w:rPr>
                <w:b w:val="0"/>
                <w:bCs/>
                <w:szCs w:val="21"/>
              </w:rPr>
              <w:t>/d</w:t>
            </w:r>
          </w:p>
        </w:tc>
        <w:tc>
          <w:tcPr>
            <w:tcW w:w="683" w:type="pct"/>
            <w:vAlign w:val="center"/>
          </w:tcPr>
          <w:p w14:paraId="10982014">
            <w:pPr>
              <w:pStyle w:val="1771"/>
              <w:widowControl w:val="0"/>
              <w:rPr>
                <w:rFonts w:ascii="宋体" w:hAnsi="宋体"/>
                <w:b w:val="0"/>
                <w:snapToGrid w:val="0"/>
                <w:color w:val="000000" w:themeColor="text1"/>
                <w:szCs w:val="21"/>
                <w:lang w:val="en-US"/>
                <w14:textFill>
                  <w14:solidFill>
                    <w14:schemeClr w14:val="tx1"/>
                  </w14:solidFill>
                </w14:textFill>
              </w:rPr>
            </w:pPr>
            <w:r>
              <w:rPr>
                <w:b w:val="0"/>
                <w:bCs/>
                <w:szCs w:val="21"/>
              </w:rPr>
              <w:t>m</w:t>
            </w:r>
            <w:r>
              <w:rPr>
                <w:b w:val="0"/>
                <w:bCs/>
                <w:szCs w:val="21"/>
                <w:vertAlign w:val="superscript"/>
              </w:rPr>
              <w:t>3</w:t>
            </w:r>
            <w:r>
              <w:rPr>
                <w:b w:val="0"/>
                <w:bCs/>
                <w:szCs w:val="21"/>
              </w:rPr>
              <w:t>/</w:t>
            </w:r>
            <w:r>
              <w:rPr>
                <w:rFonts w:hint="eastAsia"/>
                <w:b w:val="0"/>
                <w:bCs/>
                <w:szCs w:val="21"/>
              </w:rPr>
              <w:t>a</w:t>
            </w:r>
          </w:p>
        </w:tc>
        <w:tc>
          <w:tcPr>
            <w:tcW w:w="819" w:type="pct"/>
            <w:vMerge w:val="continue"/>
            <w:vAlign w:val="center"/>
          </w:tcPr>
          <w:p w14:paraId="757CC1F2">
            <w:pPr>
              <w:pStyle w:val="1771"/>
              <w:widowControl w:val="0"/>
              <w:rPr>
                <w:b w:val="0"/>
                <w:bCs/>
                <w:szCs w:val="21"/>
              </w:rPr>
            </w:pPr>
          </w:p>
        </w:tc>
      </w:tr>
      <w:tr w14:paraId="36BC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7" w:type="pct"/>
            <w:vAlign w:val="center"/>
          </w:tcPr>
          <w:p w14:paraId="4756547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百花养殖场区</w:t>
            </w:r>
          </w:p>
        </w:tc>
        <w:tc>
          <w:tcPr>
            <w:tcW w:w="1023" w:type="pct"/>
            <w:vAlign w:val="center"/>
          </w:tcPr>
          <w:p w14:paraId="55F2D40F">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w:t>
            </w:r>
          </w:p>
        </w:tc>
        <w:tc>
          <w:tcPr>
            <w:tcW w:w="1111" w:type="pct"/>
            <w:vAlign w:val="center"/>
          </w:tcPr>
          <w:p w14:paraId="5FBE2F32">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100</w:t>
            </w:r>
          </w:p>
        </w:tc>
        <w:tc>
          <w:tcPr>
            <w:tcW w:w="768" w:type="pct"/>
            <w:vAlign w:val="center"/>
          </w:tcPr>
          <w:p w14:paraId="1E2572A6">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0.8219</w:t>
            </w:r>
          </w:p>
        </w:tc>
        <w:tc>
          <w:tcPr>
            <w:tcW w:w="683" w:type="pct"/>
            <w:vAlign w:val="center"/>
          </w:tcPr>
          <w:p w14:paraId="1DAC09D9">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300</w:t>
            </w:r>
          </w:p>
        </w:tc>
        <w:tc>
          <w:tcPr>
            <w:tcW w:w="819" w:type="pct"/>
            <w:vMerge w:val="restart"/>
            <w:vAlign w:val="center"/>
          </w:tcPr>
          <w:p w14:paraId="2351BB4D">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蒸发损耗，无废水外排。</w:t>
            </w:r>
          </w:p>
        </w:tc>
      </w:tr>
      <w:tr w14:paraId="12C7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7" w:type="pct"/>
            <w:vAlign w:val="center"/>
          </w:tcPr>
          <w:p w14:paraId="67A3E14D">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佛龙养殖场区</w:t>
            </w:r>
          </w:p>
        </w:tc>
        <w:tc>
          <w:tcPr>
            <w:tcW w:w="1023" w:type="pct"/>
            <w:vAlign w:val="center"/>
          </w:tcPr>
          <w:p w14:paraId="15072922">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w:t>
            </w:r>
          </w:p>
        </w:tc>
        <w:tc>
          <w:tcPr>
            <w:tcW w:w="1111" w:type="pct"/>
            <w:vAlign w:val="center"/>
          </w:tcPr>
          <w:p w14:paraId="4EC1AEE1">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100</w:t>
            </w:r>
          </w:p>
        </w:tc>
        <w:tc>
          <w:tcPr>
            <w:tcW w:w="768" w:type="pct"/>
            <w:vAlign w:val="center"/>
          </w:tcPr>
          <w:p w14:paraId="775ECA0C">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0.8219</w:t>
            </w:r>
          </w:p>
        </w:tc>
        <w:tc>
          <w:tcPr>
            <w:tcW w:w="683" w:type="pct"/>
            <w:vAlign w:val="center"/>
          </w:tcPr>
          <w:p w14:paraId="0A7A262C">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300</w:t>
            </w:r>
          </w:p>
        </w:tc>
        <w:tc>
          <w:tcPr>
            <w:tcW w:w="819" w:type="pct"/>
            <w:vMerge w:val="continue"/>
            <w:vAlign w:val="center"/>
          </w:tcPr>
          <w:p w14:paraId="26D57FAE">
            <w:pPr>
              <w:pStyle w:val="1771"/>
              <w:widowControl w:val="0"/>
              <w:rPr>
                <w:rFonts w:ascii="宋体" w:hAnsi="宋体"/>
                <w:b w:val="0"/>
                <w:snapToGrid w:val="0"/>
                <w:color w:val="000000" w:themeColor="text1"/>
                <w:szCs w:val="21"/>
                <w:lang w:val="en-US"/>
                <w14:textFill>
                  <w14:solidFill>
                    <w14:schemeClr w14:val="tx1"/>
                  </w14:solidFill>
                </w14:textFill>
              </w:rPr>
            </w:pPr>
          </w:p>
        </w:tc>
      </w:tr>
      <w:tr w14:paraId="3BD0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7" w:type="pct"/>
            <w:vAlign w:val="center"/>
          </w:tcPr>
          <w:p w14:paraId="1C83F799">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塘坝养殖场区</w:t>
            </w:r>
          </w:p>
        </w:tc>
        <w:tc>
          <w:tcPr>
            <w:tcW w:w="1023" w:type="pct"/>
            <w:vAlign w:val="center"/>
          </w:tcPr>
          <w:p w14:paraId="0DBE5924">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w:t>
            </w:r>
          </w:p>
        </w:tc>
        <w:tc>
          <w:tcPr>
            <w:tcW w:w="1111" w:type="pct"/>
            <w:vAlign w:val="center"/>
          </w:tcPr>
          <w:p w14:paraId="5A6E622A">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100</w:t>
            </w:r>
          </w:p>
        </w:tc>
        <w:tc>
          <w:tcPr>
            <w:tcW w:w="768" w:type="pct"/>
            <w:vAlign w:val="center"/>
          </w:tcPr>
          <w:p w14:paraId="57B8C5EA">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0.8219</w:t>
            </w:r>
          </w:p>
        </w:tc>
        <w:tc>
          <w:tcPr>
            <w:tcW w:w="683" w:type="pct"/>
            <w:vAlign w:val="center"/>
          </w:tcPr>
          <w:p w14:paraId="668D87FC">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300</w:t>
            </w:r>
          </w:p>
        </w:tc>
        <w:tc>
          <w:tcPr>
            <w:tcW w:w="819" w:type="pct"/>
            <w:vMerge w:val="continue"/>
            <w:vAlign w:val="center"/>
          </w:tcPr>
          <w:p w14:paraId="18B12358">
            <w:pPr>
              <w:pStyle w:val="1771"/>
              <w:widowControl w:val="0"/>
              <w:rPr>
                <w:rFonts w:ascii="宋体" w:hAnsi="宋体"/>
                <w:b w:val="0"/>
                <w:snapToGrid w:val="0"/>
                <w:color w:val="000000" w:themeColor="text1"/>
                <w:szCs w:val="21"/>
                <w:lang w:val="en-US"/>
                <w14:textFill>
                  <w14:solidFill>
                    <w14:schemeClr w14:val="tx1"/>
                  </w14:solidFill>
                </w14:textFill>
              </w:rPr>
            </w:pPr>
          </w:p>
        </w:tc>
      </w:tr>
      <w:tr w14:paraId="79E7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7" w:type="pct"/>
            <w:vAlign w:val="center"/>
          </w:tcPr>
          <w:p w14:paraId="35D7EFB0">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始宁养殖场区</w:t>
            </w:r>
          </w:p>
        </w:tc>
        <w:tc>
          <w:tcPr>
            <w:tcW w:w="1023" w:type="pct"/>
            <w:vAlign w:val="center"/>
          </w:tcPr>
          <w:p w14:paraId="381303A3">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w:t>
            </w:r>
          </w:p>
        </w:tc>
        <w:tc>
          <w:tcPr>
            <w:tcW w:w="1111" w:type="pct"/>
            <w:vAlign w:val="center"/>
          </w:tcPr>
          <w:p w14:paraId="4C7F4FBE">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100</w:t>
            </w:r>
          </w:p>
        </w:tc>
        <w:tc>
          <w:tcPr>
            <w:tcW w:w="768" w:type="pct"/>
            <w:vAlign w:val="center"/>
          </w:tcPr>
          <w:p w14:paraId="4B230975">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0.8219</w:t>
            </w:r>
          </w:p>
        </w:tc>
        <w:tc>
          <w:tcPr>
            <w:tcW w:w="683" w:type="pct"/>
            <w:vAlign w:val="center"/>
          </w:tcPr>
          <w:p w14:paraId="1A2EBAC1">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300</w:t>
            </w:r>
          </w:p>
        </w:tc>
        <w:tc>
          <w:tcPr>
            <w:tcW w:w="819" w:type="pct"/>
            <w:vMerge w:val="continue"/>
            <w:vAlign w:val="center"/>
          </w:tcPr>
          <w:p w14:paraId="1208FA41">
            <w:pPr>
              <w:pStyle w:val="1771"/>
              <w:widowControl w:val="0"/>
              <w:rPr>
                <w:rFonts w:ascii="宋体" w:hAnsi="宋体"/>
                <w:b w:val="0"/>
                <w:snapToGrid w:val="0"/>
                <w:color w:val="000000" w:themeColor="text1"/>
                <w:szCs w:val="21"/>
                <w:lang w:val="en-US"/>
                <w14:textFill>
                  <w14:solidFill>
                    <w14:schemeClr w14:val="tx1"/>
                  </w14:solidFill>
                </w14:textFill>
              </w:rPr>
            </w:pPr>
          </w:p>
        </w:tc>
      </w:tr>
      <w:tr w14:paraId="04D0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7" w:type="pct"/>
            <w:vAlign w:val="center"/>
          </w:tcPr>
          <w:p w14:paraId="2F9064D6">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合计</w:t>
            </w:r>
          </w:p>
        </w:tc>
        <w:tc>
          <w:tcPr>
            <w:tcW w:w="1023" w:type="pct"/>
            <w:vAlign w:val="center"/>
          </w:tcPr>
          <w:p w14:paraId="51793A30">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12</w:t>
            </w:r>
          </w:p>
        </w:tc>
        <w:tc>
          <w:tcPr>
            <w:tcW w:w="1111" w:type="pct"/>
            <w:vAlign w:val="center"/>
          </w:tcPr>
          <w:p w14:paraId="32BA121D">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w:t>
            </w:r>
          </w:p>
        </w:tc>
        <w:tc>
          <w:tcPr>
            <w:tcW w:w="768" w:type="pct"/>
            <w:vAlign w:val="center"/>
          </w:tcPr>
          <w:p w14:paraId="2755B1BC">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3</w:t>
            </w:r>
            <w:r>
              <w:rPr>
                <w:rFonts w:ascii="宋体" w:hAnsi="宋体"/>
                <w:b w:val="0"/>
                <w:snapToGrid w:val="0"/>
                <w:color w:val="000000" w:themeColor="text1"/>
                <w:szCs w:val="21"/>
                <w:lang w:val="en-US"/>
                <w14:textFill>
                  <w14:solidFill>
                    <w14:schemeClr w14:val="tx1"/>
                  </w14:solidFill>
                </w14:textFill>
              </w:rPr>
              <w:t>.2876</w:t>
            </w:r>
          </w:p>
        </w:tc>
        <w:tc>
          <w:tcPr>
            <w:tcW w:w="683" w:type="pct"/>
            <w:vAlign w:val="center"/>
          </w:tcPr>
          <w:p w14:paraId="1D9052EA">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1200</w:t>
            </w:r>
          </w:p>
        </w:tc>
        <w:tc>
          <w:tcPr>
            <w:tcW w:w="819" w:type="pct"/>
            <w:vMerge w:val="continue"/>
            <w:vAlign w:val="center"/>
          </w:tcPr>
          <w:p w14:paraId="16597E01">
            <w:pPr>
              <w:pStyle w:val="1771"/>
              <w:widowControl w:val="0"/>
              <w:rPr>
                <w:rFonts w:ascii="宋体" w:hAnsi="宋体"/>
                <w:b w:val="0"/>
                <w:snapToGrid w:val="0"/>
                <w:color w:val="000000" w:themeColor="text1"/>
                <w:szCs w:val="21"/>
                <w:lang w:val="en-US"/>
                <w14:textFill>
                  <w14:solidFill>
                    <w14:schemeClr w14:val="tx1"/>
                  </w14:solidFill>
                </w14:textFill>
              </w:rPr>
            </w:pPr>
          </w:p>
        </w:tc>
      </w:tr>
    </w:tbl>
    <w:p w14:paraId="0D15C393">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5）职工生活用水</w:t>
      </w:r>
    </w:p>
    <w:p w14:paraId="16FC8884">
      <w:pPr>
        <w:spacing w:line="360" w:lineRule="auto"/>
        <w:ind w:firstLine="480" w:firstLineChars="200"/>
        <w:jc w:val="both"/>
        <w:rPr>
          <w:bCs/>
          <w:color w:val="000000" w:themeColor="text1"/>
          <w:sz w:val="24"/>
          <w14:textFill>
            <w14:solidFill>
              <w14:schemeClr w14:val="tx1"/>
            </w14:solidFill>
          </w14:textFill>
        </w:rPr>
      </w:pPr>
      <w:bookmarkStart w:id="397" w:name="OLE_LINK2"/>
      <w:r>
        <w:rPr>
          <w:bCs/>
          <w:color w:val="000000" w:themeColor="text1"/>
          <w:sz w:val="24"/>
          <w14:textFill>
            <w14:solidFill>
              <w14:schemeClr w14:val="tx1"/>
            </w14:solidFill>
          </w14:textFill>
        </w:rPr>
        <w:t>本项目建成后，场区内设置有职工食堂和倒班宿舍，劳动定员50人。根据《四川省用水定额》川府函〔2021〕8号，并结合项目实际情况，项目员工</w:t>
      </w:r>
      <w:r>
        <w:rPr>
          <w:rFonts w:hint="eastAsia"/>
          <w:bCs/>
          <w:color w:val="000000" w:themeColor="text1"/>
          <w:sz w:val="24"/>
          <w14:textFill>
            <w14:solidFill>
              <w14:schemeClr w14:val="tx1"/>
            </w14:solidFill>
          </w14:textFill>
        </w:rPr>
        <w:t>均在厂区食宿</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则</w:t>
      </w:r>
      <w:r>
        <w:rPr>
          <w:bCs/>
          <w:color w:val="000000" w:themeColor="text1"/>
          <w:sz w:val="24"/>
          <w14:textFill>
            <w14:solidFill>
              <w14:schemeClr w14:val="tx1"/>
            </w14:solidFill>
          </w14:textFill>
        </w:rPr>
        <w:t>职工日常办公及生活用水量按130L/人·d计，</w:t>
      </w:r>
      <w:r>
        <w:rPr>
          <w:color w:val="000000" w:themeColor="text1"/>
          <w:sz w:val="24"/>
          <w14:textFill>
            <w14:solidFill>
              <w14:schemeClr w14:val="tx1"/>
            </w14:solidFill>
          </w14:textFill>
        </w:rPr>
        <w:t>则本项目</w:t>
      </w:r>
      <w:r>
        <w:rPr>
          <w:bCs/>
          <w:color w:val="000000" w:themeColor="text1"/>
          <w:sz w:val="24"/>
          <w14:textFill>
            <w14:solidFill>
              <w14:schemeClr w14:val="tx1"/>
            </w14:solidFill>
          </w14:textFill>
        </w:rPr>
        <w:t>全场办公及生活用水量为6.5m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/d</w:t>
      </w:r>
      <w:bookmarkStart w:id="398" w:name="OLE_LINK1"/>
      <w:r>
        <w:rPr>
          <w:bCs/>
          <w:color w:val="000000" w:themeColor="text1"/>
          <w:sz w:val="24"/>
          <w14:textFill>
            <w14:solidFill>
              <w14:schemeClr w14:val="tx1"/>
            </w14:solidFill>
          </w14:textFill>
        </w:rPr>
        <w:t>（2372.5m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/a）</w:t>
      </w:r>
      <w:bookmarkEnd w:id="398"/>
      <w:r>
        <w:rPr>
          <w:bCs/>
          <w:color w:val="000000" w:themeColor="text1"/>
          <w:sz w:val="24"/>
          <w14:textFill>
            <w14:solidFill>
              <w14:schemeClr w14:val="tx1"/>
            </w14:solidFill>
          </w14:textFill>
        </w:rPr>
        <w:t>。产污系数按85%计，则生活污水产生量为5.525m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/d（2016.625m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/a）。</w:t>
      </w:r>
      <w:r>
        <w:rPr>
          <w:rFonts w:hint="eastAsia"/>
          <w:bCs/>
          <w:color w:val="000000" w:themeColor="text1"/>
          <w:sz w:val="24"/>
          <w14:textFill>
            <w14:solidFill>
              <w14:schemeClr w14:val="tx1"/>
            </w14:solidFill>
          </w14:textFill>
        </w:rPr>
        <w:t>生活污水全部排放，经化粪池收集后用于场区绿化。</w:t>
      </w:r>
    </w:p>
    <w:p w14:paraId="710DE693">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表3.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6</w:t>
      </w:r>
      <w:r>
        <w:rPr>
          <w:rFonts w:hint="eastAsia" w:ascii="黑体" w:hAnsi="黑体" w:eastAsia="黑体"/>
          <w:b w:val="0"/>
          <w:snapToGrid w:val="0"/>
          <w:color w:val="000000" w:themeColor="text1"/>
          <w:szCs w:val="21"/>
          <w:lang w:val="en-US"/>
          <w14:textFill>
            <w14:solidFill>
              <w14:schemeClr w14:val="tx1"/>
            </w14:solidFill>
          </w14:textFill>
        </w:rPr>
        <w:t xml:space="preserve"> 各养殖场区生活用排水量情况表</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905"/>
        <w:gridCol w:w="905"/>
        <w:gridCol w:w="905"/>
        <w:gridCol w:w="905"/>
        <w:gridCol w:w="907"/>
        <w:gridCol w:w="907"/>
        <w:gridCol w:w="907"/>
        <w:gridCol w:w="1056"/>
      </w:tblGrid>
      <w:tr w14:paraId="2227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46" w:type="pct"/>
            <w:vMerge w:val="restart"/>
            <w:vAlign w:val="center"/>
          </w:tcPr>
          <w:p w14:paraId="3D537F34">
            <w:pPr>
              <w:widowControl w:val="0"/>
              <w:jc w:val="center"/>
              <w:rPr>
                <w:bCs/>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养殖场区</w:t>
            </w:r>
          </w:p>
        </w:tc>
        <w:tc>
          <w:tcPr>
            <w:tcW w:w="545" w:type="pct"/>
            <w:vMerge w:val="restart"/>
            <w:vAlign w:val="center"/>
          </w:tcPr>
          <w:p w14:paraId="4743B3A6">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劳动定员，人</w:t>
            </w:r>
          </w:p>
        </w:tc>
        <w:tc>
          <w:tcPr>
            <w:tcW w:w="545" w:type="pct"/>
            <w:vMerge w:val="restart"/>
            <w:vAlign w:val="center"/>
          </w:tcPr>
          <w:p w14:paraId="0B4FC545">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用水定额，L/人·d</w:t>
            </w:r>
          </w:p>
        </w:tc>
        <w:tc>
          <w:tcPr>
            <w:tcW w:w="545" w:type="pct"/>
            <w:vMerge w:val="restart"/>
            <w:vAlign w:val="center"/>
          </w:tcPr>
          <w:p w14:paraId="0E4F9301">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产污系数</w:t>
            </w:r>
          </w:p>
        </w:tc>
        <w:tc>
          <w:tcPr>
            <w:tcW w:w="545" w:type="pct"/>
            <w:vMerge w:val="restart"/>
            <w:vAlign w:val="center"/>
          </w:tcPr>
          <w:p w14:paraId="1DC743EA">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工作时长，d/a</w:t>
            </w:r>
          </w:p>
        </w:tc>
        <w:tc>
          <w:tcPr>
            <w:tcW w:w="1092" w:type="pct"/>
            <w:gridSpan w:val="2"/>
            <w:vAlign w:val="center"/>
          </w:tcPr>
          <w:p w14:paraId="0085247B">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用水量</w:t>
            </w:r>
          </w:p>
        </w:tc>
        <w:tc>
          <w:tcPr>
            <w:tcW w:w="1182" w:type="pct"/>
            <w:gridSpan w:val="2"/>
            <w:vAlign w:val="center"/>
          </w:tcPr>
          <w:p w14:paraId="0ED52634">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排水量</w:t>
            </w:r>
          </w:p>
        </w:tc>
      </w:tr>
      <w:tr w14:paraId="0735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546" w:type="pct"/>
            <w:vMerge w:val="continue"/>
            <w:vAlign w:val="center"/>
          </w:tcPr>
          <w:p w14:paraId="593948DB">
            <w:pPr>
              <w:widowControl w:val="0"/>
              <w:jc w:val="center"/>
              <w:rPr>
                <w:snapToGrid w:val="0"/>
                <w:color w:val="000000" w:themeColor="text1"/>
                <w:szCs w:val="21"/>
                <w14:textFill>
                  <w14:solidFill>
                    <w14:schemeClr w14:val="tx1"/>
                  </w14:solidFill>
                </w14:textFill>
              </w:rPr>
            </w:pPr>
          </w:p>
        </w:tc>
        <w:tc>
          <w:tcPr>
            <w:tcW w:w="545" w:type="pct"/>
            <w:vMerge w:val="continue"/>
            <w:vAlign w:val="center"/>
          </w:tcPr>
          <w:p w14:paraId="05ACD35D">
            <w:pPr>
              <w:widowControl w:val="0"/>
              <w:jc w:val="center"/>
              <w:rPr>
                <w:bCs/>
                <w:color w:val="000000" w:themeColor="text1"/>
                <w:szCs w:val="21"/>
                <w14:textFill>
                  <w14:solidFill>
                    <w14:schemeClr w14:val="tx1"/>
                  </w14:solidFill>
                </w14:textFill>
              </w:rPr>
            </w:pPr>
          </w:p>
        </w:tc>
        <w:tc>
          <w:tcPr>
            <w:tcW w:w="545" w:type="pct"/>
            <w:vMerge w:val="continue"/>
            <w:vAlign w:val="center"/>
          </w:tcPr>
          <w:p w14:paraId="523551D4">
            <w:pPr>
              <w:widowControl w:val="0"/>
              <w:jc w:val="center"/>
              <w:rPr>
                <w:bCs/>
                <w:color w:val="000000" w:themeColor="text1"/>
                <w:szCs w:val="21"/>
                <w14:textFill>
                  <w14:solidFill>
                    <w14:schemeClr w14:val="tx1"/>
                  </w14:solidFill>
                </w14:textFill>
              </w:rPr>
            </w:pPr>
          </w:p>
        </w:tc>
        <w:tc>
          <w:tcPr>
            <w:tcW w:w="545" w:type="pct"/>
            <w:vMerge w:val="continue"/>
            <w:vAlign w:val="center"/>
          </w:tcPr>
          <w:p w14:paraId="629110F3">
            <w:pPr>
              <w:widowControl w:val="0"/>
              <w:jc w:val="center"/>
              <w:rPr>
                <w:bCs/>
                <w:color w:val="000000" w:themeColor="text1"/>
                <w:szCs w:val="21"/>
                <w14:textFill>
                  <w14:solidFill>
                    <w14:schemeClr w14:val="tx1"/>
                  </w14:solidFill>
                </w14:textFill>
              </w:rPr>
            </w:pPr>
          </w:p>
        </w:tc>
        <w:tc>
          <w:tcPr>
            <w:tcW w:w="545" w:type="pct"/>
            <w:vMerge w:val="continue"/>
            <w:vAlign w:val="center"/>
          </w:tcPr>
          <w:p w14:paraId="7244196F">
            <w:pPr>
              <w:widowControl w:val="0"/>
              <w:jc w:val="center"/>
              <w:rPr>
                <w:bCs/>
                <w:color w:val="000000" w:themeColor="text1"/>
                <w:szCs w:val="21"/>
                <w14:textFill>
                  <w14:solidFill>
                    <w14:schemeClr w14:val="tx1"/>
                  </w14:solidFill>
                </w14:textFill>
              </w:rPr>
            </w:pPr>
          </w:p>
        </w:tc>
        <w:tc>
          <w:tcPr>
            <w:tcW w:w="546" w:type="pct"/>
            <w:vAlign w:val="center"/>
          </w:tcPr>
          <w:p w14:paraId="3990AB64">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m</w:t>
            </w:r>
            <w:r>
              <w:rPr>
                <w:bCs/>
                <w:color w:val="000000" w:themeColor="text1"/>
                <w:szCs w:val="21"/>
                <w:vertAlign w:val="superscript"/>
                <w14:textFill>
                  <w14:solidFill>
                    <w14:schemeClr w14:val="tx1"/>
                  </w14:solidFill>
                </w14:textFill>
              </w:rPr>
              <w:t>3</w:t>
            </w:r>
            <w:r>
              <w:rPr>
                <w:bCs/>
                <w:color w:val="000000" w:themeColor="text1"/>
                <w:szCs w:val="21"/>
                <w14:textFill>
                  <w14:solidFill>
                    <w14:schemeClr w14:val="tx1"/>
                  </w14:solidFill>
                </w14:textFill>
              </w:rPr>
              <w:t>/d</w:t>
            </w:r>
          </w:p>
        </w:tc>
        <w:tc>
          <w:tcPr>
            <w:tcW w:w="546" w:type="pct"/>
            <w:vAlign w:val="center"/>
          </w:tcPr>
          <w:p w14:paraId="7E0BDCBD">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m</w:t>
            </w:r>
            <w:r>
              <w:rPr>
                <w:bCs/>
                <w:color w:val="000000" w:themeColor="text1"/>
                <w:szCs w:val="21"/>
                <w:vertAlign w:val="superscript"/>
                <w14:textFill>
                  <w14:solidFill>
                    <w14:schemeClr w14:val="tx1"/>
                  </w14:solidFill>
                </w14:textFill>
              </w:rPr>
              <w:t>3</w:t>
            </w:r>
            <w:r>
              <w:rPr>
                <w:bCs/>
                <w:color w:val="000000" w:themeColor="text1"/>
                <w:szCs w:val="21"/>
                <w14:textFill>
                  <w14:solidFill>
                    <w14:schemeClr w14:val="tx1"/>
                  </w14:solidFill>
                </w14:textFill>
              </w:rPr>
              <w:t>/a</w:t>
            </w:r>
          </w:p>
        </w:tc>
        <w:tc>
          <w:tcPr>
            <w:tcW w:w="546" w:type="pct"/>
            <w:vAlign w:val="center"/>
          </w:tcPr>
          <w:p w14:paraId="28202E74">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m</w:t>
            </w:r>
            <w:r>
              <w:rPr>
                <w:bCs/>
                <w:color w:val="000000" w:themeColor="text1"/>
                <w:szCs w:val="21"/>
                <w:vertAlign w:val="superscript"/>
                <w14:textFill>
                  <w14:solidFill>
                    <w14:schemeClr w14:val="tx1"/>
                  </w14:solidFill>
                </w14:textFill>
              </w:rPr>
              <w:t>3</w:t>
            </w:r>
            <w:r>
              <w:rPr>
                <w:bCs/>
                <w:color w:val="000000" w:themeColor="text1"/>
                <w:szCs w:val="21"/>
                <w14:textFill>
                  <w14:solidFill>
                    <w14:schemeClr w14:val="tx1"/>
                  </w14:solidFill>
                </w14:textFill>
              </w:rPr>
              <w:t>/d</w:t>
            </w:r>
          </w:p>
        </w:tc>
        <w:tc>
          <w:tcPr>
            <w:tcW w:w="636" w:type="pct"/>
            <w:vAlign w:val="center"/>
          </w:tcPr>
          <w:p w14:paraId="75A2F247">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m</w:t>
            </w:r>
            <w:r>
              <w:rPr>
                <w:bCs/>
                <w:color w:val="000000" w:themeColor="text1"/>
                <w:szCs w:val="21"/>
                <w:vertAlign w:val="superscript"/>
                <w14:textFill>
                  <w14:solidFill>
                    <w14:schemeClr w14:val="tx1"/>
                  </w14:solidFill>
                </w14:textFill>
              </w:rPr>
              <w:t>3</w:t>
            </w:r>
            <w:r>
              <w:rPr>
                <w:bCs/>
                <w:color w:val="000000" w:themeColor="text1"/>
                <w:szCs w:val="21"/>
                <w14:textFill>
                  <w14:solidFill>
                    <w14:schemeClr w14:val="tx1"/>
                  </w14:solidFill>
                </w14:textFill>
              </w:rPr>
              <w:t>/a</w:t>
            </w:r>
          </w:p>
        </w:tc>
      </w:tr>
      <w:tr w14:paraId="66919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6" w:type="pct"/>
            <w:vAlign w:val="center"/>
          </w:tcPr>
          <w:p w14:paraId="29C981AA">
            <w:pPr>
              <w:widowControl w:val="0"/>
              <w:jc w:val="center"/>
              <w:rPr>
                <w:bCs/>
                <w:color w:val="000000" w:themeColor="text1"/>
                <w:szCs w:val="21"/>
                <w14:textFill>
                  <w14:solidFill>
                    <w14:schemeClr w14:val="tx1"/>
                  </w14:solidFill>
                </w14:textFill>
              </w:rPr>
            </w:pPr>
            <w:r>
              <w:rPr>
                <w:szCs w:val="21"/>
              </w:rPr>
              <w:t>百花养殖场区</w:t>
            </w:r>
          </w:p>
        </w:tc>
        <w:tc>
          <w:tcPr>
            <w:tcW w:w="545" w:type="pct"/>
            <w:vAlign w:val="center"/>
          </w:tcPr>
          <w:p w14:paraId="32800E0E">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15</w:t>
            </w:r>
          </w:p>
        </w:tc>
        <w:tc>
          <w:tcPr>
            <w:tcW w:w="545" w:type="pct"/>
            <w:vAlign w:val="center"/>
          </w:tcPr>
          <w:p w14:paraId="75A80ADF">
            <w:pPr>
              <w:widowControl w:val="0"/>
              <w:jc w:val="center"/>
              <w:rPr>
                <w:bCs/>
                <w:color w:val="000000" w:themeColor="text1"/>
                <w:szCs w:val="21"/>
                <w14:textFill>
                  <w14:solidFill>
                    <w14:schemeClr w14:val="tx1"/>
                  </w14:solidFill>
                </w14:textFill>
              </w:rPr>
            </w:pPr>
            <w:bookmarkStart w:id="399" w:name="OLE_LINK125"/>
            <w:bookmarkStart w:id="400" w:name="OLE_LINK126"/>
            <w:r>
              <w:rPr>
                <w:bCs/>
                <w:color w:val="000000" w:themeColor="text1"/>
                <w:szCs w:val="21"/>
                <w14:textFill>
                  <w14:solidFill>
                    <w14:schemeClr w14:val="tx1"/>
                  </w14:solidFill>
                </w14:textFill>
              </w:rPr>
              <w:t>130</w:t>
            </w:r>
            <w:bookmarkEnd w:id="399"/>
            <w:bookmarkEnd w:id="400"/>
          </w:p>
        </w:tc>
        <w:tc>
          <w:tcPr>
            <w:tcW w:w="545" w:type="pct"/>
            <w:vAlign w:val="center"/>
          </w:tcPr>
          <w:p w14:paraId="4AB5FA68">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85%</w:t>
            </w:r>
          </w:p>
        </w:tc>
        <w:tc>
          <w:tcPr>
            <w:tcW w:w="545" w:type="pct"/>
            <w:vAlign w:val="center"/>
          </w:tcPr>
          <w:p w14:paraId="4254491D">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365</w:t>
            </w:r>
          </w:p>
        </w:tc>
        <w:tc>
          <w:tcPr>
            <w:tcW w:w="546" w:type="pct"/>
            <w:vAlign w:val="center"/>
          </w:tcPr>
          <w:p w14:paraId="3685B580">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1.95</w:t>
            </w:r>
          </w:p>
        </w:tc>
        <w:tc>
          <w:tcPr>
            <w:tcW w:w="546" w:type="pct"/>
            <w:vAlign w:val="center"/>
          </w:tcPr>
          <w:p w14:paraId="4290D2C8">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711.75</w:t>
            </w:r>
          </w:p>
        </w:tc>
        <w:tc>
          <w:tcPr>
            <w:tcW w:w="546" w:type="pct"/>
            <w:vAlign w:val="center"/>
          </w:tcPr>
          <w:p w14:paraId="48F30FFB">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1.6575</w:t>
            </w:r>
          </w:p>
        </w:tc>
        <w:tc>
          <w:tcPr>
            <w:tcW w:w="636" w:type="pct"/>
            <w:vAlign w:val="center"/>
          </w:tcPr>
          <w:p w14:paraId="2FB8FB68">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604.9875</w:t>
            </w:r>
          </w:p>
        </w:tc>
      </w:tr>
      <w:tr w14:paraId="54EA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6" w:type="pct"/>
            <w:vAlign w:val="center"/>
          </w:tcPr>
          <w:p w14:paraId="7B14B037">
            <w:pPr>
              <w:widowControl w:val="0"/>
              <w:jc w:val="center"/>
              <w:rPr>
                <w:bCs/>
                <w:color w:val="000000" w:themeColor="text1"/>
                <w:szCs w:val="21"/>
                <w14:textFill>
                  <w14:solidFill>
                    <w14:schemeClr w14:val="tx1"/>
                  </w14:solidFill>
                </w14:textFill>
              </w:rPr>
            </w:pPr>
            <w:bookmarkStart w:id="401" w:name="_Hlk233103304"/>
            <w:r>
              <w:rPr>
                <w:szCs w:val="21"/>
              </w:rPr>
              <w:t>佛龙养殖场区</w:t>
            </w:r>
          </w:p>
        </w:tc>
        <w:tc>
          <w:tcPr>
            <w:tcW w:w="545" w:type="pct"/>
            <w:vAlign w:val="center"/>
          </w:tcPr>
          <w:p w14:paraId="63B92CC2">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10</w:t>
            </w:r>
          </w:p>
        </w:tc>
        <w:tc>
          <w:tcPr>
            <w:tcW w:w="545" w:type="pct"/>
            <w:vAlign w:val="center"/>
          </w:tcPr>
          <w:p w14:paraId="51F6F534">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130</w:t>
            </w:r>
          </w:p>
        </w:tc>
        <w:tc>
          <w:tcPr>
            <w:tcW w:w="545" w:type="pct"/>
            <w:vAlign w:val="center"/>
          </w:tcPr>
          <w:p w14:paraId="0A29A6DB">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85%</w:t>
            </w:r>
          </w:p>
        </w:tc>
        <w:tc>
          <w:tcPr>
            <w:tcW w:w="545" w:type="pct"/>
            <w:vAlign w:val="center"/>
          </w:tcPr>
          <w:p w14:paraId="7AF2E6AA">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365</w:t>
            </w:r>
          </w:p>
        </w:tc>
        <w:tc>
          <w:tcPr>
            <w:tcW w:w="546" w:type="pct"/>
            <w:vAlign w:val="center"/>
          </w:tcPr>
          <w:p w14:paraId="5387F00F">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1.3</w:t>
            </w:r>
          </w:p>
        </w:tc>
        <w:tc>
          <w:tcPr>
            <w:tcW w:w="546" w:type="pct"/>
            <w:vAlign w:val="center"/>
          </w:tcPr>
          <w:p w14:paraId="2111434C">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474.5</w:t>
            </w:r>
          </w:p>
        </w:tc>
        <w:tc>
          <w:tcPr>
            <w:tcW w:w="546" w:type="pct"/>
            <w:vAlign w:val="center"/>
          </w:tcPr>
          <w:p w14:paraId="2E4F77E7">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1.105</w:t>
            </w:r>
          </w:p>
        </w:tc>
        <w:tc>
          <w:tcPr>
            <w:tcW w:w="636" w:type="pct"/>
            <w:vAlign w:val="center"/>
          </w:tcPr>
          <w:p w14:paraId="39B7A2B9">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403.325</w:t>
            </w:r>
          </w:p>
        </w:tc>
      </w:tr>
      <w:bookmarkEnd w:id="401"/>
      <w:tr w14:paraId="56FD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6" w:type="pct"/>
            <w:vAlign w:val="center"/>
          </w:tcPr>
          <w:p w14:paraId="3FEA9C98">
            <w:pPr>
              <w:widowControl w:val="0"/>
              <w:jc w:val="center"/>
              <w:rPr>
                <w:bCs/>
                <w:color w:val="000000" w:themeColor="text1"/>
                <w:szCs w:val="21"/>
                <w14:textFill>
                  <w14:solidFill>
                    <w14:schemeClr w14:val="tx1"/>
                  </w14:solidFill>
                </w14:textFill>
              </w:rPr>
            </w:pPr>
            <w:r>
              <w:rPr>
                <w:szCs w:val="21"/>
              </w:rPr>
              <w:t>塘坝养殖场区</w:t>
            </w:r>
          </w:p>
        </w:tc>
        <w:tc>
          <w:tcPr>
            <w:tcW w:w="545" w:type="pct"/>
            <w:vAlign w:val="center"/>
          </w:tcPr>
          <w:p w14:paraId="26863E00">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15</w:t>
            </w:r>
          </w:p>
        </w:tc>
        <w:tc>
          <w:tcPr>
            <w:tcW w:w="545" w:type="pct"/>
            <w:vAlign w:val="center"/>
          </w:tcPr>
          <w:p w14:paraId="0705441F">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130</w:t>
            </w:r>
          </w:p>
        </w:tc>
        <w:tc>
          <w:tcPr>
            <w:tcW w:w="545" w:type="pct"/>
            <w:vAlign w:val="center"/>
          </w:tcPr>
          <w:p w14:paraId="7012FCA0">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85%</w:t>
            </w:r>
          </w:p>
        </w:tc>
        <w:tc>
          <w:tcPr>
            <w:tcW w:w="545" w:type="pct"/>
            <w:vAlign w:val="center"/>
          </w:tcPr>
          <w:p w14:paraId="23727C24">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365</w:t>
            </w:r>
          </w:p>
        </w:tc>
        <w:tc>
          <w:tcPr>
            <w:tcW w:w="546" w:type="pct"/>
            <w:vAlign w:val="center"/>
          </w:tcPr>
          <w:p w14:paraId="7A1127D9">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1.95</w:t>
            </w:r>
          </w:p>
        </w:tc>
        <w:tc>
          <w:tcPr>
            <w:tcW w:w="546" w:type="pct"/>
            <w:vAlign w:val="center"/>
          </w:tcPr>
          <w:p w14:paraId="7F32A790">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711.75</w:t>
            </w:r>
          </w:p>
        </w:tc>
        <w:tc>
          <w:tcPr>
            <w:tcW w:w="546" w:type="pct"/>
            <w:vAlign w:val="center"/>
          </w:tcPr>
          <w:p w14:paraId="555349B4">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1.6575</w:t>
            </w:r>
          </w:p>
        </w:tc>
        <w:tc>
          <w:tcPr>
            <w:tcW w:w="636" w:type="pct"/>
            <w:vAlign w:val="center"/>
          </w:tcPr>
          <w:p w14:paraId="773F6B1C">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604.9875</w:t>
            </w:r>
          </w:p>
        </w:tc>
      </w:tr>
      <w:tr w14:paraId="0683E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6" w:type="pct"/>
            <w:vAlign w:val="center"/>
          </w:tcPr>
          <w:p w14:paraId="43099ECC">
            <w:pPr>
              <w:widowControl w:val="0"/>
              <w:jc w:val="center"/>
              <w:rPr>
                <w:bCs/>
                <w:color w:val="000000" w:themeColor="text1"/>
                <w:szCs w:val="21"/>
                <w14:textFill>
                  <w14:solidFill>
                    <w14:schemeClr w14:val="tx1"/>
                  </w14:solidFill>
                </w14:textFill>
              </w:rPr>
            </w:pPr>
            <w:r>
              <w:rPr>
                <w:szCs w:val="21"/>
              </w:rPr>
              <w:t>始宁养殖场区</w:t>
            </w:r>
          </w:p>
        </w:tc>
        <w:tc>
          <w:tcPr>
            <w:tcW w:w="545" w:type="pct"/>
            <w:vAlign w:val="center"/>
          </w:tcPr>
          <w:p w14:paraId="631DBF97">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10</w:t>
            </w:r>
          </w:p>
        </w:tc>
        <w:tc>
          <w:tcPr>
            <w:tcW w:w="545" w:type="pct"/>
            <w:vAlign w:val="center"/>
          </w:tcPr>
          <w:p w14:paraId="074BE8A3">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130</w:t>
            </w:r>
          </w:p>
        </w:tc>
        <w:tc>
          <w:tcPr>
            <w:tcW w:w="545" w:type="pct"/>
            <w:vAlign w:val="center"/>
          </w:tcPr>
          <w:p w14:paraId="06287475">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85%</w:t>
            </w:r>
          </w:p>
        </w:tc>
        <w:tc>
          <w:tcPr>
            <w:tcW w:w="545" w:type="pct"/>
            <w:vAlign w:val="center"/>
          </w:tcPr>
          <w:p w14:paraId="59086BAB">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365</w:t>
            </w:r>
          </w:p>
        </w:tc>
        <w:tc>
          <w:tcPr>
            <w:tcW w:w="546" w:type="pct"/>
            <w:vAlign w:val="center"/>
          </w:tcPr>
          <w:p w14:paraId="33175DAF">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1.3</w:t>
            </w:r>
          </w:p>
        </w:tc>
        <w:tc>
          <w:tcPr>
            <w:tcW w:w="546" w:type="pct"/>
            <w:vAlign w:val="center"/>
          </w:tcPr>
          <w:p w14:paraId="2271BEE5">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474.5</w:t>
            </w:r>
          </w:p>
        </w:tc>
        <w:tc>
          <w:tcPr>
            <w:tcW w:w="546" w:type="pct"/>
            <w:vAlign w:val="center"/>
          </w:tcPr>
          <w:p w14:paraId="00B51323">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1.105</w:t>
            </w:r>
          </w:p>
        </w:tc>
        <w:tc>
          <w:tcPr>
            <w:tcW w:w="636" w:type="pct"/>
            <w:vAlign w:val="center"/>
          </w:tcPr>
          <w:p w14:paraId="3DABE52E">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403.325</w:t>
            </w:r>
          </w:p>
        </w:tc>
      </w:tr>
      <w:tr w14:paraId="6C8B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46" w:type="pct"/>
            <w:vAlign w:val="center"/>
          </w:tcPr>
          <w:p w14:paraId="0DAC7B52">
            <w:pPr>
              <w:widowControl w:val="0"/>
              <w:jc w:val="center"/>
              <w:rPr>
                <w:szCs w:val="21"/>
              </w:rPr>
            </w:pPr>
            <w:r>
              <w:rPr>
                <w:snapToGrid w:val="0"/>
                <w:color w:val="000000" w:themeColor="text1"/>
                <w:szCs w:val="21"/>
                <w14:textFill>
                  <w14:solidFill>
                    <w14:schemeClr w14:val="tx1"/>
                  </w14:solidFill>
                </w14:textFill>
              </w:rPr>
              <w:t>合计</w:t>
            </w:r>
          </w:p>
        </w:tc>
        <w:tc>
          <w:tcPr>
            <w:tcW w:w="545" w:type="pct"/>
            <w:vAlign w:val="center"/>
          </w:tcPr>
          <w:p w14:paraId="2D03AE37">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50</w:t>
            </w:r>
          </w:p>
        </w:tc>
        <w:tc>
          <w:tcPr>
            <w:tcW w:w="545" w:type="pct"/>
            <w:vAlign w:val="center"/>
          </w:tcPr>
          <w:p w14:paraId="013F3B04">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c>
          <w:tcPr>
            <w:tcW w:w="545" w:type="pct"/>
            <w:vAlign w:val="center"/>
          </w:tcPr>
          <w:p w14:paraId="71C7C36B">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c>
          <w:tcPr>
            <w:tcW w:w="545" w:type="pct"/>
            <w:vAlign w:val="center"/>
          </w:tcPr>
          <w:p w14:paraId="17A0DE34">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w:t>
            </w:r>
          </w:p>
        </w:tc>
        <w:tc>
          <w:tcPr>
            <w:tcW w:w="546" w:type="pct"/>
            <w:vAlign w:val="center"/>
          </w:tcPr>
          <w:p w14:paraId="11793959">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6.5</w:t>
            </w:r>
          </w:p>
        </w:tc>
        <w:tc>
          <w:tcPr>
            <w:tcW w:w="546" w:type="pct"/>
            <w:vAlign w:val="center"/>
          </w:tcPr>
          <w:p w14:paraId="7299D79B">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2372.5</w:t>
            </w:r>
          </w:p>
        </w:tc>
        <w:tc>
          <w:tcPr>
            <w:tcW w:w="546" w:type="pct"/>
            <w:vAlign w:val="center"/>
          </w:tcPr>
          <w:p w14:paraId="12F15211">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5.525</w:t>
            </w:r>
          </w:p>
        </w:tc>
        <w:tc>
          <w:tcPr>
            <w:tcW w:w="636" w:type="pct"/>
            <w:vAlign w:val="center"/>
          </w:tcPr>
          <w:p w14:paraId="4EE61A49">
            <w:pPr>
              <w:widowControl w:val="0"/>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2016.625</w:t>
            </w:r>
          </w:p>
        </w:tc>
      </w:tr>
      <w:bookmarkEnd w:id="397"/>
    </w:tbl>
    <w:p w14:paraId="33D6F00C">
      <w:pPr>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6）绿化用水</w:t>
      </w:r>
    </w:p>
    <w:p w14:paraId="6BEC5C47">
      <w:pPr>
        <w:spacing w:line="360" w:lineRule="auto"/>
        <w:ind w:firstLine="480" w:firstLineChars="200"/>
        <w:jc w:val="both"/>
        <w:rPr>
          <w:bCs/>
          <w:color w:val="000000" w:themeColor="text1"/>
          <w:sz w:val="24"/>
          <w14:textFill>
            <w14:solidFill>
              <w14:schemeClr w14:val="tx1"/>
            </w14:solidFill>
          </w14:textFill>
        </w:rPr>
      </w:pPr>
      <w:r>
        <w:rPr>
          <w:color w:val="000000" w:themeColor="text1"/>
          <w:sz w:val="24"/>
          <w14:textFill>
            <w14:solidFill>
              <w14:schemeClr w14:val="tx1"/>
            </w14:solidFill>
          </w14:textFill>
        </w:rPr>
        <w:t>参考《四川省用水定额》（川府函〔2021〕8号）中城市绿化用水量0.77m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·a</w:t>
      </w:r>
      <w:r>
        <w:rPr>
          <w:rFonts w:hint="eastAsia"/>
          <w:bCs/>
          <w:color w:val="000000" w:themeColor="text1"/>
          <w:sz w:val="24"/>
          <w14:textFill>
            <w14:solidFill>
              <w14:schemeClr w14:val="tx1"/>
            </w14:solidFill>
          </w14:textFill>
        </w:rPr>
        <w:t>，本项目四个养殖场区共计绿化面积9</w:t>
      </w:r>
      <w:r>
        <w:rPr>
          <w:bCs/>
          <w:color w:val="000000" w:themeColor="text1"/>
          <w:sz w:val="24"/>
          <w14:textFill>
            <w14:solidFill>
              <w14:schemeClr w14:val="tx1"/>
            </w14:solidFill>
          </w14:textFill>
        </w:rPr>
        <w:t>8000</w:t>
      </w:r>
      <w:r>
        <w:rPr>
          <w:rFonts w:hint="eastAsia"/>
          <w:bCs/>
          <w:color w:val="000000" w:themeColor="text1"/>
          <w:sz w:val="24"/>
          <w14:textFill>
            <w14:solidFill>
              <w14:schemeClr w14:val="tx1"/>
            </w14:solidFill>
          </w14:textFill>
        </w:rPr>
        <w:t>m</w:t>
      </w:r>
      <w:r>
        <w:rPr>
          <w:bCs/>
          <w:color w:val="000000" w:themeColor="text1"/>
          <w:sz w:val="24"/>
          <w:vertAlign w:val="superscript"/>
          <w14:textFill>
            <w14:solidFill>
              <w14:schemeClr w14:val="tx1"/>
            </w14:solidFill>
          </w14:textFill>
        </w:rPr>
        <w:t>2</w:t>
      </w:r>
      <w:r>
        <w:rPr>
          <w:rFonts w:hint="eastAsia"/>
          <w:bCs/>
          <w:color w:val="000000" w:themeColor="text1"/>
          <w:sz w:val="24"/>
          <w14:textFill>
            <w14:solidFill>
              <w14:schemeClr w14:val="tx1"/>
            </w14:solidFill>
          </w14:textFill>
        </w:rPr>
        <w:t>，</w:t>
      </w:r>
      <w:r>
        <w:rPr>
          <w:color w:val="000000" w:themeColor="text1"/>
          <w:sz w:val="24"/>
          <w14:textFill>
            <w14:solidFill>
              <w14:schemeClr w14:val="tx1"/>
            </w14:solidFill>
          </w14:textFill>
        </w:rPr>
        <w:t>则本项目绿化用水</w:t>
      </w:r>
      <w:r>
        <w:rPr>
          <w:rFonts w:hint="eastAsia"/>
          <w:color w:val="000000" w:themeColor="text1"/>
          <w:sz w:val="24"/>
          <w14:textFill>
            <w14:solidFill>
              <w14:schemeClr w14:val="tx1"/>
            </w14:solidFill>
          </w14:textFill>
        </w:rPr>
        <w:t>需求</w:t>
      </w:r>
      <w:r>
        <w:rPr>
          <w:color w:val="000000" w:themeColor="text1"/>
          <w:sz w:val="24"/>
          <w14:textFill>
            <w14:solidFill>
              <w14:schemeClr w14:val="tx1"/>
            </w14:solidFill>
          </w14:textFill>
        </w:rPr>
        <w:t>量为</w:t>
      </w:r>
      <w:r>
        <w:rPr>
          <w:bCs/>
          <w:color w:val="000000" w:themeColor="text1"/>
          <w:sz w:val="24"/>
          <w14:textFill>
            <w14:solidFill>
              <w14:schemeClr w14:val="tx1"/>
            </w14:solidFill>
          </w14:textFill>
        </w:rPr>
        <w:t>75460</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/a（</w:t>
      </w:r>
      <w:r>
        <w:rPr>
          <w:bCs/>
          <w:color w:val="000000" w:themeColor="text1"/>
          <w:sz w:val="24"/>
          <w14:textFill>
            <w14:solidFill>
              <w14:schemeClr w14:val="tx1"/>
            </w14:solidFill>
          </w14:textFill>
        </w:rPr>
        <w:t>206.7398</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w:t>
      </w:r>
      <w:r>
        <w:rPr>
          <w:rFonts w:hint="eastAsia"/>
          <w:color w:val="000000" w:themeColor="text1"/>
          <w:sz w:val="24"/>
          <w14:textFill>
            <w14:solidFill>
              <w14:schemeClr w14:val="tx1"/>
            </w14:solidFill>
          </w14:textFill>
        </w:rPr>
        <w:t>，考虑生活污水产生量为</w:t>
      </w:r>
      <w:r>
        <w:rPr>
          <w:bCs/>
          <w:color w:val="000000" w:themeColor="text1"/>
          <w:sz w:val="24"/>
          <w14:textFill>
            <w14:solidFill>
              <w14:schemeClr w14:val="tx1"/>
            </w14:solidFill>
          </w14:textFill>
        </w:rPr>
        <w:t>5.525m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/d（2016.625m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/a）</w:t>
      </w:r>
      <w:r>
        <w:rPr>
          <w:rFonts w:hint="eastAsia"/>
          <w:bCs/>
          <w:color w:val="000000" w:themeColor="text1"/>
          <w:sz w:val="24"/>
          <w14:textFill>
            <w14:solidFill>
              <w14:schemeClr w14:val="tx1"/>
            </w14:solidFill>
          </w14:textFill>
        </w:rPr>
        <w:t>，则绿化用水实际补充量为7</w:t>
      </w:r>
      <w:r>
        <w:rPr>
          <w:bCs/>
          <w:color w:val="000000" w:themeColor="text1"/>
          <w:sz w:val="24"/>
          <w14:textFill>
            <w14:solidFill>
              <w14:schemeClr w14:val="tx1"/>
            </w14:solidFill>
          </w14:textFill>
        </w:rPr>
        <w:t>3443.375</w:t>
      </w:r>
      <w:r>
        <w:rPr>
          <w:color w:val="000000" w:themeColor="text1"/>
          <w:sz w:val="24"/>
          <w14:textFill>
            <w14:solidFill>
              <w14:schemeClr w14:val="tx1"/>
            </w14:solidFill>
          </w14:textFill>
        </w:rPr>
        <w:t xml:space="preserve"> 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/a（</w:t>
      </w:r>
      <w:r>
        <w:rPr>
          <w:bCs/>
          <w:color w:val="000000" w:themeColor="text1"/>
          <w:sz w:val="24"/>
          <w14:textFill>
            <w14:solidFill>
              <w14:schemeClr w14:val="tx1"/>
            </w14:solidFill>
          </w14:textFill>
        </w:rPr>
        <w:t>201.2148</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w:t>
      </w:r>
      <w:r>
        <w:rPr>
          <w:rFonts w:hint="eastAsia"/>
          <w:color w:val="000000" w:themeColor="text1"/>
          <w:sz w:val="24"/>
          <w14:textFill>
            <w14:solidFill>
              <w14:schemeClr w14:val="tx1"/>
            </w14:solidFill>
          </w14:textFill>
        </w:rPr>
        <w:t>，绿化用水</w:t>
      </w:r>
      <w:r>
        <w:rPr>
          <w:bCs/>
          <w:color w:val="000000" w:themeColor="text1"/>
          <w:sz w:val="24"/>
          <w14:textFill>
            <w14:solidFill>
              <w14:schemeClr w14:val="tx1"/>
            </w14:solidFill>
          </w14:textFill>
        </w:rPr>
        <w:t>经绿化</w:t>
      </w:r>
      <w:r>
        <w:rPr>
          <w:rFonts w:hint="eastAsia"/>
          <w:bCs/>
          <w:color w:val="000000" w:themeColor="text1"/>
          <w:sz w:val="24"/>
          <w14:textFill>
            <w14:solidFill>
              <w14:schemeClr w14:val="tx1"/>
            </w14:solidFill>
          </w14:textFill>
        </w:rPr>
        <w:t>植物</w:t>
      </w:r>
      <w:r>
        <w:rPr>
          <w:bCs/>
          <w:color w:val="000000" w:themeColor="text1"/>
          <w:sz w:val="24"/>
          <w14:textFill>
            <w14:solidFill>
              <w14:schemeClr w14:val="tx1"/>
            </w14:solidFill>
          </w14:textFill>
        </w:rPr>
        <w:t>吸收</w:t>
      </w:r>
      <w:r>
        <w:rPr>
          <w:rFonts w:hint="eastAsia"/>
          <w:bCs/>
          <w:color w:val="000000" w:themeColor="text1"/>
          <w:sz w:val="24"/>
          <w14:textFill>
            <w14:solidFill>
              <w14:schemeClr w14:val="tx1"/>
            </w14:solidFill>
          </w14:textFill>
        </w:rPr>
        <w:t>或</w:t>
      </w:r>
      <w:r>
        <w:rPr>
          <w:bCs/>
          <w:color w:val="000000" w:themeColor="text1"/>
          <w:sz w:val="24"/>
          <w14:textFill>
            <w14:solidFill>
              <w14:schemeClr w14:val="tx1"/>
            </w14:solidFill>
          </w14:textFill>
        </w:rPr>
        <w:t>自然蒸发</w:t>
      </w:r>
      <w:r>
        <w:rPr>
          <w:rFonts w:hint="eastAsia"/>
          <w:bCs/>
          <w:color w:val="000000" w:themeColor="text1"/>
          <w:sz w:val="24"/>
          <w14:textFill>
            <w14:solidFill>
              <w14:schemeClr w14:val="tx1"/>
            </w14:solidFill>
          </w14:textFill>
        </w:rPr>
        <w:t>损耗</w:t>
      </w:r>
      <w:r>
        <w:rPr>
          <w:bCs/>
          <w:color w:val="000000" w:themeColor="text1"/>
          <w:sz w:val="24"/>
          <w14:textFill>
            <w14:solidFill>
              <w14:schemeClr w14:val="tx1"/>
            </w14:solidFill>
          </w14:textFill>
        </w:rPr>
        <w:t>，无废水产生。</w:t>
      </w:r>
    </w:p>
    <w:p w14:paraId="6C27B638">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表3.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6</w:t>
      </w:r>
      <w:r>
        <w:rPr>
          <w:rFonts w:hint="eastAsia" w:ascii="黑体" w:hAnsi="黑体" w:eastAsia="黑体"/>
          <w:b w:val="0"/>
          <w:snapToGrid w:val="0"/>
          <w:color w:val="000000" w:themeColor="text1"/>
          <w:szCs w:val="21"/>
          <w:lang w:val="en-US"/>
          <w14:textFill>
            <w14:solidFill>
              <w14:schemeClr w14:val="tx1"/>
            </w14:solidFill>
          </w14:textFill>
        </w:rPr>
        <w:t xml:space="preserve"> 各养殖场区绿化用水量情况表</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715"/>
        <w:gridCol w:w="867"/>
        <w:gridCol w:w="1015"/>
        <w:gridCol w:w="715"/>
        <w:gridCol w:w="815"/>
        <w:gridCol w:w="1015"/>
        <w:gridCol w:w="965"/>
        <w:gridCol w:w="1165"/>
        <w:gridCol w:w="615"/>
      </w:tblGrid>
      <w:tr w14:paraId="1663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50" w:type="pct"/>
            <w:vMerge w:val="restart"/>
            <w:vAlign w:val="center"/>
          </w:tcPr>
          <w:p w14:paraId="4A8665B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养殖场区</w:t>
            </w:r>
          </w:p>
        </w:tc>
        <w:tc>
          <w:tcPr>
            <w:tcW w:w="515" w:type="pct"/>
            <w:vMerge w:val="restart"/>
            <w:vAlign w:val="center"/>
          </w:tcPr>
          <w:p w14:paraId="20F85879">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cs="Segoe UI"/>
                <w:b w:val="0"/>
                <w:color w:val="1A1A1A"/>
                <w:szCs w:val="21"/>
              </w:rPr>
              <w:t>绿化面积，m</w:t>
            </w:r>
            <w:r>
              <w:rPr>
                <w:rFonts w:ascii="宋体" w:hAnsi="宋体" w:cs="Segoe UI"/>
                <w:b w:val="0"/>
                <w:color w:val="1A1A1A"/>
                <w:szCs w:val="21"/>
                <w:vertAlign w:val="superscript"/>
              </w:rPr>
              <w:t>2</w:t>
            </w:r>
          </w:p>
        </w:tc>
        <w:tc>
          <w:tcPr>
            <w:tcW w:w="440" w:type="pct"/>
            <w:vMerge w:val="restart"/>
            <w:vAlign w:val="center"/>
          </w:tcPr>
          <w:p w14:paraId="7266E8A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用水定额，</w:t>
            </w:r>
            <w:r>
              <w:rPr>
                <w:b w:val="0"/>
                <w:color w:val="000000" w:themeColor="text1"/>
                <w:szCs w:val="21"/>
                <w14:textFill>
                  <w14:solidFill>
                    <w14:schemeClr w14:val="tx1"/>
                  </w14:solidFill>
                </w14:textFill>
              </w:rPr>
              <w:t>m</w:t>
            </w:r>
            <w:r>
              <w:rPr>
                <w:b w:val="0"/>
                <w:color w:val="000000" w:themeColor="text1"/>
                <w:szCs w:val="21"/>
                <w:vertAlign w:val="superscript"/>
                <w14:textFill>
                  <w14:solidFill>
                    <w14:schemeClr w14:val="tx1"/>
                  </w14:solidFill>
                </w14:textFill>
              </w:rPr>
              <w:t>3</w:t>
            </w:r>
            <w:r>
              <w:rPr>
                <w:b w:val="0"/>
                <w:color w:val="000000" w:themeColor="text1"/>
                <w:szCs w:val="21"/>
                <w14:textFill>
                  <w14:solidFill>
                    <w14:schemeClr w14:val="tx1"/>
                  </w14:solidFill>
                </w14:textFill>
              </w:rPr>
              <w:t>/m</w:t>
            </w:r>
            <w:r>
              <w:rPr>
                <w:b w:val="0"/>
                <w:color w:val="000000" w:themeColor="text1"/>
                <w:szCs w:val="21"/>
                <w:vertAlign w:val="superscript"/>
                <w14:textFill>
                  <w14:solidFill>
                    <w14:schemeClr w14:val="tx1"/>
                  </w14:solidFill>
                </w14:textFill>
              </w:rPr>
              <w:t>2</w:t>
            </w:r>
            <w:r>
              <w:rPr>
                <w:b w:val="0"/>
                <w:color w:val="000000" w:themeColor="text1"/>
                <w:szCs w:val="21"/>
                <w14:textFill>
                  <w14:solidFill>
                    <w14:schemeClr w14:val="tx1"/>
                  </w14:solidFill>
                </w14:textFill>
              </w:rPr>
              <w:t>·a</w:t>
            </w:r>
          </w:p>
        </w:tc>
        <w:tc>
          <w:tcPr>
            <w:tcW w:w="3425" w:type="pct"/>
            <w:gridSpan w:val="6"/>
            <w:vAlign w:val="center"/>
          </w:tcPr>
          <w:p w14:paraId="622B297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绿化用水量</w:t>
            </w:r>
          </w:p>
        </w:tc>
        <w:tc>
          <w:tcPr>
            <w:tcW w:w="370" w:type="pct"/>
            <w:vMerge w:val="restart"/>
            <w:vAlign w:val="center"/>
          </w:tcPr>
          <w:p w14:paraId="5CDFF269">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备注</w:t>
            </w:r>
          </w:p>
        </w:tc>
      </w:tr>
      <w:tr w14:paraId="29F1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250" w:type="pct"/>
            <w:vMerge w:val="continue"/>
            <w:vAlign w:val="center"/>
          </w:tcPr>
          <w:p w14:paraId="04A45C08">
            <w:pPr>
              <w:pStyle w:val="1771"/>
              <w:widowControl w:val="0"/>
              <w:rPr>
                <w:rFonts w:ascii="宋体" w:hAnsi="宋体"/>
                <w:b w:val="0"/>
                <w:snapToGrid w:val="0"/>
                <w:color w:val="000000" w:themeColor="text1"/>
                <w:szCs w:val="21"/>
                <w:lang w:val="en-US"/>
                <w14:textFill>
                  <w14:solidFill>
                    <w14:schemeClr w14:val="tx1"/>
                  </w14:solidFill>
                </w14:textFill>
              </w:rPr>
            </w:pPr>
          </w:p>
        </w:tc>
        <w:tc>
          <w:tcPr>
            <w:tcW w:w="515" w:type="pct"/>
            <w:vMerge w:val="continue"/>
            <w:vAlign w:val="center"/>
          </w:tcPr>
          <w:p w14:paraId="306B41E6">
            <w:pPr>
              <w:pStyle w:val="1771"/>
              <w:widowControl w:val="0"/>
              <w:rPr>
                <w:rFonts w:ascii="宋体" w:hAnsi="宋体"/>
                <w:b w:val="0"/>
                <w:snapToGrid w:val="0"/>
                <w:color w:val="000000" w:themeColor="text1"/>
                <w:szCs w:val="21"/>
                <w:lang w:val="en-US"/>
                <w14:textFill>
                  <w14:solidFill>
                    <w14:schemeClr w14:val="tx1"/>
                  </w14:solidFill>
                </w14:textFill>
              </w:rPr>
            </w:pPr>
          </w:p>
        </w:tc>
        <w:tc>
          <w:tcPr>
            <w:tcW w:w="440" w:type="pct"/>
            <w:vMerge w:val="continue"/>
            <w:vAlign w:val="center"/>
          </w:tcPr>
          <w:p w14:paraId="1DCBE7BA">
            <w:pPr>
              <w:pStyle w:val="1771"/>
              <w:widowControl w:val="0"/>
              <w:rPr>
                <w:rFonts w:ascii="宋体" w:hAnsi="宋体"/>
                <w:b w:val="0"/>
                <w:snapToGrid w:val="0"/>
                <w:color w:val="000000" w:themeColor="text1"/>
                <w:szCs w:val="21"/>
                <w:lang w:val="en-US"/>
                <w14:textFill>
                  <w14:solidFill>
                    <w14:schemeClr w14:val="tx1"/>
                  </w14:solidFill>
                </w14:textFill>
              </w:rPr>
            </w:pPr>
          </w:p>
        </w:tc>
        <w:tc>
          <w:tcPr>
            <w:tcW w:w="611" w:type="pct"/>
            <w:vAlign w:val="center"/>
          </w:tcPr>
          <w:p w14:paraId="328595E0">
            <w:pPr>
              <w:pStyle w:val="1771"/>
              <w:widowControl w:val="0"/>
              <w:rPr>
                <w:rFonts w:ascii="宋体" w:hAnsi="宋体"/>
                <w:b w:val="0"/>
                <w:snapToGrid w:val="0"/>
                <w:color w:val="000000" w:themeColor="text1"/>
                <w:szCs w:val="21"/>
                <w:lang w:val="en-US"/>
                <w14:textFill>
                  <w14:solidFill>
                    <w14:schemeClr w14:val="tx1"/>
                  </w14:solidFill>
                </w14:textFill>
              </w:rPr>
            </w:pPr>
            <w:bookmarkStart w:id="402" w:name="OLE_LINK139"/>
            <w:bookmarkStart w:id="403" w:name="OLE_LINK140"/>
            <w:r>
              <w:rPr>
                <w:rFonts w:hint="eastAsia"/>
                <w:b w:val="0"/>
                <w:bCs/>
                <w:szCs w:val="21"/>
              </w:rPr>
              <w:t>需求用水量，</w:t>
            </w:r>
            <w:bookmarkEnd w:id="402"/>
            <w:bookmarkEnd w:id="403"/>
            <w:r>
              <w:rPr>
                <w:b w:val="0"/>
                <w:bCs/>
                <w:szCs w:val="21"/>
              </w:rPr>
              <w:t>m</w:t>
            </w:r>
            <w:r>
              <w:rPr>
                <w:b w:val="0"/>
                <w:bCs/>
                <w:szCs w:val="21"/>
                <w:vertAlign w:val="superscript"/>
              </w:rPr>
              <w:t>3</w:t>
            </w:r>
            <w:r>
              <w:rPr>
                <w:b w:val="0"/>
                <w:bCs/>
                <w:szCs w:val="21"/>
              </w:rPr>
              <w:t>/d</w:t>
            </w:r>
          </w:p>
        </w:tc>
        <w:tc>
          <w:tcPr>
            <w:tcW w:w="431" w:type="pct"/>
            <w:vAlign w:val="center"/>
          </w:tcPr>
          <w:p w14:paraId="49D37AE8">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bCs/>
                <w:szCs w:val="21"/>
              </w:rPr>
              <w:t>需求用水量，</w:t>
            </w:r>
            <w:r>
              <w:rPr>
                <w:b w:val="0"/>
                <w:bCs/>
                <w:szCs w:val="21"/>
              </w:rPr>
              <w:t>m</w:t>
            </w:r>
            <w:r>
              <w:rPr>
                <w:b w:val="0"/>
                <w:bCs/>
                <w:szCs w:val="21"/>
                <w:vertAlign w:val="superscript"/>
              </w:rPr>
              <w:t>3</w:t>
            </w:r>
            <w:r>
              <w:rPr>
                <w:b w:val="0"/>
                <w:bCs/>
                <w:szCs w:val="21"/>
              </w:rPr>
              <w:t>/</w:t>
            </w:r>
            <w:r>
              <w:rPr>
                <w:rFonts w:hint="eastAsia"/>
                <w:b w:val="0"/>
                <w:bCs/>
                <w:szCs w:val="21"/>
              </w:rPr>
              <w:t>a</w:t>
            </w:r>
          </w:p>
        </w:tc>
        <w:tc>
          <w:tcPr>
            <w:tcW w:w="491" w:type="pct"/>
            <w:vAlign w:val="center"/>
          </w:tcPr>
          <w:p w14:paraId="625409E7">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生活污水排放量</w:t>
            </w:r>
            <w:r>
              <w:rPr>
                <w:rFonts w:hint="eastAsia"/>
                <w:b w:val="0"/>
                <w:bCs/>
                <w:szCs w:val="21"/>
                <w:lang w:val="en-US"/>
              </w:rPr>
              <w:t>，</w:t>
            </w:r>
            <w:r>
              <w:rPr>
                <w:b w:val="0"/>
                <w:bCs/>
                <w:szCs w:val="21"/>
                <w:lang w:val="en-US"/>
              </w:rPr>
              <w:t>m</w:t>
            </w:r>
            <w:r>
              <w:rPr>
                <w:b w:val="0"/>
                <w:bCs/>
                <w:szCs w:val="21"/>
                <w:vertAlign w:val="superscript"/>
                <w:lang w:val="en-US"/>
              </w:rPr>
              <w:t>3</w:t>
            </w:r>
            <w:r>
              <w:rPr>
                <w:b w:val="0"/>
                <w:bCs/>
                <w:szCs w:val="21"/>
                <w:lang w:val="en-US"/>
              </w:rPr>
              <w:t>/d</w:t>
            </w:r>
          </w:p>
        </w:tc>
        <w:tc>
          <w:tcPr>
            <w:tcW w:w="611" w:type="pct"/>
            <w:vAlign w:val="center"/>
          </w:tcPr>
          <w:p w14:paraId="7513B1CC">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生活污水排放量</w:t>
            </w:r>
            <w:r>
              <w:rPr>
                <w:rFonts w:hint="eastAsia"/>
                <w:b w:val="0"/>
                <w:bCs/>
                <w:szCs w:val="21"/>
                <w:lang w:val="en-US"/>
              </w:rPr>
              <w:t>，</w:t>
            </w:r>
            <w:r>
              <w:rPr>
                <w:b w:val="0"/>
                <w:bCs/>
                <w:szCs w:val="21"/>
                <w:lang w:val="en-US"/>
              </w:rPr>
              <w:t>m</w:t>
            </w:r>
            <w:r>
              <w:rPr>
                <w:b w:val="0"/>
                <w:bCs/>
                <w:szCs w:val="21"/>
                <w:vertAlign w:val="superscript"/>
                <w:lang w:val="en-US"/>
              </w:rPr>
              <w:t>3</w:t>
            </w:r>
            <w:r>
              <w:rPr>
                <w:b w:val="0"/>
                <w:bCs/>
                <w:szCs w:val="21"/>
                <w:lang w:val="en-US"/>
              </w:rPr>
              <w:t>/a</w:t>
            </w:r>
          </w:p>
        </w:tc>
        <w:tc>
          <w:tcPr>
            <w:tcW w:w="581" w:type="pct"/>
            <w:vAlign w:val="center"/>
          </w:tcPr>
          <w:p w14:paraId="7EF8EFE8">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bCs/>
                <w:szCs w:val="21"/>
              </w:rPr>
              <w:t>补充用水量，</w:t>
            </w:r>
            <w:r>
              <w:rPr>
                <w:b w:val="0"/>
                <w:bCs/>
                <w:szCs w:val="21"/>
              </w:rPr>
              <w:t>m</w:t>
            </w:r>
            <w:r>
              <w:rPr>
                <w:b w:val="0"/>
                <w:bCs/>
                <w:szCs w:val="21"/>
                <w:vertAlign w:val="superscript"/>
              </w:rPr>
              <w:t>3</w:t>
            </w:r>
            <w:r>
              <w:rPr>
                <w:b w:val="0"/>
                <w:bCs/>
                <w:szCs w:val="21"/>
              </w:rPr>
              <w:t>/d</w:t>
            </w:r>
          </w:p>
        </w:tc>
        <w:tc>
          <w:tcPr>
            <w:tcW w:w="701" w:type="pct"/>
            <w:vAlign w:val="center"/>
          </w:tcPr>
          <w:p w14:paraId="756964C8">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bCs/>
                <w:szCs w:val="21"/>
              </w:rPr>
              <w:t>补充用水量，</w:t>
            </w:r>
            <w:r>
              <w:rPr>
                <w:b w:val="0"/>
                <w:bCs/>
                <w:szCs w:val="21"/>
              </w:rPr>
              <w:t>m</w:t>
            </w:r>
            <w:r>
              <w:rPr>
                <w:b w:val="0"/>
                <w:bCs/>
                <w:szCs w:val="21"/>
                <w:vertAlign w:val="superscript"/>
              </w:rPr>
              <w:t>3</w:t>
            </w:r>
            <w:r>
              <w:rPr>
                <w:b w:val="0"/>
                <w:bCs/>
                <w:szCs w:val="21"/>
              </w:rPr>
              <w:t>/</w:t>
            </w:r>
            <w:r>
              <w:rPr>
                <w:rFonts w:hint="eastAsia"/>
                <w:b w:val="0"/>
                <w:bCs/>
                <w:szCs w:val="21"/>
              </w:rPr>
              <w:t>a</w:t>
            </w:r>
          </w:p>
        </w:tc>
        <w:tc>
          <w:tcPr>
            <w:tcW w:w="370" w:type="pct"/>
            <w:vMerge w:val="continue"/>
            <w:vAlign w:val="center"/>
          </w:tcPr>
          <w:p w14:paraId="511EE987">
            <w:pPr>
              <w:pStyle w:val="1771"/>
              <w:widowControl w:val="0"/>
              <w:rPr>
                <w:rFonts w:ascii="宋体" w:hAnsi="宋体"/>
                <w:b w:val="0"/>
                <w:snapToGrid w:val="0"/>
                <w:color w:val="000000" w:themeColor="text1"/>
                <w:szCs w:val="21"/>
                <w:lang w:val="en-US"/>
                <w14:textFill>
                  <w14:solidFill>
                    <w14:schemeClr w14:val="tx1"/>
                  </w14:solidFill>
                </w14:textFill>
              </w:rPr>
            </w:pPr>
          </w:p>
        </w:tc>
      </w:tr>
      <w:tr w14:paraId="6AA9B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 w:type="pct"/>
            <w:vAlign w:val="center"/>
          </w:tcPr>
          <w:p w14:paraId="385291D6">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百花养殖场区</w:t>
            </w:r>
          </w:p>
        </w:tc>
        <w:tc>
          <w:tcPr>
            <w:tcW w:w="515" w:type="pct"/>
            <w:vAlign w:val="center"/>
          </w:tcPr>
          <w:p w14:paraId="52B1925D">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29000</w:t>
            </w:r>
          </w:p>
        </w:tc>
        <w:tc>
          <w:tcPr>
            <w:tcW w:w="440" w:type="pct"/>
            <w:vAlign w:val="center"/>
          </w:tcPr>
          <w:p w14:paraId="0148C88A">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0.77</w:t>
            </w:r>
          </w:p>
        </w:tc>
        <w:tc>
          <w:tcPr>
            <w:tcW w:w="611" w:type="pct"/>
            <w:vAlign w:val="center"/>
          </w:tcPr>
          <w:p w14:paraId="604205EF">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61.1781</w:t>
            </w:r>
          </w:p>
        </w:tc>
        <w:tc>
          <w:tcPr>
            <w:tcW w:w="431" w:type="pct"/>
            <w:vAlign w:val="center"/>
          </w:tcPr>
          <w:p w14:paraId="5FEA9DAE">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22330</w:t>
            </w:r>
          </w:p>
        </w:tc>
        <w:tc>
          <w:tcPr>
            <w:tcW w:w="491" w:type="pct"/>
            <w:vAlign w:val="center"/>
          </w:tcPr>
          <w:p w14:paraId="7DC343DC">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1</w:t>
            </w:r>
            <w:r>
              <w:rPr>
                <w:rFonts w:ascii="宋体" w:hAnsi="宋体"/>
                <w:b w:val="0"/>
                <w:bCs/>
                <w:color w:val="000000" w:themeColor="text1"/>
                <w:szCs w:val="21"/>
                <w14:textFill>
                  <w14:solidFill>
                    <w14:schemeClr w14:val="tx1"/>
                  </w14:solidFill>
                </w14:textFill>
              </w:rPr>
              <w:t>.6575</w:t>
            </w:r>
          </w:p>
        </w:tc>
        <w:tc>
          <w:tcPr>
            <w:tcW w:w="611" w:type="pct"/>
            <w:vAlign w:val="center"/>
          </w:tcPr>
          <w:p w14:paraId="77206D5B">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6</w:t>
            </w:r>
            <w:r>
              <w:rPr>
                <w:rFonts w:ascii="宋体" w:hAnsi="宋体"/>
                <w:b w:val="0"/>
                <w:bCs/>
                <w:color w:val="000000" w:themeColor="text1"/>
                <w:szCs w:val="21"/>
                <w14:textFill>
                  <w14:solidFill>
                    <w14:schemeClr w14:val="tx1"/>
                  </w14:solidFill>
                </w14:textFill>
              </w:rPr>
              <w:t>04.9875</w:t>
            </w:r>
          </w:p>
        </w:tc>
        <w:tc>
          <w:tcPr>
            <w:tcW w:w="581" w:type="pct"/>
            <w:tcBorders>
              <w:top w:val="single" w:color="auto" w:sz="8" w:space="0"/>
              <w:left w:val="nil"/>
              <w:bottom w:val="single" w:color="auto" w:sz="8" w:space="0"/>
              <w:right w:val="single" w:color="auto" w:sz="8" w:space="0"/>
            </w:tcBorders>
            <w:vAlign w:val="center"/>
          </w:tcPr>
          <w:p w14:paraId="5A92A329">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59.5206</w:t>
            </w:r>
          </w:p>
        </w:tc>
        <w:tc>
          <w:tcPr>
            <w:tcW w:w="701" w:type="pct"/>
            <w:tcBorders>
              <w:top w:val="single" w:color="auto" w:sz="8" w:space="0"/>
              <w:left w:val="nil"/>
              <w:bottom w:val="single" w:color="auto" w:sz="8" w:space="0"/>
              <w:right w:val="single" w:color="auto" w:sz="8" w:space="0"/>
            </w:tcBorders>
            <w:vAlign w:val="center"/>
          </w:tcPr>
          <w:p w14:paraId="73EE53F2">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21725.0125</w:t>
            </w:r>
          </w:p>
        </w:tc>
        <w:tc>
          <w:tcPr>
            <w:tcW w:w="370" w:type="pct"/>
            <w:vMerge w:val="restart"/>
            <w:vAlign w:val="center"/>
          </w:tcPr>
          <w:p w14:paraId="46B00B2E">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无废水外排。</w:t>
            </w:r>
          </w:p>
        </w:tc>
      </w:tr>
      <w:tr w14:paraId="4E29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 w:type="pct"/>
            <w:vAlign w:val="center"/>
          </w:tcPr>
          <w:p w14:paraId="0CE7FB40">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佛龙养殖场区</w:t>
            </w:r>
          </w:p>
        </w:tc>
        <w:tc>
          <w:tcPr>
            <w:tcW w:w="515" w:type="pct"/>
            <w:vAlign w:val="center"/>
          </w:tcPr>
          <w:p w14:paraId="3A9E8B09">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20000</w:t>
            </w:r>
          </w:p>
        </w:tc>
        <w:tc>
          <w:tcPr>
            <w:tcW w:w="440" w:type="pct"/>
            <w:vAlign w:val="center"/>
          </w:tcPr>
          <w:p w14:paraId="6F48A85E">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0.77</w:t>
            </w:r>
          </w:p>
        </w:tc>
        <w:tc>
          <w:tcPr>
            <w:tcW w:w="611" w:type="pct"/>
            <w:vAlign w:val="center"/>
          </w:tcPr>
          <w:p w14:paraId="516FFEA8">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42.1918</w:t>
            </w:r>
          </w:p>
        </w:tc>
        <w:tc>
          <w:tcPr>
            <w:tcW w:w="431" w:type="pct"/>
            <w:vAlign w:val="center"/>
          </w:tcPr>
          <w:p w14:paraId="50894B12">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15400</w:t>
            </w:r>
          </w:p>
        </w:tc>
        <w:tc>
          <w:tcPr>
            <w:tcW w:w="491" w:type="pct"/>
            <w:vAlign w:val="center"/>
          </w:tcPr>
          <w:p w14:paraId="301C3EA7">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1</w:t>
            </w:r>
            <w:r>
              <w:rPr>
                <w:rFonts w:ascii="宋体" w:hAnsi="宋体"/>
                <w:b w:val="0"/>
                <w:bCs/>
                <w:color w:val="000000" w:themeColor="text1"/>
                <w:szCs w:val="21"/>
                <w14:textFill>
                  <w14:solidFill>
                    <w14:schemeClr w14:val="tx1"/>
                  </w14:solidFill>
                </w14:textFill>
              </w:rPr>
              <w:t>.105</w:t>
            </w:r>
          </w:p>
        </w:tc>
        <w:tc>
          <w:tcPr>
            <w:tcW w:w="611" w:type="pct"/>
            <w:vAlign w:val="center"/>
          </w:tcPr>
          <w:p w14:paraId="318BE331">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4</w:t>
            </w:r>
            <w:r>
              <w:rPr>
                <w:rFonts w:ascii="宋体" w:hAnsi="宋体"/>
                <w:b w:val="0"/>
                <w:bCs/>
                <w:color w:val="000000" w:themeColor="text1"/>
                <w:szCs w:val="21"/>
                <w14:textFill>
                  <w14:solidFill>
                    <w14:schemeClr w14:val="tx1"/>
                  </w14:solidFill>
                </w14:textFill>
              </w:rPr>
              <w:t>03.325</w:t>
            </w:r>
          </w:p>
        </w:tc>
        <w:tc>
          <w:tcPr>
            <w:tcW w:w="581" w:type="pct"/>
            <w:tcBorders>
              <w:top w:val="nil"/>
              <w:left w:val="nil"/>
              <w:bottom w:val="single" w:color="auto" w:sz="8" w:space="0"/>
              <w:right w:val="single" w:color="auto" w:sz="8" w:space="0"/>
            </w:tcBorders>
            <w:vAlign w:val="center"/>
          </w:tcPr>
          <w:p w14:paraId="3E92A699">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41.0868</w:t>
            </w:r>
          </w:p>
        </w:tc>
        <w:tc>
          <w:tcPr>
            <w:tcW w:w="701" w:type="pct"/>
            <w:tcBorders>
              <w:top w:val="nil"/>
              <w:left w:val="nil"/>
              <w:bottom w:val="single" w:color="auto" w:sz="8" w:space="0"/>
              <w:right w:val="single" w:color="auto" w:sz="8" w:space="0"/>
            </w:tcBorders>
            <w:vAlign w:val="center"/>
          </w:tcPr>
          <w:p w14:paraId="31F3D58A">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14996.675</w:t>
            </w:r>
          </w:p>
        </w:tc>
        <w:tc>
          <w:tcPr>
            <w:tcW w:w="370" w:type="pct"/>
            <w:vMerge w:val="continue"/>
            <w:vAlign w:val="center"/>
          </w:tcPr>
          <w:p w14:paraId="3E11DBCA">
            <w:pPr>
              <w:pStyle w:val="1771"/>
              <w:widowControl w:val="0"/>
              <w:rPr>
                <w:rFonts w:ascii="宋体" w:hAnsi="宋体"/>
                <w:b w:val="0"/>
                <w:snapToGrid w:val="0"/>
                <w:color w:val="000000" w:themeColor="text1"/>
                <w:szCs w:val="21"/>
                <w:lang w:val="en-US"/>
                <w14:textFill>
                  <w14:solidFill>
                    <w14:schemeClr w14:val="tx1"/>
                  </w14:solidFill>
                </w14:textFill>
              </w:rPr>
            </w:pPr>
          </w:p>
        </w:tc>
      </w:tr>
      <w:tr w14:paraId="4C9F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 w:type="pct"/>
            <w:vAlign w:val="center"/>
          </w:tcPr>
          <w:p w14:paraId="2D8F6F17">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塘坝养殖场区</w:t>
            </w:r>
          </w:p>
        </w:tc>
        <w:tc>
          <w:tcPr>
            <w:tcW w:w="515" w:type="pct"/>
            <w:vAlign w:val="center"/>
          </w:tcPr>
          <w:p w14:paraId="72A598E6">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29000</w:t>
            </w:r>
          </w:p>
        </w:tc>
        <w:tc>
          <w:tcPr>
            <w:tcW w:w="440" w:type="pct"/>
            <w:vAlign w:val="center"/>
          </w:tcPr>
          <w:p w14:paraId="55E79DB3">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0.77</w:t>
            </w:r>
          </w:p>
        </w:tc>
        <w:tc>
          <w:tcPr>
            <w:tcW w:w="611" w:type="pct"/>
            <w:vAlign w:val="center"/>
          </w:tcPr>
          <w:p w14:paraId="3199B678">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61.1781</w:t>
            </w:r>
          </w:p>
        </w:tc>
        <w:tc>
          <w:tcPr>
            <w:tcW w:w="431" w:type="pct"/>
            <w:vAlign w:val="center"/>
          </w:tcPr>
          <w:p w14:paraId="70F9D648">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22330</w:t>
            </w:r>
          </w:p>
        </w:tc>
        <w:tc>
          <w:tcPr>
            <w:tcW w:w="491" w:type="pct"/>
            <w:vAlign w:val="center"/>
          </w:tcPr>
          <w:p w14:paraId="789400B7">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1</w:t>
            </w:r>
            <w:r>
              <w:rPr>
                <w:rFonts w:ascii="宋体" w:hAnsi="宋体"/>
                <w:b w:val="0"/>
                <w:bCs/>
                <w:color w:val="000000" w:themeColor="text1"/>
                <w:szCs w:val="21"/>
                <w14:textFill>
                  <w14:solidFill>
                    <w14:schemeClr w14:val="tx1"/>
                  </w14:solidFill>
                </w14:textFill>
              </w:rPr>
              <w:t>.6575</w:t>
            </w:r>
          </w:p>
        </w:tc>
        <w:tc>
          <w:tcPr>
            <w:tcW w:w="611" w:type="pct"/>
            <w:vAlign w:val="center"/>
          </w:tcPr>
          <w:p w14:paraId="7A0B1A4F">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6</w:t>
            </w:r>
            <w:r>
              <w:rPr>
                <w:rFonts w:ascii="宋体" w:hAnsi="宋体"/>
                <w:b w:val="0"/>
                <w:bCs/>
                <w:color w:val="000000" w:themeColor="text1"/>
                <w:szCs w:val="21"/>
                <w14:textFill>
                  <w14:solidFill>
                    <w14:schemeClr w14:val="tx1"/>
                  </w14:solidFill>
                </w14:textFill>
              </w:rPr>
              <w:t>04.9875</w:t>
            </w:r>
          </w:p>
        </w:tc>
        <w:tc>
          <w:tcPr>
            <w:tcW w:w="581" w:type="pct"/>
            <w:tcBorders>
              <w:top w:val="nil"/>
              <w:left w:val="nil"/>
              <w:bottom w:val="single" w:color="auto" w:sz="8" w:space="0"/>
              <w:right w:val="single" w:color="auto" w:sz="8" w:space="0"/>
            </w:tcBorders>
            <w:vAlign w:val="center"/>
          </w:tcPr>
          <w:p w14:paraId="0838AC50">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59.5206</w:t>
            </w:r>
          </w:p>
        </w:tc>
        <w:tc>
          <w:tcPr>
            <w:tcW w:w="701" w:type="pct"/>
            <w:tcBorders>
              <w:top w:val="nil"/>
              <w:left w:val="nil"/>
              <w:bottom w:val="single" w:color="auto" w:sz="8" w:space="0"/>
              <w:right w:val="single" w:color="auto" w:sz="8" w:space="0"/>
            </w:tcBorders>
            <w:vAlign w:val="center"/>
          </w:tcPr>
          <w:p w14:paraId="192E7DD8">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21725.0125</w:t>
            </w:r>
          </w:p>
        </w:tc>
        <w:tc>
          <w:tcPr>
            <w:tcW w:w="370" w:type="pct"/>
            <w:vMerge w:val="continue"/>
            <w:vAlign w:val="center"/>
          </w:tcPr>
          <w:p w14:paraId="3B9E8D4E">
            <w:pPr>
              <w:pStyle w:val="1771"/>
              <w:widowControl w:val="0"/>
              <w:rPr>
                <w:rFonts w:ascii="宋体" w:hAnsi="宋体"/>
                <w:b w:val="0"/>
                <w:snapToGrid w:val="0"/>
                <w:color w:val="000000" w:themeColor="text1"/>
                <w:szCs w:val="21"/>
                <w:lang w:val="en-US"/>
                <w14:textFill>
                  <w14:solidFill>
                    <w14:schemeClr w14:val="tx1"/>
                  </w14:solidFill>
                </w14:textFill>
              </w:rPr>
            </w:pPr>
          </w:p>
        </w:tc>
      </w:tr>
      <w:tr w14:paraId="4ECB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 w:type="pct"/>
            <w:vAlign w:val="center"/>
          </w:tcPr>
          <w:p w14:paraId="26C7B5C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zCs w:val="21"/>
              </w:rPr>
              <w:t>始宁养殖场区</w:t>
            </w:r>
          </w:p>
        </w:tc>
        <w:tc>
          <w:tcPr>
            <w:tcW w:w="515" w:type="pct"/>
            <w:vAlign w:val="center"/>
          </w:tcPr>
          <w:p w14:paraId="5694DCAB">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20000</w:t>
            </w:r>
          </w:p>
        </w:tc>
        <w:tc>
          <w:tcPr>
            <w:tcW w:w="440" w:type="pct"/>
            <w:vAlign w:val="center"/>
          </w:tcPr>
          <w:p w14:paraId="27E27C5E">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0.77</w:t>
            </w:r>
          </w:p>
        </w:tc>
        <w:tc>
          <w:tcPr>
            <w:tcW w:w="611" w:type="pct"/>
            <w:vAlign w:val="center"/>
          </w:tcPr>
          <w:p w14:paraId="36C9D95F">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42.1918</w:t>
            </w:r>
          </w:p>
        </w:tc>
        <w:tc>
          <w:tcPr>
            <w:tcW w:w="431" w:type="pct"/>
            <w:vAlign w:val="center"/>
          </w:tcPr>
          <w:p w14:paraId="78A4E654">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15400</w:t>
            </w:r>
          </w:p>
        </w:tc>
        <w:tc>
          <w:tcPr>
            <w:tcW w:w="491" w:type="pct"/>
            <w:vAlign w:val="center"/>
          </w:tcPr>
          <w:p w14:paraId="680CB30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1</w:t>
            </w:r>
            <w:r>
              <w:rPr>
                <w:rFonts w:ascii="宋体" w:hAnsi="宋体"/>
                <w:b w:val="0"/>
                <w:bCs/>
                <w:color w:val="000000" w:themeColor="text1"/>
                <w:szCs w:val="21"/>
                <w14:textFill>
                  <w14:solidFill>
                    <w14:schemeClr w14:val="tx1"/>
                  </w14:solidFill>
                </w14:textFill>
              </w:rPr>
              <w:t>.105</w:t>
            </w:r>
          </w:p>
        </w:tc>
        <w:tc>
          <w:tcPr>
            <w:tcW w:w="611" w:type="pct"/>
            <w:vAlign w:val="center"/>
          </w:tcPr>
          <w:p w14:paraId="0CF4025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4</w:t>
            </w:r>
            <w:r>
              <w:rPr>
                <w:rFonts w:ascii="宋体" w:hAnsi="宋体"/>
                <w:b w:val="0"/>
                <w:bCs/>
                <w:color w:val="000000" w:themeColor="text1"/>
                <w:szCs w:val="21"/>
                <w14:textFill>
                  <w14:solidFill>
                    <w14:schemeClr w14:val="tx1"/>
                  </w14:solidFill>
                </w14:textFill>
              </w:rPr>
              <w:t>03.325</w:t>
            </w:r>
          </w:p>
        </w:tc>
        <w:tc>
          <w:tcPr>
            <w:tcW w:w="581" w:type="pct"/>
            <w:tcBorders>
              <w:top w:val="nil"/>
              <w:left w:val="nil"/>
              <w:bottom w:val="single" w:color="auto" w:sz="8" w:space="0"/>
              <w:right w:val="single" w:color="auto" w:sz="8" w:space="0"/>
            </w:tcBorders>
            <w:vAlign w:val="center"/>
          </w:tcPr>
          <w:p w14:paraId="3CFC5892">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41.0868</w:t>
            </w:r>
          </w:p>
        </w:tc>
        <w:tc>
          <w:tcPr>
            <w:tcW w:w="701" w:type="pct"/>
            <w:tcBorders>
              <w:top w:val="nil"/>
              <w:left w:val="nil"/>
              <w:bottom w:val="single" w:color="auto" w:sz="8" w:space="0"/>
              <w:right w:val="single" w:color="auto" w:sz="8" w:space="0"/>
            </w:tcBorders>
            <w:vAlign w:val="center"/>
          </w:tcPr>
          <w:p w14:paraId="0A62F39A">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14996.675</w:t>
            </w:r>
          </w:p>
        </w:tc>
        <w:tc>
          <w:tcPr>
            <w:tcW w:w="370" w:type="pct"/>
            <w:vMerge w:val="continue"/>
            <w:vAlign w:val="center"/>
          </w:tcPr>
          <w:p w14:paraId="69251608">
            <w:pPr>
              <w:pStyle w:val="1771"/>
              <w:widowControl w:val="0"/>
              <w:rPr>
                <w:rFonts w:ascii="宋体" w:hAnsi="宋体"/>
                <w:b w:val="0"/>
                <w:snapToGrid w:val="0"/>
                <w:color w:val="000000" w:themeColor="text1"/>
                <w:szCs w:val="21"/>
                <w:lang w:val="en-US"/>
                <w14:textFill>
                  <w14:solidFill>
                    <w14:schemeClr w14:val="tx1"/>
                  </w14:solidFill>
                </w14:textFill>
              </w:rPr>
            </w:pPr>
          </w:p>
        </w:tc>
      </w:tr>
      <w:tr w14:paraId="1549D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 w:type="pct"/>
            <w:vAlign w:val="center"/>
          </w:tcPr>
          <w:p w14:paraId="5F7C06A4">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snapToGrid w:val="0"/>
                <w:color w:val="000000" w:themeColor="text1"/>
                <w:szCs w:val="21"/>
                <w:lang w:val="en-US"/>
                <w14:textFill>
                  <w14:solidFill>
                    <w14:schemeClr w14:val="tx1"/>
                  </w14:solidFill>
                </w14:textFill>
              </w:rPr>
              <w:t>合计</w:t>
            </w:r>
          </w:p>
        </w:tc>
        <w:tc>
          <w:tcPr>
            <w:tcW w:w="515" w:type="pct"/>
            <w:vAlign w:val="center"/>
          </w:tcPr>
          <w:p w14:paraId="3417B558">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98000</w:t>
            </w:r>
          </w:p>
        </w:tc>
        <w:tc>
          <w:tcPr>
            <w:tcW w:w="440" w:type="pct"/>
            <w:vAlign w:val="center"/>
          </w:tcPr>
          <w:p w14:paraId="0C94BCCD">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w:t>
            </w:r>
          </w:p>
        </w:tc>
        <w:tc>
          <w:tcPr>
            <w:tcW w:w="611" w:type="pct"/>
            <w:vAlign w:val="center"/>
          </w:tcPr>
          <w:p w14:paraId="411BB10E">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206.7398</w:t>
            </w:r>
          </w:p>
        </w:tc>
        <w:tc>
          <w:tcPr>
            <w:tcW w:w="431" w:type="pct"/>
            <w:vAlign w:val="center"/>
          </w:tcPr>
          <w:p w14:paraId="5E6442D8">
            <w:pPr>
              <w:pStyle w:val="1771"/>
              <w:widowControl w:val="0"/>
              <w:rPr>
                <w:rFonts w:ascii="宋体" w:hAnsi="宋体"/>
                <w:b w:val="0"/>
                <w:snapToGrid w:val="0"/>
                <w:color w:val="000000" w:themeColor="text1"/>
                <w:szCs w:val="21"/>
                <w:lang w:val="en-US"/>
                <w14:textFill>
                  <w14:solidFill>
                    <w14:schemeClr w14:val="tx1"/>
                  </w14:solidFill>
                </w14:textFill>
              </w:rPr>
            </w:pPr>
            <w:r>
              <w:rPr>
                <w:rFonts w:ascii="宋体" w:hAnsi="宋体"/>
                <w:b w:val="0"/>
                <w:snapToGrid w:val="0"/>
                <w:color w:val="000000" w:themeColor="text1"/>
                <w:szCs w:val="21"/>
                <w:lang w:val="en-US"/>
                <w14:textFill>
                  <w14:solidFill>
                    <w14:schemeClr w14:val="tx1"/>
                  </w14:solidFill>
                </w14:textFill>
              </w:rPr>
              <w:t>75460</w:t>
            </w:r>
          </w:p>
        </w:tc>
        <w:tc>
          <w:tcPr>
            <w:tcW w:w="491" w:type="pct"/>
            <w:vAlign w:val="center"/>
          </w:tcPr>
          <w:p w14:paraId="0BD09092">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5</w:t>
            </w:r>
            <w:r>
              <w:rPr>
                <w:rFonts w:ascii="宋体" w:hAnsi="宋体"/>
                <w:b w:val="0"/>
                <w:bCs/>
                <w:color w:val="000000" w:themeColor="text1"/>
                <w:szCs w:val="21"/>
                <w14:textFill>
                  <w14:solidFill>
                    <w14:schemeClr w14:val="tx1"/>
                  </w14:solidFill>
                </w14:textFill>
              </w:rPr>
              <w:t>.525</w:t>
            </w:r>
          </w:p>
        </w:tc>
        <w:tc>
          <w:tcPr>
            <w:tcW w:w="611" w:type="pct"/>
            <w:vAlign w:val="center"/>
          </w:tcPr>
          <w:p w14:paraId="02BB1F49">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ascii="宋体" w:hAnsi="宋体"/>
                <w:b w:val="0"/>
                <w:bCs/>
                <w:color w:val="000000" w:themeColor="text1"/>
                <w:szCs w:val="21"/>
                <w14:textFill>
                  <w14:solidFill>
                    <w14:schemeClr w14:val="tx1"/>
                  </w14:solidFill>
                </w14:textFill>
              </w:rPr>
              <w:t>2</w:t>
            </w:r>
            <w:r>
              <w:rPr>
                <w:rFonts w:ascii="宋体" w:hAnsi="宋体"/>
                <w:b w:val="0"/>
                <w:bCs/>
                <w:color w:val="000000" w:themeColor="text1"/>
                <w:szCs w:val="21"/>
                <w14:textFill>
                  <w14:solidFill>
                    <w14:schemeClr w14:val="tx1"/>
                  </w14:solidFill>
                </w14:textFill>
              </w:rPr>
              <w:t>016.625</w:t>
            </w:r>
          </w:p>
        </w:tc>
        <w:tc>
          <w:tcPr>
            <w:tcW w:w="581" w:type="pct"/>
            <w:tcBorders>
              <w:top w:val="nil"/>
              <w:left w:val="nil"/>
              <w:bottom w:val="single" w:color="auto" w:sz="8" w:space="0"/>
              <w:right w:val="single" w:color="auto" w:sz="8" w:space="0"/>
            </w:tcBorders>
            <w:vAlign w:val="center"/>
          </w:tcPr>
          <w:p w14:paraId="773ECAD3">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201.2148</w:t>
            </w:r>
          </w:p>
        </w:tc>
        <w:tc>
          <w:tcPr>
            <w:tcW w:w="701" w:type="pct"/>
            <w:tcBorders>
              <w:top w:val="nil"/>
              <w:left w:val="nil"/>
              <w:bottom w:val="single" w:color="auto" w:sz="8" w:space="0"/>
              <w:right w:val="single" w:color="auto" w:sz="8" w:space="0"/>
            </w:tcBorders>
            <w:vAlign w:val="center"/>
          </w:tcPr>
          <w:p w14:paraId="479EA3D7">
            <w:pPr>
              <w:pStyle w:val="1771"/>
              <w:widowControl w:val="0"/>
              <w:rPr>
                <w:rFonts w:ascii="宋体" w:hAnsi="宋体"/>
                <w:b w:val="0"/>
                <w:snapToGrid w:val="0"/>
                <w:color w:val="000000" w:themeColor="text1"/>
                <w:szCs w:val="21"/>
                <w:lang w:val="en-US"/>
                <w14:textFill>
                  <w14:solidFill>
                    <w14:schemeClr w14:val="tx1"/>
                  </w14:solidFill>
                </w14:textFill>
              </w:rPr>
            </w:pPr>
            <w:r>
              <w:rPr>
                <w:rFonts w:hint="eastAsia"/>
                <w:b w:val="0"/>
                <w:color w:val="000000"/>
                <w:szCs w:val="21"/>
              </w:rPr>
              <w:t>73443.375</w:t>
            </w:r>
          </w:p>
        </w:tc>
        <w:tc>
          <w:tcPr>
            <w:tcW w:w="370" w:type="pct"/>
            <w:vMerge w:val="continue"/>
            <w:vAlign w:val="center"/>
          </w:tcPr>
          <w:p w14:paraId="476553BA">
            <w:pPr>
              <w:pStyle w:val="1771"/>
              <w:widowControl w:val="0"/>
              <w:rPr>
                <w:rFonts w:ascii="宋体" w:hAnsi="宋体"/>
                <w:b w:val="0"/>
                <w:snapToGrid w:val="0"/>
                <w:color w:val="000000" w:themeColor="text1"/>
                <w:szCs w:val="21"/>
                <w:lang w:val="en-US"/>
                <w14:textFill>
                  <w14:solidFill>
                    <w14:schemeClr w14:val="tx1"/>
                  </w14:solidFill>
                </w14:textFill>
              </w:rPr>
            </w:pPr>
          </w:p>
        </w:tc>
      </w:tr>
    </w:tbl>
    <w:p w14:paraId="7A10D785">
      <w:pPr>
        <w:spacing w:line="360" w:lineRule="auto"/>
        <w:ind w:firstLine="480" w:firstLineChars="200"/>
        <w:jc w:val="both"/>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项目水平衡图见下，其中百花养殖场区及塘坝养殖场区养殖规模及绿化面积相同，用水平衡图相同。</w:t>
      </w:r>
    </w:p>
    <w:p w14:paraId="468F8B00">
      <w:pPr>
        <w:spacing w:line="360" w:lineRule="auto"/>
        <w:jc w:val="both"/>
      </w:pPr>
      <w:r>
        <w:object>
          <v:shape id="_x0000_i1030" o:spt="75" type="#_x0000_t75" style="height:313.35pt;width:415.35pt;" o:ole="t" filled="f" o:preferrelative="t" stroked="f" coordsize="21600,21600">
            <v:path/>
            <v:fill on="f" focussize="0,0"/>
            <v:stroke on="f" joinstyle="miter"/>
            <v:imagedata r:id="rId52" o:title=""/>
            <o:lock v:ext="edit" aspectratio="t"/>
            <w10:wrap type="none"/>
            <w10:anchorlock/>
          </v:shape>
          <o:OLEObject Type="Embed" ProgID="Visio.Drawing.15" ShapeID="_x0000_i1030" DrawAspect="Content" ObjectID="_1468075730" r:id="rId51">
            <o:LockedField>false</o:LockedField>
          </o:OLEObject>
        </w:object>
      </w:r>
    </w:p>
    <w:p w14:paraId="2EB17485">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图3.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1</w:t>
      </w:r>
      <w:r>
        <w:rPr>
          <w:rFonts w:hint="eastAsia" w:ascii="黑体" w:hAnsi="黑体" w:eastAsia="黑体"/>
          <w:b w:val="0"/>
          <w:snapToGrid w:val="0"/>
          <w:color w:val="000000" w:themeColor="text1"/>
          <w:szCs w:val="21"/>
          <w:lang w:val="en-US"/>
          <w14:textFill>
            <w14:solidFill>
              <w14:schemeClr w14:val="tx1"/>
            </w14:solidFill>
          </w14:textFill>
        </w:rPr>
        <w:t xml:space="preserve"> 百花、塘坝养殖场区最大日用水水平衡图（m</w:t>
      </w:r>
      <w:r>
        <w:rPr>
          <w:rFonts w:ascii="黑体" w:hAnsi="黑体" w:eastAsia="黑体"/>
          <w:b w:val="0"/>
          <w:snapToGrid w:val="0"/>
          <w:color w:val="000000" w:themeColor="text1"/>
          <w:szCs w:val="21"/>
          <w:vertAlign w:val="superscript"/>
          <w:lang w:val="en-US"/>
          <w14:textFill>
            <w14:solidFill>
              <w14:schemeClr w14:val="tx1"/>
            </w14:solidFill>
          </w14:textFill>
        </w:rPr>
        <w:t>3</w:t>
      </w:r>
      <w:r>
        <w:rPr>
          <w:rFonts w:ascii="黑体" w:hAnsi="黑体" w:eastAsia="黑体"/>
          <w:b w:val="0"/>
          <w:snapToGrid w:val="0"/>
          <w:color w:val="000000" w:themeColor="text1"/>
          <w:szCs w:val="21"/>
          <w:lang w:val="en-US"/>
          <w14:textFill>
            <w14:solidFill>
              <w14:schemeClr w14:val="tx1"/>
            </w14:solidFill>
          </w14:textFill>
        </w:rPr>
        <w:t>/</w:t>
      </w:r>
      <w:r>
        <w:rPr>
          <w:rFonts w:hint="eastAsia" w:ascii="黑体" w:hAnsi="黑体" w:eastAsia="黑体"/>
          <w:b w:val="0"/>
          <w:snapToGrid w:val="0"/>
          <w:color w:val="000000" w:themeColor="text1"/>
          <w:szCs w:val="21"/>
          <w:lang w:val="en-US"/>
          <w14:textFill>
            <w14:solidFill>
              <w14:schemeClr w14:val="tx1"/>
            </w14:solidFill>
          </w14:textFill>
        </w:rPr>
        <w:t>d）</w:t>
      </w:r>
    </w:p>
    <w:p w14:paraId="1AE92D60">
      <w:pPr>
        <w:pStyle w:val="1771"/>
        <w:spacing w:line="360" w:lineRule="auto"/>
      </w:pPr>
      <w:r>
        <w:object>
          <v:shape id="_x0000_i1031" o:spt="75" type="#_x0000_t75" style="height:313.35pt;width:415.35pt;" o:ole="t" filled="f" o:preferrelative="t" stroked="f" coordsize="21600,21600">
            <v:path/>
            <v:fill on="f" focussize="0,0"/>
            <v:stroke on="f" joinstyle="miter"/>
            <v:imagedata r:id="rId54" o:title=""/>
            <o:lock v:ext="edit" aspectratio="t"/>
            <w10:wrap type="none"/>
            <w10:anchorlock/>
          </v:shape>
          <o:OLEObject Type="Embed" ProgID="Visio.Drawing.15" ShapeID="_x0000_i1031" DrawAspect="Content" ObjectID="_1468075731" r:id="rId53">
            <o:LockedField>false</o:LockedField>
          </o:OLEObject>
        </w:object>
      </w:r>
    </w:p>
    <w:p w14:paraId="2B269B82">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图3.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2</w:t>
      </w:r>
      <w:r>
        <w:rPr>
          <w:rFonts w:hint="eastAsia" w:ascii="黑体" w:hAnsi="黑体" w:eastAsia="黑体"/>
          <w:b w:val="0"/>
          <w:snapToGrid w:val="0"/>
          <w:color w:val="000000" w:themeColor="text1"/>
          <w:szCs w:val="21"/>
          <w:lang w:val="en-US"/>
          <w14:textFill>
            <w14:solidFill>
              <w14:schemeClr w14:val="tx1"/>
            </w14:solidFill>
          </w14:textFill>
        </w:rPr>
        <w:t xml:space="preserve"> 佛龙养殖场区最大日用水水平衡图（m</w:t>
      </w:r>
      <w:r>
        <w:rPr>
          <w:rFonts w:ascii="黑体" w:hAnsi="黑体" w:eastAsia="黑体"/>
          <w:b w:val="0"/>
          <w:snapToGrid w:val="0"/>
          <w:color w:val="000000" w:themeColor="text1"/>
          <w:szCs w:val="21"/>
          <w:vertAlign w:val="superscript"/>
          <w:lang w:val="en-US"/>
          <w14:textFill>
            <w14:solidFill>
              <w14:schemeClr w14:val="tx1"/>
            </w14:solidFill>
          </w14:textFill>
        </w:rPr>
        <w:t>3</w:t>
      </w:r>
      <w:r>
        <w:rPr>
          <w:rFonts w:ascii="黑体" w:hAnsi="黑体" w:eastAsia="黑体"/>
          <w:b w:val="0"/>
          <w:snapToGrid w:val="0"/>
          <w:color w:val="000000" w:themeColor="text1"/>
          <w:szCs w:val="21"/>
          <w:lang w:val="en-US"/>
          <w14:textFill>
            <w14:solidFill>
              <w14:schemeClr w14:val="tx1"/>
            </w14:solidFill>
          </w14:textFill>
        </w:rPr>
        <w:t>/</w:t>
      </w:r>
      <w:r>
        <w:rPr>
          <w:rFonts w:hint="eastAsia" w:ascii="黑体" w:hAnsi="黑体" w:eastAsia="黑体"/>
          <w:b w:val="0"/>
          <w:snapToGrid w:val="0"/>
          <w:color w:val="000000" w:themeColor="text1"/>
          <w:szCs w:val="21"/>
          <w:lang w:val="en-US"/>
          <w14:textFill>
            <w14:solidFill>
              <w14:schemeClr w14:val="tx1"/>
            </w14:solidFill>
          </w14:textFill>
        </w:rPr>
        <w:t>d）</w:t>
      </w:r>
    </w:p>
    <w:p w14:paraId="271D94D5">
      <w:pPr>
        <w:pStyle w:val="1771"/>
        <w:spacing w:line="360" w:lineRule="auto"/>
      </w:pPr>
      <w:r>
        <w:object>
          <v:shape id="_x0000_i1032" o:spt="75" type="#_x0000_t75" style="height:313.35pt;width:415.35pt;" o:ole="t" filled="f" o:preferrelative="t" stroked="f" coordsize="21600,21600">
            <v:path/>
            <v:fill on="f" focussize="0,0"/>
            <v:stroke on="f" joinstyle="miter"/>
            <v:imagedata r:id="rId56" o:title=""/>
            <o:lock v:ext="edit" aspectratio="t"/>
            <w10:wrap type="none"/>
            <w10:anchorlock/>
          </v:shape>
          <o:OLEObject Type="Embed" ProgID="Visio.Drawing.15" ShapeID="_x0000_i1032" DrawAspect="Content" ObjectID="_1468075732" r:id="rId55">
            <o:LockedField>false</o:LockedField>
          </o:OLEObject>
        </w:object>
      </w:r>
    </w:p>
    <w:p w14:paraId="26526B49">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图3.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3</w:t>
      </w:r>
      <w:r>
        <w:rPr>
          <w:rFonts w:hint="eastAsia" w:ascii="黑体" w:hAnsi="黑体" w:eastAsia="黑体"/>
          <w:b w:val="0"/>
          <w:snapToGrid w:val="0"/>
          <w:color w:val="000000" w:themeColor="text1"/>
          <w:szCs w:val="21"/>
          <w:lang w:val="en-US"/>
          <w14:textFill>
            <w14:solidFill>
              <w14:schemeClr w14:val="tx1"/>
            </w14:solidFill>
          </w14:textFill>
        </w:rPr>
        <w:t xml:space="preserve"> 始宁养殖场区最大日用水水平衡图（m</w:t>
      </w:r>
      <w:r>
        <w:rPr>
          <w:rFonts w:ascii="黑体" w:hAnsi="黑体" w:eastAsia="黑体"/>
          <w:b w:val="0"/>
          <w:snapToGrid w:val="0"/>
          <w:color w:val="000000" w:themeColor="text1"/>
          <w:szCs w:val="21"/>
          <w:vertAlign w:val="superscript"/>
          <w:lang w:val="en-US"/>
          <w14:textFill>
            <w14:solidFill>
              <w14:schemeClr w14:val="tx1"/>
            </w14:solidFill>
          </w14:textFill>
        </w:rPr>
        <w:t>3</w:t>
      </w:r>
      <w:r>
        <w:rPr>
          <w:rFonts w:ascii="黑体" w:hAnsi="黑体" w:eastAsia="黑体"/>
          <w:b w:val="0"/>
          <w:snapToGrid w:val="0"/>
          <w:color w:val="000000" w:themeColor="text1"/>
          <w:szCs w:val="21"/>
          <w:lang w:val="en-US"/>
          <w14:textFill>
            <w14:solidFill>
              <w14:schemeClr w14:val="tx1"/>
            </w14:solidFill>
          </w14:textFill>
        </w:rPr>
        <w:t>/</w:t>
      </w:r>
      <w:r>
        <w:rPr>
          <w:rFonts w:hint="eastAsia" w:ascii="黑体" w:hAnsi="黑体" w:eastAsia="黑体"/>
          <w:b w:val="0"/>
          <w:snapToGrid w:val="0"/>
          <w:color w:val="000000" w:themeColor="text1"/>
          <w:szCs w:val="21"/>
          <w:lang w:val="en-US"/>
          <w14:textFill>
            <w14:solidFill>
              <w14:schemeClr w14:val="tx1"/>
            </w14:solidFill>
          </w14:textFill>
        </w:rPr>
        <w:t>d）</w:t>
      </w:r>
    </w:p>
    <w:p w14:paraId="1F200ED9">
      <w:pPr>
        <w:pStyle w:val="1771"/>
        <w:spacing w:line="360" w:lineRule="auto"/>
      </w:pPr>
      <w:r>
        <w:object>
          <v:shape id="_x0000_i1033" o:spt="75" type="#_x0000_t75" style="height:313.35pt;width:415.35pt;" o:ole="t" filled="f" o:preferrelative="t" stroked="f" coordsize="21600,21600">
            <v:path/>
            <v:fill on="f" focussize="0,0"/>
            <v:stroke on="f" joinstyle="miter"/>
            <v:imagedata r:id="rId58" o:title=""/>
            <o:lock v:ext="edit" aspectratio="t"/>
            <w10:wrap type="none"/>
            <w10:anchorlock/>
          </v:shape>
          <o:OLEObject Type="Embed" ProgID="Visio.Drawing.15" ShapeID="_x0000_i1033" DrawAspect="Content" ObjectID="_1468075733" r:id="rId57">
            <o:LockedField>false</o:LockedField>
          </o:OLEObject>
        </w:object>
      </w:r>
    </w:p>
    <w:p w14:paraId="6969DF40">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图3.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4</w:t>
      </w:r>
      <w:r>
        <w:rPr>
          <w:rFonts w:hint="eastAsia" w:ascii="黑体" w:hAnsi="黑体" w:eastAsia="黑体"/>
          <w:b w:val="0"/>
          <w:snapToGrid w:val="0"/>
          <w:color w:val="000000" w:themeColor="text1"/>
          <w:szCs w:val="21"/>
          <w:lang w:val="en-US"/>
          <w14:textFill>
            <w14:solidFill>
              <w14:schemeClr w14:val="tx1"/>
            </w14:solidFill>
          </w14:textFill>
        </w:rPr>
        <w:t xml:space="preserve"> 百花、塘坝养殖场区最大年用水水平衡图（m</w:t>
      </w:r>
      <w:r>
        <w:rPr>
          <w:rFonts w:ascii="黑体" w:hAnsi="黑体" w:eastAsia="黑体"/>
          <w:b w:val="0"/>
          <w:snapToGrid w:val="0"/>
          <w:color w:val="000000" w:themeColor="text1"/>
          <w:szCs w:val="21"/>
          <w:vertAlign w:val="superscript"/>
          <w:lang w:val="en-US"/>
          <w14:textFill>
            <w14:solidFill>
              <w14:schemeClr w14:val="tx1"/>
            </w14:solidFill>
          </w14:textFill>
        </w:rPr>
        <w:t>3</w:t>
      </w:r>
      <w:r>
        <w:rPr>
          <w:rFonts w:ascii="黑体" w:hAnsi="黑体" w:eastAsia="黑体"/>
          <w:b w:val="0"/>
          <w:snapToGrid w:val="0"/>
          <w:color w:val="000000" w:themeColor="text1"/>
          <w:szCs w:val="21"/>
          <w:lang w:val="en-US"/>
          <w14:textFill>
            <w14:solidFill>
              <w14:schemeClr w14:val="tx1"/>
            </w14:solidFill>
          </w14:textFill>
        </w:rPr>
        <w:t>/</w:t>
      </w:r>
      <w:r>
        <w:rPr>
          <w:rFonts w:hint="eastAsia" w:ascii="黑体" w:hAnsi="黑体" w:eastAsia="黑体"/>
          <w:b w:val="0"/>
          <w:snapToGrid w:val="0"/>
          <w:color w:val="000000" w:themeColor="text1"/>
          <w:szCs w:val="21"/>
          <w:lang w:val="en-US"/>
          <w14:textFill>
            <w14:solidFill>
              <w14:schemeClr w14:val="tx1"/>
            </w14:solidFill>
          </w14:textFill>
        </w:rPr>
        <w:t>a）</w:t>
      </w:r>
    </w:p>
    <w:p w14:paraId="74CB1175">
      <w:pPr>
        <w:pStyle w:val="1771"/>
        <w:spacing w:line="360" w:lineRule="auto"/>
      </w:pPr>
      <w:r>
        <w:object>
          <v:shape id="_x0000_i1034" o:spt="75" type="#_x0000_t75" style="height:313.35pt;width:415.35pt;" o:ole="t" filled="f" o:preferrelative="t" stroked="f" coordsize="21600,21600">
            <v:path/>
            <v:fill on="f" focussize="0,0"/>
            <v:stroke on="f" joinstyle="miter"/>
            <v:imagedata r:id="rId60" o:title=""/>
            <o:lock v:ext="edit" aspectratio="t"/>
            <w10:wrap type="none"/>
            <w10:anchorlock/>
          </v:shape>
          <o:OLEObject Type="Embed" ProgID="Visio.Drawing.15" ShapeID="_x0000_i1034" DrawAspect="Content" ObjectID="_1468075734" r:id="rId59">
            <o:LockedField>false</o:LockedField>
          </o:OLEObject>
        </w:object>
      </w:r>
    </w:p>
    <w:p w14:paraId="2C03DAB2">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图3.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5</w:t>
      </w:r>
      <w:r>
        <w:rPr>
          <w:rFonts w:hint="eastAsia" w:ascii="黑体" w:hAnsi="黑体" w:eastAsia="黑体"/>
          <w:b w:val="0"/>
          <w:snapToGrid w:val="0"/>
          <w:color w:val="000000" w:themeColor="text1"/>
          <w:szCs w:val="21"/>
          <w:lang w:val="en-US"/>
          <w14:textFill>
            <w14:solidFill>
              <w14:schemeClr w14:val="tx1"/>
            </w14:solidFill>
          </w14:textFill>
        </w:rPr>
        <w:t xml:space="preserve"> 佛龙养殖场区最大年用水水平衡图（m</w:t>
      </w:r>
      <w:r>
        <w:rPr>
          <w:rFonts w:ascii="黑体" w:hAnsi="黑体" w:eastAsia="黑体"/>
          <w:b w:val="0"/>
          <w:snapToGrid w:val="0"/>
          <w:color w:val="000000" w:themeColor="text1"/>
          <w:szCs w:val="21"/>
          <w:vertAlign w:val="superscript"/>
          <w:lang w:val="en-US"/>
          <w14:textFill>
            <w14:solidFill>
              <w14:schemeClr w14:val="tx1"/>
            </w14:solidFill>
          </w14:textFill>
        </w:rPr>
        <w:t>3</w:t>
      </w:r>
      <w:r>
        <w:rPr>
          <w:rFonts w:ascii="黑体" w:hAnsi="黑体" w:eastAsia="黑体"/>
          <w:b w:val="0"/>
          <w:snapToGrid w:val="0"/>
          <w:color w:val="000000" w:themeColor="text1"/>
          <w:szCs w:val="21"/>
          <w:lang w:val="en-US"/>
          <w14:textFill>
            <w14:solidFill>
              <w14:schemeClr w14:val="tx1"/>
            </w14:solidFill>
          </w14:textFill>
        </w:rPr>
        <w:t>/</w:t>
      </w:r>
      <w:r>
        <w:rPr>
          <w:rFonts w:hint="eastAsia" w:ascii="黑体" w:hAnsi="黑体" w:eastAsia="黑体"/>
          <w:b w:val="0"/>
          <w:snapToGrid w:val="0"/>
          <w:color w:val="000000" w:themeColor="text1"/>
          <w:szCs w:val="21"/>
          <w:lang w:val="en-US"/>
          <w14:textFill>
            <w14:solidFill>
              <w14:schemeClr w14:val="tx1"/>
            </w14:solidFill>
          </w14:textFill>
        </w:rPr>
        <w:t>a）</w:t>
      </w:r>
    </w:p>
    <w:p w14:paraId="6FB38659">
      <w:pPr>
        <w:pStyle w:val="1771"/>
        <w:spacing w:line="360" w:lineRule="auto"/>
      </w:pPr>
      <w:r>
        <w:object>
          <v:shape id="_x0000_i1035" o:spt="75" type="#_x0000_t75" style="height:313.35pt;width:415.35pt;" o:ole="t" filled="f" o:preferrelative="t" stroked="f" coordsize="21600,21600">
            <v:path/>
            <v:fill on="f" focussize="0,0"/>
            <v:stroke on="f" joinstyle="miter"/>
            <v:imagedata r:id="rId62" o:title=""/>
            <o:lock v:ext="edit" aspectratio="t"/>
            <w10:wrap type="none"/>
            <w10:anchorlock/>
          </v:shape>
          <o:OLEObject Type="Embed" ProgID="Visio.Drawing.15" ShapeID="_x0000_i1035" DrawAspect="Content" ObjectID="_1468075735" r:id="rId61">
            <o:LockedField>false</o:LockedField>
          </o:OLEObject>
        </w:object>
      </w:r>
    </w:p>
    <w:p w14:paraId="5CBA40E2">
      <w:pPr>
        <w:pStyle w:val="1771"/>
        <w:spacing w:line="360" w:lineRule="auto"/>
        <w:rPr>
          <w:rFonts w:ascii="黑体" w:hAnsi="黑体" w:eastAsia="黑体"/>
          <w:b w:val="0"/>
          <w:snapToGrid w:val="0"/>
          <w:color w:val="000000" w:themeColor="text1"/>
          <w:szCs w:val="21"/>
          <w:lang w:val="en-US"/>
          <w14:textFill>
            <w14:solidFill>
              <w14:schemeClr w14:val="tx1"/>
            </w14:solidFill>
          </w14:textFill>
        </w:rPr>
      </w:pPr>
      <w:r>
        <w:rPr>
          <w:rFonts w:hint="eastAsia" w:ascii="黑体" w:hAnsi="黑体" w:eastAsia="黑体"/>
          <w:b w:val="0"/>
          <w:snapToGrid w:val="0"/>
          <w:color w:val="000000" w:themeColor="text1"/>
          <w:szCs w:val="21"/>
          <w14:textFill>
            <w14:solidFill>
              <w14:schemeClr w14:val="tx1"/>
            </w14:solidFill>
          </w14:textFill>
        </w:rPr>
        <w:t>图3.</w:t>
      </w:r>
      <w:r>
        <w:rPr>
          <w:rFonts w:hint="eastAsia" w:ascii="黑体" w:hAnsi="黑体" w:eastAsia="黑体"/>
          <w:b w:val="0"/>
          <w:snapToGrid w:val="0"/>
          <w:color w:val="000000" w:themeColor="text1"/>
          <w:szCs w:val="21"/>
          <w:lang w:val="en-US"/>
          <w14:textFill>
            <w14:solidFill>
              <w14:schemeClr w14:val="tx1"/>
            </w14:solidFill>
          </w14:textFill>
        </w:rPr>
        <w:t>10.3</w:t>
      </w:r>
      <w:r>
        <w:rPr>
          <w:rFonts w:hint="eastAsia" w:ascii="黑体" w:hAnsi="黑体" w:eastAsia="黑体"/>
          <w:b w:val="0"/>
          <w:snapToGrid w:val="0"/>
          <w:color w:val="000000" w:themeColor="text1"/>
          <w:szCs w:val="21"/>
          <w14:textFill>
            <w14:solidFill>
              <w14:schemeClr w14:val="tx1"/>
            </w14:solidFill>
          </w14:textFill>
        </w:rPr>
        <w:t>-</w:t>
      </w:r>
      <w:r>
        <w:rPr>
          <w:rFonts w:ascii="黑体" w:hAnsi="黑体" w:eastAsia="黑体"/>
          <w:b w:val="0"/>
          <w:snapToGrid w:val="0"/>
          <w:color w:val="000000" w:themeColor="text1"/>
          <w:szCs w:val="21"/>
          <w:lang w:val="en-US"/>
          <w14:textFill>
            <w14:solidFill>
              <w14:schemeClr w14:val="tx1"/>
            </w14:solidFill>
          </w14:textFill>
        </w:rPr>
        <w:t xml:space="preserve">6 </w:t>
      </w:r>
      <w:r>
        <w:rPr>
          <w:rFonts w:hint="eastAsia" w:ascii="黑体" w:hAnsi="黑体" w:eastAsia="黑体"/>
          <w:b w:val="0"/>
          <w:snapToGrid w:val="0"/>
          <w:color w:val="000000" w:themeColor="text1"/>
          <w:szCs w:val="21"/>
          <w:lang w:val="en-US"/>
          <w14:textFill>
            <w14:solidFill>
              <w14:schemeClr w14:val="tx1"/>
            </w14:solidFill>
          </w14:textFill>
        </w:rPr>
        <w:t>始宁养殖场区最大年用水水平衡图（m</w:t>
      </w:r>
      <w:r>
        <w:rPr>
          <w:rFonts w:ascii="黑体" w:hAnsi="黑体" w:eastAsia="黑体"/>
          <w:b w:val="0"/>
          <w:snapToGrid w:val="0"/>
          <w:color w:val="000000" w:themeColor="text1"/>
          <w:szCs w:val="21"/>
          <w:vertAlign w:val="superscript"/>
          <w:lang w:val="en-US"/>
          <w14:textFill>
            <w14:solidFill>
              <w14:schemeClr w14:val="tx1"/>
            </w14:solidFill>
          </w14:textFill>
        </w:rPr>
        <w:t>3</w:t>
      </w:r>
      <w:r>
        <w:rPr>
          <w:rFonts w:ascii="黑体" w:hAnsi="黑体" w:eastAsia="黑体"/>
          <w:b w:val="0"/>
          <w:snapToGrid w:val="0"/>
          <w:color w:val="000000" w:themeColor="text1"/>
          <w:szCs w:val="21"/>
          <w:lang w:val="en-US"/>
          <w14:textFill>
            <w14:solidFill>
              <w14:schemeClr w14:val="tx1"/>
            </w14:solidFill>
          </w14:textFill>
        </w:rPr>
        <w:t>/</w:t>
      </w:r>
      <w:r>
        <w:rPr>
          <w:rFonts w:hint="eastAsia" w:ascii="黑体" w:hAnsi="黑体" w:eastAsia="黑体"/>
          <w:b w:val="0"/>
          <w:snapToGrid w:val="0"/>
          <w:color w:val="000000" w:themeColor="text1"/>
          <w:szCs w:val="21"/>
          <w:lang w:val="en-US"/>
          <w14:textFill>
            <w14:solidFill>
              <w14:schemeClr w14:val="tx1"/>
            </w14:solidFill>
          </w14:textFill>
        </w:rPr>
        <w:t>a）</w:t>
      </w:r>
    </w:p>
    <w:p w14:paraId="373F0B8D">
      <w:pPr>
        <w:pStyle w:val="752"/>
        <w:rPr>
          <w:rFonts w:cs="Times New Roman"/>
          <w:color w:val="000000" w:themeColor="text1"/>
          <w14:textFill>
            <w14:solidFill>
              <w14:schemeClr w14:val="tx1"/>
            </w14:solidFill>
          </w14:textFill>
        </w:rPr>
      </w:pPr>
      <w:bookmarkStart w:id="404" w:name="_Toc29052"/>
      <w:bookmarkStart w:id="405" w:name="_Toc233380181"/>
      <w:r>
        <w:rPr>
          <w:rFonts w:cs="Times New Roman"/>
          <w:color w:val="000000" w:themeColor="text1"/>
          <w14:textFill>
            <w14:solidFill>
              <w14:schemeClr w14:val="tx1"/>
            </w14:solidFill>
          </w14:textFill>
        </w:rPr>
        <w:t>3.10.4运营期污染物产生、排放及治理措施</w:t>
      </w:r>
      <w:bookmarkEnd w:id="404"/>
      <w:bookmarkEnd w:id="405"/>
    </w:p>
    <w:p w14:paraId="08AAEA8E">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3.10.4.1废水产生、排放及治理措施</w:t>
      </w:r>
    </w:p>
    <w:bookmarkEnd w:id="347"/>
    <w:p w14:paraId="1FF50442">
      <w:pPr>
        <w:pStyle w:val="1771"/>
        <w:spacing w:line="360" w:lineRule="auto"/>
        <w:ind w:firstLine="480" w:firstLineChars="200"/>
        <w:jc w:val="both"/>
        <w:rPr>
          <w:b w:val="0"/>
          <w:bCs/>
          <w:color w:val="000000" w:themeColor="text1"/>
          <w:sz w:val="24"/>
          <w:szCs w:val="24"/>
          <w:lang w:val="en-US"/>
          <w14:textFill>
            <w14:solidFill>
              <w14:schemeClr w14:val="tx1"/>
            </w14:solidFill>
          </w14:textFill>
        </w:rPr>
      </w:pPr>
      <w:bookmarkStart w:id="406" w:name="_Hlk11683415"/>
      <w:r>
        <w:rPr>
          <w:b w:val="0"/>
          <w:bCs/>
          <w:snapToGrid w:val="0"/>
          <w:color w:val="000000" w:themeColor="text1"/>
          <w:sz w:val="24"/>
          <w:szCs w:val="24"/>
          <w:lang w:val="en-US"/>
          <w14:textFill>
            <w14:solidFill>
              <w14:schemeClr w14:val="tx1"/>
            </w14:solidFill>
          </w14:textFill>
        </w:rPr>
        <w:t>本项目废水主要包括职工生活污水、牛舍</w:t>
      </w:r>
      <w:r>
        <w:rPr>
          <w:b w:val="0"/>
          <w:bCs/>
          <w:color w:val="000000" w:themeColor="text1"/>
          <w:sz w:val="24"/>
          <w:szCs w:val="24"/>
          <w:lang w:val="en-US"/>
          <w14:textFill>
            <w14:solidFill>
              <w14:schemeClr w14:val="tx1"/>
            </w14:solidFill>
          </w14:textFill>
        </w:rPr>
        <w:t>冲洗废水。</w:t>
      </w:r>
    </w:p>
    <w:p w14:paraId="15B11412">
      <w:pPr>
        <w:pStyle w:val="1771"/>
        <w:spacing w:line="360" w:lineRule="auto"/>
        <w:ind w:firstLine="482" w:firstLineChars="200"/>
        <w:jc w:val="both"/>
        <w:rPr>
          <w:snapToGrid w:val="0"/>
          <w:sz w:val="24"/>
          <w:szCs w:val="24"/>
          <w:lang w:val="en-US"/>
        </w:rPr>
      </w:pPr>
      <w:r>
        <w:rPr>
          <w:snapToGrid w:val="0"/>
          <w:sz w:val="24"/>
          <w:szCs w:val="24"/>
          <w:lang w:val="en-US"/>
        </w:rPr>
        <w:t>1、废水产生情况</w:t>
      </w:r>
    </w:p>
    <w:p w14:paraId="07C52084">
      <w:pPr>
        <w:pStyle w:val="1771"/>
        <w:spacing w:line="360" w:lineRule="auto"/>
        <w:ind w:firstLine="480" w:firstLineChars="200"/>
        <w:jc w:val="both"/>
        <w:rPr>
          <w:b w:val="0"/>
          <w:bCs/>
          <w:sz w:val="24"/>
          <w:szCs w:val="24"/>
          <w:lang w:val="en-US"/>
        </w:rPr>
      </w:pPr>
      <w:r>
        <w:rPr>
          <w:b w:val="0"/>
          <w:bCs/>
          <w:sz w:val="24"/>
          <w:szCs w:val="24"/>
          <w:lang w:val="en-US"/>
        </w:rPr>
        <w:t>项目采用发酵床养殖，牛尿直接排到发酵垫料上，垫料里富含微生物菌，发酵垫料通过牛的踩踏和人工辅助翻耙，使粪尿和垫料充分混合，让有益微生物菌种发酵，使粪、尿有机物质分解和转化，牛尿部分蒸发，部分被垫料吸收，无养殖废水产生。</w:t>
      </w:r>
    </w:p>
    <w:p w14:paraId="76E4435E">
      <w:pPr>
        <w:pStyle w:val="1771"/>
        <w:spacing w:line="360" w:lineRule="auto"/>
        <w:ind w:firstLine="480" w:firstLineChars="200"/>
        <w:jc w:val="both"/>
        <w:rPr>
          <w:b w:val="0"/>
          <w:bCs/>
          <w:sz w:val="24"/>
          <w:szCs w:val="24"/>
          <w:lang w:val="en-US"/>
        </w:rPr>
      </w:pPr>
      <w:r>
        <w:rPr>
          <w:b w:val="0"/>
          <w:bCs/>
          <w:sz w:val="24"/>
          <w:szCs w:val="24"/>
          <w:lang w:val="en-US"/>
        </w:rPr>
        <w:t>项目实行雨污分流制。项目废水主要为初期雨水和职工生活污水。</w:t>
      </w:r>
    </w:p>
    <w:p w14:paraId="6F791C2E">
      <w:pPr>
        <w:spacing w:line="360" w:lineRule="auto"/>
        <w:ind w:firstLine="480" w:firstLineChars="200"/>
        <w:jc w:val="both"/>
        <w:rPr>
          <w:bCs/>
          <w:sz w:val="24"/>
        </w:rPr>
      </w:pPr>
      <w:r>
        <w:rPr>
          <w:bCs/>
          <w:sz w:val="24"/>
        </w:rPr>
        <w:t>（1）职工生活废水</w:t>
      </w:r>
    </w:p>
    <w:p w14:paraId="52931585">
      <w:pPr>
        <w:spacing w:line="360" w:lineRule="auto"/>
        <w:ind w:firstLine="480" w:firstLineChars="200"/>
        <w:jc w:val="both"/>
        <w:rPr>
          <w:bCs/>
          <w:color w:val="000000" w:themeColor="text1"/>
          <w:sz w:val="24"/>
          <w14:textFill>
            <w14:solidFill>
              <w14:schemeClr w14:val="tx1"/>
            </w14:solidFill>
          </w14:textFill>
        </w:rPr>
      </w:pPr>
      <w:r>
        <w:rPr>
          <w:bCs/>
          <w:sz w:val="24"/>
        </w:rPr>
        <w:t>本项目建成后，本项目建成后，场区内设置有</w:t>
      </w:r>
      <w:r>
        <w:rPr>
          <w:bCs/>
          <w:color w:val="000000" w:themeColor="text1"/>
          <w:sz w:val="24"/>
          <w14:textFill>
            <w14:solidFill>
              <w14:schemeClr w14:val="tx1"/>
            </w14:solidFill>
          </w14:textFill>
        </w:rPr>
        <w:t>职工食堂和倒班宿舍，劳动定员50人。根据</w:t>
      </w:r>
      <w:bookmarkStart w:id="407" w:name="OLE_LINK24"/>
      <w:bookmarkStart w:id="408" w:name="OLE_LINK123"/>
      <w:r>
        <w:rPr>
          <w:bCs/>
          <w:color w:val="000000" w:themeColor="text1"/>
          <w:sz w:val="24"/>
          <w14:textFill>
            <w14:solidFill>
              <w14:schemeClr w14:val="tx1"/>
            </w14:solidFill>
          </w14:textFill>
        </w:rPr>
        <w:t>《四川省用水定额》川府函〔2021〕8号</w:t>
      </w:r>
      <w:bookmarkEnd w:id="407"/>
      <w:bookmarkEnd w:id="408"/>
      <w:r>
        <w:rPr>
          <w:bCs/>
          <w:color w:val="000000" w:themeColor="text1"/>
          <w:sz w:val="24"/>
          <w14:textFill>
            <w14:solidFill>
              <w14:schemeClr w14:val="tx1"/>
            </w14:solidFill>
          </w14:textFill>
        </w:rPr>
        <w:t>，并结合项目实际情况，项目员工</w:t>
      </w:r>
      <w:r>
        <w:rPr>
          <w:rFonts w:hint="eastAsia"/>
          <w:bCs/>
          <w:color w:val="000000" w:themeColor="text1"/>
          <w:sz w:val="24"/>
          <w14:textFill>
            <w14:solidFill>
              <w14:schemeClr w14:val="tx1"/>
            </w14:solidFill>
          </w14:textFill>
        </w:rPr>
        <w:t>均在场区食宿</w:t>
      </w:r>
      <w:r>
        <w:rPr>
          <w:bCs/>
          <w:color w:val="000000" w:themeColor="text1"/>
          <w:sz w:val="24"/>
          <w14:textFill>
            <w14:solidFill>
              <w14:schemeClr w14:val="tx1"/>
            </w14:solidFill>
          </w14:textFill>
        </w:rPr>
        <w:t>，在厂区</w:t>
      </w:r>
      <w:r>
        <w:rPr>
          <w:rFonts w:hint="eastAsia"/>
          <w:bCs/>
          <w:color w:val="000000" w:themeColor="text1"/>
          <w:sz w:val="24"/>
          <w14:textFill>
            <w14:solidFill>
              <w14:schemeClr w14:val="tx1"/>
            </w14:solidFill>
          </w14:textFill>
        </w:rPr>
        <w:t>食</w:t>
      </w:r>
      <w:r>
        <w:rPr>
          <w:bCs/>
          <w:color w:val="000000" w:themeColor="text1"/>
          <w:sz w:val="24"/>
          <w14:textFill>
            <w14:solidFill>
              <w14:schemeClr w14:val="tx1"/>
            </w14:solidFill>
          </w14:textFill>
        </w:rPr>
        <w:t>宿</w:t>
      </w:r>
      <w:r>
        <w:rPr>
          <w:rFonts w:hint="eastAsia"/>
          <w:bCs/>
          <w:color w:val="000000" w:themeColor="text1"/>
          <w:sz w:val="24"/>
          <w14:textFill>
            <w14:solidFill>
              <w14:schemeClr w14:val="tx1"/>
            </w14:solidFill>
          </w14:textFill>
        </w:rPr>
        <w:t>（包含食堂用水）</w:t>
      </w:r>
      <w:r>
        <w:rPr>
          <w:bCs/>
          <w:color w:val="000000" w:themeColor="text1"/>
          <w:sz w:val="24"/>
          <w14:textFill>
            <w14:solidFill>
              <w14:schemeClr w14:val="tx1"/>
            </w14:solidFill>
          </w14:textFill>
        </w:rPr>
        <w:t>的职工日常办公及生活用水量按130L/人·d计，</w:t>
      </w:r>
      <w:r>
        <w:rPr>
          <w:color w:val="000000" w:themeColor="text1"/>
          <w:sz w:val="24"/>
          <w14:textFill>
            <w14:solidFill>
              <w14:schemeClr w14:val="tx1"/>
            </w14:solidFill>
          </w14:textFill>
        </w:rPr>
        <w:t>则本项目</w:t>
      </w:r>
      <w:r>
        <w:rPr>
          <w:bCs/>
          <w:color w:val="000000" w:themeColor="text1"/>
          <w:sz w:val="24"/>
          <w14:textFill>
            <w14:solidFill>
              <w14:schemeClr w14:val="tx1"/>
            </w14:solidFill>
          </w14:textFill>
        </w:rPr>
        <w:t>全场办公及生活用水量为6.5m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/d（2372.5m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/a）。产污系数按85%计，则生活污水产生量为5.525m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/d（2016.63m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/a）。</w:t>
      </w:r>
    </w:p>
    <w:p w14:paraId="143B13EA">
      <w:pPr>
        <w:spacing w:line="360" w:lineRule="auto"/>
        <w:ind w:firstLine="480" w:firstLineChars="200"/>
        <w:jc w:val="both"/>
        <w:rPr>
          <w:color w:val="000000" w:themeColor="text1"/>
          <w:kern w:val="0"/>
          <w:sz w:val="24"/>
          <w:lang w:bidi="ar"/>
          <w14:textFill>
            <w14:solidFill>
              <w14:schemeClr w14:val="tx1"/>
            </w14:solidFill>
          </w14:textFill>
        </w:rPr>
      </w:pPr>
      <w:bookmarkStart w:id="409" w:name="OLE_LINK3"/>
      <w:r>
        <w:rPr>
          <w:bCs/>
          <w:color w:val="000000" w:themeColor="text1"/>
          <w:sz w:val="24"/>
          <w14:textFill>
            <w14:solidFill>
              <w14:schemeClr w14:val="tx1"/>
            </w14:solidFill>
          </w14:textFill>
        </w:rPr>
        <w:t>食堂废水首先经隔油池（</w:t>
      </w:r>
      <w:r>
        <w:rPr>
          <w:rFonts w:hint="eastAsia"/>
          <w:bCs/>
          <w:color w:val="000000" w:themeColor="text1"/>
          <w:sz w:val="24"/>
          <w14:textFill>
            <w14:solidFill>
              <w14:schemeClr w14:val="tx1"/>
            </w14:solidFill>
          </w14:textFill>
        </w:rPr>
        <w:t>每个养殖场区设置</w:t>
      </w:r>
      <w:r>
        <w:rPr>
          <w:bCs/>
          <w:color w:val="000000" w:themeColor="text1"/>
          <w:sz w:val="24"/>
          <w14:textFill>
            <w14:solidFill>
              <w14:schemeClr w14:val="tx1"/>
            </w14:solidFill>
          </w14:textFill>
        </w:rPr>
        <w:t>2m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）处理后同</w:t>
      </w:r>
      <w:r>
        <w:rPr>
          <w:color w:val="000000" w:themeColor="text1"/>
          <w:sz w:val="24"/>
          <w14:textFill>
            <w14:solidFill>
              <w14:schemeClr w14:val="tx1"/>
            </w14:solidFill>
          </w14:textFill>
        </w:rPr>
        <w:t>生活污水一起经化粪池收集处理后外运用作农肥</w:t>
      </w:r>
      <w:r>
        <w:rPr>
          <w:color w:val="000000" w:themeColor="text1"/>
          <w:spacing w:val="-1"/>
          <w:sz w:val="24"/>
          <w14:textFill>
            <w14:solidFill>
              <w14:schemeClr w14:val="tx1"/>
            </w14:solidFill>
          </w14:textFill>
        </w:rPr>
        <w:t>。</w:t>
      </w:r>
      <w:r>
        <w:rPr>
          <w:color w:val="000000" w:themeColor="text1"/>
          <w:kern w:val="0"/>
          <w:sz w:val="24"/>
          <w:lang w:bidi="ar"/>
          <w14:textFill>
            <w14:solidFill>
              <w14:schemeClr w14:val="tx1"/>
            </w14:solidFill>
          </w14:textFill>
        </w:rPr>
        <w:t>生活污水水质参考《排放源统计调查产排污核算方法和系数手册》（环境部公告2021年第24号）中《生活污染源产排污系数手册》相关内容，项目所在区域四川为六区，主要污染物及其浓度为COD325mg/L、BOD</w:t>
      </w:r>
      <w:r>
        <w:rPr>
          <w:color w:val="000000" w:themeColor="text1"/>
          <w:kern w:val="0"/>
          <w:sz w:val="24"/>
          <w:vertAlign w:val="subscript"/>
          <w:lang w:bidi="ar"/>
          <w14:textFill>
            <w14:solidFill>
              <w14:schemeClr w14:val="tx1"/>
            </w14:solidFill>
          </w14:textFill>
        </w:rPr>
        <w:t>5</w:t>
      </w:r>
      <w:r>
        <w:rPr>
          <w:color w:val="000000" w:themeColor="text1"/>
          <w:kern w:val="0"/>
          <w:sz w:val="24"/>
          <w:lang w:bidi="ar"/>
          <w14:textFill>
            <w14:solidFill>
              <w14:schemeClr w14:val="tx1"/>
            </w14:solidFill>
          </w14:textFill>
        </w:rPr>
        <w:t>200mg/L、SS300mg/L、NH</w:t>
      </w:r>
      <w:r>
        <w:rPr>
          <w:color w:val="000000" w:themeColor="text1"/>
          <w:kern w:val="0"/>
          <w:sz w:val="24"/>
          <w:vertAlign w:val="subscript"/>
          <w:lang w:bidi="ar"/>
          <w14:textFill>
            <w14:solidFill>
              <w14:schemeClr w14:val="tx1"/>
            </w14:solidFill>
          </w14:textFill>
        </w:rPr>
        <w:t>3</w:t>
      </w:r>
      <w:r>
        <w:rPr>
          <w:color w:val="000000" w:themeColor="text1"/>
          <w:kern w:val="0"/>
          <w:sz w:val="24"/>
          <w:lang w:bidi="ar"/>
          <w14:textFill>
            <w14:solidFill>
              <w14:schemeClr w14:val="tx1"/>
            </w14:solidFill>
          </w14:textFill>
        </w:rPr>
        <w:t>-N37.7mg/L。</w:t>
      </w:r>
    </w:p>
    <w:bookmarkEnd w:id="409"/>
    <w:p w14:paraId="253A566C">
      <w:pPr>
        <w:spacing w:line="360" w:lineRule="auto"/>
        <w:ind w:firstLine="480" w:firstLineChars="200"/>
        <w:jc w:val="both"/>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（2）初期雨水</w:t>
      </w:r>
    </w:p>
    <w:p w14:paraId="606E1322">
      <w:pPr>
        <w:spacing w:line="360" w:lineRule="auto"/>
        <w:ind w:firstLine="480" w:firstLineChars="200"/>
        <w:jc w:val="both"/>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牛舍顶棚的干净雨水经过雨水管排出项目区。项目区裸露硬化区及道路面积约7000m</w:t>
      </w:r>
      <w:r>
        <w:rPr>
          <w:color w:val="000000" w:themeColor="text1"/>
          <w:kern w:val="0"/>
          <w:sz w:val="24"/>
          <w:vertAlign w:val="superscript"/>
          <w:lang w:bidi="ar"/>
          <w14:textFill>
            <w14:solidFill>
              <w14:schemeClr w14:val="tx1"/>
            </w14:solidFill>
          </w14:textFill>
        </w:rPr>
        <w:t>2</w:t>
      </w:r>
      <w:r>
        <w:rPr>
          <w:color w:val="000000" w:themeColor="text1"/>
          <w:kern w:val="0"/>
          <w:sz w:val="24"/>
          <w:lang w:bidi="ar"/>
          <w14:textFill>
            <w14:solidFill>
              <w14:schemeClr w14:val="tx1"/>
            </w14:solidFill>
          </w14:textFill>
        </w:rPr>
        <w:t>。考虑初期雨水达到15mm径流深后，地面污染物基本被冲刷殆尽，本次环评取15mm径流深计算初期雨水量，经计算，项目区初期雨水量约为200m</w:t>
      </w:r>
      <w:r>
        <w:rPr>
          <w:color w:val="000000" w:themeColor="text1"/>
          <w:kern w:val="0"/>
          <w:sz w:val="24"/>
          <w:vertAlign w:val="superscript"/>
          <w:lang w:bidi="ar"/>
          <w14:textFill>
            <w14:solidFill>
              <w14:schemeClr w14:val="tx1"/>
            </w14:solidFill>
          </w14:textFill>
        </w:rPr>
        <w:t>3</w:t>
      </w:r>
      <w:r>
        <w:rPr>
          <w:color w:val="000000" w:themeColor="text1"/>
          <w:kern w:val="0"/>
          <w:sz w:val="24"/>
          <w:lang w:bidi="ar"/>
          <w14:textFill>
            <w14:solidFill>
              <w14:schemeClr w14:val="tx1"/>
            </w14:solidFill>
          </w14:textFill>
        </w:rPr>
        <w:t>/次，初期雨水经雨水收集沟收集后进入初期雨水收集池（100m</w:t>
      </w:r>
      <w:r>
        <w:rPr>
          <w:color w:val="000000" w:themeColor="text1"/>
          <w:kern w:val="0"/>
          <w:sz w:val="24"/>
          <w:vertAlign w:val="superscript"/>
          <w:lang w:bidi="ar"/>
          <w14:textFill>
            <w14:solidFill>
              <w14:schemeClr w14:val="tx1"/>
            </w14:solidFill>
          </w14:textFill>
        </w:rPr>
        <w:t>3</w:t>
      </w:r>
      <w:r>
        <w:rPr>
          <w:color w:val="000000" w:themeColor="text1"/>
          <w:kern w:val="0"/>
          <w:sz w:val="24"/>
          <w:lang w:bidi="ar"/>
          <w14:textFill>
            <w14:solidFill>
              <w14:schemeClr w14:val="tx1"/>
            </w14:solidFill>
          </w14:textFill>
        </w:rPr>
        <w:t>）沉淀处理。</w:t>
      </w:r>
    </w:p>
    <w:p w14:paraId="5E21D4AE">
      <w:pPr>
        <w:spacing w:line="360" w:lineRule="auto"/>
        <w:ind w:firstLine="480" w:firstLineChars="200"/>
        <w:jc w:val="both"/>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项目初期雨水水质较为简单，主要为SS，沉淀后用于项目区绿化。项目设计有100m</w:t>
      </w:r>
      <w:r>
        <w:rPr>
          <w:color w:val="000000" w:themeColor="text1"/>
          <w:kern w:val="0"/>
          <w:sz w:val="24"/>
          <w:vertAlign w:val="superscript"/>
          <w:lang w:bidi="ar"/>
          <w14:textFill>
            <w14:solidFill>
              <w14:schemeClr w14:val="tx1"/>
            </w14:solidFill>
          </w14:textFill>
        </w:rPr>
        <w:t>3</w:t>
      </w:r>
      <w:r>
        <w:rPr>
          <w:color w:val="000000" w:themeColor="text1"/>
          <w:kern w:val="0"/>
          <w:sz w:val="24"/>
          <w:lang w:bidi="ar"/>
          <w14:textFill>
            <w14:solidFill>
              <w14:schemeClr w14:val="tx1"/>
            </w14:solidFill>
          </w14:textFill>
        </w:rPr>
        <w:t>初期雨水收集池暂存场内初期雨水，初期雨水收集池可储存雨天无法用于浇灌的废水，可保证雨天时废水的存储。考虑初期雨水产生情况存在不确定性，本次评价初期雨水不计入水平衡。</w:t>
      </w:r>
    </w:p>
    <w:p w14:paraId="3977AD95">
      <w:pPr>
        <w:spacing w:line="360" w:lineRule="auto"/>
        <w:ind w:left="482"/>
        <w:rPr>
          <w:b/>
          <w:bCs/>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2、</w:t>
      </w:r>
      <w:r>
        <w:rPr>
          <w:b/>
          <w:bCs/>
          <w:color w:val="000000" w:themeColor="text1"/>
          <w:sz w:val="24"/>
          <w:szCs w:val="22"/>
          <w14:textFill>
            <w14:solidFill>
              <w14:schemeClr w14:val="tx1"/>
            </w14:solidFill>
          </w14:textFill>
        </w:rPr>
        <w:t>废水污染防治措施</w:t>
      </w:r>
    </w:p>
    <w:p w14:paraId="1D1B1FC8">
      <w:pPr>
        <w:spacing w:line="360" w:lineRule="auto"/>
        <w:ind w:firstLine="480" w:firstLineChars="200"/>
        <w:jc w:val="both"/>
        <w:rPr>
          <w:color w:val="000000" w:themeColor="text1"/>
          <w:kern w:val="0"/>
          <w:sz w:val="24"/>
          <w:lang w:bidi="ar"/>
          <w14:textFill>
            <w14:solidFill>
              <w14:schemeClr w14:val="tx1"/>
            </w14:solidFill>
          </w14:textFill>
        </w:rPr>
      </w:pPr>
      <w:r>
        <w:rPr>
          <w:rFonts w:hint="eastAsia"/>
          <w:bCs/>
          <w:color w:val="000000" w:themeColor="text1"/>
          <w:sz w:val="24"/>
          <w14:textFill>
            <w14:solidFill>
              <w14:schemeClr w14:val="tx1"/>
            </w14:solidFill>
          </w14:textFill>
        </w:rPr>
        <w:t>各养殖场区</w:t>
      </w:r>
      <w:r>
        <w:rPr>
          <w:bCs/>
          <w:color w:val="000000" w:themeColor="text1"/>
          <w:sz w:val="24"/>
          <w14:textFill>
            <w14:solidFill>
              <w14:schemeClr w14:val="tx1"/>
            </w14:solidFill>
          </w14:textFill>
        </w:rPr>
        <w:t>生活污水中食堂废水首先经隔油池（</w:t>
      </w:r>
      <w:r>
        <w:rPr>
          <w:rFonts w:hint="eastAsia"/>
          <w:bCs/>
          <w:color w:val="000000" w:themeColor="text1"/>
          <w:sz w:val="24"/>
          <w14:textFill>
            <w14:solidFill>
              <w14:schemeClr w14:val="tx1"/>
            </w14:solidFill>
          </w14:textFill>
        </w:rPr>
        <w:t>每个养殖场区设置</w:t>
      </w:r>
      <w:r>
        <w:rPr>
          <w:bCs/>
          <w:color w:val="000000" w:themeColor="text1"/>
          <w:sz w:val="24"/>
          <w14:textFill>
            <w14:solidFill>
              <w14:schemeClr w14:val="tx1"/>
            </w14:solidFill>
          </w14:textFill>
        </w:rPr>
        <w:t>2m</w:t>
      </w:r>
      <w:r>
        <w:rPr>
          <w:bCs/>
          <w:color w:val="000000" w:themeColor="text1"/>
          <w:sz w:val="24"/>
          <w:vertAlign w:val="superscript"/>
          <w14:textFill>
            <w14:solidFill>
              <w14:schemeClr w14:val="tx1"/>
            </w14:solidFill>
          </w14:textFill>
        </w:rPr>
        <w:t>3</w:t>
      </w:r>
      <w:r>
        <w:rPr>
          <w:bCs/>
          <w:color w:val="000000" w:themeColor="text1"/>
          <w:sz w:val="24"/>
          <w14:textFill>
            <w14:solidFill>
              <w14:schemeClr w14:val="tx1"/>
            </w14:solidFill>
          </w14:textFill>
        </w:rPr>
        <w:t>）处理后同</w:t>
      </w:r>
      <w:r>
        <w:rPr>
          <w:color w:val="000000" w:themeColor="text1"/>
          <w:sz w:val="24"/>
          <w14:textFill>
            <w14:solidFill>
              <w14:schemeClr w14:val="tx1"/>
            </w14:solidFill>
          </w14:textFill>
        </w:rPr>
        <w:t>生活污水一起经化粪池收集处理后用作</w:t>
      </w:r>
      <w:r>
        <w:rPr>
          <w:rFonts w:hint="eastAsia"/>
          <w:color w:val="000000" w:themeColor="text1"/>
          <w:sz w:val="24"/>
          <w14:textFill>
            <w14:solidFill>
              <w14:schemeClr w14:val="tx1"/>
            </w14:solidFill>
          </w14:textFill>
        </w:rPr>
        <w:t>场区绿化</w:t>
      </w:r>
      <w:r>
        <w:rPr>
          <w:color w:val="000000" w:themeColor="text1"/>
          <w:spacing w:val="-1"/>
          <w:sz w:val="24"/>
          <w14:textFill>
            <w14:solidFill>
              <w14:schemeClr w14:val="tx1"/>
            </w14:solidFill>
          </w14:textFill>
        </w:rPr>
        <w:t>。</w:t>
      </w:r>
      <w:r>
        <w:rPr>
          <w:color w:val="000000" w:themeColor="text1"/>
          <w:kern w:val="0"/>
          <w:sz w:val="24"/>
          <w:lang w:bidi="ar"/>
          <w14:textFill>
            <w14:solidFill>
              <w14:schemeClr w14:val="tx1"/>
            </w14:solidFill>
          </w14:textFill>
        </w:rPr>
        <w:t>生活污水水质参考《排放源统计调查产排污核算方法和系数手册》（环境部公告2021年第24号）中《生活污染源产排污系数手册》相关内容，项目所在区域四川为六区，主要污染物及其浓度为COD325mg/L、BOD</w:t>
      </w:r>
      <w:r>
        <w:rPr>
          <w:color w:val="000000" w:themeColor="text1"/>
          <w:kern w:val="0"/>
          <w:sz w:val="24"/>
          <w:vertAlign w:val="subscript"/>
          <w:lang w:bidi="ar"/>
          <w14:textFill>
            <w14:solidFill>
              <w14:schemeClr w14:val="tx1"/>
            </w14:solidFill>
          </w14:textFill>
        </w:rPr>
        <w:t>5</w:t>
      </w:r>
      <w:r>
        <w:rPr>
          <w:color w:val="000000" w:themeColor="text1"/>
          <w:kern w:val="0"/>
          <w:sz w:val="24"/>
          <w:lang w:bidi="ar"/>
          <w14:textFill>
            <w14:solidFill>
              <w14:schemeClr w14:val="tx1"/>
            </w14:solidFill>
          </w14:textFill>
        </w:rPr>
        <w:t>200mg/L、SS300mg/L、NH</w:t>
      </w:r>
      <w:r>
        <w:rPr>
          <w:color w:val="000000" w:themeColor="text1"/>
          <w:kern w:val="0"/>
          <w:sz w:val="24"/>
          <w:vertAlign w:val="subscript"/>
          <w:lang w:bidi="ar"/>
          <w14:textFill>
            <w14:solidFill>
              <w14:schemeClr w14:val="tx1"/>
            </w14:solidFill>
          </w14:textFill>
        </w:rPr>
        <w:t>3</w:t>
      </w:r>
      <w:r>
        <w:rPr>
          <w:color w:val="000000" w:themeColor="text1"/>
          <w:kern w:val="0"/>
          <w:sz w:val="24"/>
          <w:lang w:bidi="ar"/>
          <w14:textFill>
            <w14:solidFill>
              <w14:schemeClr w14:val="tx1"/>
            </w14:solidFill>
          </w14:textFill>
        </w:rPr>
        <w:t>-N37.7mg/L。</w:t>
      </w:r>
    </w:p>
    <w:p w14:paraId="283936AD">
      <w:pPr>
        <w:adjustRightInd w:val="0"/>
        <w:snapToGrid w:val="0"/>
        <w:spacing w:line="360" w:lineRule="auto"/>
        <w:ind w:firstLine="480" w:firstLineChars="200"/>
        <w:rPr>
          <w:color w:val="000000" w:themeColor="text1"/>
          <w:kern w:val="0"/>
          <w:sz w:val="24"/>
          <w:lang w:bidi="ar"/>
          <w14:textFill>
            <w14:solidFill>
              <w14:schemeClr w14:val="tx1"/>
            </w14:solidFill>
          </w14:textFill>
        </w:rPr>
      </w:pPr>
      <w:r>
        <w:rPr>
          <w:color w:val="000000" w:themeColor="text1"/>
          <w:sz w:val="24"/>
          <w:szCs w:val="22"/>
          <w14:textFill>
            <w14:solidFill>
              <w14:schemeClr w14:val="tx1"/>
            </w14:solidFill>
          </w14:textFill>
        </w:rPr>
        <w:t>项目</w:t>
      </w:r>
      <w:r>
        <w:rPr>
          <w:rFonts w:hint="eastAsia"/>
          <w:color w:val="000000" w:themeColor="text1"/>
          <w:sz w:val="24"/>
          <w:szCs w:val="22"/>
          <w14:textFill>
            <w14:solidFill>
              <w14:schemeClr w14:val="tx1"/>
            </w14:solidFill>
          </w14:textFill>
        </w:rPr>
        <w:t>场区绿化面积较大</w:t>
      </w:r>
      <w:r>
        <w:rPr>
          <w:color w:val="000000" w:themeColor="text1"/>
          <w:sz w:val="24"/>
          <w:szCs w:val="22"/>
          <w14:textFill>
            <w14:solidFill>
              <w14:schemeClr w14:val="tx1"/>
            </w14:solidFill>
          </w14:textFill>
        </w:rPr>
        <w:t>，生活污水能完全被消纳</w:t>
      </w:r>
      <w:r>
        <w:rPr>
          <w:rFonts w:hint="eastAsia"/>
          <w:color w:val="000000" w:themeColor="text1"/>
          <w:sz w:val="24"/>
          <w:szCs w:val="22"/>
          <w14:textFill>
            <w14:solidFill>
              <w14:schemeClr w14:val="tx1"/>
            </w14:solidFill>
          </w14:textFill>
        </w:rPr>
        <w:t>，</w:t>
      </w:r>
      <w:r>
        <w:rPr>
          <w:color w:val="000000" w:themeColor="text1"/>
          <w:sz w:val="24"/>
          <w:szCs w:val="22"/>
          <w14:textFill>
            <w14:solidFill>
              <w14:schemeClr w14:val="tx1"/>
            </w14:solidFill>
          </w14:textFill>
        </w:rPr>
        <w:t>项目</w:t>
      </w:r>
      <w:r>
        <w:rPr>
          <w:rFonts w:hint="eastAsia"/>
          <w:color w:val="000000" w:themeColor="text1"/>
          <w:sz w:val="24"/>
          <w:szCs w:val="22"/>
          <w14:textFill>
            <w14:solidFill>
              <w14:schemeClr w14:val="tx1"/>
            </w14:solidFill>
          </w14:textFill>
        </w:rPr>
        <w:t>无养殖</w:t>
      </w:r>
      <w:r>
        <w:rPr>
          <w:color w:val="000000" w:themeColor="text1"/>
          <w:sz w:val="24"/>
          <w:szCs w:val="22"/>
          <w14:textFill>
            <w14:solidFill>
              <w14:schemeClr w14:val="tx1"/>
            </w14:solidFill>
          </w14:textFill>
        </w:rPr>
        <w:t>废水</w:t>
      </w:r>
      <w:r>
        <w:rPr>
          <w:rFonts w:hint="eastAsia"/>
          <w:color w:val="000000" w:themeColor="text1"/>
          <w:sz w:val="24"/>
          <w:szCs w:val="22"/>
          <w14:textFill>
            <w14:solidFill>
              <w14:schemeClr w14:val="tx1"/>
            </w14:solidFill>
          </w14:textFill>
        </w:rPr>
        <w:t>产生。</w:t>
      </w:r>
      <w:r>
        <w:rPr>
          <w:color w:val="000000" w:themeColor="text1"/>
          <w:sz w:val="24"/>
          <w:szCs w:val="22"/>
          <w14:textFill>
            <w14:solidFill>
              <w14:schemeClr w14:val="tx1"/>
            </w14:solidFill>
          </w14:textFill>
        </w:rPr>
        <w:t>因此本项目废水可以做到综合利用，不外排</w:t>
      </w:r>
      <w:r>
        <w:rPr>
          <w:color w:val="000000" w:themeColor="text1"/>
          <w:kern w:val="0"/>
          <w:sz w:val="24"/>
          <w:lang w:bidi="ar"/>
          <w14:textFill>
            <w14:solidFill>
              <w14:schemeClr w14:val="tx1"/>
            </w14:solidFill>
          </w14:textFill>
        </w:rPr>
        <w:t>。</w:t>
      </w:r>
    </w:p>
    <w:p w14:paraId="35F354CE">
      <w:pPr>
        <w:pStyle w:val="1771"/>
        <w:spacing w:line="360" w:lineRule="auto"/>
        <w:jc w:val="both"/>
        <w:rPr>
          <w:snapToGrid w:val="0"/>
          <w:color w:val="000000" w:themeColor="text1"/>
          <w:szCs w:val="21"/>
          <w:lang w:val="en-US"/>
          <w14:textFill>
            <w14:solidFill>
              <w14:schemeClr w14:val="tx1"/>
            </w14:solidFill>
          </w14:textFill>
        </w:rPr>
      </w:pPr>
      <w:bookmarkStart w:id="410" w:name="OLE_LINK61"/>
      <w:r>
        <w:rPr>
          <w:color w:val="000000" w:themeColor="text1"/>
          <w:sz w:val="24"/>
          <w:lang w:val="en-US"/>
          <w14:textFill>
            <w14:solidFill>
              <w14:schemeClr w14:val="tx1"/>
            </w14:solidFill>
          </w14:textFill>
        </w:rPr>
        <w:t>3.10.4.2废气产生、排放及治理措施</w:t>
      </w:r>
    </w:p>
    <w:bookmarkEnd w:id="410"/>
    <w:p w14:paraId="53092107">
      <w:pPr>
        <w:adjustRightInd w:val="0"/>
        <w:snapToGrid w:val="0"/>
        <w:spacing w:line="360" w:lineRule="auto"/>
        <w:ind w:firstLine="480" w:firstLineChars="20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项目运营期主要的废气为</w:t>
      </w:r>
      <w:bookmarkStart w:id="411" w:name="OLE_LINK124"/>
      <w:bookmarkStart w:id="412" w:name="OLE_LINK166"/>
      <w:r>
        <w:rPr>
          <w:rFonts w:hint="eastAsia"/>
          <w:color w:val="000000" w:themeColor="text1"/>
          <w:sz w:val="24"/>
          <w:szCs w:val="22"/>
          <w14:textFill>
            <w14:solidFill>
              <w14:schemeClr w14:val="tx1"/>
            </w14:solidFill>
          </w14:textFill>
        </w:rPr>
        <w:t>青贮发酵异味</w:t>
      </w:r>
      <w:r>
        <w:rPr>
          <w:color w:val="000000" w:themeColor="text1"/>
          <w:sz w:val="24"/>
          <w:szCs w:val="22"/>
          <w14:textFill>
            <w14:solidFill>
              <w14:schemeClr w14:val="tx1"/>
            </w14:solidFill>
          </w14:textFill>
        </w:rPr>
        <w:t>、牛舍恶臭、</w:t>
      </w:r>
      <w:r>
        <w:rPr>
          <w:rFonts w:hint="eastAsia"/>
          <w:color w:val="000000" w:themeColor="text1"/>
          <w:sz w:val="24"/>
          <w:szCs w:val="22"/>
          <w14:textFill>
            <w14:solidFill>
              <w14:schemeClr w14:val="tx1"/>
            </w14:solidFill>
          </w14:textFill>
        </w:rPr>
        <w:t>垫料储存及装卸粉尘、精饲料</w:t>
      </w:r>
      <w:r>
        <w:rPr>
          <w:color w:val="000000" w:themeColor="text1"/>
          <w:sz w:val="24"/>
          <w:szCs w:val="22"/>
          <w14:textFill>
            <w14:solidFill>
              <w14:schemeClr w14:val="tx1"/>
            </w14:solidFill>
          </w14:textFill>
        </w:rPr>
        <w:t>加工粉尘</w:t>
      </w:r>
      <w:r>
        <w:rPr>
          <w:rFonts w:hint="eastAsia"/>
          <w:color w:val="000000" w:themeColor="text1"/>
          <w:sz w:val="24"/>
          <w:szCs w:val="22"/>
          <w14:textFill>
            <w14:solidFill>
              <w14:schemeClr w14:val="tx1"/>
            </w14:solidFill>
          </w14:textFill>
        </w:rPr>
        <w:t>、TMR日粮混料粉尘、</w:t>
      </w:r>
      <w:r>
        <w:rPr>
          <w:color w:val="000000" w:themeColor="text1"/>
          <w:sz w:val="24"/>
          <w:szCs w:val="22"/>
          <w14:textFill>
            <w14:solidFill>
              <w14:schemeClr w14:val="tx1"/>
            </w14:solidFill>
          </w14:textFill>
        </w:rPr>
        <w:t>柴油发电机废气、食堂油烟和运输恶臭。</w:t>
      </w:r>
    </w:p>
    <w:bookmarkEnd w:id="411"/>
    <w:bookmarkEnd w:id="412"/>
    <w:p w14:paraId="3AEA41B1">
      <w:pPr>
        <w:adjustRightInd w:val="0"/>
        <w:snapToGrid w:val="0"/>
        <w:spacing w:line="360" w:lineRule="auto"/>
        <w:ind w:firstLine="482" w:firstLineChars="200"/>
        <w:rPr>
          <w:b/>
          <w:color w:val="000000" w:themeColor="text1"/>
          <w:sz w:val="24"/>
          <w:szCs w:val="22"/>
          <w14:textFill>
            <w14:solidFill>
              <w14:schemeClr w14:val="tx1"/>
            </w14:solidFill>
          </w14:textFill>
        </w:rPr>
      </w:pPr>
      <w:r>
        <w:rPr>
          <w:rFonts w:hint="eastAsia"/>
          <w:b/>
          <w:color w:val="000000" w:themeColor="text1"/>
          <w:sz w:val="24"/>
          <w:szCs w:val="22"/>
          <w14:textFill>
            <w14:solidFill>
              <w14:schemeClr w14:val="tx1"/>
            </w14:solidFill>
          </w14:textFill>
        </w:rPr>
        <w:t>1、废气产生情况</w:t>
      </w:r>
    </w:p>
    <w:p w14:paraId="4472977A">
      <w:pPr>
        <w:adjustRightInd w:val="0"/>
        <w:snapToGrid w:val="0"/>
        <w:spacing w:line="360" w:lineRule="auto"/>
        <w:ind w:firstLine="482" w:firstLineChars="200"/>
        <w:rPr>
          <w:b/>
          <w:color w:val="000000" w:themeColor="text1"/>
          <w:sz w:val="24"/>
          <w:szCs w:val="22"/>
          <w14:textFill>
            <w14:solidFill>
              <w14:schemeClr w14:val="tx1"/>
            </w14:solidFill>
          </w14:textFill>
        </w:rPr>
      </w:pPr>
      <w:r>
        <w:rPr>
          <w:rFonts w:hint="eastAsia"/>
          <w:b/>
          <w:color w:val="000000" w:themeColor="text1"/>
          <w:sz w:val="24"/>
          <w:szCs w:val="22"/>
          <w14:textFill>
            <w14:solidFill>
              <w14:schemeClr w14:val="tx1"/>
            </w14:solidFill>
          </w14:textFill>
        </w:rPr>
        <w:t>（1）青贮发酵异味</w:t>
      </w:r>
    </w:p>
    <w:p w14:paraId="729F9355">
      <w:pPr>
        <w:spacing w:line="360" w:lineRule="auto"/>
        <w:ind w:firstLine="480" w:firstLineChars="200"/>
        <w:rPr>
          <w:rFonts w:ascii="宋体" w:hAnsi="宋体"/>
          <w:color w:val="000000" w:themeColor="text1"/>
          <w:sz w:val="24"/>
          <w:szCs w:val="22"/>
          <w14:textFill>
            <w14:solidFill>
              <w14:schemeClr w14:val="tx1"/>
            </w14:solidFill>
          </w14:textFill>
        </w:rPr>
      </w:pPr>
      <w:r>
        <w:rPr>
          <w:rFonts w:hint="eastAsia" w:ascii="宋体" w:hAnsi="宋体"/>
          <w:color w:val="000000" w:themeColor="text1"/>
          <w:sz w:val="24"/>
          <w:szCs w:val="22"/>
          <w14:textFill>
            <w14:solidFill>
              <w14:schemeClr w14:val="tx1"/>
            </w14:solidFill>
          </w14:textFill>
        </w:rPr>
        <w:t>青贮饲料整个发酵过程为密闭缺氧状态，发酵过程恶臭气体较少，不会对周围环境产生影响。成品青贮饲料气味酸香、柔软多汁，无令人体产生不适的气味。因此，本评价不对青贮饲料贮存池恶臭气体进行进一步定量分析与评价。</w:t>
      </w:r>
    </w:p>
    <w:p w14:paraId="367345ED">
      <w:pPr>
        <w:spacing w:line="360" w:lineRule="auto"/>
        <w:ind w:firstLine="480" w:firstLineChars="200"/>
        <w:rPr>
          <w:rFonts w:ascii="宋体" w:hAnsi="宋体"/>
          <w:color w:val="000000" w:themeColor="text1"/>
          <w:sz w:val="24"/>
          <w:szCs w:val="22"/>
          <w14:textFill>
            <w14:solidFill>
              <w14:schemeClr w14:val="tx1"/>
            </w14:solidFill>
          </w14:textFill>
        </w:rPr>
      </w:pPr>
      <w:r>
        <w:rPr>
          <w:rFonts w:ascii="宋体" w:hAnsi="宋体"/>
          <w:color w:val="000000" w:themeColor="text1"/>
          <w:sz w:val="24"/>
          <w:szCs w:val="22"/>
          <w14:textFill>
            <w14:solidFill>
              <w14:schemeClr w14:val="tx1"/>
            </w14:solidFill>
          </w14:textFill>
        </w:rPr>
        <w:t>刚贮存的青贮饲料原料中带有多种细菌、霉菌等微生物</w:t>
      </w:r>
      <w:r>
        <w:rPr>
          <w:rFonts w:hint="eastAsia" w:ascii="宋体" w:hAnsi="宋体"/>
          <w:color w:val="000000" w:themeColor="text1"/>
          <w:sz w:val="24"/>
          <w:szCs w:val="22"/>
          <w14:textFill>
            <w14:solidFill>
              <w14:schemeClr w14:val="tx1"/>
            </w14:solidFill>
          </w14:textFill>
        </w:rPr>
        <w:t>，</w:t>
      </w:r>
      <w:r>
        <w:rPr>
          <w:rFonts w:ascii="宋体" w:hAnsi="宋体"/>
          <w:color w:val="000000" w:themeColor="text1"/>
          <w:sz w:val="24"/>
          <w:szCs w:val="22"/>
          <w14:textFill>
            <w14:solidFill>
              <w14:schemeClr w14:val="tx1"/>
            </w14:solidFill>
          </w14:textFill>
        </w:rPr>
        <w:t>其中以腐败菌居多</w:t>
      </w:r>
      <w:r>
        <w:rPr>
          <w:rFonts w:hint="eastAsia" w:ascii="宋体" w:hAnsi="宋体"/>
          <w:color w:val="000000" w:themeColor="text1"/>
          <w:sz w:val="24"/>
          <w:szCs w:val="22"/>
          <w14:textFill>
            <w14:solidFill>
              <w14:schemeClr w14:val="tx1"/>
            </w14:solidFill>
          </w14:textFill>
        </w:rPr>
        <w:t>，</w:t>
      </w:r>
      <w:r>
        <w:rPr>
          <w:rFonts w:ascii="宋体" w:hAnsi="宋体"/>
          <w:color w:val="000000" w:themeColor="text1"/>
          <w:sz w:val="24"/>
          <w:szCs w:val="22"/>
          <w14:textFill>
            <w14:solidFill>
              <w14:schemeClr w14:val="tx1"/>
            </w14:solidFill>
          </w14:textFill>
        </w:rPr>
        <w:t>乳酸菌偏少。最初几天</w:t>
      </w:r>
      <w:r>
        <w:rPr>
          <w:rFonts w:hint="eastAsia" w:ascii="宋体" w:hAnsi="宋体"/>
          <w:color w:val="000000" w:themeColor="text1"/>
          <w:sz w:val="24"/>
          <w:szCs w:val="22"/>
          <w14:textFill>
            <w14:solidFill>
              <w14:schemeClr w14:val="tx1"/>
            </w14:solidFill>
          </w14:textFill>
        </w:rPr>
        <w:t>，</w:t>
      </w:r>
      <w:r>
        <w:rPr>
          <w:rFonts w:ascii="宋体" w:hAnsi="宋体"/>
          <w:color w:val="000000" w:themeColor="text1"/>
          <w:sz w:val="24"/>
          <w:szCs w:val="22"/>
          <w14:textFill>
            <w14:solidFill>
              <w14:schemeClr w14:val="tx1"/>
            </w14:solidFill>
          </w14:textFill>
        </w:rPr>
        <w:t>好气性微生物如腐败细菌、霉菌等最为活跃。消耗氧气</w:t>
      </w:r>
      <w:r>
        <w:rPr>
          <w:rFonts w:hint="eastAsia" w:ascii="宋体" w:hAnsi="宋体"/>
          <w:color w:val="000000" w:themeColor="text1"/>
          <w:sz w:val="24"/>
          <w:szCs w:val="22"/>
          <w14:textFill>
            <w14:solidFill>
              <w14:schemeClr w14:val="tx1"/>
            </w14:solidFill>
          </w14:textFill>
        </w:rPr>
        <w:t>，</w:t>
      </w:r>
      <w:r>
        <w:rPr>
          <w:rFonts w:ascii="宋体" w:hAnsi="宋体"/>
          <w:color w:val="000000" w:themeColor="text1"/>
          <w:sz w:val="24"/>
          <w:szCs w:val="22"/>
          <w14:textFill>
            <w14:solidFill>
              <w14:schemeClr w14:val="tx1"/>
            </w14:solidFill>
          </w14:textFill>
        </w:rPr>
        <w:t>破坏蛋白质,形成大量吲,少量醋酸;随着气的不断减少,好气性微生物活动受到抑制,而厌气性乳酸菌迅速繁殖并产生大量乳酸,导致pH值下降,抑制或杀灭腐败细菌、酪酸菌等。一般青贮在发酵5~7天时,微生物总数达到最高峰,且其组成以乳酸菌为主。青贮发酵完成一般需17~21天,这时青贮料中除含有主要微生物乳酸菌外,尚存在少量耐酸的酵母菌和形成芽孢的细菌。青贮发酵过程中的生物化学变化主要是青绿饲料中易溶性碳水化合物全部转化成乳酸、醋酸以及醇类,其中主要为乳酸。乳酸含量与pH值大小及青贮时间的长短有密切关系。</w:t>
      </w:r>
    </w:p>
    <w:p w14:paraId="146806AE">
      <w:pPr>
        <w:spacing w:line="360" w:lineRule="auto"/>
        <w:ind w:firstLine="480" w:firstLineChars="200"/>
        <w:rPr>
          <w:rFonts w:ascii="宋体" w:hAnsi="宋体"/>
          <w:color w:val="000000" w:themeColor="text1"/>
          <w:sz w:val="24"/>
          <w:szCs w:val="22"/>
          <w14:textFill>
            <w14:solidFill>
              <w14:schemeClr w14:val="tx1"/>
            </w14:solidFill>
          </w14:textFill>
        </w:rPr>
      </w:pPr>
      <w:r>
        <w:rPr>
          <w:rFonts w:ascii="宋体" w:hAnsi="宋体"/>
          <w:color w:val="000000" w:themeColor="text1"/>
          <w:sz w:val="24"/>
          <w:szCs w:val="22"/>
          <w14:textFill>
            <w14:solidFill>
              <w14:schemeClr w14:val="tx1"/>
            </w14:solidFill>
          </w14:textFill>
        </w:rPr>
        <w:t>乳酸几乎无臭,味微酸。因此青贮发酵过程中产生的恶臭气体仅在取用时排放,且几乎无味,本次评价不再定量分析。青贮窖四周围挡并设顶棚遮盖,气味产生量较小,对环境空气影响较小,臭气浓度满足《畜禽养殖业污染物排放标准》</w:t>
      </w:r>
      <w:r>
        <w:rPr>
          <w:rFonts w:ascii="宋体" w:hAnsi="宋体" w:cs="宋体"/>
          <w:color w:val="000000" w:themeColor="text1"/>
          <w:spacing w:val="7"/>
          <w:sz w:val="24"/>
          <w14:textFill>
            <w14:solidFill>
              <w14:schemeClr w14:val="tx1"/>
            </w14:solidFill>
          </w14:textFill>
        </w:rPr>
        <w:t>(</w:t>
      </w:r>
      <w:r>
        <w:rPr>
          <w:rFonts w:ascii="宋体" w:hAnsi="宋体"/>
          <w:color w:val="000000" w:themeColor="text1"/>
          <w:sz w:val="24"/>
          <w14:textFill>
            <w14:solidFill>
              <w14:schemeClr w14:val="tx1"/>
            </w14:solidFill>
          </w14:textFill>
        </w:rPr>
        <w:t>GB</w:t>
      </w:r>
      <w:r>
        <w:rPr>
          <w:rFonts w:ascii="宋体" w:hAnsi="宋体"/>
          <w:color w:val="000000" w:themeColor="text1"/>
          <w:spacing w:val="7"/>
          <w:sz w:val="24"/>
          <w14:textFill>
            <w14:solidFill>
              <w14:schemeClr w14:val="tx1"/>
            </w14:solidFill>
          </w14:textFill>
        </w:rPr>
        <w:t>18596-2001</w:t>
      </w:r>
      <w:r>
        <w:rPr>
          <w:rFonts w:ascii="宋体" w:hAnsi="宋体" w:cs="宋体"/>
          <w:color w:val="000000" w:themeColor="text1"/>
          <w:spacing w:val="7"/>
          <w:sz w:val="24"/>
          <w14:textFill>
            <w14:solidFill>
              <w14:schemeClr w14:val="tx1"/>
            </w14:solidFill>
          </w14:textFill>
        </w:rPr>
        <w:t>)中的要求(臭气浓度</w:t>
      </w:r>
      <w:r>
        <w:rPr>
          <w:rFonts w:ascii="宋体" w:hAnsi="宋体"/>
          <w:color w:val="000000" w:themeColor="text1"/>
          <w:spacing w:val="7"/>
          <w:sz w:val="24"/>
          <w14:textFill>
            <w14:solidFill>
              <w14:schemeClr w14:val="tx1"/>
            </w14:solidFill>
          </w14:textFill>
        </w:rPr>
        <w:t>70</w:t>
      </w:r>
      <w:r>
        <w:rPr>
          <w:rFonts w:ascii="宋体" w:hAnsi="宋体" w:cs="宋体"/>
          <w:color w:val="000000" w:themeColor="text1"/>
          <w:spacing w:val="7"/>
          <w:sz w:val="24"/>
          <w14:textFill>
            <w14:solidFill>
              <w14:schemeClr w14:val="tx1"/>
            </w14:solidFill>
          </w14:textFill>
        </w:rPr>
        <w:t>(无量纲))。</w:t>
      </w:r>
    </w:p>
    <w:p w14:paraId="2044DA3E">
      <w:pPr>
        <w:adjustRightInd w:val="0"/>
        <w:snapToGrid w:val="0"/>
        <w:spacing w:line="360" w:lineRule="auto"/>
        <w:ind w:firstLine="482" w:firstLineChars="200"/>
        <w:rPr>
          <w:b/>
          <w:bCs/>
          <w:color w:val="000000" w:themeColor="text1"/>
          <w:sz w:val="24"/>
          <w14:textFill>
            <w14:solidFill>
              <w14:schemeClr w14:val="tx1"/>
            </w14:solidFill>
          </w14:textFill>
        </w:rPr>
      </w:pPr>
      <w:bookmarkStart w:id="413" w:name="_Toc12289"/>
      <w:r>
        <w:rPr>
          <w:b/>
          <w:bCs/>
          <w:color w:val="000000" w:themeColor="text1"/>
          <w:sz w:val="24"/>
          <w14:textFill>
            <w14:solidFill>
              <w14:schemeClr w14:val="tx1"/>
            </w14:solidFill>
          </w14:textFill>
        </w:rPr>
        <w:t>（2）牛舍恶臭</w:t>
      </w:r>
      <w:bookmarkEnd w:id="413"/>
    </w:p>
    <w:p w14:paraId="26BDD3A9">
      <w:pPr>
        <w:adjustRightInd w:val="0"/>
        <w:snapToGrid w:val="0"/>
        <w:spacing w:line="360" w:lineRule="auto"/>
        <w:ind w:firstLine="480" w:firstLineChars="200"/>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项目牛舍产生的恶臭主要来源于饲料残渣及牛只粪尿，主要为NH</w:t>
      </w:r>
      <w:r>
        <w:rPr>
          <w:rFonts w:hint="eastAsia"/>
          <w:color w:val="000000" w:themeColor="text1"/>
          <w:sz w:val="24"/>
          <w:szCs w:val="22"/>
          <w:vertAlign w:val="subscript"/>
          <w14:textFill>
            <w14:solidFill>
              <w14:schemeClr w14:val="tx1"/>
            </w14:solidFill>
          </w14:textFill>
        </w:rPr>
        <w:t>3</w:t>
      </w:r>
      <w:r>
        <w:rPr>
          <w:rFonts w:hint="eastAsia"/>
          <w:color w:val="000000" w:themeColor="text1"/>
          <w:sz w:val="24"/>
          <w:szCs w:val="22"/>
          <w14:textFill>
            <w14:solidFill>
              <w14:schemeClr w14:val="tx1"/>
            </w14:solidFill>
          </w14:textFill>
        </w:rPr>
        <w:t>和H</w:t>
      </w:r>
      <w:r>
        <w:rPr>
          <w:rFonts w:hint="eastAsia"/>
          <w:color w:val="000000" w:themeColor="text1"/>
          <w:sz w:val="24"/>
          <w:szCs w:val="22"/>
          <w:vertAlign w:val="subscript"/>
          <w14:textFill>
            <w14:solidFill>
              <w14:schemeClr w14:val="tx1"/>
            </w14:solidFill>
          </w14:textFill>
        </w:rPr>
        <w:t>2</w:t>
      </w:r>
      <w:r>
        <w:rPr>
          <w:rFonts w:hint="eastAsia"/>
          <w:color w:val="000000" w:themeColor="text1"/>
          <w:sz w:val="24"/>
          <w:szCs w:val="22"/>
          <w14:textFill>
            <w14:solidFill>
              <w14:schemeClr w14:val="tx1"/>
            </w14:solidFill>
          </w14:textFill>
        </w:rPr>
        <w:t>S等构成的恶臭。</w:t>
      </w:r>
    </w:p>
    <w:p w14:paraId="5B6DB9EF">
      <w:pPr>
        <w:adjustRightInd w:val="0"/>
        <w:snapToGrid w:val="0"/>
        <w:spacing w:line="360" w:lineRule="auto"/>
        <w:ind w:firstLine="480" w:firstLineChars="200"/>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饲料中纤维分解时产生的甲烷、饲料在肉牛消化道内经过各种消化酶、肠道细菌的作用，会产生吲哚、粪臭素、硫化氢等恶臭气体；同时饲料由各种粮食蛋白以及其他添加成分组成，本身具有一定的气味而使得合成饲料颗粒产生一定的异味，在饲喂过程中在牛舍内散发。</w:t>
      </w:r>
    </w:p>
    <w:p w14:paraId="76382748">
      <w:pPr>
        <w:adjustRightInd w:val="0"/>
        <w:snapToGrid w:val="0"/>
        <w:spacing w:line="360" w:lineRule="auto"/>
        <w:ind w:firstLine="480" w:firstLineChars="200"/>
        <w:rPr>
          <w:color w:val="000000" w:themeColor="text1"/>
          <w:sz w:val="24"/>
          <w:szCs w:val="22"/>
          <w14:textFill>
            <w14:solidFill>
              <w14:schemeClr w14:val="tx1"/>
            </w14:solidFill>
          </w14:textFill>
        </w:rPr>
      </w:pPr>
      <w:r>
        <w:rPr>
          <w:rFonts w:hint="eastAsia"/>
          <w:color w:val="000000" w:themeColor="text1"/>
          <w:sz w:val="24"/>
          <w:szCs w:val="22"/>
          <w14:textFill>
            <w14:solidFill>
              <w14:schemeClr w14:val="tx1"/>
            </w14:solidFill>
          </w14:textFill>
        </w:rPr>
        <w:t>牛粪、肉牛皮脂腺和汗腺的分泌物、呼出气等都会散发出难闻的气味。牛舍中刚排泄出的粪尿中有氨、硫化氢、胺等有害气体，进而产生甲硫醇、多胺、脂肪酸、吲哚等，在高温季节尤为明显。目前，已鉴定出在牛粪尿中有恶臭成分220种，这些物质都是产</w:t>
      </w:r>
      <w:r>
        <w:rPr>
          <w:color w:val="000000" w:themeColor="text1"/>
          <w:sz w:val="24"/>
          <w:szCs w:val="22"/>
          <w14:textFill>
            <w14:solidFill>
              <w14:schemeClr w14:val="tx1"/>
            </w14:solidFill>
          </w14:textFill>
        </w:rPr>
        <w:t>生生化反应的中间产物或终端产物，其中包括了多种挥发性有机酸、醇类物质、醛类物质、不流动气体、酯类物质、胺类物质、硫化物、硫醇以及含氮杂环类物质。在粪尿中还发现80多种含氮化合物，其中有10种与恶臭味有关。此外，粪尿在牛舍地下的蓄尿池内停留，形成厌氧发酵，产生大量的有害气体，如NH</w:t>
      </w:r>
      <w:r>
        <w:rPr>
          <w:color w:val="000000" w:themeColor="text1"/>
          <w:sz w:val="24"/>
          <w:szCs w:val="22"/>
          <w:vertAlign w:val="subscript"/>
          <w14:textFill>
            <w14:solidFill>
              <w14:schemeClr w14:val="tx1"/>
            </w14:solidFill>
          </w14:textFill>
        </w:rPr>
        <w:t>3</w:t>
      </w:r>
      <w:r>
        <w:rPr>
          <w:color w:val="000000" w:themeColor="text1"/>
          <w:sz w:val="24"/>
          <w:szCs w:val="22"/>
          <w14:textFill>
            <w14:solidFill>
              <w14:schemeClr w14:val="tx1"/>
            </w14:solidFill>
          </w14:textFill>
        </w:rPr>
        <w:t>、H</w:t>
      </w:r>
      <w:r>
        <w:rPr>
          <w:color w:val="000000" w:themeColor="text1"/>
          <w:sz w:val="24"/>
          <w:szCs w:val="22"/>
          <w:vertAlign w:val="subscript"/>
          <w14:textFill>
            <w14:solidFill>
              <w14:schemeClr w14:val="tx1"/>
            </w14:solidFill>
          </w14:textFill>
        </w:rPr>
        <w:t>2</w:t>
      </w:r>
      <w:r>
        <w:rPr>
          <w:color w:val="000000" w:themeColor="text1"/>
          <w:sz w:val="24"/>
          <w:szCs w:val="22"/>
          <w14:textFill>
            <w14:solidFill>
              <w14:schemeClr w14:val="tx1"/>
            </w14:solidFill>
          </w14:textFill>
        </w:rPr>
        <w:t>S、CH</w:t>
      </w:r>
      <w:r>
        <w:rPr>
          <w:color w:val="000000" w:themeColor="text1"/>
          <w:sz w:val="24"/>
          <w:szCs w:val="22"/>
          <w:vertAlign w:val="subscript"/>
          <w14:textFill>
            <w14:solidFill>
              <w14:schemeClr w14:val="tx1"/>
            </w14:solidFill>
          </w14:textFill>
        </w:rPr>
        <w:t>4</w:t>
      </w:r>
      <w:r>
        <w:rPr>
          <w:color w:val="000000" w:themeColor="text1"/>
          <w:sz w:val="24"/>
          <w:szCs w:val="22"/>
          <w14:textFill>
            <w14:solidFill>
              <w14:schemeClr w14:val="tx1"/>
            </w14:solidFill>
          </w14:textFill>
        </w:rPr>
        <w:t>等恶化室内空气环境；另外，臭气产生的多少还与粪便的水分含量和粪便堆积的厚度有关，粪便堆积的越厚，就会使臭气产生量越大，尤其是在场地排水不畅通时更是如此。</w:t>
      </w:r>
    </w:p>
    <w:p w14:paraId="0C75480E">
      <w:pPr>
        <w:adjustRightInd w:val="0"/>
        <w:snapToGrid w:val="0"/>
        <w:spacing w:line="360" w:lineRule="auto"/>
        <w:ind w:firstLine="482" w:firstLineChars="200"/>
        <w:rPr>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氨气排放量</w:t>
      </w:r>
      <w:r>
        <w:rPr>
          <w:b/>
          <w:bCs/>
          <w:color w:val="000000" w:themeColor="text1"/>
          <w:sz w:val="24"/>
          <w:szCs w:val="22"/>
          <w14:textFill>
            <w14:solidFill>
              <w14:schemeClr w14:val="tx1"/>
            </w14:solidFill>
          </w14:textFill>
        </w:rPr>
        <w:t>：</w:t>
      </w:r>
    </w:p>
    <w:p w14:paraId="0A59F829">
      <w:pPr>
        <w:spacing w:line="360" w:lineRule="auto"/>
        <w:ind w:firstLine="476" w:firstLineChars="200"/>
        <w:jc w:val="both"/>
        <w:rPr>
          <w:color w:val="FF0000"/>
          <w:spacing w:val="-1"/>
          <w:sz w:val="24"/>
        </w:rPr>
      </w:pPr>
      <w:r>
        <w:rPr>
          <w:color w:val="000000" w:themeColor="text1"/>
          <w:spacing w:val="-1"/>
          <w:sz w:val="24"/>
          <w14:textFill>
            <w14:solidFill>
              <w14:schemeClr w14:val="tx1"/>
            </w14:solidFill>
          </w14:textFill>
        </w:rPr>
        <w:t>根据生态环境部《</w:t>
      </w:r>
      <w:bookmarkStart w:id="414" w:name="OLE_LINK105"/>
      <w:bookmarkStart w:id="415" w:name="OLE_LINK106"/>
      <w:r>
        <w:rPr>
          <w:color w:val="000000" w:themeColor="text1"/>
          <w:spacing w:val="-1"/>
          <w:sz w:val="24"/>
          <w14:textFill>
            <w14:solidFill>
              <w14:schemeClr w14:val="tx1"/>
            </w14:solidFill>
          </w14:textFill>
        </w:rPr>
        <w:t>规模化畜禽养殖场氨气排放量核算技术指南</w:t>
      </w:r>
      <w:bookmarkEnd w:id="414"/>
      <w:bookmarkEnd w:id="415"/>
      <w:r>
        <w:rPr>
          <w:color w:val="000000" w:themeColor="text1"/>
          <w:spacing w:val="-1"/>
          <w:sz w:val="24"/>
          <w14:textFill>
            <w14:solidFill>
              <w14:schemeClr w14:val="tx1"/>
            </w14:solidFill>
          </w14:textFill>
        </w:rPr>
        <w:t>（试行）》（HJ1434-2025），本项目圈舍的氨气排放量</w:t>
      </w:r>
      <w:r>
        <w:rPr>
          <w:b/>
          <w:i/>
          <w:color w:val="000000" w:themeColor="text1"/>
          <w:spacing w:val="-1"/>
          <w:sz w:val="24"/>
          <w14:textFill>
            <w14:solidFill>
              <w14:schemeClr w14:val="tx1"/>
            </w14:solidFill>
          </w14:textFill>
        </w:rPr>
        <w:t>E</w:t>
      </w:r>
      <w:r>
        <w:rPr>
          <w:b/>
          <w:i/>
          <w:color w:val="000000" w:themeColor="text1"/>
          <w:spacing w:val="-1"/>
          <w:sz w:val="24"/>
          <w:vertAlign w:val="subscript"/>
          <w14:textFill>
            <w14:solidFill>
              <w14:schemeClr w14:val="tx1"/>
            </w14:solidFill>
          </w14:textFill>
        </w:rPr>
        <w:t>h(i)</w:t>
      </w:r>
      <w:r>
        <w:rPr>
          <w:color w:val="000000" w:themeColor="text1"/>
          <w:spacing w:val="-1"/>
          <w:sz w:val="24"/>
          <w14:textFill>
            <w14:solidFill>
              <w14:schemeClr w14:val="tx1"/>
            </w14:solidFill>
          </w14:textFill>
        </w:rPr>
        <w:t>的计算公式如下：</w:t>
      </w:r>
      <w:r>
        <w:rPr>
          <w:color w:val="FF0000"/>
          <w:spacing w:val="-1"/>
          <w:sz w:val="24"/>
        </w:rPr>
        <w:drawing>
          <wp:inline distT="0" distB="0" distL="0" distR="0">
            <wp:extent cx="5278755" cy="292100"/>
            <wp:effectExtent l="0" t="0" r="0" b="0"/>
            <wp:docPr id="18" name="图片 18" descr="C:\Users\Administrator\Desktop\cf8059f28f78ac070a453d804d7aae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strator\Desktop\cf8059f28f78ac070a453d804d7aae1a.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5278755" cy="292284"/>
                    </a:xfrm>
                    <a:prstGeom prst="rect">
                      <a:avLst/>
                    </a:prstGeom>
                    <a:noFill/>
                    <a:ln>
                      <a:noFill/>
                    </a:ln>
                  </pic:spPr>
                </pic:pic>
              </a:graphicData>
            </a:graphic>
          </wp:inline>
        </w:drawing>
      </w:r>
    </w:p>
    <w:p w14:paraId="389203C7">
      <w:pPr>
        <w:pStyle w:val="86"/>
        <w:ind w:firstLine="480" w:firstLineChars="200"/>
        <w:rPr>
          <w:b/>
          <w:color w:val="000000" w:themeColor="text1"/>
          <w:spacing w:val="-1"/>
          <w:sz w:val="24"/>
          <w:vertAlign w:val="subscript"/>
          <w14:textFill>
            <w14:solidFill>
              <w14:schemeClr w14:val="tx1"/>
            </w14:solidFill>
          </w14:textFill>
        </w:rPr>
      </w:pPr>
      <w:r>
        <w:rPr>
          <w:color w:val="000000" w:themeColor="text1"/>
          <w:sz w:val="24"/>
          <w14:textFill>
            <w14:solidFill>
              <w14:schemeClr w14:val="tx1"/>
            </w14:solidFill>
          </w14:textFill>
        </w:rPr>
        <w:t>式中：</w:t>
      </w:r>
      <w:r>
        <w:rPr>
          <w:b/>
          <w:i/>
          <w:color w:val="000000" w:themeColor="text1"/>
          <w:spacing w:val="-1"/>
          <w:sz w:val="24"/>
          <w14:textFill>
            <w14:solidFill>
              <w14:schemeClr w14:val="tx1"/>
            </w14:solidFill>
          </w14:textFill>
        </w:rPr>
        <w:t>E</w:t>
      </w:r>
      <w:r>
        <w:rPr>
          <w:b/>
          <w:i/>
          <w:color w:val="000000" w:themeColor="text1"/>
          <w:spacing w:val="-1"/>
          <w:sz w:val="24"/>
          <w:vertAlign w:val="subscript"/>
          <w14:textFill>
            <w14:solidFill>
              <w14:schemeClr w14:val="tx1"/>
            </w14:solidFill>
          </w14:textFill>
        </w:rPr>
        <w:t>h(i)</w:t>
      </w: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第</w:t>
      </w:r>
      <w:r>
        <w:rPr>
          <w:rFonts w:hint="eastAsia"/>
          <w:i/>
          <w:color w:val="000000" w:themeColor="text1"/>
          <w:sz w:val="24"/>
          <w14:textFill>
            <w14:solidFill>
              <w14:schemeClr w14:val="tx1"/>
            </w14:solidFill>
          </w14:textFill>
        </w:rPr>
        <w:t>i</w:t>
      </w:r>
      <w:r>
        <w:rPr>
          <w:rFonts w:hint="eastAsia"/>
          <w:color w:val="000000" w:themeColor="text1"/>
          <w:sz w:val="24"/>
          <w14:textFill>
            <w14:solidFill>
              <w14:schemeClr w14:val="tx1"/>
            </w14:solidFill>
          </w14:textFill>
        </w:rPr>
        <w:t>个规模化畜禽养殖场圈舍的氨气排放量，kg</w:t>
      </w:r>
      <w:r>
        <w:rPr>
          <w:color w:val="000000" w:themeColor="text1"/>
          <w:sz w:val="24"/>
          <w14:textFill>
            <w14:solidFill>
              <w14:schemeClr w14:val="tx1"/>
            </w14:solidFill>
          </w14:textFill>
        </w:rPr>
        <w:t xml:space="preserve"> 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年；</w:t>
      </w:r>
    </w:p>
    <w:p w14:paraId="58481BD4">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 xml:space="preserve">T    </w:t>
      </w:r>
      <w:bookmarkStart w:id="416" w:name="OLE_LINK64"/>
      <w:bookmarkStart w:id="417" w:name="OLE_LINK74"/>
      <w:r>
        <w:rPr>
          <w:color w:val="000000" w:themeColor="text1"/>
          <w:sz w:val="24"/>
          <w14:textFill>
            <w14:solidFill>
              <w14:schemeClr w14:val="tx1"/>
            </w14:solidFill>
          </w14:textFill>
        </w:rPr>
        <w:t>——</w:t>
      </w:r>
      <w:bookmarkEnd w:id="416"/>
      <w:bookmarkEnd w:id="417"/>
      <w:r>
        <w:rPr>
          <w:color w:val="000000" w:themeColor="text1"/>
          <w:sz w:val="24"/>
          <w14:textFill>
            <w14:solidFill>
              <w14:schemeClr w14:val="tx1"/>
            </w14:solidFill>
          </w14:textFill>
        </w:rPr>
        <w:t>畜禽种类，取值范围包括：生猪、奶牛、肉牛、蛋鸡或肉鸡等</w:t>
      </w:r>
      <w:r>
        <w:rPr>
          <w:rFonts w:hint="eastAsia"/>
          <w:color w:val="000000" w:themeColor="text1"/>
          <w:sz w:val="24"/>
          <w14:textFill>
            <w14:solidFill>
              <w14:schemeClr w14:val="tx1"/>
            </w14:solidFill>
          </w14:textFill>
        </w:rPr>
        <w:t>。本项目为肉牛育肥项目，</w:t>
      </w:r>
      <w:r>
        <w:rPr>
          <w:rFonts w:hint="eastAsia"/>
          <w:i/>
          <w:color w:val="000000" w:themeColor="text1"/>
          <w:sz w:val="24"/>
          <w14:textFill>
            <w14:solidFill>
              <w14:schemeClr w14:val="tx1"/>
            </w14:solidFill>
          </w14:textFill>
        </w:rPr>
        <w:t>T</w:t>
      </w:r>
      <w:r>
        <w:rPr>
          <w:rFonts w:hint="eastAsia"/>
          <w:color w:val="000000" w:themeColor="text1"/>
          <w:sz w:val="24"/>
          <w14:textFill>
            <w14:solidFill>
              <w14:schemeClr w14:val="tx1"/>
            </w14:solidFill>
          </w14:textFill>
        </w:rPr>
        <w:t>取肉牛</w:t>
      </w:r>
      <w:r>
        <w:rPr>
          <w:color w:val="000000" w:themeColor="text1"/>
          <w:sz w:val="24"/>
          <w14:textFill>
            <w14:solidFill>
              <w14:schemeClr w14:val="tx1"/>
            </w14:solidFill>
          </w14:textFill>
        </w:rPr>
        <w:t>；</w:t>
      </w:r>
    </w:p>
    <w:p w14:paraId="54A7BCB0">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A</w:t>
      </w:r>
      <w:r>
        <w:rPr>
          <w:i/>
          <w:color w:val="000000" w:themeColor="text1"/>
          <w:sz w:val="24"/>
          <w:vertAlign w:val="subscript"/>
          <w14:textFill>
            <w14:solidFill>
              <w14:schemeClr w14:val="tx1"/>
            </w14:solidFill>
          </w14:textFill>
        </w:rPr>
        <w:t xml:space="preserve">(T,i)  </w:t>
      </w:r>
      <w:r>
        <w:rPr>
          <w:color w:val="000000" w:themeColor="text1"/>
          <w:sz w:val="24"/>
          <w14:textFill>
            <w14:solidFill>
              <w14:schemeClr w14:val="tx1"/>
            </w14:solidFill>
          </w14:textFill>
        </w:rPr>
        <w:t>——第</w:t>
      </w:r>
      <w:r>
        <w:rPr>
          <w:i/>
          <w:color w:val="000000" w:themeColor="text1"/>
          <w:sz w:val="24"/>
          <w14:textFill>
            <w14:solidFill>
              <w14:schemeClr w14:val="tx1"/>
            </w14:solidFill>
          </w14:textFill>
        </w:rPr>
        <w:t>i</w:t>
      </w:r>
      <w:r>
        <w:rPr>
          <w:color w:val="000000" w:themeColor="text1"/>
          <w:sz w:val="24"/>
          <w14:textFill>
            <w14:solidFill>
              <w14:schemeClr w14:val="tx1"/>
            </w14:solidFill>
          </w14:textFill>
        </w:rPr>
        <w:t>个规模化畜禽养殖场中第T种畜禽生产活动数据，头（羽），对于含有存栏母猪/公猪养殖的规模化生猪养殖场，存栏母猪/公猪的年末存栏量应折算为年出栏量，折算方法为：年末存栏量×365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生猪养殖周期（天）；</w:t>
      </w:r>
    </w:p>
    <w:p w14:paraId="41FE8C25">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PC</w:t>
      </w:r>
      <w:r>
        <w:rPr>
          <w:i/>
          <w:color w:val="000000" w:themeColor="text1"/>
          <w:sz w:val="24"/>
          <w:vertAlign w:val="subscript"/>
          <w14:textFill>
            <w14:solidFill>
              <w14:schemeClr w14:val="tx1"/>
            </w14:solidFill>
          </w14:textFill>
        </w:rPr>
        <w:t xml:space="preserve">(T)  </w:t>
      </w:r>
      <w:r>
        <w:rPr>
          <w:color w:val="000000" w:themeColor="text1"/>
          <w:sz w:val="24"/>
          <w14:textFill>
            <w14:solidFill>
              <w14:schemeClr w14:val="tx1"/>
            </w14:solidFill>
          </w14:textFill>
        </w:rPr>
        <w:t>——第T种畜禽的养殖周期，天，推荐值见附表B.1</w:t>
      </w:r>
      <w:r>
        <w:rPr>
          <w:rFonts w:hint="eastAsia"/>
          <w:color w:val="000000" w:themeColor="text1"/>
          <w:sz w:val="24"/>
          <w14:textFill>
            <w14:solidFill>
              <w14:schemeClr w14:val="tx1"/>
            </w14:solidFill>
          </w14:textFill>
        </w:rPr>
        <w:t>。根据附表B</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说明，养殖周期可依据养殖实际情况取值，本项目设计养殖周期为1</w:t>
      </w:r>
      <w:r>
        <w:rPr>
          <w:color w:val="000000" w:themeColor="text1"/>
          <w:sz w:val="24"/>
          <w14:textFill>
            <w14:solidFill>
              <w14:schemeClr w14:val="tx1"/>
            </w14:solidFill>
          </w14:textFill>
        </w:rPr>
        <w:t>80</w:t>
      </w:r>
      <w:r>
        <w:rPr>
          <w:rFonts w:hint="eastAsia"/>
          <w:color w:val="000000" w:themeColor="text1"/>
          <w:sz w:val="24"/>
          <w14:textFill>
            <w14:solidFill>
              <w14:schemeClr w14:val="tx1"/>
            </w14:solidFill>
          </w14:textFill>
        </w:rPr>
        <w:t>天，故取值为1</w:t>
      </w:r>
      <w:r>
        <w:rPr>
          <w:color w:val="000000" w:themeColor="text1"/>
          <w:sz w:val="24"/>
          <w14:textFill>
            <w14:solidFill>
              <w14:schemeClr w14:val="tx1"/>
            </w14:solidFill>
          </w14:textFill>
        </w:rPr>
        <w:t>80；</w:t>
      </w:r>
    </w:p>
    <w:p w14:paraId="5D5349F8">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 xml:space="preserve">A    </w:t>
      </w:r>
      <w:r>
        <w:rPr>
          <w:color w:val="000000" w:themeColor="text1"/>
          <w:sz w:val="24"/>
          <w14:textFill>
            <w14:solidFill>
              <w14:schemeClr w14:val="tx1"/>
            </w14:solidFill>
          </w14:textFill>
        </w:rPr>
        <w:t>——圈舍清粪方式，取值范围包括：干清粪、垫草垫料、水冲粪或水泡粪等；</w:t>
      </w:r>
    </w:p>
    <w:p w14:paraId="5F49A9D3">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EF</w:t>
      </w:r>
      <w:r>
        <w:rPr>
          <w:i/>
          <w:color w:val="000000" w:themeColor="text1"/>
          <w:sz w:val="24"/>
          <w:vertAlign w:val="subscript"/>
          <w14:textFill>
            <w14:solidFill>
              <w14:schemeClr w14:val="tx1"/>
            </w14:solidFill>
          </w14:textFill>
        </w:rPr>
        <w:t>h(T,a)</w:t>
      </w:r>
      <w:r>
        <w:rPr>
          <w:color w:val="000000" w:themeColor="text1"/>
          <w:sz w:val="24"/>
          <w14:textFill>
            <w14:solidFill>
              <w14:schemeClr w14:val="tx1"/>
            </w14:solidFill>
          </w14:textFill>
        </w:rPr>
        <w:t>——第T种畜禽在第a种圈舍清粪方式下的圈舍氨气排放系数（附录B.2），kg 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/头（羽）/年；</w:t>
      </w:r>
    </w:p>
    <w:p w14:paraId="2804F1B9">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 xml:space="preserve">Ar   </w:t>
      </w:r>
      <w:r>
        <w:rPr>
          <w:color w:val="000000" w:themeColor="text1"/>
          <w:sz w:val="24"/>
          <w14:textFill>
            <w14:solidFill>
              <w14:schemeClr w14:val="tx1"/>
            </w14:solidFill>
          </w14:textFill>
        </w:rPr>
        <w:t>——圈舍氨气减排技术，取值范围包括：优化圈舍清粪技术、舍内喷淋技术、生物发酵床技术、生物发酵床添加固态吸附剂技术或密闭圈舍废气净化技术等；</w:t>
      </w:r>
    </w:p>
    <w:p w14:paraId="60BA1987">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η</w:t>
      </w:r>
      <w:r>
        <w:rPr>
          <w:i/>
          <w:color w:val="000000" w:themeColor="text1"/>
          <w:sz w:val="24"/>
          <w:vertAlign w:val="subscript"/>
          <w14:textFill>
            <w14:solidFill>
              <w14:schemeClr w14:val="tx1"/>
            </w14:solidFill>
          </w14:textFill>
        </w:rPr>
        <w:t>h(T,ar)</w:t>
      </w:r>
      <w:r>
        <w:rPr>
          <w:color w:val="000000" w:themeColor="text1"/>
          <w:sz w:val="24"/>
          <w14:textFill>
            <w14:solidFill>
              <w14:schemeClr w14:val="tx1"/>
            </w14:solidFill>
          </w14:textFill>
        </w:rPr>
        <w:t>——第T种畜禽在圈舍采用第</w:t>
      </w:r>
      <w:r>
        <w:rPr>
          <w:i/>
          <w:color w:val="000000" w:themeColor="text1"/>
          <w:sz w:val="24"/>
          <w14:textFill>
            <w14:solidFill>
              <w14:schemeClr w14:val="tx1"/>
            </w14:solidFill>
          </w14:textFill>
        </w:rPr>
        <w:t>ar</w:t>
      </w:r>
      <w:r>
        <w:rPr>
          <w:color w:val="000000" w:themeColor="text1"/>
          <w:sz w:val="24"/>
          <w14:textFill>
            <w14:solidFill>
              <w14:schemeClr w14:val="tx1"/>
            </w14:solidFill>
          </w14:textFill>
        </w:rPr>
        <w:t>种氨气减排技术的减排率（附录C），%，若无氨气减排技术，该值为0</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p>
    <w:p w14:paraId="5E722948">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Φ</w:t>
      </w:r>
      <w:r>
        <w:rPr>
          <w:i/>
          <w:color w:val="000000" w:themeColor="text1"/>
          <w:sz w:val="24"/>
          <w:vertAlign w:val="subscript"/>
          <w14:textFill>
            <w14:solidFill>
              <w14:schemeClr w14:val="tx1"/>
            </w14:solidFill>
          </w14:textFill>
        </w:rPr>
        <w:t xml:space="preserve">(T)  </w:t>
      </w:r>
      <w:r>
        <w:rPr>
          <w:color w:val="000000" w:themeColor="text1"/>
          <w:sz w:val="24"/>
          <w14:textFill>
            <w14:solidFill>
              <w14:schemeClr w14:val="tx1"/>
            </w14:solidFill>
          </w14:textFill>
        </w:rPr>
        <w:t>——第T种畜禽圈舍氨减排措施覆盖全场养殖量的比例，%。</w:t>
      </w:r>
    </w:p>
    <w:p w14:paraId="5CA695CE">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其中圈舍氨气排放系数</w:t>
      </w:r>
      <w:r>
        <w:rPr>
          <w:i/>
          <w:color w:val="000000" w:themeColor="text1"/>
          <w:sz w:val="24"/>
          <w14:textFill>
            <w14:solidFill>
              <w14:schemeClr w14:val="tx1"/>
            </w14:solidFill>
          </w14:textFill>
        </w:rPr>
        <w:t>[EF</w:t>
      </w:r>
      <w:r>
        <w:rPr>
          <w:i/>
          <w:color w:val="000000" w:themeColor="text1"/>
          <w:sz w:val="24"/>
          <w:vertAlign w:val="subscript"/>
          <w14:textFill>
            <w14:solidFill>
              <w14:schemeClr w14:val="tx1"/>
            </w14:solidFill>
          </w14:textFill>
        </w:rPr>
        <w:t>h(T,a)</w:t>
      </w:r>
      <w:r>
        <w:rPr>
          <w:i/>
          <w:color w:val="000000" w:themeColor="text1"/>
          <w:sz w:val="24"/>
          <w14:textFill>
            <w14:solidFill>
              <w14:schemeClr w14:val="tx1"/>
            </w14:solidFill>
          </w14:textFill>
        </w:rPr>
        <w:t>]</w:t>
      </w:r>
      <w:r>
        <w:rPr>
          <w:color w:val="000000" w:themeColor="text1"/>
          <w:sz w:val="24"/>
          <w14:textFill>
            <w14:solidFill>
              <w14:schemeClr w14:val="tx1"/>
            </w14:solidFill>
          </w14:textFill>
        </w:rPr>
        <w:t>计算公式如下：</w:t>
      </w:r>
    </w:p>
    <w:p w14:paraId="7DCDFA31">
      <w:pPr>
        <w:pStyle w:val="86"/>
        <w:ind w:firstLine="0" w:firstLineChars="0"/>
        <w:jc w:val="center"/>
        <w:rPr>
          <w:color w:val="000000" w:themeColor="text1"/>
          <w:sz w:val="24"/>
          <w14:textFill>
            <w14:solidFill>
              <w14:schemeClr w14:val="tx1"/>
            </w14:solidFill>
          </w14:textFill>
        </w:rPr>
      </w:pPr>
      <w:r>
        <w:drawing>
          <wp:inline distT="0" distB="0" distL="0" distR="0">
            <wp:extent cx="4968240" cy="210820"/>
            <wp:effectExtent l="0" t="0" r="3810" b="0"/>
            <wp:docPr id="26" name="图片 26" descr="https://latex2png.com/pngs/148f7066cab1b5de12340d535d288f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https://latex2png.com/pngs/148f7066cab1b5de12340d535d288f42.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5266414" cy="223451"/>
                    </a:xfrm>
                    <a:prstGeom prst="rect">
                      <a:avLst/>
                    </a:prstGeom>
                    <a:noFill/>
                    <a:ln>
                      <a:noFill/>
                    </a:ln>
                  </pic:spPr>
                </pic:pic>
              </a:graphicData>
            </a:graphic>
          </wp:inline>
        </w:drawing>
      </w:r>
    </w:p>
    <w:p w14:paraId="62041B64">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i/>
          <w:color w:val="000000" w:themeColor="text1"/>
          <w:sz w:val="24"/>
          <w14:textFill>
            <w14:solidFill>
              <w14:schemeClr w14:val="tx1"/>
            </w14:solidFill>
          </w14:textFill>
        </w:rPr>
        <w:t>Nex</w:t>
      </w:r>
      <w:r>
        <w:rPr>
          <w:i/>
          <w:color w:val="000000" w:themeColor="text1"/>
          <w:sz w:val="24"/>
          <w:vertAlign w:val="subscript"/>
          <w14:textFill>
            <w14:solidFill>
              <w14:schemeClr w14:val="tx1"/>
            </w14:solidFill>
          </w14:textFill>
        </w:rPr>
        <w:t xml:space="preserve">(T)    </w:t>
      </w:r>
      <w:r>
        <w:rPr>
          <w:color w:val="000000" w:themeColor="text1"/>
          <w:sz w:val="24"/>
          <w14:textFill>
            <w14:solidFill>
              <w14:schemeClr w14:val="tx1"/>
            </w14:solidFill>
          </w14:textFill>
        </w:rPr>
        <w:t xml:space="preserve">——第T种畜禽的每头（羽）年平均氮排泄量，kg N/头（羽）/年，推荐值说明见B.5（参照 </w:t>
      </w:r>
      <w:bookmarkStart w:id="418" w:name="OLE_LINK103"/>
      <w:bookmarkStart w:id="419" w:name="OLE_LINK104"/>
      <w:r>
        <w:rPr>
          <w:color w:val="000000" w:themeColor="text1"/>
          <w:sz w:val="24"/>
          <w14:textFill>
            <w14:solidFill>
              <w14:schemeClr w14:val="tx1"/>
            </w14:solidFill>
          </w14:textFill>
        </w:rPr>
        <w:t>NY/T 3877</w:t>
      </w:r>
      <w:bookmarkEnd w:id="418"/>
      <w:bookmarkEnd w:id="419"/>
      <w:r>
        <w:rPr>
          <w:color w:val="000000" w:themeColor="text1"/>
          <w:sz w:val="24"/>
          <w14:textFill>
            <w14:solidFill>
              <w14:schemeClr w14:val="tx1"/>
            </w14:solidFill>
          </w14:textFill>
        </w:rPr>
        <w:t xml:space="preserve"> 表 A.3 执行。鼓励养殖场采用低蛋白日粮等可从源头减少氮排泄量的方法措施，因采用相关方法措施导致畜禽实际氮排泄量低于本标准推荐值的，可按照实际检测数据执行，检测数据应由具备相应技术能力的机构出具，否则应采用本标准推荐值。）；</w:t>
      </w:r>
    </w:p>
    <w:p w14:paraId="529BB341">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CR</w:t>
      </w:r>
      <w:r>
        <w:rPr>
          <w:i/>
          <w:color w:val="000000" w:themeColor="text1"/>
          <w:sz w:val="24"/>
          <w:vertAlign w:val="subscript"/>
          <w14:textFill>
            <w14:solidFill>
              <w14:schemeClr w14:val="tx1"/>
            </w14:solidFill>
          </w14:textFill>
        </w:rPr>
        <w:t xml:space="preserve">N(a)    </w:t>
      </w:r>
      <w:r>
        <w:rPr>
          <w:color w:val="000000" w:themeColor="text1"/>
          <w:sz w:val="24"/>
          <w14:textFill>
            <w14:solidFill>
              <w14:schemeClr w14:val="tx1"/>
            </w14:solidFill>
          </w14:textFill>
        </w:rPr>
        <w:t>——第a种圈舍清粪方式下，粪污中的氮素被收集进入粪污贮存与处理设施的收集率，%，推荐值参照NY/T 3877表A.4执行；</w:t>
      </w:r>
    </w:p>
    <w:p w14:paraId="3A389BFB">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Frac</w:t>
      </w:r>
      <w:r>
        <w:rPr>
          <w:i/>
          <w:color w:val="000000" w:themeColor="text1"/>
          <w:sz w:val="24"/>
          <w:vertAlign w:val="subscript"/>
          <w14:textFill>
            <w14:solidFill>
              <w14:schemeClr w14:val="tx1"/>
            </w14:solidFill>
          </w14:textFill>
        </w:rPr>
        <w:t>NH3_h</w:t>
      </w:r>
      <w:r>
        <w:rPr>
          <w:color w:val="000000" w:themeColor="text1"/>
          <w:sz w:val="24"/>
          <w14:textFill>
            <w14:solidFill>
              <w14:schemeClr w14:val="tx1"/>
            </w14:solidFill>
          </w14:textFill>
        </w:rPr>
        <w:t>——氨气在圈舍氮素损失中的占比，%，推荐值见附表B.2；</w:t>
      </w:r>
    </w:p>
    <w:p w14:paraId="28C4BE15">
      <w:pPr>
        <w:pStyle w:val="86"/>
        <w:ind w:firstLine="1140" w:firstLineChars="475"/>
        <w:rPr>
          <w:color w:val="000000" w:themeColor="text1"/>
          <w:sz w:val="24"/>
          <w14:textFill>
            <w14:solidFill>
              <w14:schemeClr w14:val="tx1"/>
            </w14:solidFill>
          </w14:textFill>
        </w:rPr>
      </w:pPr>
      <w:r>
        <w:rPr>
          <w:rFonts w:hint="eastAsia"/>
          <w:i/>
          <w:color w:val="000000" w:themeColor="text1"/>
          <w:sz w:val="24"/>
          <w14:textFill>
            <w14:solidFill>
              <w14:schemeClr w14:val="tx1"/>
            </w14:solidFill>
          </w14:textFill>
        </w:rPr>
        <w:t>γ</w:t>
      </w:r>
      <w:r>
        <w:rPr>
          <w:i/>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——氮-大气氨转换系数，取1.214；</w:t>
      </w:r>
    </w:p>
    <w:p w14:paraId="1EBCF390">
      <w:pPr>
        <w:pStyle w:val="86"/>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f</w:t>
      </w:r>
      <w:r>
        <w:rPr>
          <w:i/>
          <w:color w:val="000000" w:themeColor="text1"/>
          <w:sz w:val="24"/>
          <w:vertAlign w:val="subscript"/>
          <w14:textFill>
            <w14:solidFill>
              <w14:schemeClr w14:val="tx1"/>
            </w14:solidFill>
          </w14:textFill>
        </w:rPr>
        <w:t xml:space="preserve">h         </w:t>
      </w:r>
      <w:r>
        <w:rPr>
          <w:color w:val="000000" w:themeColor="text1"/>
          <w:sz w:val="24"/>
          <w14:textFill>
            <w14:solidFill>
              <w14:schemeClr w14:val="tx1"/>
            </w14:solidFill>
          </w14:textFill>
        </w:rPr>
        <w:t>——圈舍氨气排放本地化校正系数，无量纲，推荐值见附表B.3。</w:t>
      </w:r>
    </w:p>
    <w:p w14:paraId="51D89D2C">
      <w:pPr>
        <w:pStyle w:val="86"/>
        <w:ind w:firstLine="476"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本项目相关取值如下：</w:t>
      </w:r>
    </w:p>
    <w:p w14:paraId="7E129438">
      <w:pPr>
        <w:pStyle w:val="86"/>
        <w:ind w:firstLine="0" w:firstLineChars="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表3.5-8 本项目猪舍氨排放相关数值取值</w:t>
      </w:r>
    </w:p>
    <w:tbl>
      <w:tblPr>
        <w:tblStyle w:val="89"/>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741"/>
        <w:gridCol w:w="997"/>
        <w:gridCol w:w="996"/>
        <w:gridCol w:w="987"/>
        <w:gridCol w:w="1001"/>
        <w:gridCol w:w="999"/>
        <w:gridCol w:w="1122"/>
        <w:gridCol w:w="758"/>
      </w:tblGrid>
      <w:tr w14:paraId="5D8207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72" w:type="pct"/>
            <w:gridSpan w:val="2"/>
            <w:tcBorders>
              <w:tl2br w:val="nil"/>
              <w:tr2bl w:val="nil"/>
            </w:tcBorders>
            <w:vAlign w:val="center"/>
          </w:tcPr>
          <w:p w14:paraId="29CD367C">
            <w:pPr>
              <w:pStyle w:val="86"/>
              <w:widowControl w:val="0"/>
              <w:spacing w:line="240" w:lineRule="auto"/>
              <w:ind w:firstLine="0" w:firstLineChars="0"/>
              <w:jc w:val="center"/>
              <w:rPr>
                <w:b/>
                <w:bCs/>
                <w:i/>
                <w:color w:val="000000" w:themeColor="text1"/>
                <w:szCs w:val="21"/>
                <w14:textFill>
                  <w14:solidFill>
                    <w14:schemeClr w14:val="tx1"/>
                  </w14:solidFill>
                </w14:textFill>
              </w:rPr>
            </w:pPr>
            <w:r>
              <w:rPr>
                <w:b/>
                <w:bCs/>
                <w:i/>
                <w:color w:val="000000" w:themeColor="text1"/>
                <w:szCs w:val="21"/>
                <w14:textFill>
                  <w14:solidFill>
                    <w14:schemeClr w14:val="tx1"/>
                  </w14:solidFill>
                </w14:textFill>
              </w:rPr>
              <w:t>A</w:t>
            </w:r>
            <w:r>
              <w:rPr>
                <w:b/>
                <w:bCs/>
                <w:i/>
                <w:color w:val="000000" w:themeColor="text1"/>
                <w:szCs w:val="21"/>
                <w:vertAlign w:val="subscript"/>
                <w14:textFill>
                  <w14:solidFill>
                    <w14:schemeClr w14:val="tx1"/>
                  </w14:solidFill>
                </w14:textFill>
              </w:rPr>
              <w:t>(T,i)</w:t>
            </w:r>
          </w:p>
        </w:tc>
        <w:tc>
          <w:tcPr>
            <w:tcW w:w="600" w:type="pct"/>
            <w:tcBorders>
              <w:tl2br w:val="nil"/>
              <w:tr2bl w:val="nil"/>
            </w:tcBorders>
            <w:vAlign w:val="center"/>
          </w:tcPr>
          <w:p w14:paraId="40AFFC8D">
            <w:pPr>
              <w:pStyle w:val="86"/>
              <w:widowControl w:val="0"/>
              <w:spacing w:line="240" w:lineRule="auto"/>
              <w:ind w:firstLine="0" w:firstLineChars="0"/>
              <w:jc w:val="center"/>
              <w:rPr>
                <w:b/>
                <w:bCs/>
                <w:i/>
                <w:color w:val="000000" w:themeColor="text1"/>
                <w:szCs w:val="21"/>
                <w14:textFill>
                  <w14:solidFill>
                    <w14:schemeClr w14:val="tx1"/>
                  </w14:solidFill>
                </w14:textFill>
              </w:rPr>
            </w:pPr>
            <w:r>
              <w:rPr>
                <w:b/>
                <w:bCs/>
                <w:i/>
                <w:color w:val="000000" w:themeColor="text1"/>
                <w:szCs w:val="21"/>
                <w14:textFill>
                  <w14:solidFill>
                    <w14:schemeClr w14:val="tx1"/>
                  </w14:solidFill>
                </w14:textFill>
              </w:rPr>
              <w:t>PC</w:t>
            </w:r>
            <w:r>
              <w:rPr>
                <w:b/>
                <w:bCs/>
                <w:i/>
                <w:color w:val="000000" w:themeColor="text1"/>
                <w:szCs w:val="21"/>
                <w:vertAlign w:val="subscript"/>
                <w14:textFill>
                  <w14:solidFill>
                    <w14:schemeClr w14:val="tx1"/>
                  </w14:solidFill>
                </w14:textFill>
              </w:rPr>
              <w:t>(T)</w:t>
            </w:r>
          </w:p>
        </w:tc>
        <w:tc>
          <w:tcPr>
            <w:tcW w:w="599" w:type="pct"/>
            <w:tcBorders>
              <w:tl2br w:val="nil"/>
              <w:tr2bl w:val="nil"/>
            </w:tcBorders>
            <w:vAlign w:val="center"/>
          </w:tcPr>
          <w:p w14:paraId="3A788E55">
            <w:pPr>
              <w:pStyle w:val="86"/>
              <w:widowControl w:val="0"/>
              <w:spacing w:line="240" w:lineRule="auto"/>
              <w:ind w:firstLine="0" w:firstLineChars="0"/>
              <w:jc w:val="center"/>
              <w:rPr>
                <w:b/>
                <w:bCs/>
                <w:i/>
                <w:color w:val="000000" w:themeColor="text1"/>
                <w:szCs w:val="21"/>
                <w14:textFill>
                  <w14:solidFill>
                    <w14:schemeClr w14:val="tx1"/>
                  </w14:solidFill>
                </w14:textFill>
              </w:rPr>
            </w:pPr>
            <w:r>
              <w:rPr>
                <w:b/>
                <w:bCs/>
                <w:i/>
                <w:color w:val="000000" w:themeColor="text1"/>
                <w:szCs w:val="21"/>
                <w14:textFill>
                  <w14:solidFill>
                    <w14:schemeClr w14:val="tx1"/>
                  </w14:solidFill>
                </w14:textFill>
              </w:rPr>
              <w:t>η</w:t>
            </w:r>
            <w:r>
              <w:rPr>
                <w:b/>
                <w:bCs/>
                <w:i/>
                <w:color w:val="000000" w:themeColor="text1"/>
                <w:szCs w:val="21"/>
                <w:vertAlign w:val="subscript"/>
                <w14:textFill>
                  <w14:solidFill>
                    <w14:schemeClr w14:val="tx1"/>
                  </w14:solidFill>
                </w14:textFill>
              </w:rPr>
              <w:t>h(T,ar)</w:t>
            </w:r>
          </w:p>
        </w:tc>
        <w:tc>
          <w:tcPr>
            <w:tcW w:w="594" w:type="pct"/>
            <w:tcBorders>
              <w:tl2br w:val="nil"/>
              <w:tr2bl w:val="nil"/>
            </w:tcBorders>
            <w:vAlign w:val="center"/>
          </w:tcPr>
          <w:p w14:paraId="3DF915F1">
            <w:pPr>
              <w:pStyle w:val="86"/>
              <w:widowControl w:val="0"/>
              <w:spacing w:line="240" w:lineRule="auto"/>
              <w:ind w:firstLine="0" w:firstLineChars="0"/>
              <w:jc w:val="center"/>
              <w:rPr>
                <w:b/>
                <w:bCs/>
                <w:i/>
                <w:color w:val="000000" w:themeColor="text1"/>
                <w:szCs w:val="21"/>
                <w14:textFill>
                  <w14:solidFill>
                    <w14:schemeClr w14:val="tx1"/>
                  </w14:solidFill>
                </w14:textFill>
              </w:rPr>
            </w:pPr>
            <w:r>
              <w:rPr>
                <w:b/>
                <w:bCs/>
                <w:i/>
                <w:color w:val="000000" w:themeColor="text1"/>
                <w:szCs w:val="21"/>
                <w14:textFill>
                  <w14:solidFill>
                    <w14:schemeClr w14:val="tx1"/>
                  </w14:solidFill>
                </w14:textFill>
              </w:rPr>
              <w:t>Φ</w:t>
            </w:r>
            <w:r>
              <w:rPr>
                <w:b/>
                <w:bCs/>
                <w:i/>
                <w:color w:val="000000" w:themeColor="text1"/>
                <w:szCs w:val="21"/>
                <w:vertAlign w:val="subscript"/>
                <w14:textFill>
                  <w14:solidFill>
                    <w14:schemeClr w14:val="tx1"/>
                  </w14:solidFill>
                </w14:textFill>
              </w:rPr>
              <w:t>(T)</w:t>
            </w:r>
          </w:p>
        </w:tc>
        <w:tc>
          <w:tcPr>
            <w:tcW w:w="602" w:type="pct"/>
            <w:tcBorders>
              <w:tl2br w:val="nil"/>
              <w:tr2bl w:val="nil"/>
            </w:tcBorders>
            <w:vAlign w:val="center"/>
          </w:tcPr>
          <w:p w14:paraId="17CB87D5">
            <w:pPr>
              <w:pStyle w:val="86"/>
              <w:widowControl w:val="0"/>
              <w:spacing w:line="240" w:lineRule="auto"/>
              <w:ind w:firstLine="0" w:firstLineChars="0"/>
              <w:jc w:val="center"/>
              <w:rPr>
                <w:b/>
                <w:bCs/>
                <w:i/>
                <w:color w:val="000000" w:themeColor="text1"/>
                <w:szCs w:val="21"/>
                <w14:textFill>
                  <w14:solidFill>
                    <w14:schemeClr w14:val="tx1"/>
                  </w14:solidFill>
                </w14:textFill>
              </w:rPr>
            </w:pPr>
            <w:bookmarkStart w:id="420" w:name="OLE_LINK62"/>
            <w:bookmarkStart w:id="421" w:name="OLE_LINK63"/>
            <w:r>
              <w:rPr>
                <w:b/>
                <w:bCs/>
                <w:i/>
                <w:color w:val="000000" w:themeColor="text1"/>
                <w:szCs w:val="21"/>
                <w14:textFill>
                  <w14:solidFill>
                    <w14:schemeClr w14:val="tx1"/>
                  </w14:solidFill>
                </w14:textFill>
              </w:rPr>
              <w:t>Nex</w:t>
            </w:r>
            <w:r>
              <w:rPr>
                <w:b/>
                <w:bCs/>
                <w:i/>
                <w:color w:val="000000" w:themeColor="text1"/>
                <w:szCs w:val="21"/>
                <w:vertAlign w:val="subscript"/>
                <w14:textFill>
                  <w14:solidFill>
                    <w14:schemeClr w14:val="tx1"/>
                  </w14:solidFill>
                </w14:textFill>
              </w:rPr>
              <w:t>(T)</w:t>
            </w:r>
            <w:bookmarkEnd w:id="420"/>
            <w:bookmarkEnd w:id="421"/>
          </w:p>
        </w:tc>
        <w:tc>
          <w:tcPr>
            <w:tcW w:w="601" w:type="pct"/>
            <w:tcBorders>
              <w:tl2br w:val="nil"/>
              <w:tr2bl w:val="nil"/>
            </w:tcBorders>
            <w:vAlign w:val="center"/>
          </w:tcPr>
          <w:p w14:paraId="7626C294">
            <w:pPr>
              <w:pStyle w:val="86"/>
              <w:widowControl w:val="0"/>
              <w:spacing w:line="240" w:lineRule="auto"/>
              <w:ind w:firstLine="0" w:firstLineChars="0"/>
              <w:jc w:val="center"/>
              <w:rPr>
                <w:b/>
                <w:bCs/>
                <w:i/>
                <w:color w:val="000000" w:themeColor="text1"/>
                <w:szCs w:val="21"/>
                <w14:textFill>
                  <w14:solidFill>
                    <w14:schemeClr w14:val="tx1"/>
                  </w14:solidFill>
                </w14:textFill>
              </w:rPr>
            </w:pPr>
            <w:r>
              <w:rPr>
                <w:b/>
                <w:bCs/>
                <w:i/>
                <w:color w:val="000000" w:themeColor="text1"/>
                <w:szCs w:val="21"/>
                <w14:textFill>
                  <w14:solidFill>
                    <w14:schemeClr w14:val="tx1"/>
                  </w14:solidFill>
                </w14:textFill>
              </w:rPr>
              <w:t>CR</w:t>
            </w:r>
            <w:r>
              <w:rPr>
                <w:b/>
                <w:bCs/>
                <w:i/>
                <w:color w:val="000000" w:themeColor="text1"/>
                <w:szCs w:val="21"/>
                <w:vertAlign w:val="subscript"/>
                <w14:textFill>
                  <w14:solidFill>
                    <w14:schemeClr w14:val="tx1"/>
                  </w14:solidFill>
                </w14:textFill>
              </w:rPr>
              <w:t>N(a)</w:t>
            </w:r>
          </w:p>
        </w:tc>
        <w:tc>
          <w:tcPr>
            <w:tcW w:w="675" w:type="pct"/>
            <w:tcBorders>
              <w:tl2br w:val="nil"/>
              <w:tr2bl w:val="nil"/>
            </w:tcBorders>
            <w:vAlign w:val="center"/>
          </w:tcPr>
          <w:p w14:paraId="48039D8D">
            <w:pPr>
              <w:pStyle w:val="86"/>
              <w:widowControl w:val="0"/>
              <w:spacing w:line="240" w:lineRule="auto"/>
              <w:ind w:firstLine="0" w:firstLineChars="0"/>
              <w:jc w:val="center"/>
              <w:rPr>
                <w:b/>
                <w:bCs/>
                <w:i/>
                <w:color w:val="000000" w:themeColor="text1"/>
                <w:szCs w:val="21"/>
                <w14:textFill>
                  <w14:solidFill>
                    <w14:schemeClr w14:val="tx1"/>
                  </w14:solidFill>
                </w14:textFill>
              </w:rPr>
            </w:pPr>
            <w:r>
              <w:rPr>
                <w:b/>
                <w:bCs/>
                <w:i/>
                <w:color w:val="000000" w:themeColor="text1"/>
                <w:szCs w:val="21"/>
                <w14:textFill>
                  <w14:solidFill>
                    <w14:schemeClr w14:val="tx1"/>
                  </w14:solidFill>
                </w14:textFill>
              </w:rPr>
              <w:t>Frac</w:t>
            </w:r>
            <w:r>
              <w:rPr>
                <w:b/>
                <w:bCs/>
                <w:i/>
                <w:color w:val="000000" w:themeColor="text1"/>
                <w:szCs w:val="21"/>
                <w:vertAlign w:val="subscript"/>
                <w14:textFill>
                  <w14:solidFill>
                    <w14:schemeClr w14:val="tx1"/>
                  </w14:solidFill>
                </w14:textFill>
              </w:rPr>
              <w:t>NH3_h</w:t>
            </w:r>
          </w:p>
        </w:tc>
        <w:tc>
          <w:tcPr>
            <w:tcW w:w="456" w:type="pct"/>
            <w:tcBorders>
              <w:tl2br w:val="nil"/>
              <w:tr2bl w:val="nil"/>
            </w:tcBorders>
            <w:vAlign w:val="center"/>
          </w:tcPr>
          <w:p w14:paraId="4DC018BE">
            <w:pPr>
              <w:pStyle w:val="86"/>
              <w:widowControl w:val="0"/>
              <w:spacing w:line="240" w:lineRule="auto"/>
              <w:ind w:firstLine="0" w:firstLineChars="0"/>
              <w:jc w:val="center"/>
              <w:rPr>
                <w:b/>
                <w:bCs/>
                <w:i/>
                <w:color w:val="000000" w:themeColor="text1"/>
                <w:szCs w:val="21"/>
                <w14:textFill>
                  <w14:solidFill>
                    <w14:schemeClr w14:val="tx1"/>
                  </w14:solidFill>
                </w14:textFill>
              </w:rPr>
            </w:pPr>
            <w:r>
              <w:rPr>
                <w:b/>
                <w:bCs/>
                <w:i/>
                <w:color w:val="000000" w:themeColor="text1"/>
                <w:szCs w:val="21"/>
                <w14:textFill>
                  <w14:solidFill>
                    <w14:schemeClr w14:val="tx1"/>
                  </w14:solidFill>
                </w14:textFill>
              </w:rPr>
              <w:t>f</w:t>
            </w:r>
            <w:r>
              <w:rPr>
                <w:b/>
                <w:bCs/>
                <w:i/>
                <w:color w:val="000000" w:themeColor="text1"/>
                <w:szCs w:val="21"/>
                <w:vertAlign w:val="subscript"/>
                <w14:textFill>
                  <w14:solidFill>
                    <w14:schemeClr w14:val="tx1"/>
                  </w14:solidFill>
                </w14:textFill>
              </w:rPr>
              <w:t>h</w:t>
            </w:r>
          </w:p>
        </w:tc>
      </w:tr>
      <w:tr w14:paraId="211C26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7" w:type="pct"/>
            <w:tcBorders>
              <w:tl2br w:val="nil"/>
              <w:tr2bl w:val="nil"/>
            </w:tcBorders>
            <w:vAlign w:val="center"/>
          </w:tcPr>
          <w:p w14:paraId="7D7E7801">
            <w:pPr>
              <w:pStyle w:val="86"/>
              <w:widowControl w:val="0"/>
              <w:spacing w:line="240" w:lineRule="auto"/>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安格斯牛</w:t>
            </w:r>
          </w:p>
        </w:tc>
        <w:tc>
          <w:tcPr>
            <w:tcW w:w="446" w:type="pct"/>
            <w:tcBorders>
              <w:tl2br w:val="nil"/>
              <w:tr2bl w:val="nil"/>
            </w:tcBorders>
            <w:vAlign w:val="center"/>
          </w:tcPr>
          <w:p w14:paraId="6071B742">
            <w:pPr>
              <w:pStyle w:val="86"/>
              <w:widowControl w:val="0"/>
              <w:spacing w:line="240" w:lineRule="auto"/>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r>
              <w:rPr>
                <w:color w:val="000000" w:themeColor="text1"/>
                <w:szCs w:val="21"/>
                <w14:textFill>
                  <w14:solidFill>
                    <w14:schemeClr w14:val="tx1"/>
                  </w14:solidFill>
                </w14:textFill>
              </w:rPr>
              <w:t>9380</w:t>
            </w:r>
          </w:p>
        </w:tc>
        <w:tc>
          <w:tcPr>
            <w:tcW w:w="600" w:type="pct"/>
            <w:vMerge w:val="restart"/>
            <w:tcBorders>
              <w:tl2br w:val="nil"/>
              <w:tr2bl w:val="nil"/>
            </w:tcBorders>
            <w:vAlign w:val="center"/>
          </w:tcPr>
          <w:p w14:paraId="059047E1">
            <w:pPr>
              <w:pStyle w:val="86"/>
              <w:widowControl w:val="0"/>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180</w:t>
            </w:r>
          </w:p>
        </w:tc>
        <w:tc>
          <w:tcPr>
            <w:tcW w:w="599" w:type="pct"/>
            <w:vMerge w:val="restart"/>
            <w:tcBorders>
              <w:tl2br w:val="nil"/>
              <w:tr2bl w:val="nil"/>
            </w:tcBorders>
            <w:vAlign w:val="center"/>
          </w:tcPr>
          <w:p w14:paraId="0B22419B">
            <w:pPr>
              <w:pStyle w:val="86"/>
              <w:widowControl w:val="0"/>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95</w:t>
            </w:r>
          </w:p>
        </w:tc>
        <w:tc>
          <w:tcPr>
            <w:tcW w:w="594" w:type="pct"/>
            <w:vMerge w:val="restart"/>
            <w:tcBorders>
              <w:tl2br w:val="nil"/>
              <w:tr2bl w:val="nil"/>
            </w:tcBorders>
            <w:vAlign w:val="center"/>
          </w:tcPr>
          <w:p w14:paraId="3C3B99FF">
            <w:pPr>
              <w:pStyle w:val="86"/>
              <w:widowControl w:val="0"/>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100</w:t>
            </w:r>
          </w:p>
        </w:tc>
        <w:tc>
          <w:tcPr>
            <w:tcW w:w="602" w:type="pct"/>
            <w:tcBorders>
              <w:tl2br w:val="nil"/>
              <w:tr2bl w:val="nil"/>
            </w:tcBorders>
            <w:vAlign w:val="center"/>
          </w:tcPr>
          <w:p w14:paraId="558F9870">
            <w:pPr>
              <w:pStyle w:val="86"/>
              <w:widowControl w:val="0"/>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48.1176</w:t>
            </w:r>
          </w:p>
        </w:tc>
        <w:tc>
          <w:tcPr>
            <w:tcW w:w="601" w:type="pct"/>
            <w:vMerge w:val="restart"/>
            <w:tcBorders>
              <w:tl2br w:val="nil"/>
              <w:tr2bl w:val="nil"/>
            </w:tcBorders>
            <w:vAlign w:val="center"/>
          </w:tcPr>
          <w:p w14:paraId="00D7E180">
            <w:pPr>
              <w:pStyle w:val="86"/>
              <w:widowControl w:val="0"/>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84.5</w:t>
            </w:r>
          </w:p>
        </w:tc>
        <w:tc>
          <w:tcPr>
            <w:tcW w:w="675" w:type="pct"/>
            <w:vMerge w:val="restart"/>
            <w:tcBorders>
              <w:tl2br w:val="nil"/>
              <w:tr2bl w:val="nil"/>
            </w:tcBorders>
            <w:vAlign w:val="center"/>
          </w:tcPr>
          <w:p w14:paraId="74F292AF">
            <w:pPr>
              <w:pStyle w:val="86"/>
              <w:widowControl w:val="0"/>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100</w:t>
            </w:r>
          </w:p>
        </w:tc>
        <w:tc>
          <w:tcPr>
            <w:tcW w:w="456" w:type="pct"/>
            <w:vMerge w:val="restart"/>
            <w:tcBorders>
              <w:tl2br w:val="nil"/>
              <w:tr2bl w:val="nil"/>
            </w:tcBorders>
            <w:vAlign w:val="center"/>
          </w:tcPr>
          <w:p w14:paraId="18F243B5">
            <w:pPr>
              <w:pStyle w:val="86"/>
              <w:widowControl w:val="0"/>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r>
      <w:tr w14:paraId="78EDAA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7" w:type="pct"/>
            <w:tcBorders>
              <w:tl2br w:val="nil"/>
              <w:tr2bl w:val="nil"/>
            </w:tcBorders>
            <w:vAlign w:val="center"/>
          </w:tcPr>
          <w:p w14:paraId="5223DFEC">
            <w:pPr>
              <w:pStyle w:val="86"/>
              <w:widowControl w:val="0"/>
              <w:spacing w:line="240" w:lineRule="auto"/>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空山牛</w:t>
            </w:r>
          </w:p>
        </w:tc>
        <w:tc>
          <w:tcPr>
            <w:tcW w:w="446" w:type="pct"/>
            <w:tcBorders>
              <w:tl2br w:val="nil"/>
              <w:tr2bl w:val="nil"/>
            </w:tcBorders>
            <w:vAlign w:val="center"/>
          </w:tcPr>
          <w:p w14:paraId="0C0559FF">
            <w:pPr>
              <w:pStyle w:val="86"/>
              <w:widowControl w:val="0"/>
              <w:spacing w:line="240" w:lineRule="auto"/>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w:t>
            </w:r>
            <w:r>
              <w:rPr>
                <w:color w:val="000000" w:themeColor="text1"/>
                <w:szCs w:val="21"/>
                <w14:textFill>
                  <w14:solidFill>
                    <w14:schemeClr w14:val="tx1"/>
                  </w14:solidFill>
                </w14:textFill>
              </w:rPr>
              <w:t>800</w:t>
            </w:r>
          </w:p>
        </w:tc>
        <w:tc>
          <w:tcPr>
            <w:tcW w:w="600" w:type="pct"/>
            <w:vMerge w:val="continue"/>
            <w:tcBorders>
              <w:tl2br w:val="nil"/>
              <w:tr2bl w:val="nil"/>
            </w:tcBorders>
            <w:vAlign w:val="center"/>
          </w:tcPr>
          <w:p w14:paraId="445A312D">
            <w:pPr>
              <w:pStyle w:val="86"/>
              <w:widowControl w:val="0"/>
              <w:spacing w:line="240" w:lineRule="auto"/>
              <w:ind w:firstLine="0" w:firstLineChars="0"/>
              <w:jc w:val="center"/>
              <w:rPr>
                <w:color w:val="000000" w:themeColor="text1"/>
                <w:szCs w:val="21"/>
                <w14:textFill>
                  <w14:solidFill>
                    <w14:schemeClr w14:val="tx1"/>
                  </w14:solidFill>
                </w14:textFill>
              </w:rPr>
            </w:pPr>
          </w:p>
        </w:tc>
        <w:tc>
          <w:tcPr>
            <w:tcW w:w="599" w:type="pct"/>
            <w:vMerge w:val="continue"/>
            <w:tcBorders>
              <w:tl2br w:val="nil"/>
              <w:tr2bl w:val="nil"/>
            </w:tcBorders>
            <w:vAlign w:val="center"/>
          </w:tcPr>
          <w:p w14:paraId="531D6543">
            <w:pPr>
              <w:pStyle w:val="86"/>
              <w:widowControl w:val="0"/>
              <w:spacing w:line="240" w:lineRule="auto"/>
              <w:ind w:firstLine="0" w:firstLineChars="0"/>
              <w:jc w:val="center"/>
              <w:rPr>
                <w:color w:val="000000" w:themeColor="text1"/>
                <w:szCs w:val="21"/>
                <w14:textFill>
                  <w14:solidFill>
                    <w14:schemeClr w14:val="tx1"/>
                  </w14:solidFill>
                </w14:textFill>
              </w:rPr>
            </w:pPr>
          </w:p>
        </w:tc>
        <w:tc>
          <w:tcPr>
            <w:tcW w:w="594" w:type="pct"/>
            <w:vMerge w:val="continue"/>
            <w:tcBorders>
              <w:tl2br w:val="nil"/>
              <w:tr2bl w:val="nil"/>
            </w:tcBorders>
            <w:vAlign w:val="center"/>
          </w:tcPr>
          <w:p w14:paraId="29C293FB">
            <w:pPr>
              <w:pStyle w:val="86"/>
              <w:widowControl w:val="0"/>
              <w:spacing w:line="240" w:lineRule="auto"/>
              <w:ind w:firstLine="0" w:firstLineChars="0"/>
              <w:jc w:val="center"/>
              <w:rPr>
                <w:color w:val="000000" w:themeColor="text1"/>
                <w:szCs w:val="21"/>
                <w14:textFill>
                  <w14:solidFill>
                    <w14:schemeClr w14:val="tx1"/>
                  </w14:solidFill>
                </w14:textFill>
              </w:rPr>
            </w:pPr>
          </w:p>
        </w:tc>
        <w:tc>
          <w:tcPr>
            <w:tcW w:w="602" w:type="pct"/>
            <w:tcBorders>
              <w:tl2br w:val="nil"/>
              <w:tr2bl w:val="nil"/>
            </w:tcBorders>
            <w:vAlign w:val="center"/>
          </w:tcPr>
          <w:p w14:paraId="28B3D974">
            <w:pPr>
              <w:pStyle w:val="86"/>
              <w:widowControl w:val="0"/>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31.6246</w:t>
            </w:r>
          </w:p>
        </w:tc>
        <w:tc>
          <w:tcPr>
            <w:tcW w:w="601" w:type="pct"/>
            <w:vMerge w:val="continue"/>
            <w:tcBorders>
              <w:tl2br w:val="nil"/>
              <w:tr2bl w:val="nil"/>
            </w:tcBorders>
            <w:vAlign w:val="center"/>
          </w:tcPr>
          <w:p w14:paraId="16AA05BE">
            <w:pPr>
              <w:pStyle w:val="86"/>
              <w:widowControl w:val="0"/>
              <w:spacing w:line="240" w:lineRule="auto"/>
              <w:ind w:firstLine="0" w:firstLineChars="0"/>
              <w:jc w:val="center"/>
              <w:rPr>
                <w:color w:val="000000" w:themeColor="text1"/>
                <w:szCs w:val="21"/>
                <w14:textFill>
                  <w14:solidFill>
                    <w14:schemeClr w14:val="tx1"/>
                  </w14:solidFill>
                </w14:textFill>
              </w:rPr>
            </w:pPr>
          </w:p>
        </w:tc>
        <w:tc>
          <w:tcPr>
            <w:tcW w:w="675" w:type="pct"/>
            <w:vMerge w:val="continue"/>
            <w:tcBorders>
              <w:tl2br w:val="nil"/>
              <w:tr2bl w:val="nil"/>
            </w:tcBorders>
            <w:vAlign w:val="center"/>
          </w:tcPr>
          <w:p w14:paraId="13AB1242">
            <w:pPr>
              <w:pStyle w:val="86"/>
              <w:widowControl w:val="0"/>
              <w:spacing w:line="240" w:lineRule="auto"/>
              <w:ind w:firstLine="0" w:firstLineChars="0"/>
              <w:jc w:val="center"/>
              <w:rPr>
                <w:color w:val="000000" w:themeColor="text1"/>
                <w:szCs w:val="21"/>
                <w14:textFill>
                  <w14:solidFill>
                    <w14:schemeClr w14:val="tx1"/>
                  </w14:solidFill>
                </w14:textFill>
              </w:rPr>
            </w:pPr>
          </w:p>
        </w:tc>
        <w:tc>
          <w:tcPr>
            <w:tcW w:w="456" w:type="pct"/>
            <w:vMerge w:val="continue"/>
            <w:tcBorders>
              <w:tl2br w:val="nil"/>
              <w:tr2bl w:val="nil"/>
            </w:tcBorders>
            <w:vAlign w:val="center"/>
          </w:tcPr>
          <w:p w14:paraId="24E8255A">
            <w:pPr>
              <w:pStyle w:val="86"/>
              <w:widowControl w:val="0"/>
              <w:spacing w:line="240" w:lineRule="auto"/>
              <w:ind w:firstLine="0" w:firstLineChars="0"/>
              <w:jc w:val="center"/>
              <w:rPr>
                <w:color w:val="000000" w:themeColor="text1"/>
                <w:szCs w:val="21"/>
                <w14:textFill>
                  <w14:solidFill>
                    <w14:schemeClr w14:val="tx1"/>
                  </w14:solidFill>
                </w14:textFill>
              </w:rPr>
            </w:pPr>
          </w:p>
        </w:tc>
      </w:tr>
      <w:tr w14:paraId="5686EA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9"/>
            <w:tcBorders>
              <w:tl2br w:val="nil"/>
              <w:tr2bl w:val="nil"/>
            </w:tcBorders>
            <w:vAlign w:val="center"/>
          </w:tcPr>
          <w:p w14:paraId="6A1F86E5">
            <w:pPr>
              <w:pStyle w:val="86"/>
              <w:widowControl w:val="0"/>
              <w:spacing w:line="240" w:lineRule="auto"/>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注：其中</w:t>
            </w:r>
            <w:r>
              <w:rPr>
                <w:b/>
                <w:bCs/>
                <w:i/>
                <w:color w:val="000000" w:themeColor="text1"/>
                <w:szCs w:val="21"/>
                <w14:textFill>
                  <w14:solidFill>
                    <w14:schemeClr w14:val="tx1"/>
                  </w14:solidFill>
                </w14:textFill>
              </w:rPr>
              <w:t>A</w:t>
            </w:r>
            <w:r>
              <w:rPr>
                <w:b/>
                <w:bCs/>
                <w:i/>
                <w:color w:val="000000" w:themeColor="text1"/>
                <w:szCs w:val="21"/>
                <w:vertAlign w:val="subscript"/>
                <w14:textFill>
                  <w14:solidFill>
                    <w14:schemeClr w14:val="tx1"/>
                  </w14:solidFill>
                </w14:textFill>
              </w:rPr>
              <w:t>(T,i)</w:t>
            </w:r>
            <w:r>
              <w:rPr>
                <w:rFonts w:hint="eastAsia"/>
                <w:color w:val="000000" w:themeColor="text1"/>
                <w:szCs w:val="21"/>
                <w14:textFill>
                  <w14:solidFill>
                    <w14:schemeClr w14:val="tx1"/>
                  </w14:solidFill>
                </w14:textFill>
              </w:rPr>
              <w:t>为本项目全场总计畜禽种类活动数据，各个养殖场出栏量及各圈舍污染量统计见表</w:t>
            </w:r>
          </w:p>
        </w:tc>
      </w:tr>
    </w:tbl>
    <w:p w14:paraId="43C58BB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计算得出本项目</w:t>
      </w:r>
      <w:r>
        <w:rPr>
          <w:i/>
          <w:color w:val="000000" w:themeColor="text1"/>
          <w:sz w:val="24"/>
          <w14:textFill>
            <w14:solidFill>
              <w14:schemeClr w14:val="tx1"/>
            </w14:solidFill>
          </w14:textFill>
        </w:rPr>
        <w:t>EF</w:t>
      </w:r>
      <w:r>
        <w:rPr>
          <w:i/>
          <w:color w:val="000000" w:themeColor="text1"/>
          <w:sz w:val="24"/>
          <w:vertAlign w:val="subscript"/>
          <w14:textFill>
            <w14:solidFill>
              <w14:schemeClr w14:val="tx1"/>
            </w14:solidFill>
          </w14:textFill>
        </w:rPr>
        <w:t>h(T,a)</w:t>
      </w:r>
      <w:r>
        <w:rPr>
          <w:rFonts w:hint="eastAsia"/>
          <w:i/>
          <w:color w:val="000000" w:themeColor="text1"/>
          <w:sz w:val="24"/>
          <w:vertAlign w:val="subscript"/>
          <w14:textFill>
            <w14:solidFill>
              <w14:schemeClr w14:val="tx1"/>
            </w14:solidFill>
          </w14:textFill>
        </w:rPr>
        <w:t>安格斯牛</w:t>
      </w:r>
      <w:r>
        <w:rPr>
          <w:color w:val="000000" w:themeColor="text1"/>
          <w:sz w:val="24"/>
          <w14:textFill>
            <w14:solidFill>
              <w14:schemeClr w14:val="tx1"/>
            </w14:solidFill>
          </w14:textFill>
        </w:rPr>
        <w:t>值为9.0543kg 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/头/年</w:t>
      </w:r>
      <w:r>
        <w:rPr>
          <w:rFonts w:hint="eastAsia"/>
          <w:color w:val="000000" w:themeColor="text1"/>
          <w:sz w:val="24"/>
          <w14:textFill>
            <w14:solidFill>
              <w14:schemeClr w14:val="tx1"/>
            </w14:solidFill>
          </w14:textFill>
        </w:rPr>
        <w:t>，</w:t>
      </w:r>
      <w:r>
        <w:rPr>
          <w:i/>
          <w:color w:val="000000" w:themeColor="text1"/>
          <w:sz w:val="24"/>
          <w14:textFill>
            <w14:solidFill>
              <w14:schemeClr w14:val="tx1"/>
            </w14:solidFill>
          </w14:textFill>
        </w:rPr>
        <w:t>EF</w:t>
      </w:r>
      <w:r>
        <w:rPr>
          <w:i/>
          <w:color w:val="000000" w:themeColor="text1"/>
          <w:sz w:val="24"/>
          <w:vertAlign w:val="subscript"/>
          <w14:textFill>
            <w14:solidFill>
              <w14:schemeClr w14:val="tx1"/>
            </w14:solidFill>
          </w14:textFill>
        </w:rPr>
        <w:t>h(T,a)</w:t>
      </w:r>
      <w:r>
        <w:rPr>
          <w:rFonts w:hint="eastAsia"/>
          <w:i/>
          <w:color w:val="000000" w:themeColor="text1"/>
          <w:sz w:val="24"/>
          <w:vertAlign w:val="subscript"/>
          <w14:textFill>
            <w14:solidFill>
              <w14:schemeClr w14:val="tx1"/>
            </w14:solidFill>
          </w14:textFill>
        </w:rPr>
        <w:t>空山牛</w:t>
      </w:r>
      <w:r>
        <w:rPr>
          <w:color w:val="000000" w:themeColor="text1"/>
          <w:sz w:val="24"/>
          <w14:textFill>
            <w14:solidFill>
              <w14:schemeClr w14:val="tx1"/>
            </w14:solidFill>
          </w14:textFill>
        </w:rPr>
        <w:t>值为5.9508kg 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/头/年，项目</w:t>
      </w:r>
      <w:r>
        <w:rPr>
          <w:i/>
          <w:color w:val="000000" w:themeColor="text1"/>
          <w:sz w:val="24"/>
          <w14:textFill>
            <w14:solidFill>
              <w14:schemeClr w14:val="tx1"/>
            </w14:solidFill>
          </w14:textFill>
        </w:rPr>
        <w:t>NH</w:t>
      </w:r>
      <w:r>
        <w:rPr>
          <w:i/>
          <w:color w:val="000000" w:themeColor="text1"/>
          <w:sz w:val="24"/>
          <w:vertAlign w:val="subscript"/>
          <w14:textFill>
            <w14:solidFill>
              <w14:schemeClr w14:val="tx1"/>
            </w14:solidFill>
          </w14:textFill>
        </w:rPr>
        <w:t>3</w:t>
      </w:r>
      <w:r>
        <w:rPr>
          <w:rFonts w:hint="eastAsia"/>
          <w:i/>
          <w:color w:val="000000" w:themeColor="text1"/>
          <w:sz w:val="24"/>
          <w:vertAlign w:val="subscript"/>
          <w14:textFill>
            <w14:solidFill>
              <w14:schemeClr w14:val="tx1"/>
            </w14:solidFill>
          </w14:textFill>
        </w:rPr>
        <w:t>安格斯牛</w:t>
      </w:r>
      <w:bookmarkStart w:id="422" w:name="OLE_LINK109"/>
      <w:bookmarkStart w:id="423" w:name="OLE_LINK110"/>
      <w:r>
        <w:rPr>
          <w:rFonts w:hint="eastAsia"/>
          <w:color w:val="000000" w:themeColor="text1"/>
          <w:sz w:val="24"/>
          <w14:textFill>
            <w14:solidFill>
              <w14:schemeClr w14:val="tx1"/>
            </w14:solidFill>
          </w14:textFill>
        </w:rPr>
        <w:t>排放</w:t>
      </w:r>
      <w:bookmarkEnd w:id="422"/>
      <w:bookmarkEnd w:id="423"/>
      <w:r>
        <w:rPr>
          <w:color w:val="000000" w:themeColor="text1"/>
          <w:sz w:val="24"/>
          <w14:textFill>
            <w14:solidFill>
              <w14:schemeClr w14:val="tx1"/>
            </w14:solidFill>
          </w14:textFill>
        </w:rPr>
        <w:t>量4.3267t/a</w:t>
      </w:r>
      <w:bookmarkStart w:id="424" w:name="OLE_LINK107"/>
      <w:bookmarkStart w:id="425" w:name="OLE_LINK108"/>
      <w:r>
        <w:rPr>
          <w:rFonts w:hint="eastAsia"/>
          <w:color w:val="000000" w:themeColor="text1"/>
          <w:sz w:val="24"/>
          <w14:textFill>
            <w14:solidFill>
              <w14:schemeClr w14:val="tx1"/>
            </w14:solidFill>
          </w14:textFill>
        </w:rPr>
        <w:t>（排放速率为0</w:t>
      </w:r>
      <w:r>
        <w:rPr>
          <w:color w:val="000000" w:themeColor="text1"/>
          <w:sz w:val="24"/>
          <w14:textFill>
            <w14:solidFill>
              <w14:schemeClr w14:val="tx1"/>
            </w14:solidFill>
          </w14:textFill>
        </w:rPr>
        <w:t>.5007</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h</w:t>
      </w:r>
      <w:r>
        <w:rPr>
          <w:rFonts w:hint="eastAsia"/>
          <w:color w:val="000000" w:themeColor="text1"/>
          <w:sz w:val="24"/>
          <w14:textFill>
            <w14:solidFill>
              <w14:schemeClr w14:val="tx1"/>
            </w14:solidFill>
          </w14:textFill>
        </w:rPr>
        <w:t>）</w:t>
      </w:r>
      <w:bookmarkEnd w:id="424"/>
      <w:bookmarkEnd w:id="425"/>
      <w:r>
        <w:rPr>
          <w:rFonts w:hint="eastAsia"/>
          <w:color w:val="000000" w:themeColor="text1"/>
          <w:sz w:val="24"/>
          <w14:textFill>
            <w14:solidFill>
              <w14:schemeClr w14:val="tx1"/>
            </w14:solidFill>
          </w14:textFill>
        </w:rPr>
        <w:t>，</w:t>
      </w:r>
      <w:r>
        <w:rPr>
          <w:i/>
          <w:color w:val="000000" w:themeColor="text1"/>
          <w:sz w:val="24"/>
          <w14:textFill>
            <w14:solidFill>
              <w14:schemeClr w14:val="tx1"/>
            </w14:solidFill>
          </w14:textFill>
        </w:rPr>
        <w:t>NH</w:t>
      </w:r>
      <w:r>
        <w:rPr>
          <w:i/>
          <w:color w:val="000000" w:themeColor="text1"/>
          <w:sz w:val="24"/>
          <w:vertAlign w:val="subscript"/>
          <w14:textFill>
            <w14:solidFill>
              <w14:schemeClr w14:val="tx1"/>
            </w14:solidFill>
          </w14:textFill>
        </w:rPr>
        <w:t>3</w:t>
      </w:r>
      <w:r>
        <w:rPr>
          <w:rFonts w:hint="eastAsia"/>
          <w:i/>
          <w:color w:val="000000" w:themeColor="text1"/>
          <w:sz w:val="24"/>
          <w:vertAlign w:val="subscript"/>
          <w14:textFill>
            <w14:solidFill>
              <w14:schemeClr w14:val="tx1"/>
            </w14:solidFill>
          </w14:textFill>
        </w:rPr>
        <w:t>空山牛</w:t>
      </w:r>
      <w:r>
        <w:rPr>
          <w:rFonts w:hint="eastAsia"/>
          <w:color w:val="000000" w:themeColor="text1"/>
          <w:sz w:val="24"/>
          <w14:textFill>
            <w14:solidFill>
              <w14:schemeClr w14:val="tx1"/>
            </w14:solidFill>
          </w14:textFill>
        </w:rPr>
        <w:t>排放</w:t>
      </w:r>
      <w:r>
        <w:rPr>
          <w:color w:val="000000" w:themeColor="text1"/>
          <w:sz w:val="24"/>
          <w14:textFill>
            <w14:solidFill>
              <w14:schemeClr w14:val="tx1"/>
            </w14:solidFill>
          </w14:textFill>
        </w:rPr>
        <w:t>量0.2641t/a</w:t>
      </w:r>
      <w:r>
        <w:rPr>
          <w:rFonts w:hint="eastAsia"/>
          <w:color w:val="000000" w:themeColor="text1"/>
          <w:sz w:val="24"/>
          <w14:textFill>
            <w14:solidFill>
              <w14:schemeClr w14:val="tx1"/>
            </w14:solidFill>
          </w14:textFill>
        </w:rPr>
        <w:t>（排放速率为0</w:t>
      </w:r>
      <w:r>
        <w:rPr>
          <w:color w:val="000000" w:themeColor="text1"/>
          <w:sz w:val="24"/>
          <w14:textFill>
            <w14:solidFill>
              <w14:schemeClr w14:val="tx1"/>
            </w14:solidFill>
          </w14:textFill>
        </w:rPr>
        <w:t>.0306</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h</w:t>
      </w:r>
      <w:r>
        <w:rPr>
          <w:rFonts w:hint="eastAsia"/>
          <w:color w:val="000000" w:themeColor="text1"/>
          <w:sz w:val="24"/>
          <w14:textFill>
            <w14:solidFill>
              <w14:schemeClr w14:val="tx1"/>
            </w14:solidFill>
          </w14:textFill>
        </w:rPr>
        <w:t>）。则全场</w:t>
      </w:r>
      <w:r>
        <w:rPr>
          <w:i/>
          <w:color w:val="000000" w:themeColor="text1"/>
          <w:sz w:val="24"/>
          <w14:textFill>
            <w14:solidFill>
              <w14:schemeClr w14:val="tx1"/>
            </w14:solidFill>
          </w14:textFill>
        </w:rPr>
        <w:t>NH</w:t>
      </w:r>
      <w:r>
        <w:rPr>
          <w:i/>
          <w:color w:val="000000" w:themeColor="text1"/>
          <w:sz w:val="24"/>
          <w:vertAlign w:val="subscript"/>
          <w14:textFill>
            <w14:solidFill>
              <w14:schemeClr w14:val="tx1"/>
            </w14:solidFill>
          </w14:textFill>
        </w:rPr>
        <w:t>3</w:t>
      </w:r>
      <w:r>
        <w:rPr>
          <w:rFonts w:hint="eastAsia"/>
          <w:color w:val="000000" w:themeColor="text1"/>
          <w:sz w:val="24"/>
          <w14:textFill>
            <w14:solidFill>
              <w14:schemeClr w14:val="tx1"/>
            </w14:solidFill>
          </w14:textFill>
        </w:rPr>
        <w:t>排放</w:t>
      </w:r>
      <w:r>
        <w:rPr>
          <w:color w:val="000000" w:themeColor="text1"/>
          <w:sz w:val="24"/>
          <w14:textFill>
            <w14:solidFill>
              <w14:schemeClr w14:val="tx1"/>
            </w14:solidFill>
          </w14:textFill>
        </w:rPr>
        <w:t>量</w:t>
      </w:r>
      <w:r>
        <w:rPr>
          <w:rFonts w:hint="eastAsia"/>
          <w:color w:val="000000" w:themeColor="text1"/>
          <w:sz w:val="24"/>
          <w14:textFill>
            <w14:solidFill>
              <w14:schemeClr w14:val="tx1"/>
            </w14:solidFill>
          </w14:textFill>
        </w:rPr>
        <w:t>合计为4</w:t>
      </w:r>
      <w:r>
        <w:rPr>
          <w:color w:val="000000" w:themeColor="text1"/>
          <w:sz w:val="24"/>
          <w14:textFill>
            <w14:solidFill>
              <w14:schemeClr w14:val="tx1"/>
            </w14:solidFill>
          </w14:textFill>
        </w:rPr>
        <w:t>.5908t/a</w:t>
      </w:r>
      <w:r>
        <w:rPr>
          <w:rFonts w:hint="eastAsia"/>
          <w:color w:val="000000" w:themeColor="text1"/>
          <w:sz w:val="24"/>
          <w14:textFill>
            <w14:solidFill>
              <w14:schemeClr w14:val="tx1"/>
            </w14:solidFill>
          </w14:textFill>
        </w:rPr>
        <w:t>（排放速率为0</w:t>
      </w:r>
      <w:r>
        <w:rPr>
          <w:color w:val="000000" w:themeColor="text1"/>
          <w:sz w:val="24"/>
          <w14:textFill>
            <w14:solidFill>
              <w14:schemeClr w14:val="tx1"/>
            </w14:solidFill>
          </w14:textFill>
        </w:rPr>
        <w:t>.5313</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h）。</w:t>
      </w:r>
    </w:p>
    <w:p w14:paraId="0B645D1D">
      <w:pPr>
        <w:adjustRightInd w:val="0"/>
        <w:snapToGrid w:val="0"/>
        <w:spacing w:line="360" w:lineRule="auto"/>
        <w:ind w:firstLine="482" w:firstLineChars="200"/>
        <w:rPr>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氨气产生量</w:t>
      </w:r>
      <w:r>
        <w:rPr>
          <w:b/>
          <w:bCs/>
          <w:color w:val="000000" w:themeColor="text1"/>
          <w:sz w:val="24"/>
          <w:szCs w:val="22"/>
          <w14:textFill>
            <w14:solidFill>
              <w14:schemeClr w14:val="tx1"/>
            </w14:solidFill>
          </w14:textFill>
        </w:rPr>
        <w:t>：</w:t>
      </w:r>
    </w:p>
    <w:p w14:paraId="1A0CB92B">
      <w:pPr>
        <w:adjustRightInd w:val="0"/>
        <w:snapToGrid w:val="0"/>
        <w:spacing w:line="360" w:lineRule="auto"/>
        <w:ind w:firstLine="480" w:firstLineChars="200"/>
        <w:jc w:val="both"/>
        <w:rPr>
          <w:bCs/>
          <w:color w:val="000000" w:themeColor="text1"/>
          <w:sz w:val="24"/>
          <w:szCs w:val="22"/>
          <w14:textFill>
            <w14:solidFill>
              <w14:schemeClr w14:val="tx1"/>
            </w14:solidFill>
          </w14:textFill>
        </w:rPr>
      </w:pPr>
      <w:r>
        <w:rPr>
          <w:rFonts w:hint="eastAsia"/>
          <w:color w:val="000000" w:themeColor="text1"/>
          <w:sz w:val="24"/>
          <w14:textFill>
            <w14:solidFill>
              <w14:schemeClr w14:val="tx1"/>
            </w14:solidFill>
          </w14:textFill>
        </w:rPr>
        <w:t>根据氨气排放量的计算过程，</w:t>
      </w:r>
      <w:r>
        <w:rPr>
          <w:i/>
          <w:color w:val="000000" w:themeColor="text1"/>
          <w:sz w:val="24"/>
          <w14:textFill>
            <w14:solidFill>
              <w14:schemeClr w14:val="tx1"/>
            </w14:solidFill>
          </w14:textFill>
        </w:rPr>
        <w:t>η</w:t>
      </w:r>
      <w:r>
        <w:rPr>
          <w:i/>
          <w:color w:val="000000" w:themeColor="text1"/>
          <w:sz w:val="24"/>
          <w:vertAlign w:val="subscript"/>
          <w14:textFill>
            <w14:solidFill>
              <w14:schemeClr w14:val="tx1"/>
            </w14:solidFill>
          </w14:textFill>
        </w:rPr>
        <w:t>h(T,ar)</w:t>
      </w:r>
      <w:r>
        <w:rPr>
          <w:rFonts w:hint="eastAsia"/>
          <w:i/>
          <w:color w:val="000000" w:themeColor="text1"/>
          <w:sz w:val="24"/>
          <w14:textFill>
            <w14:solidFill>
              <w14:schemeClr w14:val="tx1"/>
            </w14:solidFill>
          </w14:textFill>
        </w:rPr>
        <w:t>（氨气减排效率）=</w:t>
      </w:r>
      <w:r>
        <w:rPr>
          <w:color w:val="000000" w:themeColor="text1"/>
          <w:sz w:val="24"/>
          <w14:textFill>
            <w14:solidFill>
              <w14:schemeClr w14:val="tx1"/>
            </w14:solidFill>
          </w14:textFill>
        </w:rPr>
        <w:t>0.95</w:t>
      </w:r>
      <w:r>
        <w:rPr>
          <w:rFonts w:hint="eastAsia"/>
          <w:color w:val="000000" w:themeColor="text1"/>
          <w:sz w:val="24"/>
          <w14:textFill>
            <w14:solidFill>
              <w14:schemeClr w14:val="tx1"/>
            </w14:solidFill>
          </w14:textFill>
        </w:rPr>
        <w:t>，则全场共计氨气产生量为9</w:t>
      </w:r>
      <w:r>
        <w:rPr>
          <w:color w:val="000000" w:themeColor="text1"/>
          <w:sz w:val="24"/>
          <w14:textFill>
            <w14:solidFill>
              <w14:schemeClr w14:val="tx1"/>
            </w14:solidFill>
          </w14:textFill>
        </w:rPr>
        <w:t>1.8167</w:t>
      </w:r>
      <w:r>
        <w:rPr>
          <w:rFonts w:hint="eastAsia"/>
          <w:color w:val="000000" w:themeColor="text1"/>
          <w:sz w:val="24"/>
          <w14:textFill>
            <w14:solidFill>
              <w14:schemeClr w14:val="tx1"/>
            </w14:solidFill>
          </w14:textFill>
        </w:rPr>
        <w:t>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a（产生速率1</w:t>
      </w:r>
      <w:r>
        <w:rPr>
          <w:color w:val="000000" w:themeColor="text1"/>
          <w:sz w:val="24"/>
          <w14:textFill>
            <w14:solidFill>
              <w14:schemeClr w14:val="tx1"/>
            </w14:solidFill>
          </w14:textFill>
        </w:rPr>
        <w:t>0.6269</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h）。</w:t>
      </w:r>
    </w:p>
    <w:p w14:paraId="3733191A">
      <w:pPr>
        <w:adjustRightInd w:val="0"/>
        <w:snapToGrid w:val="0"/>
        <w:spacing w:line="360" w:lineRule="auto"/>
        <w:ind w:firstLine="482" w:firstLineChars="200"/>
        <w:jc w:val="both"/>
        <w:rPr>
          <w:color w:val="000000" w:themeColor="text1"/>
          <w:sz w:val="24"/>
          <w:szCs w:val="22"/>
          <w14:textFill>
            <w14:solidFill>
              <w14:schemeClr w14:val="tx1"/>
            </w14:solidFill>
          </w14:textFill>
        </w:rPr>
      </w:pPr>
      <w:r>
        <w:rPr>
          <w:rFonts w:hint="eastAsia"/>
          <w:b/>
          <w:bCs/>
          <w:color w:val="000000" w:themeColor="text1"/>
          <w:sz w:val="24"/>
          <w:szCs w:val="22"/>
          <w14:textFill>
            <w14:solidFill>
              <w14:schemeClr w14:val="tx1"/>
            </w14:solidFill>
          </w14:textFill>
        </w:rPr>
        <w:t>硫化氢排放情况：</w:t>
      </w:r>
    </w:p>
    <w:p w14:paraId="1EC0CC7F">
      <w:pPr>
        <w:pStyle w:val="34"/>
        <w:rPr>
          <w:rFonts w:eastAsia="Times New Roman"/>
          <w:color w:val="FF0000"/>
          <w:sz w:val="24"/>
        </w:rPr>
      </w:pPr>
      <w:bookmarkStart w:id="426" w:name="OLE_LINK111"/>
      <w:bookmarkStart w:id="427" w:name="OLE_LINK112"/>
      <w:r>
        <w:rPr>
          <w:rFonts w:hint="eastAsia"/>
          <w:color w:val="000000" w:themeColor="text1"/>
          <w:sz w:val="24"/>
          <w14:textFill>
            <w14:solidFill>
              <w14:schemeClr w14:val="tx1"/>
            </w14:solidFill>
          </w14:textFill>
        </w:rPr>
        <w:t>根据氨气排放量的计算过程，</w:t>
      </w:r>
      <w:r>
        <w:rPr>
          <w:i/>
          <w:color w:val="000000" w:themeColor="text1"/>
          <w:sz w:val="24"/>
          <w14:textFill>
            <w14:solidFill>
              <w14:schemeClr w14:val="tx1"/>
            </w14:solidFill>
          </w14:textFill>
        </w:rPr>
        <w:t>η</w:t>
      </w:r>
      <w:r>
        <w:rPr>
          <w:i/>
          <w:color w:val="000000" w:themeColor="text1"/>
          <w:sz w:val="24"/>
          <w:vertAlign w:val="subscript"/>
          <w14:textFill>
            <w14:solidFill>
              <w14:schemeClr w14:val="tx1"/>
            </w14:solidFill>
          </w14:textFill>
        </w:rPr>
        <w:t>h(T,ar)</w:t>
      </w:r>
      <w:r>
        <w:rPr>
          <w:rFonts w:hint="eastAsia"/>
          <w:i/>
          <w:color w:val="000000" w:themeColor="text1"/>
          <w:sz w:val="24"/>
          <w14:textFill>
            <w14:solidFill>
              <w14:schemeClr w14:val="tx1"/>
            </w14:solidFill>
          </w14:textFill>
        </w:rPr>
        <w:t>=</w:t>
      </w:r>
      <w:r>
        <w:rPr>
          <w:color w:val="000000" w:themeColor="text1"/>
          <w:sz w:val="24"/>
          <w14:textFill>
            <w14:solidFill>
              <w14:schemeClr w14:val="tx1"/>
            </w14:solidFill>
          </w14:textFill>
        </w:rPr>
        <w:t>0.95</w:t>
      </w:r>
      <w:r>
        <w:rPr>
          <w:rFonts w:hint="eastAsia"/>
          <w:color w:val="000000" w:themeColor="text1"/>
          <w:sz w:val="24"/>
          <w14:textFill>
            <w14:solidFill>
              <w14:schemeClr w14:val="tx1"/>
            </w14:solidFill>
          </w14:textFill>
        </w:rPr>
        <w:t>，则全场共计氨气产生量为9</w:t>
      </w:r>
      <w:r>
        <w:rPr>
          <w:color w:val="000000" w:themeColor="text1"/>
          <w:sz w:val="24"/>
          <w14:textFill>
            <w14:solidFill>
              <w14:schemeClr w14:val="tx1"/>
            </w14:solidFill>
          </w14:textFill>
        </w:rPr>
        <w:t>1.816</w:t>
      </w:r>
      <w:r>
        <w:rPr>
          <w:rFonts w:hint="eastAsia"/>
          <w:color w:val="000000" w:themeColor="text1"/>
          <w:sz w:val="24"/>
          <w14:textFill>
            <w14:solidFill>
              <w14:schemeClr w14:val="tx1"/>
            </w14:solidFill>
          </w14:textFill>
        </w:rPr>
        <w:t>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a（产生速率1</w:t>
      </w:r>
      <w:r>
        <w:rPr>
          <w:color w:val="000000" w:themeColor="text1"/>
          <w:sz w:val="24"/>
          <w14:textFill>
            <w14:solidFill>
              <w14:schemeClr w14:val="tx1"/>
            </w14:solidFill>
          </w14:textFill>
        </w:rPr>
        <w:t>0.6269</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h）。</w:t>
      </w:r>
      <w:bookmarkEnd w:id="426"/>
      <w:bookmarkEnd w:id="427"/>
      <w:bookmarkStart w:id="428" w:name="OLE_LINK198"/>
      <w:bookmarkStart w:id="429" w:name="OLE_LINK199"/>
      <w:r>
        <w:rPr>
          <w:color w:val="FF0000"/>
          <w:sz w:val="24"/>
        </w:rPr>
        <w:t>参考《农业环境影响评价技术手册》（化学工业出版社2007）</w:t>
      </w:r>
      <w:bookmarkEnd w:id="428"/>
      <w:bookmarkEnd w:id="429"/>
      <w:r>
        <w:rPr>
          <w:color w:val="FF0000"/>
          <w:sz w:val="24"/>
        </w:rPr>
        <w:t>及其他养殖文献资料，H</w:t>
      </w:r>
      <w:r>
        <w:rPr>
          <w:color w:val="FF0000"/>
          <w:sz w:val="24"/>
          <w:vertAlign w:val="subscript"/>
        </w:rPr>
        <w:t>2</w:t>
      </w:r>
      <w:r>
        <w:rPr>
          <w:color w:val="FF0000"/>
          <w:sz w:val="24"/>
        </w:rPr>
        <w:t>S的产生量一般为NH</w:t>
      </w:r>
      <w:r>
        <w:rPr>
          <w:color w:val="FF0000"/>
          <w:sz w:val="24"/>
          <w:vertAlign w:val="subscript"/>
        </w:rPr>
        <w:t>3</w:t>
      </w:r>
      <w:r>
        <w:rPr>
          <w:color w:val="FF0000"/>
          <w:sz w:val="24"/>
        </w:rPr>
        <w:t>的1~5%，本次环评取5%。则恶臭污染物</w:t>
      </w:r>
      <w:r>
        <w:rPr>
          <w:i/>
          <w:color w:val="FF0000"/>
          <w:sz w:val="24"/>
        </w:rPr>
        <w:t>H</w:t>
      </w:r>
      <w:r>
        <w:rPr>
          <w:i/>
          <w:color w:val="FF0000"/>
          <w:sz w:val="24"/>
          <w:vertAlign w:val="subscript"/>
        </w:rPr>
        <w:t>2</w:t>
      </w:r>
      <w:r>
        <w:rPr>
          <w:i/>
          <w:color w:val="FF0000"/>
          <w:sz w:val="24"/>
        </w:rPr>
        <w:t>S</w:t>
      </w:r>
      <w:r>
        <w:rPr>
          <w:color w:val="FF0000"/>
          <w:sz w:val="24"/>
        </w:rPr>
        <w:t>产生量约为4.5908</w:t>
      </w:r>
      <w:r>
        <w:rPr>
          <w:rFonts w:hint="eastAsia"/>
          <w:color w:val="FF0000"/>
          <w:sz w:val="24"/>
        </w:rPr>
        <w:t>t</w:t>
      </w:r>
      <w:r>
        <w:rPr>
          <w:color w:val="FF0000"/>
          <w:sz w:val="24"/>
        </w:rPr>
        <w:t>/</w:t>
      </w:r>
      <w:r>
        <w:rPr>
          <w:rFonts w:hint="eastAsia"/>
          <w:color w:val="FF0000"/>
          <w:sz w:val="24"/>
        </w:rPr>
        <w:t>a（</w:t>
      </w:r>
      <w:r>
        <w:rPr>
          <w:color w:val="FF0000"/>
          <w:sz w:val="24"/>
        </w:rPr>
        <w:t>0.5313kg/h</w:t>
      </w:r>
      <w:r>
        <w:rPr>
          <w:rFonts w:hint="eastAsia"/>
          <w:color w:val="FF0000"/>
          <w:sz w:val="24"/>
        </w:rPr>
        <w:t>）</w:t>
      </w:r>
      <w:r>
        <w:rPr>
          <w:color w:val="FF0000"/>
          <w:sz w:val="24"/>
        </w:rPr>
        <w:t>。</w:t>
      </w:r>
    </w:p>
    <w:p w14:paraId="37F46FEB">
      <w:pPr>
        <w:adjustRightInd w:val="0"/>
        <w:snapToGrid w:val="0"/>
        <w:spacing w:line="360" w:lineRule="auto"/>
        <w:ind w:firstLine="482" w:firstLineChars="200"/>
        <w:rPr>
          <w:b/>
          <w:bCs/>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污染防治措施：</w:t>
      </w:r>
    </w:p>
    <w:p w14:paraId="37765B4B">
      <w:pPr>
        <w:adjustRightInd w:val="0"/>
        <w:snapToGrid w:val="0"/>
        <w:spacing w:line="360" w:lineRule="auto"/>
        <w:ind w:firstLine="480" w:firstLineChars="200"/>
        <w:jc w:val="both"/>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由于养殖场牛舍内对温度、采光、通风等条件要求较严格，牛舍内恶臭气体为无组织排放。为减轻恶臭气体对环境的影响，项目在运营过程中采取以下措施：</w:t>
      </w:r>
    </w:p>
    <w:p w14:paraId="52992CAE">
      <w:pPr>
        <w:adjustRightInd w:val="0"/>
        <w:snapToGrid w:val="0"/>
        <w:spacing w:line="360" w:lineRule="auto"/>
        <w:ind w:firstLine="480" w:firstLineChars="200"/>
        <w:jc w:val="both"/>
        <w:rPr>
          <w:color w:val="000000" w:themeColor="text1"/>
          <w:sz w:val="24"/>
          <w:szCs w:val="22"/>
          <w14:textFill>
            <w14:solidFill>
              <w14:schemeClr w14:val="tx1"/>
            </w14:solidFill>
          </w14:textFill>
        </w:rPr>
      </w:pPr>
      <w:r>
        <w:rPr>
          <w:rFonts w:hint="eastAsia" w:ascii="宋体" w:hAnsi="宋体" w:cs="宋体"/>
          <w:color w:val="000000" w:themeColor="text1"/>
          <w:sz w:val="24"/>
          <w:szCs w:val="22"/>
          <w14:textFill>
            <w14:solidFill>
              <w14:schemeClr w14:val="tx1"/>
            </w14:solidFill>
          </w14:textFill>
        </w:rPr>
        <w:t>①</w:t>
      </w:r>
      <w:r>
        <w:rPr>
          <w:color w:val="000000" w:themeColor="text1"/>
          <w:sz w:val="24"/>
          <w:szCs w:val="22"/>
          <w14:textFill>
            <w14:solidFill>
              <w14:schemeClr w14:val="tx1"/>
            </w14:solidFill>
          </w14:textFill>
        </w:rPr>
        <w:t>全面优化养殖工艺，科学设计日粮，提高饲料利用率。牛采食饲料后，饲料在消化道消化过程中（尤其后段肠道），因微生物腐败分解而产生臭气；同时，没有消化吸收部分在体外被微生物降解，也产生恶臭。产生的粪污越多，臭气就越多。提高日粮的消化率、减少干物质（特别是蛋白质）排出量，既减少肠道臭气的产生，又可减少粪便排出后臭气的产生，这是减少恶臭来源的有效措施。</w:t>
      </w:r>
    </w:p>
    <w:p w14:paraId="5953E048">
      <w:pPr>
        <w:adjustRightInd w:val="0"/>
        <w:snapToGrid w:val="0"/>
        <w:spacing w:line="360" w:lineRule="auto"/>
        <w:ind w:firstLine="480" w:firstLineChars="200"/>
        <w:jc w:val="both"/>
        <w:rPr>
          <w:color w:val="000000" w:themeColor="text1"/>
          <w:sz w:val="24"/>
          <w:szCs w:val="22"/>
          <w14:textFill>
            <w14:solidFill>
              <w14:schemeClr w14:val="tx1"/>
            </w14:solidFill>
          </w14:textFill>
        </w:rPr>
      </w:pPr>
      <w:r>
        <w:rPr>
          <w:rFonts w:hint="eastAsia" w:ascii="宋体" w:hAnsi="宋体" w:cs="宋体"/>
          <w:color w:val="000000" w:themeColor="text1"/>
          <w:sz w:val="24"/>
          <w:szCs w:val="22"/>
          <w14:textFill>
            <w14:solidFill>
              <w14:schemeClr w14:val="tx1"/>
            </w14:solidFill>
          </w14:textFill>
        </w:rPr>
        <w:t>②</w:t>
      </w:r>
      <w:r>
        <w:rPr>
          <w:color w:val="000000" w:themeColor="text1"/>
          <w:sz w:val="24"/>
          <w:szCs w:val="22"/>
          <w14:textFill>
            <w14:solidFill>
              <w14:schemeClr w14:val="tx1"/>
            </w14:solidFill>
          </w14:textFill>
        </w:rPr>
        <w:t>日粮中添加酶制剂、酸制剂、EM制剂等，对控制恶臭具有重要作用。通过在饲料中加入EM制剂、沸石（需食品级）等添加剂，对控制恶臭具有重要作用，其中：EM制剂是一种新型的复合微生物制剂，可增加牛消化道内有益微生物的数量，调节体内的微生物生态平衡，提高饲料的转化率，减少肠道内氨等恶臭物质产生；向圈舍内投放沸石，利用其强的吸附性，对氨气、硫化氢、水分等有很强的吸附力，常用于畜舍的除臭，使用它不仅可以降低畜舍内氨及硫化氢的浓度，同时降低畜舍内空气及粪便的湿度，减少氨等有害气体的发生，从而达到除臭的目的。</w:t>
      </w:r>
    </w:p>
    <w:p w14:paraId="52B94922">
      <w:pPr>
        <w:adjustRightInd w:val="0"/>
        <w:snapToGrid w:val="0"/>
        <w:spacing w:line="360" w:lineRule="auto"/>
        <w:ind w:firstLine="480" w:firstLineChars="200"/>
        <w:jc w:val="both"/>
        <w:rPr>
          <w:color w:val="000000" w:themeColor="text1"/>
          <w:sz w:val="24"/>
          <w:szCs w:val="22"/>
          <w14:textFill>
            <w14:solidFill>
              <w14:schemeClr w14:val="tx1"/>
            </w14:solidFill>
          </w14:textFill>
        </w:rPr>
      </w:pPr>
      <w:r>
        <w:rPr>
          <w:rFonts w:hint="eastAsia" w:ascii="宋体" w:hAnsi="宋体" w:cs="宋体"/>
          <w:color w:val="000000" w:themeColor="text1"/>
          <w:sz w:val="24"/>
          <w:szCs w:val="22"/>
          <w14:textFill>
            <w14:solidFill>
              <w14:schemeClr w14:val="tx1"/>
            </w14:solidFill>
          </w14:textFill>
        </w:rPr>
        <w:t>③</w:t>
      </w:r>
      <w:r>
        <w:rPr>
          <w:color w:val="000000" w:themeColor="text1"/>
          <w:sz w:val="24"/>
          <w:szCs w:val="22"/>
          <w14:textFill>
            <w14:solidFill>
              <w14:schemeClr w14:val="tx1"/>
            </w14:solidFill>
          </w14:textFill>
        </w:rPr>
        <w:t>牛舍定期喷洒生物除臭剂。</w:t>
      </w:r>
    </w:p>
    <w:p w14:paraId="29377625">
      <w:pPr>
        <w:adjustRightInd w:val="0"/>
        <w:snapToGrid w:val="0"/>
        <w:spacing w:line="360" w:lineRule="auto"/>
        <w:ind w:firstLine="480" w:firstLineChars="200"/>
        <w:jc w:val="both"/>
        <w:rPr>
          <w:color w:val="000000" w:themeColor="text1"/>
          <w:sz w:val="24"/>
          <w:szCs w:val="22"/>
          <w14:textFill>
            <w14:solidFill>
              <w14:schemeClr w14:val="tx1"/>
            </w14:solidFill>
          </w14:textFill>
        </w:rPr>
      </w:pPr>
      <w:r>
        <w:rPr>
          <w:rFonts w:hint="eastAsia" w:ascii="宋体" w:hAnsi="宋体" w:cs="宋体"/>
          <w:color w:val="000000" w:themeColor="text1"/>
          <w:sz w:val="24"/>
          <w:szCs w:val="22"/>
          <w14:textFill>
            <w14:solidFill>
              <w14:schemeClr w14:val="tx1"/>
            </w14:solidFill>
          </w14:textFill>
        </w:rPr>
        <w:t>④</w:t>
      </w:r>
      <w:r>
        <w:rPr>
          <w:color w:val="000000" w:themeColor="text1"/>
          <w:sz w:val="24"/>
          <w:szCs w:val="22"/>
          <w14:textFill>
            <w14:solidFill>
              <w14:schemeClr w14:val="tx1"/>
            </w14:solidFill>
          </w14:textFill>
        </w:rPr>
        <w:t>加强项目场区及四周绿化。在项目场区内部及周围进行绿化和种植防护林，可以降低场区风速、降低环境温度，减少气味的产生与挥发，还可直接吸收和过滤恶臭气体和尘粒。</w:t>
      </w:r>
    </w:p>
    <w:p w14:paraId="4630E891">
      <w:pPr>
        <w:adjustRightInd w:val="0"/>
        <w:snapToGrid w:val="0"/>
        <w:spacing w:line="360" w:lineRule="auto"/>
        <w:ind w:firstLine="480" w:firstLineChars="200"/>
        <w:jc w:val="both"/>
        <w:rPr>
          <w:color w:val="000000" w:themeColor="text1"/>
          <w:sz w:val="24"/>
          <w:szCs w:val="22"/>
          <w14:textFill>
            <w14:solidFill>
              <w14:schemeClr w14:val="tx1"/>
            </w14:solidFill>
          </w14:textFill>
        </w:rPr>
      </w:pPr>
      <w:r>
        <w:rPr>
          <w:rFonts w:hint="eastAsia" w:ascii="宋体" w:hAnsi="宋体" w:cs="宋体"/>
          <w:color w:val="000000" w:themeColor="text1"/>
          <w:sz w:val="24"/>
          <w:szCs w:val="22"/>
          <w14:textFill>
            <w14:solidFill>
              <w14:schemeClr w14:val="tx1"/>
            </w14:solidFill>
          </w14:textFill>
        </w:rPr>
        <w:t>⑤</w:t>
      </w:r>
      <w:r>
        <w:rPr>
          <w:color w:val="000000" w:themeColor="text1"/>
          <w:sz w:val="24"/>
          <w:szCs w:val="22"/>
          <w14:textFill>
            <w14:solidFill>
              <w14:schemeClr w14:val="tx1"/>
            </w14:solidFill>
          </w14:textFill>
        </w:rPr>
        <w:t>设置除臭喷雾系统，每日对猪舍进行除臭处理，降低恶臭污染物的排放量。</w:t>
      </w:r>
    </w:p>
    <w:p w14:paraId="4FBC2648">
      <w:pPr>
        <w:adjustRightInd w:val="0"/>
        <w:snapToGrid w:val="0"/>
        <w:spacing w:line="360" w:lineRule="auto"/>
        <w:ind w:firstLine="482" w:firstLineChars="200"/>
        <w:jc w:val="both"/>
        <w:rPr>
          <w:color w:val="000000" w:themeColor="text1"/>
          <w:sz w:val="24"/>
          <w:szCs w:val="22"/>
          <w14:textFill>
            <w14:solidFill>
              <w14:schemeClr w14:val="tx1"/>
            </w14:solidFill>
          </w14:textFill>
        </w:rPr>
      </w:pPr>
      <w:r>
        <w:rPr>
          <w:b/>
          <w:bCs/>
          <w:color w:val="000000" w:themeColor="text1"/>
          <w:sz w:val="24"/>
          <w:szCs w:val="22"/>
          <w14:textFill>
            <w14:solidFill>
              <w14:schemeClr w14:val="tx1"/>
            </w14:solidFill>
          </w14:textFill>
        </w:rPr>
        <w:t>排放情况：</w:t>
      </w:r>
    </w:p>
    <w:p w14:paraId="0B2A0141">
      <w:pPr>
        <w:adjustRightInd w:val="0"/>
        <w:snapToGrid w:val="0"/>
        <w:spacing w:line="360" w:lineRule="auto"/>
        <w:ind w:firstLine="480" w:firstLineChars="200"/>
        <w:jc w:val="both"/>
        <w:rPr>
          <w:color w:val="000000" w:themeColor="text1"/>
          <w:sz w:val="24"/>
          <w:shd w:val="clear" w:color="auto" w:fill="FFFFFF"/>
          <w14:textFill>
            <w14:solidFill>
              <w14:schemeClr w14:val="tx1"/>
            </w14:solidFill>
          </w14:textFill>
        </w:rPr>
      </w:pPr>
      <w:r>
        <w:rPr>
          <w:color w:val="000000" w:themeColor="text1"/>
          <w:sz w:val="24"/>
          <w:shd w:val="clear" w:color="auto" w:fill="FFFFFF"/>
          <w14:textFill>
            <w14:solidFill>
              <w14:schemeClr w14:val="tx1"/>
            </w14:solidFill>
          </w14:textFill>
        </w:rPr>
        <w:t>项目采用原位发酵床饲养工艺，使牛粪尿产生后直接落入发酵床内，利用发酵床中所含有的功能菌群能将垫料吸附、溶解的臭味物质当作自身的营养物，通过发酵过程，转化为菌体蛋白，从源头上减少臭味的产生；同时发酵床功能菌群可以抑制降解蛋白产生臭气的异化细菌生长繁殖，有效阻止臭味的生成。根据《生物发酵床养殖技术对养殖场污染物去除效果研究》（林启才、张振文杜利劳、李英杰）：</w:t>
      </w:r>
      <w:r>
        <w:rPr>
          <w:rFonts w:hint="eastAsia"/>
          <w:color w:val="000000" w:themeColor="text1"/>
          <w:sz w:val="24"/>
          <w:shd w:val="clear" w:color="auto" w:fill="FFFFFF"/>
          <w14:textFill>
            <w14:solidFill>
              <w14:schemeClr w14:val="tx1"/>
            </w14:solidFill>
          </w14:textFill>
        </w:rPr>
        <w:t>“</w:t>
      </w:r>
      <w:r>
        <w:rPr>
          <w:color w:val="000000" w:themeColor="text1"/>
          <w:sz w:val="24"/>
          <w:shd w:val="clear" w:color="auto" w:fill="FFFFFF"/>
          <w14:textFill>
            <w14:solidFill>
              <w14:schemeClr w14:val="tx1"/>
            </w14:solidFill>
          </w14:textFill>
        </w:rPr>
        <w:t>养牛小区加垫料后与传统养殖方式相比，硫化氢削减28%~45%，平均削减38.9%，氨氮削减40%~58%，平均削减47%</w:t>
      </w:r>
      <w:r>
        <w:rPr>
          <w:rFonts w:hint="eastAsia"/>
          <w:color w:val="000000" w:themeColor="text1"/>
          <w:sz w:val="24"/>
          <w:shd w:val="clear" w:color="auto" w:fill="FFFFFF"/>
          <w14:textFill>
            <w14:solidFill>
              <w14:schemeClr w14:val="tx1"/>
            </w14:solidFill>
          </w14:textFill>
        </w:rPr>
        <w:t>”</w:t>
      </w:r>
      <w:r>
        <w:rPr>
          <w:color w:val="000000" w:themeColor="text1"/>
          <w:sz w:val="24"/>
          <w:shd w:val="clear" w:color="auto" w:fill="FFFFFF"/>
          <w14:textFill>
            <w14:solidFill>
              <w14:schemeClr w14:val="tx1"/>
            </w14:solidFill>
          </w14:textFill>
        </w:rPr>
        <w:t>。</w:t>
      </w:r>
    </w:p>
    <w:p w14:paraId="570D78F8">
      <w:pPr>
        <w:adjustRightInd w:val="0"/>
        <w:snapToGrid w:val="0"/>
        <w:spacing w:line="360" w:lineRule="auto"/>
        <w:ind w:firstLine="480" w:firstLineChars="200"/>
        <w:jc w:val="both"/>
        <w:rPr>
          <w:rFonts w:ascii="宋体" w:hAnsi="宋体"/>
          <w:color w:val="000000" w:themeColor="text1"/>
          <w:sz w:val="24"/>
          <w:shd w:val="clear" w:color="auto" w:fill="FFFFFF"/>
          <w14:textFill>
            <w14:solidFill>
              <w14:schemeClr w14:val="tx1"/>
            </w14:solidFill>
          </w14:textFill>
        </w:rPr>
      </w:pPr>
      <w:r>
        <w:rPr>
          <w:rFonts w:ascii="宋体" w:hAnsi="宋体"/>
          <w:color w:val="000000" w:themeColor="text1"/>
          <w:sz w:val="24"/>
          <w:shd w:val="clear" w:color="auto" w:fill="FFFFFF"/>
          <w14:textFill>
            <w14:solidFill>
              <w14:schemeClr w14:val="tx1"/>
            </w14:solidFill>
          </w14:textFill>
        </w:rPr>
        <w:t>为进一步控制养殖恶臭，需定期对牛舍喷洒生物除臭剂</w:t>
      </w:r>
      <w:r>
        <w:rPr>
          <w:rFonts w:hint="eastAsia" w:ascii="宋体" w:hAnsi="宋体"/>
          <w:sz w:val="24"/>
          <w:shd w:val="clear" w:color="auto" w:fill="FFFFFF"/>
        </w:rPr>
        <w:t>，</w:t>
      </w:r>
      <w:r>
        <w:rPr>
          <w:rFonts w:ascii="宋体" w:hAnsi="宋体"/>
          <w:color w:val="000000" w:themeColor="text1"/>
          <w:sz w:val="24"/>
          <w:shd w:val="clear" w:color="auto" w:fill="FFFFFF"/>
          <w14:textFill>
            <w14:solidFill>
              <w14:schemeClr w14:val="tx1"/>
            </w14:solidFill>
          </w14:textFill>
        </w:rPr>
        <w:t>天然生物除臭剂表面不仅能有效地吸附、分解空气中的恶臭气体分子，同时也能使被吸附的异味分子的立体构型发生改变，削弱了异味分子中的化合键，使得异味分子的不稳定性增加，容易与其他分子进行化学反应，植物液中的酸性缓冲液发生反应，最后生成无味、无毒的有机盐。如硫化氢在植物液的作用下反应生成硫酸根离子和水；氨在植物液的作用下，生成氮气和水。市面上高效除臭剂理论上复配后即时使用可达到97%以上的除臭效率，但实际使用效果与药品管理、操作、养殖方式等都有密切联系，一般较难达到理论数值。</w:t>
      </w:r>
    </w:p>
    <w:p w14:paraId="549774B8">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shd w:val="clear" w:color="auto" w:fill="FFFFFF"/>
          <w14:textFill>
            <w14:solidFill>
              <w14:schemeClr w14:val="tx1"/>
            </w14:solidFill>
          </w14:textFill>
        </w:rPr>
        <w:t>根据《微生物源抗菌除臭剂—万洁芬在禽畜养殖中的应用研究》（苟丽霞,安德荣,张勤福,张弘,马驰,环境卫生工程；2009年10月,第17卷增刊</w:t>
      </w:r>
      <w:r>
        <w:rPr>
          <w:color w:val="000000" w:themeColor="text1"/>
          <w:sz w:val="24"/>
          <w14:textFill>
            <w14:solidFill>
              <w14:schemeClr w14:val="tx1"/>
            </w14:solidFill>
          </w14:textFill>
        </w:rPr>
        <w:t>）、《生物除臭剂在畜禽粪便除臭中的应用试验》（冯健、方新、于淼，《现代农业科技》，2009）和《除臭微生物的筛选》（吴小平、郑耀通，《福建轻纺》，2002第1期），中牛舍喷洒除臭剂后，结合项目所在地生物除臭剂的应用效果，本项目取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和H</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S浓度分别下降75%和85%。</w:t>
      </w:r>
    </w:p>
    <w:p w14:paraId="4B3F31E0">
      <w:pPr>
        <w:pStyle w:val="86"/>
        <w:ind w:firstLine="480" w:firstLineChars="200"/>
        <w:rPr>
          <w:color w:val="000000" w:themeColor="text1"/>
          <w:sz w:val="24"/>
          <w14:textFill>
            <w14:solidFill>
              <w14:schemeClr w14:val="tx1"/>
            </w14:solidFill>
          </w14:textFill>
        </w:rPr>
      </w:pPr>
      <w:bookmarkStart w:id="430" w:name="_Hlk231364252"/>
      <w:r>
        <w:rPr>
          <w:color w:val="000000" w:themeColor="text1"/>
          <w:sz w:val="24"/>
          <w14:textFill>
            <w14:solidFill>
              <w14:schemeClr w14:val="tx1"/>
            </w14:solidFill>
          </w14:textFill>
        </w:rPr>
        <w:t>拟建项目采用场床一体化养殖模式，垫料中混合EM菌，EM菌能够分解粪便中的有机物质</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减少粪便的臭味和有害气体的产生，改善养殖环境。根据《EM菌除臭剂应用于生活垃圾除臭的中试研究》（工业安全与环保2022年第48卷第10期），EM菌对氨、硫化氢的去除率在90%以上。</w:t>
      </w:r>
    </w:p>
    <w:p w14:paraId="3265F942">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综上所述，采取以上措施后，牛舍区域恶臭综合去除率约95%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因此本项目牛舍恶臭中</w:t>
      </w:r>
      <w:r>
        <w:rPr>
          <w:i/>
          <w:color w:val="000000" w:themeColor="text1"/>
          <w:sz w:val="24"/>
          <w14:textFill>
            <w14:solidFill>
              <w14:schemeClr w14:val="tx1"/>
            </w14:solidFill>
          </w14:textFill>
        </w:rPr>
        <w:t>NH</w:t>
      </w:r>
      <w:r>
        <w:rPr>
          <w:i/>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排放量为4.5908t/a，排放速率为0.5313kg/h；</w:t>
      </w:r>
      <w:r>
        <w:rPr>
          <w:i/>
          <w:color w:val="000000" w:themeColor="text1"/>
          <w:sz w:val="24"/>
          <w14:textFill>
            <w14:solidFill>
              <w14:schemeClr w14:val="tx1"/>
            </w14:solidFill>
          </w14:textFill>
        </w:rPr>
        <w:t>H</w:t>
      </w:r>
      <w:r>
        <w:rPr>
          <w:i/>
          <w:color w:val="000000" w:themeColor="text1"/>
          <w:sz w:val="24"/>
          <w:vertAlign w:val="subscript"/>
          <w14:textFill>
            <w14:solidFill>
              <w14:schemeClr w14:val="tx1"/>
            </w14:solidFill>
          </w14:textFill>
        </w:rPr>
        <w:t>2</w:t>
      </w:r>
      <w:r>
        <w:rPr>
          <w:i/>
          <w:color w:val="000000" w:themeColor="text1"/>
          <w:sz w:val="24"/>
          <w14:textFill>
            <w14:solidFill>
              <w14:schemeClr w14:val="tx1"/>
            </w14:solidFill>
          </w14:textFill>
        </w:rPr>
        <w:t>S</w:t>
      </w:r>
      <w:r>
        <w:rPr>
          <w:color w:val="000000" w:themeColor="text1"/>
          <w:sz w:val="24"/>
          <w14:textFill>
            <w14:solidFill>
              <w14:schemeClr w14:val="tx1"/>
            </w14:solidFill>
          </w14:textFill>
        </w:rPr>
        <w:t>排放量为0.2295t/a，排放速率为0.0266kg/h。</w:t>
      </w:r>
      <w:bookmarkEnd w:id="430"/>
    </w:p>
    <w:p w14:paraId="6085814E">
      <w:pPr>
        <w:pStyle w:val="1771"/>
        <w:spacing w:line="360" w:lineRule="auto"/>
        <w:rPr>
          <w:rFonts w:eastAsia="黑体"/>
          <w:b w:val="0"/>
          <w:bCs/>
          <w:snapToGrid w:val="0"/>
          <w:color w:val="000000" w:themeColor="text1"/>
          <w:szCs w:val="21"/>
          <w14:textFill>
            <w14:solidFill>
              <w14:schemeClr w14:val="tx1"/>
            </w14:solidFill>
          </w14:textFill>
        </w:rPr>
      </w:pPr>
      <w:bookmarkStart w:id="431" w:name="OLE_LINK144"/>
      <w:bookmarkStart w:id="432" w:name="OLE_LINK127"/>
      <w:r>
        <w:rPr>
          <w:rFonts w:hint="eastAsia" w:eastAsia="黑体"/>
          <w:b w:val="0"/>
          <w:bCs/>
          <w:snapToGrid w:val="0"/>
          <w:color w:val="000000" w:themeColor="text1"/>
          <w:szCs w:val="21"/>
          <w14:textFill>
            <w14:solidFill>
              <w14:schemeClr w14:val="tx1"/>
            </w14:solidFill>
          </w14:textFill>
        </w:rPr>
        <w:t>表3</w:t>
      </w:r>
      <w:r>
        <w:rPr>
          <w:rFonts w:eastAsia="黑体"/>
          <w:b w:val="0"/>
          <w:bCs/>
          <w:snapToGrid w:val="0"/>
          <w:color w:val="000000" w:themeColor="text1"/>
          <w:szCs w:val="21"/>
          <w14:textFill>
            <w14:solidFill>
              <w14:schemeClr w14:val="tx1"/>
            </w14:solidFill>
          </w14:textFill>
        </w:rPr>
        <w:t xml:space="preserve">.10.4-1 </w:t>
      </w:r>
      <w:r>
        <w:rPr>
          <w:rFonts w:hint="eastAsia" w:eastAsia="黑体"/>
          <w:b w:val="0"/>
          <w:bCs/>
          <w:snapToGrid w:val="0"/>
          <w:color w:val="000000" w:themeColor="text1"/>
          <w:szCs w:val="21"/>
          <w14:textFill>
            <w14:solidFill>
              <w14:schemeClr w14:val="tx1"/>
            </w14:solidFill>
          </w14:textFill>
        </w:rPr>
        <w:t>项目牛舍恶臭产排情况</w:t>
      </w:r>
      <w:r>
        <w:rPr>
          <w:rFonts w:eastAsia="黑体"/>
          <w:b w:val="0"/>
          <w:bCs/>
          <w:snapToGrid w:val="0"/>
          <w:color w:val="000000" w:themeColor="text1"/>
          <w:szCs w:val="21"/>
          <w14:textFill>
            <w14:solidFill>
              <w14:schemeClr w14:val="tx1"/>
            </w14:solidFill>
          </w14:textFill>
        </w:rPr>
        <w:t>一览表</w:t>
      </w:r>
    </w:p>
    <w:bookmarkEnd w:id="431"/>
    <w:bookmarkEnd w:id="432"/>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
        <w:gridCol w:w="384"/>
        <w:gridCol w:w="636"/>
        <w:gridCol w:w="859"/>
        <w:gridCol w:w="834"/>
        <w:gridCol w:w="868"/>
        <w:gridCol w:w="824"/>
        <w:gridCol w:w="913"/>
        <w:gridCol w:w="815"/>
        <w:gridCol w:w="854"/>
        <w:gridCol w:w="933"/>
      </w:tblGrid>
      <w:tr w14:paraId="69A3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7CBE7436">
            <w:pPr>
              <w:pStyle w:val="86"/>
              <w:widowControl w:val="0"/>
              <w:spacing w:line="240" w:lineRule="auto"/>
              <w:ind w:firstLine="0" w:firstLineChars="0"/>
              <w:jc w:val="center"/>
              <w:rPr>
                <w:rFonts w:ascii="宋体" w:hAnsi="宋体"/>
                <w:szCs w:val="21"/>
              </w:rPr>
            </w:pPr>
            <w:r>
              <w:rPr>
                <w:rFonts w:hint="eastAsia" w:ascii="宋体" w:hAnsi="宋体"/>
                <w:szCs w:val="21"/>
              </w:rPr>
              <w:t>养殖场区</w:t>
            </w:r>
          </w:p>
        </w:tc>
        <w:tc>
          <w:tcPr>
            <w:tcW w:w="231" w:type="pct"/>
            <w:vMerge w:val="restart"/>
            <w:vAlign w:val="center"/>
          </w:tcPr>
          <w:p w14:paraId="317D2485">
            <w:pPr>
              <w:pStyle w:val="86"/>
              <w:widowControl w:val="0"/>
              <w:spacing w:line="240" w:lineRule="auto"/>
              <w:ind w:firstLine="0" w:firstLineChars="0"/>
              <w:jc w:val="center"/>
              <w:rPr>
                <w:rFonts w:ascii="宋体" w:hAnsi="宋体"/>
                <w:szCs w:val="21"/>
              </w:rPr>
            </w:pPr>
            <w:r>
              <w:rPr>
                <w:rFonts w:hint="eastAsia" w:ascii="宋体" w:hAnsi="宋体"/>
                <w:szCs w:val="21"/>
              </w:rPr>
              <w:t>污染源</w:t>
            </w:r>
          </w:p>
        </w:tc>
        <w:tc>
          <w:tcPr>
            <w:tcW w:w="383" w:type="pct"/>
            <w:vMerge w:val="restart"/>
            <w:vAlign w:val="center"/>
          </w:tcPr>
          <w:p w14:paraId="6A75EAC2">
            <w:pPr>
              <w:pStyle w:val="86"/>
              <w:widowControl w:val="0"/>
              <w:spacing w:line="240" w:lineRule="auto"/>
              <w:ind w:firstLine="0" w:firstLineChars="0"/>
              <w:jc w:val="center"/>
              <w:rPr>
                <w:rFonts w:ascii="宋体" w:hAnsi="宋体"/>
                <w:szCs w:val="21"/>
              </w:rPr>
            </w:pPr>
            <w:r>
              <w:rPr>
                <w:rFonts w:hint="eastAsia" w:ascii="宋体" w:hAnsi="宋体"/>
                <w:szCs w:val="21"/>
              </w:rPr>
              <w:t>存栏规模/头</w:t>
            </w:r>
          </w:p>
        </w:tc>
        <w:tc>
          <w:tcPr>
            <w:tcW w:w="4155" w:type="pct"/>
            <w:gridSpan w:val="8"/>
            <w:vAlign w:val="center"/>
          </w:tcPr>
          <w:p w14:paraId="5D69CD86">
            <w:pPr>
              <w:pStyle w:val="86"/>
              <w:widowControl w:val="0"/>
              <w:spacing w:line="240" w:lineRule="auto"/>
              <w:ind w:firstLine="0" w:firstLineChars="0"/>
              <w:jc w:val="center"/>
              <w:rPr>
                <w:rFonts w:ascii="宋体" w:hAnsi="宋体"/>
                <w:szCs w:val="21"/>
              </w:rPr>
            </w:pPr>
            <w:r>
              <w:rPr>
                <w:rFonts w:hint="eastAsia" w:ascii="宋体" w:hAnsi="宋体"/>
                <w:szCs w:val="21"/>
              </w:rPr>
              <w:t>无组织</w:t>
            </w:r>
          </w:p>
        </w:tc>
      </w:tr>
      <w:tr w14:paraId="3B55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6268B4E">
            <w:pPr>
              <w:pStyle w:val="86"/>
              <w:widowControl w:val="0"/>
              <w:spacing w:line="240" w:lineRule="auto"/>
              <w:ind w:firstLine="0" w:firstLineChars="0"/>
              <w:jc w:val="center"/>
              <w:rPr>
                <w:rFonts w:ascii="宋体" w:hAnsi="宋体"/>
                <w:szCs w:val="21"/>
              </w:rPr>
            </w:pPr>
          </w:p>
        </w:tc>
        <w:tc>
          <w:tcPr>
            <w:tcW w:w="231" w:type="pct"/>
            <w:vMerge w:val="continue"/>
            <w:vAlign w:val="center"/>
          </w:tcPr>
          <w:p w14:paraId="5FBADBFE">
            <w:pPr>
              <w:pStyle w:val="86"/>
              <w:widowControl w:val="0"/>
              <w:spacing w:line="240" w:lineRule="auto"/>
              <w:ind w:firstLine="0" w:firstLineChars="0"/>
              <w:jc w:val="center"/>
              <w:rPr>
                <w:rFonts w:ascii="宋体" w:hAnsi="宋体"/>
                <w:szCs w:val="21"/>
              </w:rPr>
            </w:pPr>
          </w:p>
        </w:tc>
        <w:tc>
          <w:tcPr>
            <w:tcW w:w="383" w:type="pct"/>
            <w:vMerge w:val="continue"/>
            <w:vAlign w:val="center"/>
          </w:tcPr>
          <w:p w14:paraId="1E968301">
            <w:pPr>
              <w:pStyle w:val="86"/>
              <w:widowControl w:val="0"/>
              <w:spacing w:line="240" w:lineRule="auto"/>
              <w:ind w:firstLine="0" w:firstLineChars="0"/>
              <w:jc w:val="center"/>
              <w:rPr>
                <w:rFonts w:ascii="宋体" w:hAnsi="宋体"/>
                <w:szCs w:val="21"/>
              </w:rPr>
            </w:pPr>
          </w:p>
        </w:tc>
        <w:tc>
          <w:tcPr>
            <w:tcW w:w="2038" w:type="pct"/>
            <w:gridSpan w:val="4"/>
            <w:vAlign w:val="center"/>
          </w:tcPr>
          <w:p w14:paraId="0F2C8E24">
            <w:pPr>
              <w:pStyle w:val="86"/>
              <w:widowControl w:val="0"/>
              <w:spacing w:line="240" w:lineRule="auto"/>
              <w:ind w:firstLine="0" w:firstLineChars="0"/>
              <w:jc w:val="center"/>
              <w:rPr>
                <w:rFonts w:ascii="宋体" w:hAnsi="宋体"/>
                <w:szCs w:val="21"/>
              </w:rPr>
            </w:pPr>
            <w:r>
              <w:rPr>
                <w:rFonts w:hint="eastAsia" w:ascii="宋体" w:hAnsi="宋体"/>
                <w:szCs w:val="21"/>
              </w:rPr>
              <w:t>N</w:t>
            </w:r>
            <w:r>
              <w:rPr>
                <w:rFonts w:ascii="宋体" w:hAnsi="宋体"/>
                <w:szCs w:val="21"/>
              </w:rPr>
              <w:t>H</w:t>
            </w:r>
            <w:r>
              <w:rPr>
                <w:rFonts w:ascii="宋体" w:hAnsi="宋体"/>
                <w:szCs w:val="21"/>
                <w:vertAlign w:val="subscript"/>
              </w:rPr>
              <w:t>3</w:t>
            </w:r>
          </w:p>
        </w:tc>
        <w:tc>
          <w:tcPr>
            <w:tcW w:w="2117" w:type="pct"/>
            <w:gridSpan w:val="4"/>
            <w:vAlign w:val="center"/>
          </w:tcPr>
          <w:p w14:paraId="432C1017">
            <w:pPr>
              <w:pStyle w:val="86"/>
              <w:widowControl w:val="0"/>
              <w:spacing w:line="240" w:lineRule="auto"/>
              <w:ind w:firstLine="0" w:firstLineChars="0"/>
              <w:jc w:val="center"/>
              <w:rPr>
                <w:rFonts w:ascii="宋体" w:hAnsi="宋体"/>
                <w:szCs w:val="21"/>
              </w:rPr>
            </w:pPr>
            <w:r>
              <w:rPr>
                <w:rFonts w:hint="eastAsia" w:ascii="宋体" w:hAnsi="宋体"/>
                <w:szCs w:val="21"/>
              </w:rPr>
              <w:t>H</w:t>
            </w:r>
            <w:r>
              <w:rPr>
                <w:rFonts w:ascii="宋体" w:hAnsi="宋体"/>
                <w:szCs w:val="21"/>
                <w:vertAlign w:val="subscript"/>
              </w:rPr>
              <w:t>2</w:t>
            </w:r>
            <w:r>
              <w:rPr>
                <w:rFonts w:ascii="宋体" w:hAnsi="宋体"/>
                <w:szCs w:val="21"/>
              </w:rPr>
              <w:t>S</w:t>
            </w:r>
          </w:p>
        </w:tc>
      </w:tr>
      <w:tr w14:paraId="3F94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7B3D243">
            <w:pPr>
              <w:pStyle w:val="86"/>
              <w:widowControl w:val="0"/>
              <w:spacing w:line="240" w:lineRule="auto"/>
              <w:ind w:firstLine="0" w:firstLineChars="0"/>
              <w:jc w:val="center"/>
              <w:rPr>
                <w:rFonts w:ascii="宋体" w:hAnsi="宋体"/>
                <w:szCs w:val="21"/>
              </w:rPr>
            </w:pPr>
          </w:p>
        </w:tc>
        <w:tc>
          <w:tcPr>
            <w:tcW w:w="231" w:type="pct"/>
            <w:vMerge w:val="continue"/>
            <w:vAlign w:val="center"/>
          </w:tcPr>
          <w:p w14:paraId="58962290">
            <w:pPr>
              <w:pStyle w:val="86"/>
              <w:widowControl w:val="0"/>
              <w:spacing w:line="240" w:lineRule="auto"/>
              <w:ind w:firstLine="0" w:firstLineChars="0"/>
              <w:jc w:val="center"/>
              <w:rPr>
                <w:rFonts w:ascii="宋体" w:hAnsi="宋体"/>
                <w:szCs w:val="21"/>
              </w:rPr>
            </w:pPr>
          </w:p>
        </w:tc>
        <w:tc>
          <w:tcPr>
            <w:tcW w:w="383" w:type="pct"/>
            <w:vMerge w:val="continue"/>
            <w:vAlign w:val="center"/>
          </w:tcPr>
          <w:p w14:paraId="5986A7F0">
            <w:pPr>
              <w:pStyle w:val="86"/>
              <w:widowControl w:val="0"/>
              <w:spacing w:line="240" w:lineRule="auto"/>
              <w:ind w:firstLine="0" w:firstLineChars="0"/>
              <w:jc w:val="center"/>
              <w:rPr>
                <w:rFonts w:ascii="宋体" w:hAnsi="宋体"/>
                <w:szCs w:val="21"/>
              </w:rPr>
            </w:pPr>
          </w:p>
        </w:tc>
        <w:tc>
          <w:tcPr>
            <w:tcW w:w="517" w:type="pct"/>
            <w:vAlign w:val="center"/>
          </w:tcPr>
          <w:p w14:paraId="0835D1F8">
            <w:pPr>
              <w:pStyle w:val="86"/>
              <w:widowControl w:val="0"/>
              <w:spacing w:line="240" w:lineRule="auto"/>
              <w:ind w:firstLine="0" w:firstLineChars="0"/>
              <w:jc w:val="center"/>
              <w:rPr>
                <w:rFonts w:ascii="宋体" w:hAnsi="宋体"/>
                <w:szCs w:val="21"/>
              </w:rPr>
            </w:pPr>
            <w:r>
              <w:rPr>
                <w:rFonts w:hint="eastAsia" w:ascii="宋体" w:hAnsi="宋体"/>
                <w:szCs w:val="21"/>
              </w:rPr>
              <w:t>产生量（t</w:t>
            </w:r>
            <w:r>
              <w:rPr>
                <w:rFonts w:ascii="宋体" w:hAnsi="宋体"/>
                <w:szCs w:val="21"/>
              </w:rPr>
              <w:t>/</w:t>
            </w:r>
            <w:r>
              <w:rPr>
                <w:rFonts w:hint="eastAsia" w:ascii="宋体" w:hAnsi="宋体"/>
                <w:szCs w:val="21"/>
              </w:rPr>
              <w:t>a）</w:t>
            </w:r>
          </w:p>
        </w:tc>
        <w:tc>
          <w:tcPr>
            <w:tcW w:w="502" w:type="pct"/>
            <w:vAlign w:val="center"/>
          </w:tcPr>
          <w:p w14:paraId="08E21E10">
            <w:pPr>
              <w:pStyle w:val="86"/>
              <w:widowControl w:val="0"/>
              <w:spacing w:line="240" w:lineRule="auto"/>
              <w:ind w:firstLine="0" w:firstLineChars="0"/>
              <w:jc w:val="center"/>
              <w:rPr>
                <w:rFonts w:ascii="宋体" w:hAnsi="宋体"/>
                <w:szCs w:val="21"/>
              </w:rPr>
            </w:pPr>
            <w:r>
              <w:rPr>
                <w:rFonts w:hint="eastAsia" w:ascii="宋体" w:hAnsi="宋体"/>
                <w:szCs w:val="21"/>
              </w:rPr>
              <w:t>产生速率（kg</w:t>
            </w:r>
            <w:r>
              <w:rPr>
                <w:rFonts w:ascii="宋体" w:hAnsi="宋体"/>
                <w:szCs w:val="21"/>
              </w:rPr>
              <w:t>/</w:t>
            </w:r>
            <w:r>
              <w:rPr>
                <w:rFonts w:hint="eastAsia" w:ascii="宋体" w:hAnsi="宋体"/>
                <w:szCs w:val="21"/>
              </w:rPr>
              <w:t>h）</w:t>
            </w:r>
          </w:p>
        </w:tc>
        <w:tc>
          <w:tcPr>
            <w:tcW w:w="523" w:type="pct"/>
            <w:vAlign w:val="center"/>
          </w:tcPr>
          <w:p w14:paraId="3B337CC4">
            <w:pPr>
              <w:pStyle w:val="86"/>
              <w:widowControl w:val="0"/>
              <w:spacing w:line="240" w:lineRule="auto"/>
              <w:ind w:firstLine="0" w:firstLineChars="0"/>
              <w:jc w:val="center"/>
              <w:rPr>
                <w:rFonts w:ascii="宋体" w:hAnsi="宋体"/>
                <w:szCs w:val="21"/>
              </w:rPr>
            </w:pPr>
            <w:r>
              <w:rPr>
                <w:rFonts w:hint="eastAsia" w:ascii="宋体" w:hAnsi="宋体"/>
                <w:szCs w:val="21"/>
              </w:rPr>
              <w:t>排放量（t</w:t>
            </w:r>
            <w:r>
              <w:rPr>
                <w:rFonts w:ascii="宋体" w:hAnsi="宋体"/>
                <w:szCs w:val="21"/>
              </w:rPr>
              <w:t>/</w:t>
            </w:r>
            <w:r>
              <w:rPr>
                <w:rFonts w:hint="eastAsia" w:ascii="宋体" w:hAnsi="宋体"/>
                <w:szCs w:val="21"/>
              </w:rPr>
              <w:t>a）</w:t>
            </w:r>
          </w:p>
        </w:tc>
        <w:tc>
          <w:tcPr>
            <w:tcW w:w="496" w:type="pct"/>
            <w:vAlign w:val="center"/>
          </w:tcPr>
          <w:p w14:paraId="41464365">
            <w:pPr>
              <w:pStyle w:val="86"/>
              <w:widowControl w:val="0"/>
              <w:spacing w:line="240" w:lineRule="auto"/>
              <w:ind w:firstLine="0" w:firstLineChars="0"/>
              <w:jc w:val="center"/>
              <w:rPr>
                <w:rFonts w:ascii="宋体" w:hAnsi="宋体"/>
                <w:szCs w:val="21"/>
              </w:rPr>
            </w:pPr>
            <w:r>
              <w:rPr>
                <w:rFonts w:hint="eastAsia" w:ascii="宋体" w:hAnsi="宋体"/>
                <w:szCs w:val="21"/>
              </w:rPr>
              <w:t>排放速率（k</w:t>
            </w:r>
            <w:r>
              <w:rPr>
                <w:rFonts w:ascii="宋体" w:hAnsi="宋体"/>
                <w:szCs w:val="21"/>
              </w:rPr>
              <w:t>g</w:t>
            </w:r>
            <w:r>
              <w:rPr>
                <w:rFonts w:hint="eastAsia" w:ascii="宋体" w:hAnsi="宋体"/>
                <w:szCs w:val="21"/>
              </w:rPr>
              <w:t>/</w:t>
            </w:r>
            <w:r>
              <w:rPr>
                <w:rFonts w:ascii="宋体" w:hAnsi="宋体"/>
                <w:szCs w:val="21"/>
              </w:rPr>
              <w:t>h）</w:t>
            </w:r>
          </w:p>
        </w:tc>
        <w:tc>
          <w:tcPr>
            <w:tcW w:w="550" w:type="pct"/>
            <w:vAlign w:val="center"/>
          </w:tcPr>
          <w:p w14:paraId="193BD304">
            <w:pPr>
              <w:pStyle w:val="86"/>
              <w:widowControl w:val="0"/>
              <w:spacing w:line="240" w:lineRule="auto"/>
              <w:ind w:firstLine="0" w:firstLineChars="0"/>
              <w:jc w:val="center"/>
              <w:rPr>
                <w:rFonts w:ascii="宋体" w:hAnsi="宋体"/>
                <w:szCs w:val="21"/>
              </w:rPr>
            </w:pPr>
            <w:r>
              <w:rPr>
                <w:rFonts w:hint="eastAsia" w:ascii="宋体" w:hAnsi="宋体"/>
                <w:szCs w:val="21"/>
              </w:rPr>
              <w:t>产生量（t</w:t>
            </w:r>
            <w:r>
              <w:rPr>
                <w:rFonts w:ascii="宋体" w:hAnsi="宋体"/>
                <w:szCs w:val="21"/>
              </w:rPr>
              <w:t>/</w:t>
            </w:r>
            <w:r>
              <w:rPr>
                <w:rFonts w:hint="eastAsia" w:ascii="宋体" w:hAnsi="宋体"/>
                <w:szCs w:val="21"/>
              </w:rPr>
              <w:t>a）</w:t>
            </w:r>
          </w:p>
        </w:tc>
        <w:tc>
          <w:tcPr>
            <w:tcW w:w="491" w:type="pct"/>
            <w:vAlign w:val="center"/>
          </w:tcPr>
          <w:p w14:paraId="4E691C53">
            <w:pPr>
              <w:pStyle w:val="86"/>
              <w:widowControl w:val="0"/>
              <w:spacing w:line="240" w:lineRule="auto"/>
              <w:ind w:firstLine="0" w:firstLineChars="0"/>
              <w:jc w:val="center"/>
              <w:rPr>
                <w:rFonts w:ascii="宋体" w:hAnsi="宋体"/>
                <w:szCs w:val="21"/>
              </w:rPr>
            </w:pPr>
            <w:r>
              <w:rPr>
                <w:rFonts w:hint="eastAsia" w:ascii="宋体" w:hAnsi="宋体"/>
                <w:szCs w:val="21"/>
              </w:rPr>
              <w:t>产生速率（kg</w:t>
            </w:r>
            <w:r>
              <w:rPr>
                <w:rFonts w:ascii="宋体" w:hAnsi="宋体"/>
                <w:szCs w:val="21"/>
              </w:rPr>
              <w:t>/</w:t>
            </w:r>
            <w:r>
              <w:rPr>
                <w:rFonts w:hint="eastAsia" w:ascii="宋体" w:hAnsi="宋体"/>
                <w:szCs w:val="21"/>
              </w:rPr>
              <w:t>h）</w:t>
            </w:r>
          </w:p>
        </w:tc>
        <w:tc>
          <w:tcPr>
            <w:tcW w:w="514" w:type="pct"/>
            <w:vAlign w:val="center"/>
          </w:tcPr>
          <w:p w14:paraId="00030588">
            <w:pPr>
              <w:pStyle w:val="86"/>
              <w:widowControl w:val="0"/>
              <w:spacing w:line="240" w:lineRule="auto"/>
              <w:ind w:firstLine="0" w:firstLineChars="0"/>
              <w:jc w:val="center"/>
              <w:rPr>
                <w:rFonts w:ascii="宋体" w:hAnsi="宋体"/>
                <w:szCs w:val="21"/>
              </w:rPr>
            </w:pPr>
            <w:r>
              <w:rPr>
                <w:rFonts w:hint="eastAsia" w:ascii="宋体" w:hAnsi="宋体"/>
                <w:szCs w:val="21"/>
              </w:rPr>
              <w:t>排放量（t</w:t>
            </w:r>
            <w:r>
              <w:rPr>
                <w:rFonts w:ascii="宋体" w:hAnsi="宋体"/>
                <w:szCs w:val="21"/>
              </w:rPr>
              <w:t>/</w:t>
            </w:r>
            <w:r>
              <w:rPr>
                <w:rFonts w:hint="eastAsia" w:ascii="宋体" w:hAnsi="宋体"/>
                <w:szCs w:val="21"/>
              </w:rPr>
              <w:t>a）</w:t>
            </w:r>
          </w:p>
        </w:tc>
        <w:tc>
          <w:tcPr>
            <w:tcW w:w="562" w:type="pct"/>
            <w:vAlign w:val="center"/>
          </w:tcPr>
          <w:p w14:paraId="0EA55360">
            <w:pPr>
              <w:pStyle w:val="86"/>
              <w:widowControl w:val="0"/>
              <w:spacing w:line="240" w:lineRule="auto"/>
              <w:ind w:firstLine="0" w:firstLineChars="0"/>
              <w:jc w:val="center"/>
              <w:rPr>
                <w:rFonts w:ascii="宋体" w:hAnsi="宋体"/>
                <w:szCs w:val="21"/>
              </w:rPr>
            </w:pPr>
            <w:r>
              <w:rPr>
                <w:rFonts w:hint="eastAsia" w:ascii="宋体" w:hAnsi="宋体"/>
                <w:szCs w:val="21"/>
              </w:rPr>
              <w:t>排放速率（k</w:t>
            </w:r>
            <w:r>
              <w:rPr>
                <w:rFonts w:ascii="宋体" w:hAnsi="宋体"/>
                <w:szCs w:val="21"/>
              </w:rPr>
              <w:t>g</w:t>
            </w:r>
            <w:r>
              <w:rPr>
                <w:rFonts w:hint="eastAsia" w:ascii="宋体" w:hAnsi="宋体"/>
                <w:szCs w:val="21"/>
              </w:rPr>
              <w:t>/</w:t>
            </w:r>
            <w:r>
              <w:rPr>
                <w:rFonts w:ascii="宋体" w:hAnsi="宋体"/>
                <w:szCs w:val="21"/>
              </w:rPr>
              <w:t>h）</w:t>
            </w:r>
          </w:p>
        </w:tc>
      </w:tr>
      <w:tr w14:paraId="5B41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Align w:val="center"/>
          </w:tcPr>
          <w:p w14:paraId="3721C7EB">
            <w:pPr>
              <w:pStyle w:val="86"/>
              <w:widowControl w:val="0"/>
              <w:spacing w:line="240" w:lineRule="auto"/>
              <w:ind w:firstLine="0" w:firstLineChars="0"/>
              <w:jc w:val="center"/>
              <w:rPr>
                <w:rFonts w:ascii="宋体" w:hAnsi="宋体"/>
                <w:szCs w:val="21"/>
              </w:rPr>
            </w:pPr>
            <w:r>
              <w:rPr>
                <w:rFonts w:hint="eastAsia" w:ascii="宋体" w:hAnsi="宋体"/>
                <w:kern w:val="0"/>
                <w:szCs w:val="21"/>
              </w:rPr>
              <w:t>百花养殖场区</w:t>
            </w:r>
          </w:p>
        </w:tc>
        <w:tc>
          <w:tcPr>
            <w:tcW w:w="231" w:type="pct"/>
            <w:vMerge w:val="restart"/>
            <w:vAlign w:val="center"/>
          </w:tcPr>
          <w:p w14:paraId="25FF485B">
            <w:pPr>
              <w:pStyle w:val="86"/>
              <w:widowControl w:val="0"/>
              <w:spacing w:line="240" w:lineRule="auto"/>
              <w:ind w:firstLine="0" w:firstLineChars="0"/>
              <w:jc w:val="center"/>
              <w:rPr>
                <w:rFonts w:ascii="宋体" w:hAnsi="宋体"/>
                <w:szCs w:val="21"/>
              </w:rPr>
            </w:pPr>
            <w:r>
              <w:rPr>
                <w:rFonts w:hint="eastAsia" w:ascii="宋体" w:hAnsi="宋体"/>
                <w:szCs w:val="21"/>
              </w:rPr>
              <w:t>牛舍恶臭</w:t>
            </w:r>
          </w:p>
        </w:tc>
        <w:tc>
          <w:tcPr>
            <w:tcW w:w="383" w:type="pct"/>
            <w:vAlign w:val="center"/>
          </w:tcPr>
          <w:p w14:paraId="65CE343F">
            <w:pPr>
              <w:pStyle w:val="86"/>
              <w:widowControl w:val="0"/>
              <w:spacing w:line="240" w:lineRule="auto"/>
              <w:ind w:firstLine="0" w:firstLineChars="0"/>
              <w:jc w:val="center"/>
              <w:rPr>
                <w:rFonts w:ascii="宋体" w:hAnsi="宋体"/>
                <w:szCs w:val="21"/>
              </w:rPr>
            </w:pPr>
            <w:r>
              <w:rPr>
                <w:rFonts w:hint="eastAsia" w:ascii="宋体" w:hAnsi="宋体"/>
                <w:szCs w:val="21"/>
              </w:rPr>
              <w:t>3</w:t>
            </w:r>
            <w:r>
              <w:rPr>
                <w:rFonts w:ascii="宋体" w:hAnsi="宋体"/>
                <w:szCs w:val="21"/>
              </w:rPr>
              <w:t>290</w:t>
            </w:r>
          </w:p>
        </w:tc>
        <w:tc>
          <w:tcPr>
            <w:tcW w:w="517" w:type="pct"/>
            <w:vAlign w:val="center"/>
          </w:tcPr>
          <w:p w14:paraId="32B732EC">
            <w:pPr>
              <w:pStyle w:val="86"/>
              <w:widowControl w:val="0"/>
              <w:spacing w:line="240" w:lineRule="auto"/>
              <w:ind w:firstLine="0" w:firstLineChars="0"/>
              <w:jc w:val="center"/>
              <w:rPr>
                <w:rFonts w:ascii="宋体" w:hAnsi="宋体"/>
                <w:szCs w:val="21"/>
              </w:rPr>
            </w:pPr>
            <w:r>
              <w:rPr>
                <w:rFonts w:ascii="宋体" w:hAnsi="宋体"/>
                <w:szCs w:val="21"/>
              </w:rPr>
              <w:t>29.3806</w:t>
            </w:r>
          </w:p>
        </w:tc>
        <w:tc>
          <w:tcPr>
            <w:tcW w:w="502" w:type="pct"/>
            <w:vAlign w:val="center"/>
          </w:tcPr>
          <w:p w14:paraId="39296000">
            <w:pPr>
              <w:pStyle w:val="86"/>
              <w:widowControl w:val="0"/>
              <w:spacing w:line="240" w:lineRule="auto"/>
              <w:ind w:firstLine="0" w:firstLineChars="0"/>
              <w:jc w:val="center"/>
              <w:rPr>
                <w:rFonts w:ascii="宋体" w:hAnsi="宋体"/>
                <w:szCs w:val="21"/>
              </w:rPr>
            </w:pPr>
            <w:r>
              <w:rPr>
                <w:rFonts w:ascii="宋体" w:hAnsi="宋体"/>
                <w:szCs w:val="21"/>
              </w:rPr>
              <w:t>3.4005</w:t>
            </w:r>
          </w:p>
        </w:tc>
        <w:tc>
          <w:tcPr>
            <w:tcW w:w="523" w:type="pct"/>
            <w:vAlign w:val="center"/>
          </w:tcPr>
          <w:p w14:paraId="2A0D88F7">
            <w:pPr>
              <w:pStyle w:val="86"/>
              <w:widowControl w:val="0"/>
              <w:spacing w:line="240" w:lineRule="auto"/>
              <w:ind w:firstLine="0" w:firstLineChars="0"/>
              <w:jc w:val="center"/>
              <w:rPr>
                <w:rFonts w:ascii="宋体" w:hAnsi="宋体"/>
                <w:szCs w:val="21"/>
              </w:rPr>
            </w:pPr>
            <w:r>
              <w:rPr>
                <w:rFonts w:ascii="宋体" w:hAnsi="宋体"/>
                <w:szCs w:val="21"/>
              </w:rPr>
              <w:t>1.4690</w:t>
            </w:r>
          </w:p>
        </w:tc>
        <w:tc>
          <w:tcPr>
            <w:tcW w:w="496" w:type="pct"/>
            <w:vAlign w:val="center"/>
          </w:tcPr>
          <w:p w14:paraId="644C395B">
            <w:pPr>
              <w:pStyle w:val="86"/>
              <w:widowControl w:val="0"/>
              <w:spacing w:line="240" w:lineRule="auto"/>
              <w:ind w:firstLine="0" w:firstLineChars="0"/>
              <w:jc w:val="center"/>
              <w:rPr>
                <w:rFonts w:ascii="宋体" w:hAnsi="宋体"/>
                <w:szCs w:val="21"/>
              </w:rPr>
            </w:pPr>
            <w:r>
              <w:rPr>
                <w:rFonts w:ascii="宋体" w:hAnsi="宋体"/>
                <w:szCs w:val="21"/>
              </w:rPr>
              <w:t>0.1700</w:t>
            </w:r>
          </w:p>
        </w:tc>
        <w:tc>
          <w:tcPr>
            <w:tcW w:w="550" w:type="pct"/>
            <w:vAlign w:val="center"/>
          </w:tcPr>
          <w:p w14:paraId="54317369">
            <w:pPr>
              <w:pStyle w:val="86"/>
              <w:widowControl w:val="0"/>
              <w:spacing w:line="240" w:lineRule="auto"/>
              <w:ind w:firstLine="0" w:firstLineChars="0"/>
              <w:jc w:val="center"/>
              <w:rPr>
                <w:rFonts w:ascii="宋体" w:hAnsi="宋体"/>
                <w:szCs w:val="21"/>
              </w:rPr>
            </w:pPr>
            <w:r>
              <w:rPr>
                <w:rFonts w:hint="eastAsia" w:ascii="宋体" w:hAnsi="宋体"/>
                <w:szCs w:val="21"/>
              </w:rPr>
              <w:t>1</w:t>
            </w:r>
            <w:r>
              <w:rPr>
                <w:rFonts w:ascii="宋体" w:hAnsi="宋体"/>
                <w:szCs w:val="21"/>
              </w:rPr>
              <w:t>.4690</w:t>
            </w:r>
          </w:p>
        </w:tc>
        <w:tc>
          <w:tcPr>
            <w:tcW w:w="491" w:type="pct"/>
            <w:vAlign w:val="center"/>
          </w:tcPr>
          <w:p w14:paraId="4248E47F">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.1700</w:t>
            </w:r>
          </w:p>
        </w:tc>
        <w:tc>
          <w:tcPr>
            <w:tcW w:w="514" w:type="pct"/>
            <w:vAlign w:val="center"/>
          </w:tcPr>
          <w:p w14:paraId="547AA075">
            <w:pPr>
              <w:pStyle w:val="86"/>
              <w:widowControl w:val="0"/>
              <w:spacing w:line="240" w:lineRule="auto"/>
              <w:ind w:firstLine="0" w:firstLineChars="0"/>
              <w:jc w:val="center"/>
              <w:rPr>
                <w:rFonts w:ascii="宋体" w:hAnsi="宋体"/>
                <w:szCs w:val="21"/>
              </w:rPr>
            </w:pPr>
            <w:r>
              <w:rPr>
                <w:rFonts w:ascii="宋体" w:hAnsi="宋体"/>
                <w:szCs w:val="21"/>
              </w:rPr>
              <w:t>0.0735</w:t>
            </w:r>
          </w:p>
        </w:tc>
        <w:tc>
          <w:tcPr>
            <w:tcW w:w="562" w:type="pct"/>
            <w:vAlign w:val="center"/>
          </w:tcPr>
          <w:p w14:paraId="7763D3AC">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.0085</w:t>
            </w:r>
          </w:p>
        </w:tc>
      </w:tr>
      <w:tr w14:paraId="62E3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31" w:type="pct"/>
            <w:vMerge w:val="restart"/>
            <w:vAlign w:val="center"/>
          </w:tcPr>
          <w:p w14:paraId="702C8A53">
            <w:pPr>
              <w:widowControl w:val="0"/>
              <w:autoSpaceDE w:val="0"/>
              <w:autoSpaceDN w:val="0"/>
              <w:adjustRightInd w:val="0"/>
              <w:snapToGrid w:val="0"/>
              <w:jc w:val="center"/>
              <w:rPr>
                <w:rFonts w:ascii="宋体" w:hAnsi="宋体"/>
                <w:kern w:val="0"/>
                <w:szCs w:val="21"/>
              </w:rPr>
            </w:pPr>
            <w:r>
              <w:rPr>
                <w:rFonts w:hint="eastAsia" w:ascii="宋体" w:hAnsi="宋体"/>
                <w:kern w:val="0"/>
                <w:szCs w:val="21"/>
              </w:rPr>
              <w:t>佛龙养殖场区</w:t>
            </w:r>
          </w:p>
        </w:tc>
        <w:tc>
          <w:tcPr>
            <w:tcW w:w="231" w:type="pct"/>
            <w:vMerge w:val="continue"/>
            <w:vAlign w:val="center"/>
          </w:tcPr>
          <w:p w14:paraId="77C39666">
            <w:pPr>
              <w:pStyle w:val="86"/>
              <w:widowControl w:val="0"/>
              <w:spacing w:line="240" w:lineRule="auto"/>
              <w:ind w:firstLine="0" w:firstLineChars="0"/>
              <w:jc w:val="center"/>
              <w:rPr>
                <w:rFonts w:ascii="宋体" w:hAnsi="宋体"/>
                <w:szCs w:val="21"/>
              </w:rPr>
            </w:pPr>
          </w:p>
        </w:tc>
        <w:tc>
          <w:tcPr>
            <w:tcW w:w="383" w:type="pct"/>
            <w:vAlign w:val="center"/>
          </w:tcPr>
          <w:p w14:paraId="4D7051D0">
            <w:pPr>
              <w:pStyle w:val="86"/>
              <w:widowControl w:val="0"/>
              <w:spacing w:line="240" w:lineRule="auto"/>
              <w:ind w:firstLine="0" w:firstLineChars="0"/>
              <w:jc w:val="center"/>
              <w:rPr>
                <w:rFonts w:ascii="宋体" w:hAnsi="宋体"/>
                <w:szCs w:val="21"/>
              </w:rPr>
            </w:pPr>
            <w:r>
              <w:rPr>
                <w:rFonts w:hint="eastAsia" w:ascii="宋体" w:hAnsi="宋体"/>
                <w:szCs w:val="21"/>
              </w:rPr>
              <w:t>7</w:t>
            </w:r>
            <w:r>
              <w:rPr>
                <w:rFonts w:ascii="宋体" w:hAnsi="宋体"/>
                <w:szCs w:val="21"/>
              </w:rPr>
              <w:t>80</w:t>
            </w:r>
          </w:p>
        </w:tc>
        <w:tc>
          <w:tcPr>
            <w:tcW w:w="517" w:type="pct"/>
            <w:vAlign w:val="center"/>
          </w:tcPr>
          <w:p w14:paraId="1DA878A8">
            <w:pPr>
              <w:pStyle w:val="86"/>
              <w:widowControl w:val="0"/>
              <w:spacing w:line="240" w:lineRule="auto"/>
              <w:ind w:firstLine="0" w:firstLineChars="0"/>
              <w:jc w:val="center"/>
              <w:rPr>
                <w:rFonts w:ascii="宋体" w:hAnsi="宋体"/>
                <w:szCs w:val="21"/>
              </w:rPr>
            </w:pPr>
            <w:r>
              <w:rPr>
                <w:rFonts w:hint="eastAsia" w:ascii="宋体" w:hAnsi="宋体"/>
                <w:szCs w:val="21"/>
              </w:rPr>
              <w:t>6</w:t>
            </w:r>
            <w:r>
              <w:rPr>
                <w:rFonts w:ascii="宋体" w:hAnsi="宋体"/>
                <w:szCs w:val="21"/>
              </w:rPr>
              <w:t>.9656</w:t>
            </w:r>
          </w:p>
        </w:tc>
        <w:tc>
          <w:tcPr>
            <w:tcW w:w="502" w:type="pct"/>
            <w:vAlign w:val="center"/>
          </w:tcPr>
          <w:p w14:paraId="599DD114">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.8062</w:t>
            </w:r>
          </w:p>
        </w:tc>
        <w:tc>
          <w:tcPr>
            <w:tcW w:w="523" w:type="pct"/>
            <w:vAlign w:val="center"/>
          </w:tcPr>
          <w:p w14:paraId="6363FDAD">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.3483</w:t>
            </w:r>
          </w:p>
        </w:tc>
        <w:tc>
          <w:tcPr>
            <w:tcW w:w="496" w:type="pct"/>
            <w:vAlign w:val="center"/>
          </w:tcPr>
          <w:p w14:paraId="408EB6CD">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.0403</w:t>
            </w:r>
          </w:p>
        </w:tc>
        <w:tc>
          <w:tcPr>
            <w:tcW w:w="550" w:type="pct"/>
            <w:vAlign w:val="center"/>
          </w:tcPr>
          <w:p w14:paraId="3E07A440">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.3483</w:t>
            </w:r>
          </w:p>
        </w:tc>
        <w:tc>
          <w:tcPr>
            <w:tcW w:w="491" w:type="pct"/>
            <w:vAlign w:val="center"/>
          </w:tcPr>
          <w:p w14:paraId="4634F38E">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.0403</w:t>
            </w:r>
          </w:p>
        </w:tc>
        <w:tc>
          <w:tcPr>
            <w:tcW w:w="514" w:type="pct"/>
            <w:vAlign w:val="center"/>
          </w:tcPr>
          <w:p w14:paraId="78707349">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.0173</w:t>
            </w:r>
          </w:p>
        </w:tc>
        <w:tc>
          <w:tcPr>
            <w:tcW w:w="562" w:type="pct"/>
            <w:vAlign w:val="center"/>
          </w:tcPr>
          <w:p w14:paraId="1302F624">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.0020</w:t>
            </w:r>
          </w:p>
        </w:tc>
      </w:tr>
      <w:tr w14:paraId="32DB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231" w:type="pct"/>
            <w:vMerge w:val="continue"/>
            <w:vAlign w:val="center"/>
          </w:tcPr>
          <w:p w14:paraId="0ADAFFDD">
            <w:pPr>
              <w:widowControl w:val="0"/>
              <w:autoSpaceDE w:val="0"/>
              <w:autoSpaceDN w:val="0"/>
              <w:adjustRightInd w:val="0"/>
              <w:snapToGrid w:val="0"/>
              <w:jc w:val="center"/>
              <w:rPr>
                <w:rFonts w:ascii="宋体" w:hAnsi="宋体"/>
                <w:kern w:val="0"/>
                <w:szCs w:val="21"/>
              </w:rPr>
            </w:pPr>
          </w:p>
        </w:tc>
        <w:tc>
          <w:tcPr>
            <w:tcW w:w="231" w:type="pct"/>
            <w:vMerge w:val="continue"/>
            <w:vAlign w:val="center"/>
          </w:tcPr>
          <w:p w14:paraId="0E967B5C">
            <w:pPr>
              <w:pStyle w:val="86"/>
              <w:widowControl w:val="0"/>
              <w:spacing w:line="240" w:lineRule="auto"/>
              <w:ind w:firstLine="0" w:firstLineChars="0"/>
              <w:jc w:val="center"/>
              <w:rPr>
                <w:rFonts w:ascii="宋体" w:hAnsi="宋体"/>
                <w:szCs w:val="21"/>
              </w:rPr>
            </w:pPr>
          </w:p>
        </w:tc>
        <w:tc>
          <w:tcPr>
            <w:tcW w:w="383" w:type="pct"/>
            <w:vAlign w:val="center"/>
          </w:tcPr>
          <w:p w14:paraId="13E8D76D">
            <w:pPr>
              <w:pStyle w:val="86"/>
              <w:widowControl w:val="0"/>
              <w:spacing w:line="240" w:lineRule="auto"/>
              <w:ind w:firstLine="0" w:firstLineChars="0"/>
              <w:jc w:val="center"/>
              <w:rPr>
                <w:rFonts w:ascii="宋体" w:hAnsi="宋体"/>
                <w:szCs w:val="21"/>
              </w:rPr>
            </w:pPr>
            <w:r>
              <w:rPr>
                <w:rFonts w:hint="eastAsia" w:ascii="宋体" w:hAnsi="宋体"/>
                <w:szCs w:val="21"/>
              </w:rPr>
              <w:t>9</w:t>
            </w:r>
            <w:r>
              <w:rPr>
                <w:rFonts w:ascii="宋体" w:hAnsi="宋体"/>
                <w:szCs w:val="21"/>
              </w:rPr>
              <w:t>00（空山牛）</w:t>
            </w:r>
          </w:p>
        </w:tc>
        <w:tc>
          <w:tcPr>
            <w:tcW w:w="517" w:type="pct"/>
            <w:vAlign w:val="center"/>
          </w:tcPr>
          <w:p w14:paraId="669D232C">
            <w:pPr>
              <w:pStyle w:val="86"/>
              <w:widowControl w:val="0"/>
              <w:spacing w:line="240" w:lineRule="auto"/>
              <w:ind w:firstLine="0" w:firstLineChars="0"/>
              <w:jc w:val="center"/>
              <w:rPr>
                <w:rFonts w:ascii="宋体" w:hAnsi="宋体"/>
                <w:szCs w:val="21"/>
              </w:rPr>
            </w:pPr>
            <w:r>
              <w:rPr>
                <w:rFonts w:hint="eastAsia" w:ascii="宋体" w:hAnsi="宋体"/>
                <w:szCs w:val="21"/>
              </w:rPr>
              <w:t>5</w:t>
            </w:r>
            <w:r>
              <w:rPr>
                <w:rFonts w:ascii="宋体" w:hAnsi="宋体"/>
                <w:szCs w:val="21"/>
              </w:rPr>
              <w:t>.2824</w:t>
            </w:r>
          </w:p>
        </w:tc>
        <w:tc>
          <w:tcPr>
            <w:tcW w:w="502" w:type="pct"/>
            <w:vAlign w:val="center"/>
          </w:tcPr>
          <w:p w14:paraId="355B4021">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.6114</w:t>
            </w:r>
          </w:p>
        </w:tc>
        <w:tc>
          <w:tcPr>
            <w:tcW w:w="523" w:type="pct"/>
            <w:vAlign w:val="center"/>
          </w:tcPr>
          <w:p w14:paraId="08B7F01C">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.2641</w:t>
            </w:r>
          </w:p>
        </w:tc>
        <w:tc>
          <w:tcPr>
            <w:tcW w:w="496" w:type="pct"/>
            <w:vAlign w:val="center"/>
          </w:tcPr>
          <w:p w14:paraId="1383058B">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.0306</w:t>
            </w:r>
          </w:p>
        </w:tc>
        <w:tc>
          <w:tcPr>
            <w:tcW w:w="550" w:type="pct"/>
            <w:vAlign w:val="center"/>
          </w:tcPr>
          <w:p w14:paraId="24784EC9">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.2641</w:t>
            </w:r>
          </w:p>
        </w:tc>
        <w:tc>
          <w:tcPr>
            <w:tcW w:w="491" w:type="pct"/>
            <w:vAlign w:val="center"/>
          </w:tcPr>
          <w:p w14:paraId="36732BB8">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.0306</w:t>
            </w:r>
          </w:p>
        </w:tc>
        <w:tc>
          <w:tcPr>
            <w:tcW w:w="514" w:type="pct"/>
            <w:vAlign w:val="center"/>
          </w:tcPr>
          <w:p w14:paraId="7B60FC3F">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.0132</w:t>
            </w:r>
          </w:p>
        </w:tc>
        <w:tc>
          <w:tcPr>
            <w:tcW w:w="562" w:type="pct"/>
            <w:vAlign w:val="center"/>
          </w:tcPr>
          <w:p w14:paraId="3E072322">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.0016</w:t>
            </w:r>
          </w:p>
        </w:tc>
      </w:tr>
      <w:tr w14:paraId="2BFA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Align w:val="center"/>
          </w:tcPr>
          <w:p w14:paraId="4402DB2E">
            <w:pPr>
              <w:pStyle w:val="86"/>
              <w:widowControl w:val="0"/>
              <w:spacing w:line="240" w:lineRule="auto"/>
              <w:ind w:firstLine="0" w:firstLineChars="0"/>
              <w:jc w:val="center"/>
              <w:rPr>
                <w:rFonts w:ascii="宋体" w:hAnsi="宋体"/>
                <w:szCs w:val="21"/>
              </w:rPr>
            </w:pPr>
            <w:r>
              <w:rPr>
                <w:rFonts w:hint="eastAsia" w:ascii="宋体" w:hAnsi="宋体"/>
                <w:kern w:val="0"/>
                <w:szCs w:val="21"/>
              </w:rPr>
              <w:t>塘坝养殖场区</w:t>
            </w:r>
          </w:p>
        </w:tc>
        <w:tc>
          <w:tcPr>
            <w:tcW w:w="231" w:type="pct"/>
            <w:vMerge w:val="continue"/>
            <w:vAlign w:val="center"/>
          </w:tcPr>
          <w:p w14:paraId="3C9F3C9E">
            <w:pPr>
              <w:pStyle w:val="86"/>
              <w:widowControl w:val="0"/>
              <w:spacing w:line="240" w:lineRule="auto"/>
              <w:ind w:firstLine="0" w:firstLineChars="0"/>
              <w:jc w:val="center"/>
              <w:rPr>
                <w:rFonts w:ascii="宋体" w:hAnsi="宋体"/>
                <w:szCs w:val="21"/>
              </w:rPr>
            </w:pPr>
          </w:p>
        </w:tc>
        <w:tc>
          <w:tcPr>
            <w:tcW w:w="383" w:type="pct"/>
            <w:vAlign w:val="center"/>
          </w:tcPr>
          <w:p w14:paraId="4E330E4A">
            <w:pPr>
              <w:pStyle w:val="86"/>
              <w:widowControl w:val="0"/>
              <w:spacing w:line="240" w:lineRule="auto"/>
              <w:ind w:firstLine="0" w:firstLineChars="0"/>
              <w:jc w:val="center"/>
              <w:rPr>
                <w:rFonts w:ascii="宋体" w:hAnsi="宋体"/>
                <w:szCs w:val="21"/>
              </w:rPr>
            </w:pPr>
            <w:r>
              <w:rPr>
                <w:rFonts w:ascii="宋体" w:hAnsi="宋体"/>
                <w:szCs w:val="21"/>
              </w:rPr>
              <w:t>3290</w:t>
            </w:r>
          </w:p>
        </w:tc>
        <w:tc>
          <w:tcPr>
            <w:tcW w:w="517" w:type="pct"/>
            <w:vAlign w:val="center"/>
          </w:tcPr>
          <w:p w14:paraId="17B81988">
            <w:pPr>
              <w:pStyle w:val="86"/>
              <w:widowControl w:val="0"/>
              <w:spacing w:line="240" w:lineRule="auto"/>
              <w:ind w:firstLine="0" w:firstLineChars="0"/>
              <w:jc w:val="center"/>
              <w:rPr>
                <w:rFonts w:ascii="宋体" w:hAnsi="宋体"/>
                <w:szCs w:val="21"/>
              </w:rPr>
            </w:pPr>
            <w:r>
              <w:rPr>
                <w:rFonts w:ascii="宋体" w:hAnsi="宋体"/>
                <w:szCs w:val="21"/>
              </w:rPr>
              <w:t>29.3806</w:t>
            </w:r>
          </w:p>
        </w:tc>
        <w:tc>
          <w:tcPr>
            <w:tcW w:w="502" w:type="pct"/>
            <w:vAlign w:val="center"/>
          </w:tcPr>
          <w:p w14:paraId="0CB8386C">
            <w:pPr>
              <w:pStyle w:val="86"/>
              <w:widowControl w:val="0"/>
              <w:spacing w:line="240" w:lineRule="auto"/>
              <w:ind w:firstLine="0" w:firstLineChars="0"/>
              <w:jc w:val="center"/>
              <w:rPr>
                <w:rFonts w:ascii="宋体" w:hAnsi="宋体"/>
                <w:szCs w:val="21"/>
              </w:rPr>
            </w:pPr>
            <w:r>
              <w:rPr>
                <w:rFonts w:ascii="宋体" w:hAnsi="宋体"/>
                <w:szCs w:val="21"/>
              </w:rPr>
              <w:t>3.4005</w:t>
            </w:r>
          </w:p>
        </w:tc>
        <w:tc>
          <w:tcPr>
            <w:tcW w:w="523" w:type="pct"/>
            <w:vAlign w:val="center"/>
          </w:tcPr>
          <w:p w14:paraId="7EABA3CA">
            <w:pPr>
              <w:pStyle w:val="86"/>
              <w:widowControl w:val="0"/>
              <w:spacing w:line="240" w:lineRule="auto"/>
              <w:ind w:firstLine="0" w:firstLineChars="0"/>
              <w:jc w:val="center"/>
              <w:rPr>
                <w:rFonts w:ascii="宋体" w:hAnsi="宋体"/>
                <w:szCs w:val="21"/>
              </w:rPr>
            </w:pPr>
            <w:r>
              <w:rPr>
                <w:rFonts w:ascii="宋体" w:hAnsi="宋体"/>
                <w:szCs w:val="21"/>
              </w:rPr>
              <w:t>1.4690</w:t>
            </w:r>
          </w:p>
        </w:tc>
        <w:tc>
          <w:tcPr>
            <w:tcW w:w="496" w:type="pct"/>
            <w:vAlign w:val="center"/>
          </w:tcPr>
          <w:p w14:paraId="19B76715">
            <w:pPr>
              <w:pStyle w:val="86"/>
              <w:widowControl w:val="0"/>
              <w:spacing w:line="240" w:lineRule="auto"/>
              <w:ind w:firstLine="0" w:firstLineChars="0"/>
              <w:jc w:val="center"/>
              <w:rPr>
                <w:rFonts w:ascii="宋体" w:hAnsi="宋体"/>
                <w:szCs w:val="21"/>
              </w:rPr>
            </w:pPr>
            <w:r>
              <w:rPr>
                <w:rFonts w:ascii="宋体" w:hAnsi="宋体"/>
                <w:szCs w:val="21"/>
              </w:rPr>
              <w:t>0.1700</w:t>
            </w:r>
          </w:p>
        </w:tc>
        <w:tc>
          <w:tcPr>
            <w:tcW w:w="550" w:type="pct"/>
            <w:vAlign w:val="center"/>
          </w:tcPr>
          <w:p w14:paraId="719D00D1">
            <w:pPr>
              <w:pStyle w:val="86"/>
              <w:widowControl w:val="0"/>
              <w:spacing w:line="240" w:lineRule="auto"/>
              <w:ind w:firstLine="0" w:firstLineChars="0"/>
              <w:jc w:val="center"/>
              <w:rPr>
                <w:rFonts w:ascii="宋体" w:hAnsi="宋体"/>
                <w:szCs w:val="21"/>
              </w:rPr>
            </w:pPr>
            <w:r>
              <w:rPr>
                <w:rFonts w:hint="eastAsia" w:ascii="宋体" w:hAnsi="宋体"/>
                <w:szCs w:val="21"/>
              </w:rPr>
              <w:t>1</w:t>
            </w:r>
            <w:r>
              <w:rPr>
                <w:rFonts w:ascii="宋体" w:hAnsi="宋体"/>
                <w:szCs w:val="21"/>
              </w:rPr>
              <w:t>.4690</w:t>
            </w:r>
          </w:p>
        </w:tc>
        <w:tc>
          <w:tcPr>
            <w:tcW w:w="491" w:type="pct"/>
            <w:vAlign w:val="center"/>
          </w:tcPr>
          <w:p w14:paraId="04F8A1C8">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.1700</w:t>
            </w:r>
          </w:p>
        </w:tc>
        <w:tc>
          <w:tcPr>
            <w:tcW w:w="514" w:type="pct"/>
            <w:vAlign w:val="center"/>
          </w:tcPr>
          <w:p w14:paraId="7514793F">
            <w:pPr>
              <w:pStyle w:val="86"/>
              <w:widowControl w:val="0"/>
              <w:spacing w:line="240" w:lineRule="auto"/>
              <w:ind w:firstLine="0" w:firstLineChars="0"/>
              <w:jc w:val="center"/>
              <w:rPr>
                <w:rFonts w:ascii="宋体" w:hAnsi="宋体"/>
                <w:szCs w:val="21"/>
              </w:rPr>
            </w:pPr>
            <w:r>
              <w:rPr>
                <w:rFonts w:ascii="宋体" w:hAnsi="宋体"/>
                <w:szCs w:val="21"/>
              </w:rPr>
              <w:t>0.0735</w:t>
            </w:r>
          </w:p>
        </w:tc>
        <w:tc>
          <w:tcPr>
            <w:tcW w:w="562" w:type="pct"/>
            <w:vAlign w:val="center"/>
          </w:tcPr>
          <w:p w14:paraId="48BA05CC">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.0085</w:t>
            </w:r>
          </w:p>
        </w:tc>
      </w:tr>
      <w:tr w14:paraId="130E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Align w:val="center"/>
          </w:tcPr>
          <w:p w14:paraId="3ED96607">
            <w:pPr>
              <w:pStyle w:val="86"/>
              <w:widowControl w:val="0"/>
              <w:spacing w:line="240" w:lineRule="auto"/>
              <w:ind w:firstLine="0" w:firstLineChars="0"/>
              <w:jc w:val="center"/>
              <w:rPr>
                <w:rFonts w:ascii="宋体" w:hAnsi="宋体"/>
                <w:szCs w:val="21"/>
              </w:rPr>
            </w:pPr>
            <w:r>
              <w:rPr>
                <w:rFonts w:hint="eastAsia" w:ascii="宋体" w:hAnsi="宋体"/>
                <w:kern w:val="0"/>
                <w:szCs w:val="21"/>
              </w:rPr>
              <w:t>始宁养殖场区</w:t>
            </w:r>
          </w:p>
        </w:tc>
        <w:tc>
          <w:tcPr>
            <w:tcW w:w="231" w:type="pct"/>
            <w:vMerge w:val="continue"/>
            <w:vAlign w:val="center"/>
          </w:tcPr>
          <w:p w14:paraId="352BF056">
            <w:pPr>
              <w:pStyle w:val="86"/>
              <w:widowControl w:val="0"/>
              <w:spacing w:line="240" w:lineRule="auto"/>
              <w:ind w:firstLine="0" w:firstLineChars="0"/>
              <w:jc w:val="center"/>
              <w:rPr>
                <w:rFonts w:ascii="宋体" w:hAnsi="宋体"/>
                <w:szCs w:val="21"/>
              </w:rPr>
            </w:pPr>
          </w:p>
        </w:tc>
        <w:tc>
          <w:tcPr>
            <w:tcW w:w="383" w:type="pct"/>
            <w:vAlign w:val="center"/>
          </w:tcPr>
          <w:p w14:paraId="050771BA">
            <w:pPr>
              <w:pStyle w:val="86"/>
              <w:widowControl w:val="0"/>
              <w:spacing w:line="240" w:lineRule="auto"/>
              <w:ind w:firstLine="0" w:firstLineChars="0"/>
              <w:jc w:val="center"/>
              <w:rPr>
                <w:rFonts w:ascii="宋体" w:hAnsi="宋体"/>
                <w:szCs w:val="21"/>
              </w:rPr>
            </w:pPr>
            <w:r>
              <w:rPr>
                <w:rFonts w:ascii="宋体" w:hAnsi="宋体"/>
                <w:szCs w:val="21"/>
              </w:rPr>
              <w:t>2330</w:t>
            </w:r>
          </w:p>
        </w:tc>
        <w:tc>
          <w:tcPr>
            <w:tcW w:w="517" w:type="pct"/>
            <w:vAlign w:val="center"/>
          </w:tcPr>
          <w:p w14:paraId="09A2A6A5">
            <w:pPr>
              <w:pStyle w:val="86"/>
              <w:widowControl w:val="0"/>
              <w:spacing w:line="240" w:lineRule="auto"/>
              <w:ind w:firstLine="0" w:firstLineChars="0"/>
              <w:jc w:val="center"/>
              <w:rPr>
                <w:rFonts w:ascii="宋体" w:hAnsi="宋体"/>
                <w:szCs w:val="21"/>
              </w:rPr>
            </w:pPr>
            <w:r>
              <w:rPr>
                <w:rFonts w:ascii="宋体" w:hAnsi="宋体"/>
                <w:szCs w:val="21"/>
              </w:rPr>
              <w:t>20.8075</w:t>
            </w:r>
          </w:p>
        </w:tc>
        <w:tc>
          <w:tcPr>
            <w:tcW w:w="502" w:type="pct"/>
            <w:vAlign w:val="center"/>
          </w:tcPr>
          <w:p w14:paraId="3FDFB2A7">
            <w:pPr>
              <w:pStyle w:val="86"/>
              <w:widowControl w:val="0"/>
              <w:spacing w:line="240" w:lineRule="auto"/>
              <w:ind w:firstLine="0" w:firstLineChars="0"/>
              <w:jc w:val="center"/>
              <w:rPr>
                <w:rFonts w:ascii="宋体" w:hAnsi="宋体"/>
                <w:szCs w:val="21"/>
              </w:rPr>
            </w:pPr>
            <w:r>
              <w:rPr>
                <w:rFonts w:ascii="宋体" w:hAnsi="宋体"/>
                <w:szCs w:val="21"/>
              </w:rPr>
              <w:t>2.4083</w:t>
            </w:r>
          </w:p>
        </w:tc>
        <w:tc>
          <w:tcPr>
            <w:tcW w:w="523" w:type="pct"/>
            <w:vAlign w:val="center"/>
          </w:tcPr>
          <w:p w14:paraId="6DC1EFE1">
            <w:pPr>
              <w:pStyle w:val="86"/>
              <w:widowControl w:val="0"/>
              <w:spacing w:line="240" w:lineRule="auto"/>
              <w:ind w:firstLine="0" w:firstLineChars="0"/>
              <w:jc w:val="center"/>
              <w:rPr>
                <w:rFonts w:ascii="宋体" w:hAnsi="宋体"/>
                <w:szCs w:val="21"/>
              </w:rPr>
            </w:pPr>
            <w:r>
              <w:rPr>
                <w:rFonts w:ascii="宋体" w:hAnsi="宋体"/>
                <w:szCs w:val="21"/>
              </w:rPr>
              <w:t>1.0403</w:t>
            </w:r>
          </w:p>
        </w:tc>
        <w:tc>
          <w:tcPr>
            <w:tcW w:w="496" w:type="pct"/>
            <w:vAlign w:val="center"/>
          </w:tcPr>
          <w:p w14:paraId="441C7702">
            <w:pPr>
              <w:pStyle w:val="86"/>
              <w:widowControl w:val="0"/>
              <w:spacing w:line="240" w:lineRule="auto"/>
              <w:ind w:firstLine="0" w:firstLineChars="0"/>
              <w:jc w:val="center"/>
              <w:rPr>
                <w:rFonts w:ascii="宋体" w:hAnsi="宋体"/>
                <w:szCs w:val="21"/>
              </w:rPr>
            </w:pPr>
            <w:r>
              <w:rPr>
                <w:rFonts w:ascii="宋体" w:hAnsi="宋体"/>
                <w:szCs w:val="21"/>
              </w:rPr>
              <w:t>0.1204</w:t>
            </w:r>
          </w:p>
        </w:tc>
        <w:tc>
          <w:tcPr>
            <w:tcW w:w="550" w:type="pct"/>
            <w:vAlign w:val="center"/>
          </w:tcPr>
          <w:p w14:paraId="2704E2B5">
            <w:pPr>
              <w:pStyle w:val="86"/>
              <w:widowControl w:val="0"/>
              <w:spacing w:line="240" w:lineRule="auto"/>
              <w:ind w:firstLine="0" w:firstLineChars="0"/>
              <w:jc w:val="center"/>
              <w:rPr>
                <w:rFonts w:ascii="宋体" w:hAnsi="宋体"/>
                <w:szCs w:val="21"/>
              </w:rPr>
            </w:pPr>
            <w:r>
              <w:rPr>
                <w:rFonts w:hint="eastAsia" w:ascii="宋体" w:hAnsi="宋体"/>
                <w:szCs w:val="21"/>
              </w:rPr>
              <w:t>1</w:t>
            </w:r>
            <w:r>
              <w:rPr>
                <w:rFonts w:ascii="宋体" w:hAnsi="宋体"/>
                <w:szCs w:val="21"/>
              </w:rPr>
              <w:t>.0404</w:t>
            </w:r>
          </w:p>
        </w:tc>
        <w:tc>
          <w:tcPr>
            <w:tcW w:w="491" w:type="pct"/>
            <w:vAlign w:val="center"/>
          </w:tcPr>
          <w:p w14:paraId="64111051">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.1204</w:t>
            </w:r>
          </w:p>
        </w:tc>
        <w:tc>
          <w:tcPr>
            <w:tcW w:w="514" w:type="pct"/>
            <w:vAlign w:val="center"/>
          </w:tcPr>
          <w:p w14:paraId="18D28D31">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.0520</w:t>
            </w:r>
          </w:p>
        </w:tc>
        <w:tc>
          <w:tcPr>
            <w:tcW w:w="562" w:type="pct"/>
            <w:vAlign w:val="center"/>
          </w:tcPr>
          <w:p w14:paraId="1966A79F">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0060</w:t>
            </w:r>
          </w:p>
        </w:tc>
      </w:tr>
      <w:tr w14:paraId="585ED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Align w:val="center"/>
          </w:tcPr>
          <w:p w14:paraId="2C796A0D">
            <w:pPr>
              <w:pStyle w:val="86"/>
              <w:widowControl w:val="0"/>
              <w:spacing w:line="240" w:lineRule="auto"/>
              <w:ind w:firstLine="0" w:firstLineChars="0"/>
              <w:jc w:val="center"/>
              <w:rPr>
                <w:rFonts w:ascii="宋体" w:hAnsi="宋体"/>
                <w:szCs w:val="21"/>
              </w:rPr>
            </w:pPr>
            <w:r>
              <w:rPr>
                <w:rFonts w:hint="eastAsia" w:ascii="宋体" w:hAnsi="宋体"/>
                <w:szCs w:val="21"/>
              </w:rPr>
              <w:t>合计</w:t>
            </w:r>
          </w:p>
        </w:tc>
        <w:tc>
          <w:tcPr>
            <w:tcW w:w="231" w:type="pct"/>
            <w:vMerge w:val="continue"/>
            <w:vAlign w:val="center"/>
          </w:tcPr>
          <w:p w14:paraId="48E64E43">
            <w:pPr>
              <w:pStyle w:val="86"/>
              <w:widowControl w:val="0"/>
              <w:spacing w:line="240" w:lineRule="auto"/>
              <w:ind w:firstLine="0" w:firstLineChars="0"/>
              <w:jc w:val="center"/>
              <w:rPr>
                <w:rFonts w:ascii="宋体" w:hAnsi="宋体"/>
                <w:szCs w:val="21"/>
              </w:rPr>
            </w:pPr>
          </w:p>
        </w:tc>
        <w:tc>
          <w:tcPr>
            <w:tcW w:w="383" w:type="pct"/>
            <w:vAlign w:val="center"/>
          </w:tcPr>
          <w:p w14:paraId="4EFEE460">
            <w:pPr>
              <w:pStyle w:val="86"/>
              <w:widowControl w:val="0"/>
              <w:spacing w:line="240" w:lineRule="auto"/>
              <w:ind w:firstLine="0" w:firstLineChars="0"/>
              <w:jc w:val="center"/>
              <w:rPr>
                <w:rFonts w:ascii="宋体" w:hAnsi="宋体"/>
                <w:szCs w:val="21"/>
              </w:rPr>
            </w:pPr>
            <w:r>
              <w:rPr>
                <w:rFonts w:ascii="宋体" w:hAnsi="宋体"/>
                <w:szCs w:val="21"/>
              </w:rPr>
              <w:t>10590</w:t>
            </w:r>
          </w:p>
        </w:tc>
        <w:tc>
          <w:tcPr>
            <w:tcW w:w="517" w:type="pct"/>
            <w:vAlign w:val="center"/>
          </w:tcPr>
          <w:p w14:paraId="238C039B">
            <w:pPr>
              <w:pStyle w:val="86"/>
              <w:widowControl w:val="0"/>
              <w:spacing w:line="240" w:lineRule="auto"/>
              <w:ind w:firstLine="0" w:firstLineChars="0"/>
              <w:jc w:val="center"/>
              <w:rPr>
                <w:rFonts w:ascii="宋体" w:hAnsi="宋体"/>
                <w:szCs w:val="21"/>
              </w:rPr>
            </w:pPr>
            <w:r>
              <w:rPr>
                <w:rFonts w:ascii="宋体" w:hAnsi="宋体"/>
                <w:szCs w:val="21"/>
              </w:rPr>
              <w:t>91.8167</w:t>
            </w:r>
          </w:p>
        </w:tc>
        <w:tc>
          <w:tcPr>
            <w:tcW w:w="502" w:type="pct"/>
            <w:vAlign w:val="center"/>
          </w:tcPr>
          <w:p w14:paraId="4D7304C9">
            <w:pPr>
              <w:pStyle w:val="86"/>
              <w:widowControl w:val="0"/>
              <w:spacing w:line="240" w:lineRule="auto"/>
              <w:ind w:firstLine="0" w:firstLineChars="0"/>
              <w:jc w:val="center"/>
              <w:rPr>
                <w:rFonts w:ascii="宋体" w:hAnsi="宋体"/>
                <w:szCs w:val="21"/>
              </w:rPr>
            </w:pPr>
            <w:r>
              <w:rPr>
                <w:rFonts w:ascii="宋体" w:hAnsi="宋体"/>
                <w:szCs w:val="21"/>
              </w:rPr>
              <w:t>10.6269</w:t>
            </w:r>
          </w:p>
        </w:tc>
        <w:tc>
          <w:tcPr>
            <w:tcW w:w="523" w:type="pct"/>
            <w:vAlign w:val="center"/>
          </w:tcPr>
          <w:p w14:paraId="77C815CB">
            <w:pPr>
              <w:pStyle w:val="86"/>
              <w:widowControl w:val="0"/>
              <w:spacing w:line="240" w:lineRule="auto"/>
              <w:ind w:firstLine="0" w:firstLineChars="0"/>
              <w:jc w:val="center"/>
              <w:rPr>
                <w:rFonts w:ascii="宋体" w:hAnsi="宋体"/>
                <w:szCs w:val="21"/>
              </w:rPr>
            </w:pPr>
            <w:r>
              <w:rPr>
                <w:rFonts w:ascii="宋体" w:hAnsi="宋体"/>
                <w:szCs w:val="21"/>
              </w:rPr>
              <w:t>4.5908</w:t>
            </w:r>
          </w:p>
        </w:tc>
        <w:tc>
          <w:tcPr>
            <w:tcW w:w="496" w:type="pct"/>
            <w:vAlign w:val="center"/>
          </w:tcPr>
          <w:p w14:paraId="51F8FF16">
            <w:pPr>
              <w:pStyle w:val="86"/>
              <w:widowControl w:val="0"/>
              <w:spacing w:line="240" w:lineRule="auto"/>
              <w:ind w:firstLine="0" w:firstLineChars="0"/>
              <w:jc w:val="center"/>
              <w:rPr>
                <w:rFonts w:ascii="宋体" w:hAnsi="宋体"/>
                <w:szCs w:val="21"/>
              </w:rPr>
            </w:pPr>
            <w:r>
              <w:rPr>
                <w:rFonts w:ascii="宋体" w:hAnsi="宋体"/>
                <w:szCs w:val="21"/>
              </w:rPr>
              <w:t>0.5313</w:t>
            </w:r>
          </w:p>
        </w:tc>
        <w:tc>
          <w:tcPr>
            <w:tcW w:w="550" w:type="pct"/>
            <w:vAlign w:val="center"/>
          </w:tcPr>
          <w:p w14:paraId="3F354F18">
            <w:pPr>
              <w:pStyle w:val="86"/>
              <w:widowControl w:val="0"/>
              <w:spacing w:line="240" w:lineRule="auto"/>
              <w:ind w:firstLine="0" w:firstLineChars="0"/>
              <w:jc w:val="center"/>
              <w:rPr>
                <w:rFonts w:ascii="宋体" w:hAnsi="宋体"/>
                <w:szCs w:val="21"/>
              </w:rPr>
            </w:pPr>
            <w:r>
              <w:rPr>
                <w:rFonts w:hint="eastAsia" w:ascii="宋体" w:hAnsi="宋体"/>
                <w:szCs w:val="21"/>
              </w:rPr>
              <w:t>4</w:t>
            </w:r>
            <w:r>
              <w:rPr>
                <w:rFonts w:ascii="宋体" w:hAnsi="宋体"/>
                <w:szCs w:val="21"/>
              </w:rPr>
              <w:t>.5908</w:t>
            </w:r>
          </w:p>
        </w:tc>
        <w:tc>
          <w:tcPr>
            <w:tcW w:w="491" w:type="pct"/>
            <w:vAlign w:val="center"/>
          </w:tcPr>
          <w:p w14:paraId="434A773D">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.5313</w:t>
            </w:r>
          </w:p>
        </w:tc>
        <w:tc>
          <w:tcPr>
            <w:tcW w:w="514" w:type="pct"/>
            <w:vAlign w:val="center"/>
          </w:tcPr>
          <w:p w14:paraId="0DEC83A6">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.2295</w:t>
            </w:r>
          </w:p>
        </w:tc>
        <w:tc>
          <w:tcPr>
            <w:tcW w:w="562" w:type="pct"/>
            <w:vAlign w:val="center"/>
          </w:tcPr>
          <w:p w14:paraId="380C970A">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.0266</w:t>
            </w:r>
          </w:p>
        </w:tc>
      </w:tr>
    </w:tbl>
    <w:p w14:paraId="71F2079B">
      <w:pPr>
        <w:pStyle w:val="86"/>
        <w:ind w:firstLine="482" w:firstLineChars="200"/>
        <w:rPr>
          <w:b/>
          <w:bCs/>
          <w:color w:val="000000" w:themeColor="text1"/>
          <w:sz w:val="24"/>
          <w14:textFill>
            <w14:solidFill>
              <w14:schemeClr w14:val="tx1"/>
            </w14:solidFill>
          </w14:textFill>
        </w:rPr>
      </w:pPr>
      <w:bookmarkStart w:id="433" w:name="_Toc10083"/>
    </w:p>
    <w:p w14:paraId="14D40326">
      <w:pPr>
        <w:pStyle w:val="86"/>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（3）垫料储存及装卸粉尘</w:t>
      </w:r>
    </w:p>
    <w:p w14:paraId="24898905">
      <w:pPr>
        <w:pStyle w:val="86"/>
        <w:ind w:firstLine="482" w:firstLineChars="200"/>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产生情况：</w:t>
      </w:r>
    </w:p>
    <w:p w14:paraId="4B5A51D8">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项目所使用的垫料主要为秸秆、锯木、干草等无味或气味不大的木质纤维料，含水率不高。垫料在储存装卸时不可避免的会产生一定量的粉尘。根据《污染源源强核算技术指南 准则》（HJ884-2018）的规定，本项目垫料大棚内物料装卸粉尘源强核算采用产污系数法。参考《逸散性工业粉尘控制技术》中谷物贮仓装卸物料排放系数为0.07kg/t，项目垫料</w:t>
      </w:r>
      <w:r>
        <w:rPr>
          <w:rFonts w:hint="eastAsia"/>
          <w:color w:val="000000" w:themeColor="text1"/>
          <w:sz w:val="24"/>
          <w14:textFill>
            <w14:solidFill>
              <w14:schemeClr w14:val="tx1"/>
            </w14:solidFill>
          </w14:textFill>
        </w:rPr>
        <w:t>最大</w:t>
      </w:r>
      <w:r>
        <w:rPr>
          <w:color w:val="000000" w:themeColor="text1"/>
          <w:sz w:val="24"/>
          <w14:textFill>
            <w14:solidFill>
              <w14:schemeClr w14:val="tx1"/>
            </w14:solidFill>
          </w14:textFill>
        </w:rPr>
        <w:t>年用量为</w:t>
      </w:r>
      <w:r>
        <w:rPr>
          <w:color w:val="EE0000"/>
          <w:sz w:val="24"/>
        </w:rPr>
        <w:t>15408t/a</w:t>
      </w:r>
      <w:r>
        <w:rPr>
          <w:color w:val="000000" w:themeColor="text1"/>
          <w:sz w:val="24"/>
          <w14:textFill>
            <w14:solidFill>
              <w14:schemeClr w14:val="tx1"/>
            </w14:solidFill>
          </w14:textFill>
        </w:rPr>
        <w:t>，则垫料装卸粉尘产生量约1.0786t/a</w:t>
      </w:r>
      <w:r>
        <w:rPr>
          <w:rFonts w:hint="eastAsia"/>
          <w:color w:val="000000" w:themeColor="text1"/>
          <w:sz w:val="24"/>
          <w14:textFill>
            <w14:solidFill>
              <w14:schemeClr w14:val="tx1"/>
            </w14:solidFill>
          </w14:textFill>
        </w:rPr>
        <w:t>（0.</w:t>
      </w:r>
      <w:r>
        <w:rPr>
          <w:color w:val="000000" w:themeColor="text1"/>
          <w:sz w:val="24"/>
          <w14:textFill>
            <w14:solidFill>
              <w14:schemeClr w14:val="tx1"/>
            </w14:solidFill>
          </w14:textFill>
        </w:rPr>
        <w:t>1231</w:t>
      </w:r>
      <w:r>
        <w:rPr>
          <w:rFonts w:hint="eastAsia"/>
          <w:color w:val="000000" w:themeColor="text1"/>
          <w:sz w:val="24"/>
          <w14:textFill>
            <w14:solidFill>
              <w14:schemeClr w14:val="tx1"/>
            </w14:solidFill>
          </w14:textFill>
        </w:rPr>
        <w:t>kg</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h）</w:t>
      </w:r>
      <w:r>
        <w:rPr>
          <w:color w:val="000000" w:themeColor="text1"/>
          <w:sz w:val="24"/>
          <w14:textFill>
            <w14:solidFill>
              <w14:schemeClr w14:val="tx1"/>
            </w14:solidFill>
          </w14:textFill>
        </w:rPr>
        <w:t>。</w:t>
      </w:r>
    </w:p>
    <w:p w14:paraId="63029AD1">
      <w:pPr>
        <w:pStyle w:val="86"/>
        <w:ind w:firstLine="482" w:firstLineChars="200"/>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排放情况：</w:t>
      </w:r>
    </w:p>
    <w:p w14:paraId="75FA2B79">
      <w:pPr>
        <w:pStyle w:val="86"/>
        <w:ind w:firstLine="480" w:firstLineChars="200"/>
        <w:rPr>
          <w:color w:val="000000" w:themeColor="text1"/>
          <w:sz w:val="24"/>
          <w14:textFill>
            <w14:solidFill>
              <w14:schemeClr w14:val="tx1"/>
            </w14:solidFill>
          </w14:textFill>
        </w:rPr>
      </w:pPr>
      <w:bookmarkStart w:id="434" w:name="OLE_LINK167"/>
      <w:bookmarkStart w:id="435" w:name="OLE_LINK170"/>
      <w:r>
        <w:rPr>
          <w:color w:val="000000" w:themeColor="text1"/>
          <w:sz w:val="24"/>
          <w14:textFill>
            <w14:solidFill>
              <w14:schemeClr w14:val="tx1"/>
            </w14:solidFill>
          </w14:textFill>
        </w:rPr>
        <w:t>项目垫料储存于封闭垫料房内，垫料</w:t>
      </w:r>
      <w:r>
        <w:rPr>
          <w:rFonts w:hint="eastAsia"/>
          <w:color w:val="000000" w:themeColor="text1"/>
          <w:sz w:val="24"/>
          <w14:textFill>
            <w14:solidFill>
              <w14:schemeClr w14:val="tx1"/>
            </w14:solidFill>
          </w14:textFill>
        </w:rPr>
        <w:t>棚</w:t>
      </w:r>
      <w:r>
        <w:rPr>
          <w:color w:val="000000" w:themeColor="text1"/>
          <w:sz w:val="24"/>
          <w14:textFill>
            <w14:solidFill>
              <w14:schemeClr w14:val="tx1"/>
            </w14:solidFill>
          </w14:textFill>
        </w:rPr>
        <w:t>除进出口外，四周及顶部采用全封闭彩钢结构，避免因风起尘。</w:t>
      </w:r>
      <w:bookmarkEnd w:id="434"/>
      <w:bookmarkEnd w:id="435"/>
      <w:r>
        <w:rPr>
          <w:color w:val="000000" w:themeColor="text1"/>
          <w:sz w:val="24"/>
          <w14:textFill>
            <w14:solidFill>
              <w14:schemeClr w14:val="tx1"/>
            </w14:solidFill>
          </w14:textFill>
        </w:rPr>
        <w:t>地面水泥硬化，减少转运过程扬尘，控制效率按70%计，则垫料储存及装卸粉尘排放量为0.3236t/a。</w:t>
      </w:r>
    </w:p>
    <w:p w14:paraId="205073F5">
      <w:pPr>
        <w:pStyle w:val="1771"/>
        <w:spacing w:line="360" w:lineRule="auto"/>
        <w:rPr>
          <w:rFonts w:eastAsia="黑体"/>
          <w:b w:val="0"/>
          <w:bCs/>
          <w:snapToGrid w:val="0"/>
          <w:color w:val="000000" w:themeColor="text1"/>
          <w:szCs w:val="21"/>
          <w14:textFill>
            <w14:solidFill>
              <w14:schemeClr w14:val="tx1"/>
            </w14:solidFill>
          </w14:textFill>
        </w:rPr>
      </w:pPr>
      <w:r>
        <w:rPr>
          <w:rFonts w:hint="eastAsia" w:eastAsia="黑体"/>
          <w:b w:val="0"/>
          <w:bCs/>
          <w:snapToGrid w:val="0"/>
          <w:color w:val="000000" w:themeColor="text1"/>
          <w:szCs w:val="21"/>
          <w14:textFill>
            <w14:solidFill>
              <w14:schemeClr w14:val="tx1"/>
            </w14:solidFill>
          </w14:textFill>
        </w:rPr>
        <w:t>表3</w:t>
      </w:r>
      <w:r>
        <w:rPr>
          <w:rFonts w:eastAsia="黑体"/>
          <w:b w:val="0"/>
          <w:bCs/>
          <w:snapToGrid w:val="0"/>
          <w:color w:val="000000" w:themeColor="text1"/>
          <w:szCs w:val="21"/>
          <w14:textFill>
            <w14:solidFill>
              <w14:schemeClr w14:val="tx1"/>
            </w14:solidFill>
          </w14:textFill>
        </w:rPr>
        <w:t>.10.4-2</w:t>
      </w:r>
      <w:r>
        <w:rPr>
          <w:rFonts w:hint="eastAsia" w:eastAsia="黑体"/>
          <w:b w:val="0"/>
          <w:bCs/>
          <w:snapToGrid w:val="0"/>
          <w:color w:val="000000" w:themeColor="text1"/>
          <w:szCs w:val="21"/>
          <w14:textFill>
            <w14:solidFill>
              <w14:schemeClr w14:val="tx1"/>
            </w14:solidFill>
          </w14:textFill>
        </w:rPr>
        <w:t>项目垫料储存及装卸粉尘产排情况一览表</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767"/>
        <w:gridCol w:w="1056"/>
        <w:gridCol w:w="1229"/>
        <w:gridCol w:w="1079"/>
        <w:gridCol w:w="1227"/>
        <w:gridCol w:w="1079"/>
        <w:gridCol w:w="1227"/>
      </w:tblGrid>
      <w:tr w14:paraId="4CB4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restart"/>
            <w:vAlign w:val="center"/>
          </w:tcPr>
          <w:p w14:paraId="4EB25402">
            <w:pPr>
              <w:pStyle w:val="86"/>
              <w:widowControl w:val="0"/>
              <w:spacing w:line="240" w:lineRule="auto"/>
              <w:ind w:firstLine="0" w:firstLineChars="0"/>
              <w:jc w:val="center"/>
              <w:rPr>
                <w:rFonts w:ascii="宋体" w:hAnsi="宋体"/>
                <w:szCs w:val="21"/>
              </w:rPr>
            </w:pPr>
            <w:r>
              <w:rPr>
                <w:rFonts w:hint="eastAsia" w:ascii="宋体" w:hAnsi="宋体"/>
                <w:szCs w:val="21"/>
              </w:rPr>
              <w:t>养殖场区</w:t>
            </w:r>
          </w:p>
        </w:tc>
        <w:tc>
          <w:tcPr>
            <w:tcW w:w="0" w:type="auto"/>
            <w:vMerge w:val="restart"/>
            <w:vAlign w:val="center"/>
          </w:tcPr>
          <w:p w14:paraId="2A4DBC7A">
            <w:pPr>
              <w:pStyle w:val="86"/>
              <w:widowControl w:val="0"/>
              <w:spacing w:line="240" w:lineRule="auto"/>
              <w:ind w:firstLine="0" w:firstLineChars="0"/>
              <w:jc w:val="center"/>
              <w:rPr>
                <w:rFonts w:ascii="宋体" w:hAnsi="宋体"/>
                <w:szCs w:val="21"/>
              </w:rPr>
            </w:pPr>
            <w:r>
              <w:rPr>
                <w:rFonts w:hint="eastAsia" w:ascii="宋体" w:hAnsi="宋体"/>
                <w:szCs w:val="21"/>
              </w:rPr>
              <w:t>污染源</w:t>
            </w:r>
          </w:p>
        </w:tc>
        <w:tc>
          <w:tcPr>
            <w:tcW w:w="1056" w:type="dxa"/>
            <w:vMerge w:val="restart"/>
            <w:vAlign w:val="center"/>
          </w:tcPr>
          <w:p w14:paraId="4EEADE92">
            <w:pPr>
              <w:pStyle w:val="86"/>
              <w:widowControl w:val="0"/>
              <w:spacing w:line="240" w:lineRule="auto"/>
              <w:ind w:firstLine="0" w:firstLineChars="0"/>
              <w:jc w:val="center"/>
              <w:rPr>
                <w:rFonts w:ascii="宋体" w:hAnsi="宋体"/>
                <w:szCs w:val="21"/>
              </w:rPr>
            </w:pPr>
            <w:r>
              <w:rPr>
                <w:rFonts w:hint="eastAsia" w:ascii="宋体" w:hAnsi="宋体"/>
                <w:szCs w:val="21"/>
              </w:rPr>
              <w:t>产污系数（kg</w:t>
            </w:r>
            <w:r>
              <w:rPr>
                <w:rFonts w:ascii="宋体" w:hAnsi="宋体"/>
                <w:szCs w:val="21"/>
              </w:rPr>
              <w:t>/t）</w:t>
            </w:r>
          </w:p>
        </w:tc>
        <w:tc>
          <w:tcPr>
            <w:tcW w:w="1229" w:type="dxa"/>
            <w:vMerge w:val="restart"/>
            <w:vAlign w:val="center"/>
          </w:tcPr>
          <w:p w14:paraId="03444F71">
            <w:pPr>
              <w:pStyle w:val="86"/>
              <w:widowControl w:val="0"/>
              <w:spacing w:line="240" w:lineRule="auto"/>
              <w:ind w:firstLine="0" w:firstLineChars="0"/>
              <w:jc w:val="center"/>
              <w:rPr>
                <w:rFonts w:ascii="宋体" w:hAnsi="宋体"/>
                <w:szCs w:val="21"/>
              </w:rPr>
            </w:pPr>
            <w:r>
              <w:rPr>
                <w:rFonts w:hint="eastAsia" w:ascii="宋体" w:hAnsi="宋体"/>
                <w:szCs w:val="21"/>
              </w:rPr>
              <w:t>垫料用量（t</w:t>
            </w:r>
            <w:r>
              <w:rPr>
                <w:rFonts w:ascii="宋体" w:hAnsi="宋体"/>
                <w:szCs w:val="21"/>
              </w:rPr>
              <w:t>/a）</w:t>
            </w:r>
          </w:p>
        </w:tc>
        <w:tc>
          <w:tcPr>
            <w:tcW w:w="0" w:type="auto"/>
            <w:gridSpan w:val="4"/>
            <w:vAlign w:val="center"/>
          </w:tcPr>
          <w:p w14:paraId="6EA86196">
            <w:pPr>
              <w:pStyle w:val="86"/>
              <w:widowControl w:val="0"/>
              <w:spacing w:line="240" w:lineRule="auto"/>
              <w:ind w:firstLine="0" w:firstLineChars="0"/>
              <w:jc w:val="center"/>
              <w:rPr>
                <w:rFonts w:ascii="宋体" w:hAnsi="宋体"/>
                <w:szCs w:val="21"/>
              </w:rPr>
            </w:pPr>
            <w:r>
              <w:rPr>
                <w:rFonts w:hint="eastAsia" w:ascii="宋体" w:hAnsi="宋体"/>
                <w:szCs w:val="21"/>
              </w:rPr>
              <w:t>无组织</w:t>
            </w:r>
          </w:p>
        </w:tc>
      </w:tr>
      <w:tr w14:paraId="38684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vAlign w:val="center"/>
          </w:tcPr>
          <w:p w14:paraId="4C260E45">
            <w:pPr>
              <w:pStyle w:val="86"/>
              <w:widowControl w:val="0"/>
              <w:spacing w:line="240" w:lineRule="auto"/>
              <w:ind w:firstLine="0" w:firstLineChars="0"/>
              <w:jc w:val="center"/>
              <w:rPr>
                <w:rFonts w:ascii="宋体" w:hAnsi="宋体"/>
                <w:szCs w:val="21"/>
              </w:rPr>
            </w:pPr>
          </w:p>
        </w:tc>
        <w:tc>
          <w:tcPr>
            <w:tcW w:w="0" w:type="auto"/>
            <w:vMerge w:val="continue"/>
            <w:vAlign w:val="center"/>
          </w:tcPr>
          <w:p w14:paraId="6AFE482D">
            <w:pPr>
              <w:pStyle w:val="86"/>
              <w:widowControl w:val="0"/>
              <w:spacing w:line="240" w:lineRule="auto"/>
              <w:ind w:firstLine="0" w:firstLineChars="0"/>
              <w:jc w:val="center"/>
              <w:rPr>
                <w:rFonts w:ascii="宋体" w:hAnsi="宋体"/>
                <w:szCs w:val="21"/>
              </w:rPr>
            </w:pPr>
          </w:p>
        </w:tc>
        <w:tc>
          <w:tcPr>
            <w:tcW w:w="1056" w:type="dxa"/>
            <w:vMerge w:val="continue"/>
            <w:vAlign w:val="center"/>
          </w:tcPr>
          <w:p w14:paraId="1EB052A7">
            <w:pPr>
              <w:pStyle w:val="86"/>
              <w:widowControl w:val="0"/>
              <w:spacing w:line="240" w:lineRule="auto"/>
              <w:ind w:firstLine="0" w:firstLineChars="0"/>
              <w:jc w:val="center"/>
              <w:rPr>
                <w:rFonts w:ascii="宋体" w:hAnsi="宋体"/>
                <w:szCs w:val="21"/>
              </w:rPr>
            </w:pPr>
          </w:p>
        </w:tc>
        <w:tc>
          <w:tcPr>
            <w:tcW w:w="1229" w:type="dxa"/>
            <w:vMerge w:val="continue"/>
            <w:vAlign w:val="center"/>
          </w:tcPr>
          <w:p w14:paraId="3823E1C1">
            <w:pPr>
              <w:pStyle w:val="86"/>
              <w:widowControl w:val="0"/>
              <w:spacing w:line="240" w:lineRule="auto"/>
              <w:ind w:firstLine="0" w:firstLineChars="0"/>
              <w:jc w:val="center"/>
              <w:rPr>
                <w:rFonts w:ascii="宋体" w:hAnsi="宋体"/>
                <w:szCs w:val="21"/>
              </w:rPr>
            </w:pPr>
          </w:p>
        </w:tc>
        <w:tc>
          <w:tcPr>
            <w:tcW w:w="0" w:type="auto"/>
            <w:gridSpan w:val="4"/>
            <w:vAlign w:val="center"/>
          </w:tcPr>
          <w:p w14:paraId="1DD61174">
            <w:pPr>
              <w:pStyle w:val="86"/>
              <w:widowControl w:val="0"/>
              <w:spacing w:line="240" w:lineRule="auto"/>
              <w:ind w:firstLine="0" w:firstLineChars="0"/>
              <w:jc w:val="center"/>
              <w:rPr>
                <w:rFonts w:ascii="宋体" w:hAnsi="宋体"/>
                <w:szCs w:val="21"/>
              </w:rPr>
            </w:pPr>
            <w:r>
              <w:rPr>
                <w:rFonts w:hint="eastAsia" w:ascii="宋体" w:hAnsi="宋体"/>
                <w:szCs w:val="21"/>
              </w:rPr>
              <w:t>颗粒物</w:t>
            </w:r>
          </w:p>
        </w:tc>
      </w:tr>
      <w:tr w14:paraId="4805C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vAlign w:val="center"/>
          </w:tcPr>
          <w:p w14:paraId="129CBB67">
            <w:pPr>
              <w:pStyle w:val="86"/>
              <w:widowControl w:val="0"/>
              <w:spacing w:line="240" w:lineRule="auto"/>
              <w:ind w:firstLine="0" w:firstLineChars="0"/>
              <w:jc w:val="center"/>
              <w:rPr>
                <w:rFonts w:ascii="宋体" w:hAnsi="宋体"/>
                <w:szCs w:val="21"/>
              </w:rPr>
            </w:pPr>
          </w:p>
        </w:tc>
        <w:tc>
          <w:tcPr>
            <w:tcW w:w="0" w:type="auto"/>
            <w:vMerge w:val="continue"/>
            <w:vAlign w:val="center"/>
          </w:tcPr>
          <w:p w14:paraId="21CE0EE6">
            <w:pPr>
              <w:pStyle w:val="86"/>
              <w:widowControl w:val="0"/>
              <w:spacing w:line="240" w:lineRule="auto"/>
              <w:ind w:firstLine="0" w:firstLineChars="0"/>
              <w:jc w:val="center"/>
              <w:rPr>
                <w:rFonts w:ascii="宋体" w:hAnsi="宋体"/>
                <w:szCs w:val="21"/>
              </w:rPr>
            </w:pPr>
          </w:p>
        </w:tc>
        <w:tc>
          <w:tcPr>
            <w:tcW w:w="1056" w:type="dxa"/>
            <w:vMerge w:val="continue"/>
            <w:vAlign w:val="center"/>
          </w:tcPr>
          <w:p w14:paraId="04D60BAF">
            <w:pPr>
              <w:pStyle w:val="86"/>
              <w:widowControl w:val="0"/>
              <w:spacing w:line="240" w:lineRule="auto"/>
              <w:ind w:firstLine="0" w:firstLineChars="0"/>
              <w:jc w:val="center"/>
              <w:rPr>
                <w:rFonts w:ascii="宋体" w:hAnsi="宋体"/>
                <w:szCs w:val="21"/>
              </w:rPr>
            </w:pPr>
          </w:p>
        </w:tc>
        <w:tc>
          <w:tcPr>
            <w:tcW w:w="1229" w:type="dxa"/>
            <w:vMerge w:val="continue"/>
            <w:vAlign w:val="center"/>
          </w:tcPr>
          <w:p w14:paraId="791E5508">
            <w:pPr>
              <w:pStyle w:val="86"/>
              <w:widowControl w:val="0"/>
              <w:spacing w:line="240" w:lineRule="auto"/>
              <w:ind w:firstLine="0" w:firstLineChars="0"/>
              <w:jc w:val="center"/>
              <w:rPr>
                <w:rFonts w:ascii="宋体" w:hAnsi="宋体"/>
                <w:szCs w:val="21"/>
              </w:rPr>
            </w:pPr>
          </w:p>
        </w:tc>
        <w:tc>
          <w:tcPr>
            <w:tcW w:w="1079" w:type="dxa"/>
            <w:vAlign w:val="center"/>
          </w:tcPr>
          <w:p w14:paraId="1BB11F0D">
            <w:pPr>
              <w:pStyle w:val="86"/>
              <w:widowControl w:val="0"/>
              <w:spacing w:line="240" w:lineRule="auto"/>
              <w:ind w:firstLine="0" w:firstLineChars="0"/>
              <w:jc w:val="center"/>
              <w:rPr>
                <w:rFonts w:ascii="宋体" w:hAnsi="宋体"/>
                <w:szCs w:val="21"/>
              </w:rPr>
            </w:pPr>
            <w:r>
              <w:rPr>
                <w:rFonts w:hint="eastAsia" w:ascii="宋体" w:hAnsi="宋体"/>
                <w:szCs w:val="21"/>
              </w:rPr>
              <w:t>产生量（t</w:t>
            </w:r>
            <w:r>
              <w:rPr>
                <w:rFonts w:ascii="宋体" w:hAnsi="宋体"/>
                <w:szCs w:val="21"/>
              </w:rPr>
              <w:t>/</w:t>
            </w:r>
            <w:r>
              <w:rPr>
                <w:rFonts w:hint="eastAsia" w:ascii="宋体" w:hAnsi="宋体"/>
                <w:szCs w:val="21"/>
              </w:rPr>
              <w:t>a）</w:t>
            </w:r>
          </w:p>
        </w:tc>
        <w:tc>
          <w:tcPr>
            <w:tcW w:w="1227" w:type="dxa"/>
            <w:vAlign w:val="center"/>
          </w:tcPr>
          <w:p w14:paraId="7500F509">
            <w:pPr>
              <w:pStyle w:val="86"/>
              <w:widowControl w:val="0"/>
              <w:spacing w:line="240" w:lineRule="auto"/>
              <w:ind w:firstLine="0" w:firstLineChars="0"/>
              <w:jc w:val="center"/>
              <w:rPr>
                <w:rFonts w:ascii="宋体" w:hAnsi="宋体"/>
                <w:szCs w:val="21"/>
              </w:rPr>
            </w:pPr>
            <w:r>
              <w:rPr>
                <w:rFonts w:hint="eastAsia" w:ascii="宋体" w:hAnsi="宋体"/>
                <w:szCs w:val="21"/>
              </w:rPr>
              <w:t>产生速率（kg</w:t>
            </w:r>
            <w:r>
              <w:rPr>
                <w:rFonts w:ascii="宋体" w:hAnsi="宋体"/>
                <w:szCs w:val="21"/>
              </w:rPr>
              <w:t>/</w:t>
            </w:r>
            <w:r>
              <w:rPr>
                <w:rFonts w:hint="eastAsia" w:ascii="宋体" w:hAnsi="宋体"/>
                <w:szCs w:val="21"/>
              </w:rPr>
              <w:t>h）</w:t>
            </w:r>
          </w:p>
        </w:tc>
        <w:tc>
          <w:tcPr>
            <w:tcW w:w="0" w:type="auto"/>
            <w:vAlign w:val="center"/>
          </w:tcPr>
          <w:p w14:paraId="40C546C4">
            <w:pPr>
              <w:pStyle w:val="86"/>
              <w:widowControl w:val="0"/>
              <w:spacing w:line="240" w:lineRule="auto"/>
              <w:ind w:firstLine="0" w:firstLineChars="0"/>
              <w:jc w:val="center"/>
              <w:rPr>
                <w:rFonts w:ascii="宋体" w:hAnsi="宋体"/>
                <w:szCs w:val="21"/>
              </w:rPr>
            </w:pPr>
            <w:r>
              <w:rPr>
                <w:rFonts w:hint="eastAsia" w:ascii="宋体" w:hAnsi="宋体"/>
                <w:szCs w:val="21"/>
              </w:rPr>
              <w:t>排放量（t</w:t>
            </w:r>
            <w:r>
              <w:rPr>
                <w:rFonts w:ascii="宋体" w:hAnsi="宋体"/>
                <w:szCs w:val="21"/>
              </w:rPr>
              <w:t>/</w:t>
            </w:r>
            <w:r>
              <w:rPr>
                <w:rFonts w:hint="eastAsia" w:ascii="宋体" w:hAnsi="宋体"/>
                <w:szCs w:val="21"/>
              </w:rPr>
              <w:t>a）</w:t>
            </w:r>
          </w:p>
        </w:tc>
        <w:tc>
          <w:tcPr>
            <w:tcW w:w="0" w:type="auto"/>
            <w:vAlign w:val="center"/>
          </w:tcPr>
          <w:p w14:paraId="75408A48">
            <w:pPr>
              <w:pStyle w:val="86"/>
              <w:widowControl w:val="0"/>
              <w:spacing w:line="240" w:lineRule="auto"/>
              <w:ind w:firstLine="0" w:firstLineChars="0"/>
              <w:jc w:val="center"/>
              <w:rPr>
                <w:rFonts w:ascii="宋体" w:hAnsi="宋体"/>
                <w:szCs w:val="21"/>
              </w:rPr>
            </w:pPr>
            <w:r>
              <w:rPr>
                <w:rFonts w:hint="eastAsia" w:ascii="宋体" w:hAnsi="宋体"/>
                <w:szCs w:val="21"/>
              </w:rPr>
              <w:t>排放速率（k</w:t>
            </w:r>
            <w:r>
              <w:rPr>
                <w:rFonts w:ascii="宋体" w:hAnsi="宋体"/>
                <w:szCs w:val="21"/>
              </w:rPr>
              <w:t>g</w:t>
            </w:r>
            <w:r>
              <w:rPr>
                <w:rFonts w:hint="eastAsia" w:ascii="宋体" w:hAnsi="宋体"/>
                <w:szCs w:val="21"/>
              </w:rPr>
              <w:t>/</w:t>
            </w:r>
            <w:r>
              <w:rPr>
                <w:rFonts w:ascii="宋体" w:hAnsi="宋体"/>
                <w:szCs w:val="21"/>
              </w:rPr>
              <w:t>h）</w:t>
            </w:r>
          </w:p>
        </w:tc>
      </w:tr>
      <w:tr w14:paraId="1E96B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22050851">
            <w:pPr>
              <w:pStyle w:val="86"/>
              <w:widowControl w:val="0"/>
              <w:spacing w:line="240" w:lineRule="auto"/>
              <w:ind w:firstLine="0" w:firstLineChars="0"/>
              <w:jc w:val="center"/>
              <w:rPr>
                <w:rFonts w:ascii="宋体" w:hAnsi="宋体"/>
                <w:szCs w:val="21"/>
              </w:rPr>
            </w:pPr>
            <w:r>
              <w:rPr>
                <w:rFonts w:hint="eastAsia" w:ascii="宋体" w:hAnsi="宋体"/>
                <w:kern w:val="0"/>
                <w:szCs w:val="21"/>
              </w:rPr>
              <w:t>百花养殖场区</w:t>
            </w:r>
          </w:p>
        </w:tc>
        <w:tc>
          <w:tcPr>
            <w:tcW w:w="0" w:type="auto"/>
            <w:vMerge w:val="restart"/>
            <w:vAlign w:val="center"/>
          </w:tcPr>
          <w:p w14:paraId="361CBE87">
            <w:pPr>
              <w:pStyle w:val="86"/>
              <w:widowControl w:val="0"/>
              <w:spacing w:line="240" w:lineRule="auto"/>
              <w:ind w:firstLine="0" w:firstLineChars="0"/>
              <w:jc w:val="center"/>
              <w:rPr>
                <w:rFonts w:ascii="宋体" w:hAnsi="宋体"/>
                <w:szCs w:val="21"/>
              </w:rPr>
            </w:pPr>
            <w:r>
              <w:rPr>
                <w:rFonts w:hint="eastAsia" w:ascii="宋体" w:hAnsi="宋体"/>
                <w:szCs w:val="21"/>
              </w:rPr>
              <w:t>垫料储存及装卸粉尘</w:t>
            </w:r>
          </w:p>
        </w:tc>
        <w:tc>
          <w:tcPr>
            <w:tcW w:w="0" w:type="auto"/>
            <w:vMerge w:val="restart"/>
            <w:vAlign w:val="center"/>
          </w:tcPr>
          <w:p w14:paraId="494BE0D7">
            <w:pPr>
              <w:pStyle w:val="86"/>
              <w:widowControl w:val="0"/>
              <w:spacing w:line="240" w:lineRule="auto"/>
              <w:ind w:firstLine="0" w:firstLineChars="0"/>
              <w:jc w:val="center"/>
              <w:rPr>
                <w:rFonts w:ascii="宋体" w:hAnsi="宋体" w:cs="Segoe UI"/>
                <w:color w:val="1A1A1A"/>
                <w:kern w:val="0"/>
                <w:szCs w:val="21"/>
              </w:rPr>
            </w:pPr>
            <w:r>
              <w:rPr>
                <w:rFonts w:hint="eastAsia" w:ascii="宋体" w:hAnsi="宋体" w:cs="Segoe UI"/>
                <w:color w:val="1A1A1A"/>
                <w:kern w:val="0"/>
                <w:szCs w:val="21"/>
              </w:rPr>
              <w:t>0</w:t>
            </w:r>
            <w:r>
              <w:rPr>
                <w:rFonts w:ascii="宋体" w:hAnsi="宋体" w:cs="Segoe UI"/>
                <w:color w:val="1A1A1A"/>
                <w:kern w:val="0"/>
                <w:szCs w:val="21"/>
              </w:rPr>
              <w:t>.07</w:t>
            </w:r>
          </w:p>
        </w:tc>
        <w:tc>
          <w:tcPr>
            <w:tcW w:w="0" w:type="auto"/>
            <w:vAlign w:val="center"/>
          </w:tcPr>
          <w:p w14:paraId="07C6163D">
            <w:pPr>
              <w:pStyle w:val="86"/>
              <w:widowControl w:val="0"/>
              <w:spacing w:line="240" w:lineRule="auto"/>
              <w:ind w:firstLine="0" w:firstLineChars="0"/>
              <w:jc w:val="center"/>
              <w:rPr>
                <w:rFonts w:ascii="宋体" w:hAnsi="宋体"/>
                <w:szCs w:val="21"/>
              </w:rPr>
            </w:pPr>
            <w:r>
              <w:rPr>
                <w:rFonts w:hint="eastAsia" w:ascii="宋体" w:hAnsi="宋体" w:cs="Segoe UI"/>
                <w:color w:val="1A1A1A"/>
                <w:kern w:val="0"/>
                <w:szCs w:val="21"/>
              </w:rPr>
              <w:t>4</w:t>
            </w:r>
            <w:r>
              <w:rPr>
                <w:rFonts w:ascii="宋体" w:hAnsi="宋体" w:cs="Segoe UI"/>
                <w:color w:val="1A1A1A"/>
                <w:kern w:val="0"/>
                <w:szCs w:val="21"/>
              </w:rPr>
              <w:t>737.6</w:t>
            </w:r>
          </w:p>
        </w:tc>
        <w:tc>
          <w:tcPr>
            <w:tcW w:w="1079" w:type="dxa"/>
            <w:tcBorders>
              <w:top w:val="nil"/>
              <w:left w:val="nil"/>
              <w:bottom w:val="single" w:color="auto" w:sz="8" w:space="0"/>
              <w:right w:val="single" w:color="auto" w:sz="8" w:space="0"/>
            </w:tcBorders>
            <w:vAlign w:val="center"/>
          </w:tcPr>
          <w:p w14:paraId="554FE9CA">
            <w:pPr>
              <w:pStyle w:val="86"/>
              <w:widowControl w:val="0"/>
              <w:spacing w:line="240" w:lineRule="auto"/>
              <w:ind w:firstLine="0" w:firstLineChars="0"/>
              <w:jc w:val="center"/>
              <w:rPr>
                <w:rFonts w:ascii="宋体" w:hAnsi="宋体"/>
                <w:szCs w:val="21"/>
              </w:rPr>
            </w:pPr>
            <w:r>
              <w:rPr>
                <w:rFonts w:hint="eastAsia"/>
                <w:color w:val="000000"/>
                <w:szCs w:val="21"/>
              </w:rPr>
              <w:t>0.3316</w:t>
            </w:r>
          </w:p>
        </w:tc>
        <w:tc>
          <w:tcPr>
            <w:tcW w:w="1227" w:type="dxa"/>
            <w:tcBorders>
              <w:top w:val="nil"/>
              <w:left w:val="nil"/>
              <w:bottom w:val="single" w:color="auto" w:sz="8" w:space="0"/>
              <w:right w:val="single" w:color="auto" w:sz="8" w:space="0"/>
            </w:tcBorders>
            <w:vAlign w:val="center"/>
          </w:tcPr>
          <w:p w14:paraId="75C8DD18">
            <w:pPr>
              <w:pStyle w:val="86"/>
              <w:widowControl w:val="0"/>
              <w:spacing w:line="240" w:lineRule="auto"/>
              <w:ind w:firstLine="0" w:firstLineChars="0"/>
              <w:jc w:val="center"/>
              <w:rPr>
                <w:rFonts w:ascii="宋体" w:hAnsi="宋体"/>
                <w:szCs w:val="21"/>
              </w:rPr>
            </w:pPr>
            <w:r>
              <w:rPr>
                <w:rFonts w:hint="eastAsia"/>
                <w:color w:val="000000"/>
                <w:szCs w:val="21"/>
              </w:rPr>
              <w:t>0.037</w:t>
            </w:r>
            <w:r>
              <w:rPr>
                <w:color w:val="000000"/>
                <w:szCs w:val="21"/>
              </w:rPr>
              <w:t>8</w:t>
            </w:r>
          </w:p>
        </w:tc>
        <w:tc>
          <w:tcPr>
            <w:tcW w:w="0" w:type="auto"/>
            <w:tcBorders>
              <w:top w:val="nil"/>
              <w:left w:val="nil"/>
              <w:bottom w:val="single" w:color="auto" w:sz="8" w:space="0"/>
              <w:right w:val="single" w:color="auto" w:sz="8" w:space="0"/>
            </w:tcBorders>
            <w:vAlign w:val="center"/>
          </w:tcPr>
          <w:p w14:paraId="35D6E572">
            <w:pPr>
              <w:pStyle w:val="86"/>
              <w:widowControl w:val="0"/>
              <w:spacing w:line="240" w:lineRule="auto"/>
              <w:ind w:firstLine="0" w:firstLineChars="0"/>
              <w:jc w:val="center"/>
              <w:rPr>
                <w:rFonts w:ascii="宋体" w:hAnsi="宋体"/>
                <w:szCs w:val="21"/>
              </w:rPr>
            </w:pPr>
            <w:r>
              <w:rPr>
                <w:rFonts w:hint="eastAsia"/>
                <w:color w:val="000000"/>
                <w:szCs w:val="21"/>
              </w:rPr>
              <w:t>0.099</w:t>
            </w:r>
            <w:r>
              <w:rPr>
                <w:color w:val="000000"/>
                <w:szCs w:val="21"/>
              </w:rPr>
              <w:t>5</w:t>
            </w:r>
          </w:p>
        </w:tc>
        <w:tc>
          <w:tcPr>
            <w:tcW w:w="0" w:type="auto"/>
            <w:tcBorders>
              <w:top w:val="nil"/>
              <w:left w:val="nil"/>
              <w:bottom w:val="single" w:color="auto" w:sz="8" w:space="0"/>
              <w:right w:val="single" w:color="auto" w:sz="8" w:space="0"/>
            </w:tcBorders>
            <w:vAlign w:val="center"/>
          </w:tcPr>
          <w:p w14:paraId="55A463D4">
            <w:pPr>
              <w:pStyle w:val="86"/>
              <w:widowControl w:val="0"/>
              <w:spacing w:line="240" w:lineRule="auto"/>
              <w:ind w:firstLine="0" w:firstLineChars="0"/>
              <w:jc w:val="center"/>
              <w:rPr>
                <w:rFonts w:ascii="宋体" w:hAnsi="宋体"/>
                <w:szCs w:val="21"/>
              </w:rPr>
            </w:pPr>
            <w:r>
              <w:rPr>
                <w:rFonts w:hint="eastAsia"/>
                <w:color w:val="000000"/>
                <w:szCs w:val="21"/>
              </w:rPr>
              <w:t>0.011</w:t>
            </w:r>
            <w:r>
              <w:rPr>
                <w:color w:val="000000"/>
                <w:szCs w:val="21"/>
              </w:rPr>
              <w:t>4</w:t>
            </w:r>
          </w:p>
        </w:tc>
      </w:tr>
      <w:tr w14:paraId="532B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56C4A1CA">
            <w:pPr>
              <w:widowControl w:val="0"/>
              <w:autoSpaceDE w:val="0"/>
              <w:autoSpaceDN w:val="0"/>
              <w:adjustRightInd w:val="0"/>
              <w:snapToGrid w:val="0"/>
              <w:jc w:val="center"/>
              <w:rPr>
                <w:rFonts w:ascii="宋体" w:hAnsi="宋体"/>
                <w:kern w:val="0"/>
                <w:szCs w:val="21"/>
              </w:rPr>
            </w:pPr>
            <w:r>
              <w:rPr>
                <w:rFonts w:hint="eastAsia" w:ascii="宋体" w:hAnsi="宋体"/>
                <w:kern w:val="0"/>
                <w:szCs w:val="21"/>
              </w:rPr>
              <w:t>佛龙养殖场区</w:t>
            </w:r>
          </w:p>
        </w:tc>
        <w:tc>
          <w:tcPr>
            <w:tcW w:w="0" w:type="auto"/>
            <w:vMerge w:val="continue"/>
            <w:vAlign w:val="center"/>
          </w:tcPr>
          <w:p w14:paraId="507FA3B7">
            <w:pPr>
              <w:pStyle w:val="86"/>
              <w:widowControl w:val="0"/>
              <w:spacing w:line="240" w:lineRule="auto"/>
              <w:ind w:firstLine="0" w:firstLineChars="0"/>
              <w:jc w:val="center"/>
              <w:rPr>
                <w:rFonts w:ascii="宋体" w:hAnsi="宋体"/>
                <w:szCs w:val="21"/>
              </w:rPr>
            </w:pPr>
          </w:p>
        </w:tc>
        <w:tc>
          <w:tcPr>
            <w:tcW w:w="0" w:type="auto"/>
            <w:vMerge w:val="continue"/>
            <w:vAlign w:val="center"/>
          </w:tcPr>
          <w:p w14:paraId="5AC17154">
            <w:pPr>
              <w:pStyle w:val="86"/>
              <w:widowControl w:val="0"/>
              <w:spacing w:line="240" w:lineRule="auto"/>
              <w:ind w:firstLine="0" w:firstLineChars="0"/>
              <w:jc w:val="center"/>
              <w:rPr>
                <w:rFonts w:ascii="宋体" w:hAnsi="宋体" w:cs="Segoe UI"/>
                <w:color w:val="1A1A1A"/>
                <w:kern w:val="0"/>
                <w:szCs w:val="21"/>
              </w:rPr>
            </w:pPr>
          </w:p>
        </w:tc>
        <w:tc>
          <w:tcPr>
            <w:tcW w:w="0" w:type="auto"/>
            <w:vAlign w:val="center"/>
          </w:tcPr>
          <w:p w14:paraId="4BB87B72">
            <w:pPr>
              <w:pStyle w:val="86"/>
              <w:widowControl w:val="0"/>
              <w:spacing w:line="240" w:lineRule="auto"/>
              <w:ind w:firstLine="0" w:firstLineChars="0"/>
              <w:jc w:val="center"/>
              <w:rPr>
                <w:rFonts w:ascii="宋体" w:hAnsi="宋体"/>
                <w:szCs w:val="21"/>
              </w:rPr>
            </w:pPr>
            <w:r>
              <w:rPr>
                <w:rFonts w:hint="eastAsia" w:ascii="宋体" w:hAnsi="宋体" w:cs="Segoe UI"/>
                <w:color w:val="1A1A1A"/>
                <w:kern w:val="0"/>
                <w:szCs w:val="21"/>
              </w:rPr>
              <w:t>2</w:t>
            </w:r>
            <w:r>
              <w:rPr>
                <w:rFonts w:ascii="宋体" w:hAnsi="宋体" w:cs="Segoe UI"/>
                <w:color w:val="1A1A1A"/>
                <w:kern w:val="0"/>
                <w:szCs w:val="21"/>
              </w:rPr>
              <w:t>577.6</w:t>
            </w:r>
          </w:p>
        </w:tc>
        <w:tc>
          <w:tcPr>
            <w:tcW w:w="1079" w:type="dxa"/>
            <w:tcBorders>
              <w:top w:val="nil"/>
              <w:left w:val="nil"/>
              <w:bottom w:val="single" w:color="auto" w:sz="8" w:space="0"/>
              <w:right w:val="single" w:color="auto" w:sz="8" w:space="0"/>
            </w:tcBorders>
            <w:vAlign w:val="center"/>
          </w:tcPr>
          <w:p w14:paraId="7F64A7B1">
            <w:pPr>
              <w:pStyle w:val="86"/>
              <w:widowControl w:val="0"/>
              <w:spacing w:line="240" w:lineRule="auto"/>
              <w:ind w:firstLine="0" w:firstLineChars="0"/>
              <w:jc w:val="center"/>
              <w:rPr>
                <w:rFonts w:ascii="宋体" w:hAnsi="宋体"/>
                <w:szCs w:val="21"/>
              </w:rPr>
            </w:pPr>
            <w:r>
              <w:rPr>
                <w:rFonts w:hint="eastAsia"/>
                <w:color w:val="000000"/>
                <w:szCs w:val="21"/>
              </w:rPr>
              <w:t>0.180</w:t>
            </w:r>
            <w:r>
              <w:rPr>
                <w:color w:val="000000"/>
                <w:szCs w:val="21"/>
              </w:rPr>
              <w:t>5</w:t>
            </w:r>
          </w:p>
        </w:tc>
        <w:tc>
          <w:tcPr>
            <w:tcW w:w="1227" w:type="dxa"/>
            <w:tcBorders>
              <w:top w:val="nil"/>
              <w:left w:val="nil"/>
              <w:bottom w:val="single" w:color="auto" w:sz="8" w:space="0"/>
              <w:right w:val="single" w:color="auto" w:sz="8" w:space="0"/>
            </w:tcBorders>
            <w:vAlign w:val="center"/>
          </w:tcPr>
          <w:p w14:paraId="538224FD">
            <w:pPr>
              <w:pStyle w:val="86"/>
              <w:widowControl w:val="0"/>
              <w:spacing w:line="240" w:lineRule="auto"/>
              <w:ind w:firstLine="0" w:firstLineChars="0"/>
              <w:jc w:val="center"/>
              <w:rPr>
                <w:rFonts w:ascii="宋体" w:hAnsi="宋体"/>
                <w:szCs w:val="21"/>
              </w:rPr>
            </w:pPr>
            <w:r>
              <w:rPr>
                <w:rFonts w:hint="eastAsia"/>
                <w:color w:val="000000"/>
                <w:szCs w:val="21"/>
              </w:rPr>
              <w:t>0.0206</w:t>
            </w:r>
          </w:p>
        </w:tc>
        <w:tc>
          <w:tcPr>
            <w:tcW w:w="0" w:type="auto"/>
            <w:tcBorders>
              <w:top w:val="nil"/>
              <w:left w:val="nil"/>
              <w:bottom w:val="single" w:color="auto" w:sz="8" w:space="0"/>
              <w:right w:val="single" w:color="auto" w:sz="8" w:space="0"/>
            </w:tcBorders>
            <w:vAlign w:val="center"/>
          </w:tcPr>
          <w:p w14:paraId="42D1E922">
            <w:pPr>
              <w:pStyle w:val="86"/>
              <w:widowControl w:val="0"/>
              <w:spacing w:line="240" w:lineRule="auto"/>
              <w:ind w:firstLine="0" w:firstLineChars="0"/>
              <w:jc w:val="center"/>
              <w:rPr>
                <w:rFonts w:ascii="宋体" w:hAnsi="宋体"/>
                <w:szCs w:val="21"/>
              </w:rPr>
            </w:pPr>
            <w:r>
              <w:rPr>
                <w:rFonts w:hint="eastAsia"/>
                <w:color w:val="000000"/>
                <w:szCs w:val="21"/>
              </w:rPr>
              <w:t>0.0541</w:t>
            </w:r>
          </w:p>
        </w:tc>
        <w:tc>
          <w:tcPr>
            <w:tcW w:w="0" w:type="auto"/>
            <w:tcBorders>
              <w:top w:val="nil"/>
              <w:left w:val="nil"/>
              <w:bottom w:val="single" w:color="auto" w:sz="8" w:space="0"/>
              <w:right w:val="single" w:color="auto" w:sz="8" w:space="0"/>
            </w:tcBorders>
            <w:vAlign w:val="center"/>
          </w:tcPr>
          <w:p w14:paraId="553E540C">
            <w:pPr>
              <w:pStyle w:val="86"/>
              <w:widowControl w:val="0"/>
              <w:spacing w:line="240" w:lineRule="auto"/>
              <w:ind w:firstLine="0" w:firstLineChars="0"/>
              <w:jc w:val="center"/>
              <w:rPr>
                <w:rFonts w:ascii="宋体" w:hAnsi="宋体"/>
                <w:szCs w:val="21"/>
              </w:rPr>
            </w:pPr>
            <w:r>
              <w:rPr>
                <w:rFonts w:hint="eastAsia"/>
                <w:color w:val="000000"/>
                <w:szCs w:val="21"/>
              </w:rPr>
              <w:t>0.006</w:t>
            </w:r>
            <w:r>
              <w:rPr>
                <w:color w:val="000000"/>
                <w:szCs w:val="21"/>
              </w:rPr>
              <w:t>1</w:t>
            </w:r>
          </w:p>
        </w:tc>
      </w:tr>
      <w:tr w14:paraId="18EA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CF5960F">
            <w:pPr>
              <w:pStyle w:val="86"/>
              <w:widowControl w:val="0"/>
              <w:spacing w:line="240" w:lineRule="auto"/>
              <w:ind w:firstLine="0" w:firstLineChars="0"/>
              <w:jc w:val="center"/>
              <w:rPr>
                <w:rFonts w:ascii="宋体" w:hAnsi="宋体"/>
                <w:szCs w:val="21"/>
              </w:rPr>
            </w:pPr>
            <w:r>
              <w:rPr>
                <w:rFonts w:hint="eastAsia" w:ascii="宋体" w:hAnsi="宋体"/>
                <w:kern w:val="0"/>
                <w:szCs w:val="21"/>
              </w:rPr>
              <w:t>塘坝养殖场区</w:t>
            </w:r>
          </w:p>
        </w:tc>
        <w:tc>
          <w:tcPr>
            <w:tcW w:w="0" w:type="auto"/>
            <w:vMerge w:val="continue"/>
            <w:vAlign w:val="center"/>
          </w:tcPr>
          <w:p w14:paraId="348A890E">
            <w:pPr>
              <w:pStyle w:val="86"/>
              <w:widowControl w:val="0"/>
              <w:spacing w:line="240" w:lineRule="auto"/>
              <w:ind w:firstLine="0" w:firstLineChars="0"/>
              <w:jc w:val="center"/>
              <w:rPr>
                <w:rFonts w:ascii="宋体" w:hAnsi="宋体"/>
                <w:szCs w:val="21"/>
              </w:rPr>
            </w:pPr>
          </w:p>
        </w:tc>
        <w:tc>
          <w:tcPr>
            <w:tcW w:w="0" w:type="auto"/>
            <w:vMerge w:val="continue"/>
            <w:vAlign w:val="center"/>
          </w:tcPr>
          <w:p w14:paraId="1C9FCE37">
            <w:pPr>
              <w:pStyle w:val="86"/>
              <w:widowControl w:val="0"/>
              <w:spacing w:line="240" w:lineRule="auto"/>
              <w:ind w:firstLine="0" w:firstLineChars="0"/>
              <w:jc w:val="center"/>
              <w:rPr>
                <w:rFonts w:ascii="宋体" w:hAnsi="宋体" w:cs="Segoe UI"/>
                <w:color w:val="1A1A1A"/>
                <w:kern w:val="0"/>
                <w:szCs w:val="21"/>
              </w:rPr>
            </w:pPr>
          </w:p>
        </w:tc>
        <w:tc>
          <w:tcPr>
            <w:tcW w:w="0" w:type="auto"/>
            <w:vAlign w:val="center"/>
          </w:tcPr>
          <w:p w14:paraId="41B89C20">
            <w:pPr>
              <w:pStyle w:val="86"/>
              <w:widowControl w:val="0"/>
              <w:spacing w:line="240" w:lineRule="auto"/>
              <w:ind w:firstLine="0" w:firstLineChars="0"/>
              <w:jc w:val="center"/>
              <w:rPr>
                <w:rFonts w:ascii="宋体" w:hAnsi="宋体"/>
                <w:szCs w:val="21"/>
              </w:rPr>
            </w:pPr>
            <w:r>
              <w:rPr>
                <w:rFonts w:hint="eastAsia" w:ascii="宋体" w:hAnsi="宋体" w:cs="Segoe UI"/>
                <w:color w:val="1A1A1A"/>
                <w:kern w:val="0"/>
                <w:szCs w:val="21"/>
              </w:rPr>
              <w:t>4</w:t>
            </w:r>
            <w:r>
              <w:rPr>
                <w:rFonts w:ascii="宋体" w:hAnsi="宋体" w:cs="Segoe UI"/>
                <w:color w:val="1A1A1A"/>
                <w:kern w:val="0"/>
                <w:szCs w:val="21"/>
              </w:rPr>
              <w:t>737.6</w:t>
            </w:r>
          </w:p>
        </w:tc>
        <w:tc>
          <w:tcPr>
            <w:tcW w:w="1079" w:type="dxa"/>
            <w:tcBorders>
              <w:top w:val="nil"/>
              <w:left w:val="nil"/>
              <w:bottom w:val="single" w:color="auto" w:sz="8" w:space="0"/>
              <w:right w:val="single" w:color="auto" w:sz="8" w:space="0"/>
            </w:tcBorders>
            <w:vAlign w:val="center"/>
          </w:tcPr>
          <w:p w14:paraId="624A60BF">
            <w:pPr>
              <w:pStyle w:val="86"/>
              <w:widowControl w:val="0"/>
              <w:spacing w:line="240" w:lineRule="auto"/>
              <w:ind w:firstLine="0" w:firstLineChars="0"/>
              <w:jc w:val="center"/>
              <w:rPr>
                <w:rFonts w:ascii="宋体" w:hAnsi="宋体"/>
                <w:szCs w:val="21"/>
              </w:rPr>
            </w:pPr>
            <w:r>
              <w:rPr>
                <w:rFonts w:hint="eastAsia"/>
                <w:color w:val="000000"/>
                <w:szCs w:val="21"/>
              </w:rPr>
              <w:t>0.3316</w:t>
            </w:r>
          </w:p>
        </w:tc>
        <w:tc>
          <w:tcPr>
            <w:tcW w:w="1227" w:type="dxa"/>
            <w:tcBorders>
              <w:top w:val="nil"/>
              <w:left w:val="nil"/>
              <w:bottom w:val="single" w:color="auto" w:sz="8" w:space="0"/>
              <w:right w:val="single" w:color="auto" w:sz="8" w:space="0"/>
            </w:tcBorders>
            <w:vAlign w:val="center"/>
          </w:tcPr>
          <w:p w14:paraId="5A6E7985">
            <w:pPr>
              <w:pStyle w:val="86"/>
              <w:widowControl w:val="0"/>
              <w:spacing w:line="240" w:lineRule="auto"/>
              <w:ind w:firstLine="0" w:firstLineChars="0"/>
              <w:jc w:val="center"/>
              <w:rPr>
                <w:rFonts w:ascii="宋体" w:hAnsi="宋体"/>
                <w:szCs w:val="21"/>
              </w:rPr>
            </w:pPr>
            <w:r>
              <w:rPr>
                <w:rFonts w:hint="eastAsia"/>
                <w:color w:val="000000"/>
                <w:szCs w:val="21"/>
              </w:rPr>
              <w:t>0.037</w:t>
            </w:r>
            <w:r>
              <w:rPr>
                <w:color w:val="000000"/>
                <w:szCs w:val="21"/>
              </w:rPr>
              <w:t>8</w:t>
            </w:r>
          </w:p>
        </w:tc>
        <w:tc>
          <w:tcPr>
            <w:tcW w:w="0" w:type="auto"/>
            <w:tcBorders>
              <w:top w:val="nil"/>
              <w:left w:val="nil"/>
              <w:bottom w:val="single" w:color="auto" w:sz="8" w:space="0"/>
              <w:right w:val="single" w:color="auto" w:sz="8" w:space="0"/>
            </w:tcBorders>
            <w:vAlign w:val="center"/>
          </w:tcPr>
          <w:p w14:paraId="5B38C000">
            <w:pPr>
              <w:pStyle w:val="86"/>
              <w:widowControl w:val="0"/>
              <w:spacing w:line="240" w:lineRule="auto"/>
              <w:ind w:firstLine="0" w:firstLineChars="0"/>
              <w:jc w:val="center"/>
              <w:rPr>
                <w:rFonts w:ascii="宋体" w:hAnsi="宋体"/>
                <w:szCs w:val="21"/>
              </w:rPr>
            </w:pPr>
            <w:r>
              <w:rPr>
                <w:rFonts w:hint="eastAsia"/>
                <w:color w:val="000000"/>
                <w:szCs w:val="21"/>
              </w:rPr>
              <w:t>0.099</w:t>
            </w:r>
            <w:r>
              <w:rPr>
                <w:color w:val="000000"/>
                <w:szCs w:val="21"/>
              </w:rPr>
              <w:t>5</w:t>
            </w:r>
          </w:p>
        </w:tc>
        <w:tc>
          <w:tcPr>
            <w:tcW w:w="0" w:type="auto"/>
            <w:tcBorders>
              <w:top w:val="nil"/>
              <w:left w:val="nil"/>
              <w:bottom w:val="single" w:color="auto" w:sz="8" w:space="0"/>
              <w:right w:val="single" w:color="auto" w:sz="8" w:space="0"/>
            </w:tcBorders>
            <w:vAlign w:val="center"/>
          </w:tcPr>
          <w:p w14:paraId="742A617A">
            <w:pPr>
              <w:pStyle w:val="86"/>
              <w:widowControl w:val="0"/>
              <w:spacing w:line="240" w:lineRule="auto"/>
              <w:ind w:firstLine="0" w:firstLineChars="0"/>
              <w:jc w:val="center"/>
              <w:rPr>
                <w:rFonts w:ascii="宋体" w:hAnsi="宋体"/>
                <w:szCs w:val="21"/>
              </w:rPr>
            </w:pPr>
            <w:r>
              <w:rPr>
                <w:rFonts w:hint="eastAsia"/>
                <w:color w:val="000000"/>
                <w:szCs w:val="21"/>
              </w:rPr>
              <w:t>0.011</w:t>
            </w:r>
            <w:r>
              <w:rPr>
                <w:color w:val="000000"/>
                <w:szCs w:val="21"/>
              </w:rPr>
              <w:t>4</w:t>
            </w:r>
          </w:p>
        </w:tc>
      </w:tr>
      <w:tr w14:paraId="51ACC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784AB4D6">
            <w:pPr>
              <w:pStyle w:val="86"/>
              <w:widowControl w:val="0"/>
              <w:spacing w:line="240" w:lineRule="auto"/>
              <w:ind w:firstLine="0" w:firstLineChars="0"/>
              <w:jc w:val="center"/>
              <w:rPr>
                <w:rFonts w:ascii="宋体" w:hAnsi="宋体"/>
                <w:szCs w:val="21"/>
              </w:rPr>
            </w:pPr>
            <w:r>
              <w:rPr>
                <w:rFonts w:hint="eastAsia" w:ascii="宋体" w:hAnsi="宋体"/>
                <w:kern w:val="0"/>
                <w:szCs w:val="21"/>
              </w:rPr>
              <w:t>始宁养殖场区</w:t>
            </w:r>
          </w:p>
        </w:tc>
        <w:tc>
          <w:tcPr>
            <w:tcW w:w="0" w:type="auto"/>
            <w:vMerge w:val="continue"/>
            <w:vAlign w:val="center"/>
          </w:tcPr>
          <w:p w14:paraId="650876C4">
            <w:pPr>
              <w:pStyle w:val="86"/>
              <w:widowControl w:val="0"/>
              <w:spacing w:line="240" w:lineRule="auto"/>
              <w:ind w:firstLine="0" w:firstLineChars="0"/>
              <w:jc w:val="center"/>
              <w:rPr>
                <w:rFonts w:ascii="宋体" w:hAnsi="宋体"/>
                <w:szCs w:val="21"/>
              </w:rPr>
            </w:pPr>
          </w:p>
        </w:tc>
        <w:tc>
          <w:tcPr>
            <w:tcW w:w="0" w:type="auto"/>
            <w:vMerge w:val="continue"/>
            <w:vAlign w:val="center"/>
          </w:tcPr>
          <w:p w14:paraId="349E5EB6">
            <w:pPr>
              <w:pStyle w:val="86"/>
              <w:widowControl w:val="0"/>
              <w:spacing w:line="240" w:lineRule="auto"/>
              <w:ind w:firstLine="0" w:firstLineChars="0"/>
              <w:jc w:val="center"/>
              <w:rPr>
                <w:rFonts w:ascii="宋体" w:hAnsi="宋体" w:cs="Segoe UI"/>
                <w:color w:val="1A1A1A"/>
                <w:kern w:val="0"/>
                <w:szCs w:val="21"/>
              </w:rPr>
            </w:pPr>
          </w:p>
        </w:tc>
        <w:tc>
          <w:tcPr>
            <w:tcW w:w="0" w:type="auto"/>
            <w:vAlign w:val="center"/>
          </w:tcPr>
          <w:p w14:paraId="10C13551">
            <w:pPr>
              <w:pStyle w:val="86"/>
              <w:widowControl w:val="0"/>
              <w:spacing w:line="240" w:lineRule="auto"/>
              <w:ind w:firstLine="0" w:firstLineChars="0"/>
              <w:jc w:val="center"/>
              <w:rPr>
                <w:rFonts w:ascii="宋体" w:hAnsi="宋体"/>
                <w:szCs w:val="21"/>
              </w:rPr>
            </w:pPr>
            <w:r>
              <w:rPr>
                <w:rFonts w:hint="eastAsia" w:ascii="宋体" w:hAnsi="宋体" w:cs="Segoe UI"/>
                <w:color w:val="1A1A1A"/>
                <w:kern w:val="0"/>
                <w:szCs w:val="21"/>
              </w:rPr>
              <w:t>3</w:t>
            </w:r>
            <w:r>
              <w:rPr>
                <w:rFonts w:ascii="宋体" w:hAnsi="宋体" w:cs="Segoe UI"/>
                <w:color w:val="1A1A1A"/>
                <w:kern w:val="0"/>
                <w:szCs w:val="21"/>
              </w:rPr>
              <w:t>355.2</w:t>
            </w:r>
          </w:p>
        </w:tc>
        <w:tc>
          <w:tcPr>
            <w:tcW w:w="1079" w:type="dxa"/>
            <w:tcBorders>
              <w:top w:val="nil"/>
              <w:left w:val="nil"/>
              <w:bottom w:val="single" w:color="auto" w:sz="8" w:space="0"/>
              <w:right w:val="single" w:color="auto" w:sz="8" w:space="0"/>
            </w:tcBorders>
            <w:vAlign w:val="center"/>
          </w:tcPr>
          <w:p w14:paraId="5F271E6B">
            <w:pPr>
              <w:pStyle w:val="86"/>
              <w:widowControl w:val="0"/>
              <w:spacing w:line="240" w:lineRule="auto"/>
              <w:ind w:firstLine="0" w:firstLineChars="0"/>
              <w:jc w:val="center"/>
              <w:rPr>
                <w:rFonts w:ascii="宋体" w:hAnsi="宋体"/>
                <w:szCs w:val="21"/>
              </w:rPr>
            </w:pPr>
            <w:r>
              <w:rPr>
                <w:rFonts w:hint="eastAsia"/>
                <w:color w:val="000000"/>
                <w:szCs w:val="21"/>
              </w:rPr>
              <w:t>0.234</w:t>
            </w:r>
            <w:r>
              <w:rPr>
                <w:color w:val="000000"/>
                <w:szCs w:val="21"/>
              </w:rPr>
              <w:t>9</w:t>
            </w:r>
          </w:p>
        </w:tc>
        <w:tc>
          <w:tcPr>
            <w:tcW w:w="1227" w:type="dxa"/>
            <w:tcBorders>
              <w:top w:val="nil"/>
              <w:left w:val="nil"/>
              <w:bottom w:val="single" w:color="auto" w:sz="8" w:space="0"/>
              <w:right w:val="single" w:color="auto" w:sz="8" w:space="0"/>
            </w:tcBorders>
            <w:vAlign w:val="center"/>
          </w:tcPr>
          <w:p w14:paraId="7AC6DF56">
            <w:pPr>
              <w:pStyle w:val="86"/>
              <w:widowControl w:val="0"/>
              <w:spacing w:line="240" w:lineRule="auto"/>
              <w:ind w:firstLine="0" w:firstLineChars="0"/>
              <w:jc w:val="center"/>
              <w:rPr>
                <w:rFonts w:ascii="宋体" w:hAnsi="宋体"/>
                <w:szCs w:val="21"/>
              </w:rPr>
            </w:pPr>
            <w:r>
              <w:rPr>
                <w:rFonts w:hint="eastAsia"/>
                <w:color w:val="000000"/>
                <w:szCs w:val="21"/>
              </w:rPr>
              <w:t>0.026</w:t>
            </w:r>
            <w:r>
              <w:rPr>
                <w:color w:val="000000"/>
                <w:szCs w:val="21"/>
              </w:rPr>
              <w:t>9</w:t>
            </w:r>
          </w:p>
        </w:tc>
        <w:tc>
          <w:tcPr>
            <w:tcW w:w="0" w:type="auto"/>
            <w:tcBorders>
              <w:top w:val="nil"/>
              <w:left w:val="nil"/>
              <w:bottom w:val="single" w:color="auto" w:sz="8" w:space="0"/>
              <w:right w:val="single" w:color="auto" w:sz="8" w:space="0"/>
            </w:tcBorders>
            <w:vAlign w:val="center"/>
          </w:tcPr>
          <w:p w14:paraId="3A72D8BC">
            <w:pPr>
              <w:pStyle w:val="86"/>
              <w:widowControl w:val="0"/>
              <w:spacing w:line="240" w:lineRule="auto"/>
              <w:ind w:firstLine="0" w:firstLineChars="0"/>
              <w:jc w:val="center"/>
              <w:rPr>
                <w:rFonts w:ascii="宋体" w:hAnsi="宋体"/>
                <w:szCs w:val="21"/>
              </w:rPr>
            </w:pPr>
            <w:r>
              <w:rPr>
                <w:rFonts w:hint="eastAsia"/>
                <w:color w:val="000000"/>
                <w:szCs w:val="21"/>
              </w:rPr>
              <w:t>0.070</w:t>
            </w:r>
            <w:r>
              <w:rPr>
                <w:color w:val="000000"/>
                <w:szCs w:val="21"/>
              </w:rPr>
              <w:t>5</w:t>
            </w:r>
          </w:p>
        </w:tc>
        <w:tc>
          <w:tcPr>
            <w:tcW w:w="0" w:type="auto"/>
            <w:tcBorders>
              <w:top w:val="nil"/>
              <w:left w:val="nil"/>
              <w:bottom w:val="single" w:color="auto" w:sz="8" w:space="0"/>
              <w:right w:val="single" w:color="auto" w:sz="8" w:space="0"/>
            </w:tcBorders>
            <w:vAlign w:val="center"/>
          </w:tcPr>
          <w:p w14:paraId="2D5930AB">
            <w:pPr>
              <w:pStyle w:val="86"/>
              <w:widowControl w:val="0"/>
              <w:spacing w:line="240" w:lineRule="auto"/>
              <w:ind w:firstLine="0" w:firstLineChars="0"/>
              <w:jc w:val="center"/>
              <w:rPr>
                <w:rFonts w:ascii="宋体" w:hAnsi="宋体"/>
                <w:szCs w:val="21"/>
              </w:rPr>
            </w:pPr>
            <w:r>
              <w:rPr>
                <w:rFonts w:hint="eastAsia"/>
                <w:color w:val="000000"/>
                <w:szCs w:val="21"/>
              </w:rPr>
              <w:t>0.0080</w:t>
            </w:r>
          </w:p>
        </w:tc>
      </w:tr>
      <w:tr w14:paraId="4262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6D45A5D4">
            <w:pPr>
              <w:pStyle w:val="86"/>
              <w:widowControl w:val="0"/>
              <w:spacing w:line="240" w:lineRule="auto"/>
              <w:ind w:firstLine="0" w:firstLineChars="0"/>
              <w:jc w:val="center"/>
              <w:rPr>
                <w:rFonts w:ascii="宋体" w:hAnsi="宋体"/>
                <w:szCs w:val="21"/>
              </w:rPr>
            </w:pPr>
            <w:r>
              <w:rPr>
                <w:rFonts w:hint="eastAsia" w:ascii="宋体" w:hAnsi="宋体"/>
                <w:szCs w:val="21"/>
              </w:rPr>
              <w:t>合计</w:t>
            </w:r>
          </w:p>
        </w:tc>
        <w:tc>
          <w:tcPr>
            <w:tcW w:w="0" w:type="auto"/>
            <w:vMerge w:val="continue"/>
            <w:vAlign w:val="center"/>
          </w:tcPr>
          <w:p w14:paraId="23F79D1E">
            <w:pPr>
              <w:pStyle w:val="86"/>
              <w:widowControl w:val="0"/>
              <w:spacing w:line="240" w:lineRule="auto"/>
              <w:ind w:firstLine="0" w:firstLineChars="0"/>
              <w:jc w:val="center"/>
              <w:rPr>
                <w:rFonts w:ascii="宋体" w:hAnsi="宋体"/>
                <w:szCs w:val="21"/>
              </w:rPr>
            </w:pPr>
          </w:p>
        </w:tc>
        <w:tc>
          <w:tcPr>
            <w:tcW w:w="0" w:type="auto"/>
            <w:vMerge w:val="continue"/>
            <w:vAlign w:val="center"/>
          </w:tcPr>
          <w:p w14:paraId="48E93306">
            <w:pPr>
              <w:pStyle w:val="86"/>
              <w:widowControl w:val="0"/>
              <w:spacing w:line="240" w:lineRule="auto"/>
              <w:ind w:firstLine="0" w:firstLineChars="0"/>
              <w:jc w:val="center"/>
              <w:rPr>
                <w:rFonts w:ascii="宋体" w:hAnsi="宋体" w:cs="Segoe UI"/>
                <w:color w:val="1A1A1A"/>
                <w:kern w:val="0"/>
                <w:szCs w:val="21"/>
              </w:rPr>
            </w:pPr>
          </w:p>
        </w:tc>
        <w:tc>
          <w:tcPr>
            <w:tcW w:w="0" w:type="auto"/>
            <w:vAlign w:val="center"/>
          </w:tcPr>
          <w:p w14:paraId="6D535F56">
            <w:pPr>
              <w:pStyle w:val="86"/>
              <w:widowControl w:val="0"/>
              <w:spacing w:line="240" w:lineRule="auto"/>
              <w:ind w:firstLine="0" w:firstLineChars="0"/>
              <w:jc w:val="center"/>
              <w:rPr>
                <w:rFonts w:ascii="宋体" w:hAnsi="宋体"/>
                <w:szCs w:val="21"/>
              </w:rPr>
            </w:pPr>
            <w:r>
              <w:rPr>
                <w:rFonts w:hint="eastAsia" w:ascii="宋体" w:hAnsi="宋体" w:cs="Segoe UI"/>
                <w:color w:val="1A1A1A"/>
                <w:kern w:val="0"/>
                <w:szCs w:val="21"/>
              </w:rPr>
              <w:t>1</w:t>
            </w:r>
            <w:r>
              <w:rPr>
                <w:rFonts w:ascii="宋体" w:hAnsi="宋体" w:cs="Segoe UI"/>
                <w:color w:val="1A1A1A"/>
                <w:kern w:val="0"/>
                <w:szCs w:val="21"/>
              </w:rPr>
              <w:t>5408</w:t>
            </w:r>
          </w:p>
        </w:tc>
        <w:tc>
          <w:tcPr>
            <w:tcW w:w="1079" w:type="dxa"/>
            <w:tcBorders>
              <w:top w:val="nil"/>
              <w:left w:val="nil"/>
              <w:bottom w:val="single" w:color="auto" w:sz="8" w:space="0"/>
              <w:right w:val="single" w:color="auto" w:sz="8" w:space="0"/>
            </w:tcBorders>
            <w:vAlign w:val="center"/>
          </w:tcPr>
          <w:p w14:paraId="327D6579">
            <w:pPr>
              <w:pStyle w:val="86"/>
              <w:widowControl w:val="0"/>
              <w:spacing w:line="240" w:lineRule="auto"/>
              <w:ind w:firstLine="0" w:firstLineChars="0"/>
              <w:jc w:val="center"/>
              <w:rPr>
                <w:rFonts w:ascii="宋体" w:hAnsi="宋体"/>
                <w:szCs w:val="21"/>
              </w:rPr>
            </w:pPr>
            <w:r>
              <w:rPr>
                <w:rFonts w:hint="eastAsia"/>
                <w:color w:val="000000"/>
                <w:szCs w:val="21"/>
              </w:rPr>
              <w:t>1.0786</w:t>
            </w:r>
          </w:p>
        </w:tc>
        <w:tc>
          <w:tcPr>
            <w:tcW w:w="1227" w:type="dxa"/>
            <w:tcBorders>
              <w:top w:val="nil"/>
              <w:left w:val="nil"/>
              <w:bottom w:val="single" w:color="auto" w:sz="8" w:space="0"/>
              <w:right w:val="single" w:color="auto" w:sz="8" w:space="0"/>
            </w:tcBorders>
            <w:vAlign w:val="center"/>
          </w:tcPr>
          <w:p w14:paraId="0FAA96EC">
            <w:pPr>
              <w:pStyle w:val="86"/>
              <w:widowControl w:val="0"/>
              <w:spacing w:line="240" w:lineRule="auto"/>
              <w:ind w:firstLine="0" w:firstLineChars="0"/>
              <w:jc w:val="center"/>
              <w:rPr>
                <w:rFonts w:ascii="宋体" w:hAnsi="宋体"/>
                <w:szCs w:val="21"/>
              </w:rPr>
            </w:pPr>
            <w:r>
              <w:rPr>
                <w:rFonts w:hint="eastAsia"/>
                <w:color w:val="000000"/>
                <w:szCs w:val="21"/>
              </w:rPr>
              <w:t>0.1231</w:t>
            </w:r>
          </w:p>
        </w:tc>
        <w:tc>
          <w:tcPr>
            <w:tcW w:w="0" w:type="auto"/>
            <w:tcBorders>
              <w:top w:val="nil"/>
              <w:left w:val="nil"/>
              <w:bottom w:val="single" w:color="auto" w:sz="8" w:space="0"/>
              <w:right w:val="single" w:color="auto" w:sz="8" w:space="0"/>
            </w:tcBorders>
            <w:vAlign w:val="center"/>
          </w:tcPr>
          <w:p w14:paraId="1E6C858C">
            <w:pPr>
              <w:pStyle w:val="86"/>
              <w:widowControl w:val="0"/>
              <w:spacing w:line="240" w:lineRule="auto"/>
              <w:ind w:firstLine="0" w:firstLineChars="0"/>
              <w:jc w:val="center"/>
              <w:rPr>
                <w:rFonts w:ascii="宋体" w:hAnsi="宋体"/>
                <w:szCs w:val="21"/>
              </w:rPr>
            </w:pPr>
            <w:r>
              <w:rPr>
                <w:rFonts w:hint="eastAsia"/>
                <w:color w:val="000000"/>
                <w:szCs w:val="21"/>
              </w:rPr>
              <w:t>0.3236</w:t>
            </w:r>
          </w:p>
        </w:tc>
        <w:tc>
          <w:tcPr>
            <w:tcW w:w="0" w:type="auto"/>
            <w:tcBorders>
              <w:top w:val="nil"/>
              <w:left w:val="nil"/>
              <w:bottom w:val="single" w:color="auto" w:sz="8" w:space="0"/>
              <w:right w:val="single" w:color="auto" w:sz="8" w:space="0"/>
            </w:tcBorders>
            <w:vAlign w:val="center"/>
          </w:tcPr>
          <w:p w14:paraId="52347B11">
            <w:pPr>
              <w:pStyle w:val="86"/>
              <w:widowControl w:val="0"/>
              <w:spacing w:line="240" w:lineRule="auto"/>
              <w:ind w:firstLine="0" w:firstLineChars="0"/>
              <w:jc w:val="center"/>
              <w:rPr>
                <w:rFonts w:ascii="宋体" w:hAnsi="宋体"/>
                <w:szCs w:val="21"/>
              </w:rPr>
            </w:pPr>
            <w:r>
              <w:rPr>
                <w:rFonts w:hint="eastAsia"/>
                <w:color w:val="000000"/>
                <w:szCs w:val="21"/>
              </w:rPr>
              <w:t>0.0369</w:t>
            </w:r>
          </w:p>
        </w:tc>
      </w:tr>
    </w:tbl>
    <w:p w14:paraId="538C2A4D">
      <w:pPr>
        <w:pStyle w:val="86"/>
        <w:ind w:firstLine="480" w:firstLineChars="200"/>
        <w:rPr>
          <w:color w:val="000000" w:themeColor="text1"/>
          <w:sz w:val="24"/>
          <w14:textFill>
            <w14:solidFill>
              <w14:schemeClr w14:val="tx1"/>
            </w14:solidFill>
          </w14:textFill>
        </w:rPr>
      </w:pPr>
    </w:p>
    <w:p w14:paraId="1962C236">
      <w:pPr>
        <w:pStyle w:val="86"/>
        <w:ind w:firstLine="482" w:firstLineChars="200"/>
        <w:rPr>
          <w:b/>
          <w:bCs/>
          <w:sz w:val="24"/>
        </w:rPr>
      </w:pPr>
      <w:r>
        <w:rPr>
          <w:b/>
          <w:bCs/>
          <w:sz w:val="24"/>
        </w:rPr>
        <w:t>（4）</w:t>
      </w:r>
      <w:r>
        <w:rPr>
          <w:rFonts w:hint="eastAsia"/>
          <w:b/>
          <w:bCs/>
          <w:sz w:val="24"/>
        </w:rPr>
        <w:t>精</w:t>
      </w:r>
      <w:r>
        <w:rPr>
          <w:b/>
          <w:bCs/>
          <w:sz w:val="24"/>
        </w:rPr>
        <w:t>饲料加工粉尘</w:t>
      </w:r>
    </w:p>
    <w:p w14:paraId="5F54FDB2">
      <w:pPr>
        <w:pStyle w:val="86"/>
        <w:ind w:firstLine="482" w:firstLineChars="200"/>
        <w:rPr>
          <w:b/>
          <w:sz w:val="24"/>
        </w:rPr>
      </w:pPr>
      <w:r>
        <w:rPr>
          <w:b/>
          <w:sz w:val="24"/>
        </w:rPr>
        <w:t>产生情况：</w:t>
      </w:r>
    </w:p>
    <w:p w14:paraId="2469F3FE">
      <w:pPr>
        <w:pStyle w:val="86"/>
        <w:ind w:firstLine="480" w:firstLineChars="200"/>
        <w:rPr>
          <w:sz w:val="24"/>
        </w:rPr>
      </w:pPr>
      <w:r>
        <w:rPr>
          <w:rFonts w:hint="eastAsia"/>
          <w:sz w:val="24"/>
        </w:rPr>
        <w:t>项目精饲料加工采用全封闭饲料加工系统，污染物主要为精饲料加工设备粉碎玉米环节产生的粉尘</w:t>
      </w:r>
      <w:r>
        <w:rPr>
          <w:sz w:val="24"/>
        </w:rPr>
        <w:t>。本养殖场</w:t>
      </w:r>
      <w:r>
        <w:rPr>
          <w:rFonts w:hint="eastAsia"/>
          <w:sz w:val="24"/>
        </w:rPr>
        <w:t>精</w:t>
      </w:r>
      <w:r>
        <w:rPr>
          <w:sz w:val="24"/>
        </w:rPr>
        <w:t>饲料加工量为37476t/a。</w:t>
      </w:r>
      <w:r>
        <w:rPr>
          <w:rFonts w:hint="eastAsia"/>
          <w:sz w:val="24"/>
        </w:rPr>
        <w:t>精</w:t>
      </w:r>
      <w:r>
        <w:rPr>
          <w:sz w:val="24"/>
        </w:rPr>
        <w:t>饲料</w:t>
      </w:r>
      <w:r>
        <w:rPr>
          <w:rFonts w:hint="eastAsia"/>
          <w:sz w:val="24"/>
        </w:rPr>
        <w:t>加工</w:t>
      </w:r>
      <w:r>
        <w:rPr>
          <w:sz w:val="24"/>
        </w:rPr>
        <w:t>年生产360天，每天生产6小时，饲料</w:t>
      </w:r>
      <w:r>
        <w:rPr>
          <w:rFonts w:hint="eastAsia"/>
          <w:sz w:val="24"/>
        </w:rPr>
        <w:t>加工</w:t>
      </w:r>
      <w:r>
        <w:rPr>
          <w:sz w:val="24"/>
        </w:rPr>
        <w:t>过程中的粉尘</w:t>
      </w:r>
      <w:r>
        <w:rPr>
          <w:rFonts w:hint="eastAsia"/>
          <w:sz w:val="24"/>
        </w:rPr>
        <w:t>颗粒物</w:t>
      </w:r>
      <w:r>
        <w:rPr>
          <w:sz w:val="24"/>
        </w:rPr>
        <w:t>产污量参考《</w:t>
      </w:r>
      <w:r>
        <w:rPr>
          <w:rFonts w:hint="eastAsia"/>
          <w:sz w:val="24"/>
        </w:rPr>
        <w:t>排放源统计调查产排污核算方法和系数手册</w:t>
      </w:r>
      <w:r>
        <w:rPr>
          <w:sz w:val="24"/>
        </w:rPr>
        <w:t>》中</w:t>
      </w:r>
      <w:r>
        <w:rPr>
          <w:rFonts w:hint="eastAsia"/>
          <w:sz w:val="24"/>
        </w:rPr>
        <w:t>“</w:t>
      </w:r>
      <w:r>
        <w:rPr>
          <w:sz w:val="24"/>
        </w:rPr>
        <w:t>132饲料加工行业系数手册</w:t>
      </w:r>
      <w:r>
        <w:rPr>
          <w:rFonts w:hint="eastAsia"/>
          <w:sz w:val="24"/>
        </w:rPr>
        <w:t>”</w:t>
      </w:r>
      <w:r>
        <w:rPr>
          <w:sz w:val="24"/>
        </w:rPr>
        <w:t>中</w:t>
      </w:r>
      <w:r>
        <w:rPr>
          <w:rFonts w:hint="eastAsia"/>
          <w:sz w:val="24"/>
        </w:rPr>
        <w:t>“</w:t>
      </w:r>
      <w:r>
        <w:rPr>
          <w:sz w:val="24"/>
        </w:rPr>
        <w:t>配合饲料</w:t>
      </w:r>
      <w:r>
        <w:rPr>
          <w:rFonts w:hint="eastAsia"/>
          <w:sz w:val="24"/>
        </w:rPr>
        <w:t>经“粉碎+混合+制粒（可不制粒）+除尘”的产排污系数：规模等级&lt;10万吨/年时产尘系数为0.043kg/t-产品，拟建项目外购预混料生产饲料，场区不生产预混料，因此拟建项目产污系数不需乘以调整系数，产污系数按0.043kg/t-产品进行核算</w:t>
      </w:r>
      <w:r>
        <w:rPr>
          <w:sz w:val="24"/>
        </w:rPr>
        <w:t>。</w:t>
      </w:r>
    </w:p>
    <w:p w14:paraId="7CC151D4">
      <w:pPr>
        <w:pStyle w:val="86"/>
        <w:ind w:firstLine="480" w:firstLineChars="200"/>
        <w:rPr>
          <w:sz w:val="24"/>
        </w:rPr>
      </w:pPr>
      <w:r>
        <w:rPr>
          <w:rFonts w:hint="eastAsia"/>
          <w:sz w:val="24"/>
        </w:rPr>
        <w:t>本</w:t>
      </w:r>
      <w:r>
        <w:rPr>
          <w:sz w:val="24"/>
        </w:rPr>
        <w:t>项目各养殖小区饲草加工量&lt;10万吨每年，则</w:t>
      </w:r>
      <w:r>
        <w:rPr>
          <w:rFonts w:hint="eastAsia"/>
          <w:sz w:val="24"/>
        </w:rPr>
        <w:t>全场</w:t>
      </w:r>
      <w:r>
        <w:rPr>
          <w:sz w:val="24"/>
        </w:rPr>
        <w:t>精饲料搅拌过程中粉尘产生量为1.6115t/a</w:t>
      </w:r>
      <w:r>
        <w:rPr>
          <w:rFonts w:hint="eastAsia"/>
          <w:sz w:val="24"/>
        </w:rPr>
        <w:t>，产生速率为0</w:t>
      </w:r>
      <w:r>
        <w:rPr>
          <w:sz w:val="24"/>
        </w:rPr>
        <w:t>.7461</w:t>
      </w:r>
      <w:r>
        <w:rPr>
          <w:rFonts w:hint="eastAsia"/>
          <w:sz w:val="24"/>
        </w:rPr>
        <w:t>kg</w:t>
      </w:r>
      <w:r>
        <w:rPr>
          <w:sz w:val="24"/>
        </w:rPr>
        <w:t>/</w:t>
      </w:r>
      <w:r>
        <w:rPr>
          <w:rFonts w:hint="eastAsia"/>
          <w:sz w:val="24"/>
        </w:rPr>
        <w:t>h</w:t>
      </w:r>
      <w:r>
        <w:rPr>
          <w:sz w:val="24"/>
        </w:rPr>
        <w:t>。</w:t>
      </w:r>
    </w:p>
    <w:p w14:paraId="263BDDE3">
      <w:pPr>
        <w:pStyle w:val="86"/>
        <w:ind w:firstLine="482" w:firstLineChars="200"/>
        <w:rPr>
          <w:b/>
          <w:sz w:val="24"/>
        </w:rPr>
      </w:pPr>
      <w:r>
        <w:rPr>
          <w:b/>
          <w:sz w:val="24"/>
        </w:rPr>
        <w:t>污染治理措施及排放情况：</w:t>
      </w:r>
    </w:p>
    <w:p w14:paraId="15497D9A">
      <w:pPr>
        <w:pStyle w:val="86"/>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项目在各养殖场区各设</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套全封闭精料加工设备（粉碎搅拌一体，全养殖场区共计8套），单台处理能力为</w:t>
      </w:r>
      <w:r>
        <w:rPr>
          <w:color w:val="000000" w:themeColor="text1"/>
          <w:sz w:val="24"/>
          <w14:textFill>
            <w14:solidFill>
              <w14:schemeClr w14:val="tx1"/>
            </w14:solidFill>
          </w14:textFill>
        </w:rPr>
        <w:t>3t/h</w:t>
      </w:r>
      <w:r>
        <w:rPr>
          <w:rFonts w:hint="eastAsia"/>
          <w:color w:val="000000" w:themeColor="text1"/>
          <w:sz w:val="24"/>
          <w14:textFill>
            <w14:solidFill>
              <w14:schemeClr w14:val="tx1"/>
            </w14:solidFill>
          </w14:textFill>
        </w:rPr>
        <w:t>，项目精饲料年用量为</w:t>
      </w:r>
      <w:r>
        <w:rPr>
          <w:color w:val="000000" w:themeColor="text1"/>
          <w:sz w:val="24"/>
          <w14:textFill>
            <w14:solidFill>
              <w14:schemeClr w14:val="tx1"/>
            </w14:solidFill>
          </w14:textFill>
        </w:rPr>
        <w:t>37476t/a</w:t>
      </w:r>
      <w:r>
        <w:rPr>
          <w:rFonts w:hint="eastAsia"/>
          <w:color w:val="000000" w:themeColor="text1"/>
          <w:sz w:val="24"/>
          <w14:textFill>
            <w14:solidFill>
              <w14:schemeClr w14:val="tx1"/>
            </w14:solidFill>
          </w14:textFill>
        </w:rPr>
        <w:t>，加工设备运行时间约</w:t>
      </w:r>
      <w:r>
        <w:rPr>
          <w:color w:val="000000" w:themeColor="text1"/>
          <w:sz w:val="24"/>
          <w14:textFill>
            <w14:solidFill>
              <w14:schemeClr w14:val="tx1"/>
            </w14:solidFill>
          </w14:textFill>
        </w:rPr>
        <w:t>2160h/a</w:t>
      </w:r>
      <w:r>
        <w:rPr>
          <w:rFonts w:hint="eastAsia"/>
          <w:color w:val="000000" w:themeColor="text1"/>
          <w:sz w:val="24"/>
          <w14:textFill>
            <w14:solidFill>
              <w14:schemeClr w14:val="tx1"/>
            </w14:solidFill>
          </w14:textFill>
        </w:rPr>
        <w:t>。各场区2套精料加工设备粉碎颗粒物经密闭空间采用管道抽风输送至一套除尘系统收集处理，收集率</w:t>
      </w:r>
      <w:r>
        <w:rPr>
          <w:color w:val="000000" w:themeColor="text1"/>
          <w:sz w:val="24"/>
          <w14:textFill>
            <w14:solidFill>
              <w14:schemeClr w14:val="tx1"/>
            </w14:solidFill>
          </w14:textFill>
        </w:rPr>
        <w:t>95%</w:t>
      </w:r>
      <w:r>
        <w:rPr>
          <w:rFonts w:hint="eastAsia"/>
          <w:color w:val="000000" w:themeColor="text1"/>
          <w:sz w:val="24"/>
          <w14:textFill>
            <w14:solidFill>
              <w14:schemeClr w14:val="tx1"/>
            </w14:solidFill>
          </w14:textFill>
        </w:rPr>
        <w:t>，处理效率按</w:t>
      </w:r>
      <w:r>
        <w:rPr>
          <w:color w:val="000000" w:themeColor="text1"/>
          <w:sz w:val="24"/>
          <w14:textFill>
            <w14:solidFill>
              <w14:schemeClr w14:val="tx1"/>
            </w14:solidFill>
          </w14:textFill>
        </w:rPr>
        <w:t>99.9</w:t>
      </w:r>
      <w:r>
        <w:rPr>
          <w:rFonts w:hint="eastAsia"/>
          <w:color w:val="000000" w:themeColor="text1"/>
          <w:sz w:val="24"/>
          <w14:textFill>
            <w14:solidFill>
              <w14:schemeClr w14:val="tx1"/>
            </w14:solidFill>
          </w14:textFill>
        </w:rPr>
        <w:t>%计，风机风量为</w:t>
      </w:r>
      <w:r>
        <w:rPr>
          <w:color w:val="000000" w:themeColor="text1"/>
          <w:sz w:val="24"/>
          <w14:textFill>
            <w14:solidFill>
              <w14:schemeClr w14:val="tx1"/>
            </w14:solidFill>
          </w14:textFill>
        </w:rPr>
        <w:t>5000m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/h</w:t>
      </w:r>
      <w:r>
        <w:rPr>
          <w:rFonts w:hint="eastAsia"/>
          <w:color w:val="000000" w:themeColor="text1"/>
          <w:sz w:val="24"/>
          <w14:textFill>
            <w14:solidFill>
              <w14:schemeClr w14:val="tx1"/>
            </w14:solidFill>
          </w14:textFill>
        </w:rPr>
        <w:t>，处理后经1</w:t>
      </w:r>
      <w:r>
        <w:rPr>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m高排气筒（D</w:t>
      </w:r>
      <w:r>
        <w:rPr>
          <w:color w:val="000000" w:themeColor="text1"/>
          <w:sz w:val="24"/>
          <w14:textFill>
            <w14:solidFill>
              <w14:schemeClr w14:val="tx1"/>
            </w14:solidFill>
          </w14:textFill>
        </w:rPr>
        <w:t>A001</w:t>
      </w:r>
      <w:r>
        <w:rPr>
          <w:rFonts w:hint="eastAsia"/>
          <w:color w:val="000000" w:themeColor="text1"/>
          <w:sz w:val="24"/>
          <w14:textFill>
            <w14:solidFill>
              <w14:schemeClr w14:val="tx1"/>
            </w14:solidFill>
          </w14:textFill>
        </w:rPr>
        <w:t>）排放。则粉尘颗粒物有组织排放量为</w:t>
      </w:r>
      <w:r>
        <w:rPr>
          <w:color w:val="000000" w:themeColor="text1"/>
          <w:sz w:val="24"/>
          <w14:textFill>
            <w14:solidFill>
              <w14:schemeClr w14:val="tx1"/>
            </w14:solidFill>
          </w14:textFill>
        </w:rPr>
        <w:t>0.0015t/a</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0.0007kg/h</w:t>
      </w:r>
      <w:r>
        <w:rPr>
          <w:rFonts w:hint="eastAsia"/>
          <w:color w:val="000000" w:themeColor="text1"/>
          <w:sz w:val="24"/>
          <w14:textFill>
            <w14:solidFill>
              <w14:schemeClr w14:val="tx1"/>
            </w14:solidFill>
          </w14:textFill>
        </w:rPr>
        <w:t>）。粉尘无组织产生量为</w:t>
      </w:r>
      <w:r>
        <w:rPr>
          <w:color w:val="000000" w:themeColor="text1"/>
          <w:sz w:val="24"/>
          <w14:textFill>
            <w14:solidFill>
              <w14:schemeClr w14:val="tx1"/>
            </w14:solidFill>
          </w14:textFill>
        </w:rPr>
        <w:t>0.0806t/a</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0.0373kg/h</w:t>
      </w:r>
      <w:r>
        <w:rPr>
          <w:rFonts w:hint="eastAsia"/>
          <w:color w:val="000000" w:themeColor="text1"/>
          <w:sz w:val="24"/>
          <w14:textFill>
            <w14:solidFill>
              <w14:schemeClr w14:val="tx1"/>
            </w14:solidFill>
          </w14:textFill>
        </w:rPr>
        <w:t>），为减少无组织粉尘排放量，项目对饲料加工间进行全封闭（进出口除外），控制效率按</w:t>
      </w:r>
      <w:r>
        <w:rPr>
          <w:color w:val="000000" w:themeColor="text1"/>
          <w:sz w:val="24"/>
          <w14:textFill>
            <w14:solidFill>
              <w14:schemeClr w14:val="tx1"/>
            </w14:solidFill>
          </w14:textFill>
        </w:rPr>
        <w:t>70%</w:t>
      </w:r>
      <w:r>
        <w:rPr>
          <w:rFonts w:hint="eastAsia"/>
          <w:color w:val="000000" w:themeColor="text1"/>
          <w:sz w:val="24"/>
          <w14:textFill>
            <w14:solidFill>
              <w14:schemeClr w14:val="tx1"/>
            </w14:solidFill>
          </w14:textFill>
        </w:rPr>
        <w:t>计，则饲料加工粉尘无组织排放量为</w:t>
      </w:r>
      <w:r>
        <w:rPr>
          <w:color w:val="000000" w:themeColor="text1"/>
          <w:sz w:val="24"/>
          <w14:textFill>
            <w14:solidFill>
              <w14:schemeClr w14:val="tx1"/>
            </w14:solidFill>
          </w14:textFill>
        </w:rPr>
        <w:t>0.0241t/a</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0.0111kg/h</w:t>
      </w:r>
      <w:r>
        <w:rPr>
          <w:rFonts w:hint="eastAsia"/>
          <w:color w:val="000000" w:themeColor="text1"/>
          <w:sz w:val="24"/>
          <w14:textFill>
            <w14:solidFill>
              <w14:schemeClr w14:val="tx1"/>
            </w14:solidFill>
          </w14:textFill>
        </w:rPr>
        <w:t>）。</w:t>
      </w:r>
    </w:p>
    <w:p w14:paraId="06FF832E">
      <w:pPr>
        <w:pStyle w:val="1771"/>
        <w:spacing w:line="360" w:lineRule="auto"/>
        <w:rPr>
          <w:rFonts w:eastAsia="黑体"/>
          <w:b w:val="0"/>
          <w:bCs/>
          <w:snapToGrid w:val="0"/>
          <w:color w:val="000000" w:themeColor="text1"/>
          <w:szCs w:val="21"/>
          <w14:textFill>
            <w14:solidFill>
              <w14:schemeClr w14:val="tx1"/>
            </w14:solidFill>
          </w14:textFill>
        </w:rPr>
      </w:pPr>
      <w:r>
        <w:rPr>
          <w:rFonts w:hint="eastAsia" w:eastAsia="黑体"/>
          <w:b w:val="0"/>
          <w:bCs/>
          <w:snapToGrid w:val="0"/>
          <w:color w:val="000000" w:themeColor="text1"/>
          <w:szCs w:val="21"/>
          <w14:textFill>
            <w14:solidFill>
              <w14:schemeClr w14:val="tx1"/>
            </w14:solidFill>
          </w14:textFill>
        </w:rPr>
        <w:t>表3</w:t>
      </w:r>
      <w:r>
        <w:rPr>
          <w:rFonts w:eastAsia="黑体"/>
          <w:b w:val="0"/>
          <w:bCs/>
          <w:snapToGrid w:val="0"/>
          <w:color w:val="000000" w:themeColor="text1"/>
          <w:szCs w:val="21"/>
          <w14:textFill>
            <w14:solidFill>
              <w14:schemeClr w14:val="tx1"/>
            </w14:solidFill>
          </w14:textFill>
        </w:rPr>
        <w:t>.10.4-3</w:t>
      </w:r>
      <w:r>
        <w:rPr>
          <w:rFonts w:hint="eastAsia" w:eastAsia="黑体"/>
          <w:b w:val="0"/>
          <w:bCs/>
          <w:snapToGrid w:val="0"/>
          <w:color w:val="000000" w:themeColor="text1"/>
          <w:szCs w:val="21"/>
          <w14:textFill>
            <w14:solidFill>
              <w14:schemeClr w14:val="tx1"/>
            </w14:solidFill>
          </w14:textFill>
        </w:rPr>
        <w:t>项目各养殖场区饲料加工粉尘产排情况</w:t>
      </w:r>
      <w:r>
        <w:rPr>
          <w:rFonts w:eastAsia="黑体"/>
          <w:b w:val="0"/>
          <w:bCs/>
          <w:snapToGrid w:val="0"/>
          <w:color w:val="000000" w:themeColor="text1"/>
          <w:szCs w:val="21"/>
          <w14:textFill>
            <w14:solidFill>
              <w14:schemeClr w14:val="tx1"/>
            </w14:solidFill>
          </w14:textFill>
        </w:rPr>
        <w:t>一览表</w:t>
      </w:r>
    </w:p>
    <w:tbl>
      <w:tblPr>
        <w:tblStyle w:val="8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7"/>
        <w:gridCol w:w="387"/>
        <w:gridCol w:w="642"/>
        <w:gridCol w:w="813"/>
        <w:gridCol w:w="813"/>
        <w:gridCol w:w="898"/>
        <w:gridCol w:w="813"/>
        <w:gridCol w:w="898"/>
        <w:gridCol w:w="941"/>
        <w:gridCol w:w="813"/>
        <w:gridCol w:w="898"/>
      </w:tblGrid>
      <w:tr w14:paraId="1599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 w:type="pct"/>
            <w:vMerge w:val="restart"/>
            <w:vAlign w:val="center"/>
          </w:tcPr>
          <w:p w14:paraId="7A7CBFC8">
            <w:pPr>
              <w:pStyle w:val="86"/>
              <w:widowControl w:val="0"/>
              <w:spacing w:line="240" w:lineRule="auto"/>
              <w:ind w:firstLine="0" w:firstLineChars="0"/>
              <w:jc w:val="center"/>
              <w:rPr>
                <w:rFonts w:ascii="宋体" w:hAnsi="宋体"/>
                <w:szCs w:val="21"/>
              </w:rPr>
            </w:pPr>
            <w:r>
              <w:rPr>
                <w:rFonts w:hint="eastAsia" w:ascii="宋体" w:hAnsi="宋体"/>
                <w:szCs w:val="21"/>
              </w:rPr>
              <w:t>养殖场区</w:t>
            </w:r>
          </w:p>
        </w:tc>
        <w:tc>
          <w:tcPr>
            <w:tcW w:w="232" w:type="pct"/>
            <w:vMerge w:val="restart"/>
            <w:vAlign w:val="center"/>
          </w:tcPr>
          <w:p w14:paraId="1ED6557E">
            <w:pPr>
              <w:pStyle w:val="86"/>
              <w:widowControl w:val="0"/>
              <w:spacing w:line="240" w:lineRule="auto"/>
              <w:ind w:firstLine="0" w:firstLineChars="0"/>
              <w:jc w:val="center"/>
              <w:rPr>
                <w:rFonts w:ascii="宋体" w:hAnsi="宋体"/>
                <w:szCs w:val="21"/>
              </w:rPr>
            </w:pPr>
            <w:r>
              <w:rPr>
                <w:rFonts w:hint="eastAsia" w:ascii="宋体" w:hAnsi="宋体"/>
                <w:szCs w:val="21"/>
              </w:rPr>
              <w:t>污染源</w:t>
            </w:r>
          </w:p>
        </w:tc>
        <w:tc>
          <w:tcPr>
            <w:tcW w:w="387" w:type="pct"/>
            <w:vMerge w:val="restart"/>
            <w:vAlign w:val="center"/>
          </w:tcPr>
          <w:p w14:paraId="1F9A83BD">
            <w:pPr>
              <w:pStyle w:val="86"/>
              <w:widowControl w:val="0"/>
              <w:spacing w:line="240" w:lineRule="auto"/>
              <w:ind w:firstLine="0" w:firstLineChars="0"/>
              <w:jc w:val="center"/>
              <w:rPr>
                <w:rFonts w:ascii="宋体" w:hAnsi="宋体"/>
                <w:szCs w:val="21"/>
              </w:rPr>
            </w:pPr>
            <w:r>
              <w:rPr>
                <w:rFonts w:hint="eastAsia" w:ascii="宋体" w:hAnsi="宋体"/>
                <w:szCs w:val="21"/>
              </w:rPr>
              <w:t>产污系数kg/</w:t>
            </w:r>
            <w:r>
              <w:rPr>
                <w:rFonts w:ascii="宋体" w:hAnsi="宋体"/>
                <w:szCs w:val="21"/>
              </w:rPr>
              <w:t>t</w:t>
            </w:r>
          </w:p>
        </w:tc>
        <w:tc>
          <w:tcPr>
            <w:tcW w:w="490" w:type="pct"/>
            <w:vMerge w:val="restart"/>
            <w:vAlign w:val="center"/>
          </w:tcPr>
          <w:p w14:paraId="05BCAFA6">
            <w:pPr>
              <w:pStyle w:val="86"/>
              <w:widowControl w:val="0"/>
              <w:spacing w:line="240" w:lineRule="auto"/>
              <w:ind w:firstLine="0" w:firstLineChars="0"/>
              <w:jc w:val="center"/>
              <w:rPr>
                <w:rFonts w:ascii="宋体" w:hAnsi="宋体"/>
                <w:szCs w:val="21"/>
              </w:rPr>
            </w:pPr>
            <w:r>
              <w:rPr>
                <w:rFonts w:hint="eastAsia" w:ascii="宋体" w:hAnsi="宋体"/>
                <w:szCs w:val="21"/>
              </w:rPr>
              <w:t>饲料加工量（t</w:t>
            </w:r>
            <w:r>
              <w:rPr>
                <w:rFonts w:ascii="宋体" w:hAnsi="宋体"/>
                <w:szCs w:val="21"/>
              </w:rPr>
              <w:t>/</w:t>
            </w:r>
            <w:r>
              <w:rPr>
                <w:rFonts w:hint="eastAsia" w:ascii="宋体" w:hAnsi="宋体"/>
                <w:szCs w:val="21"/>
              </w:rPr>
              <w:t>a）</w:t>
            </w:r>
          </w:p>
        </w:tc>
        <w:tc>
          <w:tcPr>
            <w:tcW w:w="490" w:type="pct"/>
            <w:vMerge w:val="restart"/>
            <w:vAlign w:val="center"/>
          </w:tcPr>
          <w:p w14:paraId="32AB1972">
            <w:pPr>
              <w:pStyle w:val="86"/>
              <w:widowControl w:val="0"/>
              <w:spacing w:line="240" w:lineRule="auto"/>
              <w:ind w:firstLine="0" w:firstLineChars="0"/>
              <w:jc w:val="center"/>
              <w:rPr>
                <w:rFonts w:ascii="宋体" w:hAnsi="宋体"/>
                <w:szCs w:val="21"/>
              </w:rPr>
            </w:pPr>
            <w:r>
              <w:rPr>
                <w:rFonts w:hint="eastAsia" w:ascii="宋体" w:hAnsi="宋体"/>
                <w:szCs w:val="21"/>
              </w:rPr>
              <w:t>颗粒物产生量（t</w:t>
            </w:r>
            <w:r>
              <w:rPr>
                <w:rFonts w:ascii="宋体" w:hAnsi="宋体"/>
                <w:szCs w:val="21"/>
              </w:rPr>
              <w:t>/</w:t>
            </w:r>
            <w:r>
              <w:rPr>
                <w:rFonts w:hint="eastAsia" w:ascii="宋体" w:hAnsi="宋体"/>
                <w:szCs w:val="21"/>
              </w:rPr>
              <w:t>a）</w:t>
            </w:r>
          </w:p>
        </w:tc>
        <w:tc>
          <w:tcPr>
            <w:tcW w:w="541" w:type="pct"/>
            <w:vMerge w:val="restart"/>
            <w:vAlign w:val="center"/>
          </w:tcPr>
          <w:p w14:paraId="68FBEF59">
            <w:pPr>
              <w:pStyle w:val="86"/>
              <w:widowControl w:val="0"/>
              <w:spacing w:line="240" w:lineRule="auto"/>
              <w:ind w:firstLine="0" w:firstLineChars="0"/>
              <w:jc w:val="center"/>
              <w:rPr>
                <w:rFonts w:ascii="宋体" w:hAnsi="宋体"/>
                <w:szCs w:val="21"/>
              </w:rPr>
            </w:pPr>
            <w:r>
              <w:rPr>
                <w:rFonts w:hint="eastAsia" w:ascii="宋体" w:hAnsi="宋体"/>
                <w:szCs w:val="21"/>
              </w:rPr>
              <w:t>产生速率（kg</w:t>
            </w:r>
            <w:r>
              <w:rPr>
                <w:rFonts w:ascii="宋体" w:hAnsi="宋体"/>
                <w:szCs w:val="21"/>
              </w:rPr>
              <w:t>/</w:t>
            </w:r>
            <w:r>
              <w:rPr>
                <w:rFonts w:hint="eastAsia" w:ascii="宋体" w:hAnsi="宋体"/>
                <w:szCs w:val="21"/>
              </w:rPr>
              <w:t>h）</w:t>
            </w:r>
          </w:p>
        </w:tc>
        <w:tc>
          <w:tcPr>
            <w:tcW w:w="1598" w:type="pct"/>
            <w:gridSpan w:val="3"/>
            <w:vAlign w:val="center"/>
          </w:tcPr>
          <w:p w14:paraId="7A0FFB18">
            <w:pPr>
              <w:pStyle w:val="86"/>
              <w:widowControl w:val="0"/>
              <w:spacing w:line="240" w:lineRule="auto"/>
              <w:ind w:firstLine="0" w:firstLineChars="0"/>
              <w:jc w:val="center"/>
              <w:rPr>
                <w:rFonts w:ascii="宋体" w:hAnsi="宋体"/>
                <w:szCs w:val="21"/>
              </w:rPr>
            </w:pPr>
            <w:bookmarkStart w:id="436" w:name="OLE_LINK146"/>
            <w:bookmarkStart w:id="437" w:name="OLE_LINK147"/>
            <w:r>
              <w:rPr>
                <w:rFonts w:hint="eastAsia" w:ascii="宋体" w:hAnsi="宋体"/>
                <w:szCs w:val="21"/>
              </w:rPr>
              <w:t>有组织</w:t>
            </w:r>
            <w:bookmarkEnd w:id="436"/>
            <w:bookmarkEnd w:id="437"/>
            <w:r>
              <w:rPr>
                <w:rFonts w:hint="eastAsia" w:ascii="宋体" w:hAnsi="宋体"/>
                <w:szCs w:val="21"/>
              </w:rPr>
              <w:t>（D</w:t>
            </w:r>
            <w:r>
              <w:rPr>
                <w:rFonts w:ascii="宋体" w:hAnsi="宋体"/>
                <w:szCs w:val="21"/>
              </w:rPr>
              <w:t>A001</w:t>
            </w:r>
            <w:r>
              <w:rPr>
                <w:rFonts w:hint="eastAsia" w:ascii="宋体" w:hAnsi="宋体"/>
                <w:szCs w:val="21"/>
              </w:rPr>
              <w:t>）</w:t>
            </w:r>
          </w:p>
        </w:tc>
        <w:tc>
          <w:tcPr>
            <w:tcW w:w="1030" w:type="pct"/>
            <w:gridSpan w:val="2"/>
            <w:vAlign w:val="center"/>
          </w:tcPr>
          <w:p w14:paraId="4A741BC5">
            <w:pPr>
              <w:pStyle w:val="86"/>
              <w:widowControl w:val="0"/>
              <w:spacing w:line="240" w:lineRule="auto"/>
              <w:ind w:firstLine="0" w:firstLineChars="0"/>
              <w:jc w:val="center"/>
              <w:rPr>
                <w:rFonts w:ascii="宋体" w:hAnsi="宋体"/>
                <w:szCs w:val="21"/>
              </w:rPr>
            </w:pPr>
            <w:r>
              <w:rPr>
                <w:rFonts w:hint="eastAsia" w:ascii="宋体" w:hAnsi="宋体"/>
                <w:szCs w:val="21"/>
              </w:rPr>
              <w:t>无组织</w:t>
            </w:r>
          </w:p>
        </w:tc>
      </w:tr>
      <w:tr w14:paraId="27B6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 w:type="pct"/>
            <w:vMerge w:val="continue"/>
            <w:vAlign w:val="center"/>
          </w:tcPr>
          <w:p w14:paraId="008BF323">
            <w:pPr>
              <w:pStyle w:val="86"/>
              <w:widowControl w:val="0"/>
              <w:spacing w:line="240" w:lineRule="auto"/>
              <w:ind w:firstLine="0" w:firstLineChars="0"/>
              <w:jc w:val="center"/>
              <w:rPr>
                <w:rFonts w:ascii="宋体" w:hAnsi="宋体"/>
                <w:szCs w:val="21"/>
              </w:rPr>
            </w:pPr>
          </w:p>
        </w:tc>
        <w:tc>
          <w:tcPr>
            <w:tcW w:w="232" w:type="pct"/>
            <w:vMerge w:val="continue"/>
            <w:vAlign w:val="center"/>
          </w:tcPr>
          <w:p w14:paraId="13FB32C0">
            <w:pPr>
              <w:pStyle w:val="86"/>
              <w:widowControl w:val="0"/>
              <w:spacing w:line="240" w:lineRule="auto"/>
              <w:ind w:firstLine="0" w:firstLineChars="0"/>
              <w:jc w:val="center"/>
              <w:rPr>
                <w:rFonts w:ascii="宋体" w:hAnsi="宋体"/>
                <w:szCs w:val="21"/>
              </w:rPr>
            </w:pPr>
          </w:p>
        </w:tc>
        <w:tc>
          <w:tcPr>
            <w:tcW w:w="387" w:type="pct"/>
            <w:vMerge w:val="continue"/>
            <w:vAlign w:val="center"/>
          </w:tcPr>
          <w:p w14:paraId="26D6A999">
            <w:pPr>
              <w:pStyle w:val="86"/>
              <w:widowControl w:val="0"/>
              <w:spacing w:line="240" w:lineRule="auto"/>
              <w:ind w:firstLine="0" w:firstLineChars="0"/>
              <w:jc w:val="center"/>
              <w:rPr>
                <w:rFonts w:ascii="宋体" w:hAnsi="宋体"/>
                <w:szCs w:val="21"/>
              </w:rPr>
            </w:pPr>
          </w:p>
        </w:tc>
        <w:tc>
          <w:tcPr>
            <w:tcW w:w="490" w:type="pct"/>
            <w:vMerge w:val="continue"/>
            <w:vAlign w:val="center"/>
          </w:tcPr>
          <w:p w14:paraId="14351A41">
            <w:pPr>
              <w:pStyle w:val="86"/>
              <w:widowControl w:val="0"/>
              <w:spacing w:line="240" w:lineRule="auto"/>
              <w:ind w:firstLine="0" w:firstLineChars="0"/>
              <w:jc w:val="center"/>
              <w:rPr>
                <w:rFonts w:ascii="宋体" w:hAnsi="宋体"/>
                <w:szCs w:val="21"/>
              </w:rPr>
            </w:pPr>
          </w:p>
        </w:tc>
        <w:tc>
          <w:tcPr>
            <w:tcW w:w="490" w:type="pct"/>
            <w:vMerge w:val="continue"/>
            <w:vAlign w:val="center"/>
          </w:tcPr>
          <w:p w14:paraId="543CEC44">
            <w:pPr>
              <w:pStyle w:val="86"/>
              <w:widowControl w:val="0"/>
              <w:spacing w:line="240" w:lineRule="auto"/>
              <w:ind w:firstLine="0" w:firstLineChars="0"/>
              <w:jc w:val="center"/>
              <w:rPr>
                <w:rFonts w:ascii="宋体" w:hAnsi="宋体"/>
                <w:szCs w:val="21"/>
              </w:rPr>
            </w:pPr>
          </w:p>
        </w:tc>
        <w:tc>
          <w:tcPr>
            <w:tcW w:w="541" w:type="pct"/>
            <w:vMerge w:val="continue"/>
            <w:vAlign w:val="center"/>
          </w:tcPr>
          <w:p w14:paraId="4040DB2F">
            <w:pPr>
              <w:pStyle w:val="86"/>
              <w:widowControl w:val="0"/>
              <w:spacing w:line="240" w:lineRule="auto"/>
              <w:ind w:firstLine="0" w:firstLineChars="0"/>
              <w:jc w:val="center"/>
              <w:rPr>
                <w:rFonts w:ascii="宋体" w:hAnsi="宋体"/>
                <w:szCs w:val="21"/>
              </w:rPr>
            </w:pPr>
          </w:p>
        </w:tc>
        <w:tc>
          <w:tcPr>
            <w:tcW w:w="490" w:type="pct"/>
            <w:vAlign w:val="center"/>
          </w:tcPr>
          <w:p w14:paraId="7ABBC9D8">
            <w:pPr>
              <w:pStyle w:val="86"/>
              <w:widowControl w:val="0"/>
              <w:spacing w:line="240" w:lineRule="auto"/>
              <w:ind w:firstLine="0" w:firstLineChars="0"/>
              <w:jc w:val="center"/>
              <w:rPr>
                <w:rFonts w:ascii="宋体" w:hAnsi="宋体"/>
                <w:szCs w:val="21"/>
              </w:rPr>
            </w:pPr>
            <w:r>
              <w:rPr>
                <w:rFonts w:hint="eastAsia" w:ascii="宋体" w:hAnsi="宋体"/>
                <w:szCs w:val="21"/>
              </w:rPr>
              <w:t>颗粒物排放量（t</w:t>
            </w:r>
            <w:r>
              <w:rPr>
                <w:rFonts w:ascii="宋体" w:hAnsi="宋体"/>
                <w:szCs w:val="21"/>
              </w:rPr>
              <w:t>/</w:t>
            </w:r>
            <w:r>
              <w:rPr>
                <w:rFonts w:hint="eastAsia" w:ascii="宋体" w:hAnsi="宋体"/>
                <w:szCs w:val="21"/>
              </w:rPr>
              <w:t>a）</w:t>
            </w:r>
          </w:p>
        </w:tc>
        <w:tc>
          <w:tcPr>
            <w:tcW w:w="541" w:type="pct"/>
            <w:vAlign w:val="center"/>
          </w:tcPr>
          <w:p w14:paraId="113B6147">
            <w:pPr>
              <w:pStyle w:val="86"/>
              <w:widowControl w:val="0"/>
              <w:spacing w:line="240" w:lineRule="auto"/>
              <w:ind w:firstLine="0" w:firstLineChars="0"/>
              <w:jc w:val="center"/>
              <w:rPr>
                <w:rFonts w:ascii="宋体" w:hAnsi="宋体"/>
                <w:szCs w:val="21"/>
              </w:rPr>
            </w:pPr>
            <w:r>
              <w:rPr>
                <w:rFonts w:hint="eastAsia" w:ascii="宋体" w:hAnsi="宋体"/>
                <w:szCs w:val="21"/>
              </w:rPr>
              <w:t>排放速率（k</w:t>
            </w:r>
            <w:r>
              <w:rPr>
                <w:rFonts w:ascii="宋体" w:hAnsi="宋体"/>
                <w:szCs w:val="21"/>
              </w:rPr>
              <w:t>g</w:t>
            </w:r>
            <w:r>
              <w:rPr>
                <w:rFonts w:hint="eastAsia" w:ascii="宋体" w:hAnsi="宋体"/>
                <w:szCs w:val="21"/>
              </w:rPr>
              <w:t>/</w:t>
            </w:r>
            <w:r>
              <w:rPr>
                <w:rFonts w:ascii="宋体" w:hAnsi="宋体"/>
                <w:szCs w:val="21"/>
              </w:rPr>
              <w:t>h）</w:t>
            </w:r>
          </w:p>
        </w:tc>
        <w:tc>
          <w:tcPr>
            <w:tcW w:w="568" w:type="pct"/>
            <w:vAlign w:val="center"/>
          </w:tcPr>
          <w:p w14:paraId="13258094">
            <w:pPr>
              <w:pStyle w:val="86"/>
              <w:widowControl w:val="0"/>
              <w:spacing w:line="240" w:lineRule="auto"/>
              <w:ind w:firstLine="0" w:firstLineChars="0"/>
              <w:jc w:val="center"/>
              <w:rPr>
                <w:rFonts w:ascii="宋体" w:hAnsi="宋体"/>
                <w:szCs w:val="21"/>
              </w:rPr>
            </w:pPr>
            <w:r>
              <w:rPr>
                <w:rFonts w:hint="eastAsia" w:ascii="宋体" w:hAnsi="宋体"/>
                <w:szCs w:val="21"/>
              </w:rPr>
              <w:t>排放浓度（mg</w:t>
            </w:r>
            <w:r>
              <w:rPr>
                <w:rFonts w:ascii="宋体" w:hAnsi="宋体"/>
                <w:szCs w:val="21"/>
              </w:rPr>
              <w:t>/m</w:t>
            </w:r>
            <w:r>
              <w:rPr>
                <w:rFonts w:ascii="宋体" w:hAnsi="宋体"/>
                <w:szCs w:val="21"/>
                <w:vertAlign w:val="superscript"/>
              </w:rPr>
              <w:t>3</w:t>
            </w:r>
            <w:r>
              <w:rPr>
                <w:rFonts w:ascii="宋体" w:hAnsi="宋体"/>
                <w:szCs w:val="21"/>
              </w:rPr>
              <w:t>）</w:t>
            </w:r>
          </w:p>
        </w:tc>
        <w:tc>
          <w:tcPr>
            <w:tcW w:w="490" w:type="pct"/>
            <w:vAlign w:val="center"/>
          </w:tcPr>
          <w:p w14:paraId="4CEFD875">
            <w:pPr>
              <w:pStyle w:val="86"/>
              <w:widowControl w:val="0"/>
              <w:spacing w:line="240" w:lineRule="auto"/>
              <w:ind w:firstLine="0" w:firstLineChars="0"/>
              <w:jc w:val="center"/>
              <w:rPr>
                <w:rFonts w:ascii="宋体" w:hAnsi="宋体"/>
                <w:szCs w:val="21"/>
              </w:rPr>
            </w:pPr>
            <w:r>
              <w:rPr>
                <w:rFonts w:hint="eastAsia" w:ascii="宋体" w:hAnsi="宋体"/>
                <w:szCs w:val="21"/>
              </w:rPr>
              <w:t>颗粒物排放量（t</w:t>
            </w:r>
            <w:r>
              <w:rPr>
                <w:rFonts w:ascii="宋体" w:hAnsi="宋体"/>
                <w:szCs w:val="21"/>
              </w:rPr>
              <w:t>/</w:t>
            </w:r>
            <w:r>
              <w:rPr>
                <w:rFonts w:hint="eastAsia" w:ascii="宋体" w:hAnsi="宋体"/>
                <w:szCs w:val="21"/>
              </w:rPr>
              <w:t>a）</w:t>
            </w:r>
          </w:p>
        </w:tc>
        <w:tc>
          <w:tcPr>
            <w:tcW w:w="541" w:type="pct"/>
            <w:vAlign w:val="center"/>
          </w:tcPr>
          <w:p w14:paraId="5EE2391F">
            <w:pPr>
              <w:pStyle w:val="86"/>
              <w:widowControl w:val="0"/>
              <w:spacing w:line="240" w:lineRule="auto"/>
              <w:ind w:firstLine="0" w:firstLineChars="0"/>
              <w:jc w:val="center"/>
              <w:rPr>
                <w:rFonts w:ascii="宋体" w:hAnsi="宋体"/>
                <w:szCs w:val="21"/>
              </w:rPr>
            </w:pPr>
            <w:r>
              <w:rPr>
                <w:rFonts w:hint="eastAsia" w:ascii="宋体" w:hAnsi="宋体"/>
                <w:szCs w:val="21"/>
              </w:rPr>
              <w:t>排放速率（k</w:t>
            </w:r>
            <w:r>
              <w:rPr>
                <w:rFonts w:ascii="宋体" w:hAnsi="宋体"/>
                <w:szCs w:val="21"/>
              </w:rPr>
              <w:t>g</w:t>
            </w:r>
            <w:r>
              <w:rPr>
                <w:rFonts w:hint="eastAsia" w:ascii="宋体" w:hAnsi="宋体"/>
                <w:szCs w:val="21"/>
              </w:rPr>
              <w:t>/</w:t>
            </w:r>
            <w:r>
              <w:rPr>
                <w:rFonts w:ascii="宋体" w:hAnsi="宋体"/>
                <w:szCs w:val="21"/>
              </w:rPr>
              <w:t>h）</w:t>
            </w:r>
          </w:p>
        </w:tc>
      </w:tr>
      <w:tr w14:paraId="68AC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 w:type="pct"/>
            <w:vAlign w:val="center"/>
          </w:tcPr>
          <w:p w14:paraId="3BD3B04C">
            <w:pPr>
              <w:pStyle w:val="86"/>
              <w:widowControl w:val="0"/>
              <w:spacing w:line="240" w:lineRule="auto"/>
              <w:ind w:firstLine="0" w:firstLineChars="0"/>
              <w:jc w:val="center"/>
              <w:rPr>
                <w:rFonts w:ascii="宋体" w:hAnsi="宋体"/>
                <w:szCs w:val="21"/>
              </w:rPr>
            </w:pPr>
            <w:bookmarkStart w:id="438" w:name="_Hlk233201231"/>
            <w:r>
              <w:rPr>
                <w:rFonts w:hint="eastAsia" w:ascii="宋体" w:hAnsi="宋体"/>
                <w:kern w:val="0"/>
                <w:szCs w:val="21"/>
              </w:rPr>
              <w:t>百花养殖场区</w:t>
            </w:r>
          </w:p>
        </w:tc>
        <w:tc>
          <w:tcPr>
            <w:tcW w:w="232" w:type="pct"/>
            <w:vMerge w:val="restart"/>
            <w:vAlign w:val="center"/>
          </w:tcPr>
          <w:p w14:paraId="431F36D1">
            <w:pPr>
              <w:pStyle w:val="86"/>
              <w:widowControl w:val="0"/>
              <w:spacing w:line="240" w:lineRule="auto"/>
              <w:ind w:firstLine="0" w:firstLineChars="0"/>
              <w:jc w:val="center"/>
              <w:rPr>
                <w:rFonts w:ascii="宋体" w:hAnsi="宋体"/>
                <w:szCs w:val="21"/>
              </w:rPr>
            </w:pPr>
            <w:r>
              <w:rPr>
                <w:rFonts w:hint="eastAsia" w:ascii="宋体" w:hAnsi="宋体"/>
                <w:szCs w:val="21"/>
              </w:rPr>
              <w:t>饲料加工粉尘</w:t>
            </w:r>
          </w:p>
        </w:tc>
        <w:tc>
          <w:tcPr>
            <w:tcW w:w="387" w:type="pct"/>
            <w:vMerge w:val="restart"/>
            <w:vAlign w:val="center"/>
          </w:tcPr>
          <w:p w14:paraId="1F86B649">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.043</w:t>
            </w:r>
          </w:p>
        </w:tc>
        <w:tc>
          <w:tcPr>
            <w:tcW w:w="490" w:type="pct"/>
            <w:vAlign w:val="center"/>
          </w:tcPr>
          <w:p w14:paraId="0E0BD781">
            <w:pPr>
              <w:pStyle w:val="86"/>
              <w:widowControl w:val="0"/>
              <w:spacing w:line="240" w:lineRule="auto"/>
              <w:ind w:firstLine="0" w:firstLineChars="0"/>
              <w:jc w:val="center"/>
              <w:rPr>
                <w:rFonts w:ascii="宋体" w:hAnsi="宋体"/>
                <w:szCs w:val="21"/>
              </w:rPr>
            </w:pPr>
            <w:r>
              <w:rPr>
                <w:rFonts w:hint="eastAsia" w:ascii="宋体" w:hAnsi="宋体"/>
                <w:szCs w:val="21"/>
              </w:rPr>
              <w:t>1</w:t>
            </w:r>
            <w:r>
              <w:rPr>
                <w:rFonts w:ascii="宋体" w:hAnsi="宋体"/>
                <w:szCs w:val="21"/>
              </w:rPr>
              <w:t>1844</w:t>
            </w:r>
          </w:p>
        </w:tc>
        <w:tc>
          <w:tcPr>
            <w:tcW w:w="490" w:type="pct"/>
            <w:vAlign w:val="center"/>
          </w:tcPr>
          <w:p w14:paraId="77572030">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.5093</w:t>
            </w:r>
          </w:p>
        </w:tc>
        <w:tc>
          <w:tcPr>
            <w:tcW w:w="541" w:type="pct"/>
            <w:vAlign w:val="center"/>
          </w:tcPr>
          <w:p w14:paraId="647AD7B5">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.2358</w:t>
            </w:r>
          </w:p>
        </w:tc>
        <w:tc>
          <w:tcPr>
            <w:tcW w:w="490" w:type="pct"/>
            <w:vAlign w:val="center"/>
          </w:tcPr>
          <w:p w14:paraId="57B227C6">
            <w:pPr>
              <w:pStyle w:val="86"/>
              <w:widowControl w:val="0"/>
              <w:spacing w:line="240" w:lineRule="auto"/>
              <w:ind w:firstLine="0" w:firstLineChars="0"/>
              <w:jc w:val="center"/>
              <w:rPr>
                <w:rFonts w:ascii="宋体" w:hAnsi="宋体"/>
                <w:szCs w:val="21"/>
              </w:rPr>
            </w:pPr>
            <w:r>
              <w:rPr>
                <w:rFonts w:ascii="宋体" w:hAnsi="宋体"/>
                <w:szCs w:val="21"/>
              </w:rPr>
              <w:t>0.0005</w:t>
            </w:r>
          </w:p>
        </w:tc>
        <w:tc>
          <w:tcPr>
            <w:tcW w:w="541" w:type="pct"/>
            <w:vAlign w:val="center"/>
          </w:tcPr>
          <w:p w14:paraId="00EBC9A6">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0002</w:t>
            </w:r>
          </w:p>
        </w:tc>
        <w:tc>
          <w:tcPr>
            <w:tcW w:w="568" w:type="pct"/>
            <w:vAlign w:val="center"/>
          </w:tcPr>
          <w:p w14:paraId="4BAE7C6B">
            <w:pPr>
              <w:pStyle w:val="86"/>
              <w:widowControl w:val="0"/>
              <w:spacing w:line="240" w:lineRule="auto"/>
              <w:ind w:firstLine="0" w:firstLineChars="0"/>
              <w:jc w:val="center"/>
              <w:rPr>
                <w:rFonts w:ascii="宋体" w:hAnsi="宋体"/>
                <w:szCs w:val="21"/>
              </w:rPr>
            </w:pPr>
            <w:r>
              <w:rPr>
                <w:rFonts w:ascii="宋体" w:hAnsi="宋体"/>
                <w:szCs w:val="21"/>
              </w:rPr>
              <w:t>0.0448</w:t>
            </w:r>
          </w:p>
        </w:tc>
        <w:tc>
          <w:tcPr>
            <w:tcW w:w="490" w:type="pct"/>
            <w:vAlign w:val="center"/>
          </w:tcPr>
          <w:p w14:paraId="7D691323">
            <w:pPr>
              <w:pStyle w:val="86"/>
              <w:widowControl w:val="0"/>
              <w:spacing w:line="240" w:lineRule="auto"/>
              <w:ind w:firstLine="0" w:firstLineChars="0"/>
              <w:jc w:val="center"/>
              <w:rPr>
                <w:rFonts w:ascii="宋体" w:hAnsi="宋体"/>
                <w:szCs w:val="21"/>
              </w:rPr>
            </w:pPr>
            <w:r>
              <w:rPr>
                <w:rFonts w:ascii="宋体" w:hAnsi="宋体"/>
                <w:szCs w:val="21"/>
              </w:rPr>
              <w:t>0.0076</w:t>
            </w:r>
          </w:p>
        </w:tc>
        <w:tc>
          <w:tcPr>
            <w:tcW w:w="541" w:type="pct"/>
            <w:vAlign w:val="center"/>
          </w:tcPr>
          <w:p w14:paraId="172FFC48">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.0035</w:t>
            </w:r>
          </w:p>
        </w:tc>
      </w:tr>
      <w:tr w14:paraId="44A1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 w:type="pct"/>
            <w:vAlign w:val="center"/>
          </w:tcPr>
          <w:p w14:paraId="45ACD43A">
            <w:pPr>
              <w:widowControl w:val="0"/>
              <w:autoSpaceDE w:val="0"/>
              <w:autoSpaceDN w:val="0"/>
              <w:adjustRightInd w:val="0"/>
              <w:snapToGrid w:val="0"/>
              <w:jc w:val="center"/>
              <w:rPr>
                <w:rFonts w:ascii="宋体" w:hAnsi="宋体"/>
                <w:kern w:val="0"/>
                <w:szCs w:val="21"/>
              </w:rPr>
            </w:pPr>
            <w:r>
              <w:rPr>
                <w:rFonts w:hint="eastAsia" w:ascii="宋体" w:hAnsi="宋体"/>
                <w:kern w:val="0"/>
                <w:szCs w:val="21"/>
              </w:rPr>
              <w:t>佛龙养殖场区</w:t>
            </w:r>
          </w:p>
        </w:tc>
        <w:tc>
          <w:tcPr>
            <w:tcW w:w="232" w:type="pct"/>
            <w:vMerge w:val="continue"/>
            <w:vAlign w:val="center"/>
          </w:tcPr>
          <w:p w14:paraId="1256967B">
            <w:pPr>
              <w:pStyle w:val="86"/>
              <w:widowControl w:val="0"/>
              <w:spacing w:line="240" w:lineRule="auto"/>
              <w:ind w:firstLine="0" w:firstLineChars="0"/>
              <w:jc w:val="center"/>
              <w:rPr>
                <w:rFonts w:ascii="宋体" w:hAnsi="宋体"/>
                <w:szCs w:val="21"/>
              </w:rPr>
            </w:pPr>
          </w:p>
        </w:tc>
        <w:tc>
          <w:tcPr>
            <w:tcW w:w="387" w:type="pct"/>
            <w:vMerge w:val="continue"/>
            <w:vAlign w:val="center"/>
          </w:tcPr>
          <w:p w14:paraId="1ED7A542">
            <w:pPr>
              <w:pStyle w:val="86"/>
              <w:widowControl w:val="0"/>
              <w:spacing w:line="240" w:lineRule="auto"/>
              <w:ind w:firstLine="0" w:firstLineChars="0"/>
              <w:jc w:val="center"/>
              <w:rPr>
                <w:rFonts w:ascii="宋体" w:hAnsi="宋体"/>
                <w:szCs w:val="21"/>
              </w:rPr>
            </w:pPr>
          </w:p>
        </w:tc>
        <w:tc>
          <w:tcPr>
            <w:tcW w:w="490" w:type="pct"/>
            <w:vAlign w:val="center"/>
          </w:tcPr>
          <w:p w14:paraId="51EB8DC5">
            <w:pPr>
              <w:pStyle w:val="86"/>
              <w:widowControl w:val="0"/>
              <w:spacing w:line="240" w:lineRule="auto"/>
              <w:ind w:firstLine="0" w:firstLineChars="0"/>
              <w:jc w:val="center"/>
              <w:rPr>
                <w:rFonts w:ascii="宋体" w:hAnsi="宋体"/>
                <w:szCs w:val="21"/>
              </w:rPr>
            </w:pPr>
            <w:r>
              <w:rPr>
                <w:rFonts w:hint="eastAsia" w:ascii="宋体" w:hAnsi="宋体"/>
                <w:szCs w:val="21"/>
              </w:rPr>
              <w:t>5</w:t>
            </w:r>
            <w:r>
              <w:rPr>
                <w:rFonts w:ascii="宋体" w:hAnsi="宋体"/>
                <w:szCs w:val="21"/>
              </w:rPr>
              <w:t>400</w:t>
            </w:r>
          </w:p>
        </w:tc>
        <w:tc>
          <w:tcPr>
            <w:tcW w:w="490" w:type="pct"/>
            <w:vAlign w:val="center"/>
          </w:tcPr>
          <w:p w14:paraId="54AAB2A1">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.2322</w:t>
            </w:r>
          </w:p>
        </w:tc>
        <w:tc>
          <w:tcPr>
            <w:tcW w:w="541" w:type="pct"/>
            <w:vAlign w:val="center"/>
          </w:tcPr>
          <w:p w14:paraId="3393B231">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.1075</w:t>
            </w:r>
          </w:p>
        </w:tc>
        <w:tc>
          <w:tcPr>
            <w:tcW w:w="490" w:type="pct"/>
            <w:vAlign w:val="center"/>
          </w:tcPr>
          <w:p w14:paraId="4427C443">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.0002</w:t>
            </w:r>
          </w:p>
        </w:tc>
        <w:tc>
          <w:tcPr>
            <w:tcW w:w="541" w:type="pct"/>
            <w:vAlign w:val="center"/>
          </w:tcPr>
          <w:p w14:paraId="51062CDC">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.0001</w:t>
            </w:r>
          </w:p>
        </w:tc>
        <w:tc>
          <w:tcPr>
            <w:tcW w:w="568" w:type="pct"/>
            <w:vAlign w:val="center"/>
          </w:tcPr>
          <w:p w14:paraId="011F1DE3">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.0204</w:t>
            </w:r>
          </w:p>
        </w:tc>
        <w:tc>
          <w:tcPr>
            <w:tcW w:w="490" w:type="pct"/>
            <w:vAlign w:val="center"/>
          </w:tcPr>
          <w:p w14:paraId="5DDBF67F">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.0035</w:t>
            </w:r>
          </w:p>
        </w:tc>
        <w:tc>
          <w:tcPr>
            <w:tcW w:w="541" w:type="pct"/>
            <w:vAlign w:val="center"/>
          </w:tcPr>
          <w:p w14:paraId="18C5B18E">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.0016</w:t>
            </w:r>
          </w:p>
        </w:tc>
      </w:tr>
      <w:tr w14:paraId="0FACF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 w:type="pct"/>
            <w:vAlign w:val="center"/>
          </w:tcPr>
          <w:p w14:paraId="73D306C0">
            <w:pPr>
              <w:pStyle w:val="86"/>
              <w:widowControl w:val="0"/>
              <w:spacing w:line="240" w:lineRule="auto"/>
              <w:ind w:firstLine="0" w:firstLineChars="0"/>
              <w:jc w:val="center"/>
              <w:rPr>
                <w:rFonts w:ascii="宋体" w:hAnsi="宋体"/>
                <w:szCs w:val="21"/>
              </w:rPr>
            </w:pPr>
            <w:r>
              <w:rPr>
                <w:rFonts w:hint="eastAsia" w:ascii="宋体" w:hAnsi="宋体"/>
                <w:kern w:val="0"/>
                <w:szCs w:val="21"/>
              </w:rPr>
              <w:t>塘坝养殖场区</w:t>
            </w:r>
          </w:p>
        </w:tc>
        <w:tc>
          <w:tcPr>
            <w:tcW w:w="232" w:type="pct"/>
            <w:vMerge w:val="continue"/>
            <w:vAlign w:val="center"/>
          </w:tcPr>
          <w:p w14:paraId="01B6E68B">
            <w:pPr>
              <w:pStyle w:val="86"/>
              <w:widowControl w:val="0"/>
              <w:spacing w:line="240" w:lineRule="auto"/>
              <w:ind w:firstLine="0" w:firstLineChars="0"/>
              <w:jc w:val="center"/>
              <w:rPr>
                <w:rFonts w:ascii="宋体" w:hAnsi="宋体"/>
                <w:szCs w:val="21"/>
              </w:rPr>
            </w:pPr>
          </w:p>
        </w:tc>
        <w:tc>
          <w:tcPr>
            <w:tcW w:w="387" w:type="pct"/>
            <w:vMerge w:val="continue"/>
            <w:vAlign w:val="center"/>
          </w:tcPr>
          <w:p w14:paraId="60B72076">
            <w:pPr>
              <w:pStyle w:val="86"/>
              <w:widowControl w:val="0"/>
              <w:spacing w:line="240" w:lineRule="auto"/>
              <w:ind w:firstLine="0" w:firstLineChars="0"/>
              <w:jc w:val="center"/>
              <w:rPr>
                <w:rFonts w:ascii="宋体" w:hAnsi="宋体"/>
                <w:szCs w:val="21"/>
              </w:rPr>
            </w:pPr>
          </w:p>
        </w:tc>
        <w:tc>
          <w:tcPr>
            <w:tcW w:w="490" w:type="pct"/>
            <w:vAlign w:val="center"/>
          </w:tcPr>
          <w:p w14:paraId="6C653106">
            <w:pPr>
              <w:pStyle w:val="86"/>
              <w:widowControl w:val="0"/>
              <w:spacing w:line="240" w:lineRule="auto"/>
              <w:ind w:firstLine="0" w:firstLineChars="0"/>
              <w:jc w:val="center"/>
              <w:rPr>
                <w:rFonts w:ascii="宋体" w:hAnsi="宋体"/>
                <w:szCs w:val="21"/>
              </w:rPr>
            </w:pPr>
            <w:r>
              <w:rPr>
                <w:rFonts w:hint="eastAsia" w:ascii="宋体" w:hAnsi="宋体"/>
                <w:szCs w:val="21"/>
              </w:rPr>
              <w:t>1</w:t>
            </w:r>
            <w:r>
              <w:rPr>
                <w:rFonts w:ascii="宋体" w:hAnsi="宋体"/>
                <w:szCs w:val="21"/>
              </w:rPr>
              <w:t>1844</w:t>
            </w:r>
          </w:p>
        </w:tc>
        <w:tc>
          <w:tcPr>
            <w:tcW w:w="490" w:type="pct"/>
            <w:vAlign w:val="center"/>
          </w:tcPr>
          <w:p w14:paraId="0116A214">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.5093</w:t>
            </w:r>
          </w:p>
        </w:tc>
        <w:tc>
          <w:tcPr>
            <w:tcW w:w="541" w:type="pct"/>
            <w:vAlign w:val="center"/>
          </w:tcPr>
          <w:p w14:paraId="5C548625">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.2358</w:t>
            </w:r>
          </w:p>
        </w:tc>
        <w:tc>
          <w:tcPr>
            <w:tcW w:w="490" w:type="pct"/>
            <w:vAlign w:val="center"/>
          </w:tcPr>
          <w:p w14:paraId="31AB3214">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.0005</w:t>
            </w:r>
          </w:p>
        </w:tc>
        <w:tc>
          <w:tcPr>
            <w:tcW w:w="541" w:type="pct"/>
            <w:vAlign w:val="center"/>
          </w:tcPr>
          <w:p w14:paraId="4ACA2540">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.0002</w:t>
            </w:r>
          </w:p>
        </w:tc>
        <w:tc>
          <w:tcPr>
            <w:tcW w:w="568" w:type="pct"/>
            <w:vAlign w:val="center"/>
          </w:tcPr>
          <w:p w14:paraId="65E27DF7">
            <w:pPr>
              <w:pStyle w:val="86"/>
              <w:widowControl w:val="0"/>
              <w:spacing w:line="240" w:lineRule="auto"/>
              <w:ind w:firstLine="0" w:firstLineChars="0"/>
              <w:jc w:val="center"/>
              <w:rPr>
                <w:rFonts w:ascii="宋体" w:hAnsi="宋体"/>
                <w:szCs w:val="21"/>
              </w:rPr>
            </w:pPr>
            <w:r>
              <w:rPr>
                <w:rFonts w:ascii="宋体" w:hAnsi="宋体"/>
                <w:szCs w:val="21"/>
              </w:rPr>
              <w:t>0.0448</w:t>
            </w:r>
          </w:p>
        </w:tc>
        <w:tc>
          <w:tcPr>
            <w:tcW w:w="490" w:type="pct"/>
            <w:vAlign w:val="center"/>
          </w:tcPr>
          <w:p w14:paraId="526DC0C2">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.0076</w:t>
            </w:r>
          </w:p>
        </w:tc>
        <w:tc>
          <w:tcPr>
            <w:tcW w:w="541" w:type="pct"/>
            <w:vAlign w:val="center"/>
          </w:tcPr>
          <w:p w14:paraId="7A3A80B4">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.0035</w:t>
            </w:r>
          </w:p>
        </w:tc>
      </w:tr>
      <w:tr w14:paraId="7F854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 w:type="pct"/>
            <w:vAlign w:val="center"/>
          </w:tcPr>
          <w:p w14:paraId="79DEA5AD">
            <w:pPr>
              <w:pStyle w:val="86"/>
              <w:widowControl w:val="0"/>
              <w:spacing w:line="240" w:lineRule="auto"/>
              <w:ind w:firstLine="0" w:firstLineChars="0"/>
              <w:jc w:val="center"/>
              <w:rPr>
                <w:rFonts w:ascii="宋体" w:hAnsi="宋体"/>
                <w:szCs w:val="21"/>
              </w:rPr>
            </w:pPr>
            <w:r>
              <w:rPr>
                <w:rFonts w:hint="eastAsia" w:ascii="宋体" w:hAnsi="宋体"/>
                <w:kern w:val="0"/>
                <w:szCs w:val="21"/>
              </w:rPr>
              <w:t>始宁养殖场区</w:t>
            </w:r>
          </w:p>
        </w:tc>
        <w:tc>
          <w:tcPr>
            <w:tcW w:w="232" w:type="pct"/>
            <w:vMerge w:val="continue"/>
            <w:vAlign w:val="center"/>
          </w:tcPr>
          <w:p w14:paraId="6D86E89D">
            <w:pPr>
              <w:pStyle w:val="86"/>
              <w:widowControl w:val="0"/>
              <w:spacing w:line="240" w:lineRule="auto"/>
              <w:ind w:firstLine="0" w:firstLineChars="0"/>
              <w:jc w:val="center"/>
              <w:rPr>
                <w:rFonts w:ascii="宋体" w:hAnsi="宋体"/>
                <w:szCs w:val="21"/>
              </w:rPr>
            </w:pPr>
          </w:p>
        </w:tc>
        <w:tc>
          <w:tcPr>
            <w:tcW w:w="387" w:type="pct"/>
            <w:vMerge w:val="continue"/>
            <w:vAlign w:val="center"/>
          </w:tcPr>
          <w:p w14:paraId="6B96B828">
            <w:pPr>
              <w:pStyle w:val="86"/>
              <w:widowControl w:val="0"/>
              <w:spacing w:line="240" w:lineRule="auto"/>
              <w:ind w:firstLine="0" w:firstLineChars="0"/>
              <w:jc w:val="center"/>
              <w:rPr>
                <w:rFonts w:ascii="宋体" w:hAnsi="宋体"/>
                <w:szCs w:val="21"/>
              </w:rPr>
            </w:pPr>
          </w:p>
        </w:tc>
        <w:tc>
          <w:tcPr>
            <w:tcW w:w="490" w:type="pct"/>
            <w:vAlign w:val="center"/>
          </w:tcPr>
          <w:p w14:paraId="1023D0BE">
            <w:pPr>
              <w:pStyle w:val="86"/>
              <w:widowControl w:val="0"/>
              <w:spacing w:line="240" w:lineRule="auto"/>
              <w:ind w:firstLine="0" w:firstLineChars="0"/>
              <w:jc w:val="center"/>
              <w:rPr>
                <w:rFonts w:ascii="宋体" w:hAnsi="宋体"/>
                <w:szCs w:val="21"/>
              </w:rPr>
            </w:pPr>
            <w:r>
              <w:rPr>
                <w:rFonts w:hint="eastAsia" w:ascii="宋体" w:hAnsi="宋体"/>
                <w:szCs w:val="21"/>
              </w:rPr>
              <w:t>8</w:t>
            </w:r>
            <w:r>
              <w:rPr>
                <w:rFonts w:ascii="宋体" w:hAnsi="宋体"/>
                <w:szCs w:val="21"/>
              </w:rPr>
              <w:t>388</w:t>
            </w:r>
          </w:p>
        </w:tc>
        <w:tc>
          <w:tcPr>
            <w:tcW w:w="490" w:type="pct"/>
            <w:vAlign w:val="center"/>
          </w:tcPr>
          <w:p w14:paraId="490BC664">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.3607</w:t>
            </w:r>
          </w:p>
        </w:tc>
        <w:tc>
          <w:tcPr>
            <w:tcW w:w="541" w:type="pct"/>
            <w:vAlign w:val="center"/>
          </w:tcPr>
          <w:p w14:paraId="63C6BB19">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.1670</w:t>
            </w:r>
          </w:p>
        </w:tc>
        <w:tc>
          <w:tcPr>
            <w:tcW w:w="490" w:type="pct"/>
            <w:vAlign w:val="center"/>
          </w:tcPr>
          <w:p w14:paraId="5A04A6F1">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.0003</w:t>
            </w:r>
          </w:p>
        </w:tc>
        <w:tc>
          <w:tcPr>
            <w:tcW w:w="541" w:type="pct"/>
            <w:vAlign w:val="center"/>
          </w:tcPr>
          <w:p w14:paraId="572AE7DB">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.0002</w:t>
            </w:r>
          </w:p>
        </w:tc>
        <w:tc>
          <w:tcPr>
            <w:tcW w:w="568" w:type="pct"/>
            <w:vAlign w:val="center"/>
          </w:tcPr>
          <w:p w14:paraId="5E3D4D60">
            <w:pPr>
              <w:pStyle w:val="86"/>
              <w:widowControl w:val="0"/>
              <w:spacing w:line="240" w:lineRule="auto"/>
              <w:ind w:firstLine="0" w:firstLineChars="0"/>
              <w:jc w:val="center"/>
              <w:rPr>
                <w:rFonts w:ascii="宋体" w:hAnsi="宋体"/>
                <w:szCs w:val="21"/>
              </w:rPr>
            </w:pPr>
            <w:r>
              <w:rPr>
                <w:rFonts w:ascii="宋体" w:hAnsi="宋体"/>
                <w:szCs w:val="21"/>
              </w:rPr>
              <w:t>0.0317</w:t>
            </w:r>
          </w:p>
        </w:tc>
        <w:tc>
          <w:tcPr>
            <w:tcW w:w="490" w:type="pct"/>
            <w:vAlign w:val="center"/>
          </w:tcPr>
          <w:p w14:paraId="31B1CC50">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.0054</w:t>
            </w:r>
          </w:p>
        </w:tc>
        <w:tc>
          <w:tcPr>
            <w:tcW w:w="541" w:type="pct"/>
            <w:vAlign w:val="center"/>
          </w:tcPr>
          <w:p w14:paraId="0CBAB440">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.0025</w:t>
            </w:r>
          </w:p>
        </w:tc>
      </w:tr>
      <w:bookmarkEnd w:id="438"/>
      <w:tr w14:paraId="1170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2" w:type="pct"/>
            <w:vAlign w:val="center"/>
          </w:tcPr>
          <w:p w14:paraId="0D45A699">
            <w:pPr>
              <w:pStyle w:val="86"/>
              <w:widowControl w:val="0"/>
              <w:spacing w:line="240" w:lineRule="auto"/>
              <w:ind w:firstLine="0" w:firstLineChars="0"/>
              <w:jc w:val="center"/>
              <w:rPr>
                <w:rFonts w:ascii="宋体" w:hAnsi="宋体"/>
                <w:szCs w:val="21"/>
              </w:rPr>
            </w:pPr>
            <w:r>
              <w:rPr>
                <w:rFonts w:hint="eastAsia" w:ascii="宋体" w:hAnsi="宋体"/>
                <w:szCs w:val="21"/>
              </w:rPr>
              <w:t>合计</w:t>
            </w:r>
          </w:p>
        </w:tc>
        <w:tc>
          <w:tcPr>
            <w:tcW w:w="232" w:type="pct"/>
            <w:vMerge w:val="continue"/>
            <w:vAlign w:val="center"/>
          </w:tcPr>
          <w:p w14:paraId="4414E6F7">
            <w:pPr>
              <w:pStyle w:val="86"/>
              <w:widowControl w:val="0"/>
              <w:spacing w:line="240" w:lineRule="auto"/>
              <w:ind w:firstLine="0" w:firstLineChars="0"/>
              <w:jc w:val="center"/>
              <w:rPr>
                <w:rFonts w:ascii="宋体" w:hAnsi="宋体"/>
                <w:szCs w:val="21"/>
              </w:rPr>
            </w:pPr>
          </w:p>
        </w:tc>
        <w:tc>
          <w:tcPr>
            <w:tcW w:w="387" w:type="pct"/>
            <w:vMerge w:val="continue"/>
            <w:vAlign w:val="center"/>
          </w:tcPr>
          <w:p w14:paraId="70ED7216">
            <w:pPr>
              <w:pStyle w:val="86"/>
              <w:widowControl w:val="0"/>
              <w:spacing w:line="240" w:lineRule="auto"/>
              <w:ind w:firstLine="0" w:firstLineChars="0"/>
              <w:jc w:val="center"/>
              <w:rPr>
                <w:rFonts w:ascii="宋体" w:hAnsi="宋体"/>
                <w:szCs w:val="21"/>
              </w:rPr>
            </w:pPr>
          </w:p>
        </w:tc>
        <w:tc>
          <w:tcPr>
            <w:tcW w:w="490" w:type="pct"/>
            <w:vAlign w:val="center"/>
          </w:tcPr>
          <w:p w14:paraId="603EA675">
            <w:pPr>
              <w:pStyle w:val="86"/>
              <w:widowControl w:val="0"/>
              <w:spacing w:line="240" w:lineRule="auto"/>
              <w:ind w:firstLine="0" w:firstLineChars="0"/>
              <w:jc w:val="center"/>
              <w:rPr>
                <w:rFonts w:ascii="宋体" w:hAnsi="宋体"/>
                <w:szCs w:val="21"/>
              </w:rPr>
            </w:pPr>
            <w:r>
              <w:rPr>
                <w:rFonts w:hint="eastAsia" w:ascii="宋体" w:hAnsi="宋体"/>
                <w:szCs w:val="21"/>
              </w:rPr>
              <w:t>3</w:t>
            </w:r>
            <w:r>
              <w:rPr>
                <w:rFonts w:ascii="宋体" w:hAnsi="宋体"/>
                <w:szCs w:val="21"/>
              </w:rPr>
              <w:t>7476</w:t>
            </w:r>
          </w:p>
        </w:tc>
        <w:tc>
          <w:tcPr>
            <w:tcW w:w="490" w:type="pct"/>
            <w:vAlign w:val="center"/>
          </w:tcPr>
          <w:p w14:paraId="5E84C911">
            <w:pPr>
              <w:pStyle w:val="86"/>
              <w:widowControl w:val="0"/>
              <w:spacing w:line="240" w:lineRule="auto"/>
              <w:ind w:firstLine="0" w:firstLineChars="0"/>
              <w:jc w:val="center"/>
              <w:rPr>
                <w:rFonts w:ascii="宋体" w:hAnsi="宋体"/>
                <w:szCs w:val="21"/>
              </w:rPr>
            </w:pPr>
            <w:r>
              <w:rPr>
                <w:rFonts w:hint="eastAsia" w:ascii="宋体" w:hAnsi="宋体"/>
                <w:szCs w:val="21"/>
              </w:rPr>
              <w:t>1</w:t>
            </w:r>
            <w:r>
              <w:rPr>
                <w:rFonts w:ascii="宋体" w:hAnsi="宋体"/>
                <w:szCs w:val="21"/>
              </w:rPr>
              <w:t>.6115</w:t>
            </w:r>
          </w:p>
        </w:tc>
        <w:tc>
          <w:tcPr>
            <w:tcW w:w="541" w:type="pct"/>
            <w:vAlign w:val="center"/>
          </w:tcPr>
          <w:p w14:paraId="272286F7">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.7461</w:t>
            </w:r>
          </w:p>
        </w:tc>
        <w:tc>
          <w:tcPr>
            <w:tcW w:w="490" w:type="pct"/>
            <w:vAlign w:val="center"/>
          </w:tcPr>
          <w:p w14:paraId="72A079E2">
            <w:pPr>
              <w:pStyle w:val="86"/>
              <w:widowControl w:val="0"/>
              <w:spacing w:line="240" w:lineRule="auto"/>
              <w:ind w:firstLine="0" w:firstLineChars="0"/>
              <w:jc w:val="center"/>
              <w:rPr>
                <w:rFonts w:ascii="宋体" w:hAnsi="宋体"/>
                <w:szCs w:val="21"/>
              </w:rPr>
            </w:pPr>
            <w:r>
              <w:rPr>
                <w:rFonts w:ascii="宋体" w:hAnsi="宋体"/>
                <w:szCs w:val="21"/>
              </w:rPr>
              <w:t>0.0015</w:t>
            </w:r>
          </w:p>
        </w:tc>
        <w:tc>
          <w:tcPr>
            <w:tcW w:w="541" w:type="pct"/>
            <w:vAlign w:val="center"/>
          </w:tcPr>
          <w:p w14:paraId="392FCEA4">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.0007</w:t>
            </w:r>
          </w:p>
        </w:tc>
        <w:tc>
          <w:tcPr>
            <w:tcW w:w="568" w:type="pct"/>
            <w:vAlign w:val="center"/>
          </w:tcPr>
          <w:p w14:paraId="35F490DB">
            <w:pPr>
              <w:pStyle w:val="86"/>
              <w:widowControl w:val="0"/>
              <w:spacing w:line="240" w:lineRule="auto"/>
              <w:ind w:firstLine="0" w:firstLineChars="0"/>
              <w:jc w:val="center"/>
              <w:rPr>
                <w:rFonts w:ascii="宋体" w:hAnsi="宋体"/>
                <w:szCs w:val="21"/>
              </w:rPr>
            </w:pPr>
            <w:r>
              <w:rPr>
                <w:rFonts w:hint="eastAsia" w:ascii="宋体" w:hAnsi="宋体"/>
                <w:szCs w:val="21"/>
              </w:rPr>
              <w:t>/</w:t>
            </w:r>
          </w:p>
        </w:tc>
        <w:tc>
          <w:tcPr>
            <w:tcW w:w="490" w:type="pct"/>
            <w:vAlign w:val="center"/>
          </w:tcPr>
          <w:p w14:paraId="1F4278B0">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.0241</w:t>
            </w:r>
          </w:p>
        </w:tc>
        <w:tc>
          <w:tcPr>
            <w:tcW w:w="541" w:type="pct"/>
            <w:vAlign w:val="center"/>
          </w:tcPr>
          <w:p w14:paraId="62880970">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.0111</w:t>
            </w:r>
          </w:p>
        </w:tc>
      </w:tr>
    </w:tbl>
    <w:p w14:paraId="5DBE31B3">
      <w:pPr>
        <w:pStyle w:val="86"/>
        <w:ind w:firstLine="482" w:firstLineChars="200"/>
        <w:rPr>
          <w:b/>
          <w:bCs/>
          <w:color w:val="000000" w:themeColor="text1"/>
          <w:sz w:val="24"/>
          <w14:textFill>
            <w14:solidFill>
              <w14:schemeClr w14:val="tx1"/>
            </w14:solidFill>
          </w14:textFill>
        </w:rPr>
      </w:pPr>
    </w:p>
    <w:p w14:paraId="7AFB13C7">
      <w:pPr>
        <w:pStyle w:val="86"/>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（5）</w:t>
      </w:r>
      <w:bookmarkStart w:id="439" w:name="OLE_LINK171"/>
      <w:bookmarkStart w:id="440" w:name="OLE_LINK178"/>
      <w:r>
        <w:rPr>
          <w:rFonts w:hint="eastAsia"/>
          <w:b/>
          <w:bCs/>
          <w:color w:val="000000" w:themeColor="text1"/>
          <w:sz w:val="24"/>
          <w14:textFill>
            <w14:solidFill>
              <w14:schemeClr w14:val="tx1"/>
            </w14:solidFill>
          </w14:textFill>
        </w:rPr>
        <w:t>TMR日粮混料粉尘</w:t>
      </w:r>
      <w:bookmarkEnd w:id="439"/>
      <w:bookmarkEnd w:id="440"/>
    </w:p>
    <w:p w14:paraId="0F7201AB">
      <w:pPr>
        <w:pStyle w:val="86"/>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青贮饲料含水率约为</w:t>
      </w:r>
      <w:r>
        <w:rPr>
          <w:color w:val="000000" w:themeColor="text1"/>
          <w:sz w:val="24"/>
          <w14:textFill>
            <w14:solidFill>
              <w14:schemeClr w14:val="tx1"/>
            </w14:solidFill>
          </w14:textFill>
        </w:rPr>
        <w:t>70</w:t>
      </w:r>
      <w:r>
        <w:rPr>
          <w:rFonts w:hint="eastAsia"/>
          <w:color w:val="000000" w:themeColor="text1"/>
          <w:sz w:val="24"/>
          <w14:textFill>
            <w14:solidFill>
              <w14:schemeClr w14:val="tx1"/>
            </w14:solidFill>
          </w14:textFill>
        </w:rPr>
        <w:t>%，含水率较大，干草饲料含水率在15%左右，精饲料含水率在10%左右。人工上料时轻拿轻放，上料过程粉尘产生量较少。</w:t>
      </w:r>
    </w:p>
    <w:p w14:paraId="7C14E16B">
      <w:pPr>
        <w:pStyle w:val="86"/>
        <w:ind w:firstLine="480" w:firstLineChars="200"/>
        <w:rPr>
          <w:b/>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TMR机主要由两个绞龙组成，螺旋绞龙分为左旋和右旋，绞龙螺旋体上每个螺旋导程装有动刀片，与饲料搅拌机中心线位置上的固定齿作切割工作，将通过的各种纤维性草料，秸秆等进行旋切搅拌。整个旋切搅拌过程物料无振动，且具有一定含水率，因此，TMR机混料过程产生极少量的粉尘。本次评价不做定量分析。</w:t>
      </w:r>
    </w:p>
    <w:p w14:paraId="1F6D2568">
      <w:pPr>
        <w:pStyle w:val="86"/>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（6）食堂油烟</w:t>
      </w:r>
    </w:p>
    <w:p w14:paraId="3940D622">
      <w:pPr>
        <w:pStyle w:val="86"/>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产生情况：</w:t>
      </w:r>
    </w:p>
    <w:p w14:paraId="0763978B">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本项目设有职工食堂，食堂采用</w:t>
      </w:r>
      <w:r>
        <w:rPr>
          <w:rFonts w:hint="eastAsia"/>
          <w:color w:val="000000" w:themeColor="text1"/>
          <w:sz w:val="24"/>
          <w14:textFill>
            <w14:solidFill>
              <w14:schemeClr w14:val="tx1"/>
            </w14:solidFill>
          </w14:textFill>
        </w:rPr>
        <w:t>电</w:t>
      </w:r>
      <w:r>
        <w:rPr>
          <w:color w:val="000000" w:themeColor="text1"/>
          <w:sz w:val="24"/>
          <w14:textFill>
            <w14:solidFill>
              <w14:schemeClr w14:val="tx1"/>
            </w14:solidFill>
          </w14:textFill>
        </w:rPr>
        <w:t>作为</w:t>
      </w:r>
      <w:r>
        <w:rPr>
          <w:rFonts w:hint="eastAsia"/>
          <w:color w:val="000000" w:themeColor="text1"/>
          <w:sz w:val="24"/>
          <w14:textFill>
            <w14:solidFill>
              <w14:schemeClr w14:val="tx1"/>
            </w14:solidFill>
          </w14:textFill>
        </w:rPr>
        <w:t>能源</w:t>
      </w:r>
      <w:r>
        <w:rPr>
          <w:color w:val="000000" w:themeColor="text1"/>
          <w:sz w:val="24"/>
          <w14:textFill>
            <w14:solidFill>
              <w14:schemeClr w14:val="tx1"/>
            </w14:solidFill>
          </w14:textFill>
        </w:rPr>
        <w:t>，燃烧对周围环境空气质量影响小，因此本项目运营过程中食堂产生的废气主要为食堂油烟。油烟指烹调油烟，由水蒸气和油珠组成，它是食用油加热到250℃以上，油脂发生氧化、水解、聚合、裂解等反应，随沸腾的油挥发出来的烹调烟气。</w:t>
      </w:r>
    </w:p>
    <w:p w14:paraId="12B96406">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厨房油烟废气主要成分为动植物油烟，根据对餐饮企业的类比调查，目前居民人均食用油量为30g/人·d，根据不同的炒作工况，油的挥发量不同，按日进行炒作工况4小时计，根据类比调查和有关资料分析，食品在炒作时油的平均挥发量为总耗油量的3%。本项目食堂内就餐人次按50人计，项目油烟产生量为0.0164t/a。</w:t>
      </w:r>
    </w:p>
    <w:p w14:paraId="6D3EFA51">
      <w:pPr>
        <w:pStyle w:val="86"/>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治理措施及排放情况：</w:t>
      </w:r>
    </w:p>
    <w:p w14:paraId="2415E1D9">
      <w:pPr>
        <w:pStyle w:val="86"/>
        <w:ind w:firstLine="480" w:firstLineChars="200"/>
        <w:rPr>
          <w:sz w:val="24"/>
        </w:rPr>
      </w:pPr>
      <w:r>
        <w:rPr>
          <w:sz w:val="24"/>
        </w:rPr>
        <w:t>参照《饮食业油烟排放标准（试行）》（GB18483-2001）标准的要求，本次评价要求在食堂安装抽油烟机处理，油烟去除率大于60%，风机风量约2000m</w:t>
      </w:r>
      <w:r>
        <w:rPr>
          <w:sz w:val="24"/>
          <w:vertAlign w:val="superscript"/>
        </w:rPr>
        <w:t>3</w:t>
      </w:r>
      <w:r>
        <w:rPr>
          <w:sz w:val="24"/>
        </w:rPr>
        <w:t>/h，并由专用烟道至食堂楼顶排放，则食堂油烟污染物</w:t>
      </w:r>
      <w:r>
        <w:rPr>
          <w:rFonts w:hint="eastAsia"/>
          <w:sz w:val="24"/>
        </w:rPr>
        <w:t>总</w:t>
      </w:r>
      <w:r>
        <w:rPr>
          <w:sz w:val="24"/>
        </w:rPr>
        <w:t>排放量为0.0066t/a。</w:t>
      </w:r>
      <w:r>
        <w:rPr>
          <w:rFonts w:hint="eastAsia"/>
          <w:color w:val="FF0000"/>
          <w:sz w:val="24"/>
        </w:rPr>
        <w:t>各养殖场区油烟污染物</w:t>
      </w:r>
      <w:r>
        <w:rPr>
          <w:rFonts w:hint="eastAsia"/>
          <w:sz w:val="24"/>
        </w:rPr>
        <w:t>均</w:t>
      </w:r>
      <w:r>
        <w:rPr>
          <w:sz w:val="24"/>
        </w:rPr>
        <w:t>能够满足《</w:t>
      </w:r>
      <w:bookmarkStart w:id="441" w:name="OLE_LINK195"/>
      <w:r>
        <w:rPr>
          <w:sz w:val="24"/>
        </w:rPr>
        <w:t>饮食业油烟排放标准（试行）</w:t>
      </w:r>
      <w:bookmarkEnd w:id="441"/>
      <w:r>
        <w:rPr>
          <w:sz w:val="24"/>
        </w:rPr>
        <w:t>》（GB18483-2001）的排放标准油烟最高允许排放浓度（≤2.0mg/m</w:t>
      </w:r>
      <w:r>
        <w:rPr>
          <w:sz w:val="24"/>
          <w:vertAlign w:val="superscript"/>
        </w:rPr>
        <w:t>3</w:t>
      </w:r>
      <w:r>
        <w:rPr>
          <w:sz w:val="24"/>
        </w:rPr>
        <w:t>）要求，对区域环境影响很小。</w:t>
      </w:r>
    </w:p>
    <w:p w14:paraId="201086EA">
      <w:pPr>
        <w:pStyle w:val="1771"/>
        <w:spacing w:line="360" w:lineRule="auto"/>
        <w:rPr>
          <w:rFonts w:eastAsia="黑体"/>
          <w:b w:val="0"/>
          <w:bCs/>
          <w:snapToGrid w:val="0"/>
          <w:color w:val="000000" w:themeColor="text1"/>
          <w:szCs w:val="21"/>
          <w14:textFill>
            <w14:solidFill>
              <w14:schemeClr w14:val="tx1"/>
            </w14:solidFill>
          </w14:textFill>
        </w:rPr>
      </w:pPr>
      <w:r>
        <w:rPr>
          <w:rFonts w:hint="eastAsia" w:eastAsia="黑体"/>
          <w:b w:val="0"/>
          <w:bCs/>
          <w:snapToGrid w:val="0"/>
          <w:color w:val="000000" w:themeColor="text1"/>
          <w:szCs w:val="21"/>
          <w14:textFill>
            <w14:solidFill>
              <w14:schemeClr w14:val="tx1"/>
            </w14:solidFill>
          </w14:textFill>
        </w:rPr>
        <w:t>表3</w:t>
      </w:r>
      <w:r>
        <w:rPr>
          <w:rFonts w:eastAsia="黑体"/>
          <w:b w:val="0"/>
          <w:bCs/>
          <w:snapToGrid w:val="0"/>
          <w:color w:val="000000" w:themeColor="text1"/>
          <w:szCs w:val="21"/>
          <w14:textFill>
            <w14:solidFill>
              <w14:schemeClr w14:val="tx1"/>
            </w14:solidFill>
          </w14:textFill>
        </w:rPr>
        <w:t>.10.4-4</w:t>
      </w:r>
      <w:r>
        <w:rPr>
          <w:rFonts w:hint="eastAsia" w:eastAsia="黑体"/>
          <w:b w:val="0"/>
          <w:bCs/>
          <w:snapToGrid w:val="0"/>
          <w:color w:val="000000" w:themeColor="text1"/>
          <w:szCs w:val="21"/>
          <w14:textFill>
            <w14:solidFill>
              <w14:schemeClr w14:val="tx1"/>
            </w14:solidFill>
          </w14:textFill>
        </w:rPr>
        <w:t>项目各厂区食堂油烟产排情况</w:t>
      </w:r>
      <w:r>
        <w:rPr>
          <w:rFonts w:eastAsia="黑体"/>
          <w:b w:val="0"/>
          <w:bCs/>
          <w:snapToGrid w:val="0"/>
          <w:color w:val="000000" w:themeColor="text1"/>
          <w:szCs w:val="21"/>
          <w14:textFill>
            <w14:solidFill>
              <w14:schemeClr w14:val="tx1"/>
            </w14:solidFill>
          </w14:textFill>
        </w:rPr>
        <w:t>一览表</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
        <w:gridCol w:w="461"/>
        <w:gridCol w:w="1020"/>
        <w:gridCol w:w="950"/>
        <w:gridCol w:w="1009"/>
        <w:gridCol w:w="1102"/>
        <w:gridCol w:w="1020"/>
        <w:gridCol w:w="1102"/>
        <w:gridCol w:w="1155"/>
      </w:tblGrid>
      <w:tr w14:paraId="221C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restart"/>
            <w:vAlign w:val="center"/>
          </w:tcPr>
          <w:p w14:paraId="3514958D">
            <w:pPr>
              <w:pStyle w:val="86"/>
              <w:widowControl w:val="0"/>
              <w:spacing w:line="240" w:lineRule="auto"/>
              <w:ind w:firstLine="0" w:firstLineChars="0"/>
              <w:jc w:val="center"/>
              <w:rPr>
                <w:rFonts w:ascii="宋体" w:hAnsi="宋体"/>
                <w:szCs w:val="21"/>
              </w:rPr>
            </w:pPr>
            <w:r>
              <w:rPr>
                <w:rFonts w:hint="eastAsia" w:ascii="宋体" w:hAnsi="宋体"/>
                <w:szCs w:val="21"/>
              </w:rPr>
              <w:t>养殖场区</w:t>
            </w:r>
          </w:p>
        </w:tc>
        <w:tc>
          <w:tcPr>
            <w:tcW w:w="0" w:type="auto"/>
            <w:vMerge w:val="restart"/>
            <w:vAlign w:val="center"/>
          </w:tcPr>
          <w:p w14:paraId="71BA1431">
            <w:pPr>
              <w:pStyle w:val="86"/>
              <w:widowControl w:val="0"/>
              <w:spacing w:line="240" w:lineRule="auto"/>
              <w:ind w:firstLine="0" w:firstLineChars="0"/>
              <w:jc w:val="center"/>
              <w:rPr>
                <w:rFonts w:ascii="宋体" w:hAnsi="宋体"/>
                <w:szCs w:val="21"/>
              </w:rPr>
            </w:pPr>
            <w:r>
              <w:rPr>
                <w:rFonts w:hint="eastAsia" w:ascii="宋体" w:hAnsi="宋体"/>
                <w:szCs w:val="21"/>
              </w:rPr>
              <w:t>污染源</w:t>
            </w:r>
          </w:p>
        </w:tc>
        <w:tc>
          <w:tcPr>
            <w:tcW w:w="0" w:type="auto"/>
            <w:vMerge w:val="restart"/>
            <w:vAlign w:val="center"/>
          </w:tcPr>
          <w:p w14:paraId="0AA59111">
            <w:pPr>
              <w:pStyle w:val="86"/>
              <w:widowControl w:val="0"/>
              <w:spacing w:line="240" w:lineRule="auto"/>
              <w:ind w:firstLine="0" w:firstLineChars="0"/>
              <w:jc w:val="center"/>
              <w:rPr>
                <w:rFonts w:ascii="宋体" w:hAnsi="宋体"/>
                <w:szCs w:val="21"/>
              </w:rPr>
            </w:pPr>
            <w:r>
              <w:rPr>
                <w:rFonts w:hint="eastAsia" w:ascii="宋体" w:hAnsi="宋体"/>
                <w:szCs w:val="21"/>
              </w:rPr>
              <w:t>产污系数（g/人·d）</w:t>
            </w:r>
          </w:p>
        </w:tc>
        <w:tc>
          <w:tcPr>
            <w:tcW w:w="0" w:type="auto"/>
            <w:vMerge w:val="restart"/>
            <w:vAlign w:val="center"/>
          </w:tcPr>
          <w:p w14:paraId="0CBAF6FF">
            <w:pPr>
              <w:pStyle w:val="86"/>
              <w:widowControl w:val="0"/>
              <w:spacing w:line="240" w:lineRule="auto"/>
              <w:ind w:firstLine="0" w:firstLineChars="0"/>
              <w:jc w:val="center"/>
              <w:rPr>
                <w:rFonts w:ascii="宋体" w:hAnsi="宋体"/>
                <w:szCs w:val="21"/>
              </w:rPr>
            </w:pPr>
            <w:r>
              <w:rPr>
                <w:rFonts w:hint="eastAsia" w:ascii="宋体" w:hAnsi="宋体"/>
                <w:szCs w:val="21"/>
              </w:rPr>
              <w:t>各养殖场区劳动定员（人）</w:t>
            </w:r>
          </w:p>
        </w:tc>
        <w:tc>
          <w:tcPr>
            <w:tcW w:w="0" w:type="auto"/>
            <w:vMerge w:val="restart"/>
            <w:vAlign w:val="center"/>
          </w:tcPr>
          <w:p w14:paraId="7BA2427D">
            <w:pPr>
              <w:pStyle w:val="86"/>
              <w:widowControl w:val="0"/>
              <w:spacing w:line="240" w:lineRule="auto"/>
              <w:ind w:firstLine="0" w:firstLineChars="0"/>
              <w:jc w:val="center"/>
              <w:rPr>
                <w:rFonts w:ascii="宋体" w:hAnsi="宋体"/>
                <w:szCs w:val="21"/>
              </w:rPr>
            </w:pPr>
            <w:r>
              <w:rPr>
                <w:rFonts w:hint="eastAsia" w:ascii="宋体" w:hAnsi="宋体"/>
                <w:szCs w:val="21"/>
              </w:rPr>
              <w:t>油烟产生量（t</w:t>
            </w:r>
            <w:r>
              <w:rPr>
                <w:rFonts w:ascii="宋体" w:hAnsi="宋体"/>
                <w:szCs w:val="21"/>
              </w:rPr>
              <w:t>/</w:t>
            </w:r>
            <w:r>
              <w:rPr>
                <w:rFonts w:hint="eastAsia" w:ascii="宋体" w:hAnsi="宋体"/>
                <w:szCs w:val="21"/>
              </w:rPr>
              <w:t>a）</w:t>
            </w:r>
          </w:p>
        </w:tc>
        <w:tc>
          <w:tcPr>
            <w:tcW w:w="0" w:type="auto"/>
            <w:vMerge w:val="restart"/>
            <w:vAlign w:val="center"/>
          </w:tcPr>
          <w:p w14:paraId="1ADDBBE9">
            <w:pPr>
              <w:pStyle w:val="86"/>
              <w:widowControl w:val="0"/>
              <w:spacing w:line="240" w:lineRule="auto"/>
              <w:ind w:firstLine="0" w:firstLineChars="0"/>
              <w:jc w:val="center"/>
              <w:rPr>
                <w:rFonts w:ascii="宋体" w:hAnsi="宋体"/>
                <w:szCs w:val="21"/>
              </w:rPr>
            </w:pPr>
            <w:r>
              <w:rPr>
                <w:rFonts w:hint="eastAsia" w:ascii="宋体" w:hAnsi="宋体"/>
                <w:szCs w:val="21"/>
              </w:rPr>
              <w:t>产生速率（kg</w:t>
            </w:r>
            <w:r>
              <w:rPr>
                <w:rFonts w:ascii="宋体" w:hAnsi="宋体"/>
                <w:szCs w:val="21"/>
              </w:rPr>
              <w:t>/</w:t>
            </w:r>
            <w:r>
              <w:rPr>
                <w:rFonts w:hint="eastAsia" w:ascii="宋体" w:hAnsi="宋体"/>
                <w:szCs w:val="21"/>
              </w:rPr>
              <w:t>h）</w:t>
            </w:r>
          </w:p>
        </w:tc>
        <w:tc>
          <w:tcPr>
            <w:tcW w:w="0" w:type="auto"/>
            <w:gridSpan w:val="3"/>
            <w:vAlign w:val="center"/>
          </w:tcPr>
          <w:p w14:paraId="477E8EEB">
            <w:pPr>
              <w:pStyle w:val="86"/>
              <w:widowControl w:val="0"/>
              <w:spacing w:line="240" w:lineRule="auto"/>
              <w:ind w:firstLine="0" w:firstLineChars="0"/>
              <w:jc w:val="center"/>
              <w:rPr>
                <w:rFonts w:ascii="宋体" w:hAnsi="宋体"/>
                <w:szCs w:val="21"/>
              </w:rPr>
            </w:pPr>
            <w:r>
              <w:rPr>
                <w:rFonts w:hint="eastAsia" w:ascii="宋体" w:hAnsi="宋体"/>
                <w:szCs w:val="21"/>
              </w:rPr>
              <w:t>有组织（D</w:t>
            </w:r>
            <w:r>
              <w:rPr>
                <w:rFonts w:ascii="宋体" w:hAnsi="宋体"/>
                <w:szCs w:val="21"/>
              </w:rPr>
              <w:t>A002</w:t>
            </w:r>
            <w:r>
              <w:rPr>
                <w:rFonts w:hint="eastAsia" w:ascii="宋体" w:hAnsi="宋体"/>
                <w:szCs w:val="21"/>
              </w:rPr>
              <w:t>）</w:t>
            </w:r>
          </w:p>
        </w:tc>
      </w:tr>
      <w:tr w14:paraId="548A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vAlign w:val="center"/>
          </w:tcPr>
          <w:p w14:paraId="2D9ABA13">
            <w:pPr>
              <w:pStyle w:val="86"/>
              <w:widowControl w:val="0"/>
              <w:spacing w:line="240" w:lineRule="auto"/>
              <w:ind w:firstLine="0" w:firstLineChars="0"/>
              <w:jc w:val="center"/>
              <w:rPr>
                <w:rFonts w:ascii="宋体" w:hAnsi="宋体"/>
                <w:szCs w:val="21"/>
              </w:rPr>
            </w:pPr>
          </w:p>
        </w:tc>
        <w:tc>
          <w:tcPr>
            <w:tcW w:w="0" w:type="auto"/>
            <w:vMerge w:val="continue"/>
            <w:vAlign w:val="center"/>
          </w:tcPr>
          <w:p w14:paraId="23E12EDD">
            <w:pPr>
              <w:pStyle w:val="86"/>
              <w:widowControl w:val="0"/>
              <w:spacing w:line="240" w:lineRule="auto"/>
              <w:ind w:firstLine="0" w:firstLineChars="0"/>
              <w:jc w:val="center"/>
              <w:rPr>
                <w:rFonts w:ascii="宋体" w:hAnsi="宋体"/>
                <w:szCs w:val="21"/>
              </w:rPr>
            </w:pPr>
          </w:p>
        </w:tc>
        <w:tc>
          <w:tcPr>
            <w:tcW w:w="0" w:type="auto"/>
            <w:vMerge w:val="continue"/>
            <w:vAlign w:val="center"/>
          </w:tcPr>
          <w:p w14:paraId="10CFA476">
            <w:pPr>
              <w:pStyle w:val="86"/>
              <w:widowControl w:val="0"/>
              <w:spacing w:line="240" w:lineRule="auto"/>
              <w:ind w:firstLine="0" w:firstLineChars="0"/>
              <w:jc w:val="center"/>
              <w:rPr>
                <w:rFonts w:ascii="宋体" w:hAnsi="宋体"/>
                <w:szCs w:val="21"/>
              </w:rPr>
            </w:pPr>
          </w:p>
        </w:tc>
        <w:tc>
          <w:tcPr>
            <w:tcW w:w="0" w:type="auto"/>
            <w:vMerge w:val="continue"/>
            <w:vAlign w:val="center"/>
          </w:tcPr>
          <w:p w14:paraId="08E503FC">
            <w:pPr>
              <w:pStyle w:val="86"/>
              <w:widowControl w:val="0"/>
              <w:spacing w:line="240" w:lineRule="auto"/>
              <w:ind w:firstLine="0" w:firstLineChars="0"/>
              <w:jc w:val="center"/>
              <w:rPr>
                <w:rFonts w:ascii="宋体" w:hAnsi="宋体"/>
                <w:szCs w:val="21"/>
              </w:rPr>
            </w:pPr>
          </w:p>
        </w:tc>
        <w:tc>
          <w:tcPr>
            <w:tcW w:w="0" w:type="auto"/>
            <w:vMerge w:val="continue"/>
            <w:vAlign w:val="center"/>
          </w:tcPr>
          <w:p w14:paraId="54D6881A">
            <w:pPr>
              <w:pStyle w:val="86"/>
              <w:widowControl w:val="0"/>
              <w:spacing w:line="240" w:lineRule="auto"/>
              <w:ind w:firstLine="0" w:firstLineChars="0"/>
              <w:jc w:val="center"/>
              <w:rPr>
                <w:rFonts w:ascii="宋体" w:hAnsi="宋体"/>
                <w:szCs w:val="21"/>
              </w:rPr>
            </w:pPr>
          </w:p>
        </w:tc>
        <w:tc>
          <w:tcPr>
            <w:tcW w:w="0" w:type="auto"/>
            <w:vMerge w:val="continue"/>
            <w:vAlign w:val="center"/>
          </w:tcPr>
          <w:p w14:paraId="45303811">
            <w:pPr>
              <w:pStyle w:val="86"/>
              <w:widowControl w:val="0"/>
              <w:spacing w:line="240" w:lineRule="auto"/>
              <w:ind w:firstLine="0" w:firstLineChars="0"/>
              <w:jc w:val="center"/>
              <w:rPr>
                <w:rFonts w:ascii="宋体" w:hAnsi="宋体"/>
                <w:szCs w:val="21"/>
              </w:rPr>
            </w:pPr>
          </w:p>
        </w:tc>
        <w:tc>
          <w:tcPr>
            <w:tcW w:w="0" w:type="auto"/>
            <w:vAlign w:val="center"/>
          </w:tcPr>
          <w:p w14:paraId="65E3D038">
            <w:pPr>
              <w:pStyle w:val="86"/>
              <w:widowControl w:val="0"/>
              <w:spacing w:line="240" w:lineRule="auto"/>
              <w:ind w:firstLine="0" w:firstLineChars="0"/>
              <w:jc w:val="center"/>
              <w:rPr>
                <w:rFonts w:ascii="宋体" w:hAnsi="宋体"/>
                <w:szCs w:val="21"/>
              </w:rPr>
            </w:pPr>
            <w:r>
              <w:rPr>
                <w:rFonts w:hint="eastAsia" w:ascii="宋体" w:hAnsi="宋体"/>
                <w:szCs w:val="21"/>
              </w:rPr>
              <w:t>颗粒物排放量（t</w:t>
            </w:r>
            <w:r>
              <w:rPr>
                <w:rFonts w:ascii="宋体" w:hAnsi="宋体"/>
                <w:szCs w:val="21"/>
              </w:rPr>
              <w:t>/</w:t>
            </w:r>
            <w:r>
              <w:rPr>
                <w:rFonts w:hint="eastAsia" w:ascii="宋体" w:hAnsi="宋体"/>
                <w:szCs w:val="21"/>
              </w:rPr>
              <w:t>a）</w:t>
            </w:r>
          </w:p>
        </w:tc>
        <w:tc>
          <w:tcPr>
            <w:tcW w:w="0" w:type="auto"/>
            <w:vAlign w:val="center"/>
          </w:tcPr>
          <w:p w14:paraId="6FB7F1B2">
            <w:pPr>
              <w:pStyle w:val="86"/>
              <w:widowControl w:val="0"/>
              <w:spacing w:line="240" w:lineRule="auto"/>
              <w:ind w:firstLine="0" w:firstLineChars="0"/>
              <w:jc w:val="center"/>
              <w:rPr>
                <w:rFonts w:ascii="宋体" w:hAnsi="宋体"/>
                <w:szCs w:val="21"/>
              </w:rPr>
            </w:pPr>
            <w:r>
              <w:rPr>
                <w:rFonts w:hint="eastAsia" w:ascii="宋体" w:hAnsi="宋体"/>
                <w:szCs w:val="21"/>
              </w:rPr>
              <w:t>排放速率（k</w:t>
            </w:r>
            <w:r>
              <w:rPr>
                <w:rFonts w:ascii="宋体" w:hAnsi="宋体"/>
                <w:szCs w:val="21"/>
              </w:rPr>
              <w:t>g</w:t>
            </w:r>
            <w:r>
              <w:rPr>
                <w:rFonts w:hint="eastAsia" w:ascii="宋体" w:hAnsi="宋体"/>
                <w:szCs w:val="21"/>
              </w:rPr>
              <w:t>/</w:t>
            </w:r>
            <w:r>
              <w:rPr>
                <w:rFonts w:ascii="宋体" w:hAnsi="宋体"/>
                <w:szCs w:val="21"/>
              </w:rPr>
              <w:t>h）</w:t>
            </w:r>
          </w:p>
        </w:tc>
        <w:tc>
          <w:tcPr>
            <w:tcW w:w="0" w:type="auto"/>
            <w:vAlign w:val="center"/>
          </w:tcPr>
          <w:p w14:paraId="7EC03571">
            <w:pPr>
              <w:pStyle w:val="86"/>
              <w:widowControl w:val="0"/>
              <w:spacing w:line="240" w:lineRule="auto"/>
              <w:ind w:firstLine="0" w:firstLineChars="0"/>
              <w:jc w:val="center"/>
              <w:rPr>
                <w:rFonts w:ascii="宋体" w:hAnsi="宋体"/>
                <w:szCs w:val="21"/>
              </w:rPr>
            </w:pPr>
            <w:r>
              <w:rPr>
                <w:rFonts w:hint="eastAsia" w:ascii="宋体" w:hAnsi="宋体"/>
                <w:szCs w:val="21"/>
              </w:rPr>
              <w:t>排放浓度（mg</w:t>
            </w:r>
            <w:r>
              <w:rPr>
                <w:rFonts w:ascii="宋体" w:hAnsi="宋体"/>
                <w:szCs w:val="21"/>
              </w:rPr>
              <w:t>/m</w:t>
            </w:r>
            <w:r>
              <w:rPr>
                <w:rFonts w:ascii="宋体" w:hAnsi="宋体"/>
                <w:szCs w:val="21"/>
                <w:vertAlign w:val="superscript"/>
              </w:rPr>
              <w:t>3</w:t>
            </w:r>
            <w:r>
              <w:rPr>
                <w:rFonts w:ascii="宋体" w:hAnsi="宋体"/>
                <w:szCs w:val="21"/>
              </w:rPr>
              <w:t>）</w:t>
            </w:r>
          </w:p>
        </w:tc>
      </w:tr>
      <w:tr w14:paraId="4BE2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5480A60F">
            <w:pPr>
              <w:pStyle w:val="86"/>
              <w:widowControl w:val="0"/>
              <w:spacing w:line="240" w:lineRule="auto"/>
              <w:ind w:firstLine="0" w:firstLineChars="0"/>
              <w:jc w:val="center"/>
              <w:rPr>
                <w:rFonts w:ascii="宋体" w:hAnsi="宋体"/>
                <w:szCs w:val="21"/>
              </w:rPr>
            </w:pPr>
            <w:r>
              <w:rPr>
                <w:rFonts w:hint="eastAsia" w:ascii="宋体" w:hAnsi="宋体"/>
                <w:kern w:val="0"/>
                <w:szCs w:val="21"/>
              </w:rPr>
              <w:t>百花养殖场区</w:t>
            </w:r>
          </w:p>
        </w:tc>
        <w:tc>
          <w:tcPr>
            <w:tcW w:w="0" w:type="auto"/>
            <w:vMerge w:val="restart"/>
            <w:vAlign w:val="center"/>
          </w:tcPr>
          <w:p w14:paraId="666F7440">
            <w:pPr>
              <w:pStyle w:val="86"/>
              <w:widowControl w:val="0"/>
              <w:spacing w:line="240" w:lineRule="auto"/>
              <w:ind w:firstLine="0" w:firstLineChars="0"/>
              <w:jc w:val="center"/>
              <w:rPr>
                <w:rFonts w:ascii="宋体" w:hAnsi="宋体"/>
                <w:szCs w:val="21"/>
              </w:rPr>
            </w:pPr>
            <w:r>
              <w:rPr>
                <w:rFonts w:hint="eastAsia" w:ascii="宋体" w:hAnsi="宋体"/>
                <w:szCs w:val="21"/>
              </w:rPr>
              <w:t>食堂油烟</w:t>
            </w:r>
          </w:p>
        </w:tc>
        <w:tc>
          <w:tcPr>
            <w:tcW w:w="0" w:type="auto"/>
            <w:vMerge w:val="restart"/>
            <w:vAlign w:val="center"/>
          </w:tcPr>
          <w:p w14:paraId="5CCB9D2E">
            <w:pPr>
              <w:pStyle w:val="86"/>
              <w:widowControl w:val="0"/>
              <w:spacing w:line="240" w:lineRule="auto"/>
              <w:ind w:firstLine="0" w:firstLineChars="0"/>
              <w:jc w:val="center"/>
              <w:rPr>
                <w:rFonts w:ascii="宋体" w:hAnsi="宋体"/>
                <w:szCs w:val="21"/>
              </w:rPr>
            </w:pPr>
            <w:r>
              <w:rPr>
                <w:rFonts w:ascii="宋体" w:hAnsi="宋体"/>
                <w:szCs w:val="21"/>
              </w:rPr>
              <w:t>30</w:t>
            </w:r>
          </w:p>
        </w:tc>
        <w:tc>
          <w:tcPr>
            <w:tcW w:w="0" w:type="auto"/>
            <w:vAlign w:val="center"/>
          </w:tcPr>
          <w:p w14:paraId="0A59D710">
            <w:pPr>
              <w:pStyle w:val="86"/>
              <w:widowControl w:val="0"/>
              <w:spacing w:line="240" w:lineRule="auto"/>
              <w:ind w:firstLine="0" w:firstLineChars="0"/>
              <w:jc w:val="center"/>
              <w:rPr>
                <w:rFonts w:ascii="宋体" w:hAnsi="宋体"/>
                <w:szCs w:val="21"/>
              </w:rPr>
            </w:pPr>
            <w:r>
              <w:rPr>
                <w:rFonts w:ascii="宋体" w:hAnsi="宋体"/>
                <w:szCs w:val="21"/>
              </w:rPr>
              <w:t>15</w:t>
            </w:r>
          </w:p>
        </w:tc>
        <w:tc>
          <w:tcPr>
            <w:tcW w:w="0" w:type="auto"/>
            <w:vAlign w:val="center"/>
          </w:tcPr>
          <w:p w14:paraId="339C4320">
            <w:pPr>
              <w:pStyle w:val="86"/>
              <w:widowControl w:val="0"/>
              <w:spacing w:line="240" w:lineRule="auto"/>
              <w:ind w:firstLine="0" w:firstLineChars="0"/>
              <w:jc w:val="center"/>
              <w:rPr>
                <w:rFonts w:ascii="宋体" w:hAnsi="宋体"/>
                <w:szCs w:val="21"/>
              </w:rPr>
            </w:pPr>
            <w:r>
              <w:t>0.0049</w:t>
            </w:r>
          </w:p>
        </w:tc>
        <w:tc>
          <w:tcPr>
            <w:tcW w:w="0" w:type="auto"/>
            <w:vAlign w:val="center"/>
          </w:tcPr>
          <w:p w14:paraId="0CC7F2F4">
            <w:pPr>
              <w:pStyle w:val="86"/>
              <w:widowControl w:val="0"/>
              <w:spacing w:line="240" w:lineRule="auto"/>
              <w:ind w:firstLine="0" w:firstLineChars="0"/>
              <w:jc w:val="center"/>
              <w:rPr>
                <w:rFonts w:ascii="宋体" w:hAnsi="宋体"/>
                <w:szCs w:val="21"/>
              </w:rPr>
            </w:pPr>
            <w:r>
              <w:t>0.0033</w:t>
            </w:r>
          </w:p>
        </w:tc>
        <w:tc>
          <w:tcPr>
            <w:tcW w:w="0" w:type="auto"/>
            <w:vAlign w:val="center"/>
          </w:tcPr>
          <w:p w14:paraId="6DC02353">
            <w:pPr>
              <w:pStyle w:val="86"/>
              <w:widowControl w:val="0"/>
              <w:spacing w:line="240" w:lineRule="auto"/>
              <w:ind w:firstLine="0" w:firstLineChars="0"/>
              <w:jc w:val="center"/>
              <w:rPr>
                <w:rFonts w:ascii="宋体" w:hAnsi="宋体"/>
                <w:szCs w:val="21"/>
              </w:rPr>
            </w:pPr>
            <w:r>
              <w:rPr>
                <w:rFonts w:ascii="宋体" w:hAnsi="宋体"/>
                <w:szCs w:val="21"/>
              </w:rPr>
              <w:t>0.0020</w:t>
            </w:r>
          </w:p>
        </w:tc>
        <w:tc>
          <w:tcPr>
            <w:tcW w:w="0" w:type="auto"/>
            <w:vAlign w:val="center"/>
          </w:tcPr>
          <w:p w14:paraId="7F181931">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0013</w:t>
            </w:r>
          </w:p>
        </w:tc>
        <w:tc>
          <w:tcPr>
            <w:tcW w:w="0" w:type="auto"/>
            <w:vAlign w:val="center"/>
          </w:tcPr>
          <w:p w14:paraId="5A8B5852">
            <w:pPr>
              <w:pStyle w:val="86"/>
              <w:widowControl w:val="0"/>
              <w:spacing w:line="240" w:lineRule="auto"/>
              <w:ind w:firstLine="0" w:firstLineChars="0"/>
              <w:jc w:val="center"/>
              <w:rPr>
                <w:rFonts w:ascii="宋体" w:hAnsi="宋体"/>
                <w:szCs w:val="21"/>
              </w:rPr>
            </w:pPr>
            <w:r>
              <w:rPr>
                <w:rFonts w:ascii="宋体" w:hAnsi="宋体"/>
                <w:szCs w:val="21"/>
              </w:rPr>
              <w:t>0.675</w:t>
            </w:r>
          </w:p>
        </w:tc>
      </w:tr>
      <w:tr w14:paraId="06852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B87D1E0">
            <w:pPr>
              <w:widowControl w:val="0"/>
              <w:autoSpaceDE w:val="0"/>
              <w:autoSpaceDN w:val="0"/>
              <w:adjustRightInd w:val="0"/>
              <w:snapToGrid w:val="0"/>
              <w:jc w:val="center"/>
              <w:rPr>
                <w:rFonts w:ascii="宋体" w:hAnsi="宋体"/>
                <w:kern w:val="0"/>
                <w:szCs w:val="21"/>
              </w:rPr>
            </w:pPr>
            <w:r>
              <w:rPr>
                <w:rFonts w:hint="eastAsia" w:ascii="宋体" w:hAnsi="宋体"/>
                <w:kern w:val="0"/>
                <w:szCs w:val="21"/>
              </w:rPr>
              <w:t>佛龙养殖场区</w:t>
            </w:r>
          </w:p>
        </w:tc>
        <w:tc>
          <w:tcPr>
            <w:tcW w:w="0" w:type="auto"/>
            <w:vMerge w:val="continue"/>
            <w:vAlign w:val="center"/>
          </w:tcPr>
          <w:p w14:paraId="648B501F">
            <w:pPr>
              <w:pStyle w:val="86"/>
              <w:widowControl w:val="0"/>
              <w:spacing w:line="240" w:lineRule="auto"/>
              <w:ind w:firstLine="0" w:firstLineChars="0"/>
              <w:jc w:val="center"/>
              <w:rPr>
                <w:rFonts w:ascii="宋体" w:hAnsi="宋体"/>
                <w:szCs w:val="21"/>
              </w:rPr>
            </w:pPr>
          </w:p>
        </w:tc>
        <w:tc>
          <w:tcPr>
            <w:tcW w:w="0" w:type="auto"/>
            <w:vMerge w:val="continue"/>
            <w:vAlign w:val="center"/>
          </w:tcPr>
          <w:p w14:paraId="4F8D959E">
            <w:pPr>
              <w:pStyle w:val="86"/>
              <w:widowControl w:val="0"/>
              <w:spacing w:line="240" w:lineRule="auto"/>
              <w:ind w:firstLine="0" w:firstLineChars="0"/>
              <w:jc w:val="center"/>
              <w:rPr>
                <w:rFonts w:ascii="宋体" w:hAnsi="宋体"/>
                <w:szCs w:val="21"/>
              </w:rPr>
            </w:pPr>
          </w:p>
        </w:tc>
        <w:tc>
          <w:tcPr>
            <w:tcW w:w="0" w:type="auto"/>
            <w:vAlign w:val="center"/>
          </w:tcPr>
          <w:p w14:paraId="05B1BEDF">
            <w:pPr>
              <w:pStyle w:val="86"/>
              <w:widowControl w:val="0"/>
              <w:spacing w:line="240" w:lineRule="auto"/>
              <w:ind w:firstLine="0" w:firstLineChars="0"/>
              <w:jc w:val="center"/>
              <w:rPr>
                <w:rFonts w:ascii="宋体" w:hAnsi="宋体"/>
                <w:szCs w:val="21"/>
              </w:rPr>
            </w:pPr>
            <w:r>
              <w:rPr>
                <w:rFonts w:ascii="宋体" w:hAnsi="宋体"/>
                <w:szCs w:val="21"/>
              </w:rPr>
              <w:t>10</w:t>
            </w:r>
          </w:p>
        </w:tc>
        <w:tc>
          <w:tcPr>
            <w:tcW w:w="0" w:type="auto"/>
            <w:vAlign w:val="center"/>
          </w:tcPr>
          <w:p w14:paraId="0EF416C7">
            <w:pPr>
              <w:pStyle w:val="86"/>
              <w:widowControl w:val="0"/>
              <w:spacing w:line="240" w:lineRule="auto"/>
              <w:ind w:firstLine="0" w:firstLineChars="0"/>
              <w:jc w:val="center"/>
              <w:rPr>
                <w:rFonts w:ascii="宋体" w:hAnsi="宋体"/>
                <w:szCs w:val="21"/>
              </w:rPr>
            </w:pPr>
            <w:r>
              <w:t>0.0033</w:t>
            </w:r>
          </w:p>
        </w:tc>
        <w:tc>
          <w:tcPr>
            <w:tcW w:w="0" w:type="auto"/>
            <w:vAlign w:val="center"/>
          </w:tcPr>
          <w:p w14:paraId="451A98C0">
            <w:pPr>
              <w:pStyle w:val="86"/>
              <w:widowControl w:val="0"/>
              <w:spacing w:line="240" w:lineRule="auto"/>
              <w:ind w:firstLine="0" w:firstLineChars="0"/>
              <w:jc w:val="center"/>
              <w:rPr>
                <w:rFonts w:ascii="宋体" w:hAnsi="宋体"/>
                <w:szCs w:val="21"/>
              </w:rPr>
            </w:pPr>
            <w:r>
              <w:t>0.0023</w:t>
            </w:r>
          </w:p>
        </w:tc>
        <w:tc>
          <w:tcPr>
            <w:tcW w:w="0" w:type="auto"/>
            <w:vAlign w:val="center"/>
          </w:tcPr>
          <w:p w14:paraId="2862CA07">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.0013</w:t>
            </w:r>
          </w:p>
        </w:tc>
        <w:tc>
          <w:tcPr>
            <w:tcW w:w="0" w:type="auto"/>
            <w:vAlign w:val="center"/>
          </w:tcPr>
          <w:p w14:paraId="70ED44EF">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.0009</w:t>
            </w:r>
          </w:p>
        </w:tc>
        <w:tc>
          <w:tcPr>
            <w:tcW w:w="0" w:type="auto"/>
            <w:vAlign w:val="center"/>
          </w:tcPr>
          <w:p w14:paraId="597A6F39">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.45</w:t>
            </w:r>
          </w:p>
        </w:tc>
      </w:tr>
      <w:tr w14:paraId="61EB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C6BEA09">
            <w:pPr>
              <w:pStyle w:val="86"/>
              <w:widowControl w:val="0"/>
              <w:spacing w:line="240" w:lineRule="auto"/>
              <w:ind w:firstLine="0" w:firstLineChars="0"/>
              <w:jc w:val="center"/>
              <w:rPr>
                <w:rFonts w:ascii="宋体" w:hAnsi="宋体"/>
                <w:szCs w:val="21"/>
              </w:rPr>
            </w:pPr>
            <w:r>
              <w:rPr>
                <w:rFonts w:hint="eastAsia" w:ascii="宋体" w:hAnsi="宋体"/>
                <w:kern w:val="0"/>
                <w:szCs w:val="21"/>
              </w:rPr>
              <w:t>塘坝养殖场区</w:t>
            </w:r>
          </w:p>
        </w:tc>
        <w:tc>
          <w:tcPr>
            <w:tcW w:w="0" w:type="auto"/>
            <w:vMerge w:val="continue"/>
            <w:vAlign w:val="center"/>
          </w:tcPr>
          <w:p w14:paraId="12FE32B7">
            <w:pPr>
              <w:pStyle w:val="86"/>
              <w:widowControl w:val="0"/>
              <w:spacing w:line="240" w:lineRule="auto"/>
              <w:ind w:firstLine="0" w:firstLineChars="0"/>
              <w:jc w:val="center"/>
              <w:rPr>
                <w:rFonts w:ascii="宋体" w:hAnsi="宋体"/>
                <w:szCs w:val="21"/>
              </w:rPr>
            </w:pPr>
          </w:p>
        </w:tc>
        <w:tc>
          <w:tcPr>
            <w:tcW w:w="0" w:type="auto"/>
            <w:vMerge w:val="continue"/>
            <w:vAlign w:val="center"/>
          </w:tcPr>
          <w:p w14:paraId="3CEC48FC">
            <w:pPr>
              <w:pStyle w:val="86"/>
              <w:widowControl w:val="0"/>
              <w:spacing w:line="240" w:lineRule="auto"/>
              <w:ind w:firstLine="0" w:firstLineChars="0"/>
              <w:jc w:val="center"/>
              <w:rPr>
                <w:rFonts w:ascii="宋体" w:hAnsi="宋体"/>
                <w:szCs w:val="21"/>
              </w:rPr>
            </w:pPr>
          </w:p>
        </w:tc>
        <w:tc>
          <w:tcPr>
            <w:tcW w:w="0" w:type="auto"/>
            <w:vAlign w:val="center"/>
          </w:tcPr>
          <w:p w14:paraId="4FB8AF5B">
            <w:pPr>
              <w:pStyle w:val="86"/>
              <w:widowControl w:val="0"/>
              <w:spacing w:line="240" w:lineRule="auto"/>
              <w:ind w:firstLine="0" w:firstLineChars="0"/>
              <w:jc w:val="center"/>
              <w:rPr>
                <w:rFonts w:ascii="宋体" w:hAnsi="宋体"/>
                <w:szCs w:val="21"/>
              </w:rPr>
            </w:pPr>
            <w:r>
              <w:rPr>
                <w:rFonts w:ascii="宋体" w:hAnsi="宋体"/>
                <w:szCs w:val="21"/>
              </w:rPr>
              <w:t>15</w:t>
            </w:r>
          </w:p>
        </w:tc>
        <w:tc>
          <w:tcPr>
            <w:tcW w:w="0" w:type="auto"/>
            <w:vAlign w:val="center"/>
          </w:tcPr>
          <w:p w14:paraId="7B2C1EA8">
            <w:pPr>
              <w:pStyle w:val="86"/>
              <w:widowControl w:val="0"/>
              <w:spacing w:line="240" w:lineRule="auto"/>
              <w:ind w:firstLine="0" w:firstLineChars="0"/>
              <w:jc w:val="center"/>
              <w:rPr>
                <w:rFonts w:ascii="宋体" w:hAnsi="宋体"/>
                <w:szCs w:val="21"/>
              </w:rPr>
            </w:pPr>
            <w:r>
              <w:t>0.0049</w:t>
            </w:r>
          </w:p>
        </w:tc>
        <w:tc>
          <w:tcPr>
            <w:tcW w:w="0" w:type="auto"/>
            <w:vAlign w:val="center"/>
          </w:tcPr>
          <w:p w14:paraId="66A102BF">
            <w:pPr>
              <w:pStyle w:val="86"/>
              <w:widowControl w:val="0"/>
              <w:spacing w:line="240" w:lineRule="auto"/>
              <w:ind w:firstLine="0" w:firstLineChars="0"/>
              <w:jc w:val="center"/>
              <w:rPr>
                <w:rFonts w:ascii="宋体" w:hAnsi="宋体"/>
                <w:szCs w:val="21"/>
              </w:rPr>
            </w:pPr>
            <w:r>
              <w:t>0.0033</w:t>
            </w:r>
          </w:p>
        </w:tc>
        <w:tc>
          <w:tcPr>
            <w:tcW w:w="0" w:type="auto"/>
            <w:vAlign w:val="center"/>
          </w:tcPr>
          <w:p w14:paraId="49F352FF">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.0020</w:t>
            </w:r>
          </w:p>
        </w:tc>
        <w:tc>
          <w:tcPr>
            <w:tcW w:w="0" w:type="auto"/>
            <w:vAlign w:val="center"/>
          </w:tcPr>
          <w:p w14:paraId="16C3D2E9">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.0013</w:t>
            </w:r>
          </w:p>
        </w:tc>
        <w:tc>
          <w:tcPr>
            <w:tcW w:w="0" w:type="auto"/>
            <w:vAlign w:val="center"/>
          </w:tcPr>
          <w:p w14:paraId="717EF90D">
            <w:pPr>
              <w:pStyle w:val="86"/>
              <w:widowControl w:val="0"/>
              <w:spacing w:line="240" w:lineRule="auto"/>
              <w:ind w:firstLine="0" w:firstLineChars="0"/>
              <w:jc w:val="center"/>
              <w:rPr>
                <w:rFonts w:ascii="宋体" w:hAnsi="宋体"/>
                <w:szCs w:val="21"/>
              </w:rPr>
            </w:pPr>
            <w:r>
              <w:rPr>
                <w:rFonts w:ascii="宋体" w:hAnsi="宋体"/>
                <w:szCs w:val="21"/>
              </w:rPr>
              <w:t>0.675</w:t>
            </w:r>
          </w:p>
        </w:tc>
      </w:tr>
      <w:tr w14:paraId="48C4C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2DB26A67">
            <w:pPr>
              <w:pStyle w:val="86"/>
              <w:widowControl w:val="0"/>
              <w:spacing w:line="240" w:lineRule="auto"/>
              <w:ind w:firstLine="0" w:firstLineChars="0"/>
              <w:jc w:val="center"/>
              <w:rPr>
                <w:rFonts w:ascii="宋体" w:hAnsi="宋体"/>
                <w:szCs w:val="21"/>
              </w:rPr>
            </w:pPr>
            <w:r>
              <w:rPr>
                <w:rFonts w:hint="eastAsia" w:ascii="宋体" w:hAnsi="宋体"/>
                <w:kern w:val="0"/>
                <w:szCs w:val="21"/>
              </w:rPr>
              <w:t>始宁养殖场区</w:t>
            </w:r>
          </w:p>
        </w:tc>
        <w:tc>
          <w:tcPr>
            <w:tcW w:w="0" w:type="auto"/>
            <w:vMerge w:val="continue"/>
            <w:vAlign w:val="center"/>
          </w:tcPr>
          <w:p w14:paraId="30A8AE90">
            <w:pPr>
              <w:pStyle w:val="86"/>
              <w:widowControl w:val="0"/>
              <w:spacing w:line="240" w:lineRule="auto"/>
              <w:ind w:firstLine="0" w:firstLineChars="0"/>
              <w:jc w:val="center"/>
              <w:rPr>
                <w:rFonts w:ascii="宋体" w:hAnsi="宋体"/>
                <w:szCs w:val="21"/>
              </w:rPr>
            </w:pPr>
          </w:p>
        </w:tc>
        <w:tc>
          <w:tcPr>
            <w:tcW w:w="0" w:type="auto"/>
            <w:vMerge w:val="continue"/>
            <w:vAlign w:val="center"/>
          </w:tcPr>
          <w:p w14:paraId="523D862E">
            <w:pPr>
              <w:pStyle w:val="86"/>
              <w:widowControl w:val="0"/>
              <w:spacing w:line="240" w:lineRule="auto"/>
              <w:ind w:firstLine="0" w:firstLineChars="0"/>
              <w:jc w:val="center"/>
              <w:rPr>
                <w:rFonts w:ascii="宋体" w:hAnsi="宋体"/>
                <w:szCs w:val="21"/>
              </w:rPr>
            </w:pPr>
          </w:p>
        </w:tc>
        <w:tc>
          <w:tcPr>
            <w:tcW w:w="0" w:type="auto"/>
            <w:vAlign w:val="center"/>
          </w:tcPr>
          <w:p w14:paraId="1D517193">
            <w:pPr>
              <w:pStyle w:val="86"/>
              <w:widowControl w:val="0"/>
              <w:spacing w:line="240" w:lineRule="auto"/>
              <w:ind w:firstLine="0" w:firstLineChars="0"/>
              <w:jc w:val="center"/>
              <w:rPr>
                <w:rFonts w:ascii="宋体" w:hAnsi="宋体"/>
                <w:szCs w:val="21"/>
              </w:rPr>
            </w:pPr>
            <w:r>
              <w:rPr>
                <w:rFonts w:ascii="宋体" w:hAnsi="宋体"/>
                <w:szCs w:val="21"/>
              </w:rPr>
              <w:t>10</w:t>
            </w:r>
          </w:p>
        </w:tc>
        <w:tc>
          <w:tcPr>
            <w:tcW w:w="0" w:type="auto"/>
            <w:vAlign w:val="center"/>
          </w:tcPr>
          <w:p w14:paraId="587EC63A">
            <w:pPr>
              <w:pStyle w:val="86"/>
              <w:widowControl w:val="0"/>
              <w:spacing w:line="240" w:lineRule="auto"/>
              <w:ind w:firstLine="0" w:firstLineChars="0"/>
              <w:jc w:val="center"/>
              <w:rPr>
                <w:rFonts w:ascii="宋体" w:hAnsi="宋体"/>
                <w:szCs w:val="21"/>
              </w:rPr>
            </w:pPr>
            <w:r>
              <w:t>0.0033</w:t>
            </w:r>
          </w:p>
        </w:tc>
        <w:tc>
          <w:tcPr>
            <w:tcW w:w="0" w:type="auto"/>
            <w:vAlign w:val="center"/>
          </w:tcPr>
          <w:p w14:paraId="12879742">
            <w:pPr>
              <w:pStyle w:val="86"/>
              <w:widowControl w:val="0"/>
              <w:spacing w:line="240" w:lineRule="auto"/>
              <w:ind w:firstLine="0" w:firstLineChars="0"/>
              <w:jc w:val="center"/>
              <w:rPr>
                <w:rFonts w:ascii="宋体" w:hAnsi="宋体"/>
                <w:szCs w:val="21"/>
              </w:rPr>
            </w:pPr>
            <w:r>
              <w:t>0.0023</w:t>
            </w:r>
          </w:p>
        </w:tc>
        <w:tc>
          <w:tcPr>
            <w:tcW w:w="0" w:type="auto"/>
            <w:vAlign w:val="center"/>
          </w:tcPr>
          <w:p w14:paraId="76C27FF0">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.0013</w:t>
            </w:r>
          </w:p>
        </w:tc>
        <w:tc>
          <w:tcPr>
            <w:tcW w:w="0" w:type="auto"/>
            <w:vAlign w:val="center"/>
          </w:tcPr>
          <w:p w14:paraId="1EB30689">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.0009</w:t>
            </w:r>
          </w:p>
        </w:tc>
        <w:tc>
          <w:tcPr>
            <w:tcW w:w="0" w:type="auto"/>
            <w:vAlign w:val="center"/>
          </w:tcPr>
          <w:p w14:paraId="550E826C">
            <w:pPr>
              <w:pStyle w:val="86"/>
              <w:widowControl w:val="0"/>
              <w:spacing w:line="240" w:lineRule="auto"/>
              <w:ind w:firstLine="0" w:firstLineChars="0"/>
              <w:jc w:val="center"/>
              <w:rPr>
                <w:rFonts w:ascii="宋体" w:hAnsi="宋体"/>
                <w:szCs w:val="21"/>
              </w:rPr>
            </w:pPr>
            <w:r>
              <w:rPr>
                <w:rFonts w:ascii="宋体" w:hAnsi="宋体"/>
                <w:szCs w:val="21"/>
              </w:rPr>
              <w:t>0.45</w:t>
            </w:r>
          </w:p>
        </w:tc>
      </w:tr>
      <w:tr w14:paraId="7657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Align w:val="center"/>
          </w:tcPr>
          <w:p w14:paraId="3FEB401D">
            <w:pPr>
              <w:pStyle w:val="86"/>
              <w:widowControl w:val="0"/>
              <w:spacing w:line="240" w:lineRule="auto"/>
              <w:ind w:firstLine="0" w:firstLineChars="0"/>
              <w:jc w:val="center"/>
              <w:rPr>
                <w:rFonts w:ascii="宋体" w:hAnsi="宋体"/>
                <w:szCs w:val="21"/>
              </w:rPr>
            </w:pPr>
            <w:r>
              <w:rPr>
                <w:rFonts w:hint="eastAsia" w:ascii="宋体" w:hAnsi="宋体"/>
                <w:szCs w:val="21"/>
              </w:rPr>
              <w:t>合计</w:t>
            </w:r>
          </w:p>
        </w:tc>
        <w:tc>
          <w:tcPr>
            <w:tcW w:w="0" w:type="auto"/>
            <w:vMerge w:val="continue"/>
            <w:vAlign w:val="center"/>
          </w:tcPr>
          <w:p w14:paraId="3F0778E5">
            <w:pPr>
              <w:pStyle w:val="86"/>
              <w:widowControl w:val="0"/>
              <w:spacing w:line="240" w:lineRule="auto"/>
              <w:ind w:firstLine="0" w:firstLineChars="0"/>
              <w:jc w:val="center"/>
              <w:rPr>
                <w:rFonts w:ascii="宋体" w:hAnsi="宋体"/>
                <w:szCs w:val="21"/>
              </w:rPr>
            </w:pPr>
          </w:p>
        </w:tc>
        <w:tc>
          <w:tcPr>
            <w:tcW w:w="0" w:type="auto"/>
            <w:vMerge w:val="continue"/>
            <w:vAlign w:val="center"/>
          </w:tcPr>
          <w:p w14:paraId="1CB5B34C">
            <w:pPr>
              <w:pStyle w:val="86"/>
              <w:widowControl w:val="0"/>
              <w:spacing w:line="240" w:lineRule="auto"/>
              <w:ind w:firstLine="0" w:firstLineChars="0"/>
              <w:jc w:val="center"/>
              <w:rPr>
                <w:rFonts w:ascii="宋体" w:hAnsi="宋体"/>
                <w:szCs w:val="21"/>
              </w:rPr>
            </w:pPr>
          </w:p>
        </w:tc>
        <w:tc>
          <w:tcPr>
            <w:tcW w:w="0" w:type="auto"/>
            <w:vAlign w:val="center"/>
          </w:tcPr>
          <w:p w14:paraId="01AC36BE">
            <w:pPr>
              <w:pStyle w:val="86"/>
              <w:widowControl w:val="0"/>
              <w:spacing w:line="240" w:lineRule="auto"/>
              <w:ind w:firstLine="0" w:firstLineChars="0"/>
              <w:jc w:val="center"/>
              <w:rPr>
                <w:rFonts w:ascii="宋体" w:hAnsi="宋体"/>
                <w:szCs w:val="21"/>
              </w:rPr>
            </w:pPr>
            <w:r>
              <w:rPr>
                <w:rFonts w:ascii="宋体" w:hAnsi="宋体"/>
                <w:szCs w:val="21"/>
              </w:rPr>
              <w:t>50</w:t>
            </w:r>
          </w:p>
        </w:tc>
        <w:tc>
          <w:tcPr>
            <w:tcW w:w="0" w:type="auto"/>
            <w:vAlign w:val="center"/>
          </w:tcPr>
          <w:p w14:paraId="46BCB91E">
            <w:pPr>
              <w:pStyle w:val="86"/>
              <w:widowControl w:val="0"/>
              <w:spacing w:line="240" w:lineRule="auto"/>
              <w:ind w:firstLine="0" w:firstLineChars="0"/>
              <w:jc w:val="center"/>
              <w:rPr>
                <w:rFonts w:ascii="宋体" w:hAnsi="宋体"/>
                <w:szCs w:val="21"/>
              </w:rPr>
            </w:pPr>
            <w:r>
              <w:t>0.0164</w:t>
            </w:r>
          </w:p>
        </w:tc>
        <w:tc>
          <w:tcPr>
            <w:tcW w:w="0" w:type="auto"/>
            <w:vAlign w:val="center"/>
          </w:tcPr>
          <w:p w14:paraId="5116802D">
            <w:pPr>
              <w:pStyle w:val="86"/>
              <w:widowControl w:val="0"/>
              <w:spacing w:line="240" w:lineRule="auto"/>
              <w:ind w:firstLine="0" w:firstLineChars="0"/>
              <w:jc w:val="center"/>
              <w:rPr>
                <w:rFonts w:ascii="宋体" w:hAnsi="宋体"/>
                <w:szCs w:val="21"/>
              </w:rPr>
            </w:pPr>
            <w:r>
              <w:t>0.0112</w:t>
            </w:r>
          </w:p>
        </w:tc>
        <w:tc>
          <w:tcPr>
            <w:tcW w:w="0" w:type="auto"/>
            <w:vAlign w:val="center"/>
          </w:tcPr>
          <w:p w14:paraId="67402BBE">
            <w:pPr>
              <w:pStyle w:val="86"/>
              <w:widowControl w:val="0"/>
              <w:spacing w:line="240" w:lineRule="auto"/>
              <w:ind w:firstLine="0" w:firstLineChars="0"/>
              <w:jc w:val="center"/>
              <w:rPr>
                <w:rFonts w:ascii="宋体" w:hAnsi="宋体"/>
                <w:szCs w:val="21"/>
              </w:rPr>
            </w:pPr>
            <w:r>
              <w:rPr>
                <w:rFonts w:ascii="宋体" w:hAnsi="宋体"/>
                <w:szCs w:val="21"/>
              </w:rPr>
              <w:t>0.0066</w:t>
            </w:r>
          </w:p>
        </w:tc>
        <w:tc>
          <w:tcPr>
            <w:tcW w:w="0" w:type="auto"/>
            <w:vAlign w:val="center"/>
          </w:tcPr>
          <w:p w14:paraId="23DAF95B">
            <w:pPr>
              <w:pStyle w:val="86"/>
              <w:widowControl w:val="0"/>
              <w:spacing w:line="240" w:lineRule="auto"/>
              <w:ind w:firstLine="0" w:firstLineChars="0"/>
              <w:jc w:val="center"/>
              <w:rPr>
                <w:rFonts w:ascii="宋体" w:hAnsi="宋体"/>
                <w:szCs w:val="21"/>
              </w:rPr>
            </w:pPr>
            <w:r>
              <w:rPr>
                <w:rFonts w:hint="eastAsia" w:ascii="宋体" w:hAnsi="宋体"/>
                <w:szCs w:val="21"/>
              </w:rPr>
              <w:t>0</w:t>
            </w:r>
            <w:r>
              <w:rPr>
                <w:rFonts w:ascii="宋体" w:hAnsi="宋体"/>
                <w:szCs w:val="21"/>
              </w:rPr>
              <w:t>.0044</w:t>
            </w:r>
          </w:p>
        </w:tc>
        <w:tc>
          <w:tcPr>
            <w:tcW w:w="0" w:type="auto"/>
            <w:vAlign w:val="center"/>
          </w:tcPr>
          <w:p w14:paraId="229CF007">
            <w:pPr>
              <w:pStyle w:val="86"/>
              <w:widowControl w:val="0"/>
              <w:spacing w:line="240" w:lineRule="auto"/>
              <w:ind w:firstLine="0" w:firstLineChars="0"/>
              <w:jc w:val="center"/>
              <w:rPr>
                <w:rFonts w:ascii="宋体" w:hAnsi="宋体"/>
                <w:szCs w:val="21"/>
              </w:rPr>
            </w:pPr>
            <w:r>
              <w:rPr>
                <w:rFonts w:hint="eastAsia" w:ascii="宋体" w:hAnsi="宋体"/>
                <w:szCs w:val="21"/>
              </w:rPr>
              <w:t>/</w:t>
            </w:r>
          </w:p>
        </w:tc>
      </w:tr>
    </w:tbl>
    <w:p w14:paraId="68BF4FCD">
      <w:pPr>
        <w:pStyle w:val="86"/>
        <w:ind w:firstLine="480" w:firstLineChars="200"/>
        <w:rPr>
          <w:sz w:val="24"/>
        </w:rPr>
      </w:pPr>
    </w:p>
    <w:p w14:paraId="76861560">
      <w:pPr>
        <w:pStyle w:val="86"/>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（7）柴油发电机废气</w:t>
      </w:r>
    </w:p>
    <w:p w14:paraId="10EEF206">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w:t>
      </w:r>
      <w:r>
        <w:rPr>
          <w:rFonts w:hint="eastAsia"/>
          <w:color w:val="000000" w:themeColor="text1"/>
          <w:sz w:val="24"/>
          <w14:textFill>
            <w14:solidFill>
              <w14:schemeClr w14:val="tx1"/>
            </w14:solidFill>
          </w14:textFill>
        </w:rPr>
        <w:t>各养殖场区均</w:t>
      </w:r>
      <w:r>
        <w:rPr>
          <w:color w:val="000000" w:themeColor="text1"/>
          <w:sz w:val="24"/>
          <w14:textFill>
            <w14:solidFill>
              <w14:schemeClr w14:val="tx1"/>
            </w14:solidFill>
          </w14:textFill>
        </w:rPr>
        <w:t>设置1个柴油发电机房，发电机自带消烟除尘系统，功率均为500kW。发电机位于独立房间内，仅停电时作为消防设备和重要设备的备用电源。</w:t>
      </w:r>
    </w:p>
    <w:p w14:paraId="39C78441">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拟在柴油发电机房和储油间发电机房采用机械送、排风的形式，发电机房内保持着良好的通风性，柴油发电机产生的废气先由自身携带的废气净化装置处理，处理后的废气经独立的机械通风系统引至楼顶排放。柴油发电机使用频率较低，只要严格按要求操作，控制好燃烧状况，燃烧废气中的主要污染物 NOx、SO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的最高排放浓度均可得到有效控制。因此，备用柴油发电机废气对外环境影响不明显，对环境空气质量影响较小。</w:t>
      </w:r>
    </w:p>
    <w:p w14:paraId="362994AB">
      <w:pPr>
        <w:pStyle w:val="86"/>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（8）运输恶臭及尾气</w:t>
      </w:r>
    </w:p>
    <w:p w14:paraId="0B970049">
      <w:pPr>
        <w:pStyle w:val="86"/>
        <w:ind w:firstLine="480" w:firstLineChars="200"/>
        <w:rPr>
          <w:sz w:val="24"/>
        </w:rPr>
      </w:pPr>
      <w:r>
        <w:rPr>
          <w:sz w:val="24"/>
        </w:rPr>
        <w:t>根据类比调查，</w:t>
      </w:r>
      <w:r>
        <w:rPr>
          <w:kern w:val="0"/>
          <w:sz w:val="24"/>
          <w:lang w:bidi="ar"/>
        </w:rPr>
        <w:t>肉牛运输及发酵床垫料</w:t>
      </w:r>
      <w:r>
        <w:rPr>
          <w:rFonts w:hint="eastAsia"/>
          <w:kern w:val="0"/>
          <w:sz w:val="24"/>
          <w:lang w:bidi="ar"/>
        </w:rPr>
        <w:t>外运过程中</w:t>
      </w:r>
      <w:r>
        <w:rPr>
          <w:sz w:val="24"/>
        </w:rPr>
        <w:t>牛粪便、尿液等会散发出恶臭</w:t>
      </w:r>
      <w:r>
        <w:rPr>
          <w:kern w:val="0"/>
          <w:sz w:val="24"/>
          <w:lang w:bidi="ar"/>
        </w:rPr>
        <w:t>，其主要恶臭污染物为NH</w:t>
      </w:r>
      <w:r>
        <w:rPr>
          <w:kern w:val="0"/>
          <w:sz w:val="24"/>
          <w:vertAlign w:val="subscript"/>
          <w:lang w:bidi="ar"/>
        </w:rPr>
        <w:t>3</w:t>
      </w:r>
      <w:r>
        <w:rPr>
          <w:kern w:val="0"/>
          <w:sz w:val="24"/>
          <w:lang w:bidi="ar"/>
        </w:rPr>
        <w:t>、H</w:t>
      </w:r>
      <w:r>
        <w:rPr>
          <w:kern w:val="0"/>
          <w:sz w:val="24"/>
          <w:vertAlign w:val="subscript"/>
          <w:lang w:bidi="ar"/>
        </w:rPr>
        <w:t>2</w:t>
      </w:r>
      <w:r>
        <w:rPr>
          <w:kern w:val="0"/>
          <w:sz w:val="24"/>
          <w:lang w:bidi="ar"/>
        </w:rPr>
        <w:t>S等。目前</w:t>
      </w:r>
      <w:r>
        <w:rPr>
          <w:sz w:val="24"/>
        </w:rPr>
        <w:t>运输路线为利用现有乡村道路，运输沿线有一定量的居民，运输过程中会散发出恶臭，会对现有乡村道路沿线的环境产生短暂的恶臭污染，待运输车辆远离后影响随即消除。车辆运输产生的汽车尾气主要成分为：CO、CO</w:t>
      </w:r>
      <w:r>
        <w:rPr>
          <w:sz w:val="24"/>
          <w:vertAlign w:val="subscript"/>
        </w:rPr>
        <w:t>2</w:t>
      </w:r>
      <w:r>
        <w:rPr>
          <w:sz w:val="24"/>
        </w:rPr>
        <w:t>和NO</w:t>
      </w:r>
      <w:r>
        <w:rPr>
          <w:sz w:val="24"/>
          <w:vertAlign w:val="subscript"/>
        </w:rPr>
        <w:t>x</w:t>
      </w:r>
      <w:r>
        <w:rPr>
          <w:sz w:val="24"/>
        </w:rPr>
        <w:t>，经过扩散对沿线敏感点影响较小。</w:t>
      </w:r>
    </w:p>
    <w:p w14:paraId="3DED32D4">
      <w:pPr>
        <w:spacing w:line="360" w:lineRule="auto"/>
        <w:ind w:firstLine="480" w:firstLineChars="200"/>
        <w:jc w:val="both"/>
        <w:rPr>
          <w:sz w:val="24"/>
        </w:rPr>
      </w:pPr>
      <w:r>
        <w:rPr>
          <w:sz w:val="24"/>
        </w:rPr>
        <w:t>环评要求建设单位运输</w:t>
      </w:r>
      <w:r>
        <w:rPr>
          <w:rFonts w:hint="eastAsia"/>
          <w:sz w:val="24"/>
        </w:rPr>
        <w:t>场床</w:t>
      </w:r>
      <w:r>
        <w:rPr>
          <w:sz w:val="24"/>
        </w:rPr>
        <w:t>废弃垫料必须采取密闭车辆运输，需加强与运输沿线居民的沟通，及时对运输车辆进行维护保养，避免撒漏，降低对周边居民的影响。发酵床废弃垫料通过乡村道路运输，途经住户少，对周围居民影响较小。</w:t>
      </w:r>
    </w:p>
    <w:p w14:paraId="53C88F81">
      <w:pPr>
        <w:pStyle w:val="86"/>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（5）废气产生及排放情况汇总</w:t>
      </w:r>
    </w:p>
    <w:p w14:paraId="0857CDE8">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综上所述，养殖场牛舍恶臭为无组织排放，发生非正常排放的可能较小，非正常排放情况为</w:t>
      </w:r>
      <w:r>
        <w:rPr>
          <w:rFonts w:hint="eastAsia"/>
          <w:color w:val="000000" w:themeColor="text1"/>
          <w:sz w:val="24"/>
          <w14:textFill>
            <w14:solidFill>
              <w14:schemeClr w14:val="tx1"/>
            </w14:solidFill>
          </w14:textFill>
        </w:rPr>
        <w:t>牛舍除臭等治理措施失效</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污染</w:t>
      </w:r>
      <w:r>
        <w:rPr>
          <w:color w:val="000000" w:themeColor="text1"/>
          <w:sz w:val="24"/>
          <w14:textFill>
            <w14:solidFill>
              <w14:schemeClr w14:val="tx1"/>
            </w14:solidFill>
          </w14:textFill>
        </w:rPr>
        <w:t>处理效率为0时，产生的恶臭气体直接排放。</w:t>
      </w:r>
      <w:r>
        <w:rPr>
          <w:rFonts w:hint="eastAsia"/>
          <w:color w:val="000000" w:themeColor="text1"/>
          <w:sz w:val="24"/>
          <w14:textFill>
            <w14:solidFill>
              <w14:schemeClr w14:val="tx1"/>
            </w14:solidFill>
          </w14:textFill>
        </w:rPr>
        <w:t>精</w:t>
      </w:r>
      <w:r>
        <w:rPr>
          <w:color w:val="000000" w:themeColor="text1"/>
          <w:sz w:val="24"/>
          <w14:textFill>
            <w14:solidFill>
              <w14:schemeClr w14:val="tx1"/>
            </w14:solidFill>
          </w14:textFill>
        </w:rPr>
        <w:t>饲料加工过程布袋除尘器故障，除尘效率为0时，导致的事故排放。</w:t>
      </w:r>
    </w:p>
    <w:bookmarkEnd w:id="433"/>
    <w:p w14:paraId="391EBDA3">
      <w:pPr>
        <w:pStyle w:val="1771"/>
        <w:spacing w:line="360" w:lineRule="auto"/>
        <w:jc w:val="both"/>
        <w:rPr>
          <w:snapToGrid w:val="0"/>
          <w:color w:val="000000" w:themeColor="text1"/>
          <w:szCs w:val="21"/>
          <w:lang w:val="en-US"/>
          <w14:textFill>
            <w14:solidFill>
              <w14:schemeClr w14:val="tx1"/>
            </w14:solidFill>
          </w14:textFill>
        </w:rPr>
      </w:pPr>
      <w:r>
        <w:rPr>
          <w:color w:val="000000" w:themeColor="text1"/>
          <w:sz w:val="24"/>
          <w:lang w:val="en-US"/>
          <w14:textFill>
            <w14:solidFill>
              <w14:schemeClr w14:val="tx1"/>
            </w14:solidFill>
          </w14:textFill>
        </w:rPr>
        <w:t>3.10.4.3噪声产生、排放及治理措施</w:t>
      </w:r>
    </w:p>
    <w:p w14:paraId="1F325085">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本项目运营期噪声主要来自于除尘风机、柴油发电机、饲料加工相关设备噪声，牛叫声产生的噪声以及进出车辆噪声等。</w:t>
      </w:r>
    </w:p>
    <w:p w14:paraId="6B5DFB2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项目营运期间噪声主要来源于风机、饲料加工设备等。根据类比调查，其源强为75-80dB(A)，工程主要噪声设施源强情况见表。</w:t>
      </w:r>
    </w:p>
    <w:p w14:paraId="0F78879F">
      <w:pPr>
        <w:adjustRightInd w:val="0"/>
        <w:snapToGrid w:val="0"/>
        <w:spacing w:line="360" w:lineRule="auto"/>
        <w:ind w:firstLine="422" w:firstLineChars="200"/>
        <w:jc w:val="center"/>
        <w:rPr>
          <w:color w:val="000000" w:themeColor="text1"/>
          <w14:textFill>
            <w14:solidFill>
              <w14:schemeClr w14:val="tx1"/>
            </w14:solidFill>
          </w14:textFill>
        </w:rPr>
      </w:pPr>
      <w:r>
        <w:rPr>
          <w:b/>
          <w:bCs/>
          <w:color w:val="000000" w:themeColor="text1"/>
          <w14:textFill>
            <w14:solidFill>
              <w14:schemeClr w14:val="tx1"/>
            </w14:solidFill>
          </w14:textFill>
        </w:rPr>
        <w:t>表3.10-14项目主要噪声</w:t>
      </w:r>
      <w:r>
        <w:rPr>
          <w:rFonts w:hint="eastAsia"/>
          <w:b/>
          <w:bCs/>
          <w:color w:val="000000" w:themeColor="text1"/>
          <w14:textFill>
            <w14:solidFill>
              <w14:schemeClr w14:val="tx1"/>
            </w14:solidFill>
          </w14:textFill>
        </w:rPr>
        <w:t>污染</w:t>
      </w:r>
      <w:r>
        <w:rPr>
          <w:b/>
          <w:bCs/>
          <w:color w:val="000000" w:themeColor="text1"/>
          <w14:textFill>
            <w14:solidFill>
              <w14:schemeClr w14:val="tx1"/>
            </w14:solidFill>
          </w14:textFill>
        </w:rPr>
        <w:t>源</w:t>
      </w:r>
      <w:r>
        <w:rPr>
          <w:rFonts w:hint="eastAsia"/>
          <w:b/>
          <w:bCs/>
          <w:color w:val="000000" w:themeColor="text1"/>
          <w14:textFill>
            <w14:solidFill>
              <w14:schemeClr w14:val="tx1"/>
            </w14:solidFill>
          </w14:textFill>
        </w:rPr>
        <w:t>源强及相关参数</w:t>
      </w:r>
      <w:r>
        <w:rPr>
          <w:b/>
          <w:bCs/>
          <w:color w:val="000000" w:themeColor="text1"/>
          <w14:textFill>
            <w14:solidFill>
              <w14:schemeClr w14:val="tx1"/>
            </w14:solidFill>
          </w14:textFill>
        </w:rPr>
        <w:t>一览表</w:t>
      </w:r>
    </w:p>
    <w:tbl>
      <w:tblPr>
        <w:tblStyle w:val="1745"/>
        <w:tblW w:w="5000" w:type="pct"/>
        <w:tblInd w:w="0"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autofit"/>
        <w:tblCellMar>
          <w:top w:w="0" w:type="dxa"/>
          <w:left w:w="0" w:type="dxa"/>
          <w:bottom w:w="0" w:type="dxa"/>
          <w:right w:w="0" w:type="dxa"/>
        </w:tblCellMar>
      </w:tblPr>
      <w:tblGrid>
        <w:gridCol w:w="781"/>
        <w:gridCol w:w="1486"/>
        <w:gridCol w:w="640"/>
        <w:gridCol w:w="1164"/>
        <w:gridCol w:w="1167"/>
        <w:gridCol w:w="1026"/>
        <w:gridCol w:w="1024"/>
        <w:gridCol w:w="1025"/>
      </w:tblGrid>
      <w:tr w14:paraId="6095AEF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22" w:hRule="atLeast"/>
        </w:trPr>
        <w:tc>
          <w:tcPr>
            <w:tcW w:w="1364" w:type="pct"/>
            <w:gridSpan w:val="2"/>
            <w:vMerge w:val="restart"/>
            <w:tcBorders>
              <w:tl2br w:val="nil"/>
              <w:tr2bl w:val="nil"/>
            </w:tcBorders>
            <w:vAlign w:val="center"/>
          </w:tcPr>
          <w:p w14:paraId="1DF795D6">
            <w:pPr>
              <w:widowControl/>
              <w:autoSpaceDE/>
              <w:autoSpaceDN/>
              <w:jc w:val="center"/>
              <w:rPr>
                <w:rFonts w:ascii="宋体" w:hAnsi="宋体" w:eastAsia="宋体"/>
                <w:szCs w:val="21"/>
                <w:lang w:eastAsia="en-US"/>
              </w:rPr>
            </w:pPr>
            <w:r>
              <w:rPr>
                <w:rFonts w:ascii="宋体" w:hAnsi="宋体" w:eastAsia="宋体"/>
                <w:b/>
                <w:bCs/>
                <w:spacing w:val="2"/>
                <w:szCs w:val="21"/>
                <w:lang w:eastAsia="en-US"/>
              </w:rPr>
              <w:t>噪声源</w:t>
            </w:r>
          </w:p>
        </w:tc>
        <w:tc>
          <w:tcPr>
            <w:tcW w:w="385" w:type="pct"/>
            <w:vMerge w:val="restart"/>
            <w:tcBorders>
              <w:tl2br w:val="nil"/>
              <w:tr2bl w:val="nil"/>
            </w:tcBorders>
            <w:vAlign w:val="center"/>
          </w:tcPr>
          <w:p w14:paraId="3E3BF9A0">
            <w:pPr>
              <w:widowControl/>
              <w:autoSpaceDE/>
              <w:autoSpaceDN/>
              <w:jc w:val="center"/>
              <w:rPr>
                <w:rFonts w:ascii="宋体" w:hAnsi="宋体" w:eastAsia="宋体"/>
                <w:szCs w:val="21"/>
                <w:lang w:eastAsia="en-US"/>
              </w:rPr>
            </w:pPr>
            <w:r>
              <w:rPr>
                <w:rFonts w:ascii="宋体" w:hAnsi="宋体" w:eastAsia="宋体"/>
                <w:b/>
                <w:bCs/>
                <w:spacing w:val="5"/>
                <w:szCs w:val="21"/>
                <w:lang w:eastAsia="en-US"/>
              </w:rPr>
              <w:t>声源类型</w:t>
            </w:r>
          </w:p>
        </w:tc>
        <w:tc>
          <w:tcPr>
            <w:tcW w:w="1402" w:type="pct"/>
            <w:gridSpan w:val="2"/>
            <w:tcBorders>
              <w:tl2br w:val="nil"/>
              <w:tr2bl w:val="nil"/>
            </w:tcBorders>
            <w:vAlign w:val="center"/>
          </w:tcPr>
          <w:p w14:paraId="1DE44286">
            <w:pPr>
              <w:widowControl/>
              <w:autoSpaceDE/>
              <w:autoSpaceDN/>
              <w:jc w:val="center"/>
              <w:rPr>
                <w:rFonts w:ascii="宋体" w:hAnsi="宋体" w:eastAsia="宋体"/>
                <w:szCs w:val="21"/>
                <w:lang w:eastAsia="en-US"/>
              </w:rPr>
            </w:pPr>
            <w:r>
              <w:rPr>
                <w:rFonts w:ascii="宋体" w:hAnsi="宋体" w:eastAsia="宋体"/>
                <w:b/>
                <w:bCs/>
                <w:spacing w:val="3"/>
                <w:szCs w:val="21"/>
                <w:lang w:eastAsia="en-US"/>
              </w:rPr>
              <w:t>噪声</w:t>
            </w:r>
            <w:r>
              <w:rPr>
                <w:rFonts w:hint="eastAsia" w:ascii="宋体" w:hAnsi="宋体" w:eastAsia="宋体"/>
                <w:b/>
                <w:bCs/>
                <w:spacing w:val="3"/>
                <w:szCs w:val="21"/>
                <w:lang w:eastAsia="zh-CN"/>
              </w:rPr>
              <w:t>源强</w:t>
            </w:r>
          </w:p>
        </w:tc>
        <w:tc>
          <w:tcPr>
            <w:tcW w:w="1233" w:type="pct"/>
            <w:gridSpan w:val="2"/>
            <w:tcBorders>
              <w:tl2br w:val="nil"/>
              <w:tr2bl w:val="nil"/>
            </w:tcBorders>
            <w:vAlign w:val="center"/>
          </w:tcPr>
          <w:p w14:paraId="40C2EE49">
            <w:pPr>
              <w:widowControl w:val="0"/>
              <w:autoSpaceDE w:val="0"/>
              <w:autoSpaceDN w:val="0"/>
              <w:jc w:val="center"/>
              <w:rPr>
                <w:rFonts w:ascii="宋体" w:hAnsi="宋体" w:eastAsia="宋体"/>
                <w:b/>
                <w:bCs/>
                <w:spacing w:val="4"/>
                <w:szCs w:val="21"/>
                <w:lang w:eastAsia="en-US"/>
              </w:rPr>
            </w:pPr>
            <w:r>
              <w:rPr>
                <w:rFonts w:ascii="宋体" w:hAnsi="宋体" w:eastAsia="宋体"/>
                <w:b/>
                <w:bCs/>
                <w:spacing w:val="4"/>
                <w:szCs w:val="21"/>
                <w:lang w:eastAsia="en-US"/>
              </w:rPr>
              <w:t>降噪措施</w:t>
            </w:r>
          </w:p>
        </w:tc>
        <w:tc>
          <w:tcPr>
            <w:tcW w:w="616" w:type="pct"/>
            <w:vMerge w:val="restart"/>
            <w:tcBorders>
              <w:tl2br w:val="nil"/>
              <w:tr2bl w:val="nil"/>
            </w:tcBorders>
            <w:vAlign w:val="center"/>
          </w:tcPr>
          <w:p w14:paraId="0F919F37">
            <w:pPr>
              <w:widowControl/>
              <w:autoSpaceDE/>
              <w:autoSpaceDN/>
              <w:jc w:val="center"/>
              <w:rPr>
                <w:rFonts w:ascii="宋体" w:hAnsi="宋体" w:eastAsia="宋体"/>
                <w:szCs w:val="21"/>
                <w:lang w:eastAsia="en-US"/>
              </w:rPr>
            </w:pPr>
            <w:r>
              <w:rPr>
                <w:rFonts w:ascii="宋体" w:hAnsi="宋体" w:eastAsia="宋体"/>
                <w:b/>
                <w:bCs/>
                <w:spacing w:val="4"/>
                <w:szCs w:val="21"/>
                <w:lang w:eastAsia="en-US"/>
              </w:rPr>
              <w:t>噪声排放量</w:t>
            </w:r>
            <w:r>
              <w:rPr>
                <w:rFonts w:ascii="宋体" w:hAnsi="宋体" w:eastAsia="宋体"/>
                <w:spacing w:val="-31"/>
                <w:szCs w:val="21"/>
                <w:lang w:eastAsia="en-US"/>
              </w:rPr>
              <w:t xml:space="preserve"> </w:t>
            </w:r>
            <w:r>
              <w:rPr>
                <w:rFonts w:ascii="宋体" w:hAnsi="宋体" w:eastAsia="宋体"/>
                <w:b/>
                <w:bCs/>
                <w:szCs w:val="21"/>
                <w:lang w:eastAsia="en-US"/>
              </w:rPr>
              <w:t>dB</w:t>
            </w:r>
            <w:r>
              <w:rPr>
                <w:rFonts w:ascii="宋体" w:hAnsi="宋体" w:eastAsia="宋体"/>
                <w:b/>
                <w:bCs/>
                <w:spacing w:val="4"/>
                <w:szCs w:val="21"/>
                <w:lang w:eastAsia="en-US"/>
              </w:rPr>
              <w:t>(A)</w:t>
            </w:r>
          </w:p>
        </w:tc>
      </w:tr>
      <w:tr w14:paraId="5FA22B0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21" w:hRule="atLeast"/>
        </w:trPr>
        <w:tc>
          <w:tcPr>
            <w:tcW w:w="1364" w:type="pct"/>
            <w:gridSpan w:val="2"/>
            <w:vMerge w:val="continue"/>
            <w:tcBorders>
              <w:tl2br w:val="nil"/>
              <w:tr2bl w:val="nil"/>
            </w:tcBorders>
            <w:vAlign w:val="center"/>
          </w:tcPr>
          <w:p w14:paraId="1E272600">
            <w:pPr>
              <w:widowControl w:val="0"/>
              <w:autoSpaceDE w:val="0"/>
              <w:autoSpaceDN w:val="0"/>
              <w:jc w:val="center"/>
              <w:rPr>
                <w:rFonts w:ascii="宋体" w:hAnsi="宋体" w:eastAsia="宋体"/>
                <w:b/>
                <w:bCs/>
                <w:spacing w:val="2"/>
                <w:szCs w:val="21"/>
                <w:lang w:eastAsia="en-US"/>
              </w:rPr>
            </w:pPr>
          </w:p>
        </w:tc>
        <w:tc>
          <w:tcPr>
            <w:tcW w:w="385" w:type="pct"/>
            <w:vMerge w:val="continue"/>
            <w:tcBorders>
              <w:tl2br w:val="nil"/>
              <w:tr2bl w:val="nil"/>
            </w:tcBorders>
            <w:vAlign w:val="center"/>
          </w:tcPr>
          <w:p w14:paraId="5EE99CD3">
            <w:pPr>
              <w:widowControl w:val="0"/>
              <w:autoSpaceDE w:val="0"/>
              <w:autoSpaceDN w:val="0"/>
              <w:jc w:val="center"/>
              <w:rPr>
                <w:rFonts w:ascii="宋体" w:hAnsi="宋体" w:eastAsia="宋体"/>
                <w:b/>
                <w:bCs/>
                <w:spacing w:val="5"/>
                <w:szCs w:val="21"/>
                <w:lang w:eastAsia="en-US"/>
              </w:rPr>
            </w:pPr>
          </w:p>
        </w:tc>
        <w:tc>
          <w:tcPr>
            <w:tcW w:w="700" w:type="pct"/>
            <w:tcBorders>
              <w:tl2br w:val="nil"/>
              <w:tr2bl w:val="nil"/>
            </w:tcBorders>
            <w:vAlign w:val="center"/>
          </w:tcPr>
          <w:p w14:paraId="1A6C41CF">
            <w:pPr>
              <w:widowControl/>
              <w:autoSpaceDE/>
              <w:autoSpaceDN/>
              <w:jc w:val="center"/>
              <w:rPr>
                <w:rFonts w:ascii="宋体" w:hAnsi="宋体" w:eastAsia="宋体"/>
                <w:b/>
                <w:bCs/>
                <w:spacing w:val="3"/>
                <w:szCs w:val="21"/>
                <w:lang w:eastAsia="en-US"/>
              </w:rPr>
            </w:pPr>
            <w:r>
              <w:rPr>
                <w:rFonts w:hint="eastAsia" w:ascii="宋体" w:hAnsi="宋体" w:eastAsia="宋体"/>
                <w:b/>
                <w:bCs/>
                <w:spacing w:val="5"/>
                <w:szCs w:val="21"/>
                <w:lang w:eastAsia="en-US"/>
              </w:rPr>
              <w:t>核算方法</w:t>
            </w:r>
          </w:p>
        </w:tc>
        <w:tc>
          <w:tcPr>
            <w:tcW w:w="702" w:type="pct"/>
            <w:tcBorders>
              <w:tl2br w:val="nil"/>
              <w:tr2bl w:val="nil"/>
            </w:tcBorders>
            <w:vAlign w:val="center"/>
          </w:tcPr>
          <w:p w14:paraId="433227CA">
            <w:pPr>
              <w:widowControl w:val="0"/>
              <w:autoSpaceDE w:val="0"/>
              <w:autoSpaceDN w:val="0"/>
              <w:jc w:val="center"/>
              <w:rPr>
                <w:rFonts w:ascii="宋体" w:hAnsi="宋体" w:eastAsia="宋体"/>
                <w:b/>
                <w:bCs/>
                <w:spacing w:val="3"/>
                <w:szCs w:val="21"/>
                <w:lang w:eastAsia="en-US"/>
              </w:rPr>
            </w:pPr>
            <w:r>
              <w:rPr>
                <w:rFonts w:hint="eastAsia" w:ascii="宋体" w:hAnsi="宋体" w:eastAsia="宋体"/>
                <w:b/>
                <w:bCs/>
                <w:szCs w:val="21"/>
                <w:lang w:eastAsia="zh-CN"/>
              </w:rPr>
              <w:t>声源值[</w:t>
            </w:r>
            <w:r>
              <w:rPr>
                <w:rFonts w:ascii="宋体" w:hAnsi="宋体" w:eastAsia="宋体"/>
                <w:b/>
                <w:bCs/>
                <w:szCs w:val="21"/>
                <w:lang w:eastAsia="en-US"/>
              </w:rPr>
              <w:t>dB</w:t>
            </w:r>
            <w:r>
              <w:rPr>
                <w:rFonts w:ascii="宋体" w:hAnsi="宋体" w:eastAsia="宋体"/>
                <w:b/>
                <w:bCs/>
                <w:spacing w:val="3"/>
                <w:szCs w:val="21"/>
                <w:lang w:eastAsia="en-US"/>
              </w:rPr>
              <w:t>(A)]</w:t>
            </w:r>
          </w:p>
        </w:tc>
        <w:tc>
          <w:tcPr>
            <w:tcW w:w="617" w:type="pct"/>
            <w:tcBorders>
              <w:tl2br w:val="nil"/>
              <w:tr2bl w:val="nil"/>
            </w:tcBorders>
            <w:vAlign w:val="center"/>
          </w:tcPr>
          <w:p w14:paraId="21BC7C00">
            <w:pPr>
              <w:widowControl w:val="0"/>
              <w:autoSpaceDE w:val="0"/>
              <w:autoSpaceDN w:val="0"/>
              <w:jc w:val="center"/>
              <w:rPr>
                <w:rFonts w:ascii="宋体" w:hAnsi="宋体" w:eastAsia="宋体"/>
                <w:b/>
                <w:bCs/>
                <w:spacing w:val="4"/>
                <w:szCs w:val="21"/>
                <w:lang w:eastAsia="en-US"/>
              </w:rPr>
            </w:pPr>
            <w:r>
              <w:rPr>
                <w:rFonts w:ascii="宋体" w:hAnsi="宋体" w:eastAsia="宋体"/>
                <w:b/>
                <w:bCs/>
                <w:spacing w:val="4"/>
                <w:szCs w:val="21"/>
                <w:lang w:eastAsia="en-US"/>
              </w:rPr>
              <w:t>工艺</w:t>
            </w:r>
          </w:p>
        </w:tc>
        <w:tc>
          <w:tcPr>
            <w:tcW w:w="616" w:type="pct"/>
            <w:tcBorders>
              <w:tl2br w:val="nil"/>
              <w:tr2bl w:val="nil"/>
            </w:tcBorders>
            <w:vAlign w:val="center"/>
          </w:tcPr>
          <w:p w14:paraId="67E35DB6">
            <w:pPr>
              <w:widowControl w:val="0"/>
              <w:autoSpaceDE w:val="0"/>
              <w:autoSpaceDN w:val="0"/>
              <w:jc w:val="center"/>
              <w:rPr>
                <w:rFonts w:ascii="宋体" w:hAnsi="宋体" w:eastAsia="宋体"/>
                <w:b/>
                <w:bCs/>
                <w:spacing w:val="4"/>
                <w:szCs w:val="21"/>
                <w:lang w:eastAsia="en-US"/>
              </w:rPr>
            </w:pPr>
            <w:r>
              <w:rPr>
                <w:rFonts w:ascii="宋体" w:hAnsi="宋体" w:eastAsia="宋体"/>
                <w:b/>
                <w:bCs/>
                <w:spacing w:val="4"/>
                <w:szCs w:val="21"/>
                <w:lang w:eastAsia="en-US"/>
              </w:rPr>
              <w:t>降噪效果</w:t>
            </w:r>
          </w:p>
          <w:p w14:paraId="4F8C3A72">
            <w:pPr>
              <w:widowControl w:val="0"/>
              <w:autoSpaceDE w:val="0"/>
              <w:autoSpaceDN w:val="0"/>
              <w:jc w:val="center"/>
              <w:rPr>
                <w:rFonts w:ascii="宋体" w:hAnsi="宋体" w:eastAsia="宋体"/>
                <w:b/>
                <w:bCs/>
                <w:spacing w:val="4"/>
                <w:szCs w:val="21"/>
                <w:lang w:eastAsia="en-US"/>
              </w:rPr>
            </w:pPr>
            <w:r>
              <w:rPr>
                <w:rFonts w:hint="eastAsia" w:ascii="宋体" w:hAnsi="宋体" w:eastAsia="宋体"/>
                <w:b/>
                <w:bCs/>
                <w:szCs w:val="21"/>
                <w:lang w:eastAsia="zh-CN"/>
              </w:rPr>
              <w:t>[</w:t>
            </w:r>
            <w:r>
              <w:rPr>
                <w:rFonts w:ascii="宋体" w:hAnsi="宋体" w:eastAsia="宋体"/>
                <w:b/>
                <w:bCs/>
                <w:szCs w:val="21"/>
                <w:lang w:eastAsia="en-US"/>
              </w:rPr>
              <w:t>dB</w:t>
            </w:r>
            <w:r>
              <w:rPr>
                <w:rFonts w:ascii="宋体" w:hAnsi="宋体" w:eastAsia="宋体"/>
                <w:b/>
                <w:bCs/>
                <w:spacing w:val="3"/>
                <w:szCs w:val="21"/>
                <w:lang w:eastAsia="en-US"/>
              </w:rPr>
              <w:t>(A)]</w:t>
            </w:r>
          </w:p>
        </w:tc>
        <w:tc>
          <w:tcPr>
            <w:tcW w:w="616" w:type="pct"/>
            <w:vMerge w:val="continue"/>
            <w:tcBorders>
              <w:tl2br w:val="nil"/>
              <w:tr2bl w:val="nil"/>
            </w:tcBorders>
            <w:vAlign w:val="center"/>
          </w:tcPr>
          <w:p w14:paraId="41406CFE">
            <w:pPr>
              <w:widowControl w:val="0"/>
              <w:autoSpaceDE w:val="0"/>
              <w:autoSpaceDN w:val="0"/>
              <w:jc w:val="center"/>
              <w:rPr>
                <w:rFonts w:ascii="宋体" w:hAnsi="宋体" w:eastAsia="宋体"/>
                <w:b/>
                <w:bCs/>
                <w:spacing w:val="4"/>
                <w:szCs w:val="21"/>
                <w:lang w:eastAsia="en-US"/>
              </w:rPr>
            </w:pPr>
          </w:p>
        </w:tc>
      </w:tr>
      <w:tr w14:paraId="657C9A8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70" w:type="pct"/>
            <w:tcBorders>
              <w:tl2br w:val="nil"/>
              <w:tr2bl w:val="nil"/>
            </w:tcBorders>
            <w:vAlign w:val="center"/>
          </w:tcPr>
          <w:p w14:paraId="6966E79D">
            <w:pPr>
              <w:widowControl/>
              <w:autoSpaceDE/>
              <w:autoSpaceDN/>
              <w:jc w:val="center"/>
              <w:rPr>
                <w:rFonts w:ascii="宋体" w:hAnsi="宋体" w:eastAsia="宋体"/>
                <w:spacing w:val="6"/>
                <w:szCs w:val="21"/>
                <w:lang w:eastAsia="en-US"/>
              </w:rPr>
            </w:pPr>
            <w:r>
              <w:rPr>
                <w:rFonts w:ascii="宋体" w:hAnsi="宋体" w:eastAsia="宋体"/>
                <w:spacing w:val="6"/>
                <w:szCs w:val="21"/>
                <w:lang w:eastAsia="en-US"/>
              </w:rPr>
              <w:t>养殖区</w:t>
            </w:r>
          </w:p>
        </w:tc>
        <w:tc>
          <w:tcPr>
            <w:tcW w:w="894" w:type="pct"/>
            <w:tcBorders>
              <w:tl2br w:val="nil"/>
              <w:tr2bl w:val="nil"/>
            </w:tcBorders>
            <w:vAlign w:val="center"/>
          </w:tcPr>
          <w:p w14:paraId="2BD06BB8">
            <w:pPr>
              <w:widowControl/>
              <w:autoSpaceDE/>
              <w:autoSpaceDN/>
              <w:jc w:val="center"/>
              <w:rPr>
                <w:rFonts w:ascii="宋体" w:hAnsi="宋体" w:eastAsia="宋体"/>
                <w:color w:val="FF0000"/>
                <w:spacing w:val="5"/>
                <w:szCs w:val="21"/>
                <w:lang w:eastAsia="en-US"/>
              </w:rPr>
            </w:pPr>
            <w:r>
              <w:rPr>
                <w:rFonts w:ascii="宋体" w:hAnsi="宋体" w:eastAsia="宋体"/>
                <w:color w:val="FF0000"/>
                <w:spacing w:val="5"/>
                <w:szCs w:val="21"/>
                <w:lang w:eastAsia="zh-CN"/>
              </w:rPr>
              <w:t>牛叫</w:t>
            </w:r>
          </w:p>
        </w:tc>
        <w:tc>
          <w:tcPr>
            <w:tcW w:w="385" w:type="pct"/>
            <w:tcBorders>
              <w:tl2br w:val="nil"/>
              <w:tr2bl w:val="nil"/>
            </w:tcBorders>
            <w:vAlign w:val="center"/>
          </w:tcPr>
          <w:p w14:paraId="75C14B15">
            <w:pPr>
              <w:widowControl/>
              <w:autoSpaceDE/>
              <w:autoSpaceDN/>
              <w:jc w:val="center"/>
              <w:rPr>
                <w:rFonts w:ascii="宋体" w:hAnsi="宋体" w:eastAsia="宋体"/>
                <w:szCs w:val="21"/>
                <w:lang w:eastAsia="en-US"/>
              </w:rPr>
            </w:pPr>
            <w:r>
              <w:rPr>
                <w:rFonts w:ascii="宋体" w:hAnsi="宋体" w:eastAsia="宋体"/>
                <w:szCs w:val="21"/>
                <w:lang w:eastAsia="en-US"/>
              </w:rPr>
              <w:t>频发</w:t>
            </w:r>
          </w:p>
        </w:tc>
        <w:tc>
          <w:tcPr>
            <w:tcW w:w="700" w:type="pct"/>
            <w:tcBorders>
              <w:tl2br w:val="nil"/>
              <w:tr2bl w:val="nil"/>
            </w:tcBorders>
            <w:vAlign w:val="center"/>
          </w:tcPr>
          <w:p w14:paraId="6840B99D">
            <w:pPr>
              <w:widowControl/>
              <w:autoSpaceDE/>
              <w:autoSpaceDN/>
              <w:jc w:val="center"/>
              <w:rPr>
                <w:rFonts w:ascii="宋体" w:hAnsi="宋体" w:eastAsia="宋体"/>
                <w:spacing w:val="2"/>
                <w:szCs w:val="21"/>
                <w:lang w:eastAsia="en-US"/>
              </w:rPr>
            </w:pPr>
            <w:r>
              <w:rPr>
                <w:rFonts w:hint="eastAsia" w:ascii="宋体" w:hAnsi="宋体" w:eastAsia="宋体"/>
                <w:szCs w:val="21"/>
                <w:lang w:eastAsia="en-US"/>
              </w:rPr>
              <w:t>类比法</w:t>
            </w:r>
          </w:p>
        </w:tc>
        <w:tc>
          <w:tcPr>
            <w:tcW w:w="702" w:type="pct"/>
            <w:tcBorders>
              <w:tl2br w:val="nil"/>
              <w:tr2bl w:val="nil"/>
            </w:tcBorders>
            <w:vAlign w:val="center"/>
          </w:tcPr>
          <w:p w14:paraId="136A4B49">
            <w:pPr>
              <w:widowControl/>
              <w:autoSpaceDE/>
              <w:autoSpaceDN/>
              <w:jc w:val="center"/>
              <w:rPr>
                <w:rFonts w:ascii="宋体" w:hAnsi="宋体" w:eastAsia="宋体"/>
                <w:spacing w:val="2"/>
                <w:szCs w:val="21"/>
                <w:lang w:eastAsia="en-US"/>
              </w:rPr>
            </w:pPr>
            <w:r>
              <w:rPr>
                <w:rFonts w:ascii="宋体" w:hAnsi="宋体" w:eastAsia="宋体"/>
                <w:spacing w:val="2"/>
                <w:szCs w:val="21"/>
                <w:lang w:eastAsia="en-US"/>
              </w:rPr>
              <w:t>70</w:t>
            </w:r>
          </w:p>
        </w:tc>
        <w:tc>
          <w:tcPr>
            <w:tcW w:w="617" w:type="pct"/>
            <w:tcBorders>
              <w:tl2br w:val="nil"/>
              <w:tr2bl w:val="nil"/>
            </w:tcBorders>
            <w:vAlign w:val="center"/>
          </w:tcPr>
          <w:p w14:paraId="7B4D2C2D">
            <w:pPr>
              <w:widowControl w:val="0"/>
              <w:autoSpaceDE w:val="0"/>
              <w:autoSpaceDN w:val="0"/>
              <w:jc w:val="center"/>
              <w:rPr>
                <w:rFonts w:ascii="宋体" w:hAnsi="宋体" w:eastAsia="宋体"/>
                <w:spacing w:val="2"/>
                <w:szCs w:val="21"/>
                <w:lang w:eastAsia="zh-CN"/>
              </w:rPr>
            </w:pPr>
            <w:r>
              <w:rPr>
                <w:rFonts w:hint="eastAsia" w:ascii="宋体" w:hAnsi="宋体" w:eastAsia="宋体"/>
                <w:spacing w:val="2"/>
                <w:szCs w:val="21"/>
                <w:lang w:eastAsia="en-US"/>
              </w:rPr>
              <w:t>扰减动少、加强管理</w:t>
            </w:r>
          </w:p>
        </w:tc>
        <w:tc>
          <w:tcPr>
            <w:tcW w:w="616" w:type="pct"/>
            <w:tcBorders>
              <w:tl2br w:val="nil"/>
              <w:tr2bl w:val="nil"/>
            </w:tcBorders>
            <w:vAlign w:val="center"/>
          </w:tcPr>
          <w:p w14:paraId="2AF3EE6A">
            <w:pPr>
              <w:widowControl w:val="0"/>
              <w:autoSpaceDE w:val="0"/>
              <w:autoSpaceDN w:val="0"/>
              <w:jc w:val="center"/>
              <w:rPr>
                <w:rFonts w:ascii="宋体" w:hAnsi="宋体" w:eastAsia="宋体"/>
                <w:spacing w:val="2"/>
                <w:szCs w:val="21"/>
                <w:lang w:eastAsia="zh-CN"/>
              </w:rPr>
            </w:pPr>
            <w:r>
              <w:rPr>
                <w:rFonts w:ascii="宋体" w:hAnsi="宋体" w:eastAsia="宋体"/>
                <w:spacing w:val="2"/>
                <w:szCs w:val="21"/>
                <w:lang w:eastAsia="zh-CN"/>
              </w:rPr>
              <w:t>10</w:t>
            </w:r>
          </w:p>
        </w:tc>
        <w:tc>
          <w:tcPr>
            <w:tcW w:w="616" w:type="pct"/>
            <w:tcBorders>
              <w:tl2br w:val="nil"/>
              <w:tr2bl w:val="nil"/>
            </w:tcBorders>
            <w:vAlign w:val="center"/>
          </w:tcPr>
          <w:p w14:paraId="20F4AC24">
            <w:pPr>
              <w:widowControl/>
              <w:autoSpaceDE/>
              <w:autoSpaceDN/>
              <w:jc w:val="center"/>
              <w:rPr>
                <w:rFonts w:ascii="宋体" w:hAnsi="宋体" w:eastAsia="宋体"/>
                <w:spacing w:val="2"/>
                <w:szCs w:val="21"/>
                <w:lang w:eastAsia="en-US"/>
              </w:rPr>
            </w:pPr>
            <w:r>
              <w:rPr>
                <w:rFonts w:ascii="宋体" w:hAnsi="宋体" w:eastAsia="宋体"/>
                <w:spacing w:val="2"/>
                <w:szCs w:val="21"/>
                <w:lang w:eastAsia="en-US"/>
              </w:rPr>
              <w:t>60</w:t>
            </w:r>
          </w:p>
        </w:tc>
      </w:tr>
      <w:tr w14:paraId="1FCDF11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70" w:type="pct"/>
            <w:vMerge w:val="restart"/>
            <w:tcBorders>
              <w:tl2br w:val="nil"/>
              <w:tr2bl w:val="nil"/>
            </w:tcBorders>
            <w:vAlign w:val="center"/>
          </w:tcPr>
          <w:p w14:paraId="1B881477">
            <w:pPr>
              <w:widowControl/>
              <w:autoSpaceDE/>
              <w:autoSpaceDN/>
              <w:jc w:val="center"/>
              <w:rPr>
                <w:rFonts w:ascii="宋体" w:hAnsi="宋体" w:eastAsia="宋体"/>
                <w:szCs w:val="21"/>
                <w:lang w:eastAsia="en-US"/>
              </w:rPr>
            </w:pPr>
            <w:r>
              <w:rPr>
                <w:rFonts w:ascii="宋体" w:hAnsi="宋体" w:eastAsia="宋体"/>
                <w:szCs w:val="21"/>
                <w:lang w:eastAsia="en-US"/>
              </w:rPr>
              <w:t>饲料加工</w:t>
            </w:r>
            <w:r>
              <w:rPr>
                <w:rFonts w:ascii="宋体" w:hAnsi="宋体" w:eastAsia="宋体"/>
                <w:szCs w:val="21"/>
                <w:lang w:eastAsia="zh-CN"/>
              </w:rPr>
              <w:t>厂房</w:t>
            </w:r>
          </w:p>
        </w:tc>
        <w:tc>
          <w:tcPr>
            <w:tcW w:w="894" w:type="pct"/>
            <w:tcBorders>
              <w:tl2br w:val="nil"/>
              <w:tr2bl w:val="nil"/>
            </w:tcBorders>
            <w:vAlign w:val="center"/>
          </w:tcPr>
          <w:p w14:paraId="4E85D433">
            <w:pPr>
              <w:widowControl/>
              <w:autoSpaceDE/>
              <w:autoSpaceDN/>
              <w:jc w:val="center"/>
              <w:rPr>
                <w:rFonts w:ascii="宋体" w:hAnsi="宋体" w:eastAsia="宋体"/>
                <w:szCs w:val="21"/>
                <w:lang w:eastAsia="en-US"/>
              </w:rPr>
            </w:pPr>
            <w:r>
              <w:rPr>
                <w:rFonts w:ascii="宋体" w:hAnsi="宋体" w:eastAsia="宋体"/>
                <w:szCs w:val="21"/>
                <w:lang w:eastAsia="zh-CN"/>
              </w:rPr>
              <w:t>精料加工设备</w:t>
            </w:r>
            <w:r>
              <w:rPr>
                <w:rFonts w:hint="eastAsia" w:ascii="宋体" w:hAnsi="宋体" w:eastAsia="宋体"/>
                <w:szCs w:val="21"/>
                <w:lang w:eastAsia="zh-CN"/>
              </w:rPr>
              <w:t>2</w:t>
            </w:r>
          </w:p>
        </w:tc>
        <w:tc>
          <w:tcPr>
            <w:tcW w:w="385" w:type="pct"/>
            <w:tcBorders>
              <w:tl2br w:val="nil"/>
              <w:tr2bl w:val="nil"/>
            </w:tcBorders>
            <w:vAlign w:val="center"/>
          </w:tcPr>
          <w:p w14:paraId="7F2A807D">
            <w:pPr>
              <w:widowControl/>
              <w:autoSpaceDE/>
              <w:autoSpaceDN/>
              <w:jc w:val="center"/>
              <w:rPr>
                <w:rFonts w:ascii="宋体" w:hAnsi="宋体" w:eastAsia="宋体"/>
                <w:szCs w:val="21"/>
                <w:lang w:eastAsia="en-US"/>
              </w:rPr>
            </w:pPr>
            <w:r>
              <w:rPr>
                <w:rFonts w:ascii="宋体" w:hAnsi="宋体" w:eastAsia="宋体"/>
                <w:szCs w:val="21"/>
                <w:lang w:eastAsia="en-US"/>
              </w:rPr>
              <w:t>频发</w:t>
            </w:r>
          </w:p>
        </w:tc>
        <w:tc>
          <w:tcPr>
            <w:tcW w:w="700" w:type="pct"/>
            <w:tcBorders>
              <w:tl2br w:val="nil"/>
              <w:tr2bl w:val="nil"/>
            </w:tcBorders>
            <w:vAlign w:val="center"/>
          </w:tcPr>
          <w:p w14:paraId="08FA1951">
            <w:pPr>
              <w:widowControl w:val="0"/>
              <w:autoSpaceDE w:val="0"/>
              <w:autoSpaceDN w:val="0"/>
              <w:jc w:val="center"/>
              <w:rPr>
                <w:rFonts w:ascii="宋体" w:hAnsi="宋体" w:eastAsia="宋体"/>
                <w:spacing w:val="1"/>
                <w:szCs w:val="21"/>
                <w:lang w:eastAsia="en-US"/>
              </w:rPr>
            </w:pPr>
            <w:r>
              <w:rPr>
                <w:rFonts w:hint="eastAsia" w:ascii="宋体" w:hAnsi="宋体" w:eastAsia="宋体"/>
                <w:szCs w:val="21"/>
                <w:lang w:eastAsia="en-US"/>
              </w:rPr>
              <w:t>类比法</w:t>
            </w:r>
          </w:p>
        </w:tc>
        <w:tc>
          <w:tcPr>
            <w:tcW w:w="702" w:type="pct"/>
            <w:tcBorders>
              <w:tl2br w:val="nil"/>
              <w:tr2bl w:val="nil"/>
            </w:tcBorders>
            <w:vAlign w:val="center"/>
          </w:tcPr>
          <w:p w14:paraId="1C90450E">
            <w:pPr>
              <w:widowControl/>
              <w:autoSpaceDE/>
              <w:autoSpaceDN/>
              <w:jc w:val="center"/>
              <w:rPr>
                <w:rFonts w:ascii="宋体" w:hAnsi="宋体" w:eastAsia="宋体"/>
                <w:spacing w:val="1"/>
                <w:szCs w:val="21"/>
                <w:lang w:eastAsia="en-US"/>
              </w:rPr>
            </w:pPr>
            <w:r>
              <w:rPr>
                <w:rFonts w:ascii="宋体" w:hAnsi="宋体" w:eastAsia="宋体"/>
                <w:spacing w:val="1"/>
                <w:szCs w:val="21"/>
                <w:lang w:eastAsia="en-US"/>
              </w:rPr>
              <w:t>85</w:t>
            </w:r>
          </w:p>
        </w:tc>
        <w:tc>
          <w:tcPr>
            <w:tcW w:w="617" w:type="pct"/>
            <w:vMerge w:val="restart"/>
            <w:tcBorders>
              <w:tl2br w:val="nil"/>
              <w:tr2bl w:val="nil"/>
            </w:tcBorders>
            <w:vAlign w:val="center"/>
          </w:tcPr>
          <w:p w14:paraId="7CB8036A">
            <w:pPr>
              <w:widowControl w:val="0"/>
              <w:autoSpaceDE w:val="0"/>
              <w:autoSpaceDN w:val="0"/>
              <w:jc w:val="center"/>
              <w:rPr>
                <w:rFonts w:ascii="宋体" w:hAnsi="宋体" w:eastAsia="宋体"/>
                <w:spacing w:val="2"/>
                <w:szCs w:val="21"/>
                <w:lang w:eastAsia="en-US"/>
              </w:rPr>
            </w:pPr>
            <w:r>
              <w:rPr>
                <w:rFonts w:hint="eastAsia" w:ascii="宋体" w:hAnsi="宋体" w:eastAsia="宋体"/>
                <w:spacing w:val="2"/>
                <w:szCs w:val="21"/>
                <w:lang w:eastAsia="zh-CN"/>
              </w:rPr>
              <w:t>选用低噪声设备、</w:t>
            </w:r>
            <w:r>
              <w:rPr>
                <w:rFonts w:ascii="宋体" w:hAnsi="宋体" w:eastAsia="宋体"/>
                <w:spacing w:val="2"/>
                <w:szCs w:val="21"/>
                <w:lang w:eastAsia="en-US"/>
              </w:rPr>
              <w:t>基础减震</w:t>
            </w:r>
            <w:r>
              <w:rPr>
                <w:rFonts w:hint="eastAsia" w:ascii="宋体" w:hAnsi="宋体" w:eastAsia="宋体"/>
                <w:spacing w:val="2"/>
                <w:szCs w:val="21"/>
                <w:lang w:eastAsia="zh-CN"/>
              </w:rPr>
              <w:t>、</w:t>
            </w:r>
            <w:r>
              <w:rPr>
                <w:rFonts w:ascii="宋体" w:hAnsi="宋体" w:eastAsia="宋体"/>
                <w:spacing w:val="2"/>
                <w:szCs w:val="21"/>
                <w:lang w:eastAsia="en-US"/>
              </w:rPr>
              <w:t>厂房隔声</w:t>
            </w:r>
          </w:p>
        </w:tc>
        <w:tc>
          <w:tcPr>
            <w:tcW w:w="616" w:type="pct"/>
            <w:tcBorders>
              <w:tl2br w:val="nil"/>
              <w:tr2bl w:val="nil"/>
            </w:tcBorders>
            <w:vAlign w:val="center"/>
          </w:tcPr>
          <w:p w14:paraId="15EE68B6">
            <w:pPr>
              <w:widowControl w:val="0"/>
              <w:autoSpaceDE w:val="0"/>
              <w:autoSpaceDN w:val="0"/>
              <w:jc w:val="center"/>
              <w:rPr>
                <w:rFonts w:ascii="宋体" w:hAnsi="宋体" w:eastAsia="宋体"/>
                <w:spacing w:val="2"/>
                <w:szCs w:val="21"/>
                <w:lang w:eastAsia="zh-CN"/>
              </w:rPr>
            </w:pPr>
            <w:r>
              <w:rPr>
                <w:rFonts w:hint="eastAsia" w:ascii="宋体" w:hAnsi="宋体" w:eastAsia="宋体"/>
                <w:spacing w:val="2"/>
                <w:szCs w:val="21"/>
                <w:lang w:eastAsia="zh-CN"/>
              </w:rPr>
              <w:t>2</w:t>
            </w:r>
            <w:r>
              <w:rPr>
                <w:rFonts w:ascii="宋体" w:hAnsi="宋体" w:eastAsia="宋体"/>
                <w:spacing w:val="2"/>
                <w:szCs w:val="21"/>
                <w:lang w:eastAsia="zh-CN"/>
              </w:rPr>
              <w:t>0</w:t>
            </w:r>
          </w:p>
        </w:tc>
        <w:tc>
          <w:tcPr>
            <w:tcW w:w="616" w:type="pct"/>
            <w:tcBorders>
              <w:tl2br w:val="nil"/>
              <w:tr2bl w:val="nil"/>
            </w:tcBorders>
            <w:vAlign w:val="center"/>
          </w:tcPr>
          <w:p w14:paraId="10E4423E">
            <w:pPr>
              <w:widowControl/>
              <w:autoSpaceDE/>
              <w:autoSpaceDN/>
              <w:jc w:val="center"/>
              <w:rPr>
                <w:rFonts w:ascii="宋体" w:hAnsi="宋体" w:eastAsia="宋体"/>
                <w:spacing w:val="2"/>
                <w:szCs w:val="21"/>
                <w:lang w:eastAsia="en-US"/>
              </w:rPr>
            </w:pPr>
            <w:r>
              <w:rPr>
                <w:rFonts w:ascii="宋体" w:hAnsi="宋体" w:eastAsia="宋体"/>
                <w:spacing w:val="2"/>
                <w:szCs w:val="21"/>
                <w:lang w:eastAsia="en-US"/>
              </w:rPr>
              <w:t>65</w:t>
            </w:r>
          </w:p>
        </w:tc>
      </w:tr>
      <w:tr w14:paraId="71441A4A">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70" w:type="pct"/>
            <w:vMerge w:val="continue"/>
            <w:tcBorders>
              <w:tl2br w:val="nil"/>
              <w:tr2bl w:val="nil"/>
            </w:tcBorders>
            <w:vAlign w:val="center"/>
          </w:tcPr>
          <w:p w14:paraId="75AE739A">
            <w:pPr>
              <w:widowControl w:val="0"/>
              <w:autoSpaceDE w:val="0"/>
              <w:autoSpaceDN w:val="0"/>
              <w:jc w:val="center"/>
              <w:rPr>
                <w:rFonts w:ascii="宋体" w:hAnsi="宋体" w:eastAsia="Times New Roman"/>
                <w:szCs w:val="21"/>
                <w:lang w:eastAsia="en-US"/>
              </w:rPr>
            </w:pPr>
          </w:p>
        </w:tc>
        <w:tc>
          <w:tcPr>
            <w:tcW w:w="894" w:type="pct"/>
            <w:tcBorders>
              <w:tl2br w:val="nil"/>
              <w:tr2bl w:val="nil"/>
            </w:tcBorders>
            <w:vAlign w:val="center"/>
          </w:tcPr>
          <w:p w14:paraId="4095D6A7">
            <w:pPr>
              <w:widowControl w:val="0"/>
              <w:autoSpaceDE w:val="0"/>
              <w:autoSpaceDN w:val="0"/>
              <w:jc w:val="center"/>
              <w:rPr>
                <w:rFonts w:ascii="宋体" w:hAnsi="宋体" w:eastAsia="Times New Roman"/>
                <w:szCs w:val="21"/>
                <w:lang w:eastAsia="en-US"/>
              </w:rPr>
            </w:pPr>
            <w:r>
              <w:rPr>
                <w:rFonts w:ascii="宋体" w:hAnsi="宋体" w:eastAsia="Times New Roman"/>
                <w:szCs w:val="21"/>
                <w:lang w:eastAsia="en-US"/>
              </w:rPr>
              <w:t>打包机1</w:t>
            </w:r>
          </w:p>
        </w:tc>
        <w:tc>
          <w:tcPr>
            <w:tcW w:w="385" w:type="pct"/>
            <w:tcBorders>
              <w:tl2br w:val="nil"/>
              <w:tr2bl w:val="nil"/>
            </w:tcBorders>
            <w:vAlign w:val="center"/>
          </w:tcPr>
          <w:p w14:paraId="4F589A4F">
            <w:pPr>
              <w:widowControl w:val="0"/>
              <w:autoSpaceDE w:val="0"/>
              <w:autoSpaceDN w:val="0"/>
              <w:jc w:val="center"/>
              <w:rPr>
                <w:rFonts w:ascii="宋体" w:hAnsi="宋体" w:eastAsia="Times New Roman"/>
                <w:szCs w:val="21"/>
                <w:lang w:eastAsia="en-US"/>
              </w:rPr>
            </w:pPr>
            <w:r>
              <w:rPr>
                <w:rFonts w:ascii="宋体" w:hAnsi="宋体" w:eastAsia="宋体"/>
                <w:szCs w:val="21"/>
                <w:lang w:eastAsia="en-US"/>
              </w:rPr>
              <w:t>频发</w:t>
            </w:r>
          </w:p>
        </w:tc>
        <w:tc>
          <w:tcPr>
            <w:tcW w:w="700" w:type="pct"/>
            <w:tcBorders>
              <w:tl2br w:val="nil"/>
              <w:tr2bl w:val="nil"/>
            </w:tcBorders>
            <w:vAlign w:val="center"/>
          </w:tcPr>
          <w:p w14:paraId="1524BA25">
            <w:pPr>
              <w:widowControl w:val="0"/>
              <w:autoSpaceDE w:val="0"/>
              <w:autoSpaceDN w:val="0"/>
              <w:jc w:val="center"/>
              <w:rPr>
                <w:rFonts w:ascii="宋体" w:hAnsi="宋体" w:eastAsia="Times New Roman"/>
                <w:szCs w:val="21"/>
                <w:lang w:eastAsia="en-US"/>
              </w:rPr>
            </w:pPr>
            <w:r>
              <w:rPr>
                <w:rFonts w:hint="eastAsia" w:ascii="宋体" w:hAnsi="宋体" w:eastAsia="Times New Roman"/>
                <w:szCs w:val="21"/>
                <w:lang w:eastAsia="en-US"/>
              </w:rPr>
              <w:t>类比法</w:t>
            </w:r>
          </w:p>
        </w:tc>
        <w:tc>
          <w:tcPr>
            <w:tcW w:w="702" w:type="pct"/>
            <w:tcBorders>
              <w:tl2br w:val="nil"/>
              <w:tr2bl w:val="nil"/>
            </w:tcBorders>
            <w:vAlign w:val="center"/>
          </w:tcPr>
          <w:p w14:paraId="3D05D111">
            <w:pPr>
              <w:widowControl w:val="0"/>
              <w:autoSpaceDE w:val="0"/>
              <w:autoSpaceDN w:val="0"/>
              <w:jc w:val="center"/>
              <w:rPr>
                <w:rFonts w:ascii="宋体" w:hAnsi="宋体" w:eastAsiaTheme="minorEastAsia"/>
                <w:spacing w:val="1"/>
                <w:szCs w:val="21"/>
                <w:lang w:eastAsia="zh-CN"/>
              </w:rPr>
            </w:pPr>
            <w:r>
              <w:rPr>
                <w:rFonts w:ascii="宋体" w:hAnsi="宋体" w:eastAsiaTheme="minorEastAsia"/>
                <w:spacing w:val="1"/>
                <w:szCs w:val="21"/>
                <w:lang w:eastAsia="zh-CN"/>
              </w:rPr>
              <w:t>80</w:t>
            </w:r>
          </w:p>
        </w:tc>
        <w:tc>
          <w:tcPr>
            <w:tcW w:w="617" w:type="pct"/>
            <w:vMerge w:val="continue"/>
            <w:tcBorders>
              <w:tl2br w:val="nil"/>
              <w:tr2bl w:val="nil"/>
            </w:tcBorders>
            <w:vAlign w:val="center"/>
          </w:tcPr>
          <w:p w14:paraId="233258C9">
            <w:pPr>
              <w:widowControl w:val="0"/>
              <w:autoSpaceDE w:val="0"/>
              <w:autoSpaceDN w:val="0"/>
              <w:jc w:val="center"/>
              <w:rPr>
                <w:rFonts w:ascii="宋体" w:hAnsi="宋体" w:eastAsia="Times New Roman"/>
                <w:spacing w:val="2"/>
                <w:szCs w:val="21"/>
                <w:lang w:eastAsia="en-US"/>
              </w:rPr>
            </w:pPr>
          </w:p>
        </w:tc>
        <w:tc>
          <w:tcPr>
            <w:tcW w:w="616" w:type="pct"/>
            <w:tcBorders>
              <w:tl2br w:val="nil"/>
              <w:tr2bl w:val="nil"/>
            </w:tcBorders>
            <w:vAlign w:val="center"/>
          </w:tcPr>
          <w:p w14:paraId="5D84E82A">
            <w:pPr>
              <w:widowControl w:val="0"/>
              <w:autoSpaceDE w:val="0"/>
              <w:autoSpaceDN w:val="0"/>
              <w:jc w:val="center"/>
              <w:rPr>
                <w:rFonts w:ascii="宋体" w:hAnsi="宋体" w:eastAsiaTheme="minorEastAsia"/>
                <w:spacing w:val="2"/>
                <w:szCs w:val="21"/>
                <w:lang w:eastAsia="zh-CN"/>
              </w:rPr>
            </w:pPr>
            <w:r>
              <w:rPr>
                <w:rFonts w:hint="eastAsia" w:ascii="宋体" w:hAnsi="宋体" w:eastAsiaTheme="minorEastAsia"/>
                <w:spacing w:val="2"/>
                <w:szCs w:val="21"/>
                <w:lang w:eastAsia="zh-CN"/>
              </w:rPr>
              <w:t>2</w:t>
            </w:r>
            <w:r>
              <w:rPr>
                <w:rFonts w:ascii="宋体" w:hAnsi="宋体" w:eastAsiaTheme="minorEastAsia"/>
                <w:spacing w:val="2"/>
                <w:szCs w:val="21"/>
                <w:lang w:eastAsia="zh-CN"/>
              </w:rPr>
              <w:t>0</w:t>
            </w:r>
          </w:p>
        </w:tc>
        <w:tc>
          <w:tcPr>
            <w:tcW w:w="616" w:type="pct"/>
            <w:tcBorders>
              <w:tl2br w:val="nil"/>
              <w:tr2bl w:val="nil"/>
            </w:tcBorders>
            <w:vAlign w:val="center"/>
          </w:tcPr>
          <w:p w14:paraId="4ECB8898">
            <w:pPr>
              <w:widowControl w:val="0"/>
              <w:autoSpaceDE w:val="0"/>
              <w:autoSpaceDN w:val="0"/>
              <w:jc w:val="center"/>
              <w:rPr>
                <w:rFonts w:ascii="宋体" w:hAnsi="宋体" w:eastAsiaTheme="minorEastAsia"/>
                <w:spacing w:val="2"/>
                <w:szCs w:val="21"/>
                <w:lang w:eastAsia="zh-CN"/>
              </w:rPr>
            </w:pPr>
            <w:r>
              <w:rPr>
                <w:rFonts w:hint="eastAsia" w:ascii="宋体" w:hAnsi="宋体" w:eastAsiaTheme="minorEastAsia"/>
                <w:spacing w:val="2"/>
                <w:szCs w:val="21"/>
                <w:lang w:eastAsia="zh-CN"/>
              </w:rPr>
              <w:t>60</w:t>
            </w:r>
          </w:p>
        </w:tc>
      </w:tr>
      <w:tr w14:paraId="4872D49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70" w:type="pct"/>
            <w:vMerge w:val="continue"/>
            <w:tcBorders>
              <w:tl2br w:val="nil"/>
              <w:tr2bl w:val="nil"/>
            </w:tcBorders>
            <w:vAlign w:val="center"/>
          </w:tcPr>
          <w:p w14:paraId="0C26CC56">
            <w:pPr>
              <w:widowControl w:val="0"/>
              <w:autoSpaceDE w:val="0"/>
              <w:autoSpaceDN w:val="0"/>
              <w:jc w:val="center"/>
              <w:rPr>
                <w:rFonts w:ascii="宋体" w:hAnsi="宋体" w:eastAsia="宋体"/>
                <w:szCs w:val="21"/>
                <w:lang w:eastAsia="en-US"/>
              </w:rPr>
            </w:pPr>
          </w:p>
        </w:tc>
        <w:tc>
          <w:tcPr>
            <w:tcW w:w="894" w:type="pct"/>
            <w:tcBorders>
              <w:tl2br w:val="nil"/>
              <w:tr2bl w:val="nil"/>
            </w:tcBorders>
            <w:vAlign w:val="center"/>
          </w:tcPr>
          <w:p w14:paraId="4779BE8E">
            <w:pPr>
              <w:widowControl/>
              <w:autoSpaceDE/>
              <w:autoSpaceDN/>
              <w:jc w:val="center"/>
              <w:rPr>
                <w:rFonts w:ascii="宋体" w:hAnsi="宋体" w:eastAsia="宋体"/>
                <w:szCs w:val="21"/>
                <w:lang w:eastAsia="zh-CN"/>
              </w:rPr>
            </w:pPr>
            <w:r>
              <w:rPr>
                <w:rFonts w:hint="eastAsia" w:ascii="宋体" w:hAnsi="宋体" w:eastAsia="宋体"/>
                <w:szCs w:val="21"/>
                <w:lang w:eastAsia="zh-CN"/>
              </w:rPr>
              <w:t>除尘</w:t>
            </w:r>
            <w:r>
              <w:rPr>
                <w:rFonts w:ascii="宋体" w:hAnsi="宋体" w:eastAsia="宋体"/>
                <w:szCs w:val="21"/>
                <w:lang w:eastAsia="en-US"/>
              </w:rPr>
              <w:t>风机</w:t>
            </w:r>
            <w:r>
              <w:rPr>
                <w:rFonts w:hint="eastAsia" w:ascii="宋体" w:hAnsi="宋体" w:eastAsia="宋体"/>
                <w:szCs w:val="21"/>
                <w:lang w:eastAsia="zh-CN"/>
              </w:rPr>
              <w:t>1</w:t>
            </w:r>
          </w:p>
        </w:tc>
        <w:tc>
          <w:tcPr>
            <w:tcW w:w="385" w:type="pct"/>
            <w:tcBorders>
              <w:tl2br w:val="nil"/>
              <w:tr2bl w:val="nil"/>
            </w:tcBorders>
            <w:vAlign w:val="center"/>
          </w:tcPr>
          <w:p w14:paraId="24903A16">
            <w:pPr>
              <w:widowControl w:val="0"/>
              <w:autoSpaceDE w:val="0"/>
              <w:autoSpaceDN w:val="0"/>
              <w:jc w:val="center"/>
              <w:rPr>
                <w:rFonts w:ascii="宋体" w:hAnsi="宋体" w:eastAsia="宋体"/>
                <w:szCs w:val="21"/>
                <w:lang w:eastAsia="zh-CN"/>
              </w:rPr>
            </w:pPr>
            <w:r>
              <w:rPr>
                <w:rFonts w:ascii="宋体" w:hAnsi="宋体" w:eastAsia="宋体"/>
                <w:szCs w:val="21"/>
                <w:lang w:eastAsia="en-US"/>
              </w:rPr>
              <w:t>频发</w:t>
            </w:r>
          </w:p>
        </w:tc>
        <w:tc>
          <w:tcPr>
            <w:tcW w:w="700" w:type="pct"/>
            <w:tcBorders>
              <w:tl2br w:val="nil"/>
              <w:tr2bl w:val="nil"/>
            </w:tcBorders>
            <w:vAlign w:val="center"/>
          </w:tcPr>
          <w:p w14:paraId="7B3629CD">
            <w:pPr>
              <w:widowControl w:val="0"/>
              <w:autoSpaceDE w:val="0"/>
              <w:autoSpaceDN w:val="0"/>
              <w:jc w:val="center"/>
              <w:rPr>
                <w:rFonts w:ascii="宋体" w:hAnsi="宋体" w:eastAsia="宋体"/>
                <w:spacing w:val="1"/>
                <w:szCs w:val="21"/>
                <w:lang w:eastAsia="en-US"/>
              </w:rPr>
            </w:pPr>
            <w:r>
              <w:rPr>
                <w:rFonts w:hint="eastAsia" w:ascii="宋体" w:hAnsi="宋体" w:eastAsia="宋体"/>
                <w:szCs w:val="21"/>
                <w:lang w:eastAsia="en-US"/>
              </w:rPr>
              <w:t>类比法</w:t>
            </w:r>
          </w:p>
        </w:tc>
        <w:tc>
          <w:tcPr>
            <w:tcW w:w="702" w:type="pct"/>
            <w:tcBorders>
              <w:tl2br w:val="nil"/>
              <w:tr2bl w:val="nil"/>
            </w:tcBorders>
            <w:vAlign w:val="center"/>
          </w:tcPr>
          <w:p w14:paraId="4C111211">
            <w:pPr>
              <w:widowControl w:val="0"/>
              <w:autoSpaceDE w:val="0"/>
              <w:autoSpaceDN w:val="0"/>
              <w:jc w:val="center"/>
              <w:rPr>
                <w:rFonts w:ascii="宋体" w:hAnsi="宋体" w:eastAsia="宋体"/>
                <w:spacing w:val="1"/>
                <w:szCs w:val="21"/>
                <w:lang w:eastAsia="zh-CN"/>
              </w:rPr>
            </w:pPr>
            <w:r>
              <w:rPr>
                <w:rFonts w:ascii="宋体" w:hAnsi="宋体" w:eastAsia="宋体"/>
                <w:spacing w:val="1"/>
                <w:szCs w:val="21"/>
                <w:lang w:eastAsia="zh-CN"/>
              </w:rPr>
              <w:t>95</w:t>
            </w:r>
          </w:p>
        </w:tc>
        <w:tc>
          <w:tcPr>
            <w:tcW w:w="617" w:type="pct"/>
            <w:vMerge w:val="continue"/>
            <w:tcBorders>
              <w:tl2br w:val="nil"/>
              <w:tr2bl w:val="nil"/>
            </w:tcBorders>
            <w:vAlign w:val="center"/>
          </w:tcPr>
          <w:p w14:paraId="413434D4">
            <w:pPr>
              <w:widowControl w:val="0"/>
              <w:autoSpaceDE w:val="0"/>
              <w:autoSpaceDN w:val="0"/>
              <w:jc w:val="center"/>
              <w:rPr>
                <w:rFonts w:ascii="宋体" w:hAnsi="宋体" w:eastAsia="宋体"/>
                <w:spacing w:val="2"/>
                <w:szCs w:val="21"/>
                <w:lang w:eastAsia="en-US"/>
              </w:rPr>
            </w:pPr>
          </w:p>
        </w:tc>
        <w:tc>
          <w:tcPr>
            <w:tcW w:w="616" w:type="pct"/>
            <w:tcBorders>
              <w:tl2br w:val="nil"/>
              <w:tr2bl w:val="nil"/>
            </w:tcBorders>
            <w:vAlign w:val="center"/>
          </w:tcPr>
          <w:p w14:paraId="3D0F1970">
            <w:pPr>
              <w:widowControl w:val="0"/>
              <w:autoSpaceDE w:val="0"/>
              <w:autoSpaceDN w:val="0"/>
              <w:jc w:val="center"/>
              <w:rPr>
                <w:rFonts w:ascii="宋体" w:hAnsi="宋体" w:eastAsia="宋体"/>
                <w:spacing w:val="2"/>
                <w:szCs w:val="21"/>
                <w:lang w:eastAsia="zh-CN"/>
              </w:rPr>
            </w:pPr>
            <w:r>
              <w:rPr>
                <w:rFonts w:hint="eastAsia" w:ascii="宋体" w:hAnsi="宋体" w:eastAsia="宋体"/>
                <w:spacing w:val="2"/>
                <w:szCs w:val="21"/>
                <w:lang w:eastAsia="zh-CN"/>
              </w:rPr>
              <w:t>2</w:t>
            </w:r>
            <w:r>
              <w:rPr>
                <w:rFonts w:ascii="宋体" w:hAnsi="宋体" w:eastAsia="宋体"/>
                <w:spacing w:val="2"/>
                <w:szCs w:val="21"/>
                <w:lang w:eastAsia="zh-CN"/>
              </w:rPr>
              <w:t>0</w:t>
            </w:r>
          </w:p>
        </w:tc>
        <w:tc>
          <w:tcPr>
            <w:tcW w:w="616" w:type="pct"/>
            <w:tcBorders>
              <w:tl2br w:val="nil"/>
              <w:tr2bl w:val="nil"/>
            </w:tcBorders>
            <w:vAlign w:val="center"/>
          </w:tcPr>
          <w:p w14:paraId="7BDC2B37">
            <w:pPr>
              <w:widowControl w:val="0"/>
              <w:autoSpaceDE w:val="0"/>
              <w:autoSpaceDN w:val="0"/>
              <w:jc w:val="center"/>
              <w:rPr>
                <w:rFonts w:ascii="宋体" w:hAnsi="宋体" w:eastAsia="宋体"/>
                <w:spacing w:val="2"/>
                <w:szCs w:val="21"/>
                <w:lang w:eastAsia="en-US"/>
              </w:rPr>
            </w:pPr>
            <w:r>
              <w:rPr>
                <w:rFonts w:ascii="宋体" w:hAnsi="宋体" w:eastAsia="宋体"/>
                <w:spacing w:val="2"/>
                <w:szCs w:val="21"/>
                <w:lang w:eastAsia="en-US"/>
              </w:rPr>
              <w:t>75</w:t>
            </w:r>
          </w:p>
        </w:tc>
      </w:tr>
      <w:tr w14:paraId="6BD2469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70" w:type="pct"/>
            <w:vMerge w:val="continue"/>
            <w:tcBorders>
              <w:tl2br w:val="nil"/>
              <w:tr2bl w:val="nil"/>
            </w:tcBorders>
            <w:vAlign w:val="center"/>
          </w:tcPr>
          <w:p w14:paraId="75973F05">
            <w:pPr>
              <w:widowControl w:val="0"/>
              <w:autoSpaceDE w:val="0"/>
              <w:autoSpaceDN w:val="0"/>
              <w:jc w:val="center"/>
              <w:rPr>
                <w:rFonts w:ascii="宋体" w:hAnsi="宋体" w:eastAsia="宋体"/>
                <w:szCs w:val="21"/>
                <w:lang w:eastAsia="en-US"/>
              </w:rPr>
            </w:pPr>
          </w:p>
        </w:tc>
        <w:tc>
          <w:tcPr>
            <w:tcW w:w="894" w:type="pct"/>
            <w:tcBorders>
              <w:tl2br w:val="nil"/>
              <w:tr2bl w:val="nil"/>
            </w:tcBorders>
            <w:vAlign w:val="center"/>
          </w:tcPr>
          <w:p w14:paraId="4659AC29">
            <w:pPr>
              <w:widowControl/>
              <w:autoSpaceDE/>
              <w:autoSpaceDN/>
              <w:jc w:val="center"/>
              <w:rPr>
                <w:rFonts w:ascii="宋体" w:hAnsi="宋体" w:eastAsia="宋体"/>
                <w:szCs w:val="21"/>
                <w:lang w:eastAsia="zh-CN"/>
              </w:rPr>
            </w:pPr>
            <w:r>
              <w:rPr>
                <w:rFonts w:hint="eastAsia" w:ascii="宋体" w:hAnsi="宋体" w:eastAsia="宋体"/>
                <w:szCs w:val="21"/>
                <w:lang w:eastAsia="en-US"/>
              </w:rPr>
              <w:t>铡草机</w:t>
            </w:r>
            <w:r>
              <w:rPr>
                <w:rFonts w:hint="eastAsia" w:ascii="宋体" w:hAnsi="宋体" w:eastAsia="宋体"/>
                <w:szCs w:val="21"/>
                <w:lang w:eastAsia="zh-CN"/>
              </w:rPr>
              <w:t>1</w:t>
            </w:r>
          </w:p>
        </w:tc>
        <w:tc>
          <w:tcPr>
            <w:tcW w:w="385" w:type="pct"/>
            <w:tcBorders>
              <w:tl2br w:val="nil"/>
              <w:tr2bl w:val="nil"/>
            </w:tcBorders>
            <w:vAlign w:val="center"/>
          </w:tcPr>
          <w:p w14:paraId="792E78C8">
            <w:pPr>
              <w:widowControl w:val="0"/>
              <w:autoSpaceDE w:val="0"/>
              <w:autoSpaceDN w:val="0"/>
              <w:jc w:val="center"/>
              <w:rPr>
                <w:rFonts w:ascii="宋体" w:hAnsi="宋体" w:eastAsia="宋体"/>
                <w:szCs w:val="21"/>
                <w:lang w:eastAsia="en-US"/>
              </w:rPr>
            </w:pPr>
            <w:r>
              <w:rPr>
                <w:rFonts w:ascii="宋体" w:hAnsi="宋体" w:eastAsia="宋体"/>
                <w:szCs w:val="21"/>
                <w:lang w:eastAsia="en-US"/>
              </w:rPr>
              <w:t>频发</w:t>
            </w:r>
          </w:p>
        </w:tc>
        <w:tc>
          <w:tcPr>
            <w:tcW w:w="700" w:type="pct"/>
            <w:tcBorders>
              <w:tl2br w:val="nil"/>
              <w:tr2bl w:val="nil"/>
            </w:tcBorders>
            <w:vAlign w:val="center"/>
          </w:tcPr>
          <w:p w14:paraId="6345637D">
            <w:pPr>
              <w:widowControl w:val="0"/>
              <w:autoSpaceDE w:val="0"/>
              <w:autoSpaceDN w:val="0"/>
              <w:jc w:val="center"/>
              <w:rPr>
                <w:rFonts w:ascii="宋体" w:hAnsi="宋体" w:eastAsia="宋体"/>
                <w:spacing w:val="1"/>
                <w:szCs w:val="21"/>
                <w:lang w:eastAsia="en-US"/>
              </w:rPr>
            </w:pPr>
            <w:r>
              <w:rPr>
                <w:rFonts w:hint="eastAsia" w:ascii="宋体" w:hAnsi="宋体" w:eastAsia="宋体"/>
                <w:szCs w:val="21"/>
                <w:lang w:eastAsia="en-US"/>
              </w:rPr>
              <w:t>类比法</w:t>
            </w:r>
          </w:p>
        </w:tc>
        <w:tc>
          <w:tcPr>
            <w:tcW w:w="702" w:type="pct"/>
            <w:tcBorders>
              <w:tl2br w:val="nil"/>
              <w:tr2bl w:val="nil"/>
            </w:tcBorders>
            <w:vAlign w:val="center"/>
          </w:tcPr>
          <w:p w14:paraId="06DC9356">
            <w:pPr>
              <w:widowControl w:val="0"/>
              <w:autoSpaceDE w:val="0"/>
              <w:autoSpaceDN w:val="0"/>
              <w:jc w:val="center"/>
              <w:rPr>
                <w:rFonts w:ascii="宋体" w:hAnsi="宋体" w:eastAsia="宋体"/>
                <w:spacing w:val="1"/>
                <w:szCs w:val="21"/>
                <w:lang w:eastAsia="zh-CN"/>
              </w:rPr>
            </w:pPr>
            <w:r>
              <w:rPr>
                <w:rFonts w:ascii="宋体" w:hAnsi="宋体" w:eastAsia="宋体"/>
                <w:spacing w:val="1"/>
                <w:szCs w:val="21"/>
                <w:lang w:eastAsia="zh-CN"/>
              </w:rPr>
              <w:t>80</w:t>
            </w:r>
          </w:p>
        </w:tc>
        <w:tc>
          <w:tcPr>
            <w:tcW w:w="617" w:type="pct"/>
            <w:vMerge w:val="continue"/>
            <w:tcBorders>
              <w:tl2br w:val="nil"/>
              <w:tr2bl w:val="nil"/>
            </w:tcBorders>
            <w:vAlign w:val="center"/>
          </w:tcPr>
          <w:p w14:paraId="079787F2">
            <w:pPr>
              <w:widowControl w:val="0"/>
              <w:autoSpaceDE w:val="0"/>
              <w:autoSpaceDN w:val="0"/>
              <w:jc w:val="center"/>
              <w:rPr>
                <w:rFonts w:ascii="宋体" w:hAnsi="宋体" w:eastAsia="宋体"/>
                <w:spacing w:val="2"/>
                <w:szCs w:val="21"/>
                <w:lang w:eastAsia="en-US"/>
              </w:rPr>
            </w:pPr>
          </w:p>
        </w:tc>
        <w:tc>
          <w:tcPr>
            <w:tcW w:w="616" w:type="pct"/>
            <w:tcBorders>
              <w:tl2br w:val="nil"/>
              <w:tr2bl w:val="nil"/>
            </w:tcBorders>
            <w:vAlign w:val="center"/>
          </w:tcPr>
          <w:p w14:paraId="393BEE8C">
            <w:pPr>
              <w:widowControl w:val="0"/>
              <w:autoSpaceDE w:val="0"/>
              <w:autoSpaceDN w:val="0"/>
              <w:jc w:val="center"/>
              <w:rPr>
                <w:rFonts w:ascii="宋体" w:hAnsi="宋体" w:eastAsia="宋体"/>
                <w:spacing w:val="2"/>
                <w:szCs w:val="21"/>
                <w:lang w:eastAsia="zh-CN"/>
              </w:rPr>
            </w:pPr>
            <w:r>
              <w:rPr>
                <w:rFonts w:hint="eastAsia" w:ascii="宋体" w:hAnsi="宋体" w:eastAsia="宋体"/>
                <w:spacing w:val="2"/>
                <w:szCs w:val="21"/>
                <w:lang w:eastAsia="zh-CN"/>
              </w:rPr>
              <w:t>2</w:t>
            </w:r>
            <w:r>
              <w:rPr>
                <w:rFonts w:ascii="宋体" w:hAnsi="宋体" w:eastAsia="宋体"/>
                <w:spacing w:val="2"/>
                <w:szCs w:val="21"/>
                <w:lang w:eastAsia="zh-CN"/>
              </w:rPr>
              <w:t>0</w:t>
            </w:r>
          </w:p>
        </w:tc>
        <w:tc>
          <w:tcPr>
            <w:tcW w:w="616" w:type="pct"/>
            <w:tcBorders>
              <w:tl2br w:val="nil"/>
              <w:tr2bl w:val="nil"/>
            </w:tcBorders>
            <w:vAlign w:val="center"/>
          </w:tcPr>
          <w:p w14:paraId="272C5C00">
            <w:pPr>
              <w:widowControl w:val="0"/>
              <w:autoSpaceDE w:val="0"/>
              <w:autoSpaceDN w:val="0"/>
              <w:jc w:val="center"/>
              <w:rPr>
                <w:rFonts w:ascii="宋体" w:hAnsi="宋体" w:eastAsia="宋体"/>
                <w:spacing w:val="2"/>
                <w:szCs w:val="21"/>
                <w:lang w:eastAsia="en-US"/>
              </w:rPr>
            </w:pPr>
            <w:r>
              <w:rPr>
                <w:rFonts w:ascii="宋体" w:hAnsi="宋体" w:eastAsia="宋体"/>
                <w:spacing w:val="2"/>
                <w:szCs w:val="21"/>
                <w:lang w:eastAsia="zh-CN"/>
              </w:rPr>
              <w:t>60</w:t>
            </w:r>
          </w:p>
        </w:tc>
      </w:tr>
      <w:tr w14:paraId="0BBB607C">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70" w:type="pct"/>
            <w:vMerge w:val="continue"/>
            <w:tcBorders>
              <w:tl2br w:val="nil"/>
              <w:tr2bl w:val="nil"/>
            </w:tcBorders>
            <w:vAlign w:val="center"/>
          </w:tcPr>
          <w:p w14:paraId="3AA77592">
            <w:pPr>
              <w:widowControl/>
              <w:autoSpaceDE/>
              <w:autoSpaceDN/>
              <w:jc w:val="center"/>
              <w:rPr>
                <w:rFonts w:ascii="宋体" w:hAnsi="宋体" w:eastAsia="宋体"/>
                <w:szCs w:val="21"/>
                <w:lang w:eastAsia="en-US"/>
              </w:rPr>
            </w:pPr>
          </w:p>
        </w:tc>
        <w:tc>
          <w:tcPr>
            <w:tcW w:w="894" w:type="pct"/>
            <w:tcBorders>
              <w:tl2br w:val="nil"/>
              <w:tr2bl w:val="nil"/>
            </w:tcBorders>
            <w:vAlign w:val="center"/>
          </w:tcPr>
          <w:p w14:paraId="455636EF">
            <w:pPr>
              <w:widowControl/>
              <w:autoSpaceDE/>
              <w:autoSpaceDN/>
              <w:jc w:val="center"/>
              <w:rPr>
                <w:rFonts w:ascii="宋体" w:hAnsi="宋体" w:eastAsia="宋体"/>
                <w:szCs w:val="21"/>
                <w:lang w:eastAsia="zh-CN"/>
              </w:rPr>
            </w:pPr>
            <w:r>
              <w:rPr>
                <w:rFonts w:ascii="宋体" w:hAnsi="宋体" w:eastAsia="宋体"/>
                <w:szCs w:val="21"/>
                <w:lang w:eastAsia="zh-CN"/>
              </w:rPr>
              <w:t>TMR机</w:t>
            </w:r>
            <w:r>
              <w:rPr>
                <w:rFonts w:hint="eastAsia" w:ascii="宋体" w:hAnsi="宋体" w:eastAsia="宋体"/>
                <w:szCs w:val="21"/>
                <w:lang w:eastAsia="zh-CN"/>
              </w:rPr>
              <w:t>2</w:t>
            </w:r>
          </w:p>
        </w:tc>
        <w:tc>
          <w:tcPr>
            <w:tcW w:w="385" w:type="pct"/>
            <w:tcBorders>
              <w:tl2br w:val="nil"/>
              <w:tr2bl w:val="nil"/>
            </w:tcBorders>
            <w:vAlign w:val="center"/>
          </w:tcPr>
          <w:p w14:paraId="178640F3">
            <w:pPr>
              <w:widowControl/>
              <w:autoSpaceDE/>
              <w:autoSpaceDN/>
              <w:jc w:val="center"/>
              <w:rPr>
                <w:rFonts w:ascii="宋体" w:hAnsi="宋体" w:eastAsia="宋体"/>
                <w:szCs w:val="21"/>
                <w:lang w:eastAsia="en-US"/>
              </w:rPr>
            </w:pPr>
            <w:r>
              <w:rPr>
                <w:rFonts w:ascii="宋体" w:hAnsi="宋体" w:eastAsia="宋体"/>
                <w:szCs w:val="21"/>
                <w:lang w:eastAsia="en-US"/>
              </w:rPr>
              <w:t>频发</w:t>
            </w:r>
          </w:p>
        </w:tc>
        <w:tc>
          <w:tcPr>
            <w:tcW w:w="700" w:type="pct"/>
            <w:tcBorders>
              <w:tl2br w:val="nil"/>
              <w:tr2bl w:val="nil"/>
            </w:tcBorders>
            <w:vAlign w:val="center"/>
          </w:tcPr>
          <w:p w14:paraId="3377E8C9">
            <w:pPr>
              <w:widowControl w:val="0"/>
              <w:autoSpaceDE w:val="0"/>
              <w:autoSpaceDN w:val="0"/>
              <w:jc w:val="center"/>
              <w:rPr>
                <w:rFonts w:ascii="宋体" w:hAnsi="宋体" w:eastAsia="宋体"/>
                <w:spacing w:val="1"/>
                <w:szCs w:val="21"/>
                <w:lang w:eastAsia="en-US"/>
              </w:rPr>
            </w:pPr>
            <w:r>
              <w:rPr>
                <w:rFonts w:hint="eastAsia" w:ascii="宋体" w:hAnsi="宋体" w:eastAsia="宋体"/>
                <w:szCs w:val="21"/>
                <w:lang w:eastAsia="en-US"/>
              </w:rPr>
              <w:t>类比法</w:t>
            </w:r>
          </w:p>
        </w:tc>
        <w:tc>
          <w:tcPr>
            <w:tcW w:w="702" w:type="pct"/>
            <w:tcBorders>
              <w:tl2br w:val="nil"/>
              <w:tr2bl w:val="nil"/>
            </w:tcBorders>
            <w:vAlign w:val="center"/>
          </w:tcPr>
          <w:p w14:paraId="147660C1">
            <w:pPr>
              <w:widowControl/>
              <w:autoSpaceDE/>
              <w:autoSpaceDN/>
              <w:jc w:val="center"/>
              <w:rPr>
                <w:rFonts w:ascii="宋体" w:hAnsi="宋体" w:eastAsia="宋体"/>
                <w:spacing w:val="1"/>
                <w:szCs w:val="21"/>
                <w:lang w:eastAsia="en-US"/>
              </w:rPr>
            </w:pPr>
            <w:r>
              <w:rPr>
                <w:rFonts w:ascii="宋体" w:hAnsi="宋体" w:eastAsia="宋体"/>
                <w:spacing w:val="1"/>
                <w:szCs w:val="21"/>
                <w:lang w:eastAsia="en-US"/>
              </w:rPr>
              <w:t>80</w:t>
            </w:r>
          </w:p>
        </w:tc>
        <w:tc>
          <w:tcPr>
            <w:tcW w:w="617" w:type="pct"/>
            <w:vMerge w:val="continue"/>
            <w:tcBorders>
              <w:tl2br w:val="nil"/>
              <w:tr2bl w:val="nil"/>
            </w:tcBorders>
            <w:vAlign w:val="center"/>
          </w:tcPr>
          <w:p w14:paraId="4EF41F56">
            <w:pPr>
              <w:widowControl w:val="0"/>
              <w:autoSpaceDE w:val="0"/>
              <w:autoSpaceDN w:val="0"/>
              <w:jc w:val="center"/>
              <w:rPr>
                <w:rFonts w:ascii="宋体" w:hAnsi="宋体" w:eastAsia="宋体"/>
                <w:spacing w:val="2"/>
                <w:szCs w:val="21"/>
                <w:lang w:eastAsia="en-US"/>
              </w:rPr>
            </w:pPr>
          </w:p>
        </w:tc>
        <w:tc>
          <w:tcPr>
            <w:tcW w:w="616" w:type="pct"/>
            <w:tcBorders>
              <w:tl2br w:val="nil"/>
              <w:tr2bl w:val="nil"/>
            </w:tcBorders>
            <w:vAlign w:val="center"/>
          </w:tcPr>
          <w:p w14:paraId="3B3217C5">
            <w:pPr>
              <w:widowControl w:val="0"/>
              <w:autoSpaceDE w:val="0"/>
              <w:autoSpaceDN w:val="0"/>
              <w:jc w:val="center"/>
              <w:rPr>
                <w:rFonts w:ascii="宋体" w:hAnsi="宋体" w:eastAsia="宋体"/>
                <w:spacing w:val="2"/>
                <w:szCs w:val="21"/>
                <w:lang w:eastAsia="zh-CN"/>
              </w:rPr>
            </w:pPr>
            <w:r>
              <w:rPr>
                <w:rFonts w:hint="eastAsia" w:ascii="宋体" w:hAnsi="宋体" w:eastAsia="宋体"/>
                <w:spacing w:val="2"/>
                <w:szCs w:val="21"/>
                <w:lang w:eastAsia="zh-CN"/>
              </w:rPr>
              <w:t>2</w:t>
            </w:r>
            <w:r>
              <w:rPr>
                <w:rFonts w:ascii="宋体" w:hAnsi="宋体" w:eastAsia="宋体"/>
                <w:spacing w:val="2"/>
                <w:szCs w:val="21"/>
                <w:lang w:eastAsia="zh-CN"/>
              </w:rPr>
              <w:t>0</w:t>
            </w:r>
          </w:p>
        </w:tc>
        <w:tc>
          <w:tcPr>
            <w:tcW w:w="616" w:type="pct"/>
            <w:tcBorders>
              <w:tl2br w:val="nil"/>
              <w:tr2bl w:val="nil"/>
            </w:tcBorders>
            <w:vAlign w:val="center"/>
          </w:tcPr>
          <w:p w14:paraId="3CFB3209">
            <w:pPr>
              <w:widowControl/>
              <w:autoSpaceDE/>
              <w:autoSpaceDN/>
              <w:jc w:val="center"/>
              <w:rPr>
                <w:rFonts w:ascii="宋体" w:hAnsi="宋体" w:eastAsia="宋体"/>
                <w:spacing w:val="2"/>
                <w:szCs w:val="21"/>
                <w:lang w:eastAsia="en-US"/>
              </w:rPr>
            </w:pPr>
            <w:r>
              <w:rPr>
                <w:rFonts w:ascii="宋体" w:hAnsi="宋体" w:eastAsia="宋体"/>
                <w:spacing w:val="2"/>
                <w:szCs w:val="21"/>
                <w:lang w:eastAsia="en-US"/>
              </w:rPr>
              <w:t>60</w:t>
            </w:r>
          </w:p>
        </w:tc>
      </w:tr>
      <w:tr w14:paraId="5DCBDA64">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70" w:type="pct"/>
            <w:tcBorders>
              <w:tl2br w:val="nil"/>
              <w:tr2bl w:val="nil"/>
            </w:tcBorders>
            <w:vAlign w:val="center"/>
          </w:tcPr>
          <w:p w14:paraId="2E712707">
            <w:pPr>
              <w:widowControl/>
              <w:autoSpaceDE/>
              <w:autoSpaceDN/>
              <w:jc w:val="center"/>
              <w:rPr>
                <w:rFonts w:ascii="宋体" w:hAnsi="宋体" w:eastAsia="宋体"/>
                <w:szCs w:val="21"/>
                <w:lang w:eastAsia="en-US"/>
              </w:rPr>
            </w:pPr>
            <w:r>
              <w:rPr>
                <w:rFonts w:ascii="宋体" w:hAnsi="宋体" w:eastAsia="宋体"/>
                <w:szCs w:val="21"/>
                <w:lang w:eastAsia="en-US"/>
              </w:rPr>
              <w:t>备用电</w:t>
            </w:r>
          </w:p>
        </w:tc>
        <w:tc>
          <w:tcPr>
            <w:tcW w:w="894" w:type="pct"/>
            <w:tcBorders>
              <w:tl2br w:val="nil"/>
              <w:tr2bl w:val="nil"/>
            </w:tcBorders>
            <w:vAlign w:val="center"/>
          </w:tcPr>
          <w:p w14:paraId="45F2F0F0">
            <w:pPr>
              <w:widowControl/>
              <w:autoSpaceDE/>
              <w:autoSpaceDN/>
              <w:jc w:val="center"/>
              <w:rPr>
                <w:rFonts w:ascii="宋体" w:hAnsi="宋体" w:eastAsia="宋体"/>
                <w:szCs w:val="21"/>
                <w:lang w:eastAsia="zh-CN"/>
              </w:rPr>
            </w:pPr>
            <w:r>
              <w:rPr>
                <w:rFonts w:ascii="宋体" w:hAnsi="宋体" w:eastAsia="宋体"/>
                <w:szCs w:val="21"/>
                <w:lang w:eastAsia="en-US"/>
              </w:rPr>
              <w:t>柴油发电机</w:t>
            </w:r>
            <w:r>
              <w:rPr>
                <w:rFonts w:hint="eastAsia" w:ascii="宋体" w:hAnsi="宋体" w:eastAsia="宋体"/>
                <w:szCs w:val="21"/>
                <w:lang w:eastAsia="zh-CN"/>
              </w:rPr>
              <w:t>1</w:t>
            </w:r>
          </w:p>
        </w:tc>
        <w:tc>
          <w:tcPr>
            <w:tcW w:w="385" w:type="pct"/>
            <w:tcBorders>
              <w:tl2br w:val="nil"/>
              <w:tr2bl w:val="nil"/>
            </w:tcBorders>
            <w:vAlign w:val="center"/>
          </w:tcPr>
          <w:p w14:paraId="14120646">
            <w:pPr>
              <w:widowControl/>
              <w:autoSpaceDE/>
              <w:autoSpaceDN/>
              <w:jc w:val="center"/>
              <w:rPr>
                <w:rFonts w:ascii="宋体" w:hAnsi="宋体" w:eastAsia="宋体"/>
                <w:szCs w:val="21"/>
                <w:lang w:eastAsia="en-US"/>
              </w:rPr>
            </w:pPr>
            <w:r>
              <w:rPr>
                <w:rFonts w:ascii="宋体" w:hAnsi="宋体" w:eastAsia="宋体"/>
                <w:szCs w:val="21"/>
                <w:lang w:eastAsia="en-US"/>
              </w:rPr>
              <w:t>偶发</w:t>
            </w:r>
          </w:p>
        </w:tc>
        <w:tc>
          <w:tcPr>
            <w:tcW w:w="700" w:type="pct"/>
            <w:tcBorders>
              <w:tl2br w:val="nil"/>
              <w:tr2bl w:val="nil"/>
            </w:tcBorders>
            <w:vAlign w:val="center"/>
          </w:tcPr>
          <w:p w14:paraId="62408701">
            <w:pPr>
              <w:widowControl w:val="0"/>
              <w:autoSpaceDE w:val="0"/>
              <w:autoSpaceDN w:val="0"/>
              <w:jc w:val="center"/>
              <w:rPr>
                <w:rFonts w:ascii="宋体" w:hAnsi="宋体" w:eastAsia="宋体"/>
                <w:spacing w:val="1"/>
                <w:szCs w:val="21"/>
                <w:lang w:eastAsia="en-US"/>
              </w:rPr>
            </w:pPr>
            <w:r>
              <w:rPr>
                <w:rFonts w:hint="eastAsia" w:ascii="宋体" w:hAnsi="宋体" w:eastAsia="宋体"/>
                <w:szCs w:val="21"/>
                <w:lang w:eastAsia="en-US"/>
              </w:rPr>
              <w:t>类比法</w:t>
            </w:r>
          </w:p>
        </w:tc>
        <w:tc>
          <w:tcPr>
            <w:tcW w:w="702" w:type="pct"/>
            <w:tcBorders>
              <w:tl2br w:val="nil"/>
              <w:tr2bl w:val="nil"/>
            </w:tcBorders>
            <w:vAlign w:val="center"/>
          </w:tcPr>
          <w:p w14:paraId="1287722A">
            <w:pPr>
              <w:widowControl/>
              <w:autoSpaceDE/>
              <w:autoSpaceDN/>
              <w:jc w:val="center"/>
              <w:rPr>
                <w:rFonts w:ascii="宋体" w:hAnsi="宋体" w:eastAsia="宋体"/>
                <w:spacing w:val="1"/>
                <w:szCs w:val="21"/>
                <w:lang w:eastAsia="en-US"/>
              </w:rPr>
            </w:pPr>
            <w:r>
              <w:rPr>
                <w:rFonts w:ascii="宋体" w:hAnsi="宋体" w:eastAsia="宋体"/>
                <w:spacing w:val="1"/>
                <w:szCs w:val="21"/>
                <w:lang w:eastAsia="en-US"/>
              </w:rPr>
              <w:t>95</w:t>
            </w:r>
          </w:p>
        </w:tc>
        <w:tc>
          <w:tcPr>
            <w:tcW w:w="617" w:type="pct"/>
            <w:vMerge w:val="continue"/>
            <w:tcBorders>
              <w:tl2br w:val="nil"/>
              <w:tr2bl w:val="nil"/>
            </w:tcBorders>
            <w:vAlign w:val="center"/>
          </w:tcPr>
          <w:p w14:paraId="1DD36524">
            <w:pPr>
              <w:widowControl w:val="0"/>
              <w:autoSpaceDE w:val="0"/>
              <w:autoSpaceDN w:val="0"/>
              <w:jc w:val="center"/>
              <w:rPr>
                <w:rFonts w:ascii="宋体" w:hAnsi="宋体" w:eastAsia="宋体"/>
                <w:spacing w:val="2"/>
                <w:szCs w:val="21"/>
                <w:lang w:eastAsia="en-US"/>
              </w:rPr>
            </w:pPr>
          </w:p>
        </w:tc>
        <w:tc>
          <w:tcPr>
            <w:tcW w:w="616" w:type="pct"/>
            <w:tcBorders>
              <w:tl2br w:val="nil"/>
              <w:tr2bl w:val="nil"/>
            </w:tcBorders>
            <w:vAlign w:val="center"/>
          </w:tcPr>
          <w:p w14:paraId="62E12E54">
            <w:pPr>
              <w:widowControl w:val="0"/>
              <w:autoSpaceDE w:val="0"/>
              <w:autoSpaceDN w:val="0"/>
              <w:jc w:val="center"/>
              <w:rPr>
                <w:rFonts w:ascii="宋体" w:hAnsi="宋体" w:eastAsia="宋体"/>
                <w:spacing w:val="2"/>
                <w:szCs w:val="21"/>
                <w:lang w:eastAsia="zh-CN"/>
              </w:rPr>
            </w:pPr>
            <w:r>
              <w:rPr>
                <w:rFonts w:hint="eastAsia" w:ascii="宋体" w:hAnsi="宋体" w:eastAsia="宋体"/>
                <w:spacing w:val="2"/>
                <w:szCs w:val="21"/>
                <w:lang w:eastAsia="zh-CN"/>
              </w:rPr>
              <w:t>2</w:t>
            </w:r>
            <w:r>
              <w:rPr>
                <w:rFonts w:ascii="宋体" w:hAnsi="宋体" w:eastAsia="宋体"/>
                <w:spacing w:val="2"/>
                <w:szCs w:val="21"/>
                <w:lang w:eastAsia="zh-CN"/>
              </w:rPr>
              <w:t>0</w:t>
            </w:r>
          </w:p>
        </w:tc>
        <w:tc>
          <w:tcPr>
            <w:tcW w:w="616" w:type="pct"/>
            <w:tcBorders>
              <w:tl2br w:val="nil"/>
              <w:tr2bl w:val="nil"/>
            </w:tcBorders>
            <w:vAlign w:val="center"/>
          </w:tcPr>
          <w:p w14:paraId="5EF7A6EE">
            <w:pPr>
              <w:widowControl/>
              <w:autoSpaceDE/>
              <w:autoSpaceDN/>
              <w:jc w:val="center"/>
              <w:rPr>
                <w:rFonts w:ascii="宋体" w:hAnsi="宋体" w:eastAsia="宋体"/>
                <w:spacing w:val="2"/>
                <w:szCs w:val="21"/>
                <w:lang w:eastAsia="en-US"/>
              </w:rPr>
            </w:pPr>
            <w:r>
              <w:rPr>
                <w:rFonts w:ascii="宋体" w:hAnsi="宋体" w:eastAsia="宋体"/>
                <w:spacing w:val="2"/>
                <w:szCs w:val="21"/>
                <w:lang w:eastAsia="en-US"/>
              </w:rPr>
              <w:t>75</w:t>
            </w:r>
          </w:p>
        </w:tc>
      </w:tr>
    </w:tbl>
    <w:p w14:paraId="708617A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项目噪声主要为风机、破碎机、TMR等设备噪声，噪声声级范围为70~80dB（A）。为了减轻各类噪声对周围声环境影响，根据各类噪声的声源特征，提出以下噪声防治措施：</w:t>
      </w:r>
    </w:p>
    <w:p w14:paraId="63473085">
      <w:pPr>
        <w:numPr>
          <w:ilvl w:val="0"/>
          <w:numId w:val="26"/>
        </w:numPr>
        <w:spacing w:line="360" w:lineRule="auto"/>
        <w:ind w:firstLine="476" w:firstLineChars="200"/>
        <w:rPr>
          <w:color w:val="000000" w:themeColor="text1"/>
          <w:spacing w:val="-4"/>
          <w:sz w:val="24"/>
          <w14:textFill>
            <w14:solidFill>
              <w14:schemeClr w14:val="tx1"/>
            </w14:solidFill>
          </w14:textFill>
        </w:rPr>
      </w:pPr>
      <w:r>
        <w:rPr>
          <w:color w:val="000000" w:themeColor="text1"/>
          <w:spacing w:val="-1"/>
          <w:sz w:val="24"/>
          <w14:textFill>
            <w14:solidFill>
              <w14:schemeClr w14:val="tx1"/>
            </w14:solidFill>
          </w14:textFill>
        </w:rPr>
        <w:t>项目主要产噪设备均选用低噪声设备</w:t>
      </w:r>
      <w:r>
        <w:rPr>
          <w:color w:val="000000" w:themeColor="text1"/>
          <w:spacing w:val="-3"/>
          <w:sz w:val="24"/>
          <w14:textFill>
            <w14:solidFill>
              <w14:schemeClr w14:val="tx1"/>
            </w14:solidFill>
          </w14:textFill>
        </w:rPr>
        <w:t>，</w:t>
      </w:r>
      <w:r>
        <w:rPr>
          <w:color w:val="000000" w:themeColor="text1"/>
          <w:sz w:val="24"/>
          <w14:textFill>
            <w14:solidFill>
              <w14:schemeClr w14:val="tx1"/>
            </w14:solidFill>
          </w14:textFill>
        </w:rPr>
        <w:t>柴油发电机</w:t>
      </w:r>
      <w:r>
        <w:rPr>
          <w:color w:val="000000" w:themeColor="text1"/>
          <w:spacing w:val="-3"/>
          <w:sz w:val="24"/>
          <w14:textFill>
            <w14:solidFill>
              <w14:schemeClr w14:val="tx1"/>
            </w14:solidFill>
          </w14:textFill>
        </w:rPr>
        <w:t>等放置于封闭厂房内，同时</w:t>
      </w:r>
      <w:r>
        <w:rPr>
          <w:color w:val="000000" w:themeColor="text1"/>
          <w:spacing w:val="-4"/>
          <w:sz w:val="24"/>
          <w14:textFill>
            <w14:solidFill>
              <w14:schemeClr w14:val="tx1"/>
            </w14:solidFill>
          </w14:textFill>
        </w:rPr>
        <w:t>安装减振垫，</w:t>
      </w:r>
      <w:r>
        <w:rPr>
          <w:color w:val="000000" w:themeColor="text1"/>
          <w:sz w:val="24"/>
          <w14:textFill>
            <w14:solidFill>
              <w14:schemeClr w14:val="tx1"/>
            </w14:solidFill>
          </w14:textFill>
        </w:rPr>
        <w:t>定期维护保养</w:t>
      </w:r>
      <w:r>
        <w:rPr>
          <w:color w:val="000000" w:themeColor="text1"/>
          <w:spacing w:val="-4"/>
          <w:sz w:val="24"/>
          <w14:textFill>
            <w14:solidFill>
              <w14:schemeClr w14:val="tx1"/>
            </w14:solidFill>
          </w14:textFill>
        </w:rPr>
        <w:t>；</w:t>
      </w:r>
    </w:p>
    <w:p w14:paraId="3D1D5514">
      <w:pPr>
        <w:numPr>
          <w:ilvl w:val="0"/>
          <w:numId w:val="26"/>
        </w:numPr>
        <w:spacing w:line="360" w:lineRule="auto"/>
        <w:ind w:firstLine="464" w:firstLineChars="200"/>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牛只喂足</w:t>
      </w:r>
      <w:r>
        <w:rPr>
          <w:color w:val="000000" w:themeColor="text1"/>
          <w:spacing w:val="-1"/>
          <w:sz w:val="24"/>
          <w14:textFill>
            <w14:solidFill>
              <w14:schemeClr w14:val="tx1"/>
            </w14:solidFill>
          </w14:textFill>
        </w:rPr>
        <w:t>饲料和水，避免因饥渴引起的叫声；</w:t>
      </w:r>
    </w:p>
    <w:p w14:paraId="2955B649">
      <w:pPr>
        <w:spacing w:line="360" w:lineRule="auto"/>
        <w:ind w:firstLine="476" w:firstLineChars="200"/>
        <w:rPr>
          <w:color w:val="000000" w:themeColor="text1"/>
          <w:sz w:val="24"/>
          <w14:textFill>
            <w14:solidFill>
              <w14:schemeClr w14:val="tx1"/>
            </w14:solidFill>
          </w14:textFill>
        </w:rPr>
      </w:pPr>
      <w:r>
        <w:rPr>
          <w:color w:val="000000" w:themeColor="text1"/>
          <w:spacing w:val="-1"/>
          <w:sz w:val="24"/>
          <w14:textFill>
            <w14:solidFill>
              <w14:schemeClr w14:val="tx1"/>
            </w14:solidFill>
          </w14:textFill>
        </w:rPr>
        <w:t>（3）场区合理布局，在</w:t>
      </w:r>
      <w:r>
        <w:rPr>
          <w:color w:val="000000" w:themeColor="text1"/>
          <w:spacing w:val="-3"/>
          <w:sz w:val="24"/>
          <w14:textFill>
            <w14:solidFill>
              <w14:schemeClr w14:val="tx1"/>
            </w14:solidFill>
          </w14:textFill>
        </w:rPr>
        <w:t>场区周围及场内加强绿化，充分利用建筑的边角空隙土地及不规</w:t>
      </w:r>
      <w:r>
        <w:rPr>
          <w:color w:val="000000" w:themeColor="text1"/>
          <w:spacing w:val="-4"/>
          <w:sz w:val="24"/>
          <w14:textFill>
            <w14:solidFill>
              <w14:schemeClr w14:val="tx1"/>
            </w14:solidFill>
          </w14:textFill>
        </w:rPr>
        <w:t>则土地进行绿化，进一步</w:t>
      </w:r>
      <w:r>
        <w:rPr>
          <w:color w:val="000000" w:themeColor="text1"/>
          <w:spacing w:val="-1"/>
          <w:sz w:val="24"/>
          <w14:textFill>
            <w14:solidFill>
              <w14:schemeClr w14:val="tx1"/>
            </w14:solidFill>
          </w14:textFill>
        </w:rPr>
        <w:t>降低生产噪声对周围环境的影响；</w:t>
      </w:r>
    </w:p>
    <w:p w14:paraId="583ED613">
      <w:pPr>
        <w:spacing w:line="360" w:lineRule="auto"/>
        <w:ind w:firstLine="476"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（4）对产噪设备定期维护，</w:t>
      </w:r>
      <w:r>
        <w:rPr>
          <w:color w:val="000000" w:themeColor="text1"/>
          <w:spacing w:val="-5"/>
          <w:sz w:val="24"/>
          <w14:textFill>
            <w14:solidFill>
              <w14:schemeClr w14:val="tx1"/>
            </w14:solidFill>
          </w14:textFill>
        </w:rPr>
        <w:t>建立完善的监管、维修制度，设专人对设备进行监管，及时维修、</w:t>
      </w:r>
      <w:r>
        <w:rPr>
          <w:color w:val="000000" w:themeColor="text1"/>
          <w:spacing w:val="-1"/>
          <w:sz w:val="24"/>
          <w14:textFill>
            <w14:solidFill>
              <w14:schemeClr w14:val="tx1"/>
            </w14:solidFill>
          </w14:textFill>
        </w:rPr>
        <w:t>更换坏损部件；</w:t>
      </w:r>
    </w:p>
    <w:p w14:paraId="7DA782A5">
      <w:pPr>
        <w:spacing w:line="360" w:lineRule="auto"/>
        <w:ind w:firstLine="476"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（5）场内对车辆采取限速、禁鸣的要求，可以有效降低车辆运输带来的噪声；另外，运输车辆沿途必须按规范操作，尽量少鸣笛，以免因鸣笛使</w:t>
      </w:r>
      <w:r>
        <w:rPr>
          <w:rFonts w:hint="eastAsia"/>
          <w:color w:val="000000" w:themeColor="text1"/>
          <w:spacing w:val="-1"/>
          <w:sz w:val="24"/>
          <w14:textFill>
            <w14:solidFill>
              <w14:schemeClr w14:val="tx1"/>
            </w14:solidFill>
          </w14:textFill>
        </w:rPr>
        <w:t>牛</w:t>
      </w:r>
      <w:r>
        <w:rPr>
          <w:color w:val="000000" w:themeColor="text1"/>
          <w:spacing w:val="-1"/>
          <w:sz w:val="24"/>
          <w14:textFill>
            <w14:solidFill>
              <w14:schemeClr w14:val="tx1"/>
            </w14:solidFill>
          </w14:textFill>
        </w:rPr>
        <w:t>只受到惊吓而鸣叫，从而产生扰民。</w:t>
      </w:r>
    </w:p>
    <w:p w14:paraId="1E4BFBCA">
      <w:pPr>
        <w:spacing w:line="360" w:lineRule="auto"/>
        <w:ind w:firstLine="468" w:firstLineChars="200"/>
        <w:rPr>
          <w:color w:val="000000" w:themeColor="text1"/>
          <w:spacing w:val="-1"/>
          <w:sz w:val="24"/>
          <w14:textFill>
            <w14:solidFill>
              <w14:schemeClr w14:val="tx1"/>
            </w14:solidFill>
          </w14:textFill>
        </w:rPr>
      </w:pPr>
      <w:r>
        <w:rPr>
          <w:color w:val="000000" w:themeColor="text1"/>
          <w:spacing w:val="-3"/>
          <w:sz w:val="24"/>
          <w14:textFill>
            <w14:solidFill>
              <w14:schemeClr w14:val="tx1"/>
            </w14:solidFill>
          </w14:textFill>
        </w:rPr>
        <w:t>通过采取以上降噪、</w:t>
      </w:r>
      <w:r>
        <w:rPr>
          <w:color w:val="000000" w:themeColor="text1"/>
          <w:spacing w:val="-1"/>
          <w:sz w:val="24"/>
          <w14:textFill>
            <w14:solidFill>
              <w14:schemeClr w14:val="tx1"/>
            </w14:solidFill>
          </w14:textFill>
        </w:rPr>
        <w:t>隔声措施可使设备噪声得到有效控制，对周围环境噪声影响可降到最低程度，厂界噪声值符合《工业企业厂界环境噪声排放标准》（GB12348-2008）中2类标准限值。</w:t>
      </w:r>
    </w:p>
    <w:p w14:paraId="640733FF">
      <w:pPr>
        <w:pStyle w:val="1771"/>
        <w:spacing w:line="360" w:lineRule="auto"/>
        <w:jc w:val="both"/>
        <w:rPr>
          <w:color w:val="000000" w:themeColor="text1"/>
          <w:sz w:val="24"/>
          <w:highlight w:val="cyan"/>
          <w:lang w:val="en-US"/>
          <w14:textFill>
            <w14:solidFill>
              <w14:schemeClr w14:val="tx1"/>
            </w14:solidFill>
          </w14:textFill>
        </w:rPr>
      </w:pPr>
      <w:r>
        <w:rPr>
          <w:color w:val="000000" w:themeColor="text1"/>
          <w:sz w:val="24"/>
          <w:lang w:val="en-US"/>
          <w14:textFill>
            <w14:solidFill>
              <w14:schemeClr w14:val="tx1"/>
            </w14:solidFill>
          </w14:textFill>
        </w:rPr>
        <w:t>3.10.4.4固体废物产生、排放及治理措施</w:t>
      </w:r>
    </w:p>
    <w:p w14:paraId="073D3E8D">
      <w:pPr>
        <w:spacing w:line="360" w:lineRule="auto"/>
        <w:ind w:firstLine="478" w:firstLineChars="200"/>
        <w:jc w:val="both"/>
        <w:rPr>
          <w:b/>
          <w:bCs/>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（1）</w:t>
      </w:r>
      <w:r>
        <w:rPr>
          <w:rFonts w:hint="eastAsia"/>
          <w:b/>
          <w:bCs/>
          <w:color w:val="000000" w:themeColor="text1"/>
          <w:spacing w:val="-1"/>
          <w:sz w:val="24"/>
          <w14:textFill>
            <w14:solidFill>
              <w14:schemeClr w14:val="tx1"/>
            </w14:solidFill>
          </w14:textFill>
        </w:rPr>
        <w:t>场床废弃</w:t>
      </w:r>
      <w:r>
        <w:rPr>
          <w:b/>
          <w:bCs/>
          <w:color w:val="000000" w:themeColor="text1"/>
          <w:spacing w:val="-1"/>
          <w:sz w:val="24"/>
          <w14:textFill>
            <w14:solidFill>
              <w14:schemeClr w14:val="tx1"/>
            </w14:solidFill>
          </w14:textFill>
        </w:rPr>
        <w:t>垫料（含牛粪、牛尿）</w:t>
      </w:r>
    </w:p>
    <w:p w14:paraId="1F168031">
      <w:pPr>
        <w:spacing w:line="360" w:lineRule="auto"/>
        <w:ind w:firstLine="472" w:firstLineChars="200"/>
        <w:jc w:val="both"/>
        <w:rPr>
          <w:color w:val="000000" w:themeColor="text1"/>
          <w:spacing w:val="-1"/>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①</w:t>
      </w:r>
      <w:r>
        <w:rPr>
          <w:color w:val="000000" w:themeColor="text1"/>
          <w:spacing w:val="-2"/>
          <w:sz w:val="24"/>
          <w14:textFill>
            <w14:solidFill>
              <w14:schemeClr w14:val="tx1"/>
            </w14:solidFill>
          </w14:textFill>
        </w:rPr>
        <w:t>产生情况</w:t>
      </w:r>
    </w:p>
    <w:p w14:paraId="3CFB6FFC">
      <w:pPr>
        <w:spacing w:line="360" w:lineRule="auto"/>
        <w:ind w:firstLine="476"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根据</w:t>
      </w:r>
      <w:r>
        <w:rPr>
          <w:rFonts w:hint="eastAsia"/>
          <w:color w:val="000000" w:themeColor="text1"/>
          <w:spacing w:val="-1"/>
          <w:sz w:val="24"/>
          <w14:textFill>
            <w14:solidFill>
              <w14:schemeClr w14:val="tx1"/>
            </w14:solidFill>
          </w14:textFill>
        </w:rPr>
        <w:t>“水平衡分析”小节</w:t>
      </w:r>
      <w:r>
        <w:rPr>
          <w:color w:val="000000" w:themeColor="text1"/>
          <w:spacing w:val="-1"/>
          <w:sz w:val="24"/>
          <w14:textFill>
            <w14:solidFill>
              <w14:schemeClr w14:val="tx1"/>
            </w14:solidFill>
          </w14:textFill>
        </w:rPr>
        <w:t>，</w:t>
      </w:r>
      <w:r>
        <w:rPr>
          <w:rFonts w:hint="eastAsia"/>
          <w:color w:val="000000" w:themeColor="text1"/>
          <w:spacing w:val="-1"/>
          <w:sz w:val="24"/>
          <w14:textFill>
            <w14:solidFill>
              <w14:schemeClr w14:val="tx1"/>
            </w14:solidFill>
          </w14:textFill>
        </w:rPr>
        <w:t>项目全场进入场床废弃垫料的</w:t>
      </w:r>
      <w:r>
        <w:rPr>
          <w:color w:val="000000" w:themeColor="text1"/>
          <w:spacing w:val="-1"/>
          <w:sz w:val="24"/>
          <w14:textFill>
            <w14:solidFill>
              <w14:schemeClr w14:val="tx1"/>
            </w14:solidFill>
          </w14:textFill>
        </w:rPr>
        <w:t>牛尿为</w:t>
      </w:r>
      <w:r>
        <w:rPr>
          <w:rFonts w:hint="eastAsia"/>
          <w:color w:val="000000" w:themeColor="text1"/>
          <w:spacing w:val="-1"/>
          <w:sz w:val="24"/>
          <w14:textFill>
            <w14:solidFill>
              <w14:schemeClr w14:val="tx1"/>
            </w14:solidFill>
          </w14:textFill>
        </w:rPr>
        <w:t>38124</w:t>
      </w:r>
      <w:r>
        <w:rPr>
          <w:color w:val="000000" w:themeColor="text1"/>
          <w:spacing w:val="-1"/>
          <w:sz w:val="24"/>
          <w14:textFill>
            <w14:solidFill>
              <w14:schemeClr w14:val="tx1"/>
            </w14:solidFill>
          </w14:textFill>
        </w:rPr>
        <w:t>t/a，牛粪为</w:t>
      </w:r>
      <w:r>
        <w:rPr>
          <w:rFonts w:hint="eastAsia"/>
          <w:color w:val="000000" w:themeColor="text1"/>
          <w:spacing w:val="-1"/>
          <w:sz w:val="24"/>
          <w14:textFill>
            <w14:solidFill>
              <w14:schemeClr w14:val="tx1"/>
            </w14:solidFill>
          </w14:textFill>
        </w:rPr>
        <w:t>76248</w:t>
      </w:r>
      <w:r>
        <w:rPr>
          <w:color w:val="000000" w:themeColor="text1"/>
          <w:spacing w:val="-1"/>
          <w:sz w:val="24"/>
          <w14:textFill>
            <w14:solidFill>
              <w14:schemeClr w14:val="tx1"/>
            </w14:solidFill>
          </w14:textFill>
        </w:rPr>
        <w:t>t/a。根据</w:t>
      </w:r>
      <w:r>
        <w:rPr>
          <w:rFonts w:hint="eastAsia"/>
          <w:color w:val="000000" w:themeColor="text1"/>
          <w:spacing w:val="-1"/>
          <w:sz w:val="24"/>
          <w14:textFill>
            <w14:solidFill>
              <w14:schemeClr w14:val="tx1"/>
            </w14:solidFill>
          </w14:textFill>
        </w:rPr>
        <w:t>“垫料铺设及控制”小节</w:t>
      </w:r>
      <w:r>
        <w:rPr>
          <w:color w:val="000000" w:themeColor="text1"/>
          <w:spacing w:val="-1"/>
          <w:sz w:val="24"/>
          <w14:textFill>
            <w14:solidFill>
              <w14:schemeClr w14:val="tx1"/>
            </w14:solidFill>
          </w14:textFill>
        </w:rPr>
        <w:t>，全年</w:t>
      </w:r>
      <w:r>
        <w:rPr>
          <w:rFonts w:hint="eastAsia"/>
          <w:color w:val="000000" w:themeColor="text1"/>
          <w:spacing w:val="-1"/>
          <w:sz w:val="24"/>
          <w14:textFill>
            <w14:solidFill>
              <w14:schemeClr w14:val="tx1"/>
            </w14:solidFill>
          </w14:textFill>
        </w:rPr>
        <w:t>全场</w:t>
      </w:r>
      <w:r>
        <w:rPr>
          <w:color w:val="000000" w:themeColor="text1"/>
          <w:spacing w:val="-1"/>
          <w:sz w:val="24"/>
          <w14:textFill>
            <w14:solidFill>
              <w14:schemeClr w14:val="tx1"/>
            </w14:solidFill>
          </w14:textFill>
        </w:rPr>
        <w:t>需要垫料</w:t>
      </w:r>
      <w:r>
        <w:rPr>
          <w:rFonts w:hint="eastAsia"/>
          <w:color w:val="000000" w:themeColor="text1"/>
          <w:spacing w:val="-1"/>
          <w:sz w:val="24"/>
          <w14:textFill>
            <w14:solidFill>
              <w14:schemeClr w14:val="tx1"/>
            </w14:solidFill>
          </w14:textFill>
        </w:rPr>
        <w:t>15408</w:t>
      </w:r>
      <w:r>
        <w:rPr>
          <w:color w:val="000000" w:themeColor="text1"/>
          <w:spacing w:val="-1"/>
          <w:sz w:val="24"/>
          <w14:textFill>
            <w14:solidFill>
              <w14:schemeClr w14:val="tx1"/>
            </w14:solidFill>
          </w14:textFill>
        </w:rPr>
        <w:t>t/a。</w:t>
      </w:r>
      <w:r>
        <w:rPr>
          <w:rFonts w:hint="eastAsia"/>
          <w:color w:val="000000" w:themeColor="text1"/>
          <w:spacing w:val="-1"/>
          <w:sz w:val="24"/>
          <w14:textFill>
            <w14:solidFill>
              <w14:schemeClr w14:val="tx1"/>
            </w14:solidFill>
          </w14:textFill>
        </w:rPr>
        <w:t>饲料残渣产生量为</w:t>
      </w:r>
      <w:r>
        <w:rPr>
          <w:rFonts w:hint="eastAsia"/>
          <w:color w:val="000000" w:themeColor="text1"/>
          <w:sz w:val="24"/>
          <w14:textFill>
            <w14:solidFill>
              <w14:schemeClr w14:val="tx1"/>
            </w14:solidFill>
          </w14:textFill>
        </w:rPr>
        <w:t>7.6064</w:t>
      </w:r>
      <w:r>
        <w:rPr>
          <w:rFonts w:hint="eastAsia"/>
          <w:color w:val="000000" w:themeColor="text1"/>
          <w:spacing w:val="-1"/>
          <w:sz w:val="24"/>
          <w14:textFill>
            <w14:solidFill>
              <w14:schemeClr w14:val="tx1"/>
            </w14:solidFill>
          </w14:textFill>
        </w:rPr>
        <w:t>t/a。</w:t>
      </w:r>
    </w:p>
    <w:p w14:paraId="40480E1C">
      <w:pPr>
        <w:spacing w:line="360" w:lineRule="auto"/>
        <w:ind w:firstLine="476"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牛舍采用生物菌发酵床技术，不需要对牛舍进行冲洗，无冲栏废水产生，牛尿直接排到发酵床的垫料上，垫料里富含特殊有益微生物，能够快速被消化分解，因此本项目无养殖废水排出，牛粪进入垫草垫料中，经牛踩结形成粪床。</w:t>
      </w:r>
      <w:r>
        <w:rPr>
          <w:rFonts w:hint="eastAsia"/>
          <w:color w:val="000000" w:themeColor="text1"/>
          <w:spacing w:val="-1"/>
          <w:sz w:val="24"/>
          <w14:textFill>
            <w14:solidFill>
              <w14:schemeClr w14:val="tx1"/>
            </w14:solidFill>
          </w14:textFill>
        </w:rPr>
        <w:t>同时，饲料残渣也进入场床垫料中。</w:t>
      </w:r>
      <w:r>
        <w:rPr>
          <w:color w:val="000000" w:themeColor="text1"/>
          <w:spacing w:val="-1"/>
          <w:sz w:val="24"/>
          <w14:textFill>
            <w14:solidFill>
              <w14:schemeClr w14:val="tx1"/>
            </w14:solidFill>
          </w14:textFill>
        </w:rPr>
        <w:t>牛只产牛粪含水率为80%，粪床6个月清理一次，垫料铺设时初始含水率为10%，清理时</w:t>
      </w:r>
      <w:r>
        <w:rPr>
          <w:rFonts w:hint="eastAsia"/>
          <w:color w:val="000000" w:themeColor="text1"/>
          <w:spacing w:val="-1"/>
          <w:sz w:val="24"/>
          <w14:textFill>
            <w14:solidFill>
              <w14:schemeClr w14:val="tx1"/>
            </w14:solidFill>
          </w14:textFill>
        </w:rPr>
        <w:t>场床废弃</w:t>
      </w:r>
      <w:r>
        <w:rPr>
          <w:color w:val="000000" w:themeColor="text1"/>
          <w:spacing w:val="-1"/>
          <w:sz w:val="24"/>
          <w14:textFill>
            <w14:solidFill>
              <w14:schemeClr w14:val="tx1"/>
            </w14:solidFill>
          </w14:textFill>
        </w:rPr>
        <w:t>垫料</w:t>
      </w:r>
      <w:r>
        <w:rPr>
          <w:rFonts w:hint="eastAsia"/>
          <w:color w:val="000000" w:themeColor="text1"/>
          <w:spacing w:val="-1"/>
          <w:sz w:val="24"/>
          <w14:textFill>
            <w14:solidFill>
              <w14:schemeClr w14:val="tx1"/>
            </w14:solidFill>
          </w14:textFill>
        </w:rPr>
        <w:t>（含粪污）</w:t>
      </w:r>
      <w:r>
        <w:rPr>
          <w:color w:val="000000" w:themeColor="text1"/>
          <w:spacing w:val="-1"/>
          <w:sz w:val="24"/>
          <w14:textFill>
            <w14:solidFill>
              <w14:schemeClr w14:val="tx1"/>
            </w14:solidFill>
          </w14:textFill>
        </w:rPr>
        <w:t>含水率为50%。</w:t>
      </w:r>
      <w:r>
        <w:rPr>
          <w:rFonts w:hint="eastAsia"/>
          <w:color w:val="000000" w:themeColor="text1"/>
          <w:spacing w:val="-1"/>
          <w:sz w:val="24"/>
          <w14:textFill>
            <w14:solidFill>
              <w14:schemeClr w14:val="tx1"/>
            </w14:solidFill>
          </w14:textFill>
        </w:rPr>
        <w:t>则场床废弃</w:t>
      </w:r>
      <w:r>
        <w:rPr>
          <w:color w:val="000000" w:themeColor="text1"/>
          <w:spacing w:val="-1"/>
          <w:sz w:val="24"/>
          <w14:textFill>
            <w14:solidFill>
              <w14:schemeClr w14:val="tx1"/>
            </w14:solidFill>
          </w14:textFill>
        </w:rPr>
        <w:t>垫料产生量为</w:t>
      </w:r>
      <w:r>
        <w:rPr>
          <w:rFonts w:hint="eastAsia"/>
          <w:color w:val="000000" w:themeColor="text1"/>
          <w:spacing w:val="-1"/>
          <w:sz w:val="24"/>
          <w14:textFill>
            <w14:solidFill>
              <w14:schemeClr w14:val="tx1"/>
            </w14:solidFill>
          </w14:textFill>
        </w:rPr>
        <w:t>58248.81</w:t>
      </w:r>
      <w:r>
        <w:rPr>
          <w:color w:val="000000" w:themeColor="text1"/>
          <w:spacing w:val="-1"/>
          <w:sz w:val="24"/>
          <w14:textFill>
            <w14:solidFill>
              <w14:schemeClr w14:val="tx1"/>
            </w14:solidFill>
          </w14:textFill>
        </w:rPr>
        <w:t>t/a</w:t>
      </w:r>
      <w:r>
        <w:rPr>
          <w:rFonts w:hint="eastAsia"/>
          <w:color w:val="000000" w:themeColor="text1"/>
          <w:spacing w:val="-1"/>
          <w:sz w:val="24"/>
          <w14:textFill>
            <w14:solidFill>
              <w14:schemeClr w14:val="tx1"/>
            </w14:solidFill>
          </w14:textFill>
        </w:rPr>
        <w:t>。</w:t>
      </w:r>
    </w:p>
    <w:p w14:paraId="3203FCE3">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②</w:t>
      </w:r>
      <w:r>
        <w:rPr>
          <w:color w:val="000000" w:themeColor="text1"/>
          <w:spacing w:val="-2"/>
          <w:sz w:val="24"/>
          <w14:textFill>
            <w14:solidFill>
              <w14:schemeClr w14:val="tx1"/>
            </w14:solidFill>
          </w14:textFill>
        </w:rPr>
        <w:t>环保措施</w:t>
      </w:r>
      <w:r>
        <w:rPr>
          <w:rFonts w:hint="eastAsia"/>
          <w:color w:val="000000" w:themeColor="text1"/>
          <w:spacing w:val="-2"/>
          <w:sz w:val="24"/>
          <w14:textFill>
            <w14:solidFill>
              <w14:schemeClr w14:val="tx1"/>
            </w14:solidFill>
          </w14:textFill>
        </w:rPr>
        <w:t>及处置情况</w:t>
      </w:r>
    </w:p>
    <w:p w14:paraId="01D2E028">
      <w:pPr>
        <w:spacing w:line="360" w:lineRule="auto"/>
        <w:ind w:firstLine="476" w:firstLineChars="200"/>
        <w:jc w:val="both"/>
        <w:rPr>
          <w:color w:val="EE0000"/>
          <w:spacing w:val="-1"/>
          <w:sz w:val="24"/>
        </w:rPr>
      </w:pPr>
      <w:r>
        <w:rPr>
          <w:rFonts w:hint="eastAsia"/>
          <w:color w:val="000000" w:themeColor="text1"/>
          <w:spacing w:val="-1"/>
          <w:sz w:val="24"/>
          <w14:textFill>
            <w14:solidFill>
              <w14:schemeClr w14:val="tx1"/>
            </w14:solidFill>
          </w14:textFill>
        </w:rPr>
        <w:t>废弃垫料清理在肉牛出栏后及时清理，</w:t>
      </w:r>
      <w:r>
        <w:rPr>
          <w:color w:val="000000" w:themeColor="text1"/>
          <w:spacing w:val="-1"/>
          <w:sz w:val="24"/>
          <w14:textFill>
            <w14:solidFill>
              <w14:schemeClr w14:val="tx1"/>
            </w14:solidFill>
          </w14:textFill>
        </w:rPr>
        <w:t>清理出的废弃垫料通过汽车</w:t>
      </w:r>
      <w:r>
        <w:rPr>
          <w:rFonts w:hint="eastAsia"/>
          <w:color w:val="000000" w:themeColor="text1"/>
          <w:spacing w:val="-1"/>
          <w:sz w:val="24"/>
          <w14:textFill>
            <w14:solidFill>
              <w14:schemeClr w14:val="tx1"/>
            </w14:solidFill>
          </w14:textFill>
        </w:rPr>
        <w:t>外运至有机肥厂无害化处置</w:t>
      </w:r>
      <w:r>
        <w:rPr>
          <w:color w:val="000000" w:themeColor="text1"/>
          <w:spacing w:val="-1"/>
          <w:sz w:val="24"/>
          <w14:textFill>
            <w14:solidFill>
              <w14:schemeClr w14:val="tx1"/>
            </w14:solidFill>
          </w14:textFill>
        </w:rPr>
        <w:t>，不在厂区堆存，不设置粪污暂存</w:t>
      </w:r>
      <w:r>
        <w:rPr>
          <w:rFonts w:hint="eastAsia"/>
          <w:color w:val="000000" w:themeColor="text1"/>
          <w:spacing w:val="-1"/>
          <w:sz w:val="24"/>
          <w14:textFill>
            <w14:solidFill>
              <w14:schemeClr w14:val="tx1"/>
            </w14:solidFill>
          </w14:textFill>
        </w:rPr>
        <w:t>设施</w:t>
      </w:r>
      <w:r>
        <w:rPr>
          <w:color w:val="000000" w:themeColor="text1"/>
          <w:spacing w:val="-1"/>
          <w:sz w:val="24"/>
          <w14:textFill>
            <w14:solidFill>
              <w14:schemeClr w14:val="tx1"/>
            </w14:solidFill>
          </w14:textFill>
        </w:rPr>
        <w:t>。</w:t>
      </w:r>
    </w:p>
    <w:p w14:paraId="12F31B47">
      <w:pPr>
        <w:spacing w:line="360" w:lineRule="auto"/>
        <w:ind w:firstLine="476" w:firstLineChars="200"/>
        <w:jc w:val="both"/>
        <w:rPr>
          <w:b/>
          <w:bCs/>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为避免</w:t>
      </w:r>
      <w:r>
        <w:rPr>
          <w:rFonts w:hint="eastAsia"/>
          <w:color w:val="000000" w:themeColor="text1"/>
          <w:spacing w:val="-1"/>
          <w:sz w:val="24"/>
          <w14:textFill>
            <w14:solidFill>
              <w14:schemeClr w14:val="tx1"/>
            </w14:solidFill>
          </w14:textFill>
        </w:rPr>
        <w:t>废弃</w:t>
      </w:r>
      <w:r>
        <w:rPr>
          <w:color w:val="000000" w:themeColor="text1"/>
          <w:spacing w:val="-1"/>
          <w:sz w:val="24"/>
          <w14:textFill>
            <w14:solidFill>
              <w14:schemeClr w14:val="tx1"/>
            </w14:solidFill>
          </w14:textFill>
        </w:rPr>
        <w:t>垫料转运</w:t>
      </w:r>
      <w:r>
        <w:rPr>
          <w:rFonts w:hint="eastAsia"/>
          <w:color w:val="000000" w:themeColor="text1"/>
          <w:spacing w:val="-1"/>
          <w:sz w:val="24"/>
          <w14:textFill>
            <w14:solidFill>
              <w14:schemeClr w14:val="tx1"/>
            </w14:solidFill>
          </w14:textFill>
        </w:rPr>
        <w:t>过程中</w:t>
      </w:r>
      <w:r>
        <w:rPr>
          <w:color w:val="000000" w:themeColor="text1"/>
          <w:spacing w:val="-1"/>
          <w:sz w:val="24"/>
          <w14:textFill>
            <w14:solidFill>
              <w14:schemeClr w14:val="tx1"/>
            </w14:solidFill>
          </w14:textFill>
        </w:rPr>
        <w:t>异味对运输路线沿途敏感点造成影响，环评要求：运输车辆密闭，避开交通高峰时段运输，加强运输管理，禁止沿途遗漏和抛洒。运输车辆沿途经过的居民区喷洒除臭剂或空气净化剂作为掩蔽剂，降低臭气浓度，使臭味能被人接受，避免运输途中造成二次污染。</w:t>
      </w:r>
    </w:p>
    <w:p w14:paraId="799346E4">
      <w:pPr>
        <w:spacing w:line="360" w:lineRule="auto"/>
        <w:ind w:firstLine="478" w:firstLineChars="200"/>
        <w:jc w:val="both"/>
        <w:rPr>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（2</w:t>
      </w:r>
      <w:r>
        <w:rPr>
          <w:rFonts w:hint="eastAsia"/>
          <w:b/>
          <w:bCs/>
          <w:color w:val="000000" w:themeColor="text1"/>
          <w:spacing w:val="-1"/>
          <w:sz w:val="24"/>
          <w14:textFill>
            <w14:solidFill>
              <w14:schemeClr w14:val="tx1"/>
            </w14:solidFill>
          </w14:textFill>
        </w:rPr>
        <w:t>）</w:t>
      </w:r>
      <w:r>
        <w:rPr>
          <w:b/>
          <w:bCs/>
          <w:color w:val="000000" w:themeColor="text1"/>
          <w:spacing w:val="-1"/>
          <w:sz w:val="24"/>
          <w14:textFill>
            <w14:solidFill>
              <w14:schemeClr w14:val="tx1"/>
            </w14:solidFill>
          </w14:textFill>
        </w:rPr>
        <w:t>职工生活垃圾</w:t>
      </w:r>
    </w:p>
    <w:p w14:paraId="2213A3BF">
      <w:pPr>
        <w:spacing w:line="360" w:lineRule="auto"/>
        <w:ind w:firstLine="472" w:firstLineChars="200"/>
        <w:jc w:val="both"/>
        <w:rPr>
          <w:color w:val="000000" w:themeColor="text1"/>
          <w:spacing w:val="-1"/>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①</w:t>
      </w:r>
      <w:r>
        <w:rPr>
          <w:color w:val="000000" w:themeColor="text1"/>
          <w:spacing w:val="-2"/>
          <w:sz w:val="24"/>
          <w14:textFill>
            <w14:solidFill>
              <w14:schemeClr w14:val="tx1"/>
            </w14:solidFill>
          </w14:textFill>
        </w:rPr>
        <w:t>产生情况</w:t>
      </w:r>
    </w:p>
    <w:p w14:paraId="667DA73B">
      <w:pPr>
        <w:spacing w:line="360" w:lineRule="auto"/>
        <w:ind w:firstLine="476" w:firstLineChars="200"/>
        <w:jc w:val="both"/>
        <w:rPr>
          <w:color w:val="000000" w:themeColor="text1"/>
          <w14:textFill>
            <w14:solidFill>
              <w14:schemeClr w14:val="tx1"/>
            </w14:solidFill>
          </w14:textFill>
        </w:rPr>
      </w:pPr>
      <w:bookmarkStart w:id="442" w:name="OLE_LINK4"/>
      <w:r>
        <w:rPr>
          <w:color w:val="000000" w:themeColor="text1"/>
          <w:spacing w:val="-1"/>
          <w:sz w:val="24"/>
          <w14:textFill>
            <w14:solidFill>
              <w14:schemeClr w14:val="tx1"/>
            </w14:solidFill>
          </w14:textFill>
        </w:rPr>
        <w:t>生活垃圾按</w:t>
      </w:r>
      <w:r>
        <w:rPr>
          <w:rFonts w:eastAsia="Times New Roman"/>
          <w:color w:val="000000" w:themeColor="text1"/>
          <w:spacing w:val="-1"/>
          <w:sz w:val="24"/>
          <w14:textFill>
            <w14:solidFill>
              <w14:schemeClr w14:val="tx1"/>
            </w14:solidFill>
          </w14:textFill>
        </w:rPr>
        <w:t>0.5kg/</w:t>
      </w:r>
      <w:r>
        <w:rPr>
          <w:color w:val="000000" w:themeColor="text1"/>
          <w:spacing w:val="-1"/>
          <w:sz w:val="24"/>
          <w14:textFill>
            <w14:solidFill>
              <w14:schemeClr w14:val="tx1"/>
            </w14:solidFill>
          </w14:textFill>
        </w:rPr>
        <w:t>人</w:t>
      </w:r>
      <w:r>
        <w:rPr>
          <w:rFonts w:eastAsia="Times New Roman"/>
          <w:color w:val="000000" w:themeColor="text1"/>
          <w:spacing w:val="-1"/>
          <w:sz w:val="24"/>
          <w14:textFill>
            <w14:solidFill>
              <w14:schemeClr w14:val="tx1"/>
            </w14:solidFill>
          </w14:textFill>
        </w:rPr>
        <w:t>·d</w:t>
      </w:r>
      <w:r>
        <w:rPr>
          <w:color w:val="000000" w:themeColor="text1"/>
          <w:spacing w:val="-1"/>
          <w:sz w:val="24"/>
          <w14:textFill>
            <w14:solidFill>
              <w14:schemeClr w14:val="tx1"/>
            </w14:solidFill>
          </w14:textFill>
        </w:rPr>
        <w:t>计，项目</w:t>
      </w:r>
      <w:r>
        <w:rPr>
          <w:rFonts w:hint="eastAsia"/>
          <w:color w:val="000000" w:themeColor="text1"/>
          <w:spacing w:val="-1"/>
          <w:sz w:val="24"/>
          <w14:textFill>
            <w14:solidFill>
              <w14:schemeClr w14:val="tx1"/>
            </w14:solidFill>
          </w14:textFill>
        </w:rPr>
        <w:t>全养殖区</w:t>
      </w:r>
      <w:r>
        <w:rPr>
          <w:color w:val="000000" w:themeColor="text1"/>
          <w:spacing w:val="-1"/>
          <w:sz w:val="24"/>
          <w14:textFill>
            <w14:solidFill>
              <w14:schemeClr w14:val="tx1"/>
            </w14:solidFill>
          </w14:textFill>
        </w:rPr>
        <w:t>劳动定员50人，生活垃圾</w:t>
      </w:r>
      <w:r>
        <w:rPr>
          <w:color w:val="000000" w:themeColor="text1"/>
          <w:spacing w:val="-2"/>
          <w:sz w:val="24"/>
          <w14:textFill>
            <w14:solidFill>
              <w14:schemeClr w14:val="tx1"/>
            </w14:solidFill>
          </w14:textFill>
        </w:rPr>
        <w:t>产生量为9.125</w:t>
      </w:r>
      <w:r>
        <w:rPr>
          <w:rFonts w:eastAsia="Times New Roman"/>
          <w:color w:val="000000" w:themeColor="text1"/>
          <w:spacing w:val="-2"/>
          <w:sz w:val="24"/>
          <w14:textFill>
            <w14:solidFill>
              <w14:schemeClr w14:val="tx1"/>
            </w14:solidFill>
          </w14:textFill>
        </w:rPr>
        <w:t>t/a</w:t>
      </w:r>
      <w:bookmarkEnd w:id="442"/>
      <w:r>
        <w:rPr>
          <w:color w:val="000000" w:themeColor="text1"/>
          <w:spacing w:val="-2"/>
          <w:sz w:val="24"/>
          <w14:textFill>
            <w14:solidFill>
              <w14:schemeClr w14:val="tx1"/>
            </w14:solidFill>
          </w14:textFill>
        </w:rPr>
        <w:t>。</w:t>
      </w:r>
      <w:r>
        <w:rPr>
          <w:color w:val="000000" w:themeColor="text1"/>
          <w:spacing w:val="-1"/>
          <w:sz w:val="24"/>
          <w14:textFill>
            <w14:solidFill>
              <w14:schemeClr w14:val="tx1"/>
            </w14:solidFill>
          </w14:textFill>
        </w:rPr>
        <w:t>本项目设置有食堂，厨房会产生一定的厨余物，全场餐厨垃圾及隔油池产生的废油脂约为2.0t/a设置专用容积收集。</w:t>
      </w:r>
    </w:p>
    <w:p w14:paraId="7D858242">
      <w:pPr>
        <w:spacing w:line="360" w:lineRule="auto"/>
        <w:ind w:firstLine="472" w:firstLineChars="200"/>
        <w:jc w:val="both"/>
        <w:rPr>
          <w:color w:val="000000" w:themeColor="text1"/>
          <w:spacing w:val="-2"/>
          <w:sz w:val="24"/>
          <w14:textFill>
            <w14:solidFill>
              <w14:schemeClr w14:val="tx1"/>
            </w14:solidFill>
          </w14:textFill>
        </w:rPr>
      </w:pPr>
      <w:bookmarkStart w:id="443" w:name="OLE_LINK18"/>
      <w:r>
        <w:rPr>
          <w:rFonts w:hint="eastAsia" w:ascii="宋体" w:hAnsi="宋体" w:cs="宋体"/>
          <w:color w:val="000000" w:themeColor="text1"/>
          <w:spacing w:val="-2"/>
          <w:sz w:val="24"/>
          <w14:textFill>
            <w14:solidFill>
              <w14:schemeClr w14:val="tx1"/>
            </w14:solidFill>
          </w14:textFill>
        </w:rPr>
        <w:t>②</w:t>
      </w:r>
      <w:r>
        <w:rPr>
          <w:color w:val="000000" w:themeColor="text1"/>
          <w:spacing w:val="-2"/>
          <w:sz w:val="24"/>
          <w14:textFill>
            <w14:solidFill>
              <w14:schemeClr w14:val="tx1"/>
            </w14:solidFill>
          </w14:textFill>
        </w:rPr>
        <w:t>环保措施</w:t>
      </w:r>
    </w:p>
    <w:bookmarkEnd w:id="443"/>
    <w:p w14:paraId="05E3198A">
      <w:pPr>
        <w:spacing w:line="360" w:lineRule="auto"/>
        <w:ind w:firstLine="476" w:firstLineChars="200"/>
        <w:jc w:val="both"/>
        <w:rPr>
          <w:color w:val="000000" w:themeColor="text1"/>
          <w:spacing w:val="-2"/>
          <w:sz w:val="24"/>
          <w14:textFill>
            <w14:solidFill>
              <w14:schemeClr w14:val="tx1"/>
            </w14:solidFill>
          </w14:textFill>
        </w:rPr>
      </w:pPr>
      <w:r>
        <w:rPr>
          <w:color w:val="000000" w:themeColor="text1"/>
          <w:spacing w:val="-1"/>
          <w:sz w:val="24"/>
          <w14:textFill>
            <w14:solidFill>
              <w14:schemeClr w14:val="tx1"/>
            </w14:solidFill>
          </w14:textFill>
        </w:rPr>
        <w:t>生活垃圾</w:t>
      </w:r>
      <w:r>
        <w:rPr>
          <w:color w:val="000000" w:themeColor="text1"/>
          <w:spacing w:val="-2"/>
          <w:sz w:val="24"/>
          <w14:textFill>
            <w14:solidFill>
              <w14:schemeClr w14:val="tx1"/>
            </w14:solidFill>
          </w14:textFill>
        </w:rPr>
        <w:t>经场区内垃圾箱集中收</w:t>
      </w:r>
      <w:r>
        <w:rPr>
          <w:color w:val="000000" w:themeColor="text1"/>
          <w:spacing w:val="-1"/>
          <w:sz w:val="24"/>
          <w14:textFill>
            <w14:solidFill>
              <w14:schemeClr w14:val="tx1"/>
            </w14:solidFill>
          </w14:textFill>
        </w:rPr>
        <w:t>集后由当地环卫部门统一清运处理。</w:t>
      </w:r>
    </w:p>
    <w:p w14:paraId="74576479">
      <w:pPr>
        <w:spacing w:line="360" w:lineRule="auto"/>
        <w:ind w:firstLine="476"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餐厨垃圾及隔油池产生的废油脂收集后交由取得经营许可的餐厨垃圾处理单位处置。</w:t>
      </w:r>
    </w:p>
    <w:p w14:paraId="2E2AB81A">
      <w:pPr>
        <w:tabs>
          <w:tab w:val="left" w:pos="649"/>
        </w:tabs>
        <w:spacing w:line="360" w:lineRule="auto"/>
        <w:ind w:firstLine="478" w:firstLineChars="200"/>
        <w:jc w:val="both"/>
        <w:rPr>
          <w:b/>
          <w:bCs/>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（3）</w:t>
      </w:r>
      <w:r>
        <w:rPr>
          <w:rFonts w:hint="eastAsia"/>
          <w:b/>
          <w:bCs/>
          <w:color w:val="000000" w:themeColor="text1"/>
          <w:spacing w:val="-1"/>
          <w:sz w:val="24"/>
          <w14:textFill>
            <w14:solidFill>
              <w14:schemeClr w14:val="tx1"/>
            </w14:solidFill>
          </w14:textFill>
        </w:rPr>
        <w:t>包</w:t>
      </w:r>
      <w:r>
        <w:rPr>
          <w:b/>
          <w:bCs/>
          <w:color w:val="000000" w:themeColor="text1"/>
          <w:spacing w:val="-1"/>
          <w:sz w:val="24"/>
          <w14:textFill>
            <w14:solidFill>
              <w14:schemeClr w14:val="tx1"/>
            </w14:solidFill>
          </w14:textFill>
        </w:rPr>
        <w:t>装材料</w:t>
      </w:r>
    </w:p>
    <w:p w14:paraId="37E594D0">
      <w:pPr>
        <w:pStyle w:val="547"/>
        <w:numPr>
          <w:ilvl w:val="0"/>
          <w:numId w:val="27"/>
        </w:numPr>
        <w:jc w:val="both"/>
        <w:rPr>
          <w:color w:val="000000" w:themeColor="text1"/>
          <w:spacing w:val="-1"/>
          <w:sz w:val="24"/>
          <w14:textFill>
            <w14:solidFill>
              <w14:schemeClr w14:val="tx1"/>
            </w14:solidFill>
          </w14:textFill>
        </w:rPr>
      </w:pPr>
      <w:r>
        <w:rPr>
          <w:color w:val="000000" w:themeColor="text1"/>
          <w:spacing w:val="-2"/>
          <w:sz w:val="24"/>
          <w14:textFill>
            <w14:solidFill>
              <w14:schemeClr w14:val="tx1"/>
            </w14:solidFill>
          </w14:textFill>
        </w:rPr>
        <w:t>产生情况</w:t>
      </w:r>
    </w:p>
    <w:p w14:paraId="7D8AC17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本项目饲料、除臭剂等原料会产生废包装材料；全场产生量约5t/a。</w:t>
      </w:r>
    </w:p>
    <w:p w14:paraId="4F2C93CC">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②</w:t>
      </w:r>
      <w:r>
        <w:rPr>
          <w:color w:val="000000" w:themeColor="text1"/>
          <w:spacing w:val="-2"/>
          <w:sz w:val="24"/>
          <w14:textFill>
            <w14:solidFill>
              <w14:schemeClr w14:val="tx1"/>
            </w14:solidFill>
          </w14:textFill>
        </w:rPr>
        <w:t>环保措施</w:t>
      </w:r>
    </w:p>
    <w:p w14:paraId="7C2EE15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废包装材料统一收集后外售废品回收站。</w:t>
      </w:r>
    </w:p>
    <w:p w14:paraId="2D876D1F">
      <w:pPr>
        <w:tabs>
          <w:tab w:val="left" w:pos="649"/>
        </w:tabs>
        <w:spacing w:line="360" w:lineRule="auto"/>
        <w:ind w:firstLine="478" w:firstLineChars="200"/>
        <w:rPr>
          <w:b/>
          <w:bCs/>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（4</w:t>
      </w:r>
      <w:r>
        <w:rPr>
          <w:rFonts w:hint="eastAsia"/>
          <w:b/>
          <w:bCs/>
          <w:color w:val="000000" w:themeColor="text1"/>
          <w:spacing w:val="-1"/>
          <w:sz w:val="24"/>
          <w14:textFill>
            <w14:solidFill>
              <w14:schemeClr w14:val="tx1"/>
            </w14:solidFill>
          </w14:textFill>
        </w:rPr>
        <w:t>）</w:t>
      </w:r>
      <w:r>
        <w:rPr>
          <w:b/>
          <w:bCs/>
          <w:color w:val="000000" w:themeColor="text1"/>
          <w:spacing w:val="-1"/>
          <w:sz w:val="24"/>
          <w14:textFill>
            <w14:solidFill>
              <w14:schemeClr w14:val="tx1"/>
            </w14:solidFill>
          </w14:textFill>
        </w:rPr>
        <w:t>饲料残渣</w:t>
      </w:r>
    </w:p>
    <w:p w14:paraId="3F71FFD3">
      <w:pPr>
        <w:spacing w:line="360" w:lineRule="auto"/>
        <w:ind w:firstLine="472" w:firstLineChars="200"/>
        <w:rPr>
          <w:color w:val="000000" w:themeColor="text1"/>
          <w:spacing w:val="-1"/>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①</w:t>
      </w:r>
      <w:r>
        <w:rPr>
          <w:color w:val="000000" w:themeColor="text1"/>
          <w:spacing w:val="-2"/>
          <w:sz w:val="24"/>
          <w14:textFill>
            <w14:solidFill>
              <w14:schemeClr w14:val="tx1"/>
            </w14:solidFill>
          </w14:textFill>
        </w:rPr>
        <w:t>产生情况</w:t>
      </w:r>
    </w:p>
    <w:p w14:paraId="34B26E9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本项目全场养殖饲料年用量为</w:t>
      </w:r>
      <w:r>
        <w:rPr>
          <w:rFonts w:hint="eastAsia"/>
          <w:color w:val="000000" w:themeColor="text1"/>
          <w:sz w:val="24"/>
          <w14:textFill>
            <w14:solidFill>
              <w14:schemeClr w14:val="tx1"/>
            </w14:solidFill>
          </w14:textFill>
        </w:rPr>
        <w:t>76063.32</w:t>
      </w:r>
      <w:r>
        <w:rPr>
          <w:color w:val="000000" w:themeColor="text1"/>
          <w:sz w:val="24"/>
          <w14:textFill>
            <w14:solidFill>
              <w14:schemeClr w14:val="tx1"/>
            </w14:solidFill>
          </w14:textFill>
        </w:rPr>
        <w:t>t/a，食槽内残余饲料量按供给量的0.01%计</w:t>
      </w:r>
      <w:r>
        <w:rPr>
          <w:rFonts w:hint="eastAsia"/>
          <w:color w:val="000000" w:themeColor="text1"/>
          <w:sz w:val="24"/>
          <w14:textFill>
            <w14:solidFill>
              <w14:schemeClr w14:val="tx1"/>
            </w14:solidFill>
          </w14:textFill>
        </w:rPr>
        <w:t>，则产生量为</w:t>
      </w:r>
      <w:bookmarkStart w:id="444" w:name="OLE_LINK19"/>
      <w:r>
        <w:rPr>
          <w:rFonts w:hint="eastAsia"/>
          <w:color w:val="000000" w:themeColor="text1"/>
          <w:sz w:val="24"/>
          <w14:textFill>
            <w14:solidFill>
              <w14:schemeClr w14:val="tx1"/>
            </w14:solidFill>
          </w14:textFill>
        </w:rPr>
        <w:t>7.6064</w:t>
      </w:r>
      <w:bookmarkEnd w:id="444"/>
      <w:r>
        <w:rPr>
          <w:rFonts w:hint="eastAsia"/>
          <w:color w:val="000000" w:themeColor="text1"/>
          <w:sz w:val="24"/>
          <w14:textFill>
            <w14:solidFill>
              <w14:schemeClr w14:val="tx1"/>
            </w14:solidFill>
          </w14:textFill>
        </w:rPr>
        <w:t>t/a；</w:t>
      </w:r>
    </w:p>
    <w:p w14:paraId="4E7CA6B6">
      <w:pPr>
        <w:pStyle w:val="547"/>
        <w:numPr>
          <w:ilvl w:val="0"/>
          <w:numId w:val="27"/>
        </w:numPr>
        <w:jc w:val="both"/>
        <w:rPr>
          <w:color w:val="000000" w:themeColor="text1"/>
          <w:spacing w:val="-2"/>
          <w:sz w:val="24"/>
          <w14:textFill>
            <w14:solidFill>
              <w14:schemeClr w14:val="tx1"/>
            </w14:solidFill>
          </w14:textFill>
        </w:rPr>
      </w:pPr>
      <w:r>
        <w:rPr>
          <w:rFonts w:hint="eastAsia"/>
          <w:color w:val="000000" w:themeColor="text1"/>
          <w:spacing w:val="-2"/>
          <w:sz w:val="24"/>
          <w14:textFill>
            <w14:solidFill>
              <w14:schemeClr w14:val="tx1"/>
            </w14:solidFill>
          </w14:textFill>
        </w:rPr>
        <w:t>环保措施</w:t>
      </w:r>
    </w:p>
    <w:p w14:paraId="1F14826A">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饲料残渣</w:t>
      </w:r>
      <w:r>
        <w:rPr>
          <w:rFonts w:hint="eastAsia"/>
          <w:color w:val="000000" w:themeColor="text1"/>
          <w:sz w:val="24"/>
          <w14:textFill>
            <w14:solidFill>
              <w14:schemeClr w14:val="tx1"/>
            </w14:solidFill>
          </w14:textFill>
        </w:rPr>
        <w:t>随牛粪、牛尿一起形成发酵垫料，随废弃垫料一同外运处置</w:t>
      </w:r>
      <w:r>
        <w:rPr>
          <w:color w:val="000000" w:themeColor="text1"/>
          <w:sz w:val="24"/>
          <w14:textFill>
            <w14:solidFill>
              <w14:schemeClr w14:val="tx1"/>
            </w14:solidFill>
          </w14:textFill>
        </w:rPr>
        <w:t>。</w:t>
      </w:r>
    </w:p>
    <w:p w14:paraId="404BF75D">
      <w:pPr>
        <w:pStyle w:val="87"/>
        <w:rPr>
          <w:color w:val="000000" w:themeColor="text1"/>
          <w:sz w:val="24"/>
          <w:szCs w:val="22"/>
          <w:lang w:val="en-US"/>
          <w14:textFill>
            <w14:solidFill>
              <w14:schemeClr w14:val="tx1"/>
            </w14:solidFill>
          </w14:textFill>
        </w:rPr>
      </w:pPr>
      <w:r>
        <w:rPr>
          <w:color w:val="000000" w:themeColor="text1"/>
          <w:spacing w:val="-1"/>
          <w:sz w:val="24"/>
          <w14:textFill>
            <w14:solidFill>
              <w14:schemeClr w14:val="tx1"/>
            </w14:solidFill>
          </w14:textFill>
        </w:rPr>
        <w:t>（</w:t>
      </w:r>
      <w:r>
        <w:rPr>
          <w:color w:val="000000" w:themeColor="text1"/>
          <w:spacing w:val="-1"/>
          <w:sz w:val="24"/>
          <w:lang w:val="en-US"/>
          <w14:textFill>
            <w14:solidFill>
              <w14:schemeClr w14:val="tx1"/>
            </w14:solidFill>
          </w14:textFill>
        </w:rPr>
        <w:t>5</w:t>
      </w:r>
      <w:r>
        <w:rPr>
          <w:color w:val="000000" w:themeColor="text1"/>
          <w:spacing w:val="-1"/>
          <w:sz w:val="24"/>
          <w14:textFill>
            <w14:solidFill>
              <w14:schemeClr w14:val="tx1"/>
            </w14:solidFill>
          </w14:textFill>
        </w:rPr>
        <w:t>）病死牛</w:t>
      </w:r>
    </w:p>
    <w:p w14:paraId="3D5D78A3">
      <w:pPr>
        <w:spacing w:line="360" w:lineRule="auto"/>
        <w:ind w:firstLine="472" w:firstLineChars="200"/>
        <w:jc w:val="both"/>
        <w:rPr>
          <w:color w:val="000000" w:themeColor="text1"/>
          <w:spacing w:val="-4"/>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①</w:t>
      </w:r>
      <w:r>
        <w:rPr>
          <w:color w:val="000000" w:themeColor="text1"/>
          <w:spacing w:val="-2"/>
          <w:sz w:val="24"/>
          <w14:textFill>
            <w14:solidFill>
              <w14:schemeClr w14:val="tx1"/>
            </w14:solidFill>
          </w14:textFill>
        </w:rPr>
        <w:t>产生情况</w:t>
      </w:r>
    </w:p>
    <w:p w14:paraId="45E9D47D">
      <w:pPr>
        <w:spacing w:line="360" w:lineRule="auto"/>
        <w:ind w:firstLine="464" w:firstLineChars="200"/>
        <w:jc w:val="both"/>
        <w:rPr>
          <w:color w:val="000000" w:themeColor="text1"/>
          <w:spacing w:val="-2"/>
          <w:sz w:val="24"/>
          <w14:textFill>
            <w14:solidFill>
              <w14:schemeClr w14:val="tx1"/>
            </w14:solidFill>
          </w14:textFill>
        </w:rPr>
      </w:pPr>
      <w:r>
        <w:rPr>
          <w:color w:val="000000" w:themeColor="text1"/>
          <w:spacing w:val="-4"/>
          <w:sz w:val="24"/>
          <w14:textFill>
            <w14:solidFill>
              <w14:schemeClr w14:val="tx1"/>
            </w14:solidFill>
          </w14:textFill>
        </w:rPr>
        <w:t>根据类比同类企业和相关资料统计，牛只的死亡率一般占存栏量的0.</w:t>
      </w:r>
      <w:r>
        <w:rPr>
          <w:rFonts w:hint="eastAsia"/>
          <w:color w:val="000000" w:themeColor="text1"/>
          <w:spacing w:val="-4"/>
          <w:sz w:val="24"/>
          <w14:textFill>
            <w14:solidFill>
              <w14:schemeClr w14:val="tx1"/>
            </w14:solidFill>
          </w14:textFill>
        </w:rPr>
        <w:t>0</w:t>
      </w:r>
      <w:r>
        <w:rPr>
          <w:color w:val="000000" w:themeColor="text1"/>
          <w:spacing w:val="-4"/>
          <w:sz w:val="24"/>
          <w14:textFill>
            <w14:solidFill>
              <w14:schemeClr w14:val="tx1"/>
            </w14:solidFill>
          </w14:textFill>
        </w:rPr>
        <w:t>1%</w:t>
      </w:r>
      <w:r>
        <w:rPr>
          <w:color w:val="000000" w:themeColor="text1"/>
          <w:spacing w:val="-1"/>
          <w:sz w:val="24"/>
          <w14:textFill>
            <w14:solidFill>
              <w14:schemeClr w14:val="tx1"/>
            </w14:solidFill>
          </w14:textFill>
        </w:rPr>
        <w:t>，则</w:t>
      </w:r>
      <w:r>
        <w:rPr>
          <w:color w:val="000000" w:themeColor="text1"/>
          <w:spacing w:val="-2"/>
          <w:sz w:val="24"/>
          <w14:textFill>
            <w14:solidFill>
              <w14:schemeClr w14:val="tx1"/>
            </w14:solidFill>
          </w14:textFill>
        </w:rPr>
        <w:t>全场</w:t>
      </w:r>
      <w:r>
        <w:rPr>
          <w:color w:val="000000" w:themeColor="text1"/>
          <w:spacing w:val="-1"/>
          <w:sz w:val="24"/>
          <w14:textFill>
            <w14:solidFill>
              <w14:schemeClr w14:val="tx1"/>
            </w14:solidFill>
          </w14:textFill>
        </w:rPr>
        <w:t>病死</w:t>
      </w:r>
      <w:r>
        <w:rPr>
          <w:rFonts w:hint="eastAsia"/>
          <w:color w:val="000000" w:themeColor="text1"/>
          <w:spacing w:val="-1"/>
          <w:sz w:val="24"/>
          <w14:textFill>
            <w14:solidFill>
              <w14:schemeClr w14:val="tx1"/>
            </w14:solidFill>
          </w14:textFill>
        </w:rPr>
        <w:t>牛</w:t>
      </w:r>
      <w:r>
        <w:rPr>
          <w:color w:val="000000" w:themeColor="text1"/>
          <w:spacing w:val="-1"/>
          <w:sz w:val="24"/>
          <w14:textFill>
            <w14:solidFill>
              <w14:schemeClr w14:val="tx1"/>
            </w14:solidFill>
          </w14:textFill>
        </w:rPr>
        <w:t>产生量</w:t>
      </w:r>
      <w:r>
        <w:rPr>
          <w:color w:val="000000" w:themeColor="text1"/>
          <w:spacing w:val="-2"/>
          <w:sz w:val="24"/>
          <w14:textFill>
            <w14:solidFill>
              <w14:schemeClr w14:val="tx1"/>
            </w14:solidFill>
          </w14:textFill>
        </w:rPr>
        <w:t>约2</w:t>
      </w:r>
      <w:r>
        <w:rPr>
          <w:rFonts w:hint="eastAsia"/>
          <w:color w:val="000000" w:themeColor="text1"/>
          <w:spacing w:val="-2"/>
          <w:sz w:val="24"/>
          <w14:textFill>
            <w14:solidFill>
              <w14:schemeClr w14:val="tx1"/>
            </w14:solidFill>
          </w14:textFill>
        </w:rPr>
        <w:t>2</w:t>
      </w:r>
      <w:r>
        <w:rPr>
          <w:color w:val="000000" w:themeColor="text1"/>
          <w:spacing w:val="-2"/>
          <w:sz w:val="24"/>
          <w14:textFill>
            <w14:solidFill>
              <w14:schemeClr w14:val="tx1"/>
            </w14:solidFill>
          </w14:textFill>
        </w:rPr>
        <w:t>只/年，</w:t>
      </w:r>
      <w:r>
        <w:rPr>
          <w:rFonts w:hint="eastAsia"/>
          <w:color w:val="000000" w:themeColor="text1"/>
          <w:spacing w:val="-2"/>
          <w:sz w:val="24"/>
          <w14:textFill>
            <w14:solidFill>
              <w14:schemeClr w14:val="tx1"/>
            </w14:solidFill>
          </w14:textFill>
        </w:rPr>
        <w:t>平均</w:t>
      </w:r>
      <w:r>
        <w:rPr>
          <w:color w:val="000000" w:themeColor="text1"/>
          <w:spacing w:val="-1"/>
          <w:sz w:val="24"/>
          <w14:textFill>
            <w14:solidFill>
              <w14:schemeClr w14:val="tx1"/>
            </w14:solidFill>
          </w14:textFill>
        </w:rPr>
        <w:t>每只</w:t>
      </w:r>
      <w:r>
        <w:rPr>
          <w:color w:val="000000" w:themeColor="text1"/>
          <w:spacing w:val="-2"/>
          <w:sz w:val="24"/>
          <w14:textFill>
            <w14:solidFill>
              <w14:schemeClr w14:val="tx1"/>
            </w14:solidFill>
          </w14:textFill>
        </w:rPr>
        <w:t>牛重约</w:t>
      </w:r>
      <w:r>
        <w:rPr>
          <w:rFonts w:hint="eastAsia"/>
          <w:color w:val="000000" w:themeColor="text1"/>
          <w:spacing w:val="-2"/>
          <w:sz w:val="24"/>
          <w14:textFill>
            <w14:solidFill>
              <w14:schemeClr w14:val="tx1"/>
            </w14:solidFill>
          </w14:textFill>
        </w:rPr>
        <w:t>4</w:t>
      </w:r>
      <w:r>
        <w:rPr>
          <w:color w:val="000000" w:themeColor="text1"/>
          <w:spacing w:val="-2"/>
          <w:sz w:val="24"/>
          <w14:textFill>
            <w14:solidFill>
              <w14:schemeClr w14:val="tx1"/>
            </w14:solidFill>
          </w14:textFill>
        </w:rPr>
        <w:t>00kg，则病死牛产生量约为8</w:t>
      </w:r>
      <w:r>
        <w:rPr>
          <w:rFonts w:hint="eastAsia"/>
          <w:color w:val="000000" w:themeColor="text1"/>
          <w:spacing w:val="-2"/>
          <w:sz w:val="24"/>
          <w14:textFill>
            <w14:solidFill>
              <w14:schemeClr w14:val="tx1"/>
            </w14:solidFill>
          </w14:textFill>
        </w:rPr>
        <w:t>.8</w:t>
      </w:r>
      <w:r>
        <w:rPr>
          <w:color w:val="000000" w:themeColor="text1"/>
          <w:spacing w:val="-2"/>
          <w:sz w:val="24"/>
          <w14:textFill>
            <w14:solidFill>
              <w14:schemeClr w14:val="tx1"/>
            </w14:solidFill>
          </w14:textFill>
        </w:rPr>
        <w:t>t/a；</w:t>
      </w:r>
    </w:p>
    <w:p w14:paraId="36899FFE">
      <w:pPr>
        <w:pStyle w:val="547"/>
        <w:numPr>
          <w:ilvl w:val="0"/>
          <w:numId w:val="27"/>
        </w:numPr>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环保措施</w:t>
      </w:r>
    </w:p>
    <w:p w14:paraId="58CBB248">
      <w:pPr>
        <w:spacing w:line="360" w:lineRule="auto"/>
        <w:ind w:firstLine="472" w:firstLineChars="200"/>
        <w:jc w:val="both"/>
        <w:rPr>
          <w:color w:val="000000" w:themeColor="text1"/>
          <w:spacing w:val="-2"/>
          <w:sz w:val="24"/>
          <w14:textFill>
            <w14:solidFill>
              <w14:schemeClr w14:val="tx1"/>
            </w14:solidFill>
          </w14:textFill>
        </w:rPr>
      </w:pPr>
      <w:r>
        <w:rPr>
          <w:rFonts w:hint="eastAsia"/>
          <w:color w:val="000000" w:themeColor="text1"/>
          <w:spacing w:val="-2"/>
          <w:sz w:val="24"/>
          <w14:textFill>
            <w14:solidFill>
              <w14:schemeClr w14:val="tx1"/>
            </w14:solidFill>
          </w14:textFill>
        </w:rPr>
        <w:t>日产日清，</w:t>
      </w:r>
      <w:r>
        <w:rPr>
          <w:color w:val="000000" w:themeColor="text1"/>
          <w:spacing w:val="-2"/>
          <w:sz w:val="24"/>
          <w14:textFill>
            <w14:solidFill>
              <w14:schemeClr w14:val="tx1"/>
            </w14:solidFill>
          </w14:textFill>
        </w:rPr>
        <w:t>委托</w:t>
      </w:r>
      <w:bookmarkStart w:id="445" w:name="OLE_LINK14"/>
      <w:bookmarkStart w:id="446" w:name="OLE_LINK13"/>
      <w:r>
        <w:rPr>
          <w:color w:val="000000" w:themeColor="text1"/>
          <w:spacing w:val="-2"/>
          <w:sz w:val="24"/>
          <w14:textFill>
            <w14:solidFill>
              <w14:schemeClr w14:val="tx1"/>
            </w14:solidFill>
          </w14:textFill>
        </w:rPr>
        <w:t>四川科农动物无害化处理有限公司</w:t>
      </w:r>
      <w:bookmarkEnd w:id="445"/>
      <w:bookmarkEnd w:id="446"/>
      <w:r>
        <w:rPr>
          <w:color w:val="000000" w:themeColor="text1"/>
          <w:spacing w:val="-2"/>
          <w:sz w:val="24"/>
          <w14:textFill>
            <w14:solidFill>
              <w14:schemeClr w14:val="tx1"/>
            </w14:solidFill>
          </w14:textFill>
        </w:rPr>
        <w:t>无害化处理中心处置</w:t>
      </w:r>
      <w:r>
        <w:rPr>
          <w:rFonts w:hint="eastAsia"/>
          <w:color w:val="000000" w:themeColor="text1"/>
          <w:spacing w:val="-2"/>
          <w:sz w:val="24"/>
          <w14:textFill>
            <w14:solidFill>
              <w14:schemeClr w14:val="tx1"/>
            </w14:solidFill>
          </w14:textFill>
        </w:rPr>
        <w:t>，已与该单位签订处置协议，见附件</w:t>
      </w:r>
      <w:r>
        <w:rPr>
          <w:color w:val="000000" w:themeColor="text1"/>
          <w:spacing w:val="-2"/>
          <w:sz w:val="24"/>
          <w14:textFill>
            <w14:solidFill>
              <w14:schemeClr w14:val="tx1"/>
            </w14:solidFill>
          </w14:textFill>
        </w:rPr>
        <w:t>。</w:t>
      </w:r>
    </w:p>
    <w:p w14:paraId="0D074ABD">
      <w:pPr>
        <w:pStyle w:val="87"/>
        <w:ind w:left="630" w:firstLine="0"/>
        <w:rPr>
          <w:color w:val="000000" w:themeColor="text1"/>
          <w:spacing w:val="-1"/>
          <w:sz w:val="24"/>
          <w:lang w:val="en-US"/>
          <w14:textFill>
            <w14:solidFill>
              <w14:schemeClr w14:val="tx1"/>
            </w14:solidFill>
          </w14:textFill>
        </w:rPr>
      </w:pPr>
      <w:r>
        <w:rPr>
          <w:color w:val="000000" w:themeColor="text1"/>
          <w:spacing w:val="-1"/>
          <w:sz w:val="24"/>
          <w14:textFill>
            <w14:solidFill>
              <w14:schemeClr w14:val="tx1"/>
            </w14:solidFill>
          </w14:textFill>
        </w:rPr>
        <w:t>（</w:t>
      </w:r>
      <w:r>
        <w:rPr>
          <w:color w:val="000000" w:themeColor="text1"/>
          <w:spacing w:val="-1"/>
          <w:sz w:val="24"/>
          <w:lang w:val="en-US"/>
          <w14:textFill>
            <w14:solidFill>
              <w14:schemeClr w14:val="tx1"/>
            </w14:solidFill>
          </w14:textFill>
        </w:rPr>
        <w:t>6</w:t>
      </w:r>
      <w:r>
        <w:rPr>
          <w:color w:val="000000" w:themeColor="text1"/>
          <w:spacing w:val="-1"/>
          <w:sz w:val="24"/>
          <w14:textFill>
            <w14:solidFill>
              <w14:schemeClr w14:val="tx1"/>
            </w14:solidFill>
          </w14:textFill>
        </w:rPr>
        <w:t>）</w:t>
      </w:r>
      <w:r>
        <w:rPr>
          <w:color w:val="000000" w:themeColor="text1"/>
          <w:spacing w:val="-1"/>
          <w:sz w:val="24"/>
          <w:lang w:val="en-US"/>
          <w14:textFill>
            <w14:solidFill>
              <w14:schemeClr w14:val="tx1"/>
            </w14:solidFill>
          </w14:textFill>
        </w:rPr>
        <w:t>动物医疗废物</w:t>
      </w:r>
    </w:p>
    <w:p w14:paraId="6BCAEF7A">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①</w:t>
      </w:r>
      <w:r>
        <w:rPr>
          <w:color w:val="000000" w:themeColor="text1"/>
          <w:spacing w:val="-2"/>
          <w:sz w:val="24"/>
          <w14:textFill>
            <w14:solidFill>
              <w14:schemeClr w14:val="tx1"/>
            </w14:solidFill>
          </w14:textFill>
        </w:rPr>
        <w:t>产生情况</w:t>
      </w:r>
    </w:p>
    <w:p w14:paraId="63520BB6">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项目运营期间产生的</w:t>
      </w:r>
      <w:r>
        <w:rPr>
          <w:color w:val="000000" w:themeColor="text1"/>
          <w:spacing w:val="-1"/>
          <w:sz w:val="24"/>
          <w14:textFill>
            <w14:solidFill>
              <w14:schemeClr w14:val="tx1"/>
            </w14:solidFill>
          </w14:textFill>
        </w:rPr>
        <w:t>动物医疗废物</w:t>
      </w:r>
      <w:r>
        <w:rPr>
          <w:color w:val="000000" w:themeColor="text1"/>
          <w:spacing w:val="-2"/>
          <w:sz w:val="24"/>
          <w14:textFill>
            <w14:solidFill>
              <w14:schemeClr w14:val="tx1"/>
            </w14:solidFill>
          </w14:textFill>
        </w:rPr>
        <w:t>主要为牛只防疫、治疗生病牛只产生的废弃医疗器具</w:t>
      </w:r>
      <w:r>
        <w:rPr>
          <w:color w:val="000000" w:themeColor="text1"/>
          <w:spacing w:val="12"/>
          <w:sz w:val="24"/>
          <w14:textFill>
            <w14:solidFill>
              <w14:schemeClr w14:val="tx1"/>
            </w14:solidFill>
          </w14:textFill>
        </w:rPr>
        <w:t>（感染性废</w:t>
      </w:r>
      <w:r>
        <w:rPr>
          <w:color w:val="000000" w:themeColor="text1"/>
          <w:spacing w:val="2"/>
          <w:sz w:val="24"/>
          <w14:textFill>
            <w14:solidFill>
              <w14:schemeClr w14:val="tx1"/>
            </w14:solidFill>
          </w14:textFill>
        </w:rPr>
        <w:t>物、</w:t>
      </w:r>
      <w:r>
        <w:rPr>
          <w:color w:val="000000" w:themeColor="text1"/>
          <w:spacing w:val="12"/>
          <w:sz w:val="24"/>
          <w14:textFill>
            <w14:solidFill>
              <w14:schemeClr w14:val="tx1"/>
            </w14:solidFill>
          </w14:textFill>
        </w:rPr>
        <w:t>损伤性废物</w:t>
      </w:r>
      <w:r>
        <w:rPr>
          <w:color w:val="000000" w:themeColor="text1"/>
          <w:spacing w:val="2"/>
          <w:sz w:val="24"/>
          <w14:textFill>
            <w14:solidFill>
              <w14:schemeClr w14:val="tx1"/>
            </w14:solidFill>
          </w14:textFill>
        </w:rPr>
        <w:t>）</w:t>
      </w:r>
      <w:r>
        <w:rPr>
          <w:color w:val="000000" w:themeColor="text1"/>
          <w:spacing w:val="-2"/>
          <w:sz w:val="24"/>
          <w14:textFill>
            <w14:solidFill>
              <w14:schemeClr w14:val="tx1"/>
            </w14:solidFill>
          </w14:textFill>
        </w:rPr>
        <w:t>、药物包装袋/瓶及过期废弃药物（</w:t>
      </w:r>
      <w:r>
        <w:rPr>
          <w:color w:val="000000" w:themeColor="text1"/>
          <w:spacing w:val="2"/>
          <w:sz w:val="24"/>
          <w14:textFill>
            <w14:solidFill>
              <w14:schemeClr w14:val="tx1"/>
            </w14:solidFill>
          </w14:textFill>
        </w:rPr>
        <w:t>药物性废物</w:t>
      </w:r>
      <w:r>
        <w:rPr>
          <w:color w:val="000000" w:themeColor="text1"/>
          <w:spacing w:val="-2"/>
          <w:sz w:val="24"/>
          <w14:textFill>
            <w14:solidFill>
              <w14:schemeClr w14:val="tx1"/>
            </w14:solidFill>
          </w14:textFill>
        </w:rPr>
        <w:t>）。参照</w:t>
      </w:r>
      <w:r>
        <w:rPr>
          <w:color w:val="000000" w:themeColor="text1"/>
          <w:spacing w:val="1"/>
          <w:sz w:val="24"/>
          <w14:textFill>
            <w14:solidFill>
              <w14:schemeClr w14:val="tx1"/>
            </w14:solidFill>
          </w14:textFill>
        </w:rPr>
        <w:t>《医疗废物处理处置污染控制标准》（GB39707-2020）要求进行处置</w:t>
      </w:r>
      <w:r>
        <w:rPr>
          <w:color w:val="000000" w:themeColor="text1"/>
          <w:spacing w:val="2"/>
          <w:sz w:val="24"/>
          <w14:textFill>
            <w14:solidFill>
              <w14:schemeClr w14:val="tx1"/>
            </w14:solidFill>
          </w14:textFill>
        </w:rPr>
        <w:t>。</w:t>
      </w:r>
      <w:r>
        <w:rPr>
          <w:color w:val="000000" w:themeColor="text1"/>
          <w:spacing w:val="-2"/>
          <w:sz w:val="24"/>
          <w14:textFill>
            <w14:solidFill>
              <w14:schemeClr w14:val="tx1"/>
            </w14:solidFill>
          </w14:textFill>
        </w:rPr>
        <w:t>根据企业的经验数据，每头牛防疫等产生医疗量约为0.05kg/a，则拟建项目兽用医疗废弃物产生量为1</w:t>
      </w:r>
      <w:r>
        <w:rPr>
          <w:rFonts w:hint="eastAsia"/>
          <w:color w:val="000000" w:themeColor="text1"/>
          <w:spacing w:val="-2"/>
          <w:sz w:val="24"/>
          <w14:textFill>
            <w14:solidFill>
              <w14:schemeClr w14:val="tx1"/>
            </w14:solidFill>
          </w14:textFill>
        </w:rPr>
        <w:t>.059</w:t>
      </w:r>
      <w:r>
        <w:rPr>
          <w:color w:val="000000" w:themeColor="text1"/>
          <w:spacing w:val="-2"/>
          <w:sz w:val="24"/>
          <w14:textFill>
            <w14:solidFill>
              <w14:schemeClr w14:val="tx1"/>
            </w14:solidFill>
          </w14:textFill>
        </w:rPr>
        <w:t>t/a。</w:t>
      </w:r>
    </w:p>
    <w:p w14:paraId="5D9830A3">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②</w:t>
      </w:r>
      <w:r>
        <w:rPr>
          <w:color w:val="000000" w:themeColor="text1"/>
          <w:spacing w:val="-2"/>
          <w:sz w:val="24"/>
          <w14:textFill>
            <w14:solidFill>
              <w14:schemeClr w14:val="tx1"/>
            </w14:solidFill>
          </w14:textFill>
        </w:rPr>
        <w:t>环保措施</w:t>
      </w:r>
    </w:p>
    <w:p w14:paraId="328ED028">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项目拟在</w:t>
      </w:r>
      <w:r>
        <w:rPr>
          <w:rFonts w:hint="eastAsia"/>
          <w:color w:val="000000" w:themeColor="text1"/>
          <w:spacing w:val="-2"/>
          <w:sz w:val="24"/>
          <w14:textFill>
            <w14:solidFill>
              <w14:schemeClr w14:val="tx1"/>
            </w14:solidFill>
          </w14:textFill>
        </w:rPr>
        <w:t>各养殖</w:t>
      </w:r>
      <w:r>
        <w:rPr>
          <w:color w:val="000000" w:themeColor="text1"/>
          <w:spacing w:val="-2"/>
          <w:sz w:val="24"/>
          <w14:textFill>
            <w14:solidFill>
              <w14:schemeClr w14:val="tx1"/>
            </w14:solidFill>
          </w14:textFill>
        </w:rPr>
        <w:t>场</w:t>
      </w:r>
      <w:r>
        <w:rPr>
          <w:rFonts w:hint="eastAsia"/>
          <w:color w:val="000000" w:themeColor="text1"/>
          <w:spacing w:val="-2"/>
          <w:sz w:val="24"/>
          <w14:textFill>
            <w14:solidFill>
              <w14:schemeClr w14:val="tx1"/>
            </w14:solidFill>
          </w14:textFill>
        </w:rPr>
        <w:t>区</w:t>
      </w:r>
      <w:r>
        <w:rPr>
          <w:color w:val="000000" w:themeColor="text1"/>
          <w:spacing w:val="-2"/>
          <w:sz w:val="24"/>
          <w14:textFill>
            <w14:solidFill>
              <w14:schemeClr w14:val="tx1"/>
            </w14:solidFill>
          </w14:textFill>
        </w:rPr>
        <w:t>内设置一间</w:t>
      </w:r>
      <w:r>
        <w:rPr>
          <w:rFonts w:hint="eastAsia"/>
          <w:color w:val="000000" w:themeColor="text1"/>
          <w:spacing w:val="-2"/>
          <w:sz w:val="24"/>
          <w14:textFill>
            <w14:solidFill>
              <w14:schemeClr w14:val="tx1"/>
            </w14:solidFill>
          </w14:textFill>
        </w:rPr>
        <w:t>医</w:t>
      </w:r>
      <w:r>
        <w:rPr>
          <w:color w:val="000000" w:themeColor="text1"/>
          <w:spacing w:val="-2"/>
          <w:sz w:val="24"/>
          <w14:textFill>
            <w14:solidFill>
              <w14:schemeClr w14:val="tx1"/>
            </w14:solidFill>
          </w14:textFill>
        </w:rPr>
        <w:t>废暂存间，</w:t>
      </w:r>
      <w:r>
        <w:rPr>
          <w:color w:val="000000" w:themeColor="text1"/>
          <w:spacing w:val="-1"/>
          <w:sz w:val="24"/>
          <w14:textFill>
            <w14:solidFill>
              <w14:schemeClr w14:val="tx1"/>
            </w14:solidFill>
          </w14:textFill>
        </w:rPr>
        <w:t>动物医疗废物</w:t>
      </w:r>
      <w:r>
        <w:rPr>
          <w:color w:val="000000" w:themeColor="text1"/>
          <w:spacing w:val="-2"/>
          <w:sz w:val="24"/>
          <w14:textFill>
            <w14:solidFill>
              <w14:schemeClr w14:val="tx1"/>
            </w14:solidFill>
          </w14:textFill>
        </w:rPr>
        <w:t>分类收集后暂存于</w:t>
      </w:r>
      <w:r>
        <w:rPr>
          <w:rFonts w:hint="eastAsia"/>
          <w:color w:val="000000" w:themeColor="text1"/>
          <w:spacing w:val="-2"/>
          <w:sz w:val="24"/>
          <w14:textFill>
            <w14:solidFill>
              <w14:schemeClr w14:val="tx1"/>
            </w14:solidFill>
          </w14:textFill>
        </w:rPr>
        <w:t>医</w:t>
      </w:r>
      <w:r>
        <w:rPr>
          <w:color w:val="000000" w:themeColor="text1"/>
          <w:spacing w:val="-2"/>
          <w:sz w:val="24"/>
          <w14:textFill>
            <w14:solidFill>
              <w14:schemeClr w14:val="tx1"/>
            </w14:solidFill>
          </w14:textFill>
        </w:rPr>
        <w:t>废暂存间，定期交由有资质单位处理，签订协议并设立台账。</w:t>
      </w:r>
    </w:p>
    <w:p w14:paraId="2BD45A6F">
      <w:pPr>
        <w:spacing w:line="360" w:lineRule="auto"/>
        <w:ind w:firstLine="484"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本环评要求建设单位在</w:t>
      </w:r>
      <w:r>
        <w:rPr>
          <w:rFonts w:hint="eastAsia"/>
          <w:color w:val="000000" w:themeColor="text1"/>
          <w:spacing w:val="1"/>
          <w:sz w:val="24"/>
          <w14:textFill>
            <w14:solidFill>
              <w14:schemeClr w14:val="tx1"/>
            </w14:solidFill>
          </w14:textFill>
        </w:rPr>
        <w:t>各养殖</w:t>
      </w:r>
      <w:r>
        <w:rPr>
          <w:color w:val="000000" w:themeColor="text1"/>
          <w:spacing w:val="-2"/>
          <w:sz w:val="24"/>
          <w14:textFill>
            <w14:solidFill>
              <w14:schemeClr w14:val="tx1"/>
            </w14:solidFill>
          </w14:textFill>
        </w:rPr>
        <w:t>场内</w:t>
      </w:r>
      <w:r>
        <w:rPr>
          <w:color w:val="000000" w:themeColor="text1"/>
          <w:spacing w:val="1"/>
          <w:sz w:val="24"/>
          <w14:textFill>
            <w14:solidFill>
              <w14:schemeClr w14:val="tx1"/>
            </w14:solidFill>
          </w14:textFill>
        </w:rPr>
        <w:t>设置</w:t>
      </w:r>
      <w:r>
        <w:rPr>
          <w:rFonts w:eastAsia="Times New Roman"/>
          <w:color w:val="000000" w:themeColor="text1"/>
          <w:spacing w:val="1"/>
          <w:sz w:val="24"/>
          <w14:textFill>
            <w14:solidFill>
              <w14:schemeClr w14:val="tx1"/>
            </w14:solidFill>
          </w14:textFill>
        </w:rPr>
        <w:t>1</w:t>
      </w:r>
      <w:r>
        <w:rPr>
          <w:color w:val="000000" w:themeColor="text1"/>
          <w:spacing w:val="1"/>
          <w:sz w:val="24"/>
          <w14:textFill>
            <w14:solidFill>
              <w14:schemeClr w14:val="tx1"/>
            </w14:solidFill>
          </w14:textFill>
        </w:rPr>
        <w:t>个建筑面积</w:t>
      </w:r>
      <w:r>
        <w:rPr>
          <w:rFonts w:hint="eastAsia" w:eastAsiaTheme="minorEastAsia"/>
          <w:color w:val="000000" w:themeColor="text1"/>
          <w:spacing w:val="1"/>
          <w:sz w:val="24"/>
          <w14:textFill>
            <w14:solidFill>
              <w14:schemeClr w14:val="tx1"/>
            </w14:solidFill>
          </w14:textFill>
        </w:rPr>
        <w:t>5</w:t>
      </w:r>
      <w:r>
        <w:rPr>
          <w:rFonts w:eastAsia="Times New Roman"/>
          <w:color w:val="000000" w:themeColor="text1"/>
          <w:spacing w:val="1"/>
          <w:sz w:val="24"/>
          <w14:textFill>
            <w14:solidFill>
              <w14:schemeClr w14:val="tx1"/>
            </w14:solidFill>
          </w14:textFill>
        </w:rPr>
        <w:t>m</w:t>
      </w:r>
      <w:r>
        <w:rPr>
          <w:rFonts w:eastAsia="Times New Roman"/>
          <w:color w:val="000000" w:themeColor="text1"/>
          <w:spacing w:val="1"/>
          <w:position w:val="8"/>
          <w:sz w:val="15"/>
          <w:szCs w:val="15"/>
          <w14:textFill>
            <w14:solidFill>
              <w14:schemeClr w14:val="tx1"/>
            </w14:solidFill>
          </w14:textFill>
        </w:rPr>
        <w:t>2</w:t>
      </w:r>
      <w:r>
        <w:rPr>
          <w:rFonts w:eastAsia="Times New Roman"/>
          <w:color w:val="000000" w:themeColor="text1"/>
          <w:spacing w:val="24"/>
          <w:w w:val="102"/>
          <w:position w:val="8"/>
          <w:sz w:val="15"/>
          <w:szCs w:val="15"/>
          <w14:textFill>
            <w14:solidFill>
              <w14:schemeClr w14:val="tx1"/>
            </w14:solidFill>
          </w14:textFill>
        </w:rPr>
        <w:t xml:space="preserve"> </w:t>
      </w:r>
      <w:r>
        <w:rPr>
          <w:color w:val="000000" w:themeColor="text1"/>
          <w:spacing w:val="1"/>
          <w:sz w:val="24"/>
          <w14:textFill>
            <w14:solidFill>
              <w14:schemeClr w14:val="tx1"/>
            </w14:solidFill>
          </w14:textFill>
        </w:rPr>
        <w:t>的</w:t>
      </w:r>
      <w:r>
        <w:rPr>
          <w:rFonts w:hint="eastAsia"/>
          <w:color w:val="000000" w:themeColor="text1"/>
          <w:spacing w:val="-2"/>
          <w:sz w:val="24"/>
          <w14:textFill>
            <w14:solidFill>
              <w14:schemeClr w14:val="tx1"/>
            </w14:solidFill>
          </w14:textFill>
        </w:rPr>
        <w:t>医</w:t>
      </w:r>
      <w:r>
        <w:rPr>
          <w:color w:val="000000" w:themeColor="text1"/>
          <w:spacing w:val="-2"/>
          <w:sz w:val="24"/>
          <w14:textFill>
            <w14:solidFill>
              <w14:schemeClr w14:val="tx1"/>
            </w14:solidFill>
          </w14:textFill>
        </w:rPr>
        <w:t>废暂存间</w:t>
      </w:r>
      <w:r>
        <w:rPr>
          <w:color w:val="000000" w:themeColor="text1"/>
          <w:spacing w:val="1"/>
          <w:sz w:val="24"/>
          <w14:textFill>
            <w14:solidFill>
              <w14:schemeClr w14:val="tx1"/>
            </w14:solidFill>
          </w14:textFill>
        </w:rPr>
        <w:t>，采取重点</w:t>
      </w:r>
      <w:r>
        <w:rPr>
          <w:color w:val="000000" w:themeColor="text1"/>
          <w:spacing w:val="5"/>
          <w:sz w:val="24"/>
          <w14:textFill>
            <w14:solidFill>
              <w14:schemeClr w14:val="tx1"/>
            </w14:solidFill>
          </w14:textFill>
        </w:rPr>
        <w:t>防渗措施</w:t>
      </w:r>
      <w:r>
        <w:rPr>
          <w:color w:val="000000" w:themeColor="text1"/>
          <w:spacing w:val="4"/>
          <w:sz w:val="24"/>
          <w14:textFill>
            <w14:solidFill>
              <w14:schemeClr w14:val="tx1"/>
            </w14:solidFill>
          </w14:textFill>
        </w:rPr>
        <w:t>，防渗技术要求满足</w:t>
      </w:r>
      <w:r>
        <w:rPr>
          <w:color w:val="000000" w:themeColor="text1"/>
          <w:sz w:val="24"/>
          <w14:textFill>
            <w14:solidFill>
              <w14:schemeClr w14:val="tx1"/>
            </w14:solidFill>
          </w14:textFill>
        </w:rPr>
        <w:t>防渗层为至少1m厚黏土层（渗透系数不大于10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cm/s），或至少2mm厚高密度聚乙烯膜等人工防渗材料（渗透系数不大于10</w:t>
      </w:r>
      <w:r>
        <w:rPr>
          <w:color w:val="000000" w:themeColor="text1"/>
          <w:sz w:val="24"/>
          <w:vertAlign w:val="superscript"/>
          <w14:textFill>
            <w14:solidFill>
              <w14:schemeClr w14:val="tx1"/>
            </w14:solidFill>
          </w14:textFill>
        </w:rPr>
        <w:t>-10</w:t>
      </w:r>
      <w:r>
        <w:rPr>
          <w:color w:val="000000" w:themeColor="text1"/>
          <w:sz w:val="24"/>
          <w14:textFill>
            <w14:solidFill>
              <w14:schemeClr w14:val="tx1"/>
            </w14:solidFill>
          </w14:textFill>
        </w:rPr>
        <w:t>cm/s）</w:t>
      </w:r>
      <w:r>
        <w:rPr>
          <w:color w:val="000000" w:themeColor="text1"/>
          <w:spacing w:val="-3"/>
          <w:sz w:val="24"/>
          <w14:textFill>
            <w14:solidFill>
              <w14:schemeClr w14:val="tx1"/>
            </w14:solidFill>
          </w14:textFill>
        </w:rPr>
        <w:t>。</w:t>
      </w:r>
    </w:p>
    <w:p w14:paraId="0C9E2E3E">
      <w:pPr>
        <w:spacing w:line="360" w:lineRule="auto"/>
        <w:ind w:firstLine="484"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同时，</w:t>
      </w:r>
      <w:r>
        <w:rPr>
          <w:color w:val="000000" w:themeColor="text1"/>
          <w:spacing w:val="-1"/>
          <w:sz w:val="24"/>
          <w14:textFill>
            <w14:solidFill>
              <w14:schemeClr w14:val="tx1"/>
            </w14:solidFill>
          </w14:textFill>
        </w:rPr>
        <w:t>动物医疗废物</w:t>
      </w:r>
      <w:r>
        <w:rPr>
          <w:color w:val="000000" w:themeColor="text1"/>
          <w:spacing w:val="1"/>
          <w:sz w:val="24"/>
          <w14:textFill>
            <w14:solidFill>
              <w14:schemeClr w14:val="tx1"/>
            </w14:solidFill>
          </w14:textFill>
        </w:rPr>
        <w:t>在收集、暂存、转运过程中，根据《医疗废物处理处置污染控制标准》（GB39707-2020）、《医疗废物专用包装袋、容器和警示标志标准》（HJ421-2008）和《</w:t>
      </w:r>
      <w:r>
        <w:fldChar w:fldCharType="begin"/>
      </w:r>
      <w:r>
        <w:instrText xml:space="preserve"> HYPERLINK "https://www.baidu.com/link?url=XkRMko2ZrcHg5REInt6eBQJLVpfzkGbGwJVE0pT-deOfNdOi5RAOEoWX_2BKf4HEfKbxXEnSLLGvfOi2P7uakf5IoJrpPgLmtc9Eb5zkY6cmF2WcorwQtLfHsi-83TjBU8t6TkRLUyd6Vhx48yTEa_&amp;wd=&amp;eqid=eb28bde900085eff0000000668368c9a" \t "https://www.baidu.com/_blank" </w:instrText>
      </w:r>
      <w:r>
        <w:fldChar w:fldCharType="separate"/>
      </w:r>
      <w:r>
        <w:rPr>
          <w:color w:val="000000" w:themeColor="text1"/>
          <w:spacing w:val="1"/>
          <w:sz w:val="24"/>
          <w14:textFill>
            <w14:solidFill>
              <w14:schemeClr w14:val="tx1"/>
            </w14:solidFill>
          </w14:textFill>
        </w:rPr>
        <w:t>危险废物贮存污染控制标准</w:t>
      </w:r>
      <w:r>
        <w:rPr>
          <w:color w:val="000000" w:themeColor="text1"/>
          <w:spacing w:val="1"/>
          <w:sz w:val="24"/>
          <w14:textFill>
            <w14:solidFill>
              <w14:schemeClr w14:val="tx1"/>
            </w14:solidFill>
          </w14:textFill>
        </w:rPr>
        <w:fldChar w:fldCharType="end"/>
      </w:r>
      <w:r>
        <w:rPr>
          <w:color w:val="000000" w:themeColor="text1"/>
          <w:spacing w:val="1"/>
          <w:sz w:val="24"/>
          <w14:textFill>
            <w14:solidFill>
              <w14:schemeClr w14:val="tx1"/>
            </w14:solidFill>
          </w14:textFill>
        </w:rPr>
        <w:t>》（GB18597-2023），需严格按照下列要求进行：</w:t>
      </w:r>
    </w:p>
    <w:p w14:paraId="2B60B2CD">
      <w:pPr>
        <w:spacing w:line="360" w:lineRule="auto"/>
        <w:ind w:firstLine="486" w:firstLineChars="200"/>
        <w:jc w:val="both"/>
        <w:rPr>
          <w:b/>
          <w:bCs/>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动物医疗废物的收集：</w:t>
      </w:r>
    </w:p>
    <w:p w14:paraId="37B837BE">
      <w:pPr>
        <w:spacing w:line="360" w:lineRule="auto"/>
        <w:ind w:firstLine="484"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a.在盛装防疫废物前，应对防疫废物包装物或者容器进行认真检查，确保无破损、渗漏和其它缺陷。</w:t>
      </w:r>
    </w:p>
    <w:p w14:paraId="313F42A0">
      <w:pPr>
        <w:spacing w:line="360" w:lineRule="auto"/>
        <w:ind w:firstLine="484"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b.感染性废物、损伤性废物、</w:t>
      </w:r>
      <w:r>
        <w:rPr>
          <w:color w:val="000000" w:themeColor="text1"/>
          <w:sz w:val="24"/>
          <w14:textFill>
            <w14:solidFill>
              <w14:schemeClr w14:val="tx1"/>
            </w14:solidFill>
          </w14:textFill>
        </w:rPr>
        <w:t>药物性废物</w:t>
      </w:r>
      <w:r>
        <w:rPr>
          <w:color w:val="000000" w:themeColor="text1"/>
          <w:spacing w:val="1"/>
          <w:sz w:val="24"/>
          <w14:textFill>
            <w14:solidFill>
              <w14:schemeClr w14:val="tx1"/>
            </w14:solidFill>
          </w14:textFill>
        </w:rPr>
        <w:t>不能混合收集。</w:t>
      </w:r>
    </w:p>
    <w:p w14:paraId="62EBBC5B">
      <w:pPr>
        <w:spacing w:line="360" w:lineRule="auto"/>
        <w:ind w:firstLine="484"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c.放入包装物或者容器内的感染性废物、损伤性废物不得取出。</w:t>
      </w:r>
    </w:p>
    <w:p w14:paraId="08A5CCCC">
      <w:pPr>
        <w:spacing w:line="360" w:lineRule="auto"/>
        <w:ind w:firstLine="484"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d.盛装的防疫废物达到包装物或者容器的3/4时，应当使用有效的封口方式，使包装物或者容器的封口紧实、严密。</w:t>
      </w:r>
    </w:p>
    <w:p w14:paraId="5BAE6A80">
      <w:pPr>
        <w:spacing w:line="360" w:lineRule="auto"/>
        <w:ind w:firstLine="484"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e.包装物或者容器外表面被感染性废物污染时，应当对被污染处进行消毒处理或者增加一层包装。</w:t>
      </w:r>
    </w:p>
    <w:p w14:paraId="4D3899C6">
      <w:pPr>
        <w:spacing w:line="360" w:lineRule="auto"/>
        <w:ind w:firstLine="484"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f.盛装防疫废物的每个包装物、容器外表面应当有警示标识，在每个包装物、容器上应当系中文标签。</w:t>
      </w:r>
    </w:p>
    <w:p w14:paraId="0F7022A4">
      <w:pPr>
        <w:spacing w:line="360" w:lineRule="auto"/>
        <w:ind w:firstLine="484"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g.处理处置单位应采用周转箱/桶收集、转移医疗废物，并应执行危险废物转移联单管理制度。</w:t>
      </w:r>
    </w:p>
    <w:p w14:paraId="5BED9BA8">
      <w:pPr>
        <w:spacing w:line="360" w:lineRule="auto"/>
        <w:ind w:firstLine="486" w:firstLineChars="200"/>
        <w:rPr>
          <w:b/>
          <w:bCs/>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动物医疗废物的暂存：</w:t>
      </w:r>
    </w:p>
    <w:p w14:paraId="45797112">
      <w:pPr>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a.远离养殖区、人员活动区和生活垃圾存放场所，方便防疫废物运送人员及运送工具、车辆的出入。</w:t>
      </w:r>
    </w:p>
    <w:p w14:paraId="5EF38EBD">
      <w:pPr>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b.有严密的封闭措施，设专人管理，避免非工作人员进出，以及防鼠、防蚊蝇、防蟑螂、防盗以及预防儿童接触等安全措施。</w:t>
      </w:r>
    </w:p>
    <w:p w14:paraId="40B7C246">
      <w:pPr>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c.必须与生活垃圾存放地分开，有防雨淋的装置，地基高度应确保设施内不受雨洪冲击或浸泡。</w:t>
      </w:r>
    </w:p>
    <w:p w14:paraId="64A4DA8F">
      <w:pPr>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d.地面须进行防渗处理，易于清洁和消毒。</w:t>
      </w:r>
    </w:p>
    <w:p w14:paraId="236185B4">
      <w:pPr>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e.避免阳光直射，应有良好的照明设备和通风条件。</w:t>
      </w:r>
    </w:p>
    <w:p w14:paraId="6F53177D">
      <w:pPr>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f.在库房外的明显处同时设置医疗废物的警示标识，库房内应张贴“禁止吸烟、饮食”的警示标识。</w:t>
      </w:r>
    </w:p>
    <w:p w14:paraId="61B91317">
      <w:pPr>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g.</w:t>
      </w:r>
      <w:r>
        <w:rPr>
          <w:color w:val="000000" w:themeColor="text1"/>
          <w:spacing w:val="-2"/>
          <w:sz w:val="24"/>
          <w14:textFill>
            <w14:solidFill>
              <w14:schemeClr w14:val="tx1"/>
            </w14:solidFill>
          </w14:textFill>
        </w:rPr>
        <w:t>危废暂存间</w:t>
      </w:r>
      <w:r>
        <w:rPr>
          <w:color w:val="000000" w:themeColor="text1"/>
          <w:spacing w:val="1"/>
          <w:sz w:val="24"/>
          <w14:textFill>
            <w14:solidFill>
              <w14:schemeClr w14:val="tx1"/>
            </w14:solidFill>
          </w14:textFill>
        </w:rPr>
        <w:t>采取重点防渗措施，确保防渗系数K≤1×10</w:t>
      </w:r>
      <w:r>
        <w:rPr>
          <w:color w:val="000000" w:themeColor="text1"/>
          <w:spacing w:val="1"/>
          <w:sz w:val="24"/>
          <w:vertAlign w:val="superscript"/>
          <w14:textFill>
            <w14:solidFill>
              <w14:schemeClr w14:val="tx1"/>
            </w14:solidFill>
          </w14:textFill>
        </w:rPr>
        <w:t>-10</w:t>
      </w:r>
      <w:r>
        <w:rPr>
          <w:color w:val="000000" w:themeColor="text1"/>
          <w:spacing w:val="1"/>
          <w:sz w:val="24"/>
          <w14:textFill>
            <w14:solidFill>
              <w14:schemeClr w14:val="tx1"/>
            </w14:solidFill>
          </w14:textFill>
        </w:rPr>
        <w:t>cm/s，并严格做好“防风、防雨、防晒和防止医疗废物流失、扬散”等措施，防止造成地下水污染。</w:t>
      </w:r>
    </w:p>
    <w:p w14:paraId="141E3CCA">
      <w:pPr>
        <w:spacing w:line="360" w:lineRule="auto"/>
        <w:ind w:firstLine="486" w:firstLineChars="200"/>
        <w:rPr>
          <w:b/>
          <w:bCs/>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动物医疗废物的转运：</w:t>
      </w:r>
    </w:p>
    <w:p w14:paraId="670EC648">
      <w:pPr>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感染性废物应收集于符合《医疗废物专用包装袋、容器和警示标志标准》（HJ421-2008）的医疗废物包装袋中，</w:t>
      </w:r>
      <w:r>
        <w:rPr>
          <w:color w:val="000000" w:themeColor="text1"/>
          <w:spacing w:val="-2"/>
          <w:sz w:val="24"/>
          <w14:textFill>
            <w14:solidFill>
              <w14:schemeClr w14:val="tx1"/>
            </w14:solidFill>
          </w14:textFill>
        </w:rPr>
        <w:t>危废暂存间</w:t>
      </w:r>
      <w:r>
        <w:rPr>
          <w:color w:val="000000" w:themeColor="text1"/>
          <w:spacing w:val="1"/>
          <w:sz w:val="24"/>
          <w14:textFill>
            <w14:solidFill>
              <w14:schemeClr w14:val="tx1"/>
            </w14:solidFill>
          </w14:textFill>
        </w:rPr>
        <w:t>内贮存后，2天内交由有资质单位处理。损伤性废物应先收集于利器盒达到3/4满时，应当封闭严密，后装入《医疗废物专用包装袋、容器和警示标志标准》（HJ421-2008）的医疗废物包装袋中，</w:t>
      </w:r>
      <w:r>
        <w:rPr>
          <w:color w:val="000000" w:themeColor="text1"/>
          <w:spacing w:val="-2"/>
          <w:sz w:val="24"/>
          <w14:textFill>
            <w14:solidFill>
              <w14:schemeClr w14:val="tx1"/>
            </w14:solidFill>
          </w14:textFill>
        </w:rPr>
        <w:t>危废暂存间</w:t>
      </w:r>
      <w:r>
        <w:rPr>
          <w:color w:val="000000" w:themeColor="text1"/>
          <w:spacing w:val="1"/>
          <w:sz w:val="24"/>
          <w14:textFill>
            <w14:solidFill>
              <w14:schemeClr w14:val="tx1"/>
            </w14:solidFill>
          </w14:textFill>
        </w:rPr>
        <w:t>内贮存后，2天内交由有资质单位处理。药物性废物应收集于容器中，粘贴标签并注明主要成分，收集后2天内应交由具备相应资质的医疗废物处置单位处置。</w:t>
      </w:r>
    </w:p>
    <w:p w14:paraId="565F29A8">
      <w:pPr>
        <w:pStyle w:val="1771"/>
        <w:spacing w:line="360" w:lineRule="auto"/>
        <w:jc w:val="both"/>
        <w:rPr>
          <w:color w:val="000000" w:themeColor="text1"/>
          <w:sz w:val="24"/>
          <w:lang w:val="en-US"/>
          <w14:textFill>
            <w14:solidFill>
              <w14:schemeClr w14:val="tx1"/>
            </w14:solidFill>
          </w14:textFill>
        </w:rPr>
      </w:pPr>
      <w:r>
        <w:rPr>
          <w:color w:val="000000" w:themeColor="text1"/>
          <w:sz w:val="24"/>
          <w:lang w:val="en-US"/>
          <w14:textFill>
            <w14:solidFill>
              <w14:schemeClr w14:val="tx1"/>
            </w14:solidFill>
          </w14:textFill>
        </w:rPr>
        <w:t>3.10.4.5地下水防渗措施</w:t>
      </w:r>
    </w:p>
    <w:p w14:paraId="1BCDFAB5">
      <w:pPr>
        <w:spacing w:line="360" w:lineRule="auto"/>
        <w:ind w:firstLine="486" w:firstLineChars="200"/>
        <w:rPr>
          <w:b/>
          <w:bCs/>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1、地下水污染途径</w:t>
      </w:r>
    </w:p>
    <w:p w14:paraId="4817C214">
      <w:pPr>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营运期污染物进入地下水环境的途径主要是废水排放或物料泄漏等通过垂直渗透进入包气带，进入包气带的污染物在物理、化学和生物作用下经吸附、转化、迁移和分解后输入地下水。根据项目特点，营运期因渗漏可能产生的污染地下水环节有：</w:t>
      </w:r>
    </w:p>
    <w:p w14:paraId="527D4850">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①</w:t>
      </w:r>
      <w:r>
        <w:rPr>
          <w:color w:val="000000" w:themeColor="text1"/>
          <w:spacing w:val="-2"/>
          <w:sz w:val="24"/>
          <w14:textFill>
            <w14:solidFill>
              <w14:schemeClr w14:val="tx1"/>
            </w14:solidFill>
          </w14:textFill>
        </w:rPr>
        <w:t>污水处理设施防渗措施不足，发生“跑、冒、滴、漏”造成污染物进入地下水环境。</w:t>
      </w:r>
    </w:p>
    <w:p w14:paraId="2B4C171B">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②</w:t>
      </w:r>
      <w:r>
        <w:rPr>
          <w:color w:val="000000" w:themeColor="text1"/>
          <w:spacing w:val="-2"/>
          <w:sz w:val="24"/>
          <w14:textFill>
            <w14:solidFill>
              <w14:schemeClr w14:val="tx1"/>
            </w14:solidFill>
          </w14:textFill>
        </w:rPr>
        <w:t>突发环境风险事故导致粪污外溢，进入地下水环境。</w:t>
      </w:r>
    </w:p>
    <w:p w14:paraId="211F2BD2">
      <w:pPr>
        <w:spacing w:line="360" w:lineRule="auto"/>
        <w:ind w:firstLine="460" w:firstLineChars="200"/>
        <w:rPr>
          <w:color w:val="000000" w:themeColor="text1"/>
          <w:spacing w:val="-2"/>
          <w:sz w:val="24"/>
          <w14:textFill>
            <w14:solidFill>
              <w14:schemeClr w14:val="tx1"/>
            </w14:solidFill>
          </w14:textFill>
        </w:rPr>
      </w:pPr>
      <w:r>
        <w:rPr>
          <w:rFonts w:eastAsia="Times New Roman"/>
          <w:b/>
          <w:bCs/>
          <w:color w:val="000000" w:themeColor="text1"/>
          <w:spacing w:val="-5"/>
          <w:sz w:val="24"/>
          <w14:textFill>
            <w14:solidFill>
              <w14:schemeClr w14:val="tx1"/>
            </w14:solidFill>
          </w14:textFill>
        </w:rPr>
        <w:t>2</w:t>
      </w:r>
      <w:r>
        <w:rPr>
          <w:b/>
          <w:bCs/>
          <w:color w:val="000000" w:themeColor="text1"/>
          <w:spacing w:val="-5"/>
          <w:sz w:val="24"/>
          <w14:textFill>
            <w14:solidFill>
              <w14:schemeClr w14:val="tx1"/>
            </w14:solidFill>
          </w14:textFill>
        </w:rPr>
        <w:t>、地下水防渗分区</w:t>
      </w:r>
    </w:p>
    <w:p w14:paraId="43E0D5EE">
      <w:pPr>
        <w:spacing w:line="360" w:lineRule="auto"/>
        <w:ind w:firstLine="488"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根据《环境影响评价技术导则 地下水环境》（</w:t>
      </w:r>
      <w:r>
        <w:rPr>
          <w:rFonts w:eastAsia="Times New Roman"/>
          <w:color w:val="000000" w:themeColor="text1"/>
          <w:sz w:val="24"/>
          <w14:textFill>
            <w14:solidFill>
              <w14:schemeClr w14:val="tx1"/>
            </w14:solidFill>
          </w14:textFill>
        </w:rPr>
        <w:t>HJ</w:t>
      </w:r>
      <w:r>
        <w:rPr>
          <w:rFonts w:eastAsia="Times New Roman"/>
          <w:color w:val="000000" w:themeColor="text1"/>
          <w:spacing w:val="2"/>
          <w:sz w:val="24"/>
          <w14:textFill>
            <w14:solidFill>
              <w14:schemeClr w14:val="tx1"/>
            </w14:solidFill>
          </w14:textFill>
        </w:rPr>
        <w:t>610-2016</w:t>
      </w:r>
      <w:r>
        <w:rPr>
          <w:color w:val="000000" w:themeColor="text1"/>
          <w:spacing w:val="2"/>
          <w:sz w:val="24"/>
          <w14:textFill>
            <w14:solidFill>
              <w14:schemeClr w14:val="tx1"/>
            </w14:solidFill>
          </w14:textFill>
        </w:rPr>
        <w:t>）</w:t>
      </w:r>
      <w:r>
        <w:rPr>
          <w:color w:val="000000" w:themeColor="text1"/>
          <w:spacing w:val="1"/>
          <w:sz w:val="24"/>
          <w14:textFill>
            <w14:solidFill>
              <w14:schemeClr w14:val="tx1"/>
            </w14:solidFill>
          </w14:textFill>
        </w:rPr>
        <w:t>将本项</w:t>
      </w:r>
      <w:r>
        <w:rPr>
          <w:color w:val="000000" w:themeColor="text1"/>
          <w:spacing w:val="-2"/>
          <w:sz w:val="24"/>
          <w14:textFill>
            <w14:solidFill>
              <w14:schemeClr w14:val="tx1"/>
            </w14:solidFill>
          </w14:textFill>
        </w:rPr>
        <w:t>目分划为重点防渗区、一般防渗区和简单防渗区，划分区域如下：</w:t>
      </w:r>
    </w:p>
    <w:p w14:paraId="237BDF9C">
      <w:pPr>
        <w:numPr>
          <w:ilvl w:val="0"/>
          <w:numId w:val="28"/>
        </w:num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重点防渗区：</w:t>
      </w:r>
      <w:bookmarkStart w:id="447" w:name="OLE_LINK75"/>
      <w:r>
        <w:rPr>
          <w:rFonts w:hint="eastAsia"/>
          <w:color w:val="000000" w:themeColor="text1"/>
          <w:spacing w:val="-2"/>
          <w:sz w:val="24"/>
          <w14:textFill>
            <w14:solidFill>
              <w14:schemeClr w14:val="tx1"/>
            </w14:solidFill>
          </w14:textFill>
        </w:rPr>
        <w:t>医</w:t>
      </w:r>
      <w:r>
        <w:rPr>
          <w:color w:val="000000" w:themeColor="text1"/>
          <w:spacing w:val="-2"/>
          <w:sz w:val="24"/>
          <w14:textFill>
            <w14:solidFill>
              <w14:schemeClr w14:val="tx1"/>
            </w14:solidFill>
          </w14:textFill>
        </w:rPr>
        <w:t>废暂存间</w:t>
      </w:r>
      <w:bookmarkEnd w:id="447"/>
      <w:r>
        <w:rPr>
          <w:color w:val="000000" w:themeColor="text1"/>
          <w:spacing w:val="-2"/>
          <w:sz w:val="24"/>
          <w14:textFill>
            <w14:solidFill>
              <w14:schemeClr w14:val="tx1"/>
            </w14:solidFill>
          </w14:textFill>
        </w:rPr>
        <w:t>、</w:t>
      </w:r>
      <w:r>
        <w:rPr>
          <w:rFonts w:hint="eastAsia"/>
          <w:color w:val="000000" w:themeColor="text1"/>
          <w:spacing w:val="-2"/>
          <w:sz w:val="24"/>
          <w14:textFill>
            <w14:solidFill>
              <w14:schemeClr w14:val="tx1"/>
            </w14:solidFill>
          </w14:textFill>
        </w:rPr>
        <w:t>青贮窖池、</w:t>
      </w:r>
      <w:r>
        <w:rPr>
          <w:color w:val="000000" w:themeColor="text1"/>
          <w:spacing w:val="-2"/>
          <w:sz w:val="24"/>
          <w14:textFill>
            <w14:solidFill>
              <w14:schemeClr w14:val="tx1"/>
            </w14:solidFill>
          </w14:textFill>
        </w:rPr>
        <w:t>药品库、柴油发电机房、</w:t>
      </w:r>
      <w:r>
        <w:rPr>
          <w:rFonts w:hint="eastAsia"/>
          <w:color w:val="000000" w:themeColor="text1"/>
          <w:spacing w:val="-2"/>
          <w:sz w:val="24"/>
          <w14:textFill>
            <w14:solidFill>
              <w14:schemeClr w14:val="tx1"/>
            </w14:solidFill>
          </w14:textFill>
        </w:rPr>
        <w:t>化粪池</w:t>
      </w:r>
      <w:r>
        <w:rPr>
          <w:color w:val="000000" w:themeColor="text1"/>
          <w:spacing w:val="-2"/>
          <w:sz w:val="24"/>
          <w14:textFill>
            <w14:solidFill>
              <w14:schemeClr w14:val="tx1"/>
            </w14:solidFill>
          </w14:textFill>
        </w:rPr>
        <w:t>、隔油池。</w:t>
      </w:r>
      <w:r>
        <w:rPr>
          <w:rFonts w:hint="eastAsia"/>
          <w:color w:val="000000" w:themeColor="text1"/>
          <w:spacing w:val="-2"/>
          <w:sz w:val="24"/>
          <w14:textFill>
            <w14:solidFill>
              <w14:schemeClr w14:val="tx1"/>
            </w14:solidFill>
          </w14:textFill>
        </w:rPr>
        <w:t>医</w:t>
      </w:r>
      <w:r>
        <w:rPr>
          <w:color w:val="000000" w:themeColor="text1"/>
          <w:spacing w:val="-2"/>
          <w:sz w:val="24"/>
          <w14:textFill>
            <w14:solidFill>
              <w14:schemeClr w14:val="tx1"/>
            </w14:solidFill>
          </w14:textFill>
        </w:rPr>
        <w:t>废暂存间防渗技术要求为</w:t>
      </w:r>
      <w:r>
        <w:rPr>
          <w:color w:val="000000" w:themeColor="text1"/>
          <w:sz w:val="24"/>
          <w14:textFill>
            <w14:solidFill>
              <w14:schemeClr w14:val="tx1"/>
            </w14:solidFill>
          </w14:textFill>
        </w:rPr>
        <w:t>防渗层为至少1m厚黏土层（渗透系数不大于10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cm/s），或至少2mm厚高密度聚乙烯膜等人工防渗材料（渗透系数不大于10</w:t>
      </w:r>
      <w:r>
        <w:rPr>
          <w:color w:val="000000" w:themeColor="text1"/>
          <w:sz w:val="24"/>
          <w:vertAlign w:val="superscript"/>
          <w14:textFill>
            <w14:solidFill>
              <w14:schemeClr w14:val="tx1"/>
            </w14:solidFill>
          </w14:textFill>
        </w:rPr>
        <w:t>-10</w:t>
      </w:r>
      <w:r>
        <w:rPr>
          <w:color w:val="000000" w:themeColor="text1"/>
          <w:sz w:val="24"/>
          <w14:textFill>
            <w14:solidFill>
              <w14:schemeClr w14:val="tx1"/>
            </w14:solidFill>
          </w14:textFill>
        </w:rPr>
        <w:t>cm/s）</w:t>
      </w:r>
      <w:r>
        <w:rPr>
          <w:color w:val="000000" w:themeColor="text1"/>
          <w:spacing w:val="-2"/>
          <w:sz w:val="24"/>
          <w14:textFill>
            <w14:solidFill>
              <w14:schemeClr w14:val="tx1"/>
            </w14:solidFill>
          </w14:textFill>
        </w:rPr>
        <w:t>；</w:t>
      </w:r>
      <w:r>
        <w:rPr>
          <w:rFonts w:hint="eastAsia"/>
          <w:color w:val="000000" w:themeColor="text1"/>
          <w:spacing w:val="-2"/>
          <w:sz w:val="24"/>
          <w14:textFill>
            <w14:solidFill>
              <w14:schemeClr w14:val="tx1"/>
            </w14:solidFill>
          </w14:textFill>
        </w:rPr>
        <w:t>青贮窖池、</w:t>
      </w:r>
      <w:r>
        <w:rPr>
          <w:color w:val="000000" w:themeColor="text1"/>
          <w:spacing w:val="-2"/>
          <w:sz w:val="24"/>
          <w14:textFill>
            <w14:solidFill>
              <w14:schemeClr w14:val="tx1"/>
            </w14:solidFill>
          </w14:textFill>
        </w:rPr>
        <w:t>药品库、柴油发电机房、</w:t>
      </w:r>
      <w:r>
        <w:rPr>
          <w:rFonts w:hint="eastAsia"/>
          <w:color w:val="000000" w:themeColor="text1"/>
          <w:spacing w:val="-2"/>
          <w:sz w:val="24"/>
          <w14:textFill>
            <w14:solidFill>
              <w14:schemeClr w14:val="tx1"/>
            </w14:solidFill>
          </w14:textFill>
        </w:rPr>
        <w:t>化粪池</w:t>
      </w:r>
      <w:r>
        <w:rPr>
          <w:color w:val="000000" w:themeColor="text1"/>
          <w:spacing w:val="-2"/>
          <w:sz w:val="24"/>
          <w14:textFill>
            <w14:solidFill>
              <w14:schemeClr w14:val="tx1"/>
            </w14:solidFill>
          </w14:textFill>
        </w:rPr>
        <w:t>、隔油池防渗技术要求为：应满足等效黏土防渗层Mb≥6.0m，K≤10</w:t>
      </w:r>
      <w:r>
        <w:rPr>
          <w:color w:val="000000" w:themeColor="text1"/>
          <w:spacing w:val="-2"/>
          <w:sz w:val="24"/>
          <w:vertAlign w:val="superscript"/>
          <w14:textFill>
            <w14:solidFill>
              <w14:schemeClr w14:val="tx1"/>
            </w14:solidFill>
          </w14:textFill>
        </w:rPr>
        <w:t>-7</w:t>
      </w:r>
      <w:r>
        <w:rPr>
          <w:color w:val="000000" w:themeColor="text1"/>
          <w:spacing w:val="-2"/>
          <w:sz w:val="24"/>
          <w14:textFill>
            <w14:solidFill>
              <w14:schemeClr w14:val="tx1"/>
            </w14:solidFill>
          </w14:textFill>
        </w:rPr>
        <w:t>cm/s的防渗要求</w:t>
      </w:r>
      <w:r>
        <w:rPr>
          <w:color w:val="000000" w:themeColor="text1"/>
          <w:sz w:val="24"/>
          <w14:textFill>
            <w14:solidFill>
              <w14:schemeClr w14:val="tx1"/>
            </w14:solidFill>
          </w14:textFill>
        </w:rPr>
        <w:t>。</w:t>
      </w:r>
    </w:p>
    <w:p w14:paraId="623E1679">
      <w:pPr>
        <w:numPr>
          <w:ilvl w:val="0"/>
          <w:numId w:val="28"/>
        </w:num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一般防渗区：牛舍、饲料仓库、饲料加工间、消毒池</w:t>
      </w:r>
      <w:r>
        <w:rPr>
          <w:rFonts w:hint="eastAsia"/>
          <w:color w:val="000000" w:themeColor="text1"/>
          <w:spacing w:val="-2"/>
          <w:sz w:val="24"/>
          <w14:textFill>
            <w14:solidFill>
              <w14:schemeClr w14:val="tx1"/>
            </w14:solidFill>
          </w14:textFill>
        </w:rPr>
        <w:t>、雨水收集池、冷库</w:t>
      </w:r>
      <w:r>
        <w:rPr>
          <w:color w:val="000000" w:themeColor="text1"/>
          <w:spacing w:val="-2"/>
          <w:sz w:val="24"/>
          <w14:textFill>
            <w14:solidFill>
              <w14:schemeClr w14:val="tx1"/>
            </w14:solidFill>
          </w14:textFill>
        </w:rPr>
        <w:t>等确定为一般防渗区，应满足等效黏土防渗层Mb≥1.5m，K≤10</w:t>
      </w:r>
      <w:r>
        <w:rPr>
          <w:color w:val="000000" w:themeColor="text1"/>
          <w:spacing w:val="-2"/>
          <w:sz w:val="24"/>
          <w:vertAlign w:val="superscript"/>
          <w14:textFill>
            <w14:solidFill>
              <w14:schemeClr w14:val="tx1"/>
            </w14:solidFill>
          </w14:textFill>
        </w:rPr>
        <w:t>-7</w:t>
      </w:r>
      <w:r>
        <w:rPr>
          <w:color w:val="000000" w:themeColor="text1"/>
          <w:spacing w:val="-2"/>
          <w:sz w:val="24"/>
          <w14:textFill>
            <w14:solidFill>
              <w14:schemeClr w14:val="tx1"/>
            </w14:solidFill>
          </w14:textFill>
        </w:rPr>
        <w:t>cm/s的防渗要求。</w:t>
      </w:r>
    </w:p>
    <w:p w14:paraId="02F0FFA5">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（3）简单防渗区：办公生活区、道路等，采取水泥地面硬化。</w:t>
      </w:r>
    </w:p>
    <w:bookmarkEnd w:id="406"/>
    <w:p w14:paraId="728C0EB1">
      <w:pPr>
        <w:spacing w:line="360" w:lineRule="auto"/>
        <w:ind w:firstLine="462" w:firstLineChars="200"/>
        <w:rPr>
          <w:b/>
          <w:bCs/>
          <w:color w:val="000000" w:themeColor="text1"/>
          <w:spacing w:val="-5"/>
          <w:sz w:val="24"/>
          <w14:textFill>
            <w14:solidFill>
              <w14:schemeClr w14:val="tx1"/>
            </w14:solidFill>
          </w14:textFill>
        </w:rPr>
      </w:pPr>
      <w:bookmarkStart w:id="448" w:name="_Toc28814626"/>
      <w:bookmarkStart w:id="449" w:name="_Toc27751141"/>
      <w:bookmarkStart w:id="450" w:name="_Toc40220704"/>
      <w:bookmarkStart w:id="451" w:name="_Toc21529595"/>
      <w:r>
        <w:rPr>
          <w:b/>
          <w:bCs/>
          <w:color w:val="000000" w:themeColor="text1"/>
          <w:spacing w:val="-5"/>
          <w:sz w:val="24"/>
          <w14:textFill>
            <w14:solidFill>
              <w14:schemeClr w14:val="tx1"/>
            </w14:solidFill>
          </w14:textFill>
        </w:rPr>
        <w:t>3、治理措施</w:t>
      </w:r>
    </w:p>
    <w:p w14:paraId="021C8D86">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（1）源头控制措施</w:t>
      </w:r>
    </w:p>
    <w:p w14:paraId="1C6E0368">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本项目工艺、管道、设备、污水处理设施等均采取相应措施，防止和降低污染物“跑、冒、滴、漏”，将污染物泄漏的环境风险事故降到最低程度，主要控制措施如下：</w:t>
      </w:r>
    </w:p>
    <w:p w14:paraId="43856953">
      <w:pPr>
        <w:spacing w:line="360" w:lineRule="auto"/>
        <w:ind w:firstLine="480"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pacing w:val="-2"/>
          <w:sz w:val="24"/>
          <w14:textFill>
            <w14:solidFill>
              <w14:schemeClr w14:val="tx1"/>
            </w14:solidFill>
          </w14:textFill>
        </w:rPr>
        <w:t>生产区内易产生泄漏的贮存设施（柴油发电机房柴油发电机房内的储油间、医废暂存间）设置空桶作为备用收容设施。</w:t>
      </w:r>
    </w:p>
    <w:p w14:paraId="70267D00">
      <w:pPr>
        <w:spacing w:line="360" w:lineRule="auto"/>
        <w:ind w:firstLine="480"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pacing w:val="-2"/>
          <w:sz w:val="24"/>
          <w14:textFill>
            <w14:solidFill>
              <w14:schemeClr w14:val="tx1"/>
            </w14:solidFill>
          </w14:textFill>
        </w:rPr>
        <w:t>贮存和输送废水、油脂的设施和管线均采用防腐材料。</w:t>
      </w:r>
    </w:p>
    <w:p w14:paraId="0F965FC4">
      <w:pPr>
        <w:spacing w:line="360" w:lineRule="auto"/>
        <w:ind w:firstLine="480"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pacing w:val="-2"/>
          <w:sz w:val="24"/>
          <w14:textFill>
            <w14:solidFill>
              <w14:schemeClr w14:val="tx1"/>
            </w14:solidFill>
          </w14:textFill>
        </w:rPr>
        <w:t>在总图布置上，严格划分防渗区域，针对各防渗区采取相应的防渗措施。</w:t>
      </w:r>
    </w:p>
    <w:p w14:paraId="16E491EF">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（2）分区防渗措施</w:t>
      </w:r>
    </w:p>
    <w:p w14:paraId="59BF4C59">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1）重点防渗区：</w:t>
      </w:r>
      <w:r>
        <w:rPr>
          <w:rFonts w:hint="eastAsia"/>
          <w:color w:val="000000" w:themeColor="text1"/>
          <w:spacing w:val="-2"/>
          <w:sz w:val="24"/>
          <w14:textFill>
            <w14:solidFill>
              <w14:schemeClr w14:val="tx1"/>
            </w14:solidFill>
          </w14:textFill>
        </w:rPr>
        <w:t>医</w:t>
      </w:r>
      <w:r>
        <w:rPr>
          <w:color w:val="000000" w:themeColor="text1"/>
          <w:spacing w:val="-2"/>
          <w:sz w:val="24"/>
          <w14:textFill>
            <w14:solidFill>
              <w14:schemeClr w14:val="tx1"/>
            </w14:solidFill>
          </w14:textFill>
        </w:rPr>
        <w:t>废暂存间、</w:t>
      </w:r>
      <w:r>
        <w:rPr>
          <w:rFonts w:hint="eastAsia"/>
          <w:color w:val="000000" w:themeColor="text1"/>
          <w:spacing w:val="-2"/>
          <w:sz w:val="24"/>
          <w14:textFill>
            <w14:solidFill>
              <w14:schemeClr w14:val="tx1"/>
            </w14:solidFill>
          </w14:textFill>
        </w:rPr>
        <w:t>青贮窖池、</w:t>
      </w:r>
      <w:r>
        <w:rPr>
          <w:color w:val="000000" w:themeColor="text1"/>
          <w:spacing w:val="-2"/>
          <w:sz w:val="24"/>
          <w14:textFill>
            <w14:solidFill>
              <w14:schemeClr w14:val="tx1"/>
            </w14:solidFill>
          </w14:textFill>
        </w:rPr>
        <w:t>药品库、柴油发电机房、</w:t>
      </w:r>
      <w:r>
        <w:rPr>
          <w:rFonts w:hint="eastAsia"/>
          <w:color w:val="000000" w:themeColor="text1"/>
          <w:spacing w:val="-2"/>
          <w:sz w:val="24"/>
          <w14:textFill>
            <w14:solidFill>
              <w14:schemeClr w14:val="tx1"/>
            </w14:solidFill>
          </w14:textFill>
        </w:rPr>
        <w:t>化粪</w:t>
      </w:r>
      <w:r>
        <w:rPr>
          <w:color w:val="000000" w:themeColor="text1"/>
          <w:spacing w:val="-2"/>
          <w:sz w:val="24"/>
          <w14:textFill>
            <w14:solidFill>
              <w14:schemeClr w14:val="tx1"/>
            </w14:solidFill>
          </w14:textFill>
        </w:rPr>
        <w:t>池、隔油池。危废暂存间（含医疗废物暂存）防渗技术要求为</w:t>
      </w:r>
      <w:r>
        <w:rPr>
          <w:color w:val="000000" w:themeColor="text1"/>
          <w:sz w:val="24"/>
          <w14:textFill>
            <w14:solidFill>
              <w14:schemeClr w14:val="tx1"/>
            </w14:solidFill>
          </w14:textFill>
        </w:rPr>
        <w:t>防渗层为至少1m厚黏土层（渗透系数不大于10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cm/s），或至少2mm厚高密度聚乙烯膜等人工防渗材料（渗透系数不大于10</w:t>
      </w:r>
      <w:r>
        <w:rPr>
          <w:color w:val="000000" w:themeColor="text1"/>
          <w:sz w:val="24"/>
          <w:vertAlign w:val="superscript"/>
          <w14:textFill>
            <w14:solidFill>
              <w14:schemeClr w14:val="tx1"/>
            </w14:solidFill>
          </w14:textFill>
        </w:rPr>
        <w:t>-10</w:t>
      </w:r>
      <w:r>
        <w:rPr>
          <w:color w:val="000000" w:themeColor="text1"/>
          <w:sz w:val="24"/>
          <w14:textFill>
            <w14:solidFill>
              <w14:schemeClr w14:val="tx1"/>
            </w14:solidFill>
          </w14:textFill>
        </w:rPr>
        <w:t>cm/s）</w:t>
      </w:r>
      <w:r>
        <w:rPr>
          <w:color w:val="000000" w:themeColor="text1"/>
          <w:spacing w:val="-2"/>
          <w:sz w:val="24"/>
          <w14:textFill>
            <w14:solidFill>
              <w14:schemeClr w14:val="tx1"/>
            </w14:solidFill>
          </w14:textFill>
        </w:rPr>
        <w:t>；药品库、柴油发电机房、集水池、隔油池、初期雨水池、病死</w:t>
      </w:r>
      <w:r>
        <w:rPr>
          <w:rFonts w:hint="eastAsia"/>
          <w:color w:val="000000" w:themeColor="text1"/>
          <w:spacing w:val="-2"/>
          <w:sz w:val="24"/>
          <w14:textFill>
            <w14:solidFill>
              <w14:schemeClr w14:val="tx1"/>
            </w14:solidFill>
          </w14:textFill>
        </w:rPr>
        <w:t>牛</w:t>
      </w:r>
      <w:r>
        <w:rPr>
          <w:color w:val="000000" w:themeColor="text1"/>
          <w:spacing w:val="-2"/>
          <w:sz w:val="24"/>
          <w14:textFill>
            <w14:solidFill>
              <w14:schemeClr w14:val="tx1"/>
            </w14:solidFill>
          </w14:textFill>
        </w:rPr>
        <w:t>暂存间、应急池等防渗技术要求为：应满足等效黏土防渗层Mb≥6.0m，K≤10</w:t>
      </w:r>
      <w:r>
        <w:rPr>
          <w:color w:val="000000" w:themeColor="text1"/>
          <w:spacing w:val="-2"/>
          <w:sz w:val="24"/>
          <w:vertAlign w:val="superscript"/>
          <w14:textFill>
            <w14:solidFill>
              <w14:schemeClr w14:val="tx1"/>
            </w14:solidFill>
          </w14:textFill>
        </w:rPr>
        <w:t>-7</w:t>
      </w:r>
      <w:r>
        <w:rPr>
          <w:color w:val="000000" w:themeColor="text1"/>
          <w:spacing w:val="-2"/>
          <w:sz w:val="24"/>
          <w14:textFill>
            <w14:solidFill>
              <w14:schemeClr w14:val="tx1"/>
            </w14:solidFill>
          </w14:textFill>
        </w:rPr>
        <w:t>cm/s的防渗要求</w:t>
      </w:r>
      <w:r>
        <w:rPr>
          <w:color w:val="000000" w:themeColor="text1"/>
          <w:sz w:val="24"/>
          <w14:textFill>
            <w14:solidFill>
              <w14:schemeClr w14:val="tx1"/>
            </w14:solidFill>
          </w14:textFill>
        </w:rPr>
        <w:t>。</w:t>
      </w:r>
    </w:p>
    <w:p w14:paraId="1AE0D9F6">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2）一般防渗区：</w:t>
      </w:r>
      <w:bookmarkStart w:id="452" w:name="OLE_LINK12"/>
      <w:r>
        <w:rPr>
          <w:color w:val="000000" w:themeColor="text1"/>
          <w:spacing w:val="-2"/>
          <w:sz w:val="24"/>
          <w14:textFill>
            <w14:solidFill>
              <w14:schemeClr w14:val="tx1"/>
            </w14:solidFill>
          </w14:textFill>
        </w:rPr>
        <w:t>牛舍、饲料仓库、饲料加工间</w:t>
      </w:r>
      <w:bookmarkEnd w:id="452"/>
      <w:r>
        <w:rPr>
          <w:rFonts w:hint="eastAsia"/>
          <w:color w:val="000000" w:themeColor="text1"/>
          <w:spacing w:val="-2"/>
          <w:sz w:val="24"/>
          <w14:textFill>
            <w14:solidFill>
              <w14:schemeClr w14:val="tx1"/>
            </w14:solidFill>
          </w14:textFill>
        </w:rPr>
        <w:t>、消毒池、雨水收集池、冷库</w:t>
      </w:r>
      <w:r>
        <w:rPr>
          <w:color w:val="000000" w:themeColor="text1"/>
          <w:spacing w:val="-2"/>
          <w:sz w:val="24"/>
          <w14:textFill>
            <w14:solidFill>
              <w14:schemeClr w14:val="tx1"/>
            </w14:solidFill>
          </w14:textFill>
        </w:rPr>
        <w:t>确定为一般防渗区，应满足等效黏土防渗层Mb≥1.5m，K≤10</w:t>
      </w:r>
      <w:r>
        <w:rPr>
          <w:color w:val="000000" w:themeColor="text1"/>
          <w:spacing w:val="-2"/>
          <w:sz w:val="24"/>
          <w:vertAlign w:val="superscript"/>
          <w14:textFill>
            <w14:solidFill>
              <w14:schemeClr w14:val="tx1"/>
            </w14:solidFill>
          </w14:textFill>
        </w:rPr>
        <w:t>-7</w:t>
      </w:r>
      <w:r>
        <w:rPr>
          <w:color w:val="000000" w:themeColor="text1"/>
          <w:spacing w:val="-2"/>
          <w:sz w:val="24"/>
          <w14:textFill>
            <w14:solidFill>
              <w14:schemeClr w14:val="tx1"/>
            </w14:solidFill>
          </w14:textFill>
        </w:rPr>
        <w:t>cm/s的防渗要求。</w:t>
      </w:r>
    </w:p>
    <w:p w14:paraId="3F166DDC">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3）简单防渗区：办公生活区、道路等，采取水泥地面硬化。</w:t>
      </w:r>
    </w:p>
    <w:p w14:paraId="5A81734D">
      <w:pPr>
        <w:spacing w:line="360" w:lineRule="auto"/>
        <w:ind w:firstLine="472" w:firstLineChars="200"/>
        <w:jc w:val="both"/>
        <w:rPr>
          <w:color w:val="000000" w:themeColor="text1"/>
          <w:spacing w:val="-2"/>
          <w:sz w:val="24"/>
          <w14:textFill>
            <w14:solidFill>
              <w14:schemeClr w14:val="tx1"/>
            </w14:solidFill>
          </w14:textFill>
        </w:rPr>
      </w:pPr>
      <w:r>
        <w:rPr>
          <w:color w:val="000000" w:themeColor="text1"/>
          <w:spacing w:val="-2"/>
          <w:sz w:val="24"/>
          <w14:textFill>
            <w14:solidFill>
              <w14:schemeClr w14:val="tx1"/>
            </w14:solidFill>
          </w14:textFill>
        </w:rPr>
        <w:t>（3）防渗工程设计原则</w:t>
      </w:r>
    </w:p>
    <w:p w14:paraId="33313DC5">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①</w:t>
      </w:r>
      <w:r>
        <w:rPr>
          <w:color w:val="000000" w:themeColor="text1"/>
          <w:spacing w:val="-2"/>
          <w:sz w:val="24"/>
          <w14:textFill>
            <w14:solidFill>
              <w14:schemeClr w14:val="tx1"/>
            </w14:solidFill>
          </w14:textFill>
        </w:rPr>
        <w:t>采用国内先进的防渗材料、技术和实施手段，杜绝对区域内地下水的影响，确保不因项目运行而对区域地下水造成任何污染影响，确保现有地下水水体功能。</w:t>
      </w:r>
    </w:p>
    <w:p w14:paraId="031B7E85">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②</w:t>
      </w:r>
      <w:r>
        <w:rPr>
          <w:color w:val="000000" w:themeColor="text1"/>
          <w:spacing w:val="-2"/>
          <w:sz w:val="24"/>
          <w14:textFill>
            <w14:solidFill>
              <w14:schemeClr w14:val="tx1"/>
            </w14:solidFill>
          </w14:textFill>
        </w:rPr>
        <w:t>坚持分区管理和控制原则，根据场址所在地的工程水文地质条件和全场可能发生泄漏的物料性质，参照相应标准要求有针对性的分区，并分别设计地面防渗层结构。</w:t>
      </w:r>
    </w:p>
    <w:p w14:paraId="50D16086">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③</w:t>
      </w:r>
      <w:r>
        <w:rPr>
          <w:color w:val="000000" w:themeColor="text1"/>
          <w:spacing w:val="-2"/>
          <w:sz w:val="24"/>
          <w14:textFill>
            <w14:solidFill>
              <w14:schemeClr w14:val="tx1"/>
            </w14:solidFill>
          </w14:textFill>
        </w:rPr>
        <w:t>坚持“可视化”原则，在满足工程和防渗层结构标准要求的前提下，尽量在地表 面实施防渗措施，便于泄漏物质的收集和及时发现破损的防渗层。</w:t>
      </w:r>
    </w:p>
    <w:p w14:paraId="0B70D4F8">
      <w:pPr>
        <w:spacing w:line="360" w:lineRule="auto"/>
        <w:ind w:firstLine="472" w:firstLineChars="200"/>
        <w:jc w:val="both"/>
        <w:rPr>
          <w:color w:val="000000" w:themeColor="text1"/>
          <w:spacing w:val="-2"/>
          <w:sz w:val="24"/>
          <w14:textFill>
            <w14:solidFill>
              <w14:schemeClr w14:val="tx1"/>
            </w14:solidFill>
          </w14:textFill>
        </w:rPr>
      </w:pPr>
      <w:r>
        <w:rPr>
          <w:rFonts w:hint="eastAsia" w:ascii="宋体" w:hAnsi="宋体" w:cs="宋体"/>
          <w:color w:val="000000" w:themeColor="text1"/>
          <w:spacing w:val="-2"/>
          <w:sz w:val="24"/>
          <w14:textFill>
            <w14:solidFill>
              <w14:schemeClr w14:val="tx1"/>
            </w14:solidFill>
          </w14:textFill>
        </w:rPr>
        <w:t>④</w:t>
      </w:r>
      <w:r>
        <w:rPr>
          <w:color w:val="000000" w:themeColor="text1"/>
          <w:spacing w:val="-2"/>
          <w:sz w:val="24"/>
          <w14:textFill>
            <w14:solidFill>
              <w14:schemeClr w14:val="tx1"/>
            </w14:solidFill>
          </w14:textFill>
        </w:rPr>
        <w:t>防渗层上渗漏污染物和防渗层内渗漏污染物收集系统与全场“三废”处理措施统筹考虑，统一处理。</w:t>
      </w:r>
    </w:p>
    <w:p w14:paraId="02A6E1E0">
      <w:pPr>
        <w:pStyle w:val="1771"/>
        <w:spacing w:line="360" w:lineRule="auto"/>
        <w:rPr>
          <w:snapToGrid w:val="0"/>
          <w:color w:val="000000" w:themeColor="text1"/>
          <w:szCs w:val="21"/>
          <w:lang w:val="en-US"/>
          <w14:textFill>
            <w14:solidFill>
              <w14:schemeClr w14:val="tx1"/>
            </w14:solidFill>
          </w14:textFill>
        </w:rPr>
      </w:pPr>
      <w:r>
        <w:rPr>
          <w:snapToGrid w:val="0"/>
          <w:color w:val="000000" w:themeColor="text1"/>
          <w:szCs w:val="21"/>
          <w14:textFill>
            <w14:solidFill>
              <w14:schemeClr w14:val="tx1"/>
            </w14:solidFill>
          </w14:textFill>
        </w:rPr>
        <w:t>表3.</w:t>
      </w:r>
      <w:r>
        <w:rPr>
          <w:snapToGrid w:val="0"/>
          <w:color w:val="000000" w:themeColor="text1"/>
          <w:szCs w:val="21"/>
          <w:lang w:val="en-US"/>
          <w14:textFill>
            <w14:solidFill>
              <w14:schemeClr w14:val="tx1"/>
            </w14:solidFill>
          </w14:textFill>
        </w:rPr>
        <w:t>10</w:t>
      </w:r>
      <w:r>
        <w:rPr>
          <w:snapToGrid w:val="0"/>
          <w:color w:val="000000" w:themeColor="text1"/>
          <w:szCs w:val="21"/>
          <w14:textFill>
            <w14:solidFill>
              <w14:schemeClr w14:val="tx1"/>
            </w14:solidFill>
          </w14:textFill>
        </w:rPr>
        <w:t>-</w:t>
      </w:r>
      <w:r>
        <w:rPr>
          <w:snapToGrid w:val="0"/>
          <w:color w:val="000000" w:themeColor="text1"/>
          <w:szCs w:val="21"/>
          <w:lang w:val="en-US"/>
          <w14:textFill>
            <w14:solidFill>
              <w14:schemeClr w14:val="tx1"/>
            </w14:solidFill>
          </w14:textFill>
        </w:rPr>
        <w:t>19</w:t>
      </w:r>
      <w:r>
        <w:rPr>
          <w:snapToGrid w:val="0"/>
          <w:color w:val="000000" w:themeColor="text1"/>
          <w:szCs w:val="21"/>
          <w14:textFill>
            <w14:solidFill>
              <w14:schemeClr w14:val="tx1"/>
            </w14:solidFill>
          </w14:textFill>
        </w:rPr>
        <w:t xml:space="preserve"> 项目</w:t>
      </w:r>
      <w:r>
        <w:rPr>
          <w:snapToGrid w:val="0"/>
          <w:color w:val="000000" w:themeColor="text1"/>
          <w:szCs w:val="21"/>
          <w:lang w:val="en-US"/>
          <w14:textFill>
            <w14:solidFill>
              <w14:schemeClr w14:val="tx1"/>
            </w14:solidFill>
          </w14:textFill>
        </w:rPr>
        <w:t>分区防渗表</w:t>
      </w:r>
    </w:p>
    <w:tbl>
      <w:tblPr>
        <w:tblStyle w:val="88"/>
        <w:tblW w:w="505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28"/>
        <w:gridCol w:w="2019"/>
        <w:gridCol w:w="2047"/>
        <w:gridCol w:w="3510"/>
      </w:tblGrid>
      <w:tr w14:paraId="22CAE9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93" w:type="pct"/>
            <w:tcBorders>
              <w:tl2br w:val="nil"/>
              <w:tr2bl w:val="nil"/>
            </w:tcBorders>
            <w:vAlign w:val="center"/>
          </w:tcPr>
          <w:p w14:paraId="5733EF31">
            <w:pPr>
              <w:adjustRightInd w:val="0"/>
              <w:snapToGrid w:val="0"/>
              <w:jc w:val="center"/>
              <w:rPr>
                <w:b/>
                <w:color w:val="000000" w:themeColor="text1"/>
                <w:spacing w:val="12"/>
                <w:szCs w:val="21"/>
                <w14:textFill>
                  <w14:solidFill>
                    <w14:schemeClr w14:val="tx1"/>
                  </w14:solidFill>
                </w14:textFill>
              </w:rPr>
            </w:pPr>
            <w:r>
              <w:rPr>
                <w:b/>
                <w:color w:val="000000" w:themeColor="text1"/>
                <w:spacing w:val="12"/>
                <w:szCs w:val="21"/>
                <w14:textFill>
                  <w14:solidFill>
                    <w14:schemeClr w14:val="tx1"/>
                  </w14:solidFill>
                </w14:textFill>
              </w:rPr>
              <w:t>防渗类别</w:t>
            </w:r>
          </w:p>
        </w:tc>
        <w:tc>
          <w:tcPr>
            <w:tcW w:w="1201" w:type="pct"/>
            <w:tcBorders>
              <w:tl2br w:val="nil"/>
              <w:tr2bl w:val="nil"/>
            </w:tcBorders>
            <w:vAlign w:val="center"/>
          </w:tcPr>
          <w:p w14:paraId="7E6C1A11">
            <w:pPr>
              <w:adjustRightInd w:val="0"/>
              <w:snapToGrid w:val="0"/>
              <w:jc w:val="center"/>
              <w:rPr>
                <w:b/>
                <w:color w:val="000000" w:themeColor="text1"/>
                <w:spacing w:val="12"/>
                <w:szCs w:val="21"/>
                <w14:textFill>
                  <w14:solidFill>
                    <w14:schemeClr w14:val="tx1"/>
                  </w14:solidFill>
                </w14:textFill>
              </w:rPr>
            </w:pPr>
            <w:r>
              <w:rPr>
                <w:b/>
                <w:color w:val="000000" w:themeColor="text1"/>
                <w:spacing w:val="12"/>
                <w:szCs w:val="21"/>
                <w14:textFill>
                  <w14:solidFill>
                    <w14:schemeClr w14:val="tx1"/>
                  </w14:solidFill>
                </w14:textFill>
              </w:rPr>
              <w:t>防渗区域</w:t>
            </w:r>
          </w:p>
        </w:tc>
        <w:tc>
          <w:tcPr>
            <w:tcW w:w="1218" w:type="pct"/>
            <w:tcBorders>
              <w:tl2br w:val="nil"/>
              <w:tr2bl w:val="nil"/>
            </w:tcBorders>
            <w:vAlign w:val="center"/>
          </w:tcPr>
          <w:p w14:paraId="14310B45">
            <w:pPr>
              <w:adjustRightInd w:val="0"/>
              <w:snapToGrid w:val="0"/>
              <w:jc w:val="center"/>
              <w:rPr>
                <w:b/>
                <w:color w:val="000000" w:themeColor="text1"/>
                <w:spacing w:val="12"/>
                <w:szCs w:val="21"/>
                <w14:textFill>
                  <w14:solidFill>
                    <w14:schemeClr w14:val="tx1"/>
                  </w14:solidFill>
                </w14:textFill>
              </w:rPr>
            </w:pPr>
            <w:r>
              <w:rPr>
                <w:b/>
                <w:bCs/>
                <w:color w:val="000000" w:themeColor="text1"/>
                <w:szCs w:val="21"/>
                <w14:textFill>
                  <w14:solidFill>
                    <w14:schemeClr w14:val="tx1"/>
                  </w14:solidFill>
                </w14:textFill>
              </w:rPr>
              <w:t>防渗技术要求</w:t>
            </w:r>
          </w:p>
        </w:tc>
        <w:tc>
          <w:tcPr>
            <w:tcW w:w="2088" w:type="pct"/>
            <w:tcBorders>
              <w:tl2br w:val="nil"/>
              <w:tr2bl w:val="nil"/>
            </w:tcBorders>
            <w:vAlign w:val="center"/>
          </w:tcPr>
          <w:p w14:paraId="388A0ABE">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防渗措施</w:t>
            </w:r>
          </w:p>
        </w:tc>
      </w:tr>
      <w:tr w14:paraId="1C09EA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93" w:type="pct"/>
            <w:vMerge w:val="restart"/>
            <w:tcBorders>
              <w:tl2br w:val="nil"/>
              <w:tr2bl w:val="nil"/>
            </w:tcBorders>
            <w:vAlign w:val="center"/>
          </w:tcPr>
          <w:p w14:paraId="4FAFA994">
            <w:pPr>
              <w:pStyle w:val="1233"/>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重点防渗区</w:t>
            </w:r>
          </w:p>
        </w:tc>
        <w:tc>
          <w:tcPr>
            <w:tcW w:w="1201" w:type="pct"/>
            <w:tcBorders>
              <w:tl2br w:val="nil"/>
              <w:tr2bl w:val="nil"/>
            </w:tcBorders>
            <w:vAlign w:val="center"/>
          </w:tcPr>
          <w:p w14:paraId="2109699C">
            <w:pPr>
              <w:adjustRightInd w:val="0"/>
              <w:snapToGrid w:val="0"/>
              <w:jc w:val="center"/>
              <w:rPr>
                <w:color w:val="000000" w:themeColor="text1"/>
                <w:spacing w:val="-2"/>
                <w:szCs w:val="21"/>
                <w14:textFill>
                  <w14:solidFill>
                    <w14:schemeClr w14:val="tx1"/>
                  </w14:solidFill>
                </w14:textFill>
              </w:rPr>
            </w:pPr>
            <w:r>
              <w:rPr>
                <w:rFonts w:hint="eastAsia"/>
                <w:color w:val="000000" w:themeColor="text1"/>
                <w:spacing w:val="-2"/>
                <w:szCs w:val="21"/>
                <w14:textFill>
                  <w14:solidFill>
                    <w14:schemeClr w14:val="tx1"/>
                  </w14:solidFill>
                </w14:textFill>
              </w:rPr>
              <w:t>医</w:t>
            </w:r>
            <w:r>
              <w:rPr>
                <w:color w:val="000000" w:themeColor="text1"/>
                <w:spacing w:val="-2"/>
                <w:szCs w:val="21"/>
                <w14:textFill>
                  <w14:solidFill>
                    <w14:schemeClr w14:val="tx1"/>
                  </w14:solidFill>
                </w14:textFill>
              </w:rPr>
              <w:t>废暂存间</w:t>
            </w:r>
          </w:p>
        </w:tc>
        <w:tc>
          <w:tcPr>
            <w:tcW w:w="1218" w:type="pct"/>
            <w:tcBorders>
              <w:tl2br w:val="nil"/>
              <w:tr2bl w:val="nil"/>
            </w:tcBorders>
            <w:vAlign w:val="center"/>
          </w:tcPr>
          <w:p w14:paraId="01254D28">
            <w:pPr>
              <w:pStyle w:val="1233"/>
              <w:spacing w:line="240" w:lineRule="auto"/>
              <w:rPr>
                <w:color w:val="000000" w:themeColor="text1"/>
                <w:spacing w:val="-2"/>
                <w:sz w:val="21"/>
                <w:szCs w:val="21"/>
                <w14:textFill>
                  <w14:solidFill>
                    <w14:schemeClr w14:val="tx1"/>
                  </w14:solidFill>
                </w14:textFill>
              </w:rPr>
            </w:pPr>
            <w:r>
              <w:rPr>
                <w:color w:val="000000" w:themeColor="text1"/>
                <w:sz w:val="21"/>
                <w:szCs w:val="21"/>
                <w14:textFill>
                  <w14:solidFill>
                    <w14:schemeClr w14:val="tx1"/>
                  </w14:solidFill>
                </w14:textFill>
              </w:rPr>
              <w:t>防渗层为至少1m厚黏土层（渗透系数不大于10</w:t>
            </w:r>
            <w:r>
              <w:rPr>
                <w:color w:val="000000" w:themeColor="text1"/>
                <w:sz w:val="21"/>
                <w:szCs w:val="21"/>
                <w:vertAlign w:val="superscript"/>
                <w14:textFill>
                  <w14:solidFill>
                    <w14:schemeClr w14:val="tx1"/>
                  </w14:solidFill>
                </w14:textFill>
              </w:rPr>
              <w:t>-7</w:t>
            </w:r>
            <w:r>
              <w:rPr>
                <w:color w:val="000000" w:themeColor="text1"/>
                <w:sz w:val="21"/>
                <w:szCs w:val="21"/>
                <w14:textFill>
                  <w14:solidFill>
                    <w14:schemeClr w14:val="tx1"/>
                  </w14:solidFill>
                </w14:textFill>
              </w:rPr>
              <w:t>cm/s），或至少2mm厚高密度聚乙烯膜等人工防渗材料（渗透系数不大于10</w:t>
            </w:r>
            <w:r>
              <w:rPr>
                <w:color w:val="000000" w:themeColor="text1"/>
                <w:sz w:val="21"/>
                <w:szCs w:val="21"/>
                <w:vertAlign w:val="superscript"/>
                <w14:textFill>
                  <w14:solidFill>
                    <w14:schemeClr w14:val="tx1"/>
                  </w14:solidFill>
                </w14:textFill>
              </w:rPr>
              <w:t>-10</w:t>
            </w:r>
            <w:r>
              <w:rPr>
                <w:color w:val="000000" w:themeColor="text1"/>
                <w:sz w:val="21"/>
                <w:szCs w:val="21"/>
                <w14:textFill>
                  <w14:solidFill>
                    <w14:schemeClr w14:val="tx1"/>
                  </w14:solidFill>
                </w14:textFill>
              </w:rPr>
              <w:t xml:space="preserve"> cm/s）</w:t>
            </w:r>
          </w:p>
        </w:tc>
        <w:tc>
          <w:tcPr>
            <w:tcW w:w="2088" w:type="pct"/>
            <w:tcBorders>
              <w:tl2br w:val="nil"/>
              <w:tr2bl w:val="nil"/>
            </w:tcBorders>
            <w:vAlign w:val="center"/>
          </w:tcPr>
          <w:p w14:paraId="0F0DB5F3">
            <w:pPr>
              <w:pStyle w:val="1233"/>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地面及四周</w:t>
            </w:r>
            <w:r>
              <w:rPr>
                <w:color w:val="000000" w:themeColor="text1"/>
                <w:sz w:val="21"/>
                <w:szCs w:val="21"/>
                <w14:textFill>
                  <w14:solidFill>
                    <w14:schemeClr w14:val="tx1"/>
                  </w14:solidFill>
                </w14:textFill>
              </w:rPr>
              <w:t>1m</w:t>
            </w:r>
            <w:r>
              <w:rPr>
                <w:rFonts w:hint="eastAsia"/>
                <w:color w:val="000000" w:themeColor="text1"/>
                <w:sz w:val="21"/>
                <w:szCs w:val="21"/>
                <w14:textFill>
                  <w14:solidFill>
                    <w14:schemeClr w14:val="tx1"/>
                  </w14:solidFill>
                </w14:textFill>
              </w:rPr>
              <w:t>高的墙裙必须做防渗处理，采取“夯实土层</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混凝土垫层</w:t>
            </w:r>
            <w:r>
              <w:rPr>
                <w:color w:val="000000" w:themeColor="text1"/>
                <w:sz w:val="21"/>
                <w:szCs w:val="21"/>
                <w14:textFill>
                  <w14:solidFill>
                    <w14:schemeClr w14:val="tx1"/>
                  </w14:solidFill>
                </w14:textFill>
              </w:rPr>
              <w:t>+2mmHDPE</w:t>
            </w:r>
            <w:r>
              <w:rPr>
                <w:rFonts w:hint="eastAsia"/>
                <w:color w:val="000000" w:themeColor="text1"/>
                <w:sz w:val="21"/>
                <w:szCs w:val="21"/>
                <w14:textFill>
                  <w14:solidFill>
                    <w14:schemeClr w14:val="tx1"/>
                  </w14:solidFill>
                </w14:textFill>
              </w:rPr>
              <w:t>膜</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混凝土地面”的防渗措施，从下往上依次是</w:t>
            </w:r>
            <w:r>
              <w:rPr>
                <w:color w:val="000000" w:themeColor="text1"/>
                <w:sz w:val="21"/>
                <w:szCs w:val="21"/>
                <w14:textFill>
                  <w14:solidFill>
                    <w14:schemeClr w14:val="tx1"/>
                  </w14:solidFill>
                </w14:textFill>
              </w:rPr>
              <w:t>100cm</w:t>
            </w:r>
            <w:r>
              <w:rPr>
                <w:rFonts w:hint="eastAsia"/>
                <w:color w:val="000000" w:themeColor="text1"/>
                <w:sz w:val="21"/>
                <w:szCs w:val="21"/>
                <w14:textFill>
                  <w14:solidFill>
                    <w14:schemeClr w14:val="tx1"/>
                  </w14:solidFill>
                </w14:textFill>
              </w:rPr>
              <w:t>夯实土层、</w:t>
            </w:r>
            <w:r>
              <w:rPr>
                <w:color w:val="000000" w:themeColor="text1"/>
                <w:sz w:val="21"/>
                <w:szCs w:val="21"/>
                <w14:textFill>
                  <w14:solidFill>
                    <w14:schemeClr w14:val="tx1"/>
                  </w14:solidFill>
                </w14:textFill>
              </w:rPr>
              <w:t>15cm</w:t>
            </w:r>
            <w:r>
              <w:rPr>
                <w:rFonts w:hint="eastAsia"/>
                <w:color w:val="000000" w:themeColor="text1"/>
                <w:sz w:val="21"/>
                <w:szCs w:val="21"/>
                <w14:textFill>
                  <w14:solidFill>
                    <w14:schemeClr w14:val="tx1"/>
                  </w14:solidFill>
                </w14:textFill>
              </w:rPr>
              <w:t>厚混凝土垫层、</w:t>
            </w:r>
            <w:r>
              <w:rPr>
                <w:color w:val="000000" w:themeColor="text1"/>
                <w:sz w:val="21"/>
                <w:szCs w:val="21"/>
                <w14:textFill>
                  <w14:solidFill>
                    <w14:schemeClr w14:val="tx1"/>
                  </w14:solidFill>
                </w14:textFill>
              </w:rPr>
              <w:t>2mm</w:t>
            </w:r>
            <w:r>
              <w:rPr>
                <w:rFonts w:hint="eastAsia"/>
                <w:color w:val="000000" w:themeColor="text1"/>
                <w:sz w:val="21"/>
                <w:szCs w:val="21"/>
                <w14:textFill>
                  <w14:solidFill>
                    <w14:schemeClr w14:val="tx1"/>
                  </w14:solidFill>
                </w14:textFill>
              </w:rPr>
              <w:t>厚</w:t>
            </w:r>
            <w:r>
              <w:rPr>
                <w:color w:val="000000" w:themeColor="text1"/>
                <w:sz w:val="21"/>
                <w:szCs w:val="21"/>
                <w14:textFill>
                  <w14:solidFill>
                    <w14:schemeClr w14:val="tx1"/>
                  </w14:solidFill>
                </w14:textFill>
              </w:rPr>
              <w:t>HDPE</w:t>
            </w:r>
            <w:r>
              <w:rPr>
                <w:rFonts w:hint="eastAsia"/>
                <w:color w:val="000000" w:themeColor="text1"/>
                <w:sz w:val="21"/>
                <w:szCs w:val="21"/>
                <w14:textFill>
                  <w14:solidFill>
                    <w14:schemeClr w14:val="tx1"/>
                  </w14:solidFill>
                </w14:textFill>
              </w:rPr>
              <w:t>防渗膜、</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厚混凝土地面，地面预留伸缩缝（深度不得超过</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w:t>
            </w:r>
          </w:p>
        </w:tc>
      </w:tr>
      <w:tr w14:paraId="469EC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93" w:type="pct"/>
            <w:vMerge w:val="continue"/>
            <w:tcBorders>
              <w:tl2br w:val="nil"/>
              <w:tr2bl w:val="nil"/>
            </w:tcBorders>
            <w:vAlign w:val="center"/>
          </w:tcPr>
          <w:p w14:paraId="430D2FC9">
            <w:pPr>
              <w:pStyle w:val="1233"/>
              <w:spacing w:line="240" w:lineRule="auto"/>
              <w:rPr>
                <w:color w:val="000000" w:themeColor="text1"/>
                <w:sz w:val="21"/>
                <w:szCs w:val="21"/>
                <w14:textFill>
                  <w14:solidFill>
                    <w14:schemeClr w14:val="tx1"/>
                  </w14:solidFill>
                </w14:textFill>
              </w:rPr>
            </w:pPr>
          </w:p>
        </w:tc>
        <w:tc>
          <w:tcPr>
            <w:tcW w:w="1201" w:type="pct"/>
            <w:tcBorders>
              <w:tl2br w:val="nil"/>
              <w:tr2bl w:val="nil"/>
            </w:tcBorders>
            <w:vAlign w:val="center"/>
          </w:tcPr>
          <w:p w14:paraId="6BEF1D3D">
            <w:pPr>
              <w:adjustRightInd w:val="0"/>
              <w:snapToGrid w:val="0"/>
              <w:jc w:val="center"/>
              <w:rPr>
                <w:color w:val="000000" w:themeColor="text1"/>
                <w:spacing w:val="-2"/>
                <w:szCs w:val="21"/>
                <w14:textFill>
                  <w14:solidFill>
                    <w14:schemeClr w14:val="tx1"/>
                  </w14:solidFill>
                </w14:textFill>
              </w:rPr>
            </w:pPr>
            <w:bookmarkStart w:id="453" w:name="OLE_LINK145"/>
            <w:r>
              <w:rPr>
                <w:rFonts w:hint="eastAsia"/>
                <w:color w:val="000000" w:themeColor="text1"/>
                <w:spacing w:val="-2"/>
                <w:szCs w:val="21"/>
                <w14:textFill>
                  <w14:solidFill>
                    <w14:schemeClr w14:val="tx1"/>
                  </w14:solidFill>
                </w14:textFill>
              </w:rPr>
              <w:t>青贮窖池、</w:t>
            </w:r>
            <w:r>
              <w:rPr>
                <w:color w:val="000000" w:themeColor="text1"/>
                <w:spacing w:val="-2"/>
                <w:szCs w:val="21"/>
                <w14:textFill>
                  <w14:solidFill>
                    <w14:schemeClr w14:val="tx1"/>
                  </w14:solidFill>
                </w14:textFill>
              </w:rPr>
              <w:t>药品库、柴油发电机房</w:t>
            </w:r>
            <w:r>
              <w:rPr>
                <w:rFonts w:hint="eastAsia"/>
                <w:color w:val="000000" w:themeColor="text1"/>
                <w:spacing w:val="-2"/>
                <w:szCs w:val="21"/>
                <w14:textFill>
                  <w14:solidFill>
                    <w14:schemeClr w14:val="tx1"/>
                  </w14:solidFill>
                </w14:textFill>
              </w:rPr>
              <w:t>、化粪池、隔油池</w:t>
            </w:r>
            <w:bookmarkEnd w:id="453"/>
          </w:p>
        </w:tc>
        <w:tc>
          <w:tcPr>
            <w:tcW w:w="1218" w:type="pct"/>
            <w:tcBorders>
              <w:tl2br w:val="nil"/>
              <w:tr2bl w:val="nil"/>
            </w:tcBorders>
            <w:vAlign w:val="center"/>
          </w:tcPr>
          <w:p w14:paraId="4F41AA97">
            <w:pPr>
              <w:pStyle w:val="1233"/>
              <w:spacing w:line="240" w:lineRule="auto"/>
              <w:rPr>
                <w:bCs/>
                <w:color w:val="000000" w:themeColor="text1"/>
                <w:kern w:val="2"/>
                <w:sz w:val="21"/>
                <w:szCs w:val="21"/>
                <w14:textFill>
                  <w14:solidFill>
                    <w14:schemeClr w14:val="tx1"/>
                  </w14:solidFill>
                </w14:textFill>
              </w:rPr>
            </w:pPr>
            <w:r>
              <w:rPr>
                <w:bCs/>
                <w:color w:val="000000" w:themeColor="text1"/>
                <w:kern w:val="2"/>
                <w:sz w:val="21"/>
                <w:szCs w:val="21"/>
                <w14:textFill>
                  <w14:solidFill>
                    <w14:schemeClr w14:val="tx1"/>
                  </w14:solidFill>
                </w14:textFill>
              </w:rPr>
              <w:t>等效黏土防渗层Mb≥6.0m，</w:t>
            </w:r>
            <w:r>
              <w:rPr>
                <w:bCs/>
                <w:color w:val="000000" w:themeColor="text1"/>
                <w:sz w:val="21"/>
                <w:szCs w:val="21"/>
                <w14:textFill>
                  <w14:solidFill>
                    <w14:schemeClr w14:val="tx1"/>
                  </w14:solidFill>
                </w14:textFill>
              </w:rPr>
              <w:t>渗透系数</w:t>
            </w:r>
            <w:r>
              <w:rPr>
                <w:bCs/>
                <w:color w:val="000000" w:themeColor="text1"/>
                <w:kern w:val="2"/>
                <w:sz w:val="21"/>
                <w:szCs w:val="21"/>
                <w14:textFill>
                  <w14:solidFill>
                    <w14:schemeClr w14:val="tx1"/>
                  </w14:solidFill>
                </w14:textFill>
              </w:rPr>
              <w:t>K≤1.0×10</w:t>
            </w:r>
            <w:r>
              <w:rPr>
                <w:bCs/>
                <w:color w:val="000000" w:themeColor="text1"/>
                <w:kern w:val="2"/>
                <w:sz w:val="21"/>
                <w:szCs w:val="21"/>
                <w:vertAlign w:val="superscript"/>
                <w14:textFill>
                  <w14:solidFill>
                    <w14:schemeClr w14:val="tx1"/>
                  </w14:solidFill>
                </w14:textFill>
              </w:rPr>
              <w:t>-7</w:t>
            </w:r>
            <w:r>
              <w:rPr>
                <w:bCs/>
                <w:color w:val="000000" w:themeColor="text1"/>
                <w:kern w:val="2"/>
                <w:sz w:val="21"/>
                <w:szCs w:val="21"/>
                <w14:textFill>
                  <w14:solidFill>
                    <w14:schemeClr w14:val="tx1"/>
                  </w14:solidFill>
                </w14:textFill>
              </w:rPr>
              <w:t>cm/s</w:t>
            </w:r>
          </w:p>
        </w:tc>
        <w:tc>
          <w:tcPr>
            <w:tcW w:w="2088" w:type="pct"/>
            <w:tcBorders>
              <w:tl2br w:val="nil"/>
              <w:tr2bl w:val="nil"/>
            </w:tcBorders>
            <w:vAlign w:val="center"/>
          </w:tcPr>
          <w:p w14:paraId="253A3F65">
            <w:pPr>
              <w:pStyle w:val="1233"/>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地面及四周1m高的墙裙必须做防渗处理，采取“夯实土层+混凝土垫层+2mmHDPE膜+混凝土地面”的防渗措施，从下往上依次是100cm夯实土层、15cm厚混凝土垫层、2mm厚HDPE防渗膜、20cm厚混凝土地面，地面预留伸缩缝（深度不得超过20cm）。</w:t>
            </w:r>
          </w:p>
        </w:tc>
      </w:tr>
      <w:tr w14:paraId="177067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93" w:type="pct"/>
            <w:tcBorders>
              <w:tl2br w:val="nil"/>
              <w:tr2bl w:val="nil"/>
            </w:tcBorders>
            <w:vAlign w:val="center"/>
          </w:tcPr>
          <w:p w14:paraId="4376BAFC">
            <w:pPr>
              <w:adjustRightInd w:val="0"/>
              <w:snapToGrid w:val="0"/>
              <w:jc w:val="center"/>
              <w:rPr>
                <w:color w:val="000000" w:themeColor="text1"/>
                <w:spacing w:val="12"/>
                <w:szCs w:val="21"/>
                <w14:textFill>
                  <w14:solidFill>
                    <w14:schemeClr w14:val="tx1"/>
                  </w14:solidFill>
                </w14:textFill>
              </w:rPr>
            </w:pPr>
            <w:r>
              <w:rPr>
                <w:color w:val="000000" w:themeColor="text1"/>
                <w:spacing w:val="7"/>
                <w:szCs w:val="21"/>
                <w14:textFill>
                  <w14:solidFill>
                    <w14:schemeClr w14:val="tx1"/>
                  </w14:solidFill>
                </w14:textFill>
              </w:rPr>
              <w:t>一般防渗区</w:t>
            </w:r>
          </w:p>
        </w:tc>
        <w:tc>
          <w:tcPr>
            <w:tcW w:w="1201" w:type="pct"/>
            <w:tcBorders>
              <w:tl2br w:val="nil"/>
              <w:tr2bl w:val="nil"/>
            </w:tcBorders>
            <w:vAlign w:val="center"/>
          </w:tcPr>
          <w:p w14:paraId="3CF01C64">
            <w:pPr>
              <w:spacing w:before="24" w:line="228" w:lineRule="auto"/>
              <w:ind w:left="9"/>
              <w:jc w:val="center"/>
              <w:rPr>
                <w:color w:val="000000" w:themeColor="text1"/>
                <w:spacing w:val="2"/>
                <w:szCs w:val="21"/>
                <w14:textFill>
                  <w14:solidFill>
                    <w14:schemeClr w14:val="tx1"/>
                  </w14:solidFill>
                </w14:textFill>
              </w:rPr>
            </w:pPr>
            <w:bookmarkStart w:id="454" w:name="OLE_LINK157"/>
            <w:r>
              <w:rPr>
                <w:color w:val="000000" w:themeColor="text1"/>
                <w:spacing w:val="-2"/>
                <w:szCs w:val="21"/>
                <w14:textFill>
                  <w14:solidFill>
                    <w14:schemeClr w14:val="tx1"/>
                  </w14:solidFill>
                </w14:textFill>
              </w:rPr>
              <w:t>牛舍、饲料仓库、饲料加工间</w:t>
            </w:r>
            <w:r>
              <w:rPr>
                <w:rFonts w:hint="eastAsia"/>
                <w:color w:val="000000" w:themeColor="text1"/>
                <w:spacing w:val="-2"/>
                <w:szCs w:val="21"/>
                <w14:textFill>
                  <w14:solidFill>
                    <w14:schemeClr w14:val="tx1"/>
                  </w14:solidFill>
                </w14:textFill>
              </w:rPr>
              <w:t>、消毒池、雨水收集池、冷库</w:t>
            </w:r>
            <w:bookmarkEnd w:id="454"/>
          </w:p>
        </w:tc>
        <w:tc>
          <w:tcPr>
            <w:tcW w:w="1218" w:type="pct"/>
            <w:tcBorders>
              <w:tl2br w:val="nil"/>
              <w:tr2bl w:val="nil"/>
            </w:tcBorders>
            <w:vAlign w:val="center"/>
          </w:tcPr>
          <w:p w14:paraId="627E0B62">
            <w:pPr>
              <w:pStyle w:val="257"/>
              <w:rPr>
                <w:color w:val="000000" w:themeColor="text1"/>
                <w:spacing w:val="12"/>
                <w:sz w:val="21"/>
                <w14:textFill>
                  <w14:solidFill>
                    <w14:schemeClr w14:val="tx1"/>
                  </w14:solidFill>
                </w14:textFill>
              </w:rPr>
            </w:pPr>
            <w:r>
              <w:rPr>
                <w:bCs/>
                <w:color w:val="000000" w:themeColor="text1"/>
                <w:sz w:val="21"/>
                <w14:textFill>
                  <w14:solidFill>
                    <w14:schemeClr w14:val="tx1"/>
                  </w14:solidFill>
                </w14:textFill>
              </w:rPr>
              <w:t>等效黏土防渗层Mb≥1.5m，渗透系数K≤1.0×10</w:t>
            </w:r>
            <w:r>
              <w:rPr>
                <w:bCs/>
                <w:color w:val="000000" w:themeColor="text1"/>
                <w:sz w:val="21"/>
                <w:vertAlign w:val="superscript"/>
                <w14:textFill>
                  <w14:solidFill>
                    <w14:schemeClr w14:val="tx1"/>
                  </w14:solidFill>
                </w14:textFill>
              </w:rPr>
              <w:t>-7</w:t>
            </w:r>
            <w:r>
              <w:rPr>
                <w:bCs/>
                <w:color w:val="000000" w:themeColor="text1"/>
                <w:sz w:val="21"/>
                <w14:textFill>
                  <w14:solidFill>
                    <w14:schemeClr w14:val="tx1"/>
                  </w14:solidFill>
                </w14:textFill>
              </w:rPr>
              <w:t>cm/s</w:t>
            </w:r>
          </w:p>
        </w:tc>
        <w:tc>
          <w:tcPr>
            <w:tcW w:w="2088" w:type="pct"/>
            <w:tcBorders>
              <w:tl2br w:val="nil"/>
              <w:tr2bl w:val="nil"/>
            </w:tcBorders>
            <w:vAlign w:val="center"/>
          </w:tcPr>
          <w:p w14:paraId="18878D63">
            <w:pPr>
              <w:pStyle w:val="1233"/>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防渗层为下部为黏土层</w:t>
            </w:r>
          </w:p>
          <w:p w14:paraId="2347E030">
            <w:pPr>
              <w:pStyle w:val="1233"/>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抗渗混凝土（厚度不应小于 100mm）</w:t>
            </w:r>
          </w:p>
        </w:tc>
      </w:tr>
      <w:tr w14:paraId="5BB3D2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93" w:type="pct"/>
            <w:tcBorders>
              <w:tl2br w:val="nil"/>
              <w:tr2bl w:val="nil"/>
            </w:tcBorders>
            <w:vAlign w:val="center"/>
          </w:tcPr>
          <w:p w14:paraId="4E3ADB30">
            <w:pPr>
              <w:adjustRightInd w:val="0"/>
              <w:snapToGrid w:val="0"/>
              <w:jc w:val="center"/>
              <w:rPr>
                <w:color w:val="000000" w:themeColor="text1"/>
                <w:spacing w:val="12"/>
                <w:szCs w:val="21"/>
                <w14:textFill>
                  <w14:solidFill>
                    <w14:schemeClr w14:val="tx1"/>
                  </w14:solidFill>
                </w14:textFill>
              </w:rPr>
            </w:pPr>
            <w:r>
              <w:rPr>
                <w:color w:val="000000" w:themeColor="text1"/>
                <w:spacing w:val="7"/>
                <w:szCs w:val="21"/>
                <w14:textFill>
                  <w14:solidFill>
                    <w14:schemeClr w14:val="tx1"/>
                  </w14:solidFill>
                </w14:textFill>
              </w:rPr>
              <w:t>简单防渗区</w:t>
            </w:r>
          </w:p>
        </w:tc>
        <w:tc>
          <w:tcPr>
            <w:tcW w:w="1201" w:type="pct"/>
            <w:tcBorders>
              <w:tl2br w:val="nil"/>
              <w:tr2bl w:val="nil"/>
            </w:tcBorders>
            <w:vAlign w:val="center"/>
          </w:tcPr>
          <w:p w14:paraId="42F7B04E">
            <w:pPr>
              <w:adjustRightInd w:val="0"/>
              <w:snapToGrid w:val="0"/>
              <w:jc w:val="center"/>
              <w:rPr>
                <w:color w:val="000000" w:themeColor="text1"/>
                <w:spacing w:val="12"/>
                <w:szCs w:val="21"/>
                <w14:textFill>
                  <w14:solidFill>
                    <w14:schemeClr w14:val="tx1"/>
                  </w14:solidFill>
                </w14:textFill>
              </w:rPr>
            </w:pPr>
            <w:r>
              <w:rPr>
                <w:color w:val="000000" w:themeColor="text1"/>
                <w:spacing w:val="12"/>
                <w:szCs w:val="21"/>
                <w14:textFill>
                  <w14:solidFill>
                    <w14:schemeClr w14:val="tx1"/>
                  </w14:solidFill>
                </w14:textFill>
              </w:rPr>
              <w:t>办公生活区、道路等</w:t>
            </w:r>
          </w:p>
        </w:tc>
        <w:tc>
          <w:tcPr>
            <w:tcW w:w="1218" w:type="pct"/>
            <w:tcBorders>
              <w:tl2br w:val="nil"/>
              <w:tr2bl w:val="nil"/>
            </w:tcBorders>
            <w:vAlign w:val="center"/>
          </w:tcPr>
          <w:p w14:paraId="33338172">
            <w:pPr>
              <w:adjustRightInd w:val="0"/>
              <w:snapToGrid w:val="0"/>
              <w:jc w:val="center"/>
              <w:rPr>
                <w:color w:val="000000" w:themeColor="text1"/>
                <w:spacing w:val="12"/>
                <w:szCs w:val="21"/>
                <w14:textFill>
                  <w14:solidFill>
                    <w14:schemeClr w14:val="tx1"/>
                  </w14:solidFill>
                </w14:textFill>
              </w:rPr>
            </w:pPr>
            <w:r>
              <w:rPr>
                <w:color w:val="000000" w:themeColor="text1"/>
                <w:spacing w:val="12"/>
                <w:szCs w:val="21"/>
                <w14:textFill>
                  <w14:solidFill>
                    <w14:schemeClr w14:val="tx1"/>
                  </w14:solidFill>
                </w14:textFill>
              </w:rPr>
              <w:t>一般地面硬化</w:t>
            </w:r>
          </w:p>
        </w:tc>
        <w:tc>
          <w:tcPr>
            <w:tcW w:w="2088" w:type="pct"/>
            <w:tcBorders>
              <w:tl2br w:val="nil"/>
              <w:tr2bl w:val="nil"/>
            </w:tcBorders>
            <w:vAlign w:val="center"/>
          </w:tcPr>
          <w:p w14:paraId="59F9B579">
            <w:pPr>
              <w:pStyle w:val="1233"/>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采用非铺砌地坪或普通混凝土地坪</w:t>
            </w:r>
          </w:p>
        </w:tc>
      </w:tr>
    </w:tbl>
    <w:p w14:paraId="1CA32A26">
      <w:pPr>
        <w:widowControl w:val="0"/>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环评要求：定期进行检漏监测及检修。做好隐蔽工程记录和防渗工程的环境管理。</w:t>
      </w:r>
    </w:p>
    <w:p w14:paraId="3A94C33B">
      <w:pPr>
        <w:widowControl w:val="0"/>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采取上述措施后，可有效地避免污染物渗入地下，污染地下水。</w:t>
      </w:r>
    </w:p>
    <w:bookmarkEnd w:id="448"/>
    <w:bookmarkEnd w:id="449"/>
    <w:bookmarkEnd w:id="450"/>
    <w:p w14:paraId="78127696">
      <w:pPr>
        <w:pStyle w:val="752"/>
        <w:spacing w:before="0" w:after="0"/>
        <w:rPr>
          <w:rFonts w:cs="Times New Roman"/>
          <w:color w:val="000000" w:themeColor="text1"/>
          <w14:textFill>
            <w14:solidFill>
              <w14:schemeClr w14:val="tx1"/>
            </w14:solidFill>
          </w14:textFill>
        </w:rPr>
      </w:pPr>
      <w:bookmarkStart w:id="455" w:name="_Toc7075"/>
      <w:bookmarkStart w:id="456" w:name="_Toc233380182"/>
      <w:bookmarkStart w:id="457" w:name="_Toc40220705"/>
      <w:bookmarkStart w:id="458" w:name="_Toc27751142"/>
      <w:bookmarkStart w:id="459" w:name="_Toc28814627"/>
      <w:r>
        <w:rPr>
          <w:rFonts w:cs="Times New Roman"/>
          <w:color w:val="000000" w:themeColor="text1"/>
          <w14:textFill>
            <w14:solidFill>
              <w14:schemeClr w14:val="tx1"/>
            </w14:solidFill>
          </w14:textFill>
        </w:rPr>
        <w:t>3.10.5非正常排放及防范措施</w:t>
      </w:r>
      <w:bookmarkEnd w:id="455"/>
      <w:bookmarkEnd w:id="456"/>
    </w:p>
    <w:p w14:paraId="775C559F">
      <w:pPr>
        <w:spacing w:line="360" w:lineRule="auto"/>
        <w:ind w:firstLine="482" w:firstLineChars="200"/>
        <w:rPr>
          <w:color w:val="000000" w:themeColor="text1"/>
          <w:sz w:val="24"/>
          <w14:textFill>
            <w14:solidFill>
              <w14:schemeClr w14:val="tx1"/>
            </w14:solidFill>
          </w14:textFill>
        </w:rPr>
      </w:pPr>
      <w:r>
        <w:rPr>
          <w:b/>
          <w:bCs/>
          <w:color w:val="000000" w:themeColor="text1"/>
          <w:sz w:val="24"/>
          <w14:textFill>
            <w14:solidFill>
              <w14:schemeClr w14:val="tx1"/>
            </w14:solidFill>
          </w14:textFill>
        </w:rPr>
        <w:t>1、废水事故排放</w:t>
      </w:r>
    </w:p>
    <w:p w14:paraId="2C4D9BCA">
      <w:pPr>
        <w:spacing w:line="360" w:lineRule="auto"/>
        <w:ind w:firstLine="472" w:firstLineChars="200"/>
        <w:jc w:val="both"/>
        <w:rPr>
          <w:spacing w:val="-2"/>
          <w:sz w:val="24"/>
        </w:rPr>
      </w:pPr>
      <w:r>
        <w:rPr>
          <w:spacing w:val="-2"/>
          <w:sz w:val="24"/>
        </w:rPr>
        <w:t>事故排放主要情况为处理后的废水暂时不能完全利用：</w:t>
      </w:r>
    </w:p>
    <w:p w14:paraId="385E64EE">
      <w:pPr>
        <w:spacing w:line="360" w:lineRule="auto"/>
        <w:ind w:firstLine="472" w:firstLineChars="200"/>
        <w:jc w:val="both"/>
        <w:rPr>
          <w:spacing w:val="-2"/>
          <w:sz w:val="24"/>
        </w:rPr>
      </w:pPr>
      <w:r>
        <w:rPr>
          <w:color w:val="000000" w:themeColor="text1"/>
          <w:spacing w:val="-2"/>
          <w:sz w:val="24"/>
          <w14:textFill>
            <w14:solidFill>
              <w14:schemeClr w14:val="tx1"/>
            </w14:solidFill>
          </w14:textFill>
        </w:rPr>
        <w:t>本项目设置1个</w:t>
      </w:r>
      <w:r>
        <w:rPr>
          <w:rFonts w:hint="eastAsia"/>
          <w:color w:val="000000" w:themeColor="text1"/>
          <w:spacing w:val="-2"/>
          <w:sz w:val="24"/>
          <w14:textFill>
            <w14:solidFill>
              <w14:schemeClr w14:val="tx1"/>
            </w14:solidFill>
          </w14:textFill>
        </w:rPr>
        <w:t>集水</w:t>
      </w:r>
      <w:r>
        <w:rPr>
          <w:color w:val="000000" w:themeColor="text1"/>
          <w:spacing w:val="-2"/>
          <w:sz w:val="24"/>
          <w14:textFill>
            <w14:solidFill>
              <w14:schemeClr w14:val="tx1"/>
            </w14:solidFill>
          </w14:textFill>
        </w:rPr>
        <w:t>池总容积约100m³。</w:t>
      </w:r>
      <w:r>
        <w:rPr>
          <w:spacing w:val="-2"/>
          <w:sz w:val="24"/>
        </w:rPr>
        <w:t>参考《畜禽养殖业污染治理工程技术规范》（HJ497-2009）中6.1.2.3“贮存池的总有效容积应根据贮存期确定。种养结合的养殖场，贮存池的贮存期不得低于当地农作物生产用肥的最大间隔时间和冬季封冻期或雨季最长降雨期，一般不得小于30d的排放总量”的要求。考虑最不利情况，本项目</w:t>
      </w:r>
      <w:r>
        <w:rPr>
          <w:rFonts w:hint="eastAsia"/>
          <w:spacing w:val="-2"/>
          <w:sz w:val="24"/>
        </w:rPr>
        <w:t>集水池</w:t>
      </w:r>
      <w:r>
        <w:rPr>
          <w:spacing w:val="-2"/>
          <w:sz w:val="24"/>
        </w:rPr>
        <w:t>总容积可满足本项目至少90日废水的贮存，有充足的缓冲时间，可确保雨季废水不外排。</w:t>
      </w:r>
    </w:p>
    <w:p w14:paraId="1852E26B">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为保证</w:t>
      </w:r>
      <w:r>
        <w:rPr>
          <w:rFonts w:hint="eastAsia"/>
          <w:color w:val="000000" w:themeColor="text1"/>
          <w:sz w:val="24"/>
          <w14:textFill>
            <w14:solidFill>
              <w14:schemeClr w14:val="tx1"/>
            </w14:solidFill>
          </w14:textFill>
        </w:rPr>
        <w:t>集水</w:t>
      </w:r>
      <w:r>
        <w:rPr>
          <w:color w:val="000000" w:themeColor="text1"/>
          <w:sz w:val="24"/>
          <w14:textFill>
            <w14:solidFill>
              <w14:schemeClr w14:val="tx1"/>
            </w14:solidFill>
          </w14:textFill>
        </w:rPr>
        <w:t>池的储液能力，</w:t>
      </w:r>
      <w:r>
        <w:rPr>
          <w:rFonts w:hint="eastAsia"/>
          <w:color w:val="000000" w:themeColor="text1"/>
          <w:sz w:val="24"/>
          <w14:textFill>
            <w14:solidFill>
              <w14:schemeClr w14:val="tx1"/>
            </w14:solidFill>
          </w14:textFill>
        </w:rPr>
        <w:t>集水</w:t>
      </w:r>
      <w:r>
        <w:rPr>
          <w:color w:val="000000" w:themeColor="text1"/>
          <w:sz w:val="24"/>
          <w14:textFill>
            <w14:solidFill>
              <w14:schemeClr w14:val="tx1"/>
            </w14:solidFill>
          </w14:textFill>
        </w:rPr>
        <w:t>池设置要求如下：</w:t>
      </w:r>
    </w:p>
    <w:p w14:paraId="3EC4E230">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A.本项目</w:t>
      </w:r>
      <w:r>
        <w:rPr>
          <w:rFonts w:hint="eastAsia"/>
          <w:color w:val="000000" w:themeColor="text1"/>
          <w:sz w:val="24"/>
          <w14:textFill>
            <w14:solidFill>
              <w14:schemeClr w14:val="tx1"/>
            </w14:solidFill>
          </w14:textFill>
        </w:rPr>
        <w:t>集水池</w:t>
      </w:r>
      <w:r>
        <w:rPr>
          <w:color w:val="000000" w:themeColor="text1"/>
          <w:sz w:val="24"/>
          <w14:textFill>
            <w14:solidFill>
              <w14:schemeClr w14:val="tx1"/>
            </w14:solidFill>
          </w14:textFill>
        </w:rPr>
        <w:t>进行底部和侧面采取重点防渗处理，防止渗透，污染地下水。防渗技术要求需满足</w:t>
      </w:r>
      <w:r>
        <w:rPr>
          <w:bCs/>
          <w:color w:val="000000" w:themeColor="text1"/>
          <w:sz w:val="24"/>
          <w14:textFill>
            <w14:solidFill>
              <w14:schemeClr w14:val="tx1"/>
            </w14:solidFill>
          </w14:textFill>
        </w:rPr>
        <w:t>等效黏土防渗层Mb≥6.0m，渗透系数K≤1.0×10</w:t>
      </w:r>
      <w:r>
        <w:rPr>
          <w:bCs/>
          <w:color w:val="000000" w:themeColor="text1"/>
          <w:sz w:val="24"/>
          <w:vertAlign w:val="superscript"/>
          <w14:textFill>
            <w14:solidFill>
              <w14:schemeClr w14:val="tx1"/>
            </w14:solidFill>
          </w14:textFill>
        </w:rPr>
        <w:t>-7</w:t>
      </w:r>
      <w:r>
        <w:rPr>
          <w:bCs/>
          <w:color w:val="000000" w:themeColor="text1"/>
          <w:sz w:val="24"/>
          <w14:textFill>
            <w14:solidFill>
              <w14:schemeClr w14:val="tx1"/>
            </w14:solidFill>
          </w14:textFill>
        </w:rPr>
        <w:t>cm/s</w:t>
      </w:r>
      <w:r>
        <w:rPr>
          <w:color w:val="000000" w:themeColor="text1"/>
          <w:sz w:val="24"/>
          <w14:textFill>
            <w14:solidFill>
              <w14:schemeClr w14:val="tx1"/>
            </w14:solidFill>
          </w14:textFill>
        </w:rPr>
        <w:t>。</w:t>
      </w:r>
    </w:p>
    <w:p w14:paraId="2226119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B.</w:t>
      </w:r>
      <w:r>
        <w:rPr>
          <w:rFonts w:hint="eastAsia"/>
          <w:color w:val="000000" w:themeColor="text1"/>
          <w:sz w:val="24"/>
          <w14:textFill>
            <w14:solidFill>
              <w14:schemeClr w14:val="tx1"/>
            </w14:solidFill>
          </w14:textFill>
        </w:rPr>
        <w:t>集水</w:t>
      </w:r>
      <w:r>
        <w:rPr>
          <w:color w:val="000000" w:themeColor="text1"/>
          <w:sz w:val="24"/>
          <w14:textFill>
            <w14:solidFill>
              <w14:schemeClr w14:val="tx1"/>
            </w14:solidFill>
          </w14:textFill>
        </w:rPr>
        <w:t>池防止雨水进入，顶部应设雨棚，四周设置排水沟。</w:t>
      </w:r>
    </w:p>
    <w:p w14:paraId="297CE87B">
      <w:pPr>
        <w:spacing w:line="360" w:lineRule="auto"/>
        <w:ind w:firstLine="482" w:firstLineChars="200"/>
        <w:jc w:val="both"/>
        <w:rPr>
          <w:color w:val="000000" w:themeColor="text1"/>
          <w:sz w:val="24"/>
          <w14:textFill>
            <w14:solidFill>
              <w14:schemeClr w14:val="tx1"/>
            </w14:solidFill>
          </w14:textFill>
        </w:rPr>
      </w:pPr>
      <w:r>
        <w:rPr>
          <w:b/>
          <w:bCs/>
          <w:color w:val="000000" w:themeColor="text1"/>
          <w:sz w:val="24"/>
          <w14:textFill>
            <w14:solidFill>
              <w14:schemeClr w14:val="tx1"/>
            </w14:solidFill>
          </w14:textFill>
        </w:rPr>
        <w:t>2、臭气非正常排放</w:t>
      </w:r>
    </w:p>
    <w:p w14:paraId="6E2863B8">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养殖场牛舍恶臭为无组织排放，发生非正常排放的可能较小，非正常排放情况为除臭剂失效，处理效率为0时，产生的恶臭气体直接排放。饲料加工过程布袋除尘器故障，除尘效率为0时，导致的事故排放。</w:t>
      </w:r>
    </w:p>
    <w:p w14:paraId="782A08A8">
      <w:pPr>
        <w:spacing w:line="360" w:lineRule="auto"/>
        <w:ind w:firstLine="482" w:firstLineChars="200"/>
        <w:jc w:val="both"/>
        <w:rPr>
          <w:color w:val="000000" w:themeColor="text1"/>
          <w:sz w:val="24"/>
          <w14:textFill>
            <w14:solidFill>
              <w14:schemeClr w14:val="tx1"/>
            </w14:solidFill>
          </w14:textFill>
        </w:rPr>
      </w:pPr>
      <w:r>
        <w:rPr>
          <w:b/>
          <w:bCs/>
          <w:color w:val="000000" w:themeColor="text1"/>
          <w:sz w:val="24"/>
          <w14:textFill>
            <w14:solidFill>
              <w14:schemeClr w14:val="tx1"/>
            </w14:solidFill>
          </w14:textFill>
        </w:rPr>
        <w:t>3、环境事故防范对策和建议</w:t>
      </w:r>
    </w:p>
    <w:p w14:paraId="7F9B0C9D">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设置专业人员对废水处理设施进行维护，及时发现处理设备的隐患，确保处理系统正常运行；开、停、检修要有预案，有严密周全的计划，确保不发生非正常排放，或使影响最小。</w:t>
      </w:r>
    </w:p>
    <w:p w14:paraId="7A3FDF57">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设置备用电源和备用处理设备和零件，以备停电或设备出现故障时保障及时更换使废水全部做到达标排放。</w:t>
      </w:r>
    </w:p>
    <w:p w14:paraId="7F67F3A1">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对员工进行岗位培训，持证上岗。经常性监测并做好值班记录，实行岗位责任制。</w:t>
      </w:r>
    </w:p>
    <w:p w14:paraId="51FA5E66">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w:t>
      </w:r>
      <w:r>
        <w:rPr>
          <w:color w:val="000000" w:themeColor="text1"/>
          <w:sz w:val="24"/>
          <w14:textFill>
            <w14:solidFill>
              <w14:schemeClr w14:val="tx1"/>
            </w14:solidFill>
          </w14:textFill>
        </w:rPr>
        <w:t>保持</w:t>
      </w:r>
      <w:r>
        <w:rPr>
          <w:rFonts w:hint="eastAsia"/>
          <w:color w:val="000000" w:themeColor="text1"/>
          <w:sz w:val="24"/>
          <w14:textFill>
            <w14:solidFill>
              <w14:schemeClr w14:val="tx1"/>
            </w14:solidFill>
          </w14:textFill>
        </w:rPr>
        <w:t>养殖</w:t>
      </w:r>
      <w:r>
        <w:rPr>
          <w:color w:val="000000" w:themeColor="text1"/>
          <w:sz w:val="24"/>
          <w14:textFill>
            <w14:solidFill>
              <w14:schemeClr w14:val="tx1"/>
            </w14:solidFill>
          </w14:textFill>
        </w:rPr>
        <w:t>场内管网的畅通，防止各污水池内污水泄漏。</w:t>
      </w:r>
    </w:p>
    <w:p w14:paraId="0D045316">
      <w:pPr>
        <w:pStyle w:val="752"/>
        <w:rPr>
          <w:rFonts w:cs="Times New Roman"/>
          <w:color w:val="000000" w:themeColor="text1"/>
          <w14:textFill>
            <w14:solidFill>
              <w14:schemeClr w14:val="tx1"/>
            </w14:solidFill>
          </w14:textFill>
        </w:rPr>
      </w:pPr>
      <w:bookmarkStart w:id="460" w:name="_Toc32448"/>
      <w:bookmarkStart w:id="461" w:name="_Toc8669"/>
      <w:bookmarkStart w:id="462" w:name="_Toc15305"/>
      <w:bookmarkStart w:id="463" w:name="_Toc26985"/>
      <w:bookmarkStart w:id="464" w:name="_Toc233380183"/>
      <w:r>
        <w:rPr>
          <w:rFonts w:cs="Times New Roman"/>
          <w:color w:val="000000" w:themeColor="text1"/>
          <w14:textFill>
            <w14:solidFill>
              <w14:schemeClr w14:val="tx1"/>
            </w14:solidFill>
          </w14:textFill>
        </w:rPr>
        <w:t>3.10.6总量控制</w:t>
      </w:r>
      <w:bookmarkEnd w:id="460"/>
      <w:bookmarkEnd w:id="461"/>
      <w:bookmarkEnd w:id="462"/>
      <w:bookmarkEnd w:id="463"/>
      <w:bookmarkEnd w:id="464"/>
    </w:p>
    <w:p w14:paraId="79F43946">
      <w:pPr>
        <w:pStyle w:val="51"/>
        <w:widowControl w:val="0"/>
        <w:spacing w:after="0"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总量控制是指以控制一定时段内一定区域内排污单位排放污染物总量为核心的环境管理方法体系。</w:t>
      </w:r>
    </w:p>
    <w:p w14:paraId="29461ACE">
      <w:pPr>
        <w:pStyle w:val="51"/>
        <w:widowControl w:val="0"/>
        <w:spacing w:after="0"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1、水污染物总量计算</w:t>
      </w:r>
    </w:p>
    <w:p w14:paraId="017F2BBA">
      <w:pPr>
        <w:pStyle w:val="51"/>
        <w:widowControl w:val="0"/>
        <w:spacing w:after="0"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14:textFill>
            <w14:solidFill>
              <w14:schemeClr w14:val="tx1"/>
            </w14:solidFill>
          </w14:textFill>
        </w:rPr>
        <w:t>生活污水</w:t>
      </w:r>
      <w:r>
        <w:rPr>
          <w:color w:val="000000" w:themeColor="text1"/>
          <w:sz w:val="24"/>
          <w14:textFill>
            <w14:solidFill>
              <w14:schemeClr w14:val="tx1"/>
            </w14:solidFill>
          </w14:textFill>
        </w:rPr>
        <w:t>经</w:t>
      </w:r>
      <w:r>
        <w:rPr>
          <w:rFonts w:hint="eastAsia"/>
          <w:color w:val="000000" w:themeColor="text1"/>
          <w:sz w:val="24"/>
          <w:lang w:val="en-US"/>
          <w14:textFill>
            <w14:solidFill>
              <w14:schemeClr w14:val="tx1"/>
            </w14:solidFill>
          </w14:textFill>
        </w:rPr>
        <w:t>化粪</w:t>
      </w:r>
      <w:r>
        <w:rPr>
          <w:color w:val="000000" w:themeColor="text1"/>
          <w:sz w:val="24"/>
          <w:lang w:val="en-US"/>
          <w14:textFill>
            <w14:solidFill>
              <w14:schemeClr w14:val="tx1"/>
            </w14:solidFill>
          </w14:textFill>
        </w:rPr>
        <w:t>池</w:t>
      </w:r>
      <w:r>
        <w:rPr>
          <w:color w:val="000000" w:themeColor="text1"/>
          <w:sz w:val="24"/>
          <w14:textFill>
            <w14:solidFill>
              <w14:schemeClr w14:val="tx1"/>
            </w14:solidFill>
          </w14:textFill>
        </w:rPr>
        <w:t>处理后，</w:t>
      </w:r>
      <w:r>
        <w:rPr>
          <w:rFonts w:hint="eastAsia"/>
          <w:color w:val="000000" w:themeColor="text1"/>
          <w:sz w:val="24"/>
          <w14:textFill>
            <w14:solidFill>
              <w14:schemeClr w14:val="tx1"/>
            </w14:solidFill>
          </w14:textFill>
        </w:rPr>
        <w:t>外运</w:t>
      </w:r>
      <w:r>
        <w:rPr>
          <w:color w:val="000000" w:themeColor="text1"/>
          <w:sz w:val="24"/>
          <w:lang w:val="en-US"/>
          <w14:textFill>
            <w14:solidFill>
              <w14:schemeClr w14:val="tx1"/>
            </w14:solidFill>
          </w14:textFill>
        </w:rPr>
        <w:t>用作农肥</w:t>
      </w:r>
      <w:r>
        <w:rPr>
          <w:color w:val="000000" w:themeColor="text1"/>
          <w:sz w:val="24"/>
          <w14:textFill>
            <w14:solidFill>
              <w14:schemeClr w14:val="tx1"/>
            </w14:solidFill>
          </w14:textFill>
        </w:rPr>
        <w:t>，不外排。本项目不涉及水污染物总量控制指标。</w:t>
      </w:r>
    </w:p>
    <w:p w14:paraId="06BD3EB6">
      <w:pPr>
        <w:pStyle w:val="51"/>
        <w:widowControl w:val="0"/>
        <w:spacing w:after="0"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2、大气污染物总量计算</w:t>
      </w:r>
    </w:p>
    <w:p w14:paraId="251B922E">
      <w:pPr>
        <w:spacing w:line="360" w:lineRule="auto"/>
        <w:ind w:firstLine="480"/>
        <w:rPr>
          <w:color w:val="000000" w:themeColor="text1"/>
          <w:sz w:val="24"/>
          <w14:textFill>
            <w14:solidFill>
              <w14:schemeClr w14:val="tx1"/>
            </w14:solidFill>
          </w14:textFill>
        </w:rPr>
      </w:pPr>
      <w:r>
        <w:rPr>
          <w:b/>
          <w:bCs/>
          <w:color w:val="000000" w:themeColor="text1"/>
          <w:sz w:val="24"/>
          <w14:textFill>
            <w14:solidFill>
              <w14:schemeClr w14:val="tx1"/>
            </w14:solidFill>
          </w14:textFill>
        </w:rPr>
        <w:t>本项目不涉及大气污染物总量控制指标。</w:t>
      </w:r>
    </w:p>
    <w:p w14:paraId="2DC3A752">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本项目废气不涉及总量控制污染物；生活</w:t>
      </w:r>
      <w:r>
        <w:rPr>
          <w:rFonts w:hint="eastAsia"/>
          <w:color w:val="000000" w:themeColor="text1"/>
          <w:sz w:val="24"/>
          <w14:textFill>
            <w14:solidFill>
              <w14:schemeClr w14:val="tx1"/>
            </w14:solidFill>
          </w14:textFill>
        </w:rPr>
        <w:t>污水</w:t>
      </w:r>
      <w:r>
        <w:rPr>
          <w:color w:val="000000" w:themeColor="text1"/>
          <w:sz w:val="24"/>
          <w14:textFill>
            <w14:solidFill>
              <w14:schemeClr w14:val="tx1"/>
            </w14:solidFill>
          </w14:textFill>
        </w:rPr>
        <w:t>经化粪池收集暂存，定期用作农肥。因此，根据本项目的排污特征，本次评价不涉及总量控制指标。</w:t>
      </w:r>
    </w:p>
    <w:p w14:paraId="1F81308B">
      <w:pPr>
        <w:spacing w:line="460" w:lineRule="exact"/>
        <w:ind w:firstLine="480" w:firstLineChars="200"/>
        <w:rPr>
          <w:color w:val="000000" w:themeColor="text1"/>
          <w:sz w:val="24"/>
          <w14:textFill>
            <w14:solidFill>
              <w14:schemeClr w14:val="tx1"/>
            </w14:solidFill>
          </w14:textFill>
        </w:rPr>
        <w:sectPr>
          <w:footerReference r:id="rId14" w:type="default"/>
          <w:pgSz w:w="11907" w:h="16840"/>
          <w:pgMar w:top="1440" w:right="1797" w:bottom="1440" w:left="1797" w:header="851" w:footer="992" w:gutter="0"/>
          <w:cols w:space="720" w:num="1"/>
          <w:docGrid w:linePitch="286" w:charSpace="0"/>
        </w:sectPr>
      </w:pPr>
    </w:p>
    <w:bookmarkEnd w:id="451"/>
    <w:bookmarkEnd w:id="457"/>
    <w:bookmarkEnd w:id="458"/>
    <w:bookmarkEnd w:id="459"/>
    <w:p w14:paraId="63585D4C">
      <w:pPr>
        <w:pStyle w:val="3"/>
        <w:snapToGrid w:val="0"/>
        <w:spacing w:before="240" w:beforeLines="100" w:after="240" w:afterLines="100" w:line="360" w:lineRule="auto"/>
        <w:rPr>
          <w:bCs w:val="0"/>
          <w:color w:val="000000" w:themeColor="text1"/>
          <w:sz w:val="36"/>
          <w:szCs w:val="36"/>
          <w14:textFill>
            <w14:solidFill>
              <w14:schemeClr w14:val="tx1"/>
            </w14:solidFill>
          </w14:textFill>
        </w:rPr>
      </w:pPr>
      <w:bookmarkStart w:id="465" w:name="_Toc40220709"/>
      <w:bookmarkStart w:id="466" w:name="_Toc15351"/>
      <w:bookmarkStart w:id="467" w:name="_Toc233380184"/>
      <w:r>
        <w:rPr>
          <w:bCs w:val="0"/>
          <w:color w:val="000000" w:themeColor="text1"/>
          <w:sz w:val="36"/>
          <w:szCs w:val="36"/>
          <w14:textFill>
            <w14:solidFill>
              <w14:schemeClr w14:val="tx1"/>
            </w14:solidFill>
          </w14:textFill>
        </w:rPr>
        <w:t>4环境现状调查与评价</w:t>
      </w:r>
      <w:bookmarkEnd w:id="465"/>
      <w:bookmarkEnd w:id="466"/>
      <w:bookmarkEnd w:id="467"/>
      <w:bookmarkStart w:id="468" w:name="_Toc40220710"/>
      <w:bookmarkStart w:id="469" w:name="_Toc28328"/>
      <w:bookmarkStart w:id="470" w:name="_Hlk11336339"/>
    </w:p>
    <w:p w14:paraId="61AFAA6E">
      <w:pPr>
        <w:pStyle w:val="3"/>
        <w:snapToGrid w:val="0"/>
        <w:spacing w:before="240" w:beforeLines="100" w:after="240" w:afterLines="100" w:line="360" w:lineRule="auto"/>
        <w:rPr>
          <w:color w:val="000000" w:themeColor="text1"/>
          <w:sz w:val="30"/>
          <w:szCs w:val="30"/>
          <w14:textFill>
            <w14:solidFill>
              <w14:schemeClr w14:val="tx1"/>
            </w14:solidFill>
          </w14:textFill>
        </w:rPr>
      </w:pPr>
      <w:bookmarkStart w:id="471" w:name="_Toc233380185"/>
      <w:r>
        <w:rPr>
          <w:color w:val="000000" w:themeColor="text1"/>
          <w:sz w:val="30"/>
          <w:szCs w:val="30"/>
          <w14:textFill>
            <w14:solidFill>
              <w14:schemeClr w14:val="tx1"/>
            </w14:solidFill>
          </w14:textFill>
        </w:rPr>
        <w:t>4.1自然环境现状调查与评价</w:t>
      </w:r>
      <w:bookmarkEnd w:id="468"/>
      <w:bookmarkEnd w:id="469"/>
      <w:bookmarkEnd w:id="471"/>
    </w:p>
    <w:bookmarkEnd w:id="470"/>
    <w:p w14:paraId="2B2A3985">
      <w:pPr>
        <w:pStyle w:val="5"/>
        <w:adjustRightInd w:val="0"/>
        <w:snapToGrid w:val="0"/>
        <w:spacing w:before="0" w:after="0" w:line="360" w:lineRule="auto"/>
        <w:rPr>
          <w:color w:val="000000" w:themeColor="text1"/>
          <w:sz w:val="28"/>
          <w:szCs w:val="28"/>
          <w14:textFill>
            <w14:solidFill>
              <w14:schemeClr w14:val="tx1"/>
            </w14:solidFill>
          </w14:textFill>
        </w:rPr>
      </w:pPr>
      <w:bookmarkStart w:id="472" w:name="_Toc27751149"/>
      <w:bookmarkStart w:id="473" w:name="_Toc9637"/>
      <w:bookmarkStart w:id="474" w:name="_Toc21529605"/>
      <w:bookmarkStart w:id="475" w:name="_Toc233380186"/>
      <w:bookmarkStart w:id="476" w:name="_Toc40220711"/>
      <w:bookmarkStart w:id="477" w:name="_Toc28814634"/>
      <w:bookmarkStart w:id="478" w:name="_Hlk11336346"/>
      <w:r>
        <w:rPr>
          <w:color w:val="000000" w:themeColor="text1"/>
          <w:sz w:val="28"/>
          <w:szCs w:val="28"/>
          <w14:textFill>
            <w14:solidFill>
              <w14:schemeClr w14:val="tx1"/>
            </w14:solidFill>
          </w14:textFill>
        </w:rPr>
        <w:t>4.1.1地理位置</w:t>
      </w:r>
      <w:bookmarkEnd w:id="472"/>
      <w:bookmarkEnd w:id="473"/>
      <w:bookmarkEnd w:id="474"/>
      <w:bookmarkEnd w:id="475"/>
      <w:bookmarkEnd w:id="476"/>
      <w:bookmarkEnd w:id="477"/>
    </w:p>
    <w:bookmarkEnd w:id="478"/>
    <w:p w14:paraId="0DED6AF4">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巴中市位于四川省东北部，地处川陕两省交界的大巴山系米仓山南麓，是四川与陕西的交界地区。巴中是秦巴山片区区域发展与扶贫攻坚中心城市、原川陕苏区中心城市。地理位置介于北纬31°15′-32°45′、东经106°21′-107°45′之间，全市幅员122930.3平方公里。巴中市东邻达州，南接南充，西抵广元，北接陕西汉中。现巴中市辖南江、通江、平昌三县，巴州、恩阳两区和两个省级经济开发区（巴中经济开发区、平昌经济开发区）。</w:t>
      </w:r>
    </w:p>
    <w:p w14:paraId="682CB8A1">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巴州区位于四川省东北部，米仓山南麓。东接通江县、平昌县，南邻仪陇县，西连巴中市恩阳区，北与南江县抵界。巴州是南北气候的交汇地带，属于典型的亚热带湿润季风气候，四季分明，无霜期长，光照适宜，雨量充沛，适合保健养生、休闲度假，素有“川东北天然氧吧”的称号。</w:t>
      </w:r>
    </w:p>
    <w:p w14:paraId="16B3D5DA">
      <w:pPr>
        <w:adjustRightInd w:val="0"/>
        <w:snapToGrid w:val="0"/>
        <w:spacing w:line="360" w:lineRule="auto"/>
        <w:ind w:firstLine="480" w:firstLineChars="200"/>
        <w:jc w:val="both"/>
        <w:rPr>
          <w:sz w:val="24"/>
        </w:rPr>
      </w:pPr>
      <w:r>
        <w:rPr>
          <w:sz w:val="24"/>
        </w:rPr>
        <w:t>项目位于巴中市巴州区白庙乡百花村，曾口镇佛龙村，清江镇塘坝村，以及水宁寺镇始宁社区。项目地理位置见附图1，项目外环境关系见附图2。</w:t>
      </w:r>
    </w:p>
    <w:p w14:paraId="0C1FCC1D">
      <w:pPr>
        <w:pStyle w:val="5"/>
        <w:adjustRightInd w:val="0"/>
        <w:snapToGrid w:val="0"/>
        <w:spacing w:before="0" w:after="0" w:line="360" w:lineRule="auto"/>
        <w:rPr>
          <w:color w:val="000000" w:themeColor="text1"/>
          <w:sz w:val="28"/>
          <w:szCs w:val="28"/>
          <w14:textFill>
            <w14:solidFill>
              <w14:schemeClr w14:val="tx1"/>
            </w14:solidFill>
          </w14:textFill>
        </w:rPr>
      </w:pPr>
      <w:bookmarkStart w:id="479" w:name="_Toc28814635"/>
      <w:bookmarkStart w:id="480" w:name="_Toc233380187"/>
      <w:bookmarkStart w:id="481" w:name="_Toc5298"/>
      <w:bookmarkStart w:id="482" w:name="_Toc40220712"/>
      <w:bookmarkStart w:id="483" w:name="_Hlk11336395"/>
      <w:r>
        <w:rPr>
          <w:color w:val="000000" w:themeColor="text1"/>
          <w:sz w:val="28"/>
          <w:szCs w:val="28"/>
          <w14:textFill>
            <w14:solidFill>
              <w14:schemeClr w14:val="tx1"/>
            </w14:solidFill>
          </w14:textFill>
        </w:rPr>
        <w:t>4.1.2地形、地貌</w:t>
      </w:r>
      <w:bookmarkEnd w:id="479"/>
      <w:bookmarkEnd w:id="480"/>
      <w:bookmarkEnd w:id="481"/>
      <w:bookmarkEnd w:id="482"/>
    </w:p>
    <w:p w14:paraId="3AE625B0">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巴中属典型的盆周山区，地势北高南低，由北向南倾斜。北部为深切割中山，中切割中山，中部为中切割低山、浅切割低山；南部为丘陵，沿河两岸及台状山顶有平坝。丘陵、平坝面积约为1243平方公里，占幅员面积的10%；山地占90%。最高海拔在北西部的平昌县光雾山，为2507.0m；最低海拔在南部的平昌县黄梅溪，为268.3m，高差2238.7m。中北部山地，低、中山界线明显。中切割中山一般700～900m，多窄谷；深切割中山切割高达1200m以上，多峡谷；中切割低山切割一般600m，多“V”形谷、平底谷，称山区平坝。三级阶梯状构造，从北到南逐渐降低。北部深切割中山海拔1500～2000m，中切割中山海拔1300～1500m，中部中切割低山海拔800～1000m。中部低山，大多海拔400～800m；南部丘陵分布在海拔350～600m之间；平坝分布在海拔268.3～400m之间。另外，境内还有流水侵蚀、沉积、扇形地貌和重力堆积、残积地貌及喀斯特地貌。境内地质构造跨及米仓山台穹、大巴山弧形、川北台（坳）陷及川东新华夏四个二级构造单元。构造形迹以褶皱为主，断裂不发育；褶皱曲线呈弧形，岩层倾角变化频繁且有扭曲现象。境内西北为龙门山北东向褶皱带，北部是米仓山东西向褶皱带，东北与大巴山西向褶皱带相连，东南部邻华蓥山北东向褶皱带，南西是川中北西西向褶皱带。由于地处上述结构之中，并受其控制和影响，故越近中心，构造力愈微弱，褶皱呈环状排列，形成莲花状。褶皱由北向南形成30多个向（背）斜褶皱带。</w:t>
      </w:r>
    </w:p>
    <w:p w14:paraId="2A40B0C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州区境属盆地低山区，地势北高南低。除溪河地势较低、山峰地势较高外，大部分海拔在400米～800米之间。主要地貌类型有平坝、台地、低丘、高丘、低山、低中山、山原等。平坝主要分布在巴河、恩阳河、双桥河沿岸。台地除北部低中山区少见外，其余地区均有出现，较多的是东部的水宁寺镇等；低丘主要分布在巴河、恩阳河一带；高丘主要分布在区境的西南部，巴河、恩阳河两岸与平坝和低丘相邻地段；低山全区各地均有分布；低中山分布在区境北部与通江、南江交界的白庙、梓橦、寺岭、枣林等乡镇的全部或部分区域，海拔在1000米～1400米之间，相对高差650米～1090米；山原分布于区境低山、低中山的山顶、山脊及山坡上。</w:t>
      </w:r>
    </w:p>
    <w:p w14:paraId="0ECA5B9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境内全部山脉源自大巴山西段与米仓山复合部分的南麓。主脉之一──老土地，源于南江县大门垭，自白庙乡宝珠山、香炉山入境，西南经石谷岭、九重山至柳岗西北崛起一峰名老土地，海拔1413米。主脉继续向西南，经南阳蒿枝坪、四方碑、瓦窑坪至枣林镇东北低巴河。沿途伸延的支脉有天城寨、永宁寨、凤头山、古楼山、龙城寨、摩天岭、方山寨、董山、东华山等。主脉之二──下八家坪，源于通江火炬乡上八家坪，经石门子入区境关渡乡，制高点名下八家坪，海拔850米。西翼至灵江桥入关渡溪，东翼向南延伸，至张中坝分出支脉两支：一支入大河坝，一支抵平昌高坑河。主脉之三──阴灵山，源于南江县元潭乡园顶子，从枣林镇西北入境。崛起一峰名阴灵山，海拔1420米。主脉之四──狮子山，源于南江县园顶子，沿巴州、南江县界西南行，单脊延伸于枣林镇西北，崛起一峰名狮子山，海拔1460米，为境内最高峰。经青山乡人头山、望乡台，复入南江龙耳山，至福星（平梁乡）西北悬地庙，又转向南江朱公山，再经福星乡（平梁乡）姜家坡、福星场、苟观寺至麻石垭天星寨，走两路口、麻石垭、塔子湾抵恩阳河。主脉之五──章怀寺，源于仪陇县福星场，由巴中市恩阳区舞凤乡连三湾入境，经落花山至龙背乡大旗山，复出境内至仪陇秋树垭，在境内内沿途的支脉有大旗山、鼎山、胜前山等。</w:t>
      </w:r>
    </w:p>
    <w:p w14:paraId="0429A560">
      <w:pPr>
        <w:pStyle w:val="5"/>
        <w:adjustRightInd w:val="0"/>
        <w:snapToGrid w:val="0"/>
        <w:spacing w:before="0" w:after="0" w:line="360" w:lineRule="auto"/>
        <w:rPr>
          <w:color w:val="000000" w:themeColor="text1"/>
          <w:sz w:val="28"/>
          <w:szCs w:val="28"/>
          <w14:textFill>
            <w14:solidFill>
              <w14:schemeClr w14:val="tx1"/>
            </w14:solidFill>
          </w14:textFill>
        </w:rPr>
      </w:pPr>
      <w:bookmarkStart w:id="484" w:name="_Toc233380188"/>
      <w:bookmarkStart w:id="485" w:name="_Toc18414"/>
      <w:bookmarkStart w:id="486" w:name="_Toc28814637"/>
      <w:bookmarkStart w:id="487" w:name="_Toc40220714"/>
      <w:r>
        <w:rPr>
          <w:color w:val="000000" w:themeColor="text1"/>
          <w:sz w:val="28"/>
          <w:szCs w:val="28"/>
          <w14:textFill>
            <w14:solidFill>
              <w14:schemeClr w14:val="tx1"/>
            </w14:solidFill>
          </w14:textFill>
        </w:rPr>
        <w:t>4.1.3气候、气象</w:t>
      </w:r>
      <w:bookmarkEnd w:id="484"/>
      <w:bookmarkEnd w:id="485"/>
      <w:bookmarkEnd w:id="486"/>
      <w:bookmarkEnd w:id="487"/>
    </w:p>
    <w:p w14:paraId="4CBA19B5">
      <w:pPr>
        <w:spacing w:line="360" w:lineRule="auto"/>
        <w:ind w:firstLine="480" w:firstLineChars="200"/>
        <w:rPr>
          <w:color w:val="000000" w:themeColor="text1"/>
          <w:sz w:val="24"/>
          <w14:textFill>
            <w14:solidFill>
              <w14:schemeClr w14:val="tx1"/>
            </w14:solidFill>
          </w14:textFill>
        </w:rPr>
      </w:pPr>
      <w:bookmarkStart w:id="488" w:name="_Toc437260141"/>
      <w:r>
        <w:rPr>
          <w:color w:val="000000" w:themeColor="text1"/>
          <w:sz w:val="24"/>
          <w14:textFill>
            <w14:solidFill>
              <w14:schemeClr w14:val="tx1"/>
            </w14:solidFill>
          </w14:textFill>
        </w:rPr>
        <w:t>巴中市属亚热带湿润季风气候区，四季分明，雨量充沛，无霜期长，光照适宜，气候温和，适宜于农、林、牧、渔业的发展。年平均气温16.9℃，1月份平均气温5.2℃，8月份平均气温27.3℃。</w:t>
      </w:r>
      <w:r>
        <w:rPr>
          <w:sz w:val="24"/>
        </w:rPr>
        <w:t>历史最高气温记录为39℃，最低气温为-2℃。年平均降雨量1150</w:t>
      </w:r>
      <w:r>
        <w:rPr>
          <w:color w:val="000000" w:themeColor="text1"/>
          <w:sz w:val="24"/>
          <w14:textFill>
            <w14:solidFill>
              <w14:schemeClr w14:val="tx1"/>
            </w14:solidFill>
          </w14:textFill>
        </w:rPr>
        <w:t>毫米，最大日降雨量282.2毫米，降水总量145.5亿立方米，降雨量年际变化大，年内各月降雨量分布极不均匀，秋季多雨，冬季多雾，常有夏伏旱、秋霪雨及风、雹等灾害性天气发生。全市多年平均相对湿度为76%，无霜期260-280天，多年平均日照时数为1470.6小时。</w:t>
      </w:r>
      <w:bookmarkEnd w:id="488"/>
    </w:p>
    <w:p w14:paraId="1A7919AF">
      <w:pPr>
        <w:pStyle w:val="5"/>
        <w:adjustRightInd w:val="0"/>
        <w:snapToGrid w:val="0"/>
        <w:spacing w:before="0" w:after="0" w:line="360" w:lineRule="auto"/>
        <w:rPr>
          <w:color w:val="000000" w:themeColor="text1"/>
          <w:sz w:val="28"/>
          <w:szCs w:val="28"/>
          <w14:textFill>
            <w14:solidFill>
              <w14:schemeClr w14:val="tx1"/>
            </w14:solidFill>
          </w14:textFill>
        </w:rPr>
      </w:pPr>
      <w:bookmarkStart w:id="489" w:name="_Toc14274"/>
      <w:bookmarkStart w:id="490" w:name="_Toc28814638"/>
      <w:bookmarkStart w:id="491" w:name="_Toc40220715"/>
      <w:bookmarkStart w:id="492" w:name="_Toc233380189"/>
      <w:r>
        <w:rPr>
          <w:color w:val="000000" w:themeColor="text1"/>
          <w:sz w:val="28"/>
          <w:szCs w:val="28"/>
          <w14:textFill>
            <w14:solidFill>
              <w14:schemeClr w14:val="tx1"/>
            </w14:solidFill>
          </w14:textFill>
        </w:rPr>
        <w:t>4.1.4</w:t>
      </w:r>
      <w:bookmarkEnd w:id="489"/>
      <w:bookmarkEnd w:id="490"/>
      <w:bookmarkEnd w:id="491"/>
      <w:r>
        <w:rPr>
          <w:color w:val="000000" w:themeColor="text1"/>
          <w:sz w:val="28"/>
          <w:szCs w:val="28"/>
          <w14:textFill>
            <w14:solidFill>
              <w14:schemeClr w14:val="tx1"/>
            </w14:solidFill>
          </w14:textFill>
        </w:rPr>
        <w:t>河流水系</w:t>
      </w:r>
      <w:bookmarkEnd w:id="492"/>
    </w:p>
    <w:p w14:paraId="32DB1BC0">
      <w:pPr>
        <w:spacing w:line="360" w:lineRule="auto"/>
        <w:ind w:firstLine="480" w:firstLineChars="200"/>
        <w:rPr>
          <w:color w:val="000000" w:themeColor="text1"/>
          <w:sz w:val="24"/>
          <w14:textFill>
            <w14:solidFill>
              <w14:schemeClr w14:val="tx1"/>
            </w14:solidFill>
          </w14:textFill>
        </w:rPr>
      </w:pPr>
      <w:bookmarkStart w:id="493" w:name="_Toc40220716"/>
      <w:bookmarkStart w:id="494" w:name="_Toc27553"/>
      <w:bookmarkStart w:id="495" w:name="_Toc28814639"/>
      <w:r>
        <w:rPr>
          <w:color w:val="000000" w:themeColor="text1"/>
          <w:sz w:val="24"/>
          <w14:textFill>
            <w14:solidFill>
              <w14:schemeClr w14:val="tx1"/>
            </w14:solidFill>
          </w14:textFill>
        </w:rPr>
        <w:t>巴中市境内溪河众多，有大小溪河1100多条，主要河流有南江河、通江河、恩阳河及巴河。流域面积在1000平方公里以上的有7条，100平方公里以上的有45条，50平方公里以上的有86条，河流总长4342公里，河流基本呈北南流向，树状分布，水位洪枯变幅大，部分小溪小河在枯水季节往往断流。除南江县北部的焦家河属嘉陵江一级支流外，其余均属渠江水系。多年平均水资源总量71.68亿立方米，水能理论蕴藏量81.24万千瓦。</w:t>
      </w:r>
    </w:p>
    <w:p w14:paraId="1AC4720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河：发源于南江县玉泉乡平溪村的铁船山，横切于米仓山至大巴山的中山区海拔高程1800m，在南江县境内由东北向西南流，经玉泉、南江县城、沙河、下两、至元潭出南江县，进入巴州区境内继续南流，经枣林、在大佛寺有巴中水文站控制流域面积2732km2，多年平均流量61.1m3/s，最大实测洪峰流量10700m3/s，折东过巴中市城区北，曲折南至三江口水文站，以上流域面积2880km2。</w:t>
      </w:r>
    </w:p>
    <w:p w14:paraId="7D57A29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阳台河：阳台河为巴河一级支流，属于季节性河流；水体功能为泄洪，水量主要来自区域降雨地表汇水、光荣水库以及魏家河水库的部分下泄水（枯水期几乎无下泄水量）。</w:t>
      </w:r>
    </w:p>
    <w:p w14:paraId="2604E36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店子河：水体功能为泄洪、灌溉，水量主要来自区域的地表降雨等汇水。</w:t>
      </w:r>
    </w:p>
    <w:p w14:paraId="2494C5F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通江河：渠江左岸一级支流，又名通江、巴水（陕西境内）。发源于陕西省西乡县大河镇小溪村，流经陕西省西乡县、镇巴县，于通江县空山乡五福村周家水沟入境，自北向南流经通江县、平昌县，于平昌县江口镇城区汇入渠江。大通江干流全长225km、流域面积8829k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，平均比降1.77‰，其中：巴中境内长194km，流域面积6131km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w:t>
      </w:r>
    </w:p>
    <w:p w14:paraId="7A7AEBD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龙潭沟：龙潭沟属于季节性河流，水体功能为泄洪，水量主要来自区域的地表降雨等汇水，最枯时段可能出现断流。</w:t>
      </w:r>
    </w:p>
    <w:p w14:paraId="58B5AA62">
      <w:pPr>
        <w:spacing w:line="360" w:lineRule="auto"/>
        <w:ind w:firstLine="480" w:firstLineChars="200"/>
        <w:rPr>
          <w:sz w:val="24"/>
        </w:rPr>
      </w:pPr>
      <w:r>
        <w:rPr>
          <w:sz w:val="24"/>
        </w:rPr>
        <w:t>本项目不直接向地表水体排放污水。</w:t>
      </w:r>
    </w:p>
    <w:p w14:paraId="4C565C60">
      <w:pPr>
        <w:pStyle w:val="5"/>
        <w:adjustRightInd w:val="0"/>
        <w:snapToGrid w:val="0"/>
        <w:spacing w:before="0" w:after="0" w:line="360" w:lineRule="auto"/>
        <w:rPr>
          <w:color w:val="000000" w:themeColor="text1"/>
          <w:sz w:val="28"/>
          <w:szCs w:val="28"/>
          <w14:textFill>
            <w14:solidFill>
              <w14:schemeClr w14:val="tx1"/>
            </w14:solidFill>
          </w14:textFill>
        </w:rPr>
      </w:pPr>
      <w:bookmarkStart w:id="496" w:name="_Toc233380190"/>
      <w:r>
        <w:rPr>
          <w:color w:val="000000" w:themeColor="text1"/>
          <w:sz w:val="28"/>
          <w:szCs w:val="28"/>
          <w14:textFill>
            <w14:solidFill>
              <w14:schemeClr w14:val="tx1"/>
            </w14:solidFill>
          </w14:textFill>
        </w:rPr>
        <w:t>4.1.5</w:t>
      </w:r>
      <w:bookmarkEnd w:id="493"/>
      <w:bookmarkEnd w:id="494"/>
      <w:bookmarkEnd w:id="495"/>
      <w:r>
        <w:rPr>
          <w:color w:val="000000" w:themeColor="text1"/>
          <w:sz w:val="28"/>
          <w:szCs w:val="28"/>
          <w14:textFill>
            <w14:solidFill>
              <w14:schemeClr w14:val="tx1"/>
            </w14:solidFill>
          </w14:textFill>
        </w:rPr>
        <w:t>地质条件</w:t>
      </w:r>
      <w:bookmarkEnd w:id="496"/>
    </w:p>
    <w:bookmarkEnd w:id="483"/>
    <w:p w14:paraId="2822A27F">
      <w:pPr>
        <w:adjustRightInd w:val="0"/>
        <w:snapToGrid w:val="0"/>
        <w:spacing w:line="360" w:lineRule="auto"/>
        <w:ind w:firstLine="482" w:firstLineChars="200"/>
        <w:rPr>
          <w:b/>
          <w:color w:val="000000" w:themeColor="text1"/>
          <w:sz w:val="24"/>
          <w14:textFill>
            <w14:solidFill>
              <w14:schemeClr w14:val="tx1"/>
            </w14:solidFill>
          </w14:textFill>
        </w:rPr>
      </w:pPr>
      <w:bookmarkStart w:id="497" w:name="_Toc28814641"/>
      <w:bookmarkStart w:id="498" w:name="_Toc40220718"/>
      <w:bookmarkStart w:id="499" w:name="_Toc21529610"/>
      <w:bookmarkStart w:id="500" w:name="_Toc27751154"/>
      <w:bookmarkStart w:id="501" w:name="_Hlk11336414"/>
      <w:r>
        <w:rPr>
          <w:b/>
          <w:color w:val="000000" w:themeColor="text1"/>
          <w:sz w:val="24"/>
          <w14:textFill>
            <w14:solidFill>
              <w14:schemeClr w14:val="tx1"/>
            </w14:solidFill>
          </w14:textFill>
        </w:rPr>
        <w:t>4.1.5.1地层岩性</w:t>
      </w:r>
    </w:p>
    <w:p w14:paraId="53C0B0E3">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1）区域地层</w:t>
      </w:r>
    </w:p>
    <w:p w14:paraId="224ECAA2">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巴中市地形高差悬殊，地层岩性较复杂，出露地层由新到老主要为：新生界第四系及中生界白垩系、侏罗系、三叠系等。巴中市地层岩性如下表：</w:t>
      </w:r>
    </w:p>
    <w:p w14:paraId="43C07E58">
      <w:pPr>
        <w:pStyle w:val="34"/>
        <w:ind w:firstLine="420"/>
        <w:jc w:val="center"/>
        <w:rPr>
          <w:rFonts w:eastAsia="黑体"/>
        </w:rPr>
      </w:pPr>
      <w:r>
        <w:rPr>
          <w:rFonts w:eastAsia="黑体"/>
        </w:rPr>
        <w:t>表4.1-1  巴中市地层岩性简表</w:t>
      </w:r>
    </w:p>
    <w:tbl>
      <w:tblPr>
        <w:tblStyle w:val="8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14"/>
        <w:gridCol w:w="397"/>
        <w:gridCol w:w="502"/>
        <w:gridCol w:w="715"/>
        <w:gridCol w:w="907"/>
        <w:gridCol w:w="5275"/>
      </w:tblGrid>
      <w:tr w14:paraId="010257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Align w:val="center"/>
          </w:tcPr>
          <w:p w14:paraId="4ABBD979">
            <w:pPr>
              <w:pStyle w:val="51"/>
              <w:spacing w:after="0" w:line="240" w:lineRule="auto"/>
              <w:ind w:left="0" w:leftChars="0"/>
              <w:jc w:val="center"/>
              <w:rPr>
                <w:b/>
                <w:szCs w:val="21"/>
              </w:rPr>
            </w:pPr>
            <w:r>
              <w:rPr>
                <w:b/>
                <w:szCs w:val="21"/>
              </w:rPr>
              <w:t>界</w:t>
            </w:r>
          </w:p>
        </w:tc>
        <w:tc>
          <w:tcPr>
            <w:tcW w:w="239" w:type="pct"/>
            <w:vAlign w:val="center"/>
          </w:tcPr>
          <w:p w14:paraId="2392D931">
            <w:pPr>
              <w:pStyle w:val="51"/>
              <w:spacing w:after="0" w:line="240" w:lineRule="auto"/>
              <w:ind w:left="0" w:leftChars="0"/>
              <w:jc w:val="center"/>
              <w:rPr>
                <w:b/>
                <w:szCs w:val="21"/>
              </w:rPr>
            </w:pPr>
            <w:r>
              <w:rPr>
                <w:b/>
                <w:szCs w:val="21"/>
              </w:rPr>
              <w:t>系</w:t>
            </w:r>
          </w:p>
        </w:tc>
        <w:tc>
          <w:tcPr>
            <w:tcW w:w="302" w:type="pct"/>
            <w:vAlign w:val="center"/>
          </w:tcPr>
          <w:p w14:paraId="53A2E54C">
            <w:pPr>
              <w:pStyle w:val="51"/>
              <w:spacing w:after="0" w:line="240" w:lineRule="auto"/>
              <w:ind w:left="0" w:leftChars="0"/>
              <w:jc w:val="center"/>
              <w:rPr>
                <w:b/>
                <w:szCs w:val="21"/>
              </w:rPr>
            </w:pPr>
            <w:r>
              <w:rPr>
                <w:b/>
                <w:szCs w:val="21"/>
              </w:rPr>
              <w:t>统</w:t>
            </w:r>
          </w:p>
        </w:tc>
        <w:tc>
          <w:tcPr>
            <w:tcW w:w="430" w:type="pct"/>
            <w:vAlign w:val="center"/>
          </w:tcPr>
          <w:p w14:paraId="2B436CCD">
            <w:pPr>
              <w:pStyle w:val="51"/>
              <w:spacing w:after="0" w:line="240" w:lineRule="auto"/>
              <w:ind w:left="0" w:leftChars="0"/>
              <w:jc w:val="center"/>
              <w:rPr>
                <w:b/>
                <w:szCs w:val="21"/>
              </w:rPr>
            </w:pPr>
            <w:r>
              <w:rPr>
                <w:b/>
                <w:szCs w:val="21"/>
              </w:rPr>
              <w:t>组</w:t>
            </w:r>
          </w:p>
        </w:tc>
        <w:tc>
          <w:tcPr>
            <w:tcW w:w="546" w:type="pct"/>
            <w:vAlign w:val="center"/>
          </w:tcPr>
          <w:p w14:paraId="54B1C64B">
            <w:pPr>
              <w:pStyle w:val="51"/>
              <w:spacing w:after="0" w:line="240" w:lineRule="auto"/>
              <w:ind w:left="0" w:leftChars="0"/>
              <w:jc w:val="center"/>
              <w:rPr>
                <w:b/>
                <w:szCs w:val="21"/>
              </w:rPr>
            </w:pPr>
            <w:r>
              <w:rPr>
                <w:b/>
                <w:szCs w:val="21"/>
              </w:rPr>
              <w:t>代号</w:t>
            </w:r>
          </w:p>
        </w:tc>
        <w:tc>
          <w:tcPr>
            <w:tcW w:w="3174" w:type="pct"/>
            <w:vAlign w:val="center"/>
          </w:tcPr>
          <w:p w14:paraId="43111293">
            <w:pPr>
              <w:pStyle w:val="51"/>
              <w:spacing w:after="0" w:line="240" w:lineRule="auto"/>
              <w:ind w:left="0" w:leftChars="0"/>
              <w:jc w:val="both"/>
              <w:rPr>
                <w:b/>
                <w:szCs w:val="21"/>
              </w:rPr>
            </w:pPr>
            <w:r>
              <w:rPr>
                <w:b/>
                <w:szCs w:val="21"/>
              </w:rPr>
              <w:t>岩性综述</w:t>
            </w:r>
          </w:p>
        </w:tc>
      </w:tr>
      <w:tr w14:paraId="6B88E7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restart"/>
            <w:vAlign w:val="center"/>
          </w:tcPr>
          <w:p w14:paraId="51DF3D77">
            <w:pPr>
              <w:pStyle w:val="51"/>
              <w:spacing w:after="0" w:line="240" w:lineRule="auto"/>
              <w:ind w:left="0" w:leftChars="0"/>
              <w:jc w:val="center"/>
              <w:rPr>
                <w:szCs w:val="21"/>
              </w:rPr>
            </w:pPr>
            <w:r>
              <w:rPr>
                <w:szCs w:val="21"/>
              </w:rPr>
              <w:t>新生界</w:t>
            </w:r>
          </w:p>
        </w:tc>
        <w:tc>
          <w:tcPr>
            <w:tcW w:w="239" w:type="pct"/>
            <w:vMerge w:val="restart"/>
            <w:vAlign w:val="center"/>
          </w:tcPr>
          <w:p w14:paraId="7C45E987">
            <w:pPr>
              <w:pStyle w:val="51"/>
              <w:spacing w:after="0" w:line="240" w:lineRule="auto"/>
              <w:ind w:left="0" w:leftChars="0"/>
              <w:jc w:val="center"/>
              <w:rPr>
                <w:szCs w:val="21"/>
              </w:rPr>
            </w:pPr>
            <w:r>
              <w:rPr>
                <w:szCs w:val="21"/>
              </w:rPr>
              <w:t>第四系</w:t>
            </w:r>
          </w:p>
        </w:tc>
        <w:tc>
          <w:tcPr>
            <w:tcW w:w="732" w:type="pct"/>
            <w:gridSpan w:val="2"/>
            <w:vMerge w:val="restart"/>
            <w:vAlign w:val="center"/>
          </w:tcPr>
          <w:p w14:paraId="211CC98B">
            <w:pPr>
              <w:pStyle w:val="51"/>
              <w:spacing w:after="0" w:line="240" w:lineRule="auto"/>
              <w:ind w:left="0" w:leftChars="0"/>
              <w:jc w:val="center"/>
              <w:rPr>
                <w:szCs w:val="21"/>
              </w:rPr>
            </w:pPr>
            <w:r>
              <w:rPr>
                <w:szCs w:val="21"/>
              </w:rPr>
              <w:t>全新统</w:t>
            </w:r>
          </w:p>
        </w:tc>
        <w:tc>
          <w:tcPr>
            <w:tcW w:w="546" w:type="pct"/>
            <w:vAlign w:val="center"/>
          </w:tcPr>
          <w:p w14:paraId="686CA9BE">
            <w:pPr>
              <w:pStyle w:val="51"/>
              <w:spacing w:after="0" w:line="240" w:lineRule="auto"/>
              <w:ind w:left="0" w:leftChars="0"/>
              <w:jc w:val="center"/>
              <w:rPr>
                <w:szCs w:val="21"/>
              </w:rPr>
            </w:pPr>
            <w:r>
              <w:rPr>
                <w:szCs w:val="21"/>
              </w:rPr>
              <w:t>Q</w:t>
            </w:r>
            <w:r>
              <w:rPr>
                <w:szCs w:val="21"/>
                <w:vertAlign w:val="superscript"/>
              </w:rPr>
              <w:t>col+dl</w:t>
            </w:r>
          </w:p>
        </w:tc>
        <w:tc>
          <w:tcPr>
            <w:tcW w:w="3174" w:type="pct"/>
            <w:vAlign w:val="center"/>
          </w:tcPr>
          <w:p w14:paraId="2BB8CC78">
            <w:pPr>
              <w:pStyle w:val="51"/>
              <w:spacing w:after="0" w:line="240" w:lineRule="auto"/>
              <w:ind w:left="0" w:leftChars="0"/>
              <w:jc w:val="both"/>
              <w:rPr>
                <w:szCs w:val="21"/>
              </w:rPr>
            </w:pPr>
            <w:r>
              <w:rPr>
                <w:szCs w:val="21"/>
              </w:rPr>
              <w:t>一般位于中上区坡脚地带，以碎石土，块石土为主。</w:t>
            </w:r>
          </w:p>
        </w:tc>
      </w:tr>
      <w:tr w14:paraId="57BDF1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7E21D252">
            <w:pPr>
              <w:pStyle w:val="51"/>
              <w:spacing w:after="0" w:line="240" w:lineRule="auto"/>
              <w:ind w:left="0" w:leftChars="0"/>
              <w:jc w:val="center"/>
              <w:rPr>
                <w:szCs w:val="21"/>
              </w:rPr>
            </w:pPr>
          </w:p>
        </w:tc>
        <w:tc>
          <w:tcPr>
            <w:tcW w:w="239" w:type="pct"/>
            <w:vMerge w:val="continue"/>
            <w:vAlign w:val="center"/>
          </w:tcPr>
          <w:p w14:paraId="728EA2AD">
            <w:pPr>
              <w:pStyle w:val="51"/>
              <w:spacing w:after="0" w:line="240" w:lineRule="auto"/>
              <w:ind w:left="0" w:leftChars="0"/>
              <w:jc w:val="center"/>
              <w:rPr>
                <w:szCs w:val="21"/>
              </w:rPr>
            </w:pPr>
          </w:p>
        </w:tc>
        <w:tc>
          <w:tcPr>
            <w:tcW w:w="732" w:type="pct"/>
            <w:gridSpan w:val="2"/>
            <w:vMerge w:val="continue"/>
            <w:vAlign w:val="center"/>
          </w:tcPr>
          <w:p w14:paraId="6503AFAC">
            <w:pPr>
              <w:pStyle w:val="51"/>
              <w:spacing w:after="0" w:line="240" w:lineRule="auto"/>
              <w:ind w:left="0" w:leftChars="0"/>
              <w:jc w:val="center"/>
              <w:rPr>
                <w:szCs w:val="21"/>
              </w:rPr>
            </w:pPr>
          </w:p>
        </w:tc>
        <w:tc>
          <w:tcPr>
            <w:tcW w:w="546" w:type="pct"/>
            <w:vAlign w:val="center"/>
          </w:tcPr>
          <w:p w14:paraId="597737D1">
            <w:pPr>
              <w:pStyle w:val="51"/>
              <w:spacing w:after="0" w:line="240" w:lineRule="auto"/>
              <w:ind w:left="0" w:leftChars="0"/>
              <w:jc w:val="center"/>
              <w:rPr>
                <w:szCs w:val="21"/>
              </w:rPr>
            </w:pPr>
            <w:r>
              <w:rPr>
                <w:szCs w:val="21"/>
              </w:rPr>
              <w:t>Q</w:t>
            </w:r>
            <w:r>
              <w:rPr>
                <w:szCs w:val="21"/>
                <w:vertAlign w:val="superscript"/>
              </w:rPr>
              <w:t>el+dl</w:t>
            </w:r>
          </w:p>
        </w:tc>
        <w:tc>
          <w:tcPr>
            <w:tcW w:w="3174" w:type="pct"/>
            <w:vAlign w:val="center"/>
          </w:tcPr>
          <w:p w14:paraId="4DA54110">
            <w:pPr>
              <w:pStyle w:val="51"/>
              <w:spacing w:after="0" w:line="240" w:lineRule="auto"/>
              <w:ind w:left="0" w:leftChars="0"/>
              <w:jc w:val="both"/>
              <w:rPr>
                <w:szCs w:val="21"/>
              </w:rPr>
            </w:pPr>
            <w:r>
              <w:rPr>
                <w:szCs w:val="21"/>
              </w:rPr>
              <w:t>一般位于低山区坡脚及沟谷地带，以块石粉土为主。</w:t>
            </w:r>
          </w:p>
        </w:tc>
      </w:tr>
      <w:tr w14:paraId="5FF0EF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2CE5E064">
            <w:pPr>
              <w:pStyle w:val="51"/>
              <w:spacing w:after="0" w:line="240" w:lineRule="auto"/>
              <w:ind w:left="0" w:leftChars="0"/>
              <w:jc w:val="center"/>
              <w:rPr>
                <w:szCs w:val="21"/>
              </w:rPr>
            </w:pPr>
          </w:p>
        </w:tc>
        <w:tc>
          <w:tcPr>
            <w:tcW w:w="239" w:type="pct"/>
            <w:vMerge w:val="continue"/>
            <w:vAlign w:val="center"/>
          </w:tcPr>
          <w:p w14:paraId="09DE149A">
            <w:pPr>
              <w:pStyle w:val="51"/>
              <w:spacing w:after="0" w:line="240" w:lineRule="auto"/>
              <w:ind w:left="0" w:leftChars="0"/>
              <w:jc w:val="center"/>
              <w:rPr>
                <w:szCs w:val="21"/>
              </w:rPr>
            </w:pPr>
          </w:p>
        </w:tc>
        <w:tc>
          <w:tcPr>
            <w:tcW w:w="732" w:type="pct"/>
            <w:gridSpan w:val="2"/>
            <w:vMerge w:val="continue"/>
            <w:vAlign w:val="center"/>
          </w:tcPr>
          <w:p w14:paraId="27C91B3C">
            <w:pPr>
              <w:pStyle w:val="51"/>
              <w:spacing w:after="0" w:line="240" w:lineRule="auto"/>
              <w:ind w:left="0" w:leftChars="0"/>
              <w:jc w:val="center"/>
              <w:rPr>
                <w:szCs w:val="21"/>
              </w:rPr>
            </w:pPr>
          </w:p>
        </w:tc>
        <w:tc>
          <w:tcPr>
            <w:tcW w:w="546" w:type="pct"/>
            <w:vAlign w:val="center"/>
          </w:tcPr>
          <w:p w14:paraId="6926849E">
            <w:pPr>
              <w:pStyle w:val="51"/>
              <w:spacing w:after="0" w:line="240" w:lineRule="auto"/>
              <w:ind w:left="0" w:leftChars="0"/>
              <w:jc w:val="center"/>
              <w:rPr>
                <w:szCs w:val="21"/>
              </w:rPr>
            </w:pPr>
            <w:r>
              <w:rPr>
                <w:szCs w:val="21"/>
              </w:rPr>
              <w:t>Qh</w:t>
            </w:r>
          </w:p>
        </w:tc>
        <w:tc>
          <w:tcPr>
            <w:tcW w:w="3174" w:type="pct"/>
            <w:vAlign w:val="center"/>
          </w:tcPr>
          <w:p w14:paraId="05BA879B">
            <w:pPr>
              <w:pStyle w:val="51"/>
              <w:spacing w:after="0" w:line="240" w:lineRule="auto"/>
              <w:ind w:left="0" w:leftChars="0"/>
              <w:jc w:val="both"/>
              <w:rPr>
                <w:szCs w:val="21"/>
              </w:rPr>
            </w:pPr>
            <w:r>
              <w:rPr>
                <w:szCs w:val="21"/>
              </w:rPr>
              <w:t>主要是漫滩及Ⅰ级阶地冲积物。</w:t>
            </w:r>
          </w:p>
        </w:tc>
      </w:tr>
      <w:tr w14:paraId="22DE90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392098BB">
            <w:pPr>
              <w:pStyle w:val="51"/>
              <w:spacing w:after="0" w:line="240" w:lineRule="auto"/>
              <w:ind w:left="0" w:leftChars="0"/>
              <w:jc w:val="center"/>
              <w:rPr>
                <w:szCs w:val="21"/>
              </w:rPr>
            </w:pPr>
          </w:p>
        </w:tc>
        <w:tc>
          <w:tcPr>
            <w:tcW w:w="239" w:type="pct"/>
            <w:vMerge w:val="continue"/>
            <w:vAlign w:val="center"/>
          </w:tcPr>
          <w:p w14:paraId="328FFD40">
            <w:pPr>
              <w:pStyle w:val="51"/>
              <w:spacing w:after="0" w:line="240" w:lineRule="auto"/>
              <w:ind w:left="0" w:leftChars="0"/>
              <w:jc w:val="center"/>
              <w:rPr>
                <w:szCs w:val="21"/>
              </w:rPr>
            </w:pPr>
          </w:p>
        </w:tc>
        <w:tc>
          <w:tcPr>
            <w:tcW w:w="732" w:type="pct"/>
            <w:gridSpan w:val="2"/>
            <w:vAlign w:val="center"/>
          </w:tcPr>
          <w:p w14:paraId="58F34662">
            <w:pPr>
              <w:pStyle w:val="51"/>
              <w:spacing w:after="0" w:line="240" w:lineRule="auto"/>
              <w:ind w:left="0" w:leftChars="0"/>
              <w:jc w:val="center"/>
              <w:rPr>
                <w:szCs w:val="21"/>
              </w:rPr>
            </w:pPr>
            <w:r>
              <w:rPr>
                <w:szCs w:val="21"/>
              </w:rPr>
              <w:t>更新统</w:t>
            </w:r>
          </w:p>
        </w:tc>
        <w:tc>
          <w:tcPr>
            <w:tcW w:w="546" w:type="pct"/>
            <w:vAlign w:val="center"/>
          </w:tcPr>
          <w:p w14:paraId="07DFF80B">
            <w:pPr>
              <w:pStyle w:val="51"/>
              <w:spacing w:after="0" w:line="240" w:lineRule="auto"/>
              <w:ind w:left="0" w:leftChars="0"/>
              <w:jc w:val="center"/>
              <w:rPr>
                <w:szCs w:val="21"/>
              </w:rPr>
            </w:pPr>
            <w:r>
              <w:rPr>
                <w:szCs w:val="21"/>
              </w:rPr>
              <w:t>Qp</w:t>
            </w:r>
          </w:p>
        </w:tc>
        <w:tc>
          <w:tcPr>
            <w:tcW w:w="3174" w:type="pct"/>
            <w:vAlign w:val="center"/>
          </w:tcPr>
          <w:p w14:paraId="363B7AB0">
            <w:pPr>
              <w:pStyle w:val="51"/>
              <w:spacing w:after="0" w:line="240" w:lineRule="auto"/>
              <w:ind w:left="0" w:leftChars="0"/>
              <w:jc w:val="both"/>
              <w:rPr>
                <w:szCs w:val="21"/>
              </w:rPr>
            </w:pPr>
            <w:r>
              <w:rPr>
                <w:szCs w:val="21"/>
              </w:rPr>
              <w:t>北部为冰债泥砾；南部为II、Ⅲ、Ⅳ级基座阶地冲积物。</w:t>
            </w:r>
          </w:p>
        </w:tc>
      </w:tr>
      <w:tr w14:paraId="1B12D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restart"/>
            <w:vAlign w:val="center"/>
          </w:tcPr>
          <w:p w14:paraId="4F62DA6E">
            <w:pPr>
              <w:pStyle w:val="51"/>
              <w:spacing w:after="0" w:line="240" w:lineRule="auto"/>
              <w:ind w:left="0" w:leftChars="0"/>
              <w:jc w:val="center"/>
              <w:rPr>
                <w:szCs w:val="21"/>
              </w:rPr>
            </w:pPr>
            <w:r>
              <w:rPr>
                <w:szCs w:val="21"/>
              </w:rPr>
              <w:t>中生界</w:t>
            </w:r>
          </w:p>
        </w:tc>
        <w:tc>
          <w:tcPr>
            <w:tcW w:w="239" w:type="pct"/>
            <w:vMerge w:val="restart"/>
            <w:vAlign w:val="center"/>
          </w:tcPr>
          <w:p w14:paraId="1E6283E8">
            <w:pPr>
              <w:pStyle w:val="51"/>
              <w:spacing w:after="0" w:line="240" w:lineRule="auto"/>
              <w:ind w:left="0" w:leftChars="0"/>
              <w:jc w:val="center"/>
              <w:rPr>
                <w:szCs w:val="21"/>
              </w:rPr>
            </w:pPr>
            <w:r>
              <w:rPr>
                <w:szCs w:val="21"/>
              </w:rPr>
              <w:t>白垩系</w:t>
            </w:r>
          </w:p>
        </w:tc>
        <w:tc>
          <w:tcPr>
            <w:tcW w:w="302" w:type="pct"/>
            <w:vMerge w:val="restart"/>
            <w:vAlign w:val="center"/>
          </w:tcPr>
          <w:p w14:paraId="446B1BDF">
            <w:pPr>
              <w:pStyle w:val="51"/>
              <w:spacing w:after="0" w:line="240" w:lineRule="auto"/>
              <w:ind w:left="0" w:leftChars="0"/>
              <w:jc w:val="center"/>
              <w:rPr>
                <w:szCs w:val="21"/>
              </w:rPr>
            </w:pPr>
            <w:r>
              <w:rPr>
                <w:szCs w:val="21"/>
              </w:rPr>
              <w:t>城墙</w:t>
            </w:r>
          </w:p>
          <w:p w14:paraId="5C190384">
            <w:pPr>
              <w:pStyle w:val="51"/>
              <w:spacing w:after="0" w:line="240" w:lineRule="auto"/>
              <w:ind w:left="0" w:leftChars="0"/>
              <w:jc w:val="center"/>
              <w:rPr>
                <w:szCs w:val="21"/>
              </w:rPr>
            </w:pPr>
            <w:r>
              <w:rPr>
                <w:szCs w:val="21"/>
              </w:rPr>
              <w:t>岩群</w:t>
            </w:r>
          </w:p>
        </w:tc>
        <w:tc>
          <w:tcPr>
            <w:tcW w:w="430" w:type="pct"/>
            <w:vAlign w:val="center"/>
          </w:tcPr>
          <w:p w14:paraId="46A8C00F">
            <w:pPr>
              <w:pStyle w:val="51"/>
              <w:spacing w:after="0" w:line="240" w:lineRule="auto"/>
              <w:ind w:left="0" w:leftChars="0"/>
              <w:jc w:val="center"/>
              <w:rPr>
                <w:szCs w:val="21"/>
              </w:rPr>
            </w:pPr>
            <w:r>
              <w:rPr>
                <w:szCs w:val="21"/>
              </w:rPr>
              <w:t>剑阁组</w:t>
            </w:r>
          </w:p>
        </w:tc>
        <w:tc>
          <w:tcPr>
            <w:tcW w:w="546" w:type="pct"/>
            <w:vAlign w:val="center"/>
          </w:tcPr>
          <w:p w14:paraId="52DCE8DF">
            <w:pPr>
              <w:pStyle w:val="51"/>
              <w:spacing w:after="0" w:line="240" w:lineRule="auto"/>
              <w:ind w:left="0" w:leftChars="0"/>
              <w:jc w:val="center"/>
              <w:rPr>
                <w:szCs w:val="21"/>
              </w:rPr>
            </w:pPr>
            <w:r>
              <w:rPr>
                <w:szCs w:val="21"/>
              </w:rPr>
              <w:t>Kjn</w:t>
            </w:r>
          </w:p>
        </w:tc>
        <w:tc>
          <w:tcPr>
            <w:tcW w:w="3174" w:type="pct"/>
            <w:vAlign w:val="center"/>
          </w:tcPr>
          <w:p w14:paraId="7FDEA2A7">
            <w:pPr>
              <w:pStyle w:val="51"/>
              <w:spacing w:after="0" w:line="240" w:lineRule="auto"/>
              <w:ind w:left="0" w:leftChars="0"/>
              <w:jc w:val="both"/>
              <w:rPr>
                <w:szCs w:val="21"/>
              </w:rPr>
            </w:pPr>
            <w:r>
              <w:rPr>
                <w:szCs w:val="21"/>
              </w:rPr>
              <w:t>浅灰色厚层一块状细粒含钙质长石石英砂岩及棕红色粉砂质泥岩。</w:t>
            </w:r>
          </w:p>
        </w:tc>
      </w:tr>
      <w:tr w14:paraId="06DE14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3C3E744C">
            <w:pPr>
              <w:pStyle w:val="51"/>
              <w:spacing w:after="0" w:line="240" w:lineRule="auto"/>
              <w:ind w:left="0" w:leftChars="0"/>
              <w:jc w:val="center"/>
              <w:rPr>
                <w:szCs w:val="21"/>
              </w:rPr>
            </w:pPr>
          </w:p>
        </w:tc>
        <w:tc>
          <w:tcPr>
            <w:tcW w:w="239" w:type="pct"/>
            <w:vMerge w:val="continue"/>
            <w:vAlign w:val="center"/>
          </w:tcPr>
          <w:p w14:paraId="430056BC">
            <w:pPr>
              <w:pStyle w:val="51"/>
              <w:spacing w:after="0" w:line="240" w:lineRule="auto"/>
              <w:ind w:left="0" w:leftChars="0"/>
              <w:jc w:val="center"/>
              <w:rPr>
                <w:szCs w:val="21"/>
              </w:rPr>
            </w:pPr>
          </w:p>
        </w:tc>
        <w:tc>
          <w:tcPr>
            <w:tcW w:w="302" w:type="pct"/>
            <w:vMerge w:val="continue"/>
            <w:vAlign w:val="center"/>
          </w:tcPr>
          <w:p w14:paraId="7F0C3CF0">
            <w:pPr>
              <w:pStyle w:val="51"/>
              <w:spacing w:after="0" w:line="240" w:lineRule="auto"/>
              <w:ind w:left="0" w:leftChars="0"/>
              <w:jc w:val="center"/>
              <w:rPr>
                <w:szCs w:val="21"/>
              </w:rPr>
            </w:pPr>
          </w:p>
        </w:tc>
        <w:tc>
          <w:tcPr>
            <w:tcW w:w="430" w:type="pct"/>
            <w:vAlign w:val="center"/>
          </w:tcPr>
          <w:p w14:paraId="138AD0CE">
            <w:pPr>
              <w:pStyle w:val="51"/>
              <w:spacing w:after="0" w:line="240" w:lineRule="auto"/>
              <w:ind w:left="0" w:leftChars="0"/>
              <w:jc w:val="center"/>
              <w:rPr>
                <w:szCs w:val="21"/>
              </w:rPr>
            </w:pPr>
            <w:r>
              <w:rPr>
                <w:szCs w:val="21"/>
              </w:rPr>
              <w:t>汉阳铺组</w:t>
            </w:r>
          </w:p>
        </w:tc>
        <w:tc>
          <w:tcPr>
            <w:tcW w:w="546" w:type="pct"/>
            <w:vAlign w:val="center"/>
          </w:tcPr>
          <w:p w14:paraId="4F792E00">
            <w:pPr>
              <w:pStyle w:val="51"/>
              <w:spacing w:after="0" w:line="240" w:lineRule="auto"/>
              <w:ind w:left="0" w:leftChars="0"/>
              <w:jc w:val="center"/>
              <w:rPr>
                <w:szCs w:val="21"/>
              </w:rPr>
            </w:pPr>
            <w:r>
              <w:rPr>
                <w:szCs w:val="21"/>
              </w:rPr>
              <w:t>Kh</w:t>
            </w:r>
          </w:p>
        </w:tc>
        <w:tc>
          <w:tcPr>
            <w:tcW w:w="3174" w:type="pct"/>
            <w:vAlign w:val="center"/>
          </w:tcPr>
          <w:p w14:paraId="76E6948E">
            <w:pPr>
              <w:pStyle w:val="51"/>
              <w:spacing w:after="0" w:line="240" w:lineRule="auto"/>
              <w:ind w:left="0" w:leftChars="0"/>
              <w:jc w:val="both"/>
              <w:rPr>
                <w:szCs w:val="21"/>
              </w:rPr>
            </w:pPr>
            <w:r>
              <w:rPr>
                <w:szCs w:val="21"/>
              </w:rPr>
              <w:t>青灰色厚层-块状中细粒含钙质长石石英砂岩、棕红色泥质粉砂岩、粉砂质泥岩呈不等厚韵律式互层。</w:t>
            </w:r>
          </w:p>
        </w:tc>
      </w:tr>
      <w:tr w14:paraId="431BD0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10CA46DF">
            <w:pPr>
              <w:pStyle w:val="51"/>
              <w:spacing w:after="0" w:line="240" w:lineRule="auto"/>
              <w:ind w:left="0" w:leftChars="0"/>
              <w:jc w:val="center"/>
              <w:rPr>
                <w:szCs w:val="21"/>
              </w:rPr>
            </w:pPr>
          </w:p>
        </w:tc>
        <w:tc>
          <w:tcPr>
            <w:tcW w:w="239" w:type="pct"/>
            <w:vMerge w:val="continue"/>
            <w:vAlign w:val="center"/>
          </w:tcPr>
          <w:p w14:paraId="3B0D9F72">
            <w:pPr>
              <w:pStyle w:val="51"/>
              <w:spacing w:after="0" w:line="240" w:lineRule="auto"/>
              <w:ind w:left="0" w:leftChars="0"/>
              <w:jc w:val="center"/>
              <w:rPr>
                <w:szCs w:val="21"/>
              </w:rPr>
            </w:pPr>
          </w:p>
        </w:tc>
        <w:tc>
          <w:tcPr>
            <w:tcW w:w="302" w:type="pct"/>
            <w:vMerge w:val="continue"/>
            <w:vAlign w:val="center"/>
          </w:tcPr>
          <w:p w14:paraId="14AAA85E">
            <w:pPr>
              <w:pStyle w:val="51"/>
              <w:spacing w:after="0" w:line="240" w:lineRule="auto"/>
              <w:ind w:left="0" w:leftChars="0"/>
              <w:jc w:val="center"/>
              <w:rPr>
                <w:szCs w:val="21"/>
              </w:rPr>
            </w:pPr>
          </w:p>
        </w:tc>
        <w:tc>
          <w:tcPr>
            <w:tcW w:w="430" w:type="pct"/>
            <w:vAlign w:val="center"/>
          </w:tcPr>
          <w:p w14:paraId="7209CA5A">
            <w:pPr>
              <w:pStyle w:val="51"/>
              <w:spacing w:after="0" w:line="240" w:lineRule="auto"/>
              <w:ind w:left="0" w:leftChars="0"/>
              <w:jc w:val="center"/>
              <w:rPr>
                <w:szCs w:val="21"/>
              </w:rPr>
            </w:pPr>
            <w:r>
              <w:rPr>
                <w:szCs w:val="21"/>
              </w:rPr>
              <w:t>剑门关组</w:t>
            </w:r>
          </w:p>
        </w:tc>
        <w:tc>
          <w:tcPr>
            <w:tcW w:w="546" w:type="pct"/>
            <w:vAlign w:val="center"/>
          </w:tcPr>
          <w:p w14:paraId="7CA4E557">
            <w:pPr>
              <w:pStyle w:val="51"/>
              <w:spacing w:after="0" w:line="240" w:lineRule="auto"/>
              <w:ind w:left="0" w:leftChars="0"/>
              <w:jc w:val="center"/>
              <w:rPr>
                <w:szCs w:val="21"/>
              </w:rPr>
            </w:pPr>
            <w:r>
              <w:rPr>
                <w:szCs w:val="21"/>
              </w:rPr>
              <w:t>Kj</w:t>
            </w:r>
          </w:p>
        </w:tc>
        <w:tc>
          <w:tcPr>
            <w:tcW w:w="3174" w:type="pct"/>
            <w:vAlign w:val="center"/>
          </w:tcPr>
          <w:p w14:paraId="5CFF242E">
            <w:pPr>
              <w:pStyle w:val="51"/>
              <w:spacing w:after="0" w:line="240" w:lineRule="auto"/>
              <w:ind w:left="0" w:leftChars="0"/>
              <w:jc w:val="both"/>
              <w:rPr>
                <w:szCs w:val="21"/>
              </w:rPr>
            </w:pPr>
            <w:r>
              <w:rPr>
                <w:szCs w:val="21"/>
              </w:rPr>
              <w:t>棕红色泥质粉砂岩、粉砂质泥岩及青灰色厚层-块状中细粒含钙质长石石英砂岩呈不等厚互层。</w:t>
            </w:r>
          </w:p>
        </w:tc>
      </w:tr>
      <w:tr w14:paraId="549CF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1D07814B">
            <w:pPr>
              <w:pStyle w:val="51"/>
              <w:spacing w:after="0" w:line="240" w:lineRule="auto"/>
              <w:ind w:left="0" w:leftChars="0"/>
              <w:jc w:val="center"/>
              <w:rPr>
                <w:szCs w:val="21"/>
              </w:rPr>
            </w:pPr>
          </w:p>
        </w:tc>
        <w:tc>
          <w:tcPr>
            <w:tcW w:w="239" w:type="pct"/>
            <w:vMerge w:val="continue"/>
            <w:vAlign w:val="center"/>
          </w:tcPr>
          <w:p w14:paraId="43F7E64C">
            <w:pPr>
              <w:pStyle w:val="51"/>
              <w:spacing w:after="0" w:line="240" w:lineRule="auto"/>
              <w:ind w:left="0" w:leftChars="0"/>
              <w:jc w:val="center"/>
              <w:rPr>
                <w:szCs w:val="21"/>
              </w:rPr>
            </w:pPr>
          </w:p>
        </w:tc>
        <w:tc>
          <w:tcPr>
            <w:tcW w:w="302" w:type="pct"/>
            <w:vMerge w:val="restart"/>
            <w:vAlign w:val="center"/>
          </w:tcPr>
          <w:p w14:paraId="184AD976">
            <w:pPr>
              <w:pStyle w:val="51"/>
              <w:spacing w:after="0" w:line="240" w:lineRule="auto"/>
              <w:ind w:left="0" w:leftChars="0"/>
              <w:jc w:val="center"/>
              <w:rPr>
                <w:szCs w:val="21"/>
              </w:rPr>
            </w:pPr>
            <w:r>
              <w:rPr>
                <w:szCs w:val="21"/>
              </w:rPr>
              <w:t>下统</w:t>
            </w:r>
          </w:p>
        </w:tc>
        <w:tc>
          <w:tcPr>
            <w:tcW w:w="430" w:type="pct"/>
            <w:vAlign w:val="center"/>
          </w:tcPr>
          <w:p w14:paraId="0A855445">
            <w:pPr>
              <w:pStyle w:val="51"/>
              <w:spacing w:after="0" w:line="240" w:lineRule="auto"/>
              <w:ind w:left="0" w:leftChars="0"/>
              <w:jc w:val="center"/>
              <w:rPr>
                <w:szCs w:val="21"/>
              </w:rPr>
            </w:pPr>
            <w:r>
              <w:rPr>
                <w:szCs w:val="21"/>
              </w:rPr>
              <w:t>苍溪组</w:t>
            </w:r>
          </w:p>
        </w:tc>
        <w:tc>
          <w:tcPr>
            <w:tcW w:w="546" w:type="pct"/>
            <w:vAlign w:val="center"/>
          </w:tcPr>
          <w:p w14:paraId="37FE8AB9">
            <w:pPr>
              <w:pStyle w:val="51"/>
              <w:spacing w:after="0" w:line="240" w:lineRule="auto"/>
              <w:ind w:left="0" w:leftChars="0"/>
              <w:jc w:val="center"/>
              <w:rPr>
                <w:szCs w:val="21"/>
              </w:rPr>
            </w:pPr>
            <w:r>
              <w:rPr>
                <w:szCs w:val="21"/>
              </w:rPr>
              <w:t>K</w:t>
            </w:r>
            <w:r>
              <w:rPr>
                <w:szCs w:val="21"/>
                <w:vertAlign w:val="subscript"/>
              </w:rPr>
              <w:t>1</w:t>
            </w:r>
            <w:r>
              <w:rPr>
                <w:szCs w:val="21"/>
              </w:rPr>
              <w:t>c</w:t>
            </w:r>
          </w:p>
        </w:tc>
        <w:tc>
          <w:tcPr>
            <w:tcW w:w="3174" w:type="pct"/>
            <w:vAlign w:val="center"/>
          </w:tcPr>
          <w:p w14:paraId="3B1CA2C4">
            <w:pPr>
              <w:pStyle w:val="51"/>
              <w:spacing w:after="0" w:line="240" w:lineRule="auto"/>
              <w:ind w:left="0" w:leftChars="0"/>
              <w:jc w:val="both"/>
              <w:rPr>
                <w:szCs w:val="21"/>
              </w:rPr>
            </w:pPr>
            <w:r>
              <w:rPr>
                <w:szCs w:val="21"/>
              </w:rPr>
              <w:t>浅灰、灰紫色块状中细粒长石砂岩，岩屑长石砂岩夹棕色泥岩和粉砂岩。底部见透镜体状钙质细砾岩。</w:t>
            </w:r>
          </w:p>
        </w:tc>
      </w:tr>
      <w:tr w14:paraId="007BBA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25DFA1FA">
            <w:pPr>
              <w:pStyle w:val="51"/>
              <w:spacing w:after="0" w:line="240" w:lineRule="auto"/>
              <w:ind w:left="0" w:leftChars="0"/>
              <w:jc w:val="center"/>
              <w:rPr>
                <w:szCs w:val="21"/>
              </w:rPr>
            </w:pPr>
          </w:p>
        </w:tc>
        <w:tc>
          <w:tcPr>
            <w:tcW w:w="239" w:type="pct"/>
            <w:vMerge w:val="continue"/>
            <w:vAlign w:val="center"/>
          </w:tcPr>
          <w:p w14:paraId="0F55B35D">
            <w:pPr>
              <w:pStyle w:val="51"/>
              <w:spacing w:after="0" w:line="240" w:lineRule="auto"/>
              <w:ind w:left="0" w:leftChars="0"/>
              <w:jc w:val="center"/>
              <w:rPr>
                <w:szCs w:val="21"/>
              </w:rPr>
            </w:pPr>
          </w:p>
        </w:tc>
        <w:tc>
          <w:tcPr>
            <w:tcW w:w="302" w:type="pct"/>
            <w:vMerge w:val="continue"/>
            <w:vAlign w:val="center"/>
          </w:tcPr>
          <w:p w14:paraId="65CEAB75">
            <w:pPr>
              <w:pStyle w:val="51"/>
              <w:spacing w:after="0" w:line="240" w:lineRule="auto"/>
              <w:ind w:left="0" w:leftChars="0"/>
              <w:jc w:val="center"/>
              <w:rPr>
                <w:szCs w:val="21"/>
              </w:rPr>
            </w:pPr>
          </w:p>
        </w:tc>
        <w:tc>
          <w:tcPr>
            <w:tcW w:w="430" w:type="pct"/>
            <w:vAlign w:val="center"/>
          </w:tcPr>
          <w:p w14:paraId="44949BF1">
            <w:pPr>
              <w:pStyle w:val="51"/>
              <w:spacing w:after="0" w:line="240" w:lineRule="auto"/>
              <w:ind w:left="0" w:leftChars="0"/>
              <w:jc w:val="center"/>
              <w:rPr>
                <w:szCs w:val="21"/>
              </w:rPr>
            </w:pPr>
            <w:r>
              <w:rPr>
                <w:szCs w:val="21"/>
              </w:rPr>
              <w:t>白龙组</w:t>
            </w:r>
          </w:p>
        </w:tc>
        <w:tc>
          <w:tcPr>
            <w:tcW w:w="546" w:type="pct"/>
            <w:vAlign w:val="center"/>
          </w:tcPr>
          <w:p w14:paraId="142F50BC">
            <w:pPr>
              <w:pStyle w:val="51"/>
              <w:spacing w:after="0" w:line="240" w:lineRule="auto"/>
              <w:ind w:left="0" w:leftChars="0"/>
              <w:jc w:val="center"/>
              <w:rPr>
                <w:szCs w:val="21"/>
              </w:rPr>
            </w:pPr>
            <w:r>
              <w:rPr>
                <w:szCs w:val="21"/>
              </w:rPr>
              <w:t>K</w:t>
            </w:r>
            <w:r>
              <w:rPr>
                <w:szCs w:val="21"/>
                <w:vertAlign w:val="subscript"/>
              </w:rPr>
              <w:t>1</w:t>
            </w:r>
            <w:r>
              <w:rPr>
                <w:szCs w:val="21"/>
              </w:rPr>
              <w:t>b</w:t>
            </w:r>
          </w:p>
        </w:tc>
        <w:tc>
          <w:tcPr>
            <w:tcW w:w="3174" w:type="pct"/>
            <w:vAlign w:val="center"/>
          </w:tcPr>
          <w:p w14:paraId="7638EA26">
            <w:pPr>
              <w:pStyle w:val="51"/>
              <w:spacing w:after="0" w:line="240" w:lineRule="auto"/>
              <w:ind w:left="0" w:leftChars="0"/>
              <w:jc w:val="both"/>
              <w:rPr>
                <w:szCs w:val="21"/>
              </w:rPr>
            </w:pPr>
            <w:r>
              <w:rPr>
                <w:szCs w:val="21"/>
              </w:rPr>
              <w:t>灰、浅灰色块状中细粒长石砂岩与紫红色泥质粉砂岩、钙质泥岩互层。底部见透镜体状钙质砾岩。</w:t>
            </w:r>
          </w:p>
        </w:tc>
      </w:tr>
      <w:tr w14:paraId="307065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25A6F79D">
            <w:pPr>
              <w:pStyle w:val="51"/>
              <w:spacing w:after="0" w:line="240" w:lineRule="auto"/>
              <w:ind w:left="0" w:leftChars="0"/>
              <w:jc w:val="center"/>
              <w:rPr>
                <w:szCs w:val="21"/>
              </w:rPr>
            </w:pPr>
          </w:p>
        </w:tc>
        <w:tc>
          <w:tcPr>
            <w:tcW w:w="239" w:type="pct"/>
            <w:vMerge w:val="continue"/>
            <w:vAlign w:val="center"/>
          </w:tcPr>
          <w:p w14:paraId="1175FB23">
            <w:pPr>
              <w:pStyle w:val="51"/>
              <w:spacing w:after="0" w:line="240" w:lineRule="auto"/>
              <w:ind w:left="0" w:leftChars="0"/>
              <w:jc w:val="center"/>
              <w:rPr>
                <w:szCs w:val="21"/>
              </w:rPr>
            </w:pPr>
          </w:p>
        </w:tc>
        <w:tc>
          <w:tcPr>
            <w:tcW w:w="302" w:type="pct"/>
            <w:vMerge w:val="continue"/>
            <w:vAlign w:val="center"/>
          </w:tcPr>
          <w:p w14:paraId="76301610">
            <w:pPr>
              <w:pStyle w:val="51"/>
              <w:spacing w:after="0" w:line="240" w:lineRule="auto"/>
              <w:ind w:left="0" w:leftChars="0"/>
              <w:jc w:val="center"/>
              <w:rPr>
                <w:szCs w:val="21"/>
              </w:rPr>
            </w:pPr>
          </w:p>
        </w:tc>
        <w:tc>
          <w:tcPr>
            <w:tcW w:w="430" w:type="pct"/>
            <w:vAlign w:val="center"/>
          </w:tcPr>
          <w:p w14:paraId="2DCB49AE">
            <w:pPr>
              <w:pStyle w:val="51"/>
              <w:spacing w:after="0" w:line="240" w:lineRule="auto"/>
              <w:ind w:left="0" w:leftChars="0"/>
              <w:jc w:val="center"/>
              <w:rPr>
                <w:szCs w:val="21"/>
              </w:rPr>
            </w:pPr>
            <w:r>
              <w:rPr>
                <w:szCs w:val="21"/>
              </w:rPr>
              <w:t>七寺曲组</w:t>
            </w:r>
          </w:p>
        </w:tc>
        <w:tc>
          <w:tcPr>
            <w:tcW w:w="546" w:type="pct"/>
            <w:vAlign w:val="center"/>
          </w:tcPr>
          <w:p w14:paraId="6AD65C9E">
            <w:pPr>
              <w:pStyle w:val="51"/>
              <w:spacing w:after="0" w:line="240" w:lineRule="auto"/>
              <w:ind w:left="0" w:leftChars="0"/>
              <w:jc w:val="center"/>
              <w:rPr>
                <w:szCs w:val="21"/>
              </w:rPr>
            </w:pPr>
            <w:r>
              <w:rPr>
                <w:szCs w:val="21"/>
              </w:rPr>
              <w:t>K</w:t>
            </w:r>
            <w:r>
              <w:rPr>
                <w:szCs w:val="21"/>
                <w:vertAlign w:val="subscript"/>
              </w:rPr>
              <w:t>1</w:t>
            </w:r>
            <w:r>
              <w:rPr>
                <w:szCs w:val="21"/>
              </w:rPr>
              <w:t>q</w:t>
            </w:r>
          </w:p>
        </w:tc>
        <w:tc>
          <w:tcPr>
            <w:tcW w:w="3174" w:type="pct"/>
            <w:vAlign w:val="center"/>
          </w:tcPr>
          <w:p w14:paraId="3CAC1362">
            <w:pPr>
              <w:pStyle w:val="51"/>
              <w:spacing w:after="0" w:line="240" w:lineRule="auto"/>
              <w:ind w:left="0" w:leftChars="0"/>
              <w:jc w:val="both"/>
              <w:rPr>
                <w:szCs w:val="21"/>
              </w:rPr>
            </w:pPr>
            <w:r>
              <w:rPr>
                <w:szCs w:val="21"/>
              </w:rPr>
              <w:t>浅灰色块状中细粒长石砂岩夹紫红色粉砂岩及同色砂质、钙质泥岩，底部见透镜体状钙质砾岩。</w:t>
            </w:r>
          </w:p>
        </w:tc>
      </w:tr>
      <w:tr w14:paraId="72520C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62ED03DC">
            <w:pPr>
              <w:pStyle w:val="51"/>
              <w:spacing w:after="0" w:line="240" w:lineRule="auto"/>
              <w:ind w:left="0" w:leftChars="0"/>
              <w:jc w:val="center"/>
              <w:rPr>
                <w:szCs w:val="21"/>
              </w:rPr>
            </w:pPr>
          </w:p>
        </w:tc>
        <w:tc>
          <w:tcPr>
            <w:tcW w:w="239" w:type="pct"/>
            <w:vMerge w:val="restart"/>
            <w:vAlign w:val="center"/>
          </w:tcPr>
          <w:p w14:paraId="39BA0AC7">
            <w:pPr>
              <w:pStyle w:val="51"/>
              <w:spacing w:after="0" w:line="240" w:lineRule="auto"/>
              <w:ind w:left="0" w:leftChars="0"/>
              <w:jc w:val="center"/>
              <w:rPr>
                <w:szCs w:val="21"/>
              </w:rPr>
            </w:pPr>
            <w:r>
              <w:rPr>
                <w:szCs w:val="21"/>
              </w:rPr>
              <w:t>侏罗系</w:t>
            </w:r>
          </w:p>
        </w:tc>
        <w:tc>
          <w:tcPr>
            <w:tcW w:w="302" w:type="pct"/>
            <w:vMerge w:val="restart"/>
            <w:vAlign w:val="center"/>
          </w:tcPr>
          <w:p w14:paraId="313C57CD">
            <w:pPr>
              <w:pStyle w:val="51"/>
              <w:spacing w:after="0" w:line="240" w:lineRule="auto"/>
              <w:ind w:left="0" w:leftChars="0"/>
              <w:jc w:val="center"/>
              <w:rPr>
                <w:szCs w:val="21"/>
              </w:rPr>
            </w:pPr>
            <w:r>
              <w:rPr>
                <w:szCs w:val="21"/>
              </w:rPr>
              <w:t>上统</w:t>
            </w:r>
          </w:p>
        </w:tc>
        <w:tc>
          <w:tcPr>
            <w:tcW w:w="430" w:type="pct"/>
            <w:vMerge w:val="restart"/>
            <w:vAlign w:val="center"/>
          </w:tcPr>
          <w:p w14:paraId="73010F56">
            <w:pPr>
              <w:pStyle w:val="51"/>
              <w:spacing w:after="0" w:line="240" w:lineRule="auto"/>
              <w:ind w:left="0" w:leftChars="0"/>
              <w:jc w:val="center"/>
              <w:rPr>
                <w:szCs w:val="21"/>
              </w:rPr>
            </w:pPr>
            <w:r>
              <w:rPr>
                <w:szCs w:val="21"/>
              </w:rPr>
              <w:t>蓬莱镇组</w:t>
            </w:r>
          </w:p>
        </w:tc>
        <w:tc>
          <w:tcPr>
            <w:tcW w:w="546" w:type="pct"/>
            <w:vAlign w:val="center"/>
          </w:tcPr>
          <w:p w14:paraId="0AB65B78">
            <w:pPr>
              <w:pStyle w:val="51"/>
              <w:spacing w:after="0" w:line="240" w:lineRule="auto"/>
              <w:ind w:left="0" w:leftChars="0"/>
              <w:jc w:val="center"/>
              <w:rPr>
                <w:szCs w:val="21"/>
              </w:rPr>
            </w:pPr>
            <w:r>
              <w:rPr>
                <w:szCs w:val="21"/>
              </w:rPr>
              <w:t>J</w:t>
            </w:r>
            <w:r>
              <w:rPr>
                <w:szCs w:val="21"/>
                <w:vertAlign w:val="subscript"/>
              </w:rPr>
              <w:t>3</w:t>
            </w:r>
            <w:r>
              <w:rPr>
                <w:szCs w:val="21"/>
              </w:rPr>
              <w:t>p</w:t>
            </w:r>
            <w:r>
              <w:rPr>
                <w:szCs w:val="21"/>
                <w:vertAlign w:val="superscript"/>
              </w:rPr>
              <w:t>2</w:t>
            </w:r>
          </w:p>
        </w:tc>
        <w:tc>
          <w:tcPr>
            <w:tcW w:w="3174" w:type="pct"/>
            <w:vAlign w:val="center"/>
          </w:tcPr>
          <w:p w14:paraId="10DFBC93">
            <w:pPr>
              <w:pStyle w:val="51"/>
              <w:spacing w:after="0" w:line="240" w:lineRule="auto"/>
              <w:ind w:left="0" w:leftChars="0"/>
              <w:jc w:val="both"/>
              <w:rPr>
                <w:szCs w:val="21"/>
              </w:rPr>
            </w:pPr>
            <w:r>
              <w:rPr>
                <w:szCs w:val="21"/>
              </w:rPr>
              <w:t>灰、灰紫色块状细粒岩屑长石砂岩、长石砂岩与紫红色泥岩互层，夹灰紫色粉砂岩，底部为块状长石砂岩。</w:t>
            </w:r>
          </w:p>
        </w:tc>
      </w:tr>
      <w:tr w14:paraId="7686CC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50C1CD31">
            <w:pPr>
              <w:pStyle w:val="51"/>
              <w:spacing w:after="0" w:line="240" w:lineRule="auto"/>
              <w:ind w:left="0" w:leftChars="0"/>
              <w:jc w:val="center"/>
              <w:rPr>
                <w:szCs w:val="21"/>
              </w:rPr>
            </w:pPr>
          </w:p>
        </w:tc>
        <w:tc>
          <w:tcPr>
            <w:tcW w:w="239" w:type="pct"/>
            <w:vMerge w:val="continue"/>
            <w:vAlign w:val="center"/>
          </w:tcPr>
          <w:p w14:paraId="35E9BDF9">
            <w:pPr>
              <w:pStyle w:val="51"/>
              <w:spacing w:after="0" w:line="240" w:lineRule="auto"/>
              <w:ind w:left="0" w:leftChars="0"/>
              <w:jc w:val="center"/>
              <w:rPr>
                <w:szCs w:val="21"/>
              </w:rPr>
            </w:pPr>
          </w:p>
        </w:tc>
        <w:tc>
          <w:tcPr>
            <w:tcW w:w="302" w:type="pct"/>
            <w:vMerge w:val="continue"/>
            <w:vAlign w:val="center"/>
          </w:tcPr>
          <w:p w14:paraId="6329C5E2">
            <w:pPr>
              <w:pStyle w:val="51"/>
              <w:spacing w:after="0" w:line="240" w:lineRule="auto"/>
              <w:ind w:left="0" w:leftChars="0"/>
              <w:jc w:val="center"/>
              <w:rPr>
                <w:szCs w:val="21"/>
              </w:rPr>
            </w:pPr>
          </w:p>
        </w:tc>
        <w:tc>
          <w:tcPr>
            <w:tcW w:w="430" w:type="pct"/>
            <w:vMerge w:val="continue"/>
            <w:vAlign w:val="center"/>
          </w:tcPr>
          <w:p w14:paraId="5499536E">
            <w:pPr>
              <w:pStyle w:val="51"/>
              <w:spacing w:after="0" w:line="240" w:lineRule="auto"/>
              <w:ind w:left="0" w:leftChars="0"/>
              <w:jc w:val="center"/>
              <w:rPr>
                <w:szCs w:val="21"/>
              </w:rPr>
            </w:pPr>
          </w:p>
        </w:tc>
        <w:tc>
          <w:tcPr>
            <w:tcW w:w="546" w:type="pct"/>
            <w:vAlign w:val="center"/>
          </w:tcPr>
          <w:p w14:paraId="1922851F">
            <w:pPr>
              <w:pStyle w:val="51"/>
              <w:spacing w:after="0" w:line="240" w:lineRule="auto"/>
              <w:ind w:left="0" w:leftChars="0"/>
              <w:jc w:val="center"/>
              <w:rPr>
                <w:szCs w:val="21"/>
              </w:rPr>
            </w:pPr>
            <w:r>
              <w:rPr>
                <w:szCs w:val="21"/>
              </w:rPr>
              <w:t>J</w:t>
            </w:r>
            <w:r>
              <w:rPr>
                <w:szCs w:val="21"/>
                <w:vertAlign w:val="subscript"/>
              </w:rPr>
              <w:t>3</w:t>
            </w:r>
            <w:r>
              <w:rPr>
                <w:szCs w:val="21"/>
              </w:rPr>
              <w:t>p</w:t>
            </w:r>
            <w:r>
              <w:rPr>
                <w:szCs w:val="21"/>
                <w:vertAlign w:val="superscript"/>
              </w:rPr>
              <w:t>1</w:t>
            </w:r>
          </w:p>
        </w:tc>
        <w:tc>
          <w:tcPr>
            <w:tcW w:w="3174" w:type="pct"/>
            <w:vAlign w:val="center"/>
          </w:tcPr>
          <w:p w14:paraId="5C59A7CA">
            <w:pPr>
              <w:pStyle w:val="51"/>
              <w:spacing w:after="0" w:line="240" w:lineRule="auto"/>
              <w:ind w:left="0" w:leftChars="0"/>
              <w:jc w:val="both"/>
              <w:rPr>
                <w:szCs w:val="21"/>
              </w:rPr>
            </w:pPr>
            <w:r>
              <w:rPr>
                <w:szCs w:val="21"/>
              </w:rPr>
              <w:t>灰紫色块状长石石英砂岩与紫红色泥岩互层，夹紫红色粉砂岩，砂岩底部见泥砾。</w:t>
            </w:r>
          </w:p>
        </w:tc>
      </w:tr>
      <w:tr w14:paraId="5E51E8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2C679A1D">
            <w:pPr>
              <w:pStyle w:val="51"/>
              <w:spacing w:after="0" w:line="240" w:lineRule="auto"/>
              <w:ind w:left="0" w:leftChars="0"/>
              <w:jc w:val="center"/>
              <w:rPr>
                <w:szCs w:val="21"/>
              </w:rPr>
            </w:pPr>
          </w:p>
        </w:tc>
        <w:tc>
          <w:tcPr>
            <w:tcW w:w="239" w:type="pct"/>
            <w:vMerge w:val="continue"/>
            <w:vAlign w:val="center"/>
          </w:tcPr>
          <w:p w14:paraId="1D900F19">
            <w:pPr>
              <w:pStyle w:val="51"/>
              <w:spacing w:after="0" w:line="240" w:lineRule="auto"/>
              <w:ind w:left="0" w:leftChars="0"/>
              <w:jc w:val="center"/>
              <w:rPr>
                <w:szCs w:val="21"/>
              </w:rPr>
            </w:pPr>
          </w:p>
        </w:tc>
        <w:tc>
          <w:tcPr>
            <w:tcW w:w="302" w:type="pct"/>
            <w:vMerge w:val="continue"/>
            <w:vAlign w:val="center"/>
          </w:tcPr>
          <w:p w14:paraId="3A9FED47">
            <w:pPr>
              <w:pStyle w:val="51"/>
              <w:spacing w:after="0" w:line="240" w:lineRule="auto"/>
              <w:ind w:left="0" w:leftChars="0"/>
              <w:jc w:val="center"/>
              <w:rPr>
                <w:szCs w:val="21"/>
              </w:rPr>
            </w:pPr>
          </w:p>
        </w:tc>
        <w:tc>
          <w:tcPr>
            <w:tcW w:w="430" w:type="pct"/>
            <w:vAlign w:val="center"/>
          </w:tcPr>
          <w:p w14:paraId="245E834D">
            <w:pPr>
              <w:pStyle w:val="51"/>
              <w:spacing w:after="0" w:line="240" w:lineRule="auto"/>
              <w:ind w:left="0" w:leftChars="0"/>
              <w:jc w:val="center"/>
              <w:rPr>
                <w:szCs w:val="21"/>
              </w:rPr>
            </w:pPr>
            <w:r>
              <w:rPr>
                <w:szCs w:val="21"/>
              </w:rPr>
              <w:t>遂宁组</w:t>
            </w:r>
          </w:p>
        </w:tc>
        <w:tc>
          <w:tcPr>
            <w:tcW w:w="546" w:type="pct"/>
            <w:vAlign w:val="center"/>
          </w:tcPr>
          <w:p w14:paraId="58DFF7E3">
            <w:pPr>
              <w:pStyle w:val="51"/>
              <w:spacing w:after="0" w:line="240" w:lineRule="auto"/>
              <w:ind w:left="0" w:leftChars="0"/>
              <w:jc w:val="center"/>
              <w:rPr>
                <w:szCs w:val="21"/>
              </w:rPr>
            </w:pPr>
            <w:r>
              <w:rPr>
                <w:szCs w:val="21"/>
              </w:rPr>
              <w:t>J</w:t>
            </w:r>
            <w:r>
              <w:rPr>
                <w:szCs w:val="21"/>
                <w:vertAlign w:val="subscript"/>
              </w:rPr>
              <w:t>3</w:t>
            </w:r>
            <w:r>
              <w:rPr>
                <w:szCs w:val="21"/>
              </w:rPr>
              <w:t>sn</w:t>
            </w:r>
          </w:p>
        </w:tc>
        <w:tc>
          <w:tcPr>
            <w:tcW w:w="3174" w:type="pct"/>
            <w:vAlign w:val="center"/>
          </w:tcPr>
          <w:p w14:paraId="2335B448">
            <w:pPr>
              <w:pStyle w:val="51"/>
              <w:spacing w:after="0" w:line="240" w:lineRule="auto"/>
              <w:ind w:left="0" w:leftChars="0"/>
              <w:jc w:val="both"/>
              <w:rPr>
                <w:szCs w:val="21"/>
              </w:rPr>
            </w:pPr>
            <w:r>
              <w:rPr>
                <w:szCs w:val="21"/>
              </w:rPr>
              <w:t>以棕红色泥岩为主，顶部夹中至薄层粉砂岩;底部有一层泥质粉砂岩。</w:t>
            </w:r>
          </w:p>
        </w:tc>
      </w:tr>
      <w:tr w14:paraId="4CDB25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074F69C2">
            <w:pPr>
              <w:pStyle w:val="51"/>
              <w:spacing w:after="0" w:line="240" w:lineRule="auto"/>
              <w:ind w:left="0" w:leftChars="0"/>
              <w:jc w:val="center"/>
              <w:rPr>
                <w:szCs w:val="21"/>
              </w:rPr>
            </w:pPr>
          </w:p>
        </w:tc>
        <w:tc>
          <w:tcPr>
            <w:tcW w:w="239" w:type="pct"/>
            <w:vMerge w:val="continue"/>
            <w:vAlign w:val="center"/>
          </w:tcPr>
          <w:p w14:paraId="0C98F31F">
            <w:pPr>
              <w:pStyle w:val="51"/>
              <w:spacing w:after="0" w:line="240" w:lineRule="auto"/>
              <w:ind w:left="0" w:leftChars="0"/>
              <w:jc w:val="center"/>
              <w:rPr>
                <w:szCs w:val="21"/>
              </w:rPr>
            </w:pPr>
          </w:p>
        </w:tc>
        <w:tc>
          <w:tcPr>
            <w:tcW w:w="302" w:type="pct"/>
            <w:vMerge w:val="restart"/>
            <w:vAlign w:val="center"/>
          </w:tcPr>
          <w:p w14:paraId="62B3B637">
            <w:pPr>
              <w:pStyle w:val="51"/>
              <w:spacing w:after="0" w:line="240" w:lineRule="auto"/>
              <w:ind w:left="0" w:leftChars="0"/>
              <w:jc w:val="center"/>
              <w:rPr>
                <w:szCs w:val="21"/>
              </w:rPr>
            </w:pPr>
            <w:r>
              <w:rPr>
                <w:szCs w:val="21"/>
              </w:rPr>
              <w:t>中统</w:t>
            </w:r>
          </w:p>
        </w:tc>
        <w:tc>
          <w:tcPr>
            <w:tcW w:w="430" w:type="pct"/>
            <w:vAlign w:val="center"/>
          </w:tcPr>
          <w:p w14:paraId="23624089">
            <w:pPr>
              <w:pStyle w:val="51"/>
              <w:spacing w:after="0" w:line="240" w:lineRule="auto"/>
              <w:ind w:left="0" w:leftChars="0"/>
              <w:jc w:val="center"/>
              <w:rPr>
                <w:szCs w:val="21"/>
              </w:rPr>
            </w:pPr>
            <w:r>
              <w:rPr>
                <w:szCs w:val="21"/>
              </w:rPr>
              <w:t>细沟组</w:t>
            </w:r>
          </w:p>
        </w:tc>
        <w:tc>
          <w:tcPr>
            <w:tcW w:w="546" w:type="pct"/>
            <w:vAlign w:val="center"/>
          </w:tcPr>
          <w:p w14:paraId="0B529879">
            <w:pPr>
              <w:pStyle w:val="51"/>
              <w:spacing w:after="0" w:line="240" w:lineRule="auto"/>
              <w:ind w:left="0" w:leftChars="0"/>
              <w:jc w:val="center"/>
              <w:rPr>
                <w:szCs w:val="21"/>
              </w:rPr>
            </w:pPr>
            <w:r>
              <w:rPr>
                <w:szCs w:val="21"/>
              </w:rPr>
              <w:t>J</w:t>
            </w:r>
            <w:r>
              <w:rPr>
                <w:szCs w:val="21"/>
                <w:vertAlign w:val="subscript"/>
              </w:rPr>
              <w:t>2</w:t>
            </w:r>
            <w:r>
              <w:rPr>
                <w:szCs w:val="21"/>
              </w:rPr>
              <w:t>x</w:t>
            </w:r>
          </w:p>
        </w:tc>
        <w:tc>
          <w:tcPr>
            <w:tcW w:w="3174" w:type="pct"/>
            <w:vAlign w:val="center"/>
          </w:tcPr>
          <w:p w14:paraId="7AAFFF1E">
            <w:pPr>
              <w:pStyle w:val="51"/>
              <w:spacing w:after="0" w:line="240" w:lineRule="auto"/>
              <w:ind w:left="0" w:leftChars="0"/>
              <w:jc w:val="both"/>
              <w:rPr>
                <w:szCs w:val="21"/>
              </w:rPr>
            </w:pPr>
            <w:r>
              <w:rPr>
                <w:szCs w:val="21"/>
              </w:rPr>
              <w:t>灰绿、灰黄色水云母页岩夹中厚层状，含钙质岩属石英砂岩，偶见少许介壳灰岩。</w:t>
            </w:r>
          </w:p>
        </w:tc>
      </w:tr>
      <w:tr w14:paraId="0C752C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0E420AFD">
            <w:pPr>
              <w:pStyle w:val="51"/>
              <w:spacing w:after="0" w:line="240" w:lineRule="auto"/>
              <w:ind w:left="0" w:leftChars="0"/>
              <w:jc w:val="center"/>
              <w:rPr>
                <w:szCs w:val="21"/>
              </w:rPr>
            </w:pPr>
          </w:p>
        </w:tc>
        <w:tc>
          <w:tcPr>
            <w:tcW w:w="239" w:type="pct"/>
            <w:vMerge w:val="continue"/>
            <w:vAlign w:val="center"/>
          </w:tcPr>
          <w:p w14:paraId="16AC3FEA">
            <w:pPr>
              <w:pStyle w:val="51"/>
              <w:spacing w:after="0" w:line="240" w:lineRule="auto"/>
              <w:ind w:left="0" w:leftChars="0"/>
              <w:jc w:val="center"/>
              <w:rPr>
                <w:szCs w:val="21"/>
              </w:rPr>
            </w:pPr>
          </w:p>
        </w:tc>
        <w:tc>
          <w:tcPr>
            <w:tcW w:w="302" w:type="pct"/>
            <w:vMerge w:val="continue"/>
            <w:vAlign w:val="center"/>
          </w:tcPr>
          <w:p w14:paraId="691CA9BB">
            <w:pPr>
              <w:pStyle w:val="51"/>
              <w:spacing w:after="0" w:line="240" w:lineRule="auto"/>
              <w:ind w:left="0" w:leftChars="0"/>
              <w:jc w:val="center"/>
              <w:rPr>
                <w:szCs w:val="21"/>
              </w:rPr>
            </w:pPr>
          </w:p>
        </w:tc>
        <w:tc>
          <w:tcPr>
            <w:tcW w:w="430" w:type="pct"/>
            <w:vAlign w:val="center"/>
          </w:tcPr>
          <w:p w14:paraId="0BA84DD8">
            <w:pPr>
              <w:pStyle w:val="51"/>
              <w:spacing w:after="0" w:line="240" w:lineRule="auto"/>
              <w:ind w:left="0" w:leftChars="0"/>
              <w:jc w:val="center"/>
              <w:rPr>
                <w:szCs w:val="21"/>
              </w:rPr>
            </w:pPr>
            <w:r>
              <w:rPr>
                <w:szCs w:val="21"/>
              </w:rPr>
              <w:t>沙溪庙组</w:t>
            </w:r>
          </w:p>
        </w:tc>
        <w:tc>
          <w:tcPr>
            <w:tcW w:w="546" w:type="pct"/>
            <w:vAlign w:val="center"/>
          </w:tcPr>
          <w:p w14:paraId="52BF01F4">
            <w:pPr>
              <w:pStyle w:val="51"/>
              <w:spacing w:after="0" w:line="240" w:lineRule="auto"/>
              <w:ind w:left="0" w:leftChars="0"/>
              <w:jc w:val="center"/>
              <w:rPr>
                <w:szCs w:val="21"/>
              </w:rPr>
            </w:pPr>
            <w:r>
              <w:rPr>
                <w:szCs w:val="21"/>
              </w:rPr>
              <w:t>J</w:t>
            </w:r>
            <w:r>
              <w:rPr>
                <w:szCs w:val="21"/>
                <w:vertAlign w:val="subscript"/>
              </w:rPr>
              <w:t>2</w:t>
            </w:r>
            <w:r>
              <w:rPr>
                <w:szCs w:val="21"/>
              </w:rPr>
              <w:t>s</w:t>
            </w:r>
          </w:p>
        </w:tc>
        <w:tc>
          <w:tcPr>
            <w:tcW w:w="3174" w:type="pct"/>
            <w:vAlign w:val="center"/>
          </w:tcPr>
          <w:p w14:paraId="04BAC71C">
            <w:pPr>
              <w:pStyle w:val="51"/>
              <w:spacing w:after="0" w:line="240" w:lineRule="auto"/>
              <w:ind w:left="0" w:leftChars="0"/>
              <w:jc w:val="both"/>
              <w:rPr>
                <w:szCs w:val="21"/>
              </w:rPr>
            </w:pPr>
            <w:r>
              <w:rPr>
                <w:szCs w:val="21"/>
              </w:rPr>
              <w:t>紫色夹灰绿色泥岩为主，夹6-8层块状长石石英中细粒砂岩。</w:t>
            </w:r>
          </w:p>
        </w:tc>
      </w:tr>
      <w:tr w14:paraId="4B5D24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0625EA00">
            <w:pPr>
              <w:pStyle w:val="51"/>
              <w:spacing w:after="0" w:line="240" w:lineRule="auto"/>
              <w:ind w:left="0" w:leftChars="0"/>
              <w:jc w:val="center"/>
              <w:rPr>
                <w:szCs w:val="21"/>
              </w:rPr>
            </w:pPr>
          </w:p>
        </w:tc>
        <w:tc>
          <w:tcPr>
            <w:tcW w:w="239" w:type="pct"/>
            <w:vMerge w:val="continue"/>
            <w:vAlign w:val="center"/>
          </w:tcPr>
          <w:p w14:paraId="778EA7FC">
            <w:pPr>
              <w:pStyle w:val="51"/>
              <w:spacing w:after="0" w:line="240" w:lineRule="auto"/>
              <w:ind w:left="0" w:leftChars="0"/>
              <w:jc w:val="center"/>
              <w:rPr>
                <w:szCs w:val="21"/>
              </w:rPr>
            </w:pPr>
          </w:p>
        </w:tc>
        <w:tc>
          <w:tcPr>
            <w:tcW w:w="302" w:type="pct"/>
            <w:vMerge w:val="continue"/>
            <w:vAlign w:val="center"/>
          </w:tcPr>
          <w:p w14:paraId="36CF7246">
            <w:pPr>
              <w:pStyle w:val="51"/>
              <w:spacing w:after="0" w:line="240" w:lineRule="auto"/>
              <w:ind w:left="0" w:leftChars="0"/>
              <w:jc w:val="center"/>
              <w:rPr>
                <w:szCs w:val="21"/>
              </w:rPr>
            </w:pPr>
          </w:p>
        </w:tc>
        <w:tc>
          <w:tcPr>
            <w:tcW w:w="430" w:type="pct"/>
            <w:vAlign w:val="center"/>
          </w:tcPr>
          <w:p w14:paraId="4F5FA77E">
            <w:pPr>
              <w:pStyle w:val="51"/>
              <w:spacing w:after="0" w:line="240" w:lineRule="auto"/>
              <w:ind w:left="0" w:leftChars="0"/>
              <w:jc w:val="center"/>
              <w:rPr>
                <w:szCs w:val="21"/>
              </w:rPr>
            </w:pPr>
            <w:r>
              <w:rPr>
                <w:szCs w:val="21"/>
              </w:rPr>
              <w:t>千佛岩组</w:t>
            </w:r>
          </w:p>
        </w:tc>
        <w:tc>
          <w:tcPr>
            <w:tcW w:w="546" w:type="pct"/>
            <w:vAlign w:val="center"/>
          </w:tcPr>
          <w:p w14:paraId="23A9723A">
            <w:pPr>
              <w:pStyle w:val="51"/>
              <w:spacing w:after="0" w:line="240" w:lineRule="auto"/>
              <w:ind w:left="0" w:leftChars="0"/>
              <w:jc w:val="center"/>
              <w:rPr>
                <w:szCs w:val="21"/>
              </w:rPr>
            </w:pPr>
            <w:r>
              <w:rPr>
                <w:szCs w:val="21"/>
              </w:rPr>
              <w:t>J</w:t>
            </w:r>
            <w:r>
              <w:rPr>
                <w:szCs w:val="21"/>
                <w:vertAlign w:val="subscript"/>
              </w:rPr>
              <w:t>2</w:t>
            </w:r>
            <w:r>
              <w:rPr>
                <w:szCs w:val="21"/>
              </w:rPr>
              <w:t>q</w:t>
            </w:r>
          </w:p>
        </w:tc>
        <w:tc>
          <w:tcPr>
            <w:tcW w:w="3174" w:type="pct"/>
            <w:vAlign w:val="center"/>
          </w:tcPr>
          <w:p w14:paraId="368FF2AA">
            <w:pPr>
              <w:pStyle w:val="51"/>
              <w:spacing w:after="0" w:line="240" w:lineRule="auto"/>
              <w:ind w:left="0" w:leftChars="0"/>
              <w:jc w:val="both"/>
              <w:rPr>
                <w:szCs w:val="21"/>
              </w:rPr>
            </w:pPr>
            <w:r>
              <w:rPr>
                <w:szCs w:val="21"/>
              </w:rPr>
              <w:t>杂色粉砂质泥页岩、泥质粉砂岩、粉砂岩、细砂岩。</w:t>
            </w:r>
          </w:p>
        </w:tc>
      </w:tr>
      <w:tr w14:paraId="365675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4F427418">
            <w:pPr>
              <w:pStyle w:val="51"/>
              <w:spacing w:after="0" w:line="240" w:lineRule="auto"/>
              <w:ind w:left="0" w:leftChars="0"/>
              <w:jc w:val="center"/>
              <w:rPr>
                <w:szCs w:val="21"/>
              </w:rPr>
            </w:pPr>
          </w:p>
        </w:tc>
        <w:tc>
          <w:tcPr>
            <w:tcW w:w="239" w:type="pct"/>
            <w:vMerge w:val="continue"/>
            <w:vAlign w:val="center"/>
          </w:tcPr>
          <w:p w14:paraId="436CA611">
            <w:pPr>
              <w:pStyle w:val="51"/>
              <w:spacing w:after="0" w:line="240" w:lineRule="auto"/>
              <w:ind w:left="0" w:leftChars="0"/>
              <w:jc w:val="center"/>
              <w:rPr>
                <w:szCs w:val="21"/>
              </w:rPr>
            </w:pPr>
          </w:p>
        </w:tc>
        <w:tc>
          <w:tcPr>
            <w:tcW w:w="302" w:type="pct"/>
            <w:vAlign w:val="center"/>
          </w:tcPr>
          <w:p w14:paraId="3A2BC2DA">
            <w:pPr>
              <w:pStyle w:val="51"/>
              <w:spacing w:after="0" w:line="240" w:lineRule="auto"/>
              <w:ind w:left="0" w:leftChars="0"/>
              <w:jc w:val="center"/>
              <w:rPr>
                <w:szCs w:val="21"/>
              </w:rPr>
            </w:pPr>
            <w:r>
              <w:rPr>
                <w:szCs w:val="21"/>
              </w:rPr>
              <w:t>下统</w:t>
            </w:r>
          </w:p>
        </w:tc>
        <w:tc>
          <w:tcPr>
            <w:tcW w:w="430" w:type="pct"/>
            <w:vAlign w:val="center"/>
          </w:tcPr>
          <w:p w14:paraId="3BDEF585">
            <w:pPr>
              <w:pStyle w:val="51"/>
              <w:spacing w:after="0" w:line="240" w:lineRule="auto"/>
              <w:ind w:left="0" w:leftChars="0"/>
              <w:jc w:val="center"/>
              <w:rPr>
                <w:szCs w:val="21"/>
              </w:rPr>
            </w:pPr>
            <w:r>
              <w:rPr>
                <w:szCs w:val="21"/>
              </w:rPr>
              <w:t>白田坝组</w:t>
            </w:r>
          </w:p>
        </w:tc>
        <w:tc>
          <w:tcPr>
            <w:tcW w:w="546" w:type="pct"/>
            <w:vAlign w:val="center"/>
          </w:tcPr>
          <w:p w14:paraId="737DBE5D">
            <w:pPr>
              <w:pStyle w:val="51"/>
              <w:spacing w:after="0" w:line="240" w:lineRule="auto"/>
              <w:ind w:left="0" w:leftChars="0"/>
              <w:jc w:val="center"/>
              <w:rPr>
                <w:szCs w:val="21"/>
              </w:rPr>
            </w:pPr>
            <w:r>
              <w:rPr>
                <w:szCs w:val="21"/>
              </w:rPr>
              <w:t>J</w:t>
            </w:r>
            <w:r>
              <w:rPr>
                <w:szCs w:val="21"/>
                <w:vertAlign w:val="subscript"/>
              </w:rPr>
              <w:t>1</w:t>
            </w:r>
            <w:r>
              <w:rPr>
                <w:szCs w:val="21"/>
              </w:rPr>
              <w:t>b</w:t>
            </w:r>
          </w:p>
        </w:tc>
        <w:tc>
          <w:tcPr>
            <w:tcW w:w="3174" w:type="pct"/>
            <w:vAlign w:val="center"/>
          </w:tcPr>
          <w:p w14:paraId="39FCE7D4">
            <w:pPr>
              <w:pStyle w:val="51"/>
              <w:spacing w:after="0" w:line="240" w:lineRule="auto"/>
              <w:ind w:left="0" w:leftChars="0"/>
              <w:jc w:val="both"/>
              <w:rPr>
                <w:szCs w:val="21"/>
              </w:rPr>
            </w:pPr>
            <w:r>
              <w:rPr>
                <w:szCs w:val="21"/>
              </w:rPr>
              <w:t>页岩、粉砂岩、石英砂岩夹煤层，底部为石英质砾岩。</w:t>
            </w:r>
          </w:p>
        </w:tc>
      </w:tr>
      <w:tr w14:paraId="172DA2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2DDA0BED">
            <w:pPr>
              <w:pStyle w:val="51"/>
              <w:spacing w:after="0" w:line="240" w:lineRule="auto"/>
              <w:ind w:left="0" w:leftChars="0"/>
              <w:jc w:val="center"/>
              <w:rPr>
                <w:szCs w:val="21"/>
              </w:rPr>
            </w:pPr>
          </w:p>
        </w:tc>
        <w:tc>
          <w:tcPr>
            <w:tcW w:w="239" w:type="pct"/>
            <w:vMerge w:val="restart"/>
            <w:vAlign w:val="center"/>
          </w:tcPr>
          <w:p w14:paraId="21084F01">
            <w:pPr>
              <w:pStyle w:val="51"/>
              <w:spacing w:after="0" w:line="240" w:lineRule="auto"/>
              <w:ind w:left="0" w:leftChars="0"/>
              <w:jc w:val="center"/>
              <w:rPr>
                <w:szCs w:val="21"/>
              </w:rPr>
            </w:pPr>
            <w:r>
              <w:rPr>
                <w:szCs w:val="21"/>
              </w:rPr>
              <w:t>三叠系</w:t>
            </w:r>
          </w:p>
        </w:tc>
        <w:tc>
          <w:tcPr>
            <w:tcW w:w="302" w:type="pct"/>
            <w:vMerge w:val="restart"/>
            <w:vAlign w:val="center"/>
          </w:tcPr>
          <w:p w14:paraId="56CB8CEA">
            <w:pPr>
              <w:pStyle w:val="51"/>
              <w:spacing w:after="0" w:line="240" w:lineRule="auto"/>
              <w:ind w:left="0" w:leftChars="0"/>
              <w:jc w:val="center"/>
              <w:rPr>
                <w:szCs w:val="21"/>
              </w:rPr>
            </w:pPr>
            <w:r>
              <w:rPr>
                <w:szCs w:val="21"/>
              </w:rPr>
              <w:t>上统</w:t>
            </w:r>
          </w:p>
        </w:tc>
        <w:tc>
          <w:tcPr>
            <w:tcW w:w="430" w:type="pct"/>
            <w:vAlign w:val="center"/>
          </w:tcPr>
          <w:p w14:paraId="59E9C5A6">
            <w:pPr>
              <w:pStyle w:val="51"/>
              <w:spacing w:after="0" w:line="240" w:lineRule="auto"/>
              <w:ind w:left="0" w:leftChars="0"/>
              <w:jc w:val="center"/>
              <w:rPr>
                <w:szCs w:val="21"/>
              </w:rPr>
            </w:pPr>
            <w:r>
              <w:rPr>
                <w:szCs w:val="21"/>
              </w:rPr>
              <w:t>大冶组</w:t>
            </w:r>
          </w:p>
        </w:tc>
        <w:tc>
          <w:tcPr>
            <w:tcW w:w="546" w:type="pct"/>
            <w:vAlign w:val="center"/>
          </w:tcPr>
          <w:p w14:paraId="78504692">
            <w:pPr>
              <w:pStyle w:val="51"/>
              <w:spacing w:after="0" w:line="240" w:lineRule="auto"/>
              <w:ind w:left="0" w:leftChars="0"/>
              <w:jc w:val="center"/>
              <w:rPr>
                <w:szCs w:val="21"/>
              </w:rPr>
            </w:pPr>
            <w:r>
              <w:rPr>
                <w:szCs w:val="21"/>
              </w:rPr>
              <w:t>T</w:t>
            </w:r>
            <w:r>
              <w:rPr>
                <w:szCs w:val="21"/>
                <w:vertAlign w:val="subscript"/>
              </w:rPr>
              <w:t>1</w:t>
            </w:r>
            <w:r>
              <w:rPr>
                <w:szCs w:val="21"/>
              </w:rPr>
              <w:t>d</w:t>
            </w:r>
          </w:p>
        </w:tc>
        <w:tc>
          <w:tcPr>
            <w:tcW w:w="3174" w:type="pct"/>
            <w:vAlign w:val="center"/>
          </w:tcPr>
          <w:p w14:paraId="3AB04401">
            <w:pPr>
              <w:pStyle w:val="51"/>
              <w:spacing w:after="0" w:line="240" w:lineRule="auto"/>
              <w:ind w:left="0" w:leftChars="0"/>
              <w:jc w:val="both"/>
              <w:rPr>
                <w:szCs w:val="21"/>
              </w:rPr>
            </w:pPr>
            <w:r>
              <w:rPr>
                <w:szCs w:val="21"/>
              </w:rPr>
              <w:t>灰、浅灰色中厚层灰岩夹泥质灰岩，分布较少。</w:t>
            </w:r>
          </w:p>
        </w:tc>
      </w:tr>
      <w:tr w14:paraId="21D6FB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4CC65ED3">
            <w:pPr>
              <w:pStyle w:val="51"/>
              <w:spacing w:after="0" w:line="240" w:lineRule="auto"/>
              <w:ind w:left="0" w:leftChars="0"/>
              <w:jc w:val="center"/>
              <w:rPr>
                <w:szCs w:val="21"/>
              </w:rPr>
            </w:pPr>
          </w:p>
        </w:tc>
        <w:tc>
          <w:tcPr>
            <w:tcW w:w="239" w:type="pct"/>
            <w:vMerge w:val="continue"/>
            <w:vAlign w:val="center"/>
          </w:tcPr>
          <w:p w14:paraId="7130A349">
            <w:pPr>
              <w:pStyle w:val="51"/>
              <w:spacing w:after="0" w:line="240" w:lineRule="auto"/>
              <w:ind w:left="0" w:leftChars="0"/>
              <w:jc w:val="center"/>
              <w:rPr>
                <w:szCs w:val="21"/>
              </w:rPr>
            </w:pPr>
          </w:p>
        </w:tc>
        <w:tc>
          <w:tcPr>
            <w:tcW w:w="302" w:type="pct"/>
            <w:vMerge w:val="continue"/>
            <w:vAlign w:val="center"/>
          </w:tcPr>
          <w:p w14:paraId="71F5112A">
            <w:pPr>
              <w:pStyle w:val="51"/>
              <w:spacing w:after="0" w:line="240" w:lineRule="auto"/>
              <w:ind w:left="0" w:leftChars="0"/>
              <w:jc w:val="center"/>
              <w:rPr>
                <w:szCs w:val="21"/>
              </w:rPr>
            </w:pPr>
          </w:p>
        </w:tc>
        <w:tc>
          <w:tcPr>
            <w:tcW w:w="430" w:type="pct"/>
            <w:vAlign w:val="center"/>
          </w:tcPr>
          <w:p w14:paraId="61A07CF4">
            <w:pPr>
              <w:pStyle w:val="51"/>
              <w:spacing w:after="0" w:line="240" w:lineRule="auto"/>
              <w:ind w:left="0" w:leftChars="0"/>
              <w:jc w:val="center"/>
              <w:rPr>
                <w:szCs w:val="21"/>
              </w:rPr>
            </w:pPr>
            <w:r>
              <w:rPr>
                <w:szCs w:val="21"/>
              </w:rPr>
              <w:t>须家河组</w:t>
            </w:r>
          </w:p>
        </w:tc>
        <w:tc>
          <w:tcPr>
            <w:tcW w:w="546" w:type="pct"/>
            <w:vAlign w:val="center"/>
          </w:tcPr>
          <w:p w14:paraId="64E690DA">
            <w:pPr>
              <w:pStyle w:val="51"/>
              <w:spacing w:after="0" w:line="240" w:lineRule="auto"/>
              <w:ind w:left="0" w:leftChars="0"/>
              <w:jc w:val="center"/>
              <w:rPr>
                <w:szCs w:val="21"/>
              </w:rPr>
            </w:pPr>
            <w:r>
              <w:rPr>
                <w:szCs w:val="21"/>
              </w:rPr>
              <w:t>T</w:t>
            </w:r>
            <w:r>
              <w:rPr>
                <w:szCs w:val="21"/>
                <w:vertAlign w:val="subscript"/>
              </w:rPr>
              <w:t>3</w:t>
            </w:r>
            <w:r>
              <w:rPr>
                <w:szCs w:val="21"/>
              </w:rPr>
              <w:t>x</w:t>
            </w:r>
          </w:p>
        </w:tc>
        <w:tc>
          <w:tcPr>
            <w:tcW w:w="3174" w:type="pct"/>
            <w:vAlign w:val="center"/>
          </w:tcPr>
          <w:p w14:paraId="7C4FF0D4">
            <w:pPr>
              <w:pStyle w:val="51"/>
              <w:spacing w:after="0" w:line="240" w:lineRule="auto"/>
              <w:ind w:left="0" w:leftChars="0"/>
              <w:jc w:val="both"/>
              <w:rPr>
                <w:szCs w:val="21"/>
              </w:rPr>
            </w:pPr>
            <w:r>
              <w:rPr>
                <w:szCs w:val="21"/>
              </w:rPr>
              <w:t>下段以厚层长石石英砂岩为主，夹少量砾岩、页岩及薄煤层；上段为砂岩、泥质粉砂岩、页岩、炭质页岩及煤层。</w:t>
            </w:r>
          </w:p>
        </w:tc>
      </w:tr>
      <w:tr w14:paraId="6C226E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4F8CEB73">
            <w:pPr>
              <w:pStyle w:val="51"/>
              <w:spacing w:after="0" w:line="240" w:lineRule="auto"/>
              <w:ind w:left="0" w:leftChars="0"/>
              <w:jc w:val="center"/>
              <w:rPr>
                <w:szCs w:val="21"/>
              </w:rPr>
            </w:pPr>
          </w:p>
        </w:tc>
        <w:tc>
          <w:tcPr>
            <w:tcW w:w="239" w:type="pct"/>
            <w:vMerge w:val="continue"/>
            <w:vAlign w:val="center"/>
          </w:tcPr>
          <w:p w14:paraId="6C3187DF">
            <w:pPr>
              <w:pStyle w:val="51"/>
              <w:spacing w:after="0" w:line="240" w:lineRule="auto"/>
              <w:ind w:left="0" w:leftChars="0"/>
              <w:jc w:val="center"/>
              <w:rPr>
                <w:szCs w:val="21"/>
              </w:rPr>
            </w:pPr>
          </w:p>
        </w:tc>
        <w:tc>
          <w:tcPr>
            <w:tcW w:w="302" w:type="pct"/>
            <w:vMerge w:val="restart"/>
            <w:vAlign w:val="center"/>
          </w:tcPr>
          <w:p w14:paraId="433661D5">
            <w:pPr>
              <w:pStyle w:val="51"/>
              <w:spacing w:after="0" w:line="240" w:lineRule="auto"/>
              <w:ind w:left="0" w:leftChars="0"/>
              <w:jc w:val="center"/>
              <w:rPr>
                <w:szCs w:val="21"/>
              </w:rPr>
            </w:pPr>
            <w:r>
              <w:rPr>
                <w:szCs w:val="21"/>
              </w:rPr>
              <w:t>中统</w:t>
            </w:r>
          </w:p>
        </w:tc>
        <w:tc>
          <w:tcPr>
            <w:tcW w:w="430" w:type="pct"/>
            <w:vAlign w:val="center"/>
          </w:tcPr>
          <w:p w14:paraId="185410E8">
            <w:pPr>
              <w:pStyle w:val="51"/>
              <w:spacing w:after="0" w:line="240" w:lineRule="auto"/>
              <w:ind w:left="0" w:leftChars="0"/>
              <w:jc w:val="center"/>
              <w:rPr>
                <w:szCs w:val="21"/>
              </w:rPr>
            </w:pPr>
            <w:r>
              <w:rPr>
                <w:szCs w:val="21"/>
              </w:rPr>
              <w:t>巴东组</w:t>
            </w:r>
          </w:p>
        </w:tc>
        <w:tc>
          <w:tcPr>
            <w:tcW w:w="546" w:type="pct"/>
            <w:vAlign w:val="center"/>
          </w:tcPr>
          <w:p w14:paraId="6C1956AA">
            <w:pPr>
              <w:pStyle w:val="51"/>
              <w:spacing w:after="0" w:line="240" w:lineRule="auto"/>
              <w:ind w:left="0" w:leftChars="0"/>
              <w:jc w:val="center"/>
              <w:rPr>
                <w:szCs w:val="21"/>
              </w:rPr>
            </w:pPr>
            <w:r>
              <w:rPr>
                <w:szCs w:val="21"/>
              </w:rPr>
              <w:t>T</w:t>
            </w:r>
            <w:r>
              <w:rPr>
                <w:szCs w:val="21"/>
                <w:vertAlign w:val="subscript"/>
              </w:rPr>
              <w:t>2</w:t>
            </w:r>
            <w:r>
              <w:rPr>
                <w:szCs w:val="21"/>
              </w:rPr>
              <w:t>p</w:t>
            </w:r>
          </w:p>
        </w:tc>
        <w:tc>
          <w:tcPr>
            <w:tcW w:w="3174" w:type="pct"/>
            <w:vAlign w:val="center"/>
          </w:tcPr>
          <w:p w14:paraId="231EB56A">
            <w:pPr>
              <w:pStyle w:val="51"/>
              <w:spacing w:after="0" w:line="240" w:lineRule="auto"/>
              <w:ind w:left="0" w:leftChars="0"/>
              <w:jc w:val="both"/>
              <w:rPr>
                <w:szCs w:val="21"/>
              </w:rPr>
            </w:pPr>
            <w:r>
              <w:rPr>
                <w:szCs w:val="21"/>
              </w:rPr>
              <w:t>上部为泥灰岩，中部为粉砂质页岩及泥质粉砂岩，下部为白云质页岩夹角砾岩及石膏，底部有“绿豆岩”。</w:t>
            </w:r>
          </w:p>
        </w:tc>
      </w:tr>
      <w:tr w14:paraId="437405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7FF66A9B">
            <w:pPr>
              <w:pStyle w:val="51"/>
              <w:spacing w:after="0" w:line="240" w:lineRule="auto"/>
              <w:ind w:left="0" w:leftChars="0"/>
              <w:jc w:val="center"/>
              <w:rPr>
                <w:szCs w:val="21"/>
              </w:rPr>
            </w:pPr>
          </w:p>
        </w:tc>
        <w:tc>
          <w:tcPr>
            <w:tcW w:w="239" w:type="pct"/>
            <w:vMerge w:val="continue"/>
            <w:vAlign w:val="center"/>
          </w:tcPr>
          <w:p w14:paraId="2B64C667">
            <w:pPr>
              <w:pStyle w:val="51"/>
              <w:spacing w:after="0" w:line="240" w:lineRule="auto"/>
              <w:ind w:left="0" w:leftChars="0"/>
              <w:jc w:val="center"/>
              <w:rPr>
                <w:szCs w:val="21"/>
              </w:rPr>
            </w:pPr>
          </w:p>
        </w:tc>
        <w:tc>
          <w:tcPr>
            <w:tcW w:w="302" w:type="pct"/>
            <w:vMerge w:val="continue"/>
            <w:vAlign w:val="center"/>
          </w:tcPr>
          <w:p w14:paraId="541C2E44">
            <w:pPr>
              <w:pStyle w:val="51"/>
              <w:spacing w:after="0" w:line="240" w:lineRule="auto"/>
              <w:ind w:left="0" w:leftChars="0"/>
              <w:jc w:val="center"/>
              <w:rPr>
                <w:szCs w:val="21"/>
              </w:rPr>
            </w:pPr>
          </w:p>
        </w:tc>
        <w:tc>
          <w:tcPr>
            <w:tcW w:w="430" w:type="pct"/>
            <w:vAlign w:val="center"/>
          </w:tcPr>
          <w:p w14:paraId="5827C02B">
            <w:pPr>
              <w:pStyle w:val="51"/>
              <w:spacing w:after="0" w:line="240" w:lineRule="auto"/>
              <w:ind w:left="0" w:leftChars="0"/>
              <w:jc w:val="center"/>
              <w:rPr>
                <w:szCs w:val="21"/>
              </w:rPr>
            </w:pPr>
            <w:r>
              <w:rPr>
                <w:szCs w:val="21"/>
              </w:rPr>
              <w:t>雷口坡组</w:t>
            </w:r>
          </w:p>
        </w:tc>
        <w:tc>
          <w:tcPr>
            <w:tcW w:w="546" w:type="pct"/>
            <w:vAlign w:val="center"/>
          </w:tcPr>
          <w:p w14:paraId="080406D1">
            <w:pPr>
              <w:pStyle w:val="51"/>
              <w:spacing w:after="0" w:line="240" w:lineRule="auto"/>
              <w:ind w:left="0" w:leftChars="0"/>
              <w:jc w:val="center"/>
              <w:rPr>
                <w:szCs w:val="21"/>
              </w:rPr>
            </w:pPr>
            <w:r>
              <w:rPr>
                <w:szCs w:val="21"/>
              </w:rPr>
              <w:t>T</w:t>
            </w:r>
            <w:r>
              <w:rPr>
                <w:szCs w:val="21"/>
                <w:vertAlign w:val="subscript"/>
              </w:rPr>
              <w:t>2</w:t>
            </w:r>
            <w:r>
              <w:rPr>
                <w:szCs w:val="21"/>
              </w:rPr>
              <w:t>l</w:t>
            </w:r>
          </w:p>
        </w:tc>
        <w:tc>
          <w:tcPr>
            <w:tcW w:w="3174" w:type="pct"/>
            <w:vAlign w:val="center"/>
          </w:tcPr>
          <w:p w14:paraId="1D86478F">
            <w:pPr>
              <w:pStyle w:val="51"/>
              <w:spacing w:after="0" w:line="240" w:lineRule="auto"/>
              <w:ind w:left="0" w:leftChars="0"/>
              <w:jc w:val="both"/>
              <w:rPr>
                <w:szCs w:val="21"/>
              </w:rPr>
            </w:pPr>
            <w:r>
              <w:rPr>
                <w:szCs w:val="21"/>
              </w:rPr>
              <w:t>中厚层灰质白云岩、白云质灰岩及致密灰岩</w:t>
            </w:r>
          </w:p>
        </w:tc>
      </w:tr>
      <w:tr w14:paraId="1A85C1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54FC3855">
            <w:pPr>
              <w:pStyle w:val="51"/>
              <w:spacing w:after="0" w:line="240" w:lineRule="auto"/>
              <w:ind w:left="0" w:leftChars="0"/>
              <w:jc w:val="center"/>
              <w:rPr>
                <w:szCs w:val="21"/>
              </w:rPr>
            </w:pPr>
          </w:p>
        </w:tc>
        <w:tc>
          <w:tcPr>
            <w:tcW w:w="239" w:type="pct"/>
            <w:vMerge w:val="continue"/>
            <w:vAlign w:val="center"/>
          </w:tcPr>
          <w:p w14:paraId="6B09FB27">
            <w:pPr>
              <w:pStyle w:val="51"/>
              <w:spacing w:after="0" w:line="240" w:lineRule="auto"/>
              <w:ind w:left="0" w:leftChars="0"/>
              <w:jc w:val="center"/>
              <w:rPr>
                <w:szCs w:val="21"/>
              </w:rPr>
            </w:pPr>
          </w:p>
        </w:tc>
        <w:tc>
          <w:tcPr>
            <w:tcW w:w="302" w:type="pct"/>
            <w:vMerge w:val="continue"/>
            <w:vAlign w:val="center"/>
          </w:tcPr>
          <w:p w14:paraId="78F5050B">
            <w:pPr>
              <w:pStyle w:val="51"/>
              <w:spacing w:after="0" w:line="240" w:lineRule="auto"/>
              <w:ind w:left="0" w:leftChars="0"/>
              <w:jc w:val="center"/>
              <w:rPr>
                <w:szCs w:val="21"/>
              </w:rPr>
            </w:pPr>
          </w:p>
        </w:tc>
        <w:tc>
          <w:tcPr>
            <w:tcW w:w="430" w:type="pct"/>
            <w:vAlign w:val="center"/>
          </w:tcPr>
          <w:p w14:paraId="6ACF7D31">
            <w:pPr>
              <w:pStyle w:val="51"/>
              <w:spacing w:after="0" w:line="240" w:lineRule="auto"/>
              <w:ind w:left="0" w:leftChars="0"/>
              <w:jc w:val="center"/>
              <w:rPr>
                <w:szCs w:val="21"/>
              </w:rPr>
            </w:pPr>
            <w:r>
              <w:rPr>
                <w:szCs w:val="21"/>
              </w:rPr>
              <w:t>嘉陵江组</w:t>
            </w:r>
          </w:p>
        </w:tc>
        <w:tc>
          <w:tcPr>
            <w:tcW w:w="546" w:type="pct"/>
            <w:vAlign w:val="center"/>
          </w:tcPr>
          <w:p w14:paraId="3502A6EE">
            <w:pPr>
              <w:pStyle w:val="51"/>
              <w:spacing w:after="0" w:line="240" w:lineRule="auto"/>
              <w:ind w:left="0" w:leftChars="0"/>
              <w:jc w:val="center"/>
              <w:rPr>
                <w:szCs w:val="21"/>
              </w:rPr>
            </w:pPr>
            <w:r>
              <w:rPr>
                <w:szCs w:val="21"/>
              </w:rPr>
              <w:t>T</w:t>
            </w:r>
            <w:r>
              <w:rPr>
                <w:szCs w:val="21"/>
                <w:vertAlign w:val="subscript"/>
              </w:rPr>
              <w:t>2</w:t>
            </w:r>
            <w:r>
              <w:rPr>
                <w:szCs w:val="21"/>
              </w:rPr>
              <w:t>j</w:t>
            </w:r>
          </w:p>
        </w:tc>
        <w:tc>
          <w:tcPr>
            <w:tcW w:w="3174" w:type="pct"/>
            <w:vAlign w:val="center"/>
          </w:tcPr>
          <w:p w14:paraId="41CAC21E">
            <w:pPr>
              <w:pStyle w:val="51"/>
              <w:spacing w:after="0" w:line="240" w:lineRule="auto"/>
              <w:ind w:left="0" w:leftChars="0"/>
              <w:jc w:val="both"/>
              <w:rPr>
                <w:szCs w:val="21"/>
              </w:rPr>
            </w:pPr>
            <w:r>
              <w:rPr>
                <w:szCs w:val="21"/>
              </w:rPr>
              <w:t>上部为灰岩、白云岩；中部为巨厚层灰质角砾岩；下部为泥质灰岩夹页岩；底部为巨厚层灰质角砾岩。</w:t>
            </w:r>
          </w:p>
        </w:tc>
      </w:tr>
      <w:tr w14:paraId="54DF92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18602BF3">
            <w:pPr>
              <w:pStyle w:val="51"/>
              <w:spacing w:after="0" w:line="240" w:lineRule="auto"/>
              <w:ind w:left="0" w:leftChars="0"/>
              <w:jc w:val="center"/>
              <w:rPr>
                <w:szCs w:val="21"/>
              </w:rPr>
            </w:pPr>
          </w:p>
        </w:tc>
        <w:tc>
          <w:tcPr>
            <w:tcW w:w="239" w:type="pct"/>
            <w:vMerge w:val="continue"/>
            <w:vAlign w:val="center"/>
          </w:tcPr>
          <w:p w14:paraId="3C82D34F">
            <w:pPr>
              <w:pStyle w:val="51"/>
              <w:spacing w:after="0" w:line="240" w:lineRule="auto"/>
              <w:ind w:left="0" w:leftChars="0"/>
              <w:jc w:val="center"/>
              <w:rPr>
                <w:szCs w:val="21"/>
              </w:rPr>
            </w:pPr>
          </w:p>
        </w:tc>
        <w:tc>
          <w:tcPr>
            <w:tcW w:w="302" w:type="pct"/>
            <w:vMerge w:val="restart"/>
            <w:vAlign w:val="center"/>
          </w:tcPr>
          <w:p w14:paraId="01F142DD">
            <w:pPr>
              <w:pStyle w:val="51"/>
              <w:spacing w:after="0" w:line="240" w:lineRule="auto"/>
              <w:ind w:left="0" w:leftChars="0"/>
              <w:jc w:val="center"/>
              <w:rPr>
                <w:szCs w:val="21"/>
              </w:rPr>
            </w:pPr>
            <w:r>
              <w:rPr>
                <w:szCs w:val="21"/>
              </w:rPr>
              <w:t>下统</w:t>
            </w:r>
          </w:p>
        </w:tc>
        <w:tc>
          <w:tcPr>
            <w:tcW w:w="430" w:type="pct"/>
            <w:vAlign w:val="center"/>
          </w:tcPr>
          <w:p w14:paraId="1F9EBE80">
            <w:pPr>
              <w:pStyle w:val="51"/>
              <w:spacing w:after="0" w:line="240" w:lineRule="auto"/>
              <w:ind w:left="0" w:leftChars="0"/>
              <w:jc w:val="center"/>
              <w:rPr>
                <w:szCs w:val="21"/>
              </w:rPr>
            </w:pPr>
            <w:r>
              <w:rPr>
                <w:szCs w:val="21"/>
              </w:rPr>
              <w:t>铜街子组</w:t>
            </w:r>
          </w:p>
        </w:tc>
        <w:tc>
          <w:tcPr>
            <w:tcW w:w="546" w:type="pct"/>
            <w:vAlign w:val="center"/>
          </w:tcPr>
          <w:p w14:paraId="27FF0068">
            <w:pPr>
              <w:pStyle w:val="51"/>
              <w:spacing w:after="0" w:line="240" w:lineRule="auto"/>
              <w:ind w:left="0" w:leftChars="0"/>
              <w:jc w:val="center"/>
              <w:rPr>
                <w:szCs w:val="21"/>
              </w:rPr>
            </w:pPr>
            <w:r>
              <w:rPr>
                <w:szCs w:val="21"/>
              </w:rPr>
              <w:t>T</w:t>
            </w:r>
            <w:r>
              <w:rPr>
                <w:szCs w:val="21"/>
                <w:vertAlign w:val="subscript"/>
              </w:rPr>
              <w:t>1</w:t>
            </w:r>
            <w:r>
              <w:rPr>
                <w:szCs w:val="21"/>
              </w:rPr>
              <w:t>t</w:t>
            </w:r>
          </w:p>
        </w:tc>
        <w:tc>
          <w:tcPr>
            <w:tcW w:w="3174" w:type="pct"/>
            <w:vAlign w:val="center"/>
          </w:tcPr>
          <w:p w14:paraId="7CBF6055">
            <w:pPr>
              <w:pStyle w:val="51"/>
              <w:spacing w:after="0" w:line="240" w:lineRule="auto"/>
              <w:ind w:left="0" w:leftChars="0"/>
              <w:jc w:val="both"/>
              <w:rPr>
                <w:szCs w:val="21"/>
              </w:rPr>
            </w:pPr>
            <w:r>
              <w:rPr>
                <w:szCs w:val="21"/>
              </w:rPr>
              <w:t>为红灰色泥质灰岩与浅灰色灰岩互层，夹紫色页岩，底部为灰质角砾岩。</w:t>
            </w:r>
          </w:p>
        </w:tc>
      </w:tr>
      <w:tr w14:paraId="040797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09" w:type="pct"/>
            <w:vMerge w:val="continue"/>
            <w:vAlign w:val="center"/>
          </w:tcPr>
          <w:p w14:paraId="2010322C">
            <w:pPr>
              <w:pStyle w:val="51"/>
              <w:spacing w:after="0" w:line="240" w:lineRule="auto"/>
              <w:ind w:left="0" w:leftChars="0"/>
              <w:jc w:val="center"/>
              <w:rPr>
                <w:szCs w:val="21"/>
              </w:rPr>
            </w:pPr>
          </w:p>
        </w:tc>
        <w:tc>
          <w:tcPr>
            <w:tcW w:w="239" w:type="pct"/>
            <w:vMerge w:val="continue"/>
            <w:vAlign w:val="center"/>
          </w:tcPr>
          <w:p w14:paraId="28617816">
            <w:pPr>
              <w:pStyle w:val="51"/>
              <w:spacing w:after="0" w:line="240" w:lineRule="auto"/>
              <w:ind w:left="0" w:leftChars="0"/>
              <w:jc w:val="center"/>
              <w:rPr>
                <w:szCs w:val="21"/>
              </w:rPr>
            </w:pPr>
          </w:p>
        </w:tc>
        <w:tc>
          <w:tcPr>
            <w:tcW w:w="302" w:type="pct"/>
            <w:vMerge w:val="continue"/>
            <w:vAlign w:val="center"/>
          </w:tcPr>
          <w:p w14:paraId="3E489D03">
            <w:pPr>
              <w:pStyle w:val="51"/>
              <w:spacing w:after="0" w:line="240" w:lineRule="auto"/>
              <w:ind w:left="0" w:leftChars="0"/>
              <w:jc w:val="center"/>
              <w:rPr>
                <w:szCs w:val="21"/>
              </w:rPr>
            </w:pPr>
          </w:p>
        </w:tc>
        <w:tc>
          <w:tcPr>
            <w:tcW w:w="430" w:type="pct"/>
            <w:vAlign w:val="center"/>
          </w:tcPr>
          <w:p w14:paraId="02BC5EB3">
            <w:pPr>
              <w:pStyle w:val="51"/>
              <w:spacing w:after="0" w:line="240" w:lineRule="auto"/>
              <w:ind w:left="0" w:leftChars="0"/>
              <w:jc w:val="center"/>
              <w:rPr>
                <w:szCs w:val="21"/>
              </w:rPr>
            </w:pPr>
            <w:r>
              <w:rPr>
                <w:szCs w:val="21"/>
              </w:rPr>
              <w:t>飞仙关组</w:t>
            </w:r>
          </w:p>
        </w:tc>
        <w:tc>
          <w:tcPr>
            <w:tcW w:w="546" w:type="pct"/>
            <w:vAlign w:val="center"/>
          </w:tcPr>
          <w:p w14:paraId="0F89AE01">
            <w:pPr>
              <w:pStyle w:val="51"/>
              <w:spacing w:after="0" w:line="240" w:lineRule="auto"/>
              <w:ind w:left="0" w:leftChars="0"/>
              <w:jc w:val="center"/>
              <w:rPr>
                <w:szCs w:val="21"/>
              </w:rPr>
            </w:pPr>
            <w:r>
              <w:rPr>
                <w:szCs w:val="21"/>
              </w:rPr>
              <w:t>T</w:t>
            </w:r>
            <w:r>
              <w:rPr>
                <w:szCs w:val="21"/>
                <w:vertAlign w:val="subscript"/>
              </w:rPr>
              <w:t>1</w:t>
            </w:r>
            <w:r>
              <w:rPr>
                <w:szCs w:val="21"/>
              </w:rPr>
              <w:t>f</w:t>
            </w:r>
          </w:p>
        </w:tc>
        <w:tc>
          <w:tcPr>
            <w:tcW w:w="3174" w:type="pct"/>
            <w:vAlign w:val="center"/>
          </w:tcPr>
          <w:p w14:paraId="2FE51FF4">
            <w:pPr>
              <w:pStyle w:val="51"/>
              <w:spacing w:after="0" w:line="240" w:lineRule="auto"/>
              <w:ind w:left="0" w:leftChars="0"/>
              <w:jc w:val="both"/>
              <w:rPr>
                <w:szCs w:val="21"/>
              </w:rPr>
            </w:pPr>
            <w:r>
              <w:rPr>
                <w:szCs w:val="21"/>
              </w:rPr>
              <w:t>第一段为中层状泥岩夹薄层灰岩及灰质页岩；第二段为紫色灰质页岩与泥质灰岩互层，夹薄层状灰岩；第三段为厚层灰岩，顶、底部夹薄层泥质灰岩；第四段为紫红色灰质页岩、炭质页岩。</w:t>
            </w:r>
          </w:p>
        </w:tc>
      </w:tr>
    </w:tbl>
    <w:p w14:paraId="325E1E79">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巴州区内出露的基岩地层有侏罗系上统蓬莱镇组、白垩系下统苍溪组和白垩系下统白龙组，出露面积1200km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，占全区面积的82%，第四系松散地层在全区分布面积约18%。巴州区地层岩性详述如下：</w:t>
      </w:r>
    </w:p>
    <w:p w14:paraId="5FC3DAD3">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（1）侏罗系上统蓬莱镇组：主要分布于巴州区北部及南部的凤溪、大罗镇局部地段，常构成单面山低山和中山地形。岩性为紫红色泥岩、泥质粉砂岩夹砖红色、青灰色厚层细粒长石石英砂岩。</w:t>
      </w:r>
    </w:p>
    <w:p w14:paraId="77AECCC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（2）白垩系下统苍溪组、白龙组：主要分布于巴州区中部和南部，常构成桌状低山、梁状低山和丘陵地形。岩性为青灰色厚层中-细粒长石石英砂岩夹砖红色泥岩、粉砂质泥岩，底部有一层厚1.0米左右的砾岩。</w:t>
      </w:r>
    </w:p>
    <w:p w14:paraId="07F3FA38">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第四系松散地层：由崩坡积碎块石土、残坡积碎石土和冲积砂卵砾石、亚粘土组成。崩坡积块碎石土、残坡积碎石土分布于基岩地区斜坡之上，层厚较小，通常1-5米。冲积砂卵砾石、亚粘土沿巴河及其支流两岸分布，厚度通常小于10米，局部可达20余米。</w:t>
      </w:r>
    </w:p>
    <w:p w14:paraId="3A1BFD3A">
      <w:p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4.1.5.2地质构造</w:t>
      </w:r>
    </w:p>
    <w:p w14:paraId="5ECE7F9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中市位于大巴山弧形构造和川东新华夏系构造和仪（陇）巴（中）平（昌）莲花状构造的交接位置，构造形迹以褶皱为主，断层不发育。全市域内褶皱轴线均为弧形，岩层倾角变化较大且局部有扭曲现象。褶皱从东北向西南逐渐减弱疏缓，形成寨口河背斜，双山子背斜，百丈岩向斜等。岩层倾角约5~15°，走向与轴线平行。</w:t>
      </w:r>
    </w:p>
    <w:p w14:paraId="3301EF25">
      <w:pPr>
        <w:adjustRightInd w:val="0"/>
        <w:snapToGrid w:val="0"/>
        <w:spacing w:line="360" w:lineRule="auto"/>
        <w:ind w:firstLine="480" w:firstLineChars="200"/>
        <w:rPr>
          <w:color w:val="000000" w:themeColor="text1"/>
          <w:sz w:val="24"/>
          <w14:textFill>
            <w14:solidFill>
              <w14:schemeClr w14:val="tx1"/>
            </w14:solidFill>
          </w14:textFill>
        </w:rPr>
      </w:pPr>
      <w:bookmarkStart w:id="502" w:name="OLE_LINK176"/>
      <w:bookmarkStart w:id="503" w:name="OLE_LINK177"/>
      <w:r>
        <w:rPr>
          <w:color w:val="000000" w:themeColor="text1"/>
          <w:sz w:val="24"/>
          <w14:textFill>
            <w14:solidFill>
              <w14:schemeClr w14:val="tx1"/>
            </w14:solidFill>
          </w14:textFill>
        </w:rPr>
        <w:t>巴州区内地质构造相对简单，未发育断层，主要发育几条构造行迹宽缓的褶皱，局部有微小错动，构造裂隙较发育。巴州区内发育的褶皱由北向南依次为：南阳背斜、巴中向斜、兰草渡背斜及恩阳向斜。</w:t>
      </w:r>
    </w:p>
    <w:p w14:paraId="6C401AC2">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南阳背斜：位于南阳场东北-南阳场至阴灵山一带，轴线构造带中。方向70°-80°，倾角2°-13°，向南东端或北东端倾没，至扫塘河之南西全部消失，轴部出露侏罗系蓬莱镇组(J3p)地层，两翼为白奎系苍溪组（K1c）、白龙组（K1b）地层分布。</w:t>
      </w:r>
    </w:p>
    <w:p w14:paraId="724F66C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巴中向斜：位于巴州镇、石门乡、清江乡一带，轴线方向185°，轴部平缓，岩层倾角2°-5°，北翼大于南翼，与南阳场背斜过渡为翼部倾角8-12°，轴部及两翼出露白奎系苍溪组（K1c）、白龙组（K1b）地层。</w:t>
      </w:r>
    </w:p>
    <w:p w14:paraId="6B26EC7B">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兰草渡背斜：位于县境东部，分布于平昌兰草乡、巴中复兴乡、甘泉乡一带，轴线方向300°-310°，两翼倾角1°-3°，与“巴中向斜”东翼相接，向北西倾没于“巴中向斜”和“恩阳向斜”之间，轴部和两翼出露白垩系苍溪组（K1c）、白龙组（K1b）地层。</w:t>
      </w:r>
    </w:p>
    <w:p w14:paraId="4F4B253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恩阳向斜：轴线经磨子场、恩阳河、杏儿娅、三江口至羊风场之东北，呈一向北突出的弧形，全长60km，轴线方向25-50°转折为310°，内侧倾角2-5°，外侧倾角2-5°，受北西向构造影响较明显，轴部及两翼出露白垩系苍溪组（K1c）、白龙组（K1b）地层。</w:t>
      </w:r>
    </w:p>
    <w:bookmarkEnd w:id="502"/>
    <w:bookmarkEnd w:id="503"/>
    <w:p w14:paraId="10DEA20B">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通江县处于大巴山歹字型构造中段南侧，川东新华夏系构造、巴（中）—平（昌）莲花状构造的复合交接部位，多以褶皱构造形迹为主，构造线展向较为多变，断裂构造弱发育。其褶皱的类型主要有：长滩河沿山向斜、河口背斜及高坎子背斜等。在复杂的区域构造旋扭应力作用下，使区内褶皱轴线多呈弧形，岩层倾角变化频繁，并常有挠曲现象。</w:t>
      </w:r>
    </w:p>
    <w:p w14:paraId="47FB4049">
      <w:pPr>
        <w:pStyle w:val="5"/>
        <w:adjustRightInd w:val="0"/>
        <w:snapToGrid w:val="0"/>
        <w:spacing w:before="0" w:after="0" w:line="360" w:lineRule="auto"/>
        <w:rPr>
          <w:color w:val="000000" w:themeColor="text1"/>
          <w:sz w:val="28"/>
          <w:szCs w:val="28"/>
          <w14:textFill>
            <w14:solidFill>
              <w14:schemeClr w14:val="tx1"/>
            </w14:solidFill>
          </w14:textFill>
        </w:rPr>
      </w:pPr>
      <w:bookmarkStart w:id="504" w:name="_Toc9764"/>
      <w:bookmarkStart w:id="505" w:name="_Toc233380191"/>
      <w:r>
        <w:rPr>
          <w:color w:val="000000" w:themeColor="text1"/>
          <w:sz w:val="28"/>
          <w:szCs w:val="28"/>
          <w14:textFill>
            <w14:solidFill>
              <w14:schemeClr w14:val="tx1"/>
            </w14:solidFill>
          </w14:textFill>
        </w:rPr>
        <w:t>4.1.6</w:t>
      </w:r>
      <w:bookmarkEnd w:id="504"/>
      <w:r>
        <w:rPr>
          <w:color w:val="000000" w:themeColor="text1"/>
          <w:sz w:val="28"/>
          <w:szCs w:val="28"/>
          <w14:textFill>
            <w14:solidFill>
              <w14:schemeClr w14:val="tx1"/>
            </w14:solidFill>
          </w14:textFill>
        </w:rPr>
        <w:t>地下水</w:t>
      </w:r>
      <w:bookmarkEnd w:id="505"/>
    </w:p>
    <w:p w14:paraId="0CDE048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中市位于川北红层，构造平缓，岩层倾角大都在5度以下。地貌以低山－丘陵地形。由于大气环流的改变和人为因素的影响，年降雨总量逐渐下降，而蒸发量却在不断增加。上述自然条件不利于地下水的形成和富集。</w:t>
      </w:r>
    </w:p>
    <w:p w14:paraId="3C60072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中市分布有松散层孔隙水、碎屑岩空隙裂隙水（层间水）和基岩裂隙水（包括构造裂隙水和风化网状裂隙水）三大类型，以基岩裂隙水为主。70%的泉点出露在砂岩或泥质粉砂岩的底部或泥岩的顶面，钻孔也多是砂岩顶部发现水位上升或涌水，可见砂岩是主要的含水层。以此为基础，在裂隙较多的地段，地形低洼，有利于降雨渗入补给、汇集时，将促进地下水的进一步富集。</w:t>
      </w:r>
    </w:p>
    <w:p w14:paraId="4B0057A3">
      <w:p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4.1.6.1地下水类型及赋存条件</w:t>
      </w:r>
    </w:p>
    <w:p w14:paraId="672EDF94">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地下水的赋存与分布，主要受地质构造、地貌、岩性、气候等条件的控制，根据赋存条件，巴中</w:t>
      </w:r>
      <w:r>
        <w:rPr>
          <w:rFonts w:hint="eastAsia"/>
          <w:color w:val="000000" w:themeColor="text1"/>
          <w:sz w:val="24"/>
          <w14:textFill>
            <w14:solidFill>
              <w14:schemeClr w14:val="tx1"/>
            </w14:solidFill>
          </w14:textFill>
        </w:rPr>
        <w:t>巴州区</w:t>
      </w:r>
      <w:r>
        <w:rPr>
          <w:color w:val="000000" w:themeColor="text1"/>
          <w:sz w:val="24"/>
          <w14:textFill>
            <w14:solidFill>
              <w14:schemeClr w14:val="tx1"/>
            </w14:solidFill>
          </w14:textFill>
        </w:rPr>
        <w:t>区地下水类型主要可划分为：上层滞水、松散岩类孔隙水、碎屑岩类孔隙裂隙水和基岩裂隙水四大类。</w:t>
      </w:r>
    </w:p>
    <w:p w14:paraId="0C442907">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（1）上层滞水</w:t>
      </w:r>
    </w:p>
    <w:p w14:paraId="2DE6B97A">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主要分布于规划区表层填土层中，受大气降水及民用生活水补给，通过下渗排泄。填土层为相对透水层，局部含少量上层滞水。</w:t>
      </w:r>
    </w:p>
    <w:p w14:paraId="07663F30">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（2）松散岩类孔隙水</w:t>
      </w:r>
    </w:p>
    <w:p w14:paraId="7892BAF3">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主要分布在河谷两岸各阶地，由全新统和更新统冲积层组成。地下水赋存于砂、砂砾卵石层的孔隙中，水位埋深在中段（转弯处）为4.5~6.9m，两端为1~3m。其中更新统冲积层一般不具备双层结构，上部粘土和亚粘土透水性很差，构成二、三级阶地，只在堆积层底部近基座面上有泉水出露，单井涌水量10~100t/d；全新统冲积层构成一级阶地及河漫滩，富水量中等，单井涌水量100~500t/d。</w:t>
      </w:r>
    </w:p>
    <w:p w14:paraId="301AE40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（3）碎屑岩类孔隙裂隙水</w:t>
      </w:r>
    </w:p>
    <w:p w14:paraId="12ABB698">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含水层为蓬莱镇组上段（J3p2）和苍溪组（K1c）、白龙组（K1b）的砂岩层。砂岩层厚20~40m，裂隙率1~5%。地下水赋存于砂岩、泥质粉砂岩中，含水层顶板埋深20~80m，水位埋深1~5m。</w:t>
      </w:r>
    </w:p>
    <w:p w14:paraId="60889FF6">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（4）基岩裂隙水</w:t>
      </w:r>
    </w:p>
    <w:p w14:paraId="746D89CA">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构造裂隙水：含水层包括除遂宁组以外的侏罗系和白垩系各个层组，以砂岩作为主要含水层。在侵蚀基准面以上的泉水，大都是在各个含水砂岩层的底部出露，一般与上、下砂岩层之间没有水力联系，可把每层砂岩视为一个独立的含水岩体。偶尔当层间泥岩层薄时，上一层砂岩中的水穿过泥岩风化层，在下一层砂岩中出露。故地下水的埋藏深度受各层砂岩的厚度及地形微地貌控制，一般5~15m。</w:t>
      </w:r>
    </w:p>
    <w:p w14:paraId="294BFA07">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风化网状裂隙水：主要分布于蓬莱镇组上段（J3p2）和少部分下段（J3p1）及遂宁组（J3s）地层，以泥岩为主，砂岩层次少而薄，总共有14~17层，厚度5~20米。地下水赋存在风化网状裂隙中，风化裂隙均较细小，强风化带厚只有2~3米，一般不超过10米，地下水赋存有限，埋藏很浅，天旱井（泉）干，井深一般2~4米，水深大部分不超过1米。赋存于砂岩中者，水量稍大，在坡麓以下降泉的形式排泄。泥岩中的地下水多分布在沟谷底部，或井或泉。总的来看，风化网状裂隙水分布不连续，主要汇集在谷（沟）底，埋藏浅，地下水动态受气候因素影响很大。</w:t>
      </w:r>
    </w:p>
    <w:p w14:paraId="146430EA">
      <w:pPr>
        <w:pStyle w:val="5"/>
        <w:adjustRightInd w:val="0"/>
        <w:snapToGrid w:val="0"/>
        <w:spacing w:before="0" w:after="0" w:line="360" w:lineRule="auto"/>
        <w:rPr>
          <w:color w:val="000000" w:themeColor="text1"/>
          <w:sz w:val="28"/>
          <w:szCs w:val="28"/>
          <w14:textFill>
            <w14:solidFill>
              <w14:schemeClr w14:val="tx1"/>
            </w14:solidFill>
          </w14:textFill>
        </w:rPr>
      </w:pPr>
      <w:bookmarkStart w:id="506" w:name="_Toc233380192"/>
      <w:bookmarkStart w:id="507" w:name="_Toc5032"/>
      <w:r>
        <w:rPr>
          <w:color w:val="000000" w:themeColor="text1"/>
          <w:sz w:val="28"/>
          <w:szCs w:val="28"/>
          <w14:textFill>
            <w14:solidFill>
              <w14:schemeClr w14:val="tx1"/>
            </w14:solidFill>
          </w14:textFill>
        </w:rPr>
        <w:t>4.1.7自然资源</w:t>
      </w:r>
      <w:bookmarkEnd w:id="497"/>
      <w:bookmarkEnd w:id="498"/>
      <w:bookmarkEnd w:id="499"/>
      <w:bookmarkEnd w:id="500"/>
      <w:bookmarkEnd w:id="506"/>
      <w:bookmarkEnd w:id="507"/>
    </w:p>
    <w:bookmarkEnd w:id="501"/>
    <w:p w14:paraId="62B5366E">
      <w:pPr>
        <w:adjustRightInd w:val="0"/>
        <w:snapToGrid w:val="0"/>
        <w:spacing w:line="360" w:lineRule="auto"/>
        <w:ind w:firstLine="482" w:firstLineChars="200"/>
        <w:jc w:val="both"/>
        <w:rPr>
          <w:b/>
          <w:bCs/>
          <w:color w:val="000000" w:themeColor="text1"/>
          <w:kern w:val="0"/>
          <w:sz w:val="24"/>
          <w:szCs w:val="22"/>
          <w14:textFill>
            <w14:solidFill>
              <w14:schemeClr w14:val="tx1"/>
            </w14:solidFill>
          </w14:textFill>
        </w:rPr>
      </w:pPr>
      <w:r>
        <w:rPr>
          <w:b/>
          <w:bCs/>
          <w:color w:val="000000" w:themeColor="text1"/>
          <w:kern w:val="0"/>
          <w:sz w:val="24"/>
          <w:szCs w:val="22"/>
          <w14:textFill>
            <w14:solidFill>
              <w14:schemeClr w14:val="tx1"/>
            </w14:solidFill>
          </w14:textFill>
        </w:rPr>
        <w:t>1、动物、植物资源</w:t>
      </w:r>
    </w:p>
    <w:p w14:paraId="5CF6075B">
      <w:pPr>
        <w:adjustRightInd w:val="0"/>
        <w:snapToGrid w:val="0"/>
        <w:spacing w:line="360" w:lineRule="auto"/>
        <w:ind w:firstLine="480" w:firstLineChars="200"/>
        <w:jc w:val="both"/>
        <w:rPr>
          <w:kern w:val="0"/>
          <w:sz w:val="24"/>
          <w:szCs w:val="22"/>
        </w:rPr>
      </w:pPr>
      <w:r>
        <w:rPr>
          <w:kern w:val="0"/>
          <w:sz w:val="24"/>
          <w:szCs w:val="22"/>
        </w:rPr>
        <w:t>巴中市自然植被资源丰富，森林植被主要为常绿落叶阔叶混交林、针叶林、竹林和灌丛林。植物种类繁多，种子植物3000余种，乔灌木300多种，其中包括一些珍稀树木，如银杏、红豆杉、鹅掌揪、巴山榧、台湾水青冈等，草、藤本400多种，源于植物的中草药1300多种。根据植物的生长特征及自然环境，广泛分布在境域各地，乔、灌木林区多分布在北部亦部山地，中部、南零星分布。中药材资源最丰富的是通江、南江两县；牧草资源遍及境域。境域中部和南部，森林层次结构不明显，林下伴生马桑、黄荆、沙棘藤蔓、杜鹃等植物；北部森林成片的较多，但因砍伐过度，曾使森林面积锐减，后经“天然林保护、退耕还林”政策的实施，现正处于恢复发展阶段。</w:t>
      </w:r>
    </w:p>
    <w:p w14:paraId="65850F63">
      <w:pPr>
        <w:adjustRightInd w:val="0"/>
        <w:snapToGrid w:val="0"/>
        <w:spacing w:line="360" w:lineRule="auto"/>
        <w:ind w:firstLine="480" w:firstLineChars="200"/>
        <w:jc w:val="both"/>
        <w:rPr>
          <w:kern w:val="0"/>
          <w:sz w:val="24"/>
          <w:szCs w:val="22"/>
        </w:rPr>
      </w:pPr>
      <w:r>
        <w:rPr>
          <w:kern w:val="0"/>
          <w:sz w:val="24"/>
          <w:szCs w:val="22"/>
        </w:rPr>
        <w:t>全市森林覆盖率达58%，巴中现有林地面积1065万亩，森林面积1070万亩，森林蓄积4068万立方，活立木蓄积2061万立方，有森林植物100科，293属，821种。</w:t>
      </w:r>
    </w:p>
    <w:p w14:paraId="3CAC474B">
      <w:pPr>
        <w:adjustRightInd w:val="0"/>
        <w:snapToGrid w:val="0"/>
        <w:spacing w:line="360" w:lineRule="auto"/>
        <w:ind w:firstLine="480" w:firstLineChars="200"/>
        <w:jc w:val="both"/>
        <w:rPr>
          <w:kern w:val="0"/>
          <w:sz w:val="24"/>
          <w:szCs w:val="22"/>
        </w:rPr>
      </w:pPr>
      <w:r>
        <w:rPr>
          <w:kern w:val="0"/>
          <w:sz w:val="24"/>
          <w:szCs w:val="22"/>
        </w:rPr>
        <w:t>巴中木本植物有91科、233属、600余种。特别是南江的光雾山原始森林保存完好，被专家称为“四川盆地北缘山地重要生物基因库”。南江境内的台湾水青冈被英国剑桥大学皇家物种协会鉴定为世界稀有树种，列为世界保护树种，是生产各类人造板和家具的上等优质木材。林副特产品丰富，银耳、香菇、核桃、板栗、银杏、生漆、杜仲、黄柏、厚朴等畅销36个国家和地区，通江县陈河乡被誉为“中国银耳之乡”。</w:t>
      </w:r>
    </w:p>
    <w:p w14:paraId="3837EB87">
      <w:pPr>
        <w:adjustRightInd w:val="0"/>
        <w:snapToGrid w:val="0"/>
        <w:spacing w:line="360" w:lineRule="auto"/>
        <w:ind w:firstLine="480" w:firstLineChars="200"/>
        <w:jc w:val="both"/>
        <w:rPr>
          <w:kern w:val="0"/>
          <w:sz w:val="24"/>
          <w:szCs w:val="22"/>
        </w:rPr>
      </w:pPr>
      <w:r>
        <w:rPr>
          <w:kern w:val="0"/>
          <w:sz w:val="24"/>
          <w:szCs w:val="22"/>
        </w:rPr>
        <w:t>有野生动物275种，其中兽类51种，鸟类123种，爬行类14种，两栖类11种，鱼类76种。属国家重点濒危、珍稀的野生动物如：梅花鹿、金钱豹、黑熊、麝、猕猴、锦鸡、长尾雉、大鲵等约20余种；属省重点保护的野生动物如赤狐、青麝、豹猫、小麂等约25种。</w:t>
      </w:r>
    </w:p>
    <w:p w14:paraId="5453675E">
      <w:pPr>
        <w:adjustRightInd w:val="0"/>
        <w:snapToGrid w:val="0"/>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2、土壤</w:t>
      </w:r>
    </w:p>
    <w:p w14:paraId="1EB16C60">
      <w:pPr>
        <w:adjustRightInd w:val="0"/>
        <w:snapToGrid w:val="0"/>
        <w:spacing w:line="360" w:lineRule="auto"/>
        <w:ind w:firstLine="480" w:firstLineChars="200"/>
        <w:jc w:val="both"/>
        <w:rPr>
          <w:color w:val="000000" w:themeColor="text1"/>
          <w:kern w:val="0"/>
          <w:sz w:val="24"/>
          <w:szCs w:val="22"/>
          <w14:textFill>
            <w14:solidFill>
              <w14:schemeClr w14:val="tx1"/>
            </w14:solidFill>
          </w14:textFill>
        </w:rPr>
      </w:pPr>
      <w:r>
        <w:rPr>
          <w:color w:val="000000" w:themeColor="text1"/>
          <w:sz w:val="24"/>
          <w14:textFill>
            <w14:solidFill>
              <w14:schemeClr w14:val="tx1"/>
            </w14:solidFill>
          </w14:textFill>
        </w:rPr>
        <w:t>巴中市土壤类型多样，水平分布与垂直分布差异明显。全市土壤可划分为水稻土、紫色土、黄壤、冲积土、黄棕壤、石灰岩土6个土类，下分10个亚类、22个土属、61个土种。从全市土壤的地貌分布来看，水稻土主要分布在河谷阶地、山丘沟谷和台地，紫色土广泛分布于境内山丘地带，黄壤主要分布在河流沿岸二、三级阶地，冲积土主要分布在河流沿岸河漫滩一级阶地，黄棕壤主要分布在高山林地，石灰岩土则主要分布在喀斯特地貌区。从全市各县区土壤分布来看，水稻土、紫色土、黄壤、冲积土各县区均有分布，其中平昌县水稻土、紫色土分布面积最大，南江县黄壤分布面积最大；黄棕壤主要分布在恩阳区、通江县、南江县，以通江县分布面积最大；石灰岩土则仅分布在通江、南江两县。</w:t>
      </w:r>
    </w:p>
    <w:p w14:paraId="17974F95">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508" w:name="_Hlk11336587"/>
      <w:bookmarkStart w:id="509" w:name="_Toc21924"/>
      <w:bookmarkStart w:id="510" w:name="_Toc40220728"/>
      <w:bookmarkStart w:id="511" w:name="_Toc233380193"/>
      <w:r>
        <w:rPr>
          <w:rFonts w:ascii="Times New Roman" w:hAnsi="Times New Roman" w:eastAsia="宋体"/>
          <w:color w:val="000000" w:themeColor="text1"/>
          <w:sz w:val="30"/>
          <w:szCs w:val="30"/>
          <w14:textFill>
            <w14:solidFill>
              <w14:schemeClr w14:val="tx1"/>
            </w14:solidFill>
          </w14:textFill>
        </w:rPr>
        <w:t>4.</w:t>
      </w:r>
      <w:bookmarkEnd w:id="508"/>
      <w:bookmarkStart w:id="512" w:name="_Toc205719735"/>
      <w:bookmarkStart w:id="513" w:name="_Toc240951753"/>
      <w:bookmarkStart w:id="514" w:name="_Toc205713738"/>
      <w:bookmarkStart w:id="515" w:name="_Toc413883079"/>
      <w:bookmarkStart w:id="516" w:name="_Toc205719528"/>
      <w:bookmarkStart w:id="517" w:name="_Hlk11336603"/>
      <w:r>
        <w:rPr>
          <w:rFonts w:ascii="Times New Roman" w:hAnsi="Times New Roman" w:eastAsia="宋体"/>
          <w:color w:val="000000" w:themeColor="text1"/>
          <w:sz w:val="30"/>
          <w:szCs w:val="30"/>
          <w14:textFill>
            <w14:solidFill>
              <w14:schemeClr w14:val="tx1"/>
            </w14:solidFill>
          </w14:textFill>
        </w:rPr>
        <w:t xml:space="preserve">2 </w:t>
      </w:r>
      <w:bookmarkEnd w:id="509"/>
      <w:bookmarkEnd w:id="510"/>
      <w:bookmarkEnd w:id="512"/>
      <w:bookmarkEnd w:id="513"/>
      <w:bookmarkEnd w:id="514"/>
      <w:bookmarkEnd w:id="515"/>
      <w:bookmarkEnd w:id="516"/>
      <w:bookmarkStart w:id="518" w:name="_Toc205713739"/>
      <w:bookmarkStart w:id="519" w:name="_Toc240824091"/>
      <w:bookmarkStart w:id="520" w:name="_Toc205719529"/>
      <w:r>
        <w:rPr>
          <w:rFonts w:ascii="Times New Roman" w:hAnsi="Times New Roman" w:eastAsia="宋体"/>
          <w:color w:val="000000" w:themeColor="text1"/>
          <w:sz w:val="30"/>
          <w:szCs w:val="30"/>
          <w14:textFill>
            <w14:solidFill>
              <w14:schemeClr w14:val="tx1"/>
            </w14:solidFill>
          </w14:textFill>
        </w:rPr>
        <w:t>环境质量现状评价</w:t>
      </w:r>
      <w:bookmarkEnd w:id="511"/>
    </w:p>
    <w:p w14:paraId="22D4BD28">
      <w:pPr>
        <w:pStyle w:val="5"/>
        <w:adjustRightInd w:val="0"/>
        <w:snapToGrid w:val="0"/>
        <w:spacing w:before="0" w:after="0" w:line="360" w:lineRule="auto"/>
        <w:rPr>
          <w:color w:val="000000" w:themeColor="text1"/>
          <w:sz w:val="28"/>
          <w:szCs w:val="28"/>
          <w14:textFill>
            <w14:solidFill>
              <w14:schemeClr w14:val="tx1"/>
            </w14:solidFill>
          </w14:textFill>
        </w:rPr>
      </w:pPr>
      <w:bookmarkStart w:id="521" w:name="_Toc2819"/>
      <w:bookmarkStart w:id="522" w:name="_Toc233380194"/>
      <w:r>
        <w:rPr>
          <w:color w:val="000000" w:themeColor="text1"/>
          <w:sz w:val="28"/>
          <w:szCs w:val="28"/>
          <w14:textFill>
            <w14:solidFill>
              <w14:schemeClr w14:val="tx1"/>
            </w14:solidFill>
          </w14:textFill>
        </w:rPr>
        <w:t>4.2.1环境空气质量现状调查与评价</w:t>
      </w:r>
      <w:bookmarkEnd w:id="521"/>
      <w:bookmarkEnd w:id="522"/>
    </w:p>
    <w:p w14:paraId="56695995">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根据《环境影响评价技术导则 大气环境》（HJ2.2-2018）的要求，城市环境空气质量达标情况评价指标为SO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、NO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、PM</w:t>
      </w:r>
      <w:r>
        <w:rPr>
          <w:color w:val="000000" w:themeColor="text1"/>
          <w:sz w:val="24"/>
          <w:vertAlign w:val="subscript"/>
          <w14:textFill>
            <w14:solidFill>
              <w14:schemeClr w14:val="tx1"/>
            </w14:solidFill>
          </w14:textFill>
        </w:rPr>
        <w:t>10</w:t>
      </w:r>
      <w:r>
        <w:rPr>
          <w:color w:val="000000" w:themeColor="text1"/>
          <w:sz w:val="24"/>
          <w14:textFill>
            <w14:solidFill>
              <w14:schemeClr w14:val="tx1"/>
            </w14:solidFill>
          </w14:textFill>
        </w:rPr>
        <w:t>、PM</w:t>
      </w:r>
      <w:r>
        <w:rPr>
          <w:color w:val="000000" w:themeColor="text1"/>
          <w:sz w:val="24"/>
          <w:vertAlign w:val="subscript"/>
          <w14:textFill>
            <w14:solidFill>
              <w14:schemeClr w14:val="tx1"/>
            </w14:solidFill>
          </w14:textFill>
        </w:rPr>
        <w:t>2.5</w:t>
      </w:r>
      <w:r>
        <w:rPr>
          <w:color w:val="000000" w:themeColor="text1"/>
          <w:sz w:val="24"/>
          <w14:textFill>
            <w14:solidFill>
              <w14:schemeClr w14:val="tx1"/>
            </w14:solidFill>
          </w14:textFill>
        </w:rPr>
        <w:t>、CO和O</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六项污染物全部达标即为城市环境空气质量达标。根据国家或地方生态环境主管部门公开发布的城市环境空气质量达标情况，判断项目所在区域是否属于达标区。国家或地方生态环境主管部门未发布城市环境空气质量达标情况的，可按照HJ 663中各评价项目的年评价指标进行判定。</w:t>
      </w:r>
    </w:p>
    <w:p w14:paraId="229E8FDC">
      <w:pPr>
        <w:adjustRightInd w:val="0"/>
        <w:snapToGrid w:val="0"/>
        <w:spacing w:line="360" w:lineRule="auto"/>
        <w:jc w:val="both"/>
        <w:rPr>
          <w:b/>
          <w:color w:val="000000" w:themeColor="text1"/>
          <w:sz w:val="24"/>
          <w14:textFill>
            <w14:solidFill>
              <w14:schemeClr w14:val="tx1"/>
            </w14:solidFill>
          </w14:textFill>
        </w:rPr>
      </w:pPr>
      <w:bookmarkStart w:id="523" w:name="_Toc28680"/>
      <w:bookmarkStart w:id="524" w:name="_Toc1076"/>
      <w:r>
        <w:rPr>
          <w:bCs/>
          <w:color w:val="000000" w:themeColor="text1"/>
          <w:sz w:val="24"/>
          <w14:textFill>
            <w14:solidFill>
              <w14:schemeClr w14:val="tx1"/>
            </w14:solidFill>
          </w14:textFill>
        </w:rPr>
        <w:t>4.2.1.1</w:t>
      </w:r>
      <w:r>
        <w:rPr>
          <w:b/>
          <w:color w:val="000000" w:themeColor="text1"/>
          <w:sz w:val="24"/>
          <w14:textFill>
            <w14:solidFill>
              <w14:schemeClr w14:val="tx1"/>
            </w14:solidFill>
          </w14:textFill>
        </w:rPr>
        <w:t>区域环境空气质量情况及达标区判定</w:t>
      </w:r>
      <w:bookmarkEnd w:id="523"/>
      <w:bookmarkEnd w:id="524"/>
    </w:p>
    <w:p w14:paraId="38019F86">
      <w:pPr>
        <w:adjustRightInd w:val="0"/>
        <w:snapToGrid w:val="0"/>
        <w:spacing w:line="360" w:lineRule="auto"/>
        <w:ind w:firstLine="480" w:firstLineChars="200"/>
        <w:jc w:val="both"/>
        <w:rPr>
          <w:bCs/>
          <w:sz w:val="24"/>
        </w:rPr>
      </w:pPr>
      <w:r>
        <w:rPr>
          <w:bCs/>
          <w:sz w:val="24"/>
        </w:rPr>
        <w:t>根据《环境影响评价导则大气环境》（HJ 2.2-2018）中有关基本污染物环境质量现状数据的规定，</w:t>
      </w:r>
      <w:r>
        <w:rPr>
          <w:bCs/>
          <w:i/>
          <w:sz w:val="24"/>
        </w:rPr>
        <w:t>“优先采用国家或地方生态环境主管部门公布的评价基准年（近3年中1个完整日历年）环境质量公告或环境质量报告中的数据或结论”</w:t>
      </w:r>
      <w:r>
        <w:rPr>
          <w:bCs/>
          <w:sz w:val="24"/>
        </w:rPr>
        <w:t>；采用评价范围内国家或地方环境空气质量监测网中评价基准年连续1年的监测数据，或采用生态环境主管部门公开发布的环境空气质量现状数据；评价范围内没有环境空气质量监测网数据或公开发布的环境空气质量现状数据的，可选择符合HJ664规定，并且与评价范围地理位置邻近，地形、气候条件相近的环境空气质量城市点或区域点监测数据。</w:t>
      </w:r>
    </w:p>
    <w:p w14:paraId="31519ECA">
      <w:pPr>
        <w:adjustRightInd w:val="0"/>
        <w:snapToGrid w:val="0"/>
        <w:spacing w:line="360" w:lineRule="auto"/>
        <w:ind w:firstLine="480" w:firstLineChars="200"/>
        <w:jc w:val="both"/>
        <w:rPr>
          <w:bCs/>
          <w:sz w:val="24"/>
          <w:highlight w:val="yellow"/>
        </w:rPr>
      </w:pPr>
      <w:r>
        <w:rPr>
          <w:bCs/>
          <w:sz w:val="24"/>
        </w:rPr>
        <w:t>本项目位于四川省巴中市巴州区境内，具体建设地点在白庙乡百花村、曾口镇佛龙村、清江镇塘坝村以及水宁寺镇始宁社区，根据大气环境评价等级判定，本项目评价等级为一级，评价范围涉及巴中市巴州区、平昌县及通江县，本次评价选用</w:t>
      </w:r>
      <w:r>
        <w:rPr>
          <w:sz w:val="24"/>
        </w:rPr>
        <w:t>《平昌县2024年度生态环境质量</w:t>
      </w:r>
      <w:r>
        <w:rPr>
          <w:color w:val="000000" w:themeColor="text1"/>
          <w:sz w:val="24"/>
          <w14:textFill>
            <w14:solidFill>
              <w14:schemeClr w14:val="tx1"/>
            </w14:solidFill>
          </w14:textFill>
        </w:rPr>
        <w:t>状况公报》、《巴中市巴州区2024年环境质量公报》、《通江县2024年环境质量公报》、</w:t>
      </w:r>
      <w:r>
        <w:rPr>
          <w:color w:val="000000" w:themeColor="text1"/>
          <w:kern w:val="0"/>
          <w:sz w:val="24"/>
          <w14:textFill>
            <w14:solidFill>
              <w14:schemeClr w14:val="tx1"/>
            </w14:solidFill>
          </w14:textFill>
        </w:rPr>
        <w:t>《2024年巴中市生态环境状况公报》</w:t>
      </w:r>
      <w:r>
        <w:rPr>
          <w:color w:val="000000" w:themeColor="text1"/>
          <w:sz w:val="24"/>
          <w14:textFill>
            <w14:solidFill>
              <w14:schemeClr w14:val="tx1"/>
            </w14:solidFill>
          </w14:textFill>
        </w:rPr>
        <w:t>等资料，</w:t>
      </w:r>
      <w:r>
        <w:rPr>
          <w:bCs/>
          <w:sz w:val="24"/>
        </w:rPr>
        <w:t>本次评价选用巴中市生态环境局公布的《2024年巴中市生态环境状况公报》（</w:t>
      </w:r>
      <w:r>
        <w:rPr>
          <w:sz w:val="24"/>
        </w:rPr>
        <w:t>https://sthjj.cnbz.gov.cn/public/6596501/23180884.html）</w:t>
      </w:r>
      <w:r>
        <w:rPr>
          <w:bCs/>
          <w:sz w:val="24"/>
        </w:rPr>
        <w:t>中空气质量数据。</w:t>
      </w:r>
    </w:p>
    <w:p w14:paraId="7E265C7E">
      <w:pPr>
        <w:adjustRightInd w:val="0"/>
        <w:snapToGrid w:val="0"/>
        <w:spacing w:line="360" w:lineRule="auto"/>
        <w:ind w:firstLine="480" w:firstLineChars="200"/>
        <w:jc w:val="both"/>
        <w:rPr>
          <w:color w:val="000000" w:themeColor="text1"/>
          <w:kern w:val="0"/>
          <w:sz w:val="24"/>
          <w14:textFill>
            <w14:solidFill>
              <w14:schemeClr w14:val="tx1"/>
            </w14:solidFill>
          </w14:textFill>
        </w:rPr>
      </w:pPr>
      <w:r>
        <w:rPr>
          <w:bCs/>
          <w:color w:val="000000" w:themeColor="text1"/>
          <w:sz w:val="24"/>
          <w14:textFill>
            <w14:solidFill>
              <w14:schemeClr w14:val="tx1"/>
            </w14:solidFill>
          </w14:textFill>
        </w:rPr>
        <w:t>根据《</w:t>
      </w:r>
      <w:r>
        <w:rPr>
          <w:color w:val="000000" w:themeColor="text1"/>
          <w:sz w:val="24"/>
          <w14:textFill>
            <w14:solidFill>
              <w14:schemeClr w14:val="tx1"/>
            </w14:solidFill>
          </w14:textFill>
        </w:rPr>
        <w:t>2024年巴中市生态环境状况公报</w:t>
      </w:r>
      <w:r>
        <w:rPr>
          <w:bCs/>
          <w:color w:val="000000" w:themeColor="text1"/>
          <w:sz w:val="24"/>
          <w14:textFill>
            <w14:solidFill>
              <w14:schemeClr w14:val="tx1"/>
            </w14:solidFill>
          </w14:textFill>
        </w:rPr>
        <w:t>》，</w:t>
      </w:r>
      <w:r>
        <w:rPr>
          <w:color w:val="000000" w:themeColor="text1"/>
          <w:kern w:val="0"/>
          <w:sz w:val="24"/>
          <w14:textFill>
            <w14:solidFill>
              <w14:schemeClr w14:val="tx1"/>
            </w14:solidFill>
          </w14:textFill>
        </w:rPr>
        <w:t>2024年，巴中市环境空气质量有效监测天数366天，其中优良天数350天、轻度污染11天、中度污染4天、严重污染1天，优良率为95.6%，同比上升2.4个百分点，污染天数同比减少9天。环境空气六项主要污染物年均浓度全部达到国家环境空气质量二级标准，空气质量综合指数为2.99，同比下降0.16。巴城环境空气六项主要污染物浓度变化率都在10%以内，细颗粒物和臭氧浓度同比变化不大，其余四项污染物浓度同比略有下降。其中二氧化硫浓度同比下降6.5个百分点、二氧化氮浓度同比下降9.9个百分点、一氧化碳浓度同比下降10个百分点、臭氧浓度同比上升2.2个百分点、PM</w:t>
      </w:r>
      <w:r>
        <w:rPr>
          <w:color w:val="000000" w:themeColor="text1"/>
          <w:kern w:val="0"/>
          <w:sz w:val="24"/>
          <w:vertAlign w:val="subscript"/>
          <w14:textFill>
            <w14:solidFill>
              <w14:schemeClr w14:val="tx1"/>
            </w14:solidFill>
          </w14:textFill>
        </w:rPr>
        <w:t>2.5</w:t>
      </w:r>
      <w:r>
        <w:rPr>
          <w:color w:val="000000" w:themeColor="text1"/>
          <w:kern w:val="0"/>
          <w:sz w:val="24"/>
          <w14:textFill>
            <w14:solidFill>
              <w14:schemeClr w14:val="tx1"/>
            </w14:solidFill>
          </w14:textFill>
        </w:rPr>
        <w:t>（细颗粒物）浓度同比下降4个百分点、PM</w:t>
      </w:r>
      <w:r>
        <w:rPr>
          <w:color w:val="000000" w:themeColor="text1"/>
          <w:kern w:val="0"/>
          <w:sz w:val="24"/>
          <w:vertAlign w:val="subscript"/>
          <w14:textFill>
            <w14:solidFill>
              <w14:schemeClr w14:val="tx1"/>
            </w14:solidFill>
          </w14:textFill>
        </w:rPr>
        <w:t>10</w:t>
      </w:r>
      <w:r>
        <w:rPr>
          <w:color w:val="000000" w:themeColor="text1"/>
          <w:kern w:val="0"/>
          <w:sz w:val="24"/>
          <w14:textFill>
            <w14:solidFill>
              <w14:schemeClr w14:val="tx1"/>
            </w14:solidFill>
          </w14:textFill>
        </w:rPr>
        <w:t>（可吸入颗粒物）浓度同比下降10个百分点。巴中市主要污染物浓度年度同比变化图如下：</w:t>
      </w:r>
    </w:p>
    <w:p w14:paraId="20B7473C">
      <w:pPr>
        <w:adjustRightInd w:val="0"/>
        <w:snapToGrid w:val="0"/>
        <w:spacing w:line="360" w:lineRule="auto"/>
        <w:jc w:val="center"/>
        <w:rPr>
          <w:color w:val="FF0000"/>
          <w:kern w:val="0"/>
          <w:sz w:val="24"/>
        </w:rPr>
      </w:pPr>
      <w:r>
        <w:drawing>
          <wp:inline distT="0" distB="0" distL="0" distR="0">
            <wp:extent cx="4882515" cy="2088515"/>
            <wp:effectExtent l="0" t="0" r="0" b="698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65"/>
                    <a:stretch>
                      <a:fillRect/>
                    </a:stretch>
                  </pic:blipFill>
                  <pic:spPr>
                    <a:xfrm>
                      <a:off x="0" y="0"/>
                      <a:ext cx="4884667" cy="2089483"/>
                    </a:xfrm>
                    <a:prstGeom prst="rect">
                      <a:avLst/>
                    </a:prstGeom>
                  </pic:spPr>
                </pic:pic>
              </a:graphicData>
            </a:graphic>
          </wp:inline>
        </w:drawing>
      </w:r>
    </w:p>
    <w:p w14:paraId="32348D35">
      <w:pPr>
        <w:adjustRightInd w:val="0"/>
        <w:snapToGrid w:val="0"/>
        <w:spacing w:line="360" w:lineRule="auto"/>
        <w:jc w:val="center"/>
        <w:rPr>
          <w:kern w:val="0"/>
          <w:sz w:val="24"/>
        </w:rPr>
      </w:pPr>
      <w:r>
        <w:rPr>
          <w:b/>
          <w:color w:val="000000" w:themeColor="text1"/>
          <w14:textFill>
            <w14:solidFill>
              <w14:schemeClr w14:val="tx1"/>
            </w14:solidFill>
          </w14:textFill>
        </w:rPr>
        <w:t>图4.2-1 巴中市2024年主要污染物浓度年度变化</w:t>
      </w:r>
      <w:r>
        <w:rPr>
          <w:b/>
        </w:rPr>
        <w:t>图</w:t>
      </w:r>
    </w:p>
    <w:p w14:paraId="2519FDE0">
      <w:pPr>
        <w:adjustRightInd w:val="0"/>
        <w:snapToGrid w:val="0"/>
        <w:spacing w:line="360" w:lineRule="auto"/>
        <w:ind w:firstLine="480" w:firstLineChars="200"/>
        <w:jc w:val="both"/>
        <w:rPr>
          <w:bCs/>
          <w:sz w:val="24"/>
        </w:rPr>
      </w:pPr>
      <w:r>
        <w:rPr>
          <w:bCs/>
          <w:sz w:val="24"/>
        </w:rPr>
        <w:t>根据公报，巴中市2024年环境空气质量基本污染物年均浓度见下表：</w:t>
      </w:r>
    </w:p>
    <w:p w14:paraId="712D491F">
      <w:pPr>
        <w:jc w:val="center"/>
        <w:rPr>
          <w:b/>
          <w:color w:val="000000" w:themeColor="text1"/>
          <w:szCs w:val="21"/>
          <w14:textFill>
            <w14:solidFill>
              <w14:schemeClr w14:val="tx1"/>
            </w14:solidFill>
          </w14:textFill>
        </w:rPr>
      </w:pPr>
      <w:r>
        <w:rPr>
          <w:b/>
          <w:snapToGrid w:val="0"/>
          <w:color w:val="000000" w:themeColor="text1"/>
          <w:kern w:val="0"/>
          <w:szCs w:val="21"/>
          <w:lang w:val="zh-CN"/>
          <w14:textFill>
            <w14:solidFill>
              <w14:schemeClr w14:val="tx1"/>
            </w14:solidFill>
          </w14:textFill>
        </w:rPr>
        <w:t>表4.</w:t>
      </w:r>
      <w:r>
        <w:rPr>
          <w:b/>
          <w:snapToGrid w:val="0"/>
          <w:color w:val="000000" w:themeColor="text1"/>
          <w:kern w:val="0"/>
          <w:szCs w:val="21"/>
          <w14:textFill>
            <w14:solidFill>
              <w14:schemeClr w14:val="tx1"/>
            </w14:solidFill>
          </w14:textFill>
        </w:rPr>
        <w:t>2</w:t>
      </w:r>
      <w:r>
        <w:rPr>
          <w:b/>
          <w:snapToGrid w:val="0"/>
          <w:color w:val="000000" w:themeColor="text1"/>
          <w:kern w:val="0"/>
          <w:szCs w:val="21"/>
          <w:lang w:val="zh-CN"/>
          <w14:textFill>
            <w14:solidFill>
              <w14:schemeClr w14:val="tx1"/>
            </w14:solidFill>
          </w14:textFill>
        </w:rPr>
        <w:t>-1 巴中市环境空气质量现状评价表</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16"/>
        <w:gridCol w:w="1516"/>
        <w:gridCol w:w="1646"/>
        <w:gridCol w:w="1646"/>
        <w:gridCol w:w="1290"/>
        <w:gridCol w:w="1199"/>
      </w:tblGrid>
      <w:tr w14:paraId="37FFFF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1" w:type="pct"/>
            <w:tcBorders>
              <w:tl2br w:val="nil"/>
              <w:tr2bl w:val="nil"/>
            </w:tcBorders>
            <w:vAlign w:val="center"/>
          </w:tcPr>
          <w:p w14:paraId="715B26CA">
            <w:pPr>
              <w:pStyle w:val="59"/>
              <w:tabs>
                <w:tab w:val="right" w:leader="dot" w:pos="8460"/>
                <w:tab w:val="right" w:leader="dot" w:pos="8494"/>
              </w:tabs>
              <w:spacing w:before="0" w:after="0"/>
              <w:jc w:val="center"/>
              <w:rPr>
                <w:color w:val="000000" w:themeColor="text1"/>
                <w:sz w:val="21"/>
                <w:szCs w:val="21"/>
                <w14:textFill>
                  <w14:solidFill>
                    <w14:schemeClr w14:val="tx1"/>
                  </w14:solidFill>
                </w14:textFill>
              </w:rPr>
            </w:pPr>
            <w:bookmarkStart w:id="525" w:name="_Toc27067"/>
            <w:bookmarkStart w:id="526" w:name="_Toc5019"/>
            <w:r>
              <w:rPr>
                <w:color w:val="000000" w:themeColor="text1"/>
                <w:sz w:val="21"/>
                <w:szCs w:val="21"/>
                <w14:textFill>
                  <w14:solidFill>
                    <w14:schemeClr w14:val="tx1"/>
                  </w14:solidFill>
                </w14:textFill>
              </w:rPr>
              <w:t>评价</w:t>
            </w:r>
          </w:p>
          <w:p w14:paraId="50EC0F63">
            <w:pPr>
              <w:pStyle w:val="59"/>
              <w:tabs>
                <w:tab w:val="right" w:leader="dot" w:pos="8460"/>
                <w:tab w:val="right" w:leader="dot" w:pos="8494"/>
              </w:tabs>
              <w:spacing w:before="0" w:after="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因子</w:t>
            </w:r>
          </w:p>
        </w:tc>
        <w:tc>
          <w:tcPr>
            <w:tcW w:w="912" w:type="pct"/>
            <w:tcBorders>
              <w:tl2br w:val="nil"/>
              <w:tr2bl w:val="nil"/>
            </w:tcBorders>
            <w:vAlign w:val="center"/>
          </w:tcPr>
          <w:p w14:paraId="0B173A7C">
            <w:pPr>
              <w:pStyle w:val="59"/>
              <w:tabs>
                <w:tab w:val="right" w:leader="dot" w:pos="8460"/>
                <w:tab w:val="right" w:leader="dot" w:pos="8494"/>
              </w:tabs>
              <w:spacing w:before="0" w:after="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平均时段</w:t>
            </w:r>
          </w:p>
        </w:tc>
        <w:tc>
          <w:tcPr>
            <w:tcW w:w="990" w:type="pct"/>
            <w:tcBorders>
              <w:tl2br w:val="nil"/>
              <w:tr2bl w:val="nil"/>
            </w:tcBorders>
            <w:vAlign w:val="center"/>
          </w:tcPr>
          <w:p w14:paraId="152B61A5">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现状浓度</w:t>
            </w:r>
          </w:p>
          <w:p w14:paraId="3C4DAC11">
            <w:pPr>
              <w:jc w:val="center"/>
              <w:rPr>
                <w:color w:val="000000" w:themeColor="text1"/>
                <w14:textFill>
                  <w14:solidFill>
                    <w14:schemeClr w14:val="tx1"/>
                  </w14:solidFill>
                </w14:textFill>
              </w:rPr>
            </w:pPr>
            <w:r>
              <w:rPr>
                <w:b/>
                <w:bCs/>
                <w:color w:val="000000" w:themeColor="text1"/>
                <w:szCs w:val="21"/>
                <w14:textFill>
                  <w14:solidFill>
                    <w14:schemeClr w14:val="tx1"/>
                  </w14:solidFill>
                </w14:textFill>
              </w:rPr>
              <w:t>（</w:t>
            </w:r>
            <w:r>
              <w:rPr>
                <w:b/>
                <w:color w:val="000000" w:themeColor="text1"/>
                <w:szCs w:val="21"/>
                <w:lang w:bidi="ar"/>
                <w14:textFill>
                  <w14:solidFill>
                    <w14:schemeClr w14:val="tx1"/>
                  </w14:solidFill>
                </w14:textFill>
              </w:rPr>
              <w:t>μg</w:t>
            </w: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w:t>
            </w:r>
          </w:p>
        </w:tc>
        <w:tc>
          <w:tcPr>
            <w:tcW w:w="990" w:type="pct"/>
            <w:tcBorders>
              <w:tl2br w:val="nil"/>
              <w:tr2bl w:val="nil"/>
            </w:tcBorders>
            <w:vAlign w:val="center"/>
          </w:tcPr>
          <w:p w14:paraId="0ACED9B4">
            <w:pPr>
              <w:pStyle w:val="59"/>
              <w:tabs>
                <w:tab w:val="right" w:leader="dot" w:pos="8460"/>
                <w:tab w:val="right" w:leader="dot" w:pos="8494"/>
              </w:tabs>
              <w:spacing w:before="0" w:after="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标准限值/（</w:t>
            </w:r>
            <w:r>
              <w:rPr>
                <w:caps w:val="0"/>
                <w:color w:val="000000" w:themeColor="text1"/>
                <w:sz w:val="21"/>
                <w:szCs w:val="21"/>
                <w14:textFill>
                  <w14:solidFill>
                    <w14:schemeClr w14:val="tx1"/>
                  </w14:solidFill>
                </w14:textFill>
              </w:rPr>
              <w:t>μg/m</w:t>
            </w:r>
            <w:r>
              <w:rPr>
                <w:caps w:val="0"/>
                <w:color w:val="000000" w:themeColor="text1"/>
                <w:sz w:val="21"/>
                <w:szCs w:val="21"/>
                <w:vertAlign w:val="superscript"/>
                <w14:textFill>
                  <w14:solidFill>
                    <w14:schemeClr w14:val="tx1"/>
                  </w14:solidFill>
                </w14:textFill>
              </w:rPr>
              <w:t>3</w:t>
            </w:r>
            <w:r>
              <w:rPr>
                <w:color w:val="000000" w:themeColor="text1"/>
                <w:sz w:val="21"/>
                <w:szCs w:val="21"/>
                <w14:textFill>
                  <w14:solidFill>
                    <w14:schemeClr w14:val="tx1"/>
                  </w14:solidFill>
                </w14:textFill>
              </w:rPr>
              <w:t>）</w:t>
            </w:r>
          </w:p>
        </w:tc>
        <w:tc>
          <w:tcPr>
            <w:tcW w:w="776" w:type="pct"/>
            <w:tcBorders>
              <w:tl2br w:val="nil"/>
              <w:tr2bl w:val="nil"/>
            </w:tcBorders>
            <w:vAlign w:val="center"/>
          </w:tcPr>
          <w:p w14:paraId="3C82737B">
            <w:pPr>
              <w:pStyle w:val="59"/>
              <w:tabs>
                <w:tab w:val="right" w:leader="dot" w:pos="8460"/>
                <w:tab w:val="right" w:leader="dot" w:pos="8494"/>
              </w:tabs>
              <w:spacing w:before="0" w:after="0"/>
              <w:jc w:val="center"/>
              <w:rPr>
                <w:color w:val="000000" w:themeColor="text1"/>
                <w:sz w:val="21"/>
                <w:szCs w:val="21"/>
                <w14:textFill>
                  <w14:solidFill>
                    <w14:schemeClr w14:val="tx1"/>
                  </w14:solidFill>
                </w14:textFill>
              </w:rPr>
            </w:pPr>
            <w:r>
              <w:rPr>
                <w:caps w:val="0"/>
                <w:color w:val="000000" w:themeColor="text1"/>
                <w:sz w:val="21"/>
                <w:szCs w:val="21"/>
                <w14:textFill>
                  <w14:solidFill>
                    <w14:schemeClr w14:val="tx1"/>
                  </w14:solidFill>
                </w14:textFill>
              </w:rPr>
              <w:t>占标率Pi（%）</w:t>
            </w:r>
          </w:p>
        </w:tc>
        <w:tc>
          <w:tcPr>
            <w:tcW w:w="721" w:type="pct"/>
            <w:tcBorders>
              <w:tl2br w:val="nil"/>
              <w:tr2bl w:val="nil"/>
            </w:tcBorders>
            <w:vAlign w:val="center"/>
          </w:tcPr>
          <w:p w14:paraId="73950C26">
            <w:pPr>
              <w:pStyle w:val="59"/>
              <w:tabs>
                <w:tab w:val="right" w:leader="dot" w:pos="8460"/>
                <w:tab w:val="right" w:leader="dot" w:pos="8494"/>
              </w:tabs>
              <w:spacing w:before="0" w:after="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达标情况</w:t>
            </w:r>
          </w:p>
        </w:tc>
      </w:tr>
      <w:tr w14:paraId="12C5C6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1" w:type="pct"/>
            <w:tcBorders>
              <w:tl2br w:val="nil"/>
              <w:tr2bl w:val="nil"/>
            </w:tcBorders>
            <w:vAlign w:val="center"/>
          </w:tcPr>
          <w:p w14:paraId="72ED0E14">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SO</w:t>
            </w:r>
            <w:r>
              <w:rPr>
                <w:b w:val="0"/>
                <w:bCs w:val="0"/>
                <w:color w:val="000000" w:themeColor="text1"/>
                <w:sz w:val="21"/>
                <w:szCs w:val="21"/>
                <w:vertAlign w:val="subscript"/>
                <w14:textFill>
                  <w14:solidFill>
                    <w14:schemeClr w14:val="tx1"/>
                  </w14:solidFill>
                </w14:textFill>
              </w:rPr>
              <w:t>2</w:t>
            </w:r>
          </w:p>
        </w:tc>
        <w:tc>
          <w:tcPr>
            <w:tcW w:w="912" w:type="pct"/>
            <w:tcBorders>
              <w:tl2br w:val="nil"/>
              <w:tr2bl w:val="nil"/>
            </w:tcBorders>
            <w:vAlign w:val="center"/>
          </w:tcPr>
          <w:p w14:paraId="0B41FFF8">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年平均浓度</w:t>
            </w:r>
          </w:p>
        </w:tc>
        <w:tc>
          <w:tcPr>
            <w:tcW w:w="990" w:type="pct"/>
            <w:tcBorders>
              <w:tl2br w:val="nil"/>
              <w:tr2bl w:val="nil"/>
            </w:tcBorders>
            <w:vAlign w:val="center"/>
          </w:tcPr>
          <w:p w14:paraId="7E057361">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4.3</w:t>
            </w:r>
          </w:p>
        </w:tc>
        <w:tc>
          <w:tcPr>
            <w:tcW w:w="990" w:type="pct"/>
            <w:tcBorders>
              <w:tl2br w:val="nil"/>
              <w:tr2bl w:val="nil"/>
            </w:tcBorders>
            <w:vAlign w:val="center"/>
          </w:tcPr>
          <w:p w14:paraId="32284979">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60</w:t>
            </w:r>
          </w:p>
        </w:tc>
        <w:tc>
          <w:tcPr>
            <w:tcW w:w="776" w:type="pct"/>
            <w:tcBorders>
              <w:tl2br w:val="nil"/>
              <w:tr2bl w:val="nil"/>
            </w:tcBorders>
            <w:vAlign w:val="center"/>
          </w:tcPr>
          <w:p w14:paraId="4E977CE6">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7.17</w:t>
            </w:r>
          </w:p>
        </w:tc>
        <w:tc>
          <w:tcPr>
            <w:tcW w:w="721" w:type="pct"/>
            <w:tcBorders>
              <w:tl2br w:val="nil"/>
              <w:tr2bl w:val="nil"/>
            </w:tcBorders>
            <w:vAlign w:val="center"/>
          </w:tcPr>
          <w:p w14:paraId="249F6A82">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达标</w:t>
            </w:r>
          </w:p>
        </w:tc>
      </w:tr>
      <w:tr w14:paraId="47AFCF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1" w:type="pct"/>
            <w:tcBorders>
              <w:tl2br w:val="nil"/>
              <w:tr2bl w:val="nil"/>
            </w:tcBorders>
            <w:vAlign w:val="center"/>
          </w:tcPr>
          <w:p w14:paraId="4865D50A">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NO</w:t>
            </w:r>
            <w:r>
              <w:rPr>
                <w:b w:val="0"/>
                <w:bCs w:val="0"/>
                <w:color w:val="000000" w:themeColor="text1"/>
                <w:sz w:val="21"/>
                <w:szCs w:val="21"/>
                <w:vertAlign w:val="subscript"/>
                <w14:textFill>
                  <w14:solidFill>
                    <w14:schemeClr w14:val="tx1"/>
                  </w14:solidFill>
                </w14:textFill>
              </w:rPr>
              <w:t>2</w:t>
            </w:r>
          </w:p>
        </w:tc>
        <w:tc>
          <w:tcPr>
            <w:tcW w:w="912" w:type="pct"/>
            <w:tcBorders>
              <w:tl2br w:val="nil"/>
              <w:tr2bl w:val="nil"/>
            </w:tcBorders>
            <w:vAlign w:val="center"/>
          </w:tcPr>
          <w:p w14:paraId="05AACA10">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年平均浓度</w:t>
            </w:r>
          </w:p>
        </w:tc>
        <w:tc>
          <w:tcPr>
            <w:tcW w:w="990" w:type="pct"/>
            <w:tcBorders>
              <w:tl2br w:val="nil"/>
              <w:tr2bl w:val="nil"/>
            </w:tcBorders>
            <w:vAlign w:val="center"/>
          </w:tcPr>
          <w:p w14:paraId="04166ABC">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20.9</w:t>
            </w:r>
          </w:p>
        </w:tc>
        <w:tc>
          <w:tcPr>
            <w:tcW w:w="990" w:type="pct"/>
            <w:tcBorders>
              <w:tl2br w:val="nil"/>
              <w:tr2bl w:val="nil"/>
            </w:tcBorders>
            <w:vAlign w:val="center"/>
          </w:tcPr>
          <w:p w14:paraId="6B095422">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40</w:t>
            </w:r>
          </w:p>
        </w:tc>
        <w:tc>
          <w:tcPr>
            <w:tcW w:w="776" w:type="pct"/>
            <w:tcBorders>
              <w:tl2br w:val="nil"/>
              <w:tr2bl w:val="nil"/>
            </w:tcBorders>
            <w:vAlign w:val="center"/>
          </w:tcPr>
          <w:p w14:paraId="5FED9223">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52.25</w:t>
            </w:r>
          </w:p>
        </w:tc>
        <w:tc>
          <w:tcPr>
            <w:tcW w:w="721" w:type="pct"/>
            <w:tcBorders>
              <w:tl2br w:val="nil"/>
              <w:tr2bl w:val="nil"/>
            </w:tcBorders>
            <w:vAlign w:val="center"/>
          </w:tcPr>
          <w:p w14:paraId="380C373C">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达标</w:t>
            </w:r>
          </w:p>
        </w:tc>
      </w:tr>
      <w:tr w14:paraId="645A0F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1" w:type="pct"/>
            <w:tcBorders>
              <w:tl2br w:val="nil"/>
              <w:tr2bl w:val="nil"/>
            </w:tcBorders>
            <w:vAlign w:val="center"/>
          </w:tcPr>
          <w:p w14:paraId="3EBAAE30">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PM</w:t>
            </w:r>
            <w:r>
              <w:rPr>
                <w:b w:val="0"/>
                <w:bCs w:val="0"/>
                <w:color w:val="000000" w:themeColor="text1"/>
                <w:sz w:val="21"/>
                <w:szCs w:val="21"/>
                <w:vertAlign w:val="subscript"/>
                <w14:textFill>
                  <w14:solidFill>
                    <w14:schemeClr w14:val="tx1"/>
                  </w14:solidFill>
                </w14:textFill>
              </w:rPr>
              <w:t>10</w:t>
            </w:r>
          </w:p>
        </w:tc>
        <w:tc>
          <w:tcPr>
            <w:tcW w:w="912" w:type="pct"/>
            <w:tcBorders>
              <w:tl2br w:val="nil"/>
              <w:tr2bl w:val="nil"/>
            </w:tcBorders>
            <w:vAlign w:val="center"/>
          </w:tcPr>
          <w:p w14:paraId="1AB95057">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年平均浓度</w:t>
            </w:r>
          </w:p>
        </w:tc>
        <w:tc>
          <w:tcPr>
            <w:tcW w:w="990" w:type="pct"/>
            <w:tcBorders>
              <w:tl2br w:val="nil"/>
              <w:tr2bl w:val="nil"/>
            </w:tcBorders>
            <w:vAlign w:val="center"/>
          </w:tcPr>
          <w:p w14:paraId="524BD878">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40.3</w:t>
            </w:r>
          </w:p>
        </w:tc>
        <w:tc>
          <w:tcPr>
            <w:tcW w:w="990" w:type="pct"/>
            <w:tcBorders>
              <w:tl2br w:val="nil"/>
              <w:tr2bl w:val="nil"/>
            </w:tcBorders>
            <w:vAlign w:val="center"/>
          </w:tcPr>
          <w:p w14:paraId="42BC5CA5">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70</w:t>
            </w:r>
          </w:p>
        </w:tc>
        <w:tc>
          <w:tcPr>
            <w:tcW w:w="776" w:type="pct"/>
            <w:tcBorders>
              <w:tl2br w:val="nil"/>
              <w:tr2bl w:val="nil"/>
            </w:tcBorders>
            <w:vAlign w:val="center"/>
          </w:tcPr>
          <w:p w14:paraId="4F3AF2BE">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57.57</w:t>
            </w:r>
          </w:p>
        </w:tc>
        <w:tc>
          <w:tcPr>
            <w:tcW w:w="721" w:type="pct"/>
            <w:tcBorders>
              <w:tl2br w:val="nil"/>
              <w:tr2bl w:val="nil"/>
            </w:tcBorders>
            <w:vAlign w:val="center"/>
          </w:tcPr>
          <w:p w14:paraId="237F43D5">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达标</w:t>
            </w:r>
          </w:p>
        </w:tc>
      </w:tr>
      <w:tr w14:paraId="68A2B5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1" w:type="pct"/>
            <w:tcBorders>
              <w:tl2br w:val="nil"/>
              <w:tr2bl w:val="nil"/>
            </w:tcBorders>
            <w:vAlign w:val="center"/>
          </w:tcPr>
          <w:p w14:paraId="6E21F739">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PM</w:t>
            </w:r>
            <w:r>
              <w:rPr>
                <w:b w:val="0"/>
                <w:bCs w:val="0"/>
                <w:color w:val="000000" w:themeColor="text1"/>
                <w:sz w:val="21"/>
                <w:szCs w:val="21"/>
                <w:vertAlign w:val="subscript"/>
                <w14:textFill>
                  <w14:solidFill>
                    <w14:schemeClr w14:val="tx1"/>
                  </w14:solidFill>
                </w14:textFill>
              </w:rPr>
              <w:t>2.5</w:t>
            </w:r>
          </w:p>
        </w:tc>
        <w:tc>
          <w:tcPr>
            <w:tcW w:w="912" w:type="pct"/>
            <w:tcBorders>
              <w:tl2br w:val="nil"/>
              <w:tr2bl w:val="nil"/>
            </w:tcBorders>
            <w:vAlign w:val="center"/>
          </w:tcPr>
          <w:p w14:paraId="281636C7">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年平均浓度</w:t>
            </w:r>
          </w:p>
        </w:tc>
        <w:tc>
          <w:tcPr>
            <w:tcW w:w="990" w:type="pct"/>
            <w:tcBorders>
              <w:tl2br w:val="nil"/>
              <w:tr2bl w:val="nil"/>
            </w:tcBorders>
            <w:vAlign w:val="center"/>
          </w:tcPr>
          <w:p w14:paraId="77402783">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28.5</w:t>
            </w:r>
          </w:p>
        </w:tc>
        <w:tc>
          <w:tcPr>
            <w:tcW w:w="990" w:type="pct"/>
            <w:tcBorders>
              <w:tl2br w:val="nil"/>
              <w:tr2bl w:val="nil"/>
            </w:tcBorders>
            <w:vAlign w:val="center"/>
          </w:tcPr>
          <w:p w14:paraId="7338C7C5">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35</w:t>
            </w:r>
          </w:p>
        </w:tc>
        <w:tc>
          <w:tcPr>
            <w:tcW w:w="776" w:type="pct"/>
            <w:tcBorders>
              <w:tl2br w:val="nil"/>
              <w:tr2bl w:val="nil"/>
            </w:tcBorders>
            <w:vAlign w:val="center"/>
          </w:tcPr>
          <w:p w14:paraId="6454C215">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81.43</w:t>
            </w:r>
          </w:p>
        </w:tc>
        <w:tc>
          <w:tcPr>
            <w:tcW w:w="721" w:type="pct"/>
            <w:tcBorders>
              <w:tl2br w:val="nil"/>
              <w:tr2bl w:val="nil"/>
            </w:tcBorders>
            <w:vAlign w:val="center"/>
          </w:tcPr>
          <w:p w14:paraId="22A680AA">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达标</w:t>
            </w:r>
          </w:p>
        </w:tc>
      </w:tr>
      <w:tr w14:paraId="14C895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1" w:type="pct"/>
            <w:tcBorders>
              <w:tl2br w:val="nil"/>
              <w:tr2bl w:val="nil"/>
            </w:tcBorders>
            <w:vAlign w:val="center"/>
          </w:tcPr>
          <w:p w14:paraId="45273999">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CO</w:t>
            </w:r>
          </w:p>
        </w:tc>
        <w:tc>
          <w:tcPr>
            <w:tcW w:w="912" w:type="pct"/>
            <w:tcBorders>
              <w:tl2br w:val="nil"/>
              <w:tr2bl w:val="nil"/>
            </w:tcBorders>
            <w:vAlign w:val="center"/>
          </w:tcPr>
          <w:p w14:paraId="0CD96E6A">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24</w:t>
            </w:r>
            <w:r>
              <w:rPr>
                <w:b w:val="0"/>
                <w:bCs w:val="0"/>
                <w:caps w:val="0"/>
                <w:color w:val="000000" w:themeColor="text1"/>
                <w:kern w:val="0"/>
                <w:sz w:val="24"/>
                <w:szCs w:val="24"/>
                <w14:textFill>
                  <w14:solidFill>
                    <w14:schemeClr w14:val="tx1"/>
                  </w14:solidFill>
                </w14:textFill>
              </w:rPr>
              <w:t>h</w:t>
            </w:r>
            <w:r>
              <w:rPr>
                <w:b w:val="0"/>
                <w:bCs w:val="0"/>
                <w:color w:val="000000" w:themeColor="text1"/>
                <w:sz w:val="21"/>
                <w:szCs w:val="21"/>
                <w14:textFill>
                  <w14:solidFill>
                    <w14:schemeClr w14:val="tx1"/>
                  </w14:solidFill>
                </w14:textFill>
              </w:rPr>
              <w:t>平均</w:t>
            </w:r>
          </w:p>
        </w:tc>
        <w:tc>
          <w:tcPr>
            <w:tcW w:w="990" w:type="pct"/>
            <w:tcBorders>
              <w:tl2br w:val="nil"/>
              <w:tr2bl w:val="nil"/>
            </w:tcBorders>
            <w:vAlign w:val="center"/>
          </w:tcPr>
          <w:p w14:paraId="0C6D8518">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900</w:t>
            </w:r>
          </w:p>
        </w:tc>
        <w:tc>
          <w:tcPr>
            <w:tcW w:w="990" w:type="pct"/>
            <w:tcBorders>
              <w:tl2br w:val="nil"/>
              <w:tr2bl w:val="nil"/>
            </w:tcBorders>
            <w:vAlign w:val="center"/>
          </w:tcPr>
          <w:p w14:paraId="6097A01D">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4000</w:t>
            </w:r>
          </w:p>
        </w:tc>
        <w:tc>
          <w:tcPr>
            <w:tcW w:w="776" w:type="pct"/>
            <w:tcBorders>
              <w:tl2br w:val="nil"/>
              <w:tr2bl w:val="nil"/>
            </w:tcBorders>
            <w:vAlign w:val="center"/>
          </w:tcPr>
          <w:p w14:paraId="33E673CB">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22.50</w:t>
            </w:r>
          </w:p>
        </w:tc>
        <w:tc>
          <w:tcPr>
            <w:tcW w:w="721" w:type="pct"/>
            <w:tcBorders>
              <w:tl2br w:val="nil"/>
              <w:tr2bl w:val="nil"/>
            </w:tcBorders>
            <w:vAlign w:val="center"/>
          </w:tcPr>
          <w:p w14:paraId="2AF504DE">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达标</w:t>
            </w:r>
          </w:p>
        </w:tc>
      </w:tr>
      <w:tr w14:paraId="782CA1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1" w:type="pct"/>
            <w:tcBorders>
              <w:tl2br w:val="nil"/>
              <w:tr2bl w:val="nil"/>
            </w:tcBorders>
            <w:vAlign w:val="center"/>
          </w:tcPr>
          <w:p w14:paraId="6E1B91E8">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O</w:t>
            </w:r>
            <w:r>
              <w:rPr>
                <w:b w:val="0"/>
                <w:bCs w:val="0"/>
                <w:color w:val="000000" w:themeColor="text1"/>
                <w:sz w:val="21"/>
                <w:szCs w:val="21"/>
                <w:vertAlign w:val="subscript"/>
                <w14:textFill>
                  <w14:solidFill>
                    <w14:schemeClr w14:val="tx1"/>
                  </w14:solidFill>
                </w14:textFill>
              </w:rPr>
              <w:t>3</w:t>
            </w:r>
          </w:p>
        </w:tc>
        <w:tc>
          <w:tcPr>
            <w:tcW w:w="912" w:type="pct"/>
            <w:tcBorders>
              <w:tl2br w:val="nil"/>
              <w:tr2bl w:val="nil"/>
            </w:tcBorders>
            <w:vAlign w:val="center"/>
          </w:tcPr>
          <w:p w14:paraId="32B965A5">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8</w:t>
            </w:r>
            <w:r>
              <w:rPr>
                <w:b w:val="0"/>
                <w:bCs w:val="0"/>
                <w:caps w:val="0"/>
                <w:color w:val="000000" w:themeColor="text1"/>
                <w:kern w:val="0"/>
                <w:sz w:val="24"/>
                <w:szCs w:val="24"/>
                <w14:textFill>
                  <w14:solidFill>
                    <w14:schemeClr w14:val="tx1"/>
                  </w14:solidFill>
                </w14:textFill>
              </w:rPr>
              <w:t>h</w:t>
            </w:r>
            <w:r>
              <w:rPr>
                <w:b w:val="0"/>
                <w:bCs w:val="0"/>
                <w:color w:val="000000" w:themeColor="text1"/>
                <w:sz w:val="21"/>
                <w:szCs w:val="21"/>
                <w14:textFill>
                  <w14:solidFill>
                    <w14:schemeClr w14:val="tx1"/>
                  </w14:solidFill>
                </w14:textFill>
              </w:rPr>
              <w:t>平均</w:t>
            </w:r>
          </w:p>
        </w:tc>
        <w:tc>
          <w:tcPr>
            <w:tcW w:w="990" w:type="pct"/>
            <w:tcBorders>
              <w:tl2br w:val="nil"/>
              <w:tr2bl w:val="nil"/>
            </w:tcBorders>
            <w:vAlign w:val="center"/>
          </w:tcPr>
          <w:p w14:paraId="0D7D483B">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121.5</w:t>
            </w:r>
          </w:p>
        </w:tc>
        <w:tc>
          <w:tcPr>
            <w:tcW w:w="990" w:type="pct"/>
            <w:tcBorders>
              <w:tl2br w:val="nil"/>
              <w:tr2bl w:val="nil"/>
            </w:tcBorders>
            <w:vAlign w:val="center"/>
          </w:tcPr>
          <w:p w14:paraId="1A48B862">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160</w:t>
            </w:r>
          </w:p>
        </w:tc>
        <w:tc>
          <w:tcPr>
            <w:tcW w:w="776" w:type="pct"/>
            <w:tcBorders>
              <w:tl2br w:val="nil"/>
              <w:tr2bl w:val="nil"/>
            </w:tcBorders>
            <w:vAlign w:val="center"/>
          </w:tcPr>
          <w:p w14:paraId="72D63CDF">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75.94</w:t>
            </w:r>
          </w:p>
        </w:tc>
        <w:tc>
          <w:tcPr>
            <w:tcW w:w="721" w:type="pct"/>
            <w:tcBorders>
              <w:tl2br w:val="nil"/>
              <w:tr2bl w:val="nil"/>
            </w:tcBorders>
            <w:vAlign w:val="center"/>
          </w:tcPr>
          <w:p w14:paraId="1FEA3CD6">
            <w:pPr>
              <w:pStyle w:val="59"/>
              <w:tabs>
                <w:tab w:val="right" w:leader="dot" w:pos="8460"/>
                <w:tab w:val="right" w:leader="dot" w:pos="8494"/>
              </w:tabs>
              <w:spacing w:before="0" w:after="0"/>
              <w:jc w:val="center"/>
              <w:rPr>
                <w:b w:val="0"/>
                <w:bCs w:val="0"/>
                <w:color w:val="000000" w:themeColor="text1"/>
                <w:sz w:val="21"/>
                <w:szCs w:val="21"/>
                <w14:textFill>
                  <w14:solidFill>
                    <w14:schemeClr w14:val="tx1"/>
                  </w14:solidFill>
                </w14:textFill>
              </w:rPr>
            </w:pPr>
            <w:r>
              <w:rPr>
                <w:b w:val="0"/>
                <w:bCs w:val="0"/>
                <w:color w:val="000000" w:themeColor="text1"/>
                <w:sz w:val="21"/>
                <w:szCs w:val="21"/>
                <w14:textFill>
                  <w14:solidFill>
                    <w14:schemeClr w14:val="tx1"/>
                  </w14:solidFill>
                </w14:textFill>
              </w:rPr>
              <w:t>达标</w:t>
            </w:r>
          </w:p>
        </w:tc>
      </w:tr>
    </w:tbl>
    <w:p w14:paraId="632D4799">
      <w:pPr>
        <w:adjustRightInd w:val="0"/>
        <w:snapToGrid w:val="0"/>
        <w:spacing w:line="360" w:lineRule="auto"/>
        <w:jc w:val="center"/>
        <w:rPr>
          <w:bCs/>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4726940" cy="3382010"/>
            <wp:effectExtent l="19050" t="19050" r="16510" b="27940"/>
            <wp:docPr id="5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8"/>
                    <pic:cNvPicPr>
                      <a:picLocks noChangeAspect="1"/>
                    </pic:cNvPicPr>
                  </pic:nvPicPr>
                  <pic:blipFill>
                    <a:blip r:embed="rId66"/>
                    <a:stretch>
                      <a:fillRect/>
                    </a:stretch>
                  </pic:blipFill>
                  <pic:spPr>
                    <a:xfrm>
                      <a:off x="0" y="0"/>
                      <a:ext cx="4729441" cy="3383943"/>
                    </a:xfrm>
                    <a:prstGeom prst="rect">
                      <a:avLst/>
                    </a:prstGeom>
                    <a:noFill/>
                    <a:ln>
                      <a:solidFill>
                        <a:schemeClr val="tx1"/>
                      </a:solidFill>
                    </a:ln>
                  </pic:spPr>
                </pic:pic>
              </a:graphicData>
            </a:graphic>
          </wp:inline>
        </w:drawing>
      </w:r>
    </w:p>
    <w:p w14:paraId="5B209AD0">
      <w:pPr>
        <w:adjustRightInd w:val="0"/>
        <w:snapToGrid w:val="0"/>
        <w:spacing w:line="360" w:lineRule="auto"/>
        <w:ind w:firstLine="422" w:firstLineChars="200"/>
        <w:jc w:val="center"/>
        <w:rPr>
          <w:bCs/>
          <w:color w:val="000000" w:themeColor="text1"/>
          <w:sz w:val="24"/>
          <w14:textFill>
            <w14:solidFill>
              <w14:schemeClr w14:val="tx1"/>
            </w14:solidFill>
          </w14:textFill>
        </w:rPr>
      </w:pPr>
      <w:r>
        <w:rPr>
          <w:b/>
          <w:color w:val="000000" w:themeColor="text1"/>
          <w14:textFill>
            <w14:solidFill>
              <w14:schemeClr w14:val="tx1"/>
            </w14:solidFill>
          </w14:textFill>
        </w:rPr>
        <w:t>图4.2-2 巴中市2024年环境空气污染物年均浓度及达标情况图</w:t>
      </w:r>
    </w:p>
    <w:p w14:paraId="0CDFFC6D">
      <w:pPr>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根据《环境影响评价技术导则 大气环境》（HJ2.2-2018）中达标判断要求，本项目区域为达标区。</w:t>
      </w:r>
    </w:p>
    <w:p w14:paraId="07E3936E">
      <w:pPr>
        <w:adjustRightInd w:val="0"/>
        <w:snapToGrid w:val="0"/>
        <w:spacing w:line="360" w:lineRule="auto"/>
        <w:ind w:firstLine="482" w:firstLineChars="200"/>
        <w:jc w:val="both"/>
        <w:rPr>
          <w:bCs/>
          <w:color w:val="000000" w:themeColor="text1"/>
          <w:sz w:val="24"/>
          <w14:textFill>
            <w14:solidFill>
              <w14:schemeClr w14:val="tx1"/>
            </w14:solidFill>
          </w14:textFill>
        </w:rPr>
      </w:pPr>
      <w:r>
        <w:rPr>
          <w:b/>
          <w:color w:val="000000" w:themeColor="text1"/>
          <w:sz w:val="24"/>
          <w14:textFill>
            <w14:solidFill>
              <w14:schemeClr w14:val="tx1"/>
            </w14:solidFill>
          </w14:textFill>
        </w:rPr>
        <w:t>（2）巴州区、通江县环境空气质量</w:t>
      </w:r>
    </w:p>
    <w:p w14:paraId="409B8E6B">
      <w:pPr>
        <w:snapToGrid w:val="0"/>
        <w:spacing w:line="360" w:lineRule="auto"/>
        <w:ind w:firstLine="480" w:firstLineChars="200"/>
        <w:jc w:val="both"/>
        <w:rPr>
          <w:kern w:val="0"/>
          <w:sz w:val="24"/>
        </w:rPr>
      </w:pPr>
      <w:r>
        <w:rPr>
          <w:kern w:val="0"/>
          <w:sz w:val="24"/>
        </w:rPr>
        <w:t>由于本项目大气环境评价范围包括了巴州区和通江县，所以下面对</w:t>
      </w:r>
      <w:r>
        <w:rPr>
          <w:sz w:val="24"/>
        </w:rPr>
        <w:t>巴州区、通江县环境空气质量进行调查分析：</w:t>
      </w:r>
    </w:p>
    <w:p w14:paraId="2AB38633">
      <w:pPr>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根据</w:t>
      </w:r>
      <w:bookmarkStart w:id="527" w:name="OLE_LINK51"/>
      <w:bookmarkStart w:id="528" w:name="OLE_LINK50"/>
      <w:r>
        <w:rPr>
          <w:color w:val="000000" w:themeColor="text1"/>
          <w:kern w:val="0"/>
          <w:sz w:val="24"/>
          <w14:textFill>
            <w14:solidFill>
              <w14:schemeClr w14:val="tx1"/>
            </w14:solidFill>
          </w14:textFill>
        </w:rPr>
        <w:t>《2024年巴中市生态环境状况公报》</w:t>
      </w:r>
      <w:bookmarkEnd w:id="527"/>
      <w:bookmarkEnd w:id="528"/>
      <w:r>
        <w:rPr>
          <w:color w:val="000000" w:themeColor="text1"/>
          <w:kern w:val="0"/>
          <w:sz w:val="24"/>
          <w14:textFill>
            <w14:solidFill>
              <w14:schemeClr w14:val="tx1"/>
            </w14:solidFill>
          </w14:textFill>
        </w:rPr>
        <w:t>，2024年，巴城环境空气质量优良率为95.6%，同比上升2.4个百分点，污染天数同比减少9天。环境空气六项主要污染物年均浓度全部达到国家环境空气质量二级标准，空气质量综合指数为2.99，同比下降0.16。</w:t>
      </w:r>
      <w:r>
        <w:rPr>
          <w:color w:val="000000" w:themeColor="text1"/>
          <w:sz w:val="24"/>
          <w14:textFill>
            <w14:solidFill>
              <w14:schemeClr w14:val="tx1"/>
            </w14:solidFill>
          </w14:textFill>
        </w:rPr>
        <w:t>巴中市</w:t>
      </w:r>
      <w:r>
        <w:rPr>
          <w:bCs/>
          <w:color w:val="000000" w:themeColor="text1"/>
          <w:sz w:val="24"/>
          <w14:textFill>
            <w14:solidFill>
              <w14:schemeClr w14:val="tx1"/>
            </w14:solidFill>
          </w14:textFill>
        </w:rPr>
        <w:t>环境空气质量基本污染物监测数据统计结果如下：</w:t>
      </w:r>
    </w:p>
    <w:p w14:paraId="44301883">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通江县2024年环境质量公报》，2024年，通江县城区空气质量优良天数为341天（其中优206天，良135天，轻度污染23天，中度污染1天，重度污染0天，严重污染1天），优良率93.2%。首要污染物为细颗粒物PM2.5。通江县2024年环境空气主要污染物浓度如下表所示。</w:t>
      </w:r>
    </w:p>
    <w:p w14:paraId="04292618">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lang w:val="en-US"/>
          <w14:textFill>
            <w14:solidFill>
              <w14:schemeClr w14:val="tx1"/>
            </w14:solidFill>
          </w14:textFill>
        </w:rPr>
        <w:t>表4.2-3通江县</w:t>
      </w:r>
      <w:r>
        <w:rPr>
          <w:snapToGrid w:val="0"/>
          <w:color w:val="000000" w:themeColor="text1"/>
          <w:szCs w:val="21"/>
          <w14:textFill>
            <w14:solidFill>
              <w14:schemeClr w14:val="tx1"/>
            </w14:solidFill>
          </w14:textFill>
        </w:rPr>
        <w:t>环境空气质量现状评价表</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84"/>
        <w:gridCol w:w="1840"/>
        <w:gridCol w:w="1570"/>
        <w:gridCol w:w="1612"/>
        <w:gridCol w:w="1201"/>
        <w:gridCol w:w="1076"/>
      </w:tblGrid>
      <w:tr w14:paraId="0C4A1B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594" w:type="pct"/>
            <w:tcBorders>
              <w:left w:val="nil"/>
            </w:tcBorders>
            <w:vAlign w:val="center"/>
          </w:tcPr>
          <w:p w14:paraId="39A72BA7">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w:t>
            </w:r>
          </w:p>
        </w:tc>
        <w:tc>
          <w:tcPr>
            <w:tcW w:w="1111" w:type="pct"/>
            <w:vAlign w:val="center"/>
          </w:tcPr>
          <w:p w14:paraId="5D4283B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年评价指标</w:t>
            </w:r>
          </w:p>
        </w:tc>
        <w:tc>
          <w:tcPr>
            <w:tcW w:w="948" w:type="pct"/>
            <w:vAlign w:val="center"/>
          </w:tcPr>
          <w:p w14:paraId="5BC368A8">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平均浓度（</w:t>
            </w:r>
            <w:r>
              <w:rPr>
                <w:b/>
                <w:bCs/>
                <w:color w:val="000000" w:themeColor="text1"/>
                <w:szCs w:val="21"/>
                <w14:textFill>
                  <w14:solidFill>
                    <w14:schemeClr w14:val="tx1"/>
                  </w14:solidFill>
                </w14:textFill>
              </w:rPr>
              <w:t>μg/m</w:t>
            </w:r>
            <w:r>
              <w:rPr>
                <w:b/>
                <w:bCs/>
                <w:color w:val="000000" w:themeColor="text1"/>
                <w:szCs w:val="21"/>
                <w:vertAlign w:val="superscript"/>
                <w14:textFill>
                  <w14:solidFill>
                    <w14:schemeClr w14:val="tx1"/>
                  </w14:solidFill>
                </w14:textFill>
              </w:rPr>
              <w:t>3</w:t>
            </w:r>
            <w:r>
              <w:rPr>
                <w:b/>
                <w:color w:val="000000" w:themeColor="text1"/>
                <w:szCs w:val="21"/>
                <w14:textFill>
                  <w14:solidFill>
                    <w14:schemeClr w14:val="tx1"/>
                  </w14:solidFill>
                </w14:textFill>
              </w:rPr>
              <w:t>）</w:t>
            </w:r>
          </w:p>
        </w:tc>
        <w:tc>
          <w:tcPr>
            <w:tcW w:w="973" w:type="pct"/>
            <w:vAlign w:val="center"/>
          </w:tcPr>
          <w:p w14:paraId="7292CDD2">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标准值（</w:t>
            </w:r>
            <w:r>
              <w:rPr>
                <w:b/>
                <w:bCs/>
                <w:color w:val="000000" w:themeColor="text1"/>
                <w:szCs w:val="21"/>
                <w14:textFill>
                  <w14:solidFill>
                    <w14:schemeClr w14:val="tx1"/>
                  </w14:solidFill>
                </w14:textFill>
              </w:rPr>
              <w:t>μg/m</w:t>
            </w:r>
            <w:r>
              <w:rPr>
                <w:b/>
                <w:bCs/>
                <w:color w:val="000000" w:themeColor="text1"/>
                <w:szCs w:val="21"/>
                <w:vertAlign w:val="superscript"/>
                <w14:textFill>
                  <w14:solidFill>
                    <w14:schemeClr w14:val="tx1"/>
                  </w14:solidFill>
                </w14:textFill>
              </w:rPr>
              <w:t>3</w:t>
            </w:r>
            <w:r>
              <w:rPr>
                <w:b/>
                <w:color w:val="000000" w:themeColor="text1"/>
                <w:szCs w:val="21"/>
                <w14:textFill>
                  <w14:solidFill>
                    <w14:schemeClr w14:val="tx1"/>
                  </w14:solidFill>
                </w14:textFill>
              </w:rPr>
              <w:t>）</w:t>
            </w:r>
          </w:p>
        </w:tc>
        <w:tc>
          <w:tcPr>
            <w:tcW w:w="725" w:type="pct"/>
            <w:vAlign w:val="center"/>
          </w:tcPr>
          <w:p w14:paraId="04EED480">
            <w:pPr>
              <w:jc w:val="center"/>
              <w:rPr>
                <w:b/>
                <w:color w:val="000000" w:themeColor="text1"/>
                <w:szCs w:val="21"/>
                <w14:textFill>
                  <w14:solidFill>
                    <w14:schemeClr w14:val="tx1"/>
                  </w14:solidFill>
                </w14:textFill>
              </w:rPr>
            </w:pPr>
            <w:r>
              <w:rPr>
                <w:b/>
                <w:bCs/>
                <w:color w:val="000000" w:themeColor="text1"/>
                <w:szCs w:val="21"/>
                <w14:textFill>
                  <w14:solidFill>
                    <w14:schemeClr w14:val="tx1"/>
                  </w14:solidFill>
                </w14:textFill>
              </w:rPr>
              <w:t>Pi</w:t>
            </w:r>
          </w:p>
        </w:tc>
        <w:tc>
          <w:tcPr>
            <w:tcW w:w="649" w:type="pct"/>
            <w:tcBorders>
              <w:right w:val="nil"/>
            </w:tcBorders>
            <w:vAlign w:val="center"/>
          </w:tcPr>
          <w:p w14:paraId="595AD27E">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达标情况</w:t>
            </w:r>
          </w:p>
        </w:tc>
      </w:tr>
      <w:tr w14:paraId="4DD0F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94" w:type="pct"/>
            <w:tcBorders>
              <w:left w:val="nil"/>
            </w:tcBorders>
            <w:vAlign w:val="center"/>
          </w:tcPr>
          <w:p w14:paraId="11FF249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10</w:t>
            </w:r>
          </w:p>
        </w:tc>
        <w:tc>
          <w:tcPr>
            <w:tcW w:w="1111" w:type="pct"/>
            <w:vAlign w:val="center"/>
          </w:tcPr>
          <w:p w14:paraId="042B94C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948" w:type="pct"/>
            <w:vAlign w:val="center"/>
          </w:tcPr>
          <w:p w14:paraId="16F6E9D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w:t>
            </w:r>
          </w:p>
        </w:tc>
        <w:tc>
          <w:tcPr>
            <w:tcW w:w="973" w:type="pct"/>
            <w:vAlign w:val="center"/>
          </w:tcPr>
          <w:p w14:paraId="197681C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725" w:type="pct"/>
            <w:vAlign w:val="center"/>
          </w:tcPr>
          <w:p w14:paraId="725D757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57.14</w:t>
            </w:r>
          </w:p>
        </w:tc>
        <w:tc>
          <w:tcPr>
            <w:tcW w:w="649" w:type="pct"/>
            <w:tcBorders>
              <w:right w:val="nil"/>
            </w:tcBorders>
            <w:vAlign w:val="center"/>
          </w:tcPr>
          <w:p w14:paraId="067190E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2C3935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94" w:type="pct"/>
            <w:tcBorders>
              <w:left w:val="nil"/>
            </w:tcBorders>
            <w:vAlign w:val="center"/>
          </w:tcPr>
          <w:p w14:paraId="640F642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2.5</w:t>
            </w:r>
          </w:p>
        </w:tc>
        <w:tc>
          <w:tcPr>
            <w:tcW w:w="1111" w:type="pct"/>
            <w:vAlign w:val="center"/>
          </w:tcPr>
          <w:p w14:paraId="3D8186C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948" w:type="pct"/>
            <w:vAlign w:val="center"/>
          </w:tcPr>
          <w:p w14:paraId="2D1C67F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26</w:t>
            </w:r>
          </w:p>
        </w:tc>
        <w:tc>
          <w:tcPr>
            <w:tcW w:w="973" w:type="pct"/>
            <w:vAlign w:val="center"/>
          </w:tcPr>
          <w:p w14:paraId="35CE641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35</w:t>
            </w:r>
          </w:p>
        </w:tc>
        <w:tc>
          <w:tcPr>
            <w:tcW w:w="725" w:type="pct"/>
            <w:vAlign w:val="center"/>
          </w:tcPr>
          <w:p w14:paraId="49E2F15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74.28</w:t>
            </w:r>
          </w:p>
        </w:tc>
        <w:tc>
          <w:tcPr>
            <w:tcW w:w="649" w:type="pct"/>
            <w:tcBorders>
              <w:right w:val="nil"/>
            </w:tcBorders>
            <w:vAlign w:val="center"/>
          </w:tcPr>
          <w:p w14:paraId="225183C7">
            <w:pPr>
              <w:jc w:val="center"/>
              <w:rPr>
                <w:b/>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bl>
    <w:p w14:paraId="29CEB82D">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根据《巴中市巴州区2024年环境质量公报》，2024年，巴城环境空气质量优良率为95.6%，同比上升2.4个百分点，主要污染物PM</w:t>
      </w:r>
      <w:r>
        <w:rPr>
          <w:color w:val="000000" w:themeColor="text1"/>
          <w:sz w:val="24"/>
          <w:vertAlign w:val="subscript"/>
          <w14:textFill>
            <w14:solidFill>
              <w14:schemeClr w14:val="tx1"/>
            </w14:solidFill>
          </w14:textFill>
        </w:rPr>
        <w:t>10</w:t>
      </w:r>
      <w:r>
        <w:rPr>
          <w:color w:val="000000" w:themeColor="text1"/>
          <w:sz w:val="24"/>
          <w14:textFill>
            <w14:solidFill>
              <w14:schemeClr w14:val="tx1"/>
            </w14:solidFill>
          </w14:textFill>
        </w:rPr>
        <w:t>浓度同比略有下降，PM2.5浓度同比变化不大。巴州区2024年环境空气主要污染物浓度如下表所示。</w:t>
      </w:r>
    </w:p>
    <w:p w14:paraId="7A7C5223">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lang w:val="en-US"/>
          <w14:textFill>
            <w14:solidFill>
              <w14:schemeClr w14:val="tx1"/>
            </w14:solidFill>
          </w14:textFill>
        </w:rPr>
        <w:t>表4.2-4巴州区</w:t>
      </w:r>
      <w:r>
        <w:rPr>
          <w:snapToGrid w:val="0"/>
          <w:color w:val="000000" w:themeColor="text1"/>
          <w:szCs w:val="21"/>
          <w14:textFill>
            <w14:solidFill>
              <w14:schemeClr w14:val="tx1"/>
            </w14:solidFill>
          </w14:textFill>
        </w:rPr>
        <w:t>环境空气质量现状评价表</w:t>
      </w:r>
    </w:p>
    <w:tbl>
      <w:tblPr>
        <w:tblStyle w:val="88"/>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86"/>
        <w:gridCol w:w="2036"/>
        <w:gridCol w:w="1376"/>
        <w:gridCol w:w="1611"/>
        <w:gridCol w:w="1200"/>
        <w:gridCol w:w="1074"/>
      </w:tblGrid>
      <w:tr w14:paraId="37E2FF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595" w:type="pct"/>
            <w:tcBorders>
              <w:left w:val="nil"/>
            </w:tcBorders>
            <w:vAlign w:val="center"/>
          </w:tcPr>
          <w:p w14:paraId="0E6806F9">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w:t>
            </w:r>
          </w:p>
        </w:tc>
        <w:tc>
          <w:tcPr>
            <w:tcW w:w="1228" w:type="pct"/>
            <w:vAlign w:val="center"/>
          </w:tcPr>
          <w:p w14:paraId="47E0347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年评价指标</w:t>
            </w:r>
          </w:p>
        </w:tc>
        <w:tc>
          <w:tcPr>
            <w:tcW w:w="830" w:type="pct"/>
            <w:vAlign w:val="center"/>
          </w:tcPr>
          <w:p w14:paraId="7F4A2B18">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平均浓度（</w:t>
            </w:r>
            <w:r>
              <w:rPr>
                <w:b/>
                <w:bCs/>
                <w:color w:val="000000" w:themeColor="text1"/>
                <w:szCs w:val="21"/>
                <w14:textFill>
                  <w14:solidFill>
                    <w14:schemeClr w14:val="tx1"/>
                  </w14:solidFill>
                </w14:textFill>
              </w:rPr>
              <w:t>μg/m</w:t>
            </w:r>
            <w:r>
              <w:rPr>
                <w:b/>
                <w:bCs/>
                <w:color w:val="000000" w:themeColor="text1"/>
                <w:szCs w:val="21"/>
                <w:vertAlign w:val="superscript"/>
                <w14:textFill>
                  <w14:solidFill>
                    <w14:schemeClr w14:val="tx1"/>
                  </w14:solidFill>
                </w14:textFill>
              </w:rPr>
              <w:t>3</w:t>
            </w:r>
            <w:r>
              <w:rPr>
                <w:b/>
                <w:color w:val="000000" w:themeColor="text1"/>
                <w:szCs w:val="21"/>
                <w14:textFill>
                  <w14:solidFill>
                    <w14:schemeClr w14:val="tx1"/>
                  </w14:solidFill>
                </w14:textFill>
              </w:rPr>
              <w:t>）</w:t>
            </w:r>
          </w:p>
        </w:tc>
        <w:tc>
          <w:tcPr>
            <w:tcW w:w="972" w:type="pct"/>
            <w:vAlign w:val="center"/>
          </w:tcPr>
          <w:p w14:paraId="5B6444CF">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标准值（</w:t>
            </w:r>
            <w:r>
              <w:rPr>
                <w:b/>
                <w:bCs/>
                <w:color w:val="000000" w:themeColor="text1"/>
                <w:szCs w:val="21"/>
                <w14:textFill>
                  <w14:solidFill>
                    <w14:schemeClr w14:val="tx1"/>
                  </w14:solidFill>
                </w14:textFill>
              </w:rPr>
              <w:t>μg/m</w:t>
            </w:r>
            <w:r>
              <w:rPr>
                <w:b/>
                <w:bCs/>
                <w:color w:val="000000" w:themeColor="text1"/>
                <w:szCs w:val="21"/>
                <w:vertAlign w:val="superscript"/>
                <w14:textFill>
                  <w14:solidFill>
                    <w14:schemeClr w14:val="tx1"/>
                  </w14:solidFill>
                </w14:textFill>
              </w:rPr>
              <w:t>3</w:t>
            </w:r>
            <w:r>
              <w:rPr>
                <w:b/>
                <w:color w:val="000000" w:themeColor="text1"/>
                <w:szCs w:val="21"/>
                <w14:textFill>
                  <w14:solidFill>
                    <w14:schemeClr w14:val="tx1"/>
                  </w14:solidFill>
                </w14:textFill>
              </w:rPr>
              <w:t>）</w:t>
            </w:r>
          </w:p>
        </w:tc>
        <w:tc>
          <w:tcPr>
            <w:tcW w:w="724" w:type="pct"/>
            <w:vAlign w:val="center"/>
          </w:tcPr>
          <w:p w14:paraId="30B0943D">
            <w:pPr>
              <w:jc w:val="center"/>
              <w:rPr>
                <w:b/>
                <w:color w:val="000000" w:themeColor="text1"/>
                <w:szCs w:val="21"/>
                <w14:textFill>
                  <w14:solidFill>
                    <w14:schemeClr w14:val="tx1"/>
                  </w14:solidFill>
                </w14:textFill>
              </w:rPr>
            </w:pPr>
            <w:r>
              <w:rPr>
                <w:b/>
                <w:bCs/>
                <w:color w:val="000000" w:themeColor="text1"/>
                <w:szCs w:val="21"/>
                <w14:textFill>
                  <w14:solidFill>
                    <w14:schemeClr w14:val="tx1"/>
                  </w14:solidFill>
                </w14:textFill>
              </w:rPr>
              <w:t>Pi</w:t>
            </w:r>
          </w:p>
        </w:tc>
        <w:tc>
          <w:tcPr>
            <w:tcW w:w="648" w:type="pct"/>
            <w:tcBorders>
              <w:right w:val="nil"/>
            </w:tcBorders>
            <w:vAlign w:val="center"/>
          </w:tcPr>
          <w:p w14:paraId="0133B63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达标情况</w:t>
            </w:r>
          </w:p>
        </w:tc>
      </w:tr>
      <w:tr w14:paraId="216CD4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95" w:type="pct"/>
            <w:tcBorders>
              <w:left w:val="nil"/>
            </w:tcBorders>
            <w:vAlign w:val="center"/>
          </w:tcPr>
          <w:p w14:paraId="1A82EE0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10</w:t>
            </w:r>
          </w:p>
        </w:tc>
        <w:tc>
          <w:tcPr>
            <w:tcW w:w="1228" w:type="pct"/>
            <w:vAlign w:val="center"/>
          </w:tcPr>
          <w:p w14:paraId="2BF2E13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830" w:type="pct"/>
            <w:vAlign w:val="center"/>
          </w:tcPr>
          <w:p w14:paraId="1FB767F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40.3</w:t>
            </w:r>
          </w:p>
        </w:tc>
        <w:tc>
          <w:tcPr>
            <w:tcW w:w="972" w:type="pct"/>
            <w:vAlign w:val="center"/>
          </w:tcPr>
          <w:p w14:paraId="5A1CCFF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70</w:t>
            </w:r>
          </w:p>
        </w:tc>
        <w:tc>
          <w:tcPr>
            <w:tcW w:w="724" w:type="pct"/>
            <w:vAlign w:val="center"/>
          </w:tcPr>
          <w:p w14:paraId="1E63110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57.57</w:t>
            </w:r>
          </w:p>
        </w:tc>
        <w:tc>
          <w:tcPr>
            <w:tcW w:w="648" w:type="pct"/>
            <w:tcBorders>
              <w:right w:val="nil"/>
            </w:tcBorders>
            <w:vAlign w:val="center"/>
          </w:tcPr>
          <w:p w14:paraId="5990C1E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r w14:paraId="5346A6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595" w:type="pct"/>
            <w:tcBorders>
              <w:left w:val="nil"/>
            </w:tcBorders>
            <w:vAlign w:val="center"/>
          </w:tcPr>
          <w:p w14:paraId="672E7FA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PM</w:t>
            </w:r>
            <w:r>
              <w:rPr>
                <w:color w:val="000000" w:themeColor="text1"/>
                <w:szCs w:val="21"/>
                <w:vertAlign w:val="subscript"/>
                <w14:textFill>
                  <w14:solidFill>
                    <w14:schemeClr w14:val="tx1"/>
                  </w14:solidFill>
                </w14:textFill>
              </w:rPr>
              <w:t>2.5</w:t>
            </w:r>
          </w:p>
        </w:tc>
        <w:tc>
          <w:tcPr>
            <w:tcW w:w="1228" w:type="pct"/>
            <w:vAlign w:val="center"/>
          </w:tcPr>
          <w:p w14:paraId="7DE4A01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年平均质量浓度</w:t>
            </w:r>
          </w:p>
        </w:tc>
        <w:tc>
          <w:tcPr>
            <w:tcW w:w="830" w:type="pct"/>
            <w:vAlign w:val="center"/>
          </w:tcPr>
          <w:p w14:paraId="46DF15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28.4</w:t>
            </w:r>
          </w:p>
        </w:tc>
        <w:tc>
          <w:tcPr>
            <w:tcW w:w="972" w:type="pct"/>
            <w:vAlign w:val="center"/>
          </w:tcPr>
          <w:p w14:paraId="774CC76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35</w:t>
            </w:r>
          </w:p>
        </w:tc>
        <w:tc>
          <w:tcPr>
            <w:tcW w:w="724" w:type="pct"/>
            <w:vAlign w:val="center"/>
          </w:tcPr>
          <w:p w14:paraId="578BA4E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81.14</w:t>
            </w:r>
          </w:p>
        </w:tc>
        <w:tc>
          <w:tcPr>
            <w:tcW w:w="648" w:type="pct"/>
            <w:tcBorders>
              <w:right w:val="nil"/>
            </w:tcBorders>
            <w:vAlign w:val="center"/>
          </w:tcPr>
          <w:p w14:paraId="2342C32F">
            <w:pPr>
              <w:jc w:val="center"/>
              <w:rPr>
                <w:b/>
                <w:color w:val="000000" w:themeColor="text1"/>
                <w:szCs w:val="21"/>
                <w14:textFill>
                  <w14:solidFill>
                    <w14:schemeClr w14:val="tx1"/>
                  </w14:solidFill>
                </w14:textFill>
              </w:rPr>
            </w:pPr>
            <w:r>
              <w:rPr>
                <w:color w:val="000000" w:themeColor="text1"/>
                <w:szCs w:val="21"/>
                <w14:textFill>
                  <w14:solidFill>
                    <w14:schemeClr w14:val="tx1"/>
                  </w14:solidFill>
                </w14:textFill>
              </w:rPr>
              <w:t>达标</w:t>
            </w:r>
          </w:p>
        </w:tc>
      </w:tr>
    </w:tbl>
    <w:p w14:paraId="58709689">
      <w:pPr>
        <w:adjustRightInd w:val="0"/>
        <w:snapToGrid w:val="0"/>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因此，项目所在区域属于达标区。</w:t>
      </w:r>
    </w:p>
    <w:p w14:paraId="724BF6C2">
      <w:pPr>
        <w:adjustRightInd w:val="0"/>
        <w:snapToGrid w:val="0"/>
        <w:spacing w:line="360" w:lineRule="auto"/>
        <w:jc w:val="both"/>
        <w:rPr>
          <w:b/>
          <w:color w:val="000000" w:themeColor="text1"/>
          <w:sz w:val="24"/>
          <w14:textFill>
            <w14:solidFill>
              <w14:schemeClr w14:val="tx1"/>
            </w14:solidFill>
          </w14:textFill>
        </w:rPr>
      </w:pPr>
      <w:bookmarkStart w:id="529" w:name="OLE_LINK41"/>
      <w:bookmarkStart w:id="530" w:name="OLE_LINK42"/>
      <w:r>
        <w:rPr>
          <w:b/>
          <w:color w:val="000000" w:themeColor="text1"/>
          <w:sz w:val="24"/>
          <w14:textFill>
            <w14:solidFill>
              <w14:schemeClr w14:val="tx1"/>
            </w14:solidFill>
          </w14:textFill>
        </w:rPr>
        <w:t>4.2.1.2基本污染物环境质量现状</w:t>
      </w:r>
    </w:p>
    <w:bookmarkEnd w:id="529"/>
    <w:bookmarkEnd w:id="530"/>
    <w:p w14:paraId="67466D61">
      <w:pPr>
        <w:adjustRightInd w:val="0"/>
        <w:snapToGrid w:val="0"/>
        <w:spacing w:line="360" w:lineRule="auto"/>
        <w:ind w:firstLine="480" w:firstLineChars="200"/>
        <w:jc w:val="both"/>
        <w:rPr>
          <w:color w:val="000000" w:themeColor="text1"/>
          <w:sz w:val="24"/>
          <w:highlight w:val="yellow"/>
          <w14:textFill>
            <w14:solidFill>
              <w14:schemeClr w14:val="tx1"/>
            </w14:solidFill>
          </w14:textFill>
        </w:rPr>
      </w:pPr>
      <w:r>
        <w:rPr>
          <w:color w:val="000000" w:themeColor="text1"/>
          <w:sz w:val="24"/>
          <w14:textFill>
            <w14:solidFill>
              <w14:schemeClr w14:val="tx1"/>
            </w14:solidFill>
          </w14:textFill>
        </w:rPr>
        <w:t>本项目基本污染物环境质量现状采用</w:t>
      </w:r>
      <w:r>
        <w:rPr>
          <w:color w:val="000000" w:themeColor="text1"/>
          <w:kern w:val="0"/>
          <w:sz w:val="24"/>
          <w14:textFill>
            <w14:solidFill>
              <w14:schemeClr w14:val="tx1"/>
            </w14:solidFill>
          </w14:textFill>
        </w:rPr>
        <w:t>《2024年巴中市生态环境状况公报》中数据，详见表4.2</w:t>
      </w:r>
      <w:r>
        <w:rPr>
          <w:kern w:val="0"/>
          <w:sz w:val="24"/>
        </w:rPr>
        <w:t>-1</w:t>
      </w:r>
      <w:r>
        <w:rPr>
          <w:sz w:val="24"/>
        </w:rPr>
        <w:t>。</w:t>
      </w:r>
    </w:p>
    <w:bookmarkEnd w:id="525"/>
    <w:p w14:paraId="13DF1AA7">
      <w:pPr>
        <w:adjustRightInd w:val="0"/>
        <w:snapToGrid w:val="0"/>
        <w:spacing w:line="360" w:lineRule="auto"/>
        <w:jc w:val="both"/>
        <w:rPr>
          <w:b/>
          <w:color w:val="000000" w:themeColor="text1"/>
          <w:sz w:val="24"/>
          <w14:textFill>
            <w14:solidFill>
              <w14:schemeClr w14:val="tx1"/>
            </w14:solidFill>
          </w14:textFill>
        </w:rPr>
      </w:pPr>
      <w:bookmarkStart w:id="531" w:name="_Toc645"/>
      <w:r>
        <w:rPr>
          <w:b/>
          <w:color w:val="000000" w:themeColor="text1"/>
          <w:sz w:val="24"/>
          <w14:textFill>
            <w14:solidFill>
              <w14:schemeClr w14:val="tx1"/>
            </w14:solidFill>
          </w14:textFill>
        </w:rPr>
        <w:t>4.2.1.3其他污染物环境质量现状评价</w:t>
      </w:r>
    </w:p>
    <w:p w14:paraId="710E282B">
      <w:pPr>
        <w:adjustRightInd w:val="0"/>
        <w:snapToGrid w:val="0"/>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为了解项目所在区域环境空气质量现状，本项目委托四川锡水金山环保科技有限公司对本项目产生的特征污染因子TSP、氨、硫化氢、臭气浓度进行了补充监测。</w:t>
      </w:r>
    </w:p>
    <w:p w14:paraId="4727FFF8">
      <w:pPr>
        <w:adjustRightInd w:val="0"/>
        <w:snapToGrid w:val="0"/>
        <w:spacing w:line="360" w:lineRule="auto"/>
        <w:ind w:firstLine="482" w:firstLineChars="200"/>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1、</w:t>
      </w:r>
      <w:bookmarkEnd w:id="526"/>
      <w:bookmarkEnd w:id="531"/>
      <w:r>
        <w:rPr>
          <w:b/>
          <w:color w:val="000000" w:themeColor="text1"/>
          <w:sz w:val="24"/>
          <w14:textFill>
            <w14:solidFill>
              <w14:schemeClr w14:val="tx1"/>
            </w14:solidFill>
          </w14:textFill>
        </w:rPr>
        <w:t>其他污染物现状补充监测</w:t>
      </w:r>
    </w:p>
    <w:p w14:paraId="64939ACB">
      <w:pPr>
        <w:adjustRightInd w:val="0"/>
        <w:snapToGrid w:val="0"/>
        <w:spacing w:line="360" w:lineRule="auto"/>
        <w:ind w:firstLine="482" w:firstLineChars="200"/>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（1）监测点位</w:t>
      </w:r>
    </w:p>
    <w:p w14:paraId="0DA64573">
      <w:pPr>
        <w:adjustRightInd w:val="0"/>
        <w:snapToGrid w:val="0"/>
        <w:spacing w:line="360" w:lineRule="auto"/>
        <w:ind w:firstLine="480" w:firstLineChars="200"/>
        <w:jc w:val="both"/>
        <w:rPr>
          <w:bCs/>
          <w:color w:val="000000" w:themeColor="text1"/>
          <w:sz w:val="24"/>
          <w14:textFill>
            <w14:solidFill>
              <w14:schemeClr w14:val="tx1"/>
            </w14:solidFill>
          </w14:textFill>
        </w:rPr>
      </w:pPr>
      <w:bookmarkStart w:id="532" w:name="_Toc165282369"/>
      <w:bookmarkStart w:id="533" w:name="_Toc169581130"/>
      <w:r>
        <w:rPr>
          <w:bCs/>
          <w:color w:val="000000" w:themeColor="text1"/>
          <w:sz w:val="24"/>
          <w14:textFill>
            <w14:solidFill>
              <w14:schemeClr w14:val="tx1"/>
            </w14:solidFill>
          </w14:textFill>
        </w:rPr>
        <w:t>本次环评共设环境空气监测点2个，监测点位设置情况见下表。</w:t>
      </w:r>
    </w:p>
    <w:p w14:paraId="3EC30F3D">
      <w:pPr>
        <w:widowControl w:val="0"/>
        <w:numPr>
          <w:ilvl w:val="0"/>
          <w:numId w:val="29"/>
        </w:numPr>
        <w:adjustRightInd w:val="0"/>
        <w:snapToGrid w:val="0"/>
        <w:spacing w:line="360" w:lineRule="auto"/>
        <w:jc w:val="center"/>
      </w:pPr>
      <w:r>
        <w:t>其他污染物补充监测点位位置</w:t>
      </w:r>
    </w:p>
    <w:tbl>
      <w:tblPr>
        <w:tblStyle w:val="8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3"/>
        <w:gridCol w:w="3546"/>
        <w:gridCol w:w="3571"/>
      </w:tblGrid>
      <w:tr w14:paraId="40E9EC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0" w:type="dxa"/>
            <w:vAlign w:val="center"/>
          </w:tcPr>
          <w:p w14:paraId="5C2C756B">
            <w:pPr>
              <w:jc w:val="center"/>
              <w:rPr>
                <w:b/>
              </w:rPr>
            </w:pPr>
            <w:r>
              <w:rPr>
                <w:b/>
              </w:rPr>
              <w:t>编号</w:t>
            </w:r>
          </w:p>
        </w:tc>
        <w:tc>
          <w:tcPr>
            <w:tcW w:w="4019" w:type="dxa"/>
            <w:vAlign w:val="center"/>
          </w:tcPr>
          <w:p w14:paraId="30A1770B">
            <w:pPr>
              <w:jc w:val="center"/>
              <w:rPr>
                <w:b/>
              </w:rPr>
            </w:pPr>
            <w:r>
              <w:rPr>
                <w:b/>
              </w:rPr>
              <w:t>监测点位</w:t>
            </w:r>
          </w:p>
        </w:tc>
        <w:tc>
          <w:tcPr>
            <w:tcW w:w="4015" w:type="dxa"/>
            <w:vAlign w:val="center"/>
          </w:tcPr>
          <w:p w14:paraId="3D60AD6C">
            <w:pPr>
              <w:jc w:val="center"/>
              <w:rPr>
                <w:b/>
              </w:rPr>
            </w:pPr>
            <w:r>
              <w:rPr>
                <w:b/>
              </w:rPr>
              <w:t>备注（点位地理坐标及其他特征信息）</w:t>
            </w:r>
          </w:p>
        </w:tc>
      </w:tr>
      <w:tr w14:paraId="6D114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0" w:type="dxa"/>
            <w:vAlign w:val="center"/>
          </w:tcPr>
          <w:p w14:paraId="69253277">
            <w:pPr>
              <w:jc w:val="center"/>
              <w:rPr>
                <w:b/>
                <w:bCs/>
              </w:rPr>
            </w:pPr>
            <w:r>
              <w:rPr>
                <w:b/>
                <w:bCs/>
              </w:rPr>
              <w:t>HQ1#</w:t>
            </w:r>
          </w:p>
        </w:tc>
        <w:tc>
          <w:tcPr>
            <w:tcW w:w="4019" w:type="dxa"/>
            <w:vAlign w:val="center"/>
          </w:tcPr>
          <w:p w14:paraId="530DFD7C">
            <w:pPr>
              <w:jc w:val="center"/>
              <w:rPr>
                <w:b/>
                <w:bCs/>
              </w:rPr>
            </w:pPr>
            <w:r>
              <w:rPr>
                <w:color w:val="000000"/>
                <w:szCs w:val="21"/>
              </w:rPr>
              <w:t>白庙</w:t>
            </w:r>
            <w:r>
              <w:rPr>
                <w:rFonts w:hint="eastAsia"/>
                <w:color w:val="000000"/>
                <w:szCs w:val="21"/>
              </w:rPr>
              <w:t>百花村</w:t>
            </w:r>
            <w:r>
              <w:rPr>
                <w:color w:val="000000"/>
                <w:szCs w:val="21"/>
              </w:rPr>
              <w:t>养殖场场内中部</w:t>
            </w:r>
          </w:p>
        </w:tc>
        <w:tc>
          <w:tcPr>
            <w:tcW w:w="4015" w:type="dxa"/>
            <w:vAlign w:val="center"/>
          </w:tcPr>
          <w:p w14:paraId="5AC25A5B">
            <w:pPr>
              <w:jc w:val="center"/>
              <w:rPr>
                <w:b/>
                <w:bCs/>
              </w:rPr>
            </w:pPr>
            <w:r>
              <w:rPr>
                <w:b/>
                <w:bCs/>
              </w:rPr>
              <w:t>/</w:t>
            </w:r>
          </w:p>
        </w:tc>
      </w:tr>
      <w:tr w14:paraId="2CD77A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0" w:type="dxa"/>
            <w:vAlign w:val="center"/>
          </w:tcPr>
          <w:p w14:paraId="4BBECB7F">
            <w:pPr>
              <w:jc w:val="center"/>
              <w:rPr>
                <w:b/>
                <w:bCs/>
              </w:rPr>
            </w:pPr>
            <w:r>
              <w:rPr>
                <w:b/>
                <w:bCs/>
              </w:rPr>
              <w:t>HQ2#</w:t>
            </w:r>
          </w:p>
        </w:tc>
        <w:tc>
          <w:tcPr>
            <w:tcW w:w="4019" w:type="dxa"/>
            <w:vAlign w:val="center"/>
          </w:tcPr>
          <w:p w14:paraId="7191A1DF">
            <w:pPr>
              <w:jc w:val="center"/>
              <w:rPr>
                <w:b/>
                <w:bCs/>
              </w:rPr>
            </w:pPr>
            <w:r>
              <w:rPr>
                <w:color w:val="000000"/>
                <w:szCs w:val="21"/>
              </w:rPr>
              <w:t>曾口镇佛龙村养殖场场内中部</w:t>
            </w:r>
          </w:p>
        </w:tc>
        <w:tc>
          <w:tcPr>
            <w:tcW w:w="4015" w:type="dxa"/>
            <w:vAlign w:val="center"/>
          </w:tcPr>
          <w:p w14:paraId="7AFBE6F0">
            <w:pPr>
              <w:jc w:val="center"/>
              <w:rPr>
                <w:b/>
                <w:bCs/>
              </w:rPr>
            </w:pPr>
            <w:r>
              <w:rPr>
                <w:b/>
                <w:bCs/>
              </w:rPr>
              <w:t>/</w:t>
            </w:r>
          </w:p>
        </w:tc>
      </w:tr>
      <w:tr w14:paraId="453FE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0" w:type="dxa"/>
            <w:vAlign w:val="center"/>
          </w:tcPr>
          <w:p w14:paraId="617032BB">
            <w:pPr>
              <w:jc w:val="center"/>
              <w:rPr>
                <w:b/>
                <w:bCs/>
              </w:rPr>
            </w:pPr>
            <w:r>
              <w:rPr>
                <w:b/>
                <w:bCs/>
              </w:rPr>
              <w:t>HQ3#</w:t>
            </w:r>
          </w:p>
        </w:tc>
        <w:tc>
          <w:tcPr>
            <w:tcW w:w="4019" w:type="dxa"/>
            <w:vAlign w:val="center"/>
          </w:tcPr>
          <w:p w14:paraId="28571CE2">
            <w:pPr>
              <w:jc w:val="center"/>
              <w:rPr>
                <w:b/>
                <w:bCs/>
              </w:rPr>
            </w:pPr>
            <w:r>
              <w:rPr>
                <w:color w:val="000000"/>
                <w:szCs w:val="21"/>
              </w:rPr>
              <w:t>清江镇塘坝村养殖场场内中部</w:t>
            </w:r>
          </w:p>
        </w:tc>
        <w:tc>
          <w:tcPr>
            <w:tcW w:w="4015" w:type="dxa"/>
            <w:vAlign w:val="center"/>
          </w:tcPr>
          <w:p w14:paraId="30FBC1A0">
            <w:pPr>
              <w:jc w:val="center"/>
              <w:rPr>
                <w:b/>
                <w:bCs/>
              </w:rPr>
            </w:pPr>
            <w:r>
              <w:rPr>
                <w:b/>
                <w:bCs/>
              </w:rPr>
              <w:t>/</w:t>
            </w:r>
          </w:p>
        </w:tc>
      </w:tr>
      <w:tr w14:paraId="49CD43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60" w:type="dxa"/>
            <w:vAlign w:val="center"/>
          </w:tcPr>
          <w:p w14:paraId="3EB9002C">
            <w:pPr>
              <w:jc w:val="center"/>
              <w:rPr>
                <w:b/>
                <w:bCs/>
              </w:rPr>
            </w:pPr>
            <w:r>
              <w:rPr>
                <w:b/>
                <w:bCs/>
              </w:rPr>
              <w:t>HQ4#</w:t>
            </w:r>
          </w:p>
        </w:tc>
        <w:tc>
          <w:tcPr>
            <w:tcW w:w="4019" w:type="dxa"/>
            <w:vAlign w:val="center"/>
          </w:tcPr>
          <w:p w14:paraId="5A487A70">
            <w:pPr>
              <w:jc w:val="center"/>
              <w:rPr>
                <w:b/>
                <w:bCs/>
              </w:rPr>
            </w:pPr>
            <w:r>
              <w:rPr>
                <w:color w:val="000000"/>
                <w:szCs w:val="21"/>
              </w:rPr>
              <w:t>水宁寺镇始宁社区养殖场场内中部</w:t>
            </w:r>
          </w:p>
        </w:tc>
        <w:tc>
          <w:tcPr>
            <w:tcW w:w="4015" w:type="dxa"/>
            <w:vAlign w:val="center"/>
          </w:tcPr>
          <w:p w14:paraId="298E0E74">
            <w:pPr>
              <w:jc w:val="center"/>
              <w:rPr>
                <w:b/>
                <w:bCs/>
              </w:rPr>
            </w:pPr>
            <w:r>
              <w:rPr>
                <w:b/>
                <w:bCs/>
              </w:rPr>
              <w:t>/</w:t>
            </w:r>
          </w:p>
        </w:tc>
      </w:tr>
    </w:tbl>
    <w:p w14:paraId="62B5540A">
      <w:pPr>
        <w:adjustRightInd w:val="0"/>
        <w:snapToGrid w:val="0"/>
        <w:spacing w:line="360" w:lineRule="auto"/>
        <w:ind w:firstLine="482" w:firstLineChars="200"/>
        <w:jc w:val="both"/>
        <w:rPr>
          <w:b/>
          <w:color w:val="000000" w:themeColor="text1"/>
          <w:sz w:val="24"/>
          <w14:textFill>
            <w14:solidFill>
              <w14:schemeClr w14:val="tx1"/>
            </w14:solidFill>
          </w14:textFill>
        </w:rPr>
      </w:pPr>
      <w:bookmarkStart w:id="534" w:name="_Toc19172"/>
      <w:r>
        <w:rPr>
          <w:b/>
          <w:color w:val="000000" w:themeColor="text1"/>
          <w:sz w:val="24"/>
          <w14:textFill>
            <w14:solidFill>
              <w14:schemeClr w14:val="tx1"/>
            </w14:solidFill>
          </w14:textFill>
        </w:rPr>
        <w:t>（2）监测因子</w:t>
      </w:r>
      <w:bookmarkEnd w:id="534"/>
    </w:p>
    <w:p w14:paraId="6165E064">
      <w:pPr>
        <w:adjustRightInd w:val="0"/>
        <w:snapToGrid w:val="0"/>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TSP（总悬浮颗粒物）、氨、硫化氢、臭气浓度，其中TSP采样监测24小时均值；氨、硫化氢分别在4个时段采样监测1小时均值；臭气浓度每天采样4次，分别监测4次采样的浓度值。连续监测7天。</w:t>
      </w:r>
    </w:p>
    <w:p w14:paraId="1C5E5796">
      <w:pPr>
        <w:adjustRightInd w:val="0"/>
        <w:snapToGrid w:val="0"/>
        <w:spacing w:line="360" w:lineRule="auto"/>
        <w:ind w:firstLine="482" w:firstLineChars="200"/>
        <w:jc w:val="both"/>
        <w:rPr>
          <w:b/>
          <w:color w:val="000000" w:themeColor="text1"/>
          <w:sz w:val="24"/>
          <w14:textFill>
            <w14:solidFill>
              <w14:schemeClr w14:val="tx1"/>
            </w14:solidFill>
          </w14:textFill>
        </w:rPr>
      </w:pPr>
      <w:bookmarkStart w:id="535" w:name="_Toc16397"/>
      <w:r>
        <w:rPr>
          <w:b/>
          <w:color w:val="000000" w:themeColor="text1"/>
          <w:sz w:val="24"/>
          <w14:textFill>
            <w14:solidFill>
              <w14:schemeClr w14:val="tx1"/>
            </w14:solidFill>
          </w14:textFill>
        </w:rPr>
        <w:t>（3）监测</w:t>
      </w:r>
      <w:bookmarkEnd w:id="535"/>
      <w:r>
        <w:rPr>
          <w:b/>
          <w:color w:val="000000" w:themeColor="text1"/>
          <w:sz w:val="24"/>
          <w14:textFill>
            <w14:solidFill>
              <w14:schemeClr w14:val="tx1"/>
            </w14:solidFill>
          </w14:textFill>
        </w:rPr>
        <w:t>时间</w:t>
      </w:r>
    </w:p>
    <w:p w14:paraId="6A52E79D">
      <w:pPr>
        <w:adjustRightInd w:val="0"/>
        <w:snapToGrid w:val="0"/>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2026年3月15日~2026年3月29日，所有监测因子均连续监测7天。</w:t>
      </w:r>
    </w:p>
    <w:p w14:paraId="098C4EE0">
      <w:pPr>
        <w:adjustRightInd w:val="0"/>
        <w:snapToGrid w:val="0"/>
        <w:spacing w:line="360" w:lineRule="auto"/>
        <w:ind w:firstLine="482" w:firstLineChars="200"/>
        <w:jc w:val="both"/>
        <w:rPr>
          <w:b/>
          <w:color w:val="000000" w:themeColor="text1"/>
          <w:sz w:val="24"/>
          <w14:textFill>
            <w14:solidFill>
              <w14:schemeClr w14:val="tx1"/>
            </w14:solidFill>
          </w14:textFill>
        </w:rPr>
      </w:pPr>
      <w:bookmarkStart w:id="536" w:name="_Toc25655"/>
      <w:r>
        <w:rPr>
          <w:b/>
          <w:color w:val="000000" w:themeColor="text1"/>
          <w:sz w:val="24"/>
          <w14:textFill>
            <w14:solidFill>
              <w14:schemeClr w14:val="tx1"/>
            </w14:solidFill>
          </w14:textFill>
        </w:rPr>
        <w:t>（4）监测结果</w:t>
      </w:r>
      <w:bookmarkEnd w:id="536"/>
    </w:p>
    <w:p w14:paraId="66BA9CDF">
      <w:pPr>
        <w:adjustRightInd w:val="0"/>
        <w:snapToGrid w:val="0"/>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区域环境空气质量现状补充监测结果见附件检测报告（锡环检字（2026）第0311601号）。</w:t>
      </w:r>
    </w:p>
    <w:p w14:paraId="20210B61">
      <w:pPr>
        <w:adjustRightInd w:val="0"/>
        <w:snapToGrid w:val="0"/>
        <w:spacing w:line="360" w:lineRule="auto"/>
        <w:ind w:firstLine="482" w:firstLineChars="200"/>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2、其他污染物现状评价</w:t>
      </w:r>
    </w:p>
    <w:p w14:paraId="2EBE3F16">
      <w:pPr>
        <w:adjustRightInd w:val="0"/>
        <w:snapToGrid w:val="0"/>
        <w:spacing w:line="360" w:lineRule="auto"/>
        <w:ind w:firstLine="480" w:firstLineChars="200"/>
        <w:jc w:val="both"/>
        <w:rPr>
          <w:bCs/>
          <w:color w:val="000000" w:themeColor="text1"/>
          <w:sz w:val="24"/>
          <w14:textFill>
            <w14:solidFill>
              <w14:schemeClr w14:val="tx1"/>
            </w14:solidFill>
          </w14:textFill>
        </w:rPr>
      </w:pPr>
      <w:bookmarkStart w:id="537" w:name="_Toc27853"/>
      <w:r>
        <w:rPr>
          <w:bCs/>
          <w:color w:val="000000" w:themeColor="text1"/>
          <w:sz w:val="24"/>
          <w14:textFill>
            <w14:solidFill>
              <w14:schemeClr w14:val="tx1"/>
            </w14:solidFill>
          </w14:textFill>
        </w:rPr>
        <w:t>（1）评价因子</w:t>
      </w:r>
      <w:bookmarkEnd w:id="537"/>
    </w:p>
    <w:p w14:paraId="53870755">
      <w:pPr>
        <w:adjustRightInd w:val="0"/>
        <w:snapToGrid w:val="0"/>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TSP、硫化氢、氨、臭气浓度。</w:t>
      </w:r>
    </w:p>
    <w:p w14:paraId="7E3127A2">
      <w:pPr>
        <w:adjustRightInd w:val="0"/>
        <w:snapToGrid w:val="0"/>
        <w:spacing w:line="360" w:lineRule="auto"/>
        <w:ind w:firstLine="480" w:firstLineChars="200"/>
        <w:jc w:val="both"/>
        <w:rPr>
          <w:bCs/>
          <w:color w:val="000000" w:themeColor="text1"/>
          <w:sz w:val="24"/>
          <w14:textFill>
            <w14:solidFill>
              <w14:schemeClr w14:val="tx1"/>
            </w14:solidFill>
          </w14:textFill>
        </w:rPr>
      </w:pPr>
      <w:bookmarkStart w:id="538" w:name="_Toc8341"/>
      <w:r>
        <w:rPr>
          <w:bCs/>
          <w:color w:val="000000" w:themeColor="text1"/>
          <w:sz w:val="24"/>
          <w14:textFill>
            <w14:solidFill>
              <w14:schemeClr w14:val="tx1"/>
            </w14:solidFill>
          </w14:textFill>
        </w:rPr>
        <w:t>（2）评价标准</w:t>
      </w:r>
      <w:bookmarkEnd w:id="538"/>
    </w:p>
    <w:p w14:paraId="3ECA774D">
      <w:pPr>
        <w:spacing w:line="360" w:lineRule="auto"/>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TSP执行《环境空气质量标准》（GB3095-2026）表2中二级标准，硫化氢、氨执行《环境影响评价技术导则 大气导则》（HJ2.2-2018）附录D中相关限值，</w:t>
      </w:r>
      <w:r>
        <w:rPr>
          <w:color w:val="000000" w:themeColor="text1"/>
          <w:sz w:val="24"/>
          <w14:textFill>
            <w14:solidFill>
              <w14:schemeClr w14:val="tx1"/>
            </w14:solidFill>
          </w14:textFill>
        </w:rPr>
        <w:t>臭气浓度现状值仅作为背景值使用。</w:t>
      </w:r>
    </w:p>
    <w:p w14:paraId="784F8BC7">
      <w:pPr>
        <w:adjustRightInd w:val="0"/>
        <w:snapToGrid w:val="0"/>
        <w:spacing w:line="360" w:lineRule="auto"/>
        <w:ind w:firstLine="480" w:firstLineChars="200"/>
        <w:jc w:val="both"/>
        <w:rPr>
          <w:bCs/>
          <w:color w:val="000000" w:themeColor="text1"/>
          <w:sz w:val="24"/>
          <w14:textFill>
            <w14:solidFill>
              <w14:schemeClr w14:val="tx1"/>
            </w14:solidFill>
          </w14:textFill>
        </w:rPr>
      </w:pPr>
      <w:bookmarkStart w:id="539" w:name="_Toc5958"/>
      <w:r>
        <w:rPr>
          <w:bCs/>
          <w:color w:val="000000" w:themeColor="text1"/>
          <w:sz w:val="24"/>
          <w14:textFill>
            <w14:solidFill>
              <w14:schemeClr w14:val="tx1"/>
            </w14:solidFill>
          </w14:textFill>
        </w:rPr>
        <w:t>（3）评价方法</w:t>
      </w:r>
      <w:bookmarkEnd w:id="539"/>
    </w:p>
    <w:p w14:paraId="1EB24416">
      <w:pPr>
        <w:adjustRightInd w:val="0"/>
        <w:snapToGrid w:val="0"/>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采用单项质量指数法，公式为：</w:t>
      </w:r>
    </w:p>
    <w:p w14:paraId="37EABDF5">
      <w:pPr>
        <w:adjustRightInd w:val="0"/>
        <w:snapToGrid w:val="0"/>
        <w:spacing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drawing>
          <wp:inline distT="0" distB="0" distL="114300" distR="114300">
            <wp:extent cx="638175" cy="228600"/>
            <wp:effectExtent l="0" t="0" r="9525" b="0"/>
            <wp:docPr id="2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0"/>
                    <pic:cNvPicPr>
                      <a:picLocks noChangeAspect="1"/>
                    </pic:cNvPicPr>
                  </pic:nvPicPr>
                  <pic:blipFill>
                    <a:blip r:embed="rId67"/>
                    <a:stretch>
                      <a:fillRect/>
                    </a:stretch>
                  </pic:blipFill>
                  <pic:spPr>
                    <a:xfrm>
                      <a:off x="0" y="0"/>
                      <a:ext cx="638175" cy="228600"/>
                    </a:xfrm>
                    <a:prstGeom prst="rect">
                      <a:avLst/>
                    </a:prstGeom>
                    <a:noFill/>
                    <a:ln>
                      <a:noFill/>
                    </a:ln>
                  </pic:spPr>
                </pic:pic>
              </a:graphicData>
            </a:graphic>
          </wp:inline>
        </w:drawing>
      </w:r>
    </w:p>
    <w:p w14:paraId="43864229">
      <w:pPr>
        <w:adjustRightInd w:val="0"/>
        <w:snapToGrid w:val="0"/>
        <w:spacing w:line="360" w:lineRule="auto"/>
        <w:ind w:firstLine="1274" w:firstLineChars="531"/>
        <w:rPr>
          <w:color w:val="000000" w:themeColor="text1"/>
          <w:sz w:val="24"/>
          <w14:textFill>
            <w14:solidFill>
              <w14:schemeClr w14:val="tx1"/>
            </w14:solidFill>
          </w14:textFill>
        </w:rPr>
      </w:pPr>
      <w:r>
        <w:rPr>
          <w:color w:val="000000" w:themeColor="text1"/>
          <w:sz w:val="24"/>
          <w14:textFill>
            <w14:solidFill>
              <w14:schemeClr w14:val="tx1"/>
            </w14:solidFill>
          </w14:textFill>
        </w:rPr>
        <w:t>式中：P</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——i种污染物的单项指数；</w:t>
      </w:r>
    </w:p>
    <w:p w14:paraId="10A4F6CA">
      <w:pPr>
        <w:adjustRightInd w:val="0"/>
        <w:snapToGrid w:val="0"/>
        <w:spacing w:line="360" w:lineRule="auto"/>
        <w:ind w:firstLine="1984" w:firstLineChars="827"/>
        <w:rPr>
          <w:color w:val="000000" w:themeColor="text1"/>
          <w:sz w:val="24"/>
          <w14:textFill>
            <w14:solidFill>
              <w14:schemeClr w14:val="tx1"/>
            </w14:solidFill>
          </w14:textFill>
        </w:rPr>
      </w:pPr>
      <w:r>
        <w:rPr>
          <w:color w:val="000000" w:themeColor="text1"/>
          <w:sz w:val="24"/>
          <w14:textFill>
            <w14:solidFill>
              <w14:schemeClr w14:val="tx1"/>
            </w14:solidFill>
          </w14:textFill>
        </w:rPr>
        <w:t>C</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——i种污染物的实测浓度（mg/Nm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p>
    <w:p w14:paraId="239C5955">
      <w:pPr>
        <w:adjustRightInd w:val="0"/>
        <w:snapToGrid w:val="0"/>
        <w:spacing w:line="360" w:lineRule="auto"/>
        <w:ind w:firstLine="1984" w:firstLineChars="827"/>
        <w:rPr>
          <w:color w:val="000000" w:themeColor="text1"/>
          <w:sz w:val="24"/>
          <w14:textFill>
            <w14:solidFill>
              <w14:schemeClr w14:val="tx1"/>
            </w14:solidFill>
          </w14:textFill>
        </w:rPr>
      </w:pPr>
      <w:r>
        <w:rPr>
          <w:color w:val="000000" w:themeColor="text1"/>
          <w:sz w:val="24"/>
          <w14:textFill>
            <w14:solidFill>
              <w14:schemeClr w14:val="tx1"/>
            </w14:solidFill>
          </w14:textFill>
        </w:rPr>
        <w:t>S</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——i种污染物的评价标准（mg/Nm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p>
    <w:p w14:paraId="401BE354">
      <w:pPr>
        <w:adjustRightInd w:val="0"/>
        <w:snapToGrid w:val="0"/>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当Pi值大于1.0时，表明大气环境已受到该项评价因子所表征的污染物的污染。Pi值越大，受污染程度越重；Pi值越小，受污染程度越轻。</w:t>
      </w:r>
    </w:p>
    <w:p w14:paraId="08ECD201">
      <w:pPr>
        <w:adjustRightInd w:val="0"/>
        <w:snapToGrid w:val="0"/>
        <w:spacing w:line="360" w:lineRule="auto"/>
        <w:ind w:firstLine="480" w:firstLineChars="200"/>
        <w:jc w:val="both"/>
        <w:rPr>
          <w:bCs/>
          <w:color w:val="000000" w:themeColor="text1"/>
          <w:sz w:val="24"/>
          <w14:textFill>
            <w14:solidFill>
              <w14:schemeClr w14:val="tx1"/>
            </w14:solidFill>
          </w14:textFill>
        </w:rPr>
      </w:pPr>
      <w:bookmarkStart w:id="540" w:name="_Toc27527"/>
      <w:r>
        <w:rPr>
          <w:bCs/>
          <w:color w:val="000000" w:themeColor="text1"/>
          <w:sz w:val="24"/>
          <w14:textFill>
            <w14:solidFill>
              <w14:schemeClr w14:val="tx1"/>
            </w14:solidFill>
          </w14:textFill>
        </w:rPr>
        <w:t>（4）评价结果</w:t>
      </w:r>
      <w:bookmarkEnd w:id="540"/>
    </w:p>
    <w:p w14:paraId="00412498">
      <w:pPr>
        <w:adjustRightInd w:val="0"/>
        <w:snapToGrid w:val="0"/>
        <w:spacing w:line="360" w:lineRule="auto"/>
        <w:ind w:firstLine="480" w:firstLineChars="200"/>
        <w:jc w:val="both"/>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区域环境空气其他污染物现状评价结果见下表。</w:t>
      </w:r>
    </w:p>
    <w:p w14:paraId="5E257F7C">
      <w:pPr>
        <w:widowControl w:val="0"/>
        <w:numPr>
          <w:ilvl w:val="0"/>
          <w:numId w:val="29"/>
        </w:numPr>
        <w:adjustRightInd w:val="0"/>
        <w:snapToGrid w:val="0"/>
        <w:spacing w:line="360" w:lineRule="auto"/>
        <w:jc w:val="center"/>
      </w:pPr>
      <w:r>
        <w:t>其他污染物现状评价结果</w:t>
      </w:r>
    </w:p>
    <w:tbl>
      <w:tblPr>
        <w:tblStyle w:val="8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800"/>
        <w:gridCol w:w="805"/>
        <w:gridCol w:w="1197"/>
        <w:gridCol w:w="1475"/>
        <w:gridCol w:w="1174"/>
        <w:gridCol w:w="1122"/>
        <w:gridCol w:w="941"/>
      </w:tblGrid>
      <w:tr w14:paraId="613181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5F988E97">
            <w:pPr>
              <w:widowControl w:val="0"/>
              <w:jc w:val="center"/>
              <w:rPr>
                <w:szCs w:val="21"/>
              </w:rPr>
            </w:pPr>
            <w:r>
              <w:rPr>
                <w:szCs w:val="21"/>
              </w:rPr>
              <w:t>监测点位</w:t>
            </w:r>
          </w:p>
        </w:tc>
        <w:tc>
          <w:tcPr>
            <w:tcW w:w="481" w:type="pct"/>
            <w:vAlign w:val="center"/>
          </w:tcPr>
          <w:p w14:paraId="7AA31736">
            <w:pPr>
              <w:widowControl w:val="0"/>
              <w:jc w:val="center"/>
              <w:rPr>
                <w:szCs w:val="21"/>
              </w:rPr>
            </w:pPr>
            <w:r>
              <w:rPr>
                <w:szCs w:val="21"/>
              </w:rPr>
              <w:t>污染因子</w:t>
            </w:r>
          </w:p>
        </w:tc>
        <w:tc>
          <w:tcPr>
            <w:tcW w:w="484" w:type="pct"/>
            <w:vAlign w:val="center"/>
          </w:tcPr>
          <w:p w14:paraId="5DBE6315">
            <w:pPr>
              <w:widowControl w:val="0"/>
              <w:jc w:val="center"/>
              <w:rPr>
                <w:szCs w:val="21"/>
              </w:rPr>
            </w:pPr>
            <w:r>
              <w:rPr>
                <w:szCs w:val="21"/>
              </w:rPr>
              <w:t>平均时间</w:t>
            </w:r>
          </w:p>
        </w:tc>
        <w:tc>
          <w:tcPr>
            <w:tcW w:w="720" w:type="pct"/>
            <w:vAlign w:val="center"/>
          </w:tcPr>
          <w:p w14:paraId="6BEC0F31">
            <w:pPr>
              <w:widowControl w:val="0"/>
              <w:jc w:val="center"/>
              <w:rPr>
                <w:szCs w:val="21"/>
              </w:rPr>
            </w:pPr>
            <w:r>
              <w:rPr>
                <w:szCs w:val="21"/>
              </w:rPr>
              <w:t>评价标准（mg/m</w:t>
            </w:r>
            <w:r>
              <w:rPr>
                <w:szCs w:val="21"/>
                <w:vertAlign w:val="superscript"/>
              </w:rPr>
              <w:t>3</w:t>
            </w:r>
            <w:r>
              <w:rPr>
                <w:szCs w:val="21"/>
              </w:rPr>
              <w:t>）</w:t>
            </w:r>
          </w:p>
        </w:tc>
        <w:tc>
          <w:tcPr>
            <w:tcW w:w="887" w:type="pct"/>
            <w:vAlign w:val="center"/>
          </w:tcPr>
          <w:p w14:paraId="5A0FC096">
            <w:pPr>
              <w:widowControl w:val="0"/>
              <w:jc w:val="center"/>
              <w:rPr>
                <w:szCs w:val="21"/>
              </w:rPr>
            </w:pPr>
            <w:r>
              <w:rPr>
                <w:szCs w:val="21"/>
              </w:rPr>
              <w:t>监测浓度范围（mg/m</w:t>
            </w:r>
            <w:r>
              <w:rPr>
                <w:szCs w:val="21"/>
                <w:vertAlign w:val="superscript"/>
              </w:rPr>
              <w:t>3</w:t>
            </w:r>
            <w:r>
              <w:rPr>
                <w:szCs w:val="21"/>
              </w:rPr>
              <w:t>）</w:t>
            </w:r>
          </w:p>
        </w:tc>
        <w:tc>
          <w:tcPr>
            <w:tcW w:w="706" w:type="pct"/>
            <w:vAlign w:val="center"/>
          </w:tcPr>
          <w:p w14:paraId="295C2903">
            <w:pPr>
              <w:widowControl w:val="0"/>
              <w:jc w:val="center"/>
              <w:rPr>
                <w:szCs w:val="21"/>
              </w:rPr>
            </w:pPr>
            <w:r>
              <w:rPr>
                <w:szCs w:val="21"/>
              </w:rPr>
              <w:t>最大标准指数（Pimax）</w:t>
            </w:r>
          </w:p>
        </w:tc>
        <w:tc>
          <w:tcPr>
            <w:tcW w:w="675" w:type="pct"/>
            <w:vAlign w:val="center"/>
          </w:tcPr>
          <w:p w14:paraId="4F9E2EDB">
            <w:pPr>
              <w:widowControl w:val="0"/>
              <w:jc w:val="center"/>
              <w:rPr>
                <w:szCs w:val="21"/>
              </w:rPr>
            </w:pPr>
            <w:r>
              <w:rPr>
                <w:szCs w:val="21"/>
              </w:rPr>
              <w:t>超标率（%）</w:t>
            </w:r>
          </w:p>
        </w:tc>
        <w:tc>
          <w:tcPr>
            <w:tcW w:w="566" w:type="pct"/>
            <w:vAlign w:val="center"/>
          </w:tcPr>
          <w:p w14:paraId="02786E70">
            <w:pPr>
              <w:widowControl w:val="0"/>
              <w:jc w:val="center"/>
              <w:rPr>
                <w:szCs w:val="21"/>
              </w:rPr>
            </w:pPr>
            <w:r>
              <w:rPr>
                <w:szCs w:val="21"/>
              </w:rPr>
              <w:t>达标情况</w:t>
            </w:r>
          </w:p>
        </w:tc>
      </w:tr>
      <w:tr w14:paraId="0BB9EE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43374CF0">
            <w:pPr>
              <w:widowControl w:val="0"/>
              <w:jc w:val="center"/>
              <w:rPr>
                <w:bCs/>
                <w:szCs w:val="21"/>
              </w:rPr>
            </w:pPr>
            <w:r>
              <w:rPr>
                <w:bCs/>
                <w:szCs w:val="21"/>
              </w:rPr>
              <w:t>HQ1#</w:t>
            </w:r>
          </w:p>
        </w:tc>
        <w:tc>
          <w:tcPr>
            <w:tcW w:w="481" w:type="pct"/>
            <w:vMerge w:val="restart"/>
            <w:vAlign w:val="center"/>
          </w:tcPr>
          <w:p w14:paraId="3B8F6CE1">
            <w:pPr>
              <w:widowControl w:val="0"/>
              <w:jc w:val="center"/>
              <w:rPr>
                <w:bCs/>
                <w:szCs w:val="21"/>
              </w:rPr>
            </w:pPr>
            <w:r>
              <w:rPr>
                <w:bCs/>
                <w:szCs w:val="21"/>
              </w:rPr>
              <w:t>TSP</w:t>
            </w:r>
          </w:p>
        </w:tc>
        <w:tc>
          <w:tcPr>
            <w:tcW w:w="484" w:type="pct"/>
            <w:vMerge w:val="restart"/>
            <w:vAlign w:val="center"/>
          </w:tcPr>
          <w:p w14:paraId="0850B77A">
            <w:pPr>
              <w:widowControl w:val="0"/>
              <w:jc w:val="center"/>
              <w:rPr>
                <w:bCs/>
                <w:szCs w:val="21"/>
              </w:rPr>
            </w:pPr>
            <w:r>
              <w:rPr>
                <w:bCs/>
                <w:szCs w:val="21"/>
              </w:rPr>
              <w:t>24h平均</w:t>
            </w:r>
          </w:p>
        </w:tc>
        <w:tc>
          <w:tcPr>
            <w:tcW w:w="720" w:type="pct"/>
            <w:vMerge w:val="restart"/>
            <w:vAlign w:val="center"/>
          </w:tcPr>
          <w:p w14:paraId="1B9B7E97">
            <w:pPr>
              <w:widowControl w:val="0"/>
              <w:jc w:val="center"/>
              <w:rPr>
                <w:bCs/>
                <w:szCs w:val="21"/>
              </w:rPr>
            </w:pPr>
            <w:r>
              <w:rPr>
                <w:bCs/>
                <w:szCs w:val="21"/>
              </w:rPr>
              <w:t>0.300</w:t>
            </w:r>
          </w:p>
        </w:tc>
        <w:tc>
          <w:tcPr>
            <w:tcW w:w="887" w:type="pct"/>
            <w:vAlign w:val="center"/>
          </w:tcPr>
          <w:p w14:paraId="37543455">
            <w:pPr>
              <w:widowControl w:val="0"/>
              <w:jc w:val="center"/>
              <w:rPr>
                <w:bCs/>
                <w:szCs w:val="21"/>
              </w:rPr>
            </w:pPr>
            <w:r>
              <w:rPr>
                <w:bCs/>
                <w:szCs w:val="21"/>
              </w:rPr>
              <w:t>0.101~0.121</w:t>
            </w:r>
          </w:p>
        </w:tc>
        <w:tc>
          <w:tcPr>
            <w:tcW w:w="706" w:type="pct"/>
            <w:vAlign w:val="center"/>
          </w:tcPr>
          <w:p w14:paraId="346873AD">
            <w:pPr>
              <w:widowControl w:val="0"/>
              <w:jc w:val="center"/>
              <w:rPr>
                <w:color w:val="000000"/>
                <w:kern w:val="0"/>
                <w:szCs w:val="21"/>
              </w:rPr>
            </w:pPr>
            <w:r>
              <w:rPr>
                <w:color w:val="000000"/>
                <w:szCs w:val="21"/>
              </w:rPr>
              <w:t>0.40</w:t>
            </w:r>
          </w:p>
        </w:tc>
        <w:tc>
          <w:tcPr>
            <w:tcW w:w="675" w:type="pct"/>
            <w:vAlign w:val="center"/>
          </w:tcPr>
          <w:p w14:paraId="262A82AD">
            <w:pPr>
              <w:widowControl w:val="0"/>
              <w:jc w:val="center"/>
              <w:rPr>
                <w:color w:val="000000"/>
                <w:szCs w:val="21"/>
              </w:rPr>
            </w:pPr>
            <w:r>
              <w:rPr>
                <w:color w:val="000000"/>
                <w:szCs w:val="21"/>
              </w:rPr>
              <w:t>0</w:t>
            </w:r>
          </w:p>
        </w:tc>
        <w:tc>
          <w:tcPr>
            <w:tcW w:w="566" w:type="pct"/>
            <w:vAlign w:val="center"/>
          </w:tcPr>
          <w:p w14:paraId="47E3DD9F">
            <w:pPr>
              <w:widowControl w:val="0"/>
              <w:jc w:val="center"/>
              <w:rPr>
                <w:color w:val="000000"/>
                <w:szCs w:val="21"/>
              </w:rPr>
            </w:pPr>
            <w:r>
              <w:rPr>
                <w:color w:val="000000"/>
                <w:szCs w:val="21"/>
              </w:rPr>
              <w:t>达标</w:t>
            </w:r>
          </w:p>
        </w:tc>
      </w:tr>
      <w:tr w14:paraId="5472CC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76F1723A">
            <w:pPr>
              <w:widowControl w:val="0"/>
              <w:jc w:val="center"/>
              <w:rPr>
                <w:bCs/>
                <w:szCs w:val="21"/>
              </w:rPr>
            </w:pPr>
            <w:r>
              <w:rPr>
                <w:bCs/>
                <w:szCs w:val="21"/>
              </w:rPr>
              <w:t>HQ2#</w:t>
            </w:r>
          </w:p>
        </w:tc>
        <w:tc>
          <w:tcPr>
            <w:tcW w:w="481" w:type="pct"/>
            <w:vMerge w:val="continue"/>
            <w:vAlign w:val="center"/>
          </w:tcPr>
          <w:p w14:paraId="27B82025">
            <w:pPr>
              <w:widowControl w:val="0"/>
              <w:jc w:val="center"/>
              <w:rPr>
                <w:bCs/>
                <w:szCs w:val="21"/>
              </w:rPr>
            </w:pPr>
          </w:p>
        </w:tc>
        <w:tc>
          <w:tcPr>
            <w:tcW w:w="484" w:type="pct"/>
            <w:vMerge w:val="continue"/>
            <w:vAlign w:val="center"/>
          </w:tcPr>
          <w:p w14:paraId="5DB5F5B2">
            <w:pPr>
              <w:widowControl w:val="0"/>
              <w:jc w:val="center"/>
              <w:rPr>
                <w:bCs/>
                <w:szCs w:val="21"/>
              </w:rPr>
            </w:pPr>
          </w:p>
        </w:tc>
        <w:tc>
          <w:tcPr>
            <w:tcW w:w="720" w:type="pct"/>
            <w:vMerge w:val="continue"/>
            <w:vAlign w:val="center"/>
          </w:tcPr>
          <w:p w14:paraId="289F87BB">
            <w:pPr>
              <w:widowControl w:val="0"/>
              <w:jc w:val="center"/>
              <w:rPr>
                <w:bCs/>
                <w:szCs w:val="21"/>
              </w:rPr>
            </w:pPr>
          </w:p>
        </w:tc>
        <w:tc>
          <w:tcPr>
            <w:tcW w:w="887" w:type="pct"/>
            <w:vAlign w:val="center"/>
          </w:tcPr>
          <w:p w14:paraId="0B26D127">
            <w:pPr>
              <w:widowControl w:val="0"/>
              <w:jc w:val="center"/>
              <w:rPr>
                <w:bCs/>
                <w:szCs w:val="21"/>
              </w:rPr>
            </w:pPr>
            <w:r>
              <w:rPr>
                <w:bCs/>
                <w:szCs w:val="21"/>
              </w:rPr>
              <w:t>0.105~0.115</w:t>
            </w:r>
          </w:p>
        </w:tc>
        <w:tc>
          <w:tcPr>
            <w:tcW w:w="706" w:type="pct"/>
            <w:vAlign w:val="center"/>
          </w:tcPr>
          <w:p w14:paraId="6B326BD4">
            <w:pPr>
              <w:widowControl w:val="0"/>
              <w:jc w:val="center"/>
              <w:rPr>
                <w:color w:val="000000"/>
                <w:szCs w:val="21"/>
              </w:rPr>
            </w:pPr>
            <w:r>
              <w:rPr>
                <w:color w:val="000000"/>
                <w:szCs w:val="21"/>
              </w:rPr>
              <w:t>0.38</w:t>
            </w:r>
          </w:p>
        </w:tc>
        <w:tc>
          <w:tcPr>
            <w:tcW w:w="675" w:type="pct"/>
            <w:vAlign w:val="center"/>
          </w:tcPr>
          <w:p w14:paraId="085F99BB">
            <w:pPr>
              <w:widowControl w:val="0"/>
              <w:jc w:val="center"/>
              <w:rPr>
                <w:color w:val="000000"/>
                <w:szCs w:val="21"/>
              </w:rPr>
            </w:pPr>
            <w:r>
              <w:rPr>
                <w:color w:val="000000"/>
                <w:szCs w:val="21"/>
              </w:rPr>
              <w:t>0</w:t>
            </w:r>
          </w:p>
        </w:tc>
        <w:tc>
          <w:tcPr>
            <w:tcW w:w="566" w:type="pct"/>
            <w:vAlign w:val="center"/>
          </w:tcPr>
          <w:p w14:paraId="56995C32">
            <w:pPr>
              <w:widowControl w:val="0"/>
              <w:jc w:val="center"/>
              <w:rPr>
                <w:color w:val="000000"/>
                <w:szCs w:val="21"/>
              </w:rPr>
            </w:pPr>
            <w:r>
              <w:rPr>
                <w:color w:val="000000"/>
                <w:szCs w:val="21"/>
              </w:rPr>
              <w:t>达标</w:t>
            </w:r>
          </w:p>
        </w:tc>
      </w:tr>
      <w:tr w14:paraId="313218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5309BE32">
            <w:pPr>
              <w:widowControl w:val="0"/>
              <w:jc w:val="center"/>
              <w:rPr>
                <w:bCs/>
                <w:szCs w:val="21"/>
              </w:rPr>
            </w:pPr>
            <w:r>
              <w:rPr>
                <w:bCs/>
                <w:szCs w:val="21"/>
              </w:rPr>
              <w:t>HQ3#</w:t>
            </w:r>
          </w:p>
        </w:tc>
        <w:tc>
          <w:tcPr>
            <w:tcW w:w="481" w:type="pct"/>
            <w:vMerge w:val="continue"/>
            <w:vAlign w:val="center"/>
          </w:tcPr>
          <w:p w14:paraId="37D270F6">
            <w:pPr>
              <w:widowControl w:val="0"/>
              <w:jc w:val="center"/>
              <w:rPr>
                <w:bCs/>
                <w:szCs w:val="21"/>
              </w:rPr>
            </w:pPr>
          </w:p>
        </w:tc>
        <w:tc>
          <w:tcPr>
            <w:tcW w:w="484" w:type="pct"/>
            <w:vMerge w:val="continue"/>
            <w:vAlign w:val="center"/>
          </w:tcPr>
          <w:p w14:paraId="1F445D51">
            <w:pPr>
              <w:widowControl w:val="0"/>
              <w:jc w:val="center"/>
              <w:rPr>
                <w:bCs/>
                <w:szCs w:val="21"/>
              </w:rPr>
            </w:pPr>
          </w:p>
        </w:tc>
        <w:tc>
          <w:tcPr>
            <w:tcW w:w="720" w:type="pct"/>
            <w:vMerge w:val="continue"/>
            <w:vAlign w:val="center"/>
          </w:tcPr>
          <w:p w14:paraId="1CBCBF00">
            <w:pPr>
              <w:widowControl w:val="0"/>
              <w:jc w:val="center"/>
              <w:rPr>
                <w:bCs/>
                <w:szCs w:val="21"/>
              </w:rPr>
            </w:pPr>
          </w:p>
        </w:tc>
        <w:tc>
          <w:tcPr>
            <w:tcW w:w="887" w:type="pct"/>
            <w:vAlign w:val="center"/>
          </w:tcPr>
          <w:p w14:paraId="0FF81CEC">
            <w:pPr>
              <w:widowControl w:val="0"/>
              <w:jc w:val="center"/>
              <w:rPr>
                <w:bCs/>
                <w:szCs w:val="21"/>
              </w:rPr>
            </w:pPr>
            <w:r>
              <w:rPr>
                <w:bCs/>
                <w:szCs w:val="21"/>
              </w:rPr>
              <w:t>0.103~0.117</w:t>
            </w:r>
          </w:p>
        </w:tc>
        <w:tc>
          <w:tcPr>
            <w:tcW w:w="706" w:type="pct"/>
            <w:vAlign w:val="center"/>
          </w:tcPr>
          <w:p w14:paraId="3C7A4CDF">
            <w:pPr>
              <w:widowControl w:val="0"/>
              <w:jc w:val="center"/>
              <w:rPr>
                <w:color w:val="000000"/>
                <w:szCs w:val="21"/>
              </w:rPr>
            </w:pPr>
            <w:r>
              <w:rPr>
                <w:color w:val="000000"/>
                <w:szCs w:val="21"/>
              </w:rPr>
              <w:t>0.39</w:t>
            </w:r>
          </w:p>
        </w:tc>
        <w:tc>
          <w:tcPr>
            <w:tcW w:w="675" w:type="pct"/>
            <w:vAlign w:val="center"/>
          </w:tcPr>
          <w:p w14:paraId="3AE3D743">
            <w:pPr>
              <w:widowControl w:val="0"/>
              <w:jc w:val="center"/>
              <w:rPr>
                <w:color w:val="000000"/>
                <w:szCs w:val="21"/>
              </w:rPr>
            </w:pPr>
            <w:r>
              <w:rPr>
                <w:color w:val="000000"/>
                <w:szCs w:val="21"/>
              </w:rPr>
              <w:t>0</w:t>
            </w:r>
          </w:p>
        </w:tc>
        <w:tc>
          <w:tcPr>
            <w:tcW w:w="566" w:type="pct"/>
            <w:vAlign w:val="center"/>
          </w:tcPr>
          <w:p w14:paraId="51C5ED6C">
            <w:pPr>
              <w:widowControl w:val="0"/>
              <w:jc w:val="center"/>
              <w:rPr>
                <w:color w:val="000000"/>
                <w:szCs w:val="21"/>
              </w:rPr>
            </w:pPr>
            <w:r>
              <w:rPr>
                <w:color w:val="000000"/>
                <w:szCs w:val="21"/>
              </w:rPr>
              <w:t>达标</w:t>
            </w:r>
          </w:p>
        </w:tc>
      </w:tr>
      <w:tr w14:paraId="72D838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69D0D5E7">
            <w:pPr>
              <w:widowControl w:val="0"/>
              <w:jc w:val="center"/>
              <w:rPr>
                <w:bCs/>
                <w:szCs w:val="21"/>
              </w:rPr>
            </w:pPr>
            <w:r>
              <w:rPr>
                <w:bCs/>
                <w:szCs w:val="21"/>
              </w:rPr>
              <w:t>HQ4#</w:t>
            </w:r>
          </w:p>
        </w:tc>
        <w:tc>
          <w:tcPr>
            <w:tcW w:w="481" w:type="pct"/>
            <w:vMerge w:val="continue"/>
            <w:vAlign w:val="center"/>
          </w:tcPr>
          <w:p w14:paraId="0BAAE772">
            <w:pPr>
              <w:widowControl w:val="0"/>
              <w:jc w:val="center"/>
              <w:rPr>
                <w:bCs/>
                <w:szCs w:val="21"/>
              </w:rPr>
            </w:pPr>
          </w:p>
        </w:tc>
        <w:tc>
          <w:tcPr>
            <w:tcW w:w="484" w:type="pct"/>
            <w:vMerge w:val="continue"/>
            <w:vAlign w:val="center"/>
          </w:tcPr>
          <w:p w14:paraId="367DC2CD">
            <w:pPr>
              <w:widowControl w:val="0"/>
              <w:jc w:val="center"/>
              <w:rPr>
                <w:bCs/>
                <w:szCs w:val="21"/>
              </w:rPr>
            </w:pPr>
          </w:p>
        </w:tc>
        <w:tc>
          <w:tcPr>
            <w:tcW w:w="720" w:type="pct"/>
            <w:vMerge w:val="continue"/>
            <w:vAlign w:val="center"/>
          </w:tcPr>
          <w:p w14:paraId="11A709C4">
            <w:pPr>
              <w:widowControl w:val="0"/>
              <w:jc w:val="center"/>
              <w:rPr>
                <w:bCs/>
                <w:szCs w:val="21"/>
              </w:rPr>
            </w:pPr>
          </w:p>
        </w:tc>
        <w:tc>
          <w:tcPr>
            <w:tcW w:w="887" w:type="pct"/>
            <w:vAlign w:val="center"/>
          </w:tcPr>
          <w:p w14:paraId="502E6F21">
            <w:pPr>
              <w:widowControl w:val="0"/>
              <w:jc w:val="center"/>
              <w:rPr>
                <w:bCs/>
                <w:szCs w:val="21"/>
              </w:rPr>
            </w:pPr>
            <w:r>
              <w:rPr>
                <w:bCs/>
                <w:szCs w:val="21"/>
              </w:rPr>
              <w:t>0.104~0.117</w:t>
            </w:r>
          </w:p>
        </w:tc>
        <w:tc>
          <w:tcPr>
            <w:tcW w:w="706" w:type="pct"/>
            <w:vAlign w:val="center"/>
          </w:tcPr>
          <w:p w14:paraId="206A3768">
            <w:pPr>
              <w:widowControl w:val="0"/>
              <w:jc w:val="center"/>
              <w:rPr>
                <w:color w:val="000000"/>
                <w:szCs w:val="21"/>
              </w:rPr>
            </w:pPr>
            <w:r>
              <w:rPr>
                <w:color w:val="000000"/>
                <w:szCs w:val="21"/>
              </w:rPr>
              <w:t>0.39</w:t>
            </w:r>
          </w:p>
        </w:tc>
        <w:tc>
          <w:tcPr>
            <w:tcW w:w="675" w:type="pct"/>
            <w:vAlign w:val="center"/>
          </w:tcPr>
          <w:p w14:paraId="25DC5245">
            <w:pPr>
              <w:widowControl w:val="0"/>
              <w:jc w:val="center"/>
              <w:rPr>
                <w:color w:val="000000"/>
                <w:szCs w:val="21"/>
              </w:rPr>
            </w:pPr>
            <w:r>
              <w:rPr>
                <w:color w:val="000000"/>
                <w:szCs w:val="21"/>
              </w:rPr>
              <w:t>0</w:t>
            </w:r>
          </w:p>
        </w:tc>
        <w:tc>
          <w:tcPr>
            <w:tcW w:w="566" w:type="pct"/>
            <w:vAlign w:val="center"/>
          </w:tcPr>
          <w:p w14:paraId="104CF178">
            <w:pPr>
              <w:widowControl w:val="0"/>
              <w:jc w:val="center"/>
              <w:rPr>
                <w:color w:val="000000"/>
                <w:szCs w:val="21"/>
              </w:rPr>
            </w:pPr>
            <w:r>
              <w:rPr>
                <w:color w:val="000000"/>
                <w:szCs w:val="21"/>
              </w:rPr>
              <w:t>达标</w:t>
            </w:r>
          </w:p>
        </w:tc>
      </w:tr>
      <w:tr w14:paraId="6AFF0A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6BF2B6CE">
            <w:pPr>
              <w:widowControl w:val="0"/>
              <w:jc w:val="center"/>
              <w:rPr>
                <w:bCs/>
                <w:szCs w:val="21"/>
              </w:rPr>
            </w:pPr>
            <w:r>
              <w:rPr>
                <w:bCs/>
                <w:szCs w:val="21"/>
              </w:rPr>
              <w:t>HQ1#</w:t>
            </w:r>
          </w:p>
        </w:tc>
        <w:tc>
          <w:tcPr>
            <w:tcW w:w="481" w:type="pct"/>
            <w:vMerge w:val="restart"/>
            <w:vAlign w:val="center"/>
          </w:tcPr>
          <w:p w14:paraId="595BE8A8">
            <w:pPr>
              <w:widowControl w:val="0"/>
              <w:jc w:val="center"/>
              <w:rPr>
                <w:bCs/>
                <w:szCs w:val="21"/>
              </w:rPr>
            </w:pPr>
            <w:r>
              <w:rPr>
                <w:bCs/>
                <w:szCs w:val="21"/>
              </w:rPr>
              <w:t>硫化氢</w:t>
            </w:r>
          </w:p>
        </w:tc>
        <w:tc>
          <w:tcPr>
            <w:tcW w:w="484" w:type="pct"/>
            <w:vMerge w:val="restart"/>
            <w:vAlign w:val="center"/>
          </w:tcPr>
          <w:p w14:paraId="35F95D8F">
            <w:pPr>
              <w:widowControl w:val="0"/>
              <w:jc w:val="center"/>
              <w:rPr>
                <w:bCs/>
                <w:szCs w:val="21"/>
              </w:rPr>
            </w:pPr>
            <w:r>
              <w:rPr>
                <w:bCs/>
                <w:szCs w:val="21"/>
              </w:rPr>
              <w:t>1h平均</w:t>
            </w:r>
          </w:p>
        </w:tc>
        <w:tc>
          <w:tcPr>
            <w:tcW w:w="720" w:type="pct"/>
            <w:vMerge w:val="restart"/>
            <w:vAlign w:val="center"/>
          </w:tcPr>
          <w:p w14:paraId="3A86F956">
            <w:pPr>
              <w:widowControl w:val="0"/>
              <w:jc w:val="center"/>
              <w:rPr>
                <w:bCs/>
                <w:szCs w:val="21"/>
              </w:rPr>
            </w:pPr>
            <w:r>
              <w:rPr>
                <w:bCs/>
                <w:szCs w:val="21"/>
              </w:rPr>
              <w:t>0.010</w:t>
            </w:r>
          </w:p>
        </w:tc>
        <w:tc>
          <w:tcPr>
            <w:tcW w:w="887" w:type="pct"/>
            <w:vAlign w:val="center"/>
          </w:tcPr>
          <w:p w14:paraId="67182F88">
            <w:pPr>
              <w:pStyle w:val="257"/>
              <w:rPr>
                <w:bCs/>
                <w:sz w:val="21"/>
              </w:rPr>
            </w:pPr>
            <w:bookmarkStart w:id="541" w:name="OLE_LINK48"/>
            <w:bookmarkStart w:id="542" w:name="OLE_LINK49"/>
            <w:r>
              <w:rPr>
                <w:sz w:val="21"/>
              </w:rPr>
              <w:t>未检出~0.008</w:t>
            </w:r>
            <w:bookmarkEnd w:id="541"/>
            <w:bookmarkEnd w:id="542"/>
          </w:p>
        </w:tc>
        <w:tc>
          <w:tcPr>
            <w:tcW w:w="706" w:type="pct"/>
            <w:vAlign w:val="center"/>
          </w:tcPr>
          <w:p w14:paraId="25E465B3">
            <w:pPr>
              <w:widowControl w:val="0"/>
              <w:jc w:val="center"/>
              <w:rPr>
                <w:bCs/>
                <w:szCs w:val="21"/>
              </w:rPr>
            </w:pPr>
            <w:r>
              <w:rPr>
                <w:bCs/>
                <w:szCs w:val="21"/>
              </w:rPr>
              <w:t>0.8</w:t>
            </w:r>
          </w:p>
        </w:tc>
        <w:tc>
          <w:tcPr>
            <w:tcW w:w="675" w:type="pct"/>
            <w:vAlign w:val="center"/>
          </w:tcPr>
          <w:p w14:paraId="461E5014">
            <w:pPr>
              <w:widowControl w:val="0"/>
              <w:jc w:val="center"/>
              <w:rPr>
                <w:color w:val="000000"/>
                <w:szCs w:val="21"/>
              </w:rPr>
            </w:pPr>
            <w:r>
              <w:rPr>
                <w:color w:val="000000"/>
                <w:szCs w:val="21"/>
              </w:rPr>
              <w:t>0</w:t>
            </w:r>
          </w:p>
        </w:tc>
        <w:tc>
          <w:tcPr>
            <w:tcW w:w="566" w:type="pct"/>
            <w:vAlign w:val="center"/>
          </w:tcPr>
          <w:p w14:paraId="13F2F71F">
            <w:pPr>
              <w:widowControl w:val="0"/>
              <w:jc w:val="center"/>
              <w:rPr>
                <w:bCs/>
                <w:szCs w:val="21"/>
              </w:rPr>
            </w:pPr>
            <w:r>
              <w:rPr>
                <w:color w:val="000000"/>
                <w:szCs w:val="21"/>
              </w:rPr>
              <w:t>达标</w:t>
            </w:r>
          </w:p>
        </w:tc>
      </w:tr>
      <w:tr w14:paraId="798604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553ADBA0">
            <w:pPr>
              <w:widowControl w:val="0"/>
              <w:jc w:val="center"/>
              <w:rPr>
                <w:bCs/>
                <w:szCs w:val="21"/>
              </w:rPr>
            </w:pPr>
            <w:r>
              <w:rPr>
                <w:bCs/>
                <w:szCs w:val="21"/>
              </w:rPr>
              <w:t>HQ2#</w:t>
            </w:r>
          </w:p>
        </w:tc>
        <w:tc>
          <w:tcPr>
            <w:tcW w:w="481" w:type="pct"/>
            <w:vMerge w:val="continue"/>
            <w:vAlign w:val="center"/>
          </w:tcPr>
          <w:p w14:paraId="4E08770B">
            <w:pPr>
              <w:widowControl w:val="0"/>
              <w:jc w:val="center"/>
              <w:rPr>
                <w:bCs/>
                <w:szCs w:val="21"/>
              </w:rPr>
            </w:pPr>
          </w:p>
        </w:tc>
        <w:tc>
          <w:tcPr>
            <w:tcW w:w="484" w:type="pct"/>
            <w:vMerge w:val="continue"/>
            <w:vAlign w:val="center"/>
          </w:tcPr>
          <w:p w14:paraId="35CBCCBE">
            <w:pPr>
              <w:widowControl w:val="0"/>
              <w:jc w:val="center"/>
              <w:rPr>
                <w:bCs/>
                <w:szCs w:val="21"/>
              </w:rPr>
            </w:pPr>
          </w:p>
        </w:tc>
        <w:tc>
          <w:tcPr>
            <w:tcW w:w="720" w:type="pct"/>
            <w:vMerge w:val="continue"/>
            <w:vAlign w:val="center"/>
          </w:tcPr>
          <w:p w14:paraId="667A7681">
            <w:pPr>
              <w:widowControl w:val="0"/>
              <w:jc w:val="center"/>
              <w:rPr>
                <w:bCs/>
                <w:szCs w:val="21"/>
              </w:rPr>
            </w:pPr>
          </w:p>
        </w:tc>
        <w:tc>
          <w:tcPr>
            <w:tcW w:w="887" w:type="pct"/>
            <w:vAlign w:val="center"/>
          </w:tcPr>
          <w:p w14:paraId="032118C5">
            <w:pPr>
              <w:pStyle w:val="257"/>
              <w:rPr>
                <w:sz w:val="21"/>
              </w:rPr>
            </w:pPr>
            <w:r>
              <w:rPr>
                <w:sz w:val="21"/>
              </w:rPr>
              <w:t>未检出~0.008</w:t>
            </w:r>
          </w:p>
        </w:tc>
        <w:tc>
          <w:tcPr>
            <w:tcW w:w="706" w:type="pct"/>
            <w:vAlign w:val="center"/>
          </w:tcPr>
          <w:p w14:paraId="27BFF23E">
            <w:pPr>
              <w:widowControl w:val="0"/>
              <w:jc w:val="center"/>
              <w:rPr>
                <w:bCs/>
                <w:szCs w:val="21"/>
              </w:rPr>
            </w:pPr>
            <w:r>
              <w:rPr>
                <w:bCs/>
                <w:szCs w:val="21"/>
              </w:rPr>
              <w:t>0.8</w:t>
            </w:r>
          </w:p>
        </w:tc>
        <w:tc>
          <w:tcPr>
            <w:tcW w:w="675" w:type="pct"/>
            <w:vAlign w:val="center"/>
          </w:tcPr>
          <w:p w14:paraId="09BD029B">
            <w:pPr>
              <w:widowControl w:val="0"/>
              <w:jc w:val="center"/>
              <w:rPr>
                <w:color w:val="000000"/>
                <w:szCs w:val="21"/>
              </w:rPr>
            </w:pPr>
            <w:r>
              <w:rPr>
                <w:color w:val="000000"/>
                <w:szCs w:val="21"/>
              </w:rPr>
              <w:t>0</w:t>
            </w:r>
          </w:p>
        </w:tc>
        <w:tc>
          <w:tcPr>
            <w:tcW w:w="566" w:type="pct"/>
            <w:vAlign w:val="center"/>
          </w:tcPr>
          <w:p w14:paraId="3319A2C4">
            <w:pPr>
              <w:widowControl w:val="0"/>
              <w:jc w:val="center"/>
              <w:rPr>
                <w:bCs/>
                <w:szCs w:val="21"/>
              </w:rPr>
            </w:pPr>
            <w:r>
              <w:rPr>
                <w:color w:val="000000"/>
                <w:szCs w:val="21"/>
              </w:rPr>
              <w:t>达标</w:t>
            </w:r>
          </w:p>
        </w:tc>
      </w:tr>
      <w:tr w14:paraId="6DADE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2561F805">
            <w:pPr>
              <w:widowControl w:val="0"/>
              <w:jc w:val="center"/>
              <w:rPr>
                <w:bCs/>
                <w:szCs w:val="21"/>
              </w:rPr>
            </w:pPr>
            <w:r>
              <w:rPr>
                <w:bCs/>
                <w:szCs w:val="21"/>
              </w:rPr>
              <w:t>HQ3#</w:t>
            </w:r>
          </w:p>
        </w:tc>
        <w:tc>
          <w:tcPr>
            <w:tcW w:w="481" w:type="pct"/>
            <w:vMerge w:val="continue"/>
            <w:vAlign w:val="center"/>
          </w:tcPr>
          <w:p w14:paraId="3A748D17">
            <w:pPr>
              <w:widowControl w:val="0"/>
              <w:jc w:val="center"/>
              <w:rPr>
                <w:bCs/>
                <w:szCs w:val="21"/>
              </w:rPr>
            </w:pPr>
          </w:p>
        </w:tc>
        <w:tc>
          <w:tcPr>
            <w:tcW w:w="484" w:type="pct"/>
            <w:vMerge w:val="continue"/>
            <w:vAlign w:val="center"/>
          </w:tcPr>
          <w:p w14:paraId="24558AD1">
            <w:pPr>
              <w:widowControl w:val="0"/>
              <w:jc w:val="center"/>
              <w:rPr>
                <w:bCs/>
                <w:szCs w:val="21"/>
              </w:rPr>
            </w:pPr>
          </w:p>
        </w:tc>
        <w:tc>
          <w:tcPr>
            <w:tcW w:w="720" w:type="pct"/>
            <w:vMerge w:val="continue"/>
            <w:vAlign w:val="center"/>
          </w:tcPr>
          <w:p w14:paraId="00BB3724">
            <w:pPr>
              <w:widowControl w:val="0"/>
              <w:jc w:val="center"/>
              <w:rPr>
                <w:bCs/>
                <w:szCs w:val="21"/>
              </w:rPr>
            </w:pPr>
          </w:p>
        </w:tc>
        <w:tc>
          <w:tcPr>
            <w:tcW w:w="887" w:type="pct"/>
            <w:vAlign w:val="center"/>
          </w:tcPr>
          <w:p w14:paraId="293F10EF">
            <w:pPr>
              <w:pStyle w:val="257"/>
              <w:rPr>
                <w:sz w:val="21"/>
              </w:rPr>
            </w:pPr>
            <w:r>
              <w:rPr>
                <w:sz w:val="21"/>
              </w:rPr>
              <w:t>未检出~0.008</w:t>
            </w:r>
          </w:p>
        </w:tc>
        <w:tc>
          <w:tcPr>
            <w:tcW w:w="706" w:type="pct"/>
            <w:vAlign w:val="center"/>
          </w:tcPr>
          <w:p w14:paraId="737964C8">
            <w:pPr>
              <w:widowControl w:val="0"/>
              <w:jc w:val="center"/>
              <w:rPr>
                <w:bCs/>
                <w:szCs w:val="21"/>
              </w:rPr>
            </w:pPr>
            <w:r>
              <w:rPr>
                <w:bCs/>
                <w:szCs w:val="21"/>
              </w:rPr>
              <w:t>0.8</w:t>
            </w:r>
          </w:p>
        </w:tc>
        <w:tc>
          <w:tcPr>
            <w:tcW w:w="675" w:type="pct"/>
            <w:vAlign w:val="center"/>
          </w:tcPr>
          <w:p w14:paraId="131C4EB3">
            <w:pPr>
              <w:widowControl w:val="0"/>
              <w:jc w:val="center"/>
              <w:rPr>
                <w:color w:val="000000"/>
                <w:szCs w:val="21"/>
              </w:rPr>
            </w:pPr>
            <w:r>
              <w:rPr>
                <w:color w:val="000000"/>
                <w:szCs w:val="21"/>
              </w:rPr>
              <w:t>0</w:t>
            </w:r>
          </w:p>
        </w:tc>
        <w:tc>
          <w:tcPr>
            <w:tcW w:w="566" w:type="pct"/>
            <w:vAlign w:val="center"/>
          </w:tcPr>
          <w:p w14:paraId="4003D277">
            <w:pPr>
              <w:widowControl w:val="0"/>
              <w:jc w:val="center"/>
              <w:rPr>
                <w:bCs/>
                <w:szCs w:val="21"/>
              </w:rPr>
            </w:pPr>
            <w:r>
              <w:rPr>
                <w:color w:val="000000"/>
                <w:szCs w:val="21"/>
              </w:rPr>
              <w:t>达标</w:t>
            </w:r>
          </w:p>
        </w:tc>
      </w:tr>
      <w:tr w14:paraId="3408F0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430B7DCF">
            <w:pPr>
              <w:widowControl w:val="0"/>
              <w:jc w:val="center"/>
              <w:rPr>
                <w:bCs/>
                <w:szCs w:val="21"/>
              </w:rPr>
            </w:pPr>
            <w:r>
              <w:rPr>
                <w:bCs/>
                <w:szCs w:val="21"/>
              </w:rPr>
              <w:t>HQ4#</w:t>
            </w:r>
          </w:p>
        </w:tc>
        <w:tc>
          <w:tcPr>
            <w:tcW w:w="481" w:type="pct"/>
            <w:vMerge w:val="continue"/>
            <w:vAlign w:val="center"/>
          </w:tcPr>
          <w:p w14:paraId="2AE65707">
            <w:pPr>
              <w:widowControl w:val="0"/>
              <w:jc w:val="center"/>
              <w:rPr>
                <w:bCs/>
                <w:szCs w:val="21"/>
              </w:rPr>
            </w:pPr>
          </w:p>
        </w:tc>
        <w:tc>
          <w:tcPr>
            <w:tcW w:w="484" w:type="pct"/>
            <w:vMerge w:val="continue"/>
            <w:vAlign w:val="center"/>
          </w:tcPr>
          <w:p w14:paraId="61A55F70">
            <w:pPr>
              <w:widowControl w:val="0"/>
              <w:jc w:val="center"/>
              <w:rPr>
                <w:bCs/>
                <w:szCs w:val="21"/>
              </w:rPr>
            </w:pPr>
          </w:p>
        </w:tc>
        <w:tc>
          <w:tcPr>
            <w:tcW w:w="720" w:type="pct"/>
            <w:vMerge w:val="continue"/>
            <w:vAlign w:val="center"/>
          </w:tcPr>
          <w:p w14:paraId="204B38DC">
            <w:pPr>
              <w:widowControl w:val="0"/>
              <w:jc w:val="center"/>
              <w:rPr>
                <w:bCs/>
                <w:szCs w:val="21"/>
              </w:rPr>
            </w:pPr>
          </w:p>
        </w:tc>
        <w:tc>
          <w:tcPr>
            <w:tcW w:w="887" w:type="pct"/>
            <w:vAlign w:val="center"/>
          </w:tcPr>
          <w:p w14:paraId="00D11C5A">
            <w:pPr>
              <w:pStyle w:val="257"/>
              <w:rPr>
                <w:sz w:val="21"/>
              </w:rPr>
            </w:pPr>
            <w:r>
              <w:rPr>
                <w:sz w:val="21"/>
              </w:rPr>
              <w:t>未检出~0.008</w:t>
            </w:r>
          </w:p>
        </w:tc>
        <w:tc>
          <w:tcPr>
            <w:tcW w:w="706" w:type="pct"/>
            <w:vAlign w:val="center"/>
          </w:tcPr>
          <w:p w14:paraId="713966A9">
            <w:pPr>
              <w:widowControl w:val="0"/>
              <w:jc w:val="center"/>
              <w:rPr>
                <w:bCs/>
                <w:szCs w:val="21"/>
              </w:rPr>
            </w:pPr>
            <w:r>
              <w:rPr>
                <w:bCs/>
                <w:szCs w:val="21"/>
              </w:rPr>
              <w:t>0.8</w:t>
            </w:r>
          </w:p>
        </w:tc>
        <w:tc>
          <w:tcPr>
            <w:tcW w:w="675" w:type="pct"/>
            <w:vAlign w:val="center"/>
          </w:tcPr>
          <w:p w14:paraId="4224438D">
            <w:pPr>
              <w:widowControl w:val="0"/>
              <w:jc w:val="center"/>
              <w:rPr>
                <w:color w:val="000000"/>
                <w:szCs w:val="21"/>
              </w:rPr>
            </w:pPr>
            <w:r>
              <w:rPr>
                <w:color w:val="000000"/>
                <w:szCs w:val="21"/>
              </w:rPr>
              <w:t>0</w:t>
            </w:r>
          </w:p>
        </w:tc>
        <w:tc>
          <w:tcPr>
            <w:tcW w:w="566" w:type="pct"/>
            <w:vAlign w:val="center"/>
          </w:tcPr>
          <w:p w14:paraId="04405BA8">
            <w:pPr>
              <w:widowControl w:val="0"/>
              <w:jc w:val="center"/>
              <w:rPr>
                <w:bCs/>
                <w:szCs w:val="21"/>
              </w:rPr>
            </w:pPr>
            <w:r>
              <w:rPr>
                <w:color w:val="000000"/>
                <w:szCs w:val="21"/>
              </w:rPr>
              <w:t>达标</w:t>
            </w:r>
          </w:p>
        </w:tc>
      </w:tr>
      <w:tr w14:paraId="6C16A4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560FBD71">
            <w:pPr>
              <w:widowControl w:val="0"/>
              <w:jc w:val="center"/>
              <w:rPr>
                <w:bCs/>
                <w:szCs w:val="21"/>
              </w:rPr>
            </w:pPr>
            <w:r>
              <w:rPr>
                <w:bCs/>
                <w:szCs w:val="21"/>
              </w:rPr>
              <w:t>HQ1#</w:t>
            </w:r>
          </w:p>
        </w:tc>
        <w:tc>
          <w:tcPr>
            <w:tcW w:w="481" w:type="pct"/>
            <w:vMerge w:val="restart"/>
            <w:vAlign w:val="center"/>
          </w:tcPr>
          <w:p w14:paraId="34E36FDE">
            <w:pPr>
              <w:widowControl w:val="0"/>
              <w:jc w:val="center"/>
              <w:rPr>
                <w:bCs/>
                <w:szCs w:val="21"/>
              </w:rPr>
            </w:pPr>
            <w:r>
              <w:rPr>
                <w:bCs/>
                <w:szCs w:val="21"/>
              </w:rPr>
              <w:t>氨</w:t>
            </w:r>
          </w:p>
        </w:tc>
        <w:tc>
          <w:tcPr>
            <w:tcW w:w="484" w:type="pct"/>
            <w:vMerge w:val="restart"/>
            <w:vAlign w:val="center"/>
          </w:tcPr>
          <w:p w14:paraId="14476CFF">
            <w:pPr>
              <w:widowControl w:val="0"/>
              <w:jc w:val="center"/>
              <w:rPr>
                <w:bCs/>
                <w:szCs w:val="21"/>
              </w:rPr>
            </w:pPr>
            <w:r>
              <w:rPr>
                <w:bCs/>
                <w:szCs w:val="21"/>
              </w:rPr>
              <w:t>1h平均</w:t>
            </w:r>
          </w:p>
        </w:tc>
        <w:tc>
          <w:tcPr>
            <w:tcW w:w="720" w:type="pct"/>
            <w:vMerge w:val="restart"/>
            <w:vAlign w:val="center"/>
          </w:tcPr>
          <w:p w14:paraId="132D21D8">
            <w:pPr>
              <w:widowControl w:val="0"/>
              <w:jc w:val="center"/>
              <w:rPr>
                <w:bCs/>
                <w:szCs w:val="21"/>
              </w:rPr>
            </w:pPr>
            <w:r>
              <w:rPr>
                <w:bCs/>
                <w:szCs w:val="21"/>
              </w:rPr>
              <w:t>0.200</w:t>
            </w:r>
          </w:p>
        </w:tc>
        <w:tc>
          <w:tcPr>
            <w:tcW w:w="887" w:type="pct"/>
            <w:vAlign w:val="center"/>
          </w:tcPr>
          <w:p w14:paraId="45781F94">
            <w:pPr>
              <w:pStyle w:val="257"/>
              <w:rPr>
                <w:bCs/>
                <w:sz w:val="21"/>
              </w:rPr>
            </w:pPr>
            <w:r>
              <w:rPr>
                <w:sz w:val="21"/>
              </w:rPr>
              <w:t>未检出~0.04</w:t>
            </w:r>
          </w:p>
        </w:tc>
        <w:tc>
          <w:tcPr>
            <w:tcW w:w="706" w:type="pct"/>
            <w:vAlign w:val="center"/>
          </w:tcPr>
          <w:p w14:paraId="2C604EE1">
            <w:pPr>
              <w:widowControl w:val="0"/>
              <w:jc w:val="center"/>
              <w:rPr>
                <w:szCs w:val="21"/>
              </w:rPr>
            </w:pPr>
            <w:r>
              <w:rPr>
                <w:szCs w:val="21"/>
              </w:rPr>
              <w:t>0.2</w:t>
            </w:r>
          </w:p>
        </w:tc>
        <w:tc>
          <w:tcPr>
            <w:tcW w:w="675" w:type="pct"/>
            <w:vAlign w:val="center"/>
          </w:tcPr>
          <w:p w14:paraId="05BEC69D">
            <w:pPr>
              <w:widowControl w:val="0"/>
              <w:jc w:val="center"/>
              <w:rPr>
                <w:color w:val="000000"/>
                <w:szCs w:val="21"/>
              </w:rPr>
            </w:pPr>
            <w:r>
              <w:rPr>
                <w:color w:val="000000"/>
                <w:szCs w:val="21"/>
              </w:rPr>
              <w:t>0</w:t>
            </w:r>
          </w:p>
        </w:tc>
        <w:tc>
          <w:tcPr>
            <w:tcW w:w="566" w:type="pct"/>
            <w:vAlign w:val="center"/>
          </w:tcPr>
          <w:p w14:paraId="02D62358">
            <w:pPr>
              <w:widowControl w:val="0"/>
              <w:jc w:val="center"/>
              <w:rPr>
                <w:szCs w:val="21"/>
              </w:rPr>
            </w:pPr>
            <w:r>
              <w:rPr>
                <w:color w:val="000000"/>
                <w:szCs w:val="21"/>
              </w:rPr>
              <w:t>达标</w:t>
            </w:r>
          </w:p>
        </w:tc>
      </w:tr>
      <w:tr w14:paraId="465C2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3BA58847">
            <w:pPr>
              <w:widowControl w:val="0"/>
              <w:jc w:val="center"/>
              <w:rPr>
                <w:bCs/>
                <w:szCs w:val="21"/>
              </w:rPr>
            </w:pPr>
            <w:r>
              <w:rPr>
                <w:bCs/>
                <w:szCs w:val="21"/>
              </w:rPr>
              <w:t>HQ2#</w:t>
            </w:r>
          </w:p>
        </w:tc>
        <w:tc>
          <w:tcPr>
            <w:tcW w:w="481" w:type="pct"/>
            <w:vMerge w:val="continue"/>
            <w:vAlign w:val="center"/>
          </w:tcPr>
          <w:p w14:paraId="5869D73F">
            <w:pPr>
              <w:widowControl w:val="0"/>
              <w:jc w:val="center"/>
              <w:rPr>
                <w:bCs/>
                <w:szCs w:val="21"/>
              </w:rPr>
            </w:pPr>
          </w:p>
        </w:tc>
        <w:tc>
          <w:tcPr>
            <w:tcW w:w="484" w:type="pct"/>
            <w:vMerge w:val="continue"/>
            <w:vAlign w:val="center"/>
          </w:tcPr>
          <w:p w14:paraId="6F73625A">
            <w:pPr>
              <w:widowControl w:val="0"/>
              <w:jc w:val="center"/>
              <w:rPr>
                <w:bCs/>
                <w:szCs w:val="21"/>
              </w:rPr>
            </w:pPr>
          </w:p>
        </w:tc>
        <w:tc>
          <w:tcPr>
            <w:tcW w:w="720" w:type="pct"/>
            <w:vMerge w:val="continue"/>
            <w:vAlign w:val="center"/>
          </w:tcPr>
          <w:p w14:paraId="38910810">
            <w:pPr>
              <w:widowControl w:val="0"/>
              <w:jc w:val="center"/>
              <w:rPr>
                <w:bCs/>
                <w:szCs w:val="21"/>
              </w:rPr>
            </w:pPr>
          </w:p>
        </w:tc>
        <w:tc>
          <w:tcPr>
            <w:tcW w:w="887" w:type="pct"/>
            <w:vAlign w:val="center"/>
          </w:tcPr>
          <w:p w14:paraId="2EEF20E9">
            <w:pPr>
              <w:pStyle w:val="257"/>
              <w:rPr>
                <w:sz w:val="21"/>
              </w:rPr>
            </w:pPr>
            <w:r>
              <w:rPr>
                <w:sz w:val="21"/>
              </w:rPr>
              <w:t>未检出~0.04</w:t>
            </w:r>
          </w:p>
        </w:tc>
        <w:tc>
          <w:tcPr>
            <w:tcW w:w="706" w:type="pct"/>
            <w:vAlign w:val="center"/>
          </w:tcPr>
          <w:p w14:paraId="26CE4EFB">
            <w:pPr>
              <w:widowControl w:val="0"/>
              <w:jc w:val="center"/>
              <w:rPr>
                <w:szCs w:val="21"/>
              </w:rPr>
            </w:pPr>
            <w:r>
              <w:rPr>
                <w:szCs w:val="21"/>
              </w:rPr>
              <w:t>0.2</w:t>
            </w:r>
          </w:p>
        </w:tc>
        <w:tc>
          <w:tcPr>
            <w:tcW w:w="675" w:type="pct"/>
            <w:vAlign w:val="center"/>
          </w:tcPr>
          <w:p w14:paraId="53B8BFD6">
            <w:pPr>
              <w:widowControl w:val="0"/>
              <w:jc w:val="center"/>
              <w:rPr>
                <w:color w:val="000000"/>
                <w:szCs w:val="21"/>
              </w:rPr>
            </w:pPr>
            <w:r>
              <w:rPr>
                <w:color w:val="000000"/>
                <w:szCs w:val="21"/>
              </w:rPr>
              <w:t>0</w:t>
            </w:r>
          </w:p>
        </w:tc>
        <w:tc>
          <w:tcPr>
            <w:tcW w:w="566" w:type="pct"/>
            <w:vAlign w:val="center"/>
          </w:tcPr>
          <w:p w14:paraId="71A4479C">
            <w:pPr>
              <w:widowControl w:val="0"/>
              <w:jc w:val="center"/>
              <w:rPr>
                <w:szCs w:val="21"/>
              </w:rPr>
            </w:pPr>
            <w:r>
              <w:rPr>
                <w:color w:val="000000"/>
                <w:szCs w:val="21"/>
              </w:rPr>
              <w:t>达标</w:t>
            </w:r>
          </w:p>
        </w:tc>
      </w:tr>
      <w:tr w14:paraId="3E32C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5870C91B">
            <w:pPr>
              <w:widowControl w:val="0"/>
              <w:jc w:val="center"/>
              <w:rPr>
                <w:bCs/>
                <w:szCs w:val="21"/>
              </w:rPr>
            </w:pPr>
            <w:r>
              <w:rPr>
                <w:bCs/>
                <w:szCs w:val="21"/>
              </w:rPr>
              <w:t>HQ3#</w:t>
            </w:r>
          </w:p>
        </w:tc>
        <w:tc>
          <w:tcPr>
            <w:tcW w:w="481" w:type="pct"/>
            <w:vMerge w:val="continue"/>
            <w:vAlign w:val="center"/>
          </w:tcPr>
          <w:p w14:paraId="79DFE985">
            <w:pPr>
              <w:widowControl w:val="0"/>
              <w:jc w:val="center"/>
              <w:rPr>
                <w:bCs/>
                <w:szCs w:val="21"/>
              </w:rPr>
            </w:pPr>
          </w:p>
        </w:tc>
        <w:tc>
          <w:tcPr>
            <w:tcW w:w="484" w:type="pct"/>
            <w:vMerge w:val="continue"/>
            <w:vAlign w:val="center"/>
          </w:tcPr>
          <w:p w14:paraId="1E0E95EB">
            <w:pPr>
              <w:widowControl w:val="0"/>
              <w:jc w:val="center"/>
              <w:rPr>
                <w:bCs/>
                <w:szCs w:val="21"/>
              </w:rPr>
            </w:pPr>
          </w:p>
        </w:tc>
        <w:tc>
          <w:tcPr>
            <w:tcW w:w="720" w:type="pct"/>
            <w:vMerge w:val="continue"/>
            <w:vAlign w:val="center"/>
          </w:tcPr>
          <w:p w14:paraId="309A22ED">
            <w:pPr>
              <w:widowControl w:val="0"/>
              <w:jc w:val="center"/>
              <w:rPr>
                <w:bCs/>
                <w:szCs w:val="21"/>
              </w:rPr>
            </w:pPr>
          </w:p>
        </w:tc>
        <w:tc>
          <w:tcPr>
            <w:tcW w:w="887" w:type="pct"/>
            <w:vAlign w:val="center"/>
          </w:tcPr>
          <w:p w14:paraId="243AADAC">
            <w:pPr>
              <w:pStyle w:val="257"/>
              <w:rPr>
                <w:sz w:val="21"/>
              </w:rPr>
            </w:pPr>
            <w:r>
              <w:rPr>
                <w:sz w:val="21"/>
              </w:rPr>
              <w:t>未检出~0.04</w:t>
            </w:r>
          </w:p>
        </w:tc>
        <w:tc>
          <w:tcPr>
            <w:tcW w:w="706" w:type="pct"/>
            <w:vAlign w:val="center"/>
          </w:tcPr>
          <w:p w14:paraId="7A257593">
            <w:pPr>
              <w:widowControl w:val="0"/>
              <w:jc w:val="center"/>
              <w:rPr>
                <w:szCs w:val="21"/>
              </w:rPr>
            </w:pPr>
            <w:r>
              <w:rPr>
                <w:szCs w:val="21"/>
              </w:rPr>
              <w:t>0.2</w:t>
            </w:r>
          </w:p>
        </w:tc>
        <w:tc>
          <w:tcPr>
            <w:tcW w:w="675" w:type="pct"/>
            <w:vAlign w:val="center"/>
          </w:tcPr>
          <w:p w14:paraId="0A1C7D4B">
            <w:pPr>
              <w:widowControl w:val="0"/>
              <w:jc w:val="center"/>
              <w:rPr>
                <w:color w:val="000000"/>
                <w:szCs w:val="21"/>
              </w:rPr>
            </w:pPr>
            <w:r>
              <w:rPr>
                <w:color w:val="000000"/>
                <w:szCs w:val="21"/>
              </w:rPr>
              <w:t>0</w:t>
            </w:r>
          </w:p>
        </w:tc>
        <w:tc>
          <w:tcPr>
            <w:tcW w:w="566" w:type="pct"/>
            <w:vAlign w:val="center"/>
          </w:tcPr>
          <w:p w14:paraId="01FF6783">
            <w:pPr>
              <w:widowControl w:val="0"/>
              <w:jc w:val="center"/>
              <w:rPr>
                <w:szCs w:val="21"/>
              </w:rPr>
            </w:pPr>
            <w:r>
              <w:rPr>
                <w:color w:val="000000"/>
                <w:szCs w:val="21"/>
              </w:rPr>
              <w:t>达标</w:t>
            </w:r>
          </w:p>
        </w:tc>
      </w:tr>
      <w:tr w14:paraId="46160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3D32B003">
            <w:pPr>
              <w:widowControl w:val="0"/>
              <w:jc w:val="center"/>
              <w:rPr>
                <w:bCs/>
                <w:szCs w:val="21"/>
              </w:rPr>
            </w:pPr>
            <w:r>
              <w:rPr>
                <w:bCs/>
                <w:szCs w:val="21"/>
              </w:rPr>
              <w:t>HQ4#</w:t>
            </w:r>
          </w:p>
        </w:tc>
        <w:tc>
          <w:tcPr>
            <w:tcW w:w="481" w:type="pct"/>
            <w:vMerge w:val="continue"/>
            <w:vAlign w:val="center"/>
          </w:tcPr>
          <w:p w14:paraId="5C974086">
            <w:pPr>
              <w:widowControl w:val="0"/>
              <w:jc w:val="center"/>
              <w:rPr>
                <w:bCs/>
                <w:szCs w:val="21"/>
              </w:rPr>
            </w:pPr>
          </w:p>
        </w:tc>
        <w:tc>
          <w:tcPr>
            <w:tcW w:w="484" w:type="pct"/>
            <w:vMerge w:val="continue"/>
            <w:vAlign w:val="center"/>
          </w:tcPr>
          <w:p w14:paraId="319341ED">
            <w:pPr>
              <w:widowControl w:val="0"/>
              <w:jc w:val="center"/>
              <w:rPr>
                <w:bCs/>
                <w:szCs w:val="21"/>
              </w:rPr>
            </w:pPr>
          </w:p>
        </w:tc>
        <w:tc>
          <w:tcPr>
            <w:tcW w:w="720" w:type="pct"/>
            <w:vMerge w:val="continue"/>
            <w:vAlign w:val="center"/>
          </w:tcPr>
          <w:p w14:paraId="7954F47D">
            <w:pPr>
              <w:widowControl w:val="0"/>
              <w:jc w:val="center"/>
              <w:rPr>
                <w:bCs/>
                <w:szCs w:val="21"/>
              </w:rPr>
            </w:pPr>
          </w:p>
        </w:tc>
        <w:tc>
          <w:tcPr>
            <w:tcW w:w="887" w:type="pct"/>
            <w:vAlign w:val="center"/>
          </w:tcPr>
          <w:p w14:paraId="4B3465FB">
            <w:pPr>
              <w:pStyle w:val="257"/>
              <w:rPr>
                <w:sz w:val="21"/>
              </w:rPr>
            </w:pPr>
            <w:r>
              <w:rPr>
                <w:sz w:val="21"/>
              </w:rPr>
              <w:t>未检出~0.05</w:t>
            </w:r>
          </w:p>
        </w:tc>
        <w:tc>
          <w:tcPr>
            <w:tcW w:w="706" w:type="pct"/>
            <w:vAlign w:val="center"/>
          </w:tcPr>
          <w:p w14:paraId="343930B7">
            <w:pPr>
              <w:widowControl w:val="0"/>
              <w:jc w:val="center"/>
              <w:rPr>
                <w:szCs w:val="21"/>
              </w:rPr>
            </w:pPr>
            <w:r>
              <w:rPr>
                <w:szCs w:val="21"/>
              </w:rPr>
              <w:t>0.25</w:t>
            </w:r>
          </w:p>
        </w:tc>
        <w:tc>
          <w:tcPr>
            <w:tcW w:w="675" w:type="pct"/>
            <w:vAlign w:val="center"/>
          </w:tcPr>
          <w:p w14:paraId="110EB0DA">
            <w:pPr>
              <w:widowControl w:val="0"/>
              <w:jc w:val="center"/>
              <w:rPr>
                <w:color w:val="000000"/>
                <w:szCs w:val="21"/>
              </w:rPr>
            </w:pPr>
            <w:r>
              <w:rPr>
                <w:color w:val="000000"/>
                <w:szCs w:val="21"/>
              </w:rPr>
              <w:t>0</w:t>
            </w:r>
          </w:p>
        </w:tc>
        <w:tc>
          <w:tcPr>
            <w:tcW w:w="566" w:type="pct"/>
            <w:vAlign w:val="center"/>
          </w:tcPr>
          <w:p w14:paraId="7BA362E6">
            <w:pPr>
              <w:widowControl w:val="0"/>
              <w:jc w:val="center"/>
              <w:rPr>
                <w:szCs w:val="21"/>
              </w:rPr>
            </w:pPr>
            <w:r>
              <w:rPr>
                <w:color w:val="000000"/>
                <w:szCs w:val="21"/>
              </w:rPr>
              <w:t>达标</w:t>
            </w:r>
          </w:p>
        </w:tc>
      </w:tr>
      <w:tr w14:paraId="189692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56B9FC66">
            <w:pPr>
              <w:widowControl w:val="0"/>
              <w:jc w:val="center"/>
              <w:rPr>
                <w:bCs/>
                <w:szCs w:val="21"/>
              </w:rPr>
            </w:pPr>
            <w:r>
              <w:rPr>
                <w:bCs/>
                <w:szCs w:val="21"/>
              </w:rPr>
              <w:t>HQ1#</w:t>
            </w:r>
          </w:p>
        </w:tc>
        <w:tc>
          <w:tcPr>
            <w:tcW w:w="481" w:type="pct"/>
            <w:vMerge w:val="restart"/>
            <w:vAlign w:val="center"/>
          </w:tcPr>
          <w:p w14:paraId="3814BBB5">
            <w:pPr>
              <w:widowControl w:val="0"/>
              <w:jc w:val="center"/>
              <w:rPr>
                <w:bCs/>
                <w:szCs w:val="21"/>
              </w:rPr>
            </w:pPr>
            <w:r>
              <w:rPr>
                <w:bCs/>
                <w:szCs w:val="21"/>
              </w:rPr>
              <w:t>臭气浓度</w:t>
            </w:r>
          </w:p>
        </w:tc>
        <w:tc>
          <w:tcPr>
            <w:tcW w:w="484" w:type="pct"/>
            <w:vMerge w:val="restart"/>
            <w:vAlign w:val="center"/>
          </w:tcPr>
          <w:p w14:paraId="0E71E2C0">
            <w:pPr>
              <w:widowControl w:val="0"/>
              <w:jc w:val="center"/>
              <w:rPr>
                <w:bCs/>
                <w:szCs w:val="21"/>
              </w:rPr>
            </w:pPr>
            <w:r>
              <w:rPr>
                <w:bCs/>
                <w:szCs w:val="21"/>
              </w:rPr>
              <w:t>1次值</w:t>
            </w:r>
          </w:p>
        </w:tc>
        <w:tc>
          <w:tcPr>
            <w:tcW w:w="720" w:type="pct"/>
            <w:vMerge w:val="restart"/>
            <w:vAlign w:val="center"/>
          </w:tcPr>
          <w:p w14:paraId="4214AAFA">
            <w:pPr>
              <w:widowControl w:val="0"/>
              <w:jc w:val="center"/>
              <w:rPr>
                <w:bCs/>
                <w:szCs w:val="21"/>
              </w:rPr>
            </w:pPr>
            <w:r>
              <w:rPr>
                <w:bCs/>
                <w:szCs w:val="21"/>
              </w:rPr>
              <w:t>/</w:t>
            </w:r>
          </w:p>
        </w:tc>
        <w:tc>
          <w:tcPr>
            <w:tcW w:w="887" w:type="pct"/>
            <w:vAlign w:val="center"/>
          </w:tcPr>
          <w:p w14:paraId="2DF020BF">
            <w:pPr>
              <w:widowControl w:val="0"/>
              <w:jc w:val="center"/>
              <w:rPr>
                <w:bCs/>
                <w:szCs w:val="21"/>
              </w:rPr>
            </w:pPr>
            <w:r>
              <w:rPr>
                <w:bCs/>
                <w:szCs w:val="21"/>
              </w:rPr>
              <w:t>&lt;10</w:t>
            </w:r>
          </w:p>
        </w:tc>
        <w:tc>
          <w:tcPr>
            <w:tcW w:w="706" w:type="pct"/>
            <w:vMerge w:val="restart"/>
            <w:vAlign w:val="center"/>
          </w:tcPr>
          <w:p w14:paraId="702516C0">
            <w:pPr>
              <w:widowControl w:val="0"/>
              <w:jc w:val="center"/>
              <w:rPr>
                <w:bCs/>
                <w:szCs w:val="21"/>
              </w:rPr>
            </w:pPr>
            <w:r>
              <w:rPr>
                <w:bCs/>
                <w:szCs w:val="21"/>
              </w:rPr>
              <w:t>/</w:t>
            </w:r>
          </w:p>
        </w:tc>
        <w:tc>
          <w:tcPr>
            <w:tcW w:w="675" w:type="pct"/>
            <w:vMerge w:val="restart"/>
            <w:vAlign w:val="center"/>
          </w:tcPr>
          <w:p w14:paraId="59E6BC02">
            <w:pPr>
              <w:widowControl w:val="0"/>
              <w:jc w:val="center"/>
              <w:rPr>
                <w:bCs/>
                <w:szCs w:val="21"/>
              </w:rPr>
            </w:pPr>
            <w:r>
              <w:rPr>
                <w:bCs/>
                <w:szCs w:val="21"/>
              </w:rPr>
              <w:t>/</w:t>
            </w:r>
          </w:p>
        </w:tc>
        <w:tc>
          <w:tcPr>
            <w:tcW w:w="566" w:type="pct"/>
            <w:vMerge w:val="restart"/>
            <w:vAlign w:val="center"/>
          </w:tcPr>
          <w:p w14:paraId="03C7871A">
            <w:pPr>
              <w:widowControl w:val="0"/>
              <w:jc w:val="center"/>
              <w:rPr>
                <w:bCs/>
                <w:szCs w:val="21"/>
              </w:rPr>
            </w:pPr>
            <w:r>
              <w:rPr>
                <w:bCs/>
                <w:szCs w:val="21"/>
              </w:rPr>
              <w:t>/</w:t>
            </w:r>
          </w:p>
        </w:tc>
      </w:tr>
      <w:tr w14:paraId="64184E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638EE3C3">
            <w:pPr>
              <w:widowControl w:val="0"/>
              <w:jc w:val="center"/>
              <w:rPr>
                <w:bCs/>
                <w:szCs w:val="21"/>
              </w:rPr>
            </w:pPr>
            <w:r>
              <w:rPr>
                <w:bCs/>
                <w:szCs w:val="21"/>
              </w:rPr>
              <w:t>HQ2#</w:t>
            </w:r>
          </w:p>
        </w:tc>
        <w:tc>
          <w:tcPr>
            <w:tcW w:w="481" w:type="pct"/>
            <w:vMerge w:val="continue"/>
            <w:vAlign w:val="center"/>
          </w:tcPr>
          <w:p w14:paraId="7BC497FD">
            <w:pPr>
              <w:widowControl w:val="0"/>
              <w:jc w:val="center"/>
              <w:rPr>
                <w:bCs/>
                <w:szCs w:val="21"/>
              </w:rPr>
            </w:pPr>
          </w:p>
        </w:tc>
        <w:tc>
          <w:tcPr>
            <w:tcW w:w="484" w:type="pct"/>
            <w:vMerge w:val="continue"/>
            <w:vAlign w:val="center"/>
          </w:tcPr>
          <w:p w14:paraId="4007B12F">
            <w:pPr>
              <w:widowControl w:val="0"/>
              <w:jc w:val="center"/>
              <w:rPr>
                <w:bCs/>
                <w:szCs w:val="21"/>
              </w:rPr>
            </w:pPr>
          </w:p>
        </w:tc>
        <w:tc>
          <w:tcPr>
            <w:tcW w:w="720" w:type="pct"/>
            <w:vMerge w:val="continue"/>
            <w:vAlign w:val="center"/>
          </w:tcPr>
          <w:p w14:paraId="02251DB0">
            <w:pPr>
              <w:widowControl w:val="0"/>
              <w:jc w:val="center"/>
              <w:rPr>
                <w:bCs/>
                <w:szCs w:val="21"/>
              </w:rPr>
            </w:pPr>
          </w:p>
        </w:tc>
        <w:tc>
          <w:tcPr>
            <w:tcW w:w="887" w:type="pct"/>
            <w:vAlign w:val="center"/>
          </w:tcPr>
          <w:p w14:paraId="64F09299">
            <w:pPr>
              <w:widowControl w:val="0"/>
              <w:jc w:val="center"/>
              <w:rPr>
                <w:bCs/>
                <w:szCs w:val="21"/>
              </w:rPr>
            </w:pPr>
            <w:r>
              <w:rPr>
                <w:bCs/>
                <w:szCs w:val="21"/>
              </w:rPr>
              <w:t>&lt;10</w:t>
            </w:r>
          </w:p>
        </w:tc>
        <w:tc>
          <w:tcPr>
            <w:tcW w:w="706" w:type="pct"/>
            <w:vMerge w:val="continue"/>
            <w:vAlign w:val="center"/>
          </w:tcPr>
          <w:p w14:paraId="7C34D11F">
            <w:pPr>
              <w:widowControl w:val="0"/>
              <w:jc w:val="center"/>
              <w:rPr>
                <w:bCs/>
                <w:szCs w:val="21"/>
              </w:rPr>
            </w:pPr>
          </w:p>
        </w:tc>
        <w:tc>
          <w:tcPr>
            <w:tcW w:w="675" w:type="pct"/>
            <w:vMerge w:val="continue"/>
            <w:vAlign w:val="center"/>
          </w:tcPr>
          <w:p w14:paraId="1147856E">
            <w:pPr>
              <w:widowControl w:val="0"/>
              <w:jc w:val="center"/>
              <w:rPr>
                <w:bCs/>
                <w:szCs w:val="21"/>
              </w:rPr>
            </w:pPr>
          </w:p>
        </w:tc>
        <w:tc>
          <w:tcPr>
            <w:tcW w:w="566" w:type="pct"/>
            <w:vMerge w:val="continue"/>
            <w:vAlign w:val="center"/>
          </w:tcPr>
          <w:p w14:paraId="7FD6877A">
            <w:pPr>
              <w:widowControl w:val="0"/>
              <w:jc w:val="center"/>
              <w:rPr>
                <w:bCs/>
                <w:szCs w:val="21"/>
              </w:rPr>
            </w:pPr>
          </w:p>
        </w:tc>
      </w:tr>
      <w:tr w14:paraId="59267E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137CF689">
            <w:pPr>
              <w:widowControl w:val="0"/>
              <w:jc w:val="center"/>
              <w:rPr>
                <w:bCs/>
                <w:szCs w:val="21"/>
              </w:rPr>
            </w:pPr>
            <w:r>
              <w:rPr>
                <w:bCs/>
                <w:szCs w:val="21"/>
              </w:rPr>
              <w:t>HQ3#</w:t>
            </w:r>
          </w:p>
        </w:tc>
        <w:tc>
          <w:tcPr>
            <w:tcW w:w="481" w:type="pct"/>
            <w:vMerge w:val="continue"/>
            <w:vAlign w:val="center"/>
          </w:tcPr>
          <w:p w14:paraId="3C0AB0D9">
            <w:pPr>
              <w:widowControl w:val="0"/>
              <w:jc w:val="center"/>
              <w:rPr>
                <w:bCs/>
                <w:szCs w:val="21"/>
              </w:rPr>
            </w:pPr>
          </w:p>
        </w:tc>
        <w:tc>
          <w:tcPr>
            <w:tcW w:w="484" w:type="pct"/>
            <w:vMerge w:val="continue"/>
            <w:vAlign w:val="center"/>
          </w:tcPr>
          <w:p w14:paraId="012F4ED3">
            <w:pPr>
              <w:widowControl w:val="0"/>
              <w:jc w:val="center"/>
              <w:rPr>
                <w:bCs/>
                <w:szCs w:val="21"/>
              </w:rPr>
            </w:pPr>
          </w:p>
        </w:tc>
        <w:tc>
          <w:tcPr>
            <w:tcW w:w="720" w:type="pct"/>
            <w:vMerge w:val="continue"/>
            <w:vAlign w:val="center"/>
          </w:tcPr>
          <w:p w14:paraId="0EEFADE7">
            <w:pPr>
              <w:widowControl w:val="0"/>
              <w:jc w:val="center"/>
              <w:rPr>
                <w:bCs/>
                <w:szCs w:val="21"/>
              </w:rPr>
            </w:pPr>
          </w:p>
        </w:tc>
        <w:tc>
          <w:tcPr>
            <w:tcW w:w="887" w:type="pct"/>
            <w:vAlign w:val="center"/>
          </w:tcPr>
          <w:p w14:paraId="1BEF21B5">
            <w:pPr>
              <w:widowControl w:val="0"/>
              <w:jc w:val="center"/>
              <w:rPr>
                <w:bCs/>
                <w:szCs w:val="21"/>
              </w:rPr>
            </w:pPr>
            <w:r>
              <w:rPr>
                <w:bCs/>
                <w:szCs w:val="21"/>
              </w:rPr>
              <w:t>&lt;10</w:t>
            </w:r>
          </w:p>
        </w:tc>
        <w:tc>
          <w:tcPr>
            <w:tcW w:w="706" w:type="pct"/>
            <w:vMerge w:val="continue"/>
            <w:vAlign w:val="center"/>
          </w:tcPr>
          <w:p w14:paraId="3FECD0DE">
            <w:pPr>
              <w:widowControl w:val="0"/>
              <w:jc w:val="center"/>
              <w:rPr>
                <w:bCs/>
                <w:szCs w:val="21"/>
              </w:rPr>
            </w:pPr>
          </w:p>
        </w:tc>
        <w:tc>
          <w:tcPr>
            <w:tcW w:w="675" w:type="pct"/>
            <w:vMerge w:val="continue"/>
            <w:vAlign w:val="center"/>
          </w:tcPr>
          <w:p w14:paraId="7B15A801">
            <w:pPr>
              <w:widowControl w:val="0"/>
              <w:jc w:val="center"/>
              <w:rPr>
                <w:bCs/>
                <w:szCs w:val="21"/>
              </w:rPr>
            </w:pPr>
          </w:p>
        </w:tc>
        <w:tc>
          <w:tcPr>
            <w:tcW w:w="566" w:type="pct"/>
            <w:vMerge w:val="continue"/>
            <w:vAlign w:val="center"/>
          </w:tcPr>
          <w:p w14:paraId="08DB1E4F">
            <w:pPr>
              <w:widowControl w:val="0"/>
              <w:jc w:val="center"/>
              <w:rPr>
                <w:bCs/>
                <w:szCs w:val="21"/>
              </w:rPr>
            </w:pPr>
          </w:p>
        </w:tc>
      </w:tr>
      <w:tr w14:paraId="66062D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vAlign w:val="center"/>
          </w:tcPr>
          <w:p w14:paraId="34D22731">
            <w:pPr>
              <w:widowControl w:val="0"/>
              <w:jc w:val="center"/>
              <w:rPr>
                <w:bCs/>
                <w:szCs w:val="21"/>
              </w:rPr>
            </w:pPr>
            <w:r>
              <w:rPr>
                <w:bCs/>
                <w:szCs w:val="21"/>
              </w:rPr>
              <w:t>HQ4#</w:t>
            </w:r>
          </w:p>
        </w:tc>
        <w:tc>
          <w:tcPr>
            <w:tcW w:w="481" w:type="pct"/>
            <w:vMerge w:val="continue"/>
            <w:vAlign w:val="center"/>
          </w:tcPr>
          <w:p w14:paraId="7D364436">
            <w:pPr>
              <w:widowControl w:val="0"/>
              <w:jc w:val="center"/>
              <w:rPr>
                <w:bCs/>
                <w:szCs w:val="21"/>
              </w:rPr>
            </w:pPr>
          </w:p>
        </w:tc>
        <w:tc>
          <w:tcPr>
            <w:tcW w:w="484" w:type="pct"/>
            <w:vMerge w:val="continue"/>
            <w:vAlign w:val="center"/>
          </w:tcPr>
          <w:p w14:paraId="25E3BB6A">
            <w:pPr>
              <w:widowControl w:val="0"/>
              <w:jc w:val="center"/>
              <w:rPr>
                <w:bCs/>
                <w:szCs w:val="21"/>
              </w:rPr>
            </w:pPr>
          </w:p>
        </w:tc>
        <w:tc>
          <w:tcPr>
            <w:tcW w:w="720" w:type="pct"/>
            <w:vMerge w:val="continue"/>
            <w:vAlign w:val="center"/>
          </w:tcPr>
          <w:p w14:paraId="2C998549">
            <w:pPr>
              <w:widowControl w:val="0"/>
              <w:jc w:val="center"/>
              <w:rPr>
                <w:bCs/>
                <w:szCs w:val="21"/>
              </w:rPr>
            </w:pPr>
          </w:p>
        </w:tc>
        <w:tc>
          <w:tcPr>
            <w:tcW w:w="887" w:type="pct"/>
            <w:vAlign w:val="center"/>
          </w:tcPr>
          <w:p w14:paraId="189B08B4">
            <w:pPr>
              <w:widowControl w:val="0"/>
              <w:jc w:val="center"/>
              <w:rPr>
                <w:bCs/>
                <w:szCs w:val="21"/>
              </w:rPr>
            </w:pPr>
            <w:r>
              <w:rPr>
                <w:bCs/>
                <w:szCs w:val="21"/>
              </w:rPr>
              <w:t>&lt;10</w:t>
            </w:r>
          </w:p>
        </w:tc>
        <w:tc>
          <w:tcPr>
            <w:tcW w:w="706" w:type="pct"/>
            <w:vMerge w:val="continue"/>
            <w:vAlign w:val="center"/>
          </w:tcPr>
          <w:p w14:paraId="0EA9AA4D">
            <w:pPr>
              <w:widowControl w:val="0"/>
              <w:jc w:val="center"/>
              <w:rPr>
                <w:bCs/>
                <w:szCs w:val="21"/>
              </w:rPr>
            </w:pPr>
          </w:p>
        </w:tc>
        <w:tc>
          <w:tcPr>
            <w:tcW w:w="675" w:type="pct"/>
            <w:vMerge w:val="continue"/>
            <w:vAlign w:val="center"/>
          </w:tcPr>
          <w:p w14:paraId="1DF6F556">
            <w:pPr>
              <w:widowControl w:val="0"/>
              <w:jc w:val="center"/>
              <w:rPr>
                <w:bCs/>
                <w:szCs w:val="21"/>
              </w:rPr>
            </w:pPr>
          </w:p>
        </w:tc>
        <w:tc>
          <w:tcPr>
            <w:tcW w:w="566" w:type="pct"/>
            <w:vMerge w:val="continue"/>
            <w:vAlign w:val="center"/>
          </w:tcPr>
          <w:p w14:paraId="262EA1E9">
            <w:pPr>
              <w:widowControl w:val="0"/>
              <w:jc w:val="center"/>
              <w:rPr>
                <w:bCs/>
                <w:szCs w:val="21"/>
              </w:rPr>
            </w:pPr>
          </w:p>
        </w:tc>
      </w:tr>
    </w:tbl>
    <w:p w14:paraId="161CC57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由监测结果及评价分析可知：评价区域内环境空气中的总悬浮颗粒物（TSP）浓度值满足《环境空气质量标准》（GB3095-2026）中过渡阶段二级标准中限值要求，氨、硫化氢的浓度值均满足《环境影响评价技术导则 大气环境》（HJ2.2-2018）附录D中其他污染物空气质量浓度参考限值要求。本项目臭气浓度现状值仅作为背景值使用。区域环境空气质量较好。</w:t>
      </w:r>
    </w:p>
    <w:bookmarkEnd w:id="532"/>
    <w:bookmarkEnd w:id="533"/>
    <w:p w14:paraId="68D08DC5">
      <w:pPr>
        <w:pStyle w:val="5"/>
        <w:adjustRightInd w:val="0"/>
        <w:snapToGrid w:val="0"/>
        <w:spacing w:before="0" w:after="0" w:line="360" w:lineRule="auto"/>
        <w:rPr>
          <w:color w:val="000000" w:themeColor="text1"/>
          <w:sz w:val="28"/>
          <w:szCs w:val="28"/>
          <w14:textFill>
            <w14:solidFill>
              <w14:schemeClr w14:val="tx1"/>
            </w14:solidFill>
          </w14:textFill>
        </w:rPr>
      </w:pPr>
      <w:bookmarkStart w:id="543" w:name="_Toc233380195"/>
      <w:bookmarkStart w:id="544" w:name="_Toc26656"/>
      <w:bookmarkStart w:id="545" w:name="_Toc32397"/>
      <w:bookmarkStart w:id="546" w:name="_Toc32177"/>
      <w:r>
        <w:rPr>
          <w:color w:val="000000" w:themeColor="text1"/>
          <w:sz w:val="28"/>
          <w:szCs w:val="28"/>
          <w14:textFill>
            <w14:solidFill>
              <w14:schemeClr w14:val="tx1"/>
            </w14:solidFill>
          </w14:textFill>
        </w:rPr>
        <w:t>4.2.2声环境质量现状调查与评价</w:t>
      </w:r>
      <w:bookmarkEnd w:id="543"/>
      <w:bookmarkEnd w:id="544"/>
      <w:bookmarkEnd w:id="545"/>
      <w:bookmarkEnd w:id="546"/>
    </w:p>
    <w:p w14:paraId="23DB9E1A">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为了解评价区声环境质量现状，本次环评委托四川锡水金山环保科技有限公司对项目所在区域声环境质量进行了现状监测。</w:t>
      </w:r>
    </w:p>
    <w:p w14:paraId="3B4D15A0">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1、声环境质量现状监测</w:t>
      </w:r>
    </w:p>
    <w:p w14:paraId="17436E39">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（1）监测点位</w:t>
      </w:r>
    </w:p>
    <w:p w14:paraId="10E8450B">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本次声环境质量现状监测在本项目建设地点厂界及敏感保护目标处共布设33个声环境质量监测点。具体情况见下表及附图。</w:t>
      </w:r>
    </w:p>
    <w:p w14:paraId="39AD83A6">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表4.</w:t>
      </w:r>
      <w:r>
        <w:rPr>
          <w:snapToGrid w:val="0"/>
          <w:color w:val="000000" w:themeColor="text1"/>
          <w:szCs w:val="21"/>
          <w:lang w:val="en-US"/>
          <w14:textFill>
            <w14:solidFill>
              <w14:schemeClr w14:val="tx1"/>
            </w14:solidFill>
          </w14:textFill>
        </w:rPr>
        <w:t>2</w:t>
      </w:r>
      <w:r>
        <w:rPr>
          <w:snapToGrid w:val="0"/>
          <w:color w:val="000000" w:themeColor="text1"/>
          <w:szCs w:val="21"/>
          <w14:textFill>
            <w14:solidFill>
              <w14:schemeClr w14:val="tx1"/>
            </w14:solidFill>
          </w14:textFill>
        </w:rPr>
        <w:t>-</w:t>
      </w:r>
      <w:r>
        <w:rPr>
          <w:snapToGrid w:val="0"/>
          <w:color w:val="000000" w:themeColor="text1"/>
          <w:szCs w:val="21"/>
          <w:lang w:val="en-US"/>
          <w14:textFill>
            <w14:solidFill>
              <w14:schemeClr w14:val="tx1"/>
            </w14:solidFill>
          </w14:textFill>
        </w:rPr>
        <w:t>7</w:t>
      </w:r>
      <w:r>
        <w:rPr>
          <w:snapToGrid w:val="0"/>
          <w:color w:val="000000" w:themeColor="text1"/>
          <w:szCs w:val="21"/>
          <w14:textFill>
            <w14:solidFill>
              <w14:schemeClr w14:val="tx1"/>
            </w14:solidFill>
          </w14:textFill>
        </w:rPr>
        <w:t>噪声监测点布设情况</w:t>
      </w:r>
    </w:p>
    <w:tbl>
      <w:tblPr>
        <w:tblStyle w:val="8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1700"/>
        <w:gridCol w:w="5245"/>
        <w:gridCol w:w="1365"/>
      </w:tblGrid>
      <w:tr w14:paraId="137996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1023" w:type="pct"/>
            <w:tcBorders>
              <w:tl2br w:val="nil"/>
              <w:tr2bl w:val="nil"/>
            </w:tcBorders>
            <w:vAlign w:val="center"/>
          </w:tcPr>
          <w:p w14:paraId="50A04A2D">
            <w:pPr>
              <w:adjustRightInd w:val="0"/>
              <w:snapToGrid w:val="0"/>
              <w:jc w:val="center"/>
              <w:textAlignment w:val="center"/>
              <w:rPr>
                <w:b/>
                <w:bCs/>
                <w:color w:val="000000" w:themeColor="text1"/>
                <w:kern w:val="0"/>
                <w:szCs w:val="21"/>
                <w:lang w:bidi="ar"/>
                <w14:textFill>
                  <w14:solidFill>
                    <w14:schemeClr w14:val="tx1"/>
                  </w14:solidFill>
                </w14:textFill>
              </w:rPr>
            </w:pPr>
            <w:r>
              <w:rPr>
                <w:b/>
                <w:bCs/>
                <w:color w:val="000000" w:themeColor="text1"/>
                <w:kern w:val="0"/>
                <w:szCs w:val="21"/>
                <w:lang w:bidi="ar"/>
                <w14:textFill>
                  <w14:solidFill>
                    <w14:schemeClr w14:val="tx1"/>
                  </w14:solidFill>
                </w14:textFill>
              </w:rPr>
              <w:t>监测点编号</w:t>
            </w:r>
          </w:p>
        </w:tc>
        <w:tc>
          <w:tcPr>
            <w:tcW w:w="3156" w:type="pct"/>
            <w:tcBorders>
              <w:tl2br w:val="nil"/>
              <w:tr2bl w:val="nil"/>
            </w:tcBorders>
            <w:vAlign w:val="center"/>
          </w:tcPr>
          <w:p w14:paraId="304A7624">
            <w:pPr>
              <w:adjustRightInd w:val="0"/>
              <w:snapToGrid w:val="0"/>
              <w:jc w:val="center"/>
              <w:textAlignment w:val="center"/>
              <w:rPr>
                <w:b/>
                <w:bCs/>
                <w:color w:val="000000" w:themeColor="text1"/>
                <w:kern w:val="0"/>
                <w:szCs w:val="21"/>
                <w:lang w:bidi="ar"/>
                <w14:textFill>
                  <w14:solidFill>
                    <w14:schemeClr w14:val="tx1"/>
                  </w14:solidFill>
                </w14:textFill>
              </w:rPr>
            </w:pPr>
            <w:r>
              <w:rPr>
                <w:b/>
                <w:bCs/>
                <w:color w:val="000000" w:themeColor="text1"/>
                <w:kern w:val="0"/>
                <w:szCs w:val="21"/>
                <w:lang w:bidi="ar"/>
                <w14:textFill>
                  <w14:solidFill>
                    <w14:schemeClr w14:val="tx1"/>
                  </w14:solidFill>
                </w14:textFill>
              </w:rPr>
              <w:t>监测点位</w:t>
            </w:r>
          </w:p>
        </w:tc>
        <w:tc>
          <w:tcPr>
            <w:tcW w:w="821" w:type="pct"/>
            <w:tcBorders>
              <w:tl2br w:val="nil"/>
              <w:tr2bl w:val="nil"/>
            </w:tcBorders>
            <w:vAlign w:val="center"/>
          </w:tcPr>
          <w:p w14:paraId="33A31C18">
            <w:pPr>
              <w:adjustRightInd w:val="0"/>
              <w:snapToGrid w:val="0"/>
              <w:jc w:val="center"/>
              <w:textAlignment w:val="center"/>
              <w:rPr>
                <w:b/>
                <w:bCs/>
                <w:color w:val="000000" w:themeColor="text1"/>
                <w:kern w:val="0"/>
                <w:szCs w:val="21"/>
                <w:lang w:bidi="ar"/>
                <w14:textFill>
                  <w14:solidFill>
                    <w14:schemeClr w14:val="tx1"/>
                  </w14:solidFill>
                </w14:textFill>
              </w:rPr>
            </w:pPr>
            <w:r>
              <w:rPr>
                <w:b/>
                <w:bCs/>
                <w:color w:val="000000" w:themeColor="text1"/>
                <w:kern w:val="0"/>
                <w:szCs w:val="21"/>
                <w:lang w:bidi="ar"/>
                <w14:textFill>
                  <w14:solidFill>
                    <w14:schemeClr w14:val="tx1"/>
                  </w14:solidFill>
                </w14:textFill>
              </w:rPr>
              <w:t>备注</w:t>
            </w:r>
          </w:p>
        </w:tc>
      </w:tr>
      <w:tr w14:paraId="2AEF6E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3A8E3397">
            <w:pPr>
              <w:jc w:val="center"/>
              <w:rPr>
                <w:color w:val="000000"/>
                <w:kern w:val="0"/>
                <w:szCs w:val="21"/>
              </w:rPr>
            </w:pPr>
            <w:bookmarkStart w:id="547" w:name="RANGE!B103"/>
            <w:r>
              <w:rPr>
                <w:color w:val="000000"/>
                <w:szCs w:val="21"/>
              </w:rPr>
              <w:t>ZS1#</w:t>
            </w:r>
            <w:bookmarkEnd w:id="547"/>
          </w:p>
        </w:tc>
        <w:tc>
          <w:tcPr>
            <w:tcW w:w="3156" w:type="pct"/>
            <w:tcBorders>
              <w:tl2br w:val="nil"/>
              <w:tr2bl w:val="nil"/>
            </w:tcBorders>
            <w:vAlign w:val="center"/>
          </w:tcPr>
          <w:p w14:paraId="7C5DF1F5">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w:t>
            </w:r>
            <w:r>
              <w:rPr>
                <w:rFonts w:hint="eastAsia"/>
                <w:color w:val="000000"/>
                <w:szCs w:val="21"/>
              </w:rPr>
              <w:t>百花村</w:t>
            </w:r>
            <w:r>
              <w:rPr>
                <w:color w:val="000000"/>
                <w:szCs w:val="21"/>
              </w:rPr>
              <w:t>养殖场北侧场界外</w:t>
            </w:r>
          </w:p>
        </w:tc>
        <w:tc>
          <w:tcPr>
            <w:tcW w:w="821" w:type="pct"/>
            <w:vMerge w:val="restart"/>
            <w:tcBorders>
              <w:tl2br w:val="nil"/>
              <w:tr2bl w:val="nil"/>
            </w:tcBorders>
            <w:vAlign w:val="center"/>
          </w:tcPr>
          <w:p w14:paraId="3B18367F">
            <w:pPr>
              <w:adjustRightInd w:val="0"/>
              <w:snapToGrid w:val="0"/>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厂界声环境质量</w:t>
            </w:r>
          </w:p>
        </w:tc>
      </w:tr>
      <w:tr w14:paraId="74D632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3E72897F">
            <w:pPr>
              <w:jc w:val="center"/>
              <w:rPr>
                <w:color w:val="000000"/>
                <w:szCs w:val="21"/>
              </w:rPr>
            </w:pPr>
            <w:bookmarkStart w:id="548" w:name="RANGE!B104"/>
            <w:r>
              <w:rPr>
                <w:color w:val="000000"/>
                <w:szCs w:val="21"/>
              </w:rPr>
              <w:t>ZS2#</w:t>
            </w:r>
            <w:bookmarkEnd w:id="548"/>
          </w:p>
        </w:tc>
        <w:tc>
          <w:tcPr>
            <w:tcW w:w="3156" w:type="pct"/>
            <w:tcBorders>
              <w:tl2br w:val="nil"/>
              <w:tr2bl w:val="nil"/>
            </w:tcBorders>
            <w:vAlign w:val="center"/>
          </w:tcPr>
          <w:p w14:paraId="4B11A387">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w:t>
            </w:r>
            <w:r>
              <w:rPr>
                <w:rFonts w:hint="eastAsia"/>
                <w:color w:val="000000"/>
                <w:szCs w:val="21"/>
              </w:rPr>
              <w:t>百花村</w:t>
            </w:r>
            <w:r>
              <w:rPr>
                <w:color w:val="000000"/>
                <w:szCs w:val="21"/>
              </w:rPr>
              <w:t>养殖场东侧场界外</w:t>
            </w:r>
          </w:p>
        </w:tc>
        <w:tc>
          <w:tcPr>
            <w:tcW w:w="821" w:type="pct"/>
            <w:vMerge w:val="continue"/>
            <w:tcBorders>
              <w:tl2br w:val="nil"/>
              <w:tr2bl w:val="nil"/>
            </w:tcBorders>
            <w:vAlign w:val="center"/>
          </w:tcPr>
          <w:p w14:paraId="7EBB5C70">
            <w:pPr>
              <w:adjustRightInd w:val="0"/>
              <w:snapToGrid w:val="0"/>
              <w:jc w:val="center"/>
              <w:textAlignment w:val="center"/>
              <w:rPr>
                <w:color w:val="000000" w:themeColor="text1"/>
                <w:kern w:val="0"/>
                <w:szCs w:val="21"/>
                <w:lang w:bidi="ar"/>
                <w14:textFill>
                  <w14:solidFill>
                    <w14:schemeClr w14:val="tx1"/>
                  </w14:solidFill>
                </w14:textFill>
              </w:rPr>
            </w:pPr>
          </w:p>
        </w:tc>
      </w:tr>
      <w:tr w14:paraId="23F1A9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5850653B">
            <w:pPr>
              <w:jc w:val="center"/>
              <w:rPr>
                <w:color w:val="000000"/>
                <w:szCs w:val="21"/>
              </w:rPr>
            </w:pPr>
            <w:bookmarkStart w:id="549" w:name="RANGE!B105"/>
            <w:r>
              <w:rPr>
                <w:color w:val="000000"/>
                <w:szCs w:val="21"/>
              </w:rPr>
              <w:t>ZS3#</w:t>
            </w:r>
            <w:bookmarkEnd w:id="549"/>
          </w:p>
        </w:tc>
        <w:tc>
          <w:tcPr>
            <w:tcW w:w="3156" w:type="pct"/>
            <w:tcBorders>
              <w:tl2br w:val="nil"/>
              <w:tr2bl w:val="nil"/>
            </w:tcBorders>
            <w:vAlign w:val="center"/>
          </w:tcPr>
          <w:p w14:paraId="1F4863C6">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w:t>
            </w:r>
            <w:r>
              <w:rPr>
                <w:rFonts w:hint="eastAsia"/>
                <w:color w:val="000000"/>
                <w:szCs w:val="21"/>
              </w:rPr>
              <w:t>百花村</w:t>
            </w:r>
            <w:r>
              <w:rPr>
                <w:color w:val="000000"/>
                <w:szCs w:val="21"/>
              </w:rPr>
              <w:t>养殖场南侧场界外</w:t>
            </w:r>
          </w:p>
        </w:tc>
        <w:tc>
          <w:tcPr>
            <w:tcW w:w="821" w:type="pct"/>
            <w:vMerge w:val="continue"/>
            <w:tcBorders>
              <w:tl2br w:val="nil"/>
              <w:tr2bl w:val="nil"/>
            </w:tcBorders>
            <w:vAlign w:val="center"/>
          </w:tcPr>
          <w:p w14:paraId="37286684">
            <w:pPr>
              <w:adjustRightInd w:val="0"/>
              <w:snapToGrid w:val="0"/>
              <w:jc w:val="center"/>
              <w:textAlignment w:val="center"/>
              <w:rPr>
                <w:color w:val="000000" w:themeColor="text1"/>
                <w:kern w:val="0"/>
                <w:szCs w:val="21"/>
                <w:lang w:bidi="ar"/>
                <w14:textFill>
                  <w14:solidFill>
                    <w14:schemeClr w14:val="tx1"/>
                  </w14:solidFill>
                </w14:textFill>
              </w:rPr>
            </w:pPr>
          </w:p>
        </w:tc>
      </w:tr>
      <w:tr w14:paraId="7DBA84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09061B07">
            <w:pPr>
              <w:jc w:val="center"/>
              <w:rPr>
                <w:color w:val="000000"/>
                <w:szCs w:val="21"/>
              </w:rPr>
            </w:pPr>
            <w:bookmarkStart w:id="550" w:name="RANGE!B106"/>
            <w:r>
              <w:rPr>
                <w:color w:val="000000"/>
                <w:szCs w:val="21"/>
              </w:rPr>
              <w:t>ZS4#</w:t>
            </w:r>
            <w:bookmarkEnd w:id="550"/>
          </w:p>
        </w:tc>
        <w:tc>
          <w:tcPr>
            <w:tcW w:w="3156" w:type="pct"/>
            <w:tcBorders>
              <w:tl2br w:val="nil"/>
              <w:tr2bl w:val="nil"/>
            </w:tcBorders>
            <w:vAlign w:val="center"/>
          </w:tcPr>
          <w:p w14:paraId="4A47873A">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白庙乡板</w:t>
            </w:r>
            <w:r>
              <w:rPr>
                <w:rFonts w:hint="eastAsia"/>
                <w:color w:val="000000"/>
                <w:szCs w:val="21"/>
              </w:rPr>
              <w:t>百花</w:t>
            </w:r>
            <w:r>
              <w:rPr>
                <w:color w:val="000000"/>
                <w:szCs w:val="21"/>
              </w:rPr>
              <w:t>村养殖场西侧场界外</w:t>
            </w:r>
          </w:p>
        </w:tc>
        <w:tc>
          <w:tcPr>
            <w:tcW w:w="821" w:type="pct"/>
            <w:vMerge w:val="continue"/>
            <w:tcBorders>
              <w:tl2br w:val="nil"/>
              <w:tr2bl w:val="nil"/>
            </w:tcBorders>
            <w:vAlign w:val="center"/>
          </w:tcPr>
          <w:p w14:paraId="351B91F0">
            <w:pPr>
              <w:adjustRightInd w:val="0"/>
              <w:snapToGrid w:val="0"/>
              <w:jc w:val="center"/>
              <w:textAlignment w:val="center"/>
              <w:rPr>
                <w:color w:val="000000" w:themeColor="text1"/>
                <w:kern w:val="0"/>
                <w:szCs w:val="21"/>
                <w:lang w:bidi="ar"/>
                <w14:textFill>
                  <w14:solidFill>
                    <w14:schemeClr w14:val="tx1"/>
                  </w14:solidFill>
                </w14:textFill>
              </w:rPr>
            </w:pPr>
          </w:p>
        </w:tc>
      </w:tr>
      <w:tr w14:paraId="5A31DF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776D599B">
            <w:pPr>
              <w:jc w:val="center"/>
              <w:rPr>
                <w:color w:val="000000"/>
                <w:szCs w:val="21"/>
              </w:rPr>
            </w:pPr>
            <w:bookmarkStart w:id="551" w:name="RANGE!B107"/>
            <w:r>
              <w:rPr>
                <w:color w:val="000000"/>
                <w:szCs w:val="21"/>
              </w:rPr>
              <w:t>ZS5#</w:t>
            </w:r>
            <w:bookmarkEnd w:id="551"/>
          </w:p>
        </w:tc>
        <w:tc>
          <w:tcPr>
            <w:tcW w:w="3156" w:type="pct"/>
            <w:tcBorders>
              <w:tl2br w:val="nil"/>
              <w:tr2bl w:val="nil"/>
            </w:tcBorders>
            <w:vAlign w:val="center"/>
          </w:tcPr>
          <w:p w14:paraId="39139668">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w:t>
            </w:r>
            <w:r>
              <w:rPr>
                <w:rFonts w:hint="eastAsia"/>
                <w:color w:val="000000"/>
                <w:szCs w:val="21"/>
              </w:rPr>
              <w:t>百花村</w:t>
            </w:r>
            <w:r>
              <w:rPr>
                <w:color w:val="000000"/>
                <w:szCs w:val="21"/>
              </w:rPr>
              <w:t>养殖场北侧场界外北侧居民处</w:t>
            </w:r>
          </w:p>
        </w:tc>
        <w:tc>
          <w:tcPr>
            <w:tcW w:w="821" w:type="pct"/>
            <w:vMerge w:val="restart"/>
            <w:tcBorders>
              <w:tl2br w:val="nil"/>
              <w:tr2bl w:val="nil"/>
            </w:tcBorders>
            <w:vAlign w:val="center"/>
          </w:tcPr>
          <w:p w14:paraId="3F7DDA70">
            <w:pPr>
              <w:adjustRightInd w:val="0"/>
              <w:snapToGrid w:val="0"/>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敏感点声环境质量</w:t>
            </w:r>
          </w:p>
        </w:tc>
      </w:tr>
      <w:tr w14:paraId="1A40CD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46599DB4">
            <w:pPr>
              <w:jc w:val="center"/>
              <w:rPr>
                <w:color w:val="000000"/>
                <w:szCs w:val="21"/>
              </w:rPr>
            </w:pPr>
            <w:bookmarkStart w:id="552" w:name="RANGE!B108"/>
            <w:r>
              <w:rPr>
                <w:color w:val="000000"/>
                <w:szCs w:val="21"/>
              </w:rPr>
              <w:t>ZS6#</w:t>
            </w:r>
            <w:bookmarkEnd w:id="552"/>
          </w:p>
        </w:tc>
        <w:tc>
          <w:tcPr>
            <w:tcW w:w="3156" w:type="pct"/>
            <w:tcBorders>
              <w:tl2br w:val="nil"/>
              <w:tr2bl w:val="nil"/>
            </w:tcBorders>
            <w:vAlign w:val="center"/>
          </w:tcPr>
          <w:p w14:paraId="7703E3CB">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w:t>
            </w:r>
            <w:r>
              <w:rPr>
                <w:rFonts w:hint="eastAsia"/>
                <w:color w:val="000000"/>
                <w:szCs w:val="21"/>
              </w:rPr>
              <w:t>百花村</w:t>
            </w:r>
            <w:r>
              <w:rPr>
                <w:color w:val="000000"/>
                <w:szCs w:val="21"/>
              </w:rPr>
              <w:t>养殖场北侧场界外南侧居民处</w:t>
            </w:r>
          </w:p>
        </w:tc>
        <w:tc>
          <w:tcPr>
            <w:tcW w:w="821" w:type="pct"/>
            <w:vMerge w:val="continue"/>
            <w:tcBorders>
              <w:tl2br w:val="nil"/>
              <w:tr2bl w:val="nil"/>
            </w:tcBorders>
            <w:vAlign w:val="center"/>
          </w:tcPr>
          <w:p w14:paraId="6B46E80B">
            <w:pPr>
              <w:adjustRightInd w:val="0"/>
              <w:snapToGrid w:val="0"/>
              <w:jc w:val="center"/>
              <w:textAlignment w:val="center"/>
              <w:rPr>
                <w:color w:val="000000" w:themeColor="text1"/>
                <w:kern w:val="0"/>
                <w:szCs w:val="21"/>
                <w:lang w:bidi="ar"/>
                <w14:textFill>
                  <w14:solidFill>
                    <w14:schemeClr w14:val="tx1"/>
                  </w14:solidFill>
                </w14:textFill>
              </w:rPr>
            </w:pPr>
          </w:p>
        </w:tc>
      </w:tr>
      <w:tr w14:paraId="75E771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430E252D">
            <w:pPr>
              <w:jc w:val="center"/>
              <w:rPr>
                <w:color w:val="000000"/>
                <w:szCs w:val="21"/>
              </w:rPr>
            </w:pPr>
            <w:bookmarkStart w:id="553" w:name="RANGE!B109"/>
            <w:r>
              <w:rPr>
                <w:color w:val="000000"/>
                <w:szCs w:val="21"/>
              </w:rPr>
              <w:t>ZS7#</w:t>
            </w:r>
            <w:bookmarkEnd w:id="553"/>
          </w:p>
        </w:tc>
        <w:tc>
          <w:tcPr>
            <w:tcW w:w="3156" w:type="pct"/>
            <w:tcBorders>
              <w:tl2br w:val="nil"/>
              <w:tr2bl w:val="nil"/>
            </w:tcBorders>
            <w:vAlign w:val="center"/>
          </w:tcPr>
          <w:p w14:paraId="10B519E6">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w:t>
            </w:r>
            <w:r>
              <w:rPr>
                <w:rFonts w:hint="eastAsia"/>
                <w:color w:val="000000"/>
                <w:szCs w:val="21"/>
              </w:rPr>
              <w:t>百花村</w:t>
            </w:r>
            <w:r>
              <w:rPr>
                <w:color w:val="000000"/>
                <w:szCs w:val="21"/>
              </w:rPr>
              <w:t>养殖场北侧场界外西南侧居民处</w:t>
            </w:r>
          </w:p>
        </w:tc>
        <w:tc>
          <w:tcPr>
            <w:tcW w:w="821" w:type="pct"/>
            <w:vMerge w:val="continue"/>
            <w:tcBorders>
              <w:tl2br w:val="nil"/>
              <w:tr2bl w:val="nil"/>
            </w:tcBorders>
            <w:vAlign w:val="center"/>
          </w:tcPr>
          <w:p w14:paraId="0EAF4B46">
            <w:pPr>
              <w:adjustRightInd w:val="0"/>
              <w:snapToGrid w:val="0"/>
              <w:jc w:val="center"/>
              <w:textAlignment w:val="center"/>
              <w:rPr>
                <w:color w:val="000000" w:themeColor="text1"/>
                <w:kern w:val="0"/>
                <w:szCs w:val="21"/>
                <w:lang w:bidi="ar"/>
                <w14:textFill>
                  <w14:solidFill>
                    <w14:schemeClr w14:val="tx1"/>
                  </w14:solidFill>
                </w14:textFill>
              </w:rPr>
            </w:pPr>
          </w:p>
        </w:tc>
      </w:tr>
      <w:tr w14:paraId="1041BA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4AEDC6C1">
            <w:pPr>
              <w:jc w:val="center"/>
              <w:rPr>
                <w:color w:val="000000"/>
                <w:szCs w:val="21"/>
              </w:rPr>
            </w:pPr>
            <w:bookmarkStart w:id="554" w:name="RANGE!B110"/>
            <w:r>
              <w:rPr>
                <w:color w:val="000000"/>
                <w:szCs w:val="21"/>
              </w:rPr>
              <w:t>ZS8#</w:t>
            </w:r>
            <w:bookmarkEnd w:id="554"/>
          </w:p>
        </w:tc>
        <w:tc>
          <w:tcPr>
            <w:tcW w:w="3156" w:type="pct"/>
            <w:tcBorders>
              <w:tl2br w:val="nil"/>
              <w:tr2bl w:val="nil"/>
            </w:tcBorders>
            <w:vAlign w:val="center"/>
          </w:tcPr>
          <w:p w14:paraId="1EEEBA40">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曾口镇佛龙村养殖场北侧场界外</w:t>
            </w:r>
          </w:p>
        </w:tc>
        <w:tc>
          <w:tcPr>
            <w:tcW w:w="821" w:type="pct"/>
            <w:vMerge w:val="restart"/>
            <w:tcBorders>
              <w:tl2br w:val="nil"/>
              <w:tr2bl w:val="nil"/>
            </w:tcBorders>
            <w:vAlign w:val="center"/>
          </w:tcPr>
          <w:p w14:paraId="476BDE73">
            <w:pPr>
              <w:adjustRightInd w:val="0"/>
              <w:snapToGrid w:val="0"/>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厂界声环境质量</w:t>
            </w:r>
          </w:p>
        </w:tc>
      </w:tr>
      <w:tr w14:paraId="73EBE8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4493B066">
            <w:pPr>
              <w:jc w:val="center"/>
              <w:rPr>
                <w:color w:val="000000"/>
                <w:szCs w:val="21"/>
              </w:rPr>
            </w:pPr>
            <w:bookmarkStart w:id="555" w:name="RANGE!B111"/>
            <w:r>
              <w:rPr>
                <w:color w:val="000000"/>
                <w:szCs w:val="21"/>
              </w:rPr>
              <w:t>ZS9#</w:t>
            </w:r>
            <w:bookmarkEnd w:id="555"/>
          </w:p>
        </w:tc>
        <w:tc>
          <w:tcPr>
            <w:tcW w:w="3156" w:type="pct"/>
            <w:tcBorders>
              <w:tl2br w:val="nil"/>
              <w:tr2bl w:val="nil"/>
            </w:tcBorders>
            <w:vAlign w:val="center"/>
          </w:tcPr>
          <w:p w14:paraId="70E30FE5">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曾口镇佛龙村养殖场东侧场界外</w:t>
            </w:r>
          </w:p>
        </w:tc>
        <w:tc>
          <w:tcPr>
            <w:tcW w:w="821" w:type="pct"/>
            <w:vMerge w:val="continue"/>
            <w:tcBorders>
              <w:tl2br w:val="nil"/>
              <w:tr2bl w:val="nil"/>
            </w:tcBorders>
            <w:vAlign w:val="center"/>
          </w:tcPr>
          <w:p w14:paraId="51E5B209">
            <w:pPr>
              <w:adjustRightInd w:val="0"/>
              <w:snapToGrid w:val="0"/>
              <w:jc w:val="center"/>
              <w:textAlignment w:val="center"/>
              <w:rPr>
                <w:color w:val="000000" w:themeColor="text1"/>
                <w:kern w:val="0"/>
                <w:szCs w:val="21"/>
                <w:lang w:bidi="ar"/>
                <w14:textFill>
                  <w14:solidFill>
                    <w14:schemeClr w14:val="tx1"/>
                  </w14:solidFill>
                </w14:textFill>
              </w:rPr>
            </w:pPr>
          </w:p>
        </w:tc>
      </w:tr>
      <w:tr w14:paraId="2CE36C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3C37B9B4">
            <w:pPr>
              <w:jc w:val="center"/>
              <w:rPr>
                <w:color w:val="000000"/>
                <w:szCs w:val="21"/>
              </w:rPr>
            </w:pPr>
            <w:bookmarkStart w:id="556" w:name="RANGE!B112"/>
            <w:r>
              <w:rPr>
                <w:color w:val="000000"/>
                <w:szCs w:val="21"/>
              </w:rPr>
              <w:t>ZS10#</w:t>
            </w:r>
            <w:bookmarkEnd w:id="556"/>
          </w:p>
        </w:tc>
        <w:tc>
          <w:tcPr>
            <w:tcW w:w="3156" w:type="pct"/>
            <w:tcBorders>
              <w:tl2br w:val="nil"/>
              <w:tr2bl w:val="nil"/>
            </w:tcBorders>
            <w:vAlign w:val="center"/>
          </w:tcPr>
          <w:p w14:paraId="40DC0BD4">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曾口镇佛龙村养殖场南侧场界外</w:t>
            </w:r>
          </w:p>
        </w:tc>
        <w:tc>
          <w:tcPr>
            <w:tcW w:w="821" w:type="pct"/>
            <w:vMerge w:val="continue"/>
            <w:tcBorders>
              <w:tl2br w:val="nil"/>
              <w:tr2bl w:val="nil"/>
            </w:tcBorders>
            <w:vAlign w:val="center"/>
          </w:tcPr>
          <w:p w14:paraId="54BE8AE6">
            <w:pPr>
              <w:adjustRightInd w:val="0"/>
              <w:snapToGrid w:val="0"/>
              <w:jc w:val="center"/>
              <w:textAlignment w:val="center"/>
              <w:rPr>
                <w:color w:val="000000" w:themeColor="text1"/>
                <w:kern w:val="0"/>
                <w:szCs w:val="21"/>
                <w:lang w:bidi="ar"/>
                <w14:textFill>
                  <w14:solidFill>
                    <w14:schemeClr w14:val="tx1"/>
                  </w14:solidFill>
                </w14:textFill>
              </w:rPr>
            </w:pPr>
          </w:p>
        </w:tc>
      </w:tr>
      <w:tr w14:paraId="268ACD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2BD7867D">
            <w:pPr>
              <w:jc w:val="center"/>
              <w:rPr>
                <w:color w:val="000000"/>
                <w:szCs w:val="21"/>
              </w:rPr>
            </w:pPr>
            <w:bookmarkStart w:id="557" w:name="RANGE!B113"/>
            <w:r>
              <w:rPr>
                <w:color w:val="000000"/>
                <w:szCs w:val="21"/>
              </w:rPr>
              <w:t>ZS11#</w:t>
            </w:r>
            <w:bookmarkEnd w:id="557"/>
          </w:p>
        </w:tc>
        <w:tc>
          <w:tcPr>
            <w:tcW w:w="3156" w:type="pct"/>
            <w:tcBorders>
              <w:tl2br w:val="nil"/>
              <w:tr2bl w:val="nil"/>
            </w:tcBorders>
            <w:vAlign w:val="center"/>
          </w:tcPr>
          <w:p w14:paraId="064F2595">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曾口镇佛龙村养殖场西侧场界外</w:t>
            </w:r>
          </w:p>
        </w:tc>
        <w:tc>
          <w:tcPr>
            <w:tcW w:w="821" w:type="pct"/>
            <w:vMerge w:val="continue"/>
            <w:tcBorders>
              <w:tl2br w:val="nil"/>
              <w:tr2bl w:val="nil"/>
            </w:tcBorders>
            <w:vAlign w:val="center"/>
          </w:tcPr>
          <w:p w14:paraId="25617323">
            <w:pPr>
              <w:adjustRightInd w:val="0"/>
              <w:snapToGrid w:val="0"/>
              <w:jc w:val="center"/>
              <w:textAlignment w:val="center"/>
              <w:rPr>
                <w:color w:val="000000" w:themeColor="text1"/>
                <w:kern w:val="0"/>
                <w:szCs w:val="21"/>
                <w:lang w:bidi="ar"/>
                <w14:textFill>
                  <w14:solidFill>
                    <w14:schemeClr w14:val="tx1"/>
                  </w14:solidFill>
                </w14:textFill>
              </w:rPr>
            </w:pPr>
          </w:p>
        </w:tc>
      </w:tr>
      <w:tr w14:paraId="3C5B5C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35F77B8E">
            <w:pPr>
              <w:jc w:val="center"/>
              <w:rPr>
                <w:color w:val="000000"/>
                <w:szCs w:val="21"/>
              </w:rPr>
            </w:pPr>
            <w:bookmarkStart w:id="558" w:name="RANGE!B114"/>
            <w:r>
              <w:rPr>
                <w:color w:val="000000"/>
                <w:szCs w:val="21"/>
              </w:rPr>
              <w:t>ZS12#</w:t>
            </w:r>
            <w:bookmarkEnd w:id="558"/>
          </w:p>
        </w:tc>
        <w:tc>
          <w:tcPr>
            <w:tcW w:w="3156" w:type="pct"/>
            <w:tcBorders>
              <w:tl2br w:val="nil"/>
              <w:tr2bl w:val="nil"/>
            </w:tcBorders>
            <w:vAlign w:val="center"/>
          </w:tcPr>
          <w:p w14:paraId="724BCFD3">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曾口镇佛龙村养殖场东北侧居民处A</w:t>
            </w:r>
          </w:p>
        </w:tc>
        <w:tc>
          <w:tcPr>
            <w:tcW w:w="821" w:type="pct"/>
            <w:vMerge w:val="restart"/>
            <w:tcBorders>
              <w:tl2br w:val="nil"/>
              <w:tr2bl w:val="nil"/>
            </w:tcBorders>
            <w:vAlign w:val="center"/>
          </w:tcPr>
          <w:p w14:paraId="6170B84D">
            <w:pPr>
              <w:adjustRightInd w:val="0"/>
              <w:snapToGrid w:val="0"/>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敏感点声环境质量</w:t>
            </w:r>
          </w:p>
        </w:tc>
      </w:tr>
      <w:tr w14:paraId="47CFA0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17F7B3DA">
            <w:pPr>
              <w:jc w:val="center"/>
              <w:rPr>
                <w:color w:val="000000"/>
                <w:szCs w:val="21"/>
              </w:rPr>
            </w:pPr>
            <w:bookmarkStart w:id="559" w:name="RANGE!B115"/>
            <w:r>
              <w:rPr>
                <w:color w:val="000000"/>
                <w:szCs w:val="21"/>
              </w:rPr>
              <w:t>ZS13#</w:t>
            </w:r>
            <w:bookmarkEnd w:id="559"/>
          </w:p>
        </w:tc>
        <w:tc>
          <w:tcPr>
            <w:tcW w:w="3156" w:type="pct"/>
            <w:tcBorders>
              <w:tl2br w:val="nil"/>
              <w:tr2bl w:val="nil"/>
            </w:tcBorders>
            <w:vAlign w:val="center"/>
          </w:tcPr>
          <w:p w14:paraId="14BB6B85">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曾口镇佛龙村养殖场东北侧居民处B</w:t>
            </w:r>
          </w:p>
        </w:tc>
        <w:tc>
          <w:tcPr>
            <w:tcW w:w="821" w:type="pct"/>
            <w:vMerge w:val="continue"/>
            <w:tcBorders>
              <w:tl2br w:val="nil"/>
              <w:tr2bl w:val="nil"/>
            </w:tcBorders>
            <w:vAlign w:val="center"/>
          </w:tcPr>
          <w:p w14:paraId="75187F11">
            <w:pPr>
              <w:adjustRightInd w:val="0"/>
              <w:snapToGrid w:val="0"/>
              <w:jc w:val="center"/>
              <w:textAlignment w:val="center"/>
              <w:rPr>
                <w:color w:val="000000" w:themeColor="text1"/>
                <w:kern w:val="0"/>
                <w:szCs w:val="21"/>
                <w:lang w:bidi="ar"/>
                <w14:textFill>
                  <w14:solidFill>
                    <w14:schemeClr w14:val="tx1"/>
                  </w14:solidFill>
                </w14:textFill>
              </w:rPr>
            </w:pPr>
          </w:p>
        </w:tc>
      </w:tr>
      <w:tr w14:paraId="5AB6A9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034907DB">
            <w:pPr>
              <w:jc w:val="center"/>
              <w:rPr>
                <w:color w:val="000000"/>
                <w:szCs w:val="21"/>
              </w:rPr>
            </w:pPr>
            <w:bookmarkStart w:id="560" w:name="RANGE!B116"/>
            <w:r>
              <w:rPr>
                <w:color w:val="000000"/>
                <w:szCs w:val="21"/>
              </w:rPr>
              <w:t>ZS14#</w:t>
            </w:r>
            <w:bookmarkEnd w:id="560"/>
          </w:p>
        </w:tc>
        <w:tc>
          <w:tcPr>
            <w:tcW w:w="3156" w:type="pct"/>
            <w:tcBorders>
              <w:tl2br w:val="nil"/>
              <w:tr2bl w:val="nil"/>
            </w:tcBorders>
            <w:vAlign w:val="center"/>
          </w:tcPr>
          <w:p w14:paraId="23BF02C6">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曾口镇佛龙村养殖场南侧居民处</w:t>
            </w:r>
          </w:p>
        </w:tc>
        <w:tc>
          <w:tcPr>
            <w:tcW w:w="821" w:type="pct"/>
            <w:vMerge w:val="continue"/>
            <w:tcBorders>
              <w:tl2br w:val="nil"/>
              <w:tr2bl w:val="nil"/>
            </w:tcBorders>
            <w:vAlign w:val="center"/>
          </w:tcPr>
          <w:p w14:paraId="71DA31D5">
            <w:pPr>
              <w:adjustRightInd w:val="0"/>
              <w:snapToGrid w:val="0"/>
              <w:jc w:val="center"/>
              <w:textAlignment w:val="center"/>
              <w:rPr>
                <w:color w:val="000000" w:themeColor="text1"/>
                <w:kern w:val="0"/>
                <w:szCs w:val="21"/>
                <w:lang w:bidi="ar"/>
                <w14:textFill>
                  <w14:solidFill>
                    <w14:schemeClr w14:val="tx1"/>
                  </w14:solidFill>
                </w14:textFill>
              </w:rPr>
            </w:pPr>
          </w:p>
        </w:tc>
      </w:tr>
      <w:tr w14:paraId="4405A4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2C899842">
            <w:pPr>
              <w:jc w:val="center"/>
              <w:rPr>
                <w:color w:val="000000"/>
                <w:szCs w:val="21"/>
              </w:rPr>
            </w:pPr>
            <w:bookmarkStart w:id="561" w:name="RANGE!B117"/>
            <w:r>
              <w:rPr>
                <w:color w:val="000000"/>
                <w:szCs w:val="21"/>
              </w:rPr>
              <w:t>ZS15#</w:t>
            </w:r>
            <w:bookmarkEnd w:id="561"/>
          </w:p>
        </w:tc>
        <w:tc>
          <w:tcPr>
            <w:tcW w:w="3156" w:type="pct"/>
            <w:tcBorders>
              <w:tl2br w:val="nil"/>
              <w:tr2bl w:val="nil"/>
            </w:tcBorders>
            <w:vAlign w:val="center"/>
          </w:tcPr>
          <w:p w14:paraId="35A2F90A">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曾口镇佛龙村养殖场西南侧居民处</w:t>
            </w:r>
          </w:p>
        </w:tc>
        <w:tc>
          <w:tcPr>
            <w:tcW w:w="821" w:type="pct"/>
            <w:vMerge w:val="continue"/>
            <w:tcBorders>
              <w:tl2br w:val="nil"/>
              <w:tr2bl w:val="nil"/>
            </w:tcBorders>
            <w:vAlign w:val="center"/>
          </w:tcPr>
          <w:p w14:paraId="4838BF09">
            <w:pPr>
              <w:adjustRightInd w:val="0"/>
              <w:snapToGrid w:val="0"/>
              <w:jc w:val="center"/>
              <w:textAlignment w:val="center"/>
              <w:rPr>
                <w:color w:val="000000" w:themeColor="text1"/>
                <w:kern w:val="0"/>
                <w:szCs w:val="21"/>
                <w:lang w:bidi="ar"/>
                <w14:textFill>
                  <w14:solidFill>
                    <w14:schemeClr w14:val="tx1"/>
                  </w14:solidFill>
                </w14:textFill>
              </w:rPr>
            </w:pPr>
          </w:p>
        </w:tc>
      </w:tr>
      <w:tr w14:paraId="3E8820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277BC967">
            <w:pPr>
              <w:jc w:val="center"/>
              <w:rPr>
                <w:color w:val="000000"/>
                <w:szCs w:val="21"/>
              </w:rPr>
            </w:pPr>
            <w:bookmarkStart w:id="562" w:name="RANGE!B118"/>
            <w:r>
              <w:rPr>
                <w:color w:val="000000"/>
                <w:szCs w:val="21"/>
              </w:rPr>
              <w:t>ZS16#</w:t>
            </w:r>
            <w:bookmarkEnd w:id="562"/>
          </w:p>
        </w:tc>
        <w:tc>
          <w:tcPr>
            <w:tcW w:w="3156" w:type="pct"/>
            <w:tcBorders>
              <w:tl2br w:val="nil"/>
              <w:tr2bl w:val="nil"/>
            </w:tcBorders>
            <w:vAlign w:val="center"/>
          </w:tcPr>
          <w:p w14:paraId="52EA4231">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清江镇塘坝村养殖场北侧场界外</w:t>
            </w:r>
          </w:p>
        </w:tc>
        <w:tc>
          <w:tcPr>
            <w:tcW w:w="821" w:type="pct"/>
            <w:vMerge w:val="restart"/>
            <w:tcBorders>
              <w:tl2br w:val="nil"/>
              <w:tr2bl w:val="nil"/>
            </w:tcBorders>
            <w:vAlign w:val="center"/>
          </w:tcPr>
          <w:p w14:paraId="7FFA4077">
            <w:pPr>
              <w:adjustRightInd w:val="0"/>
              <w:snapToGrid w:val="0"/>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厂界声环境质量</w:t>
            </w:r>
          </w:p>
        </w:tc>
      </w:tr>
      <w:tr w14:paraId="7C8773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074BE23F">
            <w:pPr>
              <w:jc w:val="center"/>
              <w:rPr>
                <w:color w:val="000000"/>
                <w:szCs w:val="21"/>
              </w:rPr>
            </w:pPr>
            <w:bookmarkStart w:id="563" w:name="RANGE!B119"/>
            <w:r>
              <w:rPr>
                <w:color w:val="000000"/>
                <w:szCs w:val="21"/>
              </w:rPr>
              <w:t>ZS17#</w:t>
            </w:r>
            <w:bookmarkEnd w:id="563"/>
          </w:p>
        </w:tc>
        <w:tc>
          <w:tcPr>
            <w:tcW w:w="3156" w:type="pct"/>
            <w:tcBorders>
              <w:tl2br w:val="nil"/>
              <w:tr2bl w:val="nil"/>
            </w:tcBorders>
            <w:vAlign w:val="center"/>
          </w:tcPr>
          <w:p w14:paraId="05334E2D">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清江镇塘坝村养殖场东侧场界外</w:t>
            </w:r>
          </w:p>
        </w:tc>
        <w:tc>
          <w:tcPr>
            <w:tcW w:w="821" w:type="pct"/>
            <w:vMerge w:val="continue"/>
            <w:tcBorders>
              <w:tl2br w:val="nil"/>
              <w:tr2bl w:val="nil"/>
            </w:tcBorders>
            <w:vAlign w:val="center"/>
          </w:tcPr>
          <w:p w14:paraId="1C4ACC2C">
            <w:pPr>
              <w:adjustRightInd w:val="0"/>
              <w:snapToGrid w:val="0"/>
              <w:jc w:val="center"/>
              <w:textAlignment w:val="center"/>
              <w:rPr>
                <w:color w:val="000000" w:themeColor="text1"/>
                <w:kern w:val="0"/>
                <w:szCs w:val="21"/>
                <w:lang w:bidi="ar"/>
                <w14:textFill>
                  <w14:solidFill>
                    <w14:schemeClr w14:val="tx1"/>
                  </w14:solidFill>
                </w14:textFill>
              </w:rPr>
            </w:pPr>
          </w:p>
        </w:tc>
      </w:tr>
      <w:tr w14:paraId="333459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73733633">
            <w:pPr>
              <w:jc w:val="center"/>
              <w:rPr>
                <w:color w:val="000000"/>
                <w:szCs w:val="21"/>
              </w:rPr>
            </w:pPr>
            <w:bookmarkStart w:id="564" w:name="RANGE!B120"/>
            <w:r>
              <w:rPr>
                <w:color w:val="000000"/>
                <w:szCs w:val="21"/>
              </w:rPr>
              <w:t>ZS18#</w:t>
            </w:r>
            <w:bookmarkEnd w:id="564"/>
          </w:p>
        </w:tc>
        <w:tc>
          <w:tcPr>
            <w:tcW w:w="3156" w:type="pct"/>
            <w:tcBorders>
              <w:tl2br w:val="nil"/>
              <w:tr2bl w:val="nil"/>
            </w:tcBorders>
            <w:vAlign w:val="center"/>
          </w:tcPr>
          <w:p w14:paraId="25F3268F">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清江镇塘坝村养殖场南侧场界外</w:t>
            </w:r>
          </w:p>
        </w:tc>
        <w:tc>
          <w:tcPr>
            <w:tcW w:w="821" w:type="pct"/>
            <w:vMerge w:val="continue"/>
            <w:tcBorders>
              <w:tl2br w:val="nil"/>
              <w:tr2bl w:val="nil"/>
            </w:tcBorders>
            <w:vAlign w:val="center"/>
          </w:tcPr>
          <w:p w14:paraId="7C1B024E">
            <w:pPr>
              <w:adjustRightInd w:val="0"/>
              <w:snapToGrid w:val="0"/>
              <w:jc w:val="center"/>
              <w:textAlignment w:val="center"/>
              <w:rPr>
                <w:color w:val="000000" w:themeColor="text1"/>
                <w:kern w:val="0"/>
                <w:szCs w:val="21"/>
                <w:lang w:bidi="ar"/>
                <w14:textFill>
                  <w14:solidFill>
                    <w14:schemeClr w14:val="tx1"/>
                  </w14:solidFill>
                </w14:textFill>
              </w:rPr>
            </w:pPr>
          </w:p>
        </w:tc>
      </w:tr>
      <w:tr w14:paraId="3E7DE5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7A613F0D">
            <w:pPr>
              <w:jc w:val="center"/>
              <w:rPr>
                <w:color w:val="000000"/>
                <w:szCs w:val="21"/>
              </w:rPr>
            </w:pPr>
            <w:bookmarkStart w:id="565" w:name="RANGE!B121"/>
            <w:r>
              <w:rPr>
                <w:color w:val="000000"/>
                <w:szCs w:val="21"/>
              </w:rPr>
              <w:t>ZS19#</w:t>
            </w:r>
            <w:bookmarkEnd w:id="565"/>
          </w:p>
        </w:tc>
        <w:tc>
          <w:tcPr>
            <w:tcW w:w="3156" w:type="pct"/>
            <w:tcBorders>
              <w:tl2br w:val="nil"/>
              <w:tr2bl w:val="nil"/>
            </w:tcBorders>
            <w:vAlign w:val="center"/>
          </w:tcPr>
          <w:p w14:paraId="7FBCC390">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清江镇塘坝村养殖场西侧场界外</w:t>
            </w:r>
          </w:p>
        </w:tc>
        <w:tc>
          <w:tcPr>
            <w:tcW w:w="821" w:type="pct"/>
            <w:vMerge w:val="continue"/>
            <w:tcBorders>
              <w:tl2br w:val="nil"/>
              <w:tr2bl w:val="nil"/>
            </w:tcBorders>
            <w:vAlign w:val="center"/>
          </w:tcPr>
          <w:p w14:paraId="07A7769C">
            <w:pPr>
              <w:adjustRightInd w:val="0"/>
              <w:snapToGrid w:val="0"/>
              <w:jc w:val="center"/>
              <w:textAlignment w:val="center"/>
              <w:rPr>
                <w:color w:val="000000" w:themeColor="text1"/>
                <w:kern w:val="0"/>
                <w:szCs w:val="21"/>
                <w:lang w:bidi="ar"/>
                <w14:textFill>
                  <w14:solidFill>
                    <w14:schemeClr w14:val="tx1"/>
                  </w14:solidFill>
                </w14:textFill>
              </w:rPr>
            </w:pPr>
          </w:p>
        </w:tc>
      </w:tr>
      <w:tr w14:paraId="5FC9D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7EDC8333">
            <w:pPr>
              <w:jc w:val="center"/>
              <w:rPr>
                <w:color w:val="000000"/>
                <w:szCs w:val="21"/>
              </w:rPr>
            </w:pPr>
            <w:bookmarkStart w:id="566" w:name="RANGE!B122"/>
            <w:r>
              <w:rPr>
                <w:color w:val="000000"/>
                <w:szCs w:val="21"/>
              </w:rPr>
              <w:t>ZS20#</w:t>
            </w:r>
            <w:bookmarkEnd w:id="566"/>
          </w:p>
        </w:tc>
        <w:tc>
          <w:tcPr>
            <w:tcW w:w="3156" w:type="pct"/>
            <w:tcBorders>
              <w:tl2br w:val="nil"/>
              <w:tr2bl w:val="nil"/>
            </w:tcBorders>
            <w:vAlign w:val="center"/>
          </w:tcPr>
          <w:p w14:paraId="6CA23D13">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清江镇塘坝村养殖场东侧居民处</w:t>
            </w:r>
          </w:p>
        </w:tc>
        <w:tc>
          <w:tcPr>
            <w:tcW w:w="821" w:type="pct"/>
            <w:vMerge w:val="restart"/>
            <w:tcBorders>
              <w:tl2br w:val="nil"/>
              <w:tr2bl w:val="nil"/>
            </w:tcBorders>
            <w:vAlign w:val="center"/>
          </w:tcPr>
          <w:p w14:paraId="270E045B">
            <w:pPr>
              <w:adjustRightInd w:val="0"/>
              <w:snapToGrid w:val="0"/>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敏感点声环境质量</w:t>
            </w:r>
          </w:p>
        </w:tc>
      </w:tr>
      <w:tr w14:paraId="1AD66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5CCA6BAA">
            <w:pPr>
              <w:jc w:val="center"/>
              <w:rPr>
                <w:color w:val="000000"/>
                <w:szCs w:val="21"/>
              </w:rPr>
            </w:pPr>
            <w:bookmarkStart w:id="567" w:name="RANGE!B123"/>
            <w:r>
              <w:rPr>
                <w:color w:val="000000"/>
                <w:szCs w:val="21"/>
              </w:rPr>
              <w:t>ZS21#</w:t>
            </w:r>
            <w:bookmarkEnd w:id="567"/>
          </w:p>
        </w:tc>
        <w:tc>
          <w:tcPr>
            <w:tcW w:w="3156" w:type="pct"/>
            <w:tcBorders>
              <w:tl2br w:val="nil"/>
              <w:tr2bl w:val="nil"/>
            </w:tcBorders>
            <w:vAlign w:val="center"/>
          </w:tcPr>
          <w:p w14:paraId="5C912E1A">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清江镇塘坝村养殖场东南侧居民处</w:t>
            </w:r>
          </w:p>
        </w:tc>
        <w:tc>
          <w:tcPr>
            <w:tcW w:w="821" w:type="pct"/>
            <w:vMerge w:val="continue"/>
            <w:tcBorders>
              <w:tl2br w:val="nil"/>
              <w:tr2bl w:val="nil"/>
            </w:tcBorders>
            <w:vAlign w:val="center"/>
          </w:tcPr>
          <w:p w14:paraId="48A27103">
            <w:pPr>
              <w:adjustRightInd w:val="0"/>
              <w:snapToGrid w:val="0"/>
              <w:jc w:val="center"/>
              <w:textAlignment w:val="center"/>
              <w:rPr>
                <w:color w:val="000000" w:themeColor="text1"/>
                <w:kern w:val="0"/>
                <w:szCs w:val="21"/>
                <w:lang w:bidi="ar"/>
                <w14:textFill>
                  <w14:solidFill>
                    <w14:schemeClr w14:val="tx1"/>
                  </w14:solidFill>
                </w14:textFill>
              </w:rPr>
            </w:pPr>
          </w:p>
        </w:tc>
      </w:tr>
      <w:tr w14:paraId="0BBD3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2EC2F46C">
            <w:pPr>
              <w:jc w:val="center"/>
              <w:rPr>
                <w:color w:val="000000"/>
                <w:szCs w:val="21"/>
              </w:rPr>
            </w:pPr>
            <w:bookmarkStart w:id="568" w:name="RANGE!B124"/>
            <w:r>
              <w:rPr>
                <w:color w:val="000000"/>
                <w:szCs w:val="21"/>
              </w:rPr>
              <w:t>ZS22#</w:t>
            </w:r>
            <w:bookmarkEnd w:id="568"/>
          </w:p>
        </w:tc>
        <w:tc>
          <w:tcPr>
            <w:tcW w:w="3156" w:type="pct"/>
            <w:tcBorders>
              <w:tl2br w:val="nil"/>
              <w:tr2bl w:val="nil"/>
            </w:tcBorders>
            <w:vAlign w:val="center"/>
          </w:tcPr>
          <w:p w14:paraId="0827B279">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清江镇塘坝村养殖场南侧居民处</w:t>
            </w:r>
          </w:p>
        </w:tc>
        <w:tc>
          <w:tcPr>
            <w:tcW w:w="821" w:type="pct"/>
            <w:vMerge w:val="continue"/>
            <w:tcBorders>
              <w:tl2br w:val="nil"/>
              <w:tr2bl w:val="nil"/>
            </w:tcBorders>
            <w:vAlign w:val="center"/>
          </w:tcPr>
          <w:p w14:paraId="75F67A42">
            <w:pPr>
              <w:adjustRightInd w:val="0"/>
              <w:snapToGrid w:val="0"/>
              <w:jc w:val="center"/>
              <w:textAlignment w:val="center"/>
              <w:rPr>
                <w:color w:val="000000" w:themeColor="text1"/>
                <w:kern w:val="0"/>
                <w:szCs w:val="21"/>
                <w:lang w:bidi="ar"/>
                <w14:textFill>
                  <w14:solidFill>
                    <w14:schemeClr w14:val="tx1"/>
                  </w14:solidFill>
                </w14:textFill>
              </w:rPr>
            </w:pPr>
          </w:p>
        </w:tc>
      </w:tr>
      <w:tr w14:paraId="6453BA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764A03A4">
            <w:pPr>
              <w:jc w:val="center"/>
              <w:rPr>
                <w:color w:val="000000"/>
                <w:szCs w:val="21"/>
              </w:rPr>
            </w:pPr>
            <w:bookmarkStart w:id="569" w:name="RANGE!B125"/>
            <w:r>
              <w:rPr>
                <w:color w:val="000000"/>
                <w:szCs w:val="21"/>
              </w:rPr>
              <w:t>ZS23#</w:t>
            </w:r>
            <w:bookmarkEnd w:id="569"/>
          </w:p>
        </w:tc>
        <w:tc>
          <w:tcPr>
            <w:tcW w:w="3156" w:type="pct"/>
            <w:tcBorders>
              <w:tl2br w:val="nil"/>
              <w:tr2bl w:val="nil"/>
            </w:tcBorders>
            <w:vAlign w:val="center"/>
          </w:tcPr>
          <w:p w14:paraId="107AB2A7">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清江镇塘坝村养殖场西南侧居民处</w:t>
            </w:r>
          </w:p>
        </w:tc>
        <w:tc>
          <w:tcPr>
            <w:tcW w:w="821" w:type="pct"/>
            <w:vMerge w:val="continue"/>
            <w:tcBorders>
              <w:tl2br w:val="nil"/>
              <w:tr2bl w:val="nil"/>
            </w:tcBorders>
            <w:vAlign w:val="center"/>
          </w:tcPr>
          <w:p w14:paraId="4E245EC0">
            <w:pPr>
              <w:adjustRightInd w:val="0"/>
              <w:snapToGrid w:val="0"/>
              <w:jc w:val="center"/>
              <w:textAlignment w:val="center"/>
              <w:rPr>
                <w:color w:val="000000" w:themeColor="text1"/>
                <w:kern w:val="0"/>
                <w:szCs w:val="21"/>
                <w:lang w:bidi="ar"/>
                <w14:textFill>
                  <w14:solidFill>
                    <w14:schemeClr w14:val="tx1"/>
                  </w14:solidFill>
                </w14:textFill>
              </w:rPr>
            </w:pPr>
          </w:p>
        </w:tc>
      </w:tr>
      <w:tr w14:paraId="07FB06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7B23B6CB">
            <w:pPr>
              <w:jc w:val="center"/>
              <w:rPr>
                <w:color w:val="000000"/>
                <w:szCs w:val="21"/>
              </w:rPr>
            </w:pPr>
            <w:bookmarkStart w:id="570" w:name="RANGE!B126"/>
            <w:r>
              <w:rPr>
                <w:color w:val="000000"/>
                <w:szCs w:val="21"/>
              </w:rPr>
              <w:t>ZS24#</w:t>
            </w:r>
            <w:bookmarkEnd w:id="570"/>
          </w:p>
        </w:tc>
        <w:tc>
          <w:tcPr>
            <w:tcW w:w="3156" w:type="pct"/>
            <w:tcBorders>
              <w:tl2br w:val="nil"/>
              <w:tr2bl w:val="nil"/>
            </w:tcBorders>
            <w:vAlign w:val="center"/>
          </w:tcPr>
          <w:p w14:paraId="242889BA">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清江镇塘坝村养殖场西北侧居民处</w:t>
            </w:r>
          </w:p>
        </w:tc>
        <w:tc>
          <w:tcPr>
            <w:tcW w:w="821" w:type="pct"/>
            <w:vMerge w:val="continue"/>
            <w:tcBorders>
              <w:tl2br w:val="nil"/>
              <w:tr2bl w:val="nil"/>
            </w:tcBorders>
            <w:vAlign w:val="center"/>
          </w:tcPr>
          <w:p w14:paraId="42386156">
            <w:pPr>
              <w:adjustRightInd w:val="0"/>
              <w:snapToGrid w:val="0"/>
              <w:jc w:val="center"/>
              <w:textAlignment w:val="center"/>
              <w:rPr>
                <w:color w:val="000000" w:themeColor="text1"/>
                <w:kern w:val="0"/>
                <w:szCs w:val="21"/>
                <w:lang w:bidi="ar"/>
                <w14:textFill>
                  <w14:solidFill>
                    <w14:schemeClr w14:val="tx1"/>
                  </w14:solidFill>
                </w14:textFill>
              </w:rPr>
            </w:pPr>
          </w:p>
        </w:tc>
      </w:tr>
      <w:tr w14:paraId="01DEB0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4421D4BD">
            <w:pPr>
              <w:jc w:val="center"/>
              <w:rPr>
                <w:color w:val="000000"/>
                <w:szCs w:val="21"/>
              </w:rPr>
            </w:pPr>
            <w:bookmarkStart w:id="571" w:name="RANGE!B127"/>
            <w:r>
              <w:rPr>
                <w:color w:val="000000"/>
                <w:szCs w:val="21"/>
              </w:rPr>
              <w:t>ZS25#</w:t>
            </w:r>
            <w:bookmarkEnd w:id="571"/>
          </w:p>
        </w:tc>
        <w:tc>
          <w:tcPr>
            <w:tcW w:w="3156" w:type="pct"/>
            <w:tcBorders>
              <w:tl2br w:val="nil"/>
              <w:tr2bl w:val="nil"/>
            </w:tcBorders>
            <w:vAlign w:val="center"/>
          </w:tcPr>
          <w:p w14:paraId="60EB2CFA">
            <w:pPr>
              <w:adjustRightInd w:val="0"/>
              <w:snapToGrid w:val="0"/>
              <w:jc w:val="center"/>
              <w:textAlignment w:val="center"/>
              <w:rPr>
                <w:color w:val="000000" w:themeColor="text1"/>
                <w:kern w:val="0"/>
                <w:szCs w:val="21"/>
                <w:lang w:bidi="ar"/>
                <w14:textFill>
                  <w14:solidFill>
                    <w14:schemeClr w14:val="tx1"/>
                  </w14:solidFill>
                </w14:textFill>
              </w:rPr>
            </w:pPr>
            <w:bookmarkStart w:id="572" w:name="OLE_LINK91"/>
            <w:r>
              <w:rPr>
                <w:rFonts w:hint="eastAsia"/>
                <w:color w:val="000000"/>
                <w:szCs w:val="21"/>
              </w:rPr>
              <w:t>水</w:t>
            </w:r>
            <w:bookmarkEnd w:id="572"/>
            <w:r>
              <w:rPr>
                <w:color w:val="000000"/>
                <w:szCs w:val="21"/>
              </w:rPr>
              <w:t>宁寺镇始宁社区养殖场北侧场界外</w:t>
            </w:r>
          </w:p>
        </w:tc>
        <w:tc>
          <w:tcPr>
            <w:tcW w:w="821" w:type="pct"/>
            <w:vMerge w:val="restart"/>
            <w:tcBorders>
              <w:tl2br w:val="nil"/>
              <w:tr2bl w:val="nil"/>
            </w:tcBorders>
            <w:vAlign w:val="center"/>
          </w:tcPr>
          <w:p w14:paraId="39295640">
            <w:pPr>
              <w:adjustRightInd w:val="0"/>
              <w:snapToGrid w:val="0"/>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厂界声环境质量</w:t>
            </w:r>
          </w:p>
        </w:tc>
      </w:tr>
      <w:tr w14:paraId="5755F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57267492">
            <w:pPr>
              <w:jc w:val="center"/>
              <w:rPr>
                <w:color w:val="000000"/>
                <w:szCs w:val="21"/>
              </w:rPr>
            </w:pPr>
            <w:bookmarkStart w:id="573" w:name="RANGE!B128"/>
            <w:r>
              <w:rPr>
                <w:color w:val="000000"/>
                <w:szCs w:val="21"/>
              </w:rPr>
              <w:t>ZS26#</w:t>
            </w:r>
            <w:bookmarkEnd w:id="573"/>
          </w:p>
        </w:tc>
        <w:tc>
          <w:tcPr>
            <w:tcW w:w="3156" w:type="pct"/>
            <w:tcBorders>
              <w:tl2br w:val="nil"/>
              <w:tr2bl w:val="nil"/>
            </w:tcBorders>
            <w:vAlign w:val="center"/>
          </w:tcPr>
          <w:p w14:paraId="7952DCDB">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宁寺镇始宁社区养殖场东侧场界外</w:t>
            </w:r>
          </w:p>
        </w:tc>
        <w:tc>
          <w:tcPr>
            <w:tcW w:w="821" w:type="pct"/>
            <w:vMerge w:val="continue"/>
            <w:tcBorders>
              <w:tl2br w:val="nil"/>
              <w:tr2bl w:val="nil"/>
            </w:tcBorders>
            <w:vAlign w:val="center"/>
          </w:tcPr>
          <w:p w14:paraId="7AEFA9E7">
            <w:pPr>
              <w:adjustRightInd w:val="0"/>
              <w:snapToGrid w:val="0"/>
              <w:jc w:val="center"/>
              <w:textAlignment w:val="center"/>
              <w:rPr>
                <w:color w:val="000000" w:themeColor="text1"/>
                <w:kern w:val="0"/>
                <w:szCs w:val="21"/>
                <w:lang w:bidi="ar"/>
                <w14:textFill>
                  <w14:solidFill>
                    <w14:schemeClr w14:val="tx1"/>
                  </w14:solidFill>
                </w14:textFill>
              </w:rPr>
            </w:pPr>
          </w:p>
        </w:tc>
      </w:tr>
      <w:tr w14:paraId="58E69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17C8A4C6">
            <w:pPr>
              <w:jc w:val="center"/>
              <w:rPr>
                <w:color w:val="000000"/>
                <w:szCs w:val="21"/>
              </w:rPr>
            </w:pPr>
            <w:bookmarkStart w:id="574" w:name="RANGE!B129"/>
            <w:r>
              <w:rPr>
                <w:color w:val="000000"/>
                <w:szCs w:val="21"/>
              </w:rPr>
              <w:t>ZS27#</w:t>
            </w:r>
            <w:bookmarkEnd w:id="574"/>
          </w:p>
        </w:tc>
        <w:tc>
          <w:tcPr>
            <w:tcW w:w="3156" w:type="pct"/>
            <w:tcBorders>
              <w:tl2br w:val="nil"/>
              <w:tr2bl w:val="nil"/>
            </w:tcBorders>
            <w:vAlign w:val="center"/>
          </w:tcPr>
          <w:p w14:paraId="0765F655">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宁寺镇始宁社区养殖场南侧场界外</w:t>
            </w:r>
          </w:p>
        </w:tc>
        <w:tc>
          <w:tcPr>
            <w:tcW w:w="821" w:type="pct"/>
            <w:vMerge w:val="continue"/>
            <w:tcBorders>
              <w:tl2br w:val="nil"/>
              <w:tr2bl w:val="nil"/>
            </w:tcBorders>
            <w:vAlign w:val="center"/>
          </w:tcPr>
          <w:p w14:paraId="6DA7C968">
            <w:pPr>
              <w:adjustRightInd w:val="0"/>
              <w:snapToGrid w:val="0"/>
              <w:jc w:val="center"/>
              <w:textAlignment w:val="center"/>
              <w:rPr>
                <w:color w:val="000000" w:themeColor="text1"/>
                <w:kern w:val="0"/>
                <w:szCs w:val="21"/>
                <w:lang w:bidi="ar"/>
                <w14:textFill>
                  <w14:solidFill>
                    <w14:schemeClr w14:val="tx1"/>
                  </w14:solidFill>
                </w14:textFill>
              </w:rPr>
            </w:pPr>
          </w:p>
        </w:tc>
      </w:tr>
      <w:tr w14:paraId="4FBD9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20AC748B">
            <w:pPr>
              <w:jc w:val="center"/>
              <w:rPr>
                <w:color w:val="000000"/>
                <w:szCs w:val="21"/>
              </w:rPr>
            </w:pPr>
            <w:bookmarkStart w:id="575" w:name="RANGE!B130"/>
            <w:r>
              <w:rPr>
                <w:color w:val="000000"/>
                <w:szCs w:val="21"/>
              </w:rPr>
              <w:t>ZS28#</w:t>
            </w:r>
            <w:bookmarkEnd w:id="575"/>
          </w:p>
        </w:tc>
        <w:tc>
          <w:tcPr>
            <w:tcW w:w="3156" w:type="pct"/>
            <w:tcBorders>
              <w:tl2br w:val="nil"/>
              <w:tr2bl w:val="nil"/>
            </w:tcBorders>
            <w:vAlign w:val="center"/>
          </w:tcPr>
          <w:p w14:paraId="12FFADFF">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宁寺镇始宁社区养殖场西侧场界外</w:t>
            </w:r>
          </w:p>
        </w:tc>
        <w:tc>
          <w:tcPr>
            <w:tcW w:w="821" w:type="pct"/>
            <w:vMerge w:val="continue"/>
            <w:tcBorders>
              <w:tl2br w:val="nil"/>
              <w:tr2bl w:val="nil"/>
            </w:tcBorders>
            <w:vAlign w:val="center"/>
          </w:tcPr>
          <w:p w14:paraId="75C2DDA2">
            <w:pPr>
              <w:adjustRightInd w:val="0"/>
              <w:snapToGrid w:val="0"/>
              <w:jc w:val="center"/>
              <w:textAlignment w:val="center"/>
              <w:rPr>
                <w:color w:val="000000" w:themeColor="text1"/>
                <w:kern w:val="0"/>
                <w:szCs w:val="21"/>
                <w:lang w:bidi="ar"/>
                <w14:textFill>
                  <w14:solidFill>
                    <w14:schemeClr w14:val="tx1"/>
                  </w14:solidFill>
                </w14:textFill>
              </w:rPr>
            </w:pPr>
          </w:p>
        </w:tc>
      </w:tr>
      <w:tr w14:paraId="021267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36CD94F0">
            <w:pPr>
              <w:jc w:val="center"/>
              <w:rPr>
                <w:color w:val="000000"/>
                <w:szCs w:val="21"/>
              </w:rPr>
            </w:pPr>
            <w:bookmarkStart w:id="576" w:name="RANGE!B131"/>
            <w:r>
              <w:rPr>
                <w:color w:val="000000"/>
                <w:szCs w:val="21"/>
              </w:rPr>
              <w:t>ZS29#</w:t>
            </w:r>
            <w:bookmarkEnd w:id="576"/>
          </w:p>
        </w:tc>
        <w:tc>
          <w:tcPr>
            <w:tcW w:w="3156" w:type="pct"/>
            <w:tcBorders>
              <w:tl2br w:val="nil"/>
              <w:tr2bl w:val="nil"/>
            </w:tcBorders>
            <w:vAlign w:val="center"/>
          </w:tcPr>
          <w:p w14:paraId="07D79AF3">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水宁寺镇始宁社区养殖场东北侧居民处</w:t>
            </w:r>
          </w:p>
        </w:tc>
        <w:tc>
          <w:tcPr>
            <w:tcW w:w="821" w:type="pct"/>
            <w:vMerge w:val="restart"/>
            <w:tcBorders>
              <w:tl2br w:val="nil"/>
              <w:tr2bl w:val="nil"/>
            </w:tcBorders>
            <w:vAlign w:val="center"/>
          </w:tcPr>
          <w:p w14:paraId="756014FF">
            <w:pPr>
              <w:adjustRightInd w:val="0"/>
              <w:snapToGrid w:val="0"/>
              <w:jc w:val="center"/>
              <w:textAlignment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敏感点声环境质量</w:t>
            </w:r>
          </w:p>
        </w:tc>
      </w:tr>
      <w:tr w14:paraId="18730A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17225CC2">
            <w:pPr>
              <w:jc w:val="center"/>
              <w:rPr>
                <w:color w:val="000000"/>
                <w:szCs w:val="21"/>
              </w:rPr>
            </w:pPr>
            <w:bookmarkStart w:id="577" w:name="RANGE!B132"/>
            <w:r>
              <w:rPr>
                <w:color w:val="000000"/>
                <w:szCs w:val="21"/>
              </w:rPr>
              <w:t>ZS30#</w:t>
            </w:r>
            <w:bookmarkEnd w:id="577"/>
          </w:p>
        </w:tc>
        <w:tc>
          <w:tcPr>
            <w:tcW w:w="3156" w:type="pct"/>
            <w:tcBorders>
              <w:tl2br w:val="nil"/>
              <w:tr2bl w:val="nil"/>
            </w:tcBorders>
            <w:vAlign w:val="center"/>
          </w:tcPr>
          <w:p w14:paraId="1C4D4091">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水宁寺镇始宁社区养殖场东南侧居民处</w:t>
            </w:r>
          </w:p>
        </w:tc>
        <w:tc>
          <w:tcPr>
            <w:tcW w:w="821" w:type="pct"/>
            <w:vMerge w:val="continue"/>
            <w:tcBorders>
              <w:tl2br w:val="nil"/>
              <w:tr2bl w:val="nil"/>
            </w:tcBorders>
            <w:vAlign w:val="center"/>
          </w:tcPr>
          <w:p w14:paraId="5AB2CD18">
            <w:pPr>
              <w:adjustRightInd w:val="0"/>
              <w:snapToGrid w:val="0"/>
              <w:jc w:val="center"/>
              <w:textAlignment w:val="center"/>
              <w:rPr>
                <w:color w:val="000000" w:themeColor="text1"/>
                <w:kern w:val="0"/>
                <w:szCs w:val="21"/>
                <w:lang w:bidi="ar"/>
                <w14:textFill>
                  <w14:solidFill>
                    <w14:schemeClr w14:val="tx1"/>
                  </w14:solidFill>
                </w14:textFill>
              </w:rPr>
            </w:pPr>
          </w:p>
        </w:tc>
      </w:tr>
      <w:tr w14:paraId="1F27C3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1063E958">
            <w:pPr>
              <w:jc w:val="center"/>
              <w:rPr>
                <w:color w:val="000000"/>
                <w:szCs w:val="21"/>
              </w:rPr>
            </w:pPr>
            <w:bookmarkStart w:id="578" w:name="RANGE!B133"/>
            <w:r>
              <w:rPr>
                <w:color w:val="000000"/>
                <w:szCs w:val="21"/>
              </w:rPr>
              <w:t>ZS31#</w:t>
            </w:r>
            <w:bookmarkEnd w:id="578"/>
          </w:p>
        </w:tc>
        <w:tc>
          <w:tcPr>
            <w:tcW w:w="3156" w:type="pct"/>
            <w:tcBorders>
              <w:tl2br w:val="nil"/>
              <w:tr2bl w:val="nil"/>
            </w:tcBorders>
            <w:vAlign w:val="center"/>
          </w:tcPr>
          <w:p w14:paraId="63FB7E1A">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水宁寺镇始宁社区养殖场西侧居民处</w:t>
            </w:r>
          </w:p>
        </w:tc>
        <w:tc>
          <w:tcPr>
            <w:tcW w:w="821" w:type="pct"/>
            <w:vMerge w:val="continue"/>
            <w:tcBorders>
              <w:tl2br w:val="nil"/>
              <w:tr2bl w:val="nil"/>
            </w:tcBorders>
            <w:vAlign w:val="center"/>
          </w:tcPr>
          <w:p w14:paraId="4221A0EF">
            <w:pPr>
              <w:adjustRightInd w:val="0"/>
              <w:snapToGrid w:val="0"/>
              <w:jc w:val="center"/>
              <w:textAlignment w:val="center"/>
              <w:rPr>
                <w:color w:val="000000" w:themeColor="text1"/>
                <w:kern w:val="0"/>
                <w:szCs w:val="21"/>
                <w:lang w:bidi="ar"/>
                <w14:textFill>
                  <w14:solidFill>
                    <w14:schemeClr w14:val="tx1"/>
                  </w14:solidFill>
                </w14:textFill>
              </w:rPr>
            </w:pPr>
          </w:p>
        </w:tc>
      </w:tr>
      <w:tr w14:paraId="304A66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5382B9D8">
            <w:pPr>
              <w:jc w:val="center"/>
              <w:rPr>
                <w:color w:val="000000"/>
                <w:szCs w:val="21"/>
              </w:rPr>
            </w:pPr>
            <w:bookmarkStart w:id="579" w:name="RANGE!B134"/>
            <w:r>
              <w:rPr>
                <w:color w:val="000000"/>
                <w:szCs w:val="21"/>
              </w:rPr>
              <w:t>ZS32#</w:t>
            </w:r>
            <w:bookmarkEnd w:id="579"/>
          </w:p>
        </w:tc>
        <w:tc>
          <w:tcPr>
            <w:tcW w:w="3156" w:type="pct"/>
            <w:tcBorders>
              <w:tl2br w:val="nil"/>
              <w:tr2bl w:val="nil"/>
            </w:tcBorders>
            <w:vAlign w:val="center"/>
          </w:tcPr>
          <w:p w14:paraId="592078D8">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水宁寺镇始宁社区养殖场西北侧居民处</w:t>
            </w:r>
          </w:p>
        </w:tc>
        <w:tc>
          <w:tcPr>
            <w:tcW w:w="821" w:type="pct"/>
            <w:vMerge w:val="continue"/>
            <w:tcBorders>
              <w:tl2br w:val="nil"/>
              <w:tr2bl w:val="nil"/>
            </w:tcBorders>
            <w:vAlign w:val="center"/>
          </w:tcPr>
          <w:p w14:paraId="4DC8ED74">
            <w:pPr>
              <w:adjustRightInd w:val="0"/>
              <w:snapToGrid w:val="0"/>
              <w:jc w:val="center"/>
              <w:textAlignment w:val="center"/>
              <w:rPr>
                <w:color w:val="000000" w:themeColor="text1"/>
                <w:kern w:val="0"/>
                <w:szCs w:val="21"/>
                <w:lang w:bidi="ar"/>
                <w14:textFill>
                  <w14:solidFill>
                    <w14:schemeClr w14:val="tx1"/>
                  </w14:solidFill>
                </w14:textFill>
              </w:rPr>
            </w:pPr>
          </w:p>
        </w:tc>
      </w:tr>
      <w:tr w14:paraId="01547C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70" w:hRule="atLeast"/>
          <w:jc w:val="center"/>
        </w:trPr>
        <w:tc>
          <w:tcPr>
            <w:tcW w:w="1023" w:type="pct"/>
            <w:tcBorders>
              <w:tl2br w:val="nil"/>
              <w:tr2bl w:val="nil"/>
            </w:tcBorders>
            <w:vAlign w:val="center"/>
          </w:tcPr>
          <w:p w14:paraId="313A555F">
            <w:pPr>
              <w:jc w:val="center"/>
              <w:rPr>
                <w:color w:val="000000"/>
                <w:szCs w:val="21"/>
              </w:rPr>
            </w:pPr>
            <w:bookmarkStart w:id="580" w:name="RANGE!B135"/>
            <w:r>
              <w:rPr>
                <w:color w:val="000000"/>
                <w:szCs w:val="21"/>
              </w:rPr>
              <w:t>ZS33#</w:t>
            </w:r>
            <w:bookmarkEnd w:id="580"/>
          </w:p>
        </w:tc>
        <w:tc>
          <w:tcPr>
            <w:tcW w:w="3156" w:type="pct"/>
            <w:tcBorders>
              <w:tl2br w:val="nil"/>
              <w:tr2bl w:val="nil"/>
            </w:tcBorders>
            <w:vAlign w:val="center"/>
          </w:tcPr>
          <w:p w14:paraId="25E9E405">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水宁寺镇始宁社区养殖场北侧居民处</w:t>
            </w:r>
          </w:p>
        </w:tc>
        <w:tc>
          <w:tcPr>
            <w:tcW w:w="821" w:type="pct"/>
            <w:vMerge w:val="continue"/>
            <w:tcBorders>
              <w:tl2br w:val="nil"/>
              <w:tr2bl w:val="nil"/>
            </w:tcBorders>
            <w:vAlign w:val="center"/>
          </w:tcPr>
          <w:p w14:paraId="18DD6ABC">
            <w:pPr>
              <w:adjustRightInd w:val="0"/>
              <w:snapToGrid w:val="0"/>
              <w:jc w:val="center"/>
              <w:textAlignment w:val="center"/>
              <w:rPr>
                <w:color w:val="000000" w:themeColor="text1"/>
                <w:kern w:val="0"/>
                <w:szCs w:val="21"/>
                <w:lang w:bidi="ar"/>
                <w14:textFill>
                  <w14:solidFill>
                    <w14:schemeClr w14:val="tx1"/>
                  </w14:solidFill>
                </w14:textFill>
              </w:rPr>
            </w:pPr>
          </w:p>
        </w:tc>
      </w:tr>
    </w:tbl>
    <w:p w14:paraId="21428C0C">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（2）监测因子</w:t>
      </w:r>
    </w:p>
    <w:p w14:paraId="110367FA">
      <w:pPr>
        <w:kinsoku w:val="0"/>
        <w:wordWrap w:val="0"/>
        <w:overflowPunct w:val="0"/>
        <w:autoSpaceDE w:val="0"/>
        <w:autoSpaceDN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测量各监测点昼间及夜间的连续等效A声级LAeq。</w:t>
      </w:r>
    </w:p>
    <w:p w14:paraId="4AB8A8F7">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（3）监测时段及监测频次</w:t>
      </w:r>
    </w:p>
    <w:p w14:paraId="2936E456">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2026年3月15日~2026年3月16日，连续监测2天，昼夜各监测1次。</w:t>
      </w:r>
    </w:p>
    <w:p w14:paraId="39E275E2">
      <w:pPr>
        <w:kinsoku w:val="0"/>
        <w:wordWrap w:val="0"/>
        <w:overflowPunct w:val="0"/>
        <w:autoSpaceDE w:val="0"/>
        <w:autoSpaceDN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（4）监测方法及来源</w:t>
      </w:r>
    </w:p>
    <w:p w14:paraId="3FD1333F">
      <w:pPr>
        <w:kinsoku w:val="0"/>
        <w:wordWrap w:val="0"/>
        <w:overflowPunct w:val="0"/>
        <w:autoSpaceDE w:val="0"/>
        <w:autoSpaceDN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本次监测项目的监测方法、方法来源及检出限见下表。</w:t>
      </w:r>
    </w:p>
    <w:p w14:paraId="57A7D10D">
      <w:pPr>
        <w:pStyle w:val="21"/>
        <w:spacing w:before="120" w:after="120"/>
        <w:rPr>
          <w:b w:val="0"/>
          <w:color w:val="000000" w:themeColor="text1"/>
          <w:szCs w:val="21"/>
          <w14:textFill>
            <w14:solidFill>
              <w14:schemeClr w14:val="tx1"/>
            </w14:solidFill>
          </w14:textFill>
        </w:rPr>
      </w:pPr>
      <w:r>
        <w:rPr>
          <w:color w:val="000000" w:themeColor="text1"/>
          <w:szCs w:val="21"/>
          <w14:textFill>
            <w14:solidFill>
              <w14:schemeClr w14:val="tx1"/>
            </w14:solidFill>
          </w14:textFill>
        </w:rPr>
        <w:t>表4.3-23 噪声监测方法、方法来源、使用仪器及检出限</w:t>
      </w:r>
    </w:p>
    <w:tbl>
      <w:tblPr>
        <w:tblStyle w:val="88"/>
        <w:tblW w:w="8541"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135"/>
        <w:gridCol w:w="2135"/>
        <w:gridCol w:w="2135"/>
        <w:gridCol w:w="2136"/>
      </w:tblGrid>
      <w:tr w14:paraId="7C915C0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2135" w:type="dxa"/>
            <w:tcBorders>
              <w:tl2br w:val="nil"/>
              <w:tr2bl w:val="nil"/>
            </w:tcBorders>
            <w:vAlign w:val="center"/>
          </w:tcPr>
          <w:p w14:paraId="5C0BBF68">
            <w:pPr>
              <w:spacing w:line="240" w:lineRule="exact"/>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项目名称</w:t>
            </w:r>
          </w:p>
        </w:tc>
        <w:tc>
          <w:tcPr>
            <w:tcW w:w="2135" w:type="dxa"/>
            <w:tcBorders>
              <w:tl2br w:val="nil"/>
              <w:tr2bl w:val="nil"/>
            </w:tcBorders>
            <w:vAlign w:val="center"/>
          </w:tcPr>
          <w:p w14:paraId="49BAD0E6">
            <w:pPr>
              <w:spacing w:line="240" w:lineRule="exact"/>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分析方法来源</w:t>
            </w:r>
          </w:p>
        </w:tc>
        <w:tc>
          <w:tcPr>
            <w:tcW w:w="2135" w:type="dxa"/>
            <w:tcBorders>
              <w:tl2br w:val="nil"/>
              <w:tr2bl w:val="nil"/>
            </w:tcBorders>
            <w:vAlign w:val="center"/>
          </w:tcPr>
          <w:p w14:paraId="1EECD269">
            <w:pPr>
              <w:spacing w:line="240" w:lineRule="exact"/>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检测仪器</w:t>
            </w:r>
          </w:p>
        </w:tc>
        <w:tc>
          <w:tcPr>
            <w:tcW w:w="2136" w:type="dxa"/>
            <w:tcBorders>
              <w:tl2br w:val="nil"/>
              <w:tr2bl w:val="nil"/>
            </w:tcBorders>
            <w:vAlign w:val="center"/>
          </w:tcPr>
          <w:p w14:paraId="7E50CB3A">
            <w:pPr>
              <w:spacing w:line="240" w:lineRule="exact"/>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方法检出限及单位</w:t>
            </w:r>
          </w:p>
        </w:tc>
      </w:tr>
      <w:tr w14:paraId="30614E8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2135" w:type="dxa"/>
            <w:tcBorders>
              <w:tl2br w:val="nil"/>
              <w:tr2bl w:val="nil"/>
            </w:tcBorders>
            <w:vAlign w:val="center"/>
          </w:tcPr>
          <w:p w14:paraId="6F84E218">
            <w:pPr>
              <w:tabs>
                <w:tab w:val="left" w:pos="360"/>
                <w:tab w:val="left" w:pos="720"/>
              </w:tabs>
              <w:autoSpaceDE w:val="0"/>
              <w:autoSpaceDN w:val="0"/>
              <w:adjustRightInd w:val="0"/>
              <w:spacing w:line="240" w:lineRule="exact"/>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声环境质量</w:t>
            </w:r>
          </w:p>
        </w:tc>
        <w:tc>
          <w:tcPr>
            <w:tcW w:w="2135" w:type="dxa"/>
            <w:tcBorders>
              <w:tl2br w:val="nil"/>
              <w:tr2bl w:val="nil"/>
            </w:tcBorders>
            <w:vAlign w:val="center"/>
          </w:tcPr>
          <w:p w14:paraId="57E2934D">
            <w:pPr>
              <w:tabs>
                <w:tab w:val="left" w:pos="360"/>
                <w:tab w:val="left" w:pos="720"/>
                <w:tab w:val="left" w:pos="1080"/>
                <w:tab w:val="left" w:pos="1440"/>
                <w:tab w:val="left" w:pos="1800"/>
                <w:tab w:val="left" w:pos="2160"/>
                <w:tab w:val="left" w:pos="2520"/>
              </w:tabs>
              <w:autoSpaceDE w:val="0"/>
              <w:autoSpaceDN w:val="0"/>
              <w:adjustRightInd w:val="0"/>
              <w:spacing w:line="240" w:lineRule="exact"/>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声环境质量标准 GB 3096-2008</w:t>
            </w:r>
          </w:p>
        </w:tc>
        <w:tc>
          <w:tcPr>
            <w:tcW w:w="2135" w:type="dxa"/>
            <w:tcBorders>
              <w:tl2br w:val="nil"/>
              <w:tr2bl w:val="nil"/>
            </w:tcBorders>
            <w:vAlign w:val="center"/>
          </w:tcPr>
          <w:p w14:paraId="2A39D00F">
            <w:pPr>
              <w:spacing w:line="240" w:lineRule="exact"/>
              <w:jc w:val="center"/>
              <w:rPr>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多功能声级计MYKL-ZSJ-04</w:t>
            </w:r>
          </w:p>
        </w:tc>
        <w:tc>
          <w:tcPr>
            <w:tcW w:w="2136" w:type="dxa"/>
            <w:tcBorders>
              <w:tl2br w:val="nil"/>
              <w:tr2bl w:val="nil"/>
            </w:tcBorders>
            <w:vAlign w:val="center"/>
          </w:tcPr>
          <w:p w14:paraId="06EF962F">
            <w:pPr>
              <w:spacing w:line="240" w:lineRule="exact"/>
              <w:jc w:val="center"/>
              <w:rPr>
                <w:color w:val="000000" w:themeColor="text1"/>
                <w:szCs w:val="21"/>
                <w14:textFill>
                  <w14:solidFill>
                    <w14:schemeClr w14:val="tx1"/>
                  </w14:solidFill>
                </w14:textFill>
              </w:rPr>
            </w:pPr>
            <w:r>
              <w:rPr>
                <w:bCs/>
                <w:color w:val="000000" w:themeColor="text1"/>
                <w:kern w:val="0"/>
                <w:szCs w:val="21"/>
                <w14:textFill>
                  <w14:solidFill>
                    <w14:schemeClr w14:val="tx1"/>
                  </w14:solidFill>
                </w14:textFill>
              </w:rPr>
              <w:t xml:space="preserve"> dB（A）</w:t>
            </w:r>
          </w:p>
        </w:tc>
      </w:tr>
    </w:tbl>
    <w:p w14:paraId="200E9FDC">
      <w:pPr>
        <w:wordWrap w:val="0"/>
        <w:overflowPunct w:val="0"/>
        <w:autoSpaceDE w:val="0"/>
        <w:autoSpaceDN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（5）评价方法</w:t>
      </w:r>
    </w:p>
    <w:p w14:paraId="6C177656">
      <w:pPr>
        <w:wordWrap w:val="0"/>
        <w:overflowPunct w:val="0"/>
        <w:autoSpaceDE w:val="0"/>
        <w:autoSpaceDN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将统计整理得到的噪声环境现状监测结果（LAeq）与评价标准值直接比较，评定拟建项目区域范围内噪声现状。</w:t>
      </w:r>
    </w:p>
    <w:p w14:paraId="5B23C304">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（6）监测结果</w:t>
      </w:r>
    </w:p>
    <w:p w14:paraId="05FD6160">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区域声环境质量监测结果见下表。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88"/>
        <w:gridCol w:w="1561"/>
        <w:gridCol w:w="993"/>
        <w:gridCol w:w="853"/>
        <w:gridCol w:w="993"/>
        <w:gridCol w:w="853"/>
        <w:gridCol w:w="1277"/>
        <w:gridCol w:w="795"/>
      </w:tblGrid>
      <w:tr w14:paraId="7FDA69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595" w:type="pct"/>
            <w:vMerge w:val="restart"/>
            <w:vAlign w:val="center"/>
          </w:tcPr>
          <w:p w14:paraId="648D4915">
            <w:pPr>
              <w:pStyle w:val="257"/>
              <w:spacing w:before="24" w:after="24"/>
              <w:rPr>
                <w:b/>
                <w:bCs/>
              </w:rPr>
            </w:pPr>
            <w:r>
              <w:rPr>
                <w:b/>
                <w:bCs/>
              </w:rPr>
              <w:t>监测点编号</w:t>
            </w:r>
          </w:p>
        </w:tc>
        <w:tc>
          <w:tcPr>
            <w:tcW w:w="939" w:type="pct"/>
            <w:vMerge w:val="restart"/>
            <w:vAlign w:val="center"/>
          </w:tcPr>
          <w:p w14:paraId="1B39A716">
            <w:pPr>
              <w:pStyle w:val="257"/>
              <w:spacing w:before="24" w:after="24"/>
              <w:rPr>
                <w:b/>
                <w:bCs/>
              </w:rPr>
            </w:pPr>
            <w:r>
              <w:rPr>
                <w:b/>
                <w:bCs/>
              </w:rPr>
              <w:t>监测点位</w:t>
            </w:r>
          </w:p>
        </w:tc>
        <w:tc>
          <w:tcPr>
            <w:tcW w:w="2220" w:type="pct"/>
            <w:gridSpan w:val="4"/>
            <w:vAlign w:val="center"/>
          </w:tcPr>
          <w:p w14:paraId="0DCBC585">
            <w:pPr>
              <w:pStyle w:val="257"/>
              <w:spacing w:before="24" w:after="24"/>
              <w:rPr>
                <w:b/>
                <w:bCs/>
              </w:rPr>
            </w:pPr>
            <w:r>
              <w:rPr>
                <w:b/>
                <w:bCs/>
              </w:rPr>
              <w:t>监测结果[dB（A）]</w:t>
            </w:r>
          </w:p>
        </w:tc>
        <w:tc>
          <w:tcPr>
            <w:tcW w:w="768" w:type="pct"/>
            <w:vMerge w:val="restart"/>
            <w:vAlign w:val="center"/>
          </w:tcPr>
          <w:p w14:paraId="5D654094">
            <w:pPr>
              <w:pStyle w:val="257"/>
              <w:spacing w:before="24" w:after="24"/>
              <w:rPr>
                <w:b/>
                <w:bCs/>
              </w:rPr>
            </w:pPr>
            <w:r>
              <w:rPr>
                <w:b/>
                <w:bCs/>
              </w:rPr>
              <w:t>评价标准</w:t>
            </w:r>
          </w:p>
        </w:tc>
        <w:tc>
          <w:tcPr>
            <w:tcW w:w="478" w:type="pct"/>
            <w:vMerge w:val="restart"/>
            <w:vAlign w:val="center"/>
          </w:tcPr>
          <w:p w14:paraId="106B4FA0">
            <w:pPr>
              <w:pStyle w:val="257"/>
              <w:spacing w:before="24" w:after="24"/>
              <w:rPr>
                <w:b/>
                <w:bCs/>
              </w:rPr>
            </w:pPr>
            <w:r>
              <w:rPr>
                <w:b/>
                <w:bCs/>
              </w:rPr>
              <w:t>评价结果</w:t>
            </w:r>
          </w:p>
        </w:tc>
      </w:tr>
      <w:tr w14:paraId="254578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595" w:type="pct"/>
            <w:vMerge w:val="continue"/>
            <w:vAlign w:val="center"/>
          </w:tcPr>
          <w:p w14:paraId="790076DF">
            <w:pPr>
              <w:pStyle w:val="257"/>
              <w:spacing w:before="24" w:after="24"/>
              <w:rPr>
                <w:b/>
                <w:bCs/>
              </w:rPr>
            </w:pPr>
          </w:p>
        </w:tc>
        <w:tc>
          <w:tcPr>
            <w:tcW w:w="939" w:type="pct"/>
            <w:vMerge w:val="continue"/>
            <w:vAlign w:val="center"/>
          </w:tcPr>
          <w:p w14:paraId="21DD3F53">
            <w:pPr>
              <w:pStyle w:val="257"/>
              <w:spacing w:before="24" w:after="24"/>
              <w:rPr>
                <w:b/>
                <w:bCs/>
              </w:rPr>
            </w:pPr>
          </w:p>
        </w:tc>
        <w:tc>
          <w:tcPr>
            <w:tcW w:w="1110" w:type="pct"/>
            <w:gridSpan w:val="2"/>
            <w:vAlign w:val="center"/>
          </w:tcPr>
          <w:p w14:paraId="3FD325CC">
            <w:pPr>
              <w:pStyle w:val="257"/>
              <w:spacing w:before="24" w:after="24"/>
              <w:rPr>
                <w:b/>
                <w:bCs/>
              </w:rPr>
            </w:pPr>
            <w:r>
              <w:rPr>
                <w:b/>
                <w:bCs/>
              </w:rPr>
              <w:t>2026年3月15日</w:t>
            </w:r>
          </w:p>
        </w:tc>
        <w:tc>
          <w:tcPr>
            <w:tcW w:w="1110" w:type="pct"/>
            <w:gridSpan w:val="2"/>
            <w:vAlign w:val="center"/>
          </w:tcPr>
          <w:p w14:paraId="225DEA5D">
            <w:pPr>
              <w:pStyle w:val="257"/>
              <w:spacing w:before="24" w:after="24"/>
              <w:rPr>
                <w:b/>
                <w:bCs/>
              </w:rPr>
            </w:pPr>
            <w:r>
              <w:rPr>
                <w:b/>
                <w:bCs/>
              </w:rPr>
              <w:t>2026年3月16日</w:t>
            </w:r>
          </w:p>
        </w:tc>
        <w:tc>
          <w:tcPr>
            <w:tcW w:w="768" w:type="pct"/>
            <w:vMerge w:val="continue"/>
            <w:vAlign w:val="center"/>
          </w:tcPr>
          <w:p w14:paraId="07F4B0CE">
            <w:pPr>
              <w:pStyle w:val="257"/>
              <w:spacing w:before="24" w:after="24"/>
              <w:rPr>
                <w:b/>
                <w:bCs/>
              </w:rPr>
            </w:pPr>
          </w:p>
        </w:tc>
        <w:tc>
          <w:tcPr>
            <w:tcW w:w="478" w:type="pct"/>
            <w:vMerge w:val="continue"/>
            <w:vAlign w:val="center"/>
          </w:tcPr>
          <w:p w14:paraId="512F7918">
            <w:pPr>
              <w:pStyle w:val="257"/>
              <w:spacing w:before="24" w:after="24"/>
              <w:rPr>
                <w:b/>
                <w:bCs/>
              </w:rPr>
            </w:pPr>
          </w:p>
        </w:tc>
      </w:tr>
      <w:tr w14:paraId="237210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trPr>
        <w:tc>
          <w:tcPr>
            <w:tcW w:w="595" w:type="pct"/>
            <w:vMerge w:val="continue"/>
            <w:vAlign w:val="center"/>
          </w:tcPr>
          <w:p w14:paraId="75320D22">
            <w:pPr>
              <w:pStyle w:val="257"/>
              <w:spacing w:before="24" w:after="24"/>
              <w:rPr>
                <w:b/>
                <w:bCs/>
              </w:rPr>
            </w:pPr>
          </w:p>
        </w:tc>
        <w:tc>
          <w:tcPr>
            <w:tcW w:w="939" w:type="pct"/>
            <w:vMerge w:val="continue"/>
            <w:vAlign w:val="center"/>
          </w:tcPr>
          <w:p w14:paraId="1C2EBE3A">
            <w:pPr>
              <w:pStyle w:val="257"/>
              <w:spacing w:before="24" w:after="24"/>
              <w:rPr>
                <w:b/>
                <w:bCs/>
              </w:rPr>
            </w:pPr>
          </w:p>
        </w:tc>
        <w:tc>
          <w:tcPr>
            <w:tcW w:w="597" w:type="pct"/>
            <w:vAlign w:val="center"/>
          </w:tcPr>
          <w:p w14:paraId="484467B3">
            <w:pPr>
              <w:pStyle w:val="257"/>
              <w:spacing w:before="24" w:after="24"/>
              <w:rPr>
                <w:b/>
                <w:bCs/>
              </w:rPr>
            </w:pPr>
            <w:r>
              <w:rPr>
                <w:b/>
                <w:bCs/>
              </w:rPr>
              <w:t>昼间</w:t>
            </w:r>
          </w:p>
        </w:tc>
        <w:tc>
          <w:tcPr>
            <w:tcW w:w="513" w:type="pct"/>
            <w:vAlign w:val="center"/>
          </w:tcPr>
          <w:p w14:paraId="034B1373">
            <w:pPr>
              <w:pStyle w:val="257"/>
              <w:spacing w:before="24" w:after="24"/>
              <w:rPr>
                <w:b/>
                <w:bCs/>
              </w:rPr>
            </w:pPr>
            <w:r>
              <w:rPr>
                <w:b/>
                <w:bCs/>
              </w:rPr>
              <w:t>夜间</w:t>
            </w:r>
          </w:p>
        </w:tc>
        <w:tc>
          <w:tcPr>
            <w:tcW w:w="597" w:type="pct"/>
            <w:vAlign w:val="center"/>
          </w:tcPr>
          <w:p w14:paraId="7235D8F3">
            <w:pPr>
              <w:pStyle w:val="257"/>
              <w:spacing w:before="24" w:after="24"/>
              <w:rPr>
                <w:b/>
                <w:bCs/>
              </w:rPr>
            </w:pPr>
            <w:r>
              <w:rPr>
                <w:b/>
                <w:bCs/>
              </w:rPr>
              <w:t>昼间</w:t>
            </w:r>
          </w:p>
        </w:tc>
        <w:tc>
          <w:tcPr>
            <w:tcW w:w="513" w:type="pct"/>
            <w:vAlign w:val="center"/>
          </w:tcPr>
          <w:p w14:paraId="16D0C8A2">
            <w:pPr>
              <w:pStyle w:val="257"/>
              <w:spacing w:before="24" w:after="24"/>
              <w:rPr>
                <w:b/>
                <w:bCs/>
              </w:rPr>
            </w:pPr>
            <w:r>
              <w:rPr>
                <w:b/>
                <w:bCs/>
              </w:rPr>
              <w:t>夜间</w:t>
            </w:r>
          </w:p>
        </w:tc>
        <w:tc>
          <w:tcPr>
            <w:tcW w:w="768" w:type="pct"/>
            <w:vMerge w:val="continue"/>
            <w:vAlign w:val="center"/>
          </w:tcPr>
          <w:p w14:paraId="62ADBE0D">
            <w:pPr>
              <w:pStyle w:val="257"/>
              <w:spacing w:before="24" w:after="24"/>
              <w:rPr>
                <w:b/>
                <w:bCs/>
              </w:rPr>
            </w:pPr>
          </w:p>
        </w:tc>
        <w:tc>
          <w:tcPr>
            <w:tcW w:w="478" w:type="pct"/>
            <w:vMerge w:val="continue"/>
            <w:vAlign w:val="center"/>
          </w:tcPr>
          <w:p w14:paraId="3E60D256">
            <w:pPr>
              <w:pStyle w:val="257"/>
              <w:spacing w:before="24" w:after="24"/>
              <w:rPr>
                <w:b/>
                <w:bCs/>
              </w:rPr>
            </w:pPr>
          </w:p>
        </w:tc>
      </w:tr>
      <w:tr w14:paraId="5A1E4C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69EAF243">
            <w:pPr>
              <w:jc w:val="center"/>
              <w:rPr>
                <w:color w:val="000000"/>
                <w:kern w:val="0"/>
                <w:szCs w:val="21"/>
              </w:rPr>
            </w:pPr>
            <w:bookmarkStart w:id="581" w:name="_Hlk230335165"/>
            <w:r>
              <w:rPr>
                <w:color w:val="000000"/>
                <w:szCs w:val="21"/>
              </w:rPr>
              <w:t>ZS1#</w:t>
            </w:r>
          </w:p>
        </w:tc>
        <w:tc>
          <w:tcPr>
            <w:tcW w:w="939" w:type="pct"/>
            <w:vAlign w:val="center"/>
          </w:tcPr>
          <w:p w14:paraId="755CE7CD">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白庙乡百花村养殖场北侧场界外</w:t>
            </w:r>
          </w:p>
        </w:tc>
        <w:tc>
          <w:tcPr>
            <w:tcW w:w="597" w:type="pct"/>
            <w:vAlign w:val="center"/>
          </w:tcPr>
          <w:p w14:paraId="0835A028">
            <w:pPr>
              <w:jc w:val="center"/>
            </w:pPr>
            <w:r>
              <w:rPr>
                <w:szCs w:val="21"/>
              </w:rPr>
              <w:t>50</w:t>
            </w:r>
          </w:p>
        </w:tc>
        <w:tc>
          <w:tcPr>
            <w:tcW w:w="513" w:type="pct"/>
            <w:vAlign w:val="center"/>
          </w:tcPr>
          <w:p w14:paraId="0C4DDB9A">
            <w:pPr>
              <w:jc w:val="center"/>
            </w:pPr>
            <w:r>
              <w:rPr>
                <w:szCs w:val="21"/>
              </w:rPr>
              <w:t>41</w:t>
            </w:r>
          </w:p>
        </w:tc>
        <w:tc>
          <w:tcPr>
            <w:tcW w:w="597" w:type="pct"/>
            <w:vAlign w:val="center"/>
          </w:tcPr>
          <w:p w14:paraId="21EE57D9">
            <w:pPr>
              <w:jc w:val="center"/>
            </w:pPr>
            <w:r>
              <w:rPr>
                <w:szCs w:val="21"/>
              </w:rPr>
              <w:t>49</w:t>
            </w:r>
          </w:p>
        </w:tc>
        <w:tc>
          <w:tcPr>
            <w:tcW w:w="513" w:type="pct"/>
            <w:vAlign w:val="center"/>
          </w:tcPr>
          <w:p w14:paraId="4FACDC73">
            <w:pPr>
              <w:jc w:val="center"/>
            </w:pPr>
            <w:r>
              <w:rPr>
                <w:szCs w:val="21"/>
              </w:rPr>
              <w:t>39</w:t>
            </w:r>
          </w:p>
        </w:tc>
        <w:tc>
          <w:tcPr>
            <w:tcW w:w="768" w:type="pct"/>
            <w:vMerge w:val="restart"/>
            <w:vAlign w:val="center"/>
          </w:tcPr>
          <w:p w14:paraId="3591FF98">
            <w:pPr>
              <w:jc w:val="center"/>
              <w:rPr>
                <w:szCs w:val="21"/>
              </w:rPr>
            </w:pPr>
            <w:r>
              <w:rPr>
                <w:color w:val="000000"/>
                <w:szCs w:val="21"/>
              </w:rPr>
              <w:t>《声环境质量标准》（GB3096-2008）2类标准在；</w:t>
            </w:r>
            <w:r>
              <w:rPr>
                <w:color w:val="000000" w:themeColor="text1"/>
                <w:kern w:val="0"/>
                <w:szCs w:val="18"/>
                <w:lang w:bidi="ar"/>
                <w14:textFill>
                  <w14:solidFill>
                    <w14:schemeClr w14:val="tx1"/>
                  </w14:solidFill>
                </w14:textFill>
              </w:rPr>
              <w:t>昼间：60</w:t>
            </w:r>
            <w:r>
              <w:rPr>
                <w:snapToGrid w:val="0"/>
                <w:color w:val="000000" w:themeColor="text1"/>
                <w:szCs w:val="21"/>
                <w14:textFill>
                  <w14:solidFill>
                    <w14:schemeClr w14:val="tx1"/>
                  </w14:solidFill>
                </w14:textFill>
              </w:rPr>
              <w:t>dB（A）</w:t>
            </w:r>
            <w:r>
              <w:rPr>
                <w:color w:val="000000" w:themeColor="text1"/>
                <w:kern w:val="0"/>
                <w:szCs w:val="18"/>
                <w:lang w:bidi="ar"/>
                <w14:textFill>
                  <w14:solidFill>
                    <w14:schemeClr w14:val="tx1"/>
                  </w14:solidFill>
                </w14:textFill>
              </w:rPr>
              <w:t>；夜间50</w:t>
            </w:r>
            <w:r>
              <w:rPr>
                <w:snapToGrid w:val="0"/>
                <w:color w:val="000000" w:themeColor="text1"/>
                <w:szCs w:val="21"/>
                <w14:textFill>
                  <w14:solidFill>
                    <w14:schemeClr w14:val="tx1"/>
                  </w14:solidFill>
                </w14:textFill>
              </w:rPr>
              <w:t>dB（A）</w:t>
            </w:r>
          </w:p>
        </w:tc>
        <w:tc>
          <w:tcPr>
            <w:tcW w:w="478" w:type="pct"/>
            <w:vAlign w:val="center"/>
          </w:tcPr>
          <w:p w14:paraId="3D073F90">
            <w:pPr>
              <w:jc w:val="center"/>
              <w:rPr>
                <w:szCs w:val="21"/>
              </w:rPr>
            </w:pPr>
            <w:bookmarkStart w:id="582" w:name="OLE_LINK39"/>
            <w:r>
              <w:rPr>
                <w:szCs w:val="21"/>
              </w:rPr>
              <w:t>达标</w:t>
            </w:r>
            <w:bookmarkEnd w:id="582"/>
          </w:p>
        </w:tc>
      </w:tr>
      <w:tr w14:paraId="3C1A75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57783E36">
            <w:pPr>
              <w:jc w:val="center"/>
              <w:rPr>
                <w:color w:val="000000"/>
                <w:szCs w:val="21"/>
              </w:rPr>
            </w:pPr>
            <w:r>
              <w:rPr>
                <w:color w:val="000000"/>
                <w:szCs w:val="21"/>
              </w:rPr>
              <w:t>ZS2#</w:t>
            </w:r>
          </w:p>
        </w:tc>
        <w:tc>
          <w:tcPr>
            <w:tcW w:w="939" w:type="pct"/>
            <w:vAlign w:val="center"/>
          </w:tcPr>
          <w:p w14:paraId="3AF77BBA">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白庙乡百花村养殖场东侧场界外</w:t>
            </w:r>
          </w:p>
        </w:tc>
        <w:tc>
          <w:tcPr>
            <w:tcW w:w="597" w:type="pct"/>
            <w:vAlign w:val="center"/>
          </w:tcPr>
          <w:p w14:paraId="43526DCE">
            <w:pPr>
              <w:jc w:val="center"/>
            </w:pPr>
            <w:r>
              <w:t>48</w:t>
            </w:r>
          </w:p>
        </w:tc>
        <w:tc>
          <w:tcPr>
            <w:tcW w:w="513" w:type="pct"/>
            <w:vAlign w:val="center"/>
          </w:tcPr>
          <w:p w14:paraId="4C4B4C81">
            <w:pPr>
              <w:jc w:val="center"/>
            </w:pPr>
            <w:r>
              <w:t>40</w:t>
            </w:r>
          </w:p>
        </w:tc>
        <w:tc>
          <w:tcPr>
            <w:tcW w:w="597" w:type="pct"/>
            <w:vAlign w:val="center"/>
          </w:tcPr>
          <w:p w14:paraId="7FC2D470">
            <w:pPr>
              <w:jc w:val="center"/>
            </w:pPr>
            <w:r>
              <w:t>48</w:t>
            </w:r>
          </w:p>
        </w:tc>
        <w:tc>
          <w:tcPr>
            <w:tcW w:w="513" w:type="pct"/>
            <w:vAlign w:val="center"/>
          </w:tcPr>
          <w:p w14:paraId="705CDC3F">
            <w:pPr>
              <w:jc w:val="center"/>
            </w:pPr>
            <w:r>
              <w:t>38</w:t>
            </w:r>
          </w:p>
        </w:tc>
        <w:tc>
          <w:tcPr>
            <w:tcW w:w="768" w:type="pct"/>
            <w:vMerge w:val="continue"/>
            <w:vAlign w:val="center"/>
          </w:tcPr>
          <w:p w14:paraId="357A5DFD">
            <w:pPr>
              <w:jc w:val="center"/>
            </w:pPr>
          </w:p>
        </w:tc>
        <w:tc>
          <w:tcPr>
            <w:tcW w:w="478" w:type="pct"/>
            <w:vAlign w:val="center"/>
          </w:tcPr>
          <w:p w14:paraId="32748B8D">
            <w:pPr>
              <w:jc w:val="center"/>
            </w:pPr>
            <w:r>
              <w:rPr>
                <w:szCs w:val="21"/>
              </w:rPr>
              <w:t>达标</w:t>
            </w:r>
          </w:p>
        </w:tc>
      </w:tr>
      <w:tr w14:paraId="0ED5B5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5E1A315F">
            <w:pPr>
              <w:jc w:val="center"/>
              <w:rPr>
                <w:color w:val="000000"/>
                <w:szCs w:val="21"/>
              </w:rPr>
            </w:pPr>
            <w:r>
              <w:rPr>
                <w:color w:val="000000"/>
                <w:szCs w:val="21"/>
              </w:rPr>
              <w:t>ZS3#</w:t>
            </w:r>
          </w:p>
        </w:tc>
        <w:tc>
          <w:tcPr>
            <w:tcW w:w="939" w:type="pct"/>
            <w:vAlign w:val="center"/>
          </w:tcPr>
          <w:p w14:paraId="2DE4F81B">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白庙乡百花村养殖场南侧场界外</w:t>
            </w:r>
          </w:p>
        </w:tc>
        <w:tc>
          <w:tcPr>
            <w:tcW w:w="597" w:type="pct"/>
            <w:vAlign w:val="center"/>
          </w:tcPr>
          <w:p w14:paraId="440F018B">
            <w:pPr>
              <w:jc w:val="center"/>
            </w:pPr>
            <w:r>
              <w:t>51</w:t>
            </w:r>
          </w:p>
        </w:tc>
        <w:tc>
          <w:tcPr>
            <w:tcW w:w="513" w:type="pct"/>
            <w:vAlign w:val="center"/>
          </w:tcPr>
          <w:p w14:paraId="0EBB1441">
            <w:pPr>
              <w:jc w:val="center"/>
            </w:pPr>
            <w:r>
              <w:t>38</w:t>
            </w:r>
          </w:p>
        </w:tc>
        <w:tc>
          <w:tcPr>
            <w:tcW w:w="597" w:type="pct"/>
            <w:vAlign w:val="center"/>
          </w:tcPr>
          <w:p w14:paraId="3A04C486">
            <w:pPr>
              <w:jc w:val="center"/>
            </w:pPr>
            <w:r>
              <w:t>49</w:t>
            </w:r>
          </w:p>
        </w:tc>
        <w:tc>
          <w:tcPr>
            <w:tcW w:w="513" w:type="pct"/>
            <w:vAlign w:val="center"/>
          </w:tcPr>
          <w:p w14:paraId="63F42A62">
            <w:pPr>
              <w:jc w:val="center"/>
            </w:pPr>
            <w:r>
              <w:t>40</w:t>
            </w:r>
          </w:p>
        </w:tc>
        <w:tc>
          <w:tcPr>
            <w:tcW w:w="768" w:type="pct"/>
            <w:vMerge w:val="continue"/>
            <w:vAlign w:val="center"/>
          </w:tcPr>
          <w:p w14:paraId="290AEC69">
            <w:pPr>
              <w:jc w:val="center"/>
            </w:pPr>
          </w:p>
        </w:tc>
        <w:tc>
          <w:tcPr>
            <w:tcW w:w="478" w:type="pct"/>
            <w:vAlign w:val="center"/>
          </w:tcPr>
          <w:p w14:paraId="231C46D2">
            <w:pPr>
              <w:jc w:val="center"/>
            </w:pPr>
            <w:r>
              <w:rPr>
                <w:szCs w:val="21"/>
              </w:rPr>
              <w:t>达标</w:t>
            </w:r>
          </w:p>
        </w:tc>
      </w:tr>
      <w:tr w14:paraId="25D051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37A05606">
            <w:pPr>
              <w:jc w:val="center"/>
              <w:rPr>
                <w:color w:val="000000"/>
                <w:szCs w:val="21"/>
              </w:rPr>
            </w:pPr>
            <w:r>
              <w:rPr>
                <w:color w:val="000000"/>
                <w:szCs w:val="21"/>
              </w:rPr>
              <w:t>ZS4#</w:t>
            </w:r>
          </w:p>
        </w:tc>
        <w:tc>
          <w:tcPr>
            <w:tcW w:w="939" w:type="pct"/>
            <w:vAlign w:val="center"/>
          </w:tcPr>
          <w:p w14:paraId="1D110750">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白庙乡百花村养殖场西侧场界外</w:t>
            </w:r>
          </w:p>
        </w:tc>
        <w:tc>
          <w:tcPr>
            <w:tcW w:w="597" w:type="pct"/>
            <w:vAlign w:val="center"/>
          </w:tcPr>
          <w:p w14:paraId="31524774">
            <w:pPr>
              <w:jc w:val="center"/>
            </w:pPr>
            <w:r>
              <w:t>48</w:t>
            </w:r>
          </w:p>
        </w:tc>
        <w:tc>
          <w:tcPr>
            <w:tcW w:w="513" w:type="pct"/>
            <w:vAlign w:val="center"/>
          </w:tcPr>
          <w:p w14:paraId="3C8BFA3E">
            <w:pPr>
              <w:jc w:val="center"/>
            </w:pPr>
            <w:r>
              <w:t>40</w:t>
            </w:r>
          </w:p>
        </w:tc>
        <w:tc>
          <w:tcPr>
            <w:tcW w:w="597" w:type="pct"/>
            <w:vAlign w:val="center"/>
          </w:tcPr>
          <w:p w14:paraId="610BF2D7">
            <w:pPr>
              <w:jc w:val="center"/>
            </w:pPr>
            <w:r>
              <w:t>49</w:t>
            </w:r>
          </w:p>
        </w:tc>
        <w:tc>
          <w:tcPr>
            <w:tcW w:w="513" w:type="pct"/>
            <w:vAlign w:val="center"/>
          </w:tcPr>
          <w:p w14:paraId="2270058A">
            <w:pPr>
              <w:jc w:val="center"/>
            </w:pPr>
            <w:r>
              <w:t>41</w:t>
            </w:r>
          </w:p>
        </w:tc>
        <w:tc>
          <w:tcPr>
            <w:tcW w:w="768" w:type="pct"/>
            <w:vMerge w:val="continue"/>
            <w:vAlign w:val="center"/>
          </w:tcPr>
          <w:p w14:paraId="3E913408">
            <w:pPr>
              <w:jc w:val="center"/>
            </w:pPr>
          </w:p>
        </w:tc>
        <w:tc>
          <w:tcPr>
            <w:tcW w:w="478" w:type="pct"/>
            <w:vAlign w:val="center"/>
          </w:tcPr>
          <w:p w14:paraId="6385F9E2">
            <w:pPr>
              <w:jc w:val="center"/>
            </w:pPr>
            <w:r>
              <w:rPr>
                <w:szCs w:val="21"/>
              </w:rPr>
              <w:t>达标</w:t>
            </w:r>
          </w:p>
        </w:tc>
      </w:tr>
      <w:bookmarkEnd w:id="581"/>
      <w:tr w14:paraId="7E4511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43CB0C80">
            <w:pPr>
              <w:jc w:val="center"/>
              <w:rPr>
                <w:color w:val="000000"/>
                <w:szCs w:val="21"/>
              </w:rPr>
            </w:pPr>
            <w:r>
              <w:rPr>
                <w:color w:val="000000"/>
                <w:szCs w:val="21"/>
              </w:rPr>
              <w:t>ZS5#</w:t>
            </w:r>
          </w:p>
        </w:tc>
        <w:tc>
          <w:tcPr>
            <w:tcW w:w="939" w:type="pct"/>
            <w:vAlign w:val="center"/>
          </w:tcPr>
          <w:p w14:paraId="5FAB6011">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白庙乡百花村养殖场北侧场界外北侧居民处</w:t>
            </w:r>
          </w:p>
        </w:tc>
        <w:tc>
          <w:tcPr>
            <w:tcW w:w="597" w:type="pct"/>
            <w:vAlign w:val="center"/>
          </w:tcPr>
          <w:p w14:paraId="4C9156A6">
            <w:pPr>
              <w:jc w:val="center"/>
            </w:pPr>
            <w:r>
              <w:t>52</w:t>
            </w:r>
          </w:p>
        </w:tc>
        <w:tc>
          <w:tcPr>
            <w:tcW w:w="513" w:type="pct"/>
            <w:vAlign w:val="center"/>
          </w:tcPr>
          <w:p w14:paraId="7EB5FC69">
            <w:pPr>
              <w:jc w:val="center"/>
            </w:pPr>
            <w:r>
              <w:t>42</w:t>
            </w:r>
          </w:p>
        </w:tc>
        <w:tc>
          <w:tcPr>
            <w:tcW w:w="597" w:type="pct"/>
            <w:vAlign w:val="center"/>
          </w:tcPr>
          <w:p w14:paraId="26A14DBE">
            <w:pPr>
              <w:jc w:val="center"/>
            </w:pPr>
            <w:r>
              <w:t>52</w:t>
            </w:r>
          </w:p>
        </w:tc>
        <w:tc>
          <w:tcPr>
            <w:tcW w:w="513" w:type="pct"/>
            <w:vAlign w:val="center"/>
          </w:tcPr>
          <w:p w14:paraId="153046C5">
            <w:pPr>
              <w:jc w:val="center"/>
            </w:pPr>
            <w:r>
              <w:t>43</w:t>
            </w:r>
          </w:p>
        </w:tc>
        <w:tc>
          <w:tcPr>
            <w:tcW w:w="768" w:type="pct"/>
            <w:vMerge w:val="continue"/>
            <w:vAlign w:val="center"/>
          </w:tcPr>
          <w:p w14:paraId="7817B7C0">
            <w:pPr>
              <w:jc w:val="center"/>
            </w:pPr>
          </w:p>
        </w:tc>
        <w:tc>
          <w:tcPr>
            <w:tcW w:w="478" w:type="pct"/>
            <w:vAlign w:val="center"/>
          </w:tcPr>
          <w:p w14:paraId="40F125D4">
            <w:pPr>
              <w:jc w:val="center"/>
              <w:rPr>
                <w:szCs w:val="21"/>
              </w:rPr>
            </w:pPr>
            <w:r>
              <w:rPr>
                <w:szCs w:val="21"/>
              </w:rPr>
              <w:t>达标</w:t>
            </w:r>
          </w:p>
        </w:tc>
      </w:tr>
      <w:tr w14:paraId="20A4E5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3AB1D3E7">
            <w:pPr>
              <w:jc w:val="center"/>
              <w:rPr>
                <w:color w:val="000000"/>
                <w:szCs w:val="21"/>
              </w:rPr>
            </w:pPr>
            <w:r>
              <w:rPr>
                <w:color w:val="000000"/>
                <w:szCs w:val="21"/>
              </w:rPr>
              <w:t>ZS6#</w:t>
            </w:r>
          </w:p>
        </w:tc>
        <w:tc>
          <w:tcPr>
            <w:tcW w:w="939" w:type="pct"/>
            <w:vAlign w:val="center"/>
          </w:tcPr>
          <w:p w14:paraId="531B20DB">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白庙乡百花村养殖场北侧场界外南侧居民处</w:t>
            </w:r>
          </w:p>
        </w:tc>
        <w:tc>
          <w:tcPr>
            <w:tcW w:w="597" w:type="pct"/>
            <w:vAlign w:val="center"/>
          </w:tcPr>
          <w:p w14:paraId="52C84687">
            <w:pPr>
              <w:jc w:val="center"/>
              <w:rPr>
                <w:szCs w:val="21"/>
              </w:rPr>
            </w:pPr>
            <w:r>
              <w:rPr>
                <w:szCs w:val="21"/>
              </w:rPr>
              <w:t>52</w:t>
            </w:r>
          </w:p>
        </w:tc>
        <w:tc>
          <w:tcPr>
            <w:tcW w:w="513" w:type="pct"/>
            <w:vAlign w:val="center"/>
          </w:tcPr>
          <w:p w14:paraId="68468221">
            <w:pPr>
              <w:jc w:val="center"/>
              <w:rPr>
                <w:szCs w:val="21"/>
              </w:rPr>
            </w:pPr>
            <w:r>
              <w:rPr>
                <w:szCs w:val="21"/>
              </w:rPr>
              <w:t>41</w:t>
            </w:r>
          </w:p>
        </w:tc>
        <w:tc>
          <w:tcPr>
            <w:tcW w:w="597" w:type="pct"/>
            <w:vAlign w:val="center"/>
          </w:tcPr>
          <w:p w14:paraId="73FB2B10">
            <w:pPr>
              <w:jc w:val="center"/>
              <w:rPr>
                <w:szCs w:val="21"/>
              </w:rPr>
            </w:pPr>
            <w:r>
              <w:rPr>
                <w:szCs w:val="21"/>
              </w:rPr>
              <w:t>48</w:t>
            </w:r>
          </w:p>
        </w:tc>
        <w:tc>
          <w:tcPr>
            <w:tcW w:w="513" w:type="pct"/>
            <w:vAlign w:val="center"/>
          </w:tcPr>
          <w:p w14:paraId="05B0076B">
            <w:pPr>
              <w:jc w:val="center"/>
              <w:rPr>
                <w:szCs w:val="21"/>
              </w:rPr>
            </w:pPr>
            <w:r>
              <w:rPr>
                <w:szCs w:val="21"/>
              </w:rPr>
              <w:t>41</w:t>
            </w:r>
          </w:p>
        </w:tc>
        <w:tc>
          <w:tcPr>
            <w:tcW w:w="768" w:type="pct"/>
            <w:vMerge w:val="continue"/>
            <w:vAlign w:val="center"/>
          </w:tcPr>
          <w:p w14:paraId="4D193810">
            <w:pPr>
              <w:jc w:val="center"/>
              <w:rPr>
                <w:szCs w:val="21"/>
              </w:rPr>
            </w:pPr>
          </w:p>
        </w:tc>
        <w:tc>
          <w:tcPr>
            <w:tcW w:w="478" w:type="pct"/>
            <w:vAlign w:val="center"/>
          </w:tcPr>
          <w:p w14:paraId="5B888D63">
            <w:pPr>
              <w:jc w:val="center"/>
            </w:pPr>
            <w:r>
              <w:rPr>
                <w:szCs w:val="21"/>
              </w:rPr>
              <w:t>达标</w:t>
            </w:r>
          </w:p>
        </w:tc>
      </w:tr>
      <w:tr w14:paraId="7C6201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70F43EF9">
            <w:pPr>
              <w:jc w:val="center"/>
              <w:rPr>
                <w:color w:val="000000"/>
                <w:szCs w:val="21"/>
              </w:rPr>
            </w:pPr>
            <w:r>
              <w:rPr>
                <w:color w:val="000000"/>
                <w:szCs w:val="21"/>
              </w:rPr>
              <w:t>ZS7#</w:t>
            </w:r>
          </w:p>
        </w:tc>
        <w:tc>
          <w:tcPr>
            <w:tcW w:w="939" w:type="pct"/>
            <w:vAlign w:val="center"/>
          </w:tcPr>
          <w:p w14:paraId="6520BE15">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白庙乡百花村养殖场北侧场界外西南侧居民处</w:t>
            </w:r>
          </w:p>
        </w:tc>
        <w:tc>
          <w:tcPr>
            <w:tcW w:w="597" w:type="pct"/>
            <w:vAlign w:val="center"/>
          </w:tcPr>
          <w:p w14:paraId="34290D90">
            <w:pPr>
              <w:jc w:val="center"/>
              <w:rPr>
                <w:szCs w:val="21"/>
              </w:rPr>
            </w:pPr>
            <w:r>
              <w:rPr>
                <w:szCs w:val="21"/>
              </w:rPr>
              <w:t>50</w:t>
            </w:r>
          </w:p>
        </w:tc>
        <w:tc>
          <w:tcPr>
            <w:tcW w:w="513" w:type="pct"/>
            <w:vAlign w:val="center"/>
          </w:tcPr>
          <w:p w14:paraId="25FA104D">
            <w:pPr>
              <w:jc w:val="center"/>
              <w:rPr>
                <w:szCs w:val="21"/>
              </w:rPr>
            </w:pPr>
            <w:r>
              <w:rPr>
                <w:szCs w:val="21"/>
              </w:rPr>
              <w:t>41</w:t>
            </w:r>
          </w:p>
        </w:tc>
        <w:tc>
          <w:tcPr>
            <w:tcW w:w="597" w:type="pct"/>
            <w:vAlign w:val="center"/>
          </w:tcPr>
          <w:p w14:paraId="05501C4A">
            <w:pPr>
              <w:jc w:val="center"/>
              <w:rPr>
                <w:szCs w:val="21"/>
              </w:rPr>
            </w:pPr>
            <w:r>
              <w:rPr>
                <w:szCs w:val="21"/>
              </w:rPr>
              <w:t>54</w:t>
            </w:r>
          </w:p>
        </w:tc>
        <w:tc>
          <w:tcPr>
            <w:tcW w:w="513" w:type="pct"/>
            <w:vAlign w:val="center"/>
          </w:tcPr>
          <w:p w14:paraId="6D59ECD7">
            <w:pPr>
              <w:jc w:val="center"/>
              <w:rPr>
                <w:szCs w:val="21"/>
              </w:rPr>
            </w:pPr>
            <w:r>
              <w:rPr>
                <w:szCs w:val="21"/>
              </w:rPr>
              <w:t>40</w:t>
            </w:r>
          </w:p>
        </w:tc>
        <w:tc>
          <w:tcPr>
            <w:tcW w:w="768" w:type="pct"/>
            <w:vMerge w:val="continue"/>
            <w:vAlign w:val="center"/>
          </w:tcPr>
          <w:p w14:paraId="2DDFE985">
            <w:pPr>
              <w:jc w:val="center"/>
              <w:rPr>
                <w:szCs w:val="21"/>
              </w:rPr>
            </w:pPr>
          </w:p>
        </w:tc>
        <w:tc>
          <w:tcPr>
            <w:tcW w:w="478" w:type="pct"/>
            <w:vAlign w:val="center"/>
          </w:tcPr>
          <w:p w14:paraId="020E5F13">
            <w:pPr>
              <w:jc w:val="center"/>
            </w:pPr>
            <w:r>
              <w:rPr>
                <w:szCs w:val="21"/>
              </w:rPr>
              <w:t>达标</w:t>
            </w:r>
          </w:p>
        </w:tc>
      </w:tr>
      <w:tr w14:paraId="08020A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56E105D6">
            <w:pPr>
              <w:jc w:val="center"/>
              <w:rPr>
                <w:color w:val="000000"/>
                <w:szCs w:val="21"/>
              </w:rPr>
            </w:pPr>
            <w:r>
              <w:rPr>
                <w:color w:val="000000"/>
                <w:szCs w:val="21"/>
              </w:rPr>
              <w:t>ZS8#</w:t>
            </w:r>
          </w:p>
        </w:tc>
        <w:tc>
          <w:tcPr>
            <w:tcW w:w="939" w:type="pct"/>
            <w:vAlign w:val="center"/>
          </w:tcPr>
          <w:p w14:paraId="11A9CE44">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曾口镇佛龙村养殖场北侧场界外</w:t>
            </w:r>
          </w:p>
        </w:tc>
        <w:tc>
          <w:tcPr>
            <w:tcW w:w="597" w:type="pct"/>
            <w:vAlign w:val="center"/>
          </w:tcPr>
          <w:p w14:paraId="3A5AD348">
            <w:pPr>
              <w:jc w:val="center"/>
              <w:rPr>
                <w:szCs w:val="21"/>
              </w:rPr>
            </w:pPr>
            <w:r>
              <w:rPr>
                <w:szCs w:val="21"/>
              </w:rPr>
              <w:t>50</w:t>
            </w:r>
          </w:p>
        </w:tc>
        <w:tc>
          <w:tcPr>
            <w:tcW w:w="513" w:type="pct"/>
            <w:vAlign w:val="center"/>
          </w:tcPr>
          <w:p w14:paraId="49683D0F">
            <w:pPr>
              <w:jc w:val="center"/>
              <w:rPr>
                <w:szCs w:val="21"/>
              </w:rPr>
            </w:pPr>
            <w:r>
              <w:rPr>
                <w:szCs w:val="21"/>
              </w:rPr>
              <w:t>40</w:t>
            </w:r>
          </w:p>
        </w:tc>
        <w:tc>
          <w:tcPr>
            <w:tcW w:w="597" w:type="pct"/>
            <w:vAlign w:val="center"/>
          </w:tcPr>
          <w:p w14:paraId="3EFB425D">
            <w:pPr>
              <w:jc w:val="center"/>
              <w:rPr>
                <w:szCs w:val="21"/>
              </w:rPr>
            </w:pPr>
            <w:r>
              <w:rPr>
                <w:szCs w:val="21"/>
              </w:rPr>
              <w:t>48</w:t>
            </w:r>
          </w:p>
        </w:tc>
        <w:tc>
          <w:tcPr>
            <w:tcW w:w="513" w:type="pct"/>
            <w:vAlign w:val="center"/>
          </w:tcPr>
          <w:p w14:paraId="482DC26D">
            <w:pPr>
              <w:jc w:val="center"/>
              <w:rPr>
                <w:szCs w:val="21"/>
              </w:rPr>
            </w:pPr>
            <w:r>
              <w:rPr>
                <w:szCs w:val="21"/>
              </w:rPr>
              <w:t>38</w:t>
            </w:r>
          </w:p>
        </w:tc>
        <w:tc>
          <w:tcPr>
            <w:tcW w:w="768" w:type="pct"/>
            <w:vMerge w:val="continue"/>
            <w:vAlign w:val="center"/>
          </w:tcPr>
          <w:p w14:paraId="1E88A4DE">
            <w:pPr>
              <w:jc w:val="center"/>
              <w:rPr>
                <w:szCs w:val="21"/>
              </w:rPr>
            </w:pPr>
          </w:p>
        </w:tc>
        <w:tc>
          <w:tcPr>
            <w:tcW w:w="478" w:type="pct"/>
            <w:vAlign w:val="center"/>
          </w:tcPr>
          <w:p w14:paraId="7B29A73F">
            <w:pPr>
              <w:jc w:val="center"/>
            </w:pPr>
            <w:r>
              <w:rPr>
                <w:szCs w:val="21"/>
              </w:rPr>
              <w:t>达标</w:t>
            </w:r>
          </w:p>
        </w:tc>
      </w:tr>
      <w:tr w14:paraId="524C00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5158EE6B">
            <w:pPr>
              <w:jc w:val="center"/>
              <w:rPr>
                <w:color w:val="000000"/>
                <w:szCs w:val="21"/>
              </w:rPr>
            </w:pPr>
            <w:r>
              <w:rPr>
                <w:color w:val="000000"/>
                <w:szCs w:val="21"/>
              </w:rPr>
              <w:t>ZS9#</w:t>
            </w:r>
          </w:p>
        </w:tc>
        <w:tc>
          <w:tcPr>
            <w:tcW w:w="939" w:type="pct"/>
            <w:vAlign w:val="center"/>
          </w:tcPr>
          <w:p w14:paraId="5BBF61A0">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曾口镇佛龙村养殖场东侧场界外</w:t>
            </w:r>
          </w:p>
        </w:tc>
        <w:tc>
          <w:tcPr>
            <w:tcW w:w="597" w:type="pct"/>
            <w:vAlign w:val="center"/>
          </w:tcPr>
          <w:p w14:paraId="58112066">
            <w:pPr>
              <w:jc w:val="center"/>
              <w:rPr>
                <w:szCs w:val="21"/>
              </w:rPr>
            </w:pPr>
            <w:r>
              <w:rPr>
                <w:szCs w:val="21"/>
              </w:rPr>
              <w:t>49</w:t>
            </w:r>
          </w:p>
        </w:tc>
        <w:tc>
          <w:tcPr>
            <w:tcW w:w="513" w:type="pct"/>
            <w:vAlign w:val="center"/>
          </w:tcPr>
          <w:p w14:paraId="2414CAC3">
            <w:pPr>
              <w:jc w:val="center"/>
              <w:rPr>
                <w:szCs w:val="21"/>
              </w:rPr>
            </w:pPr>
            <w:r>
              <w:rPr>
                <w:szCs w:val="21"/>
              </w:rPr>
              <w:t>41</w:t>
            </w:r>
          </w:p>
        </w:tc>
        <w:tc>
          <w:tcPr>
            <w:tcW w:w="597" w:type="pct"/>
            <w:vAlign w:val="center"/>
          </w:tcPr>
          <w:p w14:paraId="4CB36F49">
            <w:pPr>
              <w:jc w:val="center"/>
              <w:rPr>
                <w:szCs w:val="21"/>
              </w:rPr>
            </w:pPr>
            <w:r>
              <w:rPr>
                <w:szCs w:val="21"/>
              </w:rPr>
              <w:t>51</w:t>
            </w:r>
          </w:p>
        </w:tc>
        <w:tc>
          <w:tcPr>
            <w:tcW w:w="513" w:type="pct"/>
            <w:vAlign w:val="center"/>
          </w:tcPr>
          <w:p w14:paraId="1AC11232">
            <w:pPr>
              <w:jc w:val="center"/>
              <w:rPr>
                <w:szCs w:val="21"/>
              </w:rPr>
            </w:pPr>
            <w:r>
              <w:rPr>
                <w:szCs w:val="21"/>
              </w:rPr>
              <w:t>41</w:t>
            </w:r>
          </w:p>
        </w:tc>
        <w:tc>
          <w:tcPr>
            <w:tcW w:w="768" w:type="pct"/>
            <w:vMerge w:val="continue"/>
            <w:vAlign w:val="center"/>
          </w:tcPr>
          <w:p w14:paraId="7BE3D75C">
            <w:pPr>
              <w:jc w:val="center"/>
              <w:rPr>
                <w:szCs w:val="21"/>
              </w:rPr>
            </w:pPr>
          </w:p>
        </w:tc>
        <w:tc>
          <w:tcPr>
            <w:tcW w:w="478" w:type="pct"/>
            <w:vAlign w:val="center"/>
          </w:tcPr>
          <w:p w14:paraId="6EC9E466">
            <w:pPr>
              <w:jc w:val="center"/>
              <w:rPr>
                <w:szCs w:val="21"/>
              </w:rPr>
            </w:pPr>
            <w:r>
              <w:rPr>
                <w:szCs w:val="21"/>
              </w:rPr>
              <w:t>达标</w:t>
            </w:r>
          </w:p>
        </w:tc>
      </w:tr>
      <w:tr w14:paraId="3338CB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48AFF0E7">
            <w:pPr>
              <w:jc w:val="center"/>
              <w:rPr>
                <w:color w:val="000000"/>
                <w:szCs w:val="21"/>
              </w:rPr>
            </w:pPr>
            <w:r>
              <w:rPr>
                <w:color w:val="000000"/>
                <w:szCs w:val="21"/>
              </w:rPr>
              <w:t>ZS10#</w:t>
            </w:r>
          </w:p>
        </w:tc>
        <w:tc>
          <w:tcPr>
            <w:tcW w:w="939" w:type="pct"/>
            <w:vAlign w:val="center"/>
          </w:tcPr>
          <w:p w14:paraId="20B9A1FD">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曾口镇佛龙村养殖场南侧场界外</w:t>
            </w:r>
          </w:p>
        </w:tc>
        <w:tc>
          <w:tcPr>
            <w:tcW w:w="597" w:type="pct"/>
            <w:vAlign w:val="center"/>
          </w:tcPr>
          <w:p w14:paraId="0C88391C">
            <w:pPr>
              <w:jc w:val="center"/>
              <w:rPr>
                <w:szCs w:val="21"/>
              </w:rPr>
            </w:pPr>
            <w:r>
              <w:rPr>
                <w:szCs w:val="21"/>
              </w:rPr>
              <w:t>53</w:t>
            </w:r>
          </w:p>
        </w:tc>
        <w:tc>
          <w:tcPr>
            <w:tcW w:w="513" w:type="pct"/>
            <w:vAlign w:val="center"/>
          </w:tcPr>
          <w:p w14:paraId="6103A49D">
            <w:pPr>
              <w:jc w:val="center"/>
              <w:rPr>
                <w:szCs w:val="21"/>
              </w:rPr>
            </w:pPr>
            <w:r>
              <w:rPr>
                <w:szCs w:val="21"/>
              </w:rPr>
              <w:t>40</w:t>
            </w:r>
          </w:p>
        </w:tc>
        <w:tc>
          <w:tcPr>
            <w:tcW w:w="597" w:type="pct"/>
            <w:vAlign w:val="center"/>
          </w:tcPr>
          <w:p w14:paraId="63CEF2C6">
            <w:pPr>
              <w:jc w:val="center"/>
              <w:rPr>
                <w:szCs w:val="21"/>
              </w:rPr>
            </w:pPr>
            <w:r>
              <w:rPr>
                <w:szCs w:val="21"/>
              </w:rPr>
              <w:t>49</w:t>
            </w:r>
          </w:p>
        </w:tc>
        <w:tc>
          <w:tcPr>
            <w:tcW w:w="513" w:type="pct"/>
            <w:vAlign w:val="center"/>
          </w:tcPr>
          <w:p w14:paraId="15448AAC">
            <w:pPr>
              <w:jc w:val="center"/>
              <w:rPr>
                <w:szCs w:val="21"/>
              </w:rPr>
            </w:pPr>
            <w:r>
              <w:rPr>
                <w:szCs w:val="21"/>
              </w:rPr>
              <w:t>37</w:t>
            </w:r>
          </w:p>
        </w:tc>
        <w:tc>
          <w:tcPr>
            <w:tcW w:w="768" w:type="pct"/>
            <w:vMerge w:val="continue"/>
            <w:vAlign w:val="center"/>
          </w:tcPr>
          <w:p w14:paraId="01889BD0">
            <w:pPr>
              <w:jc w:val="center"/>
              <w:rPr>
                <w:szCs w:val="21"/>
              </w:rPr>
            </w:pPr>
          </w:p>
        </w:tc>
        <w:tc>
          <w:tcPr>
            <w:tcW w:w="478" w:type="pct"/>
            <w:vAlign w:val="center"/>
          </w:tcPr>
          <w:p w14:paraId="70CE3E4C">
            <w:pPr>
              <w:jc w:val="center"/>
            </w:pPr>
            <w:r>
              <w:rPr>
                <w:szCs w:val="21"/>
              </w:rPr>
              <w:t>达标</w:t>
            </w:r>
          </w:p>
        </w:tc>
      </w:tr>
      <w:tr w14:paraId="4D9D3FE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24D9E29D">
            <w:pPr>
              <w:jc w:val="center"/>
              <w:rPr>
                <w:color w:val="000000"/>
                <w:szCs w:val="21"/>
              </w:rPr>
            </w:pPr>
            <w:r>
              <w:rPr>
                <w:color w:val="000000"/>
                <w:szCs w:val="21"/>
              </w:rPr>
              <w:t>ZS11#</w:t>
            </w:r>
          </w:p>
        </w:tc>
        <w:tc>
          <w:tcPr>
            <w:tcW w:w="939" w:type="pct"/>
            <w:vAlign w:val="center"/>
          </w:tcPr>
          <w:p w14:paraId="55D779C0">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曾口镇佛龙村养殖场西侧场界外</w:t>
            </w:r>
          </w:p>
        </w:tc>
        <w:tc>
          <w:tcPr>
            <w:tcW w:w="597" w:type="pct"/>
            <w:vAlign w:val="center"/>
          </w:tcPr>
          <w:p w14:paraId="466696FD">
            <w:pPr>
              <w:jc w:val="center"/>
              <w:rPr>
                <w:szCs w:val="21"/>
              </w:rPr>
            </w:pPr>
            <w:r>
              <w:rPr>
                <w:szCs w:val="21"/>
              </w:rPr>
              <w:t>51</w:t>
            </w:r>
          </w:p>
        </w:tc>
        <w:tc>
          <w:tcPr>
            <w:tcW w:w="513" w:type="pct"/>
            <w:vAlign w:val="center"/>
          </w:tcPr>
          <w:p w14:paraId="68BB3263">
            <w:pPr>
              <w:jc w:val="center"/>
              <w:rPr>
                <w:szCs w:val="21"/>
              </w:rPr>
            </w:pPr>
            <w:r>
              <w:rPr>
                <w:szCs w:val="21"/>
              </w:rPr>
              <w:t>42</w:t>
            </w:r>
          </w:p>
        </w:tc>
        <w:tc>
          <w:tcPr>
            <w:tcW w:w="597" w:type="pct"/>
            <w:vAlign w:val="center"/>
          </w:tcPr>
          <w:p w14:paraId="7088EEEE">
            <w:pPr>
              <w:jc w:val="center"/>
              <w:rPr>
                <w:szCs w:val="21"/>
              </w:rPr>
            </w:pPr>
            <w:r>
              <w:rPr>
                <w:szCs w:val="21"/>
              </w:rPr>
              <w:t>50</w:t>
            </w:r>
          </w:p>
        </w:tc>
        <w:tc>
          <w:tcPr>
            <w:tcW w:w="513" w:type="pct"/>
            <w:vAlign w:val="center"/>
          </w:tcPr>
          <w:p w14:paraId="5043210A">
            <w:pPr>
              <w:jc w:val="center"/>
              <w:rPr>
                <w:szCs w:val="21"/>
              </w:rPr>
            </w:pPr>
            <w:r>
              <w:rPr>
                <w:szCs w:val="21"/>
              </w:rPr>
              <w:t>41</w:t>
            </w:r>
          </w:p>
        </w:tc>
        <w:tc>
          <w:tcPr>
            <w:tcW w:w="768" w:type="pct"/>
            <w:vMerge w:val="continue"/>
            <w:vAlign w:val="center"/>
          </w:tcPr>
          <w:p w14:paraId="3A574AC9">
            <w:pPr>
              <w:jc w:val="center"/>
              <w:rPr>
                <w:szCs w:val="21"/>
              </w:rPr>
            </w:pPr>
          </w:p>
        </w:tc>
        <w:tc>
          <w:tcPr>
            <w:tcW w:w="478" w:type="pct"/>
            <w:vAlign w:val="center"/>
          </w:tcPr>
          <w:p w14:paraId="41DCC5CE">
            <w:pPr>
              <w:jc w:val="center"/>
            </w:pPr>
            <w:r>
              <w:rPr>
                <w:szCs w:val="21"/>
              </w:rPr>
              <w:t>达标</w:t>
            </w:r>
          </w:p>
        </w:tc>
      </w:tr>
      <w:tr w14:paraId="21819A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24AA9455">
            <w:pPr>
              <w:jc w:val="center"/>
              <w:rPr>
                <w:color w:val="000000"/>
                <w:szCs w:val="21"/>
              </w:rPr>
            </w:pPr>
            <w:r>
              <w:rPr>
                <w:color w:val="000000"/>
                <w:szCs w:val="21"/>
              </w:rPr>
              <w:t>ZS12#</w:t>
            </w:r>
          </w:p>
        </w:tc>
        <w:tc>
          <w:tcPr>
            <w:tcW w:w="939" w:type="pct"/>
            <w:vAlign w:val="center"/>
          </w:tcPr>
          <w:p w14:paraId="3F0958EC">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曾口镇佛龙村养殖场东北侧居民处A</w:t>
            </w:r>
          </w:p>
        </w:tc>
        <w:tc>
          <w:tcPr>
            <w:tcW w:w="597" w:type="pct"/>
            <w:vAlign w:val="center"/>
          </w:tcPr>
          <w:p w14:paraId="64A5199E">
            <w:pPr>
              <w:jc w:val="center"/>
              <w:rPr>
                <w:szCs w:val="21"/>
              </w:rPr>
            </w:pPr>
            <w:r>
              <w:rPr>
                <w:szCs w:val="21"/>
              </w:rPr>
              <w:t>53</w:t>
            </w:r>
          </w:p>
        </w:tc>
        <w:tc>
          <w:tcPr>
            <w:tcW w:w="513" w:type="pct"/>
            <w:vAlign w:val="center"/>
          </w:tcPr>
          <w:p w14:paraId="2CD4B1F8">
            <w:pPr>
              <w:jc w:val="center"/>
              <w:rPr>
                <w:szCs w:val="21"/>
              </w:rPr>
            </w:pPr>
            <w:r>
              <w:rPr>
                <w:szCs w:val="21"/>
              </w:rPr>
              <w:t>38</w:t>
            </w:r>
          </w:p>
        </w:tc>
        <w:tc>
          <w:tcPr>
            <w:tcW w:w="597" w:type="pct"/>
            <w:vAlign w:val="center"/>
          </w:tcPr>
          <w:p w14:paraId="76BC3C53">
            <w:pPr>
              <w:jc w:val="center"/>
              <w:rPr>
                <w:szCs w:val="21"/>
              </w:rPr>
            </w:pPr>
            <w:r>
              <w:rPr>
                <w:szCs w:val="21"/>
              </w:rPr>
              <w:t>52</w:t>
            </w:r>
          </w:p>
        </w:tc>
        <w:tc>
          <w:tcPr>
            <w:tcW w:w="513" w:type="pct"/>
            <w:vAlign w:val="center"/>
          </w:tcPr>
          <w:p w14:paraId="2E633610">
            <w:pPr>
              <w:jc w:val="center"/>
              <w:rPr>
                <w:szCs w:val="21"/>
              </w:rPr>
            </w:pPr>
            <w:r>
              <w:rPr>
                <w:szCs w:val="21"/>
              </w:rPr>
              <w:t>40</w:t>
            </w:r>
          </w:p>
        </w:tc>
        <w:tc>
          <w:tcPr>
            <w:tcW w:w="768" w:type="pct"/>
            <w:vMerge w:val="continue"/>
            <w:vAlign w:val="center"/>
          </w:tcPr>
          <w:p w14:paraId="2F1DCBAC">
            <w:pPr>
              <w:jc w:val="center"/>
              <w:rPr>
                <w:szCs w:val="21"/>
              </w:rPr>
            </w:pPr>
          </w:p>
        </w:tc>
        <w:tc>
          <w:tcPr>
            <w:tcW w:w="478" w:type="pct"/>
            <w:vAlign w:val="center"/>
          </w:tcPr>
          <w:p w14:paraId="251B4061">
            <w:pPr>
              <w:jc w:val="center"/>
            </w:pPr>
            <w:r>
              <w:rPr>
                <w:szCs w:val="21"/>
              </w:rPr>
              <w:t>达标</w:t>
            </w:r>
          </w:p>
        </w:tc>
      </w:tr>
      <w:tr w14:paraId="40CA955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0406D734">
            <w:pPr>
              <w:jc w:val="center"/>
              <w:rPr>
                <w:color w:val="000000"/>
                <w:szCs w:val="21"/>
              </w:rPr>
            </w:pPr>
            <w:r>
              <w:rPr>
                <w:color w:val="000000"/>
                <w:szCs w:val="21"/>
              </w:rPr>
              <w:t>ZS13#</w:t>
            </w:r>
          </w:p>
        </w:tc>
        <w:tc>
          <w:tcPr>
            <w:tcW w:w="939" w:type="pct"/>
            <w:vAlign w:val="center"/>
          </w:tcPr>
          <w:p w14:paraId="157A8C7B">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曾口镇佛龙村养殖场东北侧居民处B</w:t>
            </w:r>
          </w:p>
        </w:tc>
        <w:tc>
          <w:tcPr>
            <w:tcW w:w="597" w:type="pct"/>
            <w:vAlign w:val="center"/>
          </w:tcPr>
          <w:p w14:paraId="196C1311">
            <w:pPr>
              <w:jc w:val="center"/>
              <w:rPr>
                <w:szCs w:val="21"/>
              </w:rPr>
            </w:pPr>
            <w:r>
              <w:rPr>
                <w:szCs w:val="21"/>
              </w:rPr>
              <w:t>49</w:t>
            </w:r>
          </w:p>
        </w:tc>
        <w:tc>
          <w:tcPr>
            <w:tcW w:w="513" w:type="pct"/>
            <w:vAlign w:val="center"/>
          </w:tcPr>
          <w:p w14:paraId="6224387C">
            <w:pPr>
              <w:jc w:val="center"/>
              <w:rPr>
                <w:szCs w:val="21"/>
              </w:rPr>
            </w:pPr>
            <w:r>
              <w:rPr>
                <w:szCs w:val="21"/>
              </w:rPr>
              <w:t>39</w:t>
            </w:r>
          </w:p>
        </w:tc>
        <w:tc>
          <w:tcPr>
            <w:tcW w:w="597" w:type="pct"/>
            <w:vAlign w:val="center"/>
          </w:tcPr>
          <w:p w14:paraId="2297C790">
            <w:pPr>
              <w:jc w:val="center"/>
              <w:rPr>
                <w:szCs w:val="21"/>
              </w:rPr>
            </w:pPr>
            <w:r>
              <w:rPr>
                <w:szCs w:val="21"/>
              </w:rPr>
              <w:t>50</w:t>
            </w:r>
          </w:p>
        </w:tc>
        <w:tc>
          <w:tcPr>
            <w:tcW w:w="513" w:type="pct"/>
            <w:vAlign w:val="center"/>
          </w:tcPr>
          <w:p w14:paraId="33CFA2F9">
            <w:pPr>
              <w:jc w:val="center"/>
              <w:rPr>
                <w:szCs w:val="21"/>
              </w:rPr>
            </w:pPr>
            <w:r>
              <w:rPr>
                <w:szCs w:val="21"/>
              </w:rPr>
              <w:t>40</w:t>
            </w:r>
          </w:p>
        </w:tc>
        <w:tc>
          <w:tcPr>
            <w:tcW w:w="768" w:type="pct"/>
            <w:vMerge w:val="continue"/>
            <w:vAlign w:val="center"/>
          </w:tcPr>
          <w:p w14:paraId="3FAC051F">
            <w:pPr>
              <w:jc w:val="center"/>
              <w:rPr>
                <w:szCs w:val="21"/>
              </w:rPr>
            </w:pPr>
          </w:p>
        </w:tc>
        <w:tc>
          <w:tcPr>
            <w:tcW w:w="478" w:type="pct"/>
            <w:vAlign w:val="center"/>
          </w:tcPr>
          <w:p w14:paraId="454D47DC">
            <w:pPr>
              <w:jc w:val="center"/>
              <w:rPr>
                <w:szCs w:val="21"/>
              </w:rPr>
            </w:pPr>
            <w:r>
              <w:rPr>
                <w:szCs w:val="21"/>
              </w:rPr>
              <w:t>达标</w:t>
            </w:r>
          </w:p>
        </w:tc>
      </w:tr>
      <w:tr w14:paraId="79C194D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36D02351">
            <w:pPr>
              <w:jc w:val="center"/>
              <w:rPr>
                <w:color w:val="000000"/>
                <w:szCs w:val="21"/>
              </w:rPr>
            </w:pPr>
            <w:r>
              <w:rPr>
                <w:color w:val="000000"/>
                <w:szCs w:val="21"/>
              </w:rPr>
              <w:t>ZS14#</w:t>
            </w:r>
          </w:p>
        </w:tc>
        <w:tc>
          <w:tcPr>
            <w:tcW w:w="939" w:type="pct"/>
            <w:vAlign w:val="center"/>
          </w:tcPr>
          <w:p w14:paraId="69E7A5CD">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曾口镇佛龙村养殖场南侧居民处</w:t>
            </w:r>
          </w:p>
        </w:tc>
        <w:tc>
          <w:tcPr>
            <w:tcW w:w="597" w:type="pct"/>
            <w:vAlign w:val="center"/>
          </w:tcPr>
          <w:p w14:paraId="76D09F55">
            <w:pPr>
              <w:jc w:val="center"/>
              <w:rPr>
                <w:szCs w:val="21"/>
              </w:rPr>
            </w:pPr>
            <w:r>
              <w:rPr>
                <w:szCs w:val="21"/>
              </w:rPr>
              <w:t>50</w:t>
            </w:r>
          </w:p>
        </w:tc>
        <w:tc>
          <w:tcPr>
            <w:tcW w:w="513" w:type="pct"/>
            <w:vAlign w:val="center"/>
          </w:tcPr>
          <w:p w14:paraId="3C7D755E">
            <w:pPr>
              <w:jc w:val="center"/>
              <w:rPr>
                <w:szCs w:val="21"/>
              </w:rPr>
            </w:pPr>
            <w:r>
              <w:rPr>
                <w:szCs w:val="21"/>
              </w:rPr>
              <w:t>40</w:t>
            </w:r>
          </w:p>
        </w:tc>
        <w:tc>
          <w:tcPr>
            <w:tcW w:w="597" w:type="pct"/>
            <w:vAlign w:val="center"/>
          </w:tcPr>
          <w:p w14:paraId="340C69CC">
            <w:pPr>
              <w:jc w:val="center"/>
              <w:rPr>
                <w:szCs w:val="21"/>
              </w:rPr>
            </w:pPr>
            <w:r>
              <w:rPr>
                <w:szCs w:val="21"/>
              </w:rPr>
              <w:t>52</w:t>
            </w:r>
          </w:p>
        </w:tc>
        <w:tc>
          <w:tcPr>
            <w:tcW w:w="513" w:type="pct"/>
            <w:vAlign w:val="center"/>
          </w:tcPr>
          <w:p w14:paraId="5B4377FF">
            <w:pPr>
              <w:jc w:val="center"/>
              <w:rPr>
                <w:szCs w:val="21"/>
              </w:rPr>
            </w:pPr>
            <w:r>
              <w:rPr>
                <w:szCs w:val="21"/>
              </w:rPr>
              <w:t>42</w:t>
            </w:r>
          </w:p>
        </w:tc>
        <w:tc>
          <w:tcPr>
            <w:tcW w:w="768" w:type="pct"/>
            <w:vMerge w:val="continue"/>
            <w:vAlign w:val="center"/>
          </w:tcPr>
          <w:p w14:paraId="465F5704">
            <w:pPr>
              <w:jc w:val="center"/>
              <w:rPr>
                <w:szCs w:val="21"/>
              </w:rPr>
            </w:pPr>
          </w:p>
        </w:tc>
        <w:tc>
          <w:tcPr>
            <w:tcW w:w="478" w:type="pct"/>
            <w:vAlign w:val="center"/>
          </w:tcPr>
          <w:p w14:paraId="529A0513">
            <w:pPr>
              <w:jc w:val="center"/>
            </w:pPr>
            <w:r>
              <w:rPr>
                <w:szCs w:val="21"/>
              </w:rPr>
              <w:t>达标</w:t>
            </w:r>
          </w:p>
        </w:tc>
      </w:tr>
      <w:tr w14:paraId="41A658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12774436">
            <w:pPr>
              <w:jc w:val="center"/>
              <w:rPr>
                <w:color w:val="000000"/>
                <w:szCs w:val="21"/>
              </w:rPr>
            </w:pPr>
            <w:r>
              <w:rPr>
                <w:color w:val="000000"/>
                <w:szCs w:val="21"/>
              </w:rPr>
              <w:t>ZS15#</w:t>
            </w:r>
          </w:p>
        </w:tc>
        <w:tc>
          <w:tcPr>
            <w:tcW w:w="939" w:type="pct"/>
            <w:vAlign w:val="center"/>
          </w:tcPr>
          <w:p w14:paraId="04809247">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曾口镇佛龙村养殖场西南侧居民处</w:t>
            </w:r>
          </w:p>
        </w:tc>
        <w:tc>
          <w:tcPr>
            <w:tcW w:w="597" w:type="pct"/>
            <w:vAlign w:val="center"/>
          </w:tcPr>
          <w:p w14:paraId="53786C48">
            <w:pPr>
              <w:jc w:val="center"/>
              <w:rPr>
                <w:szCs w:val="21"/>
              </w:rPr>
            </w:pPr>
            <w:r>
              <w:rPr>
                <w:szCs w:val="21"/>
              </w:rPr>
              <w:t>52</w:t>
            </w:r>
          </w:p>
        </w:tc>
        <w:tc>
          <w:tcPr>
            <w:tcW w:w="513" w:type="pct"/>
            <w:vAlign w:val="center"/>
          </w:tcPr>
          <w:p w14:paraId="4DDEF2BA">
            <w:pPr>
              <w:jc w:val="center"/>
              <w:rPr>
                <w:szCs w:val="21"/>
              </w:rPr>
            </w:pPr>
            <w:r>
              <w:rPr>
                <w:szCs w:val="21"/>
              </w:rPr>
              <w:t>38</w:t>
            </w:r>
          </w:p>
        </w:tc>
        <w:tc>
          <w:tcPr>
            <w:tcW w:w="597" w:type="pct"/>
            <w:vAlign w:val="center"/>
          </w:tcPr>
          <w:p w14:paraId="7D12AAF9">
            <w:pPr>
              <w:jc w:val="center"/>
              <w:rPr>
                <w:szCs w:val="21"/>
              </w:rPr>
            </w:pPr>
            <w:r>
              <w:rPr>
                <w:szCs w:val="21"/>
              </w:rPr>
              <w:t>48</w:t>
            </w:r>
          </w:p>
        </w:tc>
        <w:tc>
          <w:tcPr>
            <w:tcW w:w="513" w:type="pct"/>
            <w:vAlign w:val="center"/>
          </w:tcPr>
          <w:p w14:paraId="503617C1">
            <w:pPr>
              <w:jc w:val="center"/>
              <w:rPr>
                <w:szCs w:val="21"/>
              </w:rPr>
            </w:pPr>
            <w:r>
              <w:rPr>
                <w:szCs w:val="21"/>
              </w:rPr>
              <w:t>39</w:t>
            </w:r>
          </w:p>
        </w:tc>
        <w:tc>
          <w:tcPr>
            <w:tcW w:w="768" w:type="pct"/>
            <w:vMerge w:val="continue"/>
            <w:vAlign w:val="center"/>
          </w:tcPr>
          <w:p w14:paraId="463A2659">
            <w:pPr>
              <w:jc w:val="center"/>
              <w:rPr>
                <w:szCs w:val="21"/>
              </w:rPr>
            </w:pPr>
          </w:p>
        </w:tc>
        <w:tc>
          <w:tcPr>
            <w:tcW w:w="478" w:type="pct"/>
            <w:vAlign w:val="center"/>
          </w:tcPr>
          <w:p w14:paraId="3FDDF900">
            <w:pPr>
              <w:jc w:val="center"/>
            </w:pPr>
            <w:r>
              <w:rPr>
                <w:szCs w:val="21"/>
              </w:rPr>
              <w:t>达标</w:t>
            </w:r>
          </w:p>
        </w:tc>
      </w:tr>
      <w:tr w14:paraId="144311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25A10EF8">
            <w:pPr>
              <w:jc w:val="center"/>
              <w:rPr>
                <w:color w:val="000000"/>
                <w:szCs w:val="21"/>
              </w:rPr>
            </w:pPr>
            <w:r>
              <w:rPr>
                <w:color w:val="000000"/>
                <w:szCs w:val="21"/>
              </w:rPr>
              <w:t>ZS16#</w:t>
            </w:r>
          </w:p>
        </w:tc>
        <w:tc>
          <w:tcPr>
            <w:tcW w:w="939" w:type="pct"/>
            <w:vAlign w:val="center"/>
          </w:tcPr>
          <w:p w14:paraId="2EC7F478">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清江镇塘坝村养殖场北侧场界外</w:t>
            </w:r>
          </w:p>
        </w:tc>
        <w:tc>
          <w:tcPr>
            <w:tcW w:w="597" w:type="pct"/>
            <w:vAlign w:val="center"/>
          </w:tcPr>
          <w:p w14:paraId="47FA7829">
            <w:pPr>
              <w:jc w:val="center"/>
              <w:rPr>
                <w:szCs w:val="21"/>
              </w:rPr>
            </w:pPr>
            <w:r>
              <w:rPr>
                <w:szCs w:val="21"/>
              </w:rPr>
              <w:t>49</w:t>
            </w:r>
          </w:p>
        </w:tc>
        <w:tc>
          <w:tcPr>
            <w:tcW w:w="513" w:type="pct"/>
            <w:vAlign w:val="center"/>
          </w:tcPr>
          <w:p w14:paraId="6EE08B31">
            <w:pPr>
              <w:jc w:val="center"/>
              <w:rPr>
                <w:szCs w:val="21"/>
              </w:rPr>
            </w:pPr>
            <w:r>
              <w:rPr>
                <w:szCs w:val="21"/>
              </w:rPr>
              <w:t>38</w:t>
            </w:r>
          </w:p>
        </w:tc>
        <w:tc>
          <w:tcPr>
            <w:tcW w:w="597" w:type="pct"/>
            <w:vAlign w:val="center"/>
          </w:tcPr>
          <w:p w14:paraId="3748CFE3">
            <w:pPr>
              <w:jc w:val="center"/>
              <w:rPr>
                <w:szCs w:val="21"/>
              </w:rPr>
            </w:pPr>
            <w:r>
              <w:rPr>
                <w:szCs w:val="21"/>
              </w:rPr>
              <w:t>52</w:t>
            </w:r>
          </w:p>
        </w:tc>
        <w:tc>
          <w:tcPr>
            <w:tcW w:w="513" w:type="pct"/>
            <w:vAlign w:val="center"/>
          </w:tcPr>
          <w:p w14:paraId="7F5BFF51">
            <w:pPr>
              <w:jc w:val="center"/>
              <w:rPr>
                <w:szCs w:val="21"/>
              </w:rPr>
            </w:pPr>
            <w:r>
              <w:rPr>
                <w:szCs w:val="21"/>
              </w:rPr>
              <w:t>39</w:t>
            </w:r>
          </w:p>
        </w:tc>
        <w:tc>
          <w:tcPr>
            <w:tcW w:w="768" w:type="pct"/>
            <w:vMerge w:val="continue"/>
            <w:vAlign w:val="center"/>
          </w:tcPr>
          <w:p w14:paraId="075ECE0D">
            <w:pPr>
              <w:jc w:val="center"/>
              <w:rPr>
                <w:szCs w:val="21"/>
              </w:rPr>
            </w:pPr>
          </w:p>
        </w:tc>
        <w:tc>
          <w:tcPr>
            <w:tcW w:w="478" w:type="pct"/>
            <w:vAlign w:val="center"/>
          </w:tcPr>
          <w:p w14:paraId="5B137381">
            <w:pPr>
              <w:jc w:val="center"/>
            </w:pPr>
            <w:r>
              <w:rPr>
                <w:szCs w:val="21"/>
              </w:rPr>
              <w:t>达标</w:t>
            </w:r>
          </w:p>
        </w:tc>
      </w:tr>
      <w:tr w14:paraId="2689503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6BF7BC99">
            <w:pPr>
              <w:jc w:val="center"/>
              <w:rPr>
                <w:color w:val="000000"/>
                <w:szCs w:val="21"/>
              </w:rPr>
            </w:pPr>
            <w:r>
              <w:rPr>
                <w:color w:val="000000"/>
                <w:szCs w:val="21"/>
              </w:rPr>
              <w:t>ZS17#</w:t>
            </w:r>
          </w:p>
        </w:tc>
        <w:tc>
          <w:tcPr>
            <w:tcW w:w="939" w:type="pct"/>
            <w:vAlign w:val="center"/>
          </w:tcPr>
          <w:p w14:paraId="1A0B2914">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清江镇塘坝村养殖场东侧场界外</w:t>
            </w:r>
          </w:p>
        </w:tc>
        <w:tc>
          <w:tcPr>
            <w:tcW w:w="597" w:type="pct"/>
            <w:vAlign w:val="center"/>
          </w:tcPr>
          <w:p w14:paraId="3933A288">
            <w:pPr>
              <w:jc w:val="center"/>
              <w:rPr>
                <w:szCs w:val="21"/>
              </w:rPr>
            </w:pPr>
            <w:r>
              <w:rPr>
                <w:szCs w:val="21"/>
              </w:rPr>
              <w:t>49</w:t>
            </w:r>
          </w:p>
        </w:tc>
        <w:tc>
          <w:tcPr>
            <w:tcW w:w="513" w:type="pct"/>
            <w:vAlign w:val="center"/>
          </w:tcPr>
          <w:p w14:paraId="0CEF1313">
            <w:pPr>
              <w:jc w:val="center"/>
              <w:rPr>
                <w:szCs w:val="21"/>
              </w:rPr>
            </w:pPr>
            <w:r>
              <w:rPr>
                <w:szCs w:val="21"/>
              </w:rPr>
              <w:t>40</w:t>
            </w:r>
          </w:p>
        </w:tc>
        <w:tc>
          <w:tcPr>
            <w:tcW w:w="597" w:type="pct"/>
            <w:vAlign w:val="center"/>
          </w:tcPr>
          <w:p w14:paraId="4ABB874F">
            <w:pPr>
              <w:jc w:val="center"/>
              <w:rPr>
                <w:szCs w:val="21"/>
              </w:rPr>
            </w:pPr>
            <w:r>
              <w:rPr>
                <w:szCs w:val="21"/>
              </w:rPr>
              <w:t>51</w:t>
            </w:r>
          </w:p>
        </w:tc>
        <w:tc>
          <w:tcPr>
            <w:tcW w:w="513" w:type="pct"/>
            <w:vAlign w:val="center"/>
          </w:tcPr>
          <w:p w14:paraId="1742BF83">
            <w:pPr>
              <w:jc w:val="center"/>
              <w:rPr>
                <w:szCs w:val="21"/>
              </w:rPr>
            </w:pPr>
            <w:r>
              <w:rPr>
                <w:szCs w:val="21"/>
              </w:rPr>
              <w:t>39</w:t>
            </w:r>
          </w:p>
        </w:tc>
        <w:tc>
          <w:tcPr>
            <w:tcW w:w="768" w:type="pct"/>
            <w:vMerge w:val="continue"/>
            <w:vAlign w:val="center"/>
          </w:tcPr>
          <w:p w14:paraId="76B9C7F3">
            <w:pPr>
              <w:jc w:val="center"/>
              <w:rPr>
                <w:szCs w:val="21"/>
              </w:rPr>
            </w:pPr>
          </w:p>
        </w:tc>
        <w:tc>
          <w:tcPr>
            <w:tcW w:w="478" w:type="pct"/>
            <w:vAlign w:val="center"/>
          </w:tcPr>
          <w:p w14:paraId="50389A6E">
            <w:pPr>
              <w:jc w:val="center"/>
              <w:rPr>
                <w:szCs w:val="21"/>
              </w:rPr>
            </w:pPr>
            <w:r>
              <w:rPr>
                <w:szCs w:val="21"/>
              </w:rPr>
              <w:t>达标</w:t>
            </w:r>
          </w:p>
        </w:tc>
      </w:tr>
      <w:tr w14:paraId="419831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7CD646A8">
            <w:pPr>
              <w:jc w:val="center"/>
              <w:rPr>
                <w:color w:val="000000"/>
                <w:szCs w:val="21"/>
              </w:rPr>
            </w:pPr>
            <w:r>
              <w:rPr>
                <w:color w:val="000000"/>
                <w:szCs w:val="21"/>
              </w:rPr>
              <w:t>ZS18#</w:t>
            </w:r>
          </w:p>
        </w:tc>
        <w:tc>
          <w:tcPr>
            <w:tcW w:w="939" w:type="pct"/>
            <w:vAlign w:val="center"/>
          </w:tcPr>
          <w:p w14:paraId="43619996">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清江镇塘坝村养殖场南侧场界外</w:t>
            </w:r>
          </w:p>
        </w:tc>
        <w:tc>
          <w:tcPr>
            <w:tcW w:w="597" w:type="pct"/>
            <w:vAlign w:val="center"/>
          </w:tcPr>
          <w:p w14:paraId="124DE164">
            <w:pPr>
              <w:jc w:val="center"/>
              <w:rPr>
                <w:szCs w:val="21"/>
              </w:rPr>
            </w:pPr>
            <w:r>
              <w:rPr>
                <w:szCs w:val="21"/>
              </w:rPr>
              <w:t>50</w:t>
            </w:r>
          </w:p>
        </w:tc>
        <w:tc>
          <w:tcPr>
            <w:tcW w:w="513" w:type="pct"/>
            <w:vAlign w:val="center"/>
          </w:tcPr>
          <w:p w14:paraId="50CC8142">
            <w:pPr>
              <w:jc w:val="center"/>
              <w:rPr>
                <w:szCs w:val="21"/>
              </w:rPr>
            </w:pPr>
            <w:r>
              <w:rPr>
                <w:szCs w:val="21"/>
              </w:rPr>
              <w:t>39</w:t>
            </w:r>
          </w:p>
        </w:tc>
        <w:tc>
          <w:tcPr>
            <w:tcW w:w="597" w:type="pct"/>
            <w:vAlign w:val="center"/>
          </w:tcPr>
          <w:p w14:paraId="5087A933">
            <w:pPr>
              <w:jc w:val="center"/>
              <w:rPr>
                <w:szCs w:val="21"/>
              </w:rPr>
            </w:pPr>
            <w:r>
              <w:rPr>
                <w:szCs w:val="21"/>
              </w:rPr>
              <w:t>51</w:t>
            </w:r>
          </w:p>
        </w:tc>
        <w:tc>
          <w:tcPr>
            <w:tcW w:w="513" w:type="pct"/>
            <w:vAlign w:val="center"/>
          </w:tcPr>
          <w:p w14:paraId="7F72FCC3">
            <w:pPr>
              <w:jc w:val="center"/>
              <w:rPr>
                <w:szCs w:val="21"/>
              </w:rPr>
            </w:pPr>
            <w:r>
              <w:rPr>
                <w:szCs w:val="21"/>
              </w:rPr>
              <w:t>40</w:t>
            </w:r>
          </w:p>
        </w:tc>
        <w:tc>
          <w:tcPr>
            <w:tcW w:w="768" w:type="pct"/>
            <w:vMerge w:val="continue"/>
            <w:vAlign w:val="center"/>
          </w:tcPr>
          <w:p w14:paraId="7957D2FA">
            <w:pPr>
              <w:jc w:val="center"/>
              <w:rPr>
                <w:szCs w:val="21"/>
              </w:rPr>
            </w:pPr>
          </w:p>
        </w:tc>
        <w:tc>
          <w:tcPr>
            <w:tcW w:w="478" w:type="pct"/>
            <w:vAlign w:val="center"/>
          </w:tcPr>
          <w:p w14:paraId="3945B0B0">
            <w:pPr>
              <w:jc w:val="center"/>
            </w:pPr>
            <w:r>
              <w:rPr>
                <w:szCs w:val="21"/>
              </w:rPr>
              <w:t>达标</w:t>
            </w:r>
          </w:p>
        </w:tc>
      </w:tr>
      <w:tr w14:paraId="373FF90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06A13C4B">
            <w:pPr>
              <w:jc w:val="center"/>
              <w:rPr>
                <w:color w:val="000000"/>
                <w:szCs w:val="21"/>
              </w:rPr>
            </w:pPr>
            <w:r>
              <w:rPr>
                <w:color w:val="000000"/>
                <w:szCs w:val="21"/>
              </w:rPr>
              <w:t>ZS19#</w:t>
            </w:r>
          </w:p>
        </w:tc>
        <w:tc>
          <w:tcPr>
            <w:tcW w:w="939" w:type="pct"/>
            <w:vAlign w:val="center"/>
          </w:tcPr>
          <w:p w14:paraId="7292CE67">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清江镇塘坝村养殖场西侧场界外</w:t>
            </w:r>
          </w:p>
        </w:tc>
        <w:tc>
          <w:tcPr>
            <w:tcW w:w="597" w:type="pct"/>
            <w:vAlign w:val="center"/>
          </w:tcPr>
          <w:p w14:paraId="0505385D">
            <w:pPr>
              <w:jc w:val="center"/>
              <w:rPr>
                <w:szCs w:val="21"/>
              </w:rPr>
            </w:pPr>
            <w:r>
              <w:rPr>
                <w:szCs w:val="21"/>
              </w:rPr>
              <w:t>52</w:t>
            </w:r>
          </w:p>
        </w:tc>
        <w:tc>
          <w:tcPr>
            <w:tcW w:w="513" w:type="pct"/>
            <w:vAlign w:val="center"/>
          </w:tcPr>
          <w:p w14:paraId="344FED7A">
            <w:pPr>
              <w:jc w:val="center"/>
              <w:rPr>
                <w:szCs w:val="21"/>
              </w:rPr>
            </w:pPr>
            <w:r>
              <w:rPr>
                <w:szCs w:val="21"/>
              </w:rPr>
              <w:t>38</w:t>
            </w:r>
          </w:p>
        </w:tc>
        <w:tc>
          <w:tcPr>
            <w:tcW w:w="597" w:type="pct"/>
            <w:vAlign w:val="center"/>
          </w:tcPr>
          <w:p w14:paraId="795622CE">
            <w:pPr>
              <w:jc w:val="center"/>
              <w:rPr>
                <w:szCs w:val="21"/>
              </w:rPr>
            </w:pPr>
            <w:r>
              <w:rPr>
                <w:szCs w:val="21"/>
              </w:rPr>
              <w:t>49</w:t>
            </w:r>
          </w:p>
        </w:tc>
        <w:tc>
          <w:tcPr>
            <w:tcW w:w="513" w:type="pct"/>
            <w:vAlign w:val="center"/>
          </w:tcPr>
          <w:p w14:paraId="78822F98">
            <w:pPr>
              <w:jc w:val="center"/>
              <w:rPr>
                <w:szCs w:val="21"/>
              </w:rPr>
            </w:pPr>
            <w:r>
              <w:rPr>
                <w:szCs w:val="21"/>
              </w:rPr>
              <w:t>42</w:t>
            </w:r>
          </w:p>
        </w:tc>
        <w:tc>
          <w:tcPr>
            <w:tcW w:w="768" w:type="pct"/>
            <w:vMerge w:val="continue"/>
            <w:vAlign w:val="center"/>
          </w:tcPr>
          <w:p w14:paraId="3568D6AD">
            <w:pPr>
              <w:jc w:val="center"/>
              <w:rPr>
                <w:szCs w:val="21"/>
              </w:rPr>
            </w:pPr>
          </w:p>
        </w:tc>
        <w:tc>
          <w:tcPr>
            <w:tcW w:w="478" w:type="pct"/>
            <w:vAlign w:val="center"/>
          </w:tcPr>
          <w:p w14:paraId="12007973">
            <w:pPr>
              <w:jc w:val="center"/>
            </w:pPr>
            <w:r>
              <w:rPr>
                <w:szCs w:val="21"/>
              </w:rPr>
              <w:t>达标</w:t>
            </w:r>
          </w:p>
        </w:tc>
      </w:tr>
      <w:tr w14:paraId="39C373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2C409F77">
            <w:pPr>
              <w:jc w:val="center"/>
              <w:rPr>
                <w:color w:val="000000"/>
                <w:szCs w:val="21"/>
              </w:rPr>
            </w:pPr>
            <w:r>
              <w:rPr>
                <w:color w:val="000000"/>
                <w:szCs w:val="21"/>
              </w:rPr>
              <w:t>ZS20#</w:t>
            </w:r>
          </w:p>
        </w:tc>
        <w:tc>
          <w:tcPr>
            <w:tcW w:w="939" w:type="pct"/>
            <w:vAlign w:val="center"/>
          </w:tcPr>
          <w:p w14:paraId="4632549F">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清江镇塘坝村养殖场东侧居民处</w:t>
            </w:r>
          </w:p>
        </w:tc>
        <w:tc>
          <w:tcPr>
            <w:tcW w:w="597" w:type="pct"/>
            <w:vAlign w:val="center"/>
          </w:tcPr>
          <w:p w14:paraId="13E5410A">
            <w:pPr>
              <w:jc w:val="center"/>
              <w:rPr>
                <w:szCs w:val="21"/>
              </w:rPr>
            </w:pPr>
            <w:r>
              <w:rPr>
                <w:szCs w:val="21"/>
              </w:rPr>
              <w:t>53</w:t>
            </w:r>
          </w:p>
        </w:tc>
        <w:tc>
          <w:tcPr>
            <w:tcW w:w="513" w:type="pct"/>
            <w:vAlign w:val="center"/>
          </w:tcPr>
          <w:p w14:paraId="5CFCD7F9">
            <w:pPr>
              <w:jc w:val="center"/>
              <w:rPr>
                <w:szCs w:val="21"/>
              </w:rPr>
            </w:pPr>
            <w:r>
              <w:rPr>
                <w:szCs w:val="21"/>
              </w:rPr>
              <w:t>38</w:t>
            </w:r>
          </w:p>
        </w:tc>
        <w:tc>
          <w:tcPr>
            <w:tcW w:w="597" w:type="pct"/>
            <w:vAlign w:val="center"/>
          </w:tcPr>
          <w:p w14:paraId="6AF66643">
            <w:pPr>
              <w:jc w:val="center"/>
              <w:rPr>
                <w:szCs w:val="21"/>
              </w:rPr>
            </w:pPr>
            <w:r>
              <w:rPr>
                <w:szCs w:val="21"/>
              </w:rPr>
              <w:t>52</w:t>
            </w:r>
          </w:p>
        </w:tc>
        <w:tc>
          <w:tcPr>
            <w:tcW w:w="513" w:type="pct"/>
            <w:vAlign w:val="center"/>
          </w:tcPr>
          <w:p w14:paraId="09BE0D62">
            <w:pPr>
              <w:jc w:val="center"/>
              <w:rPr>
                <w:szCs w:val="21"/>
              </w:rPr>
            </w:pPr>
            <w:r>
              <w:rPr>
                <w:szCs w:val="21"/>
              </w:rPr>
              <w:t>39</w:t>
            </w:r>
          </w:p>
        </w:tc>
        <w:tc>
          <w:tcPr>
            <w:tcW w:w="768" w:type="pct"/>
            <w:vMerge w:val="continue"/>
            <w:vAlign w:val="center"/>
          </w:tcPr>
          <w:p w14:paraId="5B141196">
            <w:pPr>
              <w:jc w:val="center"/>
              <w:rPr>
                <w:szCs w:val="21"/>
              </w:rPr>
            </w:pPr>
          </w:p>
        </w:tc>
        <w:tc>
          <w:tcPr>
            <w:tcW w:w="478" w:type="pct"/>
            <w:vAlign w:val="center"/>
          </w:tcPr>
          <w:p w14:paraId="2BF38F0B">
            <w:pPr>
              <w:jc w:val="center"/>
            </w:pPr>
            <w:r>
              <w:rPr>
                <w:szCs w:val="21"/>
              </w:rPr>
              <w:t>达标</w:t>
            </w:r>
          </w:p>
        </w:tc>
      </w:tr>
      <w:tr w14:paraId="1A73A5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1A418B9B">
            <w:pPr>
              <w:jc w:val="center"/>
              <w:rPr>
                <w:color w:val="000000"/>
                <w:szCs w:val="21"/>
              </w:rPr>
            </w:pPr>
            <w:r>
              <w:rPr>
                <w:color w:val="000000"/>
                <w:szCs w:val="21"/>
              </w:rPr>
              <w:t>ZS21#</w:t>
            </w:r>
          </w:p>
        </w:tc>
        <w:tc>
          <w:tcPr>
            <w:tcW w:w="939" w:type="pct"/>
            <w:vAlign w:val="center"/>
          </w:tcPr>
          <w:p w14:paraId="5F957F5D">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清江镇塘坝村养殖场东南侧居民处</w:t>
            </w:r>
          </w:p>
        </w:tc>
        <w:tc>
          <w:tcPr>
            <w:tcW w:w="597" w:type="pct"/>
            <w:vAlign w:val="center"/>
          </w:tcPr>
          <w:p w14:paraId="05440C9F">
            <w:pPr>
              <w:jc w:val="center"/>
              <w:rPr>
                <w:szCs w:val="21"/>
              </w:rPr>
            </w:pPr>
            <w:r>
              <w:rPr>
                <w:szCs w:val="21"/>
              </w:rPr>
              <w:t>51</w:t>
            </w:r>
          </w:p>
        </w:tc>
        <w:tc>
          <w:tcPr>
            <w:tcW w:w="513" w:type="pct"/>
            <w:vAlign w:val="center"/>
          </w:tcPr>
          <w:p w14:paraId="1EA4F094">
            <w:pPr>
              <w:jc w:val="center"/>
              <w:rPr>
                <w:szCs w:val="21"/>
              </w:rPr>
            </w:pPr>
            <w:r>
              <w:rPr>
                <w:szCs w:val="21"/>
              </w:rPr>
              <w:t>40</w:t>
            </w:r>
          </w:p>
        </w:tc>
        <w:tc>
          <w:tcPr>
            <w:tcW w:w="597" w:type="pct"/>
            <w:vAlign w:val="center"/>
          </w:tcPr>
          <w:p w14:paraId="38AE15D0">
            <w:pPr>
              <w:jc w:val="center"/>
              <w:rPr>
                <w:szCs w:val="21"/>
              </w:rPr>
            </w:pPr>
            <w:r>
              <w:rPr>
                <w:szCs w:val="21"/>
              </w:rPr>
              <w:t>55</w:t>
            </w:r>
          </w:p>
        </w:tc>
        <w:tc>
          <w:tcPr>
            <w:tcW w:w="513" w:type="pct"/>
            <w:vAlign w:val="center"/>
          </w:tcPr>
          <w:p w14:paraId="0987A14F">
            <w:pPr>
              <w:jc w:val="center"/>
              <w:rPr>
                <w:szCs w:val="21"/>
              </w:rPr>
            </w:pPr>
            <w:r>
              <w:rPr>
                <w:szCs w:val="21"/>
              </w:rPr>
              <w:t>43</w:t>
            </w:r>
          </w:p>
        </w:tc>
        <w:tc>
          <w:tcPr>
            <w:tcW w:w="768" w:type="pct"/>
            <w:vMerge w:val="continue"/>
            <w:vAlign w:val="center"/>
          </w:tcPr>
          <w:p w14:paraId="334417E3">
            <w:pPr>
              <w:jc w:val="center"/>
              <w:rPr>
                <w:szCs w:val="21"/>
              </w:rPr>
            </w:pPr>
          </w:p>
        </w:tc>
        <w:tc>
          <w:tcPr>
            <w:tcW w:w="478" w:type="pct"/>
            <w:vAlign w:val="center"/>
          </w:tcPr>
          <w:p w14:paraId="56551E2E">
            <w:pPr>
              <w:jc w:val="center"/>
              <w:rPr>
                <w:szCs w:val="21"/>
              </w:rPr>
            </w:pPr>
            <w:r>
              <w:rPr>
                <w:szCs w:val="21"/>
              </w:rPr>
              <w:t>达标</w:t>
            </w:r>
          </w:p>
        </w:tc>
      </w:tr>
      <w:tr w14:paraId="04B0F9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61AD64B2">
            <w:pPr>
              <w:jc w:val="center"/>
              <w:rPr>
                <w:color w:val="000000"/>
                <w:szCs w:val="21"/>
              </w:rPr>
            </w:pPr>
            <w:r>
              <w:rPr>
                <w:color w:val="000000"/>
                <w:szCs w:val="21"/>
              </w:rPr>
              <w:t>ZS22#</w:t>
            </w:r>
          </w:p>
        </w:tc>
        <w:tc>
          <w:tcPr>
            <w:tcW w:w="939" w:type="pct"/>
            <w:vAlign w:val="center"/>
          </w:tcPr>
          <w:p w14:paraId="53FCE0B9">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清江镇塘坝村养殖场南侧居民处</w:t>
            </w:r>
          </w:p>
        </w:tc>
        <w:tc>
          <w:tcPr>
            <w:tcW w:w="597" w:type="pct"/>
            <w:vAlign w:val="center"/>
          </w:tcPr>
          <w:p w14:paraId="2745EDCE">
            <w:pPr>
              <w:jc w:val="center"/>
              <w:rPr>
                <w:szCs w:val="21"/>
              </w:rPr>
            </w:pPr>
            <w:r>
              <w:rPr>
                <w:szCs w:val="21"/>
              </w:rPr>
              <w:t>52</w:t>
            </w:r>
          </w:p>
        </w:tc>
        <w:tc>
          <w:tcPr>
            <w:tcW w:w="513" w:type="pct"/>
            <w:vAlign w:val="center"/>
          </w:tcPr>
          <w:p w14:paraId="40C0AE16">
            <w:pPr>
              <w:jc w:val="center"/>
              <w:rPr>
                <w:szCs w:val="21"/>
              </w:rPr>
            </w:pPr>
            <w:r>
              <w:rPr>
                <w:szCs w:val="21"/>
              </w:rPr>
              <w:t>39</w:t>
            </w:r>
          </w:p>
        </w:tc>
        <w:tc>
          <w:tcPr>
            <w:tcW w:w="597" w:type="pct"/>
            <w:vAlign w:val="center"/>
          </w:tcPr>
          <w:p w14:paraId="3AE348F3">
            <w:pPr>
              <w:jc w:val="center"/>
              <w:rPr>
                <w:szCs w:val="21"/>
              </w:rPr>
            </w:pPr>
            <w:r>
              <w:rPr>
                <w:szCs w:val="21"/>
              </w:rPr>
              <w:t>51</w:t>
            </w:r>
          </w:p>
        </w:tc>
        <w:tc>
          <w:tcPr>
            <w:tcW w:w="513" w:type="pct"/>
            <w:vAlign w:val="center"/>
          </w:tcPr>
          <w:p w14:paraId="3C726CA4">
            <w:pPr>
              <w:jc w:val="center"/>
              <w:rPr>
                <w:szCs w:val="21"/>
              </w:rPr>
            </w:pPr>
            <w:r>
              <w:rPr>
                <w:szCs w:val="21"/>
              </w:rPr>
              <w:t>41</w:t>
            </w:r>
          </w:p>
        </w:tc>
        <w:tc>
          <w:tcPr>
            <w:tcW w:w="768" w:type="pct"/>
            <w:vMerge w:val="continue"/>
            <w:vAlign w:val="center"/>
          </w:tcPr>
          <w:p w14:paraId="0CBEABAB">
            <w:pPr>
              <w:jc w:val="center"/>
              <w:rPr>
                <w:szCs w:val="21"/>
              </w:rPr>
            </w:pPr>
          </w:p>
        </w:tc>
        <w:tc>
          <w:tcPr>
            <w:tcW w:w="478" w:type="pct"/>
            <w:vAlign w:val="center"/>
          </w:tcPr>
          <w:p w14:paraId="09CC7BAB">
            <w:pPr>
              <w:jc w:val="center"/>
            </w:pPr>
            <w:r>
              <w:rPr>
                <w:szCs w:val="21"/>
              </w:rPr>
              <w:t>达标</w:t>
            </w:r>
          </w:p>
        </w:tc>
      </w:tr>
      <w:tr w14:paraId="6A036F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146488C7">
            <w:pPr>
              <w:jc w:val="center"/>
              <w:rPr>
                <w:color w:val="000000"/>
                <w:szCs w:val="21"/>
              </w:rPr>
            </w:pPr>
            <w:r>
              <w:rPr>
                <w:color w:val="000000"/>
                <w:szCs w:val="21"/>
              </w:rPr>
              <w:t>ZS23#</w:t>
            </w:r>
          </w:p>
        </w:tc>
        <w:tc>
          <w:tcPr>
            <w:tcW w:w="939" w:type="pct"/>
            <w:vAlign w:val="center"/>
          </w:tcPr>
          <w:p w14:paraId="6FDFE91F">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清江镇塘坝村养殖场西南侧居民处</w:t>
            </w:r>
          </w:p>
        </w:tc>
        <w:tc>
          <w:tcPr>
            <w:tcW w:w="597" w:type="pct"/>
            <w:vAlign w:val="center"/>
          </w:tcPr>
          <w:p w14:paraId="7BFF3841">
            <w:pPr>
              <w:jc w:val="center"/>
              <w:rPr>
                <w:szCs w:val="21"/>
              </w:rPr>
            </w:pPr>
            <w:r>
              <w:rPr>
                <w:szCs w:val="21"/>
              </w:rPr>
              <w:t>50</w:t>
            </w:r>
          </w:p>
        </w:tc>
        <w:tc>
          <w:tcPr>
            <w:tcW w:w="513" w:type="pct"/>
            <w:vAlign w:val="center"/>
          </w:tcPr>
          <w:p w14:paraId="091E0855">
            <w:pPr>
              <w:jc w:val="center"/>
              <w:rPr>
                <w:szCs w:val="21"/>
              </w:rPr>
            </w:pPr>
            <w:r>
              <w:rPr>
                <w:szCs w:val="21"/>
              </w:rPr>
              <w:t>41</w:t>
            </w:r>
          </w:p>
        </w:tc>
        <w:tc>
          <w:tcPr>
            <w:tcW w:w="597" w:type="pct"/>
            <w:vAlign w:val="center"/>
          </w:tcPr>
          <w:p w14:paraId="60325BF3">
            <w:pPr>
              <w:jc w:val="center"/>
              <w:rPr>
                <w:szCs w:val="21"/>
              </w:rPr>
            </w:pPr>
            <w:r>
              <w:rPr>
                <w:szCs w:val="21"/>
              </w:rPr>
              <w:t>49</w:t>
            </w:r>
          </w:p>
        </w:tc>
        <w:tc>
          <w:tcPr>
            <w:tcW w:w="513" w:type="pct"/>
            <w:vAlign w:val="center"/>
          </w:tcPr>
          <w:p w14:paraId="06FE6687">
            <w:pPr>
              <w:jc w:val="center"/>
              <w:rPr>
                <w:szCs w:val="21"/>
              </w:rPr>
            </w:pPr>
            <w:r>
              <w:rPr>
                <w:szCs w:val="21"/>
              </w:rPr>
              <w:t>37</w:t>
            </w:r>
          </w:p>
        </w:tc>
        <w:tc>
          <w:tcPr>
            <w:tcW w:w="768" w:type="pct"/>
            <w:vMerge w:val="continue"/>
            <w:vAlign w:val="center"/>
          </w:tcPr>
          <w:p w14:paraId="68AFF613">
            <w:pPr>
              <w:jc w:val="center"/>
              <w:rPr>
                <w:szCs w:val="21"/>
              </w:rPr>
            </w:pPr>
          </w:p>
        </w:tc>
        <w:tc>
          <w:tcPr>
            <w:tcW w:w="478" w:type="pct"/>
            <w:vAlign w:val="center"/>
          </w:tcPr>
          <w:p w14:paraId="4180171C">
            <w:pPr>
              <w:jc w:val="center"/>
            </w:pPr>
            <w:r>
              <w:rPr>
                <w:szCs w:val="21"/>
              </w:rPr>
              <w:t>达标</w:t>
            </w:r>
          </w:p>
        </w:tc>
      </w:tr>
      <w:tr w14:paraId="10EB10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20E120C3">
            <w:pPr>
              <w:jc w:val="center"/>
              <w:rPr>
                <w:color w:val="000000"/>
                <w:szCs w:val="21"/>
              </w:rPr>
            </w:pPr>
            <w:r>
              <w:rPr>
                <w:color w:val="000000"/>
                <w:szCs w:val="21"/>
              </w:rPr>
              <w:t>ZS24#</w:t>
            </w:r>
          </w:p>
        </w:tc>
        <w:tc>
          <w:tcPr>
            <w:tcW w:w="939" w:type="pct"/>
            <w:vAlign w:val="center"/>
          </w:tcPr>
          <w:p w14:paraId="77B2A08B">
            <w:pPr>
              <w:adjustRightInd w:val="0"/>
              <w:snapToGrid w:val="0"/>
              <w:jc w:val="center"/>
              <w:textAlignment w:val="center"/>
              <w:rPr>
                <w:color w:val="000000" w:themeColor="text1"/>
                <w:kern w:val="0"/>
                <w:szCs w:val="21"/>
                <w:lang w:bidi="ar"/>
                <w14:textFill>
                  <w14:solidFill>
                    <w14:schemeClr w14:val="tx1"/>
                  </w14:solidFill>
                </w14:textFill>
              </w:rPr>
            </w:pPr>
            <w:r>
              <w:rPr>
                <w:color w:val="000000"/>
                <w:szCs w:val="21"/>
              </w:rPr>
              <w:t>清江镇塘坝村养殖场西北侧居民处</w:t>
            </w:r>
          </w:p>
        </w:tc>
        <w:tc>
          <w:tcPr>
            <w:tcW w:w="597" w:type="pct"/>
            <w:vAlign w:val="center"/>
          </w:tcPr>
          <w:p w14:paraId="1AC5EE2F">
            <w:pPr>
              <w:jc w:val="center"/>
              <w:rPr>
                <w:szCs w:val="21"/>
              </w:rPr>
            </w:pPr>
            <w:r>
              <w:rPr>
                <w:szCs w:val="21"/>
              </w:rPr>
              <w:t>50</w:t>
            </w:r>
          </w:p>
        </w:tc>
        <w:tc>
          <w:tcPr>
            <w:tcW w:w="513" w:type="pct"/>
            <w:vAlign w:val="center"/>
          </w:tcPr>
          <w:p w14:paraId="364F33F4">
            <w:pPr>
              <w:jc w:val="center"/>
              <w:rPr>
                <w:szCs w:val="21"/>
              </w:rPr>
            </w:pPr>
            <w:r>
              <w:rPr>
                <w:szCs w:val="21"/>
              </w:rPr>
              <w:t>38</w:t>
            </w:r>
          </w:p>
        </w:tc>
        <w:tc>
          <w:tcPr>
            <w:tcW w:w="597" w:type="pct"/>
            <w:vAlign w:val="center"/>
          </w:tcPr>
          <w:p w14:paraId="1788D7EF">
            <w:pPr>
              <w:jc w:val="center"/>
              <w:rPr>
                <w:szCs w:val="21"/>
              </w:rPr>
            </w:pPr>
            <w:r>
              <w:rPr>
                <w:szCs w:val="21"/>
              </w:rPr>
              <w:t>50</w:t>
            </w:r>
          </w:p>
        </w:tc>
        <w:tc>
          <w:tcPr>
            <w:tcW w:w="513" w:type="pct"/>
            <w:vAlign w:val="center"/>
          </w:tcPr>
          <w:p w14:paraId="77D09974">
            <w:pPr>
              <w:jc w:val="center"/>
              <w:rPr>
                <w:szCs w:val="21"/>
              </w:rPr>
            </w:pPr>
            <w:r>
              <w:rPr>
                <w:szCs w:val="21"/>
              </w:rPr>
              <w:t>41</w:t>
            </w:r>
          </w:p>
        </w:tc>
        <w:tc>
          <w:tcPr>
            <w:tcW w:w="768" w:type="pct"/>
            <w:vMerge w:val="continue"/>
            <w:vAlign w:val="center"/>
          </w:tcPr>
          <w:p w14:paraId="189BE8BC">
            <w:pPr>
              <w:jc w:val="center"/>
              <w:rPr>
                <w:szCs w:val="21"/>
              </w:rPr>
            </w:pPr>
          </w:p>
        </w:tc>
        <w:tc>
          <w:tcPr>
            <w:tcW w:w="478" w:type="pct"/>
            <w:vAlign w:val="center"/>
          </w:tcPr>
          <w:p w14:paraId="303C35DC">
            <w:pPr>
              <w:jc w:val="center"/>
            </w:pPr>
            <w:r>
              <w:rPr>
                <w:szCs w:val="21"/>
              </w:rPr>
              <w:t>达标</w:t>
            </w:r>
          </w:p>
        </w:tc>
      </w:tr>
      <w:tr w14:paraId="3D9798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24DCB8C8">
            <w:pPr>
              <w:jc w:val="center"/>
              <w:rPr>
                <w:color w:val="000000"/>
                <w:szCs w:val="21"/>
              </w:rPr>
            </w:pPr>
            <w:r>
              <w:rPr>
                <w:color w:val="000000"/>
                <w:szCs w:val="21"/>
              </w:rPr>
              <w:t>ZS25#</w:t>
            </w:r>
          </w:p>
        </w:tc>
        <w:tc>
          <w:tcPr>
            <w:tcW w:w="939" w:type="pct"/>
            <w:vAlign w:val="center"/>
          </w:tcPr>
          <w:p w14:paraId="42A99896">
            <w:pPr>
              <w:adjustRightInd w:val="0"/>
              <w:snapToGrid w:val="0"/>
              <w:jc w:val="center"/>
              <w:textAlignment w:val="center"/>
              <w:rPr>
                <w:color w:val="000000" w:themeColor="text1"/>
                <w:kern w:val="0"/>
                <w:szCs w:val="21"/>
                <w:lang w:bidi="ar"/>
                <w14:textFill>
                  <w14:solidFill>
                    <w14:schemeClr w14:val="tx1"/>
                  </w14:solidFill>
                </w14:textFill>
              </w:rPr>
            </w:pPr>
            <w:bookmarkStart w:id="583" w:name="OLE_LINK76"/>
            <w:r>
              <w:rPr>
                <w:rFonts w:hint="eastAsia"/>
                <w:color w:val="000000"/>
                <w:szCs w:val="21"/>
              </w:rPr>
              <w:t>水</w:t>
            </w:r>
            <w:bookmarkEnd w:id="583"/>
            <w:r>
              <w:rPr>
                <w:color w:val="000000"/>
                <w:szCs w:val="21"/>
              </w:rPr>
              <w:t>宁寺镇始宁社区养殖场北侧场界外</w:t>
            </w:r>
          </w:p>
        </w:tc>
        <w:tc>
          <w:tcPr>
            <w:tcW w:w="597" w:type="pct"/>
            <w:vAlign w:val="center"/>
          </w:tcPr>
          <w:p w14:paraId="7F4F9AB7">
            <w:pPr>
              <w:jc w:val="center"/>
              <w:rPr>
                <w:szCs w:val="21"/>
              </w:rPr>
            </w:pPr>
            <w:r>
              <w:rPr>
                <w:szCs w:val="21"/>
              </w:rPr>
              <w:t>50</w:t>
            </w:r>
          </w:p>
        </w:tc>
        <w:tc>
          <w:tcPr>
            <w:tcW w:w="513" w:type="pct"/>
            <w:vAlign w:val="center"/>
          </w:tcPr>
          <w:p w14:paraId="2BEF51B9">
            <w:pPr>
              <w:jc w:val="center"/>
              <w:rPr>
                <w:szCs w:val="21"/>
              </w:rPr>
            </w:pPr>
            <w:r>
              <w:rPr>
                <w:szCs w:val="21"/>
              </w:rPr>
              <w:t>39</w:t>
            </w:r>
          </w:p>
        </w:tc>
        <w:tc>
          <w:tcPr>
            <w:tcW w:w="597" w:type="pct"/>
            <w:vAlign w:val="center"/>
          </w:tcPr>
          <w:p w14:paraId="171EE7C6">
            <w:pPr>
              <w:jc w:val="center"/>
              <w:rPr>
                <w:szCs w:val="21"/>
              </w:rPr>
            </w:pPr>
            <w:r>
              <w:rPr>
                <w:szCs w:val="21"/>
              </w:rPr>
              <w:t>50</w:t>
            </w:r>
          </w:p>
        </w:tc>
        <w:tc>
          <w:tcPr>
            <w:tcW w:w="513" w:type="pct"/>
            <w:vAlign w:val="center"/>
          </w:tcPr>
          <w:p w14:paraId="17AE47F0">
            <w:pPr>
              <w:jc w:val="center"/>
              <w:rPr>
                <w:szCs w:val="21"/>
              </w:rPr>
            </w:pPr>
            <w:r>
              <w:rPr>
                <w:szCs w:val="21"/>
              </w:rPr>
              <w:t>37</w:t>
            </w:r>
          </w:p>
        </w:tc>
        <w:tc>
          <w:tcPr>
            <w:tcW w:w="768" w:type="pct"/>
            <w:vMerge w:val="continue"/>
            <w:vAlign w:val="center"/>
          </w:tcPr>
          <w:p w14:paraId="140A6DB9">
            <w:pPr>
              <w:jc w:val="center"/>
              <w:rPr>
                <w:szCs w:val="21"/>
              </w:rPr>
            </w:pPr>
          </w:p>
        </w:tc>
        <w:tc>
          <w:tcPr>
            <w:tcW w:w="478" w:type="pct"/>
            <w:vAlign w:val="center"/>
          </w:tcPr>
          <w:p w14:paraId="6F201A23">
            <w:pPr>
              <w:jc w:val="center"/>
              <w:rPr>
                <w:szCs w:val="21"/>
              </w:rPr>
            </w:pPr>
            <w:r>
              <w:rPr>
                <w:szCs w:val="21"/>
              </w:rPr>
              <w:t>达标</w:t>
            </w:r>
          </w:p>
        </w:tc>
      </w:tr>
      <w:tr w14:paraId="73C15BC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7BD32280">
            <w:pPr>
              <w:jc w:val="center"/>
              <w:rPr>
                <w:color w:val="000000"/>
                <w:szCs w:val="21"/>
              </w:rPr>
            </w:pPr>
            <w:r>
              <w:rPr>
                <w:color w:val="000000"/>
                <w:szCs w:val="21"/>
              </w:rPr>
              <w:t>ZS26#</w:t>
            </w:r>
          </w:p>
        </w:tc>
        <w:tc>
          <w:tcPr>
            <w:tcW w:w="939" w:type="pct"/>
            <w:vAlign w:val="center"/>
          </w:tcPr>
          <w:p w14:paraId="6DDF773E">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宁寺镇始宁社区养殖场东侧场界外</w:t>
            </w:r>
          </w:p>
        </w:tc>
        <w:tc>
          <w:tcPr>
            <w:tcW w:w="597" w:type="pct"/>
            <w:vAlign w:val="center"/>
          </w:tcPr>
          <w:p w14:paraId="30EE7159">
            <w:pPr>
              <w:jc w:val="center"/>
              <w:rPr>
                <w:szCs w:val="21"/>
              </w:rPr>
            </w:pPr>
            <w:r>
              <w:rPr>
                <w:szCs w:val="21"/>
              </w:rPr>
              <w:t>48</w:t>
            </w:r>
          </w:p>
        </w:tc>
        <w:tc>
          <w:tcPr>
            <w:tcW w:w="513" w:type="pct"/>
            <w:vAlign w:val="center"/>
          </w:tcPr>
          <w:p w14:paraId="467F257E">
            <w:pPr>
              <w:jc w:val="center"/>
              <w:rPr>
                <w:szCs w:val="21"/>
              </w:rPr>
            </w:pPr>
            <w:r>
              <w:rPr>
                <w:szCs w:val="21"/>
              </w:rPr>
              <w:t>38</w:t>
            </w:r>
          </w:p>
        </w:tc>
        <w:tc>
          <w:tcPr>
            <w:tcW w:w="597" w:type="pct"/>
            <w:vAlign w:val="center"/>
          </w:tcPr>
          <w:p w14:paraId="16CE3B87">
            <w:pPr>
              <w:jc w:val="center"/>
              <w:rPr>
                <w:szCs w:val="21"/>
              </w:rPr>
            </w:pPr>
            <w:r>
              <w:rPr>
                <w:szCs w:val="21"/>
              </w:rPr>
              <w:t>50</w:t>
            </w:r>
          </w:p>
        </w:tc>
        <w:tc>
          <w:tcPr>
            <w:tcW w:w="513" w:type="pct"/>
            <w:vAlign w:val="center"/>
          </w:tcPr>
          <w:p w14:paraId="00CE5AFA">
            <w:pPr>
              <w:jc w:val="center"/>
              <w:rPr>
                <w:szCs w:val="21"/>
              </w:rPr>
            </w:pPr>
            <w:r>
              <w:rPr>
                <w:szCs w:val="21"/>
              </w:rPr>
              <w:t>36</w:t>
            </w:r>
          </w:p>
        </w:tc>
        <w:tc>
          <w:tcPr>
            <w:tcW w:w="768" w:type="pct"/>
            <w:vMerge w:val="continue"/>
            <w:vAlign w:val="center"/>
          </w:tcPr>
          <w:p w14:paraId="0784CD64">
            <w:pPr>
              <w:jc w:val="center"/>
              <w:rPr>
                <w:szCs w:val="21"/>
              </w:rPr>
            </w:pPr>
          </w:p>
        </w:tc>
        <w:tc>
          <w:tcPr>
            <w:tcW w:w="478" w:type="pct"/>
            <w:vAlign w:val="center"/>
          </w:tcPr>
          <w:p w14:paraId="0CC81B06">
            <w:pPr>
              <w:jc w:val="center"/>
            </w:pPr>
            <w:r>
              <w:rPr>
                <w:szCs w:val="21"/>
              </w:rPr>
              <w:t>达标</w:t>
            </w:r>
          </w:p>
        </w:tc>
      </w:tr>
      <w:tr w14:paraId="52697D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5BEBCCE2">
            <w:pPr>
              <w:jc w:val="center"/>
              <w:rPr>
                <w:color w:val="000000"/>
                <w:szCs w:val="21"/>
              </w:rPr>
            </w:pPr>
            <w:r>
              <w:rPr>
                <w:color w:val="000000"/>
                <w:szCs w:val="21"/>
              </w:rPr>
              <w:t>ZS27#</w:t>
            </w:r>
          </w:p>
        </w:tc>
        <w:tc>
          <w:tcPr>
            <w:tcW w:w="939" w:type="pct"/>
            <w:vAlign w:val="center"/>
          </w:tcPr>
          <w:p w14:paraId="001FD0A6">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宁寺镇始宁社区养殖场南侧场界外</w:t>
            </w:r>
          </w:p>
        </w:tc>
        <w:tc>
          <w:tcPr>
            <w:tcW w:w="597" w:type="pct"/>
            <w:vAlign w:val="center"/>
          </w:tcPr>
          <w:p w14:paraId="5F941BE9">
            <w:pPr>
              <w:jc w:val="center"/>
              <w:rPr>
                <w:szCs w:val="21"/>
              </w:rPr>
            </w:pPr>
            <w:r>
              <w:rPr>
                <w:szCs w:val="21"/>
              </w:rPr>
              <w:t>51</w:t>
            </w:r>
          </w:p>
        </w:tc>
        <w:tc>
          <w:tcPr>
            <w:tcW w:w="513" w:type="pct"/>
            <w:vAlign w:val="center"/>
          </w:tcPr>
          <w:p w14:paraId="4FFFAEE8">
            <w:pPr>
              <w:jc w:val="center"/>
              <w:rPr>
                <w:szCs w:val="21"/>
              </w:rPr>
            </w:pPr>
            <w:r>
              <w:rPr>
                <w:szCs w:val="21"/>
              </w:rPr>
              <w:t>38</w:t>
            </w:r>
          </w:p>
        </w:tc>
        <w:tc>
          <w:tcPr>
            <w:tcW w:w="597" w:type="pct"/>
            <w:vAlign w:val="center"/>
          </w:tcPr>
          <w:p w14:paraId="1EE5ECC6">
            <w:pPr>
              <w:jc w:val="center"/>
              <w:rPr>
                <w:szCs w:val="21"/>
              </w:rPr>
            </w:pPr>
            <w:r>
              <w:rPr>
                <w:szCs w:val="21"/>
              </w:rPr>
              <w:t>50</w:t>
            </w:r>
          </w:p>
        </w:tc>
        <w:tc>
          <w:tcPr>
            <w:tcW w:w="513" w:type="pct"/>
            <w:vAlign w:val="center"/>
          </w:tcPr>
          <w:p w14:paraId="75B93062">
            <w:pPr>
              <w:jc w:val="center"/>
              <w:rPr>
                <w:szCs w:val="21"/>
              </w:rPr>
            </w:pPr>
            <w:r>
              <w:rPr>
                <w:szCs w:val="21"/>
              </w:rPr>
              <w:t>40</w:t>
            </w:r>
          </w:p>
        </w:tc>
        <w:tc>
          <w:tcPr>
            <w:tcW w:w="768" w:type="pct"/>
            <w:vMerge w:val="continue"/>
            <w:vAlign w:val="center"/>
          </w:tcPr>
          <w:p w14:paraId="5C82123E">
            <w:pPr>
              <w:jc w:val="center"/>
              <w:rPr>
                <w:szCs w:val="21"/>
              </w:rPr>
            </w:pPr>
          </w:p>
        </w:tc>
        <w:tc>
          <w:tcPr>
            <w:tcW w:w="478" w:type="pct"/>
            <w:vAlign w:val="center"/>
          </w:tcPr>
          <w:p w14:paraId="0502AB12">
            <w:pPr>
              <w:jc w:val="center"/>
            </w:pPr>
            <w:r>
              <w:rPr>
                <w:szCs w:val="21"/>
              </w:rPr>
              <w:t>达标</w:t>
            </w:r>
          </w:p>
        </w:tc>
      </w:tr>
      <w:tr w14:paraId="3BA3C9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33F2E9B5">
            <w:pPr>
              <w:jc w:val="center"/>
              <w:rPr>
                <w:color w:val="000000"/>
                <w:szCs w:val="21"/>
              </w:rPr>
            </w:pPr>
            <w:r>
              <w:rPr>
                <w:color w:val="000000"/>
                <w:szCs w:val="21"/>
              </w:rPr>
              <w:t>ZS28#</w:t>
            </w:r>
          </w:p>
        </w:tc>
        <w:tc>
          <w:tcPr>
            <w:tcW w:w="939" w:type="pct"/>
            <w:vAlign w:val="center"/>
          </w:tcPr>
          <w:p w14:paraId="08FC8280">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宁寺镇始宁社区养殖场西侧场界外</w:t>
            </w:r>
          </w:p>
        </w:tc>
        <w:tc>
          <w:tcPr>
            <w:tcW w:w="597" w:type="pct"/>
            <w:vAlign w:val="center"/>
          </w:tcPr>
          <w:p w14:paraId="5A270F63">
            <w:pPr>
              <w:jc w:val="center"/>
              <w:rPr>
                <w:szCs w:val="21"/>
              </w:rPr>
            </w:pPr>
            <w:r>
              <w:rPr>
                <w:szCs w:val="21"/>
              </w:rPr>
              <w:t>51</w:t>
            </w:r>
          </w:p>
        </w:tc>
        <w:tc>
          <w:tcPr>
            <w:tcW w:w="513" w:type="pct"/>
            <w:vAlign w:val="center"/>
          </w:tcPr>
          <w:p w14:paraId="27862D39">
            <w:pPr>
              <w:jc w:val="center"/>
              <w:rPr>
                <w:szCs w:val="21"/>
              </w:rPr>
            </w:pPr>
            <w:r>
              <w:rPr>
                <w:szCs w:val="21"/>
              </w:rPr>
              <w:t>39</w:t>
            </w:r>
          </w:p>
        </w:tc>
        <w:tc>
          <w:tcPr>
            <w:tcW w:w="597" w:type="pct"/>
            <w:vAlign w:val="center"/>
          </w:tcPr>
          <w:p w14:paraId="61819888">
            <w:pPr>
              <w:jc w:val="center"/>
              <w:rPr>
                <w:szCs w:val="21"/>
              </w:rPr>
            </w:pPr>
            <w:r>
              <w:rPr>
                <w:szCs w:val="21"/>
              </w:rPr>
              <w:t>49</w:t>
            </w:r>
          </w:p>
        </w:tc>
        <w:tc>
          <w:tcPr>
            <w:tcW w:w="513" w:type="pct"/>
            <w:vAlign w:val="center"/>
          </w:tcPr>
          <w:p w14:paraId="43C5756B">
            <w:pPr>
              <w:jc w:val="center"/>
              <w:rPr>
                <w:szCs w:val="21"/>
              </w:rPr>
            </w:pPr>
            <w:r>
              <w:rPr>
                <w:szCs w:val="21"/>
              </w:rPr>
              <w:t>39</w:t>
            </w:r>
          </w:p>
        </w:tc>
        <w:tc>
          <w:tcPr>
            <w:tcW w:w="768" w:type="pct"/>
            <w:vMerge w:val="continue"/>
            <w:vAlign w:val="center"/>
          </w:tcPr>
          <w:p w14:paraId="093665D0">
            <w:pPr>
              <w:jc w:val="center"/>
              <w:rPr>
                <w:szCs w:val="21"/>
              </w:rPr>
            </w:pPr>
          </w:p>
        </w:tc>
        <w:tc>
          <w:tcPr>
            <w:tcW w:w="478" w:type="pct"/>
            <w:vAlign w:val="center"/>
          </w:tcPr>
          <w:p w14:paraId="06EC8B2C">
            <w:pPr>
              <w:jc w:val="center"/>
            </w:pPr>
            <w:r>
              <w:rPr>
                <w:szCs w:val="21"/>
              </w:rPr>
              <w:t>达标</w:t>
            </w:r>
          </w:p>
        </w:tc>
      </w:tr>
      <w:tr w14:paraId="785003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157E23D6">
            <w:pPr>
              <w:jc w:val="center"/>
              <w:rPr>
                <w:color w:val="000000"/>
                <w:szCs w:val="21"/>
              </w:rPr>
            </w:pPr>
            <w:r>
              <w:rPr>
                <w:color w:val="000000"/>
                <w:szCs w:val="21"/>
              </w:rPr>
              <w:t>ZS29#</w:t>
            </w:r>
          </w:p>
        </w:tc>
        <w:tc>
          <w:tcPr>
            <w:tcW w:w="939" w:type="pct"/>
            <w:vAlign w:val="center"/>
          </w:tcPr>
          <w:p w14:paraId="23317E9E">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宁寺镇始宁社区养殖场东北侧居民处</w:t>
            </w:r>
          </w:p>
        </w:tc>
        <w:tc>
          <w:tcPr>
            <w:tcW w:w="597" w:type="pct"/>
            <w:vAlign w:val="center"/>
          </w:tcPr>
          <w:p w14:paraId="3CD33DE1">
            <w:pPr>
              <w:jc w:val="center"/>
              <w:rPr>
                <w:szCs w:val="21"/>
              </w:rPr>
            </w:pPr>
            <w:r>
              <w:rPr>
                <w:szCs w:val="21"/>
              </w:rPr>
              <w:t>52</w:t>
            </w:r>
          </w:p>
        </w:tc>
        <w:tc>
          <w:tcPr>
            <w:tcW w:w="513" w:type="pct"/>
            <w:vAlign w:val="center"/>
          </w:tcPr>
          <w:p w14:paraId="0EF9A959">
            <w:pPr>
              <w:jc w:val="center"/>
              <w:rPr>
                <w:szCs w:val="21"/>
              </w:rPr>
            </w:pPr>
            <w:r>
              <w:rPr>
                <w:szCs w:val="21"/>
              </w:rPr>
              <w:t>37</w:t>
            </w:r>
          </w:p>
        </w:tc>
        <w:tc>
          <w:tcPr>
            <w:tcW w:w="597" w:type="pct"/>
            <w:vAlign w:val="center"/>
          </w:tcPr>
          <w:p w14:paraId="1AE26F2F">
            <w:pPr>
              <w:jc w:val="center"/>
              <w:rPr>
                <w:szCs w:val="21"/>
              </w:rPr>
            </w:pPr>
            <w:r>
              <w:rPr>
                <w:szCs w:val="21"/>
              </w:rPr>
              <w:t>52</w:t>
            </w:r>
          </w:p>
        </w:tc>
        <w:tc>
          <w:tcPr>
            <w:tcW w:w="513" w:type="pct"/>
            <w:vAlign w:val="center"/>
          </w:tcPr>
          <w:p w14:paraId="7BD02C39">
            <w:pPr>
              <w:jc w:val="center"/>
              <w:rPr>
                <w:szCs w:val="21"/>
              </w:rPr>
            </w:pPr>
            <w:r>
              <w:rPr>
                <w:szCs w:val="21"/>
              </w:rPr>
              <w:t>39</w:t>
            </w:r>
          </w:p>
        </w:tc>
        <w:tc>
          <w:tcPr>
            <w:tcW w:w="768" w:type="pct"/>
            <w:vMerge w:val="continue"/>
            <w:vAlign w:val="center"/>
          </w:tcPr>
          <w:p w14:paraId="7C3D71DA">
            <w:pPr>
              <w:jc w:val="center"/>
              <w:rPr>
                <w:szCs w:val="21"/>
              </w:rPr>
            </w:pPr>
          </w:p>
        </w:tc>
        <w:tc>
          <w:tcPr>
            <w:tcW w:w="478" w:type="pct"/>
            <w:vAlign w:val="center"/>
          </w:tcPr>
          <w:p w14:paraId="5C45AECE">
            <w:pPr>
              <w:jc w:val="center"/>
              <w:rPr>
                <w:szCs w:val="21"/>
              </w:rPr>
            </w:pPr>
            <w:r>
              <w:rPr>
                <w:szCs w:val="21"/>
              </w:rPr>
              <w:t>达标</w:t>
            </w:r>
          </w:p>
        </w:tc>
      </w:tr>
      <w:tr w14:paraId="6A2924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309D90D4">
            <w:pPr>
              <w:jc w:val="center"/>
              <w:rPr>
                <w:color w:val="000000"/>
                <w:szCs w:val="21"/>
              </w:rPr>
            </w:pPr>
            <w:r>
              <w:rPr>
                <w:color w:val="000000"/>
                <w:szCs w:val="21"/>
              </w:rPr>
              <w:t>ZS30#</w:t>
            </w:r>
          </w:p>
        </w:tc>
        <w:tc>
          <w:tcPr>
            <w:tcW w:w="939" w:type="pct"/>
            <w:vAlign w:val="center"/>
          </w:tcPr>
          <w:p w14:paraId="27C9D5AE">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宁寺镇始宁社区养殖场东南侧居民处</w:t>
            </w:r>
          </w:p>
        </w:tc>
        <w:tc>
          <w:tcPr>
            <w:tcW w:w="597" w:type="pct"/>
            <w:vAlign w:val="center"/>
          </w:tcPr>
          <w:p w14:paraId="051744B0">
            <w:pPr>
              <w:jc w:val="center"/>
              <w:rPr>
                <w:szCs w:val="21"/>
              </w:rPr>
            </w:pPr>
            <w:r>
              <w:rPr>
                <w:szCs w:val="21"/>
              </w:rPr>
              <w:t>50</w:t>
            </w:r>
          </w:p>
        </w:tc>
        <w:tc>
          <w:tcPr>
            <w:tcW w:w="513" w:type="pct"/>
            <w:vAlign w:val="center"/>
          </w:tcPr>
          <w:p w14:paraId="68B2CA8F">
            <w:pPr>
              <w:jc w:val="center"/>
              <w:rPr>
                <w:szCs w:val="21"/>
              </w:rPr>
            </w:pPr>
            <w:r>
              <w:rPr>
                <w:szCs w:val="21"/>
              </w:rPr>
              <w:t>39</w:t>
            </w:r>
          </w:p>
        </w:tc>
        <w:tc>
          <w:tcPr>
            <w:tcW w:w="597" w:type="pct"/>
            <w:vAlign w:val="center"/>
          </w:tcPr>
          <w:p w14:paraId="2E11B9C0">
            <w:pPr>
              <w:jc w:val="center"/>
              <w:rPr>
                <w:szCs w:val="21"/>
              </w:rPr>
            </w:pPr>
            <w:r>
              <w:rPr>
                <w:szCs w:val="21"/>
              </w:rPr>
              <w:t>52</w:t>
            </w:r>
          </w:p>
        </w:tc>
        <w:tc>
          <w:tcPr>
            <w:tcW w:w="513" w:type="pct"/>
            <w:vAlign w:val="center"/>
          </w:tcPr>
          <w:p w14:paraId="790FC081">
            <w:pPr>
              <w:jc w:val="center"/>
              <w:rPr>
                <w:szCs w:val="21"/>
              </w:rPr>
            </w:pPr>
            <w:r>
              <w:rPr>
                <w:szCs w:val="21"/>
              </w:rPr>
              <w:t>38</w:t>
            </w:r>
          </w:p>
        </w:tc>
        <w:tc>
          <w:tcPr>
            <w:tcW w:w="768" w:type="pct"/>
            <w:vMerge w:val="continue"/>
            <w:vAlign w:val="center"/>
          </w:tcPr>
          <w:p w14:paraId="6C59192F">
            <w:pPr>
              <w:jc w:val="center"/>
              <w:rPr>
                <w:szCs w:val="21"/>
              </w:rPr>
            </w:pPr>
          </w:p>
        </w:tc>
        <w:tc>
          <w:tcPr>
            <w:tcW w:w="478" w:type="pct"/>
            <w:vAlign w:val="center"/>
          </w:tcPr>
          <w:p w14:paraId="312817E3">
            <w:pPr>
              <w:jc w:val="center"/>
            </w:pPr>
            <w:r>
              <w:rPr>
                <w:szCs w:val="21"/>
              </w:rPr>
              <w:t>达标</w:t>
            </w:r>
          </w:p>
        </w:tc>
      </w:tr>
      <w:tr w14:paraId="0548C8C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4757DBBC">
            <w:pPr>
              <w:jc w:val="center"/>
              <w:rPr>
                <w:color w:val="000000"/>
                <w:szCs w:val="21"/>
              </w:rPr>
            </w:pPr>
            <w:r>
              <w:rPr>
                <w:color w:val="000000"/>
                <w:szCs w:val="21"/>
              </w:rPr>
              <w:t>ZS31#</w:t>
            </w:r>
          </w:p>
        </w:tc>
        <w:tc>
          <w:tcPr>
            <w:tcW w:w="939" w:type="pct"/>
            <w:vAlign w:val="center"/>
          </w:tcPr>
          <w:p w14:paraId="1095A82C">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宁寺镇始宁社区养殖场西侧居民处</w:t>
            </w:r>
          </w:p>
        </w:tc>
        <w:tc>
          <w:tcPr>
            <w:tcW w:w="597" w:type="pct"/>
            <w:vAlign w:val="center"/>
          </w:tcPr>
          <w:p w14:paraId="58615089">
            <w:pPr>
              <w:jc w:val="center"/>
              <w:rPr>
                <w:szCs w:val="21"/>
              </w:rPr>
            </w:pPr>
            <w:r>
              <w:rPr>
                <w:szCs w:val="21"/>
              </w:rPr>
              <w:t>48</w:t>
            </w:r>
          </w:p>
        </w:tc>
        <w:tc>
          <w:tcPr>
            <w:tcW w:w="513" w:type="pct"/>
            <w:vAlign w:val="center"/>
          </w:tcPr>
          <w:p w14:paraId="285B8C96">
            <w:pPr>
              <w:jc w:val="center"/>
              <w:rPr>
                <w:szCs w:val="21"/>
              </w:rPr>
            </w:pPr>
            <w:r>
              <w:rPr>
                <w:szCs w:val="21"/>
              </w:rPr>
              <w:t>39</w:t>
            </w:r>
          </w:p>
        </w:tc>
        <w:tc>
          <w:tcPr>
            <w:tcW w:w="597" w:type="pct"/>
            <w:vAlign w:val="center"/>
          </w:tcPr>
          <w:p w14:paraId="5B2D10C9">
            <w:pPr>
              <w:jc w:val="center"/>
              <w:rPr>
                <w:szCs w:val="21"/>
              </w:rPr>
            </w:pPr>
            <w:r>
              <w:rPr>
                <w:szCs w:val="21"/>
              </w:rPr>
              <w:t>51</w:t>
            </w:r>
          </w:p>
        </w:tc>
        <w:tc>
          <w:tcPr>
            <w:tcW w:w="513" w:type="pct"/>
            <w:vAlign w:val="center"/>
          </w:tcPr>
          <w:p w14:paraId="6AE9D4FF">
            <w:pPr>
              <w:jc w:val="center"/>
              <w:rPr>
                <w:szCs w:val="21"/>
              </w:rPr>
            </w:pPr>
            <w:r>
              <w:rPr>
                <w:szCs w:val="21"/>
              </w:rPr>
              <w:t>38</w:t>
            </w:r>
          </w:p>
        </w:tc>
        <w:tc>
          <w:tcPr>
            <w:tcW w:w="768" w:type="pct"/>
            <w:vMerge w:val="continue"/>
            <w:vAlign w:val="center"/>
          </w:tcPr>
          <w:p w14:paraId="279D1CA5">
            <w:pPr>
              <w:jc w:val="center"/>
              <w:rPr>
                <w:szCs w:val="21"/>
              </w:rPr>
            </w:pPr>
          </w:p>
        </w:tc>
        <w:tc>
          <w:tcPr>
            <w:tcW w:w="478" w:type="pct"/>
            <w:vAlign w:val="center"/>
          </w:tcPr>
          <w:p w14:paraId="5160AFE5">
            <w:pPr>
              <w:jc w:val="center"/>
            </w:pPr>
            <w:r>
              <w:rPr>
                <w:szCs w:val="21"/>
              </w:rPr>
              <w:t>达标</w:t>
            </w:r>
          </w:p>
        </w:tc>
      </w:tr>
      <w:tr w14:paraId="76E366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544A1815">
            <w:pPr>
              <w:jc w:val="center"/>
              <w:rPr>
                <w:color w:val="000000"/>
                <w:szCs w:val="21"/>
              </w:rPr>
            </w:pPr>
            <w:r>
              <w:rPr>
                <w:color w:val="000000"/>
                <w:szCs w:val="21"/>
              </w:rPr>
              <w:t>ZS32#</w:t>
            </w:r>
          </w:p>
        </w:tc>
        <w:tc>
          <w:tcPr>
            <w:tcW w:w="939" w:type="pct"/>
            <w:vAlign w:val="center"/>
          </w:tcPr>
          <w:p w14:paraId="398ACF85">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宁寺镇始宁社区养殖场西北侧居民处</w:t>
            </w:r>
          </w:p>
        </w:tc>
        <w:tc>
          <w:tcPr>
            <w:tcW w:w="597" w:type="pct"/>
            <w:vAlign w:val="center"/>
          </w:tcPr>
          <w:p w14:paraId="1D47FEC1">
            <w:pPr>
              <w:jc w:val="center"/>
              <w:rPr>
                <w:szCs w:val="21"/>
              </w:rPr>
            </w:pPr>
            <w:r>
              <w:rPr>
                <w:szCs w:val="21"/>
              </w:rPr>
              <w:t>51</w:t>
            </w:r>
          </w:p>
        </w:tc>
        <w:tc>
          <w:tcPr>
            <w:tcW w:w="513" w:type="pct"/>
            <w:vAlign w:val="center"/>
          </w:tcPr>
          <w:p w14:paraId="6E04F8FE">
            <w:pPr>
              <w:jc w:val="center"/>
              <w:rPr>
                <w:szCs w:val="21"/>
              </w:rPr>
            </w:pPr>
            <w:r>
              <w:rPr>
                <w:szCs w:val="21"/>
              </w:rPr>
              <w:t>38</w:t>
            </w:r>
          </w:p>
        </w:tc>
        <w:tc>
          <w:tcPr>
            <w:tcW w:w="597" w:type="pct"/>
            <w:vAlign w:val="center"/>
          </w:tcPr>
          <w:p w14:paraId="4FD12208">
            <w:pPr>
              <w:jc w:val="center"/>
              <w:rPr>
                <w:szCs w:val="21"/>
              </w:rPr>
            </w:pPr>
            <w:r>
              <w:rPr>
                <w:szCs w:val="21"/>
              </w:rPr>
              <w:t>51</w:t>
            </w:r>
          </w:p>
        </w:tc>
        <w:tc>
          <w:tcPr>
            <w:tcW w:w="513" w:type="pct"/>
            <w:vAlign w:val="center"/>
          </w:tcPr>
          <w:p w14:paraId="25136D31">
            <w:pPr>
              <w:jc w:val="center"/>
              <w:rPr>
                <w:szCs w:val="21"/>
              </w:rPr>
            </w:pPr>
            <w:r>
              <w:rPr>
                <w:szCs w:val="21"/>
              </w:rPr>
              <w:t>38</w:t>
            </w:r>
          </w:p>
        </w:tc>
        <w:tc>
          <w:tcPr>
            <w:tcW w:w="768" w:type="pct"/>
            <w:vMerge w:val="continue"/>
            <w:vAlign w:val="center"/>
          </w:tcPr>
          <w:p w14:paraId="7550B3EF">
            <w:pPr>
              <w:jc w:val="center"/>
              <w:rPr>
                <w:szCs w:val="21"/>
              </w:rPr>
            </w:pPr>
          </w:p>
        </w:tc>
        <w:tc>
          <w:tcPr>
            <w:tcW w:w="478" w:type="pct"/>
            <w:vAlign w:val="center"/>
          </w:tcPr>
          <w:p w14:paraId="3413CE70">
            <w:pPr>
              <w:jc w:val="center"/>
            </w:pPr>
            <w:r>
              <w:rPr>
                <w:szCs w:val="21"/>
              </w:rPr>
              <w:t>达标</w:t>
            </w:r>
          </w:p>
        </w:tc>
      </w:tr>
      <w:tr w14:paraId="6C7FC1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95" w:type="pct"/>
            <w:vAlign w:val="center"/>
          </w:tcPr>
          <w:p w14:paraId="0CED433D">
            <w:pPr>
              <w:jc w:val="center"/>
              <w:rPr>
                <w:color w:val="000000"/>
                <w:szCs w:val="21"/>
              </w:rPr>
            </w:pPr>
            <w:r>
              <w:rPr>
                <w:color w:val="000000"/>
                <w:szCs w:val="21"/>
              </w:rPr>
              <w:t>ZS33#</w:t>
            </w:r>
          </w:p>
        </w:tc>
        <w:tc>
          <w:tcPr>
            <w:tcW w:w="939" w:type="pct"/>
            <w:vAlign w:val="center"/>
          </w:tcPr>
          <w:p w14:paraId="05393BD4">
            <w:pPr>
              <w:adjustRightInd w:val="0"/>
              <w:snapToGrid w:val="0"/>
              <w:jc w:val="center"/>
              <w:textAlignment w:val="center"/>
              <w:rPr>
                <w:color w:val="000000" w:themeColor="text1"/>
                <w:kern w:val="0"/>
                <w:szCs w:val="21"/>
                <w:lang w:bidi="ar"/>
                <w14:textFill>
                  <w14:solidFill>
                    <w14:schemeClr w14:val="tx1"/>
                  </w14:solidFill>
                </w14:textFill>
              </w:rPr>
            </w:pPr>
            <w:r>
              <w:rPr>
                <w:rFonts w:hint="eastAsia"/>
                <w:color w:val="000000"/>
                <w:szCs w:val="21"/>
              </w:rPr>
              <w:t>水</w:t>
            </w:r>
            <w:r>
              <w:rPr>
                <w:color w:val="000000"/>
                <w:szCs w:val="21"/>
              </w:rPr>
              <w:t>宁寺镇始宁社区养殖场北侧居民处</w:t>
            </w:r>
          </w:p>
        </w:tc>
        <w:tc>
          <w:tcPr>
            <w:tcW w:w="597" w:type="pct"/>
            <w:vAlign w:val="center"/>
          </w:tcPr>
          <w:p w14:paraId="7FB8DE1F">
            <w:pPr>
              <w:jc w:val="center"/>
              <w:rPr>
                <w:szCs w:val="21"/>
              </w:rPr>
            </w:pPr>
            <w:r>
              <w:rPr>
                <w:szCs w:val="21"/>
              </w:rPr>
              <w:t>48</w:t>
            </w:r>
          </w:p>
        </w:tc>
        <w:tc>
          <w:tcPr>
            <w:tcW w:w="513" w:type="pct"/>
            <w:vAlign w:val="center"/>
          </w:tcPr>
          <w:p w14:paraId="722E4E9C">
            <w:pPr>
              <w:jc w:val="center"/>
              <w:rPr>
                <w:szCs w:val="21"/>
              </w:rPr>
            </w:pPr>
            <w:r>
              <w:rPr>
                <w:szCs w:val="21"/>
              </w:rPr>
              <w:t>38</w:t>
            </w:r>
          </w:p>
        </w:tc>
        <w:tc>
          <w:tcPr>
            <w:tcW w:w="597" w:type="pct"/>
            <w:vAlign w:val="center"/>
          </w:tcPr>
          <w:p w14:paraId="758AA08B">
            <w:pPr>
              <w:jc w:val="center"/>
              <w:rPr>
                <w:szCs w:val="21"/>
              </w:rPr>
            </w:pPr>
            <w:r>
              <w:rPr>
                <w:szCs w:val="21"/>
              </w:rPr>
              <w:t>48</w:t>
            </w:r>
          </w:p>
        </w:tc>
        <w:tc>
          <w:tcPr>
            <w:tcW w:w="513" w:type="pct"/>
            <w:vAlign w:val="center"/>
          </w:tcPr>
          <w:p w14:paraId="623DE7A9">
            <w:pPr>
              <w:jc w:val="center"/>
              <w:rPr>
                <w:szCs w:val="21"/>
              </w:rPr>
            </w:pPr>
            <w:r>
              <w:rPr>
                <w:szCs w:val="21"/>
              </w:rPr>
              <w:t>42</w:t>
            </w:r>
          </w:p>
        </w:tc>
        <w:tc>
          <w:tcPr>
            <w:tcW w:w="768" w:type="pct"/>
            <w:vMerge w:val="continue"/>
            <w:vAlign w:val="center"/>
          </w:tcPr>
          <w:p w14:paraId="7BED1F46">
            <w:pPr>
              <w:jc w:val="center"/>
              <w:rPr>
                <w:szCs w:val="21"/>
              </w:rPr>
            </w:pPr>
          </w:p>
        </w:tc>
        <w:tc>
          <w:tcPr>
            <w:tcW w:w="478" w:type="pct"/>
            <w:vAlign w:val="center"/>
          </w:tcPr>
          <w:p w14:paraId="52D5BB50">
            <w:pPr>
              <w:jc w:val="center"/>
              <w:rPr>
                <w:szCs w:val="21"/>
              </w:rPr>
            </w:pPr>
            <w:r>
              <w:rPr>
                <w:szCs w:val="21"/>
              </w:rPr>
              <w:t>达标</w:t>
            </w:r>
          </w:p>
        </w:tc>
      </w:tr>
    </w:tbl>
    <w:p w14:paraId="7C3707D4">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bookmarkStart w:id="584" w:name="_Toc222115120"/>
      <w:bookmarkStart w:id="585" w:name="_Toc148755408"/>
      <w:bookmarkStart w:id="586" w:name="_Toc160511980"/>
      <w:bookmarkStart w:id="587" w:name="_Toc137278238"/>
      <w:r>
        <w:rPr>
          <w:color w:val="000000" w:themeColor="text1"/>
          <w:sz w:val="24"/>
          <w14:textFill>
            <w14:solidFill>
              <w14:schemeClr w14:val="tx1"/>
            </w14:solidFill>
          </w14:textFill>
        </w:rPr>
        <w:t>由上表可知，项目建设地点所在区域及周边敏感点各监测点昼间、夜间声环境质量均能达到《声环境质量标准》2类标准。</w:t>
      </w:r>
    </w:p>
    <w:p w14:paraId="66345084">
      <w:pPr>
        <w:pStyle w:val="5"/>
        <w:adjustRightInd w:val="0"/>
        <w:snapToGrid w:val="0"/>
        <w:spacing w:before="0" w:after="0" w:line="360" w:lineRule="auto"/>
        <w:rPr>
          <w:color w:val="000000" w:themeColor="text1"/>
          <w:sz w:val="28"/>
          <w:szCs w:val="28"/>
          <w14:textFill>
            <w14:solidFill>
              <w14:schemeClr w14:val="tx1"/>
            </w14:solidFill>
          </w14:textFill>
        </w:rPr>
      </w:pPr>
      <w:bookmarkStart w:id="588" w:name="_Toc19339"/>
      <w:bookmarkStart w:id="589" w:name="_Toc3002"/>
      <w:bookmarkStart w:id="590" w:name="_Toc14482"/>
      <w:bookmarkStart w:id="591" w:name="_Toc233380196"/>
      <w:r>
        <w:rPr>
          <w:color w:val="000000" w:themeColor="text1"/>
          <w:sz w:val="28"/>
          <w:szCs w:val="28"/>
          <w14:textFill>
            <w14:solidFill>
              <w14:schemeClr w14:val="tx1"/>
            </w14:solidFill>
          </w14:textFill>
        </w:rPr>
        <w:t>4.2.3土壤环境</w:t>
      </w:r>
      <w:bookmarkEnd w:id="584"/>
      <w:bookmarkEnd w:id="585"/>
      <w:bookmarkEnd w:id="586"/>
      <w:r>
        <w:rPr>
          <w:color w:val="000000" w:themeColor="text1"/>
          <w:sz w:val="28"/>
          <w:szCs w:val="28"/>
          <w14:textFill>
            <w14:solidFill>
              <w14:schemeClr w14:val="tx1"/>
            </w14:solidFill>
          </w14:textFill>
        </w:rPr>
        <w:t>质量现状监测与评价</w:t>
      </w:r>
      <w:bookmarkEnd w:id="588"/>
      <w:bookmarkEnd w:id="589"/>
      <w:bookmarkEnd w:id="590"/>
      <w:bookmarkEnd w:id="591"/>
    </w:p>
    <w:p w14:paraId="0001C594">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为了解评价区域土壤环境质量现状，本次环评委托四川锡水金山环保科技有限公司对项目建设所在区域土壤环境质量进行了现状监测。</w:t>
      </w:r>
    </w:p>
    <w:p w14:paraId="5F056846">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1、土壤环境质量现状监测</w:t>
      </w:r>
    </w:p>
    <w:p w14:paraId="6D7E3765">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（1）监测点位及监测因子</w:t>
      </w:r>
    </w:p>
    <w:p w14:paraId="1E200FF6">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根据</w:t>
      </w:r>
      <w:bookmarkStart w:id="592" w:name="OLE_LINK46"/>
      <w:bookmarkStart w:id="593" w:name="OLE_LINK47"/>
      <w:r>
        <w:rPr>
          <w:color w:val="000000" w:themeColor="text1"/>
          <w:sz w:val="24"/>
          <w14:textFill>
            <w14:solidFill>
              <w14:schemeClr w14:val="tx1"/>
            </w14:solidFill>
          </w14:textFill>
        </w:rPr>
        <w:t>《环境影响评价技术导则土壤环境》（HJ964－2018）</w:t>
      </w:r>
      <w:bookmarkEnd w:id="592"/>
      <w:bookmarkEnd w:id="593"/>
      <w:r>
        <w:rPr>
          <w:color w:val="000000" w:themeColor="text1"/>
          <w:sz w:val="24"/>
          <w14:textFill>
            <w14:solidFill>
              <w14:schemeClr w14:val="tx1"/>
            </w14:solidFill>
          </w14:textFill>
        </w:rPr>
        <w:t>，本次评价在建设项目4个养殖区场区范围内分别布设3个表层样点，共布设12个表层样点。监测点位置见下表。</w:t>
      </w:r>
    </w:p>
    <w:p w14:paraId="4F1103FE">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表4.</w:t>
      </w:r>
      <w:r>
        <w:rPr>
          <w:snapToGrid w:val="0"/>
          <w:color w:val="000000" w:themeColor="text1"/>
          <w:szCs w:val="21"/>
          <w:lang w:val="en-US"/>
          <w14:textFill>
            <w14:solidFill>
              <w14:schemeClr w14:val="tx1"/>
            </w14:solidFill>
          </w14:textFill>
        </w:rPr>
        <w:t>2</w:t>
      </w:r>
      <w:r>
        <w:rPr>
          <w:snapToGrid w:val="0"/>
          <w:color w:val="000000" w:themeColor="text1"/>
          <w:szCs w:val="21"/>
          <w14:textFill>
            <w14:solidFill>
              <w14:schemeClr w14:val="tx1"/>
            </w14:solidFill>
          </w14:textFill>
        </w:rPr>
        <w:t>-</w:t>
      </w:r>
      <w:r>
        <w:rPr>
          <w:snapToGrid w:val="0"/>
          <w:color w:val="000000" w:themeColor="text1"/>
          <w:szCs w:val="21"/>
          <w:lang w:val="en-US"/>
          <w14:textFill>
            <w14:solidFill>
              <w14:schemeClr w14:val="tx1"/>
            </w14:solidFill>
          </w14:textFill>
        </w:rPr>
        <w:t>9</w:t>
      </w:r>
      <w:r>
        <w:rPr>
          <w:snapToGrid w:val="0"/>
          <w:color w:val="000000" w:themeColor="text1"/>
          <w:szCs w:val="21"/>
          <w14:textFill>
            <w14:solidFill>
              <w14:schemeClr w14:val="tx1"/>
            </w14:solidFill>
          </w14:textFill>
        </w:rPr>
        <w:t>土壤监测点布设情况</w:t>
      </w:r>
    </w:p>
    <w:tbl>
      <w:tblPr>
        <w:tblStyle w:val="88"/>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1322"/>
        <w:gridCol w:w="1123"/>
        <w:gridCol w:w="1150"/>
        <w:gridCol w:w="2811"/>
        <w:gridCol w:w="1102"/>
      </w:tblGrid>
      <w:tr w14:paraId="25838A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81" w:type="pct"/>
            <w:tcBorders>
              <w:tl2br w:val="nil"/>
              <w:tr2bl w:val="nil"/>
            </w:tcBorders>
            <w:vAlign w:val="center"/>
          </w:tcPr>
          <w:p w14:paraId="5AD306E1">
            <w:pPr>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编号</w:t>
            </w:r>
          </w:p>
        </w:tc>
        <w:tc>
          <w:tcPr>
            <w:tcW w:w="796" w:type="pct"/>
            <w:tcBorders>
              <w:tl2br w:val="nil"/>
              <w:tr2bl w:val="nil"/>
            </w:tcBorders>
            <w:vAlign w:val="center"/>
          </w:tcPr>
          <w:p w14:paraId="6CBBDD3F">
            <w:pPr>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监测点位</w:t>
            </w:r>
          </w:p>
        </w:tc>
        <w:tc>
          <w:tcPr>
            <w:tcW w:w="676" w:type="pct"/>
            <w:tcBorders>
              <w:tl2br w:val="nil"/>
              <w:tr2bl w:val="nil"/>
            </w:tcBorders>
            <w:vAlign w:val="center"/>
          </w:tcPr>
          <w:p w14:paraId="7E23AF39">
            <w:pPr>
              <w:adjustRightInd w:val="0"/>
              <w:snapToGrid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布点位置</w:t>
            </w:r>
          </w:p>
        </w:tc>
        <w:tc>
          <w:tcPr>
            <w:tcW w:w="692" w:type="pct"/>
            <w:tcBorders>
              <w:tl2br w:val="nil"/>
              <w:tr2bl w:val="nil"/>
            </w:tcBorders>
            <w:vAlign w:val="center"/>
          </w:tcPr>
          <w:p w14:paraId="3A0608EE">
            <w:pPr>
              <w:adjustRightInd w:val="0"/>
              <w:snapToGrid w:val="0"/>
              <w:jc w:val="center"/>
              <w:rPr>
                <w:b/>
                <w:bCs/>
                <w:color w:val="000000" w:themeColor="text1"/>
                <w:kern w:val="0"/>
                <w:szCs w:val="21"/>
                <w14:textFill>
                  <w14:solidFill>
                    <w14:schemeClr w14:val="tx1"/>
                  </w14:solidFill>
                </w14:textFill>
              </w:rPr>
            </w:pPr>
            <w:r>
              <w:rPr>
                <w:b/>
                <w:bCs/>
                <w:color w:val="000000" w:themeColor="text1"/>
                <w:szCs w:val="21"/>
                <w14:textFill>
                  <w14:solidFill>
                    <w14:schemeClr w14:val="tx1"/>
                  </w14:solidFill>
                </w14:textFill>
              </w:rPr>
              <w:t>取样分层</w:t>
            </w:r>
          </w:p>
        </w:tc>
        <w:tc>
          <w:tcPr>
            <w:tcW w:w="1692" w:type="pct"/>
            <w:tcBorders>
              <w:tl2br w:val="nil"/>
              <w:tr2bl w:val="nil"/>
            </w:tcBorders>
            <w:vAlign w:val="center"/>
          </w:tcPr>
          <w:p w14:paraId="1491699B">
            <w:pPr>
              <w:adjustRightInd w:val="0"/>
              <w:snapToGrid w:val="0"/>
              <w:jc w:val="center"/>
              <w:rPr>
                <w:b/>
                <w:bCs/>
                <w:color w:val="000000" w:themeColor="text1"/>
                <w:kern w:val="0"/>
                <w:szCs w:val="21"/>
                <w14:textFill>
                  <w14:solidFill>
                    <w14:schemeClr w14:val="tx1"/>
                  </w14:solidFill>
                </w14:textFill>
              </w:rPr>
            </w:pPr>
            <w:r>
              <w:rPr>
                <w:b/>
                <w:bCs/>
                <w:color w:val="000000" w:themeColor="text1"/>
                <w:szCs w:val="21"/>
                <w14:textFill>
                  <w14:solidFill>
                    <w14:schemeClr w14:val="tx1"/>
                  </w14:solidFill>
                </w14:textFill>
              </w:rPr>
              <w:t>监测因子</w:t>
            </w:r>
          </w:p>
        </w:tc>
        <w:tc>
          <w:tcPr>
            <w:tcW w:w="663" w:type="pct"/>
            <w:tcBorders>
              <w:tl2br w:val="nil"/>
              <w:tr2bl w:val="nil"/>
            </w:tcBorders>
            <w:vAlign w:val="center"/>
          </w:tcPr>
          <w:p w14:paraId="298D1C4D">
            <w:pPr>
              <w:adjustRightInd w:val="0"/>
              <w:snapToGrid w:val="0"/>
              <w:jc w:val="center"/>
              <w:rPr>
                <w:b/>
                <w:bCs/>
                <w:color w:val="000000" w:themeColor="text1"/>
                <w:kern w:val="0"/>
                <w:szCs w:val="21"/>
                <w14:textFill>
                  <w14:solidFill>
                    <w14:schemeClr w14:val="tx1"/>
                  </w14:solidFill>
                </w14:textFill>
              </w:rPr>
            </w:pPr>
            <w:r>
              <w:rPr>
                <w:b/>
                <w:bCs/>
                <w:color w:val="000000" w:themeColor="text1"/>
                <w:szCs w:val="21"/>
                <w14:textFill>
                  <w14:solidFill>
                    <w14:schemeClr w14:val="tx1"/>
                  </w14:solidFill>
                </w14:textFill>
              </w:rPr>
              <w:t>土地性质</w:t>
            </w:r>
          </w:p>
        </w:tc>
      </w:tr>
      <w:tr w14:paraId="1925F2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425C39CE">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TR1#</w:t>
            </w:r>
          </w:p>
        </w:tc>
        <w:tc>
          <w:tcPr>
            <w:tcW w:w="796" w:type="pct"/>
            <w:tcBorders>
              <w:tl2br w:val="nil"/>
              <w:tr2bl w:val="nil"/>
            </w:tcBorders>
            <w:vAlign w:val="center"/>
          </w:tcPr>
          <w:p w14:paraId="67226B46">
            <w:pPr>
              <w:jc w:val="center"/>
              <w:rPr>
                <w:color w:val="000000" w:themeColor="text1"/>
                <w:kern w:val="0"/>
                <w:szCs w:val="21"/>
                <w14:textFill>
                  <w14:solidFill>
                    <w14:schemeClr w14:val="tx1"/>
                  </w14:solidFill>
                </w14:textFill>
              </w:rPr>
            </w:pPr>
            <w:bookmarkStart w:id="594" w:name="OLE_LINK52"/>
            <w:bookmarkStart w:id="595" w:name="OLE_LINK53"/>
            <w:r>
              <w:rPr>
                <w:color w:val="000000" w:themeColor="text1"/>
                <w:kern w:val="0"/>
                <w:szCs w:val="21"/>
                <w14:textFill>
                  <w14:solidFill>
                    <w14:schemeClr w14:val="tx1"/>
                  </w14:solidFill>
                </w14:textFill>
              </w:rPr>
              <w:t>白庙乡百花村养殖场场内北侧</w:t>
            </w:r>
            <w:bookmarkEnd w:id="594"/>
            <w:bookmarkEnd w:id="595"/>
          </w:p>
        </w:tc>
        <w:tc>
          <w:tcPr>
            <w:tcW w:w="676" w:type="pct"/>
            <w:vMerge w:val="restart"/>
            <w:tcBorders>
              <w:tl2br w:val="nil"/>
              <w:tr2bl w:val="nil"/>
            </w:tcBorders>
            <w:vAlign w:val="center"/>
          </w:tcPr>
          <w:p w14:paraId="2E7A5BA9">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占地范围内</w:t>
            </w:r>
          </w:p>
        </w:tc>
        <w:tc>
          <w:tcPr>
            <w:tcW w:w="692" w:type="pct"/>
            <w:vMerge w:val="restart"/>
            <w:tcBorders>
              <w:tl2br w:val="nil"/>
              <w:tr2bl w:val="nil"/>
            </w:tcBorders>
            <w:vAlign w:val="center"/>
          </w:tcPr>
          <w:p w14:paraId="271B2635">
            <w:pPr>
              <w:adjustRightInd w:val="0"/>
              <w:snapToGrid w:val="0"/>
              <w:jc w:val="center"/>
              <w:rPr>
                <w:bCs/>
                <w:kern w:val="0"/>
                <w:szCs w:val="21"/>
              </w:rPr>
            </w:pPr>
            <w:r>
              <w:rPr>
                <w:szCs w:val="21"/>
              </w:rPr>
              <w:t>0~0.2m</w:t>
            </w:r>
          </w:p>
          <w:p w14:paraId="5795817D">
            <w:pPr>
              <w:adjustRightInd w:val="0"/>
              <w:snapToGrid w:val="0"/>
              <w:jc w:val="center"/>
              <w:rPr>
                <w:bCs/>
                <w:color w:val="000000" w:themeColor="text1"/>
                <w:kern w:val="0"/>
                <w:szCs w:val="21"/>
                <w14:textFill>
                  <w14:solidFill>
                    <w14:schemeClr w14:val="tx1"/>
                  </w14:solidFill>
                </w14:textFill>
              </w:rPr>
            </w:pPr>
          </w:p>
        </w:tc>
        <w:tc>
          <w:tcPr>
            <w:tcW w:w="1692" w:type="pct"/>
            <w:vMerge w:val="restart"/>
            <w:tcBorders>
              <w:tl2br w:val="nil"/>
              <w:tr2bl w:val="nil"/>
            </w:tcBorders>
            <w:vAlign w:val="center"/>
          </w:tcPr>
          <w:p w14:paraId="1D95882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pH、氧化还原电位、阳离子交换量、渗透性、容重、总孔隙度、石砾含量、铅（总铅）、镉（总镉）、铜（总铜）、镍（总镍）、</w:t>
            </w:r>
            <w:r>
              <w:rPr>
                <w:b/>
                <w:color w:val="000000" w:themeColor="text1"/>
                <w:kern w:val="0"/>
                <w14:textFill>
                  <w14:solidFill>
                    <w14:schemeClr w14:val="tx1"/>
                  </w14:solidFill>
                </w14:textFill>
              </w:rPr>
              <w:t>汞（总汞）</w:t>
            </w:r>
            <w:r>
              <w:rPr>
                <w:color w:val="000000" w:themeColor="text1"/>
                <w:kern w:val="0"/>
                <w:szCs w:val="21"/>
                <w14:textFill>
                  <w14:solidFill>
                    <w14:schemeClr w14:val="tx1"/>
                  </w14:solidFill>
                </w14:textFill>
              </w:rPr>
              <w:t>、</w:t>
            </w:r>
            <w:r>
              <w:rPr>
                <w:b/>
                <w:color w:val="000000" w:themeColor="text1"/>
                <w:kern w:val="0"/>
                <w14:textFill>
                  <w14:solidFill>
                    <w14:schemeClr w14:val="tx1"/>
                  </w14:solidFill>
                </w14:textFill>
              </w:rPr>
              <w:t>砷（总砷）</w:t>
            </w:r>
            <w:r>
              <w:rPr>
                <w:color w:val="000000" w:themeColor="text1"/>
                <w:kern w:val="0"/>
                <w:szCs w:val="21"/>
                <w14:textFill>
                  <w14:solidFill>
                    <w14:schemeClr w14:val="tx1"/>
                  </w14:solidFill>
                </w14:textFill>
              </w:rPr>
              <w:t>、铬（总铬）、锌（总锌）、六六六（α-六六六、β-六六六、γ-六六六、δ-六六六）、滴滴涕（p,p'-DDE、p,p'-DDD、o,p'-DDT、p,p'-DDT）、苯并(a)芘</w:t>
            </w:r>
          </w:p>
        </w:tc>
        <w:tc>
          <w:tcPr>
            <w:tcW w:w="663" w:type="pct"/>
            <w:vMerge w:val="restart"/>
            <w:tcBorders>
              <w:tl2br w:val="nil"/>
              <w:tr2bl w:val="nil"/>
            </w:tcBorders>
            <w:vAlign w:val="center"/>
          </w:tcPr>
          <w:p w14:paraId="0C942D2A">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设施农用地</w:t>
            </w:r>
          </w:p>
          <w:p w14:paraId="2B954933">
            <w:pPr>
              <w:adjustRightInd w:val="0"/>
              <w:snapToGrid w:val="0"/>
              <w:jc w:val="center"/>
              <w:rPr>
                <w:bCs/>
                <w:color w:val="000000" w:themeColor="text1"/>
                <w:kern w:val="0"/>
                <w:szCs w:val="21"/>
                <w14:textFill>
                  <w14:solidFill>
                    <w14:schemeClr w14:val="tx1"/>
                  </w14:solidFill>
                </w14:textFill>
              </w:rPr>
            </w:pPr>
          </w:p>
        </w:tc>
      </w:tr>
      <w:tr w14:paraId="2A3FB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5FC3FCB1">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TR2#</w:t>
            </w:r>
          </w:p>
        </w:tc>
        <w:tc>
          <w:tcPr>
            <w:tcW w:w="796" w:type="pct"/>
            <w:tcBorders>
              <w:tl2br w:val="nil"/>
              <w:tr2bl w:val="nil"/>
            </w:tcBorders>
            <w:vAlign w:val="center"/>
          </w:tcPr>
          <w:p w14:paraId="7CC20AE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白庙乡百花村养殖场场内中部</w:t>
            </w:r>
          </w:p>
        </w:tc>
        <w:tc>
          <w:tcPr>
            <w:tcW w:w="676" w:type="pct"/>
            <w:vMerge w:val="continue"/>
            <w:tcBorders>
              <w:tl2br w:val="nil"/>
              <w:tr2bl w:val="nil"/>
            </w:tcBorders>
            <w:vAlign w:val="center"/>
          </w:tcPr>
          <w:p w14:paraId="3B2A5D99">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63558A46">
            <w:pPr>
              <w:adjustRightInd w:val="0"/>
              <w:snapToGrid w:val="0"/>
              <w:jc w:val="center"/>
              <w:rPr>
                <w:bCs/>
                <w:color w:val="000000" w:themeColor="text1"/>
                <w:kern w:val="0"/>
                <w:szCs w:val="21"/>
                <w14:textFill>
                  <w14:solidFill>
                    <w14:schemeClr w14:val="tx1"/>
                  </w14:solidFill>
                </w14:textFill>
              </w:rPr>
            </w:pPr>
          </w:p>
        </w:tc>
        <w:tc>
          <w:tcPr>
            <w:tcW w:w="1692" w:type="pct"/>
            <w:vMerge w:val="continue"/>
            <w:tcBorders>
              <w:tl2br w:val="nil"/>
              <w:tr2bl w:val="nil"/>
            </w:tcBorders>
            <w:vAlign w:val="center"/>
          </w:tcPr>
          <w:p w14:paraId="63A69B82">
            <w:pPr>
              <w:adjustRightInd w:val="0"/>
              <w:snapToGrid w:val="0"/>
              <w:jc w:val="center"/>
              <w:rPr>
                <w:bCs/>
                <w:color w:val="000000" w:themeColor="text1"/>
                <w:kern w:val="0"/>
                <w:szCs w:val="21"/>
                <w14:textFill>
                  <w14:solidFill>
                    <w14:schemeClr w14:val="tx1"/>
                  </w14:solidFill>
                </w14:textFill>
              </w:rPr>
            </w:pPr>
          </w:p>
        </w:tc>
        <w:tc>
          <w:tcPr>
            <w:tcW w:w="663" w:type="pct"/>
            <w:vMerge w:val="continue"/>
            <w:tcBorders>
              <w:tl2br w:val="nil"/>
              <w:tr2bl w:val="nil"/>
            </w:tcBorders>
            <w:vAlign w:val="center"/>
          </w:tcPr>
          <w:p w14:paraId="09A8C2A4">
            <w:pPr>
              <w:adjustRightInd w:val="0"/>
              <w:snapToGrid w:val="0"/>
              <w:jc w:val="center"/>
              <w:rPr>
                <w:bCs/>
                <w:color w:val="000000" w:themeColor="text1"/>
                <w:kern w:val="0"/>
                <w:szCs w:val="21"/>
                <w14:textFill>
                  <w14:solidFill>
                    <w14:schemeClr w14:val="tx1"/>
                  </w14:solidFill>
                </w14:textFill>
              </w:rPr>
            </w:pPr>
          </w:p>
        </w:tc>
      </w:tr>
      <w:tr w14:paraId="387F88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6A45AE9C">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TR3#</w:t>
            </w:r>
          </w:p>
        </w:tc>
        <w:tc>
          <w:tcPr>
            <w:tcW w:w="796" w:type="pct"/>
            <w:tcBorders>
              <w:tl2br w:val="nil"/>
              <w:tr2bl w:val="nil"/>
            </w:tcBorders>
            <w:vAlign w:val="center"/>
          </w:tcPr>
          <w:p w14:paraId="0E488AAA">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白庙乡百花村养殖场场内南侧</w:t>
            </w:r>
          </w:p>
        </w:tc>
        <w:tc>
          <w:tcPr>
            <w:tcW w:w="676" w:type="pct"/>
            <w:vMerge w:val="continue"/>
            <w:tcBorders>
              <w:tl2br w:val="nil"/>
              <w:tr2bl w:val="nil"/>
            </w:tcBorders>
            <w:vAlign w:val="center"/>
          </w:tcPr>
          <w:p w14:paraId="0FFC5621">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5E80F692">
            <w:pPr>
              <w:adjustRightInd w:val="0"/>
              <w:snapToGrid w:val="0"/>
              <w:jc w:val="center"/>
              <w:rPr>
                <w:bCs/>
                <w:color w:val="000000" w:themeColor="text1"/>
                <w:kern w:val="0"/>
                <w:szCs w:val="21"/>
                <w14:textFill>
                  <w14:solidFill>
                    <w14:schemeClr w14:val="tx1"/>
                  </w14:solidFill>
                </w14:textFill>
              </w:rPr>
            </w:pPr>
          </w:p>
        </w:tc>
        <w:tc>
          <w:tcPr>
            <w:tcW w:w="1692" w:type="pct"/>
            <w:vMerge w:val="continue"/>
            <w:tcBorders>
              <w:tl2br w:val="nil"/>
              <w:tr2bl w:val="nil"/>
            </w:tcBorders>
            <w:vAlign w:val="center"/>
          </w:tcPr>
          <w:p w14:paraId="14801CED">
            <w:pPr>
              <w:adjustRightInd w:val="0"/>
              <w:snapToGrid w:val="0"/>
              <w:jc w:val="center"/>
              <w:rPr>
                <w:bCs/>
                <w:color w:val="000000" w:themeColor="text1"/>
                <w:kern w:val="0"/>
                <w:szCs w:val="21"/>
                <w14:textFill>
                  <w14:solidFill>
                    <w14:schemeClr w14:val="tx1"/>
                  </w14:solidFill>
                </w14:textFill>
              </w:rPr>
            </w:pPr>
          </w:p>
        </w:tc>
        <w:tc>
          <w:tcPr>
            <w:tcW w:w="663" w:type="pct"/>
            <w:vMerge w:val="continue"/>
            <w:tcBorders>
              <w:tl2br w:val="nil"/>
              <w:tr2bl w:val="nil"/>
            </w:tcBorders>
            <w:vAlign w:val="center"/>
          </w:tcPr>
          <w:p w14:paraId="11E27A6E">
            <w:pPr>
              <w:adjustRightInd w:val="0"/>
              <w:snapToGrid w:val="0"/>
              <w:jc w:val="center"/>
              <w:rPr>
                <w:bCs/>
                <w:color w:val="000000" w:themeColor="text1"/>
                <w:kern w:val="0"/>
                <w:szCs w:val="21"/>
                <w14:textFill>
                  <w14:solidFill>
                    <w14:schemeClr w14:val="tx1"/>
                  </w14:solidFill>
                </w14:textFill>
              </w:rPr>
            </w:pPr>
          </w:p>
        </w:tc>
      </w:tr>
      <w:tr w14:paraId="233DF3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0FA96AF3">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TR4#</w:t>
            </w:r>
          </w:p>
        </w:tc>
        <w:tc>
          <w:tcPr>
            <w:tcW w:w="796" w:type="pct"/>
            <w:tcBorders>
              <w:tl2br w:val="nil"/>
              <w:tr2bl w:val="nil"/>
            </w:tcBorders>
            <w:vAlign w:val="center"/>
          </w:tcPr>
          <w:p w14:paraId="71789350">
            <w:pPr>
              <w:jc w:val="center"/>
              <w:rPr>
                <w:color w:val="000000" w:themeColor="text1"/>
                <w:kern w:val="0"/>
                <w:szCs w:val="21"/>
                <w14:textFill>
                  <w14:solidFill>
                    <w14:schemeClr w14:val="tx1"/>
                  </w14:solidFill>
                </w14:textFill>
              </w:rPr>
            </w:pPr>
            <w:r>
              <w:rPr>
                <w:color w:val="000000"/>
                <w:szCs w:val="21"/>
              </w:rPr>
              <w:t>曾口镇佛龙村养殖场场内北侧</w:t>
            </w:r>
          </w:p>
        </w:tc>
        <w:tc>
          <w:tcPr>
            <w:tcW w:w="676" w:type="pct"/>
            <w:vMerge w:val="continue"/>
            <w:tcBorders>
              <w:tl2br w:val="nil"/>
              <w:tr2bl w:val="nil"/>
            </w:tcBorders>
            <w:vAlign w:val="center"/>
          </w:tcPr>
          <w:p w14:paraId="39B85641">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6FD1CE8E">
            <w:pPr>
              <w:adjustRightInd w:val="0"/>
              <w:snapToGrid w:val="0"/>
              <w:jc w:val="center"/>
              <w:rPr>
                <w:bCs/>
                <w:color w:val="000000" w:themeColor="text1"/>
                <w:kern w:val="0"/>
                <w:szCs w:val="21"/>
                <w14:textFill>
                  <w14:solidFill>
                    <w14:schemeClr w14:val="tx1"/>
                  </w14:solidFill>
                </w14:textFill>
              </w:rPr>
            </w:pPr>
          </w:p>
        </w:tc>
        <w:tc>
          <w:tcPr>
            <w:tcW w:w="1692" w:type="pct"/>
            <w:vMerge w:val="continue"/>
            <w:tcBorders>
              <w:tl2br w:val="nil"/>
              <w:tr2bl w:val="nil"/>
            </w:tcBorders>
            <w:vAlign w:val="center"/>
          </w:tcPr>
          <w:p w14:paraId="5EEE20B5">
            <w:pPr>
              <w:adjustRightInd w:val="0"/>
              <w:snapToGrid w:val="0"/>
              <w:jc w:val="center"/>
              <w:rPr>
                <w:color w:val="000000" w:themeColor="text1"/>
                <w:kern w:val="0"/>
                <w:lang w:bidi="ar"/>
                <w14:textFill>
                  <w14:solidFill>
                    <w14:schemeClr w14:val="tx1"/>
                  </w14:solidFill>
                </w14:textFill>
              </w:rPr>
            </w:pPr>
          </w:p>
        </w:tc>
        <w:tc>
          <w:tcPr>
            <w:tcW w:w="663" w:type="pct"/>
            <w:vMerge w:val="continue"/>
            <w:tcBorders>
              <w:tl2br w:val="nil"/>
              <w:tr2bl w:val="nil"/>
            </w:tcBorders>
            <w:vAlign w:val="center"/>
          </w:tcPr>
          <w:p w14:paraId="7069BB28">
            <w:pPr>
              <w:adjustRightInd w:val="0"/>
              <w:snapToGrid w:val="0"/>
              <w:jc w:val="center"/>
              <w:rPr>
                <w:bCs/>
                <w:color w:val="000000" w:themeColor="text1"/>
                <w:kern w:val="0"/>
                <w:szCs w:val="21"/>
                <w14:textFill>
                  <w14:solidFill>
                    <w14:schemeClr w14:val="tx1"/>
                  </w14:solidFill>
                </w14:textFill>
              </w:rPr>
            </w:pPr>
          </w:p>
        </w:tc>
      </w:tr>
      <w:tr w14:paraId="20A042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1AC4AC63">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TR5#</w:t>
            </w:r>
          </w:p>
        </w:tc>
        <w:tc>
          <w:tcPr>
            <w:tcW w:w="796" w:type="pct"/>
            <w:tcBorders>
              <w:tl2br w:val="nil"/>
              <w:tr2bl w:val="nil"/>
            </w:tcBorders>
            <w:vAlign w:val="center"/>
          </w:tcPr>
          <w:p w14:paraId="06161627">
            <w:pPr>
              <w:jc w:val="center"/>
              <w:rPr>
                <w:color w:val="000000" w:themeColor="text1"/>
                <w:kern w:val="0"/>
                <w:szCs w:val="21"/>
                <w14:textFill>
                  <w14:solidFill>
                    <w14:schemeClr w14:val="tx1"/>
                  </w14:solidFill>
                </w14:textFill>
              </w:rPr>
            </w:pPr>
            <w:r>
              <w:rPr>
                <w:color w:val="000000"/>
                <w:szCs w:val="21"/>
              </w:rPr>
              <w:t>曾口镇佛龙村养殖场场内中部</w:t>
            </w:r>
          </w:p>
        </w:tc>
        <w:tc>
          <w:tcPr>
            <w:tcW w:w="676" w:type="pct"/>
            <w:vMerge w:val="continue"/>
            <w:tcBorders>
              <w:tl2br w:val="nil"/>
              <w:tr2bl w:val="nil"/>
            </w:tcBorders>
            <w:vAlign w:val="center"/>
          </w:tcPr>
          <w:p w14:paraId="185C94E3">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32C87D37">
            <w:pPr>
              <w:adjustRightInd w:val="0"/>
              <w:snapToGrid w:val="0"/>
              <w:jc w:val="center"/>
              <w:rPr>
                <w:color w:val="000000" w:themeColor="text1"/>
                <w:szCs w:val="21"/>
                <w14:textFill>
                  <w14:solidFill>
                    <w14:schemeClr w14:val="tx1"/>
                  </w14:solidFill>
                </w14:textFill>
              </w:rPr>
            </w:pPr>
          </w:p>
        </w:tc>
        <w:tc>
          <w:tcPr>
            <w:tcW w:w="1692" w:type="pct"/>
            <w:vMerge w:val="continue"/>
            <w:tcBorders>
              <w:tl2br w:val="nil"/>
              <w:tr2bl w:val="nil"/>
            </w:tcBorders>
            <w:vAlign w:val="center"/>
          </w:tcPr>
          <w:p w14:paraId="50787C06">
            <w:pPr>
              <w:adjustRightInd w:val="0"/>
              <w:snapToGrid w:val="0"/>
              <w:jc w:val="center"/>
              <w:rPr>
                <w:bCs/>
                <w:color w:val="000000" w:themeColor="text1"/>
                <w:szCs w:val="21"/>
                <w14:textFill>
                  <w14:solidFill>
                    <w14:schemeClr w14:val="tx1"/>
                  </w14:solidFill>
                </w14:textFill>
              </w:rPr>
            </w:pPr>
          </w:p>
        </w:tc>
        <w:tc>
          <w:tcPr>
            <w:tcW w:w="663" w:type="pct"/>
            <w:vMerge w:val="continue"/>
            <w:tcBorders>
              <w:tl2br w:val="nil"/>
              <w:tr2bl w:val="nil"/>
            </w:tcBorders>
            <w:vAlign w:val="center"/>
          </w:tcPr>
          <w:p w14:paraId="393AD23D">
            <w:pPr>
              <w:adjustRightInd w:val="0"/>
              <w:snapToGrid w:val="0"/>
              <w:jc w:val="center"/>
              <w:rPr>
                <w:bCs/>
                <w:color w:val="000000" w:themeColor="text1"/>
                <w:kern w:val="0"/>
                <w:szCs w:val="21"/>
                <w14:textFill>
                  <w14:solidFill>
                    <w14:schemeClr w14:val="tx1"/>
                  </w14:solidFill>
                </w14:textFill>
              </w:rPr>
            </w:pPr>
          </w:p>
        </w:tc>
      </w:tr>
      <w:tr w14:paraId="7704CC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3F2DC2BA">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TR6#</w:t>
            </w:r>
          </w:p>
        </w:tc>
        <w:tc>
          <w:tcPr>
            <w:tcW w:w="796" w:type="pct"/>
            <w:tcBorders>
              <w:tl2br w:val="nil"/>
              <w:tr2bl w:val="nil"/>
            </w:tcBorders>
            <w:vAlign w:val="center"/>
          </w:tcPr>
          <w:p w14:paraId="59942087">
            <w:pPr>
              <w:jc w:val="center"/>
              <w:rPr>
                <w:color w:val="000000" w:themeColor="text1"/>
                <w:kern w:val="0"/>
                <w:szCs w:val="21"/>
                <w14:textFill>
                  <w14:solidFill>
                    <w14:schemeClr w14:val="tx1"/>
                  </w14:solidFill>
                </w14:textFill>
              </w:rPr>
            </w:pPr>
            <w:r>
              <w:rPr>
                <w:color w:val="000000"/>
                <w:szCs w:val="21"/>
              </w:rPr>
              <w:t>曾口镇佛龙村养殖场场内南侧</w:t>
            </w:r>
          </w:p>
        </w:tc>
        <w:tc>
          <w:tcPr>
            <w:tcW w:w="676" w:type="pct"/>
            <w:vMerge w:val="continue"/>
            <w:tcBorders>
              <w:tl2br w:val="nil"/>
              <w:tr2bl w:val="nil"/>
            </w:tcBorders>
            <w:vAlign w:val="center"/>
          </w:tcPr>
          <w:p w14:paraId="22B0B569">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702C32DE">
            <w:pPr>
              <w:adjustRightInd w:val="0"/>
              <w:snapToGrid w:val="0"/>
              <w:jc w:val="center"/>
              <w:rPr>
                <w:color w:val="000000" w:themeColor="text1"/>
                <w:szCs w:val="21"/>
                <w14:textFill>
                  <w14:solidFill>
                    <w14:schemeClr w14:val="tx1"/>
                  </w14:solidFill>
                </w14:textFill>
              </w:rPr>
            </w:pPr>
          </w:p>
        </w:tc>
        <w:tc>
          <w:tcPr>
            <w:tcW w:w="1692" w:type="pct"/>
            <w:vMerge w:val="continue"/>
            <w:tcBorders>
              <w:tl2br w:val="nil"/>
              <w:tr2bl w:val="nil"/>
            </w:tcBorders>
            <w:vAlign w:val="center"/>
          </w:tcPr>
          <w:p w14:paraId="6AA8518D">
            <w:pPr>
              <w:adjustRightInd w:val="0"/>
              <w:snapToGrid w:val="0"/>
              <w:jc w:val="center"/>
              <w:rPr>
                <w:bCs/>
                <w:color w:val="000000" w:themeColor="text1"/>
                <w:szCs w:val="21"/>
                <w14:textFill>
                  <w14:solidFill>
                    <w14:schemeClr w14:val="tx1"/>
                  </w14:solidFill>
                </w14:textFill>
              </w:rPr>
            </w:pPr>
          </w:p>
        </w:tc>
        <w:tc>
          <w:tcPr>
            <w:tcW w:w="663" w:type="pct"/>
            <w:vMerge w:val="continue"/>
            <w:tcBorders>
              <w:tl2br w:val="nil"/>
              <w:tr2bl w:val="nil"/>
            </w:tcBorders>
            <w:vAlign w:val="center"/>
          </w:tcPr>
          <w:p w14:paraId="564D856F">
            <w:pPr>
              <w:adjustRightInd w:val="0"/>
              <w:snapToGrid w:val="0"/>
              <w:jc w:val="center"/>
              <w:rPr>
                <w:bCs/>
                <w:color w:val="000000" w:themeColor="text1"/>
                <w:kern w:val="0"/>
                <w:szCs w:val="21"/>
                <w14:textFill>
                  <w14:solidFill>
                    <w14:schemeClr w14:val="tx1"/>
                  </w14:solidFill>
                </w14:textFill>
              </w:rPr>
            </w:pPr>
          </w:p>
        </w:tc>
      </w:tr>
      <w:tr w14:paraId="38BCDA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0E313694">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TR7#</w:t>
            </w:r>
          </w:p>
        </w:tc>
        <w:tc>
          <w:tcPr>
            <w:tcW w:w="796" w:type="pct"/>
            <w:tcBorders>
              <w:tl2br w:val="nil"/>
              <w:tr2bl w:val="nil"/>
            </w:tcBorders>
            <w:vAlign w:val="center"/>
          </w:tcPr>
          <w:p w14:paraId="1107937A">
            <w:pPr>
              <w:jc w:val="center"/>
              <w:rPr>
                <w:color w:val="000000" w:themeColor="text1"/>
                <w:kern w:val="0"/>
                <w:szCs w:val="21"/>
                <w14:textFill>
                  <w14:solidFill>
                    <w14:schemeClr w14:val="tx1"/>
                  </w14:solidFill>
                </w14:textFill>
              </w:rPr>
            </w:pPr>
            <w:r>
              <w:rPr>
                <w:color w:val="000000"/>
                <w:szCs w:val="21"/>
              </w:rPr>
              <w:t>清江镇塘坝村养殖场场内西南侧</w:t>
            </w:r>
          </w:p>
        </w:tc>
        <w:tc>
          <w:tcPr>
            <w:tcW w:w="676" w:type="pct"/>
            <w:vMerge w:val="continue"/>
            <w:tcBorders>
              <w:tl2br w:val="nil"/>
              <w:tr2bl w:val="nil"/>
            </w:tcBorders>
            <w:vAlign w:val="center"/>
          </w:tcPr>
          <w:p w14:paraId="6AB15C46">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312DE909">
            <w:pPr>
              <w:adjustRightInd w:val="0"/>
              <w:snapToGrid w:val="0"/>
              <w:jc w:val="center"/>
              <w:rPr>
                <w:color w:val="000000" w:themeColor="text1"/>
                <w:szCs w:val="21"/>
                <w14:textFill>
                  <w14:solidFill>
                    <w14:schemeClr w14:val="tx1"/>
                  </w14:solidFill>
                </w14:textFill>
              </w:rPr>
            </w:pPr>
          </w:p>
        </w:tc>
        <w:tc>
          <w:tcPr>
            <w:tcW w:w="1692" w:type="pct"/>
            <w:vMerge w:val="continue"/>
            <w:tcBorders>
              <w:tl2br w:val="nil"/>
              <w:tr2bl w:val="nil"/>
            </w:tcBorders>
            <w:vAlign w:val="center"/>
          </w:tcPr>
          <w:p w14:paraId="4951BE8F">
            <w:pPr>
              <w:adjustRightInd w:val="0"/>
              <w:snapToGrid w:val="0"/>
              <w:jc w:val="center"/>
              <w:rPr>
                <w:bCs/>
                <w:color w:val="000000" w:themeColor="text1"/>
                <w:szCs w:val="21"/>
                <w14:textFill>
                  <w14:solidFill>
                    <w14:schemeClr w14:val="tx1"/>
                  </w14:solidFill>
                </w14:textFill>
              </w:rPr>
            </w:pPr>
          </w:p>
        </w:tc>
        <w:tc>
          <w:tcPr>
            <w:tcW w:w="663" w:type="pct"/>
            <w:vMerge w:val="continue"/>
            <w:tcBorders>
              <w:tl2br w:val="nil"/>
              <w:tr2bl w:val="nil"/>
            </w:tcBorders>
            <w:vAlign w:val="center"/>
          </w:tcPr>
          <w:p w14:paraId="600847F1">
            <w:pPr>
              <w:adjustRightInd w:val="0"/>
              <w:snapToGrid w:val="0"/>
              <w:jc w:val="center"/>
              <w:rPr>
                <w:bCs/>
                <w:color w:val="000000" w:themeColor="text1"/>
                <w:kern w:val="0"/>
                <w:szCs w:val="21"/>
                <w14:textFill>
                  <w14:solidFill>
                    <w14:schemeClr w14:val="tx1"/>
                  </w14:solidFill>
                </w14:textFill>
              </w:rPr>
            </w:pPr>
          </w:p>
        </w:tc>
      </w:tr>
      <w:tr w14:paraId="69D4FC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40097F01">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TR8#</w:t>
            </w:r>
          </w:p>
        </w:tc>
        <w:tc>
          <w:tcPr>
            <w:tcW w:w="796" w:type="pct"/>
            <w:tcBorders>
              <w:tl2br w:val="nil"/>
              <w:tr2bl w:val="nil"/>
            </w:tcBorders>
            <w:vAlign w:val="center"/>
          </w:tcPr>
          <w:p w14:paraId="475A20BB">
            <w:pPr>
              <w:jc w:val="center"/>
              <w:rPr>
                <w:color w:val="000000" w:themeColor="text1"/>
                <w:kern w:val="0"/>
                <w:szCs w:val="21"/>
                <w14:textFill>
                  <w14:solidFill>
                    <w14:schemeClr w14:val="tx1"/>
                  </w14:solidFill>
                </w14:textFill>
              </w:rPr>
            </w:pPr>
            <w:r>
              <w:rPr>
                <w:color w:val="000000"/>
                <w:szCs w:val="21"/>
              </w:rPr>
              <w:t>清江镇塘坝村养殖场场内西北侧</w:t>
            </w:r>
          </w:p>
        </w:tc>
        <w:tc>
          <w:tcPr>
            <w:tcW w:w="676" w:type="pct"/>
            <w:vMerge w:val="continue"/>
            <w:tcBorders>
              <w:tl2br w:val="nil"/>
              <w:tr2bl w:val="nil"/>
            </w:tcBorders>
            <w:vAlign w:val="center"/>
          </w:tcPr>
          <w:p w14:paraId="67A677D4">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784FEE4F">
            <w:pPr>
              <w:adjustRightInd w:val="0"/>
              <w:snapToGrid w:val="0"/>
              <w:jc w:val="center"/>
              <w:rPr>
                <w:color w:val="000000" w:themeColor="text1"/>
                <w:szCs w:val="21"/>
                <w14:textFill>
                  <w14:solidFill>
                    <w14:schemeClr w14:val="tx1"/>
                  </w14:solidFill>
                </w14:textFill>
              </w:rPr>
            </w:pPr>
          </w:p>
        </w:tc>
        <w:tc>
          <w:tcPr>
            <w:tcW w:w="1692" w:type="pct"/>
            <w:vMerge w:val="continue"/>
            <w:tcBorders>
              <w:tl2br w:val="nil"/>
              <w:tr2bl w:val="nil"/>
            </w:tcBorders>
            <w:vAlign w:val="center"/>
          </w:tcPr>
          <w:p w14:paraId="2D7634ED">
            <w:pPr>
              <w:adjustRightInd w:val="0"/>
              <w:snapToGrid w:val="0"/>
              <w:jc w:val="center"/>
              <w:rPr>
                <w:bCs/>
                <w:color w:val="000000" w:themeColor="text1"/>
                <w:szCs w:val="21"/>
                <w14:textFill>
                  <w14:solidFill>
                    <w14:schemeClr w14:val="tx1"/>
                  </w14:solidFill>
                </w14:textFill>
              </w:rPr>
            </w:pPr>
          </w:p>
        </w:tc>
        <w:tc>
          <w:tcPr>
            <w:tcW w:w="663" w:type="pct"/>
            <w:vMerge w:val="continue"/>
            <w:tcBorders>
              <w:tl2br w:val="nil"/>
              <w:tr2bl w:val="nil"/>
            </w:tcBorders>
            <w:vAlign w:val="center"/>
          </w:tcPr>
          <w:p w14:paraId="2AD9350D">
            <w:pPr>
              <w:adjustRightInd w:val="0"/>
              <w:snapToGrid w:val="0"/>
              <w:jc w:val="center"/>
              <w:rPr>
                <w:bCs/>
                <w:color w:val="000000" w:themeColor="text1"/>
                <w:kern w:val="0"/>
                <w:szCs w:val="21"/>
                <w14:textFill>
                  <w14:solidFill>
                    <w14:schemeClr w14:val="tx1"/>
                  </w14:solidFill>
                </w14:textFill>
              </w:rPr>
            </w:pPr>
          </w:p>
        </w:tc>
      </w:tr>
      <w:tr w14:paraId="4E5557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2AD85D1E">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TR9#</w:t>
            </w:r>
          </w:p>
        </w:tc>
        <w:tc>
          <w:tcPr>
            <w:tcW w:w="796" w:type="pct"/>
            <w:tcBorders>
              <w:tl2br w:val="nil"/>
              <w:tr2bl w:val="nil"/>
            </w:tcBorders>
            <w:vAlign w:val="center"/>
          </w:tcPr>
          <w:p w14:paraId="49792269">
            <w:pPr>
              <w:jc w:val="center"/>
              <w:rPr>
                <w:color w:val="000000" w:themeColor="text1"/>
                <w:kern w:val="0"/>
                <w:szCs w:val="21"/>
                <w14:textFill>
                  <w14:solidFill>
                    <w14:schemeClr w14:val="tx1"/>
                  </w14:solidFill>
                </w14:textFill>
              </w:rPr>
            </w:pPr>
            <w:r>
              <w:rPr>
                <w:color w:val="000000"/>
                <w:szCs w:val="21"/>
              </w:rPr>
              <w:t>清江镇塘坝村养殖场场内东侧</w:t>
            </w:r>
          </w:p>
        </w:tc>
        <w:tc>
          <w:tcPr>
            <w:tcW w:w="676" w:type="pct"/>
            <w:vMerge w:val="continue"/>
            <w:tcBorders>
              <w:tl2br w:val="nil"/>
              <w:tr2bl w:val="nil"/>
            </w:tcBorders>
            <w:vAlign w:val="center"/>
          </w:tcPr>
          <w:p w14:paraId="472A002B">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31554C49">
            <w:pPr>
              <w:adjustRightInd w:val="0"/>
              <w:snapToGrid w:val="0"/>
              <w:jc w:val="center"/>
              <w:rPr>
                <w:color w:val="000000" w:themeColor="text1"/>
                <w:szCs w:val="21"/>
                <w14:textFill>
                  <w14:solidFill>
                    <w14:schemeClr w14:val="tx1"/>
                  </w14:solidFill>
                </w14:textFill>
              </w:rPr>
            </w:pPr>
          </w:p>
        </w:tc>
        <w:tc>
          <w:tcPr>
            <w:tcW w:w="1692" w:type="pct"/>
            <w:vMerge w:val="continue"/>
            <w:tcBorders>
              <w:tl2br w:val="nil"/>
              <w:tr2bl w:val="nil"/>
            </w:tcBorders>
            <w:vAlign w:val="center"/>
          </w:tcPr>
          <w:p w14:paraId="305C5E1E">
            <w:pPr>
              <w:adjustRightInd w:val="0"/>
              <w:snapToGrid w:val="0"/>
              <w:jc w:val="center"/>
              <w:rPr>
                <w:bCs/>
                <w:color w:val="000000" w:themeColor="text1"/>
                <w:szCs w:val="21"/>
                <w14:textFill>
                  <w14:solidFill>
                    <w14:schemeClr w14:val="tx1"/>
                  </w14:solidFill>
                </w14:textFill>
              </w:rPr>
            </w:pPr>
          </w:p>
        </w:tc>
        <w:tc>
          <w:tcPr>
            <w:tcW w:w="663" w:type="pct"/>
            <w:vMerge w:val="continue"/>
            <w:tcBorders>
              <w:tl2br w:val="nil"/>
              <w:tr2bl w:val="nil"/>
            </w:tcBorders>
            <w:vAlign w:val="center"/>
          </w:tcPr>
          <w:p w14:paraId="62937751">
            <w:pPr>
              <w:adjustRightInd w:val="0"/>
              <w:snapToGrid w:val="0"/>
              <w:jc w:val="center"/>
              <w:rPr>
                <w:bCs/>
                <w:color w:val="000000" w:themeColor="text1"/>
                <w:kern w:val="0"/>
                <w:szCs w:val="21"/>
                <w14:textFill>
                  <w14:solidFill>
                    <w14:schemeClr w14:val="tx1"/>
                  </w14:solidFill>
                </w14:textFill>
              </w:rPr>
            </w:pPr>
          </w:p>
        </w:tc>
      </w:tr>
      <w:tr w14:paraId="668513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3AFCA518">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TR10#</w:t>
            </w:r>
          </w:p>
        </w:tc>
        <w:tc>
          <w:tcPr>
            <w:tcW w:w="796" w:type="pct"/>
            <w:tcBorders>
              <w:tl2br w:val="nil"/>
              <w:tr2bl w:val="nil"/>
            </w:tcBorders>
            <w:vAlign w:val="center"/>
          </w:tcPr>
          <w:p w14:paraId="09565939">
            <w:pPr>
              <w:jc w:val="center"/>
              <w:rPr>
                <w:color w:val="000000" w:themeColor="text1"/>
                <w:kern w:val="0"/>
                <w:szCs w:val="21"/>
                <w14:textFill>
                  <w14:solidFill>
                    <w14:schemeClr w14:val="tx1"/>
                  </w14:solidFill>
                </w14:textFill>
              </w:rPr>
            </w:pPr>
            <w:r>
              <w:rPr>
                <w:color w:val="000000"/>
                <w:szCs w:val="21"/>
              </w:rPr>
              <w:t>水宁寺镇始宁社区养殖场场内北侧</w:t>
            </w:r>
          </w:p>
        </w:tc>
        <w:tc>
          <w:tcPr>
            <w:tcW w:w="676" w:type="pct"/>
            <w:vMerge w:val="continue"/>
            <w:tcBorders>
              <w:tl2br w:val="nil"/>
              <w:tr2bl w:val="nil"/>
            </w:tcBorders>
            <w:vAlign w:val="center"/>
          </w:tcPr>
          <w:p w14:paraId="50A98878">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12E5363E">
            <w:pPr>
              <w:adjustRightInd w:val="0"/>
              <w:snapToGrid w:val="0"/>
              <w:jc w:val="center"/>
              <w:rPr>
                <w:color w:val="000000" w:themeColor="text1"/>
                <w:szCs w:val="21"/>
                <w14:textFill>
                  <w14:solidFill>
                    <w14:schemeClr w14:val="tx1"/>
                  </w14:solidFill>
                </w14:textFill>
              </w:rPr>
            </w:pPr>
          </w:p>
        </w:tc>
        <w:tc>
          <w:tcPr>
            <w:tcW w:w="1692" w:type="pct"/>
            <w:vMerge w:val="continue"/>
            <w:tcBorders>
              <w:tl2br w:val="nil"/>
              <w:tr2bl w:val="nil"/>
            </w:tcBorders>
            <w:vAlign w:val="center"/>
          </w:tcPr>
          <w:p w14:paraId="7E5EA968">
            <w:pPr>
              <w:adjustRightInd w:val="0"/>
              <w:snapToGrid w:val="0"/>
              <w:jc w:val="center"/>
              <w:rPr>
                <w:bCs/>
                <w:color w:val="000000" w:themeColor="text1"/>
                <w:szCs w:val="21"/>
                <w14:textFill>
                  <w14:solidFill>
                    <w14:schemeClr w14:val="tx1"/>
                  </w14:solidFill>
                </w14:textFill>
              </w:rPr>
            </w:pPr>
          </w:p>
        </w:tc>
        <w:tc>
          <w:tcPr>
            <w:tcW w:w="663" w:type="pct"/>
            <w:vMerge w:val="continue"/>
            <w:tcBorders>
              <w:tl2br w:val="nil"/>
              <w:tr2bl w:val="nil"/>
            </w:tcBorders>
            <w:vAlign w:val="center"/>
          </w:tcPr>
          <w:p w14:paraId="10960687">
            <w:pPr>
              <w:adjustRightInd w:val="0"/>
              <w:snapToGrid w:val="0"/>
              <w:jc w:val="center"/>
              <w:rPr>
                <w:bCs/>
                <w:color w:val="000000" w:themeColor="text1"/>
                <w:kern w:val="0"/>
                <w:szCs w:val="21"/>
                <w14:textFill>
                  <w14:solidFill>
                    <w14:schemeClr w14:val="tx1"/>
                  </w14:solidFill>
                </w14:textFill>
              </w:rPr>
            </w:pPr>
          </w:p>
        </w:tc>
      </w:tr>
      <w:tr w14:paraId="297024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1A453BC5">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TR11#</w:t>
            </w:r>
          </w:p>
        </w:tc>
        <w:tc>
          <w:tcPr>
            <w:tcW w:w="796" w:type="pct"/>
            <w:tcBorders>
              <w:tl2br w:val="nil"/>
              <w:tr2bl w:val="nil"/>
            </w:tcBorders>
            <w:vAlign w:val="center"/>
          </w:tcPr>
          <w:p w14:paraId="6D12ABA3">
            <w:pPr>
              <w:jc w:val="center"/>
              <w:rPr>
                <w:color w:val="000000" w:themeColor="text1"/>
                <w:kern w:val="0"/>
                <w:szCs w:val="21"/>
                <w14:textFill>
                  <w14:solidFill>
                    <w14:schemeClr w14:val="tx1"/>
                  </w14:solidFill>
                </w14:textFill>
              </w:rPr>
            </w:pPr>
            <w:r>
              <w:rPr>
                <w:color w:val="000000"/>
                <w:szCs w:val="21"/>
              </w:rPr>
              <w:t>水宁寺镇始宁社区养殖场场内东北侧</w:t>
            </w:r>
          </w:p>
        </w:tc>
        <w:tc>
          <w:tcPr>
            <w:tcW w:w="676" w:type="pct"/>
            <w:vMerge w:val="continue"/>
            <w:tcBorders>
              <w:tl2br w:val="nil"/>
              <w:tr2bl w:val="nil"/>
            </w:tcBorders>
            <w:vAlign w:val="center"/>
          </w:tcPr>
          <w:p w14:paraId="004F7977">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03F3776B">
            <w:pPr>
              <w:adjustRightInd w:val="0"/>
              <w:snapToGrid w:val="0"/>
              <w:jc w:val="center"/>
              <w:rPr>
                <w:color w:val="000000" w:themeColor="text1"/>
                <w:szCs w:val="21"/>
                <w14:textFill>
                  <w14:solidFill>
                    <w14:schemeClr w14:val="tx1"/>
                  </w14:solidFill>
                </w14:textFill>
              </w:rPr>
            </w:pPr>
          </w:p>
        </w:tc>
        <w:tc>
          <w:tcPr>
            <w:tcW w:w="1692" w:type="pct"/>
            <w:vMerge w:val="continue"/>
            <w:tcBorders>
              <w:tl2br w:val="nil"/>
              <w:tr2bl w:val="nil"/>
            </w:tcBorders>
            <w:vAlign w:val="center"/>
          </w:tcPr>
          <w:p w14:paraId="2E38E54B">
            <w:pPr>
              <w:adjustRightInd w:val="0"/>
              <w:snapToGrid w:val="0"/>
              <w:jc w:val="center"/>
              <w:rPr>
                <w:bCs/>
                <w:color w:val="000000" w:themeColor="text1"/>
                <w:szCs w:val="21"/>
                <w14:textFill>
                  <w14:solidFill>
                    <w14:schemeClr w14:val="tx1"/>
                  </w14:solidFill>
                </w14:textFill>
              </w:rPr>
            </w:pPr>
          </w:p>
        </w:tc>
        <w:tc>
          <w:tcPr>
            <w:tcW w:w="663" w:type="pct"/>
            <w:vMerge w:val="continue"/>
            <w:tcBorders>
              <w:tl2br w:val="nil"/>
              <w:tr2bl w:val="nil"/>
            </w:tcBorders>
            <w:vAlign w:val="center"/>
          </w:tcPr>
          <w:p w14:paraId="57C1308B">
            <w:pPr>
              <w:adjustRightInd w:val="0"/>
              <w:snapToGrid w:val="0"/>
              <w:jc w:val="center"/>
              <w:rPr>
                <w:bCs/>
                <w:color w:val="000000" w:themeColor="text1"/>
                <w:kern w:val="0"/>
                <w:szCs w:val="21"/>
                <w14:textFill>
                  <w14:solidFill>
                    <w14:schemeClr w14:val="tx1"/>
                  </w14:solidFill>
                </w14:textFill>
              </w:rPr>
            </w:pPr>
          </w:p>
        </w:tc>
      </w:tr>
      <w:tr w14:paraId="1767C7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1" w:type="pct"/>
            <w:tcBorders>
              <w:tl2br w:val="nil"/>
              <w:tr2bl w:val="nil"/>
            </w:tcBorders>
            <w:vAlign w:val="center"/>
          </w:tcPr>
          <w:p w14:paraId="4E2D20AB">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TR12#</w:t>
            </w:r>
          </w:p>
        </w:tc>
        <w:tc>
          <w:tcPr>
            <w:tcW w:w="796" w:type="pct"/>
            <w:tcBorders>
              <w:tl2br w:val="nil"/>
              <w:tr2bl w:val="nil"/>
            </w:tcBorders>
            <w:vAlign w:val="center"/>
          </w:tcPr>
          <w:p w14:paraId="344B2EA4">
            <w:pPr>
              <w:jc w:val="center"/>
              <w:rPr>
                <w:color w:val="000000" w:themeColor="text1"/>
                <w:kern w:val="0"/>
                <w:szCs w:val="21"/>
                <w14:textFill>
                  <w14:solidFill>
                    <w14:schemeClr w14:val="tx1"/>
                  </w14:solidFill>
                </w14:textFill>
              </w:rPr>
            </w:pPr>
            <w:r>
              <w:rPr>
                <w:color w:val="000000"/>
                <w:szCs w:val="21"/>
              </w:rPr>
              <w:t>水宁寺镇始宁社区养殖场场内南侧</w:t>
            </w:r>
          </w:p>
        </w:tc>
        <w:tc>
          <w:tcPr>
            <w:tcW w:w="676" w:type="pct"/>
            <w:vMerge w:val="continue"/>
            <w:tcBorders>
              <w:tl2br w:val="nil"/>
              <w:tr2bl w:val="nil"/>
            </w:tcBorders>
            <w:vAlign w:val="center"/>
          </w:tcPr>
          <w:p w14:paraId="43492058">
            <w:pPr>
              <w:adjustRightInd w:val="0"/>
              <w:snapToGrid w:val="0"/>
              <w:jc w:val="center"/>
              <w:rPr>
                <w:bCs/>
                <w:color w:val="000000" w:themeColor="text1"/>
                <w:kern w:val="0"/>
                <w:szCs w:val="21"/>
                <w14:textFill>
                  <w14:solidFill>
                    <w14:schemeClr w14:val="tx1"/>
                  </w14:solidFill>
                </w14:textFill>
              </w:rPr>
            </w:pPr>
          </w:p>
        </w:tc>
        <w:tc>
          <w:tcPr>
            <w:tcW w:w="692" w:type="pct"/>
            <w:vMerge w:val="continue"/>
            <w:tcBorders>
              <w:tl2br w:val="nil"/>
              <w:tr2bl w:val="nil"/>
            </w:tcBorders>
            <w:vAlign w:val="center"/>
          </w:tcPr>
          <w:p w14:paraId="676AB6D8">
            <w:pPr>
              <w:adjustRightInd w:val="0"/>
              <w:snapToGrid w:val="0"/>
              <w:jc w:val="center"/>
              <w:rPr>
                <w:color w:val="000000" w:themeColor="text1"/>
                <w:szCs w:val="21"/>
                <w14:textFill>
                  <w14:solidFill>
                    <w14:schemeClr w14:val="tx1"/>
                  </w14:solidFill>
                </w14:textFill>
              </w:rPr>
            </w:pPr>
          </w:p>
        </w:tc>
        <w:tc>
          <w:tcPr>
            <w:tcW w:w="1692" w:type="pct"/>
            <w:vMerge w:val="continue"/>
            <w:tcBorders>
              <w:tl2br w:val="nil"/>
              <w:tr2bl w:val="nil"/>
            </w:tcBorders>
            <w:vAlign w:val="center"/>
          </w:tcPr>
          <w:p w14:paraId="03F5655F">
            <w:pPr>
              <w:adjustRightInd w:val="0"/>
              <w:snapToGrid w:val="0"/>
              <w:jc w:val="center"/>
              <w:rPr>
                <w:bCs/>
                <w:color w:val="000000" w:themeColor="text1"/>
                <w:szCs w:val="21"/>
                <w14:textFill>
                  <w14:solidFill>
                    <w14:schemeClr w14:val="tx1"/>
                  </w14:solidFill>
                </w14:textFill>
              </w:rPr>
            </w:pPr>
          </w:p>
        </w:tc>
        <w:tc>
          <w:tcPr>
            <w:tcW w:w="663" w:type="pct"/>
            <w:vMerge w:val="continue"/>
            <w:tcBorders>
              <w:tl2br w:val="nil"/>
              <w:tr2bl w:val="nil"/>
            </w:tcBorders>
            <w:vAlign w:val="center"/>
          </w:tcPr>
          <w:p w14:paraId="783EAC60">
            <w:pPr>
              <w:adjustRightInd w:val="0"/>
              <w:snapToGrid w:val="0"/>
              <w:jc w:val="center"/>
              <w:rPr>
                <w:bCs/>
                <w:color w:val="000000" w:themeColor="text1"/>
                <w:kern w:val="0"/>
                <w:szCs w:val="21"/>
                <w14:textFill>
                  <w14:solidFill>
                    <w14:schemeClr w14:val="tx1"/>
                  </w14:solidFill>
                </w14:textFill>
              </w:rPr>
            </w:pPr>
          </w:p>
        </w:tc>
      </w:tr>
    </w:tbl>
    <w:p w14:paraId="036D9C0E">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2、取样时间及监测频次</w:t>
      </w:r>
    </w:p>
    <w:p w14:paraId="1F08671B">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监测频次：采样1次。</w:t>
      </w:r>
    </w:p>
    <w:p w14:paraId="20683C1F">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3、评价标准</w:t>
      </w:r>
    </w:p>
    <w:p w14:paraId="59D72569">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执行</w:t>
      </w:r>
      <w:r>
        <w:rPr>
          <w:bCs/>
          <w:color w:val="000000" w:themeColor="text1"/>
          <w:sz w:val="24"/>
          <w14:textFill>
            <w14:solidFill>
              <w14:schemeClr w14:val="tx1"/>
            </w14:solidFill>
          </w14:textFill>
        </w:rPr>
        <w:t>《土壤环境质量标准 农用地土壤污染风险管控标准（试行）》（GB15618-2018）中限值</w:t>
      </w:r>
      <w:r>
        <w:rPr>
          <w:color w:val="000000" w:themeColor="text1"/>
          <w:sz w:val="24"/>
          <w14:textFill>
            <w14:solidFill>
              <w14:schemeClr w14:val="tx1"/>
            </w14:solidFill>
          </w14:textFill>
        </w:rPr>
        <w:t>要求。</w:t>
      </w:r>
    </w:p>
    <w:p w14:paraId="2DC3172B">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4、监测结果</w:t>
      </w:r>
    </w:p>
    <w:p w14:paraId="305CA749">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（1）土壤理化特性</w:t>
      </w:r>
    </w:p>
    <w:p w14:paraId="253DEC50">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为了解项目区土壤理化特性，委托四川锡水金山环保科技有限公司对项目土壤监测点位进行了土壤理化特性调查，具体</w:t>
      </w:r>
      <w:r>
        <w:rPr>
          <w:rFonts w:hint="eastAsia"/>
          <w:color w:val="000000" w:themeColor="text1"/>
          <w:sz w:val="24"/>
          <w14:textFill>
            <w14:solidFill>
              <w14:schemeClr w14:val="tx1"/>
            </w14:solidFill>
          </w14:textFill>
        </w:rPr>
        <w:t>监测</w:t>
      </w:r>
      <w:r>
        <w:rPr>
          <w:color w:val="000000" w:themeColor="text1"/>
          <w:sz w:val="24"/>
          <w14:textFill>
            <w14:solidFill>
              <w14:schemeClr w14:val="tx1"/>
            </w14:solidFill>
          </w14:textFill>
        </w:rPr>
        <w:t>结果见</w:t>
      </w:r>
      <w:r>
        <w:rPr>
          <w:rFonts w:hint="eastAsia"/>
          <w:color w:val="000000" w:themeColor="text1"/>
          <w:sz w:val="24"/>
          <w14:textFill>
            <w14:solidFill>
              <w14:schemeClr w14:val="tx1"/>
            </w14:solidFill>
          </w14:textFill>
        </w:rPr>
        <w:t>附件。</w:t>
      </w:r>
    </w:p>
    <w:p w14:paraId="15A8CC4E">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color w:val="000000" w:themeColor="text1"/>
          <w:sz w:val="24"/>
          <w14:textFill>
            <w14:solidFill>
              <w14:schemeClr w14:val="tx1"/>
            </w14:solidFill>
          </w14:textFill>
        </w:rPr>
        <w:t>根据监测结果可知，监测点均满足</w:t>
      </w:r>
      <w:r>
        <w:rPr>
          <w:bCs/>
          <w:color w:val="000000" w:themeColor="text1"/>
          <w:sz w:val="24"/>
          <w14:textFill>
            <w14:solidFill>
              <w14:schemeClr w14:val="tx1"/>
            </w14:solidFill>
          </w14:textFill>
        </w:rPr>
        <w:t>《土壤环境质量标准 农用地土壤污染风险管控标准（试行）》（GB15618-2018）中限值要求。</w:t>
      </w:r>
    </w:p>
    <w:bookmarkEnd w:id="587"/>
    <w:p w14:paraId="07B290F9">
      <w:pPr>
        <w:pStyle w:val="5"/>
        <w:adjustRightInd w:val="0"/>
        <w:snapToGrid w:val="0"/>
        <w:spacing w:before="0" w:after="0" w:line="360" w:lineRule="auto"/>
        <w:rPr>
          <w:color w:val="000000" w:themeColor="text1"/>
          <w:sz w:val="28"/>
          <w:szCs w:val="28"/>
          <w14:textFill>
            <w14:solidFill>
              <w14:schemeClr w14:val="tx1"/>
            </w14:solidFill>
          </w14:textFill>
        </w:rPr>
      </w:pPr>
      <w:bookmarkStart w:id="596" w:name="_Toc261592245"/>
      <w:bookmarkStart w:id="597" w:name="_Toc295386565"/>
      <w:bookmarkStart w:id="598" w:name="_Toc241784473"/>
      <w:bookmarkStart w:id="599" w:name="_Toc369668198"/>
      <w:bookmarkStart w:id="600" w:name="_Toc214714286"/>
      <w:bookmarkStart w:id="601" w:name="_Toc362744203"/>
      <w:bookmarkStart w:id="602" w:name="_Toc8702"/>
      <w:bookmarkStart w:id="603" w:name="_Toc24149"/>
      <w:bookmarkStart w:id="604" w:name="_Toc11336549"/>
      <w:bookmarkStart w:id="605" w:name="_Toc17669"/>
      <w:bookmarkStart w:id="606" w:name="_Toc24247"/>
      <w:bookmarkStart w:id="607" w:name="_Toc6579"/>
      <w:bookmarkStart w:id="608" w:name="_Toc71404964"/>
      <w:bookmarkStart w:id="609" w:name="_Toc18679"/>
      <w:bookmarkStart w:id="610" w:name="_Toc29223"/>
      <w:bookmarkStart w:id="611" w:name="_Toc31101"/>
      <w:bookmarkStart w:id="612" w:name="_Toc17985"/>
      <w:bookmarkStart w:id="613" w:name="_Toc25686"/>
      <w:bookmarkStart w:id="614" w:name="_Toc2178670"/>
      <w:bookmarkStart w:id="615" w:name="_Toc233380197"/>
      <w:r>
        <w:rPr>
          <w:color w:val="000000" w:themeColor="text1"/>
          <w:sz w:val="28"/>
          <w:szCs w:val="28"/>
          <w14:textFill>
            <w14:solidFill>
              <w14:schemeClr w14:val="tx1"/>
            </w14:solidFill>
          </w14:textFill>
        </w:rPr>
        <w:t>4.2.4地表水环境质量现状</w:t>
      </w:r>
      <w:bookmarkEnd w:id="596"/>
      <w:bookmarkEnd w:id="597"/>
      <w:bookmarkEnd w:id="598"/>
      <w:bookmarkEnd w:id="599"/>
      <w:bookmarkEnd w:id="600"/>
      <w:bookmarkEnd w:id="601"/>
      <w:r>
        <w:rPr>
          <w:color w:val="000000" w:themeColor="text1"/>
          <w:sz w:val="28"/>
          <w:szCs w:val="28"/>
          <w14:textFill>
            <w14:solidFill>
              <w14:schemeClr w14:val="tx1"/>
            </w14:solidFill>
          </w14:textFill>
        </w:rPr>
        <w:t>调查与评价</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bookmarkEnd w:id="517"/>
    <w:bookmarkEnd w:id="518"/>
    <w:bookmarkEnd w:id="519"/>
    <w:bookmarkEnd w:id="520"/>
    <w:p w14:paraId="6870629E">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根据《环境影响评价技术导则 地表水环境》（HJ2.3-2018）章节6环境现状调查与评价中规定</w:t>
      </w:r>
      <w:r>
        <w:rPr>
          <w:i/>
          <w:color w:val="000000" w:themeColor="text1"/>
          <w:sz w:val="24"/>
          <w14:textFill>
            <w14:solidFill>
              <w14:schemeClr w14:val="tx1"/>
            </w14:solidFill>
          </w14:textFill>
        </w:rPr>
        <w:t>“6.6.3.2应优先采用国务院生态环境保护主管部门统一发布的水环境状况信息；6.6.3.3当现有资料不满足要求时，应按照不同等级对应的评价时段要求开展现状监测”</w:t>
      </w:r>
      <w:r>
        <w:rPr>
          <w:color w:val="000000" w:themeColor="text1"/>
          <w:sz w:val="24"/>
          <w14:textFill>
            <w14:solidFill>
              <w14:schemeClr w14:val="tx1"/>
            </w14:solidFill>
          </w14:textFill>
        </w:rPr>
        <w:t>。</w:t>
      </w:r>
    </w:p>
    <w:p w14:paraId="3A84302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废水不外排，项目肉牛养殖场建设地点位于董家河、长滩河、堤河、寨坝河、驷马河附近，其中董家河、堤河、寨坝河均为驷马河的支流，长滩河、驷马河为巴河的支流，因此项目养殖场建设地点附近地表水评价参考巴河的水质监测断面。</w:t>
      </w:r>
    </w:p>
    <w:p w14:paraId="7C37F918">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2024年巴中市生态环境状况公报》，2024年，巴河总体水质为优，10个国省控断面和2个入境断面均达到或优于Ⅲ类水质。6个国控断面I-Ⅱ类水质占比100%，4个省控断面I-Ⅱ类水质占比75%，仅徐家河断面水质为Ⅲ类。</w:t>
      </w:r>
    </w:p>
    <w:p w14:paraId="0A5BFF04">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巴河控制断面为手傍岩、江陵及金碑，2024年水质类别为Ⅱ类，达标率100%，与2023年相比，无明显变化；驷马河控制断面为徐家河，2024年水质类别为III类，达标率100%，与2023年相比，无明显变化。</w:t>
      </w:r>
    </w:p>
    <w:p w14:paraId="0652E225">
      <w:pPr>
        <w:widowControl w:val="0"/>
        <w:numPr>
          <w:ilvl w:val="0"/>
          <w:numId w:val="29"/>
        </w:numPr>
        <w:adjustRightInd w:val="0"/>
        <w:snapToGrid w:val="0"/>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t>本项目涉及控制断面地表水水质状况</w:t>
      </w:r>
    </w:p>
    <w:tbl>
      <w:tblPr>
        <w:tblStyle w:val="89"/>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941"/>
        <w:gridCol w:w="962"/>
        <w:gridCol w:w="828"/>
        <w:gridCol w:w="688"/>
        <w:gridCol w:w="1264"/>
        <w:gridCol w:w="836"/>
        <w:gridCol w:w="865"/>
        <w:gridCol w:w="948"/>
      </w:tblGrid>
      <w:tr w14:paraId="0499B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dxa"/>
            <w:vMerge w:val="restart"/>
            <w:vAlign w:val="center"/>
          </w:tcPr>
          <w:p w14:paraId="34BA66EE">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河流名称</w:t>
            </w:r>
          </w:p>
        </w:tc>
        <w:tc>
          <w:tcPr>
            <w:tcW w:w="941" w:type="dxa"/>
            <w:vMerge w:val="restart"/>
            <w:vAlign w:val="center"/>
          </w:tcPr>
          <w:p w14:paraId="6E0B88DB">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断面名称</w:t>
            </w:r>
          </w:p>
        </w:tc>
        <w:tc>
          <w:tcPr>
            <w:tcW w:w="962" w:type="dxa"/>
            <w:vMerge w:val="restart"/>
            <w:vAlign w:val="center"/>
          </w:tcPr>
          <w:p w14:paraId="4B8E35F0">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水质目标</w:t>
            </w:r>
          </w:p>
        </w:tc>
        <w:tc>
          <w:tcPr>
            <w:tcW w:w="2780" w:type="dxa"/>
            <w:gridSpan w:val="3"/>
            <w:vAlign w:val="center"/>
          </w:tcPr>
          <w:p w14:paraId="29B8261C">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水质类别</w:t>
            </w:r>
          </w:p>
        </w:tc>
        <w:tc>
          <w:tcPr>
            <w:tcW w:w="2649" w:type="dxa"/>
            <w:gridSpan w:val="3"/>
            <w:vAlign w:val="center"/>
          </w:tcPr>
          <w:p w14:paraId="189AC58F">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频次达标率</w:t>
            </w:r>
          </w:p>
        </w:tc>
      </w:tr>
      <w:tr w14:paraId="669EAA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dxa"/>
            <w:vMerge w:val="continue"/>
            <w:vAlign w:val="center"/>
          </w:tcPr>
          <w:p w14:paraId="18840415">
            <w:pPr>
              <w:pStyle w:val="257"/>
              <w:rPr>
                <w:b/>
                <w:bCs/>
                <w:color w:val="000000" w:themeColor="text1"/>
                <w14:textFill>
                  <w14:solidFill>
                    <w14:schemeClr w14:val="tx1"/>
                  </w14:solidFill>
                </w14:textFill>
              </w:rPr>
            </w:pPr>
          </w:p>
        </w:tc>
        <w:tc>
          <w:tcPr>
            <w:tcW w:w="941" w:type="dxa"/>
            <w:vMerge w:val="continue"/>
            <w:vAlign w:val="center"/>
          </w:tcPr>
          <w:p w14:paraId="1B9D4E4E">
            <w:pPr>
              <w:pStyle w:val="257"/>
              <w:rPr>
                <w:b/>
                <w:bCs/>
                <w:color w:val="000000" w:themeColor="text1"/>
                <w14:textFill>
                  <w14:solidFill>
                    <w14:schemeClr w14:val="tx1"/>
                  </w14:solidFill>
                </w14:textFill>
              </w:rPr>
            </w:pPr>
          </w:p>
        </w:tc>
        <w:tc>
          <w:tcPr>
            <w:tcW w:w="962" w:type="dxa"/>
            <w:vMerge w:val="continue"/>
            <w:vAlign w:val="center"/>
          </w:tcPr>
          <w:p w14:paraId="7CD1D468">
            <w:pPr>
              <w:pStyle w:val="257"/>
              <w:rPr>
                <w:b/>
                <w:bCs/>
                <w:color w:val="000000" w:themeColor="text1"/>
                <w14:textFill>
                  <w14:solidFill>
                    <w14:schemeClr w14:val="tx1"/>
                  </w14:solidFill>
                </w14:textFill>
              </w:rPr>
            </w:pPr>
          </w:p>
        </w:tc>
        <w:tc>
          <w:tcPr>
            <w:tcW w:w="828" w:type="dxa"/>
            <w:vAlign w:val="center"/>
          </w:tcPr>
          <w:p w14:paraId="18CEA454">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2023年</w:t>
            </w:r>
          </w:p>
        </w:tc>
        <w:tc>
          <w:tcPr>
            <w:tcW w:w="688" w:type="dxa"/>
            <w:vAlign w:val="center"/>
          </w:tcPr>
          <w:p w14:paraId="4A82D872">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2024年</w:t>
            </w:r>
          </w:p>
        </w:tc>
        <w:tc>
          <w:tcPr>
            <w:tcW w:w="1264" w:type="dxa"/>
            <w:vAlign w:val="center"/>
          </w:tcPr>
          <w:p w14:paraId="18B67485">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同比变化</w:t>
            </w:r>
          </w:p>
        </w:tc>
        <w:tc>
          <w:tcPr>
            <w:tcW w:w="836" w:type="dxa"/>
            <w:vAlign w:val="center"/>
          </w:tcPr>
          <w:p w14:paraId="2AA0C365">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2023年</w:t>
            </w:r>
          </w:p>
        </w:tc>
        <w:tc>
          <w:tcPr>
            <w:tcW w:w="865" w:type="dxa"/>
            <w:vAlign w:val="center"/>
          </w:tcPr>
          <w:p w14:paraId="7474D28E">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2024年</w:t>
            </w:r>
          </w:p>
        </w:tc>
        <w:tc>
          <w:tcPr>
            <w:tcW w:w="948" w:type="dxa"/>
            <w:vAlign w:val="center"/>
          </w:tcPr>
          <w:p w14:paraId="40BE7BC2">
            <w:pPr>
              <w:pStyle w:val="257"/>
              <w:rPr>
                <w:b/>
                <w:bCs/>
                <w:color w:val="000000" w:themeColor="text1"/>
                <w14:textFill>
                  <w14:solidFill>
                    <w14:schemeClr w14:val="tx1"/>
                  </w14:solidFill>
                </w14:textFill>
              </w:rPr>
            </w:pPr>
            <w:r>
              <w:rPr>
                <w:b/>
                <w:bCs/>
                <w:color w:val="000000" w:themeColor="text1"/>
                <w14:textFill>
                  <w14:solidFill>
                    <w14:schemeClr w14:val="tx1"/>
                  </w14:solidFill>
                </w14:textFill>
              </w:rPr>
              <w:t>同比变化</w:t>
            </w:r>
          </w:p>
        </w:tc>
      </w:tr>
      <w:tr w14:paraId="4072BE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dxa"/>
            <w:vMerge w:val="restart"/>
            <w:vAlign w:val="center"/>
          </w:tcPr>
          <w:p w14:paraId="6FF26A7D">
            <w:pPr>
              <w:pStyle w:val="257"/>
              <w:rPr>
                <w:color w:val="000000" w:themeColor="text1"/>
                <w14:textFill>
                  <w14:solidFill>
                    <w14:schemeClr w14:val="tx1"/>
                  </w14:solidFill>
                </w14:textFill>
              </w:rPr>
            </w:pPr>
            <w:r>
              <w:rPr>
                <w:color w:val="000000" w:themeColor="text1"/>
                <w14:textFill>
                  <w14:solidFill>
                    <w14:schemeClr w14:val="tx1"/>
                  </w14:solidFill>
                </w14:textFill>
              </w:rPr>
              <w:t>巴河</w:t>
            </w:r>
          </w:p>
        </w:tc>
        <w:tc>
          <w:tcPr>
            <w:tcW w:w="941" w:type="dxa"/>
            <w:vAlign w:val="center"/>
          </w:tcPr>
          <w:p w14:paraId="41EC32D3">
            <w:pPr>
              <w:pStyle w:val="257"/>
              <w:rPr>
                <w:color w:val="000000" w:themeColor="text1"/>
                <w14:textFill>
                  <w14:solidFill>
                    <w14:schemeClr w14:val="tx1"/>
                  </w14:solidFill>
                </w14:textFill>
              </w:rPr>
            </w:pPr>
            <w:r>
              <w:rPr>
                <w:color w:val="000000" w:themeColor="text1"/>
                <w14:textFill>
                  <w14:solidFill>
                    <w14:schemeClr w14:val="tx1"/>
                  </w14:solidFill>
                </w14:textFill>
              </w:rPr>
              <w:t>手傍岩</w:t>
            </w:r>
          </w:p>
        </w:tc>
        <w:tc>
          <w:tcPr>
            <w:tcW w:w="962" w:type="dxa"/>
            <w:vAlign w:val="center"/>
          </w:tcPr>
          <w:p w14:paraId="1D669468">
            <w:pPr>
              <w:pStyle w:val="257"/>
              <w:rPr>
                <w:color w:val="000000" w:themeColor="text1"/>
                <w14:textFill>
                  <w14:solidFill>
                    <w14:schemeClr w14:val="tx1"/>
                  </w14:solidFill>
                </w14:textFill>
              </w:rPr>
            </w:pPr>
            <w:r>
              <w:rPr>
                <w:color w:val="000000" w:themeColor="text1"/>
                <w14:textFill>
                  <w14:solidFill>
                    <w14:schemeClr w14:val="tx1"/>
                  </w14:solidFill>
                </w14:textFill>
              </w:rPr>
              <w:t>Ⅱ</w:t>
            </w:r>
          </w:p>
        </w:tc>
        <w:tc>
          <w:tcPr>
            <w:tcW w:w="828" w:type="dxa"/>
            <w:vAlign w:val="center"/>
          </w:tcPr>
          <w:p w14:paraId="035825C3">
            <w:pPr>
              <w:pStyle w:val="257"/>
              <w:rPr>
                <w:color w:val="000000" w:themeColor="text1"/>
                <w14:textFill>
                  <w14:solidFill>
                    <w14:schemeClr w14:val="tx1"/>
                  </w14:solidFill>
                </w14:textFill>
              </w:rPr>
            </w:pPr>
            <w:r>
              <w:rPr>
                <w:color w:val="000000" w:themeColor="text1"/>
                <w14:textFill>
                  <w14:solidFill>
                    <w14:schemeClr w14:val="tx1"/>
                  </w14:solidFill>
                </w14:textFill>
              </w:rPr>
              <w:t>Ⅱ</w:t>
            </w:r>
          </w:p>
        </w:tc>
        <w:tc>
          <w:tcPr>
            <w:tcW w:w="688" w:type="dxa"/>
            <w:vAlign w:val="center"/>
          </w:tcPr>
          <w:p w14:paraId="67AD645B">
            <w:pPr>
              <w:pStyle w:val="257"/>
              <w:rPr>
                <w:color w:val="000000" w:themeColor="text1"/>
                <w14:textFill>
                  <w14:solidFill>
                    <w14:schemeClr w14:val="tx1"/>
                  </w14:solidFill>
                </w14:textFill>
              </w:rPr>
            </w:pPr>
            <w:r>
              <w:rPr>
                <w:color w:val="000000" w:themeColor="text1"/>
                <w14:textFill>
                  <w14:solidFill>
                    <w14:schemeClr w14:val="tx1"/>
                  </w14:solidFill>
                </w14:textFill>
              </w:rPr>
              <w:t>Ⅱ</w:t>
            </w:r>
          </w:p>
        </w:tc>
        <w:tc>
          <w:tcPr>
            <w:tcW w:w="1264" w:type="dxa"/>
            <w:vAlign w:val="center"/>
          </w:tcPr>
          <w:p w14:paraId="01EFF1F2">
            <w:pPr>
              <w:pStyle w:val="257"/>
              <w:rPr>
                <w:color w:val="000000" w:themeColor="text1"/>
                <w14:textFill>
                  <w14:solidFill>
                    <w14:schemeClr w14:val="tx1"/>
                  </w14:solidFill>
                </w14:textFill>
              </w:rPr>
            </w:pPr>
            <w:r>
              <w:rPr>
                <w:color w:val="000000" w:themeColor="text1"/>
                <w14:textFill>
                  <w14:solidFill>
                    <w14:schemeClr w14:val="tx1"/>
                  </w14:solidFill>
                </w14:textFill>
              </w:rPr>
              <w:t>无明显变化</w:t>
            </w:r>
          </w:p>
        </w:tc>
        <w:tc>
          <w:tcPr>
            <w:tcW w:w="836" w:type="dxa"/>
            <w:vAlign w:val="center"/>
          </w:tcPr>
          <w:p w14:paraId="6D218031">
            <w:pPr>
              <w:pStyle w:val="257"/>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865" w:type="dxa"/>
            <w:vAlign w:val="center"/>
          </w:tcPr>
          <w:p w14:paraId="393FC93F">
            <w:pPr>
              <w:pStyle w:val="257"/>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948" w:type="dxa"/>
            <w:vAlign w:val="center"/>
          </w:tcPr>
          <w:p w14:paraId="5F184097">
            <w:pPr>
              <w:pStyle w:val="257"/>
              <w:rPr>
                <w:color w:val="000000" w:themeColor="text1"/>
                <w14:textFill>
                  <w14:solidFill>
                    <w14:schemeClr w14:val="tx1"/>
                  </w14:solidFill>
                </w14:textFill>
              </w:rPr>
            </w:pPr>
            <w:r>
              <w:rPr>
                <w:color w:val="000000" w:themeColor="text1"/>
                <w14:textFill>
                  <w14:solidFill>
                    <w14:schemeClr w14:val="tx1"/>
                  </w14:solidFill>
                </w14:textFill>
              </w:rPr>
              <w:t>无明显变化</w:t>
            </w:r>
          </w:p>
        </w:tc>
      </w:tr>
      <w:tr w14:paraId="4B6CDD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dxa"/>
            <w:vMerge w:val="continue"/>
            <w:vAlign w:val="center"/>
          </w:tcPr>
          <w:p w14:paraId="0CFDEA01">
            <w:pPr>
              <w:pStyle w:val="257"/>
              <w:rPr>
                <w:color w:val="000000" w:themeColor="text1"/>
                <w14:textFill>
                  <w14:solidFill>
                    <w14:schemeClr w14:val="tx1"/>
                  </w14:solidFill>
                </w14:textFill>
              </w:rPr>
            </w:pPr>
          </w:p>
        </w:tc>
        <w:tc>
          <w:tcPr>
            <w:tcW w:w="941" w:type="dxa"/>
            <w:vAlign w:val="center"/>
          </w:tcPr>
          <w:p w14:paraId="0406D147">
            <w:pPr>
              <w:pStyle w:val="257"/>
              <w:rPr>
                <w:color w:val="000000" w:themeColor="text1"/>
                <w14:textFill>
                  <w14:solidFill>
                    <w14:schemeClr w14:val="tx1"/>
                  </w14:solidFill>
                </w14:textFill>
              </w:rPr>
            </w:pPr>
            <w:r>
              <w:rPr>
                <w:color w:val="000000" w:themeColor="text1"/>
                <w14:textFill>
                  <w14:solidFill>
                    <w14:schemeClr w14:val="tx1"/>
                  </w14:solidFill>
                </w14:textFill>
              </w:rPr>
              <w:t>江陵</w:t>
            </w:r>
          </w:p>
        </w:tc>
        <w:tc>
          <w:tcPr>
            <w:tcW w:w="962" w:type="dxa"/>
            <w:vAlign w:val="center"/>
          </w:tcPr>
          <w:p w14:paraId="14974B04">
            <w:pPr>
              <w:pStyle w:val="257"/>
              <w:rPr>
                <w:color w:val="000000" w:themeColor="text1"/>
                <w14:textFill>
                  <w14:solidFill>
                    <w14:schemeClr w14:val="tx1"/>
                  </w14:solidFill>
                </w14:textFill>
              </w:rPr>
            </w:pPr>
            <w:r>
              <w:rPr>
                <w:color w:val="000000" w:themeColor="text1"/>
                <w14:textFill>
                  <w14:solidFill>
                    <w14:schemeClr w14:val="tx1"/>
                  </w14:solidFill>
                </w14:textFill>
              </w:rPr>
              <w:t>Ⅱ</w:t>
            </w:r>
          </w:p>
        </w:tc>
        <w:tc>
          <w:tcPr>
            <w:tcW w:w="828" w:type="dxa"/>
            <w:vAlign w:val="center"/>
          </w:tcPr>
          <w:p w14:paraId="0B25911A">
            <w:pPr>
              <w:pStyle w:val="257"/>
              <w:rPr>
                <w:color w:val="000000" w:themeColor="text1"/>
                <w14:textFill>
                  <w14:solidFill>
                    <w14:schemeClr w14:val="tx1"/>
                  </w14:solidFill>
                </w14:textFill>
              </w:rPr>
            </w:pPr>
            <w:r>
              <w:rPr>
                <w:color w:val="000000" w:themeColor="text1"/>
                <w14:textFill>
                  <w14:solidFill>
                    <w14:schemeClr w14:val="tx1"/>
                  </w14:solidFill>
                </w14:textFill>
              </w:rPr>
              <w:t>Ⅱ</w:t>
            </w:r>
          </w:p>
        </w:tc>
        <w:tc>
          <w:tcPr>
            <w:tcW w:w="688" w:type="dxa"/>
            <w:vAlign w:val="center"/>
          </w:tcPr>
          <w:p w14:paraId="3B3C5236">
            <w:pPr>
              <w:pStyle w:val="257"/>
              <w:rPr>
                <w:color w:val="000000" w:themeColor="text1"/>
                <w14:textFill>
                  <w14:solidFill>
                    <w14:schemeClr w14:val="tx1"/>
                  </w14:solidFill>
                </w14:textFill>
              </w:rPr>
            </w:pPr>
            <w:r>
              <w:rPr>
                <w:color w:val="000000" w:themeColor="text1"/>
                <w14:textFill>
                  <w14:solidFill>
                    <w14:schemeClr w14:val="tx1"/>
                  </w14:solidFill>
                </w14:textFill>
              </w:rPr>
              <w:t>Ⅱ</w:t>
            </w:r>
          </w:p>
        </w:tc>
        <w:tc>
          <w:tcPr>
            <w:tcW w:w="1264" w:type="dxa"/>
            <w:vAlign w:val="center"/>
          </w:tcPr>
          <w:p w14:paraId="142AAB33">
            <w:pPr>
              <w:pStyle w:val="257"/>
              <w:rPr>
                <w:color w:val="000000" w:themeColor="text1"/>
                <w14:textFill>
                  <w14:solidFill>
                    <w14:schemeClr w14:val="tx1"/>
                  </w14:solidFill>
                </w14:textFill>
              </w:rPr>
            </w:pPr>
            <w:r>
              <w:rPr>
                <w:color w:val="000000" w:themeColor="text1"/>
                <w14:textFill>
                  <w14:solidFill>
                    <w14:schemeClr w14:val="tx1"/>
                  </w14:solidFill>
                </w14:textFill>
              </w:rPr>
              <w:t>无明显变化</w:t>
            </w:r>
          </w:p>
        </w:tc>
        <w:tc>
          <w:tcPr>
            <w:tcW w:w="836" w:type="dxa"/>
            <w:vAlign w:val="center"/>
          </w:tcPr>
          <w:p w14:paraId="43F6853D">
            <w:pPr>
              <w:pStyle w:val="257"/>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865" w:type="dxa"/>
            <w:vAlign w:val="center"/>
          </w:tcPr>
          <w:p w14:paraId="63625A76">
            <w:pPr>
              <w:pStyle w:val="257"/>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948" w:type="dxa"/>
            <w:vAlign w:val="center"/>
          </w:tcPr>
          <w:p w14:paraId="4F3550E2">
            <w:pPr>
              <w:pStyle w:val="257"/>
              <w:rPr>
                <w:color w:val="000000" w:themeColor="text1"/>
                <w14:textFill>
                  <w14:solidFill>
                    <w14:schemeClr w14:val="tx1"/>
                  </w14:solidFill>
                </w14:textFill>
              </w:rPr>
            </w:pPr>
            <w:r>
              <w:rPr>
                <w:color w:val="000000" w:themeColor="text1"/>
                <w14:textFill>
                  <w14:solidFill>
                    <w14:schemeClr w14:val="tx1"/>
                  </w14:solidFill>
                </w14:textFill>
              </w:rPr>
              <w:t>无明显变化</w:t>
            </w:r>
          </w:p>
        </w:tc>
      </w:tr>
      <w:tr w14:paraId="61E67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dxa"/>
            <w:vMerge w:val="continue"/>
            <w:vAlign w:val="center"/>
          </w:tcPr>
          <w:p w14:paraId="2A6CB5A0">
            <w:pPr>
              <w:pStyle w:val="257"/>
              <w:rPr>
                <w:color w:val="000000" w:themeColor="text1"/>
                <w14:textFill>
                  <w14:solidFill>
                    <w14:schemeClr w14:val="tx1"/>
                  </w14:solidFill>
                </w14:textFill>
              </w:rPr>
            </w:pPr>
          </w:p>
        </w:tc>
        <w:tc>
          <w:tcPr>
            <w:tcW w:w="941" w:type="dxa"/>
            <w:vAlign w:val="center"/>
          </w:tcPr>
          <w:p w14:paraId="27808528">
            <w:pPr>
              <w:pStyle w:val="257"/>
              <w:rPr>
                <w:color w:val="000000" w:themeColor="text1"/>
                <w14:textFill>
                  <w14:solidFill>
                    <w14:schemeClr w14:val="tx1"/>
                  </w14:solidFill>
                </w14:textFill>
              </w:rPr>
            </w:pPr>
            <w:r>
              <w:rPr>
                <w:color w:val="000000" w:themeColor="text1"/>
                <w14:textFill>
                  <w14:solidFill>
                    <w14:schemeClr w14:val="tx1"/>
                  </w14:solidFill>
                </w14:textFill>
              </w:rPr>
              <w:t>金碑</w:t>
            </w:r>
          </w:p>
        </w:tc>
        <w:tc>
          <w:tcPr>
            <w:tcW w:w="962" w:type="dxa"/>
            <w:vAlign w:val="center"/>
          </w:tcPr>
          <w:p w14:paraId="088114B2">
            <w:pPr>
              <w:pStyle w:val="257"/>
              <w:rPr>
                <w:color w:val="000000" w:themeColor="text1"/>
                <w14:textFill>
                  <w14:solidFill>
                    <w14:schemeClr w14:val="tx1"/>
                  </w14:solidFill>
                </w14:textFill>
              </w:rPr>
            </w:pPr>
            <w:r>
              <w:rPr>
                <w:color w:val="000000" w:themeColor="text1"/>
                <w14:textFill>
                  <w14:solidFill>
                    <w14:schemeClr w14:val="tx1"/>
                  </w14:solidFill>
                </w14:textFill>
              </w:rPr>
              <w:t>Ⅱ</w:t>
            </w:r>
          </w:p>
        </w:tc>
        <w:tc>
          <w:tcPr>
            <w:tcW w:w="828" w:type="dxa"/>
            <w:vAlign w:val="center"/>
          </w:tcPr>
          <w:p w14:paraId="5B0396E0">
            <w:pPr>
              <w:pStyle w:val="257"/>
              <w:rPr>
                <w:color w:val="000000" w:themeColor="text1"/>
                <w14:textFill>
                  <w14:solidFill>
                    <w14:schemeClr w14:val="tx1"/>
                  </w14:solidFill>
                </w14:textFill>
              </w:rPr>
            </w:pPr>
            <w:r>
              <w:rPr>
                <w:color w:val="000000" w:themeColor="text1"/>
                <w14:textFill>
                  <w14:solidFill>
                    <w14:schemeClr w14:val="tx1"/>
                  </w14:solidFill>
                </w14:textFill>
              </w:rPr>
              <w:t>Ⅱ</w:t>
            </w:r>
          </w:p>
        </w:tc>
        <w:tc>
          <w:tcPr>
            <w:tcW w:w="688" w:type="dxa"/>
            <w:vAlign w:val="center"/>
          </w:tcPr>
          <w:p w14:paraId="33C001A4">
            <w:pPr>
              <w:pStyle w:val="257"/>
              <w:rPr>
                <w:color w:val="000000" w:themeColor="text1"/>
                <w14:textFill>
                  <w14:solidFill>
                    <w14:schemeClr w14:val="tx1"/>
                  </w14:solidFill>
                </w14:textFill>
              </w:rPr>
            </w:pPr>
            <w:r>
              <w:rPr>
                <w:color w:val="000000" w:themeColor="text1"/>
                <w14:textFill>
                  <w14:solidFill>
                    <w14:schemeClr w14:val="tx1"/>
                  </w14:solidFill>
                </w14:textFill>
              </w:rPr>
              <w:t>Ⅱ</w:t>
            </w:r>
          </w:p>
        </w:tc>
        <w:tc>
          <w:tcPr>
            <w:tcW w:w="1264" w:type="dxa"/>
            <w:vAlign w:val="center"/>
          </w:tcPr>
          <w:p w14:paraId="680BCA7D">
            <w:pPr>
              <w:pStyle w:val="257"/>
              <w:rPr>
                <w:color w:val="000000" w:themeColor="text1"/>
                <w14:textFill>
                  <w14:solidFill>
                    <w14:schemeClr w14:val="tx1"/>
                  </w14:solidFill>
                </w14:textFill>
              </w:rPr>
            </w:pPr>
            <w:r>
              <w:rPr>
                <w:color w:val="000000" w:themeColor="text1"/>
                <w14:textFill>
                  <w14:solidFill>
                    <w14:schemeClr w14:val="tx1"/>
                  </w14:solidFill>
                </w14:textFill>
              </w:rPr>
              <w:t>无明显变化</w:t>
            </w:r>
          </w:p>
        </w:tc>
        <w:tc>
          <w:tcPr>
            <w:tcW w:w="836" w:type="dxa"/>
            <w:vAlign w:val="center"/>
          </w:tcPr>
          <w:p w14:paraId="27641C6A">
            <w:pPr>
              <w:pStyle w:val="257"/>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865" w:type="dxa"/>
            <w:vAlign w:val="center"/>
          </w:tcPr>
          <w:p w14:paraId="46A2E3C7">
            <w:pPr>
              <w:pStyle w:val="257"/>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948" w:type="dxa"/>
            <w:vAlign w:val="center"/>
          </w:tcPr>
          <w:p w14:paraId="720917E4">
            <w:pPr>
              <w:pStyle w:val="257"/>
              <w:rPr>
                <w:color w:val="000000" w:themeColor="text1"/>
                <w14:textFill>
                  <w14:solidFill>
                    <w14:schemeClr w14:val="tx1"/>
                  </w14:solidFill>
                </w14:textFill>
              </w:rPr>
            </w:pPr>
            <w:r>
              <w:rPr>
                <w:color w:val="000000" w:themeColor="text1"/>
                <w14:textFill>
                  <w14:solidFill>
                    <w14:schemeClr w14:val="tx1"/>
                  </w14:solidFill>
                </w14:textFill>
              </w:rPr>
              <w:t>无明显变化</w:t>
            </w:r>
          </w:p>
        </w:tc>
      </w:tr>
      <w:tr w14:paraId="2C9FC8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71" w:type="dxa"/>
            <w:vAlign w:val="center"/>
          </w:tcPr>
          <w:p w14:paraId="610D30F8">
            <w:pPr>
              <w:pStyle w:val="257"/>
              <w:rPr>
                <w:color w:val="000000" w:themeColor="text1"/>
                <w14:textFill>
                  <w14:solidFill>
                    <w14:schemeClr w14:val="tx1"/>
                  </w14:solidFill>
                </w14:textFill>
              </w:rPr>
            </w:pPr>
            <w:r>
              <w:rPr>
                <w:color w:val="000000" w:themeColor="text1"/>
                <w14:textFill>
                  <w14:solidFill>
                    <w14:schemeClr w14:val="tx1"/>
                  </w14:solidFill>
                </w14:textFill>
              </w:rPr>
              <w:t>驷马河</w:t>
            </w:r>
          </w:p>
        </w:tc>
        <w:tc>
          <w:tcPr>
            <w:tcW w:w="941" w:type="dxa"/>
            <w:vAlign w:val="center"/>
          </w:tcPr>
          <w:p w14:paraId="521C7CD9">
            <w:pPr>
              <w:pStyle w:val="257"/>
              <w:rPr>
                <w:color w:val="000000" w:themeColor="text1"/>
                <w14:textFill>
                  <w14:solidFill>
                    <w14:schemeClr w14:val="tx1"/>
                  </w14:solidFill>
                </w14:textFill>
              </w:rPr>
            </w:pPr>
            <w:r>
              <w:rPr>
                <w:color w:val="000000" w:themeColor="text1"/>
                <w14:textFill>
                  <w14:solidFill>
                    <w14:schemeClr w14:val="tx1"/>
                  </w14:solidFill>
                </w14:textFill>
              </w:rPr>
              <w:t>徐家河</w:t>
            </w:r>
          </w:p>
        </w:tc>
        <w:tc>
          <w:tcPr>
            <w:tcW w:w="962" w:type="dxa"/>
            <w:vAlign w:val="center"/>
          </w:tcPr>
          <w:p w14:paraId="29EE7A1C">
            <w:pPr>
              <w:pStyle w:val="257"/>
              <w:rPr>
                <w:color w:val="000000" w:themeColor="text1"/>
                <w14:textFill>
                  <w14:solidFill>
                    <w14:schemeClr w14:val="tx1"/>
                  </w14:solidFill>
                </w14:textFill>
              </w:rPr>
            </w:pPr>
            <w:r>
              <w:rPr>
                <w:color w:val="000000" w:themeColor="text1"/>
                <w14:textFill>
                  <w14:solidFill>
                    <w14:schemeClr w14:val="tx1"/>
                  </w14:solidFill>
                </w14:textFill>
              </w:rPr>
              <w:t>III</w:t>
            </w:r>
          </w:p>
        </w:tc>
        <w:tc>
          <w:tcPr>
            <w:tcW w:w="828" w:type="dxa"/>
            <w:vAlign w:val="center"/>
          </w:tcPr>
          <w:p w14:paraId="3CCF3F84">
            <w:pPr>
              <w:pStyle w:val="257"/>
              <w:rPr>
                <w:color w:val="000000" w:themeColor="text1"/>
                <w14:textFill>
                  <w14:solidFill>
                    <w14:schemeClr w14:val="tx1"/>
                  </w14:solidFill>
                </w14:textFill>
              </w:rPr>
            </w:pPr>
            <w:r>
              <w:rPr>
                <w:color w:val="000000" w:themeColor="text1"/>
                <w14:textFill>
                  <w14:solidFill>
                    <w14:schemeClr w14:val="tx1"/>
                  </w14:solidFill>
                </w14:textFill>
              </w:rPr>
              <w:t>III</w:t>
            </w:r>
          </w:p>
        </w:tc>
        <w:tc>
          <w:tcPr>
            <w:tcW w:w="688" w:type="dxa"/>
            <w:vAlign w:val="center"/>
          </w:tcPr>
          <w:p w14:paraId="75C47F65">
            <w:pPr>
              <w:pStyle w:val="257"/>
              <w:rPr>
                <w:color w:val="000000" w:themeColor="text1"/>
                <w14:textFill>
                  <w14:solidFill>
                    <w14:schemeClr w14:val="tx1"/>
                  </w14:solidFill>
                </w14:textFill>
              </w:rPr>
            </w:pPr>
            <w:r>
              <w:rPr>
                <w:color w:val="000000" w:themeColor="text1"/>
                <w14:textFill>
                  <w14:solidFill>
                    <w14:schemeClr w14:val="tx1"/>
                  </w14:solidFill>
                </w14:textFill>
              </w:rPr>
              <w:t>III</w:t>
            </w:r>
          </w:p>
        </w:tc>
        <w:tc>
          <w:tcPr>
            <w:tcW w:w="1264" w:type="dxa"/>
            <w:vAlign w:val="center"/>
          </w:tcPr>
          <w:p w14:paraId="0E583ABC">
            <w:pPr>
              <w:pStyle w:val="257"/>
              <w:rPr>
                <w:color w:val="000000" w:themeColor="text1"/>
                <w14:textFill>
                  <w14:solidFill>
                    <w14:schemeClr w14:val="tx1"/>
                  </w14:solidFill>
                </w14:textFill>
              </w:rPr>
            </w:pPr>
            <w:r>
              <w:rPr>
                <w:color w:val="000000" w:themeColor="text1"/>
                <w14:textFill>
                  <w14:solidFill>
                    <w14:schemeClr w14:val="tx1"/>
                  </w14:solidFill>
                </w14:textFill>
              </w:rPr>
              <w:t>无明显变化</w:t>
            </w:r>
          </w:p>
        </w:tc>
        <w:tc>
          <w:tcPr>
            <w:tcW w:w="836" w:type="dxa"/>
            <w:vAlign w:val="center"/>
          </w:tcPr>
          <w:p w14:paraId="69D1E748">
            <w:pPr>
              <w:pStyle w:val="257"/>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865" w:type="dxa"/>
            <w:vAlign w:val="center"/>
          </w:tcPr>
          <w:p w14:paraId="34A29CB5">
            <w:pPr>
              <w:pStyle w:val="257"/>
              <w:rPr>
                <w:color w:val="000000" w:themeColor="text1"/>
                <w14:textFill>
                  <w14:solidFill>
                    <w14:schemeClr w14:val="tx1"/>
                  </w14:solidFill>
                </w14:textFill>
              </w:rPr>
            </w:pPr>
            <w:r>
              <w:rPr>
                <w:color w:val="000000" w:themeColor="text1"/>
                <w14:textFill>
                  <w14:solidFill>
                    <w14:schemeClr w14:val="tx1"/>
                  </w14:solidFill>
                </w14:textFill>
              </w:rPr>
              <w:t>100%</w:t>
            </w:r>
          </w:p>
        </w:tc>
        <w:tc>
          <w:tcPr>
            <w:tcW w:w="948" w:type="dxa"/>
            <w:vAlign w:val="center"/>
          </w:tcPr>
          <w:p w14:paraId="5D62A6A4">
            <w:pPr>
              <w:pStyle w:val="257"/>
              <w:rPr>
                <w:color w:val="000000" w:themeColor="text1"/>
                <w14:textFill>
                  <w14:solidFill>
                    <w14:schemeClr w14:val="tx1"/>
                  </w14:solidFill>
                </w14:textFill>
              </w:rPr>
            </w:pPr>
            <w:r>
              <w:rPr>
                <w:color w:val="000000" w:themeColor="text1"/>
                <w14:textFill>
                  <w14:solidFill>
                    <w14:schemeClr w14:val="tx1"/>
                  </w14:solidFill>
                </w14:textFill>
              </w:rPr>
              <w:t>无明显变化</w:t>
            </w:r>
          </w:p>
        </w:tc>
      </w:tr>
    </w:tbl>
    <w:p w14:paraId="08CB93B1">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由上表可知，巴河监测断面在2024年监测期间，水质类别均能达到《地表水环境质量标准》（GB3838-2002）II类标准限值要求，驷马河监测断面在2024年监测期间，水质类别均能达到《地表水环境质量标准》（GB3838-2002）III类标准限值要求，项目所在地表水环境水质良好，评价区域为达标区。</w:t>
      </w:r>
    </w:p>
    <w:p w14:paraId="0C6FAD3C">
      <w:pPr>
        <w:spacing w:line="360" w:lineRule="auto"/>
        <w:ind w:firstLine="480" w:firstLineChars="200"/>
        <w:jc w:val="both"/>
        <w:rPr>
          <w:color w:val="000000" w:themeColor="text1"/>
          <w:sz w:val="24"/>
          <w14:textFill>
            <w14:solidFill>
              <w14:schemeClr w14:val="tx1"/>
            </w14:solidFill>
          </w14:textFill>
        </w:rPr>
        <w:sectPr>
          <w:headerReference r:id="rId15" w:type="default"/>
          <w:footerReference r:id="rId16" w:type="default"/>
          <w:pgSz w:w="11907" w:h="16840"/>
          <w:pgMar w:top="1440" w:right="1797" w:bottom="1440" w:left="1797" w:header="851" w:footer="992" w:gutter="0"/>
          <w:pgNumType w:chapStyle="1"/>
          <w:cols w:space="720" w:num="1"/>
          <w:docGrid w:linePitch="312" w:charSpace="0"/>
        </w:sectPr>
      </w:pPr>
    </w:p>
    <w:p w14:paraId="586CF65E">
      <w:pPr>
        <w:pStyle w:val="752"/>
        <w:rPr>
          <w:rFonts w:cs="Times New Roman"/>
          <w:color w:val="000000" w:themeColor="text1"/>
          <w14:textFill>
            <w14:solidFill>
              <w14:schemeClr w14:val="tx1"/>
            </w14:solidFill>
          </w14:textFill>
        </w:rPr>
      </w:pPr>
      <w:bookmarkStart w:id="616" w:name="_Toc19443"/>
      <w:bookmarkStart w:id="617" w:name="_Toc233380198"/>
      <w:r>
        <w:rPr>
          <w:rFonts w:cs="Times New Roman"/>
          <w:color w:val="000000" w:themeColor="text1"/>
          <w14:textFill>
            <w14:solidFill>
              <w14:schemeClr w14:val="tx1"/>
            </w14:solidFill>
          </w14:textFill>
        </w:rPr>
        <w:t>4.2.5地下水环境质量现状调查与评价</w:t>
      </w:r>
      <w:bookmarkEnd w:id="616"/>
      <w:bookmarkEnd w:id="617"/>
    </w:p>
    <w:p w14:paraId="4A232B09">
      <w:pPr>
        <w:adjustRightInd w:val="0"/>
        <w:snapToGrid w:val="0"/>
        <w:spacing w:line="360" w:lineRule="auto"/>
        <w:jc w:val="both"/>
        <w:textAlignment w:val="baseline"/>
        <w:rPr>
          <w:rFonts w:ascii="黑体" w:hAnsi="黑体" w:eastAsia="黑体"/>
          <w:color w:val="000000" w:themeColor="text1"/>
          <w:sz w:val="24"/>
          <w14:textFill>
            <w14:solidFill>
              <w14:schemeClr w14:val="tx1"/>
            </w14:solidFill>
          </w14:textFill>
        </w:rPr>
      </w:pPr>
      <w:bookmarkStart w:id="618" w:name="_Toc8592"/>
      <w:bookmarkStart w:id="619" w:name="_Toc3393"/>
      <w:r>
        <w:rPr>
          <w:rFonts w:ascii="黑体" w:hAnsi="黑体" w:eastAsia="黑体"/>
          <w:color w:val="000000" w:themeColor="text1"/>
          <w:sz w:val="24"/>
          <w14:textFill>
            <w14:solidFill>
              <w14:schemeClr w14:val="tx1"/>
            </w14:solidFill>
          </w14:textFill>
        </w:rPr>
        <w:t>1</w:t>
      </w:r>
      <w:r>
        <w:rPr>
          <w:rFonts w:hint="eastAsia" w:ascii="黑体" w:hAnsi="黑体" w:eastAsia="黑体"/>
          <w:color w:val="000000" w:themeColor="text1"/>
          <w:sz w:val="24"/>
          <w14:textFill>
            <w14:solidFill>
              <w14:schemeClr w14:val="tx1"/>
            </w14:solidFill>
          </w14:textFill>
        </w:rPr>
        <w:t>、采样点的布设及监测因子</w:t>
      </w:r>
    </w:p>
    <w:p w14:paraId="4236E24B">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）监测点布设</w:t>
      </w:r>
    </w:p>
    <w:p w14:paraId="4E9431E9">
      <w:pPr>
        <w:adjustRightInd w:val="0"/>
        <w:snapToGrid w:val="0"/>
        <w:spacing w:line="360" w:lineRule="auto"/>
        <w:ind w:firstLine="480" w:firstLineChars="200"/>
        <w:jc w:val="both"/>
        <w:textAlignment w:val="baseline"/>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为查明评价区地下水水质环境现状，本项目委托四川锡水金山环保科技有限公司对本项目区域地下水进行了监测分析，共设置</w:t>
      </w:r>
      <w:r>
        <w:rPr>
          <w:color w:val="000000" w:themeColor="text1"/>
          <w:sz w:val="24"/>
          <w14:textFill>
            <w14:solidFill>
              <w14:schemeClr w14:val="tx1"/>
            </w14:solidFill>
          </w14:textFill>
        </w:rPr>
        <w:t>12</w:t>
      </w:r>
      <w:r>
        <w:rPr>
          <w:rFonts w:hint="eastAsia"/>
          <w:color w:val="000000" w:themeColor="text1"/>
          <w:sz w:val="24"/>
          <w14:textFill>
            <w14:solidFill>
              <w14:schemeClr w14:val="tx1"/>
            </w14:solidFill>
          </w14:textFill>
        </w:rPr>
        <w:t>个地下水水质监测点。</w:t>
      </w:r>
    </w:p>
    <w:p w14:paraId="1B9ACEEE">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rFonts w:hint="eastAsia"/>
          <w:color w:val="000000" w:themeColor="text1"/>
          <w:sz w:val="24"/>
          <w14:textFill>
            <w14:solidFill>
              <w14:schemeClr w14:val="tx1"/>
            </w14:solidFill>
          </w14:textFill>
        </w:rPr>
        <w:t>监测因子</w:t>
      </w:r>
    </w:p>
    <w:p w14:paraId="1D013058">
      <w:pPr>
        <w:autoSpaceDE w:val="0"/>
        <w:autoSpaceDN w:val="0"/>
        <w:adjustRightInd w:val="0"/>
        <w:spacing w:line="360" w:lineRule="auto"/>
        <w:ind w:firstLine="480" w:firstLineChars="200"/>
        <w:rPr>
          <w:color w:val="000000" w:themeColor="text1"/>
          <w:sz w:val="24"/>
          <w14:textFill>
            <w14:solidFill>
              <w14:schemeClr w14:val="tx1"/>
            </w14:solidFill>
          </w14:textFill>
        </w:rPr>
      </w:pPr>
      <w:bookmarkStart w:id="620" w:name="_Toc10076_WPSOffice_Level3"/>
      <w:bookmarkStart w:id="621" w:name="_Toc19150_WPSOffice_Level3"/>
      <w:bookmarkStart w:id="622" w:name="_Toc1091_WPSOffice_Level3"/>
      <w:bookmarkStart w:id="623" w:name="_Toc25890"/>
      <w:bookmarkStart w:id="624" w:name="_Toc7597_WPSOffice_Level3"/>
      <w:bookmarkStart w:id="625" w:name="_Toc22292_WPSOffice_Level3"/>
      <w:r>
        <w:rPr>
          <w:color w:val="000000" w:themeColor="text1"/>
          <w:kern w:val="0"/>
          <w:sz w:val="24"/>
          <w14:textFill>
            <w14:solidFill>
              <w14:schemeClr w14:val="tx1"/>
            </w14:solidFill>
          </w14:textFill>
        </w:rPr>
        <w:t>K</w:t>
      </w:r>
      <w:r>
        <w:rPr>
          <w:color w:val="000000" w:themeColor="text1"/>
          <w:kern w:val="0"/>
          <w:sz w:val="24"/>
          <w:vertAlign w:val="superscript"/>
          <w14:textFill>
            <w14:solidFill>
              <w14:schemeClr w14:val="tx1"/>
            </w14:solidFill>
          </w14:textFill>
        </w:rPr>
        <w:t>+</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Na</w:t>
      </w:r>
      <w:r>
        <w:rPr>
          <w:color w:val="000000" w:themeColor="text1"/>
          <w:kern w:val="0"/>
          <w:sz w:val="24"/>
          <w:vertAlign w:val="superscript"/>
          <w14:textFill>
            <w14:solidFill>
              <w14:schemeClr w14:val="tx1"/>
            </w14:solidFill>
          </w14:textFill>
        </w:rPr>
        <w:t>+</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Ca</w:t>
      </w:r>
      <w:r>
        <w:rPr>
          <w:color w:val="000000" w:themeColor="text1"/>
          <w:kern w:val="0"/>
          <w:sz w:val="24"/>
          <w:vertAlign w:val="superscript"/>
          <w14:textFill>
            <w14:solidFill>
              <w14:schemeClr w14:val="tx1"/>
            </w14:solidFill>
          </w14:textFill>
        </w:rPr>
        <w:t>2+</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Mg</w:t>
      </w:r>
      <w:r>
        <w:rPr>
          <w:color w:val="000000" w:themeColor="text1"/>
          <w:kern w:val="0"/>
          <w:sz w:val="24"/>
          <w:vertAlign w:val="superscript"/>
          <w14:textFill>
            <w14:solidFill>
              <w14:schemeClr w14:val="tx1"/>
            </w14:solidFill>
          </w14:textFill>
        </w:rPr>
        <w:t>2+</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CO</w:t>
      </w:r>
      <w:r>
        <w:rPr>
          <w:color w:val="000000" w:themeColor="text1"/>
          <w:kern w:val="0"/>
          <w:sz w:val="24"/>
          <w:vertAlign w:val="subscript"/>
          <w14:textFill>
            <w14:solidFill>
              <w14:schemeClr w14:val="tx1"/>
            </w14:solidFill>
          </w14:textFill>
        </w:rPr>
        <w:t>3</w:t>
      </w:r>
      <w:r>
        <w:rPr>
          <w:color w:val="000000" w:themeColor="text1"/>
          <w:kern w:val="0"/>
          <w:sz w:val="24"/>
          <w:vertAlign w:val="superscript"/>
          <w14:textFill>
            <w14:solidFill>
              <w14:schemeClr w14:val="tx1"/>
            </w14:solidFill>
          </w14:textFill>
        </w:rPr>
        <w:t>2-</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HCO</w:t>
      </w:r>
      <w:r>
        <w:rPr>
          <w:color w:val="000000" w:themeColor="text1"/>
          <w:kern w:val="0"/>
          <w:sz w:val="24"/>
          <w:vertAlign w:val="subscript"/>
          <w14:textFill>
            <w14:solidFill>
              <w14:schemeClr w14:val="tx1"/>
            </w14:solidFill>
          </w14:textFill>
        </w:rPr>
        <w:t>3</w:t>
      </w:r>
      <w:r>
        <w:rPr>
          <w:color w:val="000000" w:themeColor="text1"/>
          <w:kern w:val="0"/>
          <w:sz w:val="24"/>
          <w:vertAlign w:val="superscript"/>
          <w14:textFill>
            <w14:solidFill>
              <w14:schemeClr w14:val="tx1"/>
            </w14:solidFill>
          </w14:textFill>
        </w:rPr>
        <w:t>-</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Cl</w:t>
      </w:r>
      <w:r>
        <w:rPr>
          <w:color w:val="000000" w:themeColor="text1"/>
          <w:kern w:val="0"/>
          <w:sz w:val="24"/>
          <w:vertAlign w:val="superscript"/>
          <w14:textFill>
            <w14:solidFill>
              <w14:schemeClr w14:val="tx1"/>
            </w14:solidFill>
          </w14:textFill>
        </w:rPr>
        <w:t>-</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SO</w:t>
      </w:r>
      <w:r>
        <w:rPr>
          <w:color w:val="000000" w:themeColor="text1"/>
          <w:kern w:val="0"/>
          <w:sz w:val="24"/>
          <w:vertAlign w:val="subscript"/>
          <w14:textFill>
            <w14:solidFill>
              <w14:schemeClr w14:val="tx1"/>
            </w14:solidFill>
          </w14:textFill>
        </w:rPr>
        <w:t>4</w:t>
      </w:r>
      <w:r>
        <w:rPr>
          <w:color w:val="000000" w:themeColor="text1"/>
          <w:kern w:val="0"/>
          <w:sz w:val="24"/>
          <w:vertAlign w:val="superscript"/>
          <w14:textFill>
            <w14:solidFill>
              <w14:schemeClr w14:val="tx1"/>
            </w14:solidFill>
          </w14:textFill>
        </w:rPr>
        <w:t>2-</w:t>
      </w:r>
      <w:r>
        <w:rPr>
          <w:rFonts w:hint="eastAsia"/>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pH</w:t>
      </w:r>
      <w:r>
        <w:rPr>
          <w:rFonts w:hint="eastAsia"/>
          <w:color w:val="000000" w:themeColor="text1"/>
          <w:kern w:val="0"/>
          <w:sz w:val="24"/>
          <w14:textFill>
            <w14:solidFill>
              <w14:schemeClr w14:val="tx1"/>
            </w14:solidFill>
          </w14:textFill>
        </w:rPr>
        <w:t>值、总硬度、溶解性总固体、铁、锰、铜、锌、铝、挥发性酚类、阴离子表面活性剂、耗氧量、氨氮、硫化物、总大肠菌群、菌落总数、亚硝酸盐、硝酸盐、氰化物、氟化物、碘化物、汞、砷、硒、镉、铬（六价）、铅、石油类</w:t>
      </w:r>
      <w:r>
        <w:rPr>
          <w:rFonts w:hint="eastAsia"/>
          <w:color w:val="000000" w:themeColor="text1"/>
          <w:sz w:val="24"/>
          <w14:textFill>
            <w14:solidFill>
              <w14:schemeClr w14:val="tx1"/>
            </w14:solidFill>
          </w14:textFill>
        </w:rPr>
        <w:t>共计</w:t>
      </w:r>
      <w:r>
        <w:rPr>
          <w:color w:val="000000" w:themeColor="text1"/>
          <w:sz w:val="24"/>
          <w14:textFill>
            <w14:solidFill>
              <w14:schemeClr w14:val="tx1"/>
            </w14:solidFill>
          </w14:textFill>
        </w:rPr>
        <w:t>35</w:t>
      </w:r>
      <w:r>
        <w:rPr>
          <w:rFonts w:hint="eastAsia"/>
          <w:color w:val="000000" w:themeColor="text1"/>
          <w:sz w:val="24"/>
          <w14:textFill>
            <w14:solidFill>
              <w14:schemeClr w14:val="tx1"/>
            </w14:solidFill>
          </w14:textFill>
        </w:rPr>
        <w:t>项</w:t>
      </w:r>
      <w:r>
        <w:rPr>
          <w:rFonts w:hint="eastAsia"/>
          <w:color w:val="000000" w:themeColor="text1"/>
          <w:kern w:val="0"/>
          <w:sz w:val="24"/>
          <w14:textFill>
            <w14:solidFill>
              <w14:schemeClr w14:val="tx1"/>
            </w14:solidFill>
          </w14:textFill>
        </w:rPr>
        <w:t>。</w:t>
      </w:r>
    </w:p>
    <w:p w14:paraId="51A85611">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）监测结果</w:t>
      </w:r>
      <w:bookmarkEnd w:id="620"/>
      <w:bookmarkEnd w:id="621"/>
      <w:bookmarkEnd w:id="622"/>
      <w:bookmarkEnd w:id="623"/>
      <w:bookmarkEnd w:id="624"/>
      <w:bookmarkEnd w:id="625"/>
    </w:p>
    <w:p w14:paraId="41FAA98F">
      <w:pPr>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地下水水位监测结果见附件。</w:t>
      </w:r>
    </w:p>
    <w:p w14:paraId="26D03CC4">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）现状评价</w:t>
      </w:r>
    </w:p>
    <w:p w14:paraId="1DB8038C">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①评价标准</w:t>
      </w:r>
    </w:p>
    <w:p w14:paraId="376CCB41">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项目区域地下水评价标准为《地下水质量标准》（</w:t>
      </w:r>
      <w:r>
        <w:rPr>
          <w:color w:val="000000" w:themeColor="text1"/>
          <w:sz w:val="24"/>
          <w14:textFill>
            <w14:solidFill>
              <w14:schemeClr w14:val="tx1"/>
            </w14:solidFill>
          </w14:textFill>
        </w:rPr>
        <w:t>GB/T14848-2017</w:t>
      </w:r>
      <w:r>
        <w:rPr>
          <w:rFonts w:hint="eastAsia"/>
          <w:color w:val="000000" w:themeColor="text1"/>
          <w:sz w:val="24"/>
          <w14:textFill>
            <w14:solidFill>
              <w14:schemeClr w14:val="tx1"/>
            </w14:solidFill>
          </w14:textFill>
        </w:rPr>
        <w:t>）中</w:t>
      </w:r>
      <w:r>
        <w:rPr>
          <w:color w:val="000000" w:themeColor="text1"/>
          <w:sz w:val="24"/>
          <w14:textFill>
            <w14:solidFill>
              <w14:schemeClr w14:val="tx1"/>
            </w14:solidFill>
          </w14:textFill>
        </w:rPr>
        <w:t>Ⅲ</w:t>
      </w:r>
      <w:r>
        <w:rPr>
          <w:rFonts w:hint="eastAsia"/>
          <w:color w:val="000000" w:themeColor="text1"/>
          <w:sz w:val="24"/>
          <w14:textFill>
            <w14:solidFill>
              <w14:schemeClr w14:val="tx1"/>
            </w14:solidFill>
          </w14:textFill>
        </w:rPr>
        <w:t>类标准限值。</w:t>
      </w:r>
    </w:p>
    <w:p w14:paraId="63BE5BB2">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②评价方法</w:t>
      </w:r>
    </w:p>
    <w:p w14:paraId="18D0A8C3">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采用标准指数法进行评价。标准指数计算公式分为以下两种情况：</w:t>
      </w:r>
    </w:p>
    <w:p w14:paraId="17E7064D">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）对于评价标准为定值的水质因子，其标准指数计算公式：</w:t>
      </w:r>
    </w:p>
    <w:p w14:paraId="14E97A10">
      <w:pPr>
        <w:adjustRightInd w:val="0"/>
        <w:snapToGrid w:val="0"/>
        <w:spacing w:line="360" w:lineRule="auto"/>
        <w:ind w:firstLine="480" w:firstLineChars="200"/>
        <w:rPr>
          <w:color w:val="000000" w:themeColor="text1"/>
          <w:sz w:val="24"/>
          <w14:textFill>
            <w14:solidFill>
              <w14:schemeClr w14:val="tx1"/>
            </w14:solidFill>
          </w14:textFill>
        </w:rPr>
      </w:pPr>
      <m:oMathPara>
        <m:oMath>
          <m:sSub>
            <m:sSubPr>
              <m:ctrlPr>
                <w:rPr>
                  <w:rFonts w:ascii="Cambria Math" w:hAnsi="Cambria Math"/>
                  <w:color w:val="000000" w:themeColor="text1"/>
                  <w:sz w:val="24"/>
                  <w14:textFill>
                    <w14:solidFill>
                      <w14:schemeClr w14:val="tx1"/>
                    </w14:solidFill>
                  </w14:textFill>
                </w:rPr>
              </m:ctrlPr>
            </m:sSubPr>
            <m:e>
              <m:r>
                <m:rPr/>
                <w:rPr>
                  <w:rFonts w:ascii="Cambria Math" w:hAnsi="Cambria Math"/>
                  <w:color w:val="000000" w:themeColor="text1"/>
                  <w:sz w:val="24"/>
                  <w14:textFill>
                    <w14:solidFill>
                      <w14:schemeClr w14:val="tx1"/>
                    </w14:solidFill>
                  </w14:textFill>
                </w:rPr>
                <m:t>P</m:t>
              </m:r>
              <m:ctrlPr>
                <w:rPr>
                  <w:rFonts w:ascii="Cambria Math" w:hAnsi="Cambria Math"/>
                  <w:color w:val="000000" w:themeColor="text1"/>
                  <w:sz w:val="24"/>
                  <w14:textFill>
                    <w14:solidFill>
                      <w14:schemeClr w14:val="tx1"/>
                    </w14:solidFill>
                  </w14:textFill>
                </w:rPr>
              </m:ctrlPr>
            </m:e>
            <m:sub>
              <m:r>
                <m:rPr/>
                <w:rPr>
                  <w:rFonts w:ascii="Cambria Math" w:hAnsi="Cambria Math"/>
                  <w:color w:val="000000" w:themeColor="text1"/>
                  <w:sz w:val="24"/>
                  <w14:textFill>
                    <w14:solidFill>
                      <w14:schemeClr w14:val="tx1"/>
                    </w14:solidFill>
                  </w14:textFill>
                </w:rPr>
                <m:t>i</m:t>
              </m:r>
              <m:ctrlPr>
                <w:rPr>
                  <w:rFonts w:ascii="Cambria Math" w:hAnsi="Cambria Math"/>
                  <w:color w:val="000000" w:themeColor="text1"/>
                  <w:sz w:val="24"/>
                  <w14:textFill>
                    <w14:solidFill>
                      <w14:schemeClr w14:val="tx1"/>
                    </w14:solidFill>
                  </w14:textFill>
                </w:rPr>
              </m:ctrlPr>
            </m:sub>
          </m:sSub>
          <m:r>
            <m:rPr>
              <m:sty m:val="p"/>
            </m:rPr>
            <w:rPr>
              <w:rFonts w:ascii="Cambria Math" w:hAnsi="Cambria Math"/>
              <w:color w:val="000000" w:themeColor="text1"/>
              <w:sz w:val="24"/>
              <w14:textFill>
                <w14:solidFill>
                  <w14:schemeClr w14:val="tx1"/>
                </w14:solidFill>
              </w14:textFill>
            </w:rPr>
            <m:t>=</m:t>
          </m:r>
          <m:f>
            <m:fPr>
              <m:ctrlPr>
                <w:rPr>
                  <w:rFonts w:ascii="Cambria Math" w:hAnsi="Cambria Math"/>
                  <w:color w:val="000000" w:themeColor="text1"/>
                  <w:sz w:val="24"/>
                  <w14:textFill>
                    <w14:solidFill>
                      <w14:schemeClr w14:val="tx1"/>
                    </w14:solidFill>
                  </w14:textFill>
                </w:rPr>
              </m:ctrlPr>
            </m:fPr>
            <m:num>
              <m:sSub>
                <m:sSubPr>
                  <m:ctrlPr>
                    <w:rPr>
                      <w:rFonts w:ascii="Cambria Math" w:hAnsi="Cambria Math"/>
                      <w:color w:val="000000" w:themeColor="text1"/>
                      <w:sz w:val="24"/>
                      <w14:textFill>
                        <w14:solidFill>
                          <w14:schemeClr w14:val="tx1"/>
                        </w14:solidFill>
                      </w14:textFill>
                    </w:rPr>
                  </m:ctrlPr>
                </m:sSubPr>
                <m:e>
                  <m:r>
                    <m:rPr/>
                    <w:rPr>
                      <w:rFonts w:ascii="Cambria Math" w:hAnsi="Cambria Math"/>
                      <w:color w:val="000000" w:themeColor="text1"/>
                      <w:sz w:val="24"/>
                      <w14:textFill>
                        <w14:solidFill>
                          <w14:schemeClr w14:val="tx1"/>
                        </w14:solidFill>
                      </w14:textFill>
                    </w:rPr>
                    <m:t>C</m:t>
                  </m:r>
                  <m:ctrlPr>
                    <w:rPr>
                      <w:rFonts w:ascii="Cambria Math" w:hAnsi="Cambria Math"/>
                      <w:color w:val="000000" w:themeColor="text1"/>
                      <w:sz w:val="24"/>
                      <w14:textFill>
                        <w14:solidFill>
                          <w14:schemeClr w14:val="tx1"/>
                        </w14:solidFill>
                      </w14:textFill>
                    </w:rPr>
                  </m:ctrlPr>
                </m:e>
                <m:sub>
                  <m:r>
                    <m:rPr/>
                    <w:rPr>
                      <w:rFonts w:ascii="Cambria Math" w:hAnsi="Cambria Math"/>
                      <w:color w:val="000000" w:themeColor="text1"/>
                      <w:sz w:val="24"/>
                      <w14:textFill>
                        <w14:solidFill>
                          <w14:schemeClr w14:val="tx1"/>
                        </w14:solidFill>
                      </w14:textFill>
                    </w:rPr>
                    <m:t>i</m:t>
                  </m:r>
                  <m:ctrlPr>
                    <w:rPr>
                      <w:rFonts w:ascii="Cambria Math" w:hAnsi="Cambria Math"/>
                      <w:color w:val="000000" w:themeColor="text1"/>
                      <w:sz w:val="24"/>
                      <w14:textFill>
                        <w14:solidFill>
                          <w14:schemeClr w14:val="tx1"/>
                        </w14:solidFill>
                      </w14:textFill>
                    </w:rPr>
                  </m:ctrlPr>
                </m:sub>
              </m:sSub>
              <m:ctrlPr>
                <w:rPr>
                  <w:rFonts w:ascii="Cambria Math" w:hAnsi="Cambria Math"/>
                  <w:color w:val="000000" w:themeColor="text1"/>
                  <w:sz w:val="24"/>
                  <w14:textFill>
                    <w14:solidFill>
                      <w14:schemeClr w14:val="tx1"/>
                    </w14:solidFill>
                  </w14:textFill>
                </w:rPr>
              </m:ctrlPr>
            </m:num>
            <m:den>
              <m:sSub>
                <m:sSubPr>
                  <m:ctrlPr>
                    <w:rPr>
                      <w:rFonts w:ascii="Cambria Math" w:hAnsi="Cambria Math"/>
                      <w:color w:val="000000" w:themeColor="text1"/>
                      <w:sz w:val="24"/>
                      <w14:textFill>
                        <w14:solidFill>
                          <w14:schemeClr w14:val="tx1"/>
                        </w14:solidFill>
                      </w14:textFill>
                    </w:rPr>
                  </m:ctrlPr>
                </m:sSubPr>
                <m:e>
                  <m:r>
                    <m:rPr/>
                    <w:rPr>
                      <w:rFonts w:ascii="Cambria Math" w:hAnsi="Cambria Math"/>
                      <w:color w:val="000000" w:themeColor="text1"/>
                      <w:sz w:val="24"/>
                      <w14:textFill>
                        <w14:solidFill>
                          <w14:schemeClr w14:val="tx1"/>
                        </w14:solidFill>
                      </w14:textFill>
                    </w:rPr>
                    <m:t>C</m:t>
                  </m:r>
                  <m:ctrlPr>
                    <w:rPr>
                      <w:rFonts w:ascii="Cambria Math" w:hAnsi="Cambria Math"/>
                      <w:color w:val="000000" w:themeColor="text1"/>
                      <w:sz w:val="24"/>
                      <w14:textFill>
                        <w14:solidFill>
                          <w14:schemeClr w14:val="tx1"/>
                        </w14:solidFill>
                      </w14:textFill>
                    </w:rPr>
                  </m:ctrlPr>
                </m:e>
                <m:sub>
                  <m:r>
                    <m:rPr/>
                    <w:rPr>
                      <w:rFonts w:ascii="Cambria Math" w:hAnsi="Cambria Math"/>
                      <w:color w:val="000000" w:themeColor="text1"/>
                      <w:sz w:val="24"/>
                      <w14:textFill>
                        <w14:solidFill>
                          <w14:schemeClr w14:val="tx1"/>
                        </w14:solidFill>
                      </w14:textFill>
                    </w:rPr>
                    <m:t>si</m:t>
                  </m:r>
                  <m:ctrlPr>
                    <w:rPr>
                      <w:rFonts w:ascii="Cambria Math" w:hAnsi="Cambria Math"/>
                      <w:color w:val="000000" w:themeColor="text1"/>
                      <w:sz w:val="24"/>
                      <w14:textFill>
                        <w14:solidFill>
                          <w14:schemeClr w14:val="tx1"/>
                        </w14:solidFill>
                      </w14:textFill>
                    </w:rPr>
                  </m:ctrlPr>
                </m:sub>
              </m:sSub>
              <m:ctrlPr>
                <w:rPr>
                  <w:rFonts w:ascii="Cambria Math" w:hAnsi="Cambria Math"/>
                  <w:color w:val="000000" w:themeColor="text1"/>
                  <w:sz w:val="24"/>
                  <w14:textFill>
                    <w14:solidFill>
                      <w14:schemeClr w14:val="tx1"/>
                    </w14:solidFill>
                  </w14:textFill>
                </w:rPr>
              </m:ctrlPr>
            </m:den>
          </m:f>
          <m:r>
            <m:rPr>
              <m:sty m:val="p"/>
            </m:rPr>
            <w:rPr>
              <w:rFonts w:ascii="Cambria Math" w:hAnsi="Cambria Math"/>
              <w:color w:val="000000" w:themeColor="text1"/>
              <w:sz w:val="24"/>
              <w14:textFill>
                <w14:solidFill>
                  <w14:schemeClr w14:val="tx1"/>
                </w14:solidFill>
              </w14:textFill>
            </w:rPr>
            <m:t>×100%</m:t>
          </m:r>
        </m:oMath>
      </m:oMathPara>
    </w:p>
    <w:p w14:paraId="5BFC733B">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w:t>
      </w:r>
      <m:oMath>
        <m:sSub>
          <m:sSubPr>
            <m:ctrlPr>
              <w:rPr>
                <w:rFonts w:ascii="Cambria Math" w:hAnsi="Cambria Math"/>
                <w:color w:val="000000" w:themeColor="text1"/>
                <w:sz w:val="24"/>
                <w14:textFill>
                  <w14:solidFill>
                    <w14:schemeClr w14:val="tx1"/>
                  </w14:solidFill>
                </w14:textFill>
              </w:rPr>
            </m:ctrlPr>
          </m:sSubPr>
          <m:e>
            <m:r>
              <m:rPr/>
              <w:rPr>
                <w:rFonts w:ascii="Cambria Math" w:hAnsi="Cambria Math"/>
                <w:color w:val="000000" w:themeColor="text1"/>
                <w:sz w:val="24"/>
                <w14:textFill>
                  <w14:solidFill>
                    <w14:schemeClr w14:val="tx1"/>
                  </w14:solidFill>
                </w14:textFill>
              </w:rPr>
              <m:t>P</m:t>
            </m:r>
            <m:ctrlPr>
              <w:rPr>
                <w:rFonts w:ascii="Cambria Math" w:hAnsi="Cambria Math"/>
                <w:color w:val="000000" w:themeColor="text1"/>
                <w:sz w:val="24"/>
                <w14:textFill>
                  <w14:solidFill>
                    <w14:schemeClr w14:val="tx1"/>
                  </w14:solidFill>
                </w14:textFill>
              </w:rPr>
            </m:ctrlPr>
          </m:e>
          <m:sub>
            <m:r>
              <m:rPr/>
              <w:rPr>
                <w:rFonts w:ascii="Cambria Math" w:hAnsi="Cambria Math"/>
                <w:color w:val="000000" w:themeColor="text1"/>
                <w:sz w:val="24"/>
                <w14:textFill>
                  <w14:solidFill>
                    <w14:schemeClr w14:val="tx1"/>
                  </w14:solidFill>
                </w14:textFill>
              </w:rPr>
              <m:t>i</m:t>
            </m:r>
            <m:ctrlPr>
              <w:rPr>
                <w:rFonts w:ascii="Cambria Math" w:hAnsi="Cambria Math"/>
                <w:color w:val="000000" w:themeColor="text1"/>
                <w:sz w:val="24"/>
                <w14:textFill>
                  <w14:solidFill>
                    <w14:schemeClr w14:val="tx1"/>
                  </w14:solidFill>
                </w14:textFill>
              </w:rPr>
            </m:ctrlPr>
          </m:sub>
        </m:sSub>
      </m:oMath>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第</w:t>
      </w:r>
      <w:r>
        <w:rPr>
          <w:color w:val="000000" w:themeColor="text1"/>
          <w:sz w:val="24"/>
          <w14:textFill>
            <w14:solidFill>
              <w14:schemeClr w14:val="tx1"/>
            </w14:solidFill>
          </w14:textFill>
        </w:rPr>
        <w:t>i</w:t>
      </w:r>
      <w:r>
        <w:rPr>
          <w:rFonts w:hint="eastAsia"/>
          <w:color w:val="000000" w:themeColor="text1"/>
          <w:sz w:val="24"/>
          <w14:textFill>
            <w14:solidFill>
              <w14:schemeClr w14:val="tx1"/>
            </w14:solidFill>
          </w14:textFill>
        </w:rPr>
        <w:t>个水质因子的标准指数，无量纲；</w:t>
      </w:r>
    </w:p>
    <w:p w14:paraId="7EDD79D8">
      <w:pPr>
        <w:adjustRightInd w:val="0"/>
        <w:snapToGrid w:val="0"/>
        <w:spacing w:line="360" w:lineRule="auto"/>
        <w:ind w:firstLine="1200" w:firstLineChars="500"/>
        <w:rPr>
          <w:color w:val="000000" w:themeColor="text1"/>
          <w:sz w:val="24"/>
          <w14:textFill>
            <w14:solidFill>
              <w14:schemeClr w14:val="tx1"/>
            </w14:solidFill>
          </w14:textFill>
        </w:rPr>
      </w:pPr>
      <m:oMath>
        <m:sSub>
          <m:sSubPr>
            <m:ctrlPr>
              <w:rPr>
                <w:rFonts w:ascii="Cambria Math" w:hAnsi="Cambria Math"/>
                <w:color w:val="000000" w:themeColor="text1"/>
                <w:sz w:val="24"/>
                <w14:textFill>
                  <w14:solidFill>
                    <w14:schemeClr w14:val="tx1"/>
                  </w14:solidFill>
                </w14:textFill>
              </w:rPr>
            </m:ctrlPr>
          </m:sSubPr>
          <m:e>
            <m:r>
              <m:rPr/>
              <w:rPr>
                <w:rFonts w:ascii="Cambria Math" w:hAnsi="Cambria Math"/>
                <w:color w:val="000000" w:themeColor="text1"/>
                <w:sz w:val="24"/>
                <w14:textFill>
                  <w14:solidFill>
                    <w14:schemeClr w14:val="tx1"/>
                  </w14:solidFill>
                </w14:textFill>
              </w:rPr>
              <m:t>C</m:t>
            </m:r>
            <m:ctrlPr>
              <w:rPr>
                <w:rFonts w:ascii="Cambria Math" w:hAnsi="Cambria Math"/>
                <w:color w:val="000000" w:themeColor="text1"/>
                <w:sz w:val="24"/>
                <w14:textFill>
                  <w14:solidFill>
                    <w14:schemeClr w14:val="tx1"/>
                  </w14:solidFill>
                </w14:textFill>
              </w:rPr>
            </m:ctrlPr>
          </m:e>
          <m:sub>
            <m:r>
              <m:rPr/>
              <w:rPr>
                <w:rFonts w:ascii="Cambria Math" w:hAnsi="Cambria Math"/>
                <w:color w:val="000000" w:themeColor="text1"/>
                <w:sz w:val="24"/>
                <w14:textFill>
                  <w14:solidFill>
                    <w14:schemeClr w14:val="tx1"/>
                  </w14:solidFill>
                </w14:textFill>
              </w:rPr>
              <m:t>i</m:t>
            </m:r>
            <m:ctrlPr>
              <w:rPr>
                <w:rFonts w:ascii="Cambria Math" w:hAnsi="Cambria Math"/>
                <w:color w:val="000000" w:themeColor="text1"/>
                <w:sz w:val="24"/>
                <w14:textFill>
                  <w14:solidFill>
                    <w14:schemeClr w14:val="tx1"/>
                  </w14:solidFill>
                </w14:textFill>
              </w:rPr>
            </m:ctrlPr>
          </m:sub>
        </m:sSub>
      </m:oMath>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第</w:t>
      </w:r>
      <w:r>
        <w:rPr>
          <w:color w:val="000000" w:themeColor="text1"/>
          <w:sz w:val="24"/>
          <w14:textFill>
            <w14:solidFill>
              <w14:schemeClr w14:val="tx1"/>
            </w14:solidFill>
          </w14:textFill>
        </w:rPr>
        <w:t>i</w:t>
      </w:r>
      <w:r>
        <w:rPr>
          <w:rFonts w:hint="eastAsia"/>
          <w:color w:val="000000" w:themeColor="text1"/>
          <w:sz w:val="24"/>
          <w14:textFill>
            <w14:solidFill>
              <w14:schemeClr w14:val="tx1"/>
            </w14:solidFill>
          </w14:textFill>
        </w:rPr>
        <w:t>个水质因子的监测浓度，</w:t>
      </w:r>
      <w:r>
        <w:rPr>
          <w:color w:val="000000" w:themeColor="text1"/>
          <w:sz w:val="24"/>
          <w14:textFill>
            <w14:solidFill>
              <w14:schemeClr w14:val="tx1"/>
            </w14:solidFill>
          </w14:textFill>
        </w:rPr>
        <w:t>mg/L</w:t>
      </w:r>
      <w:r>
        <w:rPr>
          <w:rFonts w:hint="eastAsia"/>
          <w:color w:val="000000" w:themeColor="text1"/>
          <w:sz w:val="24"/>
          <w14:textFill>
            <w14:solidFill>
              <w14:schemeClr w14:val="tx1"/>
            </w14:solidFill>
          </w14:textFill>
        </w:rPr>
        <w:t>；</w:t>
      </w:r>
    </w:p>
    <w:p w14:paraId="11984464">
      <w:pPr>
        <w:adjustRightInd w:val="0"/>
        <w:snapToGrid w:val="0"/>
        <w:spacing w:line="360" w:lineRule="auto"/>
        <w:ind w:firstLine="1200" w:firstLineChars="500"/>
        <w:rPr>
          <w:color w:val="000000" w:themeColor="text1"/>
          <w:sz w:val="24"/>
          <w14:textFill>
            <w14:solidFill>
              <w14:schemeClr w14:val="tx1"/>
            </w14:solidFill>
          </w14:textFill>
        </w:rPr>
      </w:pPr>
      <m:oMath>
        <m:sSub>
          <m:sSubPr>
            <m:ctrlPr>
              <w:rPr>
                <w:rFonts w:ascii="Cambria Math" w:hAnsi="Cambria Math"/>
                <w:color w:val="000000" w:themeColor="text1"/>
                <w:sz w:val="24"/>
                <w14:textFill>
                  <w14:solidFill>
                    <w14:schemeClr w14:val="tx1"/>
                  </w14:solidFill>
                </w14:textFill>
              </w:rPr>
            </m:ctrlPr>
          </m:sSubPr>
          <m:e>
            <m:r>
              <m:rPr/>
              <w:rPr>
                <w:rFonts w:ascii="Cambria Math" w:hAnsi="Cambria Math"/>
                <w:color w:val="000000" w:themeColor="text1"/>
                <w:sz w:val="24"/>
                <w14:textFill>
                  <w14:solidFill>
                    <w14:schemeClr w14:val="tx1"/>
                  </w14:solidFill>
                </w14:textFill>
              </w:rPr>
              <m:t>C</m:t>
            </m:r>
            <m:ctrlPr>
              <w:rPr>
                <w:rFonts w:ascii="Cambria Math" w:hAnsi="Cambria Math"/>
                <w:color w:val="000000" w:themeColor="text1"/>
                <w:sz w:val="24"/>
                <w14:textFill>
                  <w14:solidFill>
                    <w14:schemeClr w14:val="tx1"/>
                  </w14:solidFill>
                </w14:textFill>
              </w:rPr>
            </m:ctrlPr>
          </m:e>
          <m:sub>
            <m:r>
              <m:rPr/>
              <w:rPr>
                <w:rFonts w:ascii="Cambria Math" w:hAnsi="Cambria Math"/>
                <w:color w:val="000000" w:themeColor="text1"/>
                <w:sz w:val="24"/>
                <w14:textFill>
                  <w14:solidFill>
                    <w14:schemeClr w14:val="tx1"/>
                  </w14:solidFill>
                </w14:textFill>
              </w:rPr>
              <m:t>si</m:t>
            </m:r>
            <m:ctrlPr>
              <w:rPr>
                <w:rFonts w:ascii="Cambria Math" w:hAnsi="Cambria Math"/>
                <w:color w:val="000000" w:themeColor="text1"/>
                <w:sz w:val="24"/>
                <w14:textFill>
                  <w14:solidFill>
                    <w14:schemeClr w14:val="tx1"/>
                  </w14:solidFill>
                </w14:textFill>
              </w:rPr>
            </m:ctrlPr>
          </m:sub>
        </m:sSub>
      </m:oMath>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第</w:t>
      </w:r>
      <w:r>
        <w:rPr>
          <w:color w:val="000000" w:themeColor="text1"/>
          <w:sz w:val="24"/>
          <w14:textFill>
            <w14:solidFill>
              <w14:schemeClr w14:val="tx1"/>
            </w14:solidFill>
          </w14:textFill>
        </w:rPr>
        <w:t>i</w:t>
      </w:r>
      <w:r>
        <w:rPr>
          <w:rFonts w:hint="eastAsia"/>
          <w:color w:val="000000" w:themeColor="text1"/>
          <w:sz w:val="24"/>
          <w14:textFill>
            <w14:solidFill>
              <w14:schemeClr w14:val="tx1"/>
            </w14:solidFill>
          </w14:textFill>
        </w:rPr>
        <w:t>个水质因子的标准浓度，</w:t>
      </w:r>
      <w:r>
        <w:rPr>
          <w:color w:val="000000" w:themeColor="text1"/>
          <w:sz w:val="24"/>
          <w14:textFill>
            <w14:solidFill>
              <w14:schemeClr w14:val="tx1"/>
            </w14:solidFill>
          </w14:textFill>
        </w:rPr>
        <w:t>mg/L</w:t>
      </w:r>
      <w:r>
        <w:rPr>
          <w:rFonts w:hint="eastAsia"/>
          <w:color w:val="000000" w:themeColor="text1"/>
          <w:sz w:val="24"/>
          <w14:textFill>
            <w14:solidFill>
              <w14:schemeClr w14:val="tx1"/>
            </w14:solidFill>
          </w14:textFill>
        </w:rPr>
        <w:t>。</w:t>
      </w:r>
    </w:p>
    <w:p w14:paraId="1984599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）对于评价标准为区间值的水质因子（如</w:t>
      </w:r>
      <w:r>
        <w:rPr>
          <w:color w:val="000000" w:themeColor="text1"/>
          <w:sz w:val="24"/>
          <w14:textFill>
            <w14:solidFill>
              <w14:schemeClr w14:val="tx1"/>
            </w14:solidFill>
          </w14:textFill>
        </w:rPr>
        <w:t>pH</w:t>
      </w:r>
      <w:r>
        <w:rPr>
          <w:rFonts w:hint="eastAsia"/>
          <w:color w:val="000000" w:themeColor="text1"/>
          <w:sz w:val="24"/>
          <w14:textFill>
            <w14:solidFill>
              <w14:schemeClr w14:val="tx1"/>
            </w14:solidFill>
          </w14:textFill>
        </w:rPr>
        <w:t>值），其标准指数计算公式：</w:t>
      </w:r>
    </w:p>
    <w:tbl>
      <w:tblPr>
        <w:tblStyle w:val="88"/>
        <w:tblW w:w="0" w:type="auto"/>
        <w:jc w:val="center"/>
        <w:tblLayout w:type="fixed"/>
        <w:tblCellMar>
          <w:top w:w="0" w:type="dxa"/>
          <w:left w:w="108" w:type="dxa"/>
          <w:bottom w:w="0" w:type="dxa"/>
          <w:right w:w="108" w:type="dxa"/>
        </w:tblCellMar>
      </w:tblPr>
      <w:tblGrid>
        <w:gridCol w:w="5211"/>
        <w:gridCol w:w="1701"/>
      </w:tblGrid>
      <w:tr w14:paraId="6DFB830B">
        <w:tblPrEx>
          <w:tblCellMar>
            <w:top w:w="0" w:type="dxa"/>
            <w:left w:w="108" w:type="dxa"/>
            <w:bottom w:w="0" w:type="dxa"/>
            <w:right w:w="108" w:type="dxa"/>
          </w:tblCellMar>
        </w:tblPrEx>
        <w:trPr>
          <w:trHeight w:val="907" w:hRule="atLeast"/>
          <w:jc w:val="center"/>
        </w:trPr>
        <w:tc>
          <w:tcPr>
            <w:tcW w:w="5211" w:type="dxa"/>
            <w:vAlign w:val="center"/>
          </w:tcPr>
          <w:p w14:paraId="056EB91A">
            <w:pPr>
              <w:ind w:firstLine="470"/>
              <w:rPr>
                <w:color w:val="000000" w:themeColor="text1"/>
                <w14:textFill>
                  <w14:solidFill>
                    <w14:schemeClr w14:val="tx1"/>
                  </w14:solidFill>
                </w14:textFill>
              </w:rPr>
            </w:pPr>
            <m:oMathPara>
              <m:oMath>
                <m:sSub>
                  <m:sSubPr>
                    <m:ctrlPr>
                      <w:rPr>
                        <w:rFonts w:ascii="Cambria Math" w:hAnsi="Cambria Math"/>
                        <w:i/>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P</m:t>
                    </m:r>
                    <m:ctrlPr>
                      <w:rPr>
                        <w:rFonts w:ascii="Cambria Math" w:hAnsi="Cambria Math"/>
                        <w:i/>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f>
                  <m:fPr>
                    <m:ctrlPr>
                      <w:rPr>
                        <w:rFonts w:ascii="Cambria Math" w:hAnsi="Cambria Math"/>
                        <w:i/>
                        <w:color w:val="000000" w:themeColor="text1"/>
                        <w14:textFill>
                          <w14:solidFill>
                            <w14:schemeClr w14:val="tx1"/>
                          </w14:solidFill>
                        </w14:textFill>
                      </w:rPr>
                    </m:ctrlPr>
                  </m:fPr>
                  <m:num>
                    <m:r>
                      <m:rPr/>
                      <w:rPr>
                        <w:rFonts w:ascii="Cambria Math" w:hAnsi="Cambria Math"/>
                        <w:color w:val="000000" w:themeColor="text1"/>
                        <w14:textFill>
                          <w14:solidFill>
                            <w14:schemeClr w14:val="tx1"/>
                          </w14:solidFill>
                        </w14:textFill>
                      </w:rPr>
                      <m:t>7.0−pH</m:t>
                    </m:r>
                    <m:ctrlPr>
                      <w:rPr>
                        <w:rFonts w:ascii="Cambria Math" w:hAnsi="Cambria Math"/>
                        <w:i/>
                        <w:color w:val="000000" w:themeColor="text1"/>
                        <w14:textFill>
                          <w14:solidFill>
                            <w14:schemeClr w14:val="tx1"/>
                          </w14:solidFill>
                        </w14:textFill>
                      </w:rPr>
                    </m:ctrlPr>
                  </m:num>
                  <m:den>
                    <m:r>
                      <m:rPr/>
                      <w:rPr>
                        <w:rFonts w:ascii="Cambria Math" w:hAnsi="Cambria Math"/>
                        <w:color w:val="000000" w:themeColor="text1"/>
                        <w14:textFill>
                          <w14:solidFill>
                            <w14:schemeClr w14:val="tx1"/>
                          </w14:solidFill>
                        </w14:textFill>
                      </w:rPr>
                      <m:t>7.0−</m:t>
                    </m:r>
                    <m:sSub>
                      <m:sSubPr>
                        <m:ctrlPr>
                          <w:rPr>
                            <w:rFonts w:ascii="Cambria Math" w:hAnsi="Cambria Math"/>
                            <w:i/>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sd</m:t>
                        </m:r>
                        <m:ctrlPr>
                          <w:rPr>
                            <w:rFonts w:ascii="Cambria Math" w:hAnsi="Cambria Math"/>
                            <w:i/>
                            <w:color w:val="000000" w:themeColor="text1"/>
                            <w14:textFill>
                              <w14:solidFill>
                                <w14:schemeClr w14:val="tx1"/>
                              </w14:solidFill>
                            </w14:textFill>
                          </w:rPr>
                        </m:ctrlPr>
                      </m:sub>
                    </m:sSub>
                    <m:ctrlPr>
                      <w:rPr>
                        <w:rFonts w:ascii="Cambria Math" w:hAnsi="Cambria Math"/>
                        <w:i/>
                        <w:color w:val="000000" w:themeColor="text1"/>
                        <w14:textFill>
                          <w14:solidFill>
                            <w14:schemeClr w14:val="tx1"/>
                          </w14:solidFill>
                        </w14:textFill>
                      </w:rPr>
                    </m:ctrlPr>
                  </m:den>
                </m:f>
              </m:oMath>
            </m:oMathPara>
          </w:p>
        </w:tc>
        <w:tc>
          <w:tcPr>
            <w:tcW w:w="1701" w:type="dxa"/>
            <w:vAlign w:val="center"/>
          </w:tcPr>
          <w:p w14:paraId="03BFBE7D">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pH≤7</w:t>
            </w:r>
            <w:r>
              <w:rPr>
                <w:rFonts w:hint="eastAsia"/>
                <w:color w:val="000000" w:themeColor="text1"/>
                <w14:textFill>
                  <w14:solidFill>
                    <w14:schemeClr w14:val="tx1"/>
                  </w14:solidFill>
                </w14:textFill>
              </w:rPr>
              <w:t>时</w:t>
            </w:r>
          </w:p>
        </w:tc>
      </w:tr>
      <w:tr w14:paraId="59DAF23A">
        <w:tblPrEx>
          <w:tblCellMar>
            <w:top w:w="0" w:type="dxa"/>
            <w:left w:w="108" w:type="dxa"/>
            <w:bottom w:w="0" w:type="dxa"/>
            <w:right w:w="108" w:type="dxa"/>
          </w:tblCellMar>
        </w:tblPrEx>
        <w:trPr>
          <w:trHeight w:val="907" w:hRule="atLeast"/>
          <w:jc w:val="center"/>
        </w:trPr>
        <w:tc>
          <w:tcPr>
            <w:tcW w:w="5211" w:type="dxa"/>
            <w:vAlign w:val="center"/>
          </w:tcPr>
          <w:p w14:paraId="64DF41B1">
            <w:pPr>
              <w:ind w:firstLine="420" w:firstLineChars="200"/>
              <w:rPr>
                <w:color w:val="000000" w:themeColor="text1"/>
                <w14:textFill>
                  <w14:solidFill>
                    <w14:schemeClr w14:val="tx1"/>
                  </w14:solidFill>
                </w14:textFill>
              </w:rPr>
            </w:pPr>
            <m:oMathPara>
              <m:oMath>
                <m:sSub>
                  <m:sSubPr>
                    <m:ctrlPr>
                      <w:rPr>
                        <w:rFonts w:ascii="Cambria Math" w:hAnsi="Cambria Math"/>
                        <w:i/>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P</m:t>
                    </m:r>
                    <m:ctrlPr>
                      <w:rPr>
                        <w:rFonts w:ascii="Cambria Math" w:hAnsi="Cambria Math"/>
                        <w:i/>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m:t>
                </m:r>
                <m:f>
                  <m:fPr>
                    <m:ctrlPr>
                      <w:rPr>
                        <w:rFonts w:ascii="Cambria Math" w:hAnsi="Cambria Math"/>
                        <w:i/>
                        <w:color w:val="000000" w:themeColor="text1"/>
                        <w14:textFill>
                          <w14:solidFill>
                            <w14:schemeClr w14:val="tx1"/>
                          </w14:solidFill>
                        </w14:textFill>
                      </w:rPr>
                    </m:ctrlPr>
                  </m:fPr>
                  <m:num>
                    <m:r>
                      <m:rPr/>
                      <w:rPr>
                        <w:rFonts w:ascii="Cambria Math" w:hAnsi="Cambria Math"/>
                        <w:color w:val="000000" w:themeColor="text1"/>
                        <w14:textFill>
                          <w14:solidFill>
                            <w14:schemeClr w14:val="tx1"/>
                          </w14:solidFill>
                        </w14:textFill>
                      </w:rPr>
                      <m:t>pH−7.0</m:t>
                    </m:r>
                    <m:ctrlPr>
                      <w:rPr>
                        <w:rFonts w:ascii="Cambria Math" w:hAnsi="Cambria Math"/>
                        <w:i/>
                        <w:color w:val="000000" w:themeColor="text1"/>
                        <w14:textFill>
                          <w14:solidFill>
                            <w14:schemeClr w14:val="tx1"/>
                          </w14:solidFill>
                        </w14:textFill>
                      </w:rPr>
                    </m:ctrlPr>
                  </m:num>
                  <m:den>
                    <m:sSub>
                      <m:sSubPr>
                        <m:ctrlPr>
                          <w:rPr>
                            <w:rFonts w:ascii="Cambria Math" w:hAnsi="Cambria Math"/>
                            <w:i/>
                            <w:color w:val="000000" w:themeColor="text1"/>
                            <w14:textFill>
                              <w14:solidFill>
                                <w14:schemeClr w14:val="tx1"/>
                              </w14:solidFill>
                            </w14:textFill>
                          </w:rPr>
                        </m:ctrlPr>
                      </m:sSubPr>
                      <m:e>
                        <m:r>
                          <m:rPr/>
                          <w:rPr>
                            <w:rFonts w:ascii="Cambria Math" w:hAnsi="Cambria Math"/>
                            <w:color w:val="000000" w:themeColor="text1"/>
                            <w14:textFill>
                              <w14:solidFill>
                                <w14:schemeClr w14:val="tx1"/>
                              </w14:solidFill>
                            </w14:textFill>
                          </w:rPr>
                          <m:t>pH</m:t>
                        </m:r>
                        <m:ctrlPr>
                          <w:rPr>
                            <w:rFonts w:ascii="Cambria Math" w:hAnsi="Cambria Math"/>
                            <w:i/>
                            <w:color w:val="000000" w:themeColor="text1"/>
                            <w14:textFill>
                              <w14:solidFill>
                                <w14:schemeClr w14:val="tx1"/>
                              </w14:solidFill>
                            </w14:textFill>
                          </w:rPr>
                        </m:ctrlPr>
                      </m:e>
                      <m:sub>
                        <m:r>
                          <m:rPr/>
                          <w:rPr>
                            <w:rFonts w:ascii="Cambria Math" w:hAnsi="Cambria Math"/>
                            <w:color w:val="000000" w:themeColor="text1"/>
                            <w14:textFill>
                              <w14:solidFill>
                                <w14:schemeClr w14:val="tx1"/>
                              </w14:solidFill>
                            </w14:textFill>
                          </w:rPr>
                          <m:t>su</m:t>
                        </m:r>
                        <m:ctrlPr>
                          <w:rPr>
                            <w:rFonts w:ascii="Cambria Math" w:hAnsi="Cambria Math"/>
                            <w:i/>
                            <w:color w:val="000000" w:themeColor="text1"/>
                            <w14:textFill>
                              <w14:solidFill>
                                <w14:schemeClr w14:val="tx1"/>
                              </w14:solidFill>
                            </w14:textFill>
                          </w:rPr>
                        </m:ctrlPr>
                      </m:sub>
                    </m:sSub>
                    <m:r>
                      <m:rPr/>
                      <w:rPr>
                        <w:rFonts w:ascii="Cambria Math" w:hAnsi="Cambria Math"/>
                        <w:color w:val="000000" w:themeColor="text1"/>
                        <w14:textFill>
                          <w14:solidFill>
                            <w14:schemeClr w14:val="tx1"/>
                          </w14:solidFill>
                        </w14:textFill>
                      </w:rPr>
                      <m:t>−7.0</m:t>
                    </m:r>
                    <m:ctrlPr>
                      <w:rPr>
                        <w:rFonts w:ascii="Cambria Math" w:hAnsi="Cambria Math"/>
                        <w:i/>
                        <w:color w:val="000000" w:themeColor="text1"/>
                        <w14:textFill>
                          <w14:solidFill>
                            <w14:schemeClr w14:val="tx1"/>
                          </w14:solidFill>
                        </w14:textFill>
                      </w:rPr>
                    </m:ctrlPr>
                  </m:den>
                </m:f>
              </m:oMath>
            </m:oMathPara>
          </w:p>
        </w:tc>
        <w:tc>
          <w:tcPr>
            <w:tcW w:w="1701" w:type="dxa"/>
            <w:vAlign w:val="center"/>
          </w:tcPr>
          <w:p w14:paraId="63E81783">
            <w:pPr>
              <w:ind w:firstLine="420" w:firstLineChars="200"/>
              <w:rPr>
                <w:color w:val="000000" w:themeColor="text1"/>
                <w14:textFill>
                  <w14:solidFill>
                    <w14:schemeClr w14:val="tx1"/>
                  </w14:solidFill>
                </w14:textFill>
              </w:rPr>
            </w:pPr>
            <w:r>
              <w:rPr>
                <w:color w:val="000000" w:themeColor="text1"/>
                <w14:textFill>
                  <w14:solidFill>
                    <w14:schemeClr w14:val="tx1"/>
                  </w14:solidFill>
                </w14:textFill>
              </w:rPr>
              <w:t>pH</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7</w:t>
            </w:r>
            <w:r>
              <w:rPr>
                <w:rFonts w:hint="eastAsia"/>
                <w:color w:val="000000" w:themeColor="text1"/>
                <w14:textFill>
                  <w14:solidFill>
                    <w14:schemeClr w14:val="tx1"/>
                  </w14:solidFill>
                </w14:textFill>
              </w:rPr>
              <w:t>时</w:t>
            </w:r>
          </w:p>
        </w:tc>
      </w:tr>
    </w:tbl>
    <w:p w14:paraId="3F8B7BA7">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w:t>
      </w:r>
      <m:oMath>
        <m:sSub>
          <m:sSubPr>
            <m:ctrlPr>
              <w:rPr>
                <w:rFonts w:ascii="Cambria Math" w:hAnsi="Cambria Math"/>
                <w:color w:val="000000" w:themeColor="text1"/>
                <w:sz w:val="24"/>
                <w14:textFill>
                  <w14:solidFill>
                    <w14:schemeClr w14:val="tx1"/>
                  </w14:solidFill>
                </w14:textFill>
              </w:rPr>
            </m:ctrlPr>
          </m:sSubPr>
          <m:e>
            <m:r>
              <m:rPr/>
              <w:rPr>
                <w:rFonts w:ascii="Cambria Math" w:hAnsi="Cambria Math"/>
                <w:color w:val="000000" w:themeColor="text1"/>
                <w:sz w:val="24"/>
                <w14:textFill>
                  <w14:solidFill>
                    <w14:schemeClr w14:val="tx1"/>
                  </w14:solidFill>
                </w14:textFill>
              </w:rPr>
              <m:t>P</m:t>
            </m:r>
            <m:ctrlPr>
              <w:rPr>
                <w:rFonts w:ascii="Cambria Math" w:hAnsi="Cambria Math"/>
                <w:color w:val="000000" w:themeColor="text1"/>
                <w:sz w:val="24"/>
                <w14:textFill>
                  <w14:solidFill>
                    <w14:schemeClr w14:val="tx1"/>
                  </w14:solidFill>
                </w14:textFill>
              </w:rPr>
            </m:ctrlPr>
          </m:e>
          <m:sub>
            <m:r>
              <m:rPr/>
              <w:rPr>
                <w:rFonts w:ascii="Cambria Math" w:hAnsi="Cambria Math"/>
                <w:color w:val="000000" w:themeColor="text1"/>
                <w:sz w:val="24"/>
                <w14:textFill>
                  <w14:solidFill>
                    <w14:schemeClr w14:val="tx1"/>
                  </w14:solidFill>
                </w14:textFill>
              </w:rPr>
              <m:t>pH</m:t>
            </m:r>
            <m:ctrlPr>
              <w:rPr>
                <w:rFonts w:ascii="Cambria Math" w:hAnsi="Cambria Math"/>
                <w:color w:val="000000" w:themeColor="text1"/>
                <w:sz w:val="24"/>
                <w14:textFill>
                  <w14:solidFill>
                    <w14:schemeClr w14:val="tx1"/>
                  </w14:solidFill>
                </w14:textFill>
              </w:rPr>
            </m:ctrlPr>
          </m:sub>
        </m:sSub>
      </m:oMath>
      <w:r>
        <w:rPr>
          <w:color w:val="000000" w:themeColor="text1"/>
          <w:sz w:val="24"/>
          <w14:textFill>
            <w14:solidFill>
              <w14:schemeClr w14:val="tx1"/>
            </w14:solidFill>
          </w14:textFill>
        </w:rPr>
        <w:t>——pH</w:t>
      </w:r>
      <w:r>
        <w:rPr>
          <w:rFonts w:hint="eastAsia"/>
          <w:color w:val="000000" w:themeColor="text1"/>
          <w:sz w:val="24"/>
          <w14:textFill>
            <w14:solidFill>
              <w14:schemeClr w14:val="tx1"/>
            </w14:solidFill>
          </w14:textFill>
        </w:rPr>
        <w:t>的标准指数，无量纲；</w:t>
      </w:r>
    </w:p>
    <w:p w14:paraId="651394AD">
      <w:pPr>
        <w:adjustRightInd w:val="0"/>
        <w:snapToGrid w:val="0"/>
        <w:spacing w:line="360" w:lineRule="auto"/>
        <w:ind w:firstLine="1200" w:firstLineChars="500"/>
        <w:rPr>
          <w:color w:val="000000" w:themeColor="text1"/>
          <w:sz w:val="24"/>
          <w14:textFill>
            <w14:solidFill>
              <w14:schemeClr w14:val="tx1"/>
            </w14:solidFill>
          </w14:textFill>
        </w:rPr>
      </w:pPr>
      <m:oMath>
        <m:r>
          <m:rPr/>
          <w:rPr>
            <w:rFonts w:ascii="Cambria Math" w:hAnsi="Cambria Math"/>
            <w:color w:val="000000" w:themeColor="text1"/>
            <w:sz w:val="24"/>
            <w14:textFill>
              <w14:solidFill>
                <w14:schemeClr w14:val="tx1"/>
              </w14:solidFill>
            </w14:textFill>
          </w:rPr>
          <m:t>pH</m:t>
        </m:r>
      </m:oMath>
      <w:r>
        <w:rPr>
          <w:color w:val="000000" w:themeColor="text1"/>
          <w:sz w:val="24"/>
          <w14:textFill>
            <w14:solidFill>
              <w14:schemeClr w14:val="tx1"/>
            </w14:solidFill>
          </w14:textFill>
        </w:rPr>
        <w:t>——pH</w:t>
      </w:r>
      <w:r>
        <w:rPr>
          <w:rFonts w:hint="eastAsia"/>
          <w:color w:val="000000" w:themeColor="text1"/>
          <w:sz w:val="24"/>
          <w14:textFill>
            <w14:solidFill>
              <w14:schemeClr w14:val="tx1"/>
            </w14:solidFill>
          </w14:textFill>
        </w:rPr>
        <w:t>监测值；</w:t>
      </w:r>
    </w:p>
    <w:p w14:paraId="3B3B96FA">
      <w:pPr>
        <w:adjustRightInd w:val="0"/>
        <w:snapToGrid w:val="0"/>
        <w:spacing w:line="360" w:lineRule="auto"/>
        <w:ind w:firstLine="1200" w:firstLineChars="500"/>
        <w:rPr>
          <w:color w:val="000000" w:themeColor="text1"/>
          <w:sz w:val="24"/>
          <w14:textFill>
            <w14:solidFill>
              <w14:schemeClr w14:val="tx1"/>
            </w14:solidFill>
          </w14:textFill>
        </w:rPr>
      </w:pPr>
      <m:oMath>
        <m:sSub>
          <m:sSubPr>
            <m:ctrlPr>
              <w:rPr>
                <w:rFonts w:ascii="Cambria Math" w:hAnsi="Cambria Math"/>
                <w:color w:val="000000" w:themeColor="text1"/>
                <w:sz w:val="24"/>
                <w14:textFill>
                  <w14:solidFill>
                    <w14:schemeClr w14:val="tx1"/>
                  </w14:solidFill>
                </w14:textFill>
              </w:rPr>
            </m:ctrlPr>
          </m:sSubPr>
          <m:e>
            <m:r>
              <m:rPr/>
              <w:rPr>
                <w:rFonts w:ascii="Cambria Math" w:hAnsi="Cambria Math"/>
                <w:color w:val="000000" w:themeColor="text1"/>
                <w:sz w:val="24"/>
                <w14:textFill>
                  <w14:solidFill>
                    <w14:schemeClr w14:val="tx1"/>
                  </w14:solidFill>
                </w14:textFill>
              </w:rPr>
              <m:t>pH</m:t>
            </m:r>
            <m:ctrlPr>
              <w:rPr>
                <w:rFonts w:ascii="Cambria Math" w:hAnsi="Cambria Math"/>
                <w:color w:val="000000" w:themeColor="text1"/>
                <w:sz w:val="24"/>
                <w14:textFill>
                  <w14:solidFill>
                    <w14:schemeClr w14:val="tx1"/>
                  </w14:solidFill>
                </w14:textFill>
              </w:rPr>
            </m:ctrlPr>
          </m:e>
          <m:sub>
            <m:r>
              <m:rPr/>
              <w:rPr>
                <w:rFonts w:ascii="Cambria Math" w:hAnsi="Cambria Math"/>
                <w:color w:val="000000" w:themeColor="text1"/>
                <w:sz w:val="24"/>
                <w14:textFill>
                  <w14:solidFill>
                    <w14:schemeClr w14:val="tx1"/>
                  </w14:solidFill>
                </w14:textFill>
              </w:rPr>
              <m:t>sd</m:t>
            </m:r>
            <m:ctrlPr>
              <w:rPr>
                <w:rFonts w:ascii="Cambria Math" w:hAnsi="Cambria Math"/>
                <w:color w:val="000000" w:themeColor="text1"/>
                <w:sz w:val="24"/>
                <w14:textFill>
                  <w14:solidFill>
                    <w14:schemeClr w14:val="tx1"/>
                  </w14:solidFill>
                </w14:textFill>
              </w:rPr>
            </m:ctrlPr>
          </m:sub>
        </m:sSub>
      </m:oMath>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标准中</w:t>
      </w:r>
      <w:r>
        <w:rPr>
          <w:color w:val="000000" w:themeColor="text1"/>
          <w:sz w:val="24"/>
          <w14:textFill>
            <w14:solidFill>
              <w14:schemeClr w14:val="tx1"/>
            </w14:solidFill>
          </w14:textFill>
        </w:rPr>
        <w:t>pH</w:t>
      </w:r>
      <w:r>
        <w:rPr>
          <w:rFonts w:hint="eastAsia"/>
          <w:color w:val="000000" w:themeColor="text1"/>
          <w:sz w:val="24"/>
          <w14:textFill>
            <w14:solidFill>
              <w14:schemeClr w14:val="tx1"/>
            </w14:solidFill>
          </w14:textFill>
        </w:rPr>
        <w:t>的下限值；</w:t>
      </w:r>
    </w:p>
    <w:p w14:paraId="781BBE66">
      <w:pPr>
        <w:adjustRightInd w:val="0"/>
        <w:snapToGrid w:val="0"/>
        <w:spacing w:line="360" w:lineRule="auto"/>
        <w:ind w:firstLine="1200" w:firstLineChars="500"/>
        <w:jc w:val="both"/>
        <w:rPr>
          <w:color w:val="000000" w:themeColor="text1"/>
          <w:sz w:val="24"/>
          <w14:textFill>
            <w14:solidFill>
              <w14:schemeClr w14:val="tx1"/>
            </w14:solidFill>
          </w14:textFill>
        </w:rPr>
      </w:pPr>
      <m:oMath>
        <m:sSub>
          <m:sSubPr>
            <m:ctrlPr>
              <w:rPr>
                <w:rFonts w:ascii="Cambria Math" w:hAnsi="Cambria Math"/>
                <w:color w:val="000000" w:themeColor="text1"/>
                <w:sz w:val="24"/>
                <w14:textFill>
                  <w14:solidFill>
                    <w14:schemeClr w14:val="tx1"/>
                  </w14:solidFill>
                </w14:textFill>
              </w:rPr>
            </m:ctrlPr>
          </m:sSubPr>
          <m:e>
            <m:r>
              <m:rPr/>
              <w:rPr>
                <w:rFonts w:ascii="Cambria Math" w:hAnsi="Cambria Math"/>
                <w:color w:val="000000" w:themeColor="text1"/>
                <w:sz w:val="24"/>
                <w14:textFill>
                  <w14:solidFill>
                    <w14:schemeClr w14:val="tx1"/>
                  </w14:solidFill>
                </w14:textFill>
              </w:rPr>
              <m:t>pH</m:t>
            </m:r>
            <m:ctrlPr>
              <w:rPr>
                <w:rFonts w:ascii="Cambria Math" w:hAnsi="Cambria Math"/>
                <w:color w:val="000000" w:themeColor="text1"/>
                <w:sz w:val="24"/>
                <w14:textFill>
                  <w14:solidFill>
                    <w14:schemeClr w14:val="tx1"/>
                  </w14:solidFill>
                </w14:textFill>
              </w:rPr>
            </m:ctrlPr>
          </m:e>
          <m:sub>
            <m:r>
              <m:rPr/>
              <w:rPr>
                <w:rFonts w:ascii="Cambria Math" w:hAnsi="Cambria Math"/>
                <w:color w:val="000000" w:themeColor="text1"/>
                <w:sz w:val="24"/>
                <w14:textFill>
                  <w14:solidFill>
                    <w14:schemeClr w14:val="tx1"/>
                  </w14:solidFill>
                </w14:textFill>
              </w:rPr>
              <m:t>su</m:t>
            </m:r>
            <m:ctrlPr>
              <w:rPr>
                <w:rFonts w:ascii="Cambria Math" w:hAnsi="Cambria Math"/>
                <w:color w:val="000000" w:themeColor="text1"/>
                <w:sz w:val="24"/>
                <w14:textFill>
                  <w14:solidFill>
                    <w14:schemeClr w14:val="tx1"/>
                  </w14:solidFill>
                </w14:textFill>
              </w:rPr>
            </m:ctrlPr>
          </m:sub>
        </m:sSub>
      </m:oMath>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标准中</w:t>
      </w:r>
      <w:r>
        <w:rPr>
          <w:color w:val="000000" w:themeColor="text1"/>
          <w:sz w:val="24"/>
          <w14:textFill>
            <w14:solidFill>
              <w14:schemeClr w14:val="tx1"/>
            </w14:solidFill>
          </w14:textFill>
        </w:rPr>
        <w:t>pH</w:t>
      </w:r>
      <w:r>
        <w:rPr>
          <w:rFonts w:hint="eastAsia"/>
          <w:color w:val="000000" w:themeColor="text1"/>
          <w:sz w:val="24"/>
          <w14:textFill>
            <w14:solidFill>
              <w14:schemeClr w14:val="tx1"/>
            </w14:solidFill>
          </w14:textFill>
        </w:rPr>
        <w:t>的上限值。</w:t>
      </w:r>
    </w:p>
    <w:p w14:paraId="5B643721">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本项目地下水环境现状评价结果见下表：</w:t>
      </w:r>
    </w:p>
    <w:p w14:paraId="2EA3D25E">
      <w:pPr>
        <w:pStyle w:val="1771"/>
        <w:spacing w:line="360" w:lineRule="auto"/>
        <w:rPr>
          <w:snapToGrid w:val="0"/>
          <w:color w:val="000000" w:themeColor="text1"/>
          <w:szCs w:val="21"/>
          <w14:textFill>
            <w14:solidFill>
              <w14:schemeClr w14:val="tx1"/>
            </w14:solidFill>
          </w14:textFill>
        </w:rPr>
      </w:pPr>
      <w:bookmarkStart w:id="626" w:name="_Toc16812_WPSOffice_Level3"/>
      <w:bookmarkStart w:id="627" w:name="_Toc19767_WPSOffice_Level3"/>
      <w:bookmarkStart w:id="628" w:name="_Toc21740"/>
      <w:bookmarkStart w:id="629" w:name="_Toc31891_WPSOffice_Level3"/>
      <w:bookmarkStart w:id="630" w:name="_Toc29577_WPSOffice_Level3"/>
      <w:r>
        <w:rPr>
          <w:rFonts w:hint="eastAsia"/>
          <w:snapToGrid w:val="0"/>
          <w:color w:val="000000" w:themeColor="text1"/>
          <w:szCs w:val="21"/>
          <w14:textFill>
            <w14:solidFill>
              <w14:schemeClr w14:val="tx1"/>
            </w14:solidFill>
          </w14:textFill>
        </w:rPr>
        <w:t>表</w:t>
      </w:r>
      <w:r>
        <w:rPr>
          <w:snapToGrid w:val="0"/>
          <w:color w:val="000000" w:themeColor="text1"/>
          <w:szCs w:val="21"/>
          <w14:textFill>
            <w14:solidFill>
              <w14:schemeClr w14:val="tx1"/>
            </w14:solidFill>
          </w14:textFill>
        </w:rPr>
        <w:t>4.</w:t>
      </w:r>
      <w:r>
        <w:rPr>
          <w:snapToGrid w:val="0"/>
          <w:color w:val="000000" w:themeColor="text1"/>
          <w:szCs w:val="21"/>
          <w:lang w:val="en-US"/>
          <w14:textFill>
            <w14:solidFill>
              <w14:schemeClr w14:val="tx1"/>
            </w14:solidFill>
          </w14:textFill>
        </w:rPr>
        <w:t>2</w:t>
      </w:r>
      <w:r>
        <w:rPr>
          <w:snapToGrid w:val="0"/>
          <w:color w:val="000000" w:themeColor="text1"/>
          <w:szCs w:val="21"/>
          <w14:textFill>
            <w14:solidFill>
              <w14:schemeClr w14:val="tx1"/>
            </w14:solidFill>
          </w14:textFill>
        </w:rPr>
        <w:t>-1</w:t>
      </w:r>
      <w:r>
        <w:rPr>
          <w:snapToGrid w:val="0"/>
          <w:color w:val="000000" w:themeColor="text1"/>
          <w:szCs w:val="21"/>
          <w:lang w:val="en-US"/>
          <w14:textFill>
            <w14:solidFill>
              <w14:schemeClr w14:val="tx1"/>
            </w14:solidFill>
          </w14:textFill>
        </w:rPr>
        <w:t xml:space="preserve">7 </w:t>
      </w:r>
      <w:bookmarkEnd w:id="626"/>
      <w:bookmarkEnd w:id="627"/>
      <w:bookmarkEnd w:id="628"/>
      <w:bookmarkEnd w:id="629"/>
      <w:bookmarkEnd w:id="630"/>
      <w:r>
        <w:rPr>
          <w:rFonts w:hint="eastAsia"/>
          <w:snapToGrid w:val="0"/>
          <w:color w:val="000000" w:themeColor="text1"/>
          <w:szCs w:val="21"/>
          <w14:textFill>
            <w14:solidFill>
              <w14:schemeClr w14:val="tx1"/>
            </w14:solidFill>
          </w14:textFill>
        </w:rPr>
        <w:t>地下水环境现状评价结果</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519"/>
        <w:gridCol w:w="837"/>
        <w:gridCol w:w="838"/>
        <w:gridCol w:w="838"/>
        <w:gridCol w:w="838"/>
        <w:gridCol w:w="838"/>
        <w:gridCol w:w="838"/>
        <w:gridCol w:w="757"/>
        <w:gridCol w:w="616"/>
        <w:gridCol w:w="394"/>
      </w:tblGrid>
      <w:tr w14:paraId="12002A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43" w:hRule="atLeast"/>
          <w:jc w:val="center"/>
        </w:trPr>
        <w:tc>
          <w:tcPr>
            <w:tcW w:w="558" w:type="pct"/>
            <w:vMerge w:val="restart"/>
            <w:tcBorders>
              <w:top w:val="single" w:color="auto" w:sz="12" w:space="0"/>
              <w:left w:val="nil"/>
              <w:bottom w:val="single" w:color="auto" w:sz="4" w:space="0"/>
              <w:right w:val="single" w:color="auto" w:sz="4" w:space="0"/>
            </w:tcBorders>
            <w:tcMar>
              <w:top w:w="0" w:type="dxa"/>
              <w:left w:w="108" w:type="dxa"/>
              <w:bottom w:w="0" w:type="dxa"/>
              <w:right w:w="108" w:type="dxa"/>
            </w:tcMar>
            <w:vAlign w:val="center"/>
          </w:tcPr>
          <w:p w14:paraId="5DCA30C5">
            <w:pPr>
              <w:jc w:val="center"/>
              <w:rPr>
                <w:b/>
                <w:bCs/>
                <w:color w:val="000000" w:themeColor="text1"/>
                <w:szCs w:val="21"/>
                <w14:textFill>
                  <w14:solidFill>
                    <w14:schemeClr w14:val="tx1"/>
                  </w14:solidFill>
                </w14:textFill>
              </w:rPr>
            </w:pPr>
            <w:bookmarkStart w:id="631" w:name="_Toc9827"/>
            <w:bookmarkStart w:id="632" w:name="_Toc10202"/>
            <w:bookmarkStart w:id="633" w:name="_Toc14321"/>
            <w:bookmarkStart w:id="634" w:name="_Toc16647"/>
            <w:bookmarkStart w:id="635" w:name="_Toc16712" w:colFirst="1" w:colLast="7"/>
            <w:bookmarkStart w:id="636" w:name="_Toc18936" w:colFirst="1" w:colLast="7"/>
            <w:bookmarkStart w:id="637" w:name="_Toc21791" w:colFirst="1" w:colLast="7"/>
            <w:bookmarkStart w:id="638" w:name="_Toc26257" w:colFirst="1" w:colLast="7"/>
            <w:r>
              <w:rPr>
                <w:rFonts w:hint="eastAsia"/>
                <w:b/>
                <w:bCs/>
                <w:color w:val="000000" w:themeColor="text1"/>
                <w:szCs w:val="21"/>
                <w14:textFill>
                  <w14:solidFill>
                    <w14:schemeClr w14:val="tx1"/>
                  </w14:solidFill>
                </w14:textFill>
              </w:rPr>
              <w:t>检测项目</w:t>
            </w:r>
            <w:bookmarkEnd w:id="631"/>
            <w:bookmarkEnd w:id="632"/>
            <w:bookmarkEnd w:id="633"/>
            <w:bookmarkEnd w:id="634"/>
          </w:p>
        </w:tc>
        <w:tc>
          <w:tcPr>
            <w:tcW w:w="3191" w:type="pct"/>
            <w:gridSpan w:val="6"/>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0BDE07E">
            <w:pPr>
              <w:jc w:val="center"/>
              <w:rPr>
                <w:b/>
                <w:bCs/>
                <w:color w:val="000000" w:themeColor="text1"/>
                <w:szCs w:val="21"/>
                <w14:textFill>
                  <w14:solidFill>
                    <w14:schemeClr w14:val="tx1"/>
                  </w14:solidFill>
                </w14:textFill>
              </w:rPr>
            </w:pPr>
            <w:bookmarkStart w:id="639" w:name="_Toc8797"/>
            <w:bookmarkStart w:id="640" w:name="_Toc23096"/>
            <w:bookmarkStart w:id="641" w:name="_Toc27022"/>
            <w:bookmarkStart w:id="642" w:name="_Toc8311"/>
            <w:r>
              <w:rPr>
                <w:rFonts w:hint="eastAsia"/>
                <w:b/>
                <w:bCs/>
                <w:color w:val="000000" w:themeColor="text1"/>
                <w:szCs w:val="21"/>
                <w14:textFill>
                  <w14:solidFill>
                    <w14:schemeClr w14:val="tx1"/>
                  </w14:solidFill>
                </w14:textFill>
              </w:rPr>
              <w:t>检测结果</w:t>
            </w:r>
            <w:bookmarkEnd w:id="639"/>
            <w:bookmarkEnd w:id="640"/>
            <w:bookmarkEnd w:id="641"/>
            <w:bookmarkEnd w:id="642"/>
          </w:p>
        </w:tc>
        <w:tc>
          <w:tcPr>
            <w:tcW w:w="517" w:type="pct"/>
            <w:vMerge w:val="restart"/>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F59FCF7">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标准值</w:t>
            </w:r>
          </w:p>
        </w:tc>
        <w:tc>
          <w:tcPr>
            <w:tcW w:w="436" w:type="pct"/>
            <w:vMerge w:val="restart"/>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A4A7C9A">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P</w:t>
            </w:r>
            <w:r>
              <w:rPr>
                <w:b/>
                <w:bCs/>
                <w:color w:val="000000" w:themeColor="text1"/>
                <w:szCs w:val="21"/>
                <w:vertAlign w:val="subscript"/>
                <w14:textFill>
                  <w14:solidFill>
                    <w14:schemeClr w14:val="tx1"/>
                  </w14:solidFill>
                </w14:textFill>
              </w:rPr>
              <w:t>imax</w:t>
            </w:r>
          </w:p>
        </w:tc>
        <w:tc>
          <w:tcPr>
            <w:tcW w:w="295" w:type="pct"/>
            <w:vMerge w:val="restart"/>
            <w:tcBorders>
              <w:top w:val="single" w:color="auto" w:sz="12" w:space="0"/>
              <w:left w:val="single" w:color="auto" w:sz="4" w:space="0"/>
              <w:bottom w:val="single" w:color="auto" w:sz="4" w:space="0"/>
              <w:right w:val="nil"/>
            </w:tcBorders>
            <w:tcMar>
              <w:top w:w="0" w:type="dxa"/>
              <w:left w:w="108" w:type="dxa"/>
              <w:bottom w:w="0" w:type="dxa"/>
              <w:right w:w="108" w:type="dxa"/>
            </w:tcMar>
            <w:vAlign w:val="center"/>
          </w:tcPr>
          <w:p w14:paraId="569AF6F0">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达标情况</w:t>
            </w:r>
          </w:p>
        </w:tc>
      </w:tr>
      <w:bookmarkEnd w:id="635"/>
      <w:bookmarkEnd w:id="636"/>
      <w:bookmarkEnd w:id="637"/>
      <w:bookmarkEnd w:id="638"/>
      <w:tr w14:paraId="7CDC49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151"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2B6F58D9">
            <w:pPr>
              <w:rPr>
                <w:b/>
                <w:bCs/>
                <w:color w:val="000000" w:themeColor="text1"/>
                <w:szCs w:val="21"/>
                <w14:textFill>
                  <w14:solidFill>
                    <w14:schemeClr w14:val="tx1"/>
                  </w14:solidFill>
                </w14:textFill>
              </w:rPr>
            </w:pPr>
          </w:p>
        </w:tc>
        <w:tc>
          <w:tcPr>
            <w:tcW w:w="1034" w:type="pct"/>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9B03CD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083" w:type="pct"/>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91A22C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074" w:type="pct"/>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B4E1A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38413702">
            <w:pPr>
              <w:rPr>
                <w:b/>
                <w:bCs/>
                <w:color w:val="000000" w:themeColor="text1"/>
                <w:szCs w:val="21"/>
                <w14:textFill>
                  <w14:solidFill>
                    <w14:schemeClr w14:val="tx1"/>
                  </w14:solidFill>
                </w14:textFill>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38E806D1">
            <w:pPr>
              <w:rPr>
                <w:b/>
                <w:bCs/>
                <w:color w:val="000000" w:themeColor="text1"/>
                <w:szCs w:val="21"/>
                <w14:textFill>
                  <w14:solidFill>
                    <w14:schemeClr w14:val="tx1"/>
                  </w14:solidFill>
                </w14:textFill>
              </w:rPr>
            </w:pPr>
          </w:p>
        </w:tc>
        <w:tc>
          <w:tcPr>
            <w:tcW w:w="0" w:type="auto"/>
            <w:vMerge w:val="continue"/>
            <w:tcBorders>
              <w:top w:val="single" w:color="auto" w:sz="12" w:space="0"/>
              <w:left w:val="single" w:color="auto" w:sz="4" w:space="0"/>
              <w:bottom w:val="single" w:color="auto" w:sz="4" w:space="0"/>
              <w:right w:val="nil"/>
            </w:tcBorders>
            <w:vAlign w:val="center"/>
          </w:tcPr>
          <w:p w14:paraId="385A5785">
            <w:pPr>
              <w:rPr>
                <w:b/>
                <w:bCs/>
                <w:color w:val="000000" w:themeColor="text1"/>
                <w:szCs w:val="21"/>
                <w14:textFill>
                  <w14:solidFill>
                    <w14:schemeClr w14:val="tx1"/>
                  </w14:solidFill>
                </w14:textFill>
              </w:rPr>
            </w:pPr>
          </w:p>
        </w:tc>
      </w:tr>
      <w:tr w14:paraId="0FF389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151" w:hRule="atLeast"/>
          <w:jc w:val="center"/>
        </w:trPr>
        <w:tc>
          <w:tcPr>
            <w:tcW w:w="0" w:type="auto"/>
            <w:vMerge w:val="continue"/>
            <w:tcBorders>
              <w:top w:val="single" w:color="auto" w:sz="12" w:space="0"/>
              <w:left w:val="nil"/>
              <w:bottom w:val="single" w:color="auto" w:sz="4" w:space="0"/>
              <w:right w:val="single" w:color="auto" w:sz="4" w:space="0"/>
            </w:tcBorders>
            <w:vAlign w:val="center"/>
          </w:tcPr>
          <w:p w14:paraId="2A06530C">
            <w:pPr>
              <w:rPr>
                <w:b/>
                <w:bCs/>
                <w:color w:val="000000" w:themeColor="text1"/>
                <w:szCs w:val="21"/>
                <w14:textFill>
                  <w14:solidFill>
                    <w14:schemeClr w14:val="tx1"/>
                  </w14:solidFill>
                </w14:textFill>
              </w:rPr>
            </w:pP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FACB66B">
            <w:pPr>
              <w:jc w:val="center"/>
              <w:rPr>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2025.6.7</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DF1684">
            <w:pPr>
              <w:jc w:val="center"/>
              <w:rPr>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2025.6.8</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C6F9228">
            <w:pPr>
              <w:jc w:val="center"/>
              <w:rPr>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2025.6.7</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F46D7F4">
            <w:pPr>
              <w:jc w:val="center"/>
              <w:rPr>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2025.6.8</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BD79A29">
            <w:pPr>
              <w:jc w:val="center"/>
              <w:rPr>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2025.6.7</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941EDBC">
            <w:pPr>
              <w:jc w:val="center"/>
              <w:rPr>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2025.6.8</w:t>
            </w: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714A3324">
            <w:pPr>
              <w:rPr>
                <w:b/>
                <w:bCs/>
                <w:color w:val="000000" w:themeColor="text1"/>
                <w:szCs w:val="21"/>
                <w14:textFill>
                  <w14:solidFill>
                    <w14:schemeClr w14:val="tx1"/>
                  </w14:solidFill>
                </w14:textFill>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4698D102">
            <w:pPr>
              <w:rPr>
                <w:b/>
                <w:bCs/>
                <w:color w:val="000000" w:themeColor="text1"/>
                <w:szCs w:val="21"/>
                <w14:textFill>
                  <w14:solidFill>
                    <w14:schemeClr w14:val="tx1"/>
                  </w14:solidFill>
                </w14:textFill>
              </w:rPr>
            </w:pPr>
          </w:p>
        </w:tc>
        <w:tc>
          <w:tcPr>
            <w:tcW w:w="0" w:type="auto"/>
            <w:vMerge w:val="continue"/>
            <w:tcBorders>
              <w:top w:val="single" w:color="auto" w:sz="12" w:space="0"/>
              <w:left w:val="single" w:color="auto" w:sz="4" w:space="0"/>
              <w:bottom w:val="single" w:color="auto" w:sz="4" w:space="0"/>
              <w:right w:val="nil"/>
            </w:tcBorders>
            <w:vAlign w:val="center"/>
          </w:tcPr>
          <w:p w14:paraId="6F9706FA">
            <w:pPr>
              <w:rPr>
                <w:b/>
                <w:bCs/>
                <w:color w:val="000000" w:themeColor="text1"/>
                <w:szCs w:val="21"/>
                <w14:textFill>
                  <w14:solidFill>
                    <w14:schemeClr w14:val="tx1"/>
                  </w14:solidFill>
                </w14:textFill>
              </w:rPr>
            </w:pPr>
          </w:p>
        </w:tc>
      </w:tr>
      <w:tr w14:paraId="4DAB06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CDE793E">
            <w:pPr>
              <w:jc w:val="center"/>
              <w:rPr>
                <w:color w:val="000000" w:themeColor="text1"/>
                <w:szCs w:val="21"/>
                <w14:textFill>
                  <w14:solidFill>
                    <w14:schemeClr w14:val="tx1"/>
                  </w14:solidFill>
                </w14:textFill>
              </w:rPr>
            </w:pPr>
            <w:bookmarkStart w:id="643" w:name="_Toc28096"/>
            <w:bookmarkStart w:id="644" w:name="_Toc24748"/>
            <w:bookmarkStart w:id="645" w:name="_Toc27215"/>
            <w:bookmarkStart w:id="646" w:name="_Toc18604"/>
            <w:r>
              <w:rPr>
                <w:color w:val="000000" w:themeColor="text1"/>
                <w:szCs w:val="21"/>
                <w14:textFill>
                  <w14:solidFill>
                    <w14:schemeClr w14:val="tx1"/>
                  </w14:solidFill>
                </w14:textFill>
              </w:rPr>
              <w:t>PH</w:t>
            </w:r>
            <w:r>
              <w:rPr>
                <w:rFonts w:hint="eastAsia"/>
                <w:color w:val="000000" w:themeColor="text1"/>
                <w:szCs w:val="21"/>
                <w14:textFill>
                  <w14:solidFill>
                    <w14:schemeClr w14:val="tx1"/>
                  </w14:solidFill>
                </w14:textFill>
              </w:rPr>
              <w:t>（无量纲）</w:t>
            </w:r>
            <w:bookmarkEnd w:id="643"/>
            <w:bookmarkEnd w:id="644"/>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DE031C">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7.6</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92A1CDE">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7.5</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FA2465E">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7.4</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F725632">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7.6</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619207">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7.8</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2C1CE3">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7.7</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95D248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6.5~8.5</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4F36B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0.53</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0AF3FFD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562BE3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5158D87">
            <w:pPr>
              <w:jc w:val="center"/>
              <w:rPr>
                <w:color w:val="000000" w:themeColor="text1"/>
                <w:szCs w:val="21"/>
                <w14:textFill>
                  <w14:solidFill>
                    <w14:schemeClr w14:val="tx1"/>
                  </w14:solidFill>
                </w14:textFill>
              </w:rPr>
            </w:pPr>
            <w:bookmarkStart w:id="647" w:name="_Toc26947"/>
            <w:bookmarkStart w:id="648" w:name="_Toc23027"/>
            <w:r>
              <w:rPr>
                <w:rFonts w:hint="eastAsia"/>
                <w:color w:val="000000" w:themeColor="text1"/>
                <w:szCs w:val="21"/>
                <w14:textFill>
                  <w14:solidFill>
                    <w14:schemeClr w14:val="tx1"/>
                  </w14:solidFill>
                </w14:textFill>
              </w:rPr>
              <w:t>总硬度</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E34079">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231</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72D1FED">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188</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92E82E5">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279</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8603CB8">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264</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F063B27">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230</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D183EFB">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242</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34E7B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≤450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6AB459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0.62</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73992BA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0C39E5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CB55DC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溶解性总固体</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4DC6222">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296</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5AD721E">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302</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9FFB27B">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396</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16EDA66">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399</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4BD39FF">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311</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A66B54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328</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145C6E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≤1000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ED534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0.40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17A0BB3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1D5CE9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429EB2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铁</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2F4FC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D151F0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E5401D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7D6AAA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15CDE6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2CD995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480A31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≤0.3</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5FD158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492EA42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7734A6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06B32B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锰</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B85E44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A94834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E7C962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9936D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D922A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1125C7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8733E1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21DCE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7624A75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7E9432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9E4339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铜</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29B555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C2684C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CC0EF1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0A1D8B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C03D2A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9B41E6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FF9DA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24EEA2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4879AAA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5E33DD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664A81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锌</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E92264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D3E93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7A6678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5DF692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6D1203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FCC74F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1AF923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7898FE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0361E8F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14F1CE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06B7A6D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铝</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E893EA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234983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C0DEE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0.11</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03545F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0.08</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C964E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0.07</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731B64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92ACE5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≤0.20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A3B6FF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0.55</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5543611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5EB0A3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B9E628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挥发酚</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636ABB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A672B3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2F156E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FA00D7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A32ADB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3EF12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AB6AE2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≤0.002</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D42E1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39D5EB4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4B3987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9772D8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阴离子表面活性剂</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C1B581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00FF48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F23B38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7AB4AD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163CDD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CDC648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E0899E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≤0.3</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B061CF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14924A4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456F95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9223C0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耗氧量</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1662AA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0.6</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7EBBB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0.8</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3F3D856">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0.8</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CBF1CF5">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0.8</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AC6A1F2">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0.6</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13F8A91">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0.9</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B3CBB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9B330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0.3</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6E015D9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730BD5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4C981F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氨氮</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18BB39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0.096</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775F0BE">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0.138</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A15BAD">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0.228</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346CD99">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0.176</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E4A2094">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0.199</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CD097DF">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0.167</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95F122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≤0.5</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F47B7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0.456</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1D58CF0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bookmarkEnd w:id="647"/>
      <w:bookmarkEnd w:id="648"/>
      <w:tr w14:paraId="6B62B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814112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硫化物</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4E2B5F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86AE84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85D735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41F778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639271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99EA92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CB1AC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≤0.02</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8CFECB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2BB8CB7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2CB41E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4A5214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总大肠菌群（</w:t>
            </w:r>
            <w:r>
              <w:rPr>
                <w:color w:val="000000" w:themeColor="text1"/>
                <w:szCs w:val="21"/>
                <w14:textFill>
                  <w14:solidFill>
                    <w14:schemeClr w14:val="tx1"/>
                  </w14:solidFill>
                </w14:textFill>
              </w:rPr>
              <w:t>MPN/100mL</w:t>
            </w:r>
            <w:r>
              <w:rPr>
                <w:rFonts w:hint="eastAsia"/>
                <w:color w:val="000000" w:themeColor="text1"/>
                <w:szCs w:val="21"/>
                <w14:textFill>
                  <w14:solidFill>
                    <w14:schemeClr w14:val="tx1"/>
                  </w14:solidFill>
                </w14:textFill>
              </w:rPr>
              <w:t>）</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FB02DB">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1A93F68">
            <w:pPr>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4F26D4C">
            <w:pPr>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357C177">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A5EFA9">
            <w:pPr>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E802C8">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FBF8B12">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2471845">
            <w:pPr>
              <w:jc w:val="center"/>
              <w:textAlignment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0.67</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1C7AC3B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10309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4F3894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细菌总数（</w:t>
            </w:r>
            <w:r>
              <w:rPr>
                <w:color w:val="000000" w:themeColor="text1"/>
                <w:szCs w:val="21"/>
                <w14:textFill>
                  <w14:solidFill>
                    <w14:schemeClr w14:val="tx1"/>
                  </w14:solidFill>
                </w14:textFill>
              </w:rPr>
              <w:t>CFU/100mL</w:t>
            </w:r>
            <w:r>
              <w:rPr>
                <w:rFonts w:hint="eastAsia"/>
                <w:color w:val="000000" w:themeColor="text1"/>
                <w:szCs w:val="21"/>
                <w14:textFill>
                  <w14:solidFill>
                    <w14:schemeClr w14:val="tx1"/>
                  </w14:solidFill>
                </w14:textFill>
              </w:rPr>
              <w:t>）</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DE5A38F">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97</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C08515">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90</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DBE5230">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73</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963FA4B">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77</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85D6A7">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86</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88A27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81</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CE0C0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7B0E72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0.97</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08A07EE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0FACF0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3C6056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亚硝酸盐</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EC9EB2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34E18F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621B777">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0.015</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6883F59">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0.016</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3F3217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15857F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53317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41AD22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0.016</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43FE591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4F78C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880C4C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硝酸盐</w:t>
            </w:r>
          </w:p>
        </w:tc>
        <w:tc>
          <w:tcPr>
            <w:tcW w:w="9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F0A2C1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8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44B06F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93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D56EEA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91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B0E23A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879C2B6">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0.650</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22F9730">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0.549</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6C7C27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7C014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0.032</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784A24F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2C768E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7F323C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氰化物</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5AF99A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CA65CC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4238A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88429F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14AFDF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4FEA62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8391EC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5F893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3621098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747091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B57E2F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氟化物</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5ABD967">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0.079</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CC027EC">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0.054</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2C86AF7">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0.238</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BC6497">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0.238</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F6BCD0C">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0.096</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5A6172E">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0.168</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FD4270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8EA70B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0.238</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24F209D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2DA31E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D8F0E5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碘化物</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4255B5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82E2CF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E7FCC1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7C51F1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45960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89A90D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CB38EA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≤0.08</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F75656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25BF0EA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32F726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5CC4C7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汞</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99DB16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1AB2C7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ED56A4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5A331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B665CA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FD836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8A7EA1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≤0.001</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CCCCAD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078FCEA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73DDFD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E86E3B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砷</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7DAFD4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734960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76BFAE2">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0.0004</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4848B5D">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0.0003</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E351C4">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0.0003</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C4A404">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0.0004</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4D5292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≤0.01</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098DF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0.04</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13C47C3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453853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65702EB">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硒</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317C28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18E374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EBFD1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359CBF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6F20CB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EDE570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2BD177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≤0.01</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B38D52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4E559B6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26ED35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CF6A9D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镉</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DDD90E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0.0002</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80D409D">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0.0003</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74BE8C">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0.0002</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CBECFE9">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0.0002</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3AE953">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0.0003</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215DA2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0.0003</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B5F3BE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≤0.005</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89BAB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0.06</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51CC553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5009B9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535129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六价铬</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017425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759A80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590D26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FE40DB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AEFC32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B1FAC6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925CC7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213A3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17C3DD3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3D6BA4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2018AB0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铅</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D65221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BDAFA8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AC9928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2068F6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B7ED6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B1C89B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DB71D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≤0.01</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DAC235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3FD3DA5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6397C8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65996AB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K</w:t>
            </w:r>
            <w:r>
              <w:rPr>
                <w:color w:val="000000" w:themeColor="text1"/>
                <w:szCs w:val="21"/>
                <w:vertAlign w:val="superscript"/>
                <w14:textFill>
                  <w14:solidFill>
                    <w14:schemeClr w14:val="tx1"/>
                  </w14:solidFill>
                </w14:textFill>
              </w:rPr>
              <w:t>+</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9A007EF">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2.06</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B5D35A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2.03</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1E08C6E">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1.52</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E783159">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1.49</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40A17EB">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15.6</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244847C">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15.4</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99B7B6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CD965F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6B2ACA1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0468FC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50EAD8E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钠</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900DF4">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20.7</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D742308">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20.3</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B70B823">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13.3</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E54BC1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13.2</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3C123C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16.9</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386B70D">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16.5</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229502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5F5C24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0.10</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502A5E1A">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5463CA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4AAC0B1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Ca</w:t>
            </w:r>
            <w:r>
              <w:rPr>
                <w:color w:val="000000" w:themeColor="text1"/>
                <w:szCs w:val="21"/>
                <w:vertAlign w:val="superscript"/>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532B24C">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32.3</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4EEDCE2">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25.9</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A9CAAB0">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52.0</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74CDA96">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55.6</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A6A6C42">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47.1</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FC7E98E">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48.2</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357D4A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B863CB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07D368B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620C7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35300C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Mg</w:t>
            </w:r>
            <w:r>
              <w:rPr>
                <w:color w:val="000000" w:themeColor="text1"/>
                <w:szCs w:val="21"/>
                <w:vertAlign w:val="superscript"/>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2525C23">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13.0</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CA5963C">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11.9</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7816ED0">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14.2</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B84F470">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14.3</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6A21C1E">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14.9</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41D83E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15.0</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B5A79C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8FDC17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39F4091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749E4F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33EA3E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w:t>
            </w:r>
            <w:r>
              <w:rPr>
                <w:color w:val="000000" w:themeColor="text1"/>
                <w:szCs w:val="21"/>
                <w:vertAlign w:val="subscript"/>
                <w14:textFill>
                  <w14:solidFill>
                    <w14:schemeClr w14:val="tx1"/>
                  </w14:solidFill>
                </w14:textFill>
              </w:rPr>
              <w:t>3</w:t>
            </w:r>
            <w:r>
              <w:rPr>
                <w:color w:val="000000" w:themeColor="text1"/>
                <w:szCs w:val="21"/>
                <w:vertAlign w:val="superscript"/>
                <w14:textFill>
                  <w14:solidFill>
                    <w14:schemeClr w14:val="tx1"/>
                  </w14:solidFill>
                </w14:textFill>
              </w:rPr>
              <w:t>2-</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521B6E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97245F5">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FF2AEE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C2BD6A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8D6107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741A82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CDD9A1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C6E4DB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3EA9012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0A5352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786BE16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HCO</w:t>
            </w:r>
            <w:r>
              <w:rPr>
                <w:color w:val="000000" w:themeColor="text1"/>
                <w:szCs w:val="21"/>
                <w:vertAlign w:val="superscript"/>
                <w14:textFill>
                  <w14:solidFill>
                    <w14:schemeClr w14:val="tx1"/>
                  </w14:solidFill>
                </w14:textFill>
              </w:rPr>
              <w:t>3-</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DB304C2">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236</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7CA6650">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193</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C3CAC0">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358</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44610B9">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349</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EFC7567">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341</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630D558">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351</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A75848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9694CA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77AEDCA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3ABD88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39A2FABE">
            <w:pPr>
              <w:jc w:val="center"/>
              <w:rPr>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氯化物</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C7A0E29">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19.2</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17E0B25">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19.8</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7E5286">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19.6</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830AE7A">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19.9</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EA26952">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19.6</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7AF30F4">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25.5</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6F5C30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≤250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D47BAD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0.102</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43D76EA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0E1A13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4" w:space="0"/>
              <w:right w:val="single" w:color="auto" w:sz="4" w:space="0"/>
            </w:tcBorders>
            <w:tcMar>
              <w:top w:w="0" w:type="dxa"/>
              <w:left w:w="108" w:type="dxa"/>
              <w:bottom w:w="0" w:type="dxa"/>
              <w:right w:w="108" w:type="dxa"/>
            </w:tcMar>
            <w:vAlign w:val="center"/>
          </w:tcPr>
          <w:p w14:paraId="142BD7A0">
            <w:pPr>
              <w:jc w:val="center"/>
              <w:rPr>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硫酸盐</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FBBF28">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18.6</w:t>
            </w:r>
          </w:p>
        </w:tc>
        <w:tc>
          <w:tcPr>
            <w:tcW w:w="49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4E15DEB">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17.5</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4DCA190">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15.5</w:t>
            </w:r>
          </w:p>
        </w:tc>
        <w:tc>
          <w:tcPr>
            <w:tcW w:w="5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F2EFD10">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15.8</w:t>
            </w:r>
          </w:p>
        </w:tc>
        <w:tc>
          <w:tcPr>
            <w:tcW w:w="52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8AF09EF">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9.51</w:t>
            </w:r>
          </w:p>
        </w:tc>
        <w:tc>
          <w:tcPr>
            <w:tcW w:w="54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E1CD55D">
            <w:pPr>
              <w:jc w:val="center"/>
              <w:textAlignment w:val="center"/>
              <w:rPr>
                <w:color w:val="000000" w:themeColor="text1"/>
                <w:szCs w:val="21"/>
                <w14:textFill>
                  <w14:solidFill>
                    <w14:schemeClr w14:val="tx1"/>
                  </w14:solidFill>
                </w14:textFill>
              </w:rPr>
            </w:pPr>
            <w:r>
              <w:rPr>
                <w:rFonts w:eastAsiaTheme="minorEastAsia"/>
                <w:bCs/>
                <w:color w:val="000000" w:themeColor="text1"/>
                <w:szCs w:val="21"/>
                <w14:textFill>
                  <w14:solidFill>
                    <w14:schemeClr w14:val="tx1"/>
                  </w14:solidFill>
                </w14:textFill>
              </w:rPr>
              <w:t>17.4</w:t>
            </w:r>
          </w:p>
        </w:tc>
        <w:tc>
          <w:tcPr>
            <w:tcW w:w="517"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3322BD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≤250</w:t>
            </w:r>
          </w:p>
        </w:tc>
        <w:tc>
          <w:tcPr>
            <w:tcW w:w="436"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6C80BB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0.074</w:t>
            </w:r>
          </w:p>
        </w:tc>
        <w:tc>
          <w:tcPr>
            <w:tcW w:w="295" w:type="pct"/>
            <w:tcBorders>
              <w:top w:val="single" w:color="auto" w:sz="4" w:space="0"/>
              <w:left w:val="single" w:color="auto" w:sz="4" w:space="0"/>
              <w:bottom w:val="single" w:color="auto" w:sz="4" w:space="0"/>
              <w:right w:val="nil"/>
            </w:tcBorders>
            <w:tcMar>
              <w:top w:w="0" w:type="dxa"/>
              <w:left w:w="108" w:type="dxa"/>
              <w:bottom w:w="0" w:type="dxa"/>
              <w:right w:w="108" w:type="dxa"/>
            </w:tcMar>
            <w:vAlign w:val="center"/>
          </w:tcPr>
          <w:p w14:paraId="5376C2C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17A1B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558" w:type="pct"/>
            <w:tcBorders>
              <w:top w:val="single" w:color="auto" w:sz="4" w:space="0"/>
              <w:left w:val="nil"/>
              <w:bottom w:val="single" w:color="auto" w:sz="12" w:space="0"/>
              <w:right w:val="single" w:color="auto" w:sz="4" w:space="0"/>
            </w:tcBorders>
            <w:tcMar>
              <w:top w:w="0" w:type="dxa"/>
              <w:left w:w="108" w:type="dxa"/>
              <w:bottom w:w="0" w:type="dxa"/>
              <w:right w:w="108" w:type="dxa"/>
            </w:tcMar>
            <w:vAlign w:val="center"/>
          </w:tcPr>
          <w:p w14:paraId="197CF13B">
            <w:pPr>
              <w:jc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石油类</w:t>
            </w:r>
          </w:p>
        </w:tc>
        <w:tc>
          <w:tcPr>
            <w:tcW w:w="916"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693F19A1">
            <w:pPr>
              <w:jc w:val="center"/>
              <w:rPr>
                <w:rFonts w:eastAsiaTheme="minorEastAsia"/>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850"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34C73458">
            <w:pPr>
              <w:jc w:val="center"/>
              <w:rPr>
                <w:rFonts w:eastAsiaTheme="minorEastAsia"/>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934"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592FDB4D">
            <w:pPr>
              <w:jc w:val="center"/>
              <w:rPr>
                <w:rFonts w:eastAsiaTheme="minorEastAsia"/>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916"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1BFCEFD1">
            <w:pPr>
              <w:jc w:val="center"/>
              <w:rPr>
                <w:rFonts w:eastAsiaTheme="minorEastAsia"/>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900"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5188EC68">
            <w:pPr>
              <w:jc w:val="center"/>
              <w:rPr>
                <w:rFonts w:eastAsiaTheme="minorEastAsia"/>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934"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0CE23690">
            <w:pPr>
              <w:jc w:val="center"/>
              <w:rPr>
                <w:rFonts w:eastAsiaTheme="minorEastAsia"/>
                <w:bCs/>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未检出</w:t>
            </w:r>
          </w:p>
        </w:tc>
        <w:tc>
          <w:tcPr>
            <w:tcW w:w="517" w:type="pct"/>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5D53F18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436" w:type="pct"/>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786693B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w:t>
            </w:r>
          </w:p>
        </w:tc>
        <w:tc>
          <w:tcPr>
            <w:tcW w:w="295" w:type="pct"/>
            <w:tcBorders>
              <w:top w:val="single" w:color="auto" w:sz="4" w:space="0"/>
              <w:left w:val="single" w:color="auto" w:sz="4" w:space="0"/>
              <w:bottom w:val="single" w:color="auto" w:sz="12" w:space="0"/>
              <w:right w:val="nil"/>
            </w:tcBorders>
            <w:tcMar>
              <w:top w:w="0" w:type="dxa"/>
              <w:left w:w="108" w:type="dxa"/>
              <w:bottom w:w="0" w:type="dxa"/>
              <w:right w:w="108" w:type="dxa"/>
            </w:tcMar>
            <w:vAlign w:val="center"/>
          </w:tcPr>
          <w:p w14:paraId="123F0B5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bookmarkEnd w:id="645"/>
      <w:bookmarkEnd w:id="646"/>
    </w:tbl>
    <w:p w14:paraId="6FE52061">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由上表可知，项目所在区域的地下水监测指标均满足《地下水环境质量准》（</w:t>
      </w:r>
      <w:r>
        <w:rPr>
          <w:color w:val="000000" w:themeColor="text1"/>
          <w:sz w:val="24"/>
          <w14:textFill>
            <w14:solidFill>
              <w14:schemeClr w14:val="tx1"/>
            </w14:solidFill>
          </w14:textFill>
        </w:rPr>
        <w:t>GB14848-2017</w:t>
      </w:r>
      <w:r>
        <w:rPr>
          <w:rFonts w:hint="eastAsia"/>
          <w:color w:val="000000" w:themeColor="text1"/>
          <w:sz w:val="24"/>
          <w14:textFill>
            <w14:solidFill>
              <w14:schemeClr w14:val="tx1"/>
            </w14:solidFill>
          </w14:textFill>
        </w:rPr>
        <w:t>）中</w:t>
      </w:r>
      <w:r>
        <w:rPr>
          <w:color w:val="000000" w:themeColor="text1"/>
          <w:sz w:val="24"/>
          <w14:textFill>
            <w14:solidFill>
              <w14:schemeClr w14:val="tx1"/>
            </w14:solidFill>
          </w14:textFill>
        </w:rPr>
        <w:t>Ⅲ</w:t>
      </w:r>
      <w:r>
        <w:rPr>
          <w:rFonts w:hint="eastAsia"/>
          <w:color w:val="000000" w:themeColor="text1"/>
          <w:sz w:val="24"/>
          <w14:textFill>
            <w14:solidFill>
              <w14:schemeClr w14:val="tx1"/>
            </w14:solidFill>
          </w14:textFill>
        </w:rPr>
        <w:t>类水质标准；石油类满足《地表水环境质量标准》</w:t>
      </w:r>
      <w:r>
        <w:rPr>
          <w:color w:val="000000" w:themeColor="text1"/>
          <w:sz w:val="24"/>
          <w14:textFill>
            <w14:solidFill>
              <w14:schemeClr w14:val="tx1"/>
            </w14:solidFill>
          </w14:textFill>
        </w:rPr>
        <w:t>(GB3838-2002)</w:t>
      </w:r>
      <w:r>
        <w:rPr>
          <w:rFonts w:hint="eastAsia"/>
          <w:color w:val="000000" w:themeColor="text1"/>
          <w:sz w:val="24"/>
          <w14:textFill>
            <w14:solidFill>
              <w14:schemeClr w14:val="tx1"/>
            </w14:solidFill>
          </w14:textFill>
        </w:rPr>
        <w:t>表</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中</w:t>
      </w:r>
      <w:r>
        <w:rPr>
          <w:color w:val="000000" w:themeColor="text1"/>
          <w:sz w:val="24"/>
          <w14:textFill>
            <w14:solidFill>
              <w14:schemeClr w14:val="tx1"/>
            </w14:solidFill>
          </w14:textFill>
        </w:rPr>
        <w:t>Ⅲ</w:t>
      </w:r>
      <w:r>
        <w:rPr>
          <w:rFonts w:hint="eastAsia"/>
          <w:color w:val="000000" w:themeColor="text1"/>
          <w:sz w:val="24"/>
          <w14:textFill>
            <w14:solidFill>
              <w14:schemeClr w14:val="tx1"/>
            </w14:solidFill>
          </w14:textFill>
        </w:rPr>
        <w:t>类标准。</w:t>
      </w:r>
    </w:p>
    <w:p w14:paraId="445BE670">
      <w:pPr>
        <w:pStyle w:val="752"/>
        <w:rPr>
          <w:rFonts w:cs="Times New Roman"/>
          <w:color w:val="000000" w:themeColor="text1"/>
          <w14:textFill>
            <w14:solidFill>
              <w14:schemeClr w14:val="tx1"/>
            </w14:solidFill>
          </w14:textFill>
        </w:rPr>
      </w:pPr>
      <w:bookmarkStart w:id="649" w:name="_Toc233380199"/>
      <w:r>
        <w:rPr>
          <w:rFonts w:cs="Times New Roman"/>
          <w:color w:val="000000" w:themeColor="text1"/>
          <w14:textFill>
            <w14:solidFill>
              <w14:schemeClr w14:val="tx1"/>
            </w14:solidFill>
          </w14:textFill>
        </w:rPr>
        <w:t>4.2.6生态质量现状与评价</w:t>
      </w:r>
      <w:bookmarkEnd w:id="618"/>
      <w:bookmarkEnd w:id="619"/>
      <w:bookmarkEnd w:id="649"/>
    </w:p>
    <w:p w14:paraId="14A42896">
      <w:pPr>
        <w:widowControl w:val="0"/>
        <w:tabs>
          <w:tab w:val="left" w:pos="938"/>
        </w:tabs>
        <w:spacing w:line="360" w:lineRule="auto"/>
        <w:ind w:firstLine="482" w:firstLineChars="200"/>
        <w:outlineLvl w:val="3"/>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4.2.6.1调查和评价内容</w:t>
      </w:r>
    </w:p>
    <w:p w14:paraId="78B5CA6C">
      <w:pPr>
        <w:widowControl w:val="0"/>
        <w:tabs>
          <w:tab w:val="left" w:pos="938"/>
        </w:tabs>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调查评价区内的植物物种的种类组成和植被类型划分及描述；珍稀特有植物的种类、数量及分布特征。调查评价区内的两栖类、爬行类和兽类的种类和分布；珍稀物种的分布及其生境状况。</w:t>
      </w:r>
    </w:p>
    <w:p w14:paraId="71237975">
      <w:pPr>
        <w:widowControl w:val="0"/>
        <w:tabs>
          <w:tab w:val="left" w:pos="938"/>
        </w:tabs>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本项目生态影响评价工作等级为三级（详见2.4.6.小节），根据《环境影响 评价技术导则生态影响》（HJ19-2022），“生态现状调查应在收集资料基础上开展现场工作，生态现状调查的范围应不小于评价工作的范围。三级评价可充分</w:t>
      </w:r>
      <w:r>
        <w:rPr>
          <w:color w:val="000000" w:themeColor="text1"/>
          <w:spacing w:val="-1"/>
          <w:sz w:val="24"/>
          <w14:textFill>
            <w14:solidFill>
              <w14:schemeClr w14:val="tx1"/>
            </w14:solidFill>
          </w14:textFill>
        </w:rPr>
        <w:t>借鉴已有资料进行说明</w:t>
      </w:r>
      <w:r>
        <w:rPr>
          <w:color w:val="000000" w:themeColor="text1"/>
          <w:spacing w:val="-86"/>
          <w:sz w:val="24"/>
          <w14:textFill>
            <w14:solidFill>
              <w14:schemeClr w14:val="tx1"/>
            </w14:solidFill>
          </w14:textFill>
        </w:rPr>
        <w:t xml:space="preserve"> </w:t>
      </w:r>
      <w:r>
        <w:rPr>
          <w:color w:val="000000" w:themeColor="text1"/>
          <w:spacing w:val="-1"/>
          <w:sz w:val="24"/>
          <w14:textFill>
            <w14:solidFill>
              <w14:schemeClr w14:val="tx1"/>
            </w14:solidFill>
          </w14:textFill>
        </w:rPr>
        <w:t>”。</w:t>
      </w:r>
    </w:p>
    <w:p w14:paraId="78F770D1">
      <w:pPr>
        <w:widowControl w:val="0"/>
        <w:tabs>
          <w:tab w:val="left" w:pos="938"/>
        </w:tabs>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4.2.6.2</w:t>
      </w:r>
      <w:r>
        <w:rPr>
          <w:b/>
          <w:bCs/>
          <w:color w:val="000000" w:themeColor="text1"/>
          <w:spacing w:val="-7"/>
          <w:sz w:val="24"/>
          <w14:textFill>
            <w14:solidFill>
              <w14:schemeClr w14:val="tx1"/>
            </w14:solidFill>
          </w14:textFill>
        </w:rPr>
        <w:t>陆生植被、植物</w:t>
      </w:r>
    </w:p>
    <w:p w14:paraId="47AFF0BF">
      <w:pPr>
        <w:widowControl w:val="0"/>
        <w:tabs>
          <w:tab w:val="left" w:pos="938"/>
        </w:tabs>
        <w:spacing w:line="360" w:lineRule="auto"/>
        <w:ind w:firstLine="476" w:firstLineChars="200"/>
        <w:jc w:val="both"/>
        <w:rPr>
          <w:spacing w:val="-1"/>
          <w:sz w:val="24"/>
        </w:rPr>
      </w:pPr>
      <w:r>
        <w:rPr>
          <w:spacing w:val="-1"/>
          <w:sz w:val="24"/>
        </w:rPr>
        <w:t>本项目位于四川省巴中市巴州区，位于四川省巴中市中部，地处米仓山南麓，属秦巴山区的一部分，地形以低山、深丘为主，气候为亚热带湿润季风气候。其植被分布受地形、气候和人类活动的显著影响，兼具自然植被和人工植被的特点。</w:t>
      </w:r>
    </w:p>
    <w:p w14:paraId="43B39BBD">
      <w:pPr>
        <w:widowControl w:val="0"/>
        <w:tabs>
          <w:tab w:val="left" w:pos="938"/>
        </w:tabs>
        <w:spacing w:line="360" w:lineRule="auto"/>
        <w:ind w:firstLine="476" w:firstLineChars="200"/>
        <w:jc w:val="both"/>
        <w:rPr>
          <w:spacing w:val="-1"/>
          <w:sz w:val="24"/>
        </w:rPr>
      </w:pPr>
      <w:r>
        <w:rPr>
          <w:spacing w:val="-1"/>
          <w:sz w:val="24"/>
        </w:rPr>
        <w:t>本项目周围区域的树种为马尾松和柏木，还有麻栎、栓皮栎、桤木、毛竹</w:t>
      </w:r>
      <w:r>
        <w:rPr>
          <w:spacing w:val="-6"/>
          <w:sz w:val="24"/>
        </w:rPr>
        <w:t>。</w:t>
      </w:r>
    </w:p>
    <w:p w14:paraId="5C6A7F05">
      <w:pPr>
        <w:widowControl w:val="0"/>
        <w:tabs>
          <w:tab w:val="left" w:pos="938"/>
        </w:tabs>
        <w:spacing w:line="360" w:lineRule="auto"/>
        <w:ind w:firstLine="480" w:firstLineChars="200"/>
        <w:jc w:val="both"/>
        <w:rPr>
          <w:spacing w:val="-1"/>
          <w:sz w:val="24"/>
        </w:rPr>
      </w:pPr>
      <w:r>
        <w:rPr>
          <w:sz w:val="24"/>
        </w:rPr>
        <w:t>本项目周围区域的草本层植物主要有狗尾草、黄荆、马桑、蕨类等。</w:t>
      </w:r>
    </w:p>
    <w:p w14:paraId="7C97C917">
      <w:pPr>
        <w:spacing w:before="35" w:line="345" w:lineRule="auto"/>
        <w:ind w:left="11" w:right="188" w:firstLine="479"/>
        <w:jc w:val="both"/>
        <w:rPr>
          <w:spacing w:val="-6"/>
          <w:sz w:val="24"/>
        </w:rPr>
      </w:pPr>
      <w:r>
        <w:rPr>
          <w:sz w:val="24"/>
        </w:rPr>
        <w:t>本项目周围区域的经济树种主要有茶叶、油桐、核桃、柑橘</w:t>
      </w:r>
      <w:r>
        <w:rPr>
          <w:spacing w:val="-6"/>
          <w:sz w:val="24"/>
        </w:rPr>
        <w:t>等。</w:t>
      </w:r>
    </w:p>
    <w:p w14:paraId="660A753C">
      <w:pPr>
        <w:spacing w:before="35" w:line="345" w:lineRule="auto"/>
        <w:ind w:left="11" w:right="188" w:firstLine="479"/>
        <w:jc w:val="both"/>
        <w:rPr>
          <w:spacing w:val="-6"/>
          <w:sz w:val="24"/>
        </w:rPr>
      </w:pPr>
      <w:r>
        <w:rPr>
          <w:sz w:val="24"/>
        </w:rPr>
        <w:t>本项目周围区域的</w:t>
      </w:r>
      <w:r>
        <w:rPr>
          <w:spacing w:val="-6"/>
          <w:sz w:val="24"/>
        </w:rPr>
        <w:t>农作物主要</w:t>
      </w:r>
      <w:r>
        <w:rPr>
          <w:sz w:val="24"/>
        </w:rPr>
        <w:t>为水稻、玉米、油菜、红薯。</w:t>
      </w:r>
    </w:p>
    <w:p w14:paraId="3A405EA1">
      <w:pPr>
        <w:spacing w:before="34" w:line="353" w:lineRule="auto"/>
        <w:ind w:left="9" w:right="188" w:firstLine="480"/>
        <w:jc w:val="both"/>
        <w:rPr>
          <w:sz w:val="24"/>
        </w:rPr>
      </w:pPr>
      <w:r>
        <w:rPr>
          <w:sz w:val="24"/>
        </w:rPr>
        <w:t>本项目周围地形复杂，水热分布不均，植物种类繁杂。</w:t>
      </w:r>
      <w:r>
        <w:rPr>
          <w:spacing w:val="-1"/>
          <w:sz w:val="24"/>
        </w:rPr>
        <w:t>由于历史上长期、持续的各</w:t>
      </w:r>
      <w:r>
        <w:rPr>
          <w:spacing w:val="-2"/>
          <w:sz w:val="24"/>
        </w:rPr>
        <w:t>种人为干扰，原始林所剩无几，自然植被景观破碎化程度较高</w:t>
      </w:r>
      <w:r>
        <w:rPr>
          <w:spacing w:val="-1"/>
          <w:sz w:val="24"/>
        </w:rPr>
        <w:t>。</w:t>
      </w:r>
    </w:p>
    <w:p w14:paraId="527B2C8A">
      <w:pPr>
        <w:spacing w:before="32" w:line="345" w:lineRule="auto"/>
        <w:ind w:left="12" w:right="189" w:firstLine="480"/>
        <w:jc w:val="both"/>
        <w:rPr>
          <w:sz w:val="24"/>
        </w:rPr>
      </w:pPr>
      <w:r>
        <w:rPr>
          <w:b/>
          <w:bCs/>
          <w:spacing w:val="4"/>
          <w:sz w:val="24"/>
        </w:rPr>
        <w:t>综上，本项目周围未发现国家及地方重点保护野生动植物名录所列的物种，未发现《中国生物多样性红色名录》中列为极危、濒危和易危的物种，未发现国家和地方政府列入拯救保护的极小种群物种，未发现特有种以及古树名木等。经济林</w:t>
      </w:r>
      <w:r>
        <w:rPr>
          <w:b/>
          <w:bCs/>
          <w:spacing w:val="3"/>
          <w:sz w:val="24"/>
        </w:rPr>
        <w:t>等均</w:t>
      </w:r>
      <w:r>
        <w:rPr>
          <w:b/>
          <w:bCs/>
          <w:spacing w:val="-2"/>
          <w:sz w:val="24"/>
        </w:rPr>
        <w:t>为人工栽培的经济林木种类，非天然分布的</w:t>
      </w:r>
      <w:r>
        <w:rPr>
          <w:b/>
          <w:bCs/>
          <w:spacing w:val="-3"/>
          <w:sz w:val="24"/>
        </w:rPr>
        <w:t>保护植物。</w:t>
      </w:r>
    </w:p>
    <w:p w14:paraId="5A68931B">
      <w:pPr>
        <w:widowControl w:val="0"/>
        <w:tabs>
          <w:tab w:val="left" w:pos="938"/>
        </w:tabs>
        <w:spacing w:line="360" w:lineRule="auto"/>
        <w:ind w:firstLine="454" w:firstLineChars="200"/>
        <w:rPr>
          <w:b/>
          <w:bCs/>
          <w:color w:val="000000" w:themeColor="text1"/>
          <w:spacing w:val="-7"/>
          <w:sz w:val="24"/>
          <w14:textFill>
            <w14:solidFill>
              <w14:schemeClr w14:val="tx1"/>
            </w14:solidFill>
          </w14:textFill>
        </w:rPr>
      </w:pPr>
      <w:r>
        <w:rPr>
          <w:b/>
          <w:bCs/>
          <w:color w:val="000000" w:themeColor="text1"/>
          <w:spacing w:val="-7"/>
          <w:sz w:val="24"/>
          <w14:textFill>
            <w14:solidFill>
              <w14:schemeClr w14:val="tx1"/>
            </w14:solidFill>
          </w14:textFill>
        </w:rPr>
        <w:t>4.2.6.3陆生动物</w:t>
      </w:r>
    </w:p>
    <w:p w14:paraId="78E05F00">
      <w:pPr>
        <w:spacing w:before="34" w:line="353" w:lineRule="auto"/>
        <w:ind w:left="9" w:right="188" w:firstLine="480"/>
        <w:jc w:val="both"/>
        <w:rPr>
          <w:color w:val="000000" w:themeColor="text1"/>
          <w:spacing w:val="-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①</w:t>
      </w:r>
      <w:r>
        <w:rPr>
          <w:color w:val="000000" w:themeColor="text1"/>
          <w:spacing w:val="-1"/>
          <w:sz w:val="24"/>
          <w14:textFill>
            <w14:solidFill>
              <w14:schemeClr w14:val="tx1"/>
            </w14:solidFill>
          </w14:textFill>
        </w:rPr>
        <w:t>家庭喂养的动物资源</w:t>
      </w:r>
    </w:p>
    <w:p w14:paraId="52A98E4A">
      <w:pPr>
        <w:spacing w:before="34" w:line="353" w:lineRule="auto"/>
        <w:ind w:left="9" w:right="188" w:firstLine="48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本项目所在区域以人工生态系统为主。陆生动物以家庭喂养的畜禽为主，主要有鸡、鸭、狗、猪等。</w:t>
      </w:r>
    </w:p>
    <w:p w14:paraId="4DC4A07F">
      <w:pPr>
        <w:widowControl w:val="0"/>
        <w:tabs>
          <w:tab w:val="left" w:pos="938"/>
        </w:tabs>
        <w:spacing w:line="360" w:lineRule="auto"/>
        <w:ind w:firstLine="476" w:firstLineChars="200"/>
        <w:jc w:val="both"/>
        <w:rPr>
          <w:color w:val="000000" w:themeColor="text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②</w:t>
      </w:r>
      <w:r>
        <w:rPr>
          <w:color w:val="000000" w:themeColor="text1"/>
          <w:spacing w:val="-1"/>
          <w:sz w:val="24"/>
          <w14:textFill>
            <w14:solidFill>
              <w14:schemeClr w14:val="tx1"/>
            </w14:solidFill>
          </w14:textFill>
        </w:rPr>
        <w:t>陆生野生动物资源</w:t>
      </w:r>
    </w:p>
    <w:p w14:paraId="0B4E0C65">
      <w:pPr>
        <w:spacing w:before="34" w:line="353" w:lineRule="auto"/>
        <w:ind w:left="9" w:right="188" w:firstLine="48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本项目评价范围内野生动物主要以爬行动物、鸟类、昆虫和软体动物为主。爬行动物有壁虎、蛇；鸟类有雨燕、斑鸠等；兽类主要为小型啮齿目鼠类；昆虫类如瓢虫、蚂蚁、蝴蝶等；软体动物，如蚯蚓等。</w:t>
      </w:r>
    </w:p>
    <w:p w14:paraId="4C3E3384">
      <w:pPr>
        <w:widowControl w:val="0"/>
        <w:tabs>
          <w:tab w:val="left" w:pos="938"/>
        </w:tabs>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依据《国家重点保护野生动物名录》（2021年版）、《四川省重点保护野生动物名录》及《四川省新增重点保护野生动物名录》核实，现场调查期间，在调查区域内未发现珍稀濒危及国家和四川省重点保护的野生动物。</w:t>
      </w:r>
    </w:p>
    <w:p w14:paraId="094B2AF8">
      <w:pPr>
        <w:widowControl w:val="0"/>
        <w:tabs>
          <w:tab w:val="left" w:pos="938"/>
        </w:tabs>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综上，本项目评价范围内无自然保护区、风景名胜区等，无列入国家及地方保护名录的珍稀濒危动植物及古、大、珍、奇树木分布。</w:t>
      </w:r>
    </w:p>
    <w:p w14:paraId="23BC21AB">
      <w:pPr>
        <w:pStyle w:val="4"/>
        <w:spacing w:before="0" w:after="0" w:line="360" w:lineRule="auto"/>
        <w:rPr>
          <w:rFonts w:ascii="Times New Roman" w:hAnsi="Times New Roman" w:eastAsia="宋体"/>
          <w:color w:val="000000" w:themeColor="text1"/>
          <w:sz w:val="30"/>
          <w:szCs w:val="30"/>
          <w14:textFill>
            <w14:solidFill>
              <w14:schemeClr w14:val="tx1"/>
            </w14:solidFill>
          </w14:textFill>
        </w:rPr>
      </w:pPr>
      <w:bookmarkStart w:id="650" w:name="_Toc29820"/>
      <w:bookmarkStart w:id="651" w:name="_Toc30362"/>
      <w:bookmarkStart w:id="652" w:name="_Toc233380200"/>
      <w:r>
        <w:rPr>
          <w:rFonts w:ascii="Times New Roman" w:hAnsi="Times New Roman" w:eastAsia="宋体"/>
          <w:color w:val="000000" w:themeColor="text1"/>
          <w:sz w:val="30"/>
          <w:szCs w:val="30"/>
          <w14:textFill>
            <w14:solidFill>
              <w14:schemeClr w14:val="tx1"/>
            </w14:solidFill>
          </w14:textFill>
        </w:rPr>
        <w:t>4.3环境污染源调查</w:t>
      </w:r>
      <w:bookmarkEnd w:id="650"/>
      <w:bookmarkEnd w:id="651"/>
      <w:bookmarkEnd w:id="652"/>
    </w:p>
    <w:p w14:paraId="3B32AF21">
      <w:pPr>
        <w:pStyle w:val="144"/>
        <w:ind w:firstLine="480"/>
        <w:jc w:val="both"/>
      </w:pPr>
      <w:r>
        <w:t>本项目位于巴中市</w:t>
      </w:r>
      <w:r>
        <w:rPr>
          <w:spacing w:val="-1"/>
          <w:lang w:val="en-US"/>
        </w:rPr>
        <w:t>巴州区</w:t>
      </w:r>
      <w:r>
        <w:t>，经现场踏勘调查，拟建地区域属农村地区，周边5km范围内无大型工业企业污染源；主要大气污染源为</w:t>
      </w:r>
      <w:r>
        <w:rPr>
          <w:lang w:val="en-US"/>
        </w:rPr>
        <w:t>周边道路</w:t>
      </w:r>
      <w:r>
        <w:t>车辆行驶产生的尾气。</w:t>
      </w:r>
    </w:p>
    <w:p w14:paraId="2275613A">
      <w:pPr>
        <w:pStyle w:val="87"/>
        <w:ind w:left="0" w:firstLine="0"/>
        <w:rPr>
          <w:color w:val="000000" w:themeColor="text1"/>
          <w:lang w:val="en-US"/>
          <w14:textFill>
            <w14:solidFill>
              <w14:schemeClr w14:val="tx1"/>
            </w14:solidFill>
          </w14:textFill>
        </w:rPr>
        <w:sectPr>
          <w:pgSz w:w="11907" w:h="16840"/>
          <w:pgMar w:top="1440" w:right="1797" w:bottom="1440" w:left="1797" w:header="851" w:footer="992" w:gutter="0"/>
          <w:pgNumType w:chapStyle="1"/>
          <w:cols w:space="720" w:num="1"/>
          <w:docGrid w:linePitch="312" w:charSpace="0"/>
        </w:sectPr>
      </w:pPr>
    </w:p>
    <w:p w14:paraId="0C1FB88D">
      <w:pPr>
        <w:pStyle w:val="3"/>
        <w:snapToGrid w:val="0"/>
        <w:spacing w:before="312" w:beforeLines="100" w:after="312" w:afterLines="100" w:line="360" w:lineRule="auto"/>
        <w:rPr>
          <w:bCs w:val="0"/>
          <w:color w:val="000000" w:themeColor="text1"/>
          <w:sz w:val="36"/>
          <w:szCs w:val="36"/>
          <w14:textFill>
            <w14:solidFill>
              <w14:schemeClr w14:val="tx1"/>
            </w14:solidFill>
          </w14:textFill>
        </w:rPr>
      </w:pPr>
      <w:bookmarkStart w:id="653" w:name="_Toc40220749"/>
      <w:bookmarkStart w:id="654" w:name="_Toc233380201"/>
      <w:bookmarkStart w:id="655" w:name="_Toc21106"/>
      <w:r>
        <w:rPr>
          <w:bCs w:val="0"/>
          <w:color w:val="000000" w:themeColor="text1"/>
          <w:sz w:val="36"/>
          <w:szCs w:val="36"/>
          <w14:textFill>
            <w14:solidFill>
              <w14:schemeClr w14:val="tx1"/>
            </w14:solidFill>
          </w14:textFill>
        </w:rPr>
        <w:t>5环境影响预测与评价</w:t>
      </w:r>
      <w:bookmarkEnd w:id="653"/>
      <w:bookmarkEnd w:id="654"/>
      <w:bookmarkEnd w:id="655"/>
    </w:p>
    <w:p w14:paraId="37F7C1D4">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656" w:name="_Toc40220750"/>
      <w:bookmarkStart w:id="657" w:name="_Toc22577"/>
      <w:bookmarkStart w:id="658" w:name="_Toc233380202"/>
      <w:r>
        <w:rPr>
          <w:rFonts w:ascii="Times New Roman" w:hAnsi="Times New Roman" w:eastAsia="宋体"/>
          <w:color w:val="000000" w:themeColor="text1"/>
          <w:sz w:val="30"/>
          <w:szCs w:val="30"/>
          <w14:textFill>
            <w14:solidFill>
              <w14:schemeClr w14:val="tx1"/>
            </w14:solidFill>
          </w14:textFill>
        </w:rPr>
        <w:t>5.1施工期环境影响</w:t>
      </w:r>
      <w:bookmarkEnd w:id="656"/>
      <w:r>
        <w:rPr>
          <w:rFonts w:ascii="Times New Roman" w:hAnsi="Times New Roman" w:eastAsia="宋体"/>
          <w:color w:val="000000" w:themeColor="text1"/>
          <w:sz w:val="30"/>
          <w:szCs w:val="30"/>
          <w14:textFill>
            <w14:solidFill>
              <w14:schemeClr w14:val="tx1"/>
            </w14:solidFill>
          </w14:textFill>
        </w:rPr>
        <w:t>分析</w:t>
      </w:r>
      <w:bookmarkEnd w:id="657"/>
      <w:bookmarkEnd w:id="658"/>
    </w:p>
    <w:p w14:paraId="4A88CC47">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施工期工程建设主要包括基础工程、主体工程、装饰工程、设备安装等。其中土建工程阶段，地面施工活动、建筑材料的装运等将对项目所在地周围环境造成一定的破坏和影响，主要包括废气、废水、噪声、固体废物等污染因素对周围环境的影响。在施工过程中，由于土方的挖掘、运输、堆积以及原材料运输等产生扬尘、噪声等环境污染。挖方过程中产生的弃土在不利气象条件下易造成水土流失。施工期的环境影响主要表现在以下几个方面：</w:t>
      </w:r>
    </w:p>
    <w:p w14:paraId="7D11900A">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1、施工扬尘、施工机械废气和装修废气对周围大气环境的影响；</w:t>
      </w:r>
    </w:p>
    <w:p w14:paraId="25CFBE14">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2、施工人员产生的生活污水、施工废水对环境的影响；</w:t>
      </w:r>
    </w:p>
    <w:p w14:paraId="2DBBD537">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3、施工机械和运输车辆对周围声环境的影响；</w:t>
      </w:r>
    </w:p>
    <w:p w14:paraId="19EF718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4、施工期建筑垃圾、施工人员的生活垃圾对环境的影响；</w:t>
      </w:r>
    </w:p>
    <w:p w14:paraId="11E40E82">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5、施工期土方开挖及占用土地，局部水土流失对生态环境的影响。</w:t>
      </w:r>
    </w:p>
    <w:p w14:paraId="750D545C">
      <w:pPr>
        <w:pStyle w:val="5"/>
        <w:adjustRightInd w:val="0"/>
        <w:snapToGrid w:val="0"/>
        <w:spacing w:before="0" w:after="0" w:line="360" w:lineRule="auto"/>
        <w:rPr>
          <w:color w:val="000000" w:themeColor="text1"/>
          <w:sz w:val="28"/>
          <w:szCs w:val="28"/>
          <w14:textFill>
            <w14:solidFill>
              <w14:schemeClr w14:val="tx1"/>
            </w14:solidFill>
          </w14:textFill>
        </w:rPr>
      </w:pPr>
      <w:bookmarkStart w:id="659" w:name="_Toc27751189"/>
      <w:bookmarkStart w:id="660" w:name="_Toc40220751"/>
      <w:bookmarkStart w:id="661" w:name="_Toc21529645"/>
      <w:bookmarkStart w:id="662" w:name="_Toc28814675"/>
      <w:bookmarkStart w:id="663" w:name="_Toc6228"/>
      <w:bookmarkStart w:id="664" w:name="_Toc233380203"/>
      <w:r>
        <w:rPr>
          <w:color w:val="000000" w:themeColor="text1"/>
          <w:sz w:val="28"/>
          <w:szCs w:val="28"/>
          <w14:textFill>
            <w14:solidFill>
              <w14:schemeClr w14:val="tx1"/>
            </w14:solidFill>
          </w14:textFill>
        </w:rPr>
        <w:t>5.1.1施工期水环境影响</w:t>
      </w:r>
      <w:bookmarkEnd w:id="659"/>
      <w:bookmarkEnd w:id="660"/>
      <w:bookmarkEnd w:id="661"/>
      <w:bookmarkEnd w:id="662"/>
      <w:r>
        <w:rPr>
          <w:color w:val="000000" w:themeColor="text1"/>
          <w:sz w:val="28"/>
          <w:szCs w:val="28"/>
          <w14:textFill>
            <w14:solidFill>
              <w14:schemeClr w14:val="tx1"/>
            </w14:solidFill>
          </w14:textFill>
        </w:rPr>
        <w:t>分析</w:t>
      </w:r>
      <w:bookmarkEnd w:id="663"/>
      <w:bookmarkEnd w:id="664"/>
    </w:p>
    <w:p w14:paraId="1B6A440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施工期产生的废水包括施工人员生活污水、施工作业废水和暴雨径流初期雨水。</w:t>
      </w:r>
    </w:p>
    <w:p w14:paraId="56C0D56D">
      <w:pPr>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1、施工人员生活污水</w:t>
      </w:r>
    </w:p>
    <w:p w14:paraId="3EC88D5D">
      <w:pPr>
        <w:spacing w:line="360" w:lineRule="auto"/>
        <w:ind w:firstLine="480" w:firstLineChars="200"/>
        <w:rPr>
          <w:color w:val="000000" w:themeColor="text1"/>
          <w:spacing w:val="-2"/>
          <w:sz w:val="24"/>
          <w14:textFill>
            <w14:solidFill>
              <w14:schemeClr w14:val="tx1"/>
            </w14:solidFill>
          </w14:textFill>
        </w:rPr>
      </w:pPr>
      <w:r>
        <w:rPr>
          <w:color w:val="000000" w:themeColor="text1"/>
          <w:sz w:val="24"/>
          <w14:textFill>
            <w14:solidFill>
              <w14:schemeClr w14:val="tx1"/>
            </w14:solidFill>
          </w14:textFill>
        </w:rPr>
        <w:t>本项目施工期生活污水主要是施工人员产生的生活污水。根据建设单位提供的资料，施工高峰期施工人员约40人，施工人员生活用水以50L/（人·d）计，用水量为2.0m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/d，污水产生系数取0.8，即1.6m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/d。本项目施工期不在场地内设施工营地，施工人员依托周边居民房屋食宿，需在施工场地设1座临时简易预处理池（2m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）收集处理施工期间施工人员产生的生活污水，经收集处理后定期清掏用于周边耕地施肥，不外排。</w:t>
      </w:r>
    </w:p>
    <w:p w14:paraId="2EE40FAA">
      <w:pPr>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2、施工作业废水</w:t>
      </w:r>
    </w:p>
    <w:p w14:paraId="7E39AF4A">
      <w:pPr>
        <w:spacing w:line="360" w:lineRule="auto"/>
        <w:ind w:firstLine="480" w:firstLineChars="200"/>
        <w:rPr>
          <w:sz w:val="24"/>
        </w:rPr>
      </w:pPr>
      <w:r>
        <w:rPr>
          <w:sz w:val="24"/>
        </w:rPr>
        <w:t>施工期间施工现场车辆及机械设备清洗、混凝土养护等会产生施工废水，废水中含有一定量的油污和泥沙，其中SS浓度可达3000～5000mg/L，石油类可达5～10mg/L；施工废水产生量约为3m</w:t>
      </w:r>
      <w:r>
        <w:rPr>
          <w:sz w:val="24"/>
          <w:vertAlign w:val="superscript"/>
        </w:rPr>
        <w:t>3</w:t>
      </w:r>
      <w:r>
        <w:rPr>
          <w:sz w:val="24"/>
        </w:rPr>
        <w:t>/d，施工场地设1个临时隔油池（1m</w:t>
      </w:r>
      <w:r>
        <w:rPr>
          <w:sz w:val="24"/>
          <w:vertAlign w:val="superscript"/>
        </w:rPr>
        <w:t>3</w:t>
      </w:r>
      <w:r>
        <w:rPr>
          <w:sz w:val="24"/>
        </w:rPr>
        <w:t>）、1 个临时沉淀池（5m</w:t>
      </w:r>
      <w:r>
        <w:rPr>
          <w:sz w:val="24"/>
          <w:vertAlign w:val="superscript"/>
        </w:rPr>
        <w:t>3</w:t>
      </w:r>
      <w:r>
        <w:rPr>
          <w:sz w:val="24"/>
        </w:rPr>
        <w:t>），含SS、石油类的施工废水排入隔油池、沉淀池进行处理后回用于场地洒水降尘，不外排。本项目施工场区面积相对较大，施工场地洒水抑尘、养护需要消耗大量的水，能够完全消纳每天产生的施工作业废水，不外排。</w:t>
      </w:r>
    </w:p>
    <w:p w14:paraId="0606B57A">
      <w:pPr>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3、暴雨径流初期雨水</w:t>
      </w:r>
    </w:p>
    <w:p w14:paraId="4A6CCC1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雨季作业场面的地面径流水，含有一定量的泥土和高浓度的悬浮物，在施工场地周边设置截水沟和1个10m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的沉砂池，收集的初期雨水回用于项目洒水抑尘；开挖土方将作为回填土，回填土临时堆场周边设置截水沟，施工材料的临时堆场设置遮雨棚，下雨时避免受到雨水冲击而流失，不会影响周围地表水环境。</w:t>
      </w:r>
    </w:p>
    <w:p w14:paraId="4ADE1566">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综上所述，项目施工期产生的废水不会对项目所在区域的水环境造成明显不利影响。</w:t>
      </w:r>
    </w:p>
    <w:p w14:paraId="44E7C6BE">
      <w:pPr>
        <w:pStyle w:val="5"/>
        <w:adjustRightInd w:val="0"/>
        <w:snapToGrid w:val="0"/>
        <w:spacing w:before="0" w:after="0" w:line="360" w:lineRule="auto"/>
        <w:rPr>
          <w:color w:val="000000" w:themeColor="text1"/>
          <w:sz w:val="28"/>
          <w:szCs w:val="28"/>
          <w14:textFill>
            <w14:solidFill>
              <w14:schemeClr w14:val="tx1"/>
            </w14:solidFill>
          </w14:textFill>
        </w:rPr>
      </w:pPr>
      <w:bookmarkStart w:id="665" w:name="_Toc40220752"/>
      <w:bookmarkStart w:id="666" w:name="_Toc27751190"/>
      <w:bookmarkStart w:id="667" w:name="_Toc28814676"/>
      <w:bookmarkStart w:id="668" w:name="_Toc21529646"/>
      <w:bookmarkStart w:id="669" w:name="_Toc19516"/>
      <w:bookmarkStart w:id="670" w:name="_Toc233380204"/>
      <w:r>
        <w:rPr>
          <w:color w:val="000000" w:themeColor="text1"/>
          <w:sz w:val="28"/>
          <w:szCs w:val="28"/>
          <w14:textFill>
            <w14:solidFill>
              <w14:schemeClr w14:val="tx1"/>
            </w14:solidFill>
          </w14:textFill>
        </w:rPr>
        <w:t>5.1.2施工期大气环境影响</w:t>
      </w:r>
      <w:bookmarkEnd w:id="665"/>
      <w:bookmarkEnd w:id="666"/>
      <w:bookmarkEnd w:id="667"/>
      <w:bookmarkEnd w:id="668"/>
      <w:r>
        <w:rPr>
          <w:color w:val="000000" w:themeColor="text1"/>
          <w:sz w:val="28"/>
          <w:szCs w:val="28"/>
          <w14:textFill>
            <w14:solidFill>
              <w14:schemeClr w14:val="tx1"/>
            </w14:solidFill>
          </w14:textFill>
        </w:rPr>
        <w:t>分析</w:t>
      </w:r>
      <w:bookmarkEnd w:id="669"/>
      <w:bookmarkEnd w:id="670"/>
    </w:p>
    <w:p w14:paraId="0AC034F4">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5.1.2.1施工扬尘</w:t>
      </w:r>
    </w:p>
    <w:p w14:paraId="0ABC2486">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施工期大气污染源主要是施工扬尘，对整个施工期而言，施工产生的扬尘主要集中在土建施工阶段，产尘环节包括基础施工开挖土方时，土方挖掘会产生一定量的扬尘、建筑材料及土石方运输过程中洒漏的扬尘、现场施工材料的装卸和堆放过程产生的扬尘。扬尘对环境空气质量有一定的负面影响。</w:t>
      </w:r>
    </w:p>
    <w:p w14:paraId="6ED1DEC6">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中华人民共和国大气污染防治法》、国务院印发的《大气污染防治行动计划》(国发(2013)37号)精神。严格落实建设施工工地扬尘整治管理制度。做到“六必须(必须围档作业、必须硬化道路、必须设置冲洗设施、必须及时洒水作业、必须落实保洁人员、必须定时清扫施工现场)、“六不准”(不准车辆带泥出门、不准运渣车辆冒顶装载、不准高空抛撒建筑垃圾、不准现场搅拌混凝土、不准场地积水、不准现场焚烧废弃物)。施工场所扬尘污染防治具体措施如下：</w:t>
      </w:r>
    </w:p>
    <w:p w14:paraId="045C57A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施工标志牌的规格和内容。施工期间，施工单位应根据《建设工程施工现场管理规定》的规定设置现场平面布置图、工程概况牌、安全生产牌、消防保卫牌、文明施工牌、环境保护牌、管理人员名单及监督电话牌等。</w:t>
      </w:r>
    </w:p>
    <w:p w14:paraId="659C6A87">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2）施工期间，土建工地边界应设置高度不低于2.0m的围挡。围挡底端应设置防溢座，围挡之间以及围挡与防溢座之间无缝隙。对于特殊地点无法设置围挡、围栏及防溢座的，应设置警示牌。</w:t>
      </w:r>
    </w:p>
    <w:p w14:paraId="3CAF9F59">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3）土方工程包括土的开挖、运输和填筑等施工过程，遇到干燥、易起尘的土方工程作业时，应辅以洒水压尘，尽量缩短起尘操作时间。遇到四级或四级以上大风天气，应停止土方作业，同时作业处覆以防尘网。</w:t>
      </w:r>
    </w:p>
    <w:p w14:paraId="3880FF29">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4）施工过程中使用水泥、石灰、砂石、涂料、铺装材料等易产生扬尘的建筑材料，应采取下列措施之一：密闭存储、设置围挡或堆砌围墙、采用防尘布苫盖、其他有效的防尘措施。</w:t>
      </w:r>
    </w:p>
    <w:p w14:paraId="47C99BF7">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5）施工工程中产生的弃土、弃料及其他建筑垃圾，应及时清运。若在工地内堆置超过一周的，则应采取下列措施之一：覆盖防尘布、防尘网、定期喷洒抑尘剂、定期喷水压尘、其他有效的防尘措施。</w:t>
      </w:r>
    </w:p>
    <w:p w14:paraId="1C7124E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6）设置洗车平台，完善排水设施，防止泥土粘带。</w:t>
      </w:r>
    </w:p>
    <w:p w14:paraId="3BA27BE7">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7）在施工场地对施工车辆实施限速行驶，同时施工现场主要运输道路尽量采用硬化路面并进行洒水抑尘。</w:t>
      </w:r>
    </w:p>
    <w:p w14:paraId="637824A8">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8）应设专职人员负责扬尘控制措施的实施和监督。有专人负责逸散性材料、垃圾、渣土、裸地等密闭、覆盖、洒水作业以及车辆清洗作业等。</w:t>
      </w:r>
    </w:p>
    <w:p w14:paraId="132335C6">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通过采取上述防治措施，可大大降低施工扬尘产生量，使施工扬尘对周围环境的影响减至最低。评价认为，在施工期应加强对施工扬尘的控制，及时喷洒水和对松土压实的前提下，施工期对周围大气环境影响较小。</w:t>
      </w:r>
    </w:p>
    <w:p w14:paraId="48D2A041">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5.1.2.2施工机械废气、装修油漆废气</w:t>
      </w:r>
    </w:p>
    <w:p w14:paraId="535AC7B6">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机械废气：施工期间，使用机动车运送原材料、设备和建筑机械设备的运转，均会排放一定量的CO、NOx以及未完全燃烧的THC等，其特点是排放量小，且属间断性无组织排放，由于施工场地开阔，扩散条件良好，因此在采取相应的措施后能够做到达标排放。在施工期内应多加注意施工设备的维护，使其能够正常的运行，提高设备原料的利用率。</w:t>
      </w:r>
    </w:p>
    <w:p w14:paraId="5CAC72BF">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装修油漆废气：本项目对构筑物室内进行装修，并且装修阶段的油漆废气排放周期短，且作业量较小。因此，在装修油漆期间，施工单位在采用环保型油漆、加强了室内的通风换气情况下，再加之项目所在场地扩散条件较好，从而，项目装修施工产生的油漆废气可实现达标排放。</w:t>
      </w:r>
    </w:p>
    <w:p w14:paraId="5EBAFD39">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综上所述，本项目施工期落实以上污染治理措施后，施工扬尘、机械废气、装修油漆废气均可得到有效的控制，不会对周围大气环境造成明显不利影响。</w:t>
      </w:r>
    </w:p>
    <w:p w14:paraId="46916CDE">
      <w:pPr>
        <w:pStyle w:val="5"/>
        <w:adjustRightInd w:val="0"/>
        <w:snapToGrid w:val="0"/>
        <w:spacing w:before="0" w:after="0" w:line="360" w:lineRule="auto"/>
        <w:rPr>
          <w:color w:val="000000" w:themeColor="text1"/>
          <w:sz w:val="28"/>
          <w:szCs w:val="28"/>
          <w14:textFill>
            <w14:solidFill>
              <w14:schemeClr w14:val="tx1"/>
            </w14:solidFill>
          </w14:textFill>
        </w:rPr>
      </w:pPr>
      <w:bookmarkStart w:id="671" w:name="_Toc21529647"/>
      <w:bookmarkStart w:id="672" w:name="_Toc27751191"/>
      <w:bookmarkStart w:id="673" w:name="_Toc28814677"/>
      <w:bookmarkStart w:id="674" w:name="_Toc40220753"/>
      <w:bookmarkStart w:id="675" w:name="_Toc23101"/>
      <w:bookmarkStart w:id="676" w:name="_Toc233380205"/>
      <w:r>
        <w:rPr>
          <w:color w:val="000000" w:themeColor="text1"/>
          <w:sz w:val="28"/>
          <w:szCs w:val="28"/>
          <w14:textFill>
            <w14:solidFill>
              <w14:schemeClr w14:val="tx1"/>
            </w14:solidFill>
          </w14:textFill>
        </w:rPr>
        <w:t>5.1.3施工期声环境影响评价</w:t>
      </w:r>
      <w:bookmarkEnd w:id="671"/>
      <w:bookmarkEnd w:id="672"/>
      <w:bookmarkEnd w:id="673"/>
      <w:bookmarkEnd w:id="674"/>
      <w:bookmarkEnd w:id="675"/>
      <w:bookmarkEnd w:id="676"/>
    </w:p>
    <w:p w14:paraId="540A4F79">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5.1.3.1施工期主要噪声源</w:t>
      </w:r>
    </w:p>
    <w:p w14:paraId="2A97B21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项目施工机械噪声主要是低频噪声，仅考虑距离衰减值、场界围墙屏障等因素。本次预测采用点声源衰减模式，其预测模式如下：</w:t>
      </w:r>
    </w:p>
    <w:p w14:paraId="18981418">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1866900" cy="438150"/>
            <wp:effectExtent l="0" t="0" r="0" b="0"/>
            <wp:docPr id="3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3"/>
                    <pic:cNvPicPr>
                      <a:picLocks noChangeAspect="1"/>
                    </pic:cNvPicPr>
                  </pic:nvPicPr>
                  <pic:blipFill>
                    <a:blip r:embed="rId68"/>
                    <a:stretch>
                      <a:fillRect/>
                    </a:stretch>
                  </pic:blipFill>
                  <pic:spPr>
                    <a:xfrm>
                      <a:off x="0" y="0"/>
                      <a:ext cx="1866900" cy="438150"/>
                    </a:xfrm>
                    <a:prstGeom prst="rect">
                      <a:avLst/>
                    </a:prstGeom>
                    <a:noFill/>
                    <a:ln>
                      <a:noFill/>
                    </a:ln>
                  </pic:spPr>
                </pic:pic>
              </a:graphicData>
            </a:graphic>
          </wp:inline>
        </w:drawing>
      </w:r>
    </w:p>
    <w:p w14:paraId="1D479A3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i/>
          <w:color w:val="000000" w:themeColor="text1"/>
          <w:sz w:val="24"/>
          <w14:textFill>
            <w14:solidFill>
              <w14:schemeClr w14:val="tx1"/>
            </w14:solidFill>
          </w14:textFill>
        </w:rPr>
        <w:t>LA (r)</w:t>
      </w:r>
      <w:r>
        <w:rPr>
          <w:color w:val="000000" w:themeColor="text1"/>
          <w:sz w:val="24"/>
          <w14:textFill>
            <w14:solidFill>
              <w14:schemeClr w14:val="tx1"/>
            </w14:solidFill>
          </w14:textFill>
        </w:rPr>
        <w:t>——距离声源</w:t>
      </w:r>
      <w:r>
        <w:rPr>
          <w:i/>
          <w:color w:val="000000" w:themeColor="text1"/>
          <w:sz w:val="24"/>
          <w14:textFill>
            <w14:solidFill>
              <w14:schemeClr w14:val="tx1"/>
            </w14:solidFill>
          </w14:textFill>
        </w:rPr>
        <w:t>r</w:t>
      </w:r>
      <w:r>
        <w:rPr>
          <w:color w:val="000000" w:themeColor="text1"/>
          <w:sz w:val="24"/>
          <w14:textFill>
            <w14:solidFill>
              <w14:schemeClr w14:val="tx1"/>
            </w14:solidFill>
          </w14:textFill>
        </w:rPr>
        <w:t>处的A声级，dB(A)；</w:t>
      </w:r>
    </w:p>
    <w:p w14:paraId="5EF4CE81">
      <w:pPr>
        <w:spacing w:line="360" w:lineRule="auto"/>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LA (r</w:t>
      </w:r>
      <w:r>
        <w:rPr>
          <w:i/>
          <w:color w:val="000000" w:themeColor="text1"/>
          <w:sz w:val="24"/>
          <w:vertAlign w:val="subscript"/>
          <w14:textFill>
            <w14:solidFill>
              <w14:schemeClr w14:val="tx1"/>
            </w14:solidFill>
          </w14:textFill>
        </w:rPr>
        <w:t>0</w:t>
      </w:r>
      <w:r>
        <w:rPr>
          <w:i/>
          <w:color w:val="000000" w:themeColor="text1"/>
          <w:sz w:val="24"/>
          <w14:textFill>
            <w14:solidFill>
              <w14:schemeClr w14:val="tx1"/>
            </w14:solidFill>
          </w14:textFill>
        </w:rPr>
        <w:t>)</w:t>
      </w:r>
      <w:r>
        <w:rPr>
          <w:color w:val="000000" w:themeColor="text1"/>
          <w:sz w:val="24"/>
          <w14:textFill>
            <w14:solidFill>
              <w14:schemeClr w14:val="tx1"/>
            </w14:solidFill>
          </w14:textFill>
        </w:rPr>
        <w:t>——距声源</w:t>
      </w:r>
      <w:r>
        <w:rPr>
          <w:i/>
          <w:color w:val="000000" w:themeColor="text1"/>
          <w:sz w:val="24"/>
          <w14:textFill>
            <w14:solidFill>
              <w14:schemeClr w14:val="tx1"/>
            </w14:solidFill>
          </w14:textFill>
        </w:rPr>
        <w:t>r</w:t>
      </w:r>
      <w:r>
        <w:rPr>
          <w:i/>
          <w:color w:val="000000" w:themeColor="text1"/>
          <w:sz w:val="24"/>
          <w:vertAlign w:val="subscript"/>
          <w14:textFill>
            <w14:solidFill>
              <w14:schemeClr w14:val="tx1"/>
            </w14:solidFill>
          </w14:textFill>
        </w:rPr>
        <w:t>0</w:t>
      </w:r>
      <w:r>
        <w:rPr>
          <w:color w:val="000000" w:themeColor="text1"/>
          <w:sz w:val="24"/>
          <w14:textFill>
            <w14:solidFill>
              <w14:schemeClr w14:val="tx1"/>
            </w14:solidFill>
          </w14:textFill>
        </w:rPr>
        <w:t xml:space="preserve">处的A声级，dB(A)； </w:t>
      </w:r>
    </w:p>
    <w:p w14:paraId="70A31B7A">
      <w:pPr>
        <w:spacing w:line="360" w:lineRule="auto"/>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r</w:t>
      </w:r>
      <w:r>
        <w:rPr>
          <w:i/>
          <w:color w:val="000000" w:themeColor="text1"/>
          <w:sz w:val="24"/>
          <w:vertAlign w:val="subscript"/>
          <w14:textFill>
            <w14:solidFill>
              <w14:schemeClr w14:val="tx1"/>
            </w14:solidFill>
          </w14:textFill>
        </w:rPr>
        <w:t>0</w:t>
      </w:r>
      <w:r>
        <w:rPr>
          <w:color w:val="000000" w:themeColor="text1"/>
          <w:sz w:val="24"/>
          <w14:textFill>
            <w14:solidFill>
              <w14:schemeClr w14:val="tx1"/>
            </w14:solidFill>
          </w14:textFill>
        </w:rPr>
        <w:t>、</w:t>
      </w:r>
      <w:r>
        <w:rPr>
          <w:i/>
          <w:color w:val="000000" w:themeColor="text1"/>
          <w:sz w:val="24"/>
          <w14:textFill>
            <w14:solidFill>
              <w14:schemeClr w14:val="tx1"/>
            </w14:solidFill>
          </w14:textFill>
        </w:rPr>
        <w:t>r</w:t>
      </w:r>
      <w:r>
        <w:rPr>
          <w:color w:val="000000" w:themeColor="text1"/>
          <w:sz w:val="24"/>
          <w14:textFill>
            <w14:solidFill>
              <w14:schemeClr w14:val="tx1"/>
            </w14:solidFill>
          </w14:textFill>
        </w:rPr>
        <w:t>——距声源的距离，m；</w:t>
      </w:r>
    </w:p>
    <w:p w14:paraId="3C6217BF">
      <w:pPr>
        <w:spacing w:line="360" w:lineRule="auto"/>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ΔL</w:t>
      </w:r>
      <w:r>
        <w:rPr>
          <w:color w:val="000000" w:themeColor="text1"/>
          <w:sz w:val="24"/>
          <w14:textFill>
            <w14:solidFill>
              <w14:schemeClr w14:val="tx1"/>
            </w14:solidFill>
          </w14:textFill>
        </w:rPr>
        <w:t>——其他因素引起的噪声衰减量，一般取0~15dB(A)。</w:t>
      </w:r>
    </w:p>
    <w:p w14:paraId="1A35E11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由上式预测单个噪声源在评价点的贡献值，再将不同声源在该点的贡献值用对数法叠加，得出多个噪声源对该点噪声的贡献值，采用的模式如下：</w:t>
      </w:r>
    </w:p>
    <w:p w14:paraId="2009F080">
      <w:pPr>
        <w:spacing w:line="360" w:lineRule="auto"/>
        <w:jc w:val="center"/>
        <w:rPr>
          <w:color w:val="000000" w:themeColor="text1"/>
          <w:sz w:val="24"/>
          <w14:textFill>
            <w14:solidFill>
              <w14:schemeClr w14:val="tx1"/>
            </w14:solidFill>
          </w14:textFill>
        </w:rPr>
      </w:pPr>
      <w:r>
        <w:rPr>
          <w:color w:val="000000" w:themeColor="text1"/>
          <w:position w:val="-28"/>
          <w:sz w:val="24"/>
          <w14:textFill>
            <w14:solidFill>
              <w14:schemeClr w14:val="tx1"/>
            </w14:solidFill>
          </w14:textFill>
        </w:rPr>
        <w:drawing>
          <wp:inline distT="0" distB="0" distL="114300" distR="114300">
            <wp:extent cx="1388745" cy="485775"/>
            <wp:effectExtent l="0" t="0" r="0" b="8255"/>
            <wp:docPr id="32"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4"/>
                    <pic:cNvPicPr>
                      <a:picLocks noChangeAspect="1"/>
                    </pic:cNvPicPr>
                  </pic:nvPicPr>
                  <pic:blipFill>
                    <a:blip r:embed="rId69"/>
                    <a:stretch>
                      <a:fillRect/>
                    </a:stretch>
                  </pic:blipFill>
                  <pic:spPr>
                    <a:xfrm>
                      <a:off x="0" y="0"/>
                      <a:ext cx="1388745" cy="485775"/>
                    </a:xfrm>
                    <a:prstGeom prst="rect">
                      <a:avLst/>
                    </a:prstGeom>
                    <a:noFill/>
                    <a:ln>
                      <a:noFill/>
                    </a:ln>
                  </pic:spPr>
                </pic:pic>
              </a:graphicData>
            </a:graphic>
          </wp:inline>
        </w:drawing>
      </w:r>
    </w:p>
    <w:p w14:paraId="385C259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i/>
          <w:color w:val="000000" w:themeColor="text1"/>
          <w:sz w:val="24"/>
          <w14:textFill>
            <w14:solidFill>
              <w14:schemeClr w14:val="tx1"/>
            </w14:solidFill>
          </w14:textFill>
        </w:rPr>
        <w:t>L</w:t>
      </w:r>
      <w:r>
        <w:rPr>
          <w:color w:val="000000" w:themeColor="text1"/>
          <w:sz w:val="24"/>
          <w14:textFill>
            <w14:solidFill>
              <w14:schemeClr w14:val="tx1"/>
            </w14:solidFill>
          </w14:textFill>
        </w:rPr>
        <w:t>——叠加后总声压级，dB(A)；</w:t>
      </w:r>
    </w:p>
    <w:p w14:paraId="421B939C">
      <w:pPr>
        <w:spacing w:line="360" w:lineRule="auto"/>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L</w:t>
      </w:r>
      <w:r>
        <w:rPr>
          <w:i/>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——各声源的噪声值，dB(A)；</w:t>
      </w:r>
    </w:p>
    <w:p w14:paraId="36FA9B84">
      <w:pPr>
        <w:spacing w:line="360" w:lineRule="auto"/>
        <w:ind w:firstLine="1200" w:firstLineChars="500"/>
        <w:rPr>
          <w:color w:val="000000" w:themeColor="text1"/>
          <w:sz w:val="24"/>
          <w14:textFill>
            <w14:solidFill>
              <w14:schemeClr w14:val="tx1"/>
            </w14:solidFill>
          </w14:textFill>
        </w:rPr>
      </w:pPr>
      <w:r>
        <w:rPr>
          <w:i/>
          <w:color w:val="000000" w:themeColor="text1"/>
          <w:sz w:val="24"/>
          <w14:textFill>
            <w14:solidFill>
              <w14:schemeClr w14:val="tx1"/>
            </w14:solidFill>
          </w14:textFill>
        </w:rPr>
        <w:t>n</w:t>
      </w:r>
      <w:r>
        <w:rPr>
          <w:color w:val="000000" w:themeColor="text1"/>
          <w:sz w:val="24"/>
          <w14:textFill>
            <w14:solidFill>
              <w14:schemeClr w14:val="tx1"/>
            </w14:solidFill>
          </w14:textFill>
        </w:rPr>
        <w:t>——声源个数。</w:t>
      </w:r>
    </w:p>
    <w:p w14:paraId="472CFA9C">
      <w:pPr>
        <w:spacing w:line="360" w:lineRule="auto"/>
        <w:ind w:firstLine="480" w:firstLineChars="200"/>
        <w:rPr>
          <w:b/>
          <w:color w:val="000000" w:themeColor="text1"/>
          <w:sz w:val="24"/>
          <w14:textFill>
            <w14:solidFill>
              <w14:schemeClr w14:val="tx1"/>
            </w14:solidFill>
          </w14:textFill>
        </w:rPr>
      </w:pPr>
      <w:r>
        <w:rPr>
          <w:color w:val="000000" w:themeColor="text1"/>
          <w:sz w:val="24"/>
          <w14:textFill>
            <w14:solidFill>
              <w14:schemeClr w14:val="tx1"/>
            </w14:solidFill>
          </w14:textFill>
        </w:rPr>
        <w:t>根据上述公式及项目与周围主要敏感点的距离，可计算出建设项目在施工过程中各种主要噪声源对环境的影响程度，计算单台设备噪声随距离的衰减情况见表5.1-1。</w:t>
      </w:r>
    </w:p>
    <w:p w14:paraId="2396FC7A">
      <w:pPr>
        <w:widowControl w:val="0"/>
        <w:spacing w:line="360" w:lineRule="auto"/>
        <w:jc w:val="center"/>
        <w:rPr>
          <w:b/>
          <w:color w:val="000000" w:themeColor="text1"/>
          <w14:textFill>
            <w14:solidFill>
              <w14:schemeClr w14:val="tx1"/>
            </w14:solidFill>
          </w14:textFill>
        </w:rPr>
      </w:pPr>
      <w:r>
        <w:rPr>
          <w:b/>
          <w:color w:val="000000" w:themeColor="text1"/>
          <w14:textFill>
            <w14:solidFill>
              <w14:schemeClr w14:val="tx1"/>
            </w14:solidFill>
          </w14:textFill>
        </w:rPr>
        <w:t>表5.1-1 单台设备运转噪声辐射值计算表 单位：dB（A）</w:t>
      </w:r>
    </w:p>
    <w:tbl>
      <w:tblPr>
        <w:tblStyle w:val="88"/>
        <w:tblW w:w="4999" w:type="pct"/>
        <w:tblInd w:w="0" w:type="dxa"/>
        <w:tblLayout w:type="autofit"/>
        <w:tblCellMar>
          <w:top w:w="0" w:type="dxa"/>
          <w:left w:w="0" w:type="dxa"/>
          <w:bottom w:w="0" w:type="dxa"/>
          <w:right w:w="0" w:type="dxa"/>
        </w:tblCellMar>
      </w:tblPr>
      <w:tblGrid>
        <w:gridCol w:w="1531"/>
        <w:gridCol w:w="1211"/>
        <w:gridCol w:w="895"/>
        <w:gridCol w:w="897"/>
        <w:gridCol w:w="895"/>
        <w:gridCol w:w="897"/>
        <w:gridCol w:w="895"/>
        <w:gridCol w:w="898"/>
        <w:gridCol w:w="905"/>
      </w:tblGrid>
      <w:tr w14:paraId="041D118F">
        <w:tblPrEx>
          <w:tblCellMar>
            <w:top w:w="0" w:type="dxa"/>
            <w:left w:w="0" w:type="dxa"/>
            <w:bottom w:w="0" w:type="dxa"/>
            <w:right w:w="0" w:type="dxa"/>
          </w:tblCellMar>
        </w:tblPrEx>
        <w:tc>
          <w:tcPr>
            <w:tcW w:w="848" w:type="pct"/>
            <w:vMerge w:val="restart"/>
            <w:tcBorders>
              <w:top w:val="single" w:color="auto" w:sz="12" w:space="0"/>
              <w:left w:val="nil"/>
              <w:bottom w:val="single" w:color="000000" w:sz="4" w:space="0"/>
              <w:right w:val="single" w:color="000000" w:sz="4" w:space="0"/>
            </w:tcBorders>
            <w:vAlign w:val="center"/>
          </w:tcPr>
          <w:p w14:paraId="7260AAEF">
            <w:pPr>
              <w:widowControl w:val="0"/>
              <w:kinsoku w:val="0"/>
              <w:overflowPunct w:val="0"/>
              <w:autoSpaceDE w:val="0"/>
              <w:autoSpaceDN w:val="0"/>
              <w:adjustRightInd w:val="0"/>
              <w:ind w:right="1"/>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设备名称</w:t>
            </w:r>
          </w:p>
        </w:tc>
        <w:tc>
          <w:tcPr>
            <w:tcW w:w="671" w:type="pct"/>
            <w:vMerge w:val="restart"/>
            <w:tcBorders>
              <w:top w:val="single" w:color="auto" w:sz="12" w:space="0"/>
              <w:left w:val="single" w:color="000000" w:sz="4" w:space="0"/>
              <w:bottom w:val="single" w:color="000000" w:sz="4" w:space="0"/>
              <w:right w:val="single" w:color="000000" w:sz="4" w:space="0"/>
            </w:tcBorders>
            <w:vAlign w:val="center"/>
          </w:tcPr>
          <w:p w14:paraId="018A9222">
            <w:pPr>
              <w:widowControl w:val="0"/>
              <w:kinsoku w:val="0"/>
              <w:overflowPunct w:val="0"/>
              <w:autoSpaceDE w:val="0"/>
              <w:autoSpaceDN w:val="0"/>
              <w:adjustRightInd w:val="0"/>
              <w:ind w:right="1"/>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声级测值距离声源</w:t>
            </w:r>
          </w:p>
        </w:tc>
        <w:tc>
          <w:tcPr>
            <w:tcW w:w="3480" w:type="pct"/>
            <w:gridSpan w:val="7"/>
            <w:tcBorders>
              <w:top w:val="single" w:color="auto" w:sz="12" w:space="0"/>
              <w:left w:val="single" w:color="000000" w:sz="4" w:space="0"/>
              <w:bottom w:val="single" w:color="000000" w:sz="4" w:space="0"/>
              <w:right w:val="nil"/>
            </w:tcBorders>
            <w:vAlign w:val="center"/>
          </w:tcPr>
          <w:p w14:paraId="3C14C6D8">
            <w:pPr>
              <w:widowControl w:val="0"/>
              <w:kinsoku w:val="0"/>
              <w:overflowPunct w:val="0"/>
              <w:autoSpaceDE w:val="0"/>
              <w:autoSpaceDN w:val="0"/>
              <w:adjustRightInd w:val="0"/>
              <w:ind w:right="1"/>
              <w:jc w:val="center"/>
              <w:rPr>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距离（m）</w:t>
            </w:r>
          </w:p>
        </w:tc>
      </w:tr>
      <w:tr w14:paraId="73AAE46C">
        <w:tblPrEx>
          <w:tblCellMar>
            <w:top w:w="0" w:type="dxa"/>
            <w:left w:w="0" w:type="dxa"/>
            <w:bottom w:w="0" w:type="dxa"/>
            <w:right w:w="0" w:type="dxa"/>
          </w:tblCellMar>
        </w:tblPrEx>
        <w:tc>
          <w:tcPr>
            <w:tcW w:w="848" w:type="pct"/>
            <w:vMerge w:val="continue"/>
            <w:tcBorders>
              <w:top w:val="single" w:color="000000" w:sz="10" w:space="0"/>
              <w:left w:val="nil"/>
              <w:bottom w:val="single" w:color="000000" w:sz="4" w:space="0"/>
              <w:right w:val="single" w:color="000000" w:sz="4" w:space="0"/>
            </w:tcBorders>
            <w:vAlign w:val="center"/>
          </w:tcPr>
          <w:p w14:paraId="6A3745A8">
            <w:pPr>
              <w:widowControl w:val="0"/>
              <w:kinsoku w:val="0"/>
              <w:overflowPunct w:val="0"/>
              <w:autoSpaceDE w:val="0"/>
              <w:autoSpaceDN w:val="0"/>
              <w:adjustRightInd w:val="0"/>
              <w:ind w:right="1"/>
              <w:jc w:val="center"/>
              <w:rPr>
                <w:color w:val="000000" w:themeColor="text1"/>
                <w:kern w:val="0"/>
                <w:szCs w:val="21"/>
                <w14:textFill>
                  <w14:solidFill>
                    <w14:schemeClr w14:val="tx1"/>
                  </w14:solidFill>
                </w14:textFill>
              </w:rPr>
            </w:pPr>
          </w:p>
        </w:tc>
        <w:tc>
          <w:tcPr>
            <w:tcW w:w="671" w:type="pct"/>
            <w:vMerge w:val="continue"/>
            <w:tcBorders>
              <w:top w:val="single" w:color="000000" w:sz="10" w:space="0"/>
              <w:left w:val="single" w:color="000000" w:sz="4" w:space="0"/>
              <w:bottom w:val="single" w:color="000000" w:sz="4" w:space="0"/>
              <w:right w:val="single" w:color="000000" w:sz="4" w:space="0"/>
            </w:tcBorders>
            <w:vAlign w:val="center"/>
          </w:tcPr>
          <w:p w14:paraId="65782C66">
            <w:pPr>
              <w:widowControl w:val="0"/>
              <w:kinsoku w:val="0"/>
              <w:overflowPunct w:val="0"/>
              <w:autoSpaceDE w:val="0"/>
              <w:autoSpaceDN w:val="0"/>
              <w:adjustRightInd w:val="0"/>
              <w:ind w:right="1"/>
              <w:jc w:val="center"/>
              <w:rPr>
                <w:color w:val="000000" w:themeColor="text1"/>
                <w:kern w:val="0"/>
                <w:szCs w:val="21"/>
                <w14:textFill>
                  <w14:solidFill>
                    <w14:schemeClr w14:val="tx1"/>
                  </w14:solidFill>
                </w14:textFill>
              </w:rPr>
            </w:pPr>
          </w:p>
        </w:tc>
        <w:tc>
          <w:tcPr>
            <w:tcW w:w="496" w:type="pct"/>
            <w:tcBorders>
              <w:top w:val="single" w:color="000000" w:sz="4" w:space="0"/>
              <w:left w:val="single" w:color="000000" w:sz="4" w:space="0"/>
              <w:bottom w:val="single" w:color="000000" w:sz="4" w:space="0"/>
              <w:right w:val="single" w:color="000000" w:sz="4" w:space="0"/>
            </w:tcBorders>
            <w:vAlign w:val="center"/>
          </w:tcPr>
          <w:p w14:paraId="4E4C343F">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10</w:t>
            </w:r>
          </w:p>
        </w:tc>
        <w:tc>
          <w:tcPr>
            <w:tcW w:w="497" w:type="pct"/>
            <w:tcBorders>
              <w:top w:val="single" w:color="000000" w:sz="4" w:space="0"/>
              <w:left w:val="single" w:color="000000" w:sz="4" w:space="0"/>
              <w:bottom w:val="single" w:color="000000" w:sz="4" w:space="0"/>
              <w:right w:val="single" w:color="000000" w:sz="4" w:space="0"/>
            </w:tcBorders>
            <w:vAlign w:val="center"/>
          </w:tcPr>
          <w:p w14:paraId="5C7D440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20</w:t>
            </w:r>
          </w:p>
        </w:tc>
        <w:tc>
          <w:tcPr>
            <w:tcW w:w="496" w:type="pct"/>
            <w:tcBorders>
              <w:top w:val="single" w:color="000000" w:sz="4" w:space="0"/>
              <w:left w:val="single" w:color="000000" w:sz="4" w:space="0"/>
              <w:bottom w:val="single" w:color="000000" w:sz="4" w:space="0"/>
              <w:right w:val="single" w:color="000000" w:sz="4" w:space="0"/>
            </w:tcBorders>
            <w:vAlign w:val="center"/>
          </w:tcPr>
          <w:p w14:paraId="4CA6C283">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40</w:t>
            </w:r>
          </w:p>
        </w:tc>
        <w:tc>
          <w:tcPr>
            <w:tcW w:w="497" w:type="pct"/>
            <w:tcBorders>
              <w:top w:val="single" w:color="000000" w:sz="4" w:space="0"/>
              <w:left w:val="single" w:color="000000" w:sz="4" w:space="0"/>
              <w:bottom w:val="single" w:color="000000" w:sz="4" w:space="0"/>
              <w:right w:val="single" w:color="000000" w:sz="4" w:space="0"/>
            </w:tcBorders>
            <w:vAlign w:val="center"/>
          </w:tcPr>
          <w:p w14:paraId="348107DD">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50</w:t>
            </w:r>
          </w:p>
        </w:tc>
        <w:tc>
          <w:tcPr>
            <w:tcW w:w="496" w:type="pct"/>
            <w:tcBorders>
              <w:top w:val="single" w:color="000000" w:sz="4" w:space="0"/>
              <w:left w:val="single" w:color="000000" w:sz="4" w:space="0"/>
              <w:bottom w:val="single" w:color="000000" w:sz="4" w:space="0"/>
              <w:right w:val="single" w:color="000000" w:sz="4" w:space="0"/>
            </w:tcBorders>
            <w:vAlign w:val="center"/>
          </w:tcPr>
          <w:p w14:paraId="55176ED1">
            <w:pPr>
              <w:widowControl w:val="0"/>
              <w:kinsoku w:val="0"/>
              <w:overflowPunct w:val="0"/>
              <w:autoSpaceDE w:val="0"/>
              <w:autoSpaceDN w:val="0"/>
              <w:adjustRightInd w:val="0"/>
              <w:ind w:right="1"/>
              <w:jc w:val="center"/>
              <w:rPr>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60</w:t>
            </w:r>
          </w:p>
        </w:tc>
        <w:tc>
          <w:tcPr>
            <w:tcW w:w="497" w:type="pct"/>
            <w:tcBorders>
              <w:top w:val="single" w:color="000000" w:sz="4" w:space="0"/>
              <w:left w:val="single" w:color="000000" w:sz="4" w:space="0"/>
              <w:bottom w:val="single" w:color="000000" w:sz="4" w:space="0"/>
              <w:right w:val="single" w:color="000000" w:sz="4" w:space="0"/>
            </w:tcBorders>
            <w:vAlign w:val="center"/>
          </w:tcPr>
          <w:p w14:paraId="7F033757">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100</w:t>
            </w:r>
          </w:p>
        </w:tc>
        <w:tc>
          <w:tcPr>
            <w:tcW w:w="496" w:type="pct"/>
            <w:tcBorders>
              <w:top w:val="single" w:color="000000" w:sz="4" w:space="0"/>
              <w:left w:val="single" w:color="000000" w:sz="4" w:space="0"/>
              <w:bottom w:val="single" w:color="000000" w:sz="4" w:space="0"/>
              <w:right w:val="nil"/>
            </w:tcBorders>
            <w:vAlign w:val="center"/>
          </w:tcPr>
          <w:p w14:paraId="396F08A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200</w:t>
            </w:r>
          </w:p>
        </w:tc>
      </w:tr>
      <w:tr w14:paraId="4D3C3633">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7E09FE90">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液压挖掘机</w:t>
            </w:r>
          </w:p>
        </w:tc>
        <w:tc>
          <w:tcPr>
            <w:tcW w:w="671" w:type="pct"/>
            <w:tcBorders>
              <w:top w:val="single" w:color="000000" w:sz="4" w:space="0"/>
              <w:left w:val="single" w:color="000000" w:sz="4" w:space="0"/>
              <w:bottom w:val="single" w:color="000000" w:sz="4" w:space="0"/>
              <w:right w:val="single" w:color="000000" w:sz="4" w:space="0"/>
            </w:tcBorders>
            <w:vAlign w:val="center"/>
          </w:tcPr>
          <w:p w14:paraId="6077D9EA">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90</w:t>
            </w:r>
          </w:p>
        </w:tc>
        <w:tc>
          <w:tcPr>
            <w:tcW w:w="496" w:type="pct"/>
            <w:tcBorders>
              <w:top w:val="single" w:color="000000" w:sz="4" w:space="0"/>
              <w:left w:val="single" w:color="000000" w:sz="4" w:space="0"/>
              <w:bottom w:val="single" w:color="000000" w:sz="4" w:space="0"/>
              <w:right w:val="single" w:color="000000" w:sz="4" w:space="0"/>
            </w:tcBorders>
            <w:vAlign w:val="center"/>
          </w:tcPr>
          <w:p w14:paraId="70EFCCBB">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70</w:t>
            </w:r>
          </w:p>
        </w:tc>
        <w:tc>
          <w:tcPr>
            <w:tcW w:w="497" w:type="pct"/>
            <w:tcBorders>
              <w:top w:val="single" w:color="000000" w:sz="4" w:space="0"/>
              <w:left w:val="single" w:color="000000" w:sz="4" w:space="0"/>
              <w:bottom w:val="single" w:color="000000" w:sz="4" w:space="0"/>
              <w:right w:val="single" w:color="000000" w:sz="4" w:space="0"/>
            </w:tcBorders>
            <w:vAlign w:val="center"/>
          </w:tcPr>
          <w:p w14:paraId="3A8E2343">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64</w:t>
            </w:r>
          </w:p>
        </w:tc>
        <w:tc>
          <w:tcPr>
            <w:tcW w:w="496" w:type="pct"/>
            <w:tcBorders>
              <w:top w:val="single" w:color="000000" w:sz="4" w:space="0"/>
              <w:left w:val="single" w:color="000000" w:sz="4" w:space="0"/>
              <w:bottom w:val="single" w:color="000000" w:sz="4" w:space="0"/>
              <w:right w:val="single" w:color="000000" w:sz="4" w:space="0"/>
            </w:tcBorders>
            <w:vAlign w:val="center"/>
          </w:tcPr>
          <w:p w14:paraId="79EB8898">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58</w:t>
            </w:r>
          </w:p>
        </w:tc>
        <w:tc>
          <w:tcPr>
            <w:tcW w:w="497" w:type="pct"/>
            <w:tcBorders>
              <w:top w:val="single" w:color="000000" w:sz="4" w:space="0"/>
              <w:left w:val="single" w:color="000000" w:sz="4" w:space="0"/>
              <w:bottom w:val="single" w:color="000000" w:sz="4" w:space="0"/>
              <w:right w:val="single" w:color="000000" w:sz="4" w:space="0"/>
            </w:tcBorders>
            <w:vAlign w:val="center"/>
          </w:tcPr>
          <w:p w14:paraId="5BE4257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56</w:t>
            </w:r>
          </w:p>
        </w:tc>
        <w:tc>
          <w:tcPr>
            <w:tcW w:w="496" w:type="pct"/>
            <w:tcBorders>
              <w:top w:val="single" w:color="000000" w:sz="4" w:space="0"/>
              <w:left w:val="single" w:color="000000" w:sz="4" w:space="0"/>
              <w:bottom w:val="single" w:color="000000" w:sz="4" w:space="0"/>
              <w:right w:val="single" w:color="000000" w:sz="4" w:space="0"/>
            </w:tcBorders>
            <w:vAlign w:val="center"/>
          </w:tcPr>
          <w:p w14:paraId="5A7DC54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54</w:t>
            </w:r>
          </w:p>
        </w:tc>
        <w:tc>
          <w:tcPr>
            <w:tcW w:w="497" w:type="pct"/>
            <w:tcBorders>
              <w:top w:val="single" w:color="000000" w:sz="4" w:space="0"/>
              <w:left w:val="single" w:color="000000" w:sz="4" w:space="0"/>
              <w:bottom w:val="single" w:color="000000" w:sz="4" w:space="0"/>
              <w:right w:val="single" w:color="000000" w:sz="4" w:space="0"/>
            </w:tcBorders>
            <w:vAlign w:val="center"/>
          </w:tcPr>
          <w:p w14:paraId="260540F5">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50</w:t>
            </w:r>
          </w:p>
        </w:tc>
        <w:tc>
          <w:tcPr>
            <w:tcW w:w="496" w:type="pct"/>
            <w:tcBorders>
              <w:top w:val="single" w:color="000000" w:sz="4" w:space="0"/>
              <w:left w:val="single" w:color="000000" w:sz="4" w:space="0"/>
              <w:bottom w:val="single" w:color="000000" w:sz="4" w:space="0"/>
              <w:right w:val="nil"/>
            </w:tcBorders>
            <w:vAlign w:val="center"/>
          </w:tcPr>
          <w:p w14:paraId="3299B186">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44</w:t>
            </w:r>
          </w:p>
        </w:tc>
      </w:tr>
      <w:tr w14:paraId="2FD7ADD8">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19F8182C">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挖掘机</w:t>
            </w:r>
          </w:p>
        </w:tc>
        <w:tc>
          <w:tcPr>
            <w:tcW w:w="671" w:type="pct"/>
            <w:tcBorders>
              <w:top w:val="single" w:color="000000" w:sz="4" w:space="0"/>
              <w:left w:val="single" w:color="000000" w:sz="4" w:space="0"/>
              <w:bottom w:val="single" w:color="000000" w:sz="4" w:space="0"/>
              <w:right w:val="single" w:color="000000" w:sz="4" w:space="0"/>
            </w:tcBorders>
            <w:vAlign w:val="center"/>
          </w:tcPr>
          <w:p w14:paraId="5DC41B10">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86</w:t>
            </w:r>
          </w:p>
        </w:tc>
        <w:tc>
          <w:tcPr>
            <w:tcW w:w="496" w:type="pct"/>
            <w:tcBorders>
              <w:top w:val="single" w:color="000000" w:sz="4" w:space="0"/>
              <w:left w:val="single" w:color="000000" w:sz="4" w:space="0"/>
              <w:bottom w:val="single" w:color="000000" w:sz="4" w:space="0"/>
              <w:right w:val="single" w:color="000000" w:sz="4" w:space="0"/>
            </w:tcBorders>
            <w:vAlign w:val="center"/>
          </w:tcPr>
          <w:p w14:paraId="474F0ECD">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66</w:t>
            </w:r>
          </w:p>
        </w:tc>
        <w:tc>
          <w:tcPr>
            <w:tcW w:w="497" w:type="pct"/>
            <w:tcBorders>
              <w:top w:val="single" w:color="000000" w:sz="4" w:space="0"/>
              <w:left w:val="single" w:color="000000" w:sz="4" w:space="0"/>
              <w:bottom w:val="single" w:color="000000" w:sz="4" w:space="0"/>
              <w:right w:val="single" w:color="000000" w:sz="4" w:space="0"/>
            </w:tcBorders>
            <w:vAlign w:val="center"/>
          </w:tcPr>
          <w:p w14:paraId="3EF7AE15">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60</w:t>
            </w:r>
          </w:p>
        </w:tc>
        <w:tc>
          <w:tcPr>
            <w:tcW w:w="496" w:type="pct"/>
            <w:tcBorders>
              <w:top w:val="single" w:color="000000" w:sz="4" w:space="0"/>
              <w:left w:val="single" w:color="000000" w:sz="4" w:space="0"/>
              <w:bottom w:val="single" w:color="000000" w:sz="4" w:space="0"/>
              <w:right w:val="single" w:color="000000" w:sz="4" w:space="0"/>
            </w:tcBorders>
            <w:vAlign w:val="center"/>
          </w:tcPr>
          <w:p w14:paraId="3EDE2CC7">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54</w:t>
            </w:r>
          </w:p>
        </w:tc>
        <w:tc>
          <w:tcPr>
            <w:tcW w:w="497" w:type="pct"/>
            <w:tcBorders>
              <w:top w:val="single" w:color="000000" w:sz="4" w:space="0"/>
              <w:left w:val="single" w:color="000000" w:sz="4" w:space="0"/>
              <w:bottom w:val="single" w:color="000000" w:sz="4" w:space="0"/>
              <w:right w:val="single" w:color="000000" w:sz="4" w:space="0"/>
            </w:tcBorders>
            <w:vAlign w:val="center"/>
          </w:tcPr>
          <w:p w14:paraId="6C689D4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52</w:t>
            </w:r>
          </w:p>
        </w:tc>
        <w:tc>
          <w:tcPr>
            <w:tcW w:w="496" w:type="pct"/>
            <w:tcBorders>
              <w:top w:val="single" w:color="000000" w:sz="4" w:space="0"/>
              <w:left w:val="single" w:color="000000" w:sz="4" w:space="0"/>
              <w:bottom w:val="single" w:color="000000" w:sz="4" w:space="0"/>
              <w:right w:val="single" w:color="000000" w:sz="4" w:space="0"/>
            </w:tcBorders>
            <w:vAlign w:val="center"/>
          </w:tcPr>
          <w:p w14:paraId="046624C8">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50</w:t>
            </w:r>
          </w:p>
        </w:tc>
        <w:tc>
          <w:tcPr>
            <w:tcW w:w="497" w:type="pct"/>
            <w:tcBorders>
              <w:top w:val="single" w:color="000000" w:sz="4" w:space="0"/>
              <w:left w:val="single" w:color="000000" w:sz="4" w:space="0"/>
              <w:bottom w:val="single" w:color="000000" w:sz="4" w:space="0"/>
              <w:right w:val="single" w:color="000000" w:sz="4" w:space="0"/>
            </w:tcBorders>
            <w:vAlign w:val="center"/>
          </w:tcPr>
          <w:p w14:paraId="5D9DAF7F">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46</w:t>
            </w:r>
          </w:p>
        </w:tc>
        <w:tc>
          <w:tcPr>
            <w:tcW w:w="496" w:type="pct"/>
            <w:tcBorders>
              <w:top w:val="single" w:color="000000" w:sz="4" w:space="0"/>
              <w:left w:val="single" w:color="000000" w:sz="4" w:space="0"/>
              <w:bottom w:val="single" w:color="000000" w:sz="4" w:space="0"/>
              <w:right w:val="nil"/>
            </w:tcBorders>
            <w:vAlign w:val="center"/>
          </w:tcPr>
          <w:p w14:paraId="056286BD">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40</w:t>
            </w:r>
          </w:p>
        </w:tc>
      </w:tr>
      <w:tr w14:paraId="5E0F5E39">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0034FF4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轮式装载机</w:t>
            </w:r>
          </w:p>
        </w:tc>
        <w:tc>
          <w:tcPr>
            <w:tcW w:w="671" w:type="pct"/>
            <w:tcBorders>
              <w:top w:val="single" w:color="000000" w:sz="4" w:space="0"/>
              <w:left w:val="single" w:color="000000" w:sz="4" w:space="0"/>
              <w:bottom w:val="single" w:color="000000" w:sz="4" w:space="0"/>
              <w:right w:val="single" w:color="000000" w:sz="4" w:space="0"/>
            </w:tcBorders>
            <w:vAlign w:val="center"/>
          </w:tcPr>
          <w:p w14:paraId="0C31148B">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95</w:t>
            </w:r>
          </w:p>
        </w:tc>
        <w:tc>
          <w:tcPr>
            <w:tcW w:w="496" w:type="pct"/>
            <w:tcBorders>
              <w:top w:val="single" w:color="000000" w:sz="4" w:space="0"/>
              <w:left w:val="single" w:color="000000" w:sz="4" w:space="0"/>
              <w:bottom w:val="single" w:color="000000" w:sz="4" w:space="0"/>
              <w:right w:val="single" w:color="000000" w:sz="4" w:space="0"/>
            </w:tcBorders>
            <w:vAlign w:val="center"/>
          </w:tcPr>
          <w:p w14:paraId="51EDC74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75</w:t>
            </w:r>
          </w:p>
        </w:tc>
        <w:tc>
          <w:tcPr>
            <w:tcW w:w="497" w:type="pct"/>
            <w:tcBorders>
              <w:top w:val="single" w:color="000000" w:sz="4" w:space="0"/>
              <w:left w:val="single" w:color="000000" w:sz="4" w:space="0"/>
              <w:bottom w:val="single" w:color="000000" w:sz="4" w:space="0"/>
              <w:right w:val="single" w:color="000000" w:sz="4" w:space="0"/>
            </w:tcBorders>
            <w:vAlign w:val="center"/>
          </w:tcPr>
          <w:p w14:paraId="2A01D7A8">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69</w:t>
            </w:r>
          </w:p>
        </w:tc>
        <w:tc>
          <w:tcPr>
            <w:tcW w:w="496" w:type="pct"/>
            <w:tcBorders>
              <w:top w:val="single" w:color="000000" w:sz="4" w:space="0"/>
              <w:left w:val="single" w:color="000000" w:sz="4" w:space="0"/>
              <w:bottom w:val="single" w:color="000000" w:sz="4" w:space="0"/>
              <w:right w:val="single" w:color="000000" w:sz="4" w:space="0"/>
            </w:tcBorders>
            <w:vAlign w:val="center"/>
          </w:tcPr>
          <w:p w14:paraId="23BB046D">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64</w:t>
            </w:r>
          </w:p>
        </w:tc>
        <w:tc>
          <w:tcPr>
            <w:tcW w:w="497" w:type="pct"/>
            <w:tcBorders>
              <w:top w:val="single" w:color="000000" w:sz="4" w:space="0"/>
              <w:left w:val="single" w:color="000000" w:sz="4" w:space="0"/>
              <w:bottom w:val="single" w:color="000000" w:sz="4" w:space="0"/>
              <w:right w:val="single" w:color="000000" w:sz="4" w:space="0"/>
            </w:tcBorders>
            <w:vAlign w:val="center"/>
          </w:tcPr>
          <w:p w14:paraId="58A58C82">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61</w:t>
            </w:r>
          </w:p>
        </w:tc>
        <w:tc>
          <w:tcPr>
            <w:tcW w:w="496" w:type="pct"/>
            <w:tcBorders>
              <w:top w:val="single" w:color="000000" w:sz="4" w:space="0"/>
              <w:left w:val="single" w:color="000000" w:sz="4" w:space="0"/>
              <w:bottom w:val="single" w:color="000000" w:sz="4" w:space="0"/>
              <w:right w:val="single" w:color="000000" w:sz="4" w:space="0"/>
            </w:tcBorders>
            <w:vAlign w:val="center"/>
          </w:tcPr>
          <w:p w14:paraId="620C38EE">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59</w:t>
            </w:r>
          </w:p>
        </w:tc>
        <w:tc>
          <w:tcPr>
            <w:tcW w:w="497" w:type="pct"/>
            <w:tcBorders>
              <w:top w:val="single" w:color="000000" w:sz="4" w:space="0"/>
              <w:left w:val="single" w:color="000000" w:sz="4" w:space="0"/>
              <w:bottom w:val="single" w:color="000000" w:sz="4" w:space="0"/>
              <w:right w:val="single" w:color="000000" w:sz="4" w:space="0"/>
            </w:tcBorders>
            <w:vAlign w:val="center"/>
          </w:tcPr>
          <w:p w14:paraId="09F0FD46">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55</w:t>
            </w:r>
          </w:p>
        </w:tc>
        <w:tc>
          <w:tcPr>
            <w:tcW w:w="496" w:type="pct"/>
            <w:tcBorders>
              <w:top w:val="single" w:color="000000" w:sz="4" w:space="0"/>
              <w:left w:val="single" w:color="000000" w:sz="4" w:space="0"/>
              <w:bottom w:val="single" w:color="000000" w:sz="4" w:space="0"/>
              <w:right w:val="nil"/>
            </w:tcBorders>
            <w:vAlign w:val="center"/>
          </w:tcPr>
          <w:p w14:paraId="7D310EBD">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49</w:t>
            </w:r>
          </w:p>
        </w:tc>
      </w:tr>
      <w:tr w14:paraId="302C593E">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0E9E8A66">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推土机</w:t>
            </w:r>
          </w:p>
        </w:tc>
        <w:tc>
          <w:tcPr>
            <w:tcW w:w="671" w:type="pct"/>
            <w:tcBorders>
              <w:top w:val="single" w:color="000000" w:sz="4" w:space="0"/>
              <w:left w:val="single" w:color="000000" w:sz="4" w:space="0"/>
              <w:bottom w:val="single" w:color="000000" w:sz="4" w:space="0"/>
              <w:right w:val="single" w:color="000000" w:sz="4" w:space="0"/>
            </w:tcBorders>
            <w:vAlign w:val="center"/>
          </w:tcPr>
          <w:p w14:paraId="73302EC9">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88</w:t>
            </w:r>
          </w:p>
        </w:tc>
        <w:tc>
          <w:tcPr>
            <w:tcW w:w="496" w:type="pct"/>
            <w:tcBorders>
              <w:top w:val="single" w:color="000000" w:sz="4" w:space="0"/>
              <w:left w:val="single" w:color="000000" w:sz="4" w:space="0"/>
              <w:bottom w:val="single" w:color="000000" w:sz="4" w:space="0"/>
              <w:right w:val="single" w:color="000000" w:sz="4" w:space="0"/>
            </w:tcBorders>
            <w:vAlign w:val="center"/>
          </w:tcPr>
          <w:p w14:paraId="1A7FDD0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68</w:t>
            </w:r>
          </w:p>
        </w:tc>
        <w:tc>
          <w:tcPr>
            <w:tcW w:w="497" w:type="pct"/>
            <w:tcBorders>
              <w:top w:val="single" w:color="000000" w:sz="4" w:space="0"/>
              <w:left w:val="single" w:color="000000" w:sz="4" w:space="0"/>
              <w:bottom w:val="single" w:color="000000" w:sz="4" w:space="0"/>
              <w:right w:val="single" w:color="000000" w:sz="4" w:space="0"/>
            </w:tcBorders>
            <w:vAlign w:val="center"/>
          </w:tcPr>
          <w:p w14:paraId="364EB00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62</w:t>
            </w:r>
          </w:p>
        </w:tc>
        <w:tc>
          <w:tcPr>
            <w:tcW w:w="496" w:type="pct"/>
            <w:tcBorders>
              <w:top w:val="single" w:color="000000" w:sz="4" w:space="0"/>
              <w:left w:val="single" w:color="000000" w:sz="4" w:space="0"/>
              <w:bottom w:val="single" w:color="000000" w:sz="4" w:space="0"/>
              <w:right w:val="single" w:color="000000" w:sz="4" w:space="0"/>
            </w:tcBorders>
            <w:vAlign w:val="center"/>
          </w:tcPr>
          <w:p w14:paraId="03C2F022">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58</w:t>
            </w:r>
          </w:p>
        </w:tc>
        <w:tc>
          <w:tcPr>
            <w:tcW w:w="497" w:type="pct"/>
            <w:tcBorders>
              <w:top w:val="single" w:color="000000" w:sz="4" w:space="0"/>
              <w:left w:val="single" w:color="000000" w:sz="4" w:space="0"/>
              <w:bottom w:val="single" w:color="000000" w:sz="4" w:space="0"/>
              <w:right w:val="single" w:color="000000" w:sz="4" w:space="0"/>
            </w:tcBorders>
            <w:vAlign w:val="center"/>
          </w:tcPr>
          <w:p w14:paraId="6882ECB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54</w:t>
            </w:r>
          </w:p>
        </w:tc>
        <w:tc>
          <w:tcPr>
            <w:tcW w:w="496" w:type="pct"/>
            <w:tcBorders>
              <w:top w:val="single" w:color="000000" w:sz="4" w:space="0"/>
              <w:left w:val="single" w:color="000000" w:sz="4" w:space="0"/>
              <w:bottom w:val="single" w:color="000000" w:sz="4" w:space="0"/>
              <w:right w:val="single" w:color="000000" w:sz="4" w:space="0"/>
            </w:tcBorders>
            <w:vAlign w:val="center"/>
          </w:tcPr>
          <w:p w14:paraId="01BF1FD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52</w:t>
            </w:r>
          </w:p>
        </w:tc>
        <w:tc>
          <w:tcPr>
            <w:tcW w:w="497" w:type="pct"/>
            <w:tcBorders>
              <w:top w:val="single" w:color="000000" w:sz="4" w:space="0"/>
              <w:left w:val="single" w:color="000000" w:sz="4" w:space="0"/>
              <w:bottom w:val="single" w:color="000000" w:sz="4" w:space="0"/>
              <w:right w:val="single" w:color="000000" w:sz="4" w:space="0"/>
            </w:tcBorders>
            <w:vAlign w:val="center"/>
          </w:tcPr>
          <w:p w14:paraId="1C343C6A">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48</w:t>
            </w:r>
          </w:p>
        </w:tc>
        <w:tc>
          <w:tcPr>
            <w:tcW w:w="496" w:type="pct"/>
            <w:tcBorders>
              <w:top w:val="single" w:color="000000" w:sz="4" w:space="0"/>
              <w:left w:val="single" w:color="000000" w:sz="4" w:space="0"/>
              <w:bottom w:val="single" w:color="000000" w:sz="4" w:space="0"/>
              <w:right w:val="nil"/>
            </w:tcBorders>
            <w:vAlign w:val="center"/>
          </w:tcPr>
          <w:p w14:paraId="1AFE7DC9">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42</w:t>
            </w:r>
          </w:p>
        </w:tc>
      </w:tr>
      <w:tr w14:paraId="024A465E">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30687578">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各类压路机</w:t>
            </w:r>
          </w:p>
        </w:tc>
        <w:tc>
          <w:tcPr>
            <w:tcW w:w="671" w:type="pct"/>
            <w:tcBorders>
              <w:top w:val="single" w:color="000000" w:sz="4" w:space="0"/>
              <w:left w:val="single" w:color="000000" w:sz="4" w:space="0"/>
              <w:bottom w:val="single" w:color="000000" w:sz="4" w:space="0"/>
              <w:right w:val="single" w:color="000000" w:sz="4" w:space="0"/>
            </w:tcBorders>
            <w:vAlign w:val="center"/>
          </w:tcPr>
          <w:p w14:paraId="326F3D2F">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90</w:t>
            </w:r>
          </w:p>
        </w:tc>
        <w:tc>
          <w:tcPr>
            <w:tcW w:w="496" w:type="pct"/>
            <w:tcBorders>
              <w:top w:val="single" w:color="000000" w:sz="4" w:space="0"/>
              <w:left w:val="single" w:color="000000" w:sz="4" w:space="0"/>
              <w:bottom w:val="single" w:color="000000" w:sz="4" w:space="0"/>
              <w:right w:val="single" w:color="000000" w:sz="4" w:space="0"/>
            </w:tcBorders>
            <w:vAlign w:val="center"/>
          </w:tcPr>
          <w:p w14:paraId="708AFD9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70</w:t>
            </w:r>
          </w:p>
        </w:tc>
        <w:tc>
          <w:tcPr>
            <w:tcW w:w="497" w:type="pct"/>
            <w:tcBorders>
              <w:top w:val="single" w:color="000000" w:sz="4" w:space="0"/>
              <w:left w:val="single" w:color="000000" w:sz="4" w:space="0"/>
              <w:bottom w:val="single" w:color="000000" w:sz="4" w:space="0"/>
              <w:right w:val="single" w:color="000000" w:sz="4" w:space="0"/>
            </w:tcBorders>
            <w:vAlign w:val="center"/>
          </w:tcPr>
          <w:p w14:paraId="1F2EF7E0">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64</w:t>
            </w:r>
          </w:p>
        </w:tc>
        <w:tc>
          <w:tcPr>
            <w:tcW w:w="496" w:type="pct"/>
            <w:tcBorders>
              <w:top w:val="single" w:color="000000" w:sz="4" w:space="0"/>
              <w:left w:val="single" w:color="000000" w:sz="4" w:space="0"/>
              <w:bottom w:val="single" w:color="000000" w:sz="4" w:space="0"/>
              <w:right w:val="single" w:color="000000" w:sz="4" w:space="0"/>
            </w:tcBorders>
            <w:vAlign w:val="center"/>
          </w:tcPr>
          <w:p w14:paraId="67E80F6F">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58</w:t>
            </w:r>
          </w:p>
        </w:tc>
        <w:tc>
          <w:tcPr>
            <w:tcW w:w="497" w:type="pct"/>
            <w:tcBorders>
              <w:top w:val="single" w:color="000000" w:sz="4" w:space="0"/>
              <w:left w:val="single" w:color="000000" w:sz="4" w:space="0"/>
              <w:bottom w:val="single" w:color="000000" w:sz="4" w:space="0"/>
              <w:right w:val="single" w:color="000000" w:sz="4" w:space="0"/>
            </w:tcBorders>
            <w:vAlign w:val="center"/>
          </w:tcPr>
          <w:p w14:paraId="4CA504F8">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56</w:t>
            </w:r>
          </w:p>
        </w:tc>
        <w:tc>
          <w:tcPr>
            <w:tcW w:w="496" w:type="pct"/>
            <w:tcBorders>
              <w:top w:val="single" w:color="000000" w:sz="4" w:space="0"/>
              <w:left w:val="single" w:color="000000" w:sz="4" w:space="0"/>
              <w:bottom w:val="single" w:color="000000" w:sz="4" w:space="0"/>
              <w:right w:val="single" w:color="000000" w:sz="4" w:space="0"/>
            </w:tcBorders>
            <w:vAlign w:val="center"/>
          </w:tcPr>
          <w:p w14:paraId="71BC6A4B">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54</w:t>
            </w:r>
          </w:p>
        </w:tc>
        <w:tc>
          <w:tcPr>
            <w:tcW w:w="497" w:type="pct"/>
            <w:tcBorders>
              <w:top w:val="single" w:color="000000" w:sz="4" w:space="0"/>
              <w:left w:val="single" w:color="000000" w:sz="4" w:space="0"/>
              <w:bottom w:val="single" w:color="000000" w:sz="4" w:space="0"/>
              <w:right w:val="single" w:color="000000" w:sz="4" w:space="0"/>
            </w:tcBorders>
            <w:vAlign w:val="center"/>
          </w:tcPr>
          <w:p w14:paraId="6446B508">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50</w:t>
            </w:r>
          </w:p>
        </w:tc>
        <w:tc>
          <w:tcPr>
            <w:tcW w:w="496" w:type="pct"/>
            <w:tcBorders>
              <w:top w:val="single" w:color="000000" w:sz="4" w:space="0"/>
              <w:left w:val="single" w:color="000000" w:sz="4" w:space="0"/>
              <w:bottom w:val="single" w:color="000000" w:sz="4" w:space="0"/>
              <w:right w:val="nil"/>
            </w:tcBorders>
            <w:vAlign w:val="center"/>
          </w:tcPr>
          <w:p w14:paraId="079BE26E">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44</w:t>
            </w:r>
          </w:p>
        </w:tc>
      </w:tr>
      <w:tr w14:paraId="02F384D8">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767A44A9">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重型运输车</w:t>
            </w:r>
          </w:p>
        </w:tc>
        <w:tc>
          <w:tcPr>
            <w:tcW w:w="671" w:type="pct"/>
            <w:tcBorders>
              <w:top w:val="single" w:color="000000" w:sz="4" w:space="0"/>
              <w:left w:val="single" w:color="000000" w:sz="4" w:space="0"/>
              <w:bottom w:val="single" w:color="000000" w:sz="4" w:space="0"/>
              <w:right w:val="single" w:color="000000" w:sz="4" w:space="0"/>
            </w:tcBorders>
            <w:vAlign w:val="center"/>
          </w:tcPr>
          <w:p w14:paraId="4BA8F04C">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90</w:t>
            </w:r>
          </w:p>
        </w:tc>
        <w:tc>
          <w:tcPr>
            <w:tcW w:w="496" w:type="pct"/>
            <w:tcBorders>
              <w:top w:val="single" w:color="000000" w:sz="4" w:space="0"/>
              <w:left w:val="single" w:color="000000" w:sz="4" w:space="0"/>
              <w:bottom w:val="single" w:color="000000" w:sz="4" w:space="0"/>
              <w:right w:val="single" w:color="000000" w:sz="4" w:space="0"/>
            </w:tcBorders>
            <w:vAlign w:val="center"/>
          </w:tcPr>
          <w:p w14:paraId="2B17698E">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70</w:t>
            </w:r>
          </w:p>
        </w:tc>
        <w:tc>
          <w:tcPr>
            <w:tcW w:w="497" w:type="pct"/>
            <w:tcBorders>
              <w:top w:val="single" w:color="000000" w:sz="4" w:space="0"/>
              <w:left w:val="single" w:color="000000" w:sz="4" w:space="0"/>
              <w:bottom w:val="single" w:color="000000" w:sz="4" w:space="0"/>
              <w:right w:val="single" w:color="000000" w:sz="4" w:space="0"/>
            </w:tcBorders>
            <w:vAlign w:val="center"/>
          </w:tcPr>
          <w:p w14:paraId="3C392D2D">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64</w:t>
            </w:r>
          </w:p>
        </w:tc>
        <w:tc>
          <w:tcPr>
            <w:tcW w:w="496" w:type="pct"/>
            <w:tcBorders>
              <w:top w:val="single" w:color="000000" w:sz="4" w:space="0"/>
              <w:left w:val="single" w:color="000000" w:sz="4" w:space="0"/>
              <w:bottom w:val="single" w:color="000000" w:sz="4" w:space="0"/>
              <w:right w:val="single" w:color="000000" w:sz="4" w:space="0"/>
            </w:tcBorders>
            <w:vAlign w:val="center"/>
          </w:tcPr>
          <w:p w14:paraId="7886E0D9">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58</w:t>
            </w:r>
          </w:p>
        </w:tc>
        <w:tc>
          <w:tcPr>
            <w:tcW w:w="497" w:type="pct"/>
            <w:tcBorders>
              <w:top w:val="single" w:color="000000" w:sz="4" w:space="0"/>
              <w:left w:val="single" w:color="000000" w:sz="4" w:space="0"/>
              <w:bottom w:val="single" w:color="000000" w:sz="4" w:space="0"/>
              <w:right w:val="single" w:color="000000" w:sz="4" w:space="0"/>
            </w:tcBorders>
            <w:vAlign w:val="center"/>
          </w:tcPr>
          <w:p w14:paraId="696CEC4D">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56</w:t>
            </w:r>
          </w:p>
        </w:tc>
        <w:tc>
          <w:tcPr>
            <w:tcW w:w="496" w:type="pct"/>
            <w:tcBorders>
              <w:top w:val="single" w:color="000000" w:sz="4" w:space="0"/>
              <w:left w:val="single" w:color="000000" w:sz="4" w:space="0"/>
              <w:bottom w:val="single" w:color="000000" w:sz="4" w:space="0"/>
              <w:right w:val="single" w:color="000000" w:sz="4" w:space="0"/>
            </w:tcBorders>
            <w:vAlign w:val="center"/>
          </w:tcPr>
          <w:p w14:paraId="12B22F66">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54</w:t>
            </w:r>
          </w:p>
        </w:tc>
        <w:tc>
          <w:tcPr>
            <w:tcW w:w="497" w:type="pct"/>
            <w:tcBorders>
              <w:top w:val="single" w:color="000000" w:sz="4" w:space="0"/>
              <w:left w:val="single" w:color="000000" w:sz="4" w:space="0"/>
              <w:bottom w:val="single" w:color="000000" w:sz="4" w:space="0"/>
              <w:right w:val="single" w:color="000000" w:sz="4" w:space="0"/>
            </w:tcBorders>
            <w:vAlign w:val="center"/>
          </w:tcPr>
          <w:p w14:paraId="58D12555">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50</w:t>
            </w:r>
          </w:p>
        </w:tc>
        <w:tc>
          <w:tcPr>
            <w:tcW w:w="496" w:type="pct"/>
            <w:tcBorders>
              <w:top w:val="single" w:color="000000" w:sz="4" w:space="0"/>
              <w:left w:val="single" w:color="000000" w:sz="4" w:space="0"/>
              <w:bottom w:val="single" w:color="000000" w:sz="4" w:space="0"/>
              <w:right w:val="nil"/>
            </w:tcBorders>
            <w:vAlign w:val="center"/>
          </w:tcPr>
          <w:p w14:paraId="6A92207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44</w:t>
            </w:r>
          </w:p>
        </w:tc>
      </w:tr>
      <w:tr w14:paraId="3F20F626">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533BF443">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木工电锯</w:t>
            </w:r>
          </w:p>
        </w:tc>
        <w:tc>
          <w:tcPr>
            <w:tcW w:w="671" w:type="pct"/>
            <w:tcBorders>
              <w:top w:val="single" w:color="000000" w:sz="4" w:space="0"/>
              <w:left w:val="single" w:color="000000" w:sz="4" w:space="0"/>
              <w:bottom w:val="single" w:color="000000" w:sz="4" w:space="0"/>
              <w:right w:val="single" w:color="000000" w:sz="4" w:space="0"/>
            </w:tcBorders>
            <w:vAlign w:val="center"/>
          </w:tcPr>
          <w:p w14:paraId="3E16851C">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99</w:t>
            </w:r>
          </w:p>
        </w:tc>
        <w:tc>
          <w:tcPr>
            <w:tcW w:w="496" w:type="pct"/>
            <w:tcBorders>
              <w:top w:val="single" w:color="000000" w:sz="4" w:space="0"/>
              <w:left w:val="single" w:color="000000" w:sz="4" w:space="0"/>
              <w:bottom w:val="single" w:color="000000" w:sz="4" w:space="0"/>
              <w:right w:val="single" w:color="000000" w:sz="4" w:space="0"/>
            </w:tcBorders>
            <w:vAlign w:val="center"/>
          </w:tcPr>
          <w:p w14:paraId="00FD5AB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79</w:t>
            </w:r>
          </w:p>
        </w:tc>
        <w:tc>
          <w:tcPr>
            <w:tcW w:w="497" w:type="pct"/>
            <w:tcBorders>
              <w:top w:val="single" w:color="000000" w:sz="4" w:space="0"/>
              <w:left w:val="single" w:color="000000" w:sz="4" w:space="0"/>
              <w:bottom w:val="single" w:color="000000" w:sz="4" w:space="0"/>
              <w:right w:val="single" w:color="000000" w:sz="4" w:space="0"/>
            </w:tcBorders>
            <w:vAlign w:val="center"/>
          </w:tcPr>
          <w:p w14:paraId="128CF1C6">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73</w:t>
            </w:r>
          </w:p>
        </w:tc>
        <w:tc>
          <w:tcPr>
            <w:tcW w:w="496" w:type="pct"/>
            <w:tcBorders>
              <w:top w:val="single" w:color="000000" w:sz="4" w:space="0"/>
              <w:left w:val="single" w:color="000000" w:sz="4" w:space="0"/>
              <w:bottom w:val="single" w:color="000000" w:sz="4" w:space="0"/>
              <w:right w:val="single" w:color="000000" w:sz="4" w:space="0"/>
            </w:tcBorders>
            <w:vAlign w:val="center"/>
          </w:tcPr>
          <w:p w14:paraId="4423F89F">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67</w:t>
            </w:r>
          </w:p>
        </w:tc>
        <w:tc>
          <w:tcPr>
            <w:tcW w:w="497" w:type="pct"/>
            <w:tcBorders>
              <w:top w:val="single" w:color="000000" w:sz="4" w:space="0"/>
              <w:left w:val="single" w:color="000000" w:sz="4" w:space="0"/>
              <w:bottom w:val="single" w:color="000000" w:sz="4" w:space="0"/>
              <w:right w:val="single" w:color="000000" w:sz="4" w:space="0"/>
            </w:tcBorders>
            <w:vAlign w:val="center"/>
          </w:tcPr>
          <w:p w14:paraId="3305B9E0">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65</w:t>
            </w:r>
          </w:p>
        </w:tc>
        <w:tc>
          <w:tcPr>
            <w:tcW w:w="496" w:type="pct"/>
            <w:tcBorders>
              <w:top w:val="single" w:color="000000" w:sz="4" w:space="0"/>
              <w:left w:val="single" w:color="000000" w:sz="4" w:space="0"/>
              <w:bottom w:val="single" w:color="000000" w:sz="4" w:space="0"/>
              <w:right w:val="single" w:color="000000" w:sz="4" w:space="0"/>
            </w:tcBorders>
            <w:vAlign w:val="center"/>
          </w:tcPr>
          <w:p w14:paraId="7DB89AE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63</w:t>
            </w:r>
          </w:p>
        </w:tc>
        <w:tc>
          <w:tcPr>
            <w:tcW w:w="497" w:type="pct"/>
            <w:tcBorders>
              <w:top w:val="single" w:color="000000" w:sz="4" w:space="0"/>
              <w:left w:val="single" w:color="000000" w:sz="4" w:space="0"/>
              <w:bottom w:val="single" w:color="000000" w:sz="4" w:space="0"/>
              <w:right w:val="single" w:color="000000" w:sz="4" w:space="0"/>
            </w:tcBorders>
            <w:vAlign w:val="center"/>
          </w:tcPr>
          <w:p w14:paraId="2E1B18D6">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59</w:t>
            </w:r>
          </w:p>
        </w:tc>
        <w:tc>
          <w:tcPr>
            <w:tcW w:w="496" w:type="pct"/>
            <w:tcBorders>
              <w:top w:val="single" w:color="000000" w:sz="4" w:space="0"/>
              <w:left w:val="single" w:color="000000" w:sz="4" w:space="0"/>
              <w:bottom w:val="single" w:color="000000" w:sz="4" w:space="0"/>
              <w:right w:val="nil"/>
            </w:tcBorders>
            <w:vAlign w:val="center"/>
          </w:tcPr>
          <w:p w14:paraId="609494E5">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53</w:t>
            </w:r>
          </w:p>
        </w:tc>
      </w:tr>
      <w:tr w14:paraId="34D7F4B4">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6E8FEB4A">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电锤</w:t>
            </w:r>
          </w:p>
        </w:tc>
        <w:tc>
          <w:tcPr>
            <w:tcW w:w="671" w:type="pct"/>
            <w:tcBorders>
              <w:top w:val="single" w:color="000000" w:sz="4" w:space="0"/>
              <w:left w:val="single" w:color="000000" w:sz="4" w:space="0"/>
              <w:bottom w:val="single" w:color="000000" w:sz="4" w:space="0"/>
              <w:right w:val="single" w:color="000000" w:sz="4" w:space="0"/>
            </w:tcBorders>
            <w:vAlign w:val="center"/>
          </w:tcPr>
          <w:p w14:paraId="22426DC5">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100</w:t>
            </w:r>
          </w:p>
        </w:tc>
        <w:tc>
          <w:tcPr>
            <w:tcW w:w="496" w:type="pct"/>
            <w:tcBorders>
              <w:top w:val="single" w:color="000000" w:sz="4" w:space="0"/>
              <w:left w:val="single" w:color="000000" w:sz="4" w:space="0"/>
              <w:bottom w:val="single" w:color="000000" w:sz="4" w:space="0"/>
              <w:right w:val="single" w:color="000000" w:sz="4" w:space="0"/>
            </w:tcBorders>
            <w:vAlign w:val="center"/>
          </w:tcPr>
          <w:p w14:paraId="6979EA0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80</w:t>
            </w:r>
          </w:p>
        </w:tc>
        <w:tc>
          <w:tcPr>
            <w:tcW w:w="497" w:type="pct"/>
            <w:tcBorders>
              <w:top w:val="single" w:color="000000" w:sz="4" w:space="0"/>
              <w:left w:val="single" w:color="000000" w:sz="4" w:space="0"/>
              <w:bottom w:val="single" w:color="000000" w:sz="4" w:space="0"/>
              <w:right w:val="single" w:color="000000" w:sz="4" w:space="0"/>
            </w:tcBorders>
            <w:vAlign w:val="center"/>
          </w:tcPr>
          <w:p w14:paraId="0513984A">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74</w:t>
            </w:r>
          </w:p>
        </w:tc>
        <w:tc>
          <w:tcPr>
            <w:tcW w:w="496" w:type="pct"/>
            <w:tcBorders>
              <w:top w:val="single" w:color="000000" w:sz="4" w:space="0"/>
              <w:left w:val="single" w:color="000000" w:sz="4" w:space="0"/>
              <w:bottom w:val="single" w:color="000000" w:sz="4" w:space="0"/>
              <w:right w:val="single" w:color="000000" w:sz="4" w:space="0"/>
            </w:tcBorders>
            <w:vAlign w:val="center"/>
          </w:tcPr>
          <w:p w14:paraId="5BC5F385">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68</w:t>
            </w:r>
          </w:p>
        </w:tc>
        <w:tc>
          <w:tcPr>
            <w:tcW w:w="497" w:type="pct"/>
            <w:tcBorders>
              <w:top w:val="single" w:color="000000" w:sz="4" w:space="0"/>
              <w:left w:val="single" w:color="000000" w:sz="4" w:space="0"/>
              <w:bottom w:val="single" w:color="000000" w:sz="4" w:space="0"/>
              <w:right w:val="single" w:color="000000" w:sz="4" w:space="0"/>
            </w:tcBorders>
            <w:vAlign w:val="center"/>
          </w:tcPr>
          <w:p w14:paraId="541C2EB3">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66</w:t>
            </w:r>
          </w:p>
        </w:tc>
        <w:tc>
          <w:tcPr>
            <w:tcW w:w="496" w:type="pct"/>
            <w:tcBorders>
              <w:top w:val="single" w:color="000000" w:sz="4" w:space="0"/>
              <w:left w:val="single" w:color="000000" w:sz="4" w:space="0"/>
              <w:bottom w:val="single" w:color="000000" w:sz="4" w:space="0"/>
              <w:right w:val="single" w:color="000000" w:sz="4" w:space="0"/>
            </w:tcBorders>
            <w:vAlign w:val="center"/>
          </w:tcPr>
          <w:p w14:paraId="58386CC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64</w:t>
            </w:r>
          </w:p>
        </w:tc>
        <w:tc>
          <w:tcPr>
            <w:tcW w:w="497" w:type="pct"/>
            <w:tcBorders>
              <w:top w:val="single" w:color="000000" w:sz="4" w:space="0"/>
              <w:left w:val="single" w:color="000000" w:sz="4" w:space="0"/>
              <w:bottom w:val="single" w:color="000000" w:sz="4" w:space="0"/>
              <w:right w:val="single" w:color="000000" w:sz="4" w:space="0"/>
            </w:tcBorders>
            <w:vAlign w:val="center"/>
          </w:tcPr>
          <w:p w14:paraId="07B11F4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60</w:t>
            </w:r>
          </w:p>
        </w:tc>
        <w:tc>
          <w:tcPr>
            <w:tcW w:w="496" w:type="pct"/>
            <w:tcBorders>
              <w:top w:val="single" w:color="000000" w:sz="4" w:space="0"/>
              <w:left w:val="single" w:color="000000" w:sz="4" w:space="0"/>
              <w:bottom w:val="single" w:color="000000" w:sz="4" w:space="0"/>
              <w:right w:val="nil"/>
            </w:tcBorders>
            <w:vAlign w:val="center"/>
          </w:tcPr>
          <w:p w14:paraId="3108ACBF">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54</w:t>
            </w:r>
          </w:p>
        </w:tc>
      </w:tr>
      <w:tr w14:paraId="05057EA9">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5BD364A5">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振动夯锤</w:t>
            </w:r>
          </w:p>
        </w:tc>
        <w:tc>
          <w:tcPr>
            <w:tcW w:w="671" w:type="pct"/>
            <w:tcBorders>
              <w:top w:val="single" w:color="000000" w:sz="4" w:space="0"/>
              <w:left w:val="single" w:color="000000" w:sz="4" w:space="0"/>
              <w:bottom w:val="single" w:color="000000" w:sz="4" w:space="0"/>
              <w:right w:val="single" w:color="000000" w:sz="4" w:space="0"/>
            </w:tcBorders>
            <w:vAlign w:val="center"/>
          </w:tcPr>
          <w:p w14:paraId="57C9042D">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100</w:t>
            </w:r>
          </w:p>
        </w:tc>
        <w:tc>
          <w:tcPr>
            <w:tcW w:w="496" w:type="pct"/>
            <w:tcBorders>
              <w:top w:val="single" w:color="000000" w:sz="4" w:space="0"/>
              <w:left w:val="single" w:color="000000" w:sz="4" w:space="0"/>
              <w:bottom w:val="single" w:color="000000" w:sz="4" w:space="0"/>
              <w:right w:val="single" w:color="000000" w:sz="4" w:space="0"/>
            </w:tcBorders>
            <w:vAlign w:val="center"/>
          </w:tcPr>
          <w:p w14:paraId="55B22450">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80</w:t>
            </w:r>
          </w:p>
        </w:tc>
        <w:tc>
          <w:tcPr>
            <w:tcW w:w="497" w:type="pct"/>
            <w:tcBorders>
              <w:top w:val="single" w:color="000000" w:sz="4" w:space="0"/>
              <w:left w:val="single" w:color="000000" w:sz="4" w:space="0"/>
              <w:bottom w:val="single" w:color="000000" w:sz="4" w:space="0"/>
              <w:right w:val="single" w:color="000000" w:sz="4" w:space="0"/>
            </w:tcBorders>
            <w:vAlign w:val="center"/>
          </w:tcPr>
          <w:p w14:paraId="2E27F578">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74</w:t>
            </w:r>
          </w:p>
        </w:tc>
        <w:tc>
          <w:tcPr>
            <w:tcW w:w="496" w:type="pct"/>
            <w:tcBorders>
              <w:top w:val="single" w:color="000000" w:sz="4" w:space="0"/>
              <w:left w:val="single" w:color="000000" w:sz="4" w:space="0"/>
              <w:bottom w:val="single" w:color="000000" w:sz="4" w:space="0"/>
              <w:right w:val="single" w:color="000000" w:sz="4" w:space="0"/>
            </w:tcBorders>
            <w:vAlign w:val="center"/>
          </w:tcPr>
          <w:p w14:paraId="4E00BF5B">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68</w:t>
            </w:r>
          </w:p>
        </w:tc>
        <w:tc>
          <w:tcPr>
            <w:tcW w:w="497" w:type="pct"/>
            <w:tcBorders>
              <w:top w:val="single" w:color="000000" w:sz="4" w:space="0"/>
              <w:left w:val="single" w:color="000000" w:sz="4" w:space="0"/>
              <w:bottom w:val="single" w:color="000000" w:sz="4" w:space="0"/>
              <w:right w:val="single" w:color="000000" w:sz="4" w:space="0"/>
            </w:tcBorders>
            <w:vAlign w:val="center"/>
          </w:tcPr>
          <w:p w14:paraId="0DB9D9D5">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66</w:t>
            </w:r>
          </w:p>
        </w:tc>
        <w:tc>
          <w:tcPr>
            <w:tcW w:w="496" w:type="pct"/>
            <w:tcBorders>
              <w:top w:val="single" w:color="000000" w:sz="4" w:space="0"/>
              <w:left w:val="single" w:color="000000" w:sz="4" w:space="0"/>
              <w:bottom w:val="single" w:color="000000" w:sz="4" w:space="0"/>
              <w:right w:val="single" w:color="000000" w:sz="4" w:space="0"/>
            </w:tcBorders>
            <w:vAlign w:val="center"/>
          </w:tcPr>
          <w:p w14:paraId="2DE676B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64</w:t>
            </w:r>
          </w:p>
        </w:tc>
        <w:tc>
          <w:tcPr>
            <w:tcW w:w="497" w:type="pct"/>
            <w:tcBorders>
              <w:top w:val="single" w:color="000000" w:sz="4" w:space="0"/>
              <w:left w:val="single" w:color="000000" w:sz="4" w:space="0"/>
              <w:bottom w:val="single" w:color="000000" w:sz="4" w:space="0"/>
              <w:right w:val="single" w:color="000000" w:sz="4" w:space="0"/>
            </w:tcBorders>
            <w:vAlign w:val="center"/>
          </w:tcPr>
          <w:p w14:paraId="7D64A550">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60</w:t>
            </w:r>
          </w:p>
        </w:tc>
        <w:tc>
          <w:tcPr>
            <w:tcW w:w="496" w:type="pct"/>
            <w:tcBorders>
              <w:top w:val="single" w:color="000000" w:sz="4" w:space="0"/>
              <w:left w:val="single" w:color="000000" w:sz="4" w:space="0"/>
              <w:bottom w:val="single" w:color="000000" w:sz="4" w:space="0"/>
              <w:right w:val="nil"/>
            </w:tcBorders>
            <w:vAlign w:val="center"/>
          </w:tcPr>
          <w:p w14:paraId="1926EAAC">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54</w:t>
            </w:r>
          </w:p>
        </w:tc>
      </w:tr>
      <w:tr w14:paraId="1B227929">
        <w:tblPrEx>
          <w:tblCellMar>
            <w:top w:w="0" w:type="dxa"/>
            <w:left w:w="0" w:type="dxa"/>
            <w:bottom w:w="0" w:type="dxa"/>
            <w:right w:w="0" w:type="dxa"/>
          </w:tblCellMar>
        </w:tblPrEx>
        <w:tc>
          <w:tcPr>
            <w:tcW w:w="848" w:type="pct"/>
            <w:tcBorders>
              <w:top w:val="single" w:color="000000" w:sz="4" w:space="0"/>
              <w:left w:val="nil"/>
              <w:bottom w:val="single" w:color="000000" w:sz="10" w:space="0"/>
              <w:right w:val="single" w:color="000000" w:sz="4" w:space="0"/>
            </w:tcBorders>
            <w:vAlign w:val="center"/>
          </w:tcPr>
          <w:p w14:paraId="3ED8D962">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混凝土输送泵</w:t>
            </w:r>
          </w:p>
        </w:tc>
        <w:tc>
          <w:tcPr>
            <w:tcW w:w="671" w:type="pct"/>
            <w:tcBorders>
              <w:top w:val="single" w:color="000000" w:sz="4" w:space="0"/>
              <w:left w:val="single" w:color="000000" w:sz="4" w:space="0"/>
              <w:bottom w:val="single" w:color="000000" w:sz="10" w:space="0"/>
              <w:right w:val="single" w:color="000000" w:sz="4" w:space="0"/>
            </w:tcBorders>
            <w:vAlign w:val="center"/>
          </w:tcPr>
          <w:p w14:paraId="20186317">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95</w:t>
            </w:r>
          </w:p>
        </w:tc>
        <w:tc>
          <w:tcPr>
            <w:tcW w:w="496" w:type="pct"/>
            <w:tcBorders>
              <w:top w:val="single" w:color="000000" w:sz="4" w:space="0"/>
              <w:left w:val="single" w:color="000000" w:sz="4" w:space="0"/>
              <w:bottom w:val="single" w:color="000000" w:sz="10" w:space="0"/>
              <w:right w:val="single" w:color="000000" w:sz="4" w:space="0"/>
            </w:tcBorders>
            <w:vAlign w:val="center"/>
          </w:tcPr>
          <w:p w14:paraId="629E1EB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75</w:t>
            </w:r>
          </w:p>
        </w:tc>
        <w:tc>
          <w:tcPr>
            <w:tcW w:w="497" w:type="pct"/>
            <w:tcBorders>
              <w:top w:val="single" w:color="000000" w:sz="4" w:space="0"/>
              <w:left w:val="single" w:color="000000" w:sz="4" w:space="0"/>
              <w:bottom w:val="single" w:color="000000" w:sz="10" w:space="0"/>
              <w:right w:val="single" w:color="000000" w:sz="4" w:space="0"/>
            </w:tcBorders>
            <w:vAlign w:val="center"/>
          </w:tcPr>
          <w:p w14:paraId="670CC5D1">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69</w:t>
            </w:r>
          </w:p>
        </w:tc>
        <w:tc>
          <w:tcPr>
            <w:tcW w:w="496" w:type="pct"/>
            <w:tcBorders>
              <w:top w:val="single" w:color="000000" w:sz="4" w:space="0"/>
              <w:left w:val="single" w:color="000000" w:sz="4" w:space="0"/>
              <w:bottom w:val="single" w:color="000000" w:sz="10" w:space="0"/>
              <w:right w:val="single" w:color="000000" w:sz="4" w:space="0"/>
            </w:tcBorders>
            <w:vAlign w:val="center"/>
          </w:tcPr>
          <w:p w14:paraId="700DC860">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64</w:t>
            </w:r>
          </w:p>
        </w:tc>
        <w:tc>
          <w:tcPr>
            <w:tcW w:w="497" w:type="pct"/>
            <w:tcBorders>
              <w:top w:val="single" w:color="000000" w:sz="4" w:space="0"/>
              <w:left w:val="single" w:color="000000" w:sz="4" w:space="0"/>
              <w:bottom w:val="single" w:color="000000" w:sz="10" w:space="0"/>
              <w:right w:val="single" w:color="000000" w:sz="4" w:space="0"/>
            </w:tcBorders>
            <w:vAlign w:val="center"/>
          </w:tcPr>
          <w:p w14:paraId="5BCD08D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61</w:t>
            </w:r>
          </w:p>
        </w:tc>
        <w:tc>
          <w:tcPr>
            <w:tcW w:w="496" w:type="pct"/>
            <w:tcBorders>
              <w:top w:val="single" w:color="000000" w:sz="4" w:space="0"/>
              <w:left w:val="single" w:color="000000" w:sz="4" w:space="0"/>
              <w:bottom w:val="single" w:color="000000" w:sz="10" w:space="0"/>
              <w:right w:val="single" w:color="000000" w:sz="4" w:space="0"/>
            </w:tcBorders>
            <w:vAlign w:val="center"/>
          </w:tcPr>
          <w:p w14:paraId="63D893E4">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59</w:t>
            </w:r>
          </w:p>
        </w:tc>
        <w:tc>
          <w:tcPr>
            <w:tcW w:w="497" w:type="pct"/>
            <w:tcBorders>
              <w:top w:val="single" w:color="000000" w:sz="4" w:space="0"/>
              <w:left w:val="single" w:color="000000" w:sz="4" w:space="0"/>
              <w:bottom w:val="single" w:color="000000" w:sz="10" w:space="0"/>
              <w:right w:val="single" w:color="000000" w:sz="4" w:space="0"/>
            </w:tcBorders>
            <w:vAlign w:val="center"/>
          </w:tcPr>
          <w:p w14:paraId="06AE7ABB">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55</w:t>
            </w:r>
          </w:p>
        </w:tc>
        <w:tc>
          <w:tcPr>
            <w:tcW w:w="496" w:type="pct"/>
            <w:tcBorders>
              <w:top w:val="single" w:color="000000" w:sz="4" w:space="0"/>
              <w:left w:val="single" w:color="000000" w:sz="4" w:space="0"/>
              <w:bottom w:val="single" w:color="000000" w:sz="10" w:space="0"/>
              <w:right w:val="nil"/>
            </w:tcBorders>
            <w:vAlign w:val="center"/>
          </w:tcPr>
          <w:p w14:paraId="6EA716CC">
            <w:pPr>
              <w:widowControl w:val="0"/>
              <w:kinsoku w:val="0"/>
              <w:overflowPunct w:val="0"/>
              <w:autoSpaceDE w:val="0"/>
              <w:autoSpaceDN w:val="0"/>
              <w:adjustRightIn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49</w:t>
            </w:r>
          </w:p>
        </w:tc>
      </w:tr>
      <w:tr w14:paraId="29A2361C">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148EE6D9">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商砼运输车</w:t>
            </w:r>
          </w:p>
        </w:tc>
        <w:tc>
          <w:tcPr>
            <w:tcW w:w="671" w:type="pct"/>
            <w:tcBorders>
              <w:top w:val="single" w:color="000000" w:sz="4" w:space="0"/>
              <w:left w:val="single" w:color="000000" w:sz="4" w:space="0"/>
              <w:bottom w:val="single" w:color="000000" w:sz="4" w:space="0"/>
              <w:right w:val="single" w:color="000000" w:sz="4" w:space="0"/>
            </w:tcBorders>
            <w:vAlign w:val="center"/>
          </w:tcPr>
          <w:p w14:paraId="493ADB36">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90</w:t>
            </w:r>
          </w:p>
        </w:tc>
        <w:tc>
          <w:tcPr>
            <w:tcW w:w="496" w:type="pct"/>
            <w:tcBorders>
              <w:top w:val="single" w:color="000000" w:sz="4" w:space="0"/>
              <w:left w:val="single" w:color="000000" w:sz="4" w:space="0"/>
              <w:bottom w:val="single" w:color="000000" w:sz="4" w:space="0"/>
              <w:right w:val="single" w:color="000000" w:sz="4" w:space="0"/>
            </w:tcBorders>
            <w:vAlign w:val="center"/>
          </w:tcPr>
          <w:p w14:paraId="71F89249">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70</w:t>
            </w:r>
          </w:p>
        </w:tc>
        <w:tc>
          <w:tcPr>
            <w:tcW w:w="497" w:type="pct"/>
            <w:tcBorders>
              <w:top w:val="single" w:color="000000" w:sz="4" w:space="0"/>
              <w:left w:val="single" w:color="000000" w:sz="4" w:space="0"/>
              <w:bottom w:val="single" w:color="000000" w:sz="4" w:space="0"/>
              <w:right w:val="single" w:color="000000" w:sz="4" w:space="0"/>
            </w:tcBorders>
            <w:vAlign w:val="center"/>
          </w:tcPr>
          <w:p w14:paraId="6810FB65">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64</w:t>
            </w:r>
          </w:p>
        </w:tc>
        <w:tc>
          <w:tcPr>
            <w:tcW w:w="496" w:type="pct"/>
            <w:tcBorders>
              <w:top w:val="single" w:color="000000" w:sz="4" w:space="0"/>
              <w:left w:val="single" w:color="000000" w:sz="4" w:space="0"/>
              <w:bottom w:val="single" w:color="000000" w:sz="4" w:space="0"/>
              <w:right w:val="single" w:color="000000" w:sz="4" w:space="0"/>
            </w:tcBorders>
            <w:vAlign w:val="center"/>
          </w:tcPr>
          <w:p w14:paraId="6E893BB6">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58</w:t>
            </w:r>
          </w:p>
        </w:tc>
        <w:tc>
          <w:tcPr>
            <w:tcW w:w="497" w:type="pct"/>
            <w:tcBorders>
              <w:top w:val="single" w:color="000000" w:sz="4" w:space="0"/>
              <w:left w:val="single" w:color="000000" w:sz="4" w:space="0"/>
              <w:bottom w:val="single" w:color="000000" w:sz="4" w:space="0"/>
              <w:right w:val="single" w:color="000000" w:sz="4" w:space="0"/>
            </w:tcBorders>
            <w:vAlign w:val="center"/>
          </w:tcPr>
          <w:p w14:paraId="21C4B625">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56</w:t>
            </w:r>
          </w:p>
        </w:tc>
        <w:tc>
          <w:tcPr>
            <w:tcW w:w="496" w:type="pct"/>
            <w:tcBorders>
              <w:top w:val="single" w:color="000000" w:sz="4" w:space="0"/>
              <w:left w:val="single" w:color="000000" w:sz="4" w:space="0"/>
              <w:bottom w:val="single" w:color="000000" w:sz="4" w:space="0"/>
              <w:right w:val="single" w:color="000000" w:sz="4" w:space="0"/>
            </w:tcBorders>
            <w:vAlign w:val="center"/>
          </w:tcPr>
          <w:p w14:paraId="128C7B31">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54</w:t>
            </w:r>
          </w:p>
        </w:tc>
        <w:tc>
          <w:tcPr>
            <w:tcW w:w="497" w:type="pct"/>
            <w:tcBorders>
              <w:top w:val="single" w:color="000000" w:sz="4" w:space="0"/>
              <w:left w:val="single" w:color="000000" w:sz="4" w:space="0"/>
              <w:bottom w:val="single" w:color="000000" w:sz="4" w:space="0"/>
              <w:right w:val="single" w:color="000000" w:sz="4" w:space="0"/>
            </w:tcBorders>
            <w:vAlign w:val="center"/>
          </w:tcPr>
          <w:p w14:paraId="325EC0CC">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50</w:t>
            </w:r>
          </w:p>
        </w:tc>
        <w:tc>
          <w:tcPr>
            <w:tcW w:w="496" w:type="pct"/>
            <w:tcBorders>
              <w:top w:val="single" w:color="000000" w:sz="4" w:space="0"/>
              <w:left w:val="single" w:color="000000" w:sz="4" w:space="0"/>
              <w:bottom w:val="single" w:color="000000" w:sz="4" w:space="0"/>
              <w:right w:val="nil"/>
            </w:tcBorders>
            <w:vAlign w:val="center"/>
          </w:tcPr>
          <w:p w14:paraId="78171C36">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44</w:t>
            </w:r>
          </w:p>
        </w:tc>
      </w:tr>
      <w:tr w14:paraId="538CD1D8">
        <w:tblPrEx>
          <w:tblCellMar>
            <w:top w:w="0" w:type="dxa"/>
            <w:left w:w="0" w:type="dxa"/>
            <w:bottom w:w="0" w:type="dxa"/>
            <w:right w:w="0" w:type="dxa"/>
          </w:tblCellMar>
        </w:tblPrEx>
        <w:tc>
          <w:tcPr>
            <w:tcW w:w="848" w:type="pct"/>
            <w:tcBorders>
              <w:top w:val="single" w:color="000000" w:sz="4" w:space="0"/>
              <w:left w:val="nil"/>
              <w:bottom w:val="single" w:color="000000" w:sz="4" w:space="0"/>
              <w:right w:val="single" w:color="000000" w:sz="4" w:space="0"/>
            </w:tcBorders>
            <w:vAlign w:val="center"/>
          </w:tcPr>
          <w:p w14:paraId="4F0298A0">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混凝土振捣器</w:t>
            </w:r>
          </w:p>
        </w:tc>
        <w:tc>
          <w:tcPr>
            <w:tcW w:w="671" w:type="pct"/>
            <w:tcBorders>
              <w:top w:val="single" w:color="000000" w:sz="4" w:space="0"/>
              <w:left w:val="single" w:color="000000" w:sz="4" w:space="0"/>
              <w:bottom w:val="single" w:color="000000" w:sz="4" w:space="0"/>
              <w:right w:val="single" w:color="000000" w:sz="4" w:space="0"/>
            </w:tcBorders>
            <w:vAlign w:val="center"/>
          </w:tcPr>
          <w:p w14:paraId="31A624C4">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88</w:t>
            </w:r>
          </w:p>
        </w:tc>
        <w:tc>
          <w:tcPr>
            <w:tcW w:w="496" w:type="pct"/>
            <w:tcBorders>
              <w:top w:val="single" w:color="000000" w:sz="4" w:space="0"/>
              <w:left w:val="single" w:color="000000" w:sz="4" w:space="0"/>
              <w:bottom w:val="single" w:color="000000" w:sz="4" w:space="0"/>
              <w:right w:val="single" w:color="000000" w:sz="4" w:space="0"/>
            </w:tcBorders>
            <w:vAlign w:val="center"/>
          </w:tcPr>
          <w:p w14:paraId="4DDD4998">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68</w:t>
            </w:r>
          </w:p>
        </w:tc>
        <w:tc>
          <w:tcPr>
            <w:tcW w:w="497" w:type="pct"/>
            <w:tcBorders>
              <w:top w:val="single" w:color="000000" w:sz="4" w:space="0"/>
              <w:left w:val="single" w:color="000000" w:sz="4" w:space="0"/>
              <w:bottom w:val="single" w:color="000000" w:sz="4" w:space="0"/>
              <w:right w:val="single" w:color="000000" w:sz="4" w:space="0"/>
            </w:tcBorders>
            <w:vAlign w:val="center"/>
          </w:tcPr>
          <w:p w14:paraId="3D5D369E">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62</w:t>
            </w:r>
          </w:p>
        </w:tc>
        <w:tc>
          <w:tcPr>
            <w:tcW w:w="496" w:type="pct"/>
            <w:tcBorders>
              <w:top w:val="single" w:color="000000" w:sz="4" w:space="0"/>
              <w:left w:val="single" w:color="000000" w:sz="4" w:space="0"/>
              <w:bottom w:val="single" w:color="000000" w:sz="4" w:space="0"/>
              <w:right w:val="single" w:color="000000" w:sz="4" w:space="0"/>
            </w:tcBorders>
            <w:vAlign w:val="center"/>
          </w:tcPr>
          <w:p w14:paraId="3C05228A">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56</w:t>
            </w:r>
          </w:p>
        </w:tc>
        <w:tc>
          <w:tcPr>
            <w:tcW w:w="497" w:type="pct"/>
            <w:tcBorders>
              <w:top w:val="single" w:color="000000" w:sz="4" w:space="0"/>
              <w:left w:val="single" w:color="000000" w:sz="4" w:space="0"/>
              <w:bottom w:val="single" w:color="000000" w:sz="4" w:space="0"/>
              <w:right w:val="single" w:color="000000" w:sz="4" w:space="0"/>
            </w:tcBorders>
            <w:vAlign w:val="center"/>
          </w:tcPr>
          <w:p w14:paraId="2C0AEB7D">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54</w:t>
            </w:r>
          </w:p>
        </w:tc>
        <w:tc>
          <w:tcPr>
            <w:tcW w:w="496" w:type="pct"/>
            <w:tcBorders>
              <w:top w:val="single" w:color="000000" w:sz="4" w:space="0"/>
              <w:left w:val="single" w:color="000000" w:sz="4" w:space="0"/>
              <w:bottom w:val="single" w:color="000000" w:sz="4" w:space="0"/>
              <w:right w:val="single" w:color="000000" w:sz="4" w:space="0"/>
            </w:tcBorders>
            <w:vAlign w:val="center"/>
          </w:tcPr>
          <w:p w14:paraId="39F8EEB5">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52</w:t>
            </w:r>
          </w:p>
        </w:tc>
        <w:tc>
          <w:tcPr>
            <w:tcW w:w="497" w:type="pct"/>
            <w:tcBorders>
              <w:top w:val="single" w:color="000000" w:sz="4" w:space="0"/>
              <w:left w:val="single" w:color="000000" w:sz="4" w:space="0"/>
              <w:bottom w:val="single" w:color="000000" w:sz="4" w:space="0"/>
              <w:right w:val="single" w:color="000000" w:sz="4" w:space="0"/>
            </w:tcBorders>
            <w:vAlign w:val="center"/>
          </w:tcPr>
          <w:p w14:paraId="1DEA567F">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48</w:t>
            </w:r>
          </w:p>
        </w:tc>
        <w:tc>
          <w:tcPr>
            <w:tcW w:w="496" w:type="pct"/>
            <w:tcBorders>
              <w:top w:val="single" w:color="000000" w:sz="4" w:space="0"/>
              <w:left w:val="single" w:color="000000" w:sz="4" w:space="0"/>
              <w:bottom w:val="single" w:color="000000" w:sz="4" w:space="0"/>
              <w:right w:val="nil"/>
            </w:tcBorders>
            <w:vAlign w:val="center"/>
          </w:tcPr>
          <w:p w14:paraId="4204F737">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42</w:t>
            </w:r>
          </w:p>
        </w:tc>
      </w:tr>
      <w:tr w14:paraId="2B6419B4">
        <w:tblPrEx>
          <w:tblCellMar>
            <w:top w:w="0" w:type="dxa"/>
            <w:left w:w="0" w:type="dxa"/>
            <w:bottom w:w="0" w:type="dxa"/>
            <w:right w:w="0" w:type="dxa"/>
          </w:tblCellMar>
        </w:tblPrEx>
        <w:tc>
          <w:tcPr>
            <w:tcW w:w="848" w:type="pct"/>
            <w:tcBorders>
              <w:top w:val="single" w:color="000000" w:sz="4" w:space="0"/>
              <w:left w:val="nil"/>
              <w:bottom w:val="single" w:color="auto" w:sz="12" w:space="0"/>
              <w:right w:val="single" w:color="000000" w:sz="4" w:space="0"/>
            </w:tcBorders>
            <w:vAlign w:val="center"/>
          </w:tcPr>
          <w:p w14:paraId="5C5B35A4">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空压机</w:t>
            </w:r>
          </w:p>
        </w:tc>
        <w:tc>
          <w:tcPr>
            <w:tcW w:w="671" w:type="pct"/>
            <w:tcBorders>
              <w:top w:val="single" w:color="000000" w:sz="4" w:space="0"/>
              <w:left w:val="single" w:color="000000" w:sz="4" w:space="0"/>
              <w:bottom w:val="single" w:color="auto" w:sz="12" w:space="0"/>
              <w:right w:val="single" w:color="000000" w:sz="4" w:space="0"/>
            </w:tcBorders>
            <w:vAlign w:val="center"/>
          </w:tcPr>
          <w:p w14:paraId="3225BD2E">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92</w:t>
            </w:r>
          </w:p>
        </w:tc>
        <w:tc>
          <w:tcPr>
            <w:tcW w:w="496" w:type="pct"/>
            <w:tcBorders>
              <w:top w:val="single" w:color="000000" w:sz="4" w:space="0"/>
              <w:left w:val="single" w:color="000000" w:sz="4" w:space="0"/>
              <w:bottom w:val="single" w:color="auto" w:sz="12" w:space="0"/>
              <w:right w:val="single" w:color="000000" w:sz="4" w:space="0"/>
            </w:tcBorders>
            <w:vAlign w:val="center"/>
          </w:tcPr>
          <w:p w14:paraId="6CD75710">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72</w:t>
            </w:r>
          </w:p>
        </w:tc>
        <w:tc>
          <w:tcPr>
            <w:tcW w:w="497" w:type="pct"/>
            <w:tcBorders>
              <w:top w:val="single" w:color="000000" w:sz="4" w:space="0"/>
              <w:left w:val="single" w:color="000000" w:sz="4" w:space="0"/>
              <w:bottom w:val="single" w:color="auto" w:sz="12" w:space="0"/>
              <w:right w:val="single" w:color="000000" w:sz="4" w:space="0"/>
            </w:tcBorders>
            <w:vAlign w:val="center"/>
          </w:tcPr>
          <w:p w14:paraId="1C33FA59">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66</w:t>
            </w:r>
          </w:p>
        </w:tc>
        <w:tc>
          <w:tcPr>
            <w:tcW w:w="496" w:type="pct"/>
            <w:tcBorders>
              <w:top w:val="single" w:color="000000" w:sz="4" w:space="0"/>
              <w:left w:val="single" w:color="000000" w:sz="4" w:space="0"/>
              <w:bottom w:val="single" w:color="auto" w:sz="12" w:space="0"/>
              <w:right w:val="single" w:color="000000" w:sz="4" w:space="0"/>
            </w:tcBorders>
            <w:vAlign w:val="center"/>
          </w:tcPr>
          <w:p w14:paraId="1117F3CA">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60</w:t>
            </w:r>
          </w:p>
        </w:tc>
        <w:tc>
          <w:tcPr>
            <w:tcW w:w="497" w:type="pct"/>
            <w:tcBorders>
              <w:top w:val="single" w:color="000000" w:sz="4" w:space="0"/>
              <w:left w:val="single" w:color="000000" w:sz="4" w:space="0"/>
              <w:bottom w:val="single" w:color="auto" w:sz="12" w:space="0"/>
              <w:right w:val="single" w:color="000000" w:sz="4" w:space="0"/>
            </w:tcBorders>
            <w:vAlign w:val="center"/>
          </w:tcPr>
          <w:p w14:paraId="5EF03C7C">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58</w:t>
            </w:r>
          </w:p>
        </w:tc>
        <w:tc>
          <w:tcPr>
            <w:tcW w:w="496" w:type="pct"/>
            <w:tcBorders>
              <w:top w:val="single" w:color="000000" w:sz="4" w:space="0"/>
              <w:left w:val="single" w:color="000000" w:sz="4" w:space="0"/>
              <w:bottom w:val="single" w:color="auto" w:sz="12" w:space="0"/>
              <w:right w:val="single" w:color="000000" w:sz="4" w:space="0"/>
            </w:tcBorders>
            <w:vAlign w:val="center"/>
          </w:tcPr>
          <w:p w14:paraId="414D526A">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56</w:t>
            </w:r>
          </w:p>
        </w:tc>
        <w:tc>
          <w:tcPr>
            <w:tcW w:w="497" w:type="pct"/>
            <w:tcBorders>
              <w:top w:val="single" w:color="000000" w:sz="4" w:space="0"/>
              <w:left w:val="single" w:color="000000" w:sz="4" w:space="0"/>
              <w:bottom w:val="single" w:color="auto" w:sz="12" w:space="0"/>
              <w:right w:val="single" w:color="000000" w:sz="4" w:space="0"/>
            </w:tcBorders>
            <w:vAlign w:val="center"/>
          </w:tcPr>
          <w:p w14:paraId="4E5F7F87">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52</w:t>
            </w:r>
          </w:p>
        </w:tc>
        <w:tc>
          <w:tcPr>
            <w:tcW w:w="496" w:type="pct"/>
            <w:tcBorders>
              <w:top w:val="single" w:color="000000" w:sz="4" w:space="0"/>
              <w:left w:val="single" w:color="000000" w:sz="4" w:space="0"/>
              <w:bottom w:val="single" w:color="auto" w:sz="12" w:space="0"/>
              <w:right w:val="nil"/>
            </w:tcBorders>
            <w:vAlign w:val="center"/>
          </w:tcPr>
          <w:p w14:paraId="40AC41C6">
            <w:pPr>
              <w:widowControl w:val="0"/>
              <w:kinsoku w:val="0"/>
              <w:overflowPunct w:val="0"/>
              <w:autoSpaceDE w:val="0"/>
              <w:autoSpaceDN w:val="0"/>
              <w:adjustRightInd w:val="0"/>
              <w:jc w:val="center"/>
              <w:rPr>
                <w:color w:val="000000" w:themeColor="text1"/>
                <w:kern w:val="0"/>
                <w:sz w:val="24"/>
                <w14:textFill>
                  <w14:solidFill>
                    <w14:schemeClr w14:val="tx1"/>
                  </w14:solidFill>
                </w14:textFill>
              </w:rPr>
            </w:pPr>
            <w:r>
              <w:rPr>
                <w:color w:val="000000" w:themeColor="text1"/>
                <w:kern w:val="0"/>
                <w:szCs w:val="21"/>
                <w14:textFill>
                  <w14:solidFill>
                    <w14:schemeClr w14:val="tx1"/>
                  </w14:solidFill>
                </w14:textFill>
              </w:rPr>
              <w:t>46</w:t>
            </w:r>
          </w:p>
        </w:tc>
      </w:tr>
    </w:tbl>
    <w:p w14:paraId="3A3AE0E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从表5.1-1可知，单台施工机械噪声昼间在距施工场地约40m处满足《建筑施工场界环境噪声排放标准》（GB12523-2011）规定的标准要求。由于高噪声机械设备施工只在昼间进行，且施工期是暂时的，噪声属不连续排放。因此施工期间噪声值可满足《建筑施工场界环境噪声排放标准》（GB12523-2011）标准的要求，施工噪声可实现达标排放。根据现场踏勘，本项目牛舍等建筑物周边200m范围内有部分散户居民，为实现施工期噪声达标排放，降低对周围环境的影响，施工单位应严格按照相关要求文明施工，采取以下噪声防治措施：</w:t>
      </w:r>
    </w:p>
    <w:p w14:paraId="7FD23DC7">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施工机械选用低噪声设备，并采取有效的隔声、减振措施。</w:t>
      </w:r>
    </w:p>
    <w:p w14:paraId="3F98E8EA">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合理布置施工总平面。施工期高噪声设备布置在远离周围附近居民一侧，有效利用距离的衰减，降低施工噪声或偶发性噪声对其影响。</w:t>
      </w:r>
    </w:p>
    <w:p w14:paraId="682C28F4">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加强施工期环境管理，文明施工。装卸、搬运木材、模具、钢材等严禁抛掷。材料运输车辆进场要专人指挥，限速，场内运输车辆禁止鸣笛。</w:t>
      </w:r>
    </w:p>
    <w:p w14:paraId="012C1194">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w:t>
      </w:r>
      <w:r>
        <w:rPr>
          <w:color w:val="000000" w:themeColor="text1"/>
          <w:sz w:val="24"/>
          <w14:textFill>
            <w14:solidFill>
              <w14:schemeClr w14:val="tx1"/>
            </w14:solidFill>
          </w14:textFill>
        </w:rPr>
        <w:t>材料运输安排在白天进行，在经过村庄时采取限速、禁鸣等措施。</w:t>
      </w:r>
    </w:p>
    <w:p w14:paraId="12AB14B0">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w:t>
      </w:r>
      <w:r>
        <w:rPr>
          <w:color w:val="000000" w:themeColor="text1"/>
          <w:sz w:val="24"/>
          <w14:textFill>
            <w14:solidFill>
              <w14:schemeClr w14:val="tx1"/>
            </w14:solidFill>
          </w14:textFill>
        </w:rPr>
        <w:t>合理安排施工时间。应将高噪声作业安排在白天进行，杜绝夜间（22：00~08：00）施工。</w:t>
      </w:r>
    </w:p>
    <w:p w14:paraId="48456713">
      <w:pPr>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⑥</w:t>
      </w:r>
      <w:r>
        <w:rPr>
          <w:color w:val="000000" w:themeColor="text1"/>
          <w:sz w:val="24"/>
          <w14:textFill>
            <w14:solidFill>
              <w14:schemeClr w14:val="tx1"/>
            </w14:solidFill>
          </w14:textFill>
        </w:rPr>
        <w:t>施工前应进行公示，与周围农户进行有效沟通，取得其理解。同时建设单位应要求施工单位在现场张贴通告和投诉电话，建设单位在接到投诉电话后及时与当地环保部门联系，及时处理各种环境纠纷。</w:t>
      </w:r>
    </w:p>
    <w:p w14:paraId="29901FA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施工期在采取相关噪声治理措施后，施工期产生的噪声贡献值较小，不会对周围敏感点产生明显影响。</w:t>
      </w:r>
    </w:p>
    <w:p w14:paraId="191B2070">
      <w:pPr>
        <w:pStyle w:val="5"/>
        <w:adjustRightInd w:val="0"/>
        <w:snapToGrid w:val="0"/>
        <w:spacing w:before="0" w:after="0" w:line="360" w:lineRule="auto"/>
        <w:rPr>
          <w:color w:val="000000" w:themeColor="text1"/>
          <w:sz w:val="28"/>
          <w:szCs w:val="28"/>
          <w14:textFill>
            <w14:solidFill>
              <w14:schemeClr w14:val="tx1"/>
            </w14:solidFill>
          </w14:textFill>
        </w:rPr>
      </w:pPr>
      <w:bookmarkStart w:id="677" w:name="_Toc40220754"/>
      <w:bookmarkStart w:id="678" w:name="_Toc24315"/>
      <w:bookmarkStart w:id="679" w:name="_Toc27751192"/>
      <w:bookmarkStart w:id="680" w:name="_Toc28814678"/>
      <w:bookmarkStart w:id="681" w:name="_Toc21529648"/>
      <w:bookmarkStart w:id="682" w:name="_Toc233380206"/>
      <w:r>
        <w:rPr>
          <w:color w:val="000000" w:themeColor="text1"/>
          <w:sz w:val="28"/>
          <w:szCs w:val="28"/>
          <w14:textFill>
            <w14:solidFill>
              <w14:schemeClr w14:val="tx1"/>
            </w14:solidFill>
          </w14:textFill>
        </w:rPr>
        <w:t>5.1.4施工期固废影响分析</w:t>
      </w:r>
      <w:bookmarkEnd w:id="677"/>
      <w:bookmarkEnd w:id="678"/>
      <w:bookmarkEnd w:id="679"/>
      <w:bookmarkEnd w:id="680"/>
      <w:bookmarkEnd w:id="681"/>
      <w:bookmarkEnd w:id="682"/>
    </w:p>
    <w:p w14:paraId="40B82933">
      <w:pPr>
        <w:spacing w:line="360" w:lineRule="auto"/>
        <w:jc w:val="both"/>
        <w:rPr>
          <w:b/>
          <w:color w:val="000000" w:themeColor="text1"/>
          <w:sz w:val="24"/>
          <w14:textFill>
            <w14:solidFill>
              <w14:schemeClr w14:val="tx1"/>
            </w14:solidFill>
          </w14:textFill>
        </w:rPr>
      </w:pPr>
      <w:bookmarkStart w:id="683" w:name="OLE_LINK11"/>
      <w:r>
        <w:rPr>
          <w:b/>
          <w:color w:val="000000" w:themeColor="text1"/>
          <w:sz w:val="24"/>
          <w14:textFill>
            <w14:solidFill>
              <w14:schemeClr w14:val="tx1"/>
            </w14:solidFill>
          </w14:textFill>
        </w:rPr>
        <w:t>5.1.4.1施工固废产生情况</w:t>
      </w:r>
    </w:p>
    <w:bookmarkEnd w:id="683"/>
    <w:p w14:paraId="7411726D">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本项目施工期挖方量与填方量能够做到平衡，无弃土产生。</w:t>
      </w:r>
    </w:p>
    <w:p w14:paraId="5C5FA4D3">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施工建设期固体废物主要建材损耗和装修等产生的建筑垃圾和施工人员产生的生活垃圾组成。</w:t>
      </w:r>
    </w:p>
    <w:p w14:paraId="5C431BC6">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建筑垃圾：建筑垃圾的成份主要是一些碎砂石、砖、混凝土等，类比同类项目，施工期建筑垃圾产生量约50t。</w:t>
      </w:r>
    </w:p>
    <w:p w14:paraId="158D7511">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生活垃圾：本项目施工高峰期施工人员约40人，生活垃圾按0.5kg/d·人计，产生量为20kg/d。施工人员每日产生的生活垃圾应经过袋装收集后，交由当地环卫部门统一清运处置，不会对区域环境质量构成潜在的影响因素。</w:t>
      </w:r>
    </w:p>
    <w:p w14:paraId="6ED0C37F">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5.1.4.2施工固废影响分析</w:t>
      </w:r>
    </w:p>
    <w:p w14:paraId="59E8D36D">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（1）建筑垃圾影响分析</w:t>
      </w:r>
    </w:p>
    <w:p w14:paraId="5403D2D7">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施工建设期产生的建筑垃圾可回用的如碎砖、混凝土块等废料用于铺路或作为建筑材料二次利用；废金属经分拣、收集后由废旧金属回收单位回收再利用；不能利用的碎砖、混凝土块等废料经集中堆放后，由施工单位运往城建部门指定地点场所统一处置。</w:t>
      </w:r>
    </w:p>
    <w:p w14:paraId="31BC5E91">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经以上资源化、减量化处理后，施工中产生的建筑垃圾对环境的影响可降低到最小程度。</w:t>
      </w:r>
    </w:p>
    <w:p w14:paraId="2284C010">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（2）生活垃圾影响分析</w:t>
      </w:r>
    </w:p>
    <w:p w14:paraId="59C8E20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拟建项目施工期生活垃圾包括矿泉水瓶、塑料袋、一次性饭盒、剩余食品等，其主要成分为有机物，如处理不当，将影响景观，在气温适宜的条件下还会滋生蚊虫、散发异味，对周围环境造成污染。因此，施工人员产生的生活垃圾经定点集中后，委托当地环卫部门统一清运，可避免二次污染。</w:t>
      </w:r>
    </w:p>
    <w:p w14:paraId="0A950E6D">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5.1.4.3施工期固体废物处置措施</w:t>
      </w:r>
    </w:p>
    <w:p w14:paraId="13572F30">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施工期建筑垃圾应集中堆放，及时清运，在工程结束前清扫干净。对建筑垃圾中可回用的（如废金属、碎砖等）应加以回收利用，建筑垃圾中可回用的建筑垃圾如碎砖、混凝土块等废料用于铺路或作为建筑材料二次利用；废金属经分拣、收集后由废旧金属回收单位回收再利用；不能利用的碎砖、混凝土块等废料经集中堆放后，由施工单位运往城建部门指定地点场所统一处置。</w:t>
      </w:r>
    </w:p>
    <w:p w14:paraId="12B9F1C6">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（2）施工人员产生的生活垃圾应及时收集于设在施工场地的临时垃圾收集筒中，再由当地环卫部门统一清运。</w:t>
      </w:r>
    </w:p>
    <w:p w14:paraId="027CE84A">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（3）在排水沟周边设置围挡，禁止施工固体废物、土石方等进入附近水体。</w:t>
      </w:r>
    </w:p>
    <w:p w14:paraId="0CE80A92">
      <w:pPr>
        <w:pStyle w:val="5"/>
        <w:adjustRightInd w:val="0"/>
        <w:snapToGrid w:val="0"/>
        <w:spacing w:before="0" w:after="0" w:line="360" w:lineRule="auto"/>
        <w:rPr>
          <w:color w:val="000000" w:themeColor="text1"/>
          <w:sz w:val="28"/>
          <w:szCs w:val="28"/>
          <w14:textFill>
            <w14:solidFill>
              <w14:schemeClr w14:val="tx1"/>
            </w14:solidFill>
          </w14:textFill>
        </w:rPr>
      </w:pPr>
      <w:bookmarkStart w:id="684" w:name="_Toc175"/>
      <w:bookmarkStart w:id="685" w:name="_Toc233380207"/>
      <w:r>
        <w:rPr>
          <w:color w:val="000000" w:themeColor="text1"/>
          <w:sz w:val="28"/>
          <w:szCs w:val="28"/>
          <w14:textFill>
            <w14:solidFill>
              <w14:schemeClr w14:val="tx1"/>
            </w14:solidFill>
          </w14:textFill>
        </w:rPr>
        <w:t>5.1.5施工期生态影响分析</w:t>
      </w:r>
      <w:bookmarkEnd w:id="684"/>
      <w:bookmarkEnd w:id="685"/>
    </w:p>
    <w:p w14:paraId="3CEA328C">
      <w:pPr>
        <w:spacing w:line="360" w:lineRule="auto"/>
        <w:ind w:firstLine="480"/>
        <w:rPr>
          <w:color w:val="000000" w:themeColor="text1"/>
          <w:spacing w:val="6"/>
          <w:kern w:val="0"/>
          <w:sz w:val="24"/>
          <w14:textFill>
            <w14:solidFill>
              <w14:schemeClr w14:val="tx1"/>
            </w14:solidFill>
          </w14:textFill>
        </w:rPr>
      </w:pPr>
      <w:r>
        <w:rPr>
          <w:color w:val="000000" w:themeColor="text1"/>
          <w:spacing w:val="-3"/>
          <w:sz w:val="24"/>
          <w14:textFill>
            <w14:solidFill>
              <w14:schemeClr w14:val="tx1"/>
            </w14:solidFill>
          </w14:textFill>
        </w:rPr>
        <w:t>本项目用地范围内人类活动明显，生物量较小，施工期主要</w:t>
      </w:r>
      <w:r>
        <w:rPr>
          <w:color w:val="000000" w:themeColor="text1"/>
          <w:spacing w:val="-4"/>
          <w:sz w:val="24"/>
          <w14:textFill>
            <w14:solidFill>
              <w14:schemeClr w14:val="tx1"/>
            </w14:solidFill>
          </w14:textFill>
        </w:rPr>
        <w:t>生态影响为动植物生存环境</w:t>
      </w:r>
      <w:r>
        <w:rPr>
          <w:color w:val="000000" w:themeColor="text1"/>
          <w:spacing w:val="-1"/>
          <w:sz w:val="24"/>
          <w14:textFill>
            <w14:solidFill>
              <w14:schemeClr w14:val="tx1"/>
            </w14:solidFill>
          </w14:textFill>
        </w:rPr>
        <w:t>、水土流失。</w:t>
      </w:r>
    </w:p>
    <w:p w14:paraId="7FA1F578">
      <w:pPr>
        <w:numPr>
          <w:ilvl w:val="0"/>
          <w:numId w:val="30"/>
        </w:numPr>
        <w:autoSpaceDE w:val="0"/>
        <w:autoSpaceDN w:val="0"/>
        <w:adjustRightInd w:val="0"/>
        <w:spacing w:line="360" w:lineRule="auto"/>
        <w:ind w:firstLine="506" w:firstLineChars="200"/>
        <w:jc w:val="both"/>
        <w:rPr>
          <w:b/>
          <w:bCs/>
          <w:color w:val="000000" w:themeColor="text1"/>
          <w:spacing w:val="6"/>
          <w:kern w:val="0"/>
          <w:sz w:val="24"/>
          <w14:textFill>
            <w14:solidFill>
              <w14:schemeClr w14:val="tx1"/>
            </w14:solidFill>
          </w14:textFill>
        </w:rPr>
      </w:pPr>
      <w:r>
        <w:rPr>
          <w:b/>
          <w:bCs/>
          <w:color w:val="000000" w:themeColor="text1"/>
          <w:spacing w:val="6"/>
          <w:kern w:val="0"/>
          <w:sz w:val="24"/>
          <w14:textFill>
            <w14:solidFill>
              <w14:schemeClr w14:val="tx1"/>
            </w14:solidFill>
          </w14:textFill>
        </w:rPr>
        <w:t>植被影响</w:t>
      </w:r>
    </w:p>
    <w:p w14:paraId="0352FE99">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color w:val="000000" w:themeColor="text1"/>
          <w:spacing w:val="6"/>
          <w:kern w:val="0"/>
          <w:sz w:val="24"/>
          <w14:textFill>
            <w14:solidFill>
              <w14:schemeClr w14:val="tx1"/>
            </w14:solidFill>
          </w14:textFill>
        </w:rPr>
        <w:t>项目建设过程中，工程占地范围内的地表将遭受不同程度的破坏，局部地貌将发生较大变化。一是令生物个体失去生长环境；二是会对植被产生直接的破坏作用。</w:t>
      </w:r>
    </w:p>
    <w:p w14:paraId="21FDECC1">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color w:val="000000" w:themeColor="text1"/>
          <w:spacing w:val="6"/>
          <w:kern w:val="0"/>
          <w:sz w:val="24"/>
          <w14:textFill>
            <w14:solidFill>
              <w14:schemeClr w14:val="tx1"/>
            </w14:solidFill>
          </w14:textFill>
        </w:rPr>
        <w:t>经调查，项目用地范围内土地为耕地，不涉及使用林地。工程的建设将损害、压埋或改变少数原有地貌及地表植被，造成一部分植株的死亡。但仅限于工程区对这些植被的局部破坏，且损失面积不大。在施工期对施工区域表土进行剥离，施工期结束后再进行区域表土回填，对施工占地迹地进行植被恢复，因此项目建设对周围区域的植被的影响很小。</w:t>
      </w:r>
    </w:p>
    <w:p w14:paraId="2570724C">
      <w:pPr>
        <w:numPr>
          <w:ilvl w:val="0"/>
          <w:numId w:val="30"/>
        </w:numPr>
        <w:autoSpaceDE w:val="0"/>
        <w:autoSpaceDN w:val="0"/>
        <w:adjustRightInd w:val="0"/>
        <w:spacing w:line="360" w:lineRule="auto"/>
        <w:ind w:firstLine="506" w:firstLineChars="200"/>
        <w:jc w:val="both"/>
        <w:rPr>
          <w:b/>
          <w:bCs/>
          <w:color w:val="000000" w:themeColor="text1"/>
          <w:spacing w:val="6"/>
          <w:kern w:val="0"/>
          <w:sz w:val="24"/>
          <w14:textFill>
            <w14:solidFill>
              <w14:schemeClr w14:val="tx1"/>
            </w14:solidFill>
          </w14:textFill>
        </w:rPr>
      </w:pPr>
      <w:r>
        <w:rPr>
          <w:b/>
          <w:bCs/>
          <w:color w:val="000000" w:themeColor="text1"/>
          <w:spacing w:val="6"/>
          <w:kern w:val="0"/>
          <w:sz w:val="24"/>
          <w14:textFill>
            <w14:solidFill>
              <w14:schemeClr w14:val="tx1"/>
            </w14:solidFill>
          </w14:textFill>
        </w:rPr>
        <w:t>动物影响</w:t>
      </w:r>
    </w:p>
    <w:p w14:paraId="65DD9158">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color w:val="000000" w:themeColor="text1"/>
          <w:spacing w:val="6"/>
          <w:kern w:val="0"/>
          <w:sz w:val="24"/>
          <w14:textFill>
            <w14:solidFill>
              <w14:schemeClr w14:val="tx1"/>
            </w14:solidFill>
          </w14:textFill>
        </w:rPr>
        <w:t>施工期对野生动物的主要影响因素为项目建设、车辆运输等施工行为可能影响野生动物的栖息环境。施工期间，施工队伍生活污水收集处理、生活垃圾等定点收集清运，不会对周围环境及野生动物产生明显不利影响。</w:t>
      </w:r>
    </w:p>
    <w:p w14:paraId="001DBE9B">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color w:val="000000" w:themeColor="text1"/>
          <w:spacing w:val="6"/>
          <w:kern w:val="0"/>
          <w:sz w:val="24"/>
          <w14:textFill>
            <w14:solidFill>
              <w14:schemeClr w14:val="tx1"/>
            </w14:solidFill>
          </w14:textFill>
        </w:rPr>
        <w:t>根据现状调查，评价区为农业生态系统，人类扰动较大，</w:t>
      </w:r>
      <w:r>
        <w:rPr>
          <w:bCs/>
          <w:color w:val="000000" w:themeColor="text1"/>
          <w:sz w:val="24"/>
          <w14:textFill>
            <w14:solidFill>
              <w14:schemeClr w14:val="tx1"/>
            </w14:solidFill>
          </w14:textFill>
        </w:rPr>
        <w:t>常见的啮齿类、两栖类、爬行类、常见鸟类和家禽家畜等，无大型野生动物，也无国家保护的珍稀野生动物。工程施工机械、施工人员进入场地施工，施工期噪声将迫使两栖、爬行动物逃离施工区</w:t>
      </w:r>
      <w:r>
        <w:rPr>
          <w:color w:val="000000" w:themeColor="text1"/>
          <w:spacing w:val="6"/>
          <w:kern w:val="0"/>
          <w:sz w:val="24"/>
          <w14:textFill>
            <w14:solidFill>
              <w14:schemeClr w14:val="tx1"/>
            </w14:solidFill>
          </w14:textFill>
        </w:rPr>
        <w:t>。因此，施工期只要加强对施工人员的监督管理和环保意识的宣传，工程对区域内野生动物不会产生较大影响。</w:t>
      </w:r>
    </w:p>
    <w:p w14:paraId="1025E76D">
      <w:pPr>
        <w:numPr>
          <w:ilvl w:val="0"/>
          <w:numId w:val="30"/>
        </w:numPr>
        <w:autoSpaceDE w:val="0"/>
        <w:autoSpaceDN w:val="0"/>
        <w:adjustRightInd w:val="0"/>
        <w:spacing w:line="360" w:lineRule="auto"/>
        <w:ind w:firstLine="506" w:firstLineChars="200"/>
        <w:jc w:val="both"/>
        <w:rPr>
          <w:b/>
          <w:bCs/>
          <w:color w:val="000000" w:themeColor="text1"/>
          <w:spacing w:val="6"/>
          <w:kern w:val="0"/>
          <w:sz w:val="24"/>
          <w14:textFill>
            <w14:solidFill>
              <w14:schemeClr w14:val="tx1"/>
            </w14:solidFill>
          </w14:textFill>
        </w:rPr>
      </w:pPr>
      <w:r>
        <w:rPr>
          <w:b/>
          <w:bCs/>
          <w:color w:val="000000" w:themeColor="text1"/>
          <w:spacing w:val="6"/>
          <w:kern w:val="0"/>
          <w:sz w:val="24"/>
          <w14:textFill>
            <w14:solidFill>
              <w14:schemeClr w14:val="tx1"/>
            </w14:solidFill>
          </w14:textFill>
        </w:rPr>
        <w:t>水土流失</w:t>
      </w:r>
    </w:p>
    <w:p w14:paraId="192BED09">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color w:val="000000" w:themeColor="text1"/>
          <w:spacing w:val="6"/>
          <w:kern w:val="0"/>
          <w:sz w:val="24"/>
          <w14:textFill>
            <w14:solidFill>
              <w14:schemeClr w14:val="tx1"/>
            </w14:solidFill>
          </w14:textFill>
        </w:rPr>
        <w:t>本项目用地现状为耕地等，用地面积</w:t>
      </w:r>
      <w:r>
        <w:rPr>
          <w:color w:val="000000" w:themeColor="text1"/>
          <w:sz w:val="24"/>
          <w14:textFill>
            <w14:solidFill>
              <w14:schemeClr w14:val="tx1"/>
            </w14:solidFill>
          </w14:textFill>
        </w:rPr>
        <w:t>72亩</w:t>
      </w:r>
      <w:r>
        <w:rPr>
          <w:color w:val="000000" w:themeColor="text1"/>
          <w:spacing w:val="6"/>
          <w:kern w:val="0"/>
          <w:sz w:val="24"/>
          <w14:textFill>
            <w14:solidFill>
              <w14:schemeClr w14:val="tx1"/>
            </w14:solidFill>
          </w14:textFill>
        </w:rPr>
        <w:t>，项目建设过程中将改变地块的生态环境，改变土地利用现状，施工期生态影响主要表现在水土流失方面，为防止施工过程中造成场内土质结构疏松，雨水冲刷造成水土流失，本环评要求施工单位采取以下措施防止水土流失：</w:t>
      </w:r>
    </w:p>
    <w:p w14:paraId="45312919">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rFonts w:hint="eastAsia" w:ascii="宋体" w:hAnsi="宋体" w:cs="宋体"/>
          <w:color w:val="000000" w:themeColor="text1"/>
          <w:spacing w:val="6"/>
          <w:kern w:val="0"/>
          <w:sz w:val="24"/>
          <w14:textFill>
            <w14:solidFill>
              <w14:schemeClr w14:val="tx1"/>
            </w14:solidFill>
          </w14:textFill>
        </w:rPr>
        <w:t>①</w:t>
      </w:r>
      <w:r>
        <w:rPr>
          <w:color w:val="000000" w:themeColor="text1"/>
          <w:spacing w:val="6"/>
          <w:kern w:val="0"/>
          <w:sz w:val="24"/>
          <w14:textFill>
            <w14:solidFill>
              <w14:schemeClr w14:val="tx1"/>
            </w14:solidFill>
          </w14:textFill>
        </w:rPr>
        <w:t>施工期土建工程应尽量避开雨季，以使水土流失量控制在最低限度，并严格按照《中华人民共和国水土保持法》等有关法律法规以及当地有关部门的要求进行施工。</w:t>
      </w:r>
    </w:p>
    <w:p w14:paraId="0A028446">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rFonts w:hint="eastAsia" w:ascii="宋体" w:hAnsi="宋体" w:cs="宋体"/>
          <w:color w:val="000000" w:themeColor="text1"/>
          <w:spacing w:val="6"/>
          <w:kern w:val="0"/>
          <w:sz w:val="24"/>
          <w14:textFill>
            <w14:solidFill>
              <w14:schemeClr w14:val="tx1"/>
            </w14:solidFill>
          </w14:textFill>
        </w:rPr>
        <w:t>②</w:t>
      </w:r>
      <w:r>
        <w:rPr>
          <w:color w:val="000000" w:themeColor="text1"/>
          <w:spacing w:val="6"/>
          <w:kern w:val="0"/>
          <w:sz w:val="24"/>
          <w14:textFill>
            <w14:solidFill>
              <w14:schemeClr w14:val="tx1"/>
            </w14:solidFill>
          </w14:textFill>
        </w:rPr>
        <w:t>为减少雨季水土流失和生态景观影响。在挖方和填方时，要建好护坡墙或采取其它有效措施，防止塌方和水土流失；</w:t>
      </w:r>
    </w:p>
    <w:p w14:paraId="1D993578">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rFonts w:hint="eastAsia" w:ascii="宋体" w:hAnsi="宋体" w:cs="宋体"/>
          <w:color w:val="000000" w:themeColor="text1"/>
          <w:spacing w:val="6"/>
          <w:kern w:val="0"/>
          <w:sz w:val="24"/>
          <w14:textFill>
            <w14:solidFill>
              <w14:schemeClr w14:val="tx1"/>
            </w14:solidFill>
          </w14:textFill>
        </w:rPr>
        <w:t>③</w:t>
      </w:r>
      <w:r>
        <w:rPr>
          <w:color w:val="000000" w:themeColor="text1"/>
          <w:spacing w:val="6"/>
          <w:kern w:val="0"/>
          <w:sz w:val="24"/>
          <w14:textFill>
            <w14:solidFill>
              <w14:schemeClr w14:val="tx1"/>
            </w14:solidFill>
          </w14:textFill>
        </w:rPr>
        <w:t>为防止雨水、洪水径流对堆料场和渣（土）体的冲刷，需采用编织带或其他遮盖物对其行进遮盖，以减少损失。</w:t>
      </w:r>
    </w:p>
    <w:p w14:paraId="19A4ED60">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rFonts w:hint="eastAsia" w:ascii="宋体" w:hAnsi="宋体" w:cs="宋体"/>
          <w:color w:val="000000" w:themeColor="text1"/>
          <w:spacing w:val="6"/>
          <w:kern w:val="0"/>
          <w:sz w:val="24"/>
          <w14:textFill>
            <w14:solidFill>
              <w14:schemeClr w14:val="tx1"/>
            </w14:solidFill>
          </w14:textFill>
        </w:rPr>
        <w:t>④</w:t>
      </w:r>
      <w:r>
        <w:rPr>
          <w:color w:val="000000" w:themeColor="text1"/>
          <w:spacing w:val="6"/>
          <w:kern w:val="0"/>
          <w:sz w:val="24"/>
          <w14:textFill>
            <w14:solidFill>
              <w14:schemeClr w14:val="tx1"/>
            </w14:solidFill>
          </w14:textFill>
        </w:rPr>
        <w:t>及时清运弃土，施工道路采用硬化路面。</w:t>
      </w:r>
    </w:p>
    <w:p w14:paraId="673338DD">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rFonts w:hint="eastAsia" w:ascii="宋体" w:hAnsi="宋体" w:cs="宋体"/>
          <w:color w:val="000000" w:themeColor="text1"/>
          <w:spacing w:val="6"/>
          <w:kern w:val="0"/>
          <w:sz w:val="24"/>
          <w14:textFill>
            <w14:solidFill>
              <w14:schemeClr w14:val="tx1"/>
            </w14:solidFill>
          </w14:textFill>
        </w:rPr>
        <w:t>⑤</w:t>
      </w:r>
      <w:r>
        <w:rPr>
          <w:color w:val="000000" w:themeColor="text1"/>
          <w:spacing w:val="6"/>
          <w:kern w:val="0"/>
          <w:sz w:val="24"/>
          <w14:textFill>
            <w14:solidFill>
              <w14:schemeClr w14:val="tx1"/>
            </w14:solidFill>
          </w14:textFill>
        </w:rPr>
        <w:t>在低洼处修建截水沟和沉砂池，使降雨径流中的砂土经沉淀后再向外排放，并及时清理沉淀池。</w:t>
      </w:r>
    </w:p>
    <w:p w14:paraId="331970F2">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rFonts w:hint="eastAsia" w:ascii="宋体" w:hAnsi="宋体" w:cs="宋体"/>
          <w:color w:val="000000" w:themeColor="text1"/>
          <w:spacing w:val="6"/>
          <w:kern w:val="0"/>
          <w:sz w:val="24"/>
          <w14:textFill>
            <w14:solidFill>
              <w14:schemeClr w14:val="tx1"/>
            </w14:solidFill>
          </w14:textFill>
        </w:rPr>
        <w:t>⑥</w:t>
      </w:r>
      <w:r>
        <w:rPr>
          <w:color w:val="000000" w:themeColor="text1"/>
          <w:spacing w:val="6"/>
          <w:kern w:val="0"/>
          <w:sz w:val="24"/>
          <w14:textFill>
            <w14:solidFill>
              <w14:schemeClr w14:val="tx1"/>
            </w14:solidFill>
          </w14:textFill>
        </w:rPr>
        <w:t>在施工场地建排水沟，防止雨水冲刷场地，并在排水沟出口设沉淀池，使雨水经沉淀池沉清后回用，尽力减少施工期水土流失。</w:t>
      </w:r>
    </w:p>
    <w:p w14:paraId="720EB4A6">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rFonts w:hint="eastAsia" w:ascii="宋体" w:hAnsi="宋体" w:cs="宋体"/>
          <w:color w:val="000000" w:themeColor="text1"/>
          <w:spacing w:val="6"/>
          <w:kern w:val="0"/>
          <w:sz w:val="24"/>
          <w14:textFill>
            <w14:solidFill>
              <w14:schemeClr w14:val="tx1"/>
            </w14:solidFill>
          </w14:textFill>
        </w:rPr>
        <w:t>⑦</w:t>
      </w:r>
      <w:r>
        <w:rPr>
          <w:color w:val="000000" w:themeColor="text1"/>
          <w:spacing w:val="6"/>
          <w:kern w:val="0"/>
          <w:sz w:val="24"/>
          <w14:textFill>
            <w14:solidFill>
              <w14:schemeClr w14:val="tx1"/>
            </w14:solidFill>
          </w14:textFill>
        </w:rPr>
        <w:t>在土方工程完成后，应加强绿化工作，尽快规划绿地和各种裸露地面绿化工作，恢复绿化，以改善项目的生态环境。</w:t>
      </w:r>
    </w:p>
    <w:p w14:paraId="3935421C">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color w:val="000000" w:themeColor="text1"/>
          <w:spacing w:val="6"/>
          <w:kern w:val="0"/>
          <w:sz w:val="24"/>
          <w14:textFill>
            <w14:solidFill>
              <w14:schemeClr w14:val="tx1"/>
            </w14:solidFill>
          </w14:textFill>
        </w:rPr>
        <w:t>综上所述，本项目施工期的影响是暂时的，在施工结束后，影响区域的各环境要素基本都可以得到恢复。只要工程施工期认真落实本环评提出的环保措施，工程施工的环境影响问题可以消除或得到有效的控制，可使其对环境的影响程度降至最低。</w:t>
      </w:r>
    </w:p>
    <w:p w14:paraId="4B36051D">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686" w:name="_Toc5951"/>
      <w:bookmarkStart w:id="687" w:name="_Toc40220755"/>
      <w:bookmarkStart w:id="688" w:name="_Toc233380208"/>
      <w:bookmarkStart w:id="689" w:name="_Toc306099202"/>
      <w:bookmarkStart w:id="690" w:name="_Toc520469058"/>
      <w:r>
        <w:rPr>
          <w:rFonts w:ascii="Times New Roman" w:hAnsi="Times New Roman" w:eastAsia="宋体"/>
          <w:color w:val="000000" w:themeColor="text1"/>
          <w:sz w:val="30"/>
          <w:szCs w:val="30"/>
          <w14:textFill>
            <w14:solidFill>
              <w14:schemeClr w14:val="tx1"/>
            </w14:solidFill>
          </w14:textFill>
        </w:rPr>
        <w:t>5.2营运期</w:t>
      </w:r>
      <w:r>
        <w:rPr>
          <w:rFonts w:hint="eastAsia" w:ascii="Times New Roman" w:hAnsi="Times New Roman" w:eastAsia="宋体"/>
          <w:color w:val="000000" w:themeColor="text1"/>
          <w:sz w:val="30"/>
          <w:szCs w:val="30"/>
          <w14:textFill>
            <w14:solidFill>
              <w14:schemeClr w14:val="tx1"/>
            </w14:solidFill>
          </w14:textFill>
        </w:rPr>
        <w:t>大气</w:t>
      </w:r>
      <w:r>
        <w:rPr>
          <w:rFonts w:ascii="Times New Roman" w:hAnsi="Times New Roman" w:eastAsia="宋体"/>
          <w:color w:val="000000" w:themeColor="text1"/>
          <w:sz w:val="30"/>
          <w:szCs w:val="30"/>
          <w14:textFill>
            <w14:solidFill>
              <w14:schemeClr w14:val="tx1"/>
            </w14:solidFill>
          </w14:textFill>
        </w:rPr>
        <w:t>环境影响分析</w:t>
      </w:r>
      <w:bookmarkEnd w:id="686"/>
      <w:bookmarkEnd w:id="687"/>
      <w:bookmarkEnd w:id="688"/>
    </w:p>
    <w:bookmarkEnd w:id="689"/>
    <w:bookmarkEnd w:id="690"/>
    <w:p w14:paraId="462EB53D">
      <w:pPr>
        <w:pStyle w:val="5"/>
        <w:adjustRightInd w:val="0"/>
        <w:snapToGrid w:val="0"/>
        <w:spacing w:before="0" w:after="0" w:line="360" w:lineRule="auto"/>
        <w:rPr>
          <w:color w:val="000000" w:themeColor="text1"/>
          <w:sz w:val="28"/>
          <w:szCs w:val="28"/>
          <w14:textFill>
            <w14:solidFill>
              <w14:schemeClr w14:val="tx1"/>
            </w14:solidFill>
          </w14:textFill>
        </w:rPr>
      </w:pPr>
      <w:bookmarkStart w:id="691" w:name="_Toc16122"/>
      <w:bookmarkStart w:id="692" w:name="_Toc32315"/>
      <w:bookmarkStart w:id="693" w:name="_Toc230079390"/>
      <w:bookmarkStart w:id="694" w:name="_Toc233380209"/>
      <w:bookmarkStart w:id="695" w:name="_Toc40220766"/>
      <w:bookmarkStart w:id="696" w:name="_Toc10365"/>
      <w:bookmarkStart w:id="697" w:name="_Toc520469059"/>
      <w:bookmarkStart w:id="698" w:name="_Toc306099203"/>
      <w:r>
        <w:rPr>
          <w:color w:val="000000" w:themeColor="text1"/>
          <w:sz w:val="28"/>
          <w:szCs w:val="28"/>
          <w14:textFill>
            <w14:solidFill>
              <w14:schemeClr w14:val="tx1"/>
            </w14:solidFill>
          </w14:textFill>
        </w:rPr>
        <w:t>5.2.1</w:t>
      </w:r>
      <w:bookmarkEnd w:id="691"/>
      <w:bookmarkEnd w:id="692"/>
      <w:bookmarkEnd w:id="693"/>
      <w:r>
        <w:rPr>
          <w:rFonts w:hint="eastAsia"/>
          <w:color w:val="000000" w:themeColor="text1"/>
          <w:sz w:val="28"/>
          <w:szCs w:val="28"/>
          <w14:textFill>
            <w14:solidFill>
              <w14:schemeClr w14:val="tx1"/>
            </w14:solidFill>
          </w14:textFill>
        </w:rPr>
        <w:t>大气环境影响分析</w:t>
      </w:r>
      <w:bookmarkEnd w:id="694"/>
    </w:p>
    <w:p w14:paraId="2657C4E9">
      <w:pPr>
        <w:pStyle w:val="86"/>
        <w:ind w:firstLine="504" w:firstLineChars="200"/>
        <w:rPr>
          <w:color w:val="000000" w:themeColor="text1"/>
          <w:spacing w:val="6"/>
          <w:kern w:val="0"/>
          <w:sz w:val="24"/>
          <w14:textFill>
            <w14:solidFill>
              <w14:schemeClr w14:val="tx1"/>
            </w14:solidFill>
          </w14:textFill>
        </w:rPr>
      </w:pPr>
      <w:r>
        <w:rPr>
          <w:rFonts w:hint="eastAsia"/>
          <w:color w:val="000000" w:themeColor="text1"/>
          <w:spacing w:val="6"/>
          <w:kern w:val="0"/>
          <w:sz w:val="24"/>
          <w14:textFill>
            <w14:solidFill>
              <w14:schemeClr w14:val="tx1"/>
            </w14:solidFill>
          </w14:textFill>
        </w:rPr>
        <w:t>根据工程分析，本项目运营期产生的大气污染物主要包括</w:t>
      </w:r>
      <w:r>
        <w:rPr>
          <w:rFonts w:hint="eastAsia"/>
          <w:color w:val="000000" w:themeColor="text1"/>
          <w:sz w:val="24"/>
          <w:szCs w:val="22"/>
          <w14:textFill>
            <w14:solidFill>
              <w14:schemeClr w14:val="tx1"/>
            </w14:solidFill>
          </w14:textFill>
        </w:rPr>
        <w:t>青贮发酵异味</w:t>
      </w:r>
      <w:r>
        <w:rPr>
          <w:color w:val="000000" w:themeColor="text1"/>
          <w:sz w:val="24"/>
          <w:szCs w:val="22"/>
          <w14:textFill>
            <w14:solidFill>
              <w14:schemeClr w14:val="tx1"/>
            </w14:solidFill>
          </w14:textFill>
        </w:rPr>
        <w:t>、牛舍恶臭、</w:t>
      </w:r>
      <w:r>
        <w:rPr>
          <w:rFonts w:hint="eastAsia"/>
          <w:color w:val="000000" w:themeColor="text1"/>
          <w:sz w:val="24"/>
          <w:szCs w:val="22"/>
          <w14:textFill>
            <w14:solidFill>
              <w14:schemeClr w14:val="tx1"/>
            </w14:solidFill>
          </w14:textFill>
        </w:rPr>
        <w:t>垫料储存及装卸粉尘、精饲料</w:t>
      </w:r>
      <w:r>
        <w:rPr>
          <w:color w:val="000000" w:themeColor="text1"/>
          <w:sz w:val="24"/>
          <w:szCs w:val="22"/>
          <w14:textFill>
            <w14:solidFill>
              <w14:schemeClr w14:val="tx1"/>
            </w14:solidFill>
          </w14:textFill>
        </w:rPr>
        <w:t>加工粉尘</w:t>
      </w:r>
      <w:r>
        <w:rPr>
          <w:rFonts w:hint="eastAsia"/>
          <w:color w:val="000000" w:themeColor="text1"/>
          <w:sz w:val="24"/>
          <w:szCs w:val="22"/>
          <w14:textFill>
            <w14:solidFill>
              <w14:schemeClr w14:val="tx1"/>
            </w14:solidFill>
          </w14:textFill>
        </w:rPr>
        <w:t>、TMR日粮混料粉尘、</w:t>
      </w:r>
      <w:r>
        <w:rPr>
          <w:color w:val="000000" w:themeColor="text1"/>
          <w:sz w:val="24"/>
          <w:szCs w:val="22"/>
          <w14:textFill>
            <w14:solidFill>
              <w14:schemeClr w14:val="tx1"/>
            </w14:solidFill>
          </w14:textFill>
        </w:rPr>
        <w:t>柴油发电机废气、食堂油烟和运输恶臭。</w:t>
      </w:r>
      <w:r>
        <w:rPr>
          <w:rFonts w:ascii="宋体" w:hAnsi="宋体"/>
          <w:color w:val="000000" w:themeColor="text1"/>
          <w:sz w:val="24"/>
          <w:szCs w:val="22"/>
          <w14:textFill>
            <w14:solidFill>
              <w14:schemeClr w14:val="tx1"/>
            </w14:solidFill>
          </w14:textFill>
        </w:rPr>
        <w:t>青贮发酵过程中产生的恶臭气体仅在取用时排放,且几乎无味,不</w:t>
      </w:r>
      <w:r>
        <w:rPr>
          <w:rFonts w:hint="eastAsia" w:ascii="宋体" w:hAnsi="宋体"/>
          <w:color w:val="000000" w:themeColor="text1"/>
          <w:sz w:val="24"/>
          <w:szCs w:val="22"/>
          <w14:textFill>
            <w14:solidFill>
              <w14:schemeClr w14:val="tx1"/>
            </w14:solidFill>
          </w14:textFill>
        </w:rPr>
        <w:t>做</w:t>
      </w:r>
      <w:r>
        <w:rPr>
          <w:rFonts w:ascii="宋体" w:hAnsi="宋体"/>
          <w:color w:val="000000" w:themeColor="text1"/>
          <w:sz w:val="24"/>
          <w:szCs w:val="22"/>
          <w14:textFill>
            <w14:solidFill>
              <w14:schemeClr w14:val="tx1"/>
            </w14:solidFill>
          </w14:textFill>
        </w:rPr>
        <w:t>定量分析</w:t>
      </w:r>
      <w:r>
        <w:rPr>
          <w:rFonts w:hint="eastAsia"/>
          <w:color w:val="000000" w:themeColor="text1"/>
          <w:spacing w:val="6"/>
          <w:kern w:val="0"/>
          <w:sz w:val="24"/>
          <w14:textFill>
            <w14:solidFill>
              <w14:schemeClr w14:val="tx1"/>
            </w14:solidFill>
          </w14:textFill>
        </w:rPr>
        <w:t>；</w:t>
      </w:r>
      <w:r>
        <w:rPr>
          <w:rFonts w:hint="eastAsia"/>
          <w:color w:val="000000" w:themeColor="text1"/>
          <w:sz w:val="24"/>
          <w14:textFill>
            <w14:solidFill>
              <w14:schemeClr w14:val="tx1"/>
            </w14:solidFill>
          </w14:textFill>
        </w:rPr>
        <w:t>TMR机混料过程产生极少量的粉尘；</w:t>
      </w:r>
      <w:r>
        <w:rPr>
          <w:rFonts w:hint="eastAsia"/>
          <w:color w:val="000000" w:themeColor="text1"/>
          <w:spacing w:val="6"/>
          <w:kern w:val="0"/>
          <w:sz w:val="24"/>
          <w14:textFill>
            <w14:solidFill>
              <w14:schemeClr w14:val="tx1"/>
            </w14:solidFill>
          </w14:textFill>
        </w:rPr>
        <w:t>食堂油烟排放量小，经油烟净化器处理后引至屋顶排放，对周围环境影响较小；柴油发电机作为备用电源，使用频率低，发电机尾气通过自带的消烟除尘设备处理后，经通风管道引至发电机房外排放，对周围外环境影响较小；</w:t>
      </w:r>
      <w:r>
        <w:rPr>
          <w:color w:val="000000" w:themeColor="text1"/>
          <w:sz w:val="24"/>
          <w14:textFill>
            <w14:solidFill>
              <w14:schemeClr w14:val="tx1"/>
            </w14:solidFill>
          </w14:textFill>
        </w:rPr>
        <w:t>车辆运输产生的汽车尾气主要成分为：CO、CO</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和NO</w:t>
      </w:r>
      <w:r>
        <w:rPr>
          <w:color w:val="000000" w:themeColor="text1"/>
          <w:sz w:val="24"/>
          <w:vertAlign w:val="subscript"/>
          <w14:textFill>
            <w14:solidFill>
              <w14:schemeClr w14:val="tx1"/>
            </w14:solidFill>
          </w14:textFill>
        </w:rPr>
        <w:t>x</w:t>
      </w:r>
      <w:r>
        <w:rPr>
          <w:color w:val="000000" w:themeColor="text1"/>
          <w:sz w:val="24"/>
          <w14:textFill>
            <w14:solidFill>
              <w14:schemeClr w14:val="tx1"/>
            </w14:solidFill>
          </w14:textFill>
        </w:rPr>
        <w:t>，经过扩散对沿线敏感点影响较小</w:t>
      </w:r>
      <w:r>
        <w:rPr>
          <w:rFonts w:hint="eastAsia"/>
          <w:color w:val="000000" w:themeColor="text1"/>
          <w:spacing w:val="6"/>
          <w:kern w:val="0"/>
          <w:sz w:val="24"/>
          <w14:textFill>
            <w14:solidFill>
              <w14:schemeClr w14:val="tx1"/>
            </w14:solidFill>
          </w14:textFill>
        </w:rPr>
        <w:t>。</w:t>
      </w:r>
    </w:p>
    <w:p w14:paraId="08EBD09C">
      <w:pPr>
        <w:pStyle w:val="86"/>
        <w:ind w:firstLine="504" w:firstLineChars="200"/>
        <w:rPr>
          <w:color w:val="FF0000"/>
          <w:spacing w:val="6"/>
          <w:kern w:val="0"/>
          <w:sz w:val="24"/>
        </w:rPr>
      </w:pPr>
      <w:r>
        <w:rPr>
          <w:rFonts w:hint="eastAsia"/>
          <w:color w:val="000000" w:themeColor="text1"/>
          <w:spacing w:val="6"/>
          <w:kern w:val="0"/>
          <w:sz w:val="24"/>
          <w14:textFill>
            <w14:solidFill>
              <w14:schemeClr w14:val="tx1"/>
            </w14:solidFill>
          </w14:textFill>
        </w:rPr>
        <w:t>因此，本次评价主要选取养殖场产生的恶臭气体（NH</w:t>
      </w:r>
      <w:r>
        <w:rPr>
          <w:rFonts w:hint="eastAsia"/>
          <w:color w:val="000000" w:themeColor="text1"/>
          <w:spacing w:val="6"/>
          <w:kern w:val="0"/>
          <w:sz w:val="24"/>
          <w:vertAlign w:val="subscript"/>
          <w14:textFill>
            <w14:solidFill>
              <w14:schemeClr w14:val="tx1"/>
            </w14:solidFill>
          </w14:textFill>
        </w:rPr>
        <w:t>3</w:t>
      </w:r>
      <w:r>
        <w:rPr>
          <w:rFonts w:hint="eastAsia"/>
          <w:color w:val="000000" w:themeColor="text1"/>
          <w:spacing w:val="6"/>
          <w:kern w:val="0"/>
          <w:sz w:val="24"/>
          <w14:textFill>
            <w14:solidFill>
              <w14:schemeClr w14:val="tx1"/>
            </w14:solidFill>
          </w14:textFill>
        </w:rPr>
        <w:t>和H</w:t>
      </w:r>
      <w:r>
        <w:rPr>
          <w:rFonts w:hint="eastAsia"/>
          <w:color w:val="000000" w:themeColor="text1"/>
          <w:spacing w:val="6"/>
          <w:kern w:val="0"/>
          <w:sz w:val="24"/>
          <w:vertAlign w:val="subscript"/>
          <w14:textFill>
            <w14:solidFill>
              <w14:schemeClr w14:val="tx1"/>
            </w14:solidFill>
          </w14:textFill>
        </w:rPr>
        <w:t>2</w:t>
      </w:r>
      <w:r>
        <w:rPr>
          <w:rFonts w:hint="eastAsia"/>
          <w:color w:val="000000" w:themeColor="text1"/>
          <w:spacing w:val="6"/>
          <w:kern w:val="0"/>
          <w:sz w:val="24"/>
          <w14:textFill>
            <w14:solidFill>
              <w14:schemeClr w14:val="tx1"/>
            </w14:solidFill>
          </w14:textFill>
        </w:rPr>
        <w:t>S）及精饲料加工粉尘（T</w:t>
      </w:r>
      <w:r>
        <w:rPr>
          <w:color w:val="000000" w:themeColor="text1"/>
          <w:spacing w:val="6"/>
          <w:kern w:val="0"/>
          <w:sz w:val="24"/>
          <w14:textFill>
            <w14:solidFill>
              <w14:schemeClr w14:val="tx1"/>
            </w14:solidFill>
          </w14:textFill>
        </w:rPr>
        <w:t>SP</w:t>
      </w:r>
      <w:r>
        <w:rPr>
          <w:rFonts w:hint="eastAsia"/>
          <w:color w:val="000000" w:themeColor="text1"/>
          <w:spacing w:val="6"/>
          <w:kern w:val="0"/>
          <w:sz w:val="24"/>
          <w14:textFill>
            <w14:solidFill>
              <w14:schemeClr w14:val="tx1"/>
            </w14:solidFill>
          </w14:textFill>
        </w:rPr>
        <w:t>）、垫料储存及装卸粉尘（T</w:t>
      </w:r>
      <w:r>
        <w:rPr>
          <w:color w:val="000000" w:themeColor="text1"/>
          <w:spacing w:val="6"/>
          <w:kern w:val="0"/>
          <w:sz w:val="24"/>
          <w14:textFill>
            <w14:solidFill>
              <w14:schemeClr w14:val="tx1"/>
            </w14:solidFill>
          </w14:textFill>
        </w:rPr>
        <w:t>SP</w:t>
      </w:r>
      <w:r>
        <w:rPr>
          <w:rFonts w:hint="eastAsia"/>
          <w:color w:val="000000" w:themeColor="text1"/>
          <w:spacing w:val="6"/>
          <w:kern w:val="0"/>
          <w:sz w:val="24"/>
          <w14:textFill>
            <w14:solidFill>
              <w14:schemeClr w14:val="tx1"/>
            </w14:solidFill>
          </w14:textFill>
        </w:rPr>
        <w:t>）进行评价。</w:t>
      </w:r>
    </w:p>
    <w:p w14:paraId="24655B48">
      <w:pPr>
        <w:pStyle w:val="34"/>
        <w:ind w:left="420" w:firstLine="482"/>
        <w:outlineLvl w:val="3"/>
        <w:rPr>
          <w:b/>
          <w:bCs/>
          <w:color w:val="000000" w:themeColor="text1"/>
          <w:sz w:val="28"/>
          <w:szCs w:val="28"/>
          <w14:textFill>
            <w14:solidFill>
              <w14:schemeClr w14:val="tx1"/>
            </w14:solidFill>
          </w14:textFill>
        </w:rPr>
      </w:pPr>
      <w:r>
        <w:rPr>
          <w:b/>
          <w:bCs/>
          <w:color w:val="000000" w:themeColor="text1"/>
          <w:sz w:val="24"/>
          <w14:textFill>
            <w14:solidFill>
              <w14:schemeClr w14:val="tx1"/>
            </w14:solidFill>
          </w14:textFill>
        </w:rPr>
        <w:t>5.2.2.1</w:t>
      </w:r>
      <w:r>
        <w:rPr>
          <w:rFonts w:hint="eastAsia"/>
          <w:b/>
          <w:bCs/>
          <w:color w:val="000000" w:themeColor="text1"/>
          <w:sz w:val="24"/>
          <w14:textFill>
            <w14:solidFill>
              <w14:schemeClr w14:val="tx1"/>
            </w14:solidFill>
          </w14:textFill>
        </w:rPr>
        <w:t>评价区域气象特征</w:t>
      </w:r>
    </w:p>
    <w:p w14:paraId="5F6B8C5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气象概况</w:t>
      </w:r>
    </w:p>
    <w:p w14:paraId="3BF3750B">
      <w:pPr>
        <w:spacing w:line="360" w:lineRule="auto"/>
        <w:ind w:firstLine="480" w:firstLineChars="200"/>
        <w:rPr>
          <w:sz w:val="24"/>
        </w:rPr>
      </w:pPr>
      <w:r>
        <w:rPr>
          <w:sz w:val="24"/>
        </w:rPr>
        <w:t>根据本项目在中国环境影响评价网（网址：http://www.china-eia.com/）气象数据筛选结果可知：</w:t>
      </w:r>
      <w:r>
        <w:rPr>
          <w:rFonts w:hint="eastAsia"/>
          <w:sz w:val="24"/>
        </w:rPr>
        <w:t>巴中</w:t>
      </w:r>
      <w:r>
        <w:rPr>
          <w:sz w:val="24"/>
        </w:rPr>
        <w:t>气象站为距本项目最近的一般气象站，拥有长期的气象观测资料，因此，本项目采用</w:t>
      </w:r>
      <w:r>
        <w:rPr>
          <w:rFonts w:hint="eastAsia"/>
          <w:sz w:val="24"/>
        </w:rPr>
        <w:t>巴中</w:t>
      </w:r>
      <w:r>
        <w:rPr>
          <w:sz w:val="24"/>
        </w:rPr>
        <w:t>气象站</w:t>
      </w:r>
      <w:r>
        <w:rPr>
          <w:rFonts w:hint="eastAsia"/>
          <w:sz w:val="24"/>
        </w:rPr>
        <w:t>（</w:t>
      </w:r>
      <w:r>
        <w:rPr>
          <w:sz w:val="24"/>
        </w:rPr>
        <w:t>57313</w:t>
      </w:r>
      <w:r>
        <w:rPr>
          <w:rFonts w:hint="eastAsia"/>
          <w:sz w:val="24"/>
        </w:rPr>
        <w:t>）</w:t>
      </w:r>
      <w:r>
        <w:rPr>
          <w:sz w:val="24"/>
        </w:rPr>
        <w:t>资料。</w:t>
      </w:r>
    </w:p>
    <w:p w14:paraId="520FCF31">
      <w:pPr>
        <w:pStyle w:val="4085"/>
        <w:spacing w:line="360" w:lineRule="auto"/>
        <w:ind w:firstLine="480"/>
        <w:rPr>
          <w:rFonts w:ascii="宋体" w:hAnsi="宋体" w:eastAsia="宋体"/>
          <w:color w:val="auto"/>
          <w:sz w:val="24"/>
        </w:rPr>
      </w:pPr>
      <w:r>
        <w:rPr>
          <w:rFonts w:ascii="宋体" w:hAnsi="宋体" w:eastAsia="宋体"/>
          <w:color w:val="auto"/>
          <w:sz w:val="24"/>
        </w:rPr>
        <w:t>项目采用的是</w:t>
      </w:r>
      <w:r>
        <w:rPr>
          <w:rFonts w:hint="eastAsia" w:ascii="宋体" w:hAnsi="宋体" w:eastAsia="宋体"/>
          <w:color w:val="auto"/>
          <w:sz w:val="24"/>
        </w:rPr>
        <w:t>巴中</w:t>
      </w:r>
      <w:r>
        <w:rPr>
          <w:rFonts w:ascii="宋体" w:hAnsi="宋体" w:eastAsia="宋体"/>
          <w:color w:val="auto"/>
          <w:sz w:val="24"/>
        </w:rPr>
        <w:t>气象站（</w:t>
      </w:r>
      <w:r>
        <w:rPr>
          <w:rFonts w:hint="eastAsia" w:ascii="宋体" w:hAnsi="宋体" w:eastAsia="宋体"/>
          <w:color w:val="auto"/>
          <w:sz w:val="24"/>
        </w:rPr>
        <w:t>57313</w:t>
      </w:r>
      <w:r>
        <w:rPr>
          <w:rFonts w:ascii="宋体" w:hAnsi="宋体" w:eastAsia="宋体"/>
          <w:color w:val="auto"/>
          <w:sz w:val="24"/>
        </w:rPr>
        <w:t>）资料，气象站位于</w:t>
      </w:r>
      <w:r>
        <w:rPr>
          <w:rFonts w:hint="eastAsia" w:ascii="宋体" w:hAnsi="宋体" w:eastAsia="宋体"/>
          <w:color w:val="auto"/>
          <w:sz w:val="24"/>
        </w:rPr>
        <w:t>四川巴中市</w:t>
      </w:r>
      <w:r>
        <w:rPr>
          <w:rFonts w:ascii="宋体" w:hAnsi="宋体" w:eastAsia="宋体"/>
          <w:color w:val="auto"/>
          <w:sz w:val="24"/>
        </w:rPr>
        <w:t>，地理坐标为东经</w:t>
      </w:r>
      <w:r>
        <w:rPr>
          <w:rFonts w:hint="eastAsia" w:ascii="宋体" w:hAnsi="宋体" w:eastAsia="宋体"/>
          <w:color w:val="auto"/>
          <w:sz w:val="24"/>
        </w:rPr>
        <w:t>106.785度</w:t>
      </w:r>
      <w:r>
        <w:rPr>
          <w:rFonts w:ascii="宋体" w:hAnsi="宋体" w:eastAsia="宋体"/>
          <w:color w:val="auto"/>
          <w:sz w:val="24"/>
        </w:rPr>
        <w:t>，北纬</w:t>
      </w:r>
      <w:r>
        <w:rPr>
          <w:rFonts w:hint="eastAsia" w:ascii="宋体" w:hAnsi="宋体" w:eastAsia="宋体"/>
          <w:color w:val="auto"/>
          <w:sz w:val="24"/>
        </w:rPr>
        <w:t>31.8872</w:t>
      </w:r>
      <w:r>
        <w:rPr>
          <w:rFonts w:ascii="宋体" w:hAnsi="宋体" w:eastAsia="宋体"/>
          <w:color w:val="auto"/>
          <w:sz w:val="24"/>
        </w:rPr>
        <w:t>度，海拔高度</w:t>
      </w:r>
      <w:r>
        <w:rPr>
          <w:rFonts w:hint="eastAsia" w:ascii="宋体" w:hAnsi="宋体" w:eastAsia="宋体"/>
          <w:color w:val="auto"/>
          <w:sz w:val="24"/>
        </w:rPr>
        <w:t>556.7</w:t>
      </w:r>
      <w:r>
        <w:rPr>
          <w:rFonts w:ascii="宋体" w:hAnsi="宋体" w:eastAsia="宋体"/>
          <w:color w:val="auto"/>
          <w:sz w:val="24"/>
        </w:rPr>
        <w:t>米。气象站始建于</w:t>
      </w:r>
      <w:r>
        <w:rPr>
          <w:rFonts w:hint="eastAsia" w:ascii="宋体" w:hAnsi="宋体" w:eastAsia="宋体"/>
          <w:color w:val="auto"/>
          <w:sz w:val="24"/>
        </w:rPr>
        <w:t>1952</w:t>
      </w:r>
      <w:r>
        <w:rPr>
          <w:rFonts w:ascii="宋体" w:hAnsi="宋体" w:eastAsia="宋体"/>
          <w:color w:val="auto"/>
          <w:sz w:val="24"/>
        </w:rPr>
        <w:t>年，</w:t>
      </w:r>
      <w:r>
        <w:rPr>
          <w:rFonts w:hint="eastAsia" w:ascii="宋体" w:hAnsi="宋体" w:eastAsia="宋体"/>
          <w:color w:val="auto"/>
          <w:sz w:val="24"/>
        </w:rPr>
        <w:t>1952</w:t>
      </w:r>
      <w:r>
        <w:rPr>
          <w:rFonts w:ascii="宋体" w:hAnsi="宋体" w:eastAsia="宋体"/>
          <w:color w:val="auto"/>
          <w:sz w:val="24"/>
        </w:rPr>
        <w:t>年正式进行气象观测。</w:t>
      </w:r>
    </w:p>
    <w:p w14:paraId="2D7A49F4">
      <w:pPr>
        <w:pStyle w:val="4085"/>
        <w:spacing w:line="360" w:lineRule="auto"/>
        <w:ind w:firstLine="420"/>
        <w:rPr>
          <w:rFonts w:ascii="宋体" w:hAnsi="宋体" w:eastAsia="宋体"/>
          <w:color w:val="auto"/>
          <w:sz w:val="24"/>
        </w:rPr>
      </w:pPr>
      <w:r>
        <w:rPr>
          <w:rFonts w:ascii="宋体" w:hAnsi="宋体" w:eastAsia="宋体"/>
          <w:color w:val="auto"/>
          <w:sz w:val="24"/>
        </w:rPr>
        <w:t>拥有长期的气象观测资料，以下资料根据</w:t>
      </w:r>
      <w:r>
        <w:rPr>
          <w:rFonts w:hint="eastAsia" w:ascii="宋体" w:hAnsi="宋体" w:eastAsia="宋体"/>
          <w:color w:val="auto"/>
          <w:sz w:val="24"/>
        </w:rPr>
        <w:t>2006-2025</w:t>
      </w:r>
      <w:r>
        <w:rPr>
          <w:rFonts w:ascii="宋体" w:hAnsi="宋体" w:eastAsia="宋体"/>
          <w:color w:val="auto"/>
          <w:sz w:val="24"/>
        </w:rPr>
        <w:t>年气象数据统计分析。</w:t>
      </w:r>
    </w:p>
    <w:p w14:paraId="4773EF7B">
      <w:pPr>
        <w:pStyle w:val="4086"/>
        <w:spacing w:line="360" w:lineRule="auto"/>
        <w:ind w:firstLine="480"/>
        <w:rPr>
          <w:rFonts w:ascii="Times New Roman" w:hAnsi="Times New Roman" w:eastAsia="Songti SC Regular" w:cs="Times New Roman"/>
          <w:color w:val="auto"/>
        </w:rPr>
      </w:pPr>
      <w:r>
        <w:rPr>
          <w:rFonts w:hint="eastAsia" w:ascii="Times New Roman" w:hAnsi="Times New Roman" w:eastAsia="宋体" w:cs="Times New Roman"/>
          <w:color w:val="auto"/>
        </w:rPr>
        <w:t>巴中</w:t>
      </w:r>
      <w:r>
        <w:rPr>
          <w:rFonts w:ascii="Times New Roman" w:hAnsi="Times New Roman" w:eastAsia="宋体" w:cs="Times New Roman"/>
          <w:color w:val="auto"/>
        </w:rPr>
        <w:t>气象站气象资料整编表如表1所示：</w:t>
      </w:r>
    </w:p>
    <w:p w14:paraId="45B7135B">
      <w:pPr>
        <w:pStyle w:val="4085"/>
        <w:jc w:val="center"/>
        <w:rPr>
          <w:rFonts w:eastAsia="Songti SC Bold" w:cs="Times New Roman"/>
          <w:b/>
          <w:bCs/>
          <w:color w:val="auto"/>
          <w:kern w:val="0"/>
        </w:rPr>
      </w:pPr>
      <w:r>
        <w:rPr>
          <w:rFonts w:eastAsia="宋体" w:cs="Times New Roman"/>
          <w:b/>
          <w:bCs/>
          <w:color w:val="auto"/>
        </w:rPr>
        <w:t>表5.2-</w:t>
      </w:r>
      <w:r>
        <w:rPr>
          <w:rFonts w:hint="eastAsia" w:eastAsia="宋体" w:cs="Times New Roman"/>
          <w:b/>
          <w:bCs/>
          <w:color w:val="auto"/>
        </w:rPr>
        <w:t>2</w:t>
      </w:r>
      <w:r>
        <w:rPr>
          <w:rFonts w:eastAsia="宋体" w:cs="Times New Roman"/>
          <w:b/>
          <w:bCs/>
          <w:color w:val="auto"/>
        </w:rPr>
        <w:t xml:space="preserve"> </w:t>
      </w:r>
      <w:r>
        <w:rPr>
          <w:rFonts w:hint="eastAsia" w:eastAsia="宋体" w:cs="Times New Roman"/>
          <w:b/>
          <w:bCs/>
          <w:color w:val="auto"/>
        </w:rPr>
        <w:t>巴中</w:t>
      </w:r>
      <w:r>
        <w:rPr>
          <w:rFonts w:eastAsia="宋体" w:cs="Times New Roman"/>
          <w:b/>
          <w:bCs/>
          <w:color w:val="auto"/>
        </w:rPr>
        <w:t>气象站常规气象项目统计（2006-2025）</w:t>
      </w:r>
    </w:p>
    <w:tbl>
      <w:tblPr>
        <w:tblStyle w:val="88"/>
        <w:tblW w:w="5000" w:type="pct"/>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autofit"/>
        <w:tblCellMar>
          <w:top w:w="0" w:type="dxa"/>
          <w:left w:w="0" w:type="dxa"/>
          <w:bottom w:w="0" w:type="dxa"/>
          <w:right w:w="0" w:type="dxa"/>
        </w:tblCellMar>
      </w:tblPr>
      <w:tblGrid>
        <w:gridCol w:w="1313"/>
        <w:gridCol w:w="2864"/>
        <w:gridCol w:w="1473"/>
        <w:gridCol w:w="1893"/>
        <w:gridCol w:w="1463"/>
      </w:tblGrid>
      <w:tr w14:paraId="0286777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494" w:hRule="exact"/>
          <w:jc w:val="center"/>
        </w:trPr>
        <w:tc>
          <w:tcPr>
            <w:tcW w:w="2319" w:type="pct"/>
            <w:gridSpan w:val="2"/>
            <w:tcBorders>
              <w:top w:val="single" w:color="000000" w:sz="12"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center"/>
          </w:tcPr>
          <w:p w14:paraId="0ABBEDA9">
            <w:r>
              <w:t>统计项目</w:t>
            </w:r>
          </w:p>
        </w:tc>
        <w:tc>
          <w:tcPr>
            <w:tcW w:w="818"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6992D5B">
            <w:r>
              <w:t>*统计值</w:t>
            </w:r>
          </w:p>
        </w:tc>
        <w:tc>
          <w:tcPr>
            <w:tcW w:w="1051"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D6DE868">
            <w:r>
              <w:t>极值出现时间</w:t>
            </w:r>
          </w:p>
        </w:tc>
        <w:tc>
          <w:tcPr>
            <w:tcW w:w="812" w:type="pct"/>
            <w:tcBorders>
              <w:top w:val="single" w:color="000000" w:sz="12"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1C79AA49">
            <w:r>
              <w:t>**极值</w:t>
            </w:r>
          </w:p>
        </w:tc>
      </w:tr>
      <w:tr w14:paraId="0ACED17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7BA17B2C">
            <w:r>
              <w:t>多年平均气温（℃）</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CFF459D">
            <w:pPr>
              <w:rPr>
                <w:rFonts w:ascii="宋体" w:hAnsi="宋体"/>
                <w:szCs w:val="21"/>
              </w:rPr>
            </w:pPr>
            <w:r>
              <w:rPr>
                <w:rFonts w:hint="eastAsia" w:ascii="宋体" w:hAnsi="宋体"/>
                <w:szCs w:val="21"/>
              </w:rPr>
              <w:t>17.1</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81E87E7">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76508A19">
            <w:pPr>
              <w:rPr>
                <w:rFonts w:ascii="宋体" w:hAnsi="宋体"/>
                <w:szCs w:val="21"/>
              </w:rPr>
            </w:pPr>
          </w:p>
        </w:tc>
      </w:tr>
      <w:tr w14:paraId="48A8FC5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3B46FA7B">
            <w:r>
              <w:t>累年极端最高气温（℃）</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040D43">
            <w:pPr>
              <w:rPr>
                <w:rFonts w:ascii="宋体" w:hAnsi="宋体"/>
                <w:szCs w:val="21"/>
              </w:rPr>
            </w:pPr>
            <w:r>
              <w:rPr>
                <w:rFonts w:hint="eastAsia" w:ascii="宋体" w:hAnsi="宋体"/>
                <w:szCs w:val="21"/>
              </w:rPr>
              <w:t>38.3</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F7D8F3F">
            <w:pPr>
              <w:rPr>
                <w:rFonts w:ascii="宋体" w:hAnsi="宋体"/>
                <w:szCs w:val="21"/>
              </w:rPr>
            </w:pPr>
            <w:r>
              <w:rPr>
                <w:rFonts w:hint="eastAsia" w:ascii="宋体" w:hAnsi="宋体"/>
                <w:szCs w:val="21"/>
              </w:rPr>
              <w:t>20060812</w:t>
            </w: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5EED1770">
            <w:pPr>
              <w:rPr>
                <w:rFonts w:ascii="宋体" w:hAnsi="宋体"/>
                <w:szCs w:val="21"/>
              </w:rPr>
            </w:pPr>
            <w:r>
              <w:rPr>
                <w:rFonts w:hint="eastAsia" w:ascii="宋体" w:hAnsi="宋体"/>
                <w:szCs w:val="21"/>
              </w:rPr>
              <w:t>40.6</w:t>
            </w:r>
          </w:p>
        </w:tc>
      </w:tr>
      <w:tr w14:paraId="4E5BA07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16"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15E4F7C9">
            <w:r>
              <w:t>累年极端最低气温（℃）</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C02A89F">
            <w:pPr>
              <w:rPr>
                <w:rFonts w:ascii="宋体" w:hAnsi="宋体"/>
                <w:szCs w:val="21"/>
              </w:rPr>
            </w:pPr>
            <w:r>
              <w:rPr>
                <w:rFonts w:hint="eastAsia" w:ascii="宋体" w:hAnsi="宋体"/>
                <w:szCs w:val="21"/>
              </w:rPr>
              <w:t>-1.8</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D0BA3FE">
            <w:pPr>
              <w:rPr>
                <w:rFonts w:ascii="宋体" w:hAnsi="宋体"/>
                <w:szCs w:val="21"/>
              </w:rPr>
            </w:pPr>
            <w:r>
              <w:rPr>
                <w:rFonts w:hint="eastAsia" w:ascii="宋体" w:hAnsi="宋体"/>
                <w:szCs w:val="21"/>
              </w:rPr>
              <w:t>20160125</w:t>
            </w: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229F2503">
            <w:pPr>
              <w:rPr>
                <w:rFonts w:ascii="宋体" w:hAnsi="宋体"/>
                <w:szCs w:val="21"/>
              </w:rPr>
            </w:pPr>
            <w:r>
              <w:rPr>
                <w:rFonts w:hint="eastAsia" w:ascii="宋体" w:hAnsi="宋体"/>
                <w:szCs w:val="21"/>
              </w:rPr>
              <w:t>-4.5</w:t>
            </w:r>
          </w:p>
        </w:tc>
      </w:tr>
      <w:tr w14:paraId="288CDC1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2C2877F6">
            <w:r>
              <w:t>多年平均气压（hPa）</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78ED3B6">
            <w:pPr>
              <w:rPr>
                <w:rFonts w:ascii="宋体" w:hAnsi="宋体"/>
                <w:szCs w:val="21"/>
              </w:rPr>
            </w:pPr>
            <w:r>
              <w:rPr>
                <w:rFonts w:hint="eastAsia" w:ascii="宋体" w:hAnsi="宋体"/>
                <w:szCs w:val="21"/>
              </w:rPr>
              <w:t>960.5</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5CC190">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5A7A7FFC">
            <w:pPr>
              <w:rPr>
                <w:rFonts w:ascii="宋体" w:hAnsi="宋体"/>
                <w:szCs w:val="21"/>
              </w:rPr>
            </w:pPr>
          </w:p>
        </w:tc>
      </w:tr>
      <w:tr w14:paraId="4F0F37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3EE4F7C9">
            <w:r>
              <w:t>多年平均水汽压（hPa）</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102BD26">
            <w:pPr>
              <w:rPr>
                <w:rFonts w:ascii="宋体" w:hAnsi="宋体"/>
                <w:szCs w:val="21"/>
              </w:rPr>
            </w:pPr>
            <w:r>
              <w:rPr>
                <w:rFonts w:hint="eastAsia" w:ascii="宋体" w:hAnsi="宋体"/>
                <w:szCs w:val="21"/>
              </w:rPr>
              <w:t>16.1</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11F408F">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76FC7B32">
            <w:pPr>
              <w:rPr>
                <w:rFonts w:ascii="宋体" w:hAnsi="宋体"/>
                <w:szCs w:val="21"/>
              </w:rPr>
            </w:pPr>
          </w:p>
        </w:tc>
      </w:tr>
      <w:tr w14:paraId="4465FFC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15DBCEFF">
            <w:r>
              <w:t>多年平均相对湿度(%)</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A0D039">
            <w:pPr>
              <w:rPr>
                <w:rFonts w:ascii="宋体" w:hAnsi="宋体"/>
                <w:szCs w:val="21"/>
              </w:rPr>
            </w:pPr>
            <w:r>
              <w:rPr>
                <w:rFonts w:hint="eastAsia" w:ascii="宋体" w:hAnsi="宋体"/>
                <w:szCs w:val="21"/>
              </w:rPr>
              <w:t>75.5</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060EE67">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11A6BB24">
            <w:pPr>
              <w:rPr>
                <w:rFonts w:ascii="宋体" w:hAnsi="宋体"/>
                <w:szCs w:val="21"/>
              </w:rPr>
            </w:pPr>
          </w:p>
        </w:tc>
      </w:tr>
      <w:tr w14:paraId="64560D4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1811B1B6">
            <w:r>
              <w:t>多年平均降雨量(mm)</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9DB4CBC">
            <w:pPr>
              <w:rPr>
                <w:rFonts w:ascii="宋体" w:hAnsi="宋体"/>
                <w:szCs w:val="21"/>
              </w:rPr>
            </w:pPr>
            <w:r>
              <w:rPr>
                <w:rFonts w:hint="eastAsia" w:ascii="宋体" w:hAnsi="宋体"/>
                <w:szCs w:val="21"/>
              </w:rPr>
              <w:t>1180.2</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D1BBC49">
            <w:pPr>
              <w:rPr>
                <w:rFonts w:ascii="宋体" w:hAnsi="宋体"/>
                <w:szCs w:val="21"/>
              </w:rPr>
            </w:pPr>
            <w:r>
              <w:rPr>
                <w:rFonts w:hint="eastAsia" w:ascii="宋体" w:hAnsi="宋体"/>
                <w:szCs w:val="21"/>
              </w:rPr>
              <w:t>20120707</w:t>
            </w: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5C131D40">
            <w:pPr>
              <w:rPr>
                <w:rFonts w:ascii="宋体" w:hAnsi="宋体"/>
                <w:szCs w:val="21"/>
              </w:rPr>
            </w:pPr>
            <w:r>
              <w:rPr>
                <w:rFonts w:hint="eastAsia" w:ascii="宋体" w:hAnsi="宋体"/>
                <w:szCs w:val="21"/>
              </w:rPr>
              <w:t>205.3</w:t>
            </w:r>
          </w:p>
        </w:tc>
      </w:tr>
      <w:tr w14:paraId="2A212BE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729" w:type="pct"/>
            <w:vMerge w:val="restart"/>
            <w:tcBorders>
              <w:top w:val="single" w:color="000000" w:sz="6" w:space="0"/>
              <w:left w:val="single" w:color="000000" w:sz="12" w:space="0"/>
              <w:bottom w:val="single" w:color="000000" w:sz="6" w:space="0"/>
              <w:right w:val="single" w:color="000000" w:sz="4" w:space="0"/>
            </w:tcBorders>
            <w:shd w:val="clear" w:color="auto" w:fill="FFFFFF"/>
            <w:tcMar>
              <w:top w:w="80" w:type="dxa"/>
              <w:left w:w="80" w:type="dxa"/>
              <w:bottom w:w="80" w:type="dxa"/>
              <w:right w:w="80" w:type="dxa"/>
            </w:tcMar>
            <w:vAlign w:val="center"/>
          </w:tcPr>
          <w:p w14:paraId="5447F4EB">
            <w:r>
              <w:t>灾害天气统计</w:t>
            </w:r>
          </w:p>
        </w:tc>
        <w:tc>
          <w:tcPr>
            <w:tcW w:w="1590" w:type="pct"/>
            <w:tcBorders>
              <w:top w:val="single" w:color="000000" w:sz="6" w:space="0"/>
              <w:left w:val="single" w:color="000000" w:sz="4"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678BC7F1">
            <w:r>
              <w:t>多年平均</w:t>
            </w:r>
            <w:r>
              <w:rPr>
                <w:rFonts w:hint="eastAsia"/>
              </w:rPr>
              <w:t>雷暴</w:t>
            </w:r>
            <w:r>
              <w:t>日数(d)</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88249F4">
            <w:pPr>
              <w:rPr>
                <w:rFonts w:ascii="宋体" w:hAnsi="宋体"/>
                <w:szCs w:val="21"/>
              </w:rPr>
            </w:pPr>
            <w:r>
              <w:rPr>
                <w:rFonts w:hint="eastAsia" w:ascii="宋体" w:hAnsi="宋体"/>
                <w:szCs w:val="21"/>
              </w:rPr>
              <w:t>26</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95C1AF0">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1D82486C">
            <w:pPr>
              <w:rPr>
                <w:rFonts w:ascii="宋体" w:hAnsi="宋体"/>
                <w:szCs w:val="21"/>
              </w:rPr>
            </w:pPr>
          </w:p>
        </w:tc>
      </w:tr>
      <w:tr w14:paraId="3737787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729" w:type="pct"/>
            <w:vMerge w:val="continue"/>
            <w:tcBorders>
              <w:top w:val="single" w:color="000000" w:sz="6" w:space="0"/>
              <w:left w:val="single" w:color="000000" w:sz="12" w:space="0"/>
              <w:bottom w:val="single" w:color="000000" w:sz="6" w:space="0"/>
              <w:right w:val="single" w:color="000000" w:sz="4" w:space="0"/>
            </w:tcBorders>
            <w:shd w:val="clear" w:color="auto" w:fill="FFFFFF"/>
          </w:tcPr>
          <w:p w14:paraId="559E207F"/>
        </w:tc>
        <w:tc>
          <w:tcPr>
            <w:tcW w:w="1590" w:type="pct"/>
            <w:tcBorders>
              <w:top w:val="single" w:color="000000" w:sz="6" w:space="0"/>
              <w:left w:val="single" w:color="000000" w:sz="4"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2E519156">
            <w:r>
              <w:rPr>
                <w:rFonts w:hint="eastAsia"/>
              </w:rPr>
              <w:t>最大积雪深度</w:t>
            </w:r>
            <w:r>
              <w:t>(</w:t>
            </w:r>
            <w:r>
              <w:rPr>
                <w:rFonts w:hint="eastAsia"/>
              </w:rPr>
              <w:t>cm</w:t>
            </w:r>
            <w:r>
              <w:t>)</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A416AFC">
            <w:pPr>
              <w:rPr>
                <w:rFonts w:ascii="宋体" w:hAnsi="宋体"/>
                <w:szCs w:val="21"/>
              </w:rPr>
            </w:pPr>
            <w:r>
              <w:rPr>
                <w:rFonts w:hint="eastAsia" w:ascii="宋体" w:hAnsi="宋体"/>
                <w:szCs w:val="21"/>
              </w:rPr>
              <w:t>3</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AB1F7C1">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687A4F0C">
            <w:pPr>
              <w:rPr>
                <w:rFonts w:ascii="宋体" w:hAnsi="宋体"/>
                <w:szCs w:val="21"/>
              </w:rPr>
            </w:pPr>
          </w:p>
        </w:tc>
      </w:tr>
      <w:tr w14:paraId="01002EA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729" w:type="pct"/>
            <w:vMerge w:val="continue"/>
            <w:tcBorders>
              <w:top w:val="single" w:color="000000" w:sz="6" w:space="0"/>
              <w:left w:val="single" w:color="000000" w:sz="12" w:space="0"/>
              <w:bottom w:val="single" w:color="000000" w:sz="6" w:space="0"/>
              <w:right w:val="single" w:color="000000" w:sz="4" w:space="0"/>
            </w:tcBorders>
            <w:shd w:val="clear" w:color="auto" w:fill="FFFFFF"/>
          </w:tcPr>
          <w:p w14:paraId="66147545"/>
        </w:tc>
        <w:tc>
          <w:tcPr>
            <w:tcW w:w="1590" w:type="pct"/>
            <w:tcBorders>
              <w:top w:val="single" w:color="000000" w:sz="6" w:space="0"/>
              <w:left w:val="single" w:color="000000" w:sz="4"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39E3B953">
            <w:r>
              <w:t>多年平均大风日数(d)</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0497626">
            <w:pPr>
              <w:rPr>
                <w:rFonts w:ascii="宋体" w:hAnsi="宋体"/>
                <w:szCs w:val="21"/>
              </w:rPr>
            </w:pPr>
            <w:r>
              <w:rPr>
                <w:rFonts w:hint="eastAsia" w:ascii="宋体" w:hAnsi="宋体"/>
                <w:szCs w:val="21"/>
              </w:rPr>
              <w:t>2.5</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D467735">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2357F935">
            <w:pPr>
              <w:rPr>
                <w:rFonts w:ascii="宋体" w:hAnsi="宋体"/>
                <w:szCs w:val="21"/>
              </w:rPr>
            </w:pPr>
          </w:p>
        </w:tc>
      </w:tr>
      <w:tr w14:paraId="5B6A314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77"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7F09E885">
            <w:r>
              <w:t>多年实测极大风速（m/s）、相应风向</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A2A3732">
            <w:pPr>
              <w:rPr>
                <w:rFonts w:ascii="宋体" w:hAnsi="宋体"/>
                <w:szCs w:val="21"/>
              </w:rPr>
            </w:pPr>
            <w:r>
              <w:rPr>
                <w:rFonts w:hint="eastAsia" w:ascii="宋体" w:hAnsi="宋体"/>
                <w:szCs w:val="21"/>
              </w:rPr>
              <w:t>20.3</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094485E">
            <w:pPr>
              <w:rPr>
                <w:rFonts w:ascii="宋体" w:hAnsi="宋体"/>
                <w:szCs w:val="21"/>
              </w:rPr>
            </w:pPr>
            <w:r>
              <w:rPr>
                <w:rFonts w:hint="eastAsia" w:ascii="宋体" w:hAnsi="宋体"/>
                <w:szCs w:val="21"/>
              </w:rPr>
              <w:t>20180405</w:t>
            </w: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53A8F166">
            <w:pPr>
              <w:rPr>
                <w:rFonts w:ascii="宋体" w:hAnsi="宋体"/>
                <w:szCs w:val="21"/>
              </w:rPr>
            </w:pPr>
            <w:r>
              <w:rPr>
                <w:rFonts w:hint="eastAsia" w:ascii="宋体" w:hAnsi="宋体"/>
                <w:szCs w:val="21"/>
              </w:rPr>
              <w:t>26.9</w:t>
            </w:r>
          </w:p>
          <w:p w14:paraId="1341B930">
            <w:pPr>
              <w:rPr>
                <w:rFonts w:ascii="宋体" w:hAnsi="宋体"/>
                <w:szCs w:val="21"/>
              </w:rPr>
            </w:pPr>
            <w:r>
              <w:rPr>
                <w:rFonts w:hint="eastAsia" w:ascii="宋体" w:hAnsi="宋体"/>
                <w:szCs w:val="21"/>
              </w:rPr>
              <w:t>N</w:t>
            </w:r>
          </w:p>
        </w:tc>
      </w:tr>
      <w:tr w14:paraId="2D4B557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79"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13F1CF55">
            <w:r>
              <w:t>多年平均风速（m/s）</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EABB57D">
            <w:pPr>
              <w:rPr>
                <w:rFonts w:ascii="宋体" w:hAnsi="宋体"/>
                <w:szCs w:val="21"/>
              </w:rPr>
            </w:pPr>
            <w:r>
              <w:rPr>
                <w:rFonts w:hint="eastAsia" w:ascii="宋体" w:hAnsi="宋体"/>
                <w:szCs w:val="21"/>
              </w:rPr>
              <w:t>1.3</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C5E4C6F">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28A717DE">
            <w:pPr>
              <w:rPr>
                <w:rFonts w:ascii="宋体" w:hAnsi="宋体"/>
                <w:szCs w:val="21"/>
              </w:rPr>
            </w:pPr>
          </w:p>
        </w:tc>
      </w:tr>
      <w:tr w14:paraId="01459AD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77"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3E19E04A">
            <w:r>
              <w:t>多年主导风向、风向频率(%)</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1BE439D">
            <w:pPr>
              <w:rPr>
                <w:rFonts w:ascii="宋体" w:hAnsi="宋体"/>
                <w:szCs w:val="21"/>
              </w:rPr>
            </w:pPr>
            <w:r>
              <w:rPr>
                <w:rFonts w:hint="eastAsia" w:ascii="宋体" w:hAnsi="宋体"/>
                <w:szCs w:val="21"/>
              </w:rPr>
              <w:t>N/17.39</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B349182">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2ABF2044">
            <w:pPr>
              <w:rPr>
                <w:rFonts w:ascii="宋体" w:hAnsi="宋体"/>
                <w:szCs w:val="21"/>
              </w:rPr>
            </w:pPr>
          </w:p>
        </w:tc>
      </w:tr>
      <w:tr w14:paraId="6DC5529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77" w:hRule="exact"/>
          <w:jc w:val="center"/>
        </w:trPr>
        <w:tc>
          <w:tcPr>
            <w:tcW w:w="2319" w:type="pct"/>
            <w:gridSpan w:val="2"/>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6650C353">
            <w:r>
              <w:t>多年静风频率(风速&lt;=0.2m/s)(%)</w:t>
            </w:r>
          </w:p>
        </w:tc>
        <w:tc>
          <w:tcPr>
            <w:tcW w:w="818"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36235F9">
            <w:pPr>
              <w:rPr>
                <w:rFonts w:ascii="宋体" w:hAnsi="宋体"/>
                <w:szCs w:val="21"/>
              </w:rPr>
            </w:pPr>
            <w:r>
              <w:rPr>
                <w:rFonts w:hint="eastAsia" w:ascii="宋体" w:hAnsi="宋体"/>
                <w:szCs w:val="21"/>
              </w:rPr>
              <w:t>13.56</w:t>
            </w:r>
          </w:p>
        </w:tc>
        <w:tc>
          <w:tcPr>
            <w:tcW w:w="1051"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9BD6933">
            <w:pPr>
              <w:rPr>
                <w:rFonts w:ascii="宋体" w:hAnsi="宋体"/>
                <w:szCs w:val="21"/>
              </w:rPr>
            </w:pPr>
          </w:p>
        </w:tc>
        <w:tc>
          <w:tcPr>
            <w:tcW w:w="812"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tcPr>
          <w:p w14:paraId="627997E7">
            <w:pPr>
              <w:rPr>
                <w:rFonts w:ascii="宋体" w:hAnsi="宋体"/>
                <w:szCs w:val="21"/>
              </w:rPr>
            </w:pPr>
          </w:p>
        </w:tc>
      </w:tr>
      <w:tr w14:paraId="0AD3C53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316" w:hRule="exact"/>
          <w:jc w:val="center"/>
        </w:trPr>
        <w:tc>
          <w:tcPr>
            <w:tcW w:w="2319" w:type="pct"/>
            <w:gridSpan w:val="2"/>
            <w:tcBorders>
              <w:top w:val="single" w:color="000000" w:sz="6" w:space="0"/>
              <w:left w:val="single" w:color="000000" w:sz="12" w:space="0"/>
              <w:bottom w:val="single" w:color="000000" w:sz="12" w:space="0"/>
              <w:right w:val="single" w:color="000000" w:sz="6" w:space="0"/>
            </w:tcBorders>
            <w:shd w:val="clear" w:color="auto" w:fill="FFFFFF"/>
            <w:tcMar>
              <w:top w:w="80" w:type="dxa"/>
              <w:left w:w="80" w:type="dxa"/>
              <w:bottom w:w="80" w:type="dxa"/>
              <w:right w:w="80" w:type="dxa"/>
            </w:tcMar>
            <w:vAlign w:val="center"/>
          </w:tcPr>
          <w:p w14:paraId="45FEEE68">
            <w:pPr>
              <w:rPr>
                <w:rFonts w:eastAsia="Arial Unicode MS"/>
              </w:rPr>
            </w:pPr>
            <w:r>
              <w:t>*统计值代表均值</w:t>
            </w:r>
          </w:p>
          <w:p w14:paraId="6AFCC8FB">
            <w:pPr>
              <w:rPr>
                <w:rFonts w:eastAsia="Arial Unicode MS"/>
              </w:rPr>
            </w:pPr>
            <w:r>
              <w:t>**极值代表极端值</w:t>
            </w:r>
          </w:p>
        </w:tc>
        <w:tc>
          <w:tcPr>
            <w:tcW w:w="818" w:type="pct"/>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center"/>
          </w:tcPr>
          <w:p w14:paraId="7EB73E57">
            <w:r>
              <w:t>举例：累年极端最高气温</w:t>
            </w:r>
          </w:p>
        </w:tc>
        <w:tc>
          <w:tcPr>
            <w:tcW w:w="1051" w:type="pct"/>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center"/>
          </w:tcPr>
          <w:p w14:paraId="56DF84DE">
            <w:r>
              <w:t>*代表极端最高气温的累年平均值</w:t>
            </w:r>
          </w:p>
        </w:tc>
        <w:tc>
          <w:tcPr>
            <w:tcW w:w="812" w:type="pct"/>
            <w:tcBorders>
              <w:top w:val="single" w:color="000000" w:sz="6" w:space="0"/>
              <w:left w:val="single" w:color="000000" w:sz="6" w:space="0"/>
              <w:bottom w:val="single" w:color="000000" w:sz="12" w:space="0"/>
              <w:right w:val="single" w:color="000000" w:sz="12" w:space="0"/>
            </w:tcBorders>
            <w:shd w:val="clear" w:color="auto" w:fill="auto"/>
            <w:tcMar>
              <w:top w:w="80" w:type="dxa"/>
              <w:left w:w="80" w:type="dxa"/>
              <w:bottom w:w="80" w:type="dxa"/>
              <w:right w:w="80" w:type="dxa"/>
            </w:tcMar>
          </w:tcPr>
          <w:p w14:paraId="57F91CD4">
            <w:r>
              <w:t>**代表极端最高气温的累年最高值</w:t>
            </w:r>
          </w:p>
        </w:tc>
      </w:tr>
    </w:tbl>
    <w:p w14:paraId="7679FE2A">
      <w:pPr>
        <w:pStyle w:val="752"/>
        <w:spacing w:before="0" w:after="0"/>
        <w:ind w:firstLine="562" w:firstLineChars="200"/>
        <w:outlineLvl w:val="9"/>
        <w:rPr>
          <w:rStyle w:val="102"/>
          <w:rFonts w:eastAsia="Songti SC Bold" w:cs="Times New Roman"/>
        </w:rPr>
      </w:pPr>
      <w:r>
        <w:rPr>
          <w:rFonts w:hint="eastAsia" w:cs="Times New Roman"/>
        </w:rPr>
        <w:t>（2）</w:t>
      </w:r>
      <w:r>
        <w:rPr>
          <w:rFonts w:cs="Times New Roman"/>
        </w:rPr>
        <w:t>气象站风观测数据统计</w:t>
      </w:r>
    </w:p>
    <w:p w14:paraId="4118871F">
      <w:pPr>
        <w:pStyle w:val="4086"/>
        <w:spacing w:line="360" w:lineRule="auto"/>
        <w:rPr>
          <w:rStyle w:val="102"/>
          <w:rFonts w:ascii="Times New Roman" w:hAnsi="Times New Roman" w:eastAsia="Songti SC Regular" w:cs="Times New Roman"/>
          <w:color w:val="auto"/>
        </w:rPr>
      </w:pPr>
      <w:r>
        <w:rPr>
          <w:rFonts w:hint="eastAsia" w:ascii="Times New Roman" w:hAnsi="Times New Roman" w:eastAsia="宋体" w:cs="Times New Roman"/>
          <w:color w:val="auto"/>
        </w:rPr>
        <w:t>1）</w:t>
      </w:r>
      <w:r>
        <w:rPr>
          <w:rFonts w:ascii="Times New Roman" w:hAnsi="Times New Roman" w:eastAsia="宋体" w:cs="Times New Roman"/>
          <w:color w:val="auto"/>
        </w:rPr>
        <w:t>月平均风速</w:t>
      </w:r>
    </w:p>
    <w:p w14:paraId="68E3B012">
      <w:pPr>
        <w:pStyle w:val="4086"/>
        <w:spacing w:line="360" w:lineRule="auto"/>
        <w:ind w:firstLine="480"/>
        <w:rPr>
          <w:rFonts w:ascii="Songti SC Regular" w:hAnsi="Songti SC Regular" w:eastAsia="Songti SC Regular" w:cs="Songti SC Regular"/>
          <w:color w:val="auto"/>
          <w:lang w:eastAsia="zh-TW"/>
        </w:rPr>
      </w:pPr>
      <w:r>
        <w:rPr>
          <w:rFonts w:hint="eastAsia" w:ascii="宋体" w:hAnsi="宋体" w:eastAsia="宋体"/>
          <w:color w:val="auto"/>
        </w:rPr>
        <w:t>巴中</w:t>
      </w:r>
      <w:r>
        <w:rPr>
          <w:rFonts w:ascii="宋体" w:hAnsi="宋体" w:eastAsia="宋体"/>
          <w:color w:val="auto"/>
        </w:rPr>
        <w:t>气象站月平均风速如</w:t>
      </w:r>
      <w:r>
        <w:rPr>
          <w:rFonts w:hint="eastAsia" w:ascii="宋体" w:hAnsi="宋体" w:eastAsia="宋体"/>
          <w:color w:val="auto"/>
        </w:rPr>
        <w:t>图</w:t>
      </w:r>
      <w:r>
        <w:rPr>
          <w:rFonts w:hint="eastAsia" w:ascii="宋体" w:hAnsi="宋体" w:eastAsia="宋体"/>
          <w:color w:val="auto"/>
          <w:kern w:val="2"/>
          <w:szCs w:val="21"/>
        </w:rPr>
        <w:t>08</w:t>
      </w:r>
      <w:r>
        <w:rPr>
          <w:rFonts w:ascii="宋体" w:hAnsi="宋体" w:eastAsia="宋体"/>
          <w:color w:val="auto"/>
        </w:rPr>
        <w:t>月平均风速最大（</w:t>
      </w:r>
      <w:r>
        <w:rPr>
          <w:rFonts w:hint="eastAsia" w:ascii="宋体" w:hAnsi="宋体" w:eastAsia="宋体"/>
          <w:color w:val="auto"/>
          <w:kern w:val="2"/>
          <w:szCs w:val="21"/>
        </w:rPr>
        <w:t>1.49</w:t>
      </w:r>
      <w:r>
        <w:rPr>
          <w:rFonts w:ascii="宋体" w:hAnsi="宋体" w:eastAsia="宋体"/>
          <w:color w:val="auto"/>
        </w:rPr>
        <w:t>米/秒），</w:t>
      </w:r>
      <w:r>
        <w:rPr>
          <w:rFonts w:hint="eastAsia" w:ascii="宋体" w:hAnsi="宋体" w:eastAsia="宋体"/>
          <w:color w:val="auto"/>
          <w:kern w:val="2"/>
          <w:szCs w:val="21"/>
        </w:rPr>
        <w:t>12月</w:t>
      </w:r>
      <w:r>
        <w:rPr>
          <w:rFonts w:ascii="宋体" w:hAnsi="宋体" w:eastAsia="宋体"/>
          <w:color w:val="auto"/>
        </w:rPr>
        <w:t>风最小（</w:t>
      </w:r>
      <w:r>
        <w:rPr>
          <w:rFonts w:hint="eastAsia" w:ascii="宋体" w:hAnsi="宋体" w:eastAsia="宋体"/>
          <w:color w:val="auto"/>
          <w:kern w:val="2"/>
          <w:szCs w:val="21"/>
        </w:rPr>
        <w:t>1.04</w:t>
      </w:r>
      <w:r>
        <w:rPr>
          <w:rFonts w:ascii="宋体" w:hAnsi="宋体" w:eastAsia="宋体"/>
          <w:color w:val="auto"/>
        </w:rPr>
        <w:t>米/秒）。</w:t>
      </w:r>
    </w:p>
    <w:p w14:paraId="789AAB7A">
      <w:pPr>
        <w:pStyle w:val="4086"/>
        <w:spacing w:line="240" w:lineRule="auto"/>
        <w:rPr>
          <w:rFonts w:ascii="Times New Roman" w:hAnsi="Times New Roman" w:eastAsia="宋体" w:cs="Times New Roman"/>
          <w:b/>
          <w:bCs/>
          <w:color w:val="auto"/>
          <w:sz w:val="21"/>
          <w:szCs w:val="21"/>
        </w:rPr>
      </w:pPr>
      <w:r>
        <w:rPr>
          <w:rFonts w:hint="eastAsia" w:ascii="宋体" w:hAnsi="宋体" w:eastAsia="宋体"/>
          <w:color w:val="auto"/>
        </w:rPr>
        <w:drawing>
          <wp:inline distT="0" distB="0" distL="114300" distR="114300">
            <wp:extent cx="5266690" cy="3160395"/>
            <wp:effectExtent l="0" t="0" r="10160" b="1905"/>
            <wp:docPr id="17" name="图片 17" descr="累年月平均风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累年月平均风速"/>
                    <pic:cNvPicPr>
                      <a:picLocks noChangeAspect="1"/>
                    </pic:cNvPicPr>
                  </pic:nvPicPr>
                  <pic:blipFill>
                    <a:blip r:embed="rId70"/>
                    <a:stretch>
                      <a:fillRect/>
                    </a:stretch>
                  </pic:blipFill>
                  <pic:spPr>
                    <a:xfrm>
                      <a:off x="0" y="0"/>
                      <a:ext cx="5266690" cy="3160395"/>
                    </a:xfrm>
                    <a:prstGeom prst="rect">
                      <a:avLst/>
                    </a:prstGeom>
                  </pic:spPr>
                </pic:pic>
              </a:graphicData>
            </a:graphic>
          </wp:inline>
        </w:drawing>
      </w:r>
    </w:p>
    <w:p w14:paraId="60B170D0">
      <w:pPr>
        <w:pStyle w:val="22"/>
        <w:jc w:val="center"/>
        <w:rPr>
          <w:rFonts w:ascii="Times New Roman" w:hAnsi="Times New Roman" w:eastAsia="Songti SC Regular"/>
          <w:b/>
          <w:bCs/>
          <w:sz w:val="21"/>
          <w:szCs w:val="21"/>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5.2-2</w:t>
      </w:r>
      <w:r>
        <w:rPr>
          <w:rFonts w:ascii="Times New Roman" w:hAnsi="Times New Roman" w:eastAsia="宋体"/>
          <w:b/>
          <w:bCs/>
          <w:sz w:val="21"/>
          <w:szCs w:val="21"/>
        </w:rPr>
        <w:t xml:space="preserve"> </w:t>
      </w:r>
      <w:r>
        <w:rPr>
          <w:rFonts w:hint="eastAsia" w:ascii="Times New Roman" w:hAnsi="Times New Roman" w:eastAsia="宋体"/>
          <w:b/>
          <w:bCs/>
          <w:sz w:val="21"/>
          <w:szCs w:val="21"/>
        </w:rPr>
        <w:t>巴中</w:t>
      </w:r>
      <w:r>
        <w:rPr>
          <w:rFonts w:ascii="Times New Roman" w:hAnsi="Times New Roman" w:eastAsia="宋体"/>
          <w:b/>
          <w:bCs/>
          <w:sz w:val="21"/>
          <w:szCs w:val="21"/>
        </w:rPr>
        <w:t>月平均</w:t>
      </w:r>
      <w:r>
        <w:rPr>
          <w:rFonts w:ascii="Times New Roman" w:hAnsi="Times New Roman" w:eastAsia="宋体"/>
          <w:b/>
          <w:bCs/>
          <w:sz w:val="21"/>
          <w:szCs w:val="21"/>
          <w:lang w:val="en-US"/>
        </w:rPr>
        <w:t>风速</w:t>
      </w:r>
      <w:r>
        <w:rPr>
          <w:rFonts w:ascii="Times New Roman" w:hAnsi="Times New Roman" w:eastAsia="宋体"/>
          <w:b/>
          <w:bCs/>
          <w:sz w:val="21"/>
          <w:szCs w:val="21"/>
        </w:rPr>
        <w:t>（单位：</w:t>
      </w:r>
      <w:r>
        <w:rPr>
          <w:rFonts w:ascii="Times New Roman" w:hAnsi="Times New Roman" w:eastAsia="宋体"/>
          <w:b/>
          <w:bCs/>
          <w:sz w:val="21"/>
          <w:szCs w:val="21"/>
          <w:lang w:val="en-US"/>
        </w:rPr>
        <w:t>m/s</w:t>
      </w:r>
      <w:r>
        <w:rPr>
          <w:rFonts w:ascii="Times New Roman" w:hAnsi="Times New Roman" w:eastAsia="宋体"/>
          <w:b/>
          <w:bCs/>
          <w:sz w:val="21"/>
          <w:szCs w:val="21"/>
        </w:rPr>
        <w:t>）</w:t>
      </w:r>
    </w:p>
    <w:p w14:paraId="1241C165">
      <w:pPr>
        <w:pStyle w:val="4086"/>
        <w:spacing w:line="360" w:lineRule="auto"/>
        <w:rPr>
          <w:rStyle w:val="102"/>
          <w:rFonts w:ascii="Times New Roman" w:hAnsi="Times New Roman" w:eastAsia="Songti SC Regular"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风向特征</w:t>
      </w:r>
    </w:p>
    <w:p w14:paraId="7D2AD876">
      <w:pPr>
        <w:pStyle w:val="4086"/>
        <w:spacing w:line="360" w:lineRule="auto"/>
        <w:ind w:firstLine="480"/>
        <w:rPr>
          <w:rFonts w:eastAsia="PMingLiU"/>
          <w:color w:val="auto"/>
          <w:lang w:val="zh-TW" w:eastAsia="zh-TW"/>
        </w:rPr>
      </w:pPr>
      <w:r>
        <w:rPr>
          <w:rFonts w:ascii="宋体" w:hAnsi="宋体" w:eastAsia="宋体"/>
          <w:color w:val="auto"/>
        </w:rPr>
        <w:t>近20年资料分析的风向玫瑰图如图所示，</w:t>
      </w:r>
      <w:r>
        <w:rPr>
          <w:rFonts w:hint="eastAsia" w:ascii="宋体" w:hAnsi="宋体" w:eastAsia="宋体"/>
          <w:color w:val="auto"/>
        </w:rPr>
        <w:t>巴中</w:t>
      </w:r>
      <w:r>
        <w:rPr>
          <w:rFonts w:ascii="宋体" w:hAnsi="宋体" w:eastAsia="宋体"/>
          <w:color w:val="auto"/>
        </w:rPr>
        <w:t>气象站主要风向为</w:t>
      </w:r>
      <w:r>
        <w:rPr>
          <w:rFonts w:hint="eastAsia" w:ascii="宋体" w:hAnsi="宋体" w:eastAsia="宋体"/>
          <w:color w:val="auto"/>
        </w:rPr>
        <w:t>N为主</w:t>
      </w:r>
      <w:r>
        <w:rPr>
          <w:rFonts w:ascii="宋体" w:hAnsi="宋体" w:eastAsia="宋体"/>
          <w:color w:val="auto"/>
        </w:rPr>
        <w:t>占</w:t>
      </w:r>
      <w:r>
        <w:rPr>
          <w:rFonts w:hint="eastAsia" w:ascii="宋体" w:hAnsi="宋体" w:eastAsia="宋体"/>
          <w:color w:val="auto"/>
          <w:kern w:val="2"/>
          <w:szCs w:val="21"/>
        </w:rPr>
        <w:t>17.39％</w:t>
      </w:r>
      <w:r>
        <w:rPr>
          <w:rFonts w:ascii="宋体" w:hAnsi="宋体" w:eastAsia="宋体"/>
          <w:color w:val="auto"/>
        </w:rPr>
        <w:t>。</w:t>
      </w:r>
    </w:p>
    <w:p w14:paraId="75343440">
      <w:pPr>
        <w:pStyle w:val="4087"/>
        <w:ind w:firstLine="480" w:firstLineChars="200"/>
        <w:rPr>
          <w:rFonts w:eastAsia="Songti SC Regular" w:cs="Times New Roman"/>
          <w:color w:val="auto"/>
          <w:lang w:val="zh-TW" w:eastAsia="zh-TW"/>
        </w:rPr>
      </w:pPr>
      <w:r>
        <w:rPr>
          <w:rFonts w:eastAsia="宋体" w:cs="Times New Roman"/>
          <w:color w:val="auto"/>
        </w:rPr>
        <w:t>各月风向频率如下：</w:t>
      </w:r>
    </w:p>
    <w:p w14:paraId="6EC55F20">
      <w:pPr>
        <w:pStyle w:val="3637"/>
        <w:ind w:firstLine="422"/>
        <w:jc w:val="center"/>
        <w:rPr>
          <w:rFonts w:ascii="Times New Roman" w:hAnsi="Times New Roman"/>
          <w:b/>
          <w:bCs/>
        </w:rPr>
      </w:pPr>
      <w:r>
        <w:rPr>
          <w:rFonts w:ascii="Times New Roman" w:hAnsi="Times New Roman"/>
          <w:b/>
          <w:bCs/>
          <w:szCs w:val="21"/>
        </w:rPr>
        <w:t>表</w:t>
      </w:r>
      <w:r>
        <w:rPr>
          <w:rFonts w:hint="eastAsia" w:ascii="Times New Roman" w:hAnsi="Times New Roman"/>
          <w:b/>
          <w:bCs/>
          <w:szCs w:val="21"/>
        </w:rPr>
        <w:t>5.2-3</w:t>
      </w:r>
      <w:r>
        <w:rPr>
          <w:rFonts w:ascii="Times New Roman" w:hAnsi="Times New Roman"/>
          <w:b/>
          <w:bCs/>
          <w:szCs w:val="21"/>
        </w:rPr>
        <w:t xml:space="preserve"> </w:t>
      </w:r>
      <w:r>
        <w:rPr>
          <w:rFonts w:hint="eastAsia" w:ascii="Times New Roman" w:hAnsi="Times New Roman"/>
          <w:b/>
          <w:bCs/>
          <w:szCs w:val="21"/>
        </w:rPr>
        <w:t>巴中</w:t>
      </w:r>
      <w:r>
        <w:rPr>
          <w:rFonts w:ascii="Times New Roman" w:hAnsi="Times New Roman"/>
          <w:b/>
          <w:bCs/>
          <w:szCs w:val="21"/>
        </w:rPr>
        <w:t>气象站月风向频率统计（单位%）</w:t>
      </w:r>
    </w:p>
    <w:tbl>
      <w:tblPr>
        <w:tblStyle w:val="88"/>
        <w:tblW w:w="5000" w:type="pct"/>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autofit"/>
        <w:tblCellMar>
          <w:top w:w="0" w:type="dxa"/>
          <w:left w:w="0" w:type="dxa"/>
          <w:bottom w:w="0" w:type="dxa"/>
          <w:right w:w="0" w:type="dxa"/>
        </w:tblCellMar>
      </w:tblPr>
      <w:tblGrid>
        <w:gridCol w:w="507"/>
        <w:gridCol w:w="560"/>
        <w:gridCol w:w="547"/>
        <w:gridCol w:w="480"/>
        <w:gridCol w:w="480"/>
        <w:gridCol w:w="480"/>
        <w:gridCol w:w="480"/>
        <w:gridCol w:w="480"/>
        <w:gridCol w:w="480"/>
        <w:gridCol w:w="480"/>
        <w:gridCol w:w="480"/>
        <w:gridCol w:w="471"/>
        <w:gridCol w:w="457"/>
        <w:gridCol w:w="500"/>
        <w:gridCol w:w="478"/>
        <w:gridCol w:w="483"/>
        <w:gridCol w:w="602"/>
        <w:gridCol w:w="561"/>
      </w:tblGrid>
      <w:tr w14:paraId="20EBBB1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40" w:hRule="atLeast"/>
          <w:jc w:val="center"/>
        </w:trPr>
        <w:tc>
          <w:tcPr>
            <w:tcW w:w="285" w:type="pct"/>
            <w:tcBorders>
              <w:top w:val="single" w:color="000000" w:sz="12"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59367831">
            <w:pPr>
              <w:jc w:val="center"/>
              <w:rPr>
                <w:sz w:val="15"/>
                <w:szCs w:val="15"/>
              </w:rPr>
            </w:pPr>
            <w:r>
              <w:rPr>
                <w:sz w:val="15"/>
                <w:szCs w:val="15"/>
              </w:rPr>
              <w:t xml:space="preserve">风向  </w:t>
            </w:r>
          </w:p>
          <w:p w14:paraId="19ADD375">
            <w:pPr>
              <w:jc w:val="center"/>
              <w:rPr>
                <w:sz w:val="15"/>
                <w:szCs w:val="15"/>
              </w:rPr>
            </w:pPr>
            <w:r>
              <w:rPr>
                <w:sz w:val="15"/>
                <w:szCs w:val="15"/>
              </w:rPr>
              <w:t>频率</w:t>
            </w:r>
          </w:p>
          <w:p w14:paraId="3C95F94F">
            <w:pPr>
              <w:jc w:val="center"/>
              <w:rPr>
                <w:sz w:val="15"/>
                <w:szCs w:val="15"/>
              </w:rPr>
            </w:pPr>
            <w:r>
              <w:rPr>
                <w:sz w:val="15"/>
                <w:szCs w:val="15"/>
              </w:rPr>
              <w:t>月份</w:t>
            </w:r>
          </w:p>
        </w:tc>
        <w:tc>
          <w:tcPr>
            <w:tcW w:w="275"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08A2251">
            <w:pPr>
              <w:jc w:val="center"/>
              <w:rPr>
                <w:sz w:val="15"/>
                <w:szCs w:val="15"/>
              </w:rPr>
            </w:pPr>
            <w:r>
              <w:rPr>
                <w:sz w:val="15"/>
                <w:szCs w:val="15"/>
              </w:rPr>
              <w:t>N</w:t>
            </w:r>
          </w:p>
        </w:tc>
        <w:tc>
          <w:tcPr>
            <w:tcW w:w="307"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E53565E">
            <w:pPr>
              <w:jc w:val="center"/>
              <w:rPr>
                <w:sz w:val="15"/>
                <w:szCs w:val="15"/>
              </w:rPr>
            </w:pPr>
            <w:r>
              <w:rPr>
                <w:sz w:val="15"/>
                <w:szCs w:val="15"/>
              </w:rPr>
              <w:t>NNE</w:t>
            </w:r>
          </w:p>
        </w:tc>
        <w:tc>
          <w:tcPr>
            <w:tcW w:w="269"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E251EED">
            <w:pPr>
              <w:jc w:val="center"/>
              <w:rPr>
                <w:sz w:val="15"/>
                <w:szCs w:val="15"/>
              </w:rPr>
            </w:pPr>
            <w:r>
              <w:rPr>
                <w:sz w:val="15"/>
                <w:szCs w:val="15"/>
              </w:rPr>
              <w:t>NE</w:t>
            </w:r>
          </w:p>
        </w:tc>
        <w:tc>
          <w:tcPr>
            <w:tcW w:w="269"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1204E95">
            <w:pPr>
              <w:jc w:val="center"/>
              <w:rPr>
                <w:sz w:val="15"/>
                <w:szCs w:val="15"/>
              </w:rPr>
            </w:pPr>
            <w:r>
              <w:rPr>
                <w:sz w:val="15"/>
                <w:szCs w:val="15"/>
              </w:rPr>
              <w:t>ENE</w:t>
            </w:r>
          </w:p>
        </w:tc>
        <w:tc>
          <w:tcPr>
            <w:tcW w:w="269"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734D7F">
            <w:pPr>
              <w:jc w:val="center"/>
              <w:rPr>
                <w:sz w:val="15"/>
                <w:szCs w:val="15"/>
              </w:rPr>
            </w:pPr>
            <w:r>
              <w:rPr>
                <w:sz w:val="15"/>
                <w:szCs w:val="15"/>
              </w:rPr>
              <w:t>E</w:t>
            </w:r>
          </w:p>
        </w:tc>
        <w:tc>
          <w:tcPr>
            <w:tcW w:w="269"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70D0CA">
            <w:pPr>
              <w:jc w:val="center"/>
              <w:rPr>
                <w:sz w:val="15"/>
                <w:szCs w:val="15"/>
              </w:rPr>
            </w:pPr>
            <w:r>
              <w:rPr>
                <w:sz w:val="15"/>
                <w:szCs w:val="15"/>
              </w:rPr>
              <w:t>ESE</w:t>
            </w:r>
          </w:p>
        </w:tc>
        <w:tc>
          <w:tcPr>
            <w:tcW w:w="269"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406978C">
            <w:pPr>
              <w:jc w:val="center"/>
              <w:rPr>
                <w:sz w:val="15"/>
                <w:szCs w:val="15"/>
              </w:rPr>
            </w:pPr>
            <w:r>
              <w:rPr>
                <w:sz w:val="15"/>
                <w:szCs w:val="15"/>
              </w:rPr>
              <w:t>SE</w:t>
            </w:r>
          </w:p>
        </w:tc>
        <w:tc>
          <w:tcPr>
            <w:tcW w:w="269"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BF0983F">
            <w:pPr>
              <w:jc w:val="center"/>
              <w:rPr>
                <w:sz w:val="15"/>
                <w:szCs w:val="15"/>
              </w:rPr>
            </w:pPr>
            <w:r>
              <w:rPr>
                <w:sz w:val="15"/>
                <w:szCs w:val="15"/>
              </w:rPr>
              <w:t>SSE</w:t>
            </w:r>
          </w:p>
        </w:tc>
        <w:tc>
          <w:tcPr>
            <w:tcW w:w="269"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80D802E">
            <w:pPr>
              <w:jc w:val="center"/>
              <w:rPr>
                <w:sz w:val="15"/>
                <w:szCs w:val="15"/>
              </w:rPr>
            </w:pPr>
            <w:r>
              <w:rPr>
                <w:sz w:val="15"/>
                <w:szCs w:val="15"/>
              </w:rPr>
              <w:t>S</w:t>
            </w:r>
          </w:p>
        </w:tc>
        <w:tc>
          <w:tcPr>
            <w:tcW w:w="269"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8FB2FA4">
            <w:pPr>
              <w:jc w:val="center"/>
              <w:rPr>
                <w:sz w:val="15"/>
                <w:szCs w:val="15"/>
              </w:rPr>
            </w:pPr>
            <w:r>
              <w:rPr>
                <w:sz w:val="15"/>
                <w:szCs w:val="15"/>
              </w:rPr>
              <w:t>SSW</w:t>
            </w:r>
          </w:p>
        </w:tc>
        <w:tc>
          <w:tcPr>
            <w:tcW w:w="269" w:type="pct"/>
            <w:tcBorders>
              <w:top w:val="single" w:color="000000" w:sz="12" w:space="0"/>
              <w:left w:val="single" w:color="000000" w:sz="6" w:space="0"/>
              <w:bottom w:val="single" w:color="000000" w:sz="6" w:space="0"/>
              <w:right w:val="single" w:color="000000" w:sz="6" w:space="0"/>
            </w:tcBorders>
            <w:shd w:val="clear" w:color="auto" w:fill="auto"/>
            <w:vAlign w:val="center"/>
          </w:tcPr>
          <w:p w14:paraId="675F72A1">
            <w:pPr>
              <w:jc w:val="center"/>
              <w:rPr>
                <w:sz w:val="15"/>
                <w:szCs w:val="15"/>
              </w:rPr>
            </w:pPr>
            <w:r>
              <w:rPr>
                <w:sz w:val="15"/>
                <w:szCs w:val="15"/>
              </w:rPr>
              <w:t>SW</w:t>
            </w:r>
          </w:p>
        </w:tc>
        <w:tc>
          <w:tcPr>
            <w:tcW w:w="257" w:type="pct"/>
            <w:tcBorders>
              <w:top w:val="single" w:color="000000" w:sz="12" w:space="0"/>
              <w:left w:val="single" w:color="000000" w:sz="6" w:space="0"/>
              <w:bottom w:val="single" w:color="000000" w:sz="6" w:space="0"/>
              <w:right w:val="single" w:color="000000" w:sz="6" w:space="0"/>
            </w:tcBorders>
            <w:shd w:val="clear" w:color="auto" w:fill="auto"/>
            <w:vAlign w:val="center"/>
          </w:tcPr>
          <w:p w14:paraId="53BD7257">
            <w:pPr>
              <w:jc w:val="center"/>
              <w:rPr>
                <w:sz w:val="15"/>
                <w:szCs w:val="15"/>
              </w:rPr>
            </w:pPr>
            <w:r>
              <w:rPr>
                <w:sz w:val="15"/>
                <w:szCs w:val="15"/>
              </w:rPr>
              <w:t>WSW</w:t>
            </w:r>
          </w:p>
        </w:tc>
        <w:tc>
          <w:tcPr>
            <w:tcW w:w="281" w:type="pct"/>
            <w:tcBorders>
              <w:top w:val="single" w:color="000000" w:sz="12" w:space="0"/>
              <w:left w:val="single" w:color="000000" w:sz="6" w:space="0"/>
              <w:bottom w:val="single" w:color="000000" w:sz="6" w:space="0"/>
              <w:right w:val="single" w:color="000000" w:sz="6" w:space="0"/>
            </w:tcBorders>
            <w:shd w:val="clear" w:color="auto" w:fill="auto"/>
            <w:vAlign w:val="center"/>
          </w:tcPr>
          <w:p w14:paraId="25D84401">
            <w:pPr>
              <w:jc w:val="center"/>
              <w:rPr>
                <w:sz w:val="15"/>
                <w:szCs w:val="15"/>
              </w:rPr>
            </w:pPr>
            <w:r>
              <w:rPr>
                <w:sz w:val="15"/>
                <w:szCs w:val="15"/>
              </w:rPr>
              <w:t>W</w:t>
            </w:r>
          </w:p>
        </w:tc>
        <w:tc>
          <w:tcPr>
            <w:tcW w:w="268" w:type="pct"/>
            <w:tcBorders>
              <w:top w:val="single" w:color="000000" w:sz="12" w:space="0"/>
              <w:left w:val="single" w:color="000000" w:sz="6" w:space="0"/>
              <w:bottom w:val="single" w:color="000000" w:sz="6" w:space="0"/>
              <w:right w:val="single" w:color="000000" w:sz="6" w:space="0"/>
            </w:tcBorders>
            <w:shd w:val="clear" w:color="auto" w:fill="auto"/>
            <w:vAlign w:val="center"/>
          </w:tcPr>
          <w:p w14:paraId="74B5B061">
            <w:pPr>
              <w:jc w:val="center"/>
              <w:rPr>
                <w:sz w:val="15"/>
                <w:szCs w:val="15"/>
              </w:rPr>
            </w:pPr>
            <w:r>
              <w:rPr>
                <w:sz w:val="15"/>
                <w:szCs w:val="15"/>
              </w:rPr>
              <w:t>WNW</w:t>
            </w:r>
          </w:p>
        </w:tc>
        <w:tc>
          <w:tcPr>
            <w:tcW w:w="271" w:type="pct"/>
            <w:tcBorders>
              <w:top w:val="single" w:color="000000" w:sz="12" w:space="0"/>
              <w:left w:val="single" w:color="000000" w:sz="6" w:space="0"/>
              <w:bottom w:val="single" w:color="000000" w:sz="6" w:space="0"/>
              <w:right w:val="single" w:color="000000" w:sz="6" w:space="0"/>
            </w:tcBorders>
            <w:shd w:val="clear" w:color="auto" w:fill="auto"/>
            <w:vAlign w:val="center"/>
          </w:tcPr>
          <w:p w14:paraId="793C6728">
            <w:pPr>
              <w:jc w:val="center"/>
              <w:rPr>
                <w:sz w:val="15"/>
                <w:szCs w:val="15"/>
              </w:rPr>
            </w:pPr>
            <w:r>
              <w:rPr>
                <w:sz w:val="15"/>
                <w:szCs w:val="15"/>
              </w:rPr>
              <w:t>NW</w:t>
            </w:r>
          </w:p>
        </w:tc>
        <w:tc>
          <w:tcPr>
            <w:tcW w:w="337" w:type="pc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D4E555B">
            <w:pPr>
              <w:jc w:val="center"/>
              <w:rPr>
                <w:sz w:val="15"/>
                <w:szCs w:val="15"/>
              </w:rPr>
            </w:pPr>
            <w:r>
              <w:rPr>
                <w:sz w:val="15"/>
                <w:szCs w:val="15"/>
              </w:rPr>
              <w:t>NNW</w:t>
            </w:r>
          </w:p>
        </w:tc>
        <w:tc>
          <w:tcPr>
            <w:tcW w:w="298" w:type="pct"/>
            <w:tcBorders>
              <w:top w:val="single" w:color="000000" w:sz="12"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612D4638">
            <w:pPr>
              <w:jc w:val="center"/>
              <w:rPr>
                <w:sz w:val="15"/>
                <w:szCs w:val="15"/>
              </w:rPr>
            </w:pPr>
            <w:r>
              <w:rPr>
                <w:sz w:val="15"/>
                <w:szCs w:val="15"/>
              </w:rPr>
              <w:t>C</w:t>
            </w:r>
          </w:p>
        </w:tc>
      </w:tr>
      <w:tr w14:paraId="5C22E6E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0E755F03">
            <w:pPr>
              <w:jc w:val="center"/>
              <w:rPr>
                <w:sz w:val="15"/>
                <w:szCs w:val="15"/>
              </w:rPr>
            </w:pPr>
            <w:r>
              <w:rPr>
                <w:sz w:val="15"/>
                <w:szCs w:val="15"/>
              </w:rPr>
              <w:t>01</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7CAC105">
            <w:pPr>
              <w:jc w:val="center"/>
              <w:textAlignment w:val="bottom"/>
              <w:rPr>
                <w:rFonts w:ascii="宋体" w:hAnsi="宋体"/>
                <w:sz w:val="2"/>
                <w:szCs w:val="2"/>
              </w:rPr>
            </w:pPr>
            <w:r>
              <w:rPr>
                <w:rFonts w:hint="eastAsia" w:ascii="宋体" w:hAnsi="宋体" w:cs="宋体"/>
                <w:color w:val="000000"/>
                <w:kern w:val="0"/>
                <w:sz w:val="16"/>
                <w:szCs w:val="16"/>
                <w:lang w:bidi="ar"/>
              </w:rPr>
              <w:t>15.26</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85BA8DE">
            <w:pPr>
              <w:jc w:val="center"/>
              <w:textAlignment w:val="bottom"/>
              <w:rPr>
                <w:rFonts w:ascii="宋体" w:hAnsi="宋体"/>
                <w:sz w:val="2"/>
                <w:szCs w:val="2"/>
              </w:rPr>
            </w:pPr>
            <w:r>
              <w:rPr>
                <w:rFonts w:hint="eastAsia" w:ascii="宋体" w:hAnsi="宋体" w:cs="宋体"/>
                <w:color w:val="000000"/>
                <w:kern w:val="0"/>
                <w:sz w:val="16"/>
                <w:szCs w:val="16"/>
                <w:lang w:bidi="ar"/>
              </w:rPr>
              <w:t>8.89</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F6A347F">
            <w:pPr>
              <w:jc w:val="center"/>
              <w:textAlignment w:val="bottom"/>
              <w:rPr>
                <w:rFonts w:ascii="宋体" w:hAnsi="宋体"/>
                <w:sz w:val="2"/>
                <w:szCs w:val="2"/>
              </w:rPr>
            </w:pPr>
            <w:r>
              <w:rPr>
                <w:rFonts w:hint="eastAsia" w:ascii="宋体" w:hAnsi="宋体" w:cs="宋体"/>
                <w:color w:val="000000"/>
                <w:kern w:val="0"/>
                <w:sz w:val="16"/>
                <w:szCs w:val="16"/>
                <w:lang w:bidi="ar"/>
              </w:rPr>
              <w:t>7.26</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86CE2E6">
            <w:pPr>
              <w:jc w:val="center"/>
              <w:textAlignment w:val="bottom"/>
              <w:rPr>
                <w:rFonts w:ascii="宋体" w:hAnsi="宋体"/>
                <w:sz w:val="2"/>
                <w:szCs w:val="2"/>
              </w:rPr>
            </w:pPr>
            <w:r>
              <w:rPr>
                <w:rFonts w:hint="eastAsia" w:ascii="宋体" w:hAnsi="宋体" w:cs="宋体"/>
                <w:color w:val="000000"/>
                <w:kern w:val="0"/>
                <w:sz w:val="16"/>
                <w:szCs w:val="16"/>
                <w:lang w:bidi="ar"/>
              </w:rPr>
              <w:t>6.79</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44967A5">
            <w:pPr>
              <w:jc w:val="center"/>
              <w:textAlignment w:val="bottom"/>
              <w:rPr>
                <w:rFonts w:ascii="宋体" w:hAnsi="宋体"/>
                <w:sz w:val="2"/>
                <w:szCs w:val="2"/>
              </w:rPr>
            </w:pPr>
            <w:r>
              <w:rPr>
                <w:rFonts w:hint="eastAsia" w:ascii="宋体" w:hAnsi="宋体" w:cs="宋体"/>
                <w:color w:val="000000"/>
                <w:kern w:val="0"/>
                <w:sz w:val="16"/>
                <w:szCs w:val="16"/>
                <w:lang w:bidi="ar"/>
              </w:rPr>
              <w:t>5.37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F1A19D4">
            <w:pPr>
              <w:jc w:val="center"/>
              <w:textAlignment w:val="bottom"/>
              <w:rPr>
                <w:rFonts w:ascii="宋体" w:hAnsi="宋体"/>
                <w:sz w:val="2"/>
                <w:szCs w:val="2"/>
              </w:rPr>
            </w:pPr>
            <w:r>
              <w:rPr>
                <w:rFonts w:hint="eastAsia" w:ascii="宋体" w:hAnsi="宋体" w:cs="宋体"/>
                <w:color w:val="000000"/>
                <w:kern w:val="0"/>
                <w:sz w:val="16"/>
                <w:szCs w:val="16"/>
                <w:lang w:bidi="ar"/>
              </w:rPr>
              <w:t>5.42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75DC1A4">
            <w:pPr>
              <w:jc w:val="center"/>
              <w:textAlignment w:val="bottom"/>
              <w:rPr>
                <w:rFonts w:ascii="宋体" w:hAnsi="宋体"/>
                <w:sz w:val="2"/>
                <w:szCs w:val="2"/>
              </w:rPr>
            </w:pPr>
            <w:r>
              <w:rPr>
                <w:rFonts w:hint="eastAsia" w:ascii="宋体" w:hAnsi="宋体" w:cs="宋体"/>
                <w:color w:val="000000"/>
                <w:kern w:val="0"/>
                <w:sz w:val="16"/>
                <w:szCs w:val="16"/>
                <w:lang w:bidi="ar"/>
              </w:rPr>
              <w:t>5.68</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2DA9270">
            <w:pPr>
              <w:jc w:val="center"/>
              <w:textAlignment w:val="bottom"/>
              <w:rPr>
                <w:rFonts w:ascii="宋体" w:hAnsi="宋体"/>
                <w:sz w:val="2"/>
                <w:szCs w:val="2"/>
              </w:rPr>
            </w:pPr>
            <w:r>
              <w:rPr>
                <w:rFonts w:hint="eastAsia" w:ascii="宋体" w:hAnsi="宋体" w:cs="宋体"/>
                <w:color w:val="000000"/>
                <w:kern w:val="0"/>
                <w:sz w:val="16"/>
                <w:szCs w:val="16"/>
                <w:lang w:bidi="ar"/>
              </w:rPr>
              <w:t>4.84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6308EB4">
            <w:pPr>
              <w:jc w:val="center"/>
              <w:textAlignment w:val="bottom"/>
              <w:rPr>
                <w:rFonts w:ascii="宋体" w:hAnsi="宋体"/>
                <w:sz w:val="2"/>
                <w:szCs w:val="2"/>
              </w:rPr>
            </w:pPr>
            <w:r>
              <w:rPr>
                <w:rFonts w:hint="eastAsia" w:ascii="宋体" w:hAnsi="宋体" w:cs="宋体"/>
                <w:color w:val="000000"/>
                <w:kern w:val="0"/>
                <w:sz w:val="16"/>
                <w:szCs w:val="16"/>
                <w:lang w:bidi="ar"/>
              </w:rPr>
              <w:t>4.11</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FDF7C2F">
            <w:pPr>
              <w:jc w:val="center"/>
              <w:textAlignment w:val="bottom"/>
              <w:rPr>
                <w:rFonts w:ascii="宋体" w:hAnsi="宋体"/>
                <w:sz w:val="2"/>
                <w:szCs w:val="2"/>
              </w:rPr>
            </w:pPr>
            <w:r>
              <w:rPr>
                <w:rFonts w:hint="eastAsia" w:ascii="宋体" w:hAnsi="宋体" w:cs="宋体"/>
                <w:color w:val="000000"/>
                <w:kern w:val="0"/>
                <w:sz w:val="16"/>
                <w:szCs w:val="16"/>
                <w:lang w:bidi="ar"/>
              </w:rPr>
              <w:t>2.26</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AC0D62">
            <w:pPr>
              <w:jc w:val="center"/>
              <w:textAlignment w:val="bottom"/>
              <w:rPr>
                <w:rFonts w:ascii="宋体" w:hAnsi="宋体"/>
                <w:sz w:val="2"/>
                <w:szCs w:val="2"/>
              </w:rPr>
            </w:pPr>
            <w:r>
              <w:rPr>
                <w:rFonts w:hint="eastAsia" w:ascii="宋体" w:hAnsi="宋体" w:cs="宋体"/>
                <w:color w:val="000000"/>
                <w:kern w:val="0"/>
                <w:sz w:val="16"/>
                <w:szCs w:val="16"/>
                <w:lang w:bidi="ar"/>
              </w:rPr>
              <w:t>1.89</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8A619C">
            <w:pPr>
              <w:jc w:val="center"/>
              <w:textAlignment w:val="bottom"/>
              <w:rPr>
                <w:rFonts w:ascii="宋体" w:hAnsi="宋体"/>
                <w:sz w:val="2"/>
                <w:szCs w:val="2"/>
              </w:rPr>
            </w:pPr>
            <w:r>
              <w:rPr>
                <w:rFonts w:hint="eastAsia" w:ascii="宋体" w:hAnsi="宋体" w:cs="宋体"/>
                <w:color w:val="000000"/>
                <w:kern w:val="0"/>
                <w:sz w:val="16"/>
                <w:szCs w:val="16"/>
                <w:lang w:bidi="ar"/>
              </w:rPr>
              <w:t>0.95</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CF84FF">
            <w:pPr>
              <w:jc w:val="center"/>
              <w:textAlignment w:val="bottom"/>
              <w:rPr>
                <w:rFonts w:ascii="宋体" w:hAnsi="宋体"/>
                <w:sz w:val="2"/>
                <w:szCs w:val="2"/>
              </w:rPr>
            </w:pPr>
            <w:r>
              <w:rPr>
                <w:rFonts w:hint="eastAsia" w:ascii="宋体" w:hAnsi="宋体" w:cs="宋体"/>
                <w:color w:val="000000"/>
                <w:kern w:val="0"/>
                <w:sz w:val="16"/>
                <w:szCs w:val="16"/>
                <w:lang w:bidi="ar"/>
              </w:rPr>
              <w:t>0.95</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2E16FC">
            <w:pPr>
              <w:jc w:val="center"/>
              <w:textAlignment w:val="bottom"/>
              <w:rPr>
                <w:rFonts w:ascii="宋体" w:hAnsi="宋体"/>
                <w:sz w:val="2"/>
                <w:szCs w:val="2"/>
              </w:rPr>
            </w:pPr>
            <w:r>
              <w:rPr>
                <w:rFonts w:hint="eastAsia" w:ascii="宋体" w:hAnsi="宋体" w:cs="宋体"/>
                <w:color w:val="000000"/>
                <w:kern w:val="0"/>
                <w:sz w:val="16"/>
                <w:szCs w:val="16"/>
                <w:lang w:bidi="ar"/>
              </w:rPr>
              <w:t>1.58</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348E0E">
            <w:pPr>
              <w:jc w:val="center"/>
              <w:textAlignment w:val="bottom"/>
              <w:rPr>
                <w:rFonts w:ascii="宋体" w:hAnsi="宋体"/>
                <w:sz w:val="2"/>
                <w:szCs w:val="2"/>
              </w:rPr>
            </w:pPr>
            <w:r>
              <w:rPr>
                <w:rFonts w:hint="eastAsia" w:ascii="宋体" w:hAnsi="宋体" w:cs="宋体"/>
                <w:color w:val="000000"/>
                <w:kern w:val="0"/>
                <w:sz w:val="16"/>
                <w:szCs w:val="16"/>
                <w:lang w:bidi="ar"/>
              </w:rPr>
              <w:t>4.53</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B3A4DA7">
            <w:pPr>
              <w:jc w:val="center"/>
              <w:textAlignment w:val="bottom"/>
              <w:rPr>
                <w:rFonts w:ascii="宋体" w:hAnsi="宋体"/>
                <w:sz w:val="2"/>
                <w:szCs w:val="2"/>
              </w:rPr>
            </w:pPr>
            <w:r>
              <w:rPr>
                <w:rFonts w:hint="eastAsia" w:ascii="宋体" w:hAnsi="宋体" w:cs="宋体"/>
                <w:color w:val="000000"/>
                <w:kern w:val="0"/>
                <w:sz w:val="16"/>
                <w:szCs w:val="16"/>
                <w:lang w:bidi="ar"/>
              </w:rPr>
              <w:t>7.68</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06C20412">
            <w:pPr>
              <w:jc w:val="center"/>
              <w:textAlignment w:val="bottom"/>
              <w:rPr>
                <w:rFonts w:ascii="宋体" w:hAnsi="宋体"/>
                <w:sz w:val="2"/>
                <w:szCs w:val="2"/>
              </w:rPr>
            </w:pPr>
            <w:r>
              <w:rPr>
                <w:rFonts w:hint="eastAsia" w:ascii="宋体" w:hAnsi="宋体" w:cs="宋体"/>
                <w:color w:val="000000"/>
                <w:kern w:val="0"/>
                <w:sz w:val="16"/>
                <w:szCs w:val="16"/>
                <w:lang w:bidi="ar"/>
              </w:rPr>
              <w:t>16.54</w:t>
            </w:r>
          </w:p>
        </w:tc>
      </w:tr>
      <w:tr w14:paraId="4010EF3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420106E2">
            <w:pPr>
              <w:jc w:val="center"/>
              <w:rPr>
                <w:sz w:val="15"/>
                <w:szCs w:val="15"/>
              </w:rPr>
            </w:pPr>
            <w:r>
              <w:rPr>
                <w:sz w:val="15"/>
                <w:szCs w:val="15"/>
              </w:rPr>
              <w:t>02</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C71D336">
            <w:pPr>
              <w:jc w:val="center"/>
              <w:textAlignment w:val="bottom"/>
              <w:rPr>
                <w:rFonts w:ascii="宋体" w:hAnsi="宋体"/>
                <w:sz w:val="2"/>
                <w:szCs w:val="2"/>
              </w:rPr>
            </w:pPr>
            <w:r>
              <w:rPr>
                <w:rFonts w:hint="eastAsia" w:ascii="宋体" w:hAnsi="宋体" w:cs="宋体"/>
                <w:color w:val="000000"/>
                <w:kern w:val="0"/>
                <w:sz w:val="16"/>
                <w:szCs w:val="16"/>
                <w:lang w:bidi="ar"/>
              </w:rPr>
              <w:t>15.16</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5C0808D">
            <w:pPr>
              <w:jc w:val="center"/>
              <w:textAlignment w:val="bottom"/>
              <w:rPr>
                <w:rFonts w:ascii="宋体" w:hAnsi="宋体"/>
                <w:sz w:val="2"/>
                <w:szCs w:val="2"/>
              </w:rPr>
            </w:pPr>
            <w:r>
              <w:rPr>
                <w:rFonts w:hint="eastAsia" w:ascii="宋体" w:hAnsi="宋体" w:cs="宋体"/>
                <w:color w:val="000000"/>
                <w:kern w:val="0"/>
                <w:sz w:val="16"/>
                <w:szCs w:val="16"/>
                <w:lang w:bidi="ar"/>
              </w:rPr>
              <w:t>9.74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5109B6E">
            <w:pPr>
              <w:jc w:val="center"/>
              <w:textAlignment w:val="bottom"/>
              <w:rPr>
                <w:rFonts w:ascii="宋体" w:hAnsi="宋体"/>
                <w:sz w:val="2"/>
                <w:szCs w:val="2"/>
              </w:rPr>
            </w:pPr>
            <w:r>
              <w:rPr>
                <w:rFonts w:hint="eastAsia" w:ascii="宋体" w:hAnsi="宋体" w:cs="宋体"/>
                <w:color w:val="000000"/>
                <w:kern w:val="0"/>
                <w:sz w:val="16"/>
                <w:szCs w:val="16"/>
                <w:lang w:bidi="ar"/>
              </w:rPr>
              <w:t>7.26</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927AEB1">
            <w:pPr>
              <w:jc w:val="center"/>
              <w:textAlignment w:val="bottom"/>
              <w:rPr>
                <w:rFonts w:ascii="宋体" w:hAnsi="宋体"/>
                <w:sz w:val="2"/>
                <w:szCs w:val="2"/>
              </w:rPr>
            </w:pPr>
            <w:r>
              <w:rPr>
                <w:rFonts w:hint="eastAsia" w:ascii="宋体" w:hAnsi="宋体" w:cs="宋体"/>
                <w:color w:val="000000"/>
                <w:kern w:val="0"/>
                <w:sz w:val="16"/>
                <w:szCs w:val="16"/>
                <w:lang w:bidi="ar"/>
              </w:rPr>
              <w:t>5.95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2658D27">
            <w:pPr>
              <w:jc w:val="center"/>
              <w:textAlignment w:val="bottom"/>
              <w:rPr>
                <w:rFonts w:ascii="宋体" w:hAnsi="宋体"/>
                <w:sz w:val="2"/>
                <w:szCs w:val="2"/>
              </w:rPr>
            </w:pPr>
            <w:r>
              <w:rPr>
                <w:rFonts w:hint="eastAsia" w:ascii="宋体" w:hAnsi="宋体" w:cs="宋体"/>
                <w:color w:val="000000"/>
                <w:kern w:val="0"/>
                <w:sz w:val="16"/>
                <w:szCs w:val="16"/>
                <w:lang w:bidi="ar"/>
              </w:rPr>
              <w:t>5.53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E4C445">
            <w:pPr>
              <w:jc w:val="center"/>
              <w:textAlignment w:val="bottom"/>
              <w:rPr>
                <w:rFonts w:ascii="宋体" w:hAnsi="宋体"/>
                <w:sz w:val="2"/>
                <w:szCs w:val="2"/>
              </w:rPr>
            </w:pPr>
            <w:r>
              <w:rPr>
                <w:rFonts w:hint="eastAsia" w:ascii="宋体" w:hAnsi="宋体" w:cs="宋体"/>
                <w:color w:val="000000"/>
                <w:kern w:val="0"/>
                <w:sz w:val="16"/>
                <w:szCs w:val="16"/>
                <w:lang w:bidi="ar"/>
              </w:rPr>
              <w:t>5.16</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F4A6042">
            <w:pPr>
              <w:jc w:val="center"/>
              <w:textAlignment w:val="bottom"/>
              <w:rPr>
                <w:rFonts w:ascii="宋体" w:hAnsi="宋体"/>
                <w:sz w:val="2"/>
                <w:szCs w:val="2"/>
              </w:rPr>
            </w:pPr>
            <w:r>
              <w:rPr>
                <w:rFonts w:hint="eastAsia" w:ascii="宋体" w:hAnsi="宋体" w:cs="宋体"/>
                <w:color w:val="000000"/>
                <w:kern w:val="0"/>
                <w:sz w:val="16"/>
                <w:szCs w:val="16"/>
                <w:lang w:bidi="ar"/>
              </w:rPr>
              <w:t>5.47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35BB1F9">
            <w:pPr>
              <w:jc w:val="center"/>
              <w:textAlignment w:val="bottom"/>
              <w:rPr>
                <w:rFonts w:ascii="宋体" w:hAnsi="宋体"/>
                <w:sz w:val="2"/>
                <w:szCs w:val="2"/>
              </w:rPr>
            </w:pPr>
            <w:r>
              <w:rPr>
                <w:rFonts w:hint="eastAsia" w:ascii="宋体" w:hAnsi="宋体" w:cs="宋体"/>
                <w:color w:val="000000"/>
                <w:kern w:val="0"/>
                <w:sz w:val="16"/>
                <w:szCs w:val="16"/>
                <w:lang w:bidi="ar"/>
              </w:rPr>
              <w:t>4.21</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FC769CF">
            <w:pPr>
              <w:jc w:val="center"/>
              <w:textAlignment w:val="bottom"/>
              <w:rPr>
                <w:rFonts w:ascii="宋体" w:hAnsi="宋体"/>
                <w:sz w:val="2"/>
                <w:szCs w:val="2"/>
              </w:rPr>
            </w:pPr>
            <w:r>
              <w:rPr>
                <w:rFonts w:hint="eastAsia" w:ascii="宋体" w:hAnsi="宋体" w:cs="宋体"/>
                <w:color w:val="000000"/>
                <w:kern w:val="0"/>
                <w:sz w:val="16"/>
                <w:szCs w:val="16"/>
                <w:lang w:bidi="ar"/>
              </w:rPr>
              <w:t>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0330790">
            <w:pPr>
              <w:jc w:val="center"/>
              <w:textAlignment w:val="bottom"/>
              <w:rPr>
                <w:rFonts w:ascii="宋体" w:hAnsi="宋体"/>
                <w:sz w:val="2"/>
                <w:szCs w:val="2"/>
              </w:rPr>
            </w:pPr>
            <w:r>
              <w:rPr>
                <w:rFonts w:hint="eastAsia" w:ascii="宋体" w:hAnsi="宋体" w:cs="宋体"/>
                <w:color w:val="000000"/>
                <w:kern w:val="0"/>
                <w:sz w:val="16"/>
                <w:szCs w:val="16"/>
                <w:lang w:bidi="ar"/>
              </w:rPr>
              <w:t>2.32</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B5DF3B">
            <w:pPr>
              <w:jc w:val="center"/>
              <w:textAlignment w:val="bottom"/>
              <w:rPr>
                <w:rFonts w:ascii="宋体" w:hAnsi="宋体"/>
                <w:sz w:val="2"/>
                <w:szCs w:val="2"/>
              </w:rPr>
            </w:pPr>
            <w:r>
              <w:rPr>
                <w:rFonts w:hint="eastAsia" w:ascii="宋体" w:hAnsi="宋体" w:cs="宋体"/>
                <w:color w:val="000000"/>
                <w:kern w:val="0"/>
                <w:sz w:val="16"/>
                <w:szCs w:val="16"/>
                <w:lang w:bidi="ar"/>
              </w:rPr>
              <w:t>1.68</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418B97">
            <w:pPr>
              <w:jc w:val="center"/>
              <w:textAlignment w:val="bottom"/>
              <w:rPr>
                <w:rFonts w:ascii="宋体" w:hAnsi="宋体"/>
                <w:sz w:val="2"/>
                <w:szCs w:val="2"/>
              </w:rPr>
            </w:pPr>
            <w:r>
              <w:rPr>
                <w:rFonts w:hint="eastAsia" w:ascii="宋体" w:hAnsi="宋体" w:cs="宋体"/>
                <w:color w:val="000000"/>
                <w:kern w:val="0"/>
                <w:sz w:val="16"/>
                <w:szCs w:val="16"/>
                <w:lang w:bidi="ar"/>
              </w:rPr>
              <w:t>1.05</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94D953">
            <w:pPr>
              <w:jc w:val="center"/>
              <w:textAlignment w:val="bottom"/>
              <w:rPr>
                <w:rFonts w:ascii="宋体" w:hAnsi="宋体"/>
                <w:sz w:val="2"/>
                <w:szCs w:val="2"/>
              </w:rPr>
            </w:pPr>
            <w:r>
              <w:rPr>
                <w:rFonts w:hint="eastAsia" w:ascii="宋体" w:hAnsi="宋体" w:cs="宋体"/>
                <w:color w:val="000000"/>
                <w:kern w:val="0"/>
                <w:sz w:val="16"/>
                <w:szCs w:val="16"/>
                <w:lang w:bidi="ar"/>
              </w:rPr>
              <w:t>1</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622B35">
            <w:pPr>
              <w:jc w:val="center"/>
              <w:textAlignment w:val="bottom"/>
              <w:rPr>
                <w:rFonts w:ascii="宋体" w:hAnsi="宋体"/>
                <w:sz w:val="2"/>
                <w:szCs w:val="2"/>
              </w:rPr>
            </w:pPr>
            <w:r>
              <w:rPr>
                <w:rFonts w:hint="eastAsia" w:ascii="宋体" w:hAnsi="宋体" w:cs="宋体"/>
                <w:color w:val="000000"/>
                <w:kern w:val="0"/>
                <w:sz w:val="16"/>
                <w:szCs w:val="16"/>
                <w:lang w:bidi="ar"/>
              </w:rPr>
              <w:t>1.89</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2052DD">
            <w:pPr>
              <w:jc w:val="center"/>
              <w:textAlignment w:val="bottom"/>
              <w:rPr>
                <w:rFonts w:ascii="宋体" w:hAnsi="宋体"/>
                <w:sz w:val="2"/>
                <w:szCs w:val="2"/>
              </w:rPr>
            </w:pPr>
            <w:r>
              <w:rPr>
                <w:rFonts w:hint="eastAsia" w:ascii="宋体" w:hAnsi="宋体" w:cs="宋体"/>
                <w:color w:val="000000"/>
                <w:kern w:val="0"/>
                <w:sz w:val="16"/>
                <w:szCs w:val="16"/>
                <w:lang w:bidi="ar"/>
              </w:rPr>
              <w:t>4.26</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E17D47B">
            <w:pPr>
              <w:jc w:val="center"/>
              <w:textAlignment w:val="bottom"/>
              <w:rPr>
                <w:rFonts w:ascii="宋体" w:hAnsi="宋体"/>
                <w:sz w:val="2"/>
                <w:szCs w:val="2"/>
              </w:rPr>
            </w:pPr>
            <w:r>
              <w:rPr>
                <w:rFonts w:hint="eastAsia" w:ascii="宋体" w:hAnsi="宋体" w:cs="宋体"/>
                <w:color w:val="000000"/>
                <w:kern w:val="0"/>
                <w:sz w:val="16"/>
                <w:szCs w:val="16"/>
                <w:lang w:bidi="ar"/>
              </w:rPr>
              <w:t>8.63</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533F579C">
            <w:pPr>
              <w:jc w:val="center"/>
              <w:textAlignment w:val="bottom"/>
              <w:rPr>
                <w:rFonts w:ascii="宋体" w:hAnsi="宋体"/>
                <w:sz w:val="2"/>
                <w:szCs w:val="2"/>
              </w:rPr>
            </w:pPr>
            <w:r>
              <w:rPr>
                <w:rFonts w:hint="eastAsia" w:ascii="宋体" w:hAnsi="宋体" w:cs="宋体"/>
                <w:color w:val="000000"/>
                <w:kern w:val="0"/>
                <w:sz w:val="16"/>
                <w:szCs w:val="16"/>
                <w:lang w:bidi="ar"/>
              </w:rPr>
              <w:t>16.69</w:t>
            </w:r>
          </w:p>
        </w:tc>
      </w:tr>
      <w:tr w14:paraId="0043CE5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64B5C7E7">
            <w:pPr>
              <w:jc w:val="center"/>
              <w:rPr>
                <w:sz w:val="15"/>
                <w:szCs w:val="15"/>
              </w:rPr>
            </w:pPr>
            <w:r>
              <w:rPr>
                <w:sz w:val="15"/>
                <w:szCs w:val="15"/>
              </w:rPr>
              <w:t>03</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C2C83A">
            <w:pPr>
              <w:jc w:val="center"/>
              <w:textAlignment w:val="bottom"/>
              <w:rPr>
                <w:rFonts w:ascii="宋体" w:hAnsi="宋体"/>
                <w:sz w:val="2"/>
                <w:szCs w:val="2"/>
              </w:rPr>
            </w:pPr>
            <w:r>
              <w:rPr>
                <w:rFonts w:hint="eastAsia" w:ascii="宋体" w:hAnsi="宋体" w:cs="宋体"/>
                <w:color w:val="000000"/>
                <w:kern w:val="0"/>
                <w:sz w:val="16"/>
                <w:szCs w:val="16"/>
                <w:lang w:bidi="ar"/>
              </w:rPr>
              <w:t>17.84</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78834B5">
            <w:pPr>
              <w:jc w:val="center"/>
              <w:textAlignment w:val="bottom"/>
              <w:rPr>
                <w:rFonts w:ascii="宋体" w:hAnsi="宋体"/>
                <w:sz w:val="2"/>
                <w:szCs w:val="2"/>
              </w:rPr>
            </w:pPr>
            <w:r>
              <w:rPr>
                <w:rFonts w:hint="eastAsia" w:ascii="宋体" w:hAnsi="宋体" w:cs="宋体"/>
                <w:color w:val="000000"/>
                <w:kern w:val="0"/>
                <w:sz w:val="16"/>
                <w:szCs w:val="16"/>
                <w:lang w:bidi="ar"/>
              </w:rPr>
              <w:t>9.63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5AE336">
            <w:pPr>
              <w:jc w:val="center"/>
              <w:textAlignment w:val="bottom"/>
              <w:rPr>
                <w:rFonts w:ascii="宋体" w:hAnsi="宋体"/>
                <w:sz w:val="2"/>
                <w:szCs w:val="2"/>
              </w:rPr>
            </w:pPr>
            <w:r>
              <w:rPr>
                <w:rFonts w:hint="eastAsia" w:ascii="宋体" w:hAnsi="宋体" w:cs="宋体"/>
                <w:color w:val="000000"/>
                <w:kern w:val="0"/>
                <w:sz w:val="16"/>
                <w:szCs w:val="16"/>
                <w:lang w:bidi="ar"/>
              </w:rPr>
              <w:t>6.68</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CCB7830">
            <w:pPr>
              <w:jc w:val="center"/>
              <w:textAlignment w:val="bottom"/>
              <w:rPr>
                <w:rFonts w:ascii="宋体" w:hAnsi="宋体"/>
                <w:sz w:val="2"/>
                <w:szCs w:val="2"/>
              </w:rPr>
            </w:pPr>
            <w:r>
              <w:rPr>
                <w:rFonts w:hint="eastAsia" w:ascii="宋体" w:hAnsi="宋体" w:cs="宋体"/>
                <w:color w:val="000000"/>
                <w:kern w:val="0"/>
                <w:sz w:val="16"/>
                <w:szCs w:val="16"/>
                <w:lang w:bidi="ar"/>
              </w:rPr>
              <w:t>5.95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4CEC704">
            <w:pPr>
              <w:jc w:val="center"/>
              <w:textAlignment w:val="bottom"/>
              <w:rPr>
                <w:rFonts w:ascii="宋体" w:hAnsi="宋体"/>
                <w:sz w:val="2"/>
                <w:szCs w:val="2"/>
              </w:rPr>
            </w:pPr>
            <w:r>
              <w:rPr>
                <w:rFonts w:hint="eastAsia" w:ascii="宋体" w:hAnsi="宋体" w:cs="宋体"/>
                <w:color w:val="000000"/>
                <w:kern w:val="0"/>
                <w:sz w:val="16"/>
                <w:szCs w:val="16"/>
                <w:lang w:bidi="ar"/>
              </w:rPr>
              <w:t>4.95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BB5CEC7">
            <w:pPr>
              <w:jc w:val="center"/>
              <w:textAlignment w:val="bottom"/>
              <w:rPr>
                <w:rFonts w:ascii="宋体" w:hAnsi="宋体"/>
                <w:sz w:val="2"/>
                <w:szCs w:val="2"/>
              </w:rPr>
            </w:pPr>
            <w:r>
              <w:rPr>
                <w:rFonts w:hint="eastAsia" w:ascii="宋体" w:hAnsi="宋体" w:cs="宋体"/>
                <w:color w:val="000000"/>
                <w:kern w:val="0"/>
                <w:sz w:val="16"/>
                <w:szCs w:val="16"/>
                <w:lang w:bidi="ar"/>
              </w:rPr>
              <w:t>5.53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8CA7878">
            <w:pPr>
              <w:jc w:val="center"/>
              <w:textAlignment w:val="bottom"/>
              <w:rPr>
                <w:rFonts w:ascii="宋体" w:hAnsi="宋体"/>
                <w:sz w:val="2"/>
                <w:szCs w:val="2"/>
              </w:rPr>
            </w:pPr>
            <w:r>
              <w:rPr>
                <w:rFonts w:hint="eastAsia" w:ascii="宋体" w:hAnsi="宋体" w:cs="宋体"/>
                <w:color w:val="000000"/>
                <w:kern w:val="0"/>
                <w:sz w:val="16"/>
                <w:szCs w:val="16"/>
                <w:lang w:bidi="ar"/>
              </w:rPr>
              <w:t>5.16</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A7C54B4">
            <w:pPr>
              <w:jc w:val="center"/>
              <w:textAlignment w:val="bottom"/>
              <w:rPr>
                <w:rFonts w:ascii="宋体" w:hAnsi="宋体"/>
                <w:sz w:val="2"/>
                <w:szCs w:val="2"/>
              </w:rPr>
            </w:pPr>
            <w:r>
              <w:rPr>
                <w:rFonts w:hint="eastAsia" w:ascii="宋体" w:hAnsi="宋体" w:cs="宋体"/>
                <w:color w:val="000000"/>
                <w:kern w:val="0"/>
                <w:sz w:val="16"/>
                <w:szCs w:val="16"/>
                <w:lang w:bidi="ar"/>
              </w:rPr>
              <w:t>4.05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CA77AD">
            <w:pPr>
              <w:jc w:val="center"/>
              <w:textAlignment w:val="bottom"/>
              <w:rPr>
                <w:rFonts w:ascii="宋体" w:hAnsi="宋体"/>
                <w:sz w:val="2"/>
                <w:szCs w:val="2"/>
              </w:rPr>
            </w:pPr>
            <w:r>
              <w:rPr>
                <w:rFonts w:hint="eastAsia" w:ascii="宋体" w:hAnsi="宋体" w:cs="宋体"/>
                <w:color w:val="000000"/>
                <w:kern w:val="0"/>
                <w:sz w:val="16"/>
                <w:szCs w:val="16"/>
                <w:lang w:bidi="ar"/>
              </w:rPr>
              <w:t>4.79</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85DEC1C">
            <w:pPr>
              <w:jc w:val="center"/>
              <w:textAlignment w:val="bottom"/>
              <w:rPr>
                <w:rFonts w:ascii="宋体" w:hAnsi="宋体"/>
                <w:sz w:val="2"/>
                <w:szCs w:val="2"/>
              </w:rPr>
            </w:pPr>
            <w:r>
              <w:rPr>
                <w:rFonts w:hint="eastAsia" w:ascii="宋体" w:hAnsi="宋体" w:cs="宋体"/>
                <w:color w:val="000000"/>
                <w:kern w:val="0"/>
                <w:sz w:val="16"/>
                <w:szCs w:val="16"/>
                <w:lang w:bidi="ar"/>
              </w:rPr>
              <w:t>2.95</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37B3DC">
            <w:pPr>
              <w:jc w:val="center"/>
              <w:textAlignment w:val="bottom"/>
              <w:rPr>
                <w:rFonts w:ascii="宋体" w:hAnsi="宋体"/>
                <w:sz w:val="2"/>
                <w:szCs w:val="2"/>
              </w:rPr>
            </w:pPr>
            <w:r>
              <w:rPr>
                <w:rFonts w:hint="eastAsia" w:ascii="宋体" w:hAnsi="宋体" w:cs="宋体"/>
                <w:color w:val="000000"/>
                <w:kern w:val="0"/>
                <w:sz w:val="16"/>
                <w:szCs w:val="16"/>
                <w:lang w:bidi="ar"/>
              </w:rPr>
              <w:t>2.21</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FBAF8C">
            <w:pPr>
              <w:jc w:val="center"/>
              <w:textAlignment w:val="bottom"/>
              <w:rPr>
                <w:rFonts w:ascii="宋体" w:hAnsi="宋体"/>
                <w:sz w:val="2"/>
                <w:szCs w:val="2"/>
              </w:rPr>
            </w:pPr>
            <w:r>
              <w:rPr>
                <w:rFonts w:hint="eastAsia" w:ascii="宋体" w:hAnsi="宋体" w:cs="宋体"/>
                <w:color w:val="000000"/>
                <w:kern w:val="0"/>
                <w:sz w:val="16"/>
                <w:szCs w:val="16"/>
                <w:lang w:bidi="ar"/>
              </w:rPr>
              <w:t>1.53</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8A89A4">
            <w:pPr>
              <w:jc w:val="center"/>
              <w:textAlignment w:val="bottom"/>
              <w:rPr>
                <w:rFonts w:ascii="宋体" w:hAnsi="宋体"/>
                <w:sz w:val="2"/>
                <w:szCs w:val="2"/>
              </w:rPr>
            </w:pPr>
            <w:r>
              <w:rPr>
                <w:rFonts w:hint="eastAsia" w:ascii="宋体" w:hAnsi="宋体" w:cs="宋体"/>
                <w:color w:val="000000"/>
                <w:kern w:val="0"/>
                <w:sz w:val="16"/>
                <w:szCs w:val="16"/>
                <w:lang w:bidi="ar"/>
              </w:rPr>
              <w:t>1.26</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CF351D">
            <w:pPr>
              <w:jc w:val="center"/>
              <w:textAlignment w:val="bottom"/>
              <w:rPr>
                <w:rFonts w:ascii="宋体" w:hAnsi="宋体"/>
                <w:sz w:val="2"/>
                <w:szCs w:val="2"/>
              </w:rPr>
            </w:pPr>
            <w:r>
              <w:rPr>
                <w:rFonts w:hint="eastAsia" w:ascii="宋体" w:hAnsi="宋体" w:cs="宋体"/>
                <w:color w:val="000000"/>
                <w:kern w:val="0"/>
                <w:sz w:val="16"/>
                <w:szCs w:val="16"/>
                <w:lang w:bidi="ar"/>
              </w:rPr>
              <w:t>1.42</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357FE4">
            <w:pPr>
              <w:jc w:val="center"/>
              <w:textAlignment w:val="bottom"/>
              <w:rPr>
                <w:rFonts w:ascii="宋体" w:hAnsi="宋体"/>
                <w:sz w:val="2"/>
                <w:szCs w:val="2"/>
              </w:rPr>
            </w:pPr>
            <w:r>
              <w:rPr>
                <w:rFonts w:hint="eastAsia" w:ascii="宋体" w:hAnsi="宋体" w:cs="宋体"/>
                <w:color w:val="000000"/>
                <w:kern w:val="0"/>
                <w:sz w:val="16"/>
                <w:szCs w:val="16"/>
                <w:lang w:bidi="ar"/>
              </w:rPr>
              <w:t>4.53</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77805F4">
            <w:pPr>
              <w:jc w:val="center"/>
              <w:textAlignment w:val="bottom"/>
              <w:rPr>
                <w:rFonts w:ascii="宋体" w:hAnsi="宋体"/>
                <w:sz w:val="2"/>
                <w:szCs w:val="2"/>
              </w:rPr>
            </w:pPr>
            <w:r>
              <w:rPr>
                <w:rFonts w:hint="eastAsia" w:ascii="宋体" w:hAnsi="宋体" w:cs="宋体"/>
                <w:color w:val="000000"/>
                <w:kern w:val="0"/>
                <w:sz w:val="16"/>
                <w:szCs w:val="16"/>
                <w:lang w:bidi="ar"/>
              </w:rPr>
              <w:t>8.95</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228916FE">
            <w:pPr>
              <w:jc w:val="center"/>
              <w:textAlignment w:val="bottom"/>
              <w:rPr>
                <w:rFonts w:ascii="宋体" w:hAnsi="宋体"/>
                <w:sz w:val="2"/>
                <w:szCs w:val="2"/>
              </w:rPr>
            </w:pPr>
            <w:r>
              <w:rPr>
                <w:rFonts w:hint="eastAsia" w:ascii="宋体" w:hAnsi="宋体" w:cs="宋体"/>
                <w:color w:val="000000"/>
                <w:kern w:val="0"/>
                <w:sz w:val="16"/>
                <w:szCs w:val="16"/>
                <w:lang w:bidi="ar"/>
              </w:rPr>
              <w:t>12.57</w:t>
            </w:r>
          </w:p>
        </w:tc>
      </w:tr>
      <w:tr w14:paraId="2096CC2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444F9EB2">
            <w:pPr>
              <w:jc w:val="center"/>
              <w:rPr>
                <w:sz w:val="15"/>
                <w:szCs w:val="15"/>
              </w:rPr>
            </w:pPr>
            <w:r>
              <w:rPr>
                <w:sz w:val="15"/>
                <w:szCs w:val="15"/>
              </w:rPr>
              <w:t>04</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D87EA42">
            <w:pPr>
              <w:jc w:val="center"/>
              <w:textAlignment w:val="bottom"/>
              <w:rPr>
                <w:rFonts w:ascii="宋体" w:hAnsi="宋体"/>
                <w:sz w:val="2"/>
                <w:szCs w:val="2"/>
              </w:rPr>
            </w:pPr>
            <w:r>
              <w:rPr>
                <w:rFonts w:hint="eastAsia" w:ascii="宋体" w:hAnsi="宋体" w:cs="宋体"/>
                <w:color w:val="000000"/>
                <w:kern w:val="0"/>
                <w:sz w:val="16"/>
                <w:szCs w:val="16"/>
                <w:lang w:bidi="ar"/>
              </w:rPr>
              <w:t>19</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232B4CE">
            <w:pPr>
              <w:jc w:val="center"/>
              <w:textAlignment w:val="bottom"/>
              <w:rPr>
                <w:rFonts w:ascii="宋体" w:hAnsi="宋体"/>
                <w:sz w:val="2"/>
                <w:szCs w:val="2"/>
              </w:rPr>
            </w:pPr>
            <w:r>
              <w:rPr>
                <w:rFonts w:hint="eastAsia" w:ascii="宋体" w:hAnsi="宋体" w:cs="宋体"/>
                <w:color w:val="000000"/>
                <w:kern w:val="0"/>
                <w:sz w:val="16"/>
                <w:szCs w:val="16"/>
                <w:lang w:bidi="ar"/>
              </w:rPr>
              <w:t>8.79</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4EF99D">
            <w:pPr>
              <w:jc w:val="center"/>
              <w:textAlignment w:val="bottom"/>
              <w:rPr>
                <w:rFonts w:ascii="宋体" w:hAnsi="宋体"/>
                <w:sz w:val="2"/>
                <w:szCs w:val="2"/>
              </w:rPr>
            </w:pPr>
            <w:r>
              <w:rPr>
                <w:rFonts w:hint="eastAsia" w:ascii="宋体" w:hAnsi="宋体" w:cs="宋体"/>
                <w:color w:val="000000"/>
                <w:kern w:val="0"/>
                <w:sz w:val="16"/>
                <w:szCs w:val="16"/>
                <w:lang w:bidi="ar"/>
              </w:rPr>
              <w:t>5.53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6CAA70C">
            <w:pPr>
              <w:jc w:val="center"/>
              <w:textAlignment w:val="bottom"/>
              <w:rPr>
                <w:rFonts w:ascii="宋体" w:hAnsi="宋体"/>
                <w:sz w:val="2"/>
                <w:szCs w:val="2"/>
              </w:rPr>
            </w:pPr>
            <w:r>
              <w:rPr>
                <w:rFonts w:hint="eastAsia" w:ascii="宋体" w:hAnsi="宋体" w:cs="宋体"/>
                <w:color w:val="000000"/>
                <w:kern w:val="0"/>
                <w:sz w:val="16"/>
                <w:szCs w:val="16"/>
                <w:lang w:bidi="ar"/>
              </w:rPr>
              <w:t>6.47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77734E1">
            <w:pPr>
              <w:jc w:val="center"/>
              <w:textAlignment w:val="bottom"/>
              <w:rPr>
                <w:rFonts w:ascii="宋体" w:hAnsi="宋体"/>
                <w:sz w:val="2"/>
                <w:szCs w:val="2"/>
              </w:rPr>
            </w:pPr>
            <w:r>
              <w:rPr>
                <w:rFonts w:hint="eastAsia" w:ascii="宋体" w:hAnsi="宋体" w:cs="宋体"/>
                <w:color w:val="000000"/>
                <w:kern w:val="0"/>
                <w:sz w:val="16"/>
                <w:szCs w:val="16"/>
                <w:lang w:bidi="ar"/>
              </w:rPr>
              <w:t>4.47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3345416">
            <w:pPr>
              <w:jc w:val="center"/>
              <w:textAlignment w:val="bottom"/>
              <w:rPr>
                <w:rFonts w:ascii="宋体" w:hAnsi="宋体"/>
                <w:sz w:val="2"/>
                <w:szCs w:val="2"/>
              </w:rPr>
            </w:pPr>
            <w:r>
              <w:rPr>
                <w:rFonts w:hint="eastAsia" w:ascii="宋体" w:hAnsi="宋体" w:cs="宋体"/>
                <w:color w:val="000000"/>
                <w:kern w:val="0"/>
                <w:sz w:val="16"/>
                <w:szCs w:val="16"/>
                <w:lang w:bidi="ar"/>
              </w:rPr>
              <w:t>5.21</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98A9A3F">
            <w:pPr>
              <w:jc w:val="center"/>
              <w:textAlignment w:val="bottom"/>
              <w:rPr>
                <w:rFonts w:ascii="宋体" w:hAnsi="宋体"/>
                <w:sz w:val="2"/>
                <w:szCs w:val="2"/>
              </w:rPr>
            </w:pPr>
            <w:r>
              <w:rPr>
                <w:rFonts w:hint="eastAsia" w:ascii="宋体" w:hAnsi="宋体" w:cs="宋体"/>
                <w:color w:val="000000"/>
                <w:kern w:val="0"/>
                <w:sz w:val="16"/>
                <w:szCs w:val="16"/>
                <w:lang w:bidi="ar"/>
              </w:rPr>
              <w:t>5.32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4C3CF3">
            <w:pPr>
              <w:jc w:val="center"/>
              <w:textAlignment w:val="bottom"/>
              <w:rPr>
                <w:rFonts w:ascii="宋体" w:hAnsi="宋体"/>
                <w:sz w:val="2"/>
                <w:szCs w:val="2"/>
              </w:rPr>
            </w:pPr>
            <w:r>
              <w:rPr>
                <w:rFonts w:hint="eastAsia" w:ascii="宋体" w:hAnsi="宋体" w:cs="宋体"/>
                <w:color w:val="000000"/>
                <w:kern w:val="0"/>
                <w:sz w:val="16"/>
                <w:szCs w:val="16"/>
                <w:lang w:bidi="ar"/>
              </w:rPr>
              <w:t>5.16</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8CB1CDB">
            <w:pPr>
              <w:jc w:val="center"/>
              <w:textAlignment w:val="bottom"/>
              <w:rPr>
                <w:rFonts w:ascii="宋体" w:hAnsi="宋体"/>
                <w:sz w:val="2"/>
                <w:szCs w:val="2"/>
              </w:rPr>
            </w:pPr>
            <w:r>
              <w:rPr>
                <w:rFonts w:hint="eastAsia" w:ascii="宋体" w:hAnsi="宋体" w:cs="宋体"/>
                <w:color w:val="000000"/>
                <w:kern w:val="0"/>
                <w:sz w:val="16"/>
                <w:szCs w:val="16"/>
                <w:lang w:bidi="ar"/>
              </w:rPr>
              <w:t>4.63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31ECA96">
            <w:pPr>
              <w:jc w:val="center"/>
              <w:textAlignment w:val="bottom"/>
              <w:rPr>
                <w:rFonts w:ascii="宋体" w:hAnsi="宋体"/>
                <w:sz w:val="2"/>
                <w:szCs w:val="2"/>
              </w:rPr>
            </w:pPr>
            <w:r>
              <w:rPr>
                <w:rFonts w:hint="eastAsia" w:ascii="宋体" w:hAnsi="宋体" w:cs="宋体"/>
                <w:color w:val="000000"/>
                <w:kern w:val="0"/>
                <w:sz w:val="16"/>
                <w:szCs w:val="16"/>
                <w:lang w:bidi="ar"/>
              </w:rPr>
              <w:t>3.37</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4EABD8">
            <w:pPr>
              <w:jc w:val="center"/>
              <w:textAlignment w:val="bottom"/>
              <w:rPr>
                <w:rFonts w:ascii="宋体" w:hAnsi="宋体"/>
                <w:sz w:val="2"/>
                <w:szCs w:val="2"/>
              </w:rPr>
            </w:pPr>
            <w:r>
              <w:rPr>
                <w:rFonts w:hint="eastAsia" w:ascii="宋体" w:hAnsi="宋体" w:cs="宋体"/>
                <w:color w:val="000000"/>
                <w:kern w:val="0"/>
                <w:sz w:val="16"/>
                <w:szCs w:val="16"/>
                <w:lang w:bidi="ar"/>
              </w:rPr>
              <w:t>2.32</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233EA8">
            <w:pPr>
              <w:jc w:val="center"/>
              <w:textAlignment w:val="bottom"/>
              <w:rPr>
                <w:rFonts w:ascii="宋体" w:hAnsi="宋体"/>
                <w:sz w:val="2"/>
                <w:szCs w:val="2"/>
              </w:rPr>
            </w:pPr>
            <w:r>
              <w:rPr>
                <w:rFonts w:hint="eastAsia" w:ascii="宋体" w:hAnsi="宋体" w:cs="宋体"/>
                <w:color w:val="000000"/>
                <w:kern w:val="0"/>
                <w:sz w:val="16"/>
                <w:szCs w:val="16"/>
                <w:lang w:bidi="ar"/>
              </w:rPr>
              <w:t>1.74</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278DEB">
            <w:pPr>
              <w:jc w:val="center"/>
              <w:textAlignment w:val="bottom"/>
              <w:rPr>
                <w:rFonts w:ascii="宋体" w:hAnsi="宋体"/>
                <w:sz w:val="2"/>
                <w:szCs w:val="2"/>
              </w:rPr>
            </w:pPr>
            <w:r>
              <w:rPr>
                <w:rFonts w:hint="eastAsia" w:ascii="宋体" w:hAnsi="宋体" w:cs="宋体"/>
                <w:color w:val="000000"/>
                <w:kern w:val="0"/>
                <w:sz w:val="16"/>
                <w:szCs w:val="16"/>
                <w:lang w:bidi="ar"/>
              </w:rPr>
              <w:t>0.79</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7C56E0">
            <w:pPr>
              <w:jc w:val="center"/>
              <w:textAlignment w:val="bottom"/>
              <w:rPr>
                <w:rFonts w:ascii="宋体" w:hAnsi="宋体"/>
                <w:sz w:val="2"/>
                <w:szCs w:val="2"/>
              </w:rPr>
            </w:pPr>
            <w:r>
              <w:rPr>
                <w:rFonts w:hint="eastAsia" w:ascii="宋体" w:hAnsi="宋体" w:cs="宋体"/>
                <w:color w:val="000000"/>
                <w:kern w:val="0"/>
                <w:sz w:val="16"/>
                <w:szCs w:val="16"/>
                <w:lang w:bidi="ar"/>
              </w:rPr>
              <w:t>1.84</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1D9570">
            <w:pPr>
              <w:jc w:val="center"/>
              <w:textAlignment w:val="bottom"/>
              <w:rPr>
                <w:rFonts w:ascii="宋体" w:hAnsi="宋体"/>
                <w:sz w:val="2"/>
                <w:szCs w:val="2"/>
              </w:rPr>
            </w:pPr>
            <w:r>
              <w:rPr>
                <w:rFonts w:hint="eastAsia" w:ascii="宋体" w:hAnsi="宋体" w:cs="宋体"/>
                <w:color w:val="000000"/>
                <w:kern w:val="0"/>
                <w:sz w:val="16"/>
                <w:szCs w:val="16"/>
                <w:lang w:bidi="ar"/>
              </w:rPr>
              <w:t>5.16</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1FA96CB">
            <w:pPr>
              <w:jc w:val="center"/>
              <w:textAlignment w:val="bottom"/>
              <w:rPr>
                <w:rFonts w:ascii="宋体" w:hAnsi="宋体"/>
                <w:sz w:val="2"/>
                <w:szCs w:val="2"/>
              </w:rPr>
            </w:pPr>
            <w:r>
              <w:rPr>
                <w:rFonts w:hint="eastAsia" w:ascii="宋体" w:hAnsi="宋体" w:cs="宋体"/>
                <w:color w:val="000000"/>
                <w:kern w:val="0"/>
                <w:sz w:val="16"/>
                <w:szCs w:val="16"/>
                <w:lang w:bidi="ar"/>
              </w:rPr>
              <w:t>8.95</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4577D0EC">
            <w:pPr>
              <w:jc w:val="center"/>
              <w:textAlignment w:val="bottom"/>
              <w:rPr>
                <w:rFonts w:ascii="宋体" w:hAnsi="宋体"/>
                <w:sz w:val="2"/>
                <w:szCs w:val="2"/>
              </w:rPr>
            </w:pPr>
            <w:r>
              <w:rPr>
                <w:rFonts w:hint="eastAsia" w:ascii="宋体" w:hAnsi="宋体" w:cs="宋体"/>
                <w:color w:val="000000"/>
                <w:kern w:val="0"/>
                <w:sz w:val="16"/>
                <w:szCs w:val="16"/>
                <w:lang w:bidi="ar"/>
              </w:rPr>
              <w:t>11.25</w:t>
            </w:r>
          </w:p>
        </w:tc>
      </w:tr>
      <w:tr w14:paraId="4E7EE56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54227C2F">
            <w:pPr>
              <w:jc w:val="center"/>
              <w:rPr>
                <w:sz w:val="15"/>
                <w:szCs w:val="15"/>
              </w:rPr>
            </w:pPr>
            <w:r>
              <w:rPr>
                <w:sz w:val="15"/>
                <w:szCs w:val="15"/>
              </w:rPr>
              <w:t>05</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A03019F">
            <w:pPr>
              <w:jc w:val="center"/>
              <w:textAlignment w:val="bottom"/>
              <w:rPr>
                <w:rFonts w:ascii="宋体" w:hAnsi="宋体"/>
                <w:sz w:val="2"/>
                <w:szCs w:val="2"/>
              </w:rPr>
            </w:pPr>
            <w:r>
              <w:rPr>
                <w:rFonts w:hint="eastAsia" w:ascii="宋体" w:hAnsi="宋体" w:cs="宋体"/>
                <w:color w:val="000000"/>
                <w:kern w:val="0"/>
                <w:sz w:val="16"/>
                <w:szCs w:val="16"/>
                <w:lang w:bidi="ar"/>
              </w:rPr>
              <w:t>18.32</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06215D6">
            <w:pPr>
              <w:jc w:val="center"/>
              <w:textAlignment w:val="bottom"/>
              <w:rPr>
                <w:rFonts w:ascii="宋体" w:hAnsi="宋体"/>
                <w:sz w:val="2"/>
                <w:szCs w:val="2"/>
              </w:rPr>
            </w:pPr>
            <w:r>
              <w:rPr>
                <w:rFonts w:hint="eastAsia" w:ascii="宋体" w:hAnsi="宋体" w:cs="宋体"/>
                <w:color w:val="000000"/>
                <w:kern w:val="0"/>
                <w:sz w:val="16"/>
                <w:szCs w:val="16"/>
                <w:lang w:bidi="ar"/>
              </w:rPr>
              <w:t>8.79</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DECB437">
            <w:pPr>
              <w:jc w:val="center"/>
              <w:textAlignment w:val="bottom"/>
              <w:rPr>
                <w:rFonts w:ascii="宋体" w:hAnsi="宋体"/>
                <w:sz w:val="2"/>
                <w:szCs w:val="2"/>
              </w:rPr>
            </w:pPr>
            <w:r>
              <w:rPr>
                <w:rFonts w:hint="eastAsia" w:ascii="宋体" w:hAnsi="宋体" w:cs="宋体"/>
                <w:color w:val="000000"/>
                <w:kern w:val="0"/>
                <w:sz w:val="16"/>
                <w:szCs w:val="16"/>
                <w:lang w:bidi="ar"/>
              </w:rPr>
              <w:t>6.58</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CCA9D62">
            <w:pPr>
              <w:jc w:val="center"/>
              <w:textAlignment w:val="bottom"/>
              <w:rPr>
                <w:rFonts w:ascii="宋体" w:hAnsi="宋体"/>
                <w:sz w:val="2"/>
                <w:szCs w:val="2"/>
              </w:rPr>
            </w:pPr>
            <w:r>
              <w:rPr>
                <w:rFonts w:hint="eastAsia" w:ascii="宋体" w:hAnsi="宋体" w:cs="宋体"/>
                <w:color w:val="000000"/>
                <w:kern w:val="0"/>
                <w:sz w:val="16"/>
                <w:szCs w:val="16"/>
                <w:lang w:bidi="ar"/>
              </w:rPr>
              <w:t>5.89</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404BF1A">
            <w:pPr>
              <w:jc w:val="center"/>
              <w:textAlignment w:val="bottom"/>
              <w:rPr>
                <w:rFonts w:ascii="宋体" w:hAnsi="宋体"/>
                <w:sz w:val="2"/>
                <w:szCs w:val="2"/>
              </w:rPr>
            </w:pPr>
            <w:r>
              <w:rPr>
                <w:rFonts w:hint="eastAsia" w:ascii="宋体" w:hAnsi="宋体" w:cs="宋体"/>
                <w:color w:val="000000"/>
                <w:kern w:val="0"/>
                <w:sz w:val="16"/>
                <w:szCs w:val="16"/>
                <w:lang w:bidi="ar"/>
              </w:rPr>
              <w:t>4.95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23FDB8">
            <w:pPr>
              <w:jc w:val="center"/>
              <w:textAlignment w:val="bottom"/>
              <w:rPr>
                <w:rFonts w:ascii="宋体" w:hAnsi="宋体"/>
                <w:sz w:val="2"/>
                <w:szCs w:val="2"/>
              </w:rPr>
            </w:pPr>
            <w:r>
              <w:rPr>
                <w:rFonts w:hint="eastAsia" w:ascii="宋体" w:hAnsi="宋体" w:cs="宋体"/>
                <w:color w:val="000000"/>
                <w:kern w:val="0"/>
                <w:sz w:val="16"/>
                <w:szCs w:val="16"/>
                <w:lang w:bidi="ar"/>
              </w:rPr>
              <w:t>5.32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0C95B4E">
            <w:pPr>
              <w:jc w:val="center"/>
              <w:textAlignment w:val="bottom"/>
              <w:rPr>
                <w:rFonts w:ascii="宋体" w:hAnsi="宋体"/>
                <w:sz w:val="2"/>
                <w:szCs w:val="2"/>
              </w:rPr>
            </w:pPr>
            <w:r>
              <w:rPr>
                <w:rFonts w:hint="eastAsia" w:ascii="宋体" w:hAnsi="宋体" w:cs="宋体"/>
                <w:color w:val="000000"/>
                <w:kern w:val="0"/>
                <w:sz w:val="16"/>
                <w:szCs w:val="16"/>
                <w:lang w:bidi="ar"/>
              </w:rPr>
              <w:t>5.26</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7C0828D">
            <w:pPr>
              <w:jc w:val="center"/>
              <w:textAlignment w:val="bottom"/>
              <w:rPr>
                <w:rFonts w:ascii="宋体" w:hAnsi="宋体"/>
                <w:sz w:val="2"/>
                <w:szCs w:val="2"/>
              </w:rPr>
            </w:pPr>
            <w:r>
              <w:rPr>
                <w:rFonts w:hint="eastAsia" w:ascii="宋体" w:hAnsi="宋体" w:cs="宋体"/>
                <w:color w:val="000000"/>
                <w:kern w:val="0"/>
                <w:sz w:val="16"/>
                <w:szCs w:val="16"/>
                <w:lang w:bidi="ar"/>
              </w:rPr>
              <w:t>5.47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5D0C13">
            <w:pPr>
              <w:jc w:val="center"/>
              <w:textAlignment w:val="bottom"/>
              <w:rPr>
                <w:rFonts w:ascii="宋体" w:hAnsi="宋体"/>
                <w:sz w:val="2"/>
                <w:szCs w:val="2"/>
              </w:rPr>
            </w:pPr>
            <w:r>
              <w:rPr>
                <w:rFonts w:hint="eastAsia" w:ascii="宋体" w:hAnsi="宋体" w:cs="宋体"/>
                <w:color w:val="000000"/>
                <w:kern w:val="0"/>
                <w:sz w:val="16"/>
                <w:szCs w:val="16"/>
                <w:lang w:bidi="ar"/>
              </w:rPr>
              <w:t>5.37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FA51F3A">
            <w:pPr>
              <w:jc w:val="center"/>
              <w:textAlignment w:val="bottom"/>
              <w:rPr>
                <w:rFonts w:ascii="宋体" w:hAnsi="宋体"/>
                <w:sz w:val="2"/>
                <w:szCs w:val="2"/>
              </w:rPr>
            </w:pPr>
            <w:r>
              <w:rPr>
                <w:rFonts w:hint="eastAsia" w:ascii="宋体" w:hAnsi="宋体" w:cs="宋体"/>
                <w:color w:val="000000"/>
                <w:kern w:val="0"/>
                <w:sz w:val="16"/>
                <w:szCs w:val="16"/>
                <w:lang w:bidi="ar"/>
              </w:rPr>
              <w:t>3.47</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ABC43E">
            <w:pPr>
              <w:jc w:val="center"/>
              <w:textAlignment w:val="bottom"/>
              <w:rPr>
                <w:rFonts w:ascii="宋体" w:hAnsi="宋体"/>
                <w:sz w:val="2"/>
                <w:szCs w:val="2"/>
              </w:rPr>
            </w:pPr>
            <w:r>
              <w:rPr>
                <w:rFonts w:hint="eastAsia" w:ascii="宋体" w:hAnsi="宋体" w:cs="宋体"/>
                <w:color w:val="000000"/>
                <w:kern w:val="0"/>
                <w:sz w:val="16"/>
                <w:szCs w:val="16"/>
                <w:lang w:bidi="ar"/>
              </w:rPr>
              <w:t>2.58</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946600">
            <w:pPr>
              <w:jc w:val="center"/>
              <w:textAlignment w:val="bottom"/>
              <w:rPr>
                <w:rFonts w:ascii="宋体" w:hAnsi="宋体"/>
                <w:sz w:val="2"/>
                <w:szCs w:val="2"/>
              </w:rPr>
            </w:pPr>
            <w:r>
              <w:rPr>
                <w:rFonts w:hint="eastAsia" w:ascii="宋体" w:hAnsi="宋体" w:cs="宋体"/>
                <w:color w:val="000000"/>
                <w:kern w:val="0"/>
                <w:sz w:val="16"/>
                <w:szCs w:val="16"/>
                <w:lang w:bidi="ar"/>
              </w:rPr>
              <w:t>1.26</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19E1EB">
            <w:pPr>
              <w:jc w:val="center"/>
              <w:textAlignment w:val="bottom"/>
              <w:rPr>
                <w:rFonts w:ascii="宋体" w:hAnsi="宋体"/>
                <w:sz w:val="2"/>
                <w:szCs w:val="2"/>
              </w:rPr>
            </w:pPr>
            <w:r>
              <w:rPr>
                <w:rFonts w:hint="eastAsia" w:ascii="宋体" w:hAnsi="宋体" w:cs="宋体"/>
                <w:color w:val="000000"/>
                <w:kern w:val="0"/>
                <w:sz w:val="16"/>
                <w:szCs w:val="16"/>
                <w:lang w:bidi="ar"/>
              </w:rPr>
              <w:t>1.16</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FCDEFF">
            <w:pPr>
              <w:jc w:val="center"/>
              <w:textAlignment w:val="bottom"/>
              <w:rPr>
                <w:rFonts w:ascii="宋体" w:hAnsi="宋体"/>
                <w:sz w:val="2"/>
                <w:szCs w:val="2"/>
              </w:rPr>
            </w:pPr>
            <w:r>
              <w:rPr>
                <w:rFonts w:hint="eastAsia" w:ascii="宋体" w:hAnsi="宋体" w:cs="宋体"/>
                <w:color w:val="000000"/>
                <w:kern w:val="0"/>
                <w:sz w:val="16"/>
                <w:szCs w:val="16"/>
                <w:lang w:bidi="ar"/>
              </w:rPr>
              <w:t>2.37</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03A264">
            <w:pPr>
              <w:jc w:val="center"/>
              <w:textAlignment w:val="bottom"/>
              <w:rPr>
                <w:rFonts w:ascii="宋体" w:hAnsi="宋体"/>
                <w:sz w:val="2"/>
                <w:szCs w:val="2"/>
              </w:rPr>
            </w:pPr>
            <w:r>
              <w:rPr>
                <w:rFonts w:hint="eastAsia" w:ascii="宋体" w:hAnsi="宋体" w:cs="宋体"/>
                <w:color w:val="000000"/>
                <w:kern w:val="0"/>
                <w:sz w:val="16"/>
                <w:szCs w:val="16"/>
                <w:lang w:bidi="ar"/>
              </w:rPr>
              <w:t>5.21</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579DAA7">
            <w:pPr>
              <w:jc w:val="center"/>
              <w:textAlignment w:val="bottom"/>
              <w:rPr>
                <w:rFonts w:ascii="宋体" w:hAnsi="宋体"/>
                <w:sz w:val="2"/>
                <w:szCs w:val="2"/>
              </w:rPr>
            </w:pPr>
            <w:r>
              <w:rPr>
                <w:rFonts w:hint="eastAsia" w:ascii="宋体" w:hAnsi="宋体" w:cs="宋体"/>
                <w:color w:val="000000"/>
                <w:kern w:val="0"/>
                <w:sz w:val="16"/>
                <w:szCs w:val="16"/>
                <w:lang w:bidi="ar"/>
              </w:rPr>
              <w:t>8.11</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3EC60A1E">
            <w:pPr>
              <w:jc w:val="center"/>
              <w:textAlignment w:val="bottom"/>
              <w:rPr>
                <w:rFonts w:ascii="宋体" w:hAnsi="宋体"/>
                <w:sz w:val="2"/>
                <w:szCs w:val="2"/>
              </w:rPr>
            </w:pPr>
            <w:r>
              <w:rPr>
                <w:rFonts w:hint="eastAsia" w:ascii="宋体" w:hAnsi="宋体" w:cs="宋体"/>
                <w:color w:val="000000"/>
                <w:kern w:val="0"/>
                <w:sz w:val="16"/>
                <w:szCs w:val="16"/>
                <w:lang w:bidi="ar"/>
              </w:rPr>
              <w:t>9.89</w:t>
            </w:r>
          </w:p>
        </w:tc>
      </w:tr>
      <w:tr w14:paraId="6F5C7DA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7532BB30">
            <w:pPr>
              <w:jc w:val="center"/>
              <w:rPr>
                <w:sz w:val="15"/>
                <w:szCs w:val="15"/>
              </w:rPr>
            </w:pPr>
            <w:r>
              <w:rPr>
                <w:sz w:val="15"/>
                <w:szCs w:val="15"/>
              </w:rPr>
              <w:t>06</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644116E">
            <w:pPr>
              <w:jc w:val="center"/>
              <w:textAlignment w:val="bottom"/>
              <w:rPr>
                <w:rFonts w:ascii="宋体" w:hAnsi="宋体"/>
                <w:sz w:val="2"/>
                <w:szCs w:val="2"/>
              </w:rPr>
            </w:pPr>
            <w:r>
              <w:rPr>
                <w:rFonts w:hint="eastAsia" w:ascii="宋体" w:hAnsi="宋体" w:cs="宋体"/>
                <w:color w:val="000000"/>
                <w:kern w:val="0"/>
                <w:sz w:val="16"/>
                <w:szCs w:val="16"/>
                <w:lang w:bidi="ar"/>
              </w:rPr>
              <w:t>16.94</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C5D7F80">
            <w:pPr>
              <w:jc w:val="center"/>
              <w:textAlignment w:val="bottom"/>
              <w:rPr>
                <w:rFonts w:ascii="宋体" w:hAnsi="宋体"/>
                <w:sz w:val="2"/>
                <w:szCs w:val="2"/>
              </w:rPr>
            </w:pPr>
            <w:r>
              <w:rPr>
                <w:rFonts w:hint="eastAsia" w:ascii="宋体" w:hAnsi="宋体" w:cs="宋体"/>
                <w:color w:val="000000"/>
                <w:kern w:val="0"/>
                <w:sz w:val="16"/>
                <w:szCs w:val="16"/>
                <w:lang w:bidi="ar"/>
              </w:rPr>
              <w:t>7.83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9F149D5">
            <w:pPr>
              <w:jc w:val="center"/>
              <w:textAlignment w:val="bottom"/>
              <w:rPr>
                <w:rFonts w:ascii="宋体" w:hAnsi="宋体"/>
                <w:sz w:val="2"/>
                <w:szCs w:val="2"/>
              </w:rPr>
            </w:pPr>
            <w:r>
              <w:rPr>
                <w:rFonts w:hint="eastAsia" w:ascii="宋体" w:hAnsi="宋体" w:cs="宋体"/>
                <w:color w:val="000000"/>
                <w:kern w:val="0"/>
                <w:sz w:val="16"/>
                <w:szCs w:val="16"/>
                <w:lang w:bidi="ar"/>
              </w:rPr>
              <w:t>5.44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8AA65CB">
            <w:pPr>
              <w:jc w:val="center"/>
              <w:textAlignment w:val="bottom"/>
              <w:rPr>
                <w:rFonts w:ascii="宋体" w:hAnsi="宋体"/>
                <w:sz w:val="2"/>
                <w:szCs w:val="2"/>
              </w:rPr>
            </w:pPr>
            <w:r>
              <w:rPr>
                <w:rFonts w:hint="eastAsia" w:ascii="宋体" w:hAnsi="宋体" w:cs="宋体"/>
                <w:color w:val="000000"/>
                <w:kern w:val="0"/>
                <w:sz w:val="16"/>
                <w:szCs w:val="16"/>
                <w:lang w:bidi="ar"/>
              </w:rPr>
              <w:t>5.22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C0FE86C">
            <w:pPr>
              <w:jc w:val="center"/>
              <w:textAlignment w:val="bottom"/>
              <w:rPr>
                <w:rFonts w:ascii="宋体" w:hAnsi="宋体"/>
                <w:sz w:val="2"/>
                <w:szCs w:val="2"/>
              </w:rPr>
            </w:pPr>
            <w:r>
              <w:rPr>
                <w:rFonts w:hint="eastAsia" w:ascii="宋体" w:hAnsi="宋体" w:cs="宋体"/>
                <w:color w:val="000000"/>
                <w:kern w:val="0"/>
                <w:sz w:val="16"/>
                <w:szCs w:val="16"/>
                <w:lang w:bidi="ar"/>
              </w:rPr>
              <w:t>4.67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954629B">
            <w:pPr>
              <w:jc w:val="center"/>
              <w:textAlignment w:val="bottom"/>
              <w:rPr>
                <w:rFonts w:ascii="宋体" w:hAnsi="宋体"/>
                <w:sz w:val="2"/>
                <w:szCs w:val="2"/>
              </w:rPr>
            </w:pPr>
            <w:r>
              <w:rPr>
                <w:rFonts w:hint="eastAsia" w:ascii="宋体" w:hAnsi="宋体" w:cs="宋体"/>
                <w:color w:val="000000"/>
                <w:kern w:val="0"/>
                <w:sz w:val="16"/>
                <w:szCs w:val="16"/>
                <w:lang w:bidi="ar"/>
              </w:rPr>
              <w:t>5.44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557B94F">
            <w:pPr>
              <w:jc w:val="center"/>
              <w:textAlignment w:val="bottom"/>
              <w:rPr>
                <w:rFonts w:ascii="宋体" w:hAnsi="宋体"/>
                <w:sz w:val="2"/>
                <w:szCs w:val="2"/>
              </w:rPr>
            </w:pPr>
            <w:r>
              <w:rPr>
                <w:rFonts w:hint="eastAsia" w:ascii="宋体" w:hAnsi="宋体" w:cs="宋体"/>
                <w:color w:val="000000"/>
                <w:kern w:val="0"/>
                <w:sz w:val="16"/>
                <w:szCs w:val="16"/>
                <w:lang w:bidi="ar"/>
              </w:rPr>
              <w:t>5.83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16D0634">
            <w:pPr>
              <w:jc w:val="center"/>
              <w:textAlignment w:val="bottom"/>
              <w:rPr>
                <w:rFonts w:ascii="宋体" w:hAnsi="宋体"/>
                <w:sz w:val="2"/>
                <w:szCs w:val="2"/>
              </w:rPr>
            </w:pPr>
            <w:r>
              <w:rPr>
                <w:rFonts w:hint="eastAsia" w:ascii="宋体" w:hAnsi="宋体" w:cs="宋体"/>
                <w:color w:val="000000"/>
                <w:kern w:val="0"/>
                <w:sz w:val="16"/>
                <w:szCs w:val="16"/>
                <w:lang w:bidi="ar"/>
              </w:rPr>
              <w:t>5.61</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E93F86A">
            <w:pPr>
              <w:jc w:val="center"/>
              <w:textAlignment w:val="bottom"/>
              <w:rPr>
                <w:rFonts w:ascii="宋体" w:hAnsi="宋体"/>
                <w:sz w:val="2"/>
                <w:szCs w:val="2"/>
              </w:rPr>
            </w:pPr>
            <w:r>
              <w:rPr>
                <w:rFonts w:hint="eastAsia" w:ascii="宋体" w:hAnsi="宋体" w:cs="宋体"/>
                <w:color w:val="000000"/>
                <w:kern w:val="0"/>
                <w:sz w:val="16"/>
                <w:szCs w:val="16"/>
                <w:lang w:bidi="ar"/>
              </w:rPr>
              <w:t>4.78</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DAE00B5">
            <w:pPr>
              <w:jc w:val="center"/>
              <w:textAlignment w:val="bottom"/>
              <w:rPr>
                <w:rFonts w:ascii="宋体" w:hAnsi="宋体"/>
                <w:sz w:val="2"/>
                <w:szCs w:val="2"/>
              </w:rPr>
            </w:pPr>
            <w:r>
              <w:rPr>
                <w:rFonts w:hint="eastAsia" w:ascii="宋体" w:hAnsi="宋体" w:cs="宋体"/>
                <w:color w:val="000000"/>
                <w:kern w:val="0"/>
                <w:sz w:val="16"/>
                <w:szCs w:val="16"/>
                <w:lang w:bidi="ar"/>
              </w:rPr>
              <w:t>4.78</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5DDF84">
            <w:pPr>
              <w:jc w:val="center"/>
              <w:textAlignment w:val="bottom"/>
              <w:rPr>
                <w:rFonts w:ascii="宋体" w:hAnsi="宋体"/>
                <w:sz w:val="2"/>
                <w:szCs w:val="2"/>
              </w:rPr>
            </w:pPr>
            <w:r>
              <w:rPr>
                <w:rFonts w:hint="eastAsia" w:ascii="宋体" w:hAnsi="宋体" w:cs="宋体"/>
                <w:color w:val="000000"/>
                <w:kern w:val="0"/>
                <w:sz w:val="16"/>
                <w:szCs w:val="16"/>
                <w:lang w:bidi="ar"/>
              </w:rPr>
              <w:t>3.06</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54BAE6">
            <w:pPr>
              <w:jc w:val="center"/>
              <w:textAlignment w:val="bottom"/>
              <w:rPr>
                <w:rFonts w:ascii="宋体" w:hAnsi="宋体"/>
                <w:sz w:val="2"/>
                <w:szCs w:val="2"/>
              </w:rPr>
            </w:pPr>
            <w:r>
              <w:rPr>
                <w:rFonts w:hint="eastAsia" w:ascii="宋体" w:hAnsi="宋体" w:cs="宋体"/>
                <w:color w:val="000000"/>
                <w:kern w:val="0"/>
                <w:sz w:val="16"/>
                <w:szCs w:val="16"/>
                <w:lang w:bidi="ar"/>
              </w:rPr>
              <w:t>2.22</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92CB45">
            <w:pPr>
              <w:jc w:val="center"/>
              <w:textAlignment w:val="bottom"/>
              <w:rPr>
                <w:rFonts w:ascii="宋体" w:hAnsi="宋体"/>
                <w:sz w:val="2"/>
                <w:szCs w:val="2"/>
              </w:rPr>
            </w:pPr>
            <w:r>
              <w:rPr>
                <w:rFonts w:hint="eastAsia" w:ascii="宋体" w:hAnsi="宋体" w:cs="宋体"/>
                <w:color w:val="000000"/>
                <w:kern w:val="0"/>
                <w:sz w:val="16"/>
                <w:szCs w:val="16"/>
                <w:lang w:bidi="ar"/>
              </w:rPr>
              <w:t>1.61</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8CD502">
            <w:pPr>
              <w:jc w:val="center"/>
              <w:textAlignment w:val="bottom"/>
              <w:rPr>
                <w:rFonts w:ascii="宋体" w:hAnsi="宋体"/>
                <w:sz w:val="2"/>
                <w:szCs w:val="2"/>
              </w:rPr>
            </w:pPr>
            <w:r>
              <w:rPr>
                <w:rFonts w:hint="eastAsia" w:ascii="宋体" w:hAnsi="宋体" w:cs="宋体"/>
                <w:color w:val="000000"/>
                <w:kern w:val="0"/>
                <w:sz w:val="16"/>
                <w:szCs w:val="16"/>
                <w:lang w:bidi="ar"/>
              </w:rPr>
              <w:t>2.33</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D47762">
            <w:pPr>
              <w:jc w:val="center"/>
              <w:textAlignment w:val="bottom"/>
              <w:rPr>
                <w:rFonts w:ascii="宋体" w:hAnsi="宋体"/>
                <w:sz w:val="2"/>
                <w:szCs w:val="2"/>
              </w:rPr>
            </w:pPr>
            <w:r>
              <w:rPr>
                <w:rFonts w:hint="eastAsia" w:ascii="宋体" w:hAnsi="宋体" w:cs="宋体"/>
                <w:color w:val="000000"/>
                <w:kern w:val="0"/>
                <w:sz w:val="16"/>
                <w:szCs w:val="16"/>
                <w:lang w:bidi="ar"/>
              </w:rPr>
              <w:t>5.11</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4F4B348">
            <w:pPr>
              <w:jc w:val="center"/>
              <w:textAlignment w:val="bottom"/>
              <w:rPr>
                <w:rFonts w:ascii="宋体" w:hAnsi="宋体"/>
                <w:sz w:val="2"/>
                <w:szCs w:val="2"/>
              </w:rPr>
            </w:pPr>
            <w:r>
              <w:rPr>
                <w:rFonts w:hint="eastAsia" w:ascii="宋体" w:hAnsi="宋体" w:cs="宋体"/>
                <w:color w:val="000000"/>
                <w:kern w:val="0"/>
                <w:sz w:val="16"/>
                <w:szCs w:val="16"/>
                <w:lang w:bidi="ar"/>
              </w:rPr>
              <w:t>9.17</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1A8EB257">
            <w:pPr>
              <w:jc w:val="center"/>
              <w:textAlignment w:val="bottom"/>
              <w:rPr>
                <w:rFonts w:ascii="宋体" w:hAnsi="宋体"/>
                <w:sz w:val="2"/>
                <w:szCs w:val="2"/>
              </w:rPr>
            </w:pPr>
            <w:r>
              <w:rPr>
                <w:rFonts w:hint="eastAsia" w:ascii="宋体" w:hAnsi="宋体" w:cs="宋体"/>
                <w:color w:val="000000"/>
                <w:kern w:val="0"/>
                <w:sz w:val="16"/>
                <w:szCs w:val="16"/>
                <w:lang w:bidi="ar"/>
              </w:rPr>
              <w:t>9.96</w:t>
            </w:r>
          </w:p>
        </w:tc>
      </w:tr>
      <w:tr w14:paraId="1155D51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4A4C9B60">
            <w:pPr>
              <w:jc w:val="center"/>
              <w:rPr>
                <w:sz w:val="15"/>
                <w:szCs w:val="15"/>
              </w:rPr>
            </w:pPr>
            <w:r>
              <w:rPr>
                <w:sz w:val="15"/>
                <w:szCs w:val="15"/>
              </w:rPr>
              <w:t>07</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F17E86">
            <w:pPr>
              <w:jc w:val="center"/>
              <w:textAlignment w:val="bottom"/>
              <w:rPr>
                <w:rFonts w:ascii="宋体" w:hAnsi="宋体"/>
                <w:sz w:val="2"/>
                <w:szCs w:val="2"/>
              </w:rPr>
            </w:pPr>
            <w:r>
              <w:rPr>
                <w:rFonts w:hint="eastAsia" w:ascii="宋体" w:hAnsi="宋体" w:cs="宋体"/>
                <w:color w:val="000000"/>
                <w:kern w:val="0"/>
                <w:sz w:val="16"/>
                <w:szCs w:val="16"/>
                <w:lang w:bidi="ar"/>
              </w:rPr>
              <w:t>19.42</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68FD3EB">
            <w:pPr>
              <w:jc w:val="center"/>
              <w:textAlignment w:val="bottom"/>
              <w:rPr>
                <w:rFonts w:ascii="宋体" w:hAnsi="宋体"/>
                <w:sz w:val="2"/>
                <w:szCs w:val="2"/>
              </w:rPr>
            </w:pPr>
            <w:r>
              <w:rPr>
                <w:rFonts w:hint="eastAsia" w:ascii="宋体" w:hAnsi="宋体" w:cs="宋体"/>
                <w:color w:val="000000"/>
                <w:kern w:val="0"/>
                <w:sz w:val="16"/>
                <w:szCs w:val="16"/>
                <w:lang w:bidi="ar"/>
              </w:rPr>
              <w:t>7.37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6C18DF3">
            <w:pPr>
              <w:jc w:val="center"/>
              <w:textAlignment w:val="bottom"/>
              <w:rPr>
                <w:rFonts w:ascii="宋体" w:hAnsi="宋体"/>
                <w:sz w:val="2"/>
                <w:szCs w:val="2"/>
              </w:rPr>
            </w:pPr>
            <w:r>
              <w:rPr>
                <w:rFonts w:hint="eastAsia" w:ascii="宋体" w:hAnsi="宋体" w:cs="宋体"/>
                <w:color w:val="000000"/>
                <w:kern w:val="0"/>
                <w:sz w:val="16"/>
                <w:szCs w:val="16"/>
                <w:lang w:bidi="ar"/>
              </w:rPr>
              <w:t>6.53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A6F8A3A">
            <w:pPr>
              <w:jc w:val="center"/>
              <w:textAlignment w:val="bottom"/>
              <w:rPr>
                <w:rFonts w:ascii="宋体" w:hAnsi="宋体"/>
                <w:sz w:val="2"/>
                <w:szCs w:val="2"/>
              </w:rPr>
            </w:pPr>
            <w:r>
              <w:rPr>
                <w:rFonts w:hint="eastAsia" w:ascii="宋体" w:hAnsi="宋体" w:cs="宋体"/>
                <w:color w:val="000000"/>
                <w:kern w:val="0"/>
                <w:sz w:val="16"/>
                <w:szCs w:val="16"/>
                <w:lang w:bidi="ar"/>
              </w:rPr>
              <w:t>6.42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416C2F1">
            <w:pPr>
              <w:jc w:val="center"/>
              <w:textAlignment w:val="bottom"/>
              <w:rPr>
                <w:rFonts w:ascii="宋体" w:hAnsi="宋体"/>
                <w:sz w:val="2"/>
                <w:szCs w:val="2"/>
              </w:rPr>
            </w:pPr>
            <w:r>
              <w:rPr>
                <w:rFonts w:hint="eastAsia" w:ascii="宋体" w:hAnsi="宋体" w:cs="宋体"/>
                <w:color w:val="000000"/>
                <w:kern w:val="0"/>
                <w:sz w:val="16"/>
                <w:szCs w:val="16"/>
                <w:lang w:bidi="ar"/>
              </w:rPr>
              <w:t>5.58</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841524B">
            <w:pPr>
              <w:jc w:val="center"/>
              <w:textAlignment w:val="bottom"/>
              <w:rPr>
                <w:rFonts w:ascii="宋体" w:hAnsi="宋体"/>
                <w:sz w:val="2"/>
                <w:szCs w:val="2"/>
              </w:rPr>
            </w:pPr>
            <w:r>
              <w:rPr>
                <w:rFonts w:hint="eastAsia" w:ascii="宋体" w:hAnsi="宋体" w:cs="宋体"/>
                <w:color w:val="000000"/>
                <w:kern w:val="0"/>
                <w:sz w:val="16"/>
                <w:szCs w:val="16"/>
                <w:lang w:bidi="ar"/>
              </w:rPr>
              <w:t>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CFEF0AB">
            <w:pPr>
              <w:jc w:val="center"/>
              <w:textAlignment w:val="bottom"/>
              <w:rPr>
                <w:rFonts w:ascii="宋体" w:hAnsi="宋体"/>
                <w:sz w:val="2"/>
                <w:szCs w:val="2"/>
              </w:rPr>
            </w:pPr>
            <w:r>
              <w:rPr>
                <w:rFonts w:hint="eastAsia" w:ascii="宋体" w:hAnsi="宋体" w:cs="宋体"/>
                <w:color w:val="000000"/>
                <w:kern w:val="0"/>
                <w:sz w:val="16"/>
                <w:szCs w:val="16"/>
                <w:lang w:bidi="ar"/>
              </w:rPr>
              <w:t>4.63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B63BFD6">
            <w:pPr>
              <w:jc w:val="center"/>
              <w:textAlignment w:val="bottom"/>
              <w:rPr>
                <w:rFonts w:ascii="宋体" w:hAnsi="宋体"/>
                <w:sz w:val="2"/>
                <w:szCs w:val="2"/>
              </w:rPr>
            </w:pPr>
            <w:r>
              <w:rPr>
                <w:rFonts w:hint="eastAsia" w:ascii="宋体" w:hAnsi="宋体" w:cs="宋体"/>
                <w:color w:val="000000"/>
                <w:kern w:val="0"/>
                <w:sz w:val="16"/>
                <w:szCs w:val="16"/>
                <w:lang w:bidi="ar"/>
              </w:rPr>
              <w:t>4.53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CC36E5A">
            <w:pPr>
              <w:jc w:val="center"/>
              <w:textAlignment w:val="bottom"/>
              <w:rPr>
                <w:rFonts w:ascii="宋体" w:hAnsi="宋体"/>
                <w:sz w:val="2"/>
                <w:szCs w:val="2"/>
              </w:rPr>
            </w:pPr>
            <w:r>
              <w:rPr>
                <w:rFonts w:hint="eastAsia" w:ascii="宋体" w:hAnsi="宋体" w:cs="宋体"/>
                <w:color w:val="000000"/>
                <w:kern w:val="0"/>
                <w:sz w:val="16"/>
                <w:szCs w:val="16"/>
                <w:lang w:bidi="ar"/>
              </w:rPr>
              <w:t>4.11</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06D44F8">
            <w:pPr>
              <w:jc w:val="center"/>
              <w:textAlignment w:val="bottom"/>
              <w:rPr>
                <w:rFonts w:ascii="宋体" w:hAnsi="宋体"/>
                <w:sz w:val="2"/>
                <w:szCs w:val="2"/>
              </w:rPr>
            </w:pPr>
            <w:r>
              <w:rPr>
                <w:rFonts w:hint="eastAsia" w:ascii="宋体" w:hAnsi="宋体" w:cs="宋体"/>
                <w:color w:val="000000"/>
                <w:kern w:val="0"/>
                <w:sz w:val="16"/>
                <w:szCs w:val="16"/>
                <w:lang w:bidi="ar"/>
              </w:rPr>
              <w:t>2.95</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FBA281">
            <w:pPr>
              <w:jc w:val="center"/>
              <w:textAlignment w:val="bottom"/>
              <w:rPr>
                <w:rFonts w:ascii="宋体" w:hAnsi="宋体"/>
                <w:sz w:val="2"/>
                <w:szCs w:val="2"/>
              </w:rPr>
            </w:pPr>
            <w:r>
              <w:rPr>
                <w:rFonts w:hint="eastAsia" w:ascii="宋体" w:hAnsi="宋体" w:cs="宋体"/>
                <w:color w:val="000000"/>
                <w:kern w:val="0"/>
                <w:sz w:val="16"/>
                <w:szCs w:val="16"/>
                <w:lang w:bidi="ar"/>
              </w:rPr>
              <w:t>2.58</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96027C">
            <w:pPr>
              <w:jc w:val="center"/>
              <w:textAlignment w:val="bottom"/>
              <w:rPr>
                <w:rFonts w:ascii="宋体" w:hAnsi="宋体"/>
                <w:sz w:val="2"/>
                <w:szCs w:val="2"/>
              </w:rPr>
            </w:pPr>
            <w:r>
              <w:rPr>
                <w:rFonts w:hint="eastAsia" w:ascii="宋体" w:hAnsi="宋体" w:cs="宋体"/>
                <w:color w:val="000000"/>
                <w:kern w:val="0"/>
                <w:sz w:val="16"/>
                <w:szCs w:val="16"/>
                <w:lang w:bidi="ar"/>
              </w:rPr>
              <w:t>1.68</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EA1DCC">
            <w:pPr>
              <w:jc w:val="center"/>
              <w:textAlignment w:val="bottom"/>
              <w:rPr>
                <w:rFonts w:ascii="宋体" w:hAnsi="宋体"/>
                <w:sz w:val="2"/>
                <w:szCs w:val="2"/>
              </w:rPr>
            </w:pPr>
            <w:r>
              <w:rPr>
                <w:rFonts w:hint="eastAsia" w:ascii="宋体" w:hAnsi="宋体" w:cs="宋体"/>
                <w:color w:val="000000"/>
                <w:kern w:val="0"/>
                <w:sz w:val="16"/>
                <w:szCs w:val="16"/>
                <w:lang w:bidi="ar"/>
              </w:rPr>
              <w:t>1.53</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85F148">
            <w:pPr>
              <w:jc w:val="center"/>
              <w:textAlignment w:val="bottom"/>
              <w:rPr>
                <w:rFonts w:ascii="宋体" w:hAnsi="宋体"/>
                <w:sz w:val="2"/>
                <w:szCs w:val="2"/>
              </w:rPr>
            </w:pPr>
            <w:r>
              <w:rPr>
                <w:rFonts w:hint="eastAsia" w:ascii="宋体" w:hAnsi="宋体" w:cs="宋体"/>
                <w:color w:val="000000"/>
                <w:kern w:val="0"/>
                <w:sz w:val="16"/>
                <w:szCs w:val="16"/>
                <w:lang w:bidi="ar"/>
              </w:rPr>
              <w:t>2</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86064A">
            <w:pPr>
              <w:jc w:val="center"/>
              <w:textAlignment w:val="bottom"/>
              <w:rPr>
                <w:rFonts w:ascii="宋体" w:hAnsi="宋体"/>
                <w:sz w:val="2"/>
                <w:szCs w:val="2"/>
              </w:rPr>
            </w:pPr>
            <w:r>
              <w:rPr>
                <w:rFonts w:hint="eastAsia" w:ascii="宋体" w:hAnsi="宋体" w:cs="宋体"/>
                <w:color w:val="000000"/>
                <w:kern w:val="0"/>
                <w:sz w:val="16"/>
                <w:szCs w:val="16"/>
                <w:lang w:bidi="ar"/>
              </w:rPr>
              <w:t>6.26</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4AC0205">
            <w:pPr>
              <w:jc w:val="center"/>
              <w:textAlignment w:val="bottom"/>
              <w:rPr>
                <w:rFonts w:ascii="宋体" w:hAnsi="宋体"/>
                <w:sz w:val="2"/>
                <w:szCs w:val="2"/>
              </w:rPr>
            </w:pPr>
            <w:r>
              <w:rPr>
                <w:rFonts w:hint="eastAsia" w:ascii="宋体" w:hAnsi="宋体" w:cs="宋体"/>
                <w:color w:val="000000"/>
                <w:kern w:val="0"/>
                <w:sz w:val="16"/>
                <w:szCs w:val="16"/>
                <w:lang w:bidi="ar"/>
              </w:rPr>
              <w:t>9.11</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05D6826A">
            <w:pPr>
              <w:jc w:val="center"/>
              <w:textAlignment w:val="bottom"/>
              <w:rPr>
                <w:rFonts w:ascii="宋体" w:hAnsi="宋体"/>
                <w:sz w:val="2"/>
                <w:szCs w:val="2"/>
              </w:rPr>
            </w:pPr>
            <w:r>
              <w:rPr>
                <w:rFonts w:hint="eastAsia" w:ascii="宋体" w:hAnsi="宋体" w:cs="宋体"/>
                <w:color w:val="000000"/>
                <w:kern w:val="0"/>
                <w:sz w:val="16"/>
                <w:szCs w:val="16"/>
                <w:lang w:bidi="ar"/>
              </w:rPr>
              <w:t>10.3</w:t>
            </w:r>
          </w:p>
        </w:tc>
      </w:tr>
      <w:tr w14:paraId="3077C20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24DC3F6D">
            <w:pPr>
              <w:jc w:val="center"/>
              <w:rPr>
                <w:sz w:val="15"/>
                <w:szCs w:val="15"/>
              </w:rPr>
            </w:pPr>
            <w:r>
              <w:rPr>
                <w:sz w:val="15"/>
                <w:szCs w:val="15"/>
              </w:rPr>
              <w:t>08</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07A064D">
            <w:pPr>
              <w:jc w:val="center"/>
              <w:textAlignment w:val="bottom"/>
              <w:rPr>
                <w:rFonts w:ascii="宋体" w:hAnsi="宋体"/>
                <w:sz w:val="2"/>
                <w:szCs w:val="2"/>
              </w:rPr>
            </w:pPr>
            <w:r>
              <w:rPr>
                <w:rFonts w:hint="eastAsia" w:ascii="宋体" w:hAnsi="宋体" w:cs="宋体"/>
                <w:color w:val="000000"/>
                <w:kern w:val="0"/>
                <w:sz w:val="16"/>
                <w:szCs w:val="16"/>
                <w:lang w:bidi="ar"/>
              </w:rPr>
              <w:t>19.37</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450794F">
            <w:pPr>
              <w:jc w:val="center"/>
              <w:textAlignment w:val="bottom"/>
              <w:rPr>
                <w:rFonts w:ascii="宋体" w:hAnsi="宋体"/>
                <w:sz w:val="2"/>
                <w:szCs w:val="2"/>
              </w:rPr>
            </w:pPr>
            <w:r>
              <w:rPr>
                <w:rFonts w:hint="eastAsia" w:ascii="宋体" w:hAnsi="宋体" w:cs="宋体"/>
                <w:color w:val="000000"/>
                <w:kern w:val="0"/>
                <w:sz w:val="16"/>
                <w:szCs w:val="16"/>
                <w:lang w:bidi="ar"/>
              </w:rPr>
              <w:t>8.84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E4AB486">
            <w:pPr>
              <w:jc w:val="center"/>
              <w:textAlignment w:val="bottom"/>
              <w:rPr>
                <w:rFonts w:ascii="宋体" w:hAnsi="宋体"/>
                <w:sz w:val="2"/>
                <w:szCs w:val="2"/>
              </w:rPr>
            </w:pPr>
            <w:r>
              <w:rPr>
                <w:rFonts w:hint="eastAsia" w:ascii="宋体" w:hAnsi="宋体" w:cs="宋体"/>
                <w:color w:val="000000"/>
                <w:kern w:val="0"/>
                <w:sz w:val="16"/>
                <w:szCs w:val="16"/>
                <w:lang w:bidi="ar"/>
              </w:rPr>
              <w:t>6.95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2FC56F2">
            <w:pPr>
              <w:jc w:val="center"/>
              <w:textAlignment w:val="bottom"/>
              <w:rPr>
                <w:rFonts w:ascii="宋体" w:hAnsi="宋体"/>
                <w:sz w:val="2"/>
                <w:szCs w:val="2"/>
              </w:rPr>
            </w:pPr>
            <w:r>
              <w:rPr>
                <w:rFonts w:hint="eastAsia" w:ascii="宋体" w:hAnsi="宋体" w:cs="宋体"/>
                <w:color w:val="000000"/>
                <w:kern w:val="0"/>
                <w:sz w:val="16"/>
                <w:szCs w:val="16"/>
                <w:lang w:bidi="ar"/>
              </w:rPr>
              <w:t>7.32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5A0225C">
            <w:pPr>
              <w:jc w:val="center"/>
              <w:textAlignment w:val="bottom"/>
              <w:rPr>
                <w:rFonts w:ascii="宋体" w:hAnsi="宋体"/>
                <w:sz w:val="2"/>
                <w:szCs w:val="2"/>
              </w:rPr>
            </w:pPr>
            <w:r>
              <w:rPr>
                <w:rFonts w:hint="eastAsia" w:ascii="宋体" w:hAnsi="宋体" w:cs="宋体"/>
                <w:color w:val="000000"/>
                <w:kern w:val="0"/>
                <w:sz w:val="16"/>
                <w:szCs w:val="16"/>
                <w:lang w:bidi="ar"/>
              </w:rPr>
              <w:t>6.42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B52EFDB">
            <w:pPr>
              <w:jc w:val="center"/>
              <w:textAlignment w:val="bottom"/>
              <w:rPr>
                <w:rFonts w:ascii="宋体" w:hAnsi="宋体"/>
                <w:sz w:val="2"/>
                <w:szCs w:val="2"/>
              </w:rPr>
            </w:pPr>
            <w:r>
              <w:rPr>
                <w:rFonts w:hint="eastAsia" w:ascii="宋体" w:hAnsi="宋体" w:cs="宋体"/>
                <w:color w:val="000000"/>
                <w:kern w:val="0"/>
                <w:sz w:val="16"/>
                <w:szCs w:val="16"/>
                <w:lang w:bidi="ar"/>
              </w:rPr>
              <w:t>5.26</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7C8532B">
            <w:pPr>
              <w:jc w:val="center"/>
              <w:textAlignment w:val="bottom"/>
              <w:rPr>
                <w:rFonts w:ascii="宋体" w:hAnsi="宋体"/>
                <w:sz w:val="2"/>
                <w:szCs w:val="2"/>
              </w:rPr>
            </w:pPr>
            <w:r>
              <w:rPr>
                <w:rFonts w:hint="eastAsia" w:ascii="宋体" w:hAnsi="宋体" w:cs="宋体"/>
                <w:color w:val="000000"/>
                <w:kern w:val="0"/>
                <w:sz w:val="16"/>
                <w:szCs w:val="16"/>
                <w:lang w:bidi="ar"/>
              </w:rPr>
              <w:t>5.21</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B2B4B59">
            <w:pPr>
              <w:jc w:val="center"/>
              <w:textAlignment w:val="bottom"/>
              <w:rPr>
                <w:rFonts w:ascii="宋体" w:hAnsi="宋体"/>
                <w:sz w:val="2"/>
                <w:szCs w:val="2"/>
              </w:rPr>
            </w:pPr>
            <w:r>
              <w:rPr>
                <w:rFonts w:hint="eastAsia" w:ascii="宋体" w:hAnsi="宋体" w:cs="宋体"/>
                <w:color w:val="000000"/>
                <w:kern w:val="0"/>
                <w:sz w:val="16"/>
                <w:szCs w:val="16"/>
                <w:lang w:bidi="ar"/>
              </w:rPr>
              <w:t>4.32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6F66E0C">
            <w:pPr>
              <w:jc w:val="center"/>
              <w:textAlignment w:val="bottom"/>
              <w:rPr>
                <w:rFonts w:ascii="宋体" w:hAnsi="宋体"/>
                <w:sz w:val="2"/>
                <w:szCs w:val="2"/>
              </w:rPr>
            </w:pPr>
            <w:r>
              <w:rPr>
                <w:rFonts w:hint="eastAsia" w:ascii="宋体" w:hAnsi="宋体" w:cs="宋体"/>
                <w:color w:val="000000"/>
                <w:kern w:val="0"/>
                <w:sz w:val="16"/>
                <w:szCs w:val="16"/>
                <w:lang w:bidi="ar"/>
              </w:rPr>
              <w:t>3.42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6E89E99">
            <w:pPr>
              <w:jc w:val="center"/>
              <w:textAlignment w:val="bottom"/>
              <w:rPr>
                <w:rFonts w:ascii="宋体" w:hAnsi="宋体"/>
                <w:sz w:val="2"/>
                <w:szCs w:val="2"/>
              </w:rPr>
            </w:pPr>
            <w:r>
              <w:rPr>
                <w:rFonts w:hint="eastAsia" w:ascii="宋体" w:hAnsi="宋体" w:cs="宋体"/>
                <w:color w:val="000000"/>
                <w:kern w:val="0"/>
                <w:sz w:val="16"/>
                <w:szCs w:val="16"/>
                <w:lang w:bidi="ar"/>
              </w:rPr>
              <w:t>2.37</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191E10">
            <w:pPr>
              <w:jc w:val="center"/>
              <w:textAlignment w:val="bottom"/>
              <w:rPr>
                <w:rFonts w:ascii="宋体" w:hAnsi="宋体"/>
                <w:sz w:val="2"/>
                <w:szCs w:val="2"/>
              </w:rPr>
            </w:pPr>
            <w:r>
              <w:rPr>
                <w:rFonts w:hint="eastAsia" w:ascii="宋体" w:hAnsi="宋体" w:cs="宋体"/>
                <w:color w:val="000000"/>
                <w:kern w:val="0"/>
                <w:sz w:val="16"/>
                <w:szCs w:val="16"/>
                <w:lang w:bidi="ar"/>
              </w:rPr>
              <w:t>2.21</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A3146A">
            <w:pPr>
              <w:jc w:val="center"/>
              <w:textAlignment w:val="bottom"/>
              <w:rPr>
                <w:rFonts w:ascii="宋体" w:hAnsi="宋体"/>
                <w:sz w:val="2"/>
                <w:szCs w:val="2"/>
              </w:rPr>
            </w:pPr>
            <w:r>
              <w:rPr>
                <w:rFonts w:hint="eastAsia" w:ascii="宋体" w:hAnsi="宋体" w:cs="宋体"/>
                <w:color w:val="000000"/>
                <w:kern w:val="0"/>
                <w:sz w:val="16"/>
                <w:szCs w:val="16"/>
                <w:lang w:bidi="ar"/>
              </w:rPr>
              <w:t>1.42</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532715">
            <w:pPr>
              <w:jc w:val="center"/>
              <w:textAlignment w:val="bottom"/>
              <w:rPr>
                <w:rFonts w:ascii="宋体" w:hAnsi="宋体"/>
                <w:sz w:val="2"/>
                <w:szCs w:val="2"/>
              </w:rPr>
            </w:pPr>
            <w:r>
              <w:rPr>
                <w:rFonts w:hint="eastAsia" w:ascii="宋体" w:hAnsi="宋体" w:cs="宋体"/>
                <w:color w:val="000000"/>
                <w:kern w:val="0"/>
                <w:sz w:val="16"/>
                <w:szCs w:val="16"/>
                <w:lang w:bidi="ar"/>
              </w:rPr>
              <w:t>0.95</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0F4525">
            <w:pPr>
              <w:jc w:val="center"/>
              <w:textAlignment w:val="bottom"/>
              <w:rPr>
                <w:rFonts w:ascii="宋体" w:hAnsi="宋体"/>
                <w:sz w:val="2"/>
                <w:szCs w:val="2"/>
              </w:rPr>
            </w:pPr>
            <w:r>
              <w:rPr>
                <w:rFonts w:hint="eastAsia" w:ascii="宋体" w:hAnsi="宋体" w:cs="宋体"/>
                <w:color w:val="000000"/>
                <w:kern w:val="0"/>
                <w:sz w:val="16"/>
                <w:szCs w:val="16"/>
                <w:lang w:bidi="ar"/>
              </w:rPr>
              <w:t>1.63</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DC6139">
            <w:pPr>
              <w:jc w:val="center"/>
              <w:textAlignment w:val="bottom"/>
              <w:rPr>
                <w:rFonts w:ascii="宋体" w:hAnsi="宋体"/>
                <w:sz w:val="2"/>
                <w:szCs w:val="2"/>
              </w:rPr>
            </w:pPr>
            <w:r>
              <w:rPr>
                <w:rFonts w:hint="eastAsia" w:ascii="宋体" w:hAnsi="宋体" w:cs="宋体"/>
                <w:color w:val="000000"/>
                <w:kern w:val="0"/>
                <w:sz w:val="16"/>
                <w:szCs w:val="16"/>
                <w:lang w:bidi="ar"/>
              </w:rPr>
              <w:t>6</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48ABE2C">
            <w:pPr>
              <w:jc w:val="center"/>
              <w:textAlignment w:val="bottom"/>
              <w:rPr>
                <w:rFonts w:ascii="宋体" w:hAnsi="宋体"/>
                <w:sz w:val="2"/>
                <w:szCs w:val="2"/>
              </w:rPr>
            </w:pPr>
            <w:r>
              <w:rPr>
                <w:rFonts w:hint="eastAsia" w:ascii="宋体" w:hAnsi="宋体" w:cs="宋体"/>
                <w:color w:val="000000"/>
                <w:kern w:val="0"/>
                <w:sz w:val="16"/>
                <w:szCs w:val="16"/>
                <w:lang w:bidi="ar"/>
              </w:rPr>
              <w:t>9.89</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79AE5820">
            <w:pPr>
              <w:jc w:val="center"/>
              <w:textAlignment w:val="bottom"/>
              <w:rPr>
                <w:rFonts w:ascii="宋体" w:hAnsi="宋体"/>
                <w:sz w:val="2"/>
                <w:szCs w:val="2"/>
              </w:rPr>
            </w:pPr>
            <w:r>
              <w:rPr>
                <w:rFonts w:hint="eastAsia" w:ascii="宋体" w:hAnsi="宋体" w:cs="宋体"/>
                <w:color w:val="000000"/>
                <w:kern w:val="0"/>
                <w:sz w:val="16"/>
                <w:szCs w:val="16"/>
                <w:lang w:bidi="ar"/>
              </w:rPr>
              <w:t>8.42</w:t>
            </w:r>
          </w:p>
        </w:tc>
      </w:tr>
      <w:tr w14:paraId="040054F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7D5B70DD">
            <w:pPr>
              <w:jc w:val="center"/>
              <w:rPr>
                <w:sz w:val="15"/>
                <w:szCs w:val="15"/>
              </w:rPr>
            </w:pPr>
            <w:r>
              <w:rPr>
                <w:sz w:val="15"/>
                <w:szCs w:val="15"/>
              </w:rPr>
              <w:t>09</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805C4D3">
            <w:pPr>
              <w:jc w:val="center"/>
              <w:textAlignment w:val="bottom"/>
              <w:rPr>
                <w:rFonts w:ascii="宋体" w:hAnsi="宋体"/>
                <w:sz w:val="2"/>
                <w:szCs w:val="2"/>
              </w:rPr>
            </w:pPr>
            <w:r>
              <w:rPr>
                <w:rFonts w:hint="eastAsia" w:ascii="宋体" w:hAnsi="宋体" w:cs="宋体"/>
                <w:color w:val="000000"/>
                <w:kern w:val="0"/>
                <w:sz w:val="16"/>
                <w:szCs w:val="16"/>
                <w:lang w:bidi="ar"/>
              </w:rPr>
              <w:t>18.7</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05C93EA">
            <w:pPr>
              <w:jc w:val="center"/>
              <w:textAlignment w:val="bottom"/>
              <w:rPr>
                <w:rFonts w:ascii="宋体" w:hAnsi="宋体"/>
                <w:sz w:val="2"/>
                <w:szCs w:val="2"/>
              </w:rPr>
            </w:pPr>
            <w:r>
              <w:rPr>
                <w:rFonts w:hint="eastAsia" w:ascii="宋体" w:hAnsi="宋体" w:cs="宋体"/>
                <w:color w:val="000000"/>
                <w:kern w:val="0"/>
                <w:sz w:val="16"/>
                <w:szCs w:val="16"/>
                <w:lang w:bidi="ar"/>
              </w:rPr>
              <w:t>7.35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AA359DE">
            <w:pPr>
              <w:jc w:val="center"/>
              <w:textAlignment w:val="bottom"/>
              <w:rPr>
                <w:rFonts w:ascii="宋体" w:hAnsi="宋体"/>
                <w:sz w:val="2"/>
                <w:szCs w:val="2"/>
              </w:rPr>
            </w:pPr>
            <w:r>
              <w:rPr>
                <w:rFonts w:hint="eastAsia" w:ascii="宋体" w:hAnsi="宋体" w:cs="宋体"/>
                <w:color w:val="000000"/>
                <w:kern w:val="0"/>
                <w:sz w:val="16"/>
                <w:szCs w:val="16"/>
                <w:lang w:bidi="ar"/>
              </w:rPr>
              <w:t>6.5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7BB55AB">
            <w:pPr>
              <w:jc w:val="center"/>
              <w:textAlignment w:val="bottom"/>
              <w:rPr>
                <w:rFonts w:ascii="宋体" w:hAnsi="宋体"/>
                <w:sz w:val="2"/>
                <w:szCs w:val="2"/>
              </w:rPr>
            </w:pPr>
            <w:r>
              <w:rPr>
                <w:rFonts w:hint="eastAsia" w:ascii="宋体" w:hAnsi="宋体" w:cs="宋体"/>
                <w:color w:val="000000"/>
                <w:kern w:val="0"/>
                <w:sz w:val="16"/>
                <w:szCs w:val="16"/>
                <w:lang w:bidi="ar"/>
              </w:rPr>
              <w:t>6.3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8D2478E">
            <w:pPr>
              <w:jc w:val="center"/>
              <w:textAlignment w:val="bottom"/>
              <w:rPr>
                <w:rFonts w:ascii="宋体" w:hAnsi="宋体"/>
                <w:sz w:val="2"/>
                <w:szCs w:val="2"/>
              </w:rPr>
            </w:pPr>
            <w:r>
              <w:rPr>
                <w:rFonts w:hint="eastAsia" w:ascii="宋体" w:hAnsi="宋体" w:cs="宋体"/>
                <w:color w:val="000000"/>
                <w:kern w:val="0"/>
                <w:sz w:val="16"/>
                <w:szCs w:val="16"/>
                <w:lang w:bidi="ar"/>
              </w:rPr>
              <w:t>5.1</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60FE289">
            <w:pPr>
              <w:jc w:val="center"/>
              <w:textAlignment w:val="bottom"/>
              <w:rPr>
                <w:rFonts w:ascii="宋体" w:hAnsi="宋体"/>
                <w:sz w:val="2"/>
                <w:szCs w:val="2"/>
              </w:rPr>
            </w:pPr>
            <w:r>
              <w:rPr>
                <w:rFonts w:hint="eastAsia" w:ascii="宋体" w:hAnsi="宋体" w:cs="宋体"/>
                <w:color w:val="000000"/>
                <w:kern w:val="0"/>
                <w:sz w:val="16"/>
                <w:szCs w:val="16"/>
                <w:lang w:bidi="ar"/>
              </w:rPr>
              <w:t>4.5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A727457">
            <w:pPr>
              <w:jc w:val="center"/>
              <w:textAlignment w:val="bottom"/>
              <w:rPr>
                <w:rFonts w:ascii="宋体" w:hAnsi="宋体"/>
                <w:sz w:val="2"/>
                <w:szCs w:val="2"/>
              </w:rPr>
            </w:pPr>
            <w:r>
              <w:rPr>
                <w:rFonts w:hint="eastAsia" w:ascii="宋体" w:hAnsi="宋体" w:cs="宋体"/>
                <w:color w:val="000000"/>
                <w:kern w:val="0"/>
                <w:sz w:val="16"/>
                <w:szCs w:val="16"/>
                <w:lang w:bidi="ar"/>
              </w:rPr>
              <w:t>4.8</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3E60DE4">
            <w:pPr>
              <w:jc w:val="center"/>
              <w:textAlignment w:val="bottom"/>
              <w:rPr>
                <w:rFonts w:ascii="宋体" w:hAnsi="宋体"/>
                <w:sz w:val="2"/>
                <w:szCs w:val="2"/>
              </w:rPr>
            </w:pPr>
            <w:r>
              <w:rPr>
                <w:rFonts w:hint="eastAsia" w:ascii="宋体" w:hAnsi="宋体" w:cs="宋体"/>
                <w:color w:val="000000"/>
                <w:kern w:val="0"/>
                <w:sz w:val="16"/>
                <w:szCs w:val="16"/>
                <w:lang w:bidi="ar"/>
              </w:rPr>
              <w:t>3.95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BAFA6F7">
            <w:pPr>
              <w:jc w:val="center"/>
              <w:textAlignment w:val="bottom"/>
              <w:rPr>
                <w:rFonts w:ascii="宋体" w:hAnsi="宋体"/>
                <w:sz w:val="2"/>
                <w:szCs w:val="2"/>
              </w:rPr>
            </w:pPr>
            <w:r>
              <w:rPr>
                <w:rFonts w:hint="eastAsia" w:ascii="宋体" w:hAnsi="宋体" w:cs="宋体"/>
                <w:color w:val="000000"/>
                <w:kern w:val="0"/>
                <w:sz w:val="16"/>
                <w:szCs w:val="16"/>
                <w:lang w:bidi="ar"/>
              </w:rPr>
              <w:t>3.35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A521FB">
            <w:pPr>
              <w:jc w:val="center"/>
              <w:textAlignment w:val="bottom"/>
              <w:rPr>
                <w:rFonts w:ascii="宋体" w:hAnsi="宋体"/>
                <w:sz w:val="2"/>
                <w:szCs w:val="2"/>
              </w:rPr>
            </w:pPr>
            <w:r>
              <w:rPr>
                <w:rFonts w:hint="eastAsia" w:ascii="宋体" w:hAnsi="宋体" w:cs="宋体"/>
                <w:color w:val="000000"/>
                <w:kern w:val="0"/>
                <w:sz w:val="16"/>
                <w:szCs w:val="16"/>
                <w:lang w:bidi="ar"/>
              </w:rPr>
              <w:t>2.5</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156243">
            <w:pPr>
              <w:jc w:val="center"/>
              <w:textAlignment w:val="bottom"/>
              <w:rPr>
                <w:rFonts w:ascii="宋体" w:hAnsi="宋体"/>
                <w:sz w:val="2"/>
                <w:szCs w:val="2"/>
              </w:rPr>
            </w:pPr>
            <w:r>
              <w:rPr>
                <w:rFonts w:hint="eastAsia" w:ascii="宋体" w:hAnsi="宋体" w:cs="宋体"/>
                <w:color w:val="000000"/>
                <w:kern w:val="0"/>
                <w:sz w:val="16"/>
                <w:szCs w:val="16"/>
                <w:lang w:bidi="ar"/>
              </w:rPr>
              <w:t>1.7</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679A81">
            <w:pPr>
              <w:jc w:val="center"/>
              <w:textAlignment w:val="bottom"/>
              <w:rPr>
                <w:rFonts w:ascii="宋体" w:hAnsi="宋体"/>
                <w:sz w:val="2"/>
                <w:szCs w:val="2"/>
              </w:rPr>
            </w:pPr>
            <w:r>
              <w:rPr>
                <w:rFonts w:hint="eastAsia" w:ascii="宋体" w:hAnsi="宋体" w:cs="宋体"/>
                <w:color w:val="000000"/>
                <w:kern w:val="0"/>
                <w:sz w:val="16"/>
                <w:szCs w:val="16"/>
                <w:lang w:bidi="ar"/>
              </w:rPr>
              <w:t>0.9</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9F0B7F">
            <w:pPr>
              <w:jc w:val="center"/>
              <w:textAlignment w:val="bottom"/>
              <w:rPr>
                <w:rFonts w:ascii="宋体" w:hAnsi="宋体"/>
                <w:sz w:val="2"/>
                <w:szCs w:val="2"/>
              </w:rPr>
            </w:pPr>
            <w:r>
              <w:rPr>
                <w:rFonts w:hint="eastAsia" w:ascii="宋体" w:hAnsi="宋体" w:cs="宋体"/>
                <w:color w:val="000000"/>
                <w:kern w:val="0"/>
                <w:sz w:val="16"/>
                <w:szCs w:val="16"/>
                <w:lang w:bidi="ar"/>
              </w:rPr>
              <w:t>1.35</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88EFAA">
            <w:pPr>
              <w:jc w:val="center"/>
              <w:textAlignment w:val="bottom"/>
              <w:rPr>
                <w:rFonts w:ascii="宋体" w:hAnsi="宋体"/>
                <w:sz w:val="2"/>
                <w:szCs w:val="2"/>
              </w:rPr>
            </w:pPr>
            <w:r>
              <w:rPr>
                <w:rFonts w:hint="eastAsia" w:ascii="宋体" w:hAnsi="宋体" w:cs="宋体"/>
                <w:color w:val="000000"/>
                <w:kern w:val="0"/>
                <w:sz w:val="16"/>
                <w:szCs w:val="16"/>
                <w:lang w:bidi="ar"/>
              </w:rPr>
              <w:t>2.15</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5F0F24">
            <w:pPr>
              <w:jc w:val="center"/>
              <w:textAlignment w:val="bottom"/>
              <w:rPr>
                <w:rFonts w:ascii="宋体" w:hAnsi="宋体"/>
                <w:sz w:val="2"/>
                <w:szCs w:val="2"/>
              </w:rPr>
            </w:pPr>
            <w:r>
              <w:rPr>
                <w:rFonts w:hint="eastAsia" w:ascii="宋体" w:hAnsi="宋体" w:cs="宋体"/>
                <w:color w:val="000000"/>
                <w:kern w:val="0"/>
                <w:sz w:val="16"/>
                <w:szCs w:val="16"/>
                <w:lang w:bidi="ar"/>
              </w:rPr>
              <w:t>6.35</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BD4D5BC">
            <w:pPr>
              <w:jc w:val="center"/>
              <w:textAlignment w:val="bottom"/>
              <w:rPr>
                <w:rFonts w:ascii="宋体" w:hAnsi="宋体"/>
                <w:sz w:val="2"/>
                <w:szCs w:val="2"/>
              </w:rPr>
            </w:pPr>
            <w:r>
              <w:rPr>
                <w:rFonts w:hint="eastAsia" w:ascii="宋体" w:hAnsi="宋体" w:cs="宋体"/>
                <w:color w:val="000000"/>
                <w:kern w:val="0"/>
                <w:sz w:val="16"/>
                <w:szCs w:val="16"/>
                <w:lang w:bidi="ar"/>
              </w:rPr>
              <w:t>10.95</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1F18584D">
            <w:pPr>
              <w:jc w:val="center"/>
              <w:textAlignment w:val="bottom"/>
              <w:rPr>
                <w:rFonts w:ascii="宋体" w:hAnsi="宋体"/>
                <w:sz w:val="2"/>
                <w:szCs w:val="2"/>
              </w:rPr>
            </w:pPr>
            <w:r>
              <w:rPr>
                <w:rFonts w:hint="eastAsia" w:ascii="宋体" w:hAnsi="宋体" w:cs="宋体"/>
                <w:color w:val="000000"/>
                <w:kern w:val="0"/>
                <w:sz w:val="16"/>
                <w:szCs w:val="16"/>
                <w:lang w:bidi="ar"/>
              </w:rPr>
              <w:t>13.55</w:t>
            </w:r>
          </w:p>
        </w:tc>
      </w:tr>
      <w:tr w14:paraId="3BC87DB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1BC97801">
            <w:pPr>
              <w:jc w:val="center"/>
              <w:rPr>
                <w:sz w:val="15"/>
                <w:szCs w:val="15"/>
              </w:rPr>
            </w:pPr>
            <w:r>
              <w:rPr>
                <w:sz w:val="15"/>
                <w:szCs w:val="15"/>
              </w:rPr>
              <w:t>10</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B0D8F23">
            <w:pPr>
              <w:jc w:val="center"/>
              <w:textAlignment w:val="bottom"/>
              <w:rPr>
                <w:rFonts w:ascii="宋体" w:hAnsi="宋体"/>
                <w:sz w:val="2"/>
                <w:szCs w:val="2"/>
              </w:rPr>
            </w:pPr>
            <w:r>
              <w:rPr>
                <w:rFonts w:hint="eastAsia" w:ascii="宋体" w:hAnsi="宋体" w:cs="宋体"/>
                <w:color w:val="000000"/>
                <w:kern w:val="0"/>
                <w:sz w:val="16"/>
                <w:szCs w:val="16"/>
                <w:lang w:bidi="ar"/>
              </w:rPr>
              <w:t>16.35</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2390435">
            <w:pPr>
              <w:jc w:val="center"/>
              <w:textAlignment w:val="bottom"/>
              <w:rPr>
                <w:rFonts w:ascii="宋体" w:hAnsi="宋体"/>
                <w:sz w:val="2"/>
                <w:szCs w:val="2"/>
              </w:rPr>
            </w:pPr>
            <w:r>
              <w:rPr>
                <w:rFonts w:hint="eastAsia" w:ascii="宋体" w:hAnsi="宋体" w:cs="宋体"/>
                <w:color w:val="000000"/>
                <w:kern w:val="0"/>
                <w:sz w:val="16"/>
                <w:szCs w:val="16"/>
                <w:lang w:bidi="ar"/>
              </w:rPr>
              <w:t>8</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06364EF">
            <w:pPr>
              <w:jc w:val="center"/>
              <w:textAlignment w:val="bottom"/>
              <w:rPr>
                <w:rFonts w:ascii="宋体" w:hAnsi="宋体"/>
                <w:sz w:val="2"/>
                <w:szCs w:val="2"/>
              </w:rPr>
            </w:pPr>
            <w:r>
              <w:rPr>
                <w:rFonts w:hint="eastAsia" w:ascii="宋体" w:hAnsi="宋体" w:cs="宋体"/>
                <w:color w:val="000000"/>
                <w:kern w:val="0"/>
                <w:sz w:val="16"/>
                <w:szCs w:val="16"/>
                <w:lang w:bidi="ar"/>
              </w:rPr>
              <w:t>6.35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023EC15">
            <w:pPr>
              <w:jc w:val="center"/>
              <w:textAlignment w:val="bottom"/>
              <w:rPr>
                <w:rFonts w:ascii="宋体" w:hAnsi="宋体"/>
                <w:sz w:val="2"/>
                <w:szCs w:val="2"/>
              </w:rPr>
            </w:pPr>
            <w:r>
              <w:rPr>
                <w:rFonts w:hint="eastAsia" w:ascii="宋体" w:hAnsi="宋体" w:cs="宋体"/>
                <w:color w:val="000000"/>
                <w:kern w:val="0"/>
                <w:sz w:val="16"/>
                <w:szCs w:val="16"/>
                <w:lang w:bidi="ar"/>
              </w:rPr>
              <w:t>6.2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D24B182">
            <w:pPr>
              <w:jc w:val="center"/>
              <w:textAlignment w:val="bottom"/>
              <w:rPr>
                <w:rFonts w:ascii="宋体" w:hAnsi="宋体"/>
                <w:sz w:val="2"/>
                <w:szCs w:val="2"/>
              </w:rPr>
            </w:pPr>
            <w:r>
              <w:rPr>
                <w:rFonts w:hint="eastAsia" w:ascii="宋体" w:hAnsi="宋体" w:cs="宋体"/>
                <w:color w:val="000000"/>
                <w:kern w:val="0"/>
                <w:sz w:val="16"/>
                <w:szCs w:val="16"/>
                <w:lang w:bidi="ar"/>
              </w:rPr>
              <w:t>5.25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3BA6D77">
            <w:pPr>
              <w:jc w:val="center"/>
              <w:textAlignment w:val="bottom"/>
              <w:rPr>
                <w:rFonts w:ascii="宋体" w:hAnsi="宋体"/>
                <w:sz w:val="2"/>
                <w:szCs w:val="2"/>
              </w:rPr>
            </w:pPr>
            <w:r>
              <w:rPr>
                <w:rFonts w:hint="eastAsia" w:ascii="宋体" w:hAnsi="宋体" w:cs="宋体"/>
                <w:color w:val="000000"/>
                <w:kern w:val="0"/>
                <w:sz w:val="16"/>
                <w:szCs w:val="16"/>
                <w:lang w:bidi="ar"/>
              </w:rPr>
              <w:t>4.25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20652A3">
            <w:pPr>
              <w:jc w:val="center"/>
              <w:textAlignment w:val="bottom"/>
              <w:rPr>
                <w:rFonts w:ascii="宋体" w:hAnsi="宋体"/>
                <w:sz w:val="2"/>
                <w:szCs w:val="2"/>
              </w:rPr>
            </w:pPr>
            <w:r>
              <w:rPr>
                <w:rFonts w:hint="eastAsia" w:ascii="宋体" w:hAnsi="宋体" w:cs="宋体"/>
                <w:color w:val="000000"/>
                <w:kern w:val="0"/>
                <w:sz w:val="16"/>
                <w:szCs w:val="16"/>
                <w:lang w:bidi="ar"/>
              </w:rPr>
              <w:t>4.7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79CF9FA">
            <w:pPr>
              <w:jc w:val="center"/>
              <w:textAlignment w:val="bottom"/>
              <w:rPr>
                <w:rFonts w:ascii="宋体" w:hAnsi="宋体"/>
                <w:sz w:val="2"/>
                <w:szCs w:val="2"/>
              </w:rPr>
            </w:pPr>
            <w:r>
              <w:rPr>
                <w:rFonts w:hint="eastAsia" w:ascii="宋体" w:hAnsi="宋体" w:cs="宋体"/>
                <w:color w:val="000000"/>
                <w:kern w:val="0"/>
                <w:sz w:val="16"/>
                <w:szCs w:val="16"/>
                <w:lang w:bidi="ar"/>
              </w:rPr>
              <w:t>4.25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C2EBF98">
            <w:pPr>
              <w:jc w:val="center"/>
              <w:textAlignment w:val="bottom"/>
              <w:rPr>
                <w:rFonts w:ascii="宋体" w:hAnsi="宋体"/>
                <w:sz w:val="2"/>
                <w:szCs w:val="2"/>
              </w:rPr>
            </w:pPr>
            <w:r>
              <w:rPr>
                <w:rFonts w:hint="eastAsia" w:ascii="宋体" w:hAnsi="宋体" w:cs="宋体"/>
                <w:color w:val="000000"/>
                <w:kern w:val="0"/>
                <w:sz w:val="16"/>
                <w:szCs w:val="16"/>
                <w:lang w:bidi="ar"/>
              </w:rPr>
              <w:t>3.6</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878E08B">
            <w:pPr>
              <w:jc w:val="center"/>
              <w:textAlignment w:val="bottom"/>
              <w:rPr>
                <w:rFonts w:ascii="宋体" w:hAnsi="宋体"/>
                <w:sz w:val="2"/>
                <w:szCs w:val="2"/>
              </w:rPr>
            </w:pPr>
            <w:r>
              <w:rPr>
                <w:rFonts w:hint="eastAsia" w:ascii="宋体" w:hAnsi="宋体" w:cs="宋体"/>
                <w:color w:val="000000"/>
                <w:kern w:val="0"/>
                <w:sz w:val="16"/>
                <w:szCs w:val="16"/>
                <w:lang w:bidi="ar"/>
              </w:rPr>
              <w:t>2.05</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4B026B">
            <w:pPr>
              <w:jc w:val="center"/>
              <w:textAlignment w:val="bottom"/>
              <w:rPr>
                <w:rFonts w:ascii="宋体" w:hAnsi="宋体"/>
                <w:sz w:val="2"/>
                <w:szCs w:val="2"/>
              </w:rPr>
            </w:pPr>
            <w:r>
              <w:rPr>
                <w:rFonts w:hint="eastAsia" w:ascii="宋体" w:hAnsi="宋体" w:cs="宋体"/>
                <w:color w:val="000000"/>
                <w:kern w:val="0"/>
                <w:sz w:val="16"/>
                <w:szCs w:val="16"/>
                <w:lang w:bidi="ar"/>
              </w:rPr>
              <w:t>1.65</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A8BF7A">
            <w:pPr>
              <w:jc w:val="center"/>
              <w:textAlignment w:val="bottom"/>
              <w:rPr>
                <w:rFonts w:ascii="宋体" w:hAnsi="宋体"/>
                <w:sz w:val="2"/>
                <w:szCs w:val="2"/>
              </w:rPr>
            </w:pPr>
            <w:r>
              <w:rPr>
                <w:rFonts w:hint="eastAsia" w:ascii="宋体" w:hAnsi="宋体" w:cs="宋体"/>
                <w:color w:val="000000"/>
                <w:kern w:val="0"/>
                <w:sz w:val="16"/>
                <w:szCs w:val="16"/>
                <w:lang w:bidi="ar"/>
              </w:rPr>
              <w:t>1</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C687C8">
            <w:pPr>
              <w:jc w:val="center"/>
              <w:textAlignment w:val="bottom"/>
              <w:rPr>
                <w:rFonts w:ascii="宋体" w:hAnsi="宋体"/>
                <w:sz w:val="2"/>
                <w:szCs w:val="2"/>
              </w:rPr>
            </w:pPr>
            <w:r>
              <w:rPr>
                <w:rFonts w:hint="eastAsia" w:ascii="宋体" w:hAnsi="宋体" w:cs="宋体"/>
                <w:color w:val="000000"/>
                <w:kern w:val="0"/>
                <w:sz w:val="16"/>
                <w:szCs w:val="16"/>
                <w:lang w:bidi="ar"/>
              </w:rPr>
              <w:t>0.75</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53E30B">
            <w:pPr>
              <w:jc w:val="center"/>
              <w:textAlignment w:val="bottom"/>
              <w:rPr>
                <w:rFonts w:ascii="宋体" w:hAnsi="宋体"/>
                <w:sz w:val="2"/>
                <w:szCs w:val="2"/>
              </w:rPr>
            </w:pPr>
            <w:r>
              <w:rPr>
                <w:rFonts w:hint="eastAsia" w:ascii="宋体" w:hAnsi="宋体" w:cs="宋体"/>
                <w:color w:val="000000"/>
                <w:kern w:val="0"/>
                <w:sz w:val="16"/>
                <w:szCs w:val="16"/>
                <w:lang w:bidi="ar"/>
              </w:rPr>
              <w:t>1.75</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39D93D">
            <w:pPr>
              <w:jc w:val="center"/>
              <w:textAlignment w:val="bottom"/>
              <w:rPr>
                <w:rFonts w:ascii="宋体" w:hAnsi="宋体"/>
                <w:sz w:val="2"/>
                <w:szCs w:val="2"/>
              </w:rPr>
            </w:pPr>
            <w:r>
              <w:rPr>
                <w:rFonts w:hint="eastAsia" w:ascii="宋体" w:hAnsi="宋体" w:cs="宋体"/>
                <w:color w:val="000000"/>
                <w:kern w:val="0"/>
                <w:sz w:val="16"/>
                <w:szCs w:val="16"/>
                <w:lang w:bidi="ar"/>
              </w:rPr>
              <w:t>6.25</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E4FD480">
            <w:pPr>
              <w:jc w:val="center"/>
              <w:textAlignment w:val="bottom"/>
              <w:rPr>
                <w:rFonts w:ascii="宋体" w:hAnsi="宋体"/>
                <w:sz w:val="2"/>
                <w:szCs w:val="2"/>
              </w:rPr>
            </w:pPr>
            <w:r>
              <w:rPr>
                <w:rFonts w:hint="eastAsia" w:ascii="宋体" w:hAnsi="宋体" w:cs="宋体"/>
                <w:color w:val="000000"/>
                <w:kern w:val="0"/>
                <w:sz w:val="16"/>
                <w:szCs w:val="16"/>
                <w:lang w:bidi="ar"/>
              </w:rPr>
              <w:t>9.4</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1797F617">
            <w:pPr>
              <w:jc w:val="center"/>
              <w:textAlignment w:val="bottom"/>
              <w:rPr>
                <w:rFonts w:ascii="宋体" w:hAnsi="宋体"/>
                <w:sz w:val="2"/>
                <w:szCs w:val="2"/>
              </w:rPr>
            </w:pPr>
            <w:r>
              <w:rPr>
                <w:rFonts w:hint="eastAsia" w:ascii="宋体" w:hAnsi="宋体" w:cs="宋体"/>
                <w:color w:val="000000"/>
                <w:kern w:val="0"/>
                <w:sz w:val="16"/>
                <w:szCs w:val="16"/>
                <w:lang w:bidi="ar"/>
              </w:rPr>
              <w:t>18.2</w:t>
            </w:r>
          </w:p>
        </w:tc>
      </w:tr>
      <w:tr w14:paraId="63C42B6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158A9EA9">
            <w:pPr>
              <w:jc w:val="center"/>
              <w:rPr>
                <w:sz w:val="15"/>
                <w:szCs w:val="15"/>
              </w:rPr>
            </w:pPr>
            <w:r>
              <w:rPr>
                <w:sz w:val="15"/>
                <w:szCs w:val="15"/>
              </w:rPr>
              <w:t>11</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1F56515">
            <w:pPr>
              <w:jc w:val="center"/>
              <w:textAlignment w:val="bottom"/>
              <w:rPr>
                <w:rFonts w:ascii="宋体" w:hAnsi="宋体"/>
                <w:sz w:val="2"/>
                <w:szCs w:val="2"/>
              </w:rPr>
            </w:pPr>
            <w:r>
              <w:rPr>
                <w:rFonts w:hint="eastAsia" w:ascii="宋体" w:hAnsi="宋体" w:cs="宋体"/>
                <w:color w:val="000000"/>
                <w:kern w:val="0"/>
                <w:sz w:val="16"/>
                <w:szCs w:val="16"/>
                <w:lang w:bidi="ar"/>
              </w:rPr>
              <w:t>16.65</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E338622">
            <w:pPr>
              <w:jc w:val="center"/>
              <w:textAlignment w:val="bottom"/>
              <w:rPr>
                <w:rFonts w:ascii="宋体" w:hAnsi="宋体"/>
                <w:sz w:val="2"/>
                <w:szCs w:val="2"/>
              </w:rPr>
            </w:pPr>
            <w:r>
              <w:rPr>
                <w:rFonts w:hint="eastAsia" w:ascii="宋体" w:hAnsi="宋体" w:cs="宋体"/>
                <w:color w:val="000000"/>
                <w:kern w:val="0"/>
                <w:sz w:val="16"/>
                <w:szCs w:val="16"/>
                <w:lang w:bidi="ar"/>
              </w:rPr>
              <w:t>8.75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9ADA656">
            <w:pPr>
              <w:jc w:val="center"/>
              <w:textAlignment w:val="bottom"/>
              <w:rPr>
                <w:rFonts w:ascii="宋体" w:hAnsi="宋体"/>
                <w:sz w:val="2"/>
                <w:szCs w:val="2"/>
              </w:rPr>
            </w:pPr>
            <w:r>
              <w:rPr>
                <w:rFonts w:hint="eastAsia" w:ascii="宋体" w:hAnsi="宋体" w:cs="宋体"/>
                <w:color w:val="000000"/>
                <w:kern w:val="0"/>
                <w:sz w:val="16"/>
                <w:szCs w:val="16"/>
                <w:lang w:bidi="ar"/>
              </w:rPr>
              <w:t>6.4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5D315DE">
            <w:pPr>
              <w:jc w:val="center"/>
              <w:textAlignment w:val="bottom"/>
              <w:rPr>
                <w:rFonts w:ascii="宋体" w:hAnsi="宋体"/>
                <w:sz w:val="2"/>
                <w:szCs w:val="2"/>
              </w:rPr>
            </w:pPr>
            <w:r>
              <w:rPr>
                <w:rFonts w:hint="eastAsia" w:ascii="宋体" w:hAnsi="宋体" w:cs="宋体"/>
                <w:color w:val="000000"/>
                <w:kern w:val="0"/>
                <w:sz w:val="16"/>
                <w:szCs w:val="16"/>
                <w:lang w:bidi="ar"/>
              </w:rPr>
              <w:t>6.35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DFAE3AE">
            <w:pPr>
              <w:jc w:val="center"/>
              <w:textAlignment w:val="bottom"/>
              <w:rPr>
                <w:rFonts w:ascii="宋体" w:hAnsi="宋体"/>
                <w:sz w:val="2"/>
                <w:szCs w:val="2"/>
              </w:rPr>
            </w:pPr>
            <w:r>
              <w:rPr>
                <w:rFonts w:hint="eastAsia" w:ascii="宋体" w:hAnsi="宋体" w:cs="宋体"/>
                <w:color w:val="000000"/>
                <w:kern w:val="0"/>
                <w:sz w:val="16"/>
                <w:szCs w:val="16"/>
                <w:lang w:bidi="ar"/>
              </w:rPr>
              <w:t>4.95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CFD51C4">
            <w:pPr>
              <w:jc w:val="center"/>
              <w:textAlignment w:val="bottom"/>
              <w:rPr>
                <w:rFonts w:ascii="宋体" w:hAnsi="宋体"/>
                <w:sz w:val="2"/>
                <w:szCs w:val="2"/>
              </w:rPr>
            </w:pPr>
            <w:r>
              <w:rPr>
                <w:rFonts w:hint="eastAsia" w:ascii="宋体" w:hAnsi="宋体" w:cs="宋体"/>
                <w:color w:val="000000"/>
                <w:kern w:val="0"/>
                <w:sz w:val="16"/>
                <w:szCs w:val="16"/>
                <w:lang w:bidi="ar"/>
              </w:rPr>
              <w:t>4.7</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D36B7F2">
            <w:pPr>
              <w:jc w:val="center"/>
              <w:textAlignment w:val="bottom"/>
              <w:rPr>
                <w:rFonts w:ascii="宋体" w:hAnsi="宋体"/>
                <w:sz w:val="2"/>
                <w:szCs w:val="2"/>
              </w:rPr>
            </w:pPr>
            <w:r>
              <w:rPr>
                <w:rFonts w:hint="eastAsia" w:ascii="宋体" w:hAnsi="宋体" w:cs="宋体"/>
                <w:color w:val="000000"/>
                <w:kern w:val="0"/>
                <w:sz w:val="16"/>
                <w:szCs w:val="16"/>
                <w:lang w:bidi="ar"/>
              </w:rPr>
              <w:t>5.15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73BC6C3">
            <w:pPr>
              <w:jc w:val="center"/>
              <w:textAlignment w:val="bottom"/>
              <w:rPr>
                <w:rFonts w:ascii="宋体" w:hAnsi="宋体"/>
                <w:sz w:val="2"/>
                <w:szCs w:val="2"/>
              </w:rPr>
            </w:pPr>
            <w:r>
              <w:rPr>
                <w:rFonts w:hint="eastAsia" w:ascii="宋体" w:hAnsi="宋体" w:cs="宋体"/>
                <w:color w:val="000000"/>
                <w:kern w:val="0"/>
                <w:sz w:val="16"/>
                <w:szCs w:val="16"/>
                <w:lang w:bidi="ar"/>
              </w:rPr>
              <w:t>4.2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B44E675">
            <w:pPr>
              <w:jc w:val="center"/>
              <w:textAlignment w:val="bottom"/>
              <w:rPr>
                <w:rFonts w:ascii="宋体" w:hAnsi="宋体"/>
                <w:sz w:val="2"/>
                <w:szCs w:val="2"/>
              </w:rPr>
            </w:pPr>
            <w:r>
              <w:rPr>
                <w:rFonts w:hint="eastAsia" w:ascii="宋体" w:hAnsi="宋体" w:cs="宋体"/>
                <w:color w:val="000000"/>
                <w:kern w:val="0"/>
                <w:sz w:val="16"/>
                <w:szCs w:val="16"/>
                <w:lang w:bidi="ar"/>
              </w:rPr>
              <w:t>4.15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D49D225">
            <w:pPr>
              <w:jc w:val="center"/>
              <w:textAlignment w:val="bottom"/>
              <w:rPr>
                <w:rFonts w:ascii="宋体" w:hAnsi="宋体"/>
                <w:sz w:val="2"/>
                <w:szCs w:val="2"/>
              </w:rPr>
            </w:pPr>
            <w:r>
              <w:rPr>
                <w:rFonts w:hint="eastAsia" w:ascii="宋体" w:hAnsi="宋体" w:cs="宋体"/>
                <w:color w:val="000000"/>
                <w:kern w:val="0"/>
                <w:sz w:val="16"/>
                <w:szCs w:val="16"/>
                <w:lang w:bidi="ar"/>
              </w:rPr>
              <w:t>2.7</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0FC5C2">
            <w:pPr>
              <w:jc w:val="center"/>
              <w:textAlignment w:val="bottom"/>
              <w:rPr>
                <w:rFonts w:ascii="宋体" w:hAnsi="宋体"/>
                <w:sz w:val="2"/>
                <w:szCs w:val="2"/>
              </w:rPr>
            </w:pPr>
            <w:r>
              <w:rPr>
                <w:rFonts w:hint="eastAsia" w:ascii="宋体" w:hAnsi="宋体" w:cs="宋体"/>
                <w:color w:val="000000"/>
                <w:kern w:val="0"/>
                <w:sz w:val="16"/>
                <w:szCs w:val="16"/>
                <w:lang w:bidi="ar"/>
              </w:rPr>
              <w:t>1.55</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22881B">
            <w:pPr>
              <w:jc w:val="center"/>
              <w:textAlignment w:val="bottom"/>
              <w:rPr>
                <w:rFonts w:ascii="宋体" w:hAnsi="宋体"/>
                <w:sz w:val="2"/>
                <w:szCs w:val="2"/>
              </w:rPr>
            </w:pPr>
            <w:r>
              <w:rPr>
                <w:rFonts w:hint="eastAsia" w:ascii="宋体" w:hAnsi="宋体" w:cs="宋体"/>
                <w:color w:val="000000"/>
                <w:kern w:val="0"/>
                <w:sz w:val="16"/>
                <w:szCs w:val="16"/>
                <w:lang w:bidi="ar"/>
              </w:rPr>
              <w:t>1.1</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CC4B7A">
            <w:pPr>
              <w:jc w:val="center"/>
              <w:textAlignment w:val="bottom"/>
              <w:rPr>
                <w:rFonts w:ascii="宋体" w:hAnsi="宋体"/>
                <w:sz w:val="2"/>
                <w:szCs w:val="2"/>
              </w:rPr>
            </w:pPr>
            <w:r>
              <w:rPr>
                <w:rFonts w:hint="eastAsia" w:ascii="宋体" w:hAnsi="宋体" w:cs="宋体"/>
                <w:color w:val="000000"/>
                <w:kern w:val="0"/>
                <w:sz w:val="16"/>
                <w:szCs w:val="16"/>
                <w:lang w:bidi="ar"/>
              </w:rPr>
              <w:t>0.9</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784EBB">
            <w:pPr>
              <w:jc w:val="center"/>
              <w:textAlignment w:val="bottom"/>
              <w:rPr>
                <w:rFonts w:ascii="宋体" w:hAnsi="宋体"/>
                <w:sz w:val="2"/>
                <w:szCs w:val="2"/>
              </w:rPr>
            </w:pPr>
            <w:r>
              <w:rPr>
                <w:rFonts w:hint="eastAsia" w:ascii="宋体" w:hAnsi="宋体" w:cs="宋体"/>
                <w:color w:val="000000"/>
                <w:kern w:val="0"/>
                <w:sz w:val="16"/>
                <w:szCs w:val="16"/>
                <w:lang w:bidi="ar"/>
              </w:rPr>
              <w:t>1.7</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711362">
            <w:pPr>
              <w:jc w:val="center"/>
              <w:textAlignment w:val="bottom"/>
              <w:rPr>
                <w:rFonts w:ascii="宋体" w:hAnsi="宋体"/>
                <w:sz w:val="2"/>
                <w:szCs w:val="2"/>
              </w:rPr>
            </w:pPr>
            <w:r>
              <w:rPr>
                <w:rFonts w:hint="eastAsia" w:ascii="宋体" w:hAnsi="宋体" w:cs="宋体"/>
                <w:color w:val="000000"/>
                <w:kern w:val="0"/>
                <w:sz w:val="16"/>
                <w:szCs w:val="16"/>
                <w:lang w:bidi="ar"/>
              </w:rPr>
              <w:t>4.55</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E0159F7">
            <w:pPr>
              <w:jc w:val="center"/>
              <w:textAlignment w:val="bottom"/>
              <w:rPr>
                <w:rFonts w:ascii="宋体" w:hAnsi="宋体"/>
                <w:sz w:val="2"/>
                <w:szCs w:val="2"/>
              </w:rPr>
            </w:pPr>
            <w:r>
              <w:rPr>
                <w:rFonts w:hint="eastAsia" w:ascii="宋体" w:hAnsi="宋体" w:cs="宋体"/>
                <w:color w:val="000000"/>
                <w:kern w:val="0"/>
                <w:sz w:val="16"/>
                <w:szCs w:val="16"/>
                <w:lang w:bidi="ar"/>
              </w:rPr>
              <w:t>8.7</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04E51786">
            <w:pPr>
              <w:jc w:val="center"/>
              <w:textAlignment w:val="bottom"/>
              <w:rPr>
                <w:rFonts w:ascii="宋体" w:hAnsi="宋体"/>
                <w:sz w:val="2"/>
                <w:szCs w:val="2"/>
              </w:rPr>
            </w:pPr>
            <w:r>
              <w:rPr>
                <w:rFonts w:hint="eastAsia" w:ascii="宋体" w:hAnsi="宋体" w:cs="宋体"/>
                <w:color w:val="000000"/>
                <w:kern w:val="0"/>
                <w:sz w:val="16"/>
                <w:szCs w:val="16"/>
                <w:lang w:bidi="ar"/>
              </w:rPr>
              <w:t>17.5</w:t>
            </w:r>
          </w:p>
        </w:tc>
      </w:tr>
      <w:tr w14:paraId="6F9A0C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77C1B8F9">
            <w:pPr>
              <w:jc w:val="center"/>
              <w:rPr>
                <w:sz w:val="15"/>
                <w:szCs w:val="15"/>
              </w:rPr>
            </w:pPr>
            <w:r>
              <w:rPr>
                <w:sz w:val="15"/>
                <w:szCs w:val="15"/>
              </w:rPr>
              <w:t>12</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DE22F40">
            <w:pPr>
              <w:jc w:val="center"/>
              <w:textAlignment w:val="bottom"/>
              <w:rPr>
                <w:rFonts w:ascii="宋体" w:hAnsi="宋体"/>
                <w:sz w:val="2"/>
                <w:szCs w:val="2"/>
              </w:rPr>
            </w:pPr>
            <w:r>
              <w:rPr>
                <w:rFonts w:hint="eastAsia" w:ascii="宋体" w:hAnsi="宋体" w:cs="宋体"/>
                <w:color w:val="000000"/>
                <w:kern w:val="0"/>
                <w:sz w:val="16"/>
                <w:szCs w:val="16"/>
                <w:lang w:bidi="ar"/>
              </w:rPr>
              <w:t>15.68</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93BA1C3">
            <w:pPr>
              <w:jc w:val="center"/>
              <w:textAlignment w:val="bottom"/>
              <w:rPr>
                <w:rFonts w:ascii="宋体" w:hAnsi="宋体"/>
                <w:sz w:val="2"/>
                <w:szCs w:val="2"/>
              </w:rPr>
            </w:pPr>
            <w:r>
              <w:rPr>
                <w:rFonts w:hint="eastAsia" w:ascii="宋体" w:hAnsi="宋体" w:cs="宋体"/>
                <w:color w:val="000000"/>
                <w:kern w:val="0"/>
                <w:sz w:val="16"/>
                <w:szCs w:val="16"/>
                <w:lang w:bidi="ar"/>
              </w:rPr>
              <w:t>8.63</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FB984D1">
            <w:pPr>
              <w:jc w:val="center"/>
              <w:textAlignment w:val="bottom"/>
              <w:rPr>
                <w:rFonts w:ascii="宋体" w:hAnsi="宋体"/>
                <w:sz w:val="2"/>
                <w:szCs w:val="2"/>
              </w:rPr>
            </w:pPr>
            <w:r>
              <w:rPr>
                <w:rFonts w:hint="eastAsia" w:ascii="宋体" w:hAnsi="宋体" w:cs="宋体"/>
                <w:color w:val="000000"/>
                <w:kern w:val="0"/>
                <w:sz w:val="16"/>
                <w:szCs w:val="16"/>
                <w:lang w:bidi="ar"/>
              </w:rPr>
              <w:t>6.95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B290AA2">
            <w:pPr>
              <w:jc w:val="center"/>
              <w:textAlignment w:val="bottom"/>
              <w:rPr>
                <w:rFonts w:ascii="宋体" w:hAnsi="宋体"/>
                <w:sz w:val="2"/>
                <w:szCs w:val="2"/>
              </w:rPr>
            </w:pPr>
            <w:r>
              <w:rPr>
                <w:rFonts w:hint="eastAsia" w:ascii="宋体" w:hAnsi="宋体" w:cs="宋体"/>
                <w:color w:val="000000"/>
                <w:kern w:val="0"/>
                <w:sz w:val="16"/>
                <w:szCs w:val="16"/>
                <w:lang w:bidi="ar"/>
              </w:rPr>
              <w:t>5.84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089D858">
            <w:pPr>
              <w:jc w:val="center"/>
              <w:textAlignment w:val="bottom"/>
              <w:rPr>
                <w:rFonts w:ascii="宋体" w:hAnsi="宋体"/>
                <w:sz w:val="2"/>
                <w:szCs w:val="2"/>
              </w:rPr>
            </w:pPr>
            <w:r>
              <w:rPr>
                <w:rFonts w:hint="eastAsia" w:ascii="宋体" w:hAnsi="宋体" w:cs="宋体"/>
                <w:color w:val="000000"/>
                <w:kern w:val="0"/>
                <w:sz w:val="16"/>
                <w:szCs w:val="16"/>
                <w:lang w:bidi="ar"/>
              </w:rPr>
              <w:t>5.68</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33D8C99">
            <w:pPr>
              <w:jc w:val="center"/>
              <w:textAlignment w:val="bottom"/>
              <w:rPr>
                <w:rFonts w:ascii="宋体" w:hAnsi="宋体"/>
                <w:sz w:val="2"/>
                <w:szCs w:val="2"/>
              </w:rPr>
            </w:pPr>
            <w:r>
              <w:rPr>
                <w:rFonts w:hint="eastAsia" w:ascii="宋体" w:hAnsi="宋体" w:cs="宋体"/>
                <w:color w:val="000000"/>
                <w:kern w:val="0"/>
                <w:sz w:val="16"/>
                <w:szCs w:val="16"/>
                <w:lang w:bidi="ar"/>
              </w:rPr>
              <w:t>4.21</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B47A13F">
            <w:pPr>
              <w:jc w:val="center"/>
              <w:textAlignment w:val="bottom"/>
              <w:rPr>
                <w:rFonts w:ascii="宋体" w:hAnsi="宋体"/>
                <w:sz w:val="2"/>
                <w:szCs w:val="2"/>
              </w:rPr>
            </w:pPr>
            <w:r>
              <w:rPr>
                <w:rFonts w:hint="eastAsia" w:ascii="宋体" w:hAnsi="宋体" w:cs="宋体"/>
                <w:color w:val="000000"/>
                <w:kern w:val="0"/>
                <w:sz w:val="16"/>
                <w:szCs w:val="16"/>
                <w:lang w:bidi="ar"/>
              </w:rPr>
              <w:t>6.11</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601DBA9">
            <w:pPr>
              <w:jc w:val="center"/>
              <w:textAlignment w:val="bottom"/>
              <w:rPr>
                <w:rFonts w:ascii="宋体" w:hAnsi="宋体"/>
                <w:sz w:val="2"/>
                <w:szCs w:val="2"/>
              </w:rPr>
            </w:pPr>
            <w:r>
              <w:rPr>
                <w:rFonts w:hint="eastAsia" w:ascii="宋体" w:hAnsi="宋体" w:cs="宋体"/>
                <w:color w:val="000000"/>
                <w:kern w:val="0"/>
                <w:sz w:val="16"/>
                <w:szCs w:val="16"/>
                <w:lang w:bidi="ar"/>
              </w:rPr>
              <w:t>4.89</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05499EB">
            <w:pPr>
              <w:jc w:val="center"/>
              <w:textAlignment w:val="bottom"/>
              <w:rPr>
                <w:rFonts w:ascii="宋体" w:hAnsi="宋体"/>
                <w:sz w:val="2"/>
                <w:szCs w:val="2"/>
              </w:rPr>
            </w:pPr>
            <w:r>
              <w:rPr>
                <w:rFonts w:hint="eastAsia" w:ascii="宋体" w:hAnsi="宋体" w:cs="宋体"/>
                <w:color w:val="000000"/>
                <w:kern w:val="0"/>
                <w:sz w:val="16"/>
                <w:szCs w:val="16"/>
                <w:lang w:bidi="ar"/>
              </w:rPr>
              <w:t>3.95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8A196B4">
            <w:pPr>
              <w:jc w:val="center"/>
              <w:textAlignment w:val="bottom"/>
              <w:rPr>
                <w:rFonts w:ascii="宋体" w:hAnsi="宋体"/>
                <w:sz w:val="2"/>
                <w:szCs w:val="2"/>
              </w:rPr>
            </w:pPr>
            <w:r>
              <w:rPr>
                <w:rFonts w:hint="eastAsia" w:ascii="宋体" w:hAnsi="宋体" w:cs="宋体"/>
                <w:color w:val="000000"/>
                <w:kern w:val="0"/>
                <w:sz w:val="16"/>
                <w:szCs w:val="16"/>
                <w:lang w:bidi="ar"/>
              </w:rPr>
              <w:t>2.53</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1F3210">
            <w:pPr>
              <w:jc w:val="center"/>
              <w:textAlignment w:val="bottom"/>
              <w:rPr>
                <w:rFonts w:ascii="宋体" w:hAnsi="宋体"/>
                <w:sz w:val="2"/>
                <w:szCs w:val="2"/>
              </w:rPr>
            </w:pPr>
            <w:r>
              <w:rPr>
                <w:rFonts w:hint="eastAsia" w:ascii="宋体" w:hAnsi="宋体" w:cs="宋体"/>
                <w:color w:val="000000"/>
                <w:kern w:val="0"/>
                <w:sz w:val="16"/>
                <w:szCs w:val="16"/>
                <w:lang w:bidi="ar"/>
              </w:rPr>
              <w:t>1.37</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D04BE7">
            <w:pPr>
              <w:jc w:val="center"/>
              <w:textAlignment w:val="bottom"/>
              <w:rPr>
                <w:rFonts w:ascii="宋体" w:hAnsi="宋体"/>
                <w:sz w:val="2"/>
                <w:szCs w:val="2"/>
              </w:rPr>
            </w:pPr>
            <w:r>
              <w:rPr>
                <w:rFonts w:hint="eastAsia" w:ascii="宋体" w:hAnsi="宋体" w:cs="宋体"/>
                <w:color w:val="000000"/>
                <w:kern w:val="0"/>
                <w:sz w:val="16"/>
                <w:szCs w:val="16"/>
                <w:lang w:bidi="ar"/>
              </w:rPr>
              <w:t>0.63</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FCD0AE">
            <w:pPr>
              <w:jc w:val="center"/>
              <w:textAlignment w:val="bottom"/>
              <w:rPr>
                <w:rFonts w:ascii="宋体" w:hAnsi="宋体"/>
                <w:sz w:val="2"/>
                <w:szCs w:val="2"/>
              </w:rPr>
            </w:pPr>
            <w:r>
              <w:rPr>
                <w:rFonts w:hint="eastAsia" w:ascii="宋体" w:hAnsi="宋体" w:cs="宋体"/>
                <w:color w:val="000000"/>
                <w:kern w:val="0"/>
                <w:sz w:val="16"/>
                <w:szCs w:val="16"/>
                <w:lang w:bidi="ar"/>
              </w:rPr>
              <w:t>0.89</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DE9566">
            <w:pPr>
              <w:jc w:val="center"/>
              <w:textAlignment w:val="bottom"/>
              <w:rPr>
                <w:rFonts w:ascii="宋体" w:hAnsi="宋体"/>
                <w:sz w:val="2"/>
                <w:szCs w:val="2"/>
              </w:rPr>
            </w:pPr>
            <w:r>
              <w:rPr>
                <w:rFonts w:hint="eastAsia" w:ascii="宋体" w:hAnsi="宋体" w:cs="宋体"/>
                <w:color w:val="000000"/>
                <w:kern w:val="0"/>
                <w:sz w:val="16"/>
                <w:szCs w:val="16"/>
                <w:lang w:bidi="ar"/>
              </w:rPr>
              <w:t>1.84</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16635E">
            <w:pPr>
              <w:jc w:val="center"/>
              <w:textAlignment w:val="bottom"/>
              <w:rPr>
                <w:rFonts w:ascii="宋体" w:hAnsi="宋体"/>
                <w:sz w:val="2"/>
                <w:szCs w:val="2"/>
              </w:rPr>
            </w:pPr>
            <w:r>
              <w:rPr>
                <w:rFonts w:hint="eastAsia" w:ascii="宋体" w:hAnsi="宋体" w:cs="宋体"/>
                <w:color w:val="000000"/>
                <w:kern w:val="0"/>
                <w:sz w:val="16"/>
                <w:szCs w:val="16"/>
                <w:lang w:bidi="ar"/>
              </w:rPr>
              <w:t>4.42</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6EEC38C">
            <w:pPr>
              <w:jc w:val="center"/>
              <w:textAlignment w:val="bottom"/>
              <w:rPr>
                <w:rFonts w:ascii="宋体" w:hAnsi="宋体"/>
                <w:sz w:val="2"/>
                <w:szCs w:val="2"/>
              </w:rPr>
            </w:pPr>
            <w:r>
              <w:rPr>
                <w:rFonts w:hint="eastAsia" w:ascii="宋体" w:hAnsi="宋体" w:cs="宋体"/>
                <w:color w:val="000000"/>
                <w:kern w:val="0"/>
                <w:sz w:val="16"/>
                <w:szCs w:val="16"/>
                <w:lang w:bidi="ar"/>
              </w:rPr>
              <w:t>8.53</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50D0A6C1">
            <w:pPr>
              <w:jc w:val="center"/>
              <w:textAlignment w:val="bottom"/>
              <w:rPr>
                <w:rFonts w:ascii="宋体" w:hAnsi="宋体"/>
                <w:sz w:val="2"/>
                <w:szCs w:val="2"/>
              </w:rPr>
            </w:pPr>
            <w:r>
              <w:rPr>
                <w:rFonts w:hint="eastAsia" w:ascii="宋体" w:hAnsi="宋体" w:cs="宋体"/>
                <w:color w:val="000000"/>
                <w:kern w:val="0"/>
                <w:sz w:val="16"/>
                <w:szCs w:val="16"/>
                <w:lang w:bidi="ar"/>
              </w:rPr>
              <w:t>17.85</w:t>
            </w:r>
          </w:p>
        </w:tc>
      </w:tr>
      <w:tr w14:paraId="67749D5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40" w:hRule="atLeast"/>
          <w:jc w:val="center"/>
        </w:trPr>
        <w:tc>
          <w:tcPr>
            <w:tcW w:w="285" w:type="pct"/>
            <w:tcBorders>
              <w:top w:val="single" w:color="000000" w:sz="6" w:space="0"/>
              <w:left w:val="single" w:color="000000" w:sz="12" w:space="0"/>
              <w:bottom w:val="single" w:color="000000" w:sz="6" w:space="0"/>
              <w:right w:val="single" w:color="000000" w:sz="6" w:space="0"/>
            </w:tcBorders>
            <w:shd w:val="clear" w:color="auto" w:fill="FFFFFF"/>
            <w:tcMar>
              <w:top w:w="80" w:type="dxa"/>
              <w:left w:w="80" w:type="dxa"/>
              <w:bottom w:w="80" w:type="dxa"/>
              <w:right w:w="80" w:type="dxa"/>
            </w:tcMar>
            <w:vAlign w:val="center"/>
          </w:tcPr>
          <w:p w14:paraId="03D436A3">
            <w:pPr>
              <w:jc w:val="center"/>
              <w:rPr>
                <w:sz w:val="15"/>
                <w:szCs w:val="15"/>
              </w:rPr>
            </w:pPr>
            <w:r>
              <w:rPr>
                <w:rFonts w:hint="eastAsia"/>
                <w:sz w:val="15"/>
                <w:szCs w:val="15"/>
              </w:rPr>
              <w:t>全年</w:t>
            </w:r>
          </w:p>
        </w:tc>
        <w:tc>
          <w:tcPr>
            <w:tcW w:w="27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F40C0C9">
            <w:pPr>
              <w:jc w:val="center"/>
              <w:textAlignment w:val="bottom"/>
              <w:rPr>
                <w:rFonts w:ascii="宋体" w:hAnsi="宋体"/>
                <w:sz w:val="2"/>
                <w:szCs w:val="2"/>
              </w:rPr>
            </w:pPr>
            <w:r>
              <w:rPr>
                <w:rFonts w:hint="eastAsia" w:ascii="宋体" w:hAnsi="宋体" w:cs="宋体"/>
                <w:color w:val="000000"/>
                <w:kern w:val="0"/>
                <w:sz w:val="16"/>
                <w:szCs w:val="16"/>
                <w:lang w:bidi="ar"/>
              </w:rPr>
              <w:t>17.39</w:t>
            </w:r>
          </w:p>
        </w:tc>
        <w:tc>
          <w:tcPr>
            <w:tcW w:w="30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230DA59">
            <w:pPr>
              <w:jc w:val="center"/>
              <w:textAlignment w:val="bottom"/>
              <w:rPr>
                <w:rFonts w:ascii="宋体" w:hAnsi="宋体"/>
                <w:sz w:val="2"/>
                <w:szCs w:val="2"/>
              </w:rPr>
            </w:pPr>
            <w:r>
              <w:rPr>
                <w:rFonts w:hint="eastAsia" w:ascii="宋体" w:hAnsi="宋体" w:cs="宋体"/>
                <w:color w:val="000000"/>
                <w:kern w:val="0"/>
                <w:sz w:val="16"/>
                <w:szCs w:val="16"/>
                <w:lang w:bidi="ar"/>
              </w:rPr>
              <w:t>8.55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73587EF">
            <w:pPr>
              <w:jc w:val="center"/>
              <w:textAlignment w:val="bottom"/>
              <w:rPr>
                <w:rFonts w:ascii="宋体" w:hAnsi="宋体"/>
                <w:sz w:val="2"/>
                <w:szCs w:val="2"/>
              </w:rPr>
            </w:pPr>
            <w:r>
              <w:rPr>
                <w:rFonts w:hint="eastAsia" w:ascii="宋体" w:hAnsi="宋体" w:cs="宋体"/>
                <w:color w:val="000000"/>
                <w:kern w:val="0"/>
                <w:sz w:val="16"/>
                <w:szCs w:val="16"/>
                <w:lang w:bidi="ar"/>
              </w:rPr>
              <w:t>6.54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BACC28D">
            <w:pPr>
              <w:jc w:val="center"/>
              <w:textAlignment w:val="bottom"/>
              <w:rPr>
                <w:rFonts w:ascii="宋体" w:hAnsi="宋体"/>
                <w:sz w:val="2"/>
                <w:szCs w:val="2"/>
              </w:rPr>
            </w:pPr>
            <w:r>
              <w:rPr>
                <w:rFonts w:hint="eastAsia" w:ascii="宋体" w:hAnsi="宋体" w:cs="宋体"/>
                <w:color w:val="000000"/>
                <w:kern w:val="0"/>
                <w:sz w:val="16"/>
                <w:szCs w:val="16"/>
                <w:lang w:bidi="ar"/>
              </w:rPr>
              <w:t>6.22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DB0762F">
            <w:pPr>
              <w:jc w:val="center"/>
              <w:textAlignment w:val="bottom"/>
              <w:rPr>
                <w:rFonts w:ascii="宋体" w:hAnsi="宋体"/>
                <w:sz w:val="2"/>
                <w:szCs w:val="2"/>
              </w:rPr>
            </w:pPr>
            <w:r>
              <w:rPr>
                <w:rFonts w:hint="eastAsia" w:ascii="宋体" w:hAnsi="宋体" w:cs="宋体"/>
                <w:color w:val="000000"/>
                <w:kern w:val="0"/>
                <w:sz w:val="16"/>
                <w:szCs w:val="16"/>
                <w:lang w:bidi="ar"/>
              </w:rPr>
              <w:t>5.24</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5B2D68C">
            <w:pPr>
              <w:jc w:val="center"/>
              <w:textAlignment w:val="bottom"/>
              <w:rPr>
                <w:rFonts w:ascii="宋体" w:hAnsi="宋体"/>
                <w:sz w:val="2"/>
                <w:szCs w:val="2"/>
              </w:rPr>
            </w:pPr>
            <w:r>
              <w:rPr>
                <w:rFonts w:hint="eastAsia" w:ascii="宋体" w:hAnsi="宋体" w:cs="宋体"/>
                <w:color w:val="000000"/>
                <w:kern w:val="0"/>
                <w:sz w:val="16"/>
                <w:szCs w:val="16"/>
                <w:lang w:bidi="ar"/>
              </w:rPr>
              <w:t>5</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8DD7ADF">
            <w:pPr>
              <w:jc w:val="center"/>
              <w:textAlignment w:val="bottom"/>
              <w:rPr>
                <w:rFonts w:ascii="宋体" w:hAnsi="宋体"/>
                <w:sz w:val="2"/>
                <w:szCs w:val="2"/>
              </w:rPr>
            </w:pPr>
            <w:r>
              <w:rPr>
                <w:rFonts w:hint="eastAsia" w:ascii="宋体" w:hAnsi="宋体" w:cs="宋体"/>
                <w:color w:val="000000"/>
                <w:kern w:val="0"/>
                <w:sz w:val="16"/>
                <w:szCs w:val="16"/>
                <w:lang w:bidi="ar"/>
              </w:rPr>
              <w:t>5.28</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3BF97D3">
            <w:pPr>
              <w:jc w:val="center"/>
              <w:textAlignment w:val="bottom"/>
              <w:rPr>
                <w:rFonts w:ascii="宋体" w:hAnsi="宋体"/>
                <w:sz w:val="2"/>
                <w:szCs w:val="2"/>
              </w:rPr>
            </w:pPr>
            <w:r>
              <w:rPr>
                <w:rFonts w:hint="eastAsia" w:ascii="宋体" w:hAnsi="宋体" w:cs="宋体"/>
                <w:color w:val="000000"/>
                <w:kern w:val="0"/>
                <w:sz w:val="16"/>
                <w:szCs w:val="16"/>
                <w:lang w:bidi="ar"/>
              </w:rPr>
              <w:t>4.62</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8305930">
            <w:pPr>
              <w:jc w:val="center"/>
              <w:textAlignment w:val="bottom"/>
              <w:rPr>
                <w:rFonts w:ascii="宋体" w:hAnsi="宋体"/>
                <w:sz w:val="2"/>
                <w:szCs w:val="2"/>
              </w:rPr>
            </w:pPr>
            <w:r>
              <w:rPr>
                <w:rFonts w:hint="eastAsia" w:ascii="宋体" w:hAnsi="宋体" w:cs="宋体"/>
                <w:color w:val="000000"/>
                <w:kern w:val="0"/>
                <w:sz w:val="16"/>
                <w:szCs w:val="16"/>
                <w:lang w:bidi="ar"/>
              </w:rPr>
              <w:t>4.19</w:t>
            </w:r>
          </w:p>
        </w:tc>
        <w:tc>
          <w:tcPr>
            <w:tcW w:w="26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1DA509D">
            <w:pPr>
              <w:jc w:val="center"/>
              <w:textAlignment w:val="bottom"/>
              <w:rPr>
                <w:rFonts w:ascii="宋体" w:hAnsi="宋体"/>
                <w:sz w:val="2"/>
                <w:szCs w:val="2"/>
              </w:rPr>
            </w:pPr>
            <w:r>
              <w:rPr>
                <w:rFonts w:hint="eastAsia" w:ascii="宋体" w:hAnsi="宋体" w:cs="宋体"/>
                <w:color w:val="000000"/>
                <w:kern w:val="0"/>
                <w:sz w:val="16"/>
                <w:szCs w:val="16"/>
                <w:lang w:bidi="ar"/>
              </w:rPr>
              <w:t>2.85</w:t>
            </w:r>
          </w:p>
        </w:tc>
        <w:tc>
          <w:tcPr>
            <w:tcW w:w="26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53907F">
            <w:pPr>
              <w:jc w:val="center"/>
              <w:textAlignment w:val="bottom"/>
              <w:rPr>
                <w:rFonts w:ascii="宋体" w:hAnsi="宋体"/>
                <w:sz w:val="2"/>
                <w:szCs w:val="2"/>
              </w:rPr>
            </w:pPr>
            <w:r>
              <w:rPr>
                <w:rFonts w:hint="eastAsia" w:ascii="宋体" w:hAnsi="宋体" w:cs="宋体"/>
                <w:color w:val="000000"/>
                <w:kern w:val="0"/>
                <w:sz w:val="16"/>
                <w:szCs w:val="16"/>
                <w:lang w:bidi="ar"/>
              </w:rPr>
              <w:t>2.07</w:t>
            </w:r>
          </w:p>
        </w:tc>
        <w:tc>
          <w:tcPr>
            <w:tcW w:w="257"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DB1C79">
            <w:pPr>
              <w:jc w:val="center"/>
              <w:textAlignment w:val="bottom"/>
              <w:rPr>
                <w:rFonts w:ascii="宋体" w:hAnsi="宋体"/>
                <w:sz w:val="2"/>
                <w:szCs w:val="2"/>
              </w:rPr>
            </w:pPr>
            <w:r>
              <w:rPr>
                <w:rFonts w:hint="eastAsia" w:ascii="宋体" w:hAnsi="宋体" w:cs="宋体"/>
                <w:color w:val="000000"/>
                <w:kern w:val="0"/>
                <w:sz w:val="16"/>
                <w:szCs w:val="16"/>
                <w:lang w:bidi="ar"/>
              </w:rPr>
              <w:t>1.29</w:t>
            </w:r>
          </w:p>
        </w:tc>
        <w:tc>
          <w:tcPr>
            <w:tcW w:w="28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E01A9C">
            <w:pPr>
              <w:jc w:val="center"/>
              <w:textAlignment w:val="bottom"/>
              <w:rPr>
                <w:rFonts w:ascii="宋体" w:hAnsi="宋体"/>
                <w:sz w:val="2"/>
                <w:szCs w:val="2"/>
              </w:rPr>
            </w:pPr>
            <w:r>
              <w:rPr>
                <w:rFonts w:hint="eastAsia" w:ascii="宋体" w:hAnsi="宋体" w:cs="宋体"/>
                <w:color w:val="000000"/>
                <w:kern w:val="0"/>
                <w:sz w:val="16"/>
                <w:szCs w:val="16"/>
                <w:lang w:bidi="ar"/>
              </w:rPr>
              <w:t>1.1</w:t>
            </w:r>
          </w:p>
        </w:tc>
        <w:tc>
          <w:tcPr>
            <w:tcW w:w="26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69A58B">
            <w:pPr>
              <w:jc w:val="center"/>
              <w:textAlignment w:val="bottom"/>
              <w:rPr>
                <w:rFonts w:ascii="宋体" w:hAnsi="宋体"/>
                <w:sz w:val="2"/>
                <w:szCs w:val="2"/>
              </w:rPr>
            </w:pPr>
            <w:r>
              <w:rPr>
                <w:rFonts w:hint="eastAsia" w:ascii="宋体" w:hAnsi="宋体" w:cs="宋体"/>
                <w:color w:val="000000"/>
                <w:kern w:val="0"/>
                <w:sz w:val="16"/>
                <w:szCs w:val="16"/>
                <w:lang w:bidi="ar"/>
              </w:rPr>
              <w:t>1.87</w:t>
            </w:r>
          </w:p>
        </w:tc>
        <w:tc>
          <w:tcPr>
            <w:tcW w:w="271"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009B4A">
            <w:pPr>
              <w:jc w:val="center"/>
              <w:textAlignment w:val="bottom"/>
              <w:rPr>
                <w:rFonts w:ascii="宋体" w:hAnsi="宋体"/>
                <w:sz w:val="2"/>
                <w:szCs w:val="2"/>
              </w:rPr>
            </w:pPr>
            <w:r>
              <w:rPr>
                <w:rFonts w:hint="eastAsia" w:ascii="宋体" w:hAnsi="宋体" w:cs="宋体"/>
                <w:color w:val="000000"/>
                <w:kern w:val="0"/>
                <w:sz w:val="16"/>
                <w:szCs w:val="16"/>
                <w:lang w:bidi="ar"/>
              </w:rPr>
              <w:t>5.22</w:t>
            </w:r>
          </w:p>
        </w:tc>
        <w:tc>
          <w:tcPr>
            <w:tcW w:w="33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523EE6">
            <w:pPr>
              <w:jc w:val="center"/>
              <w:textAlignment w:val="bottom"/>
              <w:rPr>
                <w:rFonts w:ascii="宋体" w:hAnsi="宋体"/>
                <w:sz w:val="2"/>
                <w:szCs w:val="2"/>
              </w:rPr>
            </w:pPr>
            <w:r>
              <w:rPr>
                <w:rFonts w:hint="eastAsia" w:ascii="宋体" w:hAnsi="宋体" w:cs="宋体"/>
                <w:color w:val="000000"/>
                <w:kern w:val="0"/>
                <w:sz w:val="16"/>
                <w:szCs w:val="16"/>
                <w:lang w:bidi="ar"/>
              </w:rPr>
              <w:t>9.01</w:t>
            </w:r>
          </w:p>
        </w:tc>
        <w:tc>
          <w:tcPr>
            <w:tcW w:w="298" w:type="pct"/>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7F43CF4C">
            <w:pPr>
              <w:jc w:val="center"/>
              <w:textAlignment w:val="bottom"/>
              <w:rPr>
                <w:rFonts w:ascii="宋体" w:hAnsi="宋体"/>
                <w:sz w:val="2"/>
                <w:szCs w:val="2"/>
              </w:rPr>
            </w:pPr>
            <w:r>
              <w:rPr>
                <w:rFonts w:hint="eastAsia" w:ascii="宋体" w:hAnsi="宋体" w:cs="宋体"/>
                <w:color w:val="000000"/>
                <w:kern w:val="0"/>
                <w:sz w:val="16"/>
                <w:szCs w:val="16"/>
                <w:lang w:bidi="ar"/>
              </w:rPr>
              <w:t>13.56</w:t>
            </w:r>
          </w:p>
        </w:tc>
      </w:tr>
    </w:tbl>
    <w:p w14:paraId="5D5719E9">
      <w:pPr>
        <w:pStyle w:val="3637"/>
        <w:ind w:firstLine="422"/>
        <w:jc w:val="center"/>
        <w:rPr>
          <w:rFonts w:ascii="Times New Roman" w:hAnsi="Times New Roman"/>
          <w:b/>
          <w:bCs/>
        </w:rPr>
      </w:pPr>
    </w:p>
    <w:p w14:paraId="7189E52B">
      <w:pPr>
        <w:pStyle w:val="22"/>
        <w:jc w:val="center"/>
        <w:rPr>
          <w:rFonts w:ascii="Times New Roman" w:hAnsi="Times New Roman" w:eastAsia="宋体"/>
          <w:b/>
          <w:bCs/>
          <w:sz w:val="21"/>
          <w:szCs w:val="21"/>
        </w:rPr>
      </w:pPr>
      <w:r>
        <w:rPr>
          <w:lang w:val="en-US"/>
        </w:rPr>
        <w:drawing>
          <wp:inline distT="0" distB="0" distL="114300" distR="114300">
            <wp:extent cx="5076825" cy="5800725"/>
            <wp:effectExtent l="0" t="0" r="9525" b="952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71"/>
                    <a:stretch>
                      <a:fillRect/>
                    </a:stretch>
                  </pic:blipFill>
                  <pic:spPr>
                    <a:xfrm>
                      <a:off x="0" y="0"/>
                      <a:ext cx="5076825" cy="5800725"/>
                    </a:xfrm>
                    <a:prstGeom prst="rect">
                      <a:avLst/>
                    </a:prstGeom>
                    <a:noFill/>
                    <a:ln>
                      <a:noFill/>
                    </a:ln>
                  </pic:spPr>
                </pic:pic>
              </a:graphicData>
            </a:graphic>
          </wp:inline>
        </w:drawing>
      </w:r>
    </w:p>
    <w:p w14:paraId="5381FA65">
      <w:pPr>
        <w:pStyle w:val="22"/>
        <w:jc w:val="center"/>
        <w:rPr>
          <w:rFonts w:ascii="Times New Roman" w:hAnsi="Times New Roman" w:eastAsia="PMingLiU"/>
          <w:b/>
          <w:bCs/>
          <w:sz w:val="21"/>
          <w:szCs w:val="21"/>
          <w:lang w:val="zh-TW" w:eastAsia="zh-TW"/>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w:t>
      </w:r>
      <w:r>
        <w:rPr>
          <w:rFonts w:ascii="Times New Roman" w:hAnsi="Times New Roman" w:eastAsia="宋体"/>
          <w:b/>
          <w:bCs/>
          <w:sz w:val="21"/>
          <w:szCs w:val="21"/>
          <w:lang w:val="en-US"/>
        </w:rPr>
        <w:t>2</w:t>
      </w:r>
      <w:r>
        <w:rPr>
          <w:rFonts w:hint="eastAsia" w:ascii="Times New Roman" w:hAnsi="Times New Roman" w:eastAsia="宋体"/>
          <w:b/>
          <w:bCs/>
          <w:sz w:val="21"/>
          <w:szCs w:val="21"/>
          <w:lang w:val="en-US"/>
        </w:rPr>
        <w:t>-3</w:t>
      </w:r>
      <w:r>
        <w:rPr>
          <w:rFonts w:ascii="Times New Roman" w:hAnsi="Times New Roman" w:eastAsia="宋体"/>
          <w:b/>
          <w:bCs/>
          <w:sz w:val="21"/>
          <w:szCs w:val="21"/>
        </w:rPr>
        <w:t xml:space="preserve"> </w:t>
      </w:r>
      <w:r>
        <w:rPr>
          <w:rFonts w:hint="eastAsia" w:ascii="Times New Roman" w:hAnsi="Times New Roman" w:eastAsia="宋体"/>
          <w:b/>
          <w:bCs/>
          <w:sz w:val="21"/>
          <w:szCs w:val="21"/>
          <w:lang w:val="en-US"/>
        </w:rPr>
        <w:t>巴中</w:t>
      </w:r>
      <w:r>
        <w:rPr>
          <w:rFonts w:ascii="Times New Roman" w:hAnsi="Times New Roman" w:eastAsia="宋体"/>
          <w:b/>
          <w:bCs/>
          <w:sz w:val="21"/>
          <w:szCs w:val="21"/>
        </w:rPr>
        <w:t>风向玫瑰图</w:t>
      </w:r>
    </w:p>
    <w:p w14:paraId="3C6FD247">
      <w:pPr>
        <w:pStyle w:val="4086"/>
        <w:spacing w:line="360" w:lineRule="auto"/>
        <w:rPr>
          <w:rStyle w:val="102"/>
          <w:rFonts w:ascii="Times New Roman" w:hAnsi="Times New Roman" w:eastAsia="Songti SC Regular" w:cs="Times New Roman"/>
          <w:color w:val="auto"/>
        </w:rPr>
      </w:pPr>
      <w:r>
        <w:rPr>
          <w:rFonts w:ascii="Times New Roman" w:hAnsi="Times New Roman" w:eastAsia="宋体" w:cs="Times New Roman"/>
          <w:color w:val="auto"/>
        </w:rPr>
        <w:t>3</w:t>
      </w:r>
      <w:r>
        <w:rPr>
          <w:rFonts w:hint="eastAsia" w:ascii="Times New Roman" w:hAnsi="Times New Roman" w:eastAsia="宋体" w:cs="Times New Roman"/>
          <w:color w:val="auto"/>
        </w:rPr>
        <w:t>）</w:t>
      </w:r>
      <w:r>
        <w:rPr>
          <w:rFonts w:ascii="Times New Roman" w:hAnsi="Times New Roman" w:eastAsia="宋体" w:cs="Times New Roman"/>
          <w:color w:val="auto"/>
        </w:rPr>
        <w:t>风速年际变化特征</w:t>
      </w:r>
    </w:p>
    <w:p w14:paraId="796EBDE9">
      <w:pPr>
        <w:pStyle w:val="4086"/>
        <w:spacing w:line="360" w:lineRule="auto"/>
        <w:ind w:firstLine="480"/>
        <w:rPr>
          <w:rFonts w:ascii="Songti SC Regular" w:hAnsi="Songti SC Regular" w:eastAsia="宋体" w:cs="Songti SC Regular"/>
          <w:color w:val="auto"/>
        </w:rPr>
      </w:pPr>
      <w:r>
        <w:rPr>
          <w:rFonts w:ascii="宋体" w:hAnsi="宋体" w:eastAsia="宋体"/>
          <w:color w:val="auto"/>
        </w:rPr>
        <w:t>根据近20年资料分析，</w:t>
      </w:r>
      <w:r>
        <w:rPr>
          <w:rFonts w:hint="eastAsia" w:ascii="宋体" w:hAnsi="宋体" w:eastAsia="宋体"/>
          <w:color w:val="auto"/>
        </w:rPr>
        <w:t>巴中</w:t>
      </w:r>
      <w:r>
        <w:rPr>
          <w:rFonts w:ascii="宋体" w:hAnsi="宋体" w:eastAsia="宋体"/>
          <w:color w:val="auto"/>
        </w:rPr>
        <w:t>气象站风速</w:t>
      </w:r>
      <w:r>
        <w:rPr>
          <w:rFonts w:hint="eastAsia" w:ascii="宋体" w:hAnsi="宋体" w:eastAsia="宋体"/>
          <w:color w:val="auto"/>
        </w:rPr>
        <w:t>表现出上升</w:t>
      </w:r>
      <w:r>
        <w:rPr>
          <w:rFonts w:hint="eastAsia" w:ascii="宋体" w:hAnsi="宋体" w:eastAsia="宋体"/>
          <w:color w:val="auto"/>
          <w:kern w:val="2"/>
          <w:szCs w:val="21"/>
        </w:rPr>
        <w:t>趋势</w:t>
      </w:r>
      <w:r>
        <w:rPr>
          <w:rFonts w:hint="eastAsia" w:ascii="宋体" w:hAnsi="宋体" w:eastAsia="宋体"/>
          <w:color w:val="auto"/>
        </w:rPr>
        <w:t>，其中</w:t>
      </w:r>
      <w:r>
        <w:rPr>
          <w:rFonts w:hint="eastAsia" w:ascii="宋体" w:hAnsi="宋体" w:eastAsia="宋体"/>
          <w:color w:val="auto"/>
          <w:kern w:val="2"/>
          <w:szCs w:val="21"/>
        </w:rPr>
        <w:t>2025</w:t>
      </w:r>
      <w:r>
        <w:rPr>
          <w:rFonts w:ascii="宋体" w:hAnsi="宋体" w:eastAsia="宋体"/>
          <w:color w:val="auto"/>
        </w:rPr>
        <w:t>年</w:t>
      </w:r>
      <w:r>
        <w:rPr>
          <w:rFonts w:hint="eastAsia" w:ascii="宋体" w:hAnsi="宋体" w:eastAsia="宋体"/>
          <w:color w:val="auto"/>
        </w:rPr>
        <w:t>年</w:t>
      </w:r>
      <w:r>
        <w:rPr>
          <w:rFonts w:ascii="宋体" w:hAnsi="宋体" w:eastAsia="宋体"/>
          <w:color w:val="auto"/>
        </w:rPr>
        <w:t>平均风速最大（</w:t>
      </w:r>
      <w:r>
        <w:rPr>
          <w:rFonts w:hint="eastAsia" w:ascii="宋体" w:hAnsi="宋体" w:eastAsia="宋体"/>
          <w:color w:val="auto"/>
          <w:kern w:val="2"/>
          <w:szCs w:val="21"/>
        </w:rPr>
        <w:t>1.73</w:t>
      </w:r>
      <w:r>
        <w:rPr>
          <w:rFonts w:ascii="宋体" w:hAnsi="宋体" w:eastAsia="宋体"/>
          <w:color w:val="auto"/>
        </w:rPr>
        <w:t>米/秒），</w:t>
      </w:r>
      <w:r>
        <w:rPr>
          <w:rFonts w:hint="eastAsia" w:ascii="宋体" w:hAnsi="宋体" w:eastAsia="宋体"/>
          <w:color w:val="auto"/>
          <w:kern w:val="2"/>
          <w:szCs w:val="21"/>
        </w:rPr>
        <w:t>2008年</w:t>
      </w:r>
      <w:r>
        <w:rPr>
          <w:rFonts w:ascii="宋体" w:hAnsi="宋体" w:eastAsia="宋体"/>
          <w:color w:val="auto"/>
        </w:rPr>
        <w:t>平均风速最小（</w:t>
      </w:r>
      <w:r>
        <w:rPr>
          <w:rFonts w:hint="eastAsia" w:ascii="宋体" w:hAnsi="宋体" w:eastAsia="宋体"/>
          <w:color w:val="auto"/>
          <w:kern w:val="2"/>
          <w:szCs w:val="21"/>
        </w:rPr>
        <w:t>0.72米/秒</w:t>
      </w:r>
      <w:r>
        <w:rPr>
          <w:rFonts w:ascii="宋体" w:hAnsi="宋体" w:eastAsia="宋体"/>
          <w:color w:val="auto"/>
        </w:rPr>
        <w:t>）</w:t>
      </w:r>
      <w:r>
        <w:rPr>
          <w:rFonts w:hint="eastAsia" w:ascii="宋体" w:hAnsi="宋体" w:eastAsia="宋体"/>
          <w:color w:val="auto"/>
        </w:rPr>
        <w:t>。</w:t>
      </w:r>
    </w:p>
    <w:p w14:paraId="1E50CC31">
      <w:pPr>
        <w:pStyle w:val="4086"/>
        <w:spacing w:line="240" w:lineRule="auto"/>
        <w:ind w:firstLine="0"/>
        <w:jc w:val="center"/>
        <w:rPr>
          <w:rFonts w:ascii="Times New Roman" w:hAnsi="Times New Roman" w:cs="Times New Roman"/>
          <w:b/>
          <w:bCs/>
          <w:color w:val="auto"/>
          <w:sz w:val="21"/>
          <w:szCs w:val="21"/>
        </w:rPr>
      </w:pPr>
      <w:r>
        <w:rPr>
          <w:rFonts w:hint="eastAsia" w:ascii="Songti SC Regular" w:hAnsi="Songti SC Regular" w:cs="Songti SC Regular"/>
          <w:color w:val="auto"/>
        </w:rPr>
        <w:drawing>
          <wp:inline distT="0" distB="0" distL="114300" distR="114300">
            <wp:extent cx="5266690" cy="3686810"/>
            <wp:effectExtent l="0" t="0" r="10160" b="8890"/>
            <wp:docPr id="20" name="图片 20" descr="年平均风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年平均风速"/>
                    <pic:cNvPicPr>
                      <a:picLocks noChangeAspect="1"/>
                    </pic:cNvPicPr>
                  </pic:nvPicPr>
                  <pic:blipFill>
                    <a:blip r:embed="rId72"/>
                    <a:stretch>
                      <a:fillRect/>
                    </a:stretch>
                  </pic:blipFill>
                  <pic:spPr>
                    <a:xfrm>
                      <a:off x="0" y="0"/>
                      <a:ext cx="5266690" cy="3686810"/>
                    </a:xfrm>
                    <a:prstGeom prst="rect">
                      <a:avLst/>
                    </a:prstGeom>
                  </pic:spPr>
                </pic:pic>
              </a:graphicData>
            </a:graphic>
          </wp:inline>
        </w:drawing>
      </w:r>
    </w:p>
    <w:p w14:paraId="1CB62E66">
      <w:pPr>
        <w:pStyle w:val="22"/>
        <w:jc w:val="center"/>
        <w:rPr>
          <w:rFonts w:ascii="Times New Roman" w:hAnsi="Times New Roman" w:eastAsia="Songti SC Regular"/>
          <w:b/>
          <w:bCs/>
          <w:sz w:val="21"/>
          <w:szCs w:val="21"/>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5.2-4</w:t>
      </w:r>
      <w:r>
        <w:rPr>
          <w:rFonts w:ascii="Times New Roman" w:hAnsi="Times New Roman" w:eastAsia="宋体"/>
          <w:b/>
          <w:bCs/>
          <w:sz w:val="21"/>
          <w:szCs w:val="21"/>
        </w:rPr>
        <w:t xml:space="preserve"> </w:t>
      </w:r>
      <w:r>
        <w:rPr>
          <w:rFonts w:hint="eastAsia" w:ascii="Times New Roman" w:hAnsi="Times New Roman" w:eastAsia="宋体"/>
          <w:b/>
          <w:bCs/>
          <w:sz w:val="21"/>
          <w:szCs w:val="21"/>
        </w:rPr>
        <w:t>巴中</w:t>
      </w:r>
      <w:r>
        <w:rPr>
          <w:rFonts w:ascii="Times New Roman" w:hAnsi="Times New Roman" w:eastAsia="宋体"/>
          <w:b/>
          <w:bCs/>
          <w:sz w:val="21"/>
          <w:szCs w:val="21"/>
        </w:rPr>
        <w:t>（2006-2025）年平均风速（单位：m/s，虚线为趋势线）</w:t>
      </w:r>
    </w:p>
    <w:p w14:paraId="141EB42F">
      <w:pPr>
        <w:pStyle w:val="752"/>
        <w:spacing w:before="0" w:after="0"/>
        <w:ind w:firstLine="562" w:firstLineChars="200"/>
        <w:outlineLvl w:val="9"/>
        <w:rPr>
          <w:rStyle w:val="102"/>
          <w:rFonts w:eastAsia="Songti SC Bold" w:cs="Times New Roman"/>
        </w:rPr>
      </w:pPr>
      <w:r>
        <w:rPr>
          <w:rFonts w:hint="eastAsia" w:cs="Times New Roman"/>
        </w:rPr>
        <w:t>（3）</w:t>
      </w:r>
      <w:r>
        <w:rPr>
          <w:rFonts w:cs="Times New Roman"/>
        </w:rPr>
        <w:t>气象站温度分析</w:t>
      </w:r>
    </w:p>
    <w:p w14:paraId="78F31A3B">
      <w:pPr>
        <w:pStyle w:val="4086"/>
        <w:spacing w:line="360" w:lineRule="auto"/>
        <w:rPr>
          <w:rFonts w:eastAsia="宋体"/>
        </w:rPr>
      </w:pPr>
      <w:r>
        <w:rPr>
          <w:rFonts w:hint="eastAsia" w:ascii="Times New Roman" w:hAnsi="Times New Roman" w:eastAsia="宋体" w:cs="Times New Roman"/>
          <w:color w:val="auto"/>
        </w:rPr>
        <w:t>1）</w:t>
      </w:r>
      <w:r>
        <w:rPr>
          <w:rFonts w:ascii="Times New Roman" w:hAnsi="Times New Roman" w:eastAsia="宋体" w:cs="Times New Roman"/>
          <w:color w:val="auto"/>
        </w:rPr>
        <w:t>月平均气温与极端气温</w:t>
      </w:r>
    </w:p>
    <w:p w14:paraId="6A916816">
      <w:pPr>
        <w:pStyle w:val="4086"/>
        <w:spacing w:line="360" w:lineRule="auto"/>
        <w:ind w:firstLine="480"/>
        <w:rPr>
          <w:rFonts w:ascii="宋体" w:hAnsi="宋体" w:eastAsia="宋体"/>
          <w:color w:val="auto"/>
        </w:rPr>
      </w:pPr>
      <w:r>
        <w:rPr>
          <w:rFonts w:hint="eastAsia" w:ascii="宋体" w:hAnsi="宋体" w:eastAsia="宋体"/>
          <w:color w:val="auto"/>
        </w:rPr>
        <w:t>巴中气象站08月气温最高（28.82℃），01月气温最低（13.49℃），近20年极端最高气温出现在20060812（40.6℃），近20年极端最低气温出现在20160125（-4.5℃）</w:t>
      </w:r>
      <w:r>
        <w:rPr>
          <w:rFonts w:ascii="宋体" w:hAnsi="宋体" w:eastAsia="宋体"/>
          <w:color w:val="auto"/>
        </w:rPr>
        <w:t>。</w:t>
      </w:r>
    </w:p>
    <w:p w14:paraId="04E7DCCC">
      <w:pPr>
        <w:pStyle w:val="4086"/>
        <w:spacing w:line="240" w:lineRule="auto"/>
        <w:ind w:firstLine="0"/>
        <w:jc w:val="center"/>
        <w:rPr>
          <w:rFonts w:ascii="Times New Roman" w:hAnsi="Times New Roman" w:eastAsia="Songti SC Regular" w:cs="Times New Roman"/>
          <w:b/>
          <w:bCs/>
          <w:color w:val="auto"/>
          <w:sz w:val="21"/>
          <w:szCs w:val="21"/>
        </w:rPr>
      </w:pPr>
      <w:r>
        <w:rPr>
          <w:rFonts w:ascii="宋体" w:hAnsi="宋体" w:eastAsia="宋体"/>
          <w:color w:val="auto"/>
        </w:rPr>
        <w:drawing>
          <wp:inline distT="0" distB="0" distL="114300" distR="114300">
            <wp:extent cx="5266690" cy="3160395"/>
            <wp:effectExtent l="0" t="0" r="10160" b="1905"/>
            <wp:docPr id="21" name="图片 21" descr="累年月平均气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累年月平均气温"/>
                    <pic:cNvPicPr>
                      <a:picLocks noChangeAspect="1"/>
                    </pic:cNvPicPr>
                  </pic:nvPicPr>
                  <pic:blipFill>
                    <a:blip r:embed="rId73"/>
                    <a:stretch>
                      <a:fillRect/>
                    </a:stretch>
                  </pic:blipFill>
                  <pic:spPr>
                    <a:xfrm>
                      <a:off x="0" y="0"/>
                      <a:ext cx="5266690" cy="3160395"/>
                    </a:xfrm>
                    <a:prstGeom prst="rect">
                      <a:avLst/>
                    </a:prstGeom>
                  </pic:spPr>
                </pic:pic>
              </a:graphicData>
            </a:graphic>
          </wp:inline>
        </w:drawing>
      </w:r>
    </w:p>
    <w:p w14:paraId="4E0E29B8">
      <w:pPr>
        <w:pStyle w:val="22"/>
        <w:jc w:val="center"/>
        <w:rPr>
          <w:rFonts w:ascii="Times New Roman" w:hAnsi="Times New Roman" w:eastAsia="Songti SC Regular"/>
          <w:b/>
          <w:bCs/>
          <w:sz w:val="21"/>
          <w:szCs w:val="21"/>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5.2-5</w:t>
      </w:r>
      <w:r>
        <w:rPr>
          <w:rFonts w:ascii="Times New Roman" w:hAnsi="Times New Roman" w:eastAsia="宋体"/>
          <w:b/>
          <w:bCs/>
          <w:sz w:val="21"/>
          <w:szCs w:val="21"/>
        </w:rPr>
        <w:t xml:space="preserve"> </w:t>
      </w:r>
      <w:r>
        <w:rPr>
          <w:rFonts w:hint="eastAsia" w:ascii="Times New Roman" w:hAnsi="Times New Roman" w:eastAsia="宋体"/>
          <w:b/>
          <w:bCs/>
          <w:sz w:val="21"/>
          <w:szCs w:val="21"/>
        </w:rPr>
        <w:t>巴中</w:t>
      </w:r>
      <w:r>
        <w:rPr>
          <w:rFonts w:ascii="Times New Roman" w:hAnsi="Times New Roman" w:eastAsia="宋体"/>
          <w:b/>
          <w:bCs/>
          <w:sz w:val="21"/>
          <w:szCs w:val="21"/>
        </w:rPr>
        <w:t>月平均气温（单位：℃）</w:t>
      </w:r>
    </w:p>
    <w:p w14:paraId="106346BF">
      <w:pPr>
        <w:pStyle w:val="4086"/>
        <w:spacing w:line="360" w:lineRule="auto"/>
        <w:rPr>
          <w:rStyle w:val="102"/>
          <w:rFonts w:ascii="Times New Roman" w:hAnsi="Times New Roman" w:eastAsia="Songti SC Regular" w:cs="Times New Roman"/>
          <w:color w:val="auto"/>
        </w:rPr>
      </w:pPr>
      <w:r>
        <w:rPr>
          <w:rFonts w:ascii="Times New Roman" w:hAnsi="Times New Roman" w:eastAsia="宋体" w:cs="Times New Roman"/>
          <w:color w:val="auto"/>
        </w:rPr>
        <w:t>2</w:t>
      </w:r>
      <w:r>
        <w:rPr>
          <w:rFonts w:hint="eastAsia" w:ascii="Times New Roman" w:hAnsi="Times New Roman" w:eastAsia="宋体" w:cs="Times New Roman"/>
          <w:color w:val="auto"/>
        </w:rPr>
        <w:t>）</w:t>
      </w:r>
      <w:r>
        <w:rPr>
          <w:rFonts w:ascii="Times New Roman" w:hAnsi="Times New Roman" w:eastAsia="宋体" w:cs="Times New Roman"/>
          <w:color w:val="auto"/>
        </w:rPr>
        <w:t>温度年际变化趋势</w:t>
      </w:r>
    </w:p>
    <w:p w14:paraId="0711C473">
      <w:pPr>
        <w:pStyle w:val="4086"/>
        <w:spacing w:line="360" w:lineRule="auto"/>
        <w:ind w:firstLine="480"/>
        <w:rPr>
          <w:rFonts w:ascii="Songti SC Regular" w:hAnsi="Songti SC Regular" w:eastAsia="宋体" w:cs="Songti SC Regular"/>
          <w:color w:val="auto"/>
        </w:rPr>
      </w:pPr>
      <w:r>
        <w:rPr>
          <w:rFonts w:hint="eastAsia" w:ascii="宋体" w:hAnsi="宋体" w:eastAsia="宋体"/>
          <w:color w:val="auto"/>
        </w:rPr>
        <w:t>巴中</w:t>
      </w:r>
      <w:r>
        <w:rPr>
          <w:rFonts w:ascii="宋体" w:hAnsi="宋体" w:eastAsia="宋体"/>
          <w:color w:val="auto"/>
        </w:rPr>
        <w:t>气象站近20年气温</w:t>
      </w:r>
      <w:r>
        <w:rPr>
          <w:rFonts w:hint="eastAsia" w:ascii="宋体" w:hAnsi="宋体" w:eastAsia="宋体"/>
          <w:color w:val="auto"/>
        </w:rPr>
        <w:t>表现出</w:t>
      </w:r>
      <w:r>
        <w:rPr>
          <w:rFonts w:hint="eastAsia" w:ascii="宋体" w:hAnsi="宋体" w:eastAsia="宋体"/>
          <w:color w:val="auto"/>
          <w:kern w:val="2"/>
          <w:szCs w:val="21"/>
        </w:rPr>
        <w:t>下降趋势</w:t>
      </w:r>
      <w:r>
        <w:rPr>
          <w:rFonts w:ascii="宋体" w:hAnsi="宋体" w:eastAsia="宋体"/>
          <w:color w:val="auto"/>
        </w:rPr>
        <w:t>，</w:t>
      </w:r>
      <w:r>
        <w:rPr>
          <w:rFonts w:hint="eastAsia" w:ascii="宋体" w:hAnsi="宋体" w:eastAsia="宋体"/>
          <w:color w:val="auto"/>
          <w:kern w:val="2"/>
          <w:szCs w:val="21"/>
        </w:rPr>
        <w:t>2016</w:t>
      </w:r>
      <w:r>
        <w:rPr>
          <w:rFonts w:ascii="宋体" w:hAnsi="宋体" w:eastAsia="宋体"/>
          <w:color w:val="auto"/>
        </w:rPr>
        <w:t>年年平均气温最高（</w:t>
      </w:r>
      <w:r>
        <w:rPr>
          <w:rFonts w:hint="eastAsia" w:ascii="宋体" w:hAnsi="宋体" w:eastAsia="宋体"/>
          <w:color w:val="auto"/>
        </w:rPr>
        <w:t>17.85</w:t>
      </w:r>
      <w:r>
        <w:rPr>
          <w:rFonts w:ascii="宋体" w:hAnsi="宋体" w:eastAsia="宋体"/>
          <w:color w:val="auto"/>
        </w:rPr>
        <w:t>℃），</w:t>
      </w:r>
      <w:r>
        <w:rPr>
          <w:rFonts w:hint="eastAsia" w:ascii="宋体" w:hAnsi="宋体" w:eastAsia="宋体"/>
          <w:color w:val="auto"/>
          <w:kern w:val="2"/>
          <w:szCs w:val="21"/>
        </w:rPr>
        <w:t>2021</w:t>
      </w:r>
      <w:r>
        <w:rPr>
          <w:rFonts w:ascii="宋体" w:hAnsi="宋体" w:eastAsia="宋体"/>
          <w:color w:val="auto"/>
        </w:rPr>
        <w:t>年年平均气温最低（</w:t>
      </w:r>
      <w:r>
        <w:rPr>
          <w:rFonts w:hint="eastAsia" w:ascii="宋体" w:hAnsi="宋体" w:eastAsia="宋体"/>
          <w:color w:val="auto"/>
          <w:kern w:val="2"/>
          <w:szCs w:val="21"/>
        </w:rPr>
        <w:t>16.18℃</w:t>
      </w:r>
      <w:r>
        <w:rPr>
          <w:rFonts w:ascii="宋体" w:hAnsi="宋体" w:eastAsia="宋体"/>
          <w:color w:val="auto"/>
        </w:rPr>
        <w:t>）</w:t>
      </w:r>
      <w:r>
        <w:rPr>
          <w:rFonts w:hint="eastAsia" w:ascii="宋体" w:hAnsi="宋体" w:eastAsia="宋体"/>
          <w:color w:val="auto"/>
        </w:rPr>
        <w:t>。</w:t>
      </w:r>
    </w:p>
    <w:p w14:paraId="7F867E3C">
      <w:pPr>
        <w:pStyle w:val="4086"/>
        <w:spacing w:line="240" w:lineRule="auto"/>
        <w:ind w:firstLine="0"/>
        <w:jc w:val="center"/>
        <w:rPr>
          <w:rFonts w:ascii="Times New Roman" w:hAnsi="Times New Roman" w:eastAsia="Songti SC Regular" w:cs="Times New Roman"/>
          <w:b/>
          <w:bCs/>
          <w:color w:val="auto"/>
          <w:sz w:val="21"/>
          <w:szCs w:val="21"/>
        </w:rPr>
      </w:pPr>
      <w:r>
        <w:rPr>
          <w:rFonts w:hint="eastAsia" w:ascii="Songti SC Regular" w:hAnsi="Songti SC Regular" w:eastAsia="Songti SC Regular" w:cs="Songti SC Regular"/>
          <w:color w:val="auto"/>
        </w:rPr>
        <w:drawing>
          <wp:inline distT="0" distB="0" distL="114300" distR="114300">
            <wp:extent cx="5266690" cy="3686810"/>
            <wp:effectExtent l="0" t="0" r="10160" b="8890"/>
            <wp:docPr id="28" name="图片 28" descr="年平均气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年平均气温"/>
                    <pic:cNvPicPr>
                      <a:picLocks noChangeAspect="1"/>
                    </pic:cNvPicPr>
                  </pic:nvPicPr>
                  <pic:blipFill>
                    <a:blip r:embed="rId74"/>
                    <a:stretch>
                      <a:fillRect/>
                    </a:stretch>
                  </pic:blipFill>
                  <pic:spPr>
                    <a:xfrm>
                      <a:off x="0" y="0"/>
                      <a:ext cx="5266690" cy="3686810"/>
                    </a:xfrm>
                    <a:prstGeom prst="rect">
                      <a:avLst/>
                    </a:prstGeom>
                  </pic:spPr>
                </pic:pic>
              </a:graphicData>
            </a:graphic>
          </wp:inline>
        </w:drawing>
      </w:r>
    </w:p>
    <w:p w14:paraId="65A5CE6A">
      <w:pPr>
        <w:pStyle w:val="22"/>
        <w:jc w:val="center"/>
        <w:rPr>
          <w:rFonts w:ascii="Times New Roman" w:hAnsi="Times New Roman" w:eastAsia="Songti SC Regular"/>
          <w:b/>
          <w:bCs/>
          <w:sz w:val="21"/>
          <w:szCs w:val="21"/>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5.2-6</w:t>
      </w:r>
      <w:r>
        <w:rPr>
          <w:rFonts w:ascii="Times New Roman" w:hAnsi="Times New Roman" w:eastAsia="宋体"/>
          <w:b/>
          <w:bCs/>
          <w:sz w:val="21"/>
          <w:szCs w:val="21"/>
        </w:rPr>
        <w:t xml:space="preserve"> </w:t>
      </w:r>
      <w:r>
        <w:rPr>
          <w:rFonts w:hint="eastAsia" w:ascii="Times New Roman" w:hAnsi="Times New Roman" w:eastAsia="宋体"/>
          <w:b/>
          <w:bCs/>
          <w:sz w:val="21"/>
          <w:szCs w:val="21"/>
        </w:rPr>
        <w:t>巴中</w:t>
      </w:r>
      <w:r>
        <w:rPr>
          <w:rFonts w:ascii="Times New Roman" w:hAnsi="Times New Roman" w:eastAsia="宋体"/>
          <w:b/>
          <w:bCs/>
          <w:sz w:val="21"/>
          <w:szCs w:val="21"/>
        </w:rPr>
        <w:t>（2006-2025）年平均气温（单位：℃，虚线为趋势线）</w:t>
      </w:r>
    </w:p>
    <w:p w14:paraId="24EC93D9">
      <w:pPr>
        <w:pStyle w:val="4086"/>
        <w:spacing w:line="360" w:lineRule="auto"/>
        <w:ind w:firstLine="475"/>
        <w:rPr>
          <w:rFonts w:ascii="Times New Roman" w:hAnsi="Times New Roman" w:eastAsia="Songti SC Regular" w:cs="Times New Roman"/>
          <w:color w:val="auto"/>
        </w:rPr>
      </w:pPr>
    </w:p>
    <w:p w14:paraId="22F0AF6B">
      <w:pPr>
        <w:pStyle w:val="752"/>
        <w:spacing w:before="0" w:after="0"/>
        <w:ind w:firstLine="562" w:firstLineChars="200"/>
        <w:outlineLvl w:val="9"/>
        <w:rPr>
          <w:rStyle w:val="102"/>
          <w:rFonts w:eastAsia="Songti SC Bold" w:cs="Times New Roman"/>
        </w:rPr>
      </w:pPr>
      <w:r>
        <w:rPr>
          <w:rFonts w:hint="eastAsia" w:cs="Times New Roman"/>
        </w:rPr>
        <w:t>（4）</w:t>
      </w:r>
      <w:r>
        <w:rPr>
          <w:rFonts w:cs="Times New Roman"/>
        </w:rPr>
        <w:t>气象站降水分析</w:t>
      </w:r>
    </w:p>
    <w:p w14:paraId="06866F92">
      <w:pPr>
        <w:pStyle w:val="4086"/>
        <w:spacing w:line="360" w:lineRule="auto"/>
        <w:rPr>
          <w:rStyle w:val="102"/>
          <w:rFonts w:ascii="Times New Roman" w:hAnsi="Times New Roman" w:eastAsia="Songti SC Regular"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w:t>
      </w:r>
      <w:r>
        <w:rPr>
          <w:rFonts w:ascii="Times New Roman" w:hAnsi="Times New Roman" w:eastAsia="宋体" w:cs="Times New Roman"/>
          <w:color w:val="auto"/>
        </w:rPr>
        <w:t>月平均降水与极端降水</w:t>
      </w:r>
    </w:p>
    <w:p w14:paraId="1AED495C">
      <w:pPr>
        <w:pStyle w:val="4086"/>
        <w:spacing w:line="360" w:lineRule="auto"/>
        <w:ind w:firstLine="480"/>
        <w:rPr>
          <w:rFonts w:ascii="宋体" w:hAnsi="宋体" w:eastAsia="宋体"/>
          <w:color w:val="auto"/>
        </w:rPr>
      </w:pPr>
      <w:r>
        <w:rPr>
          <w:rFonts w:hint="eastAsia" w:ascii="宋体" w:hAnsi="宋体" w:eastAsia="宋体"/>
          <w:color w:val="auto"/>
        </w:rPr>
        <w:t>巴中气象站07月降水量最大（239.73毫米），12月降水量最小（10.43毫米），近20年极端最大日降水出现在20120707（205.3毫米）。</w:t>
      </w:r>
    </w:p>
    <w:p w14:paraId="488A6BBD">
      <w:pPr>
        <w:pStyle w:val="4086"/>
        <w:spacing w:line="240" w:lineRule="auto"/>
        <w:ind w:firstLine="0"/>
        <w:jc w:val="center"/>
        <w:rPr>
          <w:rFonts w:ascii="Times New Roman" w:hAnsi="Times New Roman" w:cs="Times New Roman"/>
          <w:b/>
          <w:bCs/>
          <w:color w:val="auto"/>
          <w:sz w:val="21"/>
          <w:szCs w:val="21"/>
        </w:rPr>
      </w:pPr>
      <w:r>
        <w:rPr>
          <w:rFonts w:hint="eastAsia" w:ascii="Songti SC Regular" w:hAnsi="Songti SC Regular" w:cs="Songti SC Regular"/>
          <w:b/>
          <w:bCs/>
          <w:color w:val="auto"/>
        </w:rPr>
        <w:drawing>
          <wp:inline distT="0" distB="0" distL="114300" distR="114300">
            <wp:extent cx="5266690" cy="3160395"/>
            <wp:effectExtent l="0" t="0" r="10160" b="1905"/>
            <wp:docPr id="29" name="图片 29" descr="累年月总降水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累年月总降水量"/>
                    <pic:cNvPicPr>
                      <a:picLocks noChangeAspect="1"/>
                    </pic:cNvPicPr>
                  </pic:nvPicPr>
                  <pic:blipFill>
                    <a:blip r:embed="rId75"/>
                    <a:stretch>
                      <a:fillRect/>
                    </a:stretch>
                  </pic:blipFill>
                  <pic:spPr>
                    <a:xfrm>
                      <a:off x="0" y="0"/>
                      <a:ext cx="5266690" cy="3160395"/>
                    </a:xfrm>
                    <a:prstGeom prst="rect">
                      <a:avLst/>
                    </a:prstGeom>
                  </pic:spPr>
                </pic:pic>
              </a:graphicData>
            </a:graphic>
          </wp:inline>
        </w:drawing>
      </w:r>
    </w:p>
    <w:p w14:paraId="0154079B">
      <w:pPr>
        <w:pStyle w:val="22"/>
        <w:jc w:val="center"/>
        <w:rPr>
          <w:rFonts w:ascii="Times New Roman" w:hAnsi="Times New Roman" w:eastAsia="Songti SC Regular"/>
          <w:b/>
          <w:bCs/>
          <w:sz w:val="21"/>
          <w:szCs w:val="21"/>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5.2-7</w:t>
      </w:r>
      <w:r>
        <w:rPr>
          <w:rFonts w:ascii="Times New Roman" w:hAnsi="Times New Roman" w:eastAsia="宋体"/>
          <w:b/>
          <w:bCs/>
          <w:sz w:val="21"/>
          <w:szCs w:val="21"/>
        </w:rPr>
        <w:t xml:space="preserve"> </w:t>
      </w:r>
      <w:r>
        <w:rPr>
          <w:rFonts w:hint="eastAsia" w:ascii="Times New Roman" w:hAnsi="Times New Roman" w:eastAsia="宋体"/>
          <w:b/>
          <w:bCs/>
          <w:sz w:val="21"/>
          <w:szCs w:val="21"/>
        </w:rPr>
        <w:t>巴中</w:t>
      </w:r>
      <w:r>
        <w:rPr>
          <w:rFonts w:ascii="Times New Roman" w:hAnsi="Times New Roman" w:eastAsia="宋体"/>
          <w:b/>
          <w:bCs/>
          <w:sz w:val="21"/>
          <w:szCs w:val="21"/>
        </w:rPr>
        <w:t>月平均降水量（单位：毫米）</w:t>
      </w:r>
    </w:p>
    <w:p w14:paraId="0FB485E6">
      <w:pPr>
        <w:pStyle w:val="4086"/>
        <w:spacing w:line="360" w:lineRule="auto"/>
        <w:rPr>
          <w:rStyle w:val="102"/>
          <w:rFonts w:ascii="Times New Roman" w:hAnsi="Times New Roman" w:eastAsia="Songti SC Regular"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降水年际变化趋势</w:t>
      </w:r>
    </w:p>
    <w:p w14:paraId="3FEDFA7E">
      <w:pPr>
        <w:pStyle w:val="4086"/>
        <w:spacing w:line="360" w:lineRule="auto"/>
        <w:ind w:firstLine="480"/>
        <w:rPr>
          <w:rFonts w:ascii="Songti SC Regular" w:hAnsi="Songti SC Regular" w:eastAsia="宋体" w:cs="Songti SC Regular"/>
          <w:color w:val="auto"/>
        </w:rPr>
      </w:pPr>
      <w:r>
        <w:rPr>
          <w:rFonts w:hint="eastAsia" w:ascii="宋体" w:hAnsi="宋体" w:eastAsia="宋体"/>
          <w:color w:val="auto"/>
        </w:rPr>
        <w:t>巴中</w:t>
      </w:r>
      <w:r>
        <w:rPr>
          <w:rFonts w:ascii="宋体" w:hAnsi="宋体" w:eastAsia="宋体"/>
          <w:color w:val="auto"/>
        </w:rPr>
        <w:t>气象站近20年年降水总量</w:t>
      </w:r>
      <w:r>
        <w:rPr>
          <w:rFonts w:hint="eastAsia" w:ascii="宋体" w:hAnsi="宋体" w:eastAsia="宋体"/>
          <w:color w:val="auto"/>
        </w:rPr>
        <w:t>表现出上升</w:t>
      </w:r>
      <w:r>
        <w:rPr>
          <w:rFonts w:ascii="宋体" w:hAnsi="宋体" w:eastAsia="宋体"/>
          <w:color w:val="auto"/>
        </w:rPr>
        <w:t>趋势，</w:t>
      </w:r>
      <w:r>
        <w:rPr>
          <w:rFonts w:hint="eastAsia" w:ascii="宋体" w:hAnsi="宋体" w:eastAsia="宋体"/>
          <w:color w:val="auto"/>
          <w:kern w:val="2"/>
          <w:szCs w:val="21"/>
        </w:rPr>
        <w:t>2019年</w:t>
      </w:r>
      <w:r>
        <w:rPr>
          <w:rFonts w:ascii="宋体" w:hAnsi="宋体" w:eastAsia="宋体"/>
          <w:color w:val="auto"/>
        </w:rPr>
        <w:t>年总降水量最大（</w:t>
      </w:r>
      <w:r>
        <w:rPr>
          <w:rFonts w:hint="eastAsia" w:ascii="宋体" w:hAnsi="宋体" w:eastAsia="宋体"/>
          <w:color w:val="auto"/>
          <w:kern w:val="2"/>
          <w:szCs w:val="21"/>
        </w:rPr>
        <w:t>1728.7毫米</w:t>
      </w:r>
      <w:r>
        <w:rPr>
          <w:rFonts w:ascii="宋体" w:hAnsi="宋体" w:eastAsia="宋体"/>
          <w:color w:val="auto"/>
        </w:rPr>
        <w:t>），</w:t>
      </w:r>
      <w:r>
        <w:rPr>
          <w:rFonts w:hint="eastAsia" w:ascii="宋体" w:hAnsi="宋体" w:eastAsia="宋体"/>
          <w:color w:val="auto"/>
          <w:kern w:val="2"/>
          <w:szCs w:val="21"/>
        </w:rPr>
        <w:t>2016年</w:t>
      </w:r>
      <w:r>
        <w:rPr>
          <w:rFonts w:ascii="宋体" w:hAnsi="宋体" w:eastAsia="宋体"/>
          <w:color w:val="auto"/>
        </w:rPr>
        <w:t>年总降水量最小（</w:t>
      </w:r>
      <w:r>
        <w:rPr>
          <w:rFonts w:hint="eastAsia" w:ascii="宋体" w:hAnsi="宋体" w:eastAsia="宋体"/>
          <w:color w:val="auto"/>
        </w:rPr>
        <w:t>863.1</w:t>
      </w:r>
      <w:r>
        <w:rPr>
          <w:rFonts w:ascii="宋体" w:hAnsi="宋体" w:eastAsia="宋体"/>
          <w:color w:val="auto"/>
        </w:rPr>
        <w:t>毫米）</w:t>
      </w:r>
      <w:r>
        <w:rPr>
          <w:rFonts w:hint="eastAsia" w:ascii="宋体" w:hAnsi="宋体" w:eastAsia="宋体"/>
          <w:color w:val="auto"/>
        </w:rPr>
        <w:t>。</w:t>
      </w:r>
    </w:p>
    <w:p w14:paraId="54CD360F">
      <w:pPr>
        <w:pStyle w:val="4086"/>
        <w:spacing w:line="240" w:lineRule="auto"/>
        <w:ind w:firstLine="0"/>
        <w:jc w:val="center"/>
        <w:rPr>
          <w:rFonts w:ascii="Times New Roman" w:hAnsi="Times New Roman" w:eastAsia="Songti SC Regular" w:cs="Times New Roman"/>
          <w:b/>
          <w:bCs/>
          <w:color w:val="auto"/>
          <w:sz w:val="21"/>
          <w:szCs w:val="21"/>
        </w:rPr>
      </w:pPr>
      <w:r>
        <w:rPr>
          <w:rFonts w:hint="eastAsia" w:ascii="Songti SC Regular" w:hAnsi="Songti SC Regular" w:eastAsia="Songti SC Regular" w:cs="Songti SC Regular"/>
          <w:color w:val="auto"/>
        </w:rPr>
        <w:drawing>
          <wp:inline distT="0" distB="0" distL="114300" distR="114300">
            <wp:extent cx="5266690" cy="3686810"/>
            <wp:effectExtent l="0" t="0" r="10160" b="8890"/>
            <wp:docPr id="6" name="图片 6" descr="年平均降水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年平均降水量"/>
                    <pic:cNvPicPr>
                      <a:picLocks noChangeAspect="1"/>
                    </pic:cNvPicPr>
                  </pic:nvPicPr>
                  <pic:blipFill>
                    <a:blip r:embed="rId76"/>
                    <a:stretch>
                      <a:fillRect/>
                    </a:stretch>
                  </pic:blipFill>
                  <pic:spPr>
                    <a:xfrm>
                      <a:off x="0" y="0"/>
                      <a:ext cx="5266690" cy="3686810"/>
                    </a:xfrm>
                    <a:prstGeom prst="rect">
                      <a:avLst/>
                    </a:prstGeom>
                  </pic:spPr>
                </pic:pic>
              </a:graphicData>
            </a:graphic>
          </wp:inline>
        </w:drawing>
      </w:r>
    </w:p>
    <w:p w14:paraId="5F9FAF28">
      <w:pPr>
        <w:pStyle w:val="22"/>
        <w:jc w:val="center"/>
        <w:rPr>
          <w:rFonts w:ascii="Times New Roman" w:hAnsi="Times New Roman" w:eastAsia="Songti SC Regular"/>
          <w:b/>
          <w:bCs/>
          <w:sz w:val="21"/>
          <w:szCs w:val="21"/>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5.2-8</w:t>
      </w:r>
      <w:r>
        <w:rPr>
          <w:rFonts w:ascii="Times New Roman" w:hAnsi="Times New Roman" w:eastAsia="宋体"/>
          <w:b/>
          <w:bCs/>
          <w:sz w:val="21"/>
          <w:szCs w:val="21"/>
        </w:rPr>
        <w:t xml:space="preserve"> </w:t>
      </w:r>
      <w:r>
        <w:rPr>
          <w:rFonts w:hint="eastAsia" w:ascii="Times New Roman" w:hAnsi="Times New Roman" w:eastAsia="宋体"/>
          <w:b/>
          <w:bCs/>
          <w:sz w:val="21"/>
          <w:szCs w:val="21"/>
        </w:rPr>
        <w:t>巴中</w:t>
      </w:r>
      <w:r>
        <w:rPr>
          <w:rFonts w:ascii="Times New Roman" w:hAnsi="Times New Roman" w:eastAsia="宋体"/>
          <w:b/>
          <w:bCs/>
          <w:sz w:val="21"/>
          <w:szCs w:val="21"/>
        </w:rPr>
        <w:t>（2006-2025）年总降水量（单位：毫米，虚线为趋势线）</w:t>
      </w:r>
    </w:p>
    <w:p w14:paraId="0C0F81A1">
      <w:pPr>
        <w:pStyle w:val="752"/>
        <w:spacing w:before="0" w:after="0"/>
        <w:ind w:firstLine="562" w:firstLineChars="200"/>
        <w:outlineLvl w:val="9"/>
        <w:rPr>
          <w:rStyle w:val="102"/>
          <w:rFonts w:eastAsia="Songti SC Bold" w:cs="Times New Roman"/>
        </w:rPr>
      </w:pPr>
      <w:r>
        <w:rPr>
          <w:rFonts w:hint="eastAsia" w:cs="Times New Roman"/>
        </w:rPr>
        <w:t>（5）</w:t>
      </w:r>
      <w:r>
        <w:rPr>
          <w:rFonts w:cs="Times New Roman"/>
        </w:rPr>
        <w:t>气象站日照分析</w:t>
      </w:r>
    </w:p>
    <w:p w14:paraId="49ECA6C6">
      <w:pPr>
        <w:pStyle w:val="4086"/>
        <w:spacing w:line="360" w:lineRule="auto"/>
        <w:rPr>
          <w:rStyle w:val="102"/>
          <w:rFonts w:ascii="Times New Roman" w:hAnsi="Times New Roman" w:eastAsia="Songti SC Regular"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w:t>
      </w:r>
      <w:r>
        <w:rPr>
          <w:rFonts w:ascii="Times New Roman" w:hAnsi="Times New Roman" w:eastAsia="宋体" w:cs="Times New Roman"/>
          <w:color w:val="auto"/>
        </w:rPr>
        <w:t>月日照时数</w:t>
      </w:r>
    </w:p>
    <w:p w14:paraId="16C6D6FE">
      <w:pPr>
        <w:pStyle w:val="4086"/>
        <w:spacing w:line="360" w:lineRule="auto"/>
        <w:ind w:firstLine="480"/>
        <w:rPr>
          <w:rFonts w:ascii="Songti SC Regular" w:hAnsi="Songti SC Regular" w:eastAsia="PMingLiU" w:cs="Songti SC Regular"/>
          <w:color w:val="auto"/>
          <w:lang w:eastAsia="zh-TW"/>
        </w:rPr>
      </w:pPr>
      <w:r>
        <w:rPr>
          <w:rFonts w:hint="eastAsia" w:ascii="宋体" w:hAnsi="宋体" w:eastAsia="宋体"/>
          <w:color w:val="auto"/>
        </w:rPr>
        <w:t>巴中</w:t>
      </w:r>
      <w:r>
        <w:rPr>
          <w:rFonts w:ascii="宋体" w:hAnsi="宋体" w:eastAsia="宋体"/>
          <w:color w:val="auto"/>
        </w:rPr>
        <w:t>气象站</w:t>
      </w:r>
      <w:r>
        <w:rPr>
          <w:rFonts w:hint="eastAsia" w:ascii="宋体" w:hAnsi="宋体" w:eastAsia="宋体"/>
          <w:color w:val="auto"/>
          <w:kern w:val="2"/>
          <w:szCs w:val="21"/>
        </w:rPr>
        <w:t>08</w:t>
      </w:r>
      <w:r>
        <w:rPr>
          <w:rFonts w:ascii="宋体" w:hAnsi="宋体" w:eastAsia="宋体"/>
          <w:color w:val="auto"/>
        </w:rPr>
        <w:t>月日照最长（</w:t>
      </w:r>
      <w:r>
        <w:rPr>
          <w:rFonts w:hint="eastAsia" w:ascii="宋体" w:hAnsi="宋体" w:eastAsia="宋体"/>
          <w:color w:val="auto"/>
          <w:kern w:val="2"/>
          <w:szCs w:val="21"/>
        </w:rPr>
        <w:t>220.15</w:t>
      </w:r>
      <w:r>
        <w:rPr>
          <w:rFonts w:ascii="宋体" w:hAnsi="宋体" w:eastAsia="宋体"/>
          <w:color w:val="auto"/>
        </w:rPr>
        <w:t>小时），</w:t>
      </w:r>
      <w:r>
        <w:rPr>
          <w:rFonts w:hint="eastAsia" w:ascii="宋体" w:hAnsi="宋体" w:eastAsia="宋体"/>
          <w:color w:val="auto"/>
          <w:kern w:val="2"/>
          <w:szCs w:val="21"/>
        </w:rPr>
        <w:t>12月</w:t>
      </w:r>
      <w:r>
        <w:rPr>
          <w:rFonts w:ascii="宋体" w:hAnsi="宋体" w:eastAsia="宋体"/>
          <w:color w:val="auto"/>
        </w:rPr>
        <w:t>日照最短（</w:t>
      </w:r>
      <w:r>
        <w:rPr>
          <w:rFonts w:hint="eastAsia" w:ascii="宋体" w:hAnsi="宋体" w:eastAsia="宋体"/>
          <w:color w:val="auto"/>
          <w:kern w:val="2"/>
          <w:szCs w:val="21"/>
        </w:rPr>
        <w:t>67.02</w:t>
      </w:r>
      <w:r>
        <w:rPr>
          <w:rFonts w:ascii="宋体" w:hAnsi="宋体" w:eastAsia="宋体"/>
          <w:color w:val="auto"/>
        </w:rPr>
        <w:t>小时）。</w:t>
      </w:r>
    </w:p>
    <w:p w14:paraId="653298AD">
      <w:pPr>
        <w:pStyle w:val="4086"/>
        <w:spacing w:line="240" w:lineRule="auto"/>
        <w:ind w:firstLine="0"/>
        <w:jc w:val="center"/>
        <w:rPr>
          <w:rFonts w:ascii="Times New Roman" w:hAnsi="Times New Roman" w:eastAsia="Songti SC Regular" w:cs="Times New Roman"/>
          <w:b/>
          <w:bCs/>
          <w:color w:val="auto"/>
          <w:sz w:val="21"/>
          <w:szCs w:val="21"/>
        </w:rPr>
      </w:pPr>
      <w:r>
        <w:rPr>
          <w:rFonts w:hint="eastAsia" w:ascii="Songti SC Regular" w:hAnsi="Songti SC Regular" w:eastAsia="Songti SC Regular" w:cs="Songti SC Regular"/>
          <w:color w:val="auto"/>
        </w:rPr>
        <w:drawing>
          <wp:inline distT="0" distB="0" distL="114300" distR="114300">
            <wp:extent cx="5266690" cy="3160395"/>
            <wp:effectExtent l="0" t="0" r="10160" b="1905"/>
            <wp:docPr id="1954241856" name="图片 1954241856" descr="累年月总日照时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1856" name="图片 1954241856" descr="累年月总日照时数"/>
                    <pic:cNvPicPr>
                      <a:picLocks noChangeAspect="1"/>
                    </pic:cNvPicPr>
                  </pic:nvPicPr>
                  <pic:blipFill>
                    <a:blip r:embed="rId77"/>
                    <a:stretch>
                      <a:fillRect/>
                    </a:stretch>
                  </pic:blipFill>
                  <pic:spPr>
                    <a:xfrm>
                      <a:off x="0" y="0"/>
                      <a:ext cx="5266690" cy="3160395"/>
                    </a:xfrm>
                    <a:prstGeom prst="rect">
                      <a:avLst/>
                    </a:prstGeom>
                  </pic:spPr>
                </pic:pic>
              </a:graphicData>
            </a:graphic>
          </wp:inline>
        </w:drawing>
      </w:r>
    </w:p>
    <w:p w14:paraId="61180CD9">
      <w:pPr>
        <w:pStyle w:val="22"/>
        <w:jc w:val="center"/>
        <w:rPr>
          <w:rFonts w:ascii="Times New Roman" w:hAnsi="Times New Roman" w:eastAsia="Songti SC Regular"/>
          <w:b/>
          <w:bCs/>
          <w:sz w:val="21"/>
          <w:szCs w:val="21"/>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5.2-9</w:t>
      </w:r>
      <w:r>
        <w:rPr>
          <w:rFonts w:ascii="Times New Roman" w:hAnsi="Times New Roman" w:eastAsia="宋体"/>
          <w:b/>
          <w:bCs/>
          <w:sz w:val="21"/>
          <w:szCs w:val="21"/>
        </w:rPr>
        <w:t xml:space="preserve"> </w:t>
      </w:r>
      <w:r>
        <w:rPr>
          <w:rFonts w:hint="eastAsia" w:ascii="Times New Roman" w:hAnsi="Times New Roman" w:eastAsia="宋体"/>
          <w:b/>
          <w:bCs/>
          <w:sz w:val="21"/>
          <w:szCs w:val="21"/>
        </w:rPr>
        <w:t>巴中</w:t>
      </w:r>
      <w:r>
        <w:rPr>
          <w:rFonts w:ascii="Times New Roman" w:hAnsi="Times New Roman" w:eastAsia="宋体"/>
          <w:b/>
          <w:bCs/>
          <w:sz w:val="21"/>
          <w:szCs w:val="21"/>
        </w:rPr>
        <w:t>月日照时数（单位：小时）</w:t>
      </w:r>
    </w:p>
    <w:p w14:paraId="72B1BF2A">
      <w:pPr>
        <w:pStyle w:val="4086"/>
        <w:spacing w:line="360" w:lineRule="auto"/>
        <w:rPr>
          <w:rStyle w:val="102"/>
          <w:rFonts w:ascii="Times New Roman" w:hAnsi="Times New Roman" w:eastAsia="Songti SC Regular" w:cs="Times New Roman"/>
          <w:color w:val="auto"/>
        </w:rPr>
      </w:pPr>
      <w:r>
        <w:rPr>
          <w:rFonts w:ascii="Times New Roman" w:hAnsi="Times New Roman" w:eastAsia="宋体" w:cs="Times New Roman"/>
          <w:color w:val="auto"/>
        </w:rPr>
        <w:t>2</w:t>
      </w:r>
      <w:r>
        <w:rPr>
          <w:rFonts w:hint="eastAsia" w:ascii="Times New Roman" w:hAnsi="Times New Roman" w:eastAsia="宋体" w:cs="Times New Roman"/>
          <w:color w:val="auto"/>
        </w:rPr>
        <w:t>）</w:t>
      </w:r>
      <w:r>
        <w:rPr>
          <w:rFonts w:ascii="Times New Roman" w:hAnsi="Times New Roman" w:eastAsia="宋体" w:cs="Times New Roman"/>
          <w:color w:val="auto"/>
        </w:rPr>
        <w:t>日照时数年际变化趋势</w:t>
      </w:r>
    </w:p>
    <w:p w14:paraId="6311059B">
      <w:pPr>
        <w:pStyle w:val="4086"/>
        <w:spacing w:line="360" w:lineRule="auto"/>
        <w:ind w:firstLine="480"/>
        <w:rPr>
          <w:rFonts w:ascii="Songti SC Regular" w:hAnsi="Songti SC Regular" w:eastAsia="宋体" w:cs="Songti SC Regular"/>
          <w:color w:val="auto"/>
        </w:rPr>
      </w:pPr>
      <w:r>
        <w:rPr>
          <w:rFonts w:hint="eastAsia" w:ascii="宋体" w:hAnsi="宋体" w:eastAsia="宋体"/>
          <w:color w:val="auto"/>
        </w:rPr>
        <w:t>巴中</w:t>
      </w:r>
      <w:r>
        <w:rPr>
          <w:rFonts w:ascii="宋体" w:hAnsi="宋体" w:eastAsia="宋体"/>
          <w:color w:val="auto"/>
        </w:rPr>
        <w:t>气象站近20年年日照时数</w:t>
      </w:r>
      <w:r>
        <w:rPr>
          <w:rFonts w:hint="eastAsia" w:ascii="宋体" w:hAnsi="宋体" w:eastAsia="宋体"/>
          <w:color w:val="auto"/>
          <w:kern w:val="2"/>
          <w:szCs w:val="21"/>
        </w:rPr>
        <w:t>表现出上升趋势</w:t>
      </w:r>
      <w:r>
        <w:rPr>
          <w:rFonts w:ascii="宋体" w:hAnsi="宋体" w:eastAsia="宋体"/>
          <w:color w:val="auto"/>
        </w:rPr>
        <w:t>，</w:t>
      </w:r>
      <w:r>
        <w:rPr>
          <w:rFonts w:hint="eastAsia" w:ascii="宋体" w:hAnsi="宋体" w:eastAsia="宋体"/>
          <w:color w:val="auto"/>
          <w:kern w:val="2"/>
          <w:szCs w:val="21"/>
        </w:rPr>
        <w:t>2020年</w:t>
      </w:r>
      <w:r>
        <w:rPr>
          <w:rFonts w:ascii="宋体" w:hAnsi="宋体" w:eastAsia="宋体"/>
          <w:color w:val="auto"/>
        </w:rPr>
        <w:t>年日照时数最长（</w:t>
      </w:r>
      <w:r>
        <w:rPr>
          <w:rFonts w:hint="eastAsia" w:ascii="宋体" w:hAnsi="宋体" w:eastAsia="宋体"/>
          <w:color w:val="auto"/>
        </w:rPr>
        <w:t>2404.7</w:t>
      </w:r>
      <w:r>
        <w:rPr>
          <w:rFonts w:ascii="宋体" w:hAnsi="宋体" w:eastAsia="宋体"/>
          <w:color w:val="auto"/>
        </w:rPr>
        <w:t>小时），</w:t>
      </w:r>
      <w:r>
        <w:rPr>
          <w:rFonts w:hint="eastAsia" w:ascii="宋体" w:hAnsi="宋体" w:eastAsia="宋体"/>
          <w:color w:val="auto"/>
          <w:kern w:val="2"/>
          <w:szCs w:val="21"/>
        </w:rPr>
        <w:t>2025年</w:t>
      </w:r>
      <w:r>
        <w:rPr>
          <w:rFonts w:ascii="宋体" w:hAnsi="宋体" w:eastAsia="宋体"/>
          <w:color w:val="auto"/>
        </w:rPr>
        <w:t>年日照时数最短（</w:t>
      </w:r>
      <w:r>
        <w:rPr>
          <w:rFonts w:hint="eastAsia" w:ascii="宋体" w:hAnsi="宋体" w:eastAsia="宋体"/>
          <w:color w:val="auto"/>
          <w:kern w:val="2"/>
          <w:szCs w:val="21"/>
        </w:rPr>
        <w:t>1136.9小时</w:t>
      </w:r>
      <w:r>
        <w:rPr>
          <w:rFonts w:ascii="宋体" w:hAnsi="宋体" w:eastAsia="宋体"/>
          <w:color w:val="auto"/>
        </w:rPr>
        <w:t>）</w:t>
      </w:r>
      <w:r>
        <w:rPr>
          <w:rFonts w:hint="eastAsia" w:ascii="宋体" w:hAnsi="宋体" w:eastAsia="宋体"/>
          <w:color w:val="auto"/>
        </w:rPr>
        <w:t>。</w:t>
      </w:r>
    </w:p>
    <w:p w14:paraId="1505EB83">
      <w:pPr>
        <w:pStyle w:val="4086"/>
        <w:spacing w:line="240" w:lineRule="auto"/>
        <w:ind w:firstLine="0"/>
        <w:jc w:val="center"/>
        <w:rPr>
          <w:rFonts w:ascii="Times New Roman" w:hAnsi="Times New Roman" w:eastAsia="Songti SC Regular" w:cs="Times New Roman"/>
          <w:b/>
          <w:bCs/>
          <w:color w:val="auto"/>
          <w:sz w:val="21"/>
          <w:szCs w:val="21"/>
        </w:rPr>
      </w:pPr>
      <w:r>
        <w:rPr>
          <w:rFonts w:hint="eastAsia" w:ascii="Songti SC Regular" w:hAnsi="Songti SC Regular" w:eastAsia="Songti SC Regular" w:cs="Songti SC Regular"/>
          <w:color w:val="auto"/>
        </w:rPr>
        <w:drawing>
          <wp:inline distT="0" distB="0" distL="114300" distR="114300">
            <wp:extent cx="5266690" cy="3686810"/>
            <wp:effectExtent l="0" t="0" r="10160" b="8890"/>
            <wp:docPr id="1954241857" name="图片 1954241857" descr="年总日照时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1857" name="图片 1954241857" descr="年总日照时数"/>
                    <pic:cNvPicPr>
                      <a:picLocks noChangeAspect="1"/>
                    </pic:cNvPicPr>
                  </pic:nvPicPr>
                  <pic:blipFill>
                    <a:blip r:embed="rId78"/>
                    <a:stretch>
                      <a:fillRect/>
                    </a:stretch>
                  </pic:blipFill>
                  <pic:spPr>
                    <a:xfrm>
                      <a:off x="0" y="0"/>
                      <a:ext cx="5266690" cy="3686810"/>
                    </a:xfrm>
                    <a:prstGeom prst="rect">
                      <a:avLst/>
                    </a:prstGeom>
                  </pic:spPr>
                </pic:pic>
              </a:graphicData>
            </a:graphic>
          </wp:inline>
        </w:drawing>
      </w:r>
    </w:p>
    <w:p w14:paraId="1F28CCDF">
      <w:pPr>
        <w:pStyle w:val="22"/>
        <w:jc w:val="center"/>
        <w:rPr>
          <w:rFonts w:ascii="Times New Roman" w:hAnsi="Times New Roman" w:eastAsia="Songti SC Regular"/>
          <w:b/>
          <w:bCs/>
          <w:sz w:val="21"/>
          <w:szCs w:val="21"/>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5.2-10</w:t>
      </w:r>
      <w:r>
        <w:rPr>
          <w:rFonts w:ascii="Times New Roman" w:hAnsi="Times New Roman" w:eastAsia="宋体"/>
          <w:b/>
          <w:bCs/>
          <w:sz w:val="21"/>
          <w:szCs w:val="21"/>
        </w:rPr>
        <w:t xml:space="preserve"> </w:t>
      </w:r>
      <w:r>
        <w:rPr>
          <w:rFonts w:hint="eastAsia" w:ascii="Times New Roman" w:hAnsi="Times New Roman" w:eastAsia="宋体"/>
          <w:b/>
          <w:bCs/>
          <w:sz w:val="21"/>
          <w:szCs w:val="21"/>
        </w:rPr>
        <w:t>巴中</w:t>
      </w:r>
      <w:r>
        <w:rPr>
          <w:rFonts w:ascii="Times New Roman" w:hAnsi="Times New Roman" w:eastAsia="宋体"/>
          <w:b/>
          <w:bCs/>
          <w:sz w:val="21"/>
          <w:szCs w:val="21"/>
        </w:rPr>
        <w:t>（2006-2025）年日照时长（单位：小时，虚线为趋势线）</w:t>
      </w:r>
    </w:p>
    <w:p w14:paraId="7B48370A">
      <w:pPr>
        <w:pStyle w:val="752"/>
        <w:spacing w:before="0" w:after="0"/>
        <w:ind w:firstLine="562" w:firstLineChars="200"/>
        <w:outlineLvl w:val="9"/>
        <w:rPr>
          <w:rStyle w:val="102"/>
          <w:rFonts w:eastAsia="Songti SC Bold" w:cs="Times New Roman"/>
        </w:rPr>
      </w:pPr>
      <w:r>
        <w:rPr>
          <w:rFonts w:hint="eastAsia" w:cs="Times New Roman"/>
        </w:rPr>
        <w:t>（6）</w:t>
      </w:r>
      <w:r>
        <w:rPr>
          <w:rFonts w:cs="Times New Roman"/>
        </w:rPr>
        <w:t>气象站相对湿度分析</w:t>
      </w:r>
    </w:p>
    <w:p w14:paraId="1C746509">
      <w:pPr>
        <w:pStyle w:val="4086"/>
        <w:spacing w:line="360" w:lineRule="auto"/>
        <w:rPr>
          <w:rStyle w:val="102"/>
          <w:rFonts w:ascii="Times New Roman" w:hAnsi="Times New Roman" w:eastAsia="Songti SC Regular"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w:t>
      </w:r>
      <w:r>
        <w:rPr>
          <w:rFonts w:ascii="Times New Roman" w:hAnsi="Times New Roman" w:eastAsia="宋体" w:cs="Times New Roman"/>
          <w:color w:val="auto"/>
        </w:rPr>
        <w:t>月相对湿度分析</w:t>
      </w:r>
    </w:p>
    <w:p w14:paraId="3854BB0C">
      <w:pPr>
        <w:pStyle w:val="4086"/>
        <w:spacing w:line="360" w:lineRule="auto"/>
        <w:ind w:firstLine="480"/>
        <w:rPr>
          <w:rFonts w:ascii="Times New Roman" w:hAnsi="Times New Roman" w:eastAsia="Songti SC Regular" w:cs="Times New Roman"/>
          <w:color w:val="auto"/>
          <w:lang w:eastAsia="zh-TW"/>
        </w:rPr>
      </w:pPr>
      <w:r>
        <w:rPr>
          <w:rFonts w:hint="eastAsia" w:ascii="宋体" w:hAnsi="宋体" w:eastAsia="宋体"/>
          <w:color w:val="auto"/>
        </w:rPr>
        <w:t>巴中</w:t>
      </w:r>
      <w:r>
        <w:rPr>
          <w:rFonts w:ascii="宋体" w:hAnsi="宋体" w:eastAsia="宋体"/>
          <w:color w:val="auto"/>
        </w:rPr>
        <w:t>气象站</w:t>
      </w:r>
      <w:r>
        <w:rPr>
          <w:rFonts w:hint="eastAsia" w:ascii="宋体" w:hAnsi="宋体" w:eastAsia="宋体"/>
          <w:color w:val="auto"/>
          <w:kern w:val="2"/>
          <w:szCs w:val="21"/>
        </w:rPr>
        <w:t>10月</w:t>
      </w:r>
      <w:r>
        <w:rPr>
          <w:rFonts w:ascii="宋体" w:hAnsi="宋体" w:eastAsia="宋体"/>
          <w:color w:val="auto"/>
        </w:rPr>
        <w:t>平均相对湿度最大（</w:t>
      </w:r>
      <w:r>
        <w:rPr>
          <w:rFonts w:hint="eastAsia" w:ascii="宋体" w:hAnsi="宋体" w:eastAsia="宋体"/>
          <w:color w:val="auto"/>
          <w:kern w:val="2"/>
          <w:szCs w:val="21"/>
        </w:rPr>
        <w:t>82.36%</w:t>
      </w:r>
      <w:r>
        <w:rPr>
          <w:rFonts w:ascii="宋体" w:hAnsi="宋体" w:eastAsia="宋体"/>
          <w:color w:val="auto"/>
        </w:rPr>
        <w:t>），</w:t>
      </w:r>
      <w:r>
        <w:rPr>
          <w:rFonts w:hint="eastAsia" w:ascii="宋体" w:hAnsi="宋体" w:eastAsia="宋体"/>
          <w:color w:val="auto"/>
          <w:kern w:val="2"/>
          <w:szCs w:val="21"/>
        </w:rPr>
        <w:t>04月</w:t>
      </w:r>
      <w:r>
        <w:rPr>
          <w:rFonts w:ascii="宋体" w:hAnsi="宋体" w:eastAsia="宋体"/>
          <w:color w:val="auto"/>
        </w:rPr>
        <w:t>平均相对湿度最小（</w:t>
      </w:r>
      <w:r>
        <w:rPr>
          <w:rFonts w:hint="eastAsia" w:ascii="宋体" w:hAnsi="宋体" w:eastAsia="宋体"/>
          <w:color w:val="auto"/>
          <w:kern w:val="2"/>
          <w:szCs w:val="21"/>
        </w:rPr>
        <w:t>69.69%</w:t>
      </w:r>
      <w:r>
        <w:rPr>
          <w:rFonts w:ascii="宋体" w:hAnsi="宋体" w:eastAsia="宋体"/>
          <w:color w:val="auto"/>
        </w:rPr>
        <w:t>）</w:t>
      </w:r>
      <w:r>
        <w:rPr>
          <w:rFonts w:ascii="Times New Roman" w:hAnsi="Times New Roman" w:eastAsia="宋体" w:cs="Times New Roman"/>
          <w:color w:val="auto"/>
        </w:rPr>
        <w:t>。</w:t>
      </w:r>
    </w:p>
    <w:p w14:paraId="25989EB7">
      <w:pPr>
        <w:pStyle w:val="4086"/>
        <w:spacing w:line="240" w:lineRule="auto"/>
        <w:ind w:firstLine="480"/>
        <w:jc w:val="center"/>
        <w:rPr>
          <w:rFonts w:ascii="Times New Roman" w:hAnsi="Times New Roman" w:eastAsia="Songti SC Regular" w:cs="Times New Roman"/>
          <w:b/>
          <w:bCs/>
          <w:color w:val="auto"/>
          <w:sz w:val="21"/>
          <w:szCs w:val="21"/>
        </w:rPr>
      </w:pPr>
      <w:r>
        <w:rPr>
          <w:rFonts w:hint="eastAsia" w:ascii="Songti SC Regular" w:hAnsi="Songti SC Regular" w:eastAsia="Songti SC Regular" w:cs="Songti SC Regular"/>
          <w:color w:val="auto"/>
        </w:rPr>
        <w:drawing>
          <wp:inline distT="0" distB="0" distL="114300" distR="114300">
            <wp:extent cx="5266690" cy="3160395"/>
            <wp:effectExtent l="0" t="0" r="10160" b="1905"/>
            <wp:docPr id="9" name="图片 9" descr="累年月平均相对湿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累年月平均相对湿度"/>
                    <pic:cNvPicPr>
                      <a:picLocks noChangeAspect="1"/>
                    </pic:cNvPicPr>
                  </pic:nvPicPr>
                  <pic:blipFill>
                    <a:blip r:embed="rId79"/>
                    <a:stretch>
                      <a:fillRect/>
                    </a:stretch>
                  </pic:blipFill>
                  <pic:spPr>
                    <a:xfrm>
                      <a:off x="0" y="0"/>
                      <a:ext cx="5266690" cy="3160395"/>
                    </a:xfrm>
                    <a:prstGeom prst="rect">
                      <a:avLst/>
                    </a:prstGeom>
                  </pic:spPr>
                </pic:pic>
              </a:graphicData>
            </a:graphic>
          </wp:inline>
        </w:drawing>
      </w:r>
    </w:p>
    <w:p w14:paraId="6B0DA6C6">
      <w:pPr>
        <w:pStyle w:val="22"/>
        <w:jc w:val="center"/>
        <w:rPr>
          <w:rFonts w:ascii="Times New Roman" w:hAnsi="Times New Roman" w:eastAsia="Songti SC Regular"/>
          <w:b/>
          <w:bCs/>
          <w:sz w:val="21"/>
          <w:szCs w:val="21"/>
        </w:rPr>
      </w:pPr>
      <w:r>
        <w:rPr>
          <w:rFonts w:ascii="Times New Roman" w:hAnsi="Times New Roman" w:eastAsia="宋体"/>
          <w:b/>
          <w:bCs/>
          <w:sz w:val="21"/>
          <w:szCs w:val="21"/>
        </w:rPr>
        <w:t>图</w:t>
      </w:r>
      <w:r>
        <w:rPr>
          <w:rFonts w:hint="eastAsia" w:ascii="Times New Roman" w:hAnsi="Times New Roman" w:eastAsia="宋体"/>
          <w:b/>
          <w:bCs/>
          <w:sz w:val="21"/>
          <w:szCs w:val="21"/>
          <w:lang w:val="en-US"/>
        </w:rPr>
        <w:t>5.2-11</w:t>
      </w:r>
      <w:r>
        <w:rPr>
          <w:rFonts w:ascii="Times New Roman" w:hAnsi="Times New Roman" w:eastAsia="宋体"/>
          <w:b/>
          <w:bCs/>
          <w:sz w:val="21"/>
          <w:szCs w:val="21"/>
        </w:rPr>
        <w:t xml:space="preserve"> </w:t>
      </w:r>
      <w:r>
        <w:rPr>
          <w:rFonts w:hint="eastAsia" w:ascii="Times New Roman" w:hAnsi="Times New Roman" w:eastAsia="宋体"/>
          <w:b/>
          <w:bCs/>
          <w:sz w:val="21"/>
          <w:szCs w:val="21"/>
        </w:rPr>
        <w:t>巴中</w:t>
      </w:r>
      <w:r>
        <w:rPr>
          <w:rFonts w:ascii="Times New Roman" w:hAnsi="Times New Roman" w:eastAsia="宋体"/>
          <w:b/>
          <w:bCs/>
          <w:sz w:val="21"/>
          <w:szCs w:val="21"/>
        </w:rPr>
        <w:t>月平均相对湿度（纵轴为百分比）</w:t>
      </w:r>
    </w:p>
    <w:p w14:paraId="05C3E109">
      <w:pPr>
        <w:pStyle w:val="4086"/>
        <w:spacing w:line="360" w:lineRule="auto"/>
        <w:ind w:firstLine="0"/>
        <w:jc w:val="center"/>
        <w:rPr>
          <w:rFonts w:ascii="Times New Roman" w:hAnsi="Times New Roman" w:eastAsia="Songti SC Regular" w:cs="Times New Roman"/>
          <w:color w:val="auto"/>
        </w:rPr>
      </w:pPr>
    </w:p>
    <w:p w14:paraId="469CC759">
      <w:pPr>
        <w:pStyle w:val="4086"/>
        <w:spacing w:line="360" w:lineRule="auto"/>
        <w:rPr>
          <w:rStyle w:val="102"/>
          <w:rFonts w:ascii="Times New Roman" w:hAnsi="Times New Roman" w:eastAsia="Songti SC Regular"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相对湿度年际变化趋势</w:t>
      </w:r>
    </w:p>
    <w:p w14:paraId="07987A33">
      <w:pPr>
        <w:pStyle w:val="4086"/>
        <w:spacing w:line="360" w:lineRule="auto"/>
        <w:ind w:firstLine="480"/>
        <w:rPr>
          <w:rFonts w:ascii="Songti SC Regular" w:hAnsi="Songti SC Regular" w:eastAsia="宋体" w:cs="Songti SC Regular"/>
          <w:color w:val="auto"/>
        </w:rPr>
      </w:pPr>
      <w:r>
        <w:rPr>
          <w:rFonts w:hint="eastAsia" w:ascii="宋体" w:hAnsi="宋体" w:eastAsia="宋体"/>
          <w:color w:val="auto"/>
        </w:rPr>
        <w:t>巴中</w:t>
      </w:r>
      <w:r>
        <w:rPr>
          <w:rFonts w:ascii="宋体" w:hAnsi="宋体" w:eastAsia="宋体"/>
          <w:color w:val="auto"/>
        </w:rPr>
        <w:t>气象站近20年年平均相对湿度</w:t>
      </w:r>
      <w:r>
        <w:rPr>
          <w:rFonts w:hint="eastAsia" w:ascii="宋体" w:hAnsi="宋体" w:eastAsia="宋体"/>
          <w:color w:val="auto"/>
        </w:rPr>
        <w:t>表现出上升</w:t>
      </w:r>
      <w:r>
        <w:rPr>
          <w:rFonts w:hint="eastAsia" w:ascii="宋体" w:hAnsi="宋体" w:eastAsia="宋体"/>
          <w:color w:val="auto"/>
          <w:kern w:val="2"/>
          <w:szCs w:val="21"/>
        </w:rPr>
        <w:t>趋势</w:t>
      </w:r>
      <w:r>
        <w:rPr>
          <w:rFonts w:ascii="宋体" w:hAnsi="宋体" w:eastAsia="宋体"/>
          <w:color w:val="auto"/>
        </w:rPr>
        <w:t>，</w:t>
      </w:r>
      <w:r>
        <w:rPr>
          <w:rFonts w:hint="eastAsia" w:ascii="宋体" w:hAnsi="宋体" w:eastAsia="宋体"/>
          <w:color w:val="auto"/>
          <w:kern w:val="2"/>
          <w:szCs w:val="21"/>
        </w:rPr>
        <w:t>2020年</w:t>
      </w:r>
      <w:r>
        <w:rPr>
          <w:rFonts w:ascii="宋体" w:hAnsi="宋体" w:eastAsia="宋体"/>
          <w:color w:val="auto"/>
        </w:rPr>
        <w:t>年平均相对湿度最大（</w:t>
      </w:r>
      <w:r>
        <w:rPr>
          <w:rFonts w:hint="eastAsia" w:ascii="宋体" w:hAnsi="宋体" w:eastAsia="宋体"/>
          <w:color w:val="auto"/>
          <w:kern w:val="2"/>
          <w:szCs w:val="21"/>
        </w:rPr>
        <w:t>81.17%</w:t>
      </w:r>
      <w:r>
        <w:rPr>
          <w:rFonts w:ascii="宋体" w:hAnsi="宋体" w:eastAsia="宋体"/>
          <w:color w:val="auto"/>
        </w:rPr>
        <w:t>），</w:t>
      </w:r>
      <w:r>
        <w:rPr>
          <w:rFonts w:hint="eastAsia" w:ascii="宋体" w:hAnsi="宋体" w:eastAsia="宋体"/>
          <w:color w:val="auto"/>
          <w:kern w:val="2"/>
          <w:szCs w:val="21"/>
        </w:rPr>
        <w:t>2025年</w:t>
      </w:r>
      <w:r>
        <w:rPr>
          <w:rFonts w:ascii="宋体" w:hAnsi="宋体" w:eastAsia="宋体"/>
          <w:color w:val="auto"/>
        </w:rPr>
        <w:t>年平均相对湿度最小（</w:t>
      </w:r>
      <w:r>
        <w:rPr>
          <w:rFonts w:hint="eastAsia" w:ascii="宋体" w:hAnsi="宋体" w:eastAsia="宋体"/>
          <w:color w:val="auto"/>
          <w:kern w:val="2"/>
          <w:szCs w:val="21"/>
        </w:rPr>
        <w:t>71.88%</w:t>
      </w:r>
      <w:r>
        <w:rPr>
          <w:rFonts w:ascii="宋体" w:hAnsi="宋体" w:eastAsia="宋体"/>
          <w:color w:val="auto"/>
        </w:rPr>
        <w:t>）</w:t>
      </w:r>
      <w:r>
        <w:rPr>
          <w:rFonts w:hint="eastAsia" w:ascii="宋体" w:hAnsi="宋体" w:eastAsia="宋体"/>
          <w:color w:val="auto"/>
        </w:rPr>
        <w:t>。</w:t>
      </w:r>
    </w:p>
    <w:p w14:paraId="7F94BA55">
      <w:pPr>
        <w:pStyle w:val="4086"/>
        <w:spacing w:line="240" w:lineRule="auto"/>
        <w:ind w:firstLine="480"/>
        <w:jc w:val="center"/>
        <w:rPr>
          <w:rFonts w:ascii="Times New Roman" w:hAnsi="Times New Roman" w:cs="Times New Roman"/>
          <w:b/>
          <w:bCs/>
          <w:color w:val="auto"/>
          <w:sz w:val="21"/>
          <w:szCs w:val="21"/>
        </w:rPr>
      </w:pPr>
      <w:r>
        <w:rPr>
          <w:rFonts w:hint="eastAsia" w:ascii="Songti SC Regular" w:hAnsi="Songti SC Regular" w:cs="Songti SC Regular"/>
          <w:color w:val="auto"/>
        </w:rPr>
        <w:drawing>
          <wp:inline distT="0" distB="0" distL="114300" distR="114300">
            <wp:extent cx="5266690" cy="3686810"/>
            <wp:effectExtent l="0" t="0" r="10160" b="8890"/>
            <wp:docPr id="10" name="图片 10" descr="年平均相对湿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年平均相对湿度"/>
                    <pic:cNvPicPr>
                      <a:picLocks noChangeAspect="1"/>
                    </pic:cNvPicPr>
                  </pic:nvPicPr>
                  <pic:blipFill>
                    <a:blip r:embed="rId80"/>
                    <a:stretch>
                      <a:fillRect/>
                    </a:stretch>
                  </pic:blipFill>
                  <pic:spPr>
                    <a:xfrm>
                      <a:off x="0" y="0"/>
                      <a:ext cx="5266690" cy="3686810"/>
                    </a:xfrm>
                    <a:prstGeom prst="rect">
                      <a:avLst/>
                    </a:prstGeom>
                  </pic:spPr>
                </pic:pic>
              </a:graphicData>
            </a:graphic>
          </wp:inline>
        </w:drawing>
      </w:r>
    </w:p>
    <w:p w14:paraId="11CC1EDA">
      <w:pPr>
        <w:pStyle w:val="86"/>
        <w:ind w:firstLine="422" w:firstLineChars="200"/>
        <w:rPr>
          <w:sz w:val="24"/>
        </w:rPr>
      </w:pPr>
      <w:r>
        <w:rPr>
          <w:b/>
          <w:bCs/>
          <w:szCs w:val="21"/>
        </w:rPr>
        <w:t>图</w:t>
      </w:r>
      <w:r>
        <w:rPr>
          <w:rFonts w:hint="eastAsia"/>
          <w:b/>
          <w:bCs/>
          <w:szCs w:val="21"/>
        </w:rPr>
        <w:t>5.2-12</w:t>
      </w:r>
      <w:r>
        <w:rPr>
          <w:b/>
          <w:bCs/>
          <w:szCs w:val="21"/>
        </w:rPr>
        <w:t xml:space="preserve"> </w:t>
      </w:r>
      <w:r>
        <w:rPr>
          <w:rFonts w:hint="eastAsia"/>
          <w:b/>
          <w:bCs/>
          <w:szCs w:val="21"/>
        </w:rPr>
        <w:t>巴中</w:t>
      </w:r>
      <w:r>
        <w:rPr>
          <w:b/>
          <w:bCs/>
          <w:szCs w:val="21"/>
        </w:rPr>
        <w:t>（2006-2025）年平均相对湿度（纵轴为百分比，虚线为趋势线）</w:t>
      </w:r>
    </w:p>
    <w:p w14:paraId="52EC49FF">
      <w:pPr>
        <w:pStyle w:val="34"/>
        <w:spacing w:before="156" w:after="156"/>
        <w:ind w:firstLine="482"/>
        <w:outlineLvl w:val="3"/>
        <w:rPr>
          <w:b/>
          <w:bCs/>
          <w:color w:val="000000" w:themeColor="text1"/>
          <w:sz w:val="28"/>
          <w:szCs w:val="28"/>
          <w14:textFill>
            <w14:solidFill>
              <w14:schemeClr w14:val="tx1"/>
            </w14:solidFill>
          </w14:textFill>
        </w:rPr>
      </w:pPr>
      <w:r>
        <w:rPr>
          <w:b/>
          <w:bCs/>
          <w:color w:val="000000" w:themeColor="text1"/>
          <w:sz w:val="24"/>
          <w14:textFill>
            <w14:solidFill>
              <w14:schemeClr w14:val="tx1"/>
            </w14:solidFill>
          </w14:textFill>
        </w:rPr>
        <w:t>5.2.2.2</w:t>
      </w:r>
      <w:r>
        <w:rPr>
          <w:rFonts w:hint="eastAsia"/>
          <w:b/>
          <w:bCs/>
          <w:sz w:val="24"/>
          <w:szCs w:val="22"/>
        </w:rPr>
        <w:t>模型选取及选取依据</w:t>
      </w:r>
    </w:p>
    <w:p w14:paraId="4DDF9D0B">
      <w:pPr>
        <w:spacing w:line="360" w:lineRule="auto"/>
        <w:ind w:firstLine="480" w:firstLineChars="200"/>
        <w:rPr>
          <w:color w:val="FF0000"/>
          <w:sz w:val="24"/>
        </w:rPr>
      </w:pPr>
      <w:r>
        <w:rPr>
          <w:rFonts w:hint="eastAsia"/>
          <w:color w:val="FF0000"/>
          <w:sz w:val="24"/>
        </w:rPr>
        <w:t>本次大气评价等级为一级，因此需采用进一步预测模型开展大气环境影响预测与评价。</w:t>
      </w:r>
    </w:p>
    <w:p w14:paraId="16988DEF">
      <w:pPr>
        <w:spacing w:line="360" w:lineRule="auto"/>
        <w:ind w:firstLine="480" w:firstLineChars="200"/>
        <w:rPr>
          <w:sz w:val="24"/>
        </w:rPr>
      </w:pPr>
      <w:r>
        <w:rPr>
          <w:rFonts w:hint="eastAsia"/>
          <w:sz w:val="24"/>
        </w:rPr>
        <w:t>根据《环境影响评价技术导则</w:t>
      </w:r>
      <w:r>
        <w:rPr>
          <w:sz w:val="24"/>
        </w:rPr>
        <w:t xml:space="preserve"> </w:t>
      </w:r>
      <w:r>
        <w:rPr>
          <w:rFonts w:hint="eastAsia"/>
          <w:sz w:val="24"/>
        </w:rPr>
        <w:t>大气环境》（</w:t>
      </w:r>
      <w:r>
        <w:rPr>
          <w:sz w:val="24"/>
        </w:rPr>
        <w:t>HJ2.2-2018</w:t>
      </w:r>
      <w:r>
        <w:rPr>
          <w:rFonts w:hint="eastAsia"/>
          <w:sz w:val="24"/>
        </w:rPr>
        <w:t>）表</w:t>
      </w:r>
      <w:r>
        <w:rPr>
          <w:sz w:val="24"/>
        </w:rPr>
        <w:t>3</w:t>
      </w:r>
      <w:r>
        <w:rPr>
          <w:rFonts w:hint="eastAsia"/>
          <w:sz w:val="24"/>
        </w:rPr>
        <w:t>推荐模型适用范围，满足进一步预测的模型有</w:t>
      </w:r>
      <w:r>
        <w:rPr>
          <w:sz w:val="24"/>
        </w:rPr>
        <w:t>AERMOD</w:t>
      </w:r>
      <w:r>
        <w:rPr>
          <w:rFonts w:hint="eastAsia"/>
          <w:sz w:val="24"/>
        </w:rPr>
        <w:t>、</w:t>
      </w:r>
      <w:r>
        <w:rPr>
          <w:sz w:val="24"/>
        </w:rPr>
        <w:t>ADMS</w:t>
      </w:r>
      <w:r>
        <w:rPr>
          <w:rFonts w:hint="eastAsia"/>
          <w:sz w:val="24"/>
        </w:rPr>
        <w:t>、</w:t>
      </w:r>
      <w:r>
        <w:rPr>
          <w:sz w:val="24"/>
        </w:rPr>
        <w:t>CALPUFF</w:t>
      </w:r>
      <w:r>
        <w:rPr>
          <w:rFonts w:hint="eastAsia"/>
          <w:sz w:val="24"/>
        </w:rPr>
        <w:t>。</w:t>
      </w:r>
    </w:p>
    <w:p w14:paraId="7589C29E">
      <w:pPr>
        <w:spacing w:line="360" w:lineRule="auto"/>
        <w:ind w:firstLine="480" w:firstLineChars="200"/>
        <w:rPr>
          <w:sz w:val="24"/>
        </w:rPr>
      </w:pPr>
      <w:r>
        <w:rPr>
          <w:rFonts w:hint="eastAsia"/>
          <w:sz w:val="24"/>
        </w:rPr>
        <w:t>根据距离项目最近的一般气象站：巴中气象站近二十年（</w:t>
      </w:r>
      <w:r>
        <w:rPr>
          <w:sz w:val="24"/>
        </w:rPr>
        <w:t>2006~2025</w:t>
      </w:r>
      <w:r>
        <w:rPr>
          <w:rFonts w:hint="eastAsia"/>
          <w:sz w:val="24"/>
        </w:rPr>
        <w:t>）的观测资料统计数据显示：龙泉驿气象站的多年静风频率（风速＜</w:t>
      </w:r>
      <w:r>
        <w:rPr>
          <w:sz w:val="24"/>
        </w:rPr>
        <w:t>0.2m/s</w:t>
      </w:r>
      <w:r>
        <w:rPr>
          <w:rFonts w:hint="eastAsia"/>
          <w:sz w:val="24"/>
        </w:rPr>
        <w:t>）为</w:t>
      </w:r>
      <w:r>
        <w:rPr>
          <w:sz w:val="24"/>
        </w:rPr>
        <w:t>3.5%</w:t>
      </w:r>
      <w:r>
        <w:rPr>
          <w:rFonts w:hint="eastAsia"/>
          <w:sz w:val="24"/>
        </w:rPr>
        <w:t>，频率没有超过</w:t>
      </w:r>
      <w:r>
        <w:rPr>
          <w:sz w:val="24"/>
        </w:rPr>
        <w:t>35%</w:t>
      </w:r>
      <w:r>
        <w:rPr>
          <w:rFonts w:hint="eastAsia"/>
          <w:sz w:val="24"/>
        </w:rPr>
        <w:t>且本项目评价基准年内风速</w:t>
      </w:r>
      <w:r>
        <w:rPr>
          <w:sz w:val="24"/>
        </w:rPr>
        <w:t>≤0.5m/s</w:t>
      </w:r>
      <w:r>
        <w:rPr>
          <w:rFonts w:hint="eastAsia"/>
          <w:sz w:val="24"/>
        </w:rPr>
        <w:t>的持续时间不超过</w:t>
      </w:r>
      <w:r>
        <w:rPr>
          <w:sz w:val="24"/>
        </w:rPr>
        <w:t>72h</w:t>
      </w:r>
      <w:r>
        <w:rPr>
          <w:rFonts w:hint="eastAsia"/>
          <w:sz w:val="24"/>
        </w:rPr>
        <w:t>；另根据现场踏勘，本项目</w:t>
      </w:r>
      <w:r>
        <w:rPr>
          <w:sz w:val="24"/>
        </w:rPr>
        <w:t>3km</w:t>
      </w:r>
      <w:r>
        <w:rPr>
          <w:rFonts w:hint="eastAsia"/>
          <w:sz w:val="24"/>
        </w:rPr>
        <w:t>范围内无大型水体（海或湖），不会发生熏烟现象。因此本评价不需要采用</w:t>
      </w:r>
      <w:r>
        <w:rPr>
          <w:sz w:val="24"/>
        </w:rPr>
        <w:t>CALPUFF</w:t>
      </w:r>
      <w:r>
        <w:rPr>
          <w:rFonts w:hint="eastAsia"/>
          <w:sz w:val="24"/>
        </w:rPr>
        <w:t>模型进行进一步预测。</w:t>
      </w:r>
    </w:p>
    <w:p w14:paraId="40FC1B76">
      <w:pPr>
        <w:spacing w:line="360" w:lineRule="auto"/>
        <w:ind w:firstLine="480" w:firstLineChars="200"/>
        <w:rPr>
          <w:sz w:val="24"/>
        </w:rPr>
      </w:pPr>
      <w:r>
        <w:rPr>
          <w:rFonts w:hint="eastAsia"/>
          <w:sz w:val="24"/>
        </w:rPr>
        <w:t>本项目选用大气环评专业辅助系统（</w:t>
      </w:r>
      <w:r>
        <w:rPr>
          <w:sz w:val="24"/>
        </w:rPr>
        <w:t>EIAProA2018</w:t>
      </w:r>
      <w:r>
        <w:rPr>
          <w:rFonts w:hint="eastAsia"/>
          <w:sz w:val="24"/>
        </w:rPr>
        <w:t>）中</w:t>
      </w:r>
      <w:r>
        <w:rPr>
          <w:sz w:val="24"/>
        </w:rPr>
        <w:t>AERMOD</w:t>
      </w:r>
      <w:r>
        <w:rPr>
          <w:rFonts w:hint="eastAsia"/>
          <w:sz w:val="24"/>
        </w:rPr>
        <w:t>模型对本项目进行进一步预测，</w:t>
      </w:r>
      <w:r>
        <w:rPr>
          <w:sz w:val="24"/>
        </w:rPr>
        <w:t>AERMOD</w:t>
      </w:r>
      <w:r>
        <w:rPr>
          <w:rFonts w:hint="eastAsia"/>
          <w:sz w:val="24"/>
        </w:rPr>
        <w:t>模型是由美国环保局联合美国气象学会组建法规模式改善委员会（</w:t>
      </w:r>
      <w:r>
        <w:rPr>
          <w:sz w:val="24"/>
        </w:rPr>
        <w:t>AERMIC</w:t>
      </w:r>
      <w:r>
        <w:rPr>
          <w:rFonts w:hint="eastAsia"/>
          <w:sz w:val="24"/>
        </w:rPr>
        <w:t>）开发，由</w:t>
      </w:r>
      <w:r>
        <w:rPr>
          <w:sz w:val="24"/>
        </w:rPr>
        <w:t>AERMET</w:t>
      </w:r>
      <w:r>
        <w:rPr>
          <w:rFonts w:hint="eastAsia"/>
          <w:sz w:val="24"/>
        </w:rPr>
        <w:t>气象前处理、</w:t>
      </w:r>
      <w:r>
        <w:rPr>
          <w:sz w:val="24"/>
        </w:rPr>
        <w:t>AERMOD</w:t>
      </w:r>
      <w:r>
        <w:rPr>
          <w:rFonts w:hint="eastAsia"/>
          <w:sz w:val="24"/>
        </w:rPr>
        <w:t>扩散模型、</w:t>
      </w:r>
      <w:r>
        <w:rPr>
          <w:sz w:val="24"/>
        </w:rPr>
        <w:t>AERMAP</w:t>
      </w:r>
      <w:r>
        <w:rPr>
          <w:rFonts w:hint="eastAsia"/>
          <w:sz w:val="24"/>
        </w:rPr>
        <w:t>地形前处理三个模块构成。</w:t>
      </w:r>
      <w:r>
        <w:rPr>
          <w:sz w:val="24"/>
        </w:rPr>
        <w:t>AERMET</w:t>
      </w:r>
      <w:r>
        <w:rPr>
          <w:rFonts w:hint="eastAsia"/>
          <w:sz w:val="24"/>
        </w:rPr>
        <w:t>模型主要是对气象数据进行处理，得到</w:t>
      </w:r>
      <w:r>
        <w:rPr>
          <w:sz w:val="24"/>
        </w:rPr>
        <w:t>AERMOD</w:t>
      </w:r>
      <w:r>
        <w:rPr>
          <w:rFonts w:hint="eastAsia"/>
          <w:sz w:val="24"/>
        </w:rPr>
        <w:t>扩散模型所需的各种气象要素以及相对应的数据格式；</w:t>
      </w:r>
      <w:r>
        <w:rPr>
          <w:sz w:val="24"/>
        </w:rPr>
        <w:t>AERMAP</w:t>
      </w:r>
      <w:r>
        <w:rPr>
          <w:rFonts w:hint="eastAsia"/>
          <w:sz w:val="24"/>
        </w:rPr>
        <w:t>地形前处理模块对计算点的地形数据进行处理，然后将</w:t>
      </w:r>
      <w:r>
        <w:rPr>
          <w:sz w:val="24"/>
        </w:rPr>
        <w:t>AERMET</w:t>
      </w:r>
      <w:r>
        <w:rPr>
          <w:rFonts w:hint="eastAsia"/>
          <w:sz w:val="24"/>
        </w:rPr>
        <w:t>、</w:t>
      </w:r>
      <w:r>
        <w:rPr>
          <w:sz w:val="24"/>
        </w:rPr>
        <w:t>AERMAP</w:t>
      </w:r>
      <w:r>
        <w:rPr>
          <w:rFonts w:hint="eastAsia"/>
          <w:sz w:val="24"/>
        </w:rPr>
        <w:t>得到的数据输入</w:t>
      </w:r>
      <w:r>
        <w:rPr>
          <w:sz w:val="24"/>
        </w:rPr>
        <w:t>AERMOD</w:t>
      </w:r>
      <w:r>
        <w:rPr>
          <w:rFonts w:hint="eastAsia"/>
          <w:sz w:val="24"/>
        </w:rPr>
        <w:t>扩散模式，利用不同条件下的扩散公式计算出污染物浓度。</w:t>
      </w:r>
    </w:p>
    <w:p w14:paraId="22B665A5">
      <w:pPr>
        <w:wordWrap w:val="0"/>
        <w:adjustRightInd w:val="0"/>
        <w:snapToGrid w:val="0"/>
        <w:spacing w:line="360" w:lineRule="auto"/>
        <w:ind w:firstLine="480" w:firstLineChars="200"/>
        <w:rPr>
          <w:sz w:val="24"/>
        </w:rPr>
      </w:pPr>
      <w:r>
        <w:rPr>
          <w:rFonts w:hint="eastAsia"/>
          <w:sz w:val="24"/>
        </w:rPr>
        <w:t>因此，本项目采用</w:t>
      </w:r>
      <w:r>
        <w:rPr>
          <w:sz w:val="24"/>
        </w:rPr>
        <w:t>BREEZE AERMOD</w:t>
      </w:r>
      <w:r>
        <w:rPr>
          <w:rFonts w:hint="eastAsia"/>
          <w:sz w:val="24"/>
        </w:rPr>
        <w:t>模型进行预测，完全能够满足《环境影响评价技术导则</w:t>
      </w:r>
      <w:r>
        <w:rPr>
          <w:sz w:val="24"/>
        </w:rPr>
        <w:t xml:space="preserve"> </w:t>
      </w:r>
      <w:r>
        <w:rPr>
          <w:rFonts w:hint="eastAsia"/>
          <w:sz w:val="24"/>
        </w:rPr>
        <w:t>大气环境》（</w:t>
      </w:r>
      <w:r>
        <w:rPr>
          <w:sz w:val="24"/>
        </w:rPr>
        <w:t>HJ2.2-2018</w:t>
      </w:r>
      <w:r>
        <w:rPr>
          <w:rFonts w:hint="eastAsia"/>
          <w:sz w:val="24"/>
        </w:rPr>
        <w:t>）的相关要求。</w:t>
      </w:r>
    </w:p>
    <w:p w14:paraId="4A66345F">
      <w:pPr>
        <w:pStyle w:val="34"/>
        <w:spacing w:before="156" w:after="156"/>
        <w:ind w:firstLine="482"/>
        <w:outlineLvl w:val="3"/>
        <w:rPr>
          <w:b/>
          <w:bCs/>
          <w:color w:val="000000" w:themeColor="text1"/>
          <w:sz w:val="28"/>
          <w:szCs w:val="28"/>
          <w14:textFill>
            <w14:solidFill>
              <w14:schemeClr w14:val="tx1"/>
            </w14:solidFill>
          </w14:textFill>
        </w:rPr>
      </w:pPr>
      <w:r>
        <w:rPr>
          <w:b/>
          <w:bCs/>
          <w:color w:val="000000" w:themeColor="text1"/>
          <w:sz w:val="24"/>
          <w14:textFill>
            <w14:solidFill>
              <w14:schemeClr w14:val="tx1"/>
            </w14:solidFill>
          </w14:textFill>
        </w:rPr>
        <w:t>5.2.2.3</w:t>
      </w:r>
      <w:r>
        <w:rPr>
          <w:rFonts w:hint="eastAsia"/>
          <w:b/>
          <w:sz w:val="24"/>
          <w:szCs w:val="22"/>
        </w:rPr>
        <w:t>模型影响预测基础数据</w:t>
      </w:r>
    </w:p>
    <w:p w14:paraId="4DF3FAA6">
      <w:pPr>
        <w:spacing w:line="360" w:lineRule="auto"/>
        <w:ind w:firstLine="480" w:firstLineChars="200"/>
        <w:rPr>
          <w:bCs/>
          <w:sz w:val="24"/>
        </w:rPr>
      </w:pPr>
      <w:r>
        <w:rPr>
          <w:rFonts w:hint="eastAsia"/>
          <w:bCs/>
          <w:sz w:val="24"/>
        </w:rPr>
        <w:t>（</w:t>
      </w:r>
      <w:r>
        <w:rPr>
          <w:bCs/>
          <w:sz w:val="24"/>
        </w:rPr>
        <w:t>1</w:t>
      </w:r>
      <w:r>
        <w:rPr>
          <w:rFonts w:hint="eastAsia"/>
          <w:bCs/>
          <w:sz w:val="24"/>
        </w:rPr>
        <w:t>）气象数据</w:t>
      </w:r>
    </w:p>
    <w:p w14:paraId="23E39FDA">
      <w:pPr>
        <w:spacing w:line="360" w:lineRule="auto"/>
        <w:ind w:firstLine="480" w:firstLineChars="200"/>
        <w:rPr>
          <w:sz w:val="24"/>
        </w:rPr>
      </w:pPr>
      <w:r>
        <w:rPr>
          <w:rFonts w:hint="eastAsia"/>
          <w:sz w:val="24"/>
        </w:rPr>
        <w:t>本次地面气象数据选用距离本项目最近的巴中气象站，气象站代码为</w:t>
      </w:r>
      <w:r>
        <w:rPr>
          <w:sz w:val="24"/>
        </w:rPr>
        <w:t>57313</w:t>
      </w:r>
      <w:r>
        <w:rPr>
          <w:rFonts w:hint="eastAsia"/>
          <w:sz w:val="24"/>
        </w:rPr>
        <w:t>，</w:t>
      </w:r>
      <w:r>
        <w:rPr>
          <w:rFonts w:ascii="宋体" w:hAnsi="宋体"/>
          <w:sz w:val="24"/>
        </w:rPr>
        <w:t>地理坐标为东经</w:t>
      </w:r>
      <w:r>
        <w:rPr>
          <w:rFonts w:hint="eastAsia" w:ascii="宋体" w:hAnsi="宋体"/>
          <w:sz w:val="24"/>
        </w:rPr>
        <w:t>106.785度</w:t>
      </w:r>
      <w:r>
        <w:rPr>
          <w:rFonts w:ascii="宋体" w:hAnsi="宋体"/>
          <w:sz w:val="24"/>
        </w:rPr>
        <w:t>，北纬</w:t>
      </w:r>
      <w:r>
        <w:rPr>
          <w:rFonts w:hint="eastAsia" w:ascii="宋体" w:hAnsi="宋体"/>
          <w:sz w:val="24"/>
        </w:rPr>
        <w:t>31.8872</w:t>
      </w:r>
      <w:r>
        <w:rPr>
          <w:rFonts w:ascii="宋体" w:hAnsi="宋体"/>
          <w:sz w:val="24"/>
        </w:rPr>
        <w:t>度，海拔高度</w:t>
      </w:r>
      <w:r>
        <w:rPr>
          <w:rFonts w:hint="eastAsia" w:ascii="宋体" w:hAnsi="宋体"/>
          <w:sz w:val="24"/>
        </w:rPr>
        <w:t>556.7m</w:t>
      </w:r>
      <w:r>
        <w:rPr>
          <w:rFonts w:hint="eastAsia"/>
          <w:sz w:val="24"/>
        </w:rPr>
        <w:t>。</w:t>
      </w:r>
    </w:p>
    <w:p w14:paraId="6E783719">
      <w:pPr>
        <w:spacing w:line="360" w:lineRule="auto"/>
        <w:ind w:firstLine="480" w:firstLineChars="200"/>
        <w:rPr>
          <w:sz w:val="24"/>
        </w:rPr>
      </w:pPr>
      <w:r>
        <w:rPr>
          <w:rFonts w:hint="eastAsia"/>
          <w:sz w:val="24"/>
        </w:rPr>
        <w:t>本项目气象模拟数据是采用大气环境影响评价数值模式</w:t>
      </w:r>
      <w:r>
        <w:rPr>
          <w:sz w:val="24"/>
        </w:rPr>
        <w:t>WRF</w:t>
      </w:r>
      <w:r>
        <w:rPr>
          <w:rFonts w:hint="eastAsia"/>
          <w:sz w:val="24"/>
        </w:rPr>
        <w:t>模拟生成。模式计算过程中把全国共划分为</w:t>
      </w:r>
      <w:r>
        <w:rPr>
          <w:sz w:val="24"/>
        </w:rPr>
        <w:t>189×159</w:t>
      </w:r>
      <w:r>
        <w:rPr>
          <w:rFonts w:hint="eastAsia"/>
          <w:sz w:val="24"/>
        </w:rPr>
        <w:t>个网格，分辨率为</w:t>
      </w:r>
      <w:r>
        <w:rPr>
          <w:sz w:val="24"/>
        </w:rPr>
        <w:t>27km×27km</w:t>
      </w:r>
      <w:r>
        <w:rPr>
          <w:rFonts w:hint="eastAsia"/>
          <w:sz w:val="24"/>
        </w:rPr>
        <w:t>。模式采用的原始数据有地形高度、土地利用、陆地</w:t>
      </w:r>
      <w:r>
        <w:rPr>
          <w:sz w:val="24"/>
        </w:rPr>
        <w:t>-</w:t>
      </w:r>
      <w:r>
        <w:rPr>
          <w:rFonts w:hint="eastAsia"/>
          <w:sz w:val="24"/>
        </w:rPr>
        <w:t>水体标志、植被组成等数据，数据源主要为美国的</w:t>
      </w:r>
      <w:r>
        <w:rPr>
          <w:sz w:val="24"/>
        </w:rPr>
        <w:t>USGS</w:t>
      </w:r>
      <w:r>
        <w:rPr>
          <w:rFonts w:hint="eastAsia"/>
          <w:sz w:val="24"/>
        </w:rPr>
        <w:t>数据。模式采用美国国家环境预报中心（</w:t>
      </w:r>
      <w:r>
        <w:rPr>
          <w:sz w:val="24"/>
        </w:rPr>
        <w:t>NCEP</w:t>
      </w:r>
      <w:r>
        <w:rPr>
          <w:rFonts w:hint="eastAsia"/>
          <w:sz w:val="24"/>
        </w:rPr>
        <w:t>）的再分析数据作为模型输入场和边界场。</w:t>
      </w:r>
    </w:p>
    <w:p w14:paraId="14E6B02C">
      <w:pPr>
        <w:jc w:val="center"/>
        <w:rPr>
          <w:b/>
          <w:bCs/>
        </w:rPr>
      </w:pPr>
      <w:r>
        <w:rPr>
          <w:rFonts w:hint="eastAsia"/>
          <w:b/>
          <w:bCs/>
          <w:szCs w:val="21"/>
        </w:rPr>
        <w:t>表</w:t>
      </w:r>
      <w:r>
        <w:rPr>
          <w:b/>
          <w:bCs/>
          <w:szCs w:val="21"/>
        </w:rPr>
        <w:t>5.2-4</w:t>
      </w:r>
      <w:r>
        <w:rPr>
          <w:b/>
          <w:bCs/>
        </w:rPr>
        <w:t xml:space="preserve"> </w:t>
      </w:r>
      <w:r>
        <w:rPr>
          <w:rFonts w:hint="eastAsia"/>
          <w:b/>
          <w:bCs/>
        </w:rPr>
        <w:t>观测气象数据信息</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910"/>
        <w:gridCol w:w="919"/>
        <w:gridCol w:w="1062"/>
        <w:gridCol w:w="1174"/>
        <w:gridCol w:w="880"/>
        <w:gridCol w:w="984"/>
        <w:gridCol w:w="1036"/>
        <w:gridCol w:w="1026"/>
      </w:tblGrid>
      <w:tr w14:paraId="51D399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86" w:hRule="atLeast"/>
          <w:jc w:val="center"/>
        </w:trPr>
        <w:tc>
          <w:tcPr>
            <w:tcW w:w="1001" w:type="dxa"/>
            <w:vMerge w:val="restart"/>
            <w:tcBorders>
              <w:top w:val="single" w:color="auto" w:sz="12" w:space="0"/>
              <w:left w:val="nil"/>
              <w:bottom w:val="single" w:color="auto" w:sz="4" w:space="0"/>
              <w:right w:val="single" w:color="auto" w:sz="4" w:space="0"/>
            </w:tcBorders>
            <w:tcMar>
              <w:top w:w="15" w:type="dxa"/>
              <w:left w:w="108" w:type="dxa"/>
              <w:bottom w:w="15" w:type="dxa"/>
              <w:right w:w="108" w:type="dxa"/>
            </w:tcMar>
            <w:vAlign w:val="center"/>
          </w:tcPr>
          <w:p w14:paraId="710145A6">
            <w:pPr>
              <w:spacing w:line="300" w:lineRule="exact"/>
              <w:ind w:left="-63" w:leftChars="-30" w:right="-63" w:rightChars="-30"/>
              <w:jc w:val="center"/>
              <w:rPr>
                <w:bCs/>
                <w:szCs w:val="21"/>
              </w:rPr>
            </w:pPr>
            <w:r>
              <w:rPr>
                <w:rFonts w:hint="eastAsia"/>
                <w:bCs/>
                <w:szCs w:val="21"/>
              </w:rPr>
              <w:t>气象站</w:t>
            </w:r>
          </w:p>
          <w:p w14:paraId="58D9DDF3">
            <w:pPr>
              <w:spacing w:line="300" w:lineRule="exact"/>
              <w:ind w:left="-63" w:leftChars="-30" w:right="-63" w:rightChars="-30"/>
              <w:jc w:val="center"/>
              <w:rPr>
                <w:bCs/>
                <w:szCs w:val="21"/>
              </w:rPr>
            </w:pPr>
            <w:r>
              <w:rPr>
                <w:rFonts w:hint="eastAsia"/>
                <w:bCs/>
                <w:szCs w:val="21"/>
              </w:rPr>
              <w:t>名称</w:t>
            </w:r>
          </w:p>
        </w:tc>
        <w:tc>
          <w:tcPr>
            <w:tcW w:w="879" w:type="dxa"/>
            <w:vMerge w:val="restart"/>
            <w:tcBorders>
              <w:top w:val="single" w:color="auto" w:sz="12"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39249BCE">
            <w:pPr>
              <w:spacing w:line="300" w:lineRule="exact"/>
              <w:ind w:left="-63" w:leftChars="-30" w:right="-63" w:rightChars="-30"/>
              <w:jc w:val="center"/>
              <w:rPr>
                <w:bCs/>
                <w:szCs w:val="21"/>
              </w:rPr>
            </w:pPr>
            <w:r>
              <w:rPr>
                <w:rFonts w:hint="eastAsia"/>
                <w:bCs/>
                <w:szCs w:val="21"/>
              </w:rPr>
              <w:t>气象站</w:t>
            </w:r>
          </w:p>
          <w:p w14:paraId="4C79F039">
            <w:pPr>
              <w:spacing w:line="300" w:lineRule="exact"/>
              <w:ind w:left="-63" w:leftChars="-30" w:right="-63" w:rightChars="-30"/>
              <w:jc w:val="center"/>
              <w:rPr>
                <w:bCs/>
                <w:szCs w:val="21"/>
              </w:rPr>
            </w:pPr>
            <w:r>
              <w:rPr>
                <w:rFonts w:hint="eastAsia"/>
                <w:bCs/>
                <w:szCs w:val="21"/>
              </w:rPr>
              <w:t>编号</w:t>
            </w:r>
          </w:p>
        </w:tc>
        <w:tc>
          <w:tcPr>
            <w:tcW w:w="888" w:type="dxa"/>
            <w:vMerge w:val="restart"/>
            <w:tcBorders>
              <w:top w:val="single" w:color="auto" w:sz="12"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7D0191FF">
            <w:pPr>
              <w:spacing w:line="300" w:lineRule="exact"/>
              <w:ind w:left="-63" w:leftChars="-30" w:right="-63" w:rightChars="-30"/>
              <w:jc w:val="center"/>
              <w:rPr>
                <w:bCs/>
                <w:szCs w:val="21"/>
              </w:rPr>
            </w:pPr>
            <w:r>
              <w:rPr>
                <w:rFonts w:hint="eastAsia"/>
                <w:bCs/>
                <w:szCs w:val="21"/>
              </w:rPr>
              <w:t>气象站</w:t>
            </w:r>
          </w:p>
          <w:p w14:paraId="404AD4EE">
            <w:pPr>
              <w:spacing w:line="300" w:lineRule="exact"/>
              <w:ind w:left="-63" w:leftChars="-30" w:right="-63" w:rightChars="-30"/>
              <w:jc w:val="center"/>
              <w:rPr>
                <w:bCs/>
                <w:szCs w:val="21"/>
              </w:rPr>
            </w:pPr>
            <w:r>
              <w:rPr>
                <w:rFonts w:hint="eastAsia"/>
                <w:bCs/>
                <w:szCs w:val="21"/>
              </w:rPr>
              <w:t>等级</w:t>
            </w:r>
          </w:p>
        </w:tc>
        <w:tc>
          <w:tcPr>
            <w:tcW w:w="2160" w:type="dxa"/>
            <w:gridSpan w:val="2"/>
            <w:tcBorders>
              <w:top w:val="single" w:color="auto" w:sz="12"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11D77A84">
            <w:pPr>
              <w:spacing w:line="300" w:lineRule="exact"/>
              <w:ind w:left="-63" w:leftChars="-30" w:right="-63" w:rightChars="-30"/>
              <w:jc w:val="center"/>
              <w:rPr>
                <w:bCs/>
                <w:szCs w:val="21"/>
              </w:rPr>
            </w:pPr>
            <w:r>
              <w:rPr>
                <w:rFonts w:hint="eastAsia"/>
                <w:bCs/>
                <w:szCs w:val="21"/>
              </w:rPr>
              <w:t>气象站坐标</w:t>
            </w:r>
            <w:r>
              <w:rPr>
                <w:bCs/>
                <w:szCs w:val="21"/>
              </w:rPr>
              <w:t>/m</w:t>
            </w:r>
          </w:p>
        </w:tc>
        <w:tc>
          <w:tcPr>
            <w:tcW w:w="850" w:type="dxa"/>
            <w:vMerge w:val="restart"/>
            <w:tcBorders>
              <w:top w:val="single" w:color="auto" w:sz="12"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1283DB72">
            <w:pPr>
              <w:spacing w:line="300" w:lineRule="exact"/>
              <w:ind w:left="-63" w:leftChars="-30" w:right="-63" w:rightChars="-30"/>
              <w:jc w:val="center"/>
              <w:rPr>
                <w:bCs/>
                <w:szCs w:val="21"/>
              </w:rPr>
            </w:pPr>
            <w:r>
              <w:rPr>
                <w:rFonts w:hint="eastAsia"/>
                <w:bCs/>
                <w:szCs w:val="21"/>
              </w:rPr>
              <w:t>相对距离</w:t>
            </w:r>
            <w:r>
              <w:rPr>
                <w:bCs/>
                <w:szCs w:val="21"/>
              </w:rPr>
              <w:t>/m</w:t>
            </w:r>
          </w:p>
        </w:tc>
        <w:tc>
          <w:tcPr>
            <w:tcW w:w="951" w:type="dxa"/>
            <w:vMerge w:val="restart"/>
            <w:tcBorders>
              <w:top w:val="single" w:color="auto" w:sz="12"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67864E72">
            <w:pPr>
              <w:spacing w:line="300" w:lineRule="exact"/>
              <w:ind w:left="-63" w:leftChars="-30" w:right="-63" w:rightChars="-30"/>
              <w:jc w:val="center"/>
              <w:rPr>
                <w:bCs/>
                <w:szCs w:val="21"/>
              </w:rPr>
            </w:pPr>
            <w:r>
              <w:rPr>
                <w:rFonts w:hint="eastAsia"/>
                <w:bCs/>
                <w:szCs w:val="21"/>
              </w:rPr>
              <w:t>海拔</w:t>
            </w:r>
            <w:r>
              <w:rPr>
                <w:bCs/>
                <w:szCs w:val="21"/>
              </w:rPr>
              <w:t>/m</w:t>
            </w:r>
          </w:p>
        </w:tc>
        <w:tc>
          <w:tcPr>
            <w:tcW w:w="1001" w:type="dxa"/>
            <w:vMerge w:val="restart"/>
            <w:tcBorders>
              <w:top w:val="single" w:color="auto" w:sz="12"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267C67CC">
            <w:pPr>
              <w:spacing w:line="300" w:lineRule="exact"/>
              <w:ind w:left="-63" w:leftChars="-30" w:right="-63" w:rightChars="-30"/>
              <w:jc w:val="center"/>
              <w:rPr>
                <w:bCs/>
                <w:szCs w:val="21"/>
              </w:rPr>
            </w:pPr>
            <w:r>
              <w:rPr>
                <w:rFonts w:hint="eastAsia"/>
                <w:bCs/>
                <w:szCs w:val="21"/>
              </w:rPr>
              <w:t>数据年份</w:t>
            </w:r>
          </w:p>
        </w:tc>
        <w:tc>
          <w:tcPr>
            <w:tcW w:w="991" w:type="dxa"/>
            <w:vMerge w:val="restart"/>
            <w:tcBorders>
              <w:top w:val="single" w:color="auto" w:sz="12" w:space="0"/>
              <w:left w:val="single" w:color="auto" w:sz="4" w:space="0"/>
              <w:bottom w:val="single" w:color="auto" w:sz="4" w:space="0"/>
              <w:right w:val="nil"/>
            </w:tcBorders>
            <w:tcMar>
              <w:top w:w="15" w:type="dxa"/>
              <w:left w:w="108" w:type="dxa"/>
              <w:bottom w:w="15" w:type="dxa"/>
              <w:right w:w="108" w:type="dxa"/>
            </w:tcMar>
            <w:vAlign w:val="center"/>
          </w:tcPr>
          <w:p w14:paraId="0DA6C4AB">
            <w:pPr>
              <w:spacing w:line="300" w:lineRule="exact"/>
              <w:ind w:left="-63" w:leftChars="-30" w:right="-63" w:rightChars="-30"/>
              <w:jc w:val="center"/>
              <w:rPr>
                <w:bCs/>
                <w:szCs w:val="21"/>
              </w:rPr>
            </w:pPr>
            <w:r>
              <w:rPr>
                <w:rFonts w:hint="eastAsia"/>
                <w:bCs/>
                <w:szCs w:val="21"/>
              </w:rPr>
              <w:t>气象要素</w:t>
            </w:r>
          </w:p>
        </w:tc>
      </w:tr>
      <w:tr w14:paraId="30E43C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001" w:type="dxa"/>
            <w:vMerge w:val="continue"/>
            <w:tcBorders>
              <w:top w:val="single" w:color="auto" w:sz="12" w:space="0"/>
              <w:left w:val="nil"/>
              <w:bottom w:val="single" w:color="auto" w:sz="4" w:space="0"/>
              <w:right w:val="single" w:color="auto" w:sz="4" w:space="0"/>
            </w:tcBorders>
            <w:vAlign w:val="center"/>
          </w:tcPr>
          <w:p w14:paraId="3DB4CB58">
            <w:pPr>
              <w:rPr>
                <w:bCs/>
                <w:szCs w:val="21"/>
              </w:rPr>
            </w:pPr>
          </w:p>
        </w:tc>
        <w:tc>
          <w:tcPr>
            <w:tcW w:w="879" w:type="dxa"/>
            <w:vMerge w:val="continue"/>
            <w:tcBorders>
              <w:top w:val="single" w:color="auto" w:sz="12" w:space="0"/>
              <w:left w:val="single" w:color="auto" w:sz="4" w:space="0"/>
              <w:bottom w:val="single" w:color="auto" w:sz="4" w:space="0"/>
              <w:right w:val="single" w:color="auto" w:sz="4" w:space="0"/>
            </w:tcBorders>
            <w:vAlign w:val="center"/>
          </w:tcPr>
          <w:p w14:paraId="5BE9D4DF">
            <w:pPr>
              <w:rPr>
                <w:bCs/>
                <w:szCs w:val="21"/>
              </w:rPr>
            </w:pPr>
          </w:p>
        </w:tc>
        <w:tc>
          <w:tcPr>
            <w:tcW w:w="888" w:type="dxa"/>
            <w:vMerge w:val="continue"/>
            <w:tcBorders>
              <w:top w:val="single" w:color="auto" w:sz="12" w:space="0"/>
              <w:left w:val="single" w:color="auto" w:sz="4" w:space="0"/>
              <w:bottom w:val="single" w:color="auto" w:sz="4" w:space="0"/>
              <w:right w:val="single" w:color="auto" w:sz="4" w:space="0"/>
            </w:tcBorders>
            <w:vAlign w:val="center"/>
          </w:tcPr>
          <w:p w14:paraId="34984A0D">
            <w:pPr>
              <w:rPr>
                <w:bCs/>
                <w:szCs w:val="21"/>
              </w:rPr>
            </w:pPr>
          </w:p>
        </w:tc>
        <w:tc>
          <w:tcPr>
            <w:tcW w:w="1026" w:type="dxa"/>
            <w:tcBorders>
              <w:top w:val="single" w:color="auto" w:sz="4"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515DA2CC">
            <w:pPr>
              <w:spacing w:line="300" w:lineRule="exact"/>
              <w:ind w:left="-63" w:leftChars="-30" w:right="-63" w:rightChars="-30"/>
              <w:jc w:val="center"/>
              <w:rPr>
                <w:bCs/>
                <w:szCs w:val="21"/>
              </w:rPr>
            </w:pPr>
            <w:r>
              <w:rPr>
                <w:bCs/>
                <w:szCs w:val="21"/>
              </w:rPr>
              <w:t>X</w:t>
            </w:r>
          </w:p>
        </w:tc>
        <w:tc>
          <w:tcPr>
            <w:tcW w:w="1134" w:type="dxa"/>
            <w:tcBorders>
              <w:top w:val="single" w:color="auto" w:sz="4"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103B504B">
            <w:pPr>
              <w:spacing w:line="300" w:lineRule="exact"/>
              <w:ind w:left="-63" w:leftChars="-30" w:right="-63" w:rightChars="-30"/>
              <w:jc w:val="center"/>
              <w:rPr>
                <w:bCs/>
                <w:szCs w:val="21"/>
              </w:rPr>
            </w:pPr>
            <w:r>
              <w:rPr>
                <w:bCs/>
                <w:szCs w:val="21"/>
              </w:rPr>
              <w:t>Y</w:t>
            </w:r>
          </w:p>
        </w:tc>
        <w:tc>
          <w:tcPr>
            <w:tcW w:w="850" w:type="dxa"/>
            <w:vMerge w:val="continue"/>
            <w:tcBorders>
              <w:top w:val="single" w:color="auto" w:sz="12" w:space="0"/>
              <w:left w:val="single" w:color="auto" w:sz="4" w:space="0"/>
              <w:bottom w:val="single" w:color="auto" w:sz="4" w:space="0"/>
              <w:right w:val="single" w:color="auto" w:sz="4" w:space="0"/>
            </w:tcBorders>
            <w:vAlign w:val="center"/>
          </w:tcPr>
          <w:p w14:paraId="4E83FB1A">
            <w:pPr>
              <w:rPr>
                <w:bCs/>
                <w:szCs w:val="21"/>
              </w:rPr>
            </w:pPr>
          </w:p>
        </w:tc>
        <w:tc>
          <w:tcPr>
            <w:tcW w:w="951" w:type="dxa"/>
            <w:vMerge w:val="continue"/>
            <w:tcBorders>
              <w:top w:val="single" w:color="auto" w:sz="12" w:space="0"/>
              <w:left w:val="single" w:color="auto" w:sz="4" w:space="0"/>
              <w:bottom w:val="single" w:color="auto" w:sz="4" w:space="0"/>
              <w:right w:val="single" w:color="auto" w:sz="4" w:space="0"/>
            </w:tcBorders>
            <w:vAlign w:val="center"/>
          </w:tcPr>
          <w:p w14:paraId="3844F494">
            <w:pPr>
              <w:rPr>
                <w:bCs/>
                <w:szCs w:val="21"/>
              </w:rPr>
            </w:pPr>
          </w:p>
        </w:tc>
        <w:tc>
          <w:tcPr>
            <w:tcW w:w="1001" w:type="dxa"/>
            <w:vMerge w:val="continue"/>
            <w:tcBorders>
              <w:top w:val="single" w:color="auto" w:sz="12" w:space="0"/>
              <w:left w:val="single" w:color="auto" w:sz="4" w:space="0"/>
              <w:bottom w:val="single" w:color="auto" w:sz="4" w:space="0"/>
              <w:right w:val="single" w:color="auto" w:sz="4" w:space="0"/>
            </w:tcBorders>
            <w:vAlign w:val="center"/>
          </w:tcPr>
          <w:p w14:paraId="4867AD54">
            <w:pPr>
              <w:rPr>
                <w:bCs/>
                <w:szCs w:val="21"/>
              </w:rPr>
            </w:pPr>
          </w:p>
        </w:tc>
        <w:tc>
          <w:tcPr>
            <w:tcW w:w="991" w:type="dxa"/>
            <w:vMerge w:val="continue"/>
            <w:tcBorders>
              <w:top w:val="single" w:color="auto" w:sz="12" w:space="0"/>
              <w:left w:val="single" w:color="auto" w:sz="4" w:space="0"/>
              <w:bottom w:val="single" w:color="auto" w:sz="4" w:space="0"/>
              <w:right w:val="nil"/>
            </w:tcBorders>
            <w:vAlign w:val="center"/>
          </w:tcPr>
          <w:p w14:paraId="4C714801">
            <w:pPr>
              <w:rPr>
                <w:bCs/>
                <w:szCs w:val="21"/>
              </w:rPr>
            </w:pPr>
          </w:p>
        </w:tc>
      </w:tr>
      <w:tr w14:paraId="1B684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001" w:type="dxa"/>
            <w:tcBorders>
              <w:top w:val="single" w:color="auto" w:sz="4" w:space="0"/>
              <w:left w:val="nil"/>
              <w:bottom w:val="single" w:color="auto" w:sz="12" w:space="0"/>
              <w:right w:val="single" w:color="auto" w:sz="4" w:space="0"/>
            </w:tcBorders>
            <w:tcMar>
              <w:top w:w="15" w:type="dxa"/>
              <w:left w:w="108" w:type="dxa"/>
              <w:bottom w:w="15" w:type="dxa"/>
              <w:right w:w="108" w:type="dxa"/>
            </w:tcMar>
            <w:vAlign w:val="center"/>
          </w:tcPr>
          <w:p w14:paraId="3EE0E24B">
            <w:pPr>
              <w:spacing w:line="300" w:lineRule="exact"/>
              <w:ind w:left="-63" w:leftChars="-30" w:right="-63" w:rightChars="-30"/>
              <w:jc w:val="center"/>
              <w:rPr>
                <w:bCs/>
                <w:szCs w:val="21"/>
              </w:rPr>
            </w:pPr>
            <w:r>
              <w:rPr>
                <w:rFonts w:hint="eastAsia"/>
                <w:bCs/>
                <w:szCs w:val="21"/>
              </w:rPr>
              <w:t>巴中</w:t>
            </w:r>
          </w:p>
        </w:tc>
        <w:tc>
          <w:tcPr>
            <w:tcW w:w="879" w:type="dxa"/>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vAlign w:val="center"/>
          </w:tcPr>
          <w:p w14:paraId="54561EBA">
            <w:pPr>
              <w:spacing w:line="300" w:lineRule="exact"/>
              <w:jc w:val="center"/>
              <w:rPr>
                <w:bCs/>
                <w:szCs w:val="21"/>
              </w:rPr>
            </w:pPr>
            <w:r>
              <w:rPr>
                <w:bCs/>
                <w:szCs w:val="21"/>
              </w:rPr>
              <w:t>57313</w:t>
            </w:r>
          </w:p>
        </w:tc>
        <w:tc>
          <w:tcPr>
            <w:tcW w:w="888" w:type="dxa"/>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vAlign w:val="center"/>
          </w:tcPr>
          <w:p w14:paraId="06E5AA5A">
            <w:pPr>
              <w:spacing w:line="300" w:lineRule="exact"/>
              <w:jc w:val="center"/>
              <w:rPr>
                <w:bCs/>
                <w:szCs w:val="21"/>
              </w:rPr>
            </w:pPr>
            <w:r>
              <w:rPr>
                <w:rFonts w:hint="eastAsia"/>
                <w:bCs/>
                <w:szCs w:val="21"/>
              </w:rPr>
              <w:t>一般站</w:t>
            </w:r>
          </w:p>
        </w:tc>
        <w:tc>
          <w:tcPr>
            <w:tcW w:w="1026" w:type="dxa"/>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vAlign w:val="center"/>
          </w:tcPr>
          <w:p w14:paraId="33C4FDF0">
            <w:pPr>
              <w:spacing w:line="300" w:lineRule="exact"/>
              <w:jc w:val="center"/>
              <w:rPr>
                <w:bCs/>
                <w:szCs w:val="21"/>
              </w:rPr>
            </w:pPr>
            <w:r>
              <w:rPr>
                <w:bCs/>
                <w:szCs w:val="21"/>
              </w:rPr>
              <w:t>106.785</w:t>
            </w:r>
          </w:p>
        </w:tc>
        <w:tc>
          <w:tcPr>
            <w:tcW w:w="1134" w:type="dxa"/>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vAlign w:val="center"/>
          </w:tcPr>
          <w:p w14:paraId="274E9F5B">
            <w:pPr>
              <w:spacing w:line="300" w:lineRule="exact"/>
              <w:jc w:val="center"/>
              <w:rPr>
                <w:bCs/>
                <w:szCs w:val="21"/>
              </w:rPr>
            </w:pPr>
            <w:r>
              <w:rPr>
                <w:bCs/>
                <w:szCs w:val="21"/>
              </w:rPr>
              <w:t>31.8872</w:t>
            </w:r>
          </w:p>
        </w:tc>
        <w:tc>
          <w:tcPr>
            <w:tcW w:w="850" w:type="dxa"/>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vAlign w:val="center"/>
          </w:tcPr>
          <w:p w14:paraId="0E441E42">
            <w:pPr>
              <w:spacing w:line="300" w:lineRule="exact"/>
              <w:jc w:val="center"/>
              <w:rPr>
                <w:bCs/>
                <w:szCs w:val="21"/>
              </w:rPr>
            </w:pPr>
            <w:r>
              <w:rPr>
                <w:bCs/>
                <w:szCs w:val="21"/>
              </w:rPr>
              <w:t>/</w:t>
            </w:r>
          </w:p>
        </w:tc>
        <w:tc>
          <w:tcPr>
            <w:tcW w:w="951" w:type="dxa"/>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vAlign w:val="center"/>
          </w:tcPr>
          <w:p w14:paraId="6649864B">
            <w:pPr>
              <w:spacing w:line="300" w:lineRule="exact"/>
              <w:jc w:val="center"/>
              <w:rPr>
                <w:bCs/>
                <w:szCs w:val="21"/>
              </w:rPr>
            </w:pPr>
            <w:r>
              <w:rPr>
                <w:bCs/>
                <w:szCs w:val="21"/>
              </w:rPr>
              <w:t>556.7</w:t>
            </w:r>
          </w:p>
        </w:tc>
        <w:tc>
          <w:tcPr>
            <w:tcW w:w="1001" w:type="dxa"/>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vAlign w:val="center"/>
          </w:tcPr>
          <w:p w14:paraId="2DB1CD8E">
            <w:pPr>
              <w:spacing w:line="300" w:lineRule="exact"/>
              <w:jc w:val="center"/>
              <w:rPr>
                <w:bCs/>
                <w:szCs w:val="21"/>
              </w:rPr>
            </w:pPr>
            <w:r>
              <w:rPr>
                <w:bCs/>
                <w:szCs w:val="21"/>
              </w:rPr>
              <w:t>2025</w:t>
            </w:r>
          </w:p>
        </w:tc>
        <w:tc>
          <w:tcPr>
            <w:tcW w:w="991" w:type="dxa"/>
            <w:tcBorders>
              <w:top w:val="single" w:color="auto" w:sz="4" w:space="0"/>
              <w:left w:val="single" w:color="auto" w:sz="4" w:space="0"/>
              <w:bottom w:val="single" w:color="auto" w:sz="12" w:space="0"/>
              <w:right w:val="nil"/>
            </w:tcBorders>
            <w:tcMar>
              <w:top w:w="15" w:type="dxa"/>
              <w:left w:w="108" w:type="dxa"/>
              <w:bottom w:w="15" w:type="dxa"/>
              <w:right w:w="108" w:type="dxa"/>
            </w:tcMar>
            <w:vAlign w:val="center"/>
          </w:tcPr>
          <w:p w14:paraId="1927800E">
            <w:pPr>
              <w:spacing w:line="300" w:lineRule="exact"/>
              <w:ind w:left="-63" w:leftChars="-30" w:right="-63" w:rightChars="-30"/>
              <w:jc w:val="center"/>
              <w:rPr>
                <w:bCs/>
                <w:szCs w:val="21"/>
              </w:rPr>
            </w:pPr>
            <w:r>
              <w:rPr>
                <w:rFonts w:hint="eastAsia"/>
                <w:bCs/>
                <w:szCs w:val="21"/>
              </w:rPr>
              <w:t>风、气压、温度等</w:t>
            </w:r>
          </w:p>
        </w:tc>
      </w:tr>
    </w:tbl>
    <w:p w14:paraId="0A70ABF2">
      <w:pPr>
        <w:spacing w:before="156" w:beforeLines="50"/>
        <w:jc w:val="center"/>
        <w:rPr>
          <w:b/>
          <w:bCs/>
          <w:szCs w:val="21"/>
        </w:rPr>
      </w:pPr>
      <w:r>
        <w:rPr>
          <w:rFonts w:hint="eastAsia"/>
          <w:b/>
          <w:bCs/>
          <w:szCs w:val="21"/>
        </w:rPr>
        <w:t>表</w:t>
      </w:r>
      <w:r>
        <w:rPr>
          <w:b/>
          <w:bCs/>
          <w:szCs w:val="21"/>
        </w:rPr>
        <w:t xml:space="preserve">5.2-5 </w:t>
      </w:r>
      <w:r>
        <w:rPr>
          <w:rFonts w:hint="eastAsia"/>
          <w:b/>
          <w:bCs/>
          <w:szCs w:val="21"/>
        </w:rPr>
        <w:t>模拟气象数据信息</w:t>
      </w:r>
    </w:p>
    <w:tbl>
      <w:tblPr>
        <w:tblStyle w:val="8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07"/>
        <w:gridCol w:w="1364"/>
        <w:gridCol w:w="1668"/>
        <w:gridCol w:w="1308"/>
        <w:gridCol w:w="2068"/>
        <w:gridCol w:w="1307"/>
      </w:tblGrid>
      <w:tr w14:paraId="0D67E2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480" w:type="pct"/>
            <w:gridSpan w:val="2"/>
            <w:tcBorders>
              <w:top w:val="single" w:color="auto" w:sz="12" w:space="0"/>
              <w:left w:val="nil"/>
              <w:bottom w:val="single" w:color="auto" w:sz="4" w:space="0"/>
              <w:right w:val="single" w:color="auto" w:sz="4" w:space="0"/>
            </w:tcBorders>
            <w:tcMar>
              <w:top w:w="15" w:type="dxa"/>
              <w:left w:w="108" w:type="dxa"/>
              <w:bottom w:w="15" w:type="dxa"/>
              <w:right w:w="108" w:type="dxa"/>
            </w:tcMar>
            <w:vAlign w:val="center"/>
          </w:tcPr>
          <w:p w14:paraId="1F81205C">
            <w:pPr>
              <w:spacing w:line="300" w:lineRule="exact"/>
              <w:jc w:val="center"/>
              <w:rPr>
                <w:bCs/>
                <w:szCs w:val="21"/>
              </w:rPr>
            </w:pPr>
            <w:r>
              <w:rPr>
                <w:rFonts w:hint="eastAsia"/>
                <w:bCs/>
                <w:szCs w:val="21"/>
              </w:rPr>
              <w:t>模拟点坐标</w:t>
            </w:r>
            <w:r>
              <w:rPr>
                <w:bCs/>
                <w:szCs w:val="21"/>
              </w:rPr>
              <w:t>/m</w:t>
            </w:r>
          </w:p>
        </w:tc>
        <w:tc>
          <w:tcPr>
            <w:tcW w:w="924" w:type="pct"/>
            <w:vMerge w:val="restart"/>
            <w:tcBorders>
              <w:top w:val="single" w:color="auto" w:sz="12"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37C31ACD">
            <w:pPr>
              <w:spacing w:line="300" w:lineRule="exact"/>
              <w:jc w:val="center"/>
              <w:rPr>
                <w:bCs/>
                <w:szCs w:val="21"/>
              </w:rPr>
            </w:pPr>
            <w:r>
              <w:rPr>
                <w:rFonts w:hint="eastAsia"/>
                <w:bCs/>
                <w:szCs w:val="21"/>
              </w:rPr>
              <w:t>相对距离</w:t>
            </w:r>
            <w:r>
              <w:rPr>
                <w:bCs/>
                <w:szCs w:val="21"/>
              </w:rPr>
              <w:t>/m</w:t>
            </w:r>
          </w:p>
        </w:tc>
        <w:tc>
          <w:tcPr>
            <w:tcW w:w="725" w:type="pct"/>
            <w:vMerge w:val="restart"/>
            <w:tcBorders>
              <w:top w:val="single" w:color="auto" w:sz="12"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52E7F8D9">
            <w:pPr>
              <w:spacing w:line="300" w:lineRule="exact"/>
              <w:jc w:val="center"/>
              <w:rPr>
                <w:bCs/>
                <w:szCs w:val="21"/>
              </w:rPr>
            </w:pPr>
            <w:r>
              <w:rPr>
                <w:rFonts w:hint="eastAsia"/>
                <w:bCs/>
                <w:szCs w:val="21"/>
              </w:rPr>
              <w:t>数据年份</w:t>
            </w:r>
          </w:p>
        </w:tc>
        <w:tc>
          <w:tcPr>
            <w:tcW w:w="1146" w:type="pct"/>
            <w:vMerge w:val="restart"/>
            <w:tcBorders>
              <w:top w:val="single" w:color="auto" w:sz="12"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28427686">
            <w:pPr>
              <w:spacing w:line="300" w:lineRule="exact"/>
              <w:jc w:val="center"/>
              <w:rPr>
                <w:bCs/>
                <w:szCs w:val="21"/>
              </w:rPr>
            </w:pPr>
            <w:r>
              <w:rPr>
                <w:rFonts w:hint="eastAsia"/>
                <w:bCs/>
                <w:szCs w:val="21"/>
              </w:rPr>
              <w:t>模拟气象要素</w:t>
            </w:r>
          </w:p>
        </w:tc>
        <w:tc>
          <w:tcPr>
            <w:tcW w:w="724" w:type="pct"/>
            <w:vMerge w:val="restart"/>
            <w:tcBorders>
              <w:top w:val="single" w:color="auto" w:sz="12" w:space="0"/>
              <w:left w:val="single" w:color="auto" w:sz="4" w:space="0"/>
              <w:bottom w:val="single" w:color="auto" w:sz="4" w:space="0"/>
              <w:right w:val="nil"/>
            </w:tcBorders>
            <w:tcMar>
              <w:top w:w="15" w:type="dxa"/>
              <w:left w:w="108" w:type="dxa"/>
              <w:bottom w:w="15" w:type="dxa"/>
              <w:right w:w="108" w:type="dxa"/>
            </w:tcMar>
            <w:vAlign w:val="center"/>
          </w:tcPr>
          <w:p w14:paraId="18C9B66B">
            <w:pPr>
              <w:spacing w:line="300" w:lineRule="exact"/>
              <w:jc w:val="center"/>
              <w:rPr>
                <w:bCs/>
                <w:szCs w:val="21"/>
              </w:rPr>
            </w:pPr>
            <w:r>
              <w:rPr>
                <w:rFonts w:hint="eastAsia"/>
                <w:bCs/>
                <w:szCs w:val="21"/>
              </w:rPr>
              <w:t>模拟方式</w:t>
            </w:r>
          </w:p>
        </w:tc>
      </w:tr>
      <w:tr w14:paraId="6BB4C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24" w:type="pct"/>
            <w:tcBorders>
              <w:top w:val="single" w:color="auto" w:sz="4" w:space="0"/>
              <w:left w:val="nil"/>
              <w:bottom w:val="single" w:color="auto" w:sz="4" w:space="0"/>
              <w:right w:val="single" w:color="auto" w:sz="4" w:space="0"/>
            </w:tcBorders>
            <w:tcMar>
              <w:top w:w="15" w:type="dxa"/>
              <w:left w:w="108" w:type="dxa"/>
              <w:bottom w:w="15" w:type="dxa"/>
              <w:right w:w="108" w:type="dxa"/>
            </w:tcMar>
            <w:vAlign w:val="center"/>
          </w:tcPr>
          <w:p w14:paraId="655B4C8D">
            <w:pPr>
              <w:spacing w:line="300" w:lineRule="exact"/>
              <w:jc w:val="center"/>
              <w:rPr>
                <w:bCs/>
                <w:szCs w:val="21"/>
              </w:rPr>
            </w:pPr>
            <w:r>
              <w:rPr>
                <w:bCs/>
                <w:szCs w:val="21"/>
              </w:rPr>
              <w:t>X</w:t>
            </w:r>
          </w:p>
        </w:tc>
        <w:tc>
          <w:tcPr>
            <w:tcW w:w="756" w:type="pct"/>
            <w:tcBorders>
              <w:top w:val="single" w:color="auto" w:sz="4" w:space="0"/>
              <w:left w:val="single" w:color="auto" w:sz="4" w:space="0"/>
              <w:bottom w:val="single" w:color="auto" w:sz="4" w:space="0"/>
              <w:right w:val="single" w:color="auto" w:sz="4" w:space="0"/>
            </w:tcBorders>
            <w:tcMar>
              <w:top w:w="15" w:type="dxa"/>
              <w:left w:w="108" w:type="dxa"/>
              <w:bottom w:w="15" w:type="dxa"/>
              <w:right w:w="108" w:type="dxa"/>
            </w:tcMar>
            <w:vAlign w:val="center"/>
          </w:tcPr>
          <w:p w14:paraId="7A94B661">
            <w:pPr>
              <w:spacing w:line="300" w:lineRule="exact"/>
              <w:jc w:val="center"/>
              <w:rPr>
                <w:bCs/>
                <w:szCs w:val="21"/>
              </w:rPr>
            </w:pPr>
            <w:r>
              <w:rPr>
                <w:bCs/>
                <w:szCs w:val="21"/>
              </w:rPr>
              <w:t>Y</w:t>
            </w: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36259C6D">
            <w:pPr>
              <w:rPr>
                <w:bCs/>
                <w:szCs w:val="21"/>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5BEEDEBB">
            <w:pPr>
              <w:rPr>
                <w:bCs/>
                <w:szCs w:val="21"/>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75E3A3AB">
            <w:pPr>
              <w:rPr>
                <w:bCs/>
                <w:szCs w:val="21"/>
              </w:rPr>
            </w:pPr>
          </w:p>
        </w:tc>
        <w:tc>
          <w:tcPr>
            <w:tcW w:w="0" w:type="auto"/>
            <w:vMerge w:val="continue"/>
            <w:tcBorders>
              <w:top w:val="single" w:color="auto" w:sz="12" w:space="0"/>
              <w:left w:val="single" w:color="auto" w:sz="4" w:space="0"/>
              <w:bottom w:val="single" w:color="auto" w:sz="4" w:space="0"/>
              <w:right w:val="nil"/>
            </w:tcBorders>
            <w:vAlign w:val="center"/>
          </w:tcPr>
          <w:p w14:paraId="390ABB00">
            <w:pPr>
              <w:rPr>
                <w:bCs/>
                <w:szCs w:val="21"/>
              </w:rPr>
            </w:pPr>
          </w:p>
        </w:tc>
      </w:tr>
      <w:tr w14:paraId="2E499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724" w:type="pct"/>
            <w:tcBorders>
              <w:top w:val="single" w:color="auto" w:sz="4" w:space="0"/>
              <w:left w:val="nil"/>
              <w:bottom w:val="single" w:color="auto" w:sz="12" w:space="0"/>
              <w:right w:val="single" w:color="auto" w:sz="4" w:space="0"/>
            </w:tcBorders>
            <w:tcMar>
              <w:top w:w="15" w:type="dxa"/>
              <w:left w:w="108" w:type="dxa"/>
              <w:bottom w:w="15" w:type="dxa"/>
              <w:right w:w="108" w:type="dxa"/>
            </w:tcMar>
            <w:vAlign w:val="center"/>
          </w:tcPr>
          <w:p w14:paraId="1247693F">
            <w:pPr>
              <w:spacing w:line="300" w:lineRule="exact"/>
              <w:jc w:val="center"/>
              <w:rPr>
                <w:bCs/>
                <w:szCs w:val="21"/>
              </w:rPr>
            </w:pPr>
            <w:r>
              <w:rPr>
                <w:bCs/>
                <w:szCs w:val="21"/>
              </w:rPr>
              <w:t>106.785</w:t>
            </w:r>
          </w:p>
        </w:tc>
        <w:tc>
          <w:tcPr>
            <w:tcW w:w="756" w:type="pct"/>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vAlign w:val="center"/>
          </w:tcPr>
          <w:p w14:paraId="589D4577">
            <w:pPr>
              <w:spacing w:line="300" w:lineRule="exact"/>
              <w:jc w:val="center"/>
              <w:rPr>
                <w:bCs/>
                <w:szCs w:val="21"/>
              </w:rPr>
            </w:pPr>
            <w:r>
              <w:rPr>
                <w:bCs/>
                <w:szCs w:val="21"/>
              </w:rPr>
              <w:t>31.8872</w:t>
            </w:r>
          </w:p>
        </w:tc>
        <w:tc>
          <w:tcPr>
            <w:tcW w:w="924" w:type="pct"/>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tcPr>
          <w:p w14:paraId="247ECD2F">
            <w:pPr>
              <w:spacing w:line="300" w:lineRule="exact"/>
              <w:jc w:val="center"/>
              <w:rPr>
                <w:bCs/>
                <w:szCs w:val="21"/>
              </w:rPr>
            </w:pPr>
            <w:r>
              <w:rPr>
                <w:bCs/>
                <w:szCs w:val="21"/>
              </w:rPr>
              <w:t>/</w:t>
            </w:r>
          </w:p>
        </w:tc>
        <w:tc>
          <w:tcPr>
            <w:tcW w:w="725" w:type="pct"/>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tcPr>
          <w:p w14:paraId="2F924D95">
            <w:pPr>
              <w:spacing w:line="300" w:lineRule="exact"/>
              <w:jc w:val="center"/>
              <w:rPr>
                <w:bCs/>
                <w:szCs w:val="21"/>
              </w:rPr>
            </w:pPr>
            <w:r>
              <w:rPr>
                <w:bCs/>
                <w:szCs w:val="21"/>
              </w:rPr>
              <w:t>2025</w:t>
            </w:r>
          </w:p>
        </w:tc>
        <w:tc>
          <w:tcPr>
            <w:tcW w:w="1146" w:type="pct"/>
            <w:tcBorders>
              <w:top w:val="single" w:color="auto" w:sz="4" w:space="0"/>
              <w:left w:val="single" w:color="auto" w:sz="4" w:space="0"/>
              <w:bottom w:val="single" w:color="auto" w:sz="12" w:space="0"/>
              <w:right w:val="single" w:color="auto" w:sz="4" w:space="0"/>
            </w:tcBorders>
            <w:tcMar>
              <w:top w:w="15" w:type="dxa"/>
              <w:left w:w="108" w:type="dxa"/>
              <w:bottom w:w="15" w:type="dxa"/>
              <w:right w:w="108" w:type="dxa"/>
            </w:tcMar>
          </w:tcPr>
          <w:p w14:paraId="1AB707E0">
            <w:pPr>
              <w:spacing w:line="300" w:lineRule="exact"/>
              <w:jc w:val="center"/>
              <w:rPr>
                <w:bCs/>
                <w:szCs w:val="21"/>
              </w:rPr>
            </w:pPr>
            <w:r>
              <w:rPr>
                <w:rFonts w:hint="eastAsia"/>
                <w:bCs/>
                <w:szCs w:val="21"/>
              </w:rPr>
              <w:t>风、气压、温度等</w:t>
            </w:r>
          </w:p>
        </w:tc>
        <w:tc>
          <w:tcPr>
            <w:tcW w:w="724" w:type="pct"/>
            <w:tcBorders>
              <w:top w:val="single" w:color="auto" w:sz="4" w:space="0"/>
              <w:left w:val="single" w:color="auto" w:sz="4" w:space="0"/>
              <w:bottom w:val="single" w:color="auto" w:sz="12" w:space="0"/>
              <w:right w:val="nil"/>
            </w:tcBorders>
            <w:tcMar>
              <w:top w:w="15" w:type="dxa"/>
              <w:left w:w="108" w:type="dxa"/>
              <w:bottom w:w="15" w:type="dxa"/>
              <w:right w:w="108" w:type="dxa"/>
            </w:tcMar>
            <w:vAlign w:val="center"/>
          </w:tcPr>
          <w:p w14:paraId="7AB5DF6F">
            <w:pPr>
              <w:spacing w:line="300" w:lineRule="exact"/>
              <w:jc w:val="center"/>
              <w:rPr>
                <w:bCs/>
                <w:szCs w:val="21"/>
              </w:rPr>
            </w:pPr>
            <w:r>
              <w:rPr>
                <w:bCs/>
                <w:szCs w:val="21"/>
              </w:rPr>
              <w:t>WRF-ARW</w:t>
            </w:r>
          </w:p>
        </w:tc>
      </w:tr>
    </w:tbl>
    <w:p w14:paraId="57E4BA72">
      <w:pPr>
        <w:spacing w:line="360" w:lineRule="auto"/>
        <w:ind w:firstLine="480" w:firstLineChars="200"/>
        <w:rPr>
          <w:bCs/>
          <w:sz w:val="24"/>
        </w:rPr>
      </w:pPr>
      <w:r>
        <w:rPr>
          <w:rFonts w:hint="eastAsia"/>
          <w:bCs/>
          <w:sz w:val="24"/>
        </w:rPr>
        <w:t>（</w:t>
      </w:r>
      <w:r>
        <w:rPr>
          <w:bCs/>
          <w:sz w:val="24"/>
        </w:rPr>
        <w:t>2</w:t>
      </w:r>
      <w:r>
        <w:rPr>
          <w:rFonts w:hint="eastAsia"/>
          <w:bCs/>
          <w:sz w:val="24"/>
        </w:rPr>
        <w:t>）地形数据</w:t>
      </w:r>
    </w:p>
    <w:p w14:paraId="7CD184C5">
      <w:pPr>
        <w:spacing w:line="360" w:lineRule="auto"/>
        <w:ind w:firstLine="480" w:firstLineChars="200"/>
        <w:rPr>
          <w:sz w:val="24"/>
        </w:rPr>
      </w:pPr>
      <w:r>
        <w:rPr>
          <w:rFonts w:hint="eastAsia"/>
          <w:sz w:val="24"/>
        </w:rPr>
        <w:t>本项目地形数据采用</w:t>
      </w:r>
      <w:r>
        <w:rPr>
          <w:sz w:val="24"/>
        </w:rPr>
        <w:t>SRTM</w:t>
      </w:r>
      <w:r>
        <w:rPr>
          <w:rFonts w:hint="eastAsia"/>
          <w:sz w:val="24"/>
        </w:rPr>
        <w:t>（</w:t>
      </w:r>
      <w:r>
        <w:rPr>
          <w:sz w:val="24"/>
        </w:rPr>
        <w:t>Shuttle Radar Topography Mission</w:t>
      </w:r>
      <w:r>
        <w:rPr>
          <w:rFonts w:hint="eastAsia"/>
          <w:sz w:val="24"/>
        </w:rPr>
        <w:t>）</w:t>
      </w:r>
      <w:r>
        <w:rPr>
          <w:sz w:val="24"/>
        </w:rPr>
        <w:t>90m</w:t>
      </w:r>
      <w:r>
        <w:rPr>
          <w:rFonts w:hint="eastAsia"/>
          <w:sz w:val="24"/>
        </w:rPr>
        <w:t>分辨率地形数据。数据来源为：</w:t>
      </w:r>
      <w:r>
        <w:rPr>
          <w:sz w:val="24"/>
        </w:rPr>
        <w:t>http://srtm.csi.cgiar.org</w:t>
      </w:r>
      <w:r>
        <w:rPr>
          <w:rFonts w:hint="eastAsia"/>
          <w:sz w:val="24"/>
        </w:rPr>
        <w:t>。各养殖场区区域地形见以下图。</w:t>
      </w:r>
    </w:p>
    <w:p w14:paraId="43E4775A">
      <w:pPr>
        <w:spacing w:line="360" w:lineRule="auto"/>
        <w:jc w:val="center"/>
        <w:rPr>
          <w:b/>
          <w:bCs/>
          <w:color w:val="FF0000"/>
          <w:spacing w:val="5"/>
          <w:szCs w:val="21"/>
        </w:rPr>
      </w:pPr>
    </w:p>
    <w:p w14:paraId="31081F5B">
      <w:pPr>
        <w:spacing w:line="360" w:lineRule="auto"/>
        <w:jc w:val="center"/>
        <w:rPr>
          <w:b/>
          <w:bCs/>
          <w:color w:val="FF0000"/>
          <w:spacing w:val="5"/>
          <w:szCs w:val="21"/>
        </w:rPr>
      </w:pPr>
      <w:r>
        <w:drawing>
          <wp:inline distT="0" distB="0" distL="0" distR="0">
            <wp:extent cx="5731510" cy="3959860"/>
            <wp:effectExtent l="0" t="0" r="2540" b="254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图片 469"/>
                    <pic:cNvPicPr>
                      <a:picLocks noChangeAspect="1"/>
                    </pic:cNvPicPr>
                  </pic:nvPicPr>
                  <pic:blipFill>
                    <a:blip r:embed="rId81"/>
                    <a:stretch>
                      <a:fillRect/>
                    </a:stretch>
                  </pic:blipFill>
                  <pic:spPr>
                    <a:xfrm>
                      <a:off x="0" y="0"/>
                      <a:ext cx="5731510" cy="3959860"/>
                    </a:xfrm>
                    <a:prstGeom prst="rect">
                      <a:avLst/>
                    </a:prstGeom>
                  </pic:spPr>
                </pic:pic>
              </a:graphicData>
            </a:graphic>
          </wp:inline>
        </w:drawing>
      </w:r>
    </w:p>
    <w:p w14:paraId="312400D2">
      <w:pPr>
        <w:spacing w:line="360" w:lineRule="auto"/>
        <w:jc w:val="center"/>
        <w:rPr>
          <w:b/>
          <w:bCs/>
          <w:color w:val="FF0000"/>
          <w:spacing w:val="5"/>
          <w:szCs w:val="21"/>
        </w:rPr>
      </w:pPr>
      <w:r>
        <w:rPr>
          <w:b/>
          <w:bCs/>
          <w:color w:val="FF0000"/>
          <w:spacing w:val="5"/>
          <w:szCs w:val="21"/>
        </w:rPr>
        <w:t xml:space="preserve">图5.2-1 </w:t>
      </w:r>
      <w:r>
        <w:rPr>
          <w:rFonts w:hint="eastAsia"/>
          <w:b/>
          <w:bCs/>
          <w:color w:val="FF0000"/>
          <w:spacing w:val="5"/>
          <w:szCs w:val="21"/>
        </w:rPr>
        <w:t>百花养殖场区大气评价范围</w:t>
      </w:r>
      <w:r>
        <w:rPr>
          <w:b/>
          <w:bCs/>
          <w:color w:val="FF0000"/>
          <w:spacing w:val="5"/>
          <w:szCs w:val="21"/>
        </w:rPr>
        <w:t>区域地形等高线示意图</w:t>
      </w:r>
    </w:p>
    <w:p w14:paraId="7CDC5999">
      <w:pPr>
        <w:spacing w:line="360" w:lineRule="auto"/>
        <w:jc w:val="center"/>
        <w:rPr>
          <w:b/>
          <w:bCs/>
          <w:color w:val="FF0000"/>
          <w:szCs w:val="21"/>
        </w:rPr>
      </w:pPr>
      <w:r>
        <w:drawing>
          <wp:inline distT="0" distB="0" distL="0" distR="0">
            <wp:extent cx="5731510" cy="4021455"/>
            <wp:effectExtent l="0" t="0" r="2540"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图片 467"/>
                    <pic:cNvPicPr>
                      <a:picLocks noChangeAspect="1"/>
                    </pic:cNvPicPr>
                  </pic:nvPicPr>
                  <pic:blipFill>
                    <a:blip r:embed="rId82"/>
                    <a:stretch>
                      <a:fillRect/>
                    </a:stretch>
                  </pic:blipFill>
                  <pic:spPr>
                    <a:xfrm>
                      <a:off x="0" y="0"/>
                      <a:ext cx="5731510" cy="4021455"/>
                    </a:xfrm>
                    <a:prstGeom prst="rect">
                      <a:avLst/>
                    </a:prstGeom>
                  </pic:spPr>
                </pic:pic>
              </a:graphicData>
            </a:graphic>
          </wp:inline>
        </w:drawing>
      </w:r>
    </w:p>
    <w:p w14:paraId="08369D72">
      <w:pPr>
        <w:spacing w:line="360" w:lineRule="auto"/>
        <w:jc w:val="center"/>
        <w:rPr>
          <w:b/>
          <w:bCs/>
          <w:color w:val="FF0000"/>
          <w:szCs w:val="21"/>
        </w:rPr>
      </w:pPr>
      <w:r>
        <w:rPr>
          <w:b/>
          <w:bCs/>
          <w:color w:val="FF0000"/>
          <w:spacing w:val="5"/>
          <w:szCs w:val="21"/>
        </w:rPr>
        <w:t xml:space="preserve">图5.2-2 </w:t>
      </w:r>
      <w:r>
        <w:rPr>
          <w:rFonts w:hint="eastAsia"/>
          <w:b/>
          <w:bCs/>
          <w:color w:val="FF0000"/>
          <w:spacing w:val="5"/>
          <w:szCs w:val="21"/>
        </w:rPr>
        <w:t>塘坝养殖场区大气评价范围</w:t>
      </w:r>
      <w:r>
        <w:rPr>
          <w:b/>
          <w:bCs/>
          <w:color w:val="FF0000"/>
          <w:spacing w:val="5"/>
          <w:szCs w:val="21"/>
        </w:rPr>
        <w:t>区域地形等高线示意图</w:t>
      </w:r>
    </w:p>
    <w:p w14:paraId="0CDF8636">
      <w:pPr>
        <w:pStyle w:val="34"/>
        <w:spacing w:before="156" w:after="156"/>
        <w:ind w:firstLine="482"/>
        <w:outlineLvl w:val="3"/>
        <w:rPr>
          <w:b/>
          <w:bCs/>
          <w:color w:val="000000" w:themeColor="text1"/>
          <w:sz w:val="28"/>
          <w:szCs w:val="28"/>
          <w14:textFill>
            <w14:solidFill>
              <w14:schemeClr w14:val="tx1"/>
            </w14:solidFill>
          </w14:textFill>
        </w:rPr>
      </w:pPr>
      <w:r>
        <w:rPr>
          <w:b/>
          <w:bCs/>
          <w:color w:val="000000" w:themeColor="text1"/>
          <w:sz w:val="24"/>
          <w14:textFill>
            <w14:solidFill>
              <w14:schemeClr w14:val="tx1"/>
            </w14:solidFill>
          </w14:textFill>
        </w:rPr>
        <w:t>5.2.2.4</w:t>
      </w:r>
      <w:r>
        <w:rPr>
          <w:rFonts w:hint="eastAsia"/>
          <w:b/>
          <w:sz w:val="24"/>
        </w:rPr>
        <w:t>模型主要参数</w:t>
      </w:r>
    </w:p>
    <w:p w14:paraId="762C76D8">
      <w:pPr>
        <w:spacing w:line="360" w:lineRule="auto"/>
        <w:ind w:firstLine="480" w:firstLineChars="200"/>
        <w:rPr>
          <w:bCs/>
          <w:sz w:val="24"/>
        </w:rPr>
      </w:pPr>
      <w:r>
        <w:rPr>
          <w:rFonts w:hint="eastAsia"/>
          <w:bCs/>
          <w:sz w:val="24"/>
        </w:rPr>
        <w:t>（</w:t>
      </w:r>
      <w:r>
        <w:rPr>
          <w:bCs/>
          <w:sz w:val="24"/>
        </w:rPr>
        <w:t>1</w:t>
      </w:r>
      <w:r>
        <w:rPr>
          <w:rFonts w:hint="eastAsia"/>
          <w:bCs/>
          <w:sz w:val="24"/>
        </w:rPr>
        <w:t>）预测网格点的设置</w:t>
      </w:r>
    </w:p>
    <w:p w14:paraId="22D82346">
      <w:pPr>
        <w:spacing w:line="360" w:lineRule="auto"/>
        <w:ind w:firstLine="480" w:firstLineChars="200"/>
        <w:rPr>
          <w:bCs/>
          <w:color w:val="FF0000"/>
          <w:sz w:val="24"/>
        </w:rPr>
      </w:pPr>
      <w:r>
        <w:rPr>
          <w:rFonts w:hint="eastAsia"/>
          <w:bCs/>
          <w:sz w:val="24"/>
        </w:rPr>
        <w:t>本项目大气评价范围为以厂界各顶点为边界外延</w:t>
      </w:r>
      <w:r>
        <w:rPr>
          <w:bCs/>
          <w:sz w:val="24"/>
        </w:rPr>
        <w:t>2.5km</w:t>
      </w:r>
      <w:r>
        <w:rPr>
          <w:rFonts w:hint="eastAsia"/>
          <w:bCs/>
          <w:sz w:val="24"/>
        </w:rPr>
        <w:t>的矩形范围。本项目的预测范围覆盖了各污染物短期浓度贡献值占标率大于</w:t>
      </w:r>
      <w:r>
        <w:rPr>
          <w:bCs/>
          <w:sz w:val="24"/>
        </w:rPr>
        <w:t>10%</w:t>
      </w:r>
      <w:r>
        <w:rPr>
          <w:rFonts w:hint="eastAsia"/>
          <w:bCs/>
          <w:sz w:val="24"/>
        </w:rPr>
        <w:t>的区域。</w:t>
      </w:r>
    </w:p>
    <w:p w14:paraId="58CDEFFF">
      <w:pPr>
        <w:spacing w:line="360" w:lineRule="auto"/>
        <w:ind w:firstLine="480" w:firstLineChars="200"/>
        <w:rPr>
          <w:bCs/>
          <w:sz w:val="24"/>
        </w:rPr>
      </w:pPr>
      <w:r>
        <w:rPr>
          <w:rFonts w:hint="eastAsia"/>
          <w:bCs/>
          <w:sz w:val="24"/>
        </w:rPr>
        <w:t>网格点采用等间距法进行设置，距离本项目源中心，距离源中心</w:t>
      </w:r>
      <w:r>
        <w:rPr>
          <w:bCs/>
          <w:sz w:val="24"/>
        </w:rPr>
        <w:t>5km</w:t>
      </w:r>
      <w:r>
        <w:rPr>
          <w:rFonts w:hint="eastAsia"/>
          <w:bCs/>
          <w:sz w:val="24"/>
        </w:rPr>
        <w:t>的网格间距为</w:t>
      </w:r>
      <w:r>
        <w:rPr>
          <w:bCs/>
          <w:sz w:val="24"/>
        </w:rPr>
        <w:t>50m</w:t>
      </w:r>
      <w:r>
        <w:rPr>
          <w:rFonts w:hint="eastAsia"/>
          <w:bCs/>
          <w:sz w:val="24"/>
        </w:rPr>
        <w:t>。</w:t>
      </w:r>
    </w:p>
    <w:p w14:paraId="6F7CF2FC">
      <w:pPr>
        <w:spacing w:line="360" w:lineRule="auto"/>
        <w:ind w:firstLine="480" w:firstLineChars="200"/>
        <w:rPr>
          <w:bCs/>
          <w:sz w:val="24"/>
        </w:rPr>
      </w:pPr>
      <w:r>
        <w:rPr>
          <w:rFonts w:hint="eastAsia"/>
          <w:bCs/>
          <w:sz w:val="24"/>
        </w:rPr>
        <w:t>（</w:t>
      </w:r>
      <w:r>
        <w:rPr>
          <w:bCs/>
          <w:sz w:val="24"/>
        </w:rPr>
        <w:t>2</w:t>
      </w:r>
      <w:r>
        <w:rPr>
          <w:rFonts w:hint="eastAsia"/>
          <w:bCs/>
          <w:sz w:val="24"/>
        </w:rPr>
        <w:t>）建筑物下洗</w:t>
      </w:r>
    </w:p>
    <w:p w14:paraId="27829639">
      <w:pPr>
        <w:spacing w:line="360" w:lineRule="auto"/>
        <w:ind w:firstLine="480" w:firstLineChars="200"/>
        <w:rPr>
          <w:bCs/>
          <w:sz w:val="24"/>
        </w:rPr>
      </w:pPr>
      <w:r>
        <w:rPr>
          <w:rFonts w:hint="eastAsia"/>
          <w:bCs/>
          <w:sz w:val="24"/>
        </w:rPr>
        <w:t>本项目不需要考虑建筑物下洗。</w:t>
      </w:r>
    </w:p>
    <w:p w14:paraId="57C9D91B">
      <w:pPr>
        <w:spacing w:line="360" w:lineRule="auto"/>
        <w:ind w:firstLine="480" w:firstLineChars="200"/>
        <w:rPr>
          <w:bCs/>
          <w:sz w:val="24"/>
        </w:rPr>
      </w:pPr>
      <w:r>
        <w:rPr>
          <w:rFonts w:hint="eastAsia"/>
          <w:bCs/>
          <w:sz w:val="24"/>
        </w:rPr>
        <w:t>（</w:t>
      </w:r>
      <w:r>
        <w:rPr>
          <w:bCs/>
          <w:sz w:val="24"/>
        </w:rPr>
        <w:t>3</w:t>
      </w:r>
      <w:r>
        <w:rPr>
          <w:rFonts w:hint="eastAsia"/>
          <w:bCs/>
          <w:sz w:val="24"/>
        </w:rPr>
        <w:t>）干湿沉降及化学转化相关参数设置</w:t>
      </w:r>
    </w:p>
    <w:p w14:paraId="759AB6D3">
      <w:pPr>
        <w:spacing w:line="360" w:lineRule="auto"/>
        <w:ind w:firstLine="480" w:firstLineChars="200"/>
        <w:rPr>
          <w:bCs/>
          <w:sz w:val="24"/>
        </w:rPr>
      </w:pPr>
      <w:r>
        <w:rPr>
          <w:rFonts w:hint="eastAsia"/>
          <w:bCs/>
          <w:sz w:val="24"/>
        </w:rPr>
        <w:t>本项目预测不考虑干湿沉降。预测时污染因子</w:t>
      </w:r>
      <w:r>
        <w:rPr>
          <w:bCs/>
          <w:sz w:val="24"/>
        </w:rPr>
        <w:t>NH</w:t>
      </w:r>
      <w:r>
        <w:rPr>
          <w:bCs/>
          <w:sz w:val="24"/>
          <w:vertAlign w:val="subscript"/>
        </w:rPr>
        <w:t>3</w:t>
      </w:r>
      <w:r>
        <w:rPr>
          <w:rFonts w:hint="eastAsia"/>
          <w:bCs/>
          <w:sz w:val="24"/>
        </w:rPr>
        <w:t>、</w:t>
      </w:r>
      <w:r>
        <w:rPr>
          <w:bCs/>
          <w:sz w:val="24"/>
        </w:rPr>
        <w:t>H</w:t>
      </w:r>
      <w:r>
        <w:rPr>
          <w:bCs/>
          <w:sz w:val="24"/>
          <w:vertAlign w:val="subscript"/>
        </w:rPr>
        <w:t>2</w:t>
      </w:r>
      <w:r>
        <w:rPr>
          <w:bCs/>
          <w:sz w:val="24"/>
        </w:rPr>
        <w:t>S</w:t>
      </w:r>
      <w:r>
        <w:rPr>
          <w:rFonts w:hint="eastAsia"/>
          <w:bCs/>
          <w:sz w:val="24"/>
        </w:rPr>
        <w:t>选择对应类型的</w:t>
      </w:r>
      <w:r>
        <w:rPr>
          <w:bCs/>
          <w:sz w:val="24"/>
        </w:rPr>
        <w:t>NH</w:t>
      </w:r>
      <w:r>
        <w:rPr>
          <w:bCs/>
          <w:sz w:val="24"/>
          <w:vertAlign w:val="subscript"/>
        </w:rPr>
        <w:t>3</w:t>
      </w:r>
      <w:r>
        <w:rPr>
          <w:rFonts w:hint="eastAsia"/>
          <w:bCs/>
          <w:sz w:val="24"/>
        </w:rPr>
        <w:t>、</w:t>
      </w:r>
      <w:r>
        <w:rPr>
          <w:bCs/>
          <w:sz w:val="24"/>
        </w:rPr>
        <w:t>H</w:t>
      </w:r>
      <w:r>
        <w:rPr>
          <w:bCs/>
          <w:sz w:val="24"/>
          <w:vertAlign w:val="subscript"/>
        </w:rPr>
        <w:t>2</w:t>
      </w:r>
      <w:r>
        <w:rPr>
          <w:bCs/>
          <w:sz w:val="24"/>
        </w:rPr>
        <w:t>S</w:t>
      </w:r>
      <w:r>
        <w:rPr>
          <w:rFonts w:hint="eastAsia"/>
          <w:bCs/>
          <w:sz w:val="24"/>
        </w:rPr>
        <w:t>。</w:t>
      </w:r>
    </w:p>
    <w:p w14:paraId="4B64AA92">
      <w:pPr>
        <w:spacing w:line="360" w:lineRule="auto"/>
        <w:ind w:firstLine="480" w:firstLineChars="200"/>
        <w:rPr>
          <w:bCs/>
          <w:sz w:val="24"/>
        </w:rPr>
      </w:pPr>
      <w:r>
        <w:rPr>
          <w:rFonts w:hint="eastAsia"/>
          <w:bCs/>
          <w:sz w:val="24"/>
        </w:rPr>
        <w:t>（</w:t>
      </w:r>
      <w:r>
        <w:rPr>
          <w:bCs/>
          <w:sz w:val="24"/>
        </w:rPr>
        <w:t>4</w:t>
      </w:r>
      <w:r>
        <w:rPr>
          <w:rFonts w:hint="eastAsia"/>
          <w:bCs/>
          <w:sz w:val="24"/>
        </w:rPr>
        <w:t>）背景浓度参数</w:t>
      </w:r>
    </w:p>
    <w:p w14:paraId="6FF08EDC">
      <w:pPr>
        <w:spacing w:line="360" w:lineRule="auto"/>
        <w:ind w:firstLine="480" w:firstLineChars="200"/>
        <w:rPr>
          <w:bCs/>
          <w:sz w:val="24"/>
        </w:rPr>
      </w:pPr>
      <w:r>
        <w:rPr>
          <w:rFonts w:hint="eastAsia"/>
          <w:bCs/>
          <w:sz w:val="24"/>
        </w:rPr>
        <w:t>本项目采用评价基准年</w:t>
      </w:r>
      <w:r>
        <w:rPr>
          <w:bCs/>
          <w:sz w:val="24"/>
        </w:rPr>
        <w:t>2025</w:t>
      </w:r>
      <w:r>
        <w:rPr>
          <w:rFonts w:hint="eastAsia"/>
          <w:bCs/>
          <w:sz w:val="24"/>
        </w:rPr>
        <w:t>年巴中监测点的连续一年的监测数据作为本项目基本污染物（</w:t>
      </w:r>
      <w:r>
        <w:rPr>
          <w:bCs/>
          <w:sz w:val="24"/>
        </w:rPr>
        <w:t>SO</w:t>
      </w:r>
      <w:r>
        <w:rPr>
          <w:bCs/>
          <w:sz w:val="24"/>
          <w:vertAlign w:val="subscript"/>
        </w:rPr>
        <w:t>2</w:t>
      </w:r>
      <w:r>
        <w:rPr>
          <w:rFonts w:hint="eastAsia"/>
          <w:bCs/>
          <w:sz w:val="24"/>
        </w:rPr>
        <w:t>、</w:t>
      </w:r>
      <w:r>
        <w:rPr>
          <w:bCs/>
          <w:sz w:val="24"/>
        </w:rPr>
        <w:t>NO</w:t>
      </w:r>
      <w:r>
        <w:rPr>
          <w:bCs/>
          <w:sz w:val="24"/>
          <w:vertAlign w:val="subscript"/>
        </w:rPr>
        <w:t>2</w:t>
      </w:r>
      <w:r>
        <w:rPr>
          <w:rFonts w:hint="eastAsia"/>
          <w:bCs/>
          <w:sz w:val="24"/>
        </w:rPr>
        <w:t>、</w:t>
      </w:r>
      <w:r>
        <w:rPr>
          <w:bCs/>
          <w:sz w:val="24"/>
        </w:rPr>
        <w:t>CO</w:t>
      </w:r>
      <w:r>
        <w:rPr>
          <w:rFonts w:hint="eastAsia"/>
          <w:bCs/>
          <w:sz w:val="24"/>
        </w:rPr>
        <w:t>、</w:t>
      </w:r>
      <w:r>
        <w:rPr>
          <w:bCs/>
          <w:sz w:val="24"/>
        </w:rPr>
        <w:t>O</w:t>
      </w:r>
      <w:r>
        <w:rPr>
          <w:bCs/>
          <w:sz w:val="24"/>
          <w:vertAlign w:val="subscript"/>
        </w:rPr>
        <w:t>3</w:t>
      </w:r>
      <w:r>
        <w:rPr>
          <w:rFonts w:hint="eastAsia"/>
          <w:bCs/>
          <w:sz w:val="24"/>
        </w:rPr>
        <w:t>、</w:t>
      </w:r>
      <w:r>
        <w:rPr>
          <w:bCs/>
          <w:sz w:val="24"/>
        </w:rPr>
        <w:t>PM</w:t>
      </w:r>
      <w:r>
        <w:rPr>
          <w:bCs/>
          <w:sz w:val="24"/>
          <w:vertAlign w:val="subscript"/>
        </w:rPr>
        <w:t>2.5</w:t>
      </w:r>
      <w:r>
        <w:rPr>
          <w:rFonts w:hint="eastAsia"/>
          <w:bCs/>
          <w:sz w:val="24"/>
        </w:rPr>
        <w:t>、</w:t>
      </w:r>
      <w:r>
        <w:rPr>
          <w:bCs/>
          <w:sz w:val="24"/>
        </w:rPr>
        <w:t>PM</w:t>
      </w:r>
      <w:r>
        <w:rPr>
          <w:bCs/>
          <w:sz w:val="24"/>
          <w:vertAlign w:val="subscript"/>
        </w:rPr>
        <w:t>10</w:t>
      </w:r>
      <w:r>
        <w:rPr>
          <w:rFonts w:hint="eastAsia"/>
          <w:bCs/>
          <w:sz w:val="24"/>
        </w:rPr>
        <w:t>）环境现状数据的来源。</w:t>
      </w:r>
    </w:p>
    <w:p w14:paraId="7AA5765E">
      <w:pPr>
        <w:spacing w:line="360" w:lineRule="auto"/>
        <w:ind w:firstLine="480" w:firstLineChars="200"/>
        <w:rPr>
          <w:bCs/>
          <w:sz w:val="24"/>
        </w:rPr>
      </w:pPr>
      <w:r>
        <w:rPr>
          <w:rFonts w:hint="eastAsia"/>
          <w:bCs/>
          <w:sz w:val="24"/>
        </w:rPr>
        <w:t>其他污染物监测因子：</w:t>
      </w:r>
      <w:r>
        <w:rPr>
          <w:bCs/>
          <w:sz w:val="24"/>
        </w:rPr>
        <w:t>NH</w:t>
      </w:r>
      <w:r>
        <w:rPr>
          <w:bCs/>
          <w:sz w:val="24"/>
          <w:vertAlign w:val="subscript"/>
        </w:rPr>
        <w:t>3</w:t>
      </w:r>
      <w:r>
        <w:rPr>
          <w:rFonts w:hint="eastAsia"/>
          <w:bCs/>
          <w:sz w:val="24"/>
        </w:rPr>
        <w:t>、</w:t>
      </w:r>
      <w:r>
        <w:rPr>
          <w:bCs/>
          <w:sz w:val="24"/>
        </w:rPr>
        <w:t>H</w:t>
      </w:r>
      <w:r>
        <w:rPr>
          <w:bCs/>
          <w:sz w:val="24"/>
          <w:vertAlign w:val="subscript"/>
        </w:rPr>
        <w:t>2</w:t>
      </w:r>
      <w:r>
        <w:rPr>
          <w:bCs/>
          <w:sz w:val="24"/>
        </w:rPr>
        <w:t>S</w:t>
      </w:r>
      <w:r>
        <w:rPr>
          <w:rFonts w:hint="eastAsia"/>
          <w:bCs/>
          <w:sz w:val="24"/>
        </w:rPr>
        <w:t>等采用补充监测数据。</w:t>
      </w:r>
    </w:p>
    <w:p w14:paraId="38BAFC72">
      <w:pPr>
        <w:spacing w:line="360" w:lineRule="auto"/>
        <w:ind w:firstLine="480" w:firstLineChars="200"/>
        <w:rPr>
          <w:bCs/>
          <w:sz w:val="24"/>
        </w:rPr>
      </w:pPr>
      <w:r>
        <w:rPr>
          <w:rFonts w:hint="eastAsia"/>
          <w:bCs/>
          <w:sz w:val="24"/>
        </w:rPr>
        <w:t>（</w:t>
      </w:r>
      <w:r>
        <w:rPr>
          <w:bCs/>
          <w:sz w:val="24"/>
        </w:rPr>
        <w:t>5</w:t>
      </w:r>
      <w:r>
        <w:rPr>
          <w:rFonts w:hint="eastAsia"/>
          <w:bCs/>
          <w:sz w:val="24"/>
        </w:rPr>
        <w:t>）模型输出参数</w:t>
      </w:r>
    </w:p>
    <w:p w14:paraId="78736479">
      <w:pPr>
        <w:spacing w:line="360" w:lineRule="auto"/>
        <w:ind w:firstLine="480" w:firstLineChars="200"/>
        <w:rPr>
          <w:sz w:val="24"/>
        </w:rPr>
      </w:pPr>
      <w:r>
        <w:rPr>
          <w:rFonts w:hint="eastAsia"/>
          <w:bCs/>
          <w:sz w:val="24"/>
        </w:rPr>
        <w:t>正常工况下，各污染因子输出</w:t>
      </w:r>
      <w:r>
        <w:rPr>
          <w:sz w:val="24"/>
        </w:rPr>
        <w:t>1</w:t>
      </w:r>
      <w:r>
        <w:rPr>
          <w:rFonts w:hint="eastAsia"/>
          <w:sz w:val="24"/>
        </w:rPr>
        <w:t>小时、年均值；</w:t>
      </w:r>
    </w:p>
    <w:p w14:paraId="7DE26599">
      <w:pPr>
        <w:spacing w:line="360" w:lineRule="auto"/>
        <w:ind w:firstLine="480" w:firstLineChars="200"/>
        <w:rPr>
          <w:sz w:val="24"/>
        </w:rPr>
      </w:pPr>
      <w:r>
        <w:rPr>
          <w:rFonts w:hint="eastAsia"/>
          <w:sz w:val="24"/>
        </w:rPr>
        <w:t>非正常工况输出</w:t>
      </w:r>
      <w:r>
        <w:rPr>
          <w:sz w:val="24"/>
        </w:rPr>
        <w:t>1</w:t>
      </w:r>
      <w:r>
        <w:rPr>
          <w:rFonts w:hint="eastAsia"/>
          <w:sz w:val="24"/>
        </w:rPr>
        <w:t>小时值。</w:t>
      </w:r>
    </w:p>
    <w:p w14:paraId="7160914B">
      <w:pPr>
        <w:pStyle w:val="34"/>
        <w:spacing w:before="156" w:after="156"/>
        <w:ind w:firstLine="482"/>
        <w:outlineLvl w:val="3"/>
        <w:rPr>
          <w:b/>
          <w:bCs/>
          <w:color w:val="000000" w:themeColor="text1"/>
          <w:sz w:val="28"/>
          <w:szCs w:val="28"/>
          <w14:textFill>
            <w14:solidFill>
              <w14:schemeClr w14:val="tx1"/>
            </w14:solidFill>
          </w14:textFill>
        </w:rPr>
      </w:pPr>
      <w:r>
        <w:rPr>
          <w:b/>
          <w:bCs/>
          <w:color w:val="000000" w:themeColor="text1"/>
          <w:sz w:val="24"/>
          <w14:textFill>
            <w14:solidFill>
              <w14:schemeClr w14:val="tx1"/>
            </w14:solidFill>
          </w14:textFill>
        </w:rPr>
        <w:t>5.2.2.5</w:t>
      </w:r>
      <w:r>
        <w:rPr>
          <w:rFonts w:hint="eastAsia"/>
          <w:b/>
          <w:sz w:val="24"/>
        </w:rPr>
        <w:t>预测因子</w:t>
      </w:r>
    </w:p>
    <w:p w14:paraId="20B2EE0C">
      <w:pPr>
        <w:spacing w:line="360" w:lineRule="auto"/>
        <w:ind w:firstLine="480" w:firstLineChars="200"/>
        <w:rPr>
          <w:sz w:val="24"/>
        </w:rPr>
      </w:pPr>
      <w:r>
        <w:rPr>
          <w:rFonts w:hint="eastAsia"/>
          <w:sz w:val="24"/>
        </w:rPr>
        <w:t>结合实际情况，本评价确定的预测因子为：</w:t>
      </w:r>
      <w:r>
        <w:rPr>
          <w:bCs/>
          <w:sz w:val="24"/>
        </w:rPr>
        <w:t>NH</w:t>
      </w:r>
      <w:r>
        <w:rPr>
          <w:bCs/>
          <w:sz w:val="24"/>
          <w:vertAlign w:val="subscript"/>
        </w:rPr>
        <w:t>3</w:t>
      </w:r>
      <w:r>
        <w:rPr>
          <w:rFonts w:hint="eastAsia"/>
          <w:bCs/>
          <w:sz w:val="24"/>
        </w:rPr>
        <w:t>、</w:t>
      </w:r>
      <w:r>
        <w:rPr>
          <w:bCs/>
          <w:sz w:val="24"/>
        </w:rPr>
        <w:t>H</w:t>
      </w:r>
      <w:r>
        <w:rPr>
          <w:bCs/>
          <w:sz w:val="24"/>
          <w:vertAlign w:val="subscript"/>
        </w:rPr>
        <w:t>2</w:t>
      </w:r>
      <w:r>
        <w:rPr>
          <w:bCs/>
          <w:sz w:val="24"/>
        </w:rPr>
        <w:t>S</w:t>
      </w:r>
      <w:r>
        <w:rPr>
          <w:rFonts w:hint="eastAsia"/>
          <w:bCs/>
          <w:sz w:val="24"/>
        </w:rPr>
        <w:t>、T</w:t>
      </w:r>
      <w:r>
        <w:rPr>
          <w:bCs/>
          <w:sz w:val="24"/>
        </w:rPr>
        <w:t>SP</w:t>
      </w:r>
      <w:r>
        <w:rPr>
          <w:rFonts w:hint="eastAsia"/>
          <w:sz w:val="24"/>
        </w:rPr>
        <w:t>共</w:t>
      </w:r>
      <w:r>
        <w:rPr>
          <w:sz w:val="24"/>
        </w:rPr>
        <w:t>3</w:t>
      </w:r>
      <w:r>
        <w:rPr>
          <w:rFonts w:hint="eastAsia"/>
          <w:sz w:val="24"/>
        </w:rPr>
        <w:t>项。</w:t>
      </w:r>
    </w:p>
    <w:p w14:paraId="0B630952">
      <w:pPr>
        <w:pStyle w:val="34"/>
        <w:spacing w:before="156" w:after="156"/>
        <w:ind w:firstLine="482"/>
        <w:outlineLvl w:val="3"/>
        <w:rPr>
          <w:b/>
          <w:sz w:val="24"/>
        </w:rPr>
      </w:pPr>
      <w:r>
        <w:rPr>
          <w:b/>
          <w:bCs/>
          <w:color w:val="000000" w:themeColor="text1"/>
          <w:sz w:val="24"/>
          <w14:textFill>
            <w14:solidFill>
              <w14:schemeClr w14:val="tx1"/>
            </w14:solidFill>
          </w14:textFill>
        </w:rPr>
        <w:t>5.2.2.6</w:t>
      </w:r>
      <w:r>
        <w:rPr>
          <w:rFonts w:hint="eastAsia"/>
          <w:b/>
          <w:sz w:val="24"/>
        </w:rPr>
        <w:t>预测内容</w:t>
      </w:r>
    </w:p>
    <w:p w14:paraId="716942C9">
      <w:pPr>
        <w:spacing w:line="360" w:lineRule="auto"/>
        <w:ind w:firstLine="480" w:firstLineChars="200"/>
        <w:rPr>
          <w:bCs/>
          <w:sz w:val="24"/>
        </w:rPr>
      </w:pPr>
      <w:r>
        <w:rPr>
          <w:rFonts w:hint="eastAsia"/>
          <w:bCs/>
          <w:sz w:val="24"/>
        </w:rPr>
        <w:t>（</w:t>
      </w:r>
      <w:r>
        <w:rPr>
          <w:bCs/>
          <w:sz w:val="24"/>
        </w:rPr>
        <w:t>1</w:t>
      </w:r>
      <w:r>
        <w:rPr>
          <w:rFonts w:hint="eastAsia"/>
          <w:bCs/>
          <w:sz w:val="24"/>
        </w:rPr>
        <w:t>）预测情景确定</w:t>
      </w:r>
    </w:p>
    <w:p w14:paraId="6E341B78">
      <w:pPr>
        <w:spacing w:line="360" w:lineRule="auto"/>
        <w:ind w:firstLine="480" w:firstLineChars="200"/>
        <w:rPr>
          <w:bCs/>
          <w:sz w:val="24"/>
        </w:rPr>
      </w:pPr>
      <w:r>
        <w:rPr>
          <w:rFonts w:hint="eastAsia"/>
          <w:bCs/>
          <w:sz w:val="24"/>
        </w:rPr>
        <w:t>结合本项目特点进行判定，本次预测情景确定的新增污染源为巴州区肉牛产业建设项目。本项目大气评价范围内不存在排放同类型污染物的拟建污染源企业。</w:t>
      </w:r>
    </w:p>
    <w:p w14:paraId="600EAD93">
      <w:pPr>
        <w:spacing w:line="360" w:lineRule="auto"/>
        <w:ind w:firstLine="480" w:firstLineChars="200"/>
        <w:rPr>
          <w:bCs/>
          <w:sz w:val="24"/>
        </w:rPr>
      </w:pPr>
      <w:r>
        <w:rPr>
          <w:rFonts w:hint="eastAsia"/>
          <w:bCs/>
          <w:sz w:val="24"/>
        </w:rPr>
        <w:t>（</w:t>
      </w:r>
      <w:r>
        <w:rPr>
          <w:bCs/>
          <w:sz w:val="24"/>
        </w:rPr>
        <w:t>2</w:t>
      </w:r>
      <w:r>
        <w:rPr>
          <w:rFonts w:hint="eastAsia"/>
          <w:bCs/>
          <w:sz w:val="24"/>
        </w:rPr>
        <w:t>）预测方案</w:t>
      </w:r>
    </w:p>
    <w:p w14:paraId="2E25B84B">
      <w:pPr>
        <w:spacing w:line="360" w:lineRule="auto"/>
        <w:ind w:firstLine="480" w:firstLineChars="200"/>
        <w:rPr>
          <w:sz w:val="24"/>
        </w:rPr>
      </w:pPr>
      <w:r>
        <w:rPr>
          <w:rFonts w:hint="eastAsia"/>
          <w:sz w:val="24"/>
        </w:rPr>
        <w:t>根据环境质量章节，本项目属于达标区，因此主要进行达标区的评价，对照《环境影响评价技术导则</w:t>
      </w:r>
      <w:r>
        <w:rPr>
          <w:sz w:val="24"/>
        </w:rPr>
        <w:t xml:space="preserve"> </w:t>
      </w:r>
      <w:r>
        <w:rPr>
          <w:rFonts w:hint="eastAsia"/>
          <w:sz w:val="24"/>
        </w:rPr>
        <w:t>大气环境》（</w:t>
      </w:r>
      <w:r>
        <w:rPr>
          <w:sz w:val="24"/>
        </w:rPr>
        <w:t>HJ2.2-2018</w:t>
      </w:r>
      <w:r>
        <w:rPr>
          <w:rFonts w:hint="eastAsia"/>
          <w:sz w:val="24"/>
        </w:rPr>
        <w:t>）表</w:t>
      </w:r>
      <w:r>
        <w:rPr>
          <w:sz w:val="24"/>
        </w:rPr>
        <w:t>5</w:t>
      </w:r>
      <w:r>
        <w:rPr>
          <w:rFonts w:hint="eastAsia"/>
          <w:sz w:val="24"/>
        </w:rPr>
        <w:t>预测内容和评价要求，本次预测方案如下：</w:t>
      </w:r>
    </w:p>
    <w:p w14:paraId="781BF18E">
      <w:pPr>
        <w:jc w:val="center"/>
        <w:rPr>
          <w:b/>
          <w:bCs/>
          <w:szCs w:val="21"/>
        </w:rPr>
      </w:pPr>
      <w:r>
        <w:rPr>
          <w:rFonts w:hint="eastAsia"/>
          <w:b/>
          <w:bCs/>
          <w:szCs w:val="21"/>
        </w:rPr>
        <w:t>表</w:t>
      </w:r>
      <w:r>
        <w:rPr>
          <w:b/>
          <w:bCs/>
          <w:szCs w:val="21"/>
        </w:rPr>
        <w:t xml:space="preserve">5.2-6  </w:t>
      </w:r>
      <w:r>
        <w:rPr>
          <w:rFonts w:hint="eastAsia"/>
          <w:b/>
          <w:bCs/>
          <w:szCs w:val="21"/>
        </w:rPr>
        <w:t>本项目预测方案</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262"/>
        <w:gridCol w:w="1126"/>
        <w:gridCol w:w="1688"/>
        <w:gridCol w:w="1308"/>
        <w:gridCol w:w="2410"/>
      </w:tblGrid>
      <w:tr w14:paraId="596E21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3" w:type="dxa"/>
            <w:tcBorders>
              <w:top w:val="single" w:color="auto" w:sz="12" w:space="0"/>
              <w:left w:val="nil"/>
              <w:bottom w:val="single" w:color="auto" w:sz="4" w:space="0"/>
              <w:right w:val="single" w:color="auto" w:sz="4" w:space="0"/>
            </w:tcBorders>
            <w:vAlign w:val="center"/>
          </w:tcPr>
          <w:p w14:paraId="630ECC65">
            <w:pPr>
              <w:spacing w:line="320" w:lineRule="exact"/>
              <w:jc w:val="center"/>
              <w:rPr>
                <w:b/>
                <w:szCs w:val="21"/>
              </w:rPr>
            </w:pPr>
            <w:r>
              <w:rPr>
                <w:rFonts w:hint="eastAsia"/>
                <w:b/>
                <w:szCs w:val="21"/>
              </w:rPr>
              <w:t>评价对象</w:t>
            </w:r>
          </w:p>
        </w:tc>
        <w:tc>
          <w:tcPr>
            <w:tcW w:w="1192" w:type="dxa"/>
            <w:tcBorders>
              <w:top w:val="single" w:color="auto" w:sz="12" w:space="0"/>
              <w:left w:val="single" w:color="auto" w:sz="4" w:space="0"/>
              <w:bottom w:val="single" w:color="auto" w:sz="4" w:space="0"/>
              <w:right w:val="single" w:color="auto" w:sz="4" w:space="0"/>
            </w:tcBorders>
            <w:vAlign w:val="center"/>
          </w:tcPr>
          <w:p w14:paraId="49C4299D">
            <w:pPr>
              <w:spacing w:line="320" w:lineRule="exact"/>
              <w:jc w:val="center"/>
              <w:rPr>
                <w:b/>
                <w:szCs w:val="21"/>
              </w:rPr>
            </w:pPr>
            <w:r>
              <w:rPr>
                <w:rFonts w:hint="eastAsia"/>
                <w:b/>
                <w:szCs w:val="21"/>
              </w:rPr>
              <w:t>污染源</w:t>
            </w:r>
          </w:p>
        </w:tc>
        <w:tc>
          <w:tcPr>
            <w:tcW w:w="1063" w:type="dxa"/>
            <w:tcBorders>
              <w:top w:val="single" w:color="auto" w:sz="12" w:space="0"/>
              <w:left w:val="single" w:color="auto" w:sz="4" w:space="0"/>
              <w:bottom w:val="single" w:color="auto" w:sz="4" w:space="0"/>
              <w:right w:val="single" w:color="auto" w:sz="4" w:space="0"/>
            </w:tcBorders>
            <w:vAlign w:val="center"/>
          </w:tcPr>
          <w:p w14:paraId="057D4D98">
            <w:pPr>
              <w:spacing w:line="320" w:lineRule="exact"/>
              <w:jc w:val="center"/>
              <w:rPr>
                <w:b/>
                <w:szCs w:val="21"/>
              </w:rPr>
            </w:pPr>
            <w:r>
              <w:rPr>
                <w:rFonts w:hint="eastAsia"/>
                <w:b/>
                <w:szCs w:val="21"/>
              </w:rPr>
              <w:t>污染源排放形式</w:t>
            </w:r>
          </w:p>
        </w:tc>
        <w:tc>
          <w:tcPr>
            <w:tcW w:w="1594" w:type="dxa"/>
            <w:tcBorders>
              <w:top w:val="single" w:color="auto" w:sz="12" w:space="0"/>
              <w:left w:val="single" w:color="auto" w:sz="4" w:space="0"/>
              <w:bottom w:val="single" w:color="auto" w:sz="4" w:space="0"/>
              <w:right w:val="single" w:color="auto" w:sz="4" w:space="0"/>
            </w:tcBorders>
            <w:vAlign w:val="center"/>
          </w:tcPr>
          <w:p w14:paraId="331686BA">
            <w:pPr>
              <w:spacing w:line="320" w:lineRule="exact"/>
              <w:jc w:val="center"/>
              <w:rPr>
                <w:b/>
                <w:szCs w:val="21"/>
              </w:rPr>
            </w:pPr>
            <w:r>
              <w:rPr>
                <w:rFonts w:hint="eastAsia"/>
                <w:b/>
                <w:szCs w:val="21"/>
              </w:rPr>
              <w:t>预测因子</w:t>
            </w:r>
          </w:p>
        </w:tc>
        <w:tc>
          <w:tcPr>
            <w:tcW w:w="1235" w:type="dxa"/>
            <w:tcBorders>
              <w:top w:val="single" w:color="auto" w:sz="12" w:space="0"/>
              <w:left w:val="single" w:color="auto" w:sz="4" w:space="0"/>
              <w:bottom w:val="single" w:color="auto" w:sz="4" w:space="0"/>
              <w:right w:val="single" w:color="auto" w:sz="4" w:space="0"/>
            </w:tcBorders>
            <w:vAlign w:val="center"/>
          </w:tcPr>
          <w:p w14:paraId="023B647E">
            <w:pPr>
              <w:spacing w:line="320" w:lineRule="exact"/>
              <w:jc w:val="center"/>
              <w:rPr>
                <w:b/>
                <w:szCs w:val="21"/>
              </w:rPr>
            </w:pPr>
            <w:r>
              <w:rPr>
                <w:rFonts w:hint="eastAsia"/>
                <w:b/>
                <w:szCs w:val="21"/>
              </w:rPr>
              <w:t>预测内容</w:t>
            </w:r>
          </w:p>
        </w:tc>
        <w:tc>
          <w:tcPr>
            <w:tcW w:w="2275" w:type="dxa"/>
            <w:tcBorders>
              <w:top w:val="single" w:color="auto" w:sz="12" w:space="0"/>
              <w:left w:val="single" w:color="auto" w:sz="4" w:space="0"/>
              <w:bottom w:val="single" w:color="auto" w:sz="4" w:space="0"/>
              <w:right w:val="nil"/>
            </w:tcBorders>
            <w:vAlign w:val="center"/>
          </w:tcPr>
          <w:p w14:paraId="3B8ADDDC">
            <w:pPr>
              <w:spacing w:line="320" w:lineRule="exact"/>
              <w:jc w:val="center"/>
              <w:rPr>
                <w:b/>
                <w:szCs w:val="21"/>
              </w:rPr>
            </w:pPr>
            <w:r>
              <w:rPr>
                <w:rFonts w:hint="eastAsia"/>
                <w:b/>
                <w:szCs w:val="21"/>
              </w:rPr>
              <w:t>评价内容</w:t>
            </w:r>
          </w:p>
        </w:tc>
      </w:tr>
      <w:tr w14:paraId="72E172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3" w:type="dxa"/>
            <w:vMerge w:val="restart"/>
            <w:tcBorders>
              <w:top w:val="single" w:color="auto" w:sz="4" w:space="0"/>
              <w:left w:val="nil"/>
              <w:bottom w:val="single" w:color="auto" w:sz="4" w:space="0"/>
              <w:right w:val="single" w:color="auto" w:sz="4" w:space="0"/>
            </w:tcBorders>
            <w:vAlign w:val="center"/>
          </w:tcPr>
          <w:p w14:paraId="710B27BE">
            <w:pPr>
              <w:spacing w:line="320" w:lineRule="exact"/>
              <w:jc w:val="center"/>
              <w:rPr>
                <w:szCs w:val="21"/>
              </w:rPr>
            </w:pPr>
            <w:r>
              <w:rPr>
                <w:rFonts w:hint="eastAsia"/>
                <w:szCs w:val="21"/>
              </w:rPr>
              <w:t>达标区评价</w:t>
            </w:r>
          </w:p>
        </w:tc>
        <w:tc>
          <w:tcPr>
            <w:tcW w:w="1192" w:type="dxa"/>
            <w:tcBorders>
              <w:top w:val="single" w:color="auto" w:sz="4" w:space="0"/>
              <w:left w:val="single" w:color="auto" w:sz="4" w:space="0"/>
              <w:bottom w:val="single" w:color="auto" w:sz="4" w:space="0"/>
              <w:right w:val="single" w:color="auto" w:sz="4" w:space="0"/>
            </w:tcBorders>
            <w:vAlign w:val="center"/>
          </w:tcPr>
          <w:p w14:paraId="5400A353">
            <w:pPr>
              <w:spacing w:line="320" w:lineRule="exact"/>
              <w:jc w:val="center"/>
              <w:rPr>
                <w:szCs w:val="21"/>
              </w:rPr>
            </w:pPr>
            <w:r>
              <w:rPr>
                <w:rFonts w:hint="eastAsia"/>
                <w:szCs w:val="21"/>
              </w:rPr>
              <w:t>新增污染源</w:t>
            </w:r>
          </w:p>
        </w:tc>
        <w:tc>
          <w:tcPr>
            <w:tcW w:w="1063" w:type="dxa"/>
            <w:tcBorders>
              <w:top w:val="single" w:color="auto" w:sz="4" w:space="0"/>
              <w:left w:val="single" w:color="auto" w:sz="4" w:space="0"/>
              <w:bottom w:val="single" w:color="auto" w:sz="4" w:space="0"/>
              <w:right w:val="single" w:color="auto" w:sz="4" w:space="0"/>
            </w:tcBorders>
            <w:vAlign w:val="center"/>
          </w:tcPr>
          <w:p w14:paraId="3786985F">
            <w:pPr>
              <w:spacing w:line="320" w:lineRule="exact"/>
              <w:jc w:val="center"/>
              <w:rPr>
                <w:szCs w:val="21"/>
              </w:rPr>
            </w:pPr>
            <w:r>
              <w:rPr>
                <w:rFonts w:hint="eastAsia"/>
                <w:szCs w:val="21"/>
              </w:rPr>
              <w:t>正常排放</w:t>
            </w:r>
          </w:p>
        </w:tc>
        <w:tc>
          <w:tcPr>
            <w:tcW w:w="1594" w:type="dxa"/>
            <w:tcBorders>
              <w:top w:val="single" w:color="auto" w:sz="4" w:space="0"/>
              <w:left w:val="single" w:color="auto" w:sz="4" w:space="0"/>
              <w:bottom w:val="single" w:color="auto" w:sz="4" w:space="0"/>
              <w:right w:val="single" w:color="auto" w:sz="4" w:space="0"/>
            </w:tcBorders>
            <w:vAlign w:val="center"/>
          </w:tcPr>
          <w:p w14:paraId="41903999">
            <w:pPr>
              <w:spacing w:line="320" w:lineRule="exact"/>
              <w:jc w:val="center"/>
              <w:rPr>
                <w:szCs w:val="21"/>
              </w:rPr>
            </w:pPr>
            <w:r>
              <w:rPr>
                <w:bCs/>
                <w:szCs w:val="21"/>
              </w:rPr>
              <w:t>NH</w:t>
            </w:r>
            <w:r>
              <w:rPr>
                <w:bCs/>
                <w:szCs w:val="21"/>
                <w:vertAlign w:val="subscript"/>
              </w:rPr>
              <w:t>3</w:t>
            </w:r>
            <w:r>
              <w:rPr>
                <w:rFonts w:hint="eastAsia"/>
                <w:bCs/>
                <w:szCs w:val="21"/>
              </w:rPr>
              <w:t>、</w:t>
            </w:r>
            <w:r>
              <w:rPr>
                <w:bCs/>
                <w:szCs w:val="21"/>
              </w:rPr>
              <w:t>H</w:t>
            </w:r>
            <w:r>
              <w:rPr>
                <w:bCs/>
                <w:szCs w:val="21"/>
                <w:vertAlign w:val="subscript"/>
              </w:rPr>
              <w:t>2</w:t>
            </w:r>
            <w:r>
              <w:rPr>
                <w:bCs/>
                <w:szCs w:val="21"/>
              </w:rPr>
              <w:t>S</w:t>
            </w:r>
          </w:p>
        </w:tc>
        <w:tc>
          <w:tcPr>
            <w:tcW w:w="1235" w:type="dxa"/>
            <w:tcBorders>
              <w:top w:val="single" w:color="auto" w:sz="4" w:space="0"/>
              <w:left w:val="single" w:color="auto" w:sz="4" w:space="0"/>
              <w:bottom w:val="single" w:color="auto" w:sz="4" w:space="0"/>
              <w:right w:val="single" w:color="auto" w:sz="4" w:space="0"/>
            </w:tcBorders>
            <w:vAlign w:val="center"/>
          </w:tcPr>
          <w:p w14:paraId="54FE6831">
            <w:pPr>
              <w:spacing w:line="320" w:lineRule="exact"/>
              <w:jc w:val="center"/>
              <w:rPr>
                <w:szCs w:val="21"/>
              </w:rPr>
            </w:pPr>
            <w:r>
              <w:rPr>
                <w:rFonts w:hint="eastAsia"/>
                <w:szCs w:val="21"/>
              </w:rPr>
              <w:t>短期浓度</w:t>
            </w:r>
          </w:p>
          <w:p w14:paraId="3EEFEFD3">
            <w:pPr>
              <w:spacing w:line="320" w:lineRule="exact"/>
              <w:jc w:val="center"/>
              <w:rPr>
                <w:szCs w:val="21"/>
              </w:rPr>
            </w:pPr>
            <w:r>
              <w:rPr>
                <w:rFonts w:hint="eastAsia"/>
                <w:szCs w:val="21"/>
              </w:rPr>
              <w:t>长期浓度</w:t>
            </w:r>
          </w:p>
        </w:tc>
        <w:tc>
          <w:tcPr>
            <w:tcW w:w="2275" w:type="dxa"/>
            <w:tcBorders>
              <w:top w:val="single" w:color="auto" w:sz="4" w:space="0"/>
              <w:left w:val="single" w:color="auto" w:sz="4" w:space="0"/>
              <w:bottom w:val="single" w:color="auto" w:sz="4" w:space="0"/>
              <w:right w:val="nil"/>
            </w:tcBorders>
            <w:vAlign w:val="center"/>
          </w:tcPr>
          <w:p w14:paraId="15D04B32">
            <w:pPr>
              <w:spacing w:line="320" w:lineRule="exact"/>
              <w:jc w:val="center"/>
              <w:rPr>
                <w:szCs w:val="21"/>
              </w:rPr>
            </w:pPr>
            <w:r>
              <w:rPr>
                <w:rFonts w:hint="eastAsia"/>
                <w:szCs w:val="21"/>
              </w:rPr>
              <w:t>最大浓度占标率</w:t>
            </w:r>
          </w:p>
        </w:tc>
      </w:tr>
      <w:tr w14:paraId="4D7D3A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3" w:type="dxa"/>
            <w:vMerge w:val="continue"/>
            <w:tcBorders>
              <w:top w:val="single" w:color="auto" w:sz="4" w:space="0"/>
              <w:left w:val="nil"/>
              <w:bottom w:val="single" w:color="auto" w:sz="4" w:space="0"/>
              <w:right w:val="single" w:color="auto" w:sz="4" w:space="0"/>
            </w:tcBorders>
            <w:vAlign w:val="center"/>
          </w:tcPr>
          <w:p w14:paraId="4E04313E">
            <w:pPr>
              <w:rPr>
                <w:szCs w:val="21"/>
              </w:rPr>
            </w:pPr>
          </w:p>
        </w:tc>
        <w:tc>
          <w:tcPr>
            <w:tcW w:w="1192" w:type="dxa"/>
            <w:tcBorders>
              <w:top w:val="single" w:color="auto" w:sz="4" w:space="0"/>
              <w:left w:val="single" w:color="auto" w:sz="4" w:space="0"/>
              <w:bottom w:val="single" w:color="auto" w:sz="4" w:space="0"/>
              <w:right w:val="single" w:color="auto" w:sz="4" w:space="0"/>
            </w:tcBorders>
            <w:vAlign w:val="center"/>
          </w:tcPr>
          <w:p w14:paraId="11E1E454">
            <w:pPr>
              <w:spacing w:line="320" w:lineRule="exact"/>
              <w:jc w:val="center"/>
              <w:rPr>
                <w:szCs w:val="21"/>
              </w:rPr>
            </w:pPr>
            <w:r>
              <w:rPr>
                <w:rFonts w:hint="eastAsia"/>
                <w:szCs w:val="21"/>
              </w:rPr>
              <w:t>新增污染源</w:t>
            </w:r>
          </w:p>
        </w:tc>
        <w:tc>
          <w:tcPr>
            <w:tcW w:w="1063" w:type="dxa"/>
            <w:tcBorders>
              <w:top w:val="single" w:color="auto" w:sz="4" w:space="0"/>
              <w:left w:val="single" w:color="auto" w:sz="4" w:space="0"/>
              <w:bottom w:val="single" w:color="auto" w:sz="4" w:space="0"/>
              <w:right w:val="single" w:color="auto" w:sz="4" w:space="0"/>
            </w:tcBorders>
            <w:vAlign w:val="center"/>
          </w:tcPr>
          <w:p w14:paraId="220124F6">
            <w:pPr>
              <w:spacing w:line="320" w:lineRule="exact"/>
              <w:jc w:val="center"/>
              <w:rPr>
                <w:szCs w:val="21"/>
              </w:rPr>
            </w:pPr>
            <w:r>
              <w:rPr>
                <w:rFonts w:hint="eastAsia"/>
                <w:szCs w:val="21"/>
              </w:rPr>
              <w:t>非正常排放</w:t>
            </w:r>
            <w:r>
              <w:rPr>
                <w:szCs w:val="21"/>
              </w:rPr>
              <w:t>1h</w:t>
            </w:r>
          </w:p>
        </w:tc>
        <w:tc>
          <w:tcPr>
            <w:tcW w:w="1594" w:type="dxa"/>
            <w:tcBorders>
              <w:top w:val="single" w:color="auto" w:sz="4" w:space="0"/>
              <w:left w:val="single" w:color="auto" w:sz="4" w:space="0"/>
              <w:bottom w:val="single" w:color="auto" w:sz="4" w:space="0"/>
              <w:right w:val="single" w:color="auto" w:sz="4" w:space="0"/>
            </w:tcBorders>
            <w:vAlign w:val="center"/>
          </w:tcPr>
          <w:p w14:paraId="20F3BEEC">
            <w:pPr>
              <w:spacing w:line="320" w:lineRule="exact"/>
              <w:jc w:val="center"/>
              <w:rPr>
                <w:szCs w:val="21"/>
              </w:rPr>
            </w:pPr>
            <w:r>
              <w:rPr>
                <w:bCs/>
                <w:szCs w:val="21"/>
              </w:rPr>
              <w:t>NH</w:t>
            </w:r>
            <w:r>
              <w:rPr>
                <w:bCs/>
                <w:szCs w:val="21"/>
                <w:vertAlign w:val="subscript"/>
              </w:rPr>
              <w:t>3</w:t>
            </w:r>
            <w:r>
              <w:rPr>
                <w:rFonts w:hint="eastAsia"/>
                <w:bCs/>
                <w:szCs w:val="21"/>
              </w:rPr>
              <w:t>、</w:t>
            </w:r>
            <w:r>
              <w:rPr>
                <w:bCs/>
                <w:szCs w:val="21"/>
              </w:rPr>
              <w:t>H</w:t>
            </w:r>
            <w:r>
              <w:rPr>
                <w:bCs/>
                <w:szCs w:val="21"/>
                <w:vertAlign w:val="subscript"/>
              </w:rPr>
              <w:t>2</w:t>
            </w:r>
            <w:r>
              <w:rPr>
                <w:bCs/>
                <w:szCs w:val="21"/>
              </w:rPr>
              <w:t>S</w:t>
            </w:r>
          </w:p>
        </w:tc>
        <w:tc>
          <w:tcPr>
            <w:tcW w:w="1235" w:type="dxa"/>
            <w:tcBorders>
              <w:top w:val="single" w:color="auto" w:sz="4" w:space="0"/>
              <w:left w:val="single" w:color="auto" w:sz="4" w:space="0"/>
              <w:bottom w:val="single" w:color="auto" w:sz="4" w:space="0"/>
              <w:right w:val="single" w:color="auto" w:sz="4" w:space="0"/>
            </w:tcBorders>
            <w:vAlign w:val="center"/>
          </w:tcPr>
          <w:p w14:paraId="41F01723">
            <w:pPr>
              <w:spacing w:line="320" w:lineRule="exact"/>
              <w:jc w:val="center"/>
              <w:rPr>
                <w:szCs w:val="21"/>
              </w:rPr>
            </w:pPr>
            <w:r>
              <w:rPr>
                <w:szCs w:val="21"/>
              </w:rPr>
              <w:t>1h</w:t>
            </w:r>
            <w:r>
              <w:rPr>
                <w:rFonts w:hint="eastAsia"/>
                <w:szCs w:val="21"/>
              </w:rPr>
              <w:t>平均质量浓度</w:t>
            </w:r>
          </w:p>
        </w:tc>
        <w:tc>
          <w:tcPr>
            <w:tcW w:w="2275" w:type="dxa"/>
            <w:tcBorders>
              <w:top w:val="single" w:color="auto" w:sz="4" w:space="0"/>
              <w:left w:val="single" w:color="auto" w:sz="4" w:space="0"/>
              <w:bottom w:val="single" w:color="auto" w:sz="4" w:space="0"/>
              <w:right w:val="nil"/>
            </w:tcBorders>
            <w:vAlign w:val="center"/>
          </w:tcPr>
          <w:p w14:paraId="32B4646B">
            <w:pPr>
              <w:spacing w:line="320" w:lineRule="exact"/>
              <w:jc w:val="center"/>
              <w:rPr>
                <w:szCs w:val="21"/>
              </w:rPr>
            </w:pPr>
            <w:r>
              <w:rPr>
                <w:rFonts w:hint="eastAsia"/>
                <w:szCs w:val="21"/>
              </w:rPr>
              <w:t>最大浓度占标率</w:t>
            </w:r>
          </w:p>
        </w:tc>
      </w:tr>
      <w:tr w14:paraId="3817ED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63" w:type="dxa"/>
            <w:tcBorders>
              <w:top w:val="single" w:color="auto" w:sz="4" w:space="0"/>
              <w:left w:val="nil"/>
              <w:bottom w:val="single" w:color="auto" w:sz="12" w:space="0"/>
              <w:right w:val="single" w:color="auto" w:sz="4" w:space="0"/>
            </w:tcBorders>
            <w:vAlign w:val="center"/>
          </w:tcPr>
          <w:p w14:paraId="58358F73">
            <w:pPr>
              <w:spacing w:line="320" w:lineRule="exact"/>
              <w:jc w:val="center"/>
              <w:rPr>
                <w:szCs w:val="21"/>
              </w:rPr>
            </w:pPr>
            <w:r>
              <w:rPr>
                <w:rFonts w:hint="eastAsia"/>
                <w:szCs w:val="21"/>
              </w:rPr>
              <w:t>大气环境防护距离</w:t>
            </w:r>
          </w:p>
        </w:tc>
        <w:tc>
          <w:tcPr>
            <w:tcW w:w="1192" w:type="dxa"/>
            <w:tcBorders>
              <w:top w:val="single" w:color="auto" w:sz="4" w:space="0"/>
              <w:left w:val="single" w:color="auto" w:sz="4" w:space="0"/>
              <w:bottom w:val="single" w:color="auto" w:sz="12" w:space="0"/>
              <w:right w:val="single" w:color="auto" w:sz="4" w:space="0"/>
            </w:tcBorders>
            <w:vAlign w:val="center"/>
          </w:tcPr>
          <w:p w14:paraId="19CD246B">
            <w:pPr>
              <w:spacing w:line="320" w:lineRule="exact"/>
              <w:jc w:val="center"/>
              <w:rPr>
                <w:szCs w:val="21"/>
              </w:rPr>
            </w:pPr>
            <w:r>
              <w:rPr>
                <w:rFonts w:hint="eastAsia"/>
                <w:szCs w:val="21"/>
              </w:rPr>
              <w:t>新增污染源</w:t>
            </w:r>
            <w:r>
              <w:rPr>
                <w:szCs w:val="21"/>
              </w:rPr>
              <w:t>+“</w:t>
            </w:r>
            <w:r>
              <w:rPr>
                <w:rFonts w:hint="eastAsia"/>
                <w:szCs w:val="21"/>
              </w:rPr>
              <w:t>以新带老</w:t>
            </w:r>
            <w:r>
              <w:rPr>
                <w:szCs w:val="21"/>
              </w:rPr>
              <w:t>”</w:t>
            </w:r>
            <w:r>
              <w:rPr>
                <w:rFonts w:hint="eastAsia"/>
                <w:szCs w:val="21"/>
              </w:rPr>
              <w:t>污染源（如有）</w:t>
            </w:r>
          </w:p>
        </w:tc>
        <w:tc>
          <w:tcPr>
            <w:tcW w:w="1063" w:type="dxa"/>
            <w:tcBorders>
              <w:top w:val="single" w:color="auto" w:sz="4" w:space="0"/>
              <w:left w:val="single" w:color="auto" w:sz="4" w:space="0"/>
              <w:bottom w:val="single" w:color="auto" w:sz="12" w:space="0"/>
              <w:right w:val="single" w:color="auto" w:sz="4" w:space="0"/>
            </w:tcBorders>
            <w:vAlign w:val="center"/>
          </w:tcPr>
          <w:p w14:paraId="6DFAD717">
            <w:pPr>
              <w:spacing w:line="320" w:lineRule="exact"/>
              <w:jc w:val="center"/>
              <w:rPr>
                <w:szCs w:val="21"/>
              </w:rPr>
            </w:pPr>
            <w:r>
              <w:rPr>
                <w:rFonts w:hint="eastAsia"/>
                <w:szCs w:val="21"/>
              </w:rPr>
              <w:t>正常排放</w:t>
            </w:r>
          </w:p>
        </w:tc>
        <w:tc>
          <w:tcPr>
            <w:tcW w:w="1594" w:type="dxa"/>
            <w:tcBorders>
              <w:top w:val="single" w:color="auto" w:sz="4" w:space="0"/>
              <w:left w:val="single" w:color="auto" w:sz="4" w:space="0"/>
              <w:bottom w:val="single" w:color="auto" w:sz="12" w:space="0"/>
              <w:right w:val="single" w:color="auto" w:sz="4" w:space="0"/>
            </w:tcBorders>
            <w:vAlign w:val="center"/>
          </w:tcPr>
          <w:p w14:paraId="4B1A6C5D">
            <w:pPr>
              <w:spacing w:line="320" w:lineRule="exact"/>
              <w:jc w:val="center"/>
              <w:rPr>
                <w:szCs w:val="21"/>
              </w:rPr>
            </w:pPr>
            <w:r>
              <w:rPr>
                <w:bCs/>
                <w:szCs w:val="21"/>
              </w:rPr>
              <w:t>NH</w:t>
            </w:r>
            <w:r>
              <w:rPr>
                <w:bCs/>
                <w:szCs w:val="21"/>
                <w:vertAlign w:val="subscript"/>
              </w:rPr>
              <w:t>3</w:t>
            </w:r>
            <w:r>
              <w:rPr>
                <w:rFonts w:hint="eastAsia"/>
                <w:bCs/>
                <w:szCs w:val="21"/>
              </w:rPr>
              <w:t>、</w:t>
            </w:r>
            <w:r>
              <w:rPr>
                <w:bCs/>
                <w:szCs w:val="21"/>
              </w:rPr>
              <w:t>H</w:t>
            </w:r>
            <w:r>
              <w:rPr>
                <w:bCs/>
                <w:szCs w:val="21"/>
                <w:vertAlign w:val="subscript"/>
              </w:rPr>
              <w:t>2</w:t>
            </w:r>
            <w:r>
              <w:rPr>
                <w:bCs/>
                <w:szCs w:val="21"/>
              </w:rPr>
              <w:t>S</w:t>
            </w:r>
          </w:p>
        </w:tc>
        <w:tc>
          <w:tcPr>
            <w:tcW w:w="1235" w:type="dxa"/>
            <w:tcBorders>
              <w:top w:val="single" w:color="auto" w:sz="4" w:space="0"/>
              <w:left w:val="single" w:color="auto" w:sz="4" w:space="0"/>
              <w:bottom w:val="single" w:color="auto" w:sz="12" w:space="0"/>
              <w:right w:val="single" w:color="auto" w:sz="4" w:space="0"/>
            </w:tcBorders>
            <w:vAlign w:val="center"/>
          </w:tcPr>
          <w:p w14:paraId="4FBC11E9">
            <w:pPr>
              <w:spacing w:line="320" w:lineRule="exact"/>
              <w:jc w:val="center"/>
              <w:rPr>
                <w:szCs w:val="21"/>
              </w:rPr>
            </w:pPr>
            <w:r>
              <w:rPr>
                <w:rFonts w:hint="eastAsia"/>
                <w:szCs w:val="21"/>
              </w:rPr>
              <w:t>短期浓度</w:t>
            </w:r>
          </w:p>
        </w:tc>
        <w:tc>
          <w:tcPr>
            <w:tcW w:w="2275" w:type="dxa"/>
            <w:tcBorders>
              <w:top w:val="single" w:color="auto" w:sz="4" w:space="0"/>
              <w:left w:val="single" w:color="auto" w:sz="4" w:space="0"/>
              <w:bottom w:val="single" w:color="auto" w:sz="12" w:space="0"/>
              <w:right w:val="nil"/>
            </w:tcBorders>
            <w:vAlign w:val="center"/>
          </w:tcPr>
          <w:p w14:paraId="7D080796">
            <w:pPr>
              <w:spacing w:line="320" w:lineRule="exact"/>
              <w:jc w:val="center"/>
              <w:rPr>
                <w:szCs w:val="21"/>
              </w:rPr>
            </w:pPr>
            <w:r>
              <w:rPr>
                <w:rFonts w:hint="eastAsia"/>
                <w:szCs w:val="21"/>
              </w:rPr>
              <w:t>大气环境防护距离</w:t>
            </w:r>
          </w:p>
        </w:tc>
      </w:tr>
    </w:tbl>
    <w:p w14:paraId="0901B90F">
      <w:pPr>
        <w:spacing w:line="360" w:lineRule="auto"/>
        <w:ind w:firstLine="480" w:firstLineChars="200"/>
        <w:rPr>
          <w:bCs/>
          <w:sz w:val="24"/>
        </w:rPr>
      </w:pPr>
      <w:r>
        <w:rPr>
          <w:rFonts w:hint="eastAsia"/>
          <w:bCs/>
          <w:sz w:val="24"/>
        </w:rPr>
        <w:t>（</w:t>
      </w:r>
      <w:r>
        <w:rPr>
          <w:bCs/>
          <w:sz w:val="24"/>
        </w:rPr>
        <w:t>3</w:t>
      </w:r>
      <w:r>
        <w:rPr>
          <w:rFonts w:hint="eastAsia"/>
          <w:bCs/>
          <w:sz w:val="24"/>
        </w:rPr>
        <w:t>）项目排放污染源强</w:t>
      </w:r>
    </w:p>
    <w:p w14:paraId="22251EB6">
      <w:pPr>
        <w:spacing w:line="360" w:lineRule="auto"/>
        <w:ind w:firstLine="480" w:firstLineChars="200"/>
        <w:rPr>
          <w:sz w:val="24"/>
        </w:rPr>
      </w:pPr>
      <w:r>
        <w:rPr>
          <w:rFonts w:hint="eastAsia"/>
          <w:sz w:val="24"/>
        </w:rPr>
        <w:t>根据调查及项目工程分析可知，本项目排放污染源为</w:t>
      </w:r>
      <w:r>
        <w:rPr>
          <w:sz w:val="24"/>
        </w:rPr>
        <w:t>NH</w:t>
      </w:r>
      <w:r>
        <w:rPr>
          <w:sz w:val="24"/>
          <w:vertAlign w:val="subscript"/>
        </w:rPr>
        <w:t>3</w:t>
      </w:r>
      <w:r>
        <w:rPr>
          <w:rFonts w:hint="eastAsia"/>
          <w:sz w:val="24"/>
        </w:rPr>
        <w:t>和</w:t>
      </w:r>
      <w:r>
        <w:rPr>
          <w:sz w:val="24"/>
        </w:rPr>
        <w:t>H</w:t>
      </w:r>
      <w:r>
        <w:rPr>
          <w:sz w:val="24"/>
          <w:vertAlign w:val="subscript"/>
        </w:rPr>
        <w:t>2</w:t>
      </w:r>
      <w:r>
        <w:rPr>
          <w:sz w:val="24"/>
        </w:rPr>
        <w:t>S</w:t>
      </w:r>
      <w:r>
        <w:rPr>
          <w:rFonts w:hint="eastAsia"/>
          <w:sz w:val="24"/>
        </w:rPr>
        <w:t>，本项目正常排放、非正常排放污染源强见工程分析。</w:t>
      </w:r>
    </w:p>
    <w:p w14:paraId="7CB60869">
      <w:pPr>
        <w:spacing w:line="560" w:lineRule="exact"/>
        <w:jc w:val="center"/>
        <w:rPr>
          <w:b/>
          <w:bCs/>
          <w:szCs w:val="21"/>
        </w:rPr>
      </w:pPr>
      <w:r>
        <w:rPr>
          <w:b/>
          <w:bCs/>
          <w:szCs w:val="21"/>
        </w:rPr>
        <w:t>表5.2-7  本项目正常工况下有组织废气源强排放参数一览表</w:t>
      </w:r>
    </w:p>
    <w:tbl>
      <w:tblPr>
        <w:tblStyle w:val="88"/>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979"/>
        <w:gridCol w:w="1298"/>
        <w:gridCol w:w="1193"/>
        <w:gridCol w:w="497"/>
        <w:gridCol w:w="673"/>
        <w:gridCol w:w="652"/>
        <w:gridCol w:w="996"/>
        <w:gridCol w:w="664"/>
        <w:gridCol w:w="703"/>
        <w:gridCol w:w="468"/>
        <w:gridCol w:w="883"/>
      </w:tblGrid>
      <w:tr w14:paraId="6CC4D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3" w:hRule="atLeast"/>
        </w:trPr>
        <w:tc>
          <w:tcPr>
            <w:tcW w:w="0" w:type="auto"/>
            <w:vMerge w:val="restart"/>
            <w:tcBorders>
              <w:tl2br w:val="nil"/>
              <w:tr2bl w:val="nil"/>
            </w:tcBorders>
            <w:shd w:val="clear" w:color="auto" w:fill="FFFFFF"/>
            <w:vAlign w:val="center"/>
          </w:tcPr>
          <w:p w14:paraId="0BA5A799">
            <w:pPr>
              <w:jc w:val="center"/>
              <w:textAlignment w:val="center"/>
              <w:rPr>
                <w:szCs w:val="21"/>
              </w:rPr>
            </w:pPr>
            <w:r>
              <w:rPr>
                <w:kern w:val="0"/>
                <w:szCs w:val="21"/>
                <w:lang w:bidi="ar"/>
              </w:rPr>
              <w:t>名称</w:t>
            </w:r>
          </w:p>
        </w:tc>
        <w:tc>
          <w:tcPr>
            <w:tcW w:w="0" w:type="auto"/>
            <w:gridSpan w:val="2"/>
            <w:tcBorders>
              <w:tl2br w:val="nil"/>
              <w:tr2bl w:val="nil"/>
            </w:tcBorders>
            <w:shd w:val="clear" w:color="auto" w:fill="FFFFFF"/>
            <w:vAlign w:val="center"/>
          </w:tcPr>
          <w:p w14:paraId="6D1B5605">
            <w:pPr>
              <w:jc w:val="center"/>
              <w:textAlignment w:val="center"/>
              <w:rPr>
                <w:szCs w:val="21"/>
              </w:rPr>
            </w:pPr>
            <w:r>
              <w:rPr>
                <w:kern w:val="0"/>
                <w:szCs w:val="21"/>
                <w:lang w:bidi="ar"/>
              </w:rPr>
              <w:t>排气筒底部中心坐标</w:t>
            </w:r>
          </w:p>
        </w:tc>
        <w:tc>
          <w:tcPr>
            <w:tcW w:w="0" w:type="auto"/>
            <w:vMerge w:val="restart"/>
            <w:tcBorders>
              <w:tl2br w:val="nil"/>
              <w:tr2bl w:val="nil"/>
            </w:tcBorders>
            <w:shd w:val="clear" w:color="auto" w:fill="FFFFFF"/>
            <w:vAlign w:val="center"/>
          </w:tcPr>
          <w:p w14:paraId="4CBFFBEC">
            <w:pPr>
              <w:jc w:val="center"/>
              <w:textAlignment w:val="center"/>
              <w:rPr>
                <w:szCs w:val="21"/>
              </w:rPr>
            </w:pPr>
            <w:r>
              <w:rPr>
                <w:kern w:val="0"/>
                <w:szCs w:val="21"/>
                <w:lang w:bidi="ar"/>
              </w:rPr>
              <w:t>排气筒高度m</w:t>
            </w:r>
          </w:p>
        </w:tc>
        <w:tc>
          <w:tcPr>
            <w:tcW w:w="0" w:type="auto"/>
            <w:vMerge w:val="restart"/>
            <w:tcBorders>
              <w:tl2br w:val="nil"/>
              <w:tr2bl w:val="nil"/>
            </w:tcBorders>
            <w:shd w:val="clear" w:color="auto" w:fill="FFFFFF"/>
            <w:vAlign w:val="center"/>
          </w:tcPr>
          <w:p w14:paraId="7C305B2E">
            <w:pPr>
              <w:jc w:val="center"/>
              <w:textAlignment w:val="center"/>
              <w:rPr>
                <w:szCs w:val="21"/>
              </w:rPr>
            </w:pPr>
            <w:r>
              <w:rPr>
                <w:kern w:val="0"/>
                <w:szCs w:val="21"/>
                <w:lang w:bidi="ar"/>
              </w:rPr>
              <w:t>排气筒出口内径m</w:t>
            </w:r>
          </w:p>
        </w:tc>
        <w:tc>
          <w:tcPr>
            <w:tcW w:w="0" w:type="auto"/>
            <w:vMerge w:val="restart"/>
            <w:tcBorders>
              <w:tl2br w:val="nil"/>
              <w:tr2bl w:val="nil"/>
            </w:tcBorders>
            <w:shd w:val="clear" w:color="auto" w:fill="FFFFFF"/>
            <w:vAlign w:val="center"/>
          </w:tcPr>
          <w:p w14:paraId="6626FABB">
            <w:pPr>
              <w:jc w:val="center"/>
              <w:textAlignment w:val="center"/>
              <w:rPr>
                <w:szCs w:val="21"/>
              </w:rPr>
            </w:pPr>
            <w:r>
              <w:rPr>
                <w:kern w:val="0"/>
                <w:szCs w:val="21"/>
                <w:lang w:bidi="ar"/>
              </w:rPr>
              <w:t>排气筒底部海拔高度/m</w:t>
            </w:r>
          </w:p>
        </w:tc>
        <w:tc>
          <w:tcPr>
            <w:tcW w:w="0" w:type="auto"/>
            <w:vMerge w:val="restart"/>
            <w:tcBorders>
              <w:tl2br w:val="nil"/>
              <w:tr2bl w:val="nil"/>
            </w:tcBorders>
            <w:shd w:val="clear" w:color="auto" w:fill="FFFFFF"/>
            <w:vAlign w:val="center"/>
          </w:tcPr>
          <w:p w14:paraId="006DBE11">
            <w:pPr>
              <w:jc w:val="center"/>
              <w:textAlignment w:val="center"/>
              <w:rPr>
                <w:szCs w:val="21"/>
              </w:rPr>
            </w:pPr>
            <w:r>
              <w:rPr>
                <w:kern w:val="0"/>
                <w:szCs w:val="21"/>
                <w:lang w:bidi="ar"/>
              </w:rPr>
              <w:t>烟气流速（m/s）</w:t>
            </w:r>
          </w:p>
        </w:tc>
        <w:tc>
          <w:tcPr>
            <w:tcW w:w="0" w:type="auto"/>
            <w:vMerge w:val="restart"/>
            <w:tcBorders>
              <w:tl2br w:val="nil"/>
              <w:tr2bl w:val="nil"/>
            </w:tcBorders>
            <w:shd w:val="clear" w:color="auto" w:fill="FFFFFF"/>
            <w:vAlign w:val="center"/>
          </w:tcPr>
          <w:p w14:paraId="0D213565">
            <w:pPr>
              <w:jc w:val="center"/>
              <w:textAlignment w:val="center"/>
              <w:rPr>
                <w:szCs w:val="21"/>
              </w:rPr>
            </w:pPr>
            <w:r>
              <w:rPr>
                <w:kern w:val="0"/>
                <w:szCs w:val="21"/>
                <w:lang w:bidi="ar"/>
              </w:rPr>
              <w:t>烟气温℃</w:t>
            </w:r>
          </w:p>
        </w:tc>
        <w:tc>
          <w:tcPr>
            <w:tcW w:w="0" w:type="auto"/>
            <w:vMerge w:val="restart"/>
            <w:tcBorders>
              <w:tl2br w:val="nil"/>
              <w:tr2bl w:val="nil"/>
            </w:tcBorders>
            <w:shd w:val="clear" w:color="auto" w:fill="FFFFFF"/>
            <w:vAlign w:val="center"/>
          </w:tcPr>
          <w:p w14:paraId="4E0A2567">
            <w:pPr>
              <w:jc w:val="center"/>
              <w:textAlignment w:val="center"/>
              <w:rPr>
                <w:szCs w:val="21"/>
              </w:rPr>
            </w:pPr>
            <w:r>
              <w:rPr>
                <w:kern w:val="0"/>
                <w:szCs w:val="21"/>
                <w:lang w:bidi="ar"/>
              </w:rPr>
              <w:t>年排放小时数h</w:t>
            </w:r>
          </w:p>
        </w:tc>
        <w:tc>
          <w:tcPr>
            <w:tcW w:w="0" w:type="auto"/>
            <w:vMerge w:val="restart"/>
            <w:tcBorders>
              <w:tl2br w:val="nil"/>
              <w:tr2bl w:val="nil"/>
            </w:tcBorders>
            <w:shd w:val="clear" w:color="auto" w:fill="FFFFFF"/>
            <w:vAlign w:val="center"/>
          </w:tcPr>
          <w:p w14:paraId="7649D138">
            <w:pPr>
              <w:jc w:val="center"/>
              <w:textAlignment w:val="center"/>
              <w:rPr>
                <w:szCs w:val="21"/>
              </w:rPr>
            </w:pPr>
            <w:r>
              <w:rPr>
                <w:kern w:val="0"/>
                <w:szCs w:val="21"/>
                <w:lang w:bidi="ar"/>
              </w:rPr>
              <w:t>排放工况</w:t>
            </w:r>
          </w:p>
        </w:tc>
        <w:tc>
          <w:tcPr>
            <w:tcW w:w="0" w:type="auto"/>
            <w:tcBorders>
              <w:tl2br w:val="nil"/>
              <w:tr2bl w:val="nil"/>
            </w:tcBorders>
            <w:shd w:val="clear" w:color="auto" w:fill="FFFFFF"/>
            <w:vAlign w:val="center"/>
          </w:tcPr>
          <w:p w14:paraId="08EC4FFA">
            <w:pPr>
              <w:jc w:val="center"/>
              <w:textAlignment w:val="center"/>
              <w:rPr>
                <w:szCs w:val="21"/>
              </w:rPr>
            </w:pPr>
            <w:r>
              <w:rPr>
                <w:kern w:val="0"/>
                <w:szCs w:val="21"/>
                <w:lang w:bidi="ar"/>
              </w:rPr>
              <w:t>污染物排放速率kg/h</w:t>
            </w:r>
          </w:p>
        </w:tc>
      </w:tr>
      <w:tr w14:paraId="159309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63" w:hRule="atLeast"/>
        </w:trPr>
        <w:tc>
          <w:tcPr>
            <w:tcW w:w="0" w:type="auto"/>
            <w:vMerge w:val="continue"/>
            <w:tcBorders>
              <w:tl2br w:val="nil"/>
              <w:tr2bl w:val="nil"/>
            </w:tcBorders>
            <w:shd w:val="clear" w:color="auto" w:fill="FFFFFF"/>
            <w:vAlign w:val="center"/>
          </w:tcPr>
          <w:p w14:paraId="5747FFD5">
            <w:pPr>
              <w:jc w:val="center"/>
              <w:rPr>
                <w:szCs w:val="21"/>
              </w:rPr>
            </w:pPr>
          </w:p>
        </w:tc>
        <w:tc>
          <w:tcPr>
            <w:tcW w:w="0" w:type="auto"/>
            <w:tcBorders>
              <w:tl2br w:val="nil"/>
              <w:tr2bl w:val="nil"/>
            </w:tcBorders>
            <w:shd w:val="clear" w:color="auto" w:fill="FFFFFF"/>
            <w:vAlign w:val="center"/>
          </w:tcPr>
          <w:p w14:paraId="002E7303">
            <w:pPr>
              <w:jc w:val="center"/>
              <w:textAlignment w:val="center"/>
              <w:rPr>
                <w:szCs w:val="21"/>
              </w:rPr>
            </w:pPr>
            <w:r>
              <w:rPr>
                <w:kern w:val="0"/>
                <w:szCs w:val="21"/>
                <w:lang w:bidi="ar"/>
              </w:rPr>
              <w:t>经度</w:t>
            </w:r>
          </w:p>
        </w:tc>
        <w:tc>
          <w:tcPr>
            <w:tcW w:w="0" w:type="auto"/>
            <w:tcBorders>
              <w:tl2br w:val="nil"/>
              <w:tr2bl w:val="nil"/>
            </w:tcBorders>
            <w:shd w:val="clear" w:color="auto" w:fill="FFFFFF"/>
            <w:vAlign w:val="center"/>
          </w:tcPr>
          <w:p w14:paraId="10FEEB65">
            <w:pPr>
              <w:jc w:val="center"/>
              <w:textAlignment w:val="center"/>
              <w:rPr>
                <w:szCs w:val="21"/>
              </w:rPr>
            </w:pPr>
            <w:r>
              <w:rPr>
                <w:kern w:val="0"/>
                <w:szCs w:val="21"/>
                <w:lang w:bidi="ar"/>
              </w:rPr>
              <w:t>纬度</w:t>
            </w:r>
          </w:p>
        </w:tc>
        <w:tc>
          <w:tcPr>
            <w:tcW w:w="0" w:type="auto"/>
            <w:vMerge w:val="continue"/>
            <w:tcBorders>
              <w:tl2br w:val="nil"/>
              <w:tr2bl w:val="nil"/>
            </w:tcBorders>
            <w:shd w:val="clear" w:color="auto" w:fill="FFFFFF"/>
            <w:vAlign w:val="center"/>
          </w:tcPr>
          <w:p w14:paraId="1E99491A">
            <w:pPr>
              <w:jc w:val="center"/>
              <w:rPr>
                <w:szCs w:val="21"/>
              </w:rPr>
            </w:pPr>
          </w:p>
        </w:tc>
        <w:tc>
          <w:tcPr>
            <w:tcW w:w="0" w:type="auto"/>
            <w:vMerge w:val="continue"/>
            <w:tcBorders>
              <w:tl2br w:val="nil"/>
              <w:tr2bl w:val="nil"/>
            </w:tcBorders>
            <w:shd w:val="clear" w:color="auto" w:fill="FFFFFF"/>
            <w:vAlign w:val="center"/>
          </w:tcPr>
          <w:p w14:paraId="79963042">
            <w:pPr>
              <w:jc w:val="center"/>
              <w:rPr>
                <w:szCs w:val="21"/>
              </w:rPr>
            </w:pPr>
          </w:p>
        </w:tc>
        <w:tc>
          <w:tcPr>
            <w:tcW w:w="0" w:type="auto"/>
            <w:vMerge w:val="continue"/>
            <w:tcBorders>
              <w:tl2br w:val="nil"/>
              <w:tr2bl w:val="nil"/>
            </w:tcBorders>
            <w:shd w:val="clear" w:color="auto" w:fill="FFFFFF"/>
            <w:vAlign w:val="center"/>
          </w:tcPr>
          <w:p w14:paraId="11C640C7">
            <w:pPr>
              <w:jc w:val="center"/>
              <w:rPr>
                <w:szCs w:val="21"/>
              </w:rPr>
            </w:pPr>
          </w:p>
        </w:tc>
        <w:tc>
          <w:tcPr>
            <w:tcW w:w="0" w:type="auto"/>
            <w:vMerge w:val="continue"/>
            <w:tcBorders>
              <w:tl2br w:val="nil"/>
              <w:tr2bl w:val="nil"/>
            </w:tcBorders>
            <w:shd w:val="clear" w:color="auto" w:fill="FFFFFF"/>
            <w:vAlign w:val="center"/>
          </w:tcPr>
          <w:p w14:paraId="7DAFBBE0">
            <w:pPr>
              <w:jc w:val="center"/>
              <w:rPr>
                <w:szCs w:val="21"/>
              </w:rPr>
            </w:pPr>
          </w:p>
        </w:tc>
        <w:tc>
          <w:tcPr>
            <w:tcW w:w="0" w:type="auto"/>
            <w:vMerge w:val="continue"/>
            <w:tcBorders>
              <w:tl2br w:val="nil"/>
              <w:tr2bl w:val="nil"/>
            </w:tcBorders>
            <w:shd w:val="clear" w:color="auto" w:fill="FFFFFF"/>
            <w:vAlign w:val="center"/>
          </w:tcPr>
          <w:p w14:paraId="59C7794F">
            <w:pPr>
              <w:jc w:val="center"/>
              <w:rPr>
                <w:szCs w:val="21"/>
              </w:rPr>
            </w:pPr>
          </w:p>
        </w:tc>
        <w:tc>
          <w:tcPr>
            <w:tcW w:w="0" w:type="auto"/>
            <w:vMerge w:val="continue"/>
            <w:tcBorders>
              <w:tl2br w:val="nil"/>
              <w:tr2bl w:val="nil"/>
            </w:tcBorders>
            <w:shd w:val="clear" w:color="auto" w:fill="FFFFFF"/>
            <w:vAlign w:val="center"/>
          </w:tcPr>
          <w:p w14:paraId="5485AC22">
            <w:pPr>
              <w:jc w:val="center"/>
              <w:rPr>
                <w:szCs w:val="21"/>
              </w:rPr>
            </w:pPr>
          </w:p>
        </w:tc>
        <w:tc>
          <w:tcPr>
            <w:tcW w:w="0" w:type="auto"/>
            <w:vMerge w:val="continue"/>
            <w:tcBorders>
              <w:tl2br w:val="nil"/>
              <w:tr2bl w:val="nil"/>
            </w:tcBorders>
            <w:shd w:val="clear" w:color="auto" w:fill="FFFFFF"/>
            <w:vAlign w:val="center"/>
          </w:tcPr>
          <w:p w14:paraId="2729656D">
            <w:pPr>
              <w:jc w:val="center"/>
              <w:rPr>
                <w:szCs w:val="21"/>
              </w:rPr>
            </w:pPr>
          </w:p>
        </w:tc>
        <w:tc>
          <w:tcPr>
            <w:tcW w:w="0" w:type="auto"/>
            <w:tcBorders>
              <w:tl2br w:val="nil"/>
              <w:tr2bl w:val="nil"/>
            </w:tcBorders>
            <w:shd w:val="clear" w:color="auto" w:fill="FFFFFF"/>
            <w:vAlign w:val="center"/>
          </w:tcPr>
          <w:p w14:paraId="26473A44">
            <w:pPr>
              <w:jc w:val="center"/>
              <w:textAlignment w:val="center"/>
              <w:rPr>
                <w:szCs w:val="21"/>
              </w:rPr>
            </w:pPr>
            <w:r>
              <w:rPr>
                <w:kern w:val="0"/>
                <w:szCs w:val="21"/>
                <w:lang w:bidi="ar"/>
              </w:rPr>
              <w:t>颗粒物</w:t>
            </w:r>
          </w:p>
        </w:tc>
      </w:tr>
      <w:tr w14:paraId="4887C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63" w:hRule="atLeast"/>
        </w:trPr>
        <w:tc>
          <w:tcPr>
            <w:tcW w:w="0" w:type="auto"/>
            <w:gridSpan w:val="11"/>
            <w:tcBorders>
              <w:tl2br w:val="nil"/>
              <w:tr2bl w:val="nil"/>
            </w:tcBorders>
            <w:shd w:val="clear" w:color="auto" w:fill="FFFFFF"/>
            <w:vAlign w:val="center"/>
          </w:tcPr>
          <w:p w14:paraId="0350A99E">
            <w:pPr>
              <w:jc w:val="center"/>
              <w:textAlignment w:val="center"/>
              <w:rPr>
                <w:b/>
                <w:kern w:val="0"/>
                <w:szCs w:val="21"/>
                <w:lang w:bidi="ar"/>
              </w:rPr>
            </w:pPr>
            <w:r>
              <w:rPr>
                <w:b/>
                <w:kern w:val="0"/>
                <w:szCs w:val="21"/>
                <w:lang w:bidi="ar"/>
              </w:rPr>
              <w:t>百花养殖场区</w:t>
            </w:r>
          </w:p>
        </w:tc>
      </w:tr>
      <w:tr w14:paraId="7D23D7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91" w:hRule="atLeast"/>
        </w:trPr>
        <w:tc>
          <w:tcPr>
            <w:tcW w:w="0" w:type="auto"/>
            <w:tcBorders>
              <w:tl2br w:val="nil"/>
              <w:tr2bl w:val="nil"/>
            </w:tcBorders>
            <w:shd w:val="clear" w:color="auto" w:fill="FFFFFF"/>
            <w:vAlign w:val="center"/>
          </w:tcPr>
          <w:p w14:paraId="44F1F23E">
            <w:pPr>
              <w:jc w:val="center"/>
              <w:textAlignment w:val="center"/>
              <w:rPr>
                <w:szCs w:val="21"/>
              </w:rPr>
            </w:pPr>
            <w:r>
              <w:rPr>
                <w:kern w:val="0"/>
                <w:szCs w:val="21"/>
                <w:lang w:bidi="ar"/>
              </w:rPr>
              <w:t>DA001精饲料加工除尘排放口</w:t>
            </w:r>
          </w:p>
        </w:tc>
        <w:tc>
          <w:tcPr>
            <w:tcW w:w="0" w:type="auto"/>
            <w:tcBorders>
              <w:tl2br w:val="nil"/>
              <w:tr2bl w:val="nil"/>
            </w:tcBorders>
            <w:shd w:val="clear" w:color="auto" w:fill="FFFFFF"/>
            <w:vAlign w:val="center"/>
          </w:tcPr>
          <w:p w14:paraId="10E70021">
            <w:pPr>
              <w:jc w:val="center"/>
              <w:textAlignment w:val="center"/>
              <w:rPr>
                <w:szCs w:val="21"/>
              </w:rPr>
            </w:pPr>
            <w:r>
              <w:rPr>
                <w:kern w:val="0"/>
                <w:szCs w:val="21"/>
                <w:lang w:bidi="ar"/>
              </w:rPr>
              <w:t>107.025526°</w:t>
            </w:r>
          </w:p>
        </w:tc>
        <w:tc>
          <w:tcPr>
            <w:tcW w:w="0" w:type="auto"/>
            <w:tcBorders>
              <w:tl2br w:val="nil"/>
              <w:tr2bl w:val="nil"/>
            </w:tcBorders>
            <w:shd w:val="clear" w:color="auto" w:fill="FFFFFF"/>
            <w:vAlign w:val="center"/>
          </w:tcPr>
          <w:p w14:paraId="08FCB008">
            <w:pPr>
              <w:jc w:val="center"/>
              <w:textAlignment w:val="center"/>
              <w:rPr>
                <w:szCs w:val="21"/>
              </w:rPr>
            </w:pPr>
            <w:r>
              <w:rPr>
                <w:kern w:val="0"/>
                <w:szCs w:val="21"/>
                <w:lang w:bidi="ar"/>
              </w:rPr>
              <w:t>31.992040°</w:t>
            </w:r>
          </w:p>
        </w:tc>
        <w:tc>
          <w:tcPr>
            <w:tcW w:w="0" w:type="auto"/>
            <w:tcBorders>
              <w:tl2br w:val="nil"/>
              <w:tr2bl w:val="nil"/>
            </w:tcBorders>
            <w:shd w:val="clear" w:color="auto" w:fill="FFFFFF"/>
            <w:vAlign w:val="center"/>
          </w:tcPr>
          <w:p w14:paraId="60F9E5AA">
            <w:pPr>
              <w:jc w:val="center"/>
              <w:textAlignment w:val="center"/>
              <w:rPr>
                <w:szCs w:val="21"/>
              </w:rPr>
            </w:pPr>
            <w:r>
              <w:rPr>
                <w:kern w:val="0"/>
                <w:szCs w:val="21"/>
                <w:lang w:bidi="ar"/>
              </w:rPr>
              <w:t>15</w:t>
            </w:r>
          </w:p>
        </w:tc>
        <w:tc>
          <w:tcPr>
            <w:tcW w:w="0" w:type="auto"/>
            <w:tcBorders>
              <w:tl2br w:val="nil"/>
              <w:tr2bl w:val="nil"/>
            </w:tcBorders>
            <w:shd w:val="clear" w:color="auto" w:fill="FFFFFF"/>
            <w:vAlign w:val="center"/>
          </w:tcPr>
          <w:p w14:paraId="6DECA4E3">
            <w:pPr>
              <w:jc w:val="center"/>
              <w:textAlignment w:val="center"/>
              <w:rPr>
                <w:szCs w:val="21"/>
              </w:rPr>
            </w:pPr>
            <w:r>
              <w:rPr>
                <w:kern w:val="0"/>
                <w:szCs w:val="21"/>
                <w:lang w:bidi="ar"/>
              </w:rPr>
              <w:t>0.35</w:t>
            </w:r>
          </w:p>
        </w:tc>
        <w:tc>
          <w:tcPr>
            <w:tcW w:w="0" w:type="auto"/>
            <w:tcBorders>
              <w:tl2br w:val="nil"/>
              <w:tr2bl w:val="nil"/>
            </w:tcBorders>
            <w:shd w:val="clear" w:color="auto" w:fill="FFFFFF"/>
            <w:vAlign w:val="center"/>
          </w:tcPr>
          <w:p w14:paraId="2A7E9B84">
            <w:pPr>
              <w:jc w:val="center"/>
              <w:textAlignment w:val="center"/>
              <w:rPr>
                <w:szCs w:val="21"/>
              </w:rPr>
            </w:pPr>
            <w:r>
              <w:rPr>
                <w:kern w:val="0"/>
                <w:szCs w:val="21"/>
                <w:lang w:bidi="ar"/>
              </w:rPr>
              <w:t>769</w:t>
            </w:r>
          </w:p>
        </w:tc>
        <w:tc>
          <w:tcPr>
            <w:tcW w:w="0" w:type="auto"/>
            <w:tcBorders>
              <w:tl2br w:val="nil"/>
              <w:tr2bl w:val="nil"/>
            </w:tcBorders>
            <w:shd w:val="clear" w:color="auto" w:fill="FFFFFF"/>
            <w:vAlign w:val="center"/>
          </w:tcPr>
          <w:p w14:paraId="5620E4F4">
            <w:pPr>
              <w:jc w:val="center"/>
              <w:textAlignment w:val="center"/>
              <w:rPr>
                <w:szCs w:val="21"/>
              </w:rPr>
            </w:pPr>
            <w:r>
              <w:rPr>
                <w:kern w:val="0"/>
                <w:szCs w:val="21"/>
                <w:lang w:bidi="ar"/>
              </w:rPr>
              <w:t>14.44</w:t>
            </w:r>
          </w:p>
        </w:tc>
        <w:tc>
          <w:tcPr>
            <w:tcW w:w="0" w:type="auto"/>
            <w:tcBorders>
              <w:tl2br w:val="nil"/>
              <w:tr2bl w:val="nil"/>
            </w:tcBorders>
            <w:shd w:val="clear" w:color="auto" w:fill="FFFFFF"/>
            <w:vAlign w:val="center"/>
          </w:tcPr>
          <w:p w14:paraId="46FC41DA">
            <w:pPr>
              <w:jc w:val="center"/>
              <w:textAlignment w:val="center"/>
              <w:rPr>
                <w:szCs w:val="21"/>
              </w:rPr>
            </w:pPr>
            <w:r>
              <w:rPr>
                <w:szCs w:val="21"/>
              </w:rPr>
              <w:t>环境气温</w:t>
            </w:r>
          </w:p>
        </w:tc>
        <w:tc>
          <w:tcPr>
            <w:tcW w:w="0" w:type="auto"/>
            <w:tcBorders>
              <w:tl2br w:val="nil"/>
              <w:tr2bl w:val="nil"/>
            </w:tcBorders>
            <w:shd w:val="clear" w:color="auto" w:fill="FFFFFF"/>
            <w:vAlign w:val="center"/>
          </w:tcPr>
          <w:p w14:paraId="56772089">
            <w:pPr>
              <w:jc w:val="center"/>
              <w:textAlignment w:val="center"/>
              <w:rPr>
                <w:szCs w:val="21"/>
              </w:rPr>
            </w:pPr>
            <w:r>
              <w:rPr>
                <w:kern w:val="0"/>
                <w:szCs w:val="21"/>
                <w:lang w:bidi="ar"/>
              </w:rPr>
              <w:t>2160</w:t>
            </w:r>
          </w:p>
        </w:tc>
        <w:tc>
          <w:tcPr>
            <w:tcW w:w="0" w:type="auto"/>
            <w:tcBorders>
              <w:tl2br w:val="nil"/>
              <w:tr2bl w:val="nil"/>
            </w:tcBorders>
            <w:shd w:val="clear" w:color="auto" w:fill="FFFFFF"/>
            <w:vAlign w:val="center"/>
          </w:tcPr>
          <w:p w14:paraId="33280787">
            <w:pPr>
              <w:jc w:val="center"/>
              <w:textAlignment w:val="center"/>
              <w:rPr>
                <w:szCs w:val="21"/>
              </w:rPr>
            </w:pPr>
            <w:r>
              <w:rPr>
                <w:kern w:val="0"/>
                <w:szCs w:val="21"/>
                <w:lang w:bidi="ar"/>
              </w:rPr>
              <w:t>正常</w:t>
            </w:r>
          </w:p>
        </w:tc>
        <w:tc>
          <w:tcPr>
            <w:tcW w:w="0" w:type="auto"/>
            <w:tcBorders>
              <w:tl2br w:val="nil"/>
              <w:tr2bl w:val="nil"/>
            </w:tcBorders>
            <w:shd w:val="clear" w:color="auto" w:fill="FFFFFF"/>
            <w:vAlign w:val="center"/>
          </w:tcPr>
          <w:p w14:paraId="53765190">
            <w:pPr>
              <w:jc w:val="center"/>
              <w:textAlignment w:val="center"/>
              <w:rPr>
                <w:szCs w:val="21"/>
              </w:rPr>
            </w:pPr>
            <w:r>
              <w:rPr>
                <w:kern w:val="0"/>
                <w:szCs w:val="21"/>
                <w:lang w:bidi="ar"/>
              </w:rPr>
              <w:t>0.0002</w:t>
            </w:r>
          </w:p>
        </w:tc>
      </w:tr>
    </w:tbl>
    <w:p w14:paraId="148D446B">
      <w:pPr>
        <w:spacing w:line="360" w:lineRule="auto"/>
        <w:rPr>
          <w:bCs/>
          <w:sz w:val="24"/>
        </w:rPr>
      </w:pPr>
    </w:p>
    <w:p w14:paraId="2932BF6D">
      <w:pPr>
        <w:autoSpaceDE w:val="0"/>
        <w:autoSpaceDN w:val="0"/>
        <w:adjustRightInd w:val="0"/>
        <w:spacing w:line="360" w:lineRule="auto"/>
        <w:ind w:firstLine="504" w:firstLineChars="200"/>
        <w:jc w:val="both"/>
        <w:rPr>
          <w:sz w:val="24"/>
        </w:rPr>
      </w:pPr>
      <w:r>
        <w:rPr>
          <w:color w:val="000000" w:themeColor="text1"/>
          <w:spacing w:val="6"/>
          <w:kern w:val="0"/>
          <w:sz w:val="24"/>
          <w14:textFill>
            <w14:solidFill>
              <w14:schemeClr w14:val="tx1"/>
            </w14:solidFill>
          </w14:textFill>
        </w:rPr>
        <w:t>计算可知，</w:t>
      </w:r>
      <w:r>
        <w:rPr>
          <w:rFonts w:hint="eastAsia"/>
          <w:sz w:val="24"/>
        </w:rPr>
        <w:t>本项目新增污染源正常排放下污染物短期浓度贡献值的最大浓度占标率</w:t>
      </w:r>
      <w:r>
        <w:rPr>
          <w:sz w:val="24"/>
        </w:rPr>
        <w:t>≤100%</w:t>
      </w:r>
      <w:r>
        <w:rPr>
          <w:rFonts w:hint="eastAsia"/>
          <w:sz w:val="24"/>
        </w:rPr>
        <w:t>，污染物年均浓度贡献值的最大浓度占标率</w:t>
      </w:r>
      <w:r>
        <w:rPr>
          <w:sz w:val="24"/>
        </w:rPr>
        <w:t>≤30%</w:t>
      </w:r>
      <w:r>
        <w:rPr>
          <w:rFonts w:hint="eastAsia"/>
          <w:sz w:val="24"/>
        </w:rPr>
        <w:t>，各污染物正常工况下对于评价区域主要敏感点的贡献值较小，区域最大落地浓度均达标，可以满足相关的环境标准。</w:t>
      </w:r>
    </w:p>
    <w:p w14:paraId="039A4ED1">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p>
    <w:p w14:paraId="40A57973">
      <w:pPr>
        <w:pStyle w:val="5"/>
        <w:adjustRightInd w:val="0"/>
        <w:snapToGrid w:val="0"/>
        <w:spacing w:before="0" w:after="0" w:line="360" w:lineRule="auto"/>
        <w:rPr>
          <w:color w:val="000000" w:themeColor="text1"/>
          <w:sz w:val="28"/>
          <w:szCs w:val="28"/>
          <w14:textFill>
            <w14:solidFill>
              <w14:schemeClr w14:val="tx1"/>
            </w14:solidFill>
          </w14:textFill>
        </w:rPr>
      </w:pPr>
      <w:bookmarkStart w:id="699" w:name="_Toc30256"/>
      <w:bookmarkStart w:id="700" w:name="_Toc28868"/>
      <w:bookmarkStart w:id="701" w:name="_Toc230079392"/>
      <w:bookmarkStart w:id="702" w:name="_Toc233380210"/>
      <w:r>
        <w:rPr>
          <w:color w:val="000000" w:themeColor="text1"/>
          <w:sz w:val="28"/>
          <w:szCs w:val="28"/>
          <w14:textFill>
            <w14:solidFill>
              <w14:schemeClr w14:val="tx1"/>
            </w14:solidFill>
          </w14:textFill>
        </w:rPr>
        <w:t>5.2.3大气环境防护距离</w:t>
      </w:r>
      <w:bookmarkEnd w:id="699"/>
      <w:bookmarkEnd w:id="700"/>
      <w:bookmarkEnd w:id="701"/>
      <w:bookmarkEnd w:id="702"/>
    </w:p>
    <w:p w14:paraId="7B2BF7C3">
      <w:pPr>
        <w:wordWrap w:val="0"/>
        <w:adjustRightInd w:val="0"/>
        <w:snapToGrid w:val="0"/>
        <w:spacing w:line="360" w:lineRule="auto"/>
        <w:ind w:firstLine="480" w:firstLineChars="200"/>
        <w:rPr>
          <w:color w:val="000000" w:themeColor="text1"/>
          <w:sz w:val="24"/>
          <w14:textFill>
            <w14:solidFill>
              <w14:schemeClr w14:val="tx1"/>
            </w14:solidFill>
          </w14:textFill>
        </w:rPr>
      </w:pPr>
      <w:bookmarkStart w:id="703" w:name="_Toc18972"/>
      <w:bookmarkStart w:id="704" w:name="_Toc5783"/>
      <w:bookmarkStart w:id="705" w:name="_Toc230079393"/>
      <w:r>
        <w:rPr>
          <w:color w:val="000000" w:themeColor="text1"/>
          <w:sz w:val="24"/>
          <w14:textFill>
            <w14:solidFill>
              <w14:schemeClr w14:val="tx1"/>
            </w14:solidFill>
          </w14:textFill>
        </w:rPr>
        <w:t>根据HJ2.2-2018中8.7.5大气环境防护距离</w:t>
      </w:r>
    </w:p>
    <w:p w14:paraId="60CCDBB0">
      <w:pPr>
        <w:wordWrap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8.7.5.1 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w:t>
      </w:r>
    </w:p>
    <w:p w14:paraId="2E14E5DA">
      <w:pPr>
        <w:wordWrap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8.7.5.2 对于项目厂界浓度超过大气污染物厂界浓度限值的，应要求削减排放源强或调整工程布局，待满足厂界浓度限值后，再核算大气环境防护距离。</w:t>
      </w:r>
    </w:p>
    <w:p w14:paraId="72C299C9">
      <w:pPr>
        <w:wordWrap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8.7.5.3 大气环境防护距离内不应有长期居住的人群。</w:t>
      </w:r>
    </w:p>
    <w:p w14:paraId="2E9299B3">
      <w:pPr>
        <w:wordWrap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本项目为</w:t>
      </w:r>
      <w:r>
        <w:rPr>
          <w:rFonts w:hint="eastAsia"/>
          <w:color w:val="000000" w:themeColor="text1"/>
          <w:sz w:val="24"/>
          <w14:textFill>
            <w14:solidFill>
              <w14:schemeClr w14:val="tx1"/>
            </w14:solidFill>
          </w14:textFill>
        </w:rPr>
        <w:t>一</w:t>
      </w:r>
      <w:r>
        <w:rPr>
          <w:color w:val="000000" w:themeColor="text1"/>
          <w:sz w:val="24"/>
          <w14:textFill>
            <w14:solidFill>
              <w14:schemeClr w14:val="tx1"/>
            </w14:solidFill>
          </w14:textFill>
        </w:rPr>
        <w:t>级评价，项目厂界外大气污染物（NH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、H</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S）短期贡献浓度未超过环境质量浓度限值，故不需设置大气环境防护距离。</w:t>
      </w:r>
    </w:p>
    <w:p w14:paraId="3A23D233">
      <w:pPr>
        <w:pStyle w:val="5"/>
        <w:adjustRightInd w:val="0"/>
        <w:snapToGrid w:val="0"/>
        <w:spacing w:before="0" w:after="0" w:line="360" w:lineRule="auto"/>
        <w:rPr>
          <w:color w:val="000000" w:themeColor="text1"/>
          <w:sz w:val="28"/>
          <w:szCs w:val="28"/>
          <w14:textFill>
            <w14:solidFill>
              <w14:schemeClr w14:val="tx1"/>
            </w14:solidFill>
          </w14:textFill>
        </w:rPr>
      </w:pPr>
      <w:bookmarkStart w:id="706" w:name="_Toc233380211"/>
      <w:r>
        <w:rPr>
          <w:color w:val="000000" w:themeColor="text1"/>
          <w:sz w:val="28"/>
          <w:szCs w:val="28"/>
          <w14:textFill>
            <w14:solidFill>
              <w14:schemeClr w14:val="tx1"/>
            </w14:solidFill>
          </w14:textFill>
        </w:rPr>
        <w:t>5.2.4卫生防护距离</w:t>
      </w:r>
      <w:bookmarkEnd w:id="703"/>
      <w:bookmarkEnd w:id="704"/>
      <w:bookmarkEnd w:id="705"/>
      <w:bookmarkEnd w:id="706"/>
    </w:p>
    <w:p w14:paraId="0B43CFB6">
      <w:pPr>
        <w:autoSpaceDE w:val="0"/>
        <w:autoSpaceDN w:val="0"/>
        <w:adjustRightInd w:val="0"/>
        <w:spacing w:line="360" w:lineRule="auto"/>
        <w:ind w:firstLine="504" w:firstLineChars="200"/>
        <w:jc w:val="both"/>
        <w:rPr>
          <w:color w:val="000000" w:themeColor="text1"/>
          <w:spacing w:val="6"/>
          <w:kern w:val="0"/>
          <w:sz w:val="24"/>
          <w14:textFill>
            <w14:solidFill>
              <w14:schemeClr w14:val="tx1"/>
            </w14:solidFill>
          </w14:textFill>
        </w:rPr>
      </w:pPr>
      <w:r>
        <w:rPr>
          <w:rFonts w:hint="eastAsia"/>
          <w:color w:val="000000" w:themeColor="text1"/>
          <w:spacing w:val="6"/>
          <w:kern w:val="0"/>
          <w:sz w:val="24"/>
          <w14:textFill>
            <w14:solidFill>
              <w14:schemeClr w14:val="tx1"/>
            </w14:solidFill>
          </w14:textFill>
        </w:rPr>
        <w:t>根据《大气有害物质无组织排放卫生防护距离推导技术导则》（GB/T 39499-2020）的适用范围本标准规定了产生大气有害物质无组织排放的建设项目的卫生防护距离计算方法及确定依据。本标准适用于地处平原地区产生大气有害物质无组织排放的各种行业的新建、改建、扩建工程（不包括排放放射性污染物的行业）</w:t>
      </w:r>
      <w:r>
        <w:rPr>
          <w:rFonts w:hint="eastAsia"/>
          <w:color w:val="FF0000"/>
          <w:spacing w:val="6"/>
          <w:kern w:val="0"/>
          <w:sz w:val="24"/>
        </w:rPr>
        <w:t>，复杂地形地区</w:t>
      </w:r>
      <w:r>
        <w:rPr>
          <w:rFonts w:hint="eastAsia"/>
          <w:color w:val="000000" w:themeColor="text1"/>
          <w:spacing w:val="6"/>
          <w:kern w:val="0"/>
          <w:sz w:val="24"/>
          <w14:textFill>
            <w14:solidFill>
              <w14:schemeClr w14:val="tx1"/>
            </w14:solidFill>
          </w14:textFill>
        </w:rPr>
        <w:t>的卫生防护距离推导可参照本标准实施。</w:t>
      </w:r>
    </w:p>
    <w:p w14:paraId="43844325">
      <w:pPr>
        <w:autoSpaceDE w:val="0"/>
        <w:autoSpaceDN w:val="0"/>
        <w:adjustRightInd w:val="0"/>
        <w:spacing w:line="360" w:lineRule="auto"/>
        <w:ind w:firstLine="480" w:firstLineChars="200"/>
        <w:jc w:val="both"/>
        <w:rPr>
          <w:bCs/>
          <w:color w:val="000000" w:themeColor="text1"/>
          <w:kern w:val="0"/>
          <w:sz w:val="24"/>
          <w14:textFill>
            <w14:solidFill>
              <w14:schemeClr w14:val="tx1"/>
            </w14:solidFill>
          </w14:textFill>
        </w:rPr>
      </w:pPr>
      <w:r>
        <w:rPr>
          <w:rFonts w:hint="eastAsia"/>
          <w:bCs/>
          <w:color w:val="FF0000"/>
          <w:kern w:val="0"/>
          <w:sz w:val="24"/>
        </w:rPr>
        <w:t>项目所在区域为复杂地形</w:t>
      </w:r>
      <w:r>
        <w:rPr>
          <w:rFonts w:hint="eastAsia"/>
          <w:bCs/>
          <w:color w:val="000000" w:themeColor="text1"/>
          <w:kern w:val="0"/>
          <w:sz w:val="24"/>
          <w14:textFill>
            <w14:solidFill>
              <w14:schemeClr w14:val="tx1"/>
            </w14:solidFill>
          </w14:textFill>
        </w:rPr>
        <w:t>，参照计算。卫生防护距离初值计算公式：</w:t>
      </w:r>
    </w:p>
    <w:p w14:paraId="4410CDF7">
      <w:pPr>
        <w:autoSpaceDE w:val="0"/>
        <w:autoSpaceDN w:val="0"/>
        <w:adjustRightInd w:val="0"/>
        <w:spacing w:line="360" w:lineRule="auto"/>
        <w:ind w:firstLine="470"/>
        <w:jc w:val="center"/>
        <w:rPr>
          <w:color w:val="000000" w:themeColor="text1"/>
          <w:kern w:val="0"/>
          <w:sz w:val="24"/>
          <w14:textFill>
            <w14:solidFill>
              <w14:schemeClr w14:val="tx1"/>
            </w14:solidFill>
          </w14:textFill>
        </w:rPr>
      </w:pPr>
      <w:r>
        <w:rPr>
          <w:color w:val="000000" w:themeColor="text1"/>
          <w:kern w:val="0"/>
          <w:position w:val="-28"/>
          <w:sz w:val="24"/>
          <w14:textFill>
            <w14:solidFill>
              <w14:schemeClr w14:val="tx1"/>
            </w14:solidFill>
          </w14:textFill>
        </w:rPr>
        <w:drawing>
          <wp:inline distT="0" distB="0" distL="0" distR="0">
            <wp:extent cx="1828800" cy="443865"/>
            <wp:effectExtent l="0" t="0" r="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828800" cy="443865"/>
                    </a:xfrm>
                    <a:prstGeom prst="rect">
                      <a:avLst/>
                    </a:prstGeom>
                    <a:noFill/>
                    <a:ln>
                      <a:noFill/>
                    </a:ln>
                  </pic:spPr>
                </pic:pic>
              </a:graphicData>
            </a:graphic>
          </wp:inline>
        </w:drawing>
      </w:r>
    </w:p>
    <w:p w14:paraId="53BA494E">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color w:val="000000" w:themeColor="text1"/>
          <w:position w:val="-10"/>
          <w:sz w:val="24"/>
          <w14:textFill>
            <w14:solidFill>
              <w14:schemeClr w14:val="tx1"/>
            </w14:solidFill>
          </w14:textFill>
        </w:rPr>
        <w:drawing>
          <wp:inline distT="0" distB="0" distL="0" distR="0">
            <wp:extent cx="216535" cy="200660"/>
            <wp:effectExtent l="0" t="0" r="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216535" cy="200660"/>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ascii="宋体" w:hAnsi="宋体" w:cs="宋体"/>
          <w:color w:val="000000" w:themeColor="text1"/>
          <w:spacing w:val="-1"/>
          <w:sz w:val="24"/>
          <w14:textFill>
            <w14:solidFill>
              <w14:schemeClr w14:val="tx1"/>
            </w14:solidFill>
          </w14:textFill>
        </w:rPr>
        <w:t>大气有害物质环境空气质量的标准限值</w:t>
      </w:r>
      <w:r>
        <w:rPr>
          <w:color w:val="000000" w:themeColor="text1"/>
          <w:sz w:val="24"/>
          <w14:textFill>
            <w14:solidFill>
              <w14:schemeClr w14:val="tx1"/>
            </w14:solidFill>
          </w14:textFill>
        </w:rPr>
        <w:t>，mg/m</w:t>
      </w:r>
      <w:r>
        <w:rPr>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w:t>
      </w:r>
    </w:p>
    <w:p w14:paraId="2C9B279A">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 xml:space="preserve"> </w:t>
      </w:r>
      <w:r>
        <w:rPr>
          <w:color w:val="000000" w:themeColor="text1"/>
          <w:position w:val="-4"/>
          <w:sz w:val="24"/>
          <w14:textFill>
            <w14:solidFill>
              <w14:schemeClr w14:val="tx1"/>
            </w14:solidFill>
          </w14:textFill>
        </w:rPr>
        <w:drawing>
          <wp:inline distT="0" distB="0" distL="0" distR="0">
            <wp:extent cx="153035" cy="153035"/>
            <wp:effectExtent l="0" t="0" r="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53035" cy="153035"/>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ascii="宋体" w:hAnsi="宋体" w:cs="宋体"/>
          <w:color w:val="000000" w:themeColor="text1"/>
          <w:spacing w:val="-1"/>
          <w:sz w:val="24"/>
          <w14:textFill>
            <w14:solidFill>
              <w14:schemeClr w14:val="tx1"/>
            </w14:solidFill>
          </w14:textFill>
        </w:rPr>
        <w:t>大气有害物质</w:t>
      </w:r>
      <w:r>
        <w:rPr>
          <w:color w:val="000000" w:themeColor="text1"/>
          <w:sz w:val="24"/>
          <w14:textFill>
            <w14:solidFill>
              <w14:schemeClr w14:val="tx1"/>
            </w14:solidFill>
          </w14:textFill>
        </w:rPr>
        <w:t>卫生防护距离，m</w:t>
      </w:r>
      <w:r>
        <w:rPr>
          <w:rFonts w:hint="eastAsia"/>
          <w:color w:val="000000" w:themeColor="text1"/>
          <w:sz w:val="24"/>
          <w14:textFill>
            <w14:solidFill>
              <w14:schemeClr w14:val="tx1"/>
            </w14:solidFill>
          </w14:textFill>
        </w:rPr>
        <w:t>；</w:t>
      </w:r>
    </w:p>
    <w:p w14:paraId="574B18DC">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 xml:space="preserve"> </w:t>
      </w:r>
      <w:r>
        <w:rPr>
          <w:color w:val="000000" w:themeColor="text1"/>
          <w:position w:val="-4"/>
          <w:sz w:val="24"/>
          <w14:textFill>
            <w14:solidFill>
              <w14:schemeClr w14:val="tx1"/>
            </w14:solidFill>
          </w14:textFill>
        </w:rPr>
        <w:drawing>
          <wp:inline distT="0" distB="0" distL="0" distR="0">
            <wp:extent cx="144780" cy="150495"/>
            <wp:effectExtent l="0" t="0" r="7620" b="1905"/>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46480" cy="152883"/>
                    </a:xfrm>
                    <a:prstGeom prst="rect">
                      <a:avLst/>
                    </a:prstGeom>
                    <a:noFill/>
                    <a:ln>
                      <a:noFill/>
                    </a:ln>
                  </pic:spPr>
                </pic:pic>
              </a:graphicData>
            </a:graphic>
          </wp:inline>
        </w:drawing>
      </w:r>
      <w:r>
        <w:rPr>
          <w:color w:val="000000" w:themeColor="text1"/>
          <w:sz w:val="24"/>
          <w14:textFill>
            <w14:solidFill>
              <w14:schemeClr w14:val="tx1"/>
            </w14:solidFill>
          </w14:textFill>
        </w:rPr>
        <w:t>-----</w:t>
      </w:r>
      <w:r>
        <w:rPr>
          <w:rFonts w:ascii="宋体" w:hAnsi="宋体" w:cs="宋体"/>
          <w:color w:val="000000" w:themeColor="text1"/>
          <w:sz w:val="24"/>
          <w14:textFill>
            <w14:solidFill>
              <w14:schemeClr w14:val="tx1"/>
            </w14:solidFill>
          </w14:textFill>
        </w:rPr>
        <w:t>大气有害物质无组织排放源所在生产单元的等效半</w:t>
      </w:r>
      <w:r>
        <w:rPr>
          <w:rFonts w:ascii="宋体" w:hAnsi="宋体" w:cs="宋体"/>
          <w:color w:val="000000" w:themeColor="text1"/>
          <w:spacing w:val="-1"/>
          <w:sz w:val="24"/>
          <w14:textFill>
            <w14:solidFill>
              <w14:schemeClr w14:val="tx1"/>
            </w14:solidFill>
          </w14:textFill>
        </w:rPr>
        <w:t>径</w:t>
      </w:r>
      <w:r>
        <w:rPr>
          <w:color w:val="000000" w:themeColor="text1"/>
          <w:sz w:val="24"/>
          <w14:textFill>
            <w14:solidFill>
              <w14:schemeClr w14:val="tx1"/>
            </w14:solidFill>
          </w14:textFill>
        </w:rPr>
        <w:t>，m</w:t>
      </w:r>
      <w:r>
        <w:rPr>
          <w:rFonts w:hint="eastAsia"/>
          <w:color w:val="000000" w:themeColor="text1"/>
          <w:sz w:val="24"/>
          <w14:textFill>
            <w14:solidFill>
              <w14:schemeClr w14:val="tx1"/>
            </w14:solidFill>
          </w14:textFill>
        </w:rPr>
        <w:t>；</w:t>
      </w:r>
    </w:p>
    <w:p w14:paraId="7705888F">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A、B、C、D----</w:t>
      </w:r>
      <w:r>
        <w:rPr>
          <w:rFonts w:ascii="宋体" w:hAnsi="宋体" w:cs="宋体"/>
          <w:color w:val="000000" w:themeColor="text1"/>
          <w:spacing w:val="2"/>
          <w:sz w:val="24"/>
          <w14:textFill>
            <w14:solidFill>
              <w14:schemeClr w14:val="tx1"/>
            </w14:solidFill>
          </w14:textFill>
        </w:rPr>
        <w:t>卫生防护距离初值计算系</w:t>
      </w:r>
      <w:r>
        <w:rPr>
          <w:rFonts w:ascii="宋体" w:hAnsi="宋体" w:cs="宋体"/>
          <w:color w:val="000000" w:themeColor="text1"/>
          <w:spacing w:val="1"/>
          <w:sz w:val="24"/>
          <w14:textFill>
            <w14:solidFill>
              <w14:schemeClr w14:val="tx1"/>
            </w14:solidFill>
          </w14:textFill>
        </w:rPr>
        <w:t>数，无因次，根据工业企</w:t>
      </w:r>
      <w:r>
        <w:rPr>
          <w:rFonts w:ascii="宋体" w:hAnsi="宋体" w:cs="宋体"/>
          <w:color w:val="000000" w:themeColor="text1"/>
          <w:spacing w:val="-1"/>
          <w:sz w:val="24"/>
          <w14:textFill>
            <w14:solidFill>
              <w14:schemeClr w14:val="tx1"/>
            </w14:solidFill>
          </w14:textFill>
        </w:rPr>
        <w:t>业所在地区近</w:t>
      </w:r>
      <w:r>
        <w:rPr>
          <w:rFonts w:eastAsia="Times New Roman"/>
          <w:color w:val="000000" w:themeColor="text1"/>
          <w:spacing w:val="-1"/>
          <w:sz w:val="24"/>
          <w14:textFill>
            <w14:solidFill>
              <w14:schemeClr w14:val="tx1"/>
            </w14:solidFill>
          </w14:textFill>
        </w:rPr>
        <w:t>5</w:t>
      </w:r>
      <w:r>
        <w:rPr>
          <w:rFonts w:ascii="宋体" w:hAnsi="宋体" w:cs="宋体"/>
          <w:color w:val="000000" w:themeColor="text1"/>
          <w:spacing w:val="-1"/>
          <w:sz w:val="24"/>
          <w14:textFill>
            <w14:solidFill>
              <w14:schemeClr w14:val="tx1"/>
            </w14:solidFill>
          </w14:textFill>
        </w:rPr>
        <w:t>年平均风速及大气污染源构成类别从下表查取</w:t>
      </w:r>
      <w:r>
        <w:rPr>
          <w:rFonts w:hint="eastAsia" w:ascii="宋体" w:hAnsi="宋体" w:cs="宋体"/>
          <w:color w:val="000000" w:themeColor="text1"/>
          <w:spacing w:val="-1"/>
          <w:sz w:val="24"/>
          <w14:textFill>
            <w14:solidFill>
              <w14:schemeClr w14:val="tx1"/>
            </w14:solidFill>
          </w14:textFill>
        </w:rPr>
        <w:t>；</w:t>
      </w:r>
    </w:p>
    <w:p w14:paraId="2A54D19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Q</w:t>
      </w:r>
      <w:r>
        <w:rPr>
          <w:color w:val="000000" w:themeColor="text1"/>
          <w:sz w:val="24"/>
          <w:vertAlign w:val="subscript"/>
          <w14:textFill>
            <w14:solidFill>
              <w14:schemeClr w14:val="tx1"/>
            </w14:solidFill>
          </w14:textFill>
        </w:rPr>
        <w:t>c</w:t>
      </w:r>
      <w:r>
        <w:rPr>
          <w:color w:val="000000" w:themeColor="text1"/>
          <w:sz w:val="24"/>
          <w14:textFill>
            <w14:solidFill>
              <w14:schemeClr w14:val="tx1"/>
            </w14:solidFill>
          </w14:textFill>
        </w:rPr>
        <w:t>----</w:t>
      </w:r>
      <w:r>
        <w:rPr>
          <w:rFonts w:ascii="宋体" w:hAnsi="宋体" w:cs="宋体"/>
          <w:color w:val="000000" w:themeColor="text1"/>
          <w:spacing w:val="-3"/>
          <w:sz w:val="24"/>
          <w14:textFill>
            <w14:solidFill>
              <w14:schemeClr w14:val="tx1"/>
            </w14:solidFill>
          </w14:textFill>
        </w:rPr>
        <w:t>大气有害物质的无组织排放量</w:t>
      </w:r>
      <w:r>
        <w:rPr>
          <w:color w:val="000000" w:themeColor="text1"/>
          <w:sz w:val="24"/>
          <w14:textFill>
            <w14:solidFill>
              <w14:schemeClr w14:val="tx1"/>
            </w14:solidFill>
          </w14:textFill>
        </w:rPr>
        <w:t>，kg/h</w:t>
      </w:r>
      <w:r>
        <w:rPr>
          <w:rFonts w:hint="eastAsia"/>
          <w:color w:val="000000" w:themeColor="text1"/>
          <w:sz w:val="24"/>
          <w14:textFill>
            <w14:solidFill>
              <w14:schemeClr w14:val="tx1"/>
            </w14:solidFill>
          </w14:textFill>
        </w:rPr>
        <w:t>。</w:t>
      </w:r>
    </w:p>
    <w:p w14:paraId="12F90FE2">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A、B、C、D取值，见表5.2-1</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w:t>
      </w:r>
    </w:p>
    <w:p w14:paraId="77E300E7">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表5.2-1</w:t>
      </w:r>
      <w:r>
        <w:rPr>
          <w:rFonts w:hint="eastAsia"/>
          <w:snapToGrid w:val="0"/>
          <w:color w:val="000000" w:themeColor="text1"/>
          <w:szCs w:val="21"/>
          <w:lang w:val="en-US"/>
          <w14:textFill>
            <w14:solidFill>
              <w14:schemeClr w14:val="tx1"/>
            </w14:solidFill>
          </w14:textFill>
        </w:rPr>
        <w:t xml:space="preserve">2 </w:t>
      </w:r>
      <w:r>
        <w:rPr>
          <w:snapToGrid w:val="0"/>
          <w:color w:val="000000" w:themeColor="text1"/>
          <w:szCs w:val="21"/>
          <w14:textFill>
            <w14:solidFill>
              <w14:schemeClr w14:val="tx1"/>
            </w14:solidFill>
          </w14:textFill>
        </w:rPr>
        <w:t>卫生防护距离计算系数</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390"/>
        <w:gridCol w:w="531"/>
        <w:gridCol w:w="796"/>
        <w:gridCol w:w="794"/>
        <w:gridCol w:w="794"/>
        <w:gridCol w:w="795"/>
        <w:gridCol w:w="797"/>
        <w:gridCol w:w="797"/>
        <w:gridCol w:w="797"/>
        <w:gridCol w:w="795"/>
      </w:tblGrid>
      <w:tr w14:paraId="6A3563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restart"/>
            <w:tcBorders>
              <w:tl2br w:val="nil"/>
              <w:tr2bl w:val="nil"/>
            </w:tcBorders>
            <w:vAlign w:val="center"/>
          </w:tcPr>
          <w:p w14:paraId="5AA699C6">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计算</w:t>
            </w:r>
          </w:p>
          <w:p w14:paraId="44662482">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系数</w:t>
            </w:r>
          </w:p>
        </w:tc>
        <w:tc>
          <w:tcPr>
            <w:tcW w:w="777" w:type="pct"/>
            <w:vMerge w:val="restart"/>
            <w:tcBorders>
              <w:tl2br w:val="nil"/>
              <w:tr2bl w:val="nil"/>
            </w:tcBorders>
            <w:vAlign w:val="center"/>
          </w:tcPr>
          <w:p w14:paraId="1D93786E">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工业企业所在地区近五年平均风速m/s</w:t>
            </w:r>
          </w:p>
        </w:tc>
        <w:tc>
          <w:tcPr>
            <w:tcW w:w="3806" w:type="pct"/>
            <w:gridSpan w:val="9"/>
            <w:tcBorders>
              <w:tl2br w:val="nil"/>
              <w:tr2bl w:val="nil"/>
            </w:tcBorders>
            <w:vAlign w:val="center"/>
          </w:tcPr>
          <w:p w14:paraId="3D7FC856">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卫生防护距离L</w:t>
            </w:r>
            <w:r>
              <w:rPr>
                <w:rFonts w:hint="eastAsia"/>
                <w:b/>
                <w:color w:val="000000" w:themeColor="text1"/>
                <w:kern w:val="0"/>
                <w:szCs w:val="21"/>
                <w14:textFill>
                  <w14:solidFill>
                    <w14:schemeClr w14:val="tx1"/>
                  </w14:solidFill>
                </w14:textFill>
              </w:rPr>
              <w:t>，</w:t>
            </w:r>
            <w:r>
              <w:rPr>
                <w:b/>
                <w:color w:val="000000" w:themeColor="text1"/>
                <w:kern w:val="0"/>
                <w:szCs w:val="21"/>
                <w14:textFill>
                  <w14:solidFill>
                    <w14:schemeClr w14:val="tx1"/>
                  </w14:solidFill>
                </w14:textFill>
              </w:rPr>
              <w:t>m</w:t>
            </w:r>
          </w:p>
        </w:tc>
      </w:tr>
      <w:tr w14:paraId="00B334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continue"/>
            <w:tcBorders>
              <w:tl2br w:val="nil"/>
              <w:tr2bl w:val="nil"/>
            </w:tcBorders>
            <w:vAlign w:val="center"/>
          </w:tcPr>
          <w:p w14:paraId="1D42CA80">
            <w:pPr>
              <w:jc w:val="center"/>
              <w:rPr>
                <w:b/>
                <w:color w:val="000000" w:themeColor="text1"/>
                <w:kern w:val="0"/>
                <w:szCs w:val="21"/>
                <w14:textFill>
                  <w14:solidFill>
                    <w14:schemeClr w14:val="tx1"/>
                  </w14:solidFill>
                </w14:textFill>
              </w:rPr>
            </w:pPr>
          </w:p>
        </w:tc>
        <w:tc>
          <w:tcPr>
            <w:tcW w:w="777" w:type="pct"/>
            <w:vMerge w:val="continue"/>
            <w:tcBorders>
              <w:tl2br w:val="nil"/>
              <w:tr2bl w:val="nil"/>
            </w:tcBorders>
            <w:vAlign w:val="center"/>
          </w:tcPr>
          <w:p w14:paraId="265F6339">
            <w:pPr>
              <w:jc w:val="center"/>
              <w:rPr>
                <w:b/>
                <w:color w:val="000000" w:themeColor="text1"/>
                <w:kern w:val="0"/>
                <w:szCs w:val="21"/>
                <w14:textFill>
                  <w14:solidFill>
                    <w14:schemeClr w14:val="tx1"/>
                  </w14:solidFill>
                </w14:textFill>
              </w:rPr>
            </w:pPr>
          </w:p>
        </w:tc>
        <w:tc>
          <w:tcPr>
            <w:tcW w:w="1121" w:type="pct"/>
            <w:gridSpan w:val="3"/>
            <w:tcBorders>
              <w:tl2br w:val="nil"/>
              <w:tr2bl w:val="nil"/>
            </w:tcBorders>
            <w:vAlign w:val="center"/>
          </w:tcPr>
          <w:p w14:paraId="346E4990">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L≤1000</w:t>
            </w:r>
          </w:p>
        </w:tc>
        <w:tc>
          <w:tcPr>
            <w:tcW w:w="1342" w:type="pct"/>
            <w:gridSpan w:val="3"/>
            <w:tcBorders>
              <w:tl2br w:val="nil"/>
              <w:tr2bl w:val="nil"/>
            </w:tcBorders>
            <w:vAlign w:val="center"/>
          </w:tcPr>
          <w:p w14:paraId="0608FA93">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1000&lt;L≤2000</w:t>
            </w:r>
          </w:p>
        </w:tc>
        <w:tc>
          <w:tcPr>
            <w:tcW w:w="1343" w:type="pct"/>
            <w:gridSpan w:val="3"/>
            <w:tcBorders>
              <w:tl2br w:val="nil"/>
              <w:tr2bl w:val="nil"/>
            </w:tcBorders>
            <w:vAlign w:val="center"/>
          </w:tcPr>
          <w:p w14:paraId="2181840A">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L&gt;2000</w:t>
            </w:r>
          </w:p>
        </w:tc>
      </w:tr>
      <w:tr w14:paraId="0A4672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0" w:hRule="atLeast"/>
          <w:jc w:val="center"/>
        </w:trPr>
        <w:tc>
          <w:tcPr>
            <w:tcW w:w="417" w:type="pct"/>
            <w:vMerge w:val="continue"/>
            <w:tcBorders>
              <w:tl2br w:val="nil"/>
              <w:tr2bl w:val="nil"/>
            </w:tcBorders>
            <w:vAlign w:val="center"/>
          </w:tcPr>
          <w:p w14:paraId="75F8776F">
            <w:pPr>
              <w:jc w:val="center"/>
              <w:rPr>
                <w:b/>
                <w:color w:val="000000" w:themeColor="text1"/>
                <w:kern w:val="0"/>
                <w:szCs w:val="21"/>
                <w14:textFill>
                  <w14:solidFill>
                    <w14:schemeClr w14:val="tx1"/>
                  </w14:solidFill>
                </w14:textFill>
              </w:rPr>
            </w:pPr>
          </w:p>
        </w:tc>
        <w:tc>
          <w:tcPr>
            <w:tcW w:w="777" w:type="pct"/>
            <w:vMerge w:val="continue"/>
            <w:tcBorders>
              <w:tl2br w:val="nil"/>
              <w:tr2bl w:val="nil"/>
            </w:tcBorders>
            <w:vAlign w:val="center"/>
          </w:tcPr>
          <w:p w14:paraId="580ACC11">
            <w:pPr>
              <w:jc w:val="center"/>
              <w:rPr>
                <w:b/>
                <w:color w:val="000000" w:themeColor="text1"/>
                <w:kern w:val="0"/>
                <w:szCs w:val="21"/>
                <w14:textFill>
                  <w14:solidFill>
                    <w14:schemeClr w14:val="tx1"/>
                  </w14:solidFill>
                </w14:textFill>
              </w:rPr>
            </w:pPr>
          </w:p>
        </w:tc>
        <w:tc>
          <w:tcPr>
            <w:tcW w:w="3806" w:type="pct"/>
            <w:gridSpan w:val="9"/>
            <w:tcBorders>
              <w:tl2br w:val="nil"/>
              <w:tr2bl w:val="nil"/>
            </w:tcBorders>
            <w:vAlign w:val="center"/>
          </w:tcPr>
          <w:p w14:paraId="31439F63">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工业企业大气污染源构成类别</w:t>
            </w:r>
          </w:p>
        </w:tc>
      </w:tr>
      <w:tr w14:paraId="7533BE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continue"/>
            <w:tcBorders>
              <w:tl2br w:val="nil"/>
              <w:tr2bl w:val="nil"/>
            </w:tcBorders>
            <w:vAlign w:val="center"/>
          </w:tcPr>
          <w:p w14:paraId="4BA0BB27">
            <w:pPr>
              <w:jc w:val="center"/>
              <w:rPr>
                <w:b/>
                <w:color w:val="000000" w:themeColor="text1"/>
                <w:kern w:val="0"/>
                <w:szCs w:val="21"/>
                <w14:textFill>
                  <w14:solidFill>
                    <w14:schemeClr w14:val="tx1"/>
                  </w14:solidFill>
                </w14:textFill>
              </w:rPr>
            </w:pPr>
          </w:p>
        </w:tc>
        <w:tc>
          <w:tcPr>
            <w:tcW w:w="777" w:type="pct"/>
            <w:vMerge w:val="continue"/>
            <w:tcBorders>
              <w:tl2br w:val="nil"/>
              <w:tr2bl w:val="nil"/>
            </w:tcBorders>
            <w:vAlign w:val="center"/>
          </w:tcPr>
          <w:p w14:paraId="7038B529">
            <w:pPr>
              <w:jc w:val="center"/>
              <w:rPr>
                <w:b/>
                <w:color w:val="000000" w:themeColor="text1"/>
                <w:kern w:val="0"/>
                <w:szCs w:val="21"/>
                <w14:textFill>
                  <w14:solidFill>
                    <w14:schemeClr w14:val="tx1"/>
                  </w14:solidFill>
                </w14:textFill>
              </w:rPr>
            </w:pPr>
          </w:p>
        </w:tc>
        <w:tc>
          <w:tcPr>
            <w:tcW w:w="226" w:type="pct"/>
            <w:tcBorders>
              <w:tl2br w:val="nil"/>
              <w:tr2bl w:val="nil"/>
            </w:tcBorders>
            <w:vAlign w:val="center"/>
          </w:tcPr>
          <w:p w14:paraId="4A8AD89C">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fldChar w:fldCharType="begin"/>
            </w:r>
            <w:r>
              <w:rPr>
                <w:b/>
                <w:color w:val="000000" w:themeColor="text1"/>
                <w:kern w:val="0"/>
                <w:szCs w:val="21"/>
                <w14:textFill>
                  <w14:solidFill>
                    <w14:schemeClr w14:val="tx1"/>
                  </w14:solidFill>
                </w14:textFill>
              </w:rPr>
              <w:instrText xml:space="preserve"> = 1 \* ROMAN </w:instrText>
            </w:r>
            <w:r>
              <w:rPr>
                <w:b/>
                <w:color w:val="000000" w:themeColor="text1"/>
                <w:kern w:val="0"/>
                <w:szCs w:val="21"/>
                <w14:textFill>
                  <w14:solidFill>
                    <w14:schemeClr w14:val="tx1"/>
                  </w14:solidFill>
                </w14:textFill>
              </w:rPr>
              <w:fldChar w:fldCharType="separate"/>
            </w:r>
            <w:r>
              <w:rPr>
                <w:b/>
                <w:color w:val="000000" w:themeColor="text1"/>
                <w:kern w:val="0"/>
                <w:szCs w:val="21"/>
                <w14:textFill>
                  <w14:solidFill>
                    <w14:schemeClr w14:val="tx1"/>
                  </w14:solidFill>
                </w14:textFill>
              </w:rPr>
              <w:t>I</w:t>
            </w:r>
            <w:r>
              <w:rPr>
                <w:b/>
                <w:color w:val="000000" w:themeColor="text1"/>
                <w:kern w:val="0"/>
                <w:szCs w:val="21"/>
                <w14:textFill>
                  <w14:solidFill>
                    <w14:schemeClr w14:val="tx1"/>
                  </w14:solidFill>
                </w14:textFill>
              </w:rPr>
              <w:fldChar w:fldCharType="end"/>
            </w:r>
          </w:p>
        </w:tc>
        <w:tc>
          <w:tcPr>
            <w:tcW w:w="448" w:type="pct"/>
            <w:tcBorders>
              <w:tl2br w:val="nil"/>
              <w:tr2bl w:val="nil"/>
            </w:tcBorders>
            <w:vAlign w:val="center"/>
          </w:tcPr>
          <w:p w14:paraId="4BA4B61B">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fldChar w:fldCharType="begin"/>
            </w:r>
            <w:r>
              <w:rPr>
                <w:b/>
                <w:color w:val="000000" w:themeColor="text1"/>
                <w:kern w:val="0"/>
                <w:szCs w:val="21"/>
                <w14:textFill>
                  <w14:solidFill>
                    <w14:schemeClr w14:val="tx1"/>
                  </w14:solidFill>
                </w14:textFill>
              </w:rPr>
              <w:instrText xml:space="preserve"> = 2 \* ROMAN </w:instrText>
            </w:r>
            <w:r>
              <w:rPr>
                <w:b/>
                <w:color w:val="000000" w:themeColor="text1"/>
                <w:kern w:val="0"/>
                <w:szCs w:val="21"/>
                <w14:textFill>
                  <w14:solidFill>
                    <w14:schemeClr w14:val="tx1"/>
                  </w14:solidFill>
                </w14:textFill>
              </w:rPr>
              <w:fldChar w:fldCharType="separate"/>
            </w:r>
            <w:r>
              <w:rPr>
                <w:b/>
                <w:color w:val="000000" w:themeColor="text1"/>
                <w:kern w:val="0"/>
                <w:szCs w:val="21"/>
                <w14:textFill>
                  <w14:solidFill>
                    <w14:schemeClr w14:val="tx1"/>
                  </w14:solidFill>
                </w14:textFill>
              </w:rPr>
              <w:t>II</w:t>
            </w:r>
            <w:r>
              <w:rPr>
                <w:b/>
                <w:color w:val="000000" w:themeColor="text1"/>
                <w:kern w:val="0"/>
                <w:szCs w:val="21"/>
                <w14:textFill>
                  <w14:solidFill>
                    <w14:schemeClr w14:val="tx1"/>
                  </w14:solidFill>
                </w14:textFill>
              </w:rPr>
              <w:fldChar w:fldCharType="end"/>
            </w:r>
          </w:p>
        </w:tc>
        <w:tc>
          <w:tcPr>
            <w:tcW w:w="447" w:type="pct"/>
            <w:tcBorders>
              <w:tl2br w:val="nil"/>
              <w:tr2bl w:val="nil"/>
            </w:tcBorders>
            <w:vAlign w:val="center"/>
          </w:tcPr>
          <w:p w14:paraId="08EB170F">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fldChar w:fldCharType="begin"/>
            </w:r>
            <w:r>
              <w:rPr>
                <w:b/>
                <w:color w:val="000000" w:themeColor="text1"/>
                <w:kern w:val="0"/>
                <w:szCs w:val="21"/>
                <w14:textFill>
                  <w14:solidFill>
                    <w14:schemeClr w14:val="tx1"/>
                  </w14:solidFill>
                </w14:textFill>
              </w:rPr>
              <w:instrText xml:space="preserve"> = 3 \* ROMAN </w:instrText>
            </w:r>
            <w:r>
              <w:rPr>
                <w:b/>
                <w:color w:val="000000" w:themeColor="text1"/>
                <w:kern w:val="0"/>
                <w:szCs w:val="21"/>
                <w14:textFill>
                  <w14:solidFill>
                    <w14:schemeClr w14:val="tx1"/>
                  </w14:solidFill>
                </w14:textFill>
              </w:rPr>
              <w:fldChar w:fldCharType="separate"/>
            </w:r>
            <w:r>
              <w:rPr>
                <w:b/>
                <w:color w:val="000000" w:themeColor="text1"/>
                <w:kern w:val="0"/>
                <w:szCs w:val="21"/>
                <w14:textFill>
                  <w14:solidFill>
                    <w14:schemeClr w14:val="tx1"/>
                  </w14:solidFill>
                </w14:textFill>
              </w:rPr>
              <w:t>III</w:t>
            </w:r>
            <w:r>
              <w:rPr>
                <w:b/>
                <w:color w:val="000000" w:themeColor="text1"/>
                <w:kern w:val="0"/>
                <w:szCs w:val="21"/>
                <w14:textFill>
                  <w14:solidFill>
                    <w14:schemeClr w14:val="tx1"/>
                  </w14:solidFill>
                </w14:textFill>
              </w:rPr>
              <w:fldChar w:fldCharType="end"/>
            </w:r>
          </w:p>
        </w:tc>
        <w:tc>
          <w:tcPr>
            <w:tcW w:w="447" w:type="pct"/>
            <w:tcBorders>
              <w:tl2br w:val="nil"/>
              <w:tr2bl w:val="nil"/>
            </w:tcBorders>
            <w:vAlign w:val="center"/>
          </w:tcPr>
          <w:p w14:paraId="3DE0477B">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fldChar w:fldCharType="begin"/>
            </w:r>
            <w:r>
              <w:rPr>
                <w:b/>
                <w:color w:val="000000" w:themeColor="text1"/>
                <w:kern w:val="0"/>
                <w:szCs w:val="21"/>
                <w14:textFill>
                  <w14:solidFill>
                    <w14:schemeClr w14:val="tx1"/>
                  </w14:solidFill>
                </w14:textFill>
              </w:rPr>
              <w:instrText xml:space="preserve"> = 1 \* ROMAN </w:instrText>
            </w:r>
            <w:r>
              <w:rPr>
                <w:b/>
                <w:color w:val="000000" w:themeColor="text1"/>
                <w:kern w:val="0"/>
                <w:szCs w:val="21"/>
                <w14:textFill>
                  <w14:solidFill>
                    <w14:schemeClr w14:val="tx1"/>
                  </w14:solidFill>
                </w14:textFill>
              </w:rPr>
              <w:fldChar w:fldCharType="separate"/>
            </w:r>
            <w:r>
              <w:rPr>
                <w:b/>
                <w:color w:val="000000" w:themeColor="text1"/>
                <w:kern w:val="0"/>
                <w:szCs w:val="21"/>
                <w14:textFill>
                  <w14:solidFill>
                    <w14:schemeClr w14:val="tx1"/>
                  </w14:solidFill>
                </w14:textFill>
              </w:rPr>
              <w:t>I</w:t>
            </w:r>
            <w:r>
              <w:rPr>
                <w:b/>
                <w:color w:val="000000" w:themeColor="text1"/>
                <w:kern w:val="0"/>
                <w:szCs w:val="21"/>
                <w14:textFill>
                  <w14:solidFill>
                    <w14:schemeClr w14:val="tx1"/>
                  </w14:solidFill>
                </w14:textFill>
              </w:rPr>
              <w:fldChar w:fldCharType="end"/>
            </w:r>
          </w:p>
        </w:tc>
        <w:tc>
          <w:tcPr>
            <w:tcW w:w="447" w:type="pct"/>
            <w:tcBorders>
              <w:tl2br w:val="nil"/>
              <w:tr2bl w:val="nil"/>
            </w:tcBorders>
            <w:vAlign w:val="center"/>
          </w:tcPr>
          <w:p w14:paraId="602319E4">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fldChar w:fldCharType="begin"/>
            </w:r>
            <w:r>
              <w:rPr>
                <w:b/>
                <w:color w:val="000000" w:themeColor="text1"/>
                <w:kern w:val="0"/>
                <w:szCs w:val="21"/>
                <w14:textFill>
                  <w14:solidFill>
                    <w14:schemeClr w14:val="tx1"/>
                  </w14:solidFill>
                </w14:textFill>
              </w:rPr>
              <w:instrText xml:space="preserve"> = 2 \* ROMAN </w:instrText>
            </w:r>
            <w:r>
              <w:rPr>
                <w:b/>
                <w:color w:val="000000" w:themeColor="text1"/>
                <w:kern w:val="0"/>
                <w:szCs w:val="21"/>
                <w14:textFill>
                  <w14:solidFill>
                    <w14:schemeClr w14:val="tx1"/>
                  </w14:solidFill>
                </w14:textFill>
              </w:rPr>
              <w:fldChar w:fldCharType="separate"/>
            </w:r>
            <w:r>
              <w:rPr>
                <w:b/>
                <w:color w:val="000000" w:themeColor="text1"/>
                <w:kern w:val="0"/>
                <w:szCs w:val="21"/>
                <w14:textFill>
                  <w14:solidFill>
                    <w14:schemeClr w14:val="tx1"/>
                  </w14:solidFill>
                </w14:textFill>
              </w:rPr>
              <w:t>II</w:t>
            </w:r>
            <w:r>
              <w:rPr>
                <w:b/>
                <w:color w:val="000000" w:themeColor="text1"/>
                <w:kern w:val="0"/>
                <w:szCs w:val="21"/>
                <w14:textFill>
                  <w14:solidFill>
                    <w14:schemeClr w14:val="tx1"/>
                  </w14:solidFill>
                </w14:textFill>
              </w:rPr>
              <w:fldChar w:fldCharType="end"/>
            </w:r>
          </w:p>
        </w:tc>
        <w:tc>
          <w:tcPr>
            <w:tcW w:w="448" w:type="pct"/>
            <w:tcBorders>
              <w:tl2br w:val="nil"/>
              <w:tr2bl w:val="nil"/>
            </w:tcBorders>
            <w:vAlign w:val="center"/>
          </w:tcPr>
          <w:p w14:paraId="3DA5225C">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fldChar w:fldCharType="begin"/>
            </w:r>
            <w:r>
              <w:rPr>
                <w:b/>
                <w:color w:val="000000" w:themeColor="text1"/>
                <w:kern w:val="0"/>
                <w:szCs w:val="21"/>
                <w14:textFill>
                  <w14:solidFill>
                    <w14:schemeClr w14:val="tx1"/>
                  </w14:solidFill>
                </w14:textFill>
              </w:rPr>
              <w:instrText xml:space="preserve"> = 3 \* ROMAN </w:instrText>
            </w:r>
            <w:r>
              <w:rPr>
                <w:b/>
                <w:color w:val="000000" w:themeColor="text1"/>
                <w:kern w:val="0"/>
                <w:szCs w:val="21"/>
                <w14:textFill>
                  <w14:solidFill>
                    <w14:schemeClr w14:val="tx1"/>
                  </w14:solidFill>
                </w14:textFill>
              </w:rPr>
              <w:fldChar w:fldCharType="separate"/>
            </w:r>
            <w:r>
              <w:rPr>
                <w:b/>
                <w:color w:val="000000" w:themeColor="text1"/>
                <w:kern w:val="0"/>
                <w:szCs w:val="21"/>
                <w14:textFill>
                  <w14:solidFill>
                    <w14:schemeClr w14:val="tx1"/>
                  </w14:solidFill>
                </w14:textFill>
              </w:rPr>
              <w:t>III</w:t>
            </w:r>
            <w:r>
              <w:rPr>
                <w:b/>
                <w:color w:val="000000" w:themeColor="text1"/>
                <w:kern w:val="0"/>
                <w:szCs w:val="21"/>
                <w14:textFill>
                  <w14:solidFill>
                    <w14:schemeClr w14:val="tx1"/>
                  </w14:solidFill>
                </w14:textFill>
              </w:rPr>
              <w:fldChar w:fldCharType="end"/>
            </w:r>
          </w:p>
        </w:tc>
        <w:tc>
          <w:tcPr>
            <w:tcW w:w="448" w:type="pct"/>
            <w:tcBorders>
              <w:tl2br w:val="nil"/>
              <w:tr2bl w:val="nil"/>
            </w:tcBorders>
            <w:vAlign w:val="center"/>
          </w:tcPr>
          <w:p w14:paraId="0323F7CC">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fldChar w:fldCharType="begin"/>
            </w:r>
            <w:r>
              <w:rPr>
                <w:b/>
                <w:color w:val="000000" w:themeColor="text1"/>
                <w:kern w:val="0"/>
                <w:szCs w:val="21"/>
                <w14:textFill>
                  <w14:solidFill>
                    <w14:schemeClr w14:val="tx1"/>
                  </w14:solidFill>
                </w14:textFill>
              </w:rPr>
              <w:instrText xml:space="preserve"> = 1 \* ROMAN </w:instrText>
            </w:r>
            <w:r>
              <w:rPr>
                <w:b/>
                <w:color w:val="000000" w:themeColor="text1"/>
                <w:kern w:val="0"/>
                <w:szCs w:val="21"/>
                <w14:textFill>
                  <w14:solidFill>
                    <w14:schemeClr w14:val="tx1"/>
                  </w14:solidFill>
                </w14:textFill>
              </w:rPr>
              <w:fldChar w:fldCharType="separate"/>
            </w:r>
            <w:r>
              <w:rPr>
                <w:b/>
                <w:color w:val="000000" w:themeColor="text1"/>
                <w:kern w:val="0"/>
                <w:szCs w:val="21"/>
                <w14:textFill>
                  <w14:solidFill>
                    <w14:schemeClr w14:val="tx1"/>
                  </w14:solidFill>
                </w14:textFill>
              </w:rPr>
              <w:t>I</w:t>
            </w:r>
            <w:r>
              <w:rPr>
                <w:b/>
                <w:color w:val="000000" w:themeColor="text1"/>
                <w:kern w:val="0"/>
                <w:szCs w:val="21"/>
                <w14:textFill>
                  <w14:solidFill>
                    <w14:schemeClr w14:val="tx1"/>
                  </w14:solidFill>
                </w14:textFill>
              </w:rPr>
              <w:fldChar w:fldCharType="end"/>
            </w:r>
          </w:p>
        </w:tc>
        <w:tc>
          <w:tcPr>
            <w:tcW w:w="448" w:type="pct"/>
            <w:tcBorders>
              <w:tl2br w:val="nil"/>
              <w:tr2bl w:val="nil"/>
            </w:tcBorders>
            <w:vAlign w:val="center"/>
          </w:tcPr>
          <w:p w14:paraId="15E5EE75">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fldChar w:fldCharType="begin"/>
            </w:r>
            <w:r>
              <w:rPr>
                <w:b/>
                <w:color w:val="000000" w:themeColor="text1"/>
                <w:kern w:val="0"/>
                <w:szCs w:val="21"/>
                <w14:textFill>
                  <w14:solidFill>
                    <w14:schemeClr w14:val="tx1"/>
                  </w14:solidFill>
                </w14:textFill>
              </w:rPr>
              <w:instrText xml:space="preserve"> = 2 \* ROMAN </w:instrText>
            </w:r>
            <w:r>
              <w:rPr>
                <w:b/>
                <w:color w:val="000000" w:themeColor="text1"/>
                <w:kern w:val="0"/>
                <w:szCs w:val="21"/>
                <w14:textFill>
                  <w14:solidFill>
                    <w14:schemeClr w14:val="tx1"/>
                  </w14:solidFill>
                </w14:textFill>
              </w:rPr>
              <w:fldChar w:fldCharType="separate"/>
            </w:r>
            <w:r>
              <w:rPr>
                <w:b/>
                <w:color w:val="000000" w:themeColor="text1"/>
                <w:kern w:val="0"/>
                <w:szCs w:val="21"/>
                <w14:textFill>
                  <w14:solidFill>
                    <w14:schemeClr w14:val="tx1"/>
                  </w14:solidFill>
                </w14:textFill>
              </w:rPr>
              <w:t>II</w:t>
            </w:r>
            <w:r>
              <w:rPr>
                <w:b/>
                <w:color w:val="000000" w:themeColor="text1"/>
                <w:kern w:val="0"/>
                <w:szCs w:val="21"/>
                <w14:textFill>
                  <w14:solidFill>
                    <w14:schemeClr w14:val="tx1"/>
                  </w14:solidFill>
                </w14:textFill>
              </w:rPr>
              <w:fldChar w:fldCharType="end"/>
            </w:r>
          </w:p>
        </w:tc>
        <w:tc>
          <w:tcPr>
            <w:tcW w:w="447" w:type="pct"/>
            <w:tcBorders>
              <w:tl2br w:val="nil"/>
              <w:tr2bl w:val="nil"/>
            </w:tcBorders>
            <w:vAlign w:val="center"/>
          </w:tcPr>
          <w:p w14:paraId="30F9AB77">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fldChar w:fldCharType="begin"/>
            </w:r>
            <w:r>
              <w:rPr>
                <w:b/>
                <w:color w:val="000000" w:themeColor="text1"/>
                <w:kern w:val="0"/>
                <w:szCs w:val="21"/>
                <w14:textFill>
                  <w14:solidFill>
                    <w14:schemeClr w14:val="tx1"/>
                  </w14:solidFill>
                </w14:textFill>
              </w:rPr>
              <w:instrText xml:space="preserve"> = 3 \* ROMAN </w:instrText>
            </w:r>
            <w:r>
              <w:rPr>
                <w:b/>
                <w:color w:val="000000" w:themeColor="text1"/>
                <w:kern w:val="0"/>
                <w:szCs w:val="21"/>
                <w14:textFill>
                  <w14:solidFill>
                    <w14:schemeClr w14:val="tx1"/>
                  </w14:solidFill>
                </w14:textFill>
              </w:rPr>
              <w:fldChar w:fldCharType="separate"/>
            </w:r>
            <w:r>
              <w:rPr>
                <w:b/>
                <w:color w:val="000000" w:themeColor="text1"/>
                <w:kern w:val="0"/>
                <w:szCs w:val="21"/>
                <w14:textFill>
                  <w14:solidFill>
                    <w14:schemeClr w14:val="tx1"/>
                  </w14:solidFill>
                </w14:textFill>
              </w:rPr>
              <w:t>III</w:t>
            </w:r>
            <w:r>
              <w:rPr>
                <w:b/>
                <w:color w:val="000000" w:themeColor="text1"/>
                <w:kern w:val="0"/>
                <w:szCs w:val="21"/>
                <w14:textFill>
                  <w14:solidFill>
                    <w14:schemeClr w14:val="tx1"/>
                  </w14:solidFill>
                </w14:textFill>
              </w:rPr>
              <w:fldChar w:fldCharType="end"/>
            </w:r>
          </w:p>
        </w:tc>
      </w:tr>
      <w:tr w14:paraId="28B83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restart"/>
            <w:tcBorders>
              <w:tl2br w:val="nil"/>
              <w:tr2bl w:val="nil"/>
            </w:tcBorders>
            <w:vAlign w:val="center"/>
          </w:tcPr>
          <w:p w14:paraId="5D1115C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A</w:t>
            </w:r>
          </w:p>
        </w:tc>
        <w:tc>
          <w:tcPr>
            <w:tcW w:w="777" w:type="pct"/>
            <w:tcBorders>
              <w:tl2br w:val="nil"/>
              <w:tr2bl w:val="nil"/>
            </w:tcBorders>
            <w:vAlign w:val="center"/>
          </w:tcPr>
          <w:p w14:paraId="737C885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&lt;2</w:t>
            </w:r>
          </w:p>
        </w:tc>
        <w:tc>
          <w:tcPr>
            <w:tcW w:w="226" w:type="pct"/>
            <w:tcBorders>
              <w:tl2br w:val="nil"/>
              <w:tr2bl w:val="nil"/>
            </w:tcBorders>
            <w:vAlign w:val="center"/>
          </w:tcPr>
          <w:p w14:paraId="0B8876A3">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400</w:t>
            </w:r>
          </w:p>
        </w:tc>
        <w:tc>
          <w:tcPr>
            <w:tcW w:w="448" w:type="pct"/>
            <w:tcBorders>
              <w:tl2br w:val="nil"/>
              <w:tr2bl w:val="nil"/>
            </w:tcBorders>
            <w:vAlign w:val="center"/>
          </w:tcPr>
          <w:p w14:paraId="0D3C01B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400</w:t>
            </w:r>
          </w:p>
        </w:tc>
        <w:tc>
          <w:tcPr>
            <w:tcW w:w="447" w:type="pct"/>
            <w:tcBorders>
              <w:tl2br w:val="nil"/>
              <w:tr2bl w:val="nil"/>
            </w:tcBorders>
            <w:vAlign w:val="center"/>
          </w:tcPr>
          <w:p w14:paraId="521998CC">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400</w:t>
            </w:r>
          </w:p>
        </w:tc>
        <w:tc>
          <w:tcPr>
            <w:tcW w:w="447" w:type="pct"/>
            <w:tcBorders>
              <w:tl2br w:val="nil"/>
              <w:tr2bl w:val="nil"/>
            </w:tcBorders>
            <w:vAlign w:val="center"/>
          </w:tcPr>
          <w:p w14:paraId="3B07BE7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400</w:t>
            </w:r>
          </w:p>
        </w:tc>
        <w:tc>
          <w:tcPr>
            <w:tcW w:w="447" w:type="pct"/>
            <w:tcBorders>
              <w:tl2br w:val="nil"/>
              <w:tr2bl w:val="nil"/>
            </w:tcBorders>
            <w:vAlign w:val="center"/>
          </w:tcPr>
          <w:p w14:paraId="3323052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400</w:t>
            </w:r>
          </w:p>
        </w:tc>
        <w:tc>
          <w:tcPr>
            <w:tcW w:w="448" w:type="pct"/>
            <w:tcBorders>
              <w:tl2br w:val="nil"/>
              <w:tr2bl w:val="nil"/>
            </w:tcBorders>
            <w:vAlign w:val="center"/>
          </w:tcPr>
          <w:p w14:paraId="618A1AF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400</w:t>
            </w:r>
          </w:p>
        </w:tc>
        <w:tc>
          <w:tcPr>
            <w:tcW w:w="448" w:type="pct"/>
            <w:tcBorders>
              <w:tl2br w:val="nil"/>
              <w:tr2bl w:val="nil"/>
            </w:tcBorders>
            <w:vAlign w:val="center"/>
          </w:tcPr>
          <w:p w14:paraId="0A392F2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80</w:t>
            </w:r>
          </w:p>
        </w:tc>
        <w:tc>
          <w:tcPr>
            <w:tcW w:w="448" w:type="pct"/>
            <w:tcBorders>
              <w:tl2br w:val="nil"/>
              <w:tr2bl w:val="nil"/>
            </w:tcBorders>
            <w:vAlign w:val="center"/>
          </w:tcPr>
          <w:p w14:paraId="4ED1BDB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80</w:t>
            </w:r>
          </w:p>
        </w:tc>
        <w:tc>
          <w:tcPr>
            <w:tcW w:w="447" w:type="pct"/>
            <w:tcBorders>
              <w:tl2br w:val="nil"/>
              <w:tr2bl w:val="nil"/>
            </w:tcBorders>
            <w:vAlign w:val="center"/>
          </w:tcPr>
          <w:p w14:paraId="5F67B5D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80</w:t>
            </w:r>
          </w:p>
        </w:tc>
      </w:tr>
      <w:tr w14:paraId="0B0F1E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continue"/>
            <w:tcBorders>
              <w:tl2br w:val="nil"/>
              <w:tr2bl w:val="nil"/>
            </w:tcBorders>
            <w:vAlign w:val="center"/>
          </w:tcPr>
          <w:p w14:paraId="3D55BC1E">
            <w:pPr>
              <w:jc w:val="center"/>
              <w:rPr>
                <w:color w:val="000000" w:themeColor="text1"/>
                <w:kern w:val="0"/>
                <w:szCs w:val="21"/>
                <w14:textFill>
                  <w14:solidFill>
                    <w14:schemeClr w14:val="tx1"/>
                  </w14:solidFill>
                </w14:textFill>
              </w:rPr>
            </w:pPr>
          </w:p>
        </w:tc>
        <w:tc>
          <w:tcPr>
            <w:tcW w:w="777" w:type="pct"/>
            <w:tcBorders>
              <w:tl2br w:val="nil"/>
              <w:tr2bl w:val="nil"/>
            </w:tcBorders>
            <w:vAlign w:val="center"/>
          </w:tcPr>
          <w:p w14:paraId="1D1EACA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4</w:t>
            </w:r>
          </w:p>
        </w:tc>
        <w:tc>
          <w:tcPr>
            <w:tcW w:w="226" w:type="pct"/>
            <w:tcBorders>
              <w:tl2br w:val="nil"/>
              <w:tr2bl w:val="nil"/>
            </w:tcBorders>
            <w:vAlign w:val="center"/>
          </w:tcPr>
          <w:p w14:paraId="3CD36AA0">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700</w:t>
            </w:r>
          </w:p>
        </w:tc>
        <w:tc>
          <w:tcPr>
            <w:tcW w:w="448" w:type="pct"/>
            <w:tcBorders>
              <w:tl2br w:val="nil"/>
              <w:tr2bl w:val="nil"/>
            </w:tcBorders>
            <w:vAlign w:val="center"/>
          </w:tcPr>
          <w:p w14:paraId="15AE46A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470</w:t>
            </w:r>
          </w:p>
        </w:tc>
        <w:tc>
          <w:tcPr>
            <w:tcW w:w="447" w:type="pct"/>
            <w:tcBorders>
              <w:tl2br w:val="nil"/>
              <w:tr2bl w:val="nil"/>
            </w:tcBorders>
            <w:vAlign w:val="center"/>
          </w:tcPr>
          <w:p w14:paraId="59DA50C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350</w:t>
            </w:r>
          </w:p>
        </w:tc>
        <w:tc>
          <w:tcPr>
            <w:tcW w:w="447" w:type="pct"/>
            <w:tcBorders>
              <w:tl2br w:val="nil"/>
              <w:tr2bl w:val="nil"/>
            </w:tcBorders>
            <w:vAlign w:val="center"/>
          </w:tcPr>
          <w:p w14:paraId="275A051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700</w:t>
            </w:r>
          </w:p>
        </w:tc>
        <w:tc>
          <w:tcPr>
            <w:tcW w:w="447" w:type="pct"/>
            <w:tcBorders>
              <w:tl2br w:val="nil"/>
              <w:tr2bl w:val="nil"/>
            </w:tcBorders>
            <w:vAlign w:val="center"/>
          </w:tcPr>
          <w:p w14:paraId="4382F80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470</w:t>
            </w:r>
          </w:p>
        </w:tc>
        <w:tc>
          <w:tcPr>
            <w:tcW w:w="448" w:type="pct"/>
            <w:tcBorders>
              <w:tl2br w:val="nil"/>
              <w:tr2bl w:val="nil"/>
            </w:tcBorders>
            <w:vAlign w:val="center"/>
          </w:tcPr>
          <w:p w14:paraId="12733F1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350</w:t>
            </w:r>
          </w:p>
        </w:tc>
        <w:tc>
          <w:tcPr>
            <w:tcW w:w="448" w:type="pct"/>
            <w:tcBorders>
              <w:tl2br w:val="nil"/>
              <w:tr2bl w:val="nil"/>
            </w:tcBorders>
            <w:vAlign w:val="center"/>
          </w:tcPr>
          <w:p w14:paraId="6A479DC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380</w:t>
            </w:r>
          </w:p>
        </w:tc>
        <w:tc>
          <w:tcPr>
            <w:tcW w:w="448" w:type="pct"/>
            <w:tcBorders>
              <w:tl2br w:val="nil"/>
              <w:tr2bl w:val="nil"/>
            </w:tcBorders>
            <w:vAlign w:val="center"/>
          </w:tcPr>
          <w:p w14:paraId="587BFDD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250</w:t>
            </w:r>
          </w:p>
        </w:tc>
        <w:tc>
          <w:tcPr>
            <w:tcW w:w="447" w:type="pct"/>
            <w:tcBorders>
              <w:tl2br w:val="nil"/>
              <w:tr2bl w:val="nil"/>
            </w:tcBorders>
            <w:vAlign w:val="center"/>
          </w:tcPr>
          <w:p w14:paraId="27C6A75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190</w:t>
            </w:r>
          </w:p>
        </w:tc>
      </w:tr>
      <w:tr w14:paraId="2DC18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continue"/>
            <w:tcBorders>
              <w:tl2br w:val="nil"/>
              <w:tr2bl w:val="nil"/>
            </w:tcBorders>
            <w:vAlign w:val="center"/>
          </w:tcPr>
          <w:p w14:paraId="5DFF054C">
            <w:pPr>
              <w:jc w:val="center"/>
              <w:rPr>
                <w:color w:val="000000" w:themeColor="text1"/>
                <w:kern w:val="0"/>
                <w:szCs w:val="21"/>
                <w14:textFill>
                  <w14:solidFill>
                    <w14:schemeClr w14:val="tx1"/>
                  </w14:solidFill>
                </w14:textFill>
              </w:rPr>
            </w:pPr>
          </w:p>
        </w:tc>
        <w:tc>
          <w:tcPr>
            <w:tcW w:w="777" w:type="pct"/>
            <w:tcBorders>
              <w:tl2br w:val="nil"/>
              <w:tr2bl w:val="nil"/>
            </w:tcBorders>
            <w:vAlign w:val="center"/>
          </w:tcPr>
          <w:p w14:paraId="1B7B14E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&gt;4</w:t>
            </w:r>
          </w:p>
        </w:tc>
        <w:tc>
          <w:tcPr>
            <w:tcW w:w="226" w:type="pct"/>
            <w:tcBorders>
              <w:tl2br w:val="nil"/>
              <w:tr2bl w:val="nil"/>
            </w:tcBorders>
            <w:vAlign w:val="center"/>
          </w:tcPr>
          <w:p w14:paraId="5BDD5853">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530</w:t>
            </w:r>
          </w:p>
        </w:tc>
        <w:tc>
          <w:tcPr>
            <w:tcW w:w="448" w:type="pct"/>
            <w:tcBorders>
              <w:tl2br w:val="nil"/>
              <w:tr2bl w:val="nil"/>
            </w:tcBorders>
            <w:vAlign w:val="center"/>
          </w:tcPr>
          <w:p w14:paraId="55925EC3">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350</w:t>
            </w:r>
          </w:p>
        </w:tc>
        <w:tc>
          <w:tcPr>
            <w:tcW w:w="447" w:type="pct"/>
            <w:tcBorders>
              <w:tl2br w:val="nil"/>
              <w:tr2bl w:val="nil"/>
            </w:tcBorders>
            <w:vAlign w:val="center"/>
          </w:tcPr>
          <w:p w14:paraId="6B4A4D4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260</w:t>
            </w:r>
          </w:p>
        </w:tc>
        <w:tc>
          <w:tcPr>
            <w:tcW w:w="447" w:type="pct"/>
            <w:tcBorders>
              <w:tl2br w:val="nil"/>
              <w:tr2bl w:val="nil"/>
            </w:tcBorders>
            <w:vAlign w:val="center"/>
          </w:tcPr>
          <w:p w14:paraId="1C83B95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530</w:t>
            </w:r>
          </w:p>
        </w:tc>
        <w:tc>
          <w:tcPr>
            <w:tcW w:w="447" w:type="pct"/>
            <w:tcBorders>
              <w:tl2br w:val="nil"/>
              <w:tr2bl w:val="nil"/>
            </w:tcBorders>
            <w:vAlign w:val="center"/>
          </w:tcPr>
          <w:p w14:paraId="0469438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350</w:t>
            </w:r>
          </w:p>
        </w:tc>
        <w:tc>
          <w:tcPr>
            <w:tcW w:w="448" w:type="pct"/>
            <w:tcBorders>
              <w:tl2br w:val="nil"/>
              <w:tr2bl w:val="nil"/>
            </w:tcBorders>
            <w:vAlign w:val="center"/>
          </w:tcPr>
          <w:p w14:paraId="554F4EA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260</w:t>
            </w:r>
          </w:p>
        </w:tc>
        <w:tc>
          <w:tcPr>
            <w:tcW w:w="448" w:type="pct"/>
            <w:tcBorders>
              <w:tl2br w:val="nil"/>
              <w:tr2bl w:val="nil"/>
            </w:tcBorders>
            <w:vAlign w:val="center"/>
          </w:tcPr>
          <w:p w14:paraId="5E885B1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290</w:t>
            </w:r>
          </w:p>
        </w:tc>
        <w:tc>
          <w:tcPr>
            <w:tcW w:w="448" w:type="pct"/>
            <w:tcBorders>
              <w:tl2br w:val="nil"/>
              <w:tr2bl w:val="nil"/>
            </w:tcBorders>
            <w:vAlign w:val="center"/>
          </w:tcPr>
          <w:p w14:paraId="301C659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190</w:t>
            </w:r>
          </w:p>
        </w:tc>
        <w:tc>
          <w:tcPr>
            <w:tcW w:w="447" w:type="pct"/>
            <w:tcBorders>
              <w:tl2br w:val="nil"/>
              <w:tr2bl w:val="nil"/>
            </w:tcBorders>
            <w:vAlign w:val="center"/>
          </w:tcPr>
          <w:p w14:paraId="4C71331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110</w:t>
            </w:r>
          </w:p>
        </w:tc>
      </w:tr>
      <w:tr w14:paraId="5F3712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restart"/>
            <w:tcBorders>
              <w:tl2br w:val="nil"/>
              <w:tr2bl w:val="nil"/>
            </w:tcBorders>
            <w:vAlign w:val="center"/>
          </w:tcPr>
          <w:p w14:paraId="74E8D46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B</w:t>
            </w:r>
          </w:p>
        </w:tc>
        <w:tc>
          <w:tcPr>
            <w:tcW w:w="777" w:type="pct"/>
            <w:tcBorders>
              <w:tl2br w:val="nil"/>
              <w:tr2bl w:val="nil"/>
            </w:tcBorders>
            <w:vAlign w:val="center"/>
          </w:tcPr>
          <w:p w14:paraId="2329A54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&lt;2</w:t>
            </w:r>
          </w:p>
        </w:tc>
        <w:tc>
          <w:tcPr>
            <w:tcW w:w="1121" w:type="pct"/>
            <w:gridSpan w:val="3"/>
            <w:tcBorders>
              <w:tl2br w:val="nil"/>
              <w:tr2bl w:val="nil"/>
            </w:tcBorders>
            <w:vAlign w:val="center"/>
          </w:tcPr>
          <w:p w14:paraId="0FB736D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0.01</w:t>
            </w:r>
          </w:p>
        </w:tc>
        <w:tc>
          <w:tcPr>
            <w:tcW w:w="1342" w:type="pct"/>
            <w:gridSpan w:val="3"/>
            <w:tcBorders>
              <w:tl2br w:val="nil"/>
              <w:tr2bl w:val="nil"/>
            </w:tcBorders>
            <w:vAlign w:val="center"/>
          </w:tcPr>
          <w:p w14:paraId="02BFB4F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0.015</w:t>
            </w:r>
          </w:p>
        </w:tc>
        <w:tc>
          <w:tcPr>
            <w:tcW w:w="1343" w:type="pct"/>
            <w:gridSpan w:val="3"/>
            <w:tcBorders>
              <w:tl2br w:val="nil"/>
              <w:tr2bl w:val="nil"/>
            </w:tcBorders>
            <w:vAlign w:val="center"/>
          </w:tcPr>
          <w:p w14:paraId="0F8E3FE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0.015</w:t>
            </w:r>
          </w:p>
        </w:tc>
      </w:tr>
      <w:tr w14:paraId="1120FC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continue"/>
            <w:tcBorders>
              <w:tl2br w:val="nil"/>
              <w:tr2bl w:val="nil"/>
            </w:tcBorders>
            <w:vAlign w:val="center"/>
          </w:tcPr>
          <w:p w14:paraId="5ECFCFEA">
            <w:pPr>
              <w:jc w:val="center"/>
              <w:rPr>
                <w:color w:val="000000" w:themeColor="text1"/>
                <w:kern w:val="0"/>
                <w:szCs w:val="21"/>
                <w14:textFill>
                  <w14:solidFill>
                    <w14:schemeClr w14:val="tx1"/>
                  </w14:solidFill>
                </w14:textFill>
              </w:rPr>
            </w:pPr>
          </w:p>
        </w:tc>
        <w:tc>
          <w:tcPr>
            <w:tcW w:w="777" w:type="pct"/>
            <w:tcBorders>
              <w:tl2br w:val="nil"/>
              <w:tr2bl w:val="nil"/>
            </w:tcBorders>
            <w:vAlign w:val="center"/>
          </w:tcPr>
          <w:p w14:paraId="6568274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&gt;2</w:t>
            </w:r>
          </w:p>
        </w:tc>
        <w:tc>
          <w:tcPr>
            <w:tcW w:w="1121" w:type="pct"/>
            <w:gridSpan w:val="3"/>
            <w:tcBorders>
              <w:tl2br w:val="nil"/>
              <w:tr2bl w:val="nil"/>
            </w:tcBorders>
            <w:vAlign w:val="center"/>
          </w:tcPr>
          <w:p w14:paraId="67B80F3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0.021</w:t>
            </w:r>
          </w:p>
        </w:tc>
        <w:tc>
          <w:tcPr>
            <w:tcW w:w="1342" w:type="pct"/>
            <w:gridSpan w:val="3"/>
            <w:tcBorders>
              <w:tl2br w:val="nil"/>
              <w:tr2bl w:val="nil"/>
            </w:tcBorders>
            <w:vAlign w:val="center"/>
          </w:tcPr>
          <w:p w14:paraId="1B2C4F7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0.036</w:t>
            </w:r>
          </w:p>
        </w:tc>
        <w:tc>
          <w:tcPr>
            <w:tcW w:w="1343" w:type="pct"/>
            <w:gridSpan w:val="3"/>
            <w:tcBorders>
              <w:tl2br w:val="nil"/>
              <w:tr2bl w:val="nil"/>
            </w:tcBorders>
            <w:vAlign w:val="center"/>
          </w:tcPr>
          <w:p w14:paraId="0DF1D26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0.036</w:t>
            </w:r>
          </w:p>
        </w:tc>
      </w:tr>
      <w:tr w14:paraId="6BCD32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restart"/>
            <w:tcBorders>
              <w:tl2br w:val="nil"/>
              <w:tr2bl w:val="nil"/>
            </w:tcBorders>
            <w:vAlign w:val="center"/>
          </w:tcPr>
          <w:p w14:paraId="397DE11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C</w:t>
            </w:r>
          </w:p>
        </w:tc>
        <w:tc>
          <w:tcPr>
            <w:tcW w:w="777" w:type="pct"/>
            <w:tcBorders>
              <w:tl2br w:val="nil"/>
              <w:tr2bl w:val="nil"/>
            </w:tcBorders>
            <w:vAlign w:val="center"/>
          </w:tcPr>
          <w:p w14:paraId="2D31D5E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&lt;2</w:t>
            </w:r>
          </w:p>
        </w:tc>
        <w:tc>
          <w:tcPr>
            <w:tcW w:w="1121" w:type="pct"/>
            <w:gridSpan w:val="3"/>
            <w:tcBorders>
              <w:tl2br w:val="nil"/>
              <w:tr2bl w:val="nil"/>
            </w:tcBorders>
            <w:vAlign w:val="center"/>
          </w:tcPr>
          <w:p w14:paraId="6BE7B38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1.85</w:t>
            </w:r>
          </w:p>
        </w:tc>
        <w:tc>
          <w:tcPr>
            <w:tcW w:w="1342" w:type="pct"/>
            <w:gridSpan w:val="3"/>
            <w:tcBorders>
              <w:tl2br w:val="nil"/>
              <w:tr2bl w:val="nil"/>
            </w:tcBorders>
            <w:vAlign w:val="center"/>
          </w:tcPr>
          <w:p w14:paraId="32DEBC6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1.79</w:t>
            </w:r>
          </w:p>
        </w:tc>
        <w:tc>
          <w:tcPr>
            <w:tcW w:w="1343" w:type="pct"/>
            <w:gridSpan w:val="3"/>
            <w:tcBorders>
              <w:tl2br w:val="nil"/>
              <w:tr2bl w:val="nil"/>
            </w:tcBorders>
            <w:vAlign w:val="center"/>
          </w:tcPr>
          <w:p w14:paraId="25EF639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1.79</w:t>
            </w:r>
          </w:p>
        </w:tc>
      </w:tr>
      <w:tr w14:paraId="4ED4E7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continue"/>
            <w:tcBorders>
              <w:tl2br w:val="nil"/>
              <w:tr2bl w:val="nil"/>
            </w:tcBorders>
            <w:vAlign w:val="center"/>
          </w:tcPr>
          <w:p w14:paraId="3A169E95">
            <w:pPr>
              <w:jc w:val="center"/>
              <w:rPr>
                <w:color w:val="000000" w:themeColor="text1"/>
                <w:kern w:val="0"/>
                <w:szCs w:val="21"/>
                <w14:textFill>
                  <w14:solidFill>
                    <w14:schemeClr w14:val="tx1"/>
                  </w14:solidFill>
                </w14:textFill>
              </w:rPr>
            </w:pPr>
          </w:p>
        </w:tc>
        <w:tc>
          <w:tcPr>
            <w:tcW w:w="777" w:type="pct"/>
            <w:tcBorders>
              <w:tl2br w:val="nil"/>
              <w:tr2bl w:val="nil"/>
            </w:tcBorders>
            <w:vAlign w:val="center"/>
          </w:tcPr>
          <w:p w14:paraId="10CE8463">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&gt;2</w:t>
            </w:r>
          </w:p>
        </w:tc>
        <w:tc>
          <w:tcPr>
            <w:tcW w:w="1121" w:type="pct"/>
            <w:gridSpan w:val="3"/>
            <w:tcBorders>
              <w:tl2br w:val="nil"/>
              <w:tr2bl w:val="nil"/>
            </w:tcBorders>
            <w:vAlign w:val="center"/>
          </w:tcPr>
          <w:p w14:paraId="5DB97DAA">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1.85</w:t>
            </w:r>
          </w:p>
        </w:tc>
        <w:tc>
          <w:tcPr>
            <w:tcW w:w="1342" w:type="pct"/>
            <w:gridSpan w:val="3"/>
            <w:tcBorders>
              <w:tl2br w:val="nil"/>
              <w:tr2bl w:val="nil"/>
            </w:tcBorders>
            <w:vAlign w:val="center"/>
          </w:tcPr>
          <w:p w14:paraId="3016C95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1.77</w:t>
            </w:r>
          </w:p>
        </w:tc>
        <w:tc>
          <w:tcPr>
            <w:tcW w:w="1343" w:type="pct"/>
            <w:gridSpan w:val="3"/>
            <w:tcBorders>
              <w:tl2br w:val="nil"/>
              <w:tr2bl w:val="nil"/>
            </w:tcBorders>
            <w:vAlign w:val="center"/>
          </w:tcPr>
          <w:p w14:paraId="7536B54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1.77</w:t>
            </w:r>
          </w:p>
        </w:tc>
      </w:tr>
      <w:tr w14:paraId="69C055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restart"/>
            <w:tcBorders>
              <w:tl2br w:val="nil"/>
              <w:tr2bl w:val="nil"/>
            </w:tcBorders>
            <w:vAlign w:val="center"/>
          </w:tcPr>
          <w:p w14:paraId="58BEB52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D</w:t>
            </w:r>
          </w:p>
        </w:tc>
        <w:tc>
          <w:tcPr>
            <w:tcW w:w="777" w:type="pct"/>
            <w:tcBorders>
              <w:tl2br w:val="nil"/>
              <w:tr2bl w:val="nil"/>
            </w:tcBorders>
            <w:vAlign w:val="center"/>
          </w:tcPr>
          <w:p w14:paraId="2737BB36">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&lt;2</w:t>
            </w:r>
          </w:p>
        </w:tc>
        <w:tc>
          <w:tcPr>
            <w:tcW w:w="1121" w:type="pct"/>
            <w:gridSpan w:val="3"/>
            <w:tcBorders>
              <w:tl2br w:val="nil"/>
              <w:tr2bl w:val="nil"/>
            </w:tcBorders>
            <w:vAlign w:val="center"/>
          </w:tcPr>
          <w:p w14:paraId="2015C2A3">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0.78</w:t>
            </w:r>
          </w:p>
        </w:tc>
        <w:tc>
          <w:tcPr>
            <w:tcW w:w="1342" w:type="pct"/>
            <w:gridSpan w:val="3"/>
            <w:tcBorders>
              <w:tl2br w:val="nil"/>
              <w:tr2bl w:val="nil"/>
            </w:tcBorders>
            <w:vAlign w:val="center"/>
          </w:tcPr>
          <w:p w14:paraId="7DD8ADA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0.78</w:t>
            </w:r>
          </w:p>
        </w:tc>
        <w:tc>
          <w:tcPr>
            <w:tcW w:w="1343" w:type="pct"/>
            <w:gridSpan w:val="3"/>
            <w:tcBorders>
              <w:tl2br w:val="nil"/>
              <w:tr2bl w:val="nil"/>
            </w:tcBorders>
            <w:vAlign w:val="center"/>
          </w:tcPr>
          <w:p w14:paraId="7C8A8940">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0.57</w:t>
            </w:r>
          </w:p>
        </w:tc>
      </w:tr>
      <w:tr w14:paraId="639C83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7" w:type="pct"/>
            <w:vMerge w:val="continue"/>
            <w:tcBorders>
              <w:tl2br w:val="nil"/>
              <w:tr2bl w:val="nil"/>
            </w:tcBorders>
            <w:vAlign w:val="center"/>
          </w:tcPr>
          <w:p w14:paraId="1293AC4E">
            <w:pPr>
              <w:jc w:val="center"/>
              <w:rPr>
                <w:color w:val="000000" w:themeColor="text1"/>
                <w:kern w:val="0"/>
                <w:szCs w:val="21"/>
                <w14:textFill>
                  <w14:solidFill>
                    <w14:schemeClr w14:val="tx1"/>
                  </w14:solidFill>
                </w14:textFill>
              </w:rPr>
            </w:pPr>
          </w:p>
        </w:tc>
        <w:tc>
          <w:tcPr>
            <w:tcW w:w="777" w:type="pct"/>
            <w:tcBorders>
              <w:tl2br w:val="nil"/>
              <w:tr2bl w:val="nil"/>
            </w:tcBorders>
            <w:vAlign w:val="center"/>
          </w:tcPr>
          <w:p w14:paraId="4645F25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&gt;2</w:t>
            </w:r>
          </w:p>
        </w:tc>
        <w:tc>
          <w:tcPr>
            <w:tcW w:w="1121" w:type="pct"/>
            <w:gridSpan w:val="3"/>
            <w:tcBorders>
              <w:tl2br w:val="nil"/>
              <w:tr2bl w:val="nil"/>
            </w:tcBorders>
            <w:vAlign w:val="center"/>
          </w:tcPr>
          <w:p w14:paraId="046E004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0.84</w:t>
            </w:r>
          </w:p>
        </w:tc>
        <w:tc>
          <w:tcPr>
            <w:tcW w:w="1342" w:type="pct"/>
            <w:gridSpan w:val="3"/>
            <w:tcBorders>
              <w:tl2br w:val="nil"/>
              <w:tr2bl w:val="nil"/>
            </w:tcBorders>
            <w:vAlign w:val="center"/>
          </w:tcPr>
          <w:p w14:paraId="0B0E022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0.84</w:t>
            </w:r>
          </w:p>
        </w:tc>
        <w:tc>
          <w:tcPr>
            <w:tcW w:w="1343" w:type="pct"/>
            <w:gridSpan w:val="3"/>
            <w:tcBorders>
              <w:tl2br w:val="nil"/>
              <w:tr2bl w:val="nil"/>
            </w:tcBorders>
            <w:vAlign w:val="center"/>
          </w:tcPr>
          <w:p w14:paraId="33767CB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0.76</w:t>
            </w:r>
          </w:p>
        </w:tc>
      </w:tr>
    </w:tbl>
    <w:p w14:paraId="06737676">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大气有害物质无组织排放卫生防护距离推导技术导则》（GB/T39499-2020）规定，不同行业及生产工艺产生无组织排放的特征大气有害物质差别较大。在选取特征大气有害物质时，应首先考虑其对人体健康损害毒性特点，并根据目标行业企业的产品产量及其原辅材料、工艺特征、中间产物、产排污特点等具体情况，确定单个大气有害物质的无组织排放量及等标排放量（Qc/Cm），最终确定卫生防护距离相关的主要特征大气有害物质1种~2种。当目标企业无组织排放存在多种有毒有害污染物时，基于单个污染物的等标排放量计算结果，优先选择等标排放量最大的污染物为企业无组织排放的主要特征大气有害物质。</w:t>
      </w:r>
    </w:p>
    <w:p w14:paraId="169449B6">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当目标企业无组织排放存在多种有毒有害大气污染物时，基于单个污染物的等标排放量计算结果，优先选择等标排放量最大的污染物为企业无组织排放的主要特征大气有害物质</w:t>
      </w:r>
      <w:r>
        <w:rPr>
          <w:bCs/>
          <w:color w:val="000000" w:themeColor="text1"/>
          <w:sz w:val="24"/>
          <w14:textFill>
            <w14:solidFill>
              <w14:schemeClr w14:val="tx1"/>
            </w14:solidFill>
          </w14:textFill>
        </w:rPr>
        <w:t>。</w:t>
      </w:r>
      <w:r>
        <w:rPr>
          <w:b/>
          <w:bCs/>
          <w:color w:val="000000" w:themeColor="text1"/>
          <w:sz w:val="24"/>
          <w14:textFill>
            <w14:solidFill>
              <w14:schemeClr w14:val="tx1"/>
            </w14:solidFill>
          </w14:textFill>
        </w:rPr>
        <w:t>当前两种污染物的等标排放量相差在10%以内时，需要同时选择这两种特征大气有害物质分别计算卫生防护距离初值。</w:t>
      </w:r>
    </w:p>
    <w:p w14:paraId="51DC9179">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本项目废气主要污染物为NH</w:t>
      </w:r>
      <w:r>
        <w:rPr>
          <w:color w:val="000000" w:themeColor="text1"/>
          <w:sz w:val="24"/>
          <w:vertAlign w:val="subscript"/>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H</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S</w:t>
      </w:r>
      <w:r>
        <w:rPr>
          <w:rFonts w:hint="eastAsia"/>
          <w:color w:val="000000" w:themeColor="text1"/>
          <w:sz w:val="24"/>
          <w14:textFill>
            <w14:solidFill>
              <w14:schemeClr w14:val="tx1"/>
            </w14:solidFill>
          </w14:textFill>
        </w:rPr>
        <w:t>、TSP</w:t>
      </w:r>
      <w:r>
        <w:rPr>
          <w:color w:val="000000" w:themeColor="text1"/>
          <w:sz w:val="24"/>
          <w14:textFill>
            <w14:solidFill>
              <w14:schemeClr w14:val="tx1"/>
            </w14:solidFill>
          </w14:textFill>
        </w:rPr>
        <w:t>。</w:t>
      </w:r>
    </w:p>
    <w:p w14:paraId="7750B6D3">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kern w:val="0"/>
          <w:sz w:val="24"/>
          <w:lang w:bidi="ar"/>
          <w14:textFill>
            <w14:solidFill>
              <w14:schemeClr w14:val="tx1"/>
            </w14:solidFill>
          </w14:textFill>
        </w:rPr>
        <w:t>在复杂地形条件下的住宅区与产生有害因素场所之间的卫生防护距离，应根据环境影响报告，由建设单位主管部门与项目所在省、市、自治区的卫生、环境保护部门共同确定。”</w:t>
      </w:r>
      <w:r>
        <w:rPr>
          <w:color w:val="000000" w:themeColor="text1"/>
          <w:sz w:val="24"/>
          <w14:textFill>
            <w14:solidFill>
              <w14:schemeClr w14:val="tx1"/>
            </w14:solidFill>
          </w14:textFill>
        </w:rPr>
        <w:t>参照</w:t>
      </w:r>
      <w:r>
        <w:rPr>
          <w:rFonts w:hint="eastAsia"/>
          <w:color w:val="000000" w:themeColor="text1"/>
          <w:sz w:val="24"/>
          <w14:textFill>
            <w14:solidFill>
              <w14:schemeClr w14:val="tx1"/>
            </w14:solidFill>
          </w14:textFill>
        </w:rPr>
        <w:t>《大气有害物质无组织排放卫生防护距离推导技术导则》（GB/T 39499-2020）</w:t>
      </w:r>
      <w:r>
        <w:rPr>
          <w:color w:val="000000" w:themeColor="text1"/>
          <w:sz w:val="24"/>
          <w14:textFill>
            <w14:solidFill>
              <w14:schemeClr w14:val="tx1"/>
            </w14:solidFill>
          </w14:textFill>
        </w:rPr>
        <w:t>中</w:t>
      </w:r>
      <w:r>
        <w:rPr>
          <w:rFonts w:hint="eastAsia" w:ascii="宋体" w:hAnsi="宋体" w:cs="宋体"/>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 xml:space="preserve">10 </w:t>
      </w:r>
      <w:r>
        <w:rPr>
          <w:rFonts w:hint="eastAsia" w:ascii="宋体" w:hAnsi="宋体" w:cs="宋体"/>
          <w:color w:val="000000" w:themeColor="text1"/>
          <w:sz w:val="24"/>
          <w14:textFill>
            <w14:solidFill>
              <w14:schemeClr w14:val="tx1"/>
            </w14:solidFill>
          </w14:textFill>
        </w:rPr>
        <w:t>复杂地形，常见</w:t>
      </w:r>
      <w:r>
        <w:rPr>
          <w:color w:val="000000" w:themeColor="text1"/>
          <w:sz w:val="24"/>
          <w14:textFill>
            <w14:solidFill>
              <w14:schemeClr w14:val="tx1"/>
            </w14:solidFill>
          </w14:textFill>
        </w:rPr>
        <w:t>复杂地形</w:t>
      </w:r>
      <w:r>
        <w:rPr>
          <w:rFonts w:hint="eastAsia"/>
          <w:color w:val="000000" w:themeColor="text1"/>
          <w:sz w:val="24"/>
          <w14:textFill>
            <w14:solidFill>
              <w14:schemeClr w14:val="tx1"/>
            </w14:solidFill>
          </w14:textFill>
        </w:rPr>
        <w:t>有</w:t>
      </w:r>
      <w:r>
        <w:rPr>
          <w:color w:val="000000" w:themeColor="text1"/>
          <w:sz w:val="24"/>
          <w14:textFill>
            <w14:solidFill>
              <w14:schemeClr w14:val="tx1"/>
            </w14:solidFill>
          </w14:textFill>
        </w:rPr>
        <w:t>山区、丘陵、沿海等。</w:t>
      </w:r>
      <w:r>
        <w:rPr>
          <w:rFonts w:hint="eastAsia"/>
          <w:color w:val="000000" w:themeColor="text1"/>
          <w:sz w:val="24"/>
          <w14:textFill>
            <w14:solidFill>
              <w14:schemeClr w14:val="tx1"/>
            </w14:solidFill>
          </w14:textFill>
        </w:rPr>
        <w:t>根据“项目所在区域等高线示意图”，本项目所在地均属于复杂地形。</w:t>
      </w:r>
    </w:p>
    <w:p w14:paraId="6E82C219">
      <w:pPr>
        <w:autoSpaceDE w:val="0"/>
        <w:autoSpaceDN w:val="0"/>
        <w:adjustRightInd w:val="0"/>
        <w:snapToGrid w:val="0"/>
        <w:spacing w:line="360" w:lineRule="auto"/>
        <w:ind w:firstLine="482" w:firstLineChars="200"/>
        <w:rPr>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因此，最终确定本项目的卫生防护距离为</w:t>
      </w:r>
      <w:r>
        <w:rPr>
          <w:rFonts w:hint="eastAsia"/>
          <w:b/>
          <w:bCs/>
          <w:color w:val="000000" w:themeColor="text1"/>
          <w:sz w:val="24"/>
          <w14:textFill>
            <w14:solidFill>
              <w14:schemeClr w14:val="tx1"/>
            </w14:solidFill>
          </w14:textFill>
        </w:rPr>
        <w:t>以每栋牛舍边界、饲料加工间、垫料棚为起点各划定</w:t>
      </w:r>
      <w:r>
        <w:rPr>
          <w:b/>
          <w:bCs/>
          <w:color w:val="000000" w:themeColor="text1"/>
          <w:sz w:val="24"/>
          <w14:textFill>
            <w14:solidFill>
              <w14:schemeClr w14:val="tx1"/>
            </w14:solidFill>
          </w14:textFill>
        </w:rPr>
        <w:t>1</w:t>
      </w:r>
      <w:r>
        <w:rPr>
          <w:rFonts w:hint="eastAsia"/>
          <w:b/>
          <w:bCs/>
          <w:color w:val="000000" w:themeColor="text1"/>
          <w:sz w:val="24"/>
          <w14:textFill>
            <w14:solidFill>
              <w14:schemeClr w14:val="tx1"/>
            </w14:solidFill>
          </w14:textFill>
        </w:rPr>
        <w:t>00m卫生防护距离。</w:t>
      </w:r>
    </w:p>
    <w:p w14:paraId="4C1FA612">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同时，本次评价要求：卫生防护距离范围内今后不得迁入人群居住、生活服务设施、学校、食品医药企业、医院等敏感设施。</w:t>
      </w:r>
    </w:p>
    <w:p w14:paraId="7532DE92">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因此，本项目卫生防护距离内无敏感点，项目建设符合卫生防护距离的要求。</w:t>
      </w:r>
    </w:p>
    <w:p w14:paraId="57459F62">
      <w:pPr>
        <w:pStyle w:val="5"/>
        <w:adjustRightInd w:val="0"/>
        <w:snapToGrid w:val="0"/>
        <w:spacing w:before="0" w:after="0" w:line="360" w:lineRule="auto"/>
        <w:rPr>
          <w:color w:val="000000" w:themeColor="text1"/>
          <w:sz w:val="28"/>
          <w:szCs w:val="28"/>
          <w14:textFill>
            <w14:solidFill>
              <w14:schemeClr w14:val="tx1"/>
            </w14:solidFill>
          </w14:textFill>
        </w:rPr>
      </w:pPr>
      <w:bookmarkStart w:id="707" w:name="_Toc27751202"/>
      <w:bookmarkStart w:id="708" w:name="_Toc28814688"/>
      <w:bookmarkStart w:id="709" w:name="_Toc40220764"/>
      <w:bookmarkStart w:id="710" w:name="_Toc20878"/>
      <w:bookmarkStart w:id="711" w:name="_Toc230079394"/>
      <w:bookmarkStart w:id="712" w:name="_Toc233380212"/>
      <w:r>
        <w:rPr>
          <w:color w:val="000000" w:themeColor="text1"/>
          <w:sz w:val="28"/>
          <w:szCs w:val="28"/>
          <w14:textFill>
            <w14:solidFill>
              <w14:schemeClr w14:val="tx1"/>
            </w14:solidFill>
          </w14:textFill>
        </w:rPr>
        <w:t>5.2.5</w:t>
      </w:r>
      <w:bookmarkEnd w:id="707"/>
      <w:bookmarkEnd w:id="708"/>
      <w:bookmarkEnd w:id="709"/>
      <w:r>
        <w:rPr>
          <w:color w:val="000000" w:themeColor="text1"/>
          <w:sz w:val="28"/>
          <w:szCs w:val="28"/>
          <w14:textFill>
            <w14:solidFill>
              <w14:schemeClr w14:val="tx1"/>
            </w14:solidFill>
          </w14:textFill>
        </w:rPr>
        <w:t>异味影响分析</w:t>
      </w:r>
      <w:bookmarkEnd w:id="710"/>
      <w:bookmarkEnd w:id="711"/>
      <w:bookmarkEnd w:id="712"/>
    </w:p>
    <w:p w14:paraId="25005655">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本项目恶臭排放可能对周边产生异味影响。本次环评根据相关资料及估算模式计算结果分析项目异味影响。恶臭强度六级分级法见</w:t>
      </w:r>
      <w:r>
        <w:rPr>
          <w:rFonts w:hint="eastAsia"/>
          <w:color w:val="000000" w:themeColor="text1"/>
          <w:sz w:val="24"/>
          <w14:textFill>
            <w14:solidFill>
              <w14:schemeClr w14:val="tx1"/>
            </w14:solidFill>
          </w14:textFill>
        </w:rPr>
        <w:t>下</w:t>
      </w:r>
      <w:r>
        <w:rPr>
          <w:color w:val="000000" w:themeColor="text1"/>
          <w:sz w:val="24"/>
          <w14:textFill>
            <w14:solidFill>
              <w14:schemeClr w14:val="tx1"/>
            </w14:solidFill>
          </w14:textFill>
        </w:rPr>
        <w:t>表。</w:t>
      </w:r>
    </w:p>
    <w:p w14:paraId="18FCCBA8">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w:t>
      </w:r>
      <w:r>
        <w:rPr>
          <w:rFonts w:hint="eastAsia"/>
          <w:snapToGrid w:val="0"/>
          <w:color w:val="000000" w:themeColor="text1"/>
          <w:szCs w:val="21"/>
          <w:lang w:val="en-US"/>
          <w14:textFill>
            <w14:solidFill>
              <w14:schemeClr w14:val="tx1"/>
            </w14:solidFill>
          </w14:textFill>
        </w:rPr>
        <w:t>5</w:t>
      </w:r>
      <w:r>
        <w:rPr>
          <w:snapToGrid w:val="0"/>
          <w:color w:val="000000" w:themeColor="text1"/>
          <w:szCs w:val="21"/>
          <w14:textFill>
            <w14:solidFill>
              <w14:schemeClr w14:val="tx1"/>
            </w14:solidFill>
          </w14:textFill>
        </w:rPr>
        <w:t>.2-1</w:t>
      </w:r>
      <w:r>
        <w:rPr>
          <w:rFonts w:hint="eastAsia"/>
          <w:snapToGrid w:val="0"/>
          <w:color w:val="000000" w:themeColor="text1"/>
          <w:szCs w:val="21"/>
          <w:lang w:val="en-US"/>
          <w14:textFill>
            <w14:solidFill>
              <w14:schemeClr w14:val="tx1"/>
            </w14:solidFill>
          </w14:textFill>
        </w:rPr>
        <w:t>7</w:t>
      </w:r>
      <w:r>
        <w:rPr>
          <w:snapToGrid w:val="0"/>
          <w:color w:val="000000" w:themeColor="text1"/>
          <w:szCs w:val="21"/>
          <w14:textFill>
            <w14:solidFill>
              <w14:schemeClr w14:val="tx1"/>
            </w14:solidFill>
          </w14:textFill>
        </w:rPr>
        <w:t xml:space="preserve"> 恶臭强度分级法</w:t>
      </w:r>
    </w:p>
    <w:tbl>
      <w:tblPr>
        <w:tblStyle w:val="1745"/>
        <w:tblW w:w="8780" w:type="dxa"/>
        <w:tblInd w:w="0" w:type="dxa"/>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Layout w:type="fixed"/>
        <w:tblCellMar>
          <w:top w:w="0" w:type="dxa"/>
          <w:left w:w="0" w:type="dxa"/>
          <w:bottom w:w="0" w:type="dxa"/>
          <w:right w:w="0" w:type="dxa"/>
        </w:tblCellMar>
      </w:tblPr>
      <w:tblGrid>
        <w:gridCol w:w="1645"/>
        <w:gridCol w:w="7135"/>
      </w:tblGrid>
      <w:tr w14:paraId="3DE33AA9">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340" w:hRule="atLeast"/>
        </w:trPr>
        <w:tc>
          <w:tcPr>
            <w:tcW w:w="1645" w:type="dxa"/>
            <w:tcBorders>
              <w:tl2br w:val="nil"/>
              <w:tr2bl w:val="nil"/>
            </w:tcBorders>
          </w:tcPr>
          <w:p w14:paraId="351D982A">
            <w:pPr>
              <w:widowControl w:val="0"/>
              <w:autoSpaceDE w:val="0"/>
              <w:autoSpaceDN w:val="0"/>
              <w:jc w:val="center"/>
              <w:rPr>
                <w:rFonts w:ascii="宋体" w:hAnsi="宋体" w:eastAsia="宋体"/>
                <w:b/>
                <w:bCs/>
                <w:color w:val="000000" w:themeColor="text1"/>
                <w:spacing w:val="3"/>
                <w:szCs w:val="21"/>
                <w:lang w:eastAsia="en-US"/>
                <w14:textFill>
                  <w14:solidFill>
                    <w14:schemeClr w14:val="tx1"/>
                  </w14:solidFill>
                </w14:textFill>
              </w:rPr>
            </w:pPr>
            <w:r>
              <w:rPr>
                <w:rFonts w:hint="eastAsia" w:ascii="宋体" w:hAnsi="宋体" w:eastAsia="宋体"/>
                <w:b/>
                <w:bCs/>
                <w:color w:val="000000" w:themeColor="text1"/>
                <w:spacing w:val="3"/>
                <w:szCs w:val="21"/>
                <w:lang w:eastAsia="en-US"/>
                <w14:textFill>
                  <w14:solidFill>
                    <w14:schemeClr w14:val="tx1"/>
                  </w14:solidFill>
                </w14:textFill>
              </w:rPr>
              <w:t>级别</w:t>
            </w:r>
          </w:p>
        </w:tc>
        <w:tc>
          <w:tcPr>
            <w:tcW w:w="7135" w:type="dxa"/>
            <w:tcBorders>
              <w:tl2br w:val="nil"/>
              <w:tr2bl w:val="nil"/>
            </w:tcBorders>
          </w:tcPr>
          <w:p w14:paraId="4B635C92">
            <w:pPr>
              <w:widowControl w:val="0"/>
              <w:autoSpaceDE w:val="0"/>
              <w:autoSpaceDN w:val="0"/>
              <w:jc w:val="center"/>
              <w:rPr>
                <w:rFonts w:ascii="宋体" w:hAnsi="宋体" w:eastAsia="宋体"/>
                <w:b/>
                <w:bCs/>
                <w:color w:val="000000" w:themeColor="text1"/>
                <w:spacing w:val="3"/>
                <w:szCs w:val="21"/>
                <w:lang w:eastAsia="en-US"/>
                <w14:textFill>
                  <w14:solidFill>
                    <w14:schemeClr w14:val="tx1"/>
                  </w14:solidFill>
                </w14:textFill>
              </w:rPr>
            </w:pPr>
            <w:r>
              <w:rPr>
                <w:rFonts w:hint="eastAsia" w:ascii="宋体" w:hAnsi="宋体" w:eastAsia="宋体"/>
                <w:b/>
                <w:bCs/>
                <w:color w:val="000000" w:themeColor="text1"/>
                <w:spacing w:val="3"/>
                <w:szCs w:val="21"/>
                <w:lang w:eastAsia="en-US"/>
                <w14:textFill>
                  <w14:solidFill>
                    <w14:schemeClr w14:val="tx1"/>
                  </w14:solidFill>
                </w14:textFill>
              </w:rPr>
              <w:t>描述与影响</w:t>
            </w:r>
          </w:p>
        </w:tc>
      </w:tr>
      <w:tr w14:paraId="00227B87">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340" w:hRule="atLeast"/>
        </w:trPr>
        <w:tc>
          <w:tcPr>
            <w:tcW w:w="1645" w:type="dxa"/>
            <w:tcBorders>
              <w:tl2br w:val="nil"/>
              <w:tr2bl w:val="nil"/>
            </w:tcBorders>
          </w:tcPr>
          <w:p w14:paraId="514E3544">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0</w:t>
            </w:r>
          </w:p>
        </w:tc>
        <w:tc>
          <w:tcPr>
            <w:tcW w:w="7135" w:type="dxa"/>
            <w:tcBorders>
              <w:tl2br w:val="nil"/>
              <w:tr2bl w:val="nil"/>
            </w:tcBorders>
          </w:tcPr>
          <w:p w14:paraId="405E63AB">
            <w:pPr>
              <w:widowControl w:val="0"/>
              <w:autoSpaceDE w:val="0"/>
              <w:autoSpaceDN w:val="0"/>
              <w:jc w:val="left"/>
              <w:rPr>
                <w:rFonts w:ascii="宋体" w:hAnsi="宋体" w:eastAsia="宋体"/>
                <w:color w:val="000000" w:themeColor="text1"/>
                <w:szCs w:val="21"/>
                <w:lang w:eastAsia="zh-CN"/>
                <w14:textFill>
                  <w14:solidFill>
                    <w14:schemeClr w14:val="tx1"/>
                  </w14:solidFill>
                </w14:textFill>
              </w:rPr>
            </w:pPr>
            <w:r>
              <w:rPr>
                <w:rFonts w:hint="eastAsia" w:ascii="宋体" w:hAnsi="宋体" w:eastAsia="宋体"/>
                <w:color w:val="000000" w:themeColor="text1"/>
                <w:spacing w:val="6"/>
                <w:szCs w:val="21"/>
                <w:lang w:eastAsia="zh-CN"/>
                <w14:textFill>
                  <w14:solidFill>
                    <w14:schemeClr w14:val="tx1"/>
                  </w14:solidFill>
                </w14:textFill>
              </w:rPr>
              <w:t>无臭。完全无法感受到任何气味。</w:t>
            </w:r>
          </w:p>
        </w:tc>
      </w:tr>
      <w:tr w14:paraId="32E3DB62">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340" w:hRule="atLeast"/>
        </w:trPr>
        <w:tc>
          <w:tcPr>
            <w:tcW w:w="1645" w:type="dxa"/>
            <w:tcBorders>
              <w:tl2br w:val="nil"/>
              <w:tr2bl w:val="nil"/>
            </w:tcBorders>
          </w:tcPr>
          <w:p w14:paraId="45E9ACCE">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1</w:t>
            </w:r>
          </w:p>
        </w:tc>
        <w:tc>
          <w:tcPr>
            <w:tcW w:w="7135" w:type="dxa"/>
            <w:tcBorders>
              <w:tl2br w:val="nil"/>
              <w:tr2bl w:val="nil"/>
            </w:tcBorders>
          </w:tcPr>
          <w:p w14:paraId="30972E9C">
            <w:pPr>
              <w:widowControl w:val="0"/>
              <w:autoSpaceDE w:val="0"/>
              <w:autoSpaceDN w:val="0"/>
              <w:jc w:val="left"/>
              <w:rPr>
                <w:rFonts w:ascii="宋体" w:hAnsi="宋体" w:eastAsia="宋体"/>
                <w:color w:val="000000" w:themeColor="text1"/>
                <w:szCs w:val="21"/>
                <w:lang w:eastAsia="zh-CN"/>
                <w14:textFill>
                  <w14:solidFill>
                    <w14:schemeClr w14:val="tx1"/>
                  </w14:solidFill>
                </w14:textFill>
              </w:rPr>
            </w:pPr>
            <w:r>
              <w:rPr>
                <w:rFonts w:ascii="宋体" w:hAnsi="宋体" w:eastAsia="宋体"/>
                <w:color w:val="000000" w:themeColor="text1"/>
                <w:spacing w:val="8"/>
                <w:szCs w:val="21"/>
                <w:lang w:eastAsia="zh-CN"/>
                <w14:textFill>
                  <w14:solidFill>
                    <w14:schemeClr w14:val="tx1"/>
                  </w14:solidFill>
                </w14:textFill>
              </w:rPr>
              <w:t>勉强能感觉到气味（感觉阈值）</w:t>
            </w:r>
          </w:p>
        </w:tc>
      </w:tr>
      <w:tr w14:paraId="266FECFB">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340" w:hRule="atLeast"/>
        </w:trPr>
        <w:tc>
          <w:tcPr>
            <w:tcW w:w="1645" w:type="dxa"/>
            <w:tcBorders>
              <w:tl2br w:val="nil"/>
              <w:tr2bl w:val="nil"/>
            </w:tcBorders>
          </w:tcPr>
          <w:p w14:paraId="6A6407BB">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2</w:t>
            </w:r>
          </w:p>
        </w:tc>
        <w:tc>
          <w:tcPr>
            <w:tcW w:w="7135" w:type="dxa"/>
            <w:tcBorders>
              <w:tl2br w:val="nil"/>
              <w:tr2bl w:val="nil"/>
            </w:tcBorders>
          </w:tcPr>
          <w:p w14:paraId="1A897591">
            <w:pPr>
              <w:widowControl w:val="0"/>
              <w:autoSpaceDE w:val="0"/>
              <w:autoSpaceDN w:val="0"/>
              <w:jc w:val="left"/>
              <w:rPr>
                <w:rFonts w:ascii="宋体" w:hAnsi="宋体" w:eastAsia="宋体"/>
                <w:color w:val="000000" w:themeColor="text1"/>
                <w:szCs w:val="21"/>
                <w:lang w:eastAsia="zh-CN"/>
                <w14:textFill>
                  <w14:solidFill>
                    <w14:schemeClr w14:val="tx1"/>
                  </w14:solidFill>
                </w14:textFill>
              </w:rPr>
            </w:pPr>
            <w:r>
              <w:rPr>
                <w:rFonts w:ascii="宋体" w:hAnsi="宋体" w:eastAsia="宋体"/>
                <w:color w:val="000000" w:themeColor="text1"/>
                <w:spacing w:val="8"/>
                <w:szCs w:val="21"/>
                <w:lang w:eastAsia="zh-CN"/>
                <w14:textFill>
                  <w14:solidFill>
                    <w14:schemeClr w14:val="tx1"/>
                  </w14:solidFill>
                </w14:textFill>
              </w:rPr>
              <w:t>气味很弱但能分辨其性质（识别阈值）</w:t>
            </w:r>
          </w:p>
        </w:tc>
      </w:tr>
      <w:tr w14:paraId="1AB3497C">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340" w:hRule="atLeast"/>
        </w:trPr>
        <w:tc>
          <w:tcPr>
            <w:tcW w:w="1645" w:type="dxa"/>
            <w:tcBorders>
              <w:tl2br w:val="nil"/>
              <w:tr2bl w:val="nil"/>
            </w:tcBorders>
          </w:tcPr>
          <w:p w14:paraId="2EE32097">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3</w:t>
            </w:r>
          </w:p>
        </w:tc>
        <w:tc>
          <w:tcPr>
            <w:tcW w:w="7135" w:type="dxa"/>
            <w:tcBorders>
              <w:tl2br w:val="nil"/>
              <w:tr2bl w:val="nil"/>
            </w:tcBorders>
          </w:tcPr>
          <w:p w14:paraId="5A661EAA">
            <w:pPr>
              <w:widowControl w:val="0"/>
              <w:autoSpaceDE w:val="0"/>
              <w:autoSpaceDN w:val="0"/>
              <w:jc w:val="left"/>
              <w:rPr>
                <w:rFonts w:ascii="宋体" w:hAnsi="宋体" w:eastAsia="宋体"/>
                <w:color w:val="000000" w:themeColor="text1"/>
                <w:szCs w:val="21"/>
                <w:lang w:eastAsia="en-US"/>
                <w14:textFill>
                  <w14:solidFill>
                    <w14:schemeClr w14:val="tx1"/>
                  </w14:solidFill>
                </w14:textFill>
              </w:rPr>
            </w:pPr>
            <w:r>
              <w:rPr>
                <w:rFonts w:ascii="宋体" w:hAnsi="宋体" w:eastAsia="宋体"/>
                <w:color w:val="000000" w:themeColor="text1"/>
                <w:spacing w:val="8"/>
                <w:szCs w:val="21"/>
                <w:lang w:eastAsia="en-US"/>
                <w14:textFill>
                  <w14:solidFill>
                    <w14:schemeClr w14:val="tx1"/>
                  </w14:solidFill>
                </w14:textFill>
              </w:rPr>
              <w:t>很容易感觉到气味</w:t>
            </w:r>
          </w:p>
        </w:tc>
      </w:tr>
      <w:tr w14:paraId="40FA4EA6">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340" w:hRule="atLeast"/>
        </w:trPr>
        <w:tc>
          <w:tcPr>
            <w:tcW w:w="1645" w:type="dxa"/>
            <w:tcBorders>
              <w:tl2br w:val="nil"/>
              <w:tr2bl w:val="nil"/>
            </w:tcBorders>
          </w:tcPr>
          <w:p w14:paraId="6B16D8D6">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1"/>
                <w:szCs w:val="21"/>
                <w:lang w:eastAsia="en-US"/>
                <w14:textFill>
                  <w14:solidFill>
                    <w14:schemeClr w14:val="tx1"/>
                  </w14:solidFill>
                </w14:textFill>
              </w:rPr>
              <w:t>4</w:t>
            </w:r>
          </w:p>
        </w:tc>
        <w:tc>
          <w:tcPr>
            <w:tcW w:w="7135" w:type="dxa"/>
            <w:tcBorders>
              <w:tl2br w:val="nil"/>
              <w:tr2bl w:val="nil"/>
            </w:tcBorders>
          </w:tcPr>
          <w:p w14:paraId="66896BD2">
            <w:pPr>
              <w:widowControl w:val="0"/>
              <w:autoSpaceDE w:val="0"/>
              <w:autoSpaceDN w:val="0"/>
              <w:jc w:val="left"/>
              <w:rPr>
                <w:rFonts w:ascii="宋体" w:hAnsi="宋体" w:eastAsia="宋体"/>
                <w:color w:val="000000" w:themeColor="text1"/>
                <w:szCs w:val="21"/>
                <w:lang w:eastAsia="en-US"/>
                <w14:textFill>
                  <w14:solidFill>
                    <w14:schemeClr w14:val="tx1"/>
                  </w14:solidFill>
                </w14:textFill>
              </w:rPr>
            </w:pPr>
            <w:r>
              <w:rPr>
                <w:rFonts w:ascii="宋体" w:hAnsi="宋体" w:eastAsia="宋体"/>
                <w:color w:val="000000" w:themeColor="text1"/>
                <w:spacing w:val="7"/>
                <w:szCs w:val="21"/>
                <w:lang w:eastAsia="en-US"/>
                <w14:textFill>
                  <w14:solidFill>
                    <w14:schemeClr w14:val="tx1"/>
                  </w14:solidFill>
                </w14:textFill>
              </w:rPr>
              <w:t>强烈的气味</w:t>
            </w:r>
          </w:p>
        </w:tc>
      </w:tr>
      <w:tr w14:paraId="2F186923">
        <w:tblPrEx>
          <w:tblBorders>
            <w:top w:val="single" w:color="000000" w:sz="12" w:space="0"/>
            <w:left w:val="none" w:color="auto" w:sz="0" w:space="0"/>
            <w:bottom w:val="single" w:color="000000" w:sz="12" w:space="0"/>
            <w:right w:val="none" w:color="auto" w:sz="0" w:space="0"/>
            <w:insideH w:val="single" w:color="000000" w:sz="2" w:space="0"/>
            <w:insideV w:val="single" w:color="000000" w:sz="4" w:space="0"/>
          </w:tblBorders>
          <w:tblCellMar>
            <w:top w:w="0" w:type="dxa"/>
            <w:left w:w="0" w:type="dxa"/>
            <w:bottom w:w="0" w:type="dxa"/>
            <w:right w:w="0" w:type="dxa"/>
          </w:tblCellMar>
        </w:tblPrEx>
        <w:trPr>
          <w:trHeight w:val="340" w:hRule="atLeast"/>
        </w:trPr>
        <w:tc>
          <w:tcPr>
            <w:tcW w:w="1645" w:type="dxa"/>
            <w:tcBorders>
              <w:tl2br w:val="nil"/>
              <w:tr2bl w:val="nil"/>
            </w:tcBorders>
          </w:tcPr>
          <w:p w14:paraId="5DA81DB4">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5</w:t>
            </w:r>
          </w:p>
        </w:tc>
        <w:tc>
          <w:tcPr>
            <w:tcW w:w="7135" w:type="dxa"/>
            <w:tcBorders>
              <w:tl2br w:val="nil"/>
              <w:tr2bl w:val="nil"/>
            </w:tcBorders>
          </w:tcPr>
          <w:p w14:paraId="158875B5">
            <w:pPr>
              <w:widowControl w:val="0"/>
              <w:autoSpaceDE w:val="0"/>
              <w:autoSpaceDN w:val="0"/>
              <w:jc w:val="left"/>
              <w:rPr>
                <w:rFonts w:ascii="宋体" w:hAnsi="宋体" w:eastAsia="宋体"/>
                <w:color w:val="000000" w:themeColor="text1"/>
                <w:szCs w:val="21"/>
                <w:lang w:eastAsia="en-US"/>
                <w14:textFill>
                  <w14:solidFill>
                    <w14:schemeClr w14:val="tx1"/>
                  </w14:solidFill>
                </w14:textFill>
              </w:rPr>
            </w:pPr>
            <w:r>
              <w:rPr>
                <w:rFonts w:ascii="宋体" w:hAnsi="宋体" w:eastAsia="宋体"/>
                <w:color w:val="000000" w:themeColor="text1"/>
                <w:spacing w:val="8"/>
                <w:szCs w:val="21"/>
                <w:lang w:eastAsia="en-US"/>
                <w14:textFill>
                  <w14:solidFill>
                    <w14:schemeClr w14:val="tx1"/>
                  </w14:solidFill>
                </w14:textFill>
              </w:rPr>
              <w:t>无法忍受的极强气味</w:t>
            </w:r>
          </w:p>
        </w:tc>
      </w:tr>
    </w:tbl>
    <w:p w14:paraId="56862906">
      <w:pPr>
        <w:pStyle w:val="34"/>
        <w:rPr>
          <w:color w:val="000000" w:themeColor="text1"/>
          <w:sz w:val="24"/>
          <w14:textFill>
            <w14:solidFill>
              <w14:schemeClr w14:val="tx1"/>
            </w14:solidFill>
          </w14:textFill>
        </w:rPr>
      </w:pPr>
      <w:r>
        <w:rPr>
          <w:color w:val="000000" w:themeColor="text1"/>
          <w:sz w:val="24"/>
          <w14:textFill>
            <w14:solidFill>
              <w14:schemeClr w14:val="tx1"/>
            </w14:solidFill>
          </w14:textFill>
        </w:rPr>
        <w:t>各主要恶臭污染物质浓度与恶臭强度的关系见</w:t>
      </w:r>
      <w:r>
        <w:rPr>
          <w:rFonts w:hint="eastAsia"/>
          <w:color w:val="000000" w:themeColor="text1"/>
          <w:sz w:val="24"/>
          <w14:textFill>
            <w14:solidFill>
              <w14:schemeClr w14:val="tx1"/>
            </w14:solidFill>
          </w14:textFill>
        </w:rPr>
        <w:t>下</w:t>
      </w:r>
      <w:r>
        <w:rPr>
          <w:color w:val="000000" w:themeColor="text1"/>
          <w:sz w:val="24"/>
          <w14:textFill>
            <w14:solidFill>
              <w14:schemeClr w14:val="tx1"/>
            </w14:solidFill>
          </w14:textFill>
        </w:rPr>
        <w:t>表。</w:t>
      </w:r>
    </w:p>
    <w:p w14:paraId="73E0A5B1">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w:t>
      </w:r>
      <w:r>
        <w:rPr>
          <w:rFonts w:hint="eastAsia"/>
          <w:snapToGrid w:val="0"/>
          <w:color w:val="000000" w:themeColor="text1"/>
          <w:szCs w:val="21"/>
          <w:lang w:val="en-US"/>
          <w14:textFill>
            <w14:solidFill>
              <w14:schemeClr w14:val="tx1"/>
            </w14:solidFill>
          </w14:textFill>
        </w:rPr>
        <w:t>5</w:t>
      </w:r>
      <w:r>
        <w:rPr>
          <w:snapToGrid w:val="0"/>
          <w:color w:val="000000" w:themeColor="text1"/>
          <w:szCs w:val="21"/>
          <w14:textFill>
            <w14:solidFill>
              <w14:schemeClr w14:val="tx1"/>
            </w14:solidFill>
          </w14:textFill>
        </w:rPr>
        <w:t>.2-1</w:t>
      </w:r>
      <w:r>
        <w:rPr>
          <w:rFonts w:hint="eastAsia"/>
          <w:snapToGrid w:val="0"/>
          <w:color w:val="000000" w:themeColor="text1"/>
          <w:szCs w:val="21"/>
          <w:lang w:val="en-US"/>
          <w14:textFill>
            <w14:solidFill>
              <w14:schemeClr w14:val="tx1"/>
            </w14:solidFill>
          </w14:textFill>
        </w:rPr>
        <w:t>8</w:t>
      </w:r>
      <w:r>
        <w:rPr>
          <w:snapToGrid w:val="0"/>
          <w:color w:val="000000" w:themeColor="text1"/>
          <w:szCs w:val="21"/>
          <w14:textFill>
            <w14:solidFill>
              <w14:schemeClr w14:val="tx1"/>
            </w14:solidFill>
          </w14:textFill>
        </w:rPr>
        <w:t xml:space="preserve"> 恶臭污染物浓度与恶臭强度关系</w:t>
      </w:r>
    </w:p>
    <w:tbl>
      <w:tblPr>
        <w:tblStyle w:val="1745"/>
        <w:tblW w:w="878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3"/>
        <w:gridCol w:w="748"/>
        <w:gridCol w:w="1063"/>
        <w:gridCol w:w="1063"/>
        <w:gridCol w:w="1063"/>
        <w:gridCol w:w="1063"/>
        <w:gridCol w:w="1063"/>
        <w:gridCol w:w="1063"/>
        <w:gridCol w:w="1069"/>
      </w:tblGrid>
      <w:tr w14:paraId="14CEA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3" w:type="dxa"/>
            <w:vMerge w:val="restart"/>
            <w:tcBorders>
              <w:top w:val="single" w:color="000000" w:sz="12" w:space="0"/>
              <w:left w:val="nil"/>
              <w:bottom w:val="single" w:color="000000" w:sz="2" w:space="0"/>
              <w:right w:val="single" w:color="000000" w:sz="2" w:space="0"/>
            </w:tcBorders>
            <w:vAlign w:val="center"/>
          </w:tcPr>
          <w:p w14:paraId="0C416154">
            <w:pPr>
              <w:widowControl w:val="0"/>
              <w:autoSpaceDE w:val="0"/>
              <w:autoSpaceDN w:val="0"/>
              <w:spacing w:before="35" w:line="228" w:lineRule="auto"/>
              <w:ind w:left="94"/>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pacing w:val="3"/>
                <w:szCs w:val="21"/>
                <w:lang w:eastAsia="en-US"/>
                <w14:textFill>
                  <w14:solidFill>
                    <w14:schemeClr w14:val="tx1"/>
                  </w14:solidFill>
                </w14:textFill>
              </w:rPr>
              <w:t>恶臭</w:t>
            </w:r>
          </w:p>
          <w:p w14:paraId="433F87E4">
            <w:pPr>
              <w:widowControl w:val="0"/>
              <w:autoSpaceDE w:val="0"/>
              <w:autoSpaceDN w:val="0"/>
              <w:spacing w:before="24" w:line="228" w:lineRule="auto"/>
              <w:ind w:left="95"/>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pacing w:val="3"/>
                <w:szCs w:val="21"/>
                <w:lang w:eastAsia="en-US"/>
                <w14:textFill>
                  <w14:solidFill>
                    <w14:schemeClr w14:val="tx1"/>
                  </w14:solidFill>
                </w14:textFill>
              </w:rPr>
              <w:t>污染</w:t>
            </w:r>
          </w:p>
          <w:p w14:paraId="774D0E64">
            <w:pPr>
              <w:widowControl w:val="0"/>
              <w:autoSpaceDE w:val="0"/>
              <w:autoSpaceDN w:val="0"/>
              <w:spacing w:before="24" w:line="220" w:lineRule="auto"/>
              <w:ind w:left="199"/>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pacing w:val="-2"/>
                <w:szCs w:val="21"/>
                <w:lang w:eastAsia="en-US"/>
                <w14:textFill>
                  <w14:solidFill>
                    <w14:schemeClr w14:val="tx1"/>
                  </w14:solidFill>
                </w14:textFill>
              </w:rPr>
              <w:t>物</w:t>
            </w:r>
          </w:p>
        </w:tc>
        <w:tc>
          <w:tcPr>
            <w:tcW w:w="748" w:type="dxa"/>
            <w:vMerge w:val="restart"/>
            <w:tcBorders>
              <w:top w:val="single" w:color="000000" w:sz="12" w:space="0"/>
              <w:left w:val="single" w:color="000000" w:sz="2" w:space="0"/>
              <w:bottom w:val="single" w:color="000000" w:sz="2" w:space="0"/>
              <w:right w:val="single" w:color="000000" w:sz="2" w:space="0"/>
            </w:tcBorders>
            <w:vAlign w:val="center"/>
          </w:tcPr>
          <w:p w14:paraId="622E06FD">
            <w:pPr>
              <w:widowControl w:val="0"/>
              <w:autoSpaceDE w:val="0"/>
              <w:autoSpaceDN w:val="0"/>
              <w:spacing w:before="65" w:line="228" w:lineRule="auto"/>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pacing w:val="3"/>
                <w:szCs w:val="21"/>
                <w:lang w:eastAsia="en-US"/>
                <w14:textFill>
                  <w14:solidFill>
                    <w14:schemeClr w14:val="tx1"/>
                  </w14:solidFill>
                </w14:textFill>
              </w:rPr>
              <w:t>单位</w:t>
            </w:r>
          </w:p>
        </w:tc>
        <w:tc>
          <w:tcPr>
            <w:tcW w:w="7447" w:type="dxa"/>
            <w:gridSpan w:val="7"/>
            <w:tcBorders>
              <w:top w:val="single" w:color="000000" w:sz="12" w:space="0"/>
              <w:left w:val="single" w:color="000000" w:sz="2" w:space="0"/>
              <w:bottom w:val="single" w:color="000000" w:sz="2" w:space="0"/>
              <w:right w:val="nil"/>
            </w:tcBorders>
            <w:vAlign w:val="center"/>
          </w:tcPr>
          <w:p w14:paraId="1ACF1112">
            <w:pPr>
              <w:widowControl w:val="0"/>
              <w:autoSpaceDE w:val="0"/>
              <w:autoSpaceDN w:val="0"/>
              <w:spacing w:before="66" w:line="228" w:lineRule="auto"/>
              <w:ind w:left="3095"/>
              <w:jc w:val="left"/>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pacing w:val="6"/>
                <w:szCs w:val="21"/>
                <w:lang w:eastAsia="en-US"/>
                <w14:textFill>
                  <w14:solidFill>
                    <w14:schemeClr w14:val="tx1"/>
                  </w14:solidFill>
                </w14:textFill>
              </w:rPr>
              <w:t>恶臭强度分级</w:t>
            </w:r>
          </w:p>
        </w:tc>
      </w:tr>
      <w:tr w14:paraId="0F7332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3" w:type="dxa"/>
            <w:vMerge w:val="continue"/>
            <w:tcBorders>
              <w:top w:val="single" w:color="000000" w:sz="2" w:space="0"/>
              <w:left w:val="nil"/>
              <w:bottom w:val="single" w:color="000000" w:sz="2" w:space="0"/>
              <w:right w:val="single" w:color="000000" w:sz="2" w:space="0"/>
            </w:tcBorders>
            <w:vAlign w:val="center"/>
          </w:tcPr>
          <w:p w14:paraId="580402EB">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p>
        </w:tc>
        <w:tc>
          <w:tcPr>
            <w:tcW w:w="748" w:type="dxa"/>
            <w:vMerge w:val="continue"/>
            <w:tcBorders>
              <w:top w:val="single" w:color="000000" w:sz="2" w:space="0"/>
              <w:left w:val="single" w:color="000000" w:sz="2" w:space="0"/>
              <w:bottom w:val="single" w:color="000000" w:sz="2" w:space="0"/>
              <w:right w:val="single" w:color="000000" w:sz="2" w:space="0"/>
            </w:tcBorders>
            <w:vAlign w:val="center"/>
          </w:tcPr>
          <w:p w14:paraId="2CF0E91C">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p>
        </w:tc>
        <w:tc>
          <w:tcPr>
            <w:tcW w:w="1063" w:type="dxa"/>
            <w:tcBorders>
              <w:top w:val="single" w:color="000000" w:sz="2" w:space="0"/>
              <w:left w:val="single" w:color="000000" w:sz="2" w:space="0"/>
              <w:bottom w:val="single" w:color="000000" w:sz="2" w:space="0"/>
              <w:right w:val="single" w:color="000000" w:sz="2" w:space="0"/>
            </w:tcBorders>
            <w:vAlign w:val="center"/>
          </w:tcPr>
          <w:p w14:paraId="312B94B0">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b/>
                <w:bCs/>
                <w:color w:val="000000" w:themeColor="text1"/>
                <w:szCs w:val="21"/>
                <w:lang w:eastAsia="en-US"/>
                <w14:textFill>
                  <w14:solidFill>
                    <w14:schemeClr w14:val="tx1"/>
                  </w14:solidFill>
                </w14:textFill>
              </w:rPr>
              <w:t>1</w:t>
            </w:r>
          </w:p>
        </w:tc>
        <w:tc>
          <w:tcPr>
            <w:tcW w:w="1063" w:type="dxa"/>
            <w:tcBorders>
              <w:top w:val="single" w:color="000000" w:sz="2" w:space="0"/>
              <w:left w:val="single" w:color="000000" w:sz="2" w:space="0"/>
              <w:bottom w:val="single" w:color="000000" w:sz="2" w:space="0"/>
              <w:right w:val="single" w:color="000000" w:sz="2" w:space="0"/>
            </w:tcBorders>
            <w:vAlign w:val="center"/>
          </w:tcPr>
          <w:p w14:paraId="6FF402A5">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b/>
                <w:bCs/>
                <w:color w:val="000000" w:themeColor="text1"/>
                <w:szCs w:val="21"/>
                <w:lang w:eastAsia="en-US"/>
                <w14:textFill>
                  <w14:solidFill>
                    <w14:schemeClr w14:val="tx1"/>
                  </w14:solidFill>
                </w14:textFill>
              </w:rPr>
              <w:t>2</w:t>
            </w:r>
          </w:p>
        </w:tc>
        <w:tc>
          <w:tcPr>
            <w:tcW w:w="1063" w:type="dxa"/>
            <w:tcBorders>
              <w:top w:val="single" w:color="000000" w:sz="2" w:space="0"/>
              <w:left w:val="single" w:color="000000" w:sz="2" w:space="0"/>
              <w:bottom w:val="single" w:color="000000" w:sz="2" w:space="0"/>
              <w:right w:val="single" w:color="000000" w:sz="2" w:space="0"/>
            </w:tcBorders>
            <w:vAlign w:val="center"/>
          </w:tcPr>
          <w:p w14:paraId="7F16648E">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b/>
                <w:bCs/>
                <w:color w:val="000000" w:themeColor="text1"/>
                <w:spacing w:val="2"/>
                <w:szCs w:val="21"/>
                <w:lang w:eastAsia="en-US"/>
                <w14:textFill>
                  <w14:solidFill>
                    <w14:schemeClr w14:val="tx1"/>
                  </w14:solidFill>
                </w14:textFill>
              </w:rPr>
              <w:t>2.5</w:t>
            </w:r>
          </w:p>
        </w:tc>
        <w:tc>
          <w:tcPr>
            <w:tcW w:w="1063" w:type="dxa"/>
            <w:tcBorders>
              <w:top w:val="single" w:color="000000" w:sz="2" w:space="0"/>
              <w:left w:val="single" w:color="000000" w:sz="2" w:space="0"/>
              <w:bottom w:val="single" w:color="000000" w:sz="2" w:space="0"/>
              <w:right w:val="single" w:color="000000" w:sz="2" w:space="0"/>
            </w:tcBorders>
            <w:vAlign w:val="center"/>
          </w:tcPr>
          <w:p w14:paraId="191C9C17">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b/>
                <w:bCs/>
                <w:color w:val="000000" w:themeColor="text1"/>
                <w:spacing w:val="1"/>
                <w:szCs w:val="21"/>
                <w:lang w:eastAsia="en-US"/>
                <w14:textFill>
                  <w14:solidFill>
                    <w14:schemeClr w14:val="tx1"/>
                  </w14:solidFill>
                </w14:textFill>
              </w:rPr>
              <w:t>3</w:t>
            </w:r>
          </w:p>
        </w:tc>
        <w:tc>
          <w:tcPr>
            <w:tcW w:w="1063" w:type="dxa"/>
            <w:tcBorders>
              <w:top w:val="single" w:color="000000" w:sz="2" w:space="0"/>
              <w:left w:val="single" w:color="000000" w:sz="2" w:space="0"/>
              <w:bottom w:val="single" w:color="000000" w:sz="2" w:space="0"/>
              <w:right w:val="single" w:color="000000" w:sz="2" w:space="0"/>
            </w:tcBorders>
            <w:vAlign w:val="center"/>
          </w:tcPr>
          <w:p w14:paraId="799CE59C">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b/>
                <w:bCs/>
                <w:color w:val="000000" w:themeColor="text1"/>
                <w:spacing w:val="3"/>
                <w:szCs w:val="21"/>
                <w:lang w:eastAsia="en-US"/>
                <w14:textFill>
                  <w14:solidFill>
                    <w14:schemeClr w14:val="tx1"/>
                  </w14:solidFill>
                </w14:textFill>
              </w:rPr>
              <w:t>3.5</w:t>
            </w:r>
          </w:p>
        </w:tc>
        <w:tc>
          <w:tcPr>
            <w:tcW w:w="1063" w:type="dxa"/>
            <w:tcBorders>
              <w:top w:val="single" w:color="000000" w:sz="2" w:space="0"/>
              <w:left w:val="single" w:color="000000" w:sz="2" w:space="0"/>
              <w:bottom w:val="single" w:color="000000" w:sz="2" w:space="0"/>
              <w:right w:val="single" w:color="000000" w:sz="2" w:space="0"/>
            </w:tcBorders>
            <w:vAlign w:val="center"/>
          </w:tcPr>
          <w:p w14:paraId="132187E9">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b/>
                <w:bCs/>
                <w:color w:val="000000" w:themeColor="text1"/>
                <w:szCs w:val="21"/>
                <w:lang w:eastAsia="en-US"/>
                <w14:textFill>
                  <w14:solidFill>
                    <w14:schemeClr w14:val="tx1"/>
                  </w14:solidFill>
                </w14:textFill>
              </w:rPr>
              <w:t>4</w:t>
            </w:r>
          </w:p>
        </w:tc>
        <w:tc>
          <w:tcPr>
            <w:tcW w:w="1069" w:type="dxa"/>
            <w:tcBorders>
              <w:top w:val="single" w:color="000000" w:sz="2" w:space="0"/>
              <w:left w:val="single" w:color="000000" w:sz="2" w:space="0"/>
              <w:bottom w:val="single" w:color="000000" w:sz="2" w:space="0"/>
              <w:right w:val="nil"/>
            </w:tcBorders>
            <w:vAlign w:val="center"/>
          </w:tcPr>
          <w:p w14:paraId="0867C167">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b/>
                <w:bCs/>
                <w:color w:val="000000" w:themeColor="text1"/>
                <w:szCs w:val="21"/>
                <w:lang w:eastAsia="en-US"/>
                <w14:textFill>
                  <w14:solidFill>
                    <w14:schemeClr w14:val="tx1"/>
                  </w14:solidFill>
                </w14:textFill>
              </w:rPr>
              <w:t>5</w:t>
            </w:r>
          </w:p>
        </w:tc>
      </w:tr>
      <w:tr w14:paraId="540D1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3" w:type="dxa"/>
            <w:vMerge w:val="restart"/>
            <w:tcBorders>
              <w:top w:val="single" w:color="000000" w:sz="2" w:space="0"/>
              <w:left w:val="nil"/>
              <w:bottom w:val="single" w:color="000000" w:sz="2" w:space="0"/>
              <w:right w:val="single" w:color="000000" w:sz="2" w:space="0"/>
            </w:tcBorders>
          </w:tcPr>
          <w:p w14:paraId="51533DCA">
            <w:pPr>
              <w:widowControl w:val="0"/>
              <w:autoSpaceDE w:val="0"/>
              <w:autoSpaceDN w:val="0"/>
              <w:spacing w:before="278" w:line="199" w:lineRule="auto"/>
              <w:ind w:left="107"/>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7"/>
                <w:szCs w:val="21"/>
                <w:lang w:eastAsia="en-US"/>
                <w14:textFill>
                  <w14:solidFill>
                    <w14:schemeClr w14:val="tx1"/>
                  </w14:solidFill>
                </w14:textFill>
              </w:rPr>
              <w:t>NH</w:t>
            </w:r>
            <w:r>
              <w:rPr>
                <w:rFonts w:ascii="Calibri" w:hAnsi="Calibri" w:eastAsia="Times New Roman"/>
                <w:color w:val="000000" w:themeColor="text1"/>
                <w:spacing w:val="7"/>
                <w:position w:val="-1"/>
                <w:szCs w:val="21"/>
                <w:vertAlign w:val="subscript"/>
                <w:lang w:eastAsia="en-US"/>
                <w14:textFill>
                  <w14:solidFill>
                    <w14:schemeClr w14:val="tx1"/>
                  </w14:solidFill>
                </w14:textFill>
              </w:rPr>
              <w:t>3</w:t>
            </w:r>
          </w:p>
        </w:tc>
        <w:tc>
          <w:tcPr>
            <w:tcW w:w="748" w:type="dxa"/>
            <w:tcBorders>
              <w:top w:val="single" w:color="000000" w:sz="2" w:space="0"/>
              <w:left w:val="single" w:color="000000" w:sz="2" w:space="0"/>
              <w:bottom w:val="single" w:color="000000" w:sz="2" w:space="0"/>
              <w:right w:val="single" w:color="000000" w:sz="2" w:space="0"/>
            </w:tcBorders>
            <w:vAlign w:val="center"/>
          </w:tcPr>
          <w:p w14:paraId="017642E8">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hint="eastAsia" w:ascii="Calibri" w:hAnsi="Calibri" w:eastAsia="Times New Roman"/>
                <w:color w:val="000000" w:themeColor="text1"/>
                <w:spacing w:val="6"/>
                <w:position w:val="2"/>
                <w:szCs w:val="21"/>
                <w:lang w:eastAsia="en-US"/>
                <w14:textFill>
                  <w14:solidFill>
                    <w14:schemeClr w14:val="tx1"/>
                  </w14:solidFill>
                </w14:textFill>
              </w:rPr>
              <w:t>pp</w:t>
            </w:r>
            <w:r>
              <w:rPr>
                <w:rFonts w:ascii="Calibri" w:hAnsi="Calibri" w:eastAsia="Times New Roman"/>
                <w:color w:val="000000" w:themeColor="text1"/>
                <w:spacing w:val="6"/>
                <w:position w:val="2"/>
                <w:szCs w:val="21"/>
                <w:lang w:eastAsia="en-US"/>
                <w14:textFill>
                  <w14:solidFill>
                    <w14:schemeClr w14:val="tx1"/>
                  </w14:solidFill>
                </w14:textFill>
              </w:rPr>
              <w:t>m</w:t>
            </w:r>
          </w:p>
        </w:tc>
        <w:tc>
          <w:tcPr>
            <w:tcW w:w="1063" w:type="dxa"/>
            <w:tcBorders>
              <w:top w:val="single" w:color="000000" w:sz="2" w:space="0"/>
              <w:left w:val="single" w:color="000000" w:sz="2" w:space="0"/>
              <w:bottom w:val="single" w:color="000000" w:sz="2" w:space="0"/>
              <w:right w:val="single" w:color="000000" w:sz="2" w:space="0"/>
            </w:tcBorders>
            <w:vAlign w:val="center"/>
          </w:tcPr>
          <w:p w14:paraId="30F16D90">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0.1</w:t>
            </w:r>
          </w:p>
        </w:tc>
        <w:tc>
          <w:tcPr>
            <w:tcW w:w="1063" w:type="dxa"/>
            <w:tcBorders>
              <w:top w:val="single" w:color="000000" w:sz="2" w:space="0"/>
              <w:left w:val="single" w:color="000000" w:sz="2" w:space="0"/>
              <w:bottom w:val="single" w:color="000000" w:sz="2" w:space="0"/>
              <w:right w:val="single" w:color="000000" w:sz="2" w:space="0"/>
            </w:tcBorders>
            <w:vAlign w:val="center"/>
          </w:tcPr>
          <w:p w14:paraId="3904F864">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1"/>
                <w:szCs w:val="21"/>
                <w:lang w:eastAsia="en-US"/>
                <w14:textFill>
                  <w14:solidFill>
                    <w14:schemeClr w14:val="tx1"/>
                  </w14:solidFill>
                </w14:textFill>
              </w:rPr>
              <w:t>0.6</w:t>
            </w:r>
          </w:p>
        </w:tc>
        <w:tc>
          <w:tcPr>
            <w:tcW w:w="1063" w:type="dxa"/>
            <w:tcBorders>
              <w:top w:val="single" w:color="000000" w:sz="2" w:space="0"/>
              <w:left w:val="single" w:color="000000" w:sz="2" w:space="0"/>
              <w:bottom w:val="single" w:color="000000" w:sz="2" w:space="0"/>
              <w:right w:val="single" w:color="000000" w:sz="2" w:space="0"/>
            </w:tcBorders>
            <w:vAlign w:val="center"/>
          </w:tcPr>
          <w:p w14:paraId="0EB9F9D2">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1</w:t>
            </w:r>
          </w:p>
        </w:tc>
        <w:tc>
          <w:tcPr>
            <w:tcW w:w="1063" w:type="dxa"/>
            <w:tcBorders>
              <w:top w:val="single" w:color="000000" w:sz="2" w:space="0"/>
              <w:left w:val="single" w:color="000000" w:sz="2" w:space="0"/>
              <w:bottom w:val="single" w:color="000000" w:sz="2" w:space="0"/>
              <w:right w:val="single" w:color="000000" w:sz="2" w:space="0"/>
            </w:tcBorders>
            <w:vAlign w:val="center"/>
          </w:tcPr>
          <w:p w14:paraId="0FB1B539">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2</w:t>
            </w:r>
          </w:p>
        </w:tc>
        <w:tc>
          <w:tcPr>
            <w:tcW w:w="1063" w:type="dxa"/>
            <w:tcBorders>
              <w:top w:val="single" w:color="000000" w:sz="2" w:space="0"/>
              <w:left w:val="single" w:color="000000" w:sz="2" w:space="0"/>
              <w:bottom w:val="single" w:color="000000" w:sz="2" w:space="0"/>
              <w:right w:val="single" w:color="000000" w:sz="2" w:space="0"/>
            </w:tcBorders>
            <w:vAlign w:val="center"/>
          </w:tcPr>
          <w:p w14:paraId="2F820D92">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5</w:t>
            </w:r>
          </w:p>
        </w:tc>
        <w:tc>
          <w:tcPr>
            <w:tcW w:w="1063" w:type="dxa"/>
            <w:tcBorders>
              <w:top w:val="single" w:color="000000" w:sz="2" w:space="0"/>
              <w:left w:val="single" w:color="000000" w:sz="2" w:space="0"/>
              <w:bottom w:val="single" w:color="000000" w:sz="2" w:space="0"/>
              <w:right w:val="single" w:color="000000" w:sz="2" w:space="0"/>
            </w:tcBorders>
            <w:vAlign w:val="center"/>
          </w:tcPr>
          <w:p w14:paraId="2B4F66EB">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8"/>
                <w:szCs w:val="21"/>
                <w:lang w:eastAsia="en-US"/>
                <w14:textFill>
                  <w14:solidFill>
                    <w14:schemeClr w14:val="tx1"/>
                  </w14:solidFill>
                </w14:textFill>
              </w:rPr>
              <w:t>10</w:t>
            </w:r>
          </w:p>
        </w:tc>
        <w:tc>
          <w:tcPr>
            <w:tcW w:w="1069" w:type="dxa"/>
            <w:tcBorders>
              <w:top w:val="single" w:color="000000" w:sz="2" w:space="0"/>
              <w:left w:val="single" w:color="000000" w:sz="2" w:space="0"/>
              <w:bottom w:val="single" w:color="000000" w:sz="2" w:space="0"/>
              <w:right w:val="nil"/>
            </w:tcBorders>
            <w:vAlign w:val="center"/>
          </w:tcPr>
          <w:p w14:paraId="202C06C9">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3"/>
                <w:szCs w:val="21"/>
                <w:lang w:eastAsia="en-US"/>
                <w14:textFill>
                  <w14:solidFill>
                    <w14:schemeClr w14:val="tx1"/>
                  </w14:solidFill>
                </w14:textFill>
              </w:rPr>
              <w:t>40</w:t>
            </w:r>
          </w:p>
        </w:tc>
      </w:tr>
      <w:tr w14:paraId="1AB2A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3" w:type="dxa"/>
            <w:vMerge w:val="continue"/>
            <w:tcBorders>
              <w:top w:val="single" w:color="000000" w:sz="2" w:space="0"/>
              <w:left w:val="nil"/>
              <w:bottom w:val="single" w:color="000000" w:sz="2" w:space="0"/>
              <w:right w:val="single" w:color="000000" w:sz="2" w:space="0"/>
            </w:tcBorders>
          </w:tcPr>
          <w:p w14:paraId="152313EB">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p>
        </w:tc>
        <w:tc>
          <w:tcPr>
            <w:tcW w:w="748" w:type="dxa"/>
            <w:tcBorders>
              <w:top w:val="single" w:color="000000" w:sz="2" w:space="0"/>
              <w:left w:val="single" w:color="000000" w:sz="2" w:space="0"/>
              <w:bottom w:val="single" w:color="000000" w:sz="2" w:space="0"/>
              <w:right w:val="single" w:color="000000" w:sz="2" w:space="0"/>
            </w:tcBorders>
            <w:vAlign w:val="center"/>
          </w:tcPr>
          <w:p w14:paraId="7DBFE58D">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2"/>
                <w:szCs w:val="21"/>
                <w:lang w:eastAsia="en-US"/>
                <w14:textFill>
                  <w14:solidFill>
                    <w14:schemeClr w14:val="tx1"/>
                  </w14:solidFill>
                </w14:textFill>
              </w:rPr>
              <w:t>μg/m</w:t>
            </w:r>
            <w:r>
              <w:rPr>
                <w:rFonts w:ascii="Calibri" w:hAnsi="Calibri" w:eastAsia="Times New Roman"/>
                <w:color w:val="000000" w:themeColor="text1"/>
                <w:spacing w:val="2"/>
                <w:position w:val="6"/>
                <w:szCs w:val="21"/>
                <w:vertAlign w:val="superscript"/>
                <w:lang w:eastAsia="en-US"/>
                <w14:textFill>
                  <w14:solidFill>
                    <w14:schemeClr w14:val="tx1"/>
                  </w14:solidFill>
                </w14:textFill>
              </w:rPr>
              <w:t>3</w:t>
            </w:r>
          </w:p>
        </w:tc>
        <w:tc>
          <w:tcPr>
            <w:tcW w:w="1063" w:type="dxa"/>
            <w:tcBorders>
              <w:top w:val="single" w:color="000000" w:sz="2" w:space="0"/>
              <w:left w:val="single" w:color="000000" w:sz="2" w:space="0"/>
              <w:bottom w:val="single" w:color="000000" w:sz="2" w:space="0"/>
              <w:right w:val="single" w:color="000000" w:sz="2" w:space="0"/>
            </w:tcBorders>
            <w:vAlign w:val="center"/>
          </w:tcPr>
          <w:p w14:paraId="45D6417E">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3"/>
                <w:szCs w:val="21"/>
                <w:lang w:eastAsia="en-US"/>
                <w14:textFill>
                  <w14:solidFill>
                    <w14:schemeClr w14:val="tx1"/>
                  </w14:solidFill>
                </w14:textFill>
              </w:rPr>
              <w:t>69.5260</w:t>
            </w:r>
          </w:p>
        </w:tc>
        <w:tc>
          <w:tcPr>
            <w:tcW w:w="1063" w:type="dxa"/>
            <w:tcBorders>
              <w:top w:val="single" w:color="000000" w:sz="2" w:space="0"/>
              <w:left w:val="single" w:color="000000" w:sz="2" w:space="0"/>
              <w:bottom w:val="single" w:color="000000" w:sz="2" w:space="0"/>
              <w:right w:val="single" w:color="000000" w:sz="2" w:space="0"/>
            </w:tcBorders>
            <w:vAlign w:val="center"/>
          </w:tcPr>
          <w:p w14:paraId="479B4E92">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4"/>
                <w:szCs w:val="21"/>
                <w:lang w:eastAsia="en-US"/>
                <w14:textFill>
                  <w14:solidFill>
                    <w14:schemeClr w14:val="tx1"/>
                  </w14:solidFill>
                </w14:textFill>
              </w:rPr>
              <w:t>417.1560</w:t>
            </w:r>
          </w:p>
        </w:tc>
        <w:tc>
          <w:tcPr>
            <w:tcW w:w="1063" w:type="dxa"/>
            <w:tcBorders>
              <w:top w:val="single" w:color="000000" w:sz="2" w:space="0"/>
              <w:left w:val="single" w:color="000000" w:sz="2" w:space="0"/>
              <w:bottom w:val="single" w:color="000000" w:sz="2" w:space="0"/>
              <w:right w:val="single" w:color="000000" w:sz="2" w:space="0"/>
            </w:tcBorders>
            <w:vAlign w:val="center"/>
          </w:tcPr>
          <w:p w14:paraId="2C22220A">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3"/>
                <w:szCs w:val="21"/>
                <w:lang w:eastAsia="en-US"/>
                <w14:textFill>
                  <w14:solidFill>
                    <w14:schemeClr w14:val="tx1"/>
                  </w14:solidFill>
                </w14:textFill>
              </w:rPr>
              <w:t>695.2601</w:t>
            </w:r>
          </w:p>
        </w:tc>
        <w:tc>
          <w:tcPr>
            <w:tcW w:w="1063" w:type="dxa"/>
            <w:tcBorders>
              <w:top w:val="single" w:color="000000" w:sz="2" w:space="0"/>
              <w:left w:val="single" w:color="000000" w:sz="2" w:space="0"/>
              <w:bottom w:val="single" w:color="000000" w:sz="2" w:space="0"/>
              <w:right w:val="single" w:color="000000" w:sz="2" w:space="0"/>
            </w:tcBorders>
            <w:vAlign w:val="center"/>
          </w:tcPr>
          <w:p w14:paraId="34809BCC">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2"/>
                <w:szCs w:val="21"/>
                <w:lang w:eastAsia="en-US"/>
                <w14:textFill>
                  <w14:solidFill>
                    <w14:schemeClr w14:val="tx1"/>
                  </w14:solidFill>
                </w14:textFill>
              </w:rPr>
              <w:t>1390.5201</w:t>
            </w:r>
          </w:p>
        </w:tc>
        <w:tc>
          <w:tcPr>
            <w:tcW w:w="1063" w:type="dxa"/>
            <w:tcBorders>
              <w:top w:val="single" w:color="000000" w:sz="2" w:space="0"/>
              <w:left w:val="single" w:color="000000" w:sz="2" w:space="0"/>
              <w:bottom w:val="single" w:color="000000" w:sz="2" w:space="0"/>
              <w:right w:val="single" w:color="000000" w:sz="2" w:space="0"/>
            </w:tcBorders>
            <w:vAlign w:val="center"/>
          </w:tcPr>
          <w:p w14:paraId="44E5A37F">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3"/>
                <w:szCs w:val="21"/>
                <w:lang w:eastAsia="en-US"/>
                <w14:textFill>
                  <w14:solidFill>
                    <w14:schemeClr w14:val="tx1"/>
                  </w14:solidFill>
                </w14:textFill>
              </w:rPr>
              <w:t>3476.3003</w:t>
            </w:r>
          </w:p>
        </w:tc>
        <w:tc>
          <w:tcPr>
            <w:tcW w:w="1063" w:type="dxa"/>
            <w:tcBorders>
              <w:top w:val="single" w:color="000000" w:sz="2" w:space="0"/>
              <w:left w:val="single" w:color="000000" w:sz="2" w:space="0"/>
              <w:bottom w:val="single" w:color="000000" w:sz="2" w:space="0"/>
              <w:right w:val="single" w:color="000000" w:sz="2" w:space="0"/>
            </w:tcBorders>
            <w:vAlign w:val="center"/>
          </w:tcPr>
          <w:p w14:paraId="38BE166E">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3"/>
                <w:szCs w:val="21"/>
                <w:lang w:eastAsia="en-US"/>
                <w14:textFill>
                  <w14:solidFill>
                    <w14:schemeClr w14:val="tx1"/>
                  </w14:solidFill>
                </w14:textFill>
              </w:rPr>
              <w:t>6952.6007</w:t>
            </w:r>
          </w:p>
        </w:tc>
        <w:tc>
          <w:tcPr>
            <w:tcW w:w="1069" w:type="dxa"/>
            <w:tcBorders>
              <w:top w:val="single" w:color="000000" w:sz="2" w:space="0"/>
              <w:left w:val="single" w:color="000000" w:sz="2" w:space="0"/>
              <w:bottom w:val="single" w:color="000000" w:sz="2" w:space="0"/>
              <w:right w:val="nil"/>
            </w:tcBorders>
            <w:vAlign w:val="center"/>
          </w:tcPr>
          <w:p w14:paraId="6F6F44E3">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4"/>
                <w:szCs w:val="21"/>
                <w:lang w:eastAsia="en-US"/>
                <w14:textFill>
                  <w14:solidFill>
                    <w14:schemeClr w14:val="tx1"/>
                  </w14:solidFill>
                </w14:textFill>
              </w:rPr>
              <w:t>27810.4027</w:t>
            </w:r>
          </w:p>
        </w:tc>
      </w:tr>
      <w:tr w14:paraId="4EB72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3" w:type="dxa"/>
            <w:vMerge w:val="restart"/>
            <w:tcBorders>
              <w:top w:val="single" w:color="000000" w:sz="2" w:space="0"/>
              <w:left w:val="nil"/>
              <w:bottom w:val="single" w:color="000000" w:sz="2" w:space="0"/>
              <w:right w:val="single" w:color="000000" w:sz="2" w:space="0"/>
            </w:tcBorders>
          </w:tcPr>
          <w:p w14:paraId="535261AA">
            <w:pPr>
              <w:widowControl w:val="0"/>
              <w:autoSpaceDE w:val="0"/>
              <w:autoSpaceDN w:val="0"/>
              <w:spacing w:before="292" w:line="202" w:lineRule="auto"/>
              <w:ind w:left="130"/>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4"/>
                <w:szCs w:val="21"/>
                <w:lang w:eastAsia="en-US"/>
                <w14:textFill>
                  <w14:solidFill>
                    <w14:schemeClr w14:val="tx1"/>
                  </w14:solidFill>
                </w14:textFill>
              </w:rPr>
              <w:t>H</w:t>
            </w:r>
            <w:r>
              <w:rPr>
                <w:rFonts w:ascii="Calibri" w:hAnsi="Calibri" w:eastAsia="Times New Roman"/>
                <w:color w:val="000000" w:themeColor="text1"/>
                <w:spacing w:val="4"/>
                <w:position w:val="-1"/>
                <w:szCs w:val="21"/>
                <w:vertAlign w:val="subscript"/>
                <w:lang w:eastAsia="en-US"/>
                <w14:textFill>
                  <w14:solidFill>
                    <w14:schemeClr w14:val="tx1"/>
                  </w14:solidFill>
                </w14:textFill>
              </w:rPr>
              <w:t>2</w:t>
            </w:r>
            <w:r>
              <w:rPr>
                <w:rFonts w:ascii="Calibri" w:hAnsi="Calibri" w:eastAsia="Times New Roman"/>
                <w:color w:val="000000" w:themeColor="text1"/>
                <w:spacing w:val="4"/>
                <w:szCs w:val="21"/>
                <w:lang w:eastAsia="en-US"/>
                <w14:textFill>
                  <w14:solidFill>
                    <w14:schemeClr w14:val="tx1"/>
                  </w14:solidFill>
                </w14:textFill>
              </w:rPr>
              <w:t>S</w:t>
            </w:r>
          </w:p>
        </w:tc>
        <w:tc>
          <w:tcPr>
            <w:tcW w:w="748" w:type="dxa"/>
            <w:tcBorders>
              <w:top w:val="single" w:color="000000" w:sz="2" w:space="0"/>
              <w:left w:val="single" w:color="000000" w:sz="2" w:space="0"/>
              <w:bottom w:val="single" w:color="000000" w:sz="2" w:space="0"/>
              <w:right w:val="single" w:color="000000" w:sz="2" w:space="0"/>
            </w:tcBorders>
            <w:vAlign w:val="center"/>
          </w:tcPr>
          <w:p w14:paraId="1A798E20">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6"/>
                <w:position w:val="2"/>
                <w:szCs w:val="21"/>
                <w:lang w:eastAsia="en-US"/>
                <w14:textFill>
                  <w14:solidFill>
                    <w14:schemeClr w14:val="tx1"/>
                  </w14:solidFill>
                </w14:textFill>
              </w:rPr>
              <w:t>ppm</w:t>
            </w:r>
          </w:p>
        </w:tc>
        <w:tc>
          <w:tcPr>
            <w:tcW w:w="1063" w:type="dxa"/>
            <w:tcBorders>
              <w:top w:val="single" w:color="000000" w:sz="2" w:space="0"/>
              <w:left w:val="single" w:color="000000" w:sz="2" w:space="0"/>
              <w:bottom w:val="single" w:color="000000" w:sz="2" w:space="0"/>
              <w:right w:val="single" w:color="000000" w:sz="2" w:space="0"/>
            </w:tcBorders>
            <w:vAlign w:val="center"/>
          </w:tcPr>
          <w:p w14:paraId="444E3386">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3"/>
                <w:szCs w:val="21"/>
                <w:lang w:eastAsia="en-US"/>
                <w14:textFill>
                  <w14:solidFill>
                    <w14:schemeClr w14:val="tx1"/>
                  </w14:solidFill>
                </w14:textFill>
              </w:rPr>
              <w:t>0.0005</w:t>
            </w:r>
          </w:p>
        </w:tc>
        <w:tc>
          <w:tcPr>
            <w:tcW w:w="1063" w:type="dxa"/>
            <w:tcBorders>
              <w:top w:val="single" w:color="000000" w:sz="2" w:space="0"/>
              <w:left w:val="single" w:color="000000" w:sz="2" w:space="0"/>
              <w:bottom w:val="single" w:color="000000" w:sz="2" w:space="0"/>
              <w:right w:val="single" w:color="000000" w:sz="2" w:space="0"/>
            </w:tcBorders>
            <w:vAlign w:val="center"/>
          </w:tcPr>
          <w:p w14:paraId="071B639D">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3"/>
                <w:szCs w:val="21"/>
                <w:lang w:eastAsia="en-US"/>
                <w14:textFill>
                  <w14:solidFill>
                    <w14:schemeClr w14:val="tx1"/>
                  </w14:solidFill>
                </w14:textFill>
              </w:rPr>
              <w:t>0.006</w:t>
            </w:r>
          </w:p>
        </w:tc>
        <w:tc>
          <w:tcPr>
            <w:tcW w:w="1063" w:type="dxa"/>
            <w:tcBorders>
              <w:top w:val="single" w:color="000000" w:sz="2" w:space="0"/>
              <w:left w:val="single" w:color="000000" w:sz="2" w:space="0"/>
              <w:bottom w:val="single" w:color="000000" w:sz="2" w:space="0"/>
              <w:right w:val="single" w:color="000000" w:sz="2" w:space="0"/>
            </w:tcBorders>
            <w:vAlign w:val="center"/>
          </w:tcPr>
          <w:p w14:paraId="40C93FE6">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2"/>
                <w:szCs w:val="21"/>
                <w:lang w:eastAsia="en-US"/>
                <w14:textFill>
                  <w14:solidFill>
                    <w14:schemeClr w14:val="tx1"/>
                  </w14:solidFill>
                </w14:textFill>
              </w:rPr>
              <w:t>0.02</w:t>
            </w:r>
          </w:p>
        </w:tc>
        <w:tc>
          <w:tcPr>
            <w:tcW w:w="1063" w:type="dxa"/>
            <w:tcBorders>
              <w:top w:val="single" w:color="000000" w:sz="2" w:space="0"/>
              <w:left w:val="single" w:color="000000" w:sz="2" w:space="0"/>
              <w:bottom w:val="single" w:color="000000" w:sz="2" w:space="0"/>
              <w:right w:val="single" w:color="000000" w:sz="2" w:space="0"/>
            </w:tcBorders>
            <w:vAlign w:val="center"/>
          </w:tcPr>
          <w:p w14:paraId="03A5276F">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2"/>
                <w:szCs w:val="21"/>
                <w:lang w:eastAsia="en-US"/>
                <w14:textFill>
                  <w14:solidFill>
                    <w14:schemeClr w14:val="tx1"/>
                  </w14:solidFill>
                </w14:textFill>
              </w:rPr>
              <w:t>0.06</w:t>
            </w:r>
          </w:p>
        </w:tc>
        <w:tc>
          <w:tcPr>
            <w:tcW w:w="1063" w:type="dxa"/>
            <w:tcBorders>
              <w:top w:val="single" w:color="000000" w:sz="2" w:space="0"/>
              <w:left w:val="single" w:color="000000" w:sz="2" w:space="0"/>
              <w:bottom w:val="single" w:color="000000" w:sz="2" w:space="0"/>
              <w:right w:val="single" w:color="000000" w:sz="2" w:space="0"/>
            </w:tcBorders>
            <w:vAlign w:val="center"/>
          </w:tcPr>
          <w:p w14:paraId="71E68EBC">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1"/>
                <w:szCs w:val="21"/>
                <w:lang w:eastAsia="en-US"/>
                <w14:textFill>
                  <w14:solidFill>
                    <w14:schemeClr w14:val="tx1"/>
                  </w14:solidFill>
                </w14:textFill>
              </w:rPr>
              <w:t>0.2</w:t>
            </w:r>
          </w:p>
        </w:tc>
        <w:tc>
          <w:tcPr>
            <w:tcW w:w="1063" w:type="dxa"/>
            <w:tcBorders>
              <w:top w:val="single" w:color="000000" w:sz="2" w:space="0"/>
              <w:left w:val="single" w:color="000000" w:sz="2" w:space="0"/>
              <w:bottom w:val="single" w:color="000000" w:sz="2" w:space="0"/>
              <w:right w:val="single" w:color="000000" w:sz="2" w:space="0"/>
            </w:tcBorders>
            <w:vAlign w:val="center"/>
          </w:tcPr>
          <w:p w14:paraId="34FEB217">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1"/>
                <w:szCs w:val="21"/>
                <w:lang w:eastAsia="en-US"/>
                <w14:textFill>
                  <w14:solidFill>
                    <w14:schemeClr w14:val="tx1"/>
                  </w14:solidFill>
                </w14:textFill>
              </w:rPr>
              <w:t>0.7</w:t>
            </w:r>
          </w:p>
        </w:tc>
        <w:tc>
          <w:tcPr>
            <w:tcW w:w="1069" w:type="dxa"/>
            <w:tcBorders>
              <w:top w:val="single" w:color="000000" w:sz="2" w:space="0"/>
              <w:left w:val="single" w:color="000000" w:sz="2" w:space="0"/>
              <w:bottom w:val="single" w:color="000000" w:sz="2" w:space="0"/>
              <w:right w:val="nil"/>
            </w:tcBorders>
            <w:vAlign w:val="center"/>
          </w:tcPr>
          <w:p w14:paraId="2A02F67F">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zCs w:val="21"/>
                <w:lang w:eastAsia="en-US"/>
                <w14:textFill>
                  <w14:solidFill>
                    <w14:schemeClr w14:val="tx1"/>
                  </w14:solidFill>
                </w14:textFill>
              </w:rPr>
              <w:t>3</w:t>
            </w:r>
          </w:p>
        </w:tc>
      </w:tr>
      <w:tr w14:paraId="174BA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593" w:type="dxa"/>
            <w:vMerge w:val="continue"/>
            <w:tcBorders>
              <w:top w:val="single" w:color="000000" w:sz="2" w:space="0"/>
              <w:left w:val="nil"/>
              <w:bottom w:val="single" w:color="000000" w:sz="12" w:space="0"/>
              <w:right w:val="single" w:color="000000" w:sz="2" w:space="0"/>
            </w:tcBorders>
          </w:tcPr>
          <w:p w14:paraId="64526BB1">
            <w:pPr>
              <w:widowControl w:val="0"/>
              <w:autoSpaceDE w:val="0"/>
              <w:autoSpaceDN w:val="0"/>
              <w:jc w:val="center"/>
              <w:rPr>
                <w:rFonts w:ascii="Calibri" w:hAnsi="Calibri" w:eastAsia="Times New Roman"/>
                <w:color w:val="000000" w:themeColor="text1"/>
                <w:szCs w:val="21"/>
                <w:lang w:eastAsia="en-US"/>
                <w14:textFill>
                  <w14:solidFill>
                    <w14:schemeClr w14:val="tx1"/>
                  </w14:solidFill>
                </w14:textFill>
              </w:rPr>
            </w:pPr>
          </w:p>
        </w:tc>
        <w:tc>
          <w:tcPr>
            <w:tcW w:w="748" w:type="dxa"/>
            <w:tcBorders>
              <w:top w:val="single" w:color="000000" w:sz="2" w:space="0"/>
              <w:left w:val="single" w:color="000000" w:sz="2" w:space="0"/>
              <w:bottom w:val="single" w:color="000000" w:sz="12" w:space="0"/>
              <w:right w:val="single" w:color="000000" w:sz="2" w:space="0"/>
            </w:tcBorders>
            <w:vAlign w:val="center"/>
          </w:tcPr>
          <w:p w14:paraId="48FA5B63">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2"/>
                <w:szCs w:val="21"/>
                <w:lang w:eastAsia="en-US"/>
                <w14:textFill>
                  <w14:solidFill>
                    <w14:schemeClr w14:val="tx1"/>
                  </w14:solidFill>
                </w14:textFill>
              </w:rPr>
              <w:t>μg/m</w:t>
            </w:r>
            <w:r>
              <w:rPr>
                <w:rFonts w:ascii="Calibri" w:hAnsi="Calibri" w:eastAsia="Times New Roman"/>
                <w:color w:val="000000" w:themeColor="text1"/>
                <w:spacing w:val="2"/>
                <w:position w:val="5"/>
                <w:szCs w:val="21"/>
                <w:vertAlign w:val="superscript"/>
                <w:lang w:eastAsia="en-US"/>
                <w14:textFill>
                  <w14:solidFill>
                    <w14:schemeClr w14:val="tx1"/>
                  </w14:solidFill>
                </w14:textFill>
              </w:rPr>
              <w:t>3</w:t>
            </w:r>
          </w:p>
        </w:tc>
        <w:tc>
          <w:tcPr>
            <w:tcW w:w="1063" w:type="dxa"/>
            <w:tcBorders>
              <w:top w:val="single" w:color="000000" w:sz="2" w:space="0"/>
              <w:left w:val="single" w:color="000000" w:sz="2" w:space="0"/>
              <w:bottom w:val="single" w:color="000000" w:sz="12" w:space="0"/>
              <w:right w:val="single" w:color="000000" w:sz="2" w:space="0"/>
            </w:tcBorders>
            <w:vAlign w:val="center"/>
          </w:tcPr>
          <w:p w14:paraId="4790C8FE">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3"/>
                <w:szCs w:val="21"/>
                <w:lang w:eastAsia="en-US"/>
                <w14:textFill>
                  <w14:solidFill>
                    <w14:schemeClr w14:val="tx1"/>
                  </w14:solidFill>
                </w14:textFill>
              </w:rPr>
              <w:t>0.6953</w:t>
            </w:r>
          </w:p>
        </w:tc>
        <w:tc>
          <w:tcPr>
            <w:tcW w:w="1063" w:type="dxa"/>
            <w:tcBorders>
              <w:top w:val="single" w:color="000000" w:sz="2" w:space="0"/>
              <w:left w:val="single" w:color="000000" w:sz="2" w:space="0"/>
              <w:bottom w:val="single" w:color="000000" w:sz="12" w:space="0"/>
              <w:right w:val="single" w:color="000000" w:sz="2" w:space="0"/>
            </w:tcBorders>
            <w:vAlign w:val="center"/>
          </w:tcPr>
          <w:p w14:paraId="187BA4EC">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2"/>
                <w:szCs w:val="21"/>
                <w:lang w:eastAsia="en-US"/>
                <w14:textFill>
                  <w14:solidFill>
                    <w14:schemeClr w14:val="tx1"/>
                  </w14:solidFill>
                </w14:textFill>
              </w:rPr>
              <w:t>8.3431</w:t>
            </w:r>
          </w:p>
        </w:tc>
        <w:tc>
          <w:tcPr>
            <w:tcW w:w="1063" w:type="dxa"/>
            <w:tcBorders>
              <w:top w:val="single" w:color="000000" w:sz="2" w:space="0"/>
              <w:left w:val="single" w:color="000000" w:sz="2" w:space="0"/>
              <w:bottom w:val="single" w:color="000000" w:sz="12" w:space="0"/>
              <w:right w:val="single" w:color="000000" w:sz="2" w:space="0"/>
            </w:tcBorders>
            <w:vAlign w:val="center"/>
          </w:tcPr>
          <w:p w14:paraId="5A72B3BF">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4"/>
                <w:szCs w:val="21"/>
                <w:lang w:eastAsia="en-US"/>
                <w14:textFill>
                  <w14:solidFill>
                    <w14:schemeClr w14:val="tx1"/>
                  </w14:solidFill>
                </w14:textFill>
              </w:rPr>
              <w:t>27.8104</w:t>
            </w:r>
          </w:p>
        </w:tc>
        <w:tc>
          <w:tcPr>
            <w:tcW w:w="1063" w:type="dxa"/>
            <w:tcBorders>
              <w:top w:val="single" w:color="000000" w:sz="2" w:space="0"/>
              <w:left w:val="single" w:color="000000" w:sz="2" w:space="0"/>
              <w:bottom w:val="single" w:color="000000" w:sz="12" w:space="0"/>
              <w:right w:val="single" w:color="000000" w:sz="2" w:space="0"/>
            </w:tcBorders>
            <w:vAlign w:val="center"/>
          </w:tcPr>
          <w:p w14:paraId="7D668132">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2"/>
                <w:szCs w:val="21"/>
                <w:lang w:eastAsia="en-US"/>
                <w14:textFill>
                  <w14:solidFill>
                    <w14:schemeClr w14:val="tx1"/>
                  </w14:solidFill>
                </w14:textFill>
              </w:rPr>
              <w:t>83.4312</w:t>
            </w:r>
          </w:p>
        </w:tc>
        <w:tc>
          <w:tcPr>
            <w:tcW w:w="1063" w:type="dxa"/>
            <w:tcBorders>
              <w:top w:val="single" w:color="000000" w:sz="2" w:space="0"/>
              <w:left w:val="single" w:color="000000" w:sz="2" w:space="0"/>
              <w:bottom w:val="single" w:color="000000" w:sz="12" w:space="0"/>
              <w:right w:val="single" w:color="000000" w:sz="2" w:space="0"/>
            </w:tcBorders>
            <w:vAlign w:val="center"/>
          </w:tcPr>
          <w:p w14:paraId="6077610F">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4"/>
                <w:szCs w:val="21"/>
                <w:lang w:eastAsia="en-US"/>
                <w14:textFill>
                  <w14:solidFill>
                    <w14:schemeClr w14:val="tx1"/>
                  </w14:solidFill>
                </w14:textFill>
              </w:rPr>
              <w:t>278.1040</w:t>
            </w:r>
          </w:p>
        </w:tc>
        <w:tc>
          <w:tcPr>
            <w:tcW w:w="1063" w:type="dxa"/>
            <w:tcBorders>
              <w:top w:val="single" w:color="000000" w:sz="2" w:space="0"/>
              <w:left w:val="single" w:color="000000" w:sz="2" w:space="0"/>
              <w:bottom w:val="single" w:color="000000" w:sz="12" w:space="0"/>
              <w:right w:val="single" w:color="000000" w:sz="2" w:space="0"/>
            </w:tcBorders>
            <w:vAlign w:val="center"/>
          </w:tcPr>
          <w:p w14:paraId="5ED36D11">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3"/>
                <w:szCs w:val="21"/>
                <w:lang w:eastAsia="en-US"/>
                <w14:textFill>
                  <w14:solidFill>
                    <w14:schemeClr w14:val="tx1"/>
                  </w14:solidFill>
                </w14:textFill>
              </w:rPr>
              <w:t>973.3641</w:t>
            </w:r>
          </w:p>
        </w:tc>
        <w:tc>
          <w:tcPr>
            <w:tcW w:w="1069" w:type="dxa"/>
            <w:tcBorders>
              <w:top w:val="single" w:color="000000" w:sz="2" w:space="0"/>
              <w:left w:val="single" w:color="000000" w:sz="2" w:space="0"/>
              <w:bottom w:val="single" w:color="000000" w:sz="12" w:space="0"/>
              <w:right w:val="nil"/>
            </w:tcBorders>
            <w:vAlign w:val="center"/>
          </w:tcPr>
          <w:p w14:paraId="700BFF3D">
            <w:pPr>
              <w:widowControl/>
              <w:autoSpaceDE/>
              <w:autoSpaceDN/>
              <w:jc w:val="center"/>
              <w:rPr>
                <w:rFonts w:ascii="Calibri" w:hAnsi="Calibri" w:eastAsia="Times New Roman"/>
                <w:color w:val="000000" w:themeColor="text1"/>
                <w:szCs w:val="21"/>
                <w:lang w:eastAsia="en-US"/>
                <w14:textFill>
                  <w14:solidFill>
                    <w14:schemeClr w14:val="tx1"/>
                  </w14:solidFill>
                </w14:textFill>
              </w:rPr>
            </w:pPr>
            <w:r>
              <w:rPr>
                <w:rFonts w:ascii="Calibri" w:hAnsi="Calibri" w:eastAsia="Times New Roman"/>
                <w:color w:val="000000" w:themeColor="text1"/>
                <w:spacing w:val="4"/>
                <w:szCs w:val="21"/>
                <w:lang w:eastAsia="en-US"/>
                <w14:textFill>
                  <w14:solidFill>
                    <w14:schemeClr w14:val="tx1"/>
                  </w14:solidFill>
                </w14:textFill>
              </w:rPr>
              <w:t>4171.5604</w:t>
            </w:r>
          </w:p>
        </w:tc>
      </w:tr>
    </w:tbl>
    <w:p w14:paraId="4D54F8C3">
      <w:pPr>
        <w:spacing w:line="360" w:lineRule="auto"/>
        <w:ind w:firstLine="480" w:firstLineChars="200"/>
        <w:jc w:val="both"/>
        <w:rPr>
          <w:rFonts w:ascii="宋体" w:hAnsi="宋体" w:cs="宋体"/>
          <w:color w:val="000000" w:themeColor="text1"/>
          <w:sz w:val="24"/>
          <w:highlight w:val="red"/>
          <w14:textFill>
            <w14:solidFill>
              <w14:schemeClr w14:val="tx1"/>
            </w14:solidFill>
          </w14:textFill>
        </w:rPr>
      </w:pPr>
      <w:r>
        <w:rPr>
          <w:rFonts w:ascii="宋体" w:hAnsi="宋体" w:cs="宋体"/>
          <w:color w:val="000000" w:themeColor="text1"/>
          <w:sz w:val="24"/>
          <w14:textFill>
            <w14:solidFill>
              <w14:schemeClr w14:val="tx1"/>
            </w14:solidFill>
          </w14:textFill>
        </w:rPr>
        <w:t>根据预测结果，正常排放情况下</w:t>
      </w:r>
      <w:r>
        <w:rPr>
          <w:rFonts w:hint="eastAsia" w:ascii="宋体" w:hAnsi="宋体" w:cs="宋体"/>
          <w:color w:val="000000" w:themeColor="text1"/>
          <w:spacing w:val="-1"/>
          <w:sz w:val="24"/>
          <w14:textFill>
            <w14:solidFill>
              <w14:schemeClr w14:val="tx1"/>
            </w14:solidFill>
          </w14:textFill>
        </w:rPr>
        <w:t>，</w:t>
      </w:r>
      <w:r>
        <w:rPr>
          <w:rFonts w:ascii="宋体" w:hAnsi="宋体" w:cs="宋体"/>
          <w:color w:val="000000" w:themeColor="text1"/>
          <w:spacing w:val="-1"/>
          <w:sz w:val="24"/>
          <w14:textFill>
            <w14:solidFill>
              <w14:schemeClr w14:val="tx1"/>
            </w14:solidFill>
          </w14:textFill>
        </w:rPr>
        <w:t>恶臭强度</w:t>
      </w:r>
      <w:r>
        <w:rPr>
          <w:rFonts w:hint="eastAsia" w:ascii="宋体" w:hAnsi="宋体" w:cs="宋体"/>
          <w:color w:val="000000" w:themeColor="text1"/>
          <w:spacing w:val="-1"/>
          <w:sz w:val="24"/>
          <w14:textFill>
            <w14:solidFill>
              <w14:schemeClr w14:val="tx1"/>
            </w14:solidFill>
          </w14:textFill>
        </w:rPr>
        <w:t>小于</w:t>
      </w:r>
      <w:r>
        <w:rPr>
          <w:color w:val="000000" w:themeColor="text1"/>
          <w:spacing w:val="-2"/>
          <w:sz w:val="24"/>
          <w14:textFill>
            <w14:solidFill>
              <w14:schemeClr w14:val="tx1"/>
            </w14:solidFill>
          </w14:textFill>
        </w:rPr>
        <w:t>1</w:t>
      </w:r>
      <w:r>
        <w:rPr>
          <w:rFonts w:ascii="宋体" w:hAnsi="宋体" w:cs="宋体"/>
          <w:color w:val="000000" w:themeColor="text1"/>
          <w:spacing w:val="-2"/>
          <w:sz w:val="24"/>
          <w14:textFill>
            <w14:solidFill>
              <w14:schemeClr w14:val="tx1"/>
            </w14:solidFill>
          </w14:textFill>
        </w:rPr>
        <w:t>级。距离污染</w:t>
      </w:r>
      <w:r>
        <w:rPr>
          <w:rFonts w:ascii="宋体" w:hAnsi="宋体" w:cs="宋体"/>
          <w:color w:val="000000" w:themeColor="text1"/>
          <w:spacing w:val="-1"/>
          <w:sz w:val="24"/>
          <w14:textFill>
            <w14:solidFill>
              <w14:schemeClr w14:val="tx1"/>
            </w14:solidFill>
          </w14:textFill>
        </w:rPr>
        <w:t>源下风向居民可勉强感觉到味道（感觉阈值</w:t>
      </w:r>
      <w:r>
        <w:rPr>
          <w:rFonts w:ascii="宋体" w:hAnsi="宋体" w:cs="宋体"/>
          <w:color w:val="000000" w:themeColor="text1"/>
          <w:spacing w:val="-8"/>
          <w:sz w:val="24"/>
          <w14:textFill>
            <w14:solidFill>
              <w14:schemeClr w14:val="tx1"/>
            </w14:solidFill>
          </w14:textFill>
        </w:rPr>
        <w:t>），</w:t>
      </w:r>
      <w:r>
        <w:rPr>
          <w:rFonts w:ascii="宋体" w:hAnsi="宋体" w:cs="宋体"/>
          <w:color w:val="000000" w:themeColor="text1"/>
          <w:spacing w:val="-1"/>
          <w:sz w:val="24"/>
          <w14:textFill>
            <w14:solidFill>
              <w14:schemeClr w14:val="tx1"/>
            </w14:solidFill>
          </w14:textFill>
        </w:rPr>
        <w:t>其余区</w:t>
      </w:r>
      <w:r>
        <w:rPr>
          <w:rFonts w:ascii="宋体" w:hAnsi="宋体" w:cs="宋体"/>
          <w:color w:val="000000" w:themeColor="text1"/>
          <w:spacing w:val="-2"/>
          <w:sz w:val="24"/>
          <w14:textFill>
            <w14:solidFill>
              <w14:schemeClr w14:val="tx1"/>
            </w14:solidFill>
          </w14:textFill>
        </w:rPr>
        <w:t>域居民无</w:t>
      </w:r>
      <w:r>
        <w:rPr>
          <w:rFonts w:ascii="宋体" w:hAnsi="宋体" w:cs="宋体"/>
          <w:color w:val="000000" w:themeColor="text1"/>
          <w:spacing w:val="-1"/>
          <w:sz w:val="24"/>
          <w14:textFill>
            <w14:solidFill>
              <w14:schemeClr w14:val="tx1"/>
            </w14:solidFill>
          </w14:textFill>
        </w:rPr>
        <w:t>感知，项目恶臭对周边居民影响轻微。</w:t>
      </w:r>
    </w:p>
    <w:p w14:paraId="4FD82728">
      <w:pPr>
        <w:pStyle w:val="5"/>
        <w:adjustRightInd w:val="0"/>
        <w:snapToGrid w:val="0"/>
        <w:spacing w:before="0" w:after="0" w:line="360" w:lineRule="auto"/>
        <w:rPr>
          <w:color w:val="000000" w:themeColor="text1"/>
          <w:sz w:val="28"/>
          <w:szCs w:val="28"/>
          <w14:textFill>
            <w14:solidFill>
              <w14:schemeClr w14:val="tx1"/>
            </w14:solidFill>
          </w14:textFill>
        </w:rPr>
      </w:pPr>
      <w:bookmarkStart w:id="713" w:name="_Toc4791"/>
      <w:bookmarkStart w:id="714" w:name="_Toc230079395"/>
      <w:bookmarkStart w:id="715" w:name="_Toc233380213"/>
      <w:r>
        <w:rPr>
          <w:rFonts w:hint="eastAsia"/>
          <w:color w:val="000000" w:themeColor="text1"/>
          <w:sz w:val="28"/>
          <w:szCs w:val="28"/>
          <w14:textFill>
            <w14:solidFill>
              <w14:schemeClr w14:val="tx1"/>
            </w14:solidFill>
          </w14:textFill>
        </w:rPr>
        <w:t>5.2.6</w:t>
      </w:r>
      <w:r>
        <w:rPr>
          <w:color w:val="000000" w:themeColor="text1"/>
          <w:sz w:val="28"/>
          <w:szCs w:val="28"/>
          <w14:textFill>
            <w14:solidFill>
              <w14:schemeClr w14:val="tx1"/>
            </w14:solidFill>
          </w14:textFill>
        </w:rPr>
        <w:t>无组织排放控制要求</w:t>
      </w:r>
      <w:bookmarkEnd w:id="713"/>
      <w:bookmarkEnd w:id="714"/>
      <w:bookmarkEnd w:id="715"/>
    </w:p>
    <w:p w14:paraId="32630CF6">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养殖过程中合理搭配饲料及饲喂量、喷洒除臭剂、优化垫料管理、圈舍内加强清扫和机械通风，减少臭气影响。</w:t>
      </w:r>
    </w:p>
    <w:p w14:paraId="1CF514A2">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项目办公生活区、</w:t>
      </w:r>
      <w:r>
        <w:rPr>
          <w:rFonts w:hint="eastAsia"/>
          <w:color w:val="000000" w:themeColor="text1"/>
          <w:sz w:val="24"/>
          <w14:textFill>
            <w14:solidFill>
              <w14:schemeClr w14:val="tx1"/>
            </w14:solidFill>
          </w14:textFill>
        </w:rPr>
        <w:t>养殖</w:t>
      </w:r>
      <w:r>
        <w:rPr>
          <w:color w:val="000000" w:themeColor="text1"/>
          <w:sz w:val="24"/>
          <w14:textFill>
            <w14:solidFill>
              <w14:schemeClr w14:val="tx1"/>
            </w14:solidFill>
          </w14:textFill>
        </w:rPr>
        <w:t>区之间需设置绿化带，厂界</w:t>
      </w:r>
      <w:r>
        <w:rPr>
          <w:rFonts w:hint="eastAsia"/>
          <w:color w:val="000000" w:themeColor="text1"/>
          <w:sz w:val="24"/>
          <w14:textFill>
            <w14:solidFill>
              <w14:schemeClr w14:val="tx1"/>
            </w14:solidFill>
          </w14:textFill>
        </w:rPr>
        <w:t>四周</w:t>
      </w:r>
      <w:r>
        <w:rPr>
          <w:color w:val="000000" w:themeColor="text1"/>
          <w:sz w:val="24"/>
          <w14:textFill>
            <w14:solidFill>
              <w14:schemeClr w14:val="tx1"/>
            </w14:solidFill>
          </w14:textFill>
        </w:rPr>
        <w:t>设置绿化带，减少对周边居民的影响。</w:t>
      </w:r>
    </w:p>
    <w:p w14:paraId="01254779">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从以上分析可知，环评提出的恶臭防治措施具有很好的可行性和可靠性；项目严格按照上述环评提出的相关恶臭治理措施，废气不会对周围环境产生明显不利影响。</w:t>
      </w:r>
    </w:p>
    <w:p w14:paraId="6D50F77D">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综合考虑当地地势等自然因素，确定本项目建成后本项目卫生防护距离为距牛舍、饲料加工车间、垫料棚等无组织排放源边界起1</w:t>
      </w:r>
      <w:r>
        <w:rPr>
          <w:color w:val="000000" w:themeColor="text1"/>
          <w:sz w:val="24"/>
          <w14:textFill>
            <w14:solidFill>
              <w14:schemeClr w14:val="tx1"/>
            </w14:solidFill>
          </w14:textFill>
        </w:rPr>
        <w:t>00m</w:t>
      </w:r>
      <w:r>
        <w:rPr>
          <w:rFonts w:hint="eastAsia"/>
          <w:color w:val="000000" w:themeColor="text1"/>
          <w:sz w:val="24"/>
          <w14:textFill>
            <w14:solidFill>
              <w14:schemeClr w14:val="tx1"/>
            </w14:solidFill>
          </w14:textFill>
        </w:rPr>
        <w:t>包络线范围。环评要求项目卫生防护距离内不得建设学校、医院、食品厂、屠宰厂、自来水厂、住宅等与项目不相容的企事业单位或敏感目标。</w:t>
      </w:r>
    </w:p>
    <w:p w14:paraId="5633577B">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为减轻牛舍、饲料加工车间恶臭气体对环境的影响，要求建设单位在运营过程中注意以下事项，以期将恶臭对环境的影响降低至最小：</w:t>
      </w:r>
    </w:p>
    <w:p w14:paraId="0AAFDC7C">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w:t>
      </w:r>
      <w:r>
        <w:rPr>
          <w:rFonts w:hint="eastAsia"/>
          <w:color w:val="000000" w:themeColor="text1"/>
          <w:sz w:val="24"/>
          <w14:textFill>
            <w14:solidFill>
              <w14:schemeClr w14:val="tx1"/>
            </w14:solidFill>
          </w14:textFill>
        </w:rPr>
        <w:t>加强牛舍管理和通风。牛舍采用干清粪工艺，牛尿及时排至集粪池，牛粪日产日清，通过减少粪尿的停留时间，可大大降低牛舍废气的产生；通过向粪便或圈舍内投放吸附剂（沸石、锯末、膨润土等）减少臭气的散发；加强牛舍消毒杀菌，减少微生物发酵，防止恶臭产生；牛舍为密闭钢架结构，墙面设置通风设备，安装风机，加强舍内通风；同时，保持牛舍的清洁和干燥。</w:t>
      </w:r>
    </w:p>
    <w:p w14:paraId="17AA2983">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b.</w:t>
      </w:r>
      <w:r>
        <w:rPr>
          <w:rFonts w:hint="eastAsia"/>
          <w:color w:val="000000" w:themeColor="text1"/>
          <w:sz w:val="24"/>
          <w14:textFill>
            <w14:solidFill>
              <w14:schemeClr w14:val="tx1"/>
            </w14:solidFill>
          </w14:textFill>
        </w:rPr>
        <w:t>科学设计日粮，选择优质的饲料，合理使用饲料添加剂。提高日粮的消化率、减少干物质（特别是蛋白质）排出量，既减少肠道臭气的产生，又可减少粪便排出后臭气的产生，这是减少恶臭来源的有效措施。试验证明，日粮消化率由</w:t>
      </w:r>
      <w:r>
        <w:rPr>
          <w:color w:val="000000" w:themeColor="text1"/>
          <w:sz w:val="24"/>
          <w14:textFill>
            <w14:solidFill>
              <w14:schemeClr w14:val="tx1"/>
            </w14:solidFill>
          </w14:textFill>
        </w:rPr>
        <w:t>85%</w:t>
      </w:r>
      <w:r>
        <w:rPr>
          <w:rFonts w:hint="eastAsia"/>
          <w:color w:val="000000" w:themeColor="text1"/>
          <w:sz w:val="24"/>
          <w14:textFill>
            <w14:solidFill>
              <w14:schemeClr w14:val="tx1"/>
            </w14:solidFill>
          </w14:textFill>
        </w:rPr>
        <w:t>提高至</w:t>
      </w:r>
      <w:r>
        <w:rPr>
          <w:color w:val="000000" w:themeColor="text1"/>
          <w:sz w:val="24"/>
          <w14:textFill>
            <w14:solidFill>
              <w14:schemeClr w14:val="tx1"/>
            </w14:solidFill>
          </w14:textFill>
        </w:rPr>
        <w:t>90%</w:t>
      </w:r>
      <w:r>
        <w:rPr>
          <w:rFonts w:hint="eastAsia"/>
          <w:color w:val="000000" w:themeColor="text1"/>
          <w:sz w:val="24"/>
          <w14:textFill>
            <w14:solidFill>
              <w14:schemeClr w14:val="tx1"/>
            </w14:solidFill>
          </w14:textFill>
        </w:rPr>
        <w:t>，粪便干物质排出量就减少三分之一；日粮蛋白质减少</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，粪便排泄量就降低</w:t>
      </w:r>
      <w:r>
        <w:rPr>
          <w:color w:val="000000" w:themeColor="text1"/>
          <w:sz w:val="24"/>
          <w14:textFill>
            <w14:solidFill>
              <w14:schemeClr w14:val="tx1"/>
            </w14:solidFill>
          </w14:textFill>
        </w:rPr>
        <w:t>20%</w:t>
      </w:r>
      <w:r>
        <w:rPr>
          <w:rFonts w:hint="eastAsia"/>
          <w:color w:val="000000" w:themeColor="text1"/>
          <w:sz w:val="24"/>
          <w14:textFill>
            <w14:solidFill>
              <w14:schemeClr w14:val="tx1"/>
            </w14:solidFill>
          </w14:textFill>
        </w:rPr>
        <w:t>。可采用经氨基酸平衡的低蛋白日粮和采用稀饲喂养方式减少恶臭的产生。优质的饲料原料是生产高效饲料和提高动物对饲料养分利用率的先决条件，高质量的原料具有适口性好、消化率高的特点，能提高动物对其的利用，减少粪便的排出量。降低粪尿中的恶臭物质及其前体物，减少恶臭气体的产生，选用高消化率的饲料可以使粪尿中的氮减少</w:t>
      </w:r>
      <w:r>
        <w:rPr>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以上。选择含硫量低的饲料可降低硫的排泄量，减少硫化氢的产生。通过在饲料中加入</w:t>
      </w:r>
      <w:r>
        <w:rPr>
          <w:color w:val="000000" w:themeColor="text1"/>
          <w:sz w:val="24"/>
          <w14:textFill>
            <w14:solidFill>
              <w14:schemeClr w14:val="tx1"/>
            </w14:solidFill>
          </w14:textFill>
        </w:rPr>
        <w:t>EM</w:t>
      </w:r>
      <w:r>
        <w:rPr>
          <w:rFonts w:hint="eastAsia"/>
          <w:color w:val="000000" w:themeColor="text1"/>
          <w:sz w:val="24"/>
          <w14:textFill>
            <w14:solidFill>
              <w14:schemeClr w14:val="tx1"/>
            </w14:solidFill>
          </w14:textFill>
        </w:rPr>
        <w:t>制剂、沸石等添加剂，对控制恶臭具有重要作用，其中：</w:t>
      </w:r>
      <w:r>
        <w:rPr>
          <w:color w:val="000000" w:themeColor="text1"/>
          <w:sz w:val="24"/>
          <w14:textFill>
            <w14:solidFill>
              <w14:schemeClr w14:val="tx1"/>
            </w14:solidFill>
          </w14:textFill>
        </w:rPr>
        <w:t>EM</w:t>
      </w:r>
      <w:r>
        <w:rPr>
          <w:rFonts w:hint="eastAsia"/>
          <w:color w:val="000000" w:themeColor="text1"/>
          <w:sz w:val="24"/>
          <w14:textFill>
            <w14:solidFill>
              <w14:schemeClr w14:val="tx1"/>
            </w14:solidFill>
          </w14:textFill>
        </w:rPr>
        <w:t>制剂是一种新型的复合微生物制剂，可增加猪消化道内有益微生物的数量，调节体内的微生物生态平衡，促进生长发育，提高猪的饲料转化率，减少肠道内氨、吲哚等恶臭物质的产生；沸石除臭是利用其强的吸附性，对氨气、硫化氢、二氧化碳及水分有很强的吸附力，常用于畜舍的除臭，使用它不仅可以降低畜舍内氨及硫化氢的浓度，同时能降低畜舍内空气及粪便的湿度，减少了氨气等有害气体的发生，从而达到除臭的目的。</w:t>
      </w:r>
    </w:p>
    <w:p w14:paraId="76073D5C">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c.</w:t>
      </w:r>
      <w:r>
        <w:rPr>
          <w:rFonts w:hint="eastAsia"/>
          <w:color w:val="000000" w:themeColor="text1"/>
          <w:sz w:val="24"/>
          <w14:textFill>
            <w14:solidFill>
              <w14:schemeClr w14:val="tx1"/>
            </w14:solidFill>
          </w14:textFill>
        </w:rPr>
        <w:t>合理种植绿化隔离带。种植绿色植物可通过光合作用吸收部分二氧化碳，并吸收部分空气中的有毒有害气体，达到净化空气的目的。绿化植物具有一定的吸收有害气体，减轻恶臭异味的作用，据调查，有害气体经过绿化后，至少有</w:t>
      </w:r>
      <w:r>
        <w:rPr>
          <w:color w:val="000000" w:themeColor="text1"/>
          <w:sz w:val="24"/>
          <w14:textFill>
            <w14:solidFill>
              <w14:schemeClr w14:val="tx1"/>
            </w14:solidFill>
          </w14:textFill>
        </w:rPr>
        <w:t>25%</w:t>
      </w:r>
      <w:r>
        <w:rPr>
          <w:rFonts w:hint="eastAsia"/>
          <w:color w:val="000000" w:themeColor="text1"/>
          <w:sz w:val="24"/>
          <w14:textFill>
            <w14:solidFill>
              <w14:schemeClr w14:val="tx1"/>
            </w14:solidFill>
          </w14:textFill>
        </w:rPr>
        <w:t>被吸收，恶臭可减少</w:t>
      </w:r>
      <w:r>
        <w:rPr>
          <w:color w:val="000000" w:themeColor="text1"/>
          <w:sz w:val="24"/>
          <w14:textFill>
            <w14:solidFill>
              <w14:schemeClr w14:val="tx1"/>
            </w14:solidFill>
          </w14:textFill>
        </w:rPr>
        <w:t>50%</w:t>
      </w:r>
      <w:r>
        <w:rPr>
          <w:rFonts w:hint="eastAsia"/>
          <w:color w:val="000000" w:themeColor="text1"/>
          <w:sz w:val="24"/>
          <w14:textFill>
            <w14:solidFill>
              <w14:schemeClr w14:val="tx1"/>
            </w14:solidFill>
          </w14:textFill>
        </w:rPr>
        <w:t>。在养殖场内及其周围种植高大树木及林带，还能净化、澄清大气中的粉尘，类比可知减少</w:t>
      </w:r>
      <w:r>
        <w:rPr>
          <w:color w:val="000000" w:themeColor="text1"/>
          <w:sz w:val="24"/>
          <w14:textFill>
            <w14:solidFill>
              <w14:schemeClr w14:val="tx1"/>
            </w14:solidFill>
          </w14:textFill>
        </w:rPr>
        <w:t>35%~67%</w:t>
      </w:r>
      <w:r>
        <w:rPr>
          <w:rFonts w:hint="eastAsia"/>
          <w:color w:val="000000" w:themeColor="text1"/>
          <w:sz w:val="24"/>
          <w14:textFill>
            <w14:solidFill>
              <w14:schemeClr w14:val="tx1"/>
            </w14:solidFill>
          </w14:textFill>
        </w:rPr>
        <w:t>；与此同时，也减少了空气中的微生物，细菌总数可减少</w:t>
      </w:r>
      <w:r>
        <w:rPr>
          <w:color w:val="000000" w:themeColor="text1"/>
          <w:sz w:val="24"/>
          <w14:textFill>
            <w14:solidFill>
              <w14:schemeClr w14:val="tx1"/>
            </w14:solidFill>
          </w14:textFill>
        </w:rPr>
        <w:t>22%~79%</w:t>
      </w:r>
      <w:r>
        <w:rPr>
          <w:rFonts w:hint="eastAsia"/>
          <w:color w:val="000000" w:themeColor="text1"/>
          <w:sz w:val="24"/>
          <w14:textFill>
            <w14:solidFill>
              <w14:schemeClr w14:val="tx1"/>
            </w14:solidFill>
          </w14:textFill>
        </w:rPr>
        <w:t>，甚至某些树木的花、叶能分泌杀菌物质，可杀死细菌、真菌等。</w:t>
      </w:r>
    </w:p>
    <w:p w14:paraId="0EC9EA29">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d.</w:t>
      </w:r>
      <w:r>
        <w:rPr>
          <w:rFonts w:hint="eastAsia"/>
          <w:color w:val="000000" w:themeColor="text1"/>
          <w:sz w:val="24"/>
          <w14:textFill>
            <w14:solidFill>
              <w14:schemeClr w14:val="tx1"/>
            </w14:solidFill>
          </w14:textFill>
        </w:rPr>
        <w:t>严格划定卫生防护距离。以牛舍、堆粪房和污水处理设施边界等为中心划定1</w:t>
      </w:r>
      <w:r>
        <w:rPr>
          <w:color w:val="000000" w:themeColor="text1"/>
          <w:sz w:val="24"/>
          <w14:textFill>
            <w14:solidFill>
              <w14:schemeClr w14:val="tx1"/>
            </w14:solidFill>
          </w14:textFill>
        </w:rPr>
        <w:t>00m</w:t>
      </w:r>
      <w:r>
        <w:rPr>
          <w:rFonts w:hint="eastAsia"/>
          <w:color w:val="000000" w:themeColor="text1"/>
          <w:sz w:val="24"/>
          <w14:textFill>
            <w14:solidFill>
              <w14:schemeClr w14:val="tx1"/>
            </w14:solidFill>
          </w14:textFill>
        </w:rPr>
        <w:t>卫生防护距离，同时，禁止卫生防护距离内新建居民住宅、医院、学校等民用设施和食品、医药等对大气环境质量要求较高企业，最大程度减少臭气的影响。</w:t>
      </w:r>
    </w:p>
    <w:p w14:paraId="7328E48F">
      <w:pPr>
        <w:pStyle w:val="5"/>
        <w:adjustRightInd w:val="0"/>
        <w:snapToGrid w:val="0"/>
        <w:spacing w:before="0" w:after="0" w:line="360" w:lineRule="auto"/>
        <w:rPr>
          <w:color w:val="000000" w:themeColor="text1"/>
          <w:sz w:val="28"/>
          <w:szCs w:val="28"/>
          <w14:textFill>
            <w14:solidFill>
              <w14:schemeClr w14:val="tx1"/>
            </w14:solidFill>
          </w14:textFill>
        </w:rPr>
      </w:pPr>
      <w:bookmarkStart w:id="716" w:name="_Toc24641"/>
      <w:bookmarkStart w:id="717" w:name="_Toc21237"/>
      <w:bookmarkStart w:id="718" w:name="_Toc230079396"/>
      <w:bookmarkStart w:id="719" w:name="_Toc233380214"/>
      <w:bookmarkStart w:id="720" w:name="_Toc21529652"/>
      <w:r>
        <w:rPr>
          <w:color w:val="000000" w:themeColor="text1"/>
          <w:sz w:val="28"/>
          <w:szCs w:val="28"/>
          <w14:textFill>
            <w14:solidFill>
              <w14:schemeClr w14:val="tx1"/>
            </w14:solidFill>
          </w14:textFill>
        </w:rPr>
        <w:t>5.2.</w:t>
      </w:r>
      <w:r>
        <w:rPr>
          <w:rFonts w:hint="eastAsia"/>
          <w:color w:val="000000" w:themeColor="text1"/>
          <w:sz w:val="28"/>
          <w:szCs w:val="28"/>
          <w14:textFill>
            <w14:solidFill>
              <w14:schemeClr w14:val="tx1"/>
            </w14:solidFill>
          </w14:textFill>
        </w:rPr>
        <w:t>7</w:t>
      </w:r>
      <w:r>
        <w:rPr>
          <w:color w:val="000000" w:themeColor="text1"/>
          <w:sz w:val="28"/>
          <w:szCs w:val="28"/>
          <w14:textFill>
            <w14:solidFill>
              <w14:schemeClr w14:val="tx1"/>
            </w14:solidFill>
          </w14:textFill>
        </w:rPr>
        <w:t>大气环境影响结论</w:t>
      </w:r>
      <w:bookmarkEnd w:id="716"/>
      <w:bookmarkEnd w:id="717"/>
      <w:bookmarkEnd w:id="718"/>
      <w:bookmarkEnd w:id="719"/>
    </w:p>
    <w:p w14:paraId="02D52E99">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根据大气环境影响分析结果、防护距离确定结果，项目选址较为合理。</w:t>
      </w:r>
      <w:r>
        <w:rPr>
          <w:rFonts w:ascii="宋体" w:hAnsi="宋体" w:cs="宋体"/>
          <w:color w:val="000000" w:themeColor="text1"/>
          <w:spacing w:val="-3"/>
          <w:sz w:val="24"/>
          <w14:textFill>
            <w14:solidFill>
              <w14:schemeClr w14:val="tx1"/>
            </w14:solidFill>
          </w14:textFill>
        </w:rPr>
        <w:t>运营期各项大气污染物正常排放，下风向最大落地浓度均满足相</w:t>
      </w:r>
      <w:r>
        <w:rPr>
          <w:rFonts w:ascii="宋体" w:hAnsi="宋体" w:cs="宋体"/>
          <w:color w:val="000000" w:themeColor="text1"/>
          <w:spacing w:val="-4"/>
          <w:sz w:val="24"/>
          <w14:textFill>
            <w14:solidFill>
              <w14:schemeClr w14:val="tx1"/>
            </w14:solidFill>
          </w14:textFill>
        </w:rPr>
        <w:t>应环境质量</w:t>
      </w:r>
      <w:r>
        <w:rPr>
          <w:rFonts w:ascii="宋体" w:hAnsi="宋体" w:cs="宋体"/>
          <w:color w:val="000000" w:themeColor="text1"/>
          <w:spacing w:val="-1"/>
          <w:sz w:val="24"/>
          <w14:textFill>
            <w14:solidFill>
              <w14:schemeClr w14:val="tx1"/>
            </w14:solidFill>
          </w14:textFill>
        </w:rPr>
        <w:t>标准，对评价范围内大气环境影响较小</w:t>
      </w:r>
      <w:r>
        <w:rPr>
          <w:color w:val="000000" w:themeColor="text1"/>
          <w:sz w:val="24"/>
          <w14:textFill>
            <w14:solidFill>
              <w14:schemeClr w14:val="tx1"/>
            </w14:solidFill>
          </w14:textFill>
        </w:rPr>
        <w:t>，本项目大气环境影响可接受。</w:t>
      </w:r>
    </w:p>
    <w:p w14:paraId="476965BE">
      <w:pPr>
        <w:autoSpaceDE w:val="0"/>
        <w:autoSpaceDN w:val="0"/>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本项目大气环境影响评价自查表如下。</w:t>
      </w:r>
    </w:p>
    <w:p w14:paraId="317112C7">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表5.2-</w:t>
      </w:r>
      <w:r>
        <w:rPr>
          <w:rFonts w:hint="eastAsia"/>
          <w:snapToGrid w:val="0"/>
          <w:color w:val="000000" w:themeColor="text1"/>
          <w:szCs w:val="21"/>
          <w:lang w:val="en-US"/>
          <w14:textFill>
            <w14:solidFill>
              <w14:schemeClr w14:val="tx1"/>
            </w14:solidFill>
          </w14:textFill>
        </w:rPr>
        <w:t xml:space="preserve">19 </w:t>
      </w:r>
      <w:r>
        <w:rPr>
          <w:snapToGrid w:val="0"/>
          <w:color w:val="000000" w:themeColor="text1"/>
          <w:szCs w:val="21"/>
          <w14:textFill>
            <w14:solidFill>
              <w14:schemeClr w14:val="tx1"/>
            </w14:solidFill>
          </w14:textFill>
        </w:rPr>
        <w:t>大气环境影响自查表</w:t>
      </w:r>
    </w:p>
    <w:tbl>
      <w:tblPr>
        <w:tblStyle w:val="8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61"/>
        <w:gridCol w:w="1824"/>
        <w:gridCol w:w="1155"/>
        <w:gridCol w:w="69"/>
        <w:gridCol w:w="577"/>
        <w:gridCol w:w="495"/>
        <w:gridCol w:w="311"/>
        <w:gridCol w:w="574"/>
        <w:gridCol w:w="828"/>
        <w:gridCol w:w="382"/>
        <w:gridCol w:w="444"/>
        <w:gridCol w:w="403"/>
        <w:gridCol w:w="857"/>
        <w:gridCol w:w="436"/>
      </w:tblGrid>
      <w:tr w14:paraId="7251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400" w:type="pct"/>
            <w:gridSpan w:val="2"/>
            <w:tcMar>
              <w:left w:w="28" w:type="dxa"/>
              <w:right w:w="28" w:type="dxa"/>
            </w:tcMar>
            <w:vAlign w:val="center"/>
          </w:tcPr>
          <w:p w14:paraId="59EA2439">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工作内容</w:t>
            </w:r>
          </w:p>
        </w:tc>
        <w:tc>
          <w:tcPr>
            <w:tcW w:w="3600" w:type="pct"/>
            <w:gridSpan w:val="12"/>
            <w:tcMar>
              <w:left w:w="28" w:type="dxa"/>
              <w:right w:w="28" w:type="dxa"/>
            </w:tcMar>
            <w:vAlign w:val="center"/>
          </w:tcPr>
          <w:p w14:paraId="067C86F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自查项目</w:t>
            </w:r>
          </w:p>
        </w:tc>
      </w:tr>
      <w:tr w14:paraId="4FBEA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restart"/>
            <w:tcMar>
              <w:left w:w="28" w:type="dxa"/>
              <w:right w:w="28" w:type="dxa"/>
            </w:tcMar>
            <w:vAlign w:val="center"/>
          </w:tcPr>
          <w:p w14:paraId="33D1F9CE">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评价等级与范围</w:t>
            </w:r>
          </w:p>
        </w:tc>
        <w:tc>
          <w:tcPr>
            <w:tcW w:w="1023" w:type="pct"/>
            <w:tcMar>
              <w:left w:w="28" w:type="dxa"/>
              <w:right w:w="28" w:type="dxa"/>
            </w:tcMar>
            <w:vAlign w:val="center"/>
          </w:tcPr>
          <w:p w14:paraId="19691D5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评价等级</w:t>
            </w:r>
          </w:p>
        </w:tc>
        <w:tc>
          <w:tcPr>
            <w:tcW w:w="1345" w:type="pct"/>
            <w:gridSpan w:val="5"/>
            <w:tcMar>
              <w:left w:w="28" w:type="dxa"/>
              <w:right w:w="28" w:type="dxa"/>
            </w:tcMar>
            <w:vAlign w:val="center"/>
          </w:tcPr>
          <w:p w14:paraId="709773B6">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一级</w:t>
            </w:r>
            <w:r>
              <w:rPr>
                <w:rFonts w:ascii="Times New Roman" w:hAnsi="Times New Roman"/>
                <w:color w:val="000000" w:themeColor="text1"/>
                <w:sz w:val="18"/>
                <w:szCs w:val="18"/>
                <w14:textFill>
                  <w14:solidFill>
                    <w14:schemeClr w14:val="tx1"/>
                  </w14:solidFill>
                </w14:textFill>
              </w:rPr>
              <w:sym w:font="Wingdings 2" w:char="F0A3"/>
            </w:r>
          </w:p>
        </w:tc>
        <w:tc>
          <w:tcPr>
            <w:tcW w:w="1501" w:type="pct"/>
            <w:gridSpan w:val="5"/>
            <w:tcMar>
              <w:left w:w="28" w:type="dxa"/>
              <w:right w:w="28" w:type="dxa"/>
            </w:tcMar>
            <w:vAlign w:val="center"/>
          </w:tcPr>
          <w:p w14:paraId="7D3EF68A">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二级</w:t>
            </w:r>
            <w:r>
              <w:rPr>
                <w:rFonts w:ascii="Times New Roman" w:hAnsi="Times New Roman"/>
                <w:color w:val="000000" w:themeColor="text1"/>
                <w:sz w:val="18"/>
                <w:szCs w:val="18"/>
                <w14:textFill>
                  <w14:solidFill>
                    <w14:schemeClr w14:val="tx1"/>
                  </w14:solidFill>
                </w14:textFill>
              </w:rPr>
              <w:sym w:font="Wingdings 2" w:char="F052"/>
            </w:r>
          </w:p>
        </w:tc>
        <w:tc>
          <w:tcPr>
            <w:tcW w:w="753" w:type="pct"/>
            <w:gridSpan w:val="2"/>
            <w:tcMar>
              <w:left w:w="28" w:type="dxa"/>
              <w:right w:w="28" w:type="dxa"/>
            </w:tcMar>
            <w:vAlign w:val="center"/>
          </w:tcPr>
          <w:p w14:paraId="7384FBD9">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三级</w:t>
            </w:r>
            <w:r>
              <w:rPr>
                <w:rFonts w:ascii="Times New Roman" w:hAnsi="Times New Roman"/>
                <w:color w:val="000000" w:themeColor="text1"/>
                <w:sz w:val="18"/>
                <w:szCs w:val="18"/>
                <w14:textFill>
                  <w14:solidFill>
                    <w14:schemeClr w14:val="tx1"/>
                  </w14:solidFill>
                </w14:textFill>
              </w:rPr>
              <w:sym w:font="Wingdings 2" w:char="F0A3"/>
            </w:r>
          </w:p>
        </w:tc>
      </w:tr>
      <w:tr w14:paraId="15AB2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61109A65">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5500066E">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评价范围</w:t>
            </w:r>
          </w:p>
        </w:tc>
        <w:tc>
          <w:tcPr>
            <w:tcW w:w="1345" w:type="pct"/>
            <w:gridSpan w:val="5"/>
            <w:tcMar>
              <w:left w:w="28" w:type="dxa"/>
              <w:right w:w="28" w:type="dxa"/>
            </w:tcMar>
            <w:vAlign w:val="center"/>
          </w:tcPr>
          <w:p w14:paraId="7D039FD2">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边长=50km□</w:t>
            </w:r>
          </w:p>
        </w:tc>
        <w:tc>
          <w:tcPr>
            <w:tcW w:w="1501" w:type="pct"/>
            <w:gridSpan w:val="5"/>
            <w:tcMar>
              <w:left w:w="28" w:type="dxa"/>
              <w:right w:w="28" w:type="dxa"/>
            </w:tcMar>
            <w:vAlign w:val="center"/>
          </w:tcPr>
          <w:p w14:paraId="0F1730C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边长5～50km</w:t>
            </w:r>
            <w:r>
              <w:rPr>
                <w:rFonts w:ascii="Times New Roman" w:hAnsi="Times New Roman"/>
                <w:color w:val="000000" w:themeColor="text1"/>
                <w:sz w:val="18"/>
                <w:szCs w:val="18"/>
                <w14:textFill>
                  <w14:solidFill>
                    <w14:schemeClr w14:val="tx1"/>
                  </w14:solidFill>
                </w14:textFill>
              </w:rPr>
              <w:sym w:font="Wingdings 2" w:char="F0A3"/>
            </w:r>
          </w:p>
        </w:tc>
        <w:tc>
          <w:tcPr>
            <w:tcW w:w="753" w:type="pct"/>
            <w:gridSpan w:val="2"/>
            <w:tcMar>
              <w:left w:w="28" w:type="dxa"/>
              <w:right w:w="28" w:type="dxa"/>
            </w:tcMar>
            <w:vAlign w:val="center"/>
          </w:tcPr>
          <w:p w14:paraId="07B714F1">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边长=5km</w:t>
            </w:r>
            <w:r>
              <w:rPr>
                <w:rFonts w:ascii="Times New Roman" w:hAnsi="Times New Roman"/>
                <w:color w:val="000000" w:themeColor="text1"/>
                <w:sz w:val="18"/>
                <w:szCs w:val="18"/>
                <w14:textFill>
                  <w14:solidFill>
                    <w14:schemeClr w14:val="tx1"/>
                  </w14:solidFill>
                </w14:textFill>
              </w:rPr>
              <w:sym w:font="Wingdings 2" w:char="F052"/>
            </w:r>
          </w:p>
        </w:tc>
      </w:tr>
      <w:tr w14:paraId="5AC3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restart"/>
            <w:tcMar>
              <w:left w:w="28" w:type="dxa"/>
              <w:right w:w="28" w:type="dxa"/>
            </w:tcMar>
            <w:vAlign w:val="center"/>
          </w:tcPr>
          <w:p w14:paraId="6155081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评价因子</w:t>
            </w:r>
          </w:p>
        </w:tc>
        <w:tc>
          <w:tcPr>
            <w:tcW w:w="1023" w:type="pct"/>
            <w:tcMar>
              <w:left w:w="28" w:type="dxa"/>
              <w:right w:w="28" w:type="dxa"/>
            </w:tcMar>
            <w:vAlign w:val="center"/>
          </w:tcPr>
          <w:p w14:paraId="162344CD">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SO</w:t>
            </w:r>
            <w:r>
              <w:rPr>
                <w:rFonts w:ascii="Times New Roman" w:hAnsi="Times New Roman"/>
                <w:color w:val="000000" w:themeColor="text1"/>
                <w:sz w:val="18"/>
                <w:szCs w:val="18"/>
                <w:vertAlign w:val="subscript"/>
                <w14:textFill>
                  <w14:solidFill>
                    <w14:schemeClr w14:val="tx1"/>
                  </w14:solidFill>
                </w14:textFill>
              </w:rPr>
              <w:t>2</w:t>
            </w:r>
            <w:r>
              <w:rPr>
                <w:rFonts w:ascii="Times New Roman" w:hAnsi="Times New Roman"/>
                <w:color w:val="000000" w:themeColor="text1"/>
                <w:sz w:val="18"/>
                <w:szCs w:val="18"/>
                <w14:textFill>
                  <w14:solidFill>
                    <w14:schemeClr w14:val="tx1"/>
                  </w14:solidFill>
                </w14:textFill>
              </w:rPr>
              <w:t>+NO</w:t>
            </w:r>
            <w:r>
              <w:rPr>
                <w:rFonts w:ascii="Times New Roman" w:hAnsi="Times New Roman"/>
                <w:i/>
                <w:color w:val="000000" w:themeColor="text1"/>
                <w:sz w:val="18"/>
                <w:szCs w:val="18"/>
                <w14:textFill>
                  <w14:solidFill>
                    <w14:schemeClr w14:val="tx1"/>
                  </w14:solidFill>
                </w14:textFill>
              </w:rPr>
              <w:t>x</w:t>
            </w:r>
            <w:r>
              <w:rPr>
                <w:rFonts w:ascii="Times New Roman" w:hAnsi="Times New Roman"/>
                <w:color w:val="000000" w:themeColor="text1"/>
                <w:sz w:val="18"/>
                <w:szCs w:val="18"/>
                <w14:textFill>
                  <w14:solidFill>
                    <w14:schemeClr w14:val="tx1"/>
                  </w14:solidFill>
                </w14:textFill>
              </w:rPr>
              <w:t>排放量</w:t>
            </w:r>
          </w:p>
        </w:tc>
        <w:tc>
          <w:tcPr>
            <w:tcW w:w="652" w:type="pct"/>
            <w:tcMar>
              <w:left w:w="28" w:type="dxa"/>
              <w:right w:w="28" w:type="dxa"/>
            </w:tcMar>
            <w:vAlign w:val="center"/>
          </w:tcPr>
          <w:p w14:paraId="6213310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 xml:space="preserve">≥2000t/a </w:t>
            </w:r>
            <w:r>
              <w:rPr>
                <w:color w:val="000000" w:themeColor="text1"/>
                <w:sz w:val="18"/>
                <w:szCs w:val="18"/>
                <w14:textFill>
                  <w14:solidFill>
                    <w14:schemeClr w14:val="tx1"/>
                  </w14:solidFill>
                </w14:textFill>
              </w:rPr>
              <w:sym w:font="Wingdings 2" w:char="F0A3"/>
            </w:r>
          </w:p>
        </w:tc>
        <w:tc>
          <w:tcPr>
            <w:tcW w:w="2195" w:type="pct"/>
            <w:gridSpan w:val="9"/>
            <w:tcMar>
              <w:left w:w="28" w:type="dxa"/>
              <w:right w:w="28" w:type="dxa"/>
            </w:tcMar>
            <w:vAlign w:val="center"/>
          </w:tcPr>
          <w:p w14:paraId="154CE177">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 xml:space="preserve">500~2000t/a </w:t>
            </w:r>
            <w:r>
              <w:rPr>
                <w:color w:val="000000" w:themeColor="text1"/>
                <w:sz w:val="18"/>
                <w:szCs w:val="18"/>
                <w14:textFill>
                  <w14:solidFill>
                    <w14:schemeClr w14:val="tx1"/>
                  </w14:solidFill>
                </w14:textFill>
              </w:rPr>
              <w:sym w:font="Wingdings 2" w:char="F0A3"/>
            </w:r>
          </w:p>
        </w:tc>
        <w:tc>
          <w:tcPr>
            <w:tcW w:w="753" w:type="pct"/>
            <w:gridSpan w:val="2"/>
            <w:tcMar>
              <w:left w:w="28" w:type="dxa"/>
              <w:right w:w="28" w:type="dxa"/>
            </w:tcMar>
            <w:vAlign w:val="center"/>
          </w:tcPr>
          <w:p w14:paraId="417258BD">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＜500t/a</w:t>
            </w:r>
            <w:r>
              <w:rPr>
                <w:rFonts w:ascii="Times New Roman" w:hAnsi="Times New Roman"/>
                <w:color w:val="000000" w:themeColor="text1"/>
                <w:sz w:val="18"/>
                <w:szCs w:val="18"/>
                <w14:textFill>
                  <w14:solidFill>
                    <w14:schemeClr w14:val="tx1"/>
                  </w14:solidFill>
                </w14:textFill>
              </w:rPr>
              <w:sym w:font="Wingdings 2" w:char="0052"/>
            </w:r>
          </w:p>
        </w:tc>
      </w:tr>
      <w:tr w14:paraId="54D2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0AEBF938">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19C493A4">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评价因子</w:t>
            </w:r>
          </w:p>
        </w:tc>
        <w:tc>
          <w:tcPr>
            <w:tcW w:w="2145" w:type="pct"/>
            <w:gridSpan w:val="7"/>
            <w:tcMar>
              <w:left w:w="28" w:type="dxa"/>
              <w:right w:w="28" w:type="dxa"/>
            </w:tcMar>
            <w:vAlign w:val="center"/>
          </w:tcPr>
          <w:p w14:paraId="2560BA32">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基本污染物(SO</w:t>
            </w:r>
            <w:r>
              <w:rPr>
                <w:rFonts w:ascii="Times New Roman" w:hAnsi="Times New Roman"/>
                <w:color w:val="000000" w:themeColor="text1"/>
                <w:sz w:val="18"/>
                <w:szCs w:val="18"/>
                <w:vertAlign w:val="subscript"/>
                <w14:textFill>
                  <w14:solidFill>
                    <w14:schemeClr w14:val="tx1"/>
                  </w14:solidFill>
                </w14:textFill>
              </w:rPr>
              <w:t>2</w:t>
            </w:r>
            <w:r>
              <w:rPr>
                <w:rFonts w:ascii="Times New Roman" w:hAnsi="Times New Roman"/>
                <w:color w:val="000000" w:themeColor="text1"/>
                <w:sz w:val="18"/>
                <w:szCs w:val="18"/>
                <w14:textFill>
                  <w14:solidFill>
                    <w14:schemeClr w14:val="tx1"/>
                  </w14:solidFill>
                </w14:textFill>
              </w:rPr>
              <w:t>、NO</w:t>
            </w:r>
            <w:r>
              <w:rPr>
                <w:rFonts w:ascii="Times New Roman" w:hAnsi="Times New Roman"/>
                <w:color w:val="000000" w:themeColor="text1"/>
                <w:sz w:val="18"/>
                <w:szCs w:val="18"/>
                <w:vertAlign w:val="subscript"/>
                <w14:textFill>
                  <w14:solidFill>
                    <w14:schemeClr w14:val="tx1"/>
                  </w14:solidFill>
                </w14:textFill>
              </w:rPr>
              <w:t>2</w:t>
            </w:r>
            <w:r>
              <w:rPr>
                <w:rFonts w:ascii="Times New Roman" w:hAnsi="Times New Roman"/>
                <w:color w:val="000000" w:themeColor="text1"/>
                <w:sz w:val="18"/>
                <w:szCs w:val="18"/>
                <w14:textFill>
                  <w14:solidFill>
                    <w14:schemeClr w14:val="tx1"/>
                  </w14:solidFill>
                </w14:textFill>
              </w:rPr>
              <w:t>、PM</w:t>
            </w:r>
            <w:r>
              <w:rPr>
                <w:rFonts w:ascii="Times New Roman" w:hAnsi="Times New Roman"/>
                <w:color w:val="000000" w:themeColor="text1"/>
                <w:sz w:val="18"/>
                <w:szCs w:val="18"/>
                <w:vertAlign w:val="subscript"/>
                <w14:textFill>
                  <w14:solidFill>
                    <w14:schemeClr w14:val="tx1"/>
                  </w14:solidFill>
                </w14:textFill>
              </w:rPr>
              <w:t>10</w:t>
            </w:r>
            <w:r>
              <w:rPr>
                <w:rFonts w:ascii="Times New Roman" w:hAnsi="Times New Roman"/>
                <w:color w:val="000000" w:themeColor="text1"/>
                <w:sz w:val="18"/>
                <w:szCs w:val="18"/>
                <w14:textFill>
                  <w14:solidFill>
                    <w14:schemeClr w14:val="tx1"/>
                  </w14:solidFill>
                </w14:textFill>
              </w:rPr>
              <w:t>、PM</w:t>
            </w:r>
            <w:r>
              <w:rPr>
                <w:rFonts w:ascii="Times New Roman" w:hAnsi="Times New Roman"/>
                <w:color w:val="000000" w:themeColor="text1"/>
                <w:sz w:val="18"/>
                <w:szCs w:val="18"/>
                <w:vertAlign w:val="subscript"/>
                <w14:textFill>
                  <w14:solidFill>
                    <w14:schemeClr w14:val="tx1"/>
                  </w14:solidFill>
                </w14:textFill>
              </w:rPr>
              <w:t>2.5</w:t>
            </w:r>
            <w:r>
              <w:rPr>
                <w:rFonts w:ascii="Times New Roman" w:hAnsi="Times New Roman"/>
                <w:color w:val="000000" w:themeColor="text1"/>
                <w:sz w:val="18"/>
                <w:szCs w:val="18"/>
                <w14:textFill>
                  <w14:solidFill>
                    <w14:schemeClr w14:val="tx1"/>
                  </w14:solidFill>
                </w14:textFill>
              </w:rPr>
              <w:t>、CO、O</w:t>
            </w:r>
            <w:r>
              <w:rPr>
                <w:rFonts w:ascii="Times New Roman" w:hAnsi="Times New Roman"/>
                <w:color w:val="000000" w:themeColor="text1"/>
                <w:sz w:val="18"/>
                <w:szCs w:val="18"/>
                <w:vertAlign w:val="subscript"/>
                <w14:textFill>
                  <w14:solidFill>
                    <w14:schemeClr w14:val="tx1"/>
                  </w14:solidFill>
                </w14:textFill>
              </w:rPr>
              <w:t>3</w:t>
            </w:r>
            <w:r>
              <w:rPr>
                <w:rFonts w:ascii="Times New Roman" w:hAnsi="Times New Roman"/>
                <w:color w:val="000000" w:themeColor="text1"/>
                <w:sz w:val="18"/>
                <w:szCs w:val="18"/>
                <w14:textFill>
                  <w14:solidFill>
                    <w14:schemeClr w14:val="tx1"/>
                  </w14:solidFill>
                </w14:textFill>
              </w:rPr>
              <w:t>)</w:t>
            </w:r>
          </w:p>
          <w:p w14:paraId="0AD3CBD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其他污染物(</w:t>
            </w:r>
            <w:r>
              <w:rPr>
                <w:rFonts w:ascii="Times New Roman" w:hAnsi="Times New Roman" w:eastAsia="Times New Roman"/>
                <w:color w:val="000000" w:themeColor="text1"/>
                <w:sz w:val="18"/>
                <w:szCs w:val="18"/>
                <w14:textFill>
                  <w14:solidFill>
                    <w14:schemeClr w14:val="tx1"/>
                  </w14:solidFill>
                </w14:textFill>
              </w:rPr>
              <w:t>NH</w:t>
            </w:r>
            <w:r>
              <w:rPr>
                <w:rFonts w:ascii="Times New Roman" w:hAnsi="Times New Roman" w:eastAsia="Times New Roman"/>
                <w:color w:val="000000" w:themeColor="text1"/>
                <w:spacing w:val="8"/>
                <w:position w:val="-1"/>
                <w:sz w:val="18"/>
                <w:szCs w:val="18"/>
                <w:vertAlign w:val="subscript"/>
                <w14:textFill>
                  <w14:solidFill>
                    <w14:schemeClr w14:val="tx1"/>
                  </w14:solidFill>
                </w14:textFill>
              </w:rPr>
              <w:t>3</w:t>
            </w:r>
            <w:r>
              <w:rPr>
                <w:color w:val="000000" w:themeColor="text1"/>
                <w:spacing w:val="8"/>
                <w:sz w:val="18"/>
                <w:szCs w:val="18"/>
                <w14:textFill>
                  <w14:solidFill>
                    <w14:schemeClr w14:val="tx1"/>
                  </w14:solidFill>
                </w14:textFill>
              </w:rPr>
              <w:t>、</w:t>
            </w:r>
            <w:r>
              <w:rPr>
                <w:rFonts w:ascii="Times New Roman" w:hAnsi="Times New Roman" w:eastAsia="Times New Roman"/>
                <w:color w:val="000000" w:themeColor="text1"/>
                <w:spacing w:val="8"/>
                <w:sz w:val="18"/>
                <w:szCs w:val="18"/>
                <w14:textFill>
                  <w14:solidFill>
                    <w14:schemeClr w14:val="tx1"/>
                  </w14:solidFill>
                </w14:textFill>
              </w:rPr>
              <w:t>H</w:t>
            </w:r>
            <w:r>
              <w:rPr>
                <w:rFonts w:ascii="Times New Roman" w:hAnsi="Times New Roman" w:eastAsia="Times New Roman"/>
                <w:color w:val="000000" w:themeColor="text1"/>
                <w:spacing w:val="8"/>
                <w:position w:val="-1"/>
                <w:sz w:val="18"/>
                <w:szCs w:val="18"/>
                <w:vertAlign w:val="subscript"/>
                <w14:textFill>
                  <w14:solidFill>
                    <w14:schemeClr w14:val="tx1"/>
                  </w14:solidFill>
                </w14:textFill>
              </w:rPr>
              <w:t>2</w:t>
            </w:r>
            <w:r>
              <w:rPr>
                <w:rFonts w:ascii="Times New Roman" w:hAnsi="Times New Roman" w:eastAsia="Times New Roman"/>
                <w:color w:val="000000" w:themeColor="text1"/>
                <w:spacing w:val="8"/>
                <w:sz w:val="18"/>
                <w:szCs w:val="18"/>
                <w14:textFill>
                  <w14:solidFill>
                    <w14:schemeClr w14:val="tx1"/>
                  </w14:solidFill>
                </w14:textFill>
              </w:rPr>
              <w:t>S</w:t>
            </w:r>
            <w:r>
              <w:rPr>
                <w:rFonts w:hint="eastAsia" w:ascii="Times New Roman" w:hAnsi="Times New Roman"/>
                <w:color w:val="000000" w:themeColor="text1"/>
                <w:sz w:val="18"/>
                <w:szCs w:val="18"/>
                <w14:textFill>
                  <w14:solidFill>
                    <w14:schemeClr w14:val="tx1"/>
                  </w14:solidFill>
                </w14:textFill>
              </w:rPr>
              <w:t>、TSP</w:t>
            </w:r>
            <w:r>
              <w:rPr>
                <w:rFonts w:ascii="Times New Roman" w:hAnsi="Times New Roman"/>
                <w:color w:val="000000" w:themeColor="text1"/>
                <w:sz w:val="18"/>
                <w:szCs w:val="18"/>
                <w14:textFill>
                  <w14:solidFill>
                    <w14:schemeClr w14:val="tx1"/>
                  </w14:solidFill>
                </w14:textFill>
              </w:rPr>
              <w:t>)</w:t>
            </w:r>
          </w:p>
        </w:tc>
        <w:tc>
          <w:tcPr>
            <w:tcW w:w="1455" w:type="pct"/>
            <w:gridSpan w:val="5"/>
            <w:tcMar>
              <w:left w:w="28" w:type="dxa"/>
              <w:right w:w="28" w:type="dxa"/>
            </w:tcMar>
            <w:vAlign w:val="center"/>
          </w:tcPr>
          <w:p w14:paraId="7A3E8E26">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包括二次PM</w:t>
            </w:r>
            <w:r>
              <w:rPr>
                <w:rFonts w:ascii="Times New Roman" w:hAnsi="Times New Roman"/>
                <w:color w:val="000000" w:themeColor="text1"/>
                <w:sz w:val="18"/>
                <w:szCs w:val="18"/>
                <w:vertAlign w:val="subscript"/>
                <w14:textFill>
                  <w14:solidFill>
                    <w14:schemeClr w14:val="tx1"/>
                  </w14:solidFill>
                </w14:textFill>
              </w:rPr>
              <w:t>2.5</w:t>
            </w:r>
            <w:r>
              <w:rPr>
                <w:rFonts w:ascii="Times New Roman" w:hAnsi="Times New Roman"/>
                <w:color w:val="000000" w:themeColor="text1"/>
                <w:sz w:val="18"/>
                <w:szCs w:val="18"/>
                <w14:textFill>
                  <w14:solidFill>
                    <w14:schemeClr w14:val="tx1"/>
                  </w14:solidFill>
                </w14:textFill>
              </w:rPr>
              <w:t>□</w:t>
            </w:r>
          </w:p>
          <w:p w14:paraId="4CE052B9">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不包括二次PM</w:t>
            </w:r>
            <w:r>
              <w:rPr>
                <w:rFonts w:ascii="Times New Roman" w:hAnsi="Times New Roman"/>
                <w:color w:val="000000" w:themeColor="text1"/>
                <w:sz w:val="18"/>
                <w:szCs w:val="18"/>
                <w:vertAlign w:val="subscript"/>
                <w14:textFill>
                  <w14:solidFill>
                    <w14:schemeClr w14:val="tx1"/>
                  </w14:solidFill>
                </w14:textFill>
              </w:rPr>
              <w:t>2.5</w:t>
            </w:r>
            <w:bookmarkStart w:id="721" w:name="OLE_LINK155"/>
            <w:bookmarkStart w:id="722" w:name="OLE_LINK156"/>
            <w:r>
              <w:rPr>
                <w:rFonts w:ascii="Times New Roman" w:hAnsi="Times New Roman"/>
                <w:color w:val="000000" w:themeColor="text1"/>
                <w:sz w:val="18"/>
                <w:szCs w:val="18"/>
                <w14:textFill>
                  <w14:solidFill>
                    <w14:schemeClr w14:val="tx1"/>
                  </w14:solidFill>
                </w14:textFill>
              </w:rPr>
              <w:sym w:font="Wingdings 2" w:char="0052"/>
            </w:r>
            <w:bookmarkEnd w:id="721"/>
            <w:bookmarkEnd w:id="722"/>
          </w:p>
        </w:tc>
      </w:tr>
      <w:tr w14:paraId="7C8F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tcMar>
              <w:left w:w="28" w:type="dxa"/>
              <w:right w:w="28" w:type="dxa"/>
            </w:tcMar>
            <w:vAlign w:val="center"/>
          </w:tcPr>
          <w:p w14:paraId="23EF768D">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评价标准</w:t>
            </w:r>
          </w:p>
        </w:tc>
        <w:tc>
          <w:tcPr>
            <w:tcW w:w="1023" w:type="pct"/>
            <w:tcMar>
              <w:left w:w="28" w:type="dxa"/>
              <w:right w:w="28" w:type="dxa"/>
            </w:tcMar>
            <w:vAlign w:val="center"/>
          </w:tcPr>
          <w:p w14:paraId="34A3D46B">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评价标准</w:t>
            </w:r>
          </w:p>
        </w:tc>
        <w:tc>
          <w:tcPr>
            <w:tcW w:w="1161" w:type="pct"/>
            <w:gridSpan w:val="4"/>
            <w:tcMar>
              <w:left w:w="28" w:type="dxa"/>
              <w:right w:w="28" w:type="dxa"/>
            </w:tcMar>
            <w:vAlign w:val="center"/>
          </w:tcPr>
          <w:p w14:paraId="0C18D482">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国家标准</w:t>
            </w:r>
            <w:r>
              <w:rPr>
                <w:rFonts w:ascii="Times New Roman" w:hAnsi="Times New Roman"/>
                <w:color w:val="000000" w:themeColor="text1"/>
                <w:sz w:val="18"/>
                <w:szCs w:val="18"/>
                <w14:textFill>
                  <w14:solidFill>
                    <w14:schemeClr w14:val="tx1"/>
                  </w14:solidFill>
                </w14:textFill>
              </w:rPr>
              <w:sym w:font="Wingdings 2" w:char="0052"/>
            </w:r>
          </w:p>
        </w:tc>
        <w:tc>
          <w:tcPr>
            <w:tcW w:w="983" w:type="pct"/>
            <w:gridSpan w:val="3"/>
            <w:tcMar>
              <w:left w:w="28" w:type="dxa"/>
              <w:right w:w="28" w:type="dxa"/>
            </w:tcMar>
            <w:vAlign w:val="center"/>
          </w:tcPr>
          <w:p w14:paraId="2F9D2537">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地方标准</w:t>
            </w:r>
            <w:r>
              <w:rPr>
                <w:rFonts w:ascii="Times New Roman" w:hAnsi="Times New Roman"/>
                <w:color w:val="000000" w:themeColor="text1"/>
                <w:sz w:val="18"/>
                <w:szCs w:val="18"/>
                <w14:textFill>
                  <w14:solidFill>
                    <w14:schemeClr w14:val="tx1"/>
                  </w14:solidFill>
                </w14:textFill>
              </w:rPr>
              <w:sym w:font="Wingdings 2" w:char="00A3"/>
            </w:r>
          </w:p>
        </w:tc>
        <w:tc>
          <w:tcPr>
            <w:tcW w:w="702" w:type="pct"/>
            <w:gridSpan w:val="3"/>
            <w:tcMar>
              <w:left w:w="28" w:type="dxa"/>
              <w:right w:w="28" w:type="dxa"/>
            </w:tcMar>
            <w:vAlign w:val="center"/>
          </w:tcPr>
          <w:p w14:paraId="3AA98C57">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附录D</w:t>
            </w:r>
            <w:r>
              <w:rPr>
                <w:rFonts w:ascii="Times New Roman" w:hAnsi="Times New Roman"/>
                <w:color w:val="000000" w:themeColor="text1"/>
                <w:sz w:val="18"/>
                <w:szCs w:val="18"/>
                <w14:textFill>
                  <w14:solidFill>
                    <w14:schemeClr w14:val="tx1"/>
                  </w14:solidFill>
                </w14:textFill>
              </w:rPr>
              <w:sym w:font="Wingdings 2" w:char="0052"/>
            </w:r>
          </w:p>
        </w:tc>
        <w:tc>
          <w:tcPr>
            <w:tcW w:w="753" w:type="pct"/>
            <w:gridSpan w:val="2"/>
            <w:tcMar>
              <w:left w:w="28" w:type="dxa"/>
              <w:right w:w="28" w:type="dxa"/>
            </w:tcMar>
            <w:vAlign w:val="center"/>
          </w:tcPr>
          <w:p w14:paraId="1579CBE3">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其他标准</w:t>
            </w:r>
            <w:r>
              <w:rPr>
                <w:rFonts w:ascii="Times New Roman" w:hAnsi="Times New Roman"/>
                <w:color w:val="000000" w:themeColor="text1"/>
                <w:sz w:val="18"/>
                <w:szCs w:val="18"/>
                <w14:textFill>
                  <w14:solidFill>
                    <w14:schemeClr w14:val="tx1"/>
                  </w14:solidFill>
                </w14:textFill>
              </w:rPr>
              <w:sym w:font="Wingdings 2" w:char="00A3"/>
            </w:r>
          </w:p>
        </w:tc>
      </w:tr>
      <w:tr w14:paraId="5CCC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restart"/>
            <w:tcMar>
              <w:left w:w="28" w:type="dxa"/>
              <w:right w:w="28" w:type="dxa"/>
            </w:tcMar>
            <w:vAlign w:val="center"/>
          </w:tcPr>
          <w:p w14:paraId="2679B13C">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现状评价</w:t>
            </w:r>
          </w:p>
        </w:tc>
        <w:tc>
          <w:tcPr>
            <w:tcW w:w="1023" w:type="pct"/>
            <w:tcMar>
              <w:left w:w="28" w:type="dxa"/>
              <w:right w:w="28" w:type="dxa"/>
            </w:tcMar>
            <w:vAlign w:val="center"/>
          </w:tcPr>
          <w:p w14:paraId="25910A9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环境功能区</w:t>
            </w:r>
          </w:p>
        </w:tc>
        <w:tc>
          <w:tcPr>
            <w:tcW w:w="1345" w:type="pct"/>
            <w:gridSpan w:val="5"/>
            <w:tcMar>
              <w:left w:w="28" w:type="dxa"/>
              <w:right w:w="28" w:type="dxa"/>
            </w:tcMar>
            <w:vAlign w:val="center"/>
          </w:tcPr>
          <w:p w14:paraId="484EFFE4">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一类区</w:t>
            </w:r>
            <w:r>
              <w:rPr>
                <w:rFonts w:ascii="Times New Roman" w:hAnsi="Times New Roman"/>
                <w:color w:val="000000" w:themeColor="text1"/>
                <w:sz w:val="18"/>
                <w:szCs w:val="18"/>
                <w14:textFill>
                  <w14:solidFill>
                    <w14:schemeClr w14:val="tx1"/>
                  </w14:solidFill>
                </w14:textFill>
              </w:rPr>
              <w:sym w:font="Wingdings 2" w:char="F0A3"/>
            </w:r>
          </w:p>
        </w:tc>
        <w:tc>
          <w:tcPr>
            <w:tcW w:w="1501" w:type="pct"/>
            <w:gridSpan w:val="5"/>
            <w:tcMar>
              <w:left w:w="28" w:type="dxa"/>
              <w:right w:w="28" w:type="dxa"/>
            </w:tcMar>
            <w:vAlign w:val="center"/>
          </w:tcPr>
          <w:p w14:paraId="19BBB5E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二类区</w:t>
            </w:r>
            <w:r>
              <w:rPr>
                <w:rFonts w:ascii="Times New Roman" w:hAnsi="Times New Roman"/>
                <w:color w:val="000000" w:themeColor="text1"/>
                <w:sz w:val="18"/>
                <w:szCs w:val="18"/>
                <w14:textFill>
                  <w14:solidFill>
                    <w14:schemeClr w14:val="tx1"/>
                  </w14:solidFill>
                </w14:textFill>
              </w:rPr>
              <w:sym w:font="Wingdings 2" w:char="F0A3"/>
            </w:r>
          </w:p>
        </w:tc>
        <w:tc>
          <w:tcPr>
            <w:tcW w:w="753" w:type="pct"/>
            <w:gridSpan w:val="2"/>
            <w:tcMar>
              <w:left w:w="28" w:type="dxa"/>
              <w:right w:w="28" w:type="dxa"/>
            </w:tcMar>
            <w:vAlign w:val="center"/>
          </w:tcPr>
          <w:p w14:paraId="513E443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一类区和二类区</w:t>
            </w:r>
            <w:r>
              <w:rPr>
                <w:color w:val="000000" w:themeColor="text1"/>
                <w:sz w:val="18"/>
                <w:szCs w:val="18"/>
                <w14:textFill>
                  <w14:solidFill>
                    <w14:schemeClr w14:val="tx1"/>
                  </w14:solidFill>
                </w14:textFill>
              </w:rPr>
              <w:sym w:font="Wingdings 2" w:char="F0A3"/>
            </w:r>
          </w:p>
        </w:tc>
      </w:tr>
      <w:tr w14:paraId="609E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1A69A078">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613DD669">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评价基准年</w:t>
            </w:r>
          </w:p>
        </w:tc>
        <w:tc>
          <w:tcPr>
            <w:tcW w:w="3600" w:type="pct"/>
            <w:gridSpan w:val="12"/>
            <w:tcMar>
              <w:left w:w="28" w:type="dxa"/>
              <w:right w:w="28" w:type="dxa"/>
            </w:tcMar>
            <w:vAlign w:val="center"/>
          </w:tcPr>
          <w:p w14:paraId="1C576A8A">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FF0000"/>
                <w:sz w:val="18"/>
                <w:szCs w:val="18"/>
              </w:rPr>
              <w:t>（202</w:t>
            </w:r>
            <w:r>
              <w:rPr>
                <w:rFonts w:hint="eastAsia" w:ascii="Times New Roman" w:hAnsi="Times New Roman"/>
                <w:color w:val="FF0000"/>
                <w:sz w:val="18"/>
                <w:szCs w:val="18"/>
              </w:rPr>
              <w:t>4</w:t>
            </w:r>
            <w:r>
              <w:rPr>
                <w:rFonts w:ascii="Times New Roman" w:hAnsi="Times New Roman"/>
                <w:color w:val="FF0000"/>
                <w:sz w:val="18"/>
                <w:szCs w:val="18"/>
              </w:rPr>
              <w:t>）年</w:t>
            </w:r>
          </w:p>
        </w:tc>
      </w:tr>
      <w:tr w14:paraId="4BAF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4D350AD3">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06ED0C8F">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环境空气质量</w:t>
            </w:r>
          </w:p>
          <w:p w14:paraId="4F077D8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现状调查数据来源</w:t>
            </w:r>
          </w:p>
        </w:tc>
        <w:tc>
          <w:tcPr>
            <w:tcW w:w="1345" w:type="pct"/>
            <w:gridSpan w:val="5"/>
            <w:tcMar>
              <w:left w:w="28" w:type="dxa"/>
              <w:right w:w="28" w:type="dxa"/>
            </w:tcMar>
            <w:vAlign w:val="center"/>
          </w:tcPr>
          <w:p w14:paraId="6D667023">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长期例行监测数据</w:t>
            </w:r>
            <w:bookmarkStart w:id="723" w:name="OLE_LINK183"/>
            <w:bookmarkStart w:id="724" w:name="OLE_LINK184"/>
            <w:r>
              <w:rPr>
                <w:rFonts w:ascii="Times New Roman" w:hAnsi="Times New Roman"/>
                <w:color w:val="000000" w:themeColor="text1"/>
                <w:sz w:val="18"/>
                <w:szCs w:val="18"/>
                <w14:textFill>
                  <w14:solidFill>
                    <w14:schemeClr w14:val="tx1"/>
                  </w14:solidFill>
                </w14:textFill>
              </w:rPr>
              <w:sym w:font="Wingdings 2" w:char="F0A3"/>
            </w:r>
            <w:bookmarkEnd w:id="723"/>
            <w:bookmarkEnd w:id="724"/>
          </w:p>
        </w:tc>
        <w:tc>
          <w:tcPr>
            <w:tcW w:w="1501" w:type="pct"/>
            <w:gridSpan w:val="5"/>
            <w:tcMar>
              <w:left w:w="28" w:type="dxa"/>
              <w:right w:w="28" w:type="dxa"/>
            </w:tcMar>
            <w:vAlign w:val="center"/>
          </w:tcPr>
          <w:p w14:paraId="0DE8EA5A">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主管部门发布的数据</w:t>
            </w:r>
            <w:r>
              <w:rPr>
                <w:color w:val="000000" w:themeColor="text1"/>
                <w:sz w:val="18"/>
                <w:szCs w:val="18"/>
                <w14:textFill>
                  <w14:solidFill>
                    <w14:schemeClr w14:val="tx1"/>
                  </w14:solidFill>
                </w14:textFill>
              </w:rPr>
              <w:t>□</w:t>
            </w:r>
          </w:p>
        </w:tc>
        <w:tc>
          <w:tcPr>
            <w:tcW w:w="753" w:type="pct"/>
            <w:gridSpan w:val="2"/>
            <w:tcMar>
              <w:left w:w="28" w:type="dxa"/>
              <w:right w:w="28" w:type="dxa"/>
            </w:tcMar>
            <w:vAlign w:val="center"/>
          </w:tcPr>
          <w:p w14:paraId="3B732715">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现状补充监测</w:t>
            </w:r>
            <w:r>
              <w:rPr>
                <w:color w:val="000000" w:themeColor="text1"/>
                <w:sz w:val="18"/>
                <w:szCs w:val="18"/>
                <w14:textFill>
                  <w14:solidFill>
                    <w14:schemeClr w14:val="tx1"/>
                  </w14:solidFill>
                </w14:textFill>
              </w:rPr>
              <w:t>□</w:t>
            </w:r>
          </w:p>
        </w:tc>
      </w:tr>
      <w:tr w14:paraId="0BB3A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1970359B">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00C53874">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现状评价</w:t>
            </w:r>
          </w:p>
        </w:tc>
        <w:tc>
          <w:tcPr>
            <w:tcW w:w="2145" w:type="pct"/>
            <w:gridSpan w:val="7"/>
            <w:tcMar>
              <w:left w:w="28" w:type="dxa"/>
              <w:right w:w="28" w:type="dxa"/>
            </w:tcMar>
            <w:vAlign w:val="center"/>
          </w:tcPr>
          <w:p w14:paraId="29137603">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达标区</w:t>
            </w:r>
            <w:r>
              <w:rPr>
                <w:color w:val="000000" w:themeColor="text1"/>
                <w:sz w:val="18"/>
                <w:szCs w:val="18"/>
                <w14:textFill>
                  <w14:solidFill>
                    <w14:schemeClr w14:val="tx1"/>
                  </w14:solidFill>
                </w14:textFill>
              </w:rPr>
              <w:sym w:font="Wingdings 2" w:char="F0A3"/>
            </w:r>
          </w:p>
        </w:tc>
        <w:tc>
          <w:tcPr>
            <w:tcW w:w="1455" w:type="pct"/>
            <w:gridSpan w:val="5"/>
            <w:tcMar>
              <w:left w:w="28" w:type="dxa"/>
              <w:right w:w="28" w:type="dxa"/>
            </w:tcMar>
            <w:vAlign w:val="center"/>
          </w:tcPr>
          <w:p w14:paraId="6AA30996">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不达标区</w:t>
            </w:r>
            <w:r>
              <w:rPr>
                <w:rFonts w:ascii="Times New Roman" w:hAnsi="Times New Roman"/>
                <w:color w:val="000000" w:themeColor="text1"/>
                <w:sz w:val="18"/>
                <w:szCs w:val="18"/>
                <w14:textFill>
                  <w14:solidFill>
                    <w14:schemeClr w14:val="tx1"/>
                  </w14:solidFill>
                </w14:textFill>
              </w:rPr>
              <w:sym w:font="Wingdings 2" w:char="00A3"/>
            </w:r>
          </w:p>
        </w:tc>
      </w:tr>
      <w:tr w14:paraId="42DD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tcMar>
              <w:left w:w="28" w:type="dxa"/>
              <w:right w:w="28" w:type="dxa"/>
            </w:tcMar>
            <w:vAlign w:val="center"/>
          </w:tcPr>
          <w:p w14:paraId="05882296">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污染源调查</w:t>
            </w:r>
          </w:p>
        </w:tc>
        <w:tc>
          <w:tcPr>
            <w:tcW w:w="1023" w:type="pct"/>
            <w:tcMar>
              <w:left w:w="28" w:type="dxa"/>
              <w:right w:w="28" w:type="dxa"/>
            </w:tcMar>
            <w:vAlign w:val="center"/>
          </w:tcPr>
          <w:p w14:paraId="52A3862B">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调查内容</w:t>
            </w:r>
          </w:p>
        </w:tc>
        <w:tc>
          <w:tcPr>
            <w:tcW w:w="1161" w:type="pct"/>
            <w:gridSpan w:val="4"/>
            <w:tcMar>
              <w:left w:w="28" w:type="dxa"/>
              <w:right w:w="28" w:type="dxa"/>
            </w:tcMar>
            <w:vAlign w:val="center"/>
          </w:tcPr>
          <w:p w14:paraId="665F09DE">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本项目正常排放源</w:t>
            </w:r>
            <w:r>
              <w:rPr>
                <w:color w:val="000000" w:themeColor="text1"/>
                <w:sz w:val="18"/>
                <w:szCs w:val="18"/>
                <w14:textFill>
                  <w14:solidFill>
                    <w14:schemeClr w14:val="tx1"/>
                  </w14:solidFill>
                </w14:textFill>
              </w:rPr>
              <w:sym w:font="Wingdings 2" w:char="F0A3"/>
            </w:r>
          </w:p>
          <w:p w14:paraId="670A7937">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本项目非正常排放源</w:t>
            </w:r>
            <w:r>
              <w:rPr>
                <w:color w:val="000000" w:themeColor="text1"/>
                <w:sz w:val="18"/>
                <w:szCs w:val="18"/>
                <w14:textFill>
                  <w14:solidFill>
                    <w14:schemeClr w14:val="tx1"/>
                  </w14:solidFill>
                </w14:textFill>
              </w:rPr>
              <w:sym w:font="Wingdings 2" w:char="F0A3"/>
            </w:r>
          </w:p>
          <w:p w14:paraId="17D91E95">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现有污染源</w:t>
            </w:r>
            <w:r>
              <w:rPr>
                <w:rFonts w:ascii="Times New Roman" w:hAnsi="Times New Roman"/>
                <w:color w:val="000000" w:themeColor="text1"/>
                <w:sz w:val="18"/>
                <w:szCs w:val="18"/>
                <w14:textFill>
                  <w14:solidFill>
                    <w14:schemeClr w14:val="tx1"/>
                  </w14:solidFill>
                </w14:textFill>
              </w:rPr>
              <w:sym w:font="Wingdings 2" w:char="F0A3"/>
            </w:r>
          </w:p>
        </w:tc>
        <w:tc>
          <w:tcPr>
            <w:tcW w:w="983" w:type="pct"/>
            <w:gridSpan w:val="3"/>
            <w:tcMar>
              <w:left w:w="28" w:type="dxa"/>
              <w:right w:w="28" w:type="dxa"/>
            </w:tcMar>
            <w:vAlign w:val="center"/>
          </w:tcPr>
          <w:p w14:paraId="7F76E74F">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拟替代的污染源</w:t>
            </w:r>
            <w:r>
              <w:rPr>
                <w:rFonts w:ascii="Times New Roman" w:hAnsi="Times New Roman"/>
                <w:color w:val="000000" w:themeColor="text1"/>
                <w:sz w:val="18"/>
                <w:szCs w:val="18"/>
                <w14:textFill>
                  <w14:solidFill>
                    <w14:schemeClr w14:val="tx1"/>
                  </w14:solidFill>
                </w14:textFill>
              </w:rPr>
              <w:sym w:font="Wingdings 2" w:char="F0A3"/>
            </w:r>
          </w:p>
        </w:tc>
        <w:tc>
          <w:tcPr>
            <w:tcW w:w="702" w:type="pct"/>
            <w:gridSpan w:val="3"/>
            <w:tcMar>
              <w:left w:w="28" w:type="dxa"/>
              <w:right w:w="28" w:type="dxa"/>
            </w:tcMar>
            <w:vAlign w:val="center"/>
          </w:tcPr>
          <w:p w14:paraId="0F94AFD9">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其他在建、拟建项目污染源</w:t>
            </w:r>
            <w:r>
              <w:rPr>
                <w:rFonts w:ascii="Times New Roman" w:hAnsi="Times New Roman"/>
                <w:color w:val="000000" w:themeColor="text1"/>
                <w:sz w:val="18"/>
                <w:szCs w:val="18"/>
                <w14:textFill>
                  <w14:solidFill>
                    <w14:schemeClr w14:val="tx1"/>
                  </w14:solidFill>
                </w14:textFill>
              </w:rPr>
              <w:sym w:font="Wingdings 2" w:char="F0A3"/>
            </w:r>
          </w:p>
        </w:tc>
        <w:tc>
          <w:tcPr>
            <w:tcW w:w="753" w:type="pct"/>
            <w:gridSpan w:val="2"/>
            <w:tcMar>
              <w:left w:w="28" w:type="dxa"/>
              <w:right w:w="28" w:type="dxa"/>
            </w:tcMar>
            <w:vAlign w:val="center"/>
          </w:tcPr>
          <w:p w14:paraId="562ACBE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区域污染源</w:t>
            </w:r>
            <w:r>
              <w:rPr>
                <w:rFonts w:ascii="Times New Roman" w:hAnsi="Times New Roman"/>
                <w:color w:val="000000" w:themeColor="text1"/>
                <w:sz w:val="18"/>
                <w:szCs w:val="18"/>
                <w14:textFill>
                  <w14:solidFill>
                    <w14:schemeClr w14:val="tx1"/>
                  </w14:solidFill>
                </w14:textFill>
              </w:rPr>
              <w:sym w:font="Wingdings 2" w:char="F0A3"/>
            </w:r>
          </w:p>
        </w:tc>
      </w:tr>
      <w:tr w14:paraId="17D5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restart"/>
            <w:tcMar>
              <w:left w:w="28" w:type="dxa"/>
              <w:right w:w="28" w:type="dxa"/>
            </w:tcMar>
            <w:vAlign w:val="center"/>
          </w:tcPr>
          <w:p w14:paraId="42ABD007">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大气环境影响预测与</w:t>
            </w:r>
          </w:p>
          <w:p w14:paraId="54586DC4">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w:t>
            </w:r>
          </w:p>
        </w:tc>
        <w:tc>
          <w:tcPr>
            <w:tcW w:w="1023" w:type="pct"/>
            <w:tcMar>
              <w:left w:w="28" w:type="dxa"/>
              <w:right w:w="28" w:type="dxa"/>
            </w:tcMar>
            <w:vAlign w:val="center"/>
          </w:tcPr>
          <w:p w14:paraId="5F77CE25">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预测模型</w:t>
            </w:r>
          </w:p>
        </w:tc>
        <w:tc>
          <w:tcPr>
            <w:tcW w:w="702" w:type="pct"/>
            <w:gridSpan w:val="2"/>
            <w:tcMar>
              <w:left w:w="28" w:type="dxa"/>
              <w:right w:w="28" w:type="dxa"/>
            </w:tcMar>
            <w:vAlign w:val="center"/>
          </w:tcPr>
          <w:p w14:paraId="122C4865">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AERMOD</w:t>
            </w:r>
          </w:p>
          <w:p w14:paraId="47E21432">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sym w:font="Wingdings 2" w:char="F0A3"/>
            </w:r>
          </w:p>
        </w:tc>
        <w:tc>
          <w:tcPr>
            <w:tcW w:w="173" w:type="pct"/>
            <w:tcMar>
              <w:left w:w="28" w:type="dxa"/>
              <w:right w:w="28" w:type="dxa"/>
            </w:tcMar>
            <w:vAlign w:val="center"/>
          </w:tcPr>
          <w:p w14:paraId="472DA345">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ADMS</w:t>
            </w:r>
          </w:p>
          <w:p w14:paraId="3CDD777E">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sym w:font="Wingdings 2" w:char="00A3"/>
            </w:r>
          </w:p>
        </w:tc>
        <w:tc>
          <w:tcPr>
            <w:tcW w:w="800" w:type="pct"/>
            <w:gridSpan w:val="3"/>
            <w:tcMar>
              <w:left w:w="28" w:type="dxa"/>
              <w:right w:w="28" w:type="dxa"/>
            </w:tcMar>
            <w:vAlign w:val="center"/>
          </w:tcPr>
          <w:p w14:paraId="173DE60E">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AUSTAL2000</w:t>
            </w:r>
          </w:p>
          <w:p w14:paraId="3CAF734A">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sym w:font="Wingdings 2" w:char="00A3"/>
            </w:r>
          </w:p>
        </w:tc>
        <w:tc>
          <w:tcPr>
            <w:tcW w:w="693" w:type="pct"/>
            <w:gridSpan w:val="2"/>
            <w:tcMar>
              <w:left w:w="28" w:type="dxa"/>
              <w:right w:w="28" w:type="dxa"/>
            </w:tcMar>
            <w:vAlign w:val="center"/>
          </w:tcPr>
          <w:p w14:paraId="31E6AD4F">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EDMS/AEDT</w:t>
            </w:r>
          </w:p>
          <w:p w14:paraId="799377DA">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sym w:font="Wingdings 2" w:char="00A3"/>
            </w:r>
          </w:p>
        </w:tc>
        <w:tc>
          <w:tcPr>
            <w:tcW w:w="478" w:type="pct"/>
            <w:gridSpan w:val="2"/>
            <w:tcMar>
              <w:left w:w="28" w:type="dxa"/>
              <w:right w:w="28" w:type="dxa"/>
            </w:tcMar>
            <w:vAlign w:val="center"/>
          </w:tcPr>
          <w:p w14:paraId="2969E354">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CALPUFF</w:t>
            </w:r>
          </w:p>
          <w:p w14:paraId="5E42CE2D">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sym w:font="Wingdings 2" w:char="00A3"/>
            </w:r>
          </w:p>
        </w:tc>
        <w:tc>
          <w:tcPr>
            <w:tcW w:w="499" w:type="pct"/>
            <w:tcMar>
              <w:left w:w="28" w:type="dxa"/>
              <w:right w:w="28" w:type="dxa"/>
            </w:tcMar>
            <w:vAlign w:val="center"/>
          </w:tcPr>
          <w:p w14:paraId="43EC8B2F">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网格模型</w:t>
            </w:r>
          </w:p>
          <w:p w14:paraId="64A4670F">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sym w:font="Wingdings 2" w:char="00A3"/>
            </w:r>
          </w:p>
        </w:tc>
        <w:tc>
          <w:tcPr>
            <w:tcW w:w="254" w:type="pct"/>
            <w:tcMar>
              <w:left w:w="28" w:type="dxa"/>
              <w:right w:w="28" w:type="dxa"/>
            </w:tcMar>
            <w:vAlign w:val="center"/>
          </w:tcPr>
          <w:p w14:paraId="1212944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其他</w:t>
            </w:r>
          </w:p>
          <w:p w14:paraId="6DCE2101">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sym w:font="Wingdings 2" w:char="00A3"/>
            </w:r>
          </w:p>
        </w:tc>
      </w:tr>
      <w:tr w14:paraId="23696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67605C62">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76C50672">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预测范围</w:t>
            </w:r>
          </w:p>
        </w:tc>
        <w:tc>
          <w:tcPr>
            <w:tcW w:w="875" w:type="pct"/>
            <w:gridSpan w:val="3"/>
            <w:tcMar>
              <w:left w:w="28" w:type="dxa"/>
              <w:right w:w="28" w:type="dxa"/>
            </w:tcMar>
            <w:vAlign w:val="center"/>
          </w:tcPr>
          <w:p w14:paraId="7F95445D">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 xml:space="preserve">边长≥50km </w:t>
            </w:r>
            <w:r>
              <w:rPr>
                <w:rFonts w:ascii="Times New Roman" w:hAnsi="Times New Roman"/>
                <w:color w:val="000000" w:themeColor="text1"/>
                <w:sz w:val="18"/>
                <w:szCs w:val="18"/>
                <w14:textFill>
                  <w14:solidFill>
                    <w14:schemeClr w14:val="tx1"/>
                  </w14:solidFill>
                </w14:textFill>
              </w:rPr>
              <w:sym w:font="Wingdings 2" w:char="00A3"/>
            </w:r>
          </w:p>
        </w:tc>
        <w:tc>
          <w:tcPr>
            <w:tcW w:w="1971" w:type="pct"/>
            <w:gridSpan w:val="7"/>
            <w:tcMar>
              <w:left w:w="28" w:type="dxa"/>
              <w:right w:w="28" w:type="dxa"/>
            </w:tcMar>
            <w:vAlign w:val="center"/>
          </w:tcPr>
          <w:p w14:paraId="1C6C94DB">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 xml:space="preserve">边长5～50km </w:t>
            </w:r>
            <w:bookmarkStart w:id="725" w:name="OLE_LINK187"/>
            <w:bookmarkStart w:id="726" w:name="OLE_LINK188"/>
            <w:r>
              <w:rPr>
                <w:rFonts w:ascii="Times New Roman" w:hAnsi="Times New Roman"/>
                <w:color w:val="000000" w:themeColor="text1"/>
                <w:sz w:val="18"/>
                <w:szCs w:val="18"/>
                <w14:textFill>
                  <w14:solidFill>
                    <w14:schemeClr w14:val="tx1"/>
                  </w14:solidFill>
                </w14:textFill>
              </w:rPr>
              <w:sym w:font="Wingdings 2" w:char="00A3"/>
            </w:r>
            <w:bookmarkEnd w:id="725"/>
            <w:bookmarkEnd w:id="726"/>
          </w:p>
        </w:tc>
        <w:tc>
          <w:tcPr>
            <w:tcW w:w="753" w:type="pct"/>
            <w:gridSpan w:val="2"/>
            <w:tcMar>
              <w:left w:w="28" w:type="dxa"/>
              <w:right w:w="28" w:type="dxa"/>
            </w:tcMar>
            <w:vAlign w:val="center"/>
          </w:tcPr>
          <w:p w14:paraId="0C974CC9">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边长=5km</w:t>
            </w:r>
            <w:r>
              <w:rPr>
                <w:rFonts w:ascii="Times New Roman" w:hAnsi="Times New Roman"/>
                <w:color w:val="000000" w:themeColor="text1"/>
                <w:sz w:val="18"/>
                <w:szCs w:val="18"/>
                <w14:textFill>
                  <w14:solidFill>
                    <w14:schemeClr w14:val="tx1"/>
                  </w14:solidFill>
                </w14:textFill>
              </w:rPr>
              <w:sym w:font="Wingdings 2" w:char="00A3"/>
            </w:r>
          </w:p>
        </w:tc>
      </w:tr>
      <w:tr w14:paraId="3072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1E00387A">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09835AEB">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预测因子</w:t>
            </w:r>
          </w:p>
        </w:tc>
        <w:tc>
          <w:tcPr>
            <w:tcW w:w="2145" w:type="pct"/>
            <w:gridSpan w:val="7"/>
            <w:tcMar>
              <w:left w:w="28" w:type="dxa"/>
              <w:right w:w="28" w:type="dxa"/>
            </w:tcMar>
            <w:vAlign w:val="center"/>
          </w:tcPr>
          <w:p w14:paraId="0F439E8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预测因子(</w:t>
            </w:r>
            <w:r>
              <w:rPr>
                <w:rFonts w:ascii="Times New Roman" w:hAnsi="Times New Roman" w:eastAsia="Times New Roman"/>
                <w:color w:val="000000" w:themeColor="text1"/>
                <w:sz w:val="18"/>
                <w:szCs w:val="18"/>
                <w14:textFill>
                  <w14:solidFill>
                    <w14:schemeClr w14:val="tx1"/>
                  </w14:solidFill>
                </w14:textFill>
              </w:rPr>
              <w:t>NH</w:t>
            </w:r>
            <w:r>
              <w:rPr>
                <w:rFonts w:ascii="Times New Roman" w:hAnsi="Times New Roman" w:eastAsia="Times New Roman"/>
                <w:color w:val="000000" w:themeColor="text1"/>
                <w:spacing w:val="8"/>
                <w:position w:val="-1"/>
                <w:sz w:val="18"/>
                <w:szCs w:val="18"/>
                <w:vertAlign w:val="subscript"/>
                <w14:textFill>
                  <w14:solidFill>
                    <w14:schemeClr w14:val="tx1"/>
                  </w14:solidFill>
                </w14:textFill>
              </w:rPr>
              <w:t>3</w:t>
            </w:r>
            <w:r>
              <w:rPr>
                <w:color w:val="000000" w:themeColor="text1"/>
                <w:spacing w:val="8"/>
                <w:sz w:val="18"/>
                <w:szCs w:val="18"/>
                <w14:textFill>
                  <w14:solidFill>
                    <w14:schemeClr w14:val="tx1"/>
                  </w14:solidFill>
                </w14:textFill>
              </w:rPr>
              <w:t>、</w:t>
            </w:r>
            <w:r>
              <w:rPr>
                <w:rFonts w:ascii="Times New Roman" w:hAnsi="Times New Roman" w:eastAsia="Times New Roman"/>
                <w:color w:val="000000" w:themeColor="text1"/>
                <w:spacing w:val="8"/>
                <w:sz w:val="18"/>
                <w:szCs w:val="18"/>
                <w14:textFill>
                  <w14:solidFill>
                    <w14:schemeClr w14:val="tx1"/>
                  </w14:solidFill>
                </w14:textFill>
              </w:rPr>
              <w:t>H</w:t>
            </w:r>
            <w:r>
              <w:rPr>
                <w:rFonts w:ascii="Times New Roman" w:hAnsi="Times New Roman" w:eastAsia="Times New Roman"/>
                <w:color w:val="000000" w:themeColor="text1"/>
                <w:spacing w:val="8"/>
                <w:position w:val="-1"/>
                <w:sz w:val="18"/>
                <w:szCs w:val="18"/>
                <w:vertAlign w:val="subscript"/>
                <w14:textFill>
                  <w14:solidFill>
                    <w14:schemeClr w14:val="tx1"/>
                  </w14:solidFill>
                </w14:textFill>
              </w:rPr>
              <w:t>2</w:t>
            </w:r>
            <w:r>
              <w:rPr>
                <w:rFonts w:ascii="Times New Roman" w:hAnsi="Times New Roman" w:eastAsia="Times New Roman"/>
                <w:color w:val="000000" w:themeColor="text1"/>
                <w:spacing w:val="8"/>
                <w:sz w:val="18"/>
                <w:szCs w:val="18"/>
                <w14:textFill>
                  <w14:solidFill>
                    <w14:schemeClr w14:val="tx1"/>
                  </w14:solidFill>
                </w14:textFill>
              </w:rPr>
              <w:t>S</w:t>
            </w:r>
            <w:r>
              <w:rPr>
                <w:rFonts w:ascii="Times New Roman" w:hAnsi="Times New Roman"/>
                <w:color w:val="000000" w:themeColor="text1"/>
                <w:sz w:val="18"/>
                <w:szCs w:val="18"/>
                <w14:textFill>
                  <w14:solidFill>
                    <w14:schemeClr w14:val="tx1"/>
                  </w14:solidFill>
                </w14:textFill>
              </w:rPr>
              <w:t>)</w:t>
            </w:r>
          </w:p>
        </w:tc>
        <w:tc>
          <w:tcPr>
            <w:tcW w:w="1455" w:type="pct"/>
            <w:gridSpan w:val="5"/>
            <w:tcMar>
              <w:left w:w="28" w:type="dxa"/>
              <w:right w:w="28" w:type="dxa"/>
            </w:tcMar>
            <w:vAlign w:val="center"/>
          </w:tcPr>
          <w:p w14:paraId="30243FA9">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包括二次PM</w:t>
            </w:r>
            <w:r>
              <w:rPr>
                <w:rFonts w:ascii="Times New Roman" w:hAnsi="Times New Roman"/>
                <w:color w:val="000000" w:themeColor="text1"/>
                <w:sz w:val="18"/>
                <w:szCs w:val="18"/>
                <w:vertAlign w:val="subscript"/>
                <w14:textFill>
                  <w14:solidFill>
                    <w14:schemeClr w14:val="tx1"/>
                  </w14:solidFill>
                </w14:textFill>
              </w:rPr>
              <w:t xml:space="preserve">2.5 </w:t>
            </w:r>
            <w:r>
              <w:rPr>
                <w:color w:val="000000" w:themeColor="text1"/>
                <w:sz w:val="18"/>
                <w:szCs w:val="18"/>
                <w14:textFill>
                  <w14:solidFill>
                    <w14:schemeClr w14:val="tx1"/>
                  </w14:solidFill>
                </w14:textFill>
              </w:rPr>
              <w:sym w:font="Wingdings 2" w:char="F0A3"/>
            </w:r>
          </w:p>
          <w:p w14:paraId="79AB01D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不包括二次PM</w:t>
            </w:r>
            <w:r>
              <w:rPr>
                <w:rFonts w:ascii="Times New Roman" w:hAnsi="Times New Roman"/>
                <w:color w:val="000000" w:themeColor="text1"/>
                <w:sz w:val="18"/>
                <w:szCs w:val="18"/>
                <w:vertAlign w:val="subscript"/>
                <w14:textFill>
                  <w14:solidFill>
                    <w14:schemeClr w14:val="tx1"/>
                  </w14:solidFill>
                </w14:textFill>
              </w:rPr>
              <w:t xml:space="preserve">2.5 </w:t>
            </w:r>
            <w:r>
              <w:rPr>
                <w:color w:val="000000" w:themeColor="text1"/>
                <w:sz w:val="18"/>
                <w:szCs w:val="18"/>
                <w14:textFill>
                  <w14:solidFill>
                    <w14:schemeClr w14:val="tx1"/>
                  </w14:solidFill>
                </w14:textFill>
              </w:rPr>
              <w:sym w:font="Wingdings 2" w:char="F0A3"/>
            </w:r>
          </w:p>
        </w:tc>
      </w:tr>
      <w:tr w14:paraId="0795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3C152D20">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13710596">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正常排放短期浓度贡献值</w:t>
            </w:r>
          </w:p>
        </w:tc>
        <w:tc>
          <w:tcPr>
            <w:tcW w:w="2145" w:type="pct"/>
            <w:gridSpan w:val="7"/>
            <w:tcMar>
              <w:left w:w="28" w:type="dxa"/>
              <w:right w:w="28" w:type="dxa"/>
            </w:tcMar>
            <w:vAlign w:val="center"/>
          </w:tcPr>
          <w:p w14:paraId="71F0009D">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本项目</w:t>
            </w:r>
            <w:r>
              <w:rPr>
                <w:rFonts w:ascii="Times New Roman" w:hAnsi="Times New Roman"/>
                <w:color w:val="000000" w:themeColor="text1"/>
                <w:sz w:val="18"/>
                <w:szCs w:val="18"/>
                <w14:textFill>
                  <w14:solidFill>
                    <w14:schemeClr w14:val="tx1"/>
                  </w14:solidFill>
                </w14:textFill>
              </w:rPr>
              <w:t xml:space="preserve">最大占标率≤100% </w:t>
            </w:r>
            <w:r>
              <w:rPr>
                <w:color w:val="000000" w:themeColor="text1"/>
                <w:sz w:val="18"/>
                <w:szCs w:val="18"/>
                <w14:textFill>
                  <w14:solidFill>
                    <w14:schemeClr w14:val="tx1"/>
                  </w14:solidFill>
                </w14:textFill>
              </w:rPr>
              <w:sym w:font="Wingdings 2" w:char="F0A3"/>
            </w:r>
          </w:p>
        </w:tc>
        <w:tc>
          <w:tcPr>
            <w:tcW w:w="1455" w:type="pct"/>
            <w:gridSpan w:val="5"/>
            <w:tcMar>
              <w:left w:w="28" w:type="dxa"/>
              <w:right w:w="28" w:type="dxa"/>
            </w:tcMar>
            <w:vAlign w:val="center"/>
          </w:tcPr>
          <w:p w14:paraId="1F547EEC">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本项目</w:t>
            </w:r>
            <w:r>
              <w:rPr>
                <w:rFonts w:ascii="Times New Roman" w:hAnsi="Times New Roman"/>
                <w:color w:val="000000" w:themeColor="text1"/>
                <w:sz w:val="18"/>
                <w:szCs w:val="18"/>
                <w14:textFill>
                  <w14:solidFill>
                    <w14:schemeClr w14:val="tx1"/>
                  </w14:solidFill>
                </w14:textFill>
              </w:rPr>
              <w:t xml:space="preserve">最大占标率＞100% </w:t>
            </w:r>
            <w:r>
              <w:rPr>
                <w:rFonts w:ascii="Times New Roman" w:hAnsi="Times New Roman"/>
                <w:color w:val="000000" w:themeColor="text1"/>
                <w:sz w:val="18"/>
                <w:szCs w:val="18"/>
                <w14:textFill>
                  <w14:solidFill>
                    <w14:schemeClr w14:val="tx1"/>
                  </w14:solidFill>
                </w14:textFill>
              </w:rPr>
              <w:sym w:font="Wingdings 2" w:char="00A3"/>
            </w:r>
          </w:p>
        </w:tc>
      </w:tr>
      <w:tr w14:paraId="594F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1E05DAE8">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vMerge w:val="restart"/>
            <w:tcMar>
              <w:left w:w="28" w:type="dxa"/>
              <w:right w:w="28" w:type="dxa"/>
            </w:tcMar>
            <w:vAlign w:val="center"/>
          </w:tcPr>
          <w:p w14:paraId="61ABC14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正常排放年均浓度贡献值</w:t>
            </w:r>
          </w:p>
        </w:tc>
        <w:tc>
          <w:tcPr>
            <w:tcW w:w="702" w:type="pct"/>
            <w:gridSpan w:val="2"/>
            <w:tcMar>
              <w:left w:w="28" w:type="dxa"/>
              <w:right w:w="28" w:type="dxa"/>
            </w:tcMar>
            <w:vAlign w:val="center"/>
          </w:tcPr>
          <w:p w14:paraId="1522E08B">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一类区</w:t>
            </w:r>
          </w:p>
        </w:tc>
        <w:tc>
          <w:tcPr>
            <w:tcW w:w="1442" w:type="pct"/>
            <w:gridSpan w:val="5"/>
            <w:tcMar>
              <w:left w:w="28" w:type="dxa"/>
              <w:right w:w="28" w:type="dxa"/>
            </w:tcMar>
            <w:vAlign w:val="center"/>
          </w:tcPr>
          <w:p w14:paraId="760CF1DC">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本项目</w:t>
            </w:r>
            <w:r>
              <w:rPr>
                <w:rFonts w:ascii="Times New Roman" w:hAnsi="Times New Roman"/>
                <w:color w:val="000000" w:themeColor="text1"/>
                <w:sz w:val="18"/>
                <w:szCs w:val="18"/>
                <w14:textFill>
                  <w14:solidFill>
                    <w14:schemeClr w14:val="tx1"/>
                  </w14:solidFill>
                </w14:textFill>
              </w:rPr>
              <w:t xml:space="preserve">最大占标率≤10% </w:t>
            </w:r>
            <w:r>
              <w:rPr>
                <w:rFonts w:ascii="Times New Roman" w:hAnsi="Times New Roman"/>
                <w:color w:val="000000" w:themeColor="text1"/>
                <w:sz w:val="18"/>
                <w:szCs w:val="18"/>
                <w14:textFill>
                  <w14:solidFill>
                    <w14:schemeClr w14:val="tx1"/>
                  </w14:solidFill>
                </w14:textFill>
              </w:rPr>
              <w:sym w:font="Wingdings 2" w:char="00A3"/>
            </w:r>
          </w:p>
        </w:tc>
        <w:tc>
          <w:tcPr>
            <w:tcW w:w="1455" w:type="pct"/>
            <w:gridSpan w:val="5"/>
            <w:tcMar>
              <w:left w:w="28" w:type="dxa"/>
              <w:right w:w="28" w:type="dxa"/>
            </w:tcMar>
            <w:vAlign w:val="center"/>
          </w:tcPr>
          <w:p w14:paraId="69A77C0E">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本项目</w:t>
            </w:r>
            <w:r>
              <w:rPr>
                <w:rFonts w:ascii="Times New Roman" w:hAnsi="Times New Roman"/>
                <w:color w:val="000000" w:themeColor="text1"/>
                <w:sz w:val="18"/>
                <w:szCs w:val="18"/>
                <w14:textFill>
                  <w14:solidFill>
                    <w14:schemeClr w14:val="tx1"/>
                  </w14:solidFill>
                </w14:textFill>
              </w:rPr>
              <w:t>最大</w:t>
            </w:r>
            <w:r>
              <w:rPr>
                <w:rFonts w:hint="eastAsia" w:ascii="Times New Roman" w:hAnsi="Times New Roman"/>
                <w:color w:val="000000" w:themeColor="text1"/>
                <w:sz w:val="18"/>
                <w:szCs w:val="18"/>
                <w14:textFill>
                  <w14:solidFill>
                    <w14:schemeClr w14:val="tx1"/>
                  </w14:solidFill>
                </w14:textFill>
              </w:rPr>
              <w:t>占</w:t>
            </w:r>
            <w:r>
              <w:rPr>
                <w:rFonts w:ascii="Times New Roman" w:hAnsi="Times New Roman"/>
                <w:color w:val="000000" w:themeColor="text1"/>
                <w:sz w:val="18"/>
                <w:szCs w:val="18"/>
                <w14:textFill>
                  <w14:solidFill>
                    <w14:schemeClr w14:val="tx1"/>
                  </w14:solidFill>
                </w14:textFill>
              </w:rPr>
              <w:t xml:space="preserve">标率＞10% </w:t>
            </w:r>
            <w:r>
              <w:rPr>
                <w:rFonts w:ascii="Times New Roman" w:hAnsi="Times New Roman"/>
                <w:color w:val="000000" w:themeColor="text1"/>
                <w:sz w:val="18"/>
                <w:szCs w:val="18"/>
                <w14:textFill>
                  <w14:solidFill>
                    <w14:schemeClr w14:val="tx1"/>
                  </w14:solidFill>
                </w14:textFill>
              </w:rPr>
              <w:sym w:font="Wingdings 2" w:char="00A3"/>
            </w:r>
          </w:p>
        </w:tc>
      </w:tr>
      <w:tr w14:paraId="6283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4B4265F8">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vMerge w:val="continue"/>
            <w:tcMar>
              <w:left w:w="28" w:type="dxa"/>
              <w:right w:w="28" w:type="dxa"/>
            </w:tcMar>
            <w:vAlign w:val="center"/>
          </w:tcPr>
          <w:p w14:paraId="4D4EC079">
            <w:pPr>
              <w:pStyle w:val="118"/>
              <w:spacing w:line="240" w:lineRule="auto"/>
              <w:rPr>
                <w:rFonts w:ascii="Times New Roman" w:hAnsi="Times New Roman"/>
                <w:color w:val="000000" w:themeColor="text1"/>
                <w:sz w:val="18"/>
                <w:szCs w:val="18"/>
                <w14:textFill>
                  <w14:solidFill>
                    <w14:schemeClr w14:val="tx1"/>
                  </w14:solidFill>
                </w14:textFill>
              </w:rPr>
            </w:pPr>
          </w:p>
        </w:tc>
        <w:tc>
          <w:tcPr>
            <w:tcW w:w="702" w:type="pct"/>
            <w:gridSpan w:val="2"/>
            <w:tcMar>
              <w:left w:w="28" w:type="dxa"/>
              <w:right w:w="28" w:type="dxa"/>
            </w:tcMar>
            <w:vAlign w:val="center"/>
          </w:tcPr>
          <w:p w14:paraId="613AB294">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二类区</w:t>
            </w:r>
          </w:p>
        </w:tc>
        <w:tc>
          <w:tcPr>
            <w:tcW w:w="1442" w:type="pct"/>
            <w:gridSpan w:val="5"/>
            <w:tcMar>
              <w:left w:w="28" w:type="dxa"/>
              <w:right w:w="28" w:type="dxa"/>
            </w:tcMar>
            <w:vAlign w:val="center"/>
          </w:tcPr>
          <w:p w14:paraId="23E1C2B1">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本项目</w:t>
            </w:r>
            <w:r>
              <w:rPr>
                <w:rFonts w:ascii="Times New Roman" w:hAnsi="Times New Roman"/>
                <w:color w:val="000000" w:themeColor="text1"/>
                <w:sz w:val="18"/>
                <w:szCs w:val="18"/>
                <w14:textFill>
                  <w14:solidFill>
                    <w14:schemeClr w14:val="tx1"/>
                  </w14:solidFill>
                </w14:textFill>
              </w:rPr>
              <w:t xml:space="preserve">最大占标率≤30% </w:t>
            </w:r>
            <w:r>
              <w:rPr>
                <w:rFonts w:ascii="Times New Roman" w:hAnsi="Times New Roman"/>
                <w:color w:val="000000" w:themeColor="text1"/>
                <w:sz w:val="18"/>
                <w:szCs w:val="18"/>
                <w14:textFill>
                  <w14:solidFill>
                    <w14:schemeClr w14:val="tx1"/>
                  </w14:solidFill>
                </w14:textFill>
              </w:rPr>
              <w:sym w:font="Wingdings 2" w:char="00A3"/>
            </w:r>
          </w:p>
        </w:tc>
        <w:tc>
          <w:tcPr>
            <w:tcW w:w="1455" w:type="pct"/>
            <w:gridSpan w:val="5"/>
            <w:tcMar>
              <w:left w:w="28" w:type="dxa"/>
              <w:right w:w="28" w:type="dxa"/>
            </w:tcMar>
            <w:vAlign w:val="center"/>
          </w:tcPr>
          <w:p w14:paraId="26F6BB7F">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本项目</w:t>
            </w:r>
            <w:r>
              <w:rPr>
                <w:rFonts w:ascii="Times New Roman" w:hAnsi="Times New Roman"/>
                <w:color w:val="000000" w:themeColor="text1"/>
                <w:sz w:val="18"/>
                <w:szCs w:val="18"/>
                <w14:textFill>
                  <w14:solidFill>
                    <w14:schemeClr w14:val="tx1"/>
                  </w14:solidFill>
                </w14:textFill>
              </w:rPr>
              <w:t>最大</w:t>
            </w:r>
            <w:r>
              <w:rPr>
                <w:rFonts w:hint="eastAsia" w:ascii="Times New Roman" w:hAnsi="Times New Roman"/>
                <w:color w:val="000000" w:themeColor="text1"/>
                <w:sz w:val="18"/>
                <w:szCs w:val="18"/>
                <w14:textFill>
                  <w14:solidFill>
                    <w14:schemeClr w14:val="tx1"/>
                  </w14:solidFill>
                </w14:textFill>
              </w:rPr>
              <w:t>占</w:t>
            </w:r>
            <w:r>
              <w:rPr>
                <w:rFonts w:ascii="Times New Roman" w:hAnsi="Times New Roman"/>
                <w:color w:val="000000" w:themeColor="text1"/>
                <w:sz w:val="18"/>
                <w:szCs w:val="18"/>
                <w14:textFill>
                  <w14:solidFill>
                    <w14:schemeClr w14:val="tx1"/>
                  </w14:solidFill>
                </w14:textFill>
              </w:rPr>
              <w:t xml:space="preserve">标率＞30% </w:t>
            </w:r>
            <w:r>
              <w:rPr>
                <w:rFonts w:ascii="Times New Roman" w:hAnsi="Times New Roman"/>
                <w:color w:val="000000" w:themeColor="text1"/>
                <w:sz w:val="18"/>
                <w:szCs w:val="18"/>
                <w14:textFill>
                  <w14:solidFill>
                    <w14:schemeClr w14:val="tx1"/>
                  </w14:solidFill>
                </w14:textFill>
              </w:rPr>
              <w:sym w:font="Wingdings 2" w:char="00A3"/>
            </w:r>
          </w:p>
        </w:tc>
      </w:tr>
      <w:tr w14:paraId="26C2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730F39DB">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2A2B7B6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非正常排放1h浓度贡献值</w:t>
            </w:r>
          </w:p>
        </w:tc>
        <w:tc>
          <w:tcPr>
            <w:tcW w:w="702" w:type="pct"/>
            <w:gridSpan w:val="2"/>
            <w:tcMar>
              <w:left w:w="28" w:type="dxa"/>
              <w:right w:w="28" w:type="dxa"/>
            </w:tcMar>
            <w:vAlign w:val="center"/>
          </w:tcPr>
          <w:p w14:paraId="6128CC3E">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非正常持续时长（）h</w:t>
            </w:r>
          </w:p>
        </w:tc>
        <w:tc>
          <w:tcPr>
            <w:tcW w:w="1442" w:type="pct"/>
            <w:gridSpan w:val="5"/>
            <w:tcMar>
              <w:left w:w="28" w:type="dxa"/>
              <w:right w:w="28" w:type="dxa"/>
            </w:tcMar>
            <w:vAlign w:val="center"/>
          </w:tcPr>
          <w:p w14:paraId="75305377">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非正常</w:t>
            </w:r>
            <w:r>
              <w:rPr>
                <w:rFonts w:ascii="Times New Roman" w:hAnsi="Times New Roman"/>
                <w:color w:val="000000" w:themeColor="text1"/>
                <w:sz w:val="18"/>
                <w:szCs w:val="18"/>
                <w14:textFill>
                  <w14:solidFill>
                    <w14:schemeClr w14:val="tx1"/>
                  </w14:solidFill>
                </w14:textFill>
              </w:rPr>
              <w:t xml:space="preserve">占标率≤100% </w:t>
            </w:r>
            <w:r>
              <w:rPr>
                <w:rFonts w:ascii="Times New Roman" w:hAnsi="Times New Roman"/>
                <w:color w:val="000000" w:themeColor="text1"/>
                <w:sz w:val="18"/>
                <w:szCs w:val="18"/>
                <w14:textFill>
                  <w14:solidFill>
                    <w14:schemeClr w14:val="tx1"/>
                  </w14:solidFill>
                </w14:textFill>
              </w:rPr>
              <w:sym w:font="Wingdings 2" w:char="00A3"/>
            </w:r>
          </w:p>
        </w:tc>
        <w:tc>
          <w:tcPr>
            <w:tcW w:w="1455" w:type="pct"/>
            <w:gridSpan w:val="5"/>
            <w:tcMar>
              <w:left w:w="28" w:type="dxa"/>
              <w:right w:w="28" w:type="dxa"/>
            </w:tcMar>
            <w:vAlign w:val="center"/>
          </w:tcPr>
          <w:p w14:paraId="59FF007A">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非正常</w:t>
            </w:r>
            <w:r>
              <w:rPr>
                <w:rFonts w:ascii="Times New Roman" w:hAnsi="Times New Roman"/>
                <w:color w:val="000000" w:themeColor="text1"/>
                <w:sz w:val="18"/>
                <w:szCs w:val="18"/>
                <w14:textFill>
                  <w14:solidFill>
                    <w14:schemeClr w14:val="tx1"/>
                  </w14:solidFill>
                </w14:textFill>
              </w:rPr>
              <w:t xml:space="preserve">占标率＞100% </w:t>
            </w:r>
            <w:r>
              <w:rPr>
                <w:rFonts w:ascii="Times New Roman" w:hAnsi="Times New Roman"/>
                <w:color w:val="000000" w:themeColor="text1"/>
                <w:sz w:val="18"/>
                <w:szCs w:val="18"/>
                <w14:textFill>
                  <w14:solidFill>
                    <w14:schemeClr w14:val="tx1"/>
                  </w14:solidFill>
                </w14:textFill>
              </w:rPr>
              <w:sym w:font="Wingdings 2" w:char="00A3"/>
            </w:r>
          </w:p>
        </w:tc>
      </w:tr>
      <w:tr w14:paraId="7B45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0414E8FF">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313B369C">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保证率日平均浓度和年平均浓度叠加值</w:t>
            </w:r>
          </w:p>
        </w:tc>
        <w:tc>
          <w:tcPr>
            <w:tcW w:w="1675" w:type="pct"/>
            <w:gridSpan w:val="6"/>
            <w:tcMar>
              <w:left w:w="28" w:type="dxa"/>
              <w:right w:w="28" w:type="dxa"/>
            </w:tcMar>
            <w:vAlign w:val="center"/>
          </w:tcPr>
          <w:p w14:paraId="47AACC73">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叠加</w:t>
            </w:r>
            <w:r>
              <w:rPr>
                <w:rFonts w:ascii="Times New Roman" w:hAnsi="Times New Roman"/>
                <w:color w:val="000000" w:themeColor="text1"/>
                <w:sz w:val="18"/>
                <w:szCs w:val="18"/>
                <w14:textFill>
                  <w14:solidFill>
                    <w14:schemeClr w14:val="tx1"/>
                  </w14:solidFill>
                </w14:textFill>
              </w:rPr>
              <w:t>达标</w:t>
            </w:r>
            <w:bookmarkStart w:id="727" w:name="OLE_LINK189"/>
            <w:bookmarkStart w:id="728" w:name="OLE_LINK190"/>
            <w:r>
              <w:rPr>
                <w:rFonts w:hint="eastAsia" w:ascii="Times New Roman" w:hAnsi="Times New Roman"/>
                <w:color w:val="000000" w:themeColor="text1"/>
                <w:sz w:val="18"/>
                <w:szCs w:val="18"/>
                <w14:textFill>
                  <w14:solidFill>
                    <w14:schemeClr w14:val="tx1"/>
                  </w14:solidFill>
                </w14:textFill>
              </w:rPr>
              <w:t xml:space="preserve"> </w:t>
            </w:r>
            <w:bookmarkStart w:id="729" w:name="OLE_LINK193"/>
            <w:bookmarkStart w:id="730" w:name="OLE_LINK194"/>
            <w:r>
              <w:rPr>
                <w:rFonts w:ascii="Times New Roman" w:hAnsi="Times New Roman"/>
                <w:color w:val="000000" w:themeColor="text1"/>
                <w:sz w:val="18"/>
                <w:szCs w:val="18"/>
                <w14:textFill>
                  <w14:solidFill>
                    <w14:schemeClr w14:val="tx1"/>
                  </w14:solidFill>
                </w14:textFill>
              </w:rPr>
              <w:sym w:font="Wingdings 2" w:char="00A3"/>
            </w:r>
            <w:bookmarkEnd w:id="727"/>
            <w:bookmarkEnd w:id="728"/>
            <w:bookmarkEnd w:id="729"/>
            <w:bookmarkEnd w:id="730"/>
          </w:p>
        </w:tc>
        <w:tc>
          <w:tcPr>
            <w:tcW w:w="1924" w:type="pct"/>
            <w:gridSpan w:val="6"/>
            <w:tcMar>
              <w:left w:w="28" w:type="dxa"/>
              <w:right w:w="28" w:type="dxa"/>
            </w:tcMar>
            <w:vAlign w:val="center"/>
          </w:tcPr>
          <w:p w14:paraId="7E722014">
            <w:pPr>
              <w:pStyle w:val="118"/>
              <w:spacing w:line="240" w:lineRule="auto"/>
              <w:rPr>
                <w:rFonts w:ascii="Times New Roman" w:hAnsi="Times New Roman"/>
                <w:color w:val="000000" w:themeColor="text1"/>
                <w:sz w:val="18"/>
                <w:szCs w:val="18"/>
                <w14:textFill>
                  <w14:solidFill>
                    <w14:schemeClr w14:val="tx1"/>
                  </w14:solidFill>
                </w14:textFill>
              </w:rPr>
            </w:pPr>
            <w:r>
              <w:rPr>
                <w:rFonts w:ascii="Cambria Math" w:hAnsi="Cambria Math" w:cs="Cambria Math"/>
                <w:color w:val="000000" w:themeColor="text1"/>
                <w:sz w:val="18"/>
                <w:szCs w:val="18"/>
                <w14:textFill>
                  <w14:solidFill>
                    <w14:schemeClr w14:val="tx1"/>
                  </w14:solidFill>
                </w14:textFill>
              </w:rPr>
              <w:t>𝐶</w:t>
            </w:r>
            <w:r>
              <w:rPr>
                <w:rFonts w:ascii="Times New Roman" w:hAnsi="Times New Roman"/>
                <w:color w:val="000000" w:themeColor="text1"/>
                <w:position w:val="-5"/>
                <w:sz w:val="18"/>
                <w:szCs w:val="18"/>
                <w14:textFill>
                  <w14:solidFill>
                    <w14:schemeClr w14:val="tx1"/>
                  </w14:solidFill>
                </w14:textFill>
              </w:rPr>
              <w:t>叠加</w:t>
            </w:r>
            <w:r>
              <w:rPr>
                <w:rFonts w:ascii="Times New Roman" w:hAnsi="Times New Roman"/>
                <w:color w:val="000000" w:themeColor="text1"/>
                <w:sz w:val="18"/>
                <w:szCs w:val="18"/>
                <w14:textFill>
                  <w14:solidFill>
                    <w14:schemeClr w14:val="tx1"/>
                  </w14:solidFill>
                </w14:textFill>
              </w:rPr>
              <w:t>不达标</w:t>
            </w:r>
            <w:r>
              <w:rPr>
                <w:rFonts w:hint="eastAsia" w:ascii="Times New Roman" w:hAnsi="Times New Roman"/>
                <w:color w:val="000000" w:themeColor="text1"/>
                <w:sz w:val="18"/>
                <w:szCs w:val="18"/>
                <w14:textFill>
                  <w14:solidFill>
                    <w14:schemeClr w14:val="tx1"/>
                  </w14:solidFill>
                </w14:textFill>
              </w:rPr>
              <w:t xml:space="preserve"> </w:t>
            </w:r>
            <w:r>
              <w:rPr>
                <w:rFonts w:ascii="Times New Roman" w:hAnsi="Times New Roman"/>
                <w:color w:val="000000" w:themeColor="text1"/>
                <w:sz w:val="18"/>
                <w:szCs w:val="18"/>
                <w14:textFill>
                  <w14:solidFill>
                    <w14:schemeClr w14:val="tx1"/>
                  </w14:solidFill>
                </w14:textFill>
              </w:rPr>
              <w:sym w:font="Wingdings 2" w:char="00A3"/>
            </w:r>
          </w:p>
        </w:tc>
      </w:tr>
      <w:tr w14:paraId="7EB4E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3AA45D84">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4EA4545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区域环境质量的整体变化情况</w:t>
            </w:r>
          </w:p>
        </w:tc>
        <w:tc>
          <w:tcPr>
            <w:tcW w:w="1675" w:type="pct"/>
            <w:gridSpan w:val="6"/>
            <w:tcMar>
              <w:left w:w="28" w:type="dxa"/>
              <w:right w:w="28" w:type="dxa"/>
            </w:tcMar>
            <w:vAlign w:val="center"/>
          </w:tcPr>
          <w:p w14:paraId="1143663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i/>
                <w:color w:val="000000" w:themeColor="text1"/>
                <w:sz w:val="18"/>
                <w:szCs w:val="18"/>
                <w14:textFill>
                  <w14:solidFill>
                    <w14:schemeClr w14:val="tx1"/>
                  </w14:solidFill>
                </w14:textFill>
              </w:rPr>
              <w:t>k</w:t>
            </w:r>
            <w:r>
              <w:rPr>
                <w:rFonts w:ascii="Times New Roman" w:hAnsi="Times New Roman"/>
                <w:color w:val="000000" w:themeColor="text1"/>
                <w:sz w:val="18"/>
                <w:szCs w:val="18"/>
                <w14:textFill>
                  <w14:solidFill>
                    <w14:schemeClr w14:val="tx1"/>
                  </w14:solidFill>
                </w14:textFill>
              </w:rPr>
              <w:t xml:space="preserve">≤-20% </w:t>
            </w:r>
            <w:r>
              <w:rPr>
                <w:rFonts w:ascii="Times New Roman" w:hAnsi="Times New Roman"/>
                <w:color w:val="000000" w:themeColor="text1"/>
                <w:sz w:val="18"/>
                <w:szCs w:val="18"/>
                <w14:textFill>
                  <w14:solidFill>
                    <w14:schemeClr w14:val="tx1"/>
                  </w14:solidFill>
                </w14:textFill>
              </w:rPr>
              <w:sym w:font="Wingdings 2" w:char="00A3"/>
            </w:r>
          </w:p>
        </w:tc>
        <w:tc>
          <w:tcPr>
            <w:tcW w:w="1924" w:type="pct"/>
            <w:gridSpan w:val="6"/>
            <w:tcMar>
              <w:left w:w="28" w:type="dxa"/>
              <w:right w:w="28" w:type="dxa"/>
            </w:tcMar>
            <w:vAlign w:val="center"/>
          </w:tcPr>
          <w:p w14:paraId="61B52E0F">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i/>
                <w:color w:val="000000" w:themeColor="text1"/>
                <w:sz w:val="18"/>
                <w:szCs w:val="18"/>
                <w14:textFill>
                  <w14:solidFill>
                    <w14:schemeClr w14:val="tx1"/>
                  </w14:solidFill>
                </w14:textFill>
              </w:rPr>
              <w:t>k</w:t>
            </w:r>
            <w:r>
              <w:rPr>
                <w:rFonts w:ascii="Times New Roman" w:hAnsi="Times New Roman"/>
                <w:color w:val="000000" w:themeColor="text1"/>
                <w:sz w:val="18"/>
                <w:szCs w:val="18"/>
                <w14:textFill>
                  <w14:solidFill>
                    <w14:schemeClr w14:val="tx1"/>
                  </w14:solidFill>
                </w14:textFill>
              </w:rPr>
              <w:t xml:space="preserve">＞-20% </w:t>
            </w:r>
            <w:r>
              <w:rPr>
                <w:rFonts w:ascii="Times New Roman" w:hAnsi="Times New Roman"/>
                <w:color w:val="000000" w:themeColor="text1"/>
                <w:sz w:val="18"/>
                <w:szCs w:val="18"/>
                <w14:textFill>
                  <w14:solidFill>
                    <w14:schemeClr w14:val="tx1"/>
                  </w14:solidFill>
                </w14:textFill>
              </w:rPr>
              <w:sym w:font="Wingdings 2" w:char="00A3"/>
            </w:r>
          </w:p>
        </w:tc>
      </w:tr>
      <w:tr w14:paraId="5258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restart"/>
            <w:tcMar>
              <w:left w:w="28" w:type="dxa"/>
              <w:right w:w="28" w:type="dxa"/>
            </w:tcMar>
            <w:vAlign w:val="center"/>
          </w:tcPr>
          <w:p w14:paraId="7DEAC8BA">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环境监测计划</w:t>
            </w:r>
          </w:p>
        </w:tc>
        <w:tc>
          <w:tcPr>
            <w:tcW w:w="1023" w:type="pct"/>
            <w:tcMar>
              <w:left w:w="28" w:type="dxa"/>
              <w:right w:w="28" w:type="dxa"/>
            </w:tcMar>
            <w:vAlign w:val="center"/>
          </w:tcPr>
          <w:p w14:paraId="33237F15">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污染源监测</w:t>
            </w:r>
          </w:p>
        </w:tc>
        <w:tc>
          <w:tcPr>
            <w:tcW w:w="1675" w:type="pct"/>
            <w:gridSpan w:val="6"/>
            <w:tcMar>
              <w:left w:w="28" w:type="dxa"/>
              <w:right w:w="28" w:type="dxa"/>
            </w:tcMar>
            <w:vAlign w:val="center"/>
          </w:tcPr>
          <w:p w14:paraId="73CF17AD">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监测因子</w:t>
            </w:r>
            <w:r>
              <w:rPr>
                <w:rFonts w:ascii="Times New Roman" w:hAnsi="Times New Roman"/>
                <w:color w:val="000000" w:themeColor="text1"/>
                <w:spacing w:val="-92"/>
                <w:sz w:val="18"/>
                <w:szCs w:val="18"/>
                <w14:textFill>
                  <w14:solidFill>
                    <w14:schemeClr w14:val="tx1"/>
                  </w14:solidFill>
                </w14:textFill>
              </w:rPr>
              <w:t>：</w:t>
            </w:r>
            <w:r>
              <w:rPr>
                <w:rFonts w:ascii="Times New Roman" w:hAnsi="Times New Roman"/>
                <w:color w:val="000000" w:themeColor="text1"/>
                <w:sz w:val="18"/>
                <w:szCs w:val="18"/>
                <w14:textFill>
                  <w14:solidFill>
                    <w14:schemeClr w14:val="tx1"/>
                  </w14:solidFill>
                </w14:textFill>
              </w:rPr>
              <w:t>（NH</w:t>
            </w:r>
            <w:r>
              <w:rPr>
                <w:rFonts w:ascii="Times New Roman" w:hAnsi="Times New Roman"/>
                <w:color w:val="000000" w:themeColor="text1"/>
                <w:sz w:val="18"/>
                <w:szCs w:val="18"/>
                <w:vertAlign w:val="subscript"/>
                <w14:textFill>
                  <w14:solidFill>
                    <w14:schemeClr w14:val="tx1"/>
                  </w14:solidFill>
                </w14:textFill>
              </w:rPr>
              <w:t>3</w:t>
            </w:r>
            <w:r>
              <w:rPr>
                <w:rFonts w:ascii="Times New Roman" w:hAnsi="Times New Roman"/>
                <w:color w:val="000000" w:themeColor="text1"/>
                <w:sz w:val="18"/>
                <w:szCs w:val="18"/>
                <w14:textFill>
                  <w14:solidFill>
                    <w14:schemeClr w14:val="tx1"/>
                  </w14:solidFill>
                </w14:textFill>
              </w:rPr>
              <w:t>、H</w:t>
            </w:r>
            <w:r>
              <w:rPr>
                <w:rFonts w:ascii="Times New Roman" w:hAnsi="Times New Roman"/>
                <w:color w:val="000000" w:themeColor="text1"/>
                <w:sz w:val="18"/>
                <w:szCs w:val="18"/>
                <w:vertAlign w:val="subscript"/>
                <w14:textFill>
                  <w14:solidFill>
                    <w14:schemeClr w14:val="tx1"/>
                  </w14:solidFill>
                </w14:textFill>
              </w:rPr>
              <w:t>2</w:t>
            </w:r>
            <w:r>
              <w:rPr>
                <w:rFonts w:ascii="Times New Roman" w:hAnsi="Times New Roman"/>
                <w:color w:val="000000" w:themeColor="text1"/>
                <w:sz w:val="18"/>
                <w:szCs w:val="18"/>
                <w14:textFill>
                  <w14:solidFill>
                    <w14:schemeClr w14:val="tx1"/>
                  </w14:solidFill>
                </w14:textFill>
              </w:rPr>
              <w:t>S、臭气浓</w:t>
            </w:r>
          </w:p>
          <w:p w14:paraId="6ACC39E3">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度</w:t>
            </w:r>
            <w:r>
              <w:rPr>
                <w:rFonts w:hint="eastAsia" w:ascii="Times New Roman" w:hAnsi="Times New Roman"/>
                <w:color w:val="000000" w:themeColor="text1"/>
                <w:sz w:val="18"/>
                <w:szCs w:val="18"/>
                <w14:textFill>
                  <w14:solidFill>
                    <w14:schemeClr w14:val="tx1"/>
                  </w14:solidFill>
                </w14:textFill>
              </w:rPr>
              <w:t>、TSP</w:t>
            </w:r>
            <w:r>
              <w:rPr>
                <w:rFonts w:ascii="Times New Roman" w:hAnsi="Times New Roman"/>
                <w:color w:val="000000" w:themeColor="text1"/>
                <w:sz w:val="18"/>
                <w:szCs w:val="18"/>
                <w14:textFill>
                  <w14:solidFill>
                    <w14:schemeClr w14:val="tx1"/>
                  </w14:solidFill>
                </w14:textFill>
              </w:rPr>
              <w:t>）</w:t>
            </w:r>
          </w:p>
        </w:tc>
        <w:tc>
          <w:tcPr>
            <w:tcW w:w="1171" w:type="pct"/>
            <w:gridSpan w:val="4"/>
            <w:tcMar>
              <w:left w:w="28" w:type="dxa"/>
              <w:right w:w="28" w:type="dxa"/>
            </w:tcMar>
            <w:vAlign w:val="center"/>
          </w:tcPr>
          <w:p w14:paraId="37D5A4FD">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有组织废气监测</w:t>
            </w:r>
            <w:r>
              <w:rPr>
                <w:rFonts w:hint="eastAsia" w:ascii="Times New Roman" w:hAnsi="Times New Roman"/>
                <w:color w:val="000000" w:themeColor="text1"/>
                <w:sz w:val="18"/>
                <w:szCs w:val="18"/>
                <w14:textFill>
                  <w14:solidFill>
                    <w14:schemeClr w14:val="tx1"/>
                  </w14:solidFill>
                </w14:textFill>
              </w:rPr>
              <w:t xml:space="preserve"> </w:t>
            </w:r>
            <w:r>
              <w:rPr>
                <w:rFonts w:ascii="Times New Roman" w:hAnsi="Times New Roman"/>
                <w:color w:val="000000" w:themeColor="text1"/>
                <w:sz w:val="18"/>
                <w:szCs w:val="18"/>
                <w14:textFill>
                  <w14:solidFill>
                    <w14:schemeClr w14:val="tx1"/>
                  </w14:solidFill>
                </w14:textFill>
              </w:rPr>
              <w:sym w:font="Wingdings 2" w:char="00A3"/>
            </w:r>
          </w:p>
          <w:p w14:paraId="1A274A9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无组织废气监测</w:t>
            </w:r>
            <w:r>
              <w:rPr>
                <w:rFonts w:hint="eastAsia" w:ascii="Times New Roman" w:hAnsi="Times New Roman"/>
                <w:color w:val="000000" w:themeColor="text1"/>
                <w:sz w:val="18"/>
                <w:szCs w:val="18"/>
                <w14:textFill>
                  <w14:solidFill>
                    <w14:schemeClr w14:val="tx1"/>
                  </w14:solidFill>
                </w14:textFill>
              </w:rPr>
              <w:t xml:space="preserve"> </w:t>
            </w:r>
            <w:r>
              <w:rPr>
                <w:rFonts w:ascii="Times New Roman" w:hAnsi="Times New Roman"/>
                <w:color w:val="000000" w:themeColor="text1"/>
                <w:sz w:val="18"/>
                <w:szCs w:val="18"/>
                <w14:textFill>
                  <w14:solidFill>
                    <w14:schemeClr w14:val="tx1"/>
                  </w14:solidFill>
                </w14:textFill>
              </w:rPr>
              <w:sym w:font="Wingdings 2" w:char="00A3"/>
            </w:r>
          </w:p>
        </w:tc>
        <w:tc>
          <w:tcPr>
            <w:tcW w:w="753" w:type="pct"/>
            <w:gridSpan w:val="2"/>
            <w:tcMar>
              <w:left w:w="28" w:type="dxa"/>
              <w:right w:w="28" w:type="dxa"/>
            </w:tcMar>
            <w:vAlign w:val="center"/>
          </w:tcPr>
          <w:p w14:paraId="7064492E">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无监测</w:t>
            </w:r>
            <w:r>
              <w:rPr>
                <w:rFonts w:hint="eastAsia" w:ascii="Times New Roman" w:hAnsi="Times New Roman"/>
                <w:color w:val="000000" w:themeColor="text1"/>
                <w:sz w:val="18"/>
                <w:szCs w:val="18"/>
                <w14:textFill>
                  <w14:solidFill>
                    <w14:schemeClr w14:val="tx1"/>
                  </w14:solidFill>
                </w14:textFill>
              </w:rPr>
              <w:t xml:space="preserve"> </w:t>
            </w:r>
            <w:r>
              <w:rPr>
                <w:rFonts w:ascii="Times New Roman" w:hAnsi="Times New Roman"/>
                <w:color w:val="000000" w:themeColor="text1"/>
                <w:sz w:val="18"/>
                <w:szCs w:val="18"/>
                <w14:textFill>
                  <w14:solidFill>
                    <w14:schemeClr w14:val="tx1"/>
                  </w14:solidFill>
                </w14:textFill>
              </w:rPr>
              <w:sym w:font="Wingdings 2" w:char="00A3"/>
            </w:r>
          </w:p>
        </w:tc>
      </w:tr>
      <w:tr w14:paraId="5D1B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2448CEBD">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18300161">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环境质量监测</w:t>
            </w:r>
          </w:p>
        </w:tc>
        <w:tc>
          <w:tcPr>
            <w:tcW w:w="1675" w:type="pct"/>
            <w:gridSpan w:val="6"/>
            <w:tcMar>
              <w:left w:w="28" w:type="dxa"/>
              <w:right w:w="28" w:type="dxa"/>
            </w:tcMar>
            <w:vAlign w:val="center"/>
          </w:tcPr>
          <w:p w14:paraId="04B19C1E">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监测因子：（）</w:t>
            </w:r>
          </w:p>
        </w:tc>
        <w:tc>
          <w:tcPr>
            <w:tcW w:w="1171" w:type="pct"/>
            <w:gridSpan w:val="4"/>
            <w:tcMar>
              <w:left w:w="28" w:type="dxa"/>
              <w:right w:w="28" w:type="dxa"/>
            </w:tcMar>
            <w:vAlign w:val="center"/>
          </w:tcPr>
          <w:p w14:paraId="2CBECF04">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监测点位数（ ）</w:t>
            </w:r>
          </w:p>
        </w:tc>
        <w:tc>
          <w:tcPr>
            <w:tcW w:w="753" w:type="pct"/>
            <w:gridSpan w:val="2"/>
            <w:tcMar>
              <w:left w:w="28" w:type="dxa"/>
              <w:right w:w="28" w:type="dxa"/>
            </w:tcMar>
            <w:vAlign w:val="center"/>
          </w:tcPr>
          <w:p w14:paraId="2F18950F">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无监测</w:t>
            </w:r>
            <w:r>
              <w:rPr>
                <w:rFonts w:hint="eastAsia" w:ascii="Times New Roman" w:hAnsi="Times New Roman"/>
                <w:color w:val="000000" w:themeColor="text1"/>
                <w:sz w:val="18"/>
                <w:szCs w:val="18"/>
                <w14:textFill>
                  <w14:solidFill>
                    <w14:schemeClr w14:val="tx1"/>
                  </w14:solidFill>
                </w14:textFill>
              </w:rPr>
              <w:t xml:space="preserve"> </w:t>
            </w:r>
            <w:r>
              <w:rPr>
                <w:rFonts w:ascii="Times New Roman" w:hAnsi="Times New Roman"/>
                <w:color w:val="000000" w:themeColor="text1"/>
                <w:sz w:val="18"/>
                <w:szCs w:val="18"/>
                <w14:textFill>
                  <w14:solidFill>
                    <w14:schemeClr w14:val="tx1"/>
                  </w14:solidFill>
                </w14:textFill>
              </w:rPr>
              <w:sym w:font="Wingdings 2" w:char="F0A3"/>
            </w:r>
          </w:p>
        </w:tc>
      </w:tr>
      <w:tr w14:paraId="176C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restart"/>
            <w:tcMar>
              <w:left w:w="28" w:type="dxa"/>
              <w:right w:w="28" w:type="dxa"/>
            </w:tcMar>
            <w:vAlign w:val="center"/>
          </w:tcPr>
          <w:p w14:paraId="78A659E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评价结论</w:t>
            </w:r>
          </w:p>
        </w:tc>
        <w:tc>
          <w:tcPr>
            <w:tcW w:w="1023" w:type="pct"/>
            <w:tcMar>
              <w:left w:w="28" w:type="dxa"/>
              <w:right w:w="28" w:type="dxa"/>
            </w:tcMar>
            <w:vAlign w:val="center"/>
          </w:tcPr>
          <w:p w14:paraId="20D4046E">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环境影响</w:t>
            </w:r>
          </w:p>
        </w:tc>
        <w:tc>
          <w:tcPr>
            <w:tcW w:w="3600" w:type="pct"/>
            <w:gridSpan w:val="12"/>
            <w:tcMar>
              <w:left w:w="28" w:type="dxa"/>
              <w:right w:w="28" w:type="dxa"/>
            </w:tcMar>
            <w:vAlign w:val="center"/>
          </w:tcPr>
          <w:p w14:paraId="00BAC037">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可以接受</w:t>
            </w:r>
            <w:r>
              <w:rPr>
                <w:rFonts w:hint="eastAsia" w:ascii="Times New Roman" w:hAnsi="Times New Roman"/>
                <w:color w:val="000000" w:themeColor="text1"/>
                <w:sz w:val="18"/>
                <w:szCs w:val="18"/>
                <w14:textFill>
                  <w14:solidFill>
                    <w14:schemeClr w14:val="tx1"/>
                  </w14:solidFill>
                </w14:textFill>
              </w:rPr>
              <w:t xml:space="preserve"> </w:t>
            </w:r>
            <w:r>
              <w:rPr>
                <w:rFonts w:ascii="Times New Roman" w:hAnsi="Times New Roman"/>
                <w:color w:val="000000" w:themeColor="text1"/>
                <w:sz w:val="18"/>
                <w:szCs w:val="18"/>
                <w14:textFill>
                  <w14:solidFill>
                    <w14:schemeClr w14:val="tx1"/>
                  </w14:solidFill>
                </w14:textFill>
              </w:rPr>
              <w:sym w:font="Wingdings 2" w:char="0052"/>
            </w:r>
            <w:r>
              <w:rPr>
                <w:rFonts w:ascii="Times New Roman" w:hAnsi="Times New Roman"/>
                <w:color w:val="000000" w:themeColor="text1"/>
                <w:sz w:val="18"/>
                <w:szCs w:val="18"/>
                <w14:textFill>
                  <w14:solidFill>
                    <w14:schemeClr w14:val="tx1"/>
                  </w14:solidFill>
                </w14:textFill>
              </w:rPr>
              <w:tab/>
            </w:r>
            <w:r>
              <w:rPr>
                <w:rFonts w:ascii="Times New Roman" w:hAnsi="Times New Roman"/>
                <w:color w:val="000000" w:themeColor="text1"/>
                <w:sz w:val="18"/>
                <w:szCs w:val="18"/>
                <w14:textFill>
                  <w14:solidFill>
                    <w14:schemeClr w14:val="tx1"/>
                  </w14:solidFill>
                </w14:textFill>
              </w:rPr>
              <w:t>不可以</w:t>
            </w:r>
            <w:r>
              <w:rPr>
                <w:rFonts w:ascii="Times New Roman" w:hAnsi="Times New Roman"/>
                <w:color w:val="000000" w:themeColor="text1"/>
                <w:spacing w:val="-3"/>
                <w:sz w:val="18"/>
                <w:szCs w:val="18"/>
                <w14:textFill>
                  <w14:solidFill>
                    <w14:schemeClr w14:val="tx1"/>
                  </w14:solidFill>
                </w14:textFill>
              </w:rPr>
              <w:t>接</w:t>
            </w:r>
            <w:r>
              <w:rPr>
                <w:rFonts w:ascii="Times New Roman" w:hAnsi="Times New Roman"/>
                <w:color w:val="000000" w:themeColor="text1"/>
                <w:sz w:val="18"/>
                <w:szCs w:val="18"/>
                <w14:textFill>
                  <w14:solidFill>
                    <w14:schemeClr w14:val="tx1"/>
                  </w14:solidFill>
                </w14:textFill>
              </w:rPr>
              <w:t>受</w:t>
            </w:r>
            <w:r>
              <w:rPr>
                <w:rFonts w:hint="eastAsia" w:ascii="Times New Roman" w:hAnsi="Times New Roman"/>
                <w:color w:val="000000" w:themeColor="text1"/>
                <w:sz w:val="18"/>
                <w:szCs w:val="18"/>
                <w14:textFill>
                  <w14:solidFill>
                    <w14:schemeClr w14:val="tx1"/>
                  </w14:solidFill>
                </w14:textFill>
              </w:rPr>
              <w:t xml:space="preserve"> </w:t>
            </w:r>
            <w:r>
              <w:rPr>
                <w:rFonts w:ascii="Times New Roman" w:hAnsi="Times New Roman"/>
                <w:color w:val="000000" w:themeColor="text1"/>
                <w:sz w:val="18"/>
                <w:szCs w:val="18"/>
                <w14:textFill>
                  <w14:solidFill>
                    <w14:schemeClr w14:val="tx1"/>
                  </w14:solidFill>
                </w14:textFill>
              </w:rPr>
              <w:sym w:font="Wingdings 2" w:char="00A3"/>
            </w:r>
          </w:p>
        </w:tc>
      </w:tr>
      <w:tr w14:paraId="58E6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3D3765D4">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114A4628">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大气环境防护距离</w:t>
            </w:r>
          </w:p>
        </w:tc>
        <w:tc>
          <w:tcPr>
            <w:tcW w:w="3600" w:type="pct"/>
            <w:gridSpan w:val="12"/>
            <w:tcMar>
              <w:left w:w="28" w:type="dxa"/>
              <w:right w:w="28" w:type="dxa"/>
            </w:tcMar>
            <w:vAlign w:val="center"/>
          </w:tcPr>
          <w:p w14:paraId="697216F0">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距（</w:t>
            </w:r>
            <w:r>
              <w:rPr>
                <w:rFonts w:ascii="Times New Roman" w:hAnsi="Times New Roman"/>
                <w:color w:val="000000" w:themeColor="text1"/>
                <w:sz w:val="18"/>
                <w:szCs w:val="18"/>
                <w14:textFill>
                  <w14:solidFill>
                    <w14:schemeClr w14:val="tx1"/>
                  </w14:solidFill>
                </w14:textFill>
              </w:rPr>
              <w:tab/>
            </w:r>
            <w:r>
              <w:rPr>
                <w:rFonts w:ascii="Times New Roman" w:hAnsi="Times New Roman"/>
                <w:color w:val="000000" w:themeColor="text1"/>
                <w:sz w:val="18"/>
                <w:szCs w:val="18"/>
                <w14:textFill>
                  <w14:solidFill>
                    <w14:schemeClr w14:val="tx1"/>
                  </w14:solidFill>
                </w14:textFill>
              </w:rPr>
              <w:t xml:space="preserve">   ）厂界最远（</w:t>
            </w:r>
            <w:r>
              <w:rPr>
                <w:rFonts w:ascii="Times New Roman" w:hAnsi="Times New Roman"/>
                <w:color w:val="000000" w:themeColor="text1"/>
                <w:sz w:val="18"/>
                <w:szCs w:val="18"/>
                <w14:textFill>
                  <w14:solidFill>
                    <w14:schemeClr w14:val="tx1"/>
                  </w14:solidFill>
                </w14:textFill>
              </w:rPr>
              <w:tab/>
            </w:r>
            <w:r>
              <w:rPr>
                <w:rFonts w:ascii="Times New Roman" w:hAnsi="Times New Roman"/>
                <w:color w:val="000000" w:themeColor="text1"/>
                <w:sz w:val="18"/>
                <w:szCs w:val="18"/>
                <w14:textFill>
                  <w14:solidFill>
                    <w14:schemeClr w14:val="tx1"/>
                  </w14:solidFill>
                </w14:textFill>
              </w:rPr>
              <w:t>）m</w:t>
            </w:r>
          </w:p>
        </w:tc>
      </w:tr>
      <w:tr w14:paraId="6D51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78" w:type="pct"/>
            <w:vMerge w:val="continue"/>
            <w:tcMar>
              <w:left w:w="28" w:type="dxa"/>
              <w:right w:w="28" w:type="dxa"/>
            </w:tcMar>
            <w:vAlign w:val="center"/>
          </w:tcPr>
          <w:p w14:paraId="2E471BAD">
            <w:pPr>
              <w:pStyle w:val="118"/>
              <w:spacing w:line="240" w:lineRule="auto"/>
              <w:rPr>
                <w:rFonts w:ascii="Times New Roman" w:hAnsi="Times New Roman"/>
                <w:color w:val="000000" w:themeColor="text1"/>
                <w:sz w:val="18"/>
                <w:szCs w:val="18"/>
                <w14:textFill>
                  <w14:solidFill>
                    <w14:schemeClr w14:val="tx1"/>
                  </w14:solidFill>
                </w14:textFill>
              </w:rPr>
            </w:pPr>
          </w:p>
        </w:tc>
        <w:tc>
          <w:tcPr>
            <w:tcW w:w="1023" w:type="pct"/>
            <w:tcMar>
              <w:left w:w="28" w:type="dxa"/>
              <w:right w:w="28" w:type="dxa"/>
            </w:tcMar>
            <w:vAlign w:val="center"/>
          </w:tcPr>
          <w:p w14:paraId="78FD831A">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污染源年排放量</w:t>
            </w:r>
          </w:p>
        </w:tc>
        <w:tc>
          <w:tcPr>
            <w:tcW w:w="1675" w:type="pct"/>
            <w:gridSpan w:val="6"/>
            <w:tcMar>
              <w:left w:w="28" w:type="dxa"/>
              <w:right w:w="28" w:type="dxa"/>
            </w:tcMar>
            <w:vAlign w:val="center"/>
          </w:tcPr>
          <w:p w14:paraId="309B72AF">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NH</w:t>
            </w:r>
            <w:r>
              <w:rPr>
                <w:rFonts w:ascii="Times New Roman" w:hAnsi="Times New Roman"/>
                <w:color w:val="000000" w:themeColor="text1"/>
                <w:sz w:val="18"/>
                <w:szCs w:val="18"/>
                <w:vertAlign w:val="subscript"/>
                <w14:textFill>
                  <w14:solidFill>
                    <w14:schemeClr w14:val="tx1"/>
                  </w14:solidFill>
                </w14:textFill>
              </w:rPr>
              <w:t xml:space="preserve">3 </w:t>
            </w:r>
            <w:r>
              <w:rPr>
                <w:rFonts w:hint="eastAsia" w:ascii="Times New Roman" w:hAnsi="Times New Roman"/>
                <w:color w:val="000000" w:themeColor="text1"/>
                <w:sz w:val="18"/>
                <w:szCs w:val="18"/>
                <w14:textFill>
                  <w14:solidFill>
                    <w14:schemeClr w14:val="tx1"/>
                  </w14:solidFill>
                </w14:textFill>
              </w:rPr>
              <w:t>0.1071</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t</w:t>
            </w:r>
            <w:r>
              <w:rPr>
                <w:rFonts w:ascii="Times New Roman" w:hAnsi="Times New Roman"/>
                <w:color w:val="000000" w:themeColor="text1"/>
                <w:sz w:val="18"/>
                <w:szCs w:val="18"/>
                <w14:textFill>
                  <w14:solidFill>
                    <w14:schemeClr w14:val="tx1"/>
                  </w14:solidFill>
                </w14:textFill>
              </w:rPr>
              <w:t>/a）</w:t>
            </w:r>
          </w:p>
        </w:tc>
        <w:tc>
          <w:tcPr>
            <w:tcW w:w="944" w:type="pct"/>
            <w:gridSpan w:val="3"/>
            <w:tcMar>
              <w:left w:w="28" w:type="dxa"/>
              <w:right w:w="28" w:type="dxa"/>
            </w:tcMar>
            <w:vAlign w:val="center"/>
          </w:tcPr>
          <w:p w14:paraId="568B6F53">
            <w:pPr>
              <w:pStyle w:val="118"/>
              <w:spacing w:line="240" w:lineRule="auto"/>
              <w:rPr>
                <w:rFonts w:ascii="Times New Roman" w:hAnsi="Times New Roman"/>
                <w:color w:val="000000" w:themeColor="text1"/>
                <w:sz w:val="18"/>
                <w:szCs w:val="18"/>
                <w14:textFill>
                  <w14:solidFill>
                    <w14:schemeClr w14:val="tx1"/>
                  </w14:solidFill>
                </w14:textFill>
              </w:rPr>
            </w:pPr>
            <w:r>
              <w:rPr>
                <w:rFonts w:ascii="Times New Roman" w:hAnsi="Times New Roman"/>
                <w:color w:val="000000" w:themeColor="text1"/>
                <w:sz w:val="18"/>
                <w:szCs w:val="18"/>
                <w14:textFill>
                  <w14:solidFill>
                    <w14:schemeClr w14:val="tx1"/>
                  </w14:solidFill>
                </w14:textFill>
              </w:rPr>
              <w:t>H</w:t>
            </w:r>
            <w:r>
              <w:rPr>
                <w:rFonts w:ascii="Times New Roman" w:hAnsi="Times New Roman"/>
                <w:color w:val="000000" w:themeColor="text1"/>
                <w:sz w:val="18"/>
                <w:szCs w:val="18"/>
                <w:vertAlign w:val="subscript"/>
                <w14:textFill>
                  <w14:solidFill>
                    <w14:schemeClr w14:val="tx1"/>
                  </w14:solidFill>
                </w14:textFill>
              </w:rPr>
              <w:t>2</w:t>
            </w:r>
            <w:r>
              <w:rPr>
                <w:rFonts w:ascii="Times New Roman" w:hAnsi="Times New Roman"/>
                <w:color w:val="000000" w:themeColor="text1"/>
                <w:sz w:val="18"/>
                <w:szCs w:val="18"/>
                <w14:textFill>
                  <w14:solidFill>
                    <w14:schemeClr w14:val="tx1"/>
                  </w14:solidFill>
                </w14:textFill>
              </w:rPr>
              <w:t xml:space="preserve">S </w:t>
            </w:r>
            <w:r>
              <w:rPr>
                <w:rFonts w:hint="eastAsia" w:ascii="Times New Roman" w:hAnsi="Times New Roman"/>
                <w:color w:val="000000" w:themeColor="text1"/>
                <w:sz w:val="18"/>
                <w:szCs w:val="18"/>
                <w14:textFill>
                  <w14:solidFill>
                    <w14:schemeClr w14:val="tx1"/>
                  </w14:solidFill>
                </w14:textFill>
              </w:rPr>
              <w:t>0.0542</w:t>
            </w:r>
            <w:r>
              <w:rPr>
                <w:rFonts w:ascii="Times New Roman" w:hAnsi="Times New Roman"/>
                <w:color w:val="000000" w:themeColor="text1"/>
                <w:sz w:val="18"/>
                <w:szCs w:val="18"/>
                <w14:textFill>
                  <w14:solidFill>
                    <w14:schemeClr w14:val="tx1"/>
                  </w14:solidFill>
                </w14:textFill>
              </w:rPr>
              <w:t>（</w:t>
            </w:r>
            <w:r>
              <w:rPr>
                <w:rFonts w:hint="eastAsia" w:ascii="Times New Roman" w:hAnsi="Times New Roman"/>
                <w:color w:val="000000" w:themeColor="text1"/>
                <w:sz w:val="18"/>
                <w:szCs w:val="18"/>
                <w14:textFill>
                  <w14:solidFill>
                    <w14:schemeClr w14:val="tx1"/>
                  </w14:solidFill>
                </w14:textFill>
              </w:rPr>
              <w:t>t</w:t>
            </w:r>
            <w:r>
              <w:rPr>
                <w:rFonts w:ascii="Times New Roman" w:hAnsi="Times New Roman"/>
                <w:color w:val="000000" w:themeColor="text1"/>
                <w:sz w:val="18"/>
                <w:szCs w:val="18"/>
                <w14:textFill>
                  <w14:solidFill>
                    <w14:schemeClr w14:val="tx1"/>
                  </w14:solidFill>
                </w14:textFill>
              </w:rPr>
              <w:t>/a）</w:t>
            </w:r>
          </w:p>
        </w:tc>
        <w:tc>
          <w:tcPr>
            <w:tcW w:w="980" w:type="pct"/>
            <w:gridSpan w:val="3"/>
            <w:tcMar>
              <w:left w:w="28" w:type="dxa"/>
              <w:right w:w="28" w:type="dxa"/>
            </w:tcMar>
            <w:vAlign w:val="center"/>
          </w:tcPr>
          <w:p w14:paraId="3E3AB57E">
            <w:pPr>
              <w:pStyle w:val="118"/>
              <w:spacing w:line="240" w:lineRule="auto"/>
              <w:rPr>
                <w:rFonts w:ascii="Times New Roman" w:hAnsi="Times New Roman"/>
                <w:color w:val="000000" w:themeColor="text1"/>
                <w:sz w:val="18"/>
                <w:szCs w:val="18"/>
                <w14:textFill>
                  <w14:solidFill>
                    <w14:schemeClr w14:val="tx1"/>
                  </w14:solidFill>
                </w14:textFill>
              </w:rPr>
            </w:pPr>
            <w:r>
              <w:rPr>
                <w:rFonts w:hint="eastAsia" w:ascii="Times New Roman" w:hAnsi="Times New Roman"/>
                <w:color w:val="000000" w:themeColor="text1"/>
                <w:sz w:val="18"/>
                <w:szCs w:val="18"/>
                <w14:textFill>
                  <w14:solidFill>
                    <w14:schemeClr w14:val="tx1"/>
                  </w14:solidFill>
                </w14:textFill>
              </w:rPr>
              <w:t>TSP</w:t>
            </w:r>
            <w:r>
              <w:rPr>
                <w:rFonts w:ascii="Times New Roman" w:hAnsi="Times New Roman"/>
                <w:color w:val="000000" w:themeColor="text1"/>
                <w:sz w:val="18"/>
                <w:szCs w:val="18"/>
                <w14:textFill>
                  <w14:solidFill>
                    <w14:schemeClr w14:val="tx1"/>
                  </w14:solidFill>
                </w14:textFill>
              </w:rPr>
              <w:t xml:space="preserve"> </w:t>
            </w:r>
            <w:r>
              <w:rPr>
                <w:rFonts w:hint="eastAsia" w:ascii="Times New Roman" w:hAnsi="Times New Roman"/>
                <w:color w:val="000000" w:themeColor="text1"/>
                <w:sz w:val="18"/>
                <w:szCs w:val="18"/>
                <w14:textFill>
                  <w14:solidFill>
                    <w14:schemeClr w14:val="tx1"/>
                  </w14:solidFill>
                </w14:textFill>
              </w:rPr>
              <w:t>0.0312（t/a）</w:t>
            </w:r>
          </w:p>
        </w:tc>
      </w:tr>
      <w:tr w14:paraId="5BCD2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14"/>
            <w:tcMar>
              <w:left w:w="28" w:type="dxa"/>
              <w:right w:w="28" w:type="dxa"/>
            </w:tcMar>
            <w:vAlign w:val="center"/>
          </w:tcPr>
          <w:p w14:paraId="6B34988C">
            <w:pPr>
              <w:pStyle w:val="1959"/>
              <w:rPr>
                <w:color w:val="000000" w:themeColor="text1"/>
                <w:sz w:val="18"/>
                <w:szCs w:val="18"/>
                <w:lang w:eastAsia="zh-CN"/>
                <w14:textFill>
                  <w14:solidFill>
                    <w14:schemeClr w14:val="tx1"/>
                  </w14:solidFill>
                </w14:textFill>
              </w:rPr>
            </w:pPr>
            <w:r>
              <w:rPr>
                <w:rFonts w:hint="eastAsia"/>
                <w:color w:val="000000" w:themeColor="text1"/>
                <w:sz w:val="18"/>
                <w:szCs w:val="18"/>
                <w:lang w:eastAsia="zh-CN"/>
                <w14:textFill>
                  <w14:solidFill>
                    <w14:schemeClr w14:val="tx1"/>
                  </w14:solidFill>
                </w14:textFill>
              </w:rPr>
              <w:t>注：“</w:t>
            </w:r>
            <w:r>
              <w:rPr>
                <w:color w:val="000000" w:themeColor="text1"/>
                <w:sz w:val="18"/>
                <w:szCs w:val="18"/>
                <w14:textFill>
                  <w14:solidFill>
                    <w14:schemeClr w14:val="tx1"/>
                  </w14:solidFill>
                </w14:textFill>
              </w:rPr>
              <w:sym w:font="Wingdings 2" w:char="00A3"/>
            </w:r>
            <w:r>
              <w:rPr>
                <w:rFonts w:hint="eastAsia"/>
                <w:color w:val="000000" w:themeColor="text1"/>
                <w:sz w:val="18"/>
                <w:szCs w:val="18"/>
                <w:lang w:eastAsia="zh-CN"/>
                <w14:textFill>
                  <w14:solidFill>
                    <w14:schemeClr w14:val="tx1"/>
                  </w14:solidFill>
                </w14:textFill>
              </w:rPr>
              <w:t>”</w:t>
            </w:r>
            <w:r>
              <w:rPr>
                <w:color w:val="000000" w:themeColor="text1"/>
                <w:sz w:val="18"/>
                <w:szCs w:val="18"/>
                <w:lang w:eastAsia="zh-CN"/>
                <w14:textFill>
                  <w14:solidFill>
                    <w14:schemeClr w14:val="tx1"/>
                  </w14:solidFill>
                </w14:textFill>
              </w:rPr>
              <w:t>为勾选项，填“</w:t>
            </w:r>
            <w:r>
              <w:rPr>
                <w:color w:val="000000" w:themeColor="text1"/>
                <w:spacing w:val="-3"/>
                <w:sz w:val="18"/>
                <w:szCs w:val="18"/>
                <w:lang w:eastAsia="zh-CN"/>
                <w14:textFill>
                  <w14:solidFill>
                    <w14:schemeClr w14:val="tx1"/>
                  </w14:solidFill>
                </w14:textFill>
              </w:rPr>
              <w:t>√</w:t>
            </w:r>
            <w:r>
              <w:rPr>
                <w:color w:val="000000" w:themeColor="text1"/>
                <w:sz w:val="18"/>
                <w:szCs w:val="18"/>
                <w:lang w:eastAsia="zh-CN"/>
                <w14:textFill>
                  <w14:solidFill>
                    <w14:schemeClr w14:val="tx1"/>
                  </w14:solidFill>
                </w14:textFill>
              </w:rPr>
              <w:t>”；</w:t>
            </w:r>
            <w:r>
              <w:rPr>
                <w:color w:val="000000" w:themeColor="text1"/>
                <w:spacing w:val="-1"/>
                <w:sz w:val="18"/>
                <w:szCs w:val="18"/>
                <w:lang w:eastAsia="zh-CN"/>
                <w14:textFill>
                  <w14:solidFill>
                    <w14:schemeClr w14:val="tx1"/>
                  </w14:solidFill>
                </w14:textFill>
              </w:rPr>
              <w:t>“</w:t>
            </w:r>
            <w:r>
              <w:rPr>
                <w:color w:val="000000" w:themeColor="text1"/>
                <w:sz w:val="18"/>
                <w:szCs w:val="18"/>
                <w:lang w:eastAsia="zh-CN"/>
                <w14:textFill>
                  <w14:solidFill>
                    <w14:schemeClr w14:val="tx1"/>
                  </w14:solidFill>
                </w14:textFill>
              </w:rPr>
              <w:t>（</w:t>
            </w:r>
            <w:r>
              <w:rPr>
                <w:color w:val="000000" w:themeColor="text1"/>
                <w:sz w:val="18"/>
                <w:szCs w:val="18"/>
                <w:lang w:eastAsia="zh-CN"/>
                <w14:textFill>
                  <w14:solidFill>
                    <w14:schemeClr w14:val="tx1"/>
                  </w14:solidFill>
                </w14:textFill>
              </w:rPr>
              <w:tab/>
            </w:r>
            <w:r>
              <w:rPr>
                <w:color w:val="000000" w:themeColor="text1"/>
                <w:sz w:val="18"/>
                <w:szCs w:val="18"/>
                <w:lang w:eastAsia="zh-CN"/>
                <w14:textFill>
                  <w14:solidFill>
                    <w14:schemeClr w14:val="tx1"/>
                  </w14:solidFill>
                </w14:textFill>
              </w:rPr>
              <w:t>）”为内容填写项</w:t>
            </w:r>
          </w:p>
        </w:tc>
      </w:tr>
      <w:bookmarkEnd w:id="720"/>
    </w:tbl>
    <w:p w14:paraId="0AD1DDE7">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731" w:name="_Toc233380215"/>
      <w:r>
        <w:rPr>
          <w:rFonts w:ascii="Times New Roman" w:hAnsi="Times New Roman" w:eastAsia="宋体"/>
          <w:color w:val="000000" w:themeColor="text1"/>
          <w:sz w:val="30"/>
          <w:szCs w:val="30"/>
          <w14:textFill>
            <w14:solidFill>
              <w14:schemeClr w14:val="tx1"/>
            </w14:solidFill>
          </w14:textFill>
        </w:rPr>
        <w:t>5.3地表水环境影响分析</w:t>
      </w:r>
      <w:bookmarkEnd w:id="695"/>
      <w:bookmarkEnd w:id="696"/>
      <w:bookmarkEnd w:id="697"/>
      <w:bookmarkEnd w:id="698"/>
      <w:bookmarkEnd w:id="731"/>
    </w:p>
    <w:p w14:paraId="32231D54">
      <w:pPr>
        <w:autoSpaceDE w:val="0"/>
        <w:autoSpaceDN w:val="0"/>
        <w:adjustRightInd w:val="0"/>
        <w:snapToGrid w:val="0"/>
        <w:spacing w:line="360" w:lineRule="auto"/>
        <w:ind w:firstLine="488" w:firstLineChars="200"/>
        <w:jc w:val="both"/>
        <w:rPr>
          <w:rFonts w:ascii="宋体" w:hAnsi="宋体" w:cs="宋体"/>
          <w:color w:val="000000" w:themeColor="text1"/>
          <w:spacing w:val="-2"/>
          <w:sz w:val="24"/>
          <w14:textFill>
            <w14:solidFill>
              <w14:schemeClr w14:val="tx1"/>
            </w14:solidFill>
          </w14:textFill>
        </w:rPr>
      </w:pPr>
      <w:r>
        <w:rPr>
          <w:rFonts w:ascii="宋体" w:hAnsi="宋体" w:cs="宋体"/>
          <w:color w:val="000000" w:themeColor="text1"/>
          <w:spacing w:val="2"/>
          <w:sz w:val="24"/>
          <w14:textFill>
            <w14:solidFill>
              <w14:schemeClr w14:val="tx1"/>
            </w14:solidFill>
          </w14:textFill>
        </w:rPr>
        <w:t>根据《环境影响评价技术导则地表水环境》（</w:t>
      </w:r>
      <w:r>
        <w:rPr>
          <w:rFonts w:eastAsia="Times New Roman"/>
          <w:color w:val="000000" w:themeColor="text1"/>
          <w:sz w:val="24"/>
          <w14:textFill>
            <w14:solidFill>
              <w14:schemeClr w14:val="tx1"/>
            </w14:solidFill>
          </w14:textFill>
        </w:rPr>
        <w:t>HJ</w:t>
      </w:r>
      <w:r>
        <w:rPr>
          <w:rFonts w:eastAsia="Times New Roman"/>
          <w:color w:val="000000" w:themeColor="text1"/>
          <w:spacing w:val="2"/>
          <w:sz w:val="24"/>
          <w14:textFill>
            <w14:solidFill>
              <w14:schemeClr w14:val="tx1"/>
            </w14:solidFill>
          </w14:textFill>
        </w:rPr>
        <w:t>2.3-2018</w:t>
      </w:r>
      <w:r>
        <w:rPr>
          <w:rFonts w:ascii="宋体" w:hAnsi="宋体" w:cs="宋体"/>
          <w:color w:val="000000" w:themeColor="text1"/>
          <w:spacing w:val="11"/>
          <w:sz w:val="24"/>
          <w14:textFill>
            <w14:solidFill>
              <w14:schemeClr w14:val="tx1"/>
            </w14:solidFill>
          </w14:textFill>
        </w:rPr>
        <w:t>），</w:t>
      </w:r>
      <w:r>
        <w:rPr>
          <w:rFonts w:ascii="宋体" w:hAnsi="宋体" w:cs="宋体"/>
          <w:color w:val="000000" w:themeColor="text1"/>
          <w:spacing w:val="2"/>
          <w:sz w:val="24"/>
          <w14:textFill>
            <w14:solidFill>
              <w14:schemeClr w14:val="tx1"/>
            </w14:solidFill>
          </w14:textFill>
        </w:rPr>
        <w:t>本项目为水</w:t>
      </w:r>
      <w:r>
        <w:rPr>
          <w:rFonts w:ascii="宋体" w:hAnsi="宋体" w:cs="宋体"/>
          <w:color w:val="000000" w:themeColor="text1"/>
          <w:spacing w:val="-3"/>
          <w:sz w:val="24"/>
          <w14:textFill>
            <w14:solidFill>
              <w14:schemeClr w14:val="tx1"/>
            </w14:solidFill>
          </w14:textFill>
        </w:rPr>
        <w:t>污染影响型项目，评价等级为三级</w:t>
      </w:r>
      <w:r>
        <w:rPr>
          <w:rFonts w:eastAsia="Times New Roman"/>
          <w:color w:val="000000" w:themeColor="text1"/>
          <w:spacing w:val="-3"/>
          <w:sz w:val="24"/>
          <w14:textFill>
            <w14:solidFill>
              <w14:schemeClr w14:val="tx1"/>
            </w14:solidFill>
          </w14:textFill>
        </w:rPr>
        <w:t>B</w:t>
      </w:r>
      <w:r>
        <w:rPr>
          <w:rFonts w:ascii="宋体" w:hAnsi="宋体" w:cs="宋体"/>
          <w:color w:val="000000" w:themeColor="text1"/>
          <w:spacing w:val="-3"/>
          <w:sz w:val="24"/>
          <w14:textFill>
            <w14:solidFill>
              <w14:schemeClr w14:val="tx1"/>
            </w14:solidFill>
          </w14:textFill>
        </w:rPr>
        <w:t>，主要包括水污染控制和水环境影响减缓措</w:t>
      </w:r>
      <w:r>
        <w:rPr>
          <w:rFonts w:ascii="宋体" w:hAnsi="宋体" w:cs="宋体"/>
          <w:color w:val="000000" w:themeColor="text1"/>
          <w:spacing w:val="-2"/>
          <w:sz w:val="24"/>
          <w14:textFill>
            <w14:solidFill>
              <w14:schemeClr w14:val="tx1"/>
            </w14:solidFill>
          </w14:textFill>
        </w:rPr>
        <w:t>施有效性评价。</w:t>
      </w:r>
    </w:p>
    <w:p w14:paraId="6462D313">
      <w:pPr>
        <w:pStyle w:val="5"/>
        <w:adjustRightInd w:val="0"/>
        <w:snapToGrid w:val="0"/>
        <w:spacing w:before="0" w:after="0" w:line="360" w:lineRule="auto"/>
        <w:rPr>
          <w:color w:val="000000" w:themeColor="text1"/>
          <w:sz w:val="28"/>
          <w:szCs w:val="28"/>
          <w14:textFill>
            <w14:solidFill>
              <w14:schemeClr w14:val="tx1"/>
            </w14:solidFill>
          </w14:textFill>
        </w:rPr>
      </w:pPr>
      <w:bookmarkStart w:id="732" w:name="_Toc40220767"/>
      <w:bookmarkStart w:id="733" w:name="_Toc28814691"/>
      <w:bookmarkStart w:id="734" w:name="_Toc16588"/>
      <w:bookmarkStart w:id="735" w:name="_Toc21529655"/>
      <w:bookmarkStart w:id="736" w:name="_Toc27751205"/>
      <w:bookmarkStart w:id="737" w:name="_Toc230079398"/>
      <w:bookmarkStart w:id="738" w:name="_Toc233380216"/>
      <w:r>
        <w:rPr>
          <w:color w:val="000000" w:themeColor="text1"/>
          <w:sz w:val="28"/>
          <w:szCs w:val="28"/>
          <w14:textFill>
            <w14:solidFill>
              <w14:schemeClr w14:val="tx1"/>
            </w14:solidFill>
          </w14:textFill>
        </w:rPr>
        <w:t>5.3.1</w:t>
      </w:r>
      <w:r>
        <w:rPr>
          <w:rFonts w:hint="eastAsia"/>
          <w:color w:val="000000" w:themeColor="text1"/>
          <w:sz w:val="28"/>
          <w:szCs w:val="28"/>
          <w14:textFill>
            <w14:solidFill>
              <w14:schemeClr w14:val="tx1"/>
            </w14:solidFill>
          </w14:textFill>
        </w:rPr>
        <w:t>项目废水产生情况及</w:t>
      </w:r>
      <w:r>
        <w:rPr>
          <w:color w:val="000000" w:themeColor="text1"/>
          <w:sz w:val="28"/>
          <w:szCs w:val="28"/>
          <w14:textFill>
            <w14:solidFill>
              <w14:schemeClr w14:val="tx1"/>
            </w14:solidFill>
          </w14:textFill>
        </w:rPr>
        <w:t>污染控制措施</w:t>
      </w:r>
      <w:bookmarkEnd w:id="732"/>
      <w:bookmarkEnd w:id="733"/>
      <w:bookmarkEnd w:id="734"/>
      <w:bookmarkEnd w:id="735"/>
      <w:bookmarkEnd w:id="736"/>
      <w:bookmarkEnd w:id="737"/>
      <w:bookmarkEnd w:id="738"/>
    </w:p>
    <w:p w14:paraId="0828E055">
      <w:pPr>
        <w:autoSpaceDE w:val="0"/>
        <w:autoSpaceDN w:val="0"/>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1、生产废水</w:t>
      </w:r>
    </w:p>
    <w:p w14:paraId="2332D4ED">
      <w:pPr>
        <w:autoSpaceDE w:val="0"/>
        <w:autoSpaceDN w:val="0"/>
        <w:adjustRightInd w:val="0"/>
        <w:snapToGrid w:val="0"/>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ascii="宋体" w:hAnsi="宋体" w:cs="宋体"/>
          <w:color w:val="000000" w:themeColor="text1"/>
          <w:spacing w:val="-3"/>
          <w:sz w:val="24"/>
          <w14:textFill>
            <w14:solidFill>
              <w14:schemeClr w14:val="tx1"/>
            </w14:solidFill>
          </w14:textFill>
        </w:rPr>
        <w:t>项目</w:t>
      </w:r>
      <w:r>
        <w:rPr>
          <w:rFonts w:hint="eastAsia" w:ascii="宋体" w:hAnsi="宋体" w:cs="宋体"/>
          <w:color w:val="000000" w:themeColor="text1"/>
          <w:spacing w:val="-3"/>
          <w:sz w:val="24"/>
          <w14:textFill>
            <w14:solidFill>
              <w14:schemeClr w14:val="tx1"/>
            </w14:solidFill>
          </w14:textFill>
        </w:rPr>
        <w:t>运营期</w:t>
      </w:r>
      <w:r>
        <w:rPr>
          <w:rFonts w:hint="eastAsia"/>
          <w:bCs/>
          <w:color w:val="000000" w:themeColor="text1"/>
          <w:sz w:val="24"/>
          <w14:textFill>
            <w14:solidFill>
              <w14:schemeClr w14:val="tx1"/>
            </w14:solidFill>
          </w14:textFill>
        </w:rPr>
        <w:t>牛舍采用场床一体化（生物菌发酵床）技术，不需要对牛舍进行冲洗，无冲栏废水产生，牛尿直接排到发酵床的垫料上，垫料里富含特殊有益微生物，能够快速被消化分解，因此本项目无养殖废水排出</w:t>
      </w:r>
      <w:r>
        <w:rPr>
          <w:rFonts w:ascii="宋体" w:hAnsi="宋体" w:cs="宋体"/>
          <w:color w:val="000000" w:themeColor="text1"/>
          <w:spacing w:val="-3"/>
          <w:sz w:val="24"/>
          <w14:textFill>
            <w14:solidFill>
              <w14:schemeClr w14:val="tx1"/>
            </w14:solidFill>
          </w14:textFill>
        </w:rPr>
        <w:t>。</w:t>
      </w:r>
    </w:p>
    <w:p w14:paraId="701F5CD7">
      <w:pPr>
        <w:spacing w:line="360" w:lineRule="auto"/>
        <w:ind w:firstLine="480" w:firstLineChars="200"/>
        <w:jc w:val="both"/>
        <w:rPr>
          <w:color w:val="000000" w:themeColor="text1"/>
          <w:sz w:val="24"/>
          <w:szCs w:val="18"/>
          <w14:textFill>
            <w14:solidFill>
              <w14:schemeClr w14:val="tx1"/>
            </w14:solidFill>
          </w14:textFill>
        </w:rPr>
      </w:pPr>
      <w:r>
        <w:rPr>
          <w:rFonts w:hint="eastAsia"/>
          <w:color w:val="000000" w:themeColor="text1"/>
          <w:sz w:val="24"/>
          <w:szCs w:val="18"/>
          <w14:textFill>
            <w14:solidFill>
              <w14:schemeClr w14:val="tx1"/>
            </w14:solidFill>
          </w14:textFill>
        </w:rPr>
        <w:t>2、生活污水</w:t>
      </w:r>
    </w:p>
    <w:p w14:paraId="7E398EA6">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bookmarkStart w:id="739" w:name="_Toc21529657"/>
      <w:bookmarkStart w:id="740" w:name="_Toc27751207"/>
      <w:bookmarkStart w:id="741" w:name="_Toc40220768"/>
      <w:bookmarkStart w:id="742" w:name="_Toc28814693"/>
      <w:r>
        <w:rPr>
          <w:rFonts w:ascii="宋体" w:hAnsi="宋体" w:cs="宋体"/>
          <w:color w:val="000000" w:themeColor="text1"/>
          <w:spacing w:val="-3"/>
          <w:sz w:val="24"/>
          <w14:textFill>
            <w14:solidFill>
              <w14:schemeClr w14:val="tx1"/>
            </w14:solidFill>
          </w14:textFill>
        </w:rPr>
        <w:t>本项目</w:t>
      </w:r>
      <w:r>
        <w:rPr>
          <w:rFonts w:hint="eastAsia"/>
          <w:bCs/>
          <w:color w:val="000000" w:themeColor="text1"/>
          <w:sz w:val="24"/>
          <w14:textFill>
            <w14:solidFill>
              <w14:schemeClr w14:val="tx1"/>
            </w14:solidFill>
          </w14:textFill>
        </w:rPr>
        <w:t>食堂废水首先经隔油池处理后同</w:t>
      </w:r>
      <w:r>
        <w:rPr>
          <w:color w:val="000000" w:themeColor="text1"/>
          <w:sz w:val="24"/>
          <w14:textFill>
            <w14:solidFill>
              <w14:schemeClr w14:val="tx1"/>
            </w14:solidFill>
          </w14:textFill>
        </w:rPr>
        <w:t>生活污水</w:t>
      </w:r>
      <w:r>
        <w:rPr>
          <w:rFonts w:hint="eastAsia"/>
          <w:color w:val="000000" w:themeColor="text1"/>
          <w:sz w:val="24"/>
          <w14:textFill>
            <w14:solidFill>
              <w14:schemeClr w14:val="tx1"/>
            </w14:solidFill>
          </w14:textFill>
        </w:rPr>
        <w:t>一起</w:t>
      </w:r>
      <w:r>
        <w:rPr>
          <w:color w:val="000000" w:themeColor="text1"/>
          <w:sz w:val="24"/>
          <w14:textFill>
            <w14:solidFill>
              <w14:schemeClr w14:val="tx1"/>
            </w14:solidFill>
          </w14:textFill>
        </w:rPr>
        <w:t>经</w:t>
      </w:r>
      <w:r>
        <w:rPr>
          <w:rFonts w:hint="eastAsia"/>
          <w:color w:val="000000" w:themeColor="text1"/>
          <w:sz w:val="24"/>
          <w14:textFill>
            <w14:solidFill>
              <w14:schemeClr w14:val="tx1"/>
            </w14:solidFill>
          </w14:textFill>
        </w:rPr>
        <w:t>化粪池</w:t>
      </w:r>
      <w:r>
        <w:rPr>
          <w:color w:val="000000" w:themeColor="text1"/>
          <w:sz w:val="24"/>
          <w14:textFill>
            <w14:solidFill>
              <w14:schemeClr w14:val="tx1"/>
            </w14:solidFill>
          </w14:textFill>
        </w:rPr>
        <w:t>收集</w:t>
      </w:r>
      <w:r>
        <w:rPr>
          <w:rFonts w:hint="eastAsia"/>
          <w:color w:val="000000" w:themeColor="text1"/>
          <w:sz w:val="24"/>
          <w14:textFill>
            <w14:solidFill>
              <w14:schemeClr w14:val="tx1"/>
            </w14:solidFill>
          </w14:textFill>
        </w:rPr>
        <w:t>后</w:t>
      </w:r>
      <w:r>
        <w:rPr>
          <w:color w:val="000000" w:themeColor="text1"/>
          <w:sz w:val="24"/>
          <w14:textFill>
            <w14:solidFill>
              <w14:schemeClr w14:val="tx1"/>
            </w14:solidFill>
          </w14:textFill>
        </w:rPr>
        <w:t>定期</w:t>
      </w:r>
      <w:r>
        <w:rPr>
          <w:rFonts w:hint="eastAsia" w:ascii="宋体" w:hAnsi="宋体" w:cs="宋体"/>
          <w:color w:val="000000" w:themeColor="text1"/>
          <w:spacing w:val="-3"/>
          <w:sz w:val="24"/>
          <w14:textFill>
            <w14:solidFill>
              <w14:schemeClr w14:val="tx1"/>
            </w14:solidFill>
          </w14:textFill>
        </w:rPr>
        <w:t>用作场区绿化</w:t>
      </w:r>
      <w:r>
        <w:rPr>
          <w:rFonts w:ascii="宋体" w:hAnsi="宋体" w:cs="宋体"/>
          <w:color w:val="000000" w:themeColor="text1"/>
          <w:spacing w:val="-3"/>
          <w:sz w:val="24"/>
          <w14:textFill>
            <w14:solidFill>
              <w14:schemeClr w14:val="tx1"/>
            </w14:solidFill>
          </w14:textFill>
        </w:rPr>
        <w:t>，不外排。</w:t>
      </w:r>
    </w:p>
    <w:p w14:paraId="2B890ADE">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hint="eastAsia" w:ascii="宋体" w:hAnsi="宋体" w:cs="宋体"/>
          <w:color w:val="000000" w:themeColor="text1"/>
          <w:spacing w:val="-3"/>
          <w:sz w:val="24"/>
          <w14:textFill>
            <w14:solidFill>
              <w14:schemeClr w14:val="tx1"/>
            </w14:solidFill>
          </w14:textFill>
        </w:rPr>
        <w:t>3、初期雨水</w:t>
      </w:r>
    </w:p>
    <w:p w14:paraId="55C0C417">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ascii="宋体" w:hAnsi="宋体" w:cs="宋体"/>
          <w:color w:val="000000" w:themeColor="text1"/>
          <w:spacing w:val="-3"/>
          <w:sz w:val="24"/>
          <w14:textFill>
            <w14:solidFill>
              <w14:schemeClr w14:val="tx1"/>
            </w14:solidFill>
          </w14:textFill>
        </w:rPr>
        <w:t>初期雨水收集池收集后回用于项目区绿化。</w:t>
      </w:r>
    </w:p>
    <w:p w14:paraId="012281E6">
      <w:pPr>
        <w:pStyle w:val="5"/>
        <w:adjustRightInd w:val="0"/>
        <w:snapToGrid w:val="0"/>
        <w:spacing w:before="0" w:after="0" w:line="360" w:lineRule="auto"/>
        <w:rPr>
          <w:color w:val="000000" w:themeColor="text1"/>
          <w:sz w:val="28"/>
          <w:szCs w:val="28"/>
          <w14:textFill>
            <w14:solidFill>
              <w14:schemeClr w14:val="tx1"/>
            </w14:solidFill>
          </w14:textFill>
        </w:rPr>
      </w:pPr>
      <w:bookmarkStart w:id="743" w:name="_Toc23067"/>
      <w:bookmarkStart w:id="744" w:name="_Toc230079399"/>
      <w:bookmarkStart w:id="745" w:name="_Toc233380217"/>
      <w:bookmarkStart w:id="746" w:name="OLE_LINK151"/>
      <w:bookmarkStart w:id="747" w:name="OLE_LINK152"/>
      <w:r>
        <w:rPr>
          <w:color w:val="000000" w:themeColor="text1"/>
          <w:sz w:val="28"/>
          <w:szCs w:val="28"/>
          <w14:textFill>
            <w14:solidFill>
              <w14:schemeClr w14:val="tx1"/>
            </w14:solidFill>
          </w14:textFill>
        </w:rPr>
        <w:t>5.3.2</w:t>
      </w:r>
      <w:r>
        <w:rPr>
          <w:rFonts w:hint="eastAsia"/>
          <w:color w:val="000000" w:themeColor="text1"/>
          <w:sz w:val="28"/>
          <w:szCs w:val="28"/>
          <w14:textFill>
            <w14:solidFill>
              <w14:schemeClr w14:val="tx1"/>
            </w14:solidFill>
          </w14:textFill>
        </w:rPr>
        <w:t>废水处理措施的可行性</w:t>
      </w:r>
      <w:bookmarkEnd w:id="743"/>
      <w:bookmarkEnd w:id="744"/>
      <w:bookmarkEnd w:id="745"/>
    </w:p>
    <w:bookmarkEnd w:id="746"/>
    <w:bookmarkEnd w:id="747"/>
    <w:p w14:paraId="639F5EDB">
      <w:pPr>
        <w:spacing w:line="360" w:lineRule="auto"/>
        <w:ind w:firstLine="480" w:firstLineChars="200"/>
        <w:jc w:val="both"/>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项目运营期牛舍采用EM生物菌发酵床技术，无需对牛舍进行冲洗，无冲栏废水产生，牛尿直接排到发酵床的垫料上，垫料里富含特殊有益微生物，能够快速被消化分解，养殖废水被分解、蒸发，不外排；项目各养殖场区均设置1个化粪池对生活污水进行收集，生活污水收集处理后用于项目区绿化。</w:t>
      </w:r>
    </w:p>
    <w:p w14:paraId="1A315233">
      <w:pPr>
        <w:spacing w:line="360" w:lineRule="auto"/>
        <w:ind w:firstLine="468" w:firstLineChars="200"/>
        <w:jc w:val="both"/>
        <w:rPr>
          <w:color w:val="000000" w:themeColor="text1"/>
          <w:spacing w:val="-3"/>
          <w:sz w:val="24"/>
          <w14:textFill>
            <w14:solidFill>
              <w14:schemeClr w14:val="tx1"/>
            </w14:solidFill>
          </w14:textFill>
        </w:rPr>
      </w:pPr>
      <w:r>
        <w:rPr>
          <w:color w:val="000000" w:themeColor="text1"/>
          <w:spacing w:val="-3"/>
          <w:sz w:val="24"/>
          <w14:textFill>
            <w14:solidFill>
              <w14:schemeClr w14:val="tx1"/>
            </w14:solidFill>
          </w14:textFill>
        </w:rPr>
        <w:t>项目采取的</w:t>
      </w:r>
      <w:r>
        <w:rPr>
          <w:rFonts w:hint="eastAsia"/>
          <w:color w:val="000000" w:themeColor="text1"/>
          <w:spacing w:val="-3"/>
          <w:sz w:val="24"/>
          <w14:textFill>
            <w14:solidFill>
              <w14:schemeClr w14:val="tx1"/>
            </w14:solidFill>
          </w14:textFill>
        </w:rPr>
        <w:t>场床一体化生物发酵工艺</w:t>
      </w:r>
      <w:r>
        <w:rPr>
          <w:color w:val="000000" w:themeColor="text1"/>
          <w:spacing w:val="-3"/>
          <w:sz w:val="24"/>
          <w14:textFill>
            <w14:solidFill>
              <w14:schemeClr w14:val="tx1"/>
            </w14:solidFill>
          </w14:textFill>
        </w:rPr>
        <w:t>广泛用于畜禽</w:t>
      </w:r>
      <w:r>
        <w:rPr>
          <w:rFonts w:hint="eastAsia"/>
          <w:color w:val="000000" w:themeColor="text1"/>
          <w:spacing w:val="-3"/>
          <w:sz w:val="24"/>
          <w14:textFill>
            <w14:solidFill>
              <w14:schemeClr w14:val="tx1"/>
            </w14:solidFill>
          </w14:textFill>
        </w:rPr>
        <w:t>养殖粪污</w:t>
      </w:r>
      <w:r>
        <w:rPr>
          <w:color w:val="000000" w:themeColor="text1"/>
          <w:spacing w:val="-3"/>
          <w:sz w:val="24"/>
          <w14:textFill>
            <w14:solidFill>
              <w14:schemeClr w14:val="tx1"/>
            </w14:solidFill>
          </w14:textFill>
        </w:rPr>
        <w:t>处理实例中，技术成熟可</w:t>
      </w:r>
      <w:r>
        <w:rPr>
          <w:rFonts w:hint="eastAsia"/>
          <w:color w:val="000000" w:themeColor="text1"/>
          <w:spacing w:val="-3"/>
          <w:sz w:val="24"/>
          <w14:textFill>
            <w14:solidFill>
              <w14:schemeClr w14:val="tx1"/>
            </w14:solidFill>
          </w14:textFill>
        </w:rPr>
        <w:t>靠</w:t>
      </w:r>
      <w:r>
        <w:rPr>
          <w:color w:val="000000" w:themeColor="text1"/>
          <w:spacing w:val="-3"/>
          <w:sz w:val="24"/>
          <w14:textFill>
            <w14:solidFill>
              <w14:schemeClr w14:val="tx1"/>
            </w14:solidFill>
          </w14:textFill>
        </w:rPr>
        <w:t>、经济合理，因此，本项目水污染控制和水环境影响减缓措施合理有效。</w:t>
      </w:r>
    </w:p>
    <w:p w14:paraId="712B3059">
      <w:pPr>
        <w:spacing w:line="360" w:lineRule="auto"/>
        <w:ind w:firstLine="468" w:firstLineChars="200"/>
        <w:jc w:val="both"/>
        <w:rPr>
          <w:color w:val="000000" w:themeColor="text1"/>
          <w:spacing w:val="-3"/>
          <w:sz w:val="24"/>
          <w:highlight w:val="yellow"/>
          <w14:textFill>
            <w14:solidFill>
              <w14:schemeClr w14:val="tx1"/>
            </w14:solidFill>
          </w14:textFill>
        </w:rPr>
      </w:pPr>
      <w:r>
        <w:rPr>
          <w:rFonts w:hint="eastAsia"/>
          <w:color w:val="000000" w:themeColor="text1"/>
          <w:spacing w:val="-3"/>
          <w:sz w:val="24"/>
          <w14:textFill>
            <w14:solidFill>
              <w14:schemeClr w14:val="tx1"/>
            </w14:solidFill>
          </w14:textFill>
        </w:rPr>
        <w:t>项目实施雨污分流，场内各建筑四周及道路两侧均设置雨水管网，项目场区无物料露天堆放，雨水的污染物主要为悬浮物，本项目设置初期雨水收集池，初期雨水经初期雨水收集池暂存处理后用于场区绿化。</w:t>
      </w:r>
    </w:p>
    <w:p w14:paraId="018265C8">
      <w:pPr>
        <w:pStyle w:val="5"/>
        <w:adjustRightInd w:val="0"/>
        <w:snapToGrid w:val="0"/>
        <w:spacing w:before="0" w:after="0" w:line="360" w:lineRule="auto"/>
        <w:rPr>
          <w:color w:val="000000" w:themeColor="text1"/>
          <w:sz w:val="28"/>
          <w:szCs w:val="28"/>
          <w14:textFill>
            <w14:solidFill>
              <w14:schemeClr w14:val="tx1"/>
            </w14:solidFill>
          </w14:textFill>
        </w:rPr>
      </w:pPr>
      <w:bookmarkStart w:id="748" w:name="_Toc233380218"/>
      <w:r>
        <w:rPr>
          <w:color w:val="000000" w:themeColor="text1"/>
          <w:sz w:val="28"/>
          <w:szCs w:val="28"/>
          <w14:textFill>
            <w14:solidFill>
              <w14:schemeClr w14:val="tx1"/>
            </w14:solidFill>
          </w14:textFill>
        </w:rPr>
        <w:t>5.3.2</w:t>
      </w:r>
      <w:r>
        <w:rPr>
          <w:rFonts w:hint="eastAsia"/>
          <w:color w:val="000000" w:themeColor="text1"/>
          <w:sz w:val="28"/>
          <w:szCs w:val="28"/>
          <w14:textFill>
            <w14:solidFill>
              <w14:schemeClr w14:val="tx1"/>
            </w14:solidFill>
          </w14:textFill>
        </w:rPr>
        <w:t>废水不外排的可行性</w:t>
      </w:r>
      <w:bookmarkEnd w:id="748"/>
    </w:p>
    <w:p w14:paraId="104D440A">
      <w:pPr>
        <w:spacing w:line="360" w:lineRule="auto"/>
        <w:ind w:firstLine="468" w:firstLineChars="200"/>
        <w:jc w:val="both"/>
        <w:rPr>
          <w:color w:val="000000" w:themeColor="text1"/>
          <w:spacing w:val="-3"/>
          <w:sz w:val="24"/>
          <w14:textFill>
            <w14:solidFill>
              <w14:schemeClr w14:val="tx1"/>
            </w14:solidFill>
          </w14:textFill>
        </w:rPr>
      </w:pPr>
      <w:bookmarkStart w:id="749" w:name="OLE_LINK153"/>
      <w:bookmarkStart w:id="750" w:name="OLE_LINK154"/>
      <w:r>
        <w:rPr>
          <w:rFonts w:hint="eastAsia"/>
          <w:color w:val="000000" w:themeColor="text1"/>
          <w:spacing w:val="-3"/>
          <w:sz w:val="24"/>
          <w14:textFill>
            <w14:solidFill>
              <w14:schemeClr w14:val="tx1"/>
            </w14:solidFill>
          </w14:textFill>
        </w:rPr>
        <w:t>项目采用生物发酵床养殖模式，不需要对畜舍进行冲洗，无冲栏废水产生，牛尿直接排到发酵垫料的垫料上，垫料里富含特殊有益微生物，能够快速被消化分解，因此本项目运营期主要废水为生活污水和初期雨水。根据“水平衡分析”项目生活污水产生量原小于绿化用水量，生活污水能完全被消纳。</w:t>
      </w:r>
    </w:p>
    <w:bookmarkEnd w:id="749"/>
    <w:bookmarkEnd w:id="750"/>
    <w:p w14:paraId="7B1B02B0">
      <w:pPr>
        <w:spacing w:line="360" w:lineRule="auto"/>
        <w:ind w:firstLine="468" w:firstLineChars="200"/>
        <w:jc w:val="both"/>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项目区初期雨水量为53m</w:t>
      </w:r>
      <w:r>
        <w:rPr>
          <w:rFonts w:hint="eastAsia"/>
          <w:color w:val="000000" w:themeColor="text1"/>
          <w:spacing w:val="-3"/>
          <w:sz w:val="24"/>
          <w:vertAlign w:val="superscript"/>
          <w14:textFill>
            <w14:solidFill>
              <w14:schemeClr w14:val="tx1"/>
            </w14:solidFill>
          </w14:textFill>
        </w:rPr>
        <w:t>3</w:t>
      </w:r>
      <w:r>
        <w:rPr>
          <w:rFonts w:hint="eastAsia"/>
          <w:color w:val="000000" w:themeColor="text1"/>
          <w:spacing w:val="-3"/>
          <w:sz w:val="24"/>
          <w14:textFill>
            <w14:solidFill>
              <w14:schemeClr w14:val="tx1"/>
            </w14:solidFill>
          </w14:textFill>
        </w:rPr>
        <w:t>/次，初期雨水水质较为简单，可用于项目区绿化。项目设计有</w:t>
      </w:r>
      <w:r>
        <w:rPr>
          <w:color w:val="000000" w:themeColor="text1"/>
          <w:spacing w:val="-3"/>
          <w:sz w:val="24"/>
          <w14:textFill>
            <w14:solidFill>
              <w14:schemeClr w14:val="tx1"/>
            </w14:solidFill>
          </w14:textFill>
        </w:rPr>
        <w:t>100</w:t>
      </w:r>
      <w:r>
        <w:rPr>
          <w:rFonts w:hint="eastAsia"/>
          <w:color w:val="000000" w:themeColor="text1"/>
          <w:spacing w:val="-3"/>
          <w:sz w:val="24"/>
          <w14:textFill>
            <w14:solidFill>
              <w14:schemeClr w14:val="tx1"/>
            </w14:solidFill>
          </w14:textFill>
        </w:rPr>
        <w:t>m</w:t>
      </w:r>
      <w:r>
        <w:rPr>
          <w:rFonts w:hint="eastAsia"/>
          <w:color w:val="000000" w:themeColor="text1"/>
          <w:spacing w:val="-3"/>
          <w:sz w:val="24"/>
          <w:vertAlign w:val="superscript"/>
          <w14:textFill>
            <w14:solidFill>
              <w14:schemeClr w14:val="tx1"/>
            </w14:solidFill>
          </w14:textFill>
        </w:rPr>
        <w:t>3</w:t>
      </w:r>
      <w:r>
        <w:rPr>
          <w:rFonts w:hint="eastAsia"/>
          <w:color w:val="000000" w:themeColor="text1"/>
          <w:spacing w:val="-3"/>
          <w:sz w:val="24"/>
          <w14:textFill>
            <w14:solidFill>
              <w14:schemeClr w14:val="tx1"/>
            </w14:solidFill>
          </w14:textFill>
        </w:rPr>
        <w:t>初期雨水收集池暂存场内初期雨水，初期雨水收集池可储存雨天无法用于浇灌的废水，可保证雨天时废水的存储。</w:t>
      </w:r>
    </w:p>
    <w:p w14:paraId="19752039">
      <w:pPr>
        <w:pStyle w:val="5"/>
        <w:adjustRightInd w:val="0"/>
        <w:snapToGrid w:val="0"/>
        <w:spacing w:before="0" w:after="0" w:line="360" w:lineRule="auto"/>
        <w:rPr>
          <w:color w:val="000000" w:themeColor="text1"/>
          <w:sz w:val="28"/>
          <w:szCs w:val="28"/>
          <w14:textFill>
            <w14:solidFill>
              <w14:schemeClr w14:val="tx1"/>
            </w14:solidFill>
          </w14:textFill>
        </w:rPr>
      </w:pPr>
      <w:bookmarkStart w:id="751" w:name="_Toc233380219"/>
      <w:r>
        <w:rPr>
          <w:color w:val="000000" w:themeColor="text1"/>
          <w:sz w:val="28"/>
          <w:szCs w:val="28"/>
          <w14:textFill>
            <w14:solidFill>
              <w14:schemeClr w14:val="tx1"/>
            </w14:solidFill>
          </w14:textFill>
        </w:rPr>
        <w:t>5.3.3</w:t>
      </w:r>
      <w:r>
        <w:rPr>
          <w:rFonts w:hint="eastAsia"/>
          <w:color w:val="000000" w:themeColor="text1"/>
          <w:sz w:val="28"/>
          <w:szCs w:val="28"/>
          <w14:textFill>
            <w14:solidFill>
              <w14:schemeClr w14:val="tx1"/>
            </w14:solidFill>
          </w14:textFill>
        </w:rPr>
        <w:t>项目非正常排放的可行性</w:t>
      </w:r>
      <w:bookmarkEnd w:id="751"/>
    </w:p>
    <w:p w14:paraId="014D5814">
      <w:pPr>
        <w:spacing w:line="360" w:lineRule="auto"/>
        <w:ind w:firstLine="468" w:firstLineChars="200"/>
        <w:jc w:val="both"/>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（1）项目非正常排放情况</w:t>
      </w:r>
    </w:p>
    <w:p w14:paraId="01FBC730">
      <w:pPr>
        <w:spacing w:line="360" w:lineRule="auto"/>
        <w:ind w:firstLine="468" w:firstLineChars="200"/>
        <w:jc w:val="both"/>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项目区牛舍使用原位发酵床工艺，发酵床由专人进行管理，当发现发酵床含水量较高，影响舍内肉牛健康及粪污吸收时，及时投加锯末、稻壳等垫料，基本不会产生渗滤液，由于上述过程可实时控制和处理，因此，项目废水非正常排放的情况仅考虑为化粪池破裂，而导致污水事故排放。根据工程分析，生活污水中主要污染物及其浓度取值为：COD：400mgL，SS：250mg/L，氨氮：35mg/L，总氮：45mg/L。非正常情况下，考虑废水直接排入周围环境，污染附近河流及地下水。厂区化粪池所在区域地表水汇于巴河。项目事故外排主要影响范围为周边耕地，此外，项目构建筑物四周已设置截、排水沟，能有效阻止项目区污水排出厂外，本次评价重点对预防废水非正常排放的措施可靠性进行分析。</w:t>
      </w:r>
    </w:p>
    <w:p w14:paraId="6F818D6C">
      <w:pPr>
        <w:spacing w:line="360" w:lineRule="auto"/>
        <w:ind w:firstLine="468" w:firstLineChars="200"/>
        <w:jc w:val="both"/>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（2）项目废水非正常排放防范措施</w:t>
      </w:r>
    </w:p>
    <w:p w14:paraId="3FAE1853">
      <w:pPr>
        <w:spacing w:line="360" w:lineRule="auto"/>
        <w:ind w:firstLine="468" w:firstLineChars="200"/>
        <w:jc w:val="both"/>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定期对化粪池进行检查，加强对污水处理设施的运行管理、维护。</w:t>
      </w:r>
    </w:p>
    <w:p w14:paraId="5162B0A4">
      <w:pPr>
        <w:spacing w:line="360" w:lineRule="auto"/>
        <w:ind w:firstLine="468" w:firstLineChars="200"/>
        <w:jc w:val="both"/>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（3）项目废水非正常排放对周边地表水体的环境影响</w:t>
      </w:r>
    </w:p>
    <w:p w14:paraId="3915ACAD">
      <w:pPr>
        <w:spacing w:line="360" w:lineRule="auto"/>
        <w:ind w:firstLine="468" w:firstLineChars="200"/>
        <w:jc w:val="both"/>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项目生活污水产生量较小，项目所在地最近地表水体主要为驷马河、巴河，项目废水事故排放主要影响为周边耕地，此外，项目构建筑物四周已设置截、排水沟，能有效阻止项目区污水排出厂外对地表水体影响较小。</w:t>
      </w:r>
    </w:p>
    <w:p w14:paraId="7A0C1BD1">
      <w:pPr>
        <w:spacing w:line="360" w:lineRule="auto"/>
        <w:ind w:firstLine="468" w:firstLineChars="200"/>
        <w:jc w:val="both"/>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综上，项目在设置初期雨水收集池及化粪池等废水收集和处理措施，并按要求采取防渗措施后，可极大降低废水事故排放的可能性。</w:t>
      </w:r>
    </w:p>
    <w:p w14:paraId="43AC66CA">
      <w:pPr>
        <w:pStyle w:val="5"/>
        <w:adjustRightInd w:val="0"/>
        <w:snapToGrid w:val="0"/>
        <w:spacing w:before="0" w:after="0" w:line="360" w:lineRule="auto"/>
        <w:rPr>
          <w:color w:val="000000" w:themeColor="text1"/>
          <w:sz w:val="28"/>
          <w:szCs w:val="28"/>
          <w14:textFill>
            <w14:solidFill>
              <w14:schemeClr w14:val="tx1"/>
            </w14:solidFill>
          </w14:textFill>
        </w:rPr>
      </w:pPr>
      <w:bookmarkStart w:id="752" w:name="_Toc8362"/>
      <w:bookmarkStart w:id="753" w:name="_Toc230079400"/>
      <w:bookmarkStart w:id="754" w:name="_Toc233380220"/>
      <w:r>
        <w:rPr>
          <w:rFonts w:hint="eastAsia"/>
          <w:color w:val="000000" w:themeColor="text1"/>
          <w:sz w:val="28"/>
          <w:szCs w:val="28"/>
          <w14:textFill>
            <w14:solidFill>
              <w14:schemeClr w14:val="tx1"/>
            </w14:solidFill>
          </w14:textFill>
        </w:rPr>
        <w:t>5.3.</w:t>
      </w:r>
      <w:r>
        <w:rPr>
          <w:color w:val="000000" w:themeColor="text1"/>
          <w:sz w:val="28"/>
          <w:szCs w:val="28"/>
          <w14:textFill>
            <w14:solidFill>
              <w14:schemeClr w14:val="tx1"/>
            </w14:solidFill>
          </w14:textFill>
        </w:rPr>
        <w:t>4地表水环境影响评价结论</w:t>
      </w:r>
      <w:bookmarkEnd w:id="752"/>
      <w:bookmarkEnd w:id="753"/>
      <w:bookmarkEnd w:id="754"/>
    </w:p>
    <w:p w14:paraId="47F01A44">
      <w:pPr>
        <w:spacing w:line="360" w:lineRule="auto"/>
        <w:ind w:firstLine="468" w:firstLineChars="200"/>
        <w:jc w:val="both"/>
        <w:rPr>
          <w:color w:val="000000" w:themeColor="text1"/>
          <w:spacing w:val="-3"/>
          <w:sz w:val="24"/>
          <w14:textFill>
            <w14:solidFill>
              <w14:schemeClr w14:val="tx1"/>
            </w14:solidFill>
          </w14:textFill>
        </w:rPr>
      </w:pPr>
      <w:r>
        <w:rPr>
          <w:rFonts w:hint="eastAsia"/>
          <w:color w:val="000000" w:themeColor="text1"/>
          <w:spacing w:val="-3"/>
          <w:sz w:val="24"/>
          <w14:textFill>
            <w14:solidFill>
              <w14:schemeClr w14:val="tx1"/>
            </w14:solidFill>
          </w14:textFill>
        </w:rPr>
        <w:t>项目采用生物发酵床养殖模式，不需要对圈舍进行冲洗，无冲栏废水产生，牛尿直接排到发酵垫料的垫料上，垫料里富含特殊有益微生物，能够快速被消化分解，无牛尿和冲栏废水排放。项目运营期废水主要为生活污水和初期雨水。生活污水经化粪池处理后用于项目区绿化，不外排。初期雨水收集池收集后回用于项目区绿化。项目对区域地表水环境影响轻微。</w:t>
      </w:r>
    </w:p>
    <w:p w14:paraId="612C847C">
      <w:pPr>
        <w:pStyle w:val="5"/>
        <w:adjustRightInd w:val="0"/>
        <w:snapToGrid w:val="0"/>
        <w:spacing w:before="0" w:after="0" w:line="360" w:lineRule="auto"/>
        <w:rPr>
          <w:color w:val="000000" w:themeColor="text1"/>
          <w:sz w:val="28"/>
          <w:szCs w:val="28"/>
          <w14:textFill>
            <w14:solidFill>
              <w14:schemeClr w14:val="tx1"/>
            </w14:solidFill>
          </w14:textFill>
        </w:rPr>
      </w:pPr>
      <w:bookmarkStart w:id="755" w:name="_Toc10748"/>
      <w:bookmarkStart w:id="756" w:name="_Toc230079401"/>
      <w:bookmarkStart w:id="757" w:name="_Toc233380221"/>
      <w:r>
        <w:rPr>
          <w:rFonts w:hint="eastAsia"/>
          <w:color w:val="000000" w:themeColor="text1"/>
          <w:sz w:val="28"/>
          <w:szCs w:val="28"/>
          <w14:textFill>
            <w14:solidFill>
              <w14:schemeClr w14:val="tx1"/>
            </w14:solidFill>
          </w14:textFill>
        </w:rPr>
        <w:t>5.3.4</w:t>
      </w:r>
      <w:r>
        <w:rPr>
          <w:color w:val="000000" w:themeColor="text1"/>
          <w:sz w:val="28"/>
          <w:szCs w:val="28"/>
          <w14:textFill>
            <w14:solidFill>
              <w14:schemeClr w14:val="tx1"/>
            </w14:solidFill>
          </w14:textFill>
        </w:rPr>
        <w:t>建设项目地表水环境影响评价自查表</w:t>
      </w:r>
      <w:bookmarkEnd w:id="739"/>
      <w:bookmarkEnd w:id="740"/>
      <w:bookmarkEnd w:id="741"/>
      <w:bookmarkEnd w:id="742"/>
      <w:bookmarkEnd w:id="755"/>
      <w:bookmarkEnd w:id="756"/>
      <w:bookmarkEnd w:id="757"/>
    </w:p>
    <w:p w14:paraId="03E36477">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项目地表水环境影响自查情况见表5.3-</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w:t>
      </w:r>
    </w:p>
    <w:p w14:paraId="4591CD6C">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表5.3-</w:t>
      </w:r>
      <w:r>
        <w:rPr>
          <w:rFonts w:hint="eastAsia"/>
          <w:snapToGrid w:val="0"/>
          <w:color w:val="000000" w:themeColor="text1"/>
          <w:szCs w:val="21"/>
          <w:lang w:val="en-US"/>
          <w14:textFill>
            <w14:solidFill>
              <w14:schemeClr w14:val="tx1"/>
            </w14:solidFill>
          </w14:textFill>
        </w:rPr>
        <w:t>2</w:t>
      </w:r>
      <w:r>
        <w:rPr>
          <w:snapToGrid w:val="0"/>
          <w:color w:val="000000" w:themeColor="text1"/>
          <w:szCs w:val="21"/>
          <w14:textFill>
            <w14:solidFill>
              <w14:schemeClr w14:val="tx1"/>
            </w14:solidFill>
          </w14:textFill>
        </w:rPr>
        <w:t xml:space="preserve"> 建设项目地表水环境影响评价自查表</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
        <w:gridCol w:w="1168"/>
        <w:gridCol w:w="1590"/>
        <w:gridCol w:w="317"/>
        <w:gridCol w:w="831"/>
        <w:gridCol w:w="1015"/>
        <w:gridCol w:w="272"/>
        <w:gridCol w:w="1853"/>
        <w:gridCol w:w="1507"/>
      </w:tblGrid>
      <w:tr w14:paraId="6AD3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905" w:type="pct"/>
            <w:gridSpan w:val="2"/>
            <w:tcBorders>
              <w:tl2br w:val="nil"/>
              <w:tr2bl w:val="nil"/>
            </w:tcBorders>
            <w:vAlign w:val="center"/>
          </w:tcPr>
          <w:p w14:paraId="058277D0">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工作内容</w:t>
            </w:r>
          </w:p>
        </w:tc>
        <w:tc>
          <w:tcPr>
            <w:tcW w:w="4095" w:type="pct"/>
            <w:gridSpan w:val="7"/>
            <w:tcBorders>
              <w:tl2br w:val="nil"/>
              <w:tr2bl w:val="nil"/>
            </w:tcBorders>
            <w:vAlign w:val="center"/>
          </w:tcPr>
          <w:p w14:paraId="793B164A">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自查项目</w:t>
            </w:r>
          </w:p>
        </w:tc>
      </w:tr>
      <w:tr w14:paraId="074B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restart"/>
            <w:tcBorders>
              <w:tl2br w:val="nil"/>
              <w:tr2bl w:val="nil"/>
            </w:tcBorders>
            <w:vAlign w:val="center"/>
          </w:tcPr>
          <w:p w14:paraId="3D2AB231">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影响识别</w:t>
            </w:r>
          </w:p>
        </w:tc>
        <w:tc>
          <w:tcPr>
            <w:tcW w:w="648" w:type="pct"/>
            <w:tcBorders>
              <w:tl2br w:val="nil"/>
              <w:tr2bl w:val="nil"/>
            </w:tcBorders>
            <w:vAlign w:val="center"/>
          </w:tcPr>
          <w:p w14:paraId="2A02E3BC">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影响类型</w:t>
            </w:r>
          </w:p>
        </w:tc>
        <w:tc>
          <w:tcPr>
            <w:tcW w:w="4095" w:type="pct"/>
            <w:gridSpan w:val="7"/>
            <w:tcBorders>
              <w:tl2br w:val="nil"/>
              <w:tr2bl w:val="nil"/>
            </w:tcBorders>
            <w:vAlign w:val="center"/>
          </w:tcPr>
          <w:p w14:paraId="4BE76648">
            <w:pPr>
              <w:spacing w:line="280" w:lineRule="exact"/>
            </w:pPr>
            <w:r>
              <w:t>水污染影响型</w:t>
            </w:r>
            <w:r>
              <w:rPr>
                <w:sz w:val="18"/>
                <w:szCs w:val="18"/>
              </w:rPr>
              <w:sym w:font="Wingdings 2" w:char="0052"/>
            </w:r>
            <w:r>
              <w:t>；水文要素影响型</w:t>
            </w:r>
            <w:r>
              <w:rPr/>
              <w:sym w:font="Wingdings 2" w:char="00A3"/>
            </w:r>
          </w:p>
        </w:tc>
      </w:tr>
      <w:tr w14:paraId="5184D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00317BB5">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05637772">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水环境保护目标</w:t>
            </w:r>
          </w:p>
        </w:tc>
        <w:tc>
          <w:tcPr>
            <w:tcW w:w="4095" w:type="pct"/>
            <w:gridSpan w:val="7"/>
            <w:tcBorders>
              <w:tl2br w:val="nil"/>
              <w:tr2bl w:val="nil"/>
            </w:tcBorders>
            <w:vAlign w:val="center"/>
          </w:tcPr>
          <w:p w14:paraId="53E9F5BB">
            <w:pPr>
              <w:spacing w:line="280" w:lineRule="exact"/>
            </w:pPr>
            <w:r>
              <w:t>饮用水水源保护区</w:t>
            </w:r>
            <w:r>
              <w:rPr>
                <w:rFonts w:hint="eastAsia"/>
              </w:rPr>
              <w:t xml:space="preserve"> </w:t>
            </w:r>
            <w:r>
              <w:rPr/>
              <w:sym w:font="Wingdings 2" w:char="00A3"/>
            </w:r>
            <w:r>
              <w:t>；饮用水取水口</w:t>
            </w:r>
            <w:r>
              <w:rPr>
                <w:rFonts w:hint="eastAsia"/>
              </w:rPr>
              <w:t xml:space="preserve"> </w:t>
            </w:r>
            <w:r>
              <w:rPr/>
              <w:sym w:font="Wingdings 2" w:char="00A3"/>
            </w:r>
            <w:r>
              <w:t xml:space="preserve">；涉水的自然保护区 </w:t>
            </w:r>
            <w:r>
              <w:rPr/>
              <w:sym w:font="Wingdings 2" w:char="00A3"/>
            </w:r>
            <w:r>
              <w:t xml:space="preserve">；重要湿地 </w:t>
            </w:r>
            <w:r>
              <w:rPr/>
              <w:sym w:font="Wingdings 2" w:char="00A3"/>
            </w:r>
            <w:r>
              <w:t>；重点保护与珍稀水生生物的栖息地</w:t>
            </w:r>
            <w:r>
              <w:rPr/>
              <w:sym w:font="Wingdings 2" w:char="00A3"/>
            </w:r>
            <w:r>
              <w:t>；重要水生生物的自然产卵场及索饵场、越冬场和洄游通道、天然渔场等渔业水体</w:t>
            </w:r>
            <w:r>
              <w:rPr>
                <w:rFonts w:hint="eastAsia"/>
              </w:rPr>
              <w:t xml:space="preserve"> </w:t>
            </w:r>
            <w:r>
              <w:rPr/>
              <w:sym w:font="Wingdings 2" w:char="00A3"/>
            </w:r>
            <w:r>
              <w:t xml:space="preserve">；涉水的风景名胜区 </w:t>
            </w:r>
            <w:r>
              <w:rPr/>
              <w:sym w:font="Wingdings 2" w:char="00A3"/>
            </w:r>
            <w:r>
              <w:t>；其他</w:t>
            </w:r>
            <w:r>
              <w:rPr>
                <w:sz w:val="18"/>
                <w:szCs w:val="18"/>
              </w:rPr>
              <w:t>□</w:t>
            </w:r>
          </w:p>
        </w:tc>
      </w:tr>
      <w:tr w14:paraId="568A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70B81EC7">
            <w:pPr>
              <w:spacing w:line="280" w:lineRule="exact"/>
              <w:jc w:val="center"/>
              <w:rPr>
                <w:color w:val="000000" w:themeColor="text1"/>
                <w14:textFill>
                  <w14:solidFill>
                    <w14:schemeClr w14:val="tx1"/>
                  </w14:solidFill>
                </w14:textFill>
              </w:rPr>
            </w:pPr>
          </w:p>
        </w:tc>
        <w:tc>
          <w:tcPr>
            <w:tcW w:w="648" w:type="pct"/>
            <w:vMerge w:val="restart"/>
            <w:tcBorders>
              <w:tl2br w:val="nil"/>
              <w:tr2bl w:val="nil"/>
            </w:tcBorders>
            <w:vAlign w:val="center"/>
          </w:tcPr>
          <w:p w14:paraId="6281B1D3">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影响途径</w:t>
            </w:r>
          </w:p>
        </w:tc>
        <w:tc>
          <w:tcPr>
            <w:tcW w:w="2081" w:type="pct"/>
            <w:gridSpan w:val="4"/>
            <w:tcBorders>
              <w:tl2br w:val="nil"/>
              <w:tr2bl w:val="nil"/>
            </w:tcBorders>
            <w:vAlign w:val="center"/>
          </w:tcPr>
          <w:p w14:paraId="248FDD78">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水污染影响型</w:t>
            </w:r>
          </w:p>
        </w:tc>
        <w:tc>
          <w:tcPr>
            <w:tcW w:w="2014" w:type="pct"/>
            <w:gridSpan w:val="3"/>
            <w:tcBorders>
              <w:tl2br w:val="nil"/>
              <w:tr2bl w:val="nil"/>
            </w:tcBorders>
            <w:vAlign w:val="center"/>
          </w:tcPr>
          <w:p w14:paraId="3E301B10">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水文要素影响型</w:t>
            </w:r>
          </w:p>
        </w:tc>
      </w:tr>
      <w:tr w14:paraId="78456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2D84C7F3">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59F772A4">
            <w:pPr>
              <w:spacing w:line="280" w:lineRule="exact"/>
              <w:jc w:val="center"/>
              <w:rPr>
                <w:color w:val="000000" w:themeColor="text1"/>
                <w14:textFill>
                  <w14:solidFill>
                    <w14:schemeClr w14:val="tx1"/>
                  </w14:solidFill>
                </w14:textFill>
              </w:rPr>
            </w:pPr>
          </w:p>
        </w:tc>
        <w:tc>
          <w:tcPr>
            <w:tcW w:w="2081" w:type="pct"/>
            <w:gridSpan w:val="4"/>
            <w:tcBorders>
              <w:tl2br w:val="nil"/>
              <w:tr2bl w:val="nil"/>
            </w:tcBorders>
            <w:vAlign w:val="center"/>
          </w:tcPr>
          <w:p w14:paraId="04F5F4B8">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直接排放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；间接排放</w:t>
            </w:r>
            <w:r>
              <w:rPr>
                <w:color w:val="000000" w:themeColor="text1"/>
                <w:szCs w:val="21"/>
                <w14:textFill>
                  <w14:solidFill>
                    <w14:schemeClr w14:val="tx1"/>
                  </w14:solidFill>
                </w14:textFill>
              </w:rPr>
              <w:sym w:font="Wingdings 2" w:char="00A3"/>
            </w:r>
            <w:r>
              <w:rPr>
                <w:color w:val="000000" w:themeColor="text1"/>
                <w14:textFill>
                  <w14:solidFill>
                    <w14:schemeClr w14:val="tx1"/>
                  </w14:solidFill>
                </w14:textFill>
              </w:rPr>
              <w:t>；其他</w:t>
            </w:r>
            <w:bookmarkStart w:id="758" w:name="OLE_LINK159"/>
            <w:bookmarkStart w:id="759" w:name="OLE_LINK160"/>
            <w:r>
              <w:rPr>
                <w:color w:val="000000" w:themeColor="text1"/>
                <w:sz w:val="18"/>
                <w:szCs w:val="18"/>
                <w14:textFill>
                  <w14:solidFill>
                    <w14:schemeClr w14:val="tx1"/>
                  </w14:solidFill>
                </w14:textFill>
              </w:rPr>
              <w:sym w:font="Wingdings 2" w:char="0052"/>
            </w:r>
            <w:bookmarkEnd w:id="758"/>
            <w:bookmarkEnd w:id="759"/>
          </w:p>
        </w:tc>
        <w:tc>
          <w:tcPr>
            <w:tcW w:w="2014" w:type="pct"/>
            <w:gridSpan w:val="3"/>
            <w:tcBorders>
              <w:tl2br w:val="nil"/>
              <w:tr2bl w:val="nil"/>
            </w:tcBorders>
            <w:vAlign w:val="center"/>
          </w:tcPr>
          <w:p w14:paraId="6AB9E2F9">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水温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；径流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；水域面积 </w:t>
            </w:r>
            <w:r>
              <w:rPr>
                <w:color w:val="000000" w:themeColor="text1"/>
                <w14:textFill>
                  <w14:solidFill>
                    <w14:schemeClr w14:val="tx1"/>
                  </w14:solidFill>
                </w14:textFill>
              </w:rPr>
              <w:sym w:font="Wingdings 2" w:char="00A3"/>
            </w:r>
          </w:p>
        </w:tc>
      </w:tr>
      <w:tr w14:paraId="2052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1A0587F9">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613E2B67">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影响因子</w:t>
            </w:r>
          </w:p>
        </w:tc>
        <w:tc>
          <w:tcPr>
            <w:tcW w:w="2081" w:type="pct"/>
            <w:gridSpan w:val="4"/>
            <w:tcBorders>
              <w:tl2br w:val="nil"/>
              <w:tr2bl w:val="nil"/>
            </w:tcBorders>
            <w:vAlign w:val="center"/>
          </w:tcPr>
          <w:p w14:paraId="2914075B">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持久性污染物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；有毒有害污染物</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；非持久性污染物</w:t>
            </w:r>
            <w:r>
              <w:rPr>
                <w:color w:val="000000" w:themeColor="text1"/>
                <w:sz w:val="18"/>
                <w:szCs w:val="18"/>
                <w14:textFill>
                  <w14:solidFill>
                    <w14:schemeClr w14:val="tx1"/>
                  </w14:solidFill>
                </w14:textFill>
              </w:rPr>
              <w:sym w:font="Wingdings 2" w:char="0052"/>
            </w:r>
            <w:r>
              <w:rPr>
                <w:color w:val="000000" w:themeColor="text1"/>
                <w14:textFill>
                  <w14:solidFill>
                    <w14:schemeClr w14:val="tx1"/>
                  </w14:solidFill>
                </w14:textFill>
              </w:rPr>
              <w:t>；pH值</w:t>
            </w:r>
            <w:r>
              <w:rPr>
                <w:color w:val="000000" w:themeColor="text1"/>
                <w:sz w:val="18"/>
                <w:szCs w:val="18"/>
                <w14:textFill>
                  <w14:solidFill>
                    <w14:schemeClr w14:val="tx1"/>
                  </w14:solidFill>
                </w14:textFill>
              </w:rPr>
              <w:sym w:font="Wingdings 2" w:char="0052"/>
            </w:r>
            <w:r>
              <w:rPr>
                <w:color w:val="000000" w:themeColor="text1"/>
                <w14:textFill>
                  <w14:solidFill>
                    <w14:schemeClr w14:val="tx1"/>
                  </w14:solidFill>
                </w14:textFill>
              </w:rPr>
              <w:t xml:space="preserve">；热污染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；富营养化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；其他 </w:t>
            </w:r>
            <w:r>
              <w:rPr>
                <w:color w:val="000000" w:themeColor="text1"/>
                <w14:textFill>
                  <w14:solidFill>
                    <w14:schemeClr w14:val="tx1"/>
                  </w14:solidFill>
                </w14:textFill>
              </w:rPr>
              <w:sym w:font="Wingdings 2" w:char="00A3"/>
            </w:r>
          </w:p>
        </w:tc>
        <w:tc>
          <w:tcPr>
            <w:tcW w:w="2014" w:type="pct"/>
            <w:gridSpan w:val="3"/>
            <w:tcBorders>
              <w:tl2br w:val="nil"/>
              <w:tr2bl w:val="nil"/>
            </w:tcBorders>
            <w:vAlign w:val="center"/>
          </w:tcPr>
          <w:p w14:paraId="006AE7FB">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水温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；水位（水深）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；流速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；流量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；其他 </w:t>
            </w:r>
            <w:r>
              <w:rPr>
                <w:color w:val="000000" w:themeColor="text1"/>
                <w14:textFill>
                  <w14:solidFill>
                    <w14:schemeClr w14:val="tx1"/>
                  </w14:solidFill>
                </w14:textFill>
              </w:rPr>
              <w:sym w:font="Wingdings 2" w:char="00A3"/>
            </w:r>
          </w:p>
        </w:tc>
      </w:tr>
      <w:tr w14:paraId="43A0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5" w:type="pct"/>
            <w:gridSpan w:val="2"/>
            <w:vMerge w:val="restart"/>
            <w:tcBorders>
              <w:tl2br w:val="nil"/>
              <w:tr2bl w:val="nil"/>
            </w:tcBorders>
            <w:vAlign w:val="center"/>
          </w:tcPr>
          <w:p w14:paraId="1020590B">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评价等级</w:t>
            </w:r>
          </w:p>
        </w:tc>
        <w:tc>
          <w:tcPr>
            <w:tcW w:w="2081" w:type="pct"/>
            <w:gridSpan w:val="4"/>
            <w:tcBorders>
              <w:tl2br w:val="nil"/>
              <w:tr2bl w:val="nil"/>
            </w:tcBorders>
            <w:vAlign w:val="center"/>
          </w:tcPr>
          <w:p w14:paraId="4404A837">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水污染影响型</w:t>
            </w:r>
          </w:p>
        </w:tc>
        <w:tc>
          <w:tcPr>
            <w:tcW w:w="2014" w:type="pct"/>
            <w:gridSpan w:val="3"/>
            <w:tcBorders>
              <w:tl2br w:val="nil"/>
              <w:tr2bl w:val="nil"/>
            </w:tcBorders>
            <w:vAlign w:val="center"/>
          </w:tcPr>
          <w:p w14:paraId="01B6246F">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水文要素影响型</w:t>
            </w:r>
          </w:p>
        </w:tc>
      </w:tr>
      <w:tr w14:paraId="4B66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5" w:type="pct"/>
            <w:gridSpan w:val="2"/>
            <w:vMerge w:val="continue"/>
            <w:tcBorders>
              <w:tl2br w:val="nil"/>
              <w:tr2bl w:val="nil"/>
            </w:tcBorders>
            <w:vAlign w:val="center"/>
          </w:tcPr>
          <w:p w14:paraId="78EB72F8">
            <w:pPr>
              <w:spacing w:line="280" w:lineRule="exact"/>
              <w:jc w:val="center"/>
              <w:rPr>
                <w:color w:val="000000" w:themeColor="text1"/>
                <w14:textFill>
                  <w14:solidFill>
                    <w14:schemeClr w14:val="tx1"/>
                  </w14:solidFill>
                </w14:textFill>
              </w:rPr>
            </w:pPr>
          </w:p>
        </w:tc>
        <w:tc>
          <w:tcPr>
            <w:tcW w:w="2081" w:type="pct"/>
            <w:gridSpan w:val="4"/>
            <w:tcBorders>
              <w:tl2br w:val="nil"/>
              <w:tr2bl w:val="nil"/>
            </w:tcBorders>
            <w:vAlign w:val="center"/>
          </w:tcPr>
          <w:p w14:paraId="7BA67B1E">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一级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；二级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；三级A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；三级B</w:t>
            </w:r>
            <w:r>
              <w:rPr>
                <w:color w:val="000000" w:themeColor="text1"/>
                <w:sz w:val="18"/>
                <w:szCs w:val="18"/>
                <w14:textFill>
                  <w14:solidFill>
                    <w14:schemeClr w14:val="tx1"/>
                  </w14:solidFill>
                </w14:textFill>
              </w:rPr>
              <w:sym w:font="Wingdings 2" w:char="0052"/>
            </w:r>
            <w:r>
              <w:rPr>
                <w:color w:val="000000" w:themeColor="text1"/>
                <w14:textFill>
                  <w14:solidFill>
                    <w14:schemeClr w14:val="tx1"/>
                  </w14:solidFill>
                </w14:textFill>
              </w:rPr>
              <w:t>；</w:t>
            </w:r>
          </w:p>
        </w:tc>
        <w:tc>
          <w:tcPr>
            <w:tcW w:w="2014" w:type="pct"/>
            <w:gridSpan w:val="3"/>
            <w:tcBorders>
              <w:tl2br w:val="nil"/>
              <w:tr2bl w:val="nil"/>
            </w:tcBorders>
            <w:vAlign w:val="center"/>
          </w:tcPr>
          <w:p w14:paraId="3CCE24CF">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一级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；二级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；三级 </w:t>
            </w:r>
            <w:r>
              <w:rPr>
                <w:color w:val="000000" w:themeColor="text1"/>
                <w14:textFill>
                  <w14:solidFill>
                    <w14:schemeClr w14:val="tx1"/>
                  </w14:solidFill>
                </w14:textFill>
              </w:rPr>
              <w:sym w:font="Wingdings 2" w:char="00A3"/>
            </w:r>
          </w:p>
        </w:tc>
      </w:tr>
      <w:tr w14:paraId="7745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restart"/>
            <w:tcBorders>
              <w:tl2br w:val="nil"/>
              <w:tr2bl w:val="nil"/>
            </w:tcBorders>
            <w:vAlign w:val="center"/>
          </w:tcPr>
          <w:p w14:paraId="490D86B7">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现状调查</w:t>
            </w:r>
          </w:p>
        </w:tc>
        <w:tc>
          <w:tcPr>
            <w:tcW w:w="648" w:type="pct"/>
            <w:vMerge w:val="restart"/>
            <w:tcBorders>
              <w:tl2br w:val="nil"/>
              <w:tr2bl w:val="nil"/>
            </w:tcBorders>
            <w:vAlign w:val="center"/>
          </w:tcPr>
          <w:p w14:paraId="26F602DC">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区域污染源</w:t>
            </w:r>
          </w:p>
        </w:tc>
        <w:tc>
          <w:tcPr>
            <w:tcW w:w="2081" w:type="pct"/>
            <w:gridSpan w:val="4"/>
            <w:tcBorders>
              <w:tl2br w:val="nil"/>
              <w:tr2bl w:val="nil"/>
            </w:tcBorders>
            <w:vAlign w:val="center"/>
          </w:tcPr>
          <w:p w14:paraId="46D8665F">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调查项目</w:t>
            </w:r>
          </w:p>
        </w:tc>
        <w:tc>
          <w:tcPr>
            <w:tcW w:w="2014" w:type="pct"/>
            <w:gridSpan w:val="3"/>
            <w:tcBorders>
              <w:tl2br w:val="nil"/>
              <w:tr2bl w:val="nil"/>
            </w:tcBorders>
            <w:vAlign w:val="center"/>
          </w:tcPr>
          <w:p w14:paraId="76DC2A0B">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数据来源</w:t>
            </w:r>
          </w:p>
        </w:tc>
      </w:tr>
      <w:tr w14:paraId="004B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4D90F961">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4DBBD095">
            <w:pPr>
              <w:spacing w:line="280" w:lineRule="exact"/>
              <w:jc w:val="center"/>
              <w:rPr>
                <w:color w:val="000000" w:themeColor="text1"/>
                <w14:textFill>
                  <w14:solidFill>
                    <w14:schemeClr w14:val="tx1"/>
                  </w14:solidFill>
                </w14:textFill>
              </w:rPr>
            </w:pPr>
          </w:p>
        </w:tc>
        <w:tc>
          <w:tcPr>
            <w:tcW w:w="1058" w:type="pct"/>
            <w:gridSpan w:val="2"/>
            <w:tcBorders>
              <w:tl2br w:val="nil"/>
              <w:tr2bl w:val="nil"/>
            </w:tcBorders>
            <w:vAlign w:val="center"/>
          </w:tcPr>
          <w:p w14:paraId="393DD5DF">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已建</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；在建</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；拟建</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；其他</w:t>
            </w:r>
            <w:r>
              <w:rPr>
                <w:color w:val="000000" w:themeColor="text1"/>
                <w14:textFill>
                  <w14:solidFill>
                    <w14:schemeClr w14:val="tx1"/>
                  </w14:solidFill>
                </w14:textFill>
              </w:rPr>
              <w:sym w:font="Wingdings 2" w:char="00A3"/>
            </w:r>
          </w:p>
        </w:tc>
        <w:tc>
          <w:tcPr>
            <w:tcW w:w="1024" w:type="pct"/>
            <w:gridSpan w:val="2"/>
            <w:tcBorders>
              <w:tl2br w:val="nil"/>
              <w:tr2bl w:val="nil"/>
            </w:tcBorders>
            <w:vAlign w:val="center"/>
          </w:tcPr>
          <w:p w14:paraId="14429B83">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 xml:space="preserve">拟替代的污染物 </w:t>
            </w:r>
            <w:r>
              <w:rPr>
                <w:color w:val="000000" w:themeColor="text1"/>
                <w14:textFill>
                  <w14:solidFill>
                    <w14:schemeClr w14:val="tx1"/>
                  </w14:solidFill>
                </w14:textFill>
              </w:rPr>
              <w:sym w:font="Wingdings 2" w:char="00A3"/>
            </w:r>
          </w:p>
        </w:tc>
        <w:tc>
          <w:tcPr>
            <w:tcW w:w="2014" w:type="pct"/>
            <w:gridSpan w:val="3"/>
            <w:tcBorders>
              <w:tl2br w:val="nil"/>
              <w:tr2bl w:val="nil"/>
            </w:tcBorders>
            <w:vAlign w:val="center"/>
          </w:tcPr>
          <w:p w14:paraId="5A54BFB6">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排污许可证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；环评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；环保验收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；既有实测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；现场监测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；入河排放口数据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；其他 </w:t>
            </w:r>
            <w:r>
              <w:rPr>
                <w:color w:val="000000" w:themeColor="text1"/>
                <w14:textFill>
                  <w14:solidFill>
                    <w14:schemeClr w14:val="tx1"/>
                  </w14:solidFill>
                </w14:textFill>
              </w:rPr>
              <w:sym w:font="Wingdings 2" w:char="00A3"/>
            </w:r>
          </w:p>
        </w:tc>
      </w:tr>
      <w:tr w14:paraId="1838B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70978CE0">
            <w:pPr>
              <w:spacing w:line="280" w:lineRule="exact"/>
              <w:jc w:val="center"/>
              <w:rPr>
                <w:color w:val="000000" w:themeColor="text1"/>
                <w14:textFill>
                  <w14:solidFill>
                    <w14:schemeClr w14:val="tx1"/>
                  </w14:solidFill>
                </w14:textFill>
              </w:rPr>
            </w:pPr>
          </w:p>
        </w:tc>
        <w:tc>
          <w:tcPr>
            <w:tcW w:w="648" w:type="pct"/>
            <w:vMerge w:val="restart"/>
            <w:tcBorders>
              <w:tl2br w:val="nil"/>
              <w:tr2bl w:val="nil"/>
            </w:tcBorders>
            <w:vAlign w:val="center"/>
          </w:tcPr>
          <w:p w14:paraId="010452C2">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受影响水体水环境质量</w:t>
            </w:r>
          </w:p>
        </w:tc>
        <w:tc>
          <w:tcPr>
            <w:tcW w:w="2081" w:type="pct"/>
            <w:gridSpan w:val="4"/>
            <w:tcBorders>
              <w:tl2br w:val="nil"/>
              <w:tr2bl w:val="nil"/>
            </w:tcBorders>
            <w:vAlign w:val="center"/>
          </w:tcPr>
          <w:p w14:paraId="1DE79533">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调查时期</w:t>
            </w:r>
          </w:p>
        </w:tc>
        <w:tc>
          <w:tcPr>
            <w:tcW w:w="2014" w:type="pct"/>
            <w:gridSpan w:val="3"/>
            <w:tcBorders>
              <w:tl2br w:val="nil"/>
              <w:tr2bl w:val="nil"/>
            </w:tcBorders>
            <w:vAlign w:val="center"/>
          </w:tcPr>
          <w:p w14:paraId="58538C42">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数据来源</w:t>
            </w:r>
          </w:p>
        </w:tc>
      </w:tr>
      <w:tr w14:paraId="5081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52DCD5BF">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7D00D2E1">
            <w:pPr>
              <w:spacing w:line="280" w:lineRule="exact"/>
              <w:jc w:val="center"/>
              <w:rPr>
                <w:color w:val="000000" w:themeColor="text1"/>
                <w14:textFill>
                  <w14:solidFill>
                    <w14:schemeClr w14:val="tx1"/>
                  </w14:solidFill>
                </w14:textFill>
              </w:rPr>
            </w:pPr>
          </w:p>
        </w:tc>
        <w:tc>
          <w:tcPr>
            <w:tcW w:w="2081" w:type="pct"/>
            <w:gridSpan w:val="4"/>
            <w:tcBorders>
              <w:tl2br w:val="nil"/>
              <w:tr2bl w:val="nil"/>
            </w:tcBorders>
            <w:vAlign w:val="center"/>
          </w:tcPr>
          <w:p w14:paraId="23A7016B">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丰水期</w:t>
            </w:r>
            <w:r>
              <w:rPr>
                <w:color w:val="000000" w:themeColor="text1"/>
                <w14:textFill>
                  <w14:solidFill>
                    <w14:schemeClr w14:val="tx1"/>
                  </w14:solidFill>
                </w14:textFill>
              </w:rPr>
              <w:sym w:font="Wingdings 2" w:char="00A3"/>
            </w:r>
            <w:r>
              <w:rPr>
                <w:rFonts w:hint="eastAsia"/>
                <w:color w:val="000000" w:themeColor="text1"/>
                <w14:textFill>
                  <w14:solidFill>
                    <w14:schemeClr w14:val="tx1"/>
                  </w14:solidFill>
                </w14:textFill>
              </w:rPr>
              <w:t>；</w:t>
            </w:r>
            <w:r>
              <w:rPr>
                <w:color w:val="000000" w:themeColor="text1"/>
                <w14:textFill>
                  <w14:solidFill>
                    <w14:schemeClr w14:val="tx1"/>
                  </w14:solidFill>
                </w14:textFill>
              </w:rPr>
              <w:t>平水期</w:t>
            </w:r>
            <w:r>
              <w:rPr>
                <w:color w:val="000000" w:themeColor="text1"/>
                <w:sz w:val="18"/>
                <w:szCs w:val="18"/>
                <w14:textFill>
                  <w14:solidFill>
                    <w14:schemeClr w14:val="tx1"/>
                  </w14:solidFill>
                </w14:textFill>
              </w:rPr>
              <w:sym w:font="Wingdings 2" w:char="0052"/>
            </w:r>
            <w:r>
              <w:rPr>
                <w:color w:val="000000" w:themeColor="text1"/>
                <w14:textFill>
                  <w14:solidFill>
                    <w14:schemeClr w14:val="tx1"/>
                  </w14:solidFill>
                </w14:textFill>
              </w:rPr>
              <w:t>；枯水期</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；冰封期</w:t>
            </w:r>
            <w:bookmarkStart w:id="760" w:name="OLE_LINK161"/>
            <w:bookmarkStart w:id="761" w:name="OLE_LINK162"/>
            <w:r>
              <w:rPr>
                <w:color w:val="000000" w:themeColor="text1"/>
                <w14:textFill>
                  <w14:solidFill>
                    <w14:schemeClr w14:val="tx1"/>
                  </w14:solidFill>
                </w14:textFill>
              </w:rPr>
              <w:sym w:font="Wingdings 2" w:char="00A3"/>
            </w:r>
            <w:bookmarkEnd w:id="760"/>
            <w:bookmarkEnd w:id="761"/>
          </w:p>
          <w:p w14:paraId="58EE2D20">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春季</w:t>
            </w:r>
            <w:r>
              <w:rPr>
                <w:rFonts w:hint="eastAsia"/>
                <w:color w:val="000000" w:themeColor="text1"/>
                <w14:textFill>
                  <w14:solidFill>
                    <w14:schemeClr w14:val="tx1"/>
                  </w14:solidFill>
                </w14:textFill>
              </w:rPr>
              <w:t xml:space="preserve"> </w:t>
            </w:r>
            <w:bookmarkStart w:id="762" w:name="OLE_LINK168"/>
            <w:bookmarkStart w:id="763" w:name="OLE_LINK169"/>
            <w:r>
              <w:rPr>
                <w:color w:val="000000" w:themeColor="text1"/>
                <w:sz w:val="18"/>
                <w:szCs w:val="18"/>
                <w14:textFill>
                  <w14:solidFill>
                    <w14:schemeClr w14:val="tx1"/>
                  </w14:solidFill>
                </w14:textFill>
              </w:rPr>
              <w:sym w:font="Wingdings 2" w:char="F052"/>
            </w:r>
            <w:bookmarkEnd w:id="762"/>
            <w:bookmarkEnd w:id="763"/>
            <w:r>
              <w:rPr>
                <w:color w:val="000000" w:themeColor="text1"/>
                <w14:textFill>
                  <w14:solidFill>
                    <w14:schemeClr w14:val="tx1"/>
                  </w14:solidFill>
                </w14:textFill>
              </w:rPr>
              <w:t>；夏季</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；秋季</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；冬季</w:t>
            </w:r>
            <w:bookmarkStart w:id="764" w:name="OLE_LINK164"/>
            <w:bookmarkStart w:id="765" w:name="OLE_LINK165"/>
            <w:r>
              <w:rPr>
                <w:color w:val="000000" w:themeColor="text1"/>
                <w14:textFill>
                  <w14:solidFill>
                    <w14:schemeClr w14:val="tx1"/>
                  </w14:solidFill>
                </w14:textFill>
              </w:rPr>
              <w:sym w:font="Wingdings 2" w:char="00A3"/>
            </w:r>
            <w:bookmarkEnd w:id="764"/>
            <w:bookmarkEnd w:id="765"/>
          </w:p>
        </w:tc>
        <w:tc>
          <w:tcPr>
            <w:tcW w:w="2014" w:type="pct"/>
            <w:gridSpan w:val="3"/>
            <w:tcBorders>
              <w:tl2br w:val="nil"/>
              <w:tr2bl w:val="nil"/>
            </w:tcBorders>
            <w:vAlign w:val="center"/>
          </w:tcPr>
          <w:p w14:paraId="565ADCD9">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生态环境保护主管部门</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w:t>
            </w:r>
          </w:p>
          <w:p w14:paraId="44461ADD">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补充监测</w:t>
            </w:r>
            <w:r>
              <w:rPr>
                <w:color w:val="000000" w:themeColor="text1"/>
                <w:sz w:val="18"/>
                <w:szCs w:val="18"/>
                <w14:textFill>
                  <w14:solidFill>
                    <w14:schemeClr w14:val="tx1"/>
                  </w14:solidFill>
                </w14:textFill>
              </w:rPr>
              <w:sym w:font="Wingdings 2" w:char="F052"/>
            </w:r>
            <w:r>
              <w:rPr>
                <w:color w:val="000000" w:themeColor="text1"/>
                <w14:textFill>
                  <w14:solidFill>
                    <w14:schemeClr w14:val="tx1"/>
                  </w14:solidFill>
                </w14:textFill>
              </w:rPr>
              <w:t>；其他</w:t>
            </w:r>
            <w:r>
              <w:rPr>
                <w:color w:val="000000" w:themeColor="text1"/>
                <w:szCs w:val="21"/>
                <w14:textFill>
                  <w14:solidFill>
                    <w14:schemeClr w14:val="tx1"/>
                  </w14:solidFill>
                </w14:textFill>
              </w:rPr>
              <w:sym w:font="Wingdings 2" w:char="00A3"/>
            </w:r>
          </w:p>
        </w:tc>
      </w:tr>
      <w:tr w14:paraId="544E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0DAEF7DF">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0C67E8C7">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区域水资源开发利用状况</w:t>
            </w:r>
          </w:p>
        </w:tc>
        <w:tc>
          <w:tcPr>
            <w:tcW w:w="4095" w:type="pct"/>
            <w:gridSpan w:val="7"/>
            <w:tcBorders>
              <w:tl2br w:val="nil"/>
              <w:tr2bl w:val="nil"/>
            </w:tcBorders>
            <w:vAlign w:val="center"/>
          </w:tcPr>
          <w:p w14:paraId="0959C7B4">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未开发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；开发量40%以下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；开发量40%以上 </w:t>
            </w:r>
            <w:r>
              <w:rPr>
                <w:color w:val="000000" w:themeColor="text1"/>
                <w14:textFill>
                  <w14:solidFill>
                    <w14:schemeClr w14:val="tx1"/>
                  </w14:solidFill>
                </w14:textFill>
              </w:rPr>
              <w:sym w:font="Wingdings 2" w:char="00A3"/>
            </w:r>
          </w:p>
        </w:tc>
      </w:tr>
      <w:tr w14:paraId="6CD9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74F50C67">
            <w:pPr>
              <w:spacing w:line="280" w:lineRule="exact"/>
              <w:jc w:val="center"/>
              <w:rPr>
                <w:color w:val="000000" w:themeColor="text1"/>
                <w14:textFill>
                  <w14:solidFill>
                    <w14:schemeClr w14:val="tx1"/>
                  </w14:solidFill>
                </w14:textFill>
              </w:rPr>
            </w:pPr>
          </w:p>
        </w:tc>
        <w:tc>
          <w:tcPr>
            <w:tcW w:w="648" w:type="pct"/>
            <w:vMerge w:val="restart"/>
            <w:tcBorders>
              <w:tl2br w:val="nil"/>
              <w:tr2bl w:val="nil"/>
            </w:tcBorders>
            <w:vAlign w:val="center"/>
          </w:tcPr>
          <w:p w14:paraId="77E9C805">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水文情势调查</w:t>
            </w:r>
          </w:p>
        </w:tc>
        <w:tc>
          <w:tcPr>
            <w:tcW w:w="2081" w:type="pct"/>
            <w:gridSpan w:val="4"/>
            <w:tcBorders>
              <w:tl2br w:val="nil"/>
              <w:tr2bl w:val="nil"/>
            </w:tcBorders>
            <w:vAlign w:val="center"/>
          </w:tcPr>
          <w:p w14:paraId="5EAB6AB7">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调查时期</w:t>
            </w:r>
          </w:p>
        </w:tc>
        <w:tc>
          <w:tcPr>
            <w:tcW w:w="2014" w:type="pct"/>
            <w:gridSpan w:val="3"/>
            <w:tcBorders>
              <w:tl2br w:val="nil"/>
              <w:tr2bl w:val="nil"/>
            </w:tcBorders>
            <w:vAlign w:val="center"/>
          </w:tcPr>
          <w:p w14:paraId="7129D4E8">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数据来源</w:t>
            </w:r>
          </w:p>
        </w:tc>
      </w:tr>
      <w:tr w14:paraId="2F37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75EADD09">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4E2E9715">
            <w:pPr>
              <w:spacing w:line="280" w:lineRule="exact"/>
              <w:jc w:val="center"/>
              <w:rPr>
                <w:color w:val="000000" w:themeColor="text1"/>
                <w14:textFill>
                  <w14:solidFill>
                    <w14:schemeClr w14:val="tx1"/>
                  </w14:solidFill>
                </w14:textFill>
              </w:rPr>
            </w:pPr>
          </w:p>
        </w:tc>
        <w:tc>
          <w:tcPr>
            <w:tcW w:w="2081" w:type="pct"/>
            <w:gridSpan w:val="4"/>
            <w:tcBorders>
              <w:tl2br w:val="nil"/>
              <w:tr2bl w:val="nil"/>
            </w:tcBorders>
            <w:vAlign w:val="center"/>
          </w:tcPr>
          <w:p w14:paraId="6C66E15C">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丰水期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；平水期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；枯水期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；冰封期 </w:t>
            </w:r>
            <w:r>
              <w:rPr>
                <w:color w:val="000000" w:themeColor="text1"/>
                <w14:textFill>
                  <w14:solidFill>
                    <w14:schemeClr w14:val="tx1"/>
                  </w14:solidFill>
                </w14:textFill>
              </w:rPr>
              <w:sym w:font="Wingdings 2" w:char="00A3"/>
            </w:r>
          </w:p>
          <w:p w14:paraId="41E0735E">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春季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；夏季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；秋季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；冬季 </w:t>
            </w:r>
            <w:r>
              <w:rPr>
                <w:color w:val="000000" w:themeColor="text1"/>
                <w14:textFill>
                  <w14:solidFill>
                    <w14:schemeClr w14:val="tx1"/>
                  </w14:solidFill>
                </w14:textFill>
              </w:rPr>
              <w:sym w:font="Wingdings 2" w:char="00A3"/>
            </w:r>
          </w:p>
        </w:tc>
        <w:tc>
          <w:tcPr>
            <w:tcW w:w="2014" w:type="pct"/>
            <w:gridSpan w:val="3"/>
            <w:tcBorders>
              <w:tl2br w:val="nil"/>
              <w:tr2bl w:val="nil"/>
            </w:tcBorders>
            <w:vAlign w:val="center"/>
          </w:tcPr>
          <w:p w14:paraId="5AB6BB2F">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 xml:space="preserve">水行政主管部门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；补充监测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；其他 </w:t>
            </w:r>
            <w:r>
              <w:rPr>
                <w:color w:val="000000" w:themeColor="text1"/>
                <w14:textFill>
                  <w14:solidFill>
                    <w14:schemeClr w14:val="tx1"/>
                  </w14:solidFill>
                </w14:textFill>
              </w:rPr>
              <w:sym w:font="Wingdings 2" w:char="00A3"/>
            </w:r>
          </w:p>
        </w:tc>
      </w:tr>
      <w:tr w14:paraId="1C53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0B8D2C66">
            <w:pPr>
              <w:spacing w:line="280" w:lineRule="exact"/>
              <w:jc w:val="center"/>
              <w:rPr>
                <w:color w:val="000000" w:themeColor="text1"/>
                <w14:textFill>
                  <w14:solidFill>
                    <w14:schemeClr w14:val="tx1"/>
                  </w14:solidFill>
                </w14:textFill>
              </w:rPr>
            </w:pPr>
          </w:p>
        </w:tc>
        <w:tc>
          <w:tcPr>
            <w:tcW w:w="648" w:type="pct"/>
            <w:vMerge w:val="restart"/>
            <w:tcBorders>
              <w:tl2br w:val="nil"/>
              <w:tr2bl w:val="nil"/>
            </w:tcBorders>
            <w:vAlign w:val="center"/>
          </w:tcPr>
          <w:p w14:paraId="41ED01E6">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补充监测</w:t>
            </w:r>
          </w:p>
        </w:tc>
        <w:tc>
          <w:tcPr>
            <w:tcW w:w="2081" w:type="pct"/>
            <w:gridSpan w:val="4"/>
            <w:tcBorders>
              <w:tl2br w:val="nil"/>
              <w:tr2bl w:val="nil"/>
            </w:tcBorders>
            <w:vAlign w:val="center"/>
          </w:tcPr>
          <w:p w14:paraId="3C6E9AEA">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监测时期</w:t>
            </w:r>
          </w:p>
        </w:tc>
        <w:tc>
          <w:tcPr>
            <w:tcW w:w="1178" w:type="pct"/>
            <w:gridSpan w:val="2"/>
            <w:tcBorders>
              <w:tl2br w:val="nil"/>
              <w:tr2bl w:val="nil"/>
            </w:tcBorders>
            <w:vAlign w:val="center"/>
          </w:tcPr>
          <w:p w14:paraId="7A39CBFC">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监测因子</w:t>
            </w:r>
          </w:p>
        </w:tc>
        <w:tc>
          <w:tcPr>
            <w:tcW w:w="836" w:type="pct"/>
            <w:tcBorders>
              <w:tl2br w:val="nil"/>
              <w:tr2bl w:val="nil"/>
            </w:tcBorders>
            <w:vAlign w:val="center"/>
          </w:tcPr>
          <w:p w14:paraId="16537F9B">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监测段面或点位</w:t>
            </w:r>
          </w:p>
        </w:tc>
      </w:tr>
      <w:tr w14:paraId="6F73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3AA37616">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2BF60ABA">
            <w:pPr>
              <w:spacing w:line="280" w:lineRule="exact"/>
              <w:jc w:val="center"/>
              <w:rPr>
                <w:color w:val="000000" w:themeColor="text1"/>
                <w14:textFill>
                  <w14:solidFill>
                    <w14:schemeClr w14:val="tx1"/>
                  </w14:solidFill>
                </w14:textFill>
              </w:rPr>
            </w:pPr>
          </w:p>
        </w:tc>
        <w:tc>
          <w:tcPr>
            <w:tcW w:w="2081" w:type="pct"/>
            <w:gridSpan w:val="4"/>
            <w:tcBorders>
              <w:tl2br w:val="nil"/>
              <w:tr2bl w:val="nil"/>
            </w:tcBorders>
            <w:vAlign w:val="center"/>
          </w:tcPr>
          <w:p w14:paraId="19064828">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丰水期</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；平水期</w:t>
            </w:r>
            <w:r>
              <w:rPr>
                <w:rFonts w:hint="eastAsia"/>
                <w:color w:val="000000" w:themeColor="text1"/>
                <w14:textFill>
                  <w14:solidFill>
                    <w14:schemeClr w14:val="tx1"/>
                  </w14:solidFill>
                </w14:textFill>
              </w:rPr>
              <w:t xml:space="preserve"> </w:t>
            </w:r>
            <w:bookmarkStart w:id="766" w:name="OLE_LINK174"/>
            <w:bookmarkStart w:id="767" w:name="OLE_LINK175"/>
            <w:r>
              <w:rPr>
                <w:color w:val="000000" w:themeColor="text1"/>
                <w:sz w:val="18"/>
                <w:szCs w:val="18"/>
                <w14:textFill>
                  <w14:solidFill>
                    <w14:schemeClr w14:val="tx1"/>
                  </w14:solidFill>
                </w14:textFill>
              </w:rPr>
              <w:sym w:font="Wingdings 2" w:char="F052"/>
            </w:r>
            <w:bookmarkEnd w:id="766"/>
            <w:bookmarkEnd w:id="767"/>
            <w:r>
              <w:rPr>
                <w:color w:val="000000" w:themeColor="text1"/>
                <w14:textFill>
                  <w14:solidFill>
                    <w14:schemeClr w14:val="tx1"/>
                  </w14:solidFill>
                </w14:textFill>
              </w:rPr>
              <w:t xml:space="preserve">；枯水期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；冰封期 </w:t>
            </w:r>
            <w:r>
              <w:rPr>
                <w:color w:val="000000" w:themeColor="text1"/>
                <w14:textFill>
                  <w14:solidFill>
                    <w14:schemeClr w14:val="tx1"/>
                  </w14:solidFill>
                </w14:textFill>
              </w:rPr>
              <w:sym w:font="Wingdings 2" w:char="00A3"/>
            </w:r>
          </w:p>
          <w:p w14:paraId="210ADE0E">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春季</w:t>
            </w:r>
            <w:r>
              <w:rPr>
                <w:color w:val="000000" w:themeColor="text1"/>
                <w:sz w:val="18"/>
                <w:szCs w:val="18"/>
                <w14:textFill>
                  <w14:solidFill>
                    <w14:schemeClr w14:val="tx1"/>
                  </w14:solidFill>
                </w14:textFill>
              </w:rPr>
              <w:sym w:font="Wingdings 2" w:char="F052"/>
            </w:r>
            <w:r>
              <w:rPr>
                <w:color w:val="000000" w:themeColor="text1"/>
                <w14:textFill>
                  <w14:solidFill>
                    <w14:schemeClr w14:val="tx1"/>
                  </w14:solidFill>
                </w14:textFill>
              </w:rPr>
              <w:t>；夏季</w:t>
            </w:r>
            <w:r>
              <w:rPr>
                <w:color w:val="000000" w:themeColor="text1"/>
                <w:sz w:val="18"/>
                <w:szCs w:val="18"/>
                <w14:textFill>
                  <w14:solidFill>
                    <w14:schemeClr w14:val="tx1"/>
                  </w14:solidFill>
                </w14:textFill>
              </w:rPr>
              <w:t>□</w:t>
            </w:r>
            <w:r>
              <w:rPr>
                <w:color w:val="000000" w:themeColor="text1"/>
                <w14:textFill>
                  <w14:solidFill>
                    <w14:schemeClr w14:val="tx1"/>
                  </w14:solidFill>
                </w14:textFill>
              </w:rPr>
              <w:t xml:space="preserve">；秋季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；冬季 </w:t>
            </w:r>
            <w:r>
              <w:rPr>
                <w:color w:val="000000" w:themeColor="text1"/>
                <w14:textFill>
                  <w14:solidFill>
                    <w14:schemeClr w14:val="tx1"/>
                  </w14:solidFill>
                </w14:textFill>
              </w:rPr>
              <w:sym w:font="Wingdings 2" w:char="00A3"/>
            </w:r>
          </w:p>
        </w:tc>
        <w:tc>
          <w:tcPr>
            <w:tcW w:w="1178" w:type="pct"/>
            <w:gridSpan w:val="2"/>
            <w:tcBorders>
              <w:tl2br w:val="nil"/>
              <w:tr2bl w:val="nil"/>
            </w:tcBorders>
            <w:vAlign w:val="center"/>
          </w:tcPr>
          <w:p w14:paraId="38F5896A">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pH、溶解氧、高锰酸盐指数、化学需氧量、五日生化需氧量、</w:t>
            </w:r>
            <w:bookmarkStart w:id="768" w:name="OLE_LINK172"/>
            <w:bookmarkStart w:id="769" w:name="OLE_LINK173"/>
            <w:r>
              <w:rPr>
                <w:rFonts w:hint="eastAsia"/>
                <w:color w:val="000000" w:themeColor="text1"/>
                <w:szCs w:val="21"/>
                <w14:textFill>
                  <w14:solidFill>
                    <w14:schemeClr w14:val="tx1"/>
                  </w14:solidFill>
                </w14:textFill>
              </w:rPr>
              <w:t>粪大肠菌群</w:t>
            </w:r>
            <w:bookmarkEnd w:id="768"/>
            <w:bookmarkEnd w:id="769"/>
            <w:r>
              <w:rPr>
                <w:rFonts w:hint="eastAsia"/>
                <w:color w:val="000000" w:themeColor="text1"/>
                <w:szCs w:val="21"/>
                <w14:textFill>
                  <w14:solidFill>
                    <w14:schemeClr w14:val="tx1"/>
                  </w14:solidFill>
                </w14:textFill>
              </w:rPr>
              <w:t>、氨氮、总磷、总氮、六价铬、汞、砷、铅、镉、铜、锌</w:t>
            </w:r>
            <w:r>
              <w:rPr>
                <w:color w:val="000000" w:themeColor="text1"/>
                <w:szCs w:val="21"/>
                <w14:textFill>
                  <w14:solidFill>
                    <w14:schemeClr w14:val="tx1"/>
                  </w14:solidFill>
                </w14:textFill>
              </w:rPr>
              <w:t>）</w:t>
            </w:r>
          </w:p>
        </w:tc>
        <w:tc>
          <w:tcPr>
            <w:tcW w:w="836" w:type="pct"/>
            <w:tcBorders>
              <w:tl2br w:val="nil"/>
              <w:tr2bl w:val="nil"/>
            </w:tcBorders>
            <w:vAlign w:val="center"/>
          </w:tcPr>
          <w:p w14:paraId="3EA5888A">
            <w:pPr>
              <w:spacing w:line="28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监测断面或点位个数（8）个</w:t>
            </w:r>
          </w:p>
        </w:tc>
      </w:tr>
      <w:tr w14:paraId="7FAF9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restart"/>
            <w:tcBorders>
              <w:tl2br w:val="nil"/>
              <w:tr2bl w:val="nil"/>
            </w:tcBorders>
            <w:vAlign w:val="center"/>
          </w:tcPr>
          <w:p w14:paraId="4F148641">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现状评价</w:t>
            </w:r>
          </w:p>
        </w:tc>
        <w:tc>
          <w:tcPr>
            <w:tcW w:w="648" w:type="pct"/>
            <w:tcBorders>
              <w:tl2br w:val="nil"/>
              <w:tr2bl w:val="nil"/>
            </w:tcBorders>
            <w:vAlign w:val="center"/>
          </w:tcPr>
          <w:p w14:paraId="616F5DE1">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评价范围</w:t>
            </w:r>
          </w:p>
        </w:tc>
        <w:tc>
          <w:tcPr>
            <w:tcW w:w="4095" w:type="pct"/>
            <w:gridSpan w:val="7"/>
            <w:tcBorders>
              <w:tl2br w:val="nil"/>
              <w:tr2bl w:val="nil"/>
            </w:tcBorders>
            <w:vAlign w:val="center"/>
          </w:tcPr>
          <w:p w14:paraId="08715AA8">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河流：长度（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）km；湖库、河口及近岸海域：面积（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）km</w:t>
            </w:r>
            <w:r>
              <w:rPr>
                <w:color w:val="000000" w:themeColor="text1"/>
                <w:vertAlign w:val="superscript"/>
                <w14:textFill>
                  <w14:solidFill>
                    <w14:schemeClr w14:val="tx1"/>
                  </w14:solidFill>
                </w14:textFill>
              </w:rPr>
              <w:t>2</w:t>
            </w:r>
          </w:p>
        </w:tc>
      </w:tr>
      <w:tr w14:paraId="365C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0D6658F9">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2A6FF0D8">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评价因子</w:t>
            </w:r>
          </w:p>
        </w:tc>
        <w:tc>
          <w:tcPr>
            <w:tcW w:w="4095" w:type="pct"/>
            <w:gridSpan w:val="7"/>
            <w:tcBorders>
              <w:tl2br w:val="nil"/>
              <w:tr2bl w:val="nil"/>
            </w:tcBorders>
            <w:vAlign w:val="center"/>
          </w:tcPr>
          <w:p w14:paraId="237764A3">
            <w:pPr>
              <w:spacing w:line="280" w:lineRule="exact"/>
              <w:rPr>
                <w:color w:val="000000" w:themeColor="text1"/>
                <w14:textFill>
                  <w14:solidFill>
                    <w14:schemeClr w14:val="tx1"/>
                  </w14:solidFill>
                </w14:textFill>
              </w:rPr>
            </w:pPr>
            <w:r>
              <w:rPr>
                <w:color w:val="000000" w:themeColor="text1"/>
                <w:szCs w:val="21"/>
                <w14:textFill>
                  <w14:solidFill>
                    <w14:schemeClr w14:val="tx1"/>
                  </w14:solidFill>
                </w14:textFill>
              </w:rPr>
              <w:t>（</w:t>
            </w:r>
            <w:r>
              <w:rPr>
                <w:color w:val="000000" w:themeColor="text1"/>
                <w:kern w:val="0"/>
                <w:szCs w:val="21"/>
                <w:lang w:bidi="ar"/>
                <w14:textFill>
                  <w14:solidFill>
                    <w14:schemeClr w14:val="tx1"/>
                  </w14:solidFill>
                </w14:textFill>
              </w:rPr>
              <w:t>pH</w:t>
            </w:r>
            <w:r>
              <w:rPr>
                <w:rFonts w:hint="eastAsia" w:ascii="宋体" w:hAnsi="宋体" w:cs="宋体"/>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COD</w:t>
            </w:r>
            <w:r>
              <w:rPr>
                <w:rFonts w:hint="eastAsia"/>
                <w:color w:val="000000" w:themeColor="text1"/>
                <w:kern w:val="0"/>
                <w:szCs w:val="21"/>
                <w:lang w:bidi="ar"/>
                <w14:textFill>
                  <w14:solidFill>
                    <w14:schemeClr w14:val="tx1"/>
                  </w14:solidFill>
                </w14:textFill>
              </w:rPr>
              <w:t>cr</w:t>
            </w:r>
            <w:r>
              <w:rPr>
                <w:rFonts w:hint="eastAsia" w:ascii="宋体" w:hAnsi="宋体" w:cs="宋体"/>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BOD</w:t>
            </w:r>
            <w:r>
              <w:rPr>
                <w:color w:val="000000" w:themeColor="text1"/>
                <w:kern w:val="0"/>
                <w:szCs w:val="21"/>
                <w:vertAlign w:val="subscript"/>
                <w:lang w:bidi="ar"/>
                <w14:textFill>
                  <w14:solidFill>
                    <w14:schemeClr w14:val="tx1"/>
                  </w14:solidFill>
                </w14:textFill>
              </w:rPr>
              <w:t>5</w:t>
            </w:r>
            <w:r>
              <w:rPr>
                <w:rFonts w:hint="eastAsia" w:ascii="宋体" w:hAnsi="宋体" w:cs="宋体"/>
                <w:color w:val="000000" w:themeColor="text1"/>
                <w:kern w:val="0"/>
                <w:szCs w:val="21"/>
                <w:lang w:bidi="ar"/>
                <w14:textFill>
                  <w14:solidFill>
                    <w14:schemeClr w14:val="tx1"/>
                  </w14:solidFill>
                </w14:textFill>
              </w:rPr>
              <w:t>、</w:t>
            </w:r>
            <w:r>
              <w:rPr>
                <w:color w:val="000000" w:themeColor="text1"/>
                <w:kern w:val="0"/>
                <w:szCs w:val="21"/>
                <w:lang w:bidi="ar"/>
                <w14:textFill>
                  <w14:solidFill>
                    <w14:schemeClr w14:val="tx1"/>
                  </w14:solidFill>
                </w14:textFill>
              </w:rPr>
              <w:t>NH</w:t>
            </w:r>
            <w:r>
              <w:rPr>
                <w:color w:val="000000" w:themeColor="text1"/>
                <w:kern w:val="0"/>
                <w:szCs w:val="21"/>
                <w:vertAlign w:val="subscript"/>
                <w:lang w:bidi="ar"/>
                <w14:textFill>
                  <w14:solidFill>
                    <w14:schemeClr w14:val="tx1"/>
                  </w14:solidFill>
                </w14:textFill>
              </w:rPr>
              <w:t>3</w:t>
            </w:r>
            <w:r>
              <w:rPr>
                <w:color w:val="000000" w:themeColor="text1"/>
                <w:kern w:val="0"/>
                <w:szCs w:val="21"/>
                <w:lang w:bidi="ar"/>
                <w14:textFill>
                  <w14:solidFill>
                    <w14:schemeClr w14:val="tx1"/>
                  </w14:solidFill>
                </w14:textFill>
              </w:rPr>
              <w:t>-N</w:t>
            </w:r>
            <w:r>
              <w:rPr>
                <w:rFonts w:hint="eastAsia" w:ascii="宋体" w:hAnsi="宋体" w:cs="宋体"/>
                <w:color w:val="000000" w:themeColor="text1"/>
                <w:kern w:val="0"/>
                <w:szCs w:val="21"/>
                <w:lang w:bidi="ar"/>
                <w14:textFill>
                  <w14:solidFill>
                    <w14:schemeClr w14:val="tx1"/>
                  </w14:solidFill>
                </w14:textFill>
              </w:rPr>
              <w:t>、悬浮物、总氮、总磷、</w:t>
            </w:r>
            <w:r>
              <w:rPr>
                <w:rFonts w:hint="eastAsia"/>
                <w:color w:val="000000" w:themeColor="text1"/>
                <w:szCs w:val="21"/>
                <w14:textFill>
                  <w14:solidFill>
                    <w14:schemeClr w14:val="tx1"/>
                  </w14:solidFill>
                </w14:textFill>
              </w:rPr>
              <w:t>粪大肠菌群）</w:t>
            </w:r>
          </w:p>
        </w:tc>
      </w:tr>
      <w:tr w14:paraId="0C6E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190E8143">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5C81A335">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评价标准</w:t>
            </w:r>
          </w:p>
        </w:tc>
        <w:tc>
          <w:tcPr>
            <w:tcW w:w="4095" w:type="pct"/>
            <w:gridSpan w:val="7"/>
            <w:tcBorders>
              <w:tl2br w:val="nil"/>
              <w:tr2bl w:val="nil"/>
            </w:tcBorders>
            <w:vAlign w:val="center"/>
          </w:tcPr>
          <w:p w14:paraId="745F071C">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河流、湖库、河口：I类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；II类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；III类</w:t>
            </w:r>
            <w:r>
              <w:rPr>
                <w:color w:val="000000" w:themeColor="text1"/>
                <w:sz w:val="18"/>
                <w:szCs w:val="18"/>
                <w14:textFill>
                  <w14:solidFill>
                    <w14:schemeClr w14:val="tx1"/>
                  </w14:solidFill>
                </w14:textFill>
              </w:rPr>
              <w:sym w:font="Wingdings 2" w:char="F052"/>
            </w:r>
            <w:r>
              <w:rPr>
                <w:color w:val="000000" w:themeColor="text1"/>
                <w14:textFill>
                  <w14:solidFill>
                    <w14:schemeClr w14:val="tx1"/>
                  </w14:solidFill>
                </w14:textFill>
              </w:rPr>
              <w:t xml:space="preserve">；IV类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；V类 </w:t>
            </w:r>
            <w:r>
              <w:rPr>
                <w:color w:val="000000" w:themeColor="text1"/>
                <w14:textFill>
                  <w14:solidFill>
                    <w14:schemeClr w14:val="tx1"/>
                  </w14:solidFill>
                </w14:textFill>
              </w:rPr>
              <w:sym w:font="Wingdings 2" w:char="00A3"/>
            </w:r>
          </w:p>
          <w:p w14:paraId="7CA0BBB9">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近岸海域：第一类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；第二类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；第三类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；第四类 </w:t>
            </w:r>
            <w:r>
              <w:rPr>
                <w:color w:val="000000" w:themeColor="text1"/>
                <w14:textFill>
                  <w14:solidFill>
                    <w14:schemeClr w14:val="tx1"/>
                  </w14:solidFill>
                </w14:textFill>
              </w:rPr>
              <w:sym w:font="Wingdings 2" w:char="00A3"/>
            </w:r>
          </w:p>
          <w:p w14:paraId="3D4EA078">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规划年评价标准（GB3838-2002 中III类水体）</w:t>
            </w:r>
          </w:p>
        </w:tc>
      </w:tr>
      <w:tr w14:paraId="0DB2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151E53C7">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4780C20C">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评价时期</w:t>
            </w:r>
          </w:p>
        </w:tc>
        <w:tc>
          <w:tcPr>
            <w:tcW w:w="4095" w:type="pct"/>
            <w:gridSpan w:val="7"/>
            <w:tcBorders>
              <w:tl2br w:val="nil"/>
              <w:tr2bl w:val="nil"/>
            </w:tcBorders>
            <w:vAlign w:val="center"/>
          </w:tcPr>
          <w:p w14:paraId="31A12E83">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丰水期</w:t>
            </w:r>
            <w:r>
              <w:rPr>
                <w:color w:val="000000" w:themeColor="text1"/>
                <w:sz w:val="18"/>
                <w:szCs w:val="18"/>
                <w14:textFill>
                  <w14:solidFill>
                    <w14:schemeClr w14:val="tx1"/>
                  </w14:solidFill>
                </w14:textFill>
              </w:rPr>
              <w:t>□</w:t>
            </w:r>
            <w:r>
              <w:rPr>
                <w:color w:val="000000" w:themeColor="text1"/>
                <w14:textFill>
                  <w14:solidFill>
                    <w14:schemeClr w14:val="tx1"/>
                  </w14:solidFill>
                </w14:textFill>
              </w:rPr>
              <w:t>；平水期</w:t>
            </w:r>
            <w:r>
              <w:rPr>
                <w:color w:val="000000" w:themeColor="text1"/>
                <w:sz w:val="18"/>
                <w:szCs w:val="18"/>
                <w14:textFill>
                  <w14:solidFill>
                    <w14:schemeClr w14:val="tx1"/>
                  </w14:solidFill>
                </w14:textFill>
              </w:rPr>
              <w:sym w:font="Wingdings 2" w:char="F052"/>
            </w:r>
            <w:r>
              <w:rPr>
                <w:color w:val="000000" w:themeColor="text1"/>
                <w14:textFill>
                  <w14:solidFill>
                    <w14:schemeClr w14:val="tx1"/>
                  </w14:solidFill>
                </w14:textFill>
              </w:rPr>
              <w:t xml:space="preserve">；枯水期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；冰封期 </w:t>
            </w:r>
            <w:r>
              <w:rPr>
                <w:color w:val="000000" w:themeColor="text1"/>
                <w14:textFill>
                  <w14:solidFill>
                    <w14:schemeClr w14:val="tx1"/>
                  </w14:solidFill>
                </w14:textFill>
              </w:rPr>
              <w:sym w:font="Wingdings 2" w:char="00A3"/>
            </w:r>
          </w:p>
          <w:p w14:paraId="0F821D80">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春季</w:t>
            </w:r>
            <w:r>
              <w:rPr>
                <w:color w:val="000000" w:themeColor="text1"/>
                <w:sz w:val="18"/>
                <w:szCs w:val="18"/>
                <w14:textFill>
                  <w14:solidFill>
                    <w14:schemeClr w14:val="tx1"/>
                  </w14:solidFill>
                </w14:textFill>
              </w:rPr>
              <w:sym w:font="Wingdings 2" w:char="F052"/>
            </w:r>
            <w:r>
              <w:rPr>
                <w:color w:val="000000" w:themeColor="text1"/>
                <w14:textFill>
                  <w14:solidFill>
                    <w14:schemeClr w14:val="tx1"/>
                  </w14:solidFill>
                </w14:textFill>
              </w:rPr>
              <w:t>；夏季</w:t>
            </w:r>
            <w:r>
              <w:rPr>
                <w:color w:val="000000" w:themeColor="text1"/>
                <w:sz w:val="18"/>
                <w:szCs w:val="18"/>
                <w14:textFill>
                  <w14:solidFill>
                    <w14:schemeClr w14:val="tx1"/>
                  </w14:solidFill>
                </w14:textFill>
              </w:rPr>
              <w:t>□</w:t>
            </w:r>
            <w:r>
              <w:rPr>
                <w:color w:val="000000" w:themeColor="text1"/>
                <w14:textFill>
                  <w14:solidFill>
                    <w14:schemeClr w14:val="tx1"/>
                  </w14:solidFill>
                </w14:textFill>
              </w:rPr>
              <w:t xml:space="preserve">；秋季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；冬季 </w:t>
            </w:r>
            <w:r>
              <w:rPr>
                <w:color w:val="000000" w:themeColor="text1"/>
                <w14:textFill>
                  <w14:solidFill>
                    <w14:schemeClr w14:val="tx1"/>
                  </w14:solidFill>
                </w14:textFill>
              </w:rPr>
              <w:sym w:font="Wingdings 2" w:char="00A3"/>
            </w:r>
          </w:p>
        </w:tc>
      </w:tr>
      <w:tr w14:paraId="0A08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13738B54">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52B4CCD0">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评价结论</w:t>
            </w:r>
          </w:p>
        </w:tc>
        <w:tc>
          <w:tcPr>
            <w:tcW w:w="3259" w:type="pct"/>
            <w:gridSpan w:val="6"/>
            <w:tcBorders>
              <w:tl2br w:val="nil"/>
              <w:tr2bl w:val="nil"/>
            </w:tcBorders>
            <w:vAlign w:val="center"/>
          </w:tcPr>
          <w:p w14:paraId="7D222359">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水环境功能区或水功能区、近岸海域环境功能区水质达标情况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：达标</w:t>
            </w:r>
            <w:r>
              <w:rPr>
                <w:rFonts w:hint="eastAsia"/>
                <w:color w:val="000000" w:themeColor="text1"/>
                <w14:textFill>
                  <w14:solidFill>
                    <w14:schemeClr w14:val="tx1"/>
                  </w14:solidFill>
                </w14:textFill>
              </w:rPr>
              <w:t xml:space="preserve">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；不达标 </w:t>
            </w:r>
            <w:r>
              <w:rPr>
                <w:color w:val="000000" w:themeColor="text1"/>
                <w14:textFill>
                  <w14:solidFill>
                    <w14:schemeClr w14:val="tx1"/>
                  </w14:solidFill>
                </w14:textFill>
              </w:rPr>
              <w:sym w:font="Wingdings 2" w:char="00A3"/>
            </w:r>
          </w:p>
          <w:p w14:paraId="21B2FABB">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水环境控制单元或断面水质达标状况</w:t>
            </w:r>
            <w:r>
              <w:rPr>
                <w:color w:val="000000" w:themeColor="text1"/>
                <w:sz w:val="18"/>
                <w:szCs w:val="18"/>
                <w14:textFill>
                  <w14:solidFill>
                    <w14:schemeClr w14:val="tx1"/>
                  </w14:solidFill>
                </w14:textFill>
              </w:rPr>
              <w:sym w:font="Wingdings 2" w:char="F052"/>
            </w:r>
            <w:r>
              <w:rPr>
                <w:color w:val="000000" w:themeColor="text1"/>
                <w14:textFill>
                  <w14:solidFill>
                    <w14:schemeClr w14:val="tx1"/>
                  </w14:solidFill>
                </w14:textFill>
              </w:rPr>
              <w:t>：达标</w:t>
            </w:r>
            <w:r>
              <w:rPr>
                <w:color w:val="000000" w:themeColor="text1"/>
                <w:sz w:val="18"/>
                <w:szCs w:val="18"/>
                <w14:textFill>
                  <w14:solidFill>
                    <w14:schemeClr w14:val="tx1"/>
                  </w14:solidFill>
                </w14:textFill>
              </w:rPr>
              <w:sym w:font="Wingdings 2" w:char="F052"/>
            </w:r>
            <w:r>
              <w:rPr>
                <w:color w:val="000000" w:themeColor="text1"/>
                <w14:textFill>
                  <w14:solidFill>
                    <w14:schemeClr w14:val="tx1"/>
                  </w14:solidFill>
                </w14:textFill>
              </w:rPr>
              <w:t xml:space="preserve">；不达标 </w:t>
            </w:r>
            <w:r>
              <w:rPr>
                <w:color w:val="000000" w:themeColor="text1"/>
                <w14:textFill>
                  <w14:solidFill>
                    <w14:schemeClr w14:val="tx1"/>
                  </w14:solidFill>
                </w14:textFill>
              </w:rPr>
              <w:sym w:font="Wingdings 2" w:char="00A3"/>
            </w:r>
          </w:p>
          <w:p w14:paraId="6A4992E6">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水环境保护目标质量状况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：达标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；不达标 </w:t>
            </w:r>
            <w:r>
              <w:rPr>
                <w:color w:val="000000" w:themeColor="text1"/>
                <w14:textFill>
                  <w14:solidFill>
                    <w14:schemeClr w14:val="tx1"/>
                  </w14:solidFill>
                </w14:textFill>
              </w:rPr>
              <w:sym w:font="Wingdings 2" w:char="00A3"/>
            </w:r>
          </w:p>
          <w:p w14:paraId="23957FE3">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对照断面、控制断面等代表性断面的水质状况</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：达标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；不达标 </w:t>
            </w:r>
            <w:r>
              <w:rPr>
                <w:color w:val="000000" w:themeColor="text1"/>
                <w14:textFill>
                  <w14:solidFill>
                    <w14:schemeClr w14:val="tx1"/>
                  </w14:solidFill>
                </w14:textFill>
              </w:rPr>
              <w:sym w:font="Wingdings 2" w:char="00A3"/>
            </w:r>
          </w:p>
          <w:p w14:paraId="3957E462">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底泥污染评价 </w:t>
            </w:r>
            <w:r>
              <w:rPr>
                <w:color w:val="000000" w:themeColor="text1"/>
                <w14:textFill>
                  <w14:solidFill>
                    <w14:schemeClr w14:val="tx1"/>
                  </w14:solidFill>
                </w14:textFill>
              </w:rPr>
              <w:sym w:font="Wingdings 2" w:char="00A3"/>
            </w:r>
          </w:p>
          <w:p w14:paraId="7BE150ED">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水资源与开发利用程度及其水文情势评价</w:t>
            </w:r>
            <w:r>
              <w:rPr>
                <w:color w:val="000000" w:themeColor="text1"/>
                <w14:textFill>
                  <w14:solidFill>
                    <w14:schemeClr w14:val="tx1"/>
                  </w14:solidFill>
                </w14:textFill>
              </w:rPr>
              <w:sym w:font="Wingdings 2" w:char="00A3"/>
            </w:r>
          </w:p>
          <w:p w14:paraId="0DEA7F53">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水环境质量回顾评价</w:t>
            </w:r>
            <w:r>
              <w:rPr>
                <w:color w:val="000000" w:themeColor="text1"/>
                <w14:textFill>
                  <w14:solidFill>
                    <w14:schemeClr w14:val="tx1"/>
                  </w14:solidFill>
                </w14:textFill>
              </w:rPr>
              <w:sym w:font="Wingdings 2" w:char="00A3"/>
            </w:r>
          </w:p>
          <w:p w14:paraId="782343ED">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流域（区域）水资源（包括水能资源）与开发利用总体状况、生态流量管理要求与现状满足程度、建设项目占用水域空间的水流状况与河湖演变状况</w:t>
            </w:r>
            <w:r>
              <w:rPr>
                <w:color w:val="000000" w:themeColor="text1"/>
                <w14:textFill>
                  <w14:solidFill>
                    <w14:schemeClr w14:val="tx1"/>
                  </w14:solidFill>
                </w14:textFill>
              </w:rPr>
              <w:sym w:font="Wingdings 2" w:char="00A3"/>
            </w:r>
          </w:p>
        </w:tc>
        <w:tc>
          <w:tcPr>
            <w:tcW w:w="836" w:type="pct"/>
            <w:tcBorders>
              <w:tl2br w:val="nil"/>
              <w:tr2bl w:val="nil"/>
            </w:tcBorders>
            <w:vAlign w:val="center"/>
          </w:tcPr>
          <w:p w14:paraId="7BF1E4D0">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达标区</w:t>
            </w:r>
            <w:r>
              <w:rPr>
                <w:color w:val="000000" w:themeColor="text1"/>
                <w:sz w:val="18"/>
                <w:szCs w:val="18"/>
                <w14:textFill>
                  <w14:solidFill>
                    <w14:schemeClr w14:val="tx1"/>
                  </w14:solidFill>
                </w14:textFill>
              </w:rPr>
              <w:sym w:font="Wingdings 2" w:char="F052"/>
            </w:r>
          </w:p>
          <w:p w14:paraId="09E3FA60">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 xml:space="preserve">不达标区 </w:t>
            </w:r>
            <w:r>
              <w:rPr>
                <w:color w:val="000000" w:themeColor="text1"/>
                <w14:textFill>
                  <w14:solidFill>
                    <w14:schemeClr w14:val="tx1"/>
                  </w14:solidFill>
                </w14:textFill>
              </w:rPr>
              <w:sym w:font="Wingdings 2" w:char="00A3"/>
            </w:r>
          </w:p>
        </w:tc>
      </w:tr>
      <w:tr w14:paraId="3A59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restart"/>
            <w:tcBorders>
              <w:tl2br w:val="nil"/>
              <w:tr2bl w:val="nil"/>
            </w:tcBorders>
            <w:vAlign w:val="center"/>
          </w:tcPr>
          <w:p w14:paraId="111D2983">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影响预测</w:t>
            </w:r>
          </w:p>
        </w:tc>
        <w:tc>
          <w:tcPr>
            <w:tcW w:w="648" w:type="pct"/>
            <w:tcBorders>
              <w:tl2br w:val="nil"/>
              <w:tr2bl w:val="nil"/>
            </w:tcBorders>
            <w:vAlign w:val="center"/>
          </w:tcPr>
          <w:p w14:paraId="26CE35B9">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预测范围</w:t>
            </w:r>
          </w:p>
        </w:tc>
        <w:tc>
          <w:tcPr>
            <w:tcW w:w="4095" w:type="pct"/>
            <w:gridSpan w:val="7"/>
            <w:tcBorders>
              <w:tl2br w:val="nil"/>
              <w:tr2bl w:val="nil"/>
            </w:tcBorders>
            <w:vAlign w:val="center"/>
          </w:tcPr>
          <w:p w14:paraId="4FEFB759">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河流：长度（</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）km；湖库、河口及近岸海域：面积（</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）km</w:t>
            </w:r>
            <w:r>
              <w:rPr>
                <w:color w:val="000000" w:themeColor="text1"/>
                <w:vertAlign w:val="superscript"/>
                <w14:textFill>
                  <w14:solidFill>
                    <w14:schemeClr w14:val="tx1"/>
                  </w14:solidFill>
                </w14:textFill>
              </w:rPr>
              <w:t>2</w:t>
            </w:r>
          </w:p>
        </w:tc>
      </w:tr>
      <w:tr w14:paraId="5945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1E4A7A2D">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2A3DC22D">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预测因子</w:t>
            </w:r>
          </w:p>
        </w:tc>
        <w:tc>
          <w:tcPr>
            <w:tcW w:w="4095" w:type="pct"/>
            <w:gridSpan w:val="7"/>
            <w:tcBorders>
              <w:tl2br w:val="nil"/>
              <w:tr2bl w:val="nil"/>
            </w:tcBorders>
            <w:vAlign w:val="center"/>
          </w:tcPr>
          <w:p w14:paraId="1E4F0A2C">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（无）</w:t>
            </w:r>
          </w:p>
        </w:tc>
      </w:tr>
      <w:tr w14:paraId="28C8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6CB90242">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109890D8">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预测时期</w:t>
            </w:r>
          </w:p>
        </w:tc>
        <w:tc>
          <w:tcPr>
            <w:tcW w:w="4095" w:type="pct"/>
            <w:gridSpan w:val="7"/>
            <w:tcBorders>
              <w:tl2br w:val="nil"/>
              <w:tr2bl w:val="nil"/>
            </w:tcBorders>
            <w:vAlign w:val="center"/>
          </w:tcPr>
          <w:p w14:paraId="47F9737A">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丰水期</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；平水期</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；枯水期</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；冰封期</w:t>
            </w:r>
            <w:r>
              <w:rPr>
                <w:color w:val="000000" w:themeColor="text1"/>
                <w14:textFill>
                  <w14:solidFill>
                    <w14:schemeClr w14:val="tx1"/>
                  </w14:solidFill>
                </w14:textFill>
              </w:rPr>
              <w:sym w:font="Wingdings 2" w:char="00A3"/>
            </w:r>
          </w:p>
          <w:p w14:paraId="47CFF453">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春季</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；夏季</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；秋季</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；冬季</w:t>
            </w:r>
            <w:r>
              <w:rPr>
                <w:color w:val="000000" w:themeColor="text1"/>
                <w14:textFill>
                  <w14:solidFill>
                    <w14:schemeClr w14:val="tx1"/>
                  </w14:solidFill>
                </w14:textFill>
              </w:rPr>
              <w:sym w:font="Wingdings 2" w:char="00A3"/>
            </w:r>
          </w:p>
          <w:p w14:paraId="0FDCE84D">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设计水文条件 </w:t>
            </w:r>
            <w:r>
              <w:rPr>
                <w:color w:val="000000" w:themeColor="text1"/>
                <w14:textFill>
                  <w14:solidFill>
                    <w14:schemeClr w14:val="tx1"/>
                  </w14:solidFill>
                </w14:textFill>
              </w:rPr>
              <w:sym w:font="Wingdings 2" w:char="00A3"/>
            </w:r>
          </w:p>
        </w:tc>
      </w:tr>
      <w:tr w14:paraId="14848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2F9A7F9D">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551E8226">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预测情景</w:t>
            </w:r>
          </w:p>
        </w:tc>
        <w:tc>
          <w:tcPr>
            <w:tcW w:w="4095" w:type="pct"/>
            <w:gridSpan w:val="7"/>
            <w:tcBorders>
              <w:tl2br w:val="nil"/>
              <w:tr2bl w:val="nil"/>
            </w:tcBorders>
            <w:vAlign w:val="center"/>
          </w:tcPr>
          <w:p w14:paraId="0E73DD06">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建设期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；生产运行期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；服务期满后 </w:t>
            </w:r>
            <w:r>
              <w:rPr>
                <w:color w:val="000000" w:themeColor="text1"/>
                <w14:textFill>
                  <w14:solidFill>
                    <w14:schemeClr w14:val="tx1"/>
                  </w14:solidFill>
                </w14:textFill>
              </w:rPr>
              <w:sym w:font="Wingdings 2" w:char="00A3"/>
            </w:r>
          </w:p>
          <w:p w14:paraId="0DF2F444">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正常工况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；非正常工况 </w:t>
            </w:r>
            <w:r>
              <w:rPr>
                <w:color w:val="000000" w:themeColor="text1"/>
                <w14:textFill>
                  <w14:solidFill>
                    <w14:schemeClr w14:val="tx1"/>
                  </w14:solidFill>
                </w14:textFill>
              </w:rPr>
              <w:sym w:font="Wingdings 2" w:char="00A3"/>
            </w:r>
          </w:p>
          <w:p w14:paraId="3C919A50">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污染控制和减缓措施方案 </w:t>
            </w:r>
            <w:r>
              <w:rPr>
                <w:color w:val="000000" w:themeColor="text1"/>
                <w14:textFill>
                  <w14:solidFill>
                    <w14:schemeClr w14:val="tx1"/>
                  </w14:solidFill>
                </w14:textFill>
              </w:rPr>
              <w:sym w:font="Wingdings 2" w:char="00A3"/>
            </w:r>
          </w:p>
          <w:p w14:paraId="38D9BF16">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区（流）域环境指廊改善目标要求情景 </w:t>
            </w:r>
            <w:r>
              <w:rPr>
                <w:color w:val="000000" w:themeColor="text1"/>
                <w14:textFill>
                  <w14:solidFill>
                    <w14:schemeClr w14:val="tx1"/>
                  </w14:solidFill>
                </w14:textFill>
              </w:rPr>
              <w:sym w:font="Wingdings 2" w:char="00A3"/>
            </w:r>
          </w:p>
        </w:tc>
      </w:tr>
      <w:tr w14:paraId="24B8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3B76A592">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51BA958C">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预测方法</w:t>
            </w:r>
          </w:p>
        </w:tc>
        <w:tc>
          <w:tcPr>
            <w:tcW w:w="4095" w:type="pct"/>
            <w:gridSpan w:val="7"/>
            <w:tcBorders>
              <w:tl2br w:val="nil"/>
              <w:tr2bl w:val="nil"/>
            </w:tcBorders>
            <w:vAlign w:val="center"/>
          </w:tcPr>
          <w:p w14:paraId="7E080EF2">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数值解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；解析解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；其他 </w:t>
            </w:r>
            <w:r>
              <w:rPr>
                <w:color w:val="000000" w:themeColor="text1"/>
                <w14:textFill>
                  <w14:solidFill>
                    <w14:schemeClr w14:val="tx1"/>
                  </w14:solidFill>
                </w14:textFill>
              </w:rPr>
              <w:sym w:font="Wingdings 2" w:char="00A3"/>
            </w:r>
          </w:p>
          <w:p w14:paraId="16325A1F">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导则推荐模式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；其他 </w:t>
            </w:r>
            <w:r>
              <w:rPr>
                <w:color w:val="000000" w:themeColor="text1"/>
                <w14:textFill>
                  <w14:solidFill>
                    <w14:schemeClr w14:val="tx1"/>
                  </w14:solidFill>
                </w14:textFill>
              </w:rPr>
              <w:sym w:font="Wingdings 2" w:char="00A3"/>
            </w:r>
          </w:p>
        </w:tc>
      </w:tr>
      <w:tr w14:paraId="492C4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restart"/>
            <w:tcBorders>
              <w:tl2br w:val="nil"/>
              <w:tr2bl w:val="nil"/>
            </w:tcBorders>
            <w:vAlign w:val="center"/>
          </w:tcPr>
          <w:p w14:paraId="424A544D">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影响评价</w:t>
            </w:r>
          </w:p>
        </w:tc>
        <w:tc>
          <w:tcPr>
            <w:tcW w:w="648" w:type="pct"/>
            <w:tcBorders>
              <w:tl2br w:val="nil"/>
              <w:tr2bl w:val="nil"/>
            </w:tcBorders>
            <w:vAlign w:val="center"/>
          </w:tcPr>
          <w:p w14:paraId="3890D814">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水污染控制和水环境影响减缓措施有效性评价</w:t>
            </w:r>
          </w:p>
        </w:tc>
        <w:tc>
          <w:tcPr>
            <w:tcW w:w="4095" w:type="pct"/>
            <w:gridSpan w:val="7"/>
            <w:tcBorders>
              <w:tl2br w:val="nil"/>
              <w:tr2bl w:val="nil"/>
            </w:tcBorders>
            <w:vAlign w:val="center"/>
          </w:tcPr>
          <w:p w14:paraId="27BE4365">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区（流）域水环境质量改善目标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；替代削减源 </w:t>
            </w:r>
            <w:r>
              <w:rPr>
                <w:color w:val="000000" w:themeColor="text1"/>
                <w14:textFill>
                  <w14:solidFill>
                    <w14:schemeClr w14:val="tx1"/>
                  </w14:solidFill>
                </w14:textFill>
              </w:rPr>
              <w:sym w:font="Wingdings 2" w:char="00A3"/>
            </w:r>
          </w:p>
        </w:tc>
      </w:tr>
      <w:tr w14:paraId="612B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41F27815">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0DF59406">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水环境影响评价</w:t>
            </w:r>
          </w:p>
        </w:tc>
        <w:tc>
          <w:tcPr>
            <w:tcW w:w="4095" w:type="pct"/>
            <w:gridSpan w:val="7"/>
            <w:tcBorders>
              <w:tl2br w:val="nil"/>
              <w:tr2bl w:val="nil"/>
            </w:tcBorders>
            <w:vAlign w:val="center"/>
          </w:tcPr>
          <w:p w14:paraId="213C6E37">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排放口混合区外满足水环境管理要求 </w:t>
            </w:r>
            <w:r>
              <w:rPr>
                <w:color w:val="000000" w:themeColor="text1"/>
                <w14:textFill>
                  <w14:solidFill>
                    <w14:schemeClr w14:val="tx1"/>
                  </w14:solidFill>
                </w14:textFill>
              </w:rPr>
              <w:sym w:font="Wingdings 2" w:char="00A3"/>
            </w:r>
          </w:p>
          <w:p w14:paraId="265D0B20">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水环境功能区或水功能区、近岸海域环境功能区水质达标 </w:t>
            </w:r>
            <w:r>
              <w:rPr>
                <w:color w:val="000000" w:themeColor="text1"/>
                <w14:textFill>
                  <w14:solidFill>
                    <w14:schemeClr w14:val="tx1"/>
                  </w14:solidFill>
                </w14:textFill>
              </w:rPr>
              <w:sym w:font="Wingdings 2" w:char="00A3"/>
            </w:r>
          </w:p>
          <w:p w14:paraId="5A80879E">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满足水环境保护目标水域水环境质量要求 </w:t>
            </w:r>
            <w:r>
              <w:rPr>
                <w:color w:val="000000" w:themeColor="text1"/>
                <w14:textFill>
                  <w14:solidFill>
                    <w14:schemeClr w14:val="tx1"/>
                  </w14:solidFill>
                </w14:textFill>
              </w:rPr>
              <w:sym w:font="Wingdings 2" w:char="00A3"/>
            </w:r>
          </w:p>
          <w:p w14:paraId="0FDF8CB2">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水环境控制单元或断面水质达标</w:t>
            </w:r>
            <w:r>
              <w:rPr>
                <w:color w:val="000000" w:themeColor="text1"/>
                <w:sz w:val="18"/>
                <w:szCs w:val="18"/>
                <w14:textFill>
                  <w14:solidFill>
                    <w14:schemeClr w14:val="tx1"/>
                  </w14:solidFill>
                </w14:textFill>
              </w:rPr>
              <w:sym w:font="Wingdings 2" w:char="F052"/>
            </w:r>
          </w:p>
          <w:p w14:paraId="0E254968">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满足重点水污染物排放总量控制指标要求，重点行业建设项目，主要污染物排放满足等量或减量替代要求 </w:t>
            </w:r>
            <w:r>
              <w:rPr>
                <w:color w:val="000000" w:themeColor="text1"/>
                <w:szCs w:val="21"/>
                <w14:textFill>
                  <w14:solidFill>
                    <w14:schemeClr w14:val="tx1"/>
                  </w14:solidFill>
                </w14:textFill>
              </w:rPr>
              <w:sym w:font="Wingdings 2" w:char="F0A3"/>
            </w:r>
          </w:p>
          <w:p w14:paraId="477DCBDC">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满足区（流）域水环境质量改善目标要求 </w:t>
            </w:r>
            <w:r>
              <w:rPr>
                <w:color w:val="000000" w:themeColor="text1"/>
                <w14:textFill>
                  <w14:solidFill>
                    <w14:schemeClr w14:val="tx1"/>
                  </w14:solidFill>
                </w14:textFill>
              </w:rPr>
              <w:sym w:font="Wingdings 2" w:char="00A3"/>
            </w:r>
          </w:p>
          <w:p w14:paraId="40028FCA">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水文要素影响型建设项目同时应包括水文情势变化评价、主要水文特征值影响评价、生态流量符合性评价 </w:t>
            </w:r>
            <w:r>
              <w:rPr>
                <w:color w:val="000000" w:themeColor="text1"/>
                <w14:textFill>
                  <w14:solidFill>
                    <w14:schemeClr w14:val="tx1"/>
                  </w14:solidFill>
                </w14:textFill>
              </w:rPr>
              <w:sym w:font="Wingdings 2" w:char="00A3"/>
            </w:r>
          </w:p>
          <w:p w14:paraId="3D52FC32">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 xml:space="preserve">对于新设或调整入河（湖库、近岸海域）排放口的建设项目，应包括排放口设置的环境合理性评价 </w:t>
            </w:r>
            <w:r>
              <w:rPr>
                <w:color w:val="000000" w:themeColor="text1"/>
                <w14:textFill>
                  <w14:solidFill>
                    <w14:schemeClr w14:val="tx1"/>
                  </w14:solidFill>
                </w14:textFill>
              </w:rPr>
              <w:sym w:font="Wingdings 2" w:char="00A3"/>
            </w:r>
          </w:p>
          <w:p w14:paraId="33A1CC67">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满足生态保护红线、水环境质量底线、资源利用上线和环境准入清单管理要求</w:t>
            </w:r>
            <w:r>
              <w:rPr>
                <w:color w:val="000000" w:themeColor="text1"/>
                <w14:textFill>
                  <w14:solidFill>
                    <w14:schemeClr w14:val="tx1"/>
                  </w14:solidFill>
                </w14:textFill>
              </w:rPr>
              <w:sym w:font="Wingdings 2" w:char="00A3"/>
            </w:r>
          </w:p>
        </w:tc>
      </w:tr>
      <w:tr w14:paraId="58CA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56600319">
            <w:pPr>
              <w:spacing w:line="280" w:lineRule="exact"/>
              <w:jc w:val="center"/>
              <w:rPr>
                <w:color w:val="000000" w:themeColor="text1"/>
                <w14:textFill>
                  <w14:solidFill>
                    <w14:schemeClr w14:val="tx1"/>
                  </w14:solidFill>
                </w14:textFill>
              </w:rPr>
            </w:pPr>
          </w:p>
        </w:tc>
        <w:tc>
          <w:tcPr>
            <w:tcW w:w="648" w:type="pct"/>
            <w:vMerge w:val="restart"/>
            <w:tcBorders>
              <w:tl2br w:val="nil"/>
              <w:tr2bl w:val="nil"/>
            </w:tcBorders>
            <w:vAlign w:val="center"/>
          </w:tcPr>
          <w:p w14:paraId="3C63C7C0">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污染源排放量核算</w:t>
            </w:r>
          </w:p>
        </w:tc>
        <w:tc>
          <w:tcPr>
            <w:tcW w:w="1058" w:type="pct"/>
            <w:gridSpan w:val="2"/>
            <w:tcBorders>
              <w:tl2br w:val="nil"/>
              <w:tr2bl w:val="nil"/>
            </w:tcBorders>
            <w:vAlign w:val="center"/>
          </w:tcPr>
          <w:p w14:paraId="5AF2D947">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污染物名称</w:t>
            </w:r>
          </w:p>
        </w:tc>
        <w:tc>
          <w:tcPr>
            <w:tcW w:w="2202" w:type="pct"/>
            <w:gridSpan w:val="4"/>
            <w:tcBorders>
              <w:tl2br w:val="nil"/>
              <w:tr2bl w:val="nil"/>
            </w:tcBorders>
            <w:vAlign w:val="center"/>
          </w:tcPr>
          <w:p w14:paraId="31867267">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排放量/（t/a）</w:t>
            </w:r>
          </w:p>
        </w:tc>
        <w:tc>
          <w:tcPr>
            <w:tcW w:w="836" w:type="pct"/>
            <w:tcBorders>
              <w:tl2br w:val="nil"/>
              <w:tr2bl w:val="nil"/>
            </w:tcBorders>
            <w:vAlign w:val="center"/>
          </w:tcPr>
          <w:p w14:paraId="0DDFABB1">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排放浓度/（mg/L）</w:t>
            </w:r>
          </w:p>
        </w:tc>
      </w:tr>
      <w:tr w14:paraId="1B6C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68463EBC">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69E1A768">
            <w:pPr>
              <w:spacing w:line="280" w:lineRule="exact"/>
              <w:jc w:val="center"/>
              <w:rPr>
                <w:color w:val="000000" w:themeColor="text1"/>
                <w14:textFill>
                  <w14:solidFill>
                    <w14:schemeClr w14:val="tx1"/>
                  </w14:solidFill>
                </w14:textFill>
              </w:rPr>
            </w:pPr>
          </w:p>
        </w:tc>
        <w:tc>
          <w:tcPr>
            <w:tcW w:w="1058" w:type="pct"/>
            <w:gridSpan w:val="2"/>
            <w:tcBorders>
              <w:tl2br w:val="nil"/>
              <w:tr2bl w:val="nil"/>
            </w:tcBorders>
            <w:vAlign w:val="center"/>
          </w:tcPr>
          <w:p w14:paraId="10E03D51">
            <w:pPr>
              <w:spacing w:line="28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COD</w:t>
            </w:r>
          </w:p>
        </w:tc>
        <w:tc>
          <w:tcPr>
            <w:tcW w:w="2202" w:type="pct"/>
            <w:gridSpan w:val="4"/>
            <w:tcBorders>
              <w:tl2br w:val="nil"/>
              <w:tr2bl w:val="nil"/>
            </w:tcBorders>
          </w:tcPr>
          <w:p w14:paraId="059CFB8F">
            <w:pPr>
              <w:spacing w:line="28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836" w:type="pct"/>
            <w:tcBorders>
              <w:tl2br w:val="nil"/>
              <w:tr2bl w:val="nil"/>
            </w:tcBorders>
          </w:tcPr>
          <w:p w14:paraId="726B5A17">
            <w:pPr>
              <w:spacing w:line="28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2286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4BC37703">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24B9999D">
            <w:pPr>
              <w:spacing w:line="280" w:lineRule="exact"/>
              <w:jc w:val="center"/>
              <w:rPr>
                <w:color w:val="000000" w:themeColor="text1"/>
                <w14:textFill>
                  <w14:solidFill>
                    <w14:schemeClr w14:val="tx1"/>
                  </w14:solidFill>
                </w14:textFill>
              </w:rPr>
            </w:pPr>
          </w:p>
        </w:tc>
        <w:tc>
          <w:tcPr>
            <w:tcW w:w="1058" w:type="pct"/>
            <w:gridSpan w:val="2"/>
            <w:tcBorders>
              <w:tl2br w:val="nil"/>
              <w:tr2bl w:val="nil"/>
            </w:tcBorders>
            <w:vAlign w:val="center"/>
          </w:tcPr>
          <w:p w14:paraId="7F46E89C">
            <w:pPr>
              <w:spacing w:line="28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氨氮</w:t>
            </w:r>
          </w:p>
        </w:tc>
        <w:tc>
          <w:tcPr>
            <w:tcW w:w="2202" w:type="pct"/>
            <w:gridSpan w:val="4"/>
            <w:tcBorders>
              <w:tl2br w:val="nil"/>
              <w:tr2bl w:val="nil"/>
            </w:tcBorders>
          </w:tcPr>
          <w:p w14:paraId="5E569AF0">
            <w:pPr>
              <w:spacing w:line="28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836" w:type="pct"/>
            <w:tcBorders>
              <w:tl2br w:val="nil"/>
              <w:tr2bl w:val="nil"/>
            </w:tcBorders>
          </w:tcPr>
          <w:p w14:paraId="3B82C32D">
            <w:pPr>
              <w:spacing w:line="280" w:lineRule="exact"/>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5E08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1B41AC27">
            <w:pPr>
              <w:spacing w:line="280" w:lineRule="exact"/>
              <w:jc w:val="center"/>
              <w:rPr>
                <w:color w:val="000000" w:themeColor="text1"/>
                <w14:textFill>
                  <w14:solidFill>
                    <w14:schemeClr w14:val="tx1"/>
                  </w14:solidFill>
                </w14:textFill>
              </w:rPr>
            </w:pPr>
          </w:p>
        </w:tc>
        <w:tc>
          <w:tcPr>
            <w:tcW w:w="648" w:type="pct"/>
            <w:vMerge w:val="restart"/>
            <w:tcBorders>
              <w:tl2br w:val="nil"/>
              <w:tr2bl w:val="nil"/>
            </w:tcBorders>
            <w:vAlign w:val="center"/>
          </w:tcPr>
          <w:p w14:paraId="41762325">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替代源排放情况</w:t>
            </w:r>
          </w:p>
        </w:tc>
        <w:tc>
          <w:tcPr>
            <w:tcW w:w="882" w:type="pct"/>
            <w:tcBorders>
              <w:tl2br w:val="nil"/>
              <w:tr2bl w:val="nil"/>
            </w:tcBorders>
            <w:vAlign w:val="center"/>
          </w:tcPr>
          <w:p w14:paraId="6C2F0726">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污染源名称</w:t>
            </w:r>
          </w:p>
        </w:tc>
        <w:tc>
          <w:tcPr>
            <w:tcW w:w="637" w:type="pct"/>
            <w:gridSpan w:val="2"/>
            <w:tcBorders>
              <w:tl2br w:val="nil"/>
              <w:tr2bl w:val="nil"/>
            </w:tcBorders>
            <w:vAlign w:val="center"/>
          </w:tcPr>
          <w:p w14:paraId="63322C4C">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排污许可证编号</w:t>
            </w:r>
          </w:p>
        </w:tc>
        <w:tc>
          <w:tcPr>
            <w:tcW w:w="714" w:type="pct"/>
            <w:gridSpan w:val="2"/>
            <w:tcBorders>
              <w:tl2br w:val="nil"/>
              <w:tr2bl w:val="nil"/>
            </w:tcBorders>
            <w:vAlign w:val="center"/>
          </w:tcPr>
          <w:p w14:paraId="16DA443E">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污染物名称</w:t>
            </w:r>
          </w:p>
        </w:tc>
        <w:tc>
          <w:tcPr>
            <w:tcW w:w="1027" w:type="pct"/>
            <w:tcBorders>
              <w:tl2br w:val="nil"/>
              <w:tr2bl w:val="nil"/>
            </w:tcBorders>
            <w:vAlign w:val="center"/>
          </w:tcPr>
          <w:p w14:paraId="4E78AFD3">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排放量/（t/a）</w:t>
            </w:r>
          </w:p>
        </w:tc>
        <w:tc>
          <w:tcPr>
            <w:tcW w:w="836" w:type="pct"/>
            <w:tcBorders>
              <w:tl2br w:val="nil"/>
              <w:tr2bl w:val="nil"/>
            </w:tcBorders>
            <w:vAlign w:val="center"/>
          </w:tcPr>
          <w:p w14:paraId="06FE1F6D">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排放浓度/（mg/L）</w:t>
            </w:r>
          </w:p>
        </w:tc>
      </w:tr>
      <w:tr w14:paraId="61F4C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7FF39FB7">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40433AFF">
            <w:pPr>
              <w:spacing w:line="280" w:lineRule="exact"/>
              <w:jc w:val="center"/>
              <w:rPr>
                <w:color w:val="000000" w:themeColor="text1"/>
                <w14:textFill>
                  <w14:solidFill>
                    <w14:schemeClr w14:val="tx1"/>
                  </w14:solidFill>
                </w14:textFill>
              </w:rPr>
            </w:pPr>
          </w:p>
        </w:tc>
        <w:tc>
          <w:tcPr>
            <w:tcW w:w="882" w:type="pct"/>
            <w:tcBorders>
              <w:tl2br w:val="nil"/>
              <w:tr2bl w:val="nil"/>
            </w:tcBorders>
            <w:vAlign w:val="center"/>
          </w:tcPr>
          <w:p w14:paraId="6E3B2ADD">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tc>
        <w:tc>
          <w:tcPr>
            <w:tcW w:w="637" w:type="pct"/>
            <w:gridSpan w:val="2"/>
            <w:tcBorders>
              <w:tl2br w:val="nil"/>
              <w:tr2bl w:val="nil"/>
            </w:tcBorders>
            <w:vAlign w:val="center"/>
          </w:tcPr>
          <w:p w14:paraId="6EE86581">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tc>
        <w:tc>
          <w:tcPr>
            <w:tcW w:w="714" w:type="pct"/>
            <w:gridSpan w:val="2"/>
            <w:tcBorders>
              <w:tl2br w:val="nil"/>
              <w:tr2bl w:val="nil"/>
            </w:tcBorders>
            <w:vAlign w:val="center"/>
          </w:tcPr>
          <w:p w14:paraId="648B0491">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tc>
        <w:tc>
          <w:tcPr>
            <w:tcW w:w="1027" w:type="pct"/>
            <w:tcBorders>
              <w:tl2br w:val="nil"/>
              <w:tr2bl w:val="nil"/>
            </w:tcBorders>
            <w:vAlign w:val="center"/>
          </w:tcPr>
          <w:p w14:paraId="443B0E82">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w:t>
            </w:r>
          </w:p>
        </w:tc>
        <w:tc>
          <w:tcPr>
            <w:tcW w:w="836" w:type="pct"/>
            <w:tcBorders>
              <w:tl2br w:val="nil"/>
              <w:tr2bl w:val="nil"/>
            </w:tcBorders>
            <w:vAlign w:val="center"/>
          </w:tcPr>
          <w:p w14:paraId="28A87748">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xml:space="preserve"> ）</w:t>
            </w:r>
          </w:p>
        </w:tc>
      </w:tr>
      <w:tr w14:paraId="054E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06A09667">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59B6ABFB">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生态流量确定</w:t>
            </w:r>
          </w:p>
        </w:tc>
        <w:tc>
          <w:tcPr>
            <w:tcW w:w="4095" w:type="pct"/>
            <w:gridSpan w:val="7"/>
            <w:tcBorders>
              <w:tl2br w:val="nil"/>
              <w:tr2bl w:val="nil"/>
            </w:tcBorders>
            <w:vAlign w:val="center"/>
          </w:tcPr>
          <w:p w14:paraId="4FF0AFB9">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生态流量：一般水期（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/s；鱼类繁殖期（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 xml:space="preserve">/s；其他（ </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/s</w:t>
            </w:r>
          </w:p>
          <w:p w14:paraId="5F92297E">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生态水位：一般水期（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）m；鱼类繁殖期（</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）m；其他（</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）m</w:t>
            </w:r>
          </w:p>
        </w:tc>
      </w:tr>
      <w:tr w14:paraId="16220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restart"/>
            <w:tcBorders>
              <w:tl2br w:val="nil"/>
              <w:tr2bl w:val="nil"/>
            </w:tcBorders>
            <w:vAlign w:val="center"/>
          </w:tcPr>
          <w:p w14:paraId="35464F44">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防治措施</w:t>
            </w:r>
          </w:p>
        </w:tc>
        <w:tc>
          <w:tcPr>
            <w:tcW w:w="648" w:type="pct"/>
            <w:tcBorders>
              <w:tl2br w:val="nil"/>
              <w:tr2bl w:val="nil"/>
            </w:tcBorders>
            <w:vAlign w:val="center"/>
          </w:tcPr>
          <w:p w14:paraId="655BC329">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环保措施</w:t>
            </w:r>
          </w:p>
        </w:tc>
        <w:tc>
          <w:tcPr>
            <w:tcW w:w="4095" w:type="pct"/>
            <w:gridSpan w:val="7"/>
            <w:tcBorders>
              <w:tl2br w:val="nil"/>
              <w:tr2bl w:val="nil"/>
            </w:tcBorders>
            <w:vAlign w:val="center"/>
          </w:tcPr>
          <w:p w14:paraId="0C5AE579">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污水处理措施</w:t>
            </w:r>
            <w:r>
              <w:rPr>
                <w:color w:val="000000" w:themeColor="text1"/>
                <w:sz w:val="18"/>
                <w:szCs w:val="18"/>
                <w14:textFill>
                  <w14:solidFill>
                    <w14:schemeClr w14:val="tx1"/>
                  </w14:solidFill>
                </w14:textFill>
              </w:rPr>
              <w:sym w:font="Wingdings 2" w:char="F052"/>
            </w:r>
            <w:r>
              <w:rPr>
                <w:color w:val="000000" w:themeColor="text1"/>
                <w14:textFill>
                  <w14:solidFill>
                    <w14:schemeClr w14:val="tx1"/>
                  </w14:solidFill>
                </w14:textFill>
              </w:rPr>
              <w:t xml:space="preserve">；水文减缓措施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；生态流量保障措施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；区域削减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；依托其他工程措施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；其他 </w:t>
            </w:r>
            <w:r>
              <w:rPr>
                <w:color w:val="000000" w:themeColor="text1"/>
                <w14:textFill>
                  <w14:solidFill>
                    <w14:schemeClr w14:val="tx1"/>
                  </w14:solidFill>
                </w14:textFill>
              </w:rPr>
              <w:sym w:font="Wingdings 2" w:char="00A3"/>
            </w:r>
          </w:p>
        </w:tc>
      </w:tr>
      <w:tr w14:paraId="7234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31F90686">
            <w:pPr>
              <w:spacing w:line="280" w:lineRule="exact"/>
              <w:jc w:val="center"/>
              <w:rPr>
                <w:color w:val="000000" w:themeColor="text1"/>
                <w14:textFill>
                  <w14:solidFill>
                    <w14:schemeClr w14:val="tx1"/>
                  </w14:solidFill>
                </w14:textFill>
              </w:rPr>
            </w:pPr>
          </w:p>
        </w:tc>
        <w:tc>
          <w:tcPr>
            <w:tcW w:w="648" w:type="pct"/>
            <w:vMerge w:val="restart"/>
            <w:tcBorders>
              <w:tl2br w:val="nil"/>
              <w:tr2bl w:val="nil"/>
            </w:tcBorders>
            <w:vAlign w:val="center"/>
          </w:tcPr>
          <w:p w14:paraId="397C12DB">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监测计划</w:t>
            </w:r>
          </w:p>
        </w:tc>
        <w:tc>
          <w:tcPr>
            <w:tcW w:w="1058" w:type="pct"/>
            <w:gridSpan w:val="2"/>
            <w:tcBorders>
              <w:tl2br w:val="nil"/>
              <w:tr2bl w:val="nil"/>
            </w:tcBorders>
            <w:vAlign w:val="center"/>
          </w:tcPr>
          <w:p w14:paraId="67EC1CAB">
            <w:pPr>
              <w:spacing w:line="280" w:lineRule="exact"/>
              <w:jc w:val="center"/>
              <w:rPr>
                <w:color w:val="000000" w:themeColor="text1"/>
                <w14:textFill>
                  <w14:solidFill>
                    <w14:schemeClr w14:val="tx1"/>
                  </w14:solidFill>
                </w14:textFill>
              </w:rPr>
            </w:pPr>
          </w:p>
        </w:tc>
        <w:tc>
          <w:tcPr>
            <w:tcW w:w="2202" w:type="pct"/>
            <w:gridSpan w:val="4"/>
            <w:tcBorders>
              <w:tl2br w:val="nil"/>
              <w:tr2bl w:val="nil"/>
            </w:tcBorders>
            <w:vAlign w:val="center"/>
          </w:tcPr>
          <w:p w14:paraId="6814C667">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环境质量</w:t>
            </w:r>
          </w:p>
        </w:tc>
        <w:tc>
          <w:tcPr>
            <w:tcW w:w="836" w:type="pct"/>
            <w:tcBorders>
              <w:tl2br w:val="nil"/>
              <w:tr2bl w:val="nil"/>
            </w:tcBorders>
            <w:vAlign w:val="center"/>
          </w:tcPr>
          <w:p w14:paraId="000C480C">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污染源</w:t>
            </w:r>
          </w:p>
        </w:tc>
      </w:tr>
      <w:tr w14:paraId="3DAF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66125134">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67C21B05">
            <w:pPr>
              <w:spacing w:line="280" w:lineRule="exact"/>
              <w:jc w:val="center"/>
              <w:rPr>
                <w:color w:val="000000" w:themeColor="text1"/>
                <w14:textFill>
                  <w14:solidFill>
                    <w14:schemeClr w14:val="tx1"/>
                  </w14:solidFill>
                </w14:textFill>
              </w:rPr>
            </w:pPr>
          </w:p>
        </w:tc>
        <w:tc>
          <w:tcPr>
            <w:tcW w:w="1058" w:type="pct"/>
            <w:gridSpan w:val="2"/>
            <w:tcBorders>
              <w:tl2br w:val="nil"/>
              <w:tr2bl w:val="nil"/>
            </w:tcBorders>
            <w:vAlign w:val="center"/>
          </w:tcPr>
          <w:p w14:paraId="1C937492">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监测方式</w:t>
            </w:r>
          </w:p>
        </w:tc>
        <w:tc>
          <w:tcPr>
            <w:tcW w:w="2202" w:type="pct"/>
            <w:gridSpan w:val="4"/>
            <w:tcBorders>
              <w:tl2br w:val="nil"/>
              <w:tr2bl w:val="nil"/>
            </w:tcBorders>
            <w:vAlign w:val="center"/>
          </w:tcPr>
          <w:p w14:paraId="5FEBD223">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 xml:space="preserve">手动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；自动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；无监测</w:t>
            </w:r>
            <w:r>
              <w:rPr>
                <w:color w:val="000000" w:themeColor="text1"/>
                <w:sz w:val="18"/>
                <w:szCs w:val="18"/>
                <w14:textFill>
                  <w14:solidFill>
                    <w14:schemeClr w14:val="tx1"/>
                  </w14:solidFill>
                </w14:textFill>
              </w:rPr>
              <w:sym w:font="Wingdings 2" w:char="F052"/>
            </w:r>
          </w:p>
        </w:tc>
        <w:tc>
          <w:tcPr>
            <w:tcW w:w="836" w:type="pct"/>
            <w:tcBorders>
              <w:tl2br w:val="nil"/>
              <w:tr2bl w:val="nil"/>
            </w:tcBorders>
            <w:vAlign w:val="center"/>
          </w:tcPr>
          <w:p w14:paraId="74E98565">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 xml:space="preserve">手动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 xml:space="preserve">；自动 </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；无监测</w:t>
            </w:r>
            <w:r>
              <w:rPr>
                <w:color w:val="000000" w:themeColor="text1"/>
                <w:sz w:val="18"/>
                <w:szCs w:val="18"/>
                <w14:textFill>
                  <w14:solidFill>
                    <w14:schemeClr w14:val="tx1"/>
                  </w14:solidFill>
                </w14:textFill>
              </w:rPr>
              <w:sym w:font="Wingdings 2" w:char="F052"/>
            </w:r>
          </w:p>
        </w:tc>
      </w:tr>
      <w:tr w14:paraId="1B5E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0AAE1B9A">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5465A688">
            <w:pPr>
              <w:spacing w:line="280" w:lineRule="exact"/>
              <w:jc w:val="center"/>
              <w:rPr>
                <w:color w:val="000000" w:themeColor="text1"/>
                <w14:textFill>
                  <w14:solidFill>
                    <w14:schemeClr w14:val="tx1"/>
                  </w14:solidFill>
                </w14:textFill>
              </w:rPr>
            </w:pPr>
          </w:p>
        </w:tc>
        <w:tc>
          <w:tcPr>
            <w:tcW w:w="1058" w:type="pct"/>
            <w:gridSpan w:val="2"/>
            <w:tcBorders>
              <w:tl2br w:val="nil"/>
              <w:tr2bl w:val="nil"/>
            </w:tcBorders>
            <w:vAlign w:val="center"/>
          </w:tcPr>
          <w:p w14:paraId="5AB2831A">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监测点位</w:t>
            </w:r>
          </w:p>
        </w:tc>
        <w:tc>
          <w:tcPr>
            <w:tcW w:w="2202" w:type="pct"/>
            <w:gridSpan w:val="4"/>
            <w:tcBorders>
              <w:tl2br w:val="nil"/>
              <w:tr2bl w:val="nil"/>
            </w:tcBorders>
            <w:vAlign w:val="center"/>
          </w:tcPr>
          <w:p w14:paraId="0D5C522B">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836" w:type="pct"/>
            <w:vMerge w:val="restart"/>
            <w:tcBorders>
              <w:tl2br w:val="nil"/>
              <w:tr2bl w:val="nil"/>
            </w:tcBorders>
            <w:vAlign w:val="center"/>
          </w:tcPr>
          <w:p w14:paraId="29C8E74E">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5856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1129B7E0">
            <w:pPr>
              <w:spacing w:line="280" w:lineRule="exact"/>
              <w:jc w:val="center"/>
              <w:rPr>
                <w:color w:val="000000" w:themeColor="text1"/>
                <w14:textFill>
                  <w14:solidFill>
                    <w14:schemeClr w14:val="tx1"/>
                  </w14:solidFill>
                </w14:textFill>
              </w:rPr>
            </w:pPr>
          </w:p>
        </w:tc>
        <w:tc>
          <w:tcPr>
            <w:tcW w:w="648" w:type="pct"/>
            <w:vMerge w:val="continue"/>
            <w:tcBorders>
              <w:tl2br w:val="nil"/>
              <w:tr2bl w:val="nil"/>
            </w:tcBorders>
            <w:vAlign w:val="center"/>
          </w:tcPr>
          <w:p w14:paraId="087FDA01">
            <w:pPr>
              <w:spacing w:line="280" w:lineRule="exact"/>
              <w:jc w:val="center"/>
              <w:rPr>
                <w:color w:val="000000" w:themeColor="text1"/>
                <w14:textFill>
                  <w14:solidFill>
                    <w14:schemeClr w14:val="tx1"/>
                  </w14:solidFill>
                </w14:textFill>
              </w:rPr>
            </w:pPr>
          </w:p>
        </w:tc>
        <w:tc>
          <w:tcPr>
            <w:tcW w:w="1058" w:type="pct"/>
            <w:gridSpan w:val="2"/>
            <w:tcBorders>
              <w:tl2br w:val="nil"/>
              <w:tr2bl w:val="nil"/>
            </w:tcBorders>
            <w:vAlign w:val="center"/>
          </w:tcPr>
          <w:p w14:paraId="2BDB12BC">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监测因子</w:t>
            </w:r>
          </w:p>
        </w:tc>
        <w:tc>
          <w:tcPr>
            <w:tcW w:w="2202" w:type="pct"/>
            <w:gridSpan w:val="4"/>
            <w:tcBorders>
              <w:tl2br w:val="nil"/>
              <w:tr2bl w:val="nil"/>
            </w:tcBorders>
            <w:vAlign w:val="center"/>
          </w:tcPr>
          <w:p w14:paraId="0E6A7CE2">
            <w:pPr>
              <w:spacing w:line="28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836" w:type="pct"/>
            <w:vMerge w:val="continue"/>
            <w:tcBorders>
              <w:tl2br w:val="nil"/>
              <w:tr2bl w:val="nil"/>
            </w:tcBorders>
            <w:vAlign w:val="center"/>
          </w:tcPr>
          <w:p w14:paraId="2645A1A0">
            <w:pPr>
              <w:spacing w:line="280" w:lineRule="exact"/>
              <w:jc w:val="center"/>
              <w:rPr>
                <w:color w:val="000000" w:themeColor="text1"/>
                <w14:textFill>
                  <w14:solidFill>
                    <w14:schemeClr w14:val="tx1"/>
                  </w14:solidFill>
                </w14:textFill>
              </w:rPr>
            </w:pPr>
          </w:p>
        </w:tc>
      </w:tr>
      <w:tr w14:paraId="5FB1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7" w:type="pct"/>
            <w:vMerge w:val="continue"/>
            <w:tcBorders>
              <w:tl2br w:val="nil"/>
              <w:tr2bl w:val="nil"/>
            </w:tcBorders>
            <w:vAlign w:val="center"/>
          </w:tcPr>
          <w:p w14:paraId="0019E02D">
            <w:pPr>
              <w:spacing w:line="280" w:lineRule="exact"/>
              <w:jc w:val="center"/>
              <w:rPr>
                <w:color w:val="000000" w:themeColor="text1"/>
                <w14:textFill>
                  <w14:solidFill>
                    <w14:schemeClr w14:val="tx1"/>
                  </w14:solidFill>
                </w14:textFill>
              </w:rPr>
            </w:pPr>
          </w:p>
        </w:tc>
        <w:tc>
          <w:tcPr>
            <w:tcW w:w="648" w:type="pct"/>
            <w:tcBorders>
              <w:tl2br w:val="nil"/>
              <w:tr2bl w:val="nil"/>
            </w:tcBorders>
            <w:vAlign w:val="center"/>
          </w:tcPr>
          <w:p w14:paraId="7BB9DA70">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污染物排放清单</w:t>
            </w:r>
          </w:p>
        </w:tc>
        <w:tc>
          <w:tcPr>
            <w:tcW w:w="4095" w:type="pct"/>
            <w:gridSpan w:val="7"/>
            <w:tcBorders>
              <w:tl2br w:val="nil"/>
              <w:tr2bl w:val="nil"/>
            </w:tcBorders>
            <w:vAlign w:val="center"/>
          </w:tcPr>
          <w:p w14:paraId="23FDEE75">
            <w:pPr>
              <w:spacing w:line="280" w:lineRule="exact"/>
              <w:rPr>
                <w:color w:val="000000" w:themeColor="text1"/>
                <w14:textFill>
                  <w14:solidFill>
                    <w14:schemeClr w14:val="tx1"/>
                  </w14:solidFill>
                </w14:textFill>
              </w:rPr>
            </w:pPr>
            <w:r>
              <w:rPr>
                <w:color w:val="000000" w:themeColor="text1"/>
                <w:szCs w:val="21"/>
                <w14:textFill>
                  <w14:solidFill>
                    <w14:schemeClr w14:val="tx1"/>
                  </w14:solidFill>
                </w14:textFill>
              </w:rPr>
              <w:sym w:font="Wingdings 2" w:char="00A3"/>
            </w:r>
          </w:p>
        </w:tc>
      </w:tr>
      <w:tr w14:paraId="7061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5" w:type="pct"/>
            <w:gridSpan w:val="2"/>
            <w:tcBorders>
              <w:tl2br w:val="nil"/>
              <w:tr2bl w:val="nil"/>
            </w:tcBorders>
            <w:vAlign w:val="center"/>
          </w:tcPr>
          <w:p w14:paraId="3EFA3C60">
            <w:pPr>
              <w:spacing w:line="280" w:lineRule="exact"/>
              <w:jc w:val="center"/>
              <w:rPr>
                <w:color w:val="000000" w:themeColor="text1"/>
                <w14:textFill>
                  <w14:solidFill>
                    <w14:schemeClr w14:val="tx1"/>
                  </w14:solidFill>
                </w14:textFill>
              </w:rPr>
            </w:pPr>
            <w:r>
              <w:rPr>
                <w:color w:val="000000" w:themeColor="text1"/>
                <w14:textFill>
                  <w14:solidFill>
                    <w14:schemeClr w14:val="tx1"/>
                  </w14:solidFill>
                </w14:textFill>
              </w:rPr>
              <w:t>评价结论</w:t>
            </w:r>
          </w:p>
        </w:tc>
        <w:tc>
          <w:tcPr>
            <w:tcW w:w="4095" w:type="pct"/>
            <w:gridSpan w:val="7"/>
            <w:tcBorders>
              <w:tl2br w:val="nil"/>
              <w:tr2bl w:val="nil"/>
            </w:tcBorders>
            <w:vAlign w:val="center"/>
          </w:tcPr>
          <w:p w14:paraId="20EAF263">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可以接受</w:t>
            </w:r>
            <w:r>
              <w:rPr>
                <w:color w:val="000000" w:themeColor="text1"/>
                <w:sz w:val="18"/>
                <w:szCs w:val="18"/>
                <w14:textFill>
                  <w14:solidFill>
                    <w14:schemeClr w14:val="tx1"/>
                  </w14:solidFill>
                </w14:textFill>
              </w:rPr>
              <w:sym w:font="Wingdings 2" w:char="F052"/>
            </w:r>
            <w:r>
              <w:rPr>
                <w:color w:val="000000" w:themeColor="text1"/>
                <w14:textFill>
                  <w14:solidFill>
                    <w14:schemeClr w14:val="tx1"/>
                  </w14:solidFill>
                </w14:textFill>
              </w:rPr>
              <w:t xml:space="preserve">；不可接受 </w:t>
            </w:r>
            <w:r>
              <w:rPr>
                <w:color w:val="000000" w:themeColor="text1"/>
                <w14:textFill>
                  <w14:solidFill>
                    <w14:schemeClr w14:val="tx1"/>
                  </w14:solidFill>
                </w14:textFill>
              </w:rPr>
              <w:sym w:font="Wingdings 2" w:char="00A3"/>
            </w:r>
          </w:p>
        </w:tc>
      </w:tr>
      <w:tr w14:paraId="0593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9"/>
            <w:tcBorders>
              <w:tl2br w:val="nil"/>
              <w:tr2bl w:val="nil"/>
            </w:tcBorders>
            <w:vAlign w:val="center"/>
          </w:tcPr>
          <w:p w14:paraId="695F3C23">
            <w:pPr>
              <w:spacing w:line="280" w:lineRule="exact"/>
              <w:rPr>
                <w:color w:val="000000" w:themeColor="text1"/>
                <w14:textFill>
                  <w14:solidFill>
                    <w14:schemeClr w14:val="tx1"/>
                  </w14:solidFill>
                </w14:textFill>
              </w:rPr>
            </w:pPr>
            <w:r>
              <w:rPr>
                <w:color w:val="000000" w:themeColor="text1"/>
                <w14:textFill>
                  <w14:solidFill>
                    <w14:schemeClr w14:val="tx1"/>
                  </w14:solidFill>
                </w14:textFill>
              </w:rPr>
              <w:t>注：“</w:t>
            </w:r>
            <w:r>
              <w:rPr>
                <w:color w:val="000000" w:themeColor="text1"/>
                <w14:textFill>
                  <w14:solidFill>
                    <w14:schemeClr w14:val="tx1"/>
                  </w14:solidFill>
                </w14:textFill>
              </w:rPr>
              <w:sym w:font="Wingdings 2" w:char="00A3"/>
            </w:r>
            <w:r>
              <w:rPr>
                <w:color w:val="000000" w:themeColor="text1"/>
                <w14:textFill>
                  <w14:solidFill>
                    <w14:schemeClr w14:val="tx1"/>
                  </w14:solidFill>
                </w14:textFill>
              </w:rPr>
              <w:t>”为勾选项，可√；“（ ）”为内容填写项；“备注”为其他补充内容</w:t>
            </w:r>
          </w:p>
        </w:tc>
      </w:tr>
    </w:tbl>
    <w:p w14:paraId="11C6519D">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770" w:name="_Toc2967"/>
      <w:bookmarkStart w:id="771" w:name="_Toc233380222"/>
      <w:bookmarkStart w:id="772" w:name="_Toc31155"/>
      <w:bookmarkStart w:id="773" w:name="_Toc25409"/>
      <w:bookmarkStart w:id="774" w:name="_Toc40220773"/>
      <w:r>
        <w:rPr>
          <w:rFonts w:ascii="Times New Roman" w:hAnsi="Times New Roman" w:eastAsia="宋体"/>
          <w:color w:val="000000" w:themeColor="text1"/>
          <w:sz w:val="30"/>
          <w:szCs w:val="30"/>
          <w14:textFill>
            <w14:solidFill>
              <w14:schemeClr w14:val="tx1"/>
            </w14:solidFill>
          </w14:textFill>
        </w:rPr>
        <w:t>5.4地下水环境影响评价</w:t>
      </w:r>
      <w:bookmarkEnd w:id="770"/>
      <w:bookmarkEnd w:id="771"/>
      <w:bookmarkEnd w:id="772"/>
      <w:bookmarkEnd w:id="773"/>
    </w:p>
    <w:p w14:paraId="1E0BFDE4">
      <w:pPr>
        <w:spacing w:line="360" w:lineRule="auto"/>
        <w:ind w:firstLine="468" w:firstLineChars="200"/>
        <w:jc w:val="both"/>
        <w:rPr>
          <w:color w:val="000000" w:themeColor="text1"/>
          <w:spacing w:val="-3"/>
          <w:sz w:val="24"/>
          <w14:textFill>
            <w14:solidFill>
              <w14:schemeClr w14:val="tx1"/>
            </w14:solidFill>
          </w14:textFill>
        </w:rPr>
      </w:pPr>
      <w:bookmarkStart w:id="775" w:name="_Toc14726"/>
      <w:r>
        <w:rPr>
          <w:rFonts w:hint="eastAsia"/>
          <w:color w:val="000000" w:themeColor="text1"/>
          <w:spacing w:val="-3"/>
          <w:sz w:val="24"/>
          <w14:textFill>
            <w14:solidFill>
              <w14:schemeClr w14:val="tx1"/>
            </w14:solidFill>
          </w14:textFill>
        </w:rPr>
        <w:t>按照《环境影响评价技术导则 地下水环境》(HJ610-2016)，并结合《建设项目环境影响评价分类管理名录》，本项目地下水环境影响评价项目类别为类，项目所在区域环境敏感程度为较敏感，通过建设项目的地下水环境影响评价工作等级划分，本项目地下水评价等级为三级。</w:t>
      </w:r>
    </w:p>
    <w:p w14:paraId="335B6D54">
      <w:pPr>
        <w:pStyle w:val="5"/>
        <w:adjustRightInd w:val="0"/>
        <w:snapToGrid w:val="0"/>
        <w:spacing w:before="0" w:after="0" w:line="360" w:lineRule="auto"/>
        <w:rPr>
          <w:color w:val="000000" w:themeColor="text1"/>
          <w:sz w:val="28"/>
          <w:szCs w:val="28"/>
          <w14:textFill>
            <w14:solidFill>
              <w14:schemeClr w14:val="tx1"/>
            </w14:solidFill>
          </w14:textFill>
        </w:rPr>
      </w:pPr>
      <w:bookmarkStart w:id="776" w:name="_Toc2588"/>
      <w:bookmarkStart w:id="777" w:name="_Toc32631"/>
      <w:bookmarkStart w:id="778" w:name="_Toc233380223"/>
      <w:bookmarkStart w:id="779" w:name="_Toc230079403"/>
      <w:bookmarkStart w:id="780" w:name="_Toc9100"/>
      <w:r>
        <w:rPr>
          <w:color w:val="000000" w:themeColor="text1"/>
          <w:sz w:val="28"/>
          <w:szCs w:val="28"/>
          <w14:textFill>
            <w14:solidFill>
              <w14:schemeClr w14:val="tx1"/>
            </w14:solidFill>
          </w14:textFill>
        </w:rPr>
        <w:t>5.4.1</w:t>
      </w:r>
      <w:bookmarkEnd w:id="776"/>
      <w:r>
        <w:rPr>
          <w:rFonts w:hint="eastAsia"/>
          <w:color w:val="000000" w:themeColor="text1"/>
          <w:sz w:val="28"/>
          <w:szCs w:val="28"/>
          <w14:textFill>
            <w14:solidFill>
              <w14:schemeClr w14:val="tx1"/>
            </w14:solidFill>
          </w14:textFill>
        </w:rPr>
        <w:t>评价等级</w:t>
      </w:r>
      <w:bookmarkEnd w:id="777"/>
      <w:bookmarkEnd w:id="778"/>
      <w:bookmarkEnd w:id="779"/>
      <w:bookmarkEnd w:id="780"/>
    </w:p>
    <w:p w14:paraId="557DF7EF">
      <w:pPr>
        <w:spacing w:line="360" w:lineRule="auto"/>
        <w:ind w:firstLine="500" w:firstLineChars="200"/>
        <w:jc w:val="both"/>
        <w:rPr>
          <w:rFonts w:ascii="宋体" w:hAnsi="宋体" w:cs="宋体"/>
          <w:color w:val="000000" w:themeColor="text1"/>
          <w:spacing w:val="-2"/>
          <w:sz w:val="24"/>
          <w14:textFill>
            <w14:solidFill>
              <w14:schemeClr w14:val="tx1"/>
            </w14:solidFill>
          </w14:textFill>
        </w:rPr>
      </w:pPr>
      <w:r>
        <w:rPr>
          <w:rFonts w:ascii="宋体" w:hAnsi="宋体" w:cs="宋体"/>
          <w:color w:val="000000" w:themeColor="text1"/>
          <w:spacing w:val="5"/>
          <w:sz w:val="24"/>
          <w14:textFill>
            <w14:solidFill>
              <w14:schemeClr w14:val="tx1"/>
            </w14:solidFill>
          </w14:textFill>
        </w:rPr>
        <w:t>根据建设项目对地下水环境影响的程度，结合《环境影响评价技术导则地下水环境》（</w:t>
      </w:r>
      <w:r>
        <w:rPr>
          <w:rFonts w:eastAsia="Times New Roman"/>
          <w:color w:val="000000" w:themeColor="text1"/>
          <w:sz w:val="24"/>
          <w14:textFill>
            <w14:solidFill>
              <w14:schemeClr w14:val="tx1"/>
            </w14:solidFill>
          </w14:textFill>
        </w:rPr>
        <w:t>HJ</w:t>
      </w:r>
      <w:r>
        <w:rPr>
          <w:rFonts w:eastAsia="Times New Roman"/>
          <w:color w:val="000000" w:themeColor="text1"/>
          <w:spacing w:val="5"/>
          <w:sz w:val="24"/>
          <w14:textFill>
            <w14:solidFill>
              <w14:schemeClr w14:val="tx1"/>
            </w14:solidFill>
          </w14:textFill>
        </w:rPr>
        <w:t>610-2016</w:t>
      </w:r>
      <w:r>
        <w:rPr>
          <w:rFonts w:ascii="宋体" w:hAnsi="宋体" w:cs="宋体"/>
          <w:color w:val="000000" w:themeColor="text1"/>
          <w:spacing w:val="5"/>
          <w:sz w:val="24"/>
          <w14:textFill>
            <w14:solidFill>
              <w14:schemeClr w14:val="tx1"/>
            </w14:solidFill>
          </w14:textFill>
        </w:rPr>
        <w:t>）</w:t>
      </w:r>
      <w:r>
        <w:rPr>
          <w:rFonts w:ascii="宋体" w:hAnsi="宋体" w:cs="宋体"/>
          <w:color w:val="000000" w:themeColor="text1"/>
          <w:spacing w:val="3"/>
          <w:sz w:val="24"/>
          <w14:textFill>
            <w14:solidFill>
              <w14:schemeClr w14:val="tx1"/>
            </w14:solidFill>
          </w14:textFill>
        </w:rPr>
        <w:t>，将建设项目分为四类，其中：</w:t>
      </w:r>
      <w:r>
        <w:rPr>
          <w:rFonts w:eastAsia="Times New Roman"/>
          <w:color w:val="000000" w:themeColor="text1"/>
          <w:spacing w:val="3"/>
          <w:sz w:val="24"/>
          <w14:textFill>
            <w14:solidFill>
              <w14:schemeClr w14:val="tx1"/>
            </w14:solidFill>
          </w14:textFill>
        </w:rPr>
        <w:t>I</w:t>
      </w:r>
      <w:r>
        <w:rPr>
          <w:rFonts w:ascii="宋体" w:hAnsi="宋体" w:cs="宋体"/>
          <w:color w:val="000000" w:themeColor="text1"/>
          <w:spacing w:val="3"/>
          <w:sz w:val="24"/>
          <w14:textFill>
            <w14:solidFill>
              <w14:schemeClr w14:val="tx1"/>
            </w14:solidFill>
          </w14:textFill>
        </w:rPr>
        <w:t>类、</w:t>
      </w:r>
      <w:r>
        <w:rPr>
          <w:rFonts w:eastAsia="Times New Roman"/>
          <w:color w:val="000000" w:themeColor="text1"/>
          <w:sz w:val="24"/>
          <w14:textFill>
            <w14:solidFill>
              <w14:schemeClr w14:val="tx1"/>
            </w14:solidFill>
          </w14:textFill>
        </w:rPr>
        <w:t>II</w:t>
      </w:r>
      <w:r>
        <w:rPr>
          <w:rFonts w:ascii="宋体" w:hAnsi="宋体" w:cs="宋体"/>
          <w:color w:val="000000" w:themeColor="text1"/>
          <w:spacing w:val="3"/>
          <w:sz w:val="24"/>
          <w14:textFill>
            <w14:solidFill>
              <w14:schemeClr w14:val="tx1"/>
            </w14:solidFill>
          </w14:textFill>
        </w:rPr>
        <w:t>类、</w:t>
      </w:r>
      <w:r>
        <w:rPr>
          <w:rFonts w:eastAsia="Times New Roman"/>
          <w:color w:val="000000" w:themeColor="text1"/>
          <w:sz w:val="24"/>
          <w14:textFill>
            <w14:solidFill>
              <w14:schemeClr w14:val="tx1"/>
            </w14:solidFill>
          </w14:textFill>
        </w:rPr>
        <w:t>III</w:t>
      </w:r>
      <w:r>
        <w:rPr>
          <w:rFonts w:ascii="宋体" w:hAnsi="宋体" w:cs="宋体"/>
          <w:color w:val="000000" w:themeColor="text1"/>
          <w:spacing w:val="3"/>
          <w:sz w:val="24"/>
          <w14:textFill>
            <w14:solidFill>
              <w14:schemeClr w14:val="tx1"/>
            </w14:solidFill>
          </w14:textFill>
        </w:rPr>
        <w:t>类建设项目应按</w:t>
      </w:r>
      <w:r>
        <w:rPr>
          <w:rFonts w:eastAsia="Times New Roman"/>
          <w:color w:val="000000" w:themeColor="text1"/>
          <w:sz w:val="24"/>
          <w14:textFill>
            <w14:solidFill>
              <w14:schemeClr w14:val="tx1"/>
            </w14:solidFill>
          </w14:textFill>
        </w:rPr>
        <w:t>HJ</w:t>
      </w:r>
      <w:r>
        <w:rPr>
          <w:rFonts w:eastAsia="Times New Roman"/>
          <w:color w:val="000000" w:themeColor="text1"/>
          <w:spacing w:val="3"/>
          <w:sz w:val="24"/>
          <w14:textFill>
            <w14:solidFill>
              <w14:schemeClr w14:val="tx1"/>
            </w14:solidFill>
          </w14:textFill>
        </w:rPr>
        <w:t>610-2016</w:t>
      </w:r>
      <w:r>
        <w:rPr>
          <w:rFonts w:ascii="宋体" w:hAnsi="宋体" w:cs="宋体"/>
          <w:color w:val="000000" w:themeColor="text1"/>
          <w:spacing w:val="3"/>
          <w:sz w:val="24"/>
          <w14:textFill>
            <w14:solidFill>
              <w14:schemeClr w14:val="tx1"/>
            </w14:solidFill>
          </w14:textFill>
        </w:rPr>
        <w:t>要求开展地下水环境影响评价，</w:t>
      </w:r>
      <w:r>
        <w:rPr>
          <w:rFonts w:eastAsia="Times New Roman"/>
          <w:color w:val="000000" w:themeColor="text1"/>
          <w:sz w:val="24"/>
          <w14:textFill>
            <w14:solidFill>
              <w14:schemeClr w14:val="tx1"/>
            </w14:solidFill>
          </w14:textFill>
        </w:rPr>
        <w:t>IV</w:t>
      </w:r>
      <w:r>
        <w:rPr>
          <w:rFonts w:ascii="宋体" w:hAnsi="宋体" w:cs="宋体"/>
          <w:color w:val="000000" w:themeColor="text1"/>
          <w:spacing w:val="3"/>
          <w:sz w:val="24"/>
          <w14:textFill>
            <w14:solidFill>
              <w14:schemeClr w14:val="tx1"/>
            </w14:solidFill>
          </w14:textFill>
        </w:rPr>
        <w:t>类建设项目不开展地下水环境影响评价。通过查阅</w:t>
      </w:r>
      <w:r>
        <w:rPr>
          <w:rFonts w:ascii="宋体" w:hAnsi="宋体" w:cs="宋体"/>
          <w:color w:val="000000" w:themeColor="text1"/>
          <w:spacing w:val="2"/>
          <w:sz w:val="24"/>
          <w14:textFill>
            <w14:solidFill>
              <w14:schemeClr w14:val="tx1"/>
            </w14:solidFill>
          </w14:textFill>
        </w:rPr>
        <w:t>《环境影</w:t>
      </w:r>
      <w:r>
        <w:rPr>
          <w:rFonts w:ascii="宋体" w:hAnsi="宋体" w:cs="宋体"/>
          <w:color w:val="000000" w:themeColor="text1"/>
          <w:spacing w:val="5"/>
          <w:sz w:val="24"/>
          <w14:textFill>
            <w14:solidFill>
              <w14:schemeClr w14:val="tx1"/>
            </w14:solidFill>
          </w14:textFill>
        </w:rPr>
        <w:t>响评价技术导则地下水环境》（</w:t>
      </w:r>
      <w:r>
        <w:rPr>
          <w:rFonts w:eastAsia="Times New Roman"/>
          <w:color w:val="000000" w:themeColor="text1"/>
          <w:sz w:val="24"/>
          <w14:textFill>
            <w14:solidFill>
              <w14:schemeClr w14:val="tx1"/>
            </w14:solidFill>
          </w14:textFill>
        </w:rPr>
        <w:t>HJ</w:t>
      </w:r>
      <w:r>
        <w:rPr>
          <w:rFonts w:eastAsia="Times New Roman"/>
          <w:color w:val="000000" w:themeColor="text1"/>
          <w:spacing w:val="5"/>
          <w:sz w:val="24"/>
          <w14:textFill>
            <w14:solidFill>
              <w14:schemeClr w14:val="tx1"/>
            </w14:solidFill>
          </w14:textFill>
        </w:rPr>
        <w:t>610-2016</w:t>
      </w:r>
      <w:r>
        <w:rPr>
          <w:rFonts w:ascii="宋体" w:hAnsi="宋体" w:cs="宋体"/>
          <w:color w:val="000000" w:themeColor="text1"/>
          <w:spacing w:val="5"/>
          <w:sz w:val="24"/>
          <w14:textFill>
            <w14:solidFill>
              <w14:schemeClr w14:val="tx1"/>
            </w14:solidFill>
          </w14:textFill>
        </w:rPr>
        <w:t>）中评价工作分级相关内</w:t>
      </w:r>
      <w:r>
        <w:rPr>
          <w:rFonts w:ascii="宋体" w:hAnsi="宋体" w:cs="宋体"/>
          <w:color w:val="000000" w:themeColor="text1"/>
          <w:spacing w:val="4"/>
          <w:sz w:val="24"/>
          <w14:textFill>
            <w14:solidFill>
              <w14:schemeClr w14:val="tx1"/>
            </w14:solidFill>
          </w14:textFill>
        </w:rPr>
        <w:t>容，本项目属附录</w:t>
      </w:r>
      <w:r>
        <w:rPr>
          <w:rFonts w:eastAsia="Times New Roman"/>
          <w:color w:val="000000" w:themeColor="text1"/>
          <w:spacing w:val="-1"/>
          <w:sz w:val="24"/>
          <w14:textFill>
            <w14:solidFill>
              <w14:schemeClr w14:val="tx1"/>
            </w14:solidFill>
          </w14:textFill>
        </w:rPr>
        <w:t>A</w:t>
      </w:r>
      <w:r>
        <w:rPr>
          <w:rFonts w:ascii="宋体" w:hAnsi="宋体" w:cs="宋体"/>
          <w:color w:val="000000" w:themeColor="text1"/>
          <w:spacing w:val="-1"/>
          <w:sz w:val="24"/>
          <w14:textFill>
            <w14:solidFill>
              <w14:schemeClr w14:val="tx1"/>
            </w14:solidFill>
          </w14:textFill>
        </w:rPr>
        <w:t>中“</w:t>
      </w:r>
      <w:r>
        <w:rPr>
          <w:rFonts w:eastAsia="Times New Roman"/>
          <w:color w:val="000000" w:themeColor="text1"/>
          <w:spacing w:val="-1"/>
          <w:sz w:val="24"/>
          <w14:textFill>
            <w14:solidFill>
              <w14:schemeClr w14:val="tx1"/>
            </w14:solidFill>
          </w14:textFill>
        </w:rPr>
        <w:t>B</w:t>
      </w:r>
      <w:r>
        <w:rPr>
          <w:rFonts w:ascii="宋体" w:hAnsi="宋体" w:cs="宋体"/>
          <w:color w:val="000000" w:themeColor="text1"/>
          <w:spacing w:val="-1"/>
          <w:sz w:val="24"/>
          <w14:textFill>
            <w14:solidFill>
              <w14:schemeClr w14:val="tx1"/>
            </w14:solidFill>
          </w14:textFill>
        </w:rPr>
        <w:t>农、林、牧、渔、海洋</w:t>
      </w:r>
      <w:r>
        <w:rPr>
          <w:rFonts w:eastAsia="Times New Roman"/>
          <w:color w:val="000000" w:themeColor="text1"/>
          <w:spacing w:val="-1"/>
          <w:sz w:val="24"/>
          <w14:textFill>
            <w14:solidFill>
              <w14:schemeClr w14:val="tx1"/>
            </w14:solidFill>
          </w14:textFill>
        </w:rPr>
        <w:t>/14</w:t>
      </w:r>
      <w:r>
        <w:rPr>
          <w:rFonts w:ascii="宋体" w:hAnsi="宋体" w:cs="宋体"/>
          <w:color w:val="000000" w:themeColor="text1"/>
          <w:spacing w:val="-1"/>
          <w:sz w:val="24"/>
          <w14:textFill>
            <w14:solidFill>
              <w14:schemeClr w14:val="tx1"/>
            </w14:solidFill>
          </w14:textFill>
        </w:rPr>
        <w:t>、畜禽养殖场、养殖小区年出栏生猪</w:t>
      </w:r>
      <w:r>
        <w:rPr>
          <w:rFonts w:eastAsia="Times New Roman"/>
          <w:color w:val="000000" w:themeColor="text1"/>
          <w:spacing w:val="-1"/>
          <w:sz w:val="24"/>
          <w14:textFill>
            <w14:solidFill>
              <w14:schemeClr w14:val="tx1"/>
            </w14:solidFill>
          </w14:textFill>
        </w:rPr>
        <w:t>5000</w:t>
      </w:r>
      <w:r>
        <w:rPr>
          <w:rFonts w:ascii="宋体" w:hAnsi="宋体" w:cs="宋体"/>
          <w:color w:val="000000" w:themeColor="text1"/>
          <w:spacing w:val="-1"/>
          <w:sz w:val="24"/>
          <w14:textFill>
            <w14:solidFill>
              <w14:schemeClr w14:val="tx1"/>
            </w14:solidFill>
          </w14:textFill>
        </w:rPr>
        <w:t>头（其他畜禽种类折合猪的养殖规模）及以上</w:t>
      </w:r>
      <w:r>
        <w:rPr>
          <w:rFonts w:hint="eastAsia" w:ascii="宋体" w:hAnsi="宋体" w:cs="宋体"/>
          <w:color w:val="000000" w:themeColor="text1"/>
          <w:spacing w:val="-1"/>
          <w:sz w:val="24"/>
          <w14:textFill>
            <w14:solidFill>
              <w14:schemeClr w14:val="tx1"/>
            </w14:solidFill>
          </w14:textFill>
        </w:rPr>
        <w:t>；</w:t>
      </w:r>
      <w:r>
        <w:rPr>
          <w:rFonts w:ascii="宋体" w:hAnsi="宋体" w:cs="宋体"/>
          <w:color w:val="000000" w:themeColor="text1"/>
          <w:spacing w:val="-1"/>
          <w:sz w:val="24"/>
          <w14:textFill>
            <w14:solidFill>
              <w14:schemeClr w14:val="tx1"/>
            </w14:solidFill>
          </w14:textFill>
        </w:rPr>
        <w:t>涉及环境敏感区的</w:t>
      </w:r>
      <w:r>
        <w:rPr>
          <w:rFonts w:ascii="宋体" w:hAnsi="宋体" w:cs="宋体"/>
          <w:color w:val="000000" w:themeColor="text1"/>
          <w:spacing w:val="-88"/>
          <w:sz w:val="24"/>
          <w14:textFill>
            <w14:solidFill>
              <w14:schemeClr w14:val="tx1"/>
            </w14:solidFill>
          </w14:textFill>
        </w:rPr>
        <w:t xml:space="preserve"> </w:t>
      </w:r>
      <w:r>
        <w:rPr>
          <w:rFonts w:hint="eastAsia" w:ascii="宋体" w:hAnsi="宋体" w:cs="宋体"/>
          <w:color w:val="000000" w:themeColor="text1"/>
          <w:spacing w:val="-88"/>
          <w:sz w:val="24"/>
          <w14:textFill>
            <w14:solidFill>
              <w14:schemeClr w14:val="tx1"/>
            </w14:solidFill>
          </w14:textFill>
        </w:rPr>
        <w:t>”</w:t>
      </w:r>
      <w:r>
        <w:rPr>
          <w:rFonts w:ascii="宋体" w:hAnsi="宋体" w:cs="宋体"/>
          <w:color w:val="000000" w:themeColor="text1"/>
          <w:spacing w:val="-1"/>
          <w:sz w:val="24"/>
          <w14:textFill>
            <w14:solidFill>
              <w14:schemeClr w14:val="tx1"/>
            </w14:solidFill>
          </w14:textFill>
        </w:rPr>
        <w:t>，为</w:t>
      </w:r>
      <w:r>
        <w:rPr>
          <w:rFonts w:eastAsia="Times New Roman"/>
          <w:color w:val="000000" w:themeColor="text1"/>
          <w:spacing w:val="-1"/>
          <w:sz w:val="24"/>
          <w14:textFill>
            <w14:solidFill>
              <w14:schemeClr w14:val="tx1"/>
            </w14:solidFill>
          </w14:textFill>
        </w:rPr>
        <w:t>Ⅲ</w:t>
      </w:r>
      <w:r>
        <w:rPr>
          <w:rFonts w:ascii="宋体" w:hAnsi="宋体" w:cs="宋体"/>
          <w:color w:val="000000" w:themeColor="text1"/>
          <w:spacing w:val="-1"/>
          <w:sz w:val="24"/>
          <w14:textFill>
            <w14:solidFill>
              <w14:schemeClr w14:val="tx1"/>
            </w14:solidFill>
          </w14:textFill>
        </w:rPr>
        <w:t>类</w:t>
      </w:r>
      <w:r>
        <w:rPr>
          <w:rFonts w:ascii="宋体" w:hAnsi="宋体" w:cs="宋体"/>
          <w:color w:val="000000" w:themeColor="text1"/>
          <w:spacing w:val="-2"/>
          <w:sz w:val="24"/>
          <w14:textFill>
            <w14:solidFill>
              <w14:schemeClr w14:val="tx1"/>
            </w14:solidFill>
          </w14:textFill>
        </w:rPr>
        <w:t>项目。</w:t>
      </w:r>
    </w:p>
    <w:p w14:paraId="5C9D67CC">
      <w:pPr>
        <w:spacing w:line="360" w:lineRule="auto"/>
        <w:ind w:firstLine="500" w:firstLineChars="200"/>
        <w:jc w:val="both"/>
        <w:rPr>
          <w:color w:val="000000" w:themeColor="text1"/>
          <w:sz w:val="24"/>
          <w14:textFill>
            <w14:solidFill>
              <w14:schemeClr w14:val="tx1"/>
            </w14:solidFill>
          </w14:textFill>
        </w:rPr>
      </w:pPr>
      <w:r>
        <w:rPr>
          <w:rFonts w:ascii="宋体" w:hAnsi="宋体" w:cs="宋体"/>
          <w:color w:val="000000" w:themeColor="text1"/>
          <w:spacing w:val="5"/>
          <w:sz w:val="24"/>
          <w14:textFill>
            <w14:solidFill>
              <w14:schemeClr w14:val="tx1"/>
            </w14:solidFill>
          </w14:textFill>
        </w:rPr>
        <w:t>根据现场调查，项目所在评价区无集中式饮用水水源，无热水、矿泉水、温泉等特</w:t>
      </w:r>
      <w:r>
        <w:rPr>
          <w:rFonts w:ascii="宋体" w:hAnsi="宋体" w:cs="宋体"/>
          <w:color w:val="000000" w:themeColor="text1"/>
          <w:spacing w:val="4"/>
          <w:sz w:val="24"/>
          <w14:textFill>
            <w14:solidFill>
              <w14:schemeClr w14:val="tx1"/>
            </w14:solidFill>
          </w14:textFill>
        </w:rPr>
        <w:t>殊地下水资源，属于</w:t>
      </w:r>
      <w:r>
        <w:rPr>
          <w:rFonts w:hint="eastAsia" w:ascii="宋体" w:hAnsi="宋体" w:cs="宋体"/>
          <w:color w:val="000000" w:themeColor="text1"/>
          <w:spacing w:val="4"/>
          <w:sz w:val="24"/>
          <w14:textFill>
            <w14:solidFill>
              <w14:schemeClr w14:val="tx1"/>
            </w14:solidFill>
          </w14:textFill>
        </w:rPr>
        <w:t>不</w:t>
      </w:r>
      <w:r>
        <w:rPr>
          <w:rFonts w:ascii="宋体" w:hAnsi="宋体" w:cs="宋体"/>
          <w:color w:val="000000" w:themeColor="text1"/>
          <w:spacing w:val="4"/>
          <w:sz w:val="24"/>
          <w14:textFill>
            <w14:solidFill>
              <w14:schemeClr w14:val="tx1"/>
            </w14:solidFill>
          </w14:textFill>
        </w:rPr>
        <w:t>敏感，则</w:t>
      </w:r>
      <w:r>
        <w:rPr>
          <w:rFonts w:ascii="宋体" w:hAnsi="宋体" w:cs="宋体"/>
          <w:b/>
          <w:bCs/>
          <w:color w:val="000000" w:themeColor="text1"/>
          <w:spacing w:val="4"/>
          <w:sz w:val="24"/>
          <w14:textFill>
            <w14:solidFill>
              <w14:schemeClr w14:val="tx1"/>
            </w14:solidFill>
          </w14:textFill>
        </w:rPr>
        <w:t>本项目地下水环境影</w:t>
      </w:r>
      <w:r>
        <w:rPr>
          <w:rFonts w:ascii="宋体" w:hAnsi="宋体" w:cs="宋体"/>
          <w:b/>
          <w:bCs/>
          <w:color w:val="000000" w:themeColor="text1"/>
          <w:spacing w:val="-3"/>
          <w:sz w:val="24"/>
          <w14:textFill>
            <w14:solidFill>
              <w14:schemeClr w14:val="tx1"/>
            </w14:solidFill>
          </w14:textFill>
        </w:rPr>
        <w:t>响评价等级为三级。</w:t>
      </w:r>
    </w:p>
    <w:p w14:paraId="1DA3E8B5">
      <w:pPr>
        <w:pStyle w:val="5"/>
        <w:adjustRightInd w:val="0"/>
        <w:snapToGrid w:val="0"/>
        <w:spacing w:before="0" w:after="0" w:line="360" w:lineRule="auto"/>
        <w:rPr>
          <w:color w:val="000000" w:themeColor="text1"/>
          <w:sz w:val="28"/>
          <w:szCs w:val="28"/>
          <w14:textFill>
            <w14:solidFill>
              <w14:schemeClr w14:val="tx1"/>
            </w14:solidFill>
          </w14:textFill>
        </w:rPr>
      </w:pPr>
      <w:bookmarkStart w:id="781" w:name="_Toc10145"/>
      <w:bookmarkStart w:id="782" w:name="_Toc23825"/>
      <w:bookmarkStart w:id="783" w:name="_Toc230079404"/>
      <w:bookmarkStart w:id="784" w:name="_Toc233380224"/>
      <w:r>
        <w:rPr>
          <w:rFonts w:hint="eastAsia"/>
          <w:color w:val="000000" w:themeColor="text1"/>
          <w:sz w:val="28"/>
          <w:szCs w:val="28"/>
          <w14:textFill>
            <w14:solidFill>
              <w14:schemeClr w14:val="tx1"/>
            </w14:solidFill>
          </w14:textFill>
        </w:rPr>
        <w:t>5.4.2区域水文地质条件</w:t>
      </w:r>
      <w:bookmarkEnd w:id="781"/>
      <w:bookmarkEnd w:id="782"/>
      <w:bookmarkEnd w:id="783"/>
      <w:bookmarkEnd w:id="784"/>
    </w:p>
    <w:p w14:paraId="34233B4D">
      <w:pPr>
        <w:adjustRightInd w:val="0"/>
        <w:snapToGrid w:val="0"/>
        <w:spacing w:line="360" w:lineRule="auto"/>
        <w:ind w:firstLine="482" w:firstLineChars="200"/>
        <w:jc w:val="both"/>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1、地形地貌</w:t>
      </w:r>
    </w:p>
    <w:p w14:paraId="0AFC1CC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巴州区境属盆地低山区，地势北高南低。除溪河地势较低、山峰地势较高外，大部分海拔在400米～800米之间。主要地貌类型有平坝、台地、低丘、高丘、低山、低中山、山原等。平坝主要分布在巴河、恩阳河、双桥河沿岸。台地除北部低中山区少见外，其余地区均有出现，较多的是东部的水宁寺镇等；低丘主要分布在巴河、恩阳河一带；高丘主要分布在区境的西南部，巴河、恩阳河两岸与平坝和低丘相邻地段；低山全区各地均有分布；低中山分布在区境北部与通江、南江交界的白庙、梓橦、寺岭、枣林等乡镇的全部或部分区域，海拔在1000米～1400米之间，相对高差650米～1090米；山原分布于区境低山、低中山的山顶、山脊及山坡上。</w:t>
      </w:r>
    </w:p>
    <w:p w14:paraId="063D8668">
      <w:pPr>
        <w:adjustRightInd w:val="0"/>
        <w:snapToGrid w:val="0"/>
        <w:spacing w:line="360" w:lineRule="auto"/>
        <w:ind w:firstLine="482" w:firstLineChars="200"/>
        <w:jc w:val="both"/>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2、地层岩性</w:t>
      </w:r>
    </w:p>
    <w:p w14:paraId="031A5640">
      <w:pPr>
        <w:adjustRightInd w:val="0"/>
        <w:snapToGrid w:val="0"/>
        <w:spacing w:line="360" w:lineRule="auto"/>
        <w:ind w:firstLine="488" w:firstLineChars="200"/>
        <w:jc w:val="both"/>
        <w:rPr>
          <w:color w:val="000000" w:themeColor="text1"/>
          <w:sz w:val="24"/>
          <w14:textFill>
            <w14:solidFill>
              <w14:schemeClr w14:val="tx1"/>
            </w14:solidFill>
          </w14:textFill>
        </w:rPr>
      </w:pPr>
      <w:r>
        <w:rPr>
          <w:rFonts w:ascii="宋体" w:hAnsi="宋体"/>
          <w:color w:val="000000" w:themeColor="text1"/>
          <w:spacing w:val="2"/>
          <w:sz w:val="24"/>
          <w14:textFill>
            <w14:solidFill>
              <w14:schemeClr w14:val="tx1"/>
            </w14:solidFill>
          </w14:textFill>
        </w:rPr>
        <w:t>根据区域地质资料和巴中市</w:t>
      </w:r>
      <w:r>
        <w:rPr>
          <w:rFonts w:hint="eastAsia" w:ascii="宋体" w:hAnsi="宋体"/>
          <w:color w:val="000000" w:themeColor="text1"/>
          <w:spacing w:val="2"/>
          <w:sz w:val="24"/>
          <w14:textFill>
            <w14:solidFill>
              <w14:schemeClr w14:val="tx1"/>
            </w14:solidFill>
          </w14:textFill>
        </w:rPr>
        <w:t>巴州区</w:t>
      </w:r>
      <w:r>
        <w:rPr>
          <w:rFonts w:ascii="宋体" w:hAnsi="宋体"/>
          <w:color w:val="000000" w:themeColor="text1"/>
          <w:spacing w:val="2"/>
          <w:sz w:val="24"/>
          <w14:textFill>
            <w14:solidFill>
              <w14:schemeClr w14:val="tx1"/>
            </w14:solidFill>
          </w14:textFill>
        </w:rPr>
        <w:t>的地层分布特征，</w:t>
      </w:r>
      <w:r>
        <w:rPr>
          <w:color w:val="000000" w:themeColor="text1"/>
          <w:sz w:val="24"/>
          <w14:textFill>
            <w14:solidFill>
              <w14:schemeClr w14:val="tx1"/>
            </w14:solidFill>
          </w14:textFill>
        </w:rPr>
        <w:t>巴州区内出露的基岩地层有侏罗系上统蓬莱镇组、白垩系下统苍溪组和白垩系下统白龙组，出露面积1200km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，占全区面积的82%，第四系松散地层在全区分布面积约18%。巴州区地层岩性详述如下：</w:t>
      </w:r>
    </w:p>
    <w:p w14:paraId="246B8428">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（1）侏罗系上统蓬莱镇组：主要分布于巴州区北部及南部的凤溪、大罗镇局部地段，常构成单面山低山和中山地形。岩性为紫红色泥岩、泥质粉砂岩夹砖红色、青灰色厚层细粒长石石英砂岩。</w:t>
      </w:r>
    </w:p>
    <w:p w14:paraId="4BB9C122">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（2）白垩系下统苍溪组、白龙组：主要分布于巴州区中部和南部，常构成桌状低山、梁状低山和丘陵地形。岩性为青灰色厚层中-细粒长石石英砂岩夹砖红色泥岩、粉砂质泥岩，底部有一层厚1.0米左右的砾岩。</w:t>
      </w:r>
    </w:p>
    <w:p w14:paraId="0159F28A">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第四系松散地层：由崩坡积碎块石土、残坡积碎石土和冲积砂卵砾石、亚粘土组成。崩坡积块碎石土、残坡积碎石土分布于基岩地区斜坡之上，层厚较小，通常1-5米。冲积砂卵砾石、亚粘土沿巴河及其支流两岸分布，厚度通常小于10米，局部可达20余米。</w:t>
      </w:r>
    </w:p>
    <w:p w14:paraId="72BA58CB">
      <w:pPr>
        <w:adjustRightInd w:val="0"/>
        <w:snapToGrid w:val="0"/>
        <w:spacing w:line="360" w:lineRule="auto"/>
        <w:ind w:firstLine="490" w:firstLineChars="200"/>
        <w:jc w:val="both"/>
        <w:rPr>
          <w:rFonts w:ascii="宋体" w:hAnsi="宋体"/>
          <w:b/>
          <w:bCs/>
          <w:color w:val="000000" w:themeColor="text1"/>
          <w:spacing w:val="2"/>
          <w:sz w:val="24"/>
          <w14:textFill>
            <w14:solidFill>
              <w14:schemeClr w14:val="tx1"/>
            </w14:solidFill>
          </w14:textFill>
        </w:rPr>
      </w:pPr>
      <w:r>
        <w:rPr>
          <w:rFonts w:hint="eastAsia" w:ascii="宋体" w:hAnsi="宋体"/>
          <w:b/>
          <w:bCs/>
          <w:color w:val="000000" w:themeColor="text1"/>
          <w:spacing w:val="2"/>
          <w:sz w:val="24"/>
          <w14:textFill>
            <w14:solidFill>
              <w14:schemeClr w14:val="tx1"/>
            </w14:solidFill>
          </w14:textFill>
        </w:rPr>
        <w:t>3、水文地质</w:t>
      </w:r>
    </w:p>
    <w:p w14:paraId="10371787">
      <w:pPr>
        <w:adjustRightInd w:val="0"/>
        <w:snapToGrid w:val="0"/>
        <w:spacing w:line="360" w:lineRule="auto"/>
        <w:ind w:firstLine="488" w:firstLineChars="200"/>
        <w:jc w:val="both"/>
        <w:rPr>
          <w:rFonts w:ascii="宋体" w:hAnsi="宋体"/>
          <w:color w:val="FF0000"/>
          <w:spacing w:val="2"/>
          <w:sz w:val="24"/>
        </w:rPr>
      </w:pPr>
      <w:r>
        <w:rPr>
          <w:rFonts w:hint="eastAsia" w:ascii="宋体" w:hAnsi="宋体"/>
          <w:color w:val="000000" w:themeColor="text1"/>
          <w:spacing w:val="2"/>
          <w:sz w:val="24"/>
          <w14:textFill>
            <w14:solidFill>
              <w14:schemeClr w14:val="tx1"/>
            </w14:solidFill>
          </w14:textFill>
        </w:rPr>
        <w:t>本项目位于巴州区，</w:t>
      </w:r>
      <w:r>
        <w:rPr>
          <w:color w:val="000000" w:themeColor="text1"/>
          <w:sz w:val="24"/>
          <w14:textFill>
            <w14:solidFill>
              <w14:schemeClr w14:val="tx1"/>
            </w14:solidFill>
          </w14:textFill>
        </w:rPr>
        <w:t>巴中</w:t>
      </w:r>
      <w:r>
        <w:rPr>
          <w:rFonts w:hint="eastAsia"/>
          <w:color w:val="000000" w:themeColor="text1"/>
          <w:sz w:val="24"/>
          <w14:textFill>
            <w14:solidFill>
              <w14:schemeClr w14:val="tx1"/>
            </w14:solidFill>
          </w14:textFill>
        </w:rPr>
        <w:t>巴州区</w:t>
      </w:r>
      <w:r>
        <w:rPr>
          <w:color w:val="000000" w:themeColor="text1"/>
          <w:sz w:val="24"/>
          <w14:textFill>
            <w14:solidFill>
              <w14:schemeClr w14:val="tx1"/>
            </w14:solidFill>
          </w14:textFill>
        </w:rPr>
        <w:t>区地下水类型主要可划分为：上层滞水、松散岩类孔隙水、碎屑岩类孔隙裂隙水和基岩裂隙水四大类。</w:t>
      </w:r>
    </w:p>
    <w:p w14:paraId="2C8E586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（1）上层滞水</w:t>
      </w:r>
    </w:p>
    <w:p w14:paraId="6BE34B40">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主要分布于规划区表层填土层中，受大气降水及民用生活水补给，通过下渗排泄。填土层为相对透水层，局部含少量上层滞水。</w:t>
      </w:r>
    </w:p>
    <w:p w14:paraId="09CAC78C">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（2）松散岩类孔隙水</w:t>
      </w:r>
    </w:p>
    <w:p w14:paraId="4355EB8C">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主要分布在河谷两岸各阶地，由全新统和更新统冲积层组成。地下水赋存于砂、砂砾卵石层的孔隙中，水位埋深在中段（转弯处）为4.5~6.9m，两端为1~3m。其中更新统冲积层一般不具备双层结构，上部粘土和亚粘土透水性很差，构成二、三级阶地，只在堆积层底部近基座面上有泉水出露，单井涌水量10~100t/d；全新统冲积层构成一级阶地及河漫滩，富水量中等，单井涌水量100~500t/d。</w:t>
      </w:r>
    </w:p>
    <w:p w14:paraId="523A41B6">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（3）碎屑岩类孔隙裂隙水</w:t>
      </w:r>
    </w:p>
    <w:p w14:paraId="1FF7B384">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含水层为蓬莱镇组上段（J3p2）和苍溪组（K1c）、白龙组（K1b）的砂岩层。砂岩层厚20~40m，裂隙率1~5%。地下水赋存于砂岩、泥质粉砂岩中，含水层顶板埋深20~80m，水位埋深1~5m。</w:t>
      </w:r>
    </w:p>
    <w:p w14:paraId="7CAEA4F8">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（4）基岩裂隙水</w:t>
      </w:r>
    </w:p>
    <w:p w14:paraId="52FBAC03">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构造裂隙水：含水层包括除遂宁组以外的侏罗系和白垩系各个层组，以砂岩作为主要含水层。在侵蚀基准面以上的泉水，大都是在各个含水砂岩层的底部出露，一般与上、下砂岩层之间没有水力联系，可把每层砂岩视为一个独立的含水岩体。偶尔当层间泥岩层薄时，上一层砂岩中的水穿过泥岩风化层，在下一层砂岩中出露。故地下水的埋藏深度受各层砂岩的厚度及地形微地貌控制，一般5~15m。</w:t>
      </w:r>
    </w:p>
    <w:p w14:paraId="5AE6D7F9">
      <w:pPr>
        <w:adjustRightInd w:val="0"/>
        <w:snapToGrid w:val="0"/>
        <w:spacing w:line="360" w:lineRule="auto"/>
        <w:ind w:firstLine="480" w:firstLineChars="200"/>
        <w:jc w:val="both"/>
        <w:rPr>
          <w:rFonts w:ascii="宋体" w:hAnsi="宋体"/>
          <w:color w:val="FF0000"/>
          <w:spacing w:val="2"/>
          <w:sz w:val="24"/>
        </w:rPr>
      </w:pPr>
      <w:r>
        <w:rPr>
          <w:color w:val="000000" w:themeColor="text1"/>
          <w:sz w:val="24"/>
          <w14:textFill>
            <w14:solidFill>
              <w14:schemeClr w14:val="tx1"/>
            </w14:solidFill>
          </w14:textFill>
        </w:rPr>
        <w:t>风化网状裂隙水：主要分布于蓬莱镇组上段（J3p2）和少部分下段（J3p1）及遂宁组（J3s）地层，以泥岩为主，砂岩层次少而薄，总共有14~17层，厚度5~20米。地下水赋存在风化网状裂隙中，风化裂隙均较细小，强风化带厚只有2~3米，一般不超过10米，地下水赋存有限，埋藏很浅，天旱井（泉）干，井深一般2~4米，水深大部分不超过1米。赋存于砂岩中者，水量稍大，在坡麓以下降泉的形式排泄。泥岩中的地下水多分布在沟谷底部，或井或泉。总的来看，风化网状裂隙水分布不连续，主要汇集在谷（沟）底，埋藏浅，地下水动态受气候因素影响很大。</w:t>
      </w:r>
    </w:p>
    <w:p w14:paraId="71ED5A95">
      <w:pPr>
        <w:adjustRightInd w:val="0"/>
        <w:snapToGrid w:val="0"/>
        <w:spacing w:line="360" w:lineRule="auto"/>
        <w:ind w:firstLine="488" w:firstLineChars="200"/>
        <w:jc w:val="both"/>
        <w:rPr>
          <w:rFonts w:ascii="宋体" w:hAnsi="宋体"/>
          <w:color w:val="000000" w:themeColor="text1"/>
          <w:spacing w:val="2"/>
          <w:sz w:val="24"/>
          <w14:textFill>
            <w14:solidFill>
              <w14:schemeClr w14:val="tx1"/>
            </w14:solidFill>
          </w14:textFill>
        </w:rPr>
      </w:pPr>
      <w:r>
        <w:rPr>
          <w:rFonts w:hint="eastAsia" w:ascii="宋体" w:hAnsi="宋体"/>
          <w:color w:val="000000" w:themeColor="text1"/>
          <w:spacing w:val="2"/>
          <w:sz w:val="24"/>
          <w14:textFill>
            <w14:solidFill>
              <w14:schemeClr w14:val="tx1"/>
            </w14:solidFill>
          </w14:textFill>
        </w:rPr>
        <w:t>根据四川省水文地质图（附图</w:t>
      </w:r>
      <w:r>
        <w:rPr>
          <w:rFonts w:ascii="宋体" w:hAnsi="宋体"/>
          <w:color w:val="000000" w:themeColor="text1"/>
          <w:spacing w:val="2"/>
          <w:sz w:val="24"/>
          <w14:textFill>
            <w14:solidFill>
              <w14:schemeClr w14:val="tx1"/>
            </w14:solidFill>
          </w14:textFill>
        </w:rPr>
        <w:t>6</w:t>
      </w:r>
      <w:r>
        <w:rPr>
          <w:rFonts w:hint="eastAsia" w:ascii="宋体" w:hAnsi="宋体"/>
          <w:color w:val="000000" w:themeColor="text1"/>
          <w:spacing w:val="2"/>
          <w:sz w:val="24"/>
          <w14:textFill>
            <w14:solidFill>
              <w14:schemeClr w14:val="tx1"/>
            </w14:solidFill>
          </w14:textFill>
        </w:rPr>
        <w:t>），根据“一、地下水类型及含水层（组）富水性”，本项目所在位置为基岩孔隙裂隙</w:t>
      </w:r>
      <w:r>
        <w:rPr>
          <w:rFonts w:ascii="宋体" w:hAnsi="宋体"/>
          <w:color w:val="000000" w:themeColor="text1"/>
          <w:spacing w:val="2"/>
          <w:sz w:val="24"/>
          <w14:textFill>
            <w14:solidFill>
              <w14:schemeClr w14:val="tx1"/>
            </w14:solidFill>
          </w14:textFill>
        </w:rPr>
        <w:t>含水层</w:t>
      </w:r>
      <w:r>
        <w:rPr>
          <w:rFonts w:hint="eastAsia" w:ascii="宋体" w:hAnsi="宋体"/>
          <w:color w:val="000000" w:themeColor="text1"/>
          <w:spacing w:val="2"/>
          <w:sz w:val="24"/>
          <w14:textFill>
            <w14:solidFill>
              <w14:schemeClr w14:val="tx1"/>
            </w14:solidFill>
          </w14:textFill>
        </w:rPr>
        <w:t>。</w:t>
      </w:r>
    </w:p>
    <w:p w14:paraId="39B8EEA8">
      <w:pPr>
        <w:adjustRightInd w:val="0"/>
        <w:snapToGrid w:val="0"/>
        <w:spacing w:line="360" w:lineRule="auto"/>
        <w:ind w:firstLine="488" w:firstLineChars="200"/>
        <w:jc w:val="both"/>
        <w:rPr>
          <w:rFonts w:ascii="宋体" w:hAnsi="宋体"/>
          <w:color w:val="000000" w:themeColor="text1"/>
          <w:spacing w:val="2"/>
          <w:sz w:val="24"/>
          <w14:textFill>
            <w14:solidFill>
              <w14:schemeClr w14:val="tx1"/>
            </w14:solidFill>
          </w14:textFill>
        </w:rPr>
      </w:pPr>
      <w:r>
        <w:rPr>
          <w:rFonts w:ascii="宋体" w:hAnsi="宋体"/>
          <w:color w:val="000000" w:themeColor="text1"/>
          <w:spacing w:val="2"/>
          <w:sz w:val="24"/>
          <w14:textFill>
            <w14:solidFill>
              <w14:schemeClr w14:val="tx1"/>
            </w14:solidFill>
          </w14:textFill>
        </w:rPr>
        <w:t>基岩裂隙水</w:t>
      </w:r>
      <w:r>
        <w:rPr>
          <w:rFonts w:hint="eastAsia" w:ascii="宋体" w:hAnsi="宋体"/>
          <w:color w:val="000000" w:themeColor="text1"/>
          <w:spacing w:val="2"/>
          <w:sz w:val="24"/>
          <w14:textFill>
            <w14:solidFill>
              <w14:schemeClr w14:val="tx1"/>
            </w14:solidFill>
          </w14:textFill>
        </w:rPr>
        <w:t>——构造裂隙水：由于多种构造体系在县域内复合，构造应力的作用比较复杂；因而构造裂隙的发育和分布比较普遍。构造裂隙水分布于县域的中北部，占县域面积的65%，含水层由侏罗系上统和白垩系下统组成。宽缓向斜构造部位的泉水流量在0.1l/s以上，地下迳流模数为0.1～1.0l/s·km</w:t>
      </w:r>
      <w:r>
        <w:rPr>
          <w:rFonts w:hint="eastAsia" w:ascii="宋体" w:hAnsi="宋体"/>
          <w:color w:val="000000" w:themeColor="text1"/>
          <w:spacing w:val="2"/>
          <w:sz w:val="24"/>
          <w:vertAlign w:val="superscript"/>
          <w14:textFill>
            <w14:solidFill>
              <w14:schemeClr w14:val="tx1"/>
            </w14:solidFill>
          </w14:textFill>
        </w:rPr>
        <w:t>2</w:t>
      </w:r>
      <w:r>
        <w:rPr>
          <w:rFonts w:hint="eastAsia" w:ascii="宋体" w:hAnsi="宋体"/>
          <w:color w:val="000000" w:themeColor="text1"/>
          <w:spacing w:val="2"/>
          <w:sz w:val="24"/>
          <w14:textFill>
            <w14:solidFill>
              <w14:schemeClr w14:val="tx1"/>
            </w14:solidFill>
          </w14:textFill>
        </w:rPr>
        <w:t>，在背斜与构造的翼部一般泉流量在0.01～0.1l/s，地下迳流模数为0.1～0.5l/s·km</w:t>
      </w:r>
      <w:r>
        <w:rPr>
          <w:rFonts w:hint="eastAsia" w:ascii="宋体" w:hAnsi="宋体"/>
          <w:color w:val="000000" w:themeColor="text1"/>
          <w:spacing w:val="2"/>
          <w:sz w:val="24"/>
          <w:vertAlign w:val="superscript"/>
          <w14:textFill>
            <w14:solidFill>
              <w14:schemeClr w14:val="tx1"/>
            </w14:solidFill>
          </w14:textFill>
        </w:rPr>
        <w:t>2</w:t>
      </w:r>
      <w:r>
        <w:rPr>
          <w:rFonts w:hint="eastAsia" w:ascii="宋体" w:hAnsi="宋体"/>
          <w:color w:val="000000" w:themeColor="text1"/>
          <w:spacing w:val="2"/>
          <w:sz w:val="24"/>
          <w14:textFill>
            <w14:solidFill>
              <w14:schemeClr w14:val="tx1"/>
            </w14:solidFill>
          </w14:textFill>
        </w:rPr>
        <w:t>。水化学类型以重碳酸钙型为主，少量为重碳酸钙镁型或重碳酸钙钠型。</w:t>
      </w:r>
    </w:p>
    <w:p w14:paraId="06A8657F">
      <w:pPr>
        <w:adjustRightInd w:val="0"/>
        <w:snapToGrid w:val="0"/>
        <w:spacing w:line="360" w:lineRule="auto"/>
        <w:ind w:firstLine="488" w:firstLineChars="200"/>
        <w:jc w:val="both"/>
        <w:rPr>
          <w:rFonts w:ascii="宋体" w:hAnsi="宋体"/>
          <w:color w:val="000000" w:themeColor="text1"/>
          <w:spacing w:val="2"/>
          <w:sz w:val="24"/>
          <w14:textFill>
            <w14:solidFill>
              <w14:schemeClr w14:val="tx1"/>
            </w14:solidFill>
          </w14:textFill>
        </w:rPr>
      </w:pPr>
      <w:r>
        <w:rPr>
          <w:rFonts w:hint="eastAsia" w:ascii="宋体" w:hAnsi="宋体"/>
          <w:color w:val="000000" w:themeColor="text1"/>
          <w:spacing w:val="2"/>
          <w:sz w:val="24"/>
          <w14:textFill>
            <w14:solidFill>
              <w14:schemeClr w14:val="tx1"/>
            </w14:solidFill>
          </w14:textFill>
        </w:rPr>
        <w:t>地下水补给、迳流、排泄条件：区内地下水运动特征是，以降水渗入补给为主，地下水迳流途程短，以泉水及渗流方式排泄并转化为地表水，补给区、迳流区和排泄区基本一致，水力坡度大，水交替作用强烈。</w:t>
      </w:r>
    </w:p>
    <w:p w14:paraId="054A710A">
      <w:pPr>
        <w:adjustRightInd w:val="0"/>
        <w:snapToGrid w:val="0"/>
        <w:spacing w:line="360" w:lineRule="auto"/>
        <w:ind w:firstLine="486" w:firstLineChars="200"/>
        <w:jc w:val="both"/>
        <w:rPr>
          <w:b/>
          <w:bCs/>
          <w:color w:val="000000" w:themeColor="text1"/>
          <w:spacing w:val="1"/>
          <w:sz w:val="24"/>
          <w14:textFill>
            <w14:solidFill>
              <w14:schemeClr w14:val="tx1"/>
            </w14:solidFill>
          </w14:textFill>
        </w:rPr>
      </w:pPr>
      <w:r>
        <w:rPr>
          <w:rFonts w:hint="eastAsia"/>
          <w:b/>
          <w:bCs/>
          <w:color w:val="000000" w:themeColor="text1"/>
          <w:spacing w:val="1"/>
          <w:sz w:val="24"/>
          <w14:textFill>
            <w14:solidFill>
              <w14:schemeClr w14:val="tx1"/>
            </w14:solidFill>
          </w14:textFill>
        </w:rPr>
        <w:t>4</w:t>
      </w:r>
      <w:r>
        <w:rPr>
          <w:b/>
          <w:bCs/>
          <w:color w:val="000000" w:themeColor="text1"/>
          <w:spacing w:val="1"/>
          <w:sz w:val="24"/>
          <w14:textFill>
            <w14:solidFill>
              <w14:schemeClr w14:val="tx1"/>
            </w14:solidFill>
          </w14:textFill>
        </w:rPr>
        <w:t>、地下水功能</w:t>
      </w:r>
    </w:p>
    <w:p w14:paraId="13DF2D14">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地下水功能是指地下水的水质和水量及其在空间和时间上的变化对人类社会和环境 所产生的作用或效应，它由地下水的资源功能、生态环境功能和地质环境功能组成。</w:t>
      </w:r>
    </w:p>
    <w:p w14:paraId="73D124B1">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①地下水的资源功能：指具备一定的补给、储存和更新条件的地下水资源供给保障作用或效应。为了保持地下水的资源供给功能，首先在水量上，地下水要得到可持续的稳定补给，这样才能保障可持续开发。</w:t>
      </w:r>
    </w:p>
    <w:p w14:paraId="39797EA1">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②地下水的生态环境功能：指地下水系统对陆表植被或湖泊、湿地或土地质量良性维持的作用或效应，如果地下水系统发生变化，则生态环境出现相应的改变。地表水生态系统（河道基流、湿地、泉水等）和陆地非地带性植被都需要地下水补给和调节，地下水位下降和水质恶化对地表生态系统会带来严重影响。</w:t>
      </w:r>
    </w:p>
    <w:p w14:paraId="04FBC8B9">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③地下水的地质环境功能：指地下水的地质安全保障功能，是指地下水系统对其所赋存的地质环境稳定性所具有支撑和保护的作用或效应，如果地下水系统发生变化，则地质环境出现相应的改变。</w:t>
      </w:r>
    </w:p>
    <w:p w14:paraId="4A5019B4">
      <w:pPr>
        <w:adjustRightInd w:val="0"/>
        <w:snapToGrid w:val="0"/>
        <w:spacing w:line="360" w:lineRule="auto"/>
        <w:ind w:firstLine="482" w:firstLineChars="200"/>
        <w:jc w:val="both"/>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5、地下水利用现状</w:t>
      </w:r>
    </w:p>
    <w:p w14:paraId="7DF6E694">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根据现场调查，项目所在评价区无集中式饮用水水源，无热水、矿泉水、温泉等特殊地下水资源，本项目周围区域无分散式饮用水水源，周围居民饮用水来源为市政供水。</w:t>
      </w:r>
    </w:p>
    <w:p w14:paraId="03F8B3F4">
      <w:pPr>
        <w:adjustRightInd w:val="0"/>
        <w:snapToGrid w:val="0"/>
        <w:spacing w:line="360" w:lineRule="auto"/>
        <w:ind w:firstLine="482" w:firstLineChars="200"/>
        <w:jc w:val="both"/>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6、地下水污染源调查</w:t>
      </w:r>
    </w:p>
    <w:p w14:paraId="771C589A">
      <w:pPr>
        <w:adjustRightInd w:val="0"/>
        <w:snapToGrid w:val="0"/>
        <w:spacing w:line="360" w:lineRule="auto"/>
        <w:ind w:firstLine="496" w:firstLineChars="200"/>
        <w:jc w:val="both"/>
        <w:rPr>
          <w:color w:val="000000" w:themeColor="text1"/>
          <w:sz w:val="24"/>
          <w14:textFill>
            <w14:solidFill>
              <w14:schemeClr w14:val="tx1"/>
            </w14:solidFill>
          </w14:textFill>
        </w:rPr>
      </w:pPr>
      <w:r>
        <w:rPr>
          <w:rFonts w:ascii="宋体" w:hAnsi="宋体" w:cs="宋体"/>
          <w:color w:val="000000" w:themeColor="text1"/>
          <w:spacing w:val="4"/>
          <w:sz w:val="24"/>
          <w14:textFill>
            <w14:solidFill>
              <w14:schemeClr w14:val="tx1"/>
            </w14:solidFill>
          </w14:textFill>
        </w:rPr>
        <w:t>根据《环境影响评价技术导则地下水环境》（</w:t>
      </w:r>
      <w:r>
        <w:rPr>
          <w:rFonts w:eastAsia="Times New Roman"/>
          <w:color w:val="000000" w:themeColor="text1"/>
          <w:sz w:val="24"/>
          <w14:textFill>
            <w14:solidFill>
              <w14:schemeClr w14:val="tx1"/>
            </w14:solidFill>
          </w14:textFill>
        </w:rPr>
        <w:t>HJ</w:t>
      </w:r>
      <w:r>
        <w:rPr>
          <w:rFonts w:eastAsia="Times New Roman"/>
          <w:color w:val="000000" w:themeColor="text1"/>
          <w:spacing w:val="4"/>
          <w:sz w:val="24"/>
          <w14:textFill>
            <w14:solidFill>
              <w14:schemeClr w14:val="tx1"/>
            </w14:solidFill>
          </w14:textFill>
        </w:rPr>
        <w:t>610-2016</w:t>
      </w:r>
      <w:r>
        <w:rPr>
          <w:rFonts w:ascii="宋体" w:hAnsi="宋体" w:cs="宋体"/>
          <w:color w:val="000000" w:themeColor="text1"/>
          <w:spacing w:val="21"/>
          <w:sz w:val="24"/>
          <w14:textFill>
            <w14:solidFill>
              <w14:schemeClr w14:val="tx1"/>
            </w14:solidFill>
          </w14:textFill>
        </w:rPr>
        <w:t>），</w:t>
      </w:r>
      <w:r>
        <w:rPr>
          <w:rFonts w:ascii="宋体" w:hAnsi="宋体" w:cs="宋体"/>
          <w:color w:val="000000" w:themeColor="text1"/>
          <w:spacing w:val="4"/>
          <w:sz w:val="24"/>
          <w14:textFill>
            <w14:solidFill>
              <w14:schemeClr w14:val="tx1"/>
            </w14:solidFill>
          </w14:textFill>
        </w:rPr>
        <w:t>针对本项目特征，本</w:t>
      </w:r>
      <w:r>
        <w:rPr>
          <w:rFonts w:ascii="宋体" w:hAnsi="宋体" w:cs="宋体"/>
          <w:color w:val="000000" w:themeColor="text1"/>
          <w:spacing w:val="-1"/>
          <w:sz w:val="24"/>
          <w14:textFill>
            <w14:solidFill>
              <w14:schemeClr w14:val="tx1"/>
            </w14:solidFill>
          </w14:textFill>
        </w:rPr>
        <w:t>次污染源调查包括：地下水污染源分布及类型调查。</w:t>
      </w:r>
    </w:p>
    <w:p w14:paraId="157FF84B">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1）工业污染源</w:t>
      </w:r>
    </w:p>
    <w:p w14:paraId="696521E5">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根据现场调查，项目所在评价区无工业污染源。</w:t>
      </w:r>
    </w:p>
    <w:p w14:paraId="67D2476C">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2）农业污染源</w:t>
      </w:r>
    </w:p>
    <w:p w14:paraId="090AF665">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现场调查，项目所在评价区分布有部分农用地，主要经济作物为玉米、小麦等，农业生产过程中会使用尿素、碳铵、磷肥等化肥和百草枯、草甘膦异丙胺盐等农药。同时，评价区内部分农户涉及家禽养殖。因此，项目所在评价区农业污染源主要为农业生产过程中使用化肥、农药和畜禽粪污渗入地下水造成面源污染。</w:t>
      </w:r>
    </w:p>
    <w:p w14:paraId="049B3359">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3）生活污染源</w:t>
      </w:r>
    </w:p>
    <w:p w14:paraId="510D88B7">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现场调查，项目所在评价区分布有部分农户，生活污水均采用化粪池处理后用作农肥、生活垃圾就近倾倒。因此，项目所在评价区生活污染源主要为农户生活污水和生活垃圾渗滤液渗入地下水对地下水系统造成污染。</w:t>
      </w:r>
    </w:p>
    <w:p w14:paraId="0F42B4D7">
      <w:pPr>
        <w:pStyle w:val="5"/>
        <w:adjustRightInd w:val="0"/>
        <w:snapToGrid w:val="0"/>
        <w:spacing w:before="0" w:after="0" w:line="360" w:lineRule="auto"/>
        <w:rPr>
          <w:color w:val="000000" w:themeColor="text1"/>
          <w:sz w:val="24"/>
          <w:szCs w:val="24"/>
          <w14:textFill>
            <w14:solidFill>
              <w14:schemeClr w14:val="tx1"/>
            </w14:solidFill>
          </w14:textFill>
        </w:rPr>
      </w:pPr>
      <w:bookmarkStart w:id="785" w:name="_Toc31278"/>
      <w:bookmarkStart w:id="786" w:name="_Toc26881"/>
      <w:r>
        <w:rPr>
          <w:rFonts w:hint="eastAsia"/>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HYPERLINK </w:instrText>
      </w:r>
      <w:r>
        <w:rPr>
          <w:rFonts w:hint="eastAsia"/>
          <w:color w:val="000000" w:themeColor="text1"/>
          <w:sz w:val="28"/>
          <w:szCs w:val="28"/>
          <w14:textFill>
            <w14:solidFill>
              <w14:schemeClr w14:val="tx1"/>
            </w14:solidFill>
          </w14:textFill>
        </w:rPr>
        <w:instrText xml:space="preserve">"C:\\Users\\Administrator\\Desktop\\环评\\编制中项目\\巴州区肉牛养殖建设项目\\报告编制\\文本\\6.2.3.3"</w:instrText>
      </w:r>
      <w:r>
        <w:rPr>
          <w:rFonts w:hint="eastAsia"/>
          <w:color w:val="000000" w:themeColor="text1"/>
          <w:sz w:val="28"/>
          <w:szCs w:val="28"/>
          <w14:textFill>
            <w14:solidFill>
              <w14:schemeClr w14:val="tx1"/>
            </w14:solidFill>
          </w14:textFill>
        </w:rPr>
        <w:fldChar w:fldCharType="separate"/>
      </w:r>
      <w:bookmarkStart w:id="787" w:name="_Toc230079405"/>
      <w:bookmarkStart w:id="788" w:name="_Toc233380225"/>
      <w:r>
        <w:rPr>
          <w:rFonts w:hint="eastAsia"/>
          <w:color w:val="000000" w:themeColor="text1"/>
          <w:sz w:val="28"/>
          <w:szCs w:val="28"/>
          <w14:textFill>
            <w14:solidFill>
              <w14:schemeClr w14:val="tx1"/>
            </w14:solidFill>
          </w14:textFill>
        </w:rPr>
        <w:t>5.4.3</w:t>
      </w:r>
      <w:r>
        <w:rPr>
          <w:rFonts w:hint="eastAsia"/>
          <w:color w:val="000000" w:themeColor="text1"/>
          <w:sz w:val="28"/>
          <w:szCs w:val="28"/>
          <w14:textFill>
            <w14:solidFill>
              <w14:schemeClr w14:val="tx1"/>
            </w14:solidFill>
          </w14:textFill>
        </w:rPr>
        <w:fldChar w:fldCharType="end"/>
      </w:r>
      <w:r>
        <w:rPr>
          <w:rFonts w:hint="eastAsia"/>
          <w:color w:val="000000" w:themeColor="text1"/>
          <w:sz w:val="28"/>
          <w:szCs w:val="28"/>
          <w14:textFill>
            <w14:solidFill>
              <w14:schemeClr w14:val="tx1"/>
            </w14:solidFill>
          </w14:textFill>
        </w:rPr>
        <w:t>地下水污染源及污染途径</w:t>
      </w:r>
      <w:bookmarkEnd w:id="785"/>
      <w:bookmarkEnd w:id="786"/>
      <w:bookmarkEnd w:id="787"/>
      <w:bookmarkEnd w:id="788"/>
    </w:p>
    <w:p w14:paraId="0D206637">
      <w:pPr>
        <w:adjustRightInd w:val="0"/>
        <w:snapToGrid w:val="0"/>
        <w:spacing w:line="360" w:lineRule="auto"/>
        <w:ind w:firstLine="482" w:firstLineChars="200"/>
        <w:jc w:val="both"/>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1）地下水污染途径分类</w:t>
      </w:r>
    </w:p>
    <w:p w14:paraId="2EFDF1BF">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地下水污染途径大致归纳为四类：</w:t>
      </w:r>
    </w:p>
    <w:p w14:paraId="5F2FF4D7">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间歇入渗型：大气降水使污染物随水通过非饱水带，周期性地渗入含水层，主要是污染潜水，淋滤固体废物堆引起的污染，即属此类。</w:t>
      </w:r>
    </w:p>
    <w:p w14:paraId="4DD0CEBF">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连续入渗型：污染物随水不断地渗入含水层，主要也是污染潜水，如废水聚集地段（如废水渠、废水池等）和受污染的地表水体连续渗漏造成地下水污染。</w:t>
      </w:r>
    </w:p>
    <w:p w14:paraId="5E984BC7">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越流型：污染物通过径流方式从已受污染的含水层转移到未受污染的含水层。污染物或者是通过整个层间，或者是通过地层的天窗，或者是通过破损的井管，污染潜水和承压水。地下水的开采改变了径流方向，使已受污染的潜水进入未受污染的承压水，即属此类。</w:t>
      </w:r>
    </w:p>
    <w:p w14:paraId="139FFBB2">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径流型：污染物通过地下径流进入含水层，污染潜水或承压水。污染物通过地下岩溶孔道进入含水层，即属此类。</w:t>
      </w:r>
    </w:p>
    <w:p w14:paraId="7B878C70">
      <w:pPr>
        <w:adjustRightInd w:val="0"/>
        <w:snapToGrid w:val="0"/>
        <w:spacing w:line="360" w:lineRule="auto"/>
        <w:ind w:firstLine="482" w:firstLineChars="200"/>
        <w:jc w:val="both"/>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2）地下水污染途径确定</w:t>
      </w:r>
    </w:p>
    <w:p w14:paraId="1A23AE69">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①正常状况地下水污染途径</w:t>
      </w:r>
    </w:p>
    <w:p w14:paraId="65E6A039">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按照《环境影响评价技术导则 地下水环境》（HJ610-2016）要求，根据项目工程特点分析，项目初期雨水经集水池收集后暂存，集水池采取防渗措施，正常情况不会导致废水及废物下渗。生活污水经化粪池池处理后用作场区绿化。基于以上分析，在正常防渗条件下，项目区运营不会对地下水环境造成影响。</w:t>
      </w:r>
    </w:p>
    <w:p w14:paraId="5B9D9FBE">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②非正常状况下地下水污染途径</w:t>
      </w:r>
    </w:p>
    <w:p w14:paraId="49063196">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本项目各区防渗措施如下表：</w:t>
      </w:r>
    </w:p>
    <w:p w14:paraId="0DA9211C">
      <w:pPr>
        <w:adjustRightInd w:val="0"/>
        <w:snapToGrid w:val="0"/>
        <w:spacing w:line="360" w:lineRule="auto"/>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表5.4-1 本项目各区防渗措施设计</w:t>
      </w:r>
    </w:p>
    <w:tbl>
      <w:tblPr>
        <w:tblStyle w:val="88"/>
        <w:tblW w:w="497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712"/>
        <w:gridCol w:w="2363"/>
        <w:gridCol w:w="4057"/>
      </w:tblGrid>
      <w:tr w14:paraId="1AFD73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68" w:type="pct"/>
            <w:tcBorders>
              <w:tl2br w:val="nil"/>
              <w:tr2bl w:val="nil"/>
            </w:tcBorders>
            <w:vAlign w:val="center"/>
          </w:tcPr>
          <w:p w14:paraId="2C67EBF1">
            <w:pPr>
              <w:adjustRightInd w:val="0"/>
              <w:snapToGrid w:val="0"/>
              <w:jc w:val="center"/>
              <w:rPr>
                <w:b/>
                <w:color w:val="000000" w:themeColor="text1"/>
                <w:spacing w:val="12"/>
                <w:szCs w:val="21"/>
                <w14:textFill>
                  <w14:solidFill>
                    <w14:schemeClr w14:val="tx1"/>
                  </w14:solidFill>
                </w14:textFill>
              </w:rPr>
            </w:pPr>
            <w:r>
              <w:rPr>
                <w:b/>
                <w:color w:val="000000" w:themeColor="text1"/>
                <w:spacing w:val="12"/>
                <w:szCs w:val="21"/>
                <w14:textFill>
                  <w14:solidFill>
                    <w14:schemeClr w14:val="tx1"/>
                  </w14:solidFill>
                </w14:textFill>
              </w:rPr>
              <w:t>防渗类别</w:t>
            </w:r>
          </w:p>
        </w:tc>
        <w:tc>
          <w:tcPr>
            <w:tcW w:w="954" w:type="pct"/>
            <w:tcBorders>
              <w:tl2br w:val="nil"/>
              <w:tr2bl w:val="nil"/>
            </w:tcBorders>
            <w:vAlign w:val="center"/>
          </w:tcPr>
          <w:p w14:paraId="29D33BF1">
            <w:pPr>
              <w:adjustRightInd w:val="0"/>
              <w:snapToGrid w:val="0"/>
              <w:jc w:val="center"/>
              <w:rPr>
                <w:b/>
                <w:color w:val="000000" w:themeColor="text1"/>
                <w:spacing w:val="12"/>
                <w:szCs w:val="21"/>
                <w14:textFill>
                  <w14:solidFill>
                    <w14:schemeClr w14:val="tx1"/>
                  </w14:solidFill>
                </w14:textFill>
              </w:rPr>
            </w:pPr>
            <w:r>
              <w:rPr>
                <w:b/>
                <w:color w:val="000000" w:themeColor="text1"/>
                <w:spacing w:val="12"/>
                <w:szCs w:val="21"/>
                <w14:textFill>
                  <w14:solidFill>
                    <w14:schemeClr w14:val="tx1"/>
                  </w14:solidFill>
                </w14:textFill>
              </w:rPr>
              <w:t>防渗区域</w:t>
            </w:r>
          </w:p>
        </w:tc>
        <w:tc>
          <w:tcPr>
            <w:tcW w:w="1317" w:type="pct"/>
            <w:tcBorders>
              <w:tl2br w:val="nil"/>
              <w:tr2bl w:val="nil"/>
            </w:tcBorders>
            <w:vAlign w:val="center"/>
          </w:tcPr>
          <w:p w14:paraId="27AF59A7">
            <w:pPr>
              <w:adjustRightInd w:val="0"/>
              <w:snapToGrid w:val="0"/>
              <w:jc w:val="center"/>
              <w:rPr>
                <w:b/>
                <w:color w:val="000000" w:themeColor="text1"/>
                <w:spacing w:val="12"/>
                <w:szCs w:val="21"/>
                <w14:textFill>
                  <w14:solidFill>
                    <w14:schemeClr w14:val="tx1"/>
                  </w14:solidFill>
                </w14:textFill>
              </w:rPr>
            </w:pPr>
            <w:r>
              <w:rPr>
                <w:b/>
                <w:bCs/>
                <w:color w:val="000000" w:themeColor="text1"/>
                <w:szCs w:val="21"/>
                <w14:textFill>
                  <w14:solidFill>
                    <w14:schemeClr w14:val="tx1"/>
                  </w14:solidFill>
                </w14:textFill>
              </w:rPr>
              <w:t>防渗技术要求</w:t>
            </w:r>
          </w:p>
        </w:tc>
        <w:tc>
          <w:tcPr>
            <w:tcW w:w="2261" w:type="pct"/>
            <w:tcBorders>
              <w:tl2br w:val="nil"/>
              <w:tr2bl w:val="nil"/>
            </w:tcBorders>
            <w:vAlign w:val="center"/>
          </w:tcPr>
          <w:p w14:paraId="0D0F31FD">
            <w:pPr>
              <w:adjustRightInd w:val="0"/>
              <w:snapToGrid w:val="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防渗措施</w:t>
            </w:r>
          </w:p>
        </w:tc>
      </w:tr>
      <w:tr w14:paraId="19839A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68" w:type="pct"/>
            <w:vMerge w:val="restart"/>
            <w:tcBorders>
              <w:tl2br w:val="nil"/>
              <w:tr2bl w:val="nil"/>
            </w:tcBorders>
            <w:vAlign w:val="center"/>
          </w:tcPr>
          <w:p w14:paraId="08571916">
            <w:pPr>
              <w:adjustRightInd w:val="0"/>
              <w:snapToGrid w:val="0"/>
              <w:jc w:val="center"/>
              <w:rPr>
                <w:color w:val="000000" w:themeColor="text1"/>
                <w:spacing w:val="12"/>
                <w:szCs w:val="21"/>
                <w14:textFill>
                  <w14:solidFill>
                    <w14:schemeClr w14:val="tx1"/>
                  </w14:solidFill>
                </w14:textFill>
              </w:rPr>
            </w:pPr>
            <w:r>
              <w:rPr>
                <w:rFonts w:hint="eastAsia"/>
                <w:color w:val="000000" w:themeColor="text1"/>
                <w:spacing w:val="7"/>
                <w:szCs w:val="21"/>
                <w14:textFill>
                  <w14:solidFill>
                    <w14:schemeClr w14:val="tx1"/>
                  </w14:solidFill>
                </w14:textFill>
              </w:rPr>
              <w:t>重点</w:t>
            </w:r>
            <w:r>
              <w:rPr>
                <w:color w:val="000000" w:themeColor="text1"/>
                <w:spacing w:val="7"/>
                <w:szCs w:val="21"/>
                <w14:textFill>
                  <w14:solidFill>
                    <w14:schemeClr w14:val="tx1"/>
                  </w14:solidFill>
                </w14:textFill>
              </w:rPr>
              <w:t>防渗区</w:t>
            </w:r>
          </w:p>
        </w:tc>
        <w:tc>
          <w:tcPr>
            <w:tcW w:w="954" w:type="pct"/>
            <w:tcBorders>
              <w:tl2br w:val="nil"/>
              <w:tr2bl w:val="nil"/>
            </w:tcBorders>
            <w:vAlign w:val="center"/>
          </w:tcPr>
          <w:p w14:paraId="106A1D9D">
            <w:pPr>
              <w:adjustRightInd w:val="0"/>
              <w:snapToGrid w:val="0"/>
              <w:jc w:val="center"/>
              <w:rPr>
                <w:rFonts w:ascii="宋体" w:hAnsi="宋体" w:cs="宋体"/>
                <w:color w:val="000000" w:themeColor="text1"/>
                <w:spacing w:val="-2"/>
                <w:szCs w:val="21"/>
                <w14:textFill>
                  <w14:solidFill>
                    <w14:schemeClr w14:val="tx1"/>
                  </w14:solidFill>
                </w14:textFill>
              </w:rPr>
            </w:pPr>
            <w:r>
              <w:rPr>
                <w:rFonts w:hint="eastAsia" w:ascii="宋体" w:hAnsi="宋体" w:cs="宋体"/>
                <w:color w:val="000000" w:themeColor="text1"/>
                <w:spacing w:val="-2"/>
                <w:szCs w:val="21"/>
                <w14:textFill>
                  <w14:solidFill>
                    <w14:schemeClr w14:val="tx1"/>
                  </w14:solidFill>
                </w14:textFill>
              </w:rPr>
              <w:t>医废暂存</w:t>
            </w:r>
            <w:r>
              <w:rPr>
                <w:rFonts w:hint="eastAsia"/>
                <w:color w:val="000000" w:themeColor="text1"/>
                <w:spacing w:val="12"/>
                <w:szCs w:val="21"/>
                <w14:textFill>
                  <w14:solidFill>
                    <w14:schemeClr w14:val="tx1"/>
                  </w14:solidFill>
                </w14:textFill>
              </w:rPr>
              <w:t>间</w:t>
            </w:r>
          </w:p>
        </w:tc>
        <w:tc>
          <w:tcPr>
            <w:tcW w:w="1317" w:type="pct"/>
            <w:tcBorders>
              <w:tl2br w:val="nil"/>
              <w:tr2bl w:val="nil"/>
            </w:tcBorders>
            <w:vAlign w:val="center"/>
          </w:tcPr>
          <w:p w14:paraId="51FEC17D">
            <w:pPr>
              <w:pStyle w:val="1233"/>
              <w:spacing w:line="240" w:lineRule="auto"/>
              <w:rPr>
                <w:rFonts w:ascii="宋体" w:hAnsi="宋体" w:cs="宋体"/>
                <w:color w:val="000000" w:themeColor="text1"/>
                <w:spacing w:val="-2"/>
                <w:sz w:val="21"/>
                <w:szCs w:val="21"/>
                <w14:textFill>
                  <w14:solidFill>
                    <w14:schemeClr w14:val="tx1"/>
                  </w14:solidFill>
                </w14:textFill>
              </w:rPr>
            </w:pPr>
            <w:r>
              <w:rPr>
                <w:color w:val="000000" w:themeColor="text1"/>
                <w:sz w:val="21"/>
                <w:szCs w:val="21"/>
                <w14:textFill>
                  <w14:solidFill>
                    <w14:schemeClr w14:val="tx1"/>
                  </w14:solidFill>
                </w14:textFill>
              </w:rPr>
              <w:t>防渗层为至少1m厚黏土层（渗透系数不大于10</w:t>
            </w:r>
            <w:r>
              <w:rPr>
                <w:color w:val="000000" w:themeColor="text1"/>
                <w:sz w:val="21"/>
                <w:szCs w:val="21"/>
                <w:vertAlign w:val="superscript"/>
                <w14:textFill>
                  <w14:solidFill>
                    <w14:schemeClr w14:val="tx1"/>
                  </w14:solidFill>
                </w14:textFill>
              </w:rPr>
              <w:t>-7</w:t>
            </w:r>
            <w:r>
              <w:rPr>
                <w:color w:val="000000" w:themeColor="text1"/>
                <w:sz w:val="21"/>
                <w:szCs w:val="21"/>
                <w14:textFill>
                  <w14:solidFill>
                    <w14:schemeClr w14:val="tx1"/>
                  </w14:solidFill>
                </w14:textFill>
              </w:rPr>
              <w:t>cm/s），或至少2mm厚高密度聚乙烯膜等人工防渗材料（渗透系数不大于10</w:t>
            </w:r>
            <w:r>
              <w:rPr>
                <w:color w:val="000000" w:themeColor="text1"/>
                <w:sz w:val="21"/>
                <w:szCs w:val="21"/>
                <w:vertAlign w:val="superscript"/>
                <w14:textFill>
                  <w14:solidFill>
                    <w14:schemeClr w14:val="tx1"/>
                  </w14:solidFill>
                </w14:textFill>
              </w:rPr>
              <w:t>-10</w:t>
            </w:r>
            <w:r>
              <w:rPr>
                <w:color w:val="000000" w:themeColor="text1"/>
                <w:sz w:val="21"/>
                <w:szCs w:val="21"/>
                <w14:textFill>
                  <w14:solidFill>
                    <w14:schemeClr w14:val="tx1"/>
                  </w14:solidFill>
                </w14:textFill>
              </w:rPr>
              <w:t xml:space="preserve"> cm/s）</w:t>
            </w:r>
          </w:p>
        </w:tc>
        <w:tc>
          <w:tcPr>
            <w:tcW w:w="2261" w:type="pct"/>
            <w:tcBorders>
              <w:tl2br w:val="nil"/>
              <w:tr2bl w:val="nil"/>
            </w:tcBorders>
            <w:vAlign w:val="center"/>
          </w:tcPr>
          <w:p w14:paraId="3551ADC1">
            <w:pPr>
              <w:pStyle w:val="1233"/>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地面及四周</w:t>
            </w:r>
            <w:r>
              <w:rPr>
                <w:color w:val="000000" w:themeColor="text1"/>
                <w:sz w:val="21"/>
                <w:szCs w:val="21"/>
                <w14:textFill>
                  <w14:solidFill>
                    <w14:schemeClr w14:val="tx1"/>
                  </w14:solidFill>
                </w14:textFill>
              </w:rPr>
              <w:t>1m</w:t>
            </w:r>
            <w:r>
              <w:rPr>
                <w:rFonts w:hint="eastAsia"/>
                <w:color w:val="000000" w:themeColor="text1"/>
                <w:sz w:val="21"/>
                <w:szCs w:val="21"/>
                <w14:textFill>
                  <w14:solidFill>
                    <w14:schemeClr w14:val="tx1"/>
                  </w14:solidFill>
                </w14:textFill>
              </w:rPr>
              <w:t>高的墙裙必须做防渗处理，采取“夯实土层</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混凝土垫层</w:t>
            </w:r>
            <w:r>
              <w:rPr>
                <w:color w:val="000000" w:themeColor="text1"/>
                <w:sz w:val="21"/>
                <w:szCs w:val="21"/>
                <w14:textFill>
                  <w14:solidFill>
                    <w14:schemeClr w14:val="tx1"/>
                  </w14:solidFill>
                </w14:textFill>
              </w:rPr>
              <w:t>+2mmHDPE</w:t>
            </w:r>
            <w:r>
              <w:rPr>
                <w:rFonts w:hint="eastAsia"/>
                <w:color w:val="000000" w:themeColor="text1"/>
                <w:sz w:val="21"/>
                <w:szCs w:val="21"/>
                <w14:textFill>
                  <w14:solidFill>
                    <w14:schemeClr w14:val="tx1"/>
                  </w14:solidFill>
                </w14:textFill>
              </w:rPr>
              <w:t>膜</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混凝土地面”的防渗措施，从下往上依次是</w:t>
            </w:r>
            <w:r>
              <w:rPr>
                <w:color w:val="000000" w:themeColor="text1"/>
                <w:sz w:val="21"/>
                <w:szCs w:val="21"/>
                <w14:textFill>
                  <w14:solidFill>
                    <w14:schemeClr w14:val="tx1"/>
                  </w14:solidFill>
                </w14:textFill>
              </w:rPr>
              <w:t>100cm</w:t>
            </w:r>
            <w:r>
              <w:rPr>
                <w:rFonts w:hint="eastAsia"/>
                <w:color w:val="000000" w:themeColor="text1"/>
                <w:sz w:val="21"/>
                <w:szCs w:val="21"/>
                <w14:textFill>
                  <w14:solidFill>
                    <w14:schemeClr w14:val="tx1"/>
                  </w14:solidFill>
                </w14:textFill>
              </w:rPr>
              <w:t>夯实土层、</w:t>
            </w:r>
            <w:r>
              <w:rPr>
                <w:color w:val="000000" w:themeColor="text1"/>
                <w:sz w:val="21"/>
                <w:szCs w:val="21"/>
                <w14:textFill>
                  <w14:solidFill>
                    <w14:schemeClr w14:val="tx1"/>
                  </w14:solidFill>
                </w14:textFill>
              </w:rPr>
              <w:t>15cm</w:t>
            </w:r>
            <w:r>
              <w:rPr>
                <w:rFonts w:hint="eastAsia"/>
                <w:color w:val="000000" w:themeColor="text1"/>
                <w:sz w:val="21"/>
                <w:szCs w:val="21"/>
                <w14:textFill>
                  <w14:solidFill>
                    <w14:schemeClr w14:val="tx1"/>
                  </w14:solidFill>
                </w14:textFill>
              </w:rPr>
              <w:t>厚混凝土垫层、</w:t>
            </w:r>
            <w:r>
              <w:rPr>
                <w:color w:val="000000" w:themeColor="text1"/>
                <w:sz w:val="21"/>
                <w:szCs w:val="21"/>
                <w14:textFill>
                  <w14:solidFill>
                    <w14:schemeClr w14:val="tx1"/>
                  </w14:solidFill>
                </w14:textFill>
              </w:rPr>
              <w:t>2mm</w:t>
            </w:r>
            <w:r>
              <w:rPr>
                <w:rFonts w:hint="eastAsia"/>
                <w:color w:val="000000" w:themeColor="text1"/>
                <w:sz w:val="21"/>
                <w:szCs w:val="21"/>
                <w14:textFill>
                  <w14:solidFill>
                    <w14:schemeClr w14:val="tx1"/>
                  </w14:solidFill>
                </w14:textFill>
              </w:rPr>
              <w:t>厚</w:t>
            </w:r>
            <w:r>
              <w:rPr>
                <w:color w:val="000000" w:themeColor="text1"/>
                <w:sz w:val="21"/>
                <w:szCs w:val="21"/>
                <w14:textFill>
                  <w14:solidFill>
                    <w14:schemeClr w14:val="tx1"/>
                  </w14:solidFill>
                </w14:textFill>
              </w:rPr>
              <w:t>HDPE</w:t>
            </w:r>
            <w:r>
              <w:rPr>
                <w:rFonts w:hint="eastAsia"/>
                <w:color w:val="000000" w:themeColor="text1"/>
                <w:sz w:val="21"/>
                <w:szCs w:val="21"/>
                <w14:textFill>
                  <w14:solidFill>
                    <w14:schemeClr w14:val="tx1"/>
                  </w14:solidFill>
                </w14:textFill>
              </w:rPr>
              <w:t>防渗膜、</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厚混凝土地面，地面预留伸缩缝（深度不得超过</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w:t>
            </w:r>
          </w:p>
        </w:tc>
      </w:tr>
      <w:tr w14:paraId="040467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68" w:type="pct"/>
            <w:vMerge w:val="continue"/>
            <w:tcBorders>
              <w:tl2br w:val="nil"/>
              <w:tr2bl w:val="nil"/>
            </w:tcBorders>
            <w:vAlign w:val="center"/>
          </w:tcPr>
          <w:p w14:paraId="68D1EFAF">
            <w:pPr>
              <w:pStyle w:val="1233"/>
              <w:spacing w:line="240" w:lineRule="auto"/>
              <w:rPr>
                <w:color w:val="000000" w:themeColor="text1"/>
                <w14:textFill>
                  <w14:solidFill>
                    <w14:schemeClr w14:val="tx1"/>
                  </w14:solidFill>
                </w14:textFill>
              </w:rPr>
            </w:pPr>
          </w:p>
        </w:tc>
        <w:tc>
          <w:tcPr>
            <w:tcW w:w="954" w:type="pct"/>
            <w:tcBorders>
              <w:tl2br w:val="nil"/>
              <w:tr2bl w:val="nil"/>
            </w:tcBorders>
            <w:vAlign w:val="center"/>
          </w:tcPr>
          <w:p w14:paraId="58E4EAAF">
            <w:pPr>
              <w:adjustRightInd w:val="0"/>
              <w:snapToGrid w:val="0"/>
              <w:jc w:val="center"/>
              <w:rPr>
                <w:rFonts w:ascii="宋体" w:hAnsi="宋体" w:cs="宋体"/>
                <w:color w:val="000000" w:themeColor="text1"/>
                <w:spacing w:val="-2"/>
                <w:szCs w:val="21"/>
                <w14:textFill>
                  <w14:solidFill>
                    <w14:schemeClr w14:val="tx1"/>
                  </w14:solidFill>
                </w14:textFill>
              </w:rPr>
            </w:pPr>
            <w:r>
              <w:rPr>
                <w:rFonts w:hint="eastAsia"/>
                <w:color w:val="000000" w:themeColor="text1"/>
                <w:spacing w:val="-2"/>
                <w:szCs w:val="21"/>
                <w14:textFill>
                  <w14:solidFill>
                    <w14:schemeClr w14:val="tx1"/>
                  </w14:solidFill>
                </w14:textFill>
              </w:rPr>
              <w:t>青贮窖池、</w:t>
            </w:r>
            <w:r>
              <w:rPr>
                <w:color w:val="000000" w:themeColor="text1"/>
                <w:spacing w:val="-2"/>
                <w:szCs w:val="21"/>
                <w14:textFill>
                  <w14:solidFill>
                    <w14:schemeClr w14:val="tx1"/>
                  </w14:solidFill>
                </w14:textFill>
              </w:rPr>
              <w:t>药品库、柴油发电机房</w:t>
            </w:r>
            <w:r>
              <w:rPr>
                <w:rFonts w:hint="eastAsia"/>
                <w:color w:val="000000" w:themeColor="text1"/>
                <w:spacing w:val="-2"/>
                <w:szCs w:val="21"/>
                <w14:textFill>
                  <w14:solidFill>
                    <w14:schemeClr w14:val="tx1"/>
                  </w14:solidFill>
                </w14:textFill>
              </w:rPr>
              <w:t>、化粪池、隔油池</w:t>
            </w:r>
          </w:p>
        </w:tc>
        <w:tc>
          <w:tcPr>
            <w:tcW w:w="1317" w:type="pct"/>
            <w:tcBorders>
              <w:tl2br w:val="nil"/>
              <w:tr2bl w:val="nil"/>
            </w:tcBorders>
            <w:vAlign w:val="center"/>
          </w:tcPr>
          <w:p w14:paraId="610C1ACE">
            <w:pPr>
              <w:pStyle w:val="1233"/>
              <w:spacing w:line="240" w:lineRule="auto"/>
              <w:rPr>
                <w:rFonts w:ascii="宋体" w:hAnsi="宋体" w:cs="宋体"/>
                <w:color w:val="000000" w:themeColor="text1"/>
                <w:spacing w:val="-2"/>
                <w:sz w:val="21"/>
                <w:szCs w:val="21"/>
                <w14:textFill>
                  <w14:solidFill>
                    <w14:schemeClr w14:val="tx1"/>
                  </w14:solidFill>
                </w14:textFill>
              </w:rPr>
            </w:pPr>
            <w:r>
              <w:rPr>
                <w:bCs/>
                <w:color w:val="000000" w:themeColor="text1"/>
                <w:kern w:val="2"/>
                <w:sz w:val="21"/>
                <w:szCs w:val="21"/>
                <w14:textFill>
                  <w14:solidFill>
                    <w14:schemeClr w14:val="tx1"/>
                  </w14:solidFill>
                </w14:textFill>
              </w:rPr>
              <w:t>等效黏土防渗层Mb≥6.0m，</w:t>
            </w:r>
            <w:r>
              <w:rPr>
                <w:bCs/>
                <w:color w:val="000000" w:themeColor="text1"/>
                <w:sz w:val="21"/>
                <w:szCs w:val="21"/>
                <w14:textFill>
                  <w14:solidFill>
                    <w14:schemeClr w14:val="tx1"/>
                  </w14:solidFill>
                </w14:textFill>
              </w:rPr>
              <w:t>渗透系数</w:t>
            </w:r>
            <w:r>
              <w:rPr>
                <w:bCs/>
                <w:color w:val="000000" w:themeColor="text1"/>
                <w:kern w:val="2"/>
                <w:sz w:val="21"/>
                <w:szCs w:val="21"/>
                <w14:textFill>
                  <w14:solidFill>
                    <w14:schemeClr w14:val="tx1"/>
                  </w14:solidFill>
                </w14:textFill>
              </w:rPr>
              <w:t>K≤1.0×10</w:t>
            </w:r>
            <w:r>
              <w:rPr>
                <w:bCs/>
                <w:color w:val="000000" w:themeColor="text1"/>
                <w:kern w:val="2"/>
                <w:sz w:val="21"/>
                <w:szCs w:val="21"/>
                <w:vertAlign w:val="superscript"/>
                <w14:textFill>
                  <w14:solidFill>
                    <w14:schemeClr w14:val="tx1"/>
                  </w14:solidFill>
                </w14:textFill>
              </w:rPr>
              <w:t>-7</w:t>
            </w:r>
            <w:r>
              <w:rPr>
                <w:bCs/>
                <w:color w:val="000000" w:themeColor="text1"/>
                <w:kern w:val="2"/>
                <w:sz w:val="21"/>
                <w:szCs w:val="21"/>
                <w14:textFill>
                  <w14:solidFill>
                    <w14:schemeClr w14:val="tx1"/>
                  </w14:solidFill>
                </w14:textFill>
              </w:rPr>
              <w:t>cm/s</w:t>
            </w:r>
          </w:p>
        </w:tc>
        <w:tc>
          <w:tcPr>
            <w:tcW w:w="2261" w:type="pct"/>
            <w:tcBorders>
              <w:tl2br w:val="nil"/>
              <w:tr2bl w:val="nil"/>
            </w:tcBorders>
            <w:vAlign w:val="center"/>
          </w:tcPr>
          <w:p w14:paraId="286D4BDF">
            <w:pPr>
              <w:pStyle w:val="1233"/>
              <w:spacing w:line="240" w:lineRule="auto"/>
              <w:rPr>
                <w:bCs/>
                <w:color w:val="000000" w:themeColor="text1"/>
                <w:kern w:val="2"/>
                <w:sz w:val="21"/>
                <w:szCs w:val="21"/>
                <w14:textFill>
                  <w14:solidFill>
                    <w14:schemeClr w14:val="tx1"/>
                  </w14:solidFill>
                </w14:textFill>
              </w:rPr>
            </w:pPr>
            <w:r>
              <w:rPr>
                <w:rFonts w:hint="eastAsia"/>
                <w:color w:val="000000" w:themeColor="text1"/>
                <w:sz w:val="21"/>
                <w:szCs w:val="21"/>
                <w14:textFill>
                  <w14:solidFill>
                    <w14:schemeClr w14:val="tx1"/>
                  </w14:solidFill>
                </w14:textFill>
              </w:rPr>
              <w:t>地面及四周</w:t>
            </w:r>
            <w:r>
              <w:rPr>
                <w:color w:val="000000" w:themeColor="text1"/>
                <w:sz w:val="21"/>
                <w:szCs w:val="21"/>
                <w14:textFill>
                  <w14:solidFill>
                    <w14:schemeClr w14:val="tx1"/>
                  </w14:solidFill>
                </w14:textFill>
              </w:rPr>
              <w:t>1m</w:t>
            </w:r>
            <w:r>
              <w:rPr>
                <w:rFonts w:hint="eastAsia"/>
                <w:color w:val="000000" w:themeColor="text1"/>
                <w:sz w:val="21"/>
                <w:szCs w:val="21"/>
                <w14:textFill>
                  <w14:solidFill>
                    <w14:schemeClr w14:val="tx1"/>
                  </w14:solidFill>
                </w14:textFill>
              </w:rPr>
              <w:t>高的墙裙必须做防渗处理，采取“夯实土层</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混凝土垫层</w:t>
            </w:r>
            <w:r>
              <w:rPr>
                <w:color w:val="000000" w:themeColor="text1"/>
                <w:sz w:val="21"/>
                <w:szCs w:val="21"/>
                <w14:textFill>
                  <w14:solidFill>
                    <w14:schemeClr w14:val="tx1"/>
                  </w14:solidFill>
                </w14:textFill>
              </w:rPr>
              <w:t>+2mmHDPE</w:t>
            </w:r>
            <w:r>
              <w:rPr>
                <w:rFonts w:hint="eastAsia"/>
                <w:color w:val="000000" w:themeColor="text1"/>
                <w:sz w:val="21"/>
                <w:szCs w:val="21"/>
                <w14:textFill>
                  <w14:solidFill>
                    <w14:schemeClr w14:val="tx1"/>
                  </w14:solidFill>
                </w14:textFill>
              </w:rPr>
              <w:t>膜</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混凝土地面</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的防渗措施，从下往上依次是</w:t>
            </w:r>
            <w:r>
              <w:rPr>
                <w:color w:val="000000" w:themeColor="text1"/>
                <w:sz w:val="21"/>
                <w:szCs w:val="21"/>
                <w14:textFill>
                  <w14:solidFill>
                    <w14:schemeClr w14:val="tx1"/>
                  </w14:solidFill>
                </w14:textFill>
              </w:rPr>
              <w:t>100cm</w:t>
            </w:r>
            <w:r>
              <w:rPr>
                <w:rFonts w:hint="eastAsia"/>
                <w:color w:val="000000" w:themeColor="text1"/>
                <w:sz w:val="21"/>
                <w:szCs w:val="21"/>
                <w14:textFill>
                  <w14:solidFill>
                    <w14:schemeClr w14:val="tx1"/>
                  </w14:solidFill>
                </w14:textFill>
              </w:rPr>
              <w:t>夯实土层、</w:t>
            </w:r>
            <w:r>
              <w:rPr>
                <w:color w:val="000000" w:themeColor="text1"/>
                <w:sz w:val="21"/>
                <w:szCs w:val="21"/>
                <w14:textFill>
                  <w14:solidFill>
                    <w14:schemeClr w14:val="tx1"/>
                  </w14:solidFill>
                </w14:textFill>
              </w:rPr>
              <w:t>15cm</w:t>
            </w:r>
            <w:r>
              <w:rPr>
                <w:rFonts w:hint="eastAsia"/>
                <w:color w:val="000000" w:themeColor="text1"/>
                <w:sz w:val="21"/>
                <w:szCs w:val="21"/>
                <w14:textFill>
                  <w14:solidFill>
                    <w14:schemeClr w14:val="tx1"/>
                  </w14:solidFill>
                </w14:textFill>
              </w:rPr>
              <w:t>厚混凝土垫层、</w:t>
            </w:r>
            <w:r>
              <w:rPr>
                <w:color w:val="000000" w:themeColor="text1"/>
                <w:sz w:val="21"/>
                <w:szCs w:val="21"/>
                <w14:textFill>
                  <w14:solidFill>
                    <w14:schemeClr w14:val="tx1"/>
                  </w14:solidFill>
                </w14:textFill>
              </w:rPr>
              <w:t>2mm</w:t>
            </w:r>
            <w:r>
              <w:rPr>
                <w:rFonts w:hint="eastAsia"/>
                <w:color w:val="000000" w:themeColor="text1"/>
                <w:sz w:val="21"/>
                <w:szCs w:val="21"/>
                <w14:textFill>
                  <w14:solidFill>
                    <w14:schemeClr w14:val="tx1"/>
                  </w14:solidFill>
                </w14:textFill>
              </w:rPr>
              <w:t>厚</w:t>
            </w:r>
            <w:r>
              <w:rPr>
                <w:color w:val="000000" w:themeColor="text1"/>
                <w:sz w:val="21"/>
                <w:szCs w:val="21"/>
                <w14:textFill>
                  <w14:solidFill>
                    <w14:schemeClr w14:val="tx1"/>
                  </w14:solidFill>
                </w14:textFill>
              </w:rPr>
              <w:t>HDPE</w:t>
            </w:r>
            <w:r>
              <w:rPr>
                <w:rFonts w:hint="eastAsia"/>
                <w:color w:val="000000" w:themeColor="text1"/>
                <w:sz w:val="21"/>
                <w:szCs w:val="21"/>
                <w14:textFill>
                  <w14:solidFill>
                    <w14:schemeClr w14:val="tx1"/>
                  </w14:solidFill>
                </w14:textFill>
              </w:rPr>
              <w:t>防渗膜、</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厚混凝土地面，地面预留伸缩缝（深度不得超过</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w:t>
            </w:r>
          </w:p>
        </w:tc>
      </w:tr>
      <w:tr w14:paraId="18A298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68" w:type="pct"/>
            <w:tcBorders>
              <w:tl2br w:val="nil"/>
              <w:tr2bl w:val="nil"/>
            </w:tcBorders>
            <w:vAlign w:val="center"/>
          </w:tcPr>
          <w:p w14:paraId="4AB04D88">
            <w:pPr>
              <w:adjustRightInd w:val="0"/>
              <w:snapToGrid w:val="0"/>
              <w:jc w:val="center"/>
              <w:rPr>
                <w:color w:val="000000" w:themeColor="text1"/>
                <w:spacing w:val="12"/>
                <w:szCs w:val="21"/>
                <w14:textFill>
                  <w14:solidFill>
                    <w14:schemeClr w14:val="tx1"/>
                  </w14:solidFill>
                </w14:textFill>
              </w:rPr>
            </w:pPr>
            <w:r>
              <w:rPr>
                <w:color w:val="000000" w:themeColor="text1"/>
                <w:spacing w:val="7"/>
                <w:szCs w:val="21"/>
                <w14:textFill>
                  <w14:solidFill>
                    <w14:schemeClr w14:val="tx1"/>
                  </w14:solidFill>
                </w14:textFill>
              </w:rPr>
              <w:t>一般防渗区</w:t>
            </w:r>
          </w:p>
        </w:tc>
        <w:tc>
          <w:tcPr>
            <w:tcW w:w="954" w:type="pct"/>
            <w:tcBorders>
              <w:tl2br w:val="nil"/>
              <w:tr2bl w:val="nil"/>
            </w:tcBorders>
          </w:tcPr>
          <w:p w14:paraId="689B3BA9">
            <w:pPr>
              <w:spacing w:before="24" w:line="228" w:lineRule="auto"/>
              <w:ind w:left="9"/>
              <w:jc w:val="center"/>
              <w:rPr>
                <w:color w:val="000000" w:themeColor="text1"/>
                <w:spacing w:val="2"/>
                <w:szCs w:val="21"/>
                <w14:textFill>
                  <w14:solidFill>
                    <w14:schemeClr w14:val="tx1"/>
                  </w14:solidFill>
                </w14:textFill>
              </w:rPr>
            </w:pPr>
            <w:r>
              <w:rPr>
                <w:rFonts w:hint="eastAsia" w:ascii="宋体" w:hAnsi="宋体" w:cs="宋体"/>
                <w:spacing w:val="-2"/>
                <w:szCs w:val="21"/>
              </w:rPr>
              <w:t>牛舍、饲料仓库、饲料加工间、消毒池、雨水收集池、冷库</w:t>
            </w:r>
          </w:p>
        </w:tc>
        <w:tc>
          <w:tcPr>
            <w:tcW w:w="1317" w:type="pct"/>
            <w:tcBorders>
              <w:tl2br w:val="nil"/>
              <w:tr2bl w:val="nil"/>
            </w:tcBorders>
            <w:vAlign w:val="center"/>
          </w:tcPr>
          <w:p w14:paraId="264CB9C2">
            <w:pPr>
              <w:pStyle w:val="257"/>
              <w:rPr>
                <w:color w:val="000000" w:themeColor="text1"/>
                <w:spacing w:val="12"/>
                <w:sz w:val="21"/>
                <w14:textFill>
                  <w14:solidFill>
                    <w14:schemeClr w14:val="tx1"/>
                  </w14:solidFill>
                </w14:textFill>
              </w:rPr>
            </w:pPr>
            <w:r>
              <w:rPr>
                <w:bCs/>
                <w:color w:val="000000" w:themeColor="text1"/>
                <w:sz w:val="21"/>
                <w14:textFill>
                  <w14:solidFill>
                    <w14:schemeClr w14:val="tx1"/>
                  </w14:solidFill>
                </w14:textFill>
              </w:rPr>
              <w:t>等效黏土防渗层Mb≥1.5m，渗透系数K≤1.0×10</w:t>
            </w:r>
            <w:r>
              <w:rPr>
                <w:bCs/>
                <w:color w:val="000000" w:themeColor="text1"/>
                <w:sz w:val="21"/>
                <w:vertAlign w:val="superscript"/>
                <w14:textFill>
                  <w14:solidFill>
                    <w14:schemeClr w14:val="tx1"/>
                  </w14:solidFill>
                </w14:textFill>
              </w:rPr>
              <w:t>-7</w:t>
            </w:r>
            <w:r>
              <w:rPr>
                <w:bCs/>
                <w:color w:val="000000" w:themeColor="text1"/>
                <w:sz w:val="21"/>
                <w14:textFill>
                  <w14:solidFill>
                    <w14:schemeClr w14:val="tx1"/>
                  </w14:solidFill>
                </w14:textFill>
              </w:rPr>
              <w:t>cm/s</w:t>
            </w:r>
          </w:p>
        </w:tc>
        <w:tc>
          <w:tcPr>
            <w:tcW w:w="2261" w:type="pct"/>
            <w:tcBorders>
              <w:tl2br w:val="nil"/>
              <w:tr2bl w:val="nil"/>
            </w:tcBorders>
            <w:vAlign w:val="center"/>
          </w:tcPr>
          <w:p w14:paraId="687F0883">
            <w:pPr>
              <w:pStyle w:val="1233"/>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防渗层为下部为黏土层</w:t>
            </w:r>
          </w:p>
          <w:p w14:paraId="6C767CE7">
            <w:pPr>
              <w:pStyle w:val="1233"/>
              <w:spacing w:line="240" w:lineRule="auto"/>
              <w:rPr>
                <w:bCs/>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抗渗混凝土（厚度不应小于</w:t>
            </w:r>
            <w:r>
              <w:rPr>
                <w:color w:val="000000" w:themeColor="text1"/>
                <w:sz w:val="21"/>
                <w:szCs w:val="21"/>
                <w14:textFill>
                  <w14:solidFill>
                    <w14:schemeClr w14:val="tx1"/>
                  </w14:solidFill>
                </w14:textFill>
              </w:rPr>
              <w:t>100mm</w:t>
            </w:r>
            <w:r>
              <w:rPr>
                <w:rFonts w:hint="eastAsia"/>
                <w:color w:val="000000" w:themeColor="text1"/>
                <w:sz w:val="21"/>
                <w:szCs w:val="21"/>
                <w14:textFill>
                  <w14:solidFill>
                    <w14:schemeClr w14:val="tx1"/>
                  </w14:solidFill>
                </w14:textFill>
              </w:rPr>
              <w:t>）</w:t>
            </w:r>
          </w:p>
        </w:tc>
      </w:tr>
      <w:tr w14:paraId="4925E1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468" w:type="pct"/>
            <w:tcBorders>
              <w:tl2br w:val="nil"/>
              <w:tr2bl w:val="nil"/>
            </w:tcBorders>
            <w:vAlign w:val="center"/>
          </w:tcPr>
          <w:p w14:paraId="30C77738">
            <w:pPr>
              <w:adjustRightInd w:val="0"/>
              <w:snapToGrid w:val="0"/>
              <w:jc w:val="center"/>
              <w:rPr>
                <w:color w:val="000000" w:themeColor="text1"/>
                <w:spacing w:val="12"/>
                <w:szCs w:val="21"/>
                <w14:textFill>
                  <w14:solidFill>
                    <w14:schemeClr w14:val="tx1"/>
                  </w14:solidFill>
                </w14:textFill>
              </w:rPr>
            </w:pPr>
            <w:r>
              <w:rPr>
                <w:color w:val="000000" w:themeColor="text1"/>
                <w:spacing w:val="7"/>
                <w:szCs w:val="21"/>
                <w14:textFill>
                  <w14:solidFill>
                    <w14:schemeClr w14:val="tx1"/>
                  </w14:solidFill>
                </w14:textFill>
              </w:rPr>
              <w:t>简单防渗区</w:t>
            </w:r>
          </w:p>
        </w:tc>
        <w:tc>
          <w:tcPr>
            <w:tcW w:w="954" w:type="pct"/>
            <w:tcBorders>
              <w:tl2br w:val="nil"/>
              <w:tr2bl w:val="nil"/>
            </w:tcBorders>
            <w:vAlign w:val="center"/>
          </w:tcPr>
          <w:p w14:paraId="6F35616E">
            <w:pPr>
              <w:adjustRightInd w:val="0"/>
              <w:snapToGrid w:val="0"/>
              <w:jc w:val="center"/>
              <w:rPr>
                <w:color w:val="000000" w:themeColor="text1"/>
                <w:spacing w:val="12"/>
                <w:szCs w:val="21"/>
                <w14:textFill>
                  <w14:solidFill>
                    <w14:schemeClr w14:val="tx1"/>
                  </w14:solidFill>
                </w14:textFill>
              </w:rPr>
            </w:pPr>
            <w:r>
              <w:rPr>
                <w:color w:val="000000" w:themeColor="text1"/>
                <w:spacing w:val="12"/>
                <w:szCs w:val="21"/>
                <w14:textFill>
                  <w14:solidFill>
                    <w14:schemeClr w14:val="tx1"/>
                  </w14:solidFill>
                </w14:textFill>
              </w:rPr>
              <w:t>办公生活区、道路等</w:t>
            </w:r>
          </w:p>
        </w:tc>
        <w:tc>
          <w:tcPr>
            <w:tcW w:w="1317" w:type="pct"/>
            <w:tcBorders>
              <w:tl2br w:val="nil"/>
              <w:tr2bl w:val="nil"/>
            </w:tcBorders>
            <w:vAlign w:val="center"/>
          </w:tcPr>
          <w:p w14:paraId="6DE79ABD">
            <w:pPr>
              <w:adjustRightInd w:val="0"/>
              <w:snapToGrid w:val="0"/>
              <w:jc w:val="center"/>
              <w:rPr>
                <w:color w:val="000000" w:themeColor="text1"/>
                <w:spacing w:val="12"/>
                <w:szCs w:val="21"/>
                <w14:textFill>
                  <w14:solidFill>
                    <w14:schemeClr w14:val="tx1"/>
                  </w14:solidFill>
                </w14:textFill>
              </w:rPr>
            </w:pPr>
            <w:r>
              <w:rPr>
                <w:color w:val="000000" w:themeColor="text1"/>
                <w:spacing w:val="12"/>
                <w:szCs w:val="21"/>
                <w14:textFill>
                  <w14:solidFill>
                    <w14:schemeClr w14:val="tx1"/>
                  </w14:solidFill>
                </w14:textFill>
              </w:rPr>
              <w:t>一般地面硬化</w:t>
            </w:r>
          </w:p>
        </w:tc>
        <w:tc>
          <w:tcPr>
            <w:tcW w:w="2261" w:type="pct"/>
            <w:tcBorders>
              <w:tl2br w:val="nil"/>
              <w:tr2bl w:val="nil"/>
            </w:tcBorders>
            <w:vAlign w:val="center"/>
          </w:tcPr>
          <w:p w14:paraId="69284682">
            <w:pPr>
              <w:pStyle w:val="1233"/>
              <w:spacing w:line="240" w:lineRule="auto"/>
              <w:rPr>
                <w:color w:val="000000" w:themeColor="text1"/>
                <w:spacing w:val="12"/>
                <w:sz w:val="21"/>
                <w:szCs w:val="21"/>
                <w14:textFill>
                  <w14:solidFill>
                    <w14:schemeClr w14:val="tx1"/>
                  </w14:solidFill>
                </w14:textFill>
              </w:rPr>
            </w:pPr>
            <w:r>
              <w:rPr>
                <w:rFonts w:hint="eastAsia"/>
                <w:color w:val="000000" w:themeColor="text1"/>
                <w:sz w:val="21"/>
                <w:szCs w:val="21"/>
                <w14:textFill>
                  <w14:solidFill>
                    <w14:schemeClr w14:val="tx1"/>
                  </w14:solidFill>
                </w14:textFill>
              </w:rPr>
              <w:t>采用非铺砌地坪或普通混凝土地坪</w:t>
            </w:r>
          </w:p>
        </w:tc>
      </w:tr>
    </w:tbl>
    <w:p w14:paraId="4D3CC0DC">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在上述措施下，重点防渗区各单元应满足等效黏土防渗层Mb≥6.0m，防渗系数K≤1×10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w:t>
      </w:r>
      <w:r>
        <w:rPr>
          <w:rFonts w:hint="eastAsia"/>
          <w:color w:val="000000" w:themeColor="text1"/>
          <w:sz w:val="24"/>
          <w14:textFill>
            <w14:solidFill>
              <w14:schemeClr w14:val="tx1"/>
            </w14:solidFill>
          </w14:textFill>
        </w:rPr>
        <w:t>危废</w:t>
      </w:r>
      <w:r>
        <w:rPr>
          <w:color w:val="000000" w:themeColor="text1"/>
          <w:sz w:val="24"/>
          <w14:textFill>
            <w14:solidFill>
              <w14:schemeClr w14:val="tx1"/>
            </w14:solidFill>
          </w14:textFill>
        </w:rPr>
        <w:t>暂存间应满足防渗层为至少1m厚黏土层（渗透系数不大于10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cm/s），或至少2mm厚高密度聚乙烯膜等人工防渗材料（渗透系数不大于10</w:t>
      </w:r>
      <w:r>
        <w:rPr>
          <w:color w:val="000000" w:themeColor="text1"/>
          <w:sz w:val="24"/>
          <w:vertAlign w:val="superscript"/>
          <w14:textFill>
            <w14:solidFill>
              <w14:schemeClr w14:val="tx1"/>
            </w14:solidFill>
          </w14:textFill>
        </w:rPr>
        <w:t>-10</w:t>
      </w:r>
      <w:r>
        <w:rPr>
          <w:color w:val="000000" w:themeColor="text1"/>
          <w:sz w:val="24"/>
          <w14:textFill>
            <w14:solidFill>
              <w14:schemeClr w14:val="tx1"/>
            </w14:solidFill>
          </w14:textFill>
        </w:rPr>
        <w:t>cm/s）的重点防渗区防渗技术要求，一般防渗区各单元应满足等效黏土防渗层Mb≥1.5m，防渗系数K≤1×10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cm/s。物料一旦发生泄漏容易发现并及时处理，对地下水环境影响较小。</w:t>
      </w:r>
    </w:p>
    <w:p w14:paraId="47D531B2">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在采取上述地下水保护措施后，正常情况下，项目不会对区域地下水造成显著影响。</w:t>
      </w:r>
    </w:p>
    <w:p w14:paraId="2EBF8A45">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同时项目在项目区下游设置跟踪监测井1个，必要时监测项目对区域地下水的影响并采取相应的措施。</w:t>
      </w:r>
    </w:p>
    <w:p w14:paraId="05284473">
      <w:pPr>
        <w:pStyle w:val="5"/>
        <w:adjustRightInd w:val="0"/>
        <w:snapToGrid w:val="0"/>
        <w:spacing w:before="0" w:after="0" w:line="360" w:lineRule="auto"/>
        <w:rPr>
          <w:color w:val="000000" w:themeColor="text1"/>
          <w:sz w:val="28"/>
          <w:szCs w:val="28"/>
          <w14:textFill>
            <w14:solidFill>
              <w14:schemeClr w14:val="tx1"/>
            </w14:solidFill>
          </w14:textFill>
        </w:rPr>
      </w:pPr>
      <w:bookmarkStart w:id="789" w:name="_Toc25770"/>
      <w:bookmarkStart w:id="790" w:name="_Toc31512"/>
      <w:r>
        <w:rPr>
          <w:rFonts w:hint="eastAsia"/>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HYPERLINK </w:instrText>
      </w:r>
      <w:r>
        <w:rPr>
          <w:rFonts w:hint="eastAsia"/>
          <w:color w:val="000000" w:themeColor="text1"/>
          <w:sz w:val="28"/>
          <w:szCs w:val="28"/>
          <w14:textFill>
            <w14:solidFill>
              <w14:schemeClr w14:val="tx1"/>
            </w14:solidFill>
          </w14:textFill>
        </w:rPr>
        <w:instrText xml:space="preserve">"C:\\Users\\Administrator\\Desktop\\环评\\编制中项目\\巴州区肉牛养殖建设项目\\报告编制\\文本\\6.2.3.3"</w:instrText>
      </w:r>
      <w:r>
        <w:rPr>
          <w:rFonts w:hint="eastAsia"/>
          <w:color w:val="000000" w:themeColor="text1"/>
          <w:sz w:val="28"/>
          <w:szCs w:val="28"/>
          <w14:textFill>
            <w14:solidFill>
              <w14:schemeClr w14:val="tx1"/>
            </w14:solidFill>
          </w14:textFill>
        </w:rPr>
        <w:fldChar w:fldCharType="separate"/>
      </w:r>
      <w:bookmarkStart w:id="791" w:name="_Toc230079406"/>
      <w:bookmarkStart w:id="792" w:name="_Toc233380226"/>
      <w:r>
        <w:rPr>
          <w:rFonts w:hint="eastAsia"/>
          <w:color w:val="000000" w:themeColor="text1"/>
          <w:sz w:val="28"/>
          <w:szCs w:val="28"/>
          <w14:textFill>
            <w14:solidFill>
              <w14:schemeClr w14:val="tx1"/>
            </w14:solidFill>
          </w14:textFill>
        </w:rPr>
        <w:t>5.4.4</w:t>
      </w:r>
      <w:r>
        <w:rPr>
          <w:rFonts w:hint="eastAsia"/>
          <w:color w:val="000000" w:themeColor="text1"/>
          <w:sz w:val="28"/>
          <w:szCs w:val="28"/>
          <w14:textFill>
            <w14:solidFill>
              <w14:schemeClr w14:val="tx1"/>
            </w14:solidFill>
          </w14:textFill>
        </w:rPr>
        <w:fldChar w:fldCharType="end"/>
      </w:r>
      <w:r>
        <w:rPr>
          <w:rFonts w:hint="eastAsia"/>
          <w:color w:val="000000" w:themeColor="text1"/>
          <w:sz w:val="28"/>
          <w:szCs w:val="28"/>
          <w14:textFill>
            <w14:solidFill>
              <w14:schemeClr w14:val="tx1"/>
            </w14:solidFill>
          </w14:textFill>
        </w:rPr>
        <w:t>地下水环境影响预测</w:t>
      </w:r>
      <w:bookmarkEnd w:id="789"/>
      <w:bookmarkEnd w:id="790"/>
      <w:bookmarkEnd w:id="791"/>
      <w:bookmarkEnd w:id="792"/>
    </w:p>
    <w:p w14:paraId="74D698E9">
      <w:pPr>
        <w:adjustRightInd w:val="0"/>
        <w:snapToGrid w:val="0"/>
        <w:spacing w:line="360" w:lineRule="auto"/>
        <w:ind w:firstLine="482" w:firstLineChars="200"/>
        <w:jc w:val="both"/>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1、预测原则</w:t>
      </w:r>
    </w:p>
    <w:p w14:paraId="67B51821">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（1）考虑到地下水环境污染的隐蔽性和难恢复性，遵循环境安全性原则，为评价各方案的环境安全和环境保护措施的合理性提供依据。</w:t>
      </w:r>
    </w:p>
    <w:p w14:paraId="296BA300">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（2）预测的范围、时段、内容和方法根据评级工作等级、工程特征与环境特征，结合当地环境功能和保护要求确定，以拟定建设项目对地下水水质的影响及由此而产生的主要环境水文地质问题为重点。</w:t>
      </w:r>
    </w:p>
    <w:p w14:paraId="2158F7E4">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（3）在结合地下水污染防控措施的基础上，对建设项目可能引起的地下水环境影响进行预测。</w:t>
      </w:r>
    </w:p>
    <w:p w14:paraId="6C66BFC8">
      <w:p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w:t>
      </w:r>
      <w:r>
        <w:rPr>
          <w:rFonts w:hint="eastAsia"/>
          <w:b/>
          <w:bCs/>
          <w:color w:val="000000" w:themeColor="text1"/>
          <w:sz w:val="24"/>
          <w14:textFill>
            <w14:solidFill>
              <w14:schemeClr w14:val="tx1"/>
            </w14:solidFill>
          </w14:textFill>
        </w:rPr>
        <w:t>、预测情景</w:t>
      </w:r>
    </w:p>
    <w:p w14:paraId="0CE2D8CE">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按照《环境影响评价技术导则 地下水环境》（HJ610-2016）要求，根据项目工程特点分析，项目运营期间牛舍铺设垫料，牛粪、尿液、垫料经牛踩踏后运至有机肥厂处理，牛舍采取防渗措施，正常情况不会导致废水及废物下渗；项目采用发酵床养殖工艺，正常情况无养殖废水产生。生活污水经化粪池处理后用于项目区绿化。基于以上分析，在正常防渗条件下，项目区运营不会对地下水环境造成影响。</w:t>
      </w:r>
    </w:p>
    <w:p w14:paraId="308C2A9F">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故本次预测拟对非正常情况下发生意外渗漏时对地下水环境的影响进行预测和分析。重点预测分析非正常情况下，项目泄漏的特征污染物在地下水中的迁移距离及其对含水层的影响。本次预测地下水污染源假定泄漏后直接进入含水层，从而对污染物在含水层中迁移转化进行模拟计算。</w:t>
      </w:r>
    </w:p>
    <w:p w14:paraId="6D2AA4D7">
      <w:pPr>
        <w:adjustRightInd w:val="0"/>
        <w:snapToGrid w:val="0"/>
        <w:spacing w:line="360" w:lineRule="auto"/>
        <w:ind w:firstLine="482" w:firstLineChars="200"/>
        <w:rPr>
          <w:b/>
          <w:bCs/>
          <w:color w:val="000000" w:themeColor="text1"/>
          <w:sz w:val="24"/>
          <w14:textFill>
            <w14:solidFill>
              <w14:schemeClr w14:val="tx1"/>
            </w14:solidFill>
          </w14:textFill>
        </w:rPr>
      </w:pPr>
      <w:bookmarkStart w:id="793" w:name="OLE_LINK148"/>
      <w:r>
        <w:rPr>
          <w:b/>
          <w:bCs/>
          <w:color w:val="000000" w:themeColor="text1"/>
          <w:sz w:val="24"/>
          <w14:textFill>
            <w14:solidFill>
              <w14:schemeClr w14:val="tx1"/>
            </w14:solidFill>
          </w14:textFill>
        </w:rPr>
        <w:t>2</w:t>
      </w:r>
      <w:r>
        <w:rPr>
          <w:rFonts w:hint="eastAsia"/>
          <w:b/>
          <w:bCs/>
          <w:color w:val="000000" w:themeColor="text1"/>
          <w:sz w:val="24"/>
          <w14:textFill>
            <w14:solidFill>
              <w14:schemeClr w14:val="tx1"/>
            </w14:solidFill>
          </w14:textFill>
        </w:rPr>
        <w:t>、预测时段及预测范围</w:t>
      </w:r>
    </w:p>
    <w:bookmarkEnd w:id="793"/>
    <w:p w14:paraId="65119968">
      <w:pPr>
        <w:adjustRightInd w:val="0"/>
        <w:snapToGrid w:val="0"/>
        <w:spacing w:line="360" w:lineRule="auto"/>
        <w:ind w:firstLine="500" w:firstLineChars="200"/>
        <w:jc w:val="both"/>
        <w:rPr>
          <w:rFonts w:ascii="宋体" w:hAnsi="宋体" w:cs="宋体"/>
          <w:color w:val="000000" w:themeColor="text1"/>
          <w:spacing w:val="5"/>
          <w:sz w:val="24"/>
          <w14:textFill>
            <w14:solidFill>
              <w14:schemeClr w14:val="tx1"/>
            </w14:solidFill>
          </w14:textFill>
        </w:rPr>
      </w:pPr>
      <w:r>
        <w:rPr>
          <w:rFonts w:hint="eastAsia" w:ascii="宋体" w:hAnsi="宋体" w:cs="宋体"/>
          <w:color w:val="000000" w:themeColor="text1"/>
          <w:spacing w:val="5"/>
          <w:sz w:val="24"/>
          <w14:textFill>
            <w14:solidFill>
              <w14:schemeClr w14:val="tx1"/>
            </w14:solidFill>
          </w14:textFill>
        </w:rPr>
        <w:t>本次评价工作等级为三级，结合区域水文地质调查，本报告采用解析法对地下水环境影响进行预测。</w:t>
      </w:r>
    </w:p>
    <w:p w14:paraId="6F3704D8">
      <w:pPr>
        <w:adjustRightInd w:val="0"/>
        <w:snapToGrid w:val="0"/>
        <w:spacing w:line="360" w:lineRule="auto"/>
        <w:ind w:firstLine="500" w:firstLineChars="200"/>
        <w:jc w:val="both"/>
        <w:rPr>
          <w:rFonts w:ascii="宋体" w:hAnsi="宋体" w:cs="宋体"/>
          <w:color w:val="000000" w:themeColor="text1"/>
          <w:spacing w:val="5"/>
          <w:sz w:val="24"/>
          <w14:textFill>
            <w14:solidFill>
              <w14:schemeClr w14:val="tx1"/>
            </w14:solidFill>
          </w14:textFill>
        </w:rPr>
      </w:pPr>
      <w:r>
        <w:rPr>
          <w:rFonts w:hint="eastAsia" w:ascii="宋体" w:hAnsi="宋体" w:cs="宋体"/>
          <w:color w:val="000000" w:themeColor="text1"/>
          <w:spacing w:val="5"/>
          <w:sz w:val="24"/>
          <w14:textFill>
            <w14:solidFill>
              <w14:schemeClr w14:val="tx1"/>
            </w14:solidFill>
          </w14:textFill>
        </w:rPr>
        <w:t>考虑到项目需要预测的潜水含水层（水质预测），为了说明建设项目对地下水环境的影响，预测范围设置在项目调查评价区，通过不同情境对可能产生的地下水污染进行预测分析评价。本次评价从建设项目污染源源强的设定、泄漏点的选择均是在考虑到区域环境水文地质条件上进行的。</w:t>
      </w:r>
    </w:p>
    <w:p w14:paraId="3D033447">
      <w:pPr>
        <w:adjustRightInd w:val="0"/>
        <w:snapToGrid w:val="0"/>
        <w:spacing w:line="360" w:lineRule="auto"/>
        <w:ind w:firstLine="500" w:firstLineChars="200"/>
        <w:jc w:val="both"/>
        <w:rPr>
          <w:color w:val="000000" w:themeColor="text1"/>
          <w:sz w:val="24"/>
          <w14:textFill>
            <w14:solidFill>
              <w14:schemeClr w14:val="tx1"/>
            </w14:solidFill>
          </w14:textFill>
        </w:rPr>
      </w:pPr>
      <w:r>
        <w:rPr>
          <w:rFonts w:hint="eastAsia" w:ascii="宋体" w:hAnsi="宋体" w:cs="宋体"/>
          <w:color w:val="000000" w:themeColor="text1"/>
          <w:spacing w:val="5"/>
          <w:sz w:val="24"/>
          <w14:textFill>
            <w14:solidFill>
              <w14:schemeClr w14:val="tx1"/>
            </w14:solidFill>
          </w14:textFill>
        </w:rPr>
        <w:t>根据分析，项目地下水污染途径确定为牛舍地坪破损，导致防渗体系失效，预测范围为整个地下水调查评价区。预测因子为COD及NH</w:t>
      </w:r>
      <w:r>
        <w:rPr>
          <w:rFonts w:hint="eastAsia" w:ascii="宋体" w:hAnsi="宋体" w:cs="宋体"/>
          <w:color w:val="000000" w:themeColor="text1"/>
          <w:spacing w:val="5"/>
          <w:sz w:val="24"/>
          <w:vertAlign w:val="subscript"/>
          <w14:textFill>
            <w14:solidFill>
              <w14:schemeClr w14:val="tx1"/>
            </w14:solidFill>
          </w14:textFill>
        </w:rPr>
        <w:t>3</w:t>
      </w:r>
      <w:r>
        <w:rPr>
          <w:rFonts w:hint="eastAsia" w:ascii="宋体" w:hAnsi="宋体" w:cs="宋体"/>
          <w:color w:val="000000" w:themeColor="text1"/>
          <w:spacing w:val="5"/>
          <w:sz w:val="24"/>
          <w14:textFill>
            <w14:solidFill>
              <w14:schemeClr w14:val="tx1"/>
            </w14:solidFill>
          </w14:textFill>
        </w:rPr>
        <w:t>-N。导则规定地下水环境影响预测时段应选取可能产生地下水污染的关键时段，至少包括污染发生后100d、1000d，服务年限或能反映特征因子迁移规律的其他重要的时间节点，故本次预测时间段为100d、1000d、3650d，预测最远距离选取预测点至下游400m</w:t>
      </w:r>
      <w:r>
        <w:rPr>
          <w:color w:val="000000" w:themeColor="text1"/>
          <w:sz w:val="24"/>
          <w14:textFill>
            <w14:solidFill>
              <w14:schemeClr w14:val="tx1"/>
            </w14:solidFill>
          </w14:textFill>
        </w:rPr>
        <w:t>。</w:t>
      </w:r>
    </w:p>
    <w:p w14:paraId="498CF8A6">
      <w:pPr>
        <w:adjustRightInd w:val="0"/>
        <w:snapToGrid w:val="0"/>
        <w:spacing w:line="360" w:lineRule="auto"/>
        <w:ind w:firstLine="482" w:firstLineChars="200"/>
        <w:jc w:val="both"/>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4、预测因子和源强</w:t>
      </w:r>
    </w:p>
    <w:p w14:paraId="7F328943">
      <w:pPr>
        <w:adjustRightInd w:val="0"/>
        <w:snapToGrid w:val="0"/>
        <w:spacing w:line="360" w:lineRule="auto"/>
        <w:ind w:firstLine="484" w:firstLineChars="200"/>
        <w:jc w:val="both"/>
        <w:rPr>
          <w:color w:val="000000" w:themeColor="text1"/>
          <w:spacing w:val="1"/>
          <w:sz w:val="24"/>
          <w14:textFill>
            <w14:solidFill>
              <w14:schemeClr w14:val="tx1"/>
            </w14:solidFill>
          </w14:textFill>
        </w:rPr>
      </w:pPr>
      <w:bookmarkStart w:id="794" w:name="_Toc11319"/>
      <w:r>
        <w:rPr>
          <w:color w:val="000000" w:themeColor="text1"/>
          <w:spacing w:val="1"/>
          <w:sz w:val="24"/>
          <w14:textFill>
            <w14:solidFill>
              <w14:schemeClr w14:val="tx1"/>
            </w14:solidFill>
          </w14:textFill>
        </w:rPr>
        <w:t>本项目泄漏污水主要为牛舍顶棚损坏，垫料受雨水浸泡产生渗漏，主要污染物为COD</w:t>
      </w:r>
      <w:r>
        <w:rPr>
          <w:color w:val="000000" w:themeColor="text1"/>
          <w:spacing w:val="1"/>
          <w:sz w:val="24"/>
          <w:vertAlign w:val="subscript"/>
          <w14:textFill>
            <w14:solidFill>
              <w14:schemeClr w14:val="tx1"/>
            </w14:solidFill>
          </w14:textFill>
        </w:rPr>
        <w:t>Cr</w:t>
      </w:r>
      <w:r>
        <w:rPr>
          <w:color w:val="000000" w:themeColor="text1"/>
          <w:spacing w:val="1"/>
          <w:sz w:val="24"/>
          <w14:textFill>
            <w14:solidFill>
              <w14:schemeClr w14:val="tx1"/>
            </w14:solidFill>
          </w14:textFill>
        </w:rPr>
        <w:t>和NH</w:t>
      </w:r>
      <w:r>
        <w:rPr>
          <w:color w:val="000000" w:themeColor="text1"/>
          <w:spacing w:val="1"/>
          <w:sz w:val="24"/>
          <w:vertAlign w:val="subscript"/>
          <w14:textFill>
            <w14:solidFill>
              <w14:schemeClr w14:val="tx1"/>
            </w14:solidFill>
          </w14:textFill>
        </w:rPr>
        <w:t>3</w:t>
      </w:r>
      <w:r>
        <w:rPr>
          <w:color w:val="000000" w:themeColor="text1"/>
          <w:spacing w:val="1"/>
          <w:sz w:val="24"/>
          <w14:textFill>
            <w14:solidFill>
              <w14:schemeClr w14:val="tx1"/>
            </w14:solidFill>
          </w14:textFill>
        </w:rPr>
        <w:t>-N，污染物浓度为COD</w:t>
      </w:r>
      <w:r>
        <w:rPr>
          <w:color w:val="000000" w:themeColor="text1"/>
          <w:spacing w:val="1"/>
          <w:sz w:val="24"/>
          <w:vertAlign w:val="subscript"/>
          <w14:textFill>
            <w14:solidFill>
              <w14:schemeClr w14:val="tx1"/>
            </w14:solidFill>
          </w14:textFill>
        </w:rPr>
        <w:t>Cr</w:t>
      </w:r>
      <w:r>
        <w:rPr>
          <w:color w:val="000000" w:themeColor="text1"/>
          <w:spacing w:val="1"/>
          <w:sz w:val="24"/>
          <w14:textFill>
            <w14:solidFill>
              <w14:schemeClr w14:val="tx1"/>
            </w14:solidFill>
          </w14:textFill>
        </w:rPr>
        <w:t>：12000mg/L、NH</w:t>
      </w:r>
      <w:r>
        <w:rPr>
          <w:color w:val="000000" w:themeColor="text1"/>
          <w:spacing w:val="1"/>
          <w:sz w:val="24"/>
          <w:vertAlign w:val="subscript"/>
          <w14:textFill>
            <w14:solidFill>
              <w14:schemeClr w14:val="tx1"/>
            </w14:solidFill>
          </w14:textFill>
        </w:rPr>
        <w:t>3</w:t>
      </w:r>
      <w:r>
        <w:rPr>
          <w:color w:val="000000" w:themeColor="text1"/>
          <w:spacing w:val="1"/>
          <w:sz w:val="24"/>
          <w14:textFill>
            <w14:solidFill>
              <w14:schemeClr w14:val="tx1"/>
            </w14:solidFill>
          </w14:textFill>
        </w:rPr>
        <w:t>-N：1400mg/L。本次评价以粪污中主要污染物COD</w:t>
      </w:r>
      <w:r>
        <w:rPr>
          <w:color w:val="000000" w:themeColor="text1"/>
          <w:spacing w:val="1"/>
          <w:sz w:val="24"/>
          <w:vertAlign w:val="subscript"/>
          <w14:textFill>
            <w14:solidFill>
              <w14:schemeClr w14:val="tx1"/>
            </w14:solidFill>
          </w14:textFill>
        </w:rPr>
        <w:t>Mn</w:t>
      </w:r>
      <w:r>
        <w:rPr>
          <w:color w:val="000000" w:themeColor="text1"/>
          <w:spacing w:val="1"/>
          <w:sz w:val="24"/>
          <w14:textFill>
            <w14:solidFill>
              <w14:schemeClr w14:val="tx1"/>
            </w14:solidFill>
          </w14:textFill>
        </w:rPr>
        <w:t>、NH</w:t>
      </w:r>
      <w:r>
        <w:rPr>
          <w:color w:val="000000" w:themeColor="text1"/>
          <w:spacing w:val="1"/>
          <w:sz w:val="24"/>
          <w:vertAlign w:val="subscript"/>
          <w14:textFill>
            <w14:solidFill>
              <w14:schemeClr w14:val="tx1"/>
            </w14:solidFill>
          </w14:textFill>
        </w:rPr>
        <w:t>3</w:t>
      </w:r>
      <w:r>
        <w:rPr>
          <w:color w:val="000000" w:themeColor="text1"/>
          <w:spacing w:val="1"/>
          <w:sz w:val="24"/>
          <w14:textFill>
            <w14:solidFill>
              <w14:schemeClr w14:val="tx1"/>
            </w14:solidFill>
          </w14:textFill>
        </w:rPr>
        <w:t>-N作为预测因子。参考《TOC与高锰酸盐指数（CODMn）及COD</w:t>
      </w:r>
      <w:r>
        <w:rPr>
          <w:color w:val="000000" w:themeColor="text1"/>
          <w:spacing w:val="1"/>
          <w:sz w:val="24"/>
          <w:vertAlign w:val="subscript"/>
          <w14:textFill>
            <w14:solidFill>
              <w14:schemeClr w14:val="tx1"/>
            </w14:solidFill>
          </w14:textFill>
        </w:rPr>
        <w:t>Cr</w:t>
      </w:r>
      <w:r>
        <w:rPr>
          <w:color w:val="000000" w:themeColor="text1"/>
          <w:spacing w:val="1"/>
          <w:sz w:val="24"/>
          <w14:textFill>
            <w14:solidFill>
              <w14:schemeClr w14:val="tx1"/>
            </w14:solidFill>
          </w14:textFill>
        </w:rPr>
        <w:t>的相关关系》（马永才etal，CHINAWATER2000，46-49），CODMn与CODCr的换算比取0.37，预测源强为COD</w:t>
      </w:r>
      <w:r>
        <w:rPr>
          <w:color w:val="000000" w:themeColor="text1"/>
          <w:spacing w:val="1"/>
          <w:sz w:val="24"/>
          <w:vertAlign w:val="subscript"/>
          <w14:textFill>
            <w14:solidFill>
              <w14:schemeClr w14:val="tx1"/>
            </w14:solidFill>
          </w14:textFill>
        </w:rPr>
        <w:t>Mn</w:t>
      </w:r>
      <w:r>
        <w:rPr>
          <w:color w:val="000000" w:themeColor="text1"/>
          <w:spacing w:val="1"/>
          <w:sz w:val="24"/>
          <w14:textFill>
            <w14:solidFill>
              <w14:schemeClr w14:val="tx1"/>
            </w14:solidFill>
          </w14:textFill>
        </w:rPr>
        <w:t>：4440mg/L、NH</w:t>
      </w:r>
      <w:r>
        <w:rPr>
          <w:color w:val="000000" w:themeColor="text1"/>
          <w:spacing w:val="1"/>
          <w:sz w:val="24"/>
          <w:vertAlign w:val="subscript"/>
          <w14:textFill>
            <w14:solidFill>
              <w14:schemeClr w14:val="tx1"/>
            </w14:solidFill>
          </w14:textFill>
        </w:rPr>
        <w:t>3</w:t>
      </w:r>
      <w:r>
        <w:rPr>
          <w:color w:val="000000" w:themeColor="text1"/>
          <w:spacing w:val="1"/>
          <w:sz w:val="24"/>
          <w14:textFill>
            <w14:solidFill>
              <w14:schemeClr w14:val="tx1"/>
            </w14:solidFill>
          </w14:textFill>
        </w:rPr>
        <w:t>-N：1400mg/L。</w:t>
      </w:r>
    </w:p>
    <w:p w14:paraId="6A9261C8">
      <w:pPr>
        <w:spacing w:line="360" w:lineRule="auto"/>
        <w:ind w:firstLine="486" w:firstLineChars="200"/>
        <w:rPr>
          <w:rFonts w:ascii="宋体" w:hAnsi="宋体" w:cs="宋体"/>
          <w:b/>
          <w:bCs/>
          <w:color w:val="000000" w:themeColor="text1"/>
          <w:sz w:val="24"/>
          <w14:textFill>
            <w14:solidFill>
              <w14:schemeClr w14:val="tx1"/>
            </w14:solidFill>
          </w14:textFill>
        </w:rPr>
      </w:pPr>
      <w:r>
        <w:rPr>
          <w:b/>
          <w:bCs/>
          <w:color w:val="000000" w:themeColor="text1"/>
          <w:spacing w:val="1"/>
          <w:sz w:val="24"/>
          <w14:textFill>
            <w14:solidFill>
              <w14:schemeClr w14:val="tx1"/>
            </w14:solidFill>
          </w14:textFill>
        </w:rPr>
        <w:t>5</w:t>
      </w:r>
      <w:r>
        <w:rPr>
          <w:rFonts w:hint="eastAsia" w:ascii="宋体" w:hAnsi="宋体" w:cs="宋体"/>
          <w:b/>
          <w:bCs/>
          <w:color w:val="000000" w:themeColor="text1"/>
          <w:sz w:val="24"/>
          <w14:textFill>
            <w14:solidFill>
              <w14:schemeClr w14:val="tx1"/>
            </w14:solidFill>
          </w14:textFill>
        </w:rPr>
        <w:t>、</w:t>
      </w:r>
      <w:r>
        <w:rPr>
          <w:rFonts w:ascii="宋体" w:hAnsi="宋体" w:cs="宋体"/>
          <w:b/>
          <w:bCs/>
          <w:color w:val="000000" w:themeColor="text1"/>
          <w:sz w:val="24"/>
          <w14:textFill>
            <w14:solidFill>
              <w14:schemeClr w14:val="tx1"/>
            </w14:solidFill>
          </w14:textFill>
        </w:rPr>
        <w:t>地下水污染物水质标准</w:t>
      </w:r>
    </w:p>
    <w:p w14:paraId="0CBE260D">
      <w:pPr>
        <w:spacing w:line="360" w:lineRule="auto"/>
        <w:ind w:firstLine="480"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项目地下水执行《地下水质量标准》（</w:t>
      </w:r>
      <w:r>
        <w:rPr>
          <w:rFonts w:eastAsia="Times New Roman"/>
          <w:color w:val="000000" w:themeColor="text1"/>
          <w:sz w:val="24"/>
          <w14:textFill>
            <w14:solidFill>
              <w14:schemeClr w14:val="tx1"/>
            </w14:solidFill>
          </w14:textFill>
        </w:rPr>
        <w:t>GB/T14848-2017</w:t>
      </w:r>
      <w:r>
        <w:rPr>
          <w:rFonts w:ascii="宋体" w:hAnsi="宋体" w:cs="宋体"/>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Ⅲ</w:t>
      </w:r>
      <w:r>
        <w:rPr>
          <w:rFonts w:ascii="宋体" w:hAnsi="宋体" w:cs="宋体"/>
          <w:color w:val="000000" w:themeColor="text1"/>
          <w:sz w:val="24"/>
          <w14:textFill>
            <w14:solidFill>
              <w14:schemeClr w14:val="tx1"/>
            </w14:solidFill>
          </w14:textFill>
        </w:rPr>
        <w:t>类标准，</w:t>
      </w:r>
      <w:r>
        <w:rPr>
          <w:rFonts w:eastAsia="Times New Roman"/>
          <w:color w:val="000000" w:themeColor="text1"/>
          <w:sz w:val="24"/>
          <w14:textFill>
            <w14:solidFill>
              <w14:schemeClr w14:val="tx1"/>
            </w14:solidFill>
          </w14:textFill>
        </w:rPr>
        <w:t>COD</w:t>
      </w:r>
      <w:r>
        <w:rPr>
          <w:rFonts w:eastAsia="Times New Roman"/>
          <w:color w:val="000000" w:themeColor="text1"/>
          <w:sz w:val="24"/>
          <w:vertAlign w:val="subscript"/>
          <w14:textFill>
            <w14:solidFill>
              <w14:schemeClr w14:val="tx1"/>
            </w14:solidFill>
          </w14:textFill>
        </w:rPr>
        <w:t>Mn</w:t>
      </w:r>
      <w:r>
        <w:rPr>
          <w:rFonts w:hint="eastAsia"/>
          <w:color w:val="000000" w:themeColor="text1"/>
          <w:sz w:val="24"/>
          <w:vertAlign w:val="subscript"/>
          <w14:textFill>
            <w14:solidFill>
              <w14:schemeClr w14:val="tx1"/>
            </w14:solidFill>
          </w14:textFill>
        </w:rPr>
        <w:t>（耗氧量）</w:t>
      </w:r>
      <w:r>
        <w:rPr>
          <w:rFonts w:ascii="宋体" w:hAnsi="宋体" w:cs="宋体"/>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3.0mg/L</w:t>
      </w:r>
      <w:r>
        <w:rPr>
          <w:rFonts w:ascii="宋体" w:hAnsi="宋体" w:cs="宋体"/>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NH</w:t>
      </w:r>
      <w:r>
        <w:rPr>
          <w:rFonts w:eastAsia="Times New Roman"/>
          <w:color w:val="000000" w:themeColor="text1"/>
          <w:sz w:val="24"/>
          <w:vertAlign w:val="subscript"/>
          <w14:textFill>
            <w14:solidFill>
              <w14:schemeClr w14:val="tx1"/>
            </w14:solidFill>
          </w14:textFill>
        </w:rPr>
        <w:t>3</w:t>
      </w:r>
      <w:r>
        <w:rPr>
          <w:rFonts w:eastAsia="Times New Roman"/>
          <w:color w:val="000000" w:themeColor="text1"/>
          <w:sz w:val="24"/>
          <w14:textFill>
            <w14:solidFill>
              <w14:schemeClr w14:val="tx1"/>
            </w14:solidFill>
          </w14:textFill>
        </w:rPr>
        <w:t>-N</w:t>
      </w:r>
      <w:r>
        <w:rPr>
          <w:rFonts w:ascii="宋体" w:hAnsi="宋体" w:cs="宋体"/>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0.5mg/L</w:t>
      </w:r>
      <w:r>
        <w:rPr>
          <w:rFonts w:ascii="宋体" w:hAnsi="宋体" w:cs="宋体"/>
          <w:color w:val="000000" w:themeColor="text1"/>
          <w:sz w:val="24"/>
          <w14:textFill>
            <w14:solidFill>
              <w14:schemeClr w14:val="tx1"/>
            </w14:solidFill>
          </w14:textFill>
        </w:rPr>
        <w:t>。</w:t>
      </w:r>
    </w:p>
    <w:p w14:paraId="75C685E1">
      <w:pPr>
        <w:spacing w:line="360" w:lineRule="auto"/>
        <w:ind w:firstLine="486" w:firstLineChars="200"/>
        <w:rPr>
          <w:b/>
          <w:bCs/>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6、预测</w:t>
      </w:r>
      <w:r>
        <w:rPr>
          <w:rFonts w:hint="eastAsia"/>
          <w:b/>
          <w:bCs/>
          <w:color w:val="000000" w:themeColor="text1"/>
          <w:spacing w:val="1"/>
          <w:sz w:val="24"/>
          <w14:textFill>
            <w14:solidFill>
              <w14:schemeClr w14:val="tx1"/>
            </w14:solidFill>
          </w14:textFill>
        </w:rPr>
        <w:t>模式及相关参数选择</w:t>
      </w:r>
    </w:p>
    <w:p w14:paraId="79A42CAC">
      <w:p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（1）正常状况下对地下水环境影响分析</w:t>
      </w:r>
    </w:p>
    <w:p w14:paraId="2A52AE3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地下水污染源来源于养殖废水。污水收集和处理设施采取防泄漏、防溢流、防腐蚀等措施，严格管理，正常工况下不会导致该类污染物进入地下污染地下水质以及区域土壤质量。</w:t>
      </w:r>
    </w:p>
    <w:p w14:paraId="10FD0055">
      <w:pPr>
        <w:adjustRightInd w:val="0"/>
        <w:snapToGrid w:val="0"/>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w:t>
      </w:r>
      <w:r>
        <w:rPr>
          <w:b/>
          <w:bCs/>
          <w:color w:val="000000" w:themeColor="text1"/>
          <w:sz w:val="24"/>
          <w14:textFill>
            <w14:solidFill>
              <w14:schemeClr w14:val="tx1"/>
            </w14:solidFill>
          </w14:textFill>
        </w:rPr>
        <w:t>非正常状况下对地下水环境影响分析</w:t>
      </w:r>
    </w:p>
    <w:p w14:paraId="3527766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非正常工况下，主要针对由于地坪</w:t>
      </w:r>
      <w:r>
        <w:rPr>
          <w:rFonts w:hint="eastAsia"/>
          <w:color w:val="000000" w:themeColor="text1"/>
          <w:sz w:val="24"/>
          <w14:textFill>
            <w14:solidFill>
              <w14:schemeClr w14:val="tx1"/>
            </w14:solidFill>
          </w14:textFill>
        </w:rPr>
        <w:t>等防渗措施</w:t>
      </w:r>
      <w:r>
        <w:rPr>
          <w:color w:val="000000" w:themeColor="text1"/>
          <w:sz w:val="24"/>
          <w14:textFill>
            <w14:solidFill>
              <w14:schemeClr w14:val="tx1"/>
            </w14:solidFill>
          </w14:textFill>
        </w:rPr>
        <w:t>出现破损产生细小的裂纹，导致防渗体系功能降低，一般这种情况下泄漏不易发现，故非正常状况可概括为连续排放。</w:t>
      </w:r>
    </w:p>
    <w:p w14:paraId="623E0830">
      <w:pPr>
        <w:spacing w:line="360" w:lineRule="auto"/>
        <w:ind w:firstLine="462" w:firstLineChars="200"/>
        <w:rPr>
          <w:rFonts w:ascii="宋体" w:hAnsi="宋体" w:cs="宋体"/>
          <w:color w:val="000000" w:themeColor="text1"/>
          <w:sz w:val="24"/>
          <w14:textFill>
            <w14:solidFill>
              <w14:schemeClr w14:val="tx1"/>
            </w14:solidFill>
          </w14:textFill>
        </w:rPr>
      </w:pPr>
      <w:r>
        <w:rPr>
          <w:rFonts w:ascii="宋体" w:hAnsi="宋体" w:cs="宋体"/>
          <w:b/>
          <w:bCs/>
          <w:color w:val="000000" w:themeColor="text1"/>
          <w:spacing w:val="-5"/>
          <w:sz w:val="24"/>
          <w14:textFill>
            <w14:solidFill>
              <w14:schemeClr w14:val="tx1"/>
            </w14:solidFill>
          </w14:textFill>
        </w:rPr>
        <w:t>（</w:t>
      </w:r>
      <w:r>
        <w:rPr>
          <w:rFonts w:eastAsia="Times New Roman"/>
          <w:b/>
          <w:bCs/>
          <w:color w:val="000000" w:themeColor="text1"/>
          <w:spacing w:val="-5"/>
          <w:sz w:val="24"/>
          <w14:textFill>
            <w14:solidFill>
              <w14:schemeClr w14:val="tx1"/>
            </w14:solidFill>
          </w14:textFill>
        </w:rPr>
        <w:t>3</w:t>
      </w:r>
      <w:r>
        <w:rPr>
          <w:rFonts w:ascii="宋体" w:hAnsi="宋体" w:cs="宋体"/>
          <w:b/>
          <w:bCs/>
          <w:color w:val="000000" w:themeColor="text1"/>
          <w:spacing w:val="-5"/>
          <w:sz w:val="24"/>
          <w14:textFill>
            <w14:solidFill>
              <w14:schemeClr w14:val="tx1"/>
            </w14:solidFill>
          </w14:textFill>
        </w:rPr>
        <w:t>）预测模型</w:t>
      </w:r>
    </w:p>
    <w:p w14:paraId="00CD1034">
      <w:pPr>
        <w:spacing w:line="360" w:lineRule="auto"/>
        <w:ind w:firstLine="500" w:firstLineChars="200"/>
        <w:jc w:val="both"/>
        <w:rPr>
          <w:rFonts w:ascii="宋体" w:hAnsi="宋体" w:cs="宋体"/>
          <w:color w:val="000000" w:themeColor="text1"/>
          <w:sz w:val="24"/>
          <w14:textFill>
            <w14:solidFill>
              <w14:schemeClr w14:val="tx1"/>
            </w14:solidFill>
          </w14:textFill>
        </w:rPr>
      </w:pPr>
      <w:r>
        <w:rPr>
          <w:rFonts w:ascii="宋体" w:hAnsi="宋体" w:cs="宋体"/>
          <w:color w:val="000000" w:themeColor="text1"/>
          <w:spacing w:val="5"/>
          <w:sz w:val="24"/>
          <w14:textFill>
            <w14:solidFill>
              <w14:schemeClr w14:val="tx1"/>
            </w14:solidFill>
          </w14:textFill>
        </w:rPr>
        <w:t>本次污染物预测模拟计算，受到资料的限制，模拟过程未考虑污染物在含水层</w:t>
      </w:r>
      <w:r>
        <w:rPr>
          <w:rFonts w:ascii="宋体" w:hAnsi="宋体" w:cs="宋体"/>
          <w:color w:val="000000" w:themeColor="text1"/>
          <w:spacing w:val="4"/>
          <w:sz w:val="24"/>
          <w14:textFill>
            <w14:solidFill>
              <w14:schemeClr w14:val="tx1"/>
            </w14:solidFill>
          </w14:textFill>
        </w:rPr>
        <w:t>中的</w:t>
      </w:r>
      <w:r>
        <w:rPr>
          <w:rFonts w:ascii="宋体" w:hAnsi="宋体" w:cs="宋体"/>
          <w:color w:val="000000" w:themeColor="text1"/>
          <w:spacing w:val="5"/>
          <w:sz w:val="24"/>
          <w14:textFill>
            <w14:solidFill>
              <w14:schemeClr w14:val="tx1"/>
            </w14:solidFill>
          </w14:textFill>
        </w:rPr>
        <w:t>吸附、挥发、生物化学反应等，且模型中所赋各项参数予以保守</w:t>
      </w:r>
      <w:r>
        <w:rPr>
          <w:rFonts w:ascii="宋体" w:hAnsi="宋体" w:cs="宋体"/>
          <w:color w:val="000000" w:themeColor="text1"/>
          <w:spacing w:val="4"/>
          <w:sz w:val="24"/>
          <w14:textFill>
            <w14:solidFill>
              <w14:schemeClr w14:val="tx1"/>
            </w14:solidFill>
          </w14:textFill>
        </w:rPr>
        <w:t>性考虑。这样选择的理</w:t>
      </w:r>
      <w:r>
        <w:rPr>
          <w:rFonts w:ascii="宋体" w:hAnsi="宋体" w:cs="宋体"/>
          <w:color w:val="000000" w:themeColor="text1"/>
          <w:sz w:val="24"/>
          <w14:textFill>
            <w14:solidFill>
              <w14:schemeClr w14:val="tx1"/>
            </w14:solidFill>
          </w14:textFill>
        </w:rPr>
        <w:t>由是：</w:t>
      </w:r>
      <w:r>
        <w:rPr>
          <w:rFonts w:eastAsia="Times New Roman"/>
          <w:color w:val="000000" w:themeColor="text1"/>
          <w:sz w:val="24"/>
          <w14:textFill>
            <w14:solidFill>
              <w14:schemeClr w14:val="tx1"/>
            </w14:solidFill>
          </w14:textFill>
        </w:rPr>
        <w:t>a.</w:t>
      </w:r>
      <w:r>
        <w:rPr>
          <w:rFonts w:ascii="宋体" w:hAnsi="宋体" w:cs="宋体"/>
          <w:color w:val="000000" w:themeColor="text1"/>
          <w:sz w:val="24"/>
          <w14:textFill>
            <w14:solidFill>
              <w14:schemeClr w14:val="tx1"/>
            </w14:solidFill>
          </w14:textFill>
        </w:rPr>
        <w:t>一些污染物在地下水中的运移非常复杂，影响因素除对流、弥散作用以外，还存</w:t>
      </w:r>
      <w:r>
        <w:rPr>
          <w:rFonts w:ascii="宋体" w:hAnsi="宋体" w:cs="宋体"/>
          <w:color w:val="000000" w:themeColor="text1"/>
          <w:spacing w:val="3"/>
          <w:sz w:val="24"/>
          <w14:textFill>
            <w14:solidFill>
              <w14:schemeClr w14:val="tx1"/>
            </w14:solidFill>
          </w14:textFill>
        </w:rPr>
        <w:t>在物理、化学、微生物等作用，这些作用常常会使污染浓度衰减，目前国际上对这些作</w:t>
      </w:r>
      <w:r>
        <w:rPr>
          <w:rFonts w:ascii="宋体" w:hAnsi="宋体" w:cs="宋体"/>
          <w:color w:val="000000" w:themeColor="text1"/>
          <w:sz w:val="24"/>
          <w14:textFill>
            <w14:solidFill>
              <w14:schemeClr w14:val="tx1"/>
            </w14:solidFill>
          </w14:textFill>
        </w:rPr>
        <w:t>用参数的准确获取还存在着困难，</w:t>
      </w:r>
      <w:r>
        <w:rPr>
          <w:rFonts w:eastAsia="Times New Roman"/>
          <w:color w:val="000000" w:themeColor="text1"/>
          <w:sz w:val="24"/>
          <w14:textFill>
            <w14:solidFill>
              <w14:schemeClr w14:val="tx1"/>
            </w14:solidFill>
          </w14:textFill>
        </w:rPr>
        <w:t>b.</w:t>
      </w:r>
      <w:r>
        <w:rPr>
          <w:rFonts w:ascii="宋体" w:hAnsi="宋体" w:cs="宋体"/>
          <w:color w:val="000000" w:themeColor="text1"/>
          <w:sz w:val="24"/>
          <w14:textFill>
            <w14:solidFill>
              <w14:schemeClr w14:val="tx1"/>
            </w14:solidFill>
          </w14:textFill>
        </w:rPr>
        <w:t>从保守性角度考虑，假设污染质在运移中不与</w:t>
      </w:r>
      <w:r>
        <w:rPr>
          <w:rFonts w:ascii="宋体" w:hAnsi="宋体" w:cs="宋体"/>
          <w:color w:val="000000" w:themeColor="text1"/>
          <w:spacing w:val="-1"/>
          <w:sz w:val="24"/>
          <w14:textFill>
            <w14:solidFill>
              <w14:schemeClr w14:val="tx1"/>
            </w14:solidFill>
          </w14:textFill>
        </w:rPr>
        <w:t>含水层</w:t>
      </w:r>
      <w:r>
        <w:rPr>
          <w:rFonts w:ascii="宋体" w:hAnsi="宋体" w:cs="宋体"/>
          <w:color w:val="000000" w:themeColor="text1"/>
          <w:spacing w:val="5"/>
          <w:sz w:val="24"/>
          <w14:textFill>
            <w14:solidFill>
              <w14:schemeClr w14:val="tx1"/>
            </w14:solidFill>
          </w14:textFill>
        </w:rPr>
        <w:t>介质发生反应，可以被认为是保守型污染质，只按保守型污染质</w:t>
      </w:r>
      <w:r>
        <w:rPr>
          <w:rFonts w:ascii="宋体" w:hAnsi="宋体" w:cs="宋体"/>
          <w:color w:val="000000" w:themeColor="text1"/>
          <w:spacing w:val="4"/>
          <w:sz w:val="24"/>
          <w14:textFill>
            <w14:solidFill>
              <w14:schemeClr w14:val="tx1"/>
            </w14:solidFill>
          </w14:textFill>
        </w:rPr>
        <w:t>来计算，即只考虑运移</w:t>
      </w:r>
      <w:r>
        <w:rPr>
          <w:rFonts w:ascii="宋体" w:hAnsi="宋体" w:cs="宋体"/>
          <w:color w:val="000000" w:themeColor="text1"/>
          <w:spacing w:val="5"/>
          <w:sz w:val="24"/>
          <w14:textFill>
            <w14:solidFill>
              <w14:schemeClr w14:val="tx1"/>
            </w14:solidFill>
          </w14:textFill>
        </w:rPr>
        <w:t>过程中的对流、弥散作用，这样预测结果更加保守稳健，在国际</w:t>
      </w:r>
      <w:r>
        <w:rPr>
          <w:rFonts w:ascii="宋体" w:hAnsi="宋体" w:cs="宋体"/>
          <w:color w:val="000000" w:themeColor="text1"/>
          <w:spacing w:val="4"/>
          <w:sz w:val="24"/>
          <w14:textFill>
            <w14:solidFill>
              <w14:schemeClr w14:val="tx1"/>
            </w14:solidFill>
          </w14:textFill>
        </w:rPr>
        <w:t>上有很多用保守型污染</w:t>
      </w:r>
      <w:r>
        <w:rPr>
          <w:rFonts w:ascii="宋体" w:hAnsi="宋体" w:cs="宋体"/>
          <w:color w:val="000000" w:themeColor="text1"/>
          <w:sz w:val="24"/>
          <w14:textFill>
            <w14:solidFill>
              <w14:schemeClr w14:val="tx1"/>
            </w14:solidFill>
          </w14:textFill>
        </w:rPr>
        <w:t>质作为模拟因子的环境质量评价的成功实例，</w:t>
      </w:r>
      <w:r>
        <w:rPr>
          <w:rFonts w:eastAsia="Times New Roman"/>
          <w:color w:val="000000" w:themeColor="text1"/>
          <w:sz w:val="24"/>
          <w14:textFill>
            <w14:solidFill>
              <w14:schemeClr w14:val="tx1"/>
            </w14:solidFill>
          </w14:textFill>
        </w:rPr>
        <w:t>c.</w:t>
      </w:r>
      <w:r>
        <w:rPr>
          <w:rFonts w:ascii="宋体" w:hAnsi="宋体" w:cs="宋体"/>
          <w:color w:val="000000" w:themeColor="text1"/>
          <w:sz w:val="24"/>
          <w14:textFill>
            <w14:solidFill>
              <w14:schemeClr w14:val="tx1"/>
            </w14:solidFill>
          </w14:textFill>
        </w:rPr>
        <w:t>保守型考</w:t>
      </w:r>
      <w:r>
        <w:rPr>
          <w:rFonts w:ascii="宋体" w:hAnsi="宋体" w:cs="宋体"/>
          <w:color w:val="000000" w:themeColor="text1"/>
          <w:spacing w:val="-1"/>
          <w:sz w:val="24"/>
          <w14:textFill>
            <w14:solidFill>
              <w14:schemeClr w14:val="tx1"/>
            </w14:solidFill>
          </w14:textFill>
        </w:rPr>
        <w:t>虑符合工程设计的思想。</w:t>
      </w:r>
    </w:p>
    <w:p w14:paraId="64B2A1F6">
      <w:pPr>
        <w:adjustRightInd w:val="0"/>
        <w:snapToGrid w:val="0"/>
        <w:spacing w:line="360" w:lineRule="auto"/>
        <w:ind w:firstLine="500" w:firstLineChars="200"/>
        <w:rPr>
          <w:color w:val="000000" w:themeColor="text1"/>
          <w:sz w:val="24"/>
          <w14:textFill>
            <w14:solidFill>
              <w14:schemeClr w14:val="tx1"/>
            </w14:solidFill>
          </w14:textFill>
        </w:rPr>
      </w:pPr>
      <w:r>
        <w:rPr>
          <w:rFonts w:ascii="宋体" w:hAnsi="宋体" w:cs="宋体"/>
          <w:color w:val="000000" w:themeColor="text1"/>
          <w:spacing w:val="5"/>
          <w:sz w:val="24"/>
          <w14:textFill>
            <w14:solidFill>
              <w14:schemeClr w14:val="tx1"/>
            </w14:solidFill>
          </w14:textFill>
        </w:rPr>
        <w:t>本项目地下水评价区水文地质条件相对简单，</w:t>
      </w:r>
      <w:r>
        <w:rPr>
          <w:color w:val="000000" w:themeColor="text1"/>
          <w:sz w:val="24"/>
          <w14:textFill>
            <w14:solidFill>
              <w14:schemeClr w14:val="tx1"/>
            </w14:solidFill>
          </w14:textFill>
        </w:rPr>
        <w:t>主要考虑防渗层破裂出现孔隙和微裂隙等非正常工况时，污水处理设施废水发生渗漏对地下水可能造成的影响。因此将污染源视为连续稳定释放的点源，对非正常工况的污染物进行正向推算，分别计算100天、1000天、7300天的污染物的超标扩散距离和最大运移距离。</w:t>
      </w:r>
    </w:p>
    <w:p w14:paraId="33FC4BA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根据《环境影响评价技术导则 地下水环境》（HJ610-2016），三级评价可采用解析法或类比分析法。本次预测采用HJ610-2016推荐的“推荐的一维稳定流一维水动力弥散方程（一维半无限长多孔介质柱体，一端为定浓度边界）进行预测。</w:t>
      </w:r>
    </w:p>
    <w:p w14:paraId="70EF69E8">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2849245" cy="565785"/>
            <wp:effectExtent l="0" t="0" r="635" b="13335"/>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87"/>
                    <a:stretch>
                      <a:fillRect/>
                    </a:stretch>
                  </pic:blipFill>
                  <pic:spPr>
                    <a:xfrm>
                      <a:off x="0" y="0"/>
                      <a:ext cx="2849245" cy="565785"/>
                    </a:xfrm>
                    <a:prstGeom prst="rect">
                      <a:avLst/>
                    </a:prstGeom>
                    <a:noFill/>
                    <a:ln>
                      <a:noFill/>
                    </a:ln>
                  </pic:spPr>
                </pic:pic>
              </a:graphicData>
            </a:graphic>
          </wp:inline>
        </w:drawing>
      </w:r>
    </w:p>
    <w:p w14:paraId="2BBEEF7B">
      <w:pPr>
        <w:adjustRightInd w:val="0"/>
        <w:snapToGrid w:val="0"/>
        <w:spacing w:line="360" w:lineRule="auto"/>
        <w:ind w:firstLine="720" w:firstLineChars="300"/>
        <w:rPr>
          <w:color w:val="000000" w:themeColor="text1"/>
          <w:sz w:val="24"/>
          <w14:textFill>
            <w14:solidFill>
              <w14:schemeClr w14:val="tx1"/>
            </w14:solidFill>
          </w14:textFill>
        </w:rPr>
      </w:pPr>
      <w:r>
        <w:rPr>
          <w:color w:val="000000" w:themeColor="text1"/>
          <w:sz w:val="24"/>
          <w14:textFill>
            <w14:solidFill>
              <w14:schemeClr w14:val="tx1"/>
            </w14:solidFill>
          </w14:textFill>
        </w:rPr>
        <w:t>式中：x—距注入点的距离；m；</w:t>
      </w:r>
    </w:p>
    <w:p w14:paraId="56F60172">
      <w:pPr>
        <w:adjustRightInd w:val="0"/>
        <w:snapToGrid w:val="0"/>
        <w:spacing w:line="360" w:lineRule="auto"/>
        <w:ind w:firstLine="1440" w:firstLineChars="600"/>
        <w:rPr>
          <w:color w:val="000000" w:themeColor="text1"/>
          <w:sz w:val="24"/>
          <w14:textFill>
            <w14:solidFill>
              <w14:schemeClr w14:val="tx1"/>
            </w14:solidFill>
          </w14:textFill>
        </w:rPr>
      </w:pPr>
      <w:r>
        <w:rPr>
          <w:color w:val="000000" w:themeColor="text1"/>
          <w:sz w:val="24"/>
          <w14:textFill>
            <w14:solidFill>
              <w14:schemeClr w14:val="tx1"/>
            </w14:solidFill>
          </w14:textFill>
        </w:rPr>
        <w:t>t—时间，d；</w:t>
      </w:r>
    </w:p>
    <w:p w14:paraId="36A2625C">
      <w:pPr>
        <w:adjustRightInd w:val="0"/>
        <w:snapToGrid w:val="0"/>
        <w:spacing w:line="360" w:lineRule="auto"/>
        <w:ind w:firstLine="1440" w:firstLineChars="600"/>
        <w:rPr>
          <w:color w:val="000000" w:themeColor="text1"/>
          <w:sz w:val="24"/>
          <w14:textFill>
            <w14:solidFill>
              <w14:schemeClr w14:val="tx1"/>
            </w14:solidFill>
          </w14:textFill>
        </w:rPr>
      </w:pPr>
      <w:r>
        <w:rPr>
          <w:color w:val="000000" w:themeColor="text1"/>
          <w:sz w:val="24"/>
          <w14:textFill>
            <w14:solidFill>
              <w14:schemeClr w14:val="tx1"/>
            </w14:solidFill>
          </w14:textFill>
        </w:rPr>
        <w:t>C（x,t）—t时刻x处的示踪剂浓度，g/L；</w:t>
      </w:r>
    </w:p>
    <w:p w14:paraId="0EA42523">
      <w:pPr>
        <w:adjustRightInd w:val="0"/>
        <w:snapToGrid w:val="0"/>
        <w:spacing w:line="360" w:lineRule="auto"/>
        <w:ind w:firstLine="1440" w:firstLineChars="600"/>
        <w:rPr>
          <w:color w:val="000000" w:themeColor="text1"/>
          <w:sz w:val="24"/>
          <w14:textFill>
            <w14:solidFill>
              <w14:schemeClr w14:val="tx1"/>
            </w14:solidFill>
          </w14:textFill>
        </w:rPr>
      </w:pPr>
      <w:r>
        <w:rPr>
          <w:color w:val="000000" w:themeColor="text1"/>
          <w:sz w:val="24"/>
          <w14:textFill>
            <w14:solidFill>
              <w14:schemeClr w14:val="tx1"/>
            </w14:solidFill>
          </w14:textFill>
        </w:rPr>
        <w:t>C</w:t>
      </w:r>
      <w:r>
        <w:rPr>
          <w:color w:val="000000" w:themeColor="text1"/>
          <w:sz w:val="24"/>
          <w:vertAlign w:val="subscript"/>
          <w14:textFill>
            <w14:solidFill>
              <w14:schemeClr w14:val="tx1"/>
            </w14:solidFill>
          </w14:textFill>
        </w:rPr>
        <w:t>0</w:t>
      </w:r>
      <w:r>
        <w:rPr>
          <w:color w:val="000000" w:themeColor="text1"/>
          <w:sz w:val="24"/>
          <w14:textFill>
            <w14:solidFill>
              <w14:schemeClr w14:val="tx1"/>
            </w14:solidFill>
          </w14:textFill>
        </w:rPr>
        <w:t>—注入的示踪剂浓度，g/L；</w:t>
      </w:r>
    </w:p>
    <w:p w14:paraId="4A316EA8">
      <w:pPr>
        <w:adjustRightInd w:val="0"/>
        <w:snapToGrid w:val="0"/>
        <w:spacing w:line="360" w:lineRule="auto"/>
        <w:ind w:firstLine="1440" w:firstLineChars="600"/>
        <w:rPr>
          <w:color w:val="000000" w:themeColor="text1"/>
          <w:sz w:val="24"/>
          <w14:textFill>
            <w14:solidFill>
              <w14:schemeClr w14:val="tx1"/>
            </w14:solidFill>
          </w14:textFill>
        </w:rPr>
      </w:pPr>
      <w:r>
        <w:rPr>
          <w:color w:val="000000" w:themeColor="text1"/>
          <w:sz w:val="24"/>
          <w14:textFill>
            <w14:solidFill>
              <w14:schemeClr w14:val="tx1"/>
            </w14:solidFill>
          </w14:textFill>
        </w:rPr>
        <w:t>u—水流速度，m/d；</w:t>
      </w:r>
    </w:p>
    <w:p w14:paraId="656EECAF">
      <w:pPr>
        <w:adjustRightInd w:val="0"/>
        <w:snapToGrid w:val="0"/>
        <w:spacing w:line="360" w:lineRule="auto"/>
        <w:ind w:firstLine="1440" w:firstLineChars="600"/>
        <w:rPr>
          <w:color w:val="000000" w:themeColor="text1"/>
          <w:sz w:val="24"/>
          <w14:textFill>
            <w14:solidFill>
              <w14:schemeClr w14:val="tx1"/>
            </w14:solidFill>
          </w14:textFill>
        </w:rPr>
      </w:pPr>
      <w:r>
        <w:rPr>
          <w:color w:val="000000" w:themeColor="text1"/>
          <w:sz w:val="24"/>
          <w14:textFill>
            <w14:solidFill>
              <w14:schemeClr w14:val="tx1"/>
            </w14:solidFill>
          </w14:textFill>
        </w:rPr>
        <w:t>D</w:t>
      </w:r>
      <w:r>
        <w:rPr>
          <w:color w:val="000000" w:themeColor="text1"/>
          <w:sz w:val="24"/>
          <w:vertAlign w:val="subscript"/>
          <w14:textFill>
            <w14:solidFill>
              <w14:schemeClr w14:val="tx1"/>
            </w14:solidFill>
          </w14:textFill>
        </w:rPr>
        <w:t>L</w:t>
      </w:r>
      <w:r>
        <w:rPr>
          <w:color w:val="000000" w:themeColor="text1"/>
          <w:sz w:val="24"/>
          <w14:textFill>
            <w14:solidFill>
              <w14:schemeClr w14:val="tx1"/>
            </w14:solidFill>
          </w14:textFill>
        </w:rPr>
        <w:t>—纵向弥散系数，m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/d，可通过L=uα求得，其中α为纵向弥散度，m；</w:t>
      </w:r>
    </w:p>
    <w:p w14:paraId="717FA46A">
      <w:pPr>
        <w:adjustRightInd w:val="0"/>
        <w:snapToGrid w:val="0"/>
        <w:spacing w:line="360" w:lineRule="auto"/>
        <w:ind w:firstLine="1440" w:firstLineChars="600"/>
        <w:rPr>
          <w:color w:val="000000" w:themeColor="text1"/>
          <w:sz w:val="24"/>
          <w14:textFill>
            <w14:solidFill>
              <w14:schemeClr w14:val="tx1"/>
            </w14:solidFill>
          </w14:textFill>
        </w:rPr>
      </w:pPr>
      <w:r>
        <w:rPr>
          <w:color w:val="000000" w:themeColor="text1"/>
          <w:sz w:val="24"/>
          <w14:textFill>
            <w14:solidFill>
              <w14:schemeClr w14:val="tx1"/>
            </w14:solidFill>
          </w14:textFill>
        </w:rPr>
        <w:t>erfc（）—余误差函数。</w:t>
      </w:r>
    </w:p>
    <w:p w14:paraId="650CEACF">
      <w:p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（4）模型参数选取</w:t>
      </w:r>
    </w:p>
    <w:p w14:paraId="0C94465C">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渗透系数</w:t>
      </w:r>
    </w:p>
    <w:p w14:paraId="2F5BEB2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从区域水文地质来看，本项目土壤属于黄土。依据《环境影响评价技术导则地下水环境》（HJ610-2016）表B.1，渗透系数为0.5~1m/d，本次评价综合考虑取渗透系数为0.6m/d。</w:t>
      </w:r>
    </w:p>
    <w:p w14:paraId="7457EAD6">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水力坡度及水流速度</w:t>
      </w:r>
    </w:p>
    <w:p w14:paraId="6BD9072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采用水动力学断面法计算地下水流速</w:t>
      </w:r>
    </w:p>
    <w:p w14:paraId="7FF372B2">
      <w:pPr>
        <w:adjustRightInd w:val="0"/>
        <w:snapToGrid w:val="0"/>
        <w:spacing w:line="360" w:lineRule="auto"/>
        <w:ind w:firstLine="480" w:firstLineChars="20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V=KI；u=V/N</w:t>
      </w:r>
    </w:p>
    <w:p w14:paraId="398424A7">
      <w:pPr>
        <w:adjustRightInd w:val="0"/>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式中：I—断面间的水力坡度；</w:t>
      </w:r>
    </w:p>
    <w:p w14:paraId="1D7EFC9A">
      <w:pPr>
        <w:adjustRightInd w:val="0"/>
        <w:snapToGrid w:val="0"/>
        <w:spacing w:line="360" w:lineRule="auto"/>
        <w:ind w:firstLine="720" w:firstLineChars="300"/>
        <w:rPr>
          <w:color w:val="000000" w:themeColor="text1"/>
          <w:sz w:val="24"/>
          <w14:textFill>
            <w14:solidFill>
              <w14:schemeClr w14:val="tx1"/>
            </w14:solidFill>
          </w14:textFill>
        </w:rPr>
      </w:pPr>
      <w:r>
        <w:rPr>
          <w:color w:val="000000" w:themeColor="text1"/>
          <w:sz w:val="24"/>
          <w14:textFill>
            <w14:solidFill>
              <w14:schemeClr w14:val="tx1"/>
            </w14:solidFill>
          </w14:textFill>
        </w:rPr>
        <w:t>K—断面间平均渗透系数（m/d）；</w:t>
      </w:r>
    </w:p>
    <w:p w14:paraId="2BAD62EF">
      <w:pPr>
        <w:adjustRightInd w:val="0"/>
        <w:snapToGrid w:val="0"/>
        <w:spacing w:line="360" w:lineRule="auto"/>
        <w:ind w:firstLine="720" w:firstLineChars="300"/>
        <w:rPr>
          <w:color w:val="000000" w:themeColor="text1"/>
          <w:sz w:val="24"/>
          <w14:textFill>
            <w14:solidFill>
              <w14:schemeClr w14:val="tx1"/>
            </w14:solidFill>
          </w14:textFill>
        </w:rPr>
      </w:pPr>
      <w:r>
        <w:rPr>
          <w:color w:val="000000" w:themeColor="text1"/>
          <w:sz w:val="24"/>
          <w14:textFill>
            <w14:solidFill>
              <w14:schemeClr w14:val="tx1"/>
            </w14:solidFill>
          </w14:textFill>
        </w:rPr>
        <w:t>N—含水层的孔隙率；</w:t>
      </w:r>
    </w:p>
    <w:p w14:paraId="35B92D23">
      <w:pPr>
        <w:adjustRightInd w:val="0"/>
        <w:snapToGrid w:val="0"/>
        <w:spacing w:line="360" w:lineRule="auto"/>
        <w:ind w:firstLine="720" w:firstLineChars="300"/>
        <w:rPr>
          <w:color w:val="000000" w:themeColor="text1"/>
          <w:sz w:val="24"/>
          <w14:textFill>
            <w14:solidFill>
              <w14:schemeClr w14:val="tx1"/>
            </w14:solidFill>
          </w14:textFill>
        </w:rPr>
      </w:pPr>
      <w:r>
        <w:rPr>
          <w:color w:val="000000" w:themeColor="text1"/>
          <w:sz w:val="24"/>
          <w14:textFill>
            <w14:solidFill>
              <w14:schemeClr w14:val="tx1"/>
            </w14:solidFill>
          </w14:textFill>
        </w:rPr>
        <w:t>V—渗透速度（m/d）；</w:t>
      </w:r>
    </w:p>
    <w:p w14:paraId="1C05680A">
      <w:pPr>
        <w:adjustRightInd w:val="0"/>
        <w:snapToGrid w:val="0"/>
        <w:spacing w:line="360" w:lineRule="auto"/>
        <w:ind w:firstLine="720" w:firstLineChars="300"/>
        <w:rPr>
          <w:color w:val="000000" w:themeColor="text1"/>
          <w:sz w:val="24"/>
          <w14:textFill>
            <w14:solidFill>
              <w14:schemeClr w14:val="tx1"/>
            </w14:solidFill>
          </w14:textFill>
        </w:rPr>
      </w:pPr>
      <w:r>
        <w:rPr>
          <w:color w:val="000000" w:themeColor="text1"/>
          <w:sz w:val="24"/>
          <w14:textFill>
            <w14:solidFill>
              <w14:schemeClr w14:val="tx1"/>
            </w14:solidFill>
          </w14:textFill>
        </w:rPr>
        <w:t>u—实际流速（m/d）。</w:t>
      </w:r>
    </w:p>
    <w:p w14:paraId="167516A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根据地下水概况分析含水层渗透系数取（K=0.6m/d），根据监测井水位计距离及高程差确定本项目水力坡度I=0.0104，有效孔隙度取0.25。则经计算地下水流速为0.025m/d。</w:t>
      </w:r>
    </w:p>
    <w:p w14:paraId="24F40341">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弥散度及弥散系数</w:t>
      </w:r>
    </w:p>
    <w:p w14:paraId="402D999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参考Gelhar等人关于纵向弥散度与观测尺度关系的理论，根据本次污染场地的情况，模型计算中纵向弥散度选用10.0m。由此计算评估区含水层中的纵向弥散系数：DL=</w:t>
      </w:r>
      <w:bookmarkStart w:id="795" w:name="OLE_LINK191"/>
      <w:bookmarkStart w:id="796" w:name="OLE_LINK192"/>
      <w:r>
        <w:rPr>
          <w:color w:val="000000" w:themeColor="text1"/>
          <w:sz w:val="24"/>
          <w14:textFill>
            <w14:solidFill>
              <w14:schemeClr w14:val="tx1"/>
            </w14:solidFill>
          </w14:textFill>
        </w:rPr>
        <w:t>α</w:t>
      </w:r>
      <w:bookmarkEnd w:id="795"/>
      <w:bookmarkEnd w:id="796"/>
      <w:r>
        <w:rPr>
          <w:color w:val="000000" w:themeColor="text1"/>
          <w:sz w:val="24"/>
          <w14:textFill>
            <w14:solidFill>
              <w14:schemeClr w14:val="tx1"/>
            </w14:solidFill>
          </w14:textFill>
        </w:rPr>
        <w:t>L×u，横向Y方向的弥散系数DT：根据经验一般DT/DL=0.1。</w:t>
      </w:r>
    </w:p>
    <w:p w14:paraId="306B4DC4">
      <w:pPr>
        <w:adjustRightInd w:val="0"/>
        <w:snapToGrid w:val="0"/>
        <w:spacing w:line="360" w:lineRule="auto"/>
        <w:ind w:left="479" w:leftChars="228"/>
        <w:rPr>
          <w:color w:val="000000" w:themeColor="text1"/>
          <w:sz w:val="24"/>
          <w14:textFill>
            <w14:solidFill>
              <w14:schemeClr w14:val="tx1"/>
            </w14:solidFill>
          </w14:textFill>
        </w:rPr>
      </w:pPr>
      <w:r>
        <w:rPr>
          <w:color w:val="000000" w:themeColor="text1"/>
          <w:sz w:val="24"/>
          <w14:textFill>
            <w14:solidFill>
              <w14:schemeClr w14:val="tx1"/>
            </w14:solidFill>
          </w14:textFill>
        </w:rPr>
        <w:t>则由计算公式可知，项目横向弥散系数0.025m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/d，纵向弥散系数0.25m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/d。④计算参数取值统计</w:t>
      </w:r>
    </w:p>
    <w:p w14:paraId="1F932C5A">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计算间隔距离为1m，计算时渗透系数、水力坡度、水流速度、纵向弥散度、纵向弥散系数及污染源强见下表。</w:t>
      </w:r>
    </w:p>
    <w:p w14:paraId="6C192B7F">
      <w:pPr>
        <w:wordWrap w:val="0"/>
        <w:overflowPunct w:val="0"/>
        <w:autoSpaceDE w:val="0"/>
        <w:autoSpaceDN w:val="0"/>
        <w:adjustRightInd w:val="0"/>
        <w:snapToGrid w:val="0"/>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表5.2-16 计算参数统计表</w:t>
      </w:r>
    </w:p>
    <w:tbl>
      <w:tblPr>
        <w:tblStyle w:val="88"/>
        <w:tblW w:w="8575"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715"/>
        <w:gridCol w:w="1715"/>
        <w:gridCol w:w="1715"/>
        <w:gridCol w:w="1715"/>
        <w:gridCol w:w="1715"/>
      </w:tblGrid>
      <w:tr w14:paraId="63F10E7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715" w:type="dxa"/>
            <w:tcBorders>
              <w:tl2br w:val="nil"/>
              <w:tr2bl w:val="nil"/>
            </w:tcBorders>
            <w:vAlign w:val="center"/>
          </w:tcPr>
          <w:p w14:paraId="1CA686D3">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渗透系数K（m/d）</w:t>
            </w:r>
          </w:p>
        </w:tc>
        <w:tc>
          <w:tcPr>
            <w:tcW w:w="1715" w:type="dxa"/>
            <w:tcBorders>
              <w:tl2br w:val="nil"/>
              <w:tr2bl w:val="nil"/>
            </w:tcBorders>
            <w:vAlign w:val="center"/>
          </w:tcPr>
          <w:p w14:paraId="3B8EFE7B">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水力坡度I</w:t>
            </w:r>
          </w:p>
        </w:tc>
        <w:tc>
          <w:tcPr>
            <w:tcW w:w="1715" w:type="dxa"/>
            <w:tcBorders>
              <w:tl2br w:val="nil"/>
              <w:tr2bl w:val="nil"/>
            </w:tcBorders>
            <w:vAlign w:val="center"/>
          </w:tcPr>
          <w:p w14:paraId="77C58681">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水流速度u（m/d）</w:t>
            </w:r>
          </w:p>
        </w:tc>
        <w:tc>
          <w:tcPr>
            <w:tcW w:w="1715" w:type="dxa"/>
            <w:tcBorders>
              <w:tl2br w:val="nil"/>
              <w:tr2bl w:val="nil"/>
            </w:tcBorders>
            <w:vAlign w:val="center"/>
          </w:tcPr>
          <w:p w14:paraId="6FC5EA30">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纵向弥散度</w:t>
            </w:r>
            <w:r>
              <w:rPr>
                <w:color w:val="000000" w:themeColor="text1"/>
                <w:sz w:val="24"/>
                <w14:textFill>
                  <w14:solidFill>
                    <w14:schemeClr w14:val="tx1"/>
                  </w14:solidFill>
                </w14:textFill>
              </w:rPr>
              <w:t>α</w:t>
            </w:r>
            <w:r>
              <w:rPr>
                <w:b/>
                <w:color w:val="000000" w:themeColor="text1"/>
                <w:szCs w:val="21"/>
                <w14:textFill>
                  <w14:solidFill>
                    <w14:schemeClr w14:val="tx1"/>
                  </w14:solidFill>
                </w14:textFill>
              </w:rPr>
              <w:t>L（m）</w:t>
            </w:r>
          </w:p>
        </w:tc>
        <w:tc>
          <w:tcPr>
            <w:tcW w:w="1715" w:type="dxa"/>
            <w:tcBorders>
              <w:tl2br w:val="nil"/>
              <w:tr2bl w:val="nil"/>
            </w:tcBorders>
            <w:vAlign w:val="center"/>
          </w:tcPr>
          <w:p w14:paraId="16B61FDD">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纵向弥散系数D</w:t>
            </w:r>
            <w:r>
              <w:rPr>
                <w:b/>
                <w:color w:val="000000" w:themeColor="text1"/>
                <w:szCs w:val="21"/>
                <w:vertAlign w:val="subscript"/>
                <w14:textFill>
                  <w14:solidFill>
                    <w14:schemeClr w14:val="tx1"/>
                  </w14:solidFill>
                </w14:textFill>
              </w:rPr>
              <w:t>L</w:t>
            </w:r>
            <w:r>
              <w:rPr>
                <w:b/>
                <w:color w:val="000000" w:themeColor="text1"/>
                <w:szCs w:val="21"/>
                <w14:textFill>
                  <w14:solidFill>
                    <w14:schemeClr w14:val="tx1"/>
                  </w14:solidFill>
                </w14:textFill>
              </w:rPr>
              <w:t>（m</w:t>
            </w:r>
            <w:r>
              <w:rPr>
                <w:b/>
                <w:color w:val="000000" w:themeColor="text1"/>
                <w:szCs w:val="21"/>
                <w:vertAlign w:val="superscript"/>
                <w14:textFill>
                  <w14:solidFill>
                    <w14:schemeClr w14:val="tx1"/>
                  </w14:solidFill>
                </w14:textFill>
              </w:rPr>
              <w:t>2</w:t>
            </w:r>
            <w:r>
              <w:rPr>
                <w:b/>
                <w:color w:val="000000" w:themeColor="text1"/>
                <w:szCs w:val="21"/>
                <w14:textFill>
                  <w14:solidFill>
                    <w14:schemeClr w14:val="tx1"/>
                  </w14:solidFill>
                </w14:textFill>
              </w:rPr>
              <w:t>/d）</w:t>
            </w:r>
          </w:p>
        </w:tc>
      </w:tr>
      <w:tr w14:paraId="19BC72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3" w:hRule="atLeast"/>
          <w:jc w:val="center"/>
        </w:trPr>
        <w:tc>
          <w:tcPr>
            <w:tcW w:w="1715" w:type="dxa"/>
            <w:tcBorders>
              <w:tl2br w:val="nil"/>
              <w:tr2bl w:val="nil"/>
            </w:tcBorders>
            <w:vAlign w:val="center"/>
          </w:tcPr>
          <w:p w14:paraId="31C4D960">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0.6</w:t>
            </w:r>
          </w:p>
        </w:tc>
        <w:tc>
          <w:tcPr>
            <w:tcW w:w="1715" w:type="dxa"/>
            <w:tcBorders>
              <w:tl2br w:val="nil"/>
              <w:tr2bl w:val="nil"/>
            </w:tcBorders>
            <w:vAlign w:val="center"/>
          </w:tcPr>
          <w:p w14:paraId="67D41229">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0.0104</w:t>
            </w:r>
          </w:p>
        </w:tc>
        <w:tc>
          <w:tcPr>
            <w:tcW w:w="1715" w:type="dxa"/>
            <w:tcBorders>
              <w:tl2br w:val="nil"/>
              <w:tr2bl w:val="nil"/>
            </w:tcBorders>
            <w:vAlign w:val="center"/>
          </w:tcPr>
          <w:p w14:paraId="4DC9AA60">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0.025</w:t>
            </w:r>
          </w:p>
        </w:tc>
        <w:tc>
          <w:tcPr>
            <w:tcW w:w="1715" w:type="dxa"/>
            <w:tcBorders>
              <w:tl2br w:val="nil"/>
              <w:tr2bl w:val="nil"/>
            </w:tcBorders>
            <w:vAlign w:val="center"/>
          </w:tcPr>
          <w:p w14:paraId="4C9A0BE7">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10</w:t>
            </w:r>
          </w:p>
        </w:tc>
        <w:tc>
          <w:tcPr>
            <w:tcW w:w="1715" w:type="dxa"/>
            <w:tcBorders>
              <w:tl2br w:val="nil"/>
              <w:tr2bl w:val="nil"/>
            </w:tcBorders>
            <w:vAlign w:val="center"/>
          </w:tcPr>
          <w:p w14:paraId="4CC76D64">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0.25</w:t>
            </w:r>
          </w:p>
        </w:tc>
      </w:tr>
    </w:tbl>
    <w:p w14:paraId="6D7A50DC">
      <w:pPr>
        <w:adjustRightInd w:val="0"/>
        <w:snapToGrid w:val="0"/>
        <w:spacing w:before="156" w:beforeLines="5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根据《环境影响评价技术导则 地下水环境》（HJ610-2016），依据污染源分析和地下水现状监测情况，各污染物的源强和背景浓度取值见下表。</w:t>
      </w:r>
    </w:p>
    <w:p w14:paraId="087CF40C">
      <w:pPr>
        <w:wordWrap w:val="0"/>
        <w:overflowPunct w:val="0"/>
        <w:autoSpaceDE w:val="0"/>
        <w:autoSpaceDN w:val="0"/>
        <w:adjustRightInd w:val="0"/>
        <w:snapToGrid w:val="0"/>
        <w:jc w:val="center"/>
        <w:rPr>
          <w:color w:val="000000" w:themeColor="text1"/>
          <w:szCs w:val="21"/>
          <w14:textFill>
            <w14:solidFill>
              <w14:schemeClr w14:val="tx1"/>
            </w14:solidFill>
          </w14:textFill>
        </w:rPr>
      </w:pPr>
      <w:r>
        <w:rPr>
          <w:b/>
          <w:color w:val="000000" w:themeColor="text1"/>
          <w:szCs w:val="21"/>
          <w14:textFill>
            <w14:solidFill>
              <w14:schemeClr w14:val="tx1"/>
            </w14:solidFill>
          </w14:textFill>
        </w:rPr>
        <w:t>表5.2-17 地下水评价因子源强浓度及评价标准</w:t>
      </w:r>
    </w:p>
    <w:tbl>
      <w:tblPr>
        <w:tblStyle w:val="88"/>
        <w:tblW w:w="8575"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275"/>
        <w:gridCol w:w="1582"/>
        <w:gridCol w:w="2859"/>
        <w:gridCol w:w="2859"/>
      </w:tblGrid>
      <w:tr w14:paraId="0397AA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858" w:type="dxa"/>
            <w:gridSpan w:val="2"/>
            <w:tcBorders>
              <w:tl2br w:val="nil"/>
              <w:tr2bl w:val="nil"/>
            </w:tcBorders>
            <w:vAlign w:val="center"/>
          </w:tcPr>
          <w:p w14:paraId="3CAB2808">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评价因子</w:t>
            </w:r>
          </w:p>
        </w:tc>
        <w:tc>
          <w:tcPr>
            <w:tcW w:w="2859" w:type="dxa"/>
            <w:tcBorders>
              <w:tl2br w:val="nil"/>
              <w:tr2bl w:val="nil"/>
            </w:tcBorders>
            <w:vAlign w:val="center"/>
          </w:tcPr>
          <w:p w14:paraId="0D2B932D">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COD</w:t>
            </w:r>
            <w:r>
              <w:rPr>
                <w:b/>
                <w:color w:val="000000" w:themeColor="text1"/>
                <w:szCs w:val="21"/>
                <w:vertAlign w:val="subscript"/>
                <w14:textFill>
                  <w14:solidFill>
                    <w14:schemeClr w14:val="tx1"/>
                  </w14:solidFill>
                </w14:textFill>
              </w:rPr>
              <w:t>Mn</w:t>
            </w:r>
          </w:p>
        </w:tc>
        <w:tc>
          <w:tcPr>
            <w:tcW w:w="2858" w:type="dxa"/>
            <w:tcBorders>
              <w:tl2br w:val="nil"/>
              <w:tr2bl w:val="nil"/>
            </w:tcBorders>
            <w:vAlign w:val="center"/>
          </w:tcPr>
          <w:p w14:paraId="5BB9D7C6">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氨氮</w:t>
            </w:r>
          </w:p>
        </w:tc>
      </w:tr>
      <w:tr w14:paraId="407CBB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3" w:hRule="atLeast"/>
          <w:jc w:val="center"/>
        </w:trPr>
        <w:tc>
          <w:tcPr>
            <w:tcW w:w="2858" w:type="dxa"/>
            <w:gridSpan w:val="2"/>
            <w:tcBorders>
              <w:tl2br w:val="nil"/>
              <w:tr2bl w:val="nil"/>
            </w:tcBorders>
            <w:vAlign w:val="center"/>
          </w:tcPr>
          <w:p w14:paraId="6C66C712">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源强浓度（mg/L）</w:t>
            </w:r>
          </w:p>
        </w:tc>
        <w:tc>
          <w:tcPr>
            <w:tcW w:w="2859" w:type="dxa"/>
            <w:tcBorders>
              <w:tl2br w:val="nil"/>
              <w:tr2bl w:val="nil"/>
            </w:tcBorders>
            <w:vAlign w:val="center"/>
          </w:tcPr>
          <w:p w14:paraId="3DEFECE2">
            <w:pPr>
              <w:adjustRightInd w:val="0"/>
              <w:snapToGrid w:val="0"/>
              <w:jc w:val="center"/>
              <w:textAlignment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4440</w:t>
            </w:r>
          </w:p>
        </w:tc>
        <w:tc>
          <w:tcPr>
            <w:tcW w:w="2858" w:type="dxa"/>
            <w:tcBorders>
              <w:tl2br w:val="nil"/>
              <w:tr2bl w:val="nil"/>
            </w:tcBorders>
            <w:vAlign w:val="center"/>
          </w:tcPr>
          <w:p w14:paraId="385F70F2">
            <w:pPr>
              <w:adjustRightInd w:val="0"/>
              <w:snapToGrid w:val="0"/>
              <w:jc w:val="center"/>
              <w:textAlignment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1400</w:t>
            </w:r>
          </w:p>
        </w:tc>
      </w:tr>
      <w:tr w14:paraId="55B2D2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1276" w:type="dxa"/>
            <w:vMerge w:val="restart"/>
            <w:tcBorders>
              <w:tl2br w:val="nil"/>
              <w:tr2bl w:val="nil"/>
            </w:tcBorders>
            <w:vAlign w:val="center"/>
          </w:tcPr>
          <w:p w14:paraId="6FCAA093">
            <w:pPr>
              <w:adjustRightInd w:val="0"/>
              <w:snapToGrid w:val="0"/>
              <w:jc w:val="center"/>
              <w:textAlignment w:val="center"/>
              <w:rPr>
                <w:bCs/>
                <w:color w:val="FF0000"/>
                <w:szCs w:val="21"/>
              </w:rPr>
            </w:pPr>
            <w:r>
              <w:rPr>
                <w:bCs/>
                <w:color w:val="FF0000"/>
                <w:szCs w:val="21"/>
              </w:rPr>
              <w:t>背景浓度（mg/L）</w:t>
            </w:r>
          </w:p>
        </w:tc>
        <w:tc>
          <w:tcPr>
            <w:tcW w:w="1582" w:type="dxa"/>
            <w:tcBorders>
              <w:tl2br w:val="nil"/>
              <w:tr2bl w:val="nil"/>
            </w:tcBorders>
            <w:vAlign w:val="center"/>
          </w:tcPr>
          <w:p w14:paraId="0C2DF679">
            <w:pPr>
              <w:adjustRightInd w:val="0"/>
              <w:snapToGrid w:val="0"/>
              <w:jc w:val="center"/>
              <w:textAlignment w:val="center"/>
              <w:rPr>
                <w:bCs/>
                <w:color w:val="FF0000"/>
                <w:szCs w:val="21"/>
              </w:rPr>
            </w:pPr>
            <w:r>
              <w:rPr>
                <w:rFonts w:hint="eastAsia"/>
                <w:bCs/>
                <w:color w:val="FF0000"/>
                <w:szCs w:val="21"/>
              </w:rPr>
              <w:t>百花养殖场区</w:t>
            </w:r>
          </w:p>
        </w:tc>
        <w:tc>
          <w:tcPr>
            <w:tcW w:w="2858" w:type="dxa"/>
            <w:tcBorders>
              <w:tl2br w:val="nil"/>
              <w:tr2bl w:val="nil"/>
            </w:tcBorders>
            <w:vAlign w:val="center"/>
          </w:tcPr>
          <w:p w14:paraId="0FF0D2D6">
            <w:pPr>
              <w:adjustRightInd w:val="0"/>
              <w:snapToGrid w:val="0"/>
              <w:jc w:val="center"/>
              <w:textAlignment w:val="center"/>
              <w:rPr>
                <w:bCs/>
                <w:color w:val="FF0000"/>
                <w:szCs w:val="21"/>
              </w:rPr>
            </w:pPr>
            <w:r>
              <w:rPr>
                <w:bCs/>
                <w:color w:val="FF0000"/>
                <w:szCs w:val="21"/>
              </w:rPr>
              <w:t>1.5</w:t>
            </w:r>
          </w:p>
        </w:tc>
        <w:tc>
          <w:tcPr>
            <w:tcW w:w="2859" w:type="dxa"/>
            <w:tcBorders>
              <w:tl2br w:val="nil"/>
              <w:tr2bl w:val="nil"/>
            </w:tcBorders>
            <w:vAlign w:val="center"/>
          </w:tcPr>
          <w:p w14:paraId="136646B2">
            <w:pPr>
              <w:adjustRightInd w:val="0"/>
              <w:snapToGrid w:val="0"/>
              <w:jc w:val="center"/>
              <w:textAlignment w:val="center"/>
              <w:rPr>
                <w:bCs/>
                <w:color w:val="FF0000"/>
                <w:szCs w:val="21"/>
              </w:rPr>
            </w:pPr>
            <w:r>
              <w:rPr>
                <w:bCs/>
                <w:color w:val="FF0000"/>
                <w:szCs w:val="21"/>
              </w:rPr>
              <w:t>0.123</w:t>
            </w:r>
          </w:p>
        </w:tc>
      </w:tr>
      <w:tr w14:paraId="31713E2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1276" w:type="dxa"/>
            <w:vMerge w:val="continue"/>
            <w:tcBorders>
              <w:tl2br w:val="nil"/>
              <w:tr2bl w:val="nil"/>
            </w:tcBorders>
            <w:vAlign w:val="center"/>
          </w:tcPr>
          <w:p w14:paraId="2AB2DA54">
            <w:pPr>
              <w:adjustRightInd w:val="0"/>
              <w:snapToGrid w:val="0"/>
              <w:jc w:val="center"/>
              <w:textAlignment w:val="center"/>
              <w:rPr>
                <w:bCs/>
                <w:color w:val="FF0000"/>
                <w:szCs w:val="21"/>
              </w:rPr>
            </w:pPr>
          </w:p>
        </w:tc>
        <w:tc>
          <w:tcPr>
            <w:tcW w:w="1582" w:type="dxa"/>
            <w:tcBorders>
              <w:tl2br w:val="nil"/>
              <w:tr2bl w:val="nil"/>
            </w:tcBorders>
            <w:vAlign w:val="center"/>
          </w:tcPr>
          <w:p w14:paraId="34F9F923">
            <w:pPr>
              <w:adjustRightInd w:val="0"/>
              <w:snapToGrid w:val="0"/>
              <w:jc w:val="center"/>
              <w:textAlignment w:val="center"/>
              <w:rPr>
                <w:bCs/>
                <w:color w:val="FF0000"/>
                <w:szCs w:val="21"/>
              </w:rPr>
            </w:pPr>
            <w:r>
              <w:rPr>
                <w:rFonts w:hint="eastAsia"/>
                <w:bCs/>
                <w:color w:val="FF0000"/>
                <w:szCs w:val="21"/>
              </w:rPr>
              <w:t>佛龙养殖场区</w:t>
            </w:r>
          </w:p>
        </w:tc>
        <w:tc>
          <w:tcPr>
            <w:tcW w:w="2858" w:type="dxa"/>
            <w:tcBorders>
              <w:tl2br w:val="nil"/>
              <w:tr2bl w:val="nil"/>
            </w:tcBorders>
            <w:vAlign w:val="center"/>
          </w:tcPr>
          <w:p w14:paraId="1966382F">
            <w:pPr>
              <w:adjustRightInd w:val="0"/>
              <w:snapToGrid w:val="0"/>
              <w:jc w:val="center"/>
              <w:textAlignment w:val="center"/>
              <w:rPr>
                <w:bCs/>
                <w:color w:val="FF0000"/>
                <w:szCs w:val="21"/>
              </w:rPr>
            </w:pPr>
            <w:r>
              <w:rPr>
                <w:rFonts w:hint="eastAsia"/>
                <w:bCs/>
                <w:color w:val="FF0000"/>
                <w:szCs w:val="21"/>
              </w:rPr>
              <w:t>1</w:t>
            </w:r>
            <w:r>
              <w:rPr>
                <w:bCs/>
                <w:color w:val="FF0000"/>
                <w:szCs w:val="21"/>
              </w:rPr>
              <w:t>.65</w:t>
            </w:r>
          </w:p>
        </w:tc>
        <w:tc>
          <w:tcPr>
            <w:tcW w:w="2859" w:type="dxa"/>
            <w:tcBorders>
              <w:tl2br w:val="nil"/>
              <w:tr2bl w:val="nil"/>
            </w:tcBorders>
            <w:vAlign w:val="center"/>
          </w:tcPr>
          <w:p w14:paraId="0AA6860C">
            <w:pPr>
              <w:adjustRightInd w:val="0"/>
              <w:snapToGrid w:val="0"/>
              <w:jc w:val="center"/>
              <w:textAlignment w:val="center"/>
              <w:rPr>
                <w:bCs/>
                <w:color w:val="FF0000"/>
                <w:szCs w:val="21"/>
              </w:rPr>
            </w:pPr>
            <w:r>
              <w:rPr>
                <w:rFonts w:hint="eastAsia"/>
                <w:bCs/>
                <w:color w:val="FF0000"/>
                <w:szCs w:val="21"/>
              </w:rPr>
              <w:t>0</w:t>
            </w:r>
            <w:r>
              <w:rPr>
                <w:bCs/>
                <w:color w:val="FF0000"/>
                <w:szCs w:val="21"/>
              </w:rPr>
              <w:t>.109</w:t>
            </w:r>
          </w:p>
        </w:tc>
      </w:tr>
      <w:tr w14:paraId="61E33AF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1276" w:type="dxa"/>
            <w:vMerge w:val="continue"/>
            <w:tcBorders>
              <w:tl2br w:val="nil"/>
              <w:tr2bl w:val="nil"/>
            </w:tcBorders>
            <w:vAlign w:val="center"/>
          </w:tcPr>
          <w:p w14:paraId="34DDF0AE">
            <w:pPr>
              <w:adjustRightInd w:val="0"/>
              <w:snapToGrid w:val="0"/>
              <w:jc w:val="center"/>
              <w:textAlignment w:val="center"/>
              <w:rPr>
                <w:bCs/>
                <w:color w:val="FF0000"/>
                <w:szCs w:val="21"/>
              </w:rPr>
            </w:pPr>
          </w:p>
        </w:tc>
        <w:tc>
          <w:tcPr>
            <w:tcW w:w="1582" w:type="dxa"/>
            <w:tcBorders>
              <w:tl2br w:val="nil"/>
              <w:tr2bl w:val="nil"/>
            </w:tcBorders>
            <w:vAlign w:val="center"/>
          </w:tcPr>
          <w:p w14:paraId="606AE038">
            <w:pPr>
              <w:adjustRightInd w:val="0"/>
              <w:snapToGrid w:val="0"/>
              <w:jc w:val="center"/>
              <w:textAlignment w:val="center"/>
              <w:rPr>
                <w:bCs/>
                <w:color w:val="FF0000"/>
                <w:szCs w:val="21"/>
              </w:rPr>
            </w:pPr>
            <w:r>
              <w:rPr>
                <w:rFonts w:hint="eastAsia"/>
                <w:bCs/>
                <w:color w:val="FF0000"/>
                <w:szCs w:val="21"/>
              </w:rPr>
              <w:t>塘坝养殖场区</w:t>
            </w:r>
          </w:p>
        </w:tc>
        <w:tc>
          <w:tcPr>
            <w:tcW w:w="2858" w:type="dxa"/>
            <w:tcBorders>
              <w:tl2br w:val="nil"/>
              <w:tr2bl w:val="nil"/>
            </w:tcBorders>
            <w:vAlign w:val="center"/>
          </w:tcPr>
          <w:p w14:paraId="18233C88">
            <w:pPr>
              <w:adjustRightInd w:val="0"/>
              <w:snapToGrid w:val="0"/>
              <w:jc w:val="center"/>
              <w:textAlignment w:val="center"/>
              <w:rPr>
                <w:bCs/>
                <w:color w:val="FF0000"/>
                <w:szCs w:val="21"/>
              </w:rPr>
            </w:pPr>
            <w:r>
              <w:rPr>
                <w:rFonts w:hint="eastAsia"/>
                <w:bCs/>
                <w:color w:val="FF0000"/>
                <w:szCs w:val="21"/>
              </w:rPr>
              <w:t>1</w:t>
            </w:r>
            <w:r>
              <w:rPr>
                <w:bCs/>
                <w:color w:val="FF0000"/>
                <w:szCs w:val="21"/>
              </w:rPr>
              <w:t>.63</w:t>
            </w:r>
          </w:p>
        </w:tc>
        <w:tc>
          <w:tcPr>
            <w:tcW w:w="2859" w:type="dxa"/>
            <w:tcBorders>
              <w:tl2br w:val="nil"/>
              <w:tr2bl w:val="nil"/>
            </w:tcBorders>
            <w:vAlign w:val="center"/>
          </w:tcPr>
          <w:p w14:paraId="57909CFB">
            <w:pPr>
              <w:adjustRightInd w:val="0"/>
              <w:snapToGrid w:val="0"/>
              <w:jc w:val="center"/>
              <w:textAlignment w:val="center"/>
              <w:rPr>
                <w:bCs/>
                <w:color w:val="FF0000"/>
                <w:szCs w:val="21"/>
              </w:rPr>
            </w:pPr>
            <w:r>
              <w:rPr>
                <w:rFonts w:hint="eastAsia"/>
                <w:bCs/>
                <w:color w:val="FF0000"/>
                <w:szCs w:val="21"/>
              </w:rPr>
              <w:t>0</w:t>
            </w:r>
            <w:r>
              <w:rPr>
                <w:bCs/>
                <w:color w:val="FF0000"/>
                <w:szCs w:val="21"/>
              </w:rPr>
              <w:t>.142</w:t>
            </w:r>
          </w:p>
        </w:tc>
      </w:tr>
      <w:tr w14:paraId="2AA886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 w:hRule="atLeast"/>
          <w:jc w:val="center"/>
        </w:trPr>
        <w:tc>
          <w:tcPr>
            <w:tcW w:w="1276" w:type="dxa"/>
            <w:vMerge w:val="continue"/>
            <w:tcBorders>
              <w:tl2br w:val="nil"/>
              <w:tr2bl w:val="nil"/>
            </w:tcBorders>
            <w:vAlign w:val="center"/>
          </w:tcPr>
          <w:p w14:paraId="64FA5DD8">
            <w:pPr>
              <w:adjustRightInd w:val="0"/>
              <w:snapToGrid w:val="0"/>
              <w:jc w:val="center"/>
              <w:textAlignment w:val="center"/>
              <w:rPr>
                <w:bCs/>
                <w:color w:val="FF0000"/>
                <w:szCs w:val="21"/>
              </w:rPr>
            </w:pPr>
          </w:p>
        </w:tc>
        <w:tc>
          <w:tcPr>
            <w:tcW w:w="1582" w:type="dxa"/>
            <w:tcBorders>
              <w:tl2br w:val="nil"/>
              <w:tr2bl w:val="nil"/>
            </w:tcBorders>
            <w:vAlign w:val="center"/>
          </w:tcPr>
          <w:p w14:paraId="655B4577">
            <w:pPr>
              <w:adjustRightInd w:val="0"/>
              <w:snapToGrid w:val="0"/>
              <w:jc w:val="center"/>
              <w:textAlignment w:val="center"/>
              <w:rPr>
                <w:bCs/>
                <w:color w:val="FF0000"/>
                <w:szCs w:val="21"/>
              </w:rPr>
            </w:pPr>
            <w:r>
              <w:rPr>
                <w:rFonts w:hint="eastAsia"/>
                <w:bCs/>
                <w:color w:val="FF0000"/>
                <w:szCs w:val="21"/>
              </w:rPr>
              <w:t>始宁养殖场区</w:t>
            </w:r>
          </w:p>
        </w:tc>
        <w:tc>
          <w:tcPr>
            <w:tcW w:w="2858" w:type="dxa"/>
            <w:tcBorders>
              <w:tl2br w:val="nil"/>
              <w:tr2bl w:val="nil"/>
            </w:tcBorders>
            <w:vAlign w:val="center"/>
          </w:tcPr>
          <w:p w14:paraId="78EAC490">
            <w:pPr>
              <w:adjustRightInd w:val="0"/>
              <w:snapToGrid w:val="0"/>
              <w:jc w:val="center"/>
              <w:textAlignment w:val="center"/>
              <w:rPr>
                <w:bCs/>
                <w:color w:val="FF0000"/>
                <w:szCs w:val="21"/>
              </w:rPr>
            </w:pPr>
            <w:r>
              <w:rPr>
                <w:rFonts w:hint="eastAsia"/>
                <w:bCs/>
                <w:color w:val="FF0000"/>
                <w:szCs w:val="21"/>
              </w:rPr>
              <w:t>1</w:t>
            </w:r>
            <w:r>
              <w:rPr>
                <w:bCs/>
                <w:color w:val="FF0000"/>
                <w:szCs w:val="21"/>
              </w:rPr>
              <w:t>.27</w:t>
            </w:r>
          </w:p>
        </w:tc>
        <w:tc>
          <w:tcPr>
            <w:tcW w:w="2859" w:type="dxa"/>
            <w:tcBorders>
              <w:tl2br w:val="nil"/>
              <w:tr2bl w:val="nil"/>
            </w:tcBorders>
            <w:vAlign w:val="center"/>
          </w:tcPr>
          <w:p w14:paraId="784FDB99">
            <w:pPr>
              <w:adjustRightInd w:val="0"/>
              <w:snapToGrid w:val="0"/>
              <w:jc w:val="center"/>
              <w:textAlignment w:val="center"/>
              <w:rPr>
                <w:bCs/>
                <w:color w:val="FF0000"/>
                <w:szCs w:val="21"/>
              </w:rPr>
            </w:pPr>
            <w:r>
              <w:rPr>
                <w:rFonts w:hint="eastAsia"/>
                <w:bCs/>
                <w:color w:val="FF0000"/>
                <w:szCs w:val="21"/>
              </w:rPr>
              <w:t>0</w:t>
            </w:r>
            <w:r>
              <w:rPr>
                <w:bCs/>
                <w:color w:val="FF0000"/>
                <w:szCs w:val="21"/>
              </w:rPr>
              <w:t>.118</w:t>
            </w:r>
          </w:p>
        </w:tc>
      </w:tr>
      <w:tr w14:paraId="6054165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13" w:hRule="atLeast"/>
          <w:jc w:val="center"/>
        </w:trPr>
        <w:tc>
          <w:tcPr>
            <w:tcW w:w="2858" w:type="dxa"/>
            <w:gridSpan w:val="2"/>
            <w:tcBorders>
              <w:tl2br w:val="nil"/>
              <w:tr2bl w:val="nil"/>
            </w:tcBorders>
            <w:vAlign w:val="center"/>
          </w:tcPr>
          <w:p w14:paraId="4850249A">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评价标准（mg/L）</w:t>
            </w:r>
          </w:p>
        </w:tc>
        <w:tc>
          <w:tcPr>
            <w:tcW w:w="2859" w:type="dxa"/>
            <w:tcBorders>
              <w:tl2br w:val="nil"/>
              <w:tr2bl w:val="nil"/>
            </w:tcBorders>
            <w:vAlign w:val="center"/>
          </w:tcPr>
          <w:p w14:paraId="45990A40">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3.0</w:t>
            </w:r>
          </w:p>
        </w:tc>
        <w:tc>
          <w:tcPr>
            <w:tcW w:w="2858" w:type="dxa"/>
            <w:tcBorders>
              <w:tl2br w:val="nil"/>
              <w:tr2bl w:val="nil"/>
            </w:tcBorders>
            <w:vAlign w:val="center"/>
          </w:tcPr>
          <w:p w14:paraId="1B2B1F15">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0.5</w:t>
            </w:r>
          </w:p>
        </w:tc>
      </w:tr>
    </w:tbl>
    <w:p w14:paraId="19540FCB">
      <w:pPr>
        <w:adjustRightInd w:val="0"/>
        <w:snapToGrid w:val="0"/>
        <w:spacing w:line="360" w:lineRule="auto"/>
        <w:ind w:firstLine="486" w:firstLineChars="200"/>
        <w:jc w:val="both"/>
        <w:rPr>
          <w:b/>
          <w:bCs/>
          <w:color w:val="000000" w:themeColor="text1"/>
          <w:spacing w:val="1"/>
          <w:sz w:val="24"/>
          <w14:textFill>
            <w14:solidFill>
              <w14:schemeClr w14:val="tx1"/>
            </w14:solidFill>
          </w14:textFill>
        </w:rPr>
      </w:pPr>
      <w:r>
        <w:rPr>
          <w:b/>
          <w:bCs/>
          <w:color w:val="000000" w:themeColor="text1"/>
          <w:spacing w:val="1"/>
          <w:sz w:val="24"/>
          <w14:textFill>
            <w14:solidFill>
              <w14:schemeClr w14:val="tx1"/>
            </w14:solidFill>
          </w14:textFill>
        </w:rPr>
        <w:t>7、预测结果</w:t>
      </w:r>
    </w:p>
    <w:p w14:paraId="66C7243C">
      <w:pPr>
        <w:adjustRightInd w:val="0"/>
        <w:snapToGrid w:val="0"/>
        <w:spacing w:line="360" w:lineRule="auto"/>
        <w:ind w:firstLine="484" w:firstLineChars="200"/>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本次预测主要考虑污染物在地下水中的迁移规律（以泄漏区域为原点，水流方向为x轴、垂直水流方向为y轴）。根据上述预测模型，非正常工况下污染物预测结果如下：</w:t>
      </w:r>
    </w:p>
    <w:p w14:paraId="5501ED1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非正常工况下，污水处理设施渗漏100天、1000天、7300天时，计算各污染物的最远超标距离和对应的超标浓度，其计算结果如下。</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6"/>
        <w:gridCol w:w="4266"/>
      </w:tblGrid>
      <w:tr w14:paraId="10DA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5F13FBB">
            <w:pPr>
              <w:widowControl w:val="0"/>
              <w:adjustRightInd w:val="0"/>
              <w:snapToGrid w:val="0"/>
              <w:spacing w:line="360" w:lineRule="auto"/>
              <w:jc w:val="left"/>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607310" cy="1471930"/>
                  <wp:effectExtent l="0" t="0" r="2540" b="1397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88"/>
                          <a:stretch>
                            <a:fillRect/>
                          </a:stretch>
                        </pic:blipFill>
                        <pic:spPr>
                          <a:xfrm>
                            <a:off x="0" y="0"/>
                            <a:ext cx="2607310" cy="1471930"/>
                          </a:xfrm>
                          <a:prstGeom prst="rect">
                            <a:avLst/>
                          </a:prstGeom>
                          <a:noFill/>
                          <a:ln>
                            <a:noFill/>
                          </a:ln>
                        </pic:spPr>
                      </pic:pic>
                    </a:graphicData>
                  </a:graphic>
                </wp:inline>
              </w:drawing>
            </w:r>
          </w:p>
        </w:tc>
        <w:tc>
          <w:tcPr>
            <w:tcW w:w="4261" w:type="dxa"/>
          </w:tcPr>
          <w:p w14:paraId="5326C17F">
            <w:pPr>
              <w:widowControl w:val="0"/>
              <w:adjustRightInd w:val="0"/>
              <w:snapToGrid w:val="0"/>
              <w:spacing w:line="360" w:lineRule="auto"/>
              <w:jc w:val="left"/>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565400" cy="1477010"/>
                  <wp:effectExtent l="0" t="0" r="6350" b="8890"/>
                  <wp:docPr id="195424185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1858" name="图片 7"/>
                          <pic:cNvPicPr>
                            <a:picLocks noChangeAspect="1"/>
                          </pic:cNvPicPr>
                        </pic:nvPicPr>
                        <pic:blipFill>
                          <a:blip r:embed="rId89"/>
                          <a:stretch>
                            <a:fillRect/>
                          </a:stretch>
                        </pic:blipFill>
                        <pic:spPr>
                          <a:xfrm>
                            <a:off x="0" y="0"/>
                            <a:ext cx="2565400" cy="1477010"/>
                          </a:xfrm>
                          <a:prstGeom prst="rect">
                            <a:avLst/>
                          </a:prstGeom>
                          <a:noFill/>
                          <a:ln>
                            <a:noFill/>
                          </a:ln>
                        </pic:spPr>
                      </pic:pic>
                    </a:graphicData>
                  </a:graphic>
                </wp:inline>
              </w:drawing>
            </w:r>
          </w:p>
        </w:tc>
      </w:tr>
      <w:tr w14:paraId="7668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A1CA032">
            <w:pPr>
              <w:widowControl w:val="0"/>
              <w:adjustRightInd w:val="0"/>
              <w:snapToGrid w:val="0"/>
              <w:spacing w:line="360" w:lineRule="auto"/>
              <w:jc w:val="left"/>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547620" cy="1435100"/>
                  <wp:effectExtent l="0" t="0" r="5080" b="12700"/>
                  <wp:docPr id="2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pic:cNvPicPr>
                            <a:picLocks noChangeAspect="1"/>
                          </pic:cNvPicPr>
                        </pic:nvPicPr>
                        <pic:blipFill>
                          <a:blip r:embed="rId90"/>
                          <a:stretch>
                            <a:fillRect/>
                          </a:stretch>
                        </pic:blipFill>
                        <pic:spPr>
                          <a:xfrm>
                            <a:off x="0" y="0"/>
                            <a:ext cx="2547620" cy="1435100"/>
                          </a:xfrm>
                          <a:prstGeom prst="rect">
                            <a:avLst/>
                          </a:prstGeom>
                          <a:noFill/>
                          <a:ln>
                            <a:noFill/>
                          </a:ln>
                        </pic:spPr>
                      </pic:pic>
                    </a:graphicData>
                  </a:graphic>
                </wp:inline>
              </w:drawing>
            </w:r>
          </w:p>
        </w:tc>
        <w:tc>
          <w:tcPr>
            <w:tcW w:w="4261" w:type="dxa"/>
          </w:tcPr>
          <w:p w14:paraId="573A6605">
            <w:pPr>
              <w:widowControl w:val="0"/>
              <w:adjustRightInd w:val="0"/>
              <w:snapToGrid w:val="0"/>
              <w:spacing w:line="360" w:lineRule="auto"/>
              <w:jc w:val="left"/>
              <w:rPr>
                <w:color w:val="000000" w:themeColor="text1"/>
                <w:sz w:val="24"/>
                <w14:textFill>
                  <w14:solidFill>
                    <w14:schemeClr w14:val="tx1"/>
                  </w14:solidFill>
                </w14:textFill>
              </w:rPr>
            </w:pPr>
          </w:p>
        </w:tc>
      </w:tr>
    </w:tbl>
    <w:p w14:paraId="29113CE7">
      <w:pPr>
        <w:pStyle w:val="34"/>
        <w:ind w:left="420" w:firstLine="422"/>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图5.2-3 废水渗入地下水耗氧量浓度预测图</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26"/>
        <w:gridCol w:w="4344"/>
      </w:tblGrid>
      <w:tr w14:paraId="2CC20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3B90214">
            <w:pPr>
              <w:widowControl w:val="0"/>
              <w:adjustRightInd w:val="0"/>
              <w:snapToGrid w:val="0"/>
              <w:spacing w:line="360" w:lineRule="auto"/>
              <w:jc w:val="left"/>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570480" cy="1457960"/>
                  <wp:effectExtent l="0" t="0" r="5080" b="5080"/>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91"/>
                          <a:stretch>
                            <a:fillRect/>
                          </a:stretch>
                        </pic:blipFill>
                        <pic:spPr>
                          <a:xfrm>
                            <a:off x="0" y="0"/>
                            <a:ext cx="2570480" cy="1457960"/>
                          </a:xfrm>
                          <a:prstGeom prst="rect">
                            <a:avLst/>
                          </a:prstGeom>
                          <a:noFill/>
                          <a:ln>
                            <a:noFill/>
                          </a:ln>
                        </pic:spPr>
                      </pic:pic>
                    </a:graphicData>
                  </a:graphic>
                </wp:inline>
              </w:drawing>
            </w:r>
          </w:p>
        </w:tc>
        <w:tc>
          <w:tcPr>
            <w:tcW w:w="4261" w:type="dxa"/>
          </w:tcPr>
          <w:p w14:paraId="4B91A05E">
            <w:pPr>
              <w:widowControl w:val="0"/>
              <w:adjustRightInd w:val="0"/>
              <w:snapToGrid w:val="0"/>
              <w:spacing w:line="360" w:lineRule="auto"/>
              <w:jc w:val="left"/>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615565" cy="1485900"/>
                  <wp:effectExtent l="0" t="0" r="5715" b="7620"/>
                  <wp:docPr id="195424185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1859" name="图片 10"/>
                          <pic:cNvPicPr>
                            <a:picLocks noChangeAspect="1"/>
                          </pic:cNvPicPr>
                        </pic:nvPicPr>
                        <pic:blipFill>
                          <a:blip r:embed="rId92"/>
                          <a:stretch>
                            <a:fillRect/>
                          </a:stretch>
                        </pic:blipFill>
                        <pic:spPr>
                          <a:xfrm>
                            <a:off x="0" y="0"/>
                            <a:ext cx="2615565" cy="1485900"/>
                          </a:xfrm>
                          <a:prstGeom prst="rect">
                            <a:avLst/>
                          </a:prstGeom>
                          <a:noFill/>
                          <a:ln>
                            <a:noFill/>
                          </a:ln>
                        </pic:spPr>
                      </pic:pic>
                    </a:graphicData>
                  </a:graphic>
                </wp:inline>
              </w:drawing>
            </w:r>
          </w:p>
        </w:tc>
      </w:tr>
      <w:tr w14:paraId="7272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B9032B9">
            <w:pPr>
              <w:widowControl w:val="0"/>
              <w:adjustRightInd w:val="0"/>
              <w:snapToGrid w:val="0"/>
              <w:spacing w:line="360" w:lineRule="auto"/>
              <w:jc w:val="left"/>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597785" cy="1463675"/>
                  <wp:effectExtent l="0" t="0" r="12065" b="3175"/>
                  <wp:docPr id="195424186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1860" name="图片 17"/>
                          <pic:cNvPicPr>
                            <a:picLocks noChangeAspect="1"/>
                          </pic:cNvPicPr>
                        </pic:nvPicPr>
                        <pic:blipFill>
                          <a:blip r:embed="rId93"/>
                          <a:stretch>
                            <a:fillRect/>
                          </a:stretch>
                        </pic:blipFill>
                        <pic:spPr>
                          <a:xfrm>
                            <a:off x="0" y="0"/>
                            <a:ext cx="2597785" cy="1463675"/>
                          </a:xfrm>
                          <a:prstGeom prst="rect">
                            <a:avLst/>
                          </a:prstGeom>
                          <a:noFill/>
                          <a:ln>
                            <a:noFill/>
                          </a:ln>
                        </pic:spPr>
                      </pic:pic>
                    </a:graphicData>
                  </a:graphic>
                </wp:inline>
              </w:drawing>
            </w:r>
          </w:p>
        </w:tc>
        <w:tc>
          <w:tcPr>
            <w:tcW w:w="4261" w:type="dxa"/>
          </w:tcPr>
          <w:p w14:paraId="55F6A704">
            <w:pPr>
              <w:widowControl w:val="0"/>
              <w:adjustRightInd w:val="0"/>
              <w:snapToGrid w:val="0"/>
              <w:spacing w:line="360" w:lineRule="auto"/>
              <w:jc w:val="left"/>
              <w:rPr>
                <w:color w:val="000000" w:themeColor="text1"/>
                <w:sz w:val="24"/>
                <w14:textFill>
                  <w14:solidFill>
                    <w14:schemeClr w14:val="tx1"/>
                  </w14:solidFill>
                </w14:textFill>
              </w:rPr>
            </w:pPr>
          </w:p>
        </w:tc>
      </w:tr>
    </w:tbl>
    <w:p w14:paraId="21373B71">
      <w:pPr>
        <w:pStyle w:val="34"/>
        <w:ind w:left="420" w:firstLine="422"/>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图5.2-4 废水渗入地下水氨氮浓度预测图</w:t>
      </w:r>
    </w:p>
    <w:bookmarkEnd w:id="794"/>
    <w:p w14:paraId="5F8CCAA2">
      <w:pPr>
        <w:adjustRightInd w:val="0"/>
        <w:snapToGrid w:val="0"/>
        <w:spacing w:before="156" w:beforeLines="50"/>
        <w:jc w:val="center"/>
        <w:rPr>
          <w:b/>
          <w:bCs/>
          <w:color w:val="000000" w:themeColor="text1"/>
          <w14:textFill>
            <w14:solidFill>
              <w14:schemeClr w14:val="tx1"/>
            </w14:solidFill>
          </w14:textFill>
        </w:rPr>
      </w:pPr>
      <w:r>
        <w:rPr>
          <w:b/>
          <w:bCs/>
          <w:color w:val="000000" w:themeColor="text1"/>
          <w14:textFill>
            <w14:solidFill>
              <w14:schemeClr w14:val="tx1"/>
            </w14:solidFill>
          </w14:textFill>
        </w:rPr>
        <w:t>表5.2-18 非正常工况下污染物的最远超标距离和超标浓度</w:t>
      </w:r>
    </w:p>
    <w:tbl>
      <w:tblPr>
        <w:tblStyle w:val="88"/>
        <w:tblW w:w="8575"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571"/>
        <w:gridCol w:w="1244"/>
        <w:gridCol w:w="1975"/>
        <w:gridCol w:w="1941"/>
        <w:gridCol w:w="1844"/>
      </w:tblGrid>
      <w:tr w14:paraId="764D81B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815" w:type="dxa"/>
            <w:gridSpan w:val="2"/>
            <w:tcBorders>
              <w:tl2br w:val="nil"/>
              <w:tr2bl w:val="nil"/>
            </w:tcBorders>
            <w:vAlign w:val="center"/>
          </w:tcPr>
          <w:p w14:paraId="37468A1C">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项目</w:t>
            </w:r>
          </w:p>
        </w:tc>
        <w:tc>
          <w:tcPr>
            <w:tcW w:w="1975" w:type="dxa"/>
            <w:tcBorders>
              <w:tl2br w:val="nil"/>
              <w:tr2bl w:val="nil"/>
            </w:tcBorders>
            <w:vAlign w:val="center"/>
          </w:tcPr>
          <w:p w14:paraId="282D252C">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100天</w:t>
            </w:r>
          </w:p>
        </w:tc>
        <w:tc>
          <w:tcPr>
            <w:tcW w:w="1941" w:type="dxa"/>
            <w:tcBorders>
              <w:tl2br w:val="nil"/>
              <w:tr2bl w:val="nil"/>
            </w:tcBorders>
            <w:vAlign w:val="center"/>
          </w:tcPr>
          <w:p w14:paraId="66F7CA05">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1000天</w:t>
            </w:r>
          </w:p>
        </w:tc>
        <w:tc>
          <w:tcPr>
            <w:tcW w:w="1844" w:type="dxa"/>
            <w:tcBorders>
              <w:tl2br w:val="nil"/>
              <w:tr2bl w:val="nil"/>
            </w:tcBorders>
            <w:vAlign w:val="center"/>
          </w:tcPr>
          <w:p w14:paraId="4B0E1521">
            <w:pPr>
              <w:adjustRightInd w:val="0"/>
              <w:snapToGrid w:val="0"/>
              <w:jc w:val="center"/>
              <w:textAlignment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7300天</w:t>
            </w:r>
          </w:p>
        </w:tc>
      </w:tr>
      <w:tr w14:paraId="46312B6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3" w:hRule="atLeast"/>
          <w:jc w:val="center"/>
        </w:trPr>
        <w:tc>
          <w:tcPr>
            <w:tcW w:w="1571" w:type="dxa"/>
            <w:vMerge w:val="restart"/>
            <w:tcBorders>
              <w:tl2br w:val="nil"/>
              <w:tr2bl w:val="nil"/>
            </w:tcBorders>
            <w:vAlign w:val="center"/>
          </w:tcPr>
          <w:p w14:paraId="1676CE9C">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COD</w:t>
            </w:r>
            <w:r>
              <w:rPr>
                <w:bCs/>
                <w:color w:val="000000" w:themeColor="text1"/>
                <w:szCs w:val="21"/>
                <w:vertAlign w:val="subscript"/>
                <w14:textFill>
                  <w14:solidFill>
                    <w14:schemeClr w14:val="tx1"/>
                  </w14:solidFill>
                </w14:textFill>
              </w:rPr>
              <w:t>Mn</w:t>
            </w:r>
          </w:p>
        </w:tc>
        <w:tc>
          <w:tcPr>
            <w:tcW w:w="1244" w:type="dxa"/>
            <w:tcBorders>
              <w:tl2br w:val="nil"/>
              <w:tr2bl w:val="nil"/>
            </w:tcBorders>
            <w:vAlign w:val="center"/>
          </w:tcPr>
          <w:p w14:paraId="66E0EAE5">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最远超标距离（m）</w:t>
            </w:r>
          </w:p>
        </w:tc>
        <w:tc>
          <w:tcPr>
            <w:tcW w:w="1975" w:type="dxa"/>
            <w:tcBorders>
              <w:tl2br w:val="nil"/>
              <w:tr2bl w:val="nil"/>
            </w:tcBorders>
            <w:vAlign w:val="center"/>
          </w:tcPr>
          <w:p w14:paraId="5DA0442F">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23</w:t>
            </w:r>
          </w:p>
        </w:tc>
        <w:tc>
          <w:tcPr>
            <w:tcW w:w="1941" w:type="dxa"/>
            <w:tcBorders>
              <w:tl2br w:val="nil"/>
              <w:tr2bl w:val="nil"/>
            </w:tcBorders>
            <w:vAlign w:val="center"/>
          </w:tcPr>
          <w:p w14:paraId="6864959D">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89</w:t>
            </w:r>
          </w:p>
        </w:tc>
        <w:tc>
          <w:tcPr>
            <w:tcW w:w="1844" w:type="dxa"/>
            <w:tcBorders>
              <w:tl2br w:val="nil"/>
              <w:tr2bl w:val="nil"/>
            </w:tcBorders>
            <w:vAlign w:val="center"/>
          </w:tcPr>
          <w:p w14:paraId="75CCA05E">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348</w:t>
            </w:r>
          </w:p>
        </w:tc>
      </w:tr>
      <w:tr w14:paraId="0E1D23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3" w:hRule="atLeast"/>
          <w:jc w:val="center"/>
        </w:trPr>
        <w:tc>
          <w:tcPr>
            <w:tcW w:w="1571" w:type="dxa"/>
            <w:vMerge w:val="continue"/>
            <w:tcBorders>
              <w:tl2br w:val="nil"/>
              <w:tr2bl w:val="nil"/>
            </w:tcBorders>
            <w:vAlign w:val="center"/>
          </w:tcPr>
          <w:p w14:paraId="675B3F52">
            <w:pPr>
              <w:adjustRightInd w:val="0"/>
              <w:snapToGrid w:val="0"/>
              <w:jc w:val="center"/>
              <w:textAlignment w:val="center"/>
              <w:rPr>
                <w:bCs/>
                <w:color w:val="000000" w:themeColor="text1"/>
                <w:szCs w:val="21"/>
                <w14:textFill>
                  <w14:solidFill>
                    <w14:schemeClr w14:val="tx1"/>
                  </w14:solidFill>
                </w14:textFill>
              </w:rPr>
            </w:pPr>
          </w:p>
        </w:tc>
        <w:tc>
          <w:tcPr>
            <w:tcW w:w="1244" w:type="dxa"/>
            <w:tcBorders>
              <w:tl2br w:val="nil"/>
              <w:tr2bl w:val="nil"/>
            </w:tcBorders>
            <w:vAlign w:val="center"/>
          </w:tcPr>
          <w:p w14:paraId="3299275F">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最远影响距离（m）</w:t>
            </w:r>
          </w:p>
        </w:tc>
        <w:tc>
          <w:tcPr>
            <w:tcW w:w="1975" w:type="dxa"/>
            <w:tcBorders>
              <w:tl2br w:val="nil"/>
              <w:tr2bl w:val="nil"/>
            </w:tcBorders>
            <w:vAlign w:val="center"/>
          </w:tcPr>
          <w:p w14:paraId="388847A5">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33</w:t>
            </w:r>
          </w:p>
        </w:tc>
        <w:tc>
          <w:tcPr>
            <w:tcW w:w="1941" w:type="dxa"/>
            <w:tcBorders>
              <w:tl2br w:val="nil"/>
              <w:tr2bl w:val="nil"/>
            </w:tcBorders>
            <w:vAlign w:val="center"/>
          </w:tcPr>
          <w:p w14:paraId="5F316081">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122</w:t>
            </w:r>
          </w:p>
        </w:tc>
        <w:tc>
          <w:tcPr>
            <w:tcW w:w="1844" w:type="dxa"/>
            <w:tcBorders>
              <w:tl2br w:val="nil"/>
              <w:tr2bl w:val="nil"/>
            </w:tcBorders>
            <w:vAlign w:val="center"/>
          </w:tcPr>
          <w:p w14:paraId="04500D5C">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439</w:t>
            </w:r>
          </w:p>
        </w:tc>
      </w:tr>
      <w:tr w14:paraId="4FF0C58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0" w:hRule="atLeast"/>
          <w:jc w:val="center"/>
        </w:trPr>
        <w:tc>
          <w:tcPr>
            <w:tcW w:w="1571" w:type="dxa"/>
            <w:vMerge w:val="restart"/>
            <w:tcBorders>
              <w:tl2br w:val="nil"/>
              <w:tr2bl w:val="nil"/>
            </w:tcBorders>
            <w:vAlign w:val="center"/>
          </w:tcPr>
          <w:p w14:paraId="0EE38A2C">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NH</w:t>
            </w:r>
            <w:r>
              <w:rPr>
                <w:bCs/>
                <w:color w:val="000000" w:themeColor="text1"/>
                <w:szCs w:val="21"/>
                <w:vertAlign w:val="subscript"/>
                <w14:textFill>
                  <w14:solidFill>
                    <w14:schemeClr w14:val="tx1"/>
                  </w14:solidFill>
                </w14:textFill>
              </w:rPr>
              <w:t>3</w:t>
            </w:r>
            <w:r>
              <w:rPr>
                <w:bCs/>
                <w:color w:val="000000" w:themeColor="text1"/>
                <w:szCs w:val="21"/>
                <w14:textFill>
                  <w14:solidFill>
                    <w14:schemeClr w14:val="tx1"/>
                  </w14:solidFill>
                </w14:textFill>
              </w:rPr>
              <w:t>-N（以N计）</w:t>
            </w:r>
          </w:p>
        </w:tc>
        <w:tc>
          <w:tcPr>
            <w:tcW w:w="1244" w:type="dxa"/>
            <w:tcBorders>
              <w:tl2br w:val="nil"/>
              <w:tr2bl w:val="nil"/>
            </w:tcBorders>
            <w:vAlign w:val="center"/>
          </w:tcPr>
          <w:p w14:paraId="4A388177">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最远超标距离（m）</w:t>
            </w:r>
          </w:p>
        </w:tc>
        <w:tc>
          <w:tcPr>
            <w:tcW w:w="1975" w:type="dxa"/>
            <w:tcBorders>
              <w:tl2br w:val="nil"/>
              <w:tr2bl w:val="nil"/>
            </w:tcBorders>
            <w:vAlign w:val="center"/>
          </w:tcPr>
          <w:p w14:paraId="74CB9702">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24</w:t>
            </w:r>
          </w:p>
        </w:tc>
        <w:tc>
          <w:tcPr>
            <w:tcW w:w="1941" w:type="dxa"/>
            <w:tcBorders>
              <w:tl2br w:val="nil"/>
              <w:tr2bl w:val="nil"/>
            </w:tcBorders>
            <w:vAlign w:val="center"/>
          </w:tcPr>
          <w:p w14:paraId="416D0D54">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92</w:t>
            </w:r>
          </w:p>
        </w:tc>
        <w:tc>
          <w:tcPr>
            <w:tcW w:w="1844" w:type="dxa"/>
            <w:tcBorders>
              <w:tl2br w:val="nil"/>
              <w:tr2bl w:val="nil"/>
            </w:tcBorders>
            <w:vAlign w:val="center"/>
          </w:tcPr>
          <w:p w14:paraId="0FA5350C">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357</w:t>
            </w:r>
          </w:p>
        </w:tc>
      </w:tr>
      <w:tr w14:paraId="184D06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0" w:hRule="atLeast"/>
          <w:jc w:val="center"/>
        </w:trPr>
        <w:tc>
          <w:tcPr>
            <w:tcW w:w="1571" w:type="dxa"/>
            <w:vMerge w:val="continue"/>
            <w:tcBorders>
              <w:tl2br w:val="nil"/>
              <w:tr2bl w:val="nil"/>
            </w:tcBorders>
            <w:vAlign w:val="center"/>
          </w:tcPr>
          <w:p w14:paraId="62D7BB44">
            <w:pPr>
              <w:adjustRightInd w:val="0"/>
              <w:snapToGrid w:val="0"/>
              <w:jc w:val="center"/>
              <w:textAlignment w:val="center"/>
              <w:rPr>
                <w:bCs/>
                <w:color w:val="000000" w:themeColor="text1"/>
                <w:szCs w:val="21"/>
                <w14:textFill>
                  <w14:solidFill>
                    <w14:schemeClr w14:val="tx1"/>
                  </w14:solidFill>
                </w14:textFill>
              </w:rPr>
            </w:pPr>
          </w:p>
        </w:tc>
        <w:tc>
          <w:tcPr>
            <w:tcW w:w="1244" w:type="dxa"/>
            <w:tcBorders>
              <w:tl2br w:val="nil"/>
              <w:tr2bl w:val="nil"/>
            </w:tcBorders>
            <w:vAlign w:val="center"/>
          </w:tcPr>
          <w:p w14:paraId="09380203">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最远影响距离（m）</w:t>
            </w:r>
          </w:p>
        </w:tc>
        <w:tc>
          <w:tcPr>
            <w:tcW w:w="1975" w:type="dxa"/>
            <w:tcBorders>
              <w:tl2br w:val="nil"/>
              <w:tr2bl w:val="nil"/>
            </w:tcBorders>
            <w:vAlign w:val="center"/>
          </w:tcPr>
          <w:p w14:paraId="44B1EC8E">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31</w:t>
            </w:r>
          </w:p>
        </w:tc>
        <w:tc>
          <w:tcPr>
            <w:tcW w:w="1941" w:type="dxa"/>
            <w:tcBorders>
              <w:tl2br w:val="nil"/>
              <w:tr2bl w:val="nil"/>
            </w:tcBorders>
            <w:vAlign w:val="center"/>
          </w:tcPr>
          <w:p w14:paraId="78CCD7A7">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116</w:t>
            </w:r>
          </w:p>
        </w:tc>
        <w:tc>
          <w:tcPr>
            <w:tcW w:w="1844" w:type="dxa"/>
            <w:tcBorders>
              <w:tl2br w:val="nil"/>
              <w:tr2bl w:val="nil"/>
            </w:tcBorders>
            <w:vAlign w:val="center"/>
          </w:tcPr>
          <w:p w14:paraId="657A1A3A">
            <w:pPr>
              <w:adjustRightInd w:val="0"/>
              <w:snapToGrid w:val="0"/>
              <w:jc w:val="center"/>
              <w:textAlignment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421</w:t>
            </w:r>
          </w:p>
        </w:tc>
      </w:tr>
    </w:tbl>
    <w:p w14:paraId="41F095D9">
      <w:pPr>
        <w:adjustRightInd w:val="0"/>
        <w:snapToGrid w:val="0"/>
        <w:spacing w:before="156" w:beforeLines="5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由计算结果可知，非正常工况下，随着时间的增加，污染物的最远超标扩散距离越来越大。项目运营100d内，COD</w:t>
      </w:r>
      <w:r>
        <w:rPr>
          <w:color w:val="000000" w:themeColor="text1"/>
          <w:sz w:val="24"/>
          <w:vertAlign w:val="subscript"/>
          <w14:textFill>
            <w14:solidFill>
              <w14:schemeClr w14:val="tx1"/>
            </w14:solidFill>
          </w14:textFill>
        </w:rPr>
        <w:t>Mn</w:t>
      </w:r>
      <w:r>
        <w:rPr>
          <w:color w:val="000000" w:themeColor="text1"/>
          <w:sz w:val="24"/>
          <w14:textFill>
            <w14:solidFill>
              <w14:schemeClr w14:val="tx1"/>
            </w14:solidFill>
          </w14:textFill>
        </w:rPr>
        <w:t>的最远超标扩散距离在23m范围内，氨氮的最远超标扩散距离在24m范围内；项目运营20年内，COD</w:t>
      </w:r>
      <w:r>
        <w:rPr>
          <w:color w:val="000000" w:themeColor="text1"/>
          <w:sz w:val="24"/>
          <w:vertAlign w:val="subscript"/>
          <w14:textFill>
            <w14:solidFill>
              <w14:schemeClr w14:val="tx1"/>
            </w14:solidFill>
          </w14:textFill>
        </w:rPr>
        <w:t>Mn</w:t>
      </w:r>
      <w:r>
        <w:rPr>
          <w:color w:val="000000" w:themeColor="text1"/>
          <w:sz w:val="24"/>
          <w14:textFill>
            <w14:solidFill>
              <w14:schemeClr w14:val="tx1"/>
            </w14:solidFill>
          </w14:textFill>
        </w:rPr>
        <w:t>的最远超标扩散距离在348m范围内，氨氮的最远超标扩散距离在357m范围内。</w:t>
      </w:r>
    </w:p>
    <w:p w14:paraId="2D87ED0B">
      <w:pPr>
        <w:pStyle w:val="86"/>
        <w:keepLines/>
        <w:kinsoku w:val="0"/>
        <w:overflowPunct w:val="0"/>
        <w:autoSpaceDE w:val="0"/>
        <w:autoSpaceDN w:val="0"/>
        <w:ind w:firstLine="480" w:firstLineChars="200"/>
        <w:textAlignment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综上所述，建设项目在非正常情况下废水泄漏将造成污水处理设施地下水环境质量标准出现超标现象。</w:t>
      </w:r>
    </w:p>
    <w:p w14:paraId="529D9982">
      <w:pPr>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8、预测结果分析</w:t>
      </w:r>
    </w:p>
    <w:p w14:paraId="0316FA41">
      <w:pPr>
        <w:spacing w:line="360" w:lineRule="auto"/>
        <w:ind w:firstLine="480" w:firstLineChars="200"/>
        <w:jc w:val="both"/>
        <w:rPr>
          <w:rFonts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综上所述，本项目营运期</w:t>
      </w:r>
      <w:r>
        <w:rPr>
          <w:rFonts w:hint="eastAsia" w:ascii="宋体" w:hAnsi="宋体" w:cs="宋体"/>
          <w:color w:val="000000" w:themeColor="text1"/>
          <w:sz w:val="24"/>
          <w14:textFill>
            <w14:solidFill>
              <w14:schemeClr w14:val="tx1"/>
            </w14:solidFill>
          </w14:textFill>
        </w:rPr>
        <w:t>集水池</w:t>
      </w:r>
      <w:r>
        <w:rPr>
          <w:rFonts w:ascii="宋体" w:hAnsi="宋体" w:cs="宋体"/>
          <w:color w:val="000000" w:themeColor="text1"/>
          <w:sz w:val="24"/>
          <w14:textFill>
            <w14:solidFill>
              <w14:schemeClr w14:val="tx1"/>
            </w14:solidFill>
          </w14:textFill>
        </w:rPr>
        <w:t>损坏非正常状况下渗漏会对地下水环境质量</w:t>
      </w:r>
      <w:r>
        <w:rPr>
          <w:rFonts w:hint="eastAsia" w:ascii="宋体" w:hAnsi="宋体" w:cs="宋体"/>
          <w:color w:val="000000" w:themeColor="text1"/>
          <w:sz w:val="24"/>
          <w14:textFill>
            <w14:solidFill>
              <w14:schemeClr w14:val="tx1"/>
            </w14:solidFill>
          </w14:textFill>
        </w:rPr>
        <w:t>有一定</w:t>
      </w:r>
      <w:r>
        <w:rPr>
          <w:rFonts w:ascii="宋体" w:hAnsi="宋体" w:cs="宋体"/>
          <w:color w:val="000000" w:themeColor="text1"/>
          <w:sz w:val="24"/>
          <w14:textFill>
            <w14:solidFill>
              <w14:schemeClr w14:val="tx1"/>
            </w14:solidFill>
          </w14:textFill>
        </w:rPr>
        <w:t>影响。</w:t>
      </w:r>
      <w:r>
        <w:rPr>
          <w:rFonts w:hint="eastAsia" w:ascii="宋体" w:hAnsi="宋体" w:cs="宋体"/>
          <w:color w:val="000000" w:themeColor="text1"/>
          <w:sz w:val="24"/>
          <w14:textFill>
            <w14:solidFill>
              <w14:schemeClr w14:val="tx1"/>
            </w14:solidFill>
          </w14:textFill>
        </w:rPr>
        <w:t>但影响范围主要集中在池体周边的区域，主要影响仍位于养殖场内，影响范围有限。</w:t>
      </w:r>
      <w:r>
        <w:rPr>
          <w:rFonts w:ascii="宋体" w:hAnsi="宋体" w:cs="宋体"/>
          <w:color w:val="000000" w:themeColor="text1"/>
          <w:sz w:val="24"/>
          <w14:textFill>
            <w14:solidFill>
              <w14:schemeClr w14:val="tx1"/>
            </w14:solidFill>
          </w14:textFill>
        </w:rPr>
        <w:t>为减少对地下水环境的影响，应尽量避免风险事故发生。环评要求：本项目在项目</w:t>
      </w:r>
      <w:r>
        <w:rPr>
          <w:rFonts w:hint="eastAsia" w:ascii="宋体" w:hAnsi="宋体" w:cs="宋体"/>
          <w:color w:val="000000" w:themeColor="text1"/>
          <w:sz w:val="24"/>
          <w14:textFill>
            <w14:solidFill>
              <w14:schemeClr w14:val="tx1"/>
            </w14:solidFill>
          </w14:textFill>
        </w:rPr>
        <w:t>厂区下游</w:t>
      </w:r>
      <w:r>
        <w:rPr>
          <w:rFonts w:ascii="宋体" w:hAnsi="宋体" w:cs="宋体"/>
          <w:color w:val="000000" w:themeColor="text1"/>
          <w:sz w:val="24"/>
          <w14:textFill>
            <w14:solidFill>
              <w14:schemeClr w14:val="tx1"/>
            </w14:solidFill>
          </w14:textFill>
        </w:rPr>
        <w:t>布设地下水水质监测井，定期对地下水水质进行监测，如发现水质异常，应立刻采取有效措施切断污染源并阻止</w:t>
      </w:r>
      <w:r>
        <w:rPr>
          <w:rFonts w:hint="eastAsia" w:ascii="宋体" w:hAnsi="宋体" w:cs="宋体"/>
          <w:color w:val="000000" w:themeColor="text1"/>
          <w:sz w:val="24"/>
          <w14:textFill>
            <w14:solidFill>
              <w14:schemeClr w14:val="tx1"/>
            </w14:solidFill>
          </w14:textFill>
        </w:rPr>
        <w:t>污染源</w:t>
      </w:r>
      <w:r>
        <w:rPr>
          <w:rFonts w:ascii="宋体" w:hAnsi="宋体" w:cs="宋体"/>
          <w:color w:val="000000" w:themeColor="text1"/>
          <w:sz w:val="24"/>
          <w14:textFill>
            <w14:solidFill>
              <w14:schemeClr w14:val="tx1"/>
            </w14:solidFill>
          </w14:textFill>
        </w:rPr>
        <w:t>的扩散迁移，避免对下游地下水造成污染。</w:t>
      </w:r>
    </w:p>
    <w:p w14:paraId="238B43EA">
      <w:pPr>
        <w:pStyle w:val="5"/>
        <w:adjustRightInd w:val="0"/>
        <w:snapToGrid w:val="0"/>
        <w:spacing w:before="0" w:after="0" w:line="360" w:lineRule="auto"/>
        <w:rPr>
          <w:rFonts w:ascii="楷体" w:hAnsi="楷体" w:eastAsia="楷体" w:cs="楷体"/>
          <w:color w:val="000000" w:themeColor="text1"/>
          <w:sz w:val="28"/>
          <w:szCs w:val="28"/>
          <w14:textFill>
            <w14:solidFill>
              <w14:schemeClr w14:val="tx1"/>
            </w14:solidFill>
          </w14:textFill>
        </w:rPr>
      </w:pPr>
      <w:bookmarkStart w:id="797" w:name="_Toc16793"/>
      <w:r>
        <w:rPr>
          <w:rFonts w:hint="eastAsia"/>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HYPERLINK </w:instrText>
      </w:r>
      <w:r>
        <w:rPr>
          <w:rFonts w:hint="eastAsia"/>
          <w:color w:val="000000" w:themeColor="text1"/>
          <w:sz w:val="28"/>
          <w:szCs w:val="28"/>
          <w14:textFill>
            <w14:solidFill>
              <w14:schemeClr w14:val="tx1"/>
            </w14:solidFill>
          </w14:textFill>
        </w:rPr>
        <w:instrText xml:space="preserve">"C:\\Users\\Administrator\\Desktop\\环评\\编制中项目\\巴州区肉牛养殖建设项目\\报告编制\\文本\\6.2.3.5"</w:instrText>
      </w:r>
      <w:r>
        <w:rPr>
          <w:rFonts w:hint="eastAsia"/>
          <w:color w:val="000000" w:themeColor="text1"/>
          <w:sz w:val="28"/>
          <w:szCs w:val="28"/>
          <w14:textFill>
            <w14:solidFill>
              <w14:schemeClr w14:val="tx1"/>
            </w14:solidFill>
          </w14:textFill>
        </w:rPr>
        <w:fldChar w:fldCharType="separate"/>
      </w:r>
      <w:bookmarkStart w:id="798" w:name="_Toc230079407"/>
      <w:bookmarkStart w:id="799" w:name="_Toc233380227"/>
      <w:r>
        <w:rPr>
          <w:rFonts w:hint="eastAsia"/>
          <w:color w:val="000000" w:themeColor="text1"/>
          <w:sz w:val="28"/>
          <w:szCs w:val="28"/>
          <w14:textFill>
            <w14:solidFill>
              <w14:schemeClr w14:val="tx1"/>
            </w14:solidFill>
          </w14:textFill>
        </w:rPr>
        <w:t>5.4.5</w:t>
      </w:r>
      <w:r>
        <w:rPr>
          <w:rFonts w:hint="eastAsia"/>
          <w:color w:val="000000" w:themeColor="text1"/>
          <w:sz w:val="28"/>
          <w:szCs w:val="28"/>
          <w14:textFill>
            <w14:solidFill>
              <w14:schemeClr w14:val="tx1"/>
            </w14:solidFill>
          </w14:textFill>
        </w:rPr>
        <w:fldChar w:fldCharType="end"/>
      </w:r>
      <w:r>
        <w:rPr>
          <w:rFonts w:hint="eastAsia"/>
          <w:color w:val="000000" w:themeColor="text1"/>
          <w:sz w:val="28"/>
          <w:szCs w:val="28"/>
          <w14:textFill>
            <w14:solidFill>
              <w14:schemeClr w14:val="tx1"/>
            </w14:solidFill>
          </w14:textFill>
        </w:rPr>
        <w:t>地下水污染防治措施</w:t>
      </w:r>
      <w:bookmarkEnd w:id="797"/>
      <w:bookmarkEnd w:id="798"/>
      <w:bookmarkEnd w:id="799"/>
    </w:p>
    <w:p w14:paraId="30B9399C">
      <w:pPr>
        <w:spacing w:line="360" w:lineRule="auto"/>
        <w:ind w:firstLine="452" w:firstLineChars="200"/>
        <w:rPr>
          <w:rFonts w:ascii="宋体" w:hAnsi="宋体" w:cs="宋体"/>
          <w:color w:val="000000" w:themeColor="text1"/>
          <w:sz w:val="24"/>
          <w14:textFill>
            <w14:solidFill>
              <w14:schemeClr w14:val="tx1"/>
            </w14:solidFill>
          </w14:textFill>
        </w:rPr>
      </w:pPr>
      <w:r>
        <w:rPr>
          <w:rFonts w:eastAsia="Times New Roman"/>
          <w:b/>
          <w:bCs/>
          <w:color w:val="000000" w:themeColor="text1"/>
          <w:spacing w:val="-7"/>
          <w:sz w:val="24"/>
          <w14:textFill>
            <w14:solidFill>
              <w14:schemeClr w14:val="tx1"/>
            </w14:solidFill>
          </w14:textFill>
        </w:rPr>
        <w:t>1</w:t>
      </w:r>
      <w:r>
        <w:rPr>
          <w:rFonts w:ascii="宋体" w:hAnsi="宋体" w:cs="宋体"/>
          <w:b/>
          <w:bCs/>
          <w:color w:val="000000" w:themeColor="text1"/>
          <w:spacing w:val="-7"/>
          <w:sz w:val="24"/>
          <w14:textFill>
            <w14:solidFill>
              <w14:schemeClr w14:val="tx1"/>
            </w14:solidFill>
          </w14:textFill>
        </w:rPr>
        <w:t>、源头控制措施</w:t>
      </w:r>
    </w:p>
    <w:p w14:paraId="4CE3D8BB">
      <w:pPr>
        <w:spacing w:line="360" w:lineRule="auto"/>
        <w:ind w:firstLine="496"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pacing w:val="4"/>
          <w:sz w:val="24"/>
          <w14:textFill>
            <w14:solidFill>
              <w14:schemeClr w14:val="tx1"/>
            </w14:solidFill>
          </w14:textFill>
        </w:rPr>
        <w:t>①生产区内易产生泄漏的贮存设施（柴油发电机房内的储油间、医疗废物暂存间）</w:t>
      </w:r>
      <w:r>
        <w:rPr>
          <w:rFonts w:ascii="宋体" w:hAnsi="宋体" w:cs="宋体"/>
          <w:color w:val="000000" w:themeColor="text1"/>
          <w:spacing w:val="-2"/>
          <w:sz w:val="24"/>
          <w14:textFill>
            <w14:solidFill>
              <w14:schemeClr w14:val="tx1"/>
            </w14:solidFill>
          </w14:textFill>
        </w:rPr>
        <w:t>设置空桶作为备用收容设施。</w:t>
      </w:r>
    </w:p>
    <w:p w14:paraId="5BFE6D93">
      <w:pPr>
        <w:spacing w:line="360" w:lineRule="auto"/>
        <w:ind w:firstLine="476"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pacing w:val="-1"/>
          <w:sz w:val="24"/>
          <w14:textFill>
            <w14:solidFill>
              <w14:schemeClr w14:val="tx1"/>
            </w14:solidFill>
          </w14:textFill>
        </w:rPr>
        <w:t>②贮存和输送废水的设施和管线均采用防腐材料。</w:t>
      </w:r>
    </w:p>
    <w:p w14:paraId="4ABE92F8">
      <w:pPr>
        <w:spacing w:line="360" w:lineRule="auto"/>
        <w:ind w:firstLine="456" w:firstLineChars="200"/>
        <w:rPr>
          <w:rFonts w:ascii="宋体" w:hAnsi="宋体" w:cs="宋体"/>
          <w:color w:val="000000" w:themeColor="text1"/>
          <w:sz w:val="24"/>
          <w14:textFill>
            <w14:solidFill>
              <w14:schemeClr w14:val="tx1"/>
            </w14:solidFill>
          </w14:textFill>
        </w:rPr>
      </w:pPr>
      <w:r>
        <w:rPr>
          <w:rFonts w:eastAsia="Times New Roman"/>
          <w:b/>
          <w:bCs/>
          <w:color w:val="000000" w:themeColor="text1"/>
          <w:spacing w:val="-6"/>
          <w:sz w:val="24"/>
          <w14:textFill>
            <w14:solidFill>
              <w14:schemeClr w14:val="tx1"/>
            </w14:solidFill>
          </w14:textFill>
        </w:rPr>
        <w:t>2</w:t>
      </w:r>
      <w:r>
        <w:rPr>
          <w:rFonts w:ascii="宋体" w:hAnsi="宋体" w:cs="宋体"/>
          <w:b/>
          <w:bCs/>
          <w:color w:val="000000" w:themeColor="text1"/>
          <w:spacing w:val="-6"/>
          <w:sz w:val="24"/>
          <w14:textFill>
            <w14:solidFill>
              <w14:schemeClr w14:val="tx1"/>
            </w14:solidFill>
          </w14:textFill>
        </w:rPr>
        <w:t>、分区防控措施</w:t>
      </w:r>
    </w:p>
    <w:p w14:paraId="0C190385">
      <w:pPr>
        <w:spacing w:line="360" w:lineRule="auto"/>
        <w:ind w:firstLine="472" w:firstLineChars="200"/>
        <w:jc w:val="both"/>
        <w:rPr>
          <w:rFonts w:ascii="宋体" w:hAnsi="宋体" w:cs="宋体"/>
          <w:color w:val="000000" w:themeColor="text1"/>
          <w:spacing w:val="-2"/>
          <w:sz w:val="24"/>
          <w14:textFill>
            <w14:solidFill>
              <w14:schemeClr w14:val="tx1"/>
            </w14:solidFill>
          </w14:textFill>
        </w:rPr>
      </w:pPr>
      <w:r>
        <w:rPr>
          <w:rFonts w:ascii="宋体" w:hAnsi="宋体" w:cs="宋体"/>
          <w:color w:val="000000" w:themeColor="text1"/>
          <w:spacing w:val="-2"/>
          <w:sz w:val="24"/>
          <w14:textFill>
            <w14:solidFill>
              <w14:schemeClr w14:val="tx1"/>
            </w14:solidFill>
          </w14:textFill>
        </w:rPr>
        <w:t>重点防渗区：</w:t>
      </w:r>
      <w:r>
        <w:rPr>
          <w:rFonts w:hint="eastAsia"/>
          <w:color w:val="000000" w:themeColor="text1"/>
          <w:spacing w:val="12"/>
          <w:sz w:val="24"/>
          <w14:textFill>
            <w14:solidFill>
              <w14:schemeClr w14:val="tx1"/>
            </w14:solidFill>
          </w14:textFill>
        </w:rPr>
        <w:t>医废暂存间</w:t>
      </w:r>
      <w:r>
        <w:rPr>
          <w:color w:val="000000" w:themeColor="text1"/>
          <w:sz w:val="24"/>
          <w14:textFill>
            <w14:solidFill>
              <w14:schemeClr w14:val="tx1"/>
            </w14:solidFill>
          </w14:textFill>
        </w:rPr>
        <w:t>防渗层为至少1m厚黏土层（渗透系数不大于10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cm/s），或至少2mm厚高密度聚乙烯膜等人工防渗材料（渗透系数不大于10</w:t>
      </w:r>
      <w:r>
        <w:rPr>
          <w:color w:val="000000" w:themeColor="text1"/>
          <w:sz w:val="24"/>
          <w:vertAlign w:val="superscript"/>
          <w14:textFill>
            <w14:solidFill>
              <w14:schemeClr w14:val="tx1"/>
            </w14:solidFill>
          </w14:textFill>
        </w:rPr>
        <w:t>-10</w:t>
      </w:r>
      <w:r>
        <w:rPr>
          <w:color w:val="000000" w:themeColor="text1"/>
          <w:sz w:val="24"/>
          <w14:textFill>
            <w14:solidFill>
              <w14:schemeClr w14:val="tx1"/>
            </w14:solidFill>
          </w14:textFill>
        </w:rPr>
        <w:t>cm/s）</w:t>
      </w:r>
      <w:r>
        <w:rPr>
          <w:rFonts w:hint="eastAsia"/>
          <w:color w:val="000000" w:themeColor="text1"/>
          <w:sz w:val="24"/>
          <w14:textFill>
            <w14:solidFill>
              <w14:schemeClr w14:val="tx1"/>
            </w14:solidFill>
          </w14:textFill>
        </w:rPr>
        <w:t>，</w:t>
      </w:r>
      <w:r>
        <w:rPr>
          <w:rFonts w:ascii="宋体" w:hAnsi="宋体" w:cs="宋体"/>
          <w:color w:val="000000" w:themeColor="text1"/>
          <w:spacing w:val="-2"/>
          <w:sz w:val="24"/>
          <w14:textFill>
            <w14:solidFill>
              <w14:schemeClr w14:val="tx1"/>
            </w14:solidFill>
          </w14:textFill>
        </w:rPr>
        <w:t>青贮窖池、药品库、柴油发电机房、化粪池、隔油池</w:t>
      </w:r>
      <w:r>
        <w:rPr>
          <w:bCs/>
          <w:color w:val="000000" w:themeColor="text1"/>
          <w:sz w:val="24"/>
          <w14:textFill>
            <w14:solidFill>
              <w14:schemeClr w14:val="tx1"/>
            </w14:solidFill>
          </w14:textFill>
        </w:rPr>
        <w:t>等效黏土防渗层Mb≥6.0m，渗透系数K≤1.0×10</w:t>
      </w:r>
      <w:r>
        <w:rPr>
          <w:bCs/>
          <w:color w:val="000000" w:themeColor="text1"/>
          <w:sz w:val="24"/>
          <w:vertAlign w:val="superscript"/>
          <w14:textFill>
            <w14:solidFill>
              <w14:schemeClr w14:val="tx1"/>
            </w14:solidFill>
          </w14:textFill>
        </w:rPr>
        <w:t>-7</w:t>
      </w:r>
      <w:r>
        <w:rPr>
          <w:bCs/>
          <w:color w:val="000000" w:themeColor="text1"/>
          <w:sz w:val="24"/>
          <w14:textFill>
            <w14:solidFill>
              <w14:schemeClr w14:val="tx1"/>
            </w14:solidFill>
          </w14:textFill>
        </w:rPr>
        <w:t>cm/s</w:t>
      </w:r>
      <w:r>
        <w:rPr>
          <w:rFonts w:hint="eastAsia"/>
          <w:bCs/>
          <w:color w:val="000000" w:themeColor="text1"/>
          <w:sz w:val="24"/>
          <w14:textFill>
            <w14:solidFill>
              <w14:schemeClr w14:val="tx1"/>
            </w14:solidFill>
          </w14:textFill>
        </w:rPr>
        <w:t>。</w:t>
      </w:r>
    </w:p>
    <w:p w14:paraId="36A8CD79">
      <w:pPr>
        <w:spacing w:line="360" w:lineRule="auto"/>
        <w:ind w:firstLine="472" w:firstLineChars="200"/>
        <w:jc w:val="both"/>
        <w:rPr>
          <w:rFonts w:ascii="宋体" w:hAnsi="宋体" w:cs="宋体"/>
          <w:color w:val="000000" w:themeColor="text1"/>
          <w:spacing w:val="-2"/>
          <w:sz w:val="24"/>
          <w14:textFill>
            <w14:solidFill>
              <w14:schemeClr w14:val="tx1"/>
            </w14:solidFill>
          </w14:textFill>
        </w:rPr>
      </w:pPr>
      <w:r>
        <w:rPr>
          <w:rFonts w:ascii="宋体" w:hAnsi="宋体" w:cs="宋体"/>
          <w:color w:val="000000" w:themeColor="text1"/>
          <w:spacing w:val="-2"/>
          <w:sz w:val="24"/>
          <w14:textFill>
            <w14:solidFill>
              <w14:schemeClr w14:val="tx1"/>
            </w14:solidFill>
          </w14:textFill>
        </w:rPr>
        <w:t>一般防渗区：</w:t>
      </w:r>
      <w:r>
        <w:rPr>
          <w:rFonts w:hint="eastAsia"/>
          <w:bCs/>
          <w:color w:val="000000" w:themeColor="text1"/>
          <w:sz w:val="24"/>
          <w14:textFill>
            <w14:solidFill>
              <w14:schemeClr w14:val="tx1"/>
            </w14:solidFill>
          </w14:textFill>
        </w:rPr>
        <w:t>牛舍</w:t>
      </w:r>
      <w:r>
        <w:rPr>
          <w:rFonts w:hint="eastAsia"/>
          <w:color w:val="000000" w:themeColor="text1"/>
          <w:spacing w:val="2"/>
          <w:sz w:val="24"/>
          <w14:textFill>
            <w14:solidFill>
              <w14:schemeClr w14:val="tx1"/>
            </w14:solidFill>
          </w14:textFill>
        </w:rPr>
        <w:t>、饲料仓库、饲料加工间、消毒池、雨水收集池、冷库</w:t>
      </w:r>
      <w:r>
        <w:rPr>
          <w:color w:val="000000" w:themeColor="text1"/>
          <w:spacing w:val="2"/>
          <w:sz w:val="24"/>
          <w14:textFill>
            <w14:solidFill>
              <w14:schemeClr w14:val="tx1"/>
            </w14:solidFill>
          </w14:textFill>
        </w:rPr>
        <w:t>等</w:t>
      </w:r>
      <w:r>
        <w:rPr>
          <w:rFonts w:hint="eastAsia"/>
          <w:color w:val="000000" w:themeColor="text1"/>
          <w:spacing w:val="2"/>
          <w:sz w:val="24"/>
          <w14:textFill>
            <w14:solidFill>
              <w14:schemeClr w14:val="tx1"/>
            </w14:solidFill>
          </w14:textFill>
        </w:rPr>
        <w:t>采取</w:t>
      </w:r>
      <w:r>
        <w:rPr>
          <w:color w:val="000000" w:themeColor="text1"/>
          <w:spacing w:val="7"/>
          <w:sz w:val="24"/>
          <w14:textFill>
            <w14:solidFill>
              <w14:schemeClr w14:val="tx1"/>
            </w14:solidFill>
          </w14:textFill>
        </w:rPr>
        <w:t>一般防渗措施，</w:t>
      </w:r>
      <w:r>
        <w:rPr>
          <w:bCs/>
          <w:color w:val="000000" w:themeColor="text1"/>
          <w:sz w:val="24"/>
          <w14:textFill>
            <w14:solidFill>
              <w14:schemeClr w14:val="tx1"/>
            </w14:solidFill>
          </w14:textFill>
        </w:rPr>
        <w:t>等效黏土防渗层Mb≥1.5m，渗透系数K≤1.0×10</w:t>
      </w:r>
      <w:r>
        <w:rPr>
          <w:bCs/>
          <w:color w:val="000000" w:themeColor="text1"/>
          <w:sz w:val="24"/>
          <w:vertAlign w:val="superscript"/>
          <w14:textFill>
            <w14:solidFill>
              <w14:schemeClr w14:val="tx1"/>
            </w14:solidFill>
          </w14:textFill>
        </w:rPr>
        <w:t>-7</w:t>
      </w:r>
      <w:r>
        <w:rPr>
          <w:bCs/>
          <w:color w:val="000000" w:themeColor="text1"/>
          <w:sz w:val="24"/>
          <w14:textFill>
            <w14:solidFill>
              <w14:schemeClr w14:val="tx1"/>
            </w14:solidFill>
          </w14:textFill>
        </w:rPr>
        <w:t>cm/s</w:t>
      </w:r>
      <w:r>
        <w:rPr>
          <w:rFonts w:hint="eastAsia" w:ascii="宋体" w:hAnsi="宋体" w:cs="宋体"/>
          <w:color w:val="000000" w:themeColor="text1"/>
          <w:spacing w:val="-2"/>
          <w:sz w:val="24"/>
          <w14:textFill>
            <w14:solidFill>
              <w14:schemeClr w14:val="tx1"/>
            </w14:solidFill>
          </w14:textFill>
        </w:rPr>
        <w:t>。</w:t>
      </w:r>
    </w:p>
    <w:p w14:paraId="04DF71BA">
      <w:pPr>
        <w:spacing w:line="360" w:lineRule="auto"/>
        <w:ind w:firstLine="472" w:firstLineChars="200"/>
        <w:jc w:val="both"/>
        <w:rPr>
          <w:rFonts w:ascii="宋体" w:hAnsi="宋体" w:cs="宋体"/>
          <w:color w:val="000000" w:themeColor="text1"/>
          <w:spacing w:val="-2"/>
          <w:sz w:val="24"/>
          <w14:textFill>
            <w14:solidFill>
              <w14:schemeClr w14:val="tx1"/>
            </w14:solidFill>
          </w14:textFill>
        </w:rPr>
      </w:pPr>
      <w:r>
        <w:rPr>
          <w:rFonts w:ascii="宋体" w:hAnsi="宋体" w:cs="宋体"/>
          <w:color w:val="000000" w:themeColor="text1"/>
          <w:spacing w:val="-2"/>
          <w:sz w:val="24"/>
          <w14:textFill>
            <w14:solidFill>
              <w14:schemeClr w14:val="tx1"/>
            </w14:solidFill>
          </w14:textFill>
        </w:rPr>
        <w:t>简单防渗区：办公生活区、道路等，采取水泥地面硬化。</w:t>
      </w:r>
    </w:p>
    <w:p w14:paraId="0B1AAD16">
      <w:pPr>
        <w:spacing w:line="360" w:lineRule="auto"/>
        <w:ind w:firstLine="470" w:firstLineChars="200"/>
        <w:jc w:val="both"/>
        <w:rPr>
          <w:b/>
          <w:bCs/>
          <w:color w:val="000000" w:themeColor="text1"/>
          <w:spacing w:val="-3"/>
          <w:sz w:val="24"/>
          <w14:textFill>
            <w14:solidFill>
              <w14:schemeClr w14:val="tx1"/>
            </w14:solidFill>
          </w14:textFill>
        </w:rPr>
      </w:pPr>
      <w:r>
        <w:rPr>
          <w:b/>
          <w:bCs/>
          <w:color w:val="000000" w:themeColor="text1"/>
          <w:spacing w:val="-3"/>
          <w:sz w:val="24"/>
          <w14:textFill>
            <w14:solidFill>
              <w14:schemeClr w14:val="tx1"/>
            </w14:solidFill>
          </w14:textFill>
        </w:rPr>
        <w:t>3、地下水环境监测与管理</w:t>
      </w:r>
    </w:p>
    <w:p w14:paraId="196EE788">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ascii="宋体" w:hAnsi="宋体" w:cs="宋体"/>
          <w:color w:val="000000" w:themeColor="text1"/>
          <w:spacing w:val="-3"/>
          <w:sz w:val="24"/>
          <w14:textFill>
            <w14:solidFill>
              <w14:schemeClr w14:val="tx1"/>
            </w14:solidFill>
          </w14:textFill>
        </w:rPr>
        <w:t>①建立地下水环境监测管理体系，严格按照环评要求对下游水质监测井进行监测，一旦发现水质异常，立刻采取有效措施阻止污染羽的扩散迁移，将地下水控制在局部范围，避免对项目下游地下水造成污染。</w:t>
      </w:r>
    </w:p>
    <w:p w14:paraId="4EB50B45">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ascii="宋体" w:hAnsi="宋体" w:cs="宋体"/>
          <w:color w:val="000000" w:themeColor="text1"/>
          <w:spacing w:val="-3"/>
          <w:sz w:val="24"/>
          <w14:textFill>
            <w14:solidFill>
              <w14:schemeClr w14:val="tx1"/>
            </w14:solidFill>
          </w14:textFill>
        </w:rPr>
        <w:t>②场区内四周设置排污沟，同时在排污沟外圈修建雨水沟，避免雨污混排，实行“清污分流”。</w:t>
      </w:r>
    </w:p>
    <w:p w14:paraId="127E3F1E">
      <w:pPr>
        <w:spacing w:line="360" w:lineRule="auto"/>
        <w:ind w:firstLine="468" w:firstLineChars="200"/>
        <w:jc w:val="both"/>
        <w:rPr>
          <w:color w:val="000000" w:themeColor="text1"/>
          <w:spacing w:val="-3"/>
          <w:sz w:val="24"/>
          <w14:textFill>
            <w14:solidFill>
              <w14:schemeClr w14:val="tx1"/>
            </w14:solidFill>
          </w14:textFill>
        </w:rPr>
      </w:pPr>
      <w:r>
        <w:rPr>
          <w:color w:val="000000" w:themeColor="text1"/>
          <w:spacing w:val="-3"/>
          <w:sz w:val="24"/>
          <w14:textFill>
            <w14:solidFill>
              <w14:schemeClr w14:val="tx1"/>
            </w14:solidFill>
          </w14:textFill>
        </w:rPr>
        <w:t>根据《环境影响评价技术导则地下水环境》（HJ610-2016）中“11.3 地下水环境监测与管理，三级评价的建设项目，一般不少于1个</w:t>
      </w:r>
      <w:r>
        <w:rPr>
          <w:rFonts w:hint="eastAsia"/>
          <w:color w:val="000000" w:themeColor="text1"/>
          <w:spacing w:val="-3"/>
          <w:sz w:val="24"/>
          <w14:textFill>
            <w14:solidFill>
              <w14:schemeClr w14:val="tx1"/>
            </w14:solidFill>
          </w14:textFill>
        </w:rPr>
        <w:t>。</w:t>
      </w:r>
    </w:p>
    <w:p w14:paraId="10482EB4">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ascii="宋体" w:hAnsi="宋体" w:cs="宋体"/>
          <w:color w:val="000000" w:themeColor="text1"/>
          <w:spacing w:val="-3"/>
          <w:sz w:val="24"/>
          <w14:textFill>
            <w14:solidFill>
              <w14:schemeClr w14:val="tx1"/>
            </w14:solidFill>
          </w14:textFill>
        </w:rPr>
        <w:t>本项目地下水跟踪监测计划见下表。</w:t>
      </w:r>
    </w:p>
    <w:p w14:paraId="3C3469D6">
      <w:pPr>
        <w:spacing w:line="360" w:lineRule="auto"/>
        <w:ind w:firstLine="418" w:firstLineChars="200"/>
        <w:jc w:val="center"/>
        <w:rPr>
          <w:b/>
          <w:bCs/>
          <w:color w:val="000000" w:themeColor="text1"/>
          <w:spacing w:val="-1"/>
          <w:szCs w:val="21"/>
          <w14:textFill>
            <w14:solidFill>
              <w14:schemeClr w14:val="tx1"/>
            </w14:solidFill>
          </w14:textFill>
        </w:rPr>
      </w:pPr>
      <w:r>
        <w:rPr>
          <w:b/>
          <w:bCs/>
          <w:color w:val="000000" w:themeColor="text1"/>
          <w:spacing w:val="-1"/>
          <w:szCs w:val="21"/>
          <w14:textFill>
            <w14:solidFill>
              <w14:schemeClr w14:val="tx1"/>
            </w14:solidFill>
          </w14:textFill>
        </w:rPr>
        <w:t>表</w:t>
      </w:r>
      <w:r>
        <w:rPr>
          <w:rFonts w:hint="eastAsia"/>
          <w:b/>
          <w:bCs/>
          <w:color w:val="000000" w:themeColor="text1"/>
          <w:spacing w:val="-1"/>
          <w:szCs w:val="21"/>
          <w14:textFill>
            <w14:solidFill>
              <w14:schemeClr w14:val="tx1"/>
            </w14:solidFill>
          </w14:textFill>
        </w:rPr>
        <w:t>5.4-6</w:t>
      </w:r>
      <w:r>
        <w:rPr>
          <w:b/>
          <w:bCs/>
          <w:color w:val="000000" w:themeColor="text1"/>
          <w:spacing w:val="-1"/>
          <w:szCs w:val="21"/>
          <w14:textFill>
            <w14:solidFill>
              <w14:schemeClr w14:val="tx1"/>
            </w14:solidFill>
          </w14:textFill>
        </w:rPr>
        <w:t xml:space="preserve"> 地下水环境监测计划表</w:t>
      </w:r>
    </w:p>
    <w:tbl>
      <w:tblPr>
        <w:tblStyle w:val="1745"/>
        <w:tblW w:w="885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0"/>
        <w:gridCol w:w="1485"/>
        <w:gridCol w:w="3709"/>
        <w:gridCol w:w="1365"/>
        <w:gridCol w:w="1571"/>
      </w:tblGrid>
      <w:tr w14:paraId="076B4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6" w:hRule="atLeast"/>
        </w:trPr>
        <w:tc>
          <w:tcPr>
            <w:tcW w:w="720" w:type="dxa"/>
            <w:tcBorders>
              <w:top w:val="single" w:color="000000" w:sz="12" w:space="0"/>
              <w:left w:val="nil"/>
              <w:bottom w:val="single" w:color="000000" w:sz="2" w:space="0"/>
            </w:tcBorders>
            <w:vAlign w:val="center"/>
          </w:tcPr>
          <w:p w14:paraId="41CD044B">
            <w:pPr>
              <w:widowControl/>
              <w:autoSpaceDE/>
              <w:autoSpaceDN/>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zCs w:val="21"/>
                <w:lang w:eastAsia="en-US"/>
                <w14:textFill>
                  <w14:solidFill>
                    <w14:schemeClr w14:val="tx1"/>
                  </w14:solidFill>
                </w14:textFill>
              </w:rPr>
              <w:t>编号</w:t>
            </w:r>
          </w:p>
        </w:tc>
        <w:tc>
          <w:tcPr>
            <w:tcW w:w="1485" w:type="dxa"/>
            <w:tcBorders>
              <w:top w:val="single" w:color="000000" w:sz="12" w:space="0"/>
              <w:bottom w:val="single" w:color="000000" w:sz="2" w:space="0"/>
            </w:tcBorders>
            <w:vAlign w:val="center"/>
          </w:tcPr>
          <w:p w14:paraId="712A8B02">
            <w:pPr>
              <w:widowControl/>
              <w:autoSpaceDE/>
              <w:autoSpaceDN/>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zCs w:val="21"/>
                <w:lang w:eastAsia="en-US"/>
                <w14:textFill>
                  <w14:solidFill>
                    <w14:schemeClr w14:val="tx1"/>
                  </w14:solidFill>
                </w14:textFill>
              </w:rPr>
              <w:t>监测点位</w:t>
            </w:r>
          </w:p>
        </w:tc>
        <w:tc>
          <w:tcPr>
            <w:tcW w:w="3709" w:type="dxa"/>
            <w:tcBorders>
              <w:top w:val="single" w:color="000000" w:sz="12" w:space="0"/>
              <w:bottom w:val="single" w:color="000000" w:sz="2" w:space="0"/>
            </w:tcBorders>
            <w:vAlign w:val="center"/>
          </w:tcPr>
          <w:p w14:paraId="0823BCCC">
            <w:pPr>
              <w:widowControl/>
              <w:autoSpaceDE/>
              <w:autoSpaceDN/>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zCs w:val="21"/>
                <w:lang w:eastAsia="en-US"/>
                <w14:textFill>
                  <w14:solidFill>
                    <w14:schemeClr w14:val="tx1"/>
                  </w14:solidFill>
                </w14:textFill>
              </w:rPr>
              <w:t>监测项目</w:t>
            </w:r>
          </w:p>
        </w:tc>
        <w:tc>
          <w:tcPr>
            <w:tcW w:w="1365" w:type="dxa"/>
            <w:tcBorders>
              <w:top w:val="single" w:color="000000" w:sz="12" w:space="0"/>
              <w:bottom w:val="single" w:color="000000" w:sz="2" w:space="0"/>
            </w:tcBorders>
            <w:vAlign w:val="center"/>
          </w:tcPr>
          <w:p w14:paraId="5E0E9554">
            <w:pPr>
              <w:widowControl/>
              <w:autoSpaceDE/>
              <w:autoSpaceDN/>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zCs w:val="21"/>
                <w:lang w:eastAsia="en-US"/>
                <w14:textFill>
                  <w14:solidFill>
                    <w14:schemeClr w14:val="tx1"/>
                  </w14:solidFill>
                </w14:textFill>
              </w:rPr>
              <w:t>监测</w:t>
            </w:r>
            <w:r>
              <w:rPr>
                <w:rFonts w:ascii="宋体" w:hAnsi="宋体" w:eastAsia="宋体"/>
                <w:color w:val="000000" w:themeColor="text1"/>
                <w:szCs w:val="21"/>
                <w:lang w:eastAsia="en-US"/>
                <w14:textFill>
                  <w14:solidFill>
                    <w14:schemeClr w14:val="tx1"/>
                  </w14:solidFill>
                </w14:textFill>
              </w:rPr>
              <w:t xml:space="preserve"> </w:t>
            </w:r>
            <w:r>
              <w:rPr>
                <w:rFonts w:ascii="宋体" w:hAnsi="宋体" w:eastAsia="宋体"/>
                <w:b/>
                <w:bCs/>
                <w:color w:val="000000" w:themeColor="text1"/>
                <w:szCs w:val="21"/>
                <w:lang w:eastAsia="en-US"/>
                <w14:textFill>
                  <w14:solidFill>
                    <w14:schemeClr w14:val="tx1"/>
                  </w14:solidFill>
                </w14:textFill>
              </w:rPr>
              <w:t>频次</w:t>
            </w:r>
          </w:p>
        </w:tc>
        <w:tc>
          <w:tcPr>
            <w:tcW w:w="1571" w:type="dxa"/>
            <w:tcBorders>
              <w:top w:val="single" w:color="000000" w:sz="12" w:space="0"/>
              <w:bottom w:val="single" w:color="000000" w:sz="2" w:space="0"/>
              <w:right w:val="nil"/>
            </w:tcBorders>
            <w:vAlign w:val="center"/>
          </w:tcPr>
          <w:p w14:paraId="7083B2B2">
            <w:pPr>
              <w:widowControl/>
              <w:autoSpaceDE/>
              <w:autoSpaceDN/>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b/>
                <w:bCs/>
                <w:color w:val="000000" w:themeColor="text1"/>
                <w:szCs w:val="21"/>
                <w:lang w:eastAsia="en-US"/>
                <w14:textFill>
                  <w14:solidFill>
                    <w14:schemeClr w14:val="tx1"/>
                  </w14:solidFill>
                </w14:textFill>
              </w:rPr>
              <w:t>执行标准</w:t>
            </w:r>
          </w:p>
        </w:tc>
      </w:tr>
      <w:tr w14:paraId="15A12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20" w:type="dxa"/>
            <w:tcBorders>
              <w:top w:val="single" w:color="000000" w:sz="2" w:space="0"/>
              <w:left w:val="nil"/>
              <w:bottom w:val="single" w:color="000000" w:sz="2" w:space="0"/>
            </w:tcBorders>
            <w:vAlign w:val="center"/>
          </w:tcPr>
          <w:p w14:paraId="39BCEDBE">
            <w:pPr>
              <w:widowControl/>
              <w:autoSpaceDE/>
              <w:autoSpaceDN/>
              <w:jc w:val="center"/>
              <w:rPr>
                <w:rFonts w:ascii="宋体" w:hAnsi="宋体" w:eastAsia="宋体"/>
                <w:color w:val="000000" w:themeColor="text1"/>
                <w:szCs w:val="21"/>
                <w:lang w:eastAsia="en-US"/>
                <w14:textFill>
                  <w14:solidFill>
                    <w14:schemeClr w14:val="tx1"/>
                  </w14:solidFill>
                </w14:textFill>
              </w:rPr>
            </w:pPr>
            <w:r>
              <w:rPr>
                <w:rFonts w:ascii="宋体" w:hAnsi="宋体" w:eastAsia="宋体"/>
                <w:color w:val="000000" w:themeColor="text1"/>
                <w:szCs w:val="21"/>
                <w:lang w:eastAsia="en-US"/>
                <w14:textFill>
                  <w14:solidFill>
                    <w14:schemeClr w14:val="tx1"/>
                  </w14:solidFill>
                </w14:textFill>
              </w:rPr>
              <w:t>1</w:t>
            </w:r>
          </w:p>
        </w:tc>
        <w:tc>
          <w:tcPr>
            <w:tcW w:w="1485" w:type="dxa"/>
            <w:tcBorders>
              <w:top w:val="single" w:color="000000" w:sz="2" w:space="0"/>
              <w:bottom w:val="single" w:color="000000" w:sz="2" w:space="0"/>
            </w:tcBorders>
            <w:vAlign w:val="center"/>
          </w:tcPr>
          <w:p w14:paraId="1FF9747B">
            <w:pPr>
              <w:widowControl/>
              <w:autoSpaceDE/>
              <w:autoSpaceDN/>
              <w:jc w:val="center"/>
              <w:rPr>
                <w:rFonts w:ascii="宋体" w:hAnsi="宋体" w:eastAsia="宋体"/>
                <w:color w:val="000000" w:themeColor="text1"/>
                <w:szCs w:val="21"/>
                <w:lang w:eastAsia="en-US"/>
                <w14:textFill>
                  <w14:solidFill>
                    <w14:schemeClr w14:val="tx1"/>
                  </w14:solidFill>
                </w14:textFill>
              </w:rPr>
            </w:pPr>
            <w:r>
              <w:rPr>
                <w:rFonts w:hint="eastAsia" w:ascii="宋体" w:hAnsi="宋体" w:eastAsia="宋体"/>
                <w:color w:val="000000" w:themeColor="text1"/>
                <w:szCs w:val="21"/>
                <w:lang w:eastAsia="en-US"/>
                <w14:textFill>
                  <w14:solidFill>
                    <w14:schemeClr w14:val="tx1"/>
                  </w14:solidFill>
                </w14:textFill>
              </w:rPr>
              <w:t>厂区下游监测井</w:t>
            </w:r>
          </w:p>
        </w:tc>
        <w:tc>
          <w:tcPr>
            <w:tcW w:w="3709" w:type="dxa"/>
            <w:tcBorders>
              <w:top w:val="single" w:color="000000" w:sz="2" w:space="0"/>
              <w:bottom w:val="single" w:color="000000" w:sz="2" w:space="0"/>
            </w:tcBorders>
            <w:vAlign w:val="center"/>
          </w:tcPr>
          <w:p w14:paraId="3FF66016">
            <w:pPr>
              <w:widowControl/>
              <w:autoSpaceDE/>
              <w:autoSpaceDN/>
              <w:jc w:val="center"/>
              <w:rPr>
                <w:rFonts w:ascii="宋体" w:hAnsi="宋体" w:eastAsia="宋体"/>
                <w:color w:val="000000" w:themeColor="text1"/>
                <w:szCs w:val="21"/>
                <w:lang w:eastAsia="zh-CN"/>
                <w14:textFill>
                  <w14:solidFill>
                    <w14:schemeClr w14:val="tx1"/>
                  </w14:solidFill>
                </w14:textFill>
              </w:rPr>
            </w:pPr>
            <w:r>
              <w:rPr>
                <w:rFonts w:ascii="宋体" w:hAnsi="宋体" w:eastAsia="宋体"/>
                <w:color w:val="000000" w:themeColor="text1"/>
                <w:szCs w:val="21"/>
                <w:lang w:eastAsia="zh-CN"/>
                <w14:textFill>
                  <w14:solidFill>
                    <w14:schemeClr w14:val="tx1"/>
                  </w14:solidFill>
                </w14:textFill>
              </w:rPr>
              <w:t>pH、耗氧量、溶解性总固体、挥发性酚类、阴离子表面活性剂、氯化物、硫化物、石油类、汞、铬、砷、六价铬、铅、氨氮、总大肠菌群、菌落总数</w:t>
            </w:r>
            <w:r>
              <w:rPr>
                <w:rFonts w:hint="eastAsia" w:ascii="宋体" w:hAnsi="宋体" w:eastAsia="宋体"/>
                <w:color w:val="000000" w:themeColor="text1"/>
                <w:szCs w:val="21"/>
                <w:lang w:eastAsia="zh-CN"/>
                <w14:textFill>
                  <w14:solidFill>
                    <w14:schemeClr w14:val="tx1"/>
                  </w14:solidFill>
                </w14:textFill>
              </w:rPr>
              <w:t>、粪大肠菌群</w:t>
            </w:r>
          </w:p>
        </w:tc>
        <w:tc>
          <w:tcPr>
            <w:tcW w:w="1365" w:type="dxa"/>
            <w:tcBorders>
              <w:top w:val="single" w:color="000000" w:sz="2" w:space="0"/>
              <w:bottom w:val="single" w:color="000000" w:sz="2" w:space="0"/>
            </w:tcBorders>
            <w:vAlign w:val="center"/>
          </w:tcPr>
          <w:p w14:paraId="69D0F7D1">
            <w:pPr>
              <w:widowControl/>
              <w:autoSpaceDE/>
              <w:autoSpaceDN/>
              <w:jc w:val="center"/>
              <w:rPr>
                <w:rFonts w:ascii="宋体" w:hAnsi="宋体" w:eastAsia="宋体"/>
                <w:color w:val="000000" w:themeColor="text1"/>
                <w:szCs w:val="21"/>
                <w:lang w:eastAsia="en-US"/>
                <w14:textFill>
                  <w14:solidFill>
                    <w14:schemeClr w14:val="tx1"/>
                  </w14:solidFill>
                </w14:textFill>
              </w:rPr>
            </w:pPr>
            <w:r>
              <w:rPr>
                <w:rFonts w:hint="eastAsia" w:ascii="宋体" w:hAnsi="宋体" w:eastAsia="宋体"/>
                <w:color w:val="000000" w:themeColor="text1"/>
                <w:szCs w:val="21"/>
                <w:lang w:eastAsia="en-US"/>
                <w14:textFill>
                  <w14:solidFill>
                    <w14:schemeClr w14:val="tx1"/>
                  </w14:solidFill>
                </w14:textFill>
              </w:rPr>
              <w:t>1</w:t>
            </w:r>
            <w:r>
              <w:rPr>
                <w:rFonts w:ascii="宋体" w:hAnsi="宋体" w:eastAsia="宋体"/>
                <w:color w:val="000000" w:themeColor="text1"/>
                <w:szCs w:val="21"/>
                <w:lang w:eastAsia="en-US"/>
                <w14:textFill>
                  <w14:solidFill>
                    <w14:schemeClr w14:val="tx1"/>
                  </w14:solidFill>
                </w14:textFill>
              </w:rPr>
              <w:t>次/年</w:t>
            </w:r>
          </w:p>
        </w:tc>
        <w:tc>
          <w:tcPr>
            <w:tcW w:w="1571" w:type="dxa"/>
            <w:tcBorders>
              <w:top w:val="single" w:color="000000" w:sz="2" w:space="0"/>
              <w:bottom w:val="single" w:color="000000" w:sz="2" w:space="0"/>
              <w:right w:val="nil"/>
            </w:tcBorders>
            <w:vAlign w:val="center"/>
          </w:tcPr>
          <w:p w14:paraId="10C0063D">
            <w:pPr>
              <w:widowControl/>
              <w:autoSpaceDE/>
              <w:autoSpaceDN/>
              <w:jc w:val="center"/>
              <w:rPr>
                <w:rFonts w:ascii="宋体" w:hAnsi="宋体" w:eastAsia="宋体"/>
                <w:color w:val="000000" w:themeColor="text1"/>
                <w:szCs w:val="21"/>
                <w:lang w:eastAsia="zh-CN"/>
                <w14:textFill>
                  <w14:solidFill>
                    <w14:schemeClr w14:val="tx1"/>
                  </w14:solidFill>
                </w14:textFill>
              </w:rPr>
            </w:pPr>
            <w:r>
              <w:rPr>
                <w:rFonts w:ascii="宋体" w:hAnsi="宋体" w:eastAsia="宋体"/>
                <w:color w:val="000000" w:themeColor="text1"/>
                <w:szCs w:val="21"/>
                <w:lang w:eastAsia="zh-CN"/>
                <w14:textFill>
                  <w14:solidFill>
                    <w14:schemeClr w14:val="tx1"/>
                  </w14:solidFill>
                </w14:textFill>
              </w:rPr>
              <w:t>《地下水质量标准》</w:t>
            </w:r>
          </w:p>
          <w:p w14:paraId="31BC088F">
            <w:pPr>
              <w:widowControl/>
              <w:autoSpaceDE/>
              <w:autoSpaceDN/>
              <w:jc w:val="center"/>
              <w:rPr>
                <w:rFonts w:ascii="宋体" w:hAnsi="宋体" w:eastAsia="宋体"/>
                <w:color w:val="000000" w:themeColor="text1"/>
                <w:szCs w:val="21"/>
                <w:lang w:eastAsia="zh-CN"/>
                <w14:textFill>
                  <w14:solidFill>
                    <w14:schemeClr w14:val="tx1"/>
                  </w14:solidFill>
                </w14:textFill>
              </w:rPr>
            </w:pPr>
            <w:r>
              <w:rPr>
                <w:rFonts w:ascii="宋体" w:hAnsi="宋体" w:eastAsia="宋体"/>
                <w:color w:val="000000" w:themeColor="text1"/>
                <w:szCs w:val="21"/>
                <w:lang w:eastAsia="zh-CN"/>
                <w14:textFill>
                  <w14:solidFill>
                    <w14:schemeClr w14:val="tx1"/>
                  </w14:solidFill>
                </w14:textFill>
              </w:rPr>
              <w:t>（GB/T14848-2017）III类标准</w:t>
            </w:r>
          </w:p>
        </w:tc>
      </w:tr>
      <w:tr w14:paraId="7D39E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 w:hRule="atLeast"/>
        </w:trPr>
        <w:tc>
          <w:tcPr>
            <w:tcW w:w="8850" w:type="dxa"/>
            <w:gridSpan w:val="5"/>
            <w:tcBorders>
              <w:top w:val="single" w:color="000000" w:sz="2" w:space="0"/>
              <w:left w:val="nil"/>
              <w:bottom w:val="single" w:color="000000" w:sz="12" w:space="0"/>
              <w:right w:val="nil"/>
            </w:tcBorders>
            <w:vAlign w:val="center"/>
          </w:tcPr>
          <w:p w14:paraId="62F57297">
            <w:pPr>
              <w:widowControl/>
              <w:autoSpaceDE/>
              <w:autoSpaceDN/>
              <w:jc w:val="center"/>
              <w:rPr>
                <w:rFonts w:ascii="宋体" w:hAnsi="宋体" w:eastAsia="宋体"/>
                <w:color w:val="000000" w:themeColor="text1"/>
                <w:szCs w:val="21"/>
                <w:lang w:eastAsia="zh-CN"/>
                <w14:textFill>
                  <w14:solidFill>
                    <w14:schemeClr w14:val="tx1"/>
                  </w14:solidFill>
                </w14:textFill>
              </w:rPr>
            </w:pPr>
            <w:r>
              <w:rPr>
                <w:rFonts w:ascii="宋体" w:hAnsi="宋体" w:eastAsia="宋体"/>
                <w:color w:val="000000" w:themeColor="text1"/>
                <w:szCs w:val="21"/>
                <w:lang w:eastAsia="zh-CN"/>
                <w14:textFill>
                  <w14:solidFill>
                    <w14:schemeClr w14:val="tx1"/>
                  </w14:solidFill>
                </w14:textFill>
              </w:rPr>
              <w:t>备注：如遇非正常生产情况及事故性排放另增加监测频次。</w:t>
            </w:r>
          </w:p>
        </w:tc>
      </w:tr>
    </w:tbl>
    <w:p w14:paraId="317A4D2A">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ascii="宋体" w:hAnsi="宋体" w:cs="宋体"/>
          <w:color w:val="000000" w:themeColor="text1"/>
          <w:spacing w:val="-3"/>
          <w:sz w:val="24"/>
          <w14:textFill>
            <w14:solidFill>
              <w14:schemeClr w14:val="tx1"/>
            </w14:solidFill>
          </w14:textFill>
        </w:rPr>
        <w:t>同时，建设单位应按相关规定对监测结果及时建立档案，如发现异常或发生事故，加密监测频次，并根据污染物特征增加监测项目，并分析污染原因，确定泄漏污染源，及时采取应急措施。建设单位应建立完善的质量管理体系，实现“质量、安全、环境”三位一体的全面质量管理目标。设立地下水动态监测小组，负责对地下水环境监测和管理，或者委托专业的资质机构完成，建立有关规章制度和岗位责任制。</w:t>
      </w:r>
    </w:p>
    <w:p w14:paraId="3BEF1269">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ascii="宋体" w:hAnsi="宋体" w:cs="宋体"/>
          <w:color w:val="000000" w:themeColor="text1"/>
          <w:spacing w:val="-3"/>
          <w:sz w:val="24"/>
          <w14:textFill>
            <w14:solidFill>
              <w14:schemeClr w14:val="tx1"/>
            </w14:solidFill>
          </w14:textFill>
        </w:rPr>
        <w:t>若发现本项目造成下游地下水污染，应尽快停止生产，查找废水泄漏处，对污染区域进行治理。</w:t>
      </w:r>
    </w:p>
    <w:p w14:paraId="5DA20AED">
      <w:pPr>
        <w:pStyle w:val="5"/>
        <w:adjustRightInd w:val="0"/>
        <w:snapToGrid w:val="0"/>
        <w:spacing w:before="0" w:after="0" w:line="360" w:lineRule="auto"/>
        <w:rPr>
          <w:color w:val="000000" w:themeColor="text1"/>
          <w:sz w:val="28"/>
          <w:szCs w:val="28"/>
          <w14:textFill>
            <w14:solidFill>
              <w14:schemeClr w14:val="tx1"/>
            </w14:solidFill>
          </w14:textFill>
        </w:rPr>
      </w:pPr>
      <w:bookmarkStart w:id="800" w:name="_Toc230079408"/>
      <w:bookmarkStart w:id="801" w:name="_Toc233380228"/>
      <w:r>
        <w:rPr>
          <w:rFonts w:hint="eastAsia"/>
          <w:color w:val="000000" w:themeColor="text1"/>
          <w:sz w:val="28"/>
          <w:szCs w:val="28"/>
          <w14:textFill>
            <w14:solidFill>
              <w14:schemeClr w14:val="tx1"/>
            </w14:solidFill>
          </w14:textFill>
        </w:rPr>
        <w:t>5.4.6地下水环境影响结论</w:t>
      </w:r>
      <w:bookmarkEnd w:id="800"/>
      <w:bookmarkEnd w:id="801"/>
    </w:p>
    <w:p w14:paraId="2EAB90AC">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hint="eastAsia" w:ascii="宋体" w:hAnsi="宋体" w:cs="宋体"/>
          <w:color w:val="000000" w:themeColor="text1"/>
          <w:spacing w:val="-3"/>
          <w:sz w:val="24"/>
          <w14:textFill>
            <w14:solidFill>
              <w14:schemeClr w14:val="tx1"/>
            </w14:solidFill>
          </w14:textFill>
        </w:rPr>
        <w:t>（1）项目在采取防渗措施的前提下，其正常运营对地下水环境影响小；不会对区域地下水环境造成明显影响。</w:t>
      </w:r>
    </w:p>
    <w:p w14:paraId="06D9E384">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hint="eastAsia" w:ascii="宋体" w:hAnsi="宋体" w:cs="宋体"/>
          <w:color w:val="000000" w:themeColor="text1"/>
          <w:spacing w:val="-3"/>
          <w:sz w:val="24"/>
          <w14:textFill>
            <w14:solidFill>
              <w14:schemeClr w14:val="tx1"/>
            </w14:solidFill>
          </w14:textFill>
        </w:rPr>
        <w:t>（2）非正常情况下，污染物对地下水的影响范围和距离的大小主要取决于入渗量的大小、污染因子的浓度、地下水径流的方向、水力梯度、含水层的渗透性和富水性以及弥散度的大小。根据预测结果可知，污染物进入地下水后，地下水中污染物浓度会在短时间内增加，在地下水水流作用下污染物不断向周边扩散，污染物主要向地下水下游方向运移；随着时间的增加，污染物影响范围不断扩大，中心浓度也随着地下水水流向下游方向发生迁移，在地下水的稀释和岩土体的物理化学作用下，中心浓度不断减小；项目非正常情况下会对区域地下水水质造成一定影响。</w:t>
      </w:r>
    </w:p>
    <w:p w14:paraId="6FF9E7F0">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hint="eastAsia" w:ascii="宋体" w:hAnsi="宋体" w:cs="宋体"/>
          <w:color w:val="000000" w:themeColor="text1"/>
          <w:spacing w:val="-3"/>
          <w:sz w:val="24"/>
          <w14:textFill>
            <w14:solidFill>
              <w14:schemeClr w14:val="tx1"/>
            </w14:solidFill>
          </w14:textFill>
        </w:rPr>
        <w:t>（3）考虑到地下水环境监测及保护措施，在非正常情况下，监测点监测信息会在较短时间内发生响应，只要及时启动应急预案，进行污染物迁移的控制和防渗措施的修复，能够有效地控制污染物的迁移。</w:t>
      </w:r>
    </w:p>
    <w:p w14:paraId="6144B28B">
      <w:pPr>
        <w:spacing w:line="360" w:lineRule="auto"/>
        <w:ind w:firstLine="468" w:firstLineChars="200"/>
        <w:jc w:val="both"/>
        <w:rPr>
          <w:rFonts w:ascii="宋体" w:hAnsi="宋体" w:cs="宋体"/>
          <w:color w:val="000000" w:themeColor="text1"/>
          <w:spacing w:val="-3"/>
          <w:sz w:val="24"/>
          <w14:textFill>
            <w14:solidFill>
              <w14:schemeClr w14:val="tx1"/>
            </w14:solidFill>
          </w14:textFill>
        </w:rPr>
      </w:pPr>
      <w:r>
        <w:rPr>
          <w:rFonts w:hint="eastAsia" w:ascii="宋体" w:hAnsi="宋体" w:cs="宋体"/>
          <w:color w:val="000000" w:themeColor="text1"/>
          <w:spacing w:val="-3"/>
          <w:sz w:val="24"/>
          <w14:textFill>
            <w14:solidFill>
              <w14:schemeClr w14:val="tx1"/>
            </w14:solidFill>
          </w14:textFill>
        </w:rPr>
        <w:t>综上，项目正常情况下不会对区域地下水环境造成明显不利影响；但项目存</w:t>
      </w:r>
      <w:r>
        <w:rPr>
          <w:rFonts w:ascii="宋体" w:hAnsi="宋体" w:cs="宋体"/>
          <w:color w:val="000000" w:themeColor="text1"/>
          <w:spacing w:val="-3"/>
          <w:sz w:val="24"/>
          <w14:textFill>
            <w14:solidFill>
              <w14:schemeClr w14:val="tx1"/>
            </w14:solidFill>
          </w14:textFill>
        </w:rPr>
        <w:t>在地下水污染因素，应采取有效的防范措施，防止区域地下水水质受到污染。</w:t>
      </w:r>
    </w:p>
    <w:bookmarkEnd w:id="775"/>
    <w:p w14:paraId="4CC67D33">
      <w:pPr>
        <w:pStyle w:val="4"/>
        <w:spacing w:before="0" w:after="0" w:line="360" w:lineRule="auto"/>
        <w:rPr>
          <w:rFonts w:ascii="Times New Roman" w:hAnsi="Times New Roman" w:eastAsia="宋体"/>
          <w:color w:val="000000" w:themeColor="text1"/>
          <w:sz w:val="30"/>
          <w:szCs w:val="30"/>
          <w14:textFill>
            <w14:solidFill>
              <w14:schemeClr w14:val="tx1"/>
            </w14:solidFill>
          </w14:textFill>
        </w:rPr>
      </w:pPr>
      <w:bookmarkStart w:id="802" w:name="_Toc14816"/>
      <w:bookmarkStart w:id="803" w:name="_Toc233380229"/>
      <w:r>
        <w:rPr>
          <w:rFonts w:ascii="Times New Roman" w:hAnsi="Times New Roman" w:eastAsia="宋体"/>
          <w:color w:val="000000" w:themeColor="text1"/>
          <w:sz w:val="30"/>
          <w:szCs w:val="30"/>
          <w14:textFill>
            <w14:solidFill>
              <w14:schemeClr w14:val="tx1"/>
            </w14:solidFill>
          </w14:textFill>
        </w:rPr>
        <w:t>5.5营运期声环境影响分析</w:t>
      </w:r>
      <w:bookmarkEnd w:id="774"/>
      <w:bookmarkEnd w:id="802"/>
      <w:bookmarkEnd w:id="803"/>
    </w:p>
    <w:p w14:paraId="37E5257F">
      <w:pPr>
        <w:pStyle w:val="86"/>
        <w:ind w:firstLine="480" w:firstLineChars="200"/>
        <w:rPr>
          <w:color w:val="000000" w:themeColor="text1"/>
          <w:sz w:val="24"/>
          <w14:textFill>
            <w14:solidFill>
              <w14:schemeClr w14:val="tx1"/>
            </w14:solidFill>
          </w14:textFill>
        </w:rPr>
      </w:pPr>
      <w:bookmarkStart w:id="804" w:name="_Toc15770"/>
      <w:bookmarkStart w:id="805" w:name="_Toc40220779"/>
      <w:r>
        <w:rPr>
          <w:color w:val="000000" w:themeColor="text1"/>
          <w:sz w:val="24"/>
          <w14:textFill>
            <w14:solidFill>
              <w14:schemeClr w14:val="tx1"/>
            </w14:solidFill>
          </w14:textFill>
        </w:rPr>
        <w:t>根据工程分析，本工程运营期主要噪声源及源强情况见下表。</w:t>
      </w:r>
    </w:p>
    <w:p w14:paraId="52560385">
      <w:pPr>
        <w:rPr>
          <w:b/>
          <w:bCs/>
          <w:color w:val="000000" w:themeColor="text1"/>
          <w:szCs w:val="21"/>
          <w14:textFill>
            <w14:solidFill>
              <w14:schemeClr w14:val="tx1"/>
            </w14:solidFill>
          </w14:textFill>
        </w:rPr>
        <w:sectPr>
          <w:headerReference r:id="rId17" w:type="default"/>
          <w:footerReference r:id="rId18" w:type="default"/>
          <w:pgSz w:w="11906" w:h="16838"/>
          <w:pgMar w:top="1440" w:right="1440" w:bottom="1440" w:left="1440" w:header="851" w:footer="992" w:gutter="0"/>
          <w:cols w:space="425" w:num="1"/>
          <w:docGrid w:type="lines" w:linePitch="312" w:charSpace="0"/>
        </w:sectPr>
      </w:pPr>
    </w:p>
    <w:p w14:paraId="1DEE7121">
      <w:pPr>
        <w:rPr>
          <w:b/>
          <w:bCs/>
          <w:color w:val="000000" w:themeColor="text1"/>
          <w:szCs w:val="21"/>
          <w14:textFill>
            <w14:solidFill>
              <w14:schemeClr w14:val="tx1"/>
            </w14:solidFill>
          </w14:textFill>
        </w:rPr>
      </w:pPr>
    </w:p>
    <w:p w14:paraId="6CDC4975">
      <w:pPr>
        <w:pStyle w:val="34"/>
        <w:ind w:left="420" w:firstLine="422"/>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表5.5-1</w:t>
      </w:r>
      <w:r>
        <w:rPr>
          <w:b/>
          <w:bCs/>
          <w:color w:val="000000" w:themeColor="text1"/>
          <w:szCs w:val="21"/>
          <w14:textFill>
            <w14:solidFill>
              <w14:schemeClr w14:val="tx1"/>
            </w14:solidFill>
          </w14:textFill>
        </w:rPr>
        <w:tab/>
      </w:r>
      <w:r>
        <w:rPr>
          <w:rFonts w:hint="eastAsia"/>
          <w:b/>
          <w:bCs/>
          <w:color w:val="000000" w:themeColor="text1"/>
          <w:szCs w:val="21"/>
          <w14:textFill>
            <w14:solidFill>
              <w14:schemeClr w14:val="tx1"/>
            </w14:solidFill>
          </w14:textFill>
        </w:rPr>
        <w:t>拟建</w:t>
      </w:r>
      <w:r>
        <w:rPr>
          <w:b/>
          <w:bCs/>
          <w:color w:val="000000" w:themeColor="text1"/>
          <w:szCs w:val="21"/>
          <w14:textFill>
            <w14:solidFill>
              <w14:schemeClr w14:val="tx1"/>
            </w14:solidFill>
          </w14:textFill>
        </w:rPr>
        <w:t>项目</w:t>
      </w:r>
      <w:r>
        <w:rPr>
          <w:rFonts w:hint="eastAsia"/>
          <w:b/>
          <w:bCs/>
          <w:color w:val="000000" w:themeColor="text1"/>
          <w:szCs w:val="21"/>
          <w14:textFill>
            <w14:solidFill>
              <w14:schemeClr w14:val="tx1"/>
            </w14:solidFill>
          </w14:textFill>
        </w:rPr>
        <w:t>工业企业</w:t>
      </w:r>
      <w:r>
        <w:rPr>
          <w:b/>
          <w:bCs/>
          <w:color w:val="000000" w:themeColor="text1"/>
          <w:szCs w:val="21"/>
          <w14:textFill>
            <w14:solidFill>
              <w14:schemeClr w14:val="tx1"/>
            </w14:solidFill>
          </w14:textFill>
        </w:rPr>
        <w:t>噪声源强</w:t>
      </w:r>
      <w:r>
        <w:rPr>
          <w:rFonts w:hint="eastAsia"/>
          <w:b/>
          <w:bCs/>
          <w:color w:val="000000" w:themeColor="text1"/>
          <w:szCs w:val="21"/>
          <w14:textFill>
            <w14:solidFill>
              <w14:schemeClr w14:val="tx1"/>
            </w14:solidFill>
          </w14:textFill>
        </w:rPr>
        <w:t>调查清单</w:t>
      </w:r>
      <w:r>
        <w:rPr>
          <w:b/>
          <w:bCs/>
          <w:color w:val="000000" w:themeColor="text1"/>
          <w:szCs w:val="21"/>
          <w14:textFill>
            <w14:solidFill>
              <w14:schemeClr w14:val="tx1"/>
            </w14:solidFill>
          </w14:textFill>
        </w:rPr>
        <w:t>（室内</w:t>
      </w:r>
      <w:r>
        <w:rPr>
          <w:rFonts w:hint="eastAsia"/>
          <w:b/>
          <w:bCs/>
          <w:color w:val="000000" w:themeColor="text1"/>
          <w:szCs w:val="21"/>
          <w14:textFill>
            <w14:solidFill>
              <w14:schemeClr w14:val="tx1"/>
            </w14:solidFill>
          </w14:textFill>
        </w:rPr>
        <w:t>声源</w:t>
      </w:r>
      <w:r>
        <w:rPr>
          <w:b/>
          <w:bCs/>
          <w:color w:val="000000" w:themeColor="text1"/>
          <w:szCs w:val="21"/>
          <w14:textFill>
            <w14:solidFill>
              <w14:schemeClr w14:val="tx1"/>
            </w14:solidFill>
          </w14:textFill>
        </w:rPr>
        <w:t>）  单位：dB（A）</w:t>
      </w:r>
    </w:p>
    <w:tbl>
      <w:tblPr>
        <w:tblStyle w:val="8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1292"/>
        <w:gridCol w:w="851"/>
        <w:gridCol w:w="1984"/>
        <w:gridCol w:w="1560"/>
        <w:gridCol w:w="1134"/>
        <w:gridCol w:w="992"/>
        <w:gridCol w:w="850"/>
        <w:gridCol w:w="851"/>
        <w:gridCol w:w="890"/>
        <w:gridCol w:w="669"/>
        <w:gridCol w:w="851"/>
        <w:gridCol w:w="850"/>
        <w:gridCol w:w="770"/>
      </w:tblGrid>
      <w:tr w14:paraId="34C8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vMerge w:val="restart"/>
            <w:shd w:val="clear" w:color="auto" w:fill="auto"/>
            <w:vAlign w:val="center"/>
          </w:tcPr>
          <w:p w14:paraId="26C10F9C">
            <w:pPr>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1292" w:type="dxa"/>
            <w:vMerge w:val="restart"/>
            <w:shd w:val="clear" w:color="auto" w:fill="auto"/>
            <w:vAlign w:val="center"/>
          </w:tcPr>
          <w:p w14:paraId="5780ABB6">
            <w:pPr>
              <w:jc w:val="center"/>
              <w:rPr>
                <w:rFonts w:ascii="宋体" w:hAnsi="宋体" w:cs="宋体"/>
                <w:b/>
                <w:bCs/>
                <w:color w:val="000000"/>
                <w:kern w:val="0"/>
                <w:szCs w:val="21"/>
              </w:rPr>
            </w:pPr>
            <w:r>
              <w:rPr>
                <w:rFonts w:hint="eastAsia" w:ascii="宋体" w:hAnsi="宋体" w:cs="宋体"/>
                <w:b/>
                <w:bCs/>
                <w:color w:val="000000"/>
                <w:kern w:val="0"/>
                <w:szCs w:val="21"/>
              </w:rPr>
              <w:t>建筑物名称</w:t>
            </w:r>
          </w:p>
        </w:tc>
        <w:tc>
          <w:tcPr>
            <w:tcW w:w="851" w:type="dxa"/>
            <w:vMerge w:val="restart"/>
            <w:shd w:val="clear" w:color="auto" w:fill="auto"/>
            <w:vAlign w:val="center"/>
          </w:tcPr>
          <w:p w14:paraId="7E484F5D">
            <w:pPr>
              <w:jc w:val="center"/>
              <w:rPr>
                <w:rFonts w:ascii="宋体" w:hAnsi="宋体" w:cs="宋体"/>
                <w:b/>
                <w:bCs/>
                <w:color w:val="000000"/>
                <w:kern w:val="0"/>
                <w:szCs w:val="21"/>
              </w:rPr>
            </w:pPr>
            <w:r>
              <w:rPr>
                <w:rFonts w:hint="eastAsia" w:ascii="宋体" w:hAnsi="宋体" w:cs="宋体"/>
                <w:b/>
                <w:bCs/>
                <w:color w:val="000000"/>
                <w:kern w:val="0"/>
                <w:szCs w:val="21"/>
              </w:rPr>
              <w:t>声源名称</w:t>
            </w:r>
          </w:p>
        </w:tc>
        <w:tc>
          <w:tcPr>
            <w:tcW w:w="1984" w:type="dxa"/>
            <w:vMerge w:val="restart"/>
            <w:shd w:val="clear" w:color="auto" w:fill="auto"/>
            <w:vAlign w:val="center"/>
          </w:tcPr>
          <w:p w14:paraId="3719925B">
            <w:pPr>
              <w:jc w:val="center"/>
              <w:rPr>
                <w:rFonts w:ascii="宋体" w:hAnsi="宋体" w:cs="宋体"/>
                <w:b/>
                <w:bCs/>
                <w:color w:val="000000"/>
                <w:kern w:val="0"/>
                <w:szCs w:val="21"/>
              </w:rPr>
            </w:pPr>
            <w:r>
              <w:rPr>
                <w:rFonts w:hint="eastAsia" w:ascii="宋体" w:hAnsi="宋体" w:cs="宋体"/>
                <w:b/>
                <w:bCs/>
                <w:color w:val="000000"/>
                <w:kern w:val="0"/>
                <w:szCs w:val="21"/>
              </w:rPr>
              <w:t>声源源强（声压级</w:t>
            </w:r>
            <w:r>
              <w:rPr>
                <w:b/>
                <w:bCs/>
                <w:color w:val="000000"/>
                <w:kern w:val="0"/>
                <w:szCs w:val="21"/>
              </w:rPr>
              <w:t>/</w:t>
            </w:r>
            <w:r>
              <w:rPr>
                <w:rFonts w:hint="eastAsia" w:ascii="宋体" w:hAnsi="宋体" w:cs="宋体"/>
                <w:b/>
                <w:bCs/>
                <w:color w:val="000000"/>
                <w:kern w:val="0"/>
                <w:szCs w:val="21"/>
              </w:rPr>
              <w:t>距声源距离）</w:t>
            </w:r>
            <w:r>
              <w:rPr>
                <w:b/>
                <w:bCs/>
                <w:color w:val="000000"/>
                <w:kern w:val="0"/>
                <w:szCs w:val="21"/>
              </w:rPr>
              <w:t>/</w:t>
            </w:r>
            <w:r>
              <w:rPr>
                <w:rFonts w:hint="eastAsia" w:ascii="宋体" w:hAnsi="宋体" w:cs="宋体"/>
                <w:b/>
                <w:bCs/>
                <w:color w:val="000000"/>
                <w:kern w:val="0"/>
                <w:szCs w:val="21"/>
              </w:rPr>
              <w:t>（</w:t>
            </w:r>
            <w:r>
              <w:rPr>
                <w:b/>
                <w:bCs/>
                <w:color w:val="000000"/>
                <w:kern w:val="0"/>
                <w:szCs w:val="21"/>
              </w:rPr>
              <w:t>dB(A)/m</w:t>
            </w:r>
            <w:r>
              <w:rPr>
                <w:rFonts w:hint="eastAsia" w:ascii="宋体" w:hAnsi="宋体" w:cs="宋体"/>
                <w:b/>
                <w:bCs/>
                <w:color w:val="000000"/>
                <w:kern w:val="0"/>
                <w:szCs w:val="21"/>
              </w:rPr>
              <w:t>）</w:t>
            </w:r>
          </w:p>
        </w:tc>
        <w:tc>
          <w:tcPr>
            <w:tcW w:w="1560" w:type="dxa"/>
            <w:vMerge w:val="restart"/>
            <w:shd w:val="clear" w:color="auto" w:fill="auto"/>
            <w:vAlign w:val="center"/>
          </w:tcPr>
          <w:p w14:paraId="6B10725D">
            <w:pPr>
              <w:jc w:val="center"/>
              <w:rPr>
                <w:rFonts w:ascii="宋体" w:hAnsi="宋体" w:cs="宋体"/>
                <w:b/>
                <w:bCs/>
                <w:color w:val="000000"/>
                <w:kern w:val="0"/>
                <w:szCs w:val="21"/>
              </w:rPr>
            </w:pPr>
            <w:r>
              <w:rPr>
                <w:rFonts w:hint="eastAsia" w:ascii="宋体" w:hAnsi="宋体" w:cs="宋体"/>
                <w:b/>
                <w:bCs/>
                <w:color w:val="000000"/>
                <w:kern w:val="0"/>
                <w:szCs w:val="21"/>
              </w:rPr>
              <w:t>声源控制措施</w:t>
            </w:r>
          </w:p>
        </w:tc>
        <w:tc>
          <w:tcPr>
            <w:tcW w:w="2976" w:type="dxa"/>
            <w:gridSpan w:val="3"/>
            <w:shd w:val="clear" w:color="auto" w:fill="auto"/>
            <w:vAlign w:val="center"/>
          </w:tcPr>
          <w:p w14:paraId="71005AA9">
            <w:pPr>
              <w:jc w:val="center"/>
              <w:rPr>
                <w:rFonts w:ascii="宋体" w:hAnsi="宋体" w:cs="宋体"/>
                <w:b/>
                <w:bCs/>
                <w:color w:val="000000"/>
                <w:kern w:val="0"/>
                <w:szCs w:val="21"/>
              </w:rPr>
            </w:pPr>
            <w:r>
              <w:rPr>
                <w:rFonts w:hint="eastAsia" w:ascii="宋体" w:hAnsi="宋体" w:cs="宋体"/>
                <w:b/>
                <w:bCs/>
                <w:color w:val="000000"/>
                <w:kern w:val="0"/>
                <w:szCs w:val="21"/>
              </w:rPr>
              <w:t>空间相对位置</w:t>
            </w:r>
            <w:r>
              <w:rPr>
                <w:b/>
                <w:bCs/>
                <w:color w:val="000000"/>
                <w:kern w:val="0"/>
                <w:szCs w:val="21"/>
              </w:rPr>
              <w:t>/m</w:t>
            </w:r>
          </w:p>
        </w:tc>
        <w:tc>
          <w:tcPr>
            <w:tcW w:w="851" w:type="dxa"/>
            <w:vMerge w:val="restart"/>
            <w:shd w:val="clear" w:color="auto" w:fill="auto"/>
            <w:vAlign w:val="center"/>
          </w:tcPr>
          <w:p w14:paraId="35A2EF6B">
            <w:pPr>
              <w:jc w:val="center"/>
              <w:rPr>
                <w:rFonts w:ascii="宋体" w:hAnsi="宋体" w:cs="宋体"/>
                <w:b/>
                <w:bCs/>
                <w:color w:val="000000"/>
                <w:kern w:val="0"/>
                <w:szCs w:val="21"/>
              </w:rPr>
            </w:pPr>
            <w:r>
              <w:rPr>
                <w:rFonts w:hint="eastAsia" w:ascii="宋体" w:hAnsi="宋体" w:cs="宋体"/>
                <w:b/>
                <w:bCs/>
                <w:color w:val="000000"/>
                <w:kern w:val="0"/>
                <w:szCs w:val="21"/>
              </w:rPr>
              <w:t>距室内边界距离</w:t>
            </w:r>
            <w:r>
              <w:rPr>
                <w:b/>
                <w:bCs/>
                <w:color w:val="000000"/>
                <w:kern w:val="0"/>
                <w:szCs w:val="21"/>
              </w:rPr>
              <w:t>/m</w:t>
            </w:r>
          </w:p>
        </w:tc>
        <w:tc>
          <w:tcPr>
            <w:tcW w:w="890" w:type="dxa"/>
            <w:vMerge w:val="restart"/>
            <w:shd w:val="clear" w:color="auto" w:fill="auto"/>
            <w:vAlign w:val="center"/>
          </w:tcPr>
          <w:p w14:paraId="46C7B69C">
            <w:pPr>
              <w:jc w:val="center"/>
              <w:rPr>
                <w:rFonts w:ascii="宋体" w:hAnsi="宋体" w:cs="宋体"/>
                <w:b/>
                <w:bCs/>
                <w:color w:val="000000"/>
                <w:kern w:val="0"/>
                <w:szCs w:val="21"/>
              </w:rPr>
            </w:pPr>
            <w:r>
              <w:rPr>
                <w:rFonts w:hint="eastAsia" w:ascii="宋体" w:hAnsi="宋体" w:cs="宋体"/>
                <w:b/>
                <w:bCs/>
                <w:color w:val="000000"/>
                <w:kern w:val="0"/>
                <w:szCs w:val="21"/>
              </w:rPr>
              <w:t>室内边界声级</w:t>
            </w:r>
            <w:r>
              <w:rPr>
                <w:b/>
                <w:bCs/>
                <w:color w:val="000000"/>
                <w:kern w:val="0"/>
                <w:szCs w:val="21"/>
              </w:rPr>
              <w:t>/dB</w:t>
            </w:r>
            <w:r>
              <w:rPr>
                <w:rFonts w:hint="eastAsia" w:ascii="宋体" w:hAnsi="宋体" w:cs="宋体"/>
                <w:b/>
                <w:bCs/>
                <w:color w:val="000000"/>
                <w:kern w:val="0"/>
                <w:szCs w:val="21"/>
              </w:rPr>
              <w:t>（</w:t>
            </w:r>
            <w:r>
              <w:rPr>
                <w:b/>
                <w:bCs/>
                <w:color w:val="000000"/>
                <w:kern w:val="0"/>
                <w:szCs w:val="21"/>
              </w:rPr>
              <w:t>A</w:t>
            </w:r>
            <w:r>
              <w:rPr>
                <w:rFonts w:hint="eastAsia" w:ascii="宋体" w:hAnsi="宋体" w:cs="宋体"/>
                <w:b/>
                <w:bCs/>
                <w:color w:val="000000"/>
                <w:kern w:val="0"/>
                <w:szCs w:val="21"/>
              </w:rPr>
              <w:t>）</w:t>
            </w:r>
          </w:p>
        </w:tc>
        <w:tc>
          <w:tcPr>
            <w:tcW w:w="669" w:type="dxa"/>
            <w:vMerge w:val="restart"/>
            <w:shd w:val="clear" w:color="auto" w:fill="auto"/>
            <w:vAlign w:val="center"/>
          </w:tcPr>
          <w:p w14:paraId="76B5573C">
            <w:pPr>
              <w:jc w:val="center"/>
              <w:rPr>
                <w:rFonts w:ascii="宋体" w:hAnsi="宋体" w:cs="宋体"/>
                <w:b/>
                <w:bCs/>
                <w:color w:val="000000"/>
                <w:kern w:val="0"/>
                <w:szCs w:val="21"/>
              </w:rPr>
            </w:pPr>
            <w:r>
              <w:rPr>
                <w:rFonts w:hint="eastAsia" w:ascii="宋体" w:hAnsi="宋体" w:cs="宋体"/>
                <w:b/>
                <w:bCs/>
                <w:color w:val="000000"/>
                <w:kern w:val="0"/>
                <w:szCs w:val="21"/>
              </w:rPr>
              <w:t>运行时段</w:t>
            </w:r>
          </w:p>
        </w:tc>
        <w:tc>
          <w:tcPr>
            <w:tcW w:w="851" w:type="dxa"/>
            <w:vMerge w:val="restart"/>
            <w:shd w:val="clear" w:color="auto" w:fill="auto"/>
            <w:vAlign w:val="center"/>
          </w:tcPr>
          <w:p w14:paraId="25E08D76">
            <w:pPr>
              <w:jc w:val="center"/>
              <w:rPr>
                <w:rFonts w:ascii="宋体" w:hAnsi="宋体" w:cs="宋体"/>
                <w:b/>
                <w:bCs/>
                <w:color w:val="000000"/>
                <w:kern w:val="0"/>
                <w:szCs w:val="21"/>
              </w:rPr>
            </w:pPr>
            <w:r>
              <w:rPr>
                <w:rFonts w:hint="eastAsia" w:ascii="宋体" w:hAnsi="宋体" w:cs="宋体"/>
                <w:b/>
                <w:bCs/>
                <w:color w:val="000000"/>
                <w:kern w:val="0"/>
                <w:szCs w:val="21"/>
              </w:rPr>
              <w:t>建筑物插入损失</w:t>
            </w:r>
            <w:r>
              <w:rPr>
                <w:b/>
                <w:bCs/>
                <w:color w:val="000000"/>
                <w:kern w:val="0"/>
                <w:szCs w:val="21"/>
              </w:rPr>
              <w:t>/dB</w:t>
            </w:r>
            <w:r>
              <w:rPr>
                <w:rFonts w:hint="eastAsia" w:ascii="宋体" w:hAnsi="宋体" w:cs="宋体"/>
                <w:b/>
                <w:bCs/>
                <w:color w:val="000000"/>
                <w:kern w:val="0"/>
                <w:szCs w:val="21"/>
              </w:rPr>
              <w:t>（</w:t>
            </w:r>
            <w:r>
              <w:rPr>
                <w:b/>
                <w:bCs/>
                <w:color w:val="000000"/>
                <w:kern w:val="0"/>
                <w:szCs w:val="21"/>
              </w:rPr>
              <w:t>A</w:t>
            </w:r>
            <w:r>
              <w:rPr>
                <w:rFonts w:hint="eastAsia" w:ascii="宋体" w:hAnsi="宋体" w:cs="宋体"/>
                <w:b/>
                <w:bCs/>
                <w:color w:val="000000"/>
                <w:kern w:val="0"/>
                <w:szCs w:val="21"/>
              </w:rPr>
              <w:t>）</w:t>
            </w:r>
          </w:p>
        </w:tc>
        <w:tc>
          <w:tcPr>
            <w:tcW w:w="1620" w:type="dxa"/>
            <w:gridSpan w:val="2"/>
            <w:shd w:val="clear" w:color="auto" w:fill="auto"/>
            <w:vAlign w:val="center"/>
          </w:tcPr>
          <w:p w14:paraId="329FBAAA">
            <w:pPr>
              <w:jc w:val="center"/>
              <w:rPr>
                <w:rFonts w:ascii="宋体" w:hAnsi="宋体" w:cs="宋体"/>
                <w:b/>
                <w:bCs/>
                <w:color w:val="000000"/>
                <w:kern w:val="0"/>
                <w:szCs w:val="21"/>
              </w:rPr>
            </w:pPr>
            <w:r>
              <w:rPr>
                <w:rFonts w:hint="eastAsia" w:ascii="宋体" w:hAnsi="宋体" w:cs="宋体"/>
                <w:b/>
                <w:bCs/>
                <w:color w:val="000000"/>
                <w:kern w:val="0"/>
                <w:szCs w:val="21"/>
              </w:rPr>
              <w:t>建筑物外噪声</w:t>
            </w:r>
          </w:p>
        </w:tc>
      </w:tr>
      <w:tr w14:paraId="7FD2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vMerge w:val="continue"/>
            <w:vAlign w:val="center"/>
          </w:tcPr>
          <w:p w14:paraId="18766344">
            <w:pPr>
              <w:jc w:val="center"/>
              <w:rPr>
                <w:rFonts w:ascii="宋体" w:hAnsi="宋体" w:cs="宋体"/>
                <w:b/>
                <w:bCs/>
                <w:color w:val="000000"/>
                <w:kern w:val="0"/>
                <w:szCs w:val="21"/>
              </w:rPr>
            </w:pPr>
          </w:p>
        </w:tc>
        <w:tc>
          <w:tcPr>
            <w:tcW w:w="1292" w:type="dxa"/>
            <w:vMerge w:val="continue"/>
            <w:vAlign w:val="center"/>
          </w:tcPr>
          <w:p w14:paraId="10CAF914">
            <w:pPr>
              <w:jc w:val="center"/>
              <w:rPr>
                <w:rFonts w:ascii="宋体" w:hAnsi="宋体" w:cs="宋体"/>
                <w:b/>
                <w:bCs/>
                <w:color w:val="000000"/>
                <w:kern w:val="0"/>
                <w:szCs w:val="21"/>
              </w:rPr>
            </w:pPr>
          </w:p>
        </w:tc>
        <w:tc>
          <w:tcPr>
            <w:tcW w:w="851" w:type="dxa"/>
            <w:vMerge w:val="continue"/>
            <w:vAlign w:val="center"/>
          </w:tcPr>
          <w:p w14:paraId="55C231C8">
            <w:pPr>
              <w:jc w:val="center"/>
              <w:rPr>
                <w:rFonts w:ascii="宋体" w:hAnsi="宋体" w:cs="宋体"/>
                <w:b/>
                <w:bCs/>
                <w:color w:val="000000"/>
                <w:kern w:val="0"/>
                <w:szCs w:val="21"/>
              </w:rPr>
            </w:pPr>
          </w:p>
        </w:tc>
        <w:tc>
          <w:tcPr>
            <w:tcW w:w="1984" w:type="dxa"/>
            <w:vMerge w:val="continue"/>
            <w:vAlign w:val="center"/>
          </w:tcPr>
          <w:p w14:paraId="15FCA45E">
            <w:pPr>
              <w:jc w:val="center"/>
              <w:rPr>
                <w:rFonts w:ascii="宋体" w:hAnsi="宋体" w:cs="宋体"/>
                <w:b/>
                <w:bCs/>
                <w:color w:val="000000"/>
                <w:kern w:val="0"/>
                <w:szCs w:val="21"/>
              </w:rPr>
            </w:pPr>
          </w:p>
        </w:tc>
        <w:tc>
          <w:tcPr>
            <w:tcW w:w="1560" w:type="dxa"/>
            <w:vMerge w:val="continue"/>
            <w:vAlign w:val="center"/>
          </w:tcPr>
          <w:p w14:paraId="183A7468">
            <w:pPr>
              <w:jc w:val="center"/>
              <w:rPr>
                <w:rFonts w:ascii="宋体" w:hAnsi="宋体" w:cs="宋体"/>
                <w:b/>
                <w:bCs/>
                <w:color w:val="000000"/>
                <w:kern w:val="0"/>
                <w:szCs w:val="21"/>
              </w:rPr>
            </w:pPr>
          </w:p>
        </w:tc>
        <w:tc>
          <w:tcPr>
            <w:tcW w:w="1134" w:type="dxa"/>
            <w:shd w:val="clear" w:color="auto" w:fill="auto"/>
            <w:vAlign w:val="center"/>
          </w:tcPr>
          <w:p w14:paraId="15906D7C">
            <w:pPr>
              <w:jc w:val="center"/>
              <w:rPr>
                <w:b/>
                <w:bCs/>
                <w:color w:val="000000"/>
                <w:kern w:val="0"/>
                <w:szCs w:val="21"/>
              </w:rPr>
            </w:pPr>
            <w:r>
              <w:rPr>
                <w:b/>
                <w:bCs/>
                <w:color w:val="000000"/>
                <w:kern w:val="0"/>
                <w:szCs w:val="21"/>
              </w:rPr>
              <w:t>X</w:t>
            </w:r>
          </w:p>
        </w:tc>
        <w:tc>
          <w:tcPr>
            <w:tcW w:w="992" w:type="dxa"/>
            <w:shd w:val="clear" w:color="auto" w:fill="auto"/>
            <w:vAlign w:val="center"/>
          </w:tcPr>
          <w:p w14:paraId="60C4EE42">
            <w:pPr>
              <w:jc w:val="center"/>
              <w:rPr>
                <w:b/>
                <w:bCs/>
                <w:color w:val="000000"/>
                <w:kern w:val="0"/>
                <w:szCs w:val="21"/>
              </w:rPr>
            </w:pPr>
            <w:r>
              <w:rPr>
                <w:b/>
                <w:bCs/>
                <w:color w:val="000000"/>
                <w:kern w:val="0"/>
                <w:szCs w:val="21"/>
              </w:rPr>
              <w:t>Y</w:t>
            </w:r>
          </w:p>
        </w:tc>
        <w:tc>
          <w:tcPr>
            <w:tcW w:w="850" w:type="dxa"/>
            <w:shd w:val="clear" w:color="auto" w:fill="auto"/>
            <w:vAlign w:val="center"/>
          </w:tcPr>
          <w:p w14:paraId="7DF54D5D">
            <w:pPr>
              <w:jc w:val="center"/>
              <w:rPr>
                <w:b/>
                <w:bCs/>
                <w:color w:val="000000"/>
                <w:kern w:val="0"/>
                <w:szCs w:val="21"/>
              </w:rPr>
            </w:pPr>
            <w:r>
              <w:rPr>
                <w:b/>
                <w:bCs/>
                <w:color w:val="000000"/>
                <w:kern w:val="0"/>
                <w:szCs w:val="21"/>
              </w:rPr>
              <w:t>Z</w:t>
            </w:r>
          </w:p>
        </w:tc>
        <w:tc>
          <w:tcPr>
            <w:tcW w:w="851" w:type="dxa"/>
            <w:vMerge w:val="continue"/>
            <w:vAlign w:val="center"/>
          </w:tcPr>
          <w:p w14:paraId="46A5DE7F">
            <w:pPr>
              <w:jc w:val="center"/>
              <w:rPr>
                <w:rFonts w:ascii="宋体" w:hAnsi="宋体" w:cs="宋体"/>
                <w:b/>
                <w:bCs/>
                <w:color w:val="000000"/>
                <w:kern w:val="0"/>
                <w:szCs w:val="21"/>
              </w:rPr>
            </w:pPr>
          </w:p>
        </w:tc>
        <w:tc>
          <w:tcPr>
            <w:tcW w:w="890" w:type="dxa"/>
            <w:vMerge w:val="continue"/>
            <w:vAlign w:val="center"/>
          </w:tcPr>
          <w:p w14:paraId="645595C3">
            <w:pPr>
              <w:jc w:val="center"/>
              <w:rPr>
                <w:rFonts w:ascii="宋体" w:hAnsi="宋体" w:cs="宋体"/>
                <w:b/>
                <w:bCs/>
                <w:color w:val="000000"/>
                <w:kern w:val="0"/>
                <w:szCs w:val="21"/>
              </w:rPr>
            </w:pPr>
          </w:p>
        </w:tc>
        <w:tc>
          <w:tcPr>
            <w:tcW w:w="669" w:type="dxa"/>
            <w:vMerge w:val="continue"/>
            <w:vAlign w:val="center"/>
          </w:tcPr>
          <w:p w14:paraId="425F3BB2">
            <w:pPr>
              <w:jc w:val="center"/>
              <w:rPr>
                <w:rFonts w:ascii="宋体" w:hAnsi="宋体" w:cs="宋体"/>
                <w:b/>
                <w:bCs/>
                <w:color w:val="000000"/>
                <w:kern w:val="0"/>
                <w:szCs w:val="21"/>
              </w:rPr>
            </w:pPr>
          </w:p>
        </w:tc>
        <w:tc>
          <w:tcPr>
            <w:tcW w:w="851" w:type="dxa"/>
            <w:vMerge w:val="continue"/>
            <w:vAlign w:val="center"/>
          </w:tcPr>
          <w:p w14:paraId="5A81FE0B">
            <w:pPr>
              <w:jc w:val="center"/>
              <w:rPr>
                <w:rFonts w:ascii="宋体" w:hAnsi="宋体" w:cs="宋体"/>
                <w:b/>
                <w:bCs/>
                <w:color w:val="000000"/>
                <w:kern w:val="0"/>
                <w:szCs w:val="21"/>
              </w:rPr>
            </w:pPr>
          </w:p>
        </w:tc>
        <w:tc>
          <w:tcPr>
            <w:tcW w:w="850" w:type="dxa"/>
            <w:shd w:val="clear" w:color="auto" w:fill="auto"/>
            <w:vAlign w:val="center"/>
          </w:tcPr>
          <w:p w14:paraId="47FBD8CB">
            <w:pPr>
              <w:jc w:val="center"/>
              <w:rPr>
                <w:rFonts w:ascii="宋体" w:hAnsi="宋体" w:cs="宋体"/>
                <w:b/>
                <w:bCs/>
                <w:color w:val="000000"/>
                <w:kern w:val="0"/>
                <w:szCs w:val="21"/>
              </w:rPr>
            </w:pPr>
            <w:r>
              <w:rPr>
                <w:rFonts w:hint="eastAsia" w:ascii="宋体" w:hAnsi="宋体" w:cs="宋体"/>
                <w:b/>
                <w:bCs/>
                <w:color w:val="000000"/>
                <w:kern w:val="0"/>
                <w:szCs w:val="21"/>
              </w:rPr>
              <w:t>声压级</w:t>
            </w:r>
            <w:r>
              <w:rPr>
                <w:b/>
                <w:bCs/>
                <w:color w:val="000000"/>
                <w:kern w:val="0"/>
                <w:szCs w:val="21"/>
              </w:rPr>
              <w:t>/dB</w:t>
            </w:r>
            <w:r>
              <w:rPr>
                <w:rFonts w:hint="eastAsia"/>
                <w:b/>
                <w:bCs/>
                <w:color w:val="000000"/>
                <w:kern w:val="0"/>
                <w:szCs w:val="21"/>
              </w:rPr>
              <w:t>（</w:t>
            </w:r>
            <w:r>
              <w:rPr>
                <w:b/>
                <w:bCs/>
                <w:color w:val="000000"/>
                <w:kern w:val="0"/>
                <w:szCs w:val="21"/>
              </w:rPr>
              <w:t>A</w:t>
            </w:r>
            <w:r>
              <w:rPr>
                <w:rFonts w:hint="eastAsia" w:ascii="宋体" w:hAnsi="宋体" w:cs="宋体"/>
                <w:b/>
                <w:bCs/>
                <w:color w:val="000000"/>
                <w:kern w:val="0"/>
                <w:szCs w:val="21"/>
              </w:rPr>
              <w:t>）</w:t>
            </w:r>
          </w:p>
        </w:tc>
        <w:tc>
          <w:tcPr>
            <w:tcW w:w="770" w:type="dxa"/>
            <w:shd w:val="clear" w:color="auto" w:fill="auto"/>
            <w:vAlign w:val="center"/>
          </w:tcPr>
          <w:p w14:paraId="23B8B3B2">
            <w:pPr>
              <w:jc w:val="center"/>
              <w:rPr>
                <w:rFonts w:ascii="宋体" w:hAnsi="宋体" w:cs="宋体"/>
                <w:b/>
                <w:bCs/>
                <w:color w:val="000000"/>
                <w:kern w:val="0"/>
                <w:szCs w:val="21"/>
              </w:rPr>
            </w:pPr>
            <w:r>
              <w:rPr>
                <w:rFonts w:hint="eastAsia" w:ascii="宋体" w:hAnsi="宋体" w:cs="宋体"/>
                <w:b/>
                <w:bCs/>
                <w:color w:val="000000"/>
                <w:kern w:val="0"/>
                <w:szCs w:val="21"/>
              </w:rPr>
              <w:t>建筑物外距离</w:t>
            </w:r>
          </w:p>
        </w:tc>
      </w:tr>
      <w:tr w14:paraId="742EC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948" w:type="dxa"/>
            <w:gridSpan w:val="14"/>
            <w:shd w:val="clear" w:color="auto" w:fill="auto"/>
            <w:vAlign w:val="center"/>
          </w:tcPr>
          <w:p w14:paraId="4A748C14">
            <w:pPr>
              <w:jc w:val="center"/>
              <w:rPr>
                <w:rFonts w:ascii="宋体" w:hAnsi="宋体" w:cs="宋体"/>
                <w:b/>
                <w:bCs/>
                <w:color w:val="000000"/>
                <w:kern w:val="0"/>
                <w:szCs w:val="21"/>
              </w:rPr>
            </w:pPr>
            <w:r>
              <w:rPr>
                <w:rFonts w:hint="eastAsia" w:ascii="宋体" w:hAnsi="宋体" w:cs="宋体"/>
                <w:b/>
                <w:bCs/>
                <w:color w:val="000000"/>
                <w:kern w:val="0"/>
                <w:szCs w:val="21"/>
              </w:rPr>
              <w:t>百花养殖场区</w:t>
            </w:r>
          </w:p>
        </w:tc>
      </w:tr>
      <w:tr w14:paraId="5FE9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1424352">
            <w:pPr>
              <w:jc w:val="center"/>
              <w:rPr>
                <w:color w:val="000000"/>
                <w:kern w:val="0"/>
                <w:szCs w:val="21"/>
              </w:rPr>
            </w:pPr>
            <w:r>
              <w:rPr>
                <w:color w:val="000000"/>
                <w:kern w:val="0"/>
                <w:szCs w:val="21"/>
              </w:rPr>
              <w:t>1</w:t>
            </w:r>
          </w:p>
        </w:tc>
        <w:tc>
          <w:tcPr>
            <w:tcW w:w="1292" w:type="dxa"/>
            <w:shd w:val="clear" w:color="auto" w:fill="auto"/>
            <w:vAlign w:val="center"/>
          </w:tcPr>
          <w:p w14:paraId="261D8B1D">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#1</w:t>
            </w:r>
          </w:p>
        </w:tc>
        <w:tc>
          <w:tcPr>
            <w:tcW w:w="851" w:type="dxa"/>
            <w:vMerge w:val="restart"/>
            <w:shd w:val="clear" w:color="auto" w:fill="auto"/>
            <w:vAlign w:val="center"/>
          </w:tcPr>
          <w:p w14:paraId="566EA7B5">
            <w:pPr>
              <w:jc w:val="center"/>
              <w:rPr>
                <w:rFonts w:ascii="宋体" w:hAnsi="宋体" w:cs="宋体"/>
                <w:color w:val="000000"/>
                <w:kern w:val="0"/>
                <w:szCs w:val="21"/>
              </w:rPr>
            </w:pPr>
            <w:r>
              <w:rPr>
                <w:rFonts w:hint="eastAsia" w:ascii="宋体" w:hAnsi="宋体" w:cs="宋体"/>
                <w:color w:val="000000"/>
                <w:kern w:val="0"/>
                <w:szCs w:val="21"/>
              </w:rPr>
              <w:t>牛叫</w:t>
            </w:r>
          </w:p>
        </w:tc>
        <w:tc>
          <w:tcPr>
            <w:tcW w:w="1984" w:type="dxa"/>
            <w:vMerge w:val="restart"/>
            <w:shd w:val="clear" w:color="auto" w:fill="auto"/>
            <w:vAlign w:val="center"/>
          </w:tcPr>
          <w:p w14:paraId="6E24B23A">
            <w:pPr>
              <w:jc w:val="center"/>
              <w:rPr>
                <w:color w:val="000000"/>
                <w:kern w:val="0"/>
                <w:szCs w:val="21"/>
              </w:rPr>
            </w:pPr>
            <w:r>
              <w:rPr>
                <w:color w:val="000000"/>
                <w:kern w:val="0"/>
                <w:szCs w:val="21"/>
              </w:rPr>
              <w:t>70</w:t>
            </w:r>
          </w:p>
        </w:tc>
        <w:tc>
          <w:tcPr>
            <w:tcW w:w="1560" w:type="dxa"/>
            <w:vMerge w:val="restart"/>
            <w:shd w:val="clear" w:color="auto" w:fill="auto"/>
            <w:vAlign w:val="center"/>
          </w:tcPr>
          <w:p w14:paraId="10D6555B">
            <w:pPr>
              <w:jc w:val="center"/>
              <w:rPr>
                <w:rFonts w:ascii="宋体" w:hAnsi="宋体" w:cs="宋体"/>
                <w:color w:val="000000"/>
                <w:kern w:val="0"/>
                <w:szCs w:val="21"/>
              </w:rPr>
            </w:pPr>
            <w:r>
              <w:rPr>
                <w:rFonts w:hint="eastAsia" w:ascii="宋体" w:hAnsi="宋体" w:cs="宋体"/>
                <w:color w:val="000000"/>
                <w:kern w:val="0"/>
                <w:szCs w:val="21"/>
              </w:rPr>
              <w:t>绿化隔声、扰减动少、加强管理</w:t>
            </w:r>
          </w:p>
        </w:tc>
        <w:tc>
          <w:tcPr>
            <w:tcW w:w="1134" w:type="dxa"/>
            <w:shd w:val="clear" w:color="auto" w:fill="auto"/>
            <w:vAlign w:val="center"/>
          </w:tcPr>
          <w:p w14:paraId="09954852">
            <w:pPr>
              <w:jc w:val="center"/>
              <w:rPr>
                <w:color w:val="000000"/>
                <w:kern w:val="0"/>
                <w:szCs w:val="21"/>
              </w:rPr>
            </w:pPr>
            <w:r>
              <w:rPr>
                <w:color w:val="000000"/>
                <w:kern w:val="0"/>
                <w:szCs w:val="21"/>
              </w:rPr>
              <w:t>74.03</w:t>
            </w:r>
          </w:p>
        </w:tc>
        <w:tc>
          <w:tcPr>
            <w:tcW w:w="992" w:type="dxa"/>
            <w:shd w:val="clear" w:color="auto" w:fill="auto"/>
            <w:vAlign w:val="center"/>
          </w:tcPr>
          <w:p w14:paraId="3F043779">
            <w:pPr>
              <w:jc w:val="center"/>
              <w:rPr>
                <w:color w:val="000000"/>
                <w:kern w:val="0"/>
                <w:szCs w:val="21"/>
              </w:rPr>
            </w:pPr>
            <w:r>
              <w:rPr>
                <w:color w:val="000000"/>
                <w:kern w:val="0"/>
                <w:szCs w:val="21"/>
              </w:rPr>
              <w:t>231.71</w:t>
            </w:r>
          </w:p>
        </w:tc>
        <w:tc>
          <w:tcPr>
            <w:tcW w:w="850" w:type="dxa"/>
            <w:shd w:val="clear" w:color="auto" w:fill="auto"/>
            <w:vAlign w:val="center"/>
          </w:tcPr>
          <w:p w14:paraId="1FD0F3F3">
            <w:pPr>
              <w:jc w:val="center"/>
              <w:rPr>
                <w:color w:val="000000"/>
                <w:kern w:val="0"/>
                <w:szCs w:val="21"/>
              </w:rPr>
            </w:pPr>
            <w:r>
              <w:rPr>
                <w:color w:val="000000"/>
                <w:kern w:val="0"/>
                <w:szCs w:val="21"/>
              </w:rPr>
              <w:t>1.2</w:t>
            </w:r>
          </w:p>
        </w:tc>
        <w:tc>
          <w:tcPr>
            <w:tcW w:w="851" w:type="dxa"/>
            <w:shd w:val="clear" w:color="auto" w:fill="auto"/>
            <w:vAlign w:val="center"/>
          </w:tcPr>
          <w:p w14:paraId="2E2B86B2">
            <w:pPr>
              <w:jc w:val="center"/>
              <w:rPr>
                <w:color w:val="000000"/>
                <w:kern w:val="0"/>
                <w:szCs w:val="21"/>
              </w:rPr>
            </w:pPr>
            <w:r>
              <w:rPr>
                <w:color w:val="000000"/>
                <w:kern w:val="0"/>
                <w:szCs w:val="21"/>
              </w:rPr>
              <w:t>/</w:t>
            </w:r>
          </w:p>
        </w:tc>
        <w:tc>
          <w:tcPr>
            <w:tcW w:w="890" w:type="dxa"/>
            <w:shd w:val="clear" w:color="auto" w:fill="auto"/>
            <w:vAlign w:val="center"/>
          </w:tcPr>
          <w:p w14:paraId="56DB3733">
            <w:pPr>
              <w:jc w:val="center"/>
              <w:rPr>
                <w:color w:val="000000"/>
                <w:kern w:val="0"/>
                <w:szCs w:val="21"/>
              </w:rPr>
            </w:pPr>
            <w:r>
              <w:rPr>
                <w:color w:val="000000"/>
                <w:kern w:val="0"/>
                <w:szCs w:val="21"/>
              </w:rPr>
              <w:t>60</w:t>
            </w:r>
          </w:p>
        </w:tc>
        <w:tc>
          <w:tcPr>
            <w:tcW w:w="669" w:type="dxa"/>
            <w:vMerge w:val="restart"/>
            <w:shd w:val="clear" w:color="auto" w:fill="auto"/>
            <w:vAlign w:val="center"/>
          </w:tcPr>
          <w:p w14:paraId="32E185E1">
            <w:pPr>
              <w:jc w:val="center"/>
              <w:rPr>
                <w:rFonts w:ascii="宋体" w:hAnsi="宋体" w:cs="宋体"/>
                <w:color w:val="000000"/>
                <w:kern w:val="0"/>
                <w:szCs w:val="21"/>
              </w:rPr>
            </w:pPr>
            <w:r>
              <w:rPr>
                <w:rFonts w:hint="eastAsia" w:ascii="宋体" w:hAnsi="宋体" w:cs="宋体"/>
                <w:color w:val="000000"/>
                <w:kern w:val="0"/>
                <w:szCs w:val="21"/>
              </w:rPr>
              <w:t>昼间、夜间</w:t>
            </w:r>
          </w:p>
        </w:tc>
        <w:tc>
          <w:tcPr>
            <w:tcW w:w="851" w:type="dxa"/>
            <w:shd w:val="clear" w:color="auto" w:fill="auto"/>
            <w:vAlign w:val="center"/>
          </w:tcPr>
          <w:p w14:paraId="10D9E73A">
            <w:pPr>
              <w:jc w:val="center"/>
              <w:rPr>
                <w:color w:val="000000"/>
                <w:kern w:val="0"/>
                <w:szCs w:val="21"/>
              </w:rPr>
            </w:pPr>
            <w:r>
              <w:rPr>
                <w:color w:val="000000"/>
                <w:kern w:val="0"/>
                <w:szCs w:val="21"/>
              </w:rPr>
              <w:t>/</w:t>
            </w:r>
          </w:p>
        </w:tc>
        <w:tc>
          <w:tcPr>
            <w:tcW w:w="850" w:type="dxa"/>
            <w:shd w:val="clear" w:color="auto" w:fill="auto"/>
            <w:vAlign w:val="center"/>
          </w:tcPr>
          <w:p w14:paraId="1288516C">
            <w:pPr>
              <w:jc w:val="center"/>
              <w:rPr>
                <w:color w:val="000000"/>
                <w:kern w:val="0"/>
                <w:szCs w:val="21"/>
              </w:rPr>
            </w:pPr>
            <w:r>
              <w:rPr>
                <w:color w:val="000000"/>
                <w:kern w:val="0"/>
                <w:szCs w:val="21"/>
              </w:rPr>
              <w:t>60</w:t>
            </w:r>
          </w:p>
        </w:tc>
        <w:tc>
          <w:tcPr>
            <w:tcW w:w="770" w:type="dxa"/>
            <w:shd w:val="clear" w:color="auto" w:fill="auto"/>
            <w:vAlign w:val="center"/>
          </w:tcPr>
          <w:p w14:paraId="12A85C4D">
            <w:pPr>
              <w:jc w:val="center"/>
              <w:rPr>
                <w:color w:val="000000"/>
                <w:kern w:val="0"/>
                <w:szCs w:val="21"/>
              </w:rPr>
            </w:pPr>
            <w:r>
              <w:rPr>
                <w:color w:val="000000"/>
                <w:kern w:val="0"/>
                <w:szCs w:val="21"/>
              </w:rPr>
              <w:t>1</w:t>
            </w:r>
          </w:p>
        </w:tc>
      </w:tr>
      <w:tr w14:paraId="22F4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3D3FE68">
            <w:pPr>
              <w:jc w:val="center"/>
              <w:rPr>
                <w:color w:val="000000"/>
                <w:kern w:val="0"/>
                <w:szCs w:val="21"/>
              </w:rPr>
            </w:pPr>
            <w:r>
              <w:rPr>
                <w:color w:val="000000"/>
                <w:kern w:val="0"/>
                <w:szCs w:val="21"/>
              </w:rPr>
              <w:t>2</w:t>
            </w:r>
          </w:p>
        </w:tc>
        <w:tc>
          <w:tcPr>
            <w:tcW w:w="1292" w:type="dxa"/>
            <w:shd w:val="clear" w:color="auto" w:fill="auto"/>
            <w:vAlign w:val="center"/>
          </w:tcPr>
          <w:p w14:paraId="16D39C39">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#2</w:t>
            </w:r>
          </w:p>
        </w:tc>
        <w:tc>
          <w:tcPr>
            <w:tcW w:w="851" w:type="dxa"/>
            <w:vMerge w:val="continue"/>
            <w:vAlign w:val="center"/>
          </w:tcPr>
          <w:p w14:paraId="4F1CF246">
            <w:pPr>
              <w:jc w:val="center"/>
              <w:rPr>
                <w:rFonts w:ascii="宋体" w:hAnsi="宋体" w:cs="宋体"/>
                <w:color w:val="000000"/>
                <w:kern w:val="0"/>
                <w:szCs w:val="21"/>
              </w:rPr>
            </w:pPr>
          </w:p>
        </w:tc>
        <w:tc>
          <w:tcPr>
            <w:tcW w:w="1984" w:type="dxa"/>
            <w:vMerge w:val="continue"/>
            <w:vAlign w:val="center"/>
          </w:tcPr>
          <w:p w14:paraId="248750C8">
            <w:pPr>
              <w:jc w:val="center"/>
              <w:rPr>
                <w:color w:val="000000"/>
                <w:kern w:val="0"/>
                <w:szCs w:val="21"/>
              </w:rPr>
            </w:pPr>
          </w:p>
        </w:tc>
        <w:tc>
          <w:tcPr>
            <w:tcW w:w="1560" w:type="dxa"/>
            <w:vMerge w:val="continue"/>
            <w:vAlign w:val="center"/>
          </w:tcPr>
          <w:p w14:paraId="7632CAF7">
            <w:pPr>
              <w:jc w:val="center"/>
              <w:rPr>
                <w:rFonts w:ascii="宋体" w:hAnsi="宋体" w:cs="宋体"/>
                <w:color w:val="000000"/>
                <w:kern w:val="0"/>
                <w:szCs w:val="21"/>
              </w:rPr>
            </w:pPr>
          </w:p>
        </w:tc>
        <w:tc>
          <w:tcPr>
            <w:tcW w:w="1134" w:type="dxa"/>
            <w:shd w:val="clear" w:color="auto" w:fill="auto"/>
            <w:vAlign w:val="center"/>
          </w:tcPr>
          <w:p w14:paraId="15A15C6B">
            <w:pPr>
              <w:jc w:val="center"/>
              <w:rPr>
                <w:color w:val="000000"/>
                <w:kern w:val="0"/>
                <w:szCs w:val="21"/>
              </w:rPr>
            </w:pPr>
            <w:r>
              <w:rPr>
                <w:color w:val="000000"/>
                <w:kern w:val="0"/>
                <w:szCs w:val="21"/>
              </w:rPr>
              <w:t>28.74</w:t>
            </w:r>
          </w:p>
        </w:tc>
        <w:tc>
          <w:tcPr>
            <w:tcW w:w="992" w:type="dxa"/>
            <w:shd w:val="clear" w:color="auto" w:fill="auto"/>
            <w:vAlign w:val="center"/>
          </w:tcPr>
          <w:p w14:paraId="6A6343EB">
            <w:pPr>
              <w:jc w:val="center"/>
              <w:rPr>
                <w:color w:val="000000"/>
                <w:kern w:val="0"/>
                <w:szCs w:val="21"/>
              </w:rPr>
            </w:pPr>
            <w:r>
              <w:rPr>
                <w:color w:val="000000"/>
                <w:kern w:val="0"/>
                <w:szCs w:val="21"/>
              </w:rPr>
              <w:t>277.42</w:t>
            </w:r>
          </w:p>
        </w:tc>
        <w:tc>
          <w:tcPr>
            <w:tcW w:w="850" w:type="dxa"/>
            <w:shd w:val="clear" w:color="auto" w:fill="auto"/>
            <w:vAlign w:val="center"/>
          </w:tcPr>
          <w:p w14:paraId="7D318069">
            <w:pPr>
              <w:jc w:val="center"/>
              <w:rPr>
                <w:color w:val="000000"/>
                <w:kern w:val="0"/>
                <w:szCs w:val="21"/>
              </w:rPr>
            </w:pPr>
            <w:r>
              <w:rPr>
                <w:color w:val="000000"/>
                <w:kern w:val="0"/>
                <w:szCs w:val="21"/>
              </w:rPr>
              <w:t>1.2</w:t>
            </w:r>
          </w:p>
        </w:tc>
        <w:tc>
          <w:tcPr>
            <w:tcW w:w="851" w:type="dxa"/>
            <w:shd w:val="clear" w:color="auto" w:fill="auto"/>
            <w:vAlign w:val="center"/>
          </w:tcPr>
          <w:p w14:paraId="6F182784">
            <w:pPr>
              <w:jc w:val="center"/>
              <w:rPr>
                <w:color w:val="000000"/>
                <w:kern w:val="0"/>
                <w:szCs w:val="21"/>
              </w:rPr>
            </w:pPr>
            <w:r>
              <w:rPr>
                <w:color w:val="000000"/>
                <w:kern w:val="0"/>
                <w:szCs w:val="21"/>
              </w:rPr>
              <w:t>/</w:t>
            </w:r>
          </w:p>
        </w:tc>
        <w:tc>
          <w:tcPr>
            <w:tcW w:w="890" w:type="dxa"/>
            <w:shd w:val="clear" w:color="auto" w:fill="auto"/>
            <w:vAlign w:val="center"/>
          </w:tcPr>
          <w:p w14:paraId="0CB0D809">
            <w:pPr>
              <w:jc w:val="center"/>
              <w:rPr>
                <w:color w:val="000000"/>
                <w:kern w:val="0"/>
                <w:szCs w:val="21"/>
              </w:rPr>
            </w:pPr>
            <w:r>
              <w:rPr>
                <w:color w:val="000000"/>
                <w:kern w:val="0"/>
                <w:szCs w:val="21"/>
              </w:rPr>
              <w:t>60</w:t>
            </w:r>
          </w:p>
        </w:tc>
        <w:tc>
          <w:tcPr>
            <w:tcW w:w="669" w:type="dxa"/>
            <w:vMerge w:val="continue"/>
            <w:vAlign w:val="center"/>
          </w:tcPr>
          <w:p w14:paraId="775C8617">
            <w:pPr>
              <w:jc w:val="center"/>
              <w:rPr>
                <w:rFonts w:ascii="宋体" w:hAnsi="宋体" w:cs="宋体"/>
                <w:color w:val="000000"/>
                <w:kern w:val="0"/>
                <w:szCs w:val="21"/>
              </w:rPr>
            </w:pPr>
          </w:p>
        </w:tc>
        <w:tc>
          <w:tcPr>
            <w:tcW w:w="851" w:type="dxa"/>
            <w:shd w:val="clear" w:color="auto" w:fill="auto"/>
            <w:vAlign w:val="center"/>
          </w:tcPr>
          <w:p w14:paraId="339122BB">
            <w:pPr>
              <w:jc w:val="center"/>
              <w:rPr>
                <w:color w:val="000000"/>
                <w:kern w:val="0"/>
                <w:szCs w:val="21"/>
              </w:rPr>
            </w:pPr>
            <w:r>
              <w:rPr>
                <w:color w:val="000000"/>
                <w:kern w:val="0"/>
                <w:szCs w:val="21"/>
              </w:rPr>
              <w:t>/</w:t>
            </w:r>
          </w:p>
        </w:tc>
        <w:tc>
          <w:tcPr>
            <w:tcW w:w="850" w:type="dxa"/>
            <w:shd w:val="clear" w:color="auto" w:fill="auto"/>
            <w:vAlign w:val="center"/>
          </w:tcPr>
          <w:p w14:paraId="61EE3BDE">
            <w:pPr>
              <w:jc w:val="center"/>
              <w:rPr>
                <w:color w:val="000000"/>
                <w:kern w:val="0"/>
                <w:szCs w:val="21"/>
              </w:rPr>
            </w:pPr>
            <w:r>
              <w:rPr>
                <w:color w:val="000000"/>
                <w:kern w:val="0"/>
                <w:szCs w:val="21"/>
              </w:rPr>
              <w:t>60</w:t>
            </w:r>
          </w:p>
        </w:tc>
        <w:tc>
          <w:tcPr>
            <w:tcW w:w="770" w:type="dxa"/>
            <w:shd w:val="clear" w:color="auto" w:fill="auto"/>
            <w:vAlign w:val="center"/>
          </w:tcPr>
          <w:p w14:paraId="0B7BAEFC">
            <w:pPr>
              <w:jc w:val="center"/>
              <w:rPr>
                <w:color w:val="000000"/>
                <w:kern w:val="0"/>
                <w:szCs w:val="21"/>
              </w:rPr>
            </w:pPr>
            <w:r>
              <w:rPr>
                <w:color w:val="000000"/>
                <w:kern w:val="0"/>
                <w:szCs w:val="21"/>
              </w:rPr>
              <w:t>1</w:t>
            </w:r>
          </w:p>
        </w:tc>
      </w:tr>
      <w:tr w14:paraId="1042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F81D226">
            <w:pPr>
              <w:jc w:val="center"/>
              <w:rPr>
                <w:color w:val="000000"/>
                <w:kern w:val="0"/>
                <w:szCs w:val="21"/>
              </w:rPr>
            </w:pPr>
            <w:r>
              <w:rPr>
                <w:color w:val="000000"/>
                <w:kern w:val="0"/>
                <w:szCs w:val="21"/>
              </w:rPr>
              <w:t>3</w:t>
            </w:r>
          </w:p>
        </w:tc>
        <w:tc>
          <w:tcPr>
            <w:tcW w:w="1292" w:type="dxa"/>
            <w:shd w:val="clear" w:color="auto" w:fill="auto"/>
            <w:vAlign w:val="center"/>
          </w:tcPr>
          <w:p w14:paraId="5267B1AD">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#3</w:t>
            </w:r>
          </w:p>
        </w:tc>
        <w:tc>
          <w:tcPr>
            <w:tcW w:w="851" w:type="dxa"/>
            <w:vMerge w:val="continue"/>
            <w:vAlign w:val="center"/>
          </w:tcPr>
          <w:p w14:paraId="6F182AB0">
            <w:pPr>
              <w:jc w:val="center"/>
              <w:rPr>
                <w:rFonts w:ascii="宋体" w:hAnsi="宋体" w:cs="宋体"/>
                <w:color w:val="000000"/>
                <w:kern w:val="0"/>
                <w:szCs w:val="21"/>
              </w:rPr>
            </w:pPr>
          </w:p>
        </w:tc>
        <w:tc>
          <w:tcPr>
            <w:tcW w:w="1984" w:type="dxa"/>
            <w:vMerge w:val="continue"/>
            <w:vAlign w:val="center"/>
          </w:tcPr>
          <w:p w14:paraId="0D2A90E9">
            <w:pPr>
              <w:jc w:val="center"/>
              <w:rPr>
                <w:color w:val="000000"/>
                <w:kern w:val="0"/>
                <w:szCs w:val="21"/>
              </w:rPr>
            </w:pPr>
          </w:p>
        </w:tc>
        <w:tc>
          <w:tcPr>
            <w:tcW w:w="1560" w:type="dxa"/>
            <w:vMerge w:val="continue"/>
            <w:vAlign w:val="center"/>
          </w:tcPr>
          <w:p w14:paraId="3505EE92">
            <w:pPr>
              <w:jc w:val="center"/>
              <w:rPr>
                <w:rFonts w:ascii="宋体" w:hAnsi="宋体" w:cs="宋体"/>
                <w:color w:val="000000"/>
                <w:kern w:val="0"/>
                <w:szCs w:val="21"/>
              </w:rPr>
            </w:pPr>
          </w:p>
        </w:tc>
        <w:tc>
          <w:tcPr>
            <w:tcW w:w="1134" w:type="dxa"/>
            <w:shd w:val="clear" w:color="auto" w:fill="auto"/>
            <w:vAlign w:val="center"/>
          </w:tcPr>
          <w:p w14:paraId="3F9E2C28">
            <w:pPr>
              <w:jc w:val="center"/>
              <w:rPr>
                <w:color w:val="000000"/>
                <w:kern w:val="0"/>
                <w:szCs w:val="21"/>
              </w:rPr>
            </w:pPr>
            <w:r>
              <w:rPr>
                <w:color w:val="000000"/>
                <w:kern w:val="0"/>
                <w:szCs w:val="21"/>
              </w:rPr>
              <w:t>59.91</w:t>
            </w:r>
          </w:p>
        </w:tc>
        <w:tc>
          <w:tcPr>
            <w:tcW w:w="992" w:type="dxa"/>
            <w:shd w:val="clear" w:color="auto" w:fill="auto"/>
            <w:vAlign w:val="center"/>
          </w:tcPr>
          <w:p w14:paraId="3210E18F">
            <w:pPr>
              <w:jc w:val="center"/>
              <w:rPr>
                <w:color w:val="000000"/>
                <w:kern w:val="0"/>
                <w:szCs w:val="21"/>
              </w:rPr>
            </w:pPr>
            <w:r>
              <w:rPr>
                <w:color w:val="000000"/>
                <w:kern w:val="0"/>
                <w:szCs w:val="21"/>
              </w:rPr>
              <w:t>178.6</w:t>
            </w:r>
          </w:p>
        </w:tc>
        <w:tc>
          <w:tcPr>
            <w:tcW w:w="850" w:type="dxa"/>
            <w:shd w:val="clear" w:color="auto" w:fill="auto"/>
            <w:vAlign w:val="center"/>
          </w:tcPr>
          <w:p w14:paraId="4CA9FB6C">
            <w:pPr>
              <w:jc w:val="center"/>
              <w:rPr>
                <w:color w:val="000000"/>
                <w:kern w:val="0"/>
                <w:szCs w:val="21"/>
              </w:rPr>
            </w:pPr>
            <w:r>
              <w:rPr>
                <w:color w:val="000000"/>
                <w:kern w:val="0"/>
                <w:szCs w:val="21"/>
              </w:rPr>
              <w:t>1.2</w:t>
            </w:r>
          </w:p>
        </w:tc>
        <w:tc>
          <w:tcPr>
            <w:tcW w:w="851" w:type="dxa"/>
            <w:shd w:val="clear" w:color="auto" w:fill="auto"/>
            <w:vAlign w:val="center"/>
          </w:tcPr>
          <w:p w14:paraId="301F3B39">
            <w:pPr>
              <w:jc w:val="center"/>
              <w:rPr>
                <w:color w:val="000000"/>
                <w:kern w:val="0"/>
                <w:szCs w:val="21"/>
              </w:rPr>
            </w:pPr>
            <w:r>
              <w:rPr>
                <w:color w:val="000000"/>
                <w:kern w:val="0"/>
                <w:szCs w:val="21"/>
              </w:rPr>
              <w:t>/</w:t>
            </w:r>
          </w:p>
        </w:tc>
        <w:tc>
          <w:tcPr>
            <w:tcW w:w="890" w:type="dxa"/>
            <w:shd w:val="clear" w:color="auto" w:fill="auto"/>
            <w:vAlign w:val="center"/>
          </w:tcPr>
          <w:p w14:paraId="392FBD25">
            <w:pPr>
              <w:jc w:val="center"/>
              <w:rPr>
                <w:color w:val="000000"/>
                <w:kern w:val="0"/>
                <w:szCs w:val="21"/>
              </w:rPr>
            </w:pPr>
            <w:r>
              <w:rPr>
                <w:color w:val="000000"/>
                <w:kern w:val="0"/>
                <w:szCs w:val="21"/>
              </w:rPr>
              <w:t>60</w:t>
            </w:r>
          </w:p>
        </w:tc>
        <w:tc>
          <w:tcPr>
            <w:tcW w:w="669" w:type="dxa"/>
            <w:vMerge w:val="continue"/>
            <w:vAlign w:val="center"/>
          </w:tcPr>
          <w:p w14:paraId="7777FA32">
            <w:pPr>
              <w:jc w:val="center"/>
              <w:rPr>
                <w:rFonts w:ascii="宋体" w:hAnsi="宋体" w:cs="宋体"/>
                <w:color w:val="000000"/>
                <w:kern w:val="0"/>
                <w:szCs w:val="21"/>
              </w:rPr>
            </w:pPr>
          </w:p>
        </w:tc>
        <w:tc>
          <w:tcPr>
            <w:tcW w:w="851" w:type="dxa"/>
            <w:shd w:val="clear" w:color="auto" w:fill="auto"/>
            <w:vAlign w:val="center"/>
          </w:tcPr>
          <w:p w14:paraId="50C6547D">
            <w:pPr>
              <w:jc w:val="center"/>
              <w:rPr>
                <w:color w:val="000000"/>
                <w:kern w:val="0"/>
                <w:szCs w:val="21"/>
              </w:rPr>
            </w:pPr>
            <w:r>
              <w:rPr>
                <w:color w:val="000000"/>
                <w:kern w:val="0"/>
                <w:szCs w:val="21"/>
              </w:rPr>
              <w:t>/</w:t>
            </w:r>
          </w:p>
        </w:tc>
        <w:tc>
          <w:tcPr>
            <w:tcW w:w="850" w:type="dxa"/>
            <w:shd w:val="clear" w:color="auto" w:fill="auto"/>
            <w:vAlign w:val="center"/>
          </w:tcPr>
          <w:p w14:paraId="63A410DB">
            <w:pPr>
              <w:jc w:val="center"/>
              <w:rPr>
                <w:color w:val="000000"/>
                <w:kern w:val="0"/>
                <w:szCs w:val="21"/>
              </w:rPr>
            </w:pPr>
            <w:r>
              <w:rPr>
                <w:color w:val="000000"/>
                <w:kern w:val="0"/>
                <w:szCs w:val="21"/>
              </w:rPr>
              <w:t>60</w:t>
            </w:r>
          </w:p>
        </w:tc>
        <w:tc>
          <w:tcPr>
            <w:tcW w:w="770" w:type="dxa"/>
            <w:shd w:val="clear" w:color="auto" w:fill="auto"/>
            <w:vAlign w:val="center"/>
          </w:tcPr>
          <w:p w14:paraId="28278C68">
            <w:pPr>
              <w:jc w:val="center"/>
              <w:rPr>
                <w:color w:val="000000"/>
                <w:kern w:val="0"/>
                <w:szCs w:val="21"/>
              </w:rPr>
            </w:pPr>
            <w:r>
              <w:rPr>
                <w:color w:val="000000"/>
                <w:kern w:val="0"/>
                <w:szCs w:val="21"/>
              </w:rPr>
              <w:t>1</w:t>
            </w:r>
          </w:p>
        </w:tc>
      </w:tr>
      <w:tr w14:paraId="6D92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A78A324">
            <w:pPr>
              <w:jc w:val="center"/>
              <w:rPr>
                <w:color w:val="000000"/>
                <w:kern w:val="0"/>
                <w:szCs w:val="21"/>
              </w:rPr>
            </w:pPr>
            <w:r>
              <w:rPr>
                <w:color w:val="000000"/>
                <w:kern w:val="0"/>
                <w:szCs w:val="21"/>
              </w:rPr>
              <w:t>4</w:t>
            </w:r>
          </w:p>
        </w:tc>
        <w:tc>
          <w:tcPr>
            <w:tcW w:w="1292" w:type="dxa"/>
            <w:shd w:val="clear" w:color="auto" w:fill="auto"/>
            <w:vAlign w:val="center"/>
          </w:tcPr>
          <w:p w14:paraId="6117729E">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#4</w:t>
            </w:r>
          </w:p>
        </w:tc>
        <w:tc>
          <w:tcPr>
            <w:tcW w:w="851" w:type="dxa"/>
            <w:vMerge w:val="continue"/>
            <w:vAlign w:val="center"/>
          </w:tcPr>
          <w:p w14:paraId="5B950FBB">
            <w:pPr>
              <w:jc w:val="center"/>
              <w:rPr>
                <w:rFonts w:ascii="宋体" w:hAnsi="宋体" w:cs="宋体"/>
                <w:color w:val="000000"/>
                <w:kern w:val="0"/>
                <w:szCs w:val="21"/>
              </w:rPr>
            </w:pPr>
          </w:p>
        </w:tc>
        <w:tc>
          <w:tcPr>
            <w:tcW w:w="1984" w:type="dxa"/>
            <w:vMerge w:val="continue"/>
            <w:vAlign w:val="center"/>
          </w:tcPr>
          <w:p w14:paraId="00896E33">
            <w:pPr>
              <w:jc w:val="center"/>
              <w:rPr>
                <w:color w:val="000000"/>
                <w:kern w:val="0"/>
                <w:szCs w:val="21"/>
              </w:rPr>
            </w:pPr>
          </w:p>
        </w:tc>
        <w:tc>
          <w:tcPr>
            <w:tcW w:w="1560" w:type="dxa"/>
            <w:vMerge w:val="continue"/>
            <w:vAlign w:val="center"/>
          </w:tcPr>
          <w:p w14:paraId="33555845">
            <w:pPr>
              <w:jc w:val="center"/>
              <w:rPr>
                <w:rFonts w:ascii="宋体" w:hAnsi="宋体" w:cs="宋体"/>
                <w:color w:val="000000"/>
                <w:kern w:val="0"/>
                <w:szCs w:val="21"/>
              </w:rPr>
            </w:pPr>
          </w:p>
        </w:tc>
        <w:tc>
          <w:tcPr>
            <w:tcW w:w="1134" w:type="dxa"/>
            <w:shd w:val="clear" w:color="auto" w:fill="auto"/>
            <w:vAlign w:val="center"/>
          </w:tcPr>
          <w:p w14:paraId="6C281C51">
            <w:pPr>
              <w:jc w:val="center"/>
              <w:rPr>
                <w:color w:val="000000"/>
                <w:kern w:val="0"/>
                <w:szCs w:val="21"/>
              </w:rPr>
            </w:pPr>
            <w:r>
              <w:rPr>
                <w:color w:val="000000"/>
                <w:kern w:val="0"/>
                <w:szCs w:val="21"/>
              </w:rPr>
              <w:t>32.43</w:t>
            </w:r>
          </w:p>
        </w:tc>
        <w:tc>
          <w:tcPr>
            <w:tcW w:w="992" w:type="dxa"/>
            <w:shd w:val="clear" w:color="auto" w:fill="auto"/>
            <w:vAlign w:val="center"/>
          </w:tcPr>
          <w:p w14:paraId="59D33F2E">
            <w:pPr>
              <w:jc w:val="center"/>
              <w:rPr>
                <w:color w:val="000000"/>
                <w:kern w:val="0"/>
                <w:szCs w:val="21"/>
              </w:rPr>
            </w:pPr>
            <w:r>
              <w:rPr>
                <w:color w:val="000000"/>
                <w:kern w:val="0"/>
                <w:szCs w:val="21"/>
              </w:rPr>
              <w:t>124.48</w:t>
            </w:r>
          </w:p>
        </w:tc>
        <w:tc>
          <w:tcPr>
            <w:tcW w:w="850" w:type="dxa"/>
            <w:shd w:val="clear" w:color="auto" w:fill="auto"/>
            <w:vAlign w:val="center"/>
          </w:tcPr>
          <w:p w14:paraId="182BB196">
            <w:pPr>
              <w:jc w:val="center"/>
              <w:rPr>
                <w:color w:val="000000"/>
                <w:kern w:val="0"/>
                <w:szCs w:val="21"/>
              </w:rPr>
            </w:pPr>
            <w:r>
              <w:rPr>
                <w:color w:val="000000"/>
                <w:kern w:val="0"/>
                <w:szCs w:val="21"/>
              </w:rPr>
              <w:t>1.2</w:t>
            </w:r>
          </w:p>
        </w:tc>
        <w:tc>
          <w:tcPr>
            <w:tcW w:w="851" w:type="dxa"/>
            <w:shd w:val="clear" w:color="auto" w:fill="auto"/>
            <w:vAlign w:val="center"/>
          </w:tcPr>
          <w:p w14:paraId="5F489438">
            <w:pPr>
              <w:jc w:val="center"/>
              <w:rPr>
                <w:color w:val="000000"/>
                <w:kern w:val="0"/>
                <w:szCs w:val="21"/>
              </w:rPr>
            </w:pPr>
            <w:r>
              <w:rPr>
                <w:color w:val="000000"/>
                <w:kern w:val="0"/>
                <w:szCs w:val="21"/>
              </w:rPr>
              <w:t>/</w:t>
            </w:r>
          </w:p>
        </w:tc>
        <w:tc>
          <w:tcPr>
            <w:tcW w:w="890" w:type="dxa"/>
            <w:shd w:val="clear" w:color="auto" w:fill="auto"/>
            <w:vAlign w:val="center"/>
          </w:tcPr>
          <w:p w14:paraId="7E6B022E">
            <w:pPr>
              <w:jc w:val="center"/>
              <w:rPr>
                <w:color w:val="000000"/>
                <w:kern w:val="0"/>
                <w:szCs w:val="21"/>
              </w:rPr>
            </w:pPr>
            <w:r>
              <w:rPr>
                <w:color w:val="000000"/>
                <w:kern w:val="0"/>
                <w:szCs w:val="21"/>
              </w:rPr>
              <w:t>60</w:t>
            </w:r>
          </w:p>
        </w:tc>
        <w:tc>
          <w:tcPr>
            <w:tcW w:w="669" w:type="dxa"/>
            <w:vMerge w:val="continue"/>
            <w:vAlign w:val="center"/>
          </w:tcPr>
          <w:p w14:paraId="6A3F96BE">
            <w:pPr>
              <w:jc w:val="center"/>
              <w:rPr>
                <w:rFonts w:ascii="宋体" w:hAnsi="宋体" w:cs="宋体"/>
                <w:color w:val="000000"/>
                <w:kern w:val="0"/>
                <w:szCs w:val="21"/>
              </w:rPr>
            </w:pPr>
          </w:p>
        </w:tc>
        <w:tc>
          <w:tcPr>
            <w:tcW w:w="851" w:type="dxa"/>
            <w:shd w:val="clear" w:color="auto" w:fill="auto"/>
            <w:vAlign w:val="center"/>
          </w:tcPr>
          <w:p w14:paraId="2486F6EE">
            <w:pPr>
              <w:jc w:val="center"/>
              <w:rPr>
                <w:color w:val="000000"/>
                <w:kern w:val="0"/>
                <w:szCs w:val="21"/>
              </w:rPr>
            </w:pPr>
            <w:r>
              <w:rPr>
                <w:color w:val="000000"/>
                <w:kern w:val="0"/>
                <w:szCs w:val="21"/>
              </w:rPr>
              <w:t>/</w:t>
            </w:r>
          </w:p>
        </w:tc>
        <w:tc>
          <w:tcPr>
            <w:tcW w:w="850" w:type="dxa"/>
            <w:shd w:val="clear" w:color="auto" w:fill="auto"/>
            <w:vAlign w:val="center"/>
          </w:tcPr>
          <w:p w14:paraId="68BBBE42">
            <w:pPr>
              <w:jc w:val="center"/>
              <w:rPr>
                <w:color w:val="000000"/>
                <w:kern w:val="0"/>
                <w:szCs w:val="21"/>
              </w:rPr>
            </w:pPr>
            <w:r>
              <w:rPr>
                <w:color w:val="000000"/>
                <w:kern w:val="0"/>
                <w:szCs w:val="21"/>
              </w:rPr>
              <w:t>60</w:t>
            </w:r>
          </w:p>
        </w:tc>
        <w:tc>
          <w:tcPr>
            <w:tcW w:w="770" w:type="dxa"/>
            <w:shd w:val="clear" w:color="auto" w:fill="auto"/>
            <w:vAlign w:val="center"/>
          </w:tcPr>
          <w:p w14:paraId="057ED3DB">
            <w:pPr>
              <w:jc w:val="center"/>
              <w:rPr>
                <w:color w:val="000000"/>
                <w:kern w:val="0"/>
                <w:szCs w:val="21"/>
              </w:rPr>
            </w:pPr>
            <w:r>
              <w:rPr>
                <w:color w:val="000000"/>
                <w:kern w:val="0"/>
                <w:szCs w:val="21"/>
              </w:rPr>
              <w:t>1</w:t>
            </w:r>
          </w:p>
        </w:tc>
      </w:tr>
      <w:tr w14:paraId="579A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9B91D93">
            <w:pPr>
              <w:jc w:val="center"/>
              <w:rPr>
                <w:color w:val="000000"/>
                <w:kern w:val="0"/>
                <w:szCs w:val="21"/>
              </w:rPr>
            </w:pPr>
            <w:r>
              <w:rPr>
                <w:color w:val="000000"/>
                <w:kern w:val="0"/>
                <w:szCs w:val="21"/>
              </w:rPr>
              <w:t>5</w:t>
            </w:r>
          </w:p>
        </w:tc>
        <w:tc>
          <w:tcPr>
            <w:tcW w:w="1292" w:type="dxa"/>
            <w:shd w:val="clear" w:color="auto" w:fill="auto"/>
            <w:vAlign w:val="center"/>
          </w:tcPr>
          <w:p w14:paraId="6DB06226">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#5</w:t>
            </w:r>
          </w:p>
        </w:tc>
        <w:tc>
          <w:tcPr>
            <w:tcW w:w="851" w:type="dxa"/>
            <w:vMerge w:val="continue"/>
            <w:vAlign w:val="center"/>
          </w:tcPr>
          <w:p w14:paraId="22B22C2A">
            <w:pPr>
              <w:jc w:val="center"/>
              <w:rPr>
                <w:rFonts w:ascii="宋体" w:hAnsi="宋体" w:cs="宋体"/>
                <w:color w:val="000000"/>
                <w:kern w:val="0"/>
                <w:szCs w:val="21"/>
              </w:rPr>
            </w:pPr>
          </w:p>
        </w:tc>
        <w:tc>
          <w:tcPr>
            <w:tcW w:w="1984" w:type="dxa"/>
            <w:vMerge w:val="continue"/>
            <w:vAlign w:val="center"/>
          </w:tcPr>
          <w:p w14:paraId="28551183">
            <w:pPr>
              <w:jc w:val="center"/>
              <w:rPr>
                <w:color w:val="000000"/>
                <w:kern w:val="0"/>
                <w:szCs w:val="21"/>
              </w:rPr>
            </w:pPr>
          </w:p>
        </w:tc>
        <w:tc>
          <w:tcPr>
            <w:tcW w:w="1560" w:type="dxa"/>
            <w:vMerge w:val="continue"/>
            <w:vAlign w:val="center"/>
          </w:tcPr>
          <w:p w14:paraId="628DA8A7">
            <w:pPr>
              <w:jc w:val="center"/>
              <w:rPr>
                <w:rFonts w:ascii="宋体" w:hAnsi="宋体" w:cs="宋体"/>
                <w:color w:val="000000"/>
                <w:kern w:val="0"/>
                <w:szCs w:val="21"/>
              </w:rPr>
            </w:pPr>
          </w:p>
        </w:tc>
        <w:tc>
          <w:tcPr>
            <w:tcW w:w="1134" w:type="dxa"/>
            <w:shd w:val="clear" w:color="auto" w:fill="auto"/>
            <w:vAlign w:val="center"/>
          </w:tcPr>
          <w:p w14:paraId="6F8BF53E">
            <w:pPr>
              <w:jc w:val="center"/>
              <w:rPr>
                <w:color w:val="000000"/>
                <w:kern w:val="0"/>
                <w:szCs w:val="21"/>
              </w:rPr>
            </w:pPr>
            <w:r>
              <w:rPr>
                <w:color w:val="000000"/>
                <w:kern w:val="0"/>
                <w:szCs w:val="21"/>
              </w:rPr>
              <w:t>19.38</w:t>
            </w:r>
          </w:p>
        </w:tc>
        <w:tc>
          <w:tcPr>
            <w:tcW w:w="992" w:type="dxa"/>
            <w:shd w:val="clear" w:color="auto" w:fill="auto"/>
            <w:vAlign w:val="center"/>
          </w:tcPr>
          <w:p w14:paraId="674C3EE9">
            <w:pPr>
              <w:jc w:val="center"/>
              <w:rPr>
                <w:color w:val="000000"/>
                <w:kern w:val="0"/>
                <w:szCs w:val="21"/>
              </w:rPr>
            </w:pPr>
            <w:r>
              <w:rPr>
                <w:color w:val="000000"/>
                <w:kern w:val="0"/>
                <w:szCs w:val="21"/>
              </w:rPr>
              <w:t>45.92</w:t>
            </w:r>
          </w:p>
        </w:tc>
        <w:tc>
          <w:tcPr>
            <w:tcW w:w="850" w:type="dxa"/>
            <w:shd w:val="clear" w:color="auto" w:fill="auto"/>
            <w:vAlign w:val="center"/>
          </w:tcPr>
          <w:p w14:paraId="7316665B">
            <w:pPr>
              <w:jc w:val="center"/>
              <w:rPr>
                <w:color w:val="000000"/>
                <w:kern w:val="0"/>
                <w:szCs w:val="21"/>
              </w:rPr>
            </w:pPr>
            <w:r>
              <w:rPr>
                <w:color w:val="000000"/>
                <w:kern w:val="0"/>
                <w:szCs w:val="21"/>
              </w:rPr>
              <w:t>1.2</w:t>
            </w:r>
          </w:p>
        </w:tc>
        <w:tc>
          <w:tcPr>
            <w:tcW w:w="851" w:type="dxa"/>
            <w:shd w:val="clear" w:color="auto" w:fill="auto"/>
            <w:vAlign w:val="center"/>
          </w:tcPr>
          <w:p w14:paraId="3D61989C">
            <w:pPr>
              <w:jc w:val="center"/>
              <w:rPr>
                <w:color w:val="000000"/>
                <w:kern w:val="0"/>
                <w:szCs w:val="21"/>
              </w:rPr>
            </w:pPr>
            <w:r>
              <w:rPr>
                <w:color w:val="000000"/>
                <w:kern w:val="0"/>
                <w:szCs w:val="21"/>
              </w:rPr>
              <w:t>/</w:t>
            </w:r>
          </w:p>
        </w:tc>
        <w:tc>
          <w:tcPr>
            <w:tcW w:w="890" w:type="dxa"/>
            <w:shd w:val="clear" w:color="auto" w:fill="auto"/>
            <w:vAlign w:val="center"/>
          </w:tcPr>
          <w:p w14:paraId="642873B5">
            <w:pPr>
              <w:jc w:val="center"/>
              <w:rPr>
                <w:color w:val="000000"/>
                <w:kern w:val="0"/>
                <w:szCs w:val="21"/>
              </w:rPr>
            </w:pPr>
            <w:r>
              <w:rPr>
                <w:color w:val="000000"/>
                <w:kern w:val="0"/>
                <w:szCs w:val="21"/>
              </w:rPr>
              <w:t>60</w:t>
            </w:r>
          </w:p>
        </w:tc>
        <w:tc>
          <w:tcPr>
            <w:tcW w:w="669" w:type="dxa"/>
            <w:vMerge w:val="continue"/>
            <w:vAlign w:val="center"/>
          </w:tcPr>
          <w:p w14:paraId="7EEBDB30">
            <w:pPr>
              <w:jc w:val="center"/>
              <w:rPr>
                <w:rFonts w:ascii="宋体" w:hAnsi="宋体" w:cs="宋体"/>
                <w:color w:val="000000"/>
                <w:kern w:val="0"/>
                <w:szCs w:val="21"/>
              </w:rPr>
            </w:pPr>
          </w:p>
        </w:tc>
        <w:tc>
          <w:tcPr>
            <w:tcW w:w="851" w:type="dxa"/>
            <w:shd w:val="clear" w:color="auto" w:fill="auto"/>
            <w:vAlign w:val="center"/>
          </w:tcPr>
          <w:p w14:paraId="3944CAFB">
            <w:pPr>
              <w:jc w:val="center"/>
              <w:rPr>
                <w:color w:val="000000"/>
                <w:kern w:val="0"/>
                <w:szCs w:val="21"/>
              </w:rPr>
            </w:pPr>
            <w:r>
              <w:rPr>
                <w:color w:val="000000"/>
                <w:kern w:val="0"/>
                <w:szCs w:val="21"/>
              </w:rPr>
              <w:t>/</w:t>
            </w:r>
          </w:p>
        </w:tc>
        <w:tc>
          <w:tcPr>
            <w:tcW w:w="850" w:type="dxa"/>
            <w:shd w:val="clear" w:color="auto" w:fill="auto"/>
            <w:vAlign w:val="center"/>
          </w:tcPr>
          <w:p w14:paraId="1F2BD37B">
            <w:pPr>
              <w:jc w:val="center"/>
              <w:rPr>
                <w:color w:val="000000"/>
                <w:kern w:val="0"/>
                <w:szCs w:val="21"/>
              </w:rPr>
            </w:pPr>
            <w:r>
              <w:rPr>
                <w:color w:val="000000"/>
                <w:kern w:val="0"/>
                <w:szCs w:val="21"/>
              </w:rPr>
              <w:t>60</w:t>
            </w:r>
          </w:p>
        </w:tc>
        <w:tc>
          <w:tcPr>
            <w:tcW w:w="770" w:type="dxa"/>
            <w:shd w:val="clear" w:color="auto" w:fill="auto"/>
            <w:vAlign w:val="center"/>
          </w:tcPr>
          <w:p w14:paraId="6F5CD66B">
            <w:pPr>
              <w:jc w:val="center"/>
              <w:rPr>
                <w:color w:val="000000"/>
                <w:kern w:val="0"/>
                <w:szCs w:val="21"/>
              </w:rPr>
            </w:pPr>
            <w:r>
              <w:rPr>
                <w:color w:val="000000"/>
                <w:kern w:val="0"/>
                <w:szCs w:val="21"/>
              </w:rPr>
              <w:t>1</w:t>
            </w:r>
          </w:p>
        </w:tc>
      </w:tr>
      <w:tr w14:paraId="3D07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777F9C9">
            <w:pPr>
              <w:jc w:val="center"/>
              <w:rPr>
                <w:color w:val="000000"/>
                <w:kern w:val="0"/>
                <w:szCs w:val="21"/>
              </w:rPr>
            </w:pPr>
            <w:r>
              <w:rPr>
                <w:color w:val="000000"/>
                <w:kern w:val="0"/>
                <w:szCs w:val="21"/>
              </w:rPr>
              <w:t>6</w:t>
            </w:r>
          </w:p>
        </w:tc>
        <w:tc>
          <w:tcPr>
            <w:tcW w:w="1292" w:type="dxa"/>
            <w:shd w:val="clear" w:color="auto" w:fill="auto"/>
            <w:vAlign w:val="center"/>
          </w:tcPr>
          <w:p w14:paraId="00B6852A">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#6</w:t>
            </w:r>
          </w:p>
        </w:tc>
        <w:tc>
          <w:tcPr>
            <w:tcW w:w="851" w:type="dxa"/>
            <w:vMerge w:val="continue"/>
            <w:vAlign w:val="center"/>
          </w:tcPr>
          <w:p w14:paraId="751F5A5F">
            <w:pPr>
              <w:jc w:val="center"/>
              <w:rPr>
                <w:rFonts w:ascii="宋体" w:hAnsi="宋体" w:cs="宋体"/>
                <w:color w:val="000000"/>
                <w:kern w:val="0"/>
                <w:szCs w:val="21"/>
              </w:rPr>
            </w:pPr>
          </w:p>
        </w:tc>
        <w:tc>
          <w:tcPr>
            <w:tcW w:w="1984" w:type="dxa"/>
            <w:vMerge w:val="continue"/>
            <w:vAlign w:val="center"/>
          </w:tcPr>
          <w:p w14:paraId="4EDADE9B">
            <w:pPr>
              <w:jc w:val="center"/>
              <w:rPr>
                <w:color w:val="000000"/>
                <w:kern w:val="0"/>
                <w:szCs w:val="21"/>
              </w:rPr>
            </w:pPr>
          </w:p>
        </w:tc>
        <w:tc>
          <w:tcPr>
            <w:tcW w:w="1560" w:type="dxa"/>
            <w:vMerge w:val="continue"/>
            <w:vAlign w:val="center"/>
          </w:tcPr>
          <w:p w14:paraId="3D9ABB7F">
            <w:pPr>
              <w:jc w:val="center"/>
              <w:rPr>
                <w:rFonts w:ascii="宋体" w:hAnsi="宋体" w:cs="宋体"/>
                <w:color w:val="000000"/>
                <w:kern w:val="0"/>
                <w:szCs w:val="21"/>
              </w:rPr>
            </w:pPr>
          </w:p>
        </w:tc>
        <w:tc>
          <w:tcPr>
            <w:tcW w:w="1134" w:type="dxa"/>
            <w:shd w:val="clear" w:color="auto" w:fill="auto"/>
            <w:vAlign w:val="center"/>
          </w:tcPr>
          <w:p w14:paraId="7417D325">
            <w:pPr>
              <w:jc w:val="center"/>
              <w:rPr>
                <w:color w:val="000000"/>
                <w:kern w:val="0"/>
                <w:szCs w:val="21"/>
              </w:rPr>
            </w:pPr>
            <w:r>
              <w:rPr>
                <w:color w:val="000000"/>
                <w:kern w:val="0"/>
                <w:szCs w:val="21"/>
              </w:rPr>
              <w:t>72.79</w:t>
            </w:r>
          </w:p>
        </w:tc>
        <w:tc>
          <w:tcPr>
            <w:tcW w:w="992" w:type="dxa"/>
            <w:shd w:val="clear" w:color="auto" w:fill="auto"/>
            <w:vAlign w:val="center"/>
          </w:tcPr>
          <w:p w14:paraId="510C34BE">
            <w:pPr>
              <w:jc w:val="center"/>
              <w:rPr>
                <w:color w:val="000000"/>
                <w:kern w:val="0"/>
                <w:szCs w:val="21"/>
              </w:rPr>
            </w:pPr>
            <w:r>
              <w:rPr>
                <w:color w:val="000000"/>
                <w:kern w:val="0"/>
                <w:szCs w:val="21"/>
              </w:rPr>
              <w:t>45.41</w:t>
            </w:r>
          </w:p>
        </w:tc>
        <w:tc>
          <w:tcPr>
            <w:tcW w:w="850" w:type="dxa"/>
            <w:shd w:val="clear" w:color="auto" w:fill="auto"/>
            <w:vAlign w:val="center"/>
          </w:tcPr>
          <w:p w14:paraId="5C503211">
            <w:pPr>
              <w:jc w:val="center"/>
              <w:rPr>
                <w:color w:val="000000"/>
                <w:kern w:val="0"/>
                <w:szCs w:val="21"/>
              </w:rPr>
            </w:pPr>
            <w:r>
              <w:rPr>
                <w:color w:val="000000"/>
                <w:kern w:val="0"/>
                <w:szCs w:val="21"/>
              </w:rPr>
              <w:t>1.2</w:t>
            </w:r>
          </w:p>
        </w:tc>
        <w:tc>
          <w:tcPr>
            <w:tcW w:w="851" w:type="dxa"/>
            <w:shd w:val="clear" w:color="auto" w:fill="auto"/>
            <w:vAlign w:val="center"/>
          </w:tcPr>
          <w:p w14:paraId="0B9D963D">
            <w:pPr>
              <w:jc w:val="center"/>
              <w:rPr>
                <w:color w:val="000000"/>
                <w:kern w:val="0"/>
                <w:szCs w:val="21"/>
              </w:rPr>
            </w:pPr>
            <w:r>
              <w:rPr>
                <w:color w:val="000000"/>
                <w:kern w:val="0"/>
                <w:szCs w:val="21"/>
              </w:rPr>
              <w:t>/</w:t>
            </w:r>
          </w:p>
        </w:tc>
        <w:tc>
          <w:tcPr>
            <w:tcW w:w="890" w:type="dxa"/>
            <w:shd w:val="clear" w:color="auto" w:fill="auto"/>
            <w:vAlign w:val="center"/>
          </w:tcPr>
          <w:p w14:paraId="37995064">
            <w:pPr>
              <w:jc w:val="center"/>
              <w:rPr>
                <w:color w:val="000000"/>
                <w:kern w:val="0"/>
                <w:szCs w:val="21"/>
              </w:rPr>
            </w:pPr>
            <w:r>
              <w:rPr>
                <w:color w:val="000000"/>
                <w:kern w:val="0"/>
                <w:szCs w:val="21"/>
              </w:rPr>
              <w:t>60</w:t>
            </w:r>
          </w:p>
        </w:tc>
        <w:tc>
          <w:tcPr>
            <w:tcW w:w="669" w:type="dxa"/>
            <w:vMerge w:val="continue"/>
            <w:vAlign w:val="center"/>
          </w:tcPr>
          <w:p w14:paraId="0FADE8F1">
            <w:pPr>
              <w:jc w:val="center"/>
              <w:rPr>
                <w:rFonts w:ascii="宋体" w:hAnsi="宋体" w:cs="宋体"/>
                <w:color w:val="000000"/>
                <w:kern w:val="0"/>
                <w:szCs w:val="21"/>
              </w:rPr>
            </w:pPr>
          </w:p>
        </w:tc>
        <w:tc>
          <w:tcPr>
            <w:tcW w:w="851" w:type="dxa"/>
            <w:shd w:val="clear" w:color="auto" w:fill="auto"/>
            <w:vAlign w:val="center"/>
          </w:tcPr>
          <w:p w14:paraId="1DCE2C83">
            <w:pPr>
              <w:jc w:val="center"/>
              <w:rPr>
                <w:color w:val="000000"/>
                <w:kern w:val="0"/>
                <w:szCs w:val="21"/>
              </w:rPr>
            </w:pPr>
            <w:r>
              <w:rPr>
                <w:color w:val="000000"/>
                <w:kern w:val="0"/>
                <w:szCs w:val="21"/>
              </w:rPr>
              <w:t>/</w:t>
            </w:r>
          </w:p>
        </w:tc>
        <w:tc>
          <w:tcPr>
            <w:tcW w:w="850" w:type="dxa"/>
            <w:shd w:val="clear" w:color="auto" w:fill="auto"/>
            <w:vAlign w:val="center"/>
          </w:tcPr>
          <w:p w14:paraId="098E5198">
            <w:pPr>
              <w:jc w:val="center"/>
              <w:rPr>
                <w:color w:val="000000"/>
                <w:kern w:val="0"/>
                <w:szCs w:val="21"/>
              </w:rPr>
            </w:pPr>
            <w:r>
              <w:rPr>
                <w:color w:val="000000"/>
                <w:kern w:val="0"/>
                <w:szCs w:val="21"/>
              </w:rPr>
              <w:t>60</w:t>
            </w:r>
          </w:p>
        </w:tc>
        <w:tc>
          <w:tcPr>
            <w:tcW w:w="770" w:type="dxa"/>
            <w:shd w:val="clear" w:color="auto" w:fill="auto"/>
            <w:vAlign w:val="center"/>
          </w:tcPr>
          <w:p w14:paraId="33DCE9F2">
            <w:pPr>
              <w:jc w:val="center"/>
              <w:rPr>
                <w:color w:val="000000"/>
                <w:kern w:val="0"/>
                <w:szCs w:val="21"/>
              </w:rPr>
            </w:pPr>
            <w:r>
              <w:rPr>
                <w:color w:val="000000"/>
                <w:kern w:val="0"/>
                <w:szCs w:val="21"/>
              </w:rPr>
              <w:t>1</w:t>
            </w:r>
          </w:p>
        </w:tc>
      </w:tr>
      <w:tr w14:paraId="506C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9634A59">
            <w:pPr>
              <w:jc w:val="center"/>
              <w:rPr>
                <w:color w:val="000000"/>
                <w:kern w:val="0"/>
                <w:szCs w:val="21"/>
              </w:rPr>
            </w:pPr>
            <w:r>
              <w:rPr>
                <w:color w:val="000000"/>
                <w:kern w:val="0"/>
                <w:szCs w:val="21"/>
              </w:rPr>
              <w:t>7</w:t>
            </w:r>
          </w:p>
        </w:tc>
        <w:tc>
          <w:tcPr>
            <w:tcW w:w="1292" w:type="dxa"/>
            <w:shd w:val="clear" w:color="auto" w:fill="auto"/>
            <w:vAlign w:val="center"/>
          </w:tcPr>
          <w:p w14:paraId="21283829">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#7</w:t>
            </w:r>
          </w:p>
        </w:tc>
        <w:tc>
          <w:tcPr>
            <w:tcW w:w="851" w:type="dxa"/>
            <w:vMerge w:val="continue"/>
            <w:vAlign w:val="center"/>
          </w:tcPr>
          <w:p w14:paraId="1EFF5217">
            <w:pPr>
              <w:jc w:val="center"/>
              <w:rPr>
                <w:rFonts w:ascii="宋体" w:hAnsi="宋体" w:cs="宋体"/>
                <w:color w:val="000000"/>
                <w:kern w:val="0"/>
                <w:szCs w:val="21"/>
              </w:rPr>
            </w:pPr>
          </w:p>
        </w:tc>
        <w:tc>
          <w:tcPr>
            <w:tcW w:w="1984" w:type="dxa"/>
            <w:vMerge w:val="continue"/>
            <w:vAlign w:val="center"/>
          </w:tcPr>
          <w:p w14:paraId="43FD03FD">
            <w:pPr>
              <w:jc w:val="center"/>
              <w:rPr>
                <w:color w:val="000000"/>
                <w:kern w:val="0"/>
                <w:szCs w:val="21"/>
              </w:rPr>
            </w:pPr>
          </w:p>
        </w:tc>
        <w:tc>
          <w:tcPr>
            <w:tcW w:w="1560" w:type="dxa"/>
            <w:vMerge w:val="continue"/>
            <w:vAlign w:val="center"/>
          </w:tcPr>
          <w:p w14:paraId="5C8ECD43">
            <w:pPr>
              <w:jc w:val="center"/>
              <w:rPr>
                <w:rFonts w:ascii="宋体" w:hAnsi="宋体" w:cs="宋体"/>
                <w:color w:val="000000"/>
                <w:kern w:val="0"/>
                <w:szCs w:val="21"/>
              </w:rPr>
            </w:pPr>
          </w:p>
        </w:tc>
        <w:tc>
          <w:tcPr>
            <w:tcW w:w="1134" w:type="dxa"/>
            <w:shd w:val="clear" w:color="auto" w:fill="auto"/>
            <w:vAlign w:val="center"/>
          </w:tcPr>
          <w:p w14:paraId="6D6560B3">
            <w:pPr>
              <w:jc w:val="center"/>
              <w:rPr>
                <w:color w:val="000000"/>
                <w:kern w:val="0"/>
                <w:szCs w:val="21"/>
              </w:rPr>
            </w:pPr>
            <w:r>
              <w:rPr>
                <w:color w:val="000000"/>
                <w:kern w:val="0"/>
                <w:szCs w:val="21"/>
              </w:rPr>
              <w:t>83.47</w:t>
            </w:r>
          </w:p>
        </w:tc>
        <w:tc>
          <w:tcPr>
            <w:tcW w:w="992" w:type="dxa"/>
            <w:shd w:val="clear" w:color="auto" w:fill="auto"/>
            <w:vAlign w:val="center"/>
          </w:tcPr>
          <w:p w14:paraId="653B994D">
            <w:pPr>
              <w:jc w:val="center"/>
              <w:rPr>
                <w:color w:val="000000"/>
                <w:kern w:val="0"/>
                <w:szCs w:val="21"/>
              </w:rPr>
            </w:pPr>
            <w:r>
              <w:rPr>
                <w:color w:val="000000"/>
                <w:kern w:val="0"/>
                <w:szCs w:val="21"/>
              </w:rPr>
              <w:t>110.52</w:t>
            </w:r>
          </w:p>
        </w:tc>
        <w:tc>
          <w:tcPr>
            <w:tcW w:w="850" w:type="dxa"/>
            <w:shd w:val="clear" w:color="auto" w:fill="auto"/>
            <w:vAlign w:val="center"/>
          </w:tcPr>
          <w:p w14:paraId="3A751CEE">
            <w:pPr>
              <w:jc w:val="center"/>
              <w:rPr>
                <w:color w:val="000000"/>
                <w:kern w:val="0"/>
                <w:szCs w:val="21"/>
              </w:rPr>
            </w:pPr>
            <w:r>
              <w:rPr>
                <w:color w:val="000000"/>
                <w:kern w:val="0"/>
                <w:szCs w:val="21"/>
              </w:rPr>
              <w:t>1.2</w:t>
            </w:r>
          </w:p>
        </w:tc>
        <w:tc>
          <w:tcPr>
            <w:tcW w:w="851" w:type="dxa"/>
            <w:shd w:val="clear" w:color="auto" w:fill="auto"/>
            <w:vAlign w:val="center"/>
          </w:tcPr>
          <w:p w14:paraId="39E396E6">
            <w:pPr>
              <w:jc w:val="center"/>
              <w:rPr>
                <w:color w:val="000000"/>
                <w:kern w:val="0"/>
                <w:szCs w:val="21"/>
              </w:rPr>
            </w:pPr>
            <w:r>
              <w:rPr>
                <w:color w:val="000000"/>
                <w:kern w:val="0"/>
                <w:szCs w:val="21"/>
              </w:rPr>
              <w:t>/</w:t>
            </w:r>
          </w:p>
        </w:tc>
        <w:tc>
          <w:tcPr>
            <w:tcW w:w="890" w:type="dxa"/>
            <w:shd w:val="clear" w:color="auto" w:fill="auto"/>
            <w:vAlign w:val="center"/>
          </w:tcPr>
          <w:p w14:paraId="6B20D77C">
            <w:pPr>
              <w:jc w:val="center"/>
              <w:rPr>
                <w:color w:val="000000"/>
                <w:kern w:val="0"/>
                <w:szCs w:val="21"/>
              </w:rPr>
            </w:pPr>
            <w:r>
              <w:rPr>
                <w:color w:val="000000"/>
                <w:kern w:val="0"/>
                <w:szCs w:val="21"/>
              </w:rPr>
              <w:t>60</w:t>
            </w:r>
          </w:p>
        </w:tc>
        <w:tc>
          <w:tcPr>
            <w:tcW w:w="669" w:type="dxa"/>
            <w:vMerge w:val="continue"/>
            <w:vAlign w:val="center"/>
          </w:tcPr>
          <w:p w14:paraId="65F79965">
            <w:pPr>
              <w:jc w:val="center"/>
              <w:rPr>
                <w:rFonts w:ascii="宋体" w:hAnsi="宋体" w:cs="宋体"/>
                <w:color w:val="000000"/>
                <w:kern w:val="0"/>
                <w:szCs w:val="21"/>
              </w:rPr>
            </w:pPr>
          </w:p>
        </w:tc>
        <w:tc>
          <w:tcPr>
            <w:tcW w:w="851" w:type="dxa"/>
            <w:shd w:val="clear" w:color="auto" w:fill="auto"/>
            <w:vAlign w:val="center"/>
          </w:tcPr>
          <w:p w14:paraId="66C4A084">
            <w:pPr>
              <w:jc w:val="center"/>
              <w:rPr>
                <w:color w:val="000000"/>
                <w:kern w:val="0"/>
                <w:szCs w:val="21"/>
              </w:rPr>
            </w:pPr>
            <w:r>
              <w:rPr>
                <w:color w:val="000000"/>
                <w:kern w:val="0"/>
                <w:szCs w:val="21"/>
              </w:rPr>
              <w:t>/</w:t>
            </w:r>
          </w:p>
        </w:tc>
        <w:tc>
          <w:tcPr>
            <w:tcW w:w="850" w:type="dxa"/>
            <w:shd w:val="clear" w:color="auto" w:fill="auto"/>
            <w:vAlign w:val="center"/>
          </w:tcPr>
          <w:p w14:paraId="204EC637">
            <w:pPr>
              <w:jc w:val="center"/>
              <w:rPr>
                <w:color w:val="000000"/>
                <w:kern w:val="0"/>
                <w:szCs w:val="21"/>
              </w:rPr>
            </w:pPr>
            <w:r>
              <w:rPr>
                <w:color w:val="000000"/>
                <w:kern w:val="0"/>
                <w:szCs w:val="21"/>
              </w:rPr>
              <w:t>60</w:t>
            </w:r>
          </w:p>
        </w:tc>
        <w:tc>
          <w:tcPr>
            <w:tcW w:w="770" w:type="dxa"/>
            <w:shd w:val="clear" w:color="auto" w:fill="auto"/>
            <w:vAlign w:val="center"/>
          </w:tcPr>
          <w:p w14:paraId="0916F2CB">
            <w:pPr>
              <w:jc w:val="center"/>
              <w:rPr>
                <w:color w:val="000000"/>
                <w:kern w:val="0"/>
                <w:szCs w:val="21"/>
              </w:rPr>
            </w:pPr>
            <w:r>
              <w:rPr>
                <w:color w:val="000000"/>
                <w:kern w:val="0"/>
                <w:szCs w:val="21"/>
              </w:rPr>
              <w:t>1</w:t>
            </w:r>
          </w:p>
        </w:tc>
      </w:tr>
      <w:tr w14:paraId="1262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00051888">
            <w:pPr>
              <w:jc w:val="center"/>
              <w:rPr>
                <w:color w:val="000000"/>
                <w:kern w:val="0"/>
                <w:szCs w:val="21"/>
              </w:rPr>
            </w:pPr>
            <w:r>
              <w:rPr>
                <w:color w:val="000000"/>
                <w:kern w:val="0"/>
                <w:szCs w:val="21"/>
              </w:rPr>
              <w:t>8</w:t>
            </w:r>
          </w:p>
        </w:tc>
        <w:tc>
          <w:tcPr>
            <w:tcW w:w="1292" w:type="dxa"/>
            <w:shd w:val="clear" w:color="auto" w:fill="auto"/>
            <w:vAlign w:val="center"/>
          </w:tcPr>
          <w:p w14:paraId="5E8AD533">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#8</w:t>
            </w:r>
          </w:p>
        </w:tc>
        <w:tc>
          <w:tcPr>
            <w:tcW w:w="851" w:type="dxa"/>
            <w:vMerge w:val="continue"/>
            <w:vAlign w:val="center"/>
          </w:tcPr>
          <w:p w14:paraId="0F21DD6C">
            <w:pPr>
              <w:jc w:val="center"/>
              <w:rPr>
                <w:rFonts w:ascii="宋体" w:hAnsi="宋体" w:cs="宋体"/>
                <w:color w:val="000000"/>
                <w:kern w:val="0"/>
                <w:szCs w:val="21"/>
              </w:rPr>
            </w:pPr>
          </w:p>
        </w:tc>
        <w:tc>
          <w:tcPr>
            <w:tcW w:w="1984" w:type="dxa"/>
            <w:vMerge w:val="continue"/>
            <w:vAlign w:val="center"/>
          </w:tcPr>
          <w:p w14:paraId="21383C0C">
            <w:pPr>
              <w:jc w:val="center"/>
              <w:rPr>
                <w:color w:val="000000"/>
                <w:kern w:val="0"/>
                <w:szCs w:val="21"/>
              </w:rPr>
            </w:pPr>
          </w:p>
        </w:tc>
        <w:tc>
          <w:tcPr>
            <w:tcW w:w="1560" w:type="dxa"/>
            <w:vMerge w:val="continue"/>
            <w:vAlign w:val="center"/>
          </w:tcPr>
          <w:p w14:paraId="05645A9A">
            <w:pPr>
              <w:jc w:val="center"/>
              <w:rPr>
                <w:rFonts w:ascii="宋体" w:hAnsi="宋体" w:cs="宋体"/>
                <w:color w:val="000000"/>
                <w:kern w:val="0"/>
                <w:szCs w:val="21"/>
              </w:rPr>
            </w:pPr>
          </w:p>
        </w:tc>
        <w:tc>
          <w:tcPr>
            <w:tcW w:w="1134" w:type="dxa"/>
            <w:shd w:val="clear" w:color="auto" w:fill="auto"/>
            <w:vAlign w:val="center"/>
          </w:tcPr>
          <w:p w14:paraId="75F468EF">
            <w:pPr>
              <w:jc w:val="center"/>
              <w:rPr>
                <w:color w:val="000000"/>
                <w:kern w:val="0"/>
                <w:szCs w:val="21"/>
              </w:rPr>
            </w:pPr>
            <w:r>
              <w:rPr>
                <w:color w:val="000000"/>
                <w:kern w:val="0"/>
                <w:szCs w:val="21"/>
              </w:rPr>
              <w:t>111.95</w:t>
            </w:r>
          </w:p>
        </w:tc>
        <w:tc>
          <w:tcPr>
            <w:tcW w:w="992" w:type="dxa"/>
            <w:shd w:val="clear" w:color="auto" w:fill="auto"/>
            <w:vAlign w:val="center"/>
          </w:tcPr>
          <w:p w14:paraId="3C6A925C">
            <w:pPr>
              <w:jc w:val="center"/>
              <w:rPr>
                <w:color w:val="000000"/>
                <w:kern w:val="0"/>
                <w:szCs w:val="21"/>
              </w:rPr>
            </w:pPr>
            <w:r>
              <w:rPr>
                <w:color w:val="000000"/>
                <w:kern w:val="0"/>
                <w:szCs w:val="21"/>
              </w:rPr>
              <w:t>162.91</w:t>
            </w:r>
          </w:p>
        </w:tc>
        <w:tc>
          <w:tcPr>
            <w:tcW w:w="850" w:type="dxa"/>
            <w:shd w:val="clear" w:color="auto" w:fill="auto"/>
            <w:vAlign w:val="center"/>
          </w:tcPr>
          <w:p w14:paraId="5F7D9EE0">
            <w:pPr>
              <w:jc w:val="center"/>
              <w:rPr>
                <w:color w:val="000000"/>
                <w:kern w:val="0"/>
                <w:szCs w:val="21"/>
              </w:rPr>
            </w:pPr>
            <w:r>
              <w:rPr>
                <w:color w:val="000000"/>
                <w:kern w:val="0"/>
                <w:szCs w:val="21"/>
              </w:rPr>
              <w:t>1.2</w:t>
            </w:r>
          </w:p>
        </w:tc>
        <w:tc>
          <w:tcPr>
            <w:tcW w:w="851" w:type="dxa"/>
            <w:shd w:val="clear" w:color="auto" w:fill="auto"/>
            <w:vAlign w:val="center"/>
          </w:tcPr>
          <w:p w14:paraId="7144CDD7">
            <w:pPr>
              <w:jc w:val="center"/>
              <w:rPr>
                <w:color w:val="000000"/>
                <w:kern w:val="0"/>
                <w:szCs w:val="21"/>
              </w:rPr>
            </w:pPr>
            <w:r>
              <w:rPr>
                <w:color w:val="000000"/>
                <w:kern w:val="0"/>
                <w:szCs w:val="21"/>
              </w:rPr>
              <w:t>/</w:t>
            </w:r>
          </w:p>
        </w:tc>
        <w:tc>
          <w:tcPr>
            <w:tcW w:w="890" w:type="dxa"/>
            <w:shd w:val="clear" w:color="auto" w:fill="auto"/>
            <w:vAlign w:val="center"/>
          </w:tcPr>
          <w:p w14:paraId="7799A278">
            <w:pPr>
              <w:jc w:val="center"/>
              <w:rPr>
                <w:color w:val="000000"/>
                <w:kern w:val="0"/>
                <w:szCs w:val="21"/>
              </w:rPr>
            </w:pPr>
            <w:r>
              <w:rPr>
                <w:color w:val="000000"/>
                <w:kern w:val="0"/>
                <w:szCs w:val="21"/>
              </w:rPr>
              <w:t>60</w:t>
            </w:r>
          </w:p>
        </w:tc>
        <w:tc>
          <w:tcPr>
            <w:tcW w:w="669" w:type="dxa"/>
            <w:vMerge w:val="continue"/>
            <w:vAlign w:val="center"/>
          </w:tcPr>
          <w:p w14:paraId="5BFACF0D">
            <w:pPr>
              <w:jc w:val="center"/>
              <w:rPr>
                <w:rFonts w:ascii="宋体" w:hAnsi="宋体" w:cs="宋体"/>
                <w:color w:val="000000"/>
                <w:kern w:val="0"/>
                <w:szCs w:val="21"/>
              </w:rPr>
            </w:pPr>
          </w:p>
        </w:tc>
        <w:tc>
          <w:tcPr>
            <w:tcW w:w="851" w:type="dxa"/>
            <w:shd w:val="clear" w:color="auto" w:fill="auto"/>
            <w:vAlign w:val="center"/>
          </w:tcPr>
          <w:p w14:paraId="3FE6107F">
            <w:pPr>
              <w:jc w:val="center"/>
              <w:rPr>
                <w:color w:val="000000"/>
                <w:kern w:val="0"/>
                <w:szCs w:val="21"/>
              </w:rPr>
            </w:pPr>
            <w:r>
              <w:rPr>
                <w:color w:val="000000"/>
                <w:kern w:val="0"/>
                <w:szCs w:val="21"/>
              </w:rPr>
              <w:t>/</w:t>
            </w:r>
          </w:p>
        </w:tc>
        <w:tc>
          <w:tcPr>
            <w:tcW w:w="850" w:type="dxa"/>
            <w:shd w:val="clear" w:color="auto" w:fill="auto"/>
            <w:vAlign w:val="center"/>
          </w:tcPr>
          <w:p w14:paraId="7813ABC1">
            <w:pPr>
              <w:jc w:val="center"/>
              <w:rPr>
                <w:color w:val="000000"/>
                <w:kern w:val="0"/>
                <w:szCs w:val="21"/>
              </w:rPr>
            </w:pPr>
            <w:r>
              <w:rPr>
                <w:color w:val="000000"/>
                <w:kern w:val="0"/>
                <w:szCs w:val="21"/>
              </w:rPr>
              <w:t>60</w:t>
            </w:r>
          </w:p>
        </w:tc>
        <w:tc>
          <w:tcPr>
            <w:tcW w:w="770" w:type="dxa"/>
            <w:shd w:val="clear" w:color="auto" w:fill="auto"/>
            <w:vAlign w:val="center"/>
          </w:tcPr>
          <w:p w14:paraId="25B1003A">
            <w:pPr>
              <w:jc w:val="center"/>
              <w:rPr>
                <w:color w:val="000000"/>
                <w:kern w:val="0"/>
                <w:szCs w:val="21"/>
              </w:rPr>
            </w:pPr>
            <w:r>
              <w:rPr>
                <w:color w:val="000000"/>
                <w:kern w:val="0"/>
                <w:szCs w:val="21"/>
              </w:rPr>
              <w:t>1</w:t>
            </w:r>
          </w:p>
        </w:tc>
      </w:tr>
      <w:tr w14:paraId="6E15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8EDE486">
            <w:pPr>
              <w:jc w:val="center"/>
              <w:rPr>
                <w:color w:val="000000"/>
                <w:kern w:val="0"/>
                <w:szCs w:val="21"/>
              </w:rPr>
            </w:pPr>
            <w:r>
              <w:rPr>
                <w:color w:val="000000"/>
                <w:kern w:val="0"/>
                <w:szCs w:val="21"/>
              </w:rPr>
              <w:t>9</w:t>
            </w:r>
          </w:p>
        </w:tc>
        <w:tc>
          <w:tcPr>
            <w:tcW w:w="1292" w:type="dxa"/>
            <w:shd w:val="clear" w:color="auto" w:fill="auto"/>
            <w:vAlign w:val="center"/>
          </w:tcPr>
          <w:p w14:paraId="0964C811">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#9</w:t>
            </w:r>
          </w:p>
        </w:tc>
        <w:tc>
          <w:tcPr>
            <w:tcW w:w="851" w:type="dxa"/>
            <w:vMerge w:val="continue"/>
            <w:vAlign w:val="center"/>
          </w:tcPr>
          <w:p w14:paraId="7A5BF06A">
            <w:pPr>
              <w:jc w:val="center"/>
              <w:rPr>
                <w:rFonts w:ascii="宋体" w:hAnsi="宋体" w:cs="宋体"/>
                <w:color w:val="000000"/>
                <w:kern w:val="0"/>
                <w:szCs w:val="21"/>
              </w:rPr>
            </w:pPr>
          </w:p>
        </w:tc>
        <w:tc>
          <w:tcPr>
            <w:tcW w:w="1984" w:type="dxa"/>
            <w:vMerge w:val="continue"/>
            <w:vAlign w:val="center"/>
          </w:tcPr>
          <w:p w14:paraId="34231436">
            <w:pPr>
              <w:jc w:val="center"/>
              <w:rPr>
                <w:color w:val="000000"/>
                <w:kern w:val="0"/>
                <w:szCs w:val="21"/>
              </w:rPr>
            </w:pPr>
          </w:p>
        </w:tc>
        <w:tc>
          <w:tcPr>
            <w:tcW w:w="1560" w:type="dxa"/>
            <w:vMerge w:val="continue"/>
            <w:vAlign w:val="center"/>
          </w:tcPr>
          <w:p w14:paraId="40CB1F47">
            <w:pPr>
              <w:jc w:val="center"/>
              <w:rPr>
                <w:rFonts w:ascii="宋体" w:hAnsi="宋体" w:cs="宋体"/>
                <w:color w:val="000000"/>
                <w:kern w:val="0"/>
                <w:szCs w:val="21"/>
              </w:rPr>
            </w:pPr>
          </w:p>
        </w:tc>
        <w:tc>
          <w:tcPr>
            <w:tcW w:w="1134" w:type="dxa"/>
            <w:shd w:val="clear" w:color="auto" w:fill="auto"/>
            <w:vAlign w:val="center"/>
          </w:tcPr>
          <w:p w14:paraId="4B7BC175">
            <w:pPr>
              <w:jc w:val="center"/>
              <w:rPr>
                <w:color w:val="000000"/>
                <w:kern w:val="0"/>
                <w:szCs w:val="21"/>
              </w:rPr>
            </w:pPr>
            <w:r>
              <w:rPr>
                <w:color w:val="000000"/>
                <w:kern w:val="0"/>
                <w:szCs w:val="21"/>
              </w:rPr>
              <w:t>5.64</w:t>
            </w:r>
          </w:p>
        </w:tc>
        <w:tc>
          <w:tcPr>
            <w:tcW w:w="992" w:type="dxa"/>
            <w:shd w:val="clear" w:color="auto" w:fill="auto"/>
            <w:vAlign w:val="center"/>
          </w:tcPr>
          <w:p w14:paraId="65B97719">
            <w:pPr>
              <w:jc w:val="center"/>
              <w:rPr>
                <w:color w:val="000000"/>
                <w:kern w:val="0"/>
                <w:szCs w:val="21"/>
              </w:rPr>
            </w:pPr>
            <w:r>
              <w:rPr>
                <w:color w:val="000000"/>
                <w:kern w:val="0"/>
                <w:szCs w:val="21"/>
              </w:rPr>
              <w:t>374</w:t>
            </w:r>
          </w:p>
        </w:tc>
        <w:tc>
          <w:tcPr>
            <w:tcW w:w="850" w:type="dxa"/>
            <w:shd w:val="clear" w:color="auto" w:fill="auto"/>
            <w:vAlign w:val="center"/>
          </w:tcPr>
          <w:p w14:paraId="171AF2DF">
            <w:pPr>
              <w:jc w:val="center"/>
              <w:rPr>
                <w:color w:val="000000"/>
                <w:kern w:val="0"/>
                <w:szCs w:val="21"/>
              </w:rPr>
            </w:pPr>
            <w:r>
              <w:rPr>
                <w:color w:val="000000"/>
                <w:kern w:val="0"/>
                <w:szCs w:val="21"/>
              </w:rPr>
              <w:t>1.2</w:t>
            </w:r>
          </w:p>
        </w:tc>
        <w:tc>
          <w:tcPr>
            <w:tcW w:w="851" w:type="dxa"/>
            <w:shd w:val="clear" w:color="auto" w:fill="auto"/>
            <w:vAlign w:val="center"/>
          </w:tcPr>
          <w:p w14:paraId="7FE400FE">
            <w:pPr>
              <w:jc w:val="center"/>
              <w:rPr>
                <w:color w:val="000000"/>
                <w:kern w:val="0"/>
                <w:szCs w:val="21"/>
              </w:rPr>
            </w:pPr>
            <w:r>
              <w:rPr>
                <w:color w:val="000000"/>
                <w:kern w:val="0"/>
                <w:szCs w:val="21"/>
              </w:rPr>
              <w:t>/</w:t>
            </w:r>
          </w:p>
        </w:tc>
        <w:tc>
          <w:tcPr>
            <w:tcW w:w="890" w:type="dxa"/>
            <w:shd w:val="clear" w:color="auto" w:fill="auto"/>
            <w:vAlign w:val="center"/>
          </w:tcPr>
          <w:p w14:paraId="69070203">
            <w:pPr>
              <w:jc w:val="center"/>
              <w:rPr>
                <w:color w:val="000000"/>
                <w:kern w:val="0"/>
                <w:szCs w:val="21"/>
              </w:rPr>
            </w:pPr>
            <w:r>
              <w:rPr>
                <w:color w:val="000000"/>
                <w:kern w:val="0"/>
                <w:szCs w:val="21"/>
              </w:rPr>
              <w:t>60</w:t>
            </w:r>
          </w:p>
        </w:tc>
        <w:tc>
          <w:tcPr>
            <w:tcW w:w="669" w:type="dxa"/>
            <w:vMerge w:val="continue"/>
            <w:vAlign w:val="center"/>
          </w:tcPr>
          <w:p w14:paraId="4CE5231A">
            <w:pPr>
              <w:jc w:val="center"/>
              <w:rPr>
                <w:rFonts w:ascii="宋体" w:hAnsi="宋体" w:cs="宋体"/>
                <w:color w:val="000000"/>
                <w:kern w:val="0"/>
                <w:szCs w:val="21"/>
              </w:rPr>
            </w:pPr>
          </w:p>
        </w:tc>
        <w:tc>
          <w:tcPr>
            <w:tcW w:w="851" w:type="dxa"/>
            <w:shd w:val="clear" w:color="auto" w:fill="auto"/>
            <w:vAlign w:val="center"/>
          </w:tcPr>
          <w:p w14:paraId="0D807982">
            <w:pPr>
              <w:jc w:val="center"/>
              <w:rPr>
                <w:color w:val="000000"/>
                <w:kern w:val="0"/>
                <w:szCs w:val="21"/>
              </w:rPr>
            </w:pPr>
            <w:r>
              <w:rPr>
                <w:color w:val="000000"/>
                <w:kern w:val="0"/>
                <w:szCs w:val="21"/>
              </w:rPr>
              <w:t>/</w:t>
            </w:r>
          </w:p>
        </w:tc>
        <w:tc>
          <w:tcPr>
            <w:tcW w:w="850" w:type="dxa"/>
            <w:shd w:val="clear" w:color="auto" w:fill="auto"/>
            <w:vAlign w:val="center"/>
          </w:tcPr>
          <w:p w14:paraId="14C23AA2">
            <w:pPr>
              <w:jc w:val="center"/>
              <w:rPr>
                <w:color w:val="000000"/>
                <w:kern w:val="0"/>
                <w:szCs w:val="21"/>
              </w:rPr>
            </w:pPr>
            <w:r>
              <w:rPr>
                <w:color w:val="000000"/>
                <w:kern w:val="0"/>
                <w:szCs w:val="21"/>
              </w:rPr>
              <w:t>60</w:t>
            </w:r>
          </w:p>
        </w:tc>
        <w:tc>
          <w:tcPr>
            <w:tcW w:w="770" w:type="dxa"/>
            <w:shd w:val="clear" w:color="auto" w:fill="auto"/>
            <w:vAlign w:val="center"/>
          </w:tcPr>
          <w:p w14:paraId="7A501A7C">
            <w:pPr>
              <w:jc w:val="center"/>
              <w:rPr>
                <w:color w:val="000000"/>
                <w:kern w:val="0"/>
                <w:szCs w:val="21"/>
              </w:rPr>
            </w:pPr>
            <w:r>
              <w:rPr>
                <w:color w:val="000000"/>
                <w:kern w:val="0"/>
                <w:szCs w:val="21"/>
              </w:rPr>
              <w:t>1</w:t>
            </w:r>
          </w:p>
        </w:tc>
      </w:tr>
      <w:tr w14:paraId="2A35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38706C3D">
            <w:pPr>
              <w:jc w:val="center"/>
              <w:rPr>
                <w:color w:val="000000"/>
                <w:kern w:val="0"/>
                <w:szCs w:val="21"/>
              </w:rPr>
            </w:pPr>
            <w:r>
              <w:rPr>
                <w:color w:val="000000"/>
                <w:kern w:val="0"/>
                <w:szCs w:val="21"/>
              </w:rPr>
              <w:t>10</w:t>
            </w:r>
          </w:p>
        </w:tc>
        <w:tc>
          <w:tcPr>
            <w:tcW w:w="1292" w:type="dxa"/>
            <w:shd w:val="clear" w:color="auto" w:fill="auto"/>
            <w:vAlign w:val="center"/>
          </w:tcPr>
          <w:p w14:paraId="4BF52F82">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#10</w:t>
            </w:r>
          </w:p>
        </w:tc>
        <w:tc>
          <w:tcPr>
            <w:tcW w:w="851" w:type="dxa"/>
            <w:vMerge w:val="continue"/>
            <w:vAlign w:val="center"/>
          </w:tcPr>
          <w:p w14:paraId="182C75C8">
            <w:pPr>
              <w:jc w:val="center"/>
              <w:rPr>
                <w:rFonts w:ascii="宋体" w:hAnsi="宋体" w:cs="宋体"/>
                <w:color w:val="000000"/>
                <w:kern w:val="0"/>
                <w:szCs w:val="21"/>
              </w:rPr>
            </w:pPr>
          </w:p>
        </w:tc>
        <w:tc>
          <w:tcPr>
            <w:tcW w:w="1984" w:type="dxa"/>
            <w:vMerge w:val="continue"/>
            <w:vAlign w:val="center"/>
          </w:tcPr>
          <w:p w14:paraId="7CAF2E2D">
            <w:pPr>
              <w:jc w:val="center"/>
              <w:rPr>
                <w:color w:val="000000"/>
                <w:kern w:val="0"/>
                <w:szCs w:val="21"/>
              </w:rPr>
            </w:pPr>
          </w:p>
        </w:tc>
        <w:tc>
          <w:tcPr>
            <w:tcW w:w="1560" w:type="dxa"/>
            <w:vMerge w:val="continue"/>
            <w:vAlign w:val="center"/>
          </w:tcPr>
          <w:p w14:paraId="678B8136">
            <w:pPr>
              <w:jc w:val="center"/>
              <w:rPr>
                <w:rFonts w:ascii="宋体" w:hAnsi="宋体" w:cs="宋体"/>
                <w:color w:val="000000"/>
                <w:kern w:val="0"/>
                <w:szCs w:val="21"/>
              </w:rPr>
            </w:pPr>
          </w:p>
        </w:tc>
        <w:tc>
          <w:tcPr>
            <w:tcW w:w="1134" w:type="dxa"/>
            <w:shd w:val="clear" w:color="auto" w:fill="auto"/>
            <w:vAlign w:val="center"/>
          </w:tcPr>
          <w:p w14:paraId="6DE8E109">
            <w:pPr>
              <w:jc w:val="center"/>
              <w:rPr>
                <w:color w:val="000000"/>
                <w:kern w:val="0"/>
                <w:szCs w:val="21"/>
              </w:rPr>
            </w:pPr>
            <w:r>
              <w:rPr>
                <w:color w:val="000000"/>
                <w:kern w:val="0"/>
                <w:szCs w:val="21"/>
              </w:rPr>
              <w:t>50.91</w:t>
            </w:r>
          </w:p>
        </w:tc>
        <w:tc>
          <w:tcPr>
            <w:tcW w:w="992" w:type="dxa"/>
            <w:shd w:val="clear" w:color="auto" w:fill="auto"/>
            <w:vAlign w:val="center"/>
          </w:tcPr>
          <w:p w14:paraId="1A0E101B">
            <w:pPr>
              <w:jc w:val="center"/>
              <w:rPr>
                <w:color w:val="000000"/>
                <w:kern w:val="0"/>
                <w:szCs w:val="21"/>
              </w:rPr>
            </w:pPr>
            <w:r>
              <w:rPr>
                <w:color w:val="000000"/>
                <w:kern w:val="0"/>
                <w:szCs w:val="21"/>
              </w:rPr>
              <w:t>329.24</w:t>
            </w:r>
          </w:p>
        </w:tc>
        <w:tc>
          <w:tcPr>
            <w:tcW w:w="850" w:type="dxa"/>
            <w:shd w:val="clear" w:color="auto" w:fill="auto"/>
            <w:vAlign w:val="center"/>
          </w:tcPr>
          <w:p w14:paraId="288C9CC6">
            <w:pPr>
              <w:jc w:val="center"/>
              <w:rPr>
                <w:color w:val="000000"/>
                <w:kern w:val="0"/>
                <w:szCs w:val="21"/>
              </w:rPr>
            </w:pPr>
            <w:r>
              <w:rPr>
                <w:color w:val="000000"/>
                <w:kern w:val="0"/>
                <w:szCs w:val="21"/>
              </w:rPr>
              <w:t>1.2</w:t>
            </w:r>
          </w:p>
        </w:tc>
        <w:tc>
          <w:tcPr>
            <w:tcW w:w="851" w:type="dxa"/>
            <w:shd w:val="clear" w:color="auto" w:fill="auto"/>
            <w:vAlign w:val="center"/>
          </w:tcPr>
          <w:p w14:paraId="35671DEA">
            <w:pPr>
              <w:jc w:val="center"/>
              <w:rPr>
                <w:color w:val="000000"/>
                <w:kern w:val="0"/>
                <w:szCs w:val="21"/>
              </w:rPr>
            </w:pPr>
            <w:r>
              <w:rPr>
                <w:color w:val="000000"/>
                <w:kern w:val="0"/>
                <w:szCs w:val="21"/>
              </w:rPr>
              <w:t>/</w:t>
            </w:r>
          </w:p>
        </w:tc>
        <w:tc>
          <w:tcPr>
            <w:tcW w:w="890" w:type="dxa"/>
            <w:shd w:val="clear" w:color="auto" w:fill="auto"/>
            <w:vAlign w:val="center"/>
          </w:tcPr>
          <w:p w14:paraId="4FF36682">
            <w:pPr>
              <w:jc w:val="center"/>
              <w:rPr>
                <w:color w:val="000000"/>
                <w:kern w:val="0"/>
                <w:szCs w:val="21"/>
              </w:rPr>
            </w:pPr>
            <w:r>
              <w:rPr>
                <w:color w:val="000000"/>
                <w:kern w:val="0"/>
                <w:szCs w:val="21"/>
              </w:rPr>
              <w:t>60</w:t>
            </w:r>
          </w:p>
        </w:tc>
        <w:tc>
          <w:tcPr>
            <w:tcW w:w="669" w:type="dxa"/>
            <w:vMerge w:val="continue"/>
            <w:vAlign w:val="center"/>
          </w:tcPr>
          <w:p w14:paraId="47B07486">
            <w:pPr>
              <w:jc w:val="center"/>
              <w:rPr>
                <w:rFonts w:ascii="宋体" w:hAnsi="宋体" w:cs="宋体"/>
                <w:color w:val="000000"/>
                <w:kern w:val="0"/>
                <w:szCs w:val="21"/>
              </w:rPr>
            </w:pPr>
          </w:p>
        </w:tc>
        <w:tc>
          <w:tcPr>
            <w:tcW w:w="851" w:type="dxa"/>
            <w:shd w:val="clear" w:color="auto" w:fill="auto"/>
            <w:vAlign w:val="center"/>
          </w:tcPr>
          <w:p w14:paraId="577316B7">
            <w:pPr>
              <w:jc w:val="center"/>
              <w:rPr>
                <w:color w:val="000000"/>
                <w:kern w:val="0"/>
                <w:szCs w:val="21"/>
              </w:rPr>
            </w:pPr>
            <w:r>
              <w:rPr>
                <w:color w:val="000000"/>
                <w:kern w:val="0"/>
                <w:szCs w:val="21"/>
              </w:rPr>
              <w:t>/</w:t>
            </w:r>
          </w:p>
        </w:tc>
        <w:tc>
          <w:tcPr>
            <w:tcW w:w="850" w:type="dxa"/>
            <w:shd w:val="clear" w:color="auto" w:fill="auto"/>
            <w:vAlign w:val="center"/>
          </w:tcPr>
          <w:p w14:paraId="753B42BE">
            <w:pPr>
              <w:jc w:val="center"/>
              <w:rPr>
                <w:color w:val="000000"/>
                <w:kern w:val="0"/>
                <w:szCs w:val="21"/>
              </w:rPr>
            </w:pPr>
            <w:r>
              <w:rPr>
                <w:color w:val="000000"/>
                <w:kern w:val="0"/>
                <w:szCs w:val="21"/>
              </w:rPr>
              <w:t>60</w:t>
            </w:r>
          </w:p>
        </w:tc>
        <w:tc>
          <w:tcPr>
            <w:tcW w:w="770" w:type="dxa"/>
            <w:shd w:val="clear" w:color="auto" w:fill="auto"/>
            <w:vAlign w:val="center"/>
          </w:tcPr>
          <w:p w14:paraId="7D7C722C">
            <w:pPr>
              <w:jc w:val="center"/>
              <w:rPr>
                <w:color w:val="000000"/>
                <w:kern w:val="0"/>
                <w:szCs w:val="21"/>
              </w:rPr>
            </w:pPr>
            <w:r>
              <w:rPr>
                <w:color w:val="000000"/>
                <w:kern w:val="0"/>
                <w:szCs w:val="21"/>
              </w:rPr>
              <w:t>1</w:t>
            </w:r>
          </w:p>
        </w:tc>
      </w:tr>
      <w:tr w14:paraId="03D0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00BECE3">
            <w:pPr>
              <w:jc w:val="center"/>
              <w:rPr>
                <w:color w:val="000000"/>
                <w:kern w:val="0"/>
                <w:szCs w:val="21"/>
              </w:rPr>
            </w:pPr>
            <w:r>
              <w:rPr>
                <w:color w:val="000000"/>
                <w:kern w:val="0"/>
                <w:szCs w:val="21"/>
              </w:rPr>
              <w:t>11</w:t>
            </w:r>
          </w:p>
        </w:tc>
        <w:tc>
          <w:tcPr>
            <w:tcW w:w="1292" w:type="dxa"/>
            <w:shd w:val="clear" w:color="auto" w:fill="auto"/>
            <w:vAlign w:val="center"/>
          </w:tcPr>
          <w:p w14:paraId="748BB2A7">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#11</w:t>
            </w:r>
          </w:p>
        </w:tc>
        <w:tc>
          <w:tcPr>
            <w:tcW w:w="851" w:type="dxa"/>
            <w:vMerge w:val="continue"/>
            <w:vAlign w:val="center"/>
          </w:tcPr>
          <w:p w14:paraId="2E51A9FA">
            <w:pPr>
              <w:jc w:val="center"/>
              <w:rPr>
                <w:rFonts w:ascii="宋体" w:hAnsi="宋体" w:cs="宋体"/>
                <w:color w:val="000000"/>
                <w:kern w:val="0"/>
                <w:szCs w:val="21"/>
              </w:rPr>
            </w:pPr>
          </w:p>
        </w:tc>
        <w:tc>
          <w:tcPr>
            <w:tcW w:w="1984" w:type="dxa"/>
            <w:vMerge w:val="continue"/>
            <w:vAlign w:val="center"/>
          </w:tcPr>
          <w:p w14:paraId="0DF2B8A9">
            <w:pPr>
              <w:jc w:val="center"/>
              <w:rPr>
                <w:color w:val="000000"/>
                <w:kern w:val="0"/>
                <w:szCs w:val="21"/>
              </w:rPr>
            </w:pPr>
          </w:p>
        </w:tc>
        <w:tc>
          <w:tcPr>
            <w:tcW w:w="1560" w:type="dxa"/>
            <w:vMerge w:val="continue"/>
            <w:vAlign w:val="center"/>
          </w:tcPr>
          <w:p w14:paraId="33A2E0E5">
            <w:pPr>
              <w:jc w:val="center"/>
              <w:rPr>
                <w:rFonts w:ascii="宋体" w:hAnsi="宋体" w:cs="宋体"/>
                <w:color w:val="000000"/>
                <w:kern w:val="0"/>
                <w:szCs w:val="21"/>
              </w:rPr>
            </w:pPr>
          </w:p>
        </w:tc>
        <w:tc>
          <w:tcPr>
            <w:tcW w:w="1134" w:type="dxa"/>
            <w:shd w:val="clear" w:color="auto" w:fill="auto"/>
            <w:vAlign w:val="center"/>
          </w:tcPr>
          <w:p w14:paraId="0A9A7F32">
            <w:pPr>
              <w:jc w:val="center"/>
              <w:rPr>
                <w:color w:val="000000"/>
                <w:kern w:val="0"/>
                <w:szCs w:val="21"/>
              </w:rPr>
            </w:pPr>
            <w:r>
              <w:rPr>
                <w:color w:val="000000"/>
                <w:kern w:val="0"/>
                <w:szCs w:val="21"/>
              </w:rPr>
              <w:t>95.17</w:t>
            </w:r>
          </w:p>
        </w:tc>
        <w:tc>
          <w:tcPr>
            <w:tcW w:w="992" w:type="dxa"/>
            <w:shd w:val="clear" w:color="auto" w:fill="auto"/>
            <w:vAlign w:val="center"/>
          </w:tcPr>
          <w:p w14:paraId="640E5802">
            <w:pPr>
              <w:jc w:val="center"/>
              <w:rPr>
                <w:color w:val="000000"/>
                <w:kern w:val="0"/>
                <w:szCs w:val="21"/>
              </w:rPr>
            </w:pPr>
            <w:r>
              <w:rPr>
                <w:color w:val="000000"/>
                <w:kern w:val="0"/>
                <w:szCs w:val="21"/>
              </w:rPr>
              <w:t>282.44</w:t>
            </w:r>
          </w:p>
        </w:tc>
        <w:tc>
          <w:tcPr>
            <w:tcW w:w="850" w:type="dxa"/>
            <w:shd w:val="clear" w:color="auto" w:fill="auto"/>
            <w:vAlign w:val="center"/>
          </w:tcPr>
          <w:p w14:paraId="1553436F">
            <w:pPr>
              <w:jc w:val="center"/>
              <w:rPr>
                <w:color w:val="000000"/>
                <w:kern w:val="0"/>
                <w:szCs w:val="21"/>
              </w:rPr>
            </w:pPr>
            <w:r>
              <w:rPr>
                <w:color w:val="000000"/>
                <w:kern w:val="0"/>
                <w:szCs w:val="21"/>
              </w:rPr>
              <w:t>1.2</w:t>
            </w:r>
          </w:p>
        </w:tc>
        <w:tc>
          <w:tcPr>
            <w:tcW w:w="851" w:type="dxa"/>
            <w:shd w:val="clear" w:color="auto" w:fill="auto"/>
            <w:vAlign w:val="center"/>
          </w:tcPr>
          <w:p w14:paraId="364EB2B8">
            <w:pPr>
              <w:jc w:val="center"/>
              <w:rPr>
                <w:color w:val="000000"/>
                <w:kern w:val="0"/>
                <w:szCs w:val="21"/>
              </w:rPr>
            </w:pPr>
            <w:r>
              <w:rPr>
                <w:color w:val="000000"/>
                <w:kern w:val="0"/>
                <w:szCs w:val="21"/>
              </w:rPr>
              <w:t>/</w:t>
            </w:r>
          </w:p>
        </w:tc>
        <w:tc>
          <w:tcPr>
            <w:tcW w:w="890" w:type="dxa"/>
            <w:shd w:val="clear" w:color="auto" w:fill="auto"/>
            <w:vAlign w:val="center"/>
          </w:tcPr>
          <w:p w14:paraId="042B1BEF">
            <w:pPr>
              <w:jc w:val="center"/>
              <w:rPr>
                <w:color w:val="000000"/>
                <w:kern w:val="0"/>
                <w:szCs w:val="21"/>
              </w:rPr>
            </w:pPr>
            <w:r>
              <w:rPr>
                <w:color w:val="000000"/>
                <w:kern w:val="0"/>
                <w:szCs w:val="21"/>
              </w:rPr>
              <w:t>60</w:t>
            </w:r>
          </w:p>
        </w:tc>
        <w:tc>
          <w:tcPr>
            <w:tcW w:w="669" w:type="dxa"/>
            <w:vMerge w:val="continue"/>
            <w:vAlign w:val="center"/>
          </w:tcPr>
          <w:p w14:paraId="04DB4032">
            <w:pPr>
              <w:jc w:val="center"/>
              <w:rPr>
                <w:rFonts w:ascii="宋体" w:hAnsi="宋体" w:cs="宋体"/>
                <w:color w:val="000000"/>
                <w:kern w:val="0"/>
                <w:szCs w:val="21"/>
              </w:rPr>
            </w:pPr>
          </w:p>
        </w:tc>
        <w:tc>
          <w:tcPr>
            <w:tcW w:w="851" w:type="dxa"/>
            <w:shd w:val="clear" w:color="auto" w:fill="auto"/>
            <w:vAlign w:val="center"/>
          </w:tcPr>
          <w:p w14:paraId="6A3A839F">
            <w:pPr>
              <w:jc w:val="center"/>
              <w:rPr>
                <w:color w:val="000000"/>
                <w:kern w:val="0"/>
                <w:szCs w:val="21"/>
              </w:rPr>
            </w:pPr>
            <w:r>
              <w:rPr>
                <w:color w:val="000000"/>
                <w:kern w:val="0"/>
                <w:szCs w:val="21"/>
              </w:rPr>
              <w:t>/</w:t>
            </w:r>
          </w:p>
        </w:tc>
        <w:tc>
          <w:tcPr>
            <w:tcW w:w="850" w:type="dxa"/>
            <w:shd w:val="clear" w:color="auto" w:fill="auto"/>
            <w:vAlign w:val="center"/>
          </w:tcPr>
          <w:p w14:paraId="61D85336">
            <w:pPr>
              <w:jc w:val="center"/>
              <w:rPr>
                <w:color w:val="000000"/>
                <w:kern w:val="0"/>
                <w:szCs w:val="21"/>
              </w:rPr>
            </w:pPr>
            <w:r>
              <w:rPr>
                <w:color w:val="000000"/>
                <w:kern w:val="0"/>
                <w:szCs w:val="21"/>
              </w:rPr>
              <w:t>60</w:t>
            </w:r>
          </w:p>
        </w:tc>
        <w:tc>
          <w:tcPr>
            <w:tcW w:w="770" w:type="dxa"/>
            <w:shd w:val="clear" w:color="auto" w:fill="auto"/>
            <w:vAlign w:val="center"/>
          </w:tcPr>
          <w:p w14:paraId="42FD2066">
            <w:pPr>
              <w:jc w:val="center"/>
              <w:rPr>
                <w:color w:val="000000"/>
                <w:kern w:val="0"/>
                <w:szCs w:val="21"/>
              </w:rPr>
            </w:pPr>
            <w:r>
              <w:rPr>
                <w:color w:val="000000"/>
                <w:kern w:val="0"/>
                <w:szCs w:val="21"/>
              </w:rPr>
              <w:t>1</w:t>
            </w:r>
          </w:p>
        </w:tc>
      </w:tr>
      <w:tr w14:paraId="0704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B0DFA25">
            <w:pPr>
              <w:jc w:val="center"/>
              <w:rPr>
                <w:color w:val="000000"/>
                <w:kern w:val="0"/>
                <w:szCs w:val="21"/>
              </w:rPr>
            </w:pPr>
            <w:r>
              <w:rPr>
                <w:color w:val="000000"/>
                <w:kern w:val="0"/>
                <w:szCs w:val="21"/>
              </w:rPr>
              <w:t>12</w:t>
            </w:r>
          </w:p>
        </w:tc>
        <w:tc>
          <w:tcPr>
            <w:tcW w:w="1292" w:type="dxa"/>
            <w:shd w:val="clear" w:color="auto" w:fill="auto"/>
            <w:vAlign w:val="center"/>
          </w:tcPr>
          <w:p w14:paraId="62425360">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#12</w:t>
            </w:r>
          </w:p>
        </w:tc>
        <w:tc>
          <w:tcPr>
            <w:tcW w:w="851" w:type="dxa"/>
            <w:vMerge w:val="continue"/>
            <w:vAlign w:val="center"/>
          </w:tcPr>
          <w:p w14:paraId="2585867C">
            <w:pPr>
              <w:jc w:val="center"/>
              <w:rPr>
                <w:rFonts w:ascii="宋体" w:hAnsi="宋体" w:cs="宋体"/>
                <w:color w:val="000000"/>
                <w:kern w:val="0"/>
                <w:szCs w:val="21"/>
              </w:rPr>
            </w:pPr>
          </w:p>
        </w:tc>
        <w:tc>
          <w:tcPr>
            <w:tcW w:w="1984" w:type="dxa"/>
            <w:vMerge w:val="continue"/>
            <w:vAlign w:val="center"/>
          </w:tcPr>
          <w:p w14:paraId="0E84F926">
            <w:pPr>
              <w:jc w:val="center"/>
              <w:rPr>
                <w:color w:val="000000"/>
                <w:kern w:val="0"/>
                <w:szCs w:val="21"/>
              </w:rPr>
            </w:pPr>
          </w:p>
        </w:tc>
        <w:tc>
          <w:tcPr>
            <w:tcW w:w="1560" w:type="dxa"/>
            <w:vMerge w:val="continue"/>
            <w:vAlign w:val="center"/>
          </w:tcPr>
          <w:p w14:paraId="1E56DFD4">
            <w:pPr>
              <w:jc w:val="center"/>
              <w:rPr>
                <w:rFonts w:ascii="宋体" w:hAnsi="宋体" w:cs="宋体"/>
                <w:color w:val="000000"/>
                <w:kern w:val="0"/>
                <w:szCs w:val="21"/>
              </w:rPr>
            </w:pPr>
          </w:p>
        </w:tc>
        <w:tc>
          <w:tcPr>
            <w:tcW w:w="1134" w:type="dxa"/>
            <w:shd w:val="clear" w:color="auto" w:fill="auto"/>
            <w:vAlign w:val="center"/>
          </w:tcPr>
          <w:p w14:paraId="05D58443">
            <w:pPr>
              <w:jc w:val="center"/>
              <w:rPr>
                <w:color w:val="000000"/>
                <w:kern w:val="0"/>
                <w:szCs w:val="21"/>
              </w:rPr>
            </w:pPr>
            <w:r>
              <w:rPr>
                <w:color w:val="000000"/>
                <w:kern w:val="0"/>
                <w:szCs w:val="21"/>
              </w:rPr>
              <w:t>131.79</w:t>
            </w:r>
          </w:p>
        </w:tc>
        <w:tc>
          <w:tcPr>
            <w:tcW w:w="992" w:type="dxa"/>
            <w:shd w:val="clear" w:color="auto" w:fill="auto"/>
            <w:vAlign w:val="center"/>
          </w:tcPr>
          <w:p w14:paraId="6B3FB350">
            <w:pPr>
              <w:jc w:val="center"/>
              <w:rPr>
                <w:color w:val="000000"/>
                <w:kern w:val="0"/>
                <w:szCs w:val="21"/>
              </w:rPr>
            </w:pPr>
            <w:r>
              <w:rPr>
                <w:color w:val="000000"/>
                <w:kern w:val="0"/>
                <w:szCs w:val="21"/>
              </w:rPr>
              <w:t>227</w:t>
            </w:r>
          </w:p>
        </w:tc>
        <w:tc>
          <w:tcPr>
            <w:tcW w:w="850" w:type="dxa"/>
            <w:shd w:val="clear" w:color="auto" w:fill="auto"/>
            <w:vAlign w:val="center"/>
          </w:tcPr>
          <w:p w14:paraId="05CEEE04">
            <w:pPr>
              <w:jc w:val="center"/>
              <w:rPr>
                <w:color w:val="000000"/>
                <w:kern w:val="0"/>
                <w:szCs w:val="21"/>
              </w:rPr>
            </w:pPr>
            <w:r>
              <w:rPr>
                <w:color w:val="000000"/>
                <w:kern w:val="0"/>
                <w:szCs w:val="21"/>
              </w:rPr>
              <w:t>1.2</w:t>
            </w:r>
          </w:p>
        </w:tc>
        <w:tc>
          <w:tcPr>
            <w:tcW w:w="851" w:type="dxa"/>
            <w:shd w:val="clear" w:color="auto" w:fill="auto"/>
            <w:vAlign w:val="center"/>
          </w:tcPr>
          <w:p w14:paraId="6E8DBCEF">
            <w:pPr>
              <w:jc w:val="center"/>
              <w:rPr>
                <w:color w:val="000000"/>
                <w:kern w:val="0"/>
                <w:szCs w:val="21"/>
              </w:rPr>
            </w:pPr>
            <w:r>
              <w:rPr>
                <w:color w:val="000000"/>
                <w:kern w:val="0"/>
                <w:szCs w:val="21"/>
              </w:rPr>
              <w:t>/</w:t>
            </w:r>
          </w:p>
        </w:tc>
        <w:tc>
          <w:tcPr>
            <w:tcW w:w="890" w:type="dxa"/>
            <w:shd w:val="clear" w:color="auto" w:fill="auto"/>
            <w:vAlign w:val="center"/>
          </w:tcPr>
          <w:p w14:paraId="4E96007A">
            <w:pPr>
              <w:jc w:val="center"/>
              <w:rPr>
                <w:color w:val="000000"/>
                <w:kern w:val="0"/>
                <w:szCs w:val="21"/>
              </w:rPr>
            </w:pPr>
            <w:r>
              <w:rPr>
                <w:color w:val="000000"/>
                <w:kern w:val="0"/>
                <w:szCs w:val="21"/>
              </w:rPr>
              <w:t>60</w:t>
            </w:r>
          </w:p>
        </w:tc>
        <w:tc>
          <w:tcPr>
            <w:tcW w:w="669" w:type="dxa"/>
            <w:vMerge w:val="continue"/>
            <w:vAlign w:val="center"/>
          </w:tcPr>
          <w:p w14:paraId="6B9D38A3">
            <w:pPr>
              <w:jc w:val="center"/>
              <w:rPr>
                <w:rFonts w:ascii="宋体" w:hAnsi="宋体" w:cs="宋体"/>
                <w:color w:val="000000"/>
                <w:kern w:val="0"/>
                <w:szCs w:val="21"/>
              </w:rPr>
            </w:pPr>
          </w:p>
        </w:tc>
        <w:tc>
          <w:tcPr>
            <w:tcW w:w="851" w:type="dxa"/>
            <w:shd w:val="clear" w:color="auto" w:fill="auto"/>
            <w:vAlign w:val="center"/>
          </w:tcPr>
          <w:p w14:paraId="0992A9C6">
            <w:pPr>
              <w:jc w:val="center"/>
              <w:rPr>
                <w:color w:val="000000"/>
                <w:kern w:val="0"/>
                <w:szCs w:val="21"/>
              </w:rPr>
            </w:pPr>
            <w:r>
              <w:rPr>
                <w:color w:val="000000"/>
                <w:kern w:val="0"/>
                <w:szCs w:val="21"/>
              </w:rPr>
              <w:t>/</w:t>
            </w:r>
          </w:p>
        </w:tc>
        <w:tc>
          <w:tcPr>
            <w:tcW w:w="850" w:type="dxa"/>
            <w:shd w:val="clear" w:color="auto" w:fill="auto"/>
            <w:vAlign w:val="center"/>
          </w:tcPr>
          <w:p w14:paraId="5A87BB6A">
            <w:pPr>
              <w:jc w:val="center"/>
              <w:rPr>
                <w:color w:val="000000"/>
                <w:kern w:val="0"/>
                <w:szCs w:val="21"/>
              </w:rPr>
            </w:pPr>
            <w:r>
              <w:rPr>
                <w:color w:val="000000"/>
                <w:kern w:val="0"/>
                <w:szCs w:val="21"/>
              </w:rPr>
              <w:t>60</w:t>
            </w:r>
          </w:p>
        </w:tc>
        <w:tc>
          <w:tcPr>
            <w:tcW w:w="770" w:type="dxa"/>
            <w:shd w:val="clear" w:color="auto" w:fill="auto"/>
            <w:vAlign w:val="center"/>
          </w:tcPr>
          <w:p w14:paraId="242DAAF9">
            <w:pPr>
              <w:jc w:val="center"/>
              <w:rPr>
                <w:color w:val="000000"/>
                <w:kern w:val="0"/>
                <w:szCs w:val="21"/>
              </w:rPr>
            </w:pPr>
            <w:r>
              <w:rPr>
                <w:color w:val="000000"/>
                <w:kern w:val="0"/>
                <w:szCs w:val="21"/>
              </w:rPr>
              <w:t>1</w:t>
            </w:r>
          </w:p>
        </w:tc>
      </w:tr>
      <w:tr w14:paraId="5232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237B94C">
            <w:pPr>
              <w:jc w:val="center"/>
              <w:rPr>
                <w:color w:val="000000"/>
                <w:kern w:val="0"/>
                <w:szCs w:val="21"/>
              </w:rPr>
            </w:pPr>
            <w:r>
              <w:rPr>
                <w:color w:val="000000"/>
                <w:kern w:val="0"/>
                <w:szCs w:val="21"/>
              </w:rPr>
              <w:t>13</w:t>
            </w:r>
          </w:p>
        </w:tc>
        <w:tc>
          <w:tcPr>
            <w:tcW w:w="1292" w:type="dxa"/>
            <w:shd w:val="clear" w:color="auto" w:fill="auto"/>
            <w:vAlign w:val="center"/>
          </w:tcPr>
          <w:p w14:paraId="0ECC8B54">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#13</w:t>
            </w:r>
          </w:p>
        </w:tc>
        <w:tc>
          <w:tcPr>
            <w:tcW w:w="851" w:type="dxa"/>
            <w:vMerge w:val="continue"/>
            <w:vAlign w:val="center"/>
          </w:tcPr>
          <w:p w14:paraId="5809CC83">
            <w:pPr>
              <w:jc w:val="center"/>
              <w:rPr>
                <w:rFonts w:ascii="宋体" w:hAnsi="宋体" w:cs="宋体"/>
                <w:color w:val="000000"/>
                <w:kern w:val="0"/>
                <w:szCs w:val="21"/>
              </w:rPr>
            </w:pPr>
          </w:p>
        </w:tc>
        <w:tc>
          <w:tcPr>
            <w:tcW w:w="1984" w:type="dxa"/>
            <w:vMerge w:val="continue"/>
            <w:vAlign w:val="center"/>
          </w:tcPr>
          <w:p w14:paraId="0AF7A3DF">
            <w:pPr>
              <w:jc w:val="center"/>
              <w:rPr>
                <w:color w:val="000000"/>
                <w:kern w:val="0"/>
                <w:szCs w:val="21"/>
              </w:rPr>
            </w:pPr>
          </w:p>
        </w:tc>
        <w:tc>
          <w:tcPr>
            <w:tcW w:w="1560" w:type="dxa"/>
            <w:vMerge w:val="continue"/>
            <w:vAlign w:val="center"/>
          </w:tcPr>
          <w:p w14:paraId="5956532A">
            <w:pPr>
              <w:jc w:val="center"/>
              <w:rPr>
                <w:rFonts w:ascii="宋体" w:hAnsi="宋体" w:cs="宋体"/>
                <w:color w:val="000000"/>
                <w:kern w:val="0"/>
                <w:szCs w:val="21"/>
              </w:rPr>
            </w:pPr>
          </w:p>
        </w:tc>
        <w:tc>
          <w:tcPr>
            <w:tcW w:w="1134" w:type="dxa"/>
            <w:shd w:val="clear" w:color="auto" w:fill="auto"/>
            <w:vAlign w:val="center"/>
          </w:tcPr>
          <w:p w14:paraId="5FC15217">
            <w:pPr>
              <w:jc w:val="center"/>
              <w:rPr>
                <w:color w:val="000000"/>
                <w:kern w:val="0"/>
                <w:szCs w:val="21"/>
              </w:rPr>
            </w:pPr>
            <w:r>
              <w:rPr>
                <w:color w:val="000000"/>
                <w:kern w:val="0"/>
                <w:szCs w:val="21"/>
              </w:rPr>
              <w:t>160.78</w:t>
            </w:r>
          </w:p>
        </w:tc>
        <w:tc>
          <w:tcPr>
            <w:tcW w:w="992" w:type="dxa"/>
            <w:shd w:val="clear" w:color="auto" w:fill="auto"/>
            <w:vAlign w:val="center"/>
          </w:tcPr>
          <w:p w14:paraId="16772269">
            <w:pPr>
              <w:jc w:val="center"/>
              <w:rPr>
                <w:color w:val="000000"/>
                <w:kern w:val="0"/>
                <w:szCs w:val="21"/>
              </w:rPr>
            </w:pPr>
            <w:r>
              <w:rPr>
                <w:color w:val="000000"/>
                <w:kern w:val="0"/>
                <w:szCs w:val="21"/>
              </w:rPr>
              <w:t>143.58</w:t>
            </w:r>
          </w:p>
        </w:tc>
        <w:tc>
          <w:tcPr>
            <w:tcW w:w="850" w:type="dxa"/>
            <w:shd w:val="clear" w:color="auto" w:fill="auto"/>
            <w:vAlign w:val="center"/>
          </w:tcPr>
          <w:p w14:paraId="736FD8C1">
            <w:pPr>
              <w:jc w:val="center"/>
              <w:rPr>
                <w:color w:val="000000"/>
                <w:kern w:val="0"/>
                <w:szCs w:val="21"/>
              </w:rPr>
            </w:pPr>
            <w:r>
              <w:rPr>
                <w:color w:val="000000"/>
                <w:kern w:val="0"/>
                <w:szCs w:val="21"/>
              </w:rPr>
              <w:t>1.2</w:t>
            </w:r>
          </w:p>
        </w:tc>
        <w:tc>
          <w:tcPr>
            <w:tcW w:w="851" w:type="dxa"/>
            <w:shd w:val="clear" w:color="auto" w:fill="auto"/>
            <w:vAlign w:val="center"/>
          </w:tcPr>
          <w:p w14:paraId="24DB5050">
            <w:pPr>
              <w:jc w:val="center"/>
              <w:rPr>
                <w:color w:val="000000"/>
                <w:kern w:val="0"/>
                <w:szCs w:val="21"/>
              </w:rPr>
            </w:pPr>
            <w:r>
              <w:rPr>
                <w:color w:val="000000"/>
                <w:kern w:val="0"/>
                <w:szCs w:val="21"/>
              </w:rPr>
              <w:t>/</w:t>
            </w:r>
          </w:p>
        </w:tc>
        <w:tc>
          <w:tcPr>
            <w:tcW w:w="890" w:type="dxa"/>
            <w:shd w:val="clear" w:color="auto" w:fill="auto"/>
            <w:vAlign w:val="center"/>
          </w:tcPr>
          <w:p w14:paraId="0CA4CBA2">
            <w:pPr>
              <w:jc w:val="center"/>
              <w:rPr>
                <w:color w:val="000000"/>
                <w:kern w:val="0"/>
                <w:szCs w:val="21"/>
              </w:rPr>
            </w:pPr>
            <w:r>
              <w:rPr>
                <w:color w:val="000000"/>
                <w:kern w:val="0"/>
                <w:szCs w:val="21"/>
              </w:rPr>
              <w:t>60</w:t>
            </w:r>
          </w:p>
        </w:tc>
        <w:tc>
          <w:tcPr>
            <w:tcW w:w="669" w:type="dxa"/>
            <w:vMerge w:val="continue"/>
            <w:vAlign w:val="center"/>
          </w:tcPr>
          <w:p w14:paraId="2924ACAB">
            <w:pPr>
              <w:jc w:val="center"/>
              <w:rPr>
                <w:rFonts w:ascii="宋体" w:hAnsi="宋体" w:cs="宋体"/>
                <w:color w:val="000000"/>
                <w:kern w:val="0"/>
                <w:szCs w:val="21"/>
              </w:rPr>
            </w:pPr>
          </w:p>
        </w:tc>
        <w:tc>
          <w:tcPr>
            <w:tcW w:w="851" w:type="dxa"/>
            <w:shd w:val="clear" w:color="auto" w:fill="auto"/>
            <w:vAlign w:val="center"/>
          </w:tcPr>
          <w:p w14:paraId="7F00D30A">
            <w:pPr>
              <w:jc w:val="center"/>
              <w:rPr>
                <w:color w:val="000000"/>
                <w:kern w:val="0"/>
                <w:szCs w:val="21"/>
              </w:rPr>
            </w:pPr>
            <w:r>
              <w:rPr>
                <w:color w:val="000000"/>
                <w:kern w:val="0"/>
                <w:szCs w:val="21"/>
              </w:rPr>
              <w:t>/</w:t>
            </w:r>
          </w:p>
        </w:tc>
        <w:tc>
          <w:tcPr>
            <w:tcW w:w="850" w:type="dxa"/>
            <w:shd w:val="clear" w:color="auto" w:fill="auto"/>
            <w:vAlign w:val="center"/>
          </w:tcPr>
          <w:p w14:paraId="5DAD2C4E">
            <w:pPr>
              <w:jc w:val="center"/>
              <w:rPr>
                <w:color w:val="000000"/>
                <w:kern w:val="0"/>
                <w:szCs w:val="21"/>
              </w:rPr>
            </w:pPr>
            <w:r>
              <w:rPr>
                <w:color w:val="000000"/>
                <w:kern w:val="0"/>
                <w:szCs w:val="21"/>
              </w:rPr>
              <w:t>60</w:t>
            </w:r>
          </w:p>
        </w:tc>
        <w:tc>
          <w:tcPr>
            <w:tcW w:w="770" w:type="dxa"/>
            <w:shd w:val="clear" w:color="auto" w:fill="auto"/>
            <w:vAlign w:val="center"/>
          </w:tcPr>
          <w:p w14:paraId="578987F9">
            <w:pPr>
              <w:jc w:val="center"/>
              <w:rPr>
                <w:color w:val="000000"/>
                <w:kern w:val="0"/>
                <w:szCs w:val="21"/>
              </w:rPr>
            </w:pPr>
            <w:r>
              <w:rPr>
                <w:color w:val="000000"/>
                <w:kern w:val="0"/>
                <w:szCs w:val="21"/>
              </w:rPr>
              <w:t>1</w:t>
            </w:r>
          </w:p>
        </w:tc>
      </w:tr>
      <w:tr w14:paraId="14D41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C0B0C94">
            <w:pPr>
              <w:jc w:val="center"/>
              <w:rPr>
                <w:color w:val="000000"/>
                <w:kern w:val="0"/>
                <w:szCs w:val="21"/>
              </w:rPr>
            </w:pPr>
            <w:r>
              <w:rPr>
                <w:color w:val="000000"/>
                <w:kern w:val="0"/>
                <w:szCs w:val="21"/>
              </w:rPr>
              <w:t>14</w:t>
            </w:r>
          </w:p>
        </w:tc>
        <w:tc>
          <w:tcPr>
            <w:tcW w:w="1292" w:type="dxa"/>
            <w:shd w:val="clear" w:color="auto" w:fill="auto"/>
            <w:vAlign w:val="center"/>
          </w:tcPr>
          <w:p w14:paraId="7EEE8758">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#14</w:t>
            </w:r>
          </w:p>
        </w:tc>
        <w:tc>
          <w:tcPr>
            <w:tcW w:w="851" w:type="dxa"/>
            <w:vMerge w:val="continue"/>
            <w:vAlign w:val="center"/>
          </w:tcPr>
          <w:p w14:paraId="1FCB254B">
            <w:pPr>
              <w:jc w:val="center"/>
              <w:rPr>
                <w:rFonts w:ascii="宋体" w:hAnsi="宋体" w:cs="宋体"/>
                <w:color w:val="000000"/>
                <w:kern w:val="0"/>
                <w:szCs w:val="21"/>
              </w:rPr>
            </w:pPr>
          </w:p>
        </w:tc>
        <w:tc>
          <w:tcPr>
            <w:tcW w:w="1984" w:type="dxa"/>
            <w:vMerge w:val="continue"/>
            <w:vAlign w:val="center"/>
          </w:tcPr>
          <w:p w14:paraId="4F627E7E">
            <w:pPr>
              <w:jc w:val="center"/>
              <w:rPr>
                <w:color w:val="000000"/>
                <w:kern w:val="0"/>
                <w:szCs w:val="21"/>
              </w:rPr>
            </w:pPr>
          </w:p>
        </w:tc>
        <w:tc>
          <w:tcPr>
            <w:tcW w:w="1560" w:type="dxa"/>
            <w:vMerge w:val="continue"/>
            <w:vAlign w:val="center"/>
          </w:tcPr>
          <w:p w14:paraId="109B9639">
            <w:pPr>
              <w:jc w:val="center"/>
              <w:rPr>
                <w:rFonts w:ascii="宋体" w:hAnsi="宋体" w:cs="宋体"/>
                <w:color w:val="000000"/>
                <w:kern w:val="0"/>
                <w:szCs w:val="21"/>
              </w:rPr>
            </w:pPr>
          </w:p>
        </w:tc>
        <w:tc>
          <w:tcPr>
            <w:tcW w:w="1134" w:type="dxa"/>
            <w:shd w:val="clear" w:color="auto" w:fill="auto"/>
            <w:vAlign w:val="center"/>
          </w:tcPr>
          <w:p w14:paraId="3BDEB225">
            <w:pPr>
              <w:jc w:val="center"/>
              <w:rPr>
                <w:color w:val="000000"/>
                <w:kern w:val="0"/>
                <w:szCs w:val="21"/>
              </w:rPr>
            </w:pPr>
            <w:r>
              <w:rPr>
                <w:color w:val="000000"/>
                <w:kern w:val="0"/>
                <w:szCs w:val="21"/>
              </w:rPr>
              <w:t>132.3</w:t>
            </w:r>
          </w:p>
        </w:tc>
        <w:tc>
          <w:tcPr>
            <w:tcW w:w="992" w:type="dxa"/>
            <w:shd w:val="clear" w:color="auto" w:fill="auto"/>
            <w:vAlign w:val="center"/>
          </w:tcPr>
          <w:p w14:paraId="6964FA13">
            <w:pPr>
              <w:jc w:val="center"/>
              <w:rPr>
                <w:color w:val="000000"/>
                <w:kern w:val="0"/>
                <w:szCs w:val="21"/>
              </w:rPr>
            </w:pPr>
            <w:r>
              <w:rPr>
                <w:color w:val="000000"/>
                <w:kern w:val="0"/>
                <w:szCs w:val="21"/>
              </w:rPr>
              <w:t>90.68</w:t>
            </w:r>
          </w:p>
        </w:tc>
        <w:tc>
          <w:tcPr>
            <w:tcW w:w="850" w:type="dxa"/>
            <w:shd w:val="clear" w:color="auto" w:fill="auto"/>
            <w:vAlign w:val="center"/>
          </w:tcPr>
          <w:p w14:paraId="61DA936D">
            <w:pPr>
              <w:jc w:val="center"/>
              <w:rPr>
                <w:color w:val="000000"/>
                <w:kern w:val="0"/>
                <w:szCs w:val="21"/>
              </w:rPr>
            </w:pPr>
            <w:r>
              <w:rPr>
                <w:color w:val="000000"/>
                <w:kern w:val="0"/>
                <w:szCs w:val="21"/>
              </w:rPr>
              <w:t>1.2</w:t>
            </w:r>
          </w:p>
        </w:tc>
        <w:tc>
          <w:tcPr>
            <w:tcW w:w="851" w:type="dxa"/>
            <w:shd w:val="clear" w:color="auto" w:fill="auto"/>
            <w:vAlign w:val="center"/>
          </w:tcPr>
          <w:p w14:paraId="1956A55A">
            <w:pPr>
              <w:jc w:val="center"/>
              <w:rPr>
                <w:color w:val="000000"/>
                <w:kern w:val="0"/>
                <w:szCs w:val="21"/>
              </w:rPr>
            </w:pPr>
            <w:r>
              <w:rPr>
                <w:color w:val="000000"/>
                <w:kern w:val="0"/>
                <w:szCs w:val="21"/>
              </w:rPr>
              <w:t>/</w:t>
            </w:r>
          </w:p>
        </w:tc>
        <w:tc>
          <w:tcPr>
            <w:tcW w:w="890" w:type="dxa"/>
            <w:shd w:val="clear" w:color="auto" w:fill="auto"/>
            <w:vAlign w:val="center"/>
          </w:tcPr>
          <w:p w14:paraId="2C121EA0">
            <w:pPr>
              <w:jc w:val="center"/>
              <w:rPr>
                <w:color w:val="000000"/>
                <w:kern w:val="0"/>
                <w:szCs w:val="21"/>
              </w:rPr>
            </w:pPr>
            <w:r>
              <w:rPr>
                <w:color w:val="000000"/>
                <w:kern w:val="0"/>
                <w:szCs w:val="21"/>
              </w:rPr>
              <w:t>60</w:t>
            </w:r>
          </w:p>
        </w:tc>
        <w:tc>
          <w:tcPr>
            <w:tcW w:w="669" w:type="dxa"/>
            <w:vMerge w:val="continue"/>
            <w:vAlign w:val="center"/>
          </w:tcPr>
          <w:p w14:paraId="4E2DAB0E">
            <w:pPr>
              <w:jc w:val="center"/>
              <w:rPr>
                <w:rFonts w:ascii="宋体" w:hAnsi="宋体" w:cs="宋体"/>
                <w:color w:val="000000"/>
                <w:kern w:val="0"/>
                <w:szCs w:val="21"/>
              </w:rPr>
            </w:pPr>
          </w:p>
        </w:tc>
        <w:tc>
          <w:tcPr>
            <w:tcW w:w="851" w:type="dxa"/>
            <w:shd w:val="clear" w:color="auto" w:fill="auto"/>
            <w:vAlign w:val="center"/>
          </w:tcPr>
          <w:p w14:paraId="49080423">
            <w:pPr>
              <w:jc w:val="center"/>
              <w:rPr>
                <w:color w:val="000000"/>
                <w:kern w:val="0"/>
                <w:szCs w:val="21"/>
              </w:rPr>
            </w:pPr>
            <w:r>
              <w:rPr>
                <w:color w:val="000000"/>
                <w:kern w:val="0"/>
                <w:szCs w:val="21"/>
              </w:rPr>
              <w:t>/</w:t>
            </w:r>
          </w:p>
        </w:tc>
        <w:tc>
          <w:tcPr>
            <w:tcW w:w="850" w:type="dxa"/>
            <w:shd w:val="clear" w:color="auto" w:fill="auto"/>
            <w:vAlign w:val="center"/>
          </w:tcPr>
          <w:p w14:paraId="53939A91">
            <w:pPr>
              <w:jc w:val="center"/>
              <w:rPr>
                <w:color w:val="000000"/>
                <w:kern w:val="0"/>
                <w:szCs w:val="21"/>
              </w:rPr>
            </w:pPr>
            <w:r>
              <w:rPr>
                <w:color w:val="000000"/>
                <w:kern w:val="0"/>
                <w:szCs w:val="21"/>
              </w:rPr>
              <w:t>60</w:t>
            </w:r>
          </w:p>
        </w:tc>
        <w:tc>
          <w:tcPr>
            <w:tcW w:w="770" w:type="dxa"/>
            <w:shd w:val="clear" w:color="auto" w:fill="auto"/>
            <w:vAlign w:val="center"/>
          </w:tcPr>
          <w:p w14:paraId="609D7D12">
            <w:pPr>
              <w:jc w:val="center"/>
              <w:rPr>
                <w:color w:val="000000"/>
                <w:kern w:val="0"/>
                <w:szCs w:val="21"/>
              </w:rPr>
            </w:pPr>
            <w:r>
              <w:rPr>
                <w:color w:val="000000"/>
                <w:kern w:val="0"/>
                <w:szCs w:val="21"/>
              </w:rPr>
              <w:t>1</w:t>
            </w:r>
          </w:p>
        </w:tc>
      </w:tr>
      <w:tr w14:paraId="3BAA2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7A6804B">
            <w:pPr>
              <w:jc w:val="center"/>
              <w:rPr>
                <w:color w:val="000000"/>
                <w:kern w:val="0"/>
                <w:szCs w:val="21"/>
              </w:rPr>
            </w:pPr>
            <w:r>
              <w:rPr>
                <w:color w:val="000000"/>
                <w:kern w:val="0"/>
                <w:szCs w:val="21"/>
              </w:rPr>
              <w:t>15</w:t>
            </w:r>
          </w:p>
        </w:tc>
        <w:tc>
          <w:tcPr>
            <w:tcW w:w="1292" w:type="dxa"/>
            <w:shd w:val="clear" w:color="auto" w:fill="auto"/>
            <w:vAlign w:val="center"/>
          </w:tcPr>
          <w:p w14:paraId="399482A1">
            <w:pPr>
              <w:jc w:val="center"/>
              <w:rPr>
                <w:rFonts w:ascii="宋体" w:hAnsi="宋体" w:cs="宋体"/>
                <w:color w:val="000000"/>
                <w:kern w:val="0"/>
                <w:szCs w:val="21"/>
              </w:rPr>
            </w:pPr>
            <w:r>
              <w:rPr>
                <w:rFonts w:hint="eastAsia" w:ascii="宋体" w:hAnsi="宋体" w:cs="宋体"/>
                <w:color w:val="000000"/>
                <w:kern w:val="0"/>
                <w:szCs w:val="21"/>
              </w:rPr>
              <w:t>百花牛舍</w:t>
            </w:r>
            <w:r>
              <w:rPr>
                <w:color w:val="000000"/>
                <w:kern w:val="0"/>
                <w:szCs w:val="21"/>
              </w:rPr>
              <w:t>#15</w:t>
            </w:r>
          </w:p>
        </w:tc>
        <w:tc>
          <w:tcPr>
            <w:tcW w:w="851" w:type="dxa"/>
            <w:vMerge w:val="continue"/>
            <w:vAlign w:val="center"/>
          </w:tcPr>
          <w:p w14:paraId="11643BF9">
            <w:pPr>
              <w:jc w:val="center"/>
              <w:rPr>
                <w:rFonts w:ascii="宋体" w:hAnsi="宋体" w:cs="宋体"/>
                <w:color w:val="000000"/>
                <w:kern w:val="0"/>
                <w:szCs w:val="21"/>
              </w:rPr>
            </w:pPr>
          </w:p>
        </w:tc>
        <w:tc>
          <w:tcPr>
            <w:tcW w:w="1984" w:type="dxa"/>
            <w:vMerge w:val="continue"/>
            <w:vAlign w:val="center"/>
          </w:tcPr>
          <w:p w14:paraId="4D5D7EFF">
            <w:pPr>
              <w:jc w:val="center"/>
              <w:rPr>
                <w:color w:val="000000"/>
                <w:kern w:val="0"/>
                <w:szCs w:val="21"/>
              </w:rPr>
            </w:pPr>
          </w:p>
        </w:tc>
        <w:tc>
          <w:tcPr>
            <w:tcW w:w="1560" w:type="dxa"/>
            <w:vMerge w:val="continue"/>
            <w:vAlign w:val="center"/>
          </w:tcPr>
          <w:p w14:paraId="16DDD7AD">
            <w:pPr>
              <w:jc w:val="center"/>
              <w:rPr>
                <w:rFonts w:ascii="宋体" w:hAnsi="宋体" w:cs="宋体"/>
                <w:color w:val="000000"/>
                <w:kern w:val="0"/>
                <w:szCs w:val="21"/>
              </w:rPr>
            </w:pPr>
          </w:p>
        </w:tc>
        <w:tc>
          <w:tcPr>
            <w:tcW w:w="1134" w:type="dxa"/>
            <w:shd w:val="clear" w:color="auto" w:fill="auto"/>
            <w:vAlign w:val="center"/>
          </w:tcPr>
          <w:p w14:paraId="57A7D5EC">
            <w:pPr>
              <w:jc w:val="center"/>
              <w:rPr>
                <w:color w:val="000000"/>
                <w:kern w:val="0"/>
                <w:szCs w:val="21"/>
              </w:rPr>
            </w:pPr>
            <w:r>
              <w:rPr>
                <w:color w:val="000000"/>
                <w:kern w:val="0"/>
                <w:szCs w:val="21"/>
              </w:rPr>
              <w:t>127.38</w:t>
            </w:r>
          </w:p>
        </w:tc>
        <w:tc>
          <w:tcPr>
            <w:tcW w:w="992" w:type="dxa"/>
            <w:shd w:val="clear" w:color="auto" w:fill="auto"/>
            <w:vAlign w:val="center"/>
          </w:tcPr>
          <w:p w14:paraId="5CC6A2E9">
            <w:pPr>
              <w:jc w:val="center"/>
              <w:rPr>
                <w:color w:val="000000"/>
                <w:kern w:val="0"/>
                <w:szCs w:val="21"/>
              </w:rPr>
            </w:pPr>
            <w:r>
              <w:rPr>
                <w:color w:val="000000"/>
                <w:kern w:val="0"/>
                <w:szCs w:val="21"/>
              </w:rPr>
              <w:t>32.69</w:t>
            </w:r>
          </w:p>
        </w:tc>
        <w:tc>
          <w:tcPr>
            <w:tcW w:w="850" w:type="dxa"/>
            <w:shd w:val="clear" w:color="auto" w:fill="auto"/>
            <w:vAlign w:val="center"/>
          </w:tcPr>
          <w:p w14:paraId="4B64BF3A">
            <w:pPr>
              <w:jc w:val="center"/>
              <w:rPr>
                <w:color w:val="000000"/>
                <w:kern w:val="0"/>
                <w:szCs w:val="21"/>
              </w:rPr>
            </w:pPr>
            <w:r>
              <w:rPr>
                <w:color w:val="000000"/>
                <w:kern w:val="0"/>
                <w:szCs w:val="21"/>
              </w:rPr>
              <w:t>1.2</w:t>
            </w:r>
          </w:p>
        </w:tc>
        <w:tc>
          <w:tcPr>
            <w:tcW w:w="851" w:type="dxa"/>
            <w:shd w:val="clear" w:color="auto" w:fill="auto"/>
            <w:vAlign w:val="center"/>
          </w:tcPr>
          <w:p w14:paraId="7308F433">
            <w:pPr>
              <w:jc w:val="center"/>
              <w:rPr>
                <w:color w:val="000000"/>
                <w:kern w:val="0"/>
                <w:szCs w:val="21"/>
              </w:rPr>
            </w:pPr>
            <w:r>
              <w:rPr>
                <w:color w:val="000000"/>
                <w:kern w:val="0"/>
                <w:szCs w:val="21"/>
              </w:rPr>
              <w:t>/</w:t>
            </w:r>
          </w:p>
        </w:tc>
        <w:tc>
          <w:tcPr>
            <w:tcW w:w="890" w:type="dxa"/>
            <w:shd w:val="clear" w:color="auto" w:fill="auto"/>
            <w:vAlign w:val="center"/>
          </w:tcPr>
          <w:p w14:paraId="398D4A74">
            <w:pPr>
              <w:jc w:val="center"/>
              <w:rPr>
                <w:color w:val="000000"/>
                <w:kern w:val="0"/>
                <w:szCs w:val="21"/>
              </w:rPr>
            </w:pPr>
            <w:r>
              <w:rPr>
                <w:color w:val="000000"/>
                <w:kern w:val="0"/>
                <w:szCs w:val="21"/>
              </w:rPr>
              <w:t>60</w:t>
            </w:r>
          </w:p>
        </w:tc>
        <w:tc>
          <w:tcPr>
            <w:tcW w:w="669" w:type="dxa"/>
            <w:vMerge w:val="continue"/>
            <w:vAlign w:val="center"/>
          </w:tcPr>
          <w:p w14:paraId="7C6E1CC7">
            <w:pPr>
              <w:jc w:val="center"/>
              <w:rPr>
                <w:rFonts w:ascii="宋体" w:hAnsi="宋体" w:cs="宋体"/>
                <w:color w:val="000000"/>
                <w:kern w:val="0"/>
                <w:szCs w:val="21"/>
              </w:rPr>
            </w:pPr>
          </w:p>
        </w:tc>
        <w:tc>
          <w:tcPr>
            <w:tcW w:w="851" w:type="dxa"/>
            <w:shd w:val="clear" w:color="auto" w:fill="auto"/>
            <w:vAlign w:val="center"/>
          </w:tcPr>
          <w:p w14:paraId="2752F9ED">
            <w:pPr>
              <w:jc w:val="center"/>
              <w:rPr>
                <w:color w:val="000000"/>
                <w:kern w:val="0"/>
                <w:szCs w:val="21"/>
              </w:rPr>
            </w:pPr>
            <w:r>
              <w:rPr>
                <w:color w:val="000000"/>
                <w:kern w:val="0"/>
                <w:szCs w:val="21"/>
              </w:rPr>
              <w:t>/</w:t>
            </w:r>
          </w:p>
        </w:tc>
        <w:tc>
          <w:tcPr>
            <w:tcW w:w="850" w:type="dxa"/>
            <w:shd w:val="clear" w:color="auto" w:fill="auto"/>
            <w:vAlign w:val="center"/>
          </w:tcPr>
          <w:p w14:paraId="354AC7D9">
            <w:pPr>
              <w:jc w:val="center"/>
              <w:rPr>
                <w:color w:val="000000"/>
                <w:kern w:val="0"/>
                <w:szCs w:val="21"/>
              </w:rPr>
            </w:pPr>
            <w:r>
              <w:rPr>
                <w:color w:val="000000"/>
                <w:kern w:val="0"/>
                <w:szCs w:val="21"/>
              </w:rPr>
              <w:t>60</w:t>
            </w:r>
          </w:p>
        </w:tc>
        <w:tc>
          <w:tcPr>
            <w:tcW w:w="770" w:type="dxa"/>
            <w:shd w:val="clear" w:color="auto" w:fill="auto"/>
            <w:vAlign w:val="center"/>
          </w:tcPr>
          <w:p w14:paraId="10E1A601">
            <w:pPr>
              <w:jc w:val="center"/>
              <w:rPr>
                <w:color w:val="000000"/>
                <w:kern w:val="0"/>
                <w:szCs w:val="21"/>
              </w:rPr>
            </w:pPr>
            <w:r>
              <w:rPr>
                <w:color w:val="000000"/>
                <w:kern w:val="0"/>
                <w:szCs w:val="21"/>
              </w:rPr>
              <w:t>1</w:t>
            </w:r>
          </w:p>
        </w:tc>
      </w:tr>
      <w:tr w14:paraId="7F3B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09207C48">
            <w:pPr>
              <w:jc w:val="center"/>
              <w:rPr>
                <w:color w:val="000000"/>
                <w:kern w:val="0"/>
                <w:szCs w:val="21"/>
              </w:rPr>
            </w:pPr>
            <w:r>
              <w:rPr>
                <w:color w:val="000000"/>
                <w:kern w:val="0"/>
                <w:szCs w:val="21"/>
              </w:rPr>
              <w:t>16</w:t>
            </w:r>
          </w:p>
        </w:tc>
        <w:tc>
          <w:tcPr>
            <w:tcW w:w="1292" w:type="dxa"/>
            <w:vMerge w:val="restart"/>
            <w:shd w:val="clear" w:color="auto" w:fill="auto"/>
            <w:vAlign w:val="center"/>
          </w:tcPr>
          <w:p w14:paraId="3E4C9206">
            <w:pPr>
              <w:jc w:val="center"/>
              <w:rPr>
                <w:rFonts w:ascii="宋体" w:hAnsi="宋体" w:cs="宋体"/>
                <w:color w:val="000000"/>
                <w:kern w:val="0"/>
                <w:szCs w:val="21"/>
              </w:rPr>
            </w:pPr>
            <w:r>
              <w:rPr>
                <w:rFonts w:hint="eastAsia" w:ascii="宋体" w:hAnsi="宋体" w:cs="宋体"/>
                <w:color w:val="000000"/>
                <w:kern w:val="0"/>
                <w:szCs w:val="21"/>
              </w:rPr>
              <w:t>饲料加工厂房</w:t>
            </w:r>
          </w:p>
        </w:tc>
        <w:tc>
          <w:tcPr>
            <w:tcW w:w="851" w:type="dxa"/>
            <w:shd w:val="clear" w:color="auto" w:fill="auto"/>
            <w:vAlign w:val="center"/>
          </w:tcPr>
          <w:p w14:paraId="1A8ACF0B">
            <w:pPr>
              <w:jc w:val="center"/>
              <w:rPr>
                <w:rFonts w:ascii="宋体" w:hAnsi="宋体" w:cs="宋体"/>
                <w:color w:val="000000"/>
                <w:kern w:val="0"/>
                <w:szCs w:val="21"/>
              </w:rPr>
            </w:pPr>
            <w:r>
              <w:rPr>
                <w:rFonts w:hint="eastAsia" w:ascii="宋体" w:hAnsi="宋体" w:cs="宋体"/>
                <w:color w:val="000000"/>
                <w:kern w:val="0"/>
                <w:szCs w:val="21"/>
              </w:rPr>
              <w:t>精料加工设备#1</w:t>
            </w:r>
          </w:p>
        </w:tc>
        <w:tc>
          <w:tcPr>
            <w:tcW w:w="1984" w:type="dxa"/>
            <w:shd w:val="clear" w:color="auto" w:fill="auto"/>
            <w:vAlign w:val="center"/>
          </w:tcPr>
          <w:p w14:paraId="5A358AD2">
            <w:pPr>
              <w:jc w:val="center"/>
              <w:rPr>
                <w:color w:val="000000"/>
                <w:kern w:val="0"/>
                <w:szCs w:val="21"/>
              </w:rPr>
            </w:pPr>
            <w:r>
              <w:rPr>
                <w:color w:val="000000"/>
                <w:kern w:val="0"/>
                <w:szCs w:val="21"/>
              </w:rPr>
              <w:t>85</w:t>
            </w:r>
          </w:p>
        </w:tc>
        <w:tc>
          <w:tcPr>
            <w:tcW w:w="1560" w:type="dxa"/>
            <w:vMerge w:val="restart"/>
            <w:shd w:val="clear" w:color="auto" w:fill="auto"/>
            <w:vAlign w:val="center"/>
          </w:tcPr>
          <w:p w14:paraId="531B9279">
            <w:pPr>
              <w:jc w:val="center"/>
              <w:rPr>
                <w:rFonts w:ascii="宋体" w:hAnsi="宋体" w:cs="宋体"/>
                <w:color w:val="000000"/>
                <w:kern w:val="0"/>
                <w:szCs w:val="21"/>
              </w:rPr>
            </w:pPr>
            <w:r>
              <w:rPr>
                <w:rFonts w:hint="eastAsia" w:ascii="宋体" w:hAnsi="宋体" w:cs="宋体"/>
                <w:color w:val="000000"/>
                <w:kern w:val="0"/>
                <w:szCs w:val="21"/>
              </w:rPr>
              <w:t>选用低噪声设备、基础减震、厂房隔声</w:t>
            </w:r>
          </w:p>
        </w:tc>
        <w:tc>
          <w:tcPr>
            <w:tcW w:w="1134" w:type="dxa"/>
            <w:shd w:val="clear" w:color="auto" w:fill="auto"/>
            <w:vAlign w:val="center"/>
          </w:tcPr>
          <w:p w14:paraId="63CF1348">
            <w:pPr>
              <w:jc w:val="center"/>
              <w:rPr>
                <w:color w:val="000000"/>
                <w:kern w:val="0"/>
                <w:szCs w:val="21"/>
              </w:rPr>
            </w:pPr>
            <w:r>
              <w:rPr>
                <w:color w:val="000000"/>
                <w:kern w:val="0"/>
                <w:szCs w:val="21"/>
              </w:rPr>
              <w:t>-5.18</w:t>
            </w:r>
          </w:p>
        </w:tc>
        <w:tc>
          <w:tcPr>
            <w:tcW w:w="992" w:type="dxa"/>
            <w:shd w:val="clear" w:color="auto" w:fill="auto"/>
            <w:vAlign w:val="center"/>
          </w:tcPr>
          <w:p w14:paraId="1A239D81">
            <w:pPr>
              <w:jc w:val="center"/>
              <w:rPr>
                <w:color w:val="000000"/>
                <w:kern w:val="0"/>
                <w:szCs w:val="21"/>
              </w:rPr>
            </w:pPr>
            <w:r>
              <w:rPr>
                <w:color w:val="000000"/>
                <w:kern w:val="0"/>
                <w:szCs w:val="21"/>
              </w:rPr>
              <w:t>306.58</w:t>
            </w:r>
          </w:p>
        </w:tc>
        <w:tc>
          <w:tcPr>
            <w:tcW w:w="850" w:type="dxa"/>
            <w:shd w:val="clear" w:color="auto" w:fill="auto"/>
            <w:vAlign w:val="center"/>
          </w:tcPr>
          <w:p w14:paraId="635E2A5D">
            <w:pPr>
              <w:jc w:val="center"/>
              <w:rPr>
                <w:color w:val="000000"/>
                <w:kern w:val="0"/>
                <w:szCs w:val="21"/>
              </w:rPr>
            </w:pPr>
            <w:r>
              <w:rPr>
                <w:color w:val="000000"/>
                <w:kern w:val="0"/>
                <w:szCs w:val="21"/>
              </w:rPr>
              <w:t>1</w:t>
            </w:r>
          </w:p>
        </w:tc>
        <w:tc>
          <w:tcPr>
            <w:tcW w:w="851" w:type="dxa"/>
            <w:shd w:val="clear" w:color="auto" w:fill="auto"/>
            <w:vAlign w:val="center"/>
          </w:tcPr>
          <w:p w14:paraId="2E8C1D15">
            <w:pPr>
              <w:jc w:val="center"/>
              <w:rPr>
                <w:color w:val="000000"/>
                <w:kern w:val="0"/>
                <w:szCs w:val="21"/>
              </w:rPr>
            </w:pPr>
            <w:r>
              <w:rPr>
                <w:color w:val="000000"/>
                <w:kern w:val="0"/>
                <w:szCs w:val="21"/>
              </w:rPr>
              <w:t>4</w:t>
            </w:r>
            <w:r>
              <w:rPr>
                <w:rFonts w:hint="eastAsia" w:ascii="宋体" w:hAnsi="宋体"/>
                <w:color w:val="000000"/>
                <w:kern w:val="0"/>
                <w:szCs w:val="21"/>
              </w:rPr>
              <w:t>（东南）</w:t>
            </w:r>
          </w:p>
        </w:tc>
        <w:tc>
          <w:tcPr>
            <w:tcW w:w="890" w:type="dxa"/>
            <w:shd w:val="clear" w:color="auto" w:fill="auto"/>
            <w:vAlign w:val="center"/>
          </w:tcPr>
          <w:p w14:paraId="50448CAA">
            <w:pPr>
              <w:jc w:val="center"/>
              <w:rPr>
                <w:color w:val="000000"/>
                <w:kern w:val="0"/>
                <w:szCs w:val="21"/>
              </w:rPr>
            </w:pPr>
            <w:r>
              <w:rPr>
                <w:color w:val="000000"/>
                <w:kern w:val="0"/>
                <w:szCs w:val="21"/>
              </w:rPr>
              <w:t>65</w:t>
            </w:r>
          </w:p>
        </w:tc>
        <w:tc>
          <w:tcPr>
            <w:tcW w:w="669" w:type="dxa"/>
            <w:vMerge w:val="restart"/>
            <w:shd w:val="clear" w:color="auto" w:fill="auto"/>
            <w:vAlign w:val="center"/>
          </w:tcPr>
          <w:p w14:paraId="70D52E05">
            <w:pPr>
              <w:jc w:val="center"/>
              <w:rPr>
                <w:rFonts w:ascii="宋体" w:hAnsi="宋体" w:cs="宋体"/>
                <w:color w:val="000000"/>
                <w:kern w:val="0"/>
                <w:szCs w:val="21"/>
              </w:rPr>
            </w:pPr>
            <w:r>
              <w:rPr>
                <w:rFonts w:hint="eastAsia" w:ascii="宋体" w:hAnsi="宋体" w:cs="宋体"/>
                <w:color w:val="000000"/>
                <w:kern w:val="0"/>
                <w:szCs w:val="21"/>
              </w:rPr>
              <w:t>昼间</w:t>
            </w:r>
          </w:p>
        </w:tc>
        <w:tc>
          <w:tcPr>
            <w:tcW w:w="851" w:type="dxa"/>
            <w:shd w:val="clear" w:color="auto" w:fill="auto"/>
            <w:vAlign w:val="center"/>
          </w:tcPr>
          <w:p w14:paraId="3D5374F8">
            <w:pPr>
              <w:jc w:val="center"/>
              <w:rPr>
                <w:color w:val="000000"/>
                <w:kern w:val="0"/>
                <w:szCs w:val="21"/>
              </w:rPr>
            </w:pPr>
            <w:r>
              <w:rPr>
                <w:color w:val="000000"/>
                <w:kern w:val="0"/>
                <w:szCs w:val="21"/>
              </w:rPr>
              <w:t>15</w:t>
            </w:r>
          </w:p>
        </w:tc>
        <w:tc>
          <w:tcPr>
            <w:tcW w:w="850" w:type="dxa"/>
            <w:shd w:val="clear" w:color="auto" w:fill="auto"/>
            <w:vAlign w:val="center"/>
          </w:tcPr>
          <w:p w14:paraId="45BB3160">
            <w:pPr>
              <w:jc w:val="center"/>
              <w:rPr>
                <w:color w:val="000000"/>
                <w:kern w:val="0"/>
                <w:szCs w:val="21"/>
              </w:rPr>
            </w:pPr>
            <w:r>
              <w:rPr>
                <w:color w:val="000000"/>
                <w:kern w:val="0"/>
                <w:szCs w:val="21"/>
              </w:rPr>
              <w:t>50</w:t>
            </w:r>
          </w:p>
        </w:tc>
        <w:tc>
          <w:tcPr>
            <w:tcW w:w="770" w:type="dxa"/>
            <w:shd w:val="clear" w:color="auto" w:fill="auto"/>
            <w:vAlign w:val="center"/>
          </w:tcPr>
          <w:p w14:paraId="3961FD34">
            <w:pPr>
              <w:jc w:val="center"/>
              <w:rPr>
                <w:color w:val="000000"/>
                <w:kern w:val="0"/>
                <w:szCs w:val="21"/>
              </w:rPr>
            </w:pPr>
            <w:r>
              <w:rPr>
                <w:color w:val="000000"/>
                <w:kern w:val="0"/>
                <w:szCs w:val="21"/>
              </w:rPr>
              <w:t>1</w:t>
            </w:r>
          </w:p>
        </w:tc>
      </w:tr>
      <w:tr w14:paraId="5340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79434D2">
            <w:pPr>
              <w:jc w:val="center"/>
              <w:rPr>
                <w:color w:val="000000"/>
                <w:kern w:val="0"/>
                <w:szCs w:val="21"/>
              </w:rPr>
            </w:pPr>
            <w:r>
              <w:rPr>
                <w:color w:val="000000"/>
                <w:kern w:val="0"/>
                <w:szCs w:val="21"/>
              </w:rPr>
              <w:t>17</w:t>
            </w:r>
          </w:p>
        </w:tc>
        <w:tc>
          <w:tcPr>
            <w:tcW w:w="1292" w:type="dxa"/>
            <w:vMerge w:val="continue"/>
            <w:vAlign w:val="center"/>
          </w:tcPr>
          <w:p w14:paraId="7BBB1275">
            <w:pPr>
              <w:jc w:val="center"/>
              <w:rPr>
                <w:rFonts w:ascii="宋体" w:hAnsi="宋体" w:cs="宋体"/>
                <w:color w:val="000000"/>
                <w:kern w:val="0"/>
                <w:szCs w:val="21"/>
              </w:rPr>
            </w:pPr>
          </w:p>
        </w:tc>
        <w:tc>
          <w:tcPr>
            <w:tcW w:w="851" w:type="dxa"/>
            <w:shd w:val="clear" w:color="auto" w:fill="auto"/>
            <w:vAlign w:val="center"/>
          </w:tcPr>
          <w:p w14:paraId="52C01F38">
            <w:pPr>
              <w:jc w:val="center"/>
              <w:rPr>
                <w:rFonts w:ascii="宋体" w:hAnsi="宋体" w:cs="宋体"/>
                <w:color w:val="000000"/>
                <w:kern w:val="0"/>
                <w:szCs w:val="21"/>
              </w:rPr>
            </w:pPr>
            <w:r>
              <w:rPr>
                <w:rFonts w:hint="eastAsia" w:ascii="宋体" w:hAnsi="宋体" w:cs="宋体"/>
                <w:color w:val="000000"/>
                <w:kern w:val="0"/>
                <w:szCs w:val="21"/>
              </w:rPr>
              <w:t>精料加工设备#2</w:t>
            </w:r>
          </w:p>
        </w:tc>
        <w:tc>
          <w:tcPr>
            <w:tcW w:w="1984" w:type="dxa"/>
            <w:shd w:val="clear" w:color="auto" w:fill="auto"/>
            <w:vAlign w:val="center"/>
          </w:tcPr>
          <w:p w14:paraId="2F7A85FB">
            <w:pPr>
              <w:jc w:val="center"/>
              <w:rPr>
                <w:color w:val="000000"/>
                <w:kern w:val="0"/>
                <w:szCs w:val="21"/>
              </w:rPr>
            </w:pPr>
            <w:r>
              <w:rPr>
                <w:color w:val="000000"/>
                <w:kern w:val="0"/>
                <w:szCs w:val="21"/>
              </w:rPr>
              <w:t>85</w:t>
            </w:r>
          </w:p>
        </w:tc>
        <w:tc>
          <w:tcPr>
            <w:tcW w:w="1560" w:type="dxa"/>
            <w:vMerge w:val="continue"/>
            <w:vAlign w:val="center"/>
          </w:tcPr>
          <w:p w14:paraId="0A72B179">
            <w:pPr>
              <w:jc w:val="center"/>
              <w:rPr>
                <w:rFonts w:ascii="宋体" w:hAnsi="宋体" w:cs="宋体"/>
                <w:color w:val="000000"/>
                <w:kern w:val="0"/>
                <w:szCs w:val="21"/>
              </w:rPr>
            </w:pPr>
          </w:p>
        </w:tc>
        <w:tc>
          <w:tcPr>
            <w:tcW w:w="1134" w:type="dxa"/>
            <w:shd w:val="clear" w:color="auto" w:fill="auto"/>
            <w:vAlign w:val="center"/>
          </w:tcPr>
          <w:p w14:paraId="6D0F26C7">
            <w:pPr>
              <w:jc w:val="center"/>
              <w:rPr>
                <w:color w:val="000000"/>
                <w:kern w:val="0"/>
                <w:szCs w:val="21"/>
              </w:rPr>
            </w:pPr>
            <w:r>
              <w:rPr>
                <w:color w:val="000000"/>
                <w:kern w:val="0"/>
                <w:szCs w:val="21"/>
              </w:rPr>
              <w:t>-9.63</w:t>
            </w:r>
          </w:p>
        </w:tc>
        <w:tc>
          <w:tcPr>
            <w:tcW w:w="992" w:type="dxa"/>
            <w:shd w:val="clear" w:color="auto" w:fill="auto"/>
            <w:vAlign w:val="center"/>
          </w:tcPr>
          <w:p w14:paraId="794F867E">
            <w:pPr>
              <w:jc w:val="center"/>
              <w:rPr>
                <w:color w:val="000000"/>
                <w:kern w:val="0"/>
                <w:szCs w:val="21"/>
              </w:rPr>
            </w:pPr>
            <w:r>
              <w:rPr>
                <w:color w:val="000000"/>
                <w:kern w:val="0"/>
                <w:szCs w:val="21"/>
              </w:rPr>
              <w:t>316.29</w:t>
            </w:r>
          </w:p>
        </w:tc>
        <w:tc>
          <w:tcPr>
            <w:tcW w:w="850" w:type="dxa"/>
            <w:shd w:val="clear" w:color="auto" w:fill="auto"/>
            <w:vAlign w:val="center"/>
          </w:tcPr>
          <w:p w14:paraId="7AE786AE">
            <w:pPr>
              <w:jc w:val="center"/>
              <w:rPr>
                <w:color w:val="000000"/>
                <w:kern w:val="0"/>
                <w:szCs w:val="21"/>
              </w:rPr>
            </w:pPr>
            <w:r>
              <w:rPr>
                <w:color w:val="000000"/>
                <w:kern w:val="0"/>
                <w:szCs w:val="21"/>
              </w:rPr>
              <w:t>1</w:t>
            </w:r>
          </w:p>
        </w:tc>
        <w:tc>
          <w:tcPr>
            <w:tcW w:w="851" w:type="dxa"/>
            <w:shd w:val="clear" w:color="auto" w:fill="auto"/>
            <w:vAlign w:val="center"/>
          </w:tcPr>
          <w:p w14:paraId="1F26CB9B">
            <w:pPr>
              <w:jc w:val="center"/>
              <w:rPr>
                <w:color w:val="000000"/>
                <w:kern w:val="0"/>
                <w:szCs w:val="21"/>
              </w:rPr>
            </w:pPr>
            <w:r>
              <w:rPr>
                <w:color w:val="000000"/>
                <w:kern w:val="0"/>
                <w:szCs w:val="21"/>
              </w:rPr>
              <w:t>4</w:t>
            </w:r>
            <w:r>
              <w:rPr>
                <w:rFonts w:hint="eastAsia" w:ascii="宋体" w:hAnsi="宋体"/>
                <w:color w:val="000000"/>
                <w:kern w:val="0"/>
                <w:szCs w:val="21"/>
              </w:rPr>
              <w:t>（东北）</w:t>
            </w:r>
          </w:p>
        </w:tc>
        <w:tc>
          <w:tcPr>
            <w:tcW w:w="890" w:type="dxa"/>
            <w:shd w:val="clear" w:color="auto" w:fill="auto"/>
            <w:vAlign w:val="center"/>
          </w:tcPr>
          <w:p w14:paraId="2E5DBFAB">
            <w:pPr>
              <w:jc w:val="center"/>
              <w:rPr>
                <w:color w:val="000000"/>
                <w:kern w:val="0"/>
                <w:szCs w:val="21"/>
              </w:rPr>
            </w:pPr>
            <w:r>
              <w:rPr>
                <w:color w:val="000000"/>
                <w:kern w:val="0"/>
                <w:szCs w:val="21"/>
              </w:rPr>
              <w:t>65</w:t>
            </w:r>
          </w:p>
        </w:tc>
        <w:tc>
          <w:tcPr>
            <w:tcW w:w="669" w:type="dxa"/>
            <w:vMerge w:val="continue"/>
            <w:vAlign w:val="center"/>
          </w:tcPr>
          <w:p w14:paraId="5D8ECC1A">
            <w:pPr>
              <w:jc w:val="center"/>
              <w:rPr>
                <w:rFonts w:ascii="宋体" w:hAnsi="宋体" w:cs="宋体"/>
                <w:color w:val="000000"/>
                <w:kern w:val="0"/>
                <w:szCs w:val="21"/>
              </w:rPr>
            </w:pPr>
          </w:p>
        </w:tc>
        <w:tc>
          <w:tcPr>
            <w:tcW w:w="851" w:type="dxa"/>
            <w:shd w:val="clear" w:color="auto" w:fill="auto"/>
            <w:vAlign w:val="center"/>
          </w:tcPr>
          <w:p w14:paraId="4A38D823">
            <w:pPr>
              <w:jc w:val="center"/>
              <w:rPr>
                <w:color w:val="000000"/>
                <w:kern w:val="0"/>
                <w:szCs w:val="21"/>
              </w:rPr>
            </w:pPr>
            <w:r>
              <w:rPr>
                <w:color w:val="000000"/>
                <w:kern w:val="0"/>
                <w:szCs w:val="21"/>
              </w:rPr>
              <w:t>15</w:t>
            </w:r>
          </w:p>
        </w:tc>
        <w:tc>
          <w:tcPr>
            <w:tcW w:w="850" w:type="dxa"/>
            <w:shd w:val="clear" w:color="auto" w:fill="auto"/>
            <w:vAlign w:val="center"/>
          </w:tcPr>
          <w:p w14:paraId="01C896A1">
            <w:pPr>
              <w:jc w:val="center"/>
              <w:rPr>
                <w:color w:val="000000"/>
                <w:kern w:val="0"/>
                <w:szCs w:val="21"/>
              </w:rPr>
            </w:pPr>
            <w:r>
              <w:rPr>
                <w:color w:val="000000"/>
                <w:kern w:val="0"/>
                <w:szCs w:val="21"/>
              </w:rPr>
              <w:t>50</w:t>
            </w:r>
          </w:p>
        </w:tc>
        <w:tc>
          <w:tcPr>
            <w:tcW w:w="770" w:type="dxa"/>
            <w:shd w:val="clear" w:color="auto" w:fill="auto"/>
            <w:vAlign w:val="center"/>
          </w:tcPr>
          <w:p w14:paraId="07473EC9">
            <w:pPr>
              <w:jc w:val="center"/>
              <w:rPr>
                <w:color w:val="000000"/>
                <w:kern w:val="0"/>
                <w:szCs w:val="21"/>
              </w:rPr>
            </w:pPr>
            <w:r>
              <w:rPr>
                <w:color w:val="000000"/>
                <w:kern w:val="0"/>
                <w:szCs w:val="21"/>
              </w:rPr>
              <w:t>1</w:t>
            </w:r>
          </w:p>
        </w:tc>
      </w:tr>
      <w:tr w14:paraId="7B0D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83675CA">
            <w:pPr>
              <w:jc w:val="center"/>
              <w:rPr>
                <w:color w:val="000000"/>
                <w:kern w:val="0"/>
                <w:szCs w:val="21"/>
              </w:rPr>
            </w:pPr>
            <w:r>
              <w:rPr>
                <w:color w:val="000000"/>
                <w:kern w:val="0"/>
                <w:szCs w:val="21"/>
              </w:rPr>
              <w:t>18</w:t>
            </w:r>
          </w:p>
        </w:tc>
        <w:tc>
          <w:tcPr>
            <w:tcW w:w="1292" w:type="dxa"/>
            <w:vMerge w:val="continue"/>
            <w:vAlign w:val="center"/>
          </w:tcPr>
          <w:p w14:paraId="0C51B5CE">
            <w:pPr>
              <w:jc w:val="center"/>
              <w:rPr>
                <w:rFonts w:ascii="宋体" w:hAnsi="宋体" w:cs="宋体"/>
                <w:color w:val="000000"/>
                <w:kern w:val="0"/>
                <w:szCs w:val="21"/>
              </w:rPr>
            </w:pPr>
          </w:p>
        </w:tc>
        <w:tc>
          <w:tcPr>
            <w:tcW w:w="851" w:type="dxa"/>
            <w:shd w:val="clear" w:color="auto" w:fill="auto"/>
            <w:vAlign w:val="center"/>
          </w:tcPr>
          <w:p w14:paraId="35B85722">
            <w:pPr>
              <w:jc w:val="center"/>
              <w:rPr>
                <w:rFonts w:ascii="宋体" w:hAnsi="宋体" w:cs="宋体"/>
                <w:color w:val="000000"/>
                <w:kern w:val="0"/>
                <w:szCs w:val="21"/>
              </w:rPr>
            </w:pPr>
            <w:r>
              <w:rPr>
                <w:rFonts w:hint="eastAsia" w:ascii="宋体" w:hAnsi="宋体" w:cs="宋体"/>
                <w:color w:val="000000"/>
                <w:kern w:val="0"/>
                <w:szCs w:val="21"/>
              </w:rPr>
              <w:t>除尘风机</w:t>
            </w:r>
          </w:p>
        </w:tc>
        <w:tc>
          <w:tcPr>
            <w:tcW w:w="1984" w:type="dxa"/>
            <w:shd w:val="clear" w:color="auto" w:fill="auto"/>
            <w:vAlign w:val="center"/>
          </w:tcPr>
          <w:p w14:paraId="7BF38F23">
            <w:pPr>
              <w:jc w:val="center"/>
              <w:rPr>
                <w:color w:val="000000"/>
                <w:kern w:val="0"/>
                <w:szCs w:val="21"/>
              </w:rPr>
            </w:pPr>
            <w:r>
              <w:rPr>
                <w:color w:val="000000"/>
                <w:kern w:val="0"/>
                <w:szCs w:val="21"/>
              </w:rPr>
              <w:t>95</w:t>
            </w:r>
          </w:p>
        </w:tc>
        <w:tc>
          <w:tcPr>
            <w:tcW w:w="1560" w:type="dxa"/>
            <w:vMerge w:val="continue"/>
            <w:vAlign w:val="center"/>
          </w:tcPr>
          <w:p w14:paraId="49C71F1C">
            <w:pPr>
              <w:jc w:val="center"/>
              <w:rPr>
                <w:rFonts w:ascii="宋体" w:hAnsi="宋体" w:cs="宋体"/>
                <w:color w:val="000000"/>
                <w:kern w:val="0"/>
                <w:szCs w:val="21"/>
              </w:rPr>
            </w:pPr>
          </w:p>
        </w:tc>
        <w:tc>
          <w:tcPr>
            <w:tcW w:w="1134" w:type="dxa"/>
            <w:shd w:val="clear" w:color="auto" w:fill="auto"/>
            <w:vAlign w:val="center"/>
          </w:tcPr>
          <w:p w14:paraId="77015680">
            <w:pPr>
              <w:jc w:val="center"/>
              <w:rPr>
                <w:color w:val="000000"/>
                <w:kern w:val="0"/>
                <w:szCs w:val="21"/>
              </w:rPr>
            </w:pPr>
            <w:r>
              <w:rPr>
                <w:color w:val="000000"/>
                <w:kern w:val="0"/>
                <w:szCs w:val="21"/>
              </w:rPr>
              <w:t>-4.24</w:t>
            </w:r>
          </w:p>
        </w:tc>
        <w:tc>
          <w:tcPr>
            <w:tcW w:w="992" w:type="dxa"/>
            <w:shd w:val="clear" w:color="auto" w:fill="auto"/>
            <w:vAlign w:val="center"/>
          </w:tcPr>
          <w:p w14:paraId="09606AD5">
            <w:pPr>
              <w:jc w:val="center"/>
              <w:rPr>
                <w:color w:val="000000"/>
                <w:kern w:val="0"/>
                <w:szCs w:val="21"/>
              </w:rPr>
            </w:pPr>
            <w:r>
              <w:rPr>
                <w:color w:val="000000"/>
                <w:kern w:val="0"/>
                <w:szCs w:val="21"/>
              </w:rPr>
              <w:t>312.47</w:t>
            </w:r>
          </w:p>
        </w:tc>
        <w:tc>
          <w:tcPr>
            <w:tcW w:w="850" w:type="dxa"/>
            <w:shd w:val="clear" w:color="auto" w:fill="auto"/>
            <w:vAlign w:val="center"/>
          </w:tcPr>
          <w:p w14:paraId="52EF2A72">
            <w:pPr>
              <w:jc w:val="center"/>
              <w:rPr>
                <w:color w:val="000000"/>
                <w:kern w:val="0"/>
                <w:szCs w:val="21"/>
              </w:rPr>
            </w:pPr>
            <w:r>
              <w:rPr>
                <w:color w:val="000000"/>
                <w:kern w:val="0"/>
                <w:szCs w:val="21"/>
              </w:rPr>
              <w:t>1</w:t>
            </w:r>
          </w:p>
        </w:tc>
        <w:tc>
          <w:tcPr>
            <w:tcW w:w="851" w:type="dxa"/>
            <w:shd w:val="clear" w:color="auto" w:fill="auto"/>
            <w:vAlign w:val="center"/>
          </w:tcPr>
          <w:p w14:paraId="3C3C32AD">
            <w:pPr>
              <w:jc w:val="center"/>
              <w:rPr>
                <w:color w:val="000000"/>
                <w:kern w:val="0"/>
                <w:szCs w:val="21"/>
              </w:rPr>
            </w:pPr>
            <w:r>
              <w:rPr>
                <w:color w:val="000000"/>
                <w:kern w:val="0"/>
                <w:szCs w:val="21"/>
              </w:rPr>
              <w:t>1</w:t>
            </w:r>
            <w:r>
              <w:rPr>
                <w:rFonts w:hint="eastAsia" w:ascii="宋体" w:hAnsi="宋体"/>
                <w:color w:val="000000"/>
                <w:kern w:val="0"/>
                <w:szCs w:val="21"/>
              </w:rPr>
              <w:t>（东北）</w:t>
            </w:r>
          </w:p>
        </w:tc>
        <w:tc>
          <w:tcPr>
            <w:tcW w:w="890" w:type="dxa"/>
            <w:shd w:val="clear" w:color="auto" w:fill="auto"/>
            <w:vAlign w:val="center"/>
          </w:tcPr>
          <w:p w14:paraId="6C70F9D3">
            <w:pPr>
              <w:jc w:val="center"/>
              <w:rPr>
                <w:color w:val="000000"/>
                <w:kern w:val="0"/>
                <w:szCs w:val="21"/>
              </w:rPr>
            </w:pPr>
            <w:r>
              <w:rPr>
                <w:color w:val="000000"/>
                <w:kern w:val="0"/>
                <w:szCs w:val="21"/>
              </w:rPr>
              <w:t>75</w:t>
            </w:r>
          </w:p>
        </w:tc>
        <w:tc>
          <w:tcPr>
            <w:tcW w:w="669" w:type="dxa"/>
            <w:vMerge w:val="continue"/>
            <w:vAlign w:val="center"/>
          </w:tcPr>
          <w:p w14:paraId="452D11D5">
            <w:pPr>
              <w:jc w:val="center"/>
              <w:rPr>
                <w:rFonts w:ascii="宋体" w:hAnsi="宋体" w:cs="宋体"/>
                <w:color w:val="000000"/>
                <w:kern w:val="0"/>
                <w:szCs w:val="21"/>
              </w:rPr>
            </w:pPr>
          </w:p>
        </w:tc>
        <w:tc>
          <w:tcPr>
            <w:tcW w:w="851" w:type="dxa"/>
            <w:shd w:val="clear" w:color="auto" w:fill="auto"/>
            <w:vAlign w:val="center"/>
          </w:tcPr>
          <w:p w14:paraId="6D11EDB8">
            <w:pPr>
              <w:jc w:val="center"/>
              <w:rPr>
                <w:color w:val="000000"/>
                <w:kern w:val="0"/>
                <w:szCs w:val="21"/>
              </w:rPr>
            </w:pPr>
            <w:r>
              <w:rPr>
                <w:color w:val="000000"/>
                <w:kern w:val="0"/>
                <w:szCs w:val="21"/>
              </w:rPr>
              <w:t>15</w:t>
            </w:r>
          </w:p>
        </w:tc>
        <w:tc>
          <w:tcPr>
            <w:tcW w:w="850" w:type="dxa"/>
            <w:shd w:val="clear" w:color="auto" w:fill="auto"/>
            <w:vAlign w:val="center"/>
          </w:tcPr>
          <w:p w14:paraId="63D9A7C6">
            <w:pPr>
              <w:jc w:val="center"/>
              <w:rPr>
                <w:color w:val="000000"/>
                <w:kern w:val="0"/>
                <w:szCs w:val="21"/>
              </w:rPr>
            </w:pPr>
            <w:r>
              <w:rPr>
                <w:color w:val="000000"/>
                <w:kern w:val="0"/>
                <w:szCs w:val="21"/>
              </w:rPr>
              <w:t>60</w:t>
            </w:r>
          </w:p>
        </w:tc>
        <w:tc>
          <w:tcPr>
            <w:tcW w:w="770" w:type="dxa"/>
            <w:shd w:val="clear" w:color="auto" w:fill="auto"/>
            <w:vAlign w:val="center"/>
          </w:tcPr>
          <w:p w14:paraId="3006418E">
            <w:pPr>
              <w:jc w:val="center"/>
              <w:rPr>
                <w:color w:val="000000"/>
                <w:kern w:val="0"/>
                <w:szCs w:val="21"/>
              </w:rPr>
            </w:pPr>
            <w:r>
              <w:rPr>
                <w:color w:val="000000"/>
                <w:kern w:val="0"/>
                <w:szCs w:val="21"/>
              </w:rPr>
              <w:t>1</w:t>
            </w:r>
          </w:p>
        </w:tc>
      </w:tr>
      <w:tr w14:paraId="374D1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649F00F">
            <w:pPr>
              <w:jc w:val="center"/>
              <w:rPr>
                <w:color w:val="000000"/>
                <w:kern w:val="0"/>
                <w:szCs w:val="21"/>
              </w:rPr>
            </w:pPr>
            <w:r>
              <w:rPr>
                <w:color w:val="000000"/>
                <w:kern w:val="0"/>
                <w:szCs w:val="21"/>
              </w:rPr>
              <w:t>19</w:t>
            </w:r>
          </w:p>
        </w:tc>
        <w:tc>
          <w:tcPr>
            <w:tcW w:w="1292" w:type="dxa"/>
            <w:vMerge w:val="continue"/>
            <w:vAlign w:val="center"/>
          </w:tcPr>
          <w:p w14:paraId="6D8B44F1">
            <w:pPr>
              <w:jc w:val="center"/>
              <w:rPr>
                <w:rFonts w:ascii="宋体" w:hAnsi="宋体" w:cs="宋体"/>
                <w:color w:val="000000"/>
                <w:kern w:val="0"/>
                <w:szCs w:val="21"/>
              </w:rPr>
            </w:pPr>
          </w:p>
        </w:tc>
        <w:tc>
          <w:tcPr>
            <w:tcW w:w="851" w:type="dxa"/>
            <w:shd w:val="clear" w:color="auto" w:fill="auto"/>
            <w:vAlign w:val="center"/>
          </w:tcPr>
          <w:p w14:paraId="12E0B50F">
            <w:pPr>
              <w:jc w:val="center"/>
              <w:rPr>
                <w:rFonts w:ascii="宋体" w:hAnsi="宋体" w:cs="宋体"/>
                <w:color w:val="000000"/>
                <w:kern w:val="0"/>
                <w:szCs w:val="21"/>
              </w:rPr>
            </w:pPr>
            <w:r>
              <w:rPr>
                <w:rFonts w:hint="eastAsia" w:ascii="宋体" w:hAnsi="宋体" w:cs="宋体"/>
                <w:color w:val="000000"/>
                <w:kern w:val="0"/>
                <w:szCs w:val="21"/>
              </w:rPr>
              <w:t>打包机</w:t>
            </w:r>
          </w:p>
        </w:tc>
        <w:tc>
          <w:tcPr>
            <w:tcW w:w="1984" w:type="dxa"/>
            <w:shd w:val="clear" w:color="auto" w:fill="auto"/>
            <w:vAlign w:val="center"/>
          </w:tcPr>
          <w:p w14:paraId="518EBC51">
            <w:pPr>
              <w:jc w:val="center"/>
              <w:rPr>
                <w:color w:val="000000"/>
                <w:kern w:val="0"/>
                <w:szCs w:val="21"/>
              </w:rPr>
            </w:pPr>
            <w:r>
              <w:rPr>
                <w:color w:val="000000"/>
                <w:kern w:val="0"/>
                <w:szCs w:val="21"/>
              </w:rPr>
              <w:t>80</w:t>
            </w:r>
          </w:p>
        </w:tc>
        <w:tc>
          <w:tcPr>
            <w:tcW w:w="1560" w:type="dxa"/>
            <w:vMerge w:val="continue"/>
            <w:vAlign w:val="center"/>
          </w:tcPr>
          <w:p w14:paraId="6BDB4E48">
            <w:pPr>
              <w:jc w:val="center"/>
              <w:rPr>
                <w:rFonts w:ascii="宋体" w:hAnsi="宋体" w:cs="宋体"/>
                <w:color w:val="000000"/>
                <w:kern w:val="0"/>
                <w:szCs w:val="21"/>
              </w:rPr>
            </w:pPr>
          </w:p>
        </w:tc>
        <w:tc>
          <w:tcPr>
            <w:tcW w:w="1134" w:type="dxa"/>
            <w:shd w:val="clear" w:color="auto" w:fill="auto"/>
            <w:vAlign w:val="center"/>
          </w:tcPr>
          <w:p w14:paraId="57571EB6">
            <w:pPr>
              <w:jc w:val="center"/>
              <w:rPr>
                <w:color w:val="000000"/>
                <w:kern w:val="0"/>
                <w:szCs w:val="21"/>
              </w:rPr>
            </w:pPr>
            <w:r>
              <w:rPr>
                <w:color w:val="000000"/>
                <w:kern w:val="0"/>
                <w:szCs w:val="21"/>
              </w:rPr>
              <w:t>-37.85</w:t>
            </w:r>
          </w:p>
        </w:tc>
        <w:tc>
          <w:tcPr>
            <w:tcW w:w="992" w:type="dxa"/>
            <w:shd w:val="clear" w:color="auto" w:fill="auto"/>
            <w:vAlign w:val="center"/>
          </w:tcPr>
          <w:p w14:paraId="4441FE04">
            <w:pPr>
              <w:jc w:val="center"/>
              <w:rPr>
                <w:color w:val="000000"/>
                <w:kern w:val="0"/>
                <w:szCs w:val="21"/>
              </w:rPr>
            </w:pPr>
            <w:r>
              <w:rPr>
                <w:color w:val="000000"/>
                <w:kern w:val="0"/>
                <w:szCs w:val="21"/>
              </w:rPr>
              <w:t>365.23</w:t>
            </w:r>
          </w:p>
        </w:tc>
        <w:tc>
          <w:tcPr>
            <w:tcW w:w="850" w:type="dxa"/>
            <w:shd w:val="clear" w:color="auto" w:fill="auto"/>
            <w:vAlign w:val="center"/>
          </w:tcPr>
          <w:p w14:paraId="32BAA763">
            <w:pPr>
              <w:jc w:val="center"/>
              <w:rPr>
                <w:color w:val="000000"/>
                <w:kern w:val="0"/>
                <w:szCs w:val="21"/>
              </w:rPr>
            </w:pPr>
            <w:r>
              <w:rPr>
                <w:color w:val="000000"/>
                <w:kern w:val="0"/>
                <w:szCs w:val="21"/>
              </w:rPr>
              <w:t>1</w:t>
            </w:r>
          </w:p>
        </w:tc>
        <w:tc>
          <w:tcPr>
            <w:tcW w:w="851" w:type="dxa"/>
            <w:shd w:val="clear" w:color="auto" w:fill="auto"/>
            <w:vAlign w:val="center"/>
          </w:tcPr>
          <w:p w14:paraId="3DB442D4">
            <w:pPr>
              <w:jc w:val="center"/>
              <w:rPr>
                <w:color w:val="000000"/>
                <w:kern w:val="0"/>
                <w:szCs w:val="21"/>
              </w:rPr>
            </w:pPr>
            <w:r>
              <w:rPr>
                <w:color w:val="000000"/>
                <w:kern w:val="0"/>
                <w:szCs w:val="21"/>
              </w:rPr>
              <w:t>3</w:t>
            </w:r>
            <w:r>
              <w:rPr>
                <w:rFonts w:hint="eastAsia" w:ascii="宋体" w:hAnsi="宋体"/>
                <w:color w:val="000000"/>
                <w:kern w:val="0"/>
                <w:szCs w:val="21"/>
              </w:rPr>
              <w:t>（东北）</w:t>
            </w:r>
          </w:p>
        </w:tc>
        <w:tc>
          <w:tcPr>
            <w:tcW w:w="890" w:type="dxa"/>
            <w:shd w:val="clear" w:color="auto" w:fill="auto"/>
            <w:vAlign w:val="center"/>
          </w:tcPr>
          <w:p w14:paraId="47748BE4">
            <w:pPr>
              <w:jc w:val="center"/>
              <w:rPr>
                <w:color w:val="000000"/>
                <w:kern w:val="0"/>
                <w:szCs w:val="21"/>
              </w:rPr>
            </w:pPr>
            <w:r>
              <w:rPr>
                <w:color w:val="000000"/>
                <w:kern w:val="0"/>
                <w:szCs w:val="21"/>
              </w:rPr>
              <w:t>60</w:t>
            </w:r>
          </w:p>
        </w:tc>
        <w:tc>
          <w:tcPr>
            <w:tcW w:w="669" w:type="dxa"/>
            <w:vMerge w:val="continue"/>
            <w:vAlign w:val="center"/>
          </w:tcPr>
          <w:p w14:paraId="5D27919A">
            <w:pPr>
              <w:jc w:val="center"/>
              <w:rPr>
                <w:rFonts w:ascii="宋体" w:hAnsi="宋体" w:cs="宋体"/>
                <w:color w:val="000000"/>
                <w:kern w:val="0"/>
                <w:szCs w:val="21"/>
              </w:rPr>
            </w:pPr>
          </w:p>
        </w:tc>
        <w:tc>
          <w:tcPr>
            <w:tcW w:w="851" w:type="dxa"/>
            <w:shd w:val="clear" w:color="auto" w:fill="auto"/>
            <w:vAlign w:val="center"/>
          </w:tcPr>
          <w:p w14:paraId="5209B0BD">
            <w:pPr>
              <w:jc w:val="center"/>
              <w:rPr>
                <w:color w:val="000000"/>
                <w:kern w:val="0"/>
                <w:szCs w:val="21"/>
              </w:rPr>
            </w:pPr>
            <w:r>
              <w:rPr>
                <w:color w:val="000000"/>
                <w:kern w:val="0"/>
                <w:szCs w:val="21"/>
              </w:rPr>
              <w:t>15</w:t>
            </w:r>
          </w:p>
        </w:tc>
        <w:tc>
          <w:tcPr>
            <w:tcW w:w="850" w:type="dxa"/>
            <w:shd w:val="clear" w:color="auto" w:fill="auto"/>
            <w:vAlign w:val="center"/>
          </w:tcPr>
          <w:p w14:paraId="58CE1CCC">
            <w:pPr>
              <w:jc w:val="center"/>
              <w:rPr>
                <w:color w:val="000000"/>
                <w:kern w:val="0"/>
                <w:szCs w:val="21"/>
              </w:rPr>
            </w:pPr>
            <w:r>
              <w:rPr>
                <w:color w:val="000000"/>
                <w:kern w:val="0"/>
                <w:szCs w:val="21"/>
              </w:rPr>
              <w:t>45</w:t>
            </w:r>
          </w:p>
        </w:tc>
        <w:tc>
          <w:tcPr>
            <w:tcW w:w="770" w:type="dxa"/>
            <w:shd w:val="clear" w:color="auto" w:fill="auto"/>
            <w:vAlign w:val="center"/>
          </w:tcPr>
          <w:p w14:paraId="7633ABA7">
            <w:pPr>
              <w:jc w:val="center"/>
              <w:rPr>
                <w:color w:val="000000"/>
                <w:kern w:val="0"/>
                <w:szCs w:val="21"/>
              </w:rPr>
            </w:pPr>
            <w:r>
              <w:rPr>
                <w:color w:val="000000"/>
                <w:kern w:val="0"/>
                <w:szCs w:val="21"/>
              </w:rPr>
              <w:t>1</w:t>
            </w:r>
          </w:p>
        </w:tc>
      </w:tr>
      <w:tr w14:paraId="102BC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3290AFD">
            <w:pPr>
              <w:jc w:val="center"/>
              <w:rPr>
                <w:color w:val="000000"/>
                <w:kern w:val="0"/>
                <w:szCs w:val="21"/>
              </w:rPr>
            </w:pPr>
            <w:r>
              <w:rPr>
                <w:color w:val="000000"/>
                <w:kern w:val="0"/>
                <w:szCs w:val="21"/>
              </w:rPr>
              <w:t>20</w:t>
            </w:r>
          </w:p>
        </w:tc>
        <w:tc>
          <w:tcPr>
            <w:tcW w:w="1292" w:type="dxa"/>
            <w:vMerge w:val="continue"/>
            <w:vAlign w:val="center"/>
          </w:tcPr>
          <w:p w14:paraId="7897508B">
            <w:pPr>
              <w:jc w:val="center"/>
              <w:rPr>
                <w:rFonts w:ascii="宋体" w:hAnsi="宋体" w:cs="宋体"/>
                <w:color w:val="000000"/>
                <w:kern w:val="0"/>
                <w:szCs w:val="21"/>
              </w:rPr>
            </w:pPr>
          </w:p>
        </w:tc>
        <w:tc>
          <w:tcPr>
            <w:tcW w:w="851" w:type="dxa"/>
            <w:shd w:val="clear" w:color="auto" w:fill="auto"/>
            <w:vAlign w:val="center"/>
          </w:tcPr>
          <w:p w14:paraId="5FF9CD05">
            <w:pPr>
              <w:jc w:val="center"/>
              <w:rPr>
                <w:rFonts w:ascii="宋体" w:hAnsi="宋体" w:cs="宋体"/>
                <w:color w:val="000000"/>
                <w:kern w:val="0"/>
                <w:szCs w:val="21"/>
              </w:rPr>
            </w:pPr>
            <w:r>
              <w:rPr>
                <w:rFonts w:hint="eastAsia" w:ascii="宋体" w:hAnsi="宋体" w:cs="宋体"/>
                <w:color w:val="000000"/>
                <w:kern w:val="0"/>
                <w:szCs w:val="21"/>
              </w:rPr>
              <w:t>铡草机</w:t>
            </w:r>
          </w:p>
        </w:tc>
        <w:tc>
          <w:tcPr>
            <w:tcW w:w="1984" w:type="dxa"/>
            <w:shd w:val="clear" w:color="auto" w:fill="auto"/>
            <w:vAlign w:val="center"/>
          </w:tcPr>
          <w:p w14:paraId="0D3B21A5">
            <w:pPr>
              <w:jc w:val="center"/>
              <w:rPr>
                <w:color w:val="000000"/>
                <w:kern w:val="0"/>
                <w:szCs w:val="21"/>
              </w:rPr>
            </w:pPr>
            <w:r>
              <w:rPr>
                <w:color w:val="000000"/>
                <w:kern w:val="0"/>
                <w:szCs w:val="21"/>
              </w:rPr>
              <w:t>80</w:t>
            </w:r>
          </w:p>
        </w:tc>
        <w:tc>
          <w:tcPr>
            <w:tcW w:w="1560" w:type="dxa"/>
            <w:vMerge w:val="continue"/>
            <w:vAlign w:val="center"/>
          </w:tcPr>
          <w:p w14:paraId="30866ED7">
            <w:pPr>
              <w:jc w:val="center"/>
              <w:rPr>
                <w:rFonts w:ascii="宋体" w:hAnsi="宋体" w:cs="宋体"/>
                <w:color w:val="000000"/>
                <w:kern w:val="0"/>
                <w:szCs w:val="21"/>
              </w:rPr>
            </w:pPr>
          </w:p>
        </w:tc>
        <w:tc>
          <w:tcPr>
            <w:tcW w:w="1134" w:type="dxa"/>
            <w:shd w:val="clear" w:color="auto" w:fill="auto"/>
            <w:vAlign w:val="center"/>
          </w:tcPr>
          <w:p w14:paraId="3056F4EA">
            <w:pPr>
              <w:jc w:val="center"/>
              <w:rPr>
                <w:color w:val="000000"/>
                <w:kern w:val="0"/>
                <w:szCs w:val="21"/>
              </w:rPr>
            </w:pPr>
            <w:r>
              <w:rPr>
                <w:color w:val="000000"/>
                <w:kern w:val="0"/>
                <w:szCs w:val="21"/>
              </w:rPr>
              <w:t>-34.75</w:t>
            </w:r>
          </w:p>
        </w:tc>
        <w:tc>
          <w:tcPr>
            <w:tcW w:w="992" w:type="dxa"/>
            <w:shd w:val="clear" w:color="auto" w:fill="auto"/>
            <w:vAlign w:val="center"/>
          </w:tcPr>
          <w:p w14:paraId="12FE8170">
            <w:pPr>
              <w:jc w:val="center"/>
              <w:rPr>
                <w:color w:val="000000"/>
                <w:kern w:val="0"/>
                <w:szCs w:val="21"/>
              </w:rPr>
            </w:pPr>
            <w:r>
              <w:rPr>
                <w:color w:val="000000"/>
                <w:kern w:val="0"/>
                <w:szCs w:val="21"/>
              </w:rPr>
              <w:t>360.79</w:t>
            </w:r>
          </w:p>
        </w:tc>
        <w:tc>
          <w:tcPr>
            <w:tcW w:w="850" w:type="dxa"/>
            <w:shd w:val="clear" w:color="auto" w:fill="auto"/>
            <w:vAlign w:val="center"/>
          </w:tcPr>
          <w:p w14:paraId="48B863A7">
            <w:pPr>
              <w:jc w:val="center"/>
              <w:rPr>
                <w:color w:val="000000"/>
                <w:kern w:val="0"/>
                <w:szCs w:val="21"/>
              </w:rPr>
            </w:pPr>
            <w:r>
              <w:rPr>
                <w:color w:val="000000"/>
                <w:kern w:val="0"/>
                <w:szCs w:val="21"/>
              </w:rPr>
              <w:t>1</w:t>
            </w:r>
          </w:p>
        </w:tc>
        <w:tc>
          <w:tcPr>
            <w:tcW w:w="851" w:type="dxa"/>
            <w:shd w:val="clear" w:color="auto" w:fill="auto"/>
            <w:vAlign w:val="center"/>
          </w:tcPr>
          <w:p w14:paraId="64D3DFD2">
            <w:pPr>
              <w:jc w:val="center"/>
              <w:rPr>
                <w:color w:val="000000"/>
                <w:kern w:val="0"/>
                <w:szCs w:val="21"/>
              </w:rPr>
            </w:pPr>
            <w:r>
              <w:rPr>
                <w:color w:val="000000"/>
                <w:kern w:val="0"/>
                <w:szCs w:val="21"/>
              </w:rPr>
              <w:t>3</w:t>
            </w:r>
            <w:r>
              <w:rPr>
                <w:rFonts w:hint="eastAsia" w:ascii="宋体" w:hAnsi="宋体"/>
                <w:color w:val="000000"/>
                <w:kern w:val="0"/>
                <w:szCs w:val="21"/>
              </w:rPr>
              <w:t>（东北）</w:t>
            </w:r>
          </w:p>
        </w:tc>
        <w:tc>
          <w:tcPr>
            <w:tcW w:w="890" w:type="dxa"/>
            <w:shd w:val="clear" w:color="auto" w:fill="auto"/>
            <w:vAlign w:val="center"/>
          </w:tcPr>
          <w:p w14:paraId="2F3E798B">
            <w:pPr>
              <w:jc w:val="center"/>
              <w:rPr>
                <w:color w:val="000000"/>
                <w:kern w:val="0"/>
                <w:szCs w:val="21"/>
              </w:rPr>
            </w:pPr>
            <w:r>
              <w:rPr>
                <w:color w:val="000000"/>
                <w:kern w:val="0"/>
                <w:szCs w:val="21"/>
              </w:rPr>
              <w:t>60</w:t>
            </w:r>
          </w:p>
        </w:tc>
        <w:tc>
          <w:tcPr>
            <w:tcW w:w="669" w:type="dxa"/>
            <w:vMerge w:val="continue"/>
            <w:vAlign w:val="center"/>
          </w:tcPr>
          <w:p w14:paraId="0AC9A5D0">
            <w:pPr>
              <w:jc w:val="center"/>
              <w:rPr>
                <w:rFonts w:ascii="宋体" w:hAnsi="宋体" w:cs="宋体"/>
                <w:color w:val="000000"/>
                <w:kern w:val="0"/>
                <w:szCs w:val="21"/>
              </w:rPr>
            </w:pPr>
          </w:p>
        </w:tc>
        <w:tc>
          <w:tcPr>
            <w:tcW w:w="851" w:type="dxa"/>
            <w:shd w:val="clear" w:color="auto" w:fill="auto"/>
            <w:vAlign w:val="center"/>
          </w:tcPr>
          <w:p w14:paraId="74EAC7A5">
            <w:pPr>
              <w:jc w:val="center"/>
              <w:rPr>
                <w:color w:val="000000"/>
                <w:kern w:val="0"/>
                <w:szCs w:val="21"/>
              </w:rPr>
            </w:pPr>
            <w:r>
              <w:rPr>
                <w:color w:val="000000"/>
                <w:kern w:val="0"/>
                <w:szCs w:val="21"/>
              </w:rPr>
              <w:t>15</w:t>
            </w:r>
          </w:p>
        </w:tc>
        <w:tc>
          <w:tcPr>
            <w:tcW w:w="850" w:type="dxa"/>
            <w:shd w:val="clear" w:color="auto" w:fill="auto"/>
            <w:vAlign w:val="center"/>
          </w:tcPr>
          <w:p w14:paraId="6DF9EFC9">
            <w:pPr>
              <w:jc w:val="center"/>
              <w:rPr>
                <w:color w:val="000000"/>
                <w:kern w:val="0"/>
                <w:szCs w:val="21"/>
              </w:rPr>
            </w:pPr>
            <w:r>
              <w:rPr>
                <w:color w:val="000000"/>
                <w:kern w:val="0"/>
                <w:szCs w:val="21"/>
              </w:rPr>
              <w:t>45</w:t>
            </w:r>
          </w:p>
        </w:tc>
        <w:tc>
          <w:tcPr>
            <w:tcW w:w="770" w:type="dxa"/>
            <w:shd w:val="clear" w:color="auto" w:fill="auto"/>
            <w:vAlign w:val="center"/>
          </w:tcPr>
          <w:p w14:paraId="2870F31F">
            <w:pPr>
              <w:jc w:val="center"/>
              <w:rPr>
                <w:color w:val="000000"/>
                <w:kern w:val="0"/>
                <w:szCs w:val="21"/>
              </w:rPr>
            </w:pPr>
            <w:r>
              <w:rPr>
                <w:color w:val="000000"/>
                <w:kern w:val="0"/>
                <w:szCs w:val="21"/>
              </w:rPr>
              <w:t>1</w:t>
            </w:r>
          </w:p>
        </w:tc>
      </w:tr>
      <w:tr w14:paraId="28BA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A2DA72F">
            <w:pPr>
              <w:jc w:val="center"/>
              <w:rPr>
                <w:color w:val="000000"/>
                <w:kern w:val="0"/>
                <w:szCs w:val="21"/>
              </w:rPr>
            </w:pPr>
            <w:r>
              <w:rPr>
                <w:color w:val="000000"/>
                <w:kern w:val="0"/>
                <w:szCs w:val="21"/>
              </w:rPr>
              <w:t>21</w:t>
            </w:r>
          </w:p>
        </w:tc>
        <w:tc>
          <w:tcPr>
            <w:tcW w:w="1292" w:type="dxa"/>
            <w:vMerge w:val="continue"/>
            <w:vAlign w:val="center"/>
          </w:tcPr>
          <w:p w14:paraId="4473AB0A">
            <w:pPr>
              <w:jc w:val="center"/>
              <w:rPr>
                <w:rFonts w:ascii="宋体" w:hAnsi="宋体" w:cs="宋体"/>
                <w:color w:val="000000"/>
                <w:kern w:val="0"/>
                <w:szCs w:val="21"/>
              </w:rPr>
            </w:pPr>
          </w:p>
        </w:tc>
        <w:tc>
          <w:tcPr>
            <w:tcW w:w="851" w:type="dxa"/>
            <w:shd w:val="clear" w:color="auto" w:fill="auto"/>
            <w:vAlign w:val="center"/>
          </w:tcPr>
          <w:p w14:paraId="247566F1">
            <w:pPr>
              <w:jc w:val="center"/>
              <w:rPr>
                <w:rFonts w:ascii="宋体" w:hAnsi="宋体" w:cs="宋体"/>
                <w:color w:val="000000"/>
                <w:kern w:val="0"/>
                <w:szCs w:val="21"/>
              </w:rPr>
            </w:pPr>
            <w:r>
              <w:rPr>
                <w:rFonts w:hint="eastAsia" w:ascii="宋体" w:hAnsi="宋体" w:cs="宋体"/>
                <w:color w:val="000000"/>
                <w:kern w:val="0"/>
                <w:szCs w:val="21"/>
              </w:rPr>
              <w:t>TMR机#1</w:t>
            </w:r>
          </w:p>
        </w:tc>
        <w:tc>
          <w:tcPr>
            <w:tcW w:w="1984" w:type="dxa"/>
            <w:shd w:val="clear" w:color="auto" w:fill="auto"/>
            <w:vAlign w:val="center"/>
          </w:tcPr>
          <w:p w14:paraId="46FAE9E4">
            <w:pPr>
              <w:jc w:val="center"/>
              <w:rPr>
                <w:color w:val="000000"/>
                <w:kern w:val="0"/>
                <w:szCs w:val="21"/>
              </w:rPr>
            </w:pPr>
            <w:r>
              <w:rPr>
                <w:color w:val="000000"/>
                <w:kern w:val="0"/>
                <w:szCs w:val="21"/>
              </w:rPr>
              <w:t>80</w:t>
            </w:r>
          </w:p>
        </w:tc>
        <w:tc>
          <w:tcPr>
            <w:tcW w:w="1560" w:type="dxa"/>
            <w:vMerge w:val="continue"/>
            <w:vAlign w:val="center"/>
          </w:tcPr>
          <w:p w14:paraId="22EBAE77">
            <w:pPr>
              <w:jc w:val="center"/>
              <w:rPr>
                <w:rFonts w:ascii="宋体" w:hAnsi="宋体" w:cs="宋体"/>
                <w:color w:val="000000"/>
                <w:kern w:val="0"/>
                <w:szCs w:val="21"/>
              </w:rPr>
            </w:pPr>
          </w:p>
        </w:tc>
        <w:tc>
          <w:tcPr>
            <w:tcW w:w="1134" w:type="dxa"/>
            <w:shd w:val="clear" w:color="auto" w:fill="auto"/>
            <w:noWrap/>
            <w:vAlign w:val="center"/>
          </w:tcPr>
          <w:p w14:paraId="4690CE84">
            <w:pPr>
              <w:jc w:val="center"/>
              <w:rPr>
                <w:rFonts w:ascii="宋体" w:hAnsi="宋体" w:cs="宋体"/>
                <w:color w:val="000000"/>
                <w:kern w:val="0"/>
                <w:sz w:val="22"/>
                <w:szCs w:val="22"/>
              </w:rPr>
            </w:pPr>
            <w:r>
              <w:rPr>
                <w:rFonts w:hint="eastAsia" w:ascii="宋体" w:hAnsi="宋体" w:cs="宋体"/>
                <w:color w:val="000000"/>
                <w:kern w:val="0"/>
                <w:sz w:val="22"/>
                <w:szCs w:val="22"/>
              </w:rPr>
              <w:t>-21.55</w:t>
            </w:r>
          </w:p>
        </w:tc>
        <w:tc>
          <w:tcPr>
            <w:tcW w:w="992" w:type="dxa"/>
            <w:shd w:val="clear" w:color="auto" w:fill="auto"/>
            <w:noWrap/>
            <w:vAlign w:val="center"/>
          </w:tcPr>
          <w:p w14:paraId="3C4F7C23">
            <w:pPr>
              <w:jc w:val="center"/>
              <w:rPr>
                <w:rFonts w:ascii="宋体" w:hAnsi="宋体" w:cs="宋体"/>
                <w:color w:val="000000"/>
                <w:kern w:val="0"/>
                <w:sz w:val="22"/>
                <w:szCs w:val="22"/>
              </w:rPr>
            </w:pPr>
            <w:r>
              <w:rPr>
                <w:rFonts w:hint="eastAsia" w:ascii="宋体" w:hAnsi="宋体" w:cs="宋体"/>
                <w:color w:val="000000"/>
                <w:kern w:val="0"/>
                <w:sz w:val="22"/>
                <w:szCs w:val="22"/>
              </w:rPr>
              <w:t>337.63</w:t>
            </w:r>
          </w:p>
        </w:tc>
        <w:tc>
          <w:tcPr>
            <w:tcW w:w="850" w:type="dxa"/>
            <w:shd w:val="clear" w:color="auto" w:fill="auto"/>
            <w:vAlign w:val="center"/>
          </w:tcPr>
          <w:p w14:paraId="505A30EB">
            <w:pPr>
              <w:jc w:val="center"/>
              <w:rPr>
                <w:color w:val="000000"/>
                <w:kern w:val="0"/>
                <w:szCs w:val="21"/>
              </w:rPr>
            </w:pPr>
            <w:r>
              <w:rPr>
                <w:color w:val="000000"/>
                <w:kern w:val="0"/>
                <w:szCs w:val="21"/>
              </w:rPr>
              <w:t>1</w:t>
            </w:r>
          </w:p>
        </w:tc>
        <w:tc>
          <w:tcPr>
            <w:tcW w:w="851" w:type="dxa"/>
            <w:shd w:val="clear" w:color="auto" w:fill="auto"/>
            <w:vAlign w:val="center"/>
          </w:tcPr>
          <w:p w14:paraId="2F1377EC">
            <w:pPr>
              <w:jc w:val="center"/>
              <w:rPr>
                <w:color w:val="000000"/>
                <w:kern w:val="0"/>
                <w:szCs w:val="21"/>
              </w:rPr>
            </w:pPr>
            <w:r>
              <w:rPr>
                <w:color w:val="000000"/>
                <w:kern w:val="0"/>
                <w:szCs w:val="21"/>
              </w:rPr>
              <w:t>4</w:t>
            </w:r>
            <w:r>
              <w:rPr>
                <w:rFonts w:hint="eastAsia" w:ascii="宋体" w:hAnsi="宋体"/>
                <w:color w:val="000000"/>
                <w:kern w:val="0"/>
                <w:szCs w:val="21"/>
              </w:rPr>
              <w:t>（东北）</w:t>
            </w:r>
          </w:p>
        </w:tc>
        <w:tc>
          <w:tcPr>
            <w:tcW w:w="890" w:type="dxa"/>
            <w:shd w:val="clear" w:color="auto" w:fill="auto"/>
            <w:vAlign w:val="center"/>
          </w:tcPr>
          <w:p w14:paraId="18EC5654">
            <w:pPr>
              <w:jc w:val="center"/>
              <w:rPr>
                <w:color w:val="000000"/>
                <w:kern w:val="0"/>
                <w:szCs w:val="21"/>
              </w:rPr>
            </w:pPr>
            <w:r>
              <w:rPr>
                <w:color w:val="000000"/>
                <w:kern w:val="0"/>
                <w:szCs w:val="21"/>
              </w:rPr>
              <w:t>60</w:t>
            </w:r>
          </w:p>
        </w:tc>
        <w:tc>
          <w:tcPr>
            <w:tcW w:w="669" w:type="dxa"/>
            <w:vMerge w:val="continue"/>
            <w:vAlign w:val="center"/>
          </w:tcPr>
          <w:p w14:paraId="3DB893D5">
            <w:pPr>
              <w:jc w:val="center"/>
              <w:rPr>
                <w:rFonts w:ascii="宋体" w:hAnsi="宋体" w:cs="宋体"/>
                <w:color w:val="000000"/>
                <w:kern w:val="0"/>
                <w:szCs w:val="21"/>
              </w:rPr>
            </w:pPr>
          </w:p>
        </w:tc>
        <w:tc>
          <w:tcPr>
            <w:tcW w:w="851" w:type="dxa"/>
            <w:shd w:val="clear" w:color="auto" w:fill="auto"/>
            <w:vAlign w:val="center"/>
          </w:tcPr>
          <w:p w14:paraId="6D0C1882">
            <w:pPr>
              <w:jc w:val="center"/>
              <w:rPr>
                <w:color w:val="000000"/>
                <w:kern w:val="0"/>
                <w:szCs w:val="21"/>
              </w:rPr>
            </w:pPr>
            <w:r>
              <w:rPr>
                <w:color w:val="000000"/>
                <w:kern w:val="0"/>
                <w:szCs w:val="21"/>
              </w:rPr>
              <w:t>15</w:t>
            </w:r>
          </w:p>
        </w:tc>
        <w:tc>
          <w:tcPr>
            <w:tcW w:w="850" w:type="dxa"/>
            <w:shd w:val="clear" w:color="auto" w:fill="auto"/>
            <w:vAlign w:val="center"/>
          </w:tcPr>
          <w:p w14:paraId="04153408">
            <w:pPr>
              <w:jc w:val="center"/>
              <w:rPr>
                <w:color w:val="000000"/>
                <w:kern w:val="0"/>
                <w:szCs w:val="21"/>
              </w:rPr>
            </w:pPr>
            <w:r>
              <w:rPr>
                <w:color w:val="000000"/>
                <w:kern w:val="0"/>
                <w:szCs w:val="21"/>
              </w:rPr>
              <w:t>45</w:t>
            </w:r>
          </w:p>
        </w:tc>
        <w:tc>
          <w:tcPr>
            <w:tcW w:w="770" w:type="dxa"/>
            <w:shd w:val="clear" w:color="auto" w:fill="auto"/>
            <w:vAlign w:val="center"/>
          </w:tcPr>
          <w:p w14:paraId="3C79D3AC">
            <w:pPr>
              <w:jc w:val="center"/>
              <w:rPr>
                <w:color w:val="000000"/>
                <w:kern w:val="0"/>
                <w:szCs w:val="21"/>
              </w:rPr>
            </w:pPr>
            <w:r>
              <w:rPr>
                <w:color w:val="000000"/>
                <w:kern w:val="0"/>
                <w:szCs w:val="21"/>
              </w:rPr>
              <w:t>1</w:t>
            </w:r>
          </w:p>
        </w:tc>
      </w:tr>
      <w:tr w14:paraId="1E524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0F181844">
            <w:pPr>
              <w:jc w:val="center"/>
              <w:rPr>
                <w:color w:val="000000"/>
                <w:kern w:val="0"/>
                <w:szCs w:val="21"/>
              </w:rPr>
            </w:pPr>
            <w:r>
              <w:rPr>
                <w:color w:val="000000"/>
                <w:kern w:val="0"/>
                <w:szCs w:val="21"/>
              </w:rPr>
              <w:t>22</w:t>
            </w:r>
          </w:p>
        </w:tc>
        <w:tc>
          <w:tcPr>
            <w:tcW w:w="1292" w:type="dxa"/>
            <w:vMerge w:val="continue"/>
            <w:vAlign w:val="center"/>
          </w:tcPr>
          <w:p w14:paraId="2A6798A9">
            <w:pPr>
              <w:jc w:val="center"/>
              <w:rPr>
                <w:rFonts w:ascii="宋体" w:hAnsi="宋体" w:cs="宋体"/>
                <w:color w:val="000000"/>
                <w:kern w:val="0"/>
                <w:szCs w:val="21"/>
              </w:rPr>
            </w:pPr>
          </w:p>
        </w:tc>
        <w:tc>
          <w:tcPr>
            <w:tcW w:w="851" w:type="dxa"/>
            <w:shd w:val="clear" w:color="auto" w:fill="auto"/>
            <w:vAlign w:val="center"/>
          </w:tcPr>
          <w:p w14:paraId="63584876">
            <w:pPr>
              <w:jc w:val="center"/>
              <w:rPr>
                <w:rFonts w:ascii="宋体" w:hAnsi="宋体" w:cs="宋体"/>
                <w:color w:val="000000"/>
                <w:kern w:val="0"/>
                <w:szCs w:val="21"/>
              </w:rPr>
            </w:pPr>
            <w:r>
              <w:rPr>
                <w:rFonts w:hint="eastAsia" w:ascii="宋体" w:hAnsi="宋体" w:cs="宋体"/>
                <w:color w:val="000000"/>
                <w:kern w:val="0"/>
                <w:szCs w:val="21"/>
              </w:rPr>
              <w:t>TMR机#2</w:t>
            </w:r>
          </w:p>
        </w:tc>
        <w:tc>
          <w:tcPr>
            <w:tcW w:w="1984" w:type="dxa"/>
            <w:shd w:val="clear" w:color="auto" w:fill="auto"/>
            <w:vAlign w:val="center"/>
          </w:tcPr>
          <w:p w14:paraId="4CE0B221">
            <w:pPr>
              <w:jc w:val="center"/>
              <w:rPr>
                <w:color w:val="000000"/>
                <w:kern w:val="0"/>
                <w:szCs w:val="21"/>
              </w:rPr>
            </w:pPr>
            <w:r>
              <w:rPr>
                <w:color w:val="000000"/>
                <w:kern w:val="0"/>
                <w:szCs w:val="21"/>
              </w:rPr>
              <w:t>80</w:t>
            </w:r>
          </w:p>
        </w:tc>
        <w:tc>
          <w:tcPr>
            <w:tcW w:w="1560" w:type="dxa"/>
            <w:vMerge w:val="continue"/>
            <w:vAlign w:val="center"/>
          </w:tcPr>
          <w:p w14:paraId="631E7EF7">
            <w:pPr>
              <w:jc w:val="center"/>
              <w:rPr>
                <w:rFonts w:ascii="宋体" w:hAnsi="宋体" w:cs="宋体"/>
                <w:color w:val="000000"/>
                <w:kern w:val="0"/>
                <w:szCs w:val="21"/>
              </w:rPr>
            </w:pPr>
          </w:p>
        </w:tc>
        <w:tc>
          <w:tcPr>
            <w:tcW w:w="1134" w:type="dxa"/>
            <w:shd w:val="clear" w:color="auto" w:fill="auto"/>
            <w:noWrap/>
            <w:vAlign w:val="center"/>
          </w:tcPr>
          <w:p w14:paraId="23F9C7E9">
            <w:pPr>
              <w:jc w:val="center"/>
              <w:rPr>
                <w:rFonts w:ascii="宋体" w:hAnsi="宋体" w:cs="宋体"/>
                <w:color w:val="000000"/>
                <w:kern w:val="0"/>
                <w:sz w:val="22"/>
                <w:szCs w:val="22"/>
              </w:rPr>
            </w:pPr>
            <w:r>
              <w:rPr>
                <w:rFonts w:hint="eastAsia" w:ascii="宋体" w:hAnsi="宋体" w:cs="宋体"/>
                <w:color w:val="000000"/>
                <w:kern w:val="0"/>
                <w:sz w:val="22"/>
                <w:szCs w:val="22"/>
              </w:rPr>
              <w:t>-23.63</w:t>
            </w:r>
          </w:p>
        </w:tc>
        <w:tc>
          <w:tcPr>
            <w:tcW w:w="992" w:type="dxa"/>
            <w:shd w:val="clear" w:color="auto" w:fill="auto"/>
            <w:noWrap/>
            <w:vAlign w:val="center"/>
          </w:tcPr>
          <w:p w14:paraId="40770AFD">
            <w:pPr>
              <w:jc w:val="center"/>
              <w:rPr>
                <w:rFonts w:ascii="宋体" w:hAnsi="宋体" w:cs="宋体"/>
                <w:color w:val="000000"/>
                <w:kern w:val="0"/>
                <w:sz w:val="22"/>
                <w:szCs w:val="22"/>
              </w:rPr>
            </w:pPr>
            <w:r>
              <w:rPr>
                <w:rFonts w:hint="eastAsia" w:ascii="宋体" w:hAnsi="宋体" w:cs="宋体"/>
                <w:color w:val="000000"/>
                <w:kern w:val="0"/>
                <w:sz w:val="22"/>
                <w:szCs w:val="22"/>
              </w:rPr>
              <w:t>340.87</w:t>
            </w:r>
          </w:p>
        </w:tc>
        <w:tc>
          <w:tcPr>
            <w:tcW w:w="850" w:type="dxa"/>
            <w:shd w:val="clear" w:color="auto" w:fill="auto"/>
            <w:vAlign w:val="center"/>
          </w:tcPr>
          <w:p w14:paraId="31ED617B">
            <w:pPr>
              <w:jc w:val="center"/>
              <w:rPr>
                <w:color w:val="000000"/>
                <w:kern w:val="0"/>
                <w:szCs w:val="21"/>
              </w:rPr>
            </w:pPr>
            <w:r>
              <w:rPr>
                <w:color w:val="000000"/>
                <w:kern w:val="0"/>
                <w:szCs w:val="21"/>
              </w:rPr>
              <w:t>1</w:t>
            </w:r>
          </w:p>
        </w:tc>
        <w:tc>
          <w:tcPr>
            <w:tcW w:w="851" w:type="dxa"/>
            <w:shd w:val="clear" w:color="auto" w:fill="auto"/>
            <w:vAlign w:val="center"/>
          </w:tcPr>
          <w:p w14:paraId="7AC16FCA">
            <w:pPr>
              <w:jc w:val="center"/>
              <w:rPr>
                <w:color w:val="000000"/>
                <w:kern w:val="0"/>
                <w:szCs w:val="21"/>
              </w:rPr>
            </w:pPr>
            <w:r>
              <w:rPr>
                <w:color w:val="000000"/>
                <w:kern w:val="0"/>
                <w:szCs w:val="21"/>
              </w:rPr>
              <w:t>4</w:t>
            </w:r>
            <w:r>
              <w:rPr>
                <w:rFonts w:hint="eastAsia" w:ascii="宋体" w:hAnsi="宋体"/>
                <w:color w:val="000000"/>
                <w:kern w:val="0"/>
                <w:szCs w:val="21"/>
              </w:rPr>
              <w:t>（东北）</w:t>
            </w:r>
          </w:p>
        </w:tc>
        <w:tc>
          <w:tcPr>
            <w:tcW w:w="890" w:type="dxa"/>
            <w:shd w:val="clear" w:color="auto" w:fill="auto"/>
            <w:vAlign w:val="center"/>
          </w:tcPr>
          <w:p w14:paraId="69EA9CDB">
            <w:pPr>
              <w:jc w:val="center"/>
              <w:rPr>
                <w:color w:val="000000"/>
                <w:kern w:val="0"/>
                <w:szCs w:val="21"/>
              </w:rPr>
            </w:pPr>
            <w:r>
              <w:rPr>
                <w:color w:val="000000"/>
                <w:kern w:val="0"/>
                <w:szCs w:val="21"/>
              </w:rPr>
              <w:t>60</w:t>
            </w:r>
          </w:p>
        </w:tc>
        <w:tc>
          <w:tcPr>
            <w:tcW w:w="669" w:type="dxa"/>
            <w:vMerge w:val="continue"/>
            <w:vAlign w:val="center"/>
          </w:tcPr>
          <w:p w14:paraId="68905CCA">
            <w:pPr>
              <w:jc w:val="center"/>
              <w:rPr>
                <w:rFonts w:ascii="宋体" w:hAnsi="宋体" w:cs="宋体"/>
                <w:color w:val="000000"/>
                <w:kern w:val="0"/>
                <w:szCs w:val="21"/>
              </w:rPr>
            </w:pPr>
          </w:p>
        </w:tc>
        <w:tc>
          <w:tcPr>
            <w:tcW w:w="851" w:type="dxa"/>
            <w:shd w:val="clear" w:color="auto" w:fill="auto"/>
            <w:vAlign w:val="center"/>
          </w:tcPr>
          <w:p w14:paraId="0544AC6B">
            <w:pPr>
              <w:jc w:val="center"/>
              <w:rPr>
                <w:color w:val="000000"/>
                <w:kern w:val="0"/>
                <w:szCs w:val="21"/>
              </w:rPr>
            </w:pPr>
            <w:r>
              <w:rPr>
                <w:color w:val="000000"/>
                <w:kern w:val="0"/>
                <w:szCs w:val="21"/>
              </w:rPr>
              <w:t>15</w:t>
            </w:r>
          </w:p>
        </w:tc>
        <w:tc>
          <w:tcPr>
            <w:tcW w:w="850" w:type="dxa"/>
            <w:shd w:val="clear" w:color="auto" w:fill="auto"/>
            <w:vAlign w:val="center"/>
          </w:tcPr>
          <w:p w14:paraId="36974217">
            <w:pPr>
              <w:jc w:val="center"/>
              <w:rPr>
                <w:color w:val="000000"/>
                <w:kern w:val="0"/>
                <w:szCs w:val="21"/>
              </w:rPr>
            </w:pPr>
            <w:r>
              <w:rPr>
                <w:color w:val="000000"/>
                <w:kern w:val="0"/>
                <w:szCs w:val="21"/>
              </w:rPr>
              <w:t>45</w:t>
            </w:r>
          </w:p>
        </w:tc>
        <w:tc>
          <w:tcPr>
            <w:tcW w:w="770" w:type="dxa"/>
            <w:shd w:val="clear" w:color="auto" w:fill="auto"/>
            <w:vAlign w:val="center"/>
          </w:tcPr>
          <w:p w14:paraId="63CF2F31">
            <w:pPr>
              <w:jc w:val="center"/>
              <w:rPr>
                <w:color w:val="000000"/>
                <w:kern w:val="0"/>
                <w:szCs w:val="21"/>
              </w:rPr>
            </w:pPr>
            <w:r>
              <w:rPr>
                <w:color w:val="000000"/>
                <w:kern w:val="0"/>
                <w:szCs w:val="21"/>
              </w:rPr>
              <w:t>1</w:t>
            </w:r>
          </w:p>
        </w:tc>
      </w:tr>
      <w:tr w14:paraId="76C2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948" w:type="dxa"/>
            <w:gridSpan w:val="14"/>
            <w:shd w:val="clear" w:color="auto" w:fill="auto"/>
            <w:noWrap/>
            <w:vAlign w:val="center"/>
          </w:tcPr>
          <w:p w14:paraId="554297B2">
            <w:pPr>
              <w:jc w:val="center"/>
              <w:rPr>
                <w:rFonts w:ascii="宋体" w:hAnsi="宋体" w:cs="宋体"/>
                <w:b/>
                <w:bCs/>
                <w:color w:val="000000"/>
                <w:kern w:val="0"/>
                <w:sz w:val="22"/>
                <w:szCs w:val="22"/>
              </w:rPr>
            </w:pPr>
            <w:r>
              <w:rPr>
                <w:rFonts w:hint="eastAsia" w:ascii="宋体" w:hAnsi="宋体" w:cs="宋体"/>
                <w:b/>
                <w:bCs/>
                <w:color w:val="000000"/>
                <w:kern w:val="0"/>
                <w:sz w:val="22"/>
                <w:szCs w:val="22"/>
              </w:rPr>
              <w:t>塘坝养殖场区</w:t>
            </w:r>
          </w:p>
        </w:tc>
      </w:tr>
      <w:tr w14:paraId="285B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E28753D">
            <w:pPr>
              <w:jc w:val="center"/>
              <w:rPr>
                <w:color w:val="000000"/>
                <w:kern w:val="0"/>
                <w:szCs w:val="21"/>
              </w:rPr>
            </w:pPr>
            <w:r>
              <w:rPr>
                <w:color w:val="000000"/>
                <w:kern w:val="0"/>
                <w:szCs w:val="21"/>
              </w:rPr>
              <w:t>1</w:t>
            </w:r>
          </w:p>
        </w:tc>
        <w:tc>
          <w:tcPr>
            <w:tcW w:w="1292" w:type="dxa"/>
            <w:shd w:val="clear" w:color="auto" w:fill="auto"/>
            <w:noWrap/>
            <w:vAlign w:val="center"/>
          </w:tcPr>
          <w:p w14:paraId="11266D05">
            <w:pPr>
              <w:jc w:val="center"/>
              <w:rPr>
                <w:rFonts w:ascii="宋体" w:hAnsi="宋体" w:cs="宋体"/>
                <w:color w:val="000000"/>
                <w:kern w:val="0"/>
                <w:sz w:val="22"/>
                <w:szCs w:val="22"/>
              </w:rPr>
            </w:pPr>
            <w:r>
              <w:rPr>
                <w:rFonts w:hint="eastAsia" w:ascii="宋体" w:hAnsi="宋体" w:cs="宋体"/>
                <w:color w:val="000000"/>
                <w:kern w:val="0"/>
                <w:sz w:val="22"/>
                <w:szCs w:val="22"/>
              </w:rPr>
              <w:t>塘坝牛舍#1</w:t>
            </w:r>
          </w:p>
        </w:tc>
        <w:tc>
          <w:tcPr>
            <w:tcW w:w="851" w:type="dxa"/>
            <w:vMerge w:val="restart"/>
            <w:shd w:val="clear" w:color="auto" w:fill="auto"/>
            <w:noWrap/>
            <w:vAlign w:val="center"/>
          </w:tcPr>
          <w:p w14:paraId="0A3113B7">
            <w:pPr>
              <w:jc w:val="center"/>
              <w:rPr>
                <w:rFonts w:ascii="宋体" w:hAnsi="宋体" w:cs="宋体"/>
                <w:color w:val="000000"/>
                <w:kern w:val="0"/>
                <w:sz w:val="22"/>
                <w:szCs w:val="22"/>
              </w:rPr>
            </w:pPr>
            <w:r>
              <w:rPr>
                <w:rFonts w:hint="eastAsia" w:ascii="宋体" w:hAnsi="宋体" w:cs="宋体"/>
                <w:color w:val="000000"/>
                <w:kern w:val="0"/>
                <w:sz w:val="22"/>
                <w:szCs w:val="22"/>
              </w:rPr>
              <w:t>牛叫</w:t>
            </w:r>
          </w:p>
        </w:tc>
        <w:tc>
          <w:tcPr>
            <w:tcW w:w="1984" w:type="dxa"/>
            <w:vMerge w:val="restart"/>
            <w:shd w:val="clear" w:color="auto" w:fill="auto"/>
            <w:noWrap/>
            <w:vAlign w:val="center"/>
          </w:tcPr>
          <w:p w14:paraId="17CDFE1E">
            <w:pPr>
              <w:jc w:val="center"/>
              <w:rPr>
                <w:rFonts w:ascii="宋体" w:hAnsi="宋体" w:cs="宋体"/>
                <w:color w:val="000000"/>
                <w:kern w:val="0"/>
                <w:sz w:val="22"/>
                <w:szCs w:val="22"/>
              </w:rPr>
            </w:pPr>
            <w:r>
              <w:rPr>
                <w:rFonts w:hint="eastAsia" w:ascii="宋体" w:hAnsi="宋体" w:cs="宋体"/>
                <w:color w:val="000000"/>
                <w:kern w:val="0"/>
                <w:sz w:val="22"/>
                <w:szCs w:val="22"/>
              </w:rPr>
              <w:t>70</w:t>
            </w:r>
          </w:p>
        </w:tc>
        <w:tc>
          <w:tcPr>
            <w:tcW w:w="1560" w:type="dxa"/>
            <w:vMerge w:val="restart"/>
            <w:shd w:val="clear" w:color="auto" w:fill="auto"/>
            <w:noWrap/>
            <w:vAlign w:val="center"/>
          </w:tcPr>
          <w:p w14:paraId="549A85EF">
            <w:pPr>
              <w:jc w:val="center"/>
              <w:rPr>
                <w:rFonts w:ascii="宋体" w:hAnsi="宋体" w:cs="宋体"/>
                <w:color w:val="000000"/>
                <w:kern w:val="0"/>
                <w:sz w:val="22"/>
                <w:szCs w:val="22"/>
              </w:rPr>
            </w:pPr>
            <w:r>
              <w:rPr>
                <w:rFonts w:hint="eastAsia" w:ascii="宋体" w:hAnsi="宋体" w:cs="宋体"/>
                <w:color w:val="000000"/>
                <w:kern w:val="0"/>
                <w:sz w:val="22"/>
                <w:szCs w:val="22"/>
              </w:rPr>
              <w:t>绿化隔声、扰减动少、加强管理</w:t>
            </w:r>
          </w:p>
        </w:tc>
        <w:tc>
          <w:tcPr>
            <w:tcW w:w="1134" w:type="dxa"/>
            <w:shd w:val="clear" w:color="auto" w:fill="auto"/>
            <w:noWrap/>
            <w:vAlign w:val="center"/>
          </w:tcPr>
          <w:p w14:paraId="47111524">
            <w:pPr>
              <w:jc w:val="center"/>
              <w:rPr>
                <w:rFonts w:ascii="宋体" w:hAnsi="宋体" w:cs="宋体"/>
                <w:color w:val="000000"/>
                <w:kern w:val="0"/>
                <w:sz w:val="22"/>
                <w:szCs w:val="22"/>
              </w:rPr>
            </w:pPr>
            <w:r>
              <w:rPr>
                <w:rFonts w:hint="eastAsia" w:ascii="宋体" w:hAnsi="宋体" w:cs="宋体"/>
                <w:color w:val="000000"/>
                <w:kern w:val="0"/>
                <w:sz w:val="22"/>
                <w:szCs w:val="22"/>
              </w:rPr>
              <w:t>98.26</w:t>
            </w:r>
          </w:p>
        </w:tc>
        <w:tc>
          <w:tcPr>
            <w:tcW w:w="992" w:type="dxa"/>
            <w:shd w:val="clear" w:color="auto" w:fill="auto"/>
            <w:noWrap/>
            <w:vAlign w:val="center"/>
          </w:tcPr>
          <w:p w14:paraId="7564CE75">
            <w:pPr>
              <w:jc w:val="center"/>
              <w:rPr>
                <w:rFonts w:ascii="宋体" w:hAnsi="宋体" w:cs="宋体"/>
                <w:color w:val="000000"/>
                <w:kern w:val="0"/>
                <w:sz w:val="22"/>
                <w:szCs w:val="22"/>
              </w:rPr>
            </w:pPr>
            <w:r>
              <w:rPr>
                <w:rFonts w:hint="eastAsia" w:ascii="宋体" w:hAnsi="宋体" w:cs="宋体"/>
                <w:color w:val="000000"/>
                <w:kern w:val="0"/>
                <w:sz w:val="22"/>
                <w:szCs w:val="22"/>
              </w:rPr>
              <w:t>74.22</w:t>
            </w:r>
          </w:p>
        </w:tc>
        <w:tc>
          <w:tcPr>
            <w:tcW w:w="850" w:type="dxa"/>
            <w:shd w:val="clear" w:color="auto" w:fill="auto"/>
            <w:vAlign w:val="center"/>
          </w:tcPr>
          <w:p w14:paraId="37514A2D">
            <w:pPr>
              <w:jc w:val="center"/>
              <w:rPr>
                <w:color w:val="000000"/>
                <w:kern w:val="0"/>
                <w:szCs w:val="21"/>
              </w:rPr>
            </w:pPr>
            <w:r>
              <w:rPr>
                <w:color w:val="000000"/>
                <w:kern w:val="0"/>
                <w:szCs w:val="21"/>
              </w:rPr>
              <w:t>1.2</w:t>
            </w:r>
          </w:p>
        </w:tc>
        <w:tc>
          <w:tcPr>
            <w:tcW w:w="851" w:type="dxa"/>
            <w:shd w:val="clear" w:color="auto" w:fill="auto"/>
            <w:vAlign w:val="center"/>
          </w:tcPr>
          <w:p w14:paraId="44977AF0">
            <w:pPr>
              <w:jc w:val="center"/>
              <w:rPr>
                <w:color w:val="000000"/>
                <w:kern w:val="0"/>
                <w:szCs w:val="21"/>
              </w:rPr>
            </w:pPr>
            <w:r>
              <w:rPr>
                <w:color w:val="000000"/>
                <w:kern w:val="0"/>
                <w:szCs w:val="21"/>
              </w:rPr>
              <w:t>/</w:t>
            </w:r>
          </w:p>
        </w:tc>
        <w:tc>
          <w:tcPr>
            <w:tcW w:w="890" w:type="dxa"/>
            <w:shd w:val="clear" w:color="auto" w:fill="auto"/>
            <w:vAlign w:val="center"/>
          </w:tcPr>
          <w:p w14:paraId="025413D2">
            <w:pPr>
              <w:jc w:val="center"/>
              <w:rPr>
                <w:color w:val="000000"/>
                <w:kern w:val="0"/>
                <w:szCs w:val="21"/>
              </w:rPr>
            </w:pPr>
            <w:r>
              <w:rPr>
                <w:color w:val="000000"/>
                <w:kern w:val="0"/>
                <w:szCs w:val="21"/>
              </w:rPr>
              <w:t>60</w:t>
            </w:r>
          </w:p>
        </w:tc>
        <w:tc>
          <w:tcPr>
            <w:tcW w:w="669" w:type="dxa"/>
            <w:vMerge w:val="restart"/>
            <w:shd w:val="clear" w:color="auto" w:fill="auto"/>
            <w:noWrap/>
            <w:vAlign w:val="center"/>
          </w:tcPr>
          <w:p w14:paraId="6E890F77">
            <w:pPr>
              <w:jc w:val="center"/>
              <w:rPr>
                <w:rFonts w:ascii="宋体" w:hAnsi="宋体" w:cs="宋体"/>
                <w:color w:val="000000"/>
                <w:kern w:val="0"/>
                <w:sz w:val="22"/>
                <w:szCs w:val="22"/>
              </w:rPr>
            </w:pPr>
            <w:r>
              <w:rPr>
                <w:rFonts w:hint="eastAsia" w:ascii="宋体" w:hAnsi="宋体" w:cs="宋体"/>
                <w:color w:val="000000"/>
                <w:kern w:val="0"/>
                <w:sz w:val="22"/>
                <w:szCs w:val="22"/>
              </w:rPr>
              <w:t>昼间、夜间</w:t>
            </w:r>
          </w:p>
        </w:tc>
        <w:tc>
          <w:tcPr>
            <w:tcW w:w="851" w:type="dxa"/>
            <w:shd w:val="clear" w:color="auto" w:fill="auto"/>
            <w:vAlign w:val="center"/>
          </w:tcPr>
          <w:p w14:paraId="1B234092">
            <w:pPr>
              <w:jc w:val="center"/>
              <w:rPr>
                <w:color w:val="000000"/>
                <w:kern w:val="0"/>
                <w:szCs w:val="21"/>
              </w:rPr>
            </w:pPr>
            <w:r>
              <w:rPr>
                <w:color w:val="000000"/>
                <w:kern w:val="0"/>
                <w:szCs w:val="21"/>
              </w:rPr>
              <w:t>/</w:t>
            </w:r>
          </w:p>
        </w:tc>
        <w:tc>
          <w:tcPr>
            <w:tcW w:w="850" w:type="dxa"/>
            <w:shd w:val="clear" w:color="auto" w:fill="auto"/>
            <w:vAlign w:val="center"/>
          </w:tcPr>
          <w:p w14:paraId="3270E0A8">
            <w:pPr>
              <w:jc w:val="center"/>
              <w:rPr>
                <w:color w:val="000000"/>
                <w:kern w:val="0"/>
                <w:szCs w:val="21"/>
              </w:rPr>
            </w:pPr>
            <w:r>
              <w:rPr>
                <w:color w:val="000000"/>
                <w:kern w:val="0"/>
                <w:szCs w:val="21"/>
              </w:rPr>
              <w:t>60</w:t>
            </w:r>
          </w:p>
        </w:tc>
        <w:tc>
          <w:tcPr>
            <w:tcW w:w="770" w:type="dxa"/>
            <w:shd w:val="clear" w:color="auto" w:fill="auto"/>
            <w:vAlign w:val="center"/>
          </w:tcPr>
          <w:p w14:paraId="2F6748AD">
            <w:pPr>
              <w:jc w:val="center"/>
              <w:rPr>
                <w:color w:val="000000"/>
                <w:kern w:val="0"/>
                <w:szCs w:val="21"/>
              </w:rPr>
            </w:pPr>
            <w:r>
              <w:rPr>
                <w:color w:val="000000"/>
                <w:kern w:val="0"/>
                <w:szCs w:val="21"/>
              </w:rPr>
              <w:t>1</w:t>
            </w:r>
          </w:p>
        </w:tc>
      </w:tr>
      <w:tr w14:paraId="30FD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77F4306">
            <w:pPr>
              <w:jc w:val="center"/>
              <w:rPr>
                <w:color w:val="000000"/>
                <w:kern w:val="0"/>
                <w:szCs w:val="21"/>
              </w:rPr>
            </w:pPr>
            <w:r>
              <w:rPr>
                <w:color w:val="000000"/>
                <w:kern w:val="0"/>
                <w:szCs w:val="21"/>
              </w:rPr>
              <w:t>2</w:t>
            </w:r>
          </w:p>
        </w:tc>
        <w:tc>
          <w:tcPr>
            <w:tcW w:w="1292" w:type="dxa"/>
            <w:shd w:val="clear" w:color="auto" w:fill="auto"/>
            <w:noWrap/>
            <w:vAlign w:val="center"/>
          </w:tcPr>
          <w:p w14:paraId="183B343E">
            <w:pPr>
              <w:jc w:val="center"/>
              <w:rPr>
                <w:rFonts w:ascii="宋体" w:hAnsi="宋体" w:cs="宋体"/>
                <w:color w:val="000000"/>
                <w:kern w:val="0"/>
                <w:sz w:val="22"/>
                <w:szCs w:val="22"/>
              </w:rPr>
            </w:pPr>
            <w:r>
              <w:rPr>
                <w:rFonts w:hint="eastAsia" w:ascii="宋体" w:hAnsi="宋体" w:cs="宋体"/>
                <w:color w:val="000000"/>
                <w:kern w:val="0"/>
                <w:sz w:val="22"/>
                <w:szCs w:val="22"/>
              </w:rPr>
              <w:t>塘坝牛舍#2</w:t>
            </w:r>
          </w:p>
        </w:tc>
        <w:tc>
          <w:tcPr>
            <w:tcW w:w="851" w:type="dxa"/>
            <w:vMerge w:val="continue"/>
            <w:vAlign w:val="center"/>
          </w:tcPr>
          <w:p w14:paraId="324FFA0D">
            <w:pPr>
              <w:jc w:val="center"/>
              <w:rPr>
                <w:rFonts w:ascii="宋体" w:hAnsi="宋体" w:cs="宋体"/>
                <w:color w:val="000000"/>
                <w:kern w:val="0"/>
                <w:sz w:val="22"/>
                <w:szCs w:val="22"/>
              </w:rPr>
            </w:pPr>
          </w:p>
        </w:tc>
        <w:tc>
          <w:tcPr>
            <w:tcW w:w="1984" w:type="dxa"/>
            <w:vMerge w:val="continue"/>
            <w:vAlign w:val="center"/>
          </w:tcPr>
          <w:p w14:paraId="4138A229">
            <w:pPr>
              <w:jc w:val="center"/>
              <w:rPr>
                <w:rFonts w:ascii="宋体" w:hAnsi="宋体" w:cs="宋体"/>
                <w:color w:val="000000"/>
                <w:kern w:val="0"/>
                <w:sz w:val="22"/>
                <w:szCs w:val="22"/>
              </w:rPr>
            </w:pPr>
          </w:p>
        </w:tc>
        <w:tc>
          <w:tcPr>
            <w:tcW w:w="1560" w:type="dxa"/>
            <w:vMerge w:val="continue"/>
            <w:vAlign w:val="center"/>
          </w:tcPr>
          <w:p w14:paraId="34B1C5C7">
            <w:pPr>
              <w:jc w:val="center"/>
              <w:rPr>
                <w:rFonts w:ascii="宋体" w:hAnsi="宋体" w:cs="宋体"/>
                <w:color w:val="000000"/>
                <w:kern w:val="0"/>
                <w:sz w:val="22"/>
                <w:szCs w:val="22"/>
              </w:rPr>
            </w:pPr>
          </w:p>
        </w:tc>
        <w:tc>
          <w:tcPr>
            <w:tcW w:w="1134" w:type="dxa"/>
            <w:shd w:val="clear" w:color="auto" w:fill="auto"/>
            <w:noWrap/>
            <w:vAlign w:val="center"/>
          </w:tcPr>
          <w:p w14:paraId="22FD36B1">
            <w:pPr>
              <w:jc w:val="center"/>
              <w:rPr>
                <w:rFonts w:ascii="宋体" w:hAnsi="宋体" w:cs="宋体"/>
                <w:color w:val="000000"/>
                <w:kern w:val="0"/>
                <w:sz w:val="22"/>
                <w:szCs w:val="22"/>
              </w:rPr>
            </w:pPr>
            <w:r>
              <w:rPr>
                <w:rFonts w:hint="eastAsia" w:ascii="宋体" w:hAnsi="宋体" w:cs="宋体"/>
                <w:color w:val="000000"/>
                <w:kern w:val="0"/>
                <w:sz w:val="22"/>
                <w:szCs w:val="22"/>
              </w:rPr>
              <w:t>146.16</w:t>
            </w:r>
          </w:p>
        </w:tc>
        <w:tc>
          <w:tcPr>
            <w:tcW w:w="992" w:type="dxa"/>
            <w:shd w:val="clear" w:color="auto" w:fill="auto"/>
            <w:noWrap/>
            <w:vAlign w:val="center"/>
          </w:tcPr>
          <w:p w14:paraId="6727DE25">
            <w:pPr>
              <w:jc w:val="center"/>
              <w:rPr>
                <w:rFonts w:ascii="宋体" w:hAnsi="宋体" w:cs="宋体"/>
                <w:color w:val="000000"/>
                <w:kern w:val="0"/>
                <w:sz w:val="22"/>
                <w:szCs w:val="22"/>
              </w:rPr>
            </w:pPr>
            <w:r>
              <w:rPr>
                <w:rFonts w:hint="eastAsia" w:ascii="宋体" w:hAnsi="宋体" w:cs="宋体"/>
                <w:color w:val="000000"/>
                <w:kern w:val="0"/>
                <w:sz w:val="22"/>
                <w:szCs w:val="22"/>
              </w:rPr>
              <w:t>61.86</w:t>
            </w:r>
          </w:p>
        </w:tc>
        <w:tc>
          <w:tcPr>
            <w:tcW w:w="850" w:type="dxa"/>
            <w:shd w:val="clear" w:color="auto" w:fill="auto"/>
            <w:vAlign w:val="center"/>
          </w:tcPr>
          <w:p w14:paraId="7F8213F8">
            <w:pPr>
              <w:jc w:val="center"/>
              <w:rPr>
                <w:color w:val="000000"/>
                <w:kern w:val="0"/>
                <w:szCs w:val="21"/>
              </w:rPr>
            </w:pPr>
            <w:r>
              <w:rPr>
                <w:color w:val="000000"/>
                <w:kern w:val="0"/>
                <w:szCs w:val="21"/>
              </w:rPr>
              <w:t>1.2</w:t>
            </w:r>
          </w:p>
        </w:tc>
        <w:tc>
          <w:tcPr>
            <w:tcW w:w="851" w:type="dxa"/>
            <w:shd w:val="clear" w:color="auto" w:fill="auto"/>
            <w:vAlign w:val="center"/>
          </w:tcPr>
          <w:p w14:paraId="3C450BD4">
            <w:pPr>
              <w:jc w:val="center"/>
              <w:rPr>
                <w:color w:val="000000"/>
                <w:kern w:val="0"/>
                <w:szCs w:val="21"/>
              </w:rPr>
            </w:pPr>
            <w:r>
              <w:rPr>
                <w:color w:val="000000"/>
                <w:kern w:val="0"/>
                <w:szCs w:val="21"/>
              </w:rPr>
              <w:t>/</w:t>
            </w:r>
          </w:p>
        </w:tc>
        <w:tc>
          <w:tcPr>
            <w:tcW w:w="890" w:type="dxa"/>
            <w:shd w:val="clear" w:color="auto" w:fill="auto"/>
            <w:vAlign w:val="center"/>
          </w:tcPr>
          <w:p w14:paraId="3FE38BDF">
            <w:pPr>
              <w:jc w:val="center"/>
              <w:rPr>
                <w:color w:val="000000"/>
                <w:kern w:val="0"/>
                <w:szCs w:val="21"/>
              </w:rPr>
            </w:pPr>
            <w:r>
              <w:rPr>
                <w:color w:val="000000"/>
                <w:kern w:val="0"/>
                <w:szCs w:val="21"/>
              </w:rPr>
              <w:t>60</w:t>
            </w:r>
          </w:p>
        </w:tc>
        <w:tc>
          <w:tcPr>
            <w:tcW w:w="669" w:type="dxa"/>
            <w:vMerge w:val="continue"/>
            <w:vAlign w:val="center"/>
          </w:tcPr>
          <w:p w14:paraId="1779CB45">
            <w:pPr>
              <w:jc w:val="center"/>
              <w:rPr>
                <w:rFonts w:ascii="宋体" w:hAnsi="宋体" w:cs="宋体"/>
                <w:color w:val="000000"/>
                <w:kern w:val="0"/>
                <w:sz w:val="22"/>
                <w:szCs w:val="22"/>
              </w:rPr>
            </w:pPr>
          </w:p>
        </w:tc>
        <w:tc>
          <w:tcPr>
            <w:tcW w:w="851" w:type="dxa"/>
            <w:shd w:val="clear" w:color="auto" w:fill="auto"/>
            <w:vAlign w:val="center"/>
          </w:tcPr>
          <w:p w14:paraId="3677E711">
            <w:pPr>
              <w:jc w:val="center"/>
              <w:rPr>
                <w:color w:val="000000"/>
                <w:kern w:val="0"/>
                <w:szCs w:val="21"/>
              </w:rPr>
            </w:pPr>
            <w:r>
              <w:rPr>
                <w:color w:val="000000"/>
                <w:kern w:val="0"/>
                <w:szCs w:val="21"/>
              </w:rPr>
              <w:t>/</w:t>
            </w:r>
          </w:p>
        </w:tc>
        <w:tc>
          <w:tcPr>
            <w:tcW w:w="850" w:type="dxa"/>
            <w:shd w:val="clear" w:color="auto" w:fill="auto"/>
            <w:vAlign w:val="center"/>
          </w:tcPr>
          <w:p w14:paraId="30E83837">
            <w:pPr>
              <w:jc w:val="center"/>
              <w:rPr>
                <w:color w:val="000000"/>
                <w:kern w:val="0"/>
                <w:szCs w:val="21"/>
              </w:rPr>
            </w:pPr>
            <w:r>
              <w:rPr>
                <w:color w:val="000000"/>
                <w:kern w:val="0"/>
                <w:szCs w:val="21"/>
              </w:rPr>
              <w:t>60</w:t>
            </w:r>
          </w:p>
        </w:tc>
        <w:tc>
          <w:tcPr>
            <w:tcW w:w="770" w:type="dxa"/>
            <w:shd w:val="clear" w:color="auto" w:fill="auto"/>
            <w:vAlign w:val="center"/>
          </w:tcPr>
          <w:p w14:paraId="57C162EE">
            <w:pPr>
              <w:jc w:val="center"/>
              <w:rPr>
                <w:color w:val="000000"/>
                <w:kern w:val="0"/>
                <w:szCs w:val="21"/>
              </w:rPr>
            </w:pPr>
            <w:r>
              <w:rPr>
                <w:color w:val="000000"/>
                <w:kern w:val="0"/>
                <w:szCs w:val="21"/>
              </w:rPr>
              <w:t>1</w:t>
            </w:r>
          </w:p>
        </w:tc>
      </w:tr>
      <w:tr w14:paraId="5208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CA23D8F">
            <w:pPr>
              <w:jc w:val="center"/>
              <w:rPr>
                <w:color w:val="000000"/>
                <w:kern w:val="0"/>
                <w:szCs w:val="21"/>
              </w:rPr>
            </w:pPr>
            <w:r>
              <w:rPr>
                <w:color w:val="000000"/>
                <w:kern w:val="0"/>
                <w:szCs w:val="21"/>
              </w:rPr>
              <w:t>3</w:t>
            </w:r>
          </w:p>
        </w:tc>
        <w:tc>
          <w:tcPr>
            <w:tcW w:w="1292" w:type="dxa"/>
            <w:shd w:val="clear" w:color="auto" w:fill="auto"/>
            <w:noWrap/>
            <w:vAlign w:val="center"/>
          </w:tcPr>
          <w:p w14:paraId="772097D3">
            <w:pPr>
              <w:jc w:val="center"/>
              <w:rPr>
                <w:rFonts w:ascii="宋体" w:hAnsi="宋体" w:cs="宋体"/>
                <w:color w:val="000000"/>
                <w:kern w:val="0"/>
                <w:sz w:val="22"/>
                <w:szCs w:val="22"/>
              </w:rPr>
            </w:pPr>
            <w:r>
              <w:rPr>
                <w:rFonts w:hint="eastAsia" w:ascii="宋体" w:hAnsi="宋体" w:cs="宋体"/>
                <w:color w:val="000000"/>
                <w:kern w:val="0"/>
                <w:sz w:val="22"/>
                <w:szCs w:val="22"/>
              </w:rPr>
              <w:t>塘坝牛舍#3</w:t>
            </w:r>
          </w:p>
        </w:tc>
        <w:tc>
          <w:tcPr>
            <w:tcW w:w="851" w:type="dxa"/>
            <w:vMerge w:val="continue"/>
            <w:vAlign w:val="center"/>
          </w:tcPr>
          <w:p w14:paraId="386D63AD">
            <w:pPr>
              <w:jc w:val="center"/>
              <w:rPr>
                <w:rFonts w:ascii="宋体" w:hAnsi="宋体" w:cs="宋体"/>
                <w:color w:val="000000"/>
                <w:kern w:val="0"/>
                <w:sz w:val="22"/>
                <w:szCs w:val="22"/>
              </w:rPr>
            </w:pPr>
          </w:p>
        </w:tc>
        <w:tc>
          <w:tcPr>
            <w:tcW w:w="1984" w:type="dxa"/>
            <w:vMerge w:val="continue"/>
            <w:vAlign w:val="center"/>
          </w:tcPr>
          <w:p w14:paraId="5795BE96">
            <w:pPr>
              <w:jc w:val="center"/>
              <w:rPr>
                <w:rFonts w:ascii="宋体" w:hAnsi="宋体" w:cs="宋体"/>
                <w:color w:val="000000"/>
                <w:kern w:val="0"/>
                <w:sz w:val="22"/>
                <w:szCs w:val="22"/>
              </w:rPr>
            </w:pPr>
          </w:p>
        </w:tc>
        <w:tc>
          <w:tcPr>
            <w:tcW w:w="1560" w:type="dxa"/>
            <w:vMerge w:val="continue"/>
            <w:vAlign w:val="center"/>
          </w:tcPr>
          <w:p w14:paraId="26BD590F">
            <w:pPr>
              <w:jc w:val="center"/>
              <w:rPr>
                <w:rFonts w:ascii="宋体" w:hAnsi="宋体" w:cs="宋体"/>
                <w:color w:val="000000"/>
                <w:kern w:val="0"/>
                <w:sz w:val="22"/>
                <w:szCs w:val="22"/>
              </w:rPr>
            </w:pPr>
          </w:p>
        </w:tc>
        <w:tc>
          <w:tcPr>
            <w:tcW w:w="1134" w:type="dxa"/>
            <w:shd w:val="clear" w:color="auto" w:fill="auto"/>
            <w:noWrap/>
            <w:vAlign w:val="center"/>
          </w:tcPr>
          <w:p w14:paraId="490E62C0">
            <w:pPr>
              <w:jc w:val="center"/>
              <w:rPr>
                <w:rFonts w:ascii="宋体" w:hAnsi="宋体" w:cs="宋体"/>
                <w:color w:val="000000"/>
                <w:kern w:val="0"/>
                <w:sz w:val="22"/>
                <w:szCs w:val="22"/>
              </w:rPr>
            </w:pPr>
            <w:r>
              <w:rPr>
                <w:rFonts w:hint="eastAsia" w:ascii="宋体" w:hAnsi="宋体" w:cs="宋体"/>
                <w:color w:val="000000"/>
                <w:kern w:val="0"/>
                <w:sz w:val="22"/>
                <w:szCs w:val="22"/>
              </w:rPr>
              <w:t>194.06</w:t>
            </w:r>
          </w:p>
        </w:tc>
        <w:tc>
          <w:tcPr>
            <w:tcW w:w="992" w:type="dxa"/>
            <w:shd w:val="clear" w:color="auto" w:fill="auto"/>
            <w:noWrap/>
            <w:vAlign w:val="center"/>
          </w:tcPr>
          <w:p w14:paraId="47EF3278">
            <w:pPr>
              <w:jc w:val="center"/>
              <w:rPr>
                <w:rFonts w:ascii="宋体" w:hAnsi="宋体" w:cs="宋体"/>
                <w:color w:val="000000"/>
                <w:kern w:val="0"/>
                <w:sz w:val="22"/>
                <w:szCs w:val="22"/>
              </w:rPr>
            </w:pPr>
            <w:r>
              <w:rPr>
                <w:rFonts w:hint="eastAsia" w:ascii="宋体" w:hAnsi="宋体" w:cs="宋体"/>
                <w:color w:val="000000"/>
                <w:kern w:val="0"/>
                <w:sz w:val="22"/>
                <w:szCs w:val="22"/>
              </w:rPr>
              <w:t>51.04</w:t>
            </w:r>
          </w:p>
        </w:tc>
        <w:tc>
          <w:tcPr>
            <w:tcW w:w="850" w:type="dxa"/>
            <w:shd w:val="clear" w:color="auto" w:fill="auto"/>
            <w:vAlign w:val="center"/>
          </w:tcPr>
          <w:p w14:paraId="3E7013D0">
            <w:pPr>
              <w:jc w:val="center"/>
              <w:rPr>
                <w:color w:val="000000"/>
                <w:kern w:val="0"/>
                <w:szCs w:val="21"/>
              </w:rPr>
            </w:pPr>
            <w:r>
              <w:rPr>
                <w:color w:val="000000"/>
                <w:kern w:val="0"/>
                <w:szCs w:val="21"/>
              </w:rPr>
              <w:t>1.2</w:t>
            </w:r>
          </w:p>
        </w:tc>
        <w:tc>
          <w:tcPr>
            <w:tcW w:w="851" w:type="dxa"/>
            <w:shd w:val="clear" w:color="auto" w:fill="auto"/>
            <w:vAlign w:val="center"/>
          </w:tcPr>
          <w:p w14:paraId="6CB4F3D1">
            <w:pPr>
              <w:jc w:val="center"/>
              <w:rPr>
                <w:color w:val="000000"/>
                <w:kern w:val="0"/>
                <w:szCs w:val="21"/>
              </w:rPr>
            </w:pPr>
            <w:r>
              <w:rPr>
                <w:color w:val="000000"/>
                <w:kern w:val="0"/>
                <w:szCs w:val="21"/>
              </w:rPr>
              <w:t>/</w:t>
            </w:r>
          </w:p>
        </w:tc>
        <w:tc>
          <w:tcPr>
            <w:tcW w:w="890" w:type="dxa"/>
            <w:shd w:val="clear" w:color="auto" w:fill="auto"/>
            <w:vAlign w:val="center"/>
          </w:tcPr>
          <w:p w14:paraId="74FA9049">
            <w:pPr>
              <w:jc w:val="center"/>
              <w:rPr>
                <w:color w:val="000000"/>
                <w:kern w:val="0"/>
                <w:szCs w:val="21"/>
              </w:rPr>
            </w:pPr>
            <w:r>
              <w:rPr>
                <w:color w:val="000000"/>
                <w:kern w:val="0"/>
                <w:szCs w:val="21"/>
              </w:rPr>
              <w:t>60</w:t>
            </w:r>
          </w:p>
        </w:tc>
        <w:tc>
          <w:tcPr>
            <w:tcW w:w="669" w:type="dxa"/>
            <w:vMerge w:val="continue"/>
            <w:vAlign w:val="center"/>
          </w:tcPr>
          <w:p w14:paraId="4B7E27FF">
            <w:pPr>
              <w:jc w:val="center"/>
              <w:rPr>
                <w:rFonts w:ascii="宋体" w:hAnsi="宋体" w:cs="宋体"/>
                <w:color w:val="000000"/>
                <w:kern w:val="0"/>
                <w:sz w:val="22"/>
                <w:szCs w:val="22"/>
              </w:rPr>
            </w:pPr>
          </w:p>
        </w:tc>
        <w:tc>
          <w:tcPr>
            <w:tcW w:w="851" w:type="dxa"/>
            <w:shd w:val="clear" w:color="auto" w:fill="auto"/>
            <w:vAlign w:val="center"/>
          </w:tcPr>
          <w:p w14:paraId="41D135A2">
            <w:pPr>
              <w:jc w:val="center"/>
              <w:rPr>
                <w:color w:val="000000"/>
                <w:kern w:val="0"/>
                <w:szCs w:val="21"/>
              </w:rPr>
            </w:pPr>
            <w:r>
              <w:rPr>
                <w:color w:val="000000"/>
                <w:kern w:val="0"/>
                <w:szCs w:val="21"/>
              </w:rPr>
              <w:t>/</w:t>
            </w:r>
          </w:p>
        </w:tc>
        <w:tc>
          <w:tcPr>
            <w:tcW w:w="850" w:type="dxa"/>
            <w:shd w:val="clear" w:color="auto" w:fill="auto"/>
            <w:vAlign w:val="center"/>
          </w:tcPr>
          <w:p w14:paraId="12035315">
            <w:pPr>
              <w:jc w:val="center"/>
              <w:rPr>
                <w:color w:val="000000"/>
                <w:kern w:val="0"/>
                <w:szCs w:val="21"/>
              </w:rPr>
            </w:pPr>
            <w:r>
              <w:rPr>
                <w:color w:val="000000"/>
                <w:kern w:val="0"/>
                <w:szCs w:val="21"/>
              </w:rPr>
              <w:t>60</w:t>
            </w:r>
          </w:p>
        </w:tc>
        <w:tc>
          <w:tcPr>
            <w:tcW w:w="770" w:type="dxa"/>
            <w:shd w:val="clear" w:color="auto" w:fill="auto"/>
            <w:vAlign w:val="center"/>
          </w:tcPr>
          <w:p w14:paraId="24970E31">
            <w:pPr>
              <w:jc w:val="center"/>
              <w:rPr>
                <w:color w:val="000000"/>
                <w:kern w:val="0"/>
                <w:szCs w:val="21"/>
              </w:rPr>
            </w:pPr>
            <w:r>
              <w:rPr>
                <w:color w:val="000000"/>
                <w:kern w:val="0"/>
                <w:szCs w:val="21"/>
              </w:rPr>
              <w:t>1</w:t>
            </w:r>
          </w:p>
        </w:tc>
      </w:tr>
      <w:tr w14:paraId="3DEB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2525485">
            <w:pPr>
              <w:jc w:val="center"/>
              <w:rPr>
                <w:color w:val="000000"/>
                <w:kern w:val="0"/>
                <w:szCs w:val="21"/>
              </w:rPr>
            </w:pPr>
            <w:r>
              <w:rPr>
                <w:color w:val="000000"/>
                <w:kern w:val="0"/>
                <w:szCs w:val="21"/>
              </w:rPr>
              <w:t>4</w:t>
            </w:r>
          </w:p>
        </w:tc>
        <w:tc>
          <w:tcPr>
            <w:tcW w:w="1292" w:type="dxa"/>
            <w:shd w:val="clear" w:color="auto" w:fill="auto"/>
            <w:noWrap/>
            <w:vAlign w:val="center"/>
          </w:tcPr>
          <w:p w14:paraId="4B813A3F">
            <w:pPr>
              <w:jc w:val="center"/>
              <w:rPr>
                <w:rFonts w:ascii="宋体" w:hAnsi="宋体" w:cs="宋体"/>
                <w:color w:val="000000"/>
                <w:kern w:val="0"/>
                <w:sz w:val="22"/>
                <w:szCs w:val="22"/>
              </w:rPr>
            </w:pPr>
            <w:r>
              <w:rPr>
                <w:rFonts w:hint="eastAsia" w:ascii="宋体" w:hAnsi="宋体" w:cs="宋体"/>
                <w:color w:val="000000"/>
                <w:kern w:val="0"/>
                <w:sz w:val="22"/>
                <w:szCs w:val="22"/>
              </w:rPr>
              <w:t>塘坝牛舍#4</w:t>
            </w:r>
          </w:p>
        </w:tc>
        <w:tc>
          <w:tcPr>
            <w:tcW w:w="851" w:type="dxa"/>
            <w:vMerge w:val="continue"/>
            <w:vAlign w:val="center"/>
          </w:tcPr>
          <w:p w14:paraId="37A46B1D">
            <w:pPr>
              <w:jc w:val="center"/>
              <w:rPr>
                <w:rFonts w:ascii="宋体" w:hAnsi="宋体" w:cs="宋体"/>
                <w:color w:val="000000"/>
                <w:kern w:val="0"/>
                <w:sz w:val="22"/>
                <w:szCs w:val="22"/>
              </w:rPr>
            </w:pPr>
          </w:p>
        </w:tc>
        <w:tc>
          <w:tcPr>
            <w:tcW w:w="1984" w:type="dxa"/>
            <w:vMerge w:val="continue"/>
            <w:vAlign w:val="center"/>
          </w:tcPr>
          <w:p w14:paraId="39AE046A">
            <w:pPr>
              <w:jc w:val="center"/>
              <w:rPr>
                <w:rFonts w:ascii="宋体" w:hAnsi="宋体" w:cs="宋体"/>
                <w:color w:val="000000"/>
                <w:kern w:val="0"/>
                <w:sz w:val="22"/>
                <w:szCs w:val="22"/>
              </w:rPr>
            </w:pPr>
          </w:p>
        </w:tc>
        <w:tc>
          <w:tcPr>
            <w:tcW w:w="1560" w:type="dxa"/>
            <w:vMerge w:val="continue"/>
            <w:vAlign w:val="center"/>
          </w:tcPr>
          <w:p w14:paraId="63EC17EB">
            <w:pPr>
              <w:jc w:val="center"/>
              <w:rPr>
                <w:rFonts w:ascii="宋体" w:hAnsi="宋体" w:cs="宋体"/>
                <w:color w:val="000000"/>
                <w:kern w:val="0"/>
                <w:sz w:val="22"/>
                <w:szCs w:val="22"/>
              </w:rPr>
            </w:pPr>
          </w:p>
        </w:tc>
        <w:tc>
          <w:tcPr>
            <w:tcW w:w="1134" w:type="dxa"/>
            <w:shd w:val="clear" w:color="auto" w:fill="auto"/>
            <w:noWrap/>
            <w:vAlign w:val="center"/>
          </w:tcPr>
          <w:p w14:paraId="735E8229">
            <w:pPr>
              <w:jc w:val="center"/>
              <w:rPr>
                <w:rFonts w:ascii="宋体" w:hAnsi="宋体" w:cs="宋体"/>
                <w:color w:val="000000"/>
                <w:kern w:val="0"/>
                <w:sz w:val="22"/>
                <w:szCs w:val="22"/>
              </w:rPr>
            </w:pPr>
            <w:r>
              <w:rPr>
                <w:rFonts w:hint="eastAsia" w:ascii="宋体" w:hAnsi="宋体" w:cs="宋体"/>
                <w:color w:val="000000"/>
                <w:kern w:val="0"/>
                <w:sz w:val="22"/>
                <w:szCs w:val="22"/>
              </w:rPr>
              <w:t>243.5</w:t>
            </w:r>
          </w:p>
        </w:tc>
        <w:tc>
          <w:tcPr>
            <w:tcW w:w="992" w:type="dxa"/>
            <w:shd w:val="clear" w:color="auto" w:fill="auto"/>
            <w:noWrap/>
            <w:vAlign w:val="center"/>
          </w:tcPr>
          <w:p w14:paraId="0BB45F66">
            <w:pPr>
              <w:jc w:val="center"/>
              <w:rPr>
                <w:rFonts w:ascii="宋体" w:hAnsi="宋体" w:cs="宋体"/>
                <w:color w:val="000000"/>
                <w:kern w:val="0"/>
                <w:sz w:val="22"/>
                <w:szCs w:val="22"/>
              </w:rPr>
            </w:pPr>
            <w:r>
              <w:rPr>
                <w:rFonts w:hint="eastAsia" w:ascii="宋体" w:hAnsi="宋体" w:cs="宋体"/>
                <w:color w:val="000000"/>
                <w:kern w:val="0"/>
                <w:sz w:val="22"/>
                <w:szCs w:val="22"/>
              </w:rPr>
              <w:t>43.32</w:t>
            </w:r>
          </w:p>
        </w:tc>
        <w:tc>
          <w:tcPr>
            <w:tcW w:w="850" w:type="dxa"/>
            <w:shd w:val="clear" w:color="auto" w:fill="auto"/>
            <w:vAlign w:val="center"/>
          </w:tcPr>
          <w:p w14:paraId="21BC9350">
            <w:pPr>
              <w:jc w:val="center"/>
              <w:rPr>
                <w:color w:val="000000"/>
                <w:kern w:val="0"/>
                <w:szCs w:val="21"/>
              </w:rPr>
            </w:pPr>
            <w:r>
              <w:rPr>
                <w:color w:val="000000"/>
                <w:kern w:val="0"/>
                <w:szCs w:val="21"/>
              </w:rPr>
              <w:t>1.2</w:t>
            </w:r>
          </w:p>
        </w:tc>
        <w:tc>
          <w:tcPr>
            <w:tcW w:w="851" w:type="dxa"/>
            <w:shd w:val="clear" w:color="auto" w:fill="auto"/>
            <w:vAlign w:val="center"/>
          </w:tcPr>
          <w:p w14:paraId="5A6C33EF">
            <w:pPr>
              <w:jc w:val="center"/>
              <w:rPr>
                <w:color w:val="000000"/>
                <w:kern w:val="0"/>
                <w:szCs w:val="21"/>
              </w:rPr>
            </w:pPr>
            <w:r>
              <w:rPr>
                <w:color w:val="000000"/>
                <w:kern w:val="0"/>
                <w:szCs w:val="21"/>
              </w:rPr>
              <w:t>/</w:t>
            </w:r>
          </w:p>
        </w:tc>
        <w:tc>
          <w:tcPr>
            <w:tcW w:w="890" w:type="dxa"/>
            <w:shd w:val="clear" w:color="auto" w:fill="auto"/>
            <w:vAlign w:val="center"/>
          </w:tcPr>
          <w:p w14:paraId="041149CB">
            <w:pPr>
              <w:jc w:val="center"/>
              <w:rPr>
                <w:color w:val="000000"/>
                <w:kern w:val="0"/>
                <w:szCs w:val="21"/>
              </w:rPr>
            </w:pPr>
            <w:r>
              <w:rPr>
                <w:color w:val="000000"/>
                <w:kern w:val="0"/>
                <w:szCs w:val="21"/>
              </w:rPr>
              <w:t>60</w:t>
            </w:r>
          </w:p>
        </w:tc>
        <w:tc>
          <w:tcPr>
            <w:tcW w:w="669" w:type="dxa"/>
            <w:vMerge w:val="continue"/>
            <w:vAlign w:val="center"/>
          </w:tcPr>
          <w:p w14:paraId="2648AECA">
            <w:pPr>
              <w:jc w:val="center"/>
              <w:rPr>
                <w:rFonts w:ascii="宋体" w:hAnsi="宋体" w:cs="宋体"/>
                <w:color w:val="000000"/>
                <w:kern w:val="0"/>
                <w:sz w:val="22"/>
                <w:szCs w:val="22"/>
              </w:rPr>
            </w:pPr>
          </w:p>
        </w:tc>
        <w:tc>
          <w:tcPr>
            <w:tcW w:w="851" w:type="dxa"/>
            <w:shd w:val="clear" w:color="auto" w:fill="auto"/>
            <w:vAlign w:val="center"/>
          </w:tcPr>
          <w:p w14:paraId="4D663E25">
            <w:pPr>
              <w:jc w:val="center"/>
              <w:rPr>
                <w:color w:val="000000"/>
                <w:kern w:val="0"/>
                <w:szCs w:val="21"/>
              </w:rPr>
            </w:pPr>
            <w:r>
              <w:rPr>
                <w:color w:val="000000"/>
                <w:kern w:val="0"/>
                <w:szCs w:val="21"/>
              </w:rPr>
              <w:t>/</w:t>
            </w:r>
          </w:p>
        </w:tc>
        <w:tc>
          <w:tcPr>
            <w:tcW w:w="850" w:type="dxa"/>
            <w:shd w:val="clear" w:color="auto" w:fill="auto"/>
            <w:vAlign w:val="center"/>
          </w:tcPr>
          <w:p w14:paraId="666AE536">
            <w:pPr>
              <w:jc w:val="center"/>
              <w:rPr>
                <w:color w:val="000000"/>
                <w:kern w:val="0"/>
                <w:szCs w:val="21"/>
              </w:rPr>
            </w:pPr>
            <w:r>
              <w:rPr>
                <w:color w:val="000000"/>
                <w:kern w:val="0"/>
                <w:szCs w:val="21"/>
              </w:rPr>
              <w:t>60</w:t>
            </w:r>
          </w:p>
        </w:tc>
        <w:tc>
          <w:tcPr>
            <w:tcW w:w="770" w:type="dxa"/>
            <w:shd w:val="clear" w:color="auto" w:fill="auto"/>
            <w:vAlign w:val="center"/>
          </w:tcPr>
          <w:p w14:paraId="2DE8254E">
            <w:pPr>
              <w:jc w:val="center"/>
              <w:rPr>
                <w:color w:val="000000"/>
                <w:kern w:val="0"/>
                <w:szCs w:val="21"/>
              </w:rPr>
            </w:pPr>
            <w:r>
              <w:rPr>
                <w:color w:val="000000"/>
                <w:kern w:val="0"/>
                <w:szCs w:val="21"/>
              </w:rPr>
              <w:t>1</w:t>
            </w:r>
          </w:p>
        </w:tc>
      </w:tr>
      <w:tr w14:paraId="6B347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F46B396">
            <w:pPr>
              <w:jc w:val="center"/>
              <w:rPr>
                <w:color w:val="000000"/>
                <w:kern w:val="0"/>
                <w:szCs w:val="21"/>
              </w:rPr>
            </w:pPr>
            <w:r>
              <w:rPr>
                <w:color w:val="000000"/>
                <w:kern w:val="0"/>
                <w:szCs w:val="21"/>
              </w:rPr>
              <w:t>5</w:t>
            </w:r>
          </w:p>
        </w:tc>
        <w:tc>
          <w:tcPr>
            <w:tcW w:w="1292" w:type="dxa"/>
            <w:shd w:val="clear" w:color="auto" w:fill="auto"/>
            <w:noWrap/>
            <w:vAlign w:val="center"/>
          </w:tcPr>
          <w:p w14:paraId="76643796">
            <w:pPr>
              <w:jc w:val="center"/>
              <w:rPr>
                <w:rFonts w:ascii="宋体" w:hAnsi="宋体" w:cs="宋体"/>
                <w:color w:val="000000"/>
                <w:kern w:val="0"/>
                <w:sz w:val="22"/>
                <w:szCs w:val="22"/>
              </w:rPr>
            </w:pPr>
            <w:r>
              <w:rPr>
                <w:rFonts w:hint="eastAsia" w:ascii="宋体" w:hAnsi="宋体" w:cs="宋体"/>
                <w:color w:val="000000"/>
                <w:kern w:val="0"/>
                <w:sz w:val="22"/>
                <w:szCs w:val="22"/>
              </w:rPr>
              <w:t>塘坝牛舍#5</w:t>
            </w:r>
          </w:p>
        </w:tc>
        <w:tc>
          <w:tcPr>
            <w:tcW w:w="851" w:type="dxa"/>
            <w:vMerge w:val="continue"/>
            <w:vAlign w:val="center"/>
          </w:tcPr>
          <w:p w14:paraId="7DB57B3C">
            <w:pPr>
              <w:jc w:val="center"/>
              <w:rPr>
                <w:rFonts w:ascii="宋体" w:hAnsi="宋体" w:cs="宋体"/>
                <w:color w:val="000000"/>
                <w:kern w:val="0"/>
                <w:sz w:val="22"/>
                <w:szCs w:val="22"/>
              </w:rPr>
            </w:pPr>
          </w:p>
        </w:tc>
        <w:tc>
          <w:tcPr>
            <w:tcW w:w="1984" w:type="dxa"/>
            <w:vMerge w:val="continue"/>
            <w:vAlign w:val="center"/>
          </w:tcPr>
          <w:p w14:paraId="3645B5D7">
            <w:pPr>
              <w:jc w:val="center"/>
              <w:rPr>
                <w:rFonts w:ascii="宋体" w:hAnsi="宋体" w:cs="宋体"/>
                <w:color w:val="000000"/>
                <w:kern w:val="0"/>
                <w:sz w:val="22"/>
                <w:szCs w:val="22"/>
              </w:rPr>
            </w:pPr>
          </w:p>
        </w:tc>
        <w:tc>
          <w:tcPr>
            <w:tcW w:w="1560" w:type="dxa"/>
            <w:vMerge w:val="continue"/>
            <w:vAlign w:val="center"/>
          </w:tcPr>
          <w:p w14:paraId="2B5DDB7D">
            <w:pPr>
              <w:jc w:val="center"/>
              <w:rPr>
                <w:rFonts w:ascii="宋体" w:hAnsi="宋体" w:cs="宋体"/>
                <w:color w:val="000000"/>
                <w:kern w:val="0"/>
                <w:sz w:val="22"/>
                <w:szCs w:val="22"/>
              </w:rPr>
            </w:pPr>
          </w:p>
        </w:tc>
        <w:tc>
          <w:tcPr>
            <w:tcW w:w="1134" w:type="dxa"/>
            <w:shd w:val="clear" w:color="auto" w:fill="auto"/>
            <w:noWrap/>
            <w:vAlign w:val="center"/>
          </w:tcPr>
          <w:p w14:paraId="4ABA10D8">
            <w:pPr>
              <w:jc w:val="center"/>
              <w:rPr>
                <w:rFonts w:ascii="宋体" w:hAnsi="宋体" w:cs="宋体"/>
                <w:color w:val="000000"/>
                <w:kern w:val="0"/>
                <w:sz w:val="22"/>
                <w:szCs w:val="22"/>
              </w:rPr>
            </w:pPr>
            <w:r>
              <w:rPr>
                <w:rFonts w:hint="eastAsia" w:ascii="宋体" w:hAnsi="宋体" w:cs="宋体"/>
                <w:color w:val="000000"/>
                <w:kern w:val="0"/>
                <w:sz w:val="22"/>
                <w:szCs w:val="22"/>
              </w:rPr>
              <w:t>73.54</w:t>
            </w:r>
          </w:p>
        </w:tc>
        <w:tc>
          <w:tcPr>
            <w:tcW w:w="992" w:type="dxa"/>
            <w:shd w:val="clear" w:color="auto" w:fill="auto"/>
            <w:noWrap/>
            <w:vAlign w:val="center"/>
          </w:tcPr>
          <w:p w14:paraId="5F24FE6A">
            <w:pPr>
              <w:jc w:val="center"/>
              <w:rPr>
                <w:rFonts w:ascii="宋体" w:hAnsi="宋体" w:cs="宋体"/>
                <w:color w:val="000000"/>
                <w:kern w:val="0"/>
                <w:sz w:val="22"/>
                <w:szCs w:val="22"/>
              </w:rPr>
            </w:pPr>
            <w:r>
              <w:rPr>
                <w:rFonts w:hint="eastAsia" w:ascii="宋体" w:hAnsi="宋体" w:cs="宋体"/>
                <w:color w:val="000000"/>
                <w:kern w:val="0"/>
                <w:sz w:val="22"/>
                <w:szCs w:val="22"/>
              </w:rPr>
              <w:t>194.73</w:t>
            </w:r>
          </w:p>
        </w:tc>
        <w:tc>
          <w:tcPr>
            <w:tcW w:w="850" w:type="dxa"/>
            <w:shd w:val="clear" w:color="auto" w:fill="auto"/>
            <w:vAlign w:val="center"/>
          </w:tcPr>
          <w:p w14:paraId="29412172">
            <w:pPr>
              <w:jc w:val="center"/>
              <w:rPr>
                <w:color w:val="000000"/>
                <w:kern w:val="0"/>
                <w:szCs w:val="21"/>
              </w:rPr>
            </w:pPr>
            <w:r>
              <w:rPr>
                <w:color w:val="000000"/>
                <w:kern w:val="0"/>
                <w:szCs w:val="21"/>
              </w:rPr>
              <w:t>1.2</w:t>
            </w:r>
          </w:p>
        </w:tc>
        <w:tc>
          <w:tcPr>
            <w:tcW w:w="851" w:type="dxa"/>
            <w:shd w:val="clear" w:color="auto" w:fill="auto"/>
            <w:vAlign w:val="center"/>
          </w:tcPr>
          <w:p w14:paraId="42ACCC55">
            <w:pPr>
              <w:jc w:val="center"/>
              <w:rPr>
                <w:color w:val="000000"/>
                <w:kern w:val="0"/>
                <w:szCs w:val="21"/>
              </w:rPr>
            </w:pPr>
            <w:r>
              <w:rPr>
                <w:color w:val="000000"/>
                <w:kern w:val="0"/>
                <w:szCs w:val="21"/>
              </w:rPr>
              <w:t>/</w:t>
            </w:r>
          </w:p>
        </w:tc>
        <w:tc>
          <w:tcPr>
            <w:tcW w:w="890" w:type="dxa"/>
            <w:shd w:val="clear" w:color="auto" w:fill="auto"/>
            <w:vAlign w:val="center"/>
          </w:tcPr>
          <w:p w14:paraId="7A27C260">
            <w:pPr>
              <w:jc w:val="center"/>
              <w:rPr>
                <w:color w:val="000000"/>
                <w:kern w:val="0"/>
                <w:szCs w:val="21"/>
              </w:rPr>
            </w:pPr>
            <w:r>
              <w:rPr>
                <w:color w:val="000000"/>
                <w:kern w:val="0"/>
                <w:szCs w:val="21"/>
              </w:rPr>
              <w:t>60</w:t>
            </w:r>
          </w:p>
        </w:tc>
        <w:tc>
          <w:tcPr>
            <w:tcW w:w="669" w:type="dxa"/>
            <w:vMerge w:val="continue"/>
            <w:vAlign w:val="center"/>
          </w:tcPr>
          <w:p w14:paraId="6258D37C">
            <w:pPr>
              <w:jc w:val="center"/>
              <w:rPr>
                <w:rFonts w:ascii="宋体" w:hAnsi="宋体" w:cs="宋体"/>
                <w:color w:val="000000"/>
                <w:kern w:val="0"/>
                <w:sz w:val="22"/>
                <w:szCs w:val="22"/>
              </w:rPr>
            </w:pPr>
          </w:p>
        </w:tc>
        <w:tc>
          <w:tcPr>
            <w:tcW w:w="851" w:type="dxa"/>
            <w:shd w:val="clear" w:color="auto" w:fill="auto"/>
            <w:vAlign w:val="center"/>
          </w:tcPr>
          <w:p w14:paraId="04B62A92">
            <w:pPr>
              <w:jc w:val="center"/>
              <w:rPr>
                <w:color w:val="000000"/>
                <w:kern w:val="0"/>
                <w:szCs w:val="21"/>
              </w:rPr>
            </w:pPr>
            <w:r>
              <w:rPr>
                <w:color w:val="000000"/>
                <w:kern w:val="0"/>
                <w:szCs w:val="21"/>
              </w:rPr>
              <w:t>/</w:t>
            </w:r>
          </w:p>
        </w:tc>
        <w:tc>
          <w:tcPr>
            <w:tcW w:w="850" w:type="dxa"/>
            <w:shd w:val="clear" w:color="auto" w:fill="auto"/>
            <w:vAlign w:val="center"/>
          </w:tcPr>
          <w:p w14:paraId="5B8BD371">
            <w:pPr>
              <w:jc w:val="center"/>
              <w:rPr>
                <w:color w:val="000000"/>
                <w:kern w:val="0"/>
                <w:szCs w:val="21"/>
              </w:rPr>
            </w:pPr>
            <w:r>
              <w:rPr>
                <w:color w:val="000000"/>
                <w:kern w:val="0"/>
                <w:szCs w:val="21"/>
              </w:rPr>
              <w:t>60</w:t>
            </w:r>
          </w:p>
        </w:tc>
        <w:tc>
          <w:tcPr>
            <w:tcW w:w="770" w:type="dxa"/>
            <w:shd w:val="clear" w:color="auto" w:fill="auto"/>
            <w:vAlign w:val="center"/>
          </w:tcPr>
          <w:p w14:paraId="1E3B7CEE">
            <w:pPr>
              <w:jc w:val="center"/>
              <w:rPr>
                <w:color w:val="000000"/>
                <w:kern w:val="0"/>
                <w:szCs w:val="21"/>
              </w:rPr>
            </w:pPr>
            <w:r>
              <w:rPr>
                <w:color w:val="000000"/>
                <w:kern w:val="0"/>
                <w:szCs w:val="21"/>
              </w:rPr>
              <w:t>1</w:t>
            </w:r>
          </w:p>
        </w:tc>
      </w:tr>
      <w:tr w14:paraId="1775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712B3DD">
            <w:pPr>
              <w:jc w:val="center"/>
              <w:rPr>
                <w:color w:val="000000"/>
                <w:kern w:val="0"/>
                <w:szCs w:val="21"/>
              </w:rPr>
            </w:pPr>
            <w:r>
              <w:rPr>
                <w:color w:val="000000"/>
                <w:kern w:val="0"/>
                <w:szCs w:val="21"/>
              </w:rPr>
              <w:t>6</w:t>
            </w:r>
          </w:p>
        </w:tc>
        <w:tc>
          <w:tcPr>
            <w:tcW w:w="1292" w:type="dxa"/>
            <w:shd w:val="clear" w:color="auto" w:fill="auto"/>
            <w:noWrap/>
            <w:vAlign w:val="center"/>
          </w:tcPr>
          <w:p w14:paraId="038B0E6A">
            <w:pPr>
              <w:jc w:val="center"/>
              <w:rPr>
                <w:rFonts w:ascii="宋体" w:hAnsi="宋体" w:cs="宋体"/>
                <w:color w:val="000000"/>
                <w:kern w:val="0"/>
                <w:sz w:val="22"/>
                <w:szCs w:val="22"/>
              </w:rPr>
            </w:pPr>
            <w:r>
              <w:rPr>
                <w:rFonts w:hint="eastAsia" w:ascii="宋体" w:hAnsi="宋体" w:cs="宋体"/>
                <w:color w:val="000000"/>
                <w:kern w:val="0"/>
                <w:sz w:val="22"/>
                <w:szCs w:val="22"/>
              </w:rPr>
              <w:t>塘坝牛舍#6</w:t>
            </w:r>
          </w:p>
        </w:tc>
        <w:tc>
          <w:tcPr>
            <w:tcW w:w="851" w:type="dxa"/>
            <w:vMerge w:val="continue"/>
            <w:vAlign w:val="center"/>
          </w:tcPr>
          <w:p w14:paraId="08B4A5EB">
            <w:pPr>
              <w:jc w:val="center"/>
              <w:rPr>
                <w:rFonts w:ascii="宋体" w:hAnsi="宋体" w:cs="宋体"/>
                <w:color w:val="000000"/>
                <w:kern w:val="0"/>
                <w:sz w:val="22"/>
                <w:szCs w:val="22"/>
              </w:rPr>
            </w:pPr>
          </w:p>
        </w:tc>
        <w:tc>
          <w:tcPr>
            <w:tcW w:w="1984" w:type="dxa"/>
            <w:vMerge w:val="continue"/>
            <w:vAlign w:val="center"/>
          </w:tcPr>
          <w:p w14:paraId="154DDEB2">
            <w:pPr>
              <w:jc w:val="center"/>
              <w:rPr>
                <w:rFonts w:ascii="宋体" w:hAnsi="宋体" w:cs="宋体"/>
                <w:color w:val="000000"/>
                <w:kern w:val="0"/>
                <w:sz w:val="22"/>
                <w:szCs w:val="22"/>
              </w:rPr>
            </w:pPr>
          </w:p>
        </w:tc>
        <w:tc>
          <w:tcPr>
            <w:tcW w:w="1560" w:type="dxa"/>
            <w:vMerge w:val="continue"/>
            <w:vAlign w:val="center"/>
          </w:tcPr>
          <w:p w14:paraId="67652096">
            <w:pPr>
              <w:jc w:val="center"/>
              <w:rPr>
                <w:rFonts w:ascii="宋体" w:hAnsi="宋体" w:cs="宋体"/>
                <w:color w:val="000000"/>
                <w:kern w:val="0"/>
                <w:sz w:val="22"/>
                <w:szCs w:val="22"/>
              </w:rPr>
            </w:pPr>
          </w:p>
        </w:tc>
        <w:tc>
          <w:tcPr>
            <w:tcW w:w="1134" w:type="dxa"/>
            <w:shd w:val="clear" w:color="auto" w:fill="auto"/>
            <w:noWrap/>
            <w:vAlign w:val="center"/>
          </w:tcPr>
          <w:p w14:paraId="2DA01719">
            <w:pPr>
              <w:jc w:val="center"/>
              <w:rPr>
                <w:rFonts w:ascii="宋体" w:hAnsi="宋体" w:cs="宋体"/>
                <w:color w:val="000000"/>
                <w:kern w:val="0"/>
                <w:sz w:val="22"/>
                <w:szCs w:val="22"/>
              </w:rPr>
            </w:pPr>
            <w:r>
              <w:rPr>
                <w:rFonts w:hint="eastAsia" w:ascii="宋体" w:hAnsi="宋体" w:cs="宋体"/>
                <w:color w:val="000000"/>
                <w:kern w:val="0"/>
                <w:sz w:val="22"/>
                <w:szCs w:val="22"/>
              </w:rPr>
              <w:t>136.89</w:t>
            </w:r>
          </w:p>
        </w:tc>
        <w:tc>
          <w:tcPr>
            <w:tcW w:w="992" w:type="dxa"/>
            <w:shd w:val="clear" w:color="auto" w:fill="auto"/>
            <w:noWrap/>
            <w:vAlign w:val="center"/>
          </w:tcPr>
          <w:p w14:paraId="71A2F68A">
            <w:pPr>
              <w:jc w:val="center"/>
              <w:rPr>
                <w:rFonts w:ascii="宋体" w:hAnsi="宋体" w:cs="宋体"/>
                <w:color w:val="000000"/>
                <w:kern w:val="0"/>
                <w:sz w:val="22"/>
                <w:szCs w:val="22"/>
              </w:rPr>
            </w:pPr>
            <w:r>
              <w:rPr>
                <w:rFonts w:hint="eastAsia" w:ascii="宋体" w:hAnsi="宋体" w:cs="宋体"/>
                <w:color w:val="000000"/>
                <w:kern w:val="0"/>
                <w:sz w:val="22"/>
                <w:szCs w:val="22"/>
              </w:rPr>
              <w:t>171.56</w:t>
            </w:r>
          </w:p>
        </w:tc>
        <w:tc>
          <w:tcPr>
            <w:tcW w:w="850" w:type="dxa"/>
            <w:shd w:val="clear" w:color="auto" w:fill="auto"/>
            <w:vAlign w:val="center"/>
          </w:tcPr>
          <w:p w14:paraId="13D911E2">
            <w:pPr>
              <w:jc w:val="center"/>
              <w:rPr>
                <w:color w:val="000000"/>
                <w:kern w:val="0"/>
                <w:szCs w:val="21"/>
              </w:rPr>
            </w:pPr>
            <w:r>
              <w:rPr>
                <w:color w:val="000000"/>
                <w:kern w:val="0"/>
                <w:szCs w:val="21"/>
              </w:rPr>
              <w:t>1.2</w:t>
            </w:r>
          </w:p>
        </w:tc>
        <w:tc>
          <w:tcPr>
            <w:tcW w:w="851" w:type="dxa"/>
            <w:shd w:val="clear" w:color="auto" w:fill="auto"/>
            <w:vAlign w:val="center"/>
          </w:tcPr>
          <w:p w14:paraId="098FC76C">
            <w:pPr>
              <w:jc w:val="center"/>
              <w:rPr>
                <w:color w:val="000000"/>
                <w:kern w:val="0"/>
                <w:szCs w:val="21"/>
              </w:rPr>
            </w:pPr>
            <w:r>
              <w:rPr>
                <w:color w:val="000000"/>
                <w:kern w:val="0"/>
                <w:szCs w:val="21"/>
              </w:rPr>
              <w:t>/</w:t>
            </w:r>
          </w:p>
        </w:tc>
        <w:tc>
          <w:tcPr>
            <w:tcW w:w="890" w:type="dxa"/>
            <w:shd w:val="clear" w:color="auto" w:fill="auto"/>
            <w:vAlign w:val="center"/>
          </w:tcPr>
          <w:p w14:paraId="6BE2362D">
            <w:pPr>
              <w:jc w:val="center"/>
              <w:rPr>
                <w:color w:val="000000"/>
                <w:kern w:val="0"/>
                <w:szCs w:val="21"/>
              </w:rPr>
            </w:pPr>
            <w:r>
              <w:rPr>
                <w:color w:val="000000"/>
                <w:kern w:val="0"/>
                <w:szCs w:val="21"/>
              </w:rPr>
              <w:t>60</w:t>
            </w:r>
          </w:p>
        </w:tc>
        <w:tc>
          <w:tcPr>
            <w:tcW w:w="669" w:type="dxa"/>
            <w:vMerge w:val="continue"/>
            <w:vAlign w:val="center"/>
          </w:tcPr>
          <w:p w14:paraId="6045422C">
            <w:pPr>
              <w:jc w:val="center"/>
              <w:rPr>
                <w:rFonts w:ascii="宋体" w:hAnsi="宋体" w:cs="宋体"/>
                <w:color w:val="000000"/>
                <w:kern w:val="0"/>
                <w:sz w:val="22"/>
                <w:szCs w:val="22"/>
              </w:rPr>
            </w:pPr>
          </w:p>
        </w:tc>
        <w:tc>
          <w:tcPr>
            <w:tcW w:w="851" w:type="dxa"/>
            <w:shd w:val="clear" w:color="auto" w:fill="auto"/>
            <w:vAlign w:val="center"/>
          </w:tcPr>
          <w:p w14:paraId="5C088C7E">
            <w:pPr>
              <w:jc w:val="center"/>
              <w:rPr>
                <w:color w:val="000000"/>
                <w:kern w:val="0"/>
                <w:szCs w:val="21"/>
              </w:rPr>
            </w:pPr>
            <w:r>
              <w:rPr>
                <w:color w:val="000000"/>
                <w:kern w:val="0"/>
                <w:szCs w:val="21"/>
              </w:rPr>
              <w:t>/</w:t>
            </w:r>
          </w:p>
        </w:tc>
        <w:tc>
          <w:tcPr>
            <w:tcW w:w="850" w:type="dxa"/>
            <w:shd w:val="clear" w:color="auto" w:fill="auto"/>
            <w:vAlign w:val="center"/>
          </w:tcPr>
          <w:p w14:paraId="4F0296F0">
            <w:pPr>
              <w:jc w:val="center"/>
              <w:rPr>
                <w:color w:val="000000"/>
                <w:kern w:val="0"/>
                <w:szCs w:val="21"/>
              </w:rPr>
            </w:pPr>
            <w:r>
              <w:rPr>
                <w:color w:val="000000"/>
                <w:kern w:val="0"/>
                <w:szCs w:val="21"/>
              </w:rPr>
              <w:t>60</w:t>
            </w:r>
          </w:p>
        </w:tc>
        <w:tc>
          <w:tcPr>
            <w:tcW w:w="770" w:type="dxa"/>
            <w:shd w:val="clear" w:color="auto" w:fill="auto"/>
            <w:vAlign w:val="center"/>
          </w:tcPr>
          <w:p w14:paraId="316554DF">
            <w:pPr>
              <w:jc w:val="center"/>
              <w:rPr>
                <w:color w:val="000000"/>
                <w:kern w:val="0"/>
                <w:szCs w:val="21"/>
              </w:rPr>
            </w:pPr>
            <w:r>
              <w:rPr>
                <w:color w:val="000000"/>
                <w:kern w:val="0"/>
                <w:szCs w:val="21"/>
              </w:rPr>
              <w:t>1</w:t>
            </w:r>
          </w:p>
        </w:tc>
      </w:tr>
      <w:tr w14:paraId="6BCC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C6507D8">
            <w:pPr>
              <w:jc w:val="center"/>
              <w:rPr>
                <w:color w:val="000000"/>
                <w:kern w:val="0"/>
                <w:szCs w:val="21"/>
              </w:rPr>
            </w:pPr>
            <w:r>
              <w:rPr>
                <w:color w:val="000000"/>
                <w:kern w:val="0"/>
                <w:szCs w:val="21"/>
              </w:rPr>
              <w:t>7</w:t>
            </w:r>
          </w:p>
        </w:tc>
        <w:tc>
          <w:tcPr>
            <w:tcW w:w="1292" w:type="dxa"/>
            <w:shd w:val="clear" w:color="auto" w:fill="auto"/>
            <w:noWrap/>
            <w:vAlign w:val="center"/>
          </w:tcPr>
          <w:p w14:paraId="6AEAAE8D">
            <w:pPr>
              <w:jc w:val="center"/>
              <w:rPr>
                <w:rFonts w:ascii="宋体" w:hAnsi="宋体" w:cs="宋体"/>
                <w:color w:val="000000"/>
                <w:kern w:val="0"/>
                <w:sz w:val="22"/>
                <w:szCs w:val="22"/>
              </w:rPr>
            </w:pPr>
            <w:r>
              <w:rPr>
                <w:rFonts w:hint="eastAsia" w:ascii="宋体" w:hAnsi="宋体" w:cs="宋体"/>
                <w:color w:val="000000"/>
                <w:kern w:val="0"/>
                <w:sz w:val="22"/>
                <w:szCs w:val="22"/>
              </w:rPr>
              <w:t>塘坝牛舍#7</w:t>
            </w:r>
          </w:p>
        </w:tc>
        <w:tc>
          <w:tcPr>
            <w:tcW w:w="851" w:type="dxa"/>
            <w:vMerge w:val="continue"/>
            <w:vAlign w:val="center"/>
          </w:tcPr>
          <w:p w14:paraId="48374332">
            <w:pPr>
              <w:jc w:val="center"/>
              <w:rPr>
                <w:rFonts w:ascii="宋体" w:hAnsi="宋体" w:cs="宋体"/>
                <w:color w:val="000000"/>
                <w:kern w:val="0"/>
                <w:sz w:val="22"/>
                <w:szCs w:val="22"/>
              </w:rPr>
            </w:pPr>
          </w:p>
        </w:tc>
        <w:tc>
          <w:tcPr>
            <w:tcW w:w="1984" w:type="dxa"/>
            <w:vMerge w:val="continue"/>
            <w:vAlign w:val="center"/>
          </w:tcPr>
          <w:p w14:paraId="0B19A544">
            <w:pPr>
              <w:jc w:val="center"/>
              <w:rPr>
                <w:rFonts w:ascii="宋体" w:hAnsi="宋体" w:cs="宋体"/>
                <w:color w:val="000000"/>
                <w:kern w:val="0"/>
                <w:sz w:val="22"/>
                <w:szCs w:val="22"/>
              </w:rPr>
            </w:pPr>
          </w:p>
        </w:tc>
        <w:tc>
          <w:tcPr>
            <w:tcW w:w="1560" w:type="dxa"/>
            <w:vMerge w:val="continue"/>
            <w:vAlign w:val="center"/>
          </w:tcPr>
          <w:p w14:paraId="71E5DBD8">
            <w:pPr>
              <w:jc w:val="center"/>
              <w:rPr>
                <w:rFonts w:ascii="宋体" w:hAnsi="宋体" w:cs="宋体"/>
                <w:color w:val="000000"/>
                <w:kern w:val="0"/>
                <w:sz w:val="22"/>
                <w:szCs w:val="22"/>
              </w:rPr>
            </w:pPr>
          </w:p>
        </w:tc>
        <w:tc>
          <w:tcPr>
            <w:tcW w:w="1134" w:type="dxa"/>
            <w:shd w:val="clear" w:color="auto" w:fill="auto"/>
            <w:noWrap/>
            <w:vAlign w:val="center"/>
          </w:tcPr>
          <w:p w14:paraId="1A2FEBE0">
            <w:pPr>
              <w:jc w:val="center"/>
              <w:rPr>
                <w:rFonts w:ascii="宋体" w:hAnsi="宋体" w:cs="宋体"/>
                <w:color w:val="000000"/>
                <w:kern w:val="0"/>
                <w:sz w:val="22"/>
                <w:szCs w:val="22"/>
              </w:rPr>
            </w:pPr>
            <w:r>
              <w:rPr>
                <w:rFonts w:hint="eastAsia" w:ascii="宋体" w:hAnsi="宋体" w:cs="宋体"/>
                <w:color w:val="000000"/>
                <w:kern w:val="0"/>
                <w:sz w:val="22"/>
                <w:szCs w:val="22"/>
              </w:rPr>
              <w:t>192.51</w:t>
            </w:r>
          </w:p>
        </w:tc>
        <w:tc>
          <w:tcPr>
            <w:tcW w:w="992" w:type="dxa"/>
            <w:shd w:val="clear" w:color="auto" w:fill="auto"/>
            <w:noWrap/>
            <w:vAlign w:val="center"/>
          </w:tcPr>
          <w:p w14:paraId="3B78B456">
            <w:pPr>
              <w:jc w:val="center"/>
              <w:rPr>
                <w:rFonts w:ascii="宋体" w:hAnsi="宋体" w:cs="宋体"/>
                <w:color w:val="000000"/>
                <w:kern w:val="0"/>
                <w:sz w:val="22"/>
                <w:szCs w:val="22"/>
              </w:rPr>
            </w:pPr>
            <w:r>
              <w:rPr>
                <w:rFonts w:hint="eastAsia" w:ascii="宋体" w:hAnsi="宋体" w:cs="宋体"/>
                <w:color w:val="000000"/>
                <w:kern w:val="0"/>
                <w:sz w:val="22"/>
                <w:szCs w:val="22"/>
              </w:rPr>
              <w:t>137.57</w:t>
            </w:r>
          </w:p>
        </w:tc>
        <w:tc>
          <w:tcPr>
            <w:tcW w:w="850" w:type="dxa"/>
            <w:shd w:val="clear" w:color="auto" w:fill="auto"/>
            <w:vAlign w:val="center"/>
          </w:tcPr>
          <w:p w14:paraId="20AB176B">
            <w:pPr>
              <w:jc w:val="center"/>
              <w:rPr>
                <w:color w:val="000000"/>
                <w:kern w:val="0"/>
                <w:szCs w:val="21"/>
              </w:rPr>
            </w:pPr>
            <w:r>
              <w:rPr>
                <w:color w:val="000000"/>
                <w:kern w:val="0"/>
                <w:szCs w:val="21"/>
              </w:rPr>
              <w:t>1.2</w:t>
            </w:r>
          </w:p>
        </w:tc>
        <w:tc>
          <w:tcPr>
            <w:tcW w:w="851" w:type="dxa"/>
            <w:shd w:val="clear" w:color="auto" w:fill="auto"/>
            <w:vAlign w:val="center"/>
          </w:tcPr>
          <w:p w14:paraId="5EAE24FB">
            <w:pPr>
              <w:jc w:val="center"/>
              <w:rPr>
                <w:color w:val="000000"/>
                <w:kern w:val="0"/>
                <w:szCs w:val="21"/>
              </w:rPr>
            </w:pPr>
            <w:r>
              <w:rPr>
                <w:color w:val="000000"/>
                <w:kern w:val="0"/>
                <w:szCs w:val="21"/>
              </w:rPr>
              <w:t>/</w:t>
            </w:r>
          </w:p>
        </w:tc>
        <w:tc>
          <w:tcPr>
            <w:tcW w:w="890" w:type="dxa"/>
            <w:shd w:val="clear" w:color="auto" w:fill="auto"/>
            <w:vAlign w:val="center"/>
          </w:tcPr>
          <w:p w14:paraId="59CDAB77">
            <w:pPr>
              <w:jc w:val="center"/>
              <w:rPr>
                <w:color w:val="000000"/>
                <w:kern w:val="0"/>
                <w:szCs w:val="21"/>
              </w:rPr>
            </w:pPr>
            <w:r>
              <w:rPr>
                <w:color w:val="000000"/>
                <w:kern w:val="0"/>
                <w:szCs w:val="21"/>
              </w:rPr>
              <w:t>60</w:t>
            </w:r>
          </w:p>
        </w:tc>
        <w:tc>
          <w:tcPr>
            <w:tcW w:w="669" w:type="dxa"/>
            <w:vMerge w:val="continue"/>
            <w:vAlign w:val="center"/>
          </w:tcPr>
          <w:p w14:paraId="4237DEDB">
            <w:pPr>
              <w:jc w:val="center"/>
              <w:rPr>
                <w:rFonts w:ascii="宋体" w:hAnsi="宋体" w:cs="宋体"/>
                <w:color w:val="000000"/>
                <w:kern w:val="0"/>
                <w:sz w:val="22"/>
                <w:szCs w:val="22"/>
              </w:rPr>
            </w:pPr>
          </w:p>
        </w:tc>
        <w:tc>
          <w:tcPr>
            <w:tcW w:w="851" w:type="dxa"/>
            <w:shd w:val="clear" w:color="auto" w:fill="auto"/>
            <w:vAlign w:val="center"/>
          </w:tcPr>
          <w:p w14:paraId="746D3D3D">
            <w:pPr>
              <w:jc w:val="center"/>
              <w:rPr>
                <w:color w:val="000000"/>
                <w:kern w:val="0"/>
                <w:szCs w:val="21"/>
              </w:rPr>
            </w:pPr>
            <w:r>
              <w:rPr>
                <w:color w:val="000000"/>
                <w:kern w:val="0"/>
                <w:szCs w:val="21"/>
              </w:rPr>
              <w:t>/</w:t>
            </w:r>
          </w:p>
        </w:tc>
        <w:tc>
          <w:tcPr>
            <w:tcW w:w="850" w:type="dxa"/>
            <w:shd w:val="clear" w:color="auto" w:fill="auto"/>
            <w:vAlign w:val="center"/>
          </w:tcPr>
          <w:p w14:paraId="1DD34A85">
            <w:pPr>
              <w:jc w:val="center"/>
              <w:rPr>
                <w:color w:val="000000"/>
                <w:kern w:val="0"/>
                <w:szCs w:val="21"/>
              </w:rPr>
            </w:pPr>
            <w:r>
              <w:rPr>
                <w:color w:val="000000"/>
                <w:kern w:val="0"/>
                <w:szCs w:val="21"/>
              </w:rPr>
              <w:t>60</w:t>
            </w:r>
          </w:p>
        </w:tc>
        <w:tc>
          <w:tcPr>
            <w:tcW w:w="770" w:type="dxa"/>
            <w:shd w:val="clear" w:color="auto" w:fill="auto"/>
            <w:vAlign w:val="center"/>
          </w:tcPr>
          <w:p w14:paraId="4DDE7F72">
            <w:pPr>
              <w:jc w:val="center"/>
              <w:rPr>
                <w:color w:val="000000"/>
                <w:kern w:val="0"/>
                <w:szCs w:val="21"/>
              </w:rPr>
            </w:pPr>
            <w:r>
              <w:rPr>
                <w:color w:val="000000"/>
                <w:kern w:val="0"/>
                <w:szCs w:val="21"/>
              </w:rPr>
              <w:t>1</w:t>
            </w:r>
          </w:p>
        </w:tc>
      </w:tr>
      <w:tr w14:paraId="7F618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057E89B">
            <w:pPr>
              <w:jc w:val="center"/>
              <w:rPr>
                <w:color w:val="000000"/>
                <w:kern w:val="0"/>
                <w:szCs w:val="21"/>
              </w:rPr>
            </w:pPr>
            <w:r>
              <w:rPr>
                <w:color w:val="000000"/>
                <w:kern w:val="0"/>
                <w:szCs w:val="21"/>
              </w:rPr>
              <w:t>8</w:t>
            </w:r>
          </w:p>
        </w:tc>
        <w:tc>
          <w:tcPr>
            <w:tcW w:w="1292" w:type="dxa"/>
            <w:shd w:val="clear" w:color="auto" w:fill="auto"/>
            <w:noWrap/>
            <w:vAlign w:val="center"/>
          </w:tcPr>
          <w:p w14:paraId="17833AE2">
            <w:pPr>
              <w:jc w:val="center"/>
              <w:rPr>
                <w:rFonts w:ascii="宋体" w:hAnsi="宋体" w:cs="宋体"/>
                <w:color w:val="000000"/>
                <w:kern w:val="0"/>
                <w:sz w:val="22"/>
                <w:szCs w:val="22"/>
              </w:rPr>
            </w:pPr>
            <w:r>
              <w:rPr>
                <w:rFonts w:hint="eastAsia" w:ascii="宋体" w:hAnsi="宋体" w:cs="宋体"/>
                <w:color w:val="000000"/>
                <w:kern w:val="0"/>
                <w:sz w:val="22"/>
                <w:szCs w:val="22"/>
              </w:rPr>
              <w:t>塘坝牛舍#8</w:t>
            </w:r>
          </w:p>
        </w:tc>
        <w:tc>
          <w:tcPr>
            <w:tcW w:w="851" w:type="dxa"/>
            <w:vMerge w:val="continue"/>
            <w:vAlign w:val="center"/>
          </w:tcPr>
          <w:p w14:paraId="2076A8E6">
            <w:pPr>
              <w:jc w:val="center"/>
              <w:rPr>
                <w:rFonts w:ascii="宋体" w:hAnsi="宋体" w:cs="宋体"/>
                <w:color w:val="000000"/>
                <w:kern w:val="0"/>
                <w:sz w:val="22"/>
                <w:szCs w:val="22"/>
              </w:rPr>
            </w:pPr>
          </w:p>
        </w:tc>
        <w:tc>
          <w:tcPr>
            <w:tcW w:w="1984" w:type="dxa"/>
            <w:vMerge w:val="continue"/>
            <w:vAlign w:val="center"/>
          </w:tcPr>
          <w:p w14:paraId="033A4D42">
            <w:pPr>
              <w:jc w:val="center"/>
              <w:rPr>
                <w:rFonts w:ascii="宋体" w:hAnsi="宋体" w:cs="宋体"/>
                <w:color w:val="000000"/>
                <w:kern w:val="0"/>
                <w:sz w:val="22"/>
                <w:szCs w:val="22"/>
              </w:rPr>
            </w:pPr>
          </w:p>
        </w:tc>
        <w:tc>
          <w:tcPr>
            <w:tcW w:w="1560" w:type="dxa"/>
            <w:vMerge w:val="continue"/>
            <w:vAlign w:val="center"/>
          </w:tcPr>
          <w:p w14:paraId="6EB29E50">
            <w:pPr>
              <w:jc w:val="center"/>
              <w:rPr>
                <w:rFonts w:ascii="宋体" w:hAnsi="宋体" w:cs="宋体"/>
                <w:color w:val="000000"/>
                <w:kern w:val="0"/>
                <w:sz w:val="22"/>
                <w:szCs w:val="22"/>
              </w:rPr>
            </w:pPr>
          </w:p>
        </w:tc>
        <w:tc>
          <w:tcPr>
            <w:tcW w:w="1134" w:type="dxa"/>
            <w:shd w:val="clear" w:color="auto" w:fill="auto"/>
            <w:noWrap/>
            <w:vAlign w:val="center"/>
          </w:tcPr>
          <w:p w14:paraId="55704BE3">
            <w:pPr>
              <w:jc w:val="center"/>
              <w:rPr>
                <w:rFonts w:ascii="宋体" w:hAnsi="宋体" w:cs="宋体"/>
                <w:color w:val="000000"/>
                <w:kern w:val="0"/>
                <w:sz w:val="22"/>
                <w:szCs w:val="22"/>
              </w:rPr>
            </w:pPr>
            <w:r>
              <w:rPr>
                <w:rFonts w:hint="eastAsia" w:ascii="宋体" w:hAnsi="宋体" w:cs="宋体"/>
                <w:color w:val="000000"/>
                <w:kern w:val="0"/>
                <w:sz w:val="22"/>
                <w:szCs w:val="22"/>
              </w:rPr>
              <w:t>245.04</w:t>
            </w:r>
          </w:p>
        </w:tc>
        <w:tc>
          <w:tcPr>
            <w:tcW w:w="992" w:type="dxa"/>
            <w:shd w:val="clear" w:color="auto" w:fill="auto"/>
            <w:noWrap/>
            <w:vAlign w:val="center"/>
          </w:tcPr>
          <w:p w14:paraId="501C38BA">
            <w:pPr>
              <w:jc w:val="center"/>
              <w:rPr>
                <w:rFonts w:ascii="宋体" w:hAnsi="宋体" w:cs="宋体"/>
                <w:color w:val="000000"/>
                <w:kern w:val="0"/>
                <w:sz w:val="22"/>
                <w:szCs w:val="22"/>
              </w:rPr>
            </w:pPr>
            <w:r>
              <w:rPr>
                <w:rFonts w:hint="eastAsia" w:ascii="宋体" w:hAnsi="宋体" w:cs="宋体"/>
                <w:color w:val="000000"/>
                <w:kern w:val="0"/>
                <w:sz w:val="22"/>
                <w:szCs w:val="22"/>
              </w:rPr>
              <w:t>103.58</w:t>
            </w:r>
          </w:p>
        </w:tc>
        <w:tc>
          <w:tcPr>
            <w:tcW w:w="850" w:type="dxa"/>
            <w:shd w:val="clear" w:color="auto" w:fill="auto"/>
            <w:vAlign w:val="center"/>
          </w:tcPr>
          <w:p w14:paraId="65B91BAC">
            <w:pPr>
              <w:jc w:val="center"/>
              <w:rPr>
                <w:color w:val="000000"/>
                <w:kern w:val="0"/>
                <w:szCs w:val="21"/>
              </w:rPr>
            </w:pPr>
            <w:r>
              <w:rPr>
                <w:color w:val="000000"/>
                <w:kern w:val="0"/>
                <w:szCs w:val="21"/>
              </w:rPr>
              <w:t>1.2</w:t>
            </w:r>
          </w:p>
        </w:tc>
        <w:tc>
          <w:tcPr>
            <w:tcW w:w="851" w:type="dxa"/>
            <w:shd w:val="clear" w:color="auto" w:fill="auto"/>
            <w:vAlign w:val="center"/>
          </w:tcPr>
          <w:p w14:paraId="0967891A">
            <w:pPr>
              <w:jc w:val="center"/>
              <w:rPr>
                <w:color w:val="000000"/>
                <w:kern w:val="0"/>
                <w:szCs w:val="21"/>
              </w:rPr>
            </w:pPr>
            <w:r>
              <w:rPr>
                <w:color w:val="000000"/>
                <w:kern w:val="0"/>
                <w:szCs w:val="21"/>
              </w:rPr>
              <w:t>/</w:t>
            </w:r>
          </w:p>
        </w:tc>
        <w:tc>
          <w:tcPr>
            <w:tcW w:w="890" w:type="dxa"/>
            <w:shd w:val="clear" w:color="auto" w:fill="auto"/>
            <w:vAlign w:val="center"/>
          </w:tcPr>
          <w:p w14:paraId="64036856">
            <w:pPr>
              <w:jc w:val="center"/>
              <w:rPr>
                <w:color w:val="000000"/>
                <w:kern w:val="0"/>
                <w:szCs w:val="21"/>
              </w:rPr>
            </w:pPr>
            <w:r>
              <w:rPr>
                <w:color w:val="000000"/>
                <w:kern w:val="0"/>
                <w:szCs w:val="21"/>
              </w:rPr>
              <w:t>60</w:t>
            </w:r>
          </w:p>
        </w:tc>
        <w:tc>
          <w:tcPr>
            <w:tcW w:w="669" w:type="dxa"/>
            <w:vMerge w:val="continue"/>
            <w:vAlign w:val="center"/>
          </w:tcPr>
          <w:p w14:paraId="71C6866D">
            <w:pPr>
              <w:jc w:val="center"/>
              <w:rPr>
                <w:rFonts w:ascii="宋体" w:hAnsi="宋体" w:cs="宋体"/>
                <w:color w:val="000000"/>
                <w:kern w:val="0"/>
                <w:sz w:val="22"/>
                <w:szCs w:val="22"/>
              </w:rPr>
            </w:pPr>
          </w:p>
        </w:tc>
        <w:tc>
          <w:tcPr>
            <w:tcW w:w="851" w:type="dxa"/>
            <w:shd w:val="clear" w:color="auto" w:fill="auto"/>
            <w:vAlign w:val="center"/>
          </w:tcPr>
          <w:p w14:paraId="682005F9">
            <w:pPr>
              <w:jc w:val="center"/>
              <w:rPr>
                <w:color w:val="000000"/>
                <w:kern w:val="0"/>
                <w:szCs w:val="21"/>
              </w:rPr>
            </w:pPr>
            <w:r>
              <w:rPr>
                <w:color w:val="000000"/>
                <w:kern w:val="0"/>
                <w:szCs w:val="21"/>
              </w:rPr>
              <w:t>/</w:t>
            </w:r>
          </w:p>
        </w:tc>
        <w:tc>
          <w:tcPr>
            <w:tcW w:w="850" w:type="dxa"/>
            <w:shd w:val="clear" w:color="auto" w:fill="auto"/>
            <w:vAlign w:val="center"/>
          </w:tcPr>
          <w:p w14:paraId="2F91FD65">
            <w:pPr>
              <w:jc w:val="center"/>
              <w:rPr>
                <w:color w:val="000000"/>
                <w:kern w:val="0"/>
                <w:szCs w:val="21"/>
              </w:rPr>
            </w:pPr>
            <w:r>
              <w:rPr>
                <w:color w:val="000000"/>
                <w:kern w:val="0"/>
                <w:szCs w:val="21"/>
              </w:rPr>
              <w:t>60</w:t>
            </w:r>
          </w:p>
        </w:tc>
        <w:tc>
          <w:tcPr>
            <w:tcW w:w="770" w:type="dxa"/>
            <w:shd w:val="clear" w:color="auto" w:fill="auto"/>
            <w:vAlign w:val="center"/>
          </w:tcPr>
          <w:p w14:paraId="0EB2E0AA">
            <w:pPr>
              <w:jc w:val="center"/>
              <w:rPr>
                <w:color w:val="000000"/>
                <w:kern w:val="0"/>
                <w:szCs w:val="21"/>
              </w:rPr>
            </w:pPr>
            <w:r>
              <w:rPr>
                <w:color w:val="000000"/>
                <w:kern w:val="0"/>
                <w:szCs w:val="21"/>
              </w:rPr>
              <w:t>1</w:t>
            </w:r>
          </w:p>
        </w:tc>
      </w:tr>
      <w:tr w14:paraId="1AAB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C5749C3">
            <w:pPr>
              <w:jc w:val="center"/>
              <w:rPr>
                <w:color w:val="000000"/>
                <w:kern w:val="0"/>
                <w:szCs w:val="21"/>
              </w:rPr>
            </w:pPr>
            <w:r>
              <w:rPr>
                <w:color w:val="000000"/>
                <w:kern w:val="0"/>
                <w:szCs w:val="21"/>
              </w:rPr>
              <w:t>9</w:t>
            </w:r>
          </w:p>
        </w:tc>
        <w:tc>
          <w:tcPr>
            <w:tcW w:w="1292" w:type="dxa"/>
            <w:shd w:val="clear" w:color="auto" w:fill="auto"/>
            <w:noWrap/>
            <w:vAlign w:val="center"/>
          </w:tcPr>
          <w:p w14:paraId="1BB59A14">
            <w:pPr>
              <w:jc w:val="center"/>
              <w:rPr>
                <w:rFonts w:ascii="宋体" w:hAnsi="宋体" w:cs="宋体"/>
                <w:color w:val="000000"/>
                <w:kern w:val="0"/>
                <w:sz w:val="22"/>
                <w:szCs w:val="22"/>
              </w:rPr>
            </w:pPr>
            <w:r>
              <w:rPr>
                <w:rFonts w:hint="eastAsia" w:ascii="宋体" w:hAnsi="宋体" w:cs="宋体"/>
                <w:color w:val="000000"/>
                <w:kern w:val="0"/>
                <w:sz w:val="22"/>
                <w:szCs w:val="22"/>
              </w:rPr>
              <w:t>塘坝牛舍#9</w:t>
            </w:r>
          </w:p>
        </w:tc>
        <w:tc>
          <w:tcPr>
            <w:tcW w:w="851" w:type="dxa"/>
            <w:vMerge w:val="continue"/>
            <w:vAlign w:val="center"/>
          </w:tcPr>
          <w:p w14:paraId="20E4BBBF">
            <w:pPr>
              <w:jc w:val="center"/>
              <w:rPr>
                <w:rFonts w:ascii="宋体" w:hAnsi="宋体" w:cs="宋体"/>
                <w:color w:val="000000"/>
                <w:kern w:val="0"/>
                <w:sz w:val="22"/>
                <w:szCs w:val="22"/>
              </w:rPr>
            </w:pPr>
          </w:p>
        </w:tc>
        <w:tc>
          <w:tcPr>
            <w:tcW w:w="1984" w:type="dxa"/>
            <w:vMerge w:val="continue"/>
            <w:vAlign w:val="center"/>
          </w:tcPr>
          <w:p w14:paraId="020356FF">
            <w:pPr>
              <w:jc w:val="center"/>
              <w:rPr>
                <w:rFonts w:ascii="宋体" w:hAnsi="宋体" w:cs="宋体"/>
                <w:color w:val="000000"/>
                <w:kern w:val="0"/>
                <w:sz w:val="22"/>
                <w:szCs w:val="22"/>
              </w:rPr>
            </w:pPr>
          </w:p>
        </w:tc>
        <w:tc>
          <w:tcPr>
            <w:tcW w:w="1560" w:type="dxa"/>
            <w:vMerge w:val="continue"/>
            <w:vAlign w:val="center"/>
          </w:tcPr>
          <w:p w14:paraId="552D287C">
            <w:pPr>
              <w:jc w:val="center"/>
              <w:rPr>
                <w:rFonts w:ascii="宋体" w:hAnsi="宋体" w:cs="宋体"/>
                <w:color w:val="000000"/>
                <w:kern w:val="0"/>
                <w:sz w:val="22"/>
                <w:szCs w:val="22"/>
              </w:rPr>
            </w:pPr>
          </w:p>
        </w:tc>
        <w:tc>
          <w:tcPr>
            <w:tcW w:w="1134" w:type="dxa"/>
            <w:shd w:val="clear" w:color="auto" w:fill="auto"/>
            <w:noWrap/>
            <w:vAlign w:val="center"/>
          </w:tcPr>
          <w:p w14:paraId="40771190">
            <w:pPr>
              <w:jc w:val="center"/>
              <w:rPr>
                <w:rFonts w:ascii="宋体" w:hAnsi="宋体" w:cs="宋体"/>
                <w:color w:val="000000"/>
                <w:kern w:val="0"/>
                <w:sz w:val="22"/>
                <w:szCs w:val="22"/>
              </w:rPr>
            </w:pPr>
            <w:r>
              <w:rPr>
                <w:rFonts w:hint="eastAsia" w:ascii="宋体" w:hAnsi="宋体" w:cs="宋体"/>
                <w:color w:val="000000"/>
                <w:kern w:val="0"/>
                <w:sz w:val="22"/>
                <w:szCs w:val="22"/>
              </w:rPr>
              <w:t>300.67</w:t>
            </w:r>
          </w:p>
        </w:tc>
        <w:tc>
          <w:tcPr>
            <w:tcW w:w="992" w:type="dxa"/>
            <w:shd w:val="clear" w:color="auto" w:fill="auto"/>
            <w:noWrap/>
            <w:vAlign w:val="center"/>
          </w:tcPr>
          <w:p w14:paraId="32E99D1A">
            <w:pPr>
              <w:jc w:val="center"/>
              <w:rPr>
                <w:rFonts w:ascii="宋体" w:hAnsi="宋体" w:cs="宋体"/>
                <w:color w:val="000000"/>
                <w:kern w:val="0"/>
                <w:sz w:val="22"/>
                <w:szCs w:val="22"/>
              </w:rPr>
            </w:pPr>
            <w:r>
              <w:rPr>
                <w:rFonts w:hint="eastAsia" w:ascii="宋体" w:hAnsi="宋体" w:cs="宋体"/>
                <w:color w:val="000000"/>
                <w:kern w:val="0"/>
                <w:sz w:val="22"/>
                <w:szCs w:val="22"/>
              </w:rPr>
              <w:t>69.58</w:t>
            </w:r>
          </w:p>
        </w:tc>
        <w:tc>
          <w:tcPr>
            <w:tcW w:w="850" w:type="dxa"/>
            <w:shd w:val="clear" w:color="auto" w:fill="auto"/>
            <w:vAlign w:val="center"/>
          </w:tcPr>
          <w:p w14:paraId="473CB57A">
            <w:pPr>
              <w:jc w:val="center"/>
              <w:rPr>
                <w:color w:val="000000"/>
                <w:kern w:val="0"/>
                <w:szCs w:val="21"/>
              </w:rPr>
            </w:pPr>
            <w:r>
              <w:rPr>
                <w:color w:val="000000"/>
                <w:kern w:val="0"/>
                <w:szCs w:val="21"/>
              </w:rPr>
              <w:t>1.2</w:t>
            </w:r>
          </w:p>
        </w:tc>
        <w:tc>
          <w:tcPr>
            <w:tcW w:w="851" w:type="dxa"/>
            <w:shd w:val="clear" w:color="auto" w:fill="auto"/>
            <w:vAlign w:val="center"/>
          </w:tcPr>
          <w:p w14:paraId="7F0AEAA6">
            <w:pPr>
              <w:jc w:val="center"/>
              <w:rPr>
                <w:color w:val="000000"/>
                <w:kern w:val="0"/>
                <w:szCs w:val="21"/>
              </w:rPr>
            </w:pPr>
            <w:r>
              <w:rPr>
                <w:color w:val="000000"/>
                <w:kern w:val="0"/>
                <w:szCs w:val="21"/>
              </w:rPr>
              <w:t>/</w:t>
            </w:r>
          </w:p>
        </w:tc>
        <w:tc>
          <w:tcPr>
            <w:tcW w:w="890" w:type="dxa"/>
            <w:shd w:val="clear" w:color="auto" w:fill="auto"/>
            <w:vAlign w:val="center"/>
          </w:tcPr>
          <w:p w14:paraId="60D8E0A2">
            <w:pPr>
              <w:jc w:val="center"/>
              <w:rPr>
                <w:color w:val="000000"/>
                <w:kern w:val="0"/>
                <w:szCs w:val="21"/>
              </w:rPr>
            </w:pPr>
            <w:r>
              <w:rPr>
                <w:color w:val="000000"/>
                <w:kern w:val="0"/>
                <w:szCs w:val="21"/>
              </w:rPr>
              <w:t>60</w:t>
            </w:r>
          </w:p>
        </w:tc>
        <w:tc>
          <w:tcPr>
            <w:tcW w:w="669" w:type="dxa"/>
            <w:vMerge w:val="continue"/>
            <w:vAlign w:val="center"/>
          </w:tcPr>
          <w:p w14:paraId="7B2E8A47">
            <w:pPr>
              <w:jc w:val="center"/>
              <w:rPr>
                <w:rFonts w:ascii="宋体" w:hAnsi="宋体" w:cs="宋体"/>
                <w:color w:val="000000"/>
                <w:kern w:val="0"/>
                <w:sz w:val="22"/>
                <w:szCs w:val="22"/>
              </w:rPr>
            </w:pPr>
          </w:p>
        </w:tc>
        <w:tc>
          <w:tcPr>
            <w:tcW w:w="851" w:type="dxa"/>
            <w:shd w:val="clear" w:color="auto" w:fill="auto"/>
            <w:vAlign w:val="center"/>
          </w:tcPr>
          <w:p w14:paraId="437BC76B">
            <w:pPr>
              <w:jc w:val="center"/>
              <w:rPr>
                <w:color w:val="000000"/>
                <w:kern w:val="0"/>
                <w:szCs w:val="21"/>
              </w:rPr>
            </w:pPr>
            <w:r>
              <w:rPr>
                <w:color w:val="000000"/>
                <w:kern w:val="0"/>
                <w:szCs w:val="21"/>
              </w:rPr>
              <w:t>/</w:t>
            </w:r>
          </w:p>
        </w:tc>
        <w:tc>
          <w:tcPr>
            <w:tcW w:w="850" w:type="dxa"/>
            <w:shd w:val="clear" w:color="auto" w:fill="auto"/>
            <w:vAlign w:val="center"/>
          </w:tcPr>
          <w:p w14:paraId="7E9E36FF">
            <w:pPr>
              <w:jc w:val="center"/>
              <w:rPr>
                <w:color w:val="000000"/>
                <w:kern w:val="0"/>
                <w:szCs w:val="21"/>
              </w:rPr>
            </w:pPr>
            <w:r>
              <w:rPr>
                <w:color w:val="000000"/>
                <w:kern w:val="0"/>
                <w:szCs w:val="21"/>
              </w:rPr>
              <w:t>60</w:t>
            </w:r>
          </w:p>
        </w:tc>
        <w:tc>
          <w:tcPr>
            <w:tcW w:w="770" w:type="dxa"/>
            <w:shd w:val="clear" w:color="auto" w:fill="auto"/>
            <w:vAlign w:val="center"/>
          </w:tcPr>
          <w:p w14:paraId="16B0E0C1">
            <w:pPr>
              <w:jc w:val="center"/>
              <w:rPr>
                <w:color w:val="000000"/>
                <w:kern w:val="0"/>
                <w:szCs w:val="21"/>
              </w:rPr>
            </w:pPr>
            <w:r>
              <w:rPr>
                <w:color w:val="000000"/>
                <w:kern w:val="0"/>
                <w:szCs w:val="21"/>
              </w:rPr>
              <w:t>1</w:t>
            </w:r>
          </w:p>
        </w:tc>
      </w:tr>
      <w:tr w14:paraId="39610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30F8E90A">
            <w:pPr>
              <w:jc w:val="center"/>
              <w:rPr>
                <w:color w:val="000000"/>
                <w:kern w:val="0"/>
                <w:szCs w:val="21"/>
              </w:rPr>
            </w:pPr>
            <w:r>
              <w:rPr>
                <w:color w:val="000000"/>
                <w:kern w:val="0"/>
                <w:szCs w:val="21"/>
              </w:rPr>
              <w:t>10</w:t>
            </w:r>
          </w:p>
        </w:tc>
        <w:tc>
          <w:tcPr>
            <w:tcW w:w="1292" w:type="dxa"/>
            <w:shd w:val="clear" w:color="auto" w:fill="auto"/>
            <w:noWrap/>
            <w:vAlign w:val="center"/>
          </w:tcPr>
          <w:p w14:paraId="5810FFD2">
            <w:pPr>
              <w:jc w:val="center"/>
              <w:rPr>
                <w:rFonts w:ascii="宋体" w:hAnsi="宋体" w:cs="宋体"/>
                <w:color w:val="000000"/>
                <w:kern w:val="0"/>
                <w:sz w:val="22"/>
                <w:szCs w:val="22"/>
              </w:rPr>
            </w:pPr>
            <w:r>
              <w:rPr>
                <w:rFonts w:hint="eastAsia" w:ascii="宋体" w:hAnsi="宋体" w:cs="宋体"/>
                <w:color w:val="000000"/>
                <w:kern w:val="0"/>
                <w:sz w:val="22"/>
                <w:szCs w:val="22"/>
              </w:rPr>
              <w:t>塘坝牛舍#10</w:t>
            </w:r>
          </w:p>
        </w:tc>
        <w:tc>
          <w:tcPr>
            <w:tcW w:w="851" w:type="dxa"/>
            <w:vMerge w:val="continue"/>
            <w:vAlign w:val="center"/>
          </w:tcPr>
          <w:p w14:paraId="1F32F74E">
            <w:pPr>
              <w:jc w:val="center"/>
              <w:rPr>
                <w:rFonts w:ascii="宋体" w:hAnsi="宋体" w:cs="宋体"/>
                <w:color w:val="000000"/>
                <w:kern w:val="0"/>
                <w:sz w:val="22"/>
                <w:szCs w:val="22"/>
              </w:rPr>
            </w:pPr>
          </w:p>
        </w:tc>
        <w:tc>
          <w:tcPr>
            <w:tcW w:w="1984" w:type="dxa"/>
            <w:vMerge w:val="continue"/>
            <w:vAlign w:val="center"/>
          </w:tcPr>
          <w:p w14:paraId="014620EA">
            <w:pPr>
              <w:jc w:val="center"/>
              <w:rPr>
                <w:rFonts w:ascii="宋体" w:hAnsi="宋体" w:cs="宋体"/>
                <w:color w:val="000000"/>
                <w:kern w:val="0"/>
                <w:sz w:val="22"/>
                <w:szCs w:val="22"/>
              </w:rPr>
            </w:pPr>
          </w:p>
        </w:tc>
        <w:tc>
          <w:tcPr>
            <w:tcW w:w="1560" w:type="dxa"/>
            <w:vMerge w:val="continue"/>
            <w:vAlign w:val="center"/>
          </w:tcPr>
          <w:p w14:paraId="7A695F9C">
            <w:pPr>
              <w:jc w:val="center"/>
              <w:rPr>
                <w:rFonts w:ascii="宋体" w:hAnsi="宋体" w:cs="宋体"/>
                <w:color w:val="000000"/>
                <w:kern w:val="0"/>
                <w:sz w:val="22"/>
                <w:szCs w:val="22"/>
              </w:rPr>
            </w:pPr>
          </w:p>
        </w:tc>
        <w:tc>
          <w:tcPr>
            <w:tcW w:w="1134" w:type="dxa"/>
            <w:shd w:val="clear" w:color="auto" w:fill="auto"/>
            <w:noWrap/>
            <w:vAlign w:val="center"/>
          </w:tcPr>
          <w:p w14:paraId="3785E320">
            <w:pPr>
              <w:jc w:val="center"/>
              <w:rPr>
                <w:rFonts w:ascii="宋体" w:hAnsi="宋体" w:cs="宋体"/>
                <w:color w:val="000000"/>
                <w:kern w:val="0"/>
                <w:sz w:val="22"/>
                <w:szCs w:val="22"/>
              </w:rPr>
            </w:pPr>
            <w:r>
              <w:rPr>
                <w:rFonts w:hint="eastAsia" w:ascii="宋体" w:hAnsi="宋体" w:cs="宋体"/>
                <w:color w:val="000000"/>
                <w:kern w:val="0"/>
                <w:sz w:val="22"/>
                <w:szCs w:val="22"/>
              </w:rPr>
              <w:t>48.82</w:t>
            </w:r>
          </w:p>
        </w:tc>
        <w:tc>
          <w:tcPr>
            <w:tcW w:w="992" w:type="dxa"/>
            <w:shd w:val="clear" w:color="auto" w:fill="auto"/>
            <w:noWrap/>
            <w:vAlign w:val="center"/>
          </w:tcPr>
          <w:p w14:paraId="266726F5">
            <w:pPr>
              <w:jc w:val="center"/>
              <w:rPr>
                <w:rFonts w:ascii="宋体" w:hAnsi="宋体" w:cs="宋体"/>
                <w:color w:val="000000"/>
                <w:kern w:val="0"/>
                <w:sz w:val="22"/>
                <w:szCs w:val="22"/>
              </w:rPr>
            </w:pPr>
            <w:r>
              <w:rPr>
                <w:rFonts w:hint="eastAsia" w:ascii="宋体" w:hAnsi="宋体" w:cs="宋体"/>
                <w:color w:val="000000"/>
                <w:kern w:val="0"/>
                <w:sz w:val="22"/>
                <w:szCs w:val="22"/>
              </w:rPr>
              <w:t>153.02</w:t>
            </w:r>
          </w:p>
        </w:tc>
        <w:tc>
          <w:tcPr>
            <w:tcW w:w="850" w:type="dxa"/>
            <w:shd w:val="clear" w:color="auto" w:fill="auto"/>
            <w:vAlign w:val="center"/>
          </w:tcPr>
          <w:p w14:paraId="5E4E40CC">
            <w:pPr>
              <w:jc w:val="center"/>
              <w:rPr>
                <w:color w:val="000000"/>
                <w:kern w:val="0"/>
                <w:szCs w:val="21"/>
              </w:rPr>
            </w:pPr>
            <w:r>
              <w:rPr>
                <w:color w:val="000000"/>
                <w:kern w:val="0"/>
                <w:szCs w:val="21"/>
              </w:rPr>
              <w:t>1.2</w:t>
            </w:r>
          </w:p>
        </w:tc>
        <w:tc>
          <w:tcPr>
            <w:tcW w:w="851" w:type="dxa"/>
            <w:shd w:val="clear" w:color="auto" w:fill="auto"/>
            <w:vAlign w:val="center"/>
          </w:tcPr>
          <w:p w14:paraId="7B18A9FF">
            <w:pPr>
              <w:jc w:val="center"/>
              <w:rPr>
                <w:color w:val="000000"/>
                <w:kern w:val="0"/>
                <w:szCs w:val="21"/>
              </w:rPr>
            </w:pPr>
            <w:r>
              <w:rPr>
                <w:color w:val="000000"/>
                <w:kern w:val="0"/>
                <w:szCs w:val="21"/>
              </w:rPr>
              <w:t>/</w:t>
            </w:r>
          </w:p>
        </w:tc>
        <w:tc>
          <w:tcPr>
            <w:tcW w:w="890" w:type="dxa"/>
            <w:shd w:val="clear" w:color="auto" w:fill="auto"/>
            <w:vAlign w:val="center"/>
          </w:tcPr>
          <w:p w14:paraId="7C3E9E4F">
            <w:pPr>
              <w:jc w:val="center"/>
              <w:rPr>
                <w:color w:val="000000"/>
                <w:kern w:val="0"/>
                <w:szCs w:val="21"/>
              </w:rPr>
            </w:pPr>
            <w:r>
              <w:rPr>
                <w:color w:val="000000"/>
                <w:kern w:val="0"/>
                <w:szCs w:val="21"/>
              </w:rPr>
              <w:t>60</w:t>
            </w:r>
          </w:p>
        </w:tc>
        <w:tc>
          <w:tcPr>
            <w:tcW w:w="669" w:type="dxa"/>
            <w:vMerge w:val="continue"/>
            <w:vAlign w:val="center"/>
          </w:tcPr>
          <w:p w14:paraId="094C3483">
            <w:pPr>
              <w:jc w:val="center"/>
              <w:rPr>
                <w:rFonts w:ascii="宋体" w:hAnsi="宋体" w:cs="宋体"/>
                <w:color w:val="000000"/>
                <w:kern w:val="0"/>
                <w:sz w:val="22"/>
                <w:szCs w:val="22"/>
              </w:rPr>
            </w:pPr>
          </w:p>
        </w:tc>
        <w:tc>
          <w:tcPr>
            <w:tcW w:w="851" w:type="dxa"/>
            <w:shd w:val="clear" w:color="auto" w:fill="auto"/>
            <w:vAlign w:val="center"/>
          </w:tcPr>
          <w:p w14:paraId="4B874A26">
            <w:pPr>
              <w:jc w:val="center"/>
              <w:rPr>
                <w:color w:val="000000"/>
                <w:kern w:val="0"/>
                <w:szCs w:val="21"/>
              </w:rPr>
            </w:pPr>
            <w:r>
              <w:rPr>
                <w:color w:val="000000"/>
                <w:kern w:val="0"/>
                <w:szCs w:val="21"/>
              </w:rPr>
              <w:t>/</w:t>
            </w:r>
          </w:p>
        </w:tc>
        <w:tc>
          <w:tcPr>
            <w:tcW w:w="850" w:type="dxa"/>
            <w:shd w:val="clear" w:color="auto" w:fill="auto"/>
            <w:vAlign w:val="center"/>
          </w:tcPr>
          <w:p w14:paraId="2034755D">
            <w:pPr>
              <w:jc w:val="center"/>
              <w:rPr>
                <w:color w:val="000000"/>
                <w:kern w:val="0"/>
                <w:szCs w:val="21"/>
              </w:rPr>
            </w:pPr>
            <w:r>
              <w:rPr>
                <w:color w:val="000000"/>
                <w:kern w:val="0"/>
                <w:szCs w:val="21"/>
              </w:rPr>
              <w:t>60</w:t>
            </w:r>
          </w:p>
        </w:tc>
        <w:tc>
          <w:tcPr>
            <w:tcW w:w="770" w:type="dxa"/>
            <w:shd w:val="clear" w:color="auto" w:fill="auto"/>
            <w:vAlign w:val="center"/>
          </w:tcPr>
          <w:p w14:paraId="1787374C">
            <w:pPr>
              <w:jc w:val="center"/>
              <w:rPr>
                <w:color w:val="000000"/>
                <w:kern w:val="0"/>
                <w:szCs w:val="21"/>
              </w:rPr>
            </w:pPr>
            <w:r>
              <w:rPr>
                <w:color w:val="000000"/>
                <w:kern w:val="0"/>
                <w:szCs w:val="21"/>
              </w:rPr>
              <w:t>1</w:t>
            </w:r>
          </w:p>
        </w:tc>
      </w:tr>
      <w:tr w14:paraId="0DEC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B8F8CB5">
            <w:pPr>
              <w:jc w:val="center"/>
              <w:rPr>
                <w:color w:val="000000"/>
                <w:kern w:val="0"/>
                <w:szCs w:val="21"/>
              </w:rPr>
            </w:pPr>
            <w:r>
              <w:rPr>
                <w:color w:val="000000"/>
                <w:kern w:val="0"/>
                <w:szCs w:val="21"/>
              </w:rPr>
              <w:t>11</w:t>
            </w:r>
          </w:p>
        </w:tc>
        <w:tc>
          <w:tcPr>
            <w:tcW w:w="1292" w:type="dxa"/>
            <w:shd w:val="clear" w:color="auto" w:fill="auto"/>
            <w:noWrap/>
            <w:vAlign w:val="center"/>
          </w:tcPr>
          <w:p w14:paraId="2D15DC6A">
            <w:pPr>
              <w:jc w:val="center"/>
              <w:rPr>
                <w:rFonts w:ascii="宋体" w:hAnsi="宋体" w:cs="宋体"/>
                <w:color w:val="000000"/>
                <w:kern w:val="0"/>
                <w:sz w:val="22"/>
                <w:szCs w:val="22"/>
              </w:rPr>
            </w:pPr>
            <w:r>
              <w:rPr>
                <w:rFonts w:hint="eastAsia" w:ascii="宋体" w:hAnsi="宋体" w:cs="宋体"/>
                <w:color w:val="000000"/>
                <w:kern w:val="0"/>
                <w:sz w:val="22"/>
                <w:szCs w:val="22"/>
              </w:rPr>
              <w:t>塘坝牛舍#11</w:t>
            </w:r>
          </w:p>
        </w:tc>
        <w:tc>
          <w:tcPr>
            <w:tcW w:w="851" w:type="dxa"/>
            <w:vMerge w:val="continue"/>
            <w:vAlign w:val="center"/>
          </w:tcPr>
          <w:p w14:paraId="3AB58E1F">
            <w:pPr>
              <w:jc w:val="center"/>
              <w:rPr>
                <w:rFonts w:ascii="宋体" w:hAnsi="宋体" w:cs="宋体"/>
                <w:color w:val="000000"/>
                <w:kern w:val="0"/>
                <w:sz w:val="22"/>
                <w:szCs w:val="22"/>
              </w:rPr>
            </w:pPr>
          </w:p>
        </w:tc>
        <w:tc>
          <w:tcPr>
            <w:tcW w:w="1984" w:type="dxa"/>
            <w:vMerge w:val="continue"/>
            <w:vAlign w:val="center"/>
          </w:tcPr>
          <w:p w14:paraId="621A1D44">
            <w:pPr>
              <w:jc w:val="center"/>
              <w:rPr>
                <w:rFonts w:ascii="宋体" w:hAnsi="宋体" w:cs="宋体"/>
                <w:color w:val="000000"/>
                <w:kern w:val="0"/>
                <w:sz w:val="22"/>
                <w:szCs w:val="22"/>
              </w:rPr>
            </w:pPr>
          </w:p>
        </w:tc>
        <w:tc>
          <w:tcPr>
            <w:tcW w:w="1560" w:type="dxa"/>
            <w:vMerge w:val="continue"/>
            <w:vAlign w:val="center"/>
          </w:tcPr>
          <w:p w14:paraId="1EE1AA06">
            <w:pPr>
              <w:jc w:val="center"/>
              <w:rPr>
                <w:rFonts w:ascii="宋体" w:hAnsi="宋体" w:cs="宋体"/>
                <w:color w:val="000000"/>
                <w:kern w:val="0"/>
                <w:sz w:val="22"/>
                <w:szCs w:val="22"/>
              </w:rPr>
            </w:pPr>
          </w:p>
        </w:tc>
        <w:tc>
          <w:tcPr>
            <w:tcW w:w="1134" w:type="dxa"/>
            <w:shd w:val="clear" w:color="auto" w:fill="auto"/>
            <w:noWrap/>
            <w:vAlign w:val="center"/>
          </w:tcPr>
          <w:p w14:paraId="5244665F">
            <w:pPr>
              <w:jc w:val="center"/>
              <w:rPr>
                <w:rFonts w:ascii="宋体" w:hAnsi="宋体" w:cs="宋体"/>
                <w:color w:val="000000"/>
                <w:kern w:val="0"/>
                <w:sz w:val="22"/>
                <w:szCs w:val="22"/>
              </w:rPr>
            </w:pPr>
            <w:r>
              <w:rPr>
                <w:rFonts w:hint="eastAsia" w:ascii="宋体" w:hAnsi="宋体" w:cs="宋体"/>
                <w:color w:val="000000"/>
                <w:kern w:val="0"/>
                <w:sz w:val="22"/>
                <w:szCs w:val="22"/>
              </w:rPr>
              <w:t>107.53</w:t>
            </w:r>
          </w:p>
        </w:tc>
        <w:tc>
          <w:tcPr>
            <w:tcW w:w="992" w:type="dxa"/>
            <w:shd w:val="clear" w:color="auto" w:fill="auto"/>
            <w:noWrap/>
            <w:vAlign w:val="center"/>
          </w:tcPr>
          <w:p w14:paraId="25181B36">
            <w:pPr>
              <w:jc w:val="center"/>
              <w:rPr>
                <w:rFonts w:ascii="宋体" w:hAnsi="宋体" w:cs="宋体"/>
                <w:color w:val="000000"/>
                <w:kern w:val="0"/>
                <w:sz w:val="22"/>
                <w:szCs w:val="22"/>
              </w:rPr>
            </w:pPr>
            <w:r>
              <w:rPr>
                <w:rFonts w:hint="eastAsia" w:ascii="宋体" w:hAnsi="宋体" w:cs="宋体"/>
                <w:color w:val="000000"/>
                <w:kern w:val="0"/>
                <w:sz w:val="22"/>
                <w:szCs w:val="22"/>
              </w:rPr>
              <w:t>131.39</w:t>
            </w:r>
          </w:p>
        </w:tc>
        <w:tc>
          <w:tcPr>
            <w:tcW w:w="850" w:type="dxa"/>
            <w:shd w:val="clear" w:color="auto" w:fill="auto"/>
            <w:vAlign w:val="center"/>
          </w:tcPr>
          <w:p w14:paraId="28D8B226">
            <w:pPr>
              <w:jc w:val="center"/>
              <w:rPr>
                <w:color w:val="000000"/>
                <w:kern w:val="0"/>
                <w:szCs w:val="21"/>
              </w:rPr>
            </w:pPr>
            <w:r>
              <w:rPr>
                <w:color w:val="000000"/>
                <w:kern w:val="0"/>
                <w:szCs w:val="21"/>
              </w:rPr>
              <w:t>1.2</w:t>
            </w:r>
          </w:p>
        </w:tc>
        <w:tc>
          <w:tcPr>
            <w:tcW w:w="851" w:type="dxa"/>
            <w:shd w:val="clear" w:color="auto" w:fill="auto"/>
            <w:vAlign w:val="center"/>
          </w:tcPr>
          <w:p w14:paraId="1C3712E1">
            <w:pPr>
              <w:jc w:val="center"/>
              <w:rPr>
                <w:color w:val="000000"/>
                <w:kern w:val="0"/>
                <w:szCs w:val="21"/>
              </w:rPr>
            </w:pPr>
            <w:r>
              <w:rPr>
                <w:color w:val="000000"/>
                <w:kern w:val="0"/>
                <w:szCs w:val="21"/>
              </w:rPr>
              <w:t>/</w:t>
            </w:r>
          </w:p>
        </w:tc>
        <w:tc>
          <w:tcPr>
            <w:tcW w:w="890" w:type="dxa"/>
            <w:shd w:val="clear" w:color="auto" w:fill="auto"/>
            <w:vAlign w:val="center"/>
          </w:tcPr>
          <w:p w14:paraId="07DC08A0">
            <w:pPr>
              <w:jc w:val="center"/>
              <w:rPr>
                <w:color w:val="000000"/>
                <w:kern w:val="0"/>
                <w:szCs w:val="21"/>
              </w:rPr>
            </w:pPr>
            <w:r>
              <w:rPr>
                <w:color w:val="000000"/>
                <w:kern w:val="0"/>
                <w:szCs w:val="21"/>
              </w:rPr>
              <w:t>60</w:t>
            </w:r>
          </w:p>
        </w:tc>
        <w:tc>
          <w:tcPr>
            <w:tcW w:w="669" w:type="dxa"/>
            <w:vMerge w:val="continue"/>
            <w:vAlign w:val="center"/>
          </w:tcPr>
          <w:p w14:paraId="1F438F29">
            <w:pPr>
              <w:jc w:val="center"/>
              <w:rPr>
                <w:rFonts w:ascii="宋体" w:hAnsi="宋体" w:cs="宋体"/>
                <w:color w:val="000000"/>
                <w:kern w:val="0"/>
                <w:sz w:val="22"/>
                <w:szCs w:val="22"/>
              </w:rPr>
            </w:pPr>
          </w:p>
        </w:tc>
        <w:tc>
          <w:tcPr>
            <w:tcW w:w="851" w:type="dxa"/>
            <w:shd w:val="clear" w:color="auto" w:fill="auto"/>
            <w:vAlign w:val="center"/>
          </w:tcPr>
          <w:p w14:paraId="7DD7D1BC">
            <w:pPr>
              <w:jc w:val="center"/>
              <w:rPr>
                <w:color w:val="000000"/>
                <w:kern w:val="0"/>
                <w:szCs w:val="21"/>
              </w:rPr>
            </w:pPr>
            <w:r>
              <w:rPr>
                <w:color w:val="000000"/>
                <w:kern w:val="0"/>
                <w:szCs w:val="21"/>
              </w:rPr>
              <w:t>/</w:t>
            </w:r>
          </w:p>
        </w:tc>
        <w:tc>
          <w:tcPr>
            <w:tcW w:w="850" w:type="dxa"/>
            <w:shd w:val="clear" w:color="auto" w:fill="auto"/>
            <w:vAlign w:val="center"/>
          </w:tcPr>
          <w:p w14:paraId="5B962231">
            <w:pPr>
              <w:jc w:val="center"/>
              <w:rPr>
                <w:color w:val="000000"/>
                <w:kern w:val="0"/>
                <w:szCs w:val="21"/>
              </w:rPr>
            </w:pPr>
            <w:r>
              <w:rPr>
                <w:color w:val="000000"/>
                <w:kern w:val="0"/>
                <w:szCs w:val="21"/>
              </w:rPr>
              <w:t>60</w:t>
            </w:r>
          </w:p>
        </w:tc>
        <w:tc>
          <w:tcPr>
            <w:tcW w:w="770" w:type="dxa"/>
            <w:shd w:val="clear" w:color="auto" w:fill="auto"/>
            <w:vAlign w:val="center"/>
          </w:tcPr>
          <w:p w14:paraId="29AA863F">
            <w:pPr>
              <w:jc w:val="center"/>
              <w:rPr>
                <w:color w:val="000000"/>
                <w:kern w:val="0"/>
                <w:szCs w:val="21"/>
              </w:rPr>
            </w:pPr>
            <w:r>
              <w:rPr>
                <w:color w:val="000000"/>
                <w:kern w:val="0"/>
                <w:szCs w:val="21"/>
              </w:rPr>
              <w:t>1</w:t>
            </w:r>
          </w:p>
        </w:tc>
      </w:tr>
      <w:tr w14:paraId="6CFBE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5627C83">
            <w:pPr>
              <w:jc w:val="center"/>
              <w:rPr>
                <w:color w:val="000000"/>
                <w:kern w:val="0"/>
                <w:szCs w:val="21"/>
              </w:rPr>
            </w:pPr>
            <w:r>
              <w:rPr>
                <w:color w:val="000000"/>
                <w:kern w:val="0"/>
                <w:szCs w:val="21"/>
              </w:rPr>
              <w:t>12</w:t>
            </w:r>
          </w:p>
        </w:tc>
        <w:tc>
          <w:tcPr>
            <w:tcW w:w="1292" w:type="dxa"/>
            <w:shd w:val="clear" w:color="auto" w:fill="auto"/>
            <w:noWrap/>
            <w:vAlign w:val="center"/>
          </w:tcPr>
          <w:p w14:paraId="3E4F8734">
            <w:pPr>
              <w:jc w:val="center"/>
              <w:rPr>
                <w:rFonts w:ascii="宋体" w:hAnsi="宋体" w:cs="宋体"/>
                <w:color w:val="000000"/>
                <w:kern w:val="0"/>
                <w:sz w:val="22"/>
                <w:szCs w:val="22"/>
              </w:rPr>
            </w:pPr>
            <w:r>
              <w:rPr>
                <w:rFonts w:hint="eastAsia" w:ascii="宋体" w:hAnsi="宋体" w:cs="宋体"/>
                <w:color w:val="000000"/>
                <w:kern w:val="0"/>
                <w:sz w:val="22"/>
                <w:szCs w:val="22"/>
              </w:rPr>
              <w:t>塘坝牛舍#12</w:t>
            </w:r>
          </w:p>
        </w:tc>
        <w:tc>
          <w:tcPr>
            <w:tcW w:w="851" w:type="dxa"/>
            <w:vMerge w:val="continue"/>
            <w:vAlign w:val="center"/>
          </w:tcPr>
          <w:p w14:paraId="0C02B906">
            <w:pPr>
              <w:jc w:val="center"/>
              <w:rPr>
                <w:rFonts w:ascii="宋体" w:hAnsi="宋体" w:cs="宋体"/>
                <w:color w:val="000000"/>
                <w:kern w:val="0"/>
                <w:sz w:val="22"/>
                <w:szCs w:val="22"/>
              </w:rPr>
            </w:pPr>
          </w:p>
        </w:tc>
        <w:tc>
          <w:tcPr>
            <w:tcW w:w="1984" w:type="dxa"/>
            <w:vMerge w:val="continue"/>
            <w:vAlign w:val="center"/>
          </w:tcPr>
          <w:p w14:paraId="5F80DA91">
            <w:pPr>
              <w:jc w:val="center"/>
              <w:rPr>
                <w:rFonts w:ascii="宋体" w:hAnsi="宋体" w:cs="宋体"/>
                <w:color w:val="000000"/>
                <w:kern w:val="0"/>
                <w:sz w:val="22"/>
                <w:szCs w:val="22"/>
              </w:rPr>
            </w:pPr>
          </w:p>
        </w:tc>
        <w:tc>
          <w:tcPr>
            <w:tcW w:w="1560" w:type="dxa"/>
            <w:vMerge w:val="continue"/>
            <w:vAlign w:val="center"/>
          </w:tcPr>
          <w:p w14:paraId="6D4DE023">
            <w:pPr>
              <w:jc w:val="center"/>
              <w:rPr>
                <w:rFonts w:ascii="宋体" w:hAnsi="宋体" w:cs="宋体"/>
                <w:color w:val="000000"/>
                <w:kern w:val="0"/>
                <w:sz w:val="22"/>
                <w:szCs w:val="22"/>
              </w:rPr>
            </w:pPr>
          </w:p>
        </w:tc>
        <w:tc>
          <w:tcPr>
            <w:tcW w:w="1134" w:type="dxa"/>
            <w:shd w:val="clear" w:color="auto" w:fill="auto"/>
            <w:noWrap/>
            <w:vAlign w:val="center"/>
          </w:tcPr>
          <w:p w14:paraId="5F9C9B65">
            <w:pPr>
              <w:jc w:val="center"/>
              <w:rPr>
                <w:rFonts w:ascii="宋体" w:hAnsi="宋体" w:cs="宋体"/>
                <w:color w:val="000000"/>
                <w:kern w:val="0"/>
                <w:sz w:val="22"/>
                <w:szCs w:val="22"/>
              </w:rPr>
            </w:pPr>
            <w:r>
              <w:rPr>
                <w:rFonts w:hint="eastAsia" w:ascii="宋体" w:hAnsi="宋体" w:cs="宋体"/>
                <w:color w:val="000000"/>
                <w:kern w:val="0"/>
                <w:sz w:val="22"/>
                <w:szCs w:val="22"/>
              </w:rPr>
              <w:t>163.16</w:t>
            </w:r>
          </w:p>
        </w:tc>
        <w:tc>
          <w:tcPr>
            <w:tcW w:w="992" w:type="dxa"/>
            <w:shd w:val="clear" w:color="auto" w:fill="auto"/>
            <w:noWrap/>
            <w:vAlign w:val="center"/>
          </w:tcPr>
          <w:p w14:paraId="16025520">
            <w:pPr>
              <w:jc w:val="center"/>
              <w:rPr>
                <w:rFonts w:ascii="宋体" w:hAnsi="宋体" w:cs="宋体"/>
                <w:color w:val="000000"/>
                <w:kern w:val="0"/>
                <w:sz w:val="22"/>
                <w:szCs w:val="22"/>
              </w:rPr>
            </w:pPr>
            <w:r>
              <w:rPr>
                <w:rFonts w:hint="eastAsia" w:ascii="宋体" w:hAnsi="宋体" w:cs="宋体"/>
                <w:color w:val="000000"/>
                <w:kern w:val="0"/>
                <w:sz w:val="22"/>
                <w:szCs w:val="22"/>
              </w:rPr>
              <w:t>100.49</w:t>
            </w:r>
          </w:p>
        </w:tc>
        <w:tc>
          <w:tcPr>
            <w:tcW w:w="850" w:type="dxa"/>
            <w:shd w:val="clear" w:color="auto" w:fill="auto"/>
            <w:vAlign w:val="center"/>
          </w:tcPr>
          <w:p w14:paraId="72886186">
            <w:pPr>
              <w:jc w:val="center"/>
              <w:rPr>
                <w:color w:val="000000"/>
                <w:kern w:val="0"/>
                <w:szCs w:val="21"/>
              </w:rPr>
            </w:pPr>
            <w:r>
              <w:rPr>
                <w:color w:val="000000"/>
                <w:kern w:val="0"/>
                <w:szCs w:val="21"/>
              </w:rPr>
              <w:t>1.2</w:t>
            </w:r>
          </w:p>
        </w:tc>
        <w:tc>
          <w:tcPr>
            <w:tcW w:w="851" w:type="dxa"/>
            <w:shd w:val="clear" w:color="auto" w:fill="auto"/>
            <w:vAlign w:val="center"/>
          </w:tcPr>
          <w:p w14:paraId="751234A8">
            <w:pPr>
              <w:jc w:val="center"/>
              <w:rPr>
                <w:color w:val="000000"/>
                <w:kern w:val="0"/>
                <w:szCs w:val="21"/>
              </w:rPr>
            </w:pPr>
            <w:r>
              <w:rPr>
                <w:color w:val="000000"/>
                <w:kern w:val="0"/>
                <w:szCs w:val="21"/>
              </w:rPr>
              <w:t>/</w:t>
            </w:r>
          </w:p>
        </w:tc>
        <w:tc>
          <w:tcPr>
            <w:tcW w:w="890" w:type="dxa"/>
            <w:shd w:val="clear" w:color="auto" w:fill="auto"/>
            <w:vAlign w:val="center"/>
          </w:tcPr>
          <w:p w14:paraId="567B0F49">
            <w:pPr>
              <w:jc w:val="center"/>
              <w:rPr>
                <w:color w:val="000000"/>
                <w:kern w:val="0"/>
                <w:szCs w:val="21"/>
              </w:rPr>
            </w:pPr>
            <w:r>
              <w:rPr>
                <w:color w:val="000000"/>
                <w:kern w:val="0"/>
                <w:szCs w:val="21"/>
              </w:rPr>
              <w:t>60</w:t>
            </w:r>
          </w:p>
        </w:tc>
        <w:tc>
          <w:tcPr>
            <w:tcW w:w="669" w:type="dxa"/>
            <w:vMerge w:val="continue"/>
            <w:vAlign w:val="center"/>
          </w:tcPr>
          <w:p w14:paraId="4A063FE8">
            <w:pPr>
              <w:jc w:val="center"/>
              <w:rPr>
                <w:rFonts w:ascii="宋体" w:hAnsi="宋体" w:cs="宋体"/>
                <w:color w:val="000000"/>
                <w:kern w:val="0"/>
                <w:sz w:val="22"/>
                <w:szCs w:val="22"/>
              </w:rPr>
            </w:pPr>
          </w:p>
        </w:tc>
        <w:tc>
          <w:tcPr>
            <w:tcW w:w="851" w:type="dxa"/>
            <w:shd w:val="clear" w:color="auto" w:fill="auto"/>
            <w:vAlign w:val="center"/>
          </w:tcPr>
          <w:p w14:paraId="6CCE7FB2">
            <w:pPr>
              <w:jc w:val="center"/>
              <w:rPr>
                <w:color w:val="000000"/>
                <w:kern w:val="0"/>
                <w:szCs w:val="21"/>
              </w:rPr>
            </w:pPr>
            <w:r>
              <w:rPr>
                <w:color w:val="000000"/>
                <w:kern w:val="0"/>
                <w:szCs w:val="21"/>
              </w:rPr>
              <w:t>/</w:t>
            </w:r>
          </w:p>
        </w:tc>
        <w:tc>
          <w:tcPr>
            <w:tcW w:w="850" w:type="dxa"/>
            <w:shd w:val="clear" w:color="auto" w:fill="auto"/>
            <w:vAlign w:val="center"/>
          </w:tcPr>
          <w:p w14:paraId="4905B664">
            <w:pPr>
              <w:jc w:val="center"/>
              <w:rPr>
                <w:color w:val="000000"/>
                <w:kern w:val="0"/>
                <w:szCs w:val="21"/>
              </w:rPr>
            </w:pPr>
            <w:r>
              <w:rPr>
                <w:color w:val="000000"/>
                <w:kern w:val="0"/>
                <w:szCs w:val="21"/>
              </w:rPr>
              <w:t>60</w:t>
            </w:r>
          </w:p>
        </w:tc>
        <w:tc>
          <w:tcPr>
            <w:tcW w:w="770" w:type="dxa"/>
            <w:shd w:val="clear" w:color="auto" w:fill="auto"/>
            <w:vAlign w:val="center"/>
          </w:tcPr>
          <w:p w14:paraId="7B32F55D">
            <w:pPr>
              <w:jc w:val="center"/>
              <w:rPr>
                <w:color w:val="000000"/>
                <w:kern w:val="0"/>
                <w:szCs w:val="21"/>
              </w:rPr>
            </w:pPr>
            <w:r>
              <w:rPr>
                <w:color w:val="000000"/>
                <w:kern w:val="0"/>
                <w:szCs w:val="21"/>
              </w:rPr>
              <w:t>1</w:t>
            </w:r>
          </w:p>
        </w:tc>
      </w:tr>
      <w:tr w14:paraId="7B22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695A00A">
            <w:pPr>
              <w:jc w:val="center"/>
              <w:rPr>
                <w:color w:val="000000"/>
                <w:kern w:val="0"/>
                <w:szCs w:val="21"/>
              </w:rPr>
            </w:pPr>
            <w:r>
              <w:rPr>
                <w:color w:val="000000"/>
                <w:kern w:val="0"/>
                <w:szCs w:val="21"/>
              </w:rPr>
              <w:t>13</w:t>
            </w:r>
          </w:p>
        </w:tc>
        <w:tc>
          <w:tcPr>
            <w:tcW w:w="1292" w:type="dxa"/>
            <w:shd w:val="clear" w:color="auto" w:fill="auto"/>
            <w:noWrap/>
            <w:vAlign w:val="center"/>
          </w:tcPr>
          <w:p w14:paraId="05295B81">
            <w:pPr>
              <w:jc w:val="center"/>
              <w:rPr>
                <w:rFonts w:ascii="宋体" w:hAnsi="宋体" w:cs="宋体"/>
                <w:color w:val="000000"/>
                <w:kern w:val="0"/>
                <w:sz w:val="22"/>
                <w:szCs w:val="22"/>
              </w:rPr>
            </w:pPr>
            <w:r>
              <w:rPr>
                <w:rFonts w:hint="eastAsia" w:ascii="宋体" w:hAnsi="宋体" w:cs="宋体"/>
                <w:color w:val="000000"/>
                <w:kern w:val="0"/>
                <w:sz w:val="22"/>
                <w:szCs w:val="22"/>
              </w:rPr>
              <w:t>塘坝牛舍#13</w:t>
            </w:r>
          </w:p>
        </w:tc>
        <w:tc>
          <w:tcPr>
            <w:tcW w:w="851" w:type="dxa"/>
            <w:vMerge w:val="continue"/>
            <w:vAlign w:val="center"/>
          </w:tcPr>
          <w:p w14:paraId="1EA81C5D">
            <w:pPr>
              <w:jc w:val="center"/>
              <w:rPr>
                <w:rFonts w:ascii="宋体" w:hAnsi="宋体" w:cs="宋体"/>
                <w:color w:val="000000"/>
                <w:kern w:val="0"/>
                <w:sz w:val="22"/>
                <w:szCs w:val="22"/>
              </w:rPr>
            </w:pPr>
          </w:p>
        </w:tc>
        <w:tc>
          <w:tcPr>
            <w:tcW w:w="1984" w:type="dxa"/>
            <w:vMerge w:val="continue"/>
            <w:vAlign w:val="center"/>
          </w:tcPr>
          <w:p w14:paraId="3254CD9D">
            <w:pPr>
              <w:jc w:val="center"/>
              <w:rPr>
                <w:rFonts w:ascii="宋体" w:hAnsi="宋体" w:cs="宋体"/>
                <w:color w:val="000000"/>
                <w:kern w:val="0"/>
                <w:sz w:val="22"/>
                <w:szCs w:val="22"/>
              </w:rPr>
            </w:pPr>
          </w:p>
        </w:tc>
        <w:tc>
          <w:tcPr>
            <w:tcW w:w="1560" w:type="dxa"/>
            <w:vMerge w:val="continue"/>
            <w:vAlign w:val="center"/>
          </w:tcPr>
          <w:p w14:paraId="7A60D1DB">
            <w:pPr>
              <w:jc w:val="center"/>
              <w:rPr>
                <w:rFonts w:ascii="宋体" w:hAnsi="宋体" w:cs="宋体"/>
                <w:color w:val="000000"/>
                <w:kern w:val="0"/>
                <w:sz w:val="22"/>
                <w:szCs w:val="22"/>
              </w:rPr>
            </w:pPr>
          </w:p>
        </w:tc>
        <w:tc>
          <w:tcPr>
            <w:tcW w:w="1134" w:type="dxa"/>
            <w:shd w:val="clear" w:color="auto" w:fill="auto"/>
            <w:noWrap/>
            <w:vAlign w:val="center"/>
          </w:tcPr>
          <w:p w14:paraId="6F5FA5E2">
            <w:pPr>
              <w:jc w:val="center"/>
              <w:rPr>
                <w:rFonts w:ascii="宋体" w:hAnsi="宋体" w:cs="宋体"/>
                <w:color w:val="000000"/>
                <w:kern w:val="0"/>
                <w:sz w:val="22"/>
                <w:szCs w:val="22"/>
              </w:rPr>
            </w:pPr>
            <w:r>
              <w:rPr>
                <w:rFonts w:hint="eastAsia" w:ascii="宋体" w:hAnsi="宋体" w:cs="宋体"/>
                <w:color w:val="000000"/>
                <w:kern w:val="0"/>
                <w:sz w:val="22"/>
                <w:szCs w:val="22"/>
              </w:rPr>
              <w:t>41.1</w:t>
            </w:r>
          </w:p>
        </w:tc>
        <w:tc>
          <w:tcPr>
            <w:tcW w:w="992" w:type="dxa"/>
            <w:shd w:val="clear" w:color="auto" w:fill="auto"/>
            <w:noWrap/>
            <w:vAlign w:val="center"/>
          </w:tcPr>
          <w:p w14:paraId="436BBB86">
            <w:pPr>
              <w:jc w:val="center"/>
              <w:rPr>
                <w:rFonts w:ascii="宋体" w:hAnsi="宋体" w:cs="宋体"/>
                <w:color w:val="000000"/>
                <w:kern w:val="0"/>
                <w:sz w:val="22"/>
                <w:szCs w:val="22"/>
              </w:rPr>
            </w:pPr>
            <w:r>
              <w:rPr>
                <w:rFonts w:hint="eastAsia" w:ascii="宋体" w:hAnsi="宋体" w:cs="宋体"/>
                <w:color w:val="000000"/>
                <w:kern w:val="0"/>
                <w:sz w:val="22"/>
                <w:szCs w:val="22"/>
              </w:rPr>
              <w:t>91.22</w:t>
            </w:r>
          </w:p>
        </w:tc>
        <w:tc>
          <w:tcPr>
            <w:tcW w:w="850" w:type="dxa"/>
            <w:shd w:val="clear" w:color="auto" w:fill="auto"/>
            <w:vAlign w:val="center"/>
          </w:tcPr>
          <w:p w14:paraId="1705D73A">
            <w:pPr>
              <w:jc w:val="center"/>
              <w:rPr>
                <w:color w:val="000000"/>
                <w:kern w:val="0"/>
                <w:szCs w:val="21"/>
              </w:rPr>
            </w:pPr>
            <w:r>
              <w:rPr>
                <w:color w:val="000000"/>
                <w:kern w:val="0"/>
                <w:szCs w:val="21"/>
              </w:rPr>
              <w:t>1.2</w:t>
            </w:r>
          </w:p>
        </w:tc>
        <w:tc>
          <w:tcPr>
            <w:tcW w:w="851" w:type="dxa"/>
            <w:shd w:val="clear" w:color="auto" w:fill="auto"/>
            <w:vAlign w:val="center"/>
          </w:tcPr>
          <w:p w14:paraId="561E93DA">
            <w:pPr>
              <w:jc w:val="center"/>
              <w:rPr>
                <w:color w:val="000000"/>
                <w:kern w:val="0"/>
                <w:szCs w:val="21"/>
              </w:rPr>
            </w:pPr>
            <w:r>
              <w:rPr>
                <w:color w:val="000000"/>
                <w:kern w:val="0"/>
                <w:szCs w:val="21"/>
              </w:rPr>
              <w:t>/</w:t>
            </w:r>
          </w:p>
        </w:tc>
        <w:tc>
          <w:tcPr>
            <w:tcW w:w="890" w:type="dxa"/>
            <w:shd w:val="clear" w:color="auto" w:fill="auto"/>
            <w:vAlign w:val="center"/>
          </w:tcPr>
          <w:p w14:paraId="6E1AEC7B">
            <w:pPr>
              <w:jc w:val="center"/>
              <w:rPr>
                <w:color w:val="000000"/>
                <w:kern w:val="0"/>
                <w:szCs w:val="21"/>
              </w:rPr>
            </w:pPr>
            <w:r>
              <w:rPr>
                <w:color w:val="000000"/>
                <w:kern w:val="0"/>
                <w:szCs w:val="21"/>
              </w:rPr>
              <w:t>60</w:t>
            </w:r>
          </w:p>
        </w:tc>
        <w:tc>
          <w:tcPr>
            <w:tcW w:w="669" w:type="dxa"/>
            <w:vMerge w:val="continue"/>
            <w:vAlign w:val="center"/>
          </w:tcPr>
          <w:p w14:paraId="19EF262B">
            <w:pPr>
              <w:jc w:val="center"/>
              <w:rPr>
                <w:rFonts w:ascii="宋体" w:hAnsi="宋体" w:cs="宋体"/>
                <w:color w:val="000000"/>
                <w:kern w:val="0"/>
                <w:sz w:val="22"/>
                <w:szCs w:val="22"/>
              </w:rPr>
            </w:pPr>
          </w:p>
        </w:tc>
        <w:tc>
          <w:tcPr>
            <w:tcW w:w="851" w:type="dxa"/>
            <w:shd w:val="clear" w:color="auto" w:fill="auto"/>
            <w:vAlign w:val="center"/>
          </w:tcPr>
          <w:p w14:paraId="0698004A">
            <w:pPr>
              <w:jc w:val="center"/>
              <w:rPr>
                <w:color w:val="000000"/>
                <w:kern w:val="0"/>
                <w:szCs w:val="21"/>
              </w:rPr>
            </w:pPr>
            <w:r>
              <w:rPr>
                <w:color w:val="000000"/>
                <w:kern w:val="0"/>
                <w:szCs w:val="21"/>
              </w:rPr>
              <w:t>/</w:t>
            </w:r>
          </w:p>
        </w:tc>
        <w:tc>
          <w:tcPr>
            <w:tcW w:w="850" w:type="dxa"/>
            <w:shd w:val="clear" w:color="auto" w:fill="auto"/>
            <w:vAlign w:val="center"/>
          </w:tcPr>
          <w:p w14:paraId="104FC0FF">
            <w:pPr>
              <w:jc w:val="center"/>
              <w:rPr>
                <w:color w:val="000000"/>
                <w:kern w:val="0"/>
                <w:szCs w:val="21"/>
              </w:rPr>
            </w:pPr>
            <w:r>
              <w:rPr>
                <w:color w:val="000000"/>
                <w:kern w:val="0"/>
                <w:szCs w:val="21"/>
              </w:rPr>
              <w:t>60</w:t>
            </w:r>
          </w:p>
        </w:tc>
        <w:tc>
          <w:tcPr>
            <w:tcW w:w="770" w:type="dxa"/>
            <w:shd w:val="clear" w:color="auto" w:fill="auto"/>
            <w:vAlign w:val="center"/>
          </w:tcPr>
          <w:p w14:paraId="5EABAD42">
            <w:pPr>
              <w:jc w:val="center"/>
              <w:rPr>
                <w:color w:val="000000"/>
                <w:kern w:val="0"/>
                <w:szCs w:val="21"/>
              </w:rPr>
            </w:pPr>
            <w:r>
              <w:rPr>
                <w:color w:val="000000"/>
                <w:kern w:val="0"/>
                <w:szCs w:val="21"/>
              </w:rPr>
              <w:t>1</w:t>
            </w:r>
          </w:p>
        </w:tc>
      </w:tr>
      <w:tr w14:paraId="7C81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B64E60C">
            <w:pPr>
              <w:jc w:val="center"/>
              <w:rPr>
                <w:color w:val="000000"/>
                <w:kern w:val="0"/>
                <w:szCs w:val="21"/>
              </w:rPr>
            </w:pPr>
            <w:r>
              <w:rPr>
                <w:color w:val="000000"/>
                <w:kern w:val="0"/>
                <w:szCs w:val="21"/>
              </w:rPr>
              <w:t>14</w:t>
            </w:r>
          </w:p>
        </w:tc>
        <w:tc>
          <w:tcPr>
            <w:tcW w:w="1292" w:type="dxa"/>
            <w:shd w:val="clear" w:color="auto" w:fill="auto"/>
            <w:noWrap/>
            <w:vAlign w:val="center"/>
          </w:tcPr>
          <w:p w14:paraId="68DA5EC1">
            <w:pPr>
              <w:jc w:val="center"/>
              <w:rPr>
                <w:rFonts w:ascii="宋体" w:hAnsi="宋体" w:cs="宋体"/>
                <w:color w:val="000000"/>
                <w:kern w:val="0"/>
                <w:sz w:val="22"/>
                <w:szCs w:val="22"/>
              </w:rPr>
            </w:pPr>
            <w:r>
              <w:rPr>
                <w:rFonts w:hint="eastAsia" w:ascii="宋体" w:hAnsi="宋体" w:cs="宋体"/>
                <w:color w:val="000000"/>
                <w:kern w:val="0"/>
                <w:sz w:val="22"/>
                <w:szCs w:val="22"/>
              </w:rPr>
              <w:t>塘坝牛舍#14</w:t>
            </w:r>
          </w:p>
        </w:tc>
        <w:tc>
          <w:tcPr>
            <w:tcW w:w="851" w:type="dxa"/>
            <w:vMerge w:val="continue"/>
            <w:vAlign w:val="center"/>
          </w:tcPr>
          <w:p w14:paraId="1C7210D2">
            <w:pPr>
              <w:jc w:val="center"/>
              <w:rPr>
                <w:rFonts w:ascii="宋体" w:hAnsi="宋体" w:cs="宋体"/>
                <w:color w:val="000000"/>
                <w:kern w:val="0"/>
                <w:sz w:val="22"/>
                <w:szCs w:val="22"/>
              </w:rPr>
            </w:pPr>
          </w:p>
        </w:tc>
        <w:tc>
          <w:tcPr>
            <w:tcW w:w="1984" w:type="dxa"/>
            <w:vMerge w:val="continue"/>
            <w:vAlign w:val="center"/>
          </w:tcPr>
          <w:p w14:paraId="5EFC01AF">
            <w:pPr>
              <w:jc w:val="center"/>
              <w:rPr>
                <w:rFonts w:ascii="宋体" w:hAnsi="宋体" w:cs="宋体"/>
                <w:color w:val="000000"/>
                <w:kern w:val="0"/>
                <w:sz w:val="22"/>
                <w:szCs w:val="22"/>
              </w:rPr>
            </w:pPr>
          </w:p>
        </w:tc>
        <w:tc>
          <w:tcPr>
            <w:tcW w:w="1560" w:type="dxa"/>
            <w:vMerge w:val="continue"/>
            <w:vAlign w:val="center"/>
          </w:tcPr>
          <w:p w14:paraId="04D975AA">
            <w:pPr>
              <w:jc w:val="center"/>
              <w:rPr>
                <w:rFonts w:ascii="宋体" w:hAnsi="宋体" w:cs="宋体"/>
                <w:color w:val="000000"/>
                <w:kern w:val="0"/>
                <w:sz w:val="22"/>
                <w:szCs w:val="22"/>
              </w:rPr>
            </w:pPr>
          </w:p>
        </w:tc>
        <w:tc>
          <w:tcPr>
            <w:tcW w:w="1134" w:type="dxa"/>
            <w:shd w:val="clear" w:color="auto" w:fill="auto"/>
            <w:noWrap/>
            <w:vAlign w:val="center"/>
          </w:tcPr>
          <w:p w14:paraId="25839B21">
            <w:pPr>
              <w:jc w:val="center"/>
              <w:rPr>
                <w:rFonts w:ascii="宋体" w:hAnsi="宋体" w:cs="宋体"/>
                <w:color w:val="000000"/>
                <w:kern w:val="0"/>
                <w:sz w:val="22"/>
                <w:szCs w:val="22"/>
              </w:rPr>
            </w:pPr>
            <w:r>
              <w:rPr>
                <w:rFonts w:hint="eastAsia" w:ascii="宋体" w:hAnsi="宋体" w:cs="宋体"/>
                <w:color w:val="000000"/>
                <w:kern w:val="0"/>
                <w:sz w:val="22"/>
                <w:szCs w:val="22"/>
              </w:rPr>
              <w:t>376.37</w:t>
            </w:r>
          </w:p>
        </w:tc>
        <w:tc>
          <w:tcPr>
            <w:tcW w:w="992" w:type="dxa"/>
            <w:shd w:val="clear" w:color="auto" w:fill="auto"/>
            <w:noWrap/>
            <w:vAlign w:val="center"/>
          </w:tcPr>
          <w:p w14:paraId="44E30672">
            <w:pPr>
              <w:jc w:val="center"/>
              <w:rPr>
                <w:rFonts w:ascii="宋体" w:hAnsi="宋体" w:cs="宋体"/>
                <w:color w:val="000000"/>
                <w:kern w:val="0"/>
                <w:sz w:val="22"/>
                <w:szCs w:val="22"/>
              </w:rPr>
            </w:pPr>
            <w:r>
              <w:rPr>
                <w:rFonts w:hint="eastAsia" w:ascii="宋体" w:hAnsi="宋体" w:cs="宋体"/>
                <w:color w:val="000000"/>
                <w:kern w:val="0"/>
                <w:sz w:val="22"/>
                <w:szCs w:val="22"/>
              </w:rPr>
              <w:t>64.95</w:t>
            </w:r>
          </w:p>
        </w:tc>
        <w:tc>
          <w:tcPr>
            <w:tcW w:w="850" w:type="dxa"/>
            <w:shd w:val="clear" w:color="auto" w:fill="auto"/>
            <w:vAlign w:val="center"/>
          </w:tcPr>
          <w:p w14:paraId="547B2BDD">
            <w:pPr>
              <w:jc w:val="center"/>
              <w:rPr>
                <w:color w:val="000000"/>
                <w:kern w:val="0"/>
                <w:szCs w:val="21"/>
              </w:rPr>
            </w:pPr>
            <w:r>
              <w:rPr>
                <w:color w:val="000000"/>
                <w:kern w:val="0"/>
                <w:szCs w:val="21"/>
              </w:rPr>
              <w:t>1.2</w:t>
            </w:r>
          </w:p>
        </w:tc>
        <w:tc>
          <w:tcPr>
            <w:tcW w:w="851" w:type="dxa"/>
            <w:shd w:val="clear" w:color="auto" w:fill="auto"/>
            <w:vAlign w:val="center"/>
          </w:tcPr>
          <w:p w14:paraId="144E9F12">
            <w:pPr>
              <w:jc w:val="center"/>
              <w:rPr>
                <w:color w:val="000000"/>
                <w:kern w:val="0"/>
                <w:szCs w:val="21"/>
              </w:rPr>
            </w:pPr>
            <w:r>
              <w:rPr>
                <w:color w:val="000000"/>
                <w:kern w:val="0"/>
                <w:szCs w:val="21"/>
              </w:rPr>
              <w:t>/</w:t>
            </w:r>
          </w:p>
        </w:tc>
        <w:tc>
          <w:tcPr>
            <w:tcW w:w="890" w:type="dxa"/>
            <w:shd w:val="clear" w:color="auto" w:fill="auto"/>
            <w:vAlign w:val="center"/>
          </w:tcPr>
          <w:p w14:paraId="27392A97">
            <w:pPr>
              <w:jc w:val="center"/>
              <w:rPr>
                <w:color w:val="000000"/>
                <w:kern w:val="0"/>
                <w:szCs w:val="21"/>
              </w:rPr>
            </w:pPr>
            <w:r>
              <w:rPr>
                <w:color w:val="000000"/>
                <w:kern w:val="0"/>
                <w:szCs w:val="21"/>
              </w:rPr>
              <w:t>60</w:t>
            </w:r>
          </w:p>
        </w:tc>
        <w:tc>
          <w:tcPr>
            <w:tcW w:w="669" w:type="dxa"/>
            <w:vMerge w:val="continue"/>
            <w:vAlign w:val="center"/>
          </w:tcPr>
          <w:p w14:paraId="5723AD68">
            <w:pPr>
              <w:jc w:val="center"/>
              <w:rPr>
                <w:rFonts w:ascii="宋体" w:hAnsi="宋体" w:cs="宋体"/>
                <w:color w:val="000000"/>
                <w:kern w:val="0"/>
                <w:sz w:val="22"/>
                <w:szCs w:val="22"/>
              </w:rPr>
            </w:pPr>
          </w:p>
        </w:tc>
        <w:tc>
          <w:tcPr>
            <w:tcW w:w="851" w:type="dxa"/>
            <w:shd w:val="clear" w:color="auto" w:fill="auto"/>
            <w:vAlign w:val="center"/>
          </w:tcPr>
          <w:p w14:paraId="0EC064B9">
            <w:pPr>
              <w:jc w:val="center"/>
              <w:rPr>
                <w:color w:val="000000"/>
                <w:kern w:val="0"/>
                <w:szCs w:val="21"/>
              </w:rPr>
            </w:pPr>
            <w:r>
              <w:rPr>
                <w:color w:val="000000"/>
                <w:kern w:val="0"/>
                <w:szCs w:val="21"/>
              </w:rPr>
              <w:t>/</w:t>
            </w:r>
          </w:p>
        </w:tc>
        <w:tc>
          <w:tcPr>
            <w:tcW w:w="850" w:type="dxa"/>
            <w:shd w:val="clear" w:color="auto" w:fill="auto"/>
            <w:vAlign w:val="center"/>
          </w:tcPr>
          <w:p w14:paraId="05E4BCF1">
            <w:pPr>
              <w:jc w:val="center"/>
              <w:rPr>
                <w:color w:val="000000"/>
                <w:kern w:val="0"/>
                <w:szCs w:val="21"/>
              </w:rPr>
            </w:pPr>
            <w:r>
              <w:rPr>
                <w:color w:val="000000"/>
                <w:kern w:val="0"/>
                <w:szCs w:val="21"/>
              </w:rPr>
              <w:t>60</w:t>
            </w:r>
          </w:p>
        </w:tc>
        <w:tc>
          <w:tcPr>
            <w:tcW w:w="770" w:type="dxa"/>
            <w:shd w:val="clear" w:color="auto" w:fill="auto"/>
            <w:vAlign w:val="center"/>
          </w:tcPr>
          <w:p w14:paraId="333111B7">
            <w:pPr>
              <w:jc w:val="center"/>
              <w:rPr>
                <w:color w:val="000000"/>
                <w:kern w:val="0"/>
                <w:szCs w:val="21"/>
              </w:rPr>
            </w:pPr>
            <w:r>
              <w:rPr>
                <w:color w:val="000000"/>
                <w:kern w:val="0"/>
                <w:szCs w:val="21"/>
              </w:rPr>
              <w:t>1</w:t>
            </w:r>
          </w:p>
        </w:tc>
      </w:tr>
      <w:tr w14:paraId="79150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09830CE2">
            <w:pPr>
              <w:jc w:val="center"/>
              <w:rPr>
                <w:color w:val="000000"/>
                <w:kern w:val="0"/>
                <w:szCs w:val="21"/>
              </w:rPr>
            </w:pPr>
            <w:r>
              <w:rPr>
                <w:color w:val="000000"/>
                <w:kern w:val="0"/>
                <w:szCs w:val="21"/>
              </w:rPr>
              <w:t>15</w:t>
            </w:r>
          </w:p>
        </w:tc>
        <w:tc>
          <w:tcPr>
            <w:tcW w:w="1292" w:type="dxa"/>
            <w:shd w:val="clear" w:color="auto" w:fill="auto"/>
            <w:noWrap/>
            <w:vAlign w:val="center"/>
          </w:tcPr>
          <w:p w14:paraId="0391F646">
            <w:pPr>
              <w:jc w:val="center"/>
              <w:rPr>
                <w:rFonts w:ascii="宋体" w:hAnsi="宋体" w:cs="宋体"/>
                <w:color w:val="000000"/>
                <w:kern w:val="0"/>
                <w:sz w:val="22"/>
                <w:szCs w:val="22"/>
              </w:rPr>
            </w:pPr>
            <w:r>
              <w:rPr>
                <w:rFonts w:hint="eastAsia" w:ascii="宋体" w:hAnsi="宋体" w:cs="宋体"/>
                <w:color w:val="000000"/>
                <w:kern w:val="0"/>
                <w:sz w:val="22"/>
                <w:szCs w:val="22"/>
              </w:rPr>
              <w:t>塘坝牛舍#15</w:t>
            </w:r>
          </w:p>
        </w:tc>
        <w:tc>
          <w:tcPr>
            <w:tcW w:w="851" w:type="dxa"/>
            <w:vMerge w:val="continue"/>
            <w:vAlign w:val="center"/>
          </w:tcPr>
          <w:p w14:paraId="11A18970">
            <w:pPr>
              <w:jc w:val="center"/>
              <w:rPr>
                <w:rFonts w:ascii="宋体" w:hAnsi="宋体" w:cs="宋体"/>
                <w:color w:val="000000"/>
                <w:kern w:val="0"/>
                <w:sz w:val="22"/>
                <w:szCs w:val="22"/>
              </w:rPr>
            </w:pPr>
          </w:p>
        </w:tc>
        <w:tc>
          <w:tcPr>
            <w:tcW w:w="1984" w:type="dxa"/>
            <w:vMerge w:val="continue"/>
            <w:vAlign w:val="center"/>
          </w:tcPr>
          <w:p w14:paraId="7D225564">
            <w:pPr>
              <w:jc w:val="center"/>
              <w:rPr>
                <w:rFonts w:ascii="宋体" w:hAnsi="宋体" w:cs="宋体"/>
                <w:color w:val="000000"/>
                <w:kern w:val="0"/>
                <w:sz w:val="22"/>
                <w:szCs w:val="22"/>
              </w:rPr>
            </w:pPr>
          </w:p>
        </w:tc>
        <w:tc>
          <w:tcPr>
            <w:tcW w:w="1560" w:type="dxa"/>
            <w:vMerge w:val="continue"/>
            <w:vAlign w:val="center"/>
          </w:tcPr>
          <w:p w14:paraId="2932D703">
            <w:pPr>
              <w:jc w:val="center"/>
              <w:rPr>
                <w:rFonts w:ascii="宋体" w:hAnsi="宋体" w:cs="宋体"/>
                <w:color w:val="000000"/>
                <w:kern w:val="0"/>
                <w:sz w:val="22"/>
                <w:szCs w:val="22"/>
              </w:rPr>
            </w:pPr>
          </w:p>
        </w:tc>
        <w:tc>
          <w:tcPr>
            <w:tcW w:w="1134" w:type="dxa"/>
            <w:shd w:val="clear" w:color="auto" w:fill="auto"/>
            <w:noWrap/>
            <w:vAlign w:val="center"/>
          </w:tcPr>
          <w:p w14:paraId="1E6F6755">
            <w:pPr>
              <w:jc w:val="center"/>
              <w:rPr>
                <w:rFonts w:ascii="宋体" w:hAnsi="宋体" w:cs="宋体"/>
                <w:color w:val="000000"/>
                <w:kern w:val="0"/>
                <w:sz w:val="22"/>
                <w:szCs w:val="22"/>
              </w:rPr>
            </w:pPr>
            <w:r>
              <w:rPr>
                <w:rFonts w:hint="eastAsia" w:ascii="宋体" w:hAnsi="宋体" w:cs="宋体"/>
                <w:color w:val="000000"/>
                <w:kern w:val="0"/>
                <w:sz w:val="22"/>
                <w:szCs w:val="22"/>
              </w:rPr>
              <w:t>330.02</w:t>
            </w:r>
          </w:p>
        </w:tc>
        <w:tc>
          <w:tcPr>
            <w:tcW w:w="992" w:type="dxa"/>
            <w:shd w:val="clear" w:color="auto" w:fill="auto"/>
            <w:noWrap/>
            <w:vAlign w:val="center"/>
          </w:tcPr>
          <w:p w14:paraId="32DBE82B">
            <w:pPr>
              <w:jc w:val="center"/>
              <w:rPr>
                <w:rFonts w:ascii="宋体" w:hAnsi="宋体" w:cs="宋体"/>
                <w:color w:val="000000"/>
                <w:kern w:val="0"/>
                <w:sz w:val="22"/>
                <w:szCs w:val="22"/>
              </w:rPr>
            </w:pPr>
            <w:r>
              <w:rPr>
                <w:rFonts w:hint="eastAsia" w:ascii="宋体" w:hAnsi="宋体" w:cs="宋体"/>
                <w:color w:val="000000"/>
                <w:kern w:val="0"/>
                <w:sz w:val="22"/>
                <w:szCs w:val="22"/>
              </w:rPr>
              <w:t>20.14</w:t>
            </w:r>
          </w:p>
        </w:tc>
        <w:tc>
          <w:tcPr>
            <w:tcW w:w="850" w:type="dxa"/>
            <w:shd w:val="clear" w:color="auto" w:fill="auto"/>
            <w:vAlign w:val="center"/>
          </w:tcPr>
          <w:p w14:paraId="39668D9E">
            <w:pPr>
              <w:jc w:val="center"/>
              <w:rPr>
                <w:color w:val="000000"/>
                <w:kern w:val="0"/>
                <w:szCs w:val="21"/>
              </w:rPr>
            </w:pPr>
            <w:r>
              <w:rPr>
                <w:color w:val="000000"/>
                <w:kern w:val="0"/>
                <w:szCs w:val="21"/>
              </w:rPr>
              <w:t>1.2</w:t>
            </w:r>
          </w:p>
        </w:tc>
        <w:tc>
          <w:tcPr>
            <w:tcW w:w="851" w:type="dxa"/>
            <w:shd w:val="clear" w:color="auto" w:fill="auto"/>
            <w:vAlign w:val="center"/>
          </w:tcPr>
          <w:p w14:paraId="2E53B1A1">
            <w:pPr>
              <w:jc w:val="center"/>
              <w:rPr>
                <w:color w:val="000000"/>
                <w:kern w:val="0"/>
                <w:szCs w:val="21"/>
              </w:rPr>
            </w:pPr>
            <w:r>
              <w:rPr>
                <w:color w:val="000000"/>
                <w:kern w:val="0"/>
                <w:szCs w:val="21"/>
              </w:rPr>
              <w:t>/</w:t>
            </w:r>
          </w:p>
        </w:tc>
        <w:tc>
          <w:tcPr>
            <w:tcW w:w="890" w:type="dxa"/>
            <w:shd w:val="clear" w:color="auto" w:fill="auto"/>
            <w:vAlign w:val="center"/>
          </w:tcPr>
          <w:p w14:paraId="5BD22F0D">
            <w:pPr>
              <w:jc w:val="center"/>
              <w:rPr>
                <w:color w:val="000000"/>
                <w:kern w:val="0"/>
                <w:szCs w:val="21"/>
              </w:rPr>
            </w:pPr>
            <w:r>
              <w:rPr>
                <w:color w:val="000000"/>
                <w:kern w:val="0"/>
                <w:szCs w:val="21"/>
              </w:rPr>
              <w:t>60</w:t>
            </w:r>
          </w:p>
        </w:tc>
        <w:tc>
          <w:tcPr>
            <w:tcW w:w="669" w:type="dxa"/>
            <w:vMerge w:val="continue"/>
            <w:vAlign w:val="center"/>
          </w:tcPr>
          <w:p w14:paraId="2963DD17">
            <w:pPr>
              <w:jc w:val="center"/>
              <w:rPr>
                <w:rFonts w:ascii="宋体" w:hAnsi="宋体" w:cs="宋体"/>
                <w:color w:val="000000"/>
                <w:kern w:val="0"/>
                <w:sz w:val="22"/>
                <w:szCs w:val="22"/>
              </w:rPr>
            </w:pPr>
          </w:p>
        </w:tc>
        <w:tc>
          <w:tcPr>
            <w:tcW w:w="851" w:type="dxa"/>
            <w:shd w:val="clear" w:color="auto" w:fill="auto"/>
            <w:vAlign w:val="center"/>
          </w:tcPr>
          <w:p w14:paraId="77258D40">
            <w:pPr>
              <w:jc w:val="center"/>
              <w:rPr>
                <w:color w:val="000000"/>
                <w:kern w:val="0"/>
                <w:szCs w:val="21"/>
              </w:rPr>
            </w:pPr>
            <w:r>
              <w:rPr>
                <w:color w:val="000000"/>
                <w:kern w:val="0"/>
                <w:szCs w:val="21"/>
              </w:rPr>
              <w:t>/</w:t>
            </w:r>
          </w:p>
        </w:tc>
        <w:tc>
          <w:tcPr>
            <w:tcW w:w="850" w:type="dxa"/>
            <w:shd w:val="clear" w:color="auto" w:fill="auto"/>
            <w:vAlign w:val="center"/>
          </w:tcPr>
          <w:p w14:paraId="76A8BE8B">
            <w:pPr>
              <w:jc w:val="center"/>
              <w:rPr>
                <w:color w:val="000000"/>
                <w:kern w:val="0"/>
                <w:szCs w:val="21"/>
              </w:rPr>
            </w:pPr>
            <w:r>
              <w:rPr>
                <w:color w:val="000000"/>
                <w:kern w:val="0"/>
                <w:szCs w:val="21"/>
              </w:rPr>
              <w:t>60</w:t>
            </w:r>
          </w:p>
        </w:tc>
        <w:tc>
          <w:tcPr>
            <w:tcW w:w="770" w:type="dxa"/>
            <w:shd w:val="clear" w:color="auto" w:fill="auto"/>
            <w:vAlign w:val="center"/>
          </w:tcPr>
          <w:p w14:paraId="42A2C2B9">
            <w:pPr>
              <w:jc w:val="center"/>
              <w:rPr>
                <w:color w:val="000000"/>
                <w:kern w:val="0"/>
                <w:szCs w:val="21"/>
              </w:rPr>
            </w:pPr>
            <w:r>
              <w:rPr>
                <w:color w:val="000000"/>
                <w:kern w:val="0"/>
                <w:szCs w:val="21"/>
              </w:rPr>
              <w:t>1</w:t>
            </w:r>
          </w:p>
        </w:tc>
      </w:tr>
      <w:tr w14:paraId="273C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35B3ED47">
            <w:pPr>
              <w:jc w:val="center"/>
              <w:rPr>
                <w:color w:val="000000"/>
                <w:kern w:val="0"/>
                <w:szCs w:val="21"/>
              </w:rPr>
            </w:pPr>
            <w:r>
              <w:rPr>
                <w:color w:val="000000"/>
                <w:kern w:val="0"/>
                <w:szCs w:val="21"/>
              </w:rPr>
              <w:t>16</w:t>
            </w:r>
          </w:p>
        </w:tc>
        <w:tc>
          <w:tcPr>
            <w:tcW w:w="1292" w:type="dxa"/>
            <w:shd w:val="clear" w:color="auto" w:fill="auto"/>
            <w:noWrap/>
            <w:vAlign w:val="center"/>
          </w:tcPr>
          <w:p w14:paraId="52A28240">
            <w:pPr>
              <w:jc w:val="center"/>
              <w:rPr>
                <w:rFonts w:ascii="宋体" w:hAnsi="宋体" w:cs="宋体"/>
                <w:color w:val="000000"/>
                <w:kern w:val="0"/>
                <w:sz w:val="22"/>
                <w:szCs w:val="22"/>
              </w:rPr>
            </w:pPr>
            <w:r>
              <w:rPr>
                <w:rFonts w:hint="eastAsia" w:ascii="宋体" w:hAnsi="宋体" w:cs="宋体"/>
                <w:color w:val="000000"/>
                <w:kern w:val="0"/>
                <w:sz w:val="22"/>
                <w:szCs w:val="22"/>
              </w:rPr>
              <w:t>塘坝牛舍#16</w:t>
            </w:r>
          </w:p>
        </w:tc>
        <w:tc>
          <w:tcPr>
            <w:tcW w:w="851" w:type="dxa"/>
            <w:vMerge w:val="continue"/>
            <w:vAlign w:val="center"/>
          </w:tcPr>
          <w:p w14:paraId="3F6BB9B3">
            <w:pPr>
              <w:jc w:val="center"/>
              <w:rPr>
                <w:rFonts w:ascii="宋体" w:hAnsi="宋体" w:cs="宋体"/>
                <w:color w:val="000000"/>
                <w:kern w:val="0"/>
                <w:sz w:val="22"/>
                <w:szCs w:val="22"/>
              </w:rPr>
            </w:pPr>
          </w:p>
        </w:tc>
        <w:tc>
          <w:tcPr>
            <w:tcW w:w="1984" w:type="dxa"/>
            <w:vMerge w:val="continue"/>
            <w:vAlign w:val="center"/>
          </w:tcPr>
          <w:p w14:paraId="22BFE9D0">
            <w:pPr>
              <w:jc w:val="center"/>
              <w:rPr>
                <w:rFonts w:ascii="宋体" w:hAnsi="宋体" w:cs="宋体"/>
                <w:color w:val="000000"/>
                <w:kern w:val="0"/>
                <w:sz w:val="22"/>
                <w:szCs w:val="22"/>
              </w:rPr>
            </w:pPr>
          </w:p>
        </w:tc>
        <w:tc>
          <w:tcPr>
            <w:tcW w:w="1560" w:type="dxa"/>
            <w:vMerge w:val="continue"/>
            <w:vAlign w:val="center"/>
          </w:tcPr>
          <w:p w14:paraId="3779859D">
            <w:pPr>
              <w:jc w:val="center"/>
              <w:rPr>
                <w:rFonts w:ascii="宋体" w:hAnsi="宋体" w:cs="宋体"/>
                <w:color w:val="000000"/>
                <w:kern w:val="0"/>
                <w:sz w:val="22"/>
                <w:szCs w:val="22"/>
              </w:rPr>
            </w:pPr>
          </w:p>
        </w:tc>
        <w:tc>
          <w:tcPr>
            <w:tcW w:w="1134" w:type="dxa"/>
            <w:shd w:val="clear" w:color="auto" w:fill="auto"/>
            <w:noWrap/>
            <w:vAlign w:val="center"/>
          </w:tcPr>
          <w:p w14:paraId="4C07A297">
            <w:pPr>
              <w:jc w:val="center"/>
              <w:rPr>
                <w:rFonts w:ascii="宋体" w:hAnsi="宋体" w:cs="宋体"/>
                <w:color w:val="000000"/>
                <w:kern w:val="0"/>
                <w:sz w:val="22"/>
                <w:szCs w:val="22"/>
              </w:rPr>
            </w:pPr>
            <w:r>
              <w:rPr>
                <w:rFonts w:hint="eastAsia" w:ascii="宋体" w:hAnsi="宋体" w:cs="宋体"/>
                <w:color w:val="000000"/>
                <w:kern w:val="0"/>
                <w:sz w:val="22"/>
                <w:szCs w:val="22"/>
              </w:rPr>
              <w:t>382.56</w:t>
            </w:r>
          </w:p>
        </w:tc>
        <w:tc>
          <w:tcPr>
            <w:tcW w:w="992" w:type="dxa"/>
            <w:shd w:val="clear" w:color="auto" w:fill="auto"/>
            <w:noWrap/>
            <w:vAlign w:val="center"/>
          </w:tcPr>
          <w:p w14:paraId="5BF54A6E">
            <w:pPr>
              <w:jc w:val="center"/>
              <w:rPr>
                <w:rFonts w:ascii="宋体" w:hAnsi="宋体" w:cs="宋体"/>
                <w:color w:val="000000"/>
                <w:kern w:val="0"/>
                <w:sz w:val="22"/>
                <w:szCs w:val="22"/>
              </w:rPr>
            </w:pPr>
            <w:r>
              <w:rPr>
                <w:rFonts w:hint="eastAsia" w:ascii="宋体" w:hAnsi="宋体" w:cs="宋体"/>
                <w:color w:val="000000"/>
                <w:kern w:val="0"/>
                <w:sz w:val="22"/>
                <w:szCs w:val="22"/>
              </w:rPr>
              <w:t>23.23</w:t>
            </w:r>
          </w:p>
        </w:tc>
        <w:tc>
          <w:tcPr>
            <w:tcW w:w="850" w:type="dxa"/>
            <w:shd w:val="clear" w:color="auto" w:fill="auto"/>
            <w:vAlign w:val="center"/>
          </w:tcPr>
          <w:p w14:paraId="6C35340D">
            <w:pPr>
              <w:jc w:val="center"/>
              <w:rPr>
                <w:color w:val="000000"/>
                <w:kern w:val="0"/>
                <w:szCs w:val="21"/>
              </w:rPr>
            </w:pPr>
            <w:r>
              <w:rPr>
                <w:color w:val="000000"/>
                <w:kern w:val="0"/>
                <w:szCs w:val="21"/>
              </w:rPr>
              <w:t>1.2</w:t>
            </w:r>
          </w:p>
        </w:tc>
        <w:tc>
          <w:tcPr>
            <w:tcW w:w="851" w:type="dxa"/>
            <w:shd w:val="clear" w:color="auto" w:fill="auto"/>
            <w:vAlign w:val="center"/>
          </w:tcPr>
          <w:p w14:paraId="501ACB9C">
            <w:pPr>
              <w:jc w:val="center"/>
              <w:rPr>
                <w:color w:val="000000"/>
                <w:kern w:val="0"/>
                <w:szCs w:val="21"/>
              </w:rPr>
            </w:pPr>
            <w:r>
              <w:rPr>
                <w:color w:val="000000"/>
                <w:kern w:val="0"/>
                <w:szCs w:val="21"/>
              </w:rPr>
              <w:t>/</w:t>
            </w:r>
          </w:p>
        </w:tc>
        <w:tc>
          <w:tcPr>
            <w:tcW w:w="890" w:type="dxa"/>
            <w:shd w:val="clear" w:color="auto" w:fill="auto"/>
            <w:vAlign w:val="center"/>
          </w:tcPr>
          <w:p w14:paraId="2F02074D">
            <w:pPr>
              <w:jc w:val="center"/>
              <w:rPr>
                <w:color w:val="000000"/>
                <w:kern w:val="0"/>
                <w:szCs w:val="21"/>
              </w:rPr>
            </w:pPr>
            <w:r>
              <w:rPr>
                <w:color w:val="000000"/>
                <w:kern w:val="0"/>
                <w:szCs w:val="21"/>
              </w:rPr>
              <w:t>60</w:t>
            </w:r>
          </w:p>
        </w:tc>
        <w:tc>
          <w:tcPr>
            <w:tcW w:w="669" w:type="dxa"/>
            <w:vMerge w:val="continue"/>
            <w:vAlign w:val="center"/>
          </w:tcPr>
          <w:p w14:paraId="7BDED076">
            <w:pPr>
              <w:jc w:val="center"/>
              <w:rPr>
                <w:rFonts w:ascii="宋体" w:hAnsi="宋体" w:cs="宋体"/>
                <w:color w:val="000000"/>
                <w:kern w:val="0"/>
                <w:sz w:val="22"/>
                <w:szCs w:val="22"/>
              </w:rPr>
            </w:pPr>
          </w:p>
        </w:tc>
        <w:tc>
          <w:tcPr>
            <w:tcW w:w="851" w:type="dxa"/>
            <w:shd w:val="clear" w:color="auto" w:fill="auto"/>
            <w:vAlign w:val="center"/>
          </w:tcPr>
          <w:p w14:paraId="2DF0479D">
            <w:pPr>
              <w:jc w:val="center"/>
              <w:rPr>
                <w:color w:val="000000"/>
                <w:kern w:val="0"/>
                <w:szCs w:val="21"/>
              </w:rPr>
            </w:pPr>
            <w:r>
              <w:rPr>
                <w:color w:val="000000"/>
                <w:kern w:val="0"/>
                <w:szCs w:val="21"/>
              </w:rPr>
              <w:t>/</w:t>
            </w:r>
          </w:p>
        </w:tc>
        <w:tc>
          <w:tcPr>
            <w:tcW w:w="850" w:type="dxa"/>
            <w:shd w:val="clear" w:color="auto" w:fill="auto"/>
            <w:vAlign w:val="center"/>
          </w:tcPr>
          <w:p w14:paraId="75F8188A">
            <w:pPr>
              <w:jc w:val="center"/>
              <w:rPr>
                <w:color w:val="000000"/>
                <w:kern w:val="0"/>
                <w:szCs w:val="21"/>
              </w:rPr>
            </w:pPr>
            <w:r>
              <w:rPr>
                <w:color w:val="000000"/>
                <w:kern w:val="0"/>
                <w:szCs w:val="21"/>
              </w:rPr>
              <w:t>60</w:t>
            </w:r>
          </w:p>
        </w:tc>
        <w:tc>
          <w:tcPr>
            <w:tcW w:w="770" w:type="dxa"/>
            <w:shd w:val="clear" w:color="auto" w:fill="auto"/>
            <w:vAlign w:val="center"/>
          </w:tcPr>
          <w:p w14:paraId="49D2636A">
            <w:pPr>
              <w:jc w:val="center"/>
              <w:rPr>
                <w:color w:val="000000"/>
                <w:kern w:val="0"/>
                <w:szCs w:val="21"/>
              </w:rPr>
            </w:pPr>
            <w:r>
              <w:rPr>
                <w:color w:val="000000"/>
                <w:kern w:val="0"/>
                <w:szCs w:val="21"/>
              </w:rPr>
              <w:t>1</w:t>
            </w:r>
          </w:p>
        </w:tc>
      </w:tr>
      <w:tr w14:paraId="6918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D0442A9">
            <w:pPr>
              <w:jc w:val="center"/>
              <w:rPr>
                <w:color w:val="000000"/>
                <w:kern w:val="0"/>
                <w:szCs w:val="21"/>
              </w:rPr>
            </w:pPr>
            <w:r>
              <w:rPr>
                <w:color w:val="000000"/>
                <w:kern w:val="0"/>
                <w:szCs w:val="21"/>
              </w:rPr>
              <w:t>17</w:t>
            </w:r>
          </w:p>
        </w:tc>
        <w:tc>
          <w:tcPr>
            <w:tcW w:w="1292" w:type="dxa"/>
            <w:vMerge w:val="restart"/>
            <w:shd w:val="clear" w:color="auto" w:fill="auto"/>
            <w:vAlign w:val="center"/>
          </w:tcPr>
          <w:p w14:paraId="077E3360">
            <w:pPr>
              <w:jc w:val="center"/>
              <w:rPr>
                <w:rFonts w:ascii="宋体" w:hAnsi="宋体" w:cs="宋体"/>
                <w:color w:val="000000"/>
                <w:kern w:val="0"/>
                <w:szCs w:val="21"/>
              </w:rPr>
            </w:pPr>
            <w:r>
              <w:rPr>
                <w:rFonts w:hint="eastAsia" w:ascii="宋体" w:hAnsi="宋体" w:cs="宋体"/>
                <w:color w:val="000000"/>
                <w:kern w:val="0"/>
                <w:szCs w:val="21"/>
              </w:rPr>
              <w:t>饲料加工厂房</w:t>
            </w:r>
          </w:p>
        </w:tc>
        <w:tc>
          <w:tcPr>
            <w:tcW w:w="851" w:type="dxa"/>
            <w:shd w:val="clear" w:color="auto" w:fill="auto"/>
            <w:vAlign w:val="center"/>
          </w:tcPr>
          <w:p w14:paraId="0F85A585">
            <w:pPr>
              <w:jc w:val="center"/>
              <w:rPr>
                <w:rFonts w:ascii="宋体" w:hAnsi="宋体" w:cs="宋体"/>
                <w:color w:val="000000"/>
                <w:kern w:val="0"/>
                <w:szCs w:val="21"/>
              </w:rPr>
            </w:pPr>
            <w:r>
              <w:rPr>
                <w:rFonts w:hint="eastAsia" w:ascii="宋体" w:hAnsi="宋体" w:cs="宋体"/>
                <w:color w:val="000000"/>
                <w:kern w:val="0"/>
                <w:szCs w:val="21"/>
              </w:rPr>
              <w:t>精料加工设备#1</w:t>
            </w:r>
          </w:p>
        </w:tc>
        <w:tc>
          <w:tcPr>
            <w:tcW w:w="1984" w:type="dxa"/>
            <w:shd w:val="clear" w:color="auto" w:fill="auto"/>
            <w:vAlign w:val="center"/>
          </w:tcPr>
          <w:p w14:paraId="152BA946">
            <w:pPr>
              <w:jc w:val="center"/>
              <w:rPr>
                <w:color w:val="000000"/>
                <w:kern w:val="0"/>
                <w:szCs w:val="21"/>
              </w:rPr>
            </w:pPr>
            <w:r>
              <w:rPr>
                <w:color w:val="000000"/>
                <w:kern w:val="0"/>
                <w:szCs w:val="21"/>
              </w:rPr>
              <w:t>85</w:t>
            </w:r>
          </w:p>
        </w:tc>
        <w:tc>
          <w:tcPr>
            <w:tcW w:w="1560" w:type="dxa"/>
            <w:vMerge w:val="restart"/>
            <w:shd w:val="clear" w:color="auto" w:fill="auto"/>
            <w:noWrap/>
            <w:vAlign w:val="center"/>
          </w:tcPr>
          <w:p w14:paraId="4709A09F">
            <w:pPr>
              <w:jc w:val="center"/>
              <w:rPr>
                <w:rFonts w:ascii="宋体" w:hAnsi="宋体" w:cs="宋体"/>
                <w:color w:val="000000"/>
                <w:kern w:val="0"/>
                <w:sz w:val="22"/>
                <w:szCs w:val="22"/>
              </w:rPr>
            </w:pPr>
            <w:r>
              <w:rPr>
                <w:rFonts w:hint="eastAsia" w:ascii="宋体" w:hAnsi="宋体" w:cs="宋体"/>
                <w:color w:val="000000"/>
                <w:kern w:val="0"/>
                <w:sz w:val="22"/>
                <w:szCs w:val="22"/>
              </w:rPr>
              <w:t>选用低噪声设备、基础减震、厂房隔声</w:t>
            </w:r>
          </w:p>
        </w:tc>
        <w:tc>
          <w:tcPr>
            <w:tcW w:w="1134" w:type="dxa"/>
            <w:shd w:val="clear" w:color="auto" w:fill="auto"/>
            <w:noWrap/>
            <w:vAlign w:val="center"/>
          </w:tcPr>
          <w:p w14:paraId="5763C475">
            <w:pPr>
              <w:jc w:val="center"/>
              <w:rPr>
                <w:rFonts w:ascii="宋体" w:hAnsi="宋体" w:cs="宋体"/>
                <w:color w:val="000000"/>
                <w:kern w:val="0"/>
                <w:sz w:val="22"/>
                <w:szCs w:val="22"/>
              </w:rPr>
            </w:pPr>
            <w:r>
              <w:rPr>
                <w:rFonts w:hint="eastAsia" w:ascii="宋体" w:hAnsi="宋体" w:cs="宋体"/>
                <w:color w:val="000000"/>
                <w:kern w:val="0"/>
                <w:sz w:val="22"/>
                <w:szCs w:val="22"/>
              </w:rPr>
              <w:t>0.71</w:t>
            </w:r>
          </w:p>
        </w:tc>
        <w:tc>
          <w:tcPr>
            <w:tcW w:w="992" w:type="dxa"/>
            <w:shd w:val="clear" w:color="auto" w:fill="auto"/>
            <w:noWrap/>
            <w:vAlign w:val="center"/>
          </w:tcPr>
          <w:p w14:paraId="2974AE66">
            <w:pPr>
              <w:jc w:val="center"/>
              <w:rPr>
                <w:rFonts w:ascii="宋体" w:hAnsi="宋体" w:cs="宋体"/>
                <w:color w:val="000000"/>
                <w:kern w:val="0"/>
                <w:sz w:val="22"/>
                <w:szCs w:val="22"/>
              </w:rPr>
            </w:pPr>
            <w:r>
              <w:rPr>
                <w:rFonts w:hint="eastAsia" w:ascii="宋体" w:hAnsi="宋体" w:cs="宋体"/>
                <w:color w:val="000000"/>
                <w:kern w:val="0"/>
                <w:sz w:val="22"/>
                <w:szCs w:val="22"/>
              </w:rPr>
              <w:t>110.45</w:t>
            </w:r>
          </w:p>
        </w:tc>
        <w:tc>
          <w:tcPr>
            <w:tcW w:w="850" w:type="dxa"/>
            <w:shd w:val="clear" w:color="auto" w:fill="auto"/>
            <w:vAlign w:val="center"/>
          </w:tcPr>
          <w:p w14:paraId="7C533620">
            <w:pPr>
              <w:jc w:val="center"/>
              <w:rPr>
                <w:color w:val="000000"/>
                <w:kern w:val="0"/>
                <w:szCs w:val="21"/>
              </w:rPr>
            </w:pPr>
            <w:r>
              <w:rPr>
                <w:color w:val="000000"/>
                <w:kern w:val="0"/>
                <w:szCs w:val="21"/>
              </w:rPr>
              <w:t>1</w:t>
            </w:r>
          </w:p>
        </w:tc>
        <w:tc>
          <w:tcPr>
            <w:tcW w:w="851" w:type="dxa"/>
            <w:shd w:val="clear" w:color="auto" w:fill="auto"/>
            <w:vAlign w:val="center"/>
          </w:tcPr>
          <w:p w14:paraId="1F5056DF">
            <w:pPr>
              <w:jc w:val="center"/>
              <w:rPr>
                <w:color w:val="000000"/>
                <w:kern w:val="0"/>
                <w:szCs w:val="21"/>
              </w:rPr>
            </w:pPr>
            <w:r>
              <w:rPr>
                <w:color w:val="000000"/>
                <w:kern w:val="0"/>
                <w:szCs w:val="21"/>
              </w:rPr>
              <w:t>2</w:t>
            </w:r>
            <w:r>
              <w:rPr>
                <w:rFonts w:hint="eastAsia" w:ascii="宋体" w:hAnsi="宋体"/>
                <w:color w:val="000000"/>
                <w:kern w:val="0"/>
                <w:szCs w:val="21"/>
              </w:rPr>
              <w:t>（南）</w:t>
            </w:r>
          </w:p>
        </w:tc>
        <w:tc>
          <w:tcPr>
            <w:tcW w:w="890" w:type="dxa"/>
            <w:shd w:val="clear" w:color="auto" w:fill="auto"/>
            <w:vAlign w:val="center"/>
          </w:tcPr>
          <w:p w14:paraId="68217C8E">
            <w:pPr>
              <w:jc w:val="center"/>
              <w:rPr>
                <w:color w:val="000000"/>
                <w:kern w:val="0"/>
                <w:szCs w:val="21"/>
              </w:rPr>
            </w:pPr>
            <w:r>
              <w:rPr>
                <w:color w:val="000000"/>
                <w:kern w:val="0"/>
                <w:szCs w:val="21"/>
              </w:rPr>
              <w:t>65</w:t>
            </w:r>
          </w:p>
        </w:tc>
        <w:tc>
          <w:tcPr>
            <w:tcW w:w="669" w:type="dxa"/>
            <w:vMerge w:val="restart"/>
            <w:shd w:val="clear" w:color="auto" w:fill="auto"/>
            <w:vAlign w:val="center"/>
          </w:tcPr>
          <w:p w14:paraId="67B441BA">
            <w:pPr>
              <w:jc w:val="center"/>
              <w:rPr>
                <w:rFonts w:ascii="宋体" w:hAnsi="宋体" w:cs="宋体"/>
                <w:color w:val="000000"/>
                <w:kern w:val="0"/>
                <w:szCs w:val="21"/>
              </w:rPr>
            </w:pPr>
            <w:r>
              <w:rPr>
                <w:rFonts w:hint="eastAsia" w:ascii="宋体" w:hAnsi="宋体" w:cs="宋体"/>
                <w:color w:val="000000"/>
                <w:kern w:val="0"/>
                <w:szCs w:val="21"/>
              </w:rPr>
              <w:t>昼间</w:t>
            </w:r>
          </w:p>
        </w:tc>
        <w:tc>
          <w:tcPr>
            <w:tcW w:w="851" w:type="dxa"/>
            <w:shd w:val="clear" w:color="auto" w:fill="auto"/>
            <w:vAlign w:val="center"/>
          </w:tcPr>
          <w:p w14:paraId="094A7D3A">
            <w:pPr>
              <w:jc w:val="center"/>
              <w:rPr>
                <w:color w:val="000000"/>
                <w:kern w:val="0"/>
                <w:szCs w:val="21"/>
              </w:rPr>
            </w:pPr>
            <w:r>
              <w:rPr>
                <w:color w:val="000000"/>
                <w:kern w:val="0"/>
                <w:szCs w:val="21"/>
              </w:rPr>
              <w:t>15</w:t>
            </w:r>
          </w:p>
        </w:tc>
        <w:tc>
          <w:tcPr>
            <w:tcW w:w="850" w:type="dxa"/>
            <w:shd w:val="clear" w:color="auto" w:fill="auto"/>
            <w:vAlign w:val="center"/>
          </w:tcPr>
          <w:p w14:paraId="09B2C8D4">
            <w:pPr>
              <w:jc w:val="center"/>
              <w:rPr>
                <w:color w:val="000000"/>
                <w:kern w:val="0"/>
                <w:szCs w:val="21"/>
              </w:rPr>
            </w:pPr>
            <w:r>
              <w:rPr>
                <w:color w:val="000000"/>
                <w:kern w:val="0"/>
                <w:szCs w:val="21"/>
              </w:rPr>
              <w:t>50</w:t>
            </w:r>
          </w:p>
        </w:tc>
        <w:tc>
          <w:tcPr>
            <w:tcW w:w="770" w:type="dxa"/>
            <w:shd w:val="clear" w:color="auto" w:fill="auto"/>
            <w:vAlign w:val="center"/>
          </w:tcPr>
          <w:p w14:paraId="2ACF2DAE">
            <w:pPr>
              <w:jc w:val="center"/>
              <w:rPr>
                <w:color w:val="000000"/>
                <w:kern w:val="0"/>
                <w:szCs w:val="21"/>
              </w:rPr>
            </w:pPr>
            <w:r>
              <w:rPr>
                <w:color w:val="000000"/>
                <w:kern w:val="0"/>
                <w:szCs w:val="21"/>
              </w:rPr>
              <w:t>1</w:t>
            </w:r>
          </w:p>
        </w:tc>
      </w:tr>
      <w:tr w14:paraId="5FA9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1DCE28F">
            <w:pPr>
              <w:jc w:val="center"/>
              <w:rPr>
                <w:color w:val="000000"/>
                <w:kern w:val="0"/>
                <w:szCs w:val="21"/>
              </w:rPr>
            </w:pPr>
            <w:r>
              <w:rPr>
                <w:color w:val="000000"/>
                <w:kern w:val="0"/>
                <w:szCs w:val="21"/>
              </w:rPr>
              <w:t>18</w:t>
            </w:r>
          </w:p>
        </w:tc>
        <w:tc>
          <w:tcPr>
            <w:tcW w:w="1292" w:type="dxa"/>
            <w:vMerge w:val="continue"/>
            <w:vAlign w:val="center"/>
          </w:tcPr>
          <w:p w14:paraId="71EC71BF">
            <w:pPr>
              <w:jc w:val="center"/>
              <w:rPr>
                <w:rFonts w:ascii="宋体" w:hAnsi="宋体" w:cs="宋体"/>
                <w:color w:val="000000"/>
                <w:kern w:val="0"/>
                <w:szCs w:val="21"/>
              </w:rPr>
            </w:pPr>
          </w:p>
        </w:tc>
        <w:tc>
          <w:tcPr>
            <w:tcW w:w="851" w:type="dxa"/>
            <w:shd w:val="clear" w:color="auto" w:fill="auto"/>
            <w:vAlign w:val="center"/>
          </w:tcPr>
          <w:p w14:paraId="16D49883">
            <w:pPr>
              <w:jc w:val="center"/>
              <w:rPr>
                <w:rFonts w:ascii="宋体" w:hAnsi="宋体" w:cs="宋体"/>
                <w:color w:val="000000"/>
                <w:kern w:val="0"/>
                <w:szCs w:val="21"/>
              </w:rPr>
            </w:pPr>
            <w:r>
              <w:rPr>
                <w:rFonts w:hint="eastAsia" w:ascii="宋体" w:hAnsi="宋体" w:cs="宋体"/>
                <w:color w:val="000000"/>
                <w:kern w:val="0"/>
                <w:szCs w:val="21"/>
              </w:rPr>
              <w:t>精料加工设备#2</w:t>
            </w:r>
          </w:p>
        </w:tc>
        <w:tc>
          <w:tcPr>
            <w:tcW w:w="1984" w:type="dxa"/>
            <w:shd w:val="clear" w:color="auto" w:fill="auto"/>
            <w:vAlign w:val="center"/>
          </w:tcPr>
          <w:p w14:paraId="74EB9142">
            <w:pPr>
              <w:jc w:val="center"/>
              <w:rPr>
                <w:color w:val="000000"/>
                <w:kern w:val="0"/>
                <w:szCs w:val="21"/>
              </w:rPr>
            </w:pPr>
            <w:r>
              <w:rPr>
                <w:color w:val="000000"/>
                <w:kern w:val="0"/>
                <w:szCs w:val="21"/>
              </w:rPr>
              <w:t>85</w:t>
            </w:r>
          </w:p>
        </w:tc>
        <w:tc>
          <w:tcPr>
            <w:tcW w:w="1560" w:type="dxa"/>
            <w:vMerge w:val="continue"/>
            <w:vAlign w:val="center"/>
          </w:tcPr>
          <w:p w14:paraId="0C308F9C">
            <w:pPr>
              <w:jc w:val="center"/>
              <w:rPr>
                <w:rFonts w:ascii="宋体" w:hAnsi="宋体" w:cs="宋体"/>
                <w:color w:val="000000"/>
                <w:kern w:val="0"/>
                <w:sz w:val="22"/>
                <w:szCs w:val="22"/>
              </w:rPr>
            </w:pPr>
          </w:p>
        </w:tc>
        <w:tc>
          <w:tcPr>
            <w:tcW w:w="1134" w:type="dxa"/>
            <w:shd w:val="clear" w:color="auto" w:fill="auto"/>
            <w:noWrap/>
            <w:vAlign w:val="center"/>
          </w:tcPr>
          <w:p w14:paraId="3E020640">
            <w:pPr>
              <w:jc w:val="center"/>
              <w:rPr>
                <w:rFonts w:ascii="宋体" w:hAnsi="宋体" w:cs="宋体"/>
                <w:color w:val="000000"/>
                <w:kern w:val="0"/>
                <w:sz w:val="22"/>
                <w:szCs w:val="22"/>
              </w:rPr>
            </w:pPr>
            <w:r>
              <w:rPr>
                <w:rFonts w:hint="eastAsia" w:ascii="宋体" w:hAnsi="宋体" w:cs="宋体"/>
                <w:color w:val="000000"/>
                <w:kern w:val="0"/>
                <w:sz w:val="22"/>
                <w:szCs w:val="22"/>
              </w:rPr>
              <w:t>0.68</w:t>
            </w:r>
          </w:p>
        </w:tc>
        <w:tc>
          <w:tcPr>
            <w:tcW w:w="992" w:type="dxa"/>
            <w:shd w:val="clear" w:color="auto" w:fill="auto"/>
            <w:noWrap/>
            <w:vAlign w:val="center"/>
          </w:tcPr>
          <w:p w14:paraId="6EB69007">
            <w:pPr>
              <w:jc w:val="center"/>
              <w:rPr>
                <w:rFonts w:ascii="宋体" w:hAnsi="宋体" w:cs="宋体"/>
                <w:color w:val="000000"/>
                <w:kern w:val="0"/>
                <w:sz w:val="22"/>
                <w:szCs w:val="22"/>
              </w:rPr>
            </w:pPr>
            <w:r>
              <w:rPr>
                <w:rFonts w:hint="eastAsia" w:ascii="宋体" w:hAnsi="宋体" w:cs="宋体"/>
                <w:color w:val="000000"/>
                <w:kern w:val="0"/>
                <w:sz w:val="22"/>
                <w:szCs w:val="22"/>
              </w:rPr>
              <w:t>117.52</w:t>
            </w:r>
          </w:p>
        </w:tc>
        <w:tc>
          <w:tcPr>
            <w:tcW w:w="850" w:type="dxa"/>
            <w:shd w:val="clear" w:color="auto" w:fill="auto"/>
            <w:vAlign w:val="center"/>
          </w:tcPr>
          <w:p w14:paraId="6CC04105">
            <w:pPr>
              <w:jc w:val="center"/>
              <w:rPr>
                <w:color w:val="000000"/>
                <w:kern w:val="0"/>
                <w:szCs w:val="21"/>
              </w:rPr>
            </w:pPr>
            <w:r>
              <w:rPr>
                <w:color w:val="000000"/>
                <w:kern w:val="0"/>
                <w:szCs w:val="21"/>
              </w:rPr>
              <w:t>1</w:t>
            </w:r>
          </w:p>
        </w:tc>
        <w:tc>
          <w:tcPr>
            <w:tcW w:w="851" w:type="dxa"/>
            <w:shd w:val="clear" w:color="auto" w:fill="auto"/>
            <w:vAlign w:val="center"/>
          </w:tcPr>
          <w:p w14:paraId="268B4CFC">
            <w:pPr>
              <w:jc w:val="center"/>
              <w:rPr>
                <w:color w:val="000000"/>
                <w:kern w:val="0"/>
                <w:szCs w:val="21"/>
              </w:rPr>
            </w:pPr>
            <w:r>
              <w:rPr>
                <w:color w:val="000000"/>
                <w:kern w:val="0"/>
                <w:szCs w:val="21"/>
              </w:rPr>
              <w:t>4</w:t>
            </w:r>
            <w:r>
              <w:rPr>
                <w:rFonts w:hint="eastAsia" w:ascii="宋体" w:hAnsi="宋体"/>
                <w:color w:val="000000"/>
                <w:kern w:val="0"/>
                <w:szCs w:val="21"/>
              </w:rPr>
              <w:t>（东）</w:t>
            </w:r>
          </w:p>
        </w:tc>
        <w:tc>
          <w:tcPr>
            <w:tcW w:w="890" w:type="dxa"/>
            <w:shd w:val="clear" w:color="auto" w:fill="auto"/>
            <w:vAlign w:val="center"/>
          </w:tcPr>
          <w:p w14:paraId="4915363D">
            <w:pPr>
              <w:jc w:val="center"/>
              <w:rPr>
                <w:color w:val="000000"/>
                <w:kern w:val="0"/>
                <w:szCs w:val="21"/>
              </w:rPr>
            </w:pPr>
            <w:r>
              <w:rPr>
                <w:color w:val="000000"/>
                <w:kern w:val="0"/>
                <w:szCs w:val="21"/>
              </w:rPr>
              <w:t>65</w:t>
            </w:r>
          </w:p>
        </w:tc>
        <w:tc>
          <w:tcPr>
            <w:tcW w:w="669" w:type="dxa"/>
            <w:vMerge w:val="continue"/>
            <w:vAlign w:val="center"/>
          </w:tcPr>
          <w:p w14:paraId="4DCEA211">
            <w:pPr>
              <w:jc w:val="center"/>
              <w:rPr>
                <w:rFonts w:ascii="宋体" w:hAnsi="宋体" w:cs="宋体"/>
                <w:color w:val="000000"/>
                <w:kern w:val="0"/>
                <w:szCs w:val="21"/>
              </w:rPr>
            </w:pPr>
          </w:p>
        </w:tc>
        <w:tc>
          <w:tcPr>
            <w:tcW w:w="851" w:type="dxa"/>
            <w:shd w:val="clear" w:color="auto" w:fill="auto"/>
            <w:vAlign w:val="center"/>
          </w:tcPr>
          <w:p w14:paraId="0B2C5333">
            <w:pPr>
              <w:jc w:val="center"/>
              <w:rPr>
                <w:color w:val="000000"/>
                <w:kern w:val="0"/>
                <w:szCs w:val="21"/>
              </w:rPr>
            </w:pPr>
            <w:r>
              <w:rPr>
                <w:color w:val="000000"/>
                <w:kern w:val="0"/>
                <w:szCs w:val="21"/>
              </w:rPr>
              <w:t>15</w:t>
            </w:r>
          </w:p>
        </w:tc>
        <w:tc>
          <w:tcPr>
            <w:tcW w:w="850" w:type="dxa"/>
            <w:shd w:val="clear" w:color="auto" w:fill="auto"/>
            <w:vAlign w:val="center"/>
          </w:tcPr>
          <w:p w14:paraId="3E808A05">
            <w:pPr>
              <w:jc w:val="center"/>
              <w:rPr>
                <w:color w:val="000000"/>
                <w:kern w:val="0"/>
                <w:szCs w:val="21"/>
              </w:rPr>
            </w:pPr>
            <w:r>
              <w:rPr>
                <w:color w:val="000000"/>
                <w:kern w:val="0"/>
                <w:szCs w:val="21"/>
              </w:rPr>
              <w:t>50</w:t>
            </w:r>
          </w:p>
        </w:tc>
        <w:tc>
          <w:tcPr>
            <w:tcW w:w="770" w:type="dxa"/>
            <w:shd w:val="clear" w:color="auto" w:fill="auto"/>
            <w:vAlign w:val="center"/>
          </w:tcPr>
          <w:p w14:paraId="643BA806">
            <w:pPr>
              <w:jc w:val="center"/>
              <w:rPr>
                <w:color w:val="000000"/>
                <w:kern w:val="0"/>
                <w:szCs w:val="21"/>
              </w:rPr>
            </w:pPr>
            <w:r>
              <w:rPr>
                <w:color w:val="000000"/>
                <w:kern w:val="0"/>
                <w:szCs w:val="21"/>
              </w:rPr>
              <w:t>1</w:t>
            </w:r>
          </w:p>
        </w:tc>
      </w:tr>
      <w:tr w14:paraId="2728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08D8C6E">
            <w:pPr>
              <w:jc w:val="center"/>
              <w:rPr>
                <w:color w:val="000000"/>
                <w:kern w:val="0"/>
                <w:szCs w:val="21"/>
              </w:rPr>
            </w:pPr>
            <w:r>
              <w:rPr>
                <w:color w:val="000000"/>
                <w:kern w:val="0"/>
                <w:szCs w:val="21"/>
              </w:rPr>
              <w:t>19</w:t>
            </w:r>
          </w:p>
        </w:tc>
        <w:tc>
          <w:tcPr>
            <w:tcW w:w="1292" w:type="dxa"/>
            <w:vMerge w:val="continue"/>
            <w:vAlign w:val="center"/>
          </w:tcPr>
          <w:p w14:paraId="215110C2">
            <w:pPr>
              <w:jc w:val="center"/>
              <w:rPr>
                <w:rFonts w:ascii="宋体" w:hAnsi="宋体" w:cs="宋体"/>
                <w:color w:val="000000"/>
                <w:kern w:val="0"/>
                <w:szCs w:val="21"/>
              </w:rPr>
            </w:pPr>
          </w:p>
        </w:tc>
        <w:tc>
          <w:tcPr>
            <w:tcW w:w="851" w:type="dxa"/>
            <w:shd w:val="clear" w:color="auto" w:fill="auto"/>
            <w:vAlign w:val="center"/>
          </w:tcPr>
          <w:p w14:paraId="3DFCB02D">
            <w:pPr>
              <w:jc w:val="center"/>
              <w:rPr>
                <w:rFonts w:ascii="宋体" w:hAnsi="宋体" w:cs="宋体"/>
                <w:color w:val="000000"/>
                <w:kern w:val="0"/>
                <w:szCs w:val="21"/>
              </w:rPr>
            </w:pPr>
            <w:r>
              <w:rPr>
                <w:rFonts w:hint="eastAsia" w:ascii="宋体" w:hAnsi="宋体" w:cs="宋体"/>
                <w:color w:val="000000"/>
                <w:kern w:val="0"/>
                <w:szCs w:val="21"/>
              </w:rPr>
              <w:t>除尘风机</w:t>
            </w:r>
          </w:p>
        </w:tc>
        <w:tc>
          <w:tcPr>
            <w:tcW w:w="1984" w:type="dxa"/>
            <w:shd w:val="clear" w:color="auto" w:fill="auto"/>
            <w:vAlign w:val="center"/>
          </w:tcPr>
          <w:p w14:paraId="21FF960D">
            <w:pPr>
              <w:jc w:val="center"/>
              <w:rPr>
                <w:color w:val="000000"/>
                <w:kern w:val="0"/>
                <w:szCs w:val="21"/>
              </w:rPr>
            </w:pPr>
            <w:r>
              <w:rPr>
                <w:color w:val="000000"/>
                <w:kern w:val="0"/>
                <w:szCs w:val="21"/>
              </w:rPr>
              <w:t>95</w:t>
            </w:r>
          </w:p>
        </w:tc>
        <w:tc>
          <w:tcPr>
            <w:tcW w:w="1560" w:type="dxa"/>
            <w:vMerge w:val="continue"/>
            <w:vAlign w:val="center"/>
          </w:tcPr>
          <w:p w14:paraId="652C332F">
            <w:pPr>
              <w:jc w:val="center"/>
              <w:rPr>
                <w:rFonts w:ascii="宋体" w:hAnsi="宋体" w:cs="宋体"/>
                <w:color w:val="000000"/>
                <w:kern w:val="0"/>
                <w:sz w:val="22"/>
                <w:szCs w:val="22"/>
              </w:rPr>
            </w:pPr>
          </w:p>
        </w:tc>
        <w:tc>
          <w:tcPr>
            <w:tcW w:w="1134" w:type="dxa"/>
            <w:shd w:val="clear" w:color="auto" w:fill="auto"/>
            <w:noWrap/>
            <w:vAlign w:val="center"/>
          </w:tcPr>
          <w:p w14:paraId="6BB47055">
            <w:pPr>
              <w:jc w:val="center"/>
              <w:rPr>
                <w:rFonts w:ascii="宋体" w:hAnsi="宋体" w:cs="宋体"/>
                <w:color w:val="000000"/>
                <w:kern w:val="0"/>
                <w:sz w:val="22"/>
                <w:szCs w:val="22"/>
              </w:rPr>
            </w:pPr>
            <w:r>
              <w:rPr>
                <w:rFonts w:hint="eastAsia" w:ascii="宋体" w:hAnsi="宋体" w:cs="宋体"/>
                <w:color w:val="000000"/>
                <w:kern w:val="0"/>
                <w:sz w:val="22"/>
                <w:szCs w:val="22"/>
              </w:rPr>
              <w:t>3.36</w:t>
            </w:r>
          </w:p>
        </w:tc>
        <w:tc>
          <w:tcPr>
            <w:tcW w:w="992" w:type="dxa"/>
            <w:shd w:val="clear" w:color="auto" w:fill="auto"/>
            <w:noWrap/>
            <w:vAlign w:val="center"/>
          </w:tcPr>
          <w:p w14:paraId="04465A0E">
            <w:pPr>
              <w:jc w:val="center"/>
              <w:rPr>
                <w:rFonts w:ascii="宋体" w:hAnsi="宋体" w:cs="宋体"/>
                <w:color w:val="000000"/>
                <w:kern w:val="0"/>
                <w:sz w:val="22"/>
                <w:szCs w:val="22"/>
              </w:rPr>
            </w:pPr>
            <w:r>
              <w:rPr>
                <w:rFonts w:hint="eastAsia" w:ascii="宋体" w:hAnsi="宋体" w:cs="宋体"/>
                <w:color w:val="000000"/>
                <w:kern w:val="0"/>
                <w:sz w:val="22"/>
                <w:szCs w:val="22"/>
              </w:rPr>
              <w:t>113.8</w:t>
            </w:r>
          </w:p>
        </w:tc>
        <w:tc>
          <w:tcPr>
            <w:tcW w:w="850" w:type="dxa"/>
            <w:shd w:val="clear" w:color="auto" w:fill="auto"/>
            <w:vAlign w:val="center"/>
          </w:tcPr>
          <w:p w14:paraId="19F9713A">
            <w:pPr>
              <w:jc w:val="center"/>
              <w:rPr>
                <w:color w:val="000000"/>
                <w:kern w:val="0"/>
                <w:szCs w:val="21"/>
              </w:rPr>
            </w:pPr>
            <w:r>
              <w:rPr>
                <w:color w:val="000000"/>
                <w:kern w:val="0"/>
                <w:szCs w:val="21"/>
              </w:rPr>
              <w:t>1</w:t>
            </w:r>
          </w:p>
        </w:tc>
        <w:tc>
          <w:tcPr>
            <w:tcW w:w="851" w:type="dxa"/>
            <w:shd w:val="clear" w:color="auto" w:fill="auto"/>
            <w:vAlign w:val="center"/>
          </w:tcPr>
          <w:p w14:paraId="11798302">
            <w:pPr>
              <w:jc w:val="center"/>
              <w:rPr>
                <w:color w:val="000000"/>
                <w:kern w:val="0"/>
                <w:szCs w:val="21"/>
              </w:rPr>
            </w:pPr>
            <w:r>
              <w:rPr>
                <w:color w:val="000000"/>
                <w:kern w:val="0"/>
                <w:szCs w:val="21"/>
              </w:rPr>
              <w:t>2</w:t>
            </w:r>
            <w:r>
              <w:rPr>
                <w:rFonts w:hint="eastAsia" w:ascii="宋体" w:hAnsi="宋体"/>
                <w:color w:val="000000"/>
                <w:kern w:val="0"/>
                <w:szCs w:val="21"/>
              </w:rPr>
              <w:t>（东）</w:t>
            </w:r>
          </w:p>
        </w:tc>
        <w:tc>
          <w:tcPr>
            <w:tcW w:w="890" w:type="dxa"/>
            <w:shd w:val="clear" w:color="auto" w:fill="auto"/>
            <w:vAlign w:val="center"/>
          </w:tcPr>
          <w:p w14:paraId="7DA39B65">
            <w:pPr>
              <w:jc w:val="center"/>
              <w:rPr>
                <w:color w:val="000000"/>
                <w:kern w:val="0"/>
                <w:szCs w:val="21"/>
              </w:rPr>
            </w:pPr>
            <w:r>
              <w:rPr>
                <w:color w:val="000000"/>
                <w:kern w:val="0"/>
                <w:szCs w:val="21"/>
              </w:rPr>
              <w:t>75</w:t>
            </w:r>
          </w:p>
        </w:tc>
        <w:tc>
          <w:tcPr>
            <w:tcW w:w="669" w:type="dxa"/>
            <w:vMerge w:val="continue"/>
            <w:vAlign w:val="center"/>
          </w:tcPr>
          <w:p w14:paraId="088D7053">
            <w:pPr>
              <w:jc w:val="center"/>
              <w:rPr>
                <w:rFonts w:ascii="宋体" w:hAnsi="宋体" w:cs="宋体"/>
                <w:color w:val="000000"/>
                <w:kern w:val="0"/>
                <w:szCs w:val="21"/>
              </w:rPr>
            </w:pPr>
          </w:p>
        </w:tc>
        <w:tc>
          <w:tcPr>
            <w:tcW w:w="851" w:type="dxa"/>
            <w:shd w:val="clear" w:color="auto" w:fill="auto"/>
            <w:vAlign w:val="center"/>
          </w:tcPr>
          <w:p w14:paraId="351AD2BB">
            <w:pPr>
              <w:jc w:val="center"/>
              <w:rPr>
                <w:color w:val="000000"/>
                <w:kern w:val="0"/>
                <w:szCs w:val="21"/>
              </w:rPr>
            </w:pPr>
            <w:r>
              <w:rPr>
                <w:color w:val="000000"/>
                <w:kern w:val="0"/>
                <w:szCs w:val="21"/>
              </w:rPr>
              <w:t>15</w:t>
            </w:r>
          </w:p>
        </w:tc>
        <w:tc>
          <w:tcPr>
            <w:tcW w:w="850" w:type="dxa"/>
            <w:shd w:val="clear" w:color="auto" w:fill="auto"/>
            <w:vAlign w:val="center"/>
          </w:tcPr>
          <w:p w14:paraId="61131AB6">
            <w:pPr>
              <w:jc w:val="center"/>
              <w:rPr>
                <w:color w:val="000000"/>
                <w:kern w:val="0"/>
                <w:szCs w:val="21"/>
              </w:rPr>
            </w:pPr>
            <w:r>
              <w:rPr>
                <w:color w:val="000000"/>
                <w:kern w:val="0"/>
                <w:szCs w:val="21"/>
              </w:rPr>
              <w:t>60</w:t>
            </w:r>
          </w:p>
        </w:tc>
        <w:tc>
          <w:tcPr>
            <w:tcW w:w="770" w:type="dxa"/>
            <w:shd w:val="clear" w:color="auto" w:fill="auto"/>
            <w:vAlign w:val="center"/>
          </w:tcPr>
          <w:p w14:paraId="34F49C99">
            <w:pPr>
              <w:jc w:val="center"/>
              <w:rPr>
                <w:color w:val="000000"/>
                <w:kern w:val="0"/>
                <w:szCs w:val="21"/>
              </w:rPr>
            </w:pPr>
            <w:r>
              <w:rPr>
                <w:color w:val="000000"/>
                <w:kern w:val="0"/>
                <w:szCs w:val="21"/>
              </w:rPr>
              <w:t>1</w:t>
            </w:r>
          </w:p>
        </w:tc>
      </w:tr>
      <w:tr w14:paraId="557A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376C3B6">
            <w:pPr>
              <w:jc w:val="center"/>
              <w:rPr>
                <w:color w:val="000000"/>
                <w:kern w:val="0"/>
                <w:szCs w:val="21"/>
              </w:rPr>
            </w:pPr>
            <w:r>
              <w:rPr>
                <w:color w:val="000000"/>
                <w:kern w:val="0"/>
                <w:szCs w:val="21"/>
              </w:rPr>
              <w:t>20</w:t>
            </w:r>
          </w:p>
        </w:tc>
        <w:tc>
          <w:tcPr>
            <w:tcW w:w="1292" w:type="dxa"/>
            <w:vMerge w:val="continue"/>
            <w:vAlign w:val="center"/>
          </w:tcPr>
          <w:p w14:paraId="0E3EFA2E">
            <w:pPr>
              <w:jc w:val="center"/>
              <w:rPr>
                <w:rFonts w:ascii="宋体" w:hAnsi="宋体" w:cs="宋体"/>
                <w:color w:val="000000"/>
                <w:kern w:val="0"/>
                <w:szCs w:val="21"/>
              </w:rPr>
            </w:pPr>
          </w:p>
        </w:tc>
        <w:tc>
          <w:tcPr>
            <w:tcW w:w="851" w:type="dxa"/>
            <w:shd w:val="clear" w:color="auto" w:fill="auto"/>
            <w:vAlign w:val="center"/>
          </w:tcPr>
          <w:p w14:paraId="2110811E">
            <w:pPr>
              <w:jc w:val="center"/>
              <w:rPr>
                <w:rFonts w:ascii="宋体" w:hAnsi="宋体" w:cs="宋体"/>
                <w:color w:val="000000"/>
                <w:kern w:val="0"/>
                <w:szCs w:val="21"/>
              </w:rPr>
            </w:pPr>
            <w:r>
              <w:rPr>
                <w:rFonts w:hint="eastAsia" w:ascii="宋体" w:hAnsi="宋体" w:cs="宋体"/>
                <w:color w:val="000000"/>
                <w:kern w:val="0"/>
                <w:szCs w:val="21"/>
              </w:rPr>
              <w:t>打包机</w:t>
            </w:r>
          </w:p>
        </w:tc>
        <w:tc>
          <w:tcPr>
            <w:tcW w:w="1984" w:type="dxa"/>
            <w:shd w:val="clear" w:color="auto" w:fill="auto"/>
            <w:vAlign w:val="center"/>
          </w:tcPr>
          <w:p w14:paraId="11361D8A">
            <w:pPr>
              <w:jc w:val="center"/>
              <w:rPr>
                <w:color w:val="000000"/>
                <w:kern w:val="0"/>
                <w:szCs w:val="21"/>
              </w:rPr>
            </w:pPr>
            <w:r>
              <w:rPr>
                <w:color w:val="000000"/>
                <w:kern w:val="0"/>
                <w:szCs w:val="21"/>
              </w:rPr>
              <w:t>80</w:t>
            </w:r>
          </w:p>
        </w:tc>
        <w:tc>
          <w:tcPr>
            <w:tcW w:w="1560" w:type="dxa"/>
            <w:vMerge w:val="continue"/>
            <w:vAlign w:val="center"/>
          </w:tcPr>
          <w:p w14:paraId="6417EF1A">
            <w:pPr>
              <w:jc w:val="center"/>
              <w:rPr>
                <w:rFonts w:ascii="宋体" w:hAnsi="宋体" w:cs="宋体"/>
                <w:color w:val="000000"/>
                <w:kern w:val="0"/>
                <w:sz w:val="22"/>
                <w:szCs w:val="22"/>
              </w:rPr>
            </w:pPr>
          </w:p>
        </w:tc>
        <w:tc>
          <w:tcPr>
            <w:tcW w:w="1134" w:type="dxa"/>
            <w:shd w:val="clear" w:color="auto" w:fill="auto"/>
            <w:noWrap/>
            <w:vAlign w:val="center"/>
          </w:tcPr>
          <w:p w14:paraId="053CAC97">
            <w:pPr>
              <w:jc w:val="center"/>
              <w:rPr>
                <w:rFonts w:ascii="宋体" w:hAnsi="宋体" w:cs="宋体"/>
                <w:color w:val="000000"/>
                <w:kern w:val="0"/>
                <w:sz w:val="22"/>
                <w:szCs w:val="22"/>
              </w:rPr>
            </w:pPr>
            <w:r>
              <w:rPr>
                <w:rFonts w:hint="eastAsia" w:ascii="宋体" w:hAnsi="宋体" w:cs="宋体"/>
                <w:color w:val="000000"/>
                <w:kern w:val="0"/>
                <w:sz w:val="22"/>
                <w:szCs w:val="22"/>
              </w:rPr>
              <w:t>1.27</w:t>
            </w:r>
          </w:p>
        </w:tc>
        <w:tc>
          <w:tcPr>
            <w:tcW w:w="992" w:type="dxa"/>
            <w:shd w:val="clear" w:color="auto" w:fill="auto"/>
            <w:noWrap/>
            <w:vAlign w:val="center"/>
          </w:tcPr>
          <w:p w14:paraId="03B5BECD">
            <w:pPr>
              <w:jc w:val="center"/>
              <w:rPr>
                <w:rFonts w:ascii="宋体" w:hAnsi="宋体" w:cs="宋体"/>
                <w:color w:val="000000"/>
                <w:kern w:val="0"/>
                <w:sz w:val="22"/>
                <w:szCs w:val="22"/>
              </w:rPr>
            </w:pPr>
            <w:r>
              <w:rPr>
                <w:rFonts w:hint="eastAsia" w:ascii="宋体" w:hAnsi="宋体" w:cs="宋体"/>
                <w:color w:val="000000"/>
                <w:kern w:val="0"/>
                <w:sz w:val="22"/>
                <w:szCs w:val="22"/>
              </w:rPr>
              <w:t>151.19</w:t>
            </w:r>
          </w:p>
        </w:tc>
        <w:tc>
          <w:tcPr>
            <w:tcW w:w="850" w:type="dxa"/>
            <w:shd w:val="clear" w:color="auto" w:fill="auto"/>
            <w:vAlign w:val="center"/>
          </w:tcPr>
          <w:p w14:paraId="6E657CCF">
            <w:pPr>
              <w:jc w:val="center"/>
              <w:rPr>
                <w:color w:val="000000"/>
                <w:kern w:val="0"/>
                <w:szCs w:val="21"/>
              </w:rPr>
            </w:pPr>
            <w:r>
              <w:rPr>
                <w:color w:val="000000"/>
                <w:kern w:val="0"/>
                <w:szCs w:val="21"/>
              </w:rPr>
              <w:t>1</w:t>
            </w:r>
          </w:p>
        </w:tc>
        <w:tc>
          <w:tcPr>
            <w:tcW w:w="851" w:type="dxa"/>
            <w:shd w:val="clear" w:color="auto" w:fill="auto"/>
            <w:vAlign w:val="center"/>
          </w:tcPr>
          <w:p w14:paraId="46721632">
            <w:pPr>
              <w:jc w:val="center"/>
              <w:rPr>
                <w:color w:val="000000"/>
                <w:kern w:val="0"/>
                <w:szCs w:val="21"/>
              </w:rPr>
            </w:pPr>
            <w:r>
              <w:rPr>
                <w:color w:val="000000"/>
                <w:kern w:val="0"/>
                <w:szCs w:val="21"/>
              </w:rPr>
              <w:t>3.5</w:t>
            </w:r>
            <w:r>
              <w:rPr>
                <w:rFonts w:hint="eastAsia" w:ascii="宋体" w:hAnsi="宋体"/>
                <w:color w:val="000000"/>
                <w:kern w:val="0"/>
                <w:szCs w:val="21"/>
              </w:rPr>
              <w:t>（东）</w:t>
            </w:r>
          </w:p>
        </w:tc>
        <w:tc>
          <w:tcPr>
            <w:tcW w:w="890" w:type="dxa"/>
            <w:shd w:val="clear" w:color="auto" w:fill="auto"/>
            <w:vAlign w:val="center"/>
          </w:tcPr>
          <w:p w14:paraId="21CA65E4">
            <w:pPr>
              <w:jc w:val="center"/>
              <w:rPr>
                <w:color w:val="000000"/>
                <w:kern w:val="0"/>
                <w:szCs w:val="21"/>
              </w:rPr>
            </w:pPr>
            <w:r>
              <w:rPr>
                <w:color w:val="000000"/>
                <w:kern w:val="0"/>
                <w:szCs w:val="21"/>
              </w:rPr>
              <w:t>60</w:t>
            </w:r>
          </w:p>
        </w:tc>
        <w:tc>
          <w:tcPr>
            <w:tcW w:w="669" w:type="dxa"/>
            <w:vMerge w:val="continue"/>
            <w:vAlign w:val="center"/>
          </w:tcPr>
          <w:p w14:paraId="6CB39A9E">
            <w:pPr>
              <w:jc w:val="center"/>
              <w:rPr>
                <w:rFonts w:ascii="宋体" w:hAnsi="宋体" w:cs="宋体"/>
                <w:color w:val="000000"/>
                <w:kern w:val="0"/>
                <w:szCs w:val="21"/>
              </w:rPr>
            </w:pPr>
          </w:p>
        </w:tc>
        <w:tc>
          <w:tcPr>
            <w:tcW w:w="851" w:type="dxa"/>
            <w:shd w:val="clear" w:color="auto" w:fill="auto"/>
            <w:vAlign w:val="center"/>
          </w:tcPr>
          <w:p w14:paraId="413F817B">
            <w:pPr>
              <w:jc w:val="center"/>
              <w:rPr>
                <w:color w:val="000000"/>
                <w:kern w:val="0"/>
                <w:szCs w:val="21"/>
              </w:rPr>
            </w:pPr>
            <w:r>
              <w:rPr>
                <w:color w:val="000000"/>
                <w:kern w:val="0"/>
                <w:szCs w:val="21"/>
              </w:rPr>
              <w:t>15</w:t>
            </w:r>
          </w:p>
        </w:tc>
        <w:tc>
          <w:tcPr>
            <w:tcW w:w="850" w:type="dxa"/>
            <w:shd w:val="clear" w:color="auto" w:fill="auto"/>
            <w:vAlign w:val="center"/>
          </w:tcPr>
          <w:p w14:paraId="3C571CAE">
            <w:pPr>
              <w:jc w:val="center"/>
              <w:rPr>
                <w:color w:val="000000"/>
                <w:kern w:val="0"/>
                <w:szCs w:val="21"/>
              </w:rPr>
            </w:pPr>
            <w:r>
              <w:rPr>
                <w:color w:val="000000"/>
                <w:kern w:val="0"/>
                <w:szCs w:val="21"/>
              </w:rPr>
              <w:t>45</w:t>
            </w:r>
          </w:p>
        </w:tc>
        <w:tc>
          <w:tcPr>
            <w:tcW w:w="770" w:type="dxa"/>
            <w:shd w:val="clear" w:color="auto" w:fill="auto"/>
            <w:vAlign w:val="center"/>
          </w:tcPr>
          <w:p w14:paraId="74F4269C">
            <w:pPr>
              <w:jc w:val="center"/>
              <w:rPr>
                <w:color w:val="000000"/>
                <w:kern w:val="0"/>
                <w:szCs w:val="21"/>
              </w:rPr>
            </w:pPr>
            <w:r>
              <w:rPr>
                <w:color w:val="000000"/>
                <w:kern w:val="0"/>
                <w:szCs w:val="21"/>
              </w:rPr>
              <w:t>1</w:t>
            </w:r>
          </w:p>
        </w:tc>
      </w:tr>
      <w:tr w14:paraId="69564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976AF5E">
            <w:pPr>
              <w:jc w:val="center"/>
              <w:rPr>
                <w:color w:val="000000"/>
                <w:kern w:val="0"/>
                <w:szCs w:val="21"/>
              </w:rPr>
            </w:pPr>
            <w:r>
              <w:rPr>
                <w:color w:val="000000"/>
                <w:kern w:val="0"/>
                <w:szCs w:val="21"/>
              </w:rPr>
              <w:t>21</w:t>
            </w:r>
          </w:p>
        </w:tc>
        <w:tc>
          <w:tcPr>
            <w:tcW w:w="1292" w:type="dxa"/>
            <w:vMerge w:val="continue"/>
            <w:vAlign w:val="center"/>
          </w:tcPr>
          <w:p w14:paraId="6932756C">
            <w:pPr>
              <w:jc w:val="center"/>
              <w:rPr>
                <w:rFonts w:ascii="宋体" w:hAnsi="宋体" w:cs="宋体"/>
                <w:color w:val="000000"/>
                <w:kern w:val="0"/>
                <w:szCs w:val="21"/>
              </w:rPr>
            </w:pPr>
          </w:p>
        </w:tc>
        <w:tc>
          <w:tcPr>
            <w:tcW w:w="851" w:type="dxa"/>
            <w:shd w:val="clear" w:color="auto" w:fill="auto"/>
            <w:vAlign w:val="center"/>
          </w:tcPr>
          <w:p w14:paraId="4FCFACFD">
            <w:pPr>
              <w:jc w:val="center"/>
              <w:rPr>
                <w:rFonts w:ascii="宋体" w:hAnsi="宋体" w:cs="宋体"/>
                <w:color w:val="000000"/>
                <w:kern w:val="0"/>
                <w:szCs w:val="21"/>
              </w:rPr>
            </w:pPr>
            <w:r>
              <w:rPr>
                <w:rFonts w:hint="eastAsia" w:ascii="宋体" w:hAnsi="宋体" w:cs="宋体"/>
                <w:color w:val="000000"/>
                <w:kern w:val="0"/>
                <w:szCs w:val="21"/>
              </w:rPr>
              <w:t>铡草机</w:t>
            </w:r>
          </w:p>
        </w:tc>
        <w:tc>
          <w:tcPr>
            <w:tcW w:w="1984" w:type="dxa"/>
            <w:shd w:val="clear" w:color="auto" w:fill="auto"/>
            <w:vAlign w:val="center"/>
          </w:tcPr>
          <w:p w14:paraId="6D2C504E">
            <w:pPr>
              <w:jc w:val="center"/>
              <w:rPr>
                <w:color w:val="000000"/>
                <w:kern w:val="0"/>
                <w:szCs w:val="21"/>
              </w:rPr>
            </w:pPr>
            <w:r>
              <w:rPr>
                <w:color w:val="000000"/>
                <w:kern w:val="0"/>
                <w:szCs w:val="21"/>
              </w:rPr>
              <w:t>80</w:t>
            </w:r>
          </w:p>
        </w:tc>
        <w:tc>
          <w:tcPr>
            <w:tcW w:w="1560" w:type="dxa"/>
            <w:vMerge w:val="continue"/>
            <w:vAlign w:val="center"/>
          </w:tcPr>
          <w:p w14:paraId="5811BDD7">
            <w:pPr>
              <w:jc w:val="center"/>
              <w:rPr>
                <w:rFonts w:ascii="宋体" w:hAnsi="宋体" w:cs="宋体"/>
                <w:color w:val="000000"/>
                <w:kern w:val="0"/>
                <w:sz w:val="22"/>
                <w:szCs w:val="22"/>
              </w:rPr>
            </w:pPr>
          </w:p>
        </w:tc>
        <w:tc>
          <w:tcPr>
            <w:tcW w:w="1134" w:type="dxa"/>
            <w:shd w:val="clear" w:color="auto" w:fill="auto"/>
            <w:noWrap/>
            <w:vAlign w:val="center"/>
          </w:tcPr>
          <w:p w14:paraId="3BACC489">
            <w:pPr>
              <w:jc w:val="center"/>
              <w:rPr>
                <w:rFonts w:ascii="宋体" w:hAnsi="宋体" w:cs="宋体"/>
                <w:color w:val="000000"/>
                <w:kern w:val="0"/>
                <w:sz w:val="22"/>
                <w:szCs w:val="22"/>
              </w:rPr>
            </w:pPr>
            <w:r>
              <w:rPr>
                <w:rFonts w:hint="eastAsia" w:ascii="宋体" w:hAnsi="宋体" w:cs="宋体"/>
                <w:color w:val="000000"/>
                <w:kern w:val="0"/>
                <w:sz w:val="22"/>
                <w:szCs w:val="22"/>
              </w:rPr>
              <w:t>1.27</w:t>
            </w:r>
          </w:p>
        </w:tc>
        <w:tc>
          <w:tcPr>
            <w:tcW w:w="992" w:type="dxa"/>
            <w:shd w:val="clear" w:color="auto" w:fill="auto"/>
            <w:noWrap/>
            <w:vAlign w:val="center"/>
          </w:tcPr>
          <w:p w14:paraId="6DFC9708">
            <w:pPr>
              <w:jc w:val="center"/>
              <w:rPr>
                <w:rFonts w:ascii="宋体" w:hAnsi="宋体" w:cs="宋体"/>
                <w:color w:val="000000"/>
                <w:kern w:val="0"/>
                <w:sz w:val="22"/>
                <w:szCs w:val="22"/>
              </w:rPr>
            </w:pPr>
            <w:r>
              <w:rPr>
                <w:rFonts w:hint="eastAsia" w:ascii="宋体" w:hAnsi="宋体" w:cs="宋体"/>
                <w:color w:val="000000"/>
                <w:kern w:val="0"/>
                <w:sz w:val="22"/>
                <w:szCs w:val="22"/>
              </w:rPr>
              <w:t>145.08</w:t>
            </w:r>
          </w:p>
        </w:tc>
        <w:tc>
          <w:tcPr>
            <w:tcW w:w="850" w:type="dxa"/>
            <w:shd w:val="clear" w:color="auto" w:fill="auto"/>
            <w:vAlign w:val="center"/>
          </w:tcPr>
          <w:p w14:paraId="0E3AF0E4">
            <w:pPr>
              <w:jc w:val="center"/>
              <w:rPr>
                <w:color w:val="000000"/>
                <w:kern w:val="0"/>
                <w:szCs w:val="21"/>
              </w:rPr>
            </w:pPr>
            <w:r>
              <w:rPr>
                <w:color w:val="000000"/>
                <w:kern w:val="0"/>
                <w:szCs w:val="21"/>
              </w:rPr>
              <w:t>1</w:t>
            </w:r>
          </w:p>
        </w:tc>
        <w:tc>
          <w:tcPr>
            <w:tcW w:w="851" w:type="dxa"/>
            <w:shd w:val="clear" w:color="auto" w:fill="auto"/>
            <w:vAlign w:val="center"/>
          </w:tcPr>
          <w:p w14:paraId="06380C5C">
            <w:pPr>
              <w:jc w:val="center"/>
              <w:rPr>
                <w:color w:val="000000"/>
                <w:kern w:val="0"/>
                <w:szCs w:val="21"/>
              </w:rPr>
            </w:pPr>
            <w:r>
              <w:rPr>
                <w:color w:val="000000"/>
                <w:kern w:val="0"/>
                <w:szCs w:val="21"/>
              </w:rPr>
              <w:t>3.5</w:t>
            </w:r>
            <w:r>
              <w:rPr>
                <w:rFonts w:hint="eastAsia" w:ascii="宋体" w:hAnsi="宋体"/>
                <w:color w:val="000000"/>
                <w:kern w:val="0"/>
                <w:szCs w:val="21"/>
              </w:rPr>
              <w:t>（东）</w:t>
            </w:r>
          </w:p>
        </w:tc>
        <w:tc>
          <w:tcPr>
            <w:tcW w:w="890" w:type="dxa"/>
            <w:shd w:val="clear" w:color="auto" w:fill="auto"/>
            <w:vAlign w:val="center"/>
          </w:tcPr>
          <w:p w14:paraId="2F3EDB5F">
            <w:pPr>
              <w:jc w:val="center"/>
              <w:rPr>
                <w:color w:val="000000"/>
                <w:kern w:val="0"/>
                <w:szCs w:val="21"/>
              </w:rPr>
            </w:pPr>
            <w:r>
              <w:rPr>
                <w:color w:val="000000"/>
                <w:kern w:val="0"/>
                <w:szCs w:val="21"/>
              </w:rPr>
              <w:t>60</w:t>
            </w:r>
          </w:p>
        </w:tc>
        <w:tc>
          <w:tcPr>
            <w:tcW w:w="669" w:type="dxa"/>
            <w:vMerge w:val="continue"/>
            <w:vAlign w:val="center"/>
          </w:tcPr>
          <w:p w14:paraId="19729CF6">
            <w:pPr>
              <w:jc w:val="center"/>
              <w:rPr>
                <w:rFonts w:ascii="宋体" w:hAnsi="宋体" w:cs="宋体"/>
                <w:color w:val="000000"/>
                <w:kern w:val="0"/>
                <w:szCs w:val="21"/>
              </w:rPr>
            </w:pPr>
          </w:p>
        </w:tc>
        <w:tc>
          <w:tcPr>
            <w:tcW w:w="851" w:type="dxa"/>
            <w:shd w:val="clear" w:color="auto" w:fill="auto"/>
            <w:vAlign w:val="center"/>
          </w:tcPr>
          <w:p w14:paraId="5CFC4DDA">
            <w:pPr>
              <w:jc w:val="center"/>
              <w:rPr>
                <w:color w:val="000000"/>
                <w:kern w:val="0"/>
                <w:szCs w:val="21"/>
              </w:rPr>
            </w:pPr>
            <w:r>
              <w:rPr>
                <w:color w:val="000000"/>
                <w:kern w:val="0"/>
                <w:szCs w:val="21"/>
              </w:rPr>
              <w:t>15</w:t>
            </w:r>
          </w:p>
        </w:tc>
        <w:tc>
          <w:tcPr>
            <w:tcW w:w="850" w:type="dxa"/>
            <w:shd w:val="clear" w:color="auto" w:fill="auto"/>
            <w:vAlign w:val="center"/>
          </w:tcPr>
          <w:p w14:paraId="56437EC8">
            <w:pPr>
              <w:jc w:val="center"/>
              <w:rPr>
                <w:color w:val="000000"/>
                <w:kern w:val="0"/>
                <w:szCs w:val="21"/>
              </w:rPr>
            </w:pPr>
            <w:r>
              <w:rPr>
                <w:color w:val="000000"/>
                <w:kern w:val="0"/>
                <w:szCs w:val="21"/>
              </w:rPr>
              <w:t>45</w:t>
            </w:r>
          </w:p>
        </w:tc>
        <w:tc>
          <w:tcPr>
            <w:tcW w:w="770" w:type="dxa"/>
            <w:shd w:val="clear" w:color="auto" w:fill="auto"/>
            <w:vAlign w:val="center"/>
          </w:tcPr>
          <w:p w14:paraId="7663AFA5">
            <w:pPr>
              <w:jc w:val="center"/>
              <w:rPr>
                <w:color w:val="000000"/>
                <w:kern w:val="0"/>
                <w:szCs w:val="21"/>
              </w:rPr>
            </w:pPr>
            <w:r>
              <w:rPr>
                <w:color w:val="000000"/>
                <w:kern w:val="0"/>
                <w:szCs w:val="21"/>
              </w:rPr>
              <w:t>1</w:t>
            </w:r>
          </w:p>
        </w:tc>
      </w:tr>
      <w:tr w14:paraId="7497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E5BDBE1">
            <w:pPr>
              <w:jc w:val="center"/>
              <w:rPr>
                <w:color w:val="000000"/>
                <w:kern w:val="0"/>
                <w:szCs w:val="21"/>
              </w:rPr>
            </w:pPr>
            <w:r>
              <w:rPr>
                <w:color w:val="000000"/>
                <w:kern w:val="0"/>
                <w:szCs w:val="21"/>
              </w:rPr>
              <w:t>22</w:t>
            </w:r>
          </w:p>
        </w:tc>
        <w:tc>
          <w:tcPr>
            <w:tcW w:w="1292" w:type="dxa"/>
            <w:vMerge w:val="continue"/>
            <w:vAlign w:val="center"/>
          </w:tcPr>
          <w:p w14:paraId="150F1C9C">
            <w:pPr>
              <w:jc w:val="center"/>
              <w:rPr>
                <w:rFonts w:ascii="宋体" w:hAnsi="宋体" w:cs="宋体"/>
                <w:color w:val="000000"/>
                <w:kern w:val="0"/>
                <w:szCs w:val="21"/>
              </w:rPr>
            </w:pPr>
          </w:p>
        </w:tc>
        <w:tc>
          <w:tcPr>
            <w:tcW w:w="851" w:type="dxa"/>
            <w:shd w:val="clear" w:color="auto" w:fill="auto"/>
            <w:vAlign w:val="center"/>
          </w:tcPr>
          <w:p w14:paraId="7FC9464A">
            <w:pPr>
              <w:jc w:val="center"/>
              <w:rPr>
                <w:rFonts w:ascii="宋体" w:hAnsi="宋体" w:cs="宋体"/>
                <w:color w:val="000000"/>
                <w:kern w:val="0"/>
                <w:szCs w:val="21"/>
              </w:rPr>
            </w:pPr>
            <w:r>
              <w:rPr>
                <w:rFonts w:hint="eastAsia" w:ascii="宋体" w:hAnsi="宋体" w:cs="宋体"/>
                <w:color w:val="000000"/>
                <w:kern w:val="0"/>
                <w:szCs w:val="21"/>
              </w:rPr>
              <w:t>TMR机#1</w:t>
            </w:r>
          </w:p>
        </w:tc>
        <w:tc>
          <w:tcPr>
            <w:tcW w:w="1984" w:type="dxa"/>
            <w:shd w:val="clear" w:color="auto" w:fill="auto"/>
            <w:vAlign w:val="center"/>
          </w:tcPr>
          <w:p w14:paraId="679A78DF">
            <w:pPr>
              <w:jc w:val="center"/>
              <w:rPr>
                <w:color w:val="000000"/>
                <w:kern w:val="0"/>
                <w:szCs w:val="21"/>
              </w:rPr>
            </w:pPr>
            <w:r>
              <w:rPr>
                <w:color w:val="000000"/>
                <w:kern w:val="0"/>
                <w:szCs w:val="21"/>
              </w:rPr>
              <w:t>80</w:t>
            </w:r>
          </w:p>
        </w:tc>
        <w:tc>
          <w:tcPr>
            <w:tcW w:w="1560" w:type="dxa"/>
            <w:vMerge w:val="continue"/>
            <w:vAlign w:val="center"/>
          </w:tcPr>
          <w:p w14:paraId="2C1BE3BF">
            <w:pPr>
              <w:jc w:val="center"/>
              <w:rPr>
                <w:rFonts w:ascii="宋体" w:hAnsi="宋体" w:cs="宋体"/>
                <w:color w:val="000000"/>
                <w:kern w:val="0"/>
                <w:sz w:val="22"/>
                <w:szCs w:val="22"/>
              </w:rPr>
            </w:pPr>
          </w:p>
        </w:tc>
        <w:tc>
          <w:tcPr>
            <w:tcW w:w="1134" w:type="dxa"/>
            <w:shd w:val="clear" w:color="auto" w:fill="auto"/>
            <w:noWrap/>
            <w:vAlign w:val="center"/>
          </w:tcPr>
          <w:p w14:paraId="44FCDCF8">
            <w:pPr>
              <w:jc w:val="center"/>
              <w:rPr>
                <w:rFonts w:ascii="宋体" w:hAnsi="宋体" w:cs="宋体"/>
                <w:color w:val="000000"/>
                <w:kern w:val="0"/>
                <w:sz w:val="22"/>
                <w:szCs w:val="22"/>
              </w:rPr>
            </w:pPr>
            <w:r>
              <w:rPr>
                <w:rFonts w:hint="eastAsia" w:ascii="宋体" w:hAnsi="宋体" w:cs="宋体"/>
                <w:color w:val="000000"/>
                <w:kern w:val="0"/>
                <w:sz w:val="22"/>
                <w:szCs w:val="22"/>
              </w:rPr>
              <w:t>1.27</w:t>
            </w:r>
          </w:p>
        </w:tc>
        <w:tc>
          <w:tcPr>
            <w:tcW w:w="992" w:type="dxa"/>
            <w:shd w:val="clear" w:color="auto" w:fill="auto"/>
            <w:noWrap/>
            <w:vAlign w:val="center"/>
          </w:tcPr>
          <w:p w14:paraId="33B5F3FB">
            <w:pPr>
              <w:jc w:val="center"/>
              <w:rPr>
                <w:rFonts w:ascii="宋体" w:hAnsi="宋体" w:cs="宋体"/>
                <w:color w:val="000000"/>
                <w:kern w:val="0"/>
                <w:sz w:val="22"/>
                <w:szCs w:val="22"/>
              </w:rPr>
            </w:pPr>
            <w:r>
              <w:rPr>
                <w:rFonts w:hint="eastAsia" w:ascii="宋体" w:hAnsi="宋体" w:cs="宋体"/>
                <w:color w:val="000000"/>
                <w:kern w:val="0"/>
                <w:sz w:val="22"/>
                <w:szCs w:val="22"/>
              </w:rPr>
              <w:t>129.14</w:t>
            </w:r>
          </w:p>
        </w:tc>
        <w:tc>
          <w:tcPr>
            <w:tcW w:w="850" w:type="dxa"/>
            <w:shd w:val="clear" w:color="auto" w:fill="auto"/>
            <w:vAlign w:val="center"/>
          </w:tcPr>
          <w:p w14:paraId="665DAE83">
            <w:pPr>
              <w:jc w:val="center"/>
              <w:rPr>
                <w:color w:val="000000"/>
                <w:kern w:val="0"/>
                <w:szCs w:val="21"/>
              </w:rPr>
            </w:pPr>
            <w:r>
              <w:rPr>
                <w:color w:val="000000"/>
                <w:kern w:val="0"/>
                <w:szCs w:val="21"/>
              </w:rPr>
              <w:t>1</w:t>
            </w:r>
          </w:p>
        </w:tc>
        <w:tc>
          <w:tcPr>
            <w:tcW w:w="851" w:type="dxa"/>
            <w:shd w:val="clear" w:color="auto" w:fill="auto"/>
            <w:vAlign w:val="center"/>
          </w:tcPr>
          <w:p w14:paraId="32FCB8A0">
            <w:pPr>
              <w:jc w:val="center"/>
              <w:rPr>
                <w:color w:val="000000"/>
                <w:kern w:val="0"/>
                <w:szCs w:val="21"/>
              </w:rPr>
            </w:pPr>
            <w:r>
              <w:rPr>
                <w:color w:val="000000"/>
                <w:kern w:val="0"/>
                <w:szCs w:val="21"/>
              </w:rPr>
              <w:t>3.5（东）</w:t>
            </w:r>
          </w:p>
        </w:tc>
        <w:tc>
          <w:tcPr>
            <w:tcW w:w="890" w:type="dxa"/>
            <w:shd w:val="clear" w:color="auto" w:fill="auto"/>
            <w:vAlign w:val="center"/>
          </w:tcPr>
          <w:p w14:paraId="24438E38">
            <w:pPr>
              <w:jc w:val="center"/>
              <w:rPr>
                <w:color w:val="000000"/>
                <w:kern w:val="0"/>
                <w:szCs w:val="21"/>
              </w:rPr>
            </w:pPr>
            <w:r>
              <w:rPr>
                <w:color w:val="000000"/>
                <w:kern w:val="0"/>
                <w:szCs w:val="21"/>
              </w:rPr>
              <w:t>60</w:t>
            </w:r>
          </w:p>
        </w:tc>
        <w:tc>
          <w:tcPr>
            <w:tcW w:w="669" w:type="dxa"/>
            <w:vMerge w:val="continue"/>
            <w:vAlign w:val="center"/>
          </w:tcPr>
          <w:p w14:paraId="4EB3C7BE">
            <w:pPr>
              <w:jc w:val="center"/>
              <w:rPr>
                <w:rFonts w:ascii="宋体" w:hAnsi="宋体" w:cs="宋体"/>
                <w:color w:val="000000"/>
                <w:kern w:val="0"/>
                <w:szCs w:val="21"/>
              </w:rPr>
            </w:pPr>
          </w:p>
        </w:tc>
        <w:tc>
          <w:tcPr>
            <w:tcW w:w="851" w:type="dxa"/>
            <w:shd w:val="clear" w:color="auto" w:fill="auto"/>
            <w:vAlign w:val="center"/>
          </w:tcPr>
          <w:p w14:paraId="6202B636">
            <w:pPr>
              <w:jc w:val="center"/>
              <w:rPr>
                <w:color w:val="000000"/>
                <w:kern w:val="0"/>
                <w:szCs w:val="21"/>
              </w:rPr>
            </w:pPr>
            <w:r>
              <w:rPr>
                <w:color w:val="000000"/>
                <w:kern w:val="0"/>
                <w:szCs w:val="21"/>
              </w:rPr>
              <w:t>15</w:t>
            </w:r>
          </w:p>
        </w:tc>
        <w:tc>
          <w:tcPr>
            <w:tcW w:w="850" w:type="dxa"/>
            <w:shd w:val="clear" w:color="auto" w:fill="auto"/>
            <w:vAlign w:val="center"/>
          </w:tcPr>
          <w:p w14:paraId="1D152EEE">
            <w:pPr>
              <w:jc w:val="center"/>
              <w:rPr>
                <w:color w:val="000000"/>
                <w:kern w:val="0"/>
                <w:szCs w:val="21"/>
              </w:rPr>
            </w:pPr>
            <w:r>
              <w:rPr>
                <w:color w:val="000000"/>
                <w:kern w:val="0"/>
                <w:szCs w:val="21"/>
              </w:rPr>
              <w:t>45</w:t>
            </w:r>
          </w:p>
        </w:tc>
        <w:tc>
          <w:tcPr>
            <w:tcW w:w="770" w:type="dxa"/>
            <w:shd w:val="clear" w:color="auto" w:fill="auto"/>
            <w:vAlign w:val="center"/>
          </w:tcPr>
          <w:p w14:paraId="50B616DC">
            <w:pPr>
              <w:jc w:val="center"/>
              <w:rPr>
                <w:color w:val="000000"/>
                <w:kern w:val="0"/>
                <w:szCs w:val="21"/>
              </w:rPr>
            </w:pPr>
            <w:r>
              <w:rPr>
                <w:color w:val="000000"/>
                <w:kern w:val="0"/>
                <w:szCs w:val="21"/>
              </w:rPr>
              <w:t>1</w:t>
            </w:r>
          </w:p>
        </w:tc>
      </w:tr>
      <w:tr w14:paraId="27276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E4C860B">
            <w:pPr>
              <w:jc w:val="center"/>
              <w:rPr>
                <w:color w:val="000000"/>
                <w:kern w:val="0"/>
                <w:szCs w:val="21"/>
              </w:rPr>
            </w:pPr>
            <w:r>
              <w:rPr>
                <w:color w:val="000000"/>
                <w:kern w:val="0"/>
                <w:szCs w:val="21"/>
              </w:rPr>
              <w:t>23</w:t>
            </w:r>
          </w:p>
        </w:tc>
        <w:tc>
          <w:tcPr>
            <w:tcW w:w="1292" w:type="dxa"/>
            <w:vMerge w:val="continue"/>
            <w:vAlign w:val="center"/>
          </w:tcPr>
          <w:p w14:paraId="58BF5732">
            <w:pPr>
              <w:jc w:val="center"/>
              <w:rPr>
                <w:rFonts w:ascii="宋体" w:hAnsi="宋体" w:cs="宋体"/>
                <w:color w:val="000000"/>
                <w:kern w:val="0"/>
                <w:szCs w:val="21"/>
              </w:rPr>
            </w:pPr>
          </w:p>
        </w:tc>
        <w:tc>
          <w:tcPr>
            <w:tcW w:w="851" w:type="dxa"/>
            <w:shd w:val="clear" w:color="auto" w:fill="auto"/>
            <w:vAlign w:val="center"/>
          </w:tcPr>
          <w:p w14:paraId="3F80F51A">
            <w:pPr>
              <w:jc w:val="center"/>
              <w:rPr>
                <w:rFonts w:ascii="宋体" w:hAnsi="宋体" w:cs="宋体"/>
                <w:color w:val="000000"/>
                <w:kern w:val="0"/>
                <w:szCs w:val="21"/>
              </w:rPr>
            </w:pPr>
            <w:r>
              <w:rPr>
                <w:rFonts w:hint="eastAsia" w:ascii="宋体" w:hAnsi="宋体" w:cs="宋体"/>
                <w:color w:val="000000"/>
                <w:kern w:val="0"/>
                <w:szCs w:val="21"/>
              </w:rPr>
              <w:t>TMR机#2</w:t>
            </w:r>
          </w:p>
        </w:tc>
        <w:tc>
          <w:tcPr>
            <w:tcW w:w="1984" w:type="dxa"/>
            <w:shd w:val="clear" w:color="auto" w:fill="auto"/>
            <w:vAlign w:val="center"/>
          </w:tcPr>
          <w:p w14:paraId="5147BB6A">
            <w:pPr>
              <w:jc w:val="center"/>
              <w:rPr>
                <w:color w:val="000000"/>
                <w:kern w:val="0"/>
                <w:szCs w:val="21"/>
              </w:rPr>
            </w:pPr>
            <w:r>
              <w:rPr>
                <w:color w:val="000000"/>
                <w:kern w:val="0"/>
                <w:szCs w:val="21"/>
              </w:rPr>
              <w:t>80</w:t>
            </w:r>
          </w:p>
        </w:tc>
        <w:tc>
          <w:tcPr>
            <w:tcW w:w="1560" w:type="dxa"/>
            <w:vMerge w:val="continue"/>
            <w:vAlign w:val="center"/>
          </w:tcPr>
          <w:p w14:paraId="47EDAA99">
            <w:pPr>
              <w:jc w:val="center"/>
              <w:rPr>
                <w:rFonts w:ascii="宋体" w:hAnsi="宋体" w:cs="宋体"/>
                <w:color w:val="000000"/>
                <w:kern w:val="0"/>
                <w:sz w:val="22"/>
                <w:szCs w:val="22"/>
              </w:rPr>
            </w:pPr>
          </w:p>
        </w:tc>
        <w:tc>
          <w:tcPr>
            <w:tcW w:w="1134" w:type="dxa"/>
            <w:shd w:val="clear" w:color="auto" w:fill="auto"/>
            <w:noWrap/>
            <w:vAlign w:val="center"/>
          </w:tcPr>
          <w:p w14:paraId="03B6884D">
            <w:pPr>
              <w:jc w:val="center"/>
              <w:rPr>
                <w:rFonts w:ascii="宋体" w:hAnsi="宋体" w:cs="宋体"/>
                <w:color w:val="000000"/>
                <w:kern w:val="0"/>
                <w:sz w:val="22"/>
                <w:szCs w:val="22"/>
              </w:rPr>
            </w:pPr>
            <w:r>
              <w:rPr>
                <w:rFonts w:hint="eastAsia" w:ascii="宋体" w:hAnsi="宋体" w:cs="宋体"/>
                <w:color w:val="000000"/>
                <w:kern w:val="0"/>
                <w:sz w:val="22"/>
                <w:szCs w:val="22"/>
              </w:rPr>
              <w:t>1.27</w:t>
            </w:r>
          </w:p>
        </w:tc>
        <w:tc>
          <w:tcPr>
            <w:tcW w:w="992" w:type="dxa"/>
            <w:shd w:val="clear" w:color="auto" w:fill="auto"/>
            <w:noWrap/>
            <w:vAlign w:val="center"/>
          </w:tcPr>
          <w:p w14:paraId="0C97A7D9">
            <w:pPr>
              <w:jc w:val="center"/>
              <w:rPr>
                <w:rFonts w:ascii="宋体" w:hAnsi="宋体" w:cs="宋体"/>
                <w:color w:val="000000"/>
                <w:kern w:val="0"/>
                <w:sz w:val="22"/>
                <w:szCs w:val="22"/>
              </w:rPr>
            </w:pPr>
            <w:r>
              <w:rPr>
                <w:rFonts w:hint="eastAsia" w:ascii="宋体" w:hAnsi="宋体" w:cs="宋体"/>
                <w:color w:val="000000"/>
                <w:kern w:val="0"/>
                <w:sz w:val="22"/>
                <w:szCs w:val="22"/>
              </w:rPr>
              <w:t>132.72</w:t>
            </w:r>
          </w:p>
        </w:tc>
        <w:tc>
          <w:tcPr>
            <w:tcW w:w="850" w:type="dxa"/>
            <w:shd w:val="clear" w:color="auto" w:fill="auto"/>
            <w:vAlign w:val="center"/>
          </w:tcPr>
          <w:p w14:paraId="310EFA50">
            <w:pPr>
              <w:jc w:val="center"/>
              <w:rPr>
                <w:color w:val="000000"/>
                <w:kern w:val="0"/>
                <w:szCs w:val="21"/>
              </w:rPr>
            </w:pPr>
            <w:r>
              <w:rPr>
                <w:color w:val="000000"/>
                <w:kern w:val="0"/>
                <w:szCs w:val="21"/>
              </w:rPr>
              <w:t>1</w:t>
            </w:r>
          </w:p>
        </w:tc>
        <w:tc>
          <w:tcPr>
            <w:tcW w:w="851" w:type="dxa"/>
            <w:shd w:val="clear" w:color="auto" w:fill="auto"/>
            <w:vAlign w:val="center"/>
          </w:tcPr>
          <w:p w14:paraId="26A597AB">
            <w:pPr>
              <w:jc w:val="center"/>
              <w:rPr>
                <w:color w:val="000000"/>
                <w:kern w:val="0"/>
                <w:szCs w:val="21"/>
              </w:rPr>
            </w:pPr>
            <w:r>
              <w:rPr>
                <w:color w:val="000000"/>
                <w:kern w:val="0"/>
                <w:szCs w:val="21"/>
              </w:rPr>
              <w:t>3.5（东）</w:t>
            </w:r>
          </w:p>
        </w:tc>
        <w:tc>
          <w:tcPr>
            <w:tcW w:w="890" w:type="dxa"/>
            <w:shd w:val="clear" w:color="auto" w:fill="auto"/>
            <w:vAlign w:val="center"/>
          </w:tcPr>
          <w:p w14:paraId="39B85556">
            <w:pPr>
              <w:jc w:val="center"/>
              <w:rPr>
                <w:color w:val="000000"/>
                <w:kern w:val="0"/>
                <w:szCs w:val="21"/>
              </w:rPr>
            </w:pPr>
            <w:r>
              <w:rPr>
                <w:color w:val="000000"/>
                <w:kern w:val="0"/>
                <w:szCs w:val="21"/>
              </w:rPr>
              <w:t>60</w:t>
            </w:r>
          </w:p>
        </w:tc>
        <w:tc>
          <w:tcPr>
            <w:tcW w:w="669" w:type="dxa"/>
            <w:vMerge w:val="continue"/>
            <w:vAlign w:val="center"/>
          </w:tcPr>
          <w:p w14:paraId="6FAE9264">
            <w:pPr>
              <w:jc w:val="center"/>
              <w:rPr>
                <w:rFonts w:ascii="宋体" w:hAnsi="宋体" w:cs="宋体"/>
                <w:color w:val="000000"/>
                <w:kern w:val="0"/>
                <w:szCs w:val="21"/>
              </w:rPr>
            </w:pPr>
          </w:p>
        </w:tc>
        <w:tc>
          <w:tcPr>
            <w:tcW w:w="851" w:type="dxa"/>
            <w:shd w:val="clear" w:color="auto" w:fill="auto"/>
            <w:vAlign w:val="center"/>
          </w:tcPr>
          <w:p w14:paraId="1732F17A">
            <w:pPr>
              <w:jc w:val="center"/>
              <w:rPr>
                <w:color w:val="000000"/>
                <w:kern w:val="0"/>
                <w:szCs w:val="21"/>
              </w:rPr>
            </w:pPr>
            <w:r>
              <w:rPr>
                <w:color w:val="000000"/>
                <w:kern w:val="0"/>
                <w:szCs w:val="21"/>
              </w:rPr>
              <w:t>15</w:t>
            </w:r>
          </w:p>
        </w:tc>
        <w:tc>
          <w:tcPr>
            <w:tcW w:w="850" w:type="dxa"/>
            <w:shd w:val="clear" w:color="auto" w:fill="auto"/>
            <w:vAlign w:val="center"/>
          </w:tcPr>
          <w:p w14:paraId="1866A592">
            <w:pPr>
              <w:jc w:val="center"/>
              <w:rPr>
                <w:color w:val="000000"/>
                <w:kern w:val="0"/>
                <w:szCs w:val="21"/>
              </w:rPr>
            </w:pPr>
            <w:r>
              <w:rPr>
                <w:color w:val="000000"/>
                <w:kern w:val="0"/>
                <w:szCs w:val="21"/>
              </w:rPr>
              <w:t>45</w:t>
            </w:r>
          </w:p>
        </w:tc>
        <w:tc>
          <w:tcPr>
            <w:tcW w:w="770" w:type="dxa"/>
            <w:shd w:val="clear" w:color="auto" w:fill="auto"/>
            <w:vAlign w:val="center"/>
          </w:tcPr>
          <w:p w14:paraId="34EA9A1F">
            <w:pPr>
              <w:jc w:val="center"/>
              <w:rPr>
                <w:color w:val="000000"/>
                <w:kern w:val="0"/>
                <w:szCs w:val="21"/>
              </w:rPr>
            </w:pPr>
            <w:r>
              <w:rPr>
                <w:color w:val="000000"/>
                <w:kern w:val="0"/>
                <w:szCs w:val="21"/>
              </w:rPr>
              <w:t>1</w:t>
            </w:r>
          </w:p>
        </w:tc>
      </w:tr>
      <w:tr w14:paraId="5DD71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948" w:type="dxa"/>
            <w:gridSpan w:val="14"/>
            <w:shd w:val="clear" w:color="auto" w:fill="auto"/>
            <w:noWrap/>
            <w:vAlign w:val="center"/>
          </w:tcPr>
          <w:p w14:paraId="2DA99573">
            <w:pPr>
              <w:jc w:val="center"/>
              <w:rPr>
                <w:rFonts w:ascii="宋体" w:hAnsi="宋体" w:cs="宋体"/>
                <w:b/>
                <w:color w:val="000000"/>
                <w:kern w:val="0"/>
                <w:sz w:val="22"/>
                <w:szCs w:val="22"/>
              </w:rPr>
            </w:pPr>
            <w:r>
              <w:rPr>
                <w:rFonts w:hint="eastAsia" w:ascii="宋体" w:hAnsi="宋体" w:cs="宋体"/>
                <w:b/>
                <w:color w:val="000000"/>
                <w:kern w:val="0"/>
                <w:sz w:val="22"/>
                <w:szCs w:val="22"/>
              </w:rPr>
              <w:t>始宁养殖场区</w:t>
            </w:r>
          </w:p>
        </w:tc>
      </w:tr>
      <w:tr w14:paraId="4AA5E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0CAC5F1">
            <w:pPr>
              <w:jc w:val="center"/>
              <w:rPr>
                <w:color w:val="000000"/>
                <w:kern w:val="0"/>
                <w:szCs w:val="21"/>
              </w:rPr>
            </w:pPr>
            <w:r>
              <w:rPr>
                <w:color w:val="000000"/>
                <w:kern w:val="0"/>
                <w:szCs w:val="21"/>
              </w:rPr>
              <w:t>1</w:t>
            </w:r>
          </w:p>
        </w:tc>
        <w:tc>
          <w:tcPr>
            <w:tcW w:w="1292" w:type="dxa"/>
            <w:shd w:val="clear" w:color="auto" w:fill="auto"/>
            <w:noWrap/>
            <w:vAlign w:val="center"/>
          </w:tcPr>
          <w:p w14:paraId="1E185F7B">
            <w:pPr>
              <w:jc w:val="center"/>
              <w:rPr>
                <w:rFonts w:ascii="宋体" w:hAnsi="宋体" w:cs="宋体"/>
                <w:color w:val="000000"/>
                <w:kern w:val="0"/>
                <w:sz w:val="22"/>
                <w:szCs w:val="22"/>
              </w:rPr>
            </w:pPr>
            <w:r>
              <w:rPr>
                <w:rFonts w:hint="eastAsia" w:ascii="宋体" w:hAnsi="宋体" w:cs="宋体"/>
                <w:color w:val="000000"/>
                <w:kern w:val="0"/>
                <w:sz w:val="22"/>
                <w:szCs w:val="22"/>
              </w:rPr>
              <w:t>始宁牛舍#1</w:t>
            </w:r>
          </w:p>
        </w:tc>
        <w:tc>
          <w:tcPr>
            <w:tcW w:w="851" w:type="dxa"/>
            <w:vMerge w:val="restart"/>
            <w:shd w:val="clear" w:color="auto" w:fill="auto"/>
            <w:noWrap/>
            <w:vAlign w:val="center"/>
          </w:tcPr>
          <w:p w14:paraId="2813BC9D">
            <w:pPr>
              <w:jc w:val="center"/>
              <w:rPr>
                <w:rFonts w:ascii="宋体" w:hAnsi="宋体" w:cs="宋体"/>
                <w:color w:val="000000"/>
                <w:kern w:val="0"/>
                <w:sz w:val="22"/>
                <w:szCs w:val="22"/>
              </w:rPr>
            </w:pPr>
            <w:r>
              <w:rPr>
                <w:rFonts w:hint="eastAsia" w:ascii="宋体" w:hAnsi="宋体" w:cs="宋体"/>
                <w:color w:val="000000"/>
                <w:kern w:val="0"/>
                <w:sz w:val="22"/>
                <w:szCs w:val="22"/>
              </w:rPr>
              <w:t>牛叫</w:t>
            </w:r>
          </w:p>
        </w:tc>
        <w:tc>
          <w:tcPr>
            <w:tcW w:w="1984" w:type="dxa"/>
            <w:vMerge w:val="restart"/>
            <w:shd w:val="clear" w:color="auto" w:fill="auto"/>
            <w:noWrap/>
            <w:vAlign w:val="center"/>
          </w:tcPr>
          <w:p w14:paraId="18379F17">
            <w:pPr>
              <w:jc w:val="center"/>
              <w:rPr>
                <w:rFonts w:ascii="宋体" w:hAnsi="宋体" w:cs="宋体"/>
                <w:color w:val="000000"/>
                <w:kern w:val="0"/>
                <w:sz w:val="22"/>
                <w:szCs w:val="22"/>
              </w:rPr>
            </w:pPr>
            <w:r>
              <w:rPr>
                <w:rFonts w:hint="eastAsia" w:ascii="宋体" w:hAnsi="宋体" w:cs="宋体"/>
                <w:color w:val="000000"/>
                <w:kern w:val="0"/>
                <w:sz w:val="22"/>
                <w:szCs w:val="22"/>
              </w:rPr>
              <w:t>70</w:t>
            </w:r>
          </w:p>
        </w:tc>
        <w:tc>
          <w:tcPr>
            <w:tcW w:w="1560" w:type="dxa"/>
            <w:vMerge w:val="restart"/>
            <w:shd w:val="clear" w:color="auto" w:fill="auto"/>
            <w:noWrap/>
            <w:vAlign w:val="center"/>
          </w:tcPr>
          <w:p w14:paraId="28DEF6D8">
            <w:pPr>
              <w:jc w:val="center"/>
              <w:rPr>
                <w:rFonts w:ascii="宋体" w:hAnsi="宋体" w:cs="宋体"/>
                <w:color w:val="000000"/>
                <w:kern w:val="0"/>
                <w:sz w:val="22"/>
                <w:szCs w:val="22"/>
              </w:rPr>
            </w:pPr>
            <w:r>
              <w:rPr>
                <w:rFonts w:hint="eastAsia" w:ascii="宋体" w:hAnsi="宋体" w:cs="宋体"/>
                <w:color w:val="000000"/>
                <w:kern w:val="0"/>
                <w:sz w:val="22"/>
                <w:szCs w:val="22"/>
              </w:rPr>
              <w:t>绿化隔声、扰减动少、加强管理</w:t>
            </w:r>
          </w:p>
        </w:tc>
        <w:tc>
          <w:tcPr>
            <w:tcW w:w="1134" w:type="dxa"/>
            <w:shd w:val="clear" w:color="auto" w:fill="auto"/>
            <w:noWrap/>
            <w:vAlign w:val="center"/>
          </w:tcPr>
          <w:p w14:paraId="0CB08CDF">
            <w:pPr>
              <w:jc w:val="center"/>
              <w:rPr>
                <w:rFonts w:ascii="宋体" w:hAnsi="宋体" w:cs="宋体"/>
                <w:color w:val="000000"/>
                <w:kern w:val="0"/>
                <w:sz w:val="22"/>
                <w:szCs w:val="22"/>
              </w:rPr>
            </w:pPr>
            <w:r>
              <w:rPr>
                <w:rFonts w:hint="eastAsia" w:ascii="宋体" w:hAnsi="宋体" w:cs="宋体"/>
                <w:color w:val="000000"/>
                <w:kern w:val="0"/>
                <w:sz w:val="22"/>
                <w:szCs w:val="22"/>
              </w:rPr>
              <w:t>93.21</w:t>
            </w:r>
          </w:p>
        </w:tc>
        <w:tc>
          <w:tcPr>
            <w:tcW w:w="992" w:type="dxa"/>
            <w:shd w:val="clear" w:color="auto" w:fill="auto"/>
            <w:noWrap/>
            <w:vAlign w:val="center"/>
          </w:tcPr>
          <w:p w14:paraId="6C18F6AA">
            <w:pPr>
              <w:jc w:val="center"/>
              <w:rPr>
                <w:rFonts w:ascii="宋体" w:hAnsi="宋体" w:cs="宋体"/>
                <w:color w:val="000000"/>
                <w:kern w:val="0"/>
                <w:sz w:val="22"/>
                <w:szCs w:val="22"/>
              </w:rPr>
            </w:pPr>
            <w:r>
              <w:rPr>
                <w:rFonts w:hint="eastAsia" w:ascii="宋体" w:hAnsi="宋体" w:cs="宋体"/>
                <w:color w:val="000000"/>
                <w:kern w:val="0"/>
                <w:sz w:val="22"/>
                <w:szCs w:val="22"/>
              </w:rPr>
              <w:t>-9.1</w:t>
            </w:r>
          </w:p>
        </w:tc>
        <w:tc>
          <w:tcPr>
            <w:tcW w:w="850" w:type="dxa"/>
            <w:shd w:val="clear" w:color="auto" w:fill="auto"/>
            <w:vAlign w:val="center"/>
          </w:tcPr>
          <w:p w14:paraId="14BBC5AE">
            <w:pPr>
              <w:jc w:val="center"/>
              <w:rPr>
                <w:color w:val="000000"/>
                <w:kern w:val="0"/>
                <w:szCs w:val="21"/>
              </w:rPr>
            </w:pPr>
            <w:r>
              <w:rPr>
                <w:color w:val="000000"/>
                <w:kern w:val="0"/>
                <w:szCs w:val="21"/>
              </w:rPr>
              <w:t>1.2</w:t>
            </w:r>
          </w:p>
        </w:tc>
        <w:tc>
          <w:tcPr>
            <w:tcW w:w="851" w:type="dxa"/>
            <w:shd w:val="clear" w:color="auto" w:fill="auto"/>
            <w:vAlign w:val="center"/>
          </w:tcPr>
          <w:p w14:paraId="029B69AC">
            <w:pPr>
              <w:jc w:val="center"/>
              <w:rPr>
                <w:color w:val="000000"/>
                <w:kern w:val="0"/>
                <w:szCs w:val="21"/>
              </w:rPr>
            </w:pPr>
            <w:r>
              <w:rPr>
                <w:color w:val="000000"/>
                <w:kern w:val="0"/>
                <w:szCs w:val="21"/>
              </w:rPr>
              <w:t>/</w:t>
            </w:r>
          </w:p>
        </w:tc>
        <w:tc>
          <w:tcPr>
            <w:tcW w:w="890" w:type="dxa"/>
            <w:shd w:val="clear" w:color="auto" w:fill="auto"/>
            <w:vAlign w:val="center"/>
          </w:tcPr>
          <w:p w14:paraId="1F31AD93">
            <w:pPr>
              <w:jc w:val="center"/>
              <w:rPr>
                <w:color w:val="000000"/>
                <w:kern w:val="0"/>
                <w:szCs w:val="21"/>
              </w:rPr>
            </w:pPr>
            <w:r>
              <w:rPr>
                <w:color w:val="000000"/>
                <w:kern w:val="0"/>
                <w:szCs w:val="21"/>
              </w:rPr>
              <w:t>60</w:t>
            </w:r>
          </w:p>
        </w:tc>
        <w:tc>
          <w:tcPr>
            <w:tcW w:w="669" w:type="dxa"/>
            <w:vMerge w:val="restart"/>
            <w:shd w:val="clear" w:color="auto" w:fill="auto"/>
            <w:noWrap/>
            <w:vAlign w:val="center"/>
          </w:tcPr>
          <w:p w14:paraId="4FDC9BD2">
            <w:pPr>
              <w:jc w:val="center"/>
              <w:rPr>
                <w:rFonts w:ascii="宋体" w:hAnsi="宋体" w:cs="宋体"/>
                <w:color w:val="000000"/>
                <w:kern w:val="0"/>
                <w:sz w:val="22"/>
                <w:szCs w:val="22"/>
              </w:rPr>
            </w:pPr>
            <w:r>
              <w:rPr>
                <w:rFonts w:hint="eastAsia" w:ascii="宋体" w:hAnsi="宋体" w:cs="宋体"/>
                <w:color w:val="000000"/>
                <w:kern w:val="0"/>
                <w:sz w:val="22"/>
                <w:szCs w:val="22"/>
              </w:rPr>
              <w:t>昼间、夜间</w:t>
            </w:r>
          </w:p>
        </w:tc>
        <w:tc>
          <w:tcPr>
            <w:tcW w:w="851" w:type="dxa"/>
            <w:shd w:val="clear" w:color="auto" w:fill="auto"/>
            <w:vAlign w:val="center"/>
          </w:tcPr>
          <w:p w14:paraId="5D52B9B4">
            <w:pPr>
              <w:jc w:val="center"/>
              <w:rPr>
                <w:color w:val="000000"/>
                <w:kern w:val="0"/>
                <w:szCs w:val="21"/>
              </w:rPr>
            </w:pPr>
            <w:r>
              <w:rPr>
                <w:color w:val="000000"/>
                <w:kern w:val="0"/>
                <w:szCs w:val="21"/>
              </w:rPr>
              <w:t>/</w:t>
            </w:r>
          </w:p>
        </w:tc>
        <w:tc>
          <w:tcPr>
            <w:tcW w:w="850" w:type="dxa"/>
            <w:shd w:val="clear" w:color="auto" w:fill="auto"/>
            <w:vAlign w:val="center"/>
          </w:tcPr>
          <w:p w14:paraId="49AB163E">
            <w:pPr>
              <w:jc w:val="center"/>
              <w:rPr>
                <w:color w:val="000000"/>
                <w:kern w:val="0"/>
                <w:szCs w:val="21"/>
              </w:rPr>
            </w:pPr>
            <w:r>
              <w:rPr>
                <w:color w:val="000000"/>
                <w:kern w:val="0"/>
                <w:szCs w:val="21"/>
              </w:rPr>
              <w:t>60</w:t>
            </w:r>
          </w:p>
        </w:tc>
        <w:tc>
          <w:tcPr>
            <w:tcW w:w="770" w:type="dxa"/>
            <w:shd w:val="clear" w:color="auto" w:fill="auto"/>
            <w:vAlign w:val="center"/>
          </w:tcPr>
          <w:p w14:paraId="438118EC">
            <w:pPr>
              <w:jc w:val="center"/>
              <w:rPr>
                <w:color w:val="000000"/>
                <w:kern w:val="0"/>
                <w:szCs w:val="21"/>
              </w:rPr>
            </w:pPr>
            <w:r>
              <w:rPr>
                <w:color w:val="000000"/>
                <w:kern w:val="0"/>
                <w:szCs w:val="21"/>
              </w:rPr>
              <w:t>1</w:t>
            </w:r>
          </w:p>
        </w:tc>
      </w:tr>
      <w:tr w14:paraId="12D1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A5212AB">
            <w:pPr>
              <w:jc w:val="center"/>
              <w:rPr>
                <w:color w:val="000000"/>
                <w:kern w:val="0"/>
                <w:szCs w:val="21"/>
              </w:rPr>
            </w:pPr>
            <w:r>
              <w:rPr>
                <w:color w:val="000000"/>
                <w:kern w:val="0"/>
                <w:szCs w:val="21"/>
              </w:rPr>
              <w:t>2</w:t>
            </w:r>
          </w:p>
        </w:tc>
        <w:tc>
          <w:tcPr>
            <w:tcW w:w="1292" w:type="dxa"/>
            <w:shd w:val="clear" w:color="auto" w:fill="auto"/>
            <w:noWrap/>
            <w:vAlign w:val="center"/>
          </w:tcPr>
          <w:p w14:paraId="19A315DF">
            <w:pPr>
              <w:jc w:val="center"/>
              <w:rPr>
                <w:rFonts w:ascii="宋体" w:hAnsi="宋体" w:cs="宋体"/>
                <w:color w:val="000000"/>
                <w:kern w:val="0"/>
                <w:sz w:val="22"/>
                <w:szCs w:val="22"/>
              </w:rPr>
            </w:pPr>
            <w:r>
              <w:rPr>
                <w:rFonts w:hint="eastAsia" w:ascii="宋体" w:hAnsi="宋体" w:cs="宋体"/>
                <w:color w:val="000000"/>
                <w:kern w:val="0"/>
                <w:sz w:val="22"/>
                <w:szCs w:val="22"/>
              </w:rPr>
              <w:t>始宁牛舍#2</w:t>
            </w:r>
          </w:p>
        </w:tc>
        <w:tc>
          <w:tcPr>
            <w:tcW w:w="851" w:type="dxa"/>
            <w:vMerge w:val="continue"/>
            <w:vAlign w:val="center"/>
          </w:tcPr>
          <w:p w14:paraId="208AC722">
            <w:pPr>
              <w:jc w:val="center"/>
              <w:rPr>
                <w:rFonts w:ascii="宋体" w:hAnsi="宋体" w:cs="宋体"/>
                <w:color w:val="000000"/>
                <w:kern w:val="0"/>
                <w:sz w:val="22"/>
                <w:szCs w:val="22"/>
              </w:rPr>
            </w:pPr>
          </w:p>
        </w:tc>
        <w:tc>
          <w:tcPr>
            <w:tcW w:w="1984" w:type="dxa"/>
            <w:vMerge w:val="continue"/>
            <w:vAlign w:val="center"/>
          </w:tcPr>
          <w:p w14:paraId="070622E5">
            <w:pPr>
              <w:jc w:val="center"/>
              <w:rPr>
                <w:rFonts w:ascii="宋体" w:hAnsi="宋体" w:cs="宋体"/>
                <w:color w:val="000000"/>
                <w:kern w:val="0"/>
                <w:sz w:val="22"/>
                <w:szCs w:val="22"/>
              </w:rPr>
            </w:pPr>
          </w:p>
        </w:tc>
        <w:tc>
          <w:tcPr>
            <w:tcW w:w="1560" w:type="dxa"/>
            <w:vMerge w:val="continue"/>
            <w:vAlign w:val="center"/>
          </w:tcPr>
          <w:p w14:paraId="11755FDF">
            <w:pPr>
              <w:jc w:val="center"/>
              <w:rPr>
                <w:rFonts w:ascii="宋体" w:hAnsi="宋体" w:cs="宋体"/>
                <w:color w:val="000000"/>
                <w:kern w:val="0"/>
                <w:sz w:val="22"/>
                <w:szCs w:val="22"/>
              </w:rPr>
            </w:pPr>
          </w:p>
        </w:tc>
        <w:tc>
          <w:tcPr>
            <w:tcW w:w="1134" w:type="dxa"/>
            <w:shd w:val="clear" w:color="auto" w:fill="auto"/>
            <w:noWrap/>
            <w:vAlign w:val="center"/>
          </w:tcPr>
          <w:p w14:paraId="5EEB95B9">
            <w:pPr>
              <w:jc w:val="center"/>
              <w:rPr>
                <w:rFonts w:ascii="宋体" w:hAnsi="宋体" w:cs="宋体"/>
                <w:color w:val="000000"/>
                <w:kern w:val="0"/>
                <w:sz w:val="22"/>
                <w:szCs w:val="22"/>
              </w:rPr>
            </w:pPr>
            <w:r>
              <w:rPr>
                <w:rFonts w:hint="eastAsia" w:ascii="宋体" w:hAnsi="宋体" w:cs="宋体"/>
                <w:color w:val="000000"/>
                <w:kern w:val="0"/>
                <w:sz w:val="22"/>
                <w:szCs w:val="22"/>
              </w:rPr>
              <w:t>116.58</w:t>
            </w:r>
          </w:p>
        </w:tc>
        <w:tc>
          <w:tcPr>
            <w:tcW w:w="992" w:type="dxa"/>
            <w:shd w:val="clear" w:color="auto" w:fill="auto"/>
            <w:noWrap/>
            <w:vAlign w:val="center"/>
          </w:tcPr>
          <w:p w14:paraId="0EDBBE64">
            <w:pPr>
              <w:jc w:val="center"/>
              <w:rPr>
                <w:rFonts w:ascii="宋体" w:hAnsi="宋体" w:cs="宋体"/>
                <w:color w:val="000000"/>
                <w:kern w:val="0"/>
                <w:sz w:val="22"/>
                <w:szCs w:val="22"/>
              </w:rPr>
            </w:pPr>
            <w:r>
              <w:rPr>
                <w:rFonts w:hint="eastAsia" w:ascii="宋体" w:hAnsi="宋体" w:cs="宋体"/>
                <w:color w:val="000000"/>
                <w:kern w:val="0"/>
                <w:sz w:val="22"/>
                <w:szCs w:val="22"/>
              </w:rPr>
              <w:t>39.98</w:t>
            </w:r>
          </w:p>
        </w:tc>
        <w:tc>
          <w:tcPr>
            <w:tcW w:w="850" w:type="dxa"/>
            <w:shd w:val="clear" w:color="auto" w:fill="auto"/>
            <w:vAlign w:val="center"/>
          </w:tcPr>
          <w:p w14:paraId="1F23B030">
            <w:pPr>
              <w:jc w:val="center"/>
              <w:rPr>
                <w:color w:val="000000"/>
                <w:kern w:val="0"/>
                <w:szCs w:val="21"/>
              </w:rPr>
            </w:pPr>
            <w:r>
              <w:rPr>
                <w:color w:val="000000"/>
                <w:kern w:val="0"/>
                <w:szCs w:val="21"/>
              </w:rPr>
              <w:t>1.2</w:t>
            </w:r>
          </w:p>
        </w:tc>
        <w:tc>
          <w:tcPr>
            <w:tcW w:w="851" w:type="dxa"/>
            <w:shd w:val="clear" w:color="auto" w:fill="auto"/>
            <w:vAlign w:val="center"/>
          </w:tcPr>
          <w:p w14:paraId="372ADB35">
            <w:pPr>
              <w:jc w:val="center"/>
              <w:rPr>
                <w:color w:val="000000"/>
                <w:kern w:val="0"/>
                <w:szCs w:val="21"/>
              </w:rPr>
            </w:pPr>
            <w:r>
              <w:rPr>
                <w:color w:val="000000"/>
                <w:kern w:val="0"/>
                <w:szCs w:val="21"/>
              </w:rPr>
              <w:t>/</w:t>
            </w:r>
          </w:p>
        </w:tc>
        <w:tc>
          <w:tcPr>
            <w:tcW w:w="890" w:type="dxa"/>
            <w:shd w:val="clear" w:color="auto" w:fill="auto"/>
            <w:vAlign w:val="center"/>
          </w:tcPr>
          <w:p w14:paraId="02285BD2">
            <w:pPr>
              <w:jc w:val="center"/>
              <w:rPr>
                <w:color w:val="000000"/>
                <w:kern w:val="0"/>
                <w:szCs w:val="21"/>
              </w:rPr>
            </w:pPr>
            <w:r>
              <w:rPr>
                <w:color w:val="000000"/>
                <w:kern w:val="0"/>
                <w:szCs w:val="21"/>
              </w:rPr>
              <w:t>60</w:t>
            </w:r>
          </w:p>
        </w:tc>
        <w:tc>
          <w:tcPr>
            <w:tcW w:w="669" w:type="dxa"/>
            <w:vMerge w:val="continue"/>
            <w:vAlign w:val="center"/>
          </w:tcPr>
          <w:p w14:paraId="6157396A">
            <w:pPr>
              <w:jc w:val="center"/>
              <w:rPr>
                <w:rFonts w:ascii="宋体" w:hAnsi="宋体" w:cs="宋体"/>
                <w:color w:val="000000"/>
                <w:kern w:val="0"/>
                <w:sz w:val="22"/>
                <w:szCs w:val="22"/>
              </w:rPr>
            </w:pPr>
          </w:p>
        </w:tc>
        <w:tc>
          <w:tcPr>
            <w:tcW w:w="851" w:type="dxa"/>
            <w:shd w:val="clear" w:color="auto" w:fill="auto"/>
            <w:vAlign w:val="center"/>
          </w:tcPr>
          <w:p w14:paraId="6A428534">
            <w:pPr>
              <w:jc w:val="center"/>
              <w:rPr>
                <w:color w:val="000000"/>
                <w:kern w:val="0"/>
                <w:szCs w:val="21"/>
              </w:rPr>
            </w:pPr>
            <w:r>
              <w:rPr>
                <w:color w:val="000000"/>
                <w:kern w:val="0"/>
                <w:szCs w:val="21"/>
              </w:rPr>
              <w:t>/</w:t>
            </w:r>
          </w:p>
        </w:tc>
        <w:tc>
          <w:tcPr>
            <w:tcW w:w="850" w:type="dxa"/>
            <w:shd w:val="clear" w:color="auto" w:fill="auto"/>
            <w:vAlign w:val="center"/>
          </w:tcPr>
          <w:p w14:paraId="14FD09BD">
            <w:pPr>
              <w:jc w:val="center"/>
              <w:rPr>
                <w:color w:val="000000"/>
                <w:kern w:val="0"/>
                <w:szCs w:val="21"/>
              </w:rPr>
            </w:pPr>
            <w:r>
              <w:rPr>
                <w:color w:val="000000"/>
                <w:kern w:val="0"/>
                <w:szCs w:val="21"/>
              </w:rPr>
              <w:t>60</w:t>
            </w:r>
          </w:p>
        </w:tc>
        <w:tc>
          <w:tcPr>
            <w:tcW w:w="770" w:type="dxa"/>
            <w:shd w:val="clear" w:color="auto" w:fill="auto"/>
            <w:vAlign w:val="center"/>
          </w:tcPr>
          <w:p w14:paraId="4A6B5613">
            <w:pPr>
              <w:jc w:val="center"/>
              <w:rPr>
                <w:color w:val="000000"/>
                <w:kern w:val="0"/>
                <w:szCs w:val="21"/>
              </w:rPr>
            </w:pPr>
            <w:r>
              <w:rPr>
                <w:color w:val="000000"/>
                <w:kern w:val="0"/>
                <w:szCs w:val="21"/>
              </w:rPr>
              <w:t>1</w:t>
            </w:r>
          </w:p>
        </w:tc>
      </w:tr>
      <w:tr w14:paraId="1E8F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CD0C665">
            <w:pPr>
              <w:jc w:val="center"/>
              <w:rPr>
                <w:color w:val="000000"/>
                <w:kern w:val="0"/>
                <w:szCs w:val="21"/>
              </w:rPr>
            </w:pPr>
            <w:r>
              <w:rPr>
                <w:color w:val="000000"/>
                <w:kern w:val="0"/>
                <w:szCs w:val="21"/>
              </w:rPr>
              <w:t>3</w:t>
            </w:r>
          </w:p>
        </w:tc>
        <w:tc>
          <w:tcPr>
            <w:tcW w:w="1292" w:type="dxa"/>
            <w:shd w:val="clear" w:color="auto" w:fill="auto"/>
            <w:noWrap/>
            <w:vAlign w:val="center"/>
          </w:tcPr>
          <w:p w14:paraId="1057C8E4">
            <w:pPr>
              <w:jc w:val="center"/>
              <w:rPr>
                <w:rFonts w:ascii="宋体" w:hAnsi="宋体" w:cs="宋体"/>
                <w:color w:val="000000"/>
                <w:kern w:val="0"/>
                <w:sz w:val="22"/>
                <w:szCs w:val="22"/>
              </w:rPr>
            </w:pPr>
            <w:r>
              <w:rPr>
                <w:rFonts w:hint="eastAsia" w:ascii="宋体" w:hAnsi="宋体" w:cs="宋体"/>
                <w:color w:val="000000"/>
                <w:kern w:val="0"/>
                <w:sz w:val="22"/>
                <w:szCs w:val="22"/>
              </w:rPr>
              <w:t>始宁牛舍#3</w:t>
            </w:r>
          </w:p>
        </w:tc>
        <w:tc>
          <w:tcPr>
            <w:tcW w:w="851" w:type="dxa"/>
            <w:vMerge w:val="continue"/>
            <w:vAlign w:val="center"/>
          </w:tcPr>
          <w:p w14:paraId="12C28F26">
            <w:pPr>
              <w:jc w:val="center"/>
              <w:rPr>
                <w:rFonts w:ascii="宋体" w:hAnsi="宋体" w:cs="宋体"/>
                <w:color w:val="000000"/>
                <w:kern w:val="0"/>
                <w:sz w:val="22"/>
                <w:szCs w:val="22"/>
              </w:rPr>
            </w:pPr>
          </w:p>
        </w:tc>
        <w:tc>
          <w:tcPr>
            <w:tcW w:w="1984" w:type="dxa"/>
            <w:vMerge w:val="continue"/>
            <w:vAlign w:val="center"/>
          </w:tcPr>
          <w:p w14:paraId="4CFA60BF">
            <w:pPr>
              <w:jc w:val="center"/>
              <w:rPr>
                <w:rFonts w:ascii="宋体" w:hAnsi="宋体" w:cs="宋体"/>
                <w:color w:val="000000"/>
                <w:kern w:val="0"/>
                <w:sz w:val="22"/>
                <w:szCs w:val="22"/>
              </w:rPr>
            </w:pPr>
          </w:p>
        </w:tc>
        <w:tc>
          <w:tcPr>
            <w:tcW w:w="1560" w:type="dxa"/>
            <w:vMerge w:val="continue"/>
            <w:vAlign w:val="center"/>
          </w:tcPr>
          <w:p w14:paraId="3C5E6537">
            <w:pPr>
              <w:jc w:val="center"/>
              <w:rPr>
                <w:rFonts w:ascii="宋体" w:hAnsi="宋体" w:cs="宋体"/>
                <w:color w:val="000000"/>
                <w:kern w:val="0"/>
                <w:sz w:val="22"/>
                <w:szCs w:val="22"/>
              </w:rPr>
            </w:pPr>
          </w:p>
        </w:tc>
        <w:tc>
          <w:tcPr>
            <w:tcW w:w="1134" w:type="dxa"/>
            <w:shd w:val="clear" w:color="auto" w:fill="auto"/>
            <w:noWrap/>
            <w:vAlign w:val="center"/>
          </w:tcPr>
          <w:p w14:paraId="0C5DC30E">
            <w:pPr>
              <w:jc w:val="center"/>
              <w:rPr>
                <w:rFonts w:ascii="宋体" w:hAnsi="宋体" w:cs="宋体"/>
                <w:color w:val="000000"/>
                <w:kern w:val="0"/>
                <w:sz w:val="22"/>
                <w:szCs w:val="22"/>
              </w:rPr>
            </w:pPr>
            <w:r>
              <w:rPr>
                <w:rFonts w:hint="eastAsia" w:ascii="宋体" w:hAnsi="宋体" w:cs="宋体"/>
                <w:color w:val="000000"/>
                <w:kern w:val="0"/>
                <w:sz w:val="22"/>
                <w:szCs w:val="22"/>
              </w:rPr>
              <w:t>146.18</w:t>
            </w:r>
          </w:p>
        </w:tc>
        <w:tc>
          <w:tcPr>
            <w:tcW w:w="992" w:type="dxa"/>
            <w:shd w:val="clear" w:color="auto" w:fill="auto"/>
            <w:noWrap/>
            <w:vAlign w:val="center"/>
          </w:tcPr>
          <w:p w14:paraId="04109BEC">
            <w:pPr>
              <w:jc w:val="center"/>
              <w:rPr>
                <w:rFonts w:ascii="宋体" w:hAnsi="宋体" w:cs="宋体"/>
                <w:color w:val="000000"/>
                <w:kern w:val="0"/>
                <w:sz w:val="22"/>
                <w:szCs w:val="22"/>
              </w:rPr>
            </w:pPr>
            <w:r>
              <w:rPr>
                <w:rFonts w:hint="eastAsia" w:ascii="宋体" w:hAnsi="宋体" w:cs="宋体"/>
                <w:color w:val="000000"/>
                <w:kern w:val="0"/>
                <w:sz w:val="22"/>
                <w:szCs w:val="22"/>
              </w:rPr>
              <w:t>92.17</w:t>
            </w:r>
          </w:p>
        </w:tc>
        <w:tc>
          <w:tcPr>
            <w:tcW w:w="850" w:type="dxa"/>
            <w:shd w:val="clear" w:color="auto" w:fill="auto"/>
            <w:vAlign w:val="center"/>
          </w:tcPr>
          <w:p w14:paraId="0C3A6A2E">
            <w:pPr>
              <w:jc w:val="center"/>
              <w:rPr>
                <w:color w:val="000000"/>
                <w:kern w:val="0"/>
                <w:szCs w:val="21"/>
              </w:rPr>
            </w:pPr>
            <w:r>
              <w:rPr>
                <w:color w:val="000000"/>
                <w:kern w:val="0"/>
                <w:szCs w:val="21"/>
              </w:rPr>
              <w:t>1.2</w:t>
            </w:r>
          </w:p>
        </w:tc>
        <w:tc>
          <w:tcPr>
            <w:tcW w:w="851" w:type="dxa"/>
            <w:shd w:val="clear" w:color="auto" w:fill="auto"/>
            <w:vAlign w:val="center"/>
          </w:tcPr>
          <w:p w14:paraId="38081817">
            <w:pPr>
              <w:jc w:val="center"/>
              <w:rPr>
                <w:color w:val="000000"/>
                <w:kern w:val="0"/>
                <w:szCs w:val="21"/>
              </w:rPr>
            </w:pPr>
            <w:r>
              <w:rPr>
                <w:color w:val="000000"/>
                <w:kern w:val="0"/>
                <w:szCs w:val="21"/>
              </w:rPr>
              <w:t>/</w:t>
            </w:r>
          </w:p>
        </w:tc>
        <w:tc>
          <w:tcPr>
            <w:tcW w:w="890" w:type="dxa"/>
            <w:shd w:val="clear" w:color="auto" w:fill="auto"/>
            <w:vAlign w:val="center"/>
          </w:tcPr>
          <w:p w14:paraId="2990F8BB">
            <w:pPr>
              <w:jc w:val="center"/>
              <w:rPr>
                <w:color w:val="000000"/>
                <w:kern w:val="0"/>
                <w:szCs w:val="21"/>
              </w:rPr>
            </w:pPr>
            <w:r>
              <w:rPr>
                <w:color w:val="000000"/>
                <w:kern w:val="0"/>
                <w:szCs w:val="21"/>
              </w:rPr>
              <w:t>60</w:t>
            </w:r>
          </w:p>
        </w:tc>
        <w:tc>
          <w:tcPr>
            <w:tcW w:w="669" w:type="dxa"/>
            <w:vMerge w:val="continue"/>
            <w:vAlign w:val="center"/>
          </w:tcPr>
          <w:p w14:paraId="39A2F7A0">
            <w:pPr>
              <w:jc w:val="center"/>
              <w:rPr>
                <w:rFonts w:ascii="宋体" w:hAnsi="宋体" w:cs="宋体"/>
                <w:color w:val="000000"/>
                <w:kern w:val="0"/>
                <w:sz w:val="22"/>
                <w:szCs w:val="22"/>
              </w:rPr>
            </w:pPr>
          </w:p>
        </w:tc>
        <w:tc>
          <w:tcPr>
            <w:tcW w:w="851" w:type="dxa"/>
            <w:shd w:val="clear" w:color="auto" w:fill="auto"/>
            <w:vAlign w:val="center"/>
          </w:tcPr>
          <w:p w14:paraId="3C0278DC">
            <w:pPr>
              <w:jc w:val="center"/>
              <w:rPr>
                <w:color w:val="000000"/>
                <w:kern w:val="0"/>
                <w:szCs w:val="21"/>
              </w:rPr>
            </w:pPr>
            <w:r>
              <w:rPr>
                <w:color w:val="000000"/>
                <w:kern w:val="0"/>
                <w:szCs w:val="21"/>
              </w:rPr>
              <w:t>/</w:t>
            </w:r>
          </w:p>
        </w:tc>
        <w:tc>
          <w:tcPr>
            <w:tcW w:w="850" w:type="dxa"/>
            <w:shd w:val="clear" w:color="auto" w:fill="auto"/>
            <w:vAlign w:val="center"/>
          </w:tcPr>
          <w:p w14:paraId="45E3718E">
            <w:pPr>
              <w:jc w:val="center"/>
              <w:rPr>
                <w:color w:val="000000"/>
                <w:kern w:val="0"/>
                <w:szCs w:val="21"/>
              </w:rPr>
            </w:pPr>
            <w:r>
              <w:rPr>
                <w:color w:val="000000"/>
                <w:kern w:val="0"/>
                <w:szCs w:val="21"/>
              </w:rPr>
              <w:t>60</w:t>
            </w:r>
          </w:p>
        </w:tc>
        <w:tc>
          <w:tcPr>
            <w:tcW w:w="770" w:type="dxa"/>
            <w:shd w:val="clear" w:color="auto" w:fill="auto"/>
            <w:vAlign w:val="center"/>
          </w:tcPr>
          <w:p w14:paraId="41882210">
            <w:pPr>
              <w:jc w:val="center"/>
              <w:rPr>
                <w:color w:val="000000"/>
                <w:kern w:val="0"/>
                <w:szCs w:val="21"/>
              </w:rPr>
            </w:pPr>
            <w:r>
              <w:rPr>
                <w:color w:val="000000"/>
                <w:kern w:val="0"/>
                <w:szCs w:val="21"/>
              </w:rPr>
              <w:t>1</w:t>
            </w:r>
          </w:p>
        </w:tc>
      </w:tr>
      <w:tr w14:paraId="49B7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04F83980">
            <w:pPr>
              <w:jc w:val="center"/>
              <w:rPr>
                <w:color w:val="000000"/>
                <w:kern w:val="0"/>
                <w:szCs w:val="21"/>
              </w:rPr>
            </w:pPr>
            <w:r>
              <w:rPr>
                <w:color w:val="000000"/>
                <w:kern w:val="0"/>
                <w:szCs w:val="21"/>
              </w:rPr>
              <w:t>4</w:t>
            </w:r>
          </w:p>
        </w:tc>
        <w:tc>
          <w:tcPr>
            <w:tcW w:w="1292" w:type="dxa"/>
            <w:shd w:val="clear" w:color="auto" w:fill="auto"/>
            <w:noWrap/>
            <w:vAlign w:val="center"/>
          </w:tcPr>
          <w:p w14:paraId="41C29A46">
            <w:pPr>
              <w:jc w:val="center"/>
              <w:rPr>
                <w:rFonts w:ascii="宋体" w:hAnsi="宋体" w:cs="宋体"/>
                <w:color w:val="000000"/>
                <w:kern w:val="0"/>
                <w:sz w:val="22"/>
                <w:szCs w:val="22"/>
              </w:rPr>
            </w:pPr>
            <w:r>
              <w:rPr>
                <w:rFonts w:hint="eastAsia" w:ascii="宋体" w:hAnsi="宋体" w:cs="宋体"/>
                <w:color w:val="000000"/>
                <w:kern w:val="0"/>
                <w:sz w:val="22"/>
                <w:szCs w:val="22"/>
              </w:rPr>
              <w:t>始宁牛舍#4</w:t>
            </w:r>
          </w:p>
        </w:tc>
        <w:tc>
          <w:tcPr>
            <w:tcW w:w="851" w:type="dxa"/>
            <w:vMerge w:val="continue"/>
            <w:vAlign w:val="center"/>
          </w:tcPr>
          <w:p w14:paraId="61A540CD">
            <w:pPr>
              <w:jc w:val="center"/>
              <w:rPr>
                <w:rFonts w:ascii="宋体" w:hAnsi="宋体" w:cs="宋体"/>
                <w:color w:val="000000"/>
                <w:kern w:val="0"/>
                <w:sz w:val="22"/>
                <w:szCs w:val="22"/>
              </w:rPr>
            </w:pPr>
          </w:p>
        </w:tc>
        <w:tc>
          <w:tcPr>
            <w:tcW w:w="1984" w:type="dxa"/>
            <w:vMerge w:val="continue"/>
            <w:vAlign w:val="center"/>
          </w:tcPr>
          <w:p w14:paraId="1BB3DC5B">
            <w:pPr>
              <w:jc w:val="center"/>
              <w:rPr>
                <w:rFonts w:ascii="宋体" w:hAnsi="宋体" w:cs="宋体"/>
                <w:color w:val="000000"/>
                <w:kern w:val="0"/>
                <w:sz w:val="22"/>
                <w:szCs w:val="22"/>
              </w:rPr>
            </w:pPr>
          </w:p>
        </w:tc>
        <w:tc>
          <w:tcPr>
            <w:tcW w:w="1560" w:type="dxa"/>
            <w:vMerge w:val="continue"/>
            <w:vAlign w:val="center"/>
          </w:tcPr>
          <w:p w14:paraId="5E194767">
            <w:pPr>
              <w:jc w:val="center"/>
              <w:rPr>
                <w:rFonts w:ascii="宋体" w:hAnsi="宋体" w:cs="宋体"/>
                <w:color w:val="000000"/>
                <w:kern w:val="0"/>
                <w:sz w:val="22"/>
                <w:szCs w:val="22"/>
              </w:rPr>
            </w:pPr>
          </w:p>
        </w:tc>
        <w:tc>
          <w:tcPr>
            <w:tcW w:w="1134" w:type="dxa"/>
            <w:shd w:val="clear" w:color="auto" w:fill="auto"/>
            <w:noWrap/>
            <w:vAlign w:val="center"/>
          </w:tcPr>
          <w:p w14:paraId="0AD52B0A">
            <w:pPr>
              <w:jc w:val="center"/>
              <w:rPr>
                <w:rFonts w:ascii="宋体" w:hAnsi="宋体" w:cs="宋体"/>
                <w:color w:val="000000"/>
                <w:kern w:val="0"/>
                <w:sz w:val="22"/>
                <w:szCs w:val="22"/>
              </w:rPr>
            </w:pPr>
            <w:r>
              <w:rPr>
                <w:rFonts w:hint="eastAsia" w:ascii="宋体" w:hAnsi="宋体" w:cs="宋体"/>
                <w:color w:val="000000"/>
                <w:kern w:val="0"/>
                <w:sz w:val="22"/>
                <w:szCs w:val="22"/>
              </w:rPr>
              <w:t>179.68</w:t>
            </w:r>
          </w:p>
        </w:tc>
        <w:tc>
          <w:tcPr>
            <w:tcW w:w="992" w:type="dxa"/>
            <w:shd w:val="clear" w:color="auto" w:fill="auto"/>
            <w:noWrap/>
            <w:vAlign w:val="center"/>
          </w:tcPr>
          <w:p w14:paraId="2EE0D256">
            <w:pPr>
              <w:jc w:val="center"/>
              <w:rPr>
                <w:rFonts w:ascii="宋体" w:hAnsi="宋体" w:cs="宋体"/>
                <w:color w:val="000000"/>
                <w:kern w:val="0"/>
                <w:sz w:val="22"/>
                <w:szCs w:val="22"/>
              </w:rPr>
            </w:pPr>
            <w:r>
              <w:rPr>
                <w:rFonts w:hint="eastAsia" w:ascii="宋体" w:hAnsi="宋体" w:cs="宋体"/>
                <w:color w:val="000000"/>
                <w:kern w:val="0"/>
                <w:sz w:val="22"/>
                <w:szCs w:val="22"/>
              </w:rPr>
              <w:t>145.14</w:t>
            </w:r>
          </w:p>
        </w:tc>
        <w:tc>
          <w:tcPr>
            <w:tcW w:w="850" w:type="dxa"/>
            <w:shd w:val="clear" w:color="auto" w:fill="auto"/>
            <w:vAlign w:val="center"/>
          </w:tcPr>
          <w:p w14:paraId="01F1ED76">
            <w:pPr>
              <w:jc w:val="center"/>
              <w:rPr>
                <w:color w:val="000000"/>
                <w:kern w:val="0"/>
                <w:szCs w:val="21"/>
              </w:rPr>
            </w:pPr>
            <w:r>
              <w:rPr>
                <w:color w:val="000000"/>
                <w:kern w:val="0"/>
                <w:szCs w:val="21"/>
              </w:rPr>
              <w:t>1.2</w:t>
            </w:r>
          </w:p>
        </w:tc>
        <w:tc>
          <w:tcPr>
            <w:tcW w:w="851" w:type="dxa"/>
            <w:shd w:val="clear" w:color="auto" w:fill="auto"/>
            <w:vAlign w:val="center"/>
          </w:tcPr>
          <w:p w14:paraId="392F6E88">
            <w:pPr>
              <w:jc w:val="center"/>
              <w:rPr>
                <w:color w:val="000000"/>
                <w:kern w:val="0"/>
                <w:szCs w:val="21"/>
              </w:rPr>
            </w:pPr>
            <w:r>
              <w:rPr>
                <w:color w:val="000000"/>
                <w:kern w:val="0"/>
                <w:szCs w:val="21"/>
              </w:rPr>
              <w:t>/</w:t>
            </w:r>
          </w:p>
        </w:tc>
        <w:tc>
          <w:tcPr>
            <w:tcW w:w="890" w:type="dxa"/>
            <w:shd w:val="clear" w:color="auto" w:fill="auto"/>
            <w:vAlign w:val="center"/>
          </w:tcPr>
          <w:p w14:paraId="6BB026C1">
            <w:pPr>
              <w:jc w:val="center"/>
              <w:rPr>
                <w:color w:val="000000"/>
                <w:kern w:val="0"/>
                <w:szCs w:val="21"/>
              </w:rPr>
            </w:pPr>
            <w:r>
              <w:rPr>
                <w:color w:val="000000"/>
                <w:kern w:val="0"/>
                <w:szCs w:val="21"/>
              </w:rPr>
              <w:t>60</w:t>
            </w:r>
          </w:p>
        </w:tc>
        <w:tc>
          <w:tcPr>
            <w:tcW w:w="669" w:type="dxa"/>
            <w:vMerge w:val="continue"/>
            <w:vAlign w:val="center"/>
          </w:tcPr>
          <w:p w14:paraId="5FCBB8AA">
            <w:pPr>
              <w:jc w:val="center"/>
              <w:rPr>
                <w:rFonts w:ascii="宋体" w:hAnsi="宋体" w:cs="宋体"/>
                <w:color w:val="000000"/>
                <w:kern w:val="0"/>
                <w:sz w:val="22"/>
                <w:szCs w:val="22"/>
              </w:rPr>
            </w:pPr>
          </w:p>
        </w:tc>
        <w:tc>
          <w:tcPr>
            <w:tcW w:w="851" w:type="dxa"/>
            <w:shd w:val="clear" w:color="auto" w:fill="auto"/>
            <w:vAlign w:val="center"/>
          </w:tcPr>
          <w:p w14:paraId="25784A05">
            <w:pPr>
              <w:jc w:val="center"/>
              <w:rPr>
                <w:color w:val="000000"/>
                <w:kern w:val="0"/>
                <w:szCs w:val="21"/>
              </w:rPr>
            </w:pPr>
            <w:r>
              <w:rPr>
                <w:color w:val="000000"/>
                <w:kern w:val="0"/>
                <w:szCs w:val="21"/>
              </w:rPr>
              <w:t>/</w:t>
            </w:r>
          </w:p>
        </w:tc>
        <w:tc>
          <w:tcPr>
            <w:tcW w:w="850" w:type="dxa"/>
            <w:shd w:val="clear" w:color="auto" w:fill="auto"/>
            <w:vAlign w:val="center"/>
          </w:tcPr>
          <w:p w14:paraId="12BC69C0">
            <w:pPr>
              <w:jc w:val="center"/>
              <w:rPr>
                <w:color w:val="000000"/>
                <w:kern w:val="0"/>
                <w:szCs w:val="21"/>
              </w:rPr>
            </w:pPr>
            <w:r>
              <w:rPr>
                <w:color w:val="000000"/>
                <w:kern w:val="0"/>
                <w:szCs w:val="21"/>
              </w:rPr>
              <w:t>60</w:t>
            </w:r>
          </w:p>
        </w:tc>
        <w:tc>
          <w:tcPr>
            <w:tcW w:w="770" w:type="dxa"/>
            <w:shd w:val="clear" w:color="auto" w:fill="auto"/>
            <w:vAlign w:val="center"/>
          </w:tcPr>
          <w:p w14:paraId="6131AC9C">
            <w:pPr>
              <w:jc w:val="center"/>
              <w:rPr>
                <w:color w:val="000000"/>
                <w:kern w:val="0"/>
                <w:szCs w:val="21"/>
              </w:rPr>
            </w:pPr>
            <w:r>
              <w:rPr>
                <w:color w:val="000000"/>
                <w:kern w:val="0"/>
                <w:szCs w:val="21"/>
              </w:rPr>
              <w:t>1</w:t>
            </w:r>
          </w:p>
        </w:tc>
      </w:tr>
      <w:tr w14:paraId="5FA5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BB0056C">
            <w:pPr>
              <w:jc w:val="center"/>
              <w:rPr>
                <w:color w:val="000000"/>
                <w:kern w:val="0"/>
                <w:szCs w:val="21"/>
              </w:rPr>
            </w:pPr>
            <w:r>
              <w:rPr>
                <w:color w:val="000000"/>
                <w:kern w:val="0"/>
                <w:szCs w:val="21"/>
              </w:rPr>
              <w:t>5</w:t>
            </w:r>
          </w:p>
        </w:tc>
        <w:tc>
          <w:tcPr>
            <w:tcW w:w="1292" w:type="dxa"/>
            <w:shd w:val="clear" w:color="auto" w:fill="auto"/>
            <w:noWrap/>
            <w:vAlign w:val="center"/>
          </w:tcPr>
          <w:p w14:paraId="1ACCC9AB">
            <w:pPr>
              <w:jc w:val="center"/>
              <w:rPr>
                <w:rFonts w:ascii="宋体" w:hAnsi="宋体" w:cs="宋体"/>
                <w:color w:val="000000"/>
                <w:kern w:val="0"/>
                <w:sz w:val="22"/>
                <w:szCs w:val="22"/>
              </w:rPr>
            </w:pPr>
            <w:r>
              <w:rPr>
                <w:rFonts w:hint="eastAsia" w:ascii="宋体" w:hAnsi="宋体" w:cs="宋体"/>
                <w:color w:val="000000"/>
                <w:kern w:val="0"/>
                <w:sz w:val="22"/>
                <w:szCs w:val="22"/>
              </w:rPr>
              <w:t>始宁牛舍#5</w:t>
            </w:r>
          </w:p>
        </w:tc>
        <w:tc>
          <w:tcPr>
            <w:tcW w:w="851" w:type="dxa"/>
            <w:vMerge w:val="continue"/>
            <w:vAlign w:val="center"/>
          </w:tcPr>
          <w:p w14:paraId="3D6158E6">
            <w:pPr>
              <w:jc w:val="center"/>
              <w:rPr>
                <w:rFonts w:ascii="宋体" w:hAnsi="宋体" w:cs="宋体"/>
                <w:color w:val="000000"/>
                <w:kern w:val="0"/>
                <w:sz w:val="22"/>
                <w:szCs w:val="22"/>
              </w:rPr>
            </w:pPr>
          </w:p>
        </w:tc>
        <w:tc>
          <w:tcPr>
            <w:tcW w:w="1984" w:type="dxa"/>
            <w:vMerge w:val="continue"/>
            <w:vAlign w:val="center"/>
          </w:tcPr>
          <w:p w14:paraId="5A9C36BC">
            <w:pPr>
              <w:jc w:val="center"/>
              <w:rPr>
                <w:rFonts w:ascii="宋体" w:hAnsi="宋体" w:cs="宋体"/>
                <w:color w:val="000000"/>
                <w:kern w:val="0"/>
                <w:sz w:val="22"/>
                <w:szCs w:val="22"/>
              </w:rPr>
            </w:pPr>
          </w:p>
        </w:tc>
        <w:tc>
          <w:tcPr>
            <w:tcW w:w="1560" w:type="dxa"/>
            <w:vMerge w:val="continue"/>
            <w:vAlign w:val="center"/>
          </w:tcPr>
          <w:p w14:paraId="35ECB991">
            <w:pPr>
              <w:jc w:val="center"/>
              <w:rPr>
                <w:rFonts w:ascii="宋体" w:hAnsi="宋体" w:cs="宋体"/>
                <w:color w:val="000000"/>
                <w:kern w:val="0"/>
                <w:sz w:val="22"/>
                <w:szCs w:val="22"/>
              </w:rPr>
            </w:pPr>
          </w:p>
        </w:tc>
        <w:tc>
          <w:tcPr>
            <w:tcW w:w="1134" w:type="dxa"/>
            <w:shd w:val="clear" w:color="auto" w:fill="auto"/>
            <w:noWrap/>
            <w:vAlign w:val="center"/>
          </w:tcPr>
          <w:p w14:paraId="5597BF66">
            <w:pPr>
              <w:jc w:val="center"/>
              <w:rPr>
                <w:rFonts w:ascii="宋体" w:hAnsi="宋体" w:cs="宋体"/>
                <w:color w:val="000000"/>
                <w:kern w:val="0"/>
                <w:sz w:val="22"/>
                <w:szCs w:val="22"/>
              </w:rPr>
            </w:pPr>
            <w:r>
              <w:rPr>
                <w:rFonts w:hint="eastAsia" w:ascii="宋体" w:hAnsi="宋体" w:cs="宋体"/>
                <w:color w:val="000000"/>
                <w:kern w:val="0"/>
                <w:sz w:val="22"/>
                <w:szCs w:val="22"/>
              </w:rPr>
              <w:t>139.17</w:t>
            </w:r>
          </w:p>
        </w:tc>
        <w:tc>
          <w:tcPr>
            <w:tcW w:w="992" w:type="dxa"/>
            <w:shd w:val="clear" w:color="auto" w:fill="auto"/>
            <w:noWrap/>
            <w:vAlign w:val="center"/>
          </w:tcPr>
          <w:p w14:paraId="39969016">
            <w:pPr>
              <w:jc w:val="center"/>
              <w:rPr>
                <w:rFonts w:ascii="宋体" w:hAnsi="宋体" w:cs="宋体"/>
                <w:color w:val="000000"/>
                <w:kern w:val="0"/>
                <w:sz w:val="22"/>
                <w:szCs w:val="22"/>
              </w:rPr>
            </w:pPr>
            <w:r>
              <w:rPr>
                <w:rFonts w:hint="eastAsia" w:ascii="宋体" w:hAnsi="宋体" w:cs="宋体"/>
                <w:color w:val="000000"/>
                <w:kern w:val="0"/>
                <w:sz w:val="22"/>
                <w:szCs w:val="22"/>
              </w:rPr>
              <w:t>182.53</w:t>
            </w:r>
          </w:p>
        </w:tc>
        <w:tc>
          <w:tcPr>
            <w:tcW w:w="850" w:type="dxa"/>
            <w:shd w:val="clear" w:color="auto" w:fill="auto"/>
            <w:vAlign w:val="center"/>
          </w:tcPr>
          <w:p w14:paraId="60226246">
            <w:pPr>
              <w:jc w:val="center"/>
              <w:rPr>
                <w:color w:val="000000"/>
                <w:kern w:val="0"/>
                <w:szCs w:val="21"/>
              </w:rPr>
            </w:pPr>
            <w:r>
              <w:rPr>
                <w:color w:val="000000"/>
                <w:kern w:val="0"/>
                <w:szCs w:val="21"/>
              </w:rPr>
              <w:t>1.2</w:t>
            </w:r>
          </w:p>
        </w:tc>
        <w:tc>
          <w:tcPr>
            <w:tcW w:w="851" w:type="dxa"/>
            <w:shd w:val="clear" w:color="auto" w:fill="auto"/>
            <w:vAlign w:val="center"/>
          </w:tcPr>
          <w:p w14:paraId="2220FFCF">
            <w:pPr>
              <w:jc w:val="center"/>
              <w:rPr>
                <w:color w:val="000000"/>
                <w:kern w:val="0"/>
                <w:szCs w:val="21"/>
              </w:rPr>
            </w:pPr>
            <w:r>
              <w:rPr>
                <w:color w:val="000000"/>
                <w:kern w:val="0"/>
                <w:szCs w:val="21"/>
              </w:rPr>
              <w:t>/</w:t>
            </w:r>
          </w:p>
        </w:tc>
        <w:tc>
          <w:tcPr>
            <w:tcW w:w="890" w:type="dxa"/>
            <w:shd w:val="clear" w:color="auto" w:fill="auto"/>
            <w:vAlign w:val="center"/>
          </w:tcPr>
          <w:p w14:paraId="67025CA6">
            <w:pPr>
              <w:jc w:val="center"/>
              <w:rPr>
                <w:color w:val="000000"/>
                <w:kern w:val="0"/>
                <w:szCs w:val="21"/>
              </w:rPr>
            </w:pPr>
            <w:r>
              <w:rPr>
                <w:color w:val="000000"/>
                <w:kern w:val="0"/>
                <w:szCs w:val="21"/>
              </w:rPr>
              <w:t>60</w:t>
            </w:r>
          </w:p>
        </w:tc>
        <w:tc>
          <w:tcPr>
            <w:tcW w:w="669" w:type="dxa"/>
            <w:vMerge w:val="continue"/>
            <w:vAlign w:val="center"/>
          </w:tcPr>
          <w:p w14:paraId="60A92BD6">
            <w:pPr>
              <w:jc w:val="center"/>
              <w:rPr>
                <w:rFonts w:ascii="宋体" w:hAnsi="宋体" w:cs="宋体"/>
                <w:color w:val="000000"/>
                <w:kern w:val="0"/>
                <w:sz w:val="22"/>
                <w:szCs w:val="22"/>
              </w:rPr>
            </w:pPr>
          </w:p>
        </w:tc>
        <w:tc>
          <w:tcPr>
            <w:tcW w:w="851" w:type="dxa"/>
            <w:shd w:val="clear" w:color="auto" w:fill="auto"/>
            <w:vAlign w:val="center"/>
          </w:tcPr>
          <w:p w14:paraId="5503A149">
            <w:pPr>
              <w:jc w:val="center"/>
              <w:rPr>
                <w:color w:val="000000"/>
                <w:kern w:val="0"/>
                <w:szCs w:val="21"/>
              </w:rPr>
            </w:pPr>
            <w:r>
              <w:rPr>
                <w:color w:val="000000"/>
                <w:kern w:val="0"/>
                <w:szCs w:val="21"/>
              </w:rPr>
              <w:t>/</w:t>
            </w:r>
          </w:p>
        </w:tc>
        <w:tc>
          <w:tcPr>
            <w:tcW w:w="850" w:type="dxa"/>
            <w:shd w:val="clear" w:color="auto" w:fill="auto"/>
            <w:vAlign w:val="center"/>
          </w:tcPr>
          <w:p w14:paraId="074F409E">
            <w:pPr>
              <w:jc w:val="center"/>
              <w:rPr>
                <w:color w:val="000000"/>
                <w:kern w:val="0"/>
                <w:szCs w:val="21"/>
              </w:rPr>
            </w:pPr>
            <w:r>
              <w:rPr>
                <w:color w:val="000000"/>
                <w:kern w:val="0"/>
                <w:szCs w:val="21"/>
              </w:rPr>
              <w:t>60</w:t>
            </w:r>
          </w:p>
        </w:tc>
        <w:tc>
          <w:tcPr>
            <w:tcW w:w="770" w:type="dxa"/>
            <w:shd w:val="clear" w:color="auto" w:fill="auto"/>
            <w:vAlign w:val="center"/>
          </w:tcPr>
          <w:p w14:paraId="066EB1BD">
            <w:pPr>
              <w:jc w:val="center"/>
              <w:rPr>
                <w:color w:val="000000"/>
                <w:kern w:val="0"/>
                <w:szCs w:val="21"/>
              </w:rPr>
            </w:pPr>
            <w:r>
              <w:rPr>
                <w:color w:val="000000"/>
                <w:kern w:val="0"/>
                <w:szCs w:val="21"/>
              </w:rPr>
              <w:t>1</w:t>
            </w:r>
          </w:p>
        </w:tc>
      </w:tr>
      <w:tr w14:paraId="58E9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2794E25">
            <w:pPr>
              <w:jc w:val="center"/>
              <w:rPr>
                <w:color w:val="000000"/>
                <w:kern w:val="0"/>
                <w:szCs w:val="21"/>
              </w:rPr>
            </w:pPr>
            <w:r>
              <w:rPr>
                <w:color w:val="000000"/>
                <w:kern w:val="0"/>
                <w:szCs w:val="21"/>
              </w:rPr>
              <w:t>6</w:t>
            </w:r>
          </w:p>
        </w:tc>
        <w:tc>
          <w:tcPr>
            <w:tcW w:w="1292" w:type="dxa"/>
            <w:shd w:val="clear" w:color="auto" w:fill="auto"/>
            <w:noWrap/>
            <w:vAlign w:val="center"/>
          </w:tcPr>
          <w:p w14:paraId="62B7DD99">
            <w:pPr>
              <w:jc w:val="center"/>
              <w:rPr>
                <w:rFonts w:ascii="宋体" w:hAnsi="宋体" w:cs="宋体"/>
                <w:color w:val="000000"/>
                <w:kern w:val="0"/>
                <w:sz w:val="22"/>
                <w:szCs w:val="22"/>
              </w:rPr>
            </w:pPr>
            <w:r>
              <w:rPr>
                <w:rFonts w:hint="eastAsia" w:ascii="宋体" w:hAnsi="宋体" w:cs="宋体"/>
                <w:color w:val="000000"/>
                <w:kern w:val="0"/>
                <w:sz w:val="22"/>
                <w:szCs w:val="22"/>
              </w:rPr>
              <w:t>始宁牛舍#6</w:t>
            </w:r>
          </w:p>
        </w:tc>
        <w:tc>
          <w:tcPr>
            <w:tcW w:w="851" w:type="dxa"/>
            <w:vMerge w:val="continue"/>
            <w:vAlign w:val="center"/>
          </w:tcPr>
          <w:p w14:paraId="42BD0F99">
            <w:pPr>
              <w:jc w:val="center"/>
              <w:rPr>
                <w:rFonts w:ascii="宋体" w:hAnsi="宋体" w:cs="宋体"/>
                <w:color w:val="000000"/>
                <w:kern w:val="0"/>
                <w:sz w:val="22"/>
                <w:szCs w:val="22"/>
              </w:rPr>
            </w:pPr>
          </w:p>
        </w:tc>
        <w:tc>
          <w:tcPr>
            <w:tcW w:w="1984" w:type="dxa"/>
            <w:vMerge w:val="continue"/>
            <w:vAlign w:val="center"/>
          </w:tcPr>
          <w:p w14:paraId="6A0C3254">
            <w:pPr>
              <w:jc w:val="center"/>
              <w:rPr>
                <w:rFonts w:ascii="宋体" w:hAnsi="宋体" w:cs="宋体"/>
                <w:color w:val="000000"/>
                <w:kern w:val="0"/>
                <w:sz w:val="22"/>
                <w:szCs w:val="22"/>
              </w:rPr>
            </w:pPr>
          </w:p>
        </w:tc>
        <w:tc>
          <w:tcPr>
            <w:tcW w:w="1560" w:type="dxa"/>
            <w:vMerge w:val="continue"/>
            <w:vAlign w:val="center"/>
          </w:tcPr>
          <w:p w14:paraId="70F3A0DF">
            <w:pPr>
              <w:jc w:val="center"/>
              <w:rPr>
                <w:rFonts w:ascii="宋体" w:hAnsi="宋体" w:cs="宋体"/>
                <w:color w:val="000000"/>
                <w:kern w:val="0"/>
                <w:sz w:val="22"/>
                <w:szCs w:val="22"/>
              </w:rPr>
            </w:pPr>
          </w:p>
        </w:tc>
        <w:tc>
          <w:tcPr>
            <w:tcW w:w="1134" w:type="dxa"/>
            <w:shd w:val="clear" w:color="auto" w:fill="auto"/>
            <w:noWrap/>
            <w:vAlign w:val="center"/>
          </w:tcPr>
          <w:p w14:paraId="4D6F7B7B">
            <w:pPr>
              <w:jc w:val="center"/>
              <w:rPr>
                <w:rFonts w:ascii="宋体" w:hAnsi="宋体" w:cs="宋体"/>
                <w:color w:val="000000"/>
                <w:kern w:val="0"/>
                <w:sz w:val="22"/>
                <w:szCs w:val="22"/>
              </w:rPr>
            </w:pPr>
            <w:r>
              <w:rPr>
                <w:rFonts w:hint="eastAsia" w:ascii="宋体" w:hAnsi="宋体" w:cs="宋体"/>
                <w:color w:val="000000"/>
                <w:kern w:val="0"/>
                <w:sz w:val="22"/>
                <w:szCs w:val="22"/>
              </w:rPr>
              <w:t>105.67</w:t>
            </w:r>
          </w:p>
        </w:tc>
        <w:tc>
          <w:tcPr>
            <w:tcW w:w="992" w:type="dxa"/>
            <w:shd w:val="clear" w:color="auto" w:fill="auto"/>
            <w:noWrap/>
            <w:vAlign w:val="center"/>
          </w:tcPr>
          <w:p w14:paraId="48E0E9E3">
            <w:pPr>
              <w:jc w:val="center"/>
              <w:rPr>
                <w:rFonts w:ascii="宋体" w:hAnsi="宋体" w:cs="宋体"/>
                <w:color w:val="000000"/>
                <w:kern w:val="0"/>
                <w:sz w:val="22"/>
                <w:szCs w:val="22"/>
              </w:rPr>
            </w:pPr>
            <w:r>
              <w:rPr>
                <w:rFonts w:hint="eastAsia" w:ascii="宋体" w:hAnsi="宋体" w:cs="宋体"/>
                <w:color w:val="000000"/>
                <w:kern w:val="0"/>
                <w:sz w:val="22"/>
                <w:szCs w:val="22"/>
              </w:rPr>
              <w:t>129.56</w:t>
            </w:r>
          </w:p>
        </w:tc>
        <w:tc>
          <w:tcPr>
            <w:tcW w:w="850" w:type="dxa"/>
            <w:shd w:val="clear" w:color="auto" w:fill="auto"/>
            <w:vAlign w:val="center"/>
          </w:tcPr>
          <w:p w14:paraId="777978E3">
            <w:pPr>
              <w:jc w:val="center"/>
              <w:rPr>
                <w:color w:val="000000"/>
                <w:kern w:val="0"/>
                <w:szCs w:val="21"/>
              </w:rPr>
            </w:pPr>
            <w:r>
              <w:rPr>
                <w:color w:val="000000"/>
                <w:kern w:val="0"/>
                <w:szCs w:val="21"/>
              </w:rPr>
              <w:t>1.2</w:t>
            </w:r>
          </w:p>
        </w:tc>
        <w:tc>
          <w:tcPr>
            <w:tcW w:w="851" w:type="dxa"/>
            <w:shd w:val="clear" w:color="auto" w:fill="auto"/>
            <w:vAlign w:val="center"/>
          </w:tcPr>
          <w:p w14:paraId="0A1F8AFD">
            <w:pPr>
              <w:jc w:val="center"/>
              <w:rPr>
                <w:color w:val="000000"/>
                <w:kern w:val="0"/>
                <w:szCs w:val="21"/>
              </w:rPr>
            </w:pPr>
            <w:r>
              <w:rPr>
                <w:color w:val="000000"/>
                <w:kern w:val="0"/>
                <w:szCs w:val="21"/>
              </w:rPr>
              <w:t>/</w:t>
            </w:r>
          </w:p>
        </w:tc>
        <w:tc>
          <w:tcPr>
            <w:tcW w:w="890" w:type="dxa"/>
            <w:shd w:val="clear" w:color="auto" w:fill="auto"/>
            <w:vAlign w:val="center"/>
          </w:tcPr>
          <w:p w14:paraId="7723BC63">
            <w:pPr>
              <w:jc w:val="center"/>
              <w:rPr>
                <w:color w:val="000000"/>
                <w:kern w:val="0"/>
                <w:szCs w:val="21"/>
              </w:rPr>
            </w:pPr>
            <w:r>
              <w:rPr>
                <w:color w:val="000000"/>
                <w:kern w:val="0"/>
                <w:szCs w:val="21"/>
              </w:rPr>
              <w:t>60</w:t>
            </w:r>
          </w:p>
        </w:tc>
        <w:tc>
          <w:tcPr>
            <w:tcW w:w="669" w:type="dxa"/>
            <w:vMerge w:val="continue"/>
            <w:vAlign w:val="center"/>
          </w:tcPr>
          <w:p w14:paraId="30FF0FD0">
            <w:pPr>
              <w:jc w:val="center"/>
              <w:rPr>
                <w:rFonts w:ascii="宋体" w:hAnsi="宋体" w:cs="宋体"/>
                <w:color w:val="000000"/>
                <w:kern w:val="0"/>
                <w:sz w:val="22"/>
                <w:szCs w:val="22"/>
              </w:rPr>
            </w:pPr>
          </w:p>
        </w:tc>
        <w:tc>
          <w:tcPr>
            <w:tcW w:w="851" w:type="dxa"/>
            <w:shd w:val="clear" w:color="auto" w:fill="auto"/>
            <w:vAlign w:val="center"/>
          </w:tcPr>
          <w:p w14:paraId="440E5D21">
            <w:pPr>
              <w:jc w:val="center"/>
              <w:rPr>
                <w:color w:val="000000"/>
                <w:kern w:val="0"/>
                <w:szCs w:val="21"/>
              </w:rPr>
            </w:pPr>
            <w:r>
              <w:rPr>
                <w:color w:val="000000"/>
                <w:kern w:val="0"/>
                <w:szCs w:val="21"/>
              </w:rPr>
              <w:t>/</w:t>
            </w:r>
          </w:p>
        </w:tc>
        <w:tc>
          <w:tcPr>
            <w:tcW w:w="850" w:type="dxa"/>
            <w:shd w:val="clear" w:color="auto" w:fill="auto"/>
            <w:vAlign w:val="center"/>
          </w:tcPr>
          <w:p w14:paraId="76178829">
            <w:pPr>
              <w:jc w:val="center"/>
              <w:rPr>
                <w:color w:val="000000"/>
                <w:kern w:val="0"/>
                <w:szCs w:val="21"/>
              </w:rPr>
            </w:pPr>
            <w:r>
              <w:rPr>
                <w:color w:val="000000"/>
                <w:kern w:val="0"/>
                <w:szCs w:val="21"/>
              </w:rPr>
              <w:t>60</w:t>
            </w:r>
          </w:p>
        </w:tc>
        <w:tc>
          <w:tcPr>
            <w:tcW w:w="770" w:type="dxa"/>
            <w:shd w:val="clear" w:color="auto" w:fill="auto"/>
            <w:vAlign w:val="center"/>
          </w:tcPr>
          <w:p w14:paraId="7FCF908A">
            <w:pPr>
              <w:jc w:val="center"/>
              <w:rPr>
                <w:color w:val="000000"/>
                <w:kern w:val="0"/>
                <w:szCs w:val="21"/>
              </w:rPr>
            </w:pPr>
            <w:r>
              <w:rPr>
                <w:color w:val="000000"/>
                <w:kern w:val="0"/>
                <w:szCs w:val="21"/>
              </w:rPr>
              <w:t>1</w:t>
            </w:r>
          </w:p>
        </w:tc>
      </w:tr>
      <w:tr w14:paraId="3AA2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E46B16A">
            <w:pPr>
              <w:jc w:val="center"/>
              <w:rPr>
                <w:color w:val="000000"/>
                <w:kern w:val="0"/>
                <w:szCs w:val="21"/>
              </w:rPr>
            </w:pPr>
            <w:r>
              <w:rPr>
                <w:color w:val="000000"/>
                <w:kern w:val="0"/>
                <w:szCs w:val="21"/>
              </w:rPr>
              <w:t>7</w:t>
            </w:r>
          </w:p>
        </w:tc>
        <w:tc>
          <w:tcPr>
            <w:tcW w:w="1292" w:type="dxa"/>
            <w:shd w:val="clear" w:color="auto" w:fill="auto"/>
            <w:noWrap/>
            <w:vAlign w:val="center"/>
          </w:tcPr>
          <w:p w14:paraId="7911382D">
            <w:pPr>
              <w:jc w:val="center"/>
              <w:rPr>
                <w:rFonts w:ascii="宋体" w:hAnsi="宋体" w:cs="宋体"/>
                <w:color w:val="000000"/>
                <w:kern w:val="0"/>
                <w:sz w:val="22"/>
                <w:szCs w:val="22"/>
              </w:rPr>
            </w:pPr>
            <w:r>
              <w:rPr>
                <w:rFonts w:hint="eastAsia" w:ascii="宋体" w:hAnsi="宋体" w:cs="宋体"/>
                <w:color w:val="000000"/>
                <w:kern w:val="0"/>
                <w:sz w:val="22"/>
                <w:szCs w:val="22"/>
              </w:rPr>
              <w:t>始宁牛舍#7</w:t>
            </w:r>
          </w:p>
        </w:tc>
        <w:tc>
          <w:tcPr>
            <w:tcW w:w="851" w:type="dxa"/>
            <w:vMerge w:val="continue"/>
            <w:vAlign w:val="center"/>
          </w:tcPr>
          <w:p w14:paraId="24A4FC2D">
            <w:pPr>
              <w:jc w:val="center"/>
              <w:rPr>
                <w:rFonts w:ascii="宋体" w:hAnsi="宋体" w:cs="宋体"/>
                <w:color w:val="000000"/>
                <w:kern w:val="0"/>
                <w:sz w:val="22"/>
                <w:szCs w:val="22"/>
              </w:rPr>
            </w:pPr>
          </w:p>
        </w:tc>
        <w:tc>
          <w:tcPr>
            <w:tcW w:w="1984" w:type="dxa"/>
            <w:vMerge w:val="continue"/>
            <w:vAlign w:val="center"/>
          </w:tcPr>
          <w:p w14:paraId="686B1E7D">
            <w:pPr>
              <w:jc w:val="center"/>
              <w:rPr>
                <w:rFonts w:ascii="宋体" w:hAnsi="宋体" w:cs="宋体"/>
                <w:color w:val="000000"/>
                <w:kern w:val="0"/>
                <w:sz w:val="22"/>
                <w:szCs w:val="22"/>
              </w:rPr>
            </w:pPr>
          </w:p>
        </w:tc>
        <w:tc>
          <w:tcPr>
            <w:tcW w:w="1560" w:type="dxa"/>
            <w:vMerge w:val="continue"/>
            <w:vAlign w:val="center"/>
          </w:tcPr>
          <w:p w14:paraId="707DA0EF">
            <w:pPr>
              <w:jc w:val="center"/>
              <w:rPr>
                <w:rFonts w:ascii="宋体" w:hAnsi="宋体" w:cs="宋体"/>
                <w:color w:val="000000"/>
                <w:kern w:val="0"/>
                <w:sz w:val="22"/>
                <w:szCs w:val="22"/>
              </w:rPr>
            </w:pPr>
          </w:p>
        </w:tc>
        <w:tc>
          <w:tcPr>
            <w:tcW w:w="1134" w:type="dxa"/>
            <w:shd w:val="clear" w:color="auto" w:fill="auto"/>
            <w:noWrap/>
            <w:vAlign w:val="center"/>
          </w:tcPr>
          <w:p w14:paraId="1E93F6E0">
            <w:pPr>
              <w:jc w:val="center"/>
              <w:rPr>
                <w:rFonts w:ascii="宋体" w:hAnsi="宋体" w:cs="宋体"/>
                <w:color w:val="000000"/>
                <w:kern w:val="0"/>
                <w:sz w:val="22"/>
                <w:szCs w:val="22"/>
              </w:rPr>
            </w:pPr>
            <w:r>
              <w:rPr>
                <w:rFonts w:hint="eastAsia" w:ascii="宋体" w:hAnsi="宋体" w:cs="宋体"/>
                <w:color w:val="000000"/>
                <w:kern w:val="0"/>
                <w:sz w:val="22"/>
                <w:szCs w:val="22"/>
              </w:rPr>
              <w:t>74.51</w:t>
            </w:r>
          </w:p>
        </w:tc>
        <w:tc>
          <w:tcPr>
            <w:tcW w:w="992" w:type="dxa"/>
            <w:shd w:val="clear" w:color="auto" w:fill="auto"/>
            <w:noWrap/>
            <w:vAlign w:val="center"/>
          </w:tcPr>
          <w:p w14:paraId="2D72A134">
            <w:pPr>
              <w:jc w:val="center"/>
              <w:rPr>
                <w:rFonts w:ascii="宋体" w:hAnsi="宋体" w:cs="宋体"/>
                <w:color w:val="000000"/>
                <w:kern w:val="0"/>
                <w:sz w:val="22"/>
                <w:szCs w:val="22"/>
              </w:rPr>
            </w:pPr>
            <w:r>
              <w:rPr>
                <w:rFonts w:hint="eastAsia" w:ascii="宋体" w:hAnsi="宋体" w:cs="宋体"/>
                <w:color w:val="000000"/>
                <w:kern w:val="0"/>
                <w:sz w:val="22"/>
                <w:szCs w:val="22"/>
              </w:rPr>
              <w:t>77.37</w:t>
            </w:r>
          </w:p>
        </w:tc>
        <w:tc>
          <w:tcPr>
            <w:tcW w:w="850" w:type="dxa"/>
            <w:shd w:val="clear" w:color="auto" w:fill="auto"/>
            <w:vAlign w:val="center"/>
          </w:tcPr>
          <w:p w14:paraId="219F19B7">
            <w:pPr>
              <w:jc w:val="center"/>
              <w:rPr>
                <w:color w:val="000000"/>
                <w:kern w:val="0"/>
                <w:szCs w:val="21"/>
              </w:rPr>
            </w:pPr>
            <w:r>
              <w:rPr>
                <w:color w:val="000000"/>
                <w:kern w:val="0"/>
                <w:szCs w:val="21"/>
              </w:rPr>
              <w:t>1.2</w:t>
            </w:r>
          </w:p>
        </w:tc>
        <w:tc>
          <w:tcPr>
            <w:tcW w:w="851" w:type="dxa"/>
            <w:shd w:val="clear" w:color="auto" w:fill="auto"/>
            <w:vAlign w:val="center"/>
          </w:tcPr>
          <w:p w14:paraId="6FAA4271">
            <w:pPr>
              <w:jc w:val="center"/>
              <w:rPr>
                <w:color w:val="000000"/>
                <w:kern w:val="0"/>
                <w:szCs w:val="21"/>
              </w:rPr>
            </w:pPr>
            <w:r>
              <w:rPr>
                <w:color w:val="000000"/>
                <w:kern w:val="0"/>
                <w:szCs w:val="21"/>
              </w:rPr>
              <w:t>/</w:t>
            </w:r>
          </w:p>
        </w:tc>
        <w:tc>
          <w:tcPr>
            <w:tcW w:w="890" w:type="dxa"/>
            <w:shd w:val="clear" w:color="auto" w:fill="auto"/>
            <w:vAlign w:val="center"/>
          </w:tcPr>
          <w:p w14:paraId="71C3D565">
            <w:pPr>
              <w:jc w:val="center"/>
              <w:rPr>
                <w:color w:val="000000"/>
                <w:kern w:val="0"/>
                <w:szCs w:val="21"/>
              </w:rPr>
            </w:pPr>
            <w:r>
              <w:rPr>
                <w:color w:val="000000"/>
                <w:kern w:val="0"/>
                <w:szCs w:val="21"/>
              </w:rPr>
              <w:t>60</w:t>
            </w:r>
          </w:p>
        </w:tc>
        <w:tc>
          <w:tcPr>
            <w:tcW w:w="669" w:type="dxa"/>
            <w:vMerge w:val="continue"/>
            <w:vAlign w:val="center"/>
          </w:tcPr>
          <w:p w14:paraId="00DE76B6">
            <w:pPr>
              <w:jc w:val="center"/>
              <w:rPr>
                <w:rFonts w:ascii="宋体" w:hAnsi="宋体" w:cs="宋体"/>
                <w:color w:val="000000"/>
                <w:kern w:val="0"/>
                <w:sz w:val="22"/>
                <w:szCs w:val="22"/>
              </w:rPr>
            </w:pPr>
          </w:p>
        </w:tc>
        <w:tc>
          <w:tcPr>
            <w:tcW w:w="851" w:type="dxa"/>
            <w:shd w:val="clear" w:color="auto" w:fill="auto"/>
            <w:vAlign w:val="center"/>
          </w:tcPr>
          <w:p w14:paraId="717CD0B2">
            <w:pPr>
              <w:jc w:val="center"/>
              <w:rPr>
                <w:color w:val="000000"/>
                <w:kern w:val="0"/>
                <w:szCs w:val="21"/>
              </w:rPr>
            </w:pPr>
            <w:r>
              <w:rPr>
                <w:color w:val="000000"/>
                <w:kern w:val="0"/>
                <w:szCs w:val="21"/>
              </w:rPr>
              <w:t>/</w:t>
            </w:r>
          </w:p>
        </w:tc>
        <w:tc>
          <w:tcPr>
            <w:tcW w:w="850" w:type="dxa"/>
            <w:shd w:val="clear" w:color="auto" w:fill="auto"/>
            <w:vAlign w:val="center"/>
          </w:tcPr>
          <w:p w14:paraId="5C5F3FCA">
            <w:pPr>
              <w:jc w:val="center"/>
              <w:rPr>
                <w:color w:val="000000"/>
                <w:kern w:val="0"/>
                <w:szCs w:val="21"/>
              </w:rPr>
            </w:pPr>
            <w:r>
              <w:rPr>
                <w:color w:val="000000"/>
                <w:kern w:val="0"/>
                <w:szCs w:val="21"/>
              </w:rPr>
              <w:t>60</w:t>
            </w:r>
          </w:p>
        </w:tc>
        <w:tc>
          <w:tcPr>
            <w:tcW w:w="770" w:type="dxa"/>
            <w:shd w:val="clear" w:color="auto" w:fill="auto"/>
            <w:vAlign w:val="center"/>
          </w:tcPr>
          <w:p w14:paraId="4D1F08D1">
            <w:pPr>
              <w:jc w:val="center"/>
              <w:rPr>
                <w:color w:val="000000"/>
                <w:kern w:val="0"/>
                <w:szCs w:val="21"/>
              </w:rPr>
            </w:pPr>
            <w:r>
              <w:rPr>
                <w:color w:val="000000"/>
                <w:kern w:val="0"/>
                <w:szCs w:val="21"/>
              </w:rPr>
              <w:t>1</w:t>
            </w:r>
          </w:p>
        </w:tc>
      </w:tr>
      <w:tr w14:paraId="06352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58CC701">
            <w:pPr>
              <w:jc w:val="center"/>
              <w:rPr>
                <w:color w:val="000000"/>
                <w:kern w:val="0"/>
                <w:szCs w:val="21"/>
              </w:rPr>
            </w:pPr>
            <w:r>
              <w:rPr>
                <w:color w:val="000000"/>
                <w:kern w:val="0"/>
                <w:szCs w:val="21"/>
              </w:rPr>
              <w:t>8</w:t>
            </w:r>
          </w:p>
        </w:tc>
        <w:tc>
          <w:tcPr>
            <w:tcW w:w="1292" w:type="dxa"/>
            <w:shd w:val="clear" w:color="auto" w:fill="auto"/>
            <w:noWrap/>
            <w:vAlign w:val="center"/>
          </w:tcPr>
          <w:p w14:paraId="34BB608F">
            <w:pPr>
              <w:jc w:val="center"/>
              <w:rPr>
                <w:rFonts w:ascii="宋体" w:hAnsi="宋体" w:cs="宋体"/>
                <w:color w:val="000000"/>
                <w:kern w:val="0"/>
                <w:sz w:val="22"/>
                <w:szCs w:val="22"/>
              </w:rPr>
            </w:pPr>
            <w:r>
              <w:rPr>
                <w:rFonts w:hint="eastAsia" w:ascii="宋体" w:hAnsi="宋体" w:cs="宋体"/>
                <w:color w:val="000000"/>
                <w:kern w:val="0"/>
                <w:sz w:val="22"/>
                <w:szCs w:val="22"/>
              </w:rPr>
              <w:t>始宁牛舍#8</w:t>
            </w:r>
          </w:p>
        </w:tc>
        <w:tc>
          <w:tcPr>
            <w:tcW w:w="851" w:type="dxa"/>
            <w:vMerge w:val="continue"/>
            <w:vAlign w:val="center"/>
          </w:tcPr>
          <w:p w14:paraId="137416B5">
            <w:pPr>
              <w:jc w:val="center"/>
              <w:rPr>
                <w:rFonts w:ascii="宋体" w:hAnsi="宋体" w:cs="宋体"/>
                <w:color w:val="000000"/>
                <w:kern w:val="0"/>
                <w:sz w:val="22"/>
                <w:szCs w:val="22"/>
              </w:rPr>
            </w:pPr>
          </w:p>
        </w:tc>
        <w:tc>
          <w:tcPr>
            <w:tcW w:w="1984" w:type="dxa"/>
            <w:vMerge w:val="continue"/>
            <w:vAlign w:val="center"/>
          </w:tcPr>
          <w:p w14:paraId="6797DF8A">
            <w:pPr>
              <w:jc w:val="center"/>
              <w:rPr>
                <w:rFonts w:ascii="宋体" w:hAnsi="宋体" w:cs="宋体"/>
                <w:color w:val="000000"/>
                <w:kern w:val="0"/>
                <w:sz w:val="22"/>
                <w:szCs w:val="22"/>
              </w:rPr>
            </w:pPr>
          </w:p>
        </w:tc>
        <w:tc>
          <w:tcPr>
            <w:tcW w:w="1560" w:type="dxa"/>
            <w:vMerge w:val="continue"/>
            <w:vAlign w:val="center"/>
          </w:tcPr>
          <w:p w14:paraId="48679D67">
            <w:pPr>
              <w:jc w:val="center"/>
              <w:rPr>
                <w:rFonts w:ascii="宋体" w:hAnsi="宋体" w:cs="宋体"/>
                <w:color w:val="000000"/>
                <w:kern w:val="0"/>
                <w:sz w:val="22"/>
                <w:szCs w:val="22"/>
              </w:rPr>
            </w:pPr>
          </w:p>
        </w:tc>
        <w:tc>
          <w:tcPr>
            <w:tcW w:w="1134" w:type="dxa"/>
            <w:shd w:val="clear" w:color="auto" w:fill="auto"/>
            <w:noWrap/>
            <w:vAlign w:val="center"/>
          </w:tcPr>
          <w:p w14:paraId="4A0E6450">
            <w:pPr>
              <w:jc w:val="center"/>
              <w:rPr>
                <w:rFonts w:ascii="宋体" w:hAnsi="宋体" w:cs="宋体"/>
                <w:color w:val="000000"/>
                <w:kern w:val="0"/>
                <w:sz w:val="22"/>
                <w:szCs w:val="22"/>
              </w:rPr>
            </w:pPr>
            <w:r>
              <w:rPr>
                <w:rFonts w:hint="eastAsia" w:ascii="宋体" w:hAnsi="宋体" w:cs="宋体"/>
                <w:color w:val="000000"/>
                <w:kern w:val="0"/>
                <w:sz w:val="22"/>
                <w:szCs w:val="22"/>
              </w:rPr>
              <w:t>46.47</w:t>
            </w:r>
          </w:p>
        </w:tc>
        <w:tc>
          <w:tcPr>
            <w:tcW w:w="992" w:type="dxa"/>
            <w:shd w:val="clear" w:color="auto" w:fill="auto"/>
            <w:noWrap/>
            <w:vAlign w:val="center"/>
          </w:tcPr>
          <w:p w14:paraId="252B407C">
            <w:pPr>
              <w:jc w:val="center"/>
              <w:rPr>
                <w:rFonts w:ascii="宋体" w:hAnsi="宋体" w:cs="宋体"/>
                <w:color w:val="000000"/>
                <w:kern w:val="0"/>
                <w:sz w:val="22"/>
                <w:szCs w:val="22"/>
              </w:rPr>
            </w:pPr>
            <w:r>
              <w:rPr>
                <w:rFonts w:hint="eastAsia" w:ascii="宋体" w:hAnsi="宋体" w:cs="宋体"/>
                <w:color w:val="000000"/>
                <w:kern w:val="0"/>
                <w:sz w:val="22"/>
                <w:szCs w:val="22"/>
              </w:rPr>
              <w:t>23.62</w:t>
            </w:r>
          </w:p>
        </w:tc>
        <w:tc>
          <w:tcPr>
            <w:tcW w:w="850" w:type="dxa"/>
            <w:shd w:val="clear" w:color="auto" w:fill="auto"/>
            <w:vAlign w:val="center"/>
          </w:tcPr>
          <w:p w14:paraId="07558C59">
            <w:pPr>
              <w:jc w:val="center"/>
              <w:rPr>
                <w:color w:val="000000"/>
                <w:kern w:val="0"/>
                <w:szCs w:val="21"/>
              </w:rPr>
            </w:pPr>
            <w:r>
              <w:rPr>
                <w:color w:val="000000"/>
                <w:kern w:val="0"/>
                <w:szCs w:val="21"/>
              </w:rPr>
              <w:t>1.2</w:t>
            </w:r>
          </w:p>
        </w:tc>
        <w:tc>
          <w:tcPr>
            <w:tcW w:w="851" w:type="dxa"/>
            <w:shd w:val="clear" w:color="auto" w:fill="auto"/>
            <w:vAlign w:val="center"/>
          </w:tcPr>
          <w:p w14:paraId="77F5E7C1">
            <w:pPr>
              <w:jc w:val="center"/>
              <w:rPr>
                <w:color w:val="000000"/>
                <w:kern w:val="0"/>
                <w:szCs w:val="21"/>
              </w:rPr>
            </w:pPr>
            <w:r>
              <w:rPr>
                <w:color w:val="000000"/>
                <w:kern w:val="0"/>
                <w:szCs w:val="21"/>
              </w:rPr>
              <w:t>/</w:t>
            </w:r>
          </w:p>
        </w:tc>
        <w:tc>
          <w:tcPr>
            <w:tcW w:w="890" w:type="dxa"/>
            <w:shd w:val="clear" w:color="auto" w:fill="auto"/>
            <w:vAlign w:val="center"/>
          </w:tcPr>
          <w:p w14:paraId="2FC8C483">
            <w:pPr>
              <w:jc w:val="center"/>
              <w:rPr>
                <w:color w:val="000000"/>
                <w:kern w:val="0"/>
                <w:szCs w:val="21"/>
              </w:rPr>
            </w:pPr>
            <w:r>
              <w:rPr>
                <w:color w:val="000000"/>
                <w:kern w:val="0"/>
                <w:szCs w:val="21"/>
              </w:rPr>
              <w:t>60</w:t>
            </w:r>
          </w:p>
        </w:tc>
        <w:tc>
          <w:tcPr>
            <w:tcW w:w="669" w:type="dxa"/>
            <w:vMerge w:val="continue"/>
            <w:vAlign w:val="center"/>
          </w:tcPr>
          <w:p w14:paraId="4427908F">
            <w:pPr>
              <w:jc w:val="center"/>
              <w:rPr>
                <w:rFonts w:ascii="宋体" w:hAnsi="宋体" w:cs="宋体"/>
                <w:color w:val="000000"/>
                <w:kern w:val="0"/>
                <w:sz w:val="22"/>
                <w:szCs w:val="22"/>
              </w:rPr>
            </w:pPr>
          </w:p>
        </w:tc>
        <w:tc>
          <w:tcPr>
            <w:tcW w:w="851" w:type="dxa"/>
            <w:shd w:val="clear" w:color="auto" w:fill="auto"/>
            <w:vAlign w:val="center"/>
          </w:tcPr>
          <w:p w14:paraId="3CE195EA">
            <w:pPr>
              <w:jc w:val="center"/>
              <w:rPr>
                <w:color w:val="000000"/>
                <w:kern w:val="0"/>
                <w:szCs w:val="21"/>
              </w:rPr>
            </w:pPr>
            <w:r>
              <w:rPr>
                <w:color w:val="000000"/>
                <w:kern w:val="0"/>
                <w:szCs w:val="21"/>
              </w:rPr>
              <w:t>/</w:t>
            </w:r>
          </w:p>
        </w:tc>
        <w:tc>
          <w:tcPr>
            <w:tcW w:w="850" w:type="dxa"/>
            <w:shd w:val="clear" w:color="auto" w:fill="auto"/>
            <w:vAlign w:val="center"/>
          </w:tcPr>
          <w:p w14:paraId="3541154A">
            <w:pPr>
              <w:jc w:val="center"/>
              <w:rPr>
                <w:color w:val="000000"/>
                <w:kern w:val="0"/>
                <w:szCs w:val="21"/>
              </w:rPr>
            </w:pPr>
            <w:r>
              <w:rPr>
                <w:color w:val="000000"/>
                <w:kern w:val="0"/>
                <w:szCs w:val="21"/>
              </w:rPr>
              <w:t>60</w:t>
            </w:r>
          </w:p>
        </w:tc>
        <w:tc>
          <w:tcPr>
            <w:tcW w:w="770" w:type="dxa"/>
            <w:shd w:val="clear" w:color="auto" w:fill="auto"/>
            <w:vAlign w:val="center"/>
          </w:tcPr>
          <w:p w14:paraId="1CDA8536">
            <w:pPr>
              <w:jc w:val="center"/>
              <w:rPr>
                <w:color w:val="000000"/>
                <w:kern w:val="0"/>
                <w:szCs w:val="21"/>
              </w:rPr>
            </w:pPr>
            <w:r>
              <w:rPr>
                <w:color w:val="000000"/>
                <w:kern w:val="0"/>
                <w:szCs w:val="21"/>
              </w:rPr>
              <w:t>1</w:t>
            </w:r>
          </w:p>
        </w:tc>
      </w:tr>
      <w:tr w14:paraId="3569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11E7863">
            <w:pPr>
              <w:jc w:val="center"/>
              <w:rPr>
                <w:color w:val="000000"/>
                <w:kern w:val="0"/>
                <w:szCs w:val="21"/>
              </w:rPr>
            </w:pPr>
            <w:r>
              <w:rPr>
                <w:color w:val="000000"/>
                <w:kern w:val="0"/>
                <w:szCs w:val="21"/>
              </w:rPr>
              <w:t>9</w:t>
            </w:r>
          </w:p>
        </w:tc>
        <w:tc>
          <w:tcPr>
            <w:tcW w:w="1292" w:type="dxa"/>
            <w:shd w:val="clear" w:color="auto" w:fill="auto"/>
            <w:noWrap/>
            <w:vAlign w:val="center"/>
          </w:tcPr>
          <w:p w14:paraId="48FD4A5A">
            <w:pPr>
              <w:jc w:val="center"/>
              <w:rPr>
                <w:rFonts w:ascii="宋体" w:hAnsi="宋体" w:cs="宋体"/>
                <w:color w:val="000000"/>
                <w:kern w:val="0"/>
                <w:sz w:val="22"/>
                <w:szCs w:val="22"/>
              </w:rPr>
            </w:pPr>
            <w:r>
              <w:rPr>
                <w:rFonts w:hint="eastAsia" w:ascii="宋体" w:hAnsi="宋体" w:cs="宋体"/>
                <w:color w:val="000000"/>
                <w:kern w:val="0"/>
                <w:sz w:val="22"/>
                <w:szCs w:val="22"/>
              </w:rPr>
              <w:t>始宁牛舍#9</w:t>
            </w:r>
          </w:p>
        </w:tc>
        <w:tc>
          <w:tcPr>
            <w:tcW w:w="851" w:type="dxa"/>
            <w:vMerge w:val="continue"/>
            <w:vAlign w:val="center"/>
          </w:tcPr>
          <w:p w14:paraId="381A371D">
            <w:pPr>
              <w:jc w:val="center"/>
              <w:rPr>
                <w:rFonts w:ascii="宋体" w:hAnsi="宋体" w:cs="宋体"/>
                <w:color w:val="000000"/>
                <w:kern w:val="0"/>
                <w:sz w:val="22"/>
                <w:szCs w:val="22"/>
              </w:rPr>
            </w:pPr>
          </w:p>
        </w:tc>
        <w:tc>
          <w:tcPr>
            <w:tcW w:w="1984" w:type="dxa"/>
            <w:vMerge w:val="continue"/>
            <w:vAlign w:val="center"/>
          </w:tcPr>
          <w:p w14:paraId="60C113E6">
            <w:pPr>
              <w:jc w:val="center"/>
              <w:rPr>
                <w:rFonts w:ascii="宋体" w:hAnsi="宋体" w:cs="宋体"/>
                <w:color w:val="000000"/>
                <w:kern w:val="0"/>
                <w:sz w:val="22"/>
                <w:szCs w:val="22"/>
              </w:rPr>
            </w:pPr>
          </w:p>
        </w:tc>
        <w:tc>
          <w:tcPr>
            <w:tcW w:w="1560" w:type="dxa"/>
            <w:vMerge w:val="continue"/>
            <w:vAlign w:val="center"/>
          </w:tcPr>
          <w:p w14:paraId="6A253984">
            <w:pPr>
              <w:jc w:val="center"/>
              <w:rPr>
                <w:rFonts w:ascii="宋体" w:hAnsi="宋体" w:cs="宋体"/>
                <w:color w:val="000000"/>
                <w:kern w:val="0"/>
                <w:sz w:val="22"/>
                <w:szCs w:val="22"/>
              </w:rPr>
            </w:pPr>
          </w:p>
        </w:tc>
        <w:tc>
          <w:tcPr>
            <w:tcW w:w="1134" w:type="dxa"/>
            <w:shd w:val="clear" w:color="auto" w:fill="auto"/>
            <w:noWrap/>
            <w:vAlign w:val="center"/>
          </w:tcPr>
          <w:p w14:paraId="311C6A6D">
            <w:pPr>
              <w:jc w:val="center"/>
              <w:rPr>
                <w:rFonts w:ascii="宋体" w:hAnsi="宋体" w:cs="宋体"/>
                <w:color w:val="000000"/>
                <w:kern w:val="0"/>
                <w:sz w:val="22"/>
                <w:szCs w:val="22"/>
              </w:rPr>
            </w:pPr>
            <w:r>
              <w:rPr>
                <w:rFonts w:hint="eastAsia" w:ascii="宋体" w:hAnsi="宋体" w:cs="宋体"/>
                <w:color w:val="000000"/>
                <w:kern w:val="0"/>
                <w:sz w:val="22"/>
                <w:szCs w:val="22"/>
              </w:rPr>
              <w:t>67.42</w:t>
            </w:r>
          </w:p>
        </w:tc>
        <w:tc>
          <w:tcPr>
            <w:tcW w:w="992" w:type="dxa"/>
            <w:shd w:val="clear" w:color="auto" w:fill="auto"/>
            <w:noWrap/>
            <w:vAlign w:val="center"/>
          </w:tcPr>
          <w:p w14:paraId="2A2B9989">
            <w:pPr>
              <w:jc w:val="center"/>
              <w:rPr>
                <w:rFonts w:ascii="宋体" w:hAnsi="宋体" w:cs="宋体"/>
                <w:color w:val="000000"/>
                <w:kern w:val="0"/>
                <w:sz w:val="22"/>
                <w:szCs w:val="22"/>
              </w:rPr>
            </w:pPr>
            <w:r>
              <w:rPr>
                <w:rFonts w:hint="eastAsia" w:ascii="宋体" w:hAnsi="宋体" w:cs="宋体"/>
                <w:color w:val="000000"/>
                <w:kern w:val="0"/>
                <w:sz w:val="22"/>
                <w:szCs w:val="22"/>
              </w:rPr>
              <w:t>166.55</w:t>
            </w:r>
          </w:p>
        </w:tc>
        <w:tc>
          <w:tcPr>
            <w:tcW w:w="850" w:type="dxa"/>
            <w:shd w:val="clear" w:color="auto" w:fill="auto"/>
            <w:vAlign w:val="center"/>
          </w:tcPr>
          <w:p w14:paraId="65ADF09D">
            <w:pPr>
              <w:jc w:val="center"/>
              <w:rPr>
                <w:color w:val="000000"/>
                <w:kern w:val="0"/>
                <w:szCs w:val="21"/>
              </w:rPr>
            </w:pPr>
            <w:r>
              <w:rPr>
                <w:color w:val="000000"/>
                <w:kern w:val="0"/>
                <w:szCs w:val="21"/>
              </w:rPr>
              <w:t>1.2</w:t>
            </w:r>
          </w:p>
        </w:tc>
        <w:tc>
          <w:tcPr>
            <w:tcW w:w="851" w:type="dxa"/>
            <w:shd w:val="clear" w:color="auto" w:fill="auto"/>
            <w:vAlign w:val="center"/>
          </w:tcPr>
          <w:p w14:paraId="5CF49AB0">
            <w:pPr>
              <w:jc w:val="center"/>
              <w:rPr>
                <w:color w:val="000000"/>
                <w:kern w:val="0"/>
                <w:szCs w:val="21"/>
              </w:rPr>
            </w:pPr>
            <w:r>
              <w:rPr>
                <w:color w:val="000000"/>
                <w:kern w:val="0"/>
                <w:szCs w:val="21"/>
              </w:rPr>
              <w:t>/</w:t>
            </w:r>
          </w:p>
        </w:tc>
        <w:tc>
          <w:tcPr>
            <w:tcW w:w="890" w:type="dxa"/>
            <w:shd w:val="clear" w:color="auto" w:fill="auto"/>
            <w:vAlign w:val="center"/>
          </w:tcPr>
          <w:p w14:paraId="2EDF421B">
            <w:pPr>
              <w:jc w:val="center"/>
              <w:rPr>
                <w:color w:val="000000"/>
                <w:kern w:val="0"/>
                <w:szCs w:val="21"/>
              </w:rPr>
            </w:pPr>
            <w:r>
              <w:rPr>
                <w:color w:val="000000"/>
                <w:kern w:val="0"/>
                <w:szCs w:val="21"/>
              </w:rPr>
              <w:t>60</w:t>
            </w:r>
          </w:p>
        </w:tc>
        <w:tc>
          <w:tcPr>
            <w:tcW w:w="669" w:type="dxa"/>
            <w:vMerge w:val="continue"/>
            <w:vAlign w:val="center"/>
          </w:tcPr>
          <w:p w14:paraId="45F7DC6D">
            <w:pPr>
              <w:jc w:val="center"/>
              <w:rPr>
                <w:rFonts w:ascii="宋体" w:hAnsi="宋体" w:cs="宋体"/>
                <w:color w:val="000000"/>
                <w:kern w:val="0"/>
                <w:sz w:val="22"/>
                <w:szCs w:val="22"/>
              </w:rPr>
            </w:pPr>
          </w:p>
        </w:tc>
        <w:tc>
          <w:tcPr>
            <w:tcW w:w="851" w:type="dxa"/>
            <w:shd w:val="clear" w:color="auto" w:fill="auto"/>
            <w:vAlign w:val="center"/>
          </w:tcPr>
          <w:p w14:paraId="50D01A89">
            <w:pPr>
              <w:jc w:val="center"/>
              <w:rPr>
                <w:color w:val="000000"/>
                <w:kern w:val="0"/>
                <w:szCs w:val="21"/>
              </w:rPr>
            </w:pPr>
            <w:r>
              <w:rPr>
                <w:color w:val="000000"/>
                <w:kern w:val="0"/>
                <w:szCs w:val="21"/>
              </w:rPr>
              <w:t>/</w:t>
            </w:r>
          </w:p>
        </w:tc>
        <w:tc>
          <w:tcPr>
            <w:tcW w:w="850" w:type="dxa"/>
            <w:shd w:val="clear" w:color="auto" w:fill="auto"/>
            <w:vAlign w:val="center"/>
          </w:tcPr>
          <w:p w14:paraId="5A96EAE9">
            <w:pPr>
              <w:jc w:val="center"/>
              <w:rPr>
                <w:color w:val="000000"/>
                <w:kern w:val="0"/>
                <w:szCs w:val="21"/>
              </w:rPr>
            </w:pPr>
            <w:r>
              <w:rPr>
                <w:color w:val="000000"/>
                <w:kern w:val="0"/>
                <w:szCs w:val="21"/>
              </w:rPr>
              <w:t>60</w:t>
            </w:r>
          </w:p>
        </w:tc>
        <w:tc>
          <w:tcPr>
            <w:tcW w:w="770" w:type="dxa"/>
            <w:shd w:val="clear" w:color="auto" w:fill="auto"/>
            <w:vAlign w:val="center"/>
          </w:tcPr>
          <w:p w14:paraId="6ABED11F">
            <w:pPr>
              <w:jc w:val="center"/>
              <w:rPr>
                <w:color w:val="000000"/>
                <w:kern w:val="0"/>
                <w:szCs w:val="21"/>
              </w:rPr>
            </w:pPr>
            <w:r>
              <w:rPr>
                <w:color w:val="000000"/>
                <w:kern w:val="0"/>
                <w:szCs w:val="21"/>
              </w:rPr>
              <w:t>1</w:t>
            </w:r>
          </w:p>
        </w:tc>
      </w:tr>
      <w:tr w14:paraId="0A48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BBAACB5">
            <w:pPr>
              <w:jc w:val="center"/>
              <w:rPr>
                <w:color w:val="000000"/>
                <w:kern w:val="0"/>
                <w:szCs w:val="21"/>
              </w:rPr>
            </w:pPr>
            <w:r>
              <w:rPr>
                <w:color w:val="000000"/>
                <w:kern w:val="0"/>
                <w:szCs w:val="21"/>
              </w:rPr>
              <w:t>10</w:t>
            </w:r>
          </w:p>
        </w:tc>
        <w:tc>
          <w:tcPr>
            <w:tcW w:w="1292" w:type="dxa"/>
            <w:shd w:val="clear" w:color="auto" w:fill="auto"/>
            <w:noWrap/>
            <w:vAlign w:val="center"/>
          </w:tcPr>
          <w:p w14:paraId="338078D1">
            <w:pPr>
              <w:jc w:val="center"/>
              <w:rPr>
                <w:rFonts w:ascii="宋体" w:hAnsi="宋体" w:cs="宋体"/>
                <w:color w:val="000000"/>
                <w:kern w:val="0"/>
                <w:sz w:val="22"/>
                <w:szCs w:val="22"/>
              </w:rPr>
            </w:pPr>
            <w:r>
              <w:rPr>
                <w:rFonts w:hint="eastAsia" w:ascii="宋体" w:hAnsi="宋体" w:cs="宋体"/>
                <w:color w:val="000000"/>
                <w:kern w:val="0"/>
                <w:sz w:val="22"/>
                <w:szCs w:val="22"/>
              </w:rPr>
              <w:t>始宁牛舍#10</w:t>
            </w:r>
          </w:p>
        </w:tc>
        <w:tc>
          <w:tcPr>
            <w:tcW w:w="851" w:type="dxa"/>
            <w:vMerge w:val="continue"/>
            <w:vAlign w:val="center"/>
          </w:tcPr>
          <w:p w14:paraId="62A7B454">
            <w:pPr>
              <w:jc w:val="center"/>
              <w:rPr>
                <w:rFonts w:ascii="宋体" w:hAnsi="宋体" w:cs="宋体"/>
                <w:color w:val="000000"/>
                <w:kern w:val="0"/>
                <w:sz w:val="22"/>
                <w:szCs w:val="22"/>
              </w:rPr>
            </w:pPr>
          </w:p>
        </w:tc>
        <w:tc>
          <w:tcPr>
            <w:tcW w:w="1984" w:type="dxa"/>
            <w:vMerge w:val="continue"/>
            <w:vAlign w:val="center"/>
          </w:tcPr>
          <w:p w14:paraId="56BDE284">
            <w:pPr>
              <w:jc w:val="center"/>
              <w:rPr>
                <w:rFonts w:ascii="宋体" w:hAnsi="宋体" w:cs="宋体"/>
                <w:color w:val="000000"/>
                <w:kern w:val="0"/>
                <w:sz w:val="22"/>
                <w:szCs w:val="22"/>
              </w:rPr>
            </w:pPr>
          </w:p>
        </w:tc>
        <w:tc>
          <w:tcPr>
            <w:tcW w:w="1560" w:type="dxa"/>
            <w:vMerge w:val="continue"/>
            <w:vAlign w:val="center"/>
          </w:tcPr>
          <w:p w14:paraId="4DA7C04A">
            <w:pPr>
              <w:jc w:val="center"/>
              <w:rPr>
                <w:rFonts w:ascii="宋体" w:hAnsi="宋体" w:cs="宋体"/>
                <w:color w:val="000000"/>
                <w:kern w:val="0"/>
                <w:sz w:val="22"/>
                <w:szCs w:val="22"/>
              </w:rPr>
            </w:pPr>
          </w:p>
        </w:tc>
        <w:tc>
          <w:tcPr>
            <w:tcW w:w="1134" w:type="dxa"/>
            <w:shd w:val="clear" w:color="auto" w:fill="auto"/>
            <w:noWrap/>
            <w:vAlign w:val="center"/>
          </w:tcPr>
          <w:p w14:paraId="3788A4A9">
            <w:pPr>
              <w:jc w:val="center"/>
              <w:rPr>
                <w:rFonts w:ascii="宋体" w:hAnsi="宋体" w:cs="宋体"/>
                <w:color w:val="000000"/>
                <w:kern w:val="0"/>
                <w:sz w:val="22"/>
                <w:szCs w:val="22"/>
              </w:rPr>
            </w:pPr>
            <w:r>
              <w:rPr>
                <w:rFonts w:hint="eastAsia" w:ascii="宋体" w:hAnsi="宋体" w:cs="宋体"/>
                <w:color w:val="000000"/>
                <w:kern w:val="0"/>
                <w:sz w:val="22"/>
                <w:szCs w:val="22"/>
              </w:rPr>
              <w:t>19.82</w:t>
            </w:r>
          </w:p>
        </w:tc>
        <w:tc>
          <w:tcPr>
            <w:tcW w:w="992" w:type="dxa"/>
            <w:shd w:val="clear" w:color="auto" w:fill="auto"/>
            <w:noWrap/>
            <w:vAlign w:val="center"/>
          </w:tcPr>
          <w:p w14:paraId="1021AFB4">
            <w:pPr>
              <w:jc w:val="center"/>
              <w:rPr>
                <w:rFonts w:ascii="宋体" w:hAnsi="宋体" w:cs="宋体"/>
                <w:color w:val="000000"/>
                <w:kern w:val="0"/>
                <w:sz w:val="22"/>
                <w:szCs w:val="22"/>
              </w:rPr>
            </w:pPr>
            <w:r>
              <w:rPr>
                <w:rFonts w:hint="eastAsia" w:ascii="宋体" w:hAnsi="宋体" w:cs="宋体"/>
                <w:color w:val="000000"/>
                <w:kern w:val="0"/>
                <w:sz w:val="22"/>
                <w:szCs w:val="22"/>
              </w:rPr>
              <w:t>188.35</w:t>
            </w:r>
          </w:p>
        </w:tc>
        <w:tc>
          <w:tcPr>
            <w:tcW w:w="850" w:type="dxa"/>
            <w:shd w:val="clear" w:color="auto" w:fill="auto"/>
            <w:vAlign w:val="center"/>
          </w:tcPr>
          <w:p w14:paraId="775E4ABA">
            <w:pPr>
              <w:jc w:val="center"/>
              <w:rPr>
                <w:color w:val="000000"/>
                <w:kern w:val="0"/>
                <w:szCs w:val="21"/>
              </w:rPr>
            </w:pPr>
            <w:r>
              <w:rPr>
                <w:color w:val="000000"/>
                <w:kern w:val="0"/>
                <w:szCs w:val="21"/>
              </w:rPr>
              <w:t>1.2</w:t>
            </w:r>
          </w:p>
        </w:tc>
        <w:tc>
          <w:tcPr>
            <w:tcW w:w="851" w:type="dxa"/>
            <w:shd w:val="clear" w:color="auto" w:fill="auto"/>
            <w:vAlign w:val="center"/>
          </w:tcPr>
          <w:p w14:paraId="7765C691">
            <w:pPr>
              <w:jc w:val="center"/>
              <w:rPr>
                <w:color w:val="000000"/>
                <w:kern w:val="0"/>
                <w:szCs w:val="21"/>
              </w:rPr>
            </w:pPr>
            <w:r>
              <w:rPr>
                <w:color w:val="000000"/>
                <w:kern w:val="0"/>
                <w:szCs w:val="21"/>
              </w:rPr>
              <w:t>/</w:t>
            </w:r>
          </w:p>
        </w:tc>
        <w:tc>
          <w:tcPr>
            <w:tcW w:w="890" w:type="dxa"/>
            <w:shd w:val="clear" w:color="auto" w:fill="auto"/>
            <w:vAlign w:val="center"/>
          </w:tcPr>
          <w:p w14:paraId="167F9267">
            <w:pPr>
              <w:jc w:val="center"/>
              <w:rPr>
                <w:color w:val="000000"/>
                <w:kern w:val="0"/>
                <w:szCs w:val="21"/>
              </w:rPr>
            </w:pPr>
            <w:r>
              <w:rPr>
                <w:color w:val="000000"/>
                <w:kern w:val="0"/>
                <w:szCs w:val="21"/>
              </w:rPr>
              <w:t>60</w:t>
            </w:r>
          </w:p>
        </w:tc>
        <w:tc>
          <w:tcPr>
            <w:tcW w:w="669" w:type="dxa"/>
            <w:vMerge w:val="continue"/>
            <w:vAlign w:val="center"/>
          </w:tcPr>
          <w:p w14:paraId="37203849">
            <w:pPr>
              <w:jc w:val="center"/>
              <w:rPr>
                <w:rFonts w:ascii="宋体" w:hAnsi="宋体" w:cs="宋体"/>
                <w:color w:val="000000"/>
                <w:kern w:val="0"/>
                <w:sz w:val="22"/>
                <w:szCs w:val="22"/>
              </w:rPr>
            </w:pPr>
          </w:p>
        </w:tc>
        <w:tc>
          <w:tcPr>
            <w:tcW w:w="851" w:type="dxa"/>
            <w:shd w:val="clear" w:color="auto" w:fill="auto"/>
            <w:vAlign w:val="center"/>
          </w:tcPr>
          <w:p w14:paraId="6A1C0B34">
            <w:pPr>
              <w:jc w:val="center"/>
              <w:rPr>
                <w:color w:val="000000"/>
                <w:kern w:val="0"/>
                <w:szCs w:val="21"/>
              </w:rPr>
            </w:pPr>
            <w:r>
              <w:rPr>
                <w:color w:val="000000"/>
                <w:kern w:val="0"/>
                <w:szCs w:val="21"/>
              </w:rPr>
              <w:t>/</w:t>
            </w:r>
          </w:p>
        </w:tc>
        <w:tc>
          <w:tcPr>
            <w:tcW w:w="850" w:type="dxa"/>
            <w:shd w:val="clear" w:color="auto" w:fill="auto"/>
            <w:vAlign w:val="center"/>
          </w:tcPr>
          <w:p w14:paraId="50E6BD0E">
            <w:pPr>
              <w:jc w:val="center"/>
              <w:rPr>
                <w:color w:val="000000"/>
                <w:kern w:val="0"/>
                <w:szCs w:val="21"/>
              </w:rPr>
            </w:pPr>
            <w:r>
              <w:rPr>
                <w:color w:val="000000"/>
                <w:kern w:val="0"/>
                <w:szCs w:val="21"/>
              </w:rPr>
              <w:t>60</w:t>
            </w:r>
          </w:p>
        </w:tc>
        <w:tc>
          <w:tcPr>
            <w:tcW w:w="770" w:type="dxa"/>
            <w:shd w:val="clear" w:color="auto" w:fill="auto"/>
            <w:vAlign w:val="center"/>
          </w:tcPr>
          <w:p w14:paraId="3EEFA2E5">
            <w:pPr>
              <w:jc w:val="center"/>
              <w:rPr>
                <w:color w:val="000000"/>
                <w:kern w:val="0"/>
                <w:szCs w:val="21"/>
              </w:rPr>
            </w:pPr>
            <w:r>
              <w:rPr>
                <w:color w:val="000000"/>
                <w:kern w:val="0"/>
                <w:szCs w:val="21"/>
              </w:rPr>
              <w:t>1</w:t>
            </w:r>
          </w:p>
        </w:tc>
      </w:tr>
      <w:tr w14:paraId="52D7B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C7B6ACA">
            <w:pPr>
              <w:jc w:val="center"/>
              <w:rPr>
                <w:color w:val="000000"/>
                <w:kern w:val="0"/>
                <w:szCs w:val="21"/>
              </w:rPr>
            </w:pPr>
            <w:r>
              <w:rPr>
                <w:color w:val="000000"/>
                <w:kern w:val="0"/>
                <w:szCs w:val="21"/>
              </w:rPr>
              <w:t>11</w:t>
            </w:r>
          </w:p>
        </w:tc>
        <w:tc>
          <w:tcPr>
            <w:tcW w:w="1292" w:type="dxa"/>
            <w:shd w:val="clear" w:color="auto" w:fill="auto"/>
            <w:noWrap/>
            <w:vAlign w:val="center"/>
          </w:tcPr>
          <w:p w14:paraId="15BC9217">
            <w:pPr>
              <w:jc w:val="center"/>
              <w:rPr>
                <w:rFonts w:ascii="宋体" w:hAnsi="宋体" w:cs="宋体"/>
                <w:color w:val="000000"/>
                <w:kern w:val="0"/>
                <w:sz w:val="22"/>
                <w:szCs w:val="22"/>
              </w:rPr>
            </w:pPr>
            <w:r>
              <w:rPr>
                <w:rFonts w:hint="eastAsia" w:ascii="宋体" w:hAnsi="宋体" w:cs="宋体"/>
                <w:color w:val="000000"/>
                <w:kern w:val="0"/>
                <w:sz w:val="22"/>
                <w:szCs w:val="22"/>
              </w:rPr>
              <w:t>始宁牛舍#11</w:t>
            </w:r>
          </w:p>
        </w:tc>
        <w:tc>
          <w:tcPr>
            <w:tcW w:w="851" w:type="dxa"/>
            <w:vMerge w:val="continue"/>
            <w:vAlign w:val="center"/>
          </w:tcPr>
          <w:p w14:paraId="7E3D3380">
            <w:pPr>
              <w:jc w:val="center"/>
              <w:rPr>
                <w:rFonts w:ascii="宋体" w:hAnsi="宋体" w:cs="宋体"/>
                <w:color w:val="000000"/>
                <w:kern w:val="0"/>
                <w:sz w:val="22"/>
                <w:szCs w:val="22"/>
              </w:rPr>
            </w:pPr>
          </w:p>
        </w:tc>
        <w:tc>
          <w:tcPr>
            <w:tcW w:w="1984" w:type="dxa"/>
            <w:vMerge w:val="continue"/>
            <w:vAlign w:val="center"/>
          </w:tcPr>
          <w:p w14:paraId="0CEDA9B8">
            <w:pPr>
              <w:jc w:val="center"/>
              <w:rPr>
                <w:rFonts w:ascii="宋体" w:hAnsi="宋体" w:cs="宋体"/>
                <w:color w:val="000000"/>
                <w:kern w:val="0"/>
                <w:sz w:val="22"/>
                <w:szCs w:val="22"/>
              </w:rPr>
            </w:pPr>
          </w:p>
        </w:tc>
        <w:tc>
          <w:tcPr>
            <w:tcW w:w="1560" w:type="dxa"/>
            <w:vMerge w:val="continue"/>
            <w:vAlign w:val="center"/>
          </w:tcPr>
          <w:p w14:paraId="1494A0D5">
            <w:pPr>
              <w:jc w:val="center"/>
              <w:rPr>
                <w:rFonts w:ascii="宋体" w:hAnsi="宋体" w:cs="宋体"/>
                <w:color w:val="000000"/>
                <w:kern w:val="0"/>
                <w:sz w:val="22"/>
                <w:szCs w:val="22"/>
              </w:rPr>
            </w:pPr>
          </w:p>
        </w:tc>
        <w:tc>
          <w:tcPr>
            <w:tcW w:w="1134" w:type="dxa"/>
            <w:shd w:val="clear" w:color="auto" w:fill="auto"/>
            <w:noWrap/>
            <w:vAlign w:val="center"/>
          </w:tcPr>
          <w:p w14:paraId="24EACC92">
            <w:pPr>
              <w:jc w:val="center"/>
              <w:rPr>
                <w:rFonts w:ascii="宋体" w:hAnsi="宋体" w:cs="宋体"/>
                <w:color w:val="000000"/>
                <w:kern w:val="0"/>
                <w:sz w:val="22"/>
                <w:szCs w:val="22"/>
              </w:rPr>
            </w:pPr>
            <w:r>
              <w:rPr>
                <w:rFonts w:hint="eastAsia" w:ascii="宋体" w:hAnsi="宋体" w:cs="宋体"/>
                <w:color w:val="000000"/>
                <w:kern w:val="0"/>
                <w:sz w:val="22"/>
                <w:szCs w:val="22"/>
              </w:rPr>
              <w:t>41.04</w:t>
            </w:r>
          </w:p>
        </w:tc>
        <w:tc>
          <w:tcPr>
            <w:tcW w:w="992" w:type="dxa"/>
            <w:shd w:val="clear" w:color="auto" w:fill="auto"/>
            <w:noWrap/>
            <w:vAlign w:val="center"/>
          </w:tcPr>
          <w:p w14:paraId="5EB6B190">
            <w:pPr>
              <w:jc w:val="center"/>
              <w:rPr>
                <w:rFonts w:ascii="宋体" w:hAnsi="宋体" w:cs="宋体"/>
                <w:color w:val="000000"/>
                <w:kern w:val="0"/>
                <w:sz w:val="22"/>
                <w:szCs w:val="22"/>
              </w:rPr>
            </w:pPr>
            <w:r>
              <w:rPr>
                <w:rFonts w:hint="eastAsia" w:ascii="宋体" w:hAnsi="宋体" w:cs="宋体"/>
                <w:color w:val="000000"/>
                <w:kern w:val="0"/>
                <w:sz w:val="22"/>
                <w:szCs w:val="22"/>
              </w:rPr>
              <w:t>222.76</w:t>
            </w:r>
          </w:p>
        </w:tc>
        <w:tc>
          <w:tcPr>
            <w:tcW w:w="850" w:type="dxa"/>
            <w:shd w:val="clear" w:color="auto" w:fill="auto"/>
            <w:vAlign w:val="center"/>
          </w:tcPr>
          <w:p w14:paraId="21C6C7D1">
            <w:pPr>
              <w:jc w:val="center"/>
              <w:rPr>
                <w:color w:val="000000"/>
                <w:kern w:val="0"/>
                <w:szCs w:val="21"/>
              </w:rPr>
            </w:pPr>
            <w:r>
              <w:rPr>
                <w:color w:val="000000"/>
                <w:kern w:val="0"/>
                <w:szCs w:val="21"/>
              </w:rPr>
              <w:t>1.2</w:t>
            </w:r>
          </w:p>
        </w:tc>
        <w:tc>
          <w:tcPr>
            <w:tcW w:w="851" w:type="dxa"/>
            <w:shd w:val="clear" w:color="auto" w:fill="auto"/>
            <w:vAlign w:val="center"/>
          </w:tcPr>
          <w:p w14:paraId="61EC62FB">
            <w:pPr>
              <w:jc w:val="center"/>
              <w:rPr>
                <w:color w:val="000000"/>
                <w:kern w:val="0"/>
                <w:szCs w:val="21"/>
              </w:rPr>
            </w:pPr>
            <w:r>
              <w:rPr>
                <w:color w:val="000000"/>
                <w:kern w:val="0"/>
                <w:szCs w:val="21"/>
              </w:rPr>
              <w:t>/</w:t>
            </w:r>
          </w:p>
        </w:tc>
        <w:tc>
          <w:tcPr>
            <w:tcW w:w="890" w:type="dxa"/>
            <w:shd w:val="clear" w:color="auto" w:fill="auto"/>
            <w:vAlign w:val="center"/>
          </w:tcPr>
          <w:p w14:paraId="449E3104">
            <w:pPr>
              <w:jc w:val="center"/>
              <w:rPr>
                <w:color w:val="000000"/>
                <w:kern w:val="0"/>
                <w:szCs w:val="21"/>
              </w:rPr>
            </w:pPr>
            <w:r>
              <w:rPr>
                <w:color w:val="000000"/>
                <w:kern w:val="0"/>
                <w:szCs w:val="21"/>
              </w:rPr>
              <w:t>60</w:t>
            </w:r>
          </w:p>
        </w:tc>
        <w:tc>
          <w:tcPr>
            <w:tcW w:w="669" w:type="dxa"/>
            <w:vMerge w:val="continue"/>
            <w:vAlign w:val="center"/>
          </w:tcPr>
          <w:p w14:paraId="03CB4DA2">
            <w:pPr>
              <w:jc w:val="center"/>
              <w:rPr>
                <w:rFonts w:ascii="宋体" w:hAnsi="宋体" w:cs="宋体"/>
                <w:color w:val="000000"/>
                <w:kern w:val="0"/>
                <w:sz w:val="22"/>
                <w:szCs w:val="22"/>
              </w:rPr>
            </w:pPr>
          </w:p>
        </w:tc>
        <w:tc>
          <w:tcPr>
            <w:tcW w:w="851" w:type="dxa"/>
            <w:shd w:val="clear" w:color="auto" w:fill="auto"/>
            <w:vAlign w:val="center"/>
          </w:tcPr>
          <w:p w14:paraId="296DF7E6">
            <w:pPr>
              <w:jc w:val="center"/>
              <w:rPr>
                <w:color w:val="000000"/>
                <w:kern w:val="0"/>
                <w:szCs w:val="21"/>
              </w:rPr>
            </w:pPr>
            <w:r>
              <w:rPr>
                <w:color w:val="000000"/>
                <w:kern w:val="0"/>
                <w:szCs w:val="21"/>
              </w:rPr>
              <w:t>/</w:t>
            </w:r>
          </w:p>
        </w:tc>
        <w:tc>
          <w:tcPr>
            <w:tcW w:w="850" w:type="dxa"/>
            <w:shd w:val="clear" w:color="auto" w:fill="auto"/>
            <w:vAlign w:val="center"/>
          </w:tcPr>
          <w:p w14:paraId="7ACC074C">
            <w:pPr>
              <w:jc w:val="center"/>
              <w:rPr>
                <w:color w:val="000000"/>
                <w:kern w:val="0"/>
                <w:szCs w:val="21"/>
              </w:rPr>
            </w:pPr>
            <w:r>
              <w:rPr>
                <w:color w:val="000000"/>
                <w:kern w:val="0"/>
                <w:szCs w:val="21"/>
              </w:rPr>
              <w:t>60</w:t>
            </w:r>
          </w:p>
        </w:tc>
        <w:tc>
          <w:tcPr>
            <w:tcW w:w="770" w:type="dxa"/>
            <w:shd w:val="clear" w:color="auto" w:fill="auto"/>
            <w:vAlign w:val="center"/>
          </w:tcPr>
          <w:p w14:paraId="0040D929">
            <w:pPr>
              <w:jc w:val="center"/>
              <w:rPr>
                <w:color w:val="000000"/>
                <w:kern w:val="0"/>
                <w:szCs w:val="21"/>
              </w:rPr>
            </w:pPr>
            <w:r>
              <w:rPr>
                <w:color w:val="000000"/>
                <w:kern w:val="0"/>
                <w:szCs w:val="21"/>
              </w:rPr>
              <w:t>1</w:t>
            </w:r>
          </w:p>
        </w:tc>
      </w:tr>
      <w:tr w14:paraId="6E3A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38D7D387">
            <w:pPr>
              <w:jc w:val="center"/>
              <w:rPr>
                <w:color w:val="000000"/>
                <w:kern w:val="0"/>
                <w:szCs w:val="21"/>
              </w:rPr>
            </w:pPr>
            <w:r>
              <w:rPr>
                <w:color w:val="000000"/>
                <w:kern w:val="0"/>
                <w:szCs w:val="21"/>
              </w:rPr>
              <w:t>12</w:t>
            </w:r>
          </w:p>
        </w:tc>
        <w:tc>
          <w:tcPr>
            <w:tcW w:w="1292" w:type="dxa"/>
            <w:shd w:val="clear" w:color="auto" w:fill="auto"/>
            <w:noWrap/>
            <w:vAlign w:val="center"/>
          </w:tcPr>
          <w:p w14:paraId="4ADABD3B">
            <w:pPr>
              <w:jc w:val="center"/>
              <w:rPr>
                <w:rFonts w:ascii="宋体" w:hAnsi="宋体" w:cs="宋体"/>
                <w:color w:val="000000"/>
                <w:kern w:val="0"/>
                <w:sz w:val="22"/>
                <w:szCs w:val="22"/>
              </w:rPr>
            </w:pPr>
            <w:r>
              <w:rPr>
                <w:rFonts w:hint="eastAsia" w:ascii="宋体" w:hAnsi="宋体" w:cs="宋体"/>
                <w:color w:val="000000"/>
                <w:kern w:val="0"/>
                <w:sz w:val="22"/>
                <w:szCs w:val="22"/>
              </w:rPr>
              <w:t>始宁牛舍#12</w:t>
            </w:r>
          </w:p>
        </w:tc>
        <w:tc>
          <w:tcPr>
            <w:tcW w:w="851" w:type="dxa"/>
            <w:vMerge w:val="continue"/>
            <w:vAlign w:val="center"/>
          </w:tcPr>
          <w:p w14:paraId="449A5C72">
            <w:pPr>
              <w:jc w:val="center"/>
              <w:rPr>
                <w:rFonts w:ascii="宋体" w:hAnsi="宋体" w:cs="宋体"/>
                <w:color w:val="000000"/>
                <w:kern w:val="0"/>
                <w:sz w:val="22"/>
                <w:szCs w:val="22"/>
              </w:rPr>
            </w:pPr>
          </w:p>
        </w:tc>
        <w:tc>
          <w:tcPr>
            <w:tcW w:w="1984" w:type="dxa"/>
            <w:vMerge w:val="continue"/>
            <w:vAlign w:val="center"/>
          </w:tcPr>
          <w:p w14:paraId="70D95D59">
            <w:pPr>
              <w:jc w:val="center"/>
              <w:rPr>
                <w:rFonts w:ascii="宋体" w:hAnsi="宋体" w:cs="宋体"/>
                <w:color w:val="000000"/>
                <w:kern w:val="0"/>
                <w:sz w:val="22"/>
                <w:szCs w:val="22"/>
              </w:rPr>
            </w:pPr>
          </w:p>
        </w:tc>
        <w:tc>
          <w:tcPr>
            <w:tcW w:w="1560" w:type="dxa"/>
            <w:vMerge w:val="continue"/>
            <w:vAlign w:val="center"/>
          </w:tcPr>
          <w:p w14:paraId="5DDF1AAA">
            <w:pPr>
              <w:jc w:val="center"/>
              <w:rPr>
                <w:rFonts w:ascii="宋体" w:hAnsi="宋体" w:cs="宋体"/>
                <w:color w:val="000000"/>
                <w:kern w:val="0"/>
                <w:sz w:val="22"/>
                <w:szCs w:val="22"/>
              </w:rPr>
            </w:pPr>
          </w:p>
        </w:tc>
        <w:tc>
          <w:tcPr>
            <w:tcW w:w="1134" w:type="dxa"/>
            <w:shd w:val="clear" w:color="auto" w:fill="auto"/>
            <w:noWrap/>
            <w:vAlign w:val="center"/>
          </w:tcPr>
          <w:p w14:paraId="530EC4FF">
            <w:pPr>
              <w:jc w:val="center"/>
              <w:rPr>
                <w:rFonts w:ascii="宋体" w:hAnsi="宋体" w:cs="宋体"/>
                <w:color w:val="000000"/>
                <w:kern w:val="0"/>
                <w:sz w:val="22"/>
                <w:szCs w:val="22"/>
              </w:rPr>
            </w:pPr>
            <w:r>
              <w:rPr>
                <w:rFonts w:hint="eastAsia" w:ascii="宋体" w:hAnsi="宋体" w:cs="宋体"/>
                <w:color w:val="000000"/>
                <w:kern w:val="0"/>
                <w:sz w:val="22"/>
                <w:szCs w:val="22"/>
              </w:rPr>
              <w:t>92.66</w:t>
            </w:r>
          </w:p>
        </w:tc>
        <w:tc>
          <w:tcPr>
            <w:tcW w:w="992" w:type="dxa"/>
            <w:shd w:val="clear" w:color="auto" w:fill="auto"/>
            <w:noWrap/>
            <w:vAlign w:val="center"/>
          </w:tcPr>
          <w:p w14:paraId="78A85149">
            <w:pPr>
              <w:jc w:val="center"/>
              <w:rPr>
                <w:rFonts w:ascii="宋体" w:hAnsi="宋体" w:cs="宋体"/>
                <w:color w:val="000000"/>
                <w:kern w:val="0"/>
                <w:sz w:val="22"/>
                <w:szCs w:val="22"/>
              </w:rPr>
            </w:pPr>
            <w:r>
              <w:rPr>
                <w:rFonts w:hint="eastAsia" w:ascii="宋体" w:hAnsi="宋体" w:cs="宋体"/>
                <w:color w:val="000000"/>
                <w:kern w:val="0"/>
                <w:sz w:val="22"/>
                <w:szCs w:val="22"/>
              </w:rPr>
              <w:t>205.55</w:t>
            </w:r>
          </w:p>
        </w:tc>
        <w:tc>
          <w:tcPr>
            <w:tcW w:w="850" w:type="dxa"/>
            <w:shd w:val="clear" w:color="auto" w:fill="auto"/>
            <w:vAlign w:val="center"/>
          </w:tcPr>
          <w:p w14:paraId="6C4357E0">
            <w:pPr>
              <w:jc w:val="center"/>
              <w:rPr>
                <w:color w:val="000000"/>
                <w:kern w:val="0"/>
                <w:szCs w:val="21"/>
              </w:rPr>
            </w:pPr>
            <w:r>
              <w:rPr>
                <w:color w:val="000000"/>
                <w:kern w:val="0"/>
                <w:szCs w:val="21"/>
              </w:rPr>
              <w:t>1.2</w:t>
            </w:r>
          </w:p>
        </w:tc>
        <w:tc>
          <w:tcPr>
            <w:tcW w:w="851" w:type="dxa"/>
            <w:shd w:val="clear" w:color="auto" w:fill="auto"/>
            <w:vAlign w:val="center"/>
          </w:tcPr>
          <w:p w14:paraId="6E8F1E0A">
            <w:pPr>
              <w:jc w:val="center"/>
              <w:rPr>
                <w:color w:val="000000"/>
                <w:kern w:val="0"/>
                <w:szCs w:val="21"/>
              </w:rPr>
            </w:pPr>
            <w:r>
              <w:rPr>
                <w:color w:val="000000"/>
                <w:kern w:val="0"/>
                <w:szCs w:val="21"/>
              </w:rPr>
              <w:t>/</w:t>
            </w:r>
          </w:p>
        </w:tc>
        <w:tc>
          <w:tcPr>
            <w:tcW w:w="890" w:type="dxa"/>
            <w:shd w:val="clear" w:color="auto" w:fill="auto"/>
            <w:vAlign w:val="center"/>
          </w:tcPr>
          <w:p w14:paraId="0380549B">
            <w:pPr>
              <w:jc w:val="center"/>
              <w:rPr>
                <w:color w:val="000000"/>
                <w:kern w:val="0"/>
                <w:szCs w:val="21"/>
              </w:rPr>
            </w:pPr>
            <w:r>
              <w:rPr>
                <w:color w:val="000000"/>
                <w:kern w:val="0"/>
                <w:szCs w:val="21"/>
              </w:rPr>
              <w:t>60</w:t>
            </w:r>
          </w:p>
        </w:tc>
        <w:tc>
          <w:tcPr>
            <w:tcW w:w="669" w:type="dxa"/>
            <w:vMerge w:val="continue"/>
            <w:vAlign w:val="center"/>
          </w:tcPr>
          <w:p w14:paraId="6D3A723B">
            <w:pPr>
              <w:jc w:val="center"/>
              <w:rPr>
                <w:rFonts w:ascii="宋体" w:hAnsi="宋体" w:cs="宋体"/>
                <w:color w:val="000000"/>
                <w:kern w:val="0"/>
                <w:sz w:val="22"/>
                <w:szCs w:val="22"/>
              </w:rPr>
            </w:pPr>
          </w:p>
        </w:tc>
        <w:tc>
          <w:tcPr>
            <w:tcW w:w="851" w:type="dxa"/>
            <w:shd w:val="clear" w:color="auto" w:fill="auto"/>
            <w:vAlign w:val="center"/>
          </w:tcPr>
          <w:p w14:paraId="763D3CEA">
            <w:pPr>
              <w:jc w:val="center"/>
              <w:rPr>
                <w:color w:val="000000"/>
                <w:kern w:val="0"/>
                <w:szCs w:val="21"/>
              </w:rPr>
            </w:pPr>
            <w:r>
              <w:rPr>
                <w:color w:val="000000"/>
                <w:kern w:val="0"/>
                <w:szCs w:val="21"/>
              </w:rPr>
              <w:t>/</w:t>
            </w:r>
          </w:p>
        </w:tc>
        <w:tc>
          <w:tcPr>
            <w:tcW w:w="850" w:type="dxa"/>
            <w:shd w:val="clear" w:color="auto" w:fill="auto"/>
            <w:vAlign w:val="center"/>
          </w:tcPr>
          <w:p w14:paraId="2656C409">
            <w:pPr>
              <w:jc w:val="center"/>
              <w:rPr>
                <w:color w:val="000000"/>
                <w:kern w:val="0"/>
                <w:szCs w:val="21"/>
              </w:rPr>
            </w:pPr>
            <w:r>
              <w:rPr>
                <w:color w:val="000000"/>
                <w:kern w:val="0"/>
                <w:szCs w:val="21"/>
              </w:rPr>
              <w:t>60</w:t>
            </w:r>
          </w:p>
        </w:tc>
        <w:tc>
          <w:tcPr>
            <w:tcW w:w="770" w:type="dxa"/>
            <w:shd w:val="clear" w:color="auto" w:fill="auto"/>
            <w:vAlign w:val="center"/>
          </w:tcPr>
          <w:p w14:paraId="69AB5DD1">
            <w:pPr>
              <w:jc w:val="center"/>
              <w:rPr>
                <w:color w:val="000000"/>
                <w:kern w:val="0"/>
                <w:szCs w:val="21"/>
              </w:rPr>
            </w:pPr>
            <w:r>
              <w:rPr>
                <w:color w:val="000000"/>
                <w:kern w:val="0"/>
                <w:szCs w:val="21"/>
              </w:rPr>
              <w:t>1</w:t>
            </w:r>
          </w:p>
        </w:tc>
      </w:tr>
      <w:tr w14:paraId="7F77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850E36A">
            <w:pPr>
              <w:jc w:val="center"/>
              <w:rPr>
                <w:color w:val="000000"/>
                <w:kern w:val="0"/>
                <w:szCs w:val="21"/>
              </w:rPr>
            </w:pPr>
            <w:r>
              <w:rPr>
                <w:color w:val="000000"/>
                <w:kern w:val="0"/>
                <w:szCs w:val="21"/>
              </w:rPr>
              <w:t>13</w:t>
            </w:r>
          </w:p>
        </w:tc>
        <w:tc>
          <w:tcPr>
            <w:tcW w:w="1292" w:type="dxa"/>
            <w:vMerge w:val="restart"/>
            <w:shd w:val="clear" w:color="auto" w:fill="auto"/>
            <w:vAlign w:val="center"/>
          </w:tcPr>
          <w:p w14:paraId="02314615">
            <w:pPr>
              <w:jc w:val="center"/>
              <w:rPr>
                <w:rFonts w:ascii="宋体" w:hAnsi="宋体" w:cs="宋体"/>
                <w:color w:val="000000"/>
                <w:kern w:val="0"/>
                <w:szCs w:val="21"/>
              </w:rPr>
            </w:pPr>
            <w:r>
              <w:rPr>
                <w:rFonts w:hint="eastAsia" w:ascii="宋体" w:hAnsi="宋体" w:cs="宋体"/>
                <w:color w:val="000000"/>
                <w:kern w:val="0"/>
                <w:szCs w:val="21"/>
              </w:rPr>
              <w:t>饲料加工厂房</w:t>
            </w:r>
          </w:p>
        </w:tc>
        <w:tc>
          <w:tcPr>
            <w:tcW w:w="851" w:type="dxa"/>
            <w:shd w:val="clear" w:color="auto" w:fill="auto"/>
            <w:vAlign w:val="center"/>
          </w:tcPr>
          <w:p w14:paraId="375A4EAC">
            <w:pPr>
              <w:jc w:val="center"/>
              <w:rPr>
                <w:rFonts w:ascii="宋体" w:hAnsi="宋体" w:cs="宋体"/>
                <w:color w:val="000000"/>
                <w:kern w:val="0"/>
                <w:szCs w:val="21"/>
              </w:rPr>
            </w:pPr>
            <w:r>
              <w:rPr>
                <w:rFonts w:hint="eastAsia" w:ascii="宋体" w:hAnsi="宋体" w:cs="宋体"/>
                <w:color w:val="000000"/>
                <w:kern w:val="0"/>
                <w:szCs w:val="21"/>
              </w:rPr>
              <w:t>精料加工设备#1</w:t>
            </w:r>
          </w:p>
        </w:tc>
        <w:tc>
          <w:tcPr>
            <w:tcW w:w="1984" w:type="dxa"/>
            <w:shd w:val="clear" w:color="auto" w:fill="auto"/>
            <w:vAlign w:val="center"/>
          </w:tcPr>
          <w:p w14:paraId="1E88FB6C">
            <w:pPr>
              <w:jc w:val="center"/>
              <w:rPr>
                <w:color w:val="000000"/>
                <w:kern w:val="0"/>
                <w:szCs w:val="21"/>
              </w:rPr>
            </w:pPr>
            <w:r>
              <w:rPr>
                <w:color w:val="000000"/>
                <w:kern w:val="0"/>
                <w:szCs w:val="21"/>
              </w:rPr>
              <w:t>85</w:t>
            </w:r>
          </w:p>
        </w:tc>
        <w:tc>
          <w:tcPr>
            <w:tcW w:w="1560" w:type="dxa"/>
            <w:vMerge w:val="restart"/>
            <w:shd w:val="clear" w:color="auto" w:fill="auto"/>
            <w:noWrap/>
            <w:vAlign w:val="center"/>
          </w:tcPr>
          <w:p w14:paraId="08222E09">
            <w:pPr>
              <w:jc w:val="center"/>
              <w:rPr>
                <w:rFonts w:ascii="宋体" w:hAnsi="宋体" w:cs="宋体"/>
                <w:color w:val="000000"/>
                <w:kern w:val="0"/>
                <w:sz w:val="22"/>
                <w:szCs w:val="22"/>
              </w:rPr>
            </w:pPr>
            <w:r>
              <w:rPr>
                <w:rFonts w:hint="eastAsia" w:ascii="宋体" w:hAnsi="宋体" w:cs="宋体"/>
                <w:color w:val="000000"/>
                <w:kern w:val="0"/>
                <w:sz w:val="22"/>
                <w:szCs w:val="22"/>
              </w:rPr>
              <w:t>选用低噪声设备、基础减震、厂房隔声</w:t>
            </w:r>
          </w:p>
        </w:tc>
        <w:tc>
          <w:tcPr>
            <w:tcW w:w="1134" w:type="dxa"/>
            <w:shd w:val="clear" w:color="auto" w:fill="auto"/>
            <w:noWrap/>
            <w:vAlign w:val="center"/>
          </w:tcPr>
          <w:p w14:paraId="224CD3E8">
            <w:pPr>
              <w:jc w:val="center"/>
              <w:rPr>
                <w:rFonts w:ascii="宋体" w:hAnsi="宋体" w:cs="宋体"/>
                <w:color w:val="000000"/>
                <w:kern w:val="0"/>
                <w:sz w:val="22"/>
                <w:szCs w:val="22"/>
              </w:rPr>
            </w:pPr>
            <w:r>
              <w:rPr>
                <w:rFonts w:hint="eastAsia" w:ascii="宋体" w:hAnsi="宋体" w:cs="宋体"/>
                <w:color w:val="000000"/>
                <w:kern w:val="0"/>
                <w:sz w:val="22"/>
                <w:szCs w:val="22"/>
              </w:rPr>
              <w:t>-11.91</w:t>
            </w:r>
          </w:p>
        </w:tc>
        <w:tc>
          <w:tcPr>
            <w:tcW w:w="992" w:type="dxa"/>
            <w:shd w:val="clear" w:color="auto" w:fill="auto"/>
            <w:noWrap/>
            <w:vAlign w:val="center"/>
          </w:tcPr>
          <w:p w14:paraId="786A2D71">
            <w:pPr>
              <w:jc w:val="center"/>
              <w:rPr>
                <w:rFonts w:ascii="宋体" w:hAnsi="宋体" w:cs="宋体"/>
                <w:color w:val="000000"/>
                <w:kern w:val="0"/>
                <w:sz w:val="22"/>
                <w:szCs w:val="22"/>
              </w:rPr>
            </w:pPr>
            <w:r>
              <w:rPr>
                <w:rFonts w:hint="eastAsia" w:ascii="宋体" w:hAnsi="宋体" w:cs="宋体"/>
                <w:color w:val="000000"/>
                <w:kern w:val="0"/>
                <w:sz w:val="22"/>
                <w:szCs w:val="22"/>
              </w:rPr>
              <w:t>199.58</w:t>
            </w:r>
          </w:p>
        </w:tc>
        <w:tc>
          <w:tcPr>
            <w:tcW w:w="850" w:type="dxa"/>
            <w:shd w:val="clear" w:color="auto" w:fill="auto"/>
            <w:vAlign w:val="center"/>
          </w:tcPr>
          <w:p w14:paraId="1C5E30CE">
            <w:pPr>
              <w:jc w:val="center"/>
              <w:rPr>
                <w:color w:val="000000"/>
                <w:kern w:val="0"/>
                <w:szCs w:val="21"/>
              </w:rPr>
            </w:pPr>
            <w:r>
              <w:rPr>
                <w:color w:val="000000"/>
                <w:kern w:val="0"/>
                <w:szCs w:val="21"/>
              </w:rPr>
              <w:t>1</w:t>
            </w:r>
          </w:p>
        </w:tc>
        <w:tc>
          <w:tcPr>
            <w:tcW w:w="851" w:type="dxa"/>
            <w:shd w:val="clear" w:color="auto" w:fill="auto"/>
            <w:vAlign w:val="center"/>
          </w:tcPr>
          <w:p w14:paraId="6482FFE9">
            <w:pPr>
              <w:jc w:val="center"/>
              <w:rPr>
                <w:rFonts w:ascii="宋体" w:hAnsi="宋体" w:cs="宋体"/>
                <w:color w:val="000000"/>
                <w:kern w:val="0"/>
                <w:szCs w:val="21"/>
              </w:rPr>
            </w:pPr>
            <w:r>
              <w:rPr>
                <w:rFonts w:hint="eastAsia" w:ascii="宋体" w:hAnsi="宋体" w:cs="宋体"/>
                <w:color w:val="000000"/>
                <w:kern w:val="0"/>
                <w:szCs w:val="21"/>
              </w:rPr>
              <w:t>3（东）</w:t>
            </w:r>
          </w:p>
        </w:tc>
        <w:tc>
          <w:tcPr>
            <w:tcW w:w="890" w:type="dxa"/>
            <w:shd w:val="clear" w:color="auto" w:fill="auto"/>
            <w:vAlign w:val="center"/>
          </w:tcPr>
          <w:p w14:paraId="10A08CE0">
            <w:pPr>
              <w:jc w:val="center"/>
              <w:rPr>
                <w:color w:val="000000"/>
                <w:kern w:val="0"/>
                <w:szCs w:val="21"/>
              </w:rPr>
            </w:pPr>
            <w:r>
              <w:rPr>
                <w:color w:val="000000"/>
                <w:kern w:val="0"/>
                <w:szCs w:val="21"/>
              </w:rPr>
              <w:t>65</w:t>
            </w:r>
          </w:p>
        </w:tc>
        <w:tc>
          <w:tcPr>
            <w:tcW w:w="669" w:type="dxa"/>
            <w:vMerge w:val="restart"/>
            <w:shd w:val="clear" w:color="auto" w:fill="auto"/>
            <w:vAlign w:val="center"/>
          </w:tcPr>
          <w:p w14:paraId="7A49312F">
            <w:pPr>
              <w:jc w:val="center"/>
              <w:rPr>
                <w:rFonts w:ascii="宋体" w:hAnsi="宋体" w:cs="宋体"/>
                <w:color w:val="000000"/>
                <w:kern w:val="0"/>
                <w:szCs w:val="21"/>
              </w:rPr>
            </w:pPr>
            <w:r>
              <w:rPr>
                <w:rFonts w:hint="eastAsia" w:ascii="宋体" w:hAnsi="宋体" w:cs="宋体"/>
                <w:color w:val="000000"/>
                <w:kern w:val="0"/>
                <w:szCs w:val="21"/>
              </w:rPr>
              <w:t>昼间</w:t>
            </w:r>
          </w:p>
        </w:tc>
        <w:tc>
          <w:tcPr>
            <w:tcW w:w="851" w:type="dxa"/>
            <w:shd w:val="clear" w:color="auto" w:fill="auto"/>
            <w:vAlign w:val="center"/>
          </w:tcPr>
          <w:p w14:paraId="64F0C0AC">
            <w:pPr>
              <w:jc w:val="center"/>
              <w:rPr>
                <w:color w:val="000000"/>
                <w:kern w:val="0"/>
                <w:szCs w:val="21"/>
              </w:rPr>
            </w:pPr>
            <w:r>
              <w:rPr>
                <w:color w:val="000000"/>
                <w:kern w:val="0"/>
                <w:szCs w:val="21"/>
              </w:rPr>
              <w:t>15</w:t>
            </w:r>
          </w:p>
        </w:tc>
        <w:tc>
          <w:tcPr>
            <w:tcW w:w="850" w:type="dxa"/>
            <w:shd w:val="clear" w:color="auto" w:fill="auto"/>
            <w:vAlign w:val="center"/>
          </w:tcPr>
          <w:p w14:paraId="031C7635">
            <w:pPr>
              <w:jc w:val="center"/>
              <w:rPr>
                <w:color w:val="000000"/>
                <w:kern w:val="0"/>
                <w:szCs w:val="21"/>
              </w:rPr>
            </w:pPr>
            <w:r>
              <w:rPr>
                <w:color w:val="000000"/>
                <w:kern w:val="0"/>
                <w:szCs w:val="21"/>
              </w:rPr>
              <w:t>50</w:t>
            </w:r>
          </w:p>
        </w:tc>
        <w:tc>
          <w:tcPr>
            <w:tcW w:w="770" w:type="dxa"/>
            <w:shd w:val="clear" w:color="auto" w:fill="auto"/>
            <w:vAlign w:val="center"/>
          </w:tcPr>
          <w:p w14:paraId="75EF7C0F">
            <w:pPr>
              <w:jc w:val="center"/>
              <w:rPr>
                <w:color w:val="000000"/>
                <w:kern w:val="0"/>
                <w:szCs w:val="21"/>
              </w:rPr>
            </w:pPr>
            <w:r>
              <w:rPr>
                <w:color w:val="000000"/>
                <w:kern w:val="0"/>
                <w:szCs w:val="21"/>
              </w:rPr>
              <w:t>1</w:t>
            </w:r>
          </w:p>
        </w:tc>
      </w:tr>
      <w:tr w14:paraId="1BC4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C70876F">
            <w:pPr>
              <w:jc w:val="center"/>
              <w:rPr>
                <w:color w:val="000000"/>
                <w:kern w:val="0"/>
                <w:szCs w:val="21"/>
              </w:rPr>
            </w:pPr>
            <w:r>
              <w:rPr>
                <w:color w:val="000000"/>
                <w:kern w:val="0"/>
                <w:szCs w:val="21"/>
              </w:rPr>
              <w:t>14</w:t>
            </w:r>
          </w:p>
        </w:tc>
        <w:tc>
          <w:tcPr>
            <w:tcW w:w="1292" w:type="dxa"/>
            <w:vMerge w:val="continue"/>
            <w:vAlign w:val="center"/>
          </w:tcPr>
          <w:p w14:paraId="24087795">
            <w:pPr>
              <w:jc w:val="center"/>
              <w:rPr>
                <w:rFonts w:ascii="宋体" w:hAnsi="宋体" w:cs="宋体"/>
                <w:color w:val="000000"/>
                <w:kern w:val="0"/>
                <w:szCs w:val="21"/>
              </w:rPr>
            </w:pPr>
          </w:p>
        </w:tc>
        <w:tc>
          <w:tcPr>
            <w:tcW w:w="851" w:type="dxa"/>
            <w:shd w:val="clear" w:color="auto" w:fill="auto"/>
            <w:vAlign w:val="center"/>
          </w:tcPr>
          <w:p w14:paraId="73E042D4">
            <w:pPr>
              <w:jc w:val="center"/>
              <w:rPr>
                <w:rFonts w:ascii="宋体" w:hAnsi="宋体" w:cs="宋体"/>
                <w:color w:val="000000"/>
                <w:kern w:val="0"/>
                <w:szCs w:val="21"/>
              </w:rPr>
            </w:pPr>
            <w:r>
              <w:rPr>
                <w:rFonts w:hint="eastAsia" w:ascii="宋体" w:hAnsi="宋体" w:cs="宋体"/>
                <w:color w:val="000000"/>
                <w:kern w:val="0"/>
                <w:szCs w:val="21"/>
              </w:rPr>
              <w:t>精料加工设备#2</w:t>
            </w:r>
          </w:p>
        </w:tc>
        <w:tc>
          <w:tcPr>
            <w:tcW w:w="1984" w:type="dxa"/>
            <w:shd w:val="clear" w:color="auto" w:fill="auto"/>
            <w:vAlign w:val="center"/>
          </w:tcPr>
          <w:p w14:paraId="7D70A597">
            <w:pPr>
              <w:jc w:val="center"/>
              <w:rPr>
                <w:color w:val="000000"/>
                <w:kern w:val="0"/>
                <w:szCs w:val="21"/>
              </w:rPr>
            </w:pPr>
            <w:r>
              <w:rPr>
                <w:color w:val="000000"/>
                <w:kern w:val="0"/>
                <w:szCs w:val="21"/>
              </w:rPr>
              <w:t>85</w:t>
            </w:r>
          </w:p>
        </w:tc>
        <w:tc>
          <w:tcPr>
            <w:tcW w:w="1560" w:type="dxa"/>
            <w:vMerge w:val="continue"/>
            <w:vAlign w:val="center"/>
          </w:tcPr>
          <w:p w14:paraId="658D8551">
            <w:pPr>
              <w:jc w:val="center"/>
              <w:rPr>
                <w:rFonts w:ascii="宋体" w:hAnsi="宋体" w:cs="宋体"/>
                <w:color w:val="000000"/>
                <w:kern w:val="0"/>
                <w:sz w:val="22"/>
                <w:szCs w:val="22"/>
              </w:rPr>
            </w:pPr>
          </w:p>
        </w:tc>
        <w:tc>
          <w:tcPr>
            <w:tcW w:w="1134" w:type="dxa"/>
            <w:shd w:val="clear" w:color="auto" w:fill="auto"/>
            <w:noWrap/>
            <w:vAlign w:val="center"/>
          </w:tcPr>
          <w:p w14:paraId="0140712F">
            <w:pPr>
              <w:jc w:val="center"/>
              <w:rPr>
                <w:rFonts w:ascii="宋体" w:hAnsi="宋体" w:cs="宋体"/>
                <w:color w:val="000000"/>
                <w:kern w:val="0"/>
                <w:sz w:val="22"/>
                <w:szCs w:val="22"/>
              </w:rPr>
            </w:pPr>
            <w:r>
              <w:rPr>
                <w:rFonts w:hint="eastAsia" w:ascii="宋体" w:hAnsi="宋体" w:cs="宋体"/>
                <w:color w:val="000000"/>
                <w:kern w:val="0"/>
                <w:sz w:val="22"/>
                <w:szCs w:val="22"/>
              </w:rPr>
              <w:t>-7.02</w:t>
            </w:r>
          </w:p>
        </w:tc>
        <w:tc>
          <w:tcPr>
            <w:tcW w:w="992" w:type="dxa"/>
            <w:shd w:val="clear" w:color="auto" w:fill="auto"/>
            <w:noWrap/>
            <w:vAlign w:val="center"/>
          </w:tcPr>
          <w:p w14:paraId="2042DC1D">
            <w:pPr>
              <w:jc w:val="center"/>
              <w:rPr>
                <w:rFonts w:ascii="宋体" w:hAnsi="宋体" w:cs="宋体"/>
                <w:color w:val="000000"/>
                <w:kern w:val="0"/>
                <w:sz w:val="22"/>
                <w:szCs w:val="22"/>
              </w:rPr>
            </w:pPr>
            <w:r>
              <w:rPr>
                <w:rFonts w:hint="eastAsia" w:ascii="宋体" w:hAnsi="宋体" w:cs="宋体"/>
                <w:color w:val="000000"/>
                <w:kern w:val="0"/>
                <w:sz w:val="22"/>
                <w:szCs w:val="22"/>
              </w:rPr>
              <w:t>207.06</w:t>
            </w:r>
          </w:p>
        </w:tc>
        <w:tc>
          <w:tcPr>
            <w:tcW w:w="850" w:type="dxa"/>
            <w:shd w:val="clear" w:color="auto" w:fill="auto"/>
            <w:vAlign w:val="center"/>
          </w:tcPr>
          <w:p w14:paraId="4002F551">
            <w:pPr>
              <w:jc w:val="center"/>
              <w:rPr>
                <w:color w:val="000000"/>
                <w:kern w:val="0"/>
                <w:szCs w:val="21"/>
              </w:rPr>
            </w:pPr>
            <w:r>
              <w:rPr>
                <w:color w:val="000000"/>
                <w:kern w:val="0"/>
                <w:szCs w:val="21"/>
              </w:rPr>
              <w:t>1</w:t>
            </w:r>
          </w:p>
        </w:tc>
        <w:tc>
          <w:tcPr>
            <w:tcW w:w="851" w:type="dxa"/>
            <w:shd w:val="clear" w:color="auto" w:fill="auto"/>
            <w:vAlign w:val="center"/>
          </w:tcPr>
          <w:p w14:paraId="4C89ECEB">
            <w:pPr>
              <w:jc w:val="center"/>
              <w:rPr>
                <w:rFonts w:ascii="宋体" w:hAnsi="宋体" w:cs="宋体"/>
                <w:color w:val="000000"/>
                <w:kern w:val="0"/>
                <w:szCs w:val="21"/>
              </w:rPr>
            </w:pPr>
            <w:r>
              <w:rPr>
                <w:rFonts w:hint="eastAsia" w:ascii="宋体" w:hAnsi="宋体" w:cs="宋体"/>
                <w:color w:val="000000"/>
                <w:kern w:val="0"/>
                <w:szCs w:val="21"/>
              </w:rPr>
              <w:t>3（东）</w:t>
            </w:r>
          </w:p>
        </w:tc>
        <w:tc>
          <w:tcPr>
            <w:tcW w:w="890" w:type="dxa"/>
            <w:shd w:val="clear" w:color="auto" w:fill="auto"/>
            <w:vAlign w:val="center"/>
          </w:tcPr>
          <w:p w14:paraId="6252D646">
            <w:pPr>
              <w:jc w:val="center"/>
              <w:rPr>
                <w:color w:val="000000"/>
                <w:kern w:val="0"/>
                <w:szCs w:val="21"/>
              </w:rPr>
            </w:pPr>
            <w:r>
              <w:rPr>
                <w:color w:val="000000"/>
                <w:kern w:val="0"/>
                <w:szCs w:val="21"/>
              </w:rPr>
              <w:t>65</w:t>
            </w:r>
          </w:p>
        </w:tc>
        <w:tc>
          <w:tcPr>
            <w:tcW w:w="669" w:type="dxa"/>
            <w:vMerge w:val="continue"/>
            <w:vAlign w:val="center"/>
          </w:tcPr>
          <w:p w14:paraId="1EF332A5">
            <w:pPr>
              <w:jc w:val="center"/>
              <w:rPr>
                <w:rFonts w:ascii="宋体" w:hAnsi="宋体" w:cs="宋体"/>
                <w:color w:val="000000"/>
                <w:kern w:val="0"/>
                <w:szCs w:val="21"/>
              </w:rPr>
            </w:pPr>
          </w:p>
        </w:tc>
        <w:tc>
          <w:tcPr>
            <w:tcW w:w="851" w:type="dxa"/>
            <w:shd w:val="clear" w:color="auto" w:fill="auto"/>
            <w:vAlign w:val="center"/>
          </w:tcPr>
          <w:p w14:paraId="72EA970A">
            <w:pPr>
              <w:jc w:val="center"/>
              <w:rPr>
                <w:color w:val="000000"/>
                <w:kern w:val="0"/>
                <w:szCs w:val="21"/>
              </w:rPr>
            </w:pPr>
            <w:r>
              <w:rPr>
                <w:color w:val="000000"/>
                <w:kern w:val="0"/>
                <w:szCs w:val="21"/>
              </w:rPr>
              <w:t>15</w:t>
            </w:r>
          </w:p>
        </w:tc>
        <w:tc>
          <w:tcPr>
            <w:tcW w:w="850" w:type="dxa"/>
            <w:shd w:val="clear" w:color="auto" w:fill="auto"/>
            <w:vAlign w:val="center"/>
          </w:tcPr>
          <w:p w14:paraId="2CB15631">
            <w:pPr>
              <w:jc w:val="center"/>
              <w:rPr>
                <w:color w:val="000000"/>
                <w:kern w:val="0"/>
                <w:szCs w:val="21"/>
              </w:rPr>
            </w:pPr>
            <w:r>
              <w:rPr>
                <w:color w:val="000000"/>
                <w:kern w:val="0"/>
                <w:szCs w:val="21"/>
              </w:rPr>
              <w:t>50</w:t>
            </w:r>
          </w:p>
        </w:tc>
        <w:tc>
          <w:tcPr>
            <w:tcW w:w="770" w:type="dxa"/>
            <w:shd w:val="clear" w:color="auto" w:fill="auto"/>
            <w:vAlign w:val="center"/>
          </w:tcPr>
          <w:p w14:paraId="2A445D82">
            <w:pPr>
              <w:jc w:val="center"/>
              <w:rPr>
                <w:color w:val="000000"/>
                <w:kern w:val="0"/>
                <w:szCs w:val="21"/>
              </w:rPr>
            </w:pPr>
            <w:r>
              <w:rPr>
                <w:color w:val="000000"/>
                <w:kern w:val="0"/>
                <w:szCs w:val="21"/>
              </w:rPr>
              <w:t>1</w:t>
            </w:r>
          </w:p>
        </w:tc>
      </w:tr>
      <w:tr w14:paraId="6143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CC82F19">
            <w:pPr>
              <w:jc w:val="center"/>
              <w:rPr>
                <w:color w:val="000000"/>
                <w:kern w:val="0"/>
                <w:szCs w:val="21"/>
              </w:rPr>
            </w:pPr>
            <w:r>
              <w:rPr>
                <w:color w:val="000000"/>
                <w:kern w:val="0"/>
                <w:szCs w:val="21"/>
              </w:rPr>
              <w:t>15</w:t>
            </w:r>
          </w:p>
        </w:tc>
        <w:tc>
          <w:tcPr>
            <w:tcW w:w="1292" w:type="dxa"/>
            <w:vMerge w:val="continue"/>
            <w:vAlign w:val="center"/>
          </w:tcPr>
          <w:p w14:paraId="36C3B8BC">
            <w:pPr>
              <w:jc w:val="center"/>
              <w:rPr>
                <w:rFonts w:ascii="宋体" w:hAnsi="宋体" w:cs="宋体"/>
                <w:color w:val="000000"/>
                <w:kern w:val="0"/>
                <w:szCs w:val="21"/>
              </w:rPr>
            </w:pPr>
          </w:p>
        </w:tc>
        <w:tc>
          <w:tcPr>
            <w:tcW w:w="851" w:type="dxa"/>
            <w:shd w:val="clear" w:color="auto" w:fill="auto"/>
            <w:vAlign w:val="center"/>
          </w:tcPr>
          <w:p w14:paraId="0D92D84B">
            <w:pPr>
              <w:jc w:val="center"/>
              <w:rPr>
                <w:rFonts w:ascii="宋体" w:hAnsi="宋体" w:cs="宋体"/>
                <w:color w:val="000000"/>
                <w:kern w:val="0"/>
                <w:szCs w:val="21"/>
              </w:rPr>
            </w:pPr>
            <w:r>
              <w:rPr>
                <w:rFonts w:hint="eastAsia" w:ascii="宋体" w:hAnsi="宋体" w:cs="宋体"/>
                <w:color w:val="000000"/>
                <w:kern w:val="0"/>
                <w:szCs w:val="21"/>
              </w:rPr>
              <w:t>除尘风机</w:t>
            </w:r>
          </w:p>
        </w:tc>
        <w:tc>
          <w:tcPr>
            <w:tcW w:w="1984" w:type="dxa"/>
            <w:shd w:val="clear" w:color="auto" w:fill="auto"/>
            <w:vAlign w:val="center"/>
          </w:tcPr>
          <w:p w14:paraId="55808079">
            <w:pPr>
              <w:jc w:val="center"/>
              <w:rPr>
                <w:color w:val="000000"/>
                <w:kern w:val="0"/>
                <w:szCs w:val="21"/>
              </w:rPr>
            </w:pPr>
            <w:r>
              <w:rPr>
                <w:color w:val="000000"/>
                <w:kern w:val="0"/>
                <w:szCs w:val="21"/>
              </w:rPr>
              <w:t>95</w:t>
            </w:r>
          </w:p>
        </w:tc>
        <w:tc>
          <w:tcPr>
            <w:tcW w:w="1560" w:type="dxa"/>
            <w:vMerge w:val="continue"/>
            <w:vAlign w:val="center"/>
          </w:tcPr>
          <w:p w14:paraId="3DCD89E2">
            <w:pPr>
              <w:jc w:val="center"/>
              <w:rPr>
                <w:rFonts w:ascii="宋体" w:hAnsi="宋体" w:cs="宋体"/>
                <w:color w:val="000000"/>
                <w:kern w:val="0"/>
                <w:sz w:val="22"/>
                <w:szCs w:val="22"/>
              </w:rPr>
            </w:pPr>
          </w:p>
        </w:tc>
        <w:tc>
          <w:tcPr>
            <w:tcW w:w="1134" w:type="dxa"/>
            <w:shd w:val="clear" w:color="auto" w:fill="auto"/>
            <w:noWrap/>
            <w:vAlign w:val="center"/>
          </w:tcPr>
          <w:p w14:paraId="112F7A79">
            <w:pPr>
              <w:jc w:val="center"/>
              <w:rPr>
                <w:rFonts w:ascii="宋体" w:hAnsi="宋体" w:cs="宋体"/>
                <w:color w:val="000000"/>
                <w:kern w:val="0"/>
                <w:sz w:val="22"/>
                <w:szCs w:val="22"/>
              </w:rPr>
            </w:pPr>
            <w:r>
              <w:rPr>
                <w:rFonts w:hint="eastAsia" w:ascii="宋体" w:hAnsi="宋体" w:cs="宋体"/>
                <w:color w:val="000000"/>
                <w:kern w:val="0"/>
                <w:sz w:val="22"/>
                <w:szCs w:val="22"/>
              </w:rPr>
              <w:t>-8.65</w:t>
            </w:r>
          </w:p>
        </w:tc>
        <w:tc>
          <w:tcPr>
            <w:tcW w:w="992" w:type="dxa"/>
            <w:shd w:val="clear" w:color="auto" w:fill="auto"/>
            <w:noWrap/>
            <w:vAlign w:val="center"/>
          </w:tcPr>
          <w:p w14:paraId="657A1F7D">
            <w:pPr>
              <w:jc w:val="center"/>
              <w:rPr>
                <w:rFonts w:ascii="宋体" w:hAnsi="宋体" w:cs="宋体"/>
                <w:color w:val="000000"/>
                <w:kern w:val="0"/>
                <w:sz w:val="22"/>
                <w:szCs w:val="22"/>
              </w:rPr>
            </w:pPr>
            <w:r>
              <w:rPr>
                <w:rFonts w:hint="eastAsia" w:ascii="宋体" w:hAnsi="宋体" w:cs="宋体"/>
                <w:color w:val="000000"/>
                <w:kern w:val="0"/>
                <w:sz w:val="22"/>
                <w:szCs w:val="22"/>
              </w:rPr>
              <w:t>202.85</w:t>
            </w:r>
          </w:p>
        </w:tc>
        <w:tc>
          <w:tcPr>
            <w:tcW w:w="850" w:type="dxa"/>
            <w:shd w:val="clear" w:color="auto" w:fill="auto"/>
            <w:vAlign w:val="center"/>
          </w:tcPr>
          <w:p w14:paraId="1916ECB5">
            <w:pPr>
              <w:jc w:val="center"/>
              <w:rPr>
                <w:color w:val="000000"/>
                <w:kern w:val="0"/>
                <w:szCs w:val="21"/>
              </w:rPr>
            </w:pPr>
            <w:r>
              <w:rPr>
                <w:color w:val="000000"/>
                <w:kern w:val="0"/>
                <w:szCs w:val="21"/>
              </w:rPr>
              <w:t>1</w:t>
            </w:r>
          </w:p>
        </w:tc>
        <w:tc>
          <w:tcPr>
            <w:tcW w:w="851" w:type="dxa"/>
            <w:shd w:val="clear" w:color="auto" w:fill="auto"/>
            <w:vAlign w:val="center"/>
          </w:tcPr>
          <w:p w14:paraId="1F839D9E">
            <w:pPr>
              <w:jc w:val="center"/>
              <w:rPr>
                <w:rFonts w:ascii="宋体" w:hAnsi="宋体" w:cs="宋体"/>
                <w:color w:val="000000"/>
                <w:kern w:val="0"/>
                <w:szCs w:val="21"/>
              </w:rPr>
            </w:pPr>
            <w:r>
              <w:rPr>
                <w:rFonts w:hint="eastAsia" w:ascii="宋体" w:hAnsi="宋体" w:cs="宋体"/>
                <w:color w:val="000000"/>
                <w:kern w:val="0"/>
                <w:szCs w:val="21"/>
              </w:rPr>
              <w:t>1（东）</w:t>
            </w:r>
          </w:p>
        </w:tc>
        <w:tc>
          <w:tcPr>
            <w:tcW w:w="890" w:type="dxa"/>
            <w:shd w:val="clear" w:color="auto" w:fill="auto"/>
            <w:vAlign w:val="center"/>
          </w:tcPr>
          <w:p w14:paraId="17428347">
            <w:pPr>
              <w:jc w:val="center"/>
              <w:rPr>
                <w:color w:val="000000"/>
                <w:kern w:val="0"/>
                <w:szCs w:val="21"/>
              </w:rPr>
            </w:pPr>
            <w:r>
              <w:rPr>
                <w:color w:val="000000"/>
                <w:kern w:val="0"/>
                <w:szCs w:val="21"/>
              </w:rPr>
              <w:t>75</w:t>
            </w:r>
          </w:p>
        </w:tc>
        <w:tc>
          <w:tcPr>
            <w:tcW w:w="669" w:type="dxa"/>
            <w:vMerge w:val="continue"/>
            <w:vAlign w:val="center"/>
          </w:tcPr>
          <w:p w14:paraId="6DB2FC34">
            <w:pPr>
              <w:jc w:val="center"/>
              <w:rPr>
                <w:rFonts w:ascii="宋体" w:hAnsi="宋体" w:cs="宋体"/>
                <w:color w:val="000000"/>
                <w:kern w:val="0"/>
                <w:szCs w:val="21"/>
              </w:rPr>
            </w:pPr>
          </w:p>
        </w:tc>
        <w:tc>
          <w:tcPr>
            <w:tcW w:w="851" w:type="dxa"/>
            <w:shd w:val="clear" w:color="auto" w:fill="auto"/>
            <w:vAlign w:val="center"/>
          </w:tcPr>
          <w:p w14:paraId="068246B0">
            <w:pPr>
              <w:jc w:val="center"/>
              <w:rPr>
                <w:color w:val="000000"/>
                <w:kern w:val="0"/>
                <w:szCs w:val="21"/>
              </w:rPr>
            </w:pPr>
            <w:r>
              <w:rPr>
                <w:color w:val="000000"/>
                <w:kern w:val="0"/>
                <w:szCs w:val="21"/>
              </w:rPr>
              <w:t>15</w:t>
            </w:r>
          </w:p>
        </w:tc>
        <w:tc>
          <w:tcPr>
            <w:tcW w:w="850" w:type="dxa"/>
            <w:shd w:val="clear" w:color="auto" w:fill="auto"/>
            <w:vAlign w:val="center"/>
          </w:tcPr>
          <w:p w14:paraId="4EDE81B6">
            <w:pPr>
              <w:jc w:val="center"/>
              <w:rPr>
                <w:color w:val="000000"/>
                <w:kern w:val="0"/>
                <w:szCs w:val="21"/>
              </w:rPr>
            </w:pPr>
            <w:r>
              <w:rPr>
                <w:color w:val="000000"/>
                <w:kern w:val="0"/>
                <w:szCs w:val="21"/>
              </w:rPr>
              <w:t>60</w:t>
            </w:r>
          </w:p>
        </w:tc>
        <w:tc>
          <w:tcPr>
            <w:tcW w:w="770" w:type="dxa"/>
            <w:shd w:val="clear" w:color="auto" w:fill="auto"/>
            <w:vAlign w:val="center"/>
          </w:tcPr>
          <w:p w14:paraId="492310AA">
            <w:pPr>
              <w:jc w:val="center"/>
              <w:rPr>
                <w:color w:val="000000"/>
                <w:kern w:val="0"/>
                <w:szCs w:val="21"/>
              </w:rPr>
            </w:pPr>
            <w:r>
              <w:rPr>
                <w:color w:val="000000"/>
                <w:kern w:val="0"/>
                <w:szCs w:val="21"/>
              </w:rPr>
              <w:t>1</w:t>
            </w:r>
          </w:p>
        </w:tc>
      </w:tr>
      <w:tr w14:paraId="2AE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52FD37B">
            <w:pPr>
              <w:jc w:val="center"/>
              <w:rPr>
                <w:color w:val="000000"/>
                <w:kern w:val="0"/>
                <w:szCs w:val="21"/>
              </w:rPr>
            </w:pPr>
            <w:r>
              <w:rPr>
                <w:color w:val="000000"/>
                <w:kern w:val="0"/>
                <w:szCs w:val="21"/>
              </w:rPr>
              <w:t>16</w:t>
            </w:r>
          </w:p>
        </w:tc>
        <w:tc>
          <w:tcPr>
            <w:tcW w:w="1292" w:type="dxa"/>
            <w:vMerge w:val="continue"/>
            <w:vAlign w:val="center"/>
          </w:tcPr>
          <w:p w14:paraId="76D0F9B6">
            <w:pPr>
              <w:jc w:val="center"/>
              <w:rPr>
                <w:rFonts w:ascii="宋体" w:hAnsi="宋体" w:cs="宋体"/>
                <w:color w:val="000000"/>
                <w:kern w:val="0"/>
                <w:szCs w:val="21"/>
              </w:rPr>
            </w:pPr>
          </w:p>
        </w:tc>
        <w:tc>
          <w:tcPr>
            <w:tcW w:w="851" w:type="dxa"/>
            <w:shd w:val="clear" w:color="auto" w:fill="auto"/>
            <w:vAlign w:val="center"/>
          </w:tcPr>
          <w:p w14:paraId="4A08A7C3">
            <w:pPr>
              <w:jc w:val="center"/>
              <w:rPr>
                <w:rFonts w:ascii="宋体" w:hAnsi="宋体" w:cs="宋体"/>
                <w:color w:val="000000"/>
                <w:kern w:val="0"/>
                <w:szCs w:val="21"/>
              </w:rPr>
            </w:pPr>
            <w:r>
              <w:rPr>
                <w:rFonts w:hint="eastAsia" w:ascii="宋体" w:hAnsi="宋体" w:cs="宋体"/>
                <w:color w:val="000000"/>
                <w:kern w:val="0"/>
                <w:szCs w:val="21"/>
              </w:rPr>
              <w:t>打包机</w:t>
            </w:r>
          </w:p>
        </w:tc>
        <w:tc>
          <w:tcPr>
            <w:tcW w:w="1984" w:type="dxa"/>
            <w:shd w:val="clear" w:color="auto" w:fill="auto"/>
            <w:vAlign w:val="center"/>
          </w:tcPr>
          <w:p w14:paraId="4918CC5D">
            <w:pPr>
              <w:jc w:val="center"/>
              <w:rPr>
                <w:color w:val="000000"/>
                <w:kern w:val="0"/>
                <w:szCs w:val="21"/>
              </w:rPr>
            </w:pPr>
            <w:r>
              <w:rPr>
                <w:color w:val="000000"/>
                <w:kern w:val="0"/>
                <w:szCs w:val="21"/>
              </w:rPr>
              <w:t>80</w:t>
            </w:r>
          </w:p>
        </w:tc>
        <w:tc>
          <w:tcPr>
            <w:tcW w:w="1560" w:type="dxa"/>
            <w:vMerge w:val="continue"/>
            <w:vAlign w:val="center"/>
          </w:tcPr>
          <w:p w14:paraId="5764F489">
            <w:pPr>
              <w:jc w:val="center"/>
              <w:rPr>
                <w:rFonts w:ascii="宋体" w:hAnsi="宋体" w:cs="宋体"/>
                <w:color w:val="000000"/>
                <w:kern w:val="0"/>
                <w:sz w:val="22"/>
                <w:szCs w:val="22"/>
              </w:rPr>
            </w:pPr>
          </w:p>
        </w:tc>
        <w:tc>
          <w:tcPr>
            <w:tcW w:w="1134" w:type="dxa"/>
            <w:shd w:val="clear" w:color="auto" w:fill="auto"/>
            <w:noWrap/>
            <w:vAlign w:val="center"/>
          </w:tcPr>
          <w:p w14:paraId="5706030F">
            <w:pPr>
              <w:jc w:val="center"/>
              <w:rPr>
                <w:rFonts w:ascii="宋体" w:hAnsi="宋体" w:cs="宋体"/>
                <w:color w:val="000000"/>
                <w:kern w:val="0"/>
                <w:sz w:val="22"/>
                <w:szCs w:val="22"/>
              </w:rPr>
            </w:pPr>
            <w:r>
              <w:rPr>
                <w:rFonts w:hint="eastAsia" w:ascii="宋体" w:hAnsi="宋体" w:cs="宋体"/>
                <w:color w:val="000000"/>
                <w:kern w:val="0"/>
                <w:sz w:val="22"/>
                <w:szCs w:val="22"/>
              </w:rPr>
              <w:t>11.75</w:t>
            </w:r>
          </w:p>
        </w:tc>
        <w:tc>
          <w:tcPr>
            <w:tcW w:w="992" w:type="dxa"/>
            <w:shd w:val="clear" w:color="auto" w:fill="auto"/>
            <w:noWrap/>
            <w:vAlign w:val="center"/>
          </w:tcPr>
          <w:p w14:paraId="1CB047BE">
            <w:pPr>
              <w:jc w:val="center"/>
              <w:rPr>
                <w:rFonts w:ascii="宋体" w:hAnsi="宋体" w:cs="宋体"/>
                <w:color w:val="000000"/>
                <w:kern w:val="0"/>
                <w:sz w:val="22"/>
                <w:szCs w:val="22"/>
              </w:rPr>
            </w:pPr>
            <w:r>
              <w:rPr>
                <w:rFonts w:hint="eastAsia" w:ascii="宋体" w:hAnsi="宋体" w:cs="宋体"/>
                <w:color w:val="000000"/>
                <w:kern w:val="0"/>
                <w:sz w:val="22"/>
                <w:szCs w:val="22"/>
              </w:rPr>
              <w:t>238.19</w:t>
            </w:r>
          </w:p>
        </w:tc>
        <w:tc>
          <w:tcPr>
            <w:tcW w:w="850" w:type="dxa"/>
            <w:shd w:val="clear" w:color="auto" w:fill="auto"/>
            <w:vAlign w:val="center"/>
          </w:tcPr>
          <w:p w14:paraId="31BD1014">
            <w:pPr>
              <w:jc w:val="center"/>
              <w:rPr>
                <w:color w:val="000000"/>
                <w:kern w:val="0"/>
                <w:szCs w:val="21"/>
              </w:rPr>
            </w:pPr>
            <w:r>
              <w:rPr>
                <w:color w:val="000000"/>
                <w:kern w:val="0"/>
                <w:szCs w:val="21"/>
              </w:rPr>
              <w:t>1</w:t>
            </w:r>
          </w:p>
        </w:tc>
        <w:tc>
          <w:tcPr>
            <w:tcW w:w="851" w:type="dxa"/>
            <w:shd w:val="clear" w:color="auto" w:fill="auto"/>
            <w:vAlign w:val="center"/>
          </w:tcPr>
          <w:p w14:paraId="3D1E90C1">
            <w:pPr>
              <w:jc w:val="center"/>
              <w:rPr>
                <w:rFonts w:ascii="宋体" w:hAnsi="宋体" w:cs="宋体"/>
                <w:color w:val="000000"/>
                <w:kern w:val="0"/>
                <w:szCs w:val="21"/>
              </w:rPr>
            </w:pPr>
            <w:r>
              <w:rPr>
                <w:rFonts w:hint="eastAsia" w:ascii="宋体" w:hAnsi="宋体" w:cs="宋体"/>
                <w:color w:val="000000"/>
                <w:kern w:val="0"/>
                <w:szCs w:val="21"/>
              </w:rPr>
              <w:t>3（东）</w:t>
            </w:r>
          </w:p>
        </w:tc>
        <w:tc>
          <w:tcPr>
            <w:tcW w:w="890" w:type="dxa"/>
            <w:shd w:val="clear" w:color="auto" w:fill="auto"/>
            <w:vAlign w:val="center"/>
          </w:tcPr>
          <w:p w14:paraId="58A40C83">
            <w:pPr>
              <w:jc w:val="center"/>
              <w:rPr>
                <w:color w:val="000000"/>
                <w:kern w:val="0"/>
                <w:szCs w:val="21"/>
              </w:rPr>
            </w:pPr>
            <w:r>
              <w:rPr>
                <w:color w:val="000000"/>
                <w:kern w:val="0"/>
                <w:szCs w:val="21"/>
              </w:rPr>
              <w:t>60</w:t>
            </w:r>
          </w:p>
        </w:tc>
        <w:tc>
          <w:tcPr>
            <w:tcW w:w="669" w:type="dxa"/>
            <w:vMerge w:val="continue"/>
            <w:vAlign w:val="center"/>
          </w:tcPr>
          <w:p w14:paraId="2880D39C">
            <w:pPr>
              <w:jc w:val="center"/>
              <w:rPr>
                <w:rFonts w:ascii="宋体" w:hAnsi="宋体" w:cs="宋体"/>
                <w:color w:val="000000"/>
                <w:kern w:val="0"/>
                <w:szCs w:val="21"/>
              </w:rPr>
            </w:pPr>
          </w:p>
        </w:tc>
        <w:tc>
          <w:tcPr>
            <w:tcW w:w="851" w:type="dxa"/>
            <w:shd w:val="clear" w:color="auto" w:fill="auto"/>
            <w:vAlign w:val="center"/>
          </w:tcPr>
          <w:p w14:paraId="7142CF3A">
            <w:pPr>
              <w:jc w:val="center"/>
              <w:rPr>
                <w:color w:val="000000"/>
                <w:kern w:val="0"/>
                <w:szCs w:val="21"/>
              </w:rPr>
            </w:pPr>
            <w:r>
              <w:rPr>
                <w:color w:val="000000"/>
                <w:kern w:val="0"/>
                <w:szCs w:val="21"/>
              </w:rPr>
              <w:t>15</w:t>
            </w:r>
          </w:p>
        </w:tc>
        <w:tc>
          <w:tcPr>
            <w:tcW w:w="850" w:type="dxa"/>
            <w:shd w:val="clear" w:color="auto" w:fill="auto"/>
            <w:vAlign w:val="center"/>
          </w:tcPr>
          <w:p w14:paraId="2B14CFD2">
            <w:pPr>
              <w:jc w:val="center"/>
              <w:rPr>
                <w:color w:val="000000"/>
                <w:kern w:val="0"/>
                <w:szCs w:val="21"/>
              </w:rPr>
            </w:pPr>
            <w:r>
              <w:rPr>
                <w:color w:val="000000"/>
                <w:kern w:val="0"/>
                <w:szCs w:val="21"/>
              </w:rPr>
              <w:t>45</w:t>
            </w:r>
          </w:p>
        </w:tc>
        <w:tc>
          <w:tcPr>
            <w:tcW w:w="770" w:type="dxa"/>
            <w:shd w:val="clear" w:color="auto" w:fill="auto"/>
            <w:vAlign w:val="center"/>
          </w:tcPr>
          <w:p w14:paraId="5875668E">
            <w:pPr>
              <w:jc w:val="center"/>
              <w:rPr>
                <w:color w:val="000000"/>
                <w:kern w:val="0"/>
                <w:szCs w:val="21"/>
              </w:rPr>
            </w:pPr>
            <w:r>
              <w:rPr>
                <w:color w:val="000000"/>
                <w:kern w:val="0"/>
                <w:szCs w:val="21"/>
              </w:rPr>
              <w:t>1</w:t>
            </w:r>
          </w:p>
        </w:tc>
      </w:tr>
      <w:tr w14:paraId="2DD4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5C9AD65">
            <w:pPr>
              <w:jc w:val="center"/>
              <w:rPr>
                <w:color w:val="000000"/>
                <w:kern w:val="0"/>
                <w:szCs w:val="21"/>
              </w:rPr>
            </w:pPr>
            <w:r>
              <w:rPr>
                <w:color w:val="000000"/>
                <w:kern w:val="0"/>
                <w:szCs w:val="21"/>
              </w:rPr>
              <w:t>17</w:t>
            </w:r>
          </w:p>
        </w:tc>
        <w:tc>
          <w:tcPr>
            <w:tcW w:w="1292" w:type="dxa"/>
            <w:vMerge w:val="continue"/>
            <w:vAlign w:val="center"/>
          </w:tcPr>
          <w:p w14:paraId="650DCA84">
            <w:pPr>
              <w:jc w:val="center"/>
              <w:rPr>
                <w:rFonts w:ascii="宋体" w:hAnsi="宋体" w:cs="宋体"/>
                <w:color w:val="000000"/>
                <w:kern w:val="0"/>
                <w:szCs w:val="21"/>
              </w:rPr>
            </w:pPr>
          </w:p>
        </w:tc>
        <w:tc>
          <w:tcPr>
            <w:tcW w:w="851" w:type="dxa"/>
            <w:shd w:val="clear" w:color="auto" w:fill="auto"/>
            <w:vAlign w:val="center"/>
          </w:tcPr>
          <w:p w14:paraId="5D1F0716">
            <w:pPr>
              <w:jc w:val="center"/>
              <w:rPr>
                <w:rFonts w:ascii="宋体" w:hAnsi="宋体" w:cs="宋体"/>
                <w:color w:val="000000"/>
                <w:kern w:val="0"/>
                <w:szCs w:val="21"/>
              </w:rPr>
            </w:pPr>
            <w:r>
              <w:rPr>
                <w:rFonts w:hint="eastAsia" w:ascii="宋体" w:hAnsi="宋体" w:cs="宋体"/>
                <w:color w:val="000000"/>
                <w:kern w:val="0"/>
                <w:szCs w:val="21"/>
              </w:rPr>
              <w:t>铡草机</w:t>
            </w:r>
          </w:p>
        </w:tc>
        <w:tc>
          <w:tcPr>
            <w:tcW w:w="1984" w:type="dxa"/>
            <w:shd w:val="clear" w:color="auto" w:fill="auto"/>
            <w:vAlign w:val="center"/>
          </w:tcPr>
          <w:p w14:paraId="0A5FCEBB">
            <w:pPr>
              <w:jc w:val="center"/>
              <w:rPr>
                <w:color w:val="000000"/>
                <w:kern w:val="0"/>
                <w:szCs w:val="21"/>
              </w:rPr>
            </w:pPr>
            <w:r>
              <w:rPr>
                <w:color w:val="000000"/>
                <w:kern w:val="0"/>
                <w:szCs w:val="21"/>
              </w:rPr>
              <w:t>80</w:t>
            </w:r>
          </w:p>
        </w:tc>
        <w:tc>
          <w:tcPr>
            <w:tcW w:w="1560" w:type="dxa"/>
            <w:vMerge w:val="continue"/>
            <w:vAlign w:val="center"/>
          </w:tcPr>
          <w:p w14:paraId="188A9974">
            <w:pPr>
              <w:jc w:val="center"/>
              <w:rPr>
                <w:rFonts w:ascii="宋体" w:hAnsi="宋体" w:cs="宋体"/>
                <w:color w:val="000000"/>
                <w:kern w:val="0"/>
                <w:sz w:val="22"/>
                <w:szCs w:val="22"/>
              </w:rPr>
            </w:pPr>
          </w:p>
        </w:tc>
        <w:tc>
          <w:tcPr>
            <w:tcW w:w="1134" w:type="dxa"/>
            <w:shd w:val="clear" w:color="auto" w:fill="auto"/>
            <w:noWrap/>
            <w:vAlign w:val="center"/>
          </w:tcPr>
          <w:p w14:paraId="182DAF7D">
            <w:pPr>
              <w:jc w:val="center"/>
              <w:rPr>
                <w:rFonts w:ascii="宋体" w:hAnsi="宋体" w:cs="宋体"/>
                <w:color w:val="000000"/>
                <w:kern w:val="0"/>
                <w:sz w:val="22"/>
                <w:szCs w:val="22"/>
              </w:rPr>
            </w:pPr>
            <w:r>
              <w:rPr>
                <w:rFonts w:hint="eastAsia" w:ascii="宋体" w:hAnsi="宋体" w:cs="宋体"/>
                <w:color w:val="000000"/>
                <w:kern w:val="0"/>
                <w:sz w:val="22"/>
                <w:szCs w:val="22"/>
              </w:rPr>
              <w:t>9.75</w:t>
            </w:r>
          </w:p>
        </w:tc>
        <w:tc>
          <w:tcPr>
            <w:tcW w:w="992" w:type="dxa"/>
            <w:shd w:val="clear" w:color="auto" w:fill="auto"/>
            <w:noWrap/>
            <w:vAlign w:val="center"/>
          </w:tcPr>
          <w:p w14:paraId="2BB218AA">
            <w:pPr>
              <w:jc w:val="center"/>
              <w:rPr>
                <w:rFonts w:ascii="宋体" w:hAnsi="宋体" w:cs="宋体"/>
                <w:color w:val="000000"/>
                <w:kern w:val="0"/>
                <w:sz w:val="22"/>
                <w:szCs w:val="22"/>
              </w:rPr>
            </w:pPr>
            <w:r>
              <w:rPr>
                <w:rFonts w:hint="eastAsia" w:ascii="宋体" w:hAnsi="宋体" w:cs="宋体"/>
                <w:color w:val="000000"/>
                <w:kern w:val="0"/>
                <w:sz w:val="22"/>
                <w:szCs w:val="22"/>
              </w:rPr>
              <w:t>234.21</w:t>
            </w:r>
          </w:p>
        </w:tc>
        <w:tc>
          <w:tcPr>
            <w:tcW w:w="850" w:type="dxa"/>
            <w:shd w:val="clear" w:color="auto" w:fill="auto"/>
            <w:vAlign w:val="center"/>
          </w:tcPr>
          <w:p w14:paraId="6A690BD2">
            <w:pPr>
              <w:jc w:val="center"/>
              <w:rPr>
                <w:color w:val="000000"/>
                <w:kern w:val="0"/>
                <w:szCs w:val="21"/>
              </w:rPr>
            </w:pPr>
            <w:r>
              <w:rPr>
                <w:color w:val="000000"/>
                <w:kern w:val="0"/>
                <w:szCs w:val="21"/>
              </w:rPr>
              <w:t>1</w:t>
            </w:r>
          </w:p>
        </w:tc>
        <w:tc>
          <w:tcPr>
            <w:tcW w:w="851" w:type="dxa"/>
            <w:shd w:val="clear" w:color="auto" w:fill="auto"/>
            <w:vAlign w:val="center"/>
          </w:tcPr>
          <w:p w14:paraId="5AF75DDD">
            <w:pPr>
              <w:jc w:val="center"/>
              <w:rPr>
                <w:rFonts w:ascii="宋体" w:hAnsi="宋体" w:cs="宋体"/>
                <w:color w:val="000000"/>
                <w:kern w:val="0"/>
                <w:szCs w:val="21"/>
              </w:rPr>
            </w:pPr>
            <w:r>
              <w:rPr>
                <w:rFonts w:hint="eastAsia" w:ascii="宋体" w:hAnsi="宋体" w:cs="宋体"/>
                <w:color w:val="000000"/>
                <w:kern w:val="0"/>
                <w:szCs w:val="21"/>
              </w:rPr>
              <w:t>3（东）</w:t>
            </w:r>
          </w:p>
        </w:tc>
        <w:tc>
          <w:tcPr>
            <w:tcW w:w="890" w:type="dxa"/>
            <w:shd w:val="clear" w:color="auto" w:fill="auto"/>
            <w:vAlign w:val="center"/>
          </w:tcPr>
          <w:p w14:paraId="5ED8DAAC">
            <w:pPr>
              <w:jc w:val="center"/>
              <w:rPr>
                <w:color w:val="000000"/>
                <w:kern w:val="0"/>
                <w:szCs w:val="21"/>
              </w:rPr>
            </w:pPr>
            <w:r>
              <w:rPr>
                <w:color w:val="000000"/>
                <w:kern w:val="0"/>
                <w:szCs w:val="21"/>
              </w:rPr>
              <w:t>60</w:t>
            </w:r>
          </w:p>
        </w:tc>
        <w:tc>
          <w:tcPr>
            <w:tcW w:w="669" w:type="dxa"/>
            <w:vMerge w:val="continue"/>
            <w:vAlign w:val="center"/>
          </w:tcPr>
          <w:p w14:paraId="4049EE32">
            <w:pPr>
              <w:jc w:val="center"/>
              <w:rPr>
                <w:rFonts w:ascii="宋体" w:hAnsi="宋体" w:cs="宋体"/>
                <w:color w:val="000000"/>
                <w:kern w:val="0"/>
                <w:szCs w:val="21"/>
              </w:rPr>
            </w:pPr>
          </w:p>
        </w:tc>
        <w:tc>
          <w:tcPr>
            <w:tcW w:w="851" w:type="dxa"/>
            <w:shd w:val="clear" w:color="auto" w:fill="auto"/>
            <w:vAlign w:val="center"/>
          </w:tcPr>
          <w:p w14:paraId="6F43DBB6">
            <w:pPr>
              <w:jc w:val="center"/>
              <w:rPr>
                <w:color w:val="000000"/>
                <w:kern w:val="0"/>
                <w:szCs w:val="21"/>
              </w:rPr>
            </w:pPr>
            <w:r>
              <w:rPr>
                <w:color w:val="000000"/>
                <w:kern w:val="0"/>
                <w:szCs w:val="21"/>
              </w:rPr>
              <w:t>15</w:t>
            </w:r>
          </w:p>
        </w:tc>
        <w:tc>
          <w:tcPr>
            <w:tcW w:w="850" w:type="dxa"/>
            <w:shd w:val="clear" w:color="auto" w:fill="auto"/>
            <w:vAlign w:val="center"/>
          </w:tcPr>
          <w:p w14:paraId="1950D65F">
            <w:pPr>
              <w:jc w:val="center"/>
              <w:rPr>
                <w:color w:val="000000"/>
                <w:kern w:val="0"/>
                <w:szCs w:val="21"/>
              </w:rPr>
            </w:pPr>
            <w:r>
              <w:rPr>
                <w:color w:val="000000"/>
                <w:kern w:val="0"/>
                <w:szCs w:val="21"/>
              </w:rPr>
              <w:t>45</w:t>
            </w:r>
          </w:p>
        </w:tc>
        <w:tc>
          <w:tcPr>
            <w:tcW w:w="770" w:type="dxa"/>
            <w:shd w:val="clear" w:color="auto" w:fill="auto"/>
            <w:vAlign w:val="center"/>
          </w:tcPr>
          <w:p w14:paraId="4D3CBABA">
            <w:pPr>
              <w:jc w:val="center"/>
              <w:rPr>
                <w:color w:val="000000"/>
                <w:kern w:val="0"/>
                <w:szCs w:val="21"/>
              </w:rPr>
            </w:pPr>
            <w:r>
              <w:rPr>
                <w:color w:val="000000"/>
                <w:kern w:val="0"/>
                <w:szCs w:val="21"/>
              </w:rPr>
              <w:t>1</w:t>
            </w:r>
          </w:p>
        </w:tc>
      </w:tr>
      <w:tr w14:paraId="2292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27242EE">
            <w:pPr>
              <w:jc w:val="center"/>
              <w:rPr>
                <w:color w:val="000000"/>
                <w:kern w:val="0"/>
                <w:szCs w:val="21"/>
              </w:rPr>
            </w:pPr>
            <w:r>
              <w:rPr>
                <w:color w:val="000000"/>
                <w:kern w:val="0"/>
                <w:szCs w:val="21"/>
              </w:rPr>
              <w:t>18</w:t>
            </w:r>
          </w:p>
        </w:tc>
        <w:tc>
          <w:tcPr>
            <w:tcW w:w="1292" w:type="dxa"/>
            <w:vMerge w:val="continue"/>
            <w:vAlign w:val="center"/>
          </w:tcPr>
          <w:p w14:paraId="347E8C03">
            <w:pPr>
              <w:jc w:val="center"/>
              <w:rPr>
                <w:rFonts w:ascii="宋体" w:hAnsi="宋体" w:cs="宋体"/>
                <w:color w:val="000000"/>
                <w:kern w:val="0"/>
                <w:szCs w:val="21"/>
              </w:rPr>
            </w:pPr>
          </w:p>
        </w:tc>
        <w:tc>
          <w:tcPr>
            <w:tcW w:w="851" w:type="dxa"/>
            <w:shd w:val="clear" w:color="auto" w:fill="auto"/>
            <w:vAlign w:val="center"/>
          </w:tcPr>
          <w:p w14:paraId="75CE29FA">
            <w:pPr>
              <w:jc w:val="center"/>
              <w:rPr>
                <w:rFonts w:ascii="宋体" w:hAnsi="宋体" w:cs="宋体"/>
                <w:color w:val="000000"/>
                <w:kern w:val="0"/>
                <w:szCs w:val="21"/>
              </w:rPr>
            </w:pPr>
            <w:r>
              <w:rPr>
                <w:rFonts w:hint="eastAsia" w:ascii="宋体" w:hAnsi="宋体" w:cs="宋体"/>
                <w:color w:val="000000"/>
                <w:kern w:val="0"/>
                <w:szCs w:val="21"/>
              </w:rPr>
              <w:t>TMR机#1</w:t>
            </w:r>
          </w:p>
        </w:tc>
        <w:tc>
          <w:tcPr>
            <w:tcW w:w="1984" w:type="dxa"/>
            <w:shd w:val="clear" w:color="auto" w:fill="auto"/>
            <w:vAlign w:val="center"/>
          </w:tcPr>
          <w:p w14:paraId="012D4254">
            <w:pPr>
              <w:jc w:val="center"/>
              <w:rPr>
                <w:color w:val="000000"/>
                <w:kern w:val="0"/>
                <w:szCs w:val="21"/>
              </w:rPr>
            </w:pPr>
            <w:r>
              <w:rPr>
                <w:color w:val="000000"/>
                <w:kern w:val="0"/>
                <w:szCs w:val="21"/>
              </w:rPr>
              <w:t>80</w:t>
            </w:r>
          </w:p>
        </w:tc>
        <w:tc>
          <w:tcPr>
            <w:tcW w:w="1560" w:type="dxa"/>
            <w:vMerge w:val="continue"/>
            <w:vAlign w:val="center"/>
          </w:tcPr>
          <w:p w14:paraId="40563036">
            <w:pPr>
              <w:jc w:val="center"/>
              <w:rPr>
                <w:rFonts w:ascii="宋体" w:hAnsi="宋体" w:cs="宋体"/>
                <w:color w:val="000000"/>
                <w:kern w:val="0"/>
                <w:sz w:val="22"/>
                <w:szCs w:val="22"/>
              </w:rPr>
            </w:pPr>
          </w:p>
        </w:tc>
        <w:tc>
          <w:tcPr>
            <w:tcW w:w="1134" w:type="dxa"/>
            <w:shd w:val="clear" w:color="auto" w:fill="auto"/>
            <w:noWrap/>
            <w:vAlign w:val="center"/>
          </w:tcPr>
          <w:p w14:paraId="45845B17">
            <w:pPr>
              <w:jc w:val="center"/>
              <w:rPr>
                <w:rFonts w:ascii="宋体" w:hAnsi="宋体" w:cs="宋体"/>
                <w:color w:val="000000"/>
                <w:kern w:val="0"/>
                <w:sz w:val="22"/>
                <w:szCs w:val="22"/>
              </w:rPr>
            </w:pPr>
            <w:r>
              <w:rPr>
                <w:rFonts w:hint="eastAsia" w:ascii="宋体" w:hAnsi="宋体" w:cs="宋体"/>
                <w:color w:val="000000"/>
                <w:kern w:val="0"/>
                <w:sz w:val="22"/>
                <w:szCs w:val="22"/>
              </w:rPr>
              <w:t>2.5</w:t>
            </w:r>
          </w:p>
        </w:tc>
        <w:tc>
          <w:tcPr>
            <w:tcW w:w="992" w:type="dxa"/>
            <w:shd w:val="clear" w:color="auto" w:fill="auto"/>
            <w:noWrap/>
            <w:vAlign w:val="center"/>
          </w:tcPr>
          <w:p w14:paraId="01A74DA3">
            <w:pPr>
              <w:jc w:val="center"/>
              <w:rPr>
                <w:rFonts w:ascii="宋体" w:hAnsi="宋体" w:cs="宋体"/>
                <w:color w:val="000000"/>
                <w:kern w:val="0"/>
                <w:sz w:val="22"/>
                <w:szCs w:val="22"/>
              </w:rPr>
            </w:pPr>
            <w:r>
              <w:rPr>
                <w:rFonts w:hint="eastAsia" w:ascii="宋体" w:hAnsi="宋体" w:cs="宋体"/>
                <w:color w:val="000000"/>
                <w:kern w:val="0"/>
                <w:sz w:val="22"/>
                <w:szCs w:val="22"/>
              </w:rPr>
              <w:t>221.52</w:t>
            </w:r>
          </w:p>
        </w:tc>
        <w:tc>
          <w:tcPr>
            <w:tcW w:w="850" w:type="dxa"/>
            <w:shd w:val="clear" w:color="auto" w:fill="auto"/>
            <w:vAlign w:val="center"/>
          </w:tcPr>
          <w:p w14:paraId="0A5A163F">
            <w:pPr>
              <w:jc w:val="center"/>
              <w:rPr>
                <w:color w:val="000000"/>
                <w:kern w:val="0"/>
                <w:szCs w:val="21"/>
              </w:rPr>
            </w:pPr>
            <w:r>
              <w:rPr>
                <w:color w:val="000000"/>
                <w:kern w:val="0"/>
                <w:szCs w:val="21"/>
              </w:rPr>
              <w:t>1</w:t>
            </w:r>
          </w:p>
        </w:tc>
        <w:tc>
          <w:tcPr>
            <w:tcW w:w="851" w:type="dxa"/>
            <w:shd w:val="clear" w:color="auto" w:fill="auto"/>
            <w:vAlign w:val="center"/>
          </w:tcPr>
          <w:p w14:paraId="3D1432EC">
            <w:pPr>
              <w:jc w:val="center"/>
              <w:rPr>
                <w:rFonts w:ascii="宋体" w:hAnsi="宋体" w:cs="宋体"/>
                <w:color w:val="000000"/>
                <w:kern w:val="0"/>
                <w:szCs w:val="21"/>
              </w:rPr>
            </w:pPr>
            <w:r>
              <w:rPr>
                <w:rFonts w:hint="eastAsia" w:ascii="宋体" w:hAnsi="宋体" w:cs="宋体"/>
                <w:color w:val="000000"/>
                <w:kern w:val="0"/>
                <w:szCs w:val="21"/>
              </w:rPr>
              <w:t>3（东）</w:t>
            </w:r>
          </w:p>
        </w:tc>
        <w:tc>
          <w:tcPr>
            <w:tcW w:w="890" w:type="dxa"/>
            <w:shd w:val="clear" w:color="auto" w:fill="auto"/>
            <w:vAlign w:val="center"/>
          </w:tcPr>
          <w:p w14:paraId="4AF26A61">
            <w:pPr>
              <w:jc w:val="center"/>
              <w:rPr>
                <w:color w:val="000000"/>
                <w:kern w:val="0"/>
                <w:szCs w:val="21"/>
              </w:rPr>
            </w:pPr>
            <w:r>
              <w:rPr>
                <w:color w:val="000000"/>
                <w:kern w:val="0"/>
                <w:szCs w:val="21"/>
              </w:rPr>
              <w:t>60</w:t>
            </w:r>
          </w:p>
        </w:tc>
        <w:tc>
          <w:tcPr>
            <w:tcW w:w="669" w:type="dxa"/>
            <w:vMerge w:val="continue"/>
            <w:vAlign w:val="center"/>
          </w:tcPr>
          <w:p w14:paraId="50E7D6EA">
            <w:pPr>
              <w:jc w:val="center"/>
              <w:rPr>
                <w:rFonts w:ascii="宋体" w:hAnsi="宋体" w:cs="宋体"/>
                <w:color w:val="000000"/>
                <w:kern w:val="0"/>
                <w:szCs w:val="21"/>
              </w:rPr>
            </w:pPr>
          </w:p>
        </w:tc>
        <w:tc>
          <w:tcPr>
            <w:tcW w:w="851" w:type="dxa"/>
            <w:shd w:val="clear" w:color="auto" w:fill="auto"/>
            <w:vAlign w:val="center"/>
          </w:tcPr>
          <w:p w14:paraId="692CBA61">
            <w:pPr>
              <w:jc w:val="center"/>
              <w:rPr>
                <w:color w:val="000000"/>
                <w:kern w:val="0"/>
                <w:szCs w:val="21"/>
              </w:rPr>
            </w:pPr>
            <w:r>
              <w:rPr>
                <w:color w:val="000000"/>
                <w:kern w:val="0"/>
                <w:szCs w:val="21"/>
              </w:rPr>
              <w:t>15</w:t>
            </w:r>
          </w:p>
        </w:tc>
        <w:tc>
          <w:tcPr>
            <w:tcW w:w="850" w:type="dxa"/>
            <w:shd w:val="clear" w:color="auto" w:fill="auto"/>
            <w:vAlign w:val="center"/>
          </w:tcPr>
          <w:p w14:paraId="73F7003D">
            <w:pPr>
              <w:jc w:val="center"/>
              <w:rPr>
                <w:color w:val="000000"/>
                <w:kern w:val="0"/>
                <w:szCs w:val="21"/>
              </w:rPr>
            </w:pPr>
            <w:r>
              <w:rPr>
                <w:color w:val="000000"/>
                <w:kern w:val="0"/>
                <w:szCs w:val="21"/>
              </w:rPr>
              <w:t>45</w:t>
            </w:r>
          </w:p>
        </w:tc>
        <w:tc>
          <w:tcPr>
            <w:tcW w:w="770" w:type="dxa"/>
            <w:shd w:val="clear" w:color="auto" w:fill="auto"/>
            <w:vAlign w:val="center"/>
          </w:tcPr>
          <w:p w14:paraId="65D11EAA">
            <w:pPr>
              <w:jc w:val="center"/>
              <w:rPr>
                <w:color w:val="000000"/>
                <w:kern w:val="0"/>
                <w:szCs w:val="21"/>
              </w:rPr>
            </w:pPr>
            <w:r>
              <w:rPr>
                <w:color w:val="000000"/>
                <w:kern w:val="0"/>
                <w:szCs w:val="21"/>
              </w:rPr>
              <w:t>1</w:t>
            </w:r>
          </w:p>
        </w:tc>
      </w:tr>
      <w:tr w14:paraId="6517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4613312">
            <w:pPr>
              <w:jc w:val="center"/>
              <w:rPr>
                <w:color w:val="000000"/>
                <w:kern w:val="0"/>
                <w:szCs w:val="21"/>
              </w:rPr>
            </w:pPr>
            <w:r>
              <w:rPr>
                <w:color w:val="000000"/>
                <w:kern w:val="0"/>
                <w:szCs w:val="21"/>
              </w:rPr>
              <w:t>19</w:t>
            </w:r>
          </w:p>
        </w:tc>
        <w:tc>
          <w:tcPr>
            <w:tcW w:w="1292" w:type="dxa"/>
            <w:vMerge w:val="continue"/>
            <w:vAlign w:val="center"/>
          </w:tcPr>
          <w:p w14:paraId="7FF133E5">
            <w:pPr>
              <w:jc w:val="center"/>
              <w:rPr>
                <w:rFonts w:ascii="宋体" w:hAnsi="宋体" w:cs="宋体"/>
                <w:color w:val="000000"/>
                <w:kern w:val="0"/>
                <w:szCs w:val="21"/>
              </w:rPr>
            </w:pPr>
          </w:p>
        </w:tc>
        <w:tc>
          <w:tcPr>
            <w:tcW w:w="851" w:type="dxa"/>
            <w:shd w:val="clear" w:color="auto" w:fill="auto"/>
            <w:vAlign w:val="center"/>
          </w:tcPr>
          <w:p w14:paraId="6360C9C8">
            <w:pPr>
              <w:jc w:val="center"/>
              <w:rPr>
                <w:rFonts w:ascii="宋体" w:hAnsi="宋体" w:cs="宋体"/>
                <w:color w:val="000000"/>
                <w:kern w:val="0"/>
                <w:szCs w:val="21"/>
              </w:rPr>
            </w:pPr>
            <w:r>
              <w:rPr>
                <w:rFonts w:hint="eastAsia" w:ascii="宋体" w:hAnsi="宋体" w:cs="宋体"/>
                <w:color w:val="000000"/>
                <w:kern w:val="0"/>
                <w:szCs w:val="21"/>
              </w:rPr>
              <w:t>TMR机#2</w:t>
            </w:r>
          </w:p>
        </w:tc>
        <w:tc>
          <w:tcPr>
            <w:tcW w:w="1984" w:type="dxa"/>
            <w:shd w:val="clear" w:color="auto" w:fill="auto"/>
            <w:vAlign w:val="center"/>
          </w:tcPr>
          <w:p w14:paraId="1329E596">
            <w:pPr>
              <w:jc w:val="center"/>
              <w:rPr>
                <w:color w:val="000000"/>
                <w:kern w:val="0"/>
                <w:szCs w:val="21"/>
              </w:rPr>
            </w:pPr>
            <w:r>
              <w:rPr>
                <w:color w:val="000000"/>
                <w:kern w:val="0"/>
                <w:szCs w:val="21"/>
              </w:rPr>
              <w:t>80</w:t>
            </w:r>
          </w:p>
        </w:tc>
        <w:tc>
          <w:tcPr>
            <w:tcW w:w="1560" w:type="dxa"/>
            <w:vMerge w:val="continue"/>
            <w:vAlign w:val="center"/>
          </w:tcPr>
          <w:p w14:paraId="49595C7F">
            <w:pPr>
              <w:jc w:val="center"/>
              <w:rPr>
                <w:rFonts w:ascii="宋体" w:hAnsi="宋体" w:cs="宋体"/>
                <w:color w:val="000000"/>
                <w:kern w:val="0"/>
                <w:sz w:val="22"/>
                <w:szCs w:val="22"/>
              </w:rPr>
            </w:pPr>
          </w:p>
        </w:tc>
        <w:tc>
          <w:tcPr>
            <w:tcW w:w="1134" w:type="dxa"/>
            <w:shd w:val="clear" w:color="auto" w:fill="auto"/>
            <w:noWrap/>
            <w:vAlign w:val="center"/>
          </w:tcPr>
          <w:p w14:paraId="043E460A">
            <w:pPr>
              <w:jc w:val="center"/>
              <w:rPr>
                <w:rFonts w:ascii="宋体" w:hAnsi="宋体" w:cs="宋体"/>
                <w:color w:val="000000"/>
                <w:kern w:val="0"/>
                <w:sz w:val="22"/>
                <w:szCs w:val="22"/>
              </w:rPr>
            </w:pPr>
            <w:r>
              <w:rPr>
                <w:rFonts w:hint="eastAsia" w:ascii="宋体" w:hAnsi="宋体" w:cs="宋体"/>
                <w:color w:val="000000"/>
                <w:kern w:val="0"/>
                <w:sz w:val="22"/>
                <w:szCs w:val="22"/>
              </w:rPr>
              <w:t>-0.22</w:t>
            </w:r>
          </w:p>
        </w:tc>
        <w:tc>
          <w:tcPr>
            <w:tcW w:w="992" w:type="dxa"/>
            <w:shd w:val="clear" w:color="auto" w:fill="auto"/>
            <w:noWrap/>
            <w:vAlign w:val="center"/>
          </w:tcPr>
          <w:p w14:paraId="64118F33">
            <w:pPr>
              <w:jc w:val="center"/>
              <w:rPr>
                <w:rFonts w:ascii="宋体" w:hAnsi="宋体" w:cs="宋体"/>
                <w:color w:val="000000"/>
                <w:kern w:val="0"/>
                <w:sz w:val="22"/>
                <w:szCs w:val="22"/>
              </w:rPr>
            </w:pPr>
            <w:r>
              <w:rPr>
                <w:rFonts w:hint="eastAsia" w:ascii="宋体" w:hAnsi="宋体" w:cs="宋体"/>
                <w:color w:val="000000"/>
                <w:kern w:val="0"/>
                <w:sz w:val="22"/>
                <w:szCs w:val="22"/>
              </w:rPr>
              <w:t>216.8</w:t>
            </w:r>
          </w:p>
        </w:tc>
        <w:tc>
          <w:tcPr>
            <w:tcW w:w="850" w:type="dxa"/>
            <w:shd w:val="clear" w:color="auto" w:fill="auto"/>
            <w:vAlign w:val="center"/>
          </w:tcPr>
          <w:p w14:paraId="10AF7FC1">
            <w:pPr>
              <w:jc w:val="center"/>
              <w:rPr>
                <w:color w:val="000000"/>
                <w:kern w:val="0"/>
                <w:szCs w:val="21"/>
              </w:rPr>
            </w:pPr>
            <w:r>
              <w:rPr>
                <w:color w:val="000000"/>
                <w:kern w:val="0"/>
                <w:szCs w:val="21"/>
              </w:rPr>
              <w:t>1</w:t>
            </w:r>
          </w:p>
        </w:tc>
        <w:tc>
          <w:tcPr>
            <w:tcW w:w="851" w:type="dxa"/>
            <w:shd w:val="clear" w:color="auto" w:fill="auto"/>
            <w:vAlign w:val="center"/>
          </w:tcPr>
          <w:p w14:paraId="37C4DBFE">
            <w:pPr>
              <w:jc w:val="center"/>
              <w:rPr>
                <w:rFonts w:ascii="宋体" w:hAnsi="宋体" w:cs="宋体"/>
                <w:color w:val="000000"/>
                <w:kern w:val="0"/>
                <w:szCs w:val="21"/>
              </w:rPr>
            </w:pPr>
            <w:r>
              <w:rPr>
                <w:rFonts w:hint="eastAsia" w:ascii="宋体" w:hAnsi="宋体" w:cs="宋体"/>
                <w:color w:val="000000"/>
                <w:kern w:val="0"/>
                <w:szCs w:val="21"/>
              </w:rPr>
              <w:t>3（东）</w:t>
            </w:r>
          </w:p>
        </w:tc>
        <w:tc>
          <w:tcPr>
            <w:tcW w:w="890" w:type="dxa"/>
            <w:shd w:val="clear" w:color="auto" w:fill="auto"/>
            <w:vAlign w:val="center"/>
          </w:tcPr>
          <w:p w14:paraId="163860B0">
            <w:pPr>
              <w:jc w:val="center"/>
              <w:rPr>
                <w:color w:val="000000"/>
                <w:kern w:val="0"/>
                <w:szCs w:val="21"/>
              </w:rPr>
            </w:pPr>
            <w:r>
              <w:rPr>
                <w:color w:val="000000"/>
                <w:kern w:val="0"/>
                <w:szCs w:val="21"/>
              </w:rPr>
              <w:t>60</w:t>
            </w:r>
          </w:p>
        </w:tc>
        <w:tc>
          <w:tcPr>
            <w:tcW w:w="669" w:type="dxa"/>
            <w:vMerge w:val="continue"/>
            <w:vAlign w:val="center"/>
          </w:tcPr>
          <w:p w14:paraId="0BE2095F">
            <w:pPr>
              <w:jc w:val="center"/>
              <w:rPr>
                <w:rFonts w:ascii="宋体" w:hAnsi="宋体" w:cs="宋体"/>
                <w:color w:val="000000"/>
                <w:kern w:val="0"/>
                <w:szCs w:val="21"/>
              </w:rPr>
            </w:pPr>
          </w:p>
        </w:tc>
        <w:tc>
          <w:tcPr>
            <w:tcW w:w="851" w:type="dxa"/>
            <w:shd w:val="clear" w:color="auto" w:fill="auto"/>
            <w:vAlign w:val="center"/>
          </w:tcPr>
          <w:p w14:paraId="798E3549">
            <w:pPr>
              <w:jc w:val="center"/>
              <w:rPr>
                <w:color w:val="000000"/>
                <w:kern w:val="0"/>
                <w:szCs w:val="21"/>
              </w:rPr>
            </w:pPr>
            <w:r>
              <w:rPr>
                <w:color w:val="000000"/>
                <w:kern w:val="0"/>
                <w:szCs w:val="21"/>
              </w:rPr>
              <w:t>15</w:t>
            </w:r>
          </w:p>
        </w:tc>
        <w:tc>
          <w:tcPr>
            <w:tcW w:w="850" w:type="dxa"/>
            <w:shd w:val="clear" w:color="auto" w:fill="auto"/>
            <w:vAlign w:val="center"/>
          </w:tcPr>
          <w:p w14:paraId="5F9F1F10">
            <w:pPr>
              <w:jc w:val="center"/>
              <w:rPr>
                <w:color w:val="000000"/>
                <w:kern w:val="0"/>
                <w:szCs w:val="21"/>
              </w:rPr>
            </w:pPr>
            <w:r>
              <w:rPr>
                <w:color w:val="000000"/>
                <w:kern w:val="0"/>
                <w:szCs w:val="21"/>
              </w:rPr>
              <w:t>45</w:t>
            </w:r>
          </w:p>
        </w:tc>
        <w:tc>
          <w:tcPr>
            <w:tcW w:w="770" w:type="dxa"/>
            <w:shd w:val="clear" w:color="auto" w:fill="auto"/>
            <w:vAlign w:val="center"/>
          </w:tcPr>
          <w:p w14:paraId="7677983A">
            <w:pPr>
              <w:jc w:val="center"/>
              <w:rPr>
                <w:color w:val="000000"/>
                <w:kern w:val="0"/>
                <w:szCs w:val="21"/>
              </w:rPr>
            </w:pPr>
            <w:r>
              <w:rPr>
                <w:color w:val="000000"/>
                <w:kern w:val="0"/>
                <w:szCs w:val="21"/>
              </w:rPr>
              <w:t>1</w:t>
            </w:r>
          </w:p>
        </w:tc>
      </w:tr>
      <w:tr w14:paraId="3E1A3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948" w:type="dxa"/>
            <w:gridSpan w:val="14"/>
            <w:shd w:val="clear" w:color="auto" w:fill="auto"/>
            <w:noWrap/>
            <w:vAlign w:val="center"/>
          </w:tcPr>
          <w:p w14:paraId="61EF8DA7">
            <w:pPr>
              <w:jc w:val="center"/>
              <w:rPr>
                <w:rFonts w:ascii="宋体" w:hAnsi="宋体" w:cs="宋体"/>
                <w:b/>
                <w:color w:val="000000"/>
                <w:kern w:val="0"/>
                <w:sz w:val="22"/>
                <w:szCs w:val="22"/>
              </w:rPr>
            </w:pPr>
            <w:r>
              <w:rPr>
                <w:rFonts w:hint="eastAsia" w:ascii="宋体" w:hAnsi="宋体" w:cs="宋体"/>
                <w:b/>
                <w:color w:val="000000"/>
                <w:kern w:val="0"/>
                <w:sz w:val="22"/>
                <w:szCs w:val="22"/>
              </w:rPr>
              <w:t>佛龙养殖场区</w:t>
            </w:r>
          </w:p>
        </w:tc>
      </w:tr>
      <w:tr w14:paraId="5000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0F564818">
            <w:pPr>
              <w:jc w:val="center"/>
              <w:rPr>
                <w:color w:val="000000"/>
                <w:kern w:val="0"/>
                <w:szCs w:val="21"/>
              </w:rPr>
            </w:pPr>
            <w:r>
              <w:rPr>
                <w:color w:val="000000"/>
                <w:kern w:val="0"/>
                <w:szCs w:val="21"/>
              </w:rPr>
              <w:t>1</w:t>
            </w:r>
          </w:p>
        </w:tc>
        <w:tc>
          <w:tcPr>
            <w:tcW w:w="1292" w:type="dxa"/>
            <w:shd w:val="clear" w:color="auto" w:fill="auto"/>
            <w:noWrap/>
            <w:vAlign w:val="center"/>
          </w:tcPr>
          <w:p w14:paraId="7C187311">
            <w:pPr>
              <w:jc w:val="center"/>
              <w:rPr>
                <w:rFonts w:ascii="宋体" w:hAnsi="宋体" w:cs="宋体"/>
                <w:color w:val="000000"/>
                <w:kern w:val="0"/>
                <w:sz w:val="22"/>
                <w:szCs w:val="22"/>
              </w:rPr>
            </w:pPr>
            <w:r>
              <w:rPr>
                <w:rFonts w:hint="eastAsia" w:ascii="宋体" w:hAnsi="宋体" w:cs="宋体"/>
                <w:color w:val="000000"/>
                <w:kern w:val="0"/>
                <w:sz w:val="22"/>
                <w:szCs w:val="22"/>
              </w:rPr>
              <w:t>佛龙牛舍#1</w:t>
            </w:r>
          </w:p>
        </w:tc>
        <w:tc>
          <w:tcPr>
            <w:tcW w:w="851" w:type="dxa"/>
            <w:vMerge w:val="restart"/>
            <w:shd w:val="clear" w:color="auto" w:fill="auto"/>
            <w:noWrap/>
            <w:vAlign w:val="center"/>
          </w:tcPr>
          <w:p w14:paraId="510355C6">
            <w:pPr>
              <w:jc w:val="center"/>
              <w:rPr>
                <w:rFonts w:ascii="宋体" w:hAnsi="宋体" w:cs="宋体"/>
                <w:color w:val="000000"/>
                <w:kern w:val="0"/>
                <w:sz w:val="22"/>
                <w:szCs w:val="22"/>
              </w:rPr>
            </w:pPr>
            <w:r>
              <w:rPr>
                <w:rFonts w:hint="eastAsia" w:ascii="宋体" w:hAnsi="宋体" w:cs="宋体"/>
                <w:color w:val="000000"/>
                <w:kern w:val="0"/>
                <w:sz w:val="22"/>
                <w:szCs w:val="22"/>
              </w:rPr>
              <w:t>牛叫</w:t>
            </w:r>
          </w:p>
        </w:tc>
        <w:tc>
          <w:tcPr>
            <w:tcW w:w="1984" w:type="dxa"/>
            <w:vMerge w:val="restart"/>
            <w:shd w:val="clear" w:color="auto" w:fill="auto"/>
            <w:noWrap/>
            <w:vAlign w:val="center"/>
          </w:tcPr>
          <w:p w14:paraId="07FE7DDA">
            <w:pPr>
              <w:jc w:val="center"/>
              <w:rPr>
                <w:rFonts w:ascii="宋体" w:hAnsi="宋体" w:cs="宋体"/>
                <w:color w:val="000000"/>
                <w:kern w:val="0"/>
                <w:sz w:val="22"/>
                <w:szCs w:val="22"/>
              </w:rPr>
            </w:pPr>
            <w:r>
              <w:rPr>
                <w:rFonts w:hint="eastAsia" w:ascii="宋体" w:hAnsi="宋体" w:cs="宋体"/>
                <w:color w:val="000000"/>
                <w:kern w:val="0"/>
                <w:sz w:val="22"/>
                <w:szCs w:val="22"/>
              </w:rPr>
              <w:t>70</w:t>
            </w:r>
          </w:p>
        </w:tc>
        <w:tc>
          <w:tcPr>
            <w:tcW w:w="1560" w:type="dxa"/>
            <w:vMerge w:val="restart"/>
            <w:shd w:val="clear" w:color="auto" w:fill="auto"/>
            <w:noWrap/>
            <w:vAlign w:val="center"/>
          </w:tcPr>
          <w:p w14:paraId="492EBD68">
            <w:pPr>
              <w:jc w:val="center"/>
              <w:rPr>
                <w:rFonts w:ascii="宋体" w:hAnsi="宋体" w:cs="宋体"/>
                <w:color w:val="000000"/>
                <w:kern w:val="0"/>
                <w:sz w:val="22"/>
                <w:szCs w:val="22"/>
              </w:rPr>
            </w:pPr>
            <w:r>
              <w:rPr>
                <w:rFonts w:hint="eastAsia" w:ascii="宋体" w:hAnsi="宋体" w:cs="宋体"/>
                <w:color w:val="000000"/>
                <w:kern w:val="0"/>
                <w:sz w:val="22"/>
                <w:szCs w:val="22"/>
              </w:rPr>
              <w:t>绿化隔声、扰减动少、加强管理</w:t>
            </w:r>
          </w:p>
        </w:tc>
        <w:tc>
          <w:tcPr>
            <w:tcW w:w="1134" w:type="dxa"/>
            <w:shd w:val="clear" w:color="auto" w:fill="auto"/>
            <w:noWrap/>
            <w:vAlign w:val="center"/>
          </w:tcPr>
          <w:p w14:paraId="212514E0">
            <w:pPr>
              <w:jc w:val="center"/>
              <w:rPr>
                <w:rFonts w:ascii="宋体" w:hAnsi="宋体" w:cs="宋体"/>
                <w:color w:val="000000"/>
                <w:kern w:val="0"/>
                <w:sz w:val="22"/>
                <w:szCs w:val="22"/>
              </w:rPr>
            </w:pPr>
            <w:r>
              <w:rPr>
                <w:rFonts w:hint="eastAsia" w:ascii="宋体" w:hAnsi="宋体" w:cs="宋体"/>
                <w:color w:val="000000"/>
                <w:kern w:val="0"/>
                <w:sz w:val="22"/>
                <w:szCs w:val="22"/>
              </w:rPr>
              <w:t>54.51</w:t>
            </w:r>
          </w:p>
        </w:tc>
        <w:tc>
          <w:tcPr>
            <w:tcW w:w="992" w:type="dxa"/>
            <w:shd w:val="clear" w:color="auto" w:fill="auto"/>
            <w:noWrap/>
            <w:vAlign w:val="center"/>
          </w:tcPr>
          <w:p w14:paraId="269EA3E7">
            <w:pPr>
              <w:jc w:val="center"/>
              <w:rPr>
                <w:rFonts w:ascii="宋体" w:hAnsi="宋体" w:cs="宋体"/>
                <w:color w:val="000000"/>
                <w:kern w:val="0"/>
                <w:sz w:val="22"/>
                <w:szCs w:val="22"/>
              </w:rPr>
            </w:pPr>
            <w:r>
              <w:rPr>
                <w:rFonts w:hint="eastAsia" w:ascii="宋体" w:hAnsi="宋体" w:cs="宋体"/>
                <w:color w:val="000000"/>
                <w:kern w:val="0"/>
                <w:sz w:val="22"/>
                <w:szCs w:val="22"/>
              </w:rPr>
              <w:t>362.74</w:t>
            </w:r>
          </w:p>
        </w:tc>
        <w:tc>
          <w:tcPr>
            <w:tcW w:w="850" w:type="dxa"/>
            <w:shd w:val="clear" w:color="auto" w:fill="auto"/>
            <w:vAlign w:val="center"/>
          </w:tcPr>
          <w:p w14:paraId="2F02962F">
            <w:pPr>
              <w:jc w:val="center"/>
              <w:rPr>
                <w:color w:val="000000"/>
                <w:kern w:val="0"/>
                <w:szCs w:val="21"/>
              </w:rPr>
            </w:pPr>
            <w:r>
              <w:rPr>
                <w:color w:val="000000"/>
                <w:kern w:val="0"/>
                <w:szCs w:val="21"/>
              </w:rPr>
              <w:t>1.2</w:t>
            </w:r>
          </w:p>
        </w:tc>
        <w:tc>
          <w:tcPr>
            <w:tcW w:w="851" w:type="dxa"/>
            <w:shd w:val="clear" w:color="auto" w:fill="auto"/>
            <w:vAlign w:val="center"/>
          </w:tcPr>
          <w:p w14:paraId="11484492">
            <w:pPr>
              <w:jc w:val="center"/>
              <w:rPr>
                <w:color w:val="000000"/>
                <w:kern w:val="0"/>
                <w:szCs w:val="21"/>
              </w:rPr>
            </w:pPr>
            <w:r>
              <w:rPr>
                <w:color w:val="000000"/>
                <w:kern w:val="0"/>
                <w:szCs w:val="21"/>
              </w:rPr>
              <w:t>/</w:t>
            </w:r>
          </w:p>
        </w:tc>
        <w:tc>
          <w:tcPr>
            <w:tcW w:w="890" w:type="dxa"/>
            <w:shd w:val="clear" w:color="auto" w:fill="auto"/>
            <w:vAlign w:val="center"/>
          </w:tcPr>
          <w:p w14:paraId="1C7B510F">
            <w:pPr>
              <w:jc w:val="center"/>
              <w:rPr>
                <w:color w:val="000000"/>
                <w:kern w:val="0"/>
                <w:szCs w:val="21"/>
              </w:rPr>
            </w:pPr>
            <w:r>
              <w:rPr>
                <w:color w:val="000000"/>
                <w:kern w:val="0"/>
                <w:szCs w:val="21"/>
              </w:rPr>
              <w:t>60</w:t>
            </w:r>
          </w:p>
        </w:tc>
        <w:tc>
          <w:tcPr>
            <w:tcW w:w="669" w:type="dxa"/>
            <w:vMerge w:val="restart"/>
            <w:shd w:val="clear" w:color="auto" w:fill="auto"/>
            <w:noWrap/>
            <w:vAlign w:val="center"/>
          </w:tcPr>
          <w:p w14:paraId="41E172E2">
            <w:pPr>
              <w:jc w:val="center"/>
              <w:rPr>
                <w:rFonts w:ascii="宋体" w:hAnsi="宋体" w:cs="宋体"/>
                <w:color w:val="000000"/>
                <w:kern w:val="0"/>
                <w:sz w:val="22"/>
                <w:szCs w:val="22"/>
              </w:rPr>
            </w:pPr>
            <w:r>
              <w:rPr>
                <w:rFonts w:hint="eastAsia" w:ascii="宋体" w:hAnsi="宋体" w:cs="宋体"/>
                <w:color w:val="000000"/>
                <w:kern w:val="0"/>
                <w:sz w:val="22"/>
                <w:szCs w:val="22"/>
              </w:rPr>
              <w:t>昼间、夜间</w:t>
            </w:r>
          </w:p>
        </w:tc>
        <w:tc>
          <w:tcPr>
            <w:tcW w:w="851" w:type="dxa"/>
            <w:shd w:val="clear" w:color="auto" w:fill="auto"/>
            <w:vAlign w:val="center"/>
          </w:tcPr>
          <w:p w14:paraId="0101180E">
            <w:pPr>
              <w:jc w:val="center"/>
              <w:rPr>
                <w:color w:val="000000"/>
                <w:kern w:val="0"/>
                <w:szCs w:val="21"/>
              </w:rPr>
            </w:pPr>
            <w:r>
              <w:rPr>
                <w:color w:val="000000"/>
                <w:kern w:val="0"/>
                <w:szCs w:val="21"/>
              </w:rPr>
              <w:t>/</w:t>
            </w:r>
          </w:p>
        </w:tc>
        <w:tc>
          <w:tcPr>
            <w:tcW w:w="850" w:type="dxa"/>
            <w:shd w:val="clear" w:color="auto" w:fill="auto"/>
            <w:vAlign w:val="center"/>
          </w:tcPr>
          <w:p w14:paraId="22047D4C">
            <w:pPr>
              <w:jc w:val="center"/>
              <w:rPr>
                <w:color w:val="000000"/>
                <w:kern w:val="0"/>
                <w:szCs w:val="21"/>
              </w:rPr>
            </w:pPr>
            <w:r>
              <w:rPr>
                <w:color w:val="000000"/>
                <w:kern w:val="0"/>
                <w:szCs w:val="21"/>
              </w:rPr>
              <w:t>60</w:t>
            </w:r>
          </w:p>
        </w:tc>
        <w:tc>
          <w:tcPr>
            <w:tcW w:w="770" w:type="dxa"/>
            <w:shd w:val="clear" w:color="auto" w:fill="auto"/>
            <w:vAlign w:val="center"/>
          </w:tcPr>
          <w:p w14:paraId="21478688">
            <w:pPr>
              <w:jc w:val="center"/>
              <w:rPr>
                <w:color w:val="000000"/>
                <w:kern w:val="0"/>
                <w:szCs w:val="21"/>
              </w:rPr>
            </w:pPr>
            <w:r>
              <w:rPr>
                <w:color w:val="000000"/>
                <w:kern w:val="0"/>
                <w:szCs w:val="21"/>
              </w:rPr>
              <w:t>1</w:t>
            </w:r>
          </w:p>
        </w:tc>
      </w:tr>
      <w:tr w14:paraId="0636B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C532AE4">
            <w:pPr>
              <w:jc w:val="center"/>
              <w:rPr>
                <w:color w:val="000000"/>
                <w:kern w:val="0"/>
                <w:szCs w:val="21"/>
              </w:rPr>
            </w:pPr>
            <w:r>
              <w:rPr>
                <w:color w:val="000000"/>
                <w:kern w:val="0"/>
                <w:szCs w:val="21"/>
              </w:rPr>
              <w:t>2</w:t>
            </w:r>
          </w:p>
        </w:tc>
        <w:tc>
          <w:tcPr>
            <w:tcW w:w="1292" w:type="dxa"/>
            <w:shd w:val="clear" w:color="auto" w:fill="auto"/>
            <w:noWrap/>
            <w:vAlign w:val="center"/>
          </w:tcPr>
          <w:p w14:paraId="2DA15BB9">
            <w:pPr>
              <w:jc w:val="center"/>
              <w:rPr>
                <w:rFonts w:ascii="宋体" w:hAnsi="宋体" w:cs="宋体"/>
                <w:color w:val="000000"/>
                <w:kern w:val="0"/>
                <w:sz w:val="22"/>
                <w:szCs w:val="22"/>
              </w:rPr>
            </w:pPr>
            <w:r>
              <w:rPr>
                <w:rFonts w:hint="eastAsia" w:ascii="宋体" w:hAnsi="宋体" w:cs="宋体"/>
                <w:color w:val="000000"/>
                <w:kern w:val="0"/>
                <w:sz w:val="22"/>
                <w:szCs w:val="22"/>
              </w:rPr>
              <w:t>佛龙牛舍#2</w:t>
            </w:r>
          </w:p>
        </w:tc>
        <w:tc>
          <w:tcPr>
            <w:tcW w:w="851" w:type="dxa"/>
            <w:vMerge w:val="continue"/>
            <w:vAlign w:val="center"/>
          </w:tcPr>
          <w:p w14:paraId="22489B74">
            <w:pPr>
              <w:jc w:val="center"/>
              <w:rPr>
                <w:rFonts w:ascii="宋体" w:hAnsi="宋体" w:cs="宋体"/>
                <w:color w:val="000000"/>
                <w:kern w:val="0"/>
                <w:sz w:val="22"/>
                <w:szCs w:val="22"/>
              </w:rPr>
            </w:pPr>
          </w:p>
        </w:tc>
        <w:tc>
          <w:tcPr>
            <w:tcW w:w="1984" w:type="dxa"/>
            <w:vMerge w:val="continue"/>
            <w:vAlign w:val="center"/>
          </w:tcPr>
          <w:p w14:paraId="56808369">
            <w:pPr>
              <w:jc w:val="center"/>
              <w:rPr>
                <w:rFonts w:ascii="宋体" w:hAnsi="宋体" w:cs="宋体"/>
                <w:color w:val="000000"/>
                <w:kern w:val="0"/>
                <w:sz w:val="22"/>
                <w:szCs w:val="22"/>
              </w:rPr>
            </w:pPr>
          </w:p>
        </w:tc>
        <w:tc>
          <w:tcPr>
            <w:tcW w:w="1560" w:type="dxa"/>
            <w:vMerge w:val="continue"/>
            <w:vAlign w:val="center"/>
          </w:tcPr>
          <w:p w14:paraId="1B3E3DEB">
            <w:pPr>
              <w:jc w:val="center"/>
              <w:rPr>
                <w:rFonts w:ascii="宋体" w:hAnsi="宋体" w:cs="宋体"/>
                <w:color w:val="000000"/>
                <w:kern w:val="0"/>
                <w:sz w:val="22"/>
                <w:szCs w:val="22"/>
              </w:rPr>
            </w:pPr>
          </w:p>
        </w:tc>
        <w:tc>
          <w:tcPr>
            <w:tcW w:w="1134" w:type="dxa"/>
            <w:shd w:val="clear" w:color="auto" w:fill="auto"/>
            <w:noWrap/>
            <w:vAlign w:val="center"/>
          </w:tcPr>
          <w:p w14:paraId="3DDA33FE">
            <w:pPr>
              <w:jc w:val="center"/>
              <w:rPr>
                <w:rFonts w:ascii="宋体" w:hAnsi="宋体" w:cs="宋体"/>
                <w:color w:val="000000"/>
                <w:kern w:val="0"/>
                <w:sz w:val="22"/>
                <w:szCs w:val="22"/>
              </w:rPr>
            </w:pPr>
            <w:r>
              <w:rPr>
                <w:rFonts w:hint="eastAsia" w:ascii="宋体" w:hAnsi="宋体" w:cs="宋体"/>
                <w:color w:val="000000"/>
                <w:kern w:val="0"/>
                <w:sz w:val="22"/>
                <w:szCs w:val="22"/>
              </w:rPr>
              <w:t>70.99</w:t>
            </w:r>
          </w:p>
        </w:tc>
        <w:tc>
          <w:tcPr>
            <w:tcW w:w="992" w:type="dxa"/>
            <w:shd w:val="clear" w:color="auto" w:fill="auto"/>
            <w:noWrap/>
            <w:vAlign w:val="center"/>
          </w:tcPr>
          <w:p w14:paraId="77096605">
            <w:pPr>
              <w:jc w:val="center"/>
              <w:rPr>
                <w:rFonts w:ascii="宋体" w:hAnsi="宋体" w:cs="宋体"/>
                <w:color w:val="000000"/>
                <w:kern w:val="0"/>
                <w:sz w:val="22"/>
                <w:szCs w:val="22"/>
              </w:rPr>
            </w:pPr>
            <w:r>
              <w:rPr>
                <w:rFonts w:hint="eastAsia" w:ascii="宋体" w:hAnsi="宋体" w:cs="宋体"/>
                <w:color w:val="000000"/>
                <w:kern w:val="0"/>
                <w:sz w:val="22"/>
                <w:szCs w:val="22"/>
              </w:rPr>
              <w:t>411.6</w:t>
            </w:r>
          </w:p>
        </w:tc>
        <w:tc>
          <w:tcPr>
            <w:tcW w:w="850" w:type="dxa"/>
            <w:shd w:val="clear" w:color="auto" w:fill="auto"/>
            <w:vAlign w:val="center"/>
          </w:tcPr>
          <w:p w14:paraId="3E9BCA59">
            <w:pPr>
              <w:jc w:val="center"/>
              <w:rPr>
                <w:color w:val="000000"/>
                <w:kern w:val="0"/>
                <w:szCs w:val="21"/>
              </w:rPr>
            </w:pPr>
            <w:r>
              <w:rPr>
                <w:color w:val="000000"/>
                <w:kern w:val="0"/>
                <w:szCs w:val="21"/>
              </w:rPr>
              <w:t>1.2</w:t>
            </w:r>
          </w:p>
        </w:tc>
        <w:tc>
          <w:tcPr>
            <w:tcW w:w="851" w:type="dxa"/>
            <w:shd w:val="clear" w:color="auto" w:fill="auto"/>
            <w:vAlign w:val="center"/>
          </w:tcPr>
          <w:p w14:paraId="79AE8DF9">
            <w:pPr>
              <w:jc w:val="center"/>
              <w:rPr>
                <w:color w:val="000000"/>
                <w:kern w:val="0"/>
                <w:szCs w:val="21"/>
              </w:rPr>
            </w:pPr>
            <w:r>
              <w:rPr>
                <w:color w:val="000000"/>
                <w:kern w:val="0"/>
                <w:szCs w:val="21"/>
              </w:rPr>
              <w:t>/</w:t>
            </w:r>
          </w:p>
        </w:tc>
        <w:tc>
          <w:tcPr>
            <w:tcW w:w="890" w:type="dxa"/>
            <w:shd w:val="clear" w:color="auto" w:fill="auto"/>
            <w:vAlign w:val="center"/>
          </w:tcPr>
          <w:p w14:paraId="38897AE6">
            <w:pPr>
              <w:jc w:val="center"/>
              <w:rPr>
                <w:color w:val="000000"/>
                <w:kern w:val="0"/>
                <w:szCs w:val="21"/>
              </w:rPr>
            </w:pPr>
            <w:r>
              <w:rPr>
                <w:color w:val="000000"/>
                <w:kern w:val="0"/>
                <w:szCs w:val="21"/>
              </w:rPr>
              <w:t>60</w:t>
            </w:r>
          </w:p>
        </w:tc>
        <w:tc>
          <w:tcPr>
            <w:tcW w:w="669" w:type="dxa"/>
            <w:vMerge w:val="continue"/>
            <w:vAlign w:val="center"/>
          </w:tcPr>
          <w:p w14:paraId="0D3CA3B2">
            <w:pPr>
              <w:jc w:val="center"/>
              <w:rPr>
                <w:rFonts w:ascii="宋体" w:hAnsi="宋体" w:cs="宋体"/>
                <w:color w:val="000000"/>
                <w:kern w:val="0"/>
                <w:sz w:val="22"/>
                <w:szCs w:val="22"/>
              </w:rPr>
            </w:pPr>
          </w:p>
        </w:tc>
        <w:tc>
          <w:tcPr>
            <w:tcW w:w="851" w:type="dxa"/>
            <w:shd w:val="clear" w:color="auto" w:fill="auto"/>
            <w:vAlign w:val="center"/>
          </w:tcPr>
          <w:p w14:paraId="6A60AAD8">
            <w:pPr>
              <w:jc w:val="center"/>
              <w:rPr>
                <w:color w:val="000000"/>
                <w:kern w:val="0"/>
                <w:szCs w:val="21"/>
              </w:rPr>
            </w:pPr>
            <w:r>
              <w:rPr>
                <w:color w:val="000000"/>
                <w:kern w:val="0"/>
                <w:szCs w:val="21"/>
              </w:rPr>
              <w:t>/</w:t>
            </w:r>
          </w:p>
        </w:tc>
        <w:tc>
          <w:tcPr>
            <w:tcW w:w="850" w:type="dxa"/>
            <w:shd w:val="clear" w:color="auto" w:fill="auto"/>
            <w:vAlign w:val="center"/>
          </w:tcPr>
          <w:p w14:paraId="19870FBD">
            <w:pPr>
              <w:jc w:val="center"/>
              <w:rPr>
                <w:color w:val="000000"/>
                <w:kern w:val="0"/>
                <w:szCs w:val="21"/>
              </w:rPr>
            </w:pPr>
            <w:r>
              <w:rPr>
                <w:color w:val="000000"/>
                <w:kern w:val="0"/>
                <w:szCs w:val="21"/>
              </w:rPr>
              <w:t>60</w:t>
            </w:r>
          </w:p>
        </w:tc>
        <w:tc>
          <w:tcPr>
            <w:tcW w:w="770" w:type="dxa"/>
            <w:shd w:val="clear" w:color="auto" w:fill="auto"/>
            <w:vAlign w:val="center"/>
          </w:tcPr>
          <w:p w14:paraId="6D739562">
            <w:pPr>
              <w:jc w:val="center"/>
              <w:rPr>
                <w:color w:val="000000"/>
                <w:kern w:val="0"/>
                <w:szCs w:val="21"/>
              </w:rPr>
            </w:pPr>
            <w:r>
              <w:rPr>
                <w:color w:val="000000"/>
                <w:kern w:val="0"/>
                <w:szCs w:val="21"/>
              </w:rPr>
              <w:t>1</w:t>
            </w:r>
          </w:p>
        </w:tc>
      </w:tr>
      <w:tr w14:paraId="662EE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BBC7135">
            <w:pPr>
              <w:jc w:val="center"/>
              <w:rPr>
                <w:color w:val="000000"/>
                <w:kern w:val="0"/>
                <w:szCs w:val="21"/>
              </w:rPr>
            </w:pPr>
            <w:r>
              <w:rPr>
                <w:color w:val="000000"/>
                <w:kern w:val="0"/>
                <w:szCs w:val="21"/>
              </w:rPr>
              <w:t>3</w:t>
            </w:r>
          </w:p>
        </w:tc>
        <w:tc>
          <w:tcPr>
            <w:tcW w:w="1292" w:type="dxa"/>
            <w:shd w:val="clear" w:color="auto" w:fill="auto"/>
            <w:noWrap/>
            <w:vAlign w:val="center"/>
          </w:tcPr>
          <w:p w14:paraId="074FED9A">
            <w:pPr>
              <w:jc w:val="center"/>
              <w:rPr>
                <w:rFonts w:ascii="宋体" w:hAnsi="宋体" w:cs="宋体"/>
                <w:color w:val="000000"/>
                <w:kern w:val="0"/>
                <w:sz w:val="22"/>
                <w:szCs w:val="22"/>
              </w:rPr>
            </w:pPr>
            <w:r>
              <w:rPr>
                <w:rFonts w:hint="eastAsia" w:ascii="宋体" w:hAnsi="宋体" w:cs="宋体"/>
                <w:color w:val="000000"/>
                <w:kern w:val="0"/>
                <w:sz w:val="22"/>
                <w:szCs w:val="22"/>
              </w:rPr>
              <w:t>佛龙牛舍#3</w:t>
            </w:r>
          </w:p>
        </w:tc>
        <w:tc>
          <w:tcPr>
            <w:tcW w:w="851" w:type="dxa"/>
            <w:vMerge w:val="continue"/>
            <w:vAlign w:val="center"/>
          </w:tcPr>
          <w:p w14:paraId="205ADD6D">
            <w:pPr>
              <w:jc w:val="center"/>
              <w:rPr>
                <w:rFonts w:ascii="宋体" w:hAnsi="宋体" w:cs="宋体"/>
                <w:color w:val="000000"/>
                <w:kern w:val="0"/>
                <w:sz w:val="22"/>
                <w:szCs w:val="22"/>
              </w:rPr>
            </w:pPr>
          </w:p>
        </w:tc>
        <w:tc>
          <w:tcPr>
            <w:tcW w:w="1984" w:type="dxa"/>
            <w:vMerge w:val="continue"/>
            <w:vAlign w:val="center"/>
          </w:tcPr>
          <w:p w14:paraId="58ED6614">
            <w:pPr>
              <w:jc w:val="center"/>
              <w:rPr>
                <w:rFonts w:ascii="宋体" w:hAnsi="宋体" w:cs="宋体"/>
                <w:color w:val="000000"/>
                <w:kern w:val="0"/>
                <w:sz w:val="22"/>
                <w:szCs w:val="22"/>
              </w:rPr>
            </w:pPr>
          </w:p>
        </w:tc>
        <w:tc>
          <w:tcPr>
            <w:tcW w:w="1560" w:type="dxa"/>
            <w:vMerge w:val="continue"/>
            <w:vAlign w:val="center"/>
          </w:tcPr>
          <w:p w14:paraId="2671F20C">
            <w:pPr>
              <w:jc w:val="center"/>
              <w:rPr>
                <w:rFonts w:ascii="宋体" w:hAnsi="宋体" w:cs="宋体"/>
                <w:color w:val="000000"/>
                <w:kern w:val="0"/>
                <w:sz w:val="22"/>
                <w:szCs w:val="22"/>
              </w:rPr>
            </w:pPr>
          </w:p>
        </w:tc>
        <w:tc>
          <w:tcPr>
            <w:tcW w:w="1134" w:type="dxa"/>
            <w:shd w:val="clear" w:color="auto" w:fill="auto"/>
            <w:noWrap/>
            <w:vAlign w:val="center"/>
          </w:tcPr>
          <w:p w14:paraId="7C5F7598">
            <w:pPr>
              <w:jc w:val="center"/>
              <w:rPr>
                <w:rFonts w:ascii="宋体" w:hAnsi="宋体" w:cs="宋体"/>
                <w:color w:val="000000"/>
                <w:kern w:val="0"/>
                <w:sz w:val="22"/>
                <w:szCs w:val="22"/>
              </w:rPr>
            </w:pPr>
            <w:r>
              <w:rPr>
                <w:rFonts w:hint="eastAsia" w:ascii="宋体" w:hAnsi="宋体" w:cs="宋体"/>
                <w:color w:val="000000"/>
                <w:kern w:val="0"/>
                <w:sz w:val="22"/>
                <w:szCs w:val="22"/>
              </w:rPr>
              <w:t>35.2</w:t>
            </w:r>
          </w:p>
        </w:tc>
        <w:tc>
          <w:tcPr>
            <w:tcW w:w="992" w:type="dxa"/>
            <w:shd w:val="clear" w:color="auto" w:fill="auto"/>
            <w:noWrap/>
            <w:vAlign w:val="center"/>
          </w:tcPr>
          <w:p w14:paraId="752F541B">
            <w:pPr>
              <w:jc w:val="center"/>
              <w:rPr>
                <w:rFonts w:ascii="宋体" w:hAnsi="宋体" w:cs="宋体"/>
                <w:color w:val="000000"/>
                <w:kern w:val="0"/>
                <w:sz w:val="22"/>
                <w:szCs w:val="22"/>
              </w:rPr>
            </w:pPr>
            <w:r>
              <w:rPr>
                <w:rFonts w:hint="eastAsia" w:ascii="宋体" w:hAnsi="宋体" w:cs="宋体"/>
                <w:color w:val="000000"/>
                <w:kern w:val="0"/>
                <w:sz w:val="22"/>
                <w:szCs w:val="22"/>
              </w:rPr>
              <w:t>313.31</w:t>
            </w:r>
          </w:p>
        </w:tc>
        <w:tc>
          <w:tcPr>
            <w:tcW w:w="850" w:type="dxa"/>
            <w:shd w:val="clear" w:color="auto" w:fill="auto"/>
            <w:vAlign w:val="center"/>
          </w:tcPr>
          <w:p w14:paraId="33BA94CF">
            <w:pPr>
              <w:jc w:val="center"/>
              <w:rPr>
                <w:color w:val="000000"/>
                <w:kern w:val="0"/>
                <w:szCs w:val="21"/>
              </w:rPr>
            </w:pPr>
            <w:r>
              <w:rPr>
                <w:color w:val="000000"/>
                <w:kern w:val="0"/>
                <w:szCs w:val="21"/>
              </w:rPr>
              <w:t>1.2</w:t>
            </w:r>
          </w:p>
        </w:tc>
        <w:tc>
          <w:tcPr>
            <w:tcW w:w="851" w:type="dxa"/>
            <w:shd w:val="clear" w:color="auto" w:fill="auto"/>
            <w:vAlign w:val="center"/>
          </w:tcPr>
          <w:p w14:paraId="17EB8C90">
            <w:pPr>
              <w:jc w:val="center"/>
              <w:rPr>
                <w:color w:val="000000"/>
                <w:kern w:val="0"/>
                <w:szCs w:val="21"/>
              </w:rPr>
            </w:pPr>
            <w:r>
              <w:rPr>
                <w:color w:val="000000"/>
                <w:kern w:val="0"/>
                <w:szCs w:val="21"/>
              </w:rPr>
              <w:t>/</w:t>
            </w:r>
          </w:p>
        </w:tc>
        <w:tc>
          <w:tcPr>
            <w:tcW w:w="890" w:type="dxa"/>
            <w:shd w:val="clear" w:color="auto" w:fill="auto"/>
            <w:vAlign w:val="center"/>
          </w:tcPr>
          <w:p w14:paraId="427C2F1A">
            <w:pPr>
              <w:jc w:val="center"/>
              <w:rPr>
                <w:color w:val="000000"/>
                <w:kern w:val="0"/>
                <w:szCs w:val="21"/>
              </w:rPr>
            </w:pPr>
            <w:r>
              <w:rPr>
                <w:color w:val="000000"/>
                <w:kern w:val="0"/>
                <w:szCs w:val="21"/>
              </w:rPr>
              <w:t>60</w:t>
            </w:r>
          </w:p>
        </w:tc>
        <w:tc>
          <w:tcPr>
            <w:tcW w:w="669" w:type="dxa"/>
            <w:vMerge w:val="continue"/>
            <w:vAlign w:val="center"/>
          </w:tcPr>
          <w:p w14:paraId="3127DA87">
            <w:pPr>
              <w:jc w:val="center"/>
              <w:rPr>
                <w:rFonts w:ascii="宋体" w:hAnsi="宋体" w:cs="宋体"/>
                <w:color w:val="000000"/>
                <w:kern w:val="0"/>
                <w:sz w:val="22"/>
                <w:szCs w:val="22"/>
              </w:rPr>
            </w:pPr>
          </w:p>
        </w:tc>
        <w:tc>
          <w:tcPr>
            <w:tcW w:w="851" w:type="dxa"/>
            <w:shd w:val="clear" w:color="auto" w:fill="auto"/>
            <w:vAlign w:val="center"/>
          </w:tcPr>
          <w:p w14:paraId="60F73DF7">
            <w:pPr>
              <w:jc w:val="center"/>
              <w:rPr>
                <w:color w:val="000000"/>
                <w:kern w:val="0"/>
                <w:szCs w:val="21"/>
              </w:rPr>
            </w:pPr>
            <w:r>
              <w:rPr>
                <w:color w:val="000000"/>
                <w:kern w:val="0"/>
                <w:szCs w:val="21"/>
              </w:rPr>
              <w:t>/</w:t>
            </w:r>
          </w:p>
        </w:tc>
        <w:tc>
          <w:tcPr>
            <w:tcW w:w="850" w:type="dxa"/>
            <w:shd w:val="clear" w:color="auto" w:fill="auto"/>
            <w:vAlign w:val="center"/>
          </w:tcPr>
          <w:p w14:paraId="08110D2B">
            <w:pPr>
              <w:jc w:val="center"/>
              <w:rPr>
                <w:color w:val="000000"/>
                <w:kern w:val="0"/>
                <w:szCs w:val="21"/>
              </w:rPr>
            </w:pPr>
            <w:r>
              <w:rPr>
                <w:color w:val="000000"/>
                <w:kern w:val="0"/>
                <w:szCs w:val="21"/>
              </w:rPr>
              <w:t>60</w:t>
            </w:r>
          </w:p>
        </w:tc>
        <w:tc>
          <w:tcPr>
            <w:tcW w:w="770" w:type="dxa"/>
            <w:shd w:val="clear" w:color="auto" w:fill="auto"/>
            <w:vAlign w:val="center"/>
          </w:tcPr>
          <w:p w14:paraId="1132D555">
            <w:pPr>
              <w:jc w:val="center"/>
              <w:rPr>
                <w:color w:val="000000"/>
                <w:kern w:val="0"/>
                <w:szCs w:val="21"/>
              </w:rPr>
            </w:pPr>
            <w:r>
              <w:rPr>
                <w:color w:val="000000"/>
                <w:kern w:val="0"/>
                <w:szCs w:val="21"/>
              </w:rPr>
              <w:t>1</w:t>
            </w:r>
          </w:p>
        </w:tc>
      </w:tr>
      <w:tr w14:paraId="7F64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3035FE4C">
            <w:pPr>
              <w:jc w:val="center"/>
              <w:rPr>
                <w:color w:val="000000"/>
                <w:kern w:val="0"/>
                <w:szCs w:val="21"/>
              </w:rPr>
            </w:pPr>
            <w:r>
              <w:rPr>
                <w:color w:val="000000"/>
                <w:kern w:val="0"/>
                <w:szCs w:val="21"/>
              </w:rPr>
              <w:t>4</w:t>
            </w:r>
          </w:p>
        </w:tc>
        <w:tc>
          <w:tcPr>
            <w:tcW w:w="1292" w:type="dxa"/>
            <w:shd w:val="clear" w:color="auto" w:fill="auto"/>
            <w:noWrap/>
            <w:vAlign w:val="center"/>
          </w:tcPr>
          <w:p w14:paraId="2269725E">
            <w:pPr>
              <w:jc w:val="center"/>
              <w:rPr>
                <w:rFonts w:ascii="宋体" w:hAnsi="宋体" w:cs="宋体"/>
                <w:color w:val="000000"/>
                <w:kern w:val="0"/>
                <w:sz w:val="22"/>
                <w:szCs w:val="22"/>
              </w:rPr>
            </w:pPr>
            <w:r>
              <w:rPr>
                <w:rFonts w:hint="eastAsia" w:ascii="宋体" w:hAnsi="宋体" w:cs="宋体"/>
                <w:color w:val="000000"/>
                <w:kern w:val="0"/>
                <w:sz w:val="22"/>
                <w:szCs w:val="22"/>
              </w:rPr>
              <w:t>佛龙牛舍#4</w:t>
            </w:r>
          </w:p>
        </w:tc>
        <w:tc>
          <w:tcPr>
            <w:tcW w:w="851" w:type="dxa"/>
            <w:vMerge w:val="continue"/>
            <w:vAlign w:val="center"/>
          </w:tcPr>
          <w:p w14:paraId="425541F0">
            <w:pPr>
              <w:jc w:val="center"/>
              <w:rPr>
                <w:rFonts w:ascii="宋体" w:hAnsi="宋体" w:cs="宋体"/>
                <w:color w:val="000000"/>
                <w:kern w:val="0"/>
                <w:sz w:val="22"/>
                <w:szCs w:val="22"/>
              </w:rPr>
            </w:pPr>
          </w:p>
        </w:tc>
        <w:tc>
          <w:tcPr>
            <w:tcW w:w="1984" w:type="dxa"/>
            <w:vMerge w:val="continue"/>
            <w:vAlign w:val="center"/>
          </w:tcPr>
          <w:p w14:paraId="5BCF5A18">
            <w:pPr>
              <w:jc w:val="center"/>
              <w:rPr>
                <w:rFonts w:ascii="宋体" w:hAnsi="宋体" w:cs="宋体"/>
                <w:color w:val="000000"/>
                <w:kern w:val="0"/>
                <w:sz w:val="22"/>
                <w:szCs w:val="22"/>
              </w:rPr>
            </w:pPr>
          </w:p>
        </w:tc>
        <w:tc>
          <w:tcPr>
            <w:tcW w:w="1560" w:type="dxa"/>
            <w:vMerge w:val="continue"/>
            <w:vAlign w:val="center"/>
          </w:tcPr>
          <w:p w14:paraId="3CC0369E">
            <w:pPr>
              <w:jc w:val="center"/>
              <w:rPr>
                <w:rFonts w:ascii="宋体" w:hAnsi="宋体" w:cs="宋体"/>
                <w:color w:val="000000"/>
                <w:kern w:val="0"/>
                <w:sz w:val="22"/>
                <w:szCs w:val="22"/>
              </w:rPr>
            </w:pPr>
          </w:p>
        </w:tc>
        <w:tc>
          <w:tcPr>
            <w:tcW w:w="1134" w:type="dxa"/>
            <w:shd w:val="clear" w:color="auto" w:fill="auto"/>
            <w:noWrap/>
            <w:vAlign w:val="center"/>
          </w:tcPr>
          <w:p w14:paraId="34FC1474">
            <w:pPr>
              <w:jc w:val="center"/>
              <w:rPr>
                <w:rFonts w:ascii="宋体" w:hAnsi="宋体" w:cs="宋体"/>
                <w:color w:val="000000"/>
                <w:kern w:val="0"/>
                <w:sz w:val="22"/>
                <w:szCs w:val="22"/>
              </w:rPr>
            </w:pPr>
            <w:r>
              <w:rPr>
                <w:rFonts w:hint="eastAsia" w:ascii="宋体" w:hAnsi="宋体" w:cs="宋体"/>
                <w:color w:val="000000"/>
                <w:kern w:val="0"/>
                <w:sz w:val="22"/>
                <w:szCs w:val="22"/>
              </w:rPr>
              <w:t>17.02</w:t>
            </w:r>
          </w:p>
        </w:tc>
        <w:tc>
          <w:tcPr>
            <w:tcW w:w="992" w:type="dxa"/>
            <w:shd w:val="clear" w:color="auto" w:fill="auto"/>
            <w:noWrap/>
            <w:vAlign w:val="center"/>
          </w:tcPr>
          <w:p w14:paraId="45A983CD">
            <w:pPr>
              <w:jc w:val="center"/>
              <w:rPr>
                <w:rFonts w:ascii="宋体" w:hAnsi="宋体" w:cs="宋体"/>
                <w:color w:val="000000"/>
                <w:kern w:val="0"/>
                <w:sz w:val="22"/>
                <w:szCs w:val="22"/>
              </w:rPr>
            </w:pPr>
            <w:r>
              <w:rPr>
                <w:rFonts w:hint="eastAsia" w:ascii="宋体" w:hAnsi="宋体" w:cs="宋体"/>
                <w:color w:val="000000"/>
                <w:kern w:val="0"/>
                <w:sz w:val="22"/>
                <w:szCs w:val="22"/>
              </w:rPr>
              <w:t>267.29</w:t>
            </w:r>
          </w:p>
        </w:tc>
        <w:tc>
          <w:tcPr>
            <w:tcW w:w="850" w:type="dxa"/>
            <w:shd w:val="clear" w:color="auto" w:fill="auto"/>
            <w:vAlign w:val="center"/>
          </w:tcPr>
          <w:p w14:paraId="13322B43">
            <w:pPr>
              <w:jc w:val="center"/>
              <w:rPr>
                <w:color w:val="000000"/>
                <w:kern w:val="0"/>
                <w:szCs w:val="21"/>
              </w:rPr>
            </w:pPr>
            <w:r>
              <w:rPr>
                <w:color w:val="000000"/>
                <w:kern w:val="0"/>
                <w:szCs w:val="21"/>
              </w:rPr>
              <w:t>1.2</w:t>
            </w:r>
          </w:p>
        </w:tc>
        <w:tc>
          <w:tcPr>
            <w:tcW w:w="851" w:type="dxa"/>
            <w:shd w:val="clear" w:color="auto" w:fill="auto"/>
            <w:vAlign w:val="center"/>
          </w:tcPr>
          <w:p w14:paraId="06B27060">
            <w:pPr>
              <w:jc w:val="center"/>
              <w:rPr>
                <w:color w:val="000000"/>
                <w:kern w:val="0"/>
                <w:szCs w:val="21"/>
              </w:rPr>
            </w:pPr>
            <w:r>
              <w:rPr>
                <w:color w:val="000000"/>
                <w:kern w:val="0"/>
                <w:szCs w:val="21"/>
              </w:rPr>
              <w:t>/</w:t>
            </w:r>
          </w:p>
        </w:tc>
        <w:tc>
          <w:tcPr>
            <w:tcW w:w="890" w:type="dxa"/>
            <w:shd w:val="clear" w:color="auto" w:fill="auto"/>
            <w:vAlign w:val="center"/>
          </w:tcPr>
          <w:p w14:paraId="068DCDD9">
            <w:pPr>
              <w:jc w:val="center"/>
              <w:rPr>
                <w:color w:val="000000"/>
                <w:kern w:val="0"/>
                <w:szCs w:val="21"/>
              </w:rPr>
            </w:pPr>
            <w:r>
              <w:rPr>
                <w:color w:val="000000"/>
                <w:kern w:val="0"/>
                <w:szCs w:val="21"/>
              </w:rPr>
              <w:t>60</w:t>
            </w:r>
          </w:p>
        </w:tc>
        <w:tc>
          <w:tcPr>
            <w:tcW w:w="669" w:type="dxa"/>
            <w:vMerge w:val="continue"/>
            <w:vAlign w:val="center"/>
          </w:tcPr>
          <w:p w14:paraId="091EAF70">
            <w:pPr>
              <w:jc w:val="center"/>
              <w:rPr>
                <w:rFonts w:ascii="宋体" w:hAnsi="宋体" w:cs="宋体"/>
                <w:color w:val="000000"/>
                <w:kern w:val="0"/>
                <w:sz w:val="22"/>
                <w:szCs w:val="22"/>
              </w:rPr>
            </w:pPr>
          </w:p>
        </w:tc>
        <w:tc>
          <w:tcPr>
            <w:tcW w:w="851" w:type="dxa"/>
            <w:shd w:val="clear" w:color="auto" w:fill="auto"/>
            <w:vAlign w:val="center"/>
          </w:tcPr>
          <w:p w14:paraId="793D189A">
            <w:pPr>
              <w:jc w:val="center"/>
              <w:rPr>
                <w:color w:val="000000"/>
                <w:kern w:val="0"/>
                <w:szCs w:val="21"/>
              </w:rPr>
            </w:pPr>
            <w:r>
              <w:rPr>
                <w:color w:val="000000"/>
                <w:kern w:val="0"/>
                <w:szCs w:val="21"/>
              </w:rPr>
              <w:t>/</w:t>
            </w:r>
          </w:p>
        </w:tc>
        <w:tc>
          <w:tcPr>
            <w:tcW w:w="850" w:type="dxa"/>
            <w:shd w:val="clear" w:color="auto" w:fill="auto"/>
            <w:vAlign w:val="center"/>
          </w:tcPr>
          <w:p w14:paraId="37E5BFA3">
            <w:pPr>
              <w:jc w:val="center"/>
              <w:rPr>
                <w:color w:val="000000"/>
                <w:kern w:val="0"/>
                <w:szCs w:val="21"/>
              </w:rPr>
            </w:pPr>
            <w:r>
              <w:rPr>
                <w:color w:val="000000"/>
                <w:kern w:val="0"/>
                <w:szCs w:val="21"/>
              </w:rPr>
              <w:t>60</w:t>
            </w:r>
          </w:p>
        </w:tc>
        <w:tc>
          <w:tcPr>
            <w:tcW w:w="770" w:type="dxa"/>
            <w:shd w:val="clear" w:color="auto" w:fill="auto"/>
            <w:vAlign w:val="center"/>
          </w:tcPr>
          <w:p w14:paraId="03F59514">
            <w:pPr>
              <w:jc w:val="center"/>
              <w:rPr>
                <w:color w:val="000000"/>
                <w:kern w:val="0"/>
                <w:szCs w:val="21"/>
              </w:rPr>
            </w:pPr>
            <w:r>
              <w:rPr>
                <w:color w:val="000000"/>
                <w:kern w:val="0"/>
                <w:szCs w:val="21"/>
              </w:rPr>
              <w:t>1</w:t>
            </w:r>
          </w:p>
        </w:tc>
      </w:tr>
      <w:tr w14:paraId="647A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59B1967B">
            <w:pPr>
              <w:jc w:val="center"/>
              <w:rPr>
                <w:color w:val="000000"/>
                <w:kern w:val="0"/>
                <w:szCs w:val="21"/>
              </w:rPr>
            </w:pPr>
            <w:r>
              <w:rPr>
                <w:color w:val="000000"/>
                <w:kern w:val="0"/>
                <w:szCs w:val="21"/>
              </w:rPr>
              <w:t>5</w:t>
            </w:r>
          </w:p>
        </w:tc>
        <w:tc>
          <w:tcPr>
            <w:tcW w:w="1292" w:type="dxa"/>
            <w:shd w:val="clear" w:color="auto" w:fill="auto"/>
            <w:noWrap/>
            <w:vAlign w:val="center"/>
          </w:tcPr>
          <w:p w14:paraId="0CE6C52D">
            <w:pPr>
              <w:jc w:val="center"/>
              <w:rPr>
                <w:rFonts w:ascii="宋体" w:hAnsi="宋体" w:cs="宋体"/>
                <w:color w:val="000000"/>
                <w:kern w:val="0"/>
                <w:sz w:val="22"/>
                <w:szCs w:val="22"/>
              </w:rPr>
            </w:pPr>
            <w:r>
              <w:rPr>
                <w:rFonts w:hint="eastAsia" w:ascii="宋体" w:hAnsi="宋体" w:cs="宋体"/>
                <w:color w:val="000000"/>
                <w:kern w:val="0"/>
                <w:sz w:val="22"/>
                <w:szCs w:val="22"/>
              </w:rPr>
              <w:t>佛龙牛舍#5</w:t>
            </w:r>
          </w:p>
        </w:tc>
        <w:tc>
          <w:tcPr>
            <w:tcW w:w="851" w:type="dxa"/>
            <w:vMerge w:val="continue"/>
            <w:vAlign w:val="center"/>
          </w:tcPr>
          <w:p w14:paraId="0C2716AF">
            <w:pPr>
              <w:jc w:val="center"/>
              <w:rPr>
                <w:rFonts w:ascii="宋体" w:hAnsi="宋体" w:cs="宋体"/>
                <w:color w:val="000000"/>
                <w:kern w:val="0"/>
                <w:sz w:val="22"/>
                <w:szCs w:val="22"/>
              </w:rPr>
            </w:pPr>
          </w:p>
        </w:tc>
        <w:tc>
          <w:tcPr>
            <w:tcW w:w="1984" w:type="dxa"/>
            <w:vMerge w:val="continue"/>
            <w:vAlign w:val="center"/>
          </w:tcPr>
          <w:p w14:paraId="529DE80D">
            <w:pPr>
              <w:jc w:val="center"/>
              <w:rPr>
                <w:rFonts w:ascii="宋体" w:hAnsi="宋体" w:cs="宋体"/>
                <w:color w:val="000000"/>
                <w:kern w:val="0"/>
                <w:sz w:val="22"/>
                <w:szCs w:val="22"/>
              </w:rPr>
            </w:pPr>
          </w:p>
        </w:tc>
        <w:tc>
          <w:tcPr>
            <w:tcW w:w="1560" w:type="dxa"/>
            <w:vMerge w:val="continue"/>
            <w:vAlign w:val="center"/>
          </w:tcPr>
          <w:p w14:paraId="0EDC2892">
            <w:pPr>
              <w:jc w:val="center"/>
              <w:rPr>
                <w:rFonts w:ascii="宋体" w:hAnsi="宋体" w:cs="宋体"/>
                <w:color w:val="000000"/>
                <w:kern w:val="0"/>
                <w:sz w:val="22"/>
                <w:szCs w:val="22"/>
              </w:rPr>
            </w:pPr>
          </w:p>
        </w:tc>
        <w:tc>
          <w:tcPr>
            <w:tcW w:w="1134" w:type="dxa"/>
            <w:shd w:val="clear" w:color="auto" w:fill="auto"/>
            <w:noWrap/>
            <w:vAlign w:val="center"/>
          </w:tcPr>
          <w:p w14:paraId="2F0D2775">
            <w:pPr>
              <w:jc w:val="center"/>
              <w:rPr>
                <w:rFonts w:ascii="宋体" w:hAnsi="宋体" w:cs="宋体"/>
                <w:color w:val="000000"/>
                <w:kern w:val="0"/>
                <w:sz w:val="22"/>
                <w:szCs w:val="22"/>
              </w:rPr>
            </w:pPr>
            <w:r>
              <w:rPr>
                <w:rFonts w:hint="eastAsia" w:ascii="宋体" w:hAnsi="宋体" w:cs="宋体"/>
                <w:color w:val="000000"/>
                <w:kern w:val="0"/>
                <w:sz w:val="22"/>
                <w:szCs w:val="22"/>
              </w:rPr>
              <w:t>7.93</w:t>
            </w:r>
          </w:p>
        </w:tc>
        <w:tc>
          <w:tcPr>
            <w:tcW w:w="992" w:type="dxa"/>
            <w:shd w:val="clear" w:color="auto" w:fill="auto"/>
            <w:noWrap/>
            <w:vAlign w:val="center"/>
          </w:tcPr>
          <w:p w14:paraId="26AF72BF">
            <w:pPr>
              <w:jc w:val="center"/>
              <w:rPr>
                <w:rFonts w:ascii="宋体" w:hAnsi="宋体" w:cs="宋体"/>
                <w:color w:val="000000"/>
                <w:kern w:val="0"/>
                <w:sz w:val="22"/>
                <w:szCs w:val="22"/>
              </w:rPr>
            </w:pPr>
            <w:r>
              <w:rPr>
                <w:rFonts w:hint="eastAsia" w:ascii="宋体" w:hAnsi="宋体" w:cs="宋体"/>
                <w:color w:val="000000"/>
                <w:kern w:val="0"/>
                <w:sz w:val="22"/>
                <w:szCs w:val="22"/>
              </w:rPr>
              <w:t>212.75</w:t>
            </w:r>
          </w:p>
        </w:tc>
        <w:tc>
          <w:tcPr>
            <w:tcW w:w="850" w:type="dxa"/>
            <w:shd w:val="clear" w:color="auto" w:fill="auto"/>
            <w:vAlign w:val="center"/>
          </w:tcPr>
          <w:p w14:paraId="33D1C88D">
            <w:pPr>
              <w:jc w:val="center"/>
              <w:rPr>
                <w:color w:val="000000"/>
                <w:kern w:val="0"/>
                <w:szCs w:val="21"/>
              </w:rPr>
            </w:pPr>
            <w:r>
              <w:rPr>
                <w:color w:val="000000"/>
                <w:kern w:val="0"/>
                <w:szCs w:val="21"/>
              </w:rPr>
              <w:t>1.2</w:t>
            </w:r>
          </w:p>
        </w:tc>
        <w:tc>
          <w:tcPr>
            <w:tcW w:w="851" w:type="dxa"/>
            <w:shd w:val="clear" w:color="auto" w:fill="auto"/>
            <w:vAlign w:val="center"/>
          </w:tcPr>
          <w:p w14:paraId="1207A7C9">
            <w:pPr>
              <w:jc w:val="center"/>
              <w:rPr>
                <w:color w:val="000000"/>
                <w:kern w:val="0"/>
                <w:szCs w:val="21"/>
              </w:rPr>
            </w:pPr>
            <w:r>
              <w:rPr>
                <w:color w:val="000000"/>
                <w:kern w:val="0"/>
                <w:szCs w:val="21"/>
              </w:rPr>
              <w:t>/</w:t>
            </w:r>
          </w:p>
        </w:tc>
        <w:tc>
          <w:tcPr>
            <w:tcW w:w="890" w:type="dxa"/>
            <w:shd w:val="clear" w:color="auto" w:fill="auto"/>
            <w:vAlign w:val="center"/>
          </w:tcPr>
          <w:p w14:paraId="4ABC8656">
            <w:pPr>
              <w:jc w:val="center"/>
              <w:rPr>
                <w:color w:val="000000"/>
                <w:kern w:val="0"/>
                <w:szCs w:val="21"/>
              </w:rPr>
            </w:pPr>
            <w:r>
              <w:rPr>
                <w:color w:val="000000"/>
                <w:kern w:val="0"/>
                <w:szCs w:val="21"/>
              </w:rPr>
              <w:t>60</w:t>
            </w:r>
          </w:p>
        </w:tc>
        <w:tc>
          <w:tcPr>
            <w:tcW w:w="669" w:type="dxa"/>
            <w:vMerge w:val="continue"/>
            <w:vAlign w:val="center"/>
          </w:tcPr>
          <w:p w14:paraId="3D7A738C">
            <w:pPr>
              <w:jc w:val="center"/>
              <w:rPr>
                <w:rFonts w:ascii="宋体" w:hAnsi="宋体" w:cs="宋体"/>
                <w:color w:val="000000"/>
                <w:kern w:val="0"/>
                <w:sz w:val="22"/>
                <w:szCs w:val="22"/>
              </w:rPr>
            </w:pPr>
          </w:p>
        </w:tc>
        <w:tc>
          <w:tcPr>
            <w:tcW w:w="851" w:type="dxa"/>
            <w:shd w:val="clear" w:color="auto" w:fill="auto"/>
            <w:vAlign w:val="center"/>
          </w:tcPr>
          <w:p w14:paraId="1DAFA7B0">
            <w:pPr>
              <w:jc w:val="center"/>
              <w:rPr>
                <w:color w:val="000000"/>
                <w:kern w:val="0"/>
                <w:szCs w:val="21"/>
              </w:rPr>
            </w:pPr>
            <w:r>
              <w:rPr>
                <w:color w:val="000000"/>
                <w:kern w:val="0"/>
                <w:szCs w:val="21"/>
              </w:rPr>
              <w:t>/</w:t>
            </w:r>
          </w:p>
        </w:tc>
        <w:tc>
          <w:tcPr>
            <w:tcW w:w="850" w:type="dxa"/>
            <w:shd w:val="clear" w:color="auto" w:fill="auto"/>
            <w:vAlign w:val="center"/>
          </w:tcPr>
          <w:p w14:paraId="76C0DF01">
            <w:pPr>
              <w:jc w:val="center"/>
              <w:rPr>
                <w:color w:val="000000"/>
                <w:kern w:val="0"/>
                <w:szCs w:val="21"/>
              </w:rPr>
            </w:pPr>
            <w:r>
              <w:rPr>
                <w:color w:val="000000"/>
                <w:kern w:val="0"/>
                <w:szCs w:val="21"/>
              </w:rPr>
              <w:t>60</w:t>
            </w:r>
          </w:p>
        </w:tc>
        <w:tc>
          <w:tcPr>
            <w:tcW w:w="770" w:type="dxa"/>
            <w:shd w:val="clear" w:color="auto" w:fill="auto"/>
            <w:vAlign w:val="center"/>
          </w:tcPr>
          <w:p w14:paraId="603821EC">
            <w:pPr>
              <w:jc w:val="center"/>
              <w:rPr>
                <w:color w:val="000000"/>
                <w:kern w:val="0"/>
                <w:szCs w:val="21"/>
              </w:rPr>
            </w:pPr>
            <w:r>
              <w:rPr>
                <w:color w:val="000000"/>
                <w:kern w:val="0"/>
                <w:szCs w:val="21"/>
              </w:rPr>
              <w:t>1</w:t>
            </w:r>
          </w:p>
        </w:tc>
      </w:tr>
      <w:tr w14:paraId="57FD4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0C0EBBF">
            <w:pPr>
              <w:jc w:val="center"/>
              <w:rPr>
                <w:color w:val="000000"/>
                <w:kern w:val="0"/>
                <w:szCs w:val="21"/>
              </w:rPr>
            </w:pPr>
            <w:r>
              <w:rPr>
                <w:color w:val="000000"/>
                <w:kern w:val="0"/>
                <w:szCs w:val="21"/>
              </w:rPr>
              <w:t>6</w:t>
            </w:r>
          </w:p>
        </w:tc>
        <w:tc>
          <w:tcPr>
            <w:tcW w:w="1292" w:type="dxa"/>
            <w:shd w:val="clear" w:color="auto" w:fill="auto"/>
            <w:noWrap/>
            <w:vAlign w:val="center"/>
          </w:tcPr>
          <w:p w14:paraId="4420C8A4">
            <w:pPr>
              <w:jc w:val="center"/>
              <w:rPr>
                <w:rFonts w:ascii="宋体" w:hAnsi="宋体" w:cs="宋体"/>
                <w:color w:val="000000"/>
                <w:kern w:val="0"/>
                <w:sz w:val="22"/>
                <w:szCs w:val="22"/>
              </w:rPr>
            </w:pPr>
            <w:r>
              <w:rPr>
                <w:rFonts w:hint="eastAsia" w:ascii="宋体" w:hAnsi="宋体" w:cs="宋体"/>
                <w:color w:val="000000"/>
                <w:kern w:val="0"/>
                <w:sz w:val="22"/>
                <w:szCs w:val="22"/>
              </w:rPr>
              <w:t>佛龙牛舍#6</w:t>
            </w:r>
          </w:p>
        </w:tc>
        <w:tc>
          <w:tcPr>
            <w:tcW w:w="851" w:type="dxa"/>
            <w:vMerge w:val="continue"/>
            <w:vAlign w:val="center"/>
          </w:tcPr>
          <w:p w14:paraId="38BE15A5">
            <w:pPr>
              <w:jc w:val="center"/>
              <w:rPr>
                <w:rFonts w:ascii="宋体" w:hAnsi="宋体" w:cs="宋体"/>
                <w:color w:val="000000"/>
                <w:kern w:val="0"/>
                <w:sz w:val="22"/>
                <w:szCs w:val="22"/>
              </w:rPr>
            </w:pPr>
          </w:p>
        </w:tc>
        <w:tc>
          <w:tcPr>
            <w:tcW w:w="1984" w:type="dxa"/>
            <w:vMerge w:val="continue"/>
            <w:vAlign w:val="center"/>
          </w:tcPr>
          <w:p w14:paraId="6F511B27">
            <w:pPr>
              <w:jc w:val="center"/>
              <w:rPr>
                <w:rFonts w:ascii="宋体" w:hAnsi="宋体" w:cs="宋体"/>
                <w:color w:val="000000"/>
                <w:kern w:val="0"/>
                <w:sz w:val="22"/>
                <w:szCs w:val="22"/>
              </w:rPr>
            </w:pPr>
          </w:p>
        </w:tc>
        <w:tc>
          <w:tcPr>
            <w:tcW w:w="1560" w:type="dxa"/>
            <w:vMerge w:val="continue"/>
            <w:vAlign w:val="center"/>
          </w:tcPr>
          <w:p w14:paraId="158B9A8F">
            <w:pPr>
              <w:jc w:val="center"/>
              <w:rPr>
                <w:rFonts w:ascii="宋体" w:hAnsi="宋体" w:cs="宋体"/>
                <w:color w:val="000000"/>
                <w:kern w:val="0"/>
                <w:sz w:val="22"/>
                <w:szCs w:val="22"/>
              </w:rPr>
            </w:pPr>
          </w:p>
        </w:tc>
        <w:tc>
          <w:tcPr>
            <w:tcW w:w="1134" w:type="dxa"/>
            <w:shd w:val="clear" w:color="auto" w:fill="auto"/>
            <w:noWrap/>
            <w:vAlign w:val="center"/>
          </w:tcPr>
          <w:p w14:paraId="27B52F4D">
            <w:pPr>
              <w:jc w:val="center"/>
              <w:rPr>
                <w:rFonts w:ascii="宋体" w:hAnsi="宋体" w:cs="宋体"/>
                <w:color w:val="000000"/>
                <w:kern w:val="0"/>
                <w:sz w:val="22"/>
                <w:szCs w:val="22"/>
              </w:rPr>
            </w:pPr>
            <w:r>
              <w:rPr>
                <w:rFonts w:hint="eastAsia" w:ascii="宋体" w:hAnsi="宋体" w:cs="宋体"/>
                <w:color w:val="000000"/>
                <w:kern w:val="0"/>
                <w:sz w:val="22"/>
                <w:szCs w:val="22"/>
              </w:rPr>
              <w:t>-22.18</w:t>
            </w:r>
          </w:p>
        </w:tc>
        <w:tc>
          <w:tcPr>
            <w:tcW w:w="992" w:type="dxa"/>
            <w:shd w:val="clear" w:color="auto" w:fill="auto"/>
            <w:noWrap/>
            <w:vAlign w:val="center"/>
          </w:tcPr>
          <w:p w14:paraId="6CE45E28">
            <w:pPr>
              <w:jc w:val="center"/>
              <w:rPr>
                <w:rFonts w:ascii="宋体" w:hAnsi="宋体" w:cs="宋体"/>
                <w:color w:val="000000"/>
                <w:kern w:val="0"/>
                <w:sz w:val="22"/>
                <w:szCs w:val="22"/>
              </w:rPr>
            </w:pPr>
            <w:r>
              <w:rPr>
                <w:rFonts w:hint="eastAsia" w:ascii="宋体" w:hAnsi="宋体" w:cs="宋体"/>
                <w:color w:val="000000"/>
                <w:kern w:val="0"/>
                <w:sz w:val="22"/>
                <w:szCs w:val="22"/>
              </w:rPr>
              <w:t>160.48</w:t>
            </w:r>
          </w:p>
        </w:tc>
        <w:tc>
          <w:tcPr>
            <w:tcW w:w="850" w:type="dxa"/>
            <w:shd w:val="clear" w:color="auto" w:fill="auto"/>
            <w:vAlign w:val="center"/>
          </w:tcPr>
          <w:p w14:paraId="0FFD25C9">
            <w:pPr>
              <w:jc w:val="center"/>
              <w:rPr>
                <w:color w:val="000000"/>
                <w:kern w:val="0"/>
                <w:szCs w:val="21"/>
              </w:rPr>
            </w:pPr>
            <w:r>
              <w:rPr>
                <w:color w:val="000000"/>
                <w:kern w:val="0"/>
                <w:szCs w:val="21"/>
              </w:rPr>
              <w:t>1.2</w:t>
            </w:r>
          </w:p>
        </w:tc>
        <w:tc>
          <w:tcPr>
            <w:tcW w:w="851" w:type="dxa"/>
            <w:shd w:val="clear" w:color="auto" w:fill="auto"/>
            <w:vAlign w:val="center"/>
          </w:tcPr>
          <w:p w14:paraId="7D9F503B">
            <w:pPr>
              <w:jc w:val="center"/>
              <w:rPr>
                <w:color w:val="000000"/>
                <w:kern w:val="0"/>
                <w:szCs w:val="21"/>
              </w:rPr>
            </w:pPr>
            <w:r>
              <w:rPr>
                <w:color w:val="000000"/>
                <w:kern w:val="0"/>
                <w:szCs w:val="21"/>
              </w:rPr>
              <w:t>/</w:t>
            </w:r>
          </w:p>
        </w:tc>
        <w:tc>
          <w:tcPr>
            <w:tcW w:w="890" w:type="dxa"/>
            <w:shd w:val="clear" w:color="auto" w:fill="auto"/>
            <w:vAlign w:val="center"/>
          </w:tcPr>
          <w:p w14:paraId="63D5DAD2">
            <w:pPr>
              <w:jc w:val="center"/>
              <w:rPr>
                <w:color w:val="000000"/>
                <w:kern w:val="0"/>
                <w:szCs w:val="21"/>
              </w:rPr>
            </w:pPr>
            <w:r>
              <w:rPr>
                <w:color w:val="000000"/>
                <w:kern w:val="0"/>
                <w:szCs w:val="21"/>
              </w:rPr>
              <w:t>60</w:t>
            </w:r>
          </w:p>
        </w:tc>
        <w:tc>
          <w:tcPr>
            <w:tcW w:w="669" w:type="dxa"/>
            <w:vMerge w:val="continue"/>
            <w:vAlign w:val="center"/>
          </w:tcPr>
          <w:p w14:paraId="1E38A001">
            <w:pPr>
              <w:jc w:val="center"/>
              <w:rPr>
                <w:rFonts w:ascii="宋体" w:hAnsi="宋体" w:cs="宋体"/>
                <w:color w:val="000000"/>
                <w:kern w:val="0"/>
                <w:sz w:val="22"/>
                <w:szCs w:val="22"/>
              </w:rPr>
            </w:pPr>
          </w:p>
        </w:tc>
        <w:tc>
          <w:tcPr>
            <w:tcW w:w="851" w:type="dxa"/>
            <w:shd w:val="clear" w:color="auto" w:fill="auto"/>
            <w:vAlign w:val="center"/>
          </w:tcPr>
          <w:p w14:paraId="7D5F078C">
            <w:pPr>
              <w:jc w:val="center"/>
              <w:rPr>
                <w:color w:val="000000"/>
                <w:kern w:val="0"/>
                <w:szCs w:val="21"/>
              </w:rPr>
            </w:pPr>
            <w:r>
              <w:rPr>
                <w:color w:val="000000"/>
                <w:kern w:val="0"/>
                <w:szCs w:val="21"/>
              </w:rPr>
              <w:t>/</w:t>
            </w:r>
          </w:p>
        </w:tc>
        <w:tc>
          <w:tcPr>
            <w:tcW w:w="850" w:type="dxa"/>
            <w:shd w:val="clear" w:color="auto" w:fill="auto"/>
            <w:vAlign w:val="center"/>
          </w:tcPr>
          <w:p w14:paraId="41B1871C">
            <w:pPr>
              <w:jc w:val="center"/>
              <w:rPr>
                <w:color w:val="000000"/>
                <w:kern w:val="0"/>
                <w:szCs w:val="21"/>
              </w:rPr>
            </w:pPr>
            <w:r>
              <w:rPr>
                <w:color w:val="000000"/>
                <w:kern w:val="0"/>
                <w:szCs w:val="21"/>
              </w:rPr>
              <w:t>60</w:t>
            </w:r>
          </w:p>
        </w:tc>
        <w:tc>
          <w:tcPr>
            <w:tcW w:w="770" w:type="dxa"/>
            <w:shd w:val="clear" w:color="auto" w:fill="auto"/>
            <w:vAlign w:val="center"/>
          </w:tcPr>
          <w:p w14:paraId="529923BF">
            <w:pPr>
              <w:jc w:val="center"/>
              <w:rPr>
                <w:color w:val="000000"/>
                <w:kern w:val="0"/>
                <w:szCs w:val="21"/>
              </w:rPr>
            </w:pPr>
            <w:r>
              <w:rPr>
                <w:color w:val="000000"/>
                <w:kern w:val="0"/>
                <w:szCs w:val="21"/>
              </w:rPr>
              <w:t>1</w:t>
            </w:r>
          </w:p>
        </w:tc>
      </w:tr>
      <w:tr w14:paraId="290BA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B0426A5">
            <w:pPr>
              <w:jc w:val="center"/>
              <w:rPr>
                <w:color w:val="000000"/>
                <w:kern w:val="0"/>
                <w:szCs w:val="21"/>
              </w:rPr>
            </w:pPr>
            <w:r>
              <w:rPr>
                <w:color w:val="000000"/>
                <w:kern w:val="0"/>
                <w:szCs w:val="21"/>
              </w:rPr>
              <w:t>7</w:t>
            </w:r>
          </w:p>
        </w:tc>
        <w:tc>
          <w:tcPr>
            <w:tcW w:w="1292" w:type="dxa"/>
            <w:shd w:val="clear" w:color="auto" w:fill="auto"/>
            <w:noWrap/>
            <w:vAlign w:val="center"/>
          </w:tcPr>
          <w:p w14:paraId="594B4921">
            <w:pPr>
              <w:jc w:val="center"/>
              <w:rPr>
                <w:rFonts w:ascii="宋体" w:hAnsi="宋体" w:cs="宋体"/>
                <w:color w:val="FF0000"/>
                <w:kern w:val="0"/>
                <w:sz w:val="22"/>
                <w:szCs w:val="22"/>
              </w:rPr>
            </w:pPr>
            <w:r>
              <w:rPr>
                <w:rFonts w:hint="eastAsia" w:ascii="宋体" w:hAnsi="宋体" w:cs="宋体"/>
                <w:color w:val="FF0000"/>
                <w:kern w:val="0"/>
                <w:sz w:val="22"/>
                <w:szCs w:val="22"/>
              </w:rPr>
              <w:t>佛龙牛舍#7</w:t>
            </w:r>
          </w:p>
        </w:tc>
        <w:tc>
          <w:tcPr>
            <w:tcW w:w="851" w:type="dxa"/>
            <w:vMerge w:val="continue"/>
            <w:vAlign w:val="center"/>
          </w:tcPr>
          <w:p w14:paraId="384151E1">
            <w:pPr>
              <w:jc w:val="center"/>
              <w:rPr>
                <w:rFonts w:ascii="宋体" w:hAnsi="宋体" w:cs="宋体"/>
                <w:color w:val="000000"/>
                <w:kern w:val="0"/>
                <w:sz w:val="22"/>
                <w:szCs w:val="22"/>
              </w:rPr>
            </w:pPr>
          </w:p>
        </w:tc>
        <w:tc>
          <w:tcPr>
            <w:tcW w:w="1984" w:type="dxa"/>
            <w:vMerge w:val="continue"/>
            <w:vAlign w:val="center"/>
          </w:tcPr>
          <w:p w14:paraId="3CEEE4E1">
            <w:pPr>
              <w:jc w:val="center"/>
              <w:rPr>
                <w:rFonts w:ascii="宋体" w:hAnsi="宋体" w:cs="宋体"/>
                <w:color w:val="000000"/>
                <w:kern w:val="0"/>
                <w:sz w:val="22"/>
                <w:szCs w:val="22"/>
              </w:rPr>
            </w:pPr>
          </w:p>
        </w:tc>
        <w:tc>
          <w:tcPr>
            <w:tcW w:w="1560" w:type="dxa"/>
            <w:vMerge w:val="continue"/>
            <w:vAlign w:val="center"/>
          </w:tcPr>
          <w:p w14:paraId="33CF51CC">
            <w:pPr>
              <w:jc w:val="center"/>
              <w:rPr>
                <w:rFonts w:ascii="宋体" w:hAnsi="宋体" w:cs="宋体"/>
                <w:color w:val="000000"/>
                <w:kern w:val="0"/>
                <w:sz w:val="22"/>
                <w:szCs w:val="22"/>
              </w:rPr>
            </w:pPr>
          </w:p>
        </w:tc>
        <w:tc>
          <w:tcPr>
            <w:tcW w:w="1134" w:type="dxa"/>
            <w:shd w:val="clear" w:color="auto" w:fill="auto"/>
            <w:noWrap/>
            <w:vAlign w:val="center"/>
          </w:tcPr>
          <w:p w14:paraId="3381D295">
            <w:pPr>
              <w:jc w:val="center"/>
              <w:rPr>
                <w:rFonts w:ascii="宋体" w:hAnsi="宋体" w:cs="宋体"/>
                <w:color w:val="000000"/>
                <w:kern w:val="0"/>
                <w:sz w:val="22"/>
                <w:szCs w:val="22"/>
              </w:rPr>
            </w:pPr>
            <w:r>
              <w:rPr>
                <w:rFonts w:hint="eastAsia" w:ascii="宋体" w:hAnsi="宋体" w:cs="宋体"/>
                <w:color w:val="000000"/>
                <w:kern w:val="0"/>
                <w:sz w:val="22"/>
                <w:szCs w:val="22"/>
              </w:rPr>
              <w:t>85.19</w:t>
            </w:r>
          </w:p>
        </w:tc>
        <w:tc>
          <w:tcPr>
            <w:tcW w:w="992" w:type="dxa"/>
            <w:shd w:val="clear" w:color="auto" w:fill="auto"/>
            <w:noWrap/>
            <w:vAlign w:val="center"/>
          </w:tcPr>
          <w:p w14:paraId="16785EF2">
            <w:pPr>
              <w:jc w:val="center"/>
              <w:rPr>
                <w:rFonts w:ascii="宋体" w:hAnsi="宋体" w:cs="宋体"/>
                <w:color w:val="000000"/>
                <w:kern w:val="0"/>
                <w:sz w:val="22"/>
                <w:szCs w:val="22"/>
              </w:rPr>
            </w:pPr>
            <w:r>
              <w:rPr>
                <w:rFonts w:hint="eastAsia" w:ascii="宋体" w:hAnsi="宋体" w:cs="宋体"/>
                <w:color w:val="000000"/>
                <w:kern w:val="0"/>
                <w:sz w:val="22"/>
                <w:szCs w:val="22"/>
              </w:rPr>
              <w:t>464.43</w:t>
            </w:r>
          </w:p>
        </w:tc>
        <w:tc>
          <w:tcPr>
            <w:tcW w:w="850" w:type="dxa"/>
            <w:shd w:val="clear" w:color="auto" w:fill="auto"/>
            <w:vAlign w:val="center"/>
          </w:tcPr>
          <w:p w14:paraId="22DF21F6">
            <w:pPr>
              <w:jc w:val="center"/>
              <w:rPr>
                <w:color w:val="000000"/>
                <w:kern w:val="0"/>
                <w:szCs w:val="21"/>
              </w:rPr>
            </w:pPr>
            <w:r>
              <w:rPr>
                <w:color w:val="000000"/>
                <w:kern w:val="0"/>
                <w:szCs w:val="21"/>
              </w:rPr>
              <w:t>1.2</w:t>
            </w:r>
          </w:p>
        </w:tc>
        <w:tc>
          <w:tcPr>
            <w:tcW w:w="851" w:type="dxa"/>
            <w:shd w:val="clear" w:color="auto" w:fill="auto"/>
            <w:vAlign w:val="center"/>
          </w:tcPr>
          <w:p w14:paraId="6526AF1C">
            <w:pPr>
              <w:jc w:val="center"/>
              <w:rPr>
                <w:color w:val="000000"/>
                <w:kern w:val="0"/>
                <w:szCs w:val="21"/>
              </w:rPr>
            </w:pPr>
            <w:r>
              <w:rPr>
                <w:color w:val="000000"/>
                <w:kern w:val="0"/>
                <w:szCs w:val="21"/>
              </w:rPr>
              <w:t>/</w:t>
            </w:r>
          </w:p>
        </w:tc>
        <w:tc>
          <w:tcPr>
            <w:tcW w:w="890" w:type="dxa"/>
            <w:shd w:val="clear" w:color="auto" w:fill="auto"/>
            <w:vAlign w:val="center"/>
          </w:tcPr>
          <w:p w14:paraId="1818AFB9">
            <w:pPr>
              <w:jc w:val="center"/>
              <w:rPr>
                <w:color w:val="000000"/>
                <w:kern w:val="0"/>
                <w:szCs w:val="21"/>
              </w:rPr>
            </w:pPr>
            <w:r>
              <w:rPr>
                <w:color w:val="000000"/>
                <w:kern w:val="0"/>
                <w:szCs w:val="21"/>
              </w:rPr>
              <w:t>60</w:t>
            </w:r>
          </w:p>
        </w:tc>
        <w:tc>
          <w:tcPr>
            <w:tcW w:w="669" w:type="dxa"/>
            <w:vMerge w:val="continue"/>
            <w:vAlign w:val="center"/>
          </w:tcPr>
          <w:p w14:paraId="061A0AED">
            <w:pPr>
              <w:jc w:val="center"/>
              <w:rPr>
                <w:rFonts w:ascii="宋体" w:hAnsi="宋体" w:cs="宋体"/>
                <w:color w:val="000000"/>
                <w:kern w:val="0"/>
                <w:sz w:val="22"/>
                <w:szCs w:val="22"/>
              </w:rPr>
            </w:pPr>
          </w:p>
        </w:tc>
        <w:tc>
          <w:tcPr>
            <w:tcW w:w="851" w:type="dxa"/>
            <w:shd w:val="clear" w:color="auto" w:fill="auto"/>
            <w:vAlign w:val="center"/>
          </w:tcPr>
          <w:p w14:paraId="3021DAD9">
            <w:pPr>
              <w:jc w:val="center"/>
              <w:rPr>
                <w:color w:val="000000"/>
                <w:kern w:val="0"/>
                <w:szCs w:val="21"/>
              </w:rPr>
            </w:pPr>
            <w:r>
              <w:rPr>
                <w:color w:val="000000"/>
                <w:kern w:val="0"/>
                <w:szCs w:val="21"/>
              </w:rPr>
              <w:t>/</w:t>
            </w:r>
          </w:p>
        </w:tc>
        <w:tc>
          <w:tcPr>
            <w:tcW w:w="850" w:type="dxa"/>
            <w:shd w:val="clear" w:color="auto" w:fill="auto"/>
            <w:vAlign w:val="center"/>
          </w:tcPr>
          <w:p w14:paraId="1DD58BE1">
            <w:pPr>
              <w:jc w:val="center"/>
              <w:rPr>
                <w:color w:val="000000"/>
                <w:kern w:val="0"/>
                <w:szCs w:val="21"/>
              </w:rPr>
            </w:pPr>
            <w:r>
              <w:rPr>
                <w:color w:val="000000"/>
                <w:kern w:val="0"/>
                <w:szCs w:val="21"/>
              </w:rPr>
              <w:t>60</w:t>
            </w:r>
          </w:p>
        </w:tc>
        <w:tc>
          <w:tcPr>
            <w:tcW w:w="770" w:type="dxa"/>
            <w:shd w:val="clear" w:color="auto" w:fill="auto"/>
            <w:vAlign w:val="center"/>
          </w:tcPr>
          <w:p w14:paraId="2463F06F">
            <w:pPr>
              <w:jc w:val="center"/>
              <w:rPr>
                <w:color w:val="000000"/>
                <w:kern w:val="0"/>
                <w:szCs w:val="21"/>
              </w:rPr>
            </w:pPr>
            <w:r>
              <w:rPr>
                <w:color w:val="000000"/>
                <w:kern w:val="0"/>
                <w:szCs w:val="21"/>
              </w:rPr>
              <w:t>1</w:t>
            </w:r>
          </w:p>
        </w:tc>
      </w:tr>
      <w:tr w14:paraId="52E8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3F0F61FC">
            <w:pPr>
              <w:jc w:val="center"/>
              <w:rPr>
                <w:color w:val="000000"/>
                <w:kern w:val="0"/>
                <w:szCs w:val="21"/>
              </w:rPr>
            </w:pPr>
            <w:r>
              <w:rPr>
                <w:color w:val="000000"/>
                <w:kern w:val="0"/>
                <w:szCs w:val="21"/>
              </w:rPr>
              <w:t>8</w:t>
            </w:r>
          </w:p>
        </w:tc>
        <w:tc>
          <w:tcPr>
            <w:tcW w:w="1292" w:type="dxa"/>
            <w:shd w:val="clear" w:color="auto" w:fill="auto"/>
            <w:noWrap/>
            <w:vAlign w:val="center"/>
          </w:tcPr>
          <w:p w14:paraId="4C2EC781">
            <w:pPr>
              <w:jc w:val="center"/>
              <w:rPr>
                <w:rFonts w:ascii="宋体" w:hAnsi="宋体" w:cs="宋体"/>
                <w:color w:val="FF0000"/>
                <w:kern w:val="0"/>
                <w:sz w:val="22"/>
                <w:szCs w:val="22"/>
              </w:rPr>
            </w:pPr>
            <w:r>
              <w:rPr>
                <w:rFonts w:hint="eastAsia" w:ascii="宋体" w:hAnsi="宋体" w:cs="宋体"/>
                <w:color w:val="FF0000"/>
                <w:kern w:val="0"/>
                <w:sz w:val="22"/>
                <w:szCs w:val="22"/>
              </w:rPr>
              <w:t>佛龙牛舍#8</w:t>
            </w:r>
          </w:p>
        </w:tc>
        <w:tc>
          <w:tcPr>
            <w:tcW w:w="851" w:type="dxa"/>
            <w:vMerge w:val="continue"/>
            <w:vAlign w:val="center"/>
          </w:tcPr>
          <w:p w14:paraId="39A87A3A">
            <w:pPr>
              <w:jc w:val="center"/>
              <w:rPr>
                <w:rFonts w:ascii="宋体" w:hAnsi="宋体" w:cs="宋体"/>
                <w:color w:val="000000"/>
                <w:kern w:val="0"/>
                <w:sz w:val="22"/>
                <w:szCs w:val="22"/>
              </w:rPr>
            </w:pPr>
          </w:p>
        </w:tc>
        <w:tc>
          <w:tcPr>
            <w:tcW w:w="1984" w:type="dxa"/>
            <w:vMerge w:val="continue"/>
            <w:vAlign w:val="center"/>
          </w:tcPr>
          <w:p w14:paraId="0F65DF29">
            <w:pPr>
              <w:jc w:val="center"/>
              <w:rPr>
                <w:rFonts w:ascii="宋体" w:hAnsi="宋体" w:cs="宋体"/>
                <w:color w:val="000000"/>
                <w:kern w:val="0"/>
                <w:sz w:val="22"/>
                <w:szCs w:val="22"/>
              </w:rPr>
            </w:pPr>
          </w:p>
        </w:tc>
        <w:tc>
          <w:tcPr>
            <w:tcW w:w="1560" w:type="dxa"/>
            <w:vMerge w:val="continue"/>
            <w:vAlign w:val="center"/>
          </w:tcPr>
          <w:p w14:paraId="522EE470">
            <w:pPr>
              <w:jc w:val="center"/>
              <w:rPr>
                <w:rFonts w:ascii="宋体" w:hAnsi="宋体" w:cs="宋体"/>
                <w:color w:val="000000"/>
                <w:kern w:val="0"/>
                <w:sz w:val="22"/>
                <w:szCs w:val="22"/>
              </w:rPr>
            </w:pPr>
          </w:p>
        </w:tc>
        <w:tc>
          <w:tcPr>
            <w:tcW w:w="1134" w:type="dxa"/>
            <w:shd w:val="clear" w:color="auto" w:fill="auto"/>
            <w:noWrap/>
            <w:vAlign w:val="center"/>
          </w:tcPr>
          <w:p w14:paraId="6BFE6D88">
            <w:pPr>
              <w:jc w:val="center"/>
              <w:rPr>
                <w:rFonts w:ascii="宋体" w:hAnsi="宋体" w:cs="宋体"/>
                <w:color w:val="000000"/>
                <w:kern w:val="0"/>
                <w:sz w:val="22"/>
                <w:szCs w:val="22"/>
              </w:rPr>
            </w:pPr>
            <w:r>
              <w:rPr>
                <w:rFonts w:hint="eastAsia" w:ascii="宋体" w:hAnsi="宋体" w:cs="宋体"/>
                <w:color w:val="000000"/>
                <w:kern w:val="0"/>
                <w:sz w:val="22"/>
                <w:szCs w:val="22"/>
              </w:rPr>
              <w:t>96.55</w:t>
            </w:r>
          </w:p>
        </w:tc>
        <w:tc>
          <w:tcPr>
            <w:tcW w:w="992" w:type="dxa"/>
            <w:shd w:val="clear" w:color="auto" w:fill="auto"/>
            <w:noWrap/>
            <w:vAlign w:val="center"/>
          </w:tcPr>
          <w:p w14:paraId="1ABCFA3D">
            <w:pPr>
              <w:jc w:val="center"/>
              <w:rPr>
                <w:rFonts w:ascii="宋体" w:hAnsi="宋体" w:cs="宋体"/>
                <w:color w:val="000000"/>
                <w:kern w:val="0"/>
                <w:sz w:val="22"/>
                <w:szCs w:val="22"/>
              </w:rPr>
            </w:pPr>
            <w:r>
              <w:rPr>
                <w:rFonts w:hint="eastAsia" w:ascii="宋体" w:hAnsi="宋体" w:cs="宋体"/>
                <w:color w:val="000000"/>
                <w:kern w:val="0"/>
                <w:sz w:val="22"/>
                <w:szCs w:val="22"/>
              </w:rPr>
              <w:t>523.52</w:t>
            </w:r>
          </w:p>
        </w:tc>
        <w:tc>
          <w:tcPr>
            <w:tcW w:w="850" w:type="dxa"/>
            <w:shd w:val="clear" w:color="auto" w:fill="auto"/>
            <w:vAlign w:val="center"/>
          </w:tcPr>
          <w:p w14:paraId="5ED8A523">
            <w:pPr>
              <w:jc w:val="center"/>
              <w:rPr>
                <w:color w:val="000000"/>
                <w:kern w:val="0"/>
                <w:szCs w:val="21"/>
              </w:rPr>
            </w:pPr>
            <w:r>
              <w:rPr>
                <w:color w:val="000000"/>
                <w:kern w:val="0"/>
                <w:szCs w:val="21"/>
              </w:rPr>
              <w:t>1.2</w:t>
            </w:r>
          </w:p>
        </w:tc>
        <w:tc>
          <w:tcPr>
            <w:tcW w:w="851" w:type="dxa"/>
            <w:shd w:val="clear" w:color="auto" w:fill="auto"/>
            <w:vAlign w:val="center"/>
          </w:tcPr>
          <w:p w14:paraId="38442BA6">
            <w:pPr>
              <w:jc w:val="center"/>
              <w:rPr>
                <w:color w:val="000000"/>
                <w:kern w:val="0"/>
                <w:szCs w:val="21"/>
              </w:rPr>
            </w:pPr>
            <w:r>
              <w:rPr>
                <w:color w:val="000000"/>
                <w:kern w:val="0"/>
                <w:szCs w:val="21"/>
              </w:rPr>
              <w:t>/</w:t>
            </w:r>
          </w:p>
        </w:tc>
        <w:tc>
          <w:tcPr>
            <w:tcW w:w="890" w:type="dxa"/>
            <w:shd w:val="clear" w:color="auto" w:fill="auto"/>
            <w:vAlign w:val="center"/>
          </w:tcPr>
          <w:p w14:paraId="2A4B436B">
            <w:pPr>
              <w:jc w:val="center"/>
              <w:rPr>
                <w:color w:val="000000"/>
                <w:kern w:val="0"/>
                <w:szCs w:val="21"/>
              </w:rPr>
            </w:pPr>
            <w:r>
              <w:rPr>
                <w:color w:val="000000"/>
                <w:kern w:val="0"/>
                <w:szCs w:val="21"/>
              </w:rPr>
              <w:t>60</w:t>
            </w:r>
          </w:p>
        </w:tc>
        <w:tc>
          <w:tcPr>
            <w:tcW w:w="669" w:type="dxa"/>
            <w:vMerge w:val="continue"/>
            <w:vAlign w:val="center"/>
          </w:tcPr>
          <w:p w14:paraId="2466179F">
            <w:pPr>
              <w:jc w:val="center"/>
              <w:rPr>
                <w:rFonts w:ascii="宋体" w:hAnsi="宋体" w:cs="宋体"/>
                <w:color w:val="000000"/>
                <w:kern w:val="0"/>
                <w:sz w:val="22"/>
                <w:szCs w:val="22"/>
              </w:rPr>
            </w:pPr>
          </w:p>
        </w:tc>
        <w:tc>
          <w:tcPr>
            <w:tcW w:w="851" w:type="dxa"/>
            <w:shd w:val="clear" w:color="auto" w:fill="auto"/>
            <w:vAlign w:val="center"/>
          </w:tcPr>
          <w:p w14:paraId="7BA4E7A1">
            <w:pPr>
              <w:jc w:val="center"/>
              <w:rPr>
                <w:color w:val="000000"/>
                <w:kern w:val="0"/>
                <w:szCs w:val="21"/>
              </w:rPr>
            </w:pPr>
            <w:r>
              <w:rPr>
                <w:color w:val="000000"/>
                <w:kern w:val="0"/>
                <w:szCs w:val="21"/>
              </w:rPr>
              <w:t>/</w:t>
            </w:r>
          </w:p>
        </w:tc>
        <w:tc>
          <w:tcPr>
            <w:tcW w:w="850" w:type="dxa"/>
            <w:shd w:val="clear" w:color="auto" w:fill="auto"/>
            <w:vAlign w:val="center"/>
          </w:tcPr>
          <w:p w14:paraId="00570686">
            <w:pPr>
              <w:jc w:val="center"/>
              <w:rPr>
                <w:color w:val="000000"/>
                <w:kern w:val="0"/>
                <w:szCs w:val="21"/>
              </w:rPr>
            </w:pPr>
            <w:r>
              <w:rPr>
                <w:color w:val="000000"/>
                <w:kern w:val="0"/>
                <w:szCs w:val="21"/>
              </w:rPr>
              <w:t>60</w:t>
            </w:r>
          </w:p>
        </w:tc>
        <w:tc>
          <w:tcPr>
            <w:tcW w:w="770" w:type="dxa"/>
            <w:shd w:val="clear" w:color="auto" w:fill="auto"/>
            <w:vAlign w:val="center"/>
          </w:tcPr>
          <w:p w14:paraId="25A2000C">
            <w:pPr>
              <w:jc w:val="center"/>
              <w:rPr>
                <w:color w:val="000000"/>
                <w:kern w:val="0"/>
                <w:szCs w:val="21"/>
              </w:rPr>
            </w:pPr>
            <w:r>
              <w:rPr>
                <w:color w:val="000000"/>
                <w:kern w:val="0"/>
                <w:szCs w:val="21"/>
              </w:rPr>
              <w:t>1</w:t>
            </w:r>
          </w:p>
        </w:tc>
      </w:tr>
      <w:tr w14:paraId="416E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0E1023C">
            <w:pPr>
              <w:jc w:val="center"/>
              <w:rPr>
                <w:color w:val="000000"/>
                <w:kern w:val="0"/>
                <w:szCs w:val="21"/>
              </w:rPr>
            </w:pPr>
            <w:r>
              <w:rPr>
                <w:color w:val="000000"/>
                <w:kern w:val="0"/>
                <w:szCs w:val="21"/>
              </w:rPr>
              <w:t>9</w:t>
            </w:r>
          </w:p>
        </w:tc>
        <w:tc>
          <w:tcPr>
            <w:tcW w:w="1292" w:type="dxa"/>
            <w:shd w:val="clear" w:color="auto" w:fill="auto"/>
            <w:noWrap/>
            <w:vAlign w:val="center"/>
          </w:tcPr>
          <w:p w14:paraId="131F8C52">
            <w:pPr>
              <w:jc w:val="center"/>
              <w:rPr>
                <w:rFonts w:ascii="宋体" w:hAnsi="宋体" w:cs="宋体"/>
                <w:color w:val="FF0000"/>
                <w:kern w:val="0"/>
                <w:sz w:val="22"/>
                <w:szCs w:val="22"/>
              </w:rPr>
            </w:pPr>
            <w:r>
              <w:rPr>
                <w:rFonts w:hint="eastAsia" w:ascii="宋体" w:hAnsi="宋体" w:cs="宋体"/>
                <w:color w:val="FF0000"/>
                <w:kern w:val="0"/>
                <w:sz w:val="22"/>
                <w:szCs w:val="22"/>
              </w:rPr>
              <w:t>佛龙牛舍#9</w:t>
            </w:r>
          </w:p>
        </w:tc>
        <w:tc>
          <w:tcPr>
            <w:tcW w:w="851" w:type="dxa"/>
            <w:vMerge w:val="continue"/>
            <w:vAlign w:val="center"/>
          </w:tcPr>
          <w:p w14:paraId="3C56D512">
            <w:pPr>
              <w:jc w:val="center"/>
              <w:rPr>
                <w:rFonts w:ascii="宋体" w:hAnsi="宋体" w:cs="宋体"/>
                <w:color w:val="000000"/>
                <w:kern w:val="0"/>
                <w:sz w:val="22"/>
                <w:szCs w:val="22"/>
              </w:rPr>
            </w:pPr>
          </w:p>
        </w:tc>
        <w:tc>
          <w:tcPr>
            <w:tcW w:w="1984" w:type="dxa"/>
            <w:vMerge w:val="continue"/>
            <w:vAlign w:val="center"/>
          </w:tcPr>
          <w:p w14:paraId="6A38DE9D">
            <w:pPr>
              <w:jc w:val="center"/>
              <w:rPr>
                <w:rFonts w:ascii="宋体" w:hAnsi="宋体" w:cs="宋体"/>
                <w:color w:val="000000"/>
                <w:kern w:val="0"/>
                <w:sz w:val="22"/>
                <w:szCs w:val="22"/>
              </w:rPr>
            </w:pPr>
          </w:p>
        </w:tc>
        <w:tc>
          <w:tcPr>
            <w:tcW w:w="1560" w:type="dxa"/>
            <w:vMerge w:val="continue"/>
            <w:vAlign w:val="center"/>
          </w:tcPr>
          <w:p w14:paraId="22C12D64">
            <w:pPr>
              <w:jc w:val="center"/>
              <w:rPr>
                <w:rFonts w:ascii="宋体" w:hAnsi="宋体" w:cs="宋体"/>
                <w:color w:val="000000"/>
                <w:kern w:val="0"/>
                <w:sz w:val="22"/>
                <w:szCs w:val="22"/>
              </w:rPr>
            </w:pPr>
          </w:p>
        </w:tc>
        <w:tc>
          <w:tcPr>
            <w:tcW w:w="1134" w:type="dxa"/>
            <w:shd w:val="clear" w:color="auto" w:fill="auto"/>
            <w:noWrap/>
            <w:vAlign w:val="center"/>
          </w:tcPr>
          <w:p w14:paraId="67F70E92">
            <w:pPr>
              <w:jc w:val="center"/>
              <w:rPr>
                <w:rFonts w:ascii="宋体" w:hAnsi="宋体" w:cs="宋体"/>
                <w:color w:val="000000"/>
                <w:kern w:val="0"/>
                <w:sz w:val="22"/>
                <w:szCs w:val="22"/>
              </w:rPr>
            </w:pPr>
            <w:r>
              <w:rPr>
                <w:rFonts w:hint="eastAsia" w:ascii="宋体" w:hAnsi="宋体" w:cs="宋体"/>
                <w:color w:val="000000"/>
                <w:kern w:val="0"/>
                <w:sz w:val="22"/>
                <w:szCs w:val="22"/>
              </w:rPr>
              <w:t>139.73</w:t>
            </w:r>
          </w:p>
        </w:tc>
        <w:tc>
          <w:tcPr>
            <w:tcW w:w="992" w:type="dxa"/>
            <w:shd w:val="clear" w:color="auto" w:fill="auto"/>
            <w:noWrap/>
            <w:vAlign w:val="center"/>
          </w:tcPr>
          <w:p w14:paraId="0BF6EE8E">
            <w:pPr>
              <w:jc w:val="center"/>
              <w:rPr>
                <w:rFonts w:ascii="宋体" w:hAnsi="宋体" w:cs="宋体"/>
                <w:color w:val="000000"/>
                <w:kern w:val="0"/>
                <w:sz w:val="22"/>
                <w:szCs w:val="22"/>
              </w:rPr>
            </w:pPr>
            <w:r>
              <w:rPr>
                <w:rFonts w:hint="eastAsia" w:ascii="宋体" w:hAnsi="宋体" w:cs="宋体"/>
                <w:color w:val="000000"/>
                <w:kern w:val="0"/>
                <w:sz w:val="22"/>
                <w:szCs w:val="22"/>
              </w:rPr>
              <w:t>577.49</w:t>
            </w:r>
          </w:p>
        </w:tc>
        <w:tc>
          <w:tcPr>
            <w:tcW w:w="850" w:type="dxa"/>
            <w:shd w:val="clear" w:color="auto" w:fill="auto"/>
            <w:vAlign w:val="center"/>
          </w:tcPr>
          <w:p w14:paraId="1B2A6633">
            <w:pPr>
              <w:jc w:val="center"/>
              <w:rPr>
                <w:color w:val="000000"/>
                <w:kern w:val="0"/>
                <w:szCs w:val="21"/>
              </w:rPr>
            </w:pPr>
            <w:r>
              <w:rPr>
                <w:color w:val="000000"/>
                <w:kern w:val="0"/>
                <w:szCs w:val="21"/>
              </w:rPr>
              <w:t>1.2</w:t>
            </w:r>
          </w:p>
        </w:tc>
        <w:tc>
          <w:tcPr>
            <w:tcW w:w="851" w:type="dxa"/>
            <w:shd w:val="clear" w:color="auto" w:fill="auto"/>
            <w:vAlign w:val="center"/>
          </w:tcPr>
          <w:p w14:paraId="449F773D">
            <w:pPr>
              <w:jc w:val="center"/>
              <w:rPr>
                <w:color w:val="000000"/>
                <w:kern w:val="0"/>
                <w:szCs w:val="21"/>
              </w:rPr>
            </w:pPr>
            <w:r>
              <w:rPr>
                <w:color w:val="000000"/>
                <w:kern w:val="0"/>
                <w:szCs w:val="21"/>
              </w:rPr>
              <w:t>/</w:t>
            </w:r>
          </w:p>
        </w:tc>
        <w:tc>
          <w:tcPr>
            <w:tcW w:w="890" w:type="dxa"/>
            <w:shd w:val="clear" w:color="auto" w:fill="auto"/>
            <w:vAlign w:val="center"/>
          </w:tcPr>
          <w:p w14:paraId="34AE284B">
            <w:pPr>
              <w:jc w:val="center"/>
              <w:rPr>
                <w:color w:val="000000"/>
                <w:kern w:val="0"/>
                <w:szCs w:val="21"/>
              </w:rPr>
            </w:pPr>
            <w:r>
              <w:rPr>
                <w:color w:val="000000"/>
                <w:kern w:val="0"/>
                <w:szCs w:val="21"/>
              </w:rPr>
              <w:t>60</w:t>
            </w:r>
          </w:p>
        </w:tc>
        <w:tc>
          <w:tcPr>
            <w:tcW w:w="669" w:type="dxa"/>
            <w:vMerge w:val="continue"/>
            <w:vAlign w:val="center"/>
          </w:tcPr>
          <w:p w14:paraId="184C8384">
            <w:pPr>
              <w:jc w:val="center"/>
              <w:rPr>
                <w:rFonts w:ascii="宋体" w:hAnsi="宋体" w:cs="宋体"/>
                <w:color w:val="000000"/>
                <w:kern w:val="0"/>
                <w:sz w:val="22"/>
                <w:szCs w:val="22"/>
              </w:rPr>
            </w:pPr>
          </w:p>
        </w:tc>
        <w:tc>
          <w:tcPr>
            <w:tcW w:w="851" w:type="dxa"/>
            <w:shd w:val="clear" w:color="auto" w:fill="auto"/>
            <w:vAlign w:val="center"/>
          </w:tcPr>
          <w:p w14:paraId="4A5E1041">
            <w:pPr>
              <w:jc w:val="center"/>
              <w:rPr>
                <w:color w:val="000000"/>
                <w:kern w:val="0"/>
                <w:szCs w:val="21"/>
              </w:rPr>
            </w:pPr>
            <w:r>
              <w:rPr>
                <w:color w:val="000000"/>
                <w:kern w:val="0"/>
                <w:szCs w:val="21"/>
              </w:rPr>
              <w:t>/</w:t>
            </w:r>
          </w:p>
        </w:tc>
        <w:tc>
          <w:tcPr>
            <w:tcW w:w="850" w:type="dxa"/>
            <w:shd w:val="clear" w:color="auto" w:fill="auto"/>
            <w:vAlign w:val="center"/>
          </w:tcPr>
          <w:p w14:paraId="15A27B63">
            <w:pPr>
              <w:jc w:val="center"/>
              <w:rPr>
                <w:color w:val="000000"/>
                <w:kern w:val="0"/>
                <w:szCs w:val="21"/>
              </w:rPr>
            </w:pPr>
            <w:r>
              <w:rPr>
                <w:color w:val="000000"/>
                <w:kern w:val="0"/>
                <w:szCs w:val="21"/>
              </w:rPr>
              <w:t>60</w:t>
            </w:r>
          </w:p>
        </w:tc>
        <w:tc>
          <w:tcPr>
            <w:tcW w:w="770" w:type="dxa"/>
            <w:shd w:val="clear" w:color="auto" w:fill="auto"/>
            <w:vAlign w:val="center"/>
          </w:tcPr>
          <w:p w14:paraId="15643C6A">
            <w:pPr>
              <w:jc w:val="center"/>
              <w:rPr>
                <w:color w:val="000000"/>
                <w:kern w:val="0"/>
                <w:szCs w:val="21"/>
              </w:rPr>
            </w:pPr>
            <w:r>
              <w:rPr>
                <w:color w:val="000000"/>
                <w:kern w:val="0"/>
                <w:szCs w:val="21"/>
              </w:rPr>
              <w:t>1</w:t>
            </w:r>
          </w:p>
        </w:tc>
      </w:tr>
      <w:tr w14:paraId="7B48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51336CD">
            <w:pPr>
              <w:jc w:val="center"/>
              <w:rPr>
                <w:color w:val="000000"/>
                <w:kern w:val="0"/>
                <w:szCs w:val="21"/>
              </w:rPr>
            </w:pPr>
            <w:r>
              <w:rPr>
                <w:color w:val="000000"/>
                <w:kern w:val="0"/>
                <w:szCs w:val="21"/>
              </w:rPr>
              <w:t>10</w:t>
            </w:r>
          </w:p>
        </w:tc>
        <w:tc>
          <w:tcPr>
            <w:tcW w:w="1292" w:type="dxa"/>
            <w:shd w:val="clear" w:color="auto" w:fill="auto"/>
            <w:noWrap/>
            <w:vAlign w:val="center"/>
          </w:tcPr>
          <w:p w14:paraId="0D2A388F">
            <w:pPr>
              <w:jc w:val="center"/>
              <w:rPr>
                <w:rFonts w:ascii="宋体" w:hAnsi="宋体" w:cs="宋体"/>
                <w:color w:val="FF0000"/>
                <w:kern w:val="0"/>
                <w:sz w:val="22"/>
                <w:szCs w:val="22"/>
              </w:rPr>
            </w:pPr>
            <w:r>
              <w:rPr>
                <w:rFonts w:hint="eastAsia" w:ascii="宋体" w:hAnsi="宋体" w:cs="宋体"/>
                <w:color w:val="FF0000"/>
                <w:kern w:val="0"/>
                <w:sz w:val="22"/>
                <w:szCs w:val="22"/>
              </w:rPr>
              <w:t>佛龙牛舍#10</w:t>
            </w:r>
          </w:p>
        </w:tc>
        <w:tc>
          <w:tcPr>
            <w:tcW w:w="851" w:type="dxa"/>
            <w:vMerge w:val="continue"/>
            <w:vAlign w:val="center"/>
          </w:tcPr>
          <w:p w14:paraId="27C87083">
            <w:pPr>
              <w:jc w:val="center"/>
              <w:rPr>
                <w:rFonts w:ascii="宋体" w:hAnsi="宋体" w:cs="宋体"/>
                <w:color w:val="000000"/>
                <w:kern w:val="0"/>
                <w:sz w:val="22"/>
                <w:szCs w:val="22"/>
              </w:rPr>
            </w:pPr>
          </w:p>
        </w:tc>
        <w:tc>
          <w:tcPr>
            <w:tcW w:w="1984" w:type="dxa"/>
            <w:vMerge w:val="continue"/>
            <w:vAlign w:val="center"/>
          </w:tcPr>
          <w:p w14:paraId="4F910BA9">
            <w:pPr>
              <w:jc w:val="center"/>
              <w:rPr>
                <w:rFonts w:ascii="宋体" w:hAnsi="宋体" w:cs="宋体"/>
                <w:color w:val="000000"/>
                <w:kern w:val="0"/>
                <w:sz w:val="22"/>
                <w:szCs w:val="22"/>
              </w:rPr>
            </w:pPr>
          </w:p>
        </w:tc>
        <w:tc>
          <w:tcPr>
            <w:tcW w:w="1560" w:type="dxa"/>
            <w:vMerge w:val="continue"/>
            <w:vAlign w:val="center"/>
          </w:tcPr>
          <w:p w14:paraId="0A792378">
            <w:pPr>
              <w:jc w:val="center"/>
              <w:rPr>
                <w:rFonts w:ascii="宋体" w:hAnsi="宋体" w:cs="宋体"/>
                <w:color w:val="000000"/>
                <w:kern w:val="0"/>
                <w:sz w:val="22"/>
                <w:szCs w:val="22"/>
              </w:rPr>
            </w:pPr>
          </w:p>
        </w:tc>
        <w:tc>
          <w:tcPr>
            <w:tcW w:w="1134" w:type="dxa"/>
            <w:shd w:val="clear" w:color="auto" w:fill="auto"/>
            <w:noWrap/>
            <w:vAlign w:val="center"/>
          </w:tcPr>
          <w:p w14:paraId="64527A99">
            <w:pPr>
              <w:jc w:val="center"/>
              <w:rPr>
                <w:rFonts w:ascii="宋体" w:hAnsi="宋体" w:cs="宋体"/>
                <w:color w:val="000000"/>
                <w:kern w:val="0"/>
                <w:sz w:val="22"/>
                <w:szCs w:val="22"/>
              </w:rPr>
            </w:pPr>
            <w:r>
              <w:rPr>
                <w:rFonts w:hint="eastAsia" w:ascii="宋体" w:hAnsi="宋体" w:cs="宋体"/>
                <w:color w:val="000000"/>
                <w:kern w:val="0"/>
                <w:sz w:val="22"/>
                <w:szCs w:val="22"/>
              </w:rPr>
              <w:t>172.68</w:t>
            </w:r>
          </w:p>
        </w:tc>
        <w:tc>
          <w:tcPr>
            <w:tcW w:w="992" w:type="dxa"/>
            <w:shd w:val="clear" w:color="auto" w:fill="auto"/>
            <w:noWrap/>
            <w:vAlign w:val="center"/>
          </w:tcPr>
          <w:p w14:paraId="4B362EC6">
            <w:pPr>
              <w:jc w:val="center"/>
              <w:rPr>
                <w:rFonts w:ascii="宋体" w:hAnsi="宋体" w:cs="宋体"/>
                <w:color w:val="000000"/>
                <w:kern w:val="0"/>
                <w:sz w:val="22"/>
                <w:szCs w:val="22"/>
              </w:rPr>
            </w:pPr>
            <w:r>
              <w:rPr>
                <w:rFonts w:hint="eastAsia" w:ascii="宋体" w:hAnsi="宋体" w:cs="宋体"/>
                <w:color w:val="000000"/>
                <w:kern w:val="0"/>
                <w:sz w:val="22"/>
                <w:szCs w:val="22"/>
              </w:rPr>
              <w:t>638.85</w:t>
            </w:r>
          </w:p>
        </w:tc>
        <w:tc>
          <w:tcPr>
            <w:tcW w:w="850" w:type="dxa"/>
            <w:shd w:val="clear" w:color="auto" w:fill="auto"/>
            <w:vAlign w:val="center"/>
          </w:tcPr>
          <w:p w14:paraId="78AD510C">
            <w:pPr>
              <w:jc w:val="center"/>
              <w:rPr>
                <w:color w:val="000000"/>
                <w:kern w:val="0"/>
                <w:szCs w:val="21"/>
              </w:rPr>
            </w:pPr>
            <w:r>
              <w:rPr>
                <w:color w:val="000000"/>
                <w:kern w:val="0"/>
                <w:szCs w:val="21"/>
              </w:rPr>
              <w:t>1.2</w:t>
            </w:r>
          </w:p>
        </w:tc>
        <w:tc>
          <w:tcPr>
            <w:tcW w:w="851" w:type="dxa"/>
            <w:shd w:val="clear" w:color="auto" w:fill="auto"/>
            <w:vAlign w:val="center"/>
          </w:tcPr>
          <w:p w14:paraId="2C0B2183">
            <w:pPr>
              <w:jc w:val="center"/>
              <w:rPr>
                <w:color w:val="000000"/>
                <w:kern w:val="0"/>
                <w:szCs w:val="21"/>
              </w:rPr>
            </w:pPr>
            <w:r>
              <w:rPr>
                <w:color w:val="000000"/>
                <w:kern w:val="0"/>
                <w:szCs w:val="21"/>
              </w:rPr>
              <w:t>/</w:t>
            </w:r>
          </w:p>
        </w:tc>
        <w:tc>
          <w:tcPr>
            <w:tcW w:w="890" w:type="dxa"/>
            <w:shd w:val="clear" w:color="auto" w:fill="auto"/>
            <w:vAlign w:val="center"/>
          </w:tcPr>
          <w:p w14:paraId="421164A6">
            <w:pPr>
              <w:jc w:val="center"/>
              <w:rPr>
                <w:color w:val="000000"/>
                <w:kern w:val="0"/>
                <w:szCs w:val="21"/>
              </w:rPr>
            </w:pPr>
            <w:r>
              <w:rPr>
                <w:color w:val="000000"/>
                <w:kern w:val="0"/>
                <w:szCs w:val="21"/>
              </w:rPr>
              <w:t>60</w:t>
            </w:r>
          </w:p>
        </w:tc>
        <w:tc>
          <w:tcPr>
            <w:tcW w:w="669" w:type="dxa"/>
            <w:vMerge w:val="continue"/>
            <w:vAlign w:val="center"/>
          </w:tcPr>
          <w:p w14:paraId="304F07C7">
            <w:pPr>
              <w:jc w:val="center"/>
              <w:rPr>
                <w:rFonts w:ascii="宋体" w:hAnsi="宋体" w:cs="宋体"/>
                <w:color w:val="000000"/>
                <w:kern w:val="0"/>
                <w:sz w:val="22"/>
                <w:szCs w:val="22"/>
              </w:rPr>
            </w:pPr>
          </w:p>
        </w:tc>
        <w:tc>
          <w:tcPr>
            <w:tcW w:w="851" w:type="dxa"/>
            <w:shd w:val="clear" w:color="auto" w:fill="auto"/>
            <w:vAlign w:val="center"/>
          </w:tcPr>
          <w:p w14:paraId="62EA1E1B">
            <w:pPr>
              <w:jc w:val="center"/>
              <w:rPr>
                <w:color w:val="000000"/>
                <w:kern w:val="0"/>
                <w:szCs w:val="21"/>
              </w:rPr>
            </w:pPr>
            <w:r>
              <w:rPr>
                <w:color w:val="000000"/>
                <w:kern w:val="0"/>
                <w:szCs w:val="21"/>
              </w:rPr>
              <w:t>/</w:t>
            </w:r>
          </w:p>
        </w:tc>
        <w:tc>
          <w:tcPr>
            <w:tcW w:w="850" w:type="dxa"/>
            <w:shd w:val="clear" w:color="auto" w:fill="auto"/>
            <w:vAlign w:val="center"/>
          </w:tcPr>
          <w:p w14:paraId="4A91D038">
            <w:pPr>
              <w:jc w:val="center"/>
              <w:rPr>
                <w:color w:val="000000"/>
                <w:kern w:val="0"/>
                <w:szCs w:val="21"/>
              </w:rPr>
            </w:pPr>
            <w:r>
              <w:rPr>
                <w:color w:val="000000"/>
                <w:kern w:val="0"/>
                <w:szCs w:val="21"/>
              </w:rPr>
              <w:t>60</w:t>
            </w:r>
          </w:p>
        </w:tc>
        <w:tc>
          <w:tcPr>
            <w:tcW w:w="770" w:type="dxa"/>
            <w:shd w:val="clear" w:color="auto" w:fill="auto"/>
            <w:vAlign w:val="center"/>
          </w:tcPr>
          <w:p w14:paraId="56EDC916">
            <w:pPr>
              <w:jc w:val="center"/>
              <w:rPr>
                <w:color w:val="000000"/>
                <w:kern w:val="0"/>
                <w:szCs w:val="21"/>
              </w:rPr>
            </w:pPr>
            <w:r>
              <w:rPr>
                <w:color w:val="000000"/>
                <w:kern w:val="0"/>
                <w:szCs w:val="21"/>
              </w:rPr>
              <w:t>1</w:t>
            </w:r>
          </w:p>
        </w:tc>
      </w:tr>
      <w:tr w14:paraId="35EA0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1D210237">
            <w:pPr>
              <w:jc w:val="center"/>
              <w:rPr>
                <w:color w:val="000000"/>
                <w:kern w:val="0"/>
                <w:szCs w:val="21"/>
              </w:rPr>
            </w:pPr>
            <w:r>
              <w:rPr>
                <w:color w:val="000000"/>
                <w:kern w:val="0"/>
                <w:szCs w:val="21"/>
              </w:rPr>
              <w:t>11</w:t>
            </w:r>
          </w:p>
        </w:tc>
        <w:tc>
          <w:tcPr>
            <w:tcW w:w="1292" w:type="dxa"/>
            <w:vMerge w:val="restart"/>
            <w:shd w:val="clear" w:color="auto" w:fill="auto"/>
            <w:vAlign w:val="center"/>
          </w:tcPr>
          <w:p w14:paraId="165EACCF">
            <w:pPr>
              <w:jc w:val="center"/>
              <w:rPr>
                <w:rFonts w:ascii="宋体" w:hAnsi="宋体" w:cs="宋体"/>
                <w:color w:val="000000"/>
                <w:kern w:val="0"/>
                <w:szCs w:val="21"/>
              </w:rPr>
            </w:pPr>
            <w:r>
              <w:rPr>
                <w:rFonts w:hint="eastAsia" w:ascii="宋体" w:hAnsi="宋体" w:cs="宋体"/>
                <w:color w:val="000000"/>
                <w:kern w:val="0"/>
                <w:szCs w:val="21"/>
              </w:rPr>
              <w:t>饲料加工厂房</w:t>
            </w:r>
          </w:p>
        </w:tc>
        <w:tc>
          <w:tcPr>
            <w:tcW w:w="851" w:type="dxa"/>
            <w:shd w:val="clear" w:color="auto" w:fill="auto"/>
            <w:vAlign w:val="center"/>
          </w:tcPr>
          <w:p w14:paraId="491836D9">
            <w:pPr>
              <w:jc w:val="center"/>
              <w:rPr>
                <w:rFonts w:ascii="宋体" w:hAnsi="宋体" w:cs="宋体"/>
                <w:color w:val="000000"/>
                <w:kern w:val="0"/>
                <w:szCs w:val="21"/>
              </w:rPr>
            </w:pPr>
            <w:r>
              <w:rPr>
                <w:rFonts w:hint="eastAsia" w:ascii="宋体" w:hAnsi="宋体" w:cs="宋体"/>
                <w:color w:val="000000"/>
                <w:kern w:val="0"/>
                <w:szCs w:val="21"/>
              </w:rPr>
              <w:t>精料加工设备#1</w:t>
            </w:r>
          </w:p>
        </w:tc>
        <w:tc>
          <w:tcPr>
            <w:tcW w:w="1984" w:type="dxa"/>
            <w:shd w:val="clear" w:color="auto" w:fill="auto"/>
            <w:vAlign w:val="center"/>
          </w:tcPr>
          <w:p w14:paraId="40FCFEC5">
            <w:pPr>
              <w:jc w:val="center"/>
              <w:rPr>
                <w:color w:val="000000"/>
                <w:kern w:val="0"/>
                <w:szCs w:val="21"/>
              </w:rPr>
            </w:pPr>
            <w:r>
              <w:rPr>
                <w:color w:val="000000"/>
                <w:kern w:val="0"/>
                <w:szCs w:val="21"/>
              </w:rPr>
              <w:t>85</w:t>
            </w:r>
          </w:p>
        </w:tc>
        <w:tc>
          <w:tcPr>
            <w:tcW w:w="1560" w:type="dxa"/>
            <w:vMerge w:val="restart"/>
            <w:shd w:val="clear" w:color="auto" w:fill="auto"/>
            <w:noWrap/>
            <w:vAlign w:val="center"/>
          </w:tcPr>
          <w:p w14:paraId="44C6A089">
            <w:pPr>
              <w:jc w:val="center"/>
              <w:rPr>
                <w:rFonts w:ascii="宋体" w:hAnsi="宋体" w:cs="宋体"/>
                <w:color w:val="000000"/>
                <w:kern w:val="0"/>
                <w:sz w:val="22"/>
                <w:szCs w:val="22"/>
              </w:rPr>
            </w:pPr>
            <w:r>
              <w:rPr>
                <w:rFonts w:hint="eastAsia" w:ascii="宋体" w:hAnsi="宋体" w:cs="宋体"/>
                <w:color w:val="000000"/>
                <w:kern w:val="0"/>
                <w:sz w:val="22"/>
                <w:szCs w:val="22"/>
              </w:rPr>
              <w:t>选用低噪声设备、基础减震、厂房隔声</w:t>
            </w:r>
          </w:p>
        </w:tc>
        <w:tc>
          <w:tcPr>
            <w:tcW w:w="1134" w:type="dxa"/>
            <w:shd w:val="clear" w:color="auto" w:fill="auto"/>
            <w:noWrap/>
            <w:vAlign w:val="center"/>
          </w:tcPr>
          <w:p w14:paraId="130980DD">
            <w:pPr>
              <w:jc w:val="center"/>
              <w:rPr>
                <w:rFonts w:ascii="宋体" w:hAnsi="宋体" w:cs="宋体"/>
                <w:color w:val="000000"/>
                <w:kern w:val="0"/>
                <w:sz w:val="22"/>
                <w:szCs w:val="22"/>
              </w:rPr>
            </w:pPr>
            <w:r>
              <w:rPr>
                <w:rFonts w:hint="eastAsia" w:ascii="宋体" w:hAnsi="宋体" w:cs="宋体"/>
                <w:color w:val="000000"/>
                <w:kern w:val="0"/>
                <w:sz w:val="22"/>
                <w:szCs w:val="22"/>
              </w:rPr>
              <w:t>-40.67</w:t>
            </w:r>
          </w:p>
        </w:tc>
        <w:tc>
          <w:tcPr>
            <w:tcW w:w="992" w:type="dxa"/>
            <w:shd w:val="clear" w:color="auto" w:fill="auto"/>
            <w:noWrap/>
            <w:vAlign w:val="center"/>
          </w:tcPr>
          <w:p w14:paraId="6EA150A2">
            <w:pPr>
              <w:jc w:val="center"/>
              <w:rPr>
                <w:rFonts w:ascii="宋体" w:hAnsi="宋体" w:cs="宋体"/>
                <w:color w:val="000000"/>
                <w:kern w:val="0"/>
                <w:sz w:val="22"/>
                <w:szCs w:val="22"/>
              </w:rPr>
            </w:pPr>
            <w:r>
              <w:rPr>
                <w:rFonts w:hint="eastAsia" w:ascii="宋体" w:hAnsi="宋体" w:cs="宋体"/>
                <w:color w:val="000000"/>
                <w:kern w:val="0"/>
                <w:sz w:val="22"/>
                <w:szCs w:val="22"/>
              </w:rPr>
              <w:t>110.9</w:t>
            </w:r>
          </w:p>
        </w:tc>
        <w:tc>
          <w:tcPr>
            <w:tcW w:w="850" w:type="dxa"/>
            <w:shd w:val="clear" w:color="auto" w:fill="auto"/>
            <w:vAlign w:val="center"/>
          </w:tcPr>
          <w:p w14:paraId="3D9F5974">
            <w:pPr>
              <w:jc w:val="center"/>
              <w:rPr>
                <w:color w:val="000000"/>
                <w:kern w:val="0"/>
                <w:szCs w:val="21"/>
              </w:rPr>
            </w:pPr>
            <w:r>
              <w:rPr>
                <w:color w:val="000000"/>
                <w:kern w:val="0"/>
                <w:szCs w:val="21"/>
              </w:rPr>
              <w:t>1</w:t>
            </w:r>
          </w:p>
        </w:tc>
        <w:tc>
          <w:tcPr>
            <w:tcW w:w="851" w:type="dxa"/>
            <w:shd w:val="clear" w:color="auto" w:fill="auto"/>
            <w:vAlign w:val="center"/>
          </w:tcPr>
          <w:p w14:paraId="253781B2">
            <w:pPr>
              <w:jc w:val="center"/>
              <w:rPr>
                <w:color w:val="000000"/>
                <w:kern w:val="0"/>
                <w:szCs w:val="21"/>
              </w:rPr>
            </w:pPr>
            <w:r>
              <w:rPr>
                <w:color w:val="000000"/>
                <w:kern w:val="0"/>
                <w:szCs w:val="21"/>
              </w:rPr>
              <w:t>3</w:t>
            </w:r>
            <w:r>
              <w:rPr>
                <w:rFonts w:hint="eastAsia" w:ascii="宋体" w:hAnsi="宋体"/>
                <w:color w:val="000000"/>
                <w:kern w:val="0"/>
                <w:szCs w:val="21"/>
              </w:rPr>
              <w:t>（北）</w:t>
            </w:r>
          </w:p>
        </w:tc>
        <w:tc>
          <w:tcPr>
            <w:tcW w:w="890" w:type="dxa"/>
            <w:shd w:val="clear" w:color="auto" w:fill="auto"/>
            <w:vAlign w:val="center"/>
          </w:tcPr>
          <w:p w14:paraId="5D77593D">
            <w:pPr>
              <w:jc w:val="center"/>
              <w:rPr>
                <w:color w:val="000000"/>
                <w:kern w:val="0"/>
                <w:szCs w:val="21"/>
              </w:rPr>
            </w:pPr>
            <w:r>
              <w:rPr>
                <w:color w:val="000000"/>
                <w:kern w:val="0"/>
                <w:szCs w:val="21"/>
              </w:rPr>
              <w:t>65</w:t>
            </w:r>
          </w:p>
        </w:tc>
        <w:tc>
          <w:tcPr>
            <w:tcW w:w="669" w:type="dxa"/>
            <w:vMerge w:val="restart"/>
            <w:shd w:val="clear" w:color="auto" w:fill="auto"/>
            <w:vAlign w:val="center"/>
          </w:tcPr>
          <w:p w14:paraId="46A74F41">
            <w:pPr>
              <w:jc w:val="center"/>
              <w:rPr>
                <w:rFonts w:ascii="宋体" w:hAnsi="宋体" w:cs="宋体"/>
                <w:color w:val="000000"/>
                <w:kern w:val="0"/>
                <w:szCs w:val="21"/>
              </w:rPr>
            </w:pPr>
            <w:r>
              <w:rPr>
                <w:rFonts w:hint="eastAsia" w:ascii="宋体" w:hAnsi="宋体" w:cs="宋体"/>
                <w:color w:val="000000"/>
                <w:kern w:val="0"/>
                <w:szCs w:val="21"/>
              </w:rPr>
              <w:t>昼间</w:t>
            </w:r>
          </w:p>
        </w:tc>
        <w:tc>
          <w:tcPr>
            <w:tcW w:w="851" w:type="dxa"/>
            <w:shd w:val="clear" w:color="auto" w:fill="auto"/>
            <w:vAlign w:val="center"/>
          </w:tcPr>
          <w:p w14:paraId="1B983F24">
            <w:pPr>
              <w:jc w:val="center"/>
              <w:rPr>
                <w:color w:val="000000"/>
                <w:kern w:val="0"/>
                <w:szCs w:val="21"/>
              </w:rPr>
            </w:pPr>
            <w:r>
              <w:rPr>
                <w:color w:val="000000"/>
                <w:kern w:val="0"/>
                <w:szCs w:val="21"/>
              </w:rPr>
              <w:t>15</w:t>
            </w:r>
          </w:p>
        </w:tc>
        <w:tc>
          <w:tcPr>
            <w:tcW w:w="850" w:type="dxa"/>
            <w:shd w:val="clear" w:color="auto" w:fill="auto"/>
            <w:vAlign w:val="center"/>
          </w:tcPr>
          <w:p w14:paraId="3ABB0957">
            <w:pPr>
              <w:jc w:val="center"/>
              <w:rPr>
                <w:color w:val="000000"/>
                <w:kern w:val="0"/>
                <w:szCs w:val="21"/>
              </w:rPr>
            </w:pPr>
            <w:r>
              <w:rPr>
                <w:color w:val="000000"/>
                <w:kern w:val="0"/>
                <w:szCs w:val="21"/>
              </w:rPr>
              <w:t>50</w:t>
            </w:r>
          </w:p>
        </w:tc>
        <w:tc>
          <w:tcPr>
            <w:tcW w:w="770" w:type="dxa"/>
            <w:shd w:val="clear" w:color="auto" w:fill="auto"/>
            <w:vAlign w:val="center"/>
          </w:tcPr>
          <w:p w14:paraId="34623076">
            <w:pPr>
              <w:jc w:val="center"/>
              <w:rPr>
                <w:color w:val="000000"/>
                <w:kern w:val="0"/>
                <w:szCs w:val="21"/>
              </w:rPr>
            </w:pPr>
            <w:r>
              <w:rPr>
                <w:color w:val="000000"/>
                <w:kern w:val="0"/>
                <w:szCs w:val="21"/>
              </w:rPr>
              <w:t>1</w:t>
            </w:r>
          </w:p>
        </w:tc>
      </w:tr>
      <w:tr w14:paraId="2F13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6D3EBAAE">
            <w:pPr>
              <w:jc w:val="center"/>
              <w:rPr>
                <w:color w:val="000000"/>
                <w:kern w:val="0"/>
                <w:szCs w:val="21"/>
              </w:rPr>
            </w:pPr>
            <w:r>
              <w:rPr>
                <w:color w:val="000000"/>
                <w:kern w:val="0"/>
                <w:szCs w:val="21"/>
              </w:rPr>
              <w:t>12</w:t>
            </w:r>
          </w:p>
        </w:tc>
        <w:tc>
          <w:tcPr>
            <w:tcW w:w="1292" w:type="dxa"/>
            <w:vMerge w:val="continue"/>
            <w:vAlign w:val="center"/>
          </w:tcPr>
          <w:p w14:paraId="1A8C9B86">
            <w:pPr>
              <w:jc w:val="center"/>
              <w:rPr>
                <w:rFonts w:ascii="宋体" w:hAnsi="宋体" w:cs="宋体"/>
                <w:color w:val="000000"/>
                <w:kern w:val="0"/>
                <w:szCs w:val="21"/>
              </w:rPr>
            </w:pPr>
          </w:p>
        </w:tc>
        <w:tc>
          <w:tcPr>
            <w:tcW w:w="851" w:type="dxa"/>
            <w:shd w:val="clear" w:color="auto" w:fill="auto"/>
            <w:vAlign w:val="center"/>
          </w:tcPr>
          <w:p w14:paraId="1F373654">
            <w:pPr>
              <w:jc w:val="center"/>
              <w:rPr>
                <w:rFonts w:ascii="宋体" w:hAnsi="宋体" w:cs="宋体"/>
                <w:color w:val="000000"/>
                <w:kern w:val="0"/>
                <w:szCs w:val="21"/>
              </w:rPr>
            </w:pPr>
            <w:r>
              <w:rPr>
                <w:rFonts w:hint="eastAsia" w:ascii="宋体" w:hAnsi="宋体" w:cs="宋体"/>
                <w:color w:val="000000"/>
                <w:kern w:val="0"/>
                <w:szCs w:val="21"/>
              </w:rPr>
              <w:t>精料加工设备#2</w:t>
            </w:r>
          </w:p>
        </w:tc>
        <w:tc>
          <w:tcPr>
            <w:tcW w:w="1984" w:type="dxa"/>
            <w:shd w:val="clear" w:color="auto" w:fill="auto"/>
            <w:vAlign w:val="center"/>
          </w:tcPr>
          <w:p w14:paraId="242BF568">
            <w:pPr>
              <w:jc w:val="center"/>
              <w:rPr>
                <w:color w:val="000000"/>
                <w:kern w:val="0"/>
                <w:szCs w:val="21"/>
              </w:rPr>
            </w:pPr>
            <w:r>
              <w:rPr>
                <w:color w:val="000000"/>
                <w:kern w:val="0"/>
                <w:szCs w:val="21"/>
              </w:rPr>
              <w:t>85</w:t>
            </w:r>
          </w:p>
        </w:tc>
        <w:tc>
          <w:tcPr>
            <w:tcW w:w="1560" w:type="dxa"/>
            <w:vMerge w:val="continue"/>
            <w:vAlign w:val="center"/>
          </w:tcPr>
          <w:p w14:paraId="457255CC">
            <w:pPr>
              <w:jc w:val="center"/>
              <w:rPr>
                <w:rFonts w:ascii="宋体" w:hAnsi="宋体" w:cs="宋体"/>
                <w:color w:val="000000"/>
                <w:kern w:val="0"/>
                <w:sz w:val="22"/>
                <w:szCs w:val="22"/>
              </w:rPr>
            </w:pPr>
          </w:p>
        </w:tc>
        <w:tc>
          <w:tcPr>
            <w:tcW w:w="1134" w:type="dxa"/>
            <w:shd w:val="clear" w:color="auto" w:fill="auto"/>
            <w:noWrap/>
            <w:vAlign w:val="center"/>
          </w:tcPr>
          <w:p w14:paraId="4E5243BB">
            <w:pPr>
              <w:jc w:val="center"/>
              <w:rPr>
                <w:rFonts w:ascii="宋体" w:hAnsi="宋体" w:cs="宋体"/>
                <w:color w:val="000000"/>
                <w:kern w:val="0"/>
                <w:sz w:val="22"/>
                <w:szCs w:val="22"/>
              </w:rPr>
            </w:pPr>
            <w:r>
              <w:rPr>
                <w:rFonts w:hint="eastAsia" w:ascii="宋体" w:hAnsi="宋体" w:cs="宋体"/>
                <w:color w:val="000000"/>
                <w:kern w:val="0"/>
                <w:sz w:val="22"/>
                <w:szCs w:val="22"/>
              </w:rPr>
              <w:t>-24.67</w:t>
            </w:r>
          </w:p>
        </w:tc>
        <w:tc>
          <w:tcPr>
            <w:tcW w:w="992" w:type="dxa"/>
            <w:shd w:val="clear" w:color="auto" w:fill="auto"/>
            <w:noWrap/>
            <w:vAlign w:val="center"/>
          </w:tcPr>
          <w:p w14:paraId="44FD47DB">
            <w:pPr>
              <w:jc w:val="center"/>
              <w:rPr>
                <w:rFonts w:ascii="宋体" w:hAnsi="宋体" w:cs="宋体"/>
                <w:color w:val="000000"/>
                <w:kern w:val="0"/>
                <w:sz w:val="22"/>
                <w:szCs w:val="22"/>
              </w:rPr>
            </w:pPr>
            <w:r>
              <w:rPr>
                <w:rFonts w:hint="eastAsia" w:ascii="宋体" w:hAnsi="宋体" w:cs="宋体"/>
                <w:color w:val="000000"/>
                <w:kern w:val="0"/>
                <w:sz w:val="22"/>
                <w:szCs w:val="22"/>
              </w:rPr>
              <w:t>110.9</w:t>
            </w:r>
          </w:p>
        </w:tc>
        <w:tc>
          <w:tcPr>
            <w:tcW w:w="850" w:type="dxa"/>
            <w:shd w:val="clear" w:color="auto" w:fill="auto"/>
            <w:vAlign w:val="center"/>
          </w:tcPr>
          <w:p w14:paraId="43BA7E1E">
            <w:pPr>
              <w:jc w:val="center"/>
              <w:rPr>
                <w:color w:val="000000"/>
                <w:kern w:val="0"/>
                <w:szCs w:val="21"/>
              </w:rPr>
            </w:pPr>
            <w:r>
              <w:rPr>
                <w:color w:val="000000"/>
                <w:kern w:val="0"/>
                <w:szCs w:val="21"/>
              </w:rPr>
              <w:t>1</w:t>
            </w:r>
          </w:p>
        </w:tc>
        <w:tc>
          <w:tcPr>
            <w:tcW w:w="851" w:type="dxa"/>
            <w:shd w:val="clear" w:color="auto" w:fill="auto"/>
            <w:noWrap/>
            <w:vAlign w:val="center"/>
          </w:tcPr>
          <w:p w14:paraId="64850B67">
            <w:pPr>
              <w:jc w:val="center"/>
              <w:rPr>
                <w:rFonts w:ascii="宋体" w:hAnsi="宋体" w:cs="宋体"/>
                <w:color w:val="000000"/>
                <w:kern w:val="0"/>
                <w:sz w:val="22"/>
                <w:szCs w:val="22"/>
              </w:rPr>
            </w:pPr>
            <w:r>
              <w:rPr>
                <w:rFonts w:hint="eastAsia" w:ascii="宋体" w:hAnsi="宋体" w:cs="宋体"/>
                <w:color w:val="000000"/>
                <w:kern w:val="0"/>
                <w:sz w:val="22"/>
                <w:szCs w:val="22"/>
              </w:rPr>
              <w:t>3（北）</w:t>
            </w:r>
          </w:p>
        </w:tc>
        <w:tc>
          <w:tcPr>
            <w:tcW w:w="890" w:type="dxa"/>
            <w:shd w:val="clear" w:color="auto" w:fill="auto"/>
            <w:vAlign w:val="center"/>
          </w:tcPr>
          <w:p w14:paraId="5F136BB2">
            <w:pPr>
              <w:jc w:val="center"/>
              <w:rPr>
                <w:color w:val="000000"/>
                <w:kern w:val="0"/>
                <w:szCs w:val="21"/>
              </w:rPr>
            </w:pPr>
            <w:r>
              <w:rPr>
                <w:color w:val="000000"/>
                <w:kern w:val="0"/>
                <w:szCs w:val="21"/>
              </w:rPr>
              <w:t>65</w:t>
            </w:r>
          </w:p>
        </w:tc>
        <w:tc>
          <w:tcPr>
            <w:tcW w:w="669" w:type="dxa"/>
            <w:vMerge w:val="continue"/>
            <w:vAlign w:val="center"/>
          </w:tcPr>
          <w:p w14:paraId="0717807B">
            <w:pPr>
              <w:jc w:val="center"/>
              <w:rPr>
                <w:rFonts w:ascii="宋体" w:hAnsi="宋体" w:cs="宋体"/>
                <w:color w:val="000000"/>
                <w:kern w:val="0"/>
                <w:szCs w:val="21"/>
              </w:rPr>
            </w:pPr>
          </w:p>
        </w:tc>
        <w:tc>
          <w:tcPr>
            <w:tcW w:w="851" w:type="dxa"/>
            <w:shd w:val="clear" w:color="auto" w:fill="auto"/>
            <w:vAlign w:val="center"/>
          </w:tcPr>
          <w:p w14:paraId="2BA8A8FB">
            <w:pPr>
              <w:jc w:val="center"/>
              <w:rPr>
                <w:color w:val="000000"/>
                <w:kern w:val="0"/>
                <w:szCs w:val="21"/>
              </w:rPr>
            </w:pPr>
            <w:r>
              <w:rPr>
                <w:color w:val="000000"/>
                <w:kern w:val="0"/>
                <w:szCs w:val="21"/>
              </w:rPr>
              <w:t>15</w:t>
            </w:r>
          </w:p>
        </w:tc>
        <w:tc>
          <w:tcPr>
            <w:tcW w:w="850" w:type="dxa"/>
            <w:shd w:val="clear" w:color="auto" w:fill="auto"/>
            <w:vAlign w:val="center"/>
          </w:tcPr>
          <w:p w14:paraId="006764CD">
            <w:pPr>
              <w:jc w:val="center"/>
              <w:rPr>
                <w:color w:val="000000"/>
                <w:kern w:val="0"/>
                <w:szCs w:val="21"/>
              </w:rPr>
            </w:pPr>
            <w:r>
              <w:rPr>
                <w:color w:val="000000"/>
                <w:kern w:val="0"/>
                <w:szCs w:val="21"/>
              </w:rPr>
              <w:t>50</w:t>
            </w:r>
          </w:p>
        </w:tc>
        <w:tc>
          <w:tcPr>
            <w:tcW w:w="770" w:type="dxa"/>
            <w:shd w:val="clear" w:color="auto" w:fill="auto"/>
            <w:vAlign w:val="center"/>
          </w:tcPr>
          <w:p w14:paraId="1992C81E">
            <w:pPr>
              <w:jc w:val="center"/>
              <w:rPr>
                <w:color w:val="000000"/>
                <w:kern w:val="0"/>
                <w:szCs w:val="21"/>
              </w:rPr>
            </w:pPr>
            <w:r>
              <w:rPr>
                <w:color w:val="000000"/>
                <w:kern w:val="0"/>
                <w:szCs w:val="21"/>
              </w:rPr>
              <w:t>1</w:t>
            </w:r>
          </w:p>
        </w:tc>
      </w:tr>
      <w:tr w14:paraId="663DF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B0BCE1E">
            <w:pPr>
              <w:jc w:val="center"/>
              <w:rPr>
                <w:color w:val="000000"/>
                <w:kern w:val="0"/>
                <w:szCs w:val="21"/>
              </w:rPr>
            </w:pPr>
            <w:r>
              <w:rPr>
                <w:color w:val="000000"/>
                <w:kern w:val="0"/>
                <w:szCs w:val="21"/>
              </w:rPr>
              <w:t>13</w:t>
            </w:r>
          </w:p>
        </w:tc>
        <w:tc>
          <w:tcPr>
            <w:tcW w:w="1292" w:type="dxa"/>
            <w:vMerge w:val="continue"/>
            <w:vAlign w:val="center"/>
          </w:tcPr>
          <w:p w14:paraId="7EEF28AA">
            <w:pPr>
              <w:jc w:val="center"/>
              <w:rPr>
                <w:rFonts w:ascii="宋体" w:hAnsi="宋体" w:cs="宋体"/>
                <w:color w:val="000000"/>
                <w:kern w:val="0"/>
                <w:szCs w:val="21"/>
              </w:rPr>
            </w:pPr>
          </w:p>
        </w:tc>
        <w:tc>
          <w:tcPr>
            <w:tcW w:w="851" w:type="dxa"/>
            <w:shd w:val="clear" w:color="auto" w:fill="auto"/>
            <w:vAlign w:val="center"/>
          </w:tcPr>
          <w:p w14:paraId="37F804CF">
            <w:pPr>
              <w:jc w:val="center"/>
              <w:rPr>
                <w:rFonts w:ascii="宋体" w:hAnsi="宋体" w:cs="宋体"/>
                <w:color w:val="000000"/>
                <w:kern w:val="0"/>
                <w:szCs w:val="21"/>
              </w:rPr>
            </w:pPr>
            <w:r>
              <w:rPr>
                <w:rFonts w:hint="eastAsia" w:ascii="宋体" w:hAnsi="宋体" w:cs="宋体"/>
                <w:color w:val="000000"/>
                <w:kern w:val="0"/>
                <w:szCs w:val="21"/>
              </w:rPr>
              <w:t>除尘风机</w:t>
            </w:r>
          </w:p>
        </w:tc>
        <w:tc>
          <w:tcPr>
            <w:tcW w:w="1984" w:type="dxa"/>
            <w:shd w:val="clear" w:color="auto" w:fill="auto"/>
            <w:vAlign w:val="center"/>
          </w:tcPr>
          <w:p w14:paraId="40DD4733">
            <w:pPr>
              <w:jc w:val="center"/>
              <w:rPr>
                <w:color w:val="000000"/>
                <w:kern w:val="0"/>
                <w:szCs w:val="21"/>
              </w:rPr>
            </w:pPr>
            <w:r>
              <w:rPr>
                <w:color w:val="000000"/>
                <w:kern w:val="0"/>
                <w:szCs w:val="21"/>
              </w:rPr>
              <w:t>95</w:t>
            </w:r>
          </w:p>
        </w:tc>
        <w:tc>
          <w:tcPr>
            <w:tcW w:w="1560" w:type="dxa"/>
            <w:vMerge w:val="continue"/>
            <w:vAlign w:val="center"/>
          </w:tcPr>
          <w:p w14:paraId="04014CBE">
            <w:pPr>
              <w:jc w:val="center"/>
              <w:rPr>
                <w:rFonts w:ascii="宋体" w:hAnsi="宋体" w:cs="宋体"/>
                <w:color w:val="000000"/>
                <w:kern w:val="0"/>
                <w:sz w:val="22"/>
                <w:szCs w:val="22"/>
              </w:rPr>
            </w:pPr>
          </w:p>
        </w:tc>
        <w:tc>
          <w:tcPr>
            <w:tcW w:w="1134" w:type="dxa"/>
            <w:shd w:val="clear" w:color="auto" w:fill="auto"/>
            <w:noWrap/>
            <w:vAlign w:val="center"/>
          </w:tcPr>
          <w:p w14:paraId="40E9C700">
            <w:pPr>
              <w:jc w:val="center"/>
              <w:rPr>
                <w:rFonts w:ascii="宋体" w:hAnsi="宋体" w:cs="宋体"/>
                <w:color w:val="000000"/>
                <w:kern w:val="0"/>
                <w:sz w:val="22"/>
                <w:szCs w:val="22"/>
              </w:rPr>
            </w:pPr>
            <w:r>
              <w:rPr>
                <w:rFonts w:hint="eastAsia" w:ascii="宋体" w:hAnsi="宋体" w:cs="宋体"/>
                <w:color w:val="000000"/>
                <w:kern w:val="0"/>
                <w:sz w:val="22"/>
                <w:szCs w:val="22"/>
              </w:rPr>
              <w:t>-32.1</w:t>
            </w:r>
          </w:p>
        </w:tc>
        <w:tc>
          <w:tcPr>
            <w:tcW w:w="992" w:type="dxa"/>
            <w:shd w:val="clear" w:color="auto" w:fill="auto"/>
            <w:noWrap/>
            <w:vAlign w:val="center"/>
          </w:tcPr>
          <w:p w14:paraId="63842AC2">
            <w:pPr>
              <w:jc w:val="center"/>
              <w:rPr>
                <w:rFonts w:ascii="宋体" w:hAnsi="宋体" w:cs="宋体"/>
                <w:color w:val="000000"/>
                <w:kern w:val="0"/>
                <w:sz w:val="22"/>
                <w:szCs w:val="22"/>
              </w:rPr>
            </w:pPr>
            <w:r>
              <w:rPr>
                <w:rFonts w:hint="eastAsia" w:ascii="宋体" w:hAnsi="宋体" w:cs="宋体"/>
                <w:color w:val="000000"/>
                <w:kern w:val="0"/>
                <w:sz w:val="22"/>
                <w:szCs w:val="22"/>
              </w:rPr>
              <w:t>113.76</w:t>
            </w:r>
          </w:p>
        </w:tc>
        <w:tc>
          <w:tcPr>
            <w:tcW w:w="850" w:type="dxa"/>
            <w:shd w:val="clear" w:color="auto" w:fill="auto"/>
            <w:vAlign w:val="center"/>
          </w:tcPr>
          <w:p w14:paraId="6069338F">
            <w:pPr>
              <w:jc w:val="center"/>
              <w:rPr>
                <w:color w:val="000000"/>
                <w:kern w:val="0"/>
                <w:szCs w:val="21"/>
              </w:rPr>
            </w:pPr>
            <w:r>
              <w:rPr>
                <w:color w:val="000000"/>
                <w:kern w:val="0"/>
                <w:szCs w:val="21"/>
              </w:rPr>
              <w:t>1</w:t>
            </w:r>
          </w:p>
        </w:tc>
        <w:tc>
          <w:tcPr>
            <w:tcW w:w="851" w:type="dxa"/>
            <w:shd w:val="clear" w:color="auto" w:fill="auto"/>
            <w:vAlign w:val="center"/>
          </w:tcPr>
          <w:p w14:paraId="3EEBE20C">
            <w:pPr>
              <w:jc w:val="center"/>
              <w:rPr>
                <w:color w:val="000000"/>
                <w:kern w:val="0"/>
                <w:szCs w:val="21"/>
              </w:rPr>
            </w:pPr>
            <w:r>
              <w:rPr>
                <w:color w:val="000000"/>
                <w:kern w:val="0"/>
                <w:szCs w:val="21"/>
              </w:rPr>
              <w:t>1</w:t>
            </w:r>
            <w:r>
              <w:rPr>
                <w:rFonts w:hint="eastAsia" w:ascii="宋体" w:hAnsi="宋体"/>
                <w:color w:val="000000"/>
                <w:kern w:val="0"/>
                <w:szCs w:val="21"/>
              </w:rPr>
              <w:t>（北）</w:t>
            </w:r>
          </w:p>
        </w:tc>
        <w:tc>
          <w:tcPr>
            <w:tcW w:w="890" w:type="dxa"/>
            <w:shd w:val="clear" w:color="auto" w:fill="auto"/>
            <w:vAlign w:val="center"/>
          </w:tcPr>
          <w:p w14:paraId="7A4BABD1">
            <w:pPr>
              <w:jc w:val="center"/>
              <w:rPr>
                <w:color w:val="000000"/>
                <w:kern w:val="0"/>
                <w:szCs w:val="21"/>
              </w:rPr>
            </w:pPr>
            <w:r>
              <w:rPr>
                <w:color w:val="000000"/>
                <w:kern w:val="0"/>
                <w:szCs w:val="21"/>
              </w:rPr>
              <w:t>75</w:t>
            </w:r>
          </w:p>
        </w:tc>
        <w:tc>
          <w:tcPr>
            <w:tcW w:w="669" w:type="dxa"/>
            <w:vMerge w:val="continue"/>
            <w:vAlign w:val="center"/>
          </w:tcPr>
          <w:p w14:paraId="440B5960">
            <w:pPr>
              <w:jc w:val="center"/>
              <w:rPr>
                <w:rFonts w:ascii="宋体" w:hAnsi="宋体" w:cs="宋体"/>
                <w:color w:val="000000"/>
                <w:kern w:val="0"/>
                <w:szCs w:val="21"/>
              </w:rPr>
            </w:pPr>
          </w:p>
        </w:tc>
        <w:tc>
          <w:tcPr>
            <w:tcW w:w="851" w:type="dxa"/>
            <w:shd w:val="clear" w:color="auto" w:fill="auto"/>
            <w:vAlign w:val="center"/>
          </w:tcPr>
          <w:p w14:paraId="027099CF">
            <w:pPr>
              <w:jc w:val="center"/>
              <w:rPr>
                <w:color w:val="000000"/>
                <w:kern w:val="0"/>
                <w:szCs w:val="21"/>
              </w:rPr>
            </w:pPr>
            <w:r>
              <w:rPr>
                <w:color w:val="000000"/>
                <w:kern w:val="0"/>
                <w:szCs w:val="21"/>
              </w:rPr>
              <w:t>15</w:t>
            </w:r>
          </w:p>
        </w:tc>
        <w:tc>
          <w:tcPr>
            <w:tcW w:w="850" w:type="dxa"/>
            <w:shd w:val="clear" w:color="auto" w:fill="auto"/>
            <w:vAlign w:val="center"/>
          </w:tcPr>
          <w:p w14:paraId="34C95D30">
            <w:pPr>
              <w:jc w:val="center"/>
              <w:rPr>
                <w:color w:val="000000"/>
                <w:kern w:val="0"/>
                <w:szCs w:val="21"/>
              </w:rPr>
            </w:pPr>
            <w:r>
              <w:rPr>
                <w:color w:val="000000"/>
                <w:kern w:val="0"/>
                <w:szCs w:val="21"/>
              </w:rPr>
              <w:t>60</w:t>
            </w:r>
          </w:p>
        </w:tc>
        <w:tc>
          <w:tcPr>
            <w:tcW w:w="770" w:type="dxa"/>
            <w:shd w:val="clear" w:color="auto" w:fill="auto"/>
            <w:vAlign w:val="center"/>
          </w:tcPr>
          <w:p w14:paraId="2C08BCC1">
            <w:pPr>
              <w:jc w:val="center"/>
              <w:rPr>
                <w:color w:val="000000"/>
                <w:kern w:val="0"/>
                <w:szCs w:val="21"/>
              </w:rPr>
            </w:pPr>
            <w:r>
              <w:rPr>
                <w:color w:val="000000"/>
                <w:kern w:val="0"/>
                <w:szCs w:val="21"/>
              </w:rPr>
              <w:t>1</w:t>
            </w:r>
          </w:p>
        </w:tc>
      </w:tr>
      <w:tr w14:paraId="1A32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2893A3F">
            <w:pPr>
              <w:jc w:val="center"/>
              <w:rPr>
                <w:color w:val="000000"/>
                <w:kern w:val="0"/>
                <w:szCs w:val="21"/>
              </w:rPr>
            </w:pPr>
            <w:r>
              <w:rPr>
                <w:color w:val="000000"/>
                <w:kern w:val="0"/>
                <w:szCs w:val="21"/>
              </w:rPr>
              <w:t>14</w:t>
            </w:r>
          </w:p>
        </w:tc>
        <w:tc>
          <w:tcPr>
            <w:tcW w:w="1292" w:type="dxa"/>
            <w:vMerge w:val="continue"/>
            <w:vAlign w:val="center"/>
          </w:tcPr>
          <w:p w14:paraId="158C75C1">
            <w:pPr>
              <w:jc w:val="center"/>
              <w:rPr>
                <w:rFonts w:ascii="宋体" w:hAnsi="宋体" w:cs="宋体"/>
                <w:color w:val="000000"/>
                <w:kern w:val="0"/>
                <w:szCs w:val="21"/>
              </w:rPr>
            </w:pPr>
          </w:p>
        </w:tc>
        <w:tc>
          <w:tcPr>
            <w:tcW w:w="851" w:type="dxa"/>
            <w:shd w:val="clear" w:color="auto" w:fill="auto"/>
            <w:vAlign w:val="center"/>
          </w:tcPr>
          <w:p w14:paraId="488E321F">
            <w:pPr>
              <w:jc w:val="center"/>
              <w:rPr>
                <w:rFonts w:ascii="宋体" w:hAnsi="宋体" w:cs="宋体"/>
                <w:color w:val="000000"/>
                <w:kern w:val="0"/>
                <w:szCs w:val="21"/>
              </w:rPr>
            </w:pPr>
            <w:r>
              <w:rPr>
                <w:rFonts w:hint="eastAsia" w:ascii="宋体" w:hAnsi="宋体" w:cs="宋体"/>
                <w:color w:val="000000"/>
                <w:kern w:val="0"/>
                <w:szCs w:val="21"/>
              </w:rPr>
              <w:t>打包机</w:t>
            </w:r>
          </w:p>
        </w:tc>
        <w:tc>
          <w:tcPr>
            <w:tcW w:w="1984" w:type="dxa"/>
            <w:shd w:val="clear" w:color="auto" w:fill="auto"/>
            <w:vAlign w:val="center"/>
          </w:tcPr>
          <w:p w14:paraId="1225B445">
            <w:pPr>
              <w:jc w:val="center"/>
              <w:rPr>
                <w:color w:val="000000"/>
                <w:kern w:val="0"/>
                <w:szCs w:val="21"/>
              </w:rPr>
            </w:pPr>
            <w:r>
              <w:rPr>
                <w:color w:val="000000"/>
                <w:kern w:val="0"/>
                <w:szCs w:val="21"/>
              </w:rPr>
              <w:t>80</w:t>
            </w:r>
          </w:p>
        </w:tc>
        <w:tc>
          <w:tcPr>
            <w:tcW w:w="1560" w:type="dxa"/>
            <w:vMerge w:val="continue"/>
            <w:vAlign w:val="center"/>
          </w:tcPr>
          <w:p w14:paraId="4B8168D9">
            <w:pPr>
              <w:jc w:val="center"/>
              <w:rPr>
                <w:rFonts w:ascii="宋体" w:hAnsi="宋体" w:cs="宋体"/>
                <w:color w:val="000000"/>
                <w:kern w:val="0"/>
                <w:sz w:val="22"/>
                <w:szCs w:val="22"/>
              </w:rPr>
            </w:pPr>
          </w:p>
        </w:tc>
        <w:tc>
          <w:tcPr>
            <w:tcW w:w="1134" w:type="dxa"/>
            <w:shd w:val="clear" w:color="auto" w:fill="auto"/>
            <w:noWrap/>
            <w:vAlign w:val="center"/>
          </w:tcPr>
          <w:p w14:paraId="3EA025FF">
            <w:pPr>
              <w:jc w:val="center"/>
              <w:rPr>
                <w:rFonts w:ascii="宋体" w:hAnsi="宋体" w:cs="宋体"/>
                <w:color w:val="000000"/>
                <w:kern w:val="0"/>
                <w:sz w:val="22"/>
                <w:szCs w:val="22"/>
              </w:rPr>
            </w:pPr>
            <w:r>
              <w:rPr>
                <w:rFonts w:hint="eastAsia" w:ascii="宋体" w:hAnsi="宋体" w:cs="宋体"/>
                <w:color w:val="000000"/>
                <w:kern w:val="0"/>
                <w:sz w:val="22"/>
                <w:szCs w:val="22"/>
              </w:rPr>
              <w:t>-41.87</w:t>
            </w:r>
          </w:p>
        </w:tc>
        <w:tc>
          <w:tcPr>
            <w:tcW w:w="992" w:type="dxa"/>
            <w:shd w:val="clear" w:color="auto" w:fill="auto"/>
            <w:noWrap/>
            <w:vAlign w:val="center"/>
          </w:tcPr>
          <w:p w14:paraId="20DE8753">
            <w:pPr>
              <w:jc w:val="center"/>
              <w:rPr>
                <w:rFonts w:ascii="宋体" w:hAnsi="宋体" w:cs="宋体"/>
                <w:color w:val="000000"/>
                <w:kern w:val="0"/>
                <w:sz w:val="22"/>
                <w:szCs w:val="22"/>
              </w:rPr>
            </w:pPr>
            <w:r>
              <w:rPr>
                <w:rFonts w:hint="eastAsia" w:ascii="宋体" w:hAnsi="宋体" w:cs="宋体"/>
                <w:color w:val="000000"/>
                <w:kern w:val="0"/>
                <w:sz w:val="22"/>
                <w:szCs w:val="22"/>
              </w:rPr>
              <w:t>78.88</w:t>
            </w:r>
          </w:p>
        </w:tc>
        <w:tc>
          <w:tcPr>
            <w:tcW w:w="850" w:type="dxa"/>
            <w:shd w:val="clear" w:color="auto" w:fill="auto"/>
            <w:vAlign w:val="center"/>
          </w:tcPr>
          <w:p w14:paraId="13FA2CE8">
            <w:pPr>
              <w:jc w:val="center"/>
              <w:rPr>
                <w:color w:val="000000"/>
                <w:kern w:val="0"/>
                <w:szCs w:val="21"/>
              </w:rPr>
            </w:pPr>
            <w:r>
              <w:rPr>
                <w:color w:val="000000"/>
                <w:kern w:val="0"/>
                <w:szCs w:val="21"/>
              </w:rPr>
              <w:t>1</w:t>
            </w:r>
          </w:p>
        </w:tc>
        <w:tc>
          <w:tcPr>
            <w:tcW w:w="851" w:type="dxa"/>
            <w:shd w:val="clear" w:color="auto" w:fill="auto"/>
            <w:vAlign w:val="center"/>
          </w:tcPr>
          <w:p w14:paraId="7F998B22">
            <w:pPr>
              <w:jc w:val="center"/>
              <w:rPr>
                <w:color w:val="000000"/>
                <w:kern w:val="0"/>
                <w:szCs w:val="21"/>
              </w:rPr>
            </w:pPr>
            <w:r>
              <w:rPr>
                <w:color w:val="000000"/>
                <w:kern w:val="0"/>
                <w:szCs w:val="21"/>
              </w:rPr>
              <w:t>3</w:t>
            </w:r>
            <w:r>
              <w:rPr>
                <w:rFonts w:hint="eastAsia" w:ascii="宋体" w:hAnsi="宋体"/>
                <w:color w:val="000000"/>
                <w:kern w:val="0"/>
                <w:szCs w:val="21"/>
              </w:rPr>
              <w:t>（南）</w:t>
            </w:r>
          </w:p>
        </w:tc>
        <w:tc>
          <w:tcPr>
            <w:tcW w:w="890" w:type="dxa"/>
            <w:shd w:val="clear" w:color="auto" w:fill="auto"/>
            <w:vAlign w:val="center"/>
          </w:tcPr>
          <w:p w14:paraId="407B82CD">
            <w:pPr>
              <w:jc w:val="center"/>
              <w:rPr>
                <w:color w:val="000000"/>
                <w:kern w:val="0"/>
                <w:szCs w:val="21"/>
              </w:rPr>
            </w:pPr>
            <w:r>
              <w:rPr>
                <w:color w:val="000000"/>
                <w:kern w:val="0"/>
                <w:szCs w:val="21"/>
              </w:rPr>
              <w:t>60</w:t>
            </w:r>
          </w:p>
        </w:tc>
        <w:tc>
          <w:tcPr>
            <w:tcW w:w="669" w:type="dxa"/>
            <w:vMerge w:val="continue"/>
            <w:vAlign w:val="center"/>
          </w:tcPr>
          <w:p w14:paraId="5D55B83B">
            <w:pPr>
              <w:jc w:val="center"/>
              <w:rPr>
                <w:rFonts w:ascii="宋体" w:hAnsi="宋体" w:cs="宋体"/>
                <w:color w:val="000000"/>
                <w:kern w:val="0"/>
                <w:szCs w:val="21"/>
              </w:rPr>
            </w:pPr>
          </w:p>
        </w:tc>
        <w:tc>
          <w:tcPr>
            <w:tcW w:w="851" w:type="dxa"/>
            <w:shd w:val="clear" w:color="auto" w:fill="auto"/>
            <w:vAlign w:val="center"/>
          </w:tcPr>
          <w:p w14:paraId="3C898D65">
            <w:pPr>
              <w:jc w:val="center"/>
              <w:rPr>
                <w:color w:val="000000"/>
                <w:kern w:val="0"/>
                <w:szCs w:val="21"/>
              </w:rPr>
            </w:pPr>
            <w:r>
              <w:rPr>
                <w:color w:val="000000"/>
                <w:kern w:val="0"/>
                <w:szCs w:val="21"/>
              </w:rPr>
              <w:t>15</w:t>
            </w:r>
          </w:p>
        </w:tc>
        <w:tc>
          <w:tcPr>
            <w:tcW w:w="850" w:type="dxa"/>
            <w:shd w:val="clear" w:color="auto" w:fill="auto"/>
            <w:vAlign w:val="center"/>
          </w:tcPr>
          <w:p w14:paraId="04022CFE">
            <w:pPr>
              <w:jc w:val="center"/>
              <w:rPr>
                <w:color w:val="000000"/>
                <w:kern w:val="0"/>
                <w:szCs w:val="21"/>
              </w:rPr>
            </w:pPr>
            <w:r>
              <w:rPr>
                <w:color w:val="000000"/>
                <w:kern w:val="0"/>
                <w:szCs w:val="21"/>
              </w:rPr>
              <w:t>45</w:t>
            </w:r>
          </w:p>
        </w:tc>
        <w:tc>
          <w:tcPr>
            <w:tcW w:w="770" w:type="dxa"/>
            <w:shd w:val="clear" w:color="auto" w:fill="auto"/>
            <w:vAlign w:val="center"/>
          </w:tcPr>
          <w:p w14:paraId="6284C2D2">
            <w:pPr>
              <w:jc w:val="center"/>
              <w:rPr>
                <w:color w:val="000000"/>
                <w:kern w:val="0"/>
                <w:szCs w:val="21"/>
              </w:rPr>
            </w:pPr>
            <w:r>
              <w:rPr>
                <w:color w:val="000000"/>
                <w:kern w:val="0"/>
                <w:szCs w:val="21"/>
              </w:rPr>
              <w:t>1</w:t>
            </w:r>
          </w:p>
        </w:tc>
      </w:tr>
      <w:tr w14:paraId="16367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2B26D025">
            <w:pPr>
              <w:jc w:val="center"/>
              <w:rPr>
                <w:color w:val="000000"/>
                <w:kern w:val="0"/>
                <w:szCs w:val="21"/>
              </w:rPr>
            </w:pPr>
            <w:r>
              <w:rPr>
                <w:color w:val="000000"/>
                <w:kern w:val="0"/>
                <w:szCs w:val="21"/>
              </w:rPr>
              <w:t>15</w:t>
            </w:r>
          </w:p>
        </w:tc>
        <w:tc>
          <w:tcPr>
            <w:tcW w:w="1292" w:type="dxa"/>
            <w:vMerge w:val="continue"/>
            <w:vAlign w:val="center"/>
          </w:tcPr>
          <w:p w14:paraId="0B0BD2AB">
            <w:pPr>
              <w:jc w:val="center"/>
              <w:rPr>
                <w:rFonts w:ascii="宋体" w:hAnsi="宋体" w:cs="宋体"/>
                <w:color w:val="000000"/>
                <w:kern w:val="0"/>
                <w:szCs w:val="21"/>
              </w:rPr>
            </w:pPr>
          </w:p>
        </w:tc>
        <w:tc>
          <w:tcPr>
            <w:tcW w:w="851" w:type="dxa"/>
            <w:shd w:val="clear" w:color="auto" w:fill="auto"/>
            <w:vAlign w:val="center"/>
          </w:tcPr>
          <w:p w14:paraId="5F9D9893">
            <w:pPr>
              <w:jc w:val="center"/>
              <w:rPr>
                <w:rFonts w:ascii="宋体" w:hAnsi="宋体" w:cs="宋体"/>
                <w:color w:val="000000"/>
                <w:kern w:val="0"/>
                <w:szCs w:val="21"/>
              </w:rPr>
            </w:pPr>
            <w:r>
              <w:rPr>
                <w:rFonts w:hint="eastAsia" w:ascii="宋体" w:hAnsi="宋体" w:cs="宋体"/>
                <w:color w:val="000000"/>
                <w:kern w:val="0"/>
                <w:szCs w:val="21"/>
              </w:rPr>
              <w:t>铡草机</w:t>
            </w:r>
          </w:p>
        </w:tc>
        <w:tc>
          <w:tcPr>
            <w:tcW w:w="1984" w:type="dxa"/>
            <w:shd w:val="clear" w:color="auto" w:fill="auto"/>
            <w:vAlign w:val="center"/>
          </w:tcPr>
          <w:p w14:paraId="3BF330EB">
            <w:pPr>
              <w:jc w:val="center"/>
              <w:rPr>
                <w:color w:val="000000"/>
                <w:kern w:val="0"/>
                <w:szCs w:val="21"/>
              </w:rPr>
            </w:pPr>
            <w:r>
              <w:rPr>
                <w:color w:val="000000"/>
                <w:kern w:val="0"/>
                <w:szCs w:val="21"/>
              </w:rPr>
              <w:t>80</w:t>
            </w:r>
          </w:p>
        </w:tc>
        <w:tc>
          <w:tcPr>
            <w:tcW w:w="1560" w:type="dxa"/>
            <w:vMerge w:val="continue"/>
            <w:vAlign w:val="center"/>
          </w:tcPr>
          <w:p w14:paraId="7BA88853">
            <w:pPr>
              <w:jc w:val="center"/>
              <w:rPr>
                <w:rFonts w:ascii="宋体" w:hAnsi="宋体" w:cs="宋体"/>
                <w:color w:val="000000"/>
                <w:kern w:val="0"/>
                <w:sz w:val="22"/>
                <w:szCs w:val="22"/>
              </w:rPr>
            </w:pPr>
          </w:p>
        </w:tc>
        <w:tc>
          <w:tcPr>
            <w:tcW w:w="1134" w:type="dxa"/>
            <w:shd w:val="clear" w:color="auto" w:fill="auto"/>
            <w:noWrap/>
            <w:vAlign w:val="center"/>
          </w:tcPr>
          <w:p w14:paraId="0B82DA02">
            <w:pPr>
              <w:jc w:val="center"/>
              <w:rPr>
                <w:rFonts w:ascii="宋体" w:hAnsi="宋体" w:cs="宋体"/>
                <w:color w:val="000000"/>
                <w:kern w:val="0"/>
                <w:sz w:val="22"/>
                <w:szCs w:val="22"/>
              </w:rPr>
            </w:pPr>
            <w:r>
              <w:rPr>
                <w:rFonts w:hint="eastAsia" w:ascii="宋体" w:hAnsi="宋体" w:cs="宋体"/>
                <w:color w:val="000000"/>
                <w:kern w:val="0"/>
                <w:sz w:val="22"/>
                <w:szCs w:val="22"/>
              </w:rPr>
              <w:t>-33.49</w:t>
            </w:r>
          </w:p>
        </w:tc>
        <w:tc>
          <w:tcPr>
            <w:tcW w:w="992" w:type="dxa"/>
            <w:shd w:val="clear" w:color="auto" w:fill="auto"/>
            <w:noWrap/>
            <w:vAlign w:val="center"/>
          </w:tcPr>
          <w:p w14:paraId="35F229F6">
            <w:pPr>
              <w:jc w:val="center"/>
              <w:rPr>
                <w:rFonts w:ascii="宋体" w:hAnsi="宋体" w:cs="宋体"/>
                <w:color w:val="000000"/>
                <w:kern w:val="0"/>
                <w:sz w:val="22"/>
                <w:szCs w:val="22"/>
              </w:rPr>
            </w:pPr>
            <w:r>
              <w:rPr>
                <w:rFonts w:hint="eastAsia" w:ascii="宋体" w:hAnsi="宋体" w:cs="宋体"/>
                <w:color w:val="000000"/>
                <w:kern w:val="0"/>
                <w:sz w:val="22"/>
                <w:szCs w:val="22"/>
              </w:rPr>
              <w:t>78.88</w:t>
            </w:r>
          </w:p>
        </w:tc>
        <w:tc>
          <w:tcPr>
            <w:tcW w:w="850" w:type="dxa"/>
            <w:shd w:val="clear" w:color="auto" w:fill="auto"/>
            <w:vAlign w:val="center"/>
          </w:tcPr>
          <w:p w14:paraId="264094CA">
            <w:pPr>
              <w:jc w:val="center"/>
              <w:rPr>
                <w:color w:val="000000"/>
                <w:kern w:val="0"/>
                <w:szCs w:val="21"/>
              </w:rPr>
            </w:pPr>
            <w:r>
              <w:rPr>
                <w:color w:val="000000"/>
                <w:kern w:val="0"/>
                <w:szCs w:val="21"/>
              </w:rPr>
              <w:t>1</w:t>
            </w:r>
          </w:p>
        </w:tc>
        <w:tc>
          <w:tcPr>
            <w:tcW w:w="851" w:type="dxa"/>
            <w:shd w:val="clear" w:color="auto" w:fill="auto"/>
            <w:vAlign w:val="center"/>
          </w:tcPr>
          <w:p w14:paraId="1698DBBB">
            <w:pPr>
              <w:jc w:val="center"/>
              <w:rPr>
                <w:color w:val="000000"/>
                <w:kern w:val="0"/>
                <w:szCs w:val="21"/>
              </w:rPr>
            </w:pPr>
            <w:r>
              <w:rPr>
                <w:color w:val="000000"/>
                <w:kern w:val="0"/>
                <w:szCs w:val="21"/>
              </w:rPr>
              <w:t>3</w:t>
            </w:r>
            <w:r>
              <w:rPr>
                <w:rFonts w:hint="eastAsia" w:ascii="宋体" w:hAnsi="宋体"/>
                <w:color w:val="000000"/>
                <w:kern w:val="0"/>
                <w:szCs w:val="21"/>
              </w:rPr>
              <w:t>（南）</w:t>
            </w:r>
          </w:p>
        </w:tc>
        <w:tc>
          <w:tcPr>
            <w:tcW w:w="890" w:type="dxa"/>
            <w:shd w:val="clear" w:color="auto" w:fill="auto"/>
            <w:vAlign w:val="center"/>
          </w:tcPr>
          <w:p w14:paraId="01326051">
            <w:pPr>
              <w:jc w:val="center"/>
              <w:rPr>
                <w:color w:val="000000"/>
                <w:kern w:val="0"/>
                <w:szCs w:val="21"/>
              </w:rPr>
            </w:pPr>
            <w:r>
              <w:rPr>
                <w:color w:val="000000"/>
                <w:kern w:val="0"/>
                <w:szCs w:val="21"/>
              </w:rPr>
              <w:t>60</w:t>
            </w:r>
          </w:p>
        </w:tc>
        <w:tc>
          <w:tcPr>
            <w:tcW w:w="669" w:type="dxa"/>
            <w:vMerge w:val="continue"/>
            <w:vAlign w:val="center"/>
          </w:tcPr>
          <w:p w14:paraId="04A5AC91">
            <w:pPr>
              <w:jc w:val="center"/>
              <w:rPr>
                <w:rFonts w:ascii="宋体" w:hAnsi="宋体" w:cs="宋体"/>
                <w:color w:val="000000"/>
                <w:kern w:val="0"/>
                <w:szCs w:val="21"/>
              </w:rPr>
            </w:pPr>
          </w:p>
        </w:tc>
        <w:tc>
          <w:tcPr>
            <w:tcW w:w="851" w:type="dxa"/>
            <w:shd w:val="clear" w:color="auto" w:fill="auto"/>
            <w:vAlign w:val="center"/>
          </w:tcPr>
          <w:p w14:paraId="62D9DF70">
            <w:pPr>
              <w:jc w:val="center"/>
              <w:rPr>
                <w:color w:val="000000"/>
                <w:kern w:val="0"/>
                <w:szCs w:val="21"/>
              </w:rPr>
            </w:pPr>
            <w:r>
              <w:rPr>
                <w:color w:val="000000"/>
                <w:kern w:val="0"/>
                <w:szCs w:val="21"/>
              </w:rPr>
              <w:t>15</w:t>
            </w:r>
          </w:p>
        </w:tc>
        <w:tc>
          <w:tcPr>
            <w:tcW w:w="850" w:type="dxa"/>
            <w:shd w:val="clear" w:color="auto" w:fill="auto"/>
            <w:vAlign w:val="center"/>
          </w:tcPr>
          <w:p w14:paraId="5B5DA9D4">
            <w:pPr>
              <w:jc w:val="center"/>
              <w:rPr>
                <w:color w:val="000000"/>
                <w:kern w:val="0"/>
                <w:szCs w:val="21"/>
              </w:rPr>
            </w:pPr>
            <w:r>
              <w:rPr>
                <w:color w:val="000000"/>
                <w:kern w:val="0"/>
                <w:szCs w:val="21"/>
              </w:rPr>
              <w:t>45</w:t>
            </w:r>
          </w:p>
        </w:tc>
        <w:tc>
          <w:tcPr>
            <w:tcW w:w="770" w:type="dxa"/>
            <w:shd w:val="clear" w:color="auto" w:fill="auto"/>
            <w:vAlign w:val="center"/>
          </w:tcPr>
          <w:p w14:paraId="33491850">
            <w:pPr>
              <w:jc w:val="center"/>
              <w:rPr>
                <w:color w:val="000000"/>
                <w:kern w:val="0"/>
                <w:szCs w:val="21"/>
              </w:rPr>
            </w:pPr>
            <w:r>
              <w:rPr>
                <w:color w:val="000000"/>
                <w:kern w:val="0"/>
                <w:szCs w:val="21"/>
              </w:rPr>
              <w:t>1</w:t>
            </w:r>
          </w:p>
        </w:tc>
      </w:tr>
      <w:tr w14:paraId="2598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427D2EF9">
            <w:pPr>
              <w:jc w:val="center"/>
              <w:rPr>
                <w:color w:val="000000"/>
                <w:kern w:val="0"/>
                <w:szCs w:val="21"/>
              </w:rPr>
            </w:pPr>
            <w:r>
              <w:rPr>
                <w:color w:val="000000"/>
                <w:kern w:val="0"/>
                <w:szCs w:val="21"/>
              </w:rPr>
              <w:t>16</w:t>
            </w:r>
          </w:p>
        </w:tc>
        <w:tc>
          <w:tcPr>
            <w:tcW w:w="1292" w:type="dxa"/>
            <w:vMerge w:val="continue"/>
            <w:vAlign w:val="center"/>
          </w:tcPr>
          <w:p w14:paraId="577FEE3B">
            <w:pPr>
              <w:jc w:val="center"/>
              <w:rPr>
                <w:rFonts w:ascii="宋体" w:hAnsi="宋体" w:cs="宋体"/>
                <w:color w:val="000000"/>
                <w:kern w:val="0"/>
                <w:szCs w:val="21"/>
              </w:rPr>
            </w:pPr>
          </w:p>
        </w:tc>
        <w:tc>
          <w:tcPr>
            <w:tcW w:w="851" w:type="dxa"/>
            <w:shd w:val="clear" w:color="auto" w:fill="auto"/>
            <w:vAlign w:val="center"/>
          </w:tcPr>
          <w:p w14:paraId="61E33D3A">
            <w:pPr>
              <w:jc w:val="center"/>
              <w:rPr>
                <w:rFonts w:ascii="宋体" w:hAnsi="宋体" w:cs="宋体"/>
                <w:color w:val="000000"/>
                <w:kern w:val="0"/>
                <w:szCs w:val="21"/>
              </w:rPr>
            </w:pPr>
            <w:r>
              <w:rPr>
                <w:rFonts w:hint="eastAsia" w:ascii="宋体" w:hAnsi="宋体" w:cs="宋体"/>
                <w:color w:val="000000"/>
                <w:kern w:val="0"/>
                <w:szCs w:val="21"/>
              </w:rPr>
              <w:t>TMR机#1</w:t>
            </w:r>
          </w:p>
        </w:tc>
        <w:tc>
          <w:tcPr>
            <w:tcW w:w="1984" w:type="dxa"/>
            <w:shd w:val="clear" w:color="auto" w:fill="auto"/>
            <w:vAlign w:val="center"/>
          </w:tcPr>
          <w:p w14:paraId="65B0B435">
            <w:pPr>
              <w:jc w:val="center"/>
              <w:rPr>
                <w:color w:val="000000"/>
                <w:kern w:val="0"/>
                <w:szCs w:val="21"/>
              </w:rPr>
            </w:pPr>
            <w:r>
              <w:rPr>
                <w:color w:val="000000"/>
                <w:kern w:val="0"/>
                <w:szCs w:val="21"/>
              </w:rPr>
              <w:t>80</w:t>
            </w:r>
          </w:p>
        </w:tc>
        <w:tc>
          <w:tcPr>
            <w:tcW w:w="1560" w:type="dxa"/>
            <w:vMerge w:val="continue"/>
            <w:vAlign w:val="center"/>
          </w:tcPr>
          <w:p w14:paraId="46FE42CD">
            <w:pPr>
              <w:jc w:val="center"/>
              <w:rPr>
                <w:rFonts w:ascii="宋体" w:hAnsi="宋体" w:cs="宋体"/>
                <w:color w:val="000000"/>
                <w:kern w:val="0"/>
                <w:sz w:val="22"/>
                <w:szCs w:val="22"/>
              </w:rPr>
            </w:pPr>
          </w:p>
        </w:tc>
        <w:tc>
          <w:tcPr>
            <w:tcW w:w="1134" w:type="dxa"/>
            <w:shd w:val="clear" w:color="auto" w:fill="auto"/>
            <w:noWrap/>
            <w:vAlign w:val="center"/>
          </w:tcPr>
          <w:p w14:paraId="23557B61">
            <w:pPr>
              <w:jc w:val="center"/>
              <w:rPr>
                <w:rFonts w:ascii="宋体" w:hAnsi="宋体" w:cs="宋体"/>
                <w:color w:val="000000"/>
                <w:kern w:val="0"/>
                <w:sz w:val="22"/>
                <w:szCs w:val="22"/>
              </w:rPr>
            </w:pPr>
            <w:r>
              <w:rPr>
                <w:rFonts w:hint="eastAsia" w:ascii="宋体" w:hAnsi="宋体" w:cs="宋体"/>
                <w:color w:val="000000"/>
                <w:kern w:val="0"/>
                <w:sz w:val="22"/>
                <w:szCs w:val="22"/>
              </w:rPr>
              <w:t>-18.74</w:t>
            </w:r>
          </w:p>
        </w:tc>
        <w:tc>
          <w:tcPr>
            <w:tcW w:w="992" w:type="dxa"/>
            <w:shd w:val="clear" w:color="auto" w:fill="auto"/>
            <w:noWrap/>
            <w:vAlign w:val="center"/>
          </w:tcPr>
          <w:p w14:paraId="216B07F7">
            <w:pPr>
              <w:jc w:val="center"/>
              <w:rPr>
                <w:rFonts w:ascii="宋体" w:hAnsi="宋体" w:cs="宋体"/>
                <w:color w:val="000000"/>
                <w:kern w:val="0"/>
                <w:sz w:val="22"/>
                <w:szCs w:val="22"/>
              </w:rPr>
            </w:pPr>
            <w:r>
              <w:rPr>
                <w:rFonts w:hint="eastAsia" w:ascii="宋体" w:hAnsi="宋体" w:cs="宋体"/>
                <w:color w:val="000000"/>
                <w:kern w:val="0"/>
                <w:sz w:val="22"/>
                <w:szCs w:val="22"/>
              </w:rPr>
              <w:t>88.85</w:t>
            </w:r>
          </w:p>
        </w:tc>
        <w:tc>
          <w:tcPr>
            <w:tcW w:w="850" w:type="dxa"/>
            <w:shd w:val="clear" w:color="auto" w:fill="auto"/>
            <w:vAlign w:val="center"/>
          </w:tcPr>
          <w:p w14:paraId="221D4C66">
            <w:pPr>
              <w:jc w:val="center"/>
              <w:rPr>
                <w:color w:val="000000"/>
                <w:kern w:val="0"/>
                <w:szCs w:val="21"/>
              </w:rPr>
            </w:pPr>
            <w:r>
              <w:rPr>
                <w:color w:val="000000"/>
                <w:kern w:val="0"/>
                <w:szCs w:val="21"/>
              </w:rPr>
              <w:t>1</w:t>
            </w:r>
          </w:p>
        </w:tc>
        <w:tc>
          <w:tcPr>
            <w:tcW w:w="851" w:type="dxa"/>
            <w:shd w:val="clear" w:color="auto" w:fill="auto"/>
            <w:vAlign w:val="center"/>
          </w:tcPr>
          <w:p w14:paraId="5908AB56">
            <w:pPr>
              <w:jc w:val="center"/>
              <w:rPr>
                <w:color w:val="000000"/>
                <w:kern w:val="0"/>
                <w:szCs w:val="21"/>
              </w:rPr>
            </w:pPr>
            <w:r>
              <w:rPr>
                <w:color w:val="000000"/>
                <w:kern w:val="0"/>
                <w:szCs w:val="21"/>
              </w:rPr>
              <w:t>6</w:t>
            </w:r>
            <w:r>
              <w:rPr>
                <w:rFonts w:hint="eastAsia" w:ascii="宋体" w:hAnsi="宋体"/>
                <w:color w:val="000000"/>
                <w:kern w:val="0"/>
                <w:szCs w:val="21"/>
              </w:rPr>
              <w:t>（东）</w:t>
            </w:r>
          </w:p>
        </w:tc>
        <w:tc>
          <w:tcPr>
            <w:tcW w:w="890" w:type="dxa"/>
            <w:shd w:val="clear" w:color="auto" w:fill="auto"/>
            <w:vAlign w:val="center"/>
          </w:tcPr>
          <w:p w14:paraId="3CA1EA9E">
            <w:pPr>
              <w:jc w:val="center"/>
              <w:rPr>
                <w:color w:val="000000"/>
                <w:kern w:val="0"/>
                <w:szCs w:val="21"/>
              </w:rPr>
            </w:pPr>
            <w:r>
              <w:rPr>
                <w:color w:val="000000"/>
                <w:kern w:val="0"/>
                <w:szCs w:val="21"/>
              </w:rPr>
              <w:t>60</w:t>
            </w:r>
          </w:p>
        </w:tc>
        <w:tc>
          <w:tcPr>
            <w:tcW w:w="669" w:type="dxa"/>
            <w:vMerge w:val="continue"/>
            <w:vAlign w:val="center"/>
          </w:tcPr>
          <w:p w14:paraId="2AB28A37">
            <w:pPr>
              <w:jc w:val="center"/>
              <w:rPr>
                <w:rFonts w:ascii="宋体" w:hAnsi="宋体" w:cs="宋体"/>
                <w:color w:val="000000"/>
                <w:kern w:val="0"/>
                <w:szCs w:val="21"/>
              </w:rPr>
            </w:pPr>
          </w:p>
        </w:tc>
        <w:tc>
          <w:tcPr>
            <w:tcW w:w="851" w:type="dxa"/>
            <w:shd w:val="clear" w:color="auto" w:fill="auto"/>
            <w:vAlign w:val="center"/>
          </w:tcPr>
          <w:p w14:paraId="1E6D1927">
            <w:pPr>
              <w:jc w:val="center"/>
              <w:rPr>
                <w:color w:val="000000"/>
                <w:kern w:val="0"/>
                <w:szCs w:val="21"/>
              </w:rPr>
            </w:pPr>
            <w:r>
              <w:rPr>
                <w:color w:val="000000"/>
                <w:kern w:val="0"/>
                <w:szCs w:val="21"/>
              </w:rPr>
              <w:t>15</w:t>
            </w:r>
          </w:p>
        </w:tc>
        <w:tc>
          <w:tcPr>
            <w:tcW w:w="850" w:type="dxa"/>
            <w:shd w:val="clear" w:color="auto" w:fill="auto"/>
            <w:vAlign w:val="center"/>
          </w:tcPr>
          <w:p w14:paraId="5A6AB758">
            <w:pPr>
              <w:jc w:val="center"/>
              <w:rPr>
                <w:color w:val="000000"/>
                <w:kern w:val="0"/>
                <w:szCs w:val="21"/>
              </w:rPr>
            </w:pPr>
            <w:r>
              <w:rPr>
                <w:color w:val="000000"/>
                <w:kern w:val="0"/>
                <w:szCs w:val="21"/>
              </w:rPr>
              <w:t>45</w:t>
            </w:r>
          </w:p>
        </w:tc>
        <w:tc>
          <w:tcPr>
            <w:tcW w:w="770" w:type="dxa"/>
            <w:shd w:val="clear" w:color="auto" w:fill="auto"/>
            <w:vAlign w:val="center"/>
          </w:tcPr>
          <w:p w14:paraId="4B08A46D">
            <w:pPr>
              <w:jc w:val="center"/>
              <w:rPr>
                <w:color w:val="000000"/>
                <w:kern w:val="0"/>
                <w:szCs w:val="21"/>
              </w:rPr>
            </w:pPr>
            <w:r>
              <w:rPr>
                <w:color w:val="000000"/>
                <w:kern w:val="0"/>
                <w:szCs w:val="21"/>
              </w:rPr>
              <w:t>1</w:t>
            </w:r>
          </w:p>
        </w:tc>
      </w:tr>
      <w:tr w14:paraId="2070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4" w:type="dxa"/>
            <w:shd w:val="clear" w:color="auto" w:fill="auto"/>
            <w:vAlign w:val="center"/>
          </w:tcPr>
          <w:p w14:paraId="73153442">
            <w:pPr>
              <w:jc w:val="center"/>
              <w:rPr>
                <w:color w:val="000000"/>
                <w:kern w:val="0"/>
                <w:szCs w:val="21"/>
              </w:rPr>
            </w:pPr>
            <w:r>
              <w:rPr>
                <w:color w:val="000000"/>
                <w:kern w:val="0"/>
                <w:szCs w:val="21"/>
              </w:rPr>
              <w:t>17</w:t>
            </w:r>
          </w:p>
        </w:tc>
        <w:tc>
          <w:tcPr>
            <w:tcW w:w="1292" w:type="dxa"/>
            <w:vMerge w:val="continue"/>
            <w:vAlign w:val="center"/>
          </w:tcPr>
          <w:p w14:paraId="0F82C137">
            <w:pPr>
              <w:jc w:val="center"/>
              <w:rPr>
                <w:rFonts w:ascii="宋体" w:hAnsi="宋体" w:cs="宋体"/>
                <w:color w:val="000000"/>
                <w:kern w:val="0"/>
                <w:szCs w:val="21"/>
              </w:rPr>
            </w:pPr>
          </w:p>
        </w:tc>
        <w:tc>
          <w:tcPr>
            <w:tcW w:w="851" w:type="dxa"/>
            <w:shd w:val="clear" w:color="auto" w:fill="auto"/>
            <w:vAlign w:val="center"/>
          </w:tcPr>
          <w:p w14:paraId="263B0A90">
            <w:pPr>
              <w:jc w:val="center"/>
              <w:rPr>
                <w:rFonts w:ascii="宋体" w:hAnsi="宋体" w:cs="宋体"/>
                <w:color w:val="000000"/>
                <w:kern w:val="0"/>
                <w:szCs w:val="21"/>
              </w:rPr>
            </w:pPr>
            <w:r>
              <w:rPr>
                <w:rFonts w:hint="eastAsia" w:ascii="宋体" w:hAnsi="宋体" w:cs="宋体"/>
                <w:color w:val="000000"/>
                <w:kern w:val="0"/>
                <w:szCs w:val="21"/>
              </w:rPr>
              <w:t>TMR机#2</w:t>
            </w:r>
          </w:p>
        </w:tc>
        <w:tc>
          <w:tcPr>
            <w:tcW w:w="1984" w:type="dxa"/>
            <w:shd w:val="clear" w:color="auto" w:fill="auto"/>
            <w:vAlign w:val="center"/>
          </w:tcPr>
          <w:p w14:paraId="4210F6E7">
            <w:pPr>
              <w:jc w:val="center"/>
              <w:rPr>
                <w:color w:val="000000"/>
                <w:kern w:val="0"/>
                <w:szCs w:val="21"/>
              </w:rPr>
            </w:pPr>
            <w:r>
              <w:rPr>
                <w:color w:val="000000"/>
                <w:kern w:val="0"/>
                <w:szCs w:val="21"/>
              </w:rPr>
              <w:t>80</w:t>
            </w:r>
          </w:p>
        </w:tc>
        <w:tc>
          <w:tcPr>
            <w:tcW w:w="1560" w:type="dxa"/>
            <w:vMerge w:val="continue"/>
            <w:vAlign w:val="center"/>
          </w:tcPr>
          <w:p w14:paraId="1FDCC56D">
            <w:pPr>
              <w:jc w:val="center"/>
              <w:rPr>
                <w:rFonts w:ascii="宋体" w:hAnsi="宋体" w:cs="宋体"/>
                <w:color w:val="000000"/>
                <w:kern w:val="0"/>
                <w:sz w:val="22"/>
                <w:szCs w:val="22"/>
              </w:rPr>
            </w:pPr>
          </w:p>
        </w:tc>
        <w:tc>
          <w:tcPr>
            <w:tcW w:w="1134" w:type="dxa"/>
            <w:shd w:val="clear" w:color="auto" w:fill="auto"/>
            <w:noWrap/>
            <w:vAlign w:val="center"/>
          </w:tcPr>
          <w:p w14:paraId="738EA157">
            <w:pPr>
              <w:jc w:val="center"/>
              <w:rPr>
                <w:rFonts w:ascii="宋体" w:hAnsi="宋体" w:cs="宋体"/>
                <w:color w:val="000000"/>
                <w:kern w:val="0"/>
                <w:sz w:val="22"/>
                <w:szCs w:val="22"/>
              </w:rPr>
            </w:pPr>
            <w:r>
              <w:rPr>
                <w:rFonts w:hint="eastAsia" w:ascii="宋体" w:hAnsi="宋体" w:cs="宋体"/>
                <w:color w:val="000000"/>
                <w:kern w:val="0"/>
                <w:sz w:val="22"/>
                <w:szCs w:val="22"/>
              </w:rPr>
              <w:t>-18.34</w:t>
            </w:r>
          </w:p>
        </w:tc>
        <w:tc>
          <w:tcPr>
            <w:tcW w:w="992" w:type="dxa"/>
            <w:shd w:val="clear" w:color="auto" w:fill="auto"/>
            <w:noWrap/>
            <w:vAlign w:val="center"/>
          </w:tcPr>
          <w:p w14:paraId="41D07008">
            <w:pPr>
              <w:jc w:val="center"/>
              <w:rPr>
                <w:rFonts w:ascii="宋体" w:hAnsi="宋体" w:cs="宋体"/>
                <w:color w:val="000000"/>
                <w:kern w:val="0"/>
                <w:sz w:val="22"/>
                <w:szCs w:val="22"/>
              </w:rPr>
            </w:pPr>
            <w:r>
              <w:rPr>
                <w:rFonts w:hint="eastAsia" w:ascii="宋体" w:hAnsi="宋体" w:cs="宋体"/>
                <w:color w:val="000000"/>
                <w:kern w:val="0"/>
                <w:sz w:val="22"/>
                <w:szCs w:val="22"/>
              </w:rPr>
              <w:t>97.63</w:t>
            </w:r>
          </w:p>
        </w:tc>
        <w:tc>
          <w:tcPr>
            <w:tcW w:w="850" w:type="dxa"/>
            <w:shd w:val="clear" w:color="auto" w:fill="auto"/>
            <w:vAlign w:val="center"/>
          </w:tcPr>
          <w:p w14:paraId="7466AC42">
            <w:pPr>
              <w:jc w:val="center"/>
              <w:rPr>
                <w:color w:val="000000"/>
                <w:kern w:val="0"/>
                <w:szCs w:val="21"/>
              </w:rPr>
            </w:pPr>
            <w:r>
              <w:rPr>
                <w:color w:val="000000"/>
                <w:kern w:val="0"/>
                <w:szCs w:val="21"/>
              </w:rPr>
              <w:t>1</w:t>
            </w:r>
          </w:p>
        </w:tc>
        <w:tc>
          <w:tcPr>
            <w:tcW w:w="851" w:type="dxa"/>
            <w:shd w:val="clear" w:color="auto" w:fill="auto"/>
            <w:vAlign w:val="center"/>
          </w:tcPr>
          <w:p w14:paraId="21EB5983">
            <w:pPr>
              <w:jc w:val="center"/>
              <w:rPr>
                <w:color w:val="000000"/>
                <w:kern w:val="0"/>
                <w:szCs w:val="21"/>
              </w:rPr>
            </w:pPr>
            <w:r>
              <w:rPr>
                <w:color w:val="000000"/>
                <w:kern w:val="0"/>
                <w:szCs w:val="21"/>
              </w:rPr>
              <w:t>6</w:t>
            </w:r>
            <w:r>
              <w:rPr>
                <w:rFonts w:hint="eastAsia" w:ascii="宋体" w:hAnsi="宋体"/>
                <w:color w:val="000000"/>
                <w:kern w:val="0"/>
                <w:szCs w:val="21"/>
              </w:rPr>
              <w:t>（东）</w:t>
            </w:r>
          </w:p>
        </w:tc>
        <w:tc>
          <w:tcPr>
            <w:tcW w:w="890" w:type="dxa"/>
            <w:shd w:val="clear" w:color="auto" w:fill="auto"/>
            <w:vAlign w:val="center"/>
          </w:tcPr>
          <w:p w14:paraId="5CD5C20B">
            <w:pPr>
              <w:jc w:val="center"/>
              <w:rPr>
                <w:color w:val="000000"/>
                <w:kern w:val="0"/>
                <w:szCs w:val="21"/>
              </w:rPr>
            </w:pPr>
            <w:r>
              <w:rPr>
                <w:color w:val="000000"/>
                <w:kern w:val="0"/>
                <w:szCs w:val="21"/>
              </w:rPr>
              <w:t>60</w:t>
            </w:r>
          </w:p>
        </w:tc>
        <w:tc>
          <w:tcPr>
            <w:tcW w:w="669" w:type="dxa"/>
            <w:vMerge w:val="continue"/>
            <w:vAlign w:val="center"/>
          </w:tcPr>
          <w:p w14:paraId="0F81F677">
            <w:pPr>
              <w:jc w:val="center"/>
              <w:rPr>
                <w:rFonts w:ascii="宋体" w:hAnsi="宋体" w:cs="宋体"/>
                <w:color w:val="000000"/>
                <w:kern w:val="0"/>
                <w:szCs w:val="21"/>
              </w:rPr>
            </w:pPr>
          </w:p>
        </w:tc>
        <w:tc>
          <w:tcPr>
            <w:tcW w:w="851" w:type="dxa"/>
            <w:shd w:val="clear" w:color="auto" w:fill="auto"/>
            <w:vAlign w:val="center"/>
          </w:tcPr>
          <w:p w14:paraId="07D8FE3D">
            <w:pPr>
              <w:jc w:val="center"/>
              <w:rPr>
                <w:color w:val="000000"/>
                <w:kern w:val="0"/>
                <w:szCs w:val="21"/>
              </w:rPr>
            </w:pPr>
            <w:r>
              <w:rPr>
                <w:color w:val="000000"/>
                <w:kern w:val="0"/>
                <w:szCs w:val="21"/>
              </w:rPr>
              <w:t>15</w:t>
            </w:r>
          </w:p>
        </w:tc>
        <w:tc>
          <w:tcPr>
            <w:tcW w:w="850" w:type="dxa"/>
            <w:shd w:val="clear" w:color="auto" w:fill="auto"/>
            <w:vAlign w:val="center"/>
          </w:tcPr>
          <w:p w14:paraId="2A9E16D2">
            <w:pPr>
              <w:jc w:val="center"/>
              <w:rPr>
                <w:color w:val="000000"/>
                <w:kern w:val="0"/>
                <w:szCs w:val="21"/>
              </w:rPr>
            </w:pPr>
            <w:r>
              <w:rPr>
                <w:color w:val="000000"/>
                <w:kern w:val="0"/>
                <w:szCs w:val="21"/>
              </w:rPr>
              <w:t>45</w:t>
            </w:r>
          </w:p>
        </w:tc>
        <w:tc>
          <w:tcPr>
            <w:tcW w:w="770" w:type="dxa"/>
            <w:shd w:val="clear" w:color="auto" w:fill="auto"/>
            <w:vAlign w:val="center"/>
          </w:tcPr>
          <w:p w14:paraId="0DDE33A9">
            <w:pPr>
              <w:jc w:val="center"/>
              <w:rPr>
                <w:color w:val="000000"/>
                <w:kern w:val="0"/>
                <w:szCs w:val="21"/>
              </w:rPr>
            </w:pPr>
            <w:r>
              <w:rPr>
                <w:color w:val="000000"/>
                <w:kern w:val="0"/>
                <w:szCs w:val="21"/>
              </w:rPr>
              <w:t>1</w:t>
            </w:r>
          </w:p>
        </w:tc>
      </w:tr>
      <w:tr w14:paraId="4145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948" w:type="dxa"/>
            <w:gridSpan w:val="14"/>
            <w:shd w:val="clear" w:color="auto" w:fill="auto"/>
            <w:vAlign w:val="center"/>
          </w:tcPr>
          <w:p w14:paraId="68207C17">
            <w:pPr>
              <w:rPr>
                <w:color w:val="000000"/>
                <w:kern w:val="0"/>
                <w:szCs w:val="21"/>
              </w:rPr>
            </w:pPr>
            <w:r>
              <w:rPr>
                <w:rFonts w:hint="eastAsia"/>
                <w:color w:val="000000" w:themeColor="text1"/>
                <w:szCs w:val="21"/>
                <w14:textFill>
                  <w14:solidFill>
                    <w14:schemeClr w14:val="tx1"/>
                  </w14:solidFill>
                </w14:textFill>
              </w:rPr>
              <w:t>注：百花、塘坝、</w:t>
            </w:r>
            <w:bookmarkStart w:id="806" w:name="OLE_LINK206"/>
            <w:bookmarkStart w:id="807" w:name="OLE_LINK207"/>
            <w:r>
              <w:rPr>
                <w:rFonts w:hint="eastAsia"/>
                <w:color w:val="000000" w:themeColor="text1"/>
                <w:szCs w:val="21"/>
                <w14:textFill>
                  <w14:solidFill>
                    <w14:schemeClr w14:val="tx1"/>
                  </w14:solidFill>
                </w14:textFill>
              </w:rPr>
              <w:t>始宁养殖场区以场区西南角点为（0，0）点，设备位置以设备中心点标注</w:t>
            </w:r>
            <w:bookmarkEnd w:id="806"/>
            <w:bookmarkEnd w:id="807"/>
            <w:r>
              <w:rPr>
                <w:rFonts w:hint="eastAsia"/>
                <w:color w:val="000000" w:themeColor="text1"/>
                <w:szCs w:val="21"/>
                <w14:textFill>
                  <w14:solidFill>
                    <w14:schemeClr w14:val="tx1"/>
                  </w14:solidFill>
                </w14:textFill>
              </w:rPr>
              <w:t>；佛龙养殖场区以场区西南角点为（0，0）点，设备位置以设备中心点标注。</w:t>
            </w:r>
          </w:p>
        </w:tc>
      </w:tr>
    </w:tbl>
    <w:p w14:paraId="5578093D">
      <w:pPr>
        <w:pStyle w:val="34"/>
        <w:spacing w:before="156" w:beforeLines="50"/>
        <w:ind w:left="420" w:firstLine="482"/>
        <w:outlineLvl w:val="3"/>
        <w:rPr>
          <w:b/>
          <w:bCs/>
          <w:color w:val="000000" w:themeColor="text1"/>
          <w:sz w:val="24"/>
          <w14:textFill>
            <w14:solidFill>
              <w14:schemeClr w14:val="tx1"/>
            </w14:solidFill>
          </w14:textFill>
        </w:rPr>
        <w:sectPr>
          <w:pgSz w:w="16838" w:h="11906" w:orient="landscape"/>
          <w:pgMar w:top="1440" w:right="1440" w:bottom="1440" w:left="1440" w:header="851" w:footer="992" w:gutter="0"/>
          <w:cols w:space="425" w:num="1"/>
          <w:docGrid w:type="lines" w:linePitch="312" w:charSpace="0"/>
        </w:sectPr>
      </w:pPr>
    </w:p>
    <w:p w14:paraId="48D43DCF">
      <w:pPr>
        <w:pStyle w:val="34"/>
        <w:spacing w:before="156" w:beforeLines="50"/>
        <w:ind w:left="420" w:firstLine="482"/>
        <w:outlineLvl w:val="3"/>
        <w:rPr>
          <w:b/>
          <w:bCs/>
          <w:color w:val="000000" w:themeColor="text1"/>
          <w:sz w:val="28"/>
          <w:szCs w:val="28"/>
          <w14:textFill>
            <w14:solidFill>
              <w14:schemeClr w14:val="tx1"/>
            </w14:solidFill>
          </w14:textFill>
        </w:rPr>
      </w:pPr>
      <w:r>
        <w:rPr>
          <w:b/>
          <w:bCs/>
          <w:color w:val="000000" w:themeColor="text1"/>
          <w:sz w:val="24"/>
          <w14:textFill>
            <w14:solidFill>
              <w14:schemeClr w14:val="tx1"/>
            </w14:solidFill>
          </w14:textFill>
        </w:rPr>
        <w:t>5.2.3.2 噪声预测模式</w:t>
      </w:r>
    </w:p>
    <w:p w14:paraId="1153F99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根据《环境影响评价技术导则 声环境》（HJ2.4-2021）有关规定，本项目采用室内声源等效室外声源后对厂界进行预测，预测公式如下：</w:t>
      </w:r>
    </w:p>
    <w:p w14:paraId="5D9A724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①无指向性点声源几何发散衰减</w:t>
      </w:r>
    </w:p>
    <w:p w14:paraId="091E69D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无指向性点声源几何发散衰减的基本公式是：</w:t>
      </w:r>
    </w:p>
    <w:p w14:paraId="6ECEBCA9">
      <w:pPr>
        <w:spacing w:line="360" w:lineRule="auto"/>
        <w:jc w:val="center"/>
        <w:rPr>
          <w:color w:val="000000" w:themeColor="text1"/>
          <w:sz w:val="24"/>
          <w14:textFill>
            <w14:solidFill>
              <w14:schemeClr w14:val="tx1"/>
            </w14:solidFill>
          </w14:textFill>
        </w:rPr>
      </w:pPr>
      <w:r>
        <w:rPr>
          <w:color w:val="000000" w:themeColor="text1"/>
          <w:position w:val="-14"/>
          <w:sz w:val="24"/>
          <w14:textFill>
            <w14:solidFill>
              <w14:schemeClr w14:val="tx1"/>
            </w14:solidFill>
          </w14:textFill>
        </w:rPr>
        <w:object>
          <v:shape id="_x0000_i1036" o:spt="75" type="#_x0000_t75" style="height:19.35pt;width:126pt;" o:ole="t" filled="f" o:preferrelative="t" stroked="f" coordsize="21600,21600">
            <v:path/>
            <v:fill on="f" focussize="0,0"/>
            <v:stroke on="f" joinstyle="miter"/>
            <v:imagedata r:id="rId95" o:title=""/>
            <o:lock v:ext="edit" aspectratio="t"/>
            <w10:wrap type="none"/>
            <w10:anchorlock/>
          </v:shape>
          <o:OLEObject Type="Embed" ProgID="Equation.3" ShapeID="_x0000_i1036" DrawAspect="Content" ObjectID="_1468075736" r:id="rId94">
            <o:LockedField>false</o:LockedField>
          </o:OLEObject>
        </w:object>
      </w:r>
    </w:p>
    <w:p w14:paraId="0C2886A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p</w:t>
      </w:r>
      <w:r>
        <w:rPr>
          <w:color w:val="000000" w:themeColor="text1"/>
          <w:sz w:val="24"/>
          <w14:textFill>
            <w14:solidFill>
              <w14:schemeClr w14:val="tx1"/>
            </w14:solidFill>
          </w14:textFill>
        </w:rPr>
        <w:t>（r）——测点的声级（可以是倍频带声压级或A声级）；</w:t>
      </w:r>
    </w:p>
    <w:p w14:paraId="09C24D7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w:t>
      </w:r>
      <w:r>
        <w:rPr>
          <w:color w:val="000000" w:themeColor="text1"/>
          <w:sz w:val="24"/>
          <w14:textFill>
            <w14:solidFill>
              <w14:schemeClr w14:val="tx1"/>
            </w14:solidFill>
          </w14:textFill>
        </w:rPr>
        <w:t>（r</w:t>
      </w:r>
      <w:r>
        <w:rPr>
          <w:color w:val="000000" w:themeColor="text1"/>
          <w:sz w:val="24"/>
          <w:vertAlign w:val="subscript"/>
          <w14:textFill>
            <w14:solidFill>
              <w14:schemeClr w14:val="tx1"/>
            </w14:solidFill>
          </w14:textFill>
        </w:rPr>
        <w:t>0</w:t>
      </w:r>
      <w:r>
        <w:rPr>
          <w:color w:val="000000" w:themeColor="text1"/>
          <w:sz w:val="24"/>
          <w14:textFill>
            <w14:solidFill>
              <w14:schemeClr w14:val="tx1"/>
            </w14:solidFill>
          </w14:textFill>
        </w:rPr>
        <w:t>）——参考位置r0处的声级（可以是倍频带声压级或A声级）；</w:t>
      </w:r>
    </w:p>
    <w:p w14:paraId="7E22D32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r——预测点与点声源之间的距离，m；</w:t>
      </w:r>
    </w:p>
    <w:p w14:paraId="190B61D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r</w:t>
      </w:r>
      <w:r>
        <w:rPr>
          <w:color w:val="000000" w:themeColor="text1"/>
          <w:sz w:val="24"/>
          <w:vertAlign w:val="subscript"/>
          <w14:textFill>
            <w14:solidFill>
              <w14:schemeClr w14:val="tx1"/>
            </w14:solidFill>
          </w14:textFill>
        </w:rPr>
        <w:t>0</w:t>
      </w:r>
      <w:r>
        <w:rPr>
          <w:color w:val="000000" w:themeColor="text1"/>
          <w:sz w:val="24"/>
          <w14:textFill>
            <w14:solidFill>
              <w14:schemeClr w14:val="tx1"/>
            </w14:solidFill>
          </w14:textFill>
        </w:rPr>
        <w:t>——测量参考声级处与点声源之间的距离，m；</w:t>
      </w:r>
    </w:p>
    <w:p w14:paraId="64B5A43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②室内声源等效室外声源声功率级</w:t>
      </w:r>
    </w:p>
    <w:p w14:paraId="2769986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项目声源位于室内，室内声源可采用等效室外声源声功率级法进行计算。设靠近开口处（或窗户）室内、室外某倍频带的声压级分别为L</w:t>
      </w:r>
      <w:r>
        <w:rPr>
          <w:color w:val="000000" w:themeColor="text1"/>
          <w:sz w:val="24"/>
          <w:vertAlign w:val="subscript"/>
          <w14:textFill>
            <w14:solidFill>
              <w14:schemeClr w14:val="tx1"/>
            </w14:solidFill>
          </w14:textFill>
        </w:rPr>
        <w:t>p1</w:t>
      </w:r>
      <w:r>
        <w:rPr>
          <w:color w:val="000000" w:themeColor="text1"/>
          <w:sz w:val="24"/>
          <w14:textFill>
            <w14:solidFill>
              <w14:schemeClr w14:val="tx1"/>
            </w14:solidFill>
          </w14:textFill>
        </w:rPr>
        <w:t>和L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。若声源所在室内声场为近似扩散声场，则室外的倍频带声压级可按下式近似求出：</w:t>
      </w:r>
    </w:p>
    <w:p w14:paraId="1908EA76">
      <w:pPr>
        <w:spacing w:line="360" w:lineRule="auto"/>
        <w:jc w:val="center"/>
        <w:rPr>
          <w:color w:val="000000" w:themeColor="text1"/>
          <w:sz w:val="24"/>
          <w14:textFill>
            <w14:solidFill>
              <w14:schemeClr w14:val="tx1"/>
            </w14:solidFill>
          </w14:textFill>
        </w:rPr>
      </w:pPr>
      <w:r>
        <w:rPr>
          <w:color w:val="000000" w:themeColor="text1"/>
          <w:position w:val="-14"/>
          <w:sz w:val="24"/>
          <w14:textFill>
            <w14:solidFill>
              <w14:schemeClr w14:val="tx1"/>
            </w14:solidFill>
          </w14:textFill>
        </w:rPr>
        <w:object>
          <v:shape id="_x0000_i1037" o:spt="75" type="#_x0000_t75" style="height:19.35pt;width:96pt;" o:ole="t" filled="f" o:preferrelative="t" stroked="f" coordsize="21600,21600">
            <v:path/>
            <v:fill on="f" focussize="0,0"/>
            <v:stroke on="f" joinstyle="miter"/>
            <v:imagedata r:id="rId97" o:title=""/>
            <o:lock v:ext="edit" aspectratio="t"/>
            <w10:wrap type="none"/>
            <w10:anchorlock/>
          </v:shape>
          <o:OLEObject Type="Embed" ProgID="Equation.3" ShapeID="_x0000_i1037" DrawAspect="Content" ObjectID="_1468075737" r:id="rId96">
            <o:LockedField>false</o:LockedField>
          </o:OLEObject>
        </w:object>
      </w:r>
    </w:p>
    <w:p w14:paraId="06175D1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p1</w:t>
      </w:r>
      <w:r>
        <w:rPr>
          <w:color w:val="000000" w:themeColor="text1"/>
          <w:sz w:val="24"/>
          <w14:textFill>
            <w14:solidFill>
              <w14:schemeClr w14:val="tx1"/>
            </w14:solidFill>
          </w14:textFill>
        </w:rPr>
        <w:t>—靠近开口处（或窗户）室内某倍频带的声压级或A声级，dB；</w:t>
      </w:r>
    </w:p>
    <w:p w14:paraId="495A822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—靠近开口处（或窗户）室内某倍频带的声压级或A声级，dB；</w:t>
      </w:r>
    </w:p>
    <w:p w14:paraId="30412E9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TL——隔墙（或窗户）倍频带的隔声量，dB；</w:t>
      </w:r>
    </w:p>
    <w:p w14:paraId="4FA48DA6">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2599690" cy="1647190"/>
            <wp:effectExtent l="0" t="0" r="6350" b="13970"/>
            <wp:docPr id="19542418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1862" name="图片 9"/>
                    <pic:cNvPicPr>
                      <a:picLocks noChangeAspect="1"/>
                    </pic:cNvPicPr>
                  </pic:nvPicPr>
                  <pic:blipFill>
                    <a:blip r:embed="rId98"/>
                    <a:stretch>
                      <a:fillRect/>
                    </a:stretch>
                  </pic:blipFill>
                  <pic:spPr>
                    <a:xfrm>
                      <a:off x="0" y="0"/>
                      <a:ext cx="2599690" cy="1647190"/>
                    </a:xfrm>
                    <a:prstGeom prst="rect">
                      <a:avLst/>
                    </a:prstGeom>
                    <a:noFill/>
                    <a:ln>
                      <a:noFill/>
                    </a:ln>
                  </pic:spPr>
                </pic:pic>
              </a:graphicData>
            </a:graphic>
          </wp:inline>
        </w:drawing>
      </w:r>
    </w:p>
    <w:p w14:paraId="76DB07B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某一室内声源靠近围护结构处产生的倍频带声压级或A声级按下式计算：</w:t>
      </w:r>
    </w:p>
    <w:p w14:paraId="4BC5208C">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1990725" cy="561975"/>
            <wp:effectExtent l="0" t="0" r="5715" b="1905"/>
            <wp:docPr id="195424186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1863" name="图片 10"/>
                    <pic:cNvPicPr>
                      <a:picLocks noChangeAspect="1"/>
                    </pic:cNvPicPr>
                  </pic:nvPicPr>
                  <pic:blipFill>
                    <a:blip r:embed="rId99"/>
                    <a:stretch>
                      <a:fillRect/>
                    </a:stretch>
                  </pic:blipFill>
                  <pic:spPr>
                    <a:xfrm>
                      <a:off x="0" y="0"/>
                      <a:ext cx="1990725" cy="561975"/>
                    </a:xfrm>
                    <a:prstGeom prst="rect">
                      <a:avLst/>
                    </a:prstGeom>
                    <a:noFill/>
                    <a:ln>
                      <a:noFill/>
                    </a:ln>
                  </pic:spPr>
                </pic:pic>
              </a:graphicData>
            </a:graphic>
          </wp:inline>
        </w:drawing>
      </w:r>
    </w:p>
    <w:p w14:paraId="647E85EE">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i/>
          <w:iCs/>
          <w:color w:val="000000" w:themeColor="text1"/>
          <w:sz w:val="24"/>
          <w14:textFill>
            <w14:solidFill>
              <w14:schemeClr w14:val="tx1"/>
            </w14:solidFill>
          </w14:textFill>
        </w:rPr>
        <w:t>L</w:t>
      </w:r>
      <w:r>
        <w:rPr>
          <w:i/>
          <w:iCs/>
          <w:color w:val="000000" w:themeColor="text1"/>
          <w:sz w:val="24"/>
          <w:vertAlign w:val="subscript"/>
          <w14:textFill>
            <w14:solidFill>
              <w14:schemeClr w14:val="tx1"/>
            </w14:solidFill>
          </w14:textFill>
        </w:rPr>
        <w:t>p1</w:t>
      </w:r>
      <w:r>
        <w:rPr>
          <w:color w:val="000000" w:themeColor="text1"/>
          <w:sz w:val="24"/>
          <w14:textFill>
            <w14:solidFill>
              <w14:schemeClr w14:val="tx1"/>
            </w14:solidFill>
          </w14:textFill>
        </w:rPr>
        <w:t xml:space="preserve">——靠近开口处（或窗户）室内某倍频带的声压级或 A 声级，dB； </w:t>
      </w:r>
    </w:p>
    <w:p w14:paraId="64E4EAF4">
      <w:pPr>
        <w:adjustRightInd w:val="0"/>
        <w:snapToGrid w:val="0"/>
        <w:spacing w:line="360" w:lineRule="auto"/>
        <w:ind w:firstLine="1200" w:firstLineChars="500"/>
        <w:rPr>
          <w:color w:val="000000" w:themeColor="text1"/>
          <w:sz w:val="24"/>
          <w14:textFill>
            <w14:solidFill>
              <w14:schemeClr w14:val="tx1"/>
            </w14:solidFill>
          </w14:textFill>
        </w:rPr>
      </w:pPr>
      <w:r>
        <w:rPr>
          <w:i/>
          <w:iCs/>
          <w:color w:val="000000" w:themeColor="text1"/>
          <w:sz w:val="24"/>
          <w14:textFill>
            <w14:solidFill>
              <w14:schemeClr w14:val="tx1"/>
            </w14:solidFill>
          </w14:textFill>
        </w:rPr>
        <w:t>L</w:t>
      </w:r>
      <w:r>
        <w:rPr>
          <w:i/>
          <w:iCs/>
          <w:color w:val="000000" w:themeColor="text1"/>
          <w:sz w:val="24"/>
          <w:vertAlign w:val="subscript"/>
          <w14:textFill>
            <w14:solidFill>
              <w14:schemeClr w14:val="tx1"/>
            </w14:solidFill>
          </w14:textFill>
        </w:rPr>
        <w:t>w</w:t>
      </w:r>
      <w:r>
        <w:rPr>
          <w:color w:val="000000" w:themeColor="text1"/>
          <w:sz w:val="24"/>
          <w14:textFill>
            <w14:solidFill>
              <w14:schemeClr w14:val="tx1"/>
            </w14:solidFill>
          </w14:textFill>
        </w:rPr>
        <w:t xml:space="preserve">——点声源声功率级（A 计权或倍频带），dB； </w:t>
      </w:r>
    </w:p>
    <w:p w14:paraId="3D167745">
      <w:pPr>
        <w:adjustRightInd w:val="0"/>
        <w:snapToGrid w:val="0"/>
        <w:spacing w:line="360" w:lineRule="auto"/>
        <w:ind w:firstLine="1200" w:firstLineChars="500"/>
        <w:rPr>
          <w:color w:val="000000" w:themeColor="text1"/>
          <w:sz w:val="24"/>
          <w14:textFill>
            <w14:solidFill>
              <w14:schemeClr w14:val="tx1"/>
            </w14:solidFill>
          </w14:textFill>
        </w:rPr>
      </w:pPr>
      <w:r>
        <w:rPr>
          <w:i/>
          <w:iCs/>
          <w:color w:val="000000" w:themeColor="text1"/>
          <w:sz w:val="24"/>
          <w14:textFill>
            <w14:solidFill>
              <w14:schemeClr w14:val="tx1"/>
            </w14:solidFill>
          </w14:textFill>
        </w:rPr>
        <w:t>Q</w:t>
      </w:r>
      <w:r>
        <w:rPr>
          <w:color w:val="000000" w:themeColor="text1"/>
          <w:sz w:val="24"/>
          <w14:textFill>
            <w14:solidFill>
              <w14:schemeClr w14:val="tx1"/>
            </w14:solidFill>
          </w14:textFill>
        </w:rPr>
        <w:t>——指向性因数；通常对无指向性声源，当声源放在房间中心时，</w:t>
      </w:r>
      <w:r>
        <w:rPr>
          <w:i/>
          <w:iCs/>
          <w:color w:val="000000" w:themeColor="text1"/>
          <w:sz w:val="24"/>
          <w14:textFill>
            <w14:solidFill>
              <w14:schemeClr w14:val="tx1"/>
            </w14:solidFill>
          </w14:textFill>
        </w:rPr>
        <w:t>Q</w:t>
      </w:r>
      <w:r>
        <w:rPr>
          <w:color w:val="000000" w:themeColor="text1"/>
          <w:sz w:val="24"/>
          <w14:textFill>
            <w14:solidFill>
              <w14:schemeClr w14:val="tx1"/>
            </w14:solidFill>
          </w14:textFill>
        </w:rPr>
        <w:t>=1；当放在一面墙的中心时，</w:t>
      </w:r>
      <w:r>
        <w:rPr>
          <w:i/>
          <w:iCs/>
          <w:color w:val="000000" w:themeColor="text1"/>
          <w:sz w:val="24"/>
          <w14:textFill>
            <w14:solidFill>
              <w14:schemeClr w14:val="tx1"/>
            </w14:solidFill>
          </w14:textFill>
        </w:rPr>
        <w:t>Q</w:t>
      </w:r>
      <w:r>
        <w:rPr>
          <w:color w:val="000000" w:themeColor="text1"/>
          <w:sz w:val="24"/>
          <w14:textFill>
            <w14:solidFill>
              <w14:schemeClr w14:val="tx1"/>
            </w14:solidFill>
          </w14:textFill>
        </w:rPr>
        <w:t>=2；当放在两面墙夹角处时，</w:t>
      </w:r>
      <w:r>
        <w:rPr>
          <w:i/>
          <w:iCs/>
          <w:color w:val="000000" w:themeColor="text1"/>
          <w:sz w:val="24"/>
          <w14:textFill>
            <w14:solidFill>
              <w14:schemeClr w14:val="tx1"/>
            </w14:solidFill>
          </w14:textFill>
        </w:rPr>
        <w:t>Q</w:t>
      </w:r>
      <w:r>
        <w:rPr>
          <w:color w:val="000000" w:themeColor="text1"/>
          <w:sz w:val="24"/>
          <w14:textFill>
            <w14:solidFill>
              <w14:schemeClr w14:val="tx1"/>
            </w14:solidFill>
          </w14:textFill>
        </w:rPr>
        <w:t>=4；当放在三面墙夹角处时，</w:t>
      </w:r>
      <w:r>
        <w:rPr>
          <w:i/>
          <w:iCs/>
          <w:color w:val="000000" w:themeColor="text1"/>
          <w:sz w:val="24"/>
          <w14:textFill>
            <w14:solidFill>
              <w14:schemeClr w14:val="tx1"/>
            </w14:solidFill>
          </w14:textFill>
        </w:rPr>
        <w:t>Q</w:t>
      </w:r>
      <w:r>
        <w:rPr>
          <w:color w:val="000000" w:themeColor="text1"/>
          <w:sz w:val="24"/>
          <w14:textFill>
            <w14:solidFill>
              <w14:schemeClr w14:val="tx1"/>
            </w14:solidFill>
          </w14:textFill>
        </w:rPr>
        <w:t>=8；</w:t>
      </w:r>
    </w:p>
    <w:p w14:paraId="21EA69BC">
      <w:pPr>
        <w:adjustRightInd w:val="0"/>
        <w:snapToGrid w:val="0"/>
        <w:spacing w:line="360" w:lineRule="auto"/>
        <w:ind w:firstLine="1200" w:firstLineChars="500"/>
        <w:rPr>
          <w:color w:val="000000" w:themeColor="text1"/>
          <w:sz w:val="24"/>
          <w14:textFill>
            <w14:solidFill>
              <w14:schemeClr w14:val="tx1"/>
            </w14:solidFill>
          </w14:textFill>
        </w:rPr>
      </w:pPr>
      <w:r>
        <w:rPr>
          <w:i/>
          <w:iCs/>
          <w:color w:val="000000" w:themeColor="text1"/>
          <w:sz w:val="24"/>
          <w14:textFill>
            <w14:solidFill>
              <w14:schemeClr w14:val="tx1"/>
            </w14:solidFill>
          </w14:textFill>
        </w:rPr>
        <w:t>R</w:t>
      </w:r>
      <w:r>
        <w:rPr>
          <w:color w:val="000000" w:themeColor="text1"/>
          <w:sz w:val="24"/>
          <w14:textFill>
            <w14:solidFill>
              <w14:schemeClr w14:val="tx1"/>
            </w14:solidFill>
          </w14:textFill>
        </w:rPr>
        <w:t>——房间常数；</w:t>
      </w:r>
      <w:r>
        <w:rPr>
          <w:i/>
          <w:iCs/>
          <w:color w:val="000000" w:themeColor="text1"/>
          <w:sz w:val="24"/>
          <w14:textFill>
            <w14:solidFill>
              <w14:schemeClr w14:val="tx1"/>
            </w14:solidFill>
          </w14:textFill>
        </w:rPr>
        <w:t>R</w:t>
      </w:r>
      <w:r>
        <w:rPr>
          <w:color w:val="000000" w:themeColor="text1"/>
          <w:sz w:val="24"/>
          <w14:textFill>
            <w14:solidFill>
              <w14:schemeClr w14:val="tx1"/>
            </w14:solidFill>
          </w14:textFill>
        </w:rPr>
        <w:t>=</w:t>
      </w:r>
      <w:r>
        <w:rPr>
          <w:i/>
          <w:iCs/>
          <w:color w:val="000000" w:themeColor="text1"/>
          <w:sz w:val="24"/>
          <w14:textFill>
            <w14:solidFill>
              <w14:schemeClr w14:val="tx1"/>
            </w14:solidFill>
          </w14:textFill>
        </w:rPr>
        <w:t>Sα</w:t>
      </w:r>
      <w:r>
        <w:rPr>
          <w:color w:val="000000" w:themeColor="text1"/>
          <w:sz w:val="24"/>
          <w14:textFill>
            <w14:solidFill>
              <w14:schemeClr w14:val="tx1"/>
            </w14:solidFill>
          </w14:textFill>
        </w:rPr>
        <w:t>/(1—</w:t>
      </w:r>
      <w:r>
        <w:rPr>
          <w:i/>
          <w:iCs/>
          <w:color w:val="000000" w:themeColor="text1"/>
          <w:sz w:val="24"/>
          <w14:textFill>
            <w14:solidFill>
              <w14:schemeClr w14:val="tx1"/>
            </w14:solidFill>
          </w14:textFill>
        </w:rPr>
        <w:t>α</w:t>
      </w:r>
      <w:r>
        <w:rPr>
          <w:color w:val="000000" w:themeColor="text1"/>
          <w:sz w:val="24"/>
          <w14:textFill>
            <w14:solidFill>
              <w14:schemeClr w14:val="tx1"/>
            </w14:solidFill>
          </w14:textFill>
        </w:rPr>
        <w:t>)，</w:t>
      </w:r>
      <w:r>
        <w:rPr>
          <w:i/>
          <w:iCs/>
          <w:color w:val="000000" w:themeColor="text1"/>
          <w:sz w:val="24"/>
          <w14:textFill>
            <w14:solidFill>
              <w14:schemeClr w14:val="tx1"/>
            </w14:solidFill>
          </w14:textFill>
        </w:rPr>
        <w:t>S</w:t>
      </w:r>
      <w:r>
        <w:rPr>
          <w:color w:val="000000" w:themeColor="text1"/>
          <w:sz w:val="24"/>
          <w14:textFill>
            <w14:solidFill>
              <w14:schemeClr w14:val="tx1"/>
            </w14:solidFill>
          </w14:textFill>
        </w:rPr>
        <w:t>为房间内表面面积，m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w:t>
      </w:r>
      <w:r>
        <w:rPr>
          <w:i/>
          <w:iCs/>
          <w:color w:val="000000" w:themeColor="text1"/>
          <w:sz w:val="24"/>
          <w14:textFill>
            <w14:solidFill>
              <w14:schemeClr w14:val="tx1"/>
            </w14:solidFill>
          </w14:textFill>
        </w:rPr>
        <w:t>α</w:t>
      </w:r>
      <w:r>
        <w:rPr>
          <w:color w:val="000000" w:themeColor="text1"/>
          <w:sz w:val="24"/>
          <w14:textFill>
            <w14:solidFill>
              <w14:schemeClr w14:val="tx1"/>
            </w14:solidFill>
          </w14:textFill>
        </w:rPr>
        <w:t xml:space="preserve">为平均吸声系数； </w:t>
      </w:r>
    </w:p>
    <w:p w14:paraId="38E718B4">
      <w:pPr>
        <w:adjustRightInd w:val="0"/>
        <w:snapToGrid w:val="0"/>
        <w:spacing w:line="360" w:lineRule="auto"/>
        <w:ind w:firstLine="1200" w:firstLineChars="500"/>
        <w:rPr>
          <w:color w:val="000000" w:themeColor="text1"/>
          <w:sz w:val="24"/>
          <w14:textFill>
            <w14:solidFill>
              <w14:schemeClr w14:val="tx1"/>
            </w14:solidFill>
          </w14:textFill>
        </w:rPr>
      </w:pPr>
      <w:r>
        <w:rPr>
          <w:i/>
          <w:iCs/>
          <w:color w:val="000000" w:themeColor="text1"/>
          <w:sz w:val="24"/>
          <w14:textFill>
            <w14:solidFill>
              <w14:schemeClr w14:val="tx1"/>
            </w14:solidFill>
          </w14:textFill>
        </w:rPr>
        <w:t>r</w:t>
      </w:r>
      <w:r>
        <w:rPr>
          <w:color w:val="000000" w:themeColor="text1"/>
          <w:sz w:val="24"/>
          <w14:textFill>
            <w14:solidFill>
              <w14:schemeClr w14:val="tx1"/>
            </w14:solidFill>
          </w14:textFill>
        </w:rPr>
        <w:t xml:space="preserve">——声源到靠近围护结构某点处的距离，m。 </w:t>
      </w:r>
    </w:p>
    <w:p w14:paraId="14AB8F34">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然后按下式计算出所有室内声源在围护结构处产生的</w:t>
      </w:r>
      <w:r>
        <w:rPr>
          <w:i/>
          <w:iCs/>
          <w:color w:val="000000" w:themeColor="text1"/>
          <w:sz w:val="24"/>
          <w14:textFill>
            <w14:solidFill>
              <w14:schemeClr w14:val="tx1"/>
            </w14:solidFill>
          </w14:textFill>
        </w:rPr>
        <w:t>i</w:t>
      </w:r>
      <w:r>
        <w:rPr>
          <w:color w:val="000000" w:themeColor="text1"/>
          <w:sz w:val="24"/>
          <w14:textFill>
            <w14:solidFill>
              <w14:schemeClr w14:val="tx1"/>
            </w14:solidFill>
          </w14:textFill>
        </w:rPr>
        <w:t>倍频带叠加声压级：</w:t>
      </w:r>
    </w:p>
    <w:p w14:paraId="14A18141">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1942465" cy="642620"/>
            <wp:effectExtent l="0" t="0" r="8255" b="12700"/>
            <wp:docPr id="195424186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1864" name="图片 11"/>
                    <pic:cNvPicPr>
                      <a:picLocks noChangeAspect="1"/>
                    </pic:cNvPicPr>
                  </pic:nvPicPr>
                  <pic:blipFill>
                    <a:blip r:embed="rId100"/>
                    <a:stretch>
                      <a:fillRect/>
                    </a:stretch>
                  </pic:blipFill>
                  <pic:spPr>
                    <a:xfrm>
                      <a:off x="0" y="0"/>
                      <a:ext cx="1942465" cy="642620"/>
                    </a:xfrm>
                    <a:prstGeom prst="rect">
                      <a:avLst/>
                    </a:prstGeom>
                    <a:noFill/>
                    <a:ln>
                      <a:noFill/>
                    </a:ln>
                  </pic:spPr>
                </pic:pic>
              </a:graphicData>
            </a:graphic>
          </wp:inline>
        </w:drawing>
      </w:r>
    </w:p>
    <w:p w14:paraId="12E8596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i/>
          <w:iCs/>
          <w:color w:val="000000" w:themeColor="text1"/>
          <w:sz w:val="24"/>
          <w14:textFill>
            <w14:solidFill>
              <w14:schemeClr w14:val="tx1"/>
            </w14:solidFill>
          </w14:textFill>
        </w:rPr>
        <w:t>L</w:t>
      </w:r>
      <w:r>
        <w:rPr>
          <w:i/>
          <w:iCs/>
          <w:color w:val="000000" w:themeColor="text1"/>
          <w:sz w:val="24"/>
          <w:vertAlign w:val="subscript"/>
          <w14:textFill>
            <w14:solidFill>
              <w14:schemeClr w14:val="tx1"/>
            </w14:solidFill>
          </w14:textFill>
        </w:rPr>
        <w:t>p1i</w:t>
      </w:r>
      <w:r>
        <w:rPr>
          <w:color w:val="000000" w:themeColor="text1"/>
          <w:sz w:val="24"/>
          <w14:textFill>
            <w14:solidFill>
              <w14:schemeClr w14:val="tx1"/>
            </w14:solidFill>
          </w14:textFill>
        </w:rPr>
        <w:t>(</w:t>
      </w:r>
      <w:r>
        <w:rPr>
          <w:i/>
          <w:iCs/>
          <w:color w:val="000000" w:themeColor="text1"/>
          <w:sz w:val="24"/>
          <w14:textFill>
            <w14:solidFill>
              <w14:schemeClr w14:val="tx1"/>
            </w14:solidFill>
          </w14:textFill>
        </w:rPr>
        <w:t>T</w:t>
      </w:r>
      <w:r>
        <w:rPr>
          <w:color w:val="000000" w:themeColor="text1"/>
          <w:sz w:val="24"/>
          <w14:textFill>
            <w14:solidFill>
              <w14:schemeClr w14:val="tx1"/>
            </w14:solidFill>
          </w14:textFill>
        </w:rPr>
        <w:t>)——靠近围护结构处室内</w:t>
      </w:r>
      <w:r>
        <w:rPr>
          <w:i/>
          <w:iCs/>
          <w:color w:val="000000" w:themeColor="text1"/>
          <w:sz w:val="24"/>
          <w14:textFill>
            <w14:solidFill>
              <w14:schemeClr w14:val="tx1"/>
            </w14:solidFill>
          </w14:textFill>
        </w:rPr>
        <w:t>N</w:t>
      </w:r>
      <w:r>
        <w:rPr>
          <w:color w:val="000000" w:themeColor="text1"/>
          <w:sz w:val="24"/>
          <w14:textFill>
            <w14:solidFill>
              <w14:schemeClr w14:val="tx1"/>
            </w14:solidFill>
          </w14:textFill>
        </w:rPr>
        <w:t>个声源</w:t>
      </w:r>
      <w:r>
        <w:rPr>
          <w:i/>
          <w:iCs/>
          <w:color w:val="000000" w:themeColor="text1"/>
          <w:sz w:val="24"/>
          <w14:textFill>
            <w14:solidFill>
              <w14:schemeClr w14:val="tx1"/>
            </w14:solidFill>
          </w14:textFill>
        </w:rPr>
        <w:t>i</w:t>
      </w:r>
      <w:r>
        <w:rPr>
          <w:color w:val="000000" w:themeColor="text1"/>
          <w:sz w:val="24"/>
          <w14:textFill>
            <w14:solidFill>
              <w14:schemeClr w14:val="tx1"/>
            </w14:solidFill>
          </w14:textFill>
        </w:rPr>
        <w:t xml:space="preserve">倍频带的叠加声压级，dB； </w:t>
      </w:r>
    </w:p>
    <w:p w14:paraId="76BAA67F">
      <w:pPr>
        <w:adjustRightInd w:val="0"/>
        <w:snapToGrid w:val="0"/>
        <w:spacing w:line="360" w:lineRule="auto"/>
        <w:ind w:firstLine="1200" w:firstLineChars="500"/>
        <w:rPr>
          <w:color w:val="000000" w:themeColor="text1"/>
          <w:sz w:val="24"/>
          <w14:textFill>
            <w14:solidFill>
              <w14:schemeClr w14:val="tx1"/>
            </w14:solidFill>
          </w14:textFill>
        </w:rPr>
      </w:pPr>
      <w:r>
        <w:rPr>
          <w:i/>
          <w:iCs/>
          <w:color w:val="000000" w:themeColor="text1"/>
          <w:sz w:val="24"/>
          <w14:textFill>
            <w14:solidFill>
              <w14:schemeClr w14:val="tx1"/>
            </w14:solidFill>
          </w14:textFill>
        </w:rPr>
        <w:t>L</w:t>
      </w:r>
      <w:r>
        <w:rPr>
          <w:i/>
          <w:iCs/>
          <w:color w:val="000000" w:themeColor="text1"/>
          <w:sz w:val="24"/>
          <w:vertAlign w:val="subscript"/>
          <w14:textFill>
            <w14:solidFill>
              <w14:schemeClr w14:val="tx1"/>
            </w14:solidFill>
          </w14:textFill>
        </w:rPr>
        <w:t>p1ij</w:t>
      </w:r>
      <w:r>
        <w:rPr>
          <w:color w:val="000000" w:themeColor="text1"/>
          <w:sz w:val="24"/>
          <w14:textFill>
            <w14:solidFill>
              <w14:schemeClr w14:val="tx1"/>
            </w14:solidFill>
          </w14:textFill>
        </w:rPr>
        <w:t>——室内</w:t>
      </w:r>
      <w:r>
        <w:rPr>
          <w:i/>
          <w:iCs/>
          <w:color w:val="000000" w:themeColor="text1"/>
          <w:sz w:val="24"/>
          <w14:textFill>
            <w14:solidFill>
              <w14:schemeClr w14:val="tx1"/>
            </w14:solidFill>
          </w14:textFill>
        </w:rPr>
        <w:t>j</w:t>
      </w:r>
      <w:r>
        <w:rPr>
          <w:color w:val="000000" w:themeColor="text1"/>
          <w:sz w:val="24"/>
          <w14:textFill>
            <w14:solidFill>
              <w14:schemeClr w14:val="tx1"/>
            </w14:solidFill>
          </w14:textFill>
        </w:rPr>
        <w:t>声源</w:t>
      </w:r>
      <w:r>
        <w:rPr>
          <w:i/>
          <w:iCs/>
          <w:color w:val="000000" w:themeColor="text1"/>
          <w:sz w:val="24"/>
          <w14:textFill>
            <w14:solidFill>
              <w14:schemeClr w14:val="tx1"/>
            </w14:solidFill>
          </w14:textFill>
        </w:rPr>
        <w:t>i</w:t>
      </w:r>
      <w:r>
        <w:rPr>
          <w:color w:val="000000" w:themeColor="text1"/>
          <w:sz w:val="24"/>
          <w14:textFill>
            <w14:solidFill>
              <w14:schemeClr w14:val="tx1"/>
            </w14:solidFill>
          </w14:textFill>
        </w:rPr>
        <w:t xml:space="preserve">倍频带的声压级，dB； </w:t>
      </w:r>
    </w:p>
    <w:p w14:paraId="71924D6B">
      <w:pPr>
        <w:adjustRightInd w:val="0"/>
        <w:snapToGrid w:val="0"/>
        <w:spacing w:line="360" w:lineRule="auto"/>
        <w:ind w:firstLine="1200" w:firstLineChars="500"/>
        <w:rPr>
          <w:color w:val="000000" w:themeColor="text1"/>
          <w:sz w:val="24"/>
          <w14:textFill>
            <w14:solidFill>
              <w14:schemeClr w14:val="tx1"/>
            </w14:solidFill>
          </w14:textFill>
        </w:rPr>
      </w:pPr>
      <w:r>
        <w:rPr>
          <w:i/>
          <w:iCs/>
          <w:color w:val="000000" w:themeColor="text1"/>
          <w:sz w:val="24"/>
          <w14:textFill>
            <w14:solidFill>
              <w14:schemeClr w14:val="tx1"/>
            </w14:solidFill>
          </w14:textFill>
        </w:rPr>
        <w:t>N</w:t>
      </w:r>
      <w:r>
        <w:rPr>
          <w:color w:val="000000" w:themeColor="text1"/>
          <w:sz w:val="24"/>
          <w14:textFill>
            <w14:solidFill>
              <w14:schemeClr w14:val="tx1"/>
            </w14:solidFill>
          </w14:textFill>
        </w:rPr>
        <w:t xml:space="preserve">——室内声源总数。 </w:t>
      </w:r>
    </w:p>
    <w:p w14:paraId="14B108A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然后按下式将室外声源的声压级和透过面积换算成等效的室外声源，计算出中心位置位于透声面积（</w:t>
      </w:r>
      <w:r>
        <w:rPr>
          <w:i/>
          <w:iCs/>
          <w:color w:val="000000" w:themeColor="text1"/>
          <w:sz w:val="24"/>
          <w14:textFill>
            <w14:solidFill>
              <w14:schemeClr w14:val="tx1"/>
            </w14:solidFill>
          </w14:textFill>
        </w:rPr>
        <w:t>S</w:t>
      </w:r>
      <w:r>
        <w:rPr>
          <w:color w:val="000000" w:themeColor="text1"/>
          <w:sz w:val="24"/>
          <w14:textFill>
            <w14:solidFill>
              <w14:schemeClr w14:val="tx1"/>
            </w14:solidFill>
          </w14:textFill>
        </w:rPr>
        <w:t>）处的等效声源的倍频带声功率级。</w:t>
      </w:r>
    </w:p>
    <w:p w14:paraId="66A65944">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1781175" cy="323850"/>
            <wp:effectExtent l="0" t="0" r="1905" b="1143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01"/>
                    <a:stretch>
                      <a:fillRect/>
                    </a:stretch>
                  </pic:blipFill>
                  <pic:spPr>
                    <a:xfrm>
                      <a:off x="0" y="0"/>
                      <a:ext cx="1781175" cy="323850"/>
                    </a:xfrm>
                    <a:prstGeom prst="rect">
                      <a:avLst/>
                    </a:prstGeom>
                    <a:noFill/>
                    <a:ln>
                      <a:noFill/>
                    </a:ln>
                  </pic:spPr>
                </pic:pic>
              </a:graphicData>
            </a:graphic>
          </wp:inline>
        </w:drawing>
      </w:r>
    </w:p>
    <w:p w14:paraId="16BB7B0B">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w:t>
      </w:r>
      <w:r>
        <w:rPr>
          <w:i/>
          <w:iCs/>
          <w:color w:val="000000" w:themeColor="text1"/>
          <w:sz w:val="24"/>
          <w14:textFill>
            <w14:solidFill>
              <w14:schemeClr w14:val="tx1"/>
            </w14:solidFill>
          </w14:textFill>
        </w:rPr>
        <w:t>L</w:t>
      </w:r>
      <w:r>
        <w:rPr>
          <w:i/>
          <w:iCs/>
          <w:color w:val="000000" w:themeColor="text1"/>
          <w:sz w:val="24"/>
          <w:vertAlign w:val="subscript"/>
          <w14:textFill>
            <w14:solidFill>
              <w14:schemeClr w14:val="tx1"/>
            </w14:solidFill>
          </w14:textFill>
        </w:rPr>
        <w:t>w</w:t>
      </w:r>
      <w:r>
        <w:rPr>
          <w:color w:val="000000" w:themeColor="text1"/>
          <w:sz w:val="24"/>
          <w14:textFill>
            <w14:solidFill>
              <w14:schemeClr w14:val="tx1"/>
            </w14:solidFill>
          </w14:textFill>
        </w:rPr>
        <w:t>——中心位置位于透声面积（</w:t>
      </w:r>
      <w:r>
        <w:rPr>
          <w:i/>
          <w:iCs/>
          <w:color w:val="000000" w:themeColor="text1"/>
          <w:sz w:val="24"/>
          <w14:textFill>
            <w14:solidFill>
              <w14:schemeClr w14:val="tx1"/>
            </w14:solidFill>
          </w14:textFill>
        </w:rPr>
        <w:t>S</w:t>
      </w:r>
      <w:r>
        <w:rPr>
          <w:color w:val="000000" w:themeColor="text1"/>
          <w:sz w:val="24"/>
          <w14:textFill>
            <w14:solidFill>
              <w14:schemeClr w14:val="tx1"/>
            </w14:solidFill>
          </w14:textFill>
        </w:rPr>
        <w:t xml:space="preserve">）处的等效声源的倍频带声功率级，dB； </w:t>
      </w:r>
    </w:p>
    <w:p w14:paraId="316C19B5">
      <w:pPr>
        <w:adjustRightInd w:val="0"/>
        <w:snapToGrid w:val="0"/>
        <w:spacing w:line="360" w:lineRule="auto"/>
        <w:ind w:firstLine="1200" w:firstLineChars="500"/>
        <w:rPr>
          <w:color w:val="000000" w:themeColor="text1"/>
          <w:sz w:val="24"/>
          <w14:textFill>
            <w14:solidFill>
              <w14:schemeClr w14:val="tx1"/>
            </w14:solidFill>
          </w14:textFill>
        </w:rPr>
      </w:pPr>
      <w:r>
        <w:rPr>
          <w:i/>
          <w:iCs/>
          <w:color w:val="000000" w:themeColor="text1"/>
          <w:sz w:val="24"/>
          <w14:textFill>
            <w14:solidFill>
              <w14:schemeClr w14:val="tx1"/>
            </w14:solidFill>
          </w14:textFill>
        </w:rPr>
        <w:t>L</w:t>
      </w:r>
      <w:r>
        <w:rPr>
          <w:i/>
          <w:iCs/>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w:t>
      </w:r>
      <w:r>
        <w:rPr>
          <w:i/>
          <w:iCs/>
          <w:color w:val="000000" w:themeColor="text1"/>
          <w:sz w:val="24"/>
          <w14:textFill>
            <w14:solidFill>
              <w14:schemeClr w14:val="tx1"/>
            </w14:solidFill>
          </w14:textFill>
        </w:rPr>
        <w:t>T</w:t>
      </w:r>
      <w:r>
        <w:rPr>
          <w:color w:val="000000" w:themeColor="text1"/>
          <w:sz w:val="24"/>
          <w14:textFill>
            <w14:solidFill>
              <w14:schemeClr w14:val="tx1"/>
            </w14:solidFill>
          </w14:textFill>
        </w:rPr>
        <w:t xml:space="preserve">)——靠近围护结构处室外声源的声压级，dB； </w:t>
      </w:r>
    </w:p>
    <w:p w14:paraId="1B22FDE3">
      <w:pPr>
        <w:adjustRightInd w:val="0"/>
        <w:snapToGrid w:val="0"/>
        <w:spacing w:line="360" w:lineRule="auto"/>
        <w:ind w:firstLine="1200" w:firstLineChars="500"/>
        <w:rPr>
          <w:color w:val="000000" w:themeColor="text1"/>
          <w:sz w:val="24"/>
          <w14:textFill>
            <w14:solidFill>
              <w14:schemeClr w14:val="tx1"/>
            </w14:solidFill>
          </w14:textFill>
        </w:rPr>
      </w:pPr>
      <w:r>
        <w:rPr>
          <w:i/>
          <w:iCs/>
          <w:color w:val="000000" w:themeColor="text1"/>
          <w:sz w:val="24"/>
          <w14:textFill>
            <w14:solidFill>
              <w14:schemeClr w14:val="tx1"/>
            </w14:solidFill>
          </w14:textFill>
        </w:rPr>
        <w:t>S</w:t>
      </w:r>
      <w:r>
        <w:rPr>
          <w:color w:val="000000" w:themeColor="text1"/>
          <w:sz w:val="24"/>
          <w14:textFill>
            <w14:solidFill>
              <w14:schemeClr w14:val="tx1"/>
            </w14:solidFill>
          </w14:textFill>
        </w:rPr>
        <w:t>——透声面积，m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w:t>
      </w:r>
    </w:p>
    <w:p w14:paraId="2872ABBB">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然后按室外声源预测方法计算预测点处的 A 声级。</w:t>
      </w:r>
    </w:p>
    <w:p w14:paraId="5232FC9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③工业企业噪声计算</w:t>
      </w:r>
    </w:p>
    <w:p w14:paraId="0911675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设第i个室外声源在预测点产生的A声级为LAi，在T时间内该声源工作时间为ti；第j个等效室外声源在预测点产生的A声级为LAj，在T时间内该声源工作时间为tj，则拟建工程声源对预测点产生的贡献值（Leqg）为：</w:t>
      </w:r>
    </w:p>
    <w:p w14:paraId="7BB6C581">
      <w:pPr>
        <w:spacing w:line="360" w:lineRule="auto"/>
        <w:jc w:val="center"/>
        <w:rPr>
          <w:color w:val="000000" w:themeColor="text1"/>
          <w:sz w:val="24"/>
          <w14:textFill>
            <w14:solidFill>
              <w14:schemeClr w14:val="tx1"/>
            </w14:solidFill>
          </w14:textFill>
        </w:rPr>
      </w:pPr>
      <w:r>
        <w:rPr>
          <w:color w:val="000000" w:themeColor="text1"/>
          <w:position w:val="-34"/>
          <w:sz w:val="24"/>
          <w14:textFill>
            <w14:solidFill>
              <w14:schemeClr w14:val="tx1"/>
            </w14:solidFill>
          </w14:textFill>
        </w:rPr>
        <w:object>
          <v:shape id="_x0000_i1038" o:spt="75" type="#_x0000_t75" style="height:40pt;width:204pt;" o:ole="t" filled="f" o:preferrelative="t" stroked="f" coordsize="21600,21600">
            <v:path/>
            <v:fill on="f" focussize="0,0"/>
            <v:stroke on="f" joinstyle="miter"/>
            <v:imagedata r:id="rId103" o:title=""/>
            <o:lock v:ext="edit" aspectratio="t"/>
            <w10:wrap type="none"/>
            <w10:anchorlock/>
          </v:shape>
          <o:OLEObject Type="Embed" ProgID="Equation.3" ShapeID="_x0000_i1038" DrawAspect="Content" ObjectID="_1468075738" r:id="rId102">
            <o:LockedField>false</o:LockedField>
          </o:OLEObject>
        </w:object>
      </w:r>
    </w:p>
    <w:p w14:paraId="2DC3CF9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——建设项目声源在预测点产生的噪声贡献值，dB；</w:t>
      </w:r>
    </w:p>
    <w:p w14:paraId="4BFF92B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T——用于计算等效声级的时间，s；</w:t>
      </w:r>
    </w:p>
    <w:p w14:paraId="26AC85E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Ai</w:t>
      </w:r>
      <w:r>
        <w:rPr>
          <w:color w:val="000000" w:themeColor="text1"/>
          <w:sz w:val="24"/>
          <w14:textFill>
            <w14:solidFill>
              <w14:schemeClr w14:val="tx1"/>
            </w14:solidFill>
          </w14:textFill>
        </w:rPr>
        <w:t>——i声源在预测点产生的等效连续A声级，dB；</w:t>
      </w:r>
    </w:p>
    <w:p w14:paraId="43996EF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Aj</w:t>
      </w:r>
      <w:r>
        <w:rPr>
          <w:color w:val="000000" w:themeColor="text1"/>
          <w:sz w:val="24"/>
          <w14:textFill>
            <w14:solidFill>
              <w14:schemeClr w14:val="tx1"/>
            </w14:solidFill>
          </w14:textFill>
        </w:rPr>
        <w:t>——j声源在预测点产生的等效连续A声级，dB；</w:t>
      </w:r>
    </w:p>
    <w:p w14:paraId="7043E71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N——室外声源个数；</w:t>
      </w:r>
    </w:p>
    <w:p w14:paraId="7804DE2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M——等效室外声源个数；</w:t>
      </w:r>
    </w:p>
    <w:p w14:paraId="6DCC648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t</w:t>
      </w:r>
      <w:r>
        <w:rPr>
          <w:color w:val="000000" w:themeColor="text1"/>
          <w:sz w:val="24"/>
          <w:vertAlign w:val="subscript"/>
          <w14:textFill>
            <w14:solidFill>
              <w14:schemeClr w14:val="tx1"/>
            </w14:solidFill>
          </w14:textFill>
        </w:rPr>
        <w:t>i</w:t>
      </w:r>
      <w:r>
        <w:rPr>
          <w:color w:val="000000" w:themeColor="text1"/>
          <w:sz w:val="24"/>
          <w14:textFill>
            <w14:solidFill>
              <w14:schemeClr w14:val="tx1"/>
            </w14:solidFill>
          </w14:textFill>
        </w:rPr>
        <w:t>——在T时间内i声源工作时间，s；</w:t>
      </w:r>
    </w:p>
    <w:p w14:paraId="553A46F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t</w:t>
      </w:r>
      <w:r>
        <w:rPr>
          <w:color w:val="000000" w:themeColor="text1"/>
          <w:sz w:val="24"/>
          <w:vertAlign w:val="subscript"/>
          <w14:textFill>
            <w14:solidFill>
              <w14:schemeClr w14:val="tx1"/>
            </w14:solidFill>
          </w14:textFill>
        </w:rPr>
        <w:t>j</w:t>
      </w:r>
      <w:r>
        <w:rPr>
          <w:color w:val="000000" w:themeColor="text1"/>
          <w:sz w:val="24"/>
          <w14:textFill>
            <w14:solidFill>
              <w14:schemeClr w14:val="tx1"/>
            </w14:solidFill>
          </w14:textFill>
        </w:rPr>
        <w:t>——在T时间内j声源工作时间，s；</w:t>
      </w:r>
    </w:p>
    <w:p w14:paraId="37C1788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④预测值计算</w:t>
      </w:r>
    </w:p>
    <w:p w14:paraId="1439A41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噪声预测值（L</w:t>
      </w:r>
      <w:r>
        <w:rPr>
          <w:color w:val="000000" w:themeColor="text1"/>
          <w:sz w:val="24"/>
          <w:vertAlign w:val="subscript"/>
          <w14:textFill>
            <w14:solidFill>
              <w14:schemeClr w14:val="tx1"/>
            </w14:solidFill>
          </w14:textFill>
        </w:rPr>
        <w:t>eq</w:t>
      </w:r>
      <w:r>
        <w:rPr>
          <w:color w:val="000000" w:themeColor="text1"/>
          <w:sz w:val="24"/>
          <w14:textFill>
            <w14:solidFill>
              <w14:schemeClr w14:val="tx1"/>
            </w14:solidFill>
          </w14:textFill>
        </w:rPr>
        <w:t>）计算公式为：</w:t>
      </w:r>
    </w:p>
    <w:p w14:paraId="0259DAE9">
      <w:pPr>
        <w:spacing w:line="360" w:lineRule="auto"/>
        <w:jc w:val="center"/>
        <w:rPr>
          <w:color w:val="000000" w:themeColor="text1"/>
          <w:sz w:val="24"/>
          <w14:textFill>
            <w14:solidFill>
              <w14:schemeClr w14:val="tx1"/>
            </w14:solidFill>
          </w14:textFill>
        </w:rPr>
      </w:pPr>
      <w:r>
        <w:rPr>
          <w:color w:val="000000" w:themeColor="text1"/>
          <w:position w:val="-14"/>
          <w:sz w:val="24"/>
          <w14:textFill>
            <w14:solidFill>
              <w14:schemeClr w14:val="tx1"/>
            </w14:solidFill>
          </w14:textFill>
        </w:rPr>
        <w:object>
          <v:shape id="_x0000_i1039" o:spt="75" type="#_x0000_t75" style="height:21.35pt;width:134.65pt;" o:ole="t" filled="f" o:preferrelative="t" stroked="f" coordsize="21600,21600">
            <v:path/>
            <v:fill on="f" focussize="0,0"/>
            <v:stroke on="f" joinstyle="miter"/>
            <v:imagedata r:id="rId105" o:title=""/>
            <o:lock v:ext="edit" aspectratio="t"/>
            <w10:wrap type="none"/>
            <w10:anchorlock/>
          </v:shape>
          <o:OLEObject Type="Embed" ProgID="Equation.3" ShapeID="_x0000_i1039" DrawAspect="Content" ObjectID="_1468075739" r:id="rId104">
            <o:LockedField>false</o:LockedField>
          </o:OLEObject>
        </w:object>
      </w:r>
    </w:p>
    <w:p w14:paraId="4C2FBF1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eq</w:t>
      </w:r>
      <w:r>
        <w:rPr>
          <w:color w:val="000000" w:themeColor="text1"/>
          <w:sz w:val="24"/>
          <w14:textFill>
            <w14:solidFill>
              <w14:schemeClr w14:val="tx1"/>
            </w14:solidFill>
          </w14:textFill>
        </w:rPr>
        <w:t>——预测点的噪声预测值，dB；</w:t>
      </w:r>
    </w:p>
    <w:p w14:paraId="5EC3844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eqg</w:t>
      </w:r>
      <w:r>
        <w:rPr>
          <w:color w:val="000000" w:themeColor="text1"/>
          <w:sz w:val="24"/>
          <w14:textFill>
            <w14:solidFill>
              <w14:schemeClr w14:val="tx1"/>
            </w14:solidFill>
          </w14:textFill>
        </w:rPr>
        <w:t>——建设项目声源在预测点产生的噪声贡献值，dB；</w:t>
      </w:r>
    </w:p>
    <w:p w14:paraId="0DB70A0A">
      <w:pPr>
        <w:pStyle w:val="86"/>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eqb</w:t>
      </w:r>
      <w:r>
        <w:rPr>
          <w:color w:val="000000" w:themeColor="text1"/>
          <w:sz w:val="24"/>
          <w14:textFill>
            <w14:solidFill>
              <w14:schemeClr w14:val="tx1"/>
            </w14:solidFill>
          </w14:textFill>
        </w:rPr>
        <w:t>——预测点的背景噪声值，dB。</w:t>
      </w:r>
    </w:p>
    <w:p w14:paraId="4208DE7A">
      <w:pPr>
        <w:pStyle w:val="34"/>
        <w:ind w:left="420" w:firstLine="482"/>
        <w:outlineLvl w:val="3"/>
        <w:rPr>
          <w:b/>
          <w:bCs/>
          <w:color w:val="000000" w:themeColor="text1"/>
          <w:sz w:val="28"/>
          <w:szCs w:val="28"/>
          <w14:textFill>
            <w14:solidFill>
              <w14:schemeClr w14:val="tx1"/>
            </w14:solidFill>
          </w14:textFill>
        </w:rPr>
      </w:pPr>
      <w:r>
        <w:rPr>
          <w:b/>
          <w:bCs/>
          <w:color w:val="000000" w:themeColor="text1"/>
          <w:sz w:val="24"/>
          <w14:textFill>
            <w14:solidFill>
              <w14:schemeClr w14:val="tx1"/>
            </w14:solidFill>
          </w14:textFill>
        </w:rPr>
        <w:t>5.2.3.3噪声环境影响预测</w:t>
      </w:r>
    </w:p>
    <w:p w14:paraId="694BB4AD">
      <w:pPr>
        <w:pStyle w:val="86"/>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根据本项目噪声源的分布，对厂址的厂界四周噪声进行预测计算，与所执行的标准进行比较。本项目等声值线图及预测结果如下。</w:t>
      </w:r>
    </w:p>
    <w:p w14:paraId="190FD77E">
      <w:pPr>
        <w:pStyle w:val="86"/>
        <w:ind w:firstLine="0" w:firstLineChars="0"/>
        <w:jc w:val="center"/>
        <w:rPr>
          <w:color w:val="000000" w:themeColor="text1"/>
          <w:sz w:val="24"/>
          <w14:textFill>
            <w14:solidFill>
              <w14:schemeClr w14:val="tx1"/>
            </w14:solidFill>
          </w14:textFill>
        </w:rPr>
      </w:pPr>
      <w:r>
        <w:drawing>
          <wp:anchor distT="0" distB="0" distL="114300" distR="114300" simplePos="0" relativeHeight="251670528" behindDoc="0" locked="0" layoutInCell="1" allowOverlap="1">
            <wp:simplePos x="0" y="0"/>
            <wp:positionH relativeFrom="column">
              <wp:posOffset>3894455</wp:posOffset>
            </wp:positionH>
            <wp:positionV relativeFrom="paragraph">
              <wp:posOffset>925195</wp:posOffset>
            </wp:positionV>
            <wp:extent cx="982345" cy="396240"/>
            <wp:effectExtent l="0" t="0" r="8890" b="4445"/>
            <wp:wrapNone/>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449"/>
                    <pic:cNvPicPr>
                      <a:picLocks noChangeAspect="1"/>
                    </pic:cNvPicPr>
                  </pic:nvPicPr>
                  <pic:blipFill>
                    <a:blip r:embed="rId106">
                      <a:extLst>
                        <a:ext uri="{28A0092B-C50C-407E-A947-70E740481C1C}">
                          <a14:useLocalDpi xmlns:a14="http://schemas.microsoft.com/office/drawing/2010/main" val="0"/>
                        </a:ext>
                      </a:extLst>
                    </a:blip>
                    <a:stretch>
                      <a:fillRect/>
                    </a:stretch>
                  </pic:blipFill>
                  <pic:spPr>
                    <a:xfrm>
                      <a:off x="0" y="0"/>
                      <a:ext cx="982133" cy="395988"/>
                    </a:xfrm>
                    <a:prstGeom prst="rect">
                      <a:avLst/>
                    </a:prstGeom>
                  </pic:spPr>
                </pic:pic>
              </a:graphicData>
            </a:graphic>
          </wp:anchor>
        </w:drawing>
      </w:r>
      <w:r>
        <w:drawing>
          <wp:inline distT="0" distB="0" distL="0" distR="0">
            <wp:extent cx="5731510" cy="3747770"/>
            <wp:effectExtent l="0" t="0" r="2540" b="508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图片 459"/>
                    <pic:cNvPicPr>
                      <a:picLocks noChangeAspect="1"/>
                    </pic:cNvPicPr>
                  </pic:nvPicPr>
                  <pic:blipFill>
                    <a:blip r:embed="rId107"/>
                    <a:stretch>
                      <a:fillRect/>
                    </a:stretch>
                  </pic:blipFill>
                  <pic:spPr>
                    <a:xfrm>
                      <a:off x="0" y="0"/>
                      <a:ext cx="5731510" cy="3747770"/>
                    </a:xfrm>
                    <a:prstGeom prst="rect">
                      <a:avLst/>
                    </a:prstGeom>
                  </pic:spPr>
                </pic:pic>
              </a:graphicData>
            </a:graphic>
          </wp:inline>
        </w:drawing>
      </w:r>
    </w:p>
    <w:p w14:paraId="7B62DDA9">
      <w:pPr>
        <w:pStyle w:val="34"/>
        <w:ind w:firstLine="0" w:firstLineChars="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图</w:t>
      </w:r>
      <w:r>
        <w:rPr>
          <w:b/>
          <w:bCs/>
          <w:color w:val="000000" w:themeColor="text1"/>
          <w:szCs w:val="21"/>
          <w14:textFill>
            <w14:solidFill>
              <w14:schemeClr w14:val="tx1"/>
            </w14:solidFill>
          </w14:textFill>
        </w:rPr>
        <w:t xml:space="preserve">5.2-13-1 </w:t>
      </w:r>
      <w:r>
        <w:rPr>
          <w:rFonts w:hint="eastAsia"/>
          <w:b/>
          <w:bCs/>
          <w:color w:val="000000" w:themeColor="text1"/>
          <w:szCs w:val="21"/>
          <w14:textFill>
            <w14:solidFill>
              <w14:schemeClr w14:val="tx1"/>
            </w14:solidFill>
          </w14:textFill>
        </w:rPr>
        <w:t>百花养殖场区运营期昼间等声级线图</w:t>
      </w:r>
    </w:p>
    <w:p w14:paraId="5377BC6E">
      <w:r>
        <w:drawing>
          <wp:anchor distT="0" distB="0" distL="114300" distR="114300" simplePos="0" relativeHeight="251672576" behindDoc="0" locked="0" layoutInCell="1" allowOverlap="1">
            <wp:simplePos x="0" y="0"/>
            <wp:positionH relativeFrom="column">
              <wp:posOffset>3884930</wp:posOffset>
            </wp:positionH>
            <wp:positionV relativeFrom="paragraph">
              <wp:posOffset>954405</wp:posOffset>
            </wp:positionV>
            <wp:extent cx="982345" cy="396240"/>
            <wp:effectExtent l="0" t="0" r="8890" b="4445"/>
            <wp:wrapNone/>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pic:cNvPicPr>
                      <a:picLocks noChangeAspect="1"/>
                    </pic:cNvPicPr>
                  </pic:nvPicPr>
                  <pic:blipFill>
                    <a:blip r:embed="rId106">
                      <a:extLst>
                        <a:ext uri="{28A0092B-C50C-407E-A947-70E740481C1C}">
                          <a14:useLocalDpi xmlns:a14="http://schemas.microsoft.com/office/drawing/2010/main" val="0"/>
                        </a:ext>
                      </a:extLst>
                    </a:blip>
                    <a:stretch>
                      <a:fillRect/>
                    </a:stretch>
                  </pic:blipFill>
                  <pic:spPr>
                    <a:xfrm>
                      <a:off x="0" y="0"/>
                      <a:ext cx="982133" cy="395988"/>
                    </a:xfrm>
                    <a:prstGeom prst="rect">
                      <a:avLst/>
                    </a:prstGeom>
                  </pic:spPr>
                </pic:pic>
              </a:graphicData>
            </a:graphic>
          </wp:anchor>
        </w:drawing>
      </w:r>
      <w:r>
        <w:drawing>
          <wp:inline distT="0" distB="0" distL="0" distR="0">
            <wp:extent cx="5731510" cy="3756660"/>
            <wp:effectExtent l="0" t="0" r="254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461"/>
                    <pic:cNvPicPr>
                      <a:picLocks noChangeAspect="1"/>
                    </pic:cNvPicPr>
                  </pic:nvPicPr>
                  <pic:blipFill>
                    <a:blip r:embed="rId108"/>
                    <a:stretch>
                      <a:fillRect/>
                    </a:stretch>
                  </pic:blipFill>
                  <pic:spPr>
                    <a:xfrm>
                      <a:off x="0" y="0"/>
                      <a:ext cx="5731510" cy="3756660"/>
                    </a:xfrm>
                    <a:prstGeom prst="rect">
                      <a:avLst/>
                    </a:prstGeom>
                  </pic:spPr>
                </pic:pic>
              </a:graphicData>
            </a:graphic>
          </wp:inline>
        </w:drawing>
      </w:r>
    </w:p>
    <w:p w14:paraId="1546F205">
      <w:pPr>
        <w:pStyle w:val="34"/>
        <w:ind w:firstLine="0" w:firstLineChars="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图</w:t>
      </w:r>
      <w:r>
        <w:rPr>
          <w:b/>
          <w:bCs/>
          <w:color w:val="000000" w:themeColor="text1"/>
          <w:szCs w:val="21"/>
          <w14:textFill>
            <w14:solidFill>
              <w14:schemeClr w14:val="tx1"/>
            </w14:solidFill>
          </w14:textFill>
        </w:rPr>
        <w:t xml:space="preserve">5.2-13-2 </w:t>
      </w:r>
      <w:r>
        <w:rPr>
          <w:rFonts w:hint="eastAsia"/>
          <w:b/>
          <w:bCs/>
          <w:color w:val="000000" w:themeColor="text1"/>
          <w:szCs w:val="21"/>
          <w14:textFill>
            <w14:solidFill>
              <w14:schemeClr w14:val="tx1"/>
            </w14:solidFill>
          </w14:textFill>
        </w:rPr>
        <w:t>百花养殖场区运营期夜间等声级线图</w:t>
      </w:r>
    </w:p>
    <w:p w14:paraId="3576FD12">
      <w:pPr>
        <w:pStyle w:val="34"/>
        <w:ind w:firstLine="0" w:firstLineChars="0"/>
        <w:jc w:val="center"/>
        <w:rPr>
          <w:b/>
          <w:bCs/>
          <w:color w:val="000000" w:themeColor="text1"/>
          <w:szCs w:val="21"/>
          <w14:textFill>
            <w14:solidFill>
              <w14:schemeClr w14:val="tx1"/>
            </w14:solidFill>
          </w14:textFill>
        </w:rPr>
      </w:pPr>
      <w:r>
        <w:drawing>
          <wp:inline distT="0" distB="0" distL="0" distR="0">
            <wp:extent cx="5731510" cy="3464560"/>
            <wp:effectExtent l="0" t="0" r="2540" b="2540"/>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48"/>
                    <pic:cNvPicPr>
                      <a:picLocks noChangeAspect="1"/>
                    </pic:cNvPicPr>
                  </pic:nvPicPr>
                  <pic:blipFill>
                    <a:blip r:embed="rId109"/>
                    <a:stretch>
                      <a:fillRect/>
                    </a:stretch>
                  </pic:blipFill>
                  <pic:spPr>
                    <a:xfrm>
                      <a:off x="0" y="0"/>
                      <a:ext cx="5731510" cy="3464560"/>
                    </a:xfrm>
                    <a:prstGeom prst="rect">
                      <a:avLst/>
                    </a:prstGeom>
                  </pic:spPr>
                </pic:pic>
              </a:graphicData>
            </a:graphic>
          </wp:inline>
        </w:drawing>
      </w:r>
    </w:p>
    <w:p w14:paraId="57A1C8C4">
      <w:pPr>
        <w:pStyle w:val="34"/>
        <w:ind w:firstLine="0" w:firstLineChars="0"/>
        <w:jc w:val="center"/>
        <w:rPr>
          <w:b/>
          <w:bCs/>
          <w:color w:val="000000" w:themeColor="text1"/>
          <w:szCs w:val="21"/>
          <w14:textFill>
            <w14:solidFill>
              <w14:schemeClr w14:val="tx1"/>
            </w14:solidFill>
          </w14:textFill>
        </w:rPr>
      </w:pPr>
      <w:bookmarkStart w:id="808" w:name="OLE_LINK204"/>
      <w:bookmarkStart w:id="809" w:name="OLE_LINK205"/>
      <w:r>
        <w:rPr>
          <w:rFonts w:hint="eastAsia"/>
          <w:b/>
          <w:bCs/>
          <w:color w:val="000000" w:themeColor="text1"/>
          <w:szCs w:val="21"/>
          <w14:textFill>
            <w14:solidFill>
              <w14:schemeClr w14:val="tx1"/>
            </w14:solidFill>
          </w14:textFill>
        </w:rPr>
        <w:t>图</w:t>
      </w:r>
      <w:r>
        <w:rPr>
          <w:b/>
          <w:bCs/>
          <w:color w:val="000000" w:themeColor="text1"/>
          <w:szCs w:val="21"/>
          <w14:textFill>
            <w14:solidFill>
              <w14:schemeClr w14:val="tx1"/>
            </w14:solidFill>
          </w14:textFill>
        </w:rPr>
        <w:t xml:space="preserve">5.2-14-1 </w:t>
      </w:r>
      <w:r>
        <w:rPr>
          <w:rFonts w:hint="eastAsia"/>
          <w:b/>
          <w:bCs/>
          <w:color w:val="000000" w:themeColor="text1"/>
          <w:szCs w:val="21"/>
          <w14:textFill>
            <w14:solidFill>
              <w14:schemeClr w14:val="tx1"/>
            </w14:solidFill>
          </w14:textFill>
        </w:rPr>
        <w:t>塘坝养殖场区运营期昼间等声级线图</w:t>
      </w:r>
    </w:p>
    <w:bookmarkEnd w:id="808"/>
    <w:bookmarkEnd w:id="809"/>
    <w:p w14:paraId="119C7F6C">
      <w:r>
        <w:drawing>
          <wp:inline distT="0" distB="0" distL="0" distR="0">
            <wp:extent cx="5731510" cy="4057650"/>
            <wp:effectExtent l="0" t="0" r="254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57"/>
                    <pic:cNvPicPr>
                      <a:picLocks noChangeAspect="1"/>
                    </pic:cNvPicPr>
                  </pic:nvPicPr>
                  <pic:blipFill>
                    <a:blip r:embed="rId110"/>
                    <a:stretch>
                      <a:fillRect/>
                    </a:stretch>
                  </pic:blipFill>
                  <pic:spPr>
                    <a:xfrm>
                      <a:off x="0" y="0"/>
                      <a:ext cx="5731510" cy="4057650"/>
                    </a:xfrm>
                    <a:prstGeom prst="rect">
                      <a:avLst/>
                    </a:prstGeom>
                  </pic:spPr>
                </pic:pic>
              </a:graphicData>
            </a:graphic>
          </wp:inline>
        </w:drawing>
      </w:r>
    </w:p>
    <w:p w14:paraId="775CB9FC">
      <w:pPr>
        <w:pStyle w:val="34"/>
        <w:ind w:firstLine="0" w:firstLineChars="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图</w:t>
      </w:r>
      <w:r>
        <w:rPr>
          <w:b/>
          <w:bCs/>
          <w:color w:val="000000" w:themeColor="text1"/>
          <w:szCs w:val="21"/>
          <w14:textFill>
            <w14:solidFill>
              <w14:schemeClr w14:val="tx1"/>
            </w14:solidFill>
          </w14:textFill>
        </w:rPr>
        <w:t xml:space="preserve">5.2-14-2 </w:t>
      </w:r>
      <w:r>
        <w:rPr>
          <w:rFonts w:hint="eastAsia"/>
          <w:b/>
          <w:bCs/>
          <w:color w:val="000000" w:themeColor="text1"/>
          <w:szCs w:val="21"/>
          <w14:textFill>
            <w14:solidFill>
              <w14:schemeClr w14:val="tx1"/>
            </w14:solidFill>
          </w14:textFill>
        </w:rPr>
        <w:t>塘坝养殖场区运营期夜间等声级线图</w:t>
      </w:r>
    </w:p>
    <w:p w14:paraId="4D3B053A">
      <w:r>
        <w:drawing>
          <wp:inline distT="0" distB="0" distL="0" distR="0">
            <wp:extent cx="5731510" cy="4046855"/>
            <wp:effectExtent l="0" t="0" r="2540" b="0"/>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图片 463"/>
                    <pic:cNvPicPr>
                      <a:picLocks noChangeAspect="1"/>
                    </pic:cNvPicPr>
                  </pic:nvPicPr>
                  <pic:blipFill>
                    <a:blip r:embed="rId111"/>
                    <a:stretch>
                      <a:fillRect/>
                    </a:stretch>
                  </pic:blipFill>
                  <pic:spPr>
                    <a:xfrm>
                      <a:off x="0" y="0"/>
                      <a:ext cx="5731510" cy="4046855"/>
                    </a:xfrm>
                    <a:prstGeom prst="rect">
                      <a:avLst/>
                    </a:prstGeom>
                  </pic:spPr>
                </pic:pic>
              </a:graphicData>
            </a:graphic>
          </wp:inline>
        </w:drawing>
      </w:r>
    </w:p>
    <w:p w14:paraId="67D41615">
      <w:pPr>
        <w:pStyle w:val="34"/>
        <w:ind w:firstLine="0" w:firstLineChars="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图</w:t>
      </w:r>
      <w:r>
        <w:rPr>
          <w:b/>
          <w:bCs/>
          <w:color w:val="000000" w:themeColor="text1"/>
          <w:szCs w:val="21"/>
          <w14:textFill>
            <w14:solidFill>
              <w14:schemeClr w14:val="tx1"/>
            </w14:solidFill>
          </w14:textFill>
        </w:rPr>
        <w:t>5.2-15-1 始宁</w:t>
      </w:r>
      <w:r>
        <w:rPr>
          <w:rFonts w:hint="eastAsia"/>
          <w:b/>
          <w:bCs/>
          <w:color w:val="000000" w:themeColor="text1"/>
          <w:szCs w:val="21"/>
          <w14:textFill>
            <w14:solidFill>
              <w14:schemeClr w14:val="tx1"/>
            </w14:solidFill>
          </w14:textFill>
        </w:rPr>
        <w:t>养殖场区运营期昼间等声级线图</w:t>
      </w:r>
    </w:p>
    <w:p w14:paraId="5827589A">
      <w:r>
        <w:drawing>
          <wp:inline distT="0" distB="0" distL="0" distR="0">
            <wp:extent cx="5731510" cy="4070985"/>
            <wp:effectExtent l="0" t="0" r="2540" b="5715"/>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图片 465"/>
                    <pic:cNvPicPr>
                      <a:picLocks noChangeAspect="1"/>
                    </pic:cNvPicPr>
                  </pic:nvPicPr>
                  <pic:blipFill>
                    <a:blip r:embed="rId112"/>
                    <a:stretch>
                      <a:fillRect/>
                    </a:stretch>
                  </pic:blipFill>
                  <pic:spPr>
                    <a:xfrm>
                      <a:off x="0" y="0"/>
                      <a:ext cx="5731510" cy="4070985"/>
                    </a:xfrm>
                    <a:prstGeom prst="rect">
                      <a:avLst/>
                    </a:prstGeom>
                  </pic:spPr>
                </pic:pic>
              </a:graphicData>
            </a:graphic>
          </wp:inline>
        </w:drawing>
      </w:r>
    </w:p>
    <w:p w14:paraId="0F984A9E">
      <w:pPr>
        <w:pStyle w:val="34"/>
        <w:ind w:firstLine="0" w:firstLineChars="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图</w:t>
      </w:r>
      <w:r>
        <w:rPr>
          <w:b/>
          <w:bCs/>
          <w:color w:val="000000" w:themeColor="text1"/>
          <w:szCs w:val="21"/>
          <w14:textFill>
            <w14:solidFill>
              <w14:schemeClr w14:val="tx1"/>
            </w14:solidFill>
          </w14:textFill>
        </w:rPr>
        <w:t>5.2-15-2 始宁</w:t>
      </w:r>
      <w:r>
        <w:rPr>
          <w:rFonts w:hint="eastAsia"/>
          <w:b/>
          <w:bCs/>
          <w:color w:val="000000" w:themeColor="text1"/>
          <w:szCs w:val="21"/>
          <w14:textFill>
            <w14:solidFill>
              <w14:schemeClr w14:val="tx1"/>
            </w14:solidFill>
          </w14:textFill>
        </w:rPr>
        <w:t>养殖场区运营期夜间等声级线图</w:t>
      </w:r>
    </w:p>
    <w:p w14:paraId="4B163170">
      <w:r>
        <w:drawing>
          <wp:inline distT="0" distB="0" distL="0" distR="0">
            <wp:extent cx="5731510" cy="3478530"/>
            <wp:effectExtent l="0" t="0" r="2540"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13"/>
                    <a:stretch>
                      <a:fillRect/>
                    </a:stretch>
                  </pic:blipFill>
                  <pic:spPr>
                    <a:xfrm>
                      <a:off x="0" y="0"/>
                      <a:ext cx="5731510" cy="3478530"/>
                    </a:xfrm>
                    <a:prstGeom prst="rect">
                      <a:avLst/>
                    </a:prstGeom>
                  </pic:spPr>
                </pic:pic>
              </a:graphicData>
            </a:graphic>
          </wp:inline>
        </w:drawing>
      </w:r>
    </w:p>
    <w:p w14:paraId="224C186E">
      <w:pPr>
        <w:pStyle w:val="34"/>
        <w:ind w:firstLine="0" w:firstLineChars="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图</w:t>
      </w:r>
      <w:r>
        <w:rPr>
          <w:b/>
          <w:bCs/>
          <w:color w:val="000000" w:themeColor="text1"/>
          <w:szCs w:val="21"/>
          <w14:textFill>
            <w14:solidFill>
              <w14:schemeClr w14:val="tx1"/>
            </w14:solidFill>
          </w14:textFill>
        </w:rPr>
        <w:t xml:space="preserve">5.2-16-1 </w:t>
      </w:r>
      <w:r>
        <w:rPr>
          <w:rFonts w:hint="eastAsia"/>
          <w:b/>
          <w:bCs/>
          <w:color w:val="000000" w:themeColor="text1"/>
          <w:szCs w:val="21"/>
          <w14:textFill>
            <w14:solidFill>
              <w14:schemeClr w14:val="tx1"/>
            </w14:solidFill>
          </w14:textFill>
        </w:rPr>
        <w:t>佛龙养殖场区运营期昼间等声级线图</w:t>
      </w:r>
    </w:p>
    <w:p w14:paraId="144325FF">
      <w:r>
        <w:drawing>
          <wp:inline distT="0" distB="0" distL="0" distR="0">
            <wp:extent cx="5731510" cy="3239770"/>
            <wp:effectExtent l="0" t="0" r="2540"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图片 454"/>
                    <pic:cNvPicPr>
                      <a:picLocks noChangeAspect="1"/>
                    </pic:cNvPicPr>
                  </pic:nvPicPr>
                  <pic:blipFill>
                    <a:blip r:embed="rId114"/>
                    <a:stretch>
                      <a:fillRect/>
                    </a:stretch>
                  </pic:blipFill>
                  <pic:spPr>
                    <a:xfrm>
                      <a:off x="0" y="0"/>
                      <a:ext cx="5731510" cy="3239770"/>
                    </a:xfrm>
                    <a:prstGeom prst="rect">
                      <a:avLst/>
                    </a:prstGeom>
                  </pic:spPr>
                </pic:pic>
              </a:graphicData>
            </a:graphic>
          </wp:inline>
        </w:drawing>
      </w:r>
    </w:p>
    <w:p w14:paraId="58216DF7">
      <w:pPr>
        <w:pStyle w:val="34"/>
        <w:ind w:firstLine="0" w:firstLineChars="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图</w:t>
      </w:r>
      <w:r>
        <w:rPr>
          <w:b/>
          <w:bCs/>
          <w:color w:val="000000" w:themeColor="text1"/>
          <w:szCs w:val="21"/>
          <w14:textFill>
            <w14:solidFill>
              <w14:schemeClr w14:val="tx1"/>
            </w14:solidFill>
          </w14:textFill>
        </w:rPr>
        <w:t xml:space="preserve">5.2-16-2 </w:t>
      </w:r>
      <w:r>
        <w:rPr>
          <w:rFonts w:hint="eastAsia"/>
          <w:b/>
          <w:bCs/>
          <w:color w:val="000000" w:themeColor="text1"/>
          <w:szCs w:val="21"/>
          <w14:textFill>
            <w14:solidFill>
              <w14:schemeClr w14:val="tx1"/>
            </w14:solidFill>
          </w14:textFill>
        </w:rPr>
        <w:t>佛龙养殖场区运营期夜间等声级线图</w:t>
      </w:r>
    </w:p>
    <w:p w14:paraId="2551B7AF">
      <w:pPr>
        <w:pStyle w:val="34"/>
        <w:ind w:firstLine="0" w:firstLineChars="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 xml:space="preserve">表5.2-13 </w:t>
      </w:r>
      <w:r>
        <w:rPr>
          <w:rFonts w:hint="eastAsia"/>
          <w:b/>
          <w:bCs/>
          <w:color w:val="000000" w:themeColor="text1"/>
          <w:szCs w:val="21"/>
          <w14:textFill>
            <w14:solidFill>
              <w14:schemeClr w14:val="tx1"/>
            </w14:solidFill>
          </w14:textFill>
        </w:rPr>
        <w:t>工业企业场界及声环境保护目标噪声预测结果与达标分析表（昼间）</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
        <w:gridCol w:w="1207"/>
        <w:gridCol w:w="707"/>
        <w:gridCol w:w="878"/>
        <w:gridCol w:w="490"/>
        <w:gridCol w:w="896"/>
        <w:gridCol w:w="896"/>
        <w:gridCol w:w="1168"/>
        <w:gridCol w:w="896"/>
        <w:gridCol w:w="626"/>
        <w:gridCol w:w="761"/>
      </w:tblGrid>
      <w:tr w14:paraId="490D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vMerge w:val="restart"/>
            <w:shd w:val="clear" w:color="auto" w:fill="auto"/>
            <w:noWrap/>
            <w:vAlign w:val="center"/>
          </w:tcPr>
          <w:p w14:paraId="13195301">
            <w:pPr>
              <w:jc w:val="center"/>
              <w:rPr>
                <w:color w:val="000000"/>
                <w:kern w:val="0"/>
                <w:szCs w:val="21"/>
              </w:rPr>
            </w:pPr>
            <w:r>
              <w:rPr>
                <w:color w:val="000000"/>
                <w:kern w:val="0"/>
                <w:szCs w:val="21"/>
              </w:rPr>
              <w:t>序号</w:t>
            </w:r>
          </w:p>
        </w:tc>
        <w:tc>
          <w:tcPr>
            <w:tcW w:w="669" w:type="pct"/>
            <w:vMerge w:val="restart"/>
            <w:shd w:val="clear" w:color="auto" w:fill="auto"/>
            <w:noWrap/>
            <w:vAlign w:val="center"/>
          </w:tcPr>
          <w:p w14:paraId="4D921751">
            <w:pPr>
              <w:jc w:val="center"/>
              <w:rPr>
                <w:color w:val="000000"/>
                <w:kern w:val="0"/>
                <w:szCs w:val="21"/>
              </w:rPr>
            </w:pPr>
            <w:r>
              <w:rPr>
                <w:color w:val="000000"/>
                <w:kern w:val="0"/>
                <w:szCs w:val="21"/>
              </w:rPr>
              <w:t>名称</w:t>
            </w:r>
          </w:p>
        </w:tc>
        <w:tc>
          <w:tcPr>
            <w:tcW w:w="1151" w:type="pct"/>
            <w:gridSpan w:val="3"/>
            <w:shd w:val="clear" w:color="auto" w:fill="auto"/>
            <w:noWrap/>
            <w:vAlign w:val="center"/>
          </w:tcPr>
          <w:p w14:paraId="789562FA">
            <w:pPr>
              <w:jc w:val="center"/>
              <w:rPr>
                <w:color w:val="000000"/>
                <w:kern w:val="0"/>
                <w:szCs w:val="21"/>
              </w:rPr>
            </w:pPr>
            <w:r>
              <w:rPr>
                <w:color w:val="000000"/>
                <w:kern w:val="0"/>
                <w:szCs w:val="21"/>
              </w:rPr>
              <w:t>空间相对位置</w:t>
            </w:r>
          </w:p>
        </w:tc>
        <w:tc>
          <w:tcPr>
            <w:tcW w:w="497" w:type="pct"/>
            <w:vMerge w:val="restart"/>
            <w:shd w:val="clear" w:color="auto" w:fill="auto"/>
            <w:noWrap/>
            <w:vAlign w:val="center"/>
          </w:tcPr>
          <w:p w14:paraId="160307E2">
            <w:pPr>
              <w:jc w:val="center"/>
              <w:rPr>
                <w:color w:val="000000"/>
                <w:kern w:val="0"/>
                <w:szCs w:val="21"/>
              </w:rPr>
            </w:pPr>
            <w:r>
              <w:rPr>
                <w:color w:val="000000"/>
                <w:kern w:val="0"/>
                <w:szCs w:val="21"/>
              </w:rPr>
              <w:t>贡献值(dB)</w:t>
            </w:r>
          </w:p>
        </w:tc>
        <w:tc>
          <w:tcPr>
            <w:tcW w:w="497" w:type="pct"/>
            <w:vMerge w:val="restart"/>
            <w:shd w:val="clear" w:color="auto" w:fill="auto"/>
            <w:noWrap/>
            <w:vAlign w:val="center"/>
          </w:tcPr>
          <w:p w14:paraId="0D5234B5">
            <w:pPr>
              <w:jc w:val="center"/>
              <w:rPr>
                <w:color w:val="000000"/>
                <w:kern w:val="0"/>
                <w:szCs w:val="21"/>
              </w:rPr>
            </w:pPr>
            <w:r>
              <w:rPr>
                <w:color w:val="000000"/>
                <w:kern w:val="0"/>
                <w:szCs w:val="21"/>
              </w:rPr>
              <w:t>背景值(dB)</w:t>
            </w:r>
          </w:p>
        </w:tc>
        <w:tc>
          <w:tcPr>
            <w:tcW w:w="648" w:type="pct"/>
            <w:vMerge w:val="restart"/>
            <w:shd w:val="clear" w:color="auto" w:fill="auto"/>
            <w:noWrap/>
            <w:vAlign w:val="center"/>
          </w:tcPr>
          <w:p w14:paraId="25BCC1CC">
            <w:pPr>
              <w:jc w:val="center"/>
              <w:rPr>
                <w:color w:val="000000"/>
                <w:kern w:val="0"/>
                <w:szCs w:val="21"/>
              </w:rPr>
            </w:pPr>
            <w:r>
              <w:rPr>
                <w:color w:val="000000"/>
                <w:kern w:val="0"/>
                <w:szCs w:val="21"/>
              </w:rPr>
              <w:t>噪声预测值(dB)</w:t>
            </w:r>
          </w:p>
        </w:tc>
        <w:tc>
          <w:tcPr>
            <w:tcW w:w="497" w:type="pct"/>
            <w:vMerge w:val="restart"/>
            <w:shd w:val="clear" w:color="auto" w:fill="auto"/>
            <w:noWrap/>
            <w:vAlign w:val="center"/>
          </w:tcPr>
          <w:p w14:paraId="556371DF">
            <w:pPr>
              <w:jc w:val="center"/>
              <w:rPr>
                <w:color w:val="000000"/>
                <w:kern w:val="0"/>
                <w:szCs w:val="21"/>
              </w:rPr>
            </w:pPr>
            <w:r>
              <w:rPr>
                <w:color w:val="000000"/>
                <w:kern w:val="0"/>
                <w:szCs w:val="21"/>
              </w:rPr>
              <w:t>功能区类型</w:t>
            </w:r>
          </w:p>
        </w:tc>
        <w:tc>
          <w:tcPr>
            <w:tcW w:w="347" w:type="pct"/>
            <w:vMerge w:val="restart"/>
            <w:shd w:val="clear" w:color="auto" w:fill="auto"/>
            <w:noWrap/>
            <w:vAlign w:val="center"/>
          </w:tcPr>
          <w:p w14:paraId="63144BC8">
            <w:pPr>
              <w:jc w:val="center"/>
              <w:rPr>
                <w:color w:val="000000"/>
                <w:kern w:val="0"/>
                <w:szCs w:val="21"/>
              </w:rPr>
            </w:pPr>
            <w:r>
              <w:rPr>
                <w:color w:val="000000"/>
                <w:kern w:val="0"/>
                <w:szCs w:val="21"/>
              </w:rPr>
              <w:t>标准值</w:t>
            </w:r>
          </w:p>
        </w:tc>
        <w:tc>
          <w:tcPr>
            <w:tcW w:w="422" w:type="pct"/>
            <w:vMerge w:val="restart"/>
            <w:shd w:val="clear" w:color="auto" w:fill="auto"/>
            <w:noWrap/>
            <w:vAlign w:val="center"/>
          </w:tcPr>
          <w:p w14:paraId="1CAC1458">
            <w:pPr>
              <w:jc w:val="center"/>
              <w:rPr>
                <w:color w:val="000000"/>
                <w:kern w:val="0"/>
                <w:szCs w:val="21"/>
              </w:rPr>
            </w:pPr>
            <w:r>
              <w:rPr>
                <w:color w:val="000000"/>
                <w:kern w:val="0"/>
                <w:szCs w:val="21"/>
              </w:rPr>
              <w:t>是否达标</w:t>
            </w:r>
          </w:p>
        </w:tc>
      </w:tr>
      <w:tr w14:paraId="638F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vMerge w:val="continue"/>
            <w:vAlign w:val="center"/>
          </w:tcPr>
          <w:p w14:paraId="3035B2C9">
            <w:pPr>
              <w:jc w:val="center"/>
              <w:rPr>
                <w:color w:val="000000"/>
                <w:kern w:val="0"/>
                <w:szCs w:val="21"/>
              </w:rPr>
            </w:pPr>
          </w:p>
        </w:tc>
        <w:tc>
          <w:tcPr>
            <w:tcW w:w="669" w:type="pct"/>
            <w:vMerge w:val="continue"/>
            <w:vAlign w:val="center"/>
          </w:tcPr>
          <w:p w14:paraId="1718A868">
            <w:pPr>
              <w:jc w:val="center"/>
              <w:rPr>
                <w:color w:val="000000"/>
                <w:kern w:val="0"/>
                <w:szCs w:val="21"/>
              </w:rPr>
            </w:pPr>
          </w:p>
        </w:tc>
        <w:tc>
          <w:tcPr>
            <w:tcW w:w="392" w:type="pct"/>
            <w:shd w:val="clear" w:color="auto" w:fill="auto"/>
            <w:noWrap/>
            <w:vAlign w:val="center"/>
          </w:tcPr>
          <w:p w14:paraId="28015A06">
            <w:pPr>
              <w:jc w:val="center"/>
              <w:rPr>
                <w:color w:val="000000"/>
                <w:kern w:val="0"/>
                <w:szCs w:val="21"/>
              </w:rPr>
            </w:pPr>
            <w:r>
              <w:rPr>
                <w:color w:val="000000"/>
                <w:kern w:val="0"/>
                <w:szCs w:val="21"/>
              </w:rPr>
              <w:t>X(m)</w:t>
            </w:r>
          </w:p>
        </w:tc>
        <w:tc>
          <w:tcPr>
            <w:tcW w:w="487" w:type="pct"/>
            <w:shd w:val="clear" w:color="auto" w:fill="auto"/>
            <w:noWrap/>
            <w:vAlign w:val="center"/>
          </w:tcPr>
          <w:p w14:paraId="56E77384">
            <w:pPr>
              <w:jc w:val="center"/>
              <w:rPr>
                <w:color w:val="000000"/>
                <w:kern w:val="0"/>
                <w:szCs w:val="21"/>
              </w:rPr>
            </w:pPr>
            <w:r>
              <w:rPr>
                <w:color w:val="000000"/>
                <w:kern w:val="0"/>
                <w:szCs w:val="21"/>
              </w:rPr>
              <w:t>Y(m)</w:t>
            </w:r>
          </w:p>
        </w:tc>
        <w:tc>
          <w:tcPr>
            <w:tcW w:w="272" w:type="pct"/>
            <w:shd w:val="clear" w:color="auto" w:fill="auto"/>
            <w:noWrap/>
            <w:vAlign w:val="center"/>
          </w:tcPr>
          <w:p w14:paraId="084778E8">
            <w:pPr>
              <w:jc w:val="center"/>
              <w:rPr>
                <w:color w:val="000000"/>
                <w:kern w:val="0"/>
                <w:szCs w:val="21"/>
              </w:rPr>
            </w:pPr>
            <w:r>
              <w:rPr>
                <w:color w:val="000000"/>
                <w:kern w:val="0"/>
                <w:szCs w:val="21"/>
              </w:rPr>
              <w:t>Z(m)</w:t>
            </w:r>
          </w:p>
        </w:tc>
        <w:tc>
          <w:tcPr>
            <w:tcW w:w="497" w:type="pct"/>
            <w:vMerge w:val="continue"/>
            <w:vAlign w:val="center"/>
          </w:tcPr>
          <w:p w14:paraId="38F6099D">
            <w:pPr>
              <w:jc w:val="center"/>
              <w:rPr>
                <w:color w:val="000000"/>
                <w:kern w:val="0"/>
                <w:szCs w:val="21"/>
              </w:rPr>
            </w:pPr>
          </w:p>
        </w:tc>
        <w:tc>
          <w:tcPr>
            <w:tcW w:w="497" w:type="pct"/>
            <w:vMerge w:val="continue"/>
            <w:vAlign w:val="center"/>
          </w:tcPr>
          <w:p w14:paraId="51DBA1C1">
            <w:pPr>
              <w:jc w:val="center"/>
              <w:rPr>
                <w:color w:val="000000"/>
                <w:kern w:val="0"/>
                <w:szCs w:val="21"/>
              </w:rPr>
            </w:pPr>
          </w:p>
        </w:tc>
        <w:tc>
          <w:tcPr>
            <w:tcW w:w="648" w:type="pct"/>
            <w:vMerge w:val="continue"/>
            <w:vAlign w:val="center"/>
          </w:tcPr>
          <w:p w14:paraId="71D93B28">
            <w:pPr>
              <w:jc w:val="center"/>
              <w:rPr>
                <w:color w:val="000000"/>
                <w:kern w:val="0"/>
                <w:szCs w:val="21"/>
              </w:rPr>
            </w:pPr>
          </w:p>
        </w:tc>
        <w:tc>
          <w:tcPr>
            <w:tcW w:w="497" w:type="pct"/>
            <w:vMerge w:val="continue"/>
            <w:vAlign w:val="center"/>
          </w:tcPr>
          <w:p w14:paraId="35BF69C3">
            <w:pPr>
              <w:jc w:val="center"/>
              <w:rPr>
                <w:color w:val="000000"/>
                <w:kern w:val="0"/>
                <w:szCs w:val="21"/>
              </w:rPr>
            </w:pPr>
          </w:p>
        </w:tc>
        <w:tc>
          <w:tcPr>
            <w:tcW w:w="347" w:type="pct"/>
            <w:vMerge w:val="continue"/>
            <w:vAlign w:val="center"/>
          </w:tcPr>
          <w:p w14:paraId="0B493DFA">
            <w:pPr>
              <w:jc w:val="center"/>
              <w:rPr>
                <w:color w:val="000000"/>
                <w:kern w:val="0"/>
                <w:szCs w:val="21"/>
              </w:rPr>
            </w:pPr>
          </w:p>
        </w:tc>
        <w:tc>
          <w:tcPr>
            <w:tcW w:w="422" w:type="pct"/>
            <w:vMerge w:val="continue"/>
            <w:vAlign w:val="center"/>
          </w:tcPr>
          <w:p w14:paraId="13DB5506">
            <w:pPr>
              <w:jc w:val="center"/>
              <w:rPr>
                <w:color w:val="000000"/>
                <w:kern w:val="0"/>
                <w:szCs w:val="21"/>
              </w:rPr>
            </w:pPr>
          </w:p>
        </w:tc>
      </w:tr>
      <w:tr w14:paraId="6155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1"/>
            <w:shd w:val="clear" w:color="auto" w:fill="auto"/>
            <w:noWrap/>
            <w:vAlign w:val="center"/>
          </w:tcPr>
          <w:p w14:paraId="4731ECC5">
            <w:pPr>
              <w:jc w:val="center"/>
              <w:rPr>
                <w:color w:val="000000"/>
                <w:kern w:val="0"/>
                <w:szCs w:val="21"/>
              </w:rPr>
            </w:pPr>
            <w:r>
              <w:rPr>
                <w:color w:val="000000"/>
                <w:kern w:val="0"/>
                <w:szCs w:val="21"/>
              </w:rPr>
              <w:t>塘坝养殖场区</w:t>
            </w:r>
          </w:p>
        </w:tc>
      </w:tr>
      <w:tr w14:paraId="01BD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3B6BE536">
            <w:pPr>
              <w:jc w:val="center"/>
              <w:rPr>
                <w:color w:val="000000"/>
                <w:kern w:val="0"/>
                <w:szCs w:val="21"/>
              </w:rPr>
            </w:pPr>
            <w:r>
              <w:rPr>
                <w:color w:val="000000"/>
                <w:kern w:val="0"/>
                <w:szCs w:val="21"/>
              </w:rPr>
              <w:t>1</w:t>
            </w:r>
          </w:p>
        </w:tc>
        <w:tc>
          <w:tcPr>
            <w:tcW w:w="669" w:type="pct"/>
            <w:shd w:val="clear" w:color="auto" w:fill="auto"/>
            <w:noWrap/>
            <w:vAlign w:val="center"/>
          </w:tcPr>
          <w:p w14:paraId="35452E39">
            <w:pPr>
              <w:jc w:val="center"/>
              <w:rPr>
                <w:color w:val="000000"/>
                <w:kern w:val="0"/>
                <w:szCs w:val="21"/>
              </w:rPr>
            </w:pPr>
            <w:r>
              <w:rPr>
                <w:color w:val="000000"/>
                <w:kern w:val="0"/>
                <w:szCs w:val="21"/>
              </w:rPr>
              <w:t>东侧场界外</w:t>
            </w:r>
          </w:p>
        </w:tc>
        <w:tc>
          <w:tcPr>
            <w:tcW w:w="392" w:type="pct"/>
            <w:shd w:val="clear" w:color="auto" w:fill="auto"/>
            <w:noWrap/>
            <w:vAlign w:val="center"/>
          </w:tcPr>
          <w:p w14:paraId="3A0AFFDF">
            <w:pPr>
              <w:jc w:val="center"/>
              <w:rPr>
                <w:color w:val="000000"/>
                <w:kern w:val="0"/>
                <w:szCs w:val="21"/>
              </w:rPr>
            </w:pPr>
            <w:r>
              <w:rPr>
                <w:color w:val="000000"/>
                <w:kern w:val="0"/>
                <w:szCs w:val="21"/>
              </w:rPr>
              <w:t>185.05</w:t>
            </w:r>
          </w:p>
        </w:tc>
        <w:tc>
          <w:tcPr>
            <w:tcW w:w="487" w:type="pct"/>
            <w:shd w:val="clear" w:color="auto" w:fill="auto"/>
            <w:noWrap/>
            <w:vAlign w:val="center"/>
          </w:tcPr>
          <w:p w14:paraId="5306EC92">
            <w:pPr>
              <w:jc w:val="center"/>
              <w:rPr>
                <w:color w:val="000000"/>
                <w:kern w:val="0"/>
                <w:szCs w:val="21"/>
              </w:rPr>
            </w:pPr>
            <w:r>
              <w:rPr>
                <w:color w:val="000000"/>
                <w:kern w:val="0"/>
                <w:szCs w:val="21"/>
              </w:rPr>
              <w:t>205.53</w:t>
            </w:r>
          </w:p>
        </w:tc>
        <w:tc>
          <w:tcPr>
            <w:tcW w:w="272" w:type="pct"/>
            <w:shd w:val="clear" w:color="auto" w:fill="auto"/>
            <w:noWrap/>
            <w:vAlign w:val="center"/>
          </w:tcPr>
          <w:p w14:paraId="4BAE7FB8">
            <w:pPr>
              <w:jc w:val="center"/>
              <w:rPr>
                <w:color w:val="000000"/>
                <w:kern w:val="0"/>
                <w:szCs w:val="21"/>
              </w:rPr>
            </w:pPr>
            <w:r>
              <w:rPr>
                <w:color w:val="000000"/>
                <w:kern w:val="0"/>
                <w:szCs w:val="21"/>
              </w:rPr>
              <w:t>1.2</w:t>
            </w:r>
          </w:p>
        </w:tc>
        <w:tc>
          <w:tcPr>
            <w:tcW w:w="497" w:type="pct"/>
            <w:shd w:val="clear" w:color="auto" w:fill="auto"/>
            <w:noWrap/>
            <w:vAlign w:val="center"/>
          </w:tcPr>
          <w:p w14:paraId="00669827">
            <w:pPr>
              <w:jc w:val="center"/>
              <w:rPr>
                <w:color w:val="000000"/>
                <w:kern w:val="0"/>
                <w:szCs w:val="21"/>
              </w:rPr>
            </w:pPr>
            <w:r>
              <w:rPr>
                <w:color w:val="000000"/>
                <w:kern w:val="0"/>
                <w:szCs w:val="21"/>
              </w:rPr>
              <w:t>14.82</w:t>
            </w:r>
          </w:p>
        </w:tc>
        <w:tc>
          <w:tcPr>
            <w:tcW w:w="497" w:type="pct"/>
            <w:shd w:val="clear" w:color="auto" w:fill="auto"/>
            <w:noWrap/>
            <w:vAlign w:val="center"/>
          </w:tcPr>
          <w:p w14:paraId="7AE7CFA1">
            <w:pPr>
              <w:jc w:val="center"/>
              <w:rPr>
                <w:color w:val="000000"/>
                <w:kern w:val="0"/>
                <w:szCs w:val="21"/>
              </w:rPr>
            </w:pPr>
            <w:r>
              <w:rPr>
                <w:color w:val="000000"/>
                <w:kern w:val="0"/>
                <w:szCs w:val="21"/>
              </w:rPr>
              <w:t>48</w:t>
            </w:r>
          </w:p>
        </w:tc>
        <w:tc>
          <w:tcPr>
            <w:tcW w:w="648" w:type="pct"/>
            <w:shd w:val="clear" w:color="auto" w:fill="auto"/>
            <w:noWrap/>
            <w:vAlign w:val="center"/>
          </w:tcPr>
          <w:p w14:paraId="2A154DED">
            <w:pPr>
              <w:jc w:val="center"/>
              <w:rPr>
                <w:color w:val="000000"/>
                <w:kern w:val="0"/>
                <w:szCs w:val="21"/>
              </w:rPr>
            </w:pPr>
            <w:r>
              <w:rPr>
                <w:color w:val="000000"/>
                <w:kern w:val="0"/>
                <w:szCs w:val="21"/>
              </w:rPr>
              <w:t>48</w:t>
            </w:r>
          </w:p>
        </w:tc>
        <w:tc>
          <w:tcPr>
            <w:tcW w:w="497" w:type="pct"/>
            <w:shd w:val="clear" w:color="auto" w:fill="auto"/>
            <w:noWrap/>
            <w:vAlign w:val="center"/>
          </w:tcPr>
          <w:p w14:paraId="0E5B3752">
            <w:pPr>
              <w:jc w:val="center"/>
              <w:rPr>
                <w:color w:val="000000"/>
                <w:kern w:val="0"/>
                <w:szCs w:val="21"/>
              </w:rPr>
            </w:pPr>
            <w:r>
              <w:rPr>
                <w:color w:val="000000"/>
                <w:kern w:val="0"/>
                <w:szCs w:val="21"/>
              </w:rPr>
              <w:t>2类</w:t>
            </w:r>
          </w:p>
        </w:tc>
        <w:tc>
          <w:tcPr>
            <w:tcW w:w="347" w:type="pct"/>
            <w:shd w:val="clear" w:color="auto" w:fill="auto"/>
            <w:noWrap/>
            <w:vAlign w:val="center"/>
          </w:tcPr>
          <w:p w14:paraId="5C65FD6F">
            <w:pPr>
              <w:jc w:val="center"/>
              <w:rPr>
                <w:color w:val="000000"/>
                <w:kern w:val="0"/>
                <w:szCs w:val="21"/>
              </w:rPr>
            </w:pPr>
            <w:r>
              <w:rPr>
                <w:color w:val="000000"/>
                <w:kern w:val="0"/>
                <w:szCs w:val="21"/>
              </w:rPr>
              <w:t>60</w:t>
            </w:r>
          </w:p>
        </w:tc>
        <w:tc>
          <w:tcPr>
            <w:tcW w:w="422" w:type="pct"/>
            <w:shd w:val="clear" w:color="auto" w:fill="auto"/>
            <w:noWrap/>
            <w:vAlign w:val="center"/>
          </w:tcPr>
          <w:p w14:paraId="4FB87173">
            <w:pPr>
              <w:jc w:val="center"/>
              <w:rPr>
                <w:color w:val="000000"/>
                <w:kern w:val="0"/>
                <w:szCs w:val="21"/>
              </w:rPr>
            </w:pPr>
            <w:r>
              <w:rPr>
                <w:color w:val="000000"/>
                <w:kern w:val="0"/>
                <w:szCs w:val="21"/>
              </w:rPr>
              <w:t>是</w:t>
            </w:r>
          </w:p>
        </w:tc>
      </w:tr>
      <w:tr w14:paraId="6609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6A5166BF">
            <w:pPr>
              <w:jc w:val="center"/>
              <w:rPr>
                <w:color w:val="000000"/>
                <w:kern w:val="0"/>
                <w:szCs w:val="21"/>
              </w:rPr>
            </w:pPr>
            <w:r>
              <w:rPr>
                <w:color w:val="000000"/>
                <w:kern w:val="0"/>
                <w:szCs w:val="21"/>
              </w:rPr>
              <w:t>2</w:t>
            </w:r>
          </w:p>
        </w:tc>
        <w:tc>
          <w:tcPr>
            <w:tcW w:w="669" w:type="pct"/>
            <w:shd w:val="clear" w:color="auto" w:fill="auto"/>
            <w:noWrap/>
            <w:vAlign w:val="center"/>
          </w:tcPr>
          <w:p w14:paraId="4FDFA460">
            <w:pPr>
              <w:jc w:val="center"/>
              <w:rPr>
                <w:color w:val="000000"/>
                <w:kern w:val="0"/>
                <w:szCs w:val="21"/>
              </w:rPr>
            </w:pPr>
            <w:r>
              <w:rPr>
                <w:color w:val="000000"/>
                <w:kern w:val="0"/>
                <w:szCs w:val="21"/>
              </w:rPr>
              <w:t>北侧场界外</w:t>
            </w:r>
          </w:p>
        </w:tc>
        <w:tc>
          <w:tcPr>
            <w:tcW w:w="392" w:type="pct"/>
            <w:shd w:val="clear" w:color="auto" w:fill="auto"/>
            <w:noWrap/>
            <w:vAlign w:val="center"/>
          </w:tcPr>
          <w:p w14:paraId="51B1D270">
            <w:pPr>
              <w:jc w:val="center"/>
              <w:rPr>
                <w:color w:val="000000"/>
                <w:kern w:val="0"/>
                <w:szCs w:val="21"/>
              </w:rPr>
            </w:pPr>
            <w:r>
              <w:rPr>
                <w:color w:val="000000"/>
                <w:kern w:val="0"/>
                <w:szCs w:val="21"/>
              </w:rPr>
              <w:t>-146.18</w:t>
            </w:r>
          </w:p>
        </w:tc>
        <w:tc>
          <w:tcPr>
            <w:tcW w:w="487" w:type="pct"/>
            <w:shd w:val="clear" w:color="auto" w:fill="auto"/>
            <w:noWrap/>
            <w:vAlign w:val="center"/>
          </w:tcPr>
          <w:p w14:paraId="2DE2EB2E">
            <w:pPr>
              <w:jc w:val="center"/>
              <w:rPr>
                <w:color w:val="000000"/>
                <w:kern w:val="0"/>
                <w:szCs w:val="21"/>
              </w:rPr>
            </w:pPr>
            <w:r>
              <w:rPr>
                <w:color w:val="000000"/>
                <w:kern w:val="0"/>
                <w:szCs w:val="21"/>
              </w:rPr>
              <w:t>557.36</w:t>
            </w:r>
          </w:p>
        </w:tc>
        <w:tc>
          <w:tcPr>
            <w:tcW w:w="272" w:type="pct"/>
            <w:shd w:val="clear" w:color="auto" w:fill="auto"/>
            <w:noWrap/>
            <w:vAlign w:val="center"/>
          </w:tcPr>
          <w:p w14:paraId="75650B0A">
            <w:pPr>
              <w:jc w:val="center"/>
              <w:rPr>
                <w:color w:val="000000"/>
                <w:kern w:val="0"/>
                <w:szCs w:val="21"/>
              </w:rPr>
            </w:pPr>
            <w:r>
              <w:rPr>
                <w:color w:val="000000"/>
                <w:kern w:val="0"/>
                <w:szCs w:val="21"/>
              </w:rPr>
              <w:t>1.2</w:t>
            </w:r>
          </w:p>
        </w:tc>
        <w:tc>
          <w:tcPr>
            <w:tcW w:w="497" w:type="pct"/>
            <w:shd w:val="clear" w:color="auto" w:fill="auto"/>
            <w:noWrap/>
            <w:vAlign w:val="center"/>
          </w:tcPr>
          <w:p w14:paraId="40657BD7">
            <w:pPr>
              <w:jc w:val="center"/>
              <w:rPr>
                <w:color w:val="000000"/>
                <w:kern w:val="0"/>
                <w:szCs w:val="21"/>
              </w:rPr>
            </w:pPr>
            <w:r>
              <w:rPr>
                <w:color w:val="000000"/>
                <w:kern w:val="0"/>
                <w:szCs w:val="21"/>
              </w:rPr>
              <w:t>13.07</w:t>
            </w:r>
          </w:p>
        </w:tc>
        <w:tc>
          <w:tcPr>
            <w:tcW w:w="497" w:type="pct"/>
            <w:shd w:val="clear" w:color="auto" w:fill="auto"/>
            <w:noWrap/>
            <w:vAlign w:val="center"/>
          </w:tcPr>
          <w:p w14:paraId="104CAEAA">
            <w:pPr>
              <w:jc w:val="center"/>
              <w:rPr>
                <w:color w:val="000000"/>
                <w:kern w:val="0"/>
                <w:szCs w:val="21"/>
              </w:rPr>
            </w:pPr>
            <w:r>
              <w:rPr>
                <w:color w:val="000000"/>
                <w:kern w:val="0"/>
                <w:szCs w:val="21"/>
              </w:rPr>
              <w:t>49.5</w:t>
            </w:r>
          </w:p>
        </w:tc>
        <w:tc>
          <w:tcPr>
            <w:tcW w:w="648" w:type="pct"/>
            <w:shd w:val="clear" w:color="auto" w:fill="auto"/>
            <w:noWrap/>
            <w:vAlign w:val="center"/>
          </w:tcPr>
          <w:p w14:paraId="68D57524">
            <w:pPr>
              <w:jc w:val="center"/>
              <w:rPr>
                <w:color w:val="000000"/>
                <w:kern w:val="0"/>
                <w:szCs w:val="21"/>
              </w:rPr>
            </w:pPr>
            <w:r>
              <w:rPr>
                <w:color w:val="000000"/>
                <w:kern w:val="0"/>
                <w:szCs w:val="21"/>
              </w:rPr>
              <w:t>49.5</w:t>
            </w:r>
          </w:p>
        </w:tc>
        <w:tc>
          <w:tcPr>
            <w:tcW w:w="497" w:type="pct"/>
            <w:shd w:val="clear" w:color="auto" w:fill="auto"/>
            <w:noWrap/>
            <w:vAlign w:val="center"/>
          </w:tcPr>
          <w:p w14:paraId="5FFBC78F">
            <w:pPr>
              <w:jc w:val="center"/>
              <w:rPr>
                <w:color w:val="000000"/>
                <w:kern w:val="0"/>
                <w:szCs w:val="21"/>
              </w:rPr>
            </w:pPr>
            <w:r>
              <w:rPr>
                <w:color w:val="000000"/>
                <w:kern w:val="0"/>
                <w:szCs w:val="21"/>
              </w:rPr>
              <w:t>2类</w:t>
            </w:r>
          </w:p>
        </w:tc>
        <w:tc>
          <w:tcPr>
            <w:tcW w:w="347" w:type="pct"/>
            <w:shd w:val="clear" w:color="auto" w:fill="auto"/>
            <w:noWrap/>
            <w:vAlign w:val="center"/>
          </w:tcPr>
          <w:p w14:paraId="59239EDA">
            <w:pPr>
              <w:jc w:val="center"/>
              <w:rPr>
                <w:color w:val="000000"/>
                <w:kern w:val="0"/>
                <w:szCs w:val="21"/>
              </w:rPr>
            </w:pPr>
            <w:r>
              <w:rPr>
                <w:color w:val="000000"/>
                <w:kern w:val="0"/>
                <w:szCs w:val="21"/>
              </w:rPr>
              <w:t>60</w:t>
            </w:r>
          </w:p>
        </w:tc>
        <w:tc>
          <w:tcPr>
            <w:tcW w:w="422" w:type="pct"/>
            <w:shd w:val="clear" w:color="auto" w:fill="auto"/>
            <w:noWrap/>
            <w:vAlign w:val="center"/>
          </w:tcPr>
          <w:p w14:paraId="4691EC3C">
            <w:pPr>
              <w:jc w:val="center"/>
              <w:rPr>
                <w:color w:val="000000"/>
                <w:kern w:val="0"/>
                <w:szCs w:val="21"/>
              </w:rPr>
            </w:pPr>
            <w:r>
              <w:rPr>
                <w:color w:val="000000"/>
                <w:kern w:val="0"/>
                <w:szCs w:val="21"/>
              </w:rPr>
              <w:t>是</w:t>
            </w:r>
          </w:p>
        </w:tc>
      </w:tr>
      <w:tr w14:paraId="20AB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0FD5DE06">
            <w:pPr>
              <w:jc w:val="center"/>
              <w:rPr>
                <w:color w:val="000000"/>
                <w:kern w:val="0"/>
                <w:szCs w:val="21"/>
              </w:rPr>
            </w:pPr>
            <w:r>
              <w:rPr>
                <w:color w:val="000000"/>
                <w:kern w:val="0"/>
                <w:szCs w:val="21"/>
              </w:rPr>
              <w:t>3</w:t>
            </w:r>
          </w:p>
        </w:tc>
        <w:tc>
          <w:tcPr>
            <w:tcW w:w="669" w:type="pct"/>
            <w:shd w:val="clear" w:color="auto" w:fill="auto"/>
            <w:noWrap/>
            <w:vAlign w:val="center"/>
          </w:tcPr>
          <w:p w14:paraId="1AB345F4">
            <w:pPr>
              <w:jc w:val="center"/>
              <w:rPr>
                <w:color w:val="000000"/>
                <w:kern w:val="0"/>
                <w:szCs w:val="21"/>
              </w:rPr>
            </w:pPr>
            <w:r>
              <w:rPr>
                <w:color w:val="000000"/>
                <w:kern w:val="0"/>
                <w:szCs w:val="21"/>
              </w:rPr>
              <w:t>南侧场界外</w:t>
            </w:r>
          </w:p>
        </w:tc>
        <w:tc>
          <w:tcPr>
            <w:tcW w:w="392" w:type="pct"/>
            <w:shd w:val="clear" w:color="auto" w:fill="auto"/>
            <w:noWrap/>
            <w:vAlign w:val="center"/>
          </w:tcPr>
          <w:p w14:paraId="6A8F56D6">
            <w:pPr>
              <w:jc w:val="center"/>
              <w:rPr>
                <w:color w:val="000000"/>
                <w:kern w:val="0"/>
                <w:szCs w:val="21"/>
              </w:rPr>
            </w:pPr>
            <w:r>
              <w:rPr>
                <w:color w:val="000000"/>
                <w:kern w:val="0"/>
                <w:szCs w:val="21"/>
              </w:rPr>
              <w:t>170.31</w:t>
            </w:r>
          </w:p>
        </w:tc>
        <w:tc>
          <w:tcPr>
            <w:tcW w:w="487" w:type="pct"/>
            <w:shd w:val="clear" w:color="auto" w:fill="auto"/>
            <w:noWrap/>
            <w:vAlign w:val="center"/>
          </w:tcPr>
          <w:p w14:paraId="18034E99">
            <w:pPr>
              <w:jc w:val="center"/>
              <w:rPr>
                <w:color w:val="000000"/>
                <w:kern w:val="0"/>
                <w:szCs w:val="21"/>
              </w:rPr>
            </w:pPr>
            <w:r>
              <w:rPr>
                <w:color w:val="000000"/>
                <w:kern w:val="0"/>
                <w:szCs w:val="21"/>
              </w:rPr>
              <w:t>-72.91</w:t>
            </w:r>
          </w:p>
        </w:tc>
        <w:tc>
          <w:tcPr>
            <w:tcW w:w="272" w:type="pct"/>
            <w:shd w:val="clear" w:color="auto" w:fill="auto"/>
            <w:noWrap/>
            <w:vAlign w:val="center"/>
          </w:tcPr>
          <w:p w14:paraId="51EB0AEA">
            <w:pPr>
              <w:jc w:val="center"/>
              <w:rPr>
                <w:color w:val="000000"/>
                <w:kern w:val="0"/>
                <w:szCs w:val="21"/>
              </w:rPr>
            </w:pPr>
            <w:r>
              <w:rPr>
                <w:color w:val="000000"/>
                <w:kern w:val="0"/>
                <w:szCs w:val="21"/>
              </w:rPr>
              <w:t>1.2</w:t>
            </w:r>
          </w:p>
        </w:tc>
        <w:tc>
          <w:tcPr>
            <w:tcW w:w="497" w:type="pct"/>
            <w:shd w:val="clear" w:color="auto" w:fill="auto"/>
            <w:noWrap/>
            <w:vAlign w:val="center"/>
          </w:tcPr>
          <w:p w14:paraId="410E89DA">
            <w:pPr>
              <w:jc w:val="center"/>
              <w:rPr>
                <w:color w:val="000000"/>
                <w:kern w:val="0"/>
                <w:szCs w:val="21"/>
              </w:rPr>
            </w:pPr>
            <w:r>
              <w:rPr>
                <w:color w:val="000000"/>
                <w:kern w:val="0"/>
                <w:szCs w:val="21"/>
              </w:rPr>
              <w:t>13.82</w:t>
            </w:r>
          </w:p>
        </w:tc>
        <w:tc>
          <w:tcPr>
            <w:tcW w:w="497" w:type="pct"/>
            <w:shd w:val="clear" w:color="auto" w:fill="auto"/>
            <w:noWrap/>
            <w:vAlign w:val="center"/>
          </w:tcPr>
          <w:p w14:paraId="65CB37AD">
            <w:pPr>
              <w:jc w:val="center"/>
              <w:rPr>
                <w:color w:val="000000"/>
                <w:kern w:val="0"/>
                <w:szCs w:val="21"/>
              </w:rPr>
            </w:pPr>
            <w:r>
              <w:rPr>
                <w:color w:val="000000"/>
                <w:kern w:val="0"/>
                <w:szCs w:val="21"/>
              </w:rPr>
              <w:t>50</w:t>
            </w:r>
          </w:p>
        </w:tc>
        <w:tc>
          <w:tcPr>
            <w:tcW w:w="648" w:type="pct"/>
            <w:shd w:val="clear" w:color="auto" w:fill="auto"/>
            <w:noWrap/>
            <w:vAlign w:val="center"/>
          </w:tcPr>
          <w:p w14:paraId="4023CCA0">
            <w:pPr>
              <w:jc w:val="center"/>
              <w:rPr>
                <w:color w:val="000000"/>
                <w:kern w:val="0"/>
                <w:szCs w:val="21"/>
              </w:rPr>
            </w:pPr>
            <w:r>
              <w:rPr>
                <w:color w:val="000000"/>
                <w:kern w:val="0"/>
                <w:szCs w:val="21"/>
              </w:rPr>
              <w:t>50</w:t>
            </w:r>
          </w:p>
        </w:tc>
        <w:tc>
          <w:tcPr>
            <w:tcW w:w="497" w:type="pct"/>
            <w:shd w:val="clear" w:color="auto" w:fill="auto"/>
            <w:noWrap/>
            <w:vAlign w:val="center"/>
          </w:tcPr>
          <w:p w14:paraId="386DFBBB">
            <w:pPr>
              <w:jc w:val="center"/>
              <w:rPr>
                <w:color w:val="000000"/>
                <w:kern w:val="0"/>
                <w:szCs w:val="21"/>
              </w:rPr>
            </w:pPr>
            <w:r>
              <w:rPr>
                <w:color w:val="000000"/>
                <w:kern w:val="0"/>
                <w:szCs w:val="21"/>
              </w:rPr>
              <w:t>2类</w:t>
            </w:r>
          </w:p>
        </w:tc>
        <w:tc>
          <w:tcPr>
            <w:tcW w:w="347" w:type="pct"/>
            <w:shd w:val="clear" w:color="auto" w:fill="auto"/>
            <w:noWrap/>
            <w:vAlign w:val="center"/>
          </w:tcPr>
          <w:p w14:paraId="6E5EF418">
            <w:pPr>
              <w:jc w:val="center"/>
              <w:rPr>
                <w:color w:val="000000"/>
                <w:kern w:val="0"/>
                <w:szCs w:val="21"/>
              </w:rPr>
            </w:pPr>
            <w:r>
              <w:rPr>
                <w:color w:val="000000"/>
                <w:kern w:val="0"/>
                <w:szCs w:val="21"/>
              </w:rPr>
              <w:t>60</w:t>
            </w:r>
          </w:p>
        </w:tc>
        <w:tc>
          <w:tcPr>
            <w:tcW w:w="422" w:type="pct"/>
            <w:shd w:val="clear" w:color="auto" w:fill="auto"/>
            <w:noWrap/>
            <w:vAlign w:val="center"/>
          </w:tcPr>
          <w:p w14:paraId="4BC741A4">
            <w:pPr>
              <w:jc w:val="center"/>
              <w:rPr>
                <w:color w:val="000000"/>
                <w:kern w:val="0"/>
                <w:szCs w:val="21"/>
              </w:rPr>
            </w:pPr>
            <w:r>
              <w:rPr>
                <w:color w:val="000000"/>
                <w:kern w:val="0"/>
                <w:szCs w:val="21"/>
              </w:rPr>
              <w:t>是</w:t>
            </w:r>
          </w:p>
        </w:tc>
      </w:tr>
      <w:tr w14:paraId="6421B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6B825CC3">
            <w:pPr>
              <w:jc w:val="center"/>
              <w:rPr>
                <w:color w:val="000000"/>
                <w:kern w:val="0"/>
                <w:szCs w:val="21"/>
              </w:rPr>
            </w:pPr>
            <w:r>
              <w:rPr>
                <w:color w:val="000000"/>
                <w:kern w:val="0"/>
                <w:szCs w:val="21"/>
              </w:rPr>
              <w:t>4</w:t>
            </w:r>
          </w:p>
        </w:tc>
        <w:tc>
          <w:tcPr>
            <w:tcW w:w="669" w:type="pct"/>
            <w:shd w:val="clear" w:color="auto" w:fill="auto"/>
            <w:noWrap/>
            <w:vAlign w:val="center"/>
          </w:tcPr>
          <w:p w14:paraId="032DA007">
            <w:pPr>
              <w:jc w:val="center"/>
              <w:rPr>
                <w:color w:val="000000"/>
                <w:kern w:val="0"/>
                <w:szCs w:val="21"/>
              </w:rPr>
            </w:pPr>
            <w:r>
              <w:rPr>
                <w:color w:val="000000"/>
                <w:kern w:val="0"/>
                <w:szCs w:val="21"/>
              </w:rPr>
              <w:t>场界北侧居民处</w:t>
            </w:r>
          </w:p>
        </w:tc>
        <w:tc>
          <w:tcPr>
            <w:tcW w:w="392" w:type="pct"/>
            <w:shd w:val="clear" w:color="auto" w:fill="auto"/>
            <w:noWrap/>
            <w:vAlign w:val="center"/>
          </w:tcPr>
          <w:p w14:paraId="0860D156">
            <w:pPr>
              <w:jc w:val="center"/>
              <w:rPr>
                <w:color w:val="000000"/>
                <w:kern w:val="0"/>
                <w:szCs w:val="21"/>
              </w:rPr>
            </w:pPr>
            <w:r>
              <w:rPr>
                <w:color w:val="000000"/>
                <w:kern w:val="0"/>
                <w:szCs w:val="21"/>
              </w:rPr>
              <w:t>-51.48</w:t>
            </w:r>
          </w:p>
        </w:tc>
        <w:tc>
          <w:tcPr>
            <w:tcW w:w="487" w:type="pct"/>
            <w:shd w:val="clear" w:color="auto" w:fill="auto"/>
            <w:noWrap/>
            <w:vAlign w:val="center"/>
          </w:tcPr>
          <w:p w14:paraId="054B8AD8">
            <w:pPr>
              <w:jc w:val="center"/>
              <w:rPr>
                <w:color w:val="000000"/>
                <w:kern w:val="0"/>
                <w:szCs w:val="21"/>
              </w:rPr>
            </w:pPr>
            <w:r>
              <w:rPr>
                <w:color w:val="000000"/>
                <w:kern w:val="0"/>
                <w:szCs w:val="21"/>
              </w:rPr>
              <w:t>597.38</w:t>
            </w:r>
          </w:p>
        </w:tc>
        <w:tc>
          <w:tcPr>
            <w:tcW w:w="272" w:type="pct"/>
            <w:shd w:val="clear" w:color="auto" w:fill="auto"/>
            <w:noWrap/>
            <w:vAlign w:val="center"/>
          </w:tcPr>
          <w:p w14:paraId="3E1A2639">
            <w:pPr>
              <w:jc w:val="center"/>
              <w:rPr>
                <w:color w:val="000000"/>
                <w:kern w:val="0"/>
                <w:szCs w:val="21"/>
              </w:rPr>
            </w:pPr>
            <w:r>
              <w:rPr>
                <w:color w:val="000000"/>
                <w:kern w:val="0"/>
                <w:szCs w:val="21"/>
              </w:rPr>
              <w:t>1.2</w:t>
            </w:r>
          </w:p>
        </w:tc>
        <w:tc>
          <w:tcPr>
            <w:tcW w:w="497" w:type="pct"/>
            <w:shd w:val="clear" w:color="auto" w:fill="auto"/>
            <w:noWrap/>
            <w:vAlign w:val="center"/>
          </w:tcPr>
          <w:p w14:paraId="0C393846">
            <w:pPr>
              <w:jc w:val="center"/>
              <w:rPr>
                <w:color w:val="000000"/>
                <w:kern w:val="0"/>
                <w:szCs w:val="21"/>
              </w:rPr>
            </w:pPr>
            <w:r>
              <w:rPr>
                <w:color w:val="000000"/>
                <w:kern w:val="0"/>
                <w:szCs w:val="21"/>
              </w:rPr>
              <w:t>13.39</w:t>
            </w:r>
          </w:p>
        </w:tc>
        <w:tc>
          <w:tcPr>
            <w:tcW w:w="497" w:type="pct"/>
            <w:shd w:val="clear" w:color="auto" w:fill="auto"/>
            <w:noWrap/>
            <w:vAlign w:val="center"/>
          </w:tcPr>
          <w:p w14:paraId="0A3080AB">
            <w:pPr>
              <w:jc w:val="center"/>
              <w:rPr>
                <w:color w:val="000000"/>
                <w:kern w:val="0"/>
                <w:szCs w:val="21"/>
              </w:rPr>
            </w:pPr>
            <w:r>
              <w:rPr>
                <w:color w:val="000000"/>
                <w:kern w:val="0"/>
                <w:szCs w:val="21"/>
              </w:rPr>
              <w:t>52</w:t>
            </w:r>
          </w:p>
        </w:tc>
        <w:tc>
          <w:tcPr>
            <w:tcW w:w="648" w:type="pct"/>
            <w:shd w:val="clear" w:color="auto" w:fill="auto"/>
            <w:noWrap/>
            <w:vAlign w:val="center"/>
          </w:tcPr>
          <w:p w14:paraId="01C4CC2F">
            <w:pPr>
              <w:jc w:val="center"/>
              <w:rPr>
                <w:color w:val="000000"/>
                <w:kern w:val="0"/>
                <w:szCs w:val="21"/>
              </w:rPr>
            </w:pPr>
            <w:r>
              <w:rPr>
                <w:color w:val="000000"/>
                <w:kern w:val="0"/>
                <w:szCs w:val="21"/>
              </w:rPr>
              <w:t>52</w:t>
            </w:r>
          </w:p>
        </w:tc>
        <w:tc>
          <w:tcPr>
            <w:tcW w:w="497" w:type="pct"/>
            <w:shd w:val="clear" w:color="auto" w:fill="auto"/>
            <w:noWrap/>
            <w:vAlign w:val="center"/>
          </w:tcPr>
          <w:p w14:paraId="75D9D30E">
            <w:pPr>
              <w:jc w:val="center"/>
              <w:rPr>
                <w:color w:val="000000"/>
                <w:kern w:val="0"/>
                <w:szCs w:val="21"/>
              </w:rPr>
            </w:pPr>
            <w:r>
              <w:rPr>
                <w:color w:val="000000"/>
                <w:kern w:val="0"/>
                <w:szCs w:val="21"/>
              </w:rPr>
              <w:t>2类</w:t>
            </w:r>
          </w:p>
        </w:tc>
        <w:tc>
          <w:tcPr>
            <w:tcW w:w="347" w:type="pct"/>
            <w:shd w:val="clear" w:color="auto" w:fill="auto"/>
            <w:noWrap/>
            <w:vAlign w:val="center"/>
          </w:tcPr>
          <w:p w14:paraId="4082B1D4">
            <w:pPr>
              <w:jc w:val="center"/>
              <w:rPr>
                <w:color w:val="000000"/>
                <w:kern w:val="0"/>
                <w:szCs w:val="21"/>
              </w:rPr>
            </w:pPr>
            <w:r>
              <w:rPr>
                <w:color w:val="000000"/>
                <w:kern w:val="0"/>
                <w:szCs w:val="21"/>
              </w:rPr>
              <w:t>60</w:t>
            </w:r>
          </w:p>
        </w:tc>
        <w:tc>
          <w:tcPr>
            <w:tcW w:w="422" w:type="pct"/>
            <w:shd w:val="clear" w:color="auto" w:fill="auto"/>
            <w:noWrap/>
            <w:vAlign w:val="center"/>
          </w:tcPr>
          <w:p w14:paraId="70ECF897">
            <w:pPr>
              <w:jc w:val="center"/>
              <w:rPr>
                <w:color w:val="000000"/>
                <w:kern w:val="0"/>
                <w:szCs w:val="21"/>
              </w:rPr>
            </w:pPr>
            <w:r>
              <w:rPr>
                <w:color w:val="000000"/>
                <w:kern w:val="0"/>
                <w:szCs w:val="21"/>
              </w:rPr>
              <w:t>是</w:t>
            </w:r>
          </w:p>
        </w:tc>
      </w:tr>
      <w:tr w14:paraId="7A9C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7D3F3158">
            <w:pPr>
              <w:jc w:val="center"/>
              <w:rPr>
                <w:color w:val="000000"/>
                <w:kern w:val="0"/>
                <w:szCs w:val="21"/>
              </w:rPr>
            </w:pPr>
            <w:r>
              <w:rPr>
                <w:color w:val="000000"/>
                <w:kern w:val="0"/>
                <w:szCs w:val="21"/>
              </w:rPr>
              <w:t>5</w:t>
            </w:r>
          </w:p>
        </w:tc>
        <w:tc>
          <w:tcPr>
            <w:tcW w:w="669" w:type="pct"/>
            <w:shd w:val="clear" w:color="auto" w:fill="auto"/>
            <w:noWrap/>
            <w:vAlign w:val="center"/>
          </w:tcPr>
          <w:p w14:paraId="7C54FE37">
            <w:pPr>
              <w:jc w:val="center"/>
              <w:rPr>
                <w:color w:val="000000"/>
                <w:kern w:val="0"/>
                <w:szCs w:val="21"/>
              </w:rPr>
            </w:pPr>
            <w:r>
              <w:rPr>
                <w:color w:val="000000"/>
                <w:kern w:val="0"/>
                <w:szCs w:val="21"/>
              </w:rPr>
              <w:t>场界南侧居民处</w:t>
            </w:r>
          </w:p>
        </w:tc>
        <w:tc>
          <w:tcPr>
            <w:tcW w:w="392" w:type="pct"/>
            <w:shd w:val="clear" w:color="auto" w:fill="auto"/>
            <w:noWrap/>
            <w:vAlign w:val="center"/>
          </w:tcPr>
          <w:p w14:paraId="63A990EB">
            <w:pPr>
              <w:jc w:val="center"/>
              <w:rPr>
                <w:color w:val="000000"/>
                <w:kern w:val="0"/>
                <w:szCs w:val="21"/>
              </w:rPr>
            </w:pPr>
            <w:r>
              <w:rPr>
                <w:color w:val="000000"/>
                <w:kern w:val="0"/>
                <w:szCs w:val="21"/>
              </w:rPr>
              <w:t>27.52</w:t>
            </w:r>
          </w:p>
        </w:tc>
        <w:tc>
          <w:tcPr>
            <w:tcW w:w="487" w:type="pct"/>
            <w:shd w:val="clear" w:color="auto" w:fill="auto"/>
            <w:noWrap/>
            <w:vAlign w:val="center"/>
          </w:tcPr>
          <w:p w14:paraId="7B297AD5">
            <w:pPr>
              <w:jc w:val="center"/>
              <w:rPr>
                <w:color w:val="000000"/>
                <w:kern w:val="0"/>
                <w:szCs w:val="21"/>
              </w:rPr>
            </w:pPr>
            <w:r>
              <w:rPr>
                <w:color w:val="000000"/>
                <w:kern w:val="0"/>
                <w:szCs w:val="21"/>
              </w:rPr>
              <w:t>-91.52</w:t>
            </w:r>
          </w:p>
        </w:tc>
        <w:tc>
          <w:tcPr>
            <w:tcW w:w="272" w:type="pct"/>
            <w:shd w:val="clear" w:color="auto" w:fill="auto"/>
            <w:noWrap/>
            <w:vAlign w:val="center"/>
          </w:tcPr>
          <w:p w14:paraId="015A3A10">
            <w:pPr>
              <w:jc w:val="center"/>
              <w:rPr>
                <w:color w:val="000000"/>
                <w:kern w:val="0"/>
                <w:szCs w:val="21"/>
              </w:rPr>
            </w:pPr>
            <w:r>
              <w:rPr>
                <w:color w:val="000000"/>
                <w:kern w:val="0"/>
                <w:szCs w:val="21"/>
              </w:rPr>
              <w:t>1.2</w:t>
            </w:r>
          </w:p>
        </w:tc>
        <w:tc>
          <w:tcPr>
            <w:tcW w:w="497" w:type="pct"/>
            <w:shd w:val="clear" w:color="auto" w:fill="auto"/>
            <w:noWrap/>
            <w:vAlign w:val="center"/>
          </w:tcPr>
          <w:p w14:paraId="7D7234E0">
            <w:pPr>
              <w:jc w:val="center"/>
              <w:rPr>
                <w:color w:val="000000"/>
                <w:kern w:val="0"/>
                <w:szCs w:val="21"/>
              </w:rPr>
            </w:pPr>
            <w:r>
              <w:rPr>
                <w:color w:val="000000"/>
                <w:kern w:val="0"/>
                <w:szCs w:val="21"/>
              </w:rPr>
              <w:t>13.5</w:t>
            </w:r>
          </w:p>
        </w:tc>
        <w:tc>
          <w:tcPr>
            <w:tcW w:w="497" w:type="pct"/>
            <w:shd w:val="clear" w:color="auto" w:fill="auto"/>
            <w:noWrap/>
            <w:vAlign w:val="center"/>
          </w:tcPr>
          <w:p w14:paraId="21637701">
            <w:pPr>
              <w:jc w:val="center"/>
              <w:rPr>
                <w:color w:val="000000"/>
                <w:kern w:val="0"/>
                <w:szCs w:val="21"/>
              </w:rPr>
            </w:pPr>
            <w:r>
              <w:rPr>
                <w:color w:val="000000"/>
                <w:kern w:val="0"/>
                <w:szCs w:val="21"/>
              </w:rPr>
              <w:t>50</w:t>
            </w:r>
          </w:p>
        </w:tc>
        <w:tc>
          <w:tcPr>
            <w:tcW w:w="648" w:type="pct"/>
            <w:shd w:val="clear" w:color="auto" w:fill="auto"/>
            <w:noWrap/>
            <w:vAlign w:val="center"/>
          </w:tcPr>
          <w:p w14:paraId="7FD92984">
            <w:pPr>
              <w:jc w:val="center"/>
              <w:rPr>
                <w:color w:val="000000"/>
                <w:kern w:val="0"/>
                <w:szCs w:val="21"/>
              </w:rPr>
            </w:pPr>
            <w:r>
              <w:rPr>
                <w:color w:val="000000"/>
                <w:kern w:val="0"/>
                <w:szCs w:val="21"/>
              </w:rPr>
              <w:t>50</w:t>
            </w:r>
          </w:p>
        </w:tc>
        <w:tc>
          <w:tcPr>
            <w:tcW w:w="497" w:type="pct"/>
            <w:shd w:val="clear" w:color="auto" w:fill="auto"/>
            <w:noWrap/>
            <w:vAlign w:val="center"/>
          </w:tcPr>
          <w:p w14:paraId="491AAA15">
            <w:pPr>
              <w:jc w:val="center"/>
              <w:rPr>
                <w:color w:val="000000"/>
                <w:kern w:val="0"/>
                <w:szCs w:val="21"/>
              </w:rPr>
            </w:pPr>
            <w:r>
              <w:rPr>
                <w:color w:val="000000"/>
                <w:kern w:val="0"/>
                <w:szCs w:val="21"/>
              </w:rPr>
              <w:t>2类</w:t>
            </w:r>
          </w:p>
        </w:tc>
        <w:tc>
          <w:tcPr>
            <w:tcW w:w="347" w:type="pct"/>
            <w:shd w:val="clear" w:color="auto" w:fill="auto"/>
            <w:noWrap/>
            <w:vAlign w:val="center"/>
          </w:tcPr>
          <w:p w14:paraId="1EFBCEA8">
            <w:pPr>
              <w:jc w:val="center"/>
              <w:rPr>
                <w:color w:val="000000"/>
                <w:kern w:val="0"/>
                <w:szCs w:val="21"/>
              </w:rPr>
            </w:pPr>
            <w:r>
              <w:rPr>
                <w:color w:val="000000"/>
                <w:kern w:val="0"/>
                <w:szCs w:val="21"/>
              </w:rPr>
              <w:t>60</w:t>
            </w:r>
          </w:p>
        </w:tc>
        <w:tc>
          <w:tcPr>
            <w:tcW w:w="422" w:type="pct"/>
            <w:shd w:val="clear" w:color="auto" w:fill="auto"/>
            <w:noWrap/>
            <w:vAlign w:val="center"/>
          </w:tcPr>
          <w:p w14:paraId="3D33D381">
            <w:pPr>
              <w:jc w:val="center"/>
              <w:rPr>
                <w:color w:val="000000"/>
                <w:kern w:val="0"/>
                <w:szCs w:val="21"/>
              </w:rPr>
            </w:pPr>
            <w:r>
              <w:rPr>
                <w:color w:val="000000"/>
                <w:kern w:val="0"/>
                <w:szCs w:val="21"/>
              </w:rPr>
              <w:t>是</w:t>
            </w:r>
          </w:p>
        </w:tc>
      </w:tr>
      <w:tr w14:paraId="34F0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70489A9B">
            <w:pPr>
              <w:jc w:val="center"/>
              <w:rPr>
                <w:color w:val="000000"/>
                <w:kern w:val="0"/>
                <w:szCs w:val="21"/>
              </w:rPr>
            </w:pPr>
            <w:r>
              <w:rPr>
                <w:color w:val="000000"/>
                <w:kern w:val="0"/>
                <w:szCs w:val="21"/>
              </w:rPr>
              <w:t>6</w:t>
            </w:r>
          </w:p>
        </w:tc>
        <w:tc>
          <w:tcPr>
            <w:tcW w:w="669" w:type="pct"/>
            <w:shd w:val="clear" w:color="auto" w:fill="auto"/>
            <w:noWrap/>
            <w:vAlign w:val="center"/>
          </w:tcPr>
          <w:p w14:paraId="2C6030B5">
            <w:pPr>
              <w:jc w:val="center"/>
              <w:rPr>
                <w:color w:val="000000"/>
                <w:kern w:val="0"/>
                <w:szCs w:val="21"/>
              </w:rPr>
            </w:pPr>
            <w:r>
              <w:rPr>
                <w:color w:val="000000"/>
                <w:kern w:val="0"/>
                <w:szCs w:val="21"/>
              </w:rPr>
              <w:t>场界西南侧居民处</w:t>
            </w:r>
          </w:p>
        </w:tc>
        <w:tc>
          <w:tcPr>
            <w:tcW w:w="392" w:type="pct"/>
            <w:shd w:val="clear" w:color="auto" w:fill="auto"/>
            <w:noWrap/>
            <w:vAlign w:val="center"/>
          </w:tcPr>
          <w:p w14:paraId="01396819">
            <w:pPr>
              <w:jc w:val="center"/>
              <w:rPr>
                <w:color w:val="000000"/>
                <w:kern w:val="0"/>
                <w:szCs w:val="21"/>
              </w:rPr>
            </w:pPr>
            <w:r>
              <w:rPr>
                <w:color w:val="000000"/>
                <w:kern w:val="0"/>
                <w:szCs w:val="21"/>
              </w:rPr>
              <w:t>-69.37</w:t>
            </w:r>
          </w:p>
        </w:tc>
        <w:tc>
          <w:tcPr>
            <w:tcW w:w="487" w:type="pct"/>
            <w:shd w:val="clear" w:color="auto" w:fill="auto"/>
            <w:noWrap/>
            <w:vAlign w:val="center"/>
          </w:tcPr>
          <w:p w14:paraId="125B407B">
            <w:pPr>
              <w:jc w:val="center"/>
              <w:rPr>
                <w:color w:val="000000"/>
                <w:kern w:val="0"/>
                <w:szCs w:val="21"/>
              </w:rPr>
            </w:pPr>
            <w:r>
              <w:rPr>
                <w:color w:val="000000"/>
                <w:kern w:val="0"/>
                <w:szCs w:val="21"/>
              </w:rPr>
              <w:t>-164.38</w:t>
            </w:r>
          </w:p>
        </w:tc>
        <w:tc>
          <w:tcPr>
            <w:tcW w:w="272" w:type="pct"/>
            <w:shd w:val="clear" w:color="auto" w:fill="auto"/>
            <w:noWrap/>
            <w:vAlign w:val="center"/>
          </w:tcPr>
          <w:p w14:paraId="51C56768">
            <w:pPr>
              <w:jc w:val="center"/>
              <w:rPr>
                <w:color w:val="000000"/>
                <w:kern w:val="0"/>
                <w:szCs w:val="21"/>
              </w:rPr>
            </w:pPr>
            <w:r>
              <w:rPr>
                <w:color w:val="000000"/>
                <w:kern w:val="0"/>
                <w:szCs w:val="21"/>
              </w:rPr>
              <w:t>1.2</w:t>
            </w:r>
          </w:p>
        </w:tc>
        <w:tc>
          <w:tcPr>
            <w:tcW w:w="497" w:type="pct"/>
            <w:shd w:val="clear" w:color="auto" w:fill="auto"/>
            <w:noWrap/>
            <w:vAlign w:val="center"/>
          </w:tcPr>
          <w:p w14:paraId="1D1CD304">
            <w:pPr>
              <w:jc w:val="center"/>
              <w:rPr>
                <w:color w:val="000000"/>
                <w:kern w:val="0"/>
                <w:szCs w:val="21"/>
              </w:rPr>
            </w:pPr>
            <w:r>
              <w:rPr>
                <w:color w:val="000000"/>
                <w:kern w:val="0"/>
                <w:szCs w:val="21"/>
              </w:rPr>
              <w:t>12.87</w:t>
            </w:r>
          </w:p>
        </w:tc>
        <w:tc>
          <w:tcPr>
            <w:tcW w:w="497" w:type="pct"/>
            <w:shd w:val="clear" w:color="auto" w:fill="auto"/>
            <w:noWrap/>
            <w:vAlign w:val="center"/>
          </w:tcPr>
          <w:p w14:paraId="75D81485">
            <w:pPr>
              <w:jc w:val="center"/>
              <w:rPr>
                <w:color w:val="000000"/>
                <w:kern w:val="0"/>
                <w:szCs w:val="21"/>
              </w:rPr>
            </w:pPr>
            <w:r>
              <w:rPr>
                <w:color w:val="000000"/>
                <w:kern w:val="0"/>
                <w:szCs w:val="21"/>
              </w:rPr>
              <w:t>52</w:t>
            </w:r>
          </w:p>
        </w:tc>
        <w:tc>
          <w:tcPr>
            <w:tcW w:w="648" w:type="pct"/>
            <w:shd w:val="clear" w:color="auto" w:fill="auto"/>
            <w:noWrap/>
            <w:vAlign w:val="center"/>
          </w:tcPr>
          <w:p w14:paraId="7D982ADF">
            <w:pPr>
              <w:jc w:val="center"/>
              <w:rPr>
                <w:color w:val="000000"/>
                <w:kern w:val="0"/>
                <w:szCs w:val="21"/>
              </w:rPr>
            </w:pPr>
            <w:r>
              <w:rPr>
                <w:color w:val="000000"/>
                <w:kern w:val="0"/>
                <w:szCs w:val="21"/>
              </w:rPr>
              <w:t>52</w:t>
            </w:r>
          </w:p>
        </w:tc>
        <w:tc>
          <w:tcPr>
            <w:tcW w:w="497" w:type="pct"/>
            <w:shd w:val="clear" w:color="auto" w:fill="auto"/>
            <w:noWrap/>
            <w:vAlign w:val="center"/>
          </w:tcPr>
          <w:p w14:paraId="51B1B741">
            <w:pPr>
              <w:jc w:val="center"/>
              <w:rPr>
                <w:color w:val="000000"/>
                <w:kern w:val="0"/>
                <w:szCs w:val="21"/>
              </w:rPr>
            </w:pPr>
            <w:r>
              <w:rPr>
                <w:color w:val="000000"/>
                <w:kern w:val="0"/>
                <w:szCs w:val="21"/>
              </w:rPr>
              <w:t>2类</w:t>
            </w:r>
          </w:p>
        </w:tc>
        <w:tc>
          <w:tcPr>
            <w:tcW w:w="347" w:type="pct"/>
            <w:shd w:val="clear" w:color="auto" w:fill="auto"/>
            <w:noWrap/>
            <w:vAlign w:val="center"/>
          </w:tcPr>
          <w:p w14:paraId="29D01766">
            <w:pPr>
              <w:jc w:val="center"/>
              <w:rPr>
                <w:color w:val="000000"/>
                <w:kern w:val="0"/>
                <w:szCs w:val="21"/>
              </w:rPr>
            </w:pPr>
            <w:r>
              <w:rPr>
                <w:color w:val="000000"/>
                <w:kern w:val="0"/>
                <w:szCs w:val="21"/>
              </w:rPr>
              <w:t>60</w:t>
            </w:r>
          </w:p>
        </w:tc>
        <w:tc>
          <w:tcPr>
            <w:tcW w:w="422" w:type="pct"/>
            <w:shd w:val="clear" w:color="auto" w:fill="auto"/>
            <w:noWrap/>
            <w:vAlign w:val="center"/>
          </w:tcPr>
          <w:p w14:paraId="2F1E7547">
            <w:pPr>
              <w:jc w:val="center"/>
              <w:rPr>
                <w:color w:val="000000"/>
                <w:kern w:val="0"/>
                <w:szCs w:val="21"/>
              </w:rPr>
            </w:pPr>
            <w:r>
              <w:rPr>
                <w:color w:val="000000"/>
                <w:kern w:val="0"/>
                <w:szCs w:val="21"/>
              </w:rPr>
              <w:t>是</w:t>
            </w:r>
          </w:p>
        </w:tc>
      </w:tr>
      <w:tr w14:paraId="7B4F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189791C2">
            <w:pPr>
              <w:jc w:val="center"/>
              <w:rPr>
                <w:color w:val="000000"/>
                <w:kern w:val="0"/>
                <w:szCs w:val="21"/>
              </w:rPr>
            </w:pPr>
            <w:r>
              <w:rPr>
                <w:color w:val="000000"/>
                <w:kern w:val="0"/>
                <w:szCs w:val="21"/>
              </w:rPr>
              <w:t>7</w:t>
            </w:r>
          </w:p>
        </w:tc>
        <w:tc>
          <w:tcPr>
            <w:tcW w:w="669" w:type="pct"/>
            <w:shd w:val="clear" w:color="auto" w:fill="auto"/>
            <w:noWrap/>
            <w:vAlign w:val="center"/>
          </w:tcPr>
          <w:p w14:paraId="09BF7A39">
            <w:pPr>
              <w:jc w:val="center"/>
              <w:rPr>
                <w:color w:val="000000"/>
                <w:kern w:val="0"/>
                <w:szCs w:val="21"/>
              </w:rPr>
            </w:pPr>
            <w:r>
              <w:rPr>
                <w:color w:val="000000"/>
                <w:kern w:val="0"/>
                <w:szCs w:val="21"/>
              </w:rPr>
              <w:t>西侧场界外</w:t>
            </w:r>
          </w:p>
        </w:tc>
        <w:tc>
          <w:tcPr>
            <w:tcW w:w="392" w:type="pct"/>
            <w:shd w:val="clear" w:color="auto" w:fill="auto"/>
            <w:noWrap/>
            <w:vAlign w:val="center"/>
          </w:tcPr>
          <w:p w14:paraId="11C09FC5">
            <w:pPr>
              <w:jc w:val="center"/>
              <w:rPr>
                <w:color w:val="000000"/>
                <w:kern w:val="0"/>
                <w:szCs w:val="21"/>
              </w:rPr>
            </w:pPr>
            <w:r>
              <w:rPr>
                <w:color w:val="000000"/>
                <w:kern w:val="0"/>
                <w:szCs w:val="21"/>
              </w:rPr>
              <w:t>-87.3</w:t>
            </w:r>
          </w:p>
        </w:tc>
        <w:tc>
          <w:tcPr>
            <w:tcW w:w="487" w:type="pct"/>
            <w:shd w:val="clear" w:color="auto" w:fill="auto"/>
            <w:noWrap/>
            <w:vAlign w:val="center"/>
          </w:tcPr>
          <w:p w14:paraId="25BE11D9">
            <w:pPr>
              <w:jc w:val="center"/>
              <w:rPr>
                <w:color w:val="000000"/>
                <w:kern w:val="0"/>
                <w:szCs w:val="21"/>
              </w:rPr>
            </w:pPr>
            <w:r>
              <w:rPr>
                <w:color w:val="000000"/>
                <w:kern w:val="0"/>
                <w:szCs w:val="21"/>
              </w:rPr>
              <w:t>299.68</w:t>
            </w:r>
          </w:p>
        </w:tc>
        <w:tc>
          <w:tcPr>
            <w:tcW w:w="272" w:type="pct"/>
            <w:shd w:val="clear" w:color="auto" w:fill="auto"/>
            <w:noWrap/>
            <w:vAlign w:val="center"/>
          </w:tcPr>
          <w:p w14:paraId="07BF7E0A">
            <w:pPr>
              <w:jc w:val="center"/>
              <w:rPr>
                <w:color w:val="000000"/>
                <w:kern w:val="0"/>
                <w:szCs w:val="21"/>
              </w:rPr>
            </w:pPr>
            <w:r>
              <w:rPr>
                <w:color w:val="000000"/>
                <w:kern w:val="0"/>
                <w:szCs w:val="21"/>
              </w:rPr>
              <w:t>1.2</w:t>
            </w:r>
          </w:p>
        </w:tc>
        <w:tc>
          <w:tcPr>
            <w:tcW w:w="497" w:type="pct"/>
            <w:shd w:val="clear" w:color="auto" w:fill="auto"/>
            <w:noWrap/>
            <w:vAlign w:val="center"/>
          </w:tcPr>
          <w:p w14:paraId="5852EEB1">
            <w:pPr>
              <w:jc w:val="center"/>
              <w:rPr>
                <w:color w:val="000000"/>
                <w:kern w:val="0"/>
                <w:szCs w:val="21"/>
              </w:rPr>
            </w:pPr>
            <w:r>
              <w:rPr>
                <w:color w:val="000000"/>
                <w:kern w:val="0"/>
                <w:szCs w:val="21"/>
              </w:rPr>
              <w:t>13.8</w:t>
            </w:r>
          </w:p>
        </w:tc>
        <w:tc>
          <w:tcPr>
            <w:tcW w:w="497" w:type="pct"/>
            <w:shd w:val="clear" w:color="auto" w:fill="auto"/>
            <w:noWrap/>
            <w:vAlign w:val="center"/>
          </w:tcPr>
          <w:p w14:paraId="009BEAD3">
            <w:pPr>
              <w:jc w:val="center"/>
              <w:rPr>
                <w:color w:val="000000"/>
                <w:kern w:val="0"/>
                <w:szCs w:val="21"/>
              </w:rPr>
            </w:pPr>
            <w:r>
              <w:rPr>
                <w:color w:val="000000"/>
                <w:kern w:val="0"/>
                <w:szCs w:val="21"/>
              </w:rPr>
              <w:t>48.5</w:t>
            </w:r>
          </w:p>
        </w:tc>
        <w:tc>
          <w:tcPr>
            <w:tcW w:w="648" w:type="pct"/>
            <w:shd w:val="clear" w:color="auto" w:fill="auto"/>
            <w:noWrap/>
            <w:vAlign w:val="center"/>
          </w:tcPr>
          <w:p w14:paraId="788C510E">
            <w:pPr>
              <w:jc w:val="center"/>
              <w:rPr>
                <w:color w:val="000000"/>
                <w:kern w:val="0"/>
                <w:szCs w:val="21"/>
              </w:rPr>
            </w:pPr>
            <w:r>
              <w:rPr>
                <w:color w:val="000000"/>
                <w:kern w:val="0"/>
                <w:szCs w:val="21"/>
              </w:rPr>
              <w:t>48.5</w:t>
            </w:r>
          </w:p>
        </w:tc>
        <w:tc>
          <w:tcPr>
            <w:tcW w:w="497" w:type="pct"/>
            <w:shd w:val="clear" w:color="auto" w:fill="auto"/>
            <w:noWrap/>
            <w:vAlign w:val="center"/>
          </w:tcPr>
          <w:p w14:paraId="3A0E6CF7">
            <w:pPr>
              <w:jc w:val="center"/>
              <w:rPr>
                <w:color w:val="000000"/>
                <w:kern w:val="0"/>
                <w:szCs w:val="21"/>
              </w:rPr>
            </w:pPr>
            <w:r>
              <w:rPr>
                <w:color w:val="000000"/>
                <w:kern w:val="0"/>
                <w:szCs w:val="21"/>
              </w:rPr>
              <w:t>2类</w:t>
            </w:r>
          </w:p>
        </w:tc>
        <w:tc>
          <w:tcPr>
            <w:tcW w:w="347" w:type="pct"/>
            <w:shd w:val="clear" w:color="auto" w:fill="auto"/>
            <w:noWrap/>
            <w:vAlign w:val="center"/>
          </w:tcPr>
          <w:p w14:paraId="56770DE1">
            <w:pPr>
              <w:jc w:val="center"/>
              <w:rPr>
                <w:color w:val="000000"/>
                <w:kern w:val="0"/>
                <w:szCs w:val="21"/>
              </w:rPr>
            </w:pPr>
            <w:r>
              <w:rPr>
                <w:color w:val="000000"/>
                <w:kern w:val="0"/>
                <w:szCs w:val="21"/>
              </w:rPr>
              <w:t>60</w:t>
            </w:r>
          </w:p>
        </w:tc>
        <w:tc>
          <w:tcPr>
            <w:tcW w:w="422" w:type="pct"/>
            <w:shd w:val="clear" w:color="auto" w:fill="auto"/>
            <w:noWrap/>
            <w:vAlign w:val="center"/>
          </w:tcPr>
          <w:p w14:paraId="305C5BE3">
            <w:pPr>
              <w:jc w:val="center"/>
              <w:rPr>
                <w:color w:val="000000"/>
                <w:kern w:val="0"/>
                <w:szCs w:val="21"/>
              </w:rPr>
            </w:pPr>
            <w:r>
              <w:rPr>
                <w:color w:val="000000"/>
                <w:kern w:val="0"/>
                <w:szCs w:val="21"/>
              </w:rPr>
              <w:t>是</w:t>
            </w:r>
          </w:p>
        </w:tc>
      </w:tr>
      <w:tr w14:paraId="492C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1"/>
            <w:shd w:val="clear" w:color="auto" w:fill="auto"/>
            <w:noWrap/>
            <w:vAlign w:val="center"/>
          </w:tcPr>
          <w:p w14:paraId="3628DBC3">
            <w:pPr>
              <w:jc w:val="center"/>
              <w:rPr>
                <w:kern w:val="0"/>
                <w:szCs w:val="21"/>
              </w:rPr>
            </w:pPr>
            <w:r>
              <w:rPr>
                <w:color w:val="000000"/>
                <w:kern w:val="0"/>
                <w:szCs w:val="21"/>
              </w:rPr>
              <w:t>塘坝养殖场区</w:t>
            </w:r>
          </w:p>
        </w:tc>
      </w:tr>
      <w:tr w14:paraId="66DC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31E3875B">
            <w:pPr>
              <w:jc w:val="center"/>
              <w:rPr>
                <w:color w:val="000000"/>
                <w:kern w:val="0"/>
                <w:szCs w:val="21"/>
              </w:rPr>
            </w:pPr>
            <w:r>
              <w:rPr>
                <w:color w:val="000000"/>
                <w:kern w:val="0"/>
                <w:szCs w:val="21"/>
              </w:rPr>
              <w:t>1</w:t>
            </w:r>
          </w:p>
        </w:tc>
        <w:tc>
          <w:tcPr>
            <w:tcW w:w="669" w:type="pct"/>
            <w:shd w:val="clear" w:color="auto" w:fill="auto"/>
            <w:noWrap/>
            <w:vAlign w:val="center"/>
          </w:tcPr>
          <w:p w14:paraId="00CC6EE0">
            <w:pPr>
              <w:jc w:val="center"/>
              <w:rPr>
                <w:color w:val="000000"/>
                <w:kern w:val="0"/>
                <w:szCs w:val="21"/>
              </w:rPr>
            </w:pPr>
            <w:r>
              <w:rPr>
                <w:color w:val="000000"/>
                <w:kern w:val="0"/>
                <w:szCs w:val="21"/>
              </w:rPr>
              <w:t>北侧场界外</w:t>
            </w:r>
          </w:p>
        </w:tc>
        <w:tc>
          <w:tcPr>
            <w:tcW w:w="392" w:type="pct"/>
            <w:shd w:val="clear" w:color="auto" w:fill="auto"/>
            <w:noWrap/>
            <w:vAlign w:val="center"/>
          </w:tcPr>
          <w:p w14:paraId="3DC63F6C">
            <w:pPr>
              <w:jc w:val="center"/>
              <w:rPr>
                <w:color w:val="000000"/>
                <w:kern w:val="0"/>
                <w:szCs w:val="21"/>
              </w:rPr>
            </w:pPr>
            <w:r>
              <w:rPr>
                <w:color w:val="000000"/>
                <w:kern w:val="0"/>
                <w:szCs w:val="21"/>
              </w:rPr>
              <w:t>219.47</w:t>
            </w:r>
          </w:p>
        </w:tc>
        <w:tc>
          <w:tcPr>
            <w:tcW w:w="487" w:type="pct"/>
            <w:shd w:val="clear" w:color="auto" w:fill="auto"/>
            <w:noWrap/>
            <w:vAlign w:val="center"/>
          </w:tcPr>
          <w:p w14:paraId="797BE6FA">
            <w:pPr>
              <w:jc w:val="center"/>
              <w:rPr>
                <w:color w:val="000000"/>
                <w:kern w:val="0"/>
                <w:szCs w:val="21"/>
              </w:rPr>
            </w:pPr>
            <w:r>
              <w:rPr>
                <w:color w:val="000000"/>
                <w:kern w:val="0"/>
                <w:szCs w:val="21"/>
              </w:rPr>
              <w:t>223.48</w:t>
            </w:r>
          </w:p>
        </w:tc>
        <w:tc>
          <w:tcPr>
            <w:tcW w:w="272" w:type="pct"/>
            <w:shd w:val="clear" w:color="auto" w:fill="auto"/>
            <w:noWrap/>
            <w:vAlign w:val="center"/>
          </w:tcPr>
          <w:p w14:paraId="2158FAD6">
            <w:pPr>
              <w:jc w:val="center"/>
              <w:rPr>
                <w:color w:val="000000"/>
                <w:kern w:val="0"/>
                <w:szCs w:val="21"/>
              </w:rPr>
            </w:pPr>
            <w:r>
              <w:rPr>
                <w:color w:val="000000"/>
                <w:kern w:val="0"/>
                <w:szCs w:val="21"/>
              </w:rPr>
              <w:t>1.2</w:t>
            </w:r>
          </w:p>
        </w:tc>
        <w:tc>
          <w:tcPr>
            <w:tcW w:w="497" w:type="pct"/>
            <w:shd w:val="clear" w:color="auto" w:fill="auto"/>
            <w:noWrap/>
            <w:vAlign w:val="center"/>
          </w:tcPr>
          <w:p w14:paraId="6D9B9A83">
            <w:pPr>
              <w:jc w:val="center"/>
              <w:rPr>
                <w:color w:val="000000"/>
                <w:kern w:val="0"/>
                <w:szCs w:val="21"/>
              </w:rPr>
            </w:pPr>
            <w:r>
              <w:rPr>
                <w:color w:val="000000"/>
                <w:kern w:val="0"/>
                <w:szCs w:val="21"/>
              </w:rPr>
              <w:t>26.15</w:t>
            </w:r>
          </w:p>
        </w:tc>
        <w:tc>
          <w:tcPr>
            <w:tcW w:w="497" w:type="pct"/>
            <w:shd w:val="clear" w:color="auto" w:fill="auto"/>
            <w:noWrap/>
            <w:vAlign w:val="center"/>
          </w:tcPr>
          <w:p w14:paraId="05838B54">
            <w:pPr>
              <w:jc w:val="center"/>
              <w:rPr>
                <w:color w:val="000000"/>
                <w:kern w:val="0"/>
                <w:szCs w:val="21"/>
              </w:rPr>
            </w:pPr>
            <w:r>
              <w:rPr>
                <w:color w:val="000000"/>
                <w:kern w:val="0"/>
                <w:szCs w:val="21"/>
              </w:rPr>
              <w:t>50.5</w:t>
            </w:r>
          </w:p>
        </w:tc>
        <w:tc>
          <w:tcPr>
            <w:tcW w:w="648" w:type="pct"/>
            <w:shd w:val="clear" w:color="auto" w:fill="auto"/>
            <w:noWrap/>
            <w:vAlign w:val="center"/>
          </w:tcPr>
          <w:p w14:paraId="2284D32F">
            <w:pPr>
              <w:jc w:val="center"/>
              <w:rPr>
                <w:color w:val="000000"/>
                <w:kern w:val="0"/>
                <w:szCs w:val="21"/>
              </w:rPr>
            </w:pPr>
            <w:r>
              <w:rPr>
                <w:color w:val="000000"/>
                <w:kern w:val="0"/>
                <w:szCs w:val="21"/>
              </w:rPr>
              <w:t>50.52</w:t>
            </w:r>
          </w:p>
        </w:tc>
        <w:tc>
          <w:tcPr>
            <w:tcW w:w="497" w:type="pct"/>
            <w:shd w:val="clear" w:color="auto" w:fill="auto"/>
            <w:noWrap/>
            <w:vAlign w:val="center"/>
          </w:tcPr>
          <w:p w14:paraId="5CA6785B">
            <w:pPr>
              <w:jc w:val="center"/>
              <w:rPr>
                <w:color w:val="000000"/>
                <w:kern w:val="0"/>
                <w:szCs w:val="21"/>
              </w:rPr>
            </w:pPr>
            <w:r>
              <w:rPr>
                <w:color w:val="000000"/>
                <w:kern w:val="0"/>
                <w:szCs w:val="21"/>
              </w:rPr>
              <w:t>2类</w:t>
            </w:r>
          </w:p>
        </w:tc>
        <w:tc>
          <w:tcPr>
            <w:tcW w:w="347" w:type="pct"/>
            <w:shd w:val="clear" w:color="auto" w:fill="auto"/>
            <w:noWrap/>
            <w:vAlign w:val="center"/>
          </w:tcPr>
          <w:p w14:paraId="7964236E">
            <w:pPr>
              <w:jc w:val="center"/>
              <w:rPr>
                <w:color w:val="000000"/>
                <w:kern w:val="0"/>
                <w:szCs w:val="21"/>
              </w:rPr>
            </w:pPr>
            <w:r>
              <w:rPr>
                <w:color w:val="000000"/>
                <w:kern w:val="0"/>
                <w:szCs w:val="21"/>
              </w:rPr>
              <w:t>60</w:t>
            </w:r>
          </w:p>
        </w:tc>
        <w:tc>
          <w:tcPr>
            <w:tcW w:w="422" w:type="pct"/>
            <w:shd w:val="clear" w:color="auto" w:fill="auto"/>
            <w:noWrap/>
            <w:vAlign w:val="center"/>
          </w:tcPr>
          <w:p w14:paraId="11B03424">
            <w:pPr>
              <w:jc w:val="center"/>
              <w:rPr>
                <w:color w:val="000000"/>
                <w:kern w:val="0"/>
                <w:szCs w:val="21"/>
              </w:rPr>
            </w:pPr>
            <w:r>
              <w:rPr>
                <w:color w:val="000000"/>
                <w:kern w:val="0"/>
                <w:szCs w:val="21"/>
              </w:rPr>
              <w:t>是</w:t>
            </w:r>
          </w:p>
        </w:tc>
      </w:tr>
      <w:tr w14:paraId="4251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25151E0F">
            <w:pPr>
              <w:jc w:val="center"/>
              <w:rPr>
                <w:color w:val="000000"/>
                <w:kern w:val="0"/>
                <w:szCs w:val="21"/>
              </w:rPr>
            </w:pPr>
            <w:r>
              <w:rPr>
                <w:color w:val="000000"/>
                <w:kern w:val="0"/>
                <w:szCs w:val="21"/>
              </w:rPr>
              <w:t>2</w:t>
            </w:r>
          </w:p>
        </w:tc>
        <w:tc>
          <w:tcPr>
            <w:tcW w:w="669" w:type="pct"/>
            <w:shd w:val="clear" w:color="auto" w:fill="auto"/>
            <w:noWrap/>
            <w:vAlign w:val="center"/>
          </w:tcPr>
          <w:p w14:paraId="362EE9C9">
            <w:pPr>
              <w:jc w:val="center"/>
              <w:rPr>
                <w:color w:val="000000"/>
                <w:kern w:val="0"/>
                <w:szCs w:val="21"/>
              </w:rPr>
            </w:pPr>
            <w:r>
              <w:rPr>
                <w:color w:val="000000"/>
                <w:kern w:val="0"/>
                <w:szCs w:val="21"/>
              </w:rPr>
              <w:t>东侧场界外</w:t>
            </w:r>
          </w:p>
        </w:tc>
        <w:tc>
          <w:tcPr>
            <w:tcW w:w="392" w:type="pct"/>
            <w:shd w:val="clear" w:color="auto" w:fill="auto"/>
            <w:noWrap/>
            <w:vAlign w:val="center"/>
          </w:tcPr>
          <w:p w14:paraId="40CB90AC">
            <w:pPr>
              <w:jc w:val="center"/>
              <w:rPr>
                <w:color w:val="000000"/>
                <w:kern w:val="0"/>
                <w:szCs w:val="21"/>
              </w:rPr>
            </w:pPr>
            <w:r>
              <w:rPr>
                <w:color w:val="000000"/>
                <w:kern w:val="0"/>
                <w:szCs w:val="21"/>
              </w:rPr>
              <w:t>440.11</w:t>
            </w:r>
          </w:p>
        </w:tc>
        <w:tc>
          <w:tcPr>
            <w:tcW w:w="487" w:type="pct"/>
            <w:shd w:val="clear" w:color="auto" w:fill="auto"/>
            <w:noWrap/>
            <w:vAlign w:val="center"/>
          </w:tcPr>
          <w:p w14:paraId="5C79E95B">
            <w:pPr>
              <w:jc w:val="center"/>
              <w:rPr>
                <w:color w:val="000000"/>
                <w:kern w:val="0"/>
                <w:szCs w:val="21"/>
              </w:rPr>
            </w:pPr>
            <w:r>
              <w:rPr>
                <w:color w:val="000000"/>
                <w:kern w:val="0"/>
                <w:szCs w:val="21"/>
              </w:rPr>
              <w:t>89.71</w:t>
            </w:r>
          </w:p>
        </w:tc>
        <w:tc>
          <w:tcPr>
            <w:tcW w:w="272" w:type="pct"/>
            <w:shd w:val="clear" w:color="auto" w:fill="auto"/>
            <w:noWrap/>
            <w:vAlign w:val="center"/>
          </w:tcPr>
          <w:p w14:paraId="4BFA1DDA">
            <w:pPr>
              <w:jc w:val="center"/>
              <w:rPr>
                <w:color w:val="000000"/>
                <w:kern w:val="0"/>
                <w:szCs w:val="21"/>
              </w:rPr>
            </w:pPr>
            <w:r>
              <w:rPr>
                <w:color w:val="000000"/>
                <w:kern w:val="0"/>
                <w:szCs w:val="21"/>
              </w:rPr>
              <w:t>1.2</w:t>
            </w:r>
          </w:p>
        </w:tc>
        <w:tc>
          <w:tcPr>
            <w:tcW w:w="497" w:type="pct"/>
            <w:shd w:val="clear" w:color="auto" w:fill="auto"/>
            <w:noWrap/>
            <w:vAlign w:val="center"/>
          </w:tcPr>
          <w:p w14:paraId="55580D36">
            <w:pPr>
              <w:jc w:val="center"/>
              <w:rPr>
                <w:color w:val="000000"/>
                <w:kern w:val="0"/>
                <w:szCs w:val="21"/>
              </w:rPr>
            </w:pPr>
            <w:r>
              <w:rPr>
                <w:color w:val="000000"/>
                <w:kern w:val="0"/>
                <w:szCs w:val="21"/>
              </w:rPr>
              <w:t>24.21</w:t>
            </w:r>
          </w:p>
        </w:tc>
        <w:tc>
          <w:tcPr>
            <w:tcW w:w="497" w:type="pct"/>
            <w:shd w:val="clear" w:color="auto" w:fill="auto"/>
            <w:noWrap/>
            <w:vAlign w:val="center"/>
          </w:tcPr>
          <w:p w14:paraId="2DFFA25E">
            <w:pPr>
              <w:jc w:val="center"/>
              <w:rPr>
                <w:color w:val="000000"/>
                <w:kern w:val="0"/>
                <w:szCs w:val="21"/>
              </w:rPr>
            </w:pPr>
            <w:r>
              <w:rPr>
                <w:color w:val="000000"/>
                <w:kern w:val="0"/>
                <w:szCs w:val="21"/>
              </w:rPr>
              <w:t>50</w:t>
            </w:r>
          </w:p>
        </w:tc>
        <w:tc>
          <w:tcPr>
            <w:tcW w:w="648" w:type="pct"/>
            <w:shd w:val="clear" w:color="auto" w:fill="auto"/>
            <w:noWrap/>
            <w:vAlign w:val="center"/>
          </w:tcPr>
          <w:p w14:paraId="4304AA25">
            <w:pPr>
              <w:jc w:val="center"/>
              <w:rPr>
                <w:color w:val="000000"/>
                <w:kern w:val="0"/>
                <w:szCs w:val="21"/>
              </w:rPr>
            </w:pPr>
            <w:r>
              <w:rPr>
                <w:color w:val="000000"/>
                <w:kern w:val="0"/>
                <w:szCs w:val="21"/>
              </w:rPr>
              <w:t>50.01</w:t>
            </w:r>
          </w:p>
        </w:tc>
        <w:tc>
          <w:tcPr>
            <w:tcW w:w="497" w:type="pct"/>
            <w:shd w:val="clear" w:color="auto" w:fill="auto"/>
            <w:noWrap/>
            <w:vAlign w:val="center"/>
          </w:tcPr>
          <w:p w14:paraId="2500178C">
            <w:pPr>
              <w:jc w:val="center"/>
              <w:rPr>
                <w:color w:val="000000"/>
                <w:kern w:val="0"/>
                <w:szCs w:val="21"/>
              </w:rPr>
            </w:pPr>
            <w:r>
              <w:rPr>
                <w:color w:val="000000"/>
                <w:kern w:val="0"/>
                <w:szCs w:val="21"/>
              </w:rPr>
              <w:t>2类</w:t>
            </w:r>
          </w:p>
        </w:tc>
        <w:tc>
          <w:tcPr>
            <w:tcW w:w="347" w:type="pct"/>
            <w:shd w:val="clear" w:color="auto" w:fill="auto"/>
            <w:noWrap/>
            <w:vAlign w:val="center"/>
          </w:tcPr>
          <w:p w14:paraId="0F9421FD">
            <w:pPr>
              <w:jc w:val="center"/>
              <w:rPr>
                <w:color w:val="000000"/>
                <w:kern w:val="0"/>
                <w:szCs w:val="21"/>
              </w:rPr>
            </w:pPr>
            <w:r>
              <w:rPr>
                <w:color w:val="000000"/>
                <w:kern w:val="0"/>
                <w:szCs w:val="21"/>
              </w:rPr>
              <w:t>60</w:t>
            </w:r>
          </w:p>
        </w:tc>
        <w:tc>
          <w:tcPr>
            <w:tcW w:w="422" w:type="pct"/>
            <w:shd w:val="clear" w:color="auto" w:fill="auto"/>
            <w:noWrap/>
            <w:vAlign w:val="center"/>
          </w:tcPr>
          <w:p w14:paraId="40E8AF5E">
            <w:pPr>
              <w:jc w:val="center"/>
              <w:rPr>
                <w:color w:val="000000"/>
                <w:kern w:val="0"/>
                <w:szCs w:val="21"/>
              </w:rPr>
            </w:pPr>
            <w:r>
              <w:rPr>
                <w:color w:val="000000"/>
                <w:kern w:val="0"/>
                <w:szCs w:val="21"/>
              </w:rPr>
              <w:t>是</w:t>
            </w:r>
          </w:p>
        </w:tc>
      </w:tr>
      <w:tr w14:paraId="0CF9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5266504F">
            <w:pPr>
              <w:jc w:val="center"/>
              <w:rPr>
                <w:color w:val="000000"/>
                <w:kern w:val="0"/>
                <w:szCs w:val="21"/>
              </w:rPr>
            </w:pPr>
            <w:r>
              <w:rPr>
                <w:color w:val="000000"/>
                <w:kern w:val="0"/>
                <w:szCs w:val="21"/>
              </w:rPr>
              <w:t>3</w:t>
            </w:r>
          </w:p>
        </w:tc>
        <w:tc>
          <w:tcPr>
            <w:tcW w:w="669" w:type="pct"/>
            <w:shd w:val="clear" w:color="auto" w:fill="auto"/>
            <w:noWrap/>
            <w:vAlign w:val="center"/>
          </w:tcPr>
          <w:p w14:paraId="3A23BDD7">
            <w:pPr>
              <w:jc w:val="center"/>
              <w:rPr>
                <w:color w:val="000000"/>
                <w:kern w:val="0"/>
                <w:szCs w:val="21"/>
              </w:rPr>
            </w:pPr>
            <w:r>
              <w:rPr>
                <w:color w:val="000000"/>
                <w:kern w:val="0"/>
                <w:szCs w:val="21"/>
              </w:rPr>
              <w:t>南侧场界外</w:t>
            </w:r>
          </w:p>
        </w:tc>
        <w:tc>
          <w:tcPr>
            <w:tcW w:w="392" w:type="pct"/>
            <w:shd w:val="clear" w:color="auto" w:fill="auto"/>
            <w:noWrap/>
            <w:vAlign w:val="center"/>
          </w:tcPr>
          <w:p w14:paraId="0836C477">
            <w:pPr>
              <w:jc w:val="center"/>
              <w:rPr>
                <w:color w:val="000000"/>
                <w:kern w:val="0"/>
                <w:szCs w:val="21"/>
              </w:rPr>
            </w:pPr>
            <w:r>
              <w:rPr>
                <w:color w:val="000000"/>
                <w:kern w:val="0"/>
                <w:szCs w:val="21"/>
              </w:rPr>
              <w:t>204.3</w:t>
            </w:r>
          </w:p>
        </w:tc>
        <w:tc>
          <w:tcPr>
            <w:tcW w:w="487" w:type="pct"/>
            <w:shd w:val="clear" w:color="auto" w:fill="auto"/>
            <w:noWrap/>
            <w:vAlign w:val="center"/>
          </w:tcPr>
          <w:p w14:paraId="381BB72A">
            <w:pPr>
              <w:jc w:val="center"/>
              <w:rPr>
                <w:color w:val="000000"/>
                <w:kern w:val="0"/>
                <w:szCs w:val="21"/>
              </w:rPr>
            </w:pPr>
            <w:r>
              <w:rPr>
                <w:color w:val="000000"/>
                <w:kern w:val="0"/>
                <w:szCs w:val="21"/>
              </w:rPr>
              <w:t>-8.2</w:t>
            </w:r>
          </w:p>
        </w:tc>
        <w:tc>
          <w:tcPr>
            <w:tcW w:w="272" w:type="pct"/>
            <w:shd w:val="clear" w:color="auto" w:fill="auto"/>
            <w:noWrap/>
            <w:vAlign w:val="center"/>
          </w:tcPr>
          <w:p w14:paraId="1A4E8700">
            <w:pPr>
              <w:jc w:val="center"/>
              <w:rPr>
                <w:color w:val="000000"/>
                <w:kern w:val="0"/>
                <w:szCs w:val="21"/>
              </w:rPr>
            </w:pPr>
            <w:r>
              <w:rPr>
                <w:color w:val="000000"/>
                <w:kern w:val="0"/>
                <w:szCs w:val="21"/>
              </w:rPr>
              <w:t>1.2</w:t>
            </w:r>
          </w:p>
        </w:tc>
        <w:tc>
          <w:tcPr>
            <w:tcW w:w="497" w:type="pct"/>
            <w:shd w:val="clear" w:color="auto" w:fill="auto"/>
            <w:noWrap/>
            <w:vAlign w:val="center"/>
          </w:tcPr>
          <w:p w14:paraId="519DBC14">
            <w:pPr>
              <w:jc w:val="center"/>
              <w:rPr>
                <w:color w:val="000000"/>
                <w:kern w:val="0"/>
                <w:szCs w:val="21"/>
              </w:rPr>
            </w:pPr>
            <w:r>
              <w:rPr>
                <w:color w:val="000000"/>
                <w:kern w:val="0"/>
                <w:szCs w:val="21"/>
              </w:rPr>
              <w:t>27.7</w:t>
            </w:r>
          </w:p>
        </w:tc>
        <w:tc>
          <w:tcPr>
            <w:tcW w:w="497" w:type="pct"/>
            <w:shd w:val="clear" w:color="auto" w:fill="auto"/>
            <w:noWrap/>
            <w:vAlign w:val="center"/>
          </w:tcPr>
          <w:p w14:paraId="2B452422">
            <w:pPr>
              <w:jc w:val="center"/>
              <w:rPr>
                <w:color w:val="000000"/>
                <w:kern w:val="0"/>
                <w:szCs w:val="21"/>
              </w:rPr>
            </w:pPr>
            <w:r>
              <w:rPr>
                <w:color w:val="000000"/>
                <w:kern w:val="0"/>
                <w:szCs w:val="21"/>
              </w:rPr>
              <w:t>50.5</w:t>
            </w:r>
          </w:p>
        </w:tc>
        <w:tc>
          <w:tcPr>
            <w:tcW w:w="648" w:type="pct"/>
            <w:shd w:val="clear" w:color="auto" w:fill="auto"/>
            <w:noWrap/>
            <w:vAlign w:val="center"/>
          </w:tcPr>
          <w:p w14:paraId="1687F02A">
            <w:pPr>
              <w:jc w:val="center"/>
              <w:rPr>
                <w:color w:val="000000"/>
                <w:kern w:val="0"/>
                <w:szCs w:val="21"/>
              </w:rPr>
            </w:pPr>
            <w:r>
              <w:rPr>
                <w:color w:val="000000"/>
                <w:kern w:val="0"/>
                <w:szCs w:val="21"/>
              </w:rPr>
              <w:t>50.52</w:t>
            </w:r>
          </w:p>
        </w:tc>
        <w:tc>
          <w:tcPr>
            <w:tcW w:w="497" w:type="pct"/>
            <w:shd w:val="clear" w:color="auto" w:fill="auto"/>
            <w:noWrap/>
            <w:vAlign w:val="center"/>
          </w:tcPr>
          <w:p w14:paraId="78153D7E">
            <w:pPr>
              <w:jc w:val="center"/>
              <w:rPr>
                <w:color w:val="000000"/>
                <w:kern w:val="0"/>
                <w:szCs w:val="21"/>
              </w:rPr>
            </w:pPr>
            <w:r>
              <w:rPr>
                <w:color w:val="000000"/>
                <w:kern w:val="0"/>
                <w:szCs w:val="21"/>
              </w:rPr>
              <w:t>2类</w:t>
            </w:r>
          </w:p>
        </w:tc>
        <w:tc>
          <w:tcPr>
            <w:tcW w:w="347" w:type="pct"/>
            <w:shd w:val="clear" w:color="auto" w:fill="auto"/>
            <w:noWrap/>
            <w:vAlign w:val="center"/>
          </w:tcPr>
          <w:p w14:paraId="61E4FA7D">
            <w:pPr>
              <w:jc w:val="center"/>
              <w:rPr>
                <w:color w:val="000000"/>
                <w:kern w:val="0"/>
                <w:szCs w:val="21"/>
              </w:rPr>
            </w:pPr>
            <w:r>
              <w:rPr>
                <w:color w:val="000000"/>
                <w:kern w:val="0"/>
                <w:szCs w:val="21"/>
              </w:rPr>
              <w:t>60</w:t>
            </w:r>
          </w:p>
        </w:tc>
        <w:tc>
          <w:tcPr>
            <w:tcW w:w="422" w:type="pct"/>
            <w:shd w:val="clear" w:color="auto" w:fill="auto"/>
            <w:noWrap/>
            <w:vAlign w:val="center"/>
          </w:tcPr>
          <w:p w14:paraId="286A8705">
            <w:pPr>
              <w:jc w:val="center"/>
              <w:rPr>
                <w:color w:val="000000"/>
                <w:kern w:val="0"/>
                <w:szCs w:val="21"/>
              </w:rPr>
            </w:pPr>
            <w:r>
              <w:rPr>
                <w:color w:val="000000"/>
                <w:kern w:val="0"/>
                <w:szCs w:val="21"/>
              </w:rPr>
              <w:t>是</w:t>
            </w:r>
          </w:p>
        </w:tc>
      </w:tr>
      <w:tr w14:paraId="4B89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511015D3">
            <w:pPr>
              <w:jc w:val="center"/>
              <w:rPr>
                <w:color w:val="000000"/>
                <w:kern w:val="0"/>
                <w:szCs w:val="21"/>
              </w:rPr>
            </w:pPr>
            <w:r>
              <w:rPr>
                <w:color w:val="000000"/>
                <w:kern w:val="0"/>
                <w:szCs w:val="21"/>
              </w:rPr>
              <w:t>4</w:t>
            </w:r>
          </w:p>
        </w:tc>
        <w:tc>
          <w:tcPr>
            <w:tcW w:w="669" w:type="pct"/>
            <w:shd w:val="clear" w:color="auto" w:fill="auto"/>
            <w:noWrap/>
            <w:vAlign w:val="center"/>
          </w:tcPr>
          <w:p w14:paraId="71220E66">
            <w:pPr>
              <w:jc w:val="center"/>
              <w:rPr>
                <w:color w:val="000000"/>
                <w:kern w:val="0"/>
                <w:szCs w:val="21"/>
              </w:rPr>
            </w:pPr>
            <w:r>
              <w:rPr>
                <w:color w:val="000000"/>
                <w:kern w:val="0"/>
                <w:szCs w:val="21"/>
              </w:rPr>
              <w:t>西侧场界外</w:t>
            </w:r>
          </w:p>
        </w:tc>
        <w:tc>
          <w:tcPr>
            <w:tcW w:w="392" w:type="pct"/>
            <w:shd w:val="clear" w:color="auto" w:fill="auto"/>
            <w:noWrap/>
            <w:vAlign w:val="center"/>
          </w:tcPr>
          <w:p w14:paraId="428F5B96">
            <w:pPr>
              <w:jc w:val="center"/>
              <w:rPr>
                <w:color w:val="000000"/>
                <w:kern w:val="0"/>
                <w:szCs w:val="21"/>
              </w:rPr>
            </w:pPr>
            <w:r>
              <w:rPr>
                <w:color w:val="000000"/>
                <w:kern w:val="0"/>
                <w:szCs w:val="21"/>
              </w:rPr>
              <w:t>-59.09</w:t>
            </w:r>
          </w:p>
        </w:tc>
        <w:tc>
          <w:tcPr>
            <w:tcW w:w="487" w:type="pct"/>
            <w:shd w:val="clear" w:color="auto" w:fill="auto"/>
            <w:noWrap/>
            <w:vAlign w:val="center"/>
          </w:tcPr>
          <w:p w14:paraId="10B95F23">
            <w:pPr>
              <w:jc w:val="center"/>
              <w:rPr>
                <w:color w:val="000000"/>
                <w:kern w:val="0"/>
                <w:szCs w:val="21"/>
              </w:rPr>
            </w:pPr>
            <w:r>
              <w:rPr>
                <w:color w:val="000000"/>
                <w:kern w:val="0"/>
                <w:szCs w:val="21"/>
              </w:rPr>
              <w:t>195.9</w:t>
            </w:r>
          </w:p>
        </w:tc>
        <w:tc>
          <w:tcPr>
            <w:tcW w:w="272" w:type="pct"/>
            <w:shd w:val="clear" w:color="auto" w:fill="auto"/>
            <w:noWrap/>
            <w:vAlign w:val="center"/>
          </w:tcPr>
          <w:p w14:paraId="32838CCB">
            <w:pPr>
              <w:jc w:val="center"/>
              <w:rPr>
                <w:color w:val="000000"/>
                <w:kern w:val="0"/>
                <w:szCs w:val="21"/>
              </w:rPr>
            </w:pPr>
            <w:r>
              <w:rPr>
                <w:color w:val="000000"/>
                <w:kern w:val="0"/>
                <w:szCs w:val="21"/>
              </w:rPr>
              <w:t>1.2</w:t>
            </w:r>
          </w:p>
        </w:tc>
        <w:tc>
          <w:tcPr>
            <w:tcW w:w="497" w:type="pct"/>
            <w:shd w:val="clear" w:color="auto" w:fill="auto"/>
            <w:noWrap/>
            <w:vAlign w:val="center"/>
          </w:tcPr>
          <w:p w14:paraId="7BBD21BB">
            <w:pPr>
              <w:jc w:val="center"/>
              <w:rPr>
                <w:color w:val="000000"/>
                <w:kern w:val="0"/>
                <w:szCs w:val="21"/>
              </w:rPr>
            </w:pPr>
            <w:r>
              <w:rPr>
                <w:color w:val="000000"/>
                <w:kern w:val="0"/>
                <w:szCs w:val="21"/>
              </w:rPr>
              <w:t>34.88</w:t>
            </w:r>
          </w:p>
        </w:tc>
        <w:tc>
          <w:tcPr>
            <w:tcW w:w="497" w:type="pct"/>
            <w:shd w:val="clear" w:color="auto" w:fill="auto"/>
            <w:noWrap/>
            <w:vAlign w:val="center"/>
          </w:tcPr>
          <w:p w14:paraId="21C408E8">
            <w:pPr>
              <w:jc w:val="center"/>
              <w:rPr>
                <w:color w:val="000000"/>
                <w:kern w:val="0"/>
                <w:szCs w:val="21"/>
              </w:rPr>
            </w:pPr>
            <w:r>
              <w:rPr>
                <w:color w:val="000000"/>
                <w:kern w:val="0"/>
                <w:szCs w:val="21"/>
              </w:rPr>
              <w:t>50.5</w:t>
            </w:r>
          </w:p>
        </w:tc>
        <w:tc>
          <w:tcPr>
            <w:tcW w:w="648" w:type="pct"/>
            <w:shd w:val="clear" w:color="auto" w:fill="auto"/>
            <w:noWrap/>
            <w:vAlign w:val="center"/>
          </w:tcPr>
          <w:p w14:paraId="78967D6D">
            <w:pPr>
              <w:jc w:val="center"/>
              <w:rPr>
                <w:color w:val="000000"/>
                <w:kern w:val="0"/>
                <w:szCs w:val="21"/>
              </w:rPr>
            </w:pPr>
            <w:r>
              <w:rPr>
                <w:color w:val="000000"/>
                <w:kern w:val="0"/>
                <w:szCs w:val="21"/>
              </w:rPr>
              <w:t>50.62</w:t>
            </w:r>
          </w:p>
        </w:tc>
        <w:tc>
          <w:tcPr>
            <w:tcW w:w="497" w:type="pct"/>
            <w:shd w:val="clear" w:color="auto" w:fill="auto"/>
            <w:noWrap/>
            <w:vAlign w:val="center"/>
          </w:tcPr>
          <w:p w14:paraId="4056B3F0">
            <w:pPr>
              <w:jc w:val="center"/>
              <w:rPr>
                <w:color w:val="000000"/>
                <w:kern w:val="0"/>
                <w:szCs w:val="21"/>
              </w:rPr>
            </w:pPr>
            <w:r>
              <w:rPr>
                <w:color w:val="000000"/>
                <w:kern w:val="0"/>
                <w:szCs w:val="21"/>
              </w:rPr>
              <w:t>2类</w:t>
            </w:r>
          </w:p>
        </w:tc>
        <w:tc>
          <w:tcPr>
            <w:tcW w:w="347" w:type="pct"/>
            <w:shd w:val="clear" w:color="auto" w:fill="auto"/>
            <w:noWrap/>
            <w:vAlign w:val="center"/>
          </w:tcPr>
          <w:p w14:paraId="5941C30C">
            <w:pPr>
              <w:jc w:val="center"/>
              <w:rPr>
                <w:color w:val="000000"/>
                <w:kern w:val="0"/>
                <w:szCs w:val="21"/>
              </w:rPr>
            </w:pPr>
            <w:r>
              <w:rPr>
                <w:color w:val="000000"/>
                <w:kern w:val="0"/>
                <w:szCs w:val="21"/>
              </w:rPr>
              <w:t>60</w:t>
            </w:r>
          </w:p>
        </w:tc>
        <w:tc>
          <w:tcPr>
            <w:tcW w:w="422" w:type="pct"/>
            <w:shd w:val="clear" w:color="auto" w:fill="auto"/>
            <w:noWrap/>
            <w:vAlign w:val="center"/>
          </w:tcPr>
          <w:p w14:paraId="4AE47A6D">
            <w:pPr>
              <w:jc w:val="center"/>
              <w:rPr>
                <w:color w:val="000000"/>
                <w:kern w:val="0"/>
                <w:szCs w:val="21"/>
              </w:rPr>
            </w:pPr>
            <w:r>
              <w:rPr>
                <w:color w:val="000000"/>
                <w:kern w:val="0"/>
                <w:szCs w:val="21"/>
              </w:rPr>
              <w:t>是</w:t>
            </w:r>
          </w:p>
        </w:tc>
      </w:tr>
      <w:tr w14:paraId="1265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6974EE17">
            <w:pPr>
              <w:jc w:val="center"/>
              <w:rPr>
                <w:color w:val="000000"/>
                <w:kern w:val="0"/>
                <w:szCs w:val="21"/>
              </w:rPr>
            </w:pPr>
            <w:r>
              <w:rPr>
                <w:color w:val="000000"/>
                <w:kern w:val="0"/>
                <w:szCs w:val="21"/>
              </w:rPr>
              <w:t>5</w:t>
            </w:r>
          </w:p>
        </w:tc>
        <w:tc>
          <w:tcPr>
            <w:tcW w:w="669" w:type="pct"/>
            <w:shd w:val="clear" w:color="auto" w:fill="auto"/>
            <w:noWrap/>
            <w:vAlign w:val="center"/>
          </w:tcPr>
          <w:p w14:paraId="45DEE9AF">
            <w:pPr>
              <w:jc w:val="center"/>
              <w:rPr>
                <w:color w:val="000000"/>
                <w:kern w:val="0"/>
                <w:szCs w:val="21"/>
              </w:rPr>
            </w:pPr>
            <w:r>
              <w:rPr>
                <w:color w:val="000000"/>
                <w:kern w:val="0"/>
                <w:szCs w:val="21"/>
              </w:rPr>
              <w:t>场界东侧居民处</w:t>
            </w:r>
          </w:p>
        </w:tc>
        <w:tc>
          <w:tcPr>
            <w:tcW w:w="392" w:type="pct"/>
            <w:shd w:val="clear" w:color="auto" w:fill="auto"/>
            <w:noWrap/>
            <w:vAlign w:val="center"/>
          </w:tcPr>
          <w:p w14:paraId="13B7A5AF">
            <w:pPr>
              <w:jc w:val="center"/>
              <w:rPr>
                <w:color w:val="000000"/>
                <w:kern w:val="0"/>
                <w:szCs w:val="21"/>
              </w:rPr>
            </w:pPr>
            <w:r>
              <w:rPr>
                <w:color w:val="000000"/>
                <w:kern w:val="0"/>
                <w:szCs w:val="21"/>
              </w:rPr>
              <w:t>519.02</w:t>
            </w:r>
          </w:p>
        </w:tc>
        <w:tc>
          <w:tcPr>
            <w:tcW w:w="487" w:type="pct"/>
            <w:shd w:val="clear" w:color="auto" w:fill="auto"/>
            <w:noWrap/>
            <w:vAlign w:val="center"/>
          </w:tcPr>
          <w:p w14:paraId="075BEC84">
            <w:pPr>
              <w:jc w:val="center"/>
              <w:rPr>
                <w:color w:val="000000"/>
                <w:kern w:val="0"/>
                <w:szCs w:val="21"/>
              </w:rPr>
            </w:pPr>
            <w:r>
              <w:rPr>
                <w:color w:val="000000"/>
                <w:kern w:val="0"/>
                <w:szCs w:val="21"/>
              </w:rPr>
              <w:t>43.8</w:t>
            </w:r>
          </w:p>
        </w:tc>
        <w:tc>
          <w:tcPr>
            <w:tcW w:w="272" w:type="pct"/>
            <w:shd w:val="clear" w:color="auto" w:fill="auto"/>
            <w:noWrap/>
            <w:vAlign w:val="center"/>
          </w:tcPr>
          <w:p w14:paraId="6C8D316F">
            <w:pPr>
              <w:jc w:val="center"/>
              <w:rPr>
                <w:color w:val="000000"/>
                <w:kern w:val="0"/>
                <w:szCs w:val="21"/>
              </w:rPr>
            </w:pPr>
            <w:r>
              <w:rPr>
                <w:color w:val="000000"/>
                <w:kern w:val="0"/>
                <w:szCs w:val="21"/>
              </w:rPr>
              <w:t>1.2</w:t>
            </w:r>
          </w:p>
        </w:tc>
        <w:tc>
          <w:tcPr>
            <w:tcW w:w="497" w:type="pct"/>
            <w:shd w:val="clear" w:color="auto" w:fill="auto"/>
            <w:noWrap/>
            <w:vAlign w:val="center"/>
          </w:tcPr>
          <w:p w14:paraId="7FAE52FA">
            <w:pPr>
              <w:jc w:val="center"/>
              <w:rPr>
                <w:color w:val="000000"/>
                <w:kern w:val="0"/>
                <w:szCs w:val="21"/>
              </w:rPr>
            </w:pPr>
            <w:r>
              <w:rPr>
                <w:color w:val="000000"/>
                <w:kern w:val="0"/>
                <w:szCs w:val="21"/>
              </w:rPr>
              <w:t>20.3</w:t>
            </w:r>
          </w:p>
        </w:tc>
        <w:tc>
          <w:tcPr>
            <w:tcW w:w="497" w:type="pct"/>
            <w:shd w:val="clear" w:color="auto" w:fill="auto"/>
            <w:noWrap/>
            <w:vAlign w:val="center"/>
          </w:tcPr>
          <w:p w14:paraId="5DB23123">
            <w:pPr>
              <w:jc w:val="center"/>
              <w:rPr>
                <w:color w:val="000000"/>
                <w:kern w:val="0"/>
                <w:szCs w:val="21"/>
              </w:rPr>
            </w:pPr>
            <w:r>
              <w:rPr>
                <w:color w:val="000000"/>
                <w:kern w:val="0"/>
                <w:szCs w:val="21"/>
              </w:rPr>
              <w:t>52.5</w:t>
            </w:r>
          </w:p>
        </w:tc>
        <w:tc>
          <w:tcPr>
            <w:tcW w:w="648" w:type="pct"/>
            <w:shd w:val="clear" w:color="auto" w:fill="auto"/>
            <w:noWrap/>
            <w:vAlign w:val="center"/>
          </w:tcPr>
          <w:p w14:paraId="1813F059">
            <w:pPr>
              <w:jc w:val="center"/>
              <w:rPr>
                <w:color w:val="000000"/>
                <w:kern w:val="0"/>
                <w:szCs w:val="21"/>
              </w:rPr>
            </w:pPr>
            <w:r>
              <w:rPr>
                <w:color w:val="000000"/>
                <w:kern w:val="0"/>
                <w:szCs w:val="21"/>
              </w:rPr>
              <w:t>52.5</w:t>
            </w:r>
          </w:p>
        </w:tc>
        <w:tc>
          <w:tcPr>
            <w:tcW w:w="497" w:type="pct"/>
            <w:shd w:val="clear" w:color="auto" w:fill="auto"/>
            <w:noWrap/>
            <w:vAlign w:val="center"/>
          </w:tcPr>
          <w:p w14:paraId="4FF837A2">
            <w:pPr>
              <w:jc w:val="center"/>
              <w:rPr>
                <w:color w:val="000000"/>
                <w:kern w:val="0"/>
                <w:szCs w:val="21"/>
              </w:rPr>
            </w:pPr>
            <w:r>
              <w:rPr>
                <w:color w:val="000000"/>
                <w:kern w:val="0"/>
                <w:szCs w:val="21"/>
              </w:rPr>
              <w:t>2类</w:t>
            </w:r>
          </w:p>
        </w:tc>
        <w:tc>
          <w:tcPr>
            <w:tcW w:w="347" w:type="pct"/>
            <w:shd w:val="clear" w:color="auto" w:fill="auto"/>
            <w:noWrap/>
            <w:vAlign w:val="center"/>
          </w:tcPr>
          <w:p w14:paraId="007B2FA0">
            <w:pPr>
              <w:jc w:val="center"/>
              <w:rPr>
                <w:color w:val="000000"/>
                <w:kern w:val="0"/>
                <w:szCs w:val="21"/>
              </w:rPr>
            </w:pPr>
            <w:r>
              <w:rPr>
                <w:color w:val="000000"/>
                <w:kern w:val="0"/>
                <w:szCs w:val="21"/>
              </w:rPr>
              <w:t>60</w:t>
            </w:r>
          </w:p>
        </w:tc>
        <w:tc>
          <w:tcPr>
            <w:tcW w:w="422" w:type="pct"/>
            <w:shd w:val="clear" w:color="auto" w:fill="auto"/>
            <w:noWrap/>
            <w:vAlign w:val="center"/>
          </w:tcPr>
          <w:p w14:paraId="10DEC493">
            <w:pPr>
              <w:jc w:val="center"/>
              <w:rPr>
                <w:color w:val="000000"/>
                <w:kern w:val="0"/>
                <w:szCs w:val="21"/>
              </w:rPr>
            </w:pPr>
            <w:r>
              <w:rPr>
                <w:color w:val="000000"/>
                <w:kern w:val="0"/>
                <w:szCs w:val="21"/>
              </w:rPr>
              <w:t>是</w:t>
            </w:r>
          </w:p>
        </w:tc>
      </w:tr>
      <w:tr w14:paraId="52D4E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58732577">
            <w:pPr>
              <w:jc w:val="center"/>
              <w:rPr>
                <w:color w:val="000000"/>
                <w:kern w:val="0"/>
                <w:szCs w:val="21"/>
              </w:rPr>
            </w:pPr>
            <w:r>
              <w:rPr>
                <w:color w:val="000000"/>
                <w:kern w:val="0"/>
                <w:szCs w:val="21"/>
              </w:rPr>
              <w:t>6</w:t>
            </w:r>
          </w:p>
        </w:tc>
        <w:tc>
          <w:tcPr>
            <w:tcW w:w="669" w:type="pct"/>
            <w:shd w:val="clear" w:color="auto" w:fill="auto"/>
            <w:noWrap/>
            <w:vAlign w:val="center"/>
          </w:tcPr>
          <w:p w14:paraId="54712743">
            <w:pPr>
              <w:jc w:val="center"/>
              <w:rPr>
                <w:color w:val="000000"/>
                <w:kern w:val="0"/>
                <w:szCs w:val="21"/>
              </w:rPr>
            </w:pPr>
            <w:r>
              <w:rPr>
                <w:color w:val="000000"/>
                <w:kern w:val="0"/>
                <w:szCs w:val="21"/>
              </w:rPr>
              <w:t>场界东南侧居民处</w:t>
            </w:r>
          </w:p>
        </w:tc>
        <w:tc>
          <w:tcPr>
            <w:tcW w:w="392" w:type="pct"/>
            <w:shd w:val="clear" w:color="auto" w:fill="auto"/>
            <w:noWrap/>
            <w:vAlign w:val="center"/>
          </w:tcPr>
          <w:p w14:paraId="13FC17CC">
            <w:pPr>
              <w:jc w:val="center"/>
              <w:rPr>
                <w:color w:val="000000"/>
                <w:kern w:val="0"/>
                <w:szCs w:val="21"/>
              </w:rPr>
            </w:pPr>
            <w:r>
              <w:rPr>
                <w:color w:val="000000"/>
                <w:kern w:val="0"/>
                <w:szCs w:val="21"/>
              </w:rPr>
              <w:t>334.71</w:t>
            </w:r>
          </w:p>
        </w:tc>
        <w:tc>
          <w:tcPr>
            <w:tcW w:w="487" w:type="pct"/>
            <w:shd w:val="clear" w:color="auto" w:fill="auto"/>
            <w:noWrap/>
            <w:vAlign w:val="center"/>
          </w:tcPr>
          <w:p w14:paraId="4929BA83">
            <w:pPr>
              <w:jc w:val="center"/>
              <w:rPr>
                <w:color w:val="000000"/>
                <w:kern w:val="0"/>
                <w:szCs w:val="21"/>
              </w:rPr>
            </w:pPr>
            <w:r>
              <w:rPr>
                <w:color w:val="000000"/>
                <w:kern w:val="0"/>
                <w:szCs w:val="21"/>
              </w:rPr>
              <w:t>-103.64</w:t>
            </w:r>
          </w:p>
        </w:tc>
        <w:tc>
          <w:tcPr>
            <w:tcW w:w="272" w:type="pct"/>
            <w:shd w:val="clear" w:color="auto" w:fill="auto"/>
            <w:noWrap/>
            <w:vAlign w:val="center"/>
          </w:tcPr>
          <w:p w14:paraId="60E4FF6A">
            <w:pPr>
              <w:jc w:val="center"/>
              <w:rPr>
                <w:color w:val="000000"/>
                <w:kern w:val="0"/>
                <w:szCs w:val="21"/>
              </w:rPr>
            </w:pPr>
            <w:r>
              <w:rPr>
                <w:color w:val="000000"/>
                <w:kern w:val="0"/>
                <w:szCs w:val="21"/>
              </w:rPr>
              <w:t>1.2</w:t>
            </w:r>
          </w:p>
        </w:tc>
        <w:tc>
          <w:tcPr>
            <w:tcW w:w="497" w:type="pct"/>
            <w:shd w:val="clear" w:color="auto" w:fill="auto"/>
            <w:noWrap/>
            <w:vAlign w:val="center"/>
          </w:tcPr>
          <w:p w14:paraId="4C277ED1">
            <w:pPr>
              <w:jc w:val="center"/>
              <w:rPr>
                <w:color w:val="000000"/>
                <w:kern w:val="0"/>
                <w:szCs w:val="21"/>
              </w:rPr>
            </w:pPr>
            <w:r>
              <w:rPr>
                <w:color w:val="000000"/>
                <w:kern w:val="0"/>
                <w:szCs w:val="21"/>
              </w:rPr>
              <w:t>22.22</w:t>
            </w:r>
          </w:p>
        </w:tc>
        <w:tc>
          <w:tcPr>
            <w:tcW w:w="497" w:type="pct"/>
            <w:shd w:val="clear" w:color="auto" w:fill="auto"/>
            <w:noWrap/>
            <w:vAlign w:val="center"/>
          </w:tcPr>
          <w:p w14:paraId="2238F4B0">
            <w:pPr>
              <w:jc w:val="center"/>
              <w:rPr>
                <w:color w:val="000000"/>
                <w:kern w:val="0"/>
                <w:szCs w:val="21"/>
              </w:rPr>
            </w:pPr>
            <w:r>
              <w:rPr>
                <w:color w:val="000000"/>
                <w:kern w:val="0"/>
                <w:szCs w:val="21"/>
              </w:rPr>
              <w:t>53</w:t>
            </w:r>
          </w:p>
        </w:tc>
        <w:tc>
          <w:tcPr>
            <w:tcW w:w="648" w:type="pct"/>
            <w:shd w:val="clear" w:color="auto" w:fill="auto"/>
            <w:noWrap/>
            <w:vAlign w:val="center"/>
          </w:tcPr>
          <w:p w14:paraId="7E0FD8D4">
            <w:pPr>
              <w:jc w:val="center"/>
              <w:rPr>
                <w:color w:val="000000"/>
                <w:kern w:val="0"/>
                <w:szCs w:val="21"/>
              </w:rPr>
            </w:pPr>
            <w:r>
              <w:rPr>
                <w:color w:val="000000"/>
                <w:kern w:val="0"/>
                <w:szCs w:val="21"/>
              </w:rPr>
              <w:t>53</w:t>
            </w:r>
          </w:p>
        </w:tc>
        <w:tc>
          <w:tcPr>
            <w:tcW w:w="497" w:type="pct"/>
            <w:shd w:val="clear" w:color="auto" w:fill="auto"/>
            <w:noWrap/>
            <w:vAlign w:val="center"/>
          </w:tcPr>
          <w:p w14:paraId="40FE3580">
            <w:pPr>
              <w:jc w:val="center"/>
              <w:rPr>
                <w:color w:val="000000"/>
                <w:kern w:val="0"/>
                <w:szCs w:val="21"/>
              </w:rPr>
            </w:pPr>
            <w:r>
              <w:rPr>
                <w:color w:val="000000"/>
                <w:kern w:val="0"/>
                <w:szCs w:val="21"/>
              </w:rPr>
              <w:t>2类</w:t>
            </w:r>
          </w:p>
        </w:tc>
        <w:tc>
          <w:tcPr>
            <w:tcW w:w="347" w:type="pct"/>
            <w:shd w:val="clear" w:color="auto" w:fill="auto"/>
            <w:noWrap/>
            <w:vAlign w:val="center"/>
          </w:tcPr>
          <w:p w14:paraId="73574C55">
            <w:pPr>
              <w:jc w:val="center"/>
              <w:rPr>
                <w:color w:val="000000"/>
                <w:kern w:val="0"/>
                <w:szCs w:val="21"/>
              </w:rPr>
            </w:pPr>
            <w:r>
              <w:rPr>
                <w:color w:val="000000"/>
                <w:kern w:val="0"/>
                <w:szCs w:val="21"/>
              </w:rPr>
              <w:t>60</w:t>
            </w:r>
          </w:p>
        </w:tc>
        <w:tc>
          <w:tcPr>
            <w:tcW w:w="422" w:type="pct"/>
            <w:shd w:val="clear" w:color="auto" w:fill="auto"/>
            <w:noWrap/>
            <w:vAlign w:val="center"/>
          </w:tcPr>
          <w:p w14:paraId="77185B1A">
            <w:pPr>
              <w:jc w:val="center"/>
              <w:rPr>
                <w:color w:val="000000"/>
                <w:kern w:val="0"/>
                <w:szCs w:val="21"/>
              </w:rPr>
            </w:pPr>
            <w:r>
              <w:rPr>
                <w:color w:val="000000"/>
                <w:kern w:val="0"/>
                <w:szCs w:val="21"/>
              </w:rPr>
              <w:t>是</w:t>
            </w:r>
          </w:p>
        </w:tc>
      </w:tr>
      <w:tr w14:paraId="325E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4D2A8A36">
            <w:pPr>
              <w:jc w:val="center"/>
              <w:rPr>
                <w:color w:val="000000"/>
                <w:kern w:val="0"/>
                <w:szCs w:val="21"/>
              </w:rPr>
            </w:pPr>
            <w:r>
              <w:rPr>
                <w:color w:val="000000"/>
                <w:kern w:val="0"/>
                <w:szCs w:val="21"/>
              </w:rPr>
              <w:t>7</w:t>
            </w:r>
          </w:p>
        </w:tc>
        <w:tc>
          <w:tcPr>
            <w:tcW w:w="669" w:type="pct"/>
            <w:shd w:val="clear" w:color="auto" w:fill="auto"/>
            <w:noWrap/>
            <w:vAlign w:val="center"/>
          </w:tcPr>
          <w:p w14:paraId="74051CF8">
            <w:pPr>
              <w:jc w:val="center"/>
              <w:rPr>
                <w:color w:val="000000"/>
                <w:kern w:val="0"/>
                <w:szCs w:val="21"/>
              </w:rPr>
            </w:pPr>
            <w:r>
              <w:rPr>
                <w:color w:val="000000"/>
                <w:kern w:val="0"/>
                <w:szCs w:val="21"/>
              </w:rPr>
              <w:t>场界南侧居民处</w:t>
            </w:r>
          </w:p>
        </w:tc>
        <w:tc>
          <w:tcPr>
            <w:tcW w:w="392" w:type="pct"/>
            <w:shd w:val="clear" w:color="auto" w:fill="auto"/>
            <w:noWrap/>
            <w:vAlign w:val="center"/>
          </w:tcPr>
          <w:p w14:paraId="033550C1">
            <w:pPr>
              <w:jc w:val="center"/>
              <w:rPr>
                <w:color w:val="000000"/>
                <w:kern w:val="0"/>
                <w:szCs w:val="21"/>
              </w:rPr>
            </w:pPr>
            <w:r>
              <w:rPr>
                <w:color w:val="000000"/>
                <w:kern w:val="0"/>
                <w:szCs w:val="21"/>
              </w:rPr>
              <w:t>93.58</w:t>
            </w:r>
          </w:p>
        </w:tc>
        <w:tc>
          <w:tcPr>
            <w:tcW w:w="487" w:type="pct"/>
            <w:shd w:val="clear" w:color="auto" w:fill="auto"/>
            <w:noWrap/>
            <w:vAlign w:val="center"/>
          </w:tcPr>
          <w:p w14:paraId="2F67BCED">
            <w:pPr>
              <w:jc w:val="center"/>
              <w:rPr>
                <w:color w:val="000000"/>
                <w:kern w:val="0"/>
                <w:szCs w:val="21"/>
              </w:rPr>
            </w:pPr>
            <w:r>
              <w:rPr>
                <w:color w:val="000000"/>
                <w:kern w:val="0"/>
                <w:szCs w:val="21"/>
              </w:rPr>
              <w:t>-45.28</w:t>
            </w:r>
          </w:p>
        </w:tc>
        <w:tc>
          <w:tcPr>
            <w:tcW w:w="272" w:type="pct"/>
            <w:shd w:val="clear" w:color="auto" w:fill="auto"/>
            <w:noWrap/>
            <w:vAlign w:val="center"/>
          </w:tcPr>
          <w:p w14:paraId="39C7AE83">
            <w:pPr>
              <w:jc w:val="center"/>
              <w:rPr>
                <w:color w:val="000000"/>
                <w:kern w:val="0"/>
                <w:szCs w:val="21"/>
              </w:rPr>
            </w:pPr>
            <w:r>
              <w:rPr>
                <w:color w:val="000000"/>
                <w:kern w:val="0"/>
                <w:szCs w:val="21"/>
              </w:rPr>
              <w:t>1.2</w:t>
            </w:r>
          </w:p>
        </w:tc>
        <w:tc>
          <w:tcPr>
            <w:tcW w:w="497" w:type="pct"/>
            <w:shd w:val="clear" w:color="auto" w:fill="auto"/>
            <w:noWrap/>
            <w:vAlign w:val="center"/>
          </w:tcPr>
          <w:p w14:paraId="3C7E9CF9">
            <w:pPr>
              <w:jc w:val="center"/>
              <w:rPr>
                <w:color w:val="000000"/>
                <w:kern w:val="0"/>
                <w:szCs w:val="21"/>
              </w:rPr>
            </w:pPr>
            <w:r>
              <w:rPr>
                <w:color w:val="000000"/>
                <w:kern w:val="0"/>
                <w:szCs w:val="21"/>
              </w:rPr>
              <w:t>26.38</w:t>
            </w:r>
          </w:p>
        </w:tc>
        <w:tc>
          <w:tcPr>
            <w:tcW w:w="497" w:type="pct"/>
            <w:shd w:val="clear" w:color="auto" w:fill="auto"/>
            <w:noWrap/>
            <w:vAlign w:val="center"/>
          </w:tcPr>
          <w:p w14:paraId="6058DDF0">
            <w:pPr>
              <w:jc w:val="center"/>
              <w:rPr>
                <w:color w:val="000000"/>
                <w:kern w:val="0"/>
                <w:szCs w:val="21"/>
              </w:rPr>
            </w:pPr>
            <w:r>
              <w:rPr>
                <w:color w:val="000000"/>
                <w:kern w:val="0"/>
                <w:szCs w:val="21"/>
              </w:rPr>
              <w:t>51.5</w:t>
            </w:r>
          </w:p>
        </w:tc>
        <w:tc>
          <w:tcPr>
            <w:tcW w:w="648" w:type="pct"/>
            <w:shd w:val="clear" w:color="auto" w:fill="auto"/>
            <w:noWrap/>
            <w:vAlign w:val="center"/>
          </w:tcPr>
          <w:p w14:paraId="4C472617">
            <w:pPr>
              <w:jc w:val="center"/>
              <w:rPr>
                <w:color w:val="000000"/>
                <w:kern w:val="0"/>
                <w:szCs w:val="21"/>
              </w:rPr>
            </w:pPr>
            <w:r>
              <w:rPr>
                <w:color w:val="000000"/>
                <w:kern w:val="0"/>
                <w:szCs w:val="21"/>
              </w:rPr>
              <w:t>51.51</w:t>
            </w:r>
          </w:p>
        </w:tc>
        <w:tc>
          <w:tcPr>
            <w:tcW w:w="497" w:type="pct"/>
            <w:shd w:val="clear" w:color="auto" w:fill="auto"/>
            <w:noWrap/>
            <w:vAlign w:val="center"/>
          </w:tcPr>
          <w:p w14:paraId="608D1B64">
            <w:pPr>
              <w:jc w:val="center"/>
              <w:rPr>
                <w:color w:val="000000"/>
                <w:kern w:val="0"/>
                <w:szCs w:val="21"/>
              </w:rPr>
            </w:pPr>
            <w:r>
              <w:rPr>
                <w:color w:val="000000"/>
                <w:kern w:val="0"/>
                <w:szCs w:val="21"/>
              </w:rPr>
              <w:t>2类</w:t>
            </w:r>
          </w:p>
        </w:tc>
        <w:tc>
          <w:tcPr>
            <w:tcW w:w="347" w:type="pct"/>
            <w:shd w:val="clear" w:color="auto" w:fill="auto"/>
            <w:noWrap/>
            <w:vAlign w:val="center"/>
          </w:tcPr>
          <w:p w14:paraId="2060BFC5">
            <w:pPr>
              <w:jc w:val="center"/>
              <w:rPr>
                <w:color w:val="000000"/>
                <w:kern w:val="0"/>
                <w:szCs w:val="21"/>
              </w:rPr>
            </w:pPr>
            <w:r>
              <w:rPr>
                <w:color w:val="000000"/>
                <w:kern w:val="0"/>
                <w:szCs w:val="21"/>
              </w:rPr>
              <w:t>60</w:t>
            </w:r>
          </w:p>
        </w:tc>
        <w:tc>
          <w:tcPr>
            <w:tcW w:w="422" w:type="pct"/>
            <w:shd w:val="clear" w:color="auto" w:fill="auto"/>
            <w:noWrap/>
            <w:vAlign w:val="center"/>
          </w:tcPr>
          <w:p w14:paraId="3AA9A662">
            <w:pPr>
              <w:jc w:val="center"/>
              <w:rPr>
                <w:color w:val="000000"/>
                <w:kern w:val="0"/>
                <w:szCs w:val="21"/>
              </w:rPr>
            </w:pPr>
            <w:r>
              <w:rPr>
                <w:color w:val="000000"/>
                <w:kern w:val="0"/>
                <w:szCs w:val="21"/>
              </w:rPr>
              <w:t>是</w:t>
            </w:r>
          </w:p>
        </w:tc>
      </w:tr>
      <w:tr w14:paraId="3C82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659A1BCB">
            <w:pPr>
              <w:jc w:val="center"/>
              <w:rPr>
                <w:color w:val="000000"/>
                <w:kern w:val="0"/>
                <w:szCs w:val="21"/>
              </w:rPr>
            </w:pPr>
            <w:r>
              <w:rPr>
                <w:color w:val="000000"/>
                <w:kern w:val="0"/>
                <w:szCs w:val="21"/>
              </w:rPr>
              <w:t>8</w:t>
            </w:r>
          </w:p>
        </w:tc>
        <w:tc>
          <w:tcPr>
            <w:tcW w:w="669" w:type="pct"/>
            <w:shd w:val="clear" w:color="auto" w:fill="auto"/>
            <w:noWrap/>
            <w:vAlign w:val="center"/>
          </w:tcPr>
          <w:p w14:paraId="64293999">
            <w:pPr>
              <w:jc w:val="center"/>
              <w:rPr>
                <w:color w:val="000000"/>
                <w:kern w:val="0"/>
                <w:szCs w:val="21"/>
              </w:rPr>
            </w:pPr>
            <w:r>
              <w:rPr>
                <w:color w:val="000000"/>
                <w:kern w:val="0"/>
                <w:szCs w:val="21"/>
              </w:rPr>
              <w:t>场界西南侧居民处</w:t>
            </w:r>
          </w:p>
        </w:tc>
        <w:tc>
          <w:tcPr>
            <w:tcW w:w="392" w:type="pct"/>
            <w:shd w:val="clear" w:color="auto" w:fill="auto"/>
            <w:noWrap/>
            <w:vAlign w:val="center"/>
          </w:tcPr>
          <w:p w14:paraId="1C939048">
            <w:pPr>
              <w:jc w:val="center"/>
              <w:rPr>
                <w:color w:val="000000"/>
                <w:kern w:val="0"/>
                <w:szCs w:val="21"/>
              </w:rPr>
            </w:pPr>
            <w:r>
              <w:rPr>
                <w:color w:val="000000"/>
                <w:kern w:val="0"/>
                <w:szCs w:val="21"/>
              </w:rPr>
              <w:t>-66.15</w:t>
            </w:r>
          </w:p>
        </w:tc>
        <w:tc>
          <w:tcPr>
            <w:tcW w:w="487" w:type="pct"/>
            <w:shd w:val="clear" w:color="auto" w:fill="auto"/>
            <w:noWrap/>
            <w:vAlign w:val="center"/>
          </w:tcPr>
          <w:p w14:paraId="6412CAA2">
            <w:pPr>
              <w:jc w:val="center"/>
              <w:rPr>
                <w:color w:val="000000"/>
                <w:kern w:val="0"/>
                <w:szCs w:val="21"/>
              </w:rPr>
            </w:pPr>
            <w:r>
              <w:rPr>
                <w:color w:val="000000"/>
                <w:kern w:val="0"/>
                <w:szCs w:val="21"/>
              </w:rPr>
              <w:t>42.27</w:t>
            </w:r>
          </w:p>
        </w:tc>
        <w:tc>
          <w:tcPr>
            <w:tcW w:w="272" w:type="pct"/>
            <w:shd w:val="clear" w:color="auto" w:fill="auto"/>
            <w:noWrap/>
            <w:vAlign w:val="center"/>
          </w:tcPr>
          <w:p w14:paraId="3FF496B2">
            <w:pPr>
              <w:jc w:val="center"/>
              <w:rPr>
                <w:color w:val="000000"/>
                <w:kern w:val="0"/>
                <w:szCs w:val="21"/>
              </w:rPr>
            </w:pPr>
            <w:r>
              <w:rPr>
                <w:color w:val="000000"/>
                <w:kern w:val="0"/>
                <w:szCs w:val="21"/>
              </w:rPr>
              <w:t>1.2</w:t>
            </w:r>
          </w:p>
        </w:tc>
        <w:tc>
          <w:tcPr>
            <w:tcW w:w="497" w:type="pct"/>
            <w:shd w:val="clear" w:color="auto" w:fill="auto"/>
            <w:noWrap/>
            <w:vAlign w:val="center"/>
          </w:tcPr>
          <w:p w14:paraId="25460F72">
            <w:pPr>
              <w:jc w:val="center"/>
              <w:rPr>
                <w:color w:val="000000"/>
                <w:kern w:val="0"/>
                <w:szCs w:val="21"/>
              </w:rPr>
            </w:pPr>
            <w:r>
              <w:rPr>
                <w:color w:val="000000"/>
                <w:kern w:val="0"/>
                <w:szCs w:val="21"/>
              </w:rPr>
              <w:t>24.49</w:t>
            </w:r>
          </w:p>
        </w:tc>
        <w:tc>
          <w:tcPr>
            <w:tcW w:w="497" w:type="pct"/>
            <w:shd w:val="clear" w:color="auto" w:fill="auto"/>
            <w:noWrap/>
            <w:vAlign w:val="center"/>
          </w:tcPr>
          <w:p w14:paraId="0BCB47A8">
            <w:pPr>
              <w:jc w:val="center"/>
              <w:rPr>
                <w:color w:val="000000"/>
                <w:kern w:val="0"/>
                <w:szCs w:val="21"/>
              </w:rPr>
            </w:pPr>
            <w:r>
              <w:rPr>
                <w:color w:val="000000"/>
                <w:kern w:val="0"/>
                <w:szCs w:val="21"/>
              </w:rPr>
              <w:t>49.5</w:t>
            </w:r>
          </w:p>
        </w:tc>
        <w:tc>
          <w:tcPr>
            <w:tcW w:w="648" w:type="pct"/>
            <w:shd w:val="clear" w:color="auto" w:fill="auto"/>
            <w:noWrap/>
            <w:vAlign w:val="center"/>
          </w:tcPr>
          <w:p w14:paraId="1088B733">
            <w:pPr>
              <w:jc w:val="center"/>
              <w:rPr>
                <w:color w:val="000000"/>
                <w:kern w:val="0"/>
                <w:szCs w:val="21"/>
              </w:rPr>
            </w:pPr>
            <w:r>
              <w:rPr>
                <w:color w:val="000000"/>
                <w:kern w:val="0"/>
                <w:szCs w:val="21"/>
              </w:rPr>
              <w:t>49.51</w:t>
            </w:r>
          </w:p>
        </w:tc>
        <w:tc>
          <w:tcPr>
            <w:tcW w:w="497" w:type="pct"/>
            <w:shd w:val="clear" w:color="auto" w:fill="auto"/>
            <w:noWrap/>
            <w:vAlign w:val="center"/>
          </w:tcPr>
          <w:p w14:paraId="67E8D7B9">
            <w:pPr>
              <w:jc w:val="center"/>
              <w:rPr>
                <w:color w:val="000000"/>
                <w:kern w:val="0"/>
                <w:szCs w:val="21"/>
              </w:rPr>
            </w:pPr>
            <w:r>
              <w:rPr>
                <w:color w:val="000000"/>
                <w:kern w:val="0"/>
                <w:szCs w:val="21"/>
              </w:rPr>
              <w:t>2类</w:t>
            </w:r>
          </w:p>
        </w:tc>
        <w:tc>
          <w:tcPr>
            <w:tcW w:w="347" w:type="pct"/>
            <w:shd w:val="clear" w:color="auto" w:fill="auto"/>
            <w:noWrap/>
            <w:vAlign w:val="center"/>
          </w:tcPr>
          <w:p w14:paraId="6AA8B6E3">
            <w:pPr>
              <w:jc w:val="center"/>
              <w:rPr>
                <w:color w:val="000000"/>
                <w:kern w:val="0"/>
                <w:szCs w:val="21"/>
              </w:rPr>
            </w:pPr>
            <w:r>
              <w:rPr>
                <w:color w:val="000000"/>
                <w:kern w:val="0"/>
                <w:szCs w:val="21"/>
              </w:rPr>
              <w:t>60</w:t>
            </w:r>
          </w:p>
        </w:tc>
        <w:tc>
          <w:tcPr>
            <w:tcW w:w="422" w:type="pct"/>
            <w:shd w:val="clear" w:color="auto" w:fill="auto"/>
            <w:noWrap/>
            <w:vAlign w:val="center"/>
          </w:tcPr>
          <w:p w14:paraId="657D04C5">
            <w:pPr>
              <w:jc w:val="center"/>
              <w:rPr>
                <w:color w:val="000000"/>
                <w:kern w:val="0"/>
                <w:szCs w:val="21"/>
              </w:rPr>
            </w:pPr>
            <w:r>
              <w:rPr>
                <w:color w:val="000000"/>
                <w:kern w:val="0"/>
                <w:szCs w:val="21"/>
              </w:rPr>
              <w:t>是</w:t>
            </w:r>
          </w:p>
        </w:tc>
      </w:tr>
      <w:tr w14:paraId="26AE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07B4800A">
            <w:pPr>
              <w:jc w:val="center"/>
              <w:rPr>
                <w:color w:val="000000"/>
                <w:kern w:val="0"/>
                <w:szCs w:val="21"/>
              </w:rPr>
            </w:pPr>
            <w:r>
              <w:rPr>
                <w:color w:val="000000"/>
                <w:kern w:val="0"/>
                <w:szCs w:val="21"/>
              </w:rPr>
              <w:t>9</w:t>
            </w:r>
          </w:p>
        </w:tc>
        <w:tc>
          <w:tcPr>
            <w:tcW w:w="669" w:type="pct"/>
            <w:shd w:val="clear" w:color="auto" w:fill="auto"/>
            <w:noWrap/>
            <w:vAlign w:val="center"/>
          </w:tcPr>
          <w:p w14:paraId="32A0BD13">
            <w:pPr>
              <w:jc w:val="center"/>
              <w:rPr>
                <w:color w:val="000000"/>
                <w:kern w:val="0"/>
                <w:szCs w:val="21"/>
              </w:rPr>
            </w:pPr>
            <w:r>
              <w:rPr>
                <w:color w:val="000000"/>
                <w:kern w:val="0"/>
                <w:szCs w:val="21"/>
              </w:rPr>
              <w:t>场界西北侧居民处</w:t>
            </w:r>
          </w:p>
        </w:tc>
        <w:tc>
          <w:tcPr>
            <w:tcW w:w="392" w:type="pct"/>
            <w:shd w:val="clear" w:color="auto" w:fill="auto"/>
            <w:noWrap/>
            <w:vAlign w:val="center"/>
          </w:tcPr>
          <w:p w14:paraId="5B8259A4">
            <w:pPr>
              <w:jc w:val="center"/>
              <w:rPr>
                <w:color w:val="000000"/>
                <w:kern w:val="0"/>
                <w:szCs w:val="21"/>
              </w:rPr>
            </w:pPr>
            <w:r>
              <w:rPr>
                <w:color w:val="000000"/>
                <w:kern w:val="0"/>
                <w:szCs w:val="21"/>
              </w:rPr>
              <w:t>59.79</w:t>
            </w:r>
          </w:p>
        </w:tc>
        <w:tc>
          <w:tcPr>
            <w:tcW w:w="487" w:type="pct"/>
            <w:shd w:val="clear" w:color="auto" w:fill="auto"/>
            <w:noWrap/>
            <w:vAlign w:val="center"/>
          </w:tcPr>
          <w:p w14:paraId="32B5DD51">
            <w:pPr>
              <w:jc w:val="center"/>
              <w:rPr>
                <w:color w:val="000000"/>
                <w:kern w:val="0"/>
                <w:szCs w:val="21"/>
              </w:rPr>
            </w:pPr>
            <w:r>
              <w:rPr>
                <w:color w:val="000000"/>
                <w:kern w:val="0"/>
                <w:szCs w:val="21"/>
              </w:rPr>
              <w:t>286.47</w:t>
            </w:r>
          </w:p>
        </w:tc>
        <w:tc>
          <w:tcPr>
            <w:tcW w:w="272" w:type="pct"/>
            <w:shd w:val="clear" w:color="auto" w:fill="auto"/>
            <w:noWrap/>
            <w:vAlign w:val="center"/>
          </w:tcPr>
          <w:p w14:paraId="05F8461E">
            <w:pPr>
              <w:jc w:val="center"/>
              <w:rPr>
                <w:color w:val="000000"/>
                <w:kern w:val="0"/>
                <w:szCs w:val="21"/>
              </w:rPr>
            </w:pPr>
            <w:r>
              <w:rPr>
                <w:color w:val="000000"/>
                <w:kern w:val="0"/>
                <w:szCs w:val="21"/>
              </w:rPr>
              <w:t>1.2</w:t>
            </w:r>
          </w:p>
        </w:tc>
        <w:tc>
          <w:tcPr>
            <w:tcW w:w="497" w:type="pct"/>
            <w:shd w:val="clear" w:color="auto" w:fill="auto"/>
            <w:noWrap/>
            <w:vAlign w:val="center"/>
          </w:tcPr>
          <w:p w14:paraId="20A6B0A3">
            <w:pPr>
              <w:jc w:val="center"/>
              <w:rPr>
                <w:color w:val="000000"/>
                <w:kern w:val="0"/>
                <w:szCs w:val="21"/>
              </w:rPr>
            </w:pPr>
            <w:r>
              <w:rPr>
                <w:color w:val="000000"/>
                <w:kern w:val="0"/>
                <w:szCs w:val="21"/>
              </w:rPr>
              <w:t>25.69</w:t>
            </w:r>
          </w:p>
        </w:tc>
        <w:tc>
          <w:tcPr>
            <w:tcW w:w="497" w:type="pct"/>
            <w:shd w:val="clear" w:color="auto" w:fill="auto"/>
            <w:noWrap/>
            <w:vAlign w:val="center"/>
          </w:tcPr>
          <w:p w14:paraId="35D3187C">
            <w:pPr>
              <w:jc w:val="center"/>
              <w:rPr>
                <w:color w:val="000000"/>
                <w:kern w:val="0"/>
                <w:szCs w:val="21"/>
              </w:rPr>
            </w:pPr>
            <w:r>
              <w:rPr>
                <w:color w:val="000000"/>
                <w:kern w:val="0"/>
                <w:szCs w:val="21"/>
              </w:rPr>
              <w:t>50</w:t>
            </w:r>
          </w:p>
        </w:tc>
        <w:tc>
          <w:tcPr>
            <w:tcW w:w="648" w:type="pct"/>
            <w:shd w:val="clear" w:color="auto" w:fill="auto"/>
            <w:noWrap/>
            <w:vAlign w:val="center"/>
          </w:tcPr>
          <w:p w14:paraId="7E5F1A85">
            <w:pPr>
              <w:jc w:val="center"/>
              <w:rPr>
                <w:color w:val="000000"/>
                <w:kern w:val="0"/>
                <w:szCs w:val="21"/>
              </w:rPr>
            </w:pPr>
            <w:r>
              <w:rPr>
                <w:color w:val="000000"/>
                <w:kern w:val="0"/>
                <w:szCs w:val="21"/>
              </w:rPr>
              <w:t>50.02</w:t>
            </w:r>
          </w:p>
        </w:tc>
        <w:tc>
          <w:tcPr>
            <w:tcW w:w="497" w:type="pct"/>
            <w:shd w:val="clear" w:color="auto" w:fill="auto"/>
            <w:noWrap/>
            <w:vAlign w:val="center"/>
          </w:tcPr>
          <w:p w14:paraId="2189597A">
            <w:pPr>
              <w:jc w:val="center"/>
              <w:rPr>
                <w:color w:val="000000"/>
                <w:kern w:val="0"/>
                <w:szCs w:val="21"/>
              </w:rPr>
            </w:pPr>
            <w:r>
              <w:rPr>
                <w:color w:val="000000"/>
                <w:kern w:val="0"/>
                <w:szCs w:val="21"/>
              </w:rPr>
              <w:t>2类</w:t>
            </w:r>
          </w:p>
        </w:tc>
        <w:tc>
          <w:tcPr>
            <w:tcW w:w="347" w:type="pct"/>
            <w:shd w:val="clear" w:color="auto" w:fill="auto"/>
            <w:noWrap/>
            <w:vAlign w:val="center"/>
          </w:tcPr>
          <w:p w14:paraId="2D3A6C39">
            <w:pPr>
              <w:jc w:val="center"/>
              <w:rPr>
                <w:color w:val="000000"/>
                <w:kern w:val="0"/>
                <w:szCs w:val="21"/>
              </w:rPr>
            </w:pPr>
            <w:r>
              <w:rPr>
                <w:color w:val="000000"/>
                <w:kern w:val="0"/>
                <w:szCs w:val="21"/>
              </w:rPr>
              <w:t>60</w:t>
            </w:r>
          </w:p>
        </w:tc>
        <w:tc>
          <w:tcPr>
            <w:tcW w:w="422" w:type="pct"/>
            <w:shd w:val="clear" w:color="auto" w:fill="auto"/>
            <w:noWrap/>
            <w:vAlign w:val="center"/>
          </w:tcPr>
          <w:p w14:paraId="35568473">
            <w:pPr>
              <w:jc w:val="center"/>
              <w:rPr>
                <w:color w:val="000000"/>
                <w:kern w:val="0"/>
                <w:szCs w:val="21"/>
              </w:rPr>
            </w:pPr>
            <w:r>
              <w:rPr>
                <w:color w:val="000000"/>
                <w:kern w:val="0"/>
                <w:szCs w:val="21"/>
              </w:rPr>
              <w:t>是</w:t>
            </w:r>
          </w:p>
        </w:tc>
      </w:tr>
      <w:tr w14:paraId="34C0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1"/>
            <w:shd w:val="clear" w:color="auto" w:fill="auto"/>
            <w:noWrap/>
            <w:vAlign w:val="center"/>
          </w:tcPr>
          <w:p w14:paraId="1CF9C328">
            <w:pPr>
              <w:jc w:val="center"/>
              <w:rPr>
                <w:color w:val="000000"/>
                <w:kern w:val="0"/>
                <w:szCs w:val="21"/>
              </w:rPr>
            </w:pPr>
            <w:r>
              <w:rPr>
                <w:color w:val="000000"/>
                <w:kern w:val="0"/>
                <w:szCs w:val="21"/>
              </w:rPr>
              <w:t>始宁养殖场区</w:t>
            </w:r>
          </w:p>
        </w:tc>
      </w:tr>
      <w:tr w14:paraId="4DF3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79D164B2">
            <w:pPr>
              <w:jc w:val="center"/>
              <w:rPr>
                <w:color w:val="000000"/>
                <w:kern w:val="0"/>
                <w:szCs w:val="21"/>
              </w:rPr>
            </w:pPr>
            <w:r>
              <w:rPr>
                <w:color w:val="000000"/>
                <w:kern w:val="0"/>
                <w:szCs w:val="21"/>
              </w:rPr>
              <w:t>1</w:t>
            </w:r>
          </w:p>
        </w:tc>
        <w:tc>
          <w:tcPr>
            <w:tcW w:w="669" w:type="pct"/>
            <w:shd w:val="clear" w:color="auto" w:fill="auto"/>
            <w:noWrap/>
            <w:vAlign w:val="center"/>
          </w:tcPr>
          <w:p w14:paraId="7110FBFE">
            <w:pPr>
              <w:jc w:val="center"/>
              <w:rPr>
                <w:color w:val="000000"/>
                <w:kern w:val="0"/>
                <w:szCs w:val="21"/>
              </w:rPr>
            </w:pPr>
            <w:r>
              <w:rPr>
                <w:color w:val="000000"/>
                <w:kern w:val="0"/>
                <w:szCs w:val="21"/>
              </w:rPr>
              <w:t>东侧场界外</w:t>
            </w:r>
          </w:p>
        </w:tc>
        <w:tc>
          <w:tcPr>
            <w:tcW w:w="392" w:type="pct"/>
            <w:shd w:val="clear" w:color="auto" w:fill="auto"/>
            <w:noWrap/>
            <w:vAlign w:val="center"/>
          </w:tcPr>
          <w:p w14:paraId="33A03EE1">
            <w:pPr>
              <w:jc w:val="center"/>
              <w:rPr>
                <w:color w:val="000000"/>
                <w:kern w:val="0"/>
                <w:szCs w:val="21"/>
              </w:rPr>
            </w:pPr>
            <w:r>
              <w:rPr>
                <w:color w:val="000000"/>
                <w:kern w:val="0"/>
                <w:szCs w:val="21"/>
              </w:rPr>
              <w:t>-224.82</w:t>
            </w:r>
          </w:p>
        </w:tc>
        <w:tc>
          <w:tcPr>
            <w:tcW w:w="487" w:type="pct"/>
            <w:shd w:val="clear" w:color="auto" w:fill="auto"/>
            <w:noWrap/>
            <w:vAlign w:val="center"/>
          </w:tcPr>
          <w:p w14:paraId="2598FE1B">
            <w:pPr>
              <w:jc w:val="center"/>
              <w:rPr>
                <w:color w:val="000000"/>
                <w:kern w:val="0"/>
                <w:szCs w:val="21"/>
              </w:rPr>
            </w:pPr>
            <w:r>
              <w:rPr>
                <w:color w:val="000000"/>
                <w:kern w:val="0"/>
                <w:szCs w:val="21"/>
              </w:rPr>
              <w:t>273.61</w:t>
            </w:r>
          </w:p>
        </w:tc>
        <w:tc>
          <w:tcPr>
            <w:tcW w:w="272" w:type="pct"/>
            <w:shd w:val="clear" w:color="auto" w:fill="auto"/>
            <w:noWrap/>
            <w:vAlign w:val="center"/>
          </w:tcPr>
          <w:p w14:paraId="79590668">
            <w:pPr>
              <w:jc w:val="center"/>
              <w:rPr>
                <w:color w:val="000000"/>
                <w:kern w:val="0"/>
                <w:szCs w:val="21"/>
              </w:rPr>
            </w:pPr>
            <w:r>
              <w:rPr>
                <w:color w:val="000000"/>
                <w:kern w:val="0"/>
                <w:szCs w:val="21"/>
              </w:rPr>
              <w:t>1.2</w:t>
            </w:r>
          </w:p>
        </w:tc>
        <w:tc>
          <w:tcPr>
            <w:tcW w:w="497" w:type="pct"/>
            <w:shd w:val="clear" w:color="auto" w:fill="auto"/>
            <w:noWrap/>
            <w:vAlign w:val="center"/>
          </w:tcPr>
          <w:p w14:paraId="6757B140">
            <w:pPr>
              <w:jc w:val="center"/>
              <w:rPr>
                <w:color w:val="000000"/>
                <w:kern w:val="0"/>
                <w:szCs w:val="21"/>
              </w:rPr>
            </w:pPr>
            <w:r>
              <w:rPr>
                <w:color w:val="000000"/>
                <w:kern w:val="0"/>
                <w:szCs w:val="21"/>
              </w:rPr>
              <w:t>23.37</w:t>
            </w:r>
          </w:p>
        </w:tc>
        <w:tc>
          <w:tcPr>
            <w:tcW w:w="497" w:type="pct"/>
            <w:shd w:val="clear" w:color="auto" w:fill="auto"/>
            <w:noWrap/>
            <w:vAlign w:val="center"/>
          </w:tcPr>
          <w:p w14:paraId="2A37CCA0">
            <w:pPr>
              <w:jc w:val="center"/>
              <w:rPr>
                <w:color w:val="000000"/>
                <w:kern w:val="0"/>
                <w:szCs w:val="21"/>
              </w:rPr>
            </w:pPr>
            <w:r>
              <w:rPr>
                <w:color w:val="000000"/>
                <w:kern w:val="0"/>
                <w:szCs w:val="21"/>
              </w:rPr>
              <w:t>50</w:t>
            </w:r>
          </w:p>
        </w:tc>
        <w:tc>
          <w:tcPr>
            <w:tcW w:w="648" w:type="pct"/>
            <w:shd w:val="clear" w:color="auto" w:fill="auto"/>
            <w:noWrap/>
            <w:vAlign w:val="center"/>
          </w:tcPr>
          <w:p w14:paraId="39B1F0F0">
            <w:pPr>
              <w:jc w:val="center"/>
              <w:rPr>
                <w:color w:val="000000"/>
                <w:kern w:val="0"/>
                <w:szCs w:val="21"/>
              </w:rPr>
            </w:pPr>
            <w:r>
              <w:rPr>
                <w:color w:val="000000"/>
                <w:kern w:val="0"/>
                <w:szCs w:val="21"/>
              </w:rPr>
              <w:t>50.01</w:t>
            </w:r>
          </w:p>
        </w:tc>
        <w:tc>
          <w:tcPr>
            <w:tcW w:w="497" w:type="pct"/>
            <w:shd w:val="clear" w:color="auto" w:fill="auto"/>
            <w:noWrap/>
            <w:vAlign w:val="center"/>
          </w:tcPr>
          <w:p w14:paraId="7A7506B8">
            <w:pPr>
              <w:jc w:val="center"/>
              <w:rPr>
                <w:color w:val="000000"/>
                <w:kern w:val="0"/>
                <w:szCs w:val="21"/>
              </w:rPr>
            </w:pPr>
            <w:r>
              <w:rPr>
                <w:color w:val="000000"/>
                <w:kern w:val="0"/>
                <w:szCs w:val="21"/>
              </w:rPr>
              <w:t>2类</w:t>
            </w:r>
          </w:p>
        </w:tc>
        <w:tc>
          <w:tcPr>
            <w:tcW w:w="347" w:type="pct"/>
            <w:shd w:val="clear" w:color="auto" w:fill="auto"/>
            <w:noWrap/>
            <w:vAlign w:val="center"/>
          </w:tcPr>
          <w:p w14:paraId="768FB162">
            <w:pPr>
              <w:jc w:val="center"/>
              <w:rPr>
                <w:color w:val="000000"/>
                <w:kern w:val="0"/>
                <w:szCs w:val="21"/>
              </w:rPr>
            </w:pPr>
            <w:r>
              <w:rPr>
                <w:color w:val="000000"/>
                <w:kern w:val="0"/>
                <w:szCs w:val="21"/>
              </w:rPr>
              <w:t>60</w:t>
            </w:r>
          </w:p>
        </w:tc>
        <w:tc>
          <w:tcPr>
            <w:tcW w:w="422" w:type="pct"/>
            <w:shd w:val="clear" w:color="auto" w:fill="auto"/>
            <w:noWrap/>
            <w:vAlign w:val="center"/>
          </w:tcPr>
          <w:p w14:paraId="0194F637">
            <w:pPr>
              <w:jc w:val="center"/>
              <w:rPr>
                <w:color w:val="000000"/>
                <w:kern w:val="0"/>
                <w:szCs w:val="21"/>
              </w:rPr>
            </w:pPr>
            <w:r>
              <w:rPr>
                <w:color w:val="000000"/>
                <w:kern w:val="0"/>
                <w:szCs w:val="21"/>
              </w:rPr>
              <w:t>是</w:t>
            </w:r>
          </w:p>
        </w:tc>
      </w:tr>
      <w:tr w14:paraId="4644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156BFF23">
            <w:pPr>
              <w:jc w:val="center"/>
              <w:rPr>
                <w:color w:val="000000"/>
                <w:kern w:val="0"/>
                <w:szCs w:val="21"/>
              </w:rPr>
            </w:pPr>
            <w:r>
              <w:rPr>
                <w:color w:val="000000"/>
                <w:kern w:val="0"/>
                <w:szCs w:val="21"/>
              </w:rPr>
              <w:t>2</w:t>
            </w:r>
          </w:p>
        </w:tc>
        <w:tc>
          <w:tcPr>
            <w:tcW w:w="669" w:type="pct"/>
            <w:shd w:val="clear" w:color="auto" w:fill="auto"/>
            <w:noWrap/>
            <w:vAlign w:val="center"/>
          </w:tcPr>
          <w:p w14:paraId="6B27A8D2">
            <w:pPr>
              <w:jc w:val="center"/>
              <w:rPr>
                <w:color w:val="000000"/>
                <w:kern w:val="0"/>
                <w:szCs w:val="21"/>
              </w:rPr>
            </w:pPr>
            <w:r>
              <w:rPr>
                <w:color w:val="000000"/>
                <w:kern w:val="0"/>
                <w:szCs w:val="21"/>
              </w:rPr>
              <w:t>东侧场界外</w:t>
            </w:r>
          </w:p>
        </w:tc>
        <w:tc>
          <w:tcPr>
            <w:tcW w:w="392" w:type="pct"/>
            <w:shd w:val="clear" w:color="auto" w:fill="auto"/>
            <w:noWrap/>
            <w:vAlign w:val="center"/>
          </w:tcPr>
          <w:p w14:paraId="6B846896">
            <w:pPr>
              <w:jc w:val="center"/>
              <w:rPr>
                <w:color w:val="000000"/>
                <w:kern w:val="0"/>
                <w:szCs w:val="21"/>
              </w:rPr>
            </w:pPr>
            <w:r>
              <w:rPr>
                <w:color w:val="000000"/>
                <w:kern w:val="0"/>
                <w:szCs w:val="21"/>
              </w:rPr>
              <w:t>263</w:t>
            </w:r>
          </w:p>
        </w:tc>
        <w:tc>
          <w:tcPr>
            <w:tcW w:w="487" w:type="pct"/>
            <w:shd w:val="clear" w:color="auto" w:fill="auto"/>
            <w:noWrap/>
            <w:vAlign w:val="center"/>
          </w:tcPr>
          <w:p w14:paraId="51AD3CB3">
            <w:pPr>
              <w:jc w:val="center"/>
              <w:rPr>
                <w:color w:val="000000"/>
                <w:kern w:val="0"/>
                <w:szCs w:val="21"/>
              </w:rPr>
            </w:pPr>
            <w:r>
              <w:rPr>
                <w:color w:val="000000"/>
                <w:kern w:val="0"/>
                <w:szCs w:val="21"/>
              </w:rPr>
              <w:t>134.61</w:t>
            </w:r>
          </w:p>
        </w:tc>
        <w:tc>
          <w:tcPr>
            <w:tcW w:w="272" w:type="pct"/>
            <w:shd w:val="clear" w:color="auto" w:fill="auto"/>
            <w:noWrap/>
            <w:vAlign w:val="center"/>
          </w:tcPr>
          <w:p w14:paraId="7DFE82C1">
            <w:pPr>
              <w:jc w:val="center"/>
              <w:rPr>
                <w:color w:val="000000"/>
                <w:kern w:val="0"/>
                <w:szCs w:val="21"/>
              </w:rPr>
            </w:pPr>
            <w:r>
              <w:rPr>
                <w:color w:val="000000"/>
                <w:kern w:val="0"/>
                <w:szCs w:val="21"/>
              </w:rPr>
              <w:t>1.2</w:t>
            </w:r>
          </w:p>
        </w:tc>
        <w:tc>
          <w:tcPr>
            <w:tcW w:w="497" w:type="pct"/>
            <w:shd w:val="clear" w:color="auto" w:fill="auto"/>
            <w:noWrap/>
            <w:vAlign w:val="center"/>
          </w:tcPr>
          <w:p w14:paraId="27EB1D40">
            <w:pPr>
              <w:jc w:val="center"/>
              <w:rPr>
                <w:color w:val="000000"/>
                <w:kern w:val="0"/>
                <w:szCs w:val="21"/>
              </w:rPr>
            </w:pPr>
            <w:r>
              <w:rPr>
                <w:color w:val="000000"/>
                <w:kern w:val="0"/>
                <w:szCs w:val="21"/>
              </w:rPr>
              <w:t>24.8</w:t>
            </w:r>
          </w:p>
        </w:tc>
        <w:tc>
          <w:tcPr>
            <w:tcW w:w="497" w:type="pct"/>
            <w:shd w:val="clear" w:color="auto" w:fill="auto"/>
            <w:noWrap/>
            <w:vAlign w:val="center"/>
          </w:tcPr>
          <w:p w14:paraId="01CDF2E6">
            <w:pPr>
              <w:jc w:val="center"/>
              <w:rPr>
                <w:color w:val="000000"/>
                <w:kern w:val="0"/>
                <w:szCs w:val="21"/>
              </w:rPr>
            </w:pPr>
            <w:r>
              <w:rPr>
                <w:color w:val="000000"/>
                <w:kern w:val="0"/>
                <w:szCs w:val="21"/>
              </w:rPr>
              <w:t>49</w:t>
            </w:r>
          </w:p>
        </w:tc>
        <w:tc>
          <w:tcPr>
            <w:tcW w:w="648" w:type="pct"/>
            <w:shd w:val="clear" w:color="auto" w:fill="auto"/>
            <w:noWrap/>
            <w:vAlign w:val="center"/>
          </w:tcPr>
          <w:p w14:paraId="54EC2271">
            <w:pPr>
              <w:jc w:val="center"/>
              <w:rPr>
                <w:color w:val="000000"/>
                <w:kern w:val="0"/>
                <w:szCs w:val="21"/>
              </w:rPr>
            </w:pPr>
            <w:r>
              <w:rPr>
                <w:color w:val="000000"/>
                <w:kern w:val="0"/>
                <w:szCs w:val="21"/>
              </w:rPr>
              <w:t>49.02</w:t>
            </w:r>
          </w:p>
        </w:tc>
        <w:tc>
          <w:tcPr>
            <w:tcW w:w="497" w:type="pct"/>
            <w:shd w:val="clear" w:color="auto" w:fill="auto"/>
            <w:noWrap/>
            <w:vAlign w:val="center"/>
          </w:tcPr>
          <w:p w14:paraId="01F22E6F">
            <w:pPr>
              <w:jc w:val="center"/>
              <w:rPr>
                <w:color w:val="000000"/>
                <w:kern w:val="0"/>
                <w:szCs w:val="21"/>
              </w:rPr>
            </w:pPr>
            <w:r>
              <w:rPr>
                <w:color w:val="000000"/>
                <w:kern w:val="0"/>
                <w:szCs w:val="21"/>
              </w:rPr>
              <w:t>2类</w:t>
            </w:r>
          </w:p>
        </w:tc>
        <w:tc>
          <w:tcPr>
            <w:tcW w:w="347" w:type="pct"/>
            <w:shd w:val="clear" w:color="auto" w:fill="auto"/>
            <w:noWrap/>
            <w:vAlign w:val="center"/>
          </w:tcPr>
          <w:p w14:paraId="42EC1996">
            <w:pPr>
              <w:jc w:val="center"/>
              <w:rPr>
                <w:color w:val="000000"/>
                <w:kern w:val="0"/>
                <w:szCs w:val="21"/>
              </w:rPr>
            </w:pPr>
            <w:r>
              <w:rPr>
                <w:color w:val="000000"/>
                <w:kern w:val="0"/>
                <w:szCs w:val="21"/>
              </w:rPr>
              <w:t>60</w:t>
            </w:r>
          </w:p>
        </w:tc>
        <w:tc>
          <w:tcPr>
            <w:tcW w:w="422" w:type="pct"/>
            <w:shd w:val="clear" w:color="auto" w:fill="auto"/>
            <w:noWrap/>
            <w:vAlign w:val="center"/>
          </w:tcPr>
          <w:p w14:paraId="769E7159">
            <w:pPr>
              <w:jc w:val="center"/>
              <w:rPr>
                <w:color w:val="000000"/>
                <w:kern w:val="0"/>
                <w:szCs w:val="21"/>
              </w:rPr>
            </w:pPr>
            <w:r>
              <w:rPr>
                <w:color w:val="000000"/>
                <w:kern w:val="0"/>
                <w:szCs w:val="21"/>
              </w:rPr>
              <w:t>是</w:t>
            </w:r>
          </w:p>
        </w:tc>
      </w:tr>
      <w:tr w14:paraId="2F820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55F53464">
            <w:pPr>
              <w:jc w:val="center"/>
              <w:rPr>
                <w:color w:val="000000"/>
                <w:kern w:val="0"/>
                <w:szCs w:val="21"/>
              </w:rPr>
            </w:pPr>
            <w:r>
              <w:rPr>
                <w:color w:val="000000"/>
                <w:kern w:val="0"/>
                <w:szCs w:val="21"/>
              </w:rPr>
              <w:t>3</w:t>
            </w:r>
          </w:p>
        </w:tc>
        <w:tc>
          <w:tcPr>
            <w:tcW w:w="669" w:type="pct"/>
            <w:shd w:val="clear" w:color="auto" w:fill="auto"/>
            <w:noWrap/>
            <w:vAlign w:val="center"/>
          </w:tcPr>
          <w:p w14:paraId="3AE7B2D3">
            <w:pPr>
              <w:jc w:val="center"/>
              <w:rPr>
                <w:color w:val="000000"/>
                <w:kern w:val="0"/>
                <w:szCs w:val="21"/>
              </w:rPr>
            </w:pPr>
            <w:r>
              <w:rPr>
                <w:color w:val="000000"/>
                <w:kern w:val="0"/>
                <w:szCs w:val="21"/>
              </w:rPr>
              <w:t>北侧场界外</w:t>
            </w:r>
          </w:p>
        </w:tc>
        <w:tc>
          <w:tcPr>
            <w:tcW w:w="392" w:type="pct"/>
            <w:shd w:val="clear" w:color="auto" w:fill="auto"/>
            <w:noWrap/>
            <w:vAlign w:val="center"/>
          </w:tcPr>
          <w:p w14:paraId="65C421F7">
            <w:pPr>
              <w:jc w:val="center"/>
              <w:rPr>
                <w:color w:val="000000"/>
                <w:kern w:val="0"/>
                <w:szCs w:val="21"/>
              </w:rPr>
            </w:pPr>
            <w:r>
              <w:rPr>
                <w:color w:val="000000"/>
                <w:kern w:val="0"/>
                <w:szCs w:val="21"/>
              </w:rPr>
              <w:t>71.88</w:t>
            </w:r>
          </w:p>
        </w:tc>
        <w:tc>
          <w:tcPr>
            <w:tcW w:w="487" w:type="pct"/>
            <w:shd w:val="clear" w:color="auto" w:fill="auto"/>
            <w:noWrap/>
            <w:vAlign w:val="center"/>
          </w:tcPr>
          <w:p w14:paraId="3057EE5A">
            <w:pPr>
              <w:jc w:val="center"/>
              <w:rPr>
                <w:color w:val="000000"/>
                <w:kern w:val="0"/>
                <w:szCs w:val="21"/>
              </w:rPr>
            </w:pPr>
            <w:r>
              <w:rPr>
                <w:color w:val="000000"/>
                <w:kern w:val="0"/>
                <w:szCs w:val="21"/>
              </w:rPr>
              <w:t>486.11</w:t>
            </w:r>
          </w:p>
        </w:tc>
        <w:tc>
          <w:tcPr>
            <w:tcW w:w="272" w:type="pct"/>
            <w:shd w:val="clear" w:color="auto" w:fill="auto"/>
            <w:noWrap/>
            <w:vAlign w:val="center"/>
          </w:tcPr>
          <w:p w14:paraId="385FC292">
            <w:pPr>
              <w:jc w:val="center"/>
              <w:rPr>
                <w:color w:val="000000"/>
                <w:kern w:val="0"/>
                <w:szCs w:val="21"/>
              </w:rPr>
            </w:pPr>
            <w:r>
              <w:rPr>
                <w:color w:val="000000"/>
                <w:kern w:val="0"/>
                <w:szCs w:val="21"/>
              </w:rPr>
              <w:t>1.2</w:t>
            </w:r>
          </w:p>
        </w:tc>
        <w:tc>
          <w:tcPr>
            <w:tcW w:w="497" w:type="pct"/>
            <w:shd w:val="clear" w:color="auto" w:fill="auto"/>
            <w:noWrap/>
            <w:vAlign w:val="center"/>
          </w:tcPr>
          <w:p w14:paraId="4CB826A4">
            <w:pPr>
              <w:jc w:val="center"/>
              <w:rPr>
                <w:color w:val="000000"/>
                <w:kern w:val="0"/>
                <w:szCs w:val="21"/>
              </w:rPr>
            </w:pPr>
            <w:r>
              <w:rPr>
                <w:color w:val="000000"/>
                <w:kern w:val="0"/>
                <w:szCs w:val="21"/>
              </w:rPr>
              <w:t>22.49</w:t>
            </w:r>
          </w:p>
        </w:tc>
        <w:tc>
          <w:tcPr>
            <w:tcW w:w="497" w:type="pct"/>
            <w:shd w:val="clear" w:color="auto" w:fill="auto"/>
            <w:noWrap/>
            <w:vAlign w:val="center"/>
          </w:tcPr>
          <w:p w14:paraId="4FAF45FB">
            <w:pPr>
              <w:jc w:val="center"/>
              <w:rPr>
                <w:color w:val="000000"/>
                <w:kern w:val="0"/>
                <w:szCs w:val="21"/>
              </w:rPr>
            </w:pPr>
            <w:r>
              <w:rPr>
                <w:color w:val="000000"/>
                <w:kern w:val="0"/>
                <w:szCs w:val="21"/>
              </w:rPr>
              <w:t>50</w:t>
            </w:r>
          </w:p>
        </w:tc>
        <w:tc>
          <w:tcPr>
            <w:tcW w:w="648" w:type="pct"/>
            <w:shd w:val="clear" w:color="auto" w:fill="auto"/>
            <w:noWrap/>
            <w:vAlign w:val="center"/>
          </w:tcPr>
          <w:p w14:paraId="121C9750">
            <w:pPr>
              <w:jc w:val="center"/>
              <w:rPr>
                <w:color w:val="000000"/>
                <w:kern w:val="0"/>
                <w:szCs w:val="21"/>
              </w:rPr>
            </w:pPr>
            <w:r>
              <w:rPr>
                <w:color w:val="000000"/>
                <w:kern w:val="0"/>
                <w:szCs w:val="21"/>
              </w:rPr>
              <w:t>50.01</w:t>
            </w:r>
          </w:p>
        </w:tc>
        <w:tc>
          <w:tcPr>
            <w:tcW w:w="497" w:type="pct"/>
            <w:shd w:val="clear" w:color="auto" w:fill="auto"/>
            <w:noWrap/>
            <w:vAlign w:val="center"/>
          </w:tcPr>
          <w:p w14:paraId="6DE58577">
            <w:pPr>
              <w:jc w:val="center"/>
              <w:rPr>
                <w:color w:val="000000"/>
                <w:kern w:val="0"/>
                <w:szCs w:val="21"/>
              </w:rPr>
            </w:pPr>
            <w:r>
              <w:rPr>
                <w:color w:val="000000"/>
                <w:kern w:val="0"/>
                <w:szCs w:val="21"/>
              </w:rPr>
              <w:t>2类</w:t>
            </w:r>
          </w:p>
        </w:tc>
        <w:tc>
          <w:tcPr>
            <w:tcW w:w="347" w:type="pct"/>
            <w:shd w:val="clear" w:color="auto" w:fill="auto"/>
            <w:noWrap/>
            <w:vAlign w:val="center"/>
          </w:tcPr>
          <w:p w14:paraId="193E2948">
            <w:pPr>
              <w:jc w:val="center"/>
              <w:rPr>
                <w:color w:val="000000"/>
                <w:kern w:val="0"/>
                <w:szCs w:val="21"/>
              </w:rPr>
            </w:pPr>
            <w:r>
              <w:rPr>
                <w:color w:val="000000"/>
                <w:kern w:val="0"/>
                <w:szCs w:val="21"/>
              </w:rPr>
              <w:t>60</w:t>
            </w:r>
          </w:p>
        </w:tc>
        <w:tc>
          <w:tcPr>
            <w:tcW w:w="422" w:type="pct"/>
            <w:shd w:val="clear" w:color="auto" w:fill="auto"/>
            <w:noWrap/>
            <w:vAlign w:val="center"/>
          </w:tcPr>
          <w:p w14:paraId="00C27D29">
            <w:pPr>
              <w:jc w:val="center"/>
              <w:rPr>
                <w:color w:val="000000"/>
                <w:kern w:val="0"/>
                <w:szCs w:val="21"/>
              </w:rPr>
            </w:pPr>
            <w:r>
              <w:rPr>
                <w:color w:val="000000"/>
                <w:kern w:val="0"/>
                <w:szCs w:val="21"/>
              </w:rPr>
              <w:t>是</w:t>
            </w:r>
          </w:p>
        </w:tc>
      </w:tr>
      <w:tr w14:paraId="5989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2A14AC02">
            <w:pPr>
              <w:jc w:val="center"/>
              <w:rPr>
                <w:color w:val="000000"/>
                <w:kern w:val="0"/>
                <w:szCs w:val="21"/>
              </w:rPr>
            </w:pPr>
            <w:r>
              <w:rPr>
                <w:color w:val="000000"/>
                <w:kern w:val="0"/>
                <w:szCs w:val="21"/>
              </w:rPr>
              <w:t>4</w:t>
            </w:r>
          </w:p>
        </w:tc>
        <w:tc>
          <w:tcPr>
            <w:tcW w:w="669" w:type="pct"/>
            <w:shd w:val="clear" w:color="auto" w:fill="auto"/>
            <w:noWrap/>
            <w:vAlign w:val="center"/>
          </w:tcPr>
          <w:p w14:paraId="76179FCA">
            <w:pPr>
              <w:jc w:val="center"/>
              <w:rPr>
                <w:color w:val="000000"/>
                <w:kern w:val="0"/>
                <w:szCs w:val="21"/>
              </w:rPr>
            </w:pPr>
            <w:r>
              <w:rPr>
                <w:color w:val="000000"/>
                <w:kern w:val="0"/>
                <w:szCs w:val="21"/>
              </w:rPr>
              <w:t>南侧场界外</w:t>
            </w:r>
          </w:p>
        </w:tc>
        <w:tc>
          <w:tcPr>
            <w:tcW w:w="392" w:type="pct"/>
            <w:shd w:val="clear" w:color="auto" w:fill="auto"/>
            <w:noWrap/>
            <w:vAlign w:val="center"/>
          </w:tcPr>
          <w:p w14:paraId="035A0B23">
            <w:pPr>
              <w:jc w:val="center"/>
              <w:rPr>
                <w:color w:val="000000"/>
                <w:kern w:val="0"/>
                <w:szCs w:val="21"/>
              </w:rPr>
            </w:pPr>
            <w:r>
              <w:rPr>
                <w:color w:val="000000"/>
                <w:kern w:val="0"/>
                <w:szCs w:val="21"/>
              </w:rPr>
              <w:t>79.9</w:t>
            </w:r>
          </w:p>
        </w:tc>
        <w:tc>
          <w:tcPr>
            <w:tcW w:w="487" w:type="pct"/>
            <w:shd w:val="clear" w:color="auto" w:fill="auto"/>
            <w:noWrap/>
            <w:vAlign w:val="center"/>
          </w:tcPr>
          <w:p w14:paraId="3069EFD8">
            <w:pPr>
              <w:jc w:val="center"/>
              <w:rPr>
                <w:color w:val="000000"/>
                <w:kern w:val="0"/>
                <w:szCs w:val="21"/>
              </w:rPr>
            </w:pPr>
            <w:r>
              <w:rPr>
                <w:color w:val="000000"/>
                <w:kern w:val="0"/>
                <w:szCs w:val="21"/>
              </w:rPr>
              <w:t>-67.2</w:t>
            </w:r>
          </w:p>
        </w:tc>
        <w:tc>
          <w:tcPr>
            <w:tcW w:w="272" w:type="pct"/>
            <w:shd w:val="clear" w:color="auto" w:fill="auto"/>
            <w:noWrap/>
            <w:vAlign w:val="center"/>
          </w:tcPr>
          <w:p w14:paraId="6B22F8CC">
            <w:pPr>
              <w:jc w:val="center"/>
              <w:rPr>
                <w:color w:val="000000"/>
                <w:kern w:val="0"/>
                <w:szCs w:val="21"/>
              </w:rPr>
            </w:pPr>
            <w:r>
              <w:rPr>
                <w:color w:val="000000"/>
                <w:kern w:val="0"/>
                <w:szCs w:val="21"/>
              </w:rPr>
              <w:t>1.2</w:t>
            </w:r>
          </w:p>
        </w:tc>
        <w:tc>
          <w:tcPr>
            <w:tcW w:w="497" w:type="pct"/>
            <w:shd w:val="clear" w:color="auto" w:fill="auto"/>
            <w:noWrap/>
            <w:vAlign w:val="center"/>
          </w:tcPr>
          <w:p w14:paraId="37AFA751">
            <w:pPr>
              <w:jc w:val="center"/>
              <w:rPr>
                <w:color w:val="000000"/>
                <w:kern w:val="0"/>
                <w:szCs w:val="21"/>
              </w:rPr>
            </w:pPr>
            <w:r>
              <w:rPr>
                <w:color w:val="000000"/>
                <w:kern w:val="0"/>
                <w:szCs w:val="21"/>
              </w:rPr>
              <w:t>24.47</w:t>
            </w:r>
          </w:p>
        </w:tc>
        <w:tc>
          <w:tcPr>
            <w:tcW w:w="497" w:type="pct"/>
            <w:shd w:val="clear" w:color="auto" w:fill="auto"/>
            <w:noWrap/>
            <w:vAlign w:val="center"/>
          </w:tcPr>
          <w:p w14:paraId="68B295FB">
            <w:pPr>
              <w:jc w:val="center"/>
              <w:rPr>
                <w:color w:val="000000"/>
                <w:kern w:val="0"/>
                <w:szCs w:val="21"/>
              </w:rPr>
            </w:pPr>
            <w:r>
              <w:rPr>
                <w:color w:val="000000"/>
                <w:kern w:val="0"/>
                <w:szCs w:val="21"/>
              </w:rPr>
              <w:t>50.5</w:t>
            </w:r>
          </w:p>
        </w:tc>
        <w:tc>
          <w:tcPr>
            <w:tcW w:w="648" w:type="pct"/>
            <w:shd w:val="clear" w:color="auto" w:fill="auto"/>
            <w:noWrap/>
            <w:vAlign w:val="center"/>
          </w:tcPr>
          <w:p w14:paraId="2630A9EF">
            <w:pPr>
              <w:jc w:val="center"/>
              <w:rPr>
                <w:color w:val="000000"/>
                <w:kern w:val="0"/>
                <w:szCs w:val="21"/>
              </w:rPr>
            </w:pPr>
            <w:r>
              <w:rPr>
                <w:color w:val="000000"/>
                <w:kern w:val="0"/>
                <w:szCs w:val="21"/>
              </w:rPr>
              <w:t>50.51</w:t>
            </w:r>
          </w:p>
        </w:tc>
        <w:tc>
          <w:tcPr>
            <w:tcW w:w="497" w:type="pct"/>
            <w:shd w:val="clear" w:color="auto" w:fill="auto"/>
            <w:noWrap/>
            <w:vAlign w:val="center"/>
          </w:tcPr>
          <w:p w14:paraId="33F3F0F2">
            <w:pPr>
              <w:jc w:val="center"/>
              <w:rPr>
                <w:color w:val="000000"/>
                <w:kern w:val="0"/>
                <w:szCs w:val="21"/>
              </w:rPr>
            </w:pPr>
            <w:r>
              <w:rPr>
                <w:color w:val="000000"/>
                <w:kern w:val="0"/>
                <w:szCs w:val="21"/>
              </w:rPr>
              <w:t>2类</w:t>
            </w:r>
          </w:p>
        </w:tc>
        <w:tc>
          <w:tcPr>
            <w:tcW w:w="347" w:type="pct"/>
            <w:shd w:val="clear" w:color="auto" w:fill="auto"/>
            <w:noWrap/>
            <w:vAlign w:val="center"/>
          </w:tcPr>
          <w:p w14:paraId="306F3374">
            <w:pPr>
              <w:jc w:val="center"/>
              <w:rPr>
                <w:color w:val="000000"/>
                <w:kern w:val="0"/>
                <w:szCs w:val="21"/>
              </w:rPr>
            </w:pPr>
            <w:r>
              <w:rPr>
                <w:color w:val="000000"/>
                <w:kern w:val="0"/>
                <w:szCs w:val="21"/>
              </w:rPr>
              <w:t>60</w:t>
            </w:r>
          </w:p>
        </w:tc>
        <w:tc>
          <w:tcPr>
            <w:tcW w:w="422" w:type="pct"/>
            <w:shd w:val="clear" w:color="auto" w:fill="auto"/>
            <w:noWrap/>
            <w:vAlign w:val="center"/>
          </w:tcPr>
          <w:p w14:paraId="3515C42E">
            <w:pPr>
              <w:jc w:val="center"/>
              <w:rPr>
                <w:color w:val="000000"/>
                <w:kern w:val="0"/>
                <w:szCs w:val="21"/>
              </w:rPr>
            </w:pPr>
            <w:r>
              <w:rPr>
                <w:color w:val="000000"/>
                <w:kern w:val="0"/>
                <w:szCs w:val="21"/>
              </w:rPr>
              <w:t>是</w:t>
            </w:r>
          </w:p>
        </w:tc>
      </w:tr>
      <w:tr w14:paraId="6FBB0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0D9425C0">
            <w:pPr>
              <w:jc w:val="center"/>
              <w:rPr>
                <w:color w:val="000000"/>
                <w:kern w:val="0"/>
                <w:szCs w:val="21"/>
              </w:rPr>
            </w:pPr>
            <w:r>
              <w:rPr>
                <w:color w:val="000000"/>
                <w:kern w:val="0"/>
                <w:szCs w:val="21"/>
              </w:rPr>
              <w:t>5</w:t>
            </w:r>
          </w:p>
        </w:tc>
        <w:tc>
          <w:tcPr>
            <w:tcW w:w="669" w:type="pct"/>
            <w:shd w:val="clear" w:color="auto" w:fill="auto"/>
            <w:noWrap/>
            <w:vAlign w:val="center"/>
          </w:tcPr>
          <w:p w14:paraId="0778F086">
            <w:pPr>
              <w:jc w:val="center"/>
              <w:rPr>
                <w:color w:val="000000"/>
                <w:kern w:val="0"/>
                <w:szCs w:val="21"/>
              </w:rPr>
            </w:pPr>
            <w:r>
              <w:rPr>
                <w:color w:val="000000"/>
                <w:kern w:val="0"/>
                <w:szCs w:val="21"/>
              </w:rPr>
              <w:t>场界东北侧居民处</w:t>
            </w:r>
          </w:p>
        </w:tc>
        <w:tc>
          <w:tcPr>
            <w:tcW w:w="392" w:type="pct"/>
            <w:shd w:val="clear" w:color="auto" w:fill="auto"/>
            <w:noWrap/>
            <w:vAlign w:val="center"/>
          </w:tcPr>
          <w:p w14:paraId="45AFF9E1">
            <w:pPr>
              <w:jc w:val="center"/>
              <w:rPr>
                <w:color w:val="000000"/>
                <w:kern w:val="0"/>
                <w:szCs w:val="21"/>
              </w:rPr>
            </w:pPr>
            <w:r>
              <w:rPr>
                <w:color w:val="000000"/>
                <w:kern w:val="0"/>
                <w:szCs w:val="21"/>
              </w:rPr>
              <w:t>396.65</w:t>
            </w:r>
          </w:p>
        </w:tc>
        <w:tc>
          <w:tcPr>
            <w:tcW w:w="487" w:type="pct"/>
            <w:shd w:val="clear" w:color="auto" w:fill="auto"/>
            <w:noWrap/>
            <w:vAlign w:val="center"/>
          </w:tcPr>
          <w:p w14:paraId="0B12053B">
            <w:pPr>
              <w:jc w:val="center"/>
              <w:rPr>
                <w:color w:val="000000"/>
                <w:kern w:val="0"/>
                <w:szCs w:val="21"/>
              </w:rPr>
            </w:pPr>
            <w:r>
              <w:rPr>
                <w:color w:val="000000"/>
                <w:kern w:val="0"/>
                <w:szCs w:val="21"/>
              </w:rPr>
              <w:t>360.48</w:t>
            </w:r>
          </w:p>
        </w:tc>
        <w:tc>
          <w:tcPr>
            <w:tcW w:w="272" w:type="pct"/>
            <w:shd w:val="clear" w:color="auto" w:fill="auto"/>
            <w:noWrap/>
            <w:vAlign w:val="center"/>
          </w:tcPr>
          <w:p w14:paraId="4D5F6FC4">
            <w:pPr>
              <w:jc w:val="center"/>
              <w:rPr>
                <w:color w:val="000000"/>
                <w:kern w:val="0"/>
                <w:szCs w:val="21"/>
              </w:rPr>
            </w:pPr>
            <w:r>
              <w:rPr>
                <w:color w:val="000000"/>
                <w:kern w:val="0"/>
                <w:szCs w:val="21"/>
              </w:rPr>
              <w:t>1.2</w:t>
            </w:r>
          </w:p>
        </w:tc>
        <w:tc>
          <w:tcPr>
            <w:tcW w:w="497" w:type="pct"/>
            <w:shd w:val="clear" w:color="auto" w:fill="auto"/>
            <w:noWrap/>
            <w:vAlign w:val="center"/>
          </w:tcPr>
          <w:p w14:paraId="614F890B">
            <w:pPr>
              <w:jc w:val="center"/>
              <w:rPr>
                <w:color w:val="000000"/>
                <w:kern w:val="0"/>
                <w:szCs w:val="21"/>
              </w:rPr>
            </w:pPr>
            <w:r>
              <w:rPr>
                <w:color w:val="000000"/>
                <w:kern w:val="0"/>
                <w:szCs w:val="21"/>
              </w:rPr>
              <w:t>18.68</w:t>
            </w:r>
          </w:p>
        </w:tc>
        <w:tc>
          <w:tcPr>
            <w:tcW w:w="497" w:type="pct"/>
            <w:shd w:val="clear" w:color="auto" w:fill="auto"/>
            <w:noWrap/>
            <w:vAlign w:val="center"/>
          </w:tcPr>
          <w:p w14:paraId="434958D7">
            <w:pPr>
              <w:jc w:val="center"/>
              <w:rPr>
                <w:color w:val="000000"/>
                <w:kern w:val="0"/>
                <w:szCs w:val="21"/>
              </w:rPr>
            </w:pPr>
            <w:r>
              <w:rPr>
                <w:color w:val="000000"/>
                <w:kern w:val="0"/>
                <w:szCs w:val="21"/>
              </w:rPr>
              <w:t>52</w:t>
            </w:r>
          </w:p>
        </w:tc>
        <w:tc>
          <w:tcPr>
            <w:tcW w:w="648" w:type="pct"/>
            <w:shd w:val="clear" w:color="auto" w:fill="auto"/>
            <w:noWrap/>
            <w:vAlign w:val="center"/>
          </w:tcPr>
          <w:p w14:paraId="6FE214E2">
            <w:pPr>
              <w:jc w:val="center"/>
              <w:rPr>
                <w:color w:val="000000"/>
                <w:kern w:val="0"/>
                <w:szCs w:val="21"/>
              </w:rPr>
            </w:pPr>
            <w:r>
              <w:rPr>
                <w:color w:val="000000"/>
                <w:kern w:val="0"/>
                <w:szCs w:val="21"/>
              </w:rPr>
              <w:t>52</w:t>
            </w:r>
          </w:p>
        </w:tc>
        <w:tc>
          <w:tcPr>
            <w:tcW w:w="497" w:type="pct"/>
            <w:shd w:val="clear" w:color="auto" w:fill="auto"/>
            <w:noWrap/>
            <w:vAlign w:val="center"/>
          </w:tcPr>
          <w:p w14:paraId="4F4807B4">
            <w:pPr>
              <w:jc w:val="center"/>
              <w:rPr>
                <w:color w:val="000000"/>
                <w:kern w:val="0"/>
                <w:szCs w:val="21"/>
              </w:rPr>
            </w:pPr>
            <w:r>
              <w:rPr>
                <w:color w:val="000000"/>
                <w:kern w:val="0"/>
                <w:szCs w:val="21"/>
              </w:rPr>
              <w:t>2类</w:t>
            </w:r>
          </w:p>
        </w:tc>
        <w:tc>
          <w:tcPr>
            <w:tcW w:w="347" w:type="pct"/>
            <w:shd w:val="clear" w:color="auto" w:fill="auto"/>
            <w:noWrap/>
            <w:vAlign w:val="center"/>
          </w:tcPr>
          <w:p w14:paraId="195C69EC">
            <w:pPr>
              <w:jc w:val="center"/>
              <w:rPr>
                <w:color w:val="000000"/>
                <w:kern w:val="0"/>
                <w:szCs w:val="21"/>
              </w:rPr>
            </w:pPr>
            <w:r>
              <w:rPr>
                <w:color w:val="000000"/>
                <w:kern w:val="0"/>
                <w:szCs w:val="21"/>
              </w:rPr>
              <w:t>60</w:t>
            </w:r>
          </w:p>
        </w:tc>
        <w:tc>
          <w:tcPr>
            <w:tcW w:w="422" w:type="pct"/>
            <w:shd w:val="clear" w:color="auto" w:fill="auto"/>
            <w:noWrap/>
            <w:vAlign w:val="center"/>
          </w:tcPr>
          <w:p w14:paraId="09583AEF">
            <w:pPr>
              <w:jc w:val="center"/>
              <w:rPr>
                <w:color w:val="000000"/>
                <w:kern w:val="0"/>
                <w:szCs w:val="21"/>
              </w:rPr>
            </w:pPr>
            <w:r>
              <w:rPr>
                <w:color w:val="000000"/>
                <w:kern w:val="0"/>
                <w:szCs w:val="21"/>
              </w:rPr>
              <w:t>是</w:t>
            </w:r>
          </w:p>
        </w:tc>
      </w:tr>
      <w:tr w14:paraId="2822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758A376D">
            <w:pPr>
              <w:jc w:val="center"/>
              <w:rPr>
                <w:color w:val="000000"/>
                <w:kern w:val="0"/>
                <w:szCs w:val="21"/>
              </w:rPr>
            </w:pPr>
            <w:r>
              <w:rPr>
                <w:color w:val="000000"/>
                <w:kern w:val="0"/>
                <w:szCs w:val="21"/>
              </w:rPr>
              <w:t>6</w:t>
            </w:r>
          </w:p>
        </w:tc>
        <w:tc>
          <w:tcPr>
            <w:tcW w:w="669" w:type="pct"/>
            <w:shd w:val="clear" w:color="auto" w:fill="auto"/>
            <w:noWrap/>
            <w:vAlign w:val="center"/>
          </w:tcPr>
          <w:p w14:paraId="527D4B1B">
            <w:pPr>
              <w:jc w:val="center"/>
              <w:rPr>
                <w:color w:val="000000"/>
                <w:kern w:val="0"/>
                <w:szCs w:val="21"/>
              </w:rPr>
            </w:pPr>
            <w:r>
              <w:rPr>
                <w:color w:val="000000"/>
                <w:kern w:val="0"/>
                <w:szCs w:val="21"/>
              </w:rPr>
              <w:t>场界东南侧居民处</w:t>
            </w:r>
          </w:p>
        </w:tc>
        <w:tc>
          <w:tcPr>
            <w:tcW w:w="392" w:type="pct"/>
            <w:shd w:val="clear" w:color="auto" w:fill="auto"/>
            <w:noWrap/>
            <w:vAlign w:val="center"/>
          </w:tcPr>
          <w:p w14:paraId="2BB7240D">
            <w:pPr>
              <w:jc w:val="center"/>
              <w:rPr>
                <w:color w:val="000000"/>
                <w:kern w:val="0"/>
                <w:szCs w:val="21"/>
              </w:rPr>
            </w:pPr>
            <w:r>
              <w:rPr>
                <w:color w:val="000000"/>
                <w:kern w:val="0"/>
                <w:szCs w:val="21"/>
              </w:rPr>
              <w:t>248.3</w:t>
            </w:r>
          </w:p>
        </w:tc>
        <w:tc>
          <w:tcPr>
            <w:tcW w:w="487" w:type="pct"/>
            <w:shd w:val="clear" w:color="auto" w:fill="auto"/>
            <w:noWrap/>
            <w:vAlign w:val="center"/>
          </w:tcPr>
          <w:p w14:paraId="2BEEC703">
            <w:pPr>
              <w:jc w:val="center"/>
              <w:rPr>
                <w:color w:val="000000"/>
                <w:kern w:val="0"/>
                <w:szCs w:val="21"/>
              </w:rPr>
            </w:pPr>
            <w:r>
              <w:rPr>
                <w:color w:val="000000"/>
                <w:kern w:val="0"/>
                <w:szCs w:val="21"/>
              </w:rPr>
              <w:t>-158.08</w:t>
            </w:r>
          </w:p>
        </w:tc>
        <w:tc>
          <w:tcPr>
            <w:tcW w:w="272" w:type="pct"/>
            <w:shd w:val="clear" w:color="auto" w:fill="auto"/>
            <w:noWrap/>
            <w:vAlign w:val="center"/>
          </w:tcPr>
          <w:p w14:paraId="02559217">
            <w:pPr>
              <w:jc w:val="center"/>
              <w:rPr>
                <w:color w:val="000000"/>
                <w:kern w:val="0"/>
                <w:szCs w:val="21"/>
              </w:rPr>
            </w:pPr>
            <w:r>
              <w:rPr>
                <w:color w:val="000000"/>
                <w:kern w:val="0"/>
                <w:szCs w:val="21"/>
              </w:rPr>
              <w:t>1.2</w:t>
            </w:r>
          </w:p>
        </w:tc>
        <w:tc>
          <w:tcPr>
            <w:tcW w:w="497" w:type="pct"/>
            <w:shd w:val="clear" w:color="auto" w:fill="auto"/>
            <w:noWrap/>
            <w:vAlign w:val="center"/>
          </w:tcPr>
          <w:p w14:paraId="27D22139">
            <w:pPr>
              <w:jc w:val="center"/>
              <w:rPr>
                <w:color w:val="000000"/>
                <w:kern w:val="0"/>
                <w:szCs w:val="21"/>
              </w:rPr>
            </w:pPr>
            <w:r>
              <w:rPr>
                <w:color w:val="000000"/>
                <w:kern w:val="0"/>
                <w:szCs w:val="21"/>
              </w:rPr>
              <w:t>18.32</w:t>
            </w:r>
          </w:p>
        </w:tc>
        <w:tc>
          <w:tcPr>
            <w:tcW w:w="497" w:type="pct"/>
            <w:shd w:val="clear" w:color="auto" w:fill="auto"/>
            <w:noWrap/>
            <w:vAlign w:val="center"/>
          </w:tcPr>
          <w:p w14:paraId="43514946">
            <w:pPr>
              <w:jc w:val="center"/>
              <w:rPr>
                <w:color w:val="000000"/>
                <w:kern w:val="0"/>
                <w:szCs w:val="21"/>
              </w:rPr>
            </w:pPr>
            <w:r>
              <w:rPr>
                <w:color w:val="000000"/>
                <w:kern w:val="0"/>
                <w:szCs w:val="21"/>
              </w:rPr>
              <w:t>51</w:t>
            </w:r>
          </w:p>
        </w:tc>
        <w:tc>
          <w:tcPr>
            <w:tcW w:w="648" w:type="pct"/>
            <w:shd w:val="clear" w:color="auto" w:fill="auto"/>
            <w:noWrap/>
            <w:vAlign w:val="center"/>
          </w:tcPr>
          <w:p w14:paraId="2074CA70">
            <w:pPr>
              <w:jc w:val="center"/>
              <w:rPr>
                <w:color w:val="000000"/>
                <w:kern w:val="0"/>
                <w:szCs w:val="21"/>
              </w:rPr>
            </w:pPr>
            <w:r>
              <w:rPr>
                <w:color w:val="000000"/>
                <w:kern w:val="0"/>
                <w:szCs w:val="21"/>
              </w:rPr>
              <w:t>51</w:t>
            </w:r>
          </w:p>
        </w:tc>
        <w:tc>
          <w:tcPr>
            <w:tcW w:w="497" w:type="pct"/>
            <w:shd w:val="clear" w:color="auto" w:fill="auto"/>
            <w:noWrap/>
            <w:vAlign w:val="center"/>
          </w:tcPr>
          <w:p w14:paraId="3B86F385">
            <w:pPr>
              <w:jc w:val="center"/>
              <w:rPr>
                <w:color w:val="000000"/>
                <w:kern w:val="0"/>
                <w:szCs w:val="21"/>
              </w:rPr>
            </w:pPr>
            <w:r>
              <w:rPr>
                <w:color w:val="000000"/>
                <w:kern w:val="0"/>
                <w:szCs w:val="21"/>
              </w:rPr>
              <w:t>2类</w:t>
            </w:r>
          </w:p>
        </w:tc>
        <w:tc>
          <w:tcPr>
            <w:tcW w:w="347" w:type="pct"/>
            <w:shd w:val="clear" w:color="auto" w:fill="auto"/>
            <w:noWrap/>
            <w:vAlign w:val="center"/>
          </w:tcPr>
          <w:p w14:paraId="4338FE12">
            <w:pPr>
              <w:jc w:val="center"/>
              <w:rPr>
                <w:color w:val="000000"/>
                <w:kern w:val="0"/>
                <w:szCs w:val="21"/>
              </w:rPr>
            </w:pPr>
            <w:r>
              <w:rPr>
                <w:color w:val="000000"/>
                <w:kern w:val="0"/>
                <w:szCs w:val="21"/>
              </w:rPr>
              <w:t>60</w:t>
            </w:r>
          </w:p>
        </w:tc>
        <w:tc>
          <w:tcPr>
            <w:tcW w:w="422" w:type="pct"/>
            <w:shd w:val="clear" w:color="auto" w:fill="auto"/>
            <w:noWrap/>
            <w:vAlign w:val="center"/>
          </w:tcPr>
          <w:p w14:paraId="7C77E0B0">
            <w:pPr>
              <w:jc w:val="center"/>
              <w:rPr>
                <w:color w:val="000000"/>
                <w:kern w:val="0"/>
                <w:szCs w:val="21"/>
              </w:rPr>
            </w:pPr>
            <w:r>
              <w:rPr>
                <w:color w:val="000000"/>
                <w:kern w:val="0"/>
                <w:szCs w:val="21"/>
              </w:rPr>
              <w:t>是</w:t>
            </w:r>
          </w:p>
        </w:tc>
      </w:tr>
      <w:tr w14:paraId="04EA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48C5D618">
            <w:pPr>
              <w:jc w:val="center"/>
              <w:rPr>
                <w:color w:val="000000"/>
                <w:kern w:val="0"/>
                <w:szCs w:val="21"/>
              </w:rPr>
            </w:pPr>
            <w:r>
              <w:rPr>
                <w:color w:val="000000"/>
                <w:kern w:val="0"/>
                <w:szCs w:val="21"/>
              </w:rPr>
              <w:t>7</w:t>
            </w:r>
          </w:p>
        </w:tc>
        <w:tc>
          <w:tcPr>
            <w:tcW w:w="669" w:type="pct"/>
            <w:shd w:val="clear" w:color="auto" w:fill="auto"/>
            <w:noWrap/>
            <w:vAlign w:val="center"/>
          </w:tcPr>
          <w:p w14:paraId="68B33042">
            <w:pPr>
              <w:jc w:val="center"/>
              <w:rPr>
                <w:color w:val="000000"/>
                <w:kern w:val="0"/>
                <w:szCs w:val="21"/>
              </w:rPr>
            </w:pPr>
            <w:r>
              <w:rPr>
                <w:color w:val="000000"/>
                <w:kern w:val="0"/>
                <w:szCs w:val="21"/>
              </w:rPr>
              <w:t>场界北侧居民处</w:t>
            </w:r>
          </w:p>
        </w:tc>
        <w:tc>
          <w:tcPr>
            <w:tcW w:w="392" w:type="pct"/>
            <w:shd w:val="clear" w:color="auto" w:fill="auto"/>
            <w:noWrap/>
            <w:vAlign w:val="center"/>
          </w:tcPr>
          <w:p w14:paraId="3D4F3024">
            <w:pPr>
              <w:jc w:val="center"/>
              <w:rPr>
                <w:color w:val="000000"/>
                <w:kern w:val="0"/>
                <w:szCs w:val="21"/>
              </w:rPr>
            </w:pPr>
            <w:r>
              <w:rPr>
                <w:color w:val="000000"/>
                <w:kern w:val="0"/>
                <w:szCs w:val="21"/>
              </w:rPr>
              <w:t>50.5</w:t>
            </w:r>
          </w:p>
        </w:tc>
        <w:tc>
          <w:tcPr>
            <w:tcW w:w="487" w:type="pct"/>
            <w:shd w:val="clear" w:color="auto" w:fill="auto"/>
            <w:noWrap/>
            <w:vAlign w:val="center"/>
          </w:tcPr>
          <w:p w14:paraId="21F69897">
            <w:pPr>
              <w:jc w:val="center"/>
              <w:rPr>
                <w:color w:val="000000"/>
                <w:kern w:val="0"/>
                <w:szCs w:val="21"/>
              </w:rPr>
            </w:pPr>
            <w:r>
              <w:rPr>
                <w:color w:val="000000"/>
                <w:kern w:val="0"/>
                <w:szCs w:val="21"/>
              </w:rPr>
              <w:t>527.54</w:t>
            </w:r>
          </w:p>
        </w:tc>
        <w:tc>
          <w:tcPr>
            <w:tcW w:w="272" w:type="pct"/>
            <w:shd w:val="clear" w:color="auto" w:fill="auto"/>
            <w:noWrap/>
            <w:vAlign w:val="center"/>
          </w:tcPr>
          <w:p w14:paraId="0C48A596">
            <w:pPr>
              <w:jc w:val="center"/>
              <w:rPr>
                <w:color w:val="000000"/>
                <w:kern w:val="0"/>
                <w:szCs w:val="21"/>
              </w:rPr>
            </w:pPr>
            <w:r>
              <w:rPr>
                <w:color w:val="000000"/>
                <w:kern w:val="0"/>
                <w:szCs w:val="21"/>
              </w:rPr>
              <w:t>1.2</w:t>
            </w:r>
          </w:p>
        </w:tc>
        <w:tc>
          <w:tcPr>
            <w:tcW w:w="497" w:type="pct"/>
            <w:shd w:val="clear" w:color="auto" w:fill="auto"/>
            <w:noWrap/>
            <w:vAlign w:val="center"/>
          </w:tcPr>
          <w:p w14:paraId="5A051EF7">
            <w:pPr>
              <w:jc w:val="center"/>
              <w:rPr>
                <w:color w:val="000000"/>
                <w:kern w:val="0"/>
                <w:szCs w:val="21"/>
              </w:rPr>
            </w:pPr>
            <w:r>
              <w:rPr>
                <w:color w:val="000000"/>
                <w:kern w:val="0"/>
                <w:szCs w:val="21"/>
              </w:rPr>
              <w:t>21.2</w:t>
            </w:r>
          </w:p>
        </w:tc>
        <w:tc>
          <w:tcPr>
            <w:tcW w:w="497" w:type="pct"/>
            <w:shd w:val="clear" w:color="auto" w:fill="auto"/>
            <w:noWrap/>
            <w:vAlign w:val="center"/>
          </w:tcPr>
          <w:p w14:paraId="1181E1C5">
            <w:pPr>
              <w:jc w:val="center"/>
              <w:rPr>
                <w:color w:val="000000"/>
                <w:kern w:val="0"/>
                <w:szCs w:val="21"/>
              </w:rPr>
            </w:pPr>
            <w:r>
              <w:rPr>
                <w:color w:val="000000"/>
                <w:kern w:val="0"/>
                <w:szCs w:val="21"/>
              </w:rPr>
              <w:t>48</w:t>
            </w:r>
          </w:p>
        </w:tc>
        <w:tc>
          <w:tcPr>
            <w:tcW w:w="648" w:type="pct"/>
            <w:shd w:val="clear" w:color="auto" w:fill="auto"/>
            <w:noWrap/>
            <w:vAlign w:val="center"/>
          </w:tcPr>
          <w:p w14:paraId="3EBEF598">
            <w:pPr>
              <w:jc w:val="center"/>
              <w:rPr>
                <w:color w:val="000000"/>
                <w:kern w:val="0"/>
                <w:szCs w:val="21"/>
              </w:rPr>
            </w:pPr>
            <w:r>
              <w:rPr>
                <w:color w:val="000000"/>
                <w:kern w:val="0"/>
                <w:szCs w:val="21"/>
              </w:rPr>
              <w:t>48.01</w:t>
            </w:r>
          </w:p>
        </w:tc>
        <w:tc>
          <w:tcPr>
            <w:tcW w:w="497" w:type="pct"/>
            <w:shd w:val="clear" w:color="auto" w:fill="auto"/>
            <w:noWrap/>
            <w:vAlign w:val="center"/>
          </w:tcPr>
          <w:p w14:paraId="3EE09672">
            <w:pPr>
              <w:jc w:val="center"/>
              <w:rPr>
                <w:color w:val="000000"/>
                <w:kern w:val="0"/>
                <w:szCs w:val="21"/>
              </w:rPr>
            </w:pPr>
            <w:r>
              <w:rPr>
                <w:color w:val="000000"/>
                <w:kern w:val="0"/>
                <w:szCs w:val="21"/>
              </w:rPr>
              <w:t>2类</w:t>
            </w:r>
          </w:p>
        </w:tc>
        <w:tc>
          <w:tcPr>
            <w:tcW w:w="347" w:type="pct"/>
            <w:shd w:val="clear" w:color="auto" w:fill="auto"/>
            <w:noWrap/>
            <w:vAlign w:val="center"/>
          </w:tcPr>
          <w:p w14:paraId="48F85F2B">
            <w:pPr>
              <w:jc w:val="center"/>
              <w:rPr>
                <w:color w:val="000000"/>
                <w:kern w:val="0"/>
                <w:szCs w:val="21"/>
              </w:rPr>
            </w:pPr>
            <w:r>
              <w:rPr>
                <w:color w:val="000000"/>
                <w:kern w:val="0"/>
                <w:szCs w:val="21"/>
              </w:rPr>
              <w:t>60</w:t>
            </w:r>
          </w:p>
        </w:tc>
        <w:tc>
          <w:tcPr>
            <w:tcW w:w="422" w:type="pct"/>
            <w:shd w:val="clear" w:color="auto" w:fill="auto"/>
            <w:noWrap/>
            <w:vAlign w:val="center"/>
          </w:tcPr>
          <w:p w14:paraId="7B67C098">
            <w:pPr>
              <w:jc w:val="center"/>
              <w:rPr>
                <w:color w:val="000000"/>
                <w:kern w:val="0"/>
                <w:szCs w:val="21"/>
              </w:rPr>
            </w:pPr>
            <w:r>
              <w:rPr>
                <w:color w:val="000000"/>
                <w:kern w:val="0"/>
                <w:szCs w:val="21"/>
              </w:rPr>
              <w:t>是</w:t>
            </w:r>
          </w:p>
        </w:tc>
      </w:tr>
      <w:tr w14:paraId="36EF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299F5E44">
            <w:pPr>
              <w:jc w:val="center"/>
              <w:rPr>
                <w:color w:val="000000"/>
                <w:kern w:val="0"/>
                <w:szCs w:val="21"/>
              </w:rPr>
            </w:pPr>
            <w:r>
              <w:rPr>
                <w:color w:val="000000"/>
                <w:kern w:val="0"/>
                <w:szCs w:val="21"/>
              </w:rPr>
              <w:t>8</w:t>
            </w:r>
          </w:p>
        </w:tc>
        <w:tc>
          <w:tcPr>
            <w:tcW w:w="669" w:type="pct"/>
            <w:shd w:val="clear" w:color="auto" w:fill="auto"/>
            <w:noWrap/>
            <w:vAlign w:val="center"/>
          </w:tcPr>
          <w:p w14:paraId="61F01DA9">
            <w:pPr>
              <w:jc w:val="center"/>
              <w:rPr>
                <w:color w:val="000000"/>
                <w:kern w:val="0"/>
                <w:szCs w:val="21"/>
              </w:rPr>
            </w:pPr>
            <w:r>
              <w:rPr>
                <w:color w:val="000000"/>
                <w:kern w:val="0"/>
                <w:szCs w:val="21"/>
              </w:rPr>
              <w:t>场界西侧居民处</w:t>
            </w:r>
          </w:p>
        </w:tc>
        <w:tc>
          <w:tcPr>
            <w:tcW w:w="392" w:type="pct"/>
            <w:shd w:val="clear" w:color="auto" w:fill="auto"/>
            <w:noWrap/>
            <w:vAlign w:val="center"/>
          </w:tcPr>
          <w:p w14:paraId="53AEB6C2">
            <w:pPr>
              <w:jc w:val="center"/>
              <w:rPr>
                <w:color w:val="000000"/>
                <w:kern w:val="0"/>
                <w:szCs w:val="21"/>
              </w:rPr>
            </w:pPr>
            <w:r>
              <w:rPr>
                <w:color w:val="000000"/>
                <w:kern w:val="0"/>
                <w:szCs w:val="21"/>
              </w:rPr>
              <w:t>-349.11</w:t>
            </w:r>
          </w:p>
        </w:tc>
        <w:tc>
          <w:tcPr>
            <w:tcW w:w="487" w:type="pct"/>
            <w:shd w:val="clear" w:color="auto" w:fill="auto"/>
            <w:noWrap/>
            <w:vAlign w:val="center"/>
          </w:tcPr>
          <w:p w14:paraId="70A60C90">
            <w:pPr>
              <w:jc w:val="center"/>
              <w:rPr>
                <w:color w:val="000000"/>
                <w:kern w:val="0"/>
                <w:szCs w:val="21"/>
              </w:rPr>
            </w:pPr>
            <w:r>
              <w:rPr>
                <w:color w:val="000000"/>
                <w:kern w:val="0"/>
                <w:szCs w:val="21"/>
              </w:rPr>
              <w:t>323.06</w:t>
            </w:r>
          </w:p>
        </w:tc>
        <w:tc>
          <w:tcPr>
            <w:tcW w:w="272" w:type="pct"/>
            <w:shd w:val="clear" w:color="auto" w:fill="auto"/>
            <w:noWrap/>
            <w:vAlign w:val="center"/>
          </w:tcPr>
          <w:p w14:paraId="2D3CD338">
            <w:pPr>
              <w:jc w:val="center"/>
              <w:rPr>
                <w:color w:val="000000"/>
                <w:kern w:val="0"/>
                <w:szCs w:val="21"/>
              </w:rPr>
            </w:pPr>
            <w:r>
              <w:rPr>
                <w:color w:val="000000"/>
                <w:kern w:val="0"/>
                <w:szCs w:val="21"/>
              </w:rPr>
              <w:t>1.2</w:t>
            </w:r>
          </w:p>
        </w:tc>
        <w:tc>
          <w:tcPr>
            <w:tcW w:w="497" w:type="pct"/>
            <w:shd w:val="clear" w:color="auto" w:fill="auto"/>
            <w:noWrap/>
            <w:vAlign w:val="center"/>
          </w:tcPr>
          <w:p w14:paraId="117FDC32">
            <w:pPr>
              <w:jc w:val="center"/>
              <w:rPr>
                <w:color w:val="000000"/>
                <w:kern w:val="0"/>
                <w:szCs w:val="21"/>
              </w:rPr>
            </w:pPr>
            <w:r>
              <w:rPr>
                <w:color w:val="000000"/>
                <w:kern w:val="0"/>
                <w:szCs w:val="21"/>
              </w:rPr>
              <w:t>19.13</w:t>
            </w:r>
          </w:p>
        </w:tc>
        <w:tc>
          <w:tcPr>
            <w:tcW w:w="497" w:type="pct"/>
            <w:shd w:val="clear" w:color="auto" w:fill="auto"/>
            <w:noWrap/>
            <w:vAlign w:val="center"/>
          </w:tcPr>
          <w:p w14:paraId="712F1D43">
            <w:pPr>
              <w:jc w:val="center"/>
              <w:rPr>
                <w:color w:val="000000"/>
                <w:kern w:val="0"/>
                <w:szCs w:val="21"/>
              </w:rPr>
            </w:pPr>
            <w:r>
              <w:rPr>
                <w:color w:val="000000"/>
                <w:kern w:val="0"/>
                <w:szCs w:val="21"/>
              </w:rPr>
              <w:t>49.5</w:t>
            </w:r>
          </w:p>
        </w:tc>
        <w:tc>
          <w:tcPr>
            <w:tcW w:w="648" w:type="pct"/>
            <w:shd w:val="clear" w:color="auto" w:fill="auto"/>
            <w:noWrap/>
            <w:vAlign w:val="center"/>
          </w:tcPr>
          <w:p w14:paraId="37828EE6">
            <w:pPr>
              <w:jc w:val="center"/>
              <w:rPr>
                <w:color w:val="000000"/>
                <w:kern w:val="0"/>
                <w:szCs w:val="21"/>
              </w:rPr>
            </w:pPr>
            <w:r>
              <w:rPr>
                <w:color w:val="000000"/>
                <w:kern w:val="0"/>
                <w:szCs w:val="21"/>
              </w:rPr>
              <w:t>49.5</w:t>
            </w:r>
          </w:p>
        </w:tc>
        <w:tc>
          <w:tcPr>
            <w:tcW w:w="497" w:type="pct"/>
            <w:shd w:val="clear" w:color="auto" w:fill="auto"/>
            <w:noWrap/>
            <w:vAlign w:val="center"/>
          </w:tcPr>
          <w:p w14:paraId="26B0D543">
            <w:pPr>
              <w:jc w:val="center"/>
              <w:rPr>
                <w:color w:val="000000"/>
                <w:kern w:val="0"/>
                <w:szCs w:val="21"/>
              </w:rPr>
            </w:pPr>
            <w:r>
              <w:rPr>
                <w:color w:val="000000"/>
                <w:kern w:val="0"/>
                <w:szCs w:val="21"/>
              </w:rPr>
              <w:t>2类</w:t>
            </w:r>
          </w:p>
        </w:tc>
        <w:tc>
          <w:tcPr>
            <w:tcW w:w="347" w:type="pct"/>
            <w:shd w:val="clear" w:color="auto" w:fill="auto"/>
            <w:noWrap/>
            <w:vAlign w:val="center"/>
          </w:tcPr>
          <w:p w14:paraId="68F23EA8">
            <w:pPr>
              <w:jc w:val="center"/>
              <w:rPr>
                <w:color w:val="000000"/>
                <w:kern w:val="0"/>
                <w:szCs w:val="21"/>
              </w:rPr>
            </w:pPr>
            <w:r>
              <w:rPr>
                <w:color w:val="000000"/>
                <w:kern w:val="0"/>
                <w:szCs w:val="21"/>
              </w:rPr>
              <w:t>60</w:t>
            </w:r>
          </w:p>
        </w:tc>
        <w:tc>
          <w:tcPr>
            <w:tcW w:w="422" w:type="pct"/>
            <w:shd w:val="clear" w:color="auto" w:fill="auto"/>
            <w:noWrap/>
            <w:vAlign w:val="center"/>
          </w:tcPr>
          <w:p w14:paraId="305AB2A3">
            <w:pPr>
              <w:jc w:val="center"/>
              <w:rPr>
                <w:color w:val="000000"/>
                <w:kern w:val="0"/>
                <w:szCs w:val="21"/>
              </w:rPr>
            </w:pPr>
            <w:r>
              <w:rPr>
                <w:color w:val="000000"/>
                <w:kern w:val="0"/>
                <w:szCs w:val="21"/>
              </w:rPr>
              <w:t>是</w:t>
            </w:r>
          </w:p>
        </w:tc>
      </w:tr>
      <w:tr w14:paraId="721B5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140B1A27">
            <w:pPr>
              <w:jc w:val="center"/>
              <w:rPr>
                <w:color w:val="000000"/>
                <w:kern w:val="0"/>
                <w:szCs w:val="21"/>
              </w:rPr>
            </w:pPr>
            <w:r>
              <w:rPr>
                <w:color w:val="000000"/>
                <w:kern w:val="0"/>
                <w:szCs w:val="21"/>
              </w:rPr>
              <w:t>9</w:t>
            </w:r>
          </w:p>
        </w:tc>
        <w:tc>
          <w:tcPr>
            <w:tcW w:w="669" w:type="pct"/>
            <w:shd w:val="clear" w:color="auto" w:fill="auto"/>
            <w:noWrap/>
            <w:vAlign w:val="center"/>
          </w:tcPr>
          <w:p w14:paraId="08F70BBC">
            <w:pPr>
              <w:jc w:val="center"/>
              <w:rPr>
                <w:color w:val="000000"/>
                <w:kern w:val="0"/>
                <w:szCs w:val="21"/>
              </w:rPr>
            </w:pPr>
            <w:r>
              <w:rPr>
                <w:color w:val="000000"/>
                <w:kern w:val="0"/>
                <w:szCs w:val="21"/>
              </w:rPr>
              <w:t>场界西北侧居民处</w:t>
            </w:r>
          </w:p>
        </w:tc>
        <w:tc>
          <w:tcPr>
            <w:tcW w:w="392" w:type="pct"/>
            <w:shd w:val="clear" w:color="auto" w:fill="auto"/>
            <w:noWrap/>
            <w:vAlign w:val="center"/>
          </w:tcPr>
          <w:p w14:paraId="0889DC4E">
            <w:pPr>
              <w:jc w:val="center"/>
              <w:rPr>
                <w:color w:val="000000"/>
                <w:kern w:val="0"/>
                <w:szCs w:val="21"/>
              </w:rPr>
            </w:pPr>
            <w:r>
              <w:rPr>
                <w:color w:val="000000"/>
                <w:kern w:val="0"/>
                <w:szCs w:val="21"/>
              </w:rPr>
              <w:t>-9.64</w:t>
            </w:r>
          </w:p>
        </w:tc>
        <w:tc>
          <w:tcPr>
            <w:tcW w:w="487" w:type="pct"/>
            <w:shd w:val="clear" w:color="auto" w:fill="auto"/>
            <w:noWrap/>
            <w:vAlign w:val="center"/>
          </w:tcPr>
          <w:p w14:paraId="2BD547DF">
            <w:pPr>
              <w:jc w:val="center"/>
              <w:rPr>
                <w:color w:val="000000"/>
                <w:kern w:val="0"/>
                <w:szCs w:val="21"/>
              </w:rPr>
            </w:pPr>
            <w:r>
              <w:rPr>
                <w:color w:val="000000"/>
                <w:kern w:val="0"/>
                <w:szCs w:val="21"/>
              </w:rPr>
              <w:t>387.21</w:t>
            </w:r>
          </w:p>
        </w:tc>
        <w:tc>
          <w:tcPr>
            <w:tcW w:w="272" w:type="pct"/>
            <w:shd w:val="clear" w:color="auto" w:fill="auto"/>
            <w:noWrap/>
            <w:vAlign w:val="center"/>
          </w:tcPr>
          <w:p w14:paraId="3032FDF2">
            <w:pPr>
              <w:jc w:val="center"/>
              <w:rPr>
                <w:color w:val="000000"/>
                <w:kern w:val="0"/>
                <w:szCs w:val="21"/>
              </w:rPr>
            </w:pPr>
            <w:r>
              <w:rPr>
                <w:color w:val="000000"/>
                <w:kern w:val="0"/>
                <w:szCs w:val="21"/>
              </w:rPr>
              <w:t>1.2</w:t>
            </w:r>
          </w:p>
        </w:tc>
        <w:tc>
          <w:tcPr>
            <w:tcW w:w="497" w:type="pct"/>
            <w:shd w:val="clear" w:color="auto" w:fill="auto"/>
            <w:noWrap/>
            <w:vAlign w:val="center"/>
          </w:tcPr>
          <w:p w14:paraId="2F44EEC7">
            <w:pPr>
              <w:jc w:val="center"/>
              <w:rPr>
                <w:color w:val="000000"/>
                <w:kern w:val="0"/>
                <w:szCs w:val="21"/>
              </w:rPr>
            </w:pPr>
            <w:r>
              <w:rPr>
                <w:color w:val="000000"/>
                <w:kern w:val="0"/>
                <w:szCs w:val="21"/>
              </w:rPr>
              <w:t>27.27</w:t>
            </w:r>
          </w:p>
        </w:tc>
        <w:tc>
          <w:tcPr>
            <w:tcW w:w="497" w:type="pct"/>
            <w:shd w:val="clear" w:color="auto" w:fill="auto"/>
            <w:noWrap/>
            <w:vAlign w:val="center"/>
          </w:tcPr>
          <w:p w14:paraId="0289152C">
            <w:pPr>
              <w:jc w:val="center"/>
              <w:rPr>
                <w:color w:val="000000"/>
                <w:kern w:val="0"/>
                <w:szCs w:val="21"/>
              </w:rPr>
            </w:pPr>
            <w:r>
              <w:rPr>
                <w:color w:val="000000"/>
                <w:kern w:val="0"/>
                <w:szCs w:val="21"/>
              </w:rPr>
              <w:t>51</w:t>
            </w:r>
          </w:p>
        </w:tc>
        <w:tc>
          <w:tcPr>
            <w:tcW w:w="648" w:type="pct"/>
            <w:shd w:val="clear" w:color="auto" w:fill="auto"/>
            <w:noWrap/>
            <w:vAlign w:val="center"/>
          </w:tcPr>
          <w:p w14:paraId="5FFDFA65">
            <w:pPr>
              <w:jc w:val="center"/>
              <w:rPr>
                <w:color w:val="000000"/>
                <w:kern w:val="0"/>
                <w:szCs w:val="21"/>
              </w:rPr>
            </w:pPr>
            <w:r>
              <w:rPr>
                <w:color w:val="000000"/>
                <w:kern w:val="0"/>
                <w:szCs w:val="21"/>
              </w:rPr>
              <w:t>51.02</w:t>
            </w:r>
          </w:p>
        </w:tc>
        <w:tc>
          <w:tcPr>
            <w:tcW w:w="497" w:type="pct"/>
            <w:shd w:val="clear" w:color="auto" w:fill="auto"/>
            <w:noWrap/>
            <w:vAlign w:val="center"/>
          </w:tcPr>
          <w:p w14:paraId="2D7BE47D">
            <w:pPr>
              <w:jc w:val="center"/>
              <w:rPr>
                <w:color w:val="000000"/>
                <w:kern w:val="0"/>
                <w:szCs w:val="21"/>
              </w:rPr>
            </w:pPr>
            <w:r>
              <w:rPr>
                <w:color w:val="000000"/>
                <w:kern w:val="0"/>
                <w:szCs w:val="21"/>
              </w:rPr>
              <w:t>2类</w:t>
            </w:r>
          </w:p>
        </w:tc>
        <w:tc>
          <w:tcPr>
            <w:tcW w:w="347" w:type="pct"/>
            <w:shd w:val="clear" w:color="auto" w:fill="auto"/>
            <w:noWrap/>
            <w:vAlign w:val="center"/>
          </w:tcPr>
          <w:p w14:paraId="04F95A31">
            <w:pPr>
              <w:jc w:val="center"/>
              <w:rPr>
                <w:color w:val="000000"/>
                <w:kern w:val="0"/>
                <w:szCs w:val="21"/>
              </w:rPr>
            </w:pPr>
            <w:r>
              <w:rPr>
                <w:color w:val="000000"/>
                <w:kern w:val="0"/>
                <w:szCs w:val="21"/>
              </w:rPr>
              <w:t>60</w:t>
            </w:r>
          </w:p>
        </w:tc>
        <w:tc>
          <w:tcPr>
            <w:tcW w:w="422" w:type="pct"/>
            <w:shd w:val="clear" w:color="auto" w:fill="auto"/>
            <w:noWrap/>
            <w:vAlign w:val="center"/>
          </w:tcPr>
          <w:p w14:paraId="6D05C7EA">
            <w:pPr>
              <w:jc w:val="center"/>
              <w:rPr>
                <w:color w:val="000000"/>
                <w:kern w:val="0"/>
                <w:szCs w:val="21"/>
              </w:rPr>
            </w:pPr>
            <w:r>
              <w:rPr>
                <w:color w:val="000000"/>
                <w:kern w:val="0"/>
                <w:szCs w:val="21"/>
              </w:rPr>
              <w:t>是</w:t>
            </w:r>
          </w:p>
        </w:tc>
      </w:tr>
      <w:tr w14:paraId="4DDB2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1"/>
            <w:shd w:val="clear" w:color="auto" w:fill="auto"/>
            <w:noWrap/>
            <w:vAlign w:val="center"/>
          </w:tcPr>
          <w:p w14:paraId="5B726009">
            <w:pPr>
              <w:jc w:val="center"/>
              <w:rPr>
                <w:color w:val="000000"/>
                <w:kern w:val="0"/>
                <w:szCs w:val="21"/>
              </w:rPr>
            </w:pPr>
            <w:r>
              <w:rPr>
                <w:color w:val="000000"/>
                <w:kern w:val="0"/>
                <w:szCs w:val="21"/>
              </w:rPr>
              <w:t>佛龙养殖场区</w:t>
            </w:r>
          </w:p>
        </w:tc>
      </w:tr>
      <w:tr w14:paraId="7B8E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58AD3031">
            <w:pPr>
              <w:jc w:val="center"/>
              <w:rPr>
                <w:color w:val="000000"/>
                <w:kern w:val="0"/>
                <w:szCs w:val="21"/>
              </w:rPr>
            </w:pPr>
            <w:r>
              <w:rPr>
                <w:color w:val="000000"/>
                <w:kern w:val="0"/>
                <w:szCs w:val="21"/>
              </w:rPr>
              <w:t>1</w:t>
            </w:r>
          </w:p>
        </w:tc>
        <w:tc>
          <w:tcPr>
            <w:tcW w:w="669" w:type="pct"/>
            <w:shd w:val="clear" w:color="auto" w:fill="auto"/>
            <w:noWrap/>
            <w:vAlign w:val="center"/>
          </w:tcPr>
          <w:p w14:paraId="071E9DE6">
            <w:pPr>
              <w:jc w:val="center"/>
              <w:rPr>
                <w:color w:val="000000"/>
                <w:kern w:val="0"/>
                <w:szCs w:val="21"/>
              </w:rPr>
            </w:pPr>
            <w:r>
              <w:rPr>
                <w:color w:val="000000"/>
                <w:kern w:val="0"/>
                <w:szCs w:val="21"/>
              </w:rPr>
              <w:t>东侧场界外</w:t>
            </w:r>
          </w:p>
        </w:tc>
        <w:tc>
          <w:tcPr>
            <w:tcW w:w="392" w:type="pct"/>
            <w:shd w:val="clear" w:color="auto" w:fill="auto"/>
            <w:noWrap/>
            <w:vAlign w:val="center"/>
          </w:tcPr>
          <w:p w14:paraId="3C9C28B7">
            <w:pPr>
              <w:jc w:val="center"/>
              <w:rPr>
                <w:color w:val="000000"/>
                <w:kern w:val="0"/>
                <w:szCs w:val="21"/>
              </w:rPr>
            </w:pPr>
            <w:r>
              <w:rPr>
                <w:color w:val="000000"/>
                <w:kern w:val="0"/>
                <w:szCs w:val="21"/>
              </w:rPr>
              <w:t>167.68</w:t>
            </w:r>
          </w:p>
        </w:tc>
        <w:tc>
          <w:tcPr>
            <w:tcW w:w="487" w:type="pct"/>
            <w:shd w:val="clear" w:color="auto" w:fill="auto"/>
            <w:noWrap/>
            <w:vAlign w:val="center"/>
          </w:tcPr>
          <w:p w14:paraId="4DD2DC1B">
            <w:pPr>
              <w:jc w:val="center"/>
              <w:rPr>
                <w:color w:val="000000"/>
                <w:kern w:val="0"/>
                <w:szCs w:val="21"/>
              </w:rPr>
            </w:pPr>
            <w:r>
              <w:rPr>
                <w:color w:val="000000"/>
                <w:kern w:val="0"/>
                <w:szCs w:val="21"/>
              </w:rPr>
              <w:t>445.96</w:t>
            </w:r>
          </w:p>
        </w:tc>
        <w:tc>
          <w:tcPr>
            <w:tcW w:w="272" w:type="pct"/>
            <w:shd w:val="clear" w:color="auto" w:fill="auto"/>
            <w:noWrap/>
            <w:vAlign w:val="center"/>
          </w:tcPr>
          <w:p w14:paraId="2D52D9AB">
            <w:pPr>
              <w:jc w:val="center"/>
              <w:rPr>
                <w:color w:val="000000"/>
                <w:kern w:val="0"/>
                <w:szCs w:val="21"/>
              </w:rPr>
            </w:pPr>
            <w:r>
              <w:rPr>
                <w:color w:val="000000"/>
                <w:kern w:val="0"/>
                <w:szCs w:val="21"/>
              </w:rPr>
              <w:t>1.2</w:t>
            </w:r>
          </w:p>
        </w:tc>
        <w:tc>
          <w:tcPr>
            <w:tcW w:w="497" w:type="pct"/>
            <w:shd w:val="clear" w:color="auto" w:fill="auto"/>
            <w:noWrap/>
            <w:vAlign w:val="center"/>
          </w:tcPr>
          <w:p w14:paraId="5E753123">
            <w:pPr>
              <w:jc w:val="center"/>
              <w:rPr>
                <w:color w:val="000000"/>
                <w:kern w:val="0"/>
                <w:szCs w:val="21"/>
              </w:rPr>
            </w:pPr>
            <w:r>
              <w:rPr>
                <w:color w:val="000000"/>
                <w:kern w:val="0"/>
                <w:szCs w:val="21"/>
              </w:rPr>
              <w:t>23.76</w:t>
            </w:r>
          </w:p>
        </w:tc>
        <w:tc>
          <w:tcPr>
            <w:tcW w:w="497" w:type="pct"/>
            <w:shd w:val="clear" w:color="auto" w:fill="auto"/>
            <w:noWrap/>
            <w:vAlign w:val="center"/>
          </w:tcPr>
          <w:p w14:paraId="50EAF883">
            <w:pPr>
              <w:jc w:val="center"/>
              <w:rPr>
                <w:color w:val="000000"/>
                <w:kern w:val="0"/>
                <w:szCs w:val="21"/>
              </w:rPr>
            </w:pPr>
            <w:r>
              <w:rPr>
                <w:color w:val="000000"/>
                <w:kern w:val="0"/>
                <w:szCs w:val="21"/>
              </w:rPr>
              <w:t>50</w:t>
            </w:r>
          </w:p>
        </w:tc>
        <w:tc>
          <w:tcPr>
            <w:tcW w:w="648" w:type="pct"/>
            <w:shd w:val="clear" w:color="auto" w:fill="auto"/>
            <w:noWrap/>
            <w:vAlign w:val="center"/>
          </w:tcPr>
          <w:p w14:paraId="614C8989">
            <w:pPr>
              <w:jc w:val="center"/>
              <w:rPr>
                <w:color w:val="000000"/>
                <w:kern w:val="0"/>
                <w:szCs w:val="21"/>
              </w:rPr>
            </w:pPr>
            <w:r>
              <w:rPr>
                <w:color w:val="000000"/>
                <w:kern w:val="0"/>
                <w:szCs w:val="21"/>
              </w:rPr>
              <w:t>50.01</w:t>
            </w:r>
          </w:p>
        </w:tc>
        <w:tc>
          <w:tcPr>
            <w:tcW w:w="497" w:type="pct"/>
            <w:shd w:val="clear" w:color="auto" w:fill="auto"/>
            <w:noWrap/>
            <w:vAlign w:val="center"/>
          </w:tcPr>
          <w:p w14:paraId="504545B4">
            <w:pPr>
              <w:jc w:val="center"/>
              <w:rPr>
                <w:color w:val="000000"/>
                <w:kern w:val="0"/>
                <w:szCs w:val="21"/>
              </w:rPr>
            </w:pPr>
            <w:r>
              <w:rPr>
                <w:color w:val="000000"/>
                <w:kern w:val="0"/>
                <w:szCs w:val="21"/>
              </w:rPr>
              <w:t>2类</w:t>
            </w:r>
          </w:p>
        </w:tc>
        <w:tc>
          <w:tcPr>
            <w:tcW w:w="347" w:type="pct"/>
            <w:shd w:val="clear" w:color="auto" w:fill="auto"/>
            <w:noWrap/>
            <w:vAlign w:val="center"/>
          </w:tcPr>
          <w:p w14:paraId="0C8FEAAD">
            <w:pPr>
              <w:jc w:val="center"/>
              <w:rPr>
                <w:color w:val="000000"/>
                <w:kern w:val="0"/>
                <w:szCs w:val="21"/>
              </w:rPr>
            </w:pPr>
            <w:r>
              <w:rPr>
                <w:color w:val="000000"/>
                <w:kern w:val="0"/>
                <w:szCs w:val="21"/>
              </w:rPr>
              <w:t>60</w:t>
            </w:r>
          </w:p>
        </w:tc>
        <w:tc>
          <w:tcPr>
            <w:tcW w:w="422" w:type="pct"/>
            <w:shd w:val="clear" w:color="auto" w:fill="auto"/>
            <w:noWrap/>
            <w:vAlign w:val="center"/>
          </w:tcPr>
          <w:p w14:paraId="082AB1FD">
            <w:pPr>
              <w:jc w:val="center"/>
              <w:rPr>
                <w:color w:val="000000"/>
                <w:kern w:val="0"/>
                <w:szCs w:val="21"/>
              </w:rPr>
            </w:pPr>
            <w:r>
              <w:rPr>
                <w:color w:val="000000"/>
                <w:kern w:val="0"/>
                <w:szCs w:val="21"/>
              </w:rPr>
              <w:t>是</w:t>
            </w:r>
          </w:p>
        </w:tc>
      </w:tr>
      <w:tr w14:paraId="239C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2D89B99A">
            <w:pPr>
              <w:jc w:val="center"/>
              <w:rPr>
                <w:color w:val="000000"/>
                <w:kern w:val="0"/>
                <w:szCs w:val="21"/>
              </w:rPr>
            </w:pPr>
            <w:r>
              <w:rPr>
                <w:color w:val="000000"/>
                <w:kern w:val="0"/>
                <w:szCs w:val="21"/>
              </w:rPr>
              <w:t>2</w:t>
            </w:r>
          </w:p>
        </w:tc>
        <w:tc>
          <w:tcPr>
            <w:tcW w:w="669" w:type="pct"/>
            <w:shd w:val="clear" w:color="auto" w:fill="auto"/>
            <w:noWrap/>
            <w:vAlign w:val="center"/>
          </w:tcPr>
          <w:p w14:paraId="17A20DA8">
            <w:pPr>
              <w:jc w:val="center"/>
              <w:rPr>
                <w:color w:val="000000"/>
                <w:kern w:val="0"/>
                <w:szCs w:val="21"/>
              </w:rPr>
            </w:pPr>
            <w:r>
              <w:rPr>
                <w:color w:val="000000"/>
                <w:kern w:val="0"/>
                <w:szCs w:val="21"/>
              </w:rPr>
              <w:t>北侧场界外</w:t>
            </w:r>
          </w:p>
        </w:tc>
        <w:tc>
          <w:tcPr>
            <w:tcW w:w="392" w:type="pct"/>
            <w:shd w:val="clear" w:color="auto" w:fill="auto"/>
            <w:noWrap/>
            <w:vAlign w:val="center"/>
          </w:tcPr>
          <w:p w14:paraId="3EF2AF29">
            <w:pPr>
              <w:jc w:val="center"/>
              <w:rPr>
                <w:color w:val="000000"/>
                <w:kern w:val="0"/>
                <w:szCs w:val="21"/>
              </w:rPr>
            </w:pPr>
            <w:r>
              <w:rPr>
                <w:color w:val="000000"/>
                <w:kern w:val="0"/>
                <w:szCs w:val="21"/>
              </w:rPr>
              <w:t>255.15</w:t>
            </w:r>
          </w:p>
        </w:tc>
        <w:tc>
          <w:tcPr>
            <w:tcW w:w="487" w:type="pct"/>
            <w:shd w:val="clear" w:color="auto" w:fill="auto"/>
            <w:noWrap/>
            <w:vAlign w:val="center"/>
          </w:tcPr>
          <w:p w14:paraId="7F369C85">
            <w:pPr>
              <w:jc w:val="center"/>
              <w:rPr>
                <w:color w:val="000000"/>
                <w:kern w:val="0"/>
                <w:szCs w:val="21"/>
              </w:rPr>
            </w:pPr>
            <w:r>
              <w:rPr>
                <w:color w:val="000000"/>
                <w:kern w:val="0"/>
                <w:szCs w:val="21"/>
              </w:rPr>
              <w:t>745.2</w:t>
            </w:r>
          </w:p>
        </w:tc>
        <w:tc>
          <w:tcPr>
            <w:tcW w:w="272" w:type="pct"/>
            <w:shd w:val="clear" w:color="auto" w:fill="auto"/>
            <w:noWrap/>
            <w:vAlign w:val="center"/>
          </w:tcPr>
          <w:p w14:paraId="6D1F9858">
            <w:pPr>
              <w:jc w:val="center"/>
              <w:rPr>
                <w:color w:val="000000"/>
                <w:kern w:val="0"/>
                <w:szCs w:val="21"/>
              </w:rPr>
            </w:pPr>
            <w:r>
              <w:rPr>
                <w:color w:val="000000"/>
                <w:kern w:val="0"/>
                <w:szCs w:val="21"/>
              </w:rPr>
              <w:t>1.2</w:t>
            </w:r>
          </w:p>
        </w:tc>
        <w:tc>
          <w:tcPr>
            <w:tcW w:w="497" w:type="pct"/>
            <w:shd w:val="clear" w:color="auto" w:fill="auto"/>
            <w:noWrap/>
            <w:vAlign w:val="center"/>
          </w:tcPr>
          <w:p w14:paraId="702455E3">
            <w:pPr>
              <w:jc w:val="center"/>
              <w:rPr>
                <w:color w:val="000000"/>
                <w:kern w:val="0"/>
                <w:szCs w:val="21"/>
              </w:rPr>
            </w:pPr>
            <w:r>
              <w:rPr>
                <w:color w:val="000000"/>
                <w:kern w:val="0"/>
                <w:szCs w:val="21"/>
              </w:rPr>
              <w:t>12.89</w:t>
            </w:r>
          </w:p>
        </w:tc>
        <w:tc>
          <w:tcPr>
            <w:tcW w:w="497" w:type="pct"/>
            <w:shd w:val="clear" w:color="auto" w:fill="auto"/>
            <w:noWrap/>
            <w:vAlign w:val="center"/>
          </w:tcPr>
          <w:p w14:paraId="3CFFD14A">
            <w:pPr>
              <w:jc w:val="center"/>
              <w:rPr>
                <w:color w:val="000000"/>
                <w:kern w:val="0"/>
                <w:szCs w:val="21"/>
              </w:rPr>
            </w:pPr>
            <w:r>
              <w:rPr>
                <w:color w:val="000000"/>
                <w:kern w:val="0"/>
                <w:szCs w:val="21"/>
              </w:rPr>
              <w:t>49</w:t>
            </w:r>
          </w:p>
        </w:tc>
        <w:tc>
          <w:tcPr>
            <w:tcW w:w="648" w:type="pct"/>
            <w:shd w:val="clear" w:color="auto" w:fill="auto"/>
            <w:noWrap/>
            <w:vAlign w:val="center"/>
          </w:tcPr>
          <w:p w14:paraId="3D0CC60C">
            <w:pPr>
              <w:jc w:val="center"/>
              <w:rPr>
                <w:color w:val="000000"/>
                <w:kern w:val="0"/>
                <w:szCs w:val="21"/>
              </w:rPr>
            </w:pPr>
            <w:r>
              <w:rPr>
                <w:color w:val="000000"/>
                <w:kern w:val="0"/>
                <w:szCs w:val="21"/>
              </w:rPr>
              <w:t>49</w:t>
            </w:r>
          </w:p>
        </w:tc>
        <w:tc>
          <w:tcPr>
            <w:tcW w:w="497" w:type="pct"/>
            <w:shd w:val="clear" w:color="auto" w:fill="auto"/>
            <w:noWrap/>
            <w:vAlign w:val="center"/>
          </w:tcPr>
          <w:p w14:paraId="2E167CBF">
            <w:pPr>
              <w:jc w:val="center"/>
              <w:rPr>
                <w:color w:val="000000"/>
                <w:kern w:val="0"/>
                <w:szCs w:val="21"/>
              </w:rPr>
            </w:pPr>
            <w:r>
              <w:rPr>
                <w:color w:val="000000"/>
                <w:kern w:val="0"/>
                <w:szCs w:val="21"/>
              </w:rPr>
              <w:t>2类</w:t>
            </w:r>
          </w:p>
        </w:tc>
        <w:tc>
          <w:tcPr>
            <w:tcW w:w="347" w:type="pct"/>
            <w:shd w:val="clear" w:color="auto" w:fill="auto"/>
            <w:noWrap/>
            <w:vAlign w:val="center"/>
          </w:tcPr>
          <w:p w14:paraId="2FBC82AE">
            <w:pPr>
              <w:jc w:val="center"/>
              <w:rPr>
                <w:color w:val="000000"/>
                <w:kern w:val="0"/>
                <w:szCs w:val="21"/>
              </w:rPr>
            </w:pPr>
            <w:r>
              <w:rPr>
                <w:color w:val="000000"/>
                <w:kern w:val="0"/>
                <w:szCs w:val="21"/>
              </w:rPr>
              <w:t>60</w:t>
            </w:r>
          </w:p>
        </w:tc>
        <w:tc>
          <w:tcPr>
            <w:tcW w:w="422" w:type="pct"/>
            <w:shd w:val="clear" w:color="auto" w:fill="auto"/>
            <w:noWrap/>
            <w:vAlign w:val="center"/>
          </w:tcPr>
          <w:p w14:paraId="6DEE1823">
            <w:pPr>
              <w:jc w:val="center"/>
              <w:rPr>
                <w:color w:val="000000"/>
                <w:kern w:val="0"/>
                <w:szCs w:val="21"/>
              </w:rPr>
            </w:pPr>
            <w:r>
              <w:rPr>
                <w:color w:val="000000"/>
                <w:kern w:val="0"/>
                <w:szCs w:val="21"/>
              </w:rPr>
              <w:t>是</w:t>
            </w:r>
          </w:p>
        </w:tc>
      </w:tr>
      <w:tr w14:paraId="44BC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45BDAE60">
            <w:pPr>
              <w:jc w:val="center"/>
              <w:rPr>
                <w:color w:val="000000"/>
                <w:kern w:val="0"/>
                <w:szCs w:val="21"/>
              </w:rPr>
            </w:pPr>
            <w:r>
              <w:rPr>
                <w:color w:val="000000"/>
                <w:kern w:val="0"/>
                <w:szCs w:val="21"/>
              </w:rPr>
              <w:t>3</w:t>
            </w:r>
          </w:p>
        </w:tc>
        <w:tc>
          <w:tcPr>
            <w:tcW w:w="669" w:type="pct"/>
            <w:shd w:val="clear" w:color="auto" w:fill="auto"/>
            <w:noWrap/>
            <w:vAlign w:val="center"/>
          </w:tcPr>
          <w:p w14:paraId="18D76AC6">
            <w:pPr>
              <w:jc w:val="center"/>
              <w:rPr>
                <w:color w:val="000000"/>
                <w:kern w:val="0"/>
                <w:szCs w:val="21"/>
              </w:rPr>
            </w:pPr>
            <w:r>
              <w:rPr>
                <w:color w:val="000000"/>
                <w:kern w:val="0"/>
                <w:szCs w:val="21"/>
              </w:rPr>
              <w:t>南侧场界外</w:t>
            </w:r>
          </w:p>
        </w:tc>
        <w:tc>
          <w:tcPr>
            <w:tcW w:w="392" w:type="pct"/>
            <w:shd w:val="clear" w:color="auto" w:fill="auto"/>
            <w:noWrap/>
            <w:vAlign w:val="center"/>
          </w:tcPr>
          <w:p w14:paraId="1B27F5DD">
            <w:pPr>
              <w:jc w:val="center"/>
              <w:rPr>
                <w:color w:val="000000"/>
                <w:kern w:val="0"/>
                <w:szCs w:val="21"/>
              </w:rPr>
            </w:pPr>
            <w:r>
              <w:rPr>
                <w:color w:val="000000"/>
                <w:kern w:val="0"/>
                <w:szCs w:val="21"/>
              </w:rPr>
              <w:t>-25.67</w:t>
            </w:r>
          </w:p>
        </w:tc>
        <w:tc>
          <w:tcPr>
            <w:tcW w:w="487" w:type="pct"/>
            <w:shd w:val="clear" w:color="auto" w:fill="auto"/>
            <w:noWrap/>
            <w:vAlign w:val="center"/>
          </w:tcPr>
          <w:p w14:paraId="670FE125">
            <w:pPr>
              <w:jc w:val="center"/>
              <w:rPr>
                <w:color w:val="000000"/>
                <w:kern w:val="0"/>
                <w:szCs w:val="21"/>
              </w:rPr>
            </w:pPr>
            <w:r>
              <w:rPr>
                <w:color w:val="000000"/>
                <w:kern w:val="0"/>
                <w:szCs w:val="21"/>
              </w:rPr>
              <w:t>-14.39</w:t>
            </w:r>
          </w:p>
        </w:tc>
        <w:tc>
          <w:tcPr>
            <w:tcW w:w="272" w:type="pct"/>
            <w:shd w:val="clear" w:color="auto" w:fill="auto"/>
            <w:noWrap/>
            <w:vAlign w:val="center"/>
          </w:tcPr>
          <w:p w14:paraId="673D3BAE">
            <w:pPr>
              <w:jc w:val="center"/>
              <w:rPr>
                <w:color w:val="000000"/>
                <w:kern w:val="0"/>
                <w:szCs w:val="21"/>
              </w:rPr>
            </w:pPr>
            <w:r>
              <w:rPr>
                <w:color w:val="000000"/>
                <w:kern w:val="0"/>
                <w:szCs w:val="21"/>
              </w:rPr>
              <w:t>1.2</w:t>
            </w:r>
          </w:p>
        </w:tc>
        <w:tc>
          <w:tcPr>
            <w:tcW w:w="497" w:type="pct"/>
            <w:shd w:val="clear" w:color="auto" w:fill="auto"/>
            <w:noWrap/>
            <w:vAlign w:val="center"/>
          </w:tcPr>
          <w:p w14:paraId="332769FD">
            <w:pPr>
              <w:jc w:val="center"/>
              <w:rPr>
                <w:color w:val="000000"/>
                <w:kern w:val="0"/>
                <w:szCs w:val="21"/>
              </w:rPr>
            </w:pPr>
            <w:r>
              <w:rPr>
                <w:color w:val="000000"/>
                <w:kern w:val="0"/>
                <w:szCs w:val="21"/>
              </w:rPr>
              <w:t>20.11</w:t>
            </w:r>
          </w:p>
        </w:tc>
        <w:tc>
          <w:tcPr>
            <w:tcW w:w="497" w:type="pct"/>
            <w:shd w:val="clear" w:color="auto" w:fill="auto"/>
            <w:noWrap/>
            <w:vAlign w:val="center"/>
          </w:tcPr>
          <w:p w14:paraId="0A19D858">
            <w:pPr>
              <w:jc w:val="center"/>
              <w:rPr>
                <w:color w:val="000000"/>
                <w:kern w:val="0"/>
                <w:szCs w:val="21"/>
              </w:rPr>
            </w:pPr>
            <w:r>
              <w:rPr>
                <w:color w:val="000000"/>
                <w:kern w:val="0"/>
                <w:szCs w:val="21"/>
              </w:rPr>
              <w:t>51</w:t>
            </w:r>
          </w:p>
        </w:tc>
        <w:tc>
          <w:tcPr>
            <w:tcW w:w="648" w:type="pct"/>
            <w:shd w:val="clear" w:color="auto" w:fill="auto"/>
            <w:noWrap/>
            <w:vAlign w:val="center"/>
          </w:tcPr>
          <w:p w14:paraId="1C8D5BBF">
            <w:pPr>
              <w:jc w:val="center"/>
              <w:rPr>
                <w:color w:val="000000"/>
                <w:kern w:val="0"/>
                <w:szCs w:val="21"/>
              </w:rPr>
            </w:pPr>
            <w:r>
              <w:rPr>
                <w:color w:val="000000"/>
                <w:kern w:val="0"/>
                <w:szCs w:val="21"/>
              </w:rPr>
              <w:t>51</w:t>
            </w:r>
          </w:p>
        </w:tc>
        <w:tc>
          <w:tcPr>
            <w:tcW w:w="497" w:type="pct"/>
            <w:shd w:val="clear" w:color="auto" w:fill="auto"/>
            <w:noWrap/>
            <w:vAlign w:val="center"/>
          </w:tcPr>
          <w:p w14:paraId="76057591">
            <w:pPr>
              <w:jc w:val="center"/>
              <w:rPr>
                <w:color w:val="000000"/>
                <w:kern w:val="0"/>
                <w:szCs w:val="21"/>
              </w:rPr>
            </w:pPr>
            <w:r>
              <w:rPr>
                <w:color w:val="000000"/>
                <w:kern w:val="0"/>
                <w:szCs w:val="21"/>
              </w:rPr>
              <w:t>2类</w:t>
            </w:r>
          </w:p>
        </w:tc>
        <w:tc>
          <w:tcPr>
            <w:tcW w:w="347" w:type="pct"/>
            <w:shd w:val="clear" w:color="auto" w:fill="auto"/>
            <w:noWrap/>
            <w:vAlign w:val="center"/>
          </w:tcPr>
          <w:p w14:paraId="4A7C2AF2">
            <w:pPr>
              <w:jc w:val="center"/>
              <w:rPr>
                <w:color w:val="000000"/>
                <w:kern w:val="0"/>
                <w:szCs w:val="21"/>
              </w:rPr>
            </w:pPr>
            <w:r>
              <w:rPr>
                <w:color w:val="000000"/>
                <w:kern w:val="0"/>
                <w:szCs w:val="21"/>
              </w:rPr>
              <w:t>60</w:t>
            </w:r>
          </w:p>
        </w:tc>
        <w:tc>
          <w:tcPr>
            <w:tcW w:w="422" w:type="pct"/>
            <w:shd w:val="clear" w:color="auto" w:fill="auto"/>
            <w:noWrap/>
            <w:vAlign w:val="center"/>
          </w:tcPr>
          <w:p w14:paraId="188855B7">
            <w:pPr>
              <w:jc w:val="center"/>
              <w:rPr>
                <w:color w:val="000000"/>
                <w:kern w:val="0"/>
                <w:szCs w:val="21"/>
              </w:rPr>
            </w:pPr>
            <w:r>
              <w:rPr>
                <w:color w:val="000000"/>
                <w:kern w:val="0"/>
                <w:szCs w:val="21"/>
              </w:rPr>
              <w:t>是</w:t>
            </w:r>
          </w:p>
        </w:tc>
      </w:tr>
      <w:tr w14:paraId="2108F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19C6E734">
            <w:pPr>
              <w:jc w:val="center"/>
              <w:rPr>
                <w:color w:val="000000"/>
                <w:kern w:val="0"/>
                <w:szCs w:val="21"/>
              </w:rPr>
            </w:pPr>
            <w:r>
              <w:rPr>
                <w:color w:val="000000"/>
                <w:kern w:val="0"/>
                <w:szCs w:val="21"/>
              </w:rPr>
              <w:t>4</w:t>
            </w:r>
          </w:p>
        </w:tc>
        <w:tc>
          <w:tcPr>
            <w:tcW w:w="669" w:type="pct"/>
            <w:shd w:val="clear" w:color="auto" w:fill="auto"/>
            <w:noWrap/>
            <w:vAlign w:val="center"/>
          </w:tcPr>
          <w:p w14:paraId="7EA066D1">
            <w:pPr>
              <w:jc w:val="center"/>
              <w:rPr>
                <w:color w:val="000000"/>
                <w:kern w:val="0"/>
                <w:szCs w:val="21"/>
              </w:rPr>
            </w:pPr>
            <w:r>
              <w:rPr>
                <w:color w:val="000000"/>
                <w:kern w:val="0"/>
                <w:szCs w:val="21"/>
              </w:rPr>
              <w:t>场界东北侧居民处A</w:t>
            </w:r>
          </w:p>
        </w:tc>
        <w:tc>
          <w:tcPr>
            <w:tcW w:w="392" w:type="pct"/>
            <w:shd w:val="clear" w:color="auto" w:fill="auto"/>
            <w:noWrap/>
            <w:vAlign w:val="center"/>
          </w:tcPr>
          <w:p w14:paraId="6A955137">
            <w:pPr>
              <w:jc w:val="center"/>
              <w:rPr>
                <w:color w:val="000000"/>
                <w:kern w:val="0"/>
                <w:szCs w:val="21"/>
              </w:rPr>
            </w:pPr>
            <w:r>
              <w:rPr>
                <w:color w:val="000000"/>
                <w:kern w:val="0"/>
                <w:szCs w:val="21"/>
              </w:rPr>
              <w:t>347.44</w:t>
            </w:r>
          </w:p>
        </w:tc>
        <w:tc>
          <w:tcPr>
            <w:tcW w:w="487" w:type="pct"/>
            <w:shd w:val="clear" w:color="auto" w:fill="auto"/>
            <w:noWrap/>
            <w:vAlign w:val="center"/>
          </w:tcPr>
          <w:p w14:paraId="7D599D64">
            <w:pPr>
              <w:jc w:val="center"/>
              <w:rPr>
                <w:color w:val="000000"/>
                <w:kern w:val="0"/>
                <w:szCs w:val="21"/>
              </w:rPr>
            </w:pPr>
            <w:r>
              <w:rPr>
                <w:color w:val="000000"/>
                <w:kern w:val="0"/>
                <w:szCs w:val="21"/>
              </w:rPr>
              <w:t>881.11</w:t>
            </w:r>
          </w:p>
        </w:tc>
        <w:tc>
          <w:tcPr>
            <w:tcW w:w="272" w:type="pct"/>
            <w:shd w:val="clear" w:color="auto" w:fill="auto"/>
            <w:noWrap/>
            <w:vAlign w:val="center"/>
          </w:tcPr>
          <w:p w14:paraId="71F8138A">
            <w:pPr>
              <w:jc w:val="center"/>
              <w:rPr>
                <w:color w:val="000000"/>
                <w:kern w:val="0"/>
                <w:szCs w:val="21"/>
              </w:rPr>
            </w:pPr>
            <w:r>
              <w:rPr>
                <w:color w:val="000000"/>
                <w:kern w:val="0"/>
                <w:szCs w:val="21"/>
              </w:rPr>
              <w:t>1.2</w:t>
            </w:r>
          </w:p>
        </w:tc>
        <w:tc>
          <w:tcPr>
            <w:tcW w:w="497" w:type="pct"/>
            <w:shd w:val="clear" w:color="auto" w:fill="auto"/>
            <w:noWrap/>
            <w:vAlign w:val="center"/>
          </w:tcPr>
          <w:p w14:paraId="55128C0B">
            <w:pPr>
              <w:jc w:val="center"/>
              <w:rPr>
                <w:color w:val="000000"/>
                <w:kern w:val="0"/>
                <w:szCs w:val="21"/>
              </w:rPr>
            </w:pPr>
            <w:r>
              <w:rPr>
                <w:color w:val="000000"/>
                <w:kern w:val="0"/>
                <w:szCs w:val="21"/>
              </w:rPr>
              <w:t>11.38</w:t>
            </w:r>
          </w:p>
        </w:tc>
        <w:tc>
          <w:tcPr>
            <w:tcW w:w="497" w:type="pct"/>
            <w:shd w:val="clear" w:color="auto" w:fill="auto"/>
            <w:noWrap/>
            <w:vAlign w:val="center"/>
          </w:tcPr>
          <w:p w14:paraId="43936607">
            <w:pPr>
              <w:jc w:val="center"/>
              <w:rPr>
                <w:color w:val="000000"/>
                <w:kern w:val="0"/>
                <w:szCs w:val="21"/>
              </w:rPr>
            </w:pPr>
            <w:r>
              <w:rPr>
                <w:color w:val="000000"/>
                <w:kern w:val="0"/>
                <w:szCs w:val="21"/>
              </w:rPr>
              <w:t>52.5</w:t>
            </w:r>
          </w:p>
        </w:tc>
        <w:tc>
          <w:tcPr>
            <w:tcW w:w="648" w:type="pct"/>
            <w:shd w:val="clear" w:color="auto" w:fill="auto"/>
            <w:noWrap/>
            <w:vAlign w:val="center"/>
          </w:tcPr>
          <w:p w14:paraId="08BDE0D4">
            <w:pPr>
              <w:jc w:val="center"/>
              <w:rPr>
                <w:color w:val="000000"/>
                <w:kern w:val="0"/>
                <w:szCs w:val="21"/>
              </w:rPr>
            </w:pPr>
            <w:r>
              <w:rPr>
                <w:color w:val="000000"/>
                <w:kern w:val="0"/>
                <w:szCs w:val="21"/>
              </w:rPr>
              <w:t>52.5</w:t>
            </w:r>
          </w:p>
        </w:tc>
        <w:tc>
          <w:tcPr>
            <w:tcW w:w="497" w:type="pct"/>
            <w:shd w:val="clear" w:color="auto" w:fill="auto"/>
            <w:noWrap/>
            <w:vAlign w:val="center"/>
          </w:tcPr>
          <w:p w14:paraId="7766E706">
            <w:pPr>
              <w:jc w:val="center"/>
              <w:rPr>
                <w:color w:val="000000"/>
                <w:kern w:val="0"/>
                <w:szCs w:val="21"/>
              </w:rPr>
            </w:pPr>
            <w:r>
              <w:rPr>
                <w:color w:val="000000"/>
                <w:kern w:val="0"/>
                <w:szCs w:val="21"/>
              </w:rPr>
              <w:t>2类</w:t>
            </w:r>
          </w:p>
        </w:tc>
        <w:tc>
          <w:tcPr>
            <w:tcW w:w="347" w:type="pct"/>
            <w:shd w:val="clear" w:color="auto" w:fill="auto"/>
            <w:noWrap/>
            <w:vAlign w:val="center"/>
          </w:tcPr>
          <w:p w14:paraId="41B9D25B">
            <w:pPr>
              <w:jc w:val="center"/>
              <w:rPr>
                <w:color w:val="000000"/>
                <w:kern w:val="0"/>
                <w:szCs w:val="21"/>
              </w:rPr>
            </w:pPr>
            <w:r>
              <w:rPr>
                <w:color w:val="000000"/>
                <w:kern w:val="0"/>
                <w:szCs w:val="21"/>
              </w:rPr>
              <w:t>60</w:t>
            </w:r>
          </w:p>
        </w:tc>
        <w:tc>
          <w:tcPr>
            <w:tcW w:w="422" w:type="pct"/>
            <w:shd w:val="clear" w:color="auto" w:fill="auto"/>
            <w:noWrap/>
            <w:vAlign w:val="center"/>
          </w:tcPr>
          <w:p w14:paraId="10C7CC98">
            <w:pPr>
              <w:jc w:val="center"/>
              <w:rPr>
                <w:color w:val="000000"/>
                <w:kern w:val="0"/>
                <w:szCs w:val="21"/>
              </w:rPr>
            </w:pPr>
            <w:r>
              <w:rPr>
                <w:color w:val="000000"/>
                <w:kern w:val="0"/>
                <w:szCs w:val="21"/>
              </w:rPr>
              <w:t>是</w:t>
            </w:r>
          </w:p>
        </w:tc>
      </w:tr>
      <w:tr w14:paraId="5875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6FB19D80">
            <w:pPr>
              <w:jc w:val="center"/>
              <w:rPr>
                <w:color w:val="000000"/>
                <w:kern w:val="0"/>
                <w:szCs w:val="21"/>
              </w:rPr>
            </w:pPr>
            <w:r>
              <w:rPr>
                <w:color w:val="000000"/>
                <w:kern w:val="0"/>
                <w:szCs w:val="21"/>
              </w:rPr>
              <w:t>5</w:t>
            </w:r>
          </w:p>
        </w:tc>
        <w:tc>
          <w:tcPr>
            <w:tcW w:w="669" w:type="pct"/>
            <w:shd w:val="clear" w:color="auto" w:fill="auto"/>
            <w:noWrap/>
            <w:vAlign w:val="center"/>
          </w:tcPr>
          <w:p w14:paraId="0BF42A85">
            <w:pPr>
              <w:jc w:val="center"/>
              <w:rPr>
                <w:color w:val="000000"/>
                <w:kern w:val="0"/>
                <w:szCs w:val="21"/>
              </w:rPr>
            </w:pPr>
            <w:r>
              <w:rPr>
                <w:color w:val="000000"/>
                <w:kern w:val="0"/>
                <w:szCs w:val="21"/>
              </w:rPr>
              <w:t>场界东北侧居民处B</w:t>
            </w:r>
          </w:p>
        </w:tc>
        <w:tc>
          <w:tcPr>
            <w:tcW w:w="392" w:type="pct"/>
            <w:shd w:val="clear" w:color="auto" w:fill="auto"/>
            <w:noWrap/>
            <w:vAlign w:val="center"/>
          </w:tcPr>
          <w:p w14:paraId="310FDCE6">
            <w:pPr>
              <w:jc w:val="center"/>
              <w:rPr>
                <w:color w:val="000000"/>
                <w:kern w:val="0"/>
                <w:szCs w:val="21"/>
              </w:rPr>
            </w:pPr>
            <w:r>
              <w:rPr>
                <w:color w:val="000000"/>
                <w:kern w:val="0"/>
                <w:szCs w:val="21"/>
              </w:rPr>
              <w:t>333.86</w:t>
            </w:r>
          </w:p>
        </w:tc>
        <w:tc>
          <w:tcPr>
            <w:tcW w:w="487" w:type="pct"/>
            <w:shd w:val="clear" w:color="auto" w:fill="auto"/>
            <w:noWrap/>
            <w:vAlign w:val="center"/>
          </w:tcPr>
          <w:p w14:paraId="489A4051">
            <w:pPr>
              <w:jc w:val="center"/>
              <w:rPr>
                <w:color w:val="000000"/>
                <w:kern w:val="0"/>
                <w:szCs w:val="21"/>
              </w:rPr>
            </w:pPr>
            <w:r>
              <w:rPr>
                <w:color w:val="000000"/>
                <w:kern w:val="0"/>
                <w:szCs w:val="21"/>
              </w:rPr>
              <w:t>690</w:t>
            </w:r>
          </w:p>
        </w:tc>
        <w:tc>
          <w:tcPr>
            <w:tcW w:w="272" w:type="pct"/>
            <w:shd w:val="clear" w:color="auto" w:fill="auto"/>
            <w:noWrap/>
            <w:vAlign w:val="center"/>
          </w:tcPr>
          <w:p w14:paraId="60A23851">
            <w:pPr>
              <w:jc w:val="center"/>
              <w:rPr>
                <w:color w:val="000000"/>
                <w:kern w:val="0"/>
                <w:szCs w:val="21"/>
              </w:rPr>
            </w:pPr>
            <w:r>
              <w:rPr>
                <w:color w:val="000000"/>
                <w:kern w:val="0"/>
                <w:szCs w:val="21"/>
              </w:rPr>
              <w:t>1.2</w:t>
            </w:r>
          </w:p>
        </w:tc>
        <w:tc>
          <w:tcPr>
            <w:tcW w:w="497" w:type="pct"/>
            <w:shd w:val="clear" w:color="auto" w:fill="auto"/>
            <w:noWrap/>
            <w:vAlign w:val="center"/>
          </w:tcPr>
          <w:p w14:paraId="4A5773E9">
            <w:pPr>
              <w:jc w:val="center"/>
              <w:rPr>
                <w:color w:val="000000"/>
                <w:kern w:val="0"/>
                <w:szCs w:val="21"/>
              </w:rPr>
            </w:pPr>
            <w:r>
              <w:rPr>
                <w:color w:val="000000"/>
                <w:kern w:val="0"/>
                <w:szCs w:val="21"/>
              </w:rPr>
              <w:t>16.62</w:t>
            </w:r>
          </w:p>
        </w:tc>
        <w:tc>
          <w:tcPr>
            <w:tcW w:w="497" w:type="pct"/>
            <w:shd w:val="clear" w:color="auto" w:fill="auto"/>
            <w:noWrap/>
            <w:vAlign w:val="center"/>
          </w:tcPr>
          <w:p w14:paraId="18068E7C">
            <w:pPr>
              <w:jc w:val="center"/>
              <w:rPr>
                <w:color w:val="000000"/>
                <w:kern w:val="0"/>
                <w:szCs w:val="21"/>
              </w:rPr>
            </w:pPr>
            <w:r>
              <w:rPr>
                <w:color w:val="000000"/>
                <w:kern w:val="0"/>
                <w:szCs w:val="21"/>
              </w:rPr>
              <w:t>49.5</w:t>
            </w:r>
          </w:p>
        </w:tc>
        <w:tc>
          <w:tcPr>
            <w:tcW w:w="648" w:type="pct"/>
            <w:shd w:val="clear" w:color="auto" w:fill="auto"/>
            <w:noWrap/>
            <w:vAlign w:val="center"/>
          </w:tcPr>
          <w:p w14:paraId="4E94E08C">
            <w:pPr>
              <w:jc w:val="center"/>
              <w:rPr>
                <w:color w:val="000000"/>
                <w:kern w:val="0"/>
                <w:szCs w:val="21"/>
              </w:rPr>
            </w:pPr>
            <w:r>
              <w:rPr>
                <w:color w:val="000000"/>
                <w:kern w:val="0"/>
                <w:szCs w:val="21"/>
              </w:rPr>
              <w:t>49.5</w:t>
            </w:r>
          </w:p>
        </w:tc>
        <w:tc>
          <w:tcPr>
            <w:tcW w:w="497" w:type="pct"/>
            <w:shd w:val="clear" w:color="auto" w:fill="auto"/>
            <w:noWrap/>
            <w:vAlign w:val="center"/>
          </w:tcPr>
          <w:p w14:paraId="407728DC">
            <w:pPr>
              <w:jc w:val="center"/>
              <w:rPr>
                <w:color w:val="000000"/>
                <w:kern w:val="0"/>
                <w:szCs w:val="21"/>
              </w:rPr>
            </w:pPr>
            <w:r>
              <w:rPr>
                <w:color w:val="000000"/>
                <w:kern w:val="0"/>
                <w:szCs w:val="21"/>
              </w:rPr>
              <w:t>2类</w:t>
            </w:r>
          </w:p>
        </w:tc>
        <w:tc>
          <w:tcPr>
            <w:tcW w:w="347" w:type="pct"/>
            <w:shd w:val="clear" w:color="auto" w:fill="auto"/>
            <w:noWrap/>
            <w:vAlign w:val="center"/>
          </w:tcPr>
          <w:p w14:paraId="36675D22">
            <w:pPr>
              <w:jc w:val="center"/>
              <w:rPr>
                <w:color w:val="000000"/>
                <w:kern w:val="0"/>
                <w:szCs w:val="21"/>
              </w:rPr>
            </w:pPr>
            <w:r>
              <w:rPr>
                <w:color w:val="000000"/>
                <w:kern w:val="0"/>
                <w:szCs w:val="21"/>
              </w:rPr>
              <w:t>60</w:t>
            </w:r>
          </w:p>
        </w:tc>
        <w:tc>
          <w:tcPr>
            <w:tcW w:w="422" w:type="pct"/>
            <w:shd w:val="clear" w:color="auto" w:fill="auto"/>
            <w:noWrap/>
            <w:vAlign w:val="center"/>
          </w:tcPr>
          <w:p w14:paraId="366CB9B1">
            <w:pPr>
              <w:jc w:val="center"/>
              <w:rPr>
                <w:color w:val="000000"/>
                <w:kern w:val="0"/>
                <w:szCs w:val="21"/>
              </w:rPr>
            </w:pPr>
            <w:r>
              <w:rPr>
                <w:color w:val="000000"/>
                <w:kern w:val="0"/>
                <w:szCs w:val="21"/>
              </w:rPr>
              <w:t>是</w:t>
            </w:r>
          </w:p>
        </w:tc>
      </w:tr>
      <w:tr w14:paraId="7A9F6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2BF7E781">
            <w:pPr>
              <w:jc w:val="center"/>
              <w:rPr>
                <w:color w:val="000000"/>
                <w:kern w:val="0"/>
                <w:szCs w:val="21"/>
              </w:rPr>
            </w:pPr>
            <w:r>
              <w:rPr>
                <w:color w:val="000000"/>
                <w:kern w:val="0"/>
                <w:szCs w:val="21"/>
              </w:rPr>
              <w:t>6</w:t>
            </w:r>
          </w:p>
        </w:tc>
        <w:tc>
          <w:tcPr>
            <w:tcW w:w="669" w:type="pct"/>
            <w:shd w:val="clear" w:color="auto" w:fill="auto"/>
            <w:noWrap/>
            <w:vAlign w:val="center"/>
          </w:tcPr>
          <w:p w14:paraId="60790552">
            <w:pPr>
              <w:jc w:val="center"/>
              <w:rPr>
                <w:color w:val="000000"/>
                <w:kern w:val="0"/>
                <w:szCs w:val="21"/>
              </w:rPr>
            </w:pPr>
            <w:r>
              <w:rPr>
                <w:color w:val="000000"/>
                <w:kern w:val="0"/>
                <w:szCs w:val="21"/>
              </w:rPr>
              <w:t>场界南侧居民处</w:t>
            </w:r>
          </w:p>
        </w:tc>
        <w:tc>
          <w:tcPr>
            <w:tcW w:w="392" w:type="pct"/>
            <w:shd w:val="clear" w:color="auto" w:fill="auto"/>
            <w:noWrap/>
            <w:vAlign w:val="center"/>
          </w:tcPr>
          <w:p w14:paraId="1DCE033E">
            <w:pPr>
              <w:jc w:val="center"/>
              <w:rPr>
                <w:color w:val="000000"/>
                <w:kern w:val="0"/>
                <w:szCs w:val="21"/>
              </w:rPr>
            </w:pPr>
            <w:r>
              <w:rPr>
                <w:color w:val="000000"/>
                <w:kern w:val="0"/>
                <w:szCs w:val="21"/>
              </w:rPr>
              <w:t>45.71</w:t>
            </w:r>
          </w:p>
        </w:tc>
        <w:tc>
          <w:tcPr>
            <w:tcW w:w="487" w:type="pct"/>
            <w:shd w:val="clear" w:color="auto" w:fill="auto"/>
            <w:noWrap/>
            <w:vAlign w:val="center"/>
          </w:tcPr>
          <w:p w14:paraId="035F1CF2">
            <w:pPr>
              <w:jc w:val="center"/>
              <w:rPr>
                <w:color w:val="000000"/>
                <w:kern w:val="0"/>
                <w:szCs w:val="21"/>
              </w:rPr>
            </w:pPr>
            <w:r>
              <w:rPr>
                <w:color w:val="000000"/>
                <w:kern w:val="0"/>
                <w:szCs w:val="21"/>
              </w:rPr>
              <w:t>-90.35</w:t>
            </w:r>
          </w:p>
        </w:tc>
        <w:tc>
          <w:tcPr>
            <w:tcW w:w="272" w:type="pct"/>
            <w:shd w:val="clear" w:color="auto" w:fill="auto"/>
            <w:noWrap/>
            <w:vAlign w:val="center"/>
          </w:tcPr>
          <w:p w14:paraId="72E624F6">
            <w:pPr>
              <w:jc w:val="center"/>
              <w:rPr>
                <w:color w:val="000000"/>
                <w:kern w:val="0"/>
                <w:szCs w:val="21"/>
              </w:rPr>
            </w:pPr>
            <w:r>
              <w:rPr>
                <w:color w:val="000000"/>
                <w:kern w:val="0"/>
                <w:szCs w:val="21"/>
              </w:rPr>
              <w:t>1.2</w:t>
            </w:r>
          </w:p>
        </w:tc>
        <w:tc>
          <w:tcPr>
            <w:tcW w:w="497" w:type="pct"/>
            <w:shd w:val="clear" w:color="auto" w:fill="auto"/>
            <w:noWrap/>
            <w:vAlign w:val="center"/>
          </w:tcPr>
          <w:p w14:paraId="0224E24A">
            <w:pPr>
              <w:jc w:val="center"/>
              <w:rPr>
                <w:color w:val="000000"/>
                <w:kern w:val="0"/>
                <w:szCs w:val="21"/>
              </w:rPr>
            </w:pPr>
            <w:r>
              <w:rPr>
                <w:color w:val="000000"/>
                <w:kern w:val="0"/>
                <w:szCs w:val="21"/>
              </w:rPr>
              <w:t>23.46</w:t>
            </w:r>
          </w:p>
        </w:tc>
        <w:tc>
          <w:tcPr>
            <w:tcW w:w="497" w:type="pct"/>
            <w:shd w:val="clear" w:color="auto" w:fill="auto"/>
            <w:noWrap/>
            <w:vAlign w:val="center"/>
          </w:tcPr>
          <w:p w14:paraId="5C09DA2B">
            <w:pPr>
              <w:jc w:val="center"/>
              <w:rPr>
                <w:color w:val="000000"/>
                <w:kern w:val="0"/>
                <w:szCs w:val="21"/>
              </w:rPr>
            </w:pPr>
            <w:r>
              <w:rPr>
                <w:color w:val="000000"/>
                <w:kern w:val="0"/>
                <w:szCs w:val="21"/>
              </w:rPr>
              <w:t>51</w:t>
            </w:r>
          </w:p>
        </w:tc>
        <w:tc>
          <w:tcPr>
            <w:tcW w:w="648" w:type="pct"/>
            <w:shd w:val="clear" w:color="auto" w:fill="auto"/>
            <w:noWrap/>
            <w:vAlign w:val="center"/>
          </w:tcPr>
          <w:p w14:paraId="010380B0">
            <w:pPr>
              <w:jc w:val="center"/>
              <w:rPr>
                <w:color w:val="000000"/>
                <w:kern w:val="0"/>
                <w:szCs w:val="21"/>
              </w:rPr>
            </w:pPr>
            <w:r>
              <w:rPr>
                <w:color w:val="000000"/>
                <w:kern w:val="0"/>
                <w:szCs w:val="21"/>
              </w:rPr>
              <w:t>51.01</w:t>
            </w:r>
          </w:p>
        </w:tc>
        <w:tc>
          <w:tcPr>
            <w:tcW w:w="497" w:type="pct"/>
            <w:shd w:val="clear" w:color="auto" w:fill="auto"/>
            <w:noWrap/>
            <w:vAlign w:val="center"/>
          </w:tcPr>
          <w:p w14:paraId="7E6C9AFA">
            <w:pPr>
              <w:jc w:val="center"/>
              <w:rPr>
                <w:color w:val="000000"/>
                <w:kern w:val="0"/>
                <w:szCs w:val="21"/>
              </w:rPr>
            </w:pPr>
            <w:r>
              <w:rPr>
                <w:color w:val="000000"/>
                <w:kern w:val="0"/>
                <w:szCs w:val="21"/>
              </w:rPr>
              <w:t>2类</w:t>
            </w:r>
          </w:p>
        </w:tc>
        <w:tc>
          <w:tcPr>
            <w:tcW w:w="347" w:type="pct"/>
            <w:shd w:val="clear" w:color="auto" w:fill="auto"/>
            <w:noWrap/>
            <w:vAlign w:val="center"/>
          </w:tcPr>
          <w:p w14:paraId="27826E1F">
            <w:pPr>
              <w:jc w:val="center"/>
              <w:rPr>
                <w:color w:val="000000"/>
                <w:kern w:val="0"/>
                <w:szCs w:val="21"/>
              </w:rPr>
            </w:pPr>
            <w:r>
              <w:rPr>
                <w:color w:val="000000"/>
                <w:kern w:val="0"/>
                <w:szCs w:val="21"/>
              </w:rPr>
              <w:t>60</w:t>
            </w:r>
          </w:p>
        </w:tc>
        <w:tc>
          <w:tcPr>
            <w:tcW w:w="422" w:type="pct"/>
            <w:shd w:val="clear" w:color="auto" w:fill="auto"/>
            <w:noWrap/>
            <w:vAlign w:val="center"/>
          </w:tcPr>
          <w:p w14:paraId="51C75FAC">
            <w:pPr>
              <w:jc w:val="center"/>
              <w:rPr>
                <w:color w:val="000000"/>
                <w:kern w:val="0"/>
                <w:szCs w:val="21"/>
              </w:rPr>
            </w:pPr>
            <w:r>
              <w:rPr>
                <w:color w:val="000000"/>
                <w:kern w:val="0"/>
                <w:szCs w:val="21"/>
              </w:rPr>
              <w:t>是</w:t>
            </w:r>
          </w:p>
        </w:tc>
      </w:tr>
      <w:tr w14:paraId="4C08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4FBB3B1E">
            <w:pPr>
              <w:jc w:val="center"/>
              <w:rPr>
                <w:color w:val="000000"/>
                <w:kern w:val="0"/>
                <w:szCs w:val="21"/>
              </w:rPr>
            </w:pPr>
            <w:r>
              <w:rPr>
                <w:color w:val="000000"/>
                <w:kern w:val="0"/>
                <w:szCs w:val="21"/>
              </w:rPr>
              <w:t>7</w:t>
            </w:r>
          </w:p>
        </w:tc>
        <w:tc>
          <w:tcPr>
            <w:tcW w:w="669" w:type="pct"/>
            <w:shd w:val="clear" w:color="auto" w:fill="auto"/>
            <w:noWrap/>
            <w:vAlign w:val="center"/>
          </w:tcPr>
          <w:p w14:paraId="5CD7C38A">
            <w:pPr>
              <w:jc w:val="center"/>
              <w:rPr>
                <w:color w:val="000000"/>
                <w:kern w:val="0"/>
                <w:szCs w:val="21"/>
              </w:rPr>
            </w:pPr>
            <w:r>
              <w:rPr>
                <w:color w:val="000000"/>
                <w:kern w:val="0"/>
                <w:szCs w:val="21"/>
              </w:rPr>
              <w:t>场界西南侧居民处</w:t>
            </w:r>
          </w:p>
        </w:tc>
        <w:tc>
          <w:tcPr>
            <w:tcW w:w="392" w:type="pct"/>
            <w:shd w:val="clear" w:color="auto" w:fill="auto"/>
            <w:noWrap/>
            <w:vAlign w:val="center"/>
          </w:tcPr>
          <w:p w14:paraId="5C757693">
            <w:pPr>
              <w:jc w:val="center"/>
              <w:rPr>
                <w:color w:val="000000"/>
                <w:kern w:val="0"/>
                <w:szCs w:val="21"/>
              </w:rPr>
            </w:pPr>
            <w:r>
              <w:rPr>
                <w:color w:val="000000"/>
                <w:kern w:val="0"/>
                <w:szCs w:val="21"/>
              </w:rPr>
              <w:t>-151.72</w:t>
            </w:r>
          </w:p>
        </w:tc>
        <w:tc>
          <w:tcPr>
            <w:tcW w:w="487" w:type="pct"/>
            <w:shd w:val="clear" w:color="auto" w:fill="auto"/>
            <w:noWrap/>
            <w:vAlign w:val="center"/>
          </w:tcPr>
          <w:p w14:paraId="2152BF65">
            <w:pPr>
              <w:jc w:val="center"/>
              <w:rPr>
                <w:color w:val="000000"/>
                <w:kern w:val="0"/>
                <w:szCs w:val="21"/>
              </w:rPr>
            </w:pPr>
            <w:r>
              <w:rPr>
                <w:color w:val="000000"/>
                <w:kern w:val="0"/>
                <w:szCs w:val="21"/>
              </w:rPr>
              <w:t>184.91</w:t>
            </w:r>
          </w:p>
        </w:tc>
        <w:tc>
          <w:tcPr>
            <w:tcW w:w="272" w:type="pct"/>
            <w:shd w:val="clear" w:color="auto" w:fill="auto"/>
            <w:noWrap/>
            <w:vAlign w:val="center"/>
          </w:tcPr>
          <w:p w14:paraId="7E853EEF">
            <w:pPr>
              <w:jc w:val="center"/>
              <w:rPr>
                <w:color w:val="000000"/>
                <w:kern w:val="0"/>
                <w:szCs w:val="21"/>
              </w:rPr>
            </w:pPr>
            <w:r>
              <w:rPr>
                <w:color w:val="000000"/>
                <w:kern w:val="0"/>
                <w:szCs w:val="21"/>
              </w:rPr>
              <w:t>1.2</w:t>
            </w:r>
          </w:p>
        </w:tc>
        <w:tc>
          <w:tcPr>
            <w:tcW w:w="497" w:type="pct"/>
            <w:shd w:val="clear" w:color="auto" w:fill="auto"/>
            <w:noWrap/>
            <w:vAlign w:val="center"/>
          </w:tcPr>
          <w:p w14:paraId="58CC4E55">
            <w:pPr>
              <w:jc w:val="center"/>
              <w:rPr>
                <w:color w:val="000000"/>
                <w:kern w:val="0"/>
                <w:szCs w:val="21"/>
              </w:rPr>
            </w:pPr>
            <w:r>
              <w:rPr>
                <w:color w:val="000000"/>
                <w:kern w:val="0"/>
                <w:szCs w:val="21"/>
              </w:rPr>
              <w:t>27.89</w:t>
            </w:r>
          </w:p>
        </w:tc>
        <w:tc>
          <w:tcPr>
            <w:tcW w:w="497" w:type="pct"/>
            <w:shd w:val="clear" w:color="auto" w:fill="auto"/>
            <w:noWrap/>
            <w:vAlign w:val="center"/>
          </w:tcPr>
          <w:p w14:paraId="30E6084B">
            <w:pPr>
              <w:jc w:val="center"/>
              <w:rPr>
                <w:color w:val="000000"/>
                <w:kern w:val="0"/>
                <w:szCs w:val="21"/>
              </w:rPr>
            </w:pPr>
            <w:r>
              <w:rPr>
                <w:color w:val="000000"/>
                <w:kern w:val="0"/>
                <w:szCs w:val="21"/>
              </w:rPr>
              <w:t>50</w:t>
            </w:r>
          </w:p>
        </w:tc>
        <w:tc>
          <w:tcPr>
            <w:tcW w:w="648" w:type="pct"/>
            <w:shd w:val="clear" w:color="auto" w:fill="auto"/>
            <w:noWrap/>
            <w:vAlign w:val="center"/>
          </w:tcPr>
          <w:p w14:paraId="03D8F0ED">
            <w:pPr>
              <w:jc w:val="center"/>
              <w:rPr>
                <w:color w:val="000000"/>
                <w:kern w:val="0"/>
                <w:szCs w:val="21"/>
              </w:rPr>
            </w:pPr>
            <w:r>
              <w:rPr>
                <w:color w:val="000000"/>
                <w:kern w:val="0"/>
                <w:szCs w:val="21"/>
              </w:rPr>
              <w:t>50.03</w:t>
            </w:r>
          </w:p>
        </w:tc>
        <w:tc>
          <w:tcPr>
            <w:tcW w:w="497" w:type="pct"/>
            <w:shd w:val="clear" w:color="auto" w:fill="auto"/>
            <w:noWrap/>
            <w:vAlign w:val="center"/>
          </w:tcPr>
          <w:p w14:paraId="349F791C">
            <w:pPr>
              <w:jc w:val="center"/>
              <w:rPr>
                <w:color w:val="000000"/>
                <w:kern w:val="0"/>
                <w:szCs w:val="21"/>
              </w:rPr>
            </w:pPr>
            <w:r>
              <w:rPr>
                <w:color w:val="000000"/>
                <w:kern w:val="0"/>
                <w:szCs w:val="21"/>
              </w:rPr>
              <w:t>2类</w:t>
            </w:r>
          </w:p>
        </w:tc>
        <w:tc>
          <w:tcPr>
            <w:tcW w:w="347" w:type="pct"/>
            <w:shd w:val="clear" w:color="auto" w:fill="auto"/>
            <w:noWrap/>
            <w:vAlign w:val="center"/>
          </w:tcPr>
          <w:p w14:paraId="64F5E5CF">
            <w:pPr>
              <w:jc w:val="center"/>
              <w:rPr>
                <w:color w:val="000000"/>
                <w:kern w:val="0"/>
                <w:szCs w:val="21"/>
              </w:rPr>
            </w:pPr>
            <w:r>
              <w:rPr>
                <w:color w:val="000000"/>
                <w:kern w:val="0"/>
                <w:szCs w:val="21"/>
              </w:rPr>
              <w:t>60</w:t>
            </w:r>
          </w:p>
        </w:tc>
        <w:tc>
          <w:tcPr>
            <w:tcW w:w="422" w:type="pct"/>
            <w:shd w:val="clear" w:color="auto" w:fill="auto"/>
            <w:noWrap/>
            <w:vAlign w:val="center"/>
          </w:tcPr>
          <w:p w14:paraId="487E30B5">
            <w:pPr>
              <w:jc w:val="center"/>
              <w:rPr>
                <w:color w:val="000000"/>
                <w:kern w:val="0"/>
                <w:szCs w:val="21"/>
              </w:rPr>
            </w:pPr>
            <w:r>
              <w:rPr>
                <w:color w:val="000000"/>
                <w:kern w:val="0"/>
                <w:szCs w:val="21"/>
              </w:rPr>
              <w:t>是</w:t>
            </w:r>
          </w:p>
        </w:tc>
      </w:tr>
      <w:tr w14:paraId="1799B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2" w:type="pct"/>
            <w:shd w:val="clear" w:color="auto" w:fill="auto"/>
            <w:noWrap/>
            <w:vAlign w:val="center"/>
          </w:tcPr>
          <w:p w14:paraId="0B61F435">
            <w:pPr>
              <w:jc w:val="center"/>
              <w:rPr>
                <w:color w:val="000000"/>
                <w:kern w:val="0"/>
                <w:szCs w:val="21"/>
              </w:rPr>
            </w:pPr>
            <w:r>
              <w:rPr>
                <w:color w:val="000000"/>
                <w:kern w:val="0"/>
                <w:szCs w:val="21"/>
              </w:rPr>
              <w:t>8</w:t>
            </w:r>
          </w:p>
        </w:tc>
        <w:tc>
          <w:tcPr>
            <w:tcW w:w="669" w:type="pct"/>
            <w:shd w:val="clear" w:color="auto" w:fill="auto"/>
            <w:noWrap/>
            <w:vAlign w:val="center"/>
          </w:tcPr>
          <w:p w14:paraId="47E239BE">
            <w:pPr>
              <w:jc w:val="center"/>
              <w:rPr>
                <w:color w:val="000000"/>
                <w:kern w:val="0"/>
                <w:szCs w:val="21"/>
              </w:rPr>
            </w:pPr>
            <w:r>
              <w:rPr>
                <w:color w:val="000000"/>
                <w:kern w:val="0"/>
                <w:szCs w:val="21"/>
              </w:rPr>
              <w:t>西侧场界外</w:t>
            </w:r>
          </w:p>
        </w:tc>
        <w:tc>
          <w:tcPr>
            <w:tcW w:w="392" w:type="pct"/>
            <w:shd w:val="clear" w:color="auto" w:fill="auto"/>
            <w:noWrap/>
            <w:vAlign w:val="center"/>
          </w:tcPr>
          <w:p w14:paraId="4CCE1978">
            <w:pPr>
              <w:jc w:val="center"/>
              <w:rPr>
                <w:color w:val="000000"/>
                <w:kern w:val="0"/>
                <w:szCs w:val="21"/>
              </w:rPr>
            </w:pPr>
            <w:r>
              <w:rPr>
                <w:color w:val="000000"/>
                <w:kern w:val="0"/>
                <w:szCs w:val="21"/>
              </w:rPr>
              <w:t>-57.9</w:t>
            </w:r>
          </w:p>
        </w:tc>
        <w:tc>
          <w:tcPr>
            <w:tcW w:w="487" w:type="pct"/>
            <w:shd w:val="clear" w:color="auto" w:fill="auto"/>
            <w:noWrap/>
            <w:vAlign w:val="center"/>
          </w:tcPr>
          <w:p w14:paraId="19B3FC91">
            <w:pPr>
              <w:jc w:val="center"/>
              <w:rPr>
                <w:color w:val="000000"/>
                <w:kern w:val="0"/>
                <w:szCs w:val="21"/>
              </w:rPr>
            </w:pPr>
            <w:r>
              <w:rPr>
                <w:color w:val="000000"/>
                <w:kern w:val="0"/>
                <w:szCs w:val="21"/>
              </w:rPr>
              <w:t>222.69</w:t>
            </w:r>
          </w:p>
        </w:tc>
        <w:tc>
          <w:tcPr>
            <w:tcW w:w="272" w:type="pct"/>
            <w:shd w:val="clear" w:color="auto" w:fill="auto"/>
            <w:noWrap/>
            <w:vAlign w:val="center"/>
          </w:tcPr>
          <w:p w14:paraId="28ED16B3">
            <w:pPr>
              <w:jc w:val="center"/>
              <w:rPr>
                <w:color w:val="000000"/>
                <w:kern w:val="0"/>
                <w:szCs w:val="21"/>
              </w:rPr>
            </w:pPr>
            <w:r>
              <w:rPr>
                <w:color w:val="000000"/>
                <w:kern w:val="0"/>
                <w:szCs w:val="21"/>
              </w:rPr>
              <w:t>1.2</w:t>
            </w:r>
          </w:p>
        </w:tc>
        <w:tc>
          <w:tcPr>
            <w:tcW w:w="497" w:type="pct"/>
            <w:shd w:val="clear" w:color="auto" w:fill="auto"/>
            <w:noWrap/>
            <w:vAlign w:val="center"/>
          </w:tcPr>
          <w:p w14:paraId="2A8CAA91">
            <w:pPr>
              <w:jc w:val="center"/>
              <w:rPr>
                <w:color w:val="000000"/>
                <w:kern w:val="0"/>
                <w:szCs w:val="21"/>
              </w:rPr>
            </w:pPr>
            <w:r>
              <w:rPr>
                <w:color w:val="000000"/>
                <w:kern w:val="0"/>
                <w:szCs w:val="21"/>
              </w:rPr>
              <w:t>30.36</w:t>
            </w:r>
          </w:p>
        </w:tc>
        <w:tc>
          <w:tcPr>
            <w:tcW w:w="497" w:type="pct"/>
            <w:shd w:val="clear" w:color="auto" w:fill="auto"/>
            <w:noWrap/>
            <w:vAlign w:val="center"/>
          </w:tcPr>
          <w:p w14:paraId="717858D6">
            <w:pPr>
              <w:jc w:val="center"/>
              <w:rPr>
                <w:color w:val="000000"/>
                <w:kern w:val="0"/>
                <w:szCs w:val="21"/>
              </w:rPr>
            </w:pPr>
            <w:r>
              <w:rPr>
                <w:color w:val="000000"/>
                <w:kern w:val="0"/>
                <w:szCs w:val="21"/>
              </w:rPr>
              <w:t>50.5</w:t>
            </w:r>
          </w:p>
        </w:tc>
        <w:tc>
          <w:tcPr>
            <w:tcW w:w="648" w:type="pct"/>
            <w:shd w:val="clear" w:color="auto" w:fill="auto"/>
            <w:noWrap/>
            <w:vAlign w:val="center"/>
          </w:tcPr>
          <w:p w14:paraId="30F4F39E">
            <w:pPr>
              <w:jc w:val="center"/>
              <w:rPr>
                <w:color w:val="000000"/>
                <w:kern w:val="0"/>
                <w:szCs w:val="21"/>
              </w:rPr>
            </w:pPr>
            <w:r>
              <w:rPr>
                <w:color w:val="000000"/>
                <w:kern w:val="0"/>
                <w:szCs w:val="21"/>
              </w:rPr>
              <w:t>50.54</w:t>
            </w:r>
          </w:p>
        </w:tc>
        <w:tc>
          <w:tcPr>
            <w:tcW w:w="497" w:type="pct"/>
            <w:shd w:val="clear" w:color="auto" w:fill="auto"/>
            <w:noWrap/>
            <w:vAlign w:val="center"/>
          </w:tcPr>
          <w:p w14:paraId="4032C133">
            <w:pPr>
              <w:jc w:val="center"/>
              <w:rPr>
                <w:color w:val="000000"/>
                <w:kern w:val="0"/>
                <w:szCs w:val="21"/>
              </w:rPr>
            </w:pPr>
            <w:r>
              <w:rPr>
                <w:color w:val="000000"/>
                <w:kern w:val="0"/>
                <w:szCs w:val="21"/>
              </w:rPr>
              <w:t>2类</w:t>
            </w:r>
          </w:p>
        </w:tc>
        <w:tc>
          <w:tcPr>
            <w:tcW w:w="347" w:type="pct"/>
            <w:shd w:val="clear" w:color="auto" w:fill="auto"/>
            <w:noWrap/>
            <w:vAlign w:val="center"/>
          </w:tcPr>
          <w:p w14:paraId="762AA255">
            <w:pPr>
              <w:jc w:val="center"/>
              <w:rPr>
                <w:color w:val="000000"/>
                <w:kern w:val="0"/>
                <w:szCs w:val="21"/>
              </w:rPr>
            </w:pPr>
            <w:r>
              <w:rPr>
                <w:color w:val="000000"/>
                <w:kern w:val="0"/>
                <w:szCs w:val="21"/>
              </w:rPr>
              <w:t>60</w:t>
            </w:r>
          </w:p>
        </w:tc>
        <w:tc>
          <w:tcPr>
            <w:tcW w:w="422" w:type="pct"/>
            <w:shd w:val="clear" w:color="auto" w:fill="auto"/>
            <w:noWrap/>
            <w:vAlign w:val="center"/>
          </w:tcPr>
          <w:p w14:paraId="5CA28ACB">
            <w:pPr>
              <w:jc w:val="center"/>
              <w:rPr>
                <w:color w:val="000000"/>
                <w:kern w:val="0"/>
                <w:szCs w:val="21"/>
              </w:rPr>
            </w:pPr>
            <w:r>
              <w:rPr>
                <w:color w:val="000000"/>
                <w:kern w:val="0"/>
                <w:szCs w:val="21"/>
              </w:rPr>
              <w:t>是</w:t>
            </w:r>
          </w:p>
        </w:tc>
      </w:tr>
      <w:tr w14:paraId="52040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1"/>
            <w:shd w:val="clear" w:color="auto" w:fill="auto"/>
            <w:noWrap/>
            <w:vAlign w:val="center"/>
          </w:tcPr>
          <w:p w14:paraId="37D719C2">
            <w:pPr>
              <w:rPr>
                <w:color w:val="000000"/>
                <w:kern w:val="0"/>
                <w:szCs w:val="21"/>
              </w:rPr>
            </w:pPr>
            <w:bookmarkStart w:id="810" w:name="OLE_LINK210"/>
            <w:bookmarkStart w:id="811" w:name="OLE_LINK211"/>
            <w:r>
              <w:rPr>
                <w:rFonts w:hint="eastAsia"/>
                <w:color w:val="000000" w:themeColor="text1"/>
                <w:szCs w:val="21"/>
                <w14:textFill>
                  <w14:solidFill>
                    <w14:schemeClr w14:val="tx1"/>
                  </w14:solidFill>
                </w14:textFill>
              </w:rPr>
              <w:t>注：百花、塘坝、始宁养殖场区以场区西南角点为（0，0）点，设备位置以设备中心点标注；佛龙养殖场区以场区西南角点为（0，0）点，设备位置以设备中心点标注。</w:t>
            </w:r>
            <w:bookmarkEnd w:id="810"/>
            <w:bookmarkEnd w:id="811"/>
          </w:p>
        </w:tc>
      </w:tr>
    </w:tbl>
    <w:p w14:paraId="5989266D">
      <w:pPr>
        <w:pStyle w:val="34"/>
        <w:ind w:firstLine="0" w:firstLineChars="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 xml:space="preserve">表5.2-13 </w:t>
      </w:r>
      <w:r>
        <w:rPr>
          <w:rFonts w:hint="eastAsia"/>
          <w:b/>
          <w:bCs/>
          <w:color w:val="000000" w:themeColor="text1"/>
          <w:szCs w:val="21"/>
          <w14:textFill>
            <w14:solidFill>
              <w14:schemeClr w14:val="tx1"/>
            </w14:solidFill>
          </w14:textFill>
        </w:rPr>
        <w:t>工业企业场界及声环境保护目标噪声预测结果与达标分析表（昼间）</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1365"/>
        <w:gridCol w:w="703"/>
        <w:gridCol w:w="703"/>
        <w:gridCol w:w="528"/>
        <w:gridCol w:w="878"/>
        <w:gridCol w:w="878"/>
        <w:gridCol w:w="1111"/>
        <w:gridCol w:w="891"/>
        <w:gridCol w:w="653"/>
        <w:gridCol w:w="772"/>
      </w:tblGrid>
      <w:tr w14:paraId="0CC4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trPr>
        <w:tc>
          <w:tcPr>
            <w:tcW w:w="275" w:type="pct"/>
            <w:vMerge w:val="restart"/>
            <w:shd w:val="clear" w:color="auto" w:fill="auto"/>
            <w:noWrap/>
            <w:vAlign w:val="center"/>
          </w:tcPr>
          <w:p w14:paraId="1D2FE5B8">
            <w:pPr>
              <w:jc w:val="center"/>
              <w:rPr>
                <w:color w:val="000000"/>
                <w:kern w:val="0"/>
                <w:szCs w:val="21"/>
              </w:rPr>
            </w:pPr>
            <w:r>
              <w:rPr>
                <w:color w:val="000000"/>
                <w:kern w:val="0"/>
                <w:szCs w:val="21"/>
              </w:rPr>
              <w:t>序号</w:t>
            </w:r>
          </w:p>
        </w:tc>
        <w:tc>
          <w:tcPr>
            <w:tcW w:w="812" w:type="pct"/>
            <w:vMerge w:val="restart"/>
            <w:shd w:val="clear" w:color="auto" w:fill="auto"/>
            <w:noWrap/>
            <w:vAlign w:val="center"/>
          </w:tcPr>
          <w:p w14:paraId="518C8003">
            <w:pPr>
              <w:jc w:val="center"/>
              <w:rPr>
                <w:color w:val="000000"/>
                <w:kern w:val="0"/>
                <w:szCs w:val="21"/>
              </w:rPr>
            </w:pPr>
            <w:r>
              <w:rPr>
                <w:color w:val="000000"/>
                <w:kern w:val="0"/>
                <w:szCs w:val="21"/>
              </w:rPr>
              <w:t>名称</w:t>
            </w:r>
          </w:p>
        </w:tc>
        <w:tc>
          <w:tcPr>
            <w:tcW w:w="994" w:type="pct"/>
            <w:gridSpan w:val="3"/>
            <w:shd w:val="clear" w:color="auto" w:fill="auto"/>
            <w:noWrap/>
            <w:vAlign w:val="center"/>
          </w:tcPr>
          <w:p w14:paraId="1617C776">
            <w:pPr>
              <w:jc w:val="center"/>
              <w:rPr>
                <w:color w:val="000000"/>
                <w:kern w:val="0"/>
                <w:szCs w:val="21"/>
              </w:rPr>
            </w:pPr>
            <w:r>
              <w:rPr>
                <w:color w:val="000000"/>
                <w:kern w:val="0"/>
                <w:szCs w:val="21"/>
              </w:rPr>
              <w:t>空间相对位置</w:t>
            </w:r>
          </w:p>
        </w:tc>
        <w:tc>
          <w:tcPr>
            <w:tcW w:w="493" w:type="pct"/>
            <w:vMerge w:val="restart"/>
            <w:shd w:val="clear" w:color="auto" w:fill="auto"/>
            <w:noWrap/>
            <w:vAlign w:val="center"/>
          </w:tcPr>
          <w:p w14:paraId="294BC193">
            <w:pPr>
              <w:jc w:val="center"/>
              <w:rPr>
                <w:color w:val="000000"/>
                <w:kern w:val="0"/>
                <w:szCs w:val="21"/>
              </w:rPr>
            </w:pPr>
            <w:r>
              <w:rPr>
                <w:color w:val="000000"/>
                <w:kern w:val="0"/>
                <w:szCs w:val="21"/>
              </w:rPr>
              <w:t>贡献值(dB)</w:t>
            </w:r>
          </w:p>
        </w:tc>
        <w:tc>
          <w:tcPr>
            <w:tcW w:w="493" w:type="pct"/>
            <w:vMerge w:val="restart"/>
            <w:shd w:val="clear" w:color="auto" w:fill="auto"/>
            <w:noWrap/>
            <w:vAlign w:val="center"/>
          </w:tcPr>
          <w:p w14:paraId="5A4DF7B9">
            <w:pPr>
              <w:jc w:val="center"/>
              <w:rPr>
                <w:color w:val="000000"/>
                <w:kern w:val="0"/>
                <w:szCs w:val="21"/>
              </w:rPr>
            </w:pPr>
            <w:r>
              <w:rPr>
                <w:color w:val="000000"/>
                <w:kern w:val="0"/>
                <w:szCs w:val="21"/>
              </w:rPr>
              <w:t>背景值(dB)</w:t>
            </w:r>
          </w:p>
        </w:tc>
        <w:tc>
          <w:tcPr>
            <w:tcW w:w="647" w:type="pct"/>
            <w:vMerge w:val="restart"/>
            <w:shd w:val="clear" w:color="auto" w:fill="auto"/>
            <w:noWrap/>
            <w:vAlign w:val="center"/>
          </w:tcPr>
          <w:p w14:paraId="7C254D71">
            <w:pPr>
              <w:jc w:val="center"/>
              <w:rPr>
                <w:color w:val="000000"/>
                <w:kern w:val="0"/>
                <w:szCs w:val="21"/>
              </w:rPr>
            </w:pPr>
            <w:r>
              <w:rPr>
                <w:color w:val="000000"/>
                <w:kern w:val="0"/>
                <w:szCs w:val="21"/>
              </w:rPr>
              <w:t>噪声预测值(dB)</w:t>
            </w:r>
          </w:p>
        </w:tc>
        <w:tc>
          <w:tcPr>
            <w:tcW w:w="506" w:type="pct"/>
            <w:vMerge w:val="restart"/>
            <w:shd w:val="clear" w:color="auto" w:fill="auto"/>
            <w:noWrap/>
            <w:vAlign w:val="center"/>
          </w:tcPr>
          <w:p w14:paraId="3E18F511">
            <w:pPr>
              <w:jc w:val="center"/>
              <w:rPr>
                <w:color w:val="000000"/>
                <w:kern w:val="0"/>
                <w:szCs w:val="21"/>
              </w:rPr>
            </w:pPr>
            <w:r>
              <w:rPr>
                <w:color w:val="000000"/>
                <w:kern w:val="0"/>
                <w:szCs w:val="21"/>
              </w:rPr>
              <w:t>功能区类型</w:t>
            </w:r>
          </w:p>
        </w:tc>
        <w:tc>
          <w:tcPr>
            <w:tcW w:w="352" w:type="pct"/>
            <w:vMerge w:val="restart"/>
            <w:shd w:val="clear" w:color="auto" w:fill="auto"/>
            <w:noWrap/>
            <w:vAlign w:val="center"/>
          </w:tcPr>
          <w:p w14:paraId="5E7E6152">
            <w:pPr>
              <w:jc w:val="center"/>
              <w:rPr>
                <w:color w:val="000000"/>
                <w:kern w:val="0"/>
                <w:szCs w:val="21"/>
              </w:rPr>
            </w:pPr>
            <w:r>
              <w:rPr>
                <w:color w:val="000000"/>
                <w:kern w:val="0"/>
                <w:szCs w:val="21"/>
              </w:rPr>
              <w:t>标准值</w:t>
            </w:r>
          </w:p>
        </w:tc>
        <w:tc>
          <w:tcPr>
            <w:tcW w:w="429" w:type="pct"/>
            <w:vMerge w:val="restart"/>
            <w:shd w:val="clear" w:color="auto" w:fill="auto"/>
            <w:noWrap/>
            <w:vAlign w:val="center"/>
          </w:tcPr>
          <w:p w14:paraId="31685FF4">
            <w:pPr>
              <w:jc w:val="center"/>
              <w:rPr>
                <w:color w:val="000000"/>
                <w:kern w:val="0"/>
                <w:szCs w:val="21"/>
              </w:rPr>
            </w:pPr>
            <w:r>
              <w:rPr>
                <w:color w:val="000000"/>
                <w:kern w:val="0"/>
                <w:szCs w:val="21"/>
              </w:rPr>
              <w:t>是否达标</w:t>
            </w:r>
          </w:p>
        </w:tc>
      </w:tr>
      <w:tr w14:paraId="2079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71" w:type="pct"/>
            <w:vMerge w:val="continue"/>
            <w:vAlign w:val="center"/>
          </w:tcPr>
          <w:p w14:paraId="6BB914EB">
            <w:pPr>
              <w:jc w:val="center"/>
              <w:rPr>
                <w:color w:val="000000"/>
                <w:kern w:val="0"/>
                <w:szCs w:val="21"/>
              </w:rPr>
            </w:pPr>
          </w:p>
        </w:tc>
        <w:tc>
          <w:tcPr>
            <w:tcW w:w="781" w:type="pct"/>
            <w:vMerge w:val="continue"/>
            <w:vAlign w:val="center"/>
          </w:tcPr>
          <w:p w14:paraId="366466D2">
            <w:pPr>
              <w:jc w:val="center"/>
              <w:rPr>
                <w:color w:val="000000"/>
                <w:kern w:val="0"/>
                <w:szCs w:val="21"/>
              </w:rPr>
            </w:pPr>
          </w:p>
        </w:tc>
        <w:tc>
          <w:tcPr>
            <w:tcW w:w="384" w:type="pct"/>
            <w:shd w:val="clear" w:color="auto" w:fill="auto"/>
            <w:noWrap/>
            <w:vAlign w:val="center"/>
          </w:tcPr>
          <w:p w14:paraId="44C94C0C">
            <w:pPr>
              <w:jc w:val="center"/>
              <w:rPr>
                <w:color w:val="000000"/>
                <w:kern w:val="0"/>
                <w:szCs w:val="21"/>
              </w:rPr>
            </w:pPr>
            <w:r>
              <w:rPr>
                <w:color w:val="000000"/>
                <w:kern w:val="0"/>
                <w:szCs w:val="21"/>
              </w:rPr>
              <w:t>X(m)</w:t>
            </w:r>
          </w:p>
        </w:tc>
        <w:tc>
          <w:tcPr>
            <w:tcW w:w="384" w:type="pct"/>
            <w:shd w:val="clear" w:color="auto" w:fill="auto"/>
            <w:noWrap/>
            <w:vAlign w:val="center"/>
          </w:tcPr>
          <w:p w14:paraId="79774651">
            <w:pPr>
              <w:jc w:val="center"/>
              <w:rPr>
                <w:color w:val="000000"/>
                <w:kern w:val="0"/>
                <w:szCs w:val="21"/>
              </w:rPr>
            </w:pPr>
            <w:r>
              <w:rPr>
                <w:color w:val="000000"/>
                <w:kern w:val="0"/>
                <w:szCs w:val="21"/>
              </w:rPr>
              <w:t>Y(m)</w:t>
            </w:r>
          </w:p>
        </w:tc>
        <w:tc>
          <w:tcPr>
            <w:tcW w:w="271" w:type="pct"/>
            <w:shd w:val="clear" w:color="auto" w:fill="auto"/>
            <w:noWrap/>
            <w:vAlign w:val="center"/>
          </w:tcPr>
          <w:p w14:paraId="6FD18915">
            <w:pPr>
              <w:jc w:val="center"/>
              <w:rPr>
                <w:color w:val="000000"/>
                <w:kern w:val="0"/>
                <w:szCs w:val="21"/>
              </w:rPr>
            </w:pPr>
            <w:r>
              <w:rPr>
                <w:color w:val="000000"/>
                <w:kern w:val="0"/>
                <w:szCs w:val="21"/>
              </w:rPr>
              <w:t>Z(m)</w:t>
            </w:r>
          </w:p>
        </w:tc>
        <w:tc>
          <w:tcPr>
            <w:tcW w:w="497" w:type="pct"/>
            <w:vMerge w:val="continue"/>
            <w:vAlign w:val="center"/>
          </w:tcPr>
          <w:p w14:paraId="5484EDFA">
            <w:pPr>
              <w:jc w:val="center"/>
              <w:rPr>
                <w:color w:val="000000"/>
                <w:kern w:val="0"/>
                <w:szCs w:val="21"/>
              </w:rPr>
            </w:pPr>
          </w:p>
        </w:tc>
        <w:tc>
          <w:tcPr>
            <w:tcW w:w="497" w:type="pct"/>
            <w:vMerge w:val="continue"/>
            <w:vAlign w:val="center"/>
          </w:tcPr>
          <w:p w14:paraId="0AAA79B3">
            <w:pPr>
              <w:jc w:val="center"/>
              <w:rPr>
                <w:color w:val="000000"/>
                <w:kern w:val="0"/>
                <w:szCs w:val="21"/>
              </w:rPr>
            </w:pPr>
          </w:p>
        </w:tc>
        <w:tc>
          <w:tcPr>
            <w:tcW w:w="648" w:type="pct"/>
            <w:vMerge w:val="continue"/>
            <w:vAlign w:val="center"/>
          </w:tcPr>
          <w:p w14:paraId="490B6E64">
            <w:pPr>
              <w:jc w:val="center"/>
              <w:rPr>
                <w:color w:val="000000"/>
                <w:kern w:val="0"/>
                <w:szCs w:val="21"/>
              </w:rPr>
            </w:pPr>
          </w:p>
        </w:tc>
        <w:tc>
          <w:tcPr>
            <w:tcW w:w="497" w:type="pct"/>
            <w:vMerge w:val="continue"/>
            <w:vAlign w:val="center"/>
          </w:tcPr>
          <w:p w14:paraId="5696CC2B">
            <w:pPr>
              <w:jc w:val="center"/>
              <w:rPr>
                <w:color w:val="000000"/>
                <w:kern w:val="0"/>
                <w:szCs w:val="21"/>
              </w:rPr>
            </w:pPr>
          </w:p>
        </w:tc>
        <w:tc>
          <w:tcPr>
            <w:tcW w:w="347" w:type="pct"/>
            <w:vMerge w:val="continue"/>
            <w:vAlign w:val="center"/>
          </w:tcPr>
          <w:p w14:paraId="72235F4A">
            <w:pPr>
              <w:jc w:val="center"/>
              <w:rPr>
                <w:color w:val="000000"/>
                <w:kern w:val="0"/>
                <w:szCs w:val="21"/>
              </w:rPr>
            </w:pPr>
          </w:p>
        </w:tc>
        <w:tc>
          <w:tcPr>
            <w:tcW w:w="422" w:type="pct"/>
            <w:vMerge w:val="continue"/>
            <w:vAlign w:val="center"/>
          </w:tcPr>
          <w:p w14:paraId="520B99A3">
            <w:pPr>
              <w:jc w:val="center"/>
              <w:rPr>
                <w:color w:val="000000"/>
                <w:kern w:val="0"/>
                <w:szCs w:val="21"/>
              </w:rPr>
            </w:pPr>
          </w:p>
        </w:tc>
      </w:tr>
      <w:tr w14:paraId="3614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000" w:type="pct"/>
            <w:gridSpan w:val="11"/>
            <w:shd w:val="clear" w:color="auto" w:fill="auto"/>
            <w:noWrap/>
            <w:vAlign w:val="center"/>
          </w:tcPr>
          <w:p w14:paraId="5C940872">
            <w:pPr>
              <w:jc w:val="center"/>
              <w:rPr>
                <w:color w:val="000000"/>
                <w:kern w:val="0"/>
                <w:szCs w:val="21"/>
              </w:rPr>
            </w:pPr>
            <w:bookmarkStart w:id="812" w:name="OLE_LINK208"/>
            <w:bookmarkStart w:id="813" w:name="OLE_LINK209"/>
            <w:r>
              <w:rPr>
                <w:color w:val="000000"/>
                <w:kern w:val="0"/>
                <w:szCs w:val="21"/>
              </w:rPr>
              <w:t>百花养殖场区</w:t>
            </w:r>
            <w:bookmarkEnd w:id="812"/>
            <w:bookmarkEnd w:id="813"/>
          </w:p>
        </w:tc>
      </w:tr>
      <w:tr w14:paraId="27AD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71" w:type="pct"/>
            <w:shd w:val="clear" w:color="auto" w:fill="auto"/>
            <w:noWrap/>
            <w:vAlign w:val="center"/>
          </w:tcPr>
          <w:p w14:paraId="7C71094C">
            <w:pPr>
              <w:jc w:val="center"/>
              <w:rPr>
                <w:color w:val="000000"/>
                <w:kern w:val="0"/>
                <w:szCs w:val="21"/>
              </w:rPr>
            </w:pPr>
            <w:r>
              <w:rPr>
                <w:color w:val="000000"/>
                <w:kern w:val="0"/>
                <w:szCs w:val="21"/>
              </w:rPr>
              <w:t>1</w:t>
            </w:r>
          </w:p>
        </w:tc>
        <w:tc>
          <w:tcPr>
            <w:tcW w:w="781" w:type="pct"/>
            <w:shd w:val="clear" w:color="auto" w:fill="auto"/>
            <w:noWrap/>
            <w:vAlign w:val="center"/>
          </w:tcPr>
          <w:p w14:paraId="177EB661">
            <w:pPr>
              <w:jc w:val="center"/>
              <w:rPr>
                <w:color w:val="000000"/>
                <w:kern w:val="0"/>
                <w:szCs w:val="21"/>
              </w:rPr>
            </w:pPr>
            <w:r>
              <w:rPr>
                <w:color w:val="000000"/>
                <w:kern w:val="0"/>
                <w:szCs w:val="21"/>
              </w:rPr>
              <w:t>东侧场界外</w:t>
            </w:r>
          </w:p>
        </w:tc>
        <w:tc>
          <w:tcPr>
            <w:tcW w:w="384" w:type="pct"/>
            <w:shd w:val="clear" w:color="auto" w:fill="auto"/>
            <w:noWrap/>
            <w:vAlign w:val="center"/>
          </w:tcPr>
          <w:p w14:paraId="73275B9C">
            <w:pPr>
              <w:jc w:val="center"/>
              <w:rPr>
                <w:color w:val="000000"/>
                <w:kern w:val="0"/>
                <w:szCs w:val="21"/>
              </w:rPr>
            </w:pPr>
            <w:r>
              <w:rPr>
                <w:color w:val="000000"/>
                <w:kern w:val="0"/>
                <w:szCs w:val="21"/>
              </w:rPr>
              <w:t>185.05</w:t>
            </w:r>
          </w:p>
        </w:tc>
        <w:tc>
          <w:tcPr>
            <w:tcW w:w="384" w:type="pct"/>
            <w:shd w:val="clear" w:color="auto" w:fill="auto"/>
            <w:noWrap/>
            <w:vAlign w:val="center"/>
          </w:tcPr>
          <w:p w14:paraId="47F26E9A">
            <w:pPr>
              <w:jc w:val="center"/>
              <w:rPr>
                <w:color w:val="000000"/>
                <w:kern w:val="0"/>
                <w:szCs w:val="21"/>
              </w:rPr>
            </w:pPr>
            <w:r>
              <w:rPr>
                <w:color w:val="000000"/>
                <w:kern w:val="0"/>
                <w:szCs w:val="21"/>
              </w:rPr>
              <w:t>205.53</w:t>
            </w:r>
          </w:p>
        </w:tc>
        <w:tc>
          <w:tcPr>
            <w:tcW w:w="271" w:type="pct"/>
            <w:shd w:val="clear" w:color="auto" w:fill="auto"/>
            <w:noWrap/>
            <w:vAlign w:val="center"/>
          </w:tcPr>
          <w:p w14:paraId="3A89D865">
            <w:pPr>
              <w:jc w:val="center"/>
              <w:rPr>
                <w:color w:val="000000"/>
                <w:kern w:val="0"/>
                <w:szCs w:val="21"/>
              </w:rPr>
            </w:pPr>
            <w:r>
              <w:rPr>
                <w:color w:val="000000"/>
                <w:kern w:val="0"/>
                <w:szCs w:val="21"/>
              </w:rPr>
              <w:t>1.2</w:t>
            </w:r>
          </w:p>
        </w:tc>
        <w:tc>
          <w:tcPr>
            <w:tcW w:w="497" w:type="pct"/>
            <w:shd w:val="clear" w:color="auto" w:fill="auto"/>
            <w:noWrap/>
            <w:vAlign w:val="center"/>
          </w:tcPr>
          <w:p w14:paraId="553F7B59">
            <w:pPr>
              <w:jc w:val="center"/>
              <w:rPr>
                <w:color w:val="000000"/>
                <w:kern w:val="0"/>
                <w:szCs w:val="21"/>
              </w:rPr>
            </w:pPr>
            <w:r>
              <w:rPr>
                <w:color w:val="000000"/>
                <w:kern w:val="0"/>
                <w:szCs w:val="21"/>
              </w:rPr>
              <w:t>9.31</w:t>
            </w:r>
          </w:p>
        </w:tc>
        <w:tc>
          <w:tcPr>
            <w:tcW w:w="497" w:type="pct"/>
            <w:shd w:val="clear" w:color="auto" w:fill="auto"/>
            <w:noWrap/>
            <w:vAlign w:val="center"/>
          </w:tcPr>
          <w:p w14:paraId="7F6BEB4E">
            <w:pPr>
              <w:jc w:val="center"/>
              <w:rPr>
                <w:color w:val="000000"/>
                <w:kern w:val="0"/>
                <w:szCs w:val="21"/>
              </w:rPr>
            </w:pPr>
            <w:r>
              <w:rPr>
                <w:color w:val="000000"/>
                <w:kern w:val="0"/>
                <w:szCs w:val="21"/>
              </w:rPr>
              <w:t>39</w:t>
            </w:r>
          </w:p>
        </w:tc>
        <w:tc>
          <w:tcPr>
            <w:tcW w:w="648" w:type="pct"/>
            <w:shd w:val="clear" w:color="auto" w:fill="auto"/>
            <w:noWrap/>
            <w:vAlign w:val="center"/>
          </w:tcPr>
          <w:p w14:paraId="6A2F17B4">
            <w:pPr>
              <w:jc w:val="center"/>
              <w:rPr>
                <w:color w:val="000000"/>
                <w:kern w:val="0"/>
                <w:szCs w:val="21"/>
              </w:rPr>
            </w:pPr>
            <w:r>
              <w:rPr>
                <w:color w:val="000000"/>
                <w:kern w:val="0"/>
                <w:szCs w:val="21"/>
              </w:rPr>
              <w:t>39</w:t>
            </w:r>
          </w:p>
        </w:tc>
        <w:tc>
          <w:tcPr>
            <w:tcW w:w="497" w:type="pct"/>
            <w:shd w:val="clear" w:color="auto" w:fill="auto"/>
            <w:noWrap/>
            <w:vAlign w:val="center"/>
          </w:tcPr>
          <w:p w14:paraId="2BAD44B6">
            <w:pPr>
              <w:jc w:val="center"/>
              <w:rPr>
                <w:color w:val="000000"/>
                <w:kern w:val="0"/>
                <w:szCs w:val="21"/>
              </w:rPr>
            </w:pPr>
            <w:r>
              <w:rPr>
                <w:color w:val="000000"/>
                <w:kern w:val="0"/>
                <w:szCs w:val="21"/>
              </w:rPr>
              <w:t>2类</w:t>
            </w:r>
          </w:p>
        </w:tc>
        <w:tc>
          <w:tcPr>
            <w:tcW w:w="347" w:type="pct"/>
            <w:shd w:val="clear" w:color="auto" w:fill="auto"/>
            <w:noWrap/>
            <w:vAlign w:val="center"/>
          </w:tcPr>
          <w:p w14:paraId="3131B84F">
            <w:pPr>
              <w:jc w:val="center"/>
              <w:rPr>
                <w:color w:val="000000"/>
                <w:kern w:val="0"/>
                <w:szCs w:val="21"/>
              </w:rPr>
            </w:pPr>
            <w:r>
              <w:rPr>
                <w:color w:val="000000"/>
                <w:kern w:val="0"/>
                <w:szCs w:val="21"/>
              </w:rPr>
              <w:t>50</w:t>
            </w:r>
          </w:p>
        </w:tc>
        <w:tc>
          <w:tcPr>
            <w:tcW w:w="422" w:type="pct"/>
            <w:shd w:val="clear" w:color="auto" w:fill="auto"/>
            <w:noWrap/>
            <w:vAlign w:val="center"/>
          </w:tcPr>
          <w:p w14:paraId="5B787F65">
            <w:pPr>
              <w:jc w:val="center"/>
              <w:rPr>
                <w:color w:val="000000"/>
                <w:kern w:val="0"/>
                <w:szCs w:val="21"/>
              </w:rPr>
            </w:pPr>
            <w:r>
              <w:rPr>
                <w:color w:val="000000"/>
                <w:kern w:val="0"/>
                <w:szCs w:val="21"/>
              </w:rPr>
              <w:t>是</w:t>
            </w:r>
          </w:p>
        </w:tc>
      </w:tr>
      <w:tr w14:paraId="5F7FE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71" w:type="pct"/>
            <w:shd w:val="clear" w:color="auto" w:fill="auto"/>
            <w:noWrap/>
            <w:vAlign w:val="center"/>
          </w:tcPr>
          <w:p w14:paraId="39937D8F">
            <w:pPr>
              <w:jc w:val="center"/>
              <w:rPr>
                <w:color w:val="000000"/>
                <w:kern w:val="0"/>
                <w:szCs w:val="21"/>
              </w:rPr>
            </w:pPr>
            <w:r>
              <w:rPr>
                <w:color w:val="000000"/>
                <w:kern w:val="0"/>
                <w:szCs w:val="21"/>
              </w:rPr>
              <w:t>2</w:t>
            </w:r>
          </w:p>
        </w:tc>
        <w:tc>
          <w:tcPr>
            <w:tcW w:w="781" w:type="pct"/>
            <w:shd w:val="clear" w:color="auto" w:fill="auto"/>
            <w:noWrap/>
            <w:vAlign w:val="center"/>
          </w:tcPr>
          <w:p w14:paraId="6A44AA58">
            <w:pPr>
              <w:jc w:val="center"/>
              <w:rPr>
                <w:color w:val="000000"/>
                <w:kern w:val="0"/>
                <w:szCs w:val="21"/>
              </w:rPr>
            </w:pPr>
            <w:r>
              <w:rPr>
                <w:color w:val="000000"/>
                <w:kern w:val="0"/>
                <w:szCs w:val="21"/>
              </w:rPr>
              <w:t>北侧场界外</w:t>
            </w:r>
          </w:p>
        </w:tc>
        <w:tc>
          <w:tcPr>
            <w:tcW w:w="384" w:type="pct"/>
            <w:shd w:val="clear" w:color="auto" w:fill="auto"/>
            <w:noWrap/>
            <w:vAlign w:val="center"/>
          </w:tcPr>
          <w:p w14:paraId="6747D22D">
            <w:pPr>
              <w:jc w:val="center"/>
              <w:rPr>
                <w:color w:val="000000"/>
                <w:kern w:val="0"/>
                <w:szCs w:val="21"/>
              </w:rPr>
            </w:pPr>
            <w:r>
              <w:rPr>
                <w:color w:val="000000"/>
                <w:kern w:val="0"/>
                <w:szCs w:val="21"/>
              </w:rPr>
              <w:t>-146.18</w:t>
            </w:r>
          </w:p>
        </w:tc>
        <w:tc>
          <w:tcPr>
            <w:tcW w:w="384" w:type="pct"/>
            <w:shd w:val="clear" w:color="auto" w:fill="auto"/>
            <w:noWrap/>
            <w:vAlign w:val="center"/>
          </w:tcPr>
          <w:p w14:paraId="4956EAE1">
            <w:pPr>
              <w:jc w:val="center"/>
              <w:rPr>
                <w:color w:val="000000"/>
                <w:kern w:val="0"/>
                <w:szCs w:val="21"/>
              </w:rPr>
            </w:pPr>
            <w:r>
              <w:rPr>
                <w:color w:val="000000"/>
                <w:kern w:val="0"/>
                <w:szCs w:val="21"/>
              </w:rPr>
              <w:t>557.36</w:t>
            </w:r>
          </w:p>
        </w:tc>
        <w:tc>
          <w:tcPr>
            <w:tcW w:w="271" w:type="pct"/>
            <w:shd w:val="clear" w:color="auto" w:fill="auto"/>
            <w:noWrap/>
            <w:vAlign w:val="center"/>
          </w:tcPr>
          <w:p w14:paraId="267D8E1C">
            <w:pPr>
              <w:jc w:val="center"/>
              <w:rPr>
                <w:color w:val="000000"/>
                <w:kern w:val="0"/>
                <w:szCs w:val="21"/>
              </w:rPr>
            </w:pPr>
            <w:r>
              <w:rPr>
                <w:color w:val="000000"/>
                <w:kern w:val="0"/>
                <w:szCs w:val="21"/>
              </w:rPr>
              <w:t>1.2</w:t>
            </w:r>
          </w:p>
        </w:tc>
        <w:tc>
          <w:tcPr>
            <w:tcW w:w="497" w:type="pct"/>
            <w:shd w:val="clear" w:color="auto" w:fill="auto"/>
            <w:noWrap/>
            <w:vAlign w:val="center"/>
          </w:tcPr>
          <w:p w14:paraId="39C18FE1">
            <w:pPr>
              <w:jc w:val="center"/>
              <w:rPr>
                <w:color w:val="000000"/>
                <w:kern w:val="0"/>
                <w:szCs w:val="21"/>
              </w:rPr>
            </w:pPr>
            <w:r>
              <w:rPr>
                <w:color w:val="000000"/>
                <w:kern w:val="0"/>
                <w:szCs w:val="21"/>
              </w:rPr>
              <w:t>6.87</w:t>
            </w:r>
          </w:p>
        </w:tc>
        <w:tc>
          <w:tcPr>
            <w:tcW w:w="497" w:type="pct"/>
            <w:shd w:val="clear" w:color="auto" w:fill="auto"/>
            <w:noWrap/>
            <w:vAlign w:val="center"/>
          </w:tcPr>
          <w:p w14:paraId="51B97E0F">
            <w:pPr>
              <w:jc w:val="center"/>
              <w:rPr>
                <w:color w:val="000000"/>
                <w:kern w:val="0"/>
                <w:szCs w:val="21"/>
              </w:rPr>
            </w:pPr>
            <w:r>
              <w:rPr>
                <w:color w:val="000000"/>
                <w:kern w:val="0"/>
                <w:szCs w:val="21"/>
              </w:rPr>
              <w:t>40</w:t>
            </w:r>
          </w:p>
        </w:tc>
        <w:tc>
          <w:tcPr>
            <w:tcW w:w="648" w:type="pct"/>
            <w:shd w:val="clear" w:color="auto" w:fill="auto"/>
            <w:noWrap/>
            <w:vAlign w:val="center"/>
          </w:tcPr>
          <w:p w14:paraId="5425DEB0">
            <w:pPr>
              <w:jc w:val="center"/>
              <w:rPr>
                <w:color w:val="000000"/>
                <w:kern w:val="0"/>
                <w:szCs w:val="21"/>
              </w:rPr>
            </w:pPr>
            <w:r>
              <w:rPr>
                <w:color w:val="000000"/>
                <w:kern w:val="0"/>
                <w:szCs w:val="21"/>
              </w:rPr>
              <w:t>40</w:t>
            </w:r>
          </w:p>
        </w:tc>
        <w:tc>
          <w:tcPr>
            <w:tcW w:w="497" w:type="pct"/>
            <w:shd w:val="clear" w:color="auto" w:fill="auto"/>
            <w:noWrap/>
            <w:vAlign w:val="center"/>
          </w:tcPr>
          <w:p w14:paraId="4BDCEC97">
            <w:pPr>
              <w:jc w:val="center"/>
              <w:rPr>
                <w:color w:val="000000"/>
                <w:kern w:val="0"/>
                <w:szCs w:val="21"/>
              </w:rPr>
            </w:pPr>
            <w:r>
              <w:rPr>
                <w:color w:val="000000"/>
                <w:kern w:val="0"/>
                <w:szCs w:val="21"/>
              </w:rPr>
              <w:t>2类</w:t>
            </w:r>
          </w:p>
        </w:tc>
        <w:tc>
          <w:tcPr>
            <w:tcW w:w="347" w:type="pct"/>
            <w:shd w:val="clear" w:color="auto" w:fill="auto"/>
            <w:noWrap/>
            <w:vAlign w:val="center"/>
          </w:tcPr>
          <w:p w14:paraId="756D30D9">
            <w:pPr>
              <w:jc w:val="center"/>
              <w:rPr>
                <w:color w:val="000000"/>
                <w:kern w:val="0"/>
                <w:szCs w:val="21"/>
              </w:rPr>
            </w:pPr>
            <w:r>
              <w:rPr>
                <w:color w:val="000000"/>
                <w:kern w:val="0"/>
                <w:szCs w:val="21"/>
              </w:rPr>
              <w:t>50</w:t>
            </w:r>
          </w:p>
        </w:tc>
        <w:tc>
          <w:tcPr>
            <w:tcW w:w="422" w:type="pct"/>
            <w:shd w:val="clear" w:color="auto" w:fill="auto"/>
            <w:noWrap/>
            <w:vAlign w:val="center"/>
          </w:tcPr>
          <w:p w14:paraId="78F7E66C">
            <w:pPr>
              <w:jc w:val="center"/>
              <w:rPr>
                <w:color w:val="000000"/>
                <w:kern w:val="0"/>
                <w:szCs w:val="21"/>
              </w:rPr>
            </w:pPr>
            <w:r>
              <w:rPr>
                <w:color w:val="000000"/>
                <w:kern w:val="0"/>
                <w:szCs w:val="21"/>
              </w:rPr>
              <w:t>是</w:t>
            </w:r>
          </w:p>
        </w:tc>
      </w:tr>
      <w:tr w14:paraId="48B4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71" w:type="pct"/>
            <w:shd w:val="clear" w:color="auto" w:fill="auto"/>
            <w:noWrap/>
            <w:vAlign w:val="center"/>
          </w:tcPr>
          <w:p w14:paraId="49C0D51B">
            <w:pPr>
              <w:jc w:val="center"/>
              <w:rPr>
                <w:color w:val="000000"/>
                <w:kern w:val="0"/>
                <w:szCs w:val="21"/>
              </w:rPr>
            </w:pPr>
            <w:r>
              <w:rPr>
                <w:color w:val="000000"/>
                <w:kern w:val="0"/>
                <w:szCs w:val="21"/>
              </w:rPr>
              <w:t>3</w:t>
            </w:r>
          </w:p>
        </w:tc>
        <w:tc>
          <w:tcPr>
            <w:tcW w:w="781" w:type="pct"/>
            <w:shd w:val="clear" w:color="auto" w:fill="auto"/>
            <w:noWrap/>
            <w:vAlign w:val="center"/>
          </w:tcPr>
          <w:p w14:paraId="05BC56FC">
            <w:pPr>
              <w:jc w:val="center"/>
              <w:rPr>
                <w:color w:val="000000"/>
                <w:kern w:val="0"/>
                <w:szCs w:val="21"/>
              </w:rPr>
            </w:pPr>
            <w:r>
              <w:rPr>
                <w:color w:val="000000"/>
                <w:kern w:val="0"/>
                <w:szCs w:val="21"/>
              </w:rPr>
              <w:t>南侧场界外</w:t>
            </w:r>
          </w:p>
        </w:tc>
        <w:tc>
          <w:tcPr>
            <w:tcW w:w="384" w:type="pct"/>
            <w:shd w:val="clear" w:color="auto" w:fill="auto"/>
            <w:noWrap/>
            <w:vAlign w:val="center"/>
          </w:tcPr>
          <w:p w14:paraId="2561C3C9">
            <w:pPr>
              <w:jc w:val="center"/>
              <w:rPr>
                <w:color w:val="000000"/>
                <w:kern w:val="0"/>
                <w:szCs w:val="21"/>
              </w:rPr>
            </w:pPr>
            <w:r>
              <w:rPr>
                <w:color w:val="000000"/>
                <w:kern w:val="0"/>
                <w:szCs w:val="21"/>
              </w:rPr>
              <w:t>170.31</w:t>
            </w:r>
          </w:p>
        </w:tc>
        <w:tc>
          <w:tcPr>
            <w:tcW w:w="384" w:type="pct"/>
            <w:shd w:val="clear" w:color="auto" w:fill="auto"/>
            <w:noWrap/>
            <w:vAlign w:val="center"/>
          </w:tcPr>
          <w:p w14:paraId="32A0BF60">
            <w:pPr>
              <w:jc w:val="center"/>
              <w:rPr>
                <w:color w:val="000000"/>
                <w:kern w:val="0"/>
                <w:szCs w:val="21"/>
              </w:rPr>
            </w:pPr>
            <w:r>
              <w:rPr>
                <w:color w:val="000000"/>
                <w:kern w:val="0"/>
                <w:szCs w:val="21"/>
              </w:rPr>
              <w:t>-72.91</w:t>
            </w:r>
          </w:p>
        </w:tc>
        <w:tc>
          <w:tcPr>
            <w:tcW w:w="271" w:type="pct"/>
            <w:shd w:val="clear" w:color="auto" w:fill="auto"/>
            <w:noWrap/>
            <w:vAlign w:val="center"/>
          </w:tcPr>
          <w:p w14:paraId="5BDA990B">
            <w:pPr>
              <w:jc w:val="center"/>
              <w:rPr>
                <w:color w:val="000000"/>
                <w:kern w:val="0"/>
                <w:szCs w:val="21"/>
              </w:rPr>
            </w:pPr>
            <w:r>
              <w:rPr>
                <w:color w:val="000000"/>
                <w:kern w:val="0"/>
                <w:szCs w:val="21"/>
              </w:rPr>
              <w:t>1.2</w:t>
            </w:r>
          </w:p>
        </w:tc>
        <w:tc>
          <w:tcPr>
            <w:tcW w:w="497" w:type="pct"/>
            <w:shd w:val="clear" w:color="auto" w:fill="auto"/>
            <w:noWrap/>
            <w:vAlign w:val="center"/>
          </w:tcPr>
          <w:p w14:paraId="6C2E2CA9">
            <w:pPr>
              <w:jc w:val="center"/>
              <w:rPr>
                <w:color w:val="000000"/>
                <w:kern w:val="0"/>
                <w:szCs w:val="21"/>
              </w:rPr>
            </w:pPr>
            <w:r>
              <w:rPr>
                <w:color w:val="000000"/>
                <w:kern w:val="0"/>
                <w:szCs w:val="21"/>
              </w:rPr>
              <w:t>8.78</w:t>
            </w:r>
          </w:p>
        </w:tc>
        <w:tc>
          <w:tcPr>
            <w:tcW w:w="497" w:type="pct"/>
            <w:shd w:val="clear" w:color="auto" w:fill="auto"/>
            <w:noWrap/>
            <w:vAlign w:val="center"/>
          </w:tcPr>
          <w:p w14:paraId="42743E4A">
            <w:pPr>
              <w:jc w:val="center"/>
              <w:rPr>
                <w:color w:val="000000"/>
                <w:kern w:val="0"/>
                <w:szCs w:val="21"/>
              </w:rPr>
            </w:pPr>
            <w:r>
              <w:rPr>
                <w:color w:val="000000"/>
                <w:kern w:val="0"/>
                <w:szCs w:val="21"/>
              </w:rPr>
              <w:t>39</w:t>
            </w:r>
          </w:p>
        </w:tc>
        <w:tc>
          <w:tcPr>
            <w:tcW w:w="648" w:type="pct"/>
            <w:shd w:val="clear" w:color="auto" w:fill="auto"/>
            <w:noWrap/>
            <w:vAlign w:val="center"/>
          </w:tcPr>
          <w:p w14:paraId="00867022">
            <w:pPr>
              <w:jc w:val="center"/>
              <w:rPr>
                <w:color w:val="000000"/>
                <w:kern w:val="0"/>
                <w:szCs w:val="21"/>
              </w:rPr>
            </w:pPr>
            <w:r>
              <w:rPr>
                <w:color w:val="000000"/>
                <w:kern w:val="0"/>
                <w:szCs w:val="21"/>
              </w:rPr>
              <w:t>39</w:t>
            </w:r>
          </w:p>
        </w:tc>
        <w:tc>
          <w:tcPr>
            <w:tcW w:w="497" w:type="pct"/>
            <w:shd w:val="clear" w:color="auto" w:fill="auto"/>
            <w:noWrap/>
            <w:vAlign w:val="center"/>
          </w:tcPr>
          <w:p w14:paraId="40887443">
            <w:pPr>
              <w:jc w:val="center"/>
              <w:rPr>
                <w:color w:val="000000"/>
                <w:kern w:val="0"/>
                <w:szCs w:val="21"/>
              </w:rPr>
            </w:pPr>
            <w:r>
              <w:rPr>
                <w:color w:val="000000"/>
                <w:kern w:val="0"/>
                <w:szCs w:val="21"/>
              </w:rPr>
              <w:t>2类</w:t>
            </w:r>
          </w:p>
        </w:tc>
        <w:tc>
          <w:tcPr>
            <w:tcW w:w="347" w:type="pct"/>
            <w:shd w:val="clear" w:color="auto" w:fill="auto"/>
            <w:noWrap/>
            <w:vAlign w:val="center"/>
          </w:tcPr>
          <w:p w14:paraId="4DE0F2C0">
            <w:pPr>
              <w:jc w:val="center"/>
              <w:rPr>
                <w:color w:val="000000"/>
                <w:kern w:val="0"/>
                <w:szCs w:val="21"/>
              </w:rPr>
            </w:pPr>
            <w:r>
              <w:rPr>
                <w:color w:val="000000"/>
                <w:kern w:val="0"/>
                <w:szCs w:val="21"/>
              </w:rPr>
              <w:t>50</w:t>
            </w:r>
          </w:p>
        </w:tc>
        <w:tc>
          <w:tcPr>
            <w:tcW w:w="422" w:type="pct"/>
            <w:shd w:val="clear" w:color="auto" w:fill="auto"/>
            <w:noWrap/>
            <w:vAlign w:val="center"/>
          </w:tcPr>
          <w:p w14:paraId="49CD8ED5">
            <w:pPr>
              <w:jc w:val="center"/>
              <w:rPr>
                <w:color w:val="000000"/>
                <w:kern w:val="0"/>
                <w:szCs w:val="21"/>
              </w:rPr>
            </w:pPr>
            <w:r>
              <w:rPr>
                <w:color w:val="000000"/>
                <w:kern w:val="0"/>
                <w:szCs w:val="21"/>
              </w:rPr>
              <w:t>是</w:t>
            </w:r>
          </w:p>
        </w:tc>
      </w:tr>
      <w:tr w14:paraId="7DF3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71" w:type="pct"/>
            <w:shd w:val="clear" w:color="auto" w:fill="auto"/>
            <w:noWrap/>
            <w:vAlign w:val="center"/>
          </w:tcPr>
          <w:p w14:paraId="3D01D1D2">
            <w:pPr>
              <w:jc w:val="center"/>
              <w:rPr>
                <w:color w:val="000000"/>
                <w:kern w:val="0"/>
                <w:szCs w:val="21"/>
              </w:rPr>
            </w:pPr>
            <w:r>
              <w:rPr>
                <w:color w:val="000000"/>
                <w:kern w:val="0"/>
                <w:szCs w:val="21"/>
              </w:rPr>
              <w:t>4</w:t>
            </w:r>
          </w:p>
        </w:tc>
        <w:tc>
          <w:tcPr>
            <w:tcW w:w="781" w:type="pct"/>
            <w:shd w:val="clear" w:color="auto" w:fill="auto"/>
            <w:noWrap/>
            <w:vAlign w:val="center"/>
          </w:tcPr>
          <w:p w14:paraId="09DB27AE">
            <w:pPr>
              <w:jc w:val="center"/>
              <w:rPr>
                <w:color w:val="000000"/>
                <w:kern w:val="0"/>
                <w:szCs w:val="21"/>
              </w:rPr>
            </w:pPr>
            <w:r>
              <w:rPr>
                <w:color w:val="000000"/>
                <w:kern w:val="0"/>
                <w:szCs w:val="21"/>
              </w:rPr>
              <w:t>场界北侧居民处</w:t>
            </w:r>
          </w:p>
        </w:tc>
        <w:tc>
          <w:tcPr>
            <w:tcW w:w="384" w:type="pct"/>
            <w:shd w:val="clear" w:color="auto" w:fill="auto"/>
            <w:noWrap/>
            <w:vAlign w:val="center"/>
          </w:tcPr>
          <w:p w14:paraId="378DEF24">
            <w:pPr>
              <w:jc w:val="center"/>
              <w:rPr>
                <w:color w:val="000000"/>
                <w:kern w:val="0"/>
                <w:szCs w:val="21"/>
              </w:rPr>
            </w:pPr>
            <w:r>
              <w:rPr>
                <w:color w:val="000000"/>
                <w:kern w:val="0"/>
                <w:szCs w:val="21"/>
              </w:rPr>
              <w:t>-51.48</w:t>
            </w:r>
          </w:p>
        </w:tc>
        <w:tc>
          <w:tcPr>
            <w:tcW w:w="384" w:type="pct"/>
            <w:shd w:val="clear" w:color="auto" w:fill="auto"/>
            <w:noWrap/>
            <w:vAlign w:val="center"/>
          </w:tcPr>
          <w:p w14:paraId="5B1C0301">
            <w:pPr>
              <w:jc w:val="center"/>
              <w:rPr>
                <w:color w:val="000000"/>
                <w:kern w:val="0"/>
                <w:szCs w:val="21"/>
              </w:rPr>
            </w:pPr>
            <w:r>
              <w:rPr>
                <w:color w:val="000000"/>
                <w:kern w:val="0"/>
                <w:szCs w:val="21"/>
              </w:rPr>
              <w:t>597.38</w:t>
            </w:r>
          </w:p>
        </w:tc>
        <w:tc>
          <w:tcPr>
            <w:tcW w:w="271" w:type="pct"/>
            <w:shd w:val="clear" w:color="auto" w:fill="auto"/>
            <w:noWrap/>
            <w:vAlign w:val="center"/>
          </w:tcPr>
          <w:p w14:paraId="5CAC2FC7">
            <w:pPr>
              <w:jc w:val="center"/>
              <w:rPr>
                <w:color w:val="000000"/>
                <w:kern w:val="0"/>
                <w:szCs w:val="21"/>
              </w:rPr>
            </w:pPr>
            <w:r>
              <w:rPr>
                <w:color w:val="000000"/>
                <w:kern w:val="0"/>
                <w:szCs w:val="21"/>
              </w:rPr>
              <w:t>1.2</w:t>
            </w:r>
          </w:p>
        </w:tc>
        <w:tc>
          <w:tcPr>
            <w:tcW w:w="497" w:type="pct"/>
            <w:shd w:val="clear" w:color="auto" w:fill="auto"/>
            <w:noWrap/>
            <w:vAlign w:val="center"/>
          </w:tcPr>
          <w:p w14:paraId="54B1CD25">
            <w:pPr>
              <w:jc w:val="center"/>
              <w:rPr>
                <w:color w:val="000000"/>
                <w:kern w:val="0"/>
                <w:szCs w:val="21"/>
              </w:rPr>
            </w:pPr>
            <w:r>
              <w:rPr>
                <w:color w:val="000000"/>
                <w:kern w:val="0"/>
                <w:szCs w:val="21"/>
              </w:rPr>
              <w:t>7.21</w:t>
            </w:r>
          </w:p>
        </w:tc>
        <w:tc>
          <w:tcPr>
            <w:tcW w:w="497" w:type="pct"/>
            <w:shd w:val="clear" w:color="auto" w:fill="auto"/>
            <w:noWrap/>
            <w:vAlign w:val="center"/>
          </w:tcPr>
          <w:p w14:paraId="4417D4D7">
            <w:pPr>
              <w:jc w:val="center"/>
              <w:rPr>
                <w:color w:val="000000"/>
                <w:kern w:val="0"/>
                <w:szCs w:val="21"/>
              </w:rPr>
            </w:pPr>
            <w:r>
              <w:rPr>
                <w:color w:val="000000"/>
                <w:kern w:val="0"/>
                <w:szCs w:val="21"/>
              </w:rPr>
              <w:t>42.5</w:t>
            </w:r>
          </w:p>
        </w:tc>
        <w:tc>
          <w:tcPr>
            <w:tcW w:w="648" w:type="pct"/>
            <w:shd w:val="clear" w:color="auto" w:fill="auto"/>
            <w:noWrap/>
            <w:vAlign w:val="center"/>
          </w:tcPr>
          <w:p w14:paraId="614D121F">
            <w:pPr>
              <w:jc w:val="center"/>
              <w:rPr>
                <w:color w:val="000000"/>
                <w:kern w:val="0"/>
                <w:szCs w:val="21"/>
              </w:rPr>
            </w:pPr>
            <w:r>
              <w:rPr>
                <w:color w:val="000000"/>
                <w:kern w:val="0"/>
                <w:szCs w:val="21"/>
              </w:rPr>
              <w:t>42.5</w:t>
            </w:r>
          </w:p>
        </w:tc>
        <w:tc>
          <w:tcPr>
            <w:tcW w:w="497" w:type="pct"/>
            <w:shd w:val="clear" w:color="auto" w:fill="auto"/>
            <w:noWrap/>
            <w:vAlign w:val="center"/>
          </w:tcPr>
          <w:p w14:paraId="64BD1D2E">
            <w:pPr>
              <w:jc w:val="center"/>
              <w:rPr>
                <w:color w:val="000000"/>
                <w:kern w:val="0"/>
                <w:szCs w:val="21"/>
              </w:rPr>
            </w:pPr>
            <w:r>
              <w:rPr>
                <w:color w:val="000000"/>
                <w:kern w:val="0"/>
                <w:szCs w:val="21"/>
              </w:rPr>
              <w:t>2类</w:t>
            </w:r>
          </w:p>
        </w:tc>
        <w:tc>
          <w:tcPr>
            <w:tcW w:w="347" w:type="pct"/>
            <w:shd w:val="clear" w:color="auto" w:fill="auto"/>
            <w:noWrap/>
            <w:vAlign w:val="center"/>
          </w:tcPr>
          <w:p w14:paraId="46155975">
            <w:pPr>
              <w:jc w:val="center"/>
              <w:rPr>
                <w:color w:val="000000"/>
                <w:kern w:val="0"/>
                <w:szCs w:val="21"/>
              </w:rPr>
            </w:pPr>
            <w:r>
              <w:rPr>
                <w:color w:val="000000"/>
                <w:kern w:val="0"/>
                <w:szCs w:val="21"/>
              </w:rPr>
              <w:t>50</w:t>
            </w:r>
          </w:p>
        </w:tc>
        <w:tc>
          <w:tcPr>
            <w:tcW w:w="422" w:type="pct"/>
            <w:shd w:val="clear" w:color="auto" w:fill="auto"/>
            <w:noWrap/>
            <w:vAlign w:val="center"/>
          </w:tcPr>
          <w:p w14:paraId="3C15BEFC">
            <w:pPr>
              <w:jc w:val="center"/>
              <w:rPr>
                <w:color w:val="000000"/>
                <w:kern w:val="0"/>
                <w:szCs w:val="21"/>
              </w:rPr>
            </w:pPr>
            <w:r>
              <w:rPr>
                <w:color w:val="000000"/>
                <w:kern w:val="0"/>
                <w:szCs w:val="21"/>
              </w:rPr>
              <w:t>是</w:t>
            </w:r>
          </w:p>
        </w:tc>
      </w:tr>
      <w:tr w14:paraId="3258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271" w:type="pct"/>
            <w:shd w:val="clear" w:color="auto" w:fill="auto"/>
            <w:noWrap/>
            <w:vAlign w:val="center"/>
          </w:tcPr>
          <w:p w14:paraId="07C68501">
            <w:pPr>
              <w:jc w:val="center"/>
              <w:rPr>
                <w:color w:val="000000"/>
                <w:kern w:val="0"/>
                <w:szCs w:val="21"/>
              </w:rPr>
            </w:pPr>
            <w:r>
              <w:rPr>
                <w:color w:val="000000"/>
                <w:kern w:val="0"/>
                <w:szCs w:val="21"/>
              </w:rPr>
              <w:t>5</w:t>
            </w:r>
          </w:p>
        </w:tc>
        <w:tc>
          <w:tcPr>
            <w:tcW w:w="781" w:type="pct"/>
            <w:shd w:val="clear" w:color="auto" w:fill="auto"/>
            <w:noWrap/>
            <w:vAlign w:val="center"/>
          </w:tcPr>
          <w:p w14:paraId="65E93554">
            <w:pPr>
              <w:jc w:val="center"/>
              <w:rPr>
                <w:color w:val="000000"/>
                <w:kern w:val="0"/>
                <w:szCs w:val="21"/>
              </w:rPr>
            </w:pPr>
            <w:r>
              <w:rPr>
                <w:color w:val="000000"/>
                <w:kern w:val="0"/>
                <w:szCs w:val="21"/>
              </w:rPr>
              <w:t>场界南侧居民处</w:t>
            </w:r>
          </w:p>
        </w:tc>
        <w:tc>
          <w:tcPr>
            <w:tcW w:w="384" w:type="pct"/>
            <w:shd w:val="clear" w:color="auto" w:fill="auto"/>
            <w:noWrap/>
            <w:vAlign w:val="center"/>
          </w:tcPr>
          <w:p w14:paraId="3EAFB9AC">
            <w:pPr>
              <w:jc w:val="center"/>
              <w:rPr>
                <w:color w:val="000000"/>
                <w:kern w:val="0"/>
                <w:szCs w:val="21"/>
              </w:rPr>
            </w:pPr>
            <w:r>
              <w:rPr>
                <w:color w:val="000000"/>
                <w:kern w:val="0"/>
                <w:szCs w:val="21"/>
              </w:rPr>
              <w:t>27.52</w:t>
            </w:r>
          </w:p>
        </w:tc>
        <w:tc>
          <w:tcPr>
            <w:tcW w:w="384" w:type="pct"/>
            <w:shd w:val="clear" w:color="auto" w:fill="auto"/>
            <w:noWrap/>
            <w:vAlign w:val="center"/>
          </w:tcPr>
          <w:p w14:paraId="7672D35F">
            <w:pPr>
              <w:jc w:val="center"/>
              <w:rPr>
                <w:color w:val="000000"/>
                <w:kern w:val="0"/>
                <w:szCs w:val="21"/>
              </w:rPr>
            </w:pPr>
            <w:r>
              <w:rPr>
                <w:color w:val="000000"/>
                <w:kern w:val="0"/>
                <w:szCs w:val="21"/>
              </w:rPr>
              <w:t>-91.52</w:t>
            </w:r>
          </w:p>
        </w:tc>
        <w:tc>
          <w:tcPr>
            <w:tcW w:w="271" w:type="pct"/>
            <w:shd w:val="clear" w:color="auto" w:fill="auto"/>
            <w:noWrap/>
            <w:vAlign w:val="center"/>
          </w:tcPr>
          <w:p w14:paraId="2E23E630">
            <w:pPr>
              <w:jc w:val="center"/>
              <w:rPr>
                <w:color w:val="000000"/>
                <w:kern w:val="0"/>
                <w:szCs w:val="21"/>
              </w:rPr>
            </w:pPr>
            <w:r>
              <w:rPr>
                <w:color w:val="000000"/>
                <w:kern w:val="0"/>
                <w:szCs w:val="21"/>
              </w:rPr>
              <w:t>1.2</w:t>
            </w:r>
          </w:p>
        </w:tc>
        <w:tc>
          <w:tcPr>
            <w:tcW w:w="497" w:type="pct"/>
            <w:shd w:val="clear" w:color="auto" w:fill="auto"/>
            <w:noWrap/>
            <w:vAlign w:val="center"/>
          </w:tcPr>
          <w:p w14:paraId="324290E3">
            <w:pPr>
              <w:jc w:val="center"/>
              <w:rPr>
                <w:color w:val="000000"/>
                <w:kern w:val="0"/>
                <w:szCs w:val="21"/>
              </w:rPr>
            </w:pPr>
            <w:r>
              <w:rPr>
                <w:color w:val="000000"/>
                <w:kern w:val="0"/>
                <w:szCs w:val="21"/>
              </w:rPr>
              <w:t>8.54</w:t>
            </w:r>
          </w:p>
        </w:tc>
        <w:tc>
          <w:tcPr>
            <w:tcW w:w="497" w:type="pct"/>
            <w:shd w:val="clear" w:color="auto" w:fill="auto"/>
            <w:noWrap/>
            <w:vAlign w:val="center"/>
          </w:tcPr>
          <w:p w14:paraId="3EBD18F3">
            <w:pPr>
              <w:jc w:val="center"/>
              <w:rPr>
                <w:color w:val="000000"/>
                <w:kern w:val="0"/>
                <w:szCs w:val="21"/>
              </w:rPr>
            </w:pPr>
            <w:r>
              <w:rPr>
                <w:color w:val="000000"/>
                <w:kern w:val="0"/>
                <w:szCs w:val="21"/>
              </w:rPr>
              <w:t>41</w:t>
            </w:r>
          </w:p>
        </w:tc>
        <w:tc>
          <w:tcPr>
            <w:tcW w:w="648" w:type="pct"/>
            <w:shd w:val="clear" w:color="auto" w:fill="auto"/>
            <w:noWrap/>
            <w:vAlign w:val="center"/>
          </w:tcPr>
          <w:p w14:paraId="7772FCDD">
            <w:pPr>
              <w:jc w:val="center"/>
              <w:rPr>
                <w:color w:val="000000"/>
                <w:kern w:val="0"/>
                <w:szCs w:val="21"/>
              </w:rPr>
            </w:pPr>
            <w:r>
              <w:rPr>
                <w:color w:val="000000"/>
                <w:kern w:val="0"/>
                <w:szCs w:val="21"/>
              </w:rPr>
              <w:t>41</w:t>
            </w:r>
          </w:p>
        </w:tc>
        <w:tc>
          <w:tcPr>
            <w:tcW w:w="497" w:type="pct"/>
            <w:shd w:val="clear" w:color="auto" w:fill="auto"/>
            <w:noWrap/>
            <w:vAlign w:val="center"/>
          </w:tcPr>
          <w:p w14:paraId="115B9B48">
            <w:pPr>
              <w:jc w:val="center"/>
              <w:rPr>
                <w:color w:val="000000"/>
                <w:kern w:val="0"/>
                <w:szCs w:val="21"/>
              </w:rPr>
            </w:pPr>
            <w:r>
              <w:rPr>
                <w:color w:val="000000"/>
                <w:kern w:val="0"/>
                <w:szCs w:val="21"/>
              </w:rPr>
              <w:t>2类</w:t>
            </w:r>
          </w:p>
        </w:tc>
        <w:tc>
          <w:tcPr>
            <w:tcW w:w="347" w:type="pct"/>
            <w:shd w:val="clear" w:color="auto" w:fill="auto"/>
            <w:noWrap/>
            <w:vAlign w:val="center"/>
          </w:tcPr>
          <w:p w14:paraId="0260C957">
            <w:pPr>
              <w:jc w:val="center"/>
              <w:rPr>
                <w:color w:val="000000"/>
                <w:kern w:val="0"/>
                <w:szCs w:val="21"/>
              </w:rPr>
            </w:pPr>
            <w:r>
              <w:rPr>
                <w:color w:val="000000"/>
                <w:kern w:val="0"/>
                <w:szCs w:val="21"/>
              </w:rPr>
              <w:t>50</w:t>
            </w:r>
          </w:p>
        </w:tc>
        <w:tc>
          <w:tcPr>
            <w:tcW w:w="422" w:type="pct"/>
            <w:shd w:val="clear" w:color="auto" w:fill="auto"/>
            <w:noWrap/>
            <w:vAlign w:val="center"/>
          </w:tcPr>
          <w:p w14:paraId="5618BA36">
            <w:pPr>
              <w:jc w:val="center"/>
              <w:rPr>
                <w:color w:val="000000"/>
                <w:kern w:val="0"/>
                <w:szCs w:val="21"/>
              </w:rPr>
            </w:pPr>
            <w:r>
              <w:rPr>
                <w:color w:val="000000"/>
                <w:kern w:val="0"/>
                <w:szCs w:val="21"/>
              </w:rPr>
              <w:t>是</w:t>
            </w:r>
          </w:p>
        </w:tc>
      </w:tr>
      <w:tr w14:paraId="4E9CC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71" w:type="pct"/>
            <w:shd w:val="clear" w:color="auto" w:fill="auto"/>
            <w:noWrap/>
            <w:vAlign w:val="center"/>
          </w:tcPr>
          <w:p w14:paraId="78BE0103">
            <w:pPr>
              <w:jc w:val="center"/>
              <w:rPr>
                <w:color w:val="000000"/>
                <w:kern w:val="0"/>
                <w:szCs w:val="21"/>
              </w:rPr>
            </w:pPr>
            <w:r>
              <w:rPr>
                <w:color w:val="000000"/>
                <w:kern w:val="0"/>
                <w:szCs w:val="21"/>
              </w:rPr>
              <w:t>6</w:t>
            </w:r>
          </w:p>
        </w:tc>
        <w:tc>
          <w:tcPr>
            <w:tcW w:w="781" w:type="pct"/>
            <w:shd w:val="clear" w:color="auto" w:fill="auto"/>
            <w:noWrap/>
            <w:vAlign w:val="center"/>
          </w:tcPr>
          <w:p w14:paraId="2C39DB88">
            <w:pPr>
              <w:jc w:val="center"/>
              <w:rPr>
                <w:color w:val="000000"/>
                <w:kern w:val="0"/>
                <w:szCs w:val="21"/>
              </w:rPr>
            </w:pPr>
            <w:r>
              <w:rPr>
                <w:color w:val="000000"/>
                <w:kern w:val="0"/>
                <w:szCs w:val="21"/>
              </w:rPr>
              <w:t>场界西南侧居民处</w:t>
            </w:r>
          </w:p>
        </w:tc>
        <w:tc>
          <w:tcPr>
            <w:tcW w:w="384" w:type="pct"/>
            <w:shd w:val="clear" w:color="auto" w:fill="auto"/>
            <w:noWrap/>
            <w:vAlign w:val="center"/>
          </w:tcPr>
          <w:p w14:paraId="42A7CB98">
            <w:pPr>
              <w:jc w:val="center"/>
              <w:rPr>
                <w:color w:val="000000"/>
                <w:kern w:val="0"/>
                <w:szCs w:val="21"/>
              </w:rPr>
            </w:pPr>
            <w:r>
              <w:rPr>
                <w:color w:val="000000"/>
                <w:kern w:val="0"/>
                <w:szCs w:val="21"/>
              </w:rPr>
              <w:t>-69.37</w:t>
            </w:r>
          </w:p>
        </w:tc>
        <w:tc>
          <w:tcPr>
            <w:tcW w:w="384" w:type="pct"/>
            <w:shd w:val="clear" w:color="auto" w:fill="auto"/>
            <w:noWrap/>
            <w:vAlign w:val="center"/>
          </w:tcPr>
          <w:p w14:paraId="3A3A623B">
            <w:pPr>
              <w:jc w:val="center"/>
              <w:rPr>
                <w:color w:val="000000"/>
                <w:kern w:val="0"/>
                <w:szCs w:val="21"/>
              </w:rPr>
            </w:pPr>
            <w:r>
              <w:rPr>
                <w:color w:val="000000"/>
                <w:kern w:val="0"/>
                <w:szCs w:val="21"/>
              </w:rPr>
              <w:t>-164.38</w:t>
            </w:r>
          </w:p>
        </w:tc>
        <w:tc>
          <w:tcPr>
            <w:tcW w:w="271" w:type="pct"/>
            <w:shd w:val="clear" w:color="auto" w:fill="auto"/>
            <w:noWrap/>
            <w:vAlign w:val="center"/>
          </w:tcPr>
          <w:p w14:paraId="6CD74D5E">
            <w:pPr>
              <w:jc w:val="center"/>
              <w:rPr>
                <w:color w:val="000000"/>
                <w:kern w:val="0"/>
                <w:szCs w:val="21"/>
              </w:rPr>
            </w:pPr>
            <w:r>
              <w:rPr>
                <w:color w:val="000000"/>
                <w:kern w:val="0"/>
                <w:szCs w:val="21"/>
              </w:rPr>
              <w:t>1.2</w:t>
            </w:r>
          </w:p>
        </w:tc>
        <w:tc>
          <w:tcPr>
            <w:tcW w:w="497" w:type="pct"/>
            <w:shd w:val="clear" w:color="auto" w:fill="auto"/>
            <w:noWrap/>
            <w:vAlign w:val="center"/>
          </w:tcPr>
          <w:p w14:paraId="1AC00A7C">
            <w:pPr>
              <w:jc w:val="center"/>
              <w:rPr>
                <w:color w:val="000000"/>
                <w:kern w:val="0"/>
                <w:szCs w:val="21"/>
              </w:rPr>
            </w:pPr>
            <w:r>
              <w:rPr>
                <w:color w:val="000000"/>
                <w:kern w:val="0"/>
                <w:szCs w:val="21"/>
              </w:rPr>
              <w:t>7.95</w:t>
            </w:r>
          </w:p>
        </w:tc>
        <w:tc>
          <w:tcPr>
            <w:tcW w:w="497" w:type="pct"/>
            <w:shd w:val="clear" w:color="auto" w:fill="auto"/>
            <w:noWrap/>
            <w:vAlign w:val="center"/>
          </w:tcPr>
          <w:p w14:paraId="545EE9EC">
            <w:pPr>
              <w:jc w:val="center"/>
              <w:rPr>
                <w:color w:val="000000"/>
                <w:kern w:val="0"/>
                <w:szCs w:val="21"/>
              </w:rPr>
            </w:pPr>
            <w:r>
              <w:rPr>
                <w:color w:val="000000"/>
                <w:kern w:val="0"/>
                <w:szCs w:val="21"/>
              </w:rPr>
              <w:t>40.5</w:t>
            </w:r>
          </w:p>
        </w:tc>
        <w:tc>
          <w:tcPr>
            <w:tcW w:w="648" w:type="pct"/>
            <w:shd w:val="clear" w:color="auto" w:fill="auto"/>
            <w:noWrap/>
            <w:vAlign w:val="center"/>
          </w:tcPr>
          <w:p w14:paraId="5840E963">
            <w:pPr>
              <w:jc w:val="center"/>
              <w:rPr>
                <w:color w:val="000000"/>
                <w:kern w:val="0"/>
                <w:szCs w:val="21"/>
              </w:rPr>
            </w:pPr>
            <w:r>
              <w:rPr>
                <w:color w:val="000000"/>
                <w:kern w:val="0"/>
                <w:szCs w:val="21"/>
              </w:rPr>
              <w:t>40.5</w:t>
            </w:r>
          </w:p>
        </w:tc>
        <w:tc>
          <w:tcPr>
            <w:tcW w:w="497" w:type="pct"/>
            <w:shd w:val="clear" w:color="auto" w:fill="auto"/>
            <w:noWrap/>
            <w:vAlign w:val="center"/>
          </w:tcPr>
          <w:p w14:paraId="4D464EF5">
            <w:pPr>
              <w:jc w:val="center"/>
              <w:rPr>
                <w:color w:val="000000"/>
                <w:kern w:val="0"/>
                <w:szCs w:val="21"/>
              </w:rPr>
            </w:pPr>
            <w:r>
              <w:rPr>
                <w:color w:val="000000"/>
                <w:kern w:val="0"/>
                <w:szCs w:val="21"/>
              </w:rPr>
              <w:t>2类</w:t>
            </w:r>
          </w:p>
        </w:tc>
        <w:tc>
          <w:tcPr>
            <w:tcW w:w="347" w:type="pct"/>
            <w:shd w:val="clear" w:color="auto" w:fill="auto"/>
            <w:noWrap/>
            <w:vAlign w:val="center"/>
          </w:tcPr>
          <w:p w14:paraId="1D4FFE99">
            <w:pPr>
              <w:jc w:val="center"/>
              <w:rPr>
                <w:color w:val="000000"/>
                <w:kern w:val="0"/>
                <w:szCs w:val="21"/>
              </w:rPr>
            </w:pPr>
            <w:r>
              <w:rPr>
                <w:color w:val="000000"/>
                <w:kern w:val="0"/>
                <w:szCs w:val="21"/>
              </w:rPr>
              <w:t>50</w:t>
            </w:r>
          </w:p>
        </w:tc>
        <w:tc>
          <w:tcPr>
            <w:tcW w:w="422" w:type="pct"/>
            <w:shd w:val="clear" w:color="auto" w:fill="auto"/>
            <w:noWrap/>
            <w:vAlign w:val="center"/>
          </w:tcPr>
          <w:p w14:paraId="20E6F526">
            <w:pPr>
              <w:jc w:val="center"/>
              <w:rPr>
                <w:color w:val="000000"/>
                <w:kern w:val="0"/>
                <w:szCs w:val="21"/>
              </w:rPr>
            </w:pPr>
            <w:r>
              <w:rPr>
                <w:color w:val="000000"/>
                <w:kern w:val="0"/>
                <w:szCs w:val="21"/>
              </w:rPr>
              <w:t>是</w:t>
            </w:r>
          </w:p>
        </w:tc>
      </w:tr>
      <w:tr w14:paraId="07B8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709B5D03">
            <w:pPr>
              <w:jc w:val="center"/>
              <w:rPr>
                <w:color w:val="000000"/>
                <w:kern w:val="0"/>
                <w:szCs w:val="21"/>
              </w:rPr>
            </w:pPr>
            <w:r>
              <w:rPr>
                <w:color w:val="000000"/>
                <w:kern w:val="0"/>
                <w:szCs w:val="21"/>
              </w:rPr>
              <w:t>7</w:t>
            </w:r>
          </w:p>
        </w:tc>
        <w:tc>
          <w:tcPr>
            <w:tcW w:w="781" w:type="pct"/>
            <w:shd w:val="clear" w:color="auto" w:fill="auto"/>
            <w:noWrap/>
            <w:vAlign w:val="center"/>
          </w:tcPr>
          <w:p w14:paraId="134C2451">
            <w:pPr>
              <w:jc w:val="center"/>
              <w:rPr>
                <w:color w:val="000000"/>
                <w:kern w:val="0"/>
                <w:szCs w:val="21"/>
              </w:rPr>
            </w:pPr>
            <w:r>
              <w:rPr>
                <w:color w:val="000000"/>
                <w:kern w:val="0"/>
                <w:szCs w:val="21"/>
              </w:rPr>
              <w:t>西侧场界外</w:t>
            </w:r>
          </w:p>
        </w:tc>
        <w:tc>
          <w:tcPr>
            <w:tcW w:w="384" w:type="pct"/>
            <w:shd w:val="clear" w:color="auto" w:fill="auto"/>
            <w:noWrap/>
            <w:vAlign w:val="center"/>
          </w:tcPr>
          <w:p w14:paraId="6B1A0460">
            <w:pPr>
              <w:jc w:val="center"/>
              <w:rPr>
                <w:color w:val="000000"/>
                <w:kern w:val="0"/>
                <w:szCs w:val="21"/>
              </w:rPr>
            </w:pPr>
            <w:r>
              <w:rPr>
                <w:color w:val="000000"/>
                <w:kern w:val="0"/>
                <w:szCs w:val="21"/>
              </w:rPr>
              <w:t>-87.3</w:t>
            </w:r>
          </w:p>
        </w:tc>
        <w:tc>
          <w:tcPr>
            <w:tcW w:w="384" w:type="pct"/>
            <w:shd w:val="clear" w:color="auto" w:fill="auto"/>
            <w:noWrap/>
            <w:vAlign w:val="center"/>
          </w:tcPr>
          <w:p w14:paraId="6026C59E">
            <w:pPr>
              <w:jc w:val="center"/>
              <w:rPr>
                <w:color w:val="000000"/>
                <w:kern w:val="0"/>
                <w:szCs w:val="21"/>
              </w:rPr>
            </w:pPr>
            <w:r>
              <w:rPr>
                <w:color w:val="000000"/>
                <w:kern w:val="0"/>
                <w:szCs w:val="21"/>
              </w:rPr>
              <w:t>299.68</w:t>
            </w:r>
          </w:p>
        </w:tc>
        <w:tc>
          <w:tcPr>
            <w:tcW w:w="271" w:type="pct"/>
            <w:shd w:val="clear" w:color="auto" w:fill="auto"/>
            <w:noWrap/>
            <w:vAlign w:val="center"/>
          </w:tcPr>
          <w:p w14:paraId="4A782A38">
            <w:pPr>
              <w:jc w:val="center"/>
              <w:rPr>
                <w:color w:val="000000"/>
                <w:kern w:val="0"/>
                <w:szCs w:val="21"/>
              </w:rPr>
            </w:pPr>
            <w:r>
              <w:rPr>
                <w:color w:val="000000"/>
                <w:kern w:val="0"/>
                <w:szCs w:val="21"/>
              </w:rPr>
              <w:t>1.2</w:t>
            </w:r>
          </w:p>
        </w:tc>
        <w:tc>
          <w:tcPr>
            <w:tcW w:w="497" w:type="pct"/>
            <w:shd w:val="clear" w:color="auto" w:fill="auto"/>
            <w:noWrap/>
            <w:vAlign w:val="center"/>
          </w:tcPr>
          <w:p w14:paraId="7EF88ECA">
            <w:pPr>
              <w:jc w:val="center"/>
              <w:rPr>
                <w:color w:val="000000"/>
                <w:kern w:val="0"/>
                <w:szCs w:val="21"/>
              </w:rPr>
            </w:pPr>
            <w:r>
              <w:rPr>
                <w:color w:val="000000"/>
                <w:kern w:val="0"/>
                <w:szCs w:val="21"/>
              </w:rPr>
              <w:t>7.8</w:t>
            </w:r>
          </w:p>
        </w:tc>
        <w:tc>
          <w:tcPr>
            <w:tcW w:w="497" w:type="pct"/>
            <w:shd w:val="clear" w:color="auto" w:fill="auto"/>
            <w:noWrap/>
            <w:vAlign w:val="center"/>
          </w:tcPr>
          <w:p w14:paraId="208AE388">
            <w:pPr>
              <w:jc w:val="center"/>
              <w:rPr>
                <w:color w:val="000000"/>
                <w:kern w:val="0"/>
                <w:szCs w:val="21"/>
              </w:rPr>
            </w:pPr>
            <w:r>
              <w:rPr>
                <w:color w:val="000000"/>
                <w:kern w:val="0"/>
                <w:szCs w:val="21"/>
              </w:rPr>
              <w:t>40.5</w:t>
            </w:r>
          </w:p>
        </w:tc>
        <w:tc>
          <w:tcPr>
            <w:tcW w:w="648" w:type="pct"/>
            <w:shd w:val="clear" w:color="auto" w:fill="auto"/>
            <w:noWrap/>
            <w:vAlign w:val="center"/>
          </w:tcPr>
          <w:p w14:paraId="0B478D89">
            <w:pPr>
              <w:jc w:val="center"/>
              <w:rPr>
                <w:color w:val="000000"/>
                <w:kern w:val="0"/>
                <w:szCs w:val="21"/>
              </w:rPr>
            </w:pPr>
            <w:r>
              <w:rPr>
                <w:color w:val="000000"/>
                <w:kern w:val="0"/>
                <w:szCs w:val="21"/>
              </w:rPr>
              <w:t>40.5</w:t>
            </w:r>
          </w:p>
        </w:tc>
        <w:tc>
          <w:tcPr>
            <w:tcW w:w="497" w:type="pct"/>
            <w:shd w:val="clear" w:color="auto" w:fill="auto"/>
            <w:noWrap/>
            <w:vAlign w:val="center"/>
          </w:tcPr>
          <w:p w14:paraId="530D6BED">
            <w:pPr>
              <w:jc w:val="center"/>
              <w:rPr>
                <w:color w:val="000000"/>
                <w:kern w:val="0"/>
                <w:szCs w:val="21"/>
              </w:rPr>
            </w:pPr>
            <w:r>
              <w:rPr>
                <w:color w:val="000000"/>
                <w:kern w:val="0"/>
                <w:szCs w:val="21"/>
              </w:rPr>
              <w:t>2类</w:t>
            </w:r>
          </w:p>
        </w:tc>
        <w:tc>
          <w:tcPr>
            <w:tcW w:w="347" w:type="pct"/>
            <w:shd w:val="clear" w:color="auto" w:fill="auto"/>
            <w:noWrap/>
            <w:vAlign w:val="center"/>
          </w:tcPr>
          <w:p w14:paraId="44F254EA">
            <w:pPr>
              <w:jc w:val="center"/>
              <w:rPr>
                <w:color w:val="000000"/>
                <w:kern w:val="0"/>
                <w:szCs w:val="21"/>
              </w:rPr>
            </w:pPr>
            <w:r>
              <w:rPr>
                <w:color w:val="000000"/>
                <w:kern w:val="0"/>
                <w:szCs w:val="21"/>
              </w:rPr>
              <w:t>50</w:t>
            </w:r>
          </w:p>
        </w:tc>
        <w:tc>
          <w:tcPr>
            <w:tcW w:w="422" w:type="pct"/>
            <w:shd w:val="clear" w:color="auto" w:fill="auto"/>
            <w:noWrap/>
            <w:vAlign w:val="center"/>
          </w:tcPr>
          <w:p w14:paraId="1FB06B7A">
            <w:pPr>
              <w:jc w:val="center"/>
              <w:rPr>
                <w:color w:val="000000"/>
                <w:kern w:val="0"/>
                <w:szCs w:val="21"/>
              </w:rPr>
            </w:pPr>
            <w:r>
              <w:rPr>
                <w:color w:val="000000"/>
                <w:kern w:val="0"/>
                <w:szCs w:val="21"/>
              </w:rPr>
              <w:t>是</w:t>
            </w:r>
          </w:p>
        </w:tc>
      </w:tr>
      <w:tr w14:paraId="3DD78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11"/>
            <w:shd w:val="clear" w:color="auto" w:fill="auto"/>
            <w:noWrap/>
            <w:vAlign w:val="center"/>
          </w:tcPr>
          <w:p w14:paraId="2FB6CD5B">
            <w:pPr>
              <w:jc w:val="center"/>
              <w:rPr>
                <w:kern w:val="0"/>
                <w:szCs w:val="21"/>
              </w:rPr>
            </w:pPr>
            <w:r>
              <w:rPr>
                <w:color w:val="000000"/>
                <w:kern w:val="0"/>
                <w:szCs w:val="21"/>
              </w:rPr>
              <w:t>塘坝养殖场区</w:t>
            </w:r>
          </w:p>
        </w:tc>
      </w:tr>
      <w:tr w14:paraId="064D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4E2977D5">
            <w:pPr>
              <w:jc w:val="center"/>
              <w:rPr>
                <w:color w:val="000000"/>
                <w:kern w:val="0"/>
                <w:szCs w:val="21"/>
              </w:rPr>
            </w:pPr>
            <w:r>
              <w:rPr>
                <w:color w:val="000000"/>
                <w:kern w:val="0"/>
                <w:szCs w:val="21"/>
              </w:rPr>
              <w:t>1</w:t>
            </w:r>
          </w:p>
        </w:tc>
        <w:tc>
          <w:tcPr>
            <w:tcW w:w="781" w:type="pct"/>
            <w:shd w:val="clear" w:color="auto" w:fill="auto"/>
            <w:noWrap/>
            <w:vAlign w:val="center"/>
          </w:tcPr>
          <w:p w14:paraId="27E6FAFA">
            <w:pPr>
              <w:jc w:val="center"/>
              <w:rPr>
                <w:color w:val="000000"/>
                <w:kern w:val="0"/>
                <w:szCs w:val="21"/>
              </w:rPr>
            </w:pPr>
            <w:r>
              <w:rPr>
                <w:color w:val="000000"/>
                <w:kern w:val="0"/>
                <w:szCs w:val="21"/>
              </w:rPr>
              <w:t>北侧场界外</w:t>
            </w:r>
          </w:p>
        </w:tc>
        <w:tc>
          <w:tcPr>
            <w:tcW w:w="384" w:type="pct"/>
            <w:shd w:val="clear" w:color="auto" w:fill="auto"/>
            <w:noWrap/>
            <w:vAlign w:val="center"/>
          </w:tcPr>
          <w:p w14:paraId="6336FF11">
            <w:pPr>
              <w:jc w:val="center"/>
              <w:rPr>
                <w:color w:val="000000"/>
                <w:kern w:val="0"/>
                <w:szCs w:val="21"/>
              </w:rPr>
            </w:pPr>
            <w:r>
              <w:rPr>
                <w:color w:val="000000"/>
                <w:kern w:val="0"/>
                <w:szCs w:val="21"/>
              </w:rPr>
              <w:t>219.47</w:t>
            </w:r>
          </w:p>
        </w:tc>
        <w:tc>
          <w:tcPr>
            <w:tcW w:w="384" w:type="pct"/>
            <w:shd w:val="clear" w:color="auto" w:fill="auto"/>
            <w:noWrap/>
            <w:vAlign w:val="center"/>
          </w:tcPr>
          <w:p w14:paraId="4FE41C7F">
            <w:pPr>
              <w:jc w:val="center"/>
              <w:rPr>
                <w:color w:val="000000"/>
                <w:kern w:val="0"/>
                <w:szCs w:val="21"/>
              </w:rPr>
            </w:pPr>
            <w:r>
              <w:rPr>
                <w:color w:val="000000"/>
                <w:kern w:val="0"/>
                <w:szCs w:val="21"/>
              </w:rPr>
              <w:t>223.48</w:t>
            </w:r>
          </w:p>
        </w:tc>
        <w:tc>
          <w:tcPr>
            <w:tcW w:w="271" w:type="pct"/>
            <w:shd w:val="clear" w:color="auto" w:fill="auto"/>
            <w:noWrap/>
            <w:vAlign w:val="center"/>
          </w:tcPr>
          <w:p w14:paraId="7D260E7F">
            <w:pPr>
              <w:jc w:val="center"/>
              <w:rPr>
                <w:color w:val="000000"/>
                <w:kern w:val="0"/>
                <w:szCs w:val="21"/>
              </w:rPr>
            </w:pPr>
            <w:r>
              <w:rPr>
                <w:color w:val="000000"/>
                <w:kern w:val="0"/>
                <w:szCs w:val="21"/>
              </w:rPr>
              <w:t>1.2</w:t>
            </w:r>
          </w:p>
        </w:tc>
        <w:tc>
          <w:tcPr>
            <w:tcW w:w="497" w:type="pct"/>
            <w:shd w:val="clear" w:color="auto" w:fill="auto"/>
            <w:noWrap/>
            <w:vAlign w:val="center"/>
          </w:tcPr>
          <w:p w14:paraId="38072096">
            <w:pPr>
              <w:jc w:val="center"/>
              <w:rPr>
                <w:color w:val="000000"/>
                <w:kern w:val="0"/>
                <w:szCs w:val="21"/>
              </w:rPr>
            </w:pPr>
            <w:r>
              <w:rPr>
                <w:color w:val="000000"/>
                <w:kern w:val="0"/>
                <w:szCs w:val="21"/>
              </w:rPr>
              <w:t>23.7</w:t>
            </w:r>
          </w:p>
        </w:tc>
        <w:tc>
          <w:tcPr>
            <w:tcW w:w="497" w:type="pct"/>
            <w:shd w:val="clear" w:color="auto" w:fill="auto"/>
            <w:noWrap/>
            <w:vAlign w:val="center"/>
          </w:tcPr>
          <w:p w14:paraId="0479FD7A">
            <w:pPr>
              <w:jc w:val="center"/>
              <w:rPr>
                <w:color w:val="000000"/>
                <w:kern w:val="0"/>
                <w:szCs w:val="21"/>
              </w:rPr>
            </w:pPr>
            <w:r>
              <w:rPr>
                <w:color w:val="000000"/>
                <w:kern w:val="0"/>
                <w:szCs w:val="21"/>
              </w:rPr>
              <w:t>38.5</w:t>
            </w:r>
          </w:p>
        </w:tc>
        <w:tc>
          <w:tcPr>
            <w:tcW w:w="648" w:type="pct"/>
            <w:shd w:val="clear" w:color="auto" w:fill="auto"/>
            <w:noWrap/>
            <w:vAlign w:val="center"/>
          </w:tcPr>
          <w:p w14:paraId="56FDE2C6">
            <w:pPr>
              <w:jc w:val="center"/>
              <w:rPr>
                <w:color w:val="000000"/>
                <w:kern w:val="0"/>
                <w:szCs w:val="21"/>
              </w:rPr>
            </w:pPr>
            <w:r>
              <w:rPr>
                <w:color w:val="000000"/>
                <w:kern w:val="0"/>
                <w:szCs w:val="21"/>
              </w:rPr>
              <w:t>38.64</w:t>
            </w:r>
          </w:p>
        </w:tc>
        <w:tc>
          <w:tcPr>
            <w:tcW w:w="497" w:type="pct"/>
            <w:shd w:val="clear" w:color="auto" w:fill="auto"/>
            <w:noWrap/>
            <w:vAlign w:val="center"/>
          </w:tcPr>
          <w:p w14:paraId="64F19B45">
            <w:pPr>
              <w:jc w:val="center"/>
              <w:rPr>
                <w:color w:val="000000"/>
                <w:kern w:val="0"/>
                <w:szCs w:val="21"/>
              </w:rPr>
            </w:pPr>
            <w:r>
              <w:rPr>
                <w:color w:val="000000"/>
                <w:kern w:val="0"/>
                <w:szCs w:val="21"/>
              </w:rPr>
              <w:t>2类</w:t>
            </w:r>
          </w:p>
        </w:tc>
        <w:tc>
          <w:tcPr>
            <w:tcW w:w="347" w:type="pct"/>
            <w:shd w:val="clear" w:color="auto" w:fill="auto"/>
            <w:noWrap/>
            <w:vAlign w:val="center"/>
          </w:tcPr>
          <w:p w14:paraId="23DEA200">
            <w:pPr>
              <w:jc w:val="center"/>
              <w:rPr>
                <w:color w:val="000000"/>
                <w:kern w:val="0"/>
                <w:szCs w:val="21"/>
              </w:rPr>
            </w:pPr>
            <w:r>
              <w:rPr>
                <w:color w:val="000000"/>
                <w:kern w:val="0"/>
                <w:szCs w:val="21"/>
              </w:rPr>
              <w:t>50</w:t>
            </w:r>
          </w:p>
        </w:tc>
        <w:tc>
          <w:tcPr>
            <w:tcW w:w="422" w:type="pct"/>
            <w:shd w:val="clear" w:color="auto" w:fill="auto"/>
            <w:noWrap/>
            <w:vAlign w:val="center"/>
          </w:tcPr>
          <w:p w14:paraId="2EF99E1C">
            <w:pPr>
              <w:jc w:val="center"/>
              <w:rPr>
                <w:color w:val="000000"/>
                <w:kern w:val="0"/>
                <w:szCs w:val="21"/>
              </w:rPr>
            </w:pPr>
            <w:r>
              <w:rPr>
                <w:color w:val="000000"/>
                <w:kern w:val="0"/>
                <w:szCs w:val="21"/>
              </w:rPr>
              <w:t>是</w:t>
            </w:r>
          </w:p>
        </w:tc>
      </w:tr>
      <w:tr w14:paraId="0F5A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674FDBFF">
            <w:pPr>
              <w:jc w:val="center"/>
              <w:rPr>
                <w:color w:val="000000"/>
                <w:kern w:val="0"/>
                <w:szCs w:val="21"/>
              </w:rPr>
            </w:pPr>
            <w:r>
              <w:rPr>
                <w:color w:val="000000"/>
                <w:kern w:val="0"/>
                <w:szCs w:val="21"/>
              </w:rPr>
              <w:t>2</w:t>
            </w:r>
          </w:p>
        </w:tc>
        <w:tc>
          <w:tcPr>
            <w:tcW w:w="781" w:type="pct"/>
            <w:shd w:val="clear" w:color="auto" w:fill="auto"/>
            <w:noWrap/>
            <w:vAlign w:val="center"/>
          </w:tcPr>
          <w:p w14:paraId="7DB7A937">
            <w:pPr>
              <w:jc w:val="center"/>
              <w:rPr>
                <w:color w:val="000000"/>
                <w:kern w:val="0"/>
                <w:szCs w:val="21"/>
              </w:rPr>
            </w:pPr>
            <w:r>
              <w:rPr>
                <w:color w:val="000000"/>
                <w:kern w:val="0"/>
                <w:szCs w:val="21"/>
              </w:rPr>
              <w:t>东侧场界外</w:t>
            </w:r>
          </w:p>
        </w:tc>
        <w:tc>
          <w:tcPr>
            <w:tcW w:w="384" w:type="pct"/>
            <w:shd w:val="clear" w:color="auto" w:fill="auto"/>
            <w:noWrap/>
            <w:vAlign w:val="center"/>
          </w:tcPr>
          <w:p w14:paraId="09E38C2F">
            <w:pPr>
              <w:jc w:val="center"/>
              <w:rPr>
                <w:color w:val="000000"/>
                <w:kern w:val="0"/>
                <w:szCs w:val="21"/>
              </w:rPr>
            </w:pPr>
            <w:r>
              <w:rPr>
                <w:color w:val="000000"/>
                <w:kern w:val="0"/>
                <w:szCs w:val="21"/>
              </w:rPr>
              <w:t>440.11</w:t>
            </w:r>
          </w:p>
        </w:tc>
        <w:tc>
          <w:tcPr>
            <w:tcW w:w="384" w:type="pct"/>
            <w:shd w:val="clear" w:color="auto" w:fill="auto"/>
            <w:noWrap/>
            <w:vAlign w:val="center"/>
          </w:tcPr>
          <w:p w14:paraId="79859B72">
            <w:pPr>
              <w:jc w:val="center"/>
              <w:rPr>
                <w:color w:val="000000"/>
                <w:kern w:val="0"/>
                <w:szCs w:val="21"/>
              </w:rPr>
            </w:pPr>
            <w:r>
              <w:rPr>
                <w:color w:val="000000"/>
                <w:kern w:val="0"/>
                <w:szCs w:val="21"/>
              </w:rPr>
              <w:t>89.71</w:t>
            </w:r>
          </w:p>
        </w:tc>
        <w:tc>
          <w:tcPr>
            <w:tcW w:w="271" w:type="pct"/>
            <w:shd w:val="clear" w:color="auto" w:fill="auto"/>
            <w:noWrap/>
            <w:vAlign w:val="center"/>
          </w:tcPr>
          <w:p w14:paraId="15A96358">
            <w:pPr>
              <w:jc w:val="center"/>
              <w:rPr>
                <w:color w:val="000000"/>
                <w:kern w:val="0"/>
                <w:szCs w:val="21"/>
              </w:rPr>
            </w:pPr>
            <w:r>
              <w:rPr>
                <w:color w:val="000000"/>
                <w:kern w:val="0"/>
                <w:szCs w:val="21"/>
              </w:rPr>
              <w:t>1.2</w:t>
            </w:r>
          </w:p>
        </w:tc>
        <w:tc>
          <w:tcPr>
            <w:tcW w:w="497" w:type="pct"/>
            <w:shd w:val="clear" w:color="auto" w:fill="auto"/>
            <w:noWrap/>
            <w:vAlign w:val="center"/>
          </w:tcPr>
          <w:p w14:paraId="1E54F56C">
            <w:pPr>
              <w:jc w:val="center"/>
              <w:rPr>
                <w:color w:val="000000"/>
                <w:kern w:val="0"/>
                <w:szCs w:val="21"/>
              </w:rPr>
            </w:pPr>
            <w:r>
              <w:rPr>
                <w:color w:val="000000"/>
                <w:kern w:val="0"/>
                <w:szCs w:val="21"/>
              </w:rPr>
              <w:t>23.23</w:t>
            </w:r>
          </w:p>
        </w:tc>
        <w:tc>
          <w:tcPr>
            <w:tcW w:w="497" w:type="pct"/>
            <w:shd w:val="clear" w:color="auto" w:fill="auto"/>
            <w:noWrap/>
            <w:vAlign w:val="center"/>
          </w:tcPr>
          <w:p w14:paraId="3C57EA87">
            <w:pPr>
              <w:jc w:val="center"/>
              <w:rPr>
                <w:color w:val="000000"/>
                <w:kern w:val="0"/>
                <w:szCs w:val="21"/>
              </w:rPr>
            </w:pPr>
            <w:r>
              <w:rPr>
                <w:color w:val="000000"/>
                <w:kern w:val="0"/>
                <w:szCs w:val="21"/>
              </w:rPr>
              <w:t>39.5</w:t>
            </w:r>
          </w:p>
        </w:tc>
        <w:tc>
          <w:tcPr>
            <w:tcW w:w="648" w:type="pct"/>
            <w:shd w:val="clear" w:color="auto" w:fill="auto"/>
            <w:noWrap/>
            <w:vAlign w:val="center"/>
          </w:tcPr>
          <w:p w14:paraId="13CD2306">
            <w:pPr>
              <w:jc w:val="center"/>
              <w:rPr>
                <w:color w:val="000000"/>
                <w:kern w:val="0"/>
                <w:szCs w:val="21"/>
              </w:rPr>
            </w:pPr>
            <w:r>
              <w:rPr>
                <w:color w:val="000000"/>
                <w:kern w:val="0"/>
                <w:szCs w:val="21"/>
              </w:rPr>
              <w:t>39.6</w:t>
            </w:r>
          </w:p>
        </w:tc>
        <w:tc>
          <w:tcPr>
            <w:tcW w:w="497" w:type="pct"/>
            <w:shd w:val="clear" w:color="auto" w:fill="auto"/>
            <w:noWrap/>
            <w:vAlign w:val="center"/>
          </w:tcPr>
          <w:p w14:paraId="3FC558D3">
            <w:pPr>
              <w:jc w:val="center"/>
              <w:rPr>
                <w:color w:val="000000"/>
                <w:kern w:val="0"/>
                <w:szCs w:val="21"/>
              </w:rPr>
            </w:pPr>
            <w:r>
              <w:rPr>
                <w:color w:val="000000"/>
                <w:kern w:val="0"/>
                <w:szCs w:val="21"/>
              </w:rPr>
              <w:t>2类</w:t>
            </w:r>
          </w:p>
        </w:tc>
        <w:tc>
          <w:tcPr>
            <w:tcW w:w="347" w:type="pct"/>
            <w:shd w:val="clear" w:color="auto" w:fill="auto"/>
            <w:noWrap/>
            <w:vAlign w:val="center"/>
          </w:tcPr>
          <w:p w14:paraId="10ED609C">
            <w:pPr>
              <w:jc w:val="center"/>
              <w:rPr>
                <w:color w:val="000000"/>
                <w:kern w:val="0"/>
                <w:szCs w:val="21"/>
              </w:rPr>
            </w:pPr>
            <w:r>
              <w:rPr>
                <w:color w:val="000000"/>
                <w:kern w:val="0"/>
                <w:szCs w:val="21"/>
              </w:rPr>
              <w:t>50</w:t>
            </w:r>
          </w:p>
        </w:tc>
        <w:tc>
          <w:tcPr>
            <w:tcW w:w="422" w:type="pct"/>
            <w:shd w:val="clear" w:color="auto" w:fill="auto"/>
            <w:noWrap/>
            <w:vAlign w:val="center"/>
          </w:tcPr>
          <w:p w14:paraId="7D9FFEDC">
            <w:pPr>
              <w:jc w:val="center"/>
              <w:rPr>
                <w:color w:val="000000"/>
                <w:kern w:val="0"/>
                <w:szCs w:val="21"/>
              </w:rPr>
            </w:pPr>
            <w:r>
              <w:rPr>
                <w:color w:val="000000"/>
                <w:kern w:val="0"/>
                <w:szCs w:val="21"/>
              </w:rPr>
              <w:t>是</w:t>
            </w:r>
          </w:p>
        </w:tc>
      </w:tr>
      <w:tr w14:paraId="0030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1C005D49">
            <w:pPr>
              <w:jc w:val="center"/>
              <w:rPr>
                <w:color w:val="000000"/>
                <w:kern w:val="0"/>
                <w:szCs w:val="21"/>
              </w:rPr>
            </w:pPr>
            <w:r>
              <w:rPr>
                <w:color w:val="000000"/>
                <w:kern w:val="0"/>
                <w:szCs w:val="21"/>
              </w:rPr>
              <w:t>3</w:t>
            </w:r>
          </w:p>
        </w:tc>
        <w:tc>
          <w:tcPr>
            <w:tcW w:w="781" w:type="pct"/>
            <w:shd w:val="clear" w:color="auto" w:fill="auto"/>
            <w:noWrap/>
            <w:vAlign w:val="center"/>
          </w:tcPr>
          <w:p w14:paraId="5507833F">
            <w:pPr>
              <w:jc w:val="center"/>
              <w:rPr>
                <w:color w:val="000000"/>
                <w:kern w:val="0"/>
                <w:szCs w:val="21"/>
              </w:rPr>
            </w:pPr>
            <w:r>
              <w:rPr>
                <w:color w:val="000000"/>
                <w:kern w:val="0"/>
                <w:szCs w:val="21"/>
              </w:rPr>
              <w:t>南侧场界外</w:t>
            </w:r>
          </w:p>
        </w:tc>
        <w:tc>
          <w:tcPr>
            <w:tcW w:w="384" w:type="pct"/>
            <w:shd w:val="clear" w:color="auto" w:fill="auto"/>
            <w:noWrap/>
            <w:vAlign w:val="center"/>
          </w:tcPr>
          <w:p w14:paraId="1C42FDE7">
            <w:pPr>
              <w:jc w:val="center"/>
              <w:rPr>
                <w:color w:val="000000"/>
                <w:kern w:val="0"/>
                <w:szCs w:val="21"/>
              </w:rPr>
            </w:pPr>
            <w:r>
              <w:rPr>
                <w:color w:val="000000"/>
                <w:kern w:val="0"/>
                <w:szCs w:val="21"/>
              </w:rPr>
              <w:t>204.3</w:t>
            </w:r>
          </w:p>
        </w:tc>
        <w:tc>
          <w:tcPr>
            <w:tcW w:w="384" w:type="pct"/>
            <w:shd w:val="clear" w:color="auto" w:fill="auto"/>
            <w:noWrap/>
            <w:vAlign w:val="center"/>
          </w:tcPr>
          <w:p w14:paraId="51133D9D">
            <w:pPr>
              <w:jc w:val="center"/>
              <w:rPr>
                <w:color w:val="000000"/>
                <w:kern w:val="0"/>
                <w:szCs w:val="21"/>
              </w:rPr>
            </w:pPr>
            <w:r>
              <w:rPr>
                <w:color w:val="000000"/>
                <w:kern w:val="0"/>
                <w:szCs w:val="21"/>
              </w:rPr>
              <w:t>-8.2</w:t>
            </w:r>
          </w:p>
        </w:tc>
        <w:tc>
          <w:tcPr>
            <w:tcW w:w="271" w:type="pct"/>
            <w:shd w:val="clear" w:color="auto" w:fill="auto"/>
            <w:noWrap/>
            <w:vAlign w:val="center"/>
          </w:tcPr>
          <w:p w14:paraId="6A2FA0CD">
            <w:pPr>
              <w:jc w:val="center"/>
              <w:rPr>
                <w:color w:val="000000"/>
                <w:kern w:val="0"/>
                <w:szCs w:val="21"/>
              </w:rPr>
            </w:pPr>
            <w:r>
              <w:rPr>
                <w:color w:val="000000"/>
                <w:kern w:val="0"/>
                <w:szCs w:val="21"/>
              </w:rPr>
              <w:t>1.2</w:t>
            </w:r>
          </w:p>
        </w:tc>
        <w:tc>
          <w:tcPr>
            <w:tcW w:w="497" w:type="pct"/>
            <w:shd w:val="clear" w:color="auto" w:fill="auto"/>
            <w:noWrap/>
            <w:vAlign w:val="center"/>
          </w:tcPr>
          <w:p w14:paraId="4038C079">
            <w:pPr>
              <w:jc w:val="center"/>
              <w:rPr>
                <w:color w:val="000000"/>
                <w:kern w:val="0"/>
                <w:szCs w:val="21"/>
              </w:rPr>
            </w:pPr>
            <w:r>
              <w:rPr>
                <w:color w:val="000000"/>
                <w:kern w:val="0"/>
                <w:szCs w:val="21"/>
              </w:rPr>
              <w:t>26.25</w:t>
            </w:r>
          </w:p>
        </w:tc>
        <w:tc>
          <w:tcPr>
            <w:tcW w:w="497" w:type="pct"/>
            <w:shd w:val="clear" w:color="auto" w:fill="auto"/>
            <w:noWrap/>
            <w:vAlign w:val="center"/>
          </w:tcPr>
          <w:p w14:paraId="5C3CC04A">
            <w:pPr>
              <w:jc w:val="center"/>
              <w:rPr>
                <w:color w:val="000000"/>
                <w:kern w:val="0"/>
                <w:szCs w:val="21"/>
              </w:rPr>
            </w:pPr>
            <w:r>
              <w:rPr>
                <w:color w:val="000000"/>
                <w:kern w:val="0"/>
                <w:szCs w:val="21"/>
              </w:rPr>
              <w:t>39.5</w:t>
            </w:r>
          </w:p>
        </w:tc>
        <w:tc>
          <w:tcPr>
            <w:tcW w:w="648" w:type="pct"/>
            <w:shd w:val="clear" w:color="auto" w:fill="auto"/>
            <w:noWrap/>
            <w:vAlign w:val="center"/>
          </w:tcPr>
          <w:p w14:paraId="21A9CB06">
            <w:pPr>
              <w:jc w:val="center"/>
              <w:rPr>
                <w:color w:val="000000"/>
                <w:kern w:val="0"/>
                <w:szCs w:val="21"/>
              </w:rPr>
            </w:pPr>
            <w:r>
              <w:rPr>
                <w:color w:val="000000"/>
                <w:kern w:val="0"/>
                <w:szCs w:val="21"/>
              </w:rPr>
              <w:t>39.7</w:t>
            </w:r>
          </w:p>
        </w:tc>
        <w:tc>
          <w:tcPr>
            <w:tcW w:w="497" w:type="pct"/>
            <w:shd w:val="clear" w:color="auto" w:fill="auto"/>
            <w:noWrap/>
            <w:vAlign w:val="center"/>
          </w:tcPr>
          <w:p w14:paraId="09DE6D7D">
            <w:pPr>
              <w:jc w:val="center"/>
              <w:rPr>
                <w:color w:val="000000"/>
                <w:kern w:val="0"/>
                <w:szCs w:val="21"/>
              </w:rPr>
            </w:pPr>
            <w:r>
              <w:rPr>
                <w:color w:val="000000"/>
                <w:kern w:val="0"/>
                <w:szCs w:val="21"/>
              </w:rPr>
              <w:t>2类</w:t>
            </w:r>
          </w:p>
        </w:tc>
        <w:tc>
          <w:tcPr>
            <w:tcW w:w="347" w:type="pct"/>
            <w:shd w:val="clear" w:color="auto" w:fill="auto"/>
            <w:noWrap/>
            <w:vAlign w:val="center"/>
          </w:tcPr>
          <w:p w14:paraId="351B12C0">
            <w:pPr>
              <w:jc w:val="center"/>
              <w:rPr>
                <w:color w:val="000000"/>
                <w:kern w:val="0"/>
                <w:szCs w:val="21"/>
              </w:rPr>
            </w:pPr>
            <w:r>
              <w:rPr>
                <w:color w:val="000000"/>
                <w:kern w:val="0"/>
                <w:szCs w:val="21"/>
              </w:rPr>
              <w:t>50</w:t>
            </w:r>
          </w:p>
        </w:tc>
        <w:tc>
          <w:tcPr>
            <w:tcW w:w="422" w:type="pct"/>
            <w:shd w:val="clear" w:color="auto" w:fill="auto"/>
            <w:noWrap/>
            <w:vAlign w:val="center"/>
          </w:tcPr>
          <w:p w14:paraId="6AAB2E62">
            <w:pPr>
              <w:jc w:val="center"/>
              <w:rPr>
                <w:color w:val="000000"/>
                <w:kern w:val="0"/>
                <w:szCs w:val="21"/>
              </w:rPr>
            </w:pPr>
            <w:r>
              <w:rPr>
                <w:color w:val="000000"/>
                <w:kern w:val="0"/>
                <w:szCs w:val="21"/>
              </w:rPr>
              <w:t>是</w:t>
            </w:r>
          </w:p>
        </w:tc>
      </w:tr>
      <w:tr w14:paraId="0369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528C1087">
            <w:pPr>
              <w:jc w:val="center"/>
              <w:rPr>
                <w:color w:val="000000"/>
                <w:kern w:val="0"/>
                <w:szCs w:val="21"/>
              </w:rPr>
            </w:pPr>
            <w:r>
              <w:rPr>
                <w:color w:val="000000"/>
                <w:kern w:val="0"/>
                <w:szCs w:val="21"/>
              </w:rPr>
              <w:t>4</w:t>
            </w:r>
          </w:p>
        </w:tc>
        <w:tc>
          <w:tcPr>
            <w:tcW w:w="781" w:type="pct"/>
            <w:shd w:val="clear" w:color="auto" w:fill="auto"/>
            <w:noWrap/>
            <w:vAlign w:val="center"/>
          </w:tcPr>
          <w:p w14:paraId="6262DB97">
            <w:pPr>
              <w:jc w:val="center"/>
              <w:rPr>
                <w:color w:val="000000"/>
                <w:kern w:val="0"/>
                <w:szCs w:val="21"/>
              </w:rPr>
            </w:pPr>
            <w:r>
              <w:rPr>
                <w:color w:val="000000"/>
                <w:kern w:val="0"/>
                <w:szCs w:val="21"/>
              </w:rPr>
              <w:t>西侧场界外</w:t>
            </w:r>
          </w:p>
        </w:tc>
        <w:tc>
          <w:tcPr>
            <w:tcW w:w="384" w:type="pct"/>
            <w:shd w:val="clear" w:color="auto" w:fill="auto"/>
            <w:noWrap/>
            <w:vAlign w:val="center"/>
          </w:tcPr>
          <w:p w14:paraId="058F2233">
            <w:pPr>
              <w:jc w:val="center"/>
              <w:rPr>
                <w:color w:val="000000"/>
                <w:kern w:val="0"/>
                <w:szCs w:val="21"/>
              </w:rPr>
            </w:pPr>
            <w:r>
              <w:rPr>
                <w:color w:val="000000"/>
                <w:kern w:val="0"/>
                <w:szCs w:val="21"/>
              </w:rPr>
              <w:t>-59.09</w:t>
            </w:r>
          </w:p>
        </w:tc>
        <w:tc>
          <w:tcPr>
            <w:tcW w:w="384" w:type="pct"/>
            <w:shd w:val="clear" w:color="auto" w:fill="auto"/>
            <w:noWrap/>
            <w:vAlign w:val="center"/>
          </w:tcPr>
          <w:p w14:paraId="5F1FB90B">
            <w:pPr>
              <w:jc w:val="center"/>
              <w:rPr>
                <w:color w:val="000000"/>
                <w:kern w:val="0"/>
                <w:szCs w:val="21"/>
              </w:rPr>
            </w:pPr>
            <w:r>
              <w:rPr>
                <w:color w:val="000000"/>
                <w:kern w:val="0"/>
                <w:szCs w:val="21"/>
              </w:rPr>
              <w:t>195.9</w:t>
            </w:r>
          </w:p>
        </w:tc>
        <w:tc>
          <w:tcPr>
            <w:tcW w:w="271" w:type="pct"/>
            <w:shd w:val="clear" w:color="auto" w:fill="auto"/>
            <w:noWrap/>
            <w:vAlign w:val="center"/>
          </w:tcPr>
          <w:p w14:paraId="5F0AD5E0">
            <w:pPr>
              <w:jc w:val="center"/>
              <w:rPr>
                <w:color w:val="000000"/>
                <w:kern w:val="0"/>
                <w:szCs w:val="21"/>
              </w:rPr>
            </w:pPr>
            <w:r>
              <w:rPr>
                <w:color w:val="000000"/>
                <w:kern w:val="0"/>
                <w:szCs w:val="21"/>
              </w:rPr>
              <w:t>1.2</w:t>
            </w:r>
          </w:p>
        </w:tc>
        <w:tc>
          <w:tcPr>
            <w:tcW w:w="497" w:type="pct"/>
            <w:shd w:val="clear" w:color="auto" w:fill="auto"/>
            <w:noWrap/>
            <w:vAlign w:val="center"/>
          </w:tcPr>
          <w:p w14:paraId="3DBBEE62">
            <w:pPr>
              <w:jc w:val="center"/>
              <w:rPr>
                <w:color w:val="000000"/>
                <w:kern w:val="0"/>
                <w:szCs w:val="21"/>
              </w:rPr>
            </w:pPr>
            <w:r>
              <w:rPr>
                <w:color w:val="000000"/>
                <w:kern w:val="0"/>
                <w:szCs w:val="21"/>
              </w:rPr>
              <w:t>15.69</w:t>
            </w:r>
          </w:p>
        </w:tc>
        <w:tc>
          <w:tcPr>
            <w:tcW w:w="497" w:type="pct"/>
            <w:shd w:val="clear" w:color="auto" w:fill="auto"/>
            <w:noWrap/>
            <w:vAlign w:val="center"/>
          </w:tcPr>
          <w:p w14:paraId="6DB4F0AD">
            <w:pPr>
              <w:jc w:val="center"/>
              <w:rPr>
                <w:color w:val="000000"/>
                <w:kern w:val="0"/>
                <w:szCs w:val="21"/>
              </w:rPr>
            </w:pPr>
            <w:r>
              <w:rPr>
                <w:color w:val="000000"/>
                <w:kern w:val="0"/>
                <w:szCs w:val="21"/>
              </w:rPr>
              <w:t>40</w:t>
            </w:r>
          </w:p>
        </w:tc>
        <w:tc>
          <w:tcPr>
            <w:tcW w:w="648" w:type="pct"/>
            <w:shd w:val="clear" w:color="auto" w:fill="auto"/>
            <w:noWrap/>
            <w:vAlign w:val="center"/>
          </w:tcPr>
          <w:p w14:paraId="51821D33">
            <w:pPr>
              <w:jc w:val="center"/>
              <w:rPr>
                <w:color w:val="000000"/>
                <w:kern w:val="0"/>
                <w:szCs w:val="21"/>
              </w:rPr>
            </w:pPr>
            <w:r>
              <w:rPr>
                <w:color w:val="000000"/>
                <w:kern w:val="0"/>
                <w:szCs w:val="21"/>
              </w:rPr>
              <w:t>40.02</w:t>
            </w:r>
          </w:p>
        </w:tc>
        <w:tc>
          <w:tcPr>
            <w:tcW w:w="497" w:type="pct"/>
            <w:shd w:val="clear" w:color="auto" w:fill="auto"/>
            <w:noWrap/>
            <w:vAlign w:val="center"/>
          </w:tcPr>
          <w:p w14:paraId="07A70D37">
            <w:pPr>
              <w:jc w:val="center"/>
              <w:rPr>
                <w:color w:val="000000"/>
                <w:kern w:val="0"/>
                <w:szCs w:val="21"/>
              </w:rPr>
            </w:pPr>
            <w:r>
              <w:rPr>
                <w:color w:val="000000"/>
                <w:kern w:val="0"/>
                <w:szCs w:val="21"/>
              </w:rPr>
              <w:t>2类</w:t>
            </w:r>
          </w:p>
        </w:tc>
        <w:tc>
          <w:tcPr>
            <w:tcW w:w="347" w:type="pct"/>
            <w:shd w:val="clear" w:color="auto" w:fill="auto"/>
            <w:noWrap/>
            <w:vAlign w:val="center"/>
          </w:tcPr>
          <w:p w14:paraId="2EB2A8BC">
            <w:pPr>
              <w:jc w:val="center"/>
              <w:rPr>
                <w:color w:val="000000"/>
                <w:kern w:val="0"/>
                <w:szCs w:val="21"/>
              </w:rPr>
            </w:pPr>
            <w:r>
              <w:rPr>
                <w:color w:val="000000"/>
                <w:kern w:val="0"/>
                <w:szCs w:val="21"/>
              </w:rPr>
              <w:t>50</w:t>
            </w:r>
          </w:p>
        </w:tc>
        <w:tc>
          <w:tcPr>
            <w:tcW w:w="422" w:type="pct"/>
            <w:shd w:val="clear" w:color="auto" w:fill="auto"/>
            <w:noWrap/>
            <w:vAlign w:val="center"/>
          </w:tcPr>
          <w:p w14:paraId="16FFFF27">
            <w:pPr>
              <w:jc w:val="center"/>
              <w:rPr>
                <w:color w:val="000000"/>
                <w:kern w:val="0"/>
                <w:szCs w:val="21"/>
              </w:rPr>
            </w:pPr>
            <w:r>
              <w:rPr>
                <w:color w:val="000000"/>
                <w:kern w:val="0"/>
                <w:szCs w:val="21"/>
              </w:rPr>
              <w:t>是</w:t>
            </w:r>
          </w:p>
        </w:tc>
      </w:tr>
      <w:tr w14:paraId="076F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0B7331CF">
            <w:pPr>
              <w:jc w:val="center"/>
              <w:rPr>
                <w:color w:val="000000"/>
                <w:kern w:val="0"/>
                <w:szCs w:val="21"/>
              </w:rPr>
            </w:pPr>
            <w:r>
              <w:rPr>
                <w:color w:val="000000"/>
                <w:kern w:val="0"/>
                <w:szCs w:val="21"/>
              </w:rPr>
              <w:t>5</w:t>
            </w:r>
          </w:p>
        </w:tc>
        <w:tc>
          <w:tcPr>
            <w:tcW w:w="781" w:type="pct"/>
            <w:shd w:val="clear" w:color="auto" w:fill="auto"/>
            <w:noWrap/>
            <w:vAlign w:val="center"/>
          </w:tcPr>
          <w:p w14:paraId="5D4A8C58">
            <w:pPr>
              <w:jc w:val="center"/>
              <w:rPr>
                <w:color w:val="000000"/>
                <w:kern w:val="0"/>
                <w:szCs w:val="21"/>
              </w:rPr>
            </w:pPr>
            <w:r>
              <w:rPr>
                <w:color w:val="000000"/>
                <w:kern w:val="0"/>
                <w:szCs w:val="21"/>
              </w:rPr>
              <w:t>场界东侧居民处</w:t>
            </w:r>
          </w:p>
        </w:tc>
        <w:tc>
          <w:tcPr>
            <w:tcW w:w="384" w:type="pct"/>
            <w:shd w:val="clear" w:color="auto" w:fill="auto"/>
            <w:noWrap/>
            <w:vAlign w:val="center"/>
          </w:tcPr>
          <w:p w14:paraId="0FF6E403">
            <w:pPr>
              <w:jc w:val="center"/>
              <w:rPr>
                <w:color w:val="000000"/>
                <w:kern w:val="0"/>
                <w:szCs w:val="21"/>
              </w:rPr>
            </w:pPr>
            <w:r>
              <w:rPr>
                <w:color w:val="000000"/>
                <w:kern w:val="0"/>
                <w:szCs w:val="21"/>
              </w:rPr>
              <w:t>519.02</w:t>
            </w:r>
          </w:p>
        </w:tc>
        <w:tc>
          <w:tcPr>
            <w:tcW w:w="384" w:type="pct"/>
            <w:shd w:val="clear" w:color="auto" w:fill="auto"/>
            <w:noWrap/>
            <w:vAlign w:val="center"/>
          </w:tcPr>
          <w:p w14:paraId="0D960AFA">
            <w:pPr>
              <w:jc w:val="center"/>
              <w:rPr>
                <w:color w:val="000000"/>
                <w:kern w:val="0"/>
                <w:szCs w:val="21"/>
              </w:rPr>
            </w:pPr>
            <w:r>
              <w:rPr>
                <w:color w:val="000000"/>
                <w:kern w:val="0"/>
                <w:szCs w:val="21"/>
              </w:rPr>
              <w:t>43.8</w:t>
            </w:r>
          </w:p>
        </w:tc>
        <w:tc>
          <w:tcPr>
            <w:tcW w:w="271" w:type="pct"/>
            <w:shd w:val="clear" w:color="auto" w:fill="auto"/>
            <w:noWrap/>
            <w:vAlign w:val="center"/>
          </w:tcPr>
          <w:p w14:paraId="502FE206">
            <w:pPr>
              <w:jc w:val="center"/>
              <w:rPr>
                <w:color w:val="000000"/>
                <w:kern w:val="0"/>
                <w:szCs w:val="21"/>
              </w:rPr>
            </w:pPr>
            <w:r>
              <w:rPr>
                <w:color w:val="000000"/>
                <w:kern w:val="0"/>
                <w:szCs w:val="21"/>
              </w:rPr>
              <w:t>1.2</w:t>
            </w:r>
          </w:p>
        </w:tc>
        <w:tc>
          <w:tcPr>
            <w:tcW w:w="497" w:type="pct"/>
            <w:shd w:val="clear" w:color="auto" w:fill="auto"/>
            <w:noWrap/>
            <w:vAlign w:val="center"/>
          </w:tcPr>
          <w:p w14:paraId="57FEEBC7">
            <w:pPr>
              <w:jc w:val="center"/>
              <w:rPr>
                <w:color w:val="000000"/>
                <w:kern w:val="0"/>
                <w:szCs w:val="21"/>
              </w:rPr>
            </w:pPr>
            <w:r>
              <w:rPr>
                <w:color w:val="000000"/>
                <w:kern w:val="0"/>
                <w:szCs w:val="21"/>
              </w:rPr>
              <w:t>18.68</w:t>
            </w:r>
          </w:p>
        </w:tc>
        <w:tc>
          <w:tcPr>
            <w:tcW w:w="497" w:type="pct"/>
            <w:shd w:val="clear" w:color="auto" w:fill="auto"/>
            <w:noWrap/>
            <w:vAlign w:val="center"/>
          </w:tcPr>
          <w:p w14:paraId="69A804D6">
            <w:pPr>
              <w:jc w:val="center"/>
              <w:rPr>
                <w:color w:val="000000"/>
                <w:kern w:val="0"/>
                <w:szCs w:val="21"/>
              </w:rPr>
            </w:pPr>
            <w:r>
              <w:rPr>
                <w:color w:val="000000"/>
                <w:kern w:val="0"/>
                <w:szCs w:val="21"/>
              </w:rPr>
              <w:t>38.5</w:t>
            </w:r>
          </w:p>
        </w:tc>
        <w:tc>
          <w:tcPr>
            <w:tcW w:w="648" w:type="pct"/>
            <w:shd w:val="clear" w:color="auto" w:fill="auto"/>
            <w:noWrap/>
            <w:vAlign w:val="center"/>
          </w:tcPr>
          <w:p w14:paraId="6DCE73E2">
            <w:pPr>
              <w:jc w:val="center"/>
              <w:rPr>
                <w:color w:val="000000"/>
                <w:kern w:val="0"/>
                <w:szCs w:val="21"/>
              </w:rPr>
            </w:pPr>
            <w:r>
              <w:rPr>
                <w:color w:val="000000"/>
                <w:kern w:val="0"/>
                <w:szCs w:val="21"/>
              </w:rPr>
              <w:t>38.54</w:t>
            </w:r>
          </w:p>
        </w:tc>
        <w:tc>
          <w:tcPr>
            <w:tcW w:w="497" w:type="pct"/>
            <w:shd w:val="clear" w:color="auto" w:fill="auto"/>
            <w:noWrap/>
            <w:vAlign w:val="center"/>
          </w:tcPr>
          <w:p w14:paraId="2440A5C1">
            <w:pPr>
              <w:jc w:val="center"/>
              <w:rPr>
                <w:color w:val="000000"/>
                <w:kern w:val="0"/>
                <w:szCs w:val="21"/>
              </w:rPr>
            </w:pPr>
            <w:r>
              <w:rPr>
                <w:color w:val="000000"/>
                <w:kern w:val="0"/>
                <w:szCs w:val="21"/>
              </w:rPr>
              <w:t>2类</w:t>
            </w:r>
          </w:p>
        </w:tc>
        <w:tc>
          <w:tcPr>
            <w:tcW w:w="347" w:type="pct"/>
            <w:shd w:val="clear" w:color="auto" w:fill="auto"/>
            <w:noWrap/>
            <w:vAlign w:val="center"/>
          </w:tcPr>
          <w:p w14:paraId="5F23B24E">
            <w:pPr>
              <w:jc w:val="center"/>
              <w:rPr>
                <w:color w:val="000000"/>
                <w:kern w:val="0"/>
                <w:szCs w:val="21"/>
              </w:rPr>
            </w:pPr>
            <w:r>
              <w:rPr>
                <w:color w:val="000000"/>
                <w:kern w:val="0"/>
                <w:szCs w:val="21"/>
              </w:rPr>
              <w:t>50</w:t>
            </w:r>
          </w:p>
        </w:tc>
        <w:tc>
          <w:tcPr>
            <w:tcW w:w="422" w:type="pct"/>
            <w:shd w:val="clear" w:color="auto" w:fill="auto"/>
            <w:noWrap/>
            <w:vAlign w:val="center"/>
          </w:tcPr>
          <w:p w14:paraId="777C4854">
            <w:pPr>
              <w:jc w:val="center"/>
              <w:rPr>
                <w:color w:val="000000"/>
                <w:kern w:val="0"/>
                <w:szCs w:val="21"/>
              </w:rPr>
            </w:pPr>
            <w:r>
              <w:rPr>
                <w:color w:val="000000"/>
                <w:kern w:val="0"/>
                <w:szCs w:val="21"/>
              </w:rPr>
              <w:t>是</w:t>
            </w:r>
          </w:p>
        </w:tc>
      </w:tr>
      <w:tr w14:paraId="7345A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48A78EF8">
            <w:pPr>
              <w:jc w:val="center"/>
              <w:rPr>
                <w:color w:val="000000"/>
                <w:kern w:val="0"/>
                <w:szCs w:val="21"/>
              </w:rPr>
            </w:pPr>
            <w:r>
              <w:rPr>
                <w:color w:val="000000"/>
                <w:kern w:val="0"/>
                <w:szCs w:val="21"/>
              </w:rPr>
              <w:t>6</w:t>
            </w:r>
          </w:p>
        </w:tc>
        <w:tc>
          <w:tcPr>
            <w:tcW w:w="781" w:type="pct"/>
            <w:shd w:val="clear" w:color="auto" w:fill="auto"/>
            <w:noWrap/>
            <w:vAlign w:val="center"/>
          </w:tcPr>
          <w:p w14:paraId="5F249A75">
            <w:pPr>
              <w:jc w:val="center"/>
              <w:rPr>
                <w:color w:val="000000"/>
                <w:kern w:val="0"/>
                <w:szCs w:val="21"/>
              </w:rPr>
            </w:pPr>
            <w:r>
              <w:rPr>
                <w:color w:val="000000"/>
                <w:kern w:val="0"/>
                <w:szCs w:val="21"/>
              </w:rPr>
              <w:t>场界东南侧居民处</w:t>
            </w:r>
          </w:p>
        </w:tc>
        <w:tc>
          <w:tcPr>
            <w:tcW w:w="384" w:type="pct"/>
            <w:shd w:val="clear" w:color="auto" w:fill="auto"/>
            <w:noWrap/>
            <w:vAlign w:val="center"/>
          </w:tcPr>
          <w:p w14:paraId="1A465698">
            <w:pPr>
              <w:jc w:val="center"/>
              <w:rPr>
                <w:color w:val="000000"/>
                <w:kern w:val="0"/>
                <w:szCs w:val="21"/>
              </w:rPr>
            </w:pPr>
            <w:r>
              <w:rPr>
                <w:color w:val="000000"/>
                <w:kern w:val="0"/>
                <w:szCs w:val="21"/>
              </w:rPr>
              <w:t>334.71</w:t>
            </w:r>
          </w:p>
        </w:tc>
        <w:tc>
          <w:tcPr>
            <w:tcW w:w="384" w:type="pct"/>
            <w:shd w:val="clear" w:color="auto" w:fill="auto"/>
            <w:noWrap/>
            <w:vAlign w:val="center"/>
          </w:tcPr>
          <w:p w14:paraId="1774C1C3">
            <w:pPr>
              <w:jc w:val="center"/>
              <w:rPr>
                <w:color w:val="000000"/>
                <w:kern w:val="0"/>
                <w:szCs w:val="21"/>
              </w:rPr>
            </w:pPr>
            <w:r>
              <w:rPr>
                <w:color w:val="000000"/>
                <w:kern w:val="0"/>
                <w:szCs w:val="21"/>
              </w:rPr>
              <w:t>-103.64</w:t>
            </w:r>
          </w:p>
        </w:tc>
        <w:tc>
          <w:tcPr>
            <w:tcW w:w="271" w:type="pct"/>
            <w:shd w:val="clear" w:color="auto" w:fill="auto"/>
            <w:noWrap/>
            <w:vAlign w:val="center"/>
          </w:tcPr>
          <w:p w14:paraId="753A26AF">
            <w:pPr>
              <w:jc w:val="center"/>
              <w:rPr>
                <w:color w:val="000000"/>
                <w:kern w:val="0"/>
                <w:szCs w:val="21"/>
              </w:rPr>
            </w:pPr>
            <w:r>
              <w:rPr>
                <w:color w:val="000000"/>
                <w:kern w:val="0"/>
                <w:szCs w:val="21"/>
              </w:rPr>
              <w:t>1.2</w:t>
            </w:r>
          </w:p>
        </w:tc>
        <w:tc>
          <w:tcPr>
            <w:tcW w:w="497" w:type="pct"/>
            <w:shd w:val="clear" w:color="auto" w:fill="auto"/>
            <w:noWrap/>
            <w:vAlign w:val="center"/>
          </w:tcPr>
          <w:p w14:paraId="52EB0767">
            <w:pPr>
              <w:jc w:val="center"/>
              <w:rPr>
                <w:color w:val="000000"/>
                <w:kern w:val="0"/>
                <w:szCs w:val="21"/>
              </w:rPr>
            </w:pPr>
            <w:r>
              <w:rPr>
                <w:color w:val="000000"/>
                <w:kern w:val="0"/>
                <w:szCs w:val="21"/>
              </w:rPr>
              <w:t>20.5</w:t>
            </w:r>
          </w:p>
        </w:tc>
        <w:tc>
          <w:tcPr>
            <w:tcW w:w="497" w:type="pct"/>
            <w:shd w:val="clear" w:color="auto" w:fill="auto"/>
            <w:noWrap/>
            <w:vAlign w:val="center"/>
          </w:tcPr>
          <w:p w14:paraId="1D87CFC4">
            <w:pPr>
              <w:jc w:val="center"/>
              <w:rPr>
                <w:color w:val="000000"/>
                <w:kern w:val="0"/>
                <w:szCs w:val="21"/>
              </w:rPr>
            </w:pPr>
            <w:r>
              <w:rPr>
                <w:color w:val="000000"/>
                <w:kern w:val="0"/>
                <w:szCs w:val="21"/>
              </w:rPr>
              <w:t>41.5</w:t>
            </w:r>
          </w:p>
        </w:tc>
        <w:tc>
          <w:tcPr>
            <w:tcW w:w="648" w:type="pct"/>
            <w:shd w:val="clear" w:color="auto" w:fill="auto"/>
            <w:noWrap/>
            <w:vAlign w:val="center"/>
          </w:tcPr>
          <w:p w14:paraId="7E3A4168">
            <w:pPr>
              <w:jc w:val="center"/>
              <w:rPr>
                <w:color w:val="000000"/>
                <w:kern w:val="0"/>
                <w:szCs w:val="21"/>
              </w:rPr>
            </w:pPr>
            <w:r>
              <w:rPr>
                <w:color w:val="000000"/>
                <w:kern w:val="0"/>
                <w:szCs w:val="21"/>
              </w:rPr>
              <w:t>41.53</w:t>
            </w:r>
          </w:p>
        </w:tc>
        <w:tc>
          <w:tcPr>
            <w:tcW w:w="497" w:type="pct"/>
            <w:shd w:val="clear" w:color="auto" w:fill="auto"/>
            <w:noWrap/>
            <w:vAlign w:val="center"/>
          </w:tcPr>
          <w:p w14:paraId="1BEC1D42">
            <w:pPr>
              <w:jc w:val="center"/>
              <w:rPr>
                <w:color w:val="000000"/>
                <w:kern w:val="0"/>
                <w:szCs w:val="21"/>
              </w:rPr>
            </w:pPr>
            <w:r>
              <w:rPr>
                <w:color w:val="000000"/>
                <w:kern w:val="0"/>
                <w:szCs w:val="21"/>
              </w:rPr>
              <w:t>2类</w:t>
            </w:r>
          </w:p>
        </w:tc>
        <w:tc>
          <w:tcPr>
            <w:tcW w:w="347" w:type="pct"/>
            <w:shd w:val="clear" w:color="auto" w:fill="auto"/>
            <w:noWrap/>
            <w:vAlign w:val="center"/>
          </w:tcPr>
          <w:p w14:paraId="4C2B24CC">
            <w:pPr>
              <w:jc w:val="center"/>
              <w:rPr>
                <w:color w:val="000000"/>
                <w:kern w:val="0"/>
                <w:szCs w:val="21"/>
              </w:rPr>
            </w:pPr>
            <w:r>
              <w:rPr>
                <w:color w:val="000000"/>
                <w:kern w:val="0"/>
                <w:szCs w:val="21"/>
              </w:rPr>
              <w:t>50</w:t>
            </w:r>
          </w:p>
        </w:tc>
        <w:tc>
          <w:tcPr>
            <w:tcW w:w="422" w:type="pct"/>
            <w:shd w:val="clear" w:color="auto" w:fill="auto"/>
            <w:noWrap/>
            <w:vAlign w:val="center"/>
          </w:tcPr>
          <w:p w14:paraId="2E2F8C50">
            <w:pPr>
              <w:jc w:val="center"/>
              <w:rPr>
                <w:color w:val="000000"/>
                <w:kern w:val="0"/>
                <w:szCs w:val="21"/>
              </w:rPr>
            </w:pPr>
            <w:r>
              <w:rPr>
                <w:color w:val="000000"/>
                <w:kern w:val="0"/>
                <w:szCs w:val="21"/>
              </w:rPr>
              <w:t>是</w:t>
            </w:r>
          </w:p>
        </w:tc>
      </w:tr>
      <w:tr w14:paraId="0BD3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528944F4">
            <w:pPr>
              <w:jc w:val="center"/>
              <w:rPr>
                <w:color w:val="000000"/>
                <w:kern w:val="0"/>
                <w:szCs w:val="21"/>
              </w:rPr>
            </w:pPr>
            <w:r>
              <w:rPr>
                <w:color w:val="000000"/>
                <w:kern w:val="0"/>
                <w:szCs w:val="21"/>
              </w:rPr>
              <w:t>7</w:t>
            </w:r>
          </w:p>
        </w:tc>
        <w:tc>
          <w:tcPr>
            <w:tcW w:w="781" w:type="pct"/>
            <w:shd w:val="clear" w:color="auto" w:fill="auto"/>
            <w:noWrap/>
            <w:vAlign w:val="center"/>
          </w:tcPr>
          <w:p w14:paraId="772718C8">
            <w:pPr>
              <w:jc w:val="center"/>
              <w:rPr>
                <w:color w:val="000000"/>
                <w:kern w:val="0"/>
                <w:szCs w:val="21"/>
              </w:rPr>
            </w:pPr>
            <w:r>
              <w:rPr>
                <w:color w:val="000000"/>
                <w:kern w:val="0"/>
                <w:szCs w:val="21"/>
              </w:rPr>
              <w:t>场界南侧居民处</w:t>
            </w:r>
          </w:p>
        </w:tc>
        <w:tc>
          <w:tcPr>
            <w:tcW w:w="384" w:type="pct"/>
            <w:shd w:val="clear" w:color="auto" w:fill="auto"/>
            <w:noWrap/>
            <w:vAlign w:val="center"/>
          </w:tcPr>
          <w:p w14:paraId="31EEB02F">
            <w:pPr>
              <w:jc w:val="center"/>
              <w:rPr>
                <w:color w:val="000000"/>
                <w:kern w:val="0"/>
                <w:szCs w:val="21"/>
              </w:rPr>
            </w:pPr>
            <w:r>
              <w:rPr>
                <w:color w:val="000000"/>
                <w:kern w:val="0"/>
                <w:szCs w:val="21"/>
              </w:rPr>
              <w:t>93.58</w:t>
            </w:r>
          </w:p>
        </w:tc>
        <w:tc>
          <w:tcPr>
            <w:tcW w:w="384" w:type="pct"/>
            <w:shd w:val="clear" w:color="auto" w:fill="auto"/>
            <w:noWrap/>
            <w:vAlign w:val="center"/>
          </w:tcPr>
          <w:p w14:paraId="2CE9DAE9">
            <w:pPr>
              <w:jc w:val="center"/>
              <w:rPr>
                <w:color w:val="000000"/>
                <w:kern w:val="0"/>
                <w:szCs w:val="21"/>
              </w:rPr>
            </w:pPr>
            <w:r>
              <w:rPr>
                <w:color w:val="000000"/>
                <w:kern w:val="0"/>
                <w:szCs w:val="21"/>
              </w:rPr>
              <w:t>-45.28</w:t>
            </w:r>
          </w:p>
        </w:tc>
        <w:tc>
          <w:tcPr>
            <w:tcW w:w="271" w:type="pct"/>
            <w:shd w:val="clear" w:color="auto" w:fill="auto"/>
            <w:noWrap/>
            <w:vAlign w:val="center"/>
          </w:tcPr>
          <w:p w14:paraId="227FDC56">
            <w:pPr>
              <w:jc w:val="center"/>
              <w:rPr>
                <w:color w:val="000000"/>
                <w:kern w:val="0"/>
                <w:szCs w:val="21"/>
              </w:rPr>
            </w:pPr>
            <w:r>
              <w:rPr>
                <w:color w:val="000000"/>
                <w:kern w:val="0"/>
                <w:szCs w:val="21"/>
              </w:rPr>
              <w:t>1.2</w:t>
            </w:r>
          </w:p>
        </w:tc>
        <w:tc>
          <w:tcPr>
            <w:tcW w:w="497" w:type="pct"/>
            <w:shd w:val="clear" w:color="auto" w:fill="auto"/>
            <w:noWrap/>
            <w:vAlign w:val="center"/>
          </w:tcPr>
          <w:p w14:paraId="1E3491DB">
            <w:pPr>
              <w:jc w:val="center"/>
              <w:rPr>
                <w:color w:val="000000"/>
                <w:kern w:val="0"/>
                <w:szCs w:val="21"/>
              </w:rPr>
            </w:pPr>
            <w:r>
              <w:rPr>
                <w:color w:val="000000"/>
                <w:kern w:val="0"/>
                <w:szCs w:val="21"/>
              </w:rPr>
              <w:t>22.11</w:t>
            </w:r>
          </w:p>
        </w:tc>
        <w:tc>
          <w:tcPr>
            <w:tcW w:w="497" w:type="pct"/>
            <w:shd w:val="clear" w:color="auto" w:fill="auto"/>
            <w:noWrap/>
            <w:vAlign w:val="center"/>
          </w:tcPr>
          <w:p w14:paraId="61CC4464">
            <w:pPr>
              <w:jc w:val="center"/>
              <w:rPr>
                <w:color w:val="000000"/>
                <w:kern w:val="0"/>
                <w:szCs w:val="21"/>
              </w:rPr>
            </w:pPr>
            <w:r>
              <w:rPr>
                <w:color w:val="000000"/>
                <w:kern w:val="0"/>
                <w:szCs w:val="21"/>
              </w:rPr>
              <w:t>40</w:t>
            </w:r>
          </w:p>
        </w:tc>
        <w:tc>
          <w:tcPr>
            <w:tcW w:w="648" w:type="pct"/>
            <w:shd w:val="clear" w:color="auto" w:fill="auto"/>
            <w:noWrap/>
            <w:vAlign w:val="center"/>
          </w:tcPr>
          <w:p w14:paraId="74689541">
            <w:pPr>
              <w:jc w:val="center"/>
              <w:rPr>
                <w:color w:val="000000"/>
                <w:kern w:val="0"/>
                <w:szCs w:val="21"/>
              </w:rPr>
            </w:pPr>
            <w:r>
              <w:rPr>
                <w:color w:val="000000"/>
                <w:kern w:val="0"/>
                <w:szCs w:val="21"/>
              </w:rPr>
              <w:t>40.07</w:t>
            </w:r>
          </w:p>
        </w:tc>
        <w:tc>
          <w:tcPr>
            <w:tcW w:w="497" w:type="pct"/>
            <w:shd w:val="clear" w:color="auto" w:fill="auto"/>
            <w:noWrap/>
            <w:vAlign w:val="center"/>
          </w:tcPr>
          <w:p w14:paraId="6B32D227">
            <w:pPr>
              <w:jc w:val="center"/>
              <w:rPr>
                <w:color w:val="000000"/>
                <w:kern w:val="0"/>
                <w:szCs w:val="21"/>
              </w:rPr>
            </w:pPr>
            <w:r>
              <w:rPr>
                <w:color w:val="000000"/>
                <w:kern w:val="0"/>
                <w:szCs w:val="21"/>
              </w:rPr>
              <w:t>2类</w:t>
            </w:r>
          </w:p>
        </w:tc>
        <w:tc>
          <w:tcPr>
            <w:tcW w:w="347" w:type="pct"/>
            <w:shd w:val="clear" w:color="auto" w:fill="auto"/>
            <w:noWrap/>
            <w:vAlign w:val="center"/>
          </w:tcPr>
          <w:p w14:paraId="17B4FF9B">
            <w:pPr>
              <w:jc w:val="center"/>
              <w:rPr>
                <w:color w:val="000000"/>
                <w:kern w:val="0"/>
                <w:szCs w:val="21"/>
              </w:rPr>
            </w:pPr>
            <w:r>
              <w:rPr>
                <w:color w:val="000000"/>
                <w:kern w:val="0"/>
                <w:szCs w:val="21"/>
              </w:rPr>
              <w:t>50</w:t>
            </w:r>
          </w:p>
        </w:tc>
        <w:tc>
          <w:tcPr>
            <w:tcW w:w="422" w:type="pct"/>
            <w:shd w:val="clear" w:color="auto" w:fill="auto"/>
            <w:noWrap/>
            <w:vAlign w:val="center"/>
          </w:tcPr>
          <w:p w14:paraId="15BEA445">
            <w:pPr>
              <w:jc w:val="center"/>
              <w:rPr>
                <w:color w:val="000000"/>
                <w:kern w:val="0"/>
                <w:szCs w:val="21"/>
              </w:rPr>
            </w:pPr>
            <w:r>
              <w:rPr>
                <w:color w:val="000000"/>
                <w:kern w:val="0"/>
                <w:szCs w:val="21"/>
              </w:rPr>
              <w:t>是</w:t>
            </w:r>
          </w:p>
        </w:tc>
      </w:tr>
      <w:tr w14:paraId="4F44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3F2F8C3F">
            <w:pPr>
              <w:jc w:val="center"/>
              <w:rPr>
                <w:color w:val="000000"/>
                <w:kern w:val="0"/>
                <w:szCs w:val="21"/>
              </w:rPr>
            </w:pPr>
            <w:r>
              <w:rPr>
                <w:color w:val="000000"/>
                <w:kern w:val="0"/>
                <w:szCs w:val="21"/>
              </w:rPr>
              <w:t>8</w:t>
            </w:r>
          </w:p>
        </w:tc>
        <w:tc>
          <w:tcPr>
            <w:tcW w:w="781" w:type="pct"/>
            <w:shd w:val="clear" w:color="auto" w:fill="auto"/>
            <w:noWrap/>
            <w:vAlign w:val="center"/>
          </w:tcPr>
          <w:p w14:paraId="1E241DBD">
            <w:pPr>
              <w:jc w:val="center"/>
              <w:rPr>
                <w:color w:val="000000"/>
                <w:kern w:val="0"/>
                <w:szCs w:val="21"/>
              </w:rPr>
            </w:pPr>
            <w:r>
              <w:rPr>
                <w:color w:val="000000"/>
                <w:kern w:val="0"/>
                <w:szCs w:val="21"/>
              </w:rPr>
              <w:t>场界西南侧居民处</w:t>
            </w:r>
          </w:p>
        </w:tc>
        <w:tc>
          <w:tcPr>
            <w:tcW w:w="384" w:type="pct"/>
            <w:shd w:val="clear" w:color="auto" w:fill="auto"/>
            <w:noWrap/>
            <w:vAlign w:val="center"/>
          </w:tcPr>
          <w:p w14:paraId="6A958EC2">
            <w:pPr>
              <w:jc w:val="center"/>
              <w:rPr>
                <w:color w:val="000000"/>
                <w:kern w:val="0"/>
                <w:szCs w:val="21"/>
              </w:rPr>
            </w:pPr>
            <w:r>
              <w:rPr>
                <w:color w:val="000000"/>
                <w:kern w:val="0"/>
                <w:szCs w:val="21"/>
              </w:rPr>
              <w:t>-66.15</w:t>
            </w:r>
          </w:p>
        </w:tc>
        <w:tc>
          <w:tcPr>
            <w:tcW w:w="384" w:type="pct"/>
            <w:shd w:val="clear" w:color="auto" w:fill="auto"/>
            <w:noWrap/>
            <w:vAlign w:val="center"/>
          </w:tcPr>
          <w:p w14:paraId="0692A40A">
            <w:pPr>
              <w:jc w:val="center"/>
              <w:rPr>
                <w:color w:val="000000"/>
                <w:kern w:val="0"/>
                <w:szCs w:val="21"/>
              </w:rPr>
            </w:pPr>
            <w:r>
              <w:rPr>
                <w:color w:val="000000"/>
                <w:kern w:val="0"/>
                <w:szCs w:val="21"/>
              </w:rPr>
              <w:t>42.27</w:t>
            </w:r>
          </w:p>
        </w:tc>
        <w:tc>
          <w:tcPr>
            <w:tcW w:w="271" w:type="pct"/>
            <w:shd w:val="clear" w:color="auto" w:fill="auto"/>
            <w:noWrap/>
            <w:vAlign w:val="center"/>
          </w:tcPr>
          <w:p w14:paraId="42ABB4E7">
            <w:pPr>
              <w:jc w:val="center"/>
              <w:rPr>
                <w:color w:val="000000"/>
                <w:kern w:val="0"/>
                <w:szCs w:val="21"/>
              </w:rPr>
            </w:pPr>
            <w:r>
              <w:rPr>
                <w:color w:val="000000"/>
                <w:kern w:val="0"/>
                <w:szCs w:val="21"/>
              </w:rPr>
              <w:t>1.2</w:t>
            </w:r>
          </w:p>
        </w:tc>
        <w:tc>
          <w:tcPr>
            <w:tcW w:w="497" w:type="pct"/>
            <w:shd w:val="clear" w:color="auto" w:fill="auto"/>
            <w:noWrap/>
            <w:vAlign w:val="center"/>
          </w:tcPr>
          <w:p w14:paraId="5047CE45">
            <w:pPr>
              <w:jc w:val="center"/>
              <w:rPr>
                <w:color w:val="000000"/>
                <w:kern w:val="0"/>
                <w:szCs w:val="21"/>
              </w:rPr>
            </w:pPr>
            <w:r>
              <w:rPr>
                <w:color w:val="000000"/>
                <w:kern w:val="0"/>
                <w:szCs w:val="21"/>
              </w:rPr>
              <w:t>17.46</w:t>
            </w:r>
          </w:p>
        </w:tc>
        <w:tc>
          <w:tcPr>
            <w:tcW w:w="497" w:type="pct"/>
            <w:shd w:val="clear" w:color="auto" w:fill="auto"/>
            <w:noWrap/>
            <w:vAlign w:val="center"/>
          </w:tcPr>
          <w:p w14:paraId="6DC10A6D">
            <w:pPr>
              <w:jc w:val="center"/>
              <w:rPr>
                <w:color w:val="000000"/>
                <w:kern w:val="0"/>
                <w:szCs w:val="21"/>
              </w:rPr>
            </w:pPr>
            <w:r>
              <w:rPr>
                <w:color w:val="000000"/>
                <w:kern w:val="0"/>
                <w:szCs w:val="21"/>
              </w:rPr>
              <w:t>39</w:t>
            </w:r>
          </w:p>
        </w:tc>
        <w:tc>
          <w:tcPr>
            <w:tcW w:w="648" w:type="pct"/>
            <w:shd w:val="clear" w:color="auto" w:fill="auto"/>
            <w:noWrap/>
            <w:vAlign w:val="center"/>
          </w:tcPr>
          <w:p w14:paraId="21B9DDE1">
            <w:pPr>
              <w:jc w:val="center"/>
              <w:rPr>
                <w:color w:val="000000"/>
                <w:kern w:val="0"/>
                <w:szCs w:val="21"/>
              </w:rPr>
            </w:pPr>
            <w:r>
              <w:rPr>
                <w:color w:val="000000"/>
                <w:kern w:val="0"/>
                <w:szCs w:val="21"/>
              </w:rPr>
              <w:t>39.03</w:t>
            </w:r>
          </w:p>
        </w:tc>
        <w:tc>
          <w:tcPr>
            <w:tcW w:w="497" w:type="pct"/>
            <w:shd w:val="clear" w:color="auto" w:fill="auto"/>
            <w:noWrap/>
            <w:vAlign w:val="center"/>
          </w:tcPr>
          <w:p w14:paraId="7281B1F7">
            <w:pPr>
              <w:jc w:val="center"/>
              <w:rPr>
                <w:color w:val="000000"/>
                <w:kern w:val="0"/>
                <w:szCs w:val="21"/>
              </w:rPr>
            </w:pPr>
            <w:r>
              <w:rPr>
                <w:color w:val="000000"/>
                <w:kern w:val="0"/>
                <w:szCs w:val="21"/>
              </w:rPr>
              <w:t>2类</w:t>
            </w:r>
          </w:p>
        </w:tc>
        <w:tc>
          <w:tcPr>
            <w:tcW w:w="347" w:type="pct"/>
            <w:shd w:val="clear" w:color="auto" w:fill="auto"/>
            <w:noWrap/>
            <w:vAlign w:val="center"/>
          </w:tcPr>
          <w:p w14:paraId="74953787">
            <w:pPr>
              <w:jc w:val="center"/>
              <w:rPr>
                <w:color w:val="000000"/>
                <w:kern w:val="0"/>
                <w:szCs w:val="21"/>
              </w:rPr>
            </w:pPr>
            <w:r>
              <w:rPr>
                <w:color w:val="000000"/>
                <w:kern w:val="0"/>
                <w:szCs w:val="21"/>
              </w:rPr>
              <w:t>50</w:t>
            </w:r>
          </w:p>
        </w:tc>
        <w:tc>
          <w:tcPr>
            <w:tcW w:w="422" w:type="pct"/>
            <w:shd w:val="clear" w:color="auto" w:fill="auto"/>
            <w:noWrap/>
            <w:vAlign w:val="center"/>
          </w:tcPr>
          <w:p w14:paraId="1B803E57">
            <w:pPr>
              <w:jc w:val="center"/>
              <w:rPr>
                <w:color w:val="000000"/>
                <w:kern w:val="0"/>
                <w:szCs w:val="21"/>
              </w:rPr>
            </w:pPr>
            <w:r>
              <w:rPr>
                <w:color w:val="000000"/>
                <w:kern w:val="0"/>
                <w:szCs w:val="21"/>
              </w:rPr>
              <w:t>是</w:t>
            </w:r>
          </w:p>
        </w:tc>
      </w:tr>
      <w:tr w14:paraId="4DEE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0674C2A0">
            <w:pPr>
              <w:jc w:val="center"/>
              <w:rPr>
                <w:color w:val="000000"/>
                <w:kern w:val="0"/>
                <w:szCs w:val="21"/>
              </w:rPr>
            </w:pPr>
            <w:r>
              <w:rPr>
                <w:color w:val="000000"/>
                <w:kern w:val="0"/>
                <w:szCs w:val="21"/>
              </w:rPr>
              <w:t>9</w:t>
            </w:r>
          </w:p>
        </w:tc>
        <w:tc>
          <w:tcPr>
            <w:tcW w:w="781" w:type="pct"/>
            <w:shd w:val="clear" w:color="auto" w:fill="auto"/>
            <w:noWrap/>
            <w:vAlign w:val="center"/>
          </w:tcPr>
          <w:p w14:paraId="485B1D2F">
            <w:pPr>
              <w:jc w:val="center"/>
              <w:rPr>
                <w:color w:val="000000"/>
                <w:kern w:val="0"/>
                <w:szCs w:val="21"/>
              </w:rPr>
            </w:pPr>
            <w:r>
              <w:rPr>
                <w:color w:val="000000"/>
                <w:kern w:val="0"/>
                <w:szCs w:val="21"/>
              </w:rPr>
              <w:t>场界西北侧居民处</w:t>
            </w:r>
          </w:p>
        </w:tc>
        <w:tc>
          <w:tcPr>
            <w:tcW w:w="384" w:type="pct"/>
            <w:shd w:val="clear" w:color="auto" w:fill="auto"/>
            <w:noWrap/>
            <w:vAlign w:val="center"/>
          </w:tcPr>
          <w:p w14:paraId="6A7B8297">
            <w:pPr>
              <w:jc w:val="center"/>
              <w:rPr>
                <w:color w:val="000000"/>
                <w:kern w:val="0"/>
                <w:szCs w:val="21"/>
              </w:rPr>
            </w:pPr>
            <w:r>
              <w:rPr>
                <w:color w:val="000000"/>
                <w:kern w:val="0"/>
                <w:szCs w:val="21"/>
              </w:rPr>
              <w:t>59.79</w:t>
            </w:r>
          </w:p>
        </w:tc>
        <w:tc>
          <w:tcPr>
            <w:tcW w:w="384" w:type="pct"/>
            <w:shd w:val="clear" w:color="auto" w:fill="auto"/>
            <w:noWrap/>
            <w:vAlign w:val="center"/>
          </w:tcPr>
          <w:p w14:paraId="1F4DD7FD">
            <w:pPr>
              <w:jc w:val="center"/>
              <w:rPr>
                <w:color w:val="000000"/>
                <w:kern w:val="0"/>
                <w:szCs w:val="21"/>
              </w:rPr>
            </w:pPr>
            <w:r>
              <w:rPr>
                <w:color w:val="000000"/>
                <w:kern w:val="0"/>
                <w:szCs w:val="21"/>
              </w:rPr>
              <w:t>286.47</w:t>
            </w:r>
          </w:p>
        </w:tc>
        <w:tc>
          <w:tcPr>
            <w:tcW w:w="271" w:type="pct"/>
            <w:shd w:val="clear" w:color="auto" w:fill="auto"/>
            <w:noWrap/>
            <w:vAlign w:val="center"/>
          </w:tcPr>
          <w:p w14:paraId="0863C56D">
            <w:pPr>
              <w:jc w:val="center"/>
              <w:rPr>
                <w:color w:val="000000"/>
                <w:kern w:val="0"/>
                <w:szCs w:val="21"/>
              </w:rPr>
            </w:pPr>
            <w:r>
              <w:rPr>
                <w:color w:val="000000"/>
                <w:kern w:val="0"/>
                <w:szCs w:val="21"/>
              </w:rPr>
              <w:t>1.2</w:t>
            </w:r>
          </w:p>
        </w:tc>
        <w:tc>
          <w:tcPr>
            <w:tcW w:w="497" w:type="pct"/>
            <w:shd w:val="clear" w:color="auto" w:fill="auto"/>
            <w:noWrap/>
            <w:vAlign w:val="center"/>
          </w:tcPr>
          <w:p w14:paraId="7699A922">
            <w:pPr>
              <w:jc w:val="center"/>
              <w:rPr>
                <w:color w:val="000000"/>
                <w:kern w:val="0"/>
                <w:szCs w:val="21"/>
              </w:rPr>
            </w:pPr>
            <w:r>
              <w:rPr>
                <w:color w:val="000000"/>
                <w:kern w:val="0"/>
                <w:szCs w:val="21"/>
              </w:rPr>
              <w:t>21.59</w:t>
            </w:r>
          </w:p>
        </w:tc>
        <w:tc>
          <w:tcPr>
            <w:tcW w:w="497" w:type="pct"/>
            <w:shd w:val="clear" w:color="auto" w:fill="auto"/>
            <w:noWrap/>
            <w:vAlign w:val="center"/>
          </w:tcPr>
          <w:p w14:paraId="7FFA6293">
            <w:pPr>
              <w:jc w:val="center"/>
              <w:rPr>
                <w:color w:val="000000"/>
                <w:kern w:val="0"/>
                <w:szCs w:val="21"/>
              </w:rPr>
            </w:pPr>
            <w:r>
              <w:rPr>
                <w:color w:val="000000"/>
                <w:kern w:val="0"/>
                <w:szCs w:val="21"/>
              </w:rPr>
              <w:t>39.5</w:t>
            </w:r>
          </w:p>
        </w:tc>
        <w:tc>
          <w:tcPr>
            <w:tcW w:w="648" w:type="pct"/>
            <w:shd w:val="clear" w:color="auto" w:fill="auto"/>
            <w:noWrap/>
            <w:vAlign w:val="center"/>
          </w:tcPr>
          <w:p w14:paraId="43A4B0E4">
            <w:pPr>
              <w:jc w:val="center"/>
              <w:rPr>
                <w:color w:val="000000"/>
                <w:kern w:val="0"/>
                <w:szCs w:val="21"/>
              </w:rPr>
            </w:pPr>
            <w:r>
              <w:rPr>
                <w:color w:val="000000"/>
                <w:kern w:val="0"/>
                <w:szCs w:val="21"/>
              </w:rPr>
              <w:t>39.57</w:t>
            </w:r>
          </w:p>
        </w:tc>
        <w:tc>
          <w:tcPr>
            <w:tcW w:w="497" w:type="pct"/>
            <w:shd w:val="clear" w:color="auto" w:fill="auto"/>
            <w:noWrap/>
            <w:vAlign w:val="center"/>
          </w:tcPr>
          <w:p w14:paraId="2022EEAD">
            <w:pPr>
              <w:jc w:val="center"/>
              <w:rPr>
                <w:color w:val="000000"/>
                <w:kern w:val="0"/>
                <w:szCs w:val="21"/>
              </w:rPr>
            </w:pPr>
            <w:r>
              <w:rPr>
                <w:color w:val="000000"/>
                <w:kern w:val="0"/>
                <w:szCs w:val="21"/>
              </w:rPr>
              <w:t>2类</w:t>
            </w:r>
          </w:p>
        </w:tc>
        <w:tc>
          <w:tcPr>
            <w:tcW w:w="347" w:type="pct"/>
            <w:shd w:val="clear" w:color="auto" w:fill="auto"/>
            <w:noWrap/>
            <w:vAlign w:val="center"/>
          </w:tcPr>
          <w:p w14:paraId="772B2023">
            <w:pPr>
              <w:jc w:val="center"/>
              <w:rPr>
                <w:color w:val="000000"/>
                <w:kern w:val="0"/>
                <w:szCs w:val="21"/>
              </w:rPr>
            </w:pPr>
            <w:r>
              <w:rPr>
                <w:color w:val="000000"/>
                <w:kern w:val="0"/>
                <w:szCs w:val="21"/>
              </w:rPr>
              <w:t>50</w:t>
            </w:r>
          </w:p>
        </w:tc>
        <w:tc>
          <w:tcPr>
            <w:tcW w:w="422" w:type="pct"/>
            <w:shd w:val="clear" w:color="auto" w:fill="auto"/>
            <w:noWrap/>
            <w:vAlign w:val="center"/>
          </w:tcPr>
          <w:p w14:paraId="4C7CCEE2">
            <w:pPr>
              <w:jc w:val="center"/>
              <w:rPr>
                <w:color w:val="000000"/>
                <w:kern w:val="0"/>
                <w:szCs w:val="21"/>
              </w:rPr>
            </w:pPr>
            <w:r>
              <w:rPr>
                <w:color w:val="000000"/>
                <w:kern w:val="0"/>
                <w:szCs w:val="21"/>
              </w:rPr>
              <w:t>是</w:t>
            </w:r>
          </w:p>
        </w:tc>
      </w:tr>
      <w:tr w14:paraId="6CCB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5000" w:type="pct"/>
            <w:gridSpan w:val="11"/>
            <w:shd w:val="clear" w:color="auto" w:fill="auto"/>
            <w:noWrap/>
            <w:vAlign w:val="center"/>
          </w:tcPr>
          <w:p w14:paraId="081D72D8">
            <w:pPr>
              <w:jc w:val="center"/>
              <w:rPr>
                <w:color w:val="000000"/>
                <w:kern w:val="0"/>
                <w:szCs w:val="21"/>
              </w:rPr>
            </w:pPr>
            <w:r>
              <w:rPr>
                <w:color w:val="000000"/>
                <w:kern w:val="0"/>
                <w:szCs w:val="21"/>
              </w:rPr>
              <w:t>始宁养殖场区</w:t>
            </w:r>
          </w:p>
        </w:tc>
      </w:tr>
      <w:tr w14:paraId="6F06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1089D1F5">
            <w:pPr>
              <w:jc w:val="center"/>
              <w:rPr>
                <w:color w:val="000000"/>
                <w:kern w:val="0"/>
                <w:szCs w:val="21"/>
              </w:rPr>
            </w:pPr>
            <w:r>
              <w:rPr>
                <w:color w:val="000000"/>
                <w:kern w:val="0"/>
                <w:szCs w:val="21"/>
              </w:rPr>
              <w:t>1</w:t>
            </w:r>
          </w:p>
        </w:tc>
        <w:tc>
          <w:tcPr>
            <w:tcW w:w="781" w:type="pct"/>
            <w:shd w:val="clear" w:color="auto" w:fill="auto"/>
            <w:noWrap/>
            <w:vAlign w:val="center"/>
          </w:tcPr>
          <w:p w14:paraId="12485F0D">
            <w:pPr>
              <w:jc w:val="center"/>
              <w:rPr>
                <w:color w:val="000000"/>
                <w:kern w:val="0"/>
                <w:szCs w:val="21"/>
              </w:rPr>
            </w:pPr>
            <w:r>
              <w:rPr>
                <w:color w:val="000000"/>
                <w:kern w:val="0"/>
                <w:szCs w:val="21"/>
              </w:rPr>
              <w:t>东侧场界外</w:t>
            </w:r>
          </w:p>
        </w:tc>
        <w:tc>
          <w:tcPr>
            <w:tcW w:w="384" w:type="pct"/>
            <w:shd w:val="clear" w:color="auto" w:fill="auto"/>
            <w:noWrap/>
            <w:vAlign w:val="center"/>
          </w:tcPr>
          <w:p w14:paraId="7D732E4A">
            <w:pPr>
              <w:jc w:val="center"/>
              <w:rPr>
                <w:color w:val="000000"/>
                <w:kern w:val="0"/>
                <w:szCs w:val="21"/>
              </w:rPr>
            </w:pPr>
            <w:r>
              <w:rPr>
                <w:color w:val="000000"/>
                <w:kern w:val="0"/>
                <w:szCs w:val="21"/>
              </w:rPr>
              <w:t>-224.82</w:t>
            </w:r>
          </w:p>
        </w:tc>
        <w:tc>
          <w:tcPr>
            <w:tcW w:w="384" w:type="pct"/>
            <w:shd w:val="clear" w:color="auto" w:fill="auto"/>
            <w:noWrap/>
            <w:vAlign w:val="center"/>
          </w:tcPr>
          <w:p w14:paraId="46C3D268">
            <w:pPr>
              <w:jc w:val="center"/>
              <w:rPr>
                <w:color w:val="000000"/>
                <w:kern w:val="0"/>
                <w:szCs w:val="21"/>
              </w:rPr>
            </w:pPr>
            <w:r>
              <w:rPr>
                <w:color w:val="000000"/>
                <w:kern w:val="0"/>
                <w:szCs w:val="21"/>
              </w:rPr>
              <w:t>273.61</w:t>
            </w:r>
          </w:p>
        </w:tc>
        <w:tc>
          <w:tcPr>
            <w:tcW w:w="271" w:type="pct"/>
            <w:shd w:val="clear" w:color="auto" w:fill="auto"/>
            <w:noWrap/>
            <w:vAlign w:val="center"/>
          </w:tcPr>
          <w:p w14:paraId="616BADA1">
            <w:pPr>
              <w:jc w:val="center"/>
              <w:rPr>
                <w:color w:val="000000"/>
                <w:kern w:val="0"/>
                <w:szCs w:val="21"/>
              </w:rPr>
            </w:pPr>
            <w:r>
              <w:rPr>
                <w:color w:val="000000"/>
                <w:kern w:val="0"/>
                <w:szCs w:val="21"/>
              </w:rPr>
              <w:t>1.2</w:t>
            </w:r>
          </w:p>
        </w:tc>
        <w:tc>
          <w:tcPr>
            <w:tcW w:w="497" w:type="pct"/>
            <w:shd w:val="clear" w:color="auto" w:fill="auto"/>
            <w:noWrap/>
            <w:vAlign w:val="center"/>
          </w:tcPr>
          <w:p w14:paraId="7AF0EF1F">
            <w:pPr>
              <w:jc w:val="center"/>
              <w:rPr>
                <w:color w:val="000000"/>
                <w:kern w:val="0"/>
                <w:szCs w:val="21"/>
              </w:rPr>
            </w:pPr>
            <w:r>
              <w:rPr>
                <w:color w:val="000000"/>
                <w:kern w:val="0"/>
                <w:szCs w:val="21"/>
              </w:rPr>
              <w:t>12.7</w:t>
            </w:r>
          </w:p>
        </w:tc>
        <w:tc>
          <w:tcPr>
            <w:tcW w:w="497" w:type="pct"/>
            <w:shd w:val="clear" w:color="auto" w:fill="auto"/>
            <w:noWrap/>
            <w:vAlign w:val="center"/>
          </w:tcPr>
          <w:p w14:paraId="08127F36">
            <w:pPr>
              <w:jc w:val="center"/>
              <w:rPr>
                <w:color w:val="000000"/>
                <w:kern w:val="0"/>
                <w:szCs w:val="21"/>
              </w:rPr>
            </w:pPr>
            <w:r>
              <w:rPr>
                <w:color w:val="000000"/>
                <w:kern w:val="0"/>
                <w:szCs w:val="21"/>
              </w:rPr>
              <w:t>39</w:t>
            </w:r>
          </w:p>
        </w:tc>
        <w:tc>
          <w:tcPr>
            <w:tcW w:w="648" w:type="pct"/>
            <w:shd w:val="clear" w:color="auto" w:fill="auto"/>
            <w:noWrap/>
            <w:vAlign w:val="center"/>
          </w:tcPr>
          <w:p w14:paraId="48A6F356">
            <w:pPr>
              <w:jc w:val="center"/>
              <w:rPr>
                <w:color w:val="000000"/>
                <w:kern w:val="0"/>
                <w:szCs w:val="21"/>
              </w:rPr>
            </w:pPr>
            <w:r>
              <w:rPr>
                <w:color w:val="000000"/>
                <w:kern w:val="0"/>
                <w:szCs w:val="21"/>
              </w:rPr>
              <w:t>39.01</w:t>
            </w:r>
          </w:p>
        </w:tc>
        <w:tc>
          <w:tcPr>
            <w:tcW w:w="497" w:type="pct"/>
            <w:shd w:val="clear" w:color="auto" w:fill="auto"/>
            <w:noWrap/>
            <w:vAlign w:val="center"/>
          </w:tcPr>
          <w:p w14:paraId="47D21756">
            <w:pPr>
              <w:jc w:val="center"/>
              <w:rPr>
                <w:color w:val="000000"/>
                <w:kern w:val="0"/>
                <w:szCs w:val="21"/>
              </w:rPr>
            </w:pPr>
            <w:r>
              <w:rPr>
                <w:color w:val="000000"/>
                <w:kern w:val="0"/>
                <w:szCs w:val="21"/>
              </w:rPr>
              <w:t>2类</w:t>
            </w:r>
          </w:p>
        </w:tc>
        <w:tc>
          <w:tcPr>
            <w:tcW w:w="347" w:type="pct"/>
            <w:shd w:val="clear" w:color="auto" w:fill="auto"/>
            <w:noWrap/>
            <w:vAlign w:val="center"/>
          </w:tcPr>
          <w:p w14:paraId="61D62A10">
            <w:pPr>
              <w:jc w:val="center"/>
              <w:rPr>
                <w:color w:val="000000"/>
                <w:kern w:val="0"/>
                <w:szCs w:val="21"/>
              </w:rPr>
            </w:pPr>
            <w:r>
              <w:rPr>
                <w:color w:val="000000"/>
                <w:kern w:val="0"/>
                <w:szCs w:val="21"/>
              </w:rPr>
              <w:t>50</w:t>
            </w:r>
          </w:p>
        </w:tc>
        <w:tc>
          <w:tcPr>
            <w:tcW w:w="422" w:type="pct"/>
            <w:shd w:val="clear" w:color="auto" w:fill="auto"/>
            <w:noWrap/>
            <w:vAlign w:val="center"/>
          </w:tcPr>
          <w:p w14:paraId="70189043">
            <w:pPr>
              <w:jc w:val="center"/>
              <w:rPr>
                <w:color w:val="000000"/>
                <w:kern w:val="0"/>
                <w:szCs w:val="21"/>
              </w:rPr>
            </w:pPr>
            <w:r>
              <w:rPr>
                <w:color w:val="000000"/>
                <w:kern w:val="0"/>
                <w:szCs w:val="21"/>
              </w:rPr>
              <w:t>是</w:t>
            </w:r>
          </w:p>
        </w:tc>
      </w:tr>
      <w:tr w14:paraId="1EC8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5FBB3358">
            <w:pPr>
              <w:jc w:val="center"/>
              <w:rPr>
                <w:color w:val="000000"/>
                <w:kern w:val="0"/>
                <w:szCs w:val="21"/>
              </w:rPr>
            </w:pPr>
            <w:r>
              <w:rPr>
                <w:color w:val="000000"/>
                <w:kern w:val="0"/>
                <w:szCs w:val="21"/>
              </w:rPr>
              <w:t>2</w:t>
            </w:r>
          </w:p>
        </w:tc>
        <w:tc>
          <w:tcPr>
            <w:tcW w:w="781" w:type="pct"/>
            <w:shd w:val="clear" w:color="auto" w:fill="auto"/>
            <w:noWrap/>
            <w:vAlign w:val="center"/>
          </w:tcPr>
          <w:p w14:paraId="2BADAFD4">
            <w:pPr>
              <w:jc w:val="center"/>
              <w:rPr>
                <w:color w:val="000000"/>
                <w:kern w:val="0"/>
                <w:szCs w:val="21"/>
              </w:rPr>
            </w:pPr>
            <w:r>
              <w:rPr>
                <w:color w:val="000000"/>
                <w:kern w:val="0"/>
                <w:szCs w:val="21"/>
              </w:rPr>
              <w:t>东侧场界外</w:t>
            </w:r>
          </w:p>
        </w:tc>
        <w:tc>
          <w:tcPr>
            <w:tcW w:w="384" w:type="pct"/>
            <w:shd w:val="clear" w:color="auto" w:fill="auto"/>
            <w:noWrap/>
            <w:vAlign w:val="center"/>
          </w:tcPr>
          <w:p w14:paraId="413F3155">
            <w:pPr>
              <w:jc w:val="center"/>
              <w:rPr>
                <w:color w:val="000000"/>
                <w:kern w:val="0"/>
                <w:szCs w:val="21"/>
              </w:rPr>
            </w:pPr>
            <w:r>
              <w:rPr>
                <w:color w:val="000000"/>
                <w:kern w:val="0"/>
                <w:szCs w:val="21"/>
              </w:rPr>
              <w:t>263</w:t>
            </w:r>
          </w:p>
        </w:tc>
        <w:tc>
          <w:tcPr>
            <w:tcW w:w="384" w:type="pct"/>
            <w:shd w:val="clear" w:color="auto" w:fill="auto"/>
            <w:noWrap/>
            <w:vAlign w:val="center"/>
          </w:tcPr>
          <w:p w14:paraId="30545123">
            <w:pPr>
              <w:jc w:val="center"/>
              <w:rPr>
                <w:color w:val="000000"/>
                <w:kern w:val="0"/>
                <w:szCs w:val="21"/>
              </w:rPr>
            </w:pPr>
            <w:r>
              <w:rPr>
                <w:color w:val="000000"/>
                <w:kern w:val="0"/>
                <w:szCs w:val="21"/>
              </w:rPr>
              <w:t>134.61</w:t>
            </w:r>
          </w:p>
        </w:tc>
        <w:tc>
          <w:tcPr>
            <w:tcW w:w="271" w:type="pct"/>
            <w:shd w:val="clear" w:color="auto" w:fill="auto"/>
            <w:noWrap/>
            <w:vAlign w:val="center"/>
          </w:tcPr>
          <w:p w14:paraId="2DB97B97">
            <w:pPr>
              <w:jc w:val="center"/>
              <w:rPr>
                <w:color w:val="000000"/>
                <w:kern w:val="0"/>
                <w:szCs w:val="21"/>
              </w:rPr>
            </w:pPr>
            <w:r>
              <w:rPr>
                <w:color w:val="000000"/>
                <w:kern w:val="0"/>
                <w:szCs w:val="21"/>
              </w:rPr>
              <w:t>1.2</w:t>
            </w:r>
          </w:p>
        </w:tc>
        <w:tc>
          <w:tcPr>
            <w:tcW w:w="497" w:type="pct"/>
            <w:shd w:val="clear" w:color="auto" w:fill="auto"/>
            <w:noWrap/>
            <w:vAlign w:val="center"/>
          </w:tcPr>
          <w:p w14:paraId="3FC71B75">
            <w:pPr>
              <w:jc w:val="center"/>
              <w:rPr>
                <w:color w:val="000000"/>
                <w:kern w:val="0"/>
                <w:szCs w:val="21"/>
              </w:rPr>
            </w:pPr>
            <w:r>
              <w:rPr>
                <w:color w:val="000000"/>
                <w:kern w:val="0"/>
                <w:szCs w:val="21"/>
              </w:rPr>
              <w:t>22.13</w:t>
            </w:r>
          </w:p>
        </w:tc>
        <w:tc>
          <w:tcPr>
            <w:tcW w:w="497" w:type="pct"/>
            <w:shd w:val="clear" w:color="auto" w:fill="auto"/>
            <w:noWrap/>
            <w:vAlign w:val="center"/>
          </w:tcPr>
          <w:p w14:paraId="54753BE8">
            <w:pPr>
              <w:jc w:val="center"/>
              <w:rPr>
                <w:color w:val="000000"/>
                <w:kern w:val="0"/>
                <w:szCs w:val="21"/>
              </w:rPr>
            </w:pPr>
            <w:r>
              <w:rPr>
                <w:color w:val="000000"/>
                <w:kern w:val="0"/>
                <w:szCs w:val="21"/>
              </w:rPr>
              <w:t>37</w:t>
            </w:r>
          </w:p>
        </w:tc>
        <w:tc>
          <w:tcPr>
            <w:tcW w:w="648" w:type="pct"/>
            <w:shd w:val="clear" w:color="auto" w:fill="auto"/>
            <w:noWrap/>
            <w:vAlign w:val="center"/>
          </w:tcPr>
          <w:p w14:paraId="30881C68">
            <w:pPr>
              <w:jc w:val="center"/>
              <w:rPr>
                <w:color w:val="000000"/>
                <w:kern w:val="0"/>
                <w:szCs w:val="21"/>
              </w:rPr>
            </w:pPr>
            <w:r>
              <w:rPr>
                <w:color w:val="000000"/>
                <w:kern w:val="0"/>
                <w:szCs w:val="21"/>
              </w:rPr>
              <w:t>37.14</w:t>
            </w:r>
          </w:p>
        </w:tc>
        <w:tc>
          <w:tcPr>
            <w:tcW w:w="497" w:type="pct"/>
            <w:shd w:val="clear" w:color="auto" w:fill="auto"/>
            <w:noWrap/>
            <w:vAlign w:val="center"/>
          </w:tcPr>
          <w:p w14:paraId="70B6958C">
            <w:pPr>
              <w:jc w:val="center"/>
              <w:rPr>
                <w:color w:val="000000"/>
                <w:kern w:val="0"/>
                <w:szCs w:val="21"/>
              </w:rPr>
            </w:pPr>
            <w:r>
              <w:rPr>
                <w:color w:val="000000"/>
                <w:kern w:val="0"/>
                <w:szCs w:val="21"/>
              </w:rPr>
              <w:t>2类</w:t>
            </w:r>
          </w:p>
        </w:tc>
        <w:tc>
          <w:tcPr>
            <w:tcW w:w="347" w:type="pct"/>
            <w:shd w:val="clear" w:color="auto" w:fill="auto"/>
            <w:noWrap/>
            <w:vAlign w:val="center"/>
          </w:tcPr>
          <w:p w14:paraId="27941EE9">
            <w:pPr>
              <w:jc w:val="center"/>
              <w:rPr>
                <w:color w:val="000000"/>
                <w:kern w:val="0"/>
                <w:szCs w:val="21"/>
              </w:rPr>
            </w:pPr>
            <w:r>
              <w:rPr>
                <w:color w:val="000000"/>
                <w:kern w:val="0"/>
                <w:szCs w:val="21"/>
              </w:rPr>
              <w:t>50</w:t>
            </w:r>
          </w:p>
        </w:tc>
        <w:tc>
          <w:tcPr>
            <w:tcW w:w="422" w:type="pct"/>
            <w:shd w:val="clear" w:color="auto" w:fill="auto"/>
            <w:noWrap/>
            <w:vAlign w:val="center"/>
          </w:tcPr>
          <w:p w14:paraId="78729EA4">
            <w:pPr>
              <w:jc w:val="center"/>
              <w:rPr>
                <w:color w:val="000000"/>
                <w:kern w:val="0"/>
                <w:szCs w:val="21"/>
              </w:rPr>
            </w:pPr>
            <w:r>
              <w:rPr>
                <w:color w:val="000000"/>
                <w:kern w:val="0"/>
                <w:szCs w:val="21"/>
              </w:rPr>
              <w:t>是</w:t>
            </w:r>
          </w:p>
        </w:tc>
      </w:tr>
      <w:tr w14:paraId="0A9B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10B5EFFD">
            <w:pPr>
              <w:jc w:val="center"/>
              <w:rPr>
                <w:color w:val="000000"/>
                <w:kern w:val="0"/>
                <w:szCs w:val="21"/>
              </w:rPr>
            </w:pPr>
            <w:r>
              <w:rPr>
                <w:color w:val="000000"/>
                <w:kern w:val="0"/>
                <w:szCs w:val="21"/>
              </w:rPr>
              <w:t>3</w:t>
            </w:r>
          </w:p>
        </w:tc>
        <w:tc>
          <w:tcPr>
            <w:tcW w:w="781" w:type="pct"/>
            <w:shd w:val="clear" w:color="auto" w:fill="auto"/>
            <w:noWrap/>
            <w:vAlign w:val="center"/>
          </w:tcPr>
          <w:p w14:paraId="2EC475A2">
            <w:pPr>
              <w:jc w:val="center"/>
              <w:rPr>
                <w:color w:val="000000"/>
                <w:kern w:val="0"/>
                <w:szCs w:val="21"/>
              </w:rPr>
            </w:pPr>
            <w:r>
              <w:rPr>
                <w:color w:val="000000"/>
                <w:kern w:val="0"/>
                <w:szCs w:val="21"/>
              </w:rPr>
              <w:t>北侧场界外</w:t>
            </w:r>
          </w:p>
        </w:tc>
        <w:tc>
          <w:tcPr>
            <w:tcW w:w="384" w:type="pct"/>
            <w:shd w:val="clear" w:color="auto" w:fill="auto"/>
            <w:noWrap/>
            <w:vAlign w:val="center"/>
          </w:tcPr>
          <w:p w14:paraId="41E18E96">
            <w:pPr>
              <w:jc w:val="center"/>
              <w:rPr>
                <w:color w:val="000000"/>
                <w:kern w:val="0"/>
                <w:szCs w:val="21"/>
              </w:rPr>
            </w:pPr>
            <w:r>
              <w:rPr>
                <w:color w:val="000000"/>
                <w:kern w:val="0"/>
                <w:szCs w:val="21"/>
              </w:rPr>
              <w:t>71.88</w:t>
            </w:r>
          </w:p>
        </w:tc>
        <w:tc>
          <w:tcPr>
            <w:tcW w:w="384" w:type="pct"/>
            <w:shd w:val="clear" w:color="auto" w:fill="auto"/>
            <w:noWrap/>
            <w:vAlign w:val="center"/>
          </w:tcPr>
          <w:p w14:paraId="0527D5F4">
            <w:pPr>
              <w:jc w:val="center"/>
              <w:rPr>
                <w:color w:val="000000"/>
                <w:kern w:val="0"/>
                <w:szCs w:val="21"/>
              </w:rPr>
            </w:pPr>
            <w:r>
              <w:rPr>
                <w:color w:val="000000"/>
                <w:kern w:val="0"/>
                <w:szCs w:val="21"/>
              </w:rPr>
              <w:t>486.11</w:t>
            </w:r>
          </w:p>
        </w:tc>
        <w:tc>
          <w:tcPr>
            <w:tcW w:w="271" w:type="pct"/>
            <w:shd w:val="clear" w:color="auto" w:fill="auto"/>
            <w:noWrap/>
            <w:vAlign w:val="center"/>
          </w:tcPr>
          <w:p w14:paraId="6447B3BA">
            <w:pPr>
              <w:jc w:val="center"/>
              <w:rPr>
                <w:color w:val="000000"/>
                <w:kern w:val="0"/>
                <w:szCs w:val="21"/>
              </w:rPr>
            </w:pPr>
            <w:r>
              <w:rPr>
                <w:color w:val="000000"/>
                <w:kern w:val="0"/>
                <w:szCs w:val="21"/>
              </w:rPr>
              <w:t>1.2</w:t>
            </w:r>
          </w:p>
        </w:tc>
        <w:tc>
          <w:tcPr>
            <w:tcW w:w="497" w:type="pct"/>
            <w:shd w:val="clear" w:color="auto" w:fill="auto"/>
            <w:noWrap/>
            <w:vAlign w:val="center"/>
          </w:tcPr>
          <w:p w14:paraId="2DC6C85A">
            <w:pPr>
              <w:jc w:val="center"/>
              <w:rPr>
                <w:color w:val="000000"/>
                <w:kern w:val="0"/>
                <w:szCs w:val="21"/>
              </w:rPr>
            </w:pPr>
            <w:r>
              <w:rPr>
                <w:color w:val="000000"/>
                <w:kern w:val="0"/>
                <w:szCs w:val="21"/>
              </w:rPr>
              <w:t>14.46</w:t>
            </w:r>
          </w:p>
        </w:tc>
        <w:tc>
          <w:tcPr>
            <w:tcW w:w="497" w:type="pct"/>
            <w:shd w:val="clear" w:color="auto" w:fill="auto"/>
            <w:noWrap/>
            <w:vAlign w:val="center"/>
          </w:tcPr>
          <w:p w14:paraId="3E01001C">
            <w:pPr>
              <w:jc w:val="center"/>
              <w:rPr>
                <w:color w:val="000000"/>
                <w:kern w:val="0"/>
                <w:szCs w:val="21"/>
              </w:rPr>
            </w:pPr>
            <w:r>
              <w:rPr>
                <w:color w:val="000000"/>
                <w:kern w:val="0"/>
                <w:szCs w:val="21"/>
              </w:rPr>
              <w:t>38</w:t>
            </w:r>
          </w:p>
        </w:tc>
        <w:tc>
          <w:tcPr>
            <w:tcW w:w="648" w:type="pct"/>
            <w:shd w:val="clear" w:color="auto" w:fill="auto"/>
            <w:noWrap/>
            <w:vAlign w:val="center"/>
          </w:tcPr>
          <w:p w14:paraId="476DFCBA">
            <w:pPr>
              <w:jc w:val="center"/>
              <w:rPr>
                <w:color w:val="000000"/>
                <w:kern w:val="0"/>
                <w:szCs w:val="21"/>
              </w:rPr>
            </w:pPr>
            <w:r>
              <w:rPr>
                <w:color w:val="000000"/>
                <w:kern w:val="0"/>
                <w:szCs w:val="21"/>
              </w:rPr>
              <w:t>38.02</w:t>
            </w:r>
          </w:p>
        </w:tc>
        <w:tc>
          <w:tcPr>
            <w:tcW w:w="497" w:type="pct"/>
            <w:shd w:val="clear" w:color="auto" w:fill="auto"/>
            <w:noWrap/>
            <w:vAlign w:val="center"/>
          </w:tcPr>
          <w:p w14:paraId="61853B24">
            <w:pPr>
              <w:jc w:val="center"/>
              <w:rPr>
                <w:color w:val="000000"/>
                <w:kern w:val="0"/>
                <w:szCs w:val="21"/>
              </w:rPr>
            </w:pPr>
            <w:r>
              <w:rPr>
                <w:color w:val="000000"/>
                <w:kern w:val="0"/>
                <w:szCs w:val="21"/>
              </w:rPr>
              <w:t>2类</w:t>
            </w:r>
          </w:p>
        </w:tc>
        <w:tc>
          <w:tcPr>
            <w:tcW w:w="347" w:type="pct"/>
            <w:shd w:val="clear" w:color="auto" w:fill="auto"/>
            <w:noWrap/>
            <w:vAlign w:val="center"/>
          </w:tcPr>
          <w:p w14:paraId="4F3AD089">
            <w:pPr>
              <w:jc w:val="center"/>
              <w:rPr>
                <w:color w:val="000000"/>
                <w:kern w:val="0"/>
                <w:szCs w:val="21"/>
              </w:rPr>
            </w:pPr>
            <w:r>
              <w:rPr>
                <w:color w:val="000000"/>
                <w:kern w:val="0"/>
                <w:szCs w:val="21"/>
              </w:rPr>
              <w:t>50</w:t>
            </w:r>
          </w:p>
        </w:tc>
        <w:tc>
          <w:tcPr>
            <w:tcW w:w="422" w:type="pct"/>
            <w:shd w:val="clear" w:color="auto" w:fill="auto"/>
            <w:noWrap/>
            <w:vAlign w:val="center"/>
          </w:tcPr>
          <w:p w14:paraId="1E5EE64C">
            <w:pPr>
              <w:jc w:val="center"/>
              <w:rPr>
                <w:color w:val="000000"/>
                <w:kern w:val="0"/>
                <w:szCs w:val="21"/>
              </w:rPr>
            </w:pPr>
            <w:r>
              <w:rPr>
                <w:color w:val="000000"/>
                <w:kern w:val="0"/>
                <w:szCs w:val="21"/>
              </w:rPr>
              <w:t>是</w:t>
            </w:r>
          </w:p>
        </w:tc>
      </w:tr>
      <w:tr w14:paraId="0B6B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1C5A8508">
            <w:pPr>
              <w:jc w:val="center"/>
              <w:rPr>
                <w:color w:val="000000"/>
                <w:kern w:val="0"/>
                <w:szCs w:val="21"/>
              </w:rPr>
            </w:pPr>
            <w:r>
              <w:rPr>
                <w:color w:val="000000"/>
                <w:kern w:val="0"/>
                <w:szCs w:val="21"/>
              </w:rPr>
              <w:t>4</w:t>
            </w:r>
          </w:p>
        </w:tc>
        <w:tc>
          <w:tcPr>
            <w:tcW w:w="781" w:type="pct"/>
            <w:shd w:val="clear" w:color="auto" w:fill="auto"/>
            <w:noWrap/>
            <w:vAlign w:val="center"/>
          </w:tcPr>
          <w:p w14:paraId="57AE4A56">
            <w:pPr>
              <w:jc w:val="center"/>
              <w:rPr>
                <w:color w:val="000000"/>
                <w:kern w:val="0"/>
                <w:szCs w:val="21"/>
              </w:rPr>
            </w:pPr>
            <w:r>
              <w:rPr>
                <w:color w:val="000000"/>
                <w:kern w:val="0"/>
                <w:szCs w:val="21"/>
              </w:rPr>
              <w:t>南侧场界外</w:t>
            </w:r>
          </w:p>
        </w:tc>
        <w:tc>
          <w:tcPr>
            <w:tcW w:w="384" w:type="pct"/>
            <w:shd w:val="clear" w:color="auto" w:fill="auto"/>
            <w:noWrap/>
            <w:vAlign w:val="center"/>
          </w:tcPr>
          <w:p w14:paraId="5466BB8E">
            <w:pPr>
              <w:jc w:val="center"/>
              <w:rPr>
                <w:color w:val="000000"/>
                <w:kern w:val="0"/>
                <w:szCs w:val="21"/>
              </w:rPr>
            </w:pPr>
            <w:r>
              <w:rPr>
                <w:color w:val="000000"/>
                <w:kern w:val="0"/>
                <w:szCs w:val="21"/>
              </w:rPr>
              <w:t>79.9</w:t>
            </w:r>
          </w:p>
        </w:tc>
        <w:tc>
          <w:tcPr>
            <w:tcW w:w="384" w:type="pct"/>
            <w:shd w:val="clear" w:color="auto" w:fill="auto"/>
            <w:noWrap/>
            <w:vAlign w:val="center"/>
          </w:tcPr>
          <w:p w14:paraId="04360929">
            <w:pPr>
              <w:jc w:val="center"/>
              <w:rPr>
                <w:color w:val="000000"/>
                <w:kern w:val="0"/>
                <w:szCs w:val="21"/>
              </w:rPr>
            </w:pPr>
            <w:r>
              <w:rPr>
                <w:color w:val="000000"/>
                <w:kern w:val="0"/>
                <w:szCs w:val="21"/>
              </w:rPr>
              <w:t>-67.2</w:t>
            </w:r>
          </w:p>
        </w:tc>
        <w:tc>
          <w:tcPr>
            <w:tcW w:w="271" w:type="pct"/>
            <w:shd w:val="clear" w:color="auto" w:fill="auto"/>
            <w:noWrap/>
            <w:vAlign w:val="center"/>
          </w:tcPr>
          <w:p w14:paraId="280A23D1">
            <w:pPr>
              <w:jc w:val="center"/>
              <w:rPr>
                <w:color w:val="000000"/>
                <w:kern w:val="0"/>
                <w:szCs w:val="21"/>
              </w:rPr>
            </w:pPr>
            <w:r>
              <w:rPr>
                <w:color w:val="000000"/>
                <w:kern w:val="0"/>
                <w:szCs w:val="21"/>
              </w:rPr>
              <w:t>1.2</w:t>
            </w:r>
          </w:p>
        </w:tc>
        <w:tc>
          <w:tcPr>
            <w:tcW w:w="497" w:type="pct"/>
            <w:shd w:val="clear" w:color="auto" w:fill="auto"/>
            <w:noWrap/>
            <w:vAlign w:val="center"/>
          </w:tcPr>
          <w:p w14:paraId="280CCC10">
            <w:pPr>
              <w:jc w:val="center"/>
              <w:rPr>
                <w:color w:val="000000"/>
                <w:kern w:val="0"/>
                <w:szCs w:val="21"/>
              </w:rPr>
            </w:pPr>
            <w:r>
              <w:rPr>
                <w:color w:val="000000"/>
                <w:kern w:val="0"/>
                <w:szCs w:val="21"/>
              </w:rPr>
              <w:t>23.67</w:t>
            </w:r>
          </w:p>
        </w:tc>
        <w:tc>
          <w:tcPr>
            <w:tcW w:w="497" w:type="pct"/>
            <w:shd w:val="clear" w:color="auto" w:fill="auto"/>
            <w:noWrap/>
            <w:vAlign w:val="center"/>
          </w:tcPr>
          <w:p w14:paraId="0DFD5210">
            <w:pPr>
              <w:jc w:val="center"/>
              <w:rPr>
                <w:color w:val="000000"/>
                <w:kern w:val="0"/>
                <w:szCs w:val="21"/>
              </w:rPr>
            </w:pPr>
            <w:r>
              <w:rPr>
                <w:color w:val="000000"/>
                <w:kern w:val="0"/>
                <w:szCs w:val="21"/>
              </w:rPr>
              <w:t>39</w:t>
            </w:r>
          </w:p>
        </w:tc>
        <w:tc>
          <w:tcPr>
            <w:tcW w:w="648" w:type="pct"/>
            <w:shd w:val="clear" w:color="auto" w:fill="auto"/>
            <w:noWrap/>
            <w:vAlign w:val="center"/>
          </w:tcPr>
          <w:p w14:paraId="4A41F7E5">
            <w:pPr>
              <w:jc w:val="center"/>
              <w:rPr>
                <w:color w:val="000000"/>
                <w:kern w:val="0"/>
                <w:szCs w:val="21"/>
              </w:rPr>
            </w:pPr>
            <w:r>
              <w:rPr>
                <w:color w:val="000000"/>
                <w:kern w:val="0"/>
                <w:szCs w:val="21"/>
              </w:rPr>
              <w:t>39.13</w:t>
            </w:r>
          </w:p>
        </w:tc>
        <w:tc>
          <w:tcPr>
            <w:tcW w:w="497" w:type="pct"/>
            <w:shd w:val="clear" w:color="auto" w:fill="auto"/>
            <w:noWrap/>
            <w:vAlign w:val="center"/>
          </w:tcPr>
          <w:p w14:paraId="5FCFDBFD">
            <w:pPr>
              <w:jc w:val="center"/>
              <w:rPr>
                <w:color w:val="000000"/>
                <w:kern w:val="0"/>
                <w:szCs w:val="21"/>
              </w:rPr>
            </w:pPr>
            <w:r>
              <w:rPr>
                <w:color w:val="000000"/>
                <w:kern w:val="0"/>
                <w:szCs w:val="21"/>
              </w:rPr>
              <w:t>2类</w:t>
            </w:r>
          </w:p>
        </w:tc>
        <w:tc>
          <w:tcPr>
            <w:tcW w:w="347" w:type="pct"/>
            <w:shd w:val="clear" w:color="auto" w:fill="auto"/>
            <w:noWrap/>
            <w:vAlign w:val="center"/>
          </w:tcPr>
          <w:p w14:paraId="443763E8">
            <w:pPr>
              <w:jc w:val="center"/>
              <w:rPr>
                <w:color w:val="000000"/>
                <w:kern w:val="0"/>
                <w:szCs w:val="21"/>
              </w:rPr>
            </w:pPr>
            <w:r>
              <w:rPr>
                <w:color w:val="000000"/>
                <w:kern w:val="0"/>
                <w:szCs w:val="21"/>
              </w:rPr>
              <w:t>50</w:t>
            </w:r>
          </w:p>
        </w:tc>
        <w:tc>
          <w:tcPr>
            <w:tcW w:w="422" w:type="pct"/>
            <w:shd w:val="clear" w:color="auto" w:fill="auto"/>
            <w:noWrap/>
            <w:vAlign w:val="center"/>
          </w:tcPr>
          <w:p w14:paraId="1C00A3CF">
            <w:pPr>
              <w:jc w:val="center"/>
              <w:rPr>
                <w:color w:val="000000"/>
                <w:kern w:val="0"/>
                <w:szCs w:val="21"/>
              </w:rPr>
            </w:pPr>
            <w:r>
              <w:rPr>
                <w:color w:val="000000"/>
                <w:kern w:val="0"/>
                <w:szCs w:val="21"/>
              </w:rPr>
              <w:t>是</w:t>
            </w:r>
          </w:p>
        </w:tc>
      </w:tr>
      <w:tr w14:paraId="1F6A1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39AAC4F3">
            <w:pPr>
              <w:jc w:val="center"/>
              <w:rPr>
                <w:color w:val="000000"/>
                <w:kern w:val="0"/>
                <w:szCs w:val="21"/>
              </w:rPr>
            </w:pPr>
            <w:r>
              <w:rPr>
                <w:color w:val="000000"/>
                <w:kern w:val="0"/>
                <w:szCs w:val="21"/>
              </w:rPr>
              <w:t>5</w:t>
            </w:r>
          </w:p>
        </w:tc>
        <w:tc>
          <w:tcPr>
            <w:tcW w:w="781" w:type="pct"/>
            <w:shd w:val="clear" w:color="auto" w:fill="auto"/>
            <w:noWrap/>
            <w:vAlign w:val="center"/>
          </w:tcPr>
          <w:p w14:paraId="67526A54">
            <w:pPr>
              <w:jc w:val="center"/>
              <w:rPr>
                <w:color w:val="000000"/>
                <w:kern w:val="0"/>
                <w:szCs w:val="21"/>
              </w:rPr>
            </w:pPr>
            <w:r>
              <w:rPr>
                <w:color w:val="000000"/>
                <w:kern w:val="0"/>
                <w:szCs w:val="21"/>
              </w:rPr>
              <w:t>场界东北侧居民处</w:t>
            </w:r>
          </w:p>
        </w:tc>
        <w:tc>
          <w:tcPr>
            <w:tcW w:w="384" w:type="pct"/>
            <w:shd w:val="clear" w:color="auto" w:fill="auto"/>
            <w:noWrap/>
            <w:vAlign w:val="center"/>
          </w:tcPr>
          <w:p w14:paraId="5FC6005D">
            <w:pPr>
              <w:jc w:val="center"/>
              <w:rPr>
                <w:color w:val="000000"/>
                <w:kern w:val="0"/>
                <w:szCs w:val="21"/>
              </w:rPr>
            </w:pPr>
            <w:r>
              <w:rPr>
                <w:color w:val="000000"/>
                <w:kern w:val="0"/>
                <w:szCs w:val="21"/>
              </w:rPr>
              <w:t>396.65</w:t>
            </w:r>
          </w:p>
        </w:tc>
        <w:tc>
          <w:tcPr>
            <w:tcW w:w="384" w:type="pct"/>
            <w:shd w:val="clear" w:color="auto" w:fill="auto"/>
            <w:noWrap/>
            <w:vAlign w:val="center"/>
          </w:tcPr>
          <w:p w14:paraId="4A08E68C">
            <w:pPr>
              <w:jc w:val="center"/>
              <w:rPr>
                <w:color w:val="000000"/>
                <w:kern w:val="0"/>
                <w:szCs w:val="21"/>
              </w:rPr>
            </w:pPr>
            <w:r>
              <w:rPr>
                <w:color w:val="000000"/>
                <w:kern w:val="0"/>
                <w:szCs w:val="21"/>
              </w:rPr>
              <w:t>360.48</w:t>
            </w:r>
          </w:p>
        </w:tc>
        <w:tc>
          <w:tcPr>
            <w:tcW w:w="271" w:type="pct"/>
            <w:shd w:val="clear" w:color="auto" w:fill="auto"/>
            <w:noWrap/>
            <w:vAlign w:val="center"/>
          </w:tcPr>
          <w:p w14:paraId="52815EE0">
            <w:pPr>
              <w:jc w:val="center"/>
              <w:rPr>
                <w:color w:val="000000"/>
                <w:kern w:val="0"/>
                <w:szCs w:val="21"/>
              </w:rPr>
            </w:pPr>
            <w:r>
              <w:rPr>
                <w:color w:val="000000"/>
                <w:kern w:val="0"/>
                <w:szCs w:val="21"/>
              </w:rPr>
              <w:t>1.2</w:t>
            </w:r>
          </w:p>
        </w:tc>
        <w:tc>
          <w:tcPr>
            <w:tcW w:w="497" w:type="pct"/>
            <w:shd w:val="clear" w:color="auto" w:fill="auto"/>
            <w:noWrap/>
            <w:vAlign w:val="center"/>
          </w:tcPr>
          <w:p w14:paraId="4821A54B">
            <w:pPr>
              <w:jc w:val="center"/>
              <w:rPr>
                <w:color w:val="000000"/>
                <w:kern w:val="0"/>
                <w:szCs w:val="21"/>
              </w:rPr>
            </w:pPr>
            <w:r>
              <w:rPr>
                <w:color w:val="000000"/>
                <w:kern w:val="0"/>
                <w:szCs w:val="21"/>
              </w:rPr>
              <w:t>13.66</w:t>
            </w:r>
          </w:p>
        </w:tc>
        <w:tc>
          <w:tcPr>
            <w:tcW w:w="497" w:type="pct"/>
            <w:shd w:val="clear" w:color="auto" w:fill="auto"/>
            <w:noWrap/>
            <w:vAlign w:val="center"/>
          </w:tcPr>
          <w:p w14:paraId="4DCF19FE">
            <w:pPr>
              <w:jc w:val="center"/>
              <w:rPr>
                <w:color w:val="000000"/>
                <w:kern w:val="0"/>
                <w:szCs w:val="21"/>
              </w:rPr>
            </w:pPr>
            <w:r>
              <w:rPr>
                <w:color w:val="000000"/>
                <w:kern w:val="0"/>
                <w:szCs w:val="21"/>
              </w:rPr>
              <w:t>38</w:t>
            </w:r>
          </w:p>
        </w:tc>
        <w:tc>
          <w:tcPr>
            <w:tcW w:w="648" w:type="pct"/>
            <w:shd w:val="clear" w:color="auto" w:fill="auto"/>
            <w:noWrap/>
            <w:vAlign w:val="center"/>
          </w:tcPr>
          <w:p w14:paraId="1D2506C2">
            <w:pPr>
              <w:jc w:val="center"/>
              <w:rPr>
                <w:color w:val="000000"/>
                <w:kern w:val="0"/>
                <w:szCs w:val="21"/>
              </w:rPr>
            </w:pPr>
            <w:r>
              <w:rPr>
                <w:color w:val="000000"/>
                <w:kern w:val="0"/>
                <w:szCs w:val="21"/>
              </w:rPr>
              <w:t>38.02</w:t>
            </w:r>
          </w:p>
        </w:tc>
        <w:tc>
          <w:tcPr>
            <w:tcW w:w="497" w:type="pct"/>
            <w:shd w:val="clear" w:color="auto" w:fill="auto"/>
            <w:noWrap/>
            <w:vAlign w:val="center"/>
          </w:tcPr>
          <w:p w14:paraId="30810004">
            <w:pPr>
              <w:jc w:val="center"/>
              <w:rPr>
                <w:color w:val="000000"/>
                <w:kern w:val="0"/>
                <w:szCs w:val="21"/>
              </w:rPr>
            </w:pPr>
            <w:r>
              <w:rPr>
                <w:color w:val="000000"/>
                <w:kern w:val="0"/>
                <w:szCs w:val="21"/>
              </w:rPr>
              <w:t>2类</w:t>
            </w:r>
          </w:p>
        </w:tc>
        <w:tc>
          <w:tcPr>
            <w:tcW w:w="347" w:type="pct"/>
            <w:shd w:val="clear" w:color="auto" w:fill="auto"/>
            <w:noWrap/>
            <w:vAlign w:val="center"/>
          </w:tcPr>
          <w:p w14:paraId="5FEA747D">
            <w:pPr>
              <w:jc w:val="center"/>
              <w:rPr>
                <w:color w:val="000000"/>
                <w:kern w:val="0"/>
                <w:szCs w:val="21"/>
              </w:rPr>
            </w:pPr>
            <w:r>
              <w:rPr>
                <w:color w:val="000000"/>
                <w:kern w:val="0"/>
                <w:szCs w:val="21"/>
              </w:rPr>
              <w:t>50</w:t>
            </w:r>
          </w:p>
        </w:tc>
        <w:tc>
          <w:tcPr>
            <w:tcW w:w="422" w:type="pct"/>
            <w:shd w:val="clear" w:color="auto" w:fill="auto"/>
            <w:noWrap/>
            <w:vAlign w:val="center"/>
          </w:tcPr>
          <w:p w14:paraId="4083D3D9">
            <w:pPr>
              <w:jc w:val="center"/>
              <w:rPr>
                <w:color w:val="000000"/>
                <w:kern w:val="0"/>
                <w:szCs w:val="21"/>
              </w:rPr>
            </w:pPr>
            <w:r>
              <w:rPr>
                <w:color w:val="000000"/>
                <w:kern w:val="0"/>
                <w:szCs w:val="21"/>
              </w:rPr>
              <w:t>是</w:t>
            </w:r>
          </w:p>
        </w:tc>
      </w:tr>
      <w:tr w14:paraId="05F7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440D11D5">
            <w:pPr>
              <w:jc w:val="center"/>
              <w:rPr>
                <w:color w:val="000000"/>
                <w:kern w:val="0"/>
                <w:szCs w:val="21"/>
              </w:rPr>
            </w:pPr>
            <w:r>
              <w:rPr>
                <w:color w:val="000000"/>
                <w:kern w:val="0"/>
                <w:szCs w:val="21"/>
              </w:rPr>
              <w:t>6</w:t>
            </w:r>
          </w:p>
        </w:tc>
        <w:tc>
          <w:tcPr>
            <w:tcW w:w="781" w:type="pct"/>
            <w:shd w:val="clear" w:color="auto" w:fill="auto"/>
            <w:noWrap/>
            <w:vAlign w:val="center"/>
          </w:tcPr>
          <w:p w14:paraId="4471F3F1">
            <w:pPr>
              <w:jc w:val="center"/>
              <w:rPr>
                <w:color w:val="000000"/>
                <w:kern w:val="0"/>
                <w:szCs w:val="21"/>
              </w:rPr>
            </w:pPr>
            <w:r>
              <w:rPr>
                <w:color w:val="000000"/>
                <w:kern w:val="0"/>
                <w:szCs w:val="21"/>
              </w:rPr>
              <w:t>场界东南侧居民处</w:t>
            </w:r>
          </w:p>
        </w:tc>
        <w:tc>
          <w:tcPr>
            <w:tcW w:w="384" w:type="pct"/>
            <w:shd w:val="clear" w:color="auto" w:fill="auto"/>
            <w:noWrap/>
            <w:vAlign w:val="center"/>
          </w:tcPr>
          <w:p w14:paraId="62A83D0A">
            <w:pPr>
              <w:jc w:val="center"/>
              <w:rPr>
                <w:color w:val="000000"/>
                <w:kern w:val="0"/>
                <w:szCs w:val="21"/>
              </w:rPr>
            </w:pPr>
            <w:r>
              <w:rPr>
                <w:color w:val="000000"/>
                <w:kern w:val="0"/>
                <w:szCs w:val="21"/>
              </w:rPr>
              <w:t>248.3</w:t>
            </w:r>
          </w:p>
        </w:tc>
        <w:tc>
          <w:tcPr>
            <w:tcW w:w="384" w:type="pct"/>
            <w:shd w:val="clear" w:color="auto" w:fill="auto"/>
            <w:noWrap/>
            <w:vAlign w:val="center"/>
          </w:tcPr>
          <w:p w14:paraId="6B3A9653">
            <w:pPr>
              <w:jc w:val="center"/>
              <w:rPr>
                <w:color w:val="000000"/>
                <w:kern w:val="0"/>
                <w:szCs w:val="21"/>
              </w:rPr>
            </w:pPr>
            <w:r>
              <w:rPr>
                <w:color w:val="000000"/>
                <w:kern w:val="0"/>
                <w:szCs w:val="21"/>
              </w:rPr>
              <w:t>-158.08</w:t>
            </w:r>
          </w:p>
        </w:tc>
        <w:tc>
          <w:tcPr>
            <w:tcW w:w="271" w:type="pct"/>
            <w:shd w:val="clear" w:color="auto" w:fill="auto"/>
            <w:noWrap/>
            <w:vAlign w:val="center"/>
          </w:tcPr>
          <w:p w14:paraId="41A5EB5C">
            <w:pPr>
              <w:jc w:val="center"/>
              <w:rPr>
                <w:color w:val="000000"/>
                <w:kern w:val="0"/>
                <w:szCs w:val="21"/>
              </w:rPr>
            </w:pPr>
            <w:r>
              <w:rPr>
                <w:color w:val="000000"/>
                <w:kern w:val="0"/>
                <w:szCs w:val="21"/>
              </w:rPr>
              <w:t>1.2</w:t>
            </w:r>
          </w:p>
        </w:tc>
        <w:tc>
          <w:tcPr>
            <w:tcW w:w="497" w:type="pct"/>
            <w:shd w:val="clear" w:color="auto" w:fill="auto"/>
            <w:noWrap/>
            <w:vAlign w:val="center"/>
          </w:tcPr>
          <w:p w14:paraId="1542EFFB">
            <w:pPr>
              <w:jc w:val="center"/>
              <w:rPr>
                <w:color w:val="000000"/>
                <w:kern w:val="0"/>
                <w:szCs w:val="21"/>
              </w:rPr>
            </w:pPr>
            <w:r>
              <w:rPr>
                <w:color w:val="000000"/>
                <w:kern w:val="0"/>
                <w:szCs w:val="21"/>
              </w:rPr>
              <w:t>15.82</w:t>
            </w:r>
          </w:p>
        </w:tc>
        <w:tc>
          <w:tcPr>
            <w:tcW w:w="497" w:type="pct"/>
            <w:shd w:val="clear" w:color="auto" w:fill="auto"/>
            <w:noWrap/>
            <w:vAlign w:val="center"/>
          </w:tcPr>
          <w:p w14:paraId="43FD3591">
            <w:pPr>
              <w:jc w:val="center"/>
              <w:rPr>
                <w:color w:val="000000"/>
                <w:kern w:val="0"/>
                <w:szCs w:val="21"/>
              </w:rPr>
            </w:pPr>
            <w:r>
              <w:rPr>
                <w:color w:val="000000"/>
                <w:kern w:val="0"/>
                <w:szCs w:val="21"/>
              </w:rPr>
              <w:t>38.5</w:t>
            </w:r>
          </w:p>
        </w:tc>
        <w:tc>
          <w:tcPr>
            <w:tcW w:w="648" w:type="pct"/>
            <w:shd w:val="clear" w:color="auto" w:fill="auto"/>
            <w:noWrap/>
            <w:vAlign w:val="center"/>
          </w:tcPr>
          <w:p w14:paraId="63FCDD28">
            <w:pPr>
              <w:jc w:val="center"/>
              <w:rPr>
                <w:color w:val="000000"/>
                <w:kern w:val="0"/>
                <w:szCs w:val="21"/>
              </w:rPr>
            </w:pPr>
            <w:r>
              <w:rPr>
                <w:color w:val="000000"/>
                <w:kern w:val="0"/>
                <w:szCs w:val="21"/>
              </w:rPr>
              <w:t>38.52</w:t>
            </w:r>
          </w:p>
        </w:tc>
        <w:tc>
          <w:tcPr>
            <w:tcW w:w="497" w:type="pct"/>
            <w:shd w:val="clear" w:color="auto" w:fill="auto"/>
            <w:noWrap/>
            <w:vAlign w:val="center"/>
          </w:tcPr>
          <w:p w14:paraId="76BD2D6E">
            <w:pPr>
              <w:jc w:val="center"/>
              <w:rPr>
                <w:color w:val="000000"/>
                <w:kern w:val="0"/>
                <w:szCs w:val="21"/>
              </w:rPr>
            </w:pPr>
            <w:r>
              <w:rPr>
                <w:color w:val="000000"/>
                <w:kern w:val="0"/>
                <w:szCs w:val="21"/>
              </w:rPr>
              <w:t>2类</w:t>
            </w:r>
          </w:p>
        </w:tc>
        <w:tc>
          <w:tcPr>
            <w:tcW w:w="347" w:type="pct"/>
            <w:shd w:val="clear" w:color="auto" w:fill="auto"/>
            <w:noWrap/>
            <w:vAlign w:val="center"/>
          </w:tcPr>
          <w:p w14:paraId="5284D65C">
            <w:pPr>
              <w:jc w:val="center"/>
              <w:rPr>
                <w:color w:val="000000"/>
                <w:kern w:val="0"/>
                <w:szCs w:val="21"/>
              </w:rPr>
            </w:pPr>
            <w:r>
              <w:rPr>
                <w:color w:val="000000"/>
                <w:kern w:val="0"/>
                <w:szCs w:val="21"/>
              </w:rPr>
              <w:t>50</w:t>
            </w:r>
          </w:p>
        </w:tc>
        <w:tc>
          <w:tcPr>
            <w:tcW w:w="422" w:type="pct"/>
            <w:shd w:val="clear" w:color="auto" w:fill="auto"/>
            <w:noWrap/>
            <w:vAlign w:val="center"/>
          </w:tcPr>
          <w:p w14:paraId="4D207BEF">
            <w:pPr>
              <w:jc w:val="center"/>
              <w:rPr>
                <w:color w:val="000000"/>
                <w:kern w:val="0"/>
                <w:szCs w:val="21"/>
              </w:rPr>
            </w:pPr>
            <w:r>
              <w:rPr>
                <w:color w:val="000000"/>
                <w:kern w:val="0"/>
                <w:szCs w:val="21"/>
              </w:rPr>
              <w:t>是</w:t>
            </w:r>
          </w:p>
        </w:tc>
      </w:tr>
      <w:tr w14:paraId="5955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0824022C">
            <w:pPr>
              <w:jc w:val="center"/>
              <w:rPr>
                <w:color w:val="000000"/>
                <w:kern w:val="0"/>
                <w:szCs w:val="21"/>
              </w:rPr>
            </w:pPr>
            <w:r>
              <w:rPr>
                <w:color w:val="000000"/>
                <w:kern w:val="0"/>
                <w:szCs w:val="21"/>
              </w:rPr>
              <w:t>7</w:t>
            </w:r>
          </w:p>
        </w:tc>
        <w:tc>
          <w:tcPr>
            <w:tcW w:w="781" w:type="pct"/>
            <w:shd w:val="clear" w:color="auto" w:fill="auto"/>
            <w:noWrap/>
            <w:vAlign w:val="center"/>
          </w:tcPr>
          <w:p w14:paraId="68740AA1">
            <w:pPr>
              <w:jc w:val="center"/>
              <w:rPr>
                <w:color w:val="000000"/>
                <w:kern w:val="0"/>
                <w:szCs w:val="21"/>
              </w:rPr>
            </w:pPr>
            <w:r>
              <w:rPr>
                <w:color w:val="000000"/>
                <w:kern w:val="0"/>
                <w:szCs w:val="21"/>
              </w:rPr>
              <w:t>场界北侧居民处</w:t>
            </w:r>
          </w:p>
        </w:tc>
        <w:tc>
          <w:tcPr>
            <w:tcW w:w="384" w:type="pct"/>
            <w:shd w:val="clear" w:color="auto" w:fill="auto"/>
            <w:noWrap/>
            <w:vAlign w:val="center"/>
          </w:tcPr>
          <w:p w14:paraId="46C8A89E">
            <w:pPr>
              <w:jc w:val="center"/>
              <w:rPr>
                <w:color w:val="000000"/>
                <w:kern w:val="0"/>
                <w:szCs w:val="21"/>
              </w:rPr>
            </w:pPr>
            <w:r>
              <w:rPr>
                <w:color w:val="000000"/>
                <w:kern w:val="0"/>
                <w:szCs w:val="21"/>
              </w:rPr>
              <w:t>50.5</w:t>
            </w:r>
          </w:p>
        </w:tc>
        <w:tc>
          <w:tcPr>
            <w:tcW w:w="384" w:type="pct"/>
            <w:shd w:val="clear" w:color="auto" w:fill="auto"/>
            <w:noWrap/>
            <w:vAlign w:val="center"/>
          </w:tcPr>
          <w:p w14:paraId="1AF97EFB">
            <w:pPr>
              <w:jc w:val="center"/>
              <w:rPr>
                <w:color w:val="000000"/>
                <w:kern w:val="0"/>
                <w:szCs w:val="21"/>
              </w:rPr>
            </w:pPr>
            <w:r>
              <w:rPr>
                <w:color w:val="000000"/>
                <w:kern w:val="0"/>
                <w:szCs w:val="21"/>
              </w:rPr>
              <w:t>527.54</w:t>
            </w:r>
          </w:p>
        </w:tc>
        <w:tc>
          <w:tcPr>
            <w:tcW w:w="271" w:type="pct"/>
            <w:shd w:val="clear" w:color="auto" w:fill="auto"/>
            <w:noWrap/>
            <w:vAlign w:val="center"/>
          </w:tcPr>
          <w:p w14:paraId="708924E5">
            <w:pPr>
              <w:jc w:val="center"/>
              <w:rPr>
                <w:color w:val="000000"/>
                <w:kern w:val="0"/>
                <w:szCs w:val="21"/>
              </w:rPr>
            </w:pPr>
            <w:r>
              <w:rPr>
                <w:color w:val="000000"/>
                <w:kern w:val="0"/>
                <w:szCs w:val="21"/>
              </w:rPr>
              <w:t>1.2</w:t>
            </w:r>
          </w:p>
        </w:tc>
        <w:tc>
          <w:tcPr>
            <w:tcW w:w="497" w:type="pct"/>
            <w:shd w:val="clear" w:color="auto" w:fill="auto"/>
            <w:noWrap/>
            <w:vAlign w:val="center"/>
          </w:tcPr>
          <w:p w14:paraId="58594A7E">
            <w:pPr>
              <w:jc w:val="center"/>
              <w:rPr>
                <w:color w:val="000000"/>
                <w:kern w:val="0"/>
                <w:szCs w:val="21"/>
              </w:rPr>
            </w:pPr>
            <w:r>
              <w:rPr>
                <w:color w:val="000000"/>
                <w:kern w:val="0"/>
                <w:szCs w:val="21"/>
              </w:rPr>
              <w:t>13.27</w:t>
            </w:r>
          </w:p>
        </w:tc>
        <w:tc>
          <w:tcPr>
            <w:tcW w:w="497" w:type="pct"/>
            <w:shd w:val="clear" w:color="auto" w:fill="auto"/>
            <w:noWrap/>
            <w:vAlign w:val="center"/>
          </w:tcPr>
          <w:p w14:paraId="748BB3CA">
            <w:pPr>
              <w:jc w:val="center"/>
              <w:rPr>
                <w:color w:val="000000"/>
                <w:kern w:val="0"/>
                <w:szCs w:val="21"/>
              </w:rPr>
            </w:pPr>
            <w:r>
              <w:rPr>
                <w:color w:val="000000"/>
                <w:kern w:val="0"/>
                <w:szCs w:val="21"/>
              </w:rPr>
              <w:t>40</w:t>
            </w:r>
          </w:p>
        </w:tc>
        <w:tc>
          <w:tcPr>
            <w:tcW w:w="648" w:type="pct"/>
            <w:shd w:val="clear" w:color="auto" w:fill="auto"/>
            <w:noWrap/>
            <w:vAlign w:val="center"/>
          </w:tcPr>
          <w:p w14:paraId="2E7D3B6E">
            <w:pPr>
              <w:jc w:val="center"/>
              <w:rPr>
                <w:color w:val="000000"/>
                <w:kern w:val="0"/>
                <w:szCs w:val="21"/>
              </w:rPr>
            </w:pPr>
            <w:r>
              <w:rPr>
                <w:color w:val="000000"/>
                <w:kern w:val="0"/>
                <w:szCs w:val="21"/>
              </w:rPr>
              <w:t>40.01</w:t>
            </w:r>
          </w:p>
        </w:tc>
        <w:tc>
          <w:tcPr>
            <w:tcW w:w="497" w:type="pct"/>
            <w:shd w:val="clear" w:color="auto" w:fill="auto"/>
            <w:noWrap/>
            <w:vAlign w:val="center"/>
          </w:tcPr>
          <w:p w14:paraId="155DA5EF">
            <w:pPr>
              <w:jc w:val="center"/>
              <w:rPr>
                <w:color w:val="000000"/>
                <w:kern w:val="0"/>
                <w:szCs w:val="21"/>
              </w:rPr>
            </w:pPr>
            <w:r>
              <w:rPr>
                <w:color w:val="000000"/>
                <w:kern w:val="0"/>
                <w:szCs w:val="21"/>
              </w:rPr>
              <w:t>2类</w:t>
            </w:r>
          </w:p>
        </w:tc>
        <w:tc>
          <w:tcPr>
            <w:tcW w:w="347" w:type="pct"/>
            <w:shd w:val="clear" w:color="auto" w:fill="auto"/>
            <w:noWrap/>
            <w:vAlign w:val="center"/>
          </w:tcPr>
          <w:p w14:paraId="44B3736D">
            <w:pPr>
              <w:jc w:val="center"/>
              <w:rPr>
                <w:color w:val="000000"/>
                <w:kern w:val="0"/>
                <w:szCs w:val="21"/>
              </w:rPr>
            </w:pPr>
            <w:r>
              <w:rPr>
                <w:color w:val="000000"/>
                <w:kern w:val="0"/>
                <w:szCs w:val="21"/>
              </w:rPr>
              <w:t>50</w:t>
            </w:r>
          </w:p>
        </w:tc>
        <w:tc>
          <w:tcPr>
            <w:tcW w:w="422" w:type="pct"/>
            <w:shd w:val="clear" w:color="auto" w:fill="auto"/>
            <w:noWrap/>
            <w:vAlign w:val="center"/>
          </w:tcPr>
          <w:p w14:paraId="335FFFE1">
            <w:pPr>
              <w:jc w:val="center"/>
              <w:rPr>
                <w:color w:val="000000"/>
                <w:kern w:val="0"/>
                <w:szCs w:val="21"/>
              </w:rPr>
            </w:pPr>
            <w:r>
              <w:rPr>
                <w:color w:val="000000"/>
                <w:kern w:val="0"/>
                <w:szCs w:val="21"/>
              </w:rPr>
              <w:t>是</w:t>
            </w:r>
          </w:p>
        </w:tc>
      </w:tr>
      <w:tr w14:paraId="0995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4D740556">
            <w:pPr>
              <w:jc w:val="center"/>
              <w:rPr>
                <w:color w:val="000000"/>
                <w:kern w:val="0"/>
                <w:szCs w:val="21"/>
              </w:rPr>
            </w:pPr>
            <w:r>
              <w:rPr>
                <w:color w:val="000000"/>
                <w:kern w:val="0"/>
                <w:szCs w:val="21"/>
              </w:rPr>
              <w:t>8</w:t>
            </w:r>
          </w:p>
        </w:tc>
        <w:tc>
          <w:tcPr>
            <w:tcW w:w="781" w:type="pct"/>
            <w:shd w:val="clear" w:color="auto" w:fill="auto"/>
            <w:noWrap/>
            <w:vAlign w:val="center"/>
          </w:tcPr>
          <w:p w14:paraId="76FD90A0">
            <w:pPr>
              <w:jc w:val="center"/>
              <w:rPr>
                <w:color w:val="000000"/>
                <w:kern w:val="0"/>
                <w:szCs w:val="21"/>
              </w:rPr>
            </w:pPr>
            <w:r>
              <w:rPr>
                <w:color w:val="000000"/>
                <w:kern w:val="0"/>
                <w:szCs w:val="21"/>
              </w:rPr>
              <w:t>场界西侧居民处</w:t>
            </w:r>
          </w:p>
        </w:tc>
        <w:tc>
          <w:tcPr>
            <w:tcW w:w="384" w:type="pct"/>
            <w:shd w:val="clear" w:color="auto" w:fill="auto"/>
            <w:noWrap/>
            <w:vAlign w:val="center"/>
          </w:tcPr>
          <w:p w14:paraId="78A248E7">
            <w:pPr>
              <w:jc w:val="center"/>
              <w:rPr>
                <w:color w:val="000000"/>
                <w:kern w:val="0"/>
                <w:szCs w:val="21"/>
              </w:rPr>
            </w:pPr>
            <w:r>
              <w:rPr>
                <w:color w:val="000000"/>
                <w:kern w:val="0"/>
                <w:szCs w:val="21"/>
              </w:rPr>
              <w:t>-349.11</w:t>
            </w:r>
          </w:p>
        </w:tc>
        <w:tc>
          <w:tcPr>
            <w:tcW w:w="384" w:type="pct"/>
            <w:shd w:val="clear" w:color="auto" w:fill="auto"/>
            <w:noWrap/>
            <w:vAlign w:val="center"/>
          </w:tcPr>
          <w:p w14:paraId="04D3ACA6">
            <w:pPr>
              <w:jc w:val="center"/>
              <w:rPr>
                <w:color w:val="000000"/>
                <w:kern w:val="0"/>
                <w:szCs w:val="21"/>
              </w:rPr>
            </w:pPr>
            <w:r>
              <w:rPr>
                <w:color w:val="000000"/>
                <w:kern w:val="0"/>
                <w:szCs w:val="21"/>
              </w:rPr>
              <w:t>323.06</w:t>
            </w:r>
          </w:p>
        </w:tc>
        <w:tc>
          <w:tcPr>
            <w:tcW w:w="271" w:type="pct"/>
            <w:shd w:val="clear" w:color="auto" w:fill="auto"/>
            <w:noWrap/>
            <w:vAlign w:val="center"/>
          </w:tcPr>
          <w:p w14:paraId="479310FB">
            <w:pPr>
              <w:jc w:val="center"/>
              <w:rPr>
                <w:color w:val="000000"/>
                <w:kern w:val="0"/>
                <w:szCs w:val="21"/>
              </w:rPr>
            </w:pPr>
            <w:r>
              <w:rPr>
                <w:color w:val="000000"/>
                <w:kern w:val="0"/>
                <w:szCs w:val="21"/>
              </w:rPr>
              <w:t>1.2</w:t>
            </w:r>
          </w:p>
        </w:tc>
        <w:tc>
          <w:tcPr>
            <w:tcW w:w="497" w:type="pct"/>
            <w:shd w:val="clear" w:color="auto" w:fill="auto"/>
            <w:noWrap/>
            <w:vAlign w:val="center"/>
          </w:tcPr>
          <w:p w14:paraId="6FFF3B42">
            <w:pPr>
              <w:jc w:val="center"/>
              <w:rPr>
                <w:color w:val="000000"/>
                <w:kern w:val="0"/>
                <w:szCs w:val="21"/>
              </w:rPr>
            </w:pPr>
            <w:r>
              <w:rPr>
                <w:color w:val="000000"/>
                <w:kern w:val="0"/>
                <w:szCs w:val="21"/>
              </w:rPr>
              <w:t>9.96</w:t>
            </w:r>
          </w:p>
        </w:tc>
        <w:tc>
          <w:tcPr>
            <w:tcW w:w="497" w:type="pct"/>
            <w:shd w:val="clear" w:color="auto" w:fill="auto"/>
            <w:noWrap/>
            <w:vAlign w:val="center"/>
          </w:tcPr>
          <w:p w14:paraId="2D913728">
            <w:pPr>
              <w:jc w:val="center"/>
              <w:rPr>
                <w:color w:val="000000"/>
                <w:kern w:val="0"/>
                <w:szCs w:val="21"/>
              </w:rPr>
            </w:pPr>
            <w:r>
              <w:rPr>
                <w:color w:val="000000"/>
                <w:kern w:val="0"/>
                <w:szCs w:val="21"/>
              </w:rPr>
              <w:t>38.5</w:t>
            </w:r>
          </w:p>
        </w:tc>
        <w:tc>
          <w:tcPr>
            <w:tcW w:w="648" w:type="pct"/>
            <w:shd w:val="clear" w:color="auto" w:fill="auto"/>
            <w:noWrap/>
            <w:vAlign w:val="center"/>
          </w:tcPr>
          <w:p w14:paraId="36FDCDD4">
            <w:pPr>
              <w:jc w:val="center"/>
              <w:rPr>
                <w:color w:val="000000"/>
                <w:kern w:val="0"/>
                <w:szCs w:val="21"/>
              </w:rPr>
            </w:pPr>
            <w:r>
              <w:rPr>
                <w:color w:val="000000"/>
                <w:kern w:val="0"/>
                <w:szCs w:val="21"/>
              </w:rPr>
              <w:t>38.51</w:t>
            </w:r>
          </w:p>
        </w:tc>
        <w:tc>
          <w:tcPr>
            <w:tcW w:w="497" w:type="pct"/>
            <w:shd w:val="clear" w:color="auto" w:fill="auto"/>
            <w:noWrap/>
            <w:vAlign w:val="center"/>
          </w:tcPr>
          <w:p w14:paraId="41CDFEC1">
            <w:pPr>
              <w:jc w:val="center"/>
              <w:rPr>
                <w:color w:val="000000"/>
                <w:kern w:val="0"/>
                <w:szCs w:val="21"/>
              </w:rPr>
            </w:pPr>
            <w:r>
              <w:rPr>
                <w:color w:val="000000"/>
                <w:kern w:val="0"/>
                <w:szCs w:val="21"/>
              </w:rPr>
              <w:t>2类</w:t>
            </w:r>
          </w:p>
        </w:tc>
        <w:tc>
          <w:tcPr>
            <w:tcW w:w="347" w:type="pct"/>
            <w:shd w:val="clear" w:color="auto" w:fill="auto"/>
            <w:noWrap/>
            <w:vAlign w:val="center"/>
          </w:tcPr>
          <w:p w14:paraId="16B3098F">
            <w:pPr>
              <w:jc w:val="center"/>
              <w:rPr>
                <w:color w:val="000000"/>
                <w:kern w:val="0"/>
                <w:szCs w:val="21"/>
              </w:rPr>
            </w:pPr>
            <w:r>
              <w:rPr>
                <w:color w:val="000000"/>
                <w:kern w:val="0"/>
                <w:szCs w:val="21"/>
              </w:rPr>
              <w:t>50</w:t>
            </w:r>
          </w:p>
        </w:tc>
        <w:tc>
          <w:tcPr>
            <w:tcW w:w="422" w:type="pct"/>
            <w:shd w:val="clear" w:color="auto" w:fill="auto"/>
            <w:noWrap/>
            <w:vAlign w:val="center"/>
          </w:tcPr>
          <w:p w14:paraId="6D826573">
            <w:pPr>
              <w:jc w:val="center"/>
              <w:rPr>
                <w:color w:val="000000"/>
                <w:kern w:val="0"/>
                <w:szCs w:val="21"/>
              </w:rPr>
            </w:pPr>
            <w:r>
              <w:rPr>
                <w:color w:val="000000"/>
                <w:kern w:val="0"/>
                <w:szCs w:val="21"/>
              </w:rPr>
              <w:t>是</w:t>
            </w:r>
          </w:p>
        </w:tc>
      </w:tr>
      <w:tr w14:paraId="061E6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271" w:type="pct"/>
            <w:shd w:val="clear" w:color="auto" w:fill="auto"/>
            <w:noWrap/>
            <w:vAlign w:val="center"/>
          </w:tcPr>
          <w:p w14:paraId="36B830F7">
            <w:pPr>
              <w:jc w:val="center"/>
              <w:rPr>
                <w:color w:val="000000"/>
                <w:kern w:val="0"/>
                <w:szCs w:val="21"/>
              </w:rPr>
            </w:pPr>
            <w:r>
              <w:rPr>
                <w:color w:val="000000"/>
                <w:kern w:val="0"/>
                <w:szCs w:val="21"/>
              </w:rPr>
              <w:t>9</w:t>
            </w:r>
          </w:p>
        </w:tc>
        <w:tc>
          <w:tcPr>
            <w:tcW w:w="781" w:type="pct"/>
            <w:shd w:val="clear" w:color="auto" w:fill="auto"/>
            <w:noWrap/>
            <w:vAlign w:val="center"/>
          </w:tcPr>
          <w:p w14:paraId="533B42C7">
            <w:pPr>
              <w:jc w:val="center"/>
              <w:rPr>
                <w:color w:val="000000"/>
                <w:kern w:val="0"/>
                <w:szCs w:val="21"/>
              </w:rPr>
            </w:pPr>
            <w:r>
              <w:rPr>
                <w:color w:val="000000"/>
                <w:kern w:val="0"/>
                <w:szCs w:val="21"/>
              </w:rPr>
              <w:t>场界西北侧居民处</w:t>
            </w:r>
          </w:p>
        </w:tc>
        <w:tc>
          <w:tcPr>
            <w:tcW w:w="384" w:type="pct"/>
            <w:shd w:val="clear" w:color="auto" w:fill="auto"/>
            <w:noWrap/>
            <w:vAlign w:val="center"/>
          </w:tcPr>
          <w:p w14:paraId="237DBE56">
            <w:pPr>
              <w:jc w:val="center"/>
              <w:rPr>
                <w:color w:val="000000"/>
                <w:kern w:val="0"/>
                <w:szCs w:val="21"/>
              </w:rPr>
            </w:pPr>
            <w:r>
              <w:rPr>
                <w:color w:val="000000"/>
                <w:kern w:val="0"/>
                <w:szCs w:val="21"/>
              </w:rPr>
              <w:t>-9.64</w:t>
            </w:r>
          </w:p>
        </w:tc>
        <w:tc>
          <w:tcPr>
            <w:tcW w:w="384" w:type="pct"/>
            <w:shd w:val="clear" w:color="auto" w:fill="auto"/>
            <w:noWrap/>
            <w:vAlign w:val="center"/>
          </w:tcPr>
          <w:p w14:paraId="29FBAE41">
            <w:pPr>
              <w:jc w:val="center"/>
              <w:rPr>
                <w:color w:val="000000"/>
                <w:kern w:val="0"/>
                <w:szCs w:val="21"/>
              </w:rPr>
            </w:pPr>
            <w:r>
              <w:rPr>
                <w:color w:val="000000"/>
                <w:kern w:val="0"/>
                <w:szCs w:val="21"/>
              </w:rPr>
              <w:t>387.21</w:t>
            </w:r>
          </w:p>
        </w:tc>
        <w:tc>
          <w:tcPr>
            <w:tcW w:w="271" w:type="pct"/>
            <w:shd w:val="clear" w:color="auto" w:fill="auto"/>
            <w:noWrap/>
            <w:vAlign w:val="center"/>
          </w:tcPr>
          <w:p w14:paraId="3758B241">
            <w:pPr>
              <w:jc w:val="center"/>
              <w:rPr>
                <w:color w:val="000000"/>
                <w:kern w:val="0"/>
                <w:szCs w:val="21"/>
              </w:rPr>
            </w:pPr>
            <w:r>
              <w:rPr>
                <w:color w:val="000000"/>
                <w:kern w:val="0"/>
                <w:szCs w:val="21"/>
              </w:rPr>
              <w:t>1.2</w:t>
            </w:r>
          </w:p>
        </w:tc>
        <w:tc>
          <w:tcPr>
            <w:tcW w:w="497" w:type="pct"/>
            <w:shd w:val="clear" w:color="auto" w:fill="auto"/>
            <w:noWrap/>
            <w:vAlign w:val="center"/>
          </w:tcPr>
          <w:p w14:paraId="60BB3BC2">
            <w:pPr>
              <w:jc w:val="center"/>
              <w:rPr>
                <w:color w:val="000000"/>
                <w:kern w:val="0"/>
                <w:szCs w:val="21"/>
              </w:rPr>
            </w:pPr>
            <w:r>
              <w:rPr>
                <w:color w:val="000000"/>
                <w:kern w:val="0"/>
                <w:szCs w:val="21"/>
              </w:rPr>
              <w:t>16.76</w:t>
            </w:r>
          </w:p>
        </w:tc>
        <w:tc>
          <w:tcPr>
            <w:tcW w:w="497" w:type="pct"/>
            <w:shd w:val="clear" w:color="auto" w:fill="auto"/>
            <w:noWrap/>
            <w:vAlign w:val="center"/>
          </w:tcPr>
          <w:p w14:paraId="09F05AA5">
            <w:pPr>
              <w:jc w:val="center"/>
              <w:rPr>
                <w:color w:val="000000"/>
                <w:kern w:val="0"/>
                <w:szCs w:val="21"/>
              </w:rPr>
            </w:pPr>
            <w:r>
              <w:rPr>
                <w:color w:val="000000"/>
                <w:kern w:val="0"/>
                <w:szCs w:val="21"/>
              </w:rPr>
              <w:t>38</w:t>
            </w:r>
          </w:p>
        </w:tc>
        <w:tc>
          <w:tcPr>
            <w:tcW w:w="648" w:type="pct"/>
            <w:shd w:val="clear" w:color="auto" w:fill="auto"/>
            <w:noWrap/>
            <w:vAlign w:val="center"/>
          </w:tcPr>
          <w:p w14:paraId="64D22542">
            <w:pPr>
              <w:jc w:val="center"/>
              <w:rPr>
                <w:color w:val="000000"/>
                <w:kern w:val="0"/>
                <w:szCs w:val="21"/>
              </w:rPr>
            </w:pPr>
            <w:r>
              <w:rPr>
                <w:color w:val="000000"/>
                <w:kern w:val="0"/>
                <w:szCs w:val="21"/>
              </w:rPr>
              <w:t>38.03</w:t>
            </w:r>
          </w:p>
        </w:tc>
        <w:tc>
          <w:tcPr>
            <w:tcW w:w="497" w:type="pct"/>
            <w:shd w:val="clear" w:color="auto" w:fill="auto"/>
            <w:noWrap/>
            <w:vAlign w:val="center"/>
          </w:tcPr>
          <w:p w14:paraId="6CEC5374">
            <w:pPr>
              <w:jc w:val="center"/>
              <w:rPr>
                <w:color w:val="000000"/>
                <w:kern w:val="0"/>
                <w:szCs w:val="21"/>
              </w:rPr>
            </w:pPr>
            <w:r>
              <w:rPr>
                <w:color w:val="000000"/>
                <w:kern w:val="0"/>
                <w:szCs w:val="21"/>
              </w:rPr>
              <w:t>2类</w:t>
            </w:r>
          </w:p>
        </w:tc>
        <w:tc>
          <w:tcPr>
            <w:tcW w:w="347" w:type="pct"/>
            <w:shd w:val="clear" w:color="auto" w:fill="auto"/>
            <w:noWrap/>
            <w:vAlign w:val="center"/>
          </w:tcPr>
          <w:p w14:paraId="414A7A5C">
            <w:pPr>
              <w:jc w:val="center"/>
              <w:rPr>
                <w:color w:val="000000"/>
                <w:kern w:val="0"/>
                <w:szCs w:val="21"/>
              </w:rPr>
            </w:pPr>
            <w:r>
              <w:rPr>
                <w:color w:val="000000"/>
                <w:kern w:val="0"/>
                <w:szCs w:val="21"/>
              </w:rPr>
              <w:t>50</w:t>
            </w:r>
          </w:p>
        </w:tc>
        <w:tc>
          <w:tcPr>
            <w:tcW w:w="422" w:type="pct"/>
            <w:shd w:val="clear" w:color="auto" w:fill="auto"/>
            <w:noWrap/>
            <w:vAlign w:val="center"/>
          </w:tcPr>
          <w:p w14:paraId="6144E094">
            <w:pPr>
              <w:jc w:val="center"/>
              <w:rPr>
                <w:color w:val="000000"/>
                <w:kern w:val="0"/>
                <w:szCs w:val="21"/>
              </w:rPr>
            </w:pPr>
            <w:r>
              <w:rPr>
                <w:color w:val="000000"/>
                <w:kern w:val="0"/>
                <w:szCs w:val="21"/>
              </w:rPr>
              <w:t>是</w:t>
            </w:r>
          </w:p>
        </w:tc>
      </w:tr>
      <w:tr w14:paraId="4386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000" w:type="pct"/>
            <w:gridSpan w:val="11"/>
            <w:shd w:val="clear" w:color="auto" w:fill="auto"/>
            <w:noWrap/>
            <w:vAlign w:val="center"/>
          </w:tcPr>
          <w:p w14:paraId="584754A0">
            <w:pPr>
              <w:jc w:val="center"/>
              <w:rPr>
                <w:color w:val="000000"/>
                <w:kern w:val="0"/>
                <w:szCs w:val="21"/>
              </w:rPr>
            </w:pPr>
            <w:r>
              <w:rPr>
                <w:color w:val="000000"/>
                <w:kern w:val="0"/>
                <w:szCs w:val="21"/>
              </w:rPr>
              <w:t>佛龙养殖场区</w:t>
            </w:r>
          </w:p>
        </w:tc>
      </w:tr>
      <w:tr w14:paraId="491DC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369A15DB">
            <w:pPr>
              <w:jc w:val="center"/>
              <w:rPr>
                <w:color w:val="000000"/>
                <w:kern w:val="0"/>
                <w:szCs w:val="21"/>
              </w:rPr>
            </w:pPr>
            <w:r>
              <w:rPr>
                <w:color w:val="000000"/>
                <w:kern w:val="0"/>
                <w:szCs w:val="21"/>
              </w:rPr>
              <w:t>1</w:t>
            </w:r>
          </w:p>
        </w:tc>
        <w:tc>
          <w:tcPr>
            <w:tcW w:w="781" w:type="pct"/>
            <w:shd w:val="clear" w:color="auto" w:fill="auto"/>
            <w:noWrap/>
            <w:vAlign w:val="center"/>
          </w:tcPr>
          <w:p w14:paraId="50454128">
            <w:pPr>
              <w:jc w:val="center"/>
              <w:rPr>
                <w:color w:val="000000"/>
                <w:kern w:val="0"/>
                <w:szCs w:val="21"/>
              </w:rPr>
            </w:pPr>
            <w:r>
              <w:rPr>
                <w:color w:val="000000"/>
                <w:kern w:val="0"/>
                <w:szCs w:val="21"/>
              </w:rPr>
              <w:t>东侧场界外</w:t>
            </w:r>
          </w:p>
        </w:tc>
        <w:tc>
          <w:tcPr>
            <w:tcW w:w="384" w:type="pct"/>
            <w:shd w:val="clear" w:color="auto" w:fill="auto"/>
            <w:noWrap/>
            <w:vAlign w:val="center"/>
          </w:tcPr>
          <w:p w14:paraId="0BE18A21">
            <w:pPr>
              <w:jc w:val="center"/>
              <w:rPr>
                <w:color w:val="000000"/>
                <w:kern w:val="0"/>
                <w:szCs w:val="21"/>
              </w:rPr>
            </w:pPr>
            <w:r>
              <w:rPr>
                <w:color w:val="000000"/>
                <w:kern w:val="0"/>
                <w:szCs w:val="21"/>
              </w:rPr>
              <w:t>167.68</w:t>
            </w:r>
          </w:p>
        </w:tc>
        <w:tc>
          <w:tcPr>
            <w:tcW w:w="384" w:type="pct"/>
            <w:shd w:val="clear" w:color="auto" w:fill="auto"/>
            <w:noWrap/>
            <w:vAlign w:val="center"/>
          </w:tcPr>
          <w:p w14:paraId="667CCB5C">
            <w:pPr>
              <w:jc w:val="center"/>
              <w:rPr>
                <w:color w:val="000000"/>
                <w:kern w:val="0"/>
                <w:szCs w:val="21"/>
              </w:rPr>
            </w:pPr>
            <w:r>
              <w:rPr>
                <w:color w:val="000000"/>
                <w:kern w:val="0"/>
                <w:szCs w:val="21"/>
              </w:rPr>
              <w:t>445.96</w:t>
            </w:r>
          </w:p>
        </w:tc>
        <w:tc>
          <w:tcPr>
            <w:tcW w:w="271" w:type="pct"/>
            <w:shd w:val="clear" w:color="auto" w:fill="auto"/>
            <w:noWrap/>
            <w:vAlign w:val="center"/>
          </w:tcPr>
          <w:p w14:paraId="5C926B2D">
            <w:pPr>
              <w:jc w:val="center"/>
              <w:rPr>
                <w:color w:val="000000"/>
                <w:kern w:val="0"/>
                <w:szCs w:val="21"/>
              </w:rPr>
            </w:pPr>
            <w:r>
              <w:rPr>
                <w:color w:val="000000"/>
                <w:kern w:val="0"/>
                <w:szCs w:val="21"/>
              </w:rPr>
              <w:t>1.2</w:t>
            </w:r>
          </w:p>
        </w:tc>
        <w:tc>
          <w:tcPr>
            <w:tcW w:w="497" w:type="pct"/>
            <w:shd w:val="clear" w:color="auto" w:fill="auto"/>
            <w:noWrap/>
            <w:vAlign w:val="center"/>
          </w:tcPr>
          <w:p w14:paraId="7826869E">
            <w:pPr>
              <w:jc w:val="center"/>
              <w:rPr>
                <w:color w:val="000000"/>
                <w:kern w:val="0"/>
                <w:szCs w:val="21"/>
              </w:rPr>
            </w:pPr>
            <w:r>
              <w:rPr>
                <w:color w:val="000000"/>
                <w:kern w:val="0"/>
                <w:szCs w:val="21"/>
              </w:rPr>
              <w:t>22.55</w:t>
            </w:r>
          </w:p>
        </w:tc>
        <w:tc>
          <w:tcPr>
            <w:tcW w:w="497" w:type="pct"/>
            <w:shd w:val="clear" w:color="auto" w:fill="auto"/>
            <w:noWrap/>
            <w:vAlign w:val="center"/>
          </w:tcPr>
          <w:p w14:paraId="79076377">
            <w:pPr>
              <w:jc w:val="center"/>
              <w:rPr>
                <w:color w:val="000000"/>
                <w:kern w:val="0"/>
                <w:szCs w:val="21"/>
              </w:rPr>
            </w:pPr>
            <w:r>
              <w:rPr>
                <w:color w:val="000000"/>
                <w:kern w:val="0"/>
                <w:szCs w:val="21"/>
              </w:rPr>
              <w:t>41</w:t>
            </w:r>
          </w:p>
        </w:tc>
        <w:tc>
          <w:tcPr>
            <w:tcW w:w="648" w:type="pct"/>
            <w:shd w:val="clear" w:color="auto" w:fill="auto"/>
            <w:noWrap/>
            <w:vAlign w:val="center"/>
          </w:tcPr>
          <w:p w14:paraId="2B7FC70A">
            <w:pPr>
              <w:jc w:val="center"/>
              <w:rPr>
                <w:color w:val="000000"/>
                <w:kern w:val="0"/>
                <w:szCs w:val="21"/>
              </w:rPr>
            </w:pPr>
            <w:r>
              <w:rPr>
                <w:color w:val="000000"/>
                <w:kern w:val="0"/>
                <w:szCs w:val="21"/>
              </w:rPr>
              <w:t>41.06</w:t>
            </w:r>
          </w:p>
        </w:tc>
        <w:tc>
          <w:tcPr>
            <w:tcW w:w="497" w:type="pct"/>
            <w:shd w:val="clear" w:color="auto" w:fill="auto"/>
            <w:noWrap/>
            <w:vAlign w:val="center"/>
          </w:tcPr>
          <w:p w14:paraId="60039961">
            <w:pPr>
              <w:jc w:val="center"/>
              <w:rPr>
                <w:color w:val="000000"/>
                <w:kern w:val="0"/>
                <w:szCs w:val="21"/>
              </w:rPr>
            </w:pPr>
            <w:r>
              <w:rPr>
                <w:color w:val="000000"/>
                <w:kern w:val="0"/>
                <w:szCs w:val="21"/>
              </w:rPr>
              <w:t>2类</w:t>
            </w:r>
          </w:p>
        </w:tc>
        <w:tc>
          <w:tcPr>
            <w:tcW w:w="347" w:type="pct"/>
            <w:shd w:val="clear" w:color="auto" w:fill="auto"/>
            <w:noWrap/>
            <w:vAlign w:val="center"/>
          </w:tcPr>
          <w:p w14:paraId="05201AC6">
            <w:pPr>
              <w:jc w:val="center"/>
              <w:rPr>
                <w:color w:val="000000"/>
                <w:kern w:val="0"/>
                <w:szCs w:val="21"/>
              </w:rPr>
            </w:pPr>
            <w:r>
              <w:rPr>
                <w:color w:val="000000"/>
                <w:kern w:val="0"/>
                <w:szCs w:val="21"/>
              </w:rPr>
              <w:t>50</w:t>
            </w:r>
          </w:p>
        </w:tc>
        <w:tc>
          <w:tcPr>
            <w:tcW w:w="422" w:type="pct"/>
            <w:shd w:val="clear" w:color="auto" w:fill="auto"/>
            <w:noWrap/>
            <w:vAlign w:val="center"/>
          </w:tcPr>
          <w:p w14:paraId="3BAFCD0F">
            <w:pPr>
              <w:jc w:val="center"/>
              <w:rPr>
                <w:color w:val="000000"/>
                <w:kern w:val="0"/>
                <w:szCs w:val="21"/>
              </w:rPr>
            </w:pPr>
            <w:r>
              <w:rPr>
                <w:color w:val="000000"/>
                <w:kern w:val="0"/>
                <w:szCs w:val="21"/>
              </w:rPr>
              <w:t>是</w:t>
            </w:r>
          </w:p>
        </w:tc>
      </w:tr>
      <w:tr w14:paraId="382ED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15A366E0">
            <w:pPr>
              <w:jc w:val="center"/>
              <w:rPr>
                <w:color w:val="000000"/>
                <w:kern w:val="0"/>
                <w:szCs w:val="21"/>
              </w:rPr>
            </w:pPr>
            <w:r>
              <w:rPr>
                <w:color w:val="000000"/>
                <w:kern w:val="0"/>
                <w:szCs w:val="21"/>
              </w:rPr>
              <w:t>2</w:t>
            </w:r>
          </w:p>
        </w:tc>
        <w:tc>
          <w:tcPr>
            <w:tcW w:w="781" w:type="pct"/>
            <w:shd w:val="clear" w:color="auto" w:fill="auto"/>
            <w:noWrap/>
            <w:vAlign w:val="center"/>
          </w:tcPr>
          <w:p w14:paraId="38AE5134">
            <w:pPr>
              <w:jc w:val="center"/>
              <w:rPr>
                <w:color w:val="000000"/>
                <w:kern w:val="0"/>
                <w:szCs w:val="21"/>
              </w:rPr>
            </w:pPr>
            <w:r>
              <w:rPr>
                <w:color w:val="000000"/>
                <w:kern w:val="0"/>
                <w:szCs w:val="21"/>
              </w:rPr>
              <w:t>北侧场界外</w:t>
            </w:r>
          </w:p>
        </w:tc>
        <w:tc>
          <w:tcPr>
            <w:tcW w:w="384" w:type="pct"/>
            <w:shd w:val="clear" w:color="auto" w:fill="auto"/>
            <w:noWrap/>
            <w:vAlign w:val="center"/>
          </w:tcPr>
          <w:p w14:paraId="126E09B7">
            <w:pPr>
              <w:jc w:val="center"/>
              <w:rPr>
                <w:color w:val="000000"/>
                <w:kern w:val="0"/>
                <w:szCs w:val="21"/>
              </w:rPr>
            </w:pPr>
            <w:r>
              <w:rPr>
                <w:color w:val="000000"/>
                <w:kern w:val="0"/>
                <w:szCs w:val="21"/>
              </w:rPr>
              <w:t>255.15</w:t>
            </w:r>
          </w:p>
        </w:tc>
        <w:tc>
          <w:tcPr>
            <w:tcW w:w="384" w:type="pct"/>
            <w:shd w:val="clear" w:color="auto" w:fill="auto"/>
            <w:noWrap/>
            <w:vAlign w:val="center"/>
          </w:tcPr>
          <w:p w14:paraId="22777272">
            <w:pPr>
              <w:jc w:val="center"/>
              <w:rPr>
                <w:color w:val="000000"/>
                <w:kern w:val="0"/>
                <w:szCs w:val="21"/>
              </w:rPr>
            </w:pPr>
            <w:r>
              <w:rPr>
                <w:color w:val="000000"/>
                <w:kern w:val="0"/>
                <w:szCs w:val="21"/>
              </w:rPr>
              <w:t>745.2</w:t>
            </w:r>
          </w:p>
        </w:tc>
        <w:tc>
          <w:tcPr>
            <w:tcW w:w="271" w:type="pct"/>
            <w:shd w:val="clear" w:color="auto" w:fill="auto"/>
            <w:noWrap/>
            <w:vAlign w:val="center"/>
          </w:tcPr>
          <w:p w14:paraId="5B6E4565">
            <w:pPr>
              <w:jc w:val="center"/>
              <w:rPr>
                <w:color w:val="000000"/>
                <w:kern w:val="0"/>
                <w:szCs w:val="21"/>
              </w:rPr>
            </w:pPr>
            <w:r>
              <w:rPr>
                <w:color w:val="000000"/>
                <w:kern w:val="0"/>
                <w:szCs w:val="21"/>
              </w:rPr>
              <w:t>1.2</w:t>
            </w:r>
          </w:p>
        </w:tc>
        <w:tc>
          <w:tcPr>
            <w:tcW w:w="497" w:type="pct"/>
            <w:shd w:val="clear" w:color="auto" w:fill="auto"/>
            <w:noWrap/>
            <w:vAlign w:val="center"/>
          </w:tcPr>
          <w:p w14:paraId="3069268F">
            <w:pPr>
              <w:jc w:val="center"/>
              <w:rPr>
                <w:color w:val="000000"/>
                <w:kern w:val="0"/>
                <w:szCs w:val="21"/>
              </w:rPr>
            </w:pPr>
            <w:r>
              <w:rPr>
                <w:color w:val="000000"/>
                <w:kern w:val="0"/>
                <w:szCs w:val="21"/>
              </w:rPr>
              <w:t>9.73</w:t>
            </w:r>
          </w:p>
        </w:tc>
        <w:tc>
          <w:tcPr>
            <w:tcW w:w="497" w:type="pct"/>
            <w:shd w:val="clear" w:color="auto" w:fill="auto"/>
            <w:noWrap/>
            <w:vAlign w:val="center"/>
          </w:tcPr>
          <w:p w14:paraId="4CF900E2">
            <w:pPr>
              <w:jc w:val="center"/>
              <w:rPr>
                <w:color w:val="000000"/>
                <w:kern w:val="0"/>
                <w:szCs w:val="21"/>
              </w:rPr>
            </w:pPr>
            <w:r>
              <w:rPr>
                <w:color w:val="000000"/>
                <w:kern w:val="0"/>
                <w:szCs w:val="21"/>
              </w:rPr>
              <w:t>39</w:t>
            </w:r>
          </w:p>
        </w:tc>
        <w:tc>
          <w:tcPr>
            <w:tcW w:w="648" w:type="pct"/>
            <w:shd w:val="clear" w:color="auto" w:fill="auto"/>
            <w:noWrap/>
            <w:vAlign w:val="center"/>
          </w:tcPr>
          <w:p w14:paraId="07A3BC24">
            <w:pPr>
              <w:jc w:val="center"/>
              <w:rPr>
                <w:color w:val="000000"/>
                <w:kern w:val="0"/>
                <w:szCs w:val="21"/>
              </w:rPr>
            </w:pPr>
            <w:r>
              <w:rPr>
                <w:color w:val="000000"/>
                <w:kern w:val="0"/>
                <w:szCs w:val="21"/>
              </w:rPr>
              <w:t>39.01</w:t>
            </w:r>
          </w:p>
        </w:tc>
        <w:tc>
          <w:tcPr>
            <w:tcW w:w="497" w:type="pct"/>
            <w:shd w:val="clear" w:color="auto" w:fill="auto"/>
            <w:noWrap/>
            <w:vAlign w:val="center"/>
          </w:tcPr>
          <w:p w14:paraId="2F7562FB">
            <w:pPr>
              <w:jc w:val="center"/>
              <w:rPr>
                <w:color w:val="000000"/>
                <w:kern w:val="0"/>
                <w:szCs w:val="21"/>
              </w:rPr>
            </w:pPr>
            <w:r>
              <w:rPr>
                <w:color w:val="000000"/>
                <w:kern w:val="0"/>
                <w:szCs w:val="21"/>
              </w:rPr>
              <w:t>2类</w:t>
            </w:r>
          </w:p>
        </w:tc>
        <w:tc>
          <w:tcPr>
            <w:tcW w:w="347" w:type="pct"/>
            <w:shd w:val="clear" w:color="auto" w:fill="auto"/>
            <w:noWrap/>
            <w:vAlign w:val="center"/>
          </w:tcPr>
          <w:p w14:paraId="45630FF9">
            <w:pPr>
              <w:jc w:val="center"/>
              <w:rPr>
                <w:color w:val="000000"/>
                <w:kern w:val="0"/>
                <w:szCs w:val="21"/>
              </w:rPr>
            </w:pPr>
            <w:r>
              <w:rPr>
                <w:color w:val="000000"/>
                <w:kern w:val="0"/>
                <w:szCs w:val="21"/>
              </w:rPr>
              <w:t>50</w:t>
            </w:r>
          </w:p>
        </w:tc>
        <w:tc>
          <w:tcPr>
            <w:tcW w:w="422" w:type="pct"/>
            <w:shd w:val="clear" w:color="auto" w:fill="auto"/>
            <w:noWrap/>
            <w:vAlign w:val="center"/>
          </w:tcPr>
          <w:p w14:paraId="0468A6AB">
            <w:pPr>
              <w:jc w:val="center"/>
              <w:rPr>
                <w:color w:val="000000"/>
                <w:kern w:val="0"/>
                <w:szCs w:val="21"/>
              </w:rPr>
            </w:pPr>
            <w:r>
              <w:rPr>
                <w:color w:val="000000"/>
                <w:kern w:val="0"/>
                <w:szCs w:val="21"/>
              </w:rPr>
              <w:t>是</w:t>
            </w:r>
          </w:p>
        </w:tc>
      </w:tr>
      <w:tr w14:paraId="74BD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7902D76D">
            <w:pPr>
              <w:jc w:val="center"/>
              <w:rPr>
                <w:color w:val="000000"/>
                <w:kern w:val="0"/>
                <w:szCs w:val="21"/>
              </w:rPr>
            </w:pPr>
            <w:r>
              <w:rPr>
                <w:color w:val="000000"/>
                <w:kern w:val="0"/>
                <w:szCs w:val="21"/>
              </w:rPr>
              <w:t>3</w:t>
            </w:r>
          </w:p>
        </w:tc>
        <w:tc>
          <w:tcPr>
            <w:tcW w:w="781" w:type="pct"/>
            <w:shd w:val="clear" w:color="auto" w:fill="auto"/>
            <w:noWrap/>
            <w:vAlign w:val="center"/>
          </w:tcPr>
          <w:p w14:paraId="7D0F76DE">
            <w:pPr>
              <w:jc w:val="center"/>
              <w:rPr>
                <w:color w:val="000000"/>
                <w:kern w:val="0"/>
                <w:szCs w:val="21"/>
              </w:rPr>
            </w:pPr>
            <w:r>
              <w:rPr>
                <w:color w:val="000000"/>
                <w:kern w:val="0"/>
                <w:szCs w:val="21"/>
              </w:rPr>
              <w:t>南侧场界外</w:t>
            </w:r>
          </w:p>
        </w:tc>
        <w:tc>
          <w:tcPr>
            <w:tcW w:w="384" w:type="pct"/>
            <w:shd w:val="clear" w:color="auto" w:fill="auto"/>
            <w:noWrap/>
            <w:vAlign w:val="center"/>
          </w:tcPr>
          <w:p w14:paraId="55500FAB">
            <w:pPr>
              <w:jc w:val="center"/>
              <w:rPr>
                <w:color w:val="000000"/>
                <w:kern w:val="0"/>
                <w:szCs w:val="21"/>
              </w:rPr>
            </w:pPr>
            <w:r>
              <w:rPr>
                <w:color w:val="000000"/>
                <w:kern w:val="0"/>
                <w:szCs w:val="21"/>
              </w:rPr>
              <w:t>-25.67</w:t>
            </w:r>
          </w:p>
        </w:tc>
        <w:tc>
          <w:tcPr>
            <w:tcW w:w="384" w:type="pct"/>
            <w:shd w:val="clear" w:color="auto" w:fill="auto"/>
            <w:noWrap/>
            <w:vAlign w:val="center"/>
          </w:tcPr>
          <w:p w14:paraId="7B75F80C">
            <w:pPr>
              <w:jc w:val="center"/>
              <w:rPr>
                <w:color w:val="000000"/>
                <w:kern w:val="0"/>
                <w:szCs w:val="21"/>
              </w:rPr>
            </w:pPr>
            <w:r>
              <w:rPr>
                <w:color w:val="000000"/>
                <w:kern w:val="0"/>
                <w:szCs w:val="21"/>
              </w:rPr>
              <w:t>-14.39</w:t>
            </w:r>
          </w:p>
        </w:tc>
        <w:tc>
          <w:tcPr>
            <w:tcW w:w="271" w:type="pct"/>
            <w:shd w:val="clear" w:color="auto" w:fill="auto"/>
            <w:noWrap/>
            <w:vAlign w:val="center"/>
          </w:tcPr>
          <w:p w14:paraId="77B9D7E5">
            <w:pPr>
              <w:jc w:val="center"/>
              <w:rPr>
                <w:color w:val="000000"/>
                <w:kern w:val="0"/>
                <w:szCs w:val="21"/>
              </w:rPr>
            </w:pPr>
            <w:r>
              <w:rPr>
                <w:color w:val="000000"/>
                <w:kern w:val="0"/>
                <w:szCs w:val="21"/>
              </w:rPr>
              <w:t>1.2</w:t>
            </w:r>
          </w:p>
        </w:tc>
        <w:tc>
          <w:tcPr>
            <w:tcW w:w="497" w:type="pct"/>
            <w:shd w:val="clear" w:color="auto" w:fill="auto"/>
            <w:noWrap/>
            <w:vAlign w:val="center"/>
          </w:tcPr>
          <w:p w14:paraId="2F9C6FFE">
            <w:pPr>
              <w:jc w:val="center"/>
              <w:rPr>
                <w:color w:val="000000"/>
                <w:kern w:val="0"/>
                <w:szCs w:val="21"/>
              </w:rPr>
            </w:pPr>
            <w:r>
              <w:rPr>
                <w:color w:val="000000"/>
                <w:kern w:val="0"/>
                <w:szCs w:val="21"/>
              </w:rPr>
              <w:t>5.1</w:t>
            </w:r>
          </w:p>
        </w:tc>
        <w:tc>
          <w:tcPr>
            <w:tcW w:w="497" w:type="pct"/>
            <w:shd w:val="clear" w:color="auto" w:fill="auto"/>
            <w:noWrap/>
            <w:vAlign w:val="center"/>
          </w:tcPr>
          <w:p w14:paraId="1F812A3C">
            <w:pPr>
              <w:jc w:val="center"/>
              <w:rPr>
                <w:color w:val="000000"/>
                <w:kern w:val="0"/>
                <w:szCs w:val="21"/>
              </w:rPr>
            </w:pPr>
            <w:r>
              <w:rPr>
                <w:color w:val="000000"/>
                <w:kern w:val="0"/>
                <w:szCs w:val="21"/>
              </w:rPr>
              <w:t>38.5</w:t>
            </w:r>
          </w:p>
        </w:tc>
        <w:tc>
          <w:tcPr>
            <w:tcW w:w="648" w:type="pct"/>
            <w:shd w:val="clear" w:color="auto" w:fill="auto"/>
            <w:noWrap/>
            <w:vAlign w:val="center"/>
          </w:tcPr>
          <w:p w14:paraId="393DF3CC">
            <w:pPr>
              <w:jc w:val="center"/>
              <w:rPr>
                <w:color w:val="000000"/>
                <w:kern w:val="0"/>
                <w:szCs w:val="21"/>
              </w:rPr>
            </w:pPr>
            <w:r>
              <w:rPr>
                <w:color w:val="000000"/>
                <w:kern w:val="0"/>
                <w:szCs w:val="21"/>
              </w:rPr>
              <w:t>38.5</w:t>
            </w:r>
          </w:p>
        </w:tc>
        <w:tc>
          <w:tcPr>
            <w:tcW w:w="497" w:type="pct"/>
            <w:shd w:val="clear" w:color="auto" w:fill="auto"/>
            <w:noWrap/>
            <w:vAlign w:val="center"/>
          </w:tcPr>
          <w:p w14:paraId="18BEB533">
            <w:pPr>
              <w:jc w:val="center"/>
              <w:rPr>
                <w:color w:val="000000"/>
                <w:kern w:val="0"/>
                <w:szCs w:val="21"/>
              </w:rPr>
            </w:pPr>
            <w:r>
              <w:rPr>
                <w:color w:val="000000"/>
                <w:kern w:val="0"/>
                <w:szCs w:val="21"/>
              </w:rPr>
              <w:t>2类</w:t>
            </w:r>
          </w:p>
        </w:tc>
        <w:tc>
          <w:tcPr>
            <w:tcW w:w="347" w:type="pct"/>
            <w:shd w:val="clear" w:color="auto" w:fill="auto"/>
            <w:noWrap/>
            <w:vAlign w:val="center"/>
          </w:tcPr>
          <w:p w14:paraId="673A2211">
            <w:pPr>
              <w:jc w:val="center"/>
              <w:rPr>
                <w:color w:val="000000"/>
                <w:kern w:val="0"/>
                <w:szCs w:val="21"/>
              </w:rPr>
            </w:pPr>
            <w:r>
              <w:rPr>
                <w:color w:val="000000"/>
                <w:kern w:val="0"/>
                <w:szCs w:val="21"/>
              </w:rPr>
              <w:t>50</w:t>
            </w:r>
          </w:p>
        </w:tc>
        <w:tc>
          <w:tcPr>
            <w:tcW w:w="422" w:type="pct"/>
            <w:shd w:val="clear" w:color="auto" w:fill="auto"/>
            <w:noWrap/>
            <w:vAlign w:val="center"/>
          </w:tcPr>
          <w:p w14:paraId="3C39DD63">
            <w:pPr>
              <w:jc w:val="center"/>
              <w:rPr>
                <w:color w:val="000000"/>
                <w:kern w:val="0"/>
                <w:szCs w:val="21"/>
              </w:rPr>
            </w:pPr>
            <w:r>
              <w:rPr>
                <w:color w:val="000000"/>
                <w:kern w:val="0"/>
                <w:szCs w:val="21"/>
              </w:rPr>
              <w:t>是</w:t>
            </w:r>
          </w:p>
        </w:tc>
      </w:tr>
      <w:tr w14:paraId="0F47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2177EB2A">
            <w:pPr>
              <w:jc w:val="center"/>
              <w:rPr>
                <w:color w:val="000000"/>
                <w:kern w:val="0"/>
                <w:szCs w:val="21"/>
              </w:rPr>
            </w:pPr>
            <w:r>
              <w:rPr>
                <w:color w:val="000000"/>
                <w:kern w:val="0"/>
                <w:szCs w:val="21"/>
              </w:rPr>
              <w:t>4</w:t>
            </w:r>
          </w:p>
        </w:tc>
        <w:tc>
          <w:tcPr>
            <w:tcW w:w="781" w:type="pct"/>
            <w:shd w:val="clear" w:color="auto" w:fill="auto"/>
            <w:noWrap/>
            <w:vAlign w:val="center"/>
          </w:tcPr>
          <w:p w14:paraId="1085769D">
            <w:pPr>
              <w:jc w:val="center"/>
              <w:rPr>
                <w:color w:val="000000"/>
                <w:kern w:val="0"/>
                <w:szCs w:val="21"/>
              </w:rPr>
            </w:pPr>
            <w:r>
              <w:rPr>
                <w:color w:val="000000"/>
                <w:kern w:val="0"/>
                <w:szCs w:val="21"/>
              </w:rPr>
              <w:t>场界东北侧居民处A</w:t>
            </w:r>
          </w:p>
        </w:tc>
        <w:tc>
          <w:tcPr>
            <w:tcW w:w="384" w:type="pct"/>
            <w:shd w:val="clear" w:color="auto" w:fill="auto"/>
            <w:noWrap/>
            <w:vAlign w:val="center"/>
          </w:tcPr>
          <w:p w14:paraId="6B241C08">
            <w:pPr>
              <w:jc w:val="center"/>
              <w:rPr>
                <w:color w:val="000000"/>
                <w:kern w:val="0"/>
                <w:szCs w:val="21"/>
              </w:rPr>
            </w:pPr>
            <w:r>
              <w:rPr>
                <w:color w:val="000000"/>
                <w:kern w:val="0"/>
                <w:szCs w:val="21"/>
              </w:rPr>
              <w:t>347.44</w:t>
            </w:r>
          </w:p>
        </w:tc>
        <w:tc>
          <w:tcPr>
            <w:tcW w:w="384" w:type="pct"/>
            <w:shd w:val="clear" w:color="auto" w:fill="auto"/>
            <w:noWrap/>
            <w:vAlign w:val="center"/>
          </w:tcPr>
          <w:p w14:paraId="6354452E">
            <w:pPr>
              <w:jc w:val="center"/>
              <w:rPr>
                <w:color w:val="000000"/>
                <w:kern w:val="0"/>
                <w:szCs w:val="21"/>
              </w:rPr>
            </w:pPr>
            <w:r>
              <w:rPr>
                <w:color w:val="000000"/>
                <w:kern w:val="0"/>
                <w:szCs w:val="21"/>
              </w:rPr>
              <w:t>881.11</w:t>
            </w:r>
          </w:p>
        </w:tc>
        <w:tc>
          <w:tcPr>
            <w:tcW w:w="271" w:type="pct"/>
            <w:shd w:val="clear" w:color="auto" w:fill="auto"/>
            <w:noWrap/>
            <w:vAlign w:val="center"/>
          </w:tcPr>
          <w:p w14:paraId="32EEF3AB">
            <w:pPr>
              <w:jc w:val="center"/>
              <w:rPr>
                <w:color w:val="000000"/>
                <w:kern w:val="0"/>
                <w:szCs w:val="21"/>
              </w:rPr>
            </w:pPr>
            <w:r>
              <w:rPr>
                <w:color w:val="000000"/>
                <w:kern w:val="0"/>
                <w:szCs w:val="21"/>
              </w:rPr>
              <w:t>1.2</w:t>
            </w:r>
          </w:p>
        </w:tc>
        <w:tc>
          <w:tcPr>
            <w:tcW w:w="497" w:type="pct"/>
            <w:shd w:val="clear" w:color="auto" w:fill="auto"/>
            <w:noWrap/>
            <w:vAlign w:val="center"/>
          </w:tcPr>
          <w:p w14:paraId="1406A790">
            <w:pPr>
              <w:jc w:val="center"/>
              <w:rPr>
                <w:color w:val="000000"/>
                <w:kern w:val="0"/>
                <w:szCs w:val="21"/>
              </w:rPr>
            </w:pPr>
            <w:r>
              <w:rPr>
                <w:color w:val="000000"/>
                <w:kern w:val="0"/>
                <w:szCs w:val="21"/>
              </w:rPr>
              <w:t>8.41</w:t>
            </w:r>
          </w:p>
        </w:tc>
        <w:tc>
          <w:tcPr>
            <w:tcW w:w="497" w:type="pct"/>
            <w:shd w:val="clear" w:color="auto" w:fill="auto"/>
            <w:noWrap/>
            <w:vAlign w:val="center"/>
          </w:tcPr>
          <w:p w14:paraId="5E56FAE1">
            <w:pPr>
              <w:jc w:val="center"/>
              <w:rPr>
                <w:color w:val="000000"/>
                <w:kern w:val="0"/>
                <w:szCs w:val="21"/>
              </w:rPr>
            </w:pPr>
            <w:r>
              <w:rPr>
                <w:color w:val="000000"/>
                <w:kern w:val="0"/>
                <w:szCs w:val="21"/>
              </w:rPr>
              <w:t>39</w:t>
            </w:r>
          </w:p>
        </w:tc>
        <w:tc>
          <w:tcPr>
            <w:tcW w:w="648" w:type="pct"/>
            <w:shd w:val="clear" w:color="auto" w:fill="auto"/>
            <w:noWrap/>
            <w:vAlign w:val="center"/>
          </w:tcPr>
          <w:p w14:paraId="49E37316">
            <w:pPr>
              <w:jc w:val="center"/>
              <w:rPr>
                <w:color w:val="000000"/>
                <w:kern w:val="0"/>
                <w:szCs w:val="21"/>
              </w:rPr>
            </w:pPr>
            <w:r>
              <w:rPr>
                <w:color w:val="000000"/>
                <w:kern w:val="0"/>
                <w:szCs w:val="21"/>
              </w:rPr>
              <w:t>39</w:t>
            </w:r>
          </w:p>
        </w:tc>
        <w:tc>
          <w:tcPr>
            <w:tcW w:w="497" w:type="pct"/>
            <w:shd w:val="clear" w:color="auto" w:fill="auto"/>
            <w:noWrap/>
            <w:vAlign w:val="center"/>
          </w:tcPr>
          <w:p w14:paraId="35C2FBAB">
            <w:pPr>
              <w:jc w:val="center"/>
              <w:rPr>
                <w:color w:val="000000"/>
                <w:kern w:val="0"/>
                <w:szCs w:val="21"/>
              </w:rPr>
            </w:pPr>
            <w:r>
              <w:rPr>
                <w:color w:val="000000"/>
                <w:kern w:val="0"/>
                <w:szCs w:val="21"/>
              </w:rPr>
              <w:t>2类</w:t>
            </w:r>
          </w:p>
        </w:tc>
        <w:tc>
          <w:tcPr>
            <w:tcW w:w="347" w:type="pct"/>
            <w:shd w:val="clear" w:color="auto" w:fill="auto"/>
            <w:noWrap/>
            <w:vAlign w:val="center"/>
          </w:tcPr>
          <w:p w14:paraId="143D9F72">
            <w:pPr>
              <w:jc w:val="center"/>
              <w:rPr>
                <w:color w:val="000000"/>
                <w:kern w:val="0"/>
                <w:szCs w:val="21"/>
              </w:rPr>
            </w:pPr>
            <w:r>
              <w:rPr>
                <w:color w:val="000000"/>
                <w:kern w:val="0"/>
                <w:szCs w:val="21"/>
              </w:rPr>
              <w:t>50</w:t>
            </w:r>
          </w:p>
        </w:tc>
        <w:tc>
          <w:tcPr>
            <w:tcW w:w="422" w:type="pct"/>
            <w:shd w:val="clear" w:color="auto" w:fill="auto"/>
            <w:noWrap/>
            <w:vAlign w:val="center"/>
          </w:tcPr>
          <w:p w14:paraId="1B1AA777">
            <w:pPr>
              <w:jc w:val="center"/>
              <w:rPr>
                <w:color w:val="000000"/>
                <w:kern w:val="0"/>
                <w:szCs w:val="21"/>
              </w:rPr>
            </w:pPr>
            <w:r>
              <w:rPr>
                <w:color w:val="000000"/>
                <w:kern w:val="0"/>
                <w:szCs w:val="21"/>
              </w:rPr>
              <w:t>是</w:t>
            </w:r>
          </w:p>
        </w:tc>
      </w:tr>
      <w:tr w14:paraId="7134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559B61AC">
            <w:pPr>
              <w:jc w:val="center"/>
              <w:rPr>
                <w:color w:val="000000"/>
                <w:kern w:val="0"/>
                <w:szCs w:val="21"/>
              </w:rPr>
            </w:pPr>
            <w:r>
              <w:rPr>
                <w:color w:val="000000"/>
                <w:kern w:val="0"/>
                <w:szCs w:val="21"/>
              </w:rPr>
              <w:t>5</w:t>
            </w:r>
          </w:p>
        </w:tc>
        <w:tc>
          <w:tcPr>
            <w:tcW w:w="781" w:type="pct"/>
            <w:shd w:val="clear" w:color="auto" w:fill="auto"/>
            <w:noWrap/>
            <w:vAlign w:val="center"/>
          </w:tcPr>
          <w:p w14:paraId="44FED7A1">
            <w:pPr>
              <w:jc w:val="center"/>
              <w:rPr>
                <w:color w:val="000000"/>
                <w:kern w:val="0"/>
                <w:szCs w:val="21"/>
              </w:rPr>
            </w:pPr>
            <w:r>
              <w:rPr>
                <w:color w:val="000000"/>
                <w:kern w:val="0"/>
                <w:szCs w:val="21"/>
              </w:rPr>
              <w:t>场界东北侧居民处B</w:t>
            </w:r>
          </w:p>
        </w:tc>
        <w:tc>
          <w:tcPr>
            <w:tcW w:w="384" w:type="pct"/>
            <w:shd w:val="clear" w:color="auto" w:fill="auto"/>
            <w:noWrap/>
            <w:vAlign w:val="center"/>
          </w:tcPr>
          <w:p w14:paraId="7FA314A6">
            <w:pPr>
              <w:jc w:val="center"/>
              <w:rPr>
                <w:color w:val="000000"/>
                <w:kern w:val="0"/>
                <w:szCs w:val="21"/>
              </w:rPr>
            </w:pPr>
            <w:r>
              <w:rPr>
                <w:color w:val="000000"/>
                <w:kern w:val="0"/>
                <w:szCs w:val="21"/>
              </w:rPr>
              <w:t>333.86</w:t>
            </w:r>
          </w:p>
        </w:tc>
        <w:tc>
          <w:tcPr>
            <w:tcW w:w="384" w:type="pct"/>
            <w:shd w:val="clear" w:color="auto" w:fill="auto"/>
            <w:noWrap/>
            <w:vAlign w:val="center"/>
          </w:tcPr>
          <w:p w14:paraId="2E5C2A5A">
            <w:pPr>
              <w:jc w:val="center"/>
              <w:rPr>
                <w:color w:val="000000"/>
                <w:kern w:val="0"/>
                <w:szCs w:val="21"/>
              </w:rPr>
            </w:pPr>
            <w:r>
              <w:rPr>
                <w:color w:val="000000"/>
                <w:kern w:val="0"/>
                <w:szCs w:val="21"/>
              </w:rPr>
              <w:t>690</w:t>
            </w:r>
          </w:p>
        </w:tc>
        <w:tc>
          <w:tcPr>
            <w:tcW w:w="271" w:type="pct"/>
            <w:shd w:val="clear" w:color="auto" w:fill="auto"/>
            <w:noWrap/>
            <w:vAlign w:val="center"/>
          </w:tcPr>
          <w:p w14:paraId="20D196E3">
            <w:pPr>
              <w:jc w:val="center"/>
              <w:rPr>
                <w:color w:val="000000"/>
                <w:kern w:val="0"/>
                <w:szCs w:val="21"/>
              </w:rPr>
            </w:pPr>
            <w:r>
              <w:rPr>
                <w:color w:val="000000"/>
                <w:kern w:val="0"/>
                <w:szCs w:val="21"/>
              </w:rPr>
              <w:t>1.2</w:t>
            </w:r>
          </w:p>
        </w:tc>
        <w:tc>
          <w:tcPr>
            <w:tcW w:w="497" w:type="pct"/>
            <w:shd w:val="clear" w:color="auto" w:fill="auto"/>
            <w:noWrap/>
            <w:vAlign w:val="center"/>
          </w:tcPr>
          <w:p w14:paraId="2396544A">
            <w:pPr>
              <w:jc w:val="center"/>
              <w:rPr>
                <w:color w:val="000000"/>
                <w:kern w:val="0"/>
                <w:szCs w:val="21"/>
              </w:rPr>
            </w:pPr>
            <w:r>
              <w:rPr>
                <w:color w:val="000000"/>
                <w:kern w:val="0"/>
                <w:szCs w:val="21"/>
              </w:rPr>
              <w:t>14.79</w:t>
            </w:r>
          </w:p>
        </w:tc>
        <w:tc>
          <w:tcPr>
            <w:tcW w:w="497" w:type="pct"/>
            <w:shd w:val="clear" w:color="auto" w:fill="auto"/>
            <w:noWrap/>
            <w:vAlign w:val="center"/>
          </w:tcPr>
          <w:p w14:paraId="592C5BD8">
            <w:pPr>
              <w:jc w:val="center"/>
              <w:rPr>
                <w:color w:val="000000"/>
                <w:kern w:val="0"/>
                <w:szCs w:val="21"/>
              </w:rPr>
            </w:pPr>
            <w:r>
              <w:rPr>
                <w:color w:val="000000"/>
                <w:kern w:val="0"/>
                <w:szCs w:val="21"/>
              </w:rPr>
              <w:t>39.5</w:t>
            </w:r>
          </w:p>
        </w:tc>
        <w:tc>
          <w:tcPr>
            <w:tcW w:w="648" w:type="pct"/>
            <w:shd w:val="clear" w:color="auto" w:fill="auto"/>
            <w:noWrap/>
            <w:vAlign w:val="center"/>
          </w:tcPr>
          <w:p w14:paraId="15CC59D1">
            <w:pPr>
              <w:jc w:val="center"/>
              <w:rPr>
                <w:color w:val="000000"/>
                <w:kern w:val="0"/>
                <w:szCs w:val="21"/>
              </w:rPr>
            </w:pPr>
            <w:r>
              <w:rPr>
                <w:color w:val="000000"/>
                <w:kern w:val="0"/>
                <w:szCs w:val="21"/>
              </w:rPr>
              <w:t>39.51</w:t>
            </w:r>
          </w:p>
        </w:tc>
        <w:tc>
          <w:tcPr>
            <w:tcW w:w="497" w:type="pct"/>
            <w:shd w:val="clear" w:color="auto" w:fill="auto"/>
            <w:noWrap/>
            <w:vAlign w:val="center"/>
          </w:tcPr>
          <w:p w14:paraId="5B9E736D">
            <w:pPr>
              <w:jc w:val="center"/>
              <w:rPr>
                <w:color w:val="000000"/>
                <w:kern w:val="0"/>
                <w:szCs w:val="21"/>
              </w:rPr>
            </w:pPr>
            <w:r>
              <w:rPr>
                <w:color w:val="000000"/>
                <w:kern w:val="0"/>
                <w:szCs w:val="21"/>
              </w:rPr>
              <w:t>2类</w:t>
            </w:r>
          </w:p>
        </w:tc>
        <w:tc>
          <w:tcPr>
            <w:tcW w:w="347" w:type="pct"/>
            <w:shd w:val="clear" w:color="auto" w:fill="auto"/>
            <w:noWrap/>
            <w:vAlign w:val="center"/>
          </w:tcPr>
          <w:p w14:paraId="68BF07E5">
            <w:pPr>
              <w:jc w:val="center"/>
              <w:rPr>
                <w:color w:val="000000"/>
                <w:kern w:val="0"/>
                <w:szCs w:val="21"/>
              </w:rPr>
            </w:pPr>
            <w:r>
              <w:rPr>
                <w:color w:val="000000"/>
                <w:kern w:val="0"/>
                <w:szCs w:val="21"/>
              </w:rPr>
              <w:t>50</w:t>
            </w:r>
          </w:p>
        </w:tc>
        <w:tc>
          <w:tcPr>
            <w:tcW w:w="422" w:type="pct"/>
            <w:shd w:val="clear" w:color="auto" w:fill="auto"/>
            <w:noWrap/>
            <w:vAlign w:val="center"/>
          </w:tcPr>
          <w:p w14:paraId="039EBA3B">
            <w:pPr>
              <w:jc w:val="center"/>
              <w:rPr>
                <w:color w:val="000000"/>
                <w:kern w:val="0"/>
                <w:szCs w:val="21"/>
              </w:rPr>
            </w:pPr>
            <w:r>
              <w:rPr>
                <w:color w:val="000000"/>
                <w:kern w:val="0"/>
                <w:szCs w:val="21"/>
              </w:rPr>
              <w:t>是</w:t>
            </w:r>
          </w:p>
        </w:tc>
      </w:tr>
      <w:tr w14:paraId="650A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07C69531">
            <w:pPr>
              <w:jc w:val="center"/>
              <w:rPr>
                <w:color w:val="000000"/>
                <w:kern w:val="0"/>
                <w:szCs w:val="21"/>
              </w:rPr>
            </w:pPr>
            <w:r>
              <w:rPr>
                <w:color w:val="000000"/>
                <w:kern w:val="0"/>
                <w:szCs w:val="21"/>
              </w:rPr>
              <w:t>6</w:t>
            </w:r>
          </w:p>
        </w:tc>
        <w:tc>
          <w:tcPr>
            <w:tcW w:w="781" w:type="pct"/>
            <w:shd w:val="clear" w:color="auto" w:fill="auto"/>
            <w:noWrap/>
            <w:vAlign w:val="center"/>
          </w:tcPr>
          <w:p w14:paraId="68561FD6">
            <w:pPr>
              <w:jc w:val="center"/>
              <w:rPr>
                <w:color w:val="000000"/>
                <w:kern w:val="0"/>
                <w:szCs w:val="21"/>
              </w:rPr>
            </w:pPr>
            <w:r>
              <w:rPr>
                <w:color w:val="000000"/>
                <w:kern w:val="0"/>
                <w:szCs w:val="21"/>
              </w:rPr>
              <w:t>场界南侧居民处</w:t>
            </w:r>
          </w:p>
        </w:tc>
        <w:tc>
          <w:tcPr>
            <w:tcW w:w="384" w:type="pct"/>
            <w:shd w:val="clear" w:color="auto" w:fill="auto"/>
            <w:noWrap/>
            <w:vAlign w:val="center"/>
          </w:tcPr>
          <w:p w14:paraId="4B1046EF">
            <w:pPr>
              <w:jc w:val="center"/>
              <w:rPr>
                <w:color w:val="000000"/>
                <w:kern w:val="0"/>
                <w:szCs w:val="21"/>
              </w:rPr>
            </w:pPr>
            <w:r>
              <w:rPr>
                <w:color w:val="000000"/>
                <w:kern w:val="0"/>
                <w:szCs w:val="21"/>
              </w:rPr>
              <w:t>45.71</w:t>
            </w:r>
          </w:p>
        </w:tc>
        <w:tc>
          <w:tcPr>
            <w:tcW w:w="384" w:type="pct"/>
            <w:shd w:val="clear" w:color="auto" w:fill="auto"/>
            <w:noWrap/>
            <w:vAlign w:val="center"/>
          </w:tcPr>
          <w:p w14:paraId="4A7E11C5">
            <w:pPr>
              <w:jc w:val="center"/>
              <w:rPr>
                <w:color w:val="000000"/>
                <w:kern w:val="0"/>
                <w:szCs w:val="21"/>
              </w:rPr>
            </w:pPr>
            <w:r>
              <w:rPr>
                <w:color w:val="000000"/>
                <w:kern w:val="0"/>
                <w:szCs w:val="21"/>
              </w:rPr>
              <w:t>-90.35</w:t>
            </w:r>
          </w:p>
        </w:tc>
        <w:tc>
          <w:tcPr>
            <w:tcW w:w="271" w:type="pct"/>
            <w:shd w:val="clear" w:color="auto" w:fill="auto"/>
            <w:noWrap/>
            <w:vAlign w:val="center"/>
          </w:tcPr>
          <w:p w14:paraId="617C8F53">
            <w:pPr>
              <w:jc w:val="center"/>
              <w:rPr>
                <w:color w:val="000000"/>
                <w:kern w:val="0"/>
                <w:szCs w:val="21"/>
              </w:rPr>
            </w:pPr>
            <w:r>
              <w:rPr>
                <w:color w:val="000000"/>
                <w:kern w:val="0"/>
                <w:szCs w:val="21"/>
              </w:rPr>
              <w:t>1.2</w:t>
            </w:r>
          </w:p>
        </w:tc>
        <w:tc>
          <w:tcPr>
            <w:tcW w:w="497" w:type="pct"/>
            <w:shd w:val="clear" w:color="auto" w:fill="auto"/>
            <w:noWrap/>
            <w:vAlign w:val="center"/>
          </w:tcPr>
          <w:p w14:paraId="02935E6A">
            <w:pPr>
              <w:jc w:val="center"/>
              <w:rPr>
                <w:color w:val="000000"/>
                <w:kern w:val="0"/>
                <w:szCs w:val="21"/>
              </w:rPr>
            </w:pPr>
            <w:r>
              <w:rPr>
                <w:color w:val="000000"/>
                <w:kern w:val="0"/>
                <w:szCs w:val="21"/>
              </w:rPr>
              <w:t>11.32</w:t>
            </w:r>
          </w:p>
        </w:tc>
        <w:tc>
          <w:tcPr>
            <w:tcW w:w="497" w:type="pct"/>
            <w:shd w:val="clear" w:color="auto" w:fill="auto"/>
            <w:noWrap/>
            <w:vAlign w:val="center"/>
          </w:tcPr>
          <w:p w14:paraId="6A99B443">
            <w:pPr>
              <w:jc w:val="center"/>
              <w:rPr>
                <w:color w:val="000000"/>
                <w:kern w:val="0"/>
                <w:szCs w:val="21"/>
              </w:rPr>
            </w:pPr>
            <w:r>
              <w:rPr>
                <w:color w:val="000000"/>
                <w:kern w:val="0"/>
                <w:szCs w:val="21"/>
              </w:rPr>
              <w:t>41</w:t>
            </w:r>
          </w:p>
        </w:tc>
        <w:tc>
          <w:tcPr>
            <w:tcW w:w="648" w:type="pct"/>
            <w:shd w:val="clear" w:color="auto" w:fill="auto"/>
            <w:noWrap/>
            <w:vAlign w:val="center"/>
          </w:tcPr>
          <w:p w14:paraId="25A5718B">
            <w:pPr>
              <w:jc w:val="center"/>
              <w:rPr>
                <w:color w:val="000000"/>
                <w:kern w:val="0"/>
                <w:szCs w:val="21"/>
              </w:rPr>
            </w:pPr>
            <w:r>
              <w:rPr>
                <w:color w:val="000000"/>
                <w:kern w:val="0"/>
                <w:szCs w:val="21"/>
              </w:rPr>
              <w:t>41</w:t>
            </w:r>
          </w:p>
        </w:tc>
        <w:tc>
          <w:tcPr>
            <w:tcW w:w="497" w:type="pct"/>
            <w:shd w:val="clear" w:color="auto" w:fill="auto"/>
            <w:noWrap/>
            <w:vAlign w:val="center"/>
          </w:tcPr>
          <w:p w14:paraId="5701ADFF">
            <w:pPr>
              <w:jc w:val="center"/>
              <w:rPr>
                <w:color w:val="000000"/>
                <w:kern w:val="0"/>
                <w:szCs w:val="21"/>
              </w:rPr>
            </w:pPr>
            <w:r>
              <w:rPr>
                <w:color w:val="000000"/>
                <w:kern w:val="0"/>
                <w:szCs w:val="21"/>
              </w:rPr>
              <w:t>2类</w:t>
            </w:r>
          </w:p>
        </w:tc>
        <w:tc>
          <w:tcPr>
            <w:tcW w:w="347" w:type="pct"/>
            <w:shd w:val="clear" w:color="auto" w:fill="auto"/>
            <w:noWrap/>
            <w:vAlign w:val="center"/>
          </w:tcPr>
          <w:p w14:paraId="767CFAEE">
            <w:pPr>
              <w:jc w:val="center"/>
              <w:rPr>
                <w:color w:val="000000"/>
                <w:kern w:val="0"/>
                <w:szCs w:val="21"/>
              </w:rPr>
            </w:pPr>
            <w:r>
              <w:rPr>
                <w:color w:val="000000"/>
                <w:kern w:val="0"/>
                <w:szCs w:val="21"/>
              </w:rPr>
              <w:t>50</w:t>
            </w:r>
          </w:p>
        </w:tc>
        <w:tc>
          <w:tcPr>
            <w:tcW w:w="422" w:type="pct"/>
            <w:shd w:val="clear" w:color="auto" w:fill="auto"/>
            <w:noWrap/>
            <w:vAlign w:val="center"/>
          </w:tcPr>
          <w:p w14:paraId="33B380DC">
            <w:pPr>
              <w:jc w:val="center"/>
              <w:rPr>
                <w:color w:val="000000"/>
                <w:kern w:val="0"/>
                <w:szCs w:val="21"/>
              </w:rPr>
            </w:pPr>
            <w:r>
              <w:rPr>
                <w:color w:val="000000"/>
                <w:kern w:val="0"/>
                <w:szCs w:val="21"/>
              </w:rPr>
              <w:t>是</w:t>
            </w:r>
          </w:p>
        </w:tc>
      </w:tr>
      <w:tr w14:paraId="3934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7129702A">
            <w:pPr>
              <w:jc w:val="center"/>
              <w:rPr>
                <w:color w:val="000000"/>
                <w:kern w:val="0"/>
                <w:szCs w:val="21"/>
              </w:rPr>
            </w:pPr>
            <w:r>
              <w:rPr>
                <w:color w:val="000000"/>
                <w:kern w:val="0"/>
                <w:szCs w:val="21"/>
              </w:rPr>
              <w:t>7</w:t>
            </w:r>
          </w:p>
        </w:tc>
        <w:tc>
          <w:tcPr>
            <w:tcW w:w="781" w:type="pct"/>
            <w:shd w:val="clear" w:color="auto" w:fill="auto"/>
            <w:noWrap/>
            <w:vAlign w:val="center"/>
          </w:tcPr>
          <w:p w14:paraId="5DC0E85A">
            <w:pPr>
              <w:jc w:val="center"/>
              <w:rPr>
                <w:color w:val="000000"/>
                <w:kern w:val="0"/>
                <w:szCs w:val="21"/>
              </w:rPr>
            </w:pPr>
            <w:r>
              <w:rPr>
                <w:color w:val="000000"/>
                <w:kern w:val="0"/>
                <w:szCs w:val="21"/>
              </w:rPr>
              <w:t>场界西南侧居民处</w:t>
            </w:r>
          </w:p>
        </w:tc>
        <w:tc>
          <w:tcPr>
            <w:tcW w:w="384" w:type="pct"/>
            <w:shd w:val="clear" w:color="auto" w:fill="auto"/>
            <w:noWrap/>
            <w:vAlign w:val="center"/>
          </w:tcPr>
          <w:p w14:paraId="4C9EB084">
            <w:pPr>
              <w:jc w:val="center"/>
              <w:rPr>
                <w:color w:val="000000"/>
                <w:kern w:val="0"/>
                <w:szCs w:val="21"/>
              </w:rPr>
            </w:pPr>
            <w:r>
              <w:rPr>
                <w:color w:val="000000"/>
                <w:kern w:val="0"/>
                <w:szCs w:val="21"/>
              </w:rPr>
              <w:t>-151.72</w:t>
            </w:r>
          </w:p>
        </w:tc>
        <w:tc>
          <w:tcPr>
            <w:tcW w:w="384" w:type="pct"/>
            <w:shd w:val="clear" w:color="auto" w:fill="auto"/>
            <w:noWrap/>
            <w:vAlign w:val="center"/>
          </w:tcPr>
          <w:p w14:paraId="7EE6A066">
            <w:pPr>
              <w:jc w:val="center"/>
              <w:rPr>
                <w:color w:val="000000"/>
                <w:kern w:val="0"/>
                <w:szCs w:val="21"/>
              </w:rPr>
            </w:pPr>
            <w:r>
              <w:rPr>
                <w:color w:val="000000"/>
                <w:kern w:val="0"/>
                <w:szCs w:val="21"/>
              </w:rPr>
              <w:t>184.91</w:t>
            </w:r>
          </w:p>
        </w:tc>
        <w:tc>
          <w:tcPr>
            <w:tcW w:w="271" w:type="pct"/>
            <w:shd w:val="clear" w:color="auto" w:fill="auto"/>
            <w:noWrap/>
            <w:vAlign w:val="center"/>
          </w:tcPr>
          <w:p w14:paraId="70A47132">
            <w:pPr>
              <w:jc w:val="center"/>
              <w:rPr>
                <w:color w:val="000000"/>
                <w:kern w:val="0"/>
                <w:szCs w:val="21"/>
              </w:rPr>
            </w:pPr>
            <w:r>
              <w:rPr>
                <w:color w:val="000000"/>
                <w:kern w:val="0"/>
                <w:szCs w:val="21"/>
              </w:rPr>
              <w:t>1.2</w:t>
            </w:r>
          </w:p>
        </w:tc>
        <w:tc>
          <w:tcPr>
            <w:tcW w:w="497" w:type="pct"/>
            <w:shd w:val="clear" w:color="auto" w:fill="auto"/>
            <w:noWrap/>
            <w:vAlign w:val="center"/>
          </w:tcPr>
          <w:p w14:paraId="6F978D03">
            <w:pPr>
              <w:jc w:val="center"/>
              <w:rPr>
                <w:color w:val="000000"/>
                <w:kern w:val="0"/>
                <w:szCs w:val="21"/>
              </w:rPr>
            </w:pPr>
            <w:r>
              <w:rPr>
                <w:color w:val="000000"/>
                <w:kern w:val="0"/>
                <w:szCs w:val="21"/>
              </w:rPr>
              <w:t>17.71</w:t>
            </w:r>
          </w:p>
        </w:tc>
        <w:tc>
          <w:tcPr>
            <w:tcW w:w="497" w:type="pct"/>
            <w:shd w:val="clear" w:color="auto" w:fill="auto"/>
            <w:noWrap/>
            <w:vAlign w:val="center"/>
          </w:tcPr>
          <w:p w14:paraId="2409A40D">
            <w:pPr>
              <w:jc w:val="center"/>
              <w:rPr>
                <w:color w:val="000000"/>
                <w:kern w:val="0"/>
                <w:szCs w:val="21"/>
              </w:rPr>
            </w:pPr>
            <w:r>
              <w:rPr>
                <w:color w:val="000000"/>
                <w:kern w:val="0"/>
                <w:szCs w:val="21"/>
              </w:rPr>
              <w:t>38.5</w:t>
            </w:r>
          </w:p>
        </w:tc>
        <w:tc>
          <w:tcPr>
            <w:tcW w:w="648" w:type="pct"/>
            <w:shd w:val="clear" w:color="auto" w:fill="auto"/>
            <w:noWrap/>
            <w:vAlign w:val="center"/>
          </w:tcPr>
          <w:p w14:paraId="20E75939">
            <w:pPr>
              <w:jc w:val="center"/>
              <w:rPr>
                <w:color w:val="000000"/>
                <w:kern w:val="0"/>
                <w:szCs w:val="21"/>
              </w:rPr>
            </w:pPr>
            <w:r>
              <w:rPr>
                <w:color w:val="000000"/>
                <w:kern w:val="0"/>
                <w:szCs w:val="21"/>
              </w:rPr>
              <w:t>38.54</w:t>
            </w:r>
          </w:p>
        </w:tc>
        <w:tc>
          <w:tcPr>
            <w:tcW w:w="497" w:type="pct"/>
            <w:shd w:val="clear" w:color="auto" w:fill="auto"/>
            <w:noWrap/>
            <w:vAlign w:val="center"/>
          </w:tcPr>
          <w:p w14:paraId="665692A8">
            <w:pPr>
              <w:jc w:val="center"/>
              <w:rPr>
                <w:color w:val="000000"/>
                <w:kern w:val="0"/>
                <w:szCs w:val="21"/>
              </w:rPr>
            </w:pPr>
            <w:r>
              <w:rPr>
                <w:color w:val="000000"/>
                <w:kern w:val="0"/>
                <w:szCs w:val="21"/>
              </w:rPr>
              <w:t>2类</w:t>
            </w:r>
          </w:p>
        </w:tc>
        <w:tc>
          <w:tcPr>
            <w:tcW w:w="347" w:type="pct"/>
            <w:shd w:val="clear" w:color="auto" w:fill="auto"/>
            <w:noWrap/>
            <w:vAlign w:val="center"/>
          </w:tcPr>
          <w:p w14:paraId="224524A7">
            <w:pPr>
              <w:jc w:val="center"/>
              <w:rPr>
                <w:color w:val="000000"/>
                <w:kern w:val="0"/>
                <w:szCs w:val="21"/>
              </w:rPr>
            </w:pPr>
            <w:r>
              <w:rPr>
                <w:color w:val="000000"/>
                <w:kern w:val="0"/>
                <w:szCs w:val="21"/>
              </w:rPr>
              <w:t>50</w:t>
            </w:r>
          </w:p>
        </w:tc>
        <w:tc>
          <w:tcPr>
            <w:tcW w:w="422" w:type="pct"/>
            <w:shd w:val="clear" w:color="auto" w:fill="auto"/>
            <w:noWrap/>
            <w:vAlign w:val="center"/>
          </w:tcPr>
          <w:p w14:paraId="519BEA8A">
            <w:pPr>
              <w:jc w:val="center"/>
              <w:rPr>
                <w:color w:val="000000"/>
                <w:kern w:val="0"/>
                <w:szCs w:val="21"/>
              </w:rPr>
            </w:pPr>
            <w:r>
              <w:rPr>
                <w:color w:val="000000"/>
                <w:kern w:val="0"/>
                <w:szCs w:val="21"/>
              </w:rPr>
              <w:t>是</w:t>
            </w:r>
          </w:p>
        </w:tc>
      </w:tr>
      <w:tr w14:paraId="6E12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1" w:type="pct"/>
            <w:shd w:val="clear" w:color="auto" w:fill="auto"/>
            <w:noWrap/>
            <w:vAlign w:val="center"/>
          </w:tcPr>
          <w:p w14:paraId="2DBEE72C">
            <w:pPr>
              <w:jc w:val="center"/>
              <w:rPr>
                <w:color w:val="000000"/>
                <w:kern w:val="0"/>
                <w:szCs w:val="21"/>
              </w:rPr>
            </w:pPr>
            <w:r>
              <w:rPr>
                <w:color w:val="000000"/>
                <w:kern w:val="0"/>
                <w:szCs w:val="21"/>
              </w:rPr>
              <w:t>8</w:t>
            </w:r>
          </w:p>
        </w:tc>
        <w:tc>
          <w:tcPr>
            <w:tcW w:w="781" w:type="pct"/>
            <w:shd w:val="clear" w:color="auto" w:fill="auto"/>
            <w:noWrap/>
            <w:vAlign w:val="center"/>
          </w:tcPr>
          <w:p w14:paraId="0FB756C2">
            <w:pPr>
              <w:jc w:val="center"/>
              <w:rPr>
                <w:color w:val="000000"/>
                <w:kern w:val="0"/>
                <w:szCs w:val="21"/>
              </w:rPr>
            </w:pPr>
            <w:r>
              <w:rPr>
                <w:color w:val="000000"/>
                <w:kern w:val="0"/>
                <w:szCs w:val="21"/>
              </w:rPr>
              <w:t>西侧场界外</w:t>
            </w:r>
          </w:p>
        </w:tc>
        <w:tc>
          <w:tcPr>
            <w:tcW w:w="384" w:type="pct"/>
            <w:shd w:val="clear" w:color="auto" w:fill="auto"/>
            <w:noWrap/>
            <w:vAlign w:val="center"/>
          </w:tcPr>
          <w:p w14:paraId="078806CE">
            <w:pPr>
              <w:jc w:val="center"/>
              <w:rPr>
                <w:color w:val="000000"/>
                <w:kern w:val="0"/>
                <w:szCs w:val="21"/>
              </w:rPr>
            </w:pPr>
            <w:r>
              <w:rPr>
                <w:color w:val="000000"/>
                <w:kern w:val="0"/>
                <w:szCs w:val="21"/>
              </w:rPr>
              <w:t>-57.9</w:t>
            </w:r>
          </w:p>
        </w:tc>
        <w:tc>
          <w:tcPr>
            <w:tcW w:w="384" w:type="pct"/>
            <w:shd w:val="clear" w:color="auto" w:fill="auto"/>
            <w:noWrap/>
            <w:vAlign w:val="center"/>
          </w:tcPr>
          <w:p w14:paraId="0879B467">
            <w:pPr>
              <w:jc w:val="center"/>
              <w:rPr>
                <w:color w:val="000000"/>
                <w:kern w:val="0"/>
                <w:szCs w:val="21"/>
              </w:rPr>
            </w:pPr>
            <w:r>
              <w:rPr>
                <w:color w:val="000000"/>
                <w:kern w:val="0"/>
                <w:szCs w:val="21"/>
              </w:rPr>
              <w:t>222.69</w:t>
            </w:r>
          </w:p>
        </w:tc>
        <w:tc>
          <w:tcPr>
            <w:tcW w:w="271" w:type="pct"/>
            <w:shd w:val="clear" w:color="auto" w:fill="auto"/>
            <w:noWrap/>
            <w:vAlign w:val="center"/>
          </w:tcPr>
          <w:p w14:paraId="400A834C">
            <w:pPr>
              <w:jc w:val="center"/>
              <w:rPr>
                <w:color w:val="000000"/>
                <w:kern w:val="0"/>
                <w:szCs w:val="21"/>
              </w:rPr>
            </w:pPr>
            <w:r>
              <w:rPr>
                <w:color w:val="000000"/>
                <w:kern w:val="0"/>
                <w:szCs w:val="21"/>
              </w:rPr>
              <w:t>1.2</w:t>
            </w:r>
          </w:p>
        </w:tc>
        <w:tc>
          <w:tcPr>
            <w:tcW w:w="497" w:type="pct"/>
            <w:shd w:val="clear" w:color="auto" w:fill="auto"/>
            <w:noWrap/>
            <w:vAlign w:val="center"/>
          </w:tcPr>
          <w:p w14:paraId="6E5BD712">
            <w:pPr>
              <w:jc w:val="center"/>
              <w:rPr>
                <w:color w:val="000000"/>
                <w:kern w:val="0"/>
                <w:szCs w:val="21"/>
              </w:rPr>
            </w:pPr>
            <w:r>
              <w:rPr>
                <w:color w:val="000000"/>
                <w:kern w:val="0"/>
                <w:szCs w:val="21"/>
              </w:rPr>
              <w:t>24.01</w:t>
            </w:r>
          </w:p>
        </w:tc>
        <w:tc>
          <w:tcPr>
            <w:tcW w:w="497" w:type="pct"/>
            <w:shd w:val="clear" w:color="auto" w:fill="auto"/>
            <w:noWrap/>
            <w:vAlign w:val="center"/>
          </w:tcPr>
          <w:p w14:paraId="5456ACEC">
            <w:pPr>
              <w:jc w:val="center"/>
              <w:rPr>
                <w:color w:val="000000"/>
                <w:kern w:val="0"/>
                <w:szCs w:val="21"/>
              </w:rPr>
            </w:pPr>
            <w:r>
              <w:rPr>
                <w:color w:val="000000"/>
                <w:kern w:val="0"/>
                <w:szCs w:val="21"/>
              </w:rPr>
              <w:t>41.5</w:t>
            </w:r>
          </w:p>
        </w:tc>
        <w:tc>
          <w:tcPr>
            <w:tcW w:w="648" w:type="pct"/>
            <w:shd w:val="clear" w:color="auto" w:fill="auto"/>
            <w:noWrap/>
            <w:vAlign w:val="center"/>
          </w:tcPr>
          <w:p w14:paraId="1C34BC6B">
            <w:pPr>
              <w:jc w:val="center"/>
              <w:rPr>
                <w:color w:val="000000"/>
                <w:kern w:val="0"/>
                <w:szCs w:val="21"/>
              </w:rPr>
            </w:pPr>
            <w:r>
              <w:rPr>
                <w:color w:val="000000"/>
                <w:kern w:val="0"/>
                <w:szCs w:val="21"/>
              </w:rPr>
              <w:t>41.58</w:t>
            </w:r>
          </w:p>
        </w:tc>
        <w:tc>
          <w:tcPr>
            <w:tcW w:w="497" w:type="pct"/>
            <w:shd w:val="clear" w:color="auto" w:fill="auto"/>
            <w:noWrap/>
            <w:vAlign w:val="center"/>
          </w:tcPr>
          <w:p w14:paraId="2E2D10D1">
            <w:pPr>
              <w:jc w:val="center"/>
              <w:rPr>
                <w:color w:val="000000"/>
                <w:kern w:val="0"/>
                <w:szCs w:val="21"/>
              </w:rPr>
            </w:pPr>
            <w:r>
              <w:rPr>
                <w:color w:val="000000"/>
                <w:kern w:val="0"/>
                <w:szCs w:val="21"/>
              </w:rPr>
              <w:t>2类</w:t>
            </w:r>
          </w:p>
        </w:tc>
        <w:tc>
          <w:tcPr>
            <w:tcW w:w="347" w:type="pct"/>
            <w:shd w:val="clear" w:color="auto" w:fill="auto"/>
            <w:noWrap/>
            <w:vAlign w:val="center"/>
          </w:tcPr>
          <w:p w14:paraId="11EAE165">
            <w:pPr>
              <w:jc w:val="center"/>
              <w:rPr>
                <w:color w:val="000000"/>
                <w:kern w:val="0"/>
                <w:szCs w:val="21"/>
              </w:rPr>
            </w:pPr>
            <w:r>
              <w:rPr>
                <w:color w:val="000000"/>
                <w:kern w:val="0"/>
                <w:szCs w:val="21"/>
              </w:rPr>
              <w:t>50</w:t>
            </w:r>
          </w:p>
        </w:tc>
        <w:tc>
          <w:tcPr>
            <w:tcW w:w="422" w:type="pct"/>
            <w:shd w:val="clear" w:color="auto" w:fill="auto"/>
            <w:noWrap/>
            <w:vAlign w:val="center"/>
          </w:tcPr>
          <w:p w14:paraId="7AD58D65">
            <w:pPr>
              <w:jc w:val="center"/>
              <w:rPr>
                <w:color w:val="000000"/>
                <w:kern w:val="0"/>
                <w:szCs w:val="21"/>
              </w:rPr>
            </w:pPr>
            <w:r>
              <w:rPr>
                <w:color w:val="000000"/>
                <w:kern w:val="0"/>
                <w:szCs w:val="21"/>
              </w:rPr>
              <w:t>是</w:t>
            </w:r>
          </w:p>
        </w:tc>
      </w:tr>
      <w:tr w14:paraId="2BA0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 w:type="pct"/>
            <w:gridSpan w:val="11"/>
            <w:shd w:val="clear" w:color="auto" w:fill="auto"/>
            <w:noWrap/>
            <w:vAlign w:val="center"/>
          </w:tcPr>
          <w:p w14:paraId="4CBA8C2D">
            <w:pPr>
              <w:jc w:val="both"/>
              <w:rPr>
                <w:color w:val="000000"/>
                <w:kern w:val="0"/>
                <w:szCs w:val="21"/>
              </w:rPr>
            </w:pPr>
            <w:r>
              <w:rPr>
                <w:rFonts w:hint="eastAsia"/>
                <w:color w:val="000000" w:themeColor="text1"/>
                <w:szCs w:val="21"/>
                <w14:textFill>
                  <w14:solidFill>
                    <w14:schemeClr w14:val="tx1"/>
                  </w14:solidFill>
                </w14:textFill>
              </w:rPr>
              <w:t>注：百花、塘坝、始宁养殖场区以场区西南角点为（</w:t>
            </w:r>
            <w:r>
              <w:rPr>
                <w:color w:val="000000" w:themeColor="text1"/>
                <w:szCs w:val="21"/>
                <w14:textFill>
                  <w14:solidFill>
                    <w14:schemeClr w14:val="tx1"/>
                  </w14:solidFill>
                </w14:textFill>
              </w:rPr>
              <w:t>0</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0</w:t>
            </w:r>
            <w:r>
              <w:rPr>
                <w:rFonts w:hint="eastAsia"/>
                <w:color w:val="000000" w:themeColor="text1"/>
                <w:szCs w:val="21"/>
                <w14:textFill>
                  <w14:solidFill>
                    <w14:schemeClr w14:val="tx1"/>
                  </w14:solidFill>
                </w14:textFill>
              </w:rPr>
              <w:t>）点，设备位置以设备中心点标注；佛龙养殖场区以场区西南角点为（</w:t>
            </w:r>
            <w:r>
              <w:rPr>
                <w:color w:val="000000" w:themeColor="text1"/>
                <w:szCs w:val="21"/>
                <w14:textFill>
                  <w14:solidFill>
                    <w14:schemeClr w14:val="tx1"/>
                  </w14:solidFill>
                </w14:textFill>
              </w:rPr>
              <w:t>0</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0</w:t>
            </w:r>
            <w:r>
              <w:rPr>
                <w:rFonts w:hint="eastAsia"/>
                <w:color w:val="000000" w:themeColor="text1"/>
                <w:szCs w:val="21"/>
                <w14:textFill>
                  <w14:solidFill>
                    <w14:schemeClr w14:val="tx1"/>
                  </w14:solidFill>
                </w14:textFill>
              </w:rPr>
              <w:t>）点，设备位置以设备中心点标注。</w:t>
            </w:r>
          </w:p>
        </w:tc>
      </w:tr>
    </w:tbl>
    <w:p w14:paraId="482A92D7">
      <w:pPr>
        <w:pStyle w:val="86"/>
        <w:ind w:firstLine="480" w:firstLineChars="200"/>
        <w:rPr>
          <w:color w:val="000000" w:themeColor="text1"/>
          <w:sz w:val="24"/>
          <w14:textFill>
            <w14:solidFill>
              <w14:schemeClr w14:val="tx1"/>
            </w14:solidFill>
          </w14:textFill>
        </w:rPr>
      </w:pPr>
    </w:p>
    <w:p w14:paraId="18027C94">
      <w:pPr>
        <w:pStyle w:val="86"/>
        <w:ind w:firstLine="480" w:firstLineChars="200"/>
        <w:rPr>
          <w:color w:val="000000" w:themeColor="text1"/>
          <w:sz w:val="24"/>
          <w14:textFill>
            <w14:solidFill>
              <w14:schemeClr w14:val="tx1"/>
            </w14:solidFill>
          </w14:textFill>
        </w:rPr>
        <w:sectPr>
          <w:pgSz w:w="11906" w:h="16838"/>
          <w:pgMar w:top="1440" w:right="1440" w:bottom="1440" w:left="1440" w:header="851" w:footer="992" w:gutter="0"/>
          <w:cols w:space="425" w:num="1"/>
          <w:docGrid w:type="lines" w:linePitch="312" w:charSpace="0"/>
        </w:sectPr>
      </w:pPr>
      <w:r>
        <w:rPr>
          <w:color w:val="000000" w:themeColor="text1"/>
          <w:sz w:val="24"/>
          <w14:textFill>
            <w14:solidFill>
              <w14:schemeClr w14:val="tx1"/>
            </w14:solidFill>
          </w14:textFill>
        </w:rPr>
        <w:t>根据预测结果可知，项目在采取上述隔声、消声、减振等降噪措施，再通过建筑隔声、距离衰减后，厂界噪声贡献值可满足《工业企业厂界环境噪声排放标准》（GB12348-2008）中的2类标准限值，因此项目建设基本不会对周围声环境产生较大影响。</w:t>
      </w:r>
    </w:p>
    <w:p w14:paraId="2C3F6531">
      <w:pPr>
        <w:jc w:val="center"/>
      </w:pPr>
      <w:r>
        <w:rPr>
          <w:rFonts w:hint="eastAsia"/>
        </w:rPr>
        <w:t>表5.5-4 声环境影响评价自查表</w:t>
      </w:r>
    </w:p>
    <w:tbl>
      <w:tblPr>
        <w:tblStyle w:val="8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986"/>
        <w:gridCol w:w="1558"/>
        <w:gridCol w:w="1078"/>
        <w:gridCol w:w="539"/>
        <w:gridCol w:w="541"/>
        <w:gridCol w:w="267"/>
        <w:gridCol w:w="811"/>
        <w:gridCol w:w="1078"/>
        <w:gridCol w:w="539"/>
        <w:gridCol w:w="541"/>
        <w:gridCol w:w="1078"/>
      </w:tblGrid>
      <w:tr w14:paraId="4AC5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411" w:type="pct"/>
            <w:gridSpan w:val="2"/>
            <w:vAlign w:val="center"/>
          </w:tcPr>
          <w:p w14:paraId="1719CC04">
            <w:r>
              <w:rPr>
                <w:rFonts w:hint="eastAsia"/>
              </w:rPr>
              <w:t>工作内容</w:t>
            </w:r>
          </w:p>
        </w:tc>
        <w:tc>
          <w:tcPr>
            <w:tcW w:w="3589" w:type="pct"/>
            <w:gridSpan w:val="9"/>
            <w:vAlign w:val="center"/>
          </w:tcPr>
          <w:p w14:paraId="53B4664E">
            <w:r>
              <w:rPr>
                <w:rFonts w:hint="eastAsia"/>
              </w:rPr>
              <w:t>自查项目</w:t>
            </w:r>
          </w:p>
        </w:tc>
      </w:tr>
      <w:tr w14:paraId="3238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restart"/>
            <w:vAlign w:val="center"/>
          </w:tcPr>
          <w:p w14:paraId="1BE42B92">
            <w:r>
              <w:rPr>
                <w:rFonts w:hint="eastAsia"/>
              </w:rPr>
              <w:t>评价等级与范围</w:t>
            </w:r>
          </w:p>
        </w:tc>
        <w:tc>
          <w:tcPr>
            <w:tcW w:w="864" w:type="pct"/>
            <w:vAlign w:val="center"/>
          </w:tcPr>
          <w:p w14:paraId="1B684128">
            <w:r>
              <w:rPr>
                <w:rFonts w:hint="eastAsia"/>
              </w:rPr>
              <w:t>评价等级</w:t>
            </w:r>
          </w:p>
        </w:tc>
        <w:tc>
          <w:tcPr>
            <w:tcW w:w="3589" w:type="pct"/>
            <w:gridSpan w:val="9"/>
            <w:vAlign w:val="center"/>
          </w:tcPr>
          <w:p w14:paraId="09984917">
            <w:r>
              <w:rPr>
                <w:rFonts w:hint="eastAsia"/>
              </w:rPr>
              <w:t>一级□</w:t>
            </w:r>
            <w:r>
              <w:t xml:space="preserve">              </w:t>
            </w:r>
            <w:r>
              <w:rPr>
                <w:rFonts w:hint="eastAsia"/>
              </w:rPr>
              <w:t>二级☑</w:t>
            </w:r>
            <w:r>
              <w:t xml:space="preserve">              </w:t>
            </w:r>
            <w:r>
              <w:rPr>
                <w:rFonts w:hint="eastAsia"/>
              </w:rPr>
              <w:t>三级</w:t>
            </w:r>
            <w:r>
              <w:rPr/>
              <w:sym w:font="Wingdings 2" w:char="00A3"/>
            </w:r>
          </w:p>
        </w:tc>
      </w:tr>
      <w:tr w14:paraId="772F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continue"/>
            <w:vAlign w:val="center"/>
          </w:tcPr>
          <w:p w14:paraId="45826215"/>
        </w:tc>
        <w:tc>
          <w:tcPr>
            <w:tcW w:w="864" w:type="pct"/>
            <w:vAlign w:val="center"/>
          </w:tcPr>
          <w:p w14:paraId="35F9969F">
            <w:r>
              <w:rPr>
                <w:rFonts w:hint="eastAsia"/>
              </w:rPr>
              <w:t>评价范围</w:t>
            </w:r>
          </w:p>
        </w:tc>
        <w:tc>
          <w:tcPr>
            <w:tcW w:w="3589" w:type="pct"/>
            <w:gridSpan w:val="9"/>
            <w:vAlign w:val="center"/>
          </w:tcPr>
          <w:p w14:paraId="4314272E">
            <w:r>
              <w:t>200m</w:t>
            </w:r>
            <w:r>
              <w:rPr/>
              <w:sym w:font="Wingdings 2" w:char="F052"/>
            </w:r>
            <w:r>
              <w:t xml:space="preserve">              </w:t>
            </w:r>
            <w:r>
              <w:rPr>
                <w:rFonts w:hint="eastAsia"/>
              </w:rPr>
              <w:t>大于</w:t>
            </w:r>
            <w:r>
              <w:t xml:space="preserve"> 200m</w:t>
            </w:r>
            <w:r>
              <w:rPr>
                <w:rFonts w:hint="eastAsia"/>
              </w:rPr>
              <w:t>□</w:t>
            </w:r>
            <w:r>
              <w:t xml:space="preserve">              </w:t>
            </w:r>
            <w:r>
              <w:rPr>
                <w:rFonts w:hint="eastAsia"/>
              </w:rPr>
              <w:t>小于</w:t>
            </w:r>
            <w:r>
              <w:t xml:space="preserve"> 200m</w:t>
            </w:r>
            <w:r>
              <w:rPr>
                <w:rFonts w:hint="eastAsia"/>
              </w:rPr>
              <w:t>□</w:t>
            </w:r>
          </w:p>
        </w:tc>
      </w:tr>
      <w:tr w14:paraId="30B4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Align w:val="center"/>
          </w:tcPr>
          <w:p w14:paraId="0487133E">
            <w:r>
              <w:rPr>
                <w:rFonts w:hint="eastAsia"/>
              </w:rPr>
              <w:t>评价因子</w:t>
            </w:r>
          </w:p>
        </w:tc>
        <w:tc>
          <w:tcPr>
            <w:tcW w:w="864" w:type="pct"/>
            <w:vAlign w:val="center"/>
          </w:tcPr>
          <w:p w14:paraId="4CF9E9CB">
            <w:r>
              <w:rPr>
                <w:rFonts w:hint="eastAsia"/>
              </w:rPr>
              <w:t>评价因子</w:t>
            </w:r>
          </w:p>
        </w:tc>
        <w:tc>
          <w:tcPr>
            <w:tcW w:w="3589" w:type="pct"/>
            <w:gridSpan w:val="9"/>
            <w:vAlign w:val="center"/>
          </w:tcPr>
          <w:p w14:paraId="2A8AFA66">
            <w:r>
              <w:rPr>
                <w:rFonts w:hint="eastAsia"/>
              </w:rPr>
              <w:t>等效连续</w:t>
            </w:r>
            <w:r>
              <w:t>A</w:t>
            </w:r>
            <w:r>
              <w:rPr>
                <w:rFonts w:hint="eastAsia"/>
              </w:rPr>
              <w:t>声级</w:t>
            </w:r>
            <w:r>
              <w:rPr/>
              <w:sym w:font="Wingdings 2" w:char="F052"/>
            </w:r>
            <w:r>
              <w:t xml:space="preserve">       </w:t>
            </w:r>
            <w:r>
              <w:rPr>
                <w:rFonts w:hint="eastAsia"/>
              </w:rPr>
              <w:t>最大</w:t>
            </w:r>
            <w:r>
              <w:t>A</w:t>
            </w:r>
            <w:r>
              <w:rPr>
                <w:rFonts w:hint="eastAsia"/>
              </w:rPr>
              <w:t>声级□</w:t>
            </w:r>
            <w:r>
              <w:t xml:space="preserve">     </w:t>
            </w:r>
            <w:r>
              <w:rPr>
                <w:rFonts w:hint="eastAsia"/>
              </w:rPr>
              <w:t>计权等效连续感觉噪声级□</w:t>
            </w:r>
          </w:p>
        </w:tc>
      </w:tr>
      <w:tr w14:paraId="787A6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Align w:val="center"/>
          </w:tcPr>
          <w:p w14:paraId="240AC194">
            <w:r>
              <w:rPr>
                <w:rFonts w:hint="eastAsia"/>
              </w:rPr>
              <w:t>评价标准</w:t>
            </w:r>
          </w:p>
        </w:tc>
        <w:tc>
          <w:tcPr>
            <w:tcW w:w="864" w:type="pct"/>
            <w:vAlign w:val="center"/>
          </w:tcPr>
          <w:p w14:paraId="4BB11B50">
            <w:r>
              <w:rPr>
                <w:rFonts w:hint="eastAsia"/>
              </w:rPr>
              <w:t>评价标准</w:t>
            </w:r>
          </w:p>
        </w:tc>
        <w:tc>
          <w:tcPr>
            <w:tcW w:w="3589" w:type="pct"/>
            <w:gridSpan w:val="9"/>
            <w:vAlign w:val="center"/>
          </w:tcPr>
          <w:p w14:paraId="6471B004">
            <w:r>
              <w:rPr>
                <w:rFonts w:hint="eastAsia"/>
              </w:rPr>
              <w:t>国家标准</w:t>
            </w:r>
            <w:r>
              <w:rPr/>
              <w:sym w:font="Wingdings 2" w:char="F052"/>
            </w:r>
            <w:r>
              <w:t xml:space="preserve">              </w:t>
            </w:r>
            <w:r>
              <w:rPr>
                <w:rFonts w:hint="eastAsia"/>
              </w:rPr>
              <w:t>地方标准□</w:t>
            </w:r>
            <w:r>
              <w:t xml:space="preserve">              </w:t>
            </w:r>
            <w:r>
              <w:rPr>
                <w:rFonts w:hint="eastAsia"/>
              </w:rPr>
              <w:t>国外标准□</w:t>
            </w:r>
          </w:p>
        </w:tc>
      </w:tr>
      <w:tr w14:paraId="2C3C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restart"/>
            <w:vAlign w:val="center"/>
          </w:tcPr>
          <w:p w14:paraId="0C06317D">
            <w:r>
              <w:rPr>
                <w:rFonts w:hint="eastAsia"/>
              </w:rPr>
              <w:t>现状评价</w:t>
            </w:r>
          </w:p>
        </w:tc>
        <w:tc>
          <w:tcPr>
            <w:tcW w:w="864" w:type="pct"/>
            <w:vAlign w:val="center"/>
          </w:tcPr>
          <w:p w14:paraId="64A53C7C">
            <w:r>
              <w:rPr>
                <w:rFonts w:hint="eastAsia"/>
              </w:rPr>
              <w:t>环境功能区</w:t>
            </w:r>
          </w:p>
        </w:tc>
        <w:tc>
          <w:tcPr>
            <w:tcW w:w="598" w:type="pct"/>
            <w:vAlign w:val="center"/>
          </w:tcPr>
          <w:p w14:paraId="320E441A">
            <w:r>
              <w:t>0</w:t>
            </w:r>
            <w:r>
              <w:rPr>
                <w:rFonts w:hint="eastAsia"/>
              </w:rPr>
              <w:t>类区□</w:t>
            </w:r>
          </w:p>
        </w:tc>
        <w:tc>
          <w:tcPr>
            <w:tcW w:w="599" w:type="pct"/>
            <w:gridSpan w:val="2"/>
            <w:vAlign w:val="center"/>
          </w:tcPr>
          <w:p w14:paraId="6857783A">
            <w:r>
              <w:t>1</w:t>
            </w:r>
            <w:r>
              <w:rPr>
                <w:rFonts w:hint="eastAsia"/>
              </w:rPr>
              <w:t>类区□</w:t>
            </w:r>
          </w:p>
        </w:tc>
        <w:tc>
          <w:tcPr>
            <w:tcW w:w="598" w:type="pct"/>
            <w:gridSpan w:val="2"/>
            <w:vAlign w:val="center"/>
          </w:tcPr>
          <w:p w14:paraId="7EAC40A7">
            <w:r>
              <w:t>2</w:t>
            </w:r>
            <w:r>
              <w:rPr>
                <w:rFonts w:hint="eastAsia"/>
              </w:rPr>
              <w:t>类区☑</w:t>
            </w:r>
          </w:p>
        </w:tc>
        <w:tc>
          <w:tcPr>
            <w:tcW w:w="598" w:type="pct"/>
            <w:vAlign w:val="center"/>
          </w:tcPr>
          <w:p w14:paraId="313942FA">
            <w:r>
              <w:t>3</w:t>
            </w:r>
            <w:r>
              <w:rPr>
                <w:rFonts w:hint="eastAsia"/>
              </w:rPr>
              <w:t>类区</w:t>
            </w:r>
            <w:r>
              <w:rPr/>
              <w:sym w:font="Wingdings 2" w:char="00A3"/>
            </w:r>
          </w:p>
        </w:tc>
        <w:tc>
          <w:tcPr>
            <w:tcW w:w="599" w:type="pct"/>
            <w:gridSpan w:val="2"/>
            <w:vAlign w:val="center"/>
          </w:tcPr>
          <w:p w14:paraId="7CCB317B">
            <w:r>
              <w:t>4a</w:t>
            </w:r>
            <w:r>
              <w:rPr>
                <w:rFonts w:hint="eastAsia"/>
              </w:rPr>
              <w:t>类区□</w:t>
            </w:r>
          </w:p>
        </w:tc>
        <w:tc>
          <w:tcPr>
            <w:tcW w:w="598" w:type="pct"/>
            <w:vAlign w:val="center"/>
          </w:tcPr>
          <w:p w14:paraId="1A363286">
            <w:r>
              <w:t>4b</w:t>
            </w:r>
            <w:r>
              <w:rPr>
                <w:rFonts w:hint="eastAsia"/>
              </w:rPr>
              <w:t>类区□</w:t>
            </w:r>
          </w:p>
        </w:tc>
      </w:tr>
      <w:tr w14:paraId="2C5C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continue"/>
            <w:vAlign w:val="center"/>
          </w:tcPr>
          <w:p w14:paraId="39A13483"/>
        </w:tc>
        <w:tc>
          <w:tcPr>
            <w:tcW w:w="864" w:type="pct"/>
            <w:vAlign w:val="center"/>
          </w:tcPr>
          <w:p w14:paraId="78686977">
            <w:r>
              <w:rPr>
                <w:rFonts w:hint="eastAsia"/>
              </w:rPr>
              <w:t>评价年度</w:t>
            </w:r>
          </w:p>
        </w:tc>
        <w:tc>
          <w:tcPr>
            <w:tcW w:w="897" w:type="pct"/>
            <w:gridSpan w:val="2"/>
            <w:vAlign w:val="center"/>
          </w:tcPr>
          <w:p w14:paraId="58A2FF4D">
            <w:r>
              <w:rPr>
                <w:rFonts w:hint="eastAsia"/>
              </w:rPr>
              <w:t>初期</w:t>
            </w:r>
            <w:r>
              <w:rPr/>
              <w:sym w:font="Wingdings 2" w:char="F052"/>
            </w:r>
          </w:p>
        </w:tc>
        <w:tc>
          <w:tcPr>
            <w:tcW w:w="897" w:type="pct"/>
            <w:gridSpan w:val="3"/>
            <w:vAlign w:val="center"/>
          </w:tcPr>
          <w:p w14:paraId="00291D98">
            <w:r>
              <w:rPr>
                <w:rFonts w:hint="eastAsia"/>
              </w:rPr>
              <w:t>近期☑</w:t>
            </w:r>
          </w:p>
        </w:tc>
        <w:tc>
          <w:tcPr>
            <w:tcW w:w="897" w:type="pct"/>
            <w:gridSpan w:val="2"/>
            <w:vAlign w:val="center"/>
          </w:tcPr>
          <w:p w14:paraId="446103EB">
            <w:r>
              <w:rPr>
                <w:rFonts w:hint="eastAsia"/>
              </w:rPr>
              <w:t>中期☑</w:t>
            </w:r>
          </w:p>
        </w:tc>
        <w:tc>
          <w:tcPr>
            <w:tcW w:w="897" w:type="pct"/>
            <w:gridSpan w:val="2"/>
            <w:vAlign w:val="center"/>
          </w:tcPr>
          <w:p w14:paraId="58E034F3">
            <w:r>
              <w:rPr>
                <w:rFonts w:hint="eastAsia"/>
              </w:rPr>
              <w:t>远期☑</w:t>
            </w:r>
          </w:p>
        </w:tc>
      </w:tr>
      <w:tr w14:paraId="59A6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continue"/>
            <w:vAlign w:val="center"/>
          </w:tcPr>
          <w:p w14:paraId="66B835DA"/>
        </w:tc>
        <w:tc>
          <w:tcPr>
            <w:tcW w:w="864" w:type="pct"/>
            <w:vAlign w:val="center"/>
          </w:tcPr>
          <w:p w14:paraId="43F6E222">
            <w:r>
              <w:rPr>
                <w:rFonts w:hint="eastAsia"/>
              </w:rPr>
              <w:t>现状调查方法</w:t>
            </w:r>
          </w:p>
        </w:tc>
        <w:tc>
          <w:tcPr>
            <w:tcW w:w="3589" w:type="pct"/>
            <w:gridSpan w:val="9"/>
            <w:vAlign w:val="center"/>
          </w:tcPr>
          <w:p w14:paraId="714E0871">
            <w:r>
              <w:rPr>
                <w:rFonts w:hint="eastAsia"/>
              </w:rPr>
              <w:t>现场实测法</w:t>
            </w:r>
            <w:r>
              <w:rPr/>
              <w:sym w:font="Wingdings 2" w:char="F052"/>
            </w:r>
            <w:r>
              <w:t xml:space="preserve">          </w:t>
            </w:r>
            <w:r>
              <w:rPr>
                <w:rFonts w:hint="eastAsia"/>
              </w:rPr>
              <w:t>现场实测加模型计算法□</w:t>
            </w:r>
            <w:r>
              <w:t xml:space="preserve">          </w:t>
            </w:r>
            <w:r>
              <w:rPr>
                <w:rFonts w:hint="eastAsia"/>
              </w:rPr>
              <w:t>收集资料□</w:t>
            </w:r>
          </w:p>
        </w:tc>
      </w:tr>
      <w:tr w14:paraId="5A4E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continue"/>
            <w:vAlign w:val="center"/>
          </w:tcPr>
          <w:p w14:paraId="6EEA9DD0"/>
        </w:tc>
        <w:tc>
          <w:tcPr>
            <w:tcW w:w="864" w:type="pct"/>
            <w:vAlign w:val="center"/>
          </w:tcPr>
          <w:p w14:paraId="39B5166B">
            <w:r>
              <w:rPr>
                <w:rFonts w:hint="eastAsia"/>
              </w:rPr>
              <w:t>现状评价</w:t>
            </w:r>
          </w:p>
        </w:tc>
        <w:tc>
          <w:tcPr>
            <w:tcW w:w="897" w:type="pct"/>
            <w:gridSpan w:val="2"/>
            <w:vAlign w:val="center"/>
          </w:tcPr>
          <w:p w14:paraId="7329E966">
            <w:r>
              <w:rPr>
                <w:rFonts w:hint="eastAsia"/>
              </w:rPr>
              <w:t>达标百分比</w:t>
            </w:r>
          </w:p>
        </w:tc>
        <w:tc>
          <w:tcPr>
            <w:tcW w:w="2692" w:type="pct"/>
            <w:gridSpan w:val="7"/>
            <w:vAlign w:val="center"/>
          </w:tcPr>
          <w:p w14:paraId="29EBE8CA">
            <w:r>
              <w:rPr>
                <w:rFonts w:hint="eastAsia"/>
              </w:rPr>
              <w:t>1</w:t>
            </w:r>
            <w:r>
              <w:t>00%</w:t>
            </w:r>
          </w:p>
        </w:tc>
      </w:tr>
      <w:tr w14:paraId="4D9E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Align w:val="center"/>
          </w:tcPr>
          <w:p w14:paraId="0A28E66C">
            <w:r>
              <w:rPr>
                <w:rFonts w:hint="eastAsia"/>
              </w:rPr>
              <w:t>噪声源</w:t>
            </w:r>
          </w:p>
          <w:p w14:paraId="5E1C67DE">
            <w:r>
              <w:rPr>
                <w:rFonts w:hint="eastAsia"/>
              </w:rPr>
              <w:t>调查</w:t>
            </w:r>
          </w:p>
        </w:tc>
        <w:tc>
          <w:tcPr>
            <w:tcW w:w="864" w:type="pct"/>
            <w:vAlign w:val="center"/>
          </w:tcPr>
          <w:p w14:paraId="02C9970E">
            <w:r>
              <w:rPr>
                <w:rFonts w:hint="eastAsia"/>
              </w:rPr>
              <w:t>噪声源调查方法</w:t>
            </w:r>
          </w:p>
        </w:tc>
        <w:tc>
          <w:tcPr>
            <w:tcW w:w="3589" w:type="pct"/>
            <w:gridSpan w:val="9"/>
            <w:vAlign w:val="center"/>
          </w:tcPr>
          <w:p w14:paraId="0AB49AAD">
            <w:r>
              <w:rPr>
                <w:rFonts w:hint="eastAsia"/>
              </w:rPr>
              <w:t>现场实测☑</w:t>
            </w:r>
            <w:r>
              <w:t xml:space="preserve">              </w:t>
            </w:r>
            <w:r>
              <w:rPr>
                <w:rFonts w:hint="eastAsia"/>
              </w:rPr>
              <w:t>已有资料</w:t>
            </w:r>
            <w:r>
              <w:rPr/>
              <w:sym w:font="Wingdings 2" w:char="F052"/>
            </w:r>
            <w:r>
              <w:t xml:space="preserve">              </w:t>
            </w:r>
            <w:r>
              <w:rPr>
                <w:rFonts w:hint="eastAsia"/>
              </w:rPr>
              <w:t>研究成果□</w:t>
            </w:r>
          </w:p>
        </w:tc>
      </w:tr>
      <w:tr w14:paraId="3B94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restart"/>
            <w:vAlign w:val="center"/>
          </w:tcPr>
          <w:p w14:paraId="5A825EBC">
            <w:r>
              <w:rPr>
                <w:rFonts w:hint="eastAsia"/>
              </w:rPr>
              <w:t>声环境影响预测与评价</w:t>
            </w:r>
          </w:p>
        </w:tc>
        <w:tc>
          <w:tcPr>
            <w:tcW w:w="864" w:type="pct"/>
            <w:vAlign w:val="center"/>
          </w:tcPr>
          <w:p w14:paraId="56793AD2">
            <w:r>
              <w:rPr>
                <w:rFonts w:hint="eastAsia"/>
              </w:rPr>
              <w:t>预测模型</w:t>
            </w:r>
          </w:p>
        </w:tc>
        <w:tc>
          <w:tcPr>
            <w:tcW w:w="3589" w:type="pct"/>
            <w:gridSpan w:val="9"/>
            <w:vAlign w:val="center"/>
          </w:tcPr>
          <w:p w14:paraId="03D2730B">
            <w:r>
              <w:rPr>
                <w:rFonts w:hint="eastAsia"/>
              </w:rPr>
              <w:t>导则推荐模型</w:t>
            </w:r>
            <w:r>
              <w:rPr/>
              <w:sym w:font="Wingdings 2" w:char="F052"/>
            </w:r>
            <w:r>
              <w:rPr>
                <w:rFonts w:hint="eastAsia"/>
              </w:rPr>
              <w:t xml:space="preserve"> </w:t>
            </w:r>
            <w:r>
              <w:t xml:space="preserve">                   </w:t>
            </w:r>
            <w:r>
              <w:rPr>
                <w:rFonts w:hint="eastAsia"/>
              </w:rPr>
              <w:t xml:space="preserve">其他□ </w:t>
            </w:r>
            <w:r>
              <w:t xml:space="preserve">         </w:t>
            </w:r>
          </w:p>
        </w:tc>
      </w:tr>
      <w:tr w14:paraId="1F96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continue"/>
            <w:vAlign w:val="center"/>
          </w:tcPr>
          <w:p w14:paraId="3C4CD807"/>
        </w:tc>
        <w:tc>
          <w:tcPr>
            <w:tcW w:w="864" w:type="pct"/>
            <w:vAlign w:val="center"/>
          </w:tcPr>
          <w:p w14:paraId="6B085098">
            <w:r>
              <w:rPr>
                <w:rFonts w:hint="eastAsia"/>
              </w:rPr>
              <w:t>预测范围</w:t>
            </w:r>
          </w:p>
        </w:tc>
        <w:tc>
          <w:tcPr>
            <w:tcW w:w="3589" w:type="pct"/>
            <w:gridSpan w:val="9"/>
            <w:vAlign w:val="center"/>
          </w:tcPr>
          <w:p w14:paraId="3908BF12">
            <w:r>
              <w:t>200m</w:t>
            </w:r>
            <w:r>
              <w:rPr/>
              <w:sym w:font="Wingdings 2" w:char="F052"/>
            </w:r>
            <w:r>
              <w:t xml:space="preserve">                 </w:t>
            </w:r>
            <w:r>
              <w:rPr>
                <w:rFonts w:hint="eastAsia"/>
              </w:rPr>
              <w:t>大于</w:t>
            </w:r>
            <w:r>
              <w:t>200m</w:t>
            </w:r>
            <w:r>
              <w:rPr>
                <w:rFonts w:hint="eastAsia"/>
              </w:rPr>
              <w:t>□</w:t>
            </w:r>
            <w:r>
              <w:t xml:space="preserve">            </w:t>
            </w:r>
            <w:r>
              <w:rPr>
                <w:rFonts w:hint="eastAsia"/>
              </w:rPr>
              <w:t>小于</w:t>
            </w:r>
            <w:r>
              <w:t>200m</w:t>
            </w:r>
            <w:r>
              <w:rPr>
                <w:rFonts w:hint="eastAsia"/>
              </w:rPr>
              <w:t>□</w:t>
            </w:r>
          </w:p>
        </w:tc>
      </w:tr>
      <w:tr w14:paraId="2398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continue"/>
            <w:vAlign w:val="center"/>
          </w:tcPr>
          <w:p w14:paraId="7B05BDF1"/>
        </w:tc>
        <w:tc>
          <w:tcPr>
            <w:tcW w:w="864" w:type="pct"/>
            <w:vAlign w:val="center"/>
          </w:tcPr>
          <w:p w14:paraId="2654D298">
            <w:r>
              <w:rPr>
                <w:rFonts w:hint="eastAsia"/>
              </w:rPr>
              <w:t>预测因子</w:t>
            </w:r>
          </w:p>
        </w:tc>
        <w:tc>
          <w:tcPr>
            <w:tcW w:w="3589" w:type="pct"/>
            <w:gridSpan w:val="9"/>
            <w:vAlign w:val="center"/>
          </w:tcPr>
          <w:p w14:paraId="1F1FD76E">
            <w:r>
              <w:rPr>
                <w:rFonts w:hint="eastAsia"/>
              </w:rPr>
              <w:t>等效连续</w:t>
            </w:r>
            <w:r>
              <w:t>A</w:t>
            </w:r>
            <w:r>
              <w:rPr>
                <w:rFonts w:hint="eastAsia"/>
              </w:rPr>
              <w:t>声级</w:t>
            </w:r>
            <w:r>
              <w:rPr/>
              <w:sym w:font="Wingdings 2" w:char="F052"/>
            </w:r>
            <w:r>
              <w:rPr>
                <w:rFonts w:hint="eastAsia"/>
              </w:rPr>
              <w:t xml:space="preserve"> </w:t>
            </w:r>
            <w:r>
              <w:t xml:space="preserve">   </w:t>
            </w:r>
            <w:r>
              <w:rPr>
                <w:rFonts w:hint="eastAsia"/>
              </w:rPr>
              <w:t>最大</w:t>
            </w:r>
            <w:r>
              <w:t>A</w:t>
            </w:r>
            <w:r>
              <w:rPr>
                <w:rFonts w:hint="eastAsia"/>
              </w:rPr>
              <w:t xml:space="preserve">声级□ </w:t>
            </w:r>
            <w:r>
              <w:t xml:space="preserve">   </w:t>
            </w:r>
            <w:r>
              <w:rPr>
                <w:rFonts w:hint="eastAsia"/>
              </w:rPr>
              <w:t>计权等效连续感觉噪声级□</w:t>
            </w:r>
          </w:p>
        </w:tc>
      </w:tr>
      <w:tr w14:paraId="1911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continue"/>
            <w:vAlign w:val="center"/>
          </w:tcPr>
          <w:p w14:paraId="258ECF4D"/>
        </w:tc>
        <w:tc>
          <w:tcPr>
            <w:tcW w:w="864" w:type="pct"/>
            <w:vAlign w:val="center"/>
          </w:tcPr>
          <w:p w14:paraId="72B375C4">
            <w:r>
              <w:rPr>
                <w:rFonts w:hint="eastAsia"/>
              </w:rPr>
              <w:t>厂界噪声贡献值</w:t>
            </w:r>
          </w:p>
        </w:tc>
        <w:tc>
          <w:tcPr>
            <w:tcW w:w="3589" w:type="pct"/>
            <w:gridSpan w:val="9"/>
            <w:vAlign w:val="center"/>
          </w:tcPr>
          <w:p w14:paraId="69B9D444">
            <w:r>
              <w:rPr>
                <w:rFonts w:hint="eastAsia"/>
              </w:rPr>
              <w:t>达标</w:t>
            </w:r>
            <w:r>
              <w:rPr/>
              <w:sym w:font="Wingdings 2" w:char="F052"/>
            </w:r>
            <w:r>
              <w:t xml:space="preserve">                           </w:t>
            </w:r>
            <w:r>
              <w:rPr>
                <w:rFonts w:hint="eastAsia"/>
              </w:rPr>
              <w:t>不达标□</w:t>
            </w:r>
          </w:p>
        </w:tc>
      </w:tr>
      <w:tr w14:paraId="63D7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continue"/>
            <w:vAlign w:val="center"/>
          </w:tcPr>
          <w:p w14:paraId="407E641D"/>
        </w:tc>
        <w:tc>
          <w:tcPr>
            <w:tcW w:w="864" w:type="pct"/>
            <w:vAlign w:val="center"/>
          </w:tcPr>
          <w:p w14:paraId="4BD386AC">
            <w:r>
              <w:rPr>
                <w:rFonts w:hint="eastAsia"/>
              </w:rPr>
              <w:t>声环境保护目标处噪声值</w:t>
            </w:r>
          </w:p>
        </w:tc>
        <w:tc>
          <w:tcPr>
            <w:tcW w:w="3589" w:type="pct"/>
            <w:gridSpan w:val="9"/>
            <w:vAlign w:val="center"/>
          </w:tcPr>
          <w:p w14:paraId="0CE26208">
            <w:r>
              <w:rPr>
                <w:rFonts w:hint="eastAsia"/>
              </w:rPr>
              <w:t>达标</w:t>
            </w:r>
            <w:r>
              <w:rPr/>
              <w:sym w:font="Wingdings 2" w:char="F052"/>
            </w:r>
            <w:r>
              <w:t xml:space="preserve">                           </w:t>
            </w:r>
            <w:r>
              <w:rPr>
                <w:rFonts w:hint="eastAsia"/>
              </w:rPr>
              <w:t>不达标□</w:t>
            </w:r>
          </w:p>
        </w:tc>
      </w:tr>
      <w:tr w14:paraId="2CDC2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restart"/>
            <w:vAlign w:val="center"/>
          </w:tcPr>
          <w:p w14:paraId="609B1C49">
            <w:r>
              <w:rPr>
                <w:rFonts w:hint="eastAsia"/>
              </w:rPr>
              <w:t>环境监测计划</w:t>
            </w:r>
          </w:p>
        </w:tc>
        <w:tc>
          <w:tcPr>
            <w:tcW w:w="864" w:type="pct"/>
            <w:vAlign w:val="center"/>
          </w:tcPr>
          <w:p w14:paraId="3999008D">
            <w:r>
              <w:rPr>
                <w:rFonts w:hint="eastAsia"/>
              </w:rPr>
              <w:t>排放监测</w:t>
            </w:r>
          </w:p>
        </w:tc>
        <w:tc>
          <w:tcPr>
            <w:tcW w:w="3589" w:type="pct"/>
            <w:gridSpan w:val="9"/>
            <w:vAlign w:val="center"/>
          </w:tcPr>
          <w:p w14:paraId="3DB6E782">
            <w:r>
              <w:rPr>
                <w:rFonts w:hint="eastAsia"/>
              </w:rPr>
              <w:t>厂界监测</w:t>
            </w:r>
            <w:r>
              <w:rPr/>
              <w:sym w:font="Wingdings 2" w:char="F052"/>
            </w:r>
            <w:r>
              <w:t xml:space="preserve">   </w:t>
            </w:r>
            <w:r>
              <w:rPr>
                <w:rFonts w:hint="eastAsia"/>
              </w:rPr>
              <w:t>固定位置监测□</w:t>
            </w:r>
            <w:r>
              <w:t xml:space="preserve">   </w:t>
            </w:r>
            <w:r>
              <w:rPr>
                <w:rFonts w:hint="eastAsia"/>
              </w:rPr>
              <w:t>自动监测□</w:t>
            </w:r>
            <w:r>
              <w:t xml:space="preserve">   </w:t>
            </w:r>
            <w:r>
              <w:rPr>
                <w:rFonts w:hint="eastAsia"/>
              </w:rPr>
              <w:t>手动监测</w:t>
            </w:r>
            <w:r>
              <w:rPr/>
              <w:sym w:font="Wingdings 2" w:char="F052"/>
            </w:r>
            <w:r>
              <w:t xml:space="preserve">   </w:t>
            </w:r>
            <w:r>
              <w:rPr>
                <w:rFonts w:hint="eastAsia"/>
              </w:rPr>
              <w:t>无监测□</w:t>
            </w:r>
          </w:p>
        </w:tc>
      </w:tr>
      <w:tr w14:paraId="72716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Merge w:val="continue"/>
            <w:vAlign w:val="center"/>
          </w:tcPr>
          <w:p w14:paraId="150086FA"/>
        </w:tc>
        <w:tc>
          <w:tcPr>
            <w:tcW w:w="864" w:type="pct"/>
            <w:vAlign w:val="center"/>
          </w:tcPr>
          <w:p w14:paraId="5046DDFD">
            <w:r>
              <w:rPr>
                <w:rFonts w:hint="eastAsia"/>
              </w:rPr>
              <w:t>声环境保护目标处噪声监测</w:t>
            </w:r>
          </w:p>
        </w:tc>
        <w:tc>
          <w:tcPr>
            <w:tcW w:w="1345" w:type="pct"/>
            <w:gridSpan w:val="4"/>
            <w:vAlign w:val="center"/>
          </w:tcPr>
          <w:p w14:paraId="49BF2374">
            <w:r>
              <w:rPr>
                <w:rFonts w:hint="eastAsia"/>
              </w:rPr>
              <w:t>监测因子：（等效连续A声级）</w:t>
            </w:r>
          </w:p>
        </w:tc>
        <w:tc>
          <w:tcPr>
            <w:tcW w:w="1347" w:type="pct"/>
            <w:gridSpan w:val="3"/>
            <w:vAlign w:val="center"/>
          </w:tcPr>
          <w:p w14:paraId="44BFEC3C">
            <w:r>
              <w:rPr>
                <w:rFonts w:hint="eastAsia"/>
              </w:rPr>
              <w:t>监测点位数（5个）</w:t>
            </w:r>
          </w:p>
        </w:tc>
        <w:tc>
          <w:tcPr>
            <w:tcW w:w="897" w:type="pct"/>
            <w:gridSpan w:val="2"/>
            <w:vAlign w:val="center"/>
          </w:tcPr>
          <w:p w14:paraId="11D6A47F">
            <w:r>
              <w:rPr>
                <w:rFonts w:hint="eastAsia"/>
              </w:rPr>
              <w:t>无监测</w:t>
            </w:r>
            <w:r>
              <w:rPr/>
              <w:sym w:font="Wingdings 2" w:char="00A3"/>
            </w:r>
          </w:p>
        </w:tc>
      </w:tr>
      <w:tr w14:paraId="2FA5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47" w:type="pct"/>
            <w:vAlign w:val="center"/>
          </w:tcPr>
          <w:p w14:paraId="03CDE042">
            <w:r>
              <w:rPr>
                <w:rFonts w:hint="eastAsia"/>
              </w:rPr>
              <w:t>评价结论</w:t>
            </w:r>
          </w:p>
        </w:tc>
        <w:tc>
          <w:tcPr>
            <w:tcW w:w="864" w:type="pct"/>
            <w:vAlign w:val="center"/>
          </w:tcPr>
          <w:p w14:paraId="0C20F38F">
            <w:r>
              <w:rPr>
                <w:rFonts w:hint="eastAsia"/>
              </w:rPr>
              <w:t>环境影响</w:t>
            </w:r>
          </w:p>
        </w:tc>
        <w:tc>
          <w:tcPr>
            <w:tcW w:w="3589" w:type="pct"/>
            <w:gridSpan w:val="9"/>
            <w:vAlign w:val="center"/>
          </w:tcPr>
          <w:p w14:paraId="672C7589">
            <w:r>
              <w:rPr>
                <w:rFonts w:hint="eastAsia"/>
              </w:rPr>
              <w:t>可行</w:t>
            </w:r>
            <w:r>
              <w:rPr/>
              <w:sym w:font="Wingdings 2" w:char="F052"/>
            </w:r>
            <w:r>
              <w:t xml:space="preserve">                           </w:t>
            </w:r>
            <w:r>
              <w:rPr>
                <w:rFonts w:hint="eastAsia"/>
              </w:rPr>
              <w:t>不可行□</w:t>
            </w:r>
          </w:p>
        </w:tc>
      </w:tr>
      <w:tr w14:paraId="7AA24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000" w:type="pct"/>
            <w:gridSpan w:val="11"/>
            <w:vAlign w:val="center"/>
          </w:tcPr>
          <w:p w14:paraId="0D406653">
            <w:r>
              <w:t>注：</w:t>
            </w:r>
            <w:r>
              <w:rPr>
                <w:rFonts w:hint="eastAsia"/>
              </w:rPr>
              <w:t>“□”为勾选项</w:t>
            </w:r>
            <w:r>
              <w:t>，</w:t>
            </w:r>
            <w:r>
              <w:rPr>
                <w:rFonts w:hint="eastAsia"/>
              </w:rPr>
              <w:t>可√</w:t>
            </w:r>
            <w:r>
              <w:t>；</w:t>
            </w:r>
            <w:r>
              <w:rPr>
                <w:rFonts w:hint="eastAsia"/>
              </w:rPr>
              <w:t>“（  ）”为内容填写项</w:t>
            </w:r>
            <w:r>
              <w:t>。</w:t>
            </w:r>
          </w:p>
        </w:tc>
      </w:tr>
    </w:tbl>
    <w:p w14:paraId="59BB2B3C">
      <w:pPr>
        <w:sectPr>
          <w:pgSz w:w="11906" w:h="16838"/>
          <w:pgMar w:top="1440" w:right="1440" w:bottom="1440" w:left="1440" w:header="851" w:footer="992" w:gutter="0"/>
          <w:cols w:space="425" w:num="1"/>
          <w:docGrid w:type="lines" w:linePitch="312" w:charSpace="0"/>
        </w:sectPr>
      </w:pPr>
    </w:p>
    <w:p w14:paraId="3668276A">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814" w:name="_Toc233380230"/>
      <w:r>
        <w:rPr>
          <w:rFonts w:ascii="Times New Roman" w:hAnsi="Times New Roman" w:eastAsia="宋体"/>
          <w:color w:val="000000" w:themeColor="text1"/>
          <w:sz w:val="30"/>
          <w:szCs w:val="30"/>
          <w14:textFill>
            <w14:solidFill>
              <w14:schemeClr w14:val="tx1"/>
            </w14:solidFill>
          </w14:textFill>
        </w:rPr>
        <w:t>5.6营运期固体废物环境影响分析</w:t>
      </w:r>
      <w:bookmarkEnd w:id="804"/>
      <w:bookmarkEnd w:id="805"/>
      <w:bookmarkEnd w:id="814"/>
    </w:p>
    <w:p w14:paraId="6DA0A7EF">
      <w:pPr>
        <w:pStyle w:val="5"/>
        <w:adjustRightInd w:val="0"/>
        <w:snapToGrid w:val="0"/>
        <w:spacing w:before="0" w:after="0" w:line="360" w:lineRule="auto"/>
        <w:rPr>
          <w:color w:val="000000" w:themeColor="text1"/>
          <w:sz w:val="28"/>
          <w:szCs w:val="28"/>
          <w14:textFill>
            <w14:solidFill>
              <w14:schemeClr w14:val="tx1"/>
            </w14:solidFill>
          </w14:textFill>
        </w:rPr>
      </w:pPr>
      <w:bookmarkStart w:id="815" w:name="_Toc40220781"/>
      <w:bookmarkStart w:id="816" w:name="_Toc21529670"/>
      <w:bookmarkStart w:id="817" w:name="_Toc28814706"/>
      <w:bookmarkStart w:id="818" w:name="_Toc27751220"/>
      <w:bookmarkStart w:id="819" w:name="_Toc1408"/>
      <w:bookmarkStart w:id="820" w:name="_Toc230079417"/>
      <w:bookmarkStart w:id="821" w:name="_Toc233380231"/>
      <w:bookmarkStart w:id="822" w:name="OLE_LINK27"/>
      <w:r>
        <w:rPr>
          <w:color w:val="000000" w:themeColor="text1"/>
          <w:sz w:val="28"/>
          <w:szCs w:val="28"/>
          <w14:textFill>
            <w14:solidFill>
              <w14:schemeClr w14:val="tx1"/>
            </w14:solidFill>
          </w14:textFill>
        </w:rPr>
        <w:t>5.6.</w:t>
      </w:r>
      <w:r>
        <w:rPr>
          <w:rFonts w:hint="eastAsia"/>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t>固体废物</w:t>
      </w:r>
      <w:bookmarkEnd w:id="815"/>
      <w:bookmarkEnd w:id="816"/>
      <w:bookmarkEnd w:id="817"/>
      <w:bookmarkEnd w:id="818"/>
      <w:r>
        <w:rPr>
          <w:rFonts w:hint="eastAsia"/>
          <w:color w:val="000000" w:themeColor="text1"/>
          <w:sz w:val="28"/>
          <w:szCs w:val="28"/>
          <w14:textFill>
            <w14:solidFill>
              <w14:schemeClr w14:val="tx1"/>
            </w14:solidFill>
          </w14:textFill>
        </w:rPr>
        <w:t>处置措施</w:t>
      </w:r>
      <w:bookmarkEnd w:id="819"/>
      <w:bookmarkEnd w:id="820"/>
      <w:bookmarkEnd w:id="821"/>
    </w:p>
    <w:p w14:paraId="47575EBB">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项目营运期固废主要包括</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生活垃圾</w:t>
      </w:r>
      <w:r>
        <w:rPr>
          <w:rFonts w:hint="eastAsia"/>
          <w:color w:val="000000" w:themeColor="text1"/>
          <w:sz w:val="24"/>
          <w14:textFill>
            <w14:solidFill>
              <w14:schemeClr w14:val="tx1"/>
            </w14:solidFill>
          </w14:textFill>
        </w:rPr>
        <w:t>、2）场床废弃垫料</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饲料残渣、4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废包装材料、5</w:t>
      </w:r>
      <w:r>
        <w:rPr>
          <w:rFonts w:hint="eastAsia"/>
          <w:color w:val="000000" w:themeColor="text1"/>
          <w:sz w:val="24"/>
          <w14:textFill>
            <w14:solidFill>
              <w14:schemeClr w14:val="tx1"/>
            </w14:solidFill>
          </w14:textFill>
        </w:rPr>
        <w:t>）病死牛、</w:t>
      </w:r>
      <w:r>
        <w:rPr>
          <w:color w:val="000000" w:themeColor="text1"/>
          <w:sz w:val="24"/>
          <w14:textFill>
            <w14:solidFill>
              <w14:schemeClr w14:val="tx1"/>
            </w14:solidFill>
          </w14:textFill>
        </w:rPr>
        <w:t>6</w:t>
      </w:r>
      <w:r>
        <w:rPr>
          <w:rFonts w:hint="eastAsia"/>
          <w:color w:val="000000" w:themeColor="text1"/>
          <w:sz w:val="24"/>
          <w14:textFill>
            <w14:solidFill>
              <w14:schemeClr w14:val="tx1"/>
            </w14:solidFill>
          </w14:textFill>
        </w:rPr>
        <w:t>）动物医疗废物</w:t>
      </w:r>
      <w:r>
        <w:rPr>
          <w:color w:val="000000" w:themeColor="text1"/>
          <w:sz w:val="24"/>
          <w14:textFill>
            <w14:solidFill>
              <w14:schemeClr w14:val="tx1"/>
            </w14:solidFill>
          </w14:textFill>
        </w:rPr>
        <w:t>。</w:t>
      </w:r>
    </w:p>
    <w:p w14:paraId="7DD9FCC7">
      <w:pPr>
        <w:adjustRightInd w:val="0"/>
        <w:snapToGrid w:val="0"/>
        <w:spacing w:line="360" w:lineRule="auto"/>
        <w:ind w:firstLine="482" w:firstLineChars="200"/>
        <w:jc w:val="both"/>
        <w:rPr>
          <w:b/>
          <w:bCs/>
          <w:color w:val="000000" w:themeColor="text1"/>
          <w:sz w:val="24"/>
          <w14:textFill>
            <w14:solidFill>
              <w14:schemeClr w14:val="tx1"/>
            </w14:solidFill>
          </w14:textFill>
        </w:rPr>
      </w:pPr>
      <w:bookmarkStart w:id="823" w:name="_Hlk11933048"/>
      <w:r>
        <w:rPr>
          <w:b/>
          <w:bCs/>
          <w:color w:val="000000" w:themeColor="text1"/>
          <w:sz w:val="24"/>
          <w14:textFill>
            <w14:solidFill>
              <w14:schemeClr w14:val="tx1"/>
            </w14:solidFill>
          </w14:textFill>
        </w:rPr>
        <w:t>（1）一般固体废物</w:t>
      </w:r>
    </w:p>
    <w:p w14:paraId="2EC35E1F">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1）生活垃圾垃圾桶内收集后，交由环卫部门处理。</w:t>
      </w:r>
    </w:p>
    <w:p w14:paraId="1E642FE1">
      <w:pPr>
        <w:adjustRightInd w:val="0"/>
        <w:snapToGrid w:val="0"/>
        <w:spacing w:line="360" w:lineRule="auto"/>
        <w:ind w:firstLine="480" w:firstLineChars="200"/>
        <w:jc w:val="both"/>
        <w:rPr>
          <w:color w:val="000000" w:themeColor="text1"/>
          <w:spacing w:val="-1"/>
          <w:sz w:val="24"/>
          <w14:textFill>
            <w14:solidFill>
              <w14:schemeClr w14:val="tx1"/>
            </w14:solidFill>
          </w14:textFill>
        </w:rPr>
      </w:pPr>
      <w:r>
        <w:rPr>
          <w:color w:val="000000" w:themeColor="text1"/>
          <w:sz w:val="24"/>
          <w14:textFill>
            <w14:solidFill>
              <w14:schemeClr w14:val="tx1"/>
            </w14:solidFill>
          </w14:textFill>
        </w:rPr>
        <w:t>2）饲料残渣</w:t>
      </w:r>
      <w:r>
        <w:rPr>
          <w:rFonts w:hint="eastAsia"/>
          <w:color w:val="000000" w:themeColor="text1"/>
          <w:spacing w:val="-1"/>
          <w:sz w:val="24"/>
          <w14:textFill>
            <w14:solidFill>
              <w14:schemeClr w14:val="tx1"/>
            </w14:solidFill>
          </w14:textFill>
        </w:rPr>
        <w:t>外售有机肥厂家进行有机肥生产。</w:t>
      </w:r>
    </w:p>
    <w:p w14:paraId="3E3414C9">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废包装材料分类收集后出售给废品回收站。</w:t>
      </w:r>
    </w:p>
    <w:p w14:paraId="0F7B3E85">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）餐厨垃圾（含隔油池油脂）由取得经营许可的餐厨垃圾处理单位处置。</w:t>
      </w:r>
    </w:p>
    <w:p w14:paraId="36C58DC7">
      <w:pPr>
        <w:adjustRightInd w:val="0"/>
        <w:snapToGrid w:val="0"/>
        <w:spacing w:line="360" w:lineRule="auto"/>
        <w:ind w:firstLine="480" w:firstLineChars="200"/>
        <w:jc w:val="both"/>
        <w:rPr>
          <w:rFonts w:ascii="宋体" w:hAnsi="宋体" w:cs="宋体"/>
          <w:color w:val="000000" w:themeColor="text1"/>
          <w:spacing w:val="-2"/>
          <w:sz w:val="24"/>
          <w14:textFill>
            <w14:solidFill>
              <w14:schemeClr w14:val="tx1"/>
            </w14:solidFill>
          </w14:textFill>
        </w:rPr>
      </w:pPr>
      <w:r>
        <w:rPr>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病死牛应暂存于病死牛暂存间的冰柜冷冻暂存，</w:t>
      </w:r>
      <w:r>
        <w:rPr>
          <w:rFonts w:hint="eastAsia"/>
          <w:color w:val="000000" w:themeColor="text1"/>
          <w:sz w:val="24"/>
          <w14:textFill>
            <w14:solidFill>
              <w14:schemeClr w14:val="tx1"/>
            </w14:solidFill>
          </w14:textFill>
        </w:rPr>
        <w:t>暂存时间不超过180天，</w:t>
      </w:r>
      <w:r>
        <w:rPr>
          <w:rFonts w:hint="eastAsia" w:ascii="宋体" w:hAnsi="宋体" w:cs="宋体"/>
          <w:color w:val="000000" w:themeColor="text1"/>
          <w:spacing w:val="-2"/>
          <w:sz w:val="24"/>
          <w14:textFill>
            <w14:solidFill>
              <w14:schemeClr w14:val="tx1"/>
            </w14:solidFill>
          </w14:textFill>
        </w:rPr>
        <w:t>委托四川科农动物无害化处理有限公司无害化处理中心处置。</w:t>
      </w:r>
    </w:p>
    <w:p w14:paraId="5B802455">
      <w:pPr>
        <w:spacing w:line="360" w:lineRule="auto"/>
        <w:ind w:firstLine="482" w:firstLineChars="200"/>
        <w:rPr>
          <w:color w:val="000000" w:themeColor="text1"/>
          <w:sz w:val="24"/>
          <w14:textFill>
            <w14:solidFill>
              <w14:schemeClr w14:val="tx1"/>
            </w14:solidFill>
          </w14:textFill>
        </w:rPr>
      </w:pPr>
      <w:r>
        <w:rPr>
          <w:b/>
          <w:bCs/>
          <w:color w:val="000000" w:themeColor="text1"/>
          <w:sz w:val="24"/>
          <w14:textFill>
            <w14:solidFill>
              <w14:schemeClr w14:val="tx1"/>
            </w14:solidFill>
          </w14:textFill>
        </w:rPr>
        <w:t>（2）</w:t>
      </w:r>
      <w:r>
        <w:rPr>
          <w:rFonts w:hint="eastAsia"/>
          <w:b/>
          <w:bCs/>
          <w:color w:val="000000" w:themeColor="text1"/>
          <w:sz w:val="24"/>
          <w14:textFill>
            <w14:solidFill>
              <w14:schemeClr w14:val="tx1"/>
            </w14:solidFill>
          </w14:textFill>
        </w:rPr>
        <w:t>动物医疗废物：</w:t>
      </w:r>
      <w:r>
        <w:rPr>
          <w:color w:val="000000" w:themeColor="text1"/>
          <w:sz w:val="24"/>
          <w14:textFill>
            <w14:solidFill>
              <w14:schemeClr w14:val="tx1"/>
            </w14:solidFill>
          </w14:textFill>
        </w:rPr>
        <w:t>项目运营期间产生的防疫医疗废物主要为</w:t>
      </w:r>
      <w:r>
        <w:rPr>
          <w:rFonts w:hint="eastAsia"/>
          <w:color w:val="000000" w:themeColor="text1"/>
          <w:sz w:val="24"/>
          <w14:textFill>
            <w14:solidFill>
              <w14:schemeClr w14:val="tx1"/>
            </w14:solidFill>
          </w14:textFill>
        </w:rPr>
        <w:t>肉牛</w:t>
      </w:r>
      <w:r>
        <w:rPr>
          <w:color w:val="000000" w:themeColor="text1"/>
          <w:sz w:val="24"/>
          <w14:textFill>
            <w14:solidFill>
              <w14:schemeClr w14:val="tx1"/>
            </w14:solidFill>
          </w14:textFill>
        </w:rPr>
        <w:t>防疫、治愈</w:t>
      </w:r>
      <w:r>
        <w:rPr>
          <w:rFonts w:hint="eastAsia"/>
          <w:color w:val="000000" w:themeColor="text1"/>
          <w:sz w:val="24"/>
          <w14:textFill>
            <w14:solidFill>
              <w14:schemeClr w14:val="tx1"/>
            </w14:solidFill>
          </w14:textFill>
        </w:rPr>
        <w:t>肉牛</w:t>
      </w:r>
      <w:r>
        <w:rPr>
          <w:color w:val="000000" w:themeColor="text1"/>
          <w:sz w:val="24"/>
          <w14:textFill>
            <w14:solidFill>
              <w14:schemeClr w14:val="tx1"/>
            </w14:solidFill>
          </w14:textFill>
        </w:rPr>
        <w:t>产生的废弃医疗器具、药物包装袋及</w:t>
      </w:r>
      <w:r>
        <w:rPr>
          <w:rFonts w:hint="eastAsia"/>
          <w:color w:val="000000" w:themeColor="text1"/>
          <w:sz w:val="24"/>
          <w14:textFill>
            <w14:solidFill>
              <w14:schemeClr w14:val="tx1"/>
            </w14:solidFill>
          </w14:textFill>
        </w:rPr>
        <w:t>废药品等</w:t>
      </w:r>
      <w:r>
        <w:rPr>
          <w:color w:val="000000" w:themeColor="text1"/>
          <w:sz w:val="24"/>
          <w14:textFill>
            <w14:solidFill>
              <w14:schemeClr w14:val="tx1"/>
            </w14:solidFill>
          </w14:textFill>
        </w:rPr>
        <w:t>，产生量约为</w:t>
      </w:r>
      <w:r>
        <w:rPr>
          <w:rFonts w:hint="eastAsia"/>
          <w:color w:val="000000" w:themeColor="text1"/>
          <w:sz w:val="24"/>
          <w14:textFill>
            <w14:solidFill>
              <w14:schemeClr w14:val="tx1"/>
            </w14:solidFill>
          </w14:textFill>
        </w:rPr>
        <w:t>0.5</w:t>
      </w:r>
      <w:r>
        <w:rPr>
          <w:color w:val="000000" w:themeColor="text1"/>
          <w:sz w:val="24"/>
          <w14:textFill>
            <w14:solidFill>
              <w14:schemeClr w14:val="tx1"/>
            </w14:solidFill>
          </w14:textFill>
        </w:rPr>
        <w:t>t/a，暂存于</w:t>
      </w:r>
      <w:r>
        <w:rPr>
          <w:rFonts w:hint="eastAsia"/>
          <w:color w:val="000000" w:themeColor="text1"/>
          <w:sz w:val="24"/>
          <w14:textFill>
            <w14:solidFill>
              <w14:schemeClr w14:val="tx1"/>
            </w14:solidFill>
          </w14:textFill>
        </w:rPr>
        <w:t>危废</w:t>
      </w:r>
      <w:r>
        <w:rPr>
          <w:color w:val="000000" w:themeColor="text1"/>
          <w:sz w:val="24"/>
          <w14:textFill>
            <w14:solidFill>
              <w14:schemeClr w14:val="tx1"/>
            </w14:solidFill>
          </w14:textFill>
        </w:rPr>
        <w:t>暂存间后交由有医疗废物处置资质的单位进行集中清运处理。</w:t>
      </w:r>
    </w:p>
    <w:p w14:paraId="5DFEC671">
      <w:pPr>
        <w:adjustRightInd w:val="0"/>
        <w:snapToGrid w:val="0"/>
        <w:spacing w:line="360" w:lineRule="auto"/>
        <w:ind w:firstLine="482" w:firstLineChars="200"/>
        <w:jc w:val="both"/>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（3）危险废物</w:t>
      </w:r>
      <w:r>
        <w:rPr>
          <w:rFonts w:hint="eastAsia"/>
          <w:color w:val="000000" w:themeColor="text1"/>
          <w:sz w:val="24"/>
          <w14:textFill>
            <w14:solidFill>
              <w14:schemeClr w14:val="tx1"/>
            </w14:solidFill>
          </w14:textFill>
        </w:rPr>
        <w:t>（</w:t>
      </w:r>
      <w:r>
        <w:rPr>
          <w:rFonts w:hint="eastAsia"/>
          <w:color w:val="000000" w:themeColor="text1"/>
          <w:spacing w:val="-2"/>
          <w:sz w:val="24"/>
          <w14:textFill>
            <w14:solidFill>
              <w14:schemeClr w14:val="tx1"/>
            </w14:solidFill>
          </w14:textFill>
        </w:rPr>
        <w:t xml:space="preserve">废润滑油桶、废含油抹布及手套 </w:t>
      </w:r>
      <w:r>
        <w:rPr>
          <w:rFonts w:hint="eastAsia"/>
          <w:color w:val="000000" w:themeColor="text1"/>
          <w:sz w:val="24"/>
          <w14:textFill>
            <w14:solidFill>
              <w14:schemeClr w14:val="tx1"/>
            </w14:solidFill>
          </w14:textFill>
        </w:rPr>
        <w:t>）：分类收集暂存于危废暂存间，定期</w:t>
      </w:r>
      <w:r>
        <w:rPr>
          <w:rFonts w:hint="eastAsia"/>
          <w:color w:val="000000" w:themeColor="text1"/>
          <w:spacing w:val="-2"/>
          <w:sz w:val="24"/>
          <w14:textFill>
            <w14:solidFill>
              <w14:schemeClr w14:val="tx1"/>
            </w14:solidFill>
          </w14:textFill>
        </w:rPr>
        <w:t>委托有资质单位处置。</w:t>
      </w:r>
    </w:p>
    <w:p w14:paraId="120FB6AB">
      <w:pPr>
        <w:pStyle w:val="5"/>
        <w:adjustRightInd w:val="0"/>
        <w:snapToGrid w:val="0"/>
        <w:spacing w:before="0" w:after="0" w:line="360" w:lineRule="auto"/>
        <w:rPr>
          <w:color w:val="000000" w:themeColor="text1"/>
          <w:sz w:val="28"/>
          <w:szCs w:val="28"/>
          <w14:textFill>
            <w14:solidFill>
              <w14:schemeClr w14:val="tx1"/>
            </w14:solidFill>
          </w14:textFill>
        </w:rPr>
      </w:pPr>
      <w:bookmarkStart w:id="824" w:name="_Toc11567"/>
      <w:bookmarkStart w:id="825" w:name="_Toc230079418"/>
      <w:bookmarkStart w:id="826" w:name="_Toc233380232"/>
      <w:r>
        <w:rPr>
          <w:rFonts w:hint="eastAsia"/>
          <w:color w:val="000000" w:themeColor="text1"/>
          <w:sz w:val="28"/>
          <w:szCs w:val="28"/>
          <w14:textFill>
            <w14:solidFill>
              <w14:schemeClr w14:val="tx1"/>
            </w14:solidFill>
          </w14:textFill>
        </w:rPr>
        <w:t>5.6.2固废储存及要求</w:t>
      </w:r>
      <w:bookmarkEnd w:id="824"/>
      <w:bookmarkEnd w:id="825"/>
      <w:bookmarkEnd w:id="826"/>
    </w:p>
    <w:p w14:paraId="7FDF7AE2">
      <w:pPr>
        <w:spacing w:line="360" w:lineRule="auto"/>
        <w:ind w:firstLine="462" w:firstLineChars="200"/>
        <w:rPr>
          <w:rFonts w:ascii="宋体" w:hAnsi="宋体" w:cs="宋体"/>
          <w:color w:val="000000" w:themeColor="text1"/>
          <w:sz w:val="24"/>
          <w14:textFill>
            <w14:solidFill>
              <w14:schemeClr w14:val="tx1"/>
            </w14:solidFill>
          </w14:textFill>
        </w:rPr>
      </w:pPr>
      <w:r>
        <w:rPr>
          <w:rFonts w:ascii="宋体" w:hAnsi="宋体" w:cs="宋体"/>
          <w:b/>
          <w:bCs/>
          <w:color w:val="000000" w:themeColor="text1"/>
          <w:spacing w:val="-5"/>
          <w:sz w:val="24"/>
          <w14:textFill>
            <w14:solidFill>
              <w14:schemeClr w14:val="tx1"/>
            </w14:solidFill>
          </w14:textFill>
        </w:rPr>
        <w:t>（</w:t>
      </w:r>
      <w:r>
        <w:rPr>
          <w:rFonts w:eastAsia="Times New Roman"/>
          <w:b/>
          <w:bCs/>
          <w:color w:val="000000" w:themeColor="text1"/>
          <w:spacing w:val="-5"/>
          <w:sz w:val="24"/>
          <w14:textFill>
            <w14:solidFill>
              <w14:schemeClr w14:val="tx1"/>
            </w14:solidFill>
          </w14:textFill>
        </w:rPr>
        <w:t>1</w:t>
      </w:r>
      <w:r>
        <w:rPr>
          <w:rFonts w:ascii="宋体" w:hAnsi="宋体" w:cs="宋体"/>
          <w:b/>
          <w:bCs/>
          <w:color w:val="000000" w:themeColor="text1"/>
          <w:spacing w:val="-5"/>
          <w:sz w:val="24"/>
          <w14:textFill>
            <w14:solidFill>
              <w14:schemeClr w14:val="tx1"/>
            </w14:solidFill>
          </w14:textFill>
        </w:rPr>
        <w:t>）生活垃圾</w:t>
      </w:r>
    </w:p>
    <w:p w14:paraId="3B7A3C38">
      <w:pPr>
        <w:spacing w:line="360" w:lineRule="auto"/>
        <w:ind w:firstLine="500" w:firstLineChars="200"/>
        <w:rPr>
          <w:rFonts w:ascii="宋体" w:hAnsi="宋体" w:cs="宋体"/>
          <w:color w:val="000000" w:themeColor="text1"/>
          <w:sz w:val="24"/>
          <w14:textFill>
            <w14:solidFill>
              <w14:schemeClr w14:val="tx1"/>
            </w14:solidFill>
          </w14:textFill>
        </w:rPr>
      </w:pPr>
      <w:r>
        <w:rPr>
          <w:rFonts w:ascii="宋体" w:hAnsi="宋体" w:cs="宋体"/>
          <w:color w:val="000000" w:themeColor="text1"/>
          <w:spacing w:val="5"/>
          <w:sz w:val="24"/>
          <w14:textFill>
            <w14:solidFill>
              <w14:schemeClr w14:val="tx1"/>
            </w14:solidFill>
          </w14:textFill>
        </w:rPr>
        <w:t>本项目内产生的生活垃圾经垃圾桶收集后，委托当地环卫部门清运至当</w:t>
      </w:r>
      <w:r>
        <w:rPr>
          <w:rFonts w:ascii="宋体" w:hAnsi="宋体" w:cs="宋体"/>
          <w:color w:val="000000" w:themeColor="text1"/>
          <w:spacing w:val="4"/>
          <w:sz w:val="24"/>
          <w14:textFill>
            <w14:solidFill>
              <w14:schemeClr w14:val="tx1"/>
            </w14:solidFill>
          </w14:textFill>
        </w:rPr>
        <w:t>地生活垃圾</w:t>
      </w:r>
      <w:r>
        <w:rPr>
          <w:rFonts w:ascii="宋体" w:hAnsi="宋体" w:cs="宋体"/>
          <w:color w:val="000000" w:themeColor="text1"/>
          <w:spacing w:val="-2"/>
          <w:sz w:val="24"/>
          <w14:textFill>
            <w14:solidFill>
              <w14:schemeClr w14:val="tx1"/>
            </w14:solidFill>
          </w14:textFill>
        </w:rPr>
        <w:t>处理场进行无害化处理。</w:t>
      </w:r>
    </w:p>
    <w:p w14:paraId="29C6FCC2">
      <w:pPr>
        <w:spacing w:line="360" w:lineRule="auto"/>
        <w:ind w:firstLine="458" w:firstLineChars="200"/>
        <w:rPr>
          <w:rFonts w:ascii="宋体" w:hAnsi="宋体" w:cs="宋体"/>
          <w:color w:val="000000" w:themeColor="text1"/>
          <w:sz w:val="24"/>
          <w14:textFill>
            <w14:solidFill>
              <w14:schemeClr w14:val="tx1"/>
            </w14:solidFill>
          </w14:textFill>
        </w:rPr>
      </w:pPr>
      <w:r>
        <w:rPr>
          <w:rFonts w:ascii="宋体" w:hAnsi="宋体" w:cs="宋体"/>
          <w:b/>
          <w:bCs/>
          <w:color w:val="000000" w:themeColor="text1"/>
          <w:spacing w:val="-6"/>
          <w:sz w:val="24"/>
          <w14:textFill>
            <w14:solidFill>
              <w14:schemeClr w14:val="tx1"/>
            </w14:solidFill>
          </w14:textFill>
        </w:rPr>
        <w:t>（</w:t>
      </w:r>
      <w:r>
        <w:rPr>
          <w:rFonts w:hint="eastAsia" w:eastAsiaTheme="minorEastAsia"/>
          <w:b/>
          <w:bCs/>
          <w:color w:val="000000" w:themeColor="text1"/>
          <w:spacing w:val="-6"/>
          <w:sz w:val="24"/>
          <w14:textFill>
            <w14:solidFill>
              <w14:schemeClr w14:val="tx1"/>
            </w14:solidFill>
          </w14:textFill>
        </w:rPr>
        <w:t>2</w:t>
      </w:r>
      <w:r>
        <w:rPr>
          <w:rFonts w:ascii="宋体" w:hAnsi="宋体" w:cs="宋体"/>
          <w:b/>
          <w:bCs/>
          <w:color w:val="000000" w:themeColor="text1"/>
          <w:spacing w:val="-6"/>
          <w:sz w:val="24"/>
          <w14:textFill>
            <w14:solidFill>
              <w14:schemeClr w14:val="tx1"/>
            </w14:solidFill>
          </w14:textFill>
        </w:rPr>
        <w:t>）病死牛</w:t>
      </w:r>
    </w:p>
    <w:p w14:paraId="51DB7312">
      <w:pPr>
        <w:spacing w:line="360" w:lineRule="auto"/>
        <w:ind w:firstLine="500" w:firstLineChars="200"/>
        <w:jc w:val="both"/>
        <w:rPr>
          <w:rFonts w:ascii="宋体" w:hAnsi="宋体" w:cs="宋体"/>
          <w:color w:val="000000" w:themeColor="text1"/>
          <w:sz w:val="24"/>
          <w14:textFill>
            <w14:solidFill>
              <w14:schemeClr w14:val="tx1"/>
            </w14:solidFill>
          </w14:textFill>
        </w:rPr>
      </w:pPr>
      <w:r>
        <w:rPr>
          <w:rFonts w:ascii="宋体" w:hAnsi="宋体" w:cs="宋体"/>
          <w:color w:val="000000" w:themeColor="text1"/>
          <w:spacing w:val="5"/>
          <w:sz w:val="24"/>
          <w14:textFill>
            <w14:solidFill>
              <w14:schemeClr w14:val="tx1"/>
            </w14:solidFill>
          </w14:textFill>
        </w:rPr>
        <w:t>病死牛必须妥善处置，防止二次污染，并杜绝传播疾病。根据《畜禽养殖业</w:t>
      </w:r>
      <w:r>
        <w:rPr>
          <w:rFonts w:ascii="宋体" w:hAnsi="宋体" w:cs="宋体"/>
          <w:color w:val="000000" w:themeColor="text1"/>
          <w:spacing w:val="4"/>
          <w:sz w:val="24"/>
          <w14:textFill>
            <w14:solidFill>
              <w14:schemeClr w14:val="tx1"/>
            </w14:solidFill>
          </w14:textFill>
        </w:rPr>
        <w:t>污染防</w:t>
      </w:r>
      <w:r>
        <w:rPr>
          <w:rFonts w:ascii="宋体" w:hAnsi="宋体" w:cs="宋体"/>
          <w:color w:val="000000" w:themeColor="text1"/>
          <w:sz w:val="24"/>
          <w14:textFill>
            <w14:solidFill>
              <w14:schemeClr w14:val="tx1"/>
            </w14:solidFill>
          </w14:textFill>
        </w:rPr>
        <w:t>治技术政策》（环发〔</w:t>
      </w:r>
      <w:r>
        <w:rPr>
          <w:rFonts w:eastAsia="Times New Roman"/>
          <w:color w:val="000000" w:themeColor="text1"/>
          <w:sz w:val="24"/>
          <w14:textFill>
            <w14:solidFill>
              <w14:schemeClr w14:val="tx1"/>
            </w14:solidFill>
          </w14:textFill>
        </w:rPr>
        <w:t>2010</w:t>
      </w:r>
      <w:r>
        <w:rPr>
          <w:rFonts w:ascii="宋体" w:hAnsi="宋体" w:cs="宋体"/>
          <w:color w:val="000000" w:themeColor="text1"/>
          <w:sz w:val="24"/>
          <w14:textFill>
            <w14:solidFill>
              <w14:schemeClr w14:val="tx1"/>
            </w14:solidFill>
          </w14:textFill>
        </w:rPr>
        <w:t>〕</w:t>
      </w:r>
      <w:r>
        <w:rPr>
          <w:rFonts w:eastAsia="Times New Roman"/>
          <w:color w:val="000000" w:themeColor="text1"/>
          <w:sz w:val="24"/>
          <w14:textFill>
            <w14:solidFill>
              <w14:schemeClr w14:val="tx1"/>
            </w14:solidFill>
          </w14:textFill>
        </w:rPr>
        <w:t>151</w:t>
      </w:r>
      <w:r>
        <w:rPr>
          <w:rFonts w:ascii="宋体" w:hAnsi="宋体" w:cs="宋体"/>
          <w:color w:val="000000" w:themeColor="text1"/>
          <w:sz w:val="24"/>
          <w14:textFill>
            <w14:solidFill>
              <w14:schemeClr w14:val="tx1"/>
            </w14:solidFill>
          </w14:textFill>
        </w:rPr>
        <w:t>号）中“畜禽尸体应按照有关卫生防疫规定单独进行妥</w:t>
      </w:r>
      <w:r>
        <w:rPr>
          <w:rFonts w:ascii="宋体" w:hAnsi="宋体" w:cs="宋体"/>
          <w:color w:val="000000" w:themeColor="text1"/>
          <w:spacing w:val="12"/>
          <w:sz w:val="24"/>
          <w14:textFill>
            <w14:solidFill>
              <w14:schemeClr w14:val="tx1"/>
            </w14:solidFill>
          </w14:textFill>
        </w:rPr>
        <w:t>善处置。染疫畜禽及其排泄物、染疫畜禽产品，病死或</w:t>
      </w:r>
      <w:r>
        <w:rPr>
          <w:rFonts w:ascii="宋体" w:hAnsi="宋体" w:cs="宋体"/>
          <w:color w:val="000000" w:themeColor="text1"/>
          <w:spacing w:val="11"/>
          <w:sz w:val="24"/>
          <w14:textFill>
            <w14:solidFill>
              <w14:schemeClr w14:val="tx1"/>
            </w14:solidFill>
          </w14:textFill>
        </w:rPr>
        <w:t>者死因不明的畜禽尸体等污染</w:t>
      </w:r>
      <w:r>
        <w:rPr>
          <w:rFonts w:ascii="宋体" w:hAnsi="宋体" w:cs="宋体"/>
          <w:color w:val="000000" w:themeColor="text1"/>
          <w:spacing w:val="6"/>
          <w:sz w:val="24"/>
          <w14:textFill>
            <w14:solidFill>
              <w14:schemeClr w14:val="tx1"/>
            </w14:solidFill>
          </w14:textFill>
        </w:rPr>
        <w:t>物，应就地进行无害化处理</w:t>
      </w:r>
      <w:r>
        <w:rPr>
          <w:rFonts w:ascii="宋体" w:hAnsi="宋体" w:cs="宋体"/>
          <w:color w:val="000000" w:themeColor="text1"/>
          <w:spacing w:val="-79"/>
          <w:sz w:val="24"/>
          <w14:textFill>
            <w14:solidFill>
              <w14:schemeClr w14:val="tx1"/>
            </w14:solidFill>
          </w14:textFill>
        </w:rPr>
        <w:t xml:space="preserve"> </w:t>
      </w:r>
      <w:r>
        <w:rPr>
          <w:rFonts w:ascii="宋体" w:hAnsi="宋体" w:cs="宋体"/>
          <w:color w:val="000000" w:themeColor="text1"/>
          <w:spacing w:val="6"/>
          <w:sz w:val="24"/>
          <w14:textFill>
            <w14:solidFill>
              <w14:schemeClr w14:val="tx1"/>
            </w14:solidFill>
          </w14:textFill>
        </w:rPr>
        <w:t>”和《畜禽养殖业污染防治技术规</w:t>
      </w:r>
      <w:r>
        <w:rPr>
          <w:rFonts w:ascii="宋体" w:hAnsi="宋体" w:cs="宋体"/>
          <w:color w:val="000000" w:themeColor="text1"/>
          <w:spacing w:val="5"/>
          <w:sz w:val="24"/>
          <w14:textFill>
            <w14:solidFill>
              <w14:schemeClr w14:val="tx1"/>
            </w14:solidFill>
          </w14:textFill>
        </w:rPr>
        <w:t>范》（</w:t>
      </w:r>
      <w:r>
        <w:rPr>
          <w:rFonts w:eastAsia="Times New Roman"/>
          <w:color w:val="000000" w:themeColor="text1"/>
          <w:sz w:val="24"/>
          <w14:textFill>
            <w14:solidFill>
              <w14:schemeClr w14:val="tx1"/>
            </w14:solidFill>
          </w14:textFill>
        </w:rPr>
        <w:t>HJ</w:t>
      </w:r>
      <w:r>
        <w:rPr>
          <w:rFonts w:eastAsia="Times New Roman"/>
          <w:color w:val="000000" w:themeColor="text1"/>
          <w:spacing w:val="5"/>
          <w:sz w:val="24"/>
          <w14:textFill>
            <w14:solidFill>
              <w14:schemeClr w14:val="tx1"/>
            </w14:solidFill>
          </w14:textFill>
        </w:rPr>
        <w:t>/T81-2001</w:t>
      </w:r>
      <w:r>
        <w:rPr>
          <w:rFonts w:ascii="宋体" w:hAnsi="宋体" w:cs="宋体"/>
          <w:color w:val="000000" w:themeColor="text1"/>
          <w:spacing w:val="5"/>
          <w:sz w:val="24"/>
          <w14:textFill>
            <w14:solidFill>
              <w14:schemeClr w14:val="tx1"/>
            </w14:solidFill>
          </w14:textFill>
        </w:rPr>
        <w:t>）中</w:t>
      </w:r>
      <w:r>
        <w:rPr>
          <w:rFonts w:ascii="宋体" w:hAnsi="宋体" w:cs="宋体"/>
          <w:color w:val="000000" w:themeColor="text1"/>
          <w:spacing w:val="4"/>
          <w:sz w:val="24"/>
          <w14:textFill>
            <w14:solidFill>
              <w14:schemeClr w14:val="tx1"/>
            </w14:solidFill>
          </w14:textFill>
        </w:rPr>
        <w:t>“所有病死牛不得出售，不得食用，不得随意丢弃，严禁作为饲料再利用</w:t>
      </w:r>
      <w:r>
        <w:rPr>
          <w:rFonts w:ascii="宋体" w:hAnsi="宋体" w:cs="宋体"/>
          <w:color w:val="000000" w:themeColor="text1"/>
          <w:spacing w:val="-81"/>
          <w:sz w:val="24"/>
          <w14:textFill>
            <w14:solidFill>
              <w14:schemeClr w14:val="tx1"/>
            </w14:solidFill>
          </w14:textFill>
        </w:rPr>
        <w:t xml:space="preserve"> </w:t>
      </w:r>
      <w:r>
        <w:rPr>
          <w:rFonts w:ascii="宋体" w:hAnsi="宋体" w:cs="宋体"/>
          <w:color w:val="000000" w:themeColor="text1"/>
          <w:spacing w:val="4"/>
          <w:sz w:val="24"/>
          <w14:textFill>
            <w14:solidFill>
              <w14:schemeClr w14:val="tx1"/>
            </w14:solidFill>
          </w14:textFill>
        </w:rPr>
        <w:t>”之规定</w:t>
      </w:r>
      <w:r>
        <w:rPr>
          <w:rFonts w:hint="eastAsia" w:ascii="宋体" w:hAnsi="宋体" w:cs="宋体"/>
          <w:color w:val="000000" w:themeColor="text1"/>
          <w:spacing w:val="4"/>
          <w:sz w:val="24"/>
          <w14:textFill>
            <w14:solidFill>
              <w14:schemeClr w14:val="tx1"/>
            </w14:solidFill>
          </w14:textFill>
        </w:rPr>
        <w:t>。</w:t>
      </w:r>
    </w:p>
    <w:p w14:paraId="6ADA5626">
      <w:pPr>
        <w:adjustRightInd w:val="0"/>
        <w:snapToGrid w:val="0"/>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病死牛</w:t>
      </w:r>
      <w:r>
        <w:rPr>
          <w:b/>
          <w:bCs/>
          <w:color w:val="000000" w:themeColor="text1"/>
          <w:sz w:val="24"/>
          <w14:textFill>
            <w14:solidFill>
              <w14:schemeClr w14:val="tx1"/>
            </w14:solidFill>
          </w14:textFill>
        </w:rPr>
        <w:t>处理流程及防治措施：</w:t>
      </w:r>
    </w:p>
    <w:p w14:paraId="5527DD2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 1 \* GB3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①</w:t>
      </w:r>
      <w:r>
        <w:rPr>
          <w:color w:val="000000" w:themeColor="text1"/>
          <w:sz w:val="24"/>
          <w14:textFill>
            <w14:solidFill>
              <w14:schemeClr w14:val="tx1"/>
            </w14:solidFill>
          </w14:textFill>
        </w:rPr>
        <w:fldChar w:fldCharType="end"/>
      </w:r>
      <w:r>
        <w:rPr>
          <w:rFonts w:hint="eastAsia"/>
          <w:color w:val="000000" w:themeColor="text1"/>
          <w:sz w:val="24"/>
          <w14:textFill>
            <w14:solidFill>
              <w14:schemeClr w14:val="tx1"/>
            </w14:solidFill>
          </w14:textFill>
        </w:rPr>
        <w:t>病死牛</w:t>
      </w:r>
      <w:r>
        <w:rPr>
          <w:color w:val="000000" w:themeColor="text1"/>
          <w:sz w:val="24"/>
          <w14:textFill>
            <w14:solidFill>
              <w14:schemeClr w14:val="tx1"/>
            </w14:solidFill>
          </w14:textFill>
        </w:rPr>
        <w:t>必须坚持“五不一处理”原则：即不宰杀、不贩运、不买卖、不丢弃、不食用。同时进行彻底的无害化处理。</w:t>
      </w:r>
    </w:p>
    <w:p w14:paraId="755AEF0F">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 2 \* GB3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②</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当发生重大动物疫情时，除对病死动物进行无害化处理外，还应根据动物防疫主管部门的决定，对同群或染疫的动物进行扑杀，并进行无害化处理。</w:t>
      </w:r>
    </w:p>
    <w:p w14:paraId="3C921BD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 3 \* GB3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③</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有</w:t>
      </w:r>
      <w:r>
        <w:rPr>
          <w:rFonts w:hint="eastAsia"/>
          <w:color w:val="000000" w:themeColor="text1"/>
          <w:sz w:val="24"/>
          <w14:textFill>
            <w14:solidFill>
              <w14:schemeClr w14:val="tx1"/>
            </w14:solidFill>
          </w14:textFill>
        </w:rPr>
        <w:t>病死牛</w:t>
      </w:r>
      <w:r>
        <w:rPr>
          <w:color w:val="000000" w:themeColor="text1"/>
          <w:sz w:val="24"/>
          <w14:textFill>
            <w14:solidFill>
              <w14:schemeClr w14:val="tx1"/>
            </w14:solidFill>
          </w14:textFill>
        </w:rPr>
        <w:t>产生需对其圈舍、用具、道路等进行彻底消毒，防止病原传播。</w:t>
      </w:r>
    </w:p>
    <w:p w14:paraId="4C43F295">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 4 \* GB3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④</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无害化处理过程中及疫病流行期间要注意个人防护，防止人畜共患病传染给人。</w:t>
      </w:r>
    </w:p>
    <w:p w14:paraId="65BE1D49">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w:t>
      </w:r>
      <w:r>
        <w:rPr>
          <w:color w:val="000000" w:themeColor="text1"/>
          <w:sz w:val="24"/>
          <w14:textFill>
            <w14:solidFill>
              <w14:schemeClr w14:val="tx1"/>
            </w14:solidFill>
          </w14:textFill>
        </w:rPr>
        <w:t>项目每天检查牛舍，发现病死牛后及时</w:t>
      </w:r>
      <w:r>
        <w:rPr>
          <w:rFonts w:hint="eastAsia"/>
          <w:color w:val="000000" w:themeColor="text1"/>
          <w:sz w:val="24"/>
          <w14:textFill>
            <w14:solidFill>
              <w14:schemeClr w14:val="tx1"/>
            </w14:solidFill>
          </w14:textFill>
        </w:rPr>
        <w:t>放于病死牛暂存间的冷冻冰柜，，暂存量不得超过冷库容积的2/3</w:t>
      </w:r>
      <w:r>
        <w:rPr>
          <w:color w:val="000000" w:themeColor="text1"/>
          <w:sz w:val="24"/>
          <w14:textFill>
            <w14:solidFill>
              <w14:schemeClr w14:val="tx1"/>
            </w14:solidFill>
          </w14:textFill>
        </w:rPr>
        <w:t>。</w:t>
      </w:r>
    </w:p>
    <w:p w14:paraId="49766D95">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⑥</w:t>
      </w:r>
      <w:r>
        <w:rPr>
          <w:color w:val="000000" w:themeColor="text1"/>
          <w:sz w:val="24"/>
          <w14:textFill>
            <w14:solidFill>
              <w14:schemeClr w14:val="tx1"/>
            </w14:solidFill>
          </w14:textFill>
        </w:rPr>
        <w:t>病死牛及其排泄物必须用有内膜的饲料袋送检，所在牛舍必须进行喷雾消毒。</w:t>
      </w:r>
    </w:p>
    <w:p w14:paraId="5F56D4D4">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⑦</w:t>
      </w:r>
      <w:r>
        <w:rPr>
          <w:color w:val="000000" w:themeColor="text1"/>
          <w:sz w:val="24"/>
          <w14:textFill>
            <w14:solidFill>
              <w14:schemeClr w14:val="tx1"/>
            </w14:solidFill>
          </w14:textFill>
        </w:rPr>
        <w:t>病死牛在装车拉运前，必须对病死牛进行封装，运送人员在运送病死牛时，应当防止造成包装物的破损，并防止病死牛直接接触身体。</w:t>
      </w:r>
    </w:p>
    <w:p w14:paraId="212FB1D8">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⑧</w:t>
      </w:r>
      <w:r>
        <w:rPr>
          <w:color w:val="000000" w:themeColor="text1"/>
          <w:sz w:val="24"/>
          <w14:textFill>
            <w14:solidFill>
              <w14:schemeClr w14:val="tx1"/>
            </w14:solidFill>
          </w14:textFill>
        </w:rPr>
        <w:t>病死牛必须采用专用密闭冷藏车辆进行运输，不得混装其他物品，运输途中不得丢失和遗落病死牛。</w:t>
      </w:r>
    </w:p>
    <w:p w14:paraId="3DC6635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通过以上措施，本项目</w:t>
      </w:r>
      <w:r>
        <w:rPr>
          <w:rFonts w:hint="eastAsia"/>
          <w:color w:val="000000" w:themeColor="text1"/>
          <w:sz w:val="24"/>
          <w14:textFill>
            <w14:solidFill>
              <w14:schemeClr w14:val="tx1"/>
            </w14:solidFill>
          </w14:textFill>
        </w:rPr>
        <w:t>病死牛</w:t>
      </w:r>
      <w:r>
        <w:rPr>
          <w:color w:val="000000" w:themeColor="text1"/>
          <w:sz w:val="24"/>
          <w14:textFill>
            <w14:solidFill>
              <w14:schemeClr w14:val="tx1"/>
            </w14:solidFill>
          </w14:textFill>
        </w:rPr>
        <w:t>固体废物得到了妥善处置和利用，符合《畜禽养殖业污染防治技术政策》（环发〔2010〕151号，2010年12月30日发布），固体废物的处置措施妥当，去向明确，不会对环境造成二次污染。</w:t>
      </w:r>
    </w:p>
    <w:p w14:paraId="7EDED3F4">
      <w:pPr>
        <w:adjustRightInd w:val="0"/>
        <w:snapToGrid w:val="0"/>
        <w:spacing w:line="360" w:lineRule="auto"/>
        <w:ind w:firstLine="482" w:firstLineChars="200"/>
        <w:jc w:val="both"/>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（3）动物医疗废物</w:t>
      </w:r>
    </w:p>
    <w:p w14:paraId="45762A6E">
      <w:pPr>
        <w:adjustRightInd w:val="0"/>
        <w:snapToGrid w:val="0"/>
        <w:spacing w:line="360" w:lineRule="auto"/>
        <w:ind w:firstLine="484" w:firstLineChars="200"/>
        <w:jc w:val="both"/>
        <w:rPr>
          <w:color w:val="000000" w:themeColor="text1"/>
          <w:spacing w:val="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动物医疗废物在收集、暂存、转运过程中，需满足《</w:t>
      </w:r>
      <w:r>
        <w:rPr>
          <w:rFonts w:ascii="宋体" w:hAnsi="宋体" w:cs="宋体"/>
          <w:color w:val="000000" w:themeColor="text1"/>
          <w:spacing w:val="1"/>
          <w:sz w:val="24"/>
          <w14:textFill>
            <w14:solidFill>
              <w14:schemeClr w14:val="tx1"/>
            </w14:solidFill>
          </w14:textFill>
        </w:rPr>
        <w:t>医疗废物处理处置污染控制标准</w:t>
      </w:r>
      <w:r>
        <w:rPr>
          <w:rFonts w:hint="eastAsia" w:ascii="宋体" w:hAnsi="宋体" w:cs="宋体"/>
          <w:color w:val="000000" w:themeColor="text1"/>
          <w:spacing w:val="1"/>
          <w:sz w:val="24"/>
          <w14:textFill>
            <w14:solidFill>
              <w14:schemeClr w14:val="tx1"/>
            </w14:solidFill>
          </w14:textFill>
        </w:rPr>
        <w:t>》</w:t>
      </w:r>
      <w:r>
        <w:rPr>
          <w:color w:val="000000" w:themeColor="text1"/>
          <w:spacing w:val="1"/>
          <w:sz w:val="24"/>
          <w14:textFill>
            <w14:solidFill>
              <w14:schemeClr w14:val="tx1"/>
            </w14:solidFill>
          </w14:textFill>
        </w:rPr>
        <w:t>（GB39707-2020）</w:t>
      </w:r>
      <w:r>
        <w:rPr>
          <w:rFonts w:hint="eastAsia"/>
          <w:color w:val="000000" w:themeColor="text1"/>
          <w:spacing w:val="1"/>
          <w:sz w:val="24"/>
          <w14:textFill>
            <w14:solidFill>
              <w14:schemeClr w14:val="tx1"/>
            </w14:solidFill>
          </w14:textFill>
        </w:rPr>
        <w:t>、</w:t>
      </w:r>
      <w:r>
        <w:rPr>
          <w:color w:val="000000" w:themeColor="text1"/>
          <w:spacing w:val="1"/>
          <w:sz w:val="24"/>
          <w14:textFill>
            <w14:solidFill>
              <w14:schemeClr w14:val="tx1"/>
            </w14:solidFill>
          </w14:textFill>
        </w:rPr>
        <w:t>《医疗废物专用包装袋、容器和警示标志标准》（</w:t>
      </w:r>
      <w:r>
        <w:rPr>
          <w:rFonts w:hint="eastAsia"/>
          <w:color w:val="000000" w:themeColor="text1"/>
          <w:spacing w:val="1"/>
          <w:sz w:val="24"/>
          <w14:textFill>
            <w14:solidFill>
              <w14:schemeClr w14:val="tx1"/>
            </w14:solidFill>
          </w14:textFill>
        </w:rPr>
        <w:t>HJ421-2008</w:t>
      </w:r>
      <w:r>
        <w:rPr>
          <w:color w:val="000000" w:themeColor="text1"/>
          <w:spacing w:val="1"/>
          <w:sz w:val="24"/>
          <w14:textFill>
            <w14:solidFill>
              <w14:schemeClr w14:val="tx1"/>
            </w14:solidFill>
          </w14:textFill>
        </w:rPr>
        <w:t>）</w:t>
      </w:r>
      <w:r>
        <w:rPr>
          <w:rFonts w:hint="eastAsia"/>
          <w:color w:val="000000" w:themeColor="text1"/>
          <w:spacing w:val="1"/>
          <w:sz w:val="24"/>
          <w14:textFill>
            <w14:solidFill>
              <w14:schemeClr w14:val="tx1"/>
            </w14:solidFill>
          </w14:textFill>
        </w:rPr>
        <w:t>和</w:t>
      </w:r>
      <w:r>
        <w:rPr>
          <w:color w:val="000000" w:themeColor="text1"/>
          <w:spacing w:val="1"/>
          <w:sz w:val="24"/>
          <w14:textFill>
            <w14:solidFill>
              <w14:schemeClr w14:val="tx1"/>
            </w14:solidFill>
          </w14:textFill>
        </w:rPr>
        <w:t>《</w:t>
      </w:r>
      <w:r>
        <w:fldChar w:fldCharType="begin"/>
      </w:r>
      <w:r>
        <w:instrText xml:space="preserve"> HYPERLINK "https://www.baidu.com/link?url=XkRMko2ZrcHg5REInt6eBQJLVpfzkGbGwJVE0pT-deOfNdOi5RAOEoWX_2BKf4HEfKbxXEnSLLGvfOi2P7uakf5IoJrpPgLmtc9Eb5zkY6cmF2WcorwQtLfHsi-83TjBU8t6TkRLUyd6Vhx48yTEa_&amp;wd=&amp;eqid=eb28bde900085eff0000000668368c9a" \t "https://www.baidu.com/_blank" </w:instrText>
      </w:r>
      <w:r>
        <w:fldChar w:fldCharType="separate"/>
      </w:r>
      <w:r>
        <w:rPr>
          <w:color w:val="000000" w:themeColor="text1"/>
          <w:spacing w:val="1"/>
          <w:sz w:val="24"/>
          <w14:textFill>
            <w14:solidFill>
              <w14:schemeClr w14:val="tx1"/>
            </w14:solidFill>
          </w14:textFill>
        </w:rPr>
        <w:t>危险废物贮存污染控制标准</w:t>
      </w:r>
      <w:r>
        <w:rPr>
          <w:color w:val="000000" w:themeColor="text1"/>
          <w:spacing w:val="1"/>
          <w:sz w:val="24"/>
          <w14:textFill>
            <w14:solidFill>
              <w14:schemeClr w14:val="tx1"/>
            </w14:solidFill>
          </w14:textFill>
        </w:rPr>
        <w:fldChar w:fldCharType="end"/>
      </w:r>
      <w:r>
        <w:rPr>
          <w:rFonts w:hint="eastAsia"/>
          <w:color w:val="000000" w:themeColor="text1"/>
          <w:spacing w:val="1"/>
          <w:sz w:val="24"/>
          <w14:textFill>
            <w14:solidFill>
              <w14:schemeClr w14:val="tx1"/>
            </w14:solidFill>
          </w14:textFill>
        </w:rPr>
        <w:t>》</w:t>
      </w:r>
      <w:r>
        <w:rPr>
          <w:color w:val="000000" w:themeColor="text1"/>
          <w:spacing w:val="1"/>
          <w:sz w:val="24"/>
          <w14:textFill>
            <w14:solidFill>
              <w14:schemeClr w14:val="tx1"/>
            </w14:solidFill>
          </w14:textFill>
        </w:rPr>
        <w:t>（GB18597-2023）</w:t>
      </w:r>
      <w:r>
        <w:rPr>
          <w:rFonts w:hint="eastAsia"/>
          <w:color w:val="000000" w:themeColor="text1"/>
          <w:spacing w:val="1"/>
          <w:sz w:val="24"/>
          <w14:textFill>
            <w14:solidFill>
              <w14:schemeClr w14:val="tx1"/>
            </w14:solidFill>
          </w14:textFill>
        </w:rPr>
        <w:t>中相关要求。</w:t>
      </w:r>
    </w:p>
    <w:p w14:paraId="6146A24A">
      <w:pPr>
        <w:spacing w:line="360" w:lineRule="auto"/>
        <w:ind w:firstLine="464" w:firstLineChars="200"/>
        <w:rPr>
          <w:rFonts w:ascii="宋体" w:hAnsi="宋体" w:cs="宋体"/>
          <w:b/>
          <w:bCs/>
          <w:color w:val="000000" w:themeColor="text1"/>
          <w:sz w:val="24"/>
          <w14:textFill>
            <w14:solidFill>
              <w14:schemeClr w14:val="tx1"/>
            </w14:solidFill>
          </w14:textFill>
        </w:rPr>
      </w:pPr>
      <w:r>
        <w:rPr>
          <w:rFonts w:eastAsia="Times New Roman"/>
          <w:b/>
          <w:bCs/>
          <w:color w:val="000000" w:themeColor="text1"/>
          <w:spacing w:val="-4"/>
          <w:sz w:val="24"/>
          <w14:textFill>
            <w14:solidFill>
              <w14:schemeClr w14:val="tx1"/>
            </w14:solidFill>
          </w14:textFill>
        </w:rPr>
        <w:t>1</w:t>
      </w:r>
      <w:r>
        <w:rPr>
          <w:rFonts w:ascii="宋体" w:hAnsi="宋体" w:cs="宋体"/>
          <w:b/>
          <w:bCs/>
          <w:color w:val="000000" w:themeColor="text1"/>
          <w:spacing w:val="-4"/>
          <w:sz w:val="24"/>
          <w14:textFill>
            <w14:solidFill>
              <w14:schemeClr w14:val="tx1"/>
            </w14:solidFill>
          </w14:textFill>
        </w:rPr>
        <w:t>）</w:t>
      </w:r>
      <w:r>
        <w:rPr>
          <w:rFonts w:hint="eastAsia" w:ascii="宋体" w:hAnsi="宋体" w:cs="宋体"/>
          <w:b/>
          <w:bCs/>
          <w:color w:val="000000" w:themeColor="text1"/>
          <w:spacing w:val="-4"/>
          <w:sz w:val="24"/>
          <w14:textFill>
            <w14:solidFill>
              <w14:schemeClr w14:val="tx1"/>
            </w14:solidFill>
          </w14:textFill>
        </w:rPr>
        <w:t>动物医疗废物</w:t>
      </w:r>
      <w:r>
        <w:rPr>
          <w:rFonts w:ascii="宋体" w:hAnsi="宋体" w:cs="宋体"/>
          <w:b/>
          <w:bCs/>
          <w:color w:val="000000" w:themeColor="text1"/>
          <w:spacing w:val="-4"/>
          <w:sz w:val="24"/>
          <w14:textFill>
            <w14:solidFill>
              <w14:schemeClr w14:val="tx1"/>
            </w14:solidFill>
          </w14:textFill>
        </w:rPr>
        <w:t>的收集：</w:t>
      </w:r>
    </w:p>
    <w:p w14:paraId="6DCCD309">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rFonts w:ascii="宋体" w:hAnsi="宋体" w:cs="宋体"/>
          <w:color w:val="000000" w:themeColor="text1"/>
          <w:sz w:val="24"/>
          <w14:textFill>
            <w14:solidFill>
              <w14:schemeClr w14:val="tx1"/>
            </w14:solidFill>
          </w14:textFill>
        </w:rPr>
        <w:t>在盛装防疫废物前，应对防疫废物包装物或者容器进行认真检查，确保无破损、渗</w:t>
      </w:r>
      <w:r>
        <w:rPr>
          <w:rFonts w:ascii="宋体" w:hAnsi="宋体" w:cs="宋体"/>
          <w:color w:val="000000" w:themeColor="text1"/>
          <w:spacing w:val="-2"/>
          <w:sz w:val="24"/>
          <w14:textFill>
            <w14:solidFill>
              <w14:schemeClr w14:val="tx1"/>
            </w14:solidFill>
          </w14:textFill>
        </w:rPr>
        <w:t>漏和其它缺陷。</w:t>
      </w:r>
    </w:p>
    <w:p w14:paraId="65C8FE86">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rFonts w:ascii="宋体" w:hAnsi="宋体" w:cs="宋体"/>
          <w:color w:val="000000" w:themeColor="text1"/>
          <w:sz w:val="24"/>
          <w14:textFill>
            <w14:solidFill>
              <w14:schemeClr w14:val="tx1"/>
            </w14:solidFill>
          </w14:textFill>
        </w:rPr>
        <w:t>感染性废物、损伤性废物、</w:t>
      </w:r>
      <w:r>
        <w:rPr>
          <w:rFonts w:hint="eastAsia" w:ascii="宋体" w:hAnsi="宋体" w:cs="宋体"/>
          <w:color w:val="000000" w:themeColor="text1"/>
          <w:sz w:val="24"/>
          <w14:textFill>
            <w14:solidFill>
              <w14:schemeClr w14:val="tx1"/>
            </w14:solidFill>
          </w14:textFill>
        </w:rPr>
        <w:t>药物</w:t>
      </w:r>
      <w:r>
        <w:rPr>
          <w:rFonts w:ascii="宋体" w:hAnsi="宋体" w:cs="宋体"/>
          <w:color w:val="000000" w:themeColor="text1"/>
          <w:sz w:val="24"/>
          <w14:textFill>
            <w14:solidFill>
              <w14:schemeClr w14:val="tx1"/>
            </w14:solidFill>
          </w14:textFill>
        </w:rPr>
        <w:t>性废物不能混合收集</w:t>
      </w:r>
      <w:r>
        <w:rPr>
          <w:rFonts w:ascii="宋体" w:hAnsi="宋体" w:cs="宋体"/>
          <w:color w:val="000000" w:themeColor="text1"/>
          <w:spacing w:val="-1"/>
          <w:sz w:val="24"/>
          <w14:textFill>
            <w14:solidFill>
              <w14:schemeClr w14:val="tx1"/>
            </w14:solidFill>
          </w14:textFill>
        </w:rPr>
        <w:t>。</w:t>
      </w:r>
    </w:p>
    <w:p w14:paraId="6AD93710">
      <w:pPr>
        <w:spacing w:line="360" w:lineRule="auto"/>
        <w:ind w:firstLine="476"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③</w:t>
      </w:r>
      <w:r>
        <w:rPr>
          <w:rFonts w:ascii="宋体" w:hAnsi="宋体" w:cs="宋体"/>
          <w:color w:val="000000" w:themeColor="text1"/>
          <w:spacing w:val="-1"/>
          <w:sz w:val="24"/>
          <w14:textFill>
            <w14:solidFill>
              <w14:schemeClr w14:val="tx1"/>
            </w14:solidFill>
          </w14:textFill>
        </w:rPr>
        <w:t>放入包装物或者容器内的感染性废物、损伤性废物不得取出。</w:t>
      </w:r>
    </w:p>
    <w:p w14:paraId="2A225F98">
      <w:pPr>
        <w:spacing w:line="360" w:lineRule="auto"/>
        <w:ind w:firstLine="484"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④</w:t>
      </w:r>
      <w:r>
        <w:rPr>
          <w:rFonts w:ascii="宋体" w:hAnsi="宋体" w:cs="宋体"/>
          <w:color w:val="000000" w:themeColor="text1"/>
          <w:spacing w:val="1"/>
          <w:sz w:val="24"/>
          <w14:textFill>
            <w14:solidFill>
              <w14:schemeClr w14:val="tx1"/>
            </w14:solidFill>
          </w14:textFill>
        </w:rPr>
        <w:t>盛装的防疫废物达到包装物或者容器的</w:t>
      </w:r>
      <w:r>
        <w:rPr>
          <w:rFonts w:eastAsia="Times New Roman"/>
          <w:color w:val="000000" w:themeColor="text1"/>
          <w:spacing w:val="1"/>
          <w:sz w:val="24"/>
          <w14:textFill>
            <w14:solidFill>
              <w14:schemeClr w14:val="tx1"/>
            </w14:solidFill>
          </w14:textFill>
        </w:rPr>
        <w:t>3/4</w:t>
      </w:r>
      <w:r>
        <w:rPr>
          <w:rFonts w:ascii="宋体" w:hAnsi="宋体" w:cs="宋体"/>
          <w:color w:val="000000" w:themeColor="text1"/>
          <w:spacing w:val="1"/>
          <w:sz w:val="24"/>
          <w14:textFill>
            <w14:solidFill>
              <w14:schemeClr w14:val="tx1"/>
            </w14:solidFill>
          </w14:textFill>
        </w:rPr>
        <w:t>时，应当使用有效的封口方式，使包装</w:t>
      </w:r>
      <w:r>
        <w:rPr>
          <w:rFonts w:ascii="宋体" w:hAnsi="宋体" w:cs="宋体"/>
          <w:color w:val="000000" w:themeColor="text1"/>
          <w:spacing w:val="-1"/>
          <w:sz w:val="24"/>
          <w14:textFill>
            <w14:solidFill>
              <w14:schemeClr w14:val="tx1"/>
            </w14:solidFill>
          </w14:textFill>
        </w:rPr>
        <w:t>物或者容器的封口紧实、严密。</w:t>
      </w:r>
    </w:p>
    <w:p w14:paraId="03BA0A96">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w:t>
      </w:r>
      <w:r>
        <w:rPr>
          <w:rFonts w:ascii="宋体" w:hAnsi="宋体" w:cs="宋体"/>
          <w:color w:val="000000" w:themeColor="text1"/>
          <w:sz w:val="24"/>
          <w14:textFill>
            <w14:solidFill>
              <w14:schemeClr w14:val="tx1"/>
            </w14:solidFill>
          </w14:textFill>
        </w:rPr>
        <w:t>包装物或者容器外表面被感染性废物污染时，应当对被污染处进行消毒处理或者增</w:t>
      </w:r>
      <w:r>
        <w:rPr>
          <w:rFonts w:ascii="宋体" w:hAnsi="宋体" w:cs="宋体"/>
          <w:color w:val="000000" w:themeColor="text1"/>
          <w:spacing w:val="-2"/>
          <w:sz w:val="24"/>
          <w14:textFill>
            <w14:solidFill>
              <w14:schemeClr w14:val="tx1"/>
            </w14:solidFill>
          </w14:textFill>
        </w:rPr>
        <w:t>加一层包装。</w:t>
      </w:r>
    </w:p>
    <w:p w14:paraId="1334D118">
      <w:pPr>
        <w:spacing w:line="360" w:lineRule="auto"/>
        <w:ind w:firstLine="484"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⑥</w:t>
      </w:r>
      <w:r>
        <w:rPr>
          <w:rFonts w:ascii="宋体" w:hAnsi="宋体" w:cs="宋体"/>
          <w:color w:val="000000" w:themeColor="text1"/>
          <w:spacing w:val="1"/>
          <w:sz w:val="24"/>
          <w14:textFill>
            <w14:solidFill>
              <w14:schemeClr w14:val="tx1"/>
            </w14:solidFill>
          </w14:textFill>
        </w:rPr>
        <w:t>盛装防疫废物的每个包装物、容器外表面应当有警示标识，在每个包装物、容器上</w:t>
      </w:r>
      <w:r>
        <w:rPr>
          <w:rFonts w:ascii="宋体" w:hAnsi="宋体" w:cs="宋体"/>
          <w:color w:val="000000" w:themeColor="text1"/>
          <w:spacing w:val="-2"/>
          <w:sz w:val="24"/>
          <w14:textFill>
            <w14:solidFill>
              <w14:schemeClr w14:val="tx1"/>
            </w14:solidFill>
          </w14:textFill>
        </w:rPr>
        <w:t>应当系中文标签。</w:t>
      </w:r>
    </w:p>
    <w:p w14:paraId="6C464CD3">
      <w:pPr>
        <w:spacing w:line="360" w:lineRule="auto"/>
        <w:ind w:firstLine="468" w:firstLineChars="200"/>
        <w:rPr>
          <w:rFonts w:ascii="宋体" w:hAnsi="宋体" w:cs="宋体"/>
          <w:color w:val="000000" w:themeColor="text1"/>
          <w:sz w:val="24"/>
          <w14:textFill>
            <w14:solidFill>
              <w14:schemeClr w14:val="tx1"/>
            </w14:solidFill>
          </w14:textFill>
        </w:rPr>
      </w:pPr>
      <w:r>
        <w:rPr>
          <w:rFonts w:eastAsia="Times New Roman"/>
          <w:b/>
          <w:bCs/>
          <w:color w:val="000000" w:themeColor="text1"/>
          <w:spacing w:val="-3"/>
          <w:sz w:val="24"/>
          <w14:textFill>
            <w14:solidFill>
              <w14:schemeClr w14:val="tx1"/>
            </w14:solidFill>
          </w14:textFill>
        </w:rPr>
        <w:t>2</w:t>
      </w:r>
      <w:r>
        <w:rPr>
          <w:rFonts w:ascii="宋体" w:hAnsi="宋体" w:cs="宋体"/>
          <w:b/>
          <w:bCs/>
          <w:color w:val="000000" w:themeColor="text1"/>
          <w:spacing w:val="-3"/>
          <w:sz w:val="24"/>
          <w14:textFill>
            <w14:solidFill>
              <w14:schemeClr w14:val="tx1"/>
            </w14:solidFill>
          </w14:textFill>
        </w:rPr>
        <w:t>）</w:t>
      </w:r>
      <w:r>
        <w:rPr>
          <w:rFonts w:hint="eastAsia" w:ascii="宋体" w:hAnsi="宋体" w:cs="宋体"/>
          <w:b/>
          <w:bCs/>
          <w:color w:val="000000" w:themeColor="text1"/>
          <w:spacing w:val="-3"/>
          <w:sz w:val="24"/>
          <w14:textFill>
            <w14:solidFill>
              <w14:schemeClr w14:val="tx1"/>
            </w14:solidFill>
          </w14:textFill>
        </w:rPr>
        <w:t>动物医疗废物</w:t>
      </w:r>
      <w:r>
        <w:rPr>
          <w:rFonts w:ascii="宋体" w:hAnsi="宋体" w:cs="宋体"/>
          <w:b/>
          <w:bCs/>
          <w:color w:val="000000" w:themeColor="text1"/>
          <w:spacing w:val="-3"/>
          <w:sz w:val="24"/>
          <w14:textFill>
            <w14:solidFill>
              <w14:schemeClr w14:val="tx1"/>
            </w14:solidFill>
          </w14:textFill>
        </w:rPr>
        <w:t>的暂存：</w:t>
      </w:r>
    </w:p>
    <w:p w14:paraId="5FFE22F3">
      <w:pPr>
        <w:spacing w:line="360" w:lineRule="auto"/>
        <w:ind w:firstLine="508"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7"/>
          <w:sz w:val="24"/>
          <w14:textFill>
            <w14:solidFill>
              <w14:schemeClr w14:val="tx1"/>
            </w14:solidFill>
          </w14:textFill>
        </w:rPr>
        <w:t>①</w:t>
      </w:r>
      <w:r>
        <w:rPr>
          <w:rFonts w:ascii="宋体" w:hAnsi="宋体" w:cs="宋体"/>
          <w:color w:val="000000" w:themeColor="text1"/>
          <w:spacing w:val="7"/>
          <w:sz w:val="24"/>
          <w14:textFill>
            <w14:solidFill>
              <w14:schemeClr w14:val="tx1"/>
            </w14:solidFill>
          </w14:textFill>
        </w:rPr>
        <w:t>远离养殖区、人员活动区和生活垃圾存放场所，方便防疫废</w:t>
      </w:r>
      <w:r>
        <w:rPr>
          <w:rFonts w:ascii="宋体" w:hAnsi="宋体" w:cs="宋体"/>
          <w:color w:val="000000" w:themeColor="text1"/>
          <w:spacing w:val="6"/>
          <w:sz w:val="24"/>
          <w14:textFill>
            <w14:solidFill>
              <w14:schemeClr w14:val="tx1"/>
            </w14:solidFill>
          </w14:textFill>
        </w:rPr>
        <w:t>物运送人员及运送工</w:t>
      </w:r>
      <w:r>
        <w:rPr>
          <w:rFonts w:ascii="宋体" w:hAnsi="宋体" w:cs="宋体"/>
          <w:color w:val="000000" w:themeColor="text1"/>
          <w:spacing w:val="-2"/>
          <w:sz w:val="24"/>
          <w14:textFill>
            <w14:solidFill>
              <w14:schemeClr w14:val="tx1"/>
            </w14:solidFill>
          </w14:textFill>
        </w:rPr>
        <w:t>具、车辆的出入。</w:t>
      </w:r>
    </w:p>
    <w:p w14:paraId="338FBE7D">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rFonts w:ascii="宋体" w:hAnsi="宋体" w:cs="宋体"/>
          <w:color w:val="000000" w:themeColor="text1"/>
          <w:sz w:val="24"/>
          <w14:textFill>
            <w14:solidFill>
              <w14:schemeClr w14:val="tx1"/>
            </w14:solidFill>
          </w14:textFill>
        </w:rPr>
        <w:t>有严密的封闭措施，设专人管理，避免非工作人员进出，以及防鼠、防蚊蝇、防蟑</w:t>
      </w:r>
      <w:r>
        <w:rPr>
          <w:rFonts w:ascii="宋体" w:hAnsi="宋体" w:cs="宋体"/>
          <w:color w:val="000000" w:themeColor="text1"/>
          <w:spacing w:val="-1"/>
          <w:sz w:val="24"/>
          <w14:textFill>
            <w14:solidFill>
              <w14:schemeClr w14:val="tx1"/>
            </w14:solidFill>
          </w14:textFill>
        </w:rPr>
        <w:t>螂、防盗以及预防儿童接触等安全措施。</w:t>
      </w:r>
    </w:p>
    <w:p w14:paraId="2C8B7EB4">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rFonts w:ascii="宋体" w:hAnsi="宋体" w:cs="宋体"/>
          <w:color w:val="000000" w:themeColor="text1"/>
          <w:sz w:val="24"/>
          <w14:textFill>
            <w14:solidFill>
              <w14:schemeClr w14:val="tx1"/>
            </w14:solidFill>
          </w14:textFill>
        </w:rPr>
        <w:t>必须与生活垃圾存放地分开，有防雨淋的装置，地基高度应确保设施内不受雨洪冲</w:t>
      </w:r>
      <w:r>
        <w:rPr>
          <w:rFonts w:ascii="宋体" w:hAnsi="宋体" w:cs="宋体"/>
          <w:color w:val="000000" w:themeColor="text1"/>
          <w:spacing w:val="-2"/>
          <w:sz w:val="24"/>
          <w14:textFill>
            <w14:solidFill>
              <w14:schemeClr w14:val="tx1"/>
            </w14:solidFill>
          </w14:textFill>
        </w:rPr>
        <w:t>击或浸泡。</w:t>
      </w:r>
    </w:p>
    <w:p w14:paraId="7E888931">
      <w:pPr>
        <w:spacing w:line="360" w:lineRule="auto"/>
        <w:ind w:firstLine="476"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④</w:t>
      </w:r>
      <w:r>
        <w:rPr>
          <w:rFonts w:ascii="宋体" w:hAnsi="宋体" w:cs="宋体"/>
          <w:color w:val="000000" w:themeColor="text1"/>
          <w:spacing w:val="-1"/>
          <w:sz w:val="24"/>
          <w14:textFill>
            <w14:solidFill>
              <w14:schemeClr w14:val="tx1"/>
            </w14:solidFill>
          </w14:textFill>
        </w:rPr>
        <w:t>地面须进行防渗处理，易于清洁和消毒。</w:t>
      </w:r>
    </w:p>
    <w:p w14:paraId="570419C8">
      <w:pPr>
        <w:spacing w:line="360" w:lineRule="auto"/>
        <w:ind w:firstLine="476"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⑤</w:t>
      </w:r>
      <w:r>
        <w:rPr>
          <w:rFonts w:ascii="宋体" w:hAnsi="宋体" w:cs="宋体"/>
          <w:color w:val="000000" w:themeColor="text1"/>
          <w:spacing w:val="-1"/>
          <w:sz w:val="24"/>
          <w14:textFill>
            <w14:solidFill>
              <w14:schemeClr w14:val="tx1"/>
            </w14:solidFill>
          </w14:textFill>
        </w:rPr>
        <w:t>避免阳光直射，应有良好的照明设备和通风条件。</w:t>
      </w:r>
    </w:p>
    <w:p w14:paraId="535DE698">
      <w:pPr>
        <w:adjustRightInd w:val="0"/>
        <w:snapToGrid w:val="0"/>
        <w:spacing w:line="360" w:lineRule="auto"/>
        <w:ind w:firstLine="508" w:firstLineChars="200"/>
        <w:jc w:val="both"/>
        <w:rPr>
          <w:rFonts w:ascii="宋体" w:hAnsi="宋体" w:cs="宋体"/>
          <w:color w:val="000000" w:themeColor="text1"/>
          <w:spacing w:val="-6"/>
          <w:sz w:val="24"/>
          <w14:textFill>
            <w14:solidFill>
              <w14:schemeClr w14:val="tx1"/>
            </w14:solidFill>
          </w14:textFill>
        </w:rPr>
      </w:pPr>
      <w:r>
        <w:rPr>
          <w:rFonts w:hint="eastAsia" w:ascii="宋体" w:hAnsi="宋体" w:cs="宋体"/>
          <w:color w:val="000000" w:themeColor="text1"/>
          <w:spacing w:val="7"/>
          <w:sz w:val="24"/>
          <w14:textFill>
            <w14:solidFill>
              <w14:schemeClr w14:val="tx1"/>
            </w14:solidFill>
          </w14:textFill>
        </w:rPr>
        <w:t>⑥</w:t>
      </w:r>
      <w:r>
        <w:rPr>
          <w:rFonts w:ascii="宋体" w:hAnsi="宋体" w:cs="宋体"/>
          <w:color w:val="000000" w:themeColor="text1"/>
          <w:spacing w:val="7"/>
          <w:sz w:val="24"/>
          <w14:textFill>
            <w14:solidFill>
              <w14:schemeClr w14:val="tx1"/>
            </w14:solidFill>
          </w14:textFill>
        </w:rPr>
        <w:t>在库房外的明显处同时设置医疗废物的警示标识，库房内应张贴“禁止吸烟、饮</w:t>
      </w:r>
      <w:r>
        <w:rPr>
          <w:rFonts w:ascii="宋体" w:hAnsi="宋体" w:cs="宋体"/>
          <w:color w:val="000000" w:themeColor="text1"/>
          <w:spacing w:val="-6"/>
          <w:sz w:val="24"/>
          <w14:textFill>
            <w14:solidFill>
              <w14:schemeClr w14:val="tx1"/>
            </w14:solidFill>
          </w14:textFill>
        </w:rPr>
        <w:t>食</w:t>
      </w:r>
      <w:r>
        <w:rPr>
          <w:rFonts w:ascii="宋体" w:hAnsi="宋体" w:cs="宋体"/>
          <w:color w:val="000000" w:themeColor="text1"/>
          <w:spacing w:val="-83"/>
          <w:sz w:val="24"/>
          <w14:textFill>
            <w14:solidFill>
              <w14:schemeClr w14:val="tx1"/>
            </w14:solidFill>
          </w14:textFill>
        </w:rPr>
        <w:t xml:space="preserve"> </w:t>
      </w:r>
      <w:r>
        <w:rPr>
          <w:rFonts w:ascii="宋体" w:hAnsi="宋体" w:cs="宋体"/>
          <w:color w:val="000000" w:themeColor="text1"/>
          <w:spacing w:val="-6"/>
          <w:sz w:val="24"/>
          <w14:textFill>
            <w14:solidFill>
              <w14:schemeClr w14:val="tx1"/>
            </w14:solidFill>
          </w14:textFill>
        </w:rPr>
        <w:t>”的警示标识。</w:t>
      </w:r>
    </w:p>
    <w:p w14:paraId="5464465C">
      <w:pPr>
        <w:spacing w:line="360" w:lineRule="auto"/>
        <w:ind w:firstLine="476" w:firstLineChars="200"/>
        <w:rPr>
          <w:rFonts w:ascii="宋体" w:hAnsi="宋体" w:cs="宋体"/>
          <w:color w:val="000000" w:themeColor="text1"/>
          <w:spacing w:val="-1"/>
          <w:sz w:val="24"/>
          <w14:textFill>
            <w14:solidFill>
              <w14:schemeClr w14:val="tx1"/>
            </w14:solidFill>
          </w14:textFill>
        </w:rPr>
      </w:pPr>
      <w:r>
        <w:rPr>
          <w:rFonts w:hint="eastAsia" w:ascii="宋体" w:hAnsi="宋体" w:cs="宋体"/>
          <w:color w:val="000000" w:themeColor="text1"/>
          <w:spacing w:val="-1"/>
          <w:sz w:val="24"/>
          <w14:textFill>
            <w14:solidFill>
              <w14:schemeClr w14:val="tx1"/>
            </w14:solidFill>
          </w14:textFill>
        </w:rPr>
        <w:t>⑦医疗废物暂存于危险暂存间，</w:t>
      </w:r>
      <w:r>
        <w:rPr>
          <w:rFonts w:ascii="宋体" w:hAnsi="宋体" w:cs="宋体"/>
          <w:color w:val="000000" w:themeColor="text1"/>
          <w:spacing w:val="-1"/>
          <w:sz w:val="24"/>
          <w14:textFill>
            <w14:solidFill>
              <w14:schemeClr w14:val="tx1"/>
            </w14:solidFill>
          </w14:textFill>
        </w:rPr>
        <w:t>医疗废物和危险废物不得混合存放，必须分类分区贮存</w:t>
      </w:r>
      <w:r>
        <w:rPr>
          <w:rFonts w:hint="eastAsia" w:ascii="宋体" w:hAnsi="宋体" w:cs="宋体"/>
          <w:color w:val="000000" w:themeColor="text1"/>
          <w:spacing w:val="-1"/>
          <w:sz w:val="24"/>
          <w14:textFill>
            <w14:solidFill>
              <w14:schemeClr w14:val="tx1"/>
            </w14:solidFill>
          </w14:textFill>
        </w:rPr>
        <w:t>。</w:t>
      </w:r>
    </w:p>
    <w:bookmarkEnd w:id="823"/>
    <w:p w14:paraId="25EC1BE7">
      <w:pPr>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3）</w:t>
      </w:r>
      <w:r>
        <w:rPr>
          <w:rFonts w:hint="eastAsia"/>
          <w:b/>
          <w:bCs/>
          <w:color w:val="000000" w:themeColor="text1"/>
          <w:sz w:val="24"/>
          <w14:textFill>
            <w14:solidFill>
              <w14:schemeClr w14:val="tx1"/>
            </w14:solidFill>
          </w14:textFill>
        </w:rPr>
        <w:t>动物医疗废物</w:t>
      </w:r>
      <w:r>
        <w:rPr>
          <w:b/>
          <w:bCs/>
          <w:color w:val="000000" w:themeColor="text1"/>
          <w:sz w:val="24"/>
          <w14:textFill>
            <w14:solidFill>
              <w14:schemeClr w14:val="tx1"/>
            </w14:solidFill>
          </w14:textFill>
        </w:rPr>
        <w:t>的转运</w:t>
      </w:r>
    </w:p>
    <w:p w14:paraId="6DF736A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感染性废物应收集于符合《医疗废物专用包装袋、容器和警示标志标准》（</w:t>
      </w:r>
      <w:r>
        <w:rPr>
          <w:rFonts w:hint="eastAsia"/>
          <w:color w:val="000000" w:themeColor="text1"/>
          <w:sz w:val="24"/>
          <w14:textFill>
            <w14:solidFill>
              <w14:schemeClr w14:val="tx1"/>
            </w14:solidFill>
          </w14:textFill>
        </w:rPr>
        <w:t>HJ421-2008</w:t>
      </w:r>
      <w:r>
        <w:rPr>
          <w:color w:val="000000" w:themeColor="text1"/>
          <w:sz w:val="24"/>
          <w14:textFill>
            <w14:solidFill>
              <w14:schemeClr w14:val="tx1"/>
            </w14:solidFill>
          </w14:textFill>
        </w:rPr>
        <w:t>）的医疗废物包装袋中，医疗废物暂存间内贮存后，2天内交由有资质单位处理。损伤性废物应先收集于利器盒达到3/4满时，应当封闭严密，后装入《医疗废物专用包装袋、容器和警示标志标准》（</w:t>
      </w:r>
      <w:r>
        <w:rPr>
          <w:rFonts w:hint="eastAsia"/>
          <w:color w:val="000000" w:themeColor="text1"/>
          <w:sz w:val="24"/>
          <w14:textFill>
            <w14:solidFill>
              <w14:schemeClr w14:val="tx1"/>
            </w14:solidFill>
          </w14:textFill>
        </w:rPr>
        <w:t>HJ421-2008</w:t>
      </w:r>
      <w:r>
        <w:rPr>
          <w:color w:val="000000" w:themeColor="text1"/>
          <w:sz w:val="24"/>
          <w14:textFill>
            <w14:solidFill>
              <w14:schemeClr w14:val="tx1"/>
            </w14:solidFill>
          </w14:textFill>
        </w:rPr>
        <w:t>）的医疗废物包装袋中，医疗废物暂存间内贮存后，2天内交由有资质单位处理。</w:t>
      </w:r>
      <w:r>
        <w:rPr>
          <w:rFonts w:hint="eastAsia"/>
          <w:color w:val="000000" w:themeColor="text1"/>
          <w:sz w:val="24"/>
          <w14:textFill>
            <w14:solidFill>
              <w14:schemeClr w14:val="tx1"/>
            </w14:solidFill>
          </w14:textFill>
        </w:rPr>
        <w:t>药物</w:t>
      </w:r>
      <w:r>
        <w:rPr>
          <w:color w:val="000000" w:themeColor="text1"/>
          <w:sz w:val="24"/>
          <w14:textFill>
            <w14:solidFill>
              <w14:schemeClr w14:val="tx1"/>
            </w14:solidFill>
          </w14:textFill>
        </w:rPr>
        <w:t>性废物应收集于容器中，粘贴标签并注明主要成分，收集后2天内应交由具备相应资质的医疗废物处置单位处置。</w:t>
      </w:r>
    </w:p>
    <w:p w14:paraId="3FF84DF4">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染疫动物及其排泄物、染疫动物产品、运载工具中的动物排泄物以及垫料、包装物、容器等污染物，应当按照国家有关规定处理，禁止在运输途中抛弃染疫动物、染疫动物产品、粪便、垫料和污物等。清洗后的废污水应当进行消毒和无害化处理，严禁擅自排入水体。</w:t>
      </w:r>
    </w:p>
    <w:p w14:paraId="33D366C7">
      <w:pPr>
        <w:adjustRightInd w:val="0"/>
        <w:snapToGrid w:val="0"/>
        <w:spacing w:line="360" w:lineRule="auto"/>
        <w:ind w:firstLine="482" w:firstLineChars="200"/>
        <w:jc w:val="both"/>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（5）医疗</w:t>
      </w:r>
      <w:r>
        <w:rPr>
          <w:b/>
          <w:bCs/>
          <w:color w:val="000000" w:themeColor="text1"/>
          <w:sz w:val="24"/>
          <w14:textFill>
            <w14:solidFill>
              <w14:schemeClr w14:val="tx1"/>
            </w14:solidFill>
          </w14:textFill>
        </w:rPr>
        <w:t>废物</w:t>
      </w:r>
    </w:p>
    <w:p w14:paraId="501AB1AA">
      <w:pPr>
        <w:spacing w:line="360" w:lineRule="auto"/>
        <w:ind w:firstLine="480" w:firstLineChars="200"/>
        <w:rPr>
          <w:color w:val="000000" w:themeColor="text1"/>
          <w:sz w:val="24"/>
          <w14:textFill>
            <w14:solidFill>
              <w14:schemeClr w14:val="tx1"/>
            </w14:solidFill>
          </w14:textFill>
        </w:rPr>
      </w:pPr>
      <w:r>
        <w:rPr>
          <w:bCs/>
          <w:color w:val="000000" w:themeColor="text1"/>
          <w:sz w:val="24"/>
          <w14:textFill>
            <w14:solidFill>
              <w14:schemeClr w14:val="tx1"/>
            </w14:solidFill>
          </w14:textFill>
        </w:rPr>
        <w:t>项目</w:t>
      </w:r>
      <w:r>
        <w:rPr>
          <w:rFonts w:hint="eastAsia"/>
          <w:bCs/>
          <w:color w:val="000000" w:themeColor="text1"/>
          <w:sz w:val="24"/>
          <w14:textFill>
            <w14:solidFill>
              <w14:schemeClr w14:val="tx1"/>
            </w14:solidFill>
          </w14:textFill>
        </w:rPr>
        <w:t>各养殖场区均</w:t>
      </w:r>
      <w:r>
        <w:rPr>
          <w:bCs/>
          <w:color w:val="000000" w:themeColor="text1"/>
          <w:sz w:val="24"/>
          <w14:textFill>
            <w14:solidFill>
              <w14:schemeClr w14:val="tx1"/>
            </w14:solidFill>
          </w14:textFill>
        </w:rPr>
        <w:t>建设</w:t>
      </w:r>
      <w:r>
        <w:rPr>
          <w:rFonts w:hint="eastAsia"/>
          <w:bCs/>
          <w:color w:val="000000" w:themeColor="text1"/>
          <w:sz w:val="24"/>
          <w14:textFill>
            <w14:solidFill>
              <w14:schemeClr w14:val="tx1"/>
            </w14:solidFill>
          </w14:textFill>
        </w:rPr>
        <w:t>一间医疗</w:t>
      </w:r>
      <w:r>
        <w:rPr>
          <w:bCs/>
          <w:color w:val="000000" w:themeColor="text1"/>
          <w:sz w:val="24"/>
          <w14:textFill>
            <w14:solidFill>
              <w14:schemeClr w14:val="tx1"/>
            </w14:solidFill>
          </w14:textFill>
        </w:rPr>
        <w:t>废物暂存间，用于收集、贮存</w:t>
      </w:r>
      <w:r>
        <w:rPr>
          <w:color w:val="000000" w:themeColor="text1"/>
          <w:sz w:val="24"/>
          <w14:textFill>
            <w14:solidFill>
              <w14:schemeClr w14:val="tx1"/>
            </w14:solidFill>
          </w14:textFill>
        </w:rPr>
        <w:t>医疗废物</w:t>
      </w:r>
      <w:r>
        <w:rPr>
          <w:bCs/>
          <w:color w:val="000000" w:themeColor="text1"/>
          <w:sz w:val="24"/>
          <w14:textFill>
            <w14:solidFill>
              <w14:schemeClr w14:val="tx1"/>
            </w14:solidFill>
          </w14:textFill>
        </w:rPr>
        <w:t>，定期交由有</w:t>
      </w:r>
      <w:r>
        <w:rPr>
          <w:rFonts w:hint="eastAsia"/>
          <w:bCs/>
          <w:color w:val="000000" w:themeColor="text1"/>
          <w:sz w:val="24"/>
          <w14:textFill>
            <w14:solidFill>
              <w14:schemeClr w14:val="tx1"/>
            </w14:solidFill>
          </w14:textFill>
        </w:rPr>
        <w:t>相应</w:t>
      </w:r>
      <w:r>
        <w:rPr>
          <w:bCs/>
          <w:color w:val="000000" w:themeColor="text1"/>
          <w:sz w:val="24"/>
          <w14:textFill>
            <w14:solidFill>
              <w14:schemeClr w14:val="tx1"/>
            </w14:solidFill>
          </w14:textFill>
        </w:rPr>
        <w:t>处置资质的固体废物公司处置。</w:t>
      </w:r>
      <w:r>
        <w:rPr>
          <w:rFonts w:hint="eastAsia"/>
          <w:color w:val="000000" w:themeColor="text1"/>
          <w:sz w:val="24"/>
          <w14:textFill>
            <w14:solidFill>
              <w14:schemeClr w14:val="tx1"/>
            </w14:solidFill>
          </w14:textFill>
        </w:rPr>
        <w:t>医疗</w:t>
      </w:r>
      <w:r>
        <w:rPr>
          <w:color w:val="000000" w:themeColor="text1"/>
          <w:sz w:val="24"/>
          <w14:textFill>
            <w14:solidFill>
              <w14:schemeClr w14:val="tx1"/>
            </w14:solidFill>
          </w14:textFill>
        </w:rPr>
        <w:t>废暂存间地面、墙角防渗层防渗技术要求达到防渗层为至少1m厚黏土层（渗透系数不大于10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cm/s），或至少2mm厚高密度聚乙烯膜等人工防渗材料（渗透系数不大于10</w:t>
      </w:r>
      <w:r>
        <w:rPr>
          <w:color w:val="000000" w:themeColor="text1"/>
          <w:sz w:val="24"/>
          <w:vertAlign w:val="superscript"/>
          <w14:textFill>
            <w14:solidFill>
              <w14:schemeClr w14:val="tx1"/>
            </w14:solidFill>
          </w14:textFill>
        </w:rPr>
        <w:t>-10</w:t>
      </w:r>
      <w:r>
        <w:rPr>
          <w:color w:val="000000" w:themeColor="text1"/>
          <w:sz w:val="24"/>
          <w14:textFill>
            <w14:solidFill>
              <w14:schemeClr w14:val="tx1"/>
            </w14:solidFill>
          </w14:textFill>
        </w:rPr>
        <w:t>cm/s）；满足“六防”（防风、防晒、防雨、防漏、防渗、防腐）要求，贮存设施或场所、容器和包装物应按</w:t>
      </w:r>
      <w:r>
        <w:rPr>
          <w:rFonts w:hint="eastAsia"/>
          <w:color w:val="000000" w:themeColor="text1"/>
          <w:sz w:val="24"/>
          <w14:textFill>
            <w14:solidFill>
              <w14:schemeClr w14:val="tx1"/>
            </w14:solidFill>
          </w14:textFill>
        </w:rPr>
        <w:t>《危险废物识别标志设置技术规范》（</w:t>
      </w:r>
      <w:r>
        <w:rPr>
          <w:color w:val="000000" w:themeColor="text1"/>
          <w:sz w:val="24"/>
          <w14:textFill>
            <w14:solidFill>
              <w14:schemeClr w14:val="tx1"/>
            </w14:solidFill>
          </w14:textFill>
        </w:rPr>
        <w:t>HJ1276</w:t>
      </w:r>
      <w:r>
        <w:rPr>
          <w:rFonts w:hint="eastAsia"/>
          <w:color w:val="000000" w:themeColor="text1"/>
          <w:sz w:val="24"/>
          <w14:textFill>
            <w14:solidFill>
              <w14:schemeClr w14:val="tx1"/>
            </w14:solidFill>
          </w14:textFill>
        </w:rPr>
        <w:t>-2022）</w:t>
      </w:r>
      <w:r>
        <w:rPr>
          <w:color w:val="000000" w:themeColor="text1"/>
          <w:sz w:val="24"/>
          <w14:textFill>
            <w14:solidFill>
              <w14:schemeClr w14:val="tx1"/>
            </w14:solidFill>
          </w14:textFill>
        </w:rPr>
        <w:t>要求设置危险废物贮存设施或场所标志、危险废物贮存分区标志和危险废物标签等危险废物识别标志。</w:t>
      </w:r>
      <w:r>
        <w:rPr>
          <w:rFonts w:hint="eastAsia"/>
          <w:color w:val="000000" w:themeColor="text1"/>
          <w:sz w:val="24"/>
          <w14:textFill>
            <w14:solidFill>
              <w14:schemeClr w14:val="tx1"/>
            </w14:solidFill>
          </w14:textFill>
        </w:rPr>
        <w:t>项目医疗废物属于危险废物，按照危险废物的收集、贮存、转运、交接等规范要求设置。</w:t>
      </w:r>
    </w:p>
    <w:p w14:paraId="2B1EAAA4">
      <w:pPr>
        <w:pStyle w:val="34"/>
        <w:ind w:firstLine="482"/>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A、基本要求</w:t>
      </w:r>
    </w:p>
    <w:p w14:paraId="52850DEC">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危险废物收集：危险废物一经产生，应立即收集至危废暂存间。</w:t>
      </w:r>
    </w:p>
    <w:p w14:paraId="5574075A">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危险废物暂存：设置危废暂存间用于暂存动物医疗废物，根据危险废物的类别设置对应的收集桶，并做好标识标牌，进行登记暂存危废名称、数量等。</w:t>
      </w:r>
    </w:p>
    <w:p w14:paraId="5F4AE1C2">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危险废物转运和处理：建设单位必须根据企业产生的危废种类委托有相应危废处理资质的公司进行处理，并由该公司进行危险废物的运输作业。危险废物转运过程中必须填写转运联单，运输过程须严格按照相关于运输要求进行。</w:t>
      </w:r>
    </w:p>
    <w:p w14:paraId="56C3B60D">
      <w:pPr>
        <w:pStyle w:val="34"/>
        <w:ind w:firstLine="482"/>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B、贮存总体要求</w:t>
      </w:r>
    </w:p>
    <w:p w14:paraId="2D2C041D">
      <w:pPr>
        <w:pStyle w:val="34"/>
        <w:rPr>
          <w:color w:val="000000" w:themeColor="text1"/>
          <w:sz w:val="24"/>
          <w14:textFill>
            <w14:solidFill>
              <w14:schemeClr w14:val="tx1"/>
            </w14:solidFill>
          </w14:textFill>
        </w:rPr>
      </w:pPr>
      <w:r>
        <w:rPr>
          <w:color w:val="000000" w:themeColor="text1"/>
          <w:sz w:val="24"/>
          <w14:textFill>
            <w14:solidFill>
              <w14:schemeClr w14:val="tx1"/>
            </w14:solidFill>
          </w14:textFill>
        </w:rPr>
        <w:t>按照《危险废物贮存污染控制标准》（GB18597-2023），结合本项目产生的危险废物性质，本项目危险废物贮存的总体要求为：</w:t>
      </w:r>
    </w:p>
    <w:p w14:paraId="0CA69BE3">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贮存危险废物应根据危险废物的类别、形态、物理化学性质和污染防治要求进行分类贮存，且应避免危险废物与不相容的物质或材料接触。</w:t>
      </w:r>
    </w:p>
    <w:p w14:paraId="6EB714A6">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p>
    <w:p w14:paraId="00A0258F">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危险废物贮存过程产生的液态废物和固态废物应分类收集，按其环境管理要求妥善处理。</w:t>
      </w:r>
    </w:p>
    <w:p w14:paraId="1ACD9F2A">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w:t>
      </w:r>
      <w:r>
        <w:rPr>
          <w:color w:val="000000" w:themeColor="text1"/>
          <w:sz w:val="24"/>
          <w14:textFill>
            <w14:solidFill>
              <w14:schemeClr w14:val="tx1"/>
            </w14:solidFill>
          </w14:textFill>
        </w:rPr>
        <w:t>贮存设施或场所、容器和包装物应按HJ1276要求设置危险废物贮存设施或场所标志、危险废物贮存分区标志和危险废物标签等危险废物识别标志。</w:t>
      </w:r>
    </w:p>
    <w:p w14:paraId="5D5FDB49">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w:t>
      </w:r>
      <w:r>
        <w:rPr>
          <w:color w:val="000000" w:themeColor="text1"/>
          <w:sz w:val="24"/>
          <w14:textFill>
            <w14:solidFill>
              <w14:schemeClr w14:val="tx1"/>
            </w14:solidFill>
          </w14:textFill>
        </w:rPr>
        <w:t>HJ1259规定的危险废物环境重点监管单位，应采用电子地磅、电子标签、电子管理台账等技术手段对危险废物贮存过程进行信息化管理，确保数据完整、真实、准确；采用视频监控的应确保监控画面清晰，视频记录保存时间至少为3个月。</w:t>
      </w:r>
    </w:p>
    <w:p w14:paraId="416C5A5F">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⑥</w:t>
      </w:r>
      <w:r>
        <w:rPr>
          <w:color w:val="000000" w:themeColor="text1"/>
          <w:sz w:val="24"/>
          <w14:textFill>
            <w14:solidFill>
              <w14:schemeClr w14:val="tx1"/>
            </w14:solidFill>
          </w14:textFill>
        </w:rPr>
        <w:t>贮存设施退役时，所有者或运营者应依法履行环境保护责任，退役前应妥善处理处置贮存设施内剩余的危险废物，并对贮存设施进行清理，消除污染；还应依据土壤污染防治相关法律法规履行场地环境风险防控责任。</w:t>
      </w:r>
    </w:p>
    <w:p w14:paraId="74D3BE62">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⑦</w:t>
      </w:r>
      <w:r>
        <w:rPr>
          <w:color w:val="000000" w:themeColor="text1"/>
          <w:sz w:val="24"/>
          <w14:textFill>
            <w14:solidFill>
              <w14:schemeClr w14:val="tx1"/>
            </w14:solidFill>
          </w14:textFill>
        </w:rPr>
        <w:t>在常温常压下易爆、易燃及排出有毒气体的危险废物应进行预处理，使之稳定后贮存，否则应按易爆、易燃危险品贮存。</w:t>
      </w:r>
    </w:p>
    <w:p w14:paraId="7A3BA790">
      <w:pPr>
        <w:pStyle w:val="34"/>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⑧</w:t>
      </w:r>
      <w:r>
        <w:rPr>
          <w:color w:val="000000" w:themeColor="text1"/>
          <w:sz w:val="24"/>
          <w14:textFill>
            <w14:solidFill>
              <w14:schemeClr w14:val="tx1"/>
            </w14:solidFill>
          </w14:textFill>
        </w:rPr>
        <w:t>危险废物贮存除应满足环境保护相关要求外，还应执行国家安全生产、职业健康、交通运输、消防等法律法规和标准的相关要求。</w:t>
      </w:r>
    </w:p>
    <w:p w14:paraId="5D984A27">
      <w:pPr>
        <w:pStyle w:val="34"/>
        <w:ind w:firstLine="482"/>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C、贮存容器要求</w:t>
      </w:r>
    </w:p>
    <w:p w14:paraId="3661AA56">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容器和包装物材质、内衬应与盛装的危险废物相容。</w:t>
      </w:r>
    </w:p>
    <w:p w14:paraId="5BD07BDC">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针对不同类别、形态、物理化学性质的危险废物，其容器和包装物应满足相应的防渗、防漏、防腐和强度等要求。</w:t>
      </w:r>
    </w:p>
    <w:p w14:paraId="682C7FDC">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硬质容器和包装物及其支护结构堆叠码放时不应有明显变形，无破损泄漏。</w:t>
      </w:r>
    </w:p>
    <w:p w14:paraId="0E320C11">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w:t>
      </w:r>
      <w:r>
        <w:rPr>
          <w:color w:val="000000" w:themeColor="text1"/>
          <w:sz w:val="24"/>
          <w14:textFill>
            <w14:solidFill>
              <w14:schemeClr w14:val="tx1"/>
            </w14:solidFill>
          </w14:textFill>
        </w:rPr>
        <w:t>柔性容器和包装物堆叠码放时应封口严密，无破损泄漏。</w:t>
      </w:r>
    </w:p>
    <w:p w14:paraId="3105A64B">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⑤</w:t>
      </w:r>
      <w:r>
        <w:rPr>
          <w:color w:val="000000" w:themeColor="text1"/>
          <w:kern w:val="0"/>
          <w:sz w:val="24"/>
          <w14:textFill>
            <w14:solidFill>
              <w14:schemeClr w14:val="tx1"/>
            </w14:solidFill>
          </w14:textFill>
        </w:rPr>
        <w:t>使用容器盛装液态、半固态危险废物时，容器内部应留有适当的空间，以适应因温度变化等可能引发的收缩和膨胀，防止其导致容器渗漏或永久变形。</w:t>
      </w:r>
    </w:p>
    <w:p w14:paraId="40C954FA">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⑥</w:t>
      </w:r>
      <w:r>
        <w:rPr>
          <w:color w:val="000000" w:themeColor="text1"/>
          <w:kern w:val="0"/>
          <w:sz w:val="24"/>
          <w14:textFill>
            <w14:solidFill>
              <w14:schemeClr w14:val="tx1"/>
            </w14:solidFill>
          </w14:textFill>
        </w:rPr>
        <w:t>容器和包装物外表面应保持清洁。</w:t>
      </w:r>
    </w:p>
    <w:p w14:paraId="06CDCA79">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D、危险废物的交接</w:t>
      </w:r>
    </w:p>
    <w:p w14:paraId="1FDD3AA8">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①</w:t>
      </w:r>
      <w:r>
        <w:rPr>
          <w:color w:val="000000" w:themeColor="text1"/>
          <w:kern w:val="0"/>
          <w:sz w:val="24"/>
          <w14:textFill>
            <w14:solidFill>
              <w14:schemeClr w14:val="tx1"/>
            </w14:solidFill>
          </w14:textFill>
        </w:rPr>
        <w:t>危险废物转运严格按照《危险废物转移管理办法》执行。</w:t>
      </w:r>
    </w:p>
    <w:p w14:paraId="05200970">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②</w:t>
      </w:r>
      <w:r>
        <w:rPr>
          <w:color w:val="000000" w:themeColor="text1"/>
          <w:kern w:val="0"/>
          <w:sz w:val="24"/>
          <w14:textFill>
            <w14:solidFill>
              <w14:schemeClr w14:val="tx1"/>
            </w14:solidFill>
          </w14:textFill>
        </w:rPr>
        <w:t>危险废物移出人、危险废物承运人、危险废物接受人（以下分别简称移出人、承运人和接受人）在危险废物转移过程中应当采取防扬散、防流失、防渗漏或者其他防止污染环境的措施，不得擅自倾倒、堆放、丢弃、遗撒危险废物，并对所造成的环境污染及生态破坏依法承担责任。移出人、承运人、接受人应当依法制定突发环境事件的防范措施和应急预案，并报有关部门备案；发生危险废物突发环境事件时，应当立即采取有效措施消除或者减轻对环境的污染危害，并按相关规定向事故发生地有关部门报告，接受调查处理。</w:t>
      </w:r>
    </w:p>
    <w:p w14:paraId="3916CF53">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③</w:t>
      </w:r>
      <w:r>
        <w:rPr>
          <w:color w:val="000000" w:themeColor="text1"/>
          <w:kern w:val="0"/>
          <w:sz w:val="24"/>
          <w14:textFill>
            <w14:solidFill>
              <w14:schemeClr w14:val="tx1"/>
            </w14:solidFill>
          </w14:textFill>
        </w:rPr>
        <w:t>危险废物托运人（以下简称托运人）应当按照国家危险货物相关标准确定危险废物对应危险货物的类别、项别、编号等，并委托具备相应危险货物运输资质的单位承运危险废物，依法签订运输合同。采用包装方式运输危险废物的，应当妥善包装，并按照国家有关标准在外包装上设置相应的识别标志。装载危险废物时，托运人应当核实承运人、运输工具及收运人员是否具有相应经营范围的有效危险货物运输许可证件，以及待转移的危险废物识别标志中的相关信息与危险废物转移联单是否相符；不相符的，应当不予装载。装载采用包装方式运输的危险废物的，应当确保将包装完好的危险废物交付承运人。</w:t>
      </w:r>
    </w:p>
    <w:p w14:paraId="3B1C817D">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④</w:t>
      </w:r>
      <w:r>
        <w:rPr>
          <w:color w:val="000000" w:themeColor="text1"/>
          <w:kern w:val="0"/>
          <w:sz w:val="24"/>
          <w14:textFill>
            <w14:solidFill>
              <w14:schemeClr w14:val="tx1"/>
            </w14:solidFill>
          </w14:textFill>
        </w:rPr>
        <w:t>危险废物转移联单应当根据危险废物管理计划中填报的危险废物转移等备案信息填写、运行。</w:t>
      </w:r>
    </w:p>
    <w:p w14:paraId="4FA0662F">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⑤</w:t>
      </w:r>
      <w:r>
        <w:rPr>
          <w:color w:val="000000" w:themeColor="text1"/>
          <w:kern w:val="0"/>
          <w:sz w:val="24"/>
          <w14:textFill>
            <w14:solidFill>
              <w14:schemeClr w14:val="tx1"/>
            </w14:solidFill>
          </w14:textFill>
        </w:rPr>
        <w:t>移出人每转移一车（船或者其他运输工具）次同类危险废物，应当填写、运行一份危险废物转移联单；每车（船或者其他运输工具）次转移多类危险废物的，可以填写、运行一份危险废物转移联单，也可以每一类危险废物填写、运行一份危险废物转移联单。使用同一车（船或者其他运输工具）一次为多个移出人转移危险废物的，每个移出人应当分别填写、运行危险废物转移联单。</w:t>
      </w:r>
    </w:p>
    <w:p w14:paraId="577D07BE">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⑥</w:t>
      </w:r>
      <w:r>
        <w:rPr>
          <w:color w:val="000000" w:themeColor="text1"/>
          <w:kern w:val="0"/>
          <w:sz w:val="24"/>
          <w14:textFill>
            <w14:solidFill>
              <w14:schemeClr w14:val="tx1"/>
            </w14:solidFill>
          </w14:textFill>
        </w:rPr>
        <w:t>采用联运方式转移危险废物的，前一承运人和后一承运人应当明确运输交接的时间和地点。后一承运人应当核实危险废物转移联单确定的移出人信息、前一承运人信息及危险废物相关信息。</w:t>
      </w:r>
    </w:p>
    <w:p w14:paraId="729EE8B9">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⑦</w:t>
      </w:r>
      <w:r>
        <w:rPr>
          <w:color w:val="000000" w:themeColor="text1"/>
          <w:kern w:val="0"/>
          <w:sz w:val="24"/>
          <w14:textFill>
            <w14:solidFill>
              <w14:schemeClr w14:val="tx1"/>
            </w14:solidFill>
          </w14:textFill>
        </w:rPr>
        <w:t>接受人应当对运抵的危险废物进行核实验收，并在接受之日起五个工作日内通过信息系统确认接受。运抵的危险废物的名称、数量、特性、形态、包装方式与危险废物转移联单填写内容不符的，接受人应当及时告知移出人，视情况决定是否接受，同时向接受地生态环境主管部门报告。</w:t>
      </w:r>
    </w:p>
    <w:p w14:paraId="55530634">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⑧</w:t>
      </w:r>
      <w:r>
        <w:rPr>
          <w:color w:val="000000" w:themeColor="text1"/>
          <w:kern w:val="0"/>
          <w:sz w:val="24"/>
          <w14:textFill>
            <w14:solidFill>
              <w14:schemeClr w14:val="tx1"/>
            </w14:solidFill>
          </w14:textFill>
        </w:rPr>
        <w:t>对不通过车（船或者其他运输工具），且无法按次对危险废物计量的其他方式转移危险废物的，移出人和接受人应当分别配备计量记录设备，将每天危险废物转移的种类、重量（数量）、形态和危险特性等信息纳入相关台账记录，并根据所在地设区的市级以上地方生态环境主管部门的要求填写、运行危险废物转移联单。</w:t>
      </w:r>
    </w:p>
    <w:p w14:paraId="6D21E29D">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⑨</w:t>
      </w:r>
      <w:r>
        <w:rPr>
          <w:color w:val="000000" w:themeColor="text1"/>
          <w:kern w:val="0"/>
          <w:sz w:val="24"/>
          <w14:textFill>
            <w14:solidFill>
              <w14:schemeClr w14:val="tx1"/>
            </w14:solidFill>
          </w14:textFill>
        </w:rPr>
        <w:t>危险废物电子转移联单数据应当在信息系统中至少保存十年。因特殊原因无法运行危险废物电子转移联单的，可以先使用纸质转移联单，并于转移活动完成后十个工作日内在信息系统中补录电子转移联单。</w:t>
      </w:r>
    </w:p>
    <w:p w14:paraId="47FF8630">
      <w:pPr>
        <w:pStyle w:val="34"/>
        <w:ind w:firstLine="482"/>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E、危险废物的运送</w:t>
      </w:r>
    </w:p>
    <w:p w14:paraId="30CBC1AB">
      <w:pPr>
        <w:pStyle w:val="34"/>
        <w:jc w:val="left"/>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本项目危险废物由处置单位专用车辆定期运送到相应处置单位。危险废物转运车应符合相关要求。</w:t>
      </w:r>
    </w:p>
    <w:p w14:paraId="13D19BFC">
      <w:pPr>
        <w:pStyle w:val="34"/>
        <w:jc w:val="left"/>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运送路线应尽量避开人口密集区域和交通拥堵道路。驾驶室与货箱完全隔开，以保证驾驶人员的安全。</w:t>
      </w:r>
    </w:p>
    <w:p w14:paraId="6B59C45F">
      <w:pPr>
        <w:pStyle w:val="34"/>
        <w:jc w:val="left"/>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车厢应经防渗处理，在装载货物时，即使车厢内部有液体，也不会渗漏到箱体和外部环境中；车厢底部应设置具有良好气密性的排水孔，在清洗车厢内部时，能够有效收集和排出污水，不可使清洗污水直接漫流到外部环境中；正常运输使用时应具有良好气密性。</w:t>
      </w:r>
    </w:p>
    <w:p w14:paraId="6DCF68B2">
      <w:pPr>
        <w:pStyle w:val="34"/>
        <w:jc w:val="left"/>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w:t>
      </w:r>
      <w:r>
        <w:rPr>
          <w:color w:val="000000" w:themeColor="text1"/>
          <w:sz w:val="24"/>
          <w14:textFill>
            <w14:solidFill>
              <w14:schemeClr w14:val="tx1"/>
            </w14:solidFill>
          </w14:textFill>
        </w:rPr>
        <w:t>危险废物运送前，处置单位必须对每辆运送车的车况进行检查，确保车况良好后方可出车。危险废物运送车辆不得搭乘其他无关人员，不得装载或混装其他货物和动植物。车辆行驶时应锁闭车厢门，确保安全，不得丢失、遗撒和打开包装取出危险废物。</w:t>
      </w:r>
    </w:p>
    <w:p w14:paraId="48F05BFD">
      <w:pPr>
        <w:pStyle w:val="34"/>
        <w:jc w:val="left"/>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⑤</w:t>
      </w:r>
      <w:r>
        <w:rPr>
          <w:color w:val="000000" w:themeColor="text1"/>
          <w:sz w:val="24"/>
          <w14:textFill>
            <w14:solidFill>
              <w14:schemeClr w14:val="tx1"/>
            </w14:solidFill>
          </w14:textFill>
        </w:rPr>
        <w:t>危险废物转运车应在明显部位固定产品标牌。危险废物转运车应在车辆的前部、后部及车厢两侧喷涂警示性标志；驾驶室两侧表明危险废物处置转运单位名称。</w:t>
      </w:r>
    </w:p>
    <w:p w14:paraId="4805E555">
      <w:pPr>
        <w:pStyle w:val="34"/>
        <w:ind w:firstLine="482"/>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F、其他注意事项</w:t>
      </w:r>
    </w:p>
    <w:p w14:paraId="253BC15A">
      <w:pPr>
        <w:pStyle w:val="34"/>
        <w:jc w:val="left"/>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应当制定与危险废物安全处置有关的规章制度和在发生意外事故时的应急方案；设置监控部门或者专员，负责检查、督促、落实本项目危险废物的管理工作。</w:t>
      </w:r>
    </w:p>
    <w:p w14:paraId="00755A83">
      <w:pPr>
        <w:pStyle w:val="34"/>
        <w:jc w:val="left"/>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应当对本项目从事危险废物收集、运送、贮存、处置等工作人员和管理人员，进行相关法律和专业技术、安全防护以及紧急处理等知识的培训。</w:t>
      </w:r>
    </w:p>
    <w:p w14:paraId="311E0BA3">
      <w:pPr>
        <w:pStyle w:val="34"/>
        <w:jc w:val="left"/>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w:t>
      </w:r>
      <w:r>
        <w:rPr>
          <w:color w:val="000000" w:themeColor="text1"/>
          <w:sz w:val="24"/>
          <w14:textFill>
            <w14:solidFill>
              <w14:schemeClr w14:val="tx1"/>
            </w14:solidFill>
          </w14:textFill>
        </w:rPr>
        <w:t>禁止任何单位和个人转让、买卖危险废物。禁止在运送过程中丢弃危险废物；禁止贮存地点倾倒、堆放危险废物或者将危险废物混入其他废物和生活垃圾。</w:t>
      </w:r>
    </w:p>
    <w:p w14:paraId="68B140F5">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④</w:t>
      </w:r>
      <w:r>
        <w:rPr>
          <w:color w:val="000000" w:themeColor="text1"/>
          <w:sz w:val="24"/>
          <w14:textFill>
            <w14:solidFill>
              <w14:schemeClr w14:val="tx1"/>
            </w14:solidFill>
          </w14:textFill>
        </w:rPr>
        <w:t>禁止邮寄危险废物。禁止通过铁路、航空运输危险废物。有陆路通道的，禁止通过水路运输危险废物；没有陆路通道必须经水路运输危险废物的，应当经设区的市级以上人民政府环境保护主管部门批准，并采取严格的环境保护措施后，方可通过水路运输。禁止将危险废物与旅客在同一运输工具上载运。禁止在饮用水源保护区的水体上运输危险废物。</w:t>
      </w:r>
    </w:p>
    <w:p w14:paraId="7315ED0D">
      <w:pPr>
        <w:adjustRightInd w:val="0"/>
        <w:snapToGrid w:val="0"/>
        <w:spacing w:line="360" w:lineRule="auto"/>
        <w:ind w:firstLine="482" w:firstLineChars="200"/>
        <w:jc w:val="both"/>
        <w:rPr>
          <w:color w:val="000000" w:themeColor="text1"/>
          <w:sz w:val="24"/>
          <w14:textFill>
            <w14:solidFill>
              <w14:schemeClr w14:val="tx1"/>
            </w14:solidFill>
          </w14:textFill>
        </w:rPr>
      </w:pPr>
      <w:r>
        <w:rPr>
          <w:b/>
          <w:bCs/>
          <w:color w:val="000000" w:themeColor="text1"/>
          <w:sz w:val="24"/>
          <w14:textFill>
            <w14:solidFill>
              <w14:schemeClr w14:val="tx1"/>
            </w14:solidFill>
          </w14:textFill>
        </w:rPr>
        <w:t>通过采取上述措施后，项目产生的固体废物均得到合理有效地利用或处置，在加强管理的前提下，本项目产生的固体废物对环境基本不会造成影响。</w:t>
      </w:r>
    </w:p>
    <w:bookmarkEnd w:id="822"/>
    <w:p w14:paraId="76D1855F">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827" w:name="_Toc40220782"/>
      <w:bookmarkStart w:id="828" w:name="_Toc14134823"/>
      <w:bookmarkStart w:id="829" w:name="_Toc31727"/>
      <w:bookmarkStart w:id="830" w:name="_Toc233380233"/>
      <w:r>
        <w:rPr>
          <w:rFonts w:ascii="Times New Roman" w:hAnsi="Times New Roman" w:eastAsia="宋体"/>
          <w:color w:val="000000" w:themeColor="text1"/>
          <w:sz w:val="30"/>
          <w:szCs w:val="30"/>
          <w14:textFill>
            <w14:solidFill>
              <w14:schemeClr w14:val="tx1"/>
            </w14:solidFill>
          </w14:textFill>
        </w:rPr>
        <w:t>5.7营运期土壤环境影响预测与评价</w:t>
      </w:r>
      <w:bookmarkEnd w:id="827"/>
      <w:bookmarkEnd w:id="828"/>
      <w:bookmarkEnd w:id="829"/>
      <w:bookmarkEnd w:id="830"/>
    </w:p>
    <w:p w14:paraId="5AF45814">
      <w:pPr>
        <w:pStyle w:val="5"/>
        <w:adjustRightInd w:val="0"/>
        <w:snapToGrid w:val="0"/>
        <w:spacing w:before="0" w:after="0" w:line="360" w:lineRule="auto"/>
        <w:rPr>
          <w:color w:val="000000" w:themeColor="text1"/>
          <w:sz w:val="28"/>
          <w:szCs w:val="28"/>
          <w14:textFill>
            <w14:solidFill>
              <w14:schemeClr w14:val="tx1"/>
            </w14:solidFill>
          </w14:textFill>
        </w:rPr>
      </w:pPr>
      <w:bookmarkStart w:id="831" w:name="_Toc40220783"/>
      <w:bookmarkStart w:id="832" w:name="_Toc27751222"/>
      <w:bookmarkStart w:id="833" w:name="_Toc28814708"/>
      <w:bookmarkStart w:id="834" w:name="_Toc12913"/>
      <w:bookmarkStart w:id="835" w:name="_Toc230079420"/>
      <w:bookmarkStart w:id="836" w:name="_Toc233380234"/>
      <w:bookmarkStart w:id="837" w:name="_Toc11418"/>
      <w:bookmarkStart w:id="838" w:name="_Toc24401"/>
      <w:bookmarkStart w:id="839" w:name="_Toc13519"/>
      <w:bookmarkStart w:id="840" w:name="_Toc6749"/>
      <w:bookmarkStart w:id="841" w:name="_Toc8976"/>
      <w:bookmarkStart w:id="842" w:name="_Toc10391"/>
      <w:bookmarkStart w:id="843" w:name="_Toc6147"/>
      <w:bookmarkStart w:id="844" w:name="_Toc40220790"/>
      <w:r>
        <w:rPr>
          <w:color w:val="000000" w:themeColor="text1"/>
          <w:sz w:val="28"/>
          <w:szCs w:val="28"/>
          <w14:textFill>
            <w14:solidFill>
              <w14:schemeClr w14:val="tx1"/>
            </w14:solidFill>
          </w14:textFill>
        </w:rPr>
        <w:t>5.7.1总论</w:t>
      </w:r>
      <w:bookmarkEnd w:id="831"/>
      <w:bookmarkEnd w:id="832"/>
      <w:bookmarkEnd w:id="833"/>
      <w:bookmarkEnd w:id="834"/>
      <w:bookmarkEnd w:id="835"/>
      <w:bookmarkEnd w:id="836"/>
    </w:p>
    <w:p w14:paraId="6AE3EA21">
      <w:pPr>
        <w:spacing w:line="360" w:lineRule="auto"/>
        <w:ind w:firstLine="482" w:firstLineChars="200"/>
        <w:rPr>
          <w:b/>
          <w:color w:val="000000" w:themeColor="text1"/>
          <w:sz w:val="24"/>
          <w:szCs w:val="32"/>
          <w14:textFill>
            <w14:solidFill>
              <w14:schemeClr w14:val="tx1"/>
            </w14:solidFill>
          </w14:textFill>
        </w:rPr>
      </w:pPr>
      <w:r>
        <w:rPr>
          <w:b/>
          <w:color w:val="000000" w:themeColor="text1"/>
          <w:sz w:val="24"/>
          <w:szCs w:val="32"/>
          <w14:textFill>
            <w14:solidFill>
              <w14:schemeClr w14:val="tx1"/>
            </w14:solidFill>
          </w14:textFill>
        </w:rPr>
        <w:t>（1）评价目的</w:t>
      </w:r>
    </w:p>
    <w:p w14:paraId="4499DF49">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1）结合国家、地方土壤相关资料和实地调查，掌握拟建项目地区土壤类型及理化特性等，查明土壤环境现状与土壤利用现状；</w:t>
      </w:r>
    </w:p>
    <w:p w14:paraId="5E17D18E">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2）根据拟建项目工程分析及与土壤污染相关的地表水、地下水、大气等评价结果，分析并识别出可能进入土壤的污染物种类、数量、方式等，预测拟建项目可能对土壤环境产生的影响，评价其影响程度和范围及其可能导致的土壤环境变化趋势；</w:t>
      </w:r>
    </w:p>
    <w:p w14:paraId="52CF0CDA">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3）针对项目建设可能产生的不利影响，提出合理、可行、操作性强的土壤环境影响防控措施，使工程建设带来的负面环境影响降至最低程度，达到项目建设和环境保护的协调发展；</w:t>
      </w:r>
    </w:p>
    <w:p w14:paraId="6C2CDFFC">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4）从土壤环境保护角度论证项目建设的可行性，为工程建设决策和环境管理提供科学依据。</w:t>
      </w:r>
    </w:p>
    <w:p w14:paraId="1099A9C1">
      <w:pPr>
        <w:spacing w:line="360" w:lineRule="auto"/>
        <w:ind w:firstLine="482" w:firstLineChars="200"/>
        <w:rPr>
          <w:b/>
          <w:color w:val="000000" w:themeColor="text1"/>
          <w:sz w:val="24"/>
          <w:szCs w:val="32"/>
          <w14:textFill>
            <w14:solidFill>
              <w14:schemeClr w14:val="tx1"/>
            </w14:solidFill>
          </w14:textFill>
        </w:rPr>
      </w:pPr>
      <w:r>
        <w:rPr>
          <w:b/>
          <w:color w:val="000000" w:themeColor="text1"/>
          <w:sz w:val="24"/>
          <w:szCs w:val="32"/>
          <w14:textFill>
            <w14:solidFill>
              <w14:schemeClr w14:val="tx1"/>
            </w14:solidFill>
          </w14:textFill>
        </w:rPr>
        <w:t>（2）评价内容与评价重点</w:t>
      </w:r>
    </w:p>
    <w:p w14:paraId="72121778">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1）评价内容</w:t>
      </w:r>
    </w:p>
    <w:p w14:paraId="3B1B45F0">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土壤环境的现状调查、监测与评价，以及建设项目对土壤环境可能造成的直接和间接危害的预测与评价，并针对其造成的影响和危害提出防控措施与对策。</w:t>
      </w:r>
    </w:p>
    <w:p w14:paraId="2056DF08">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2）评价重点</w:t>
      </w:r>
    </w:p>
    <w:p w14:paraId="3FB6FD63">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结合工程的特点及区域环境特征，确定本次评价工作重点为：建设项目土壤环境影响类型与影响途径识别、建设项目周边土壤环境现状调查、土壤环境影响预测及评价、土壤环境污染防治措施及建议。</w:t>
      </w:r>
    </w:p>
    <w:p w14:paraId="6A23A3BE">
      <w:pPr>
        <w:spacing w:line="360" w:lineRule="auto"/>
        <w:ind w:firstLine="482" w:firstLineChars="200"/>
        <w:rPr>
          <w:b/>
          <w:color w:val="000000" w:themeColor="text1"/>
          <w:sz w:val="24"/>
          <w:szCs w:val="32"/>
          <w14:textFill>
            <w14:solidFill>
              <w14:schemeClr w14:val="tx1"/>
            </w14:solidFill>
          </w14:textFill>
        </w:rPr>
      </w:pPr>
      <w:r>
        <w:rPr>
          <w:b/>
          <w:color w:val="000000" w:themeColor="text1"/>
          <w:sz w:val="24"/>
          <w:szCs w:val="32"/>
          <w14:textFill>
            <w14:solidFill>
              <w14:schemeClr w14:val="tx1"/>
            </w14:solidFill>
          </w14:textFill>
        </w:rPr>
        <w:t>（3）评价工作程序</w:t>
      </w:r>
    </w:p>
    <w:p w14:paraId="744D95A0">
      <w:pPr>
        <w:spacing w:line="360" w:lineRule="auto"/>
        <w:ind w:firstLine="480" w:firstLineChars="200"/>
        <w:jc w:val="both"/>
        <w:rPr>
          <w:color w:val="000000" w:themeColor="text1"/>
          <w:sz w:val="24"/>
          <w:szCs w:val="32"/>
          <w14:textFill>
            <w14:solidFill>
              <w14:schemeClr w14:val="tx1"/>
            </w14:solidFill>
          </w14:textFill>
        </w:rPr>
      </w:pPr>
      <w:r>
        <w:rPr>
          <w:color w:val="000000" w:themeColor="text1"/>
          <w:sz w:val="24"/>
          <w:szCs w:val="32"/>
          <w14:textFill>
            <w14:solidFill>
              <w14:schemeClr w14:val="tx1"/>
            </w14:solidFill>
          </w14:textFill>
        </w:rPr>
        <w:t>评价工作分为准备阶段、现状调查与评价阶段、预测分析与评价阶段和结论阶段。</w:t>
      </w:r>
    </w:p>
    <w:p w14:paraId="5F7200A7">
      <w:pPr>
        <w:spacing w:line="360" w:lineRule="auto"/>
        <w:jc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153660" cy="5724525"/>
            <wp:effectExtent l="0" t="0" r="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5153660" cy="5724525"/>
                    </a:xfrm>
                    <a:prstGeom prst="rect">
                      <a:avLst/>
                    </a:prstGeom>
                    <a:noFill/>
                    <a:ln>
                      <a:noFill/>
                    </a:ln>
                  </pic:spPr>
                </pic:pic>
              </a:graphicData>
            </a:graphic>
          </wp:inline>
        </w:drawing>
      </w:r>
    </w:p>
    <w:p w14:paraId="338FE54E">
      <w:pPr>
        <w:adjustRightInd w:val="0"/>
        <w:snapToGrid w:val="0"/>
        <w:spacing w:before="120" w:beforeLines="50"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图5.7-1  本项目土壤环境影响评价工作程序图</w:t>
      </w:r>
    </w:p>
    <w:p w14:paraId="325CA49F">
      <w:pPr>
        <w:pStyle w:val="5"/>
        <w:adjustRightInd w:val="0"/>
        <w:snapToGrid w:val="0"/>
        <w:spacing w:before="0" w:after="0" w:line="360" w:lineRule="auto"/>
        <w:rPr>
          <w:color w:val="000000" w:themeColor="text1"/>
          <w:sz w:val="28"/>
          <w:szCs w:val="28"/>
          <w14:textFill>
            <w14:solidFill>
              <w14:schemeClr w14:val="tx1"/>
            </w14:solidFill>
          </w14:textFill>
        </w:rPr>
      </w:pPr>
      <w:bookmarkStart w:id="845" w:name="_Toc2582"/>
      <w:bookmarkStart w:id="846" w:name="_Toc28814709"/>
      <w:bookmarkStart w:id="847" w:name="_Toc27751223"/>
      <w:bookmarkStart w:id="848" w:name="_Toc233380235"/>
      <w:bookmarkStart w:id="849" w:name="_Toc40220784"/>
      <w:bookmarkStart w:id="850" w:name="_Toc230079421"/>
      <w:r>
        <w:rPr>
          <w:color w:val="000000" w:themeColor="text1"/>
          <w:sz w:val="28"/>
          <w:szCs w:val="28"/>
          <w14:textFill>
            <w14:solidFill>
              <w14:schemeClr w14:val="tx1"/>
            </w14:solidFill>
          </w14:textFill>
        </w:rPr>
        <w:t>5.7.2土壤环境影响识别及评价等级</w:t>
      </w:r>
      <w:bookmarkEnd w:id="845"/>
      <w:bookmarkEnd w:id="846"/>
      <w:bookmarkEnd w:id="847"/>
      <w:bookmarkEnd w:id="848"/>
      <w:bookmarkEnd w:id="849"/>
      <w:bookmarkEnd w:id="850"/>
    </w:p>
    <w:p w14:paraId="272445F3">
      <w:pPr>
        <w:spacing w:line="360" w:lineRule="auto"/>
        <w:ind w:firstLine="200"/>
        <w:jc w:val="both"/>
        <w:rPr>
          <w:b/>
          <w:color w:val="000000" w:themeColor="text1"/>
          <w:sz w:val="24"/>
          <w:szCs w:val="32"/>
          <w14:textFill>
            <w14:solidFill>
              <w14:schemeClr w14:val="tx1"/>
            </w14:solidFill>
          </w14:textFill>
        </w:rPr>
      </w:pPr>
      <w:r>
        <w:rPr>
          <w:rFonts w:hint="eastAsia"/>
          <w:b/>
          <w:color w:val="000000" w:themeColor="text1"/>
          <w:sz w:val="24"/>
          <w:szCs w:val="32"/>
          <w14:textFill>
            <w14:solidFill>
              <w14:schemeClr w14:val="tx1"/>
            </w14:solidFill>
          </w14:textFill>
        </w:rPr>
        <w:t>（1）土壤评价等级</w:t>
      </w:r>
    </w:p>
    <w:p w14:paraId="359C3B1E">
      <w:pPr>
        <w:autoSpaceDE w:val="0"/>
        <w:autoSpaceDN w:val="0"/>
        <w:adjustRightInd w:val="0"/>
        <w:spacing w:line="360" w:lineRule="auto"/>
        <w:ind w:firstLine="480" w:firstLineChars="200"/>
        <w:jc w:val="both"/>
        <w:rPr>
          <w:color w:val="000000" w:themeColor="text1"/>
          <w:sz w:val="24"/>
          <w:szCs w:val="32"/>
          <w14:textFill>
            <w14:solidFill>
              <w14:schemeClr w14:val="tx1"/>
            </w14:solidFill>
          </w14:textFill>
        </w:rPr>
      </w:pPr>
      <w:r>
        <w:rPr>
          <w:rFonts w:hint="eastAsia"/>
          <w:color w:val="000000" w:themeColor="text1"/>
          <w:sz w:val="24"/>
          <w:szCs w:val="32"/>
          <w14:textFill>
            <w14:solidFill>
              <w14:schemeClr w14:val="tx1"/>
            </w14:solidFill>
          </w14:textFill>
        </w:rPr>
        <w:t>根据《环境影响评价技术导则 土壤环境（试行）》（HJ964-2018）中附录A土壤环境影响评价项目类别可知，属</w:t>
      </w:r>
      <w:r>
        <w:rPr>
          <w:color w:val="000000" w:themeColor="text1"/>
          <w:sz w:val="24"/>
          <w:szCs w:val="32"/>
          <w14:textFill>
            <w14:solidFill>
              <w14:schemeClr w14:val="tx1"/>
            </w14:solidFill>
          </w14:textFill>
        </w:rPr>
        <w:t>Ⅲ</w:t>
      </w:r>
      <w:r>
        <w:rPr>
          <w:rFonts w:hint="eastAsia"/>
          <w:color w:val="000000" w:themeColor="text1"/>
          <w:sz w:val="24"/>
          <w:szCs w:val="32"/>
          <w14:textFill>
            <w14:solidFill>
              <w14:schemeClr w14:val="tx1"/>
            </w14:solidFill>
          </w14:textFill>
        </w:rPr>
        <w:t>类项目。占地规模属小型，土壤环境敏感程度为敏感，综合判定评价等级为“三级”。</w:t>
      </w:r>
    </w:p>
    <w:p w14:paraId="4594BE72">
      <w:pPr>
        <w:spacing w:line="360" w:lineRule="auto"/>
        <w:ind w:firstLine="200"/>
        <w:jc w:val="both"/>
        <w:rPr>
          <w:color w:val="000000" w:themeColor="text1"/>
          <w:sz w:val="24"/>
          <w:szCs w:val="32"/>
          <w14:textFill>
            <w14:solidFill>
              <w14:schemeClr w14:val="tx1"/>
            </w14:solidFill>
          </w14:textFill>
        </w:rPr>
      </w:pPr>
      <w:r>
        <w:rPr>
          <w:rFonts w:hint="eastAsia"/>
          <w:b/>
          <w:color w:val="000000" w:themeColor="text1"/>
          <w:sz w:val="24"/>
          <w:szCs w:val="32"/>
          <w14:textFill>
            <w14:solidFill>
              <w14:schemeClr w14:val="tx1"/>
            </w14:solidFill>
          </w14:textFill>
        </w:rPr>
        <w:t>（2）</w:t>
      </w:r>
      <w:r>
        <w:rPr>
          <w:b/>
          <w:color w:val="000000" w:themeColor="text1"/>
          <w:sz w:val="24"/>
          <w:szCs w:val="32"/>
          <w14:textFill>
            <w14:solidFill>
              <w14:schemeClr w14:val="tx1"/>
            </w14:solidFill>
          </w14:textFill>
        </w:rPr>
        <w:t>土壤环境影响识别</w:t>
      </w:r>
    </w:p>
    <w:p w14:paraId="765AFF5E">
      <w:pPr>
        <w:pStyle w:val="34"/>
        <w:rPr>
          <w:bCs/>
          <w:color w:val="000000" w:themeColor="text1"/>
          <w:kern w:val="0"/>
          <w:sz w:val="24"/>
          <w:lang w:bidi="ar"/>
          <w14:textFill>
            <w14:solidFill>
              <w14:schemeClr w14:val="tx1"/>
            </w14:solidFill>
          </w14:textFill>
        </w:rPr>
      </w:pPr>
      <w:bookmarkStart w:id="851" w:name="_Toc27751224"/>
      <w:bookmarkStart w:id="852" w:name="_Toc40220785"/>
      <w:bookmarkStart w:id="853" w:name="_Toc28814710"/>
      <w:r>
        <w:rPr>
          <w:bCs/>
          <w:color w:val="000000" w:themeColor="text1"/>
          <w:kern w:val="0"/>
          <w:sz w:val="24"/>
          <w:lang w:bidi="ar"/>
          <w14:textFill>
            <w14:solidFill>
              <w14:schemeClr w14:val="tx1"/>
            </w14:solidFill>
          </w14:textFill>
        </w:rPr>
        <w:t>土壤污染是指人类活动所产生的物质（污染物），通过各种途径进入土壤，其数量和速度超过了土壤的容纳能力和净化速度的现象。土壤污染可使土壤的性质、组成及性状等发生变化，使污染物质的积累过程逐渐占据优势，破坏土壤的自然动态平衡，从而导致土壤自然正常功能失调，土壤质量恶化，影响作物的生长发育，以致造成产量和质量的下降，并可通过食物链危害生物和人类健康。</w:t>
      </w:r>
    </w:p>
    <w:p w14:paraId="1C039ED4">
      <w:pPr>
        <w:pStyle w:val="34"/>
        <w:widowControl w:val="0"/>
        <w:ind w:firstLine="482"/>
        <w:rPr>
          <w:b/>
          <w:color w:val="000000" w:themeColor="text1"/>
          <w:kern w:val="0"/>
          <w:sz w:val="24"/>
          <w:lang w:bidi="ar"/>
          <w14:textFill>
            <w14:solidFill>
              <w14:schemeClr w14:val="tx1"/>
            </w14:solidFill>
          </w14:textFill>
        </w:rPr>
      </w:pPr>
      <w:r>
        <w:rPr>
          <w:b/>
          <w:color w:val="000000" w:themeColor="text1"/>
          <w:kern w:val="0"/>
          <w:sz w:val="24"/>
          <w:lang w:bidi="ar"/>
          <w14:textFill>
            <w14:solidFill>
              <w14:schemeClr w14:val="tx1"/>
            </w14:solidFill>
          </w14:textFill>
        </w:rPr>
        <w:t>污染物可以通过多种途径进入土壤，主要类型有以下三种：</w:t>
      </w:r>
    </w:p>
    <w:p w14:paraId="51F0F139">
      <w:pPr>
        <w:pStyle w:val="51"/>
        <w:widowControl w:val="0"/>
        <w:spacing w:after="0" w:line="360" w:lineRule="auto"/>
        <w:ind w:left="0" w:leftChars="0" w:firstLine="480" w:firstLineChars="200"/>
        <w:rPr>
          <w:bCs/>
          <w:color w:val="000000" w:themeColor="text1"/>
          <w:kern w:val="0"/>
          <w:sz w:val="24"/>
          <w:lang w:val="en-US" w:bidi="ar"/>
          <w14:textFill>
            <w14:solidFill>
              <w14:schemeClr w14:val="tx1"/>
            </w14:solidFill>
          </w14:textFill>
        </w:rPr>
      </w:pPr>
      <w:r>
        <w:rPr>
          <w:rFonts w:hint="eastAsia"/>
          <w:bCs/>
          <w:color w:val="000000" w:themeColor="text1"/>
          <w:kern w:val="0"/>
          <w:sz w:val="24"/>
          <w:lang w:val="en-US" w:bidi="ar"/>
          <w14:textFill>
            <w14:solidFill>
              <w14:schemeClr w14:val="tx1"/>
            </w14:solidFill>
          </w14:textFill>
        </w:rPr>
        <w:t>①</w:t>
      </w:r>
      <w:r>
        <w:rPr>
          <w:bCs/>
          <w:color w:val="000000" w:themeColor="text1"/>
          <w:kern w:val="0"/>
          <w:sz w:val="24"/>
          <w:lang w:val="en-US" w:bidi="ar"/>
          <w14:textFill>
            <w14:solidFill>
              <w14:schemeClr w14:val="tx1"/>
            </w14:solidFill>
          </w14:textFill>
        </w:rPr>
        <w:t>大气污染型：污染物来源于被污染的大气，主要集中在土壤表层，主要污染物是大气中的颗粒物，它们降落到地表可引起土壤土质发生变化，破坏土壤肥力与生态系统的平衡。</w:t>
      </w:r>
    </w:p>
    <w:p w14:paraId="2362F91E">
      <w:pPr>
        <w:pStyle w:val="51"/>
        <w:widowControl w:val="0"/>
        <w:spacing w:after="0" w:line="360" w:lineRule="auto"/>
        <w:ind w:left="0" w:leftChars="0" w:firstLine="480" w:firstLineChars="200"/>
        <w:rPr>
          <w:bCs/>
          <w:color w:val="000000" w:themeColor="text1"/>
          <w:kern w:val="0"/>
          <w:sz w:val="24"/>
          <w:lang w:val="en-US" w:bidi="ar"/>
          <w14:textFill>
            <w14:solidFill>
              <w14:schemeClr w14:val="tx1"/>
            </w14:solidFill>
          </w14:textFill>
        </w:rPr>
      </w:pPr>
      <w:r>
        <w:rPr>
          <w:rFonts w:hint="eastAsia"/>
          <w:bCs/>
          <w:color w:val="000000" w:themeColor="text1"/>
          <w:kern w:val="0"/>
          <w:sz w:val="24"/>
          <w:lang w:val="en-US" w:bidi="ar"/>
          <w14:textFill>
            <w14:solidFill>
              <w14:schemeClr w14:val="tx1"/>
            </w14:solidFill>
          </w14:textFill>
        </w:rPr>
        <w:t>②</w:t>
      </w:r>
      <w:r>
        <w:rPr>
          <w:bCs/>
          <w:color w:val="000000" w:themeColor="text1"/>
          <w:kern w:val="0"/>
          <w:sz w:val="24"/>
          <w:lang w:val="en-US" w:bidi="ar"/>
          <w14:textFill>
            <w14:solidFill>
              <w14:schemeClr w14:val="tx1"/>
            </w14:solidFill>
          </w14:textFill>
        </w:rPr>
        <w:t>水污染型：项目废水事故状态下不能循环利用直接排入外环境，或发生泄漏，致使土壤受到无机盐、有机物和病原体的污染。</w:t>
      </w:r>
    </w:p>
    <w:p w14:paraId="26FBAC79">
      <w:pPr>
        <w:pStyle w:val="51"/>
        <w:widowControl w:val="0"/>
        <w:spacing w:after="0" w:line="360" w:lineRule="auto"/>
        <w:ind w:left="0" w:leftChars="0" w:firstLine="480" w:firstLineChars="200"/>
        <w:rPr>
          <w:bCs/>
          <w:color w:val="000000" w:themeColor="text1"/>
          <w:kern w:val="0"/>
          <w:sz w:val="24"/>
          <w:lang w:val="en-US" w:bidi="ar"/>
          <w14:textFill>
            <w14:solidFill>
              <w14:schemeClr w14:val="tx1"/>
            </w14:solidFill>
          </w14:textFill>
        </w:rPr>
      </w:pPr>
      <w:r>
        <w:rPr>
          <w:rFonts w:hint="eastAsia"/>
          <w:bCs/>
          <w:color w:val="000000" w:themeColor="text1"/>
          <w:kern w:val="0"/>
          <w:sz w:val="24"/>
          <w:lang w:val="en-US" w:bidi="ar"/>
          <w14:textFill>
            <w14:solidFill>
              <w14:schemeClr w14:val="tx1"/>
            </w14:solidFill>
          </w14:textFill>
        </w:rPr>
        <w:t>③</w:t>
      </w:r>
      <w:r>
        <w:rPr>
          <w:bCs/>
          <w:color w:val="000000" w:themeColor="text1"/>
          <w:kern w:val="0"/>
          <w:sz w:val="24"/>
          <w:lang w:val="en-US" w:bidi="ar"/>
          <w14:textFill>
            <w14:solidFill>
              <w14:schemeClr w14:val="tx1"/>
            </w14:solidFill>
          </w14:textFill>
        </w:rPr>
        <w:t>固体废物污染型：项目产生的固废在运输、堆放过程中通过扩散、降水淋洗等直接或间接的影响土壤。</w:t>
      </w:r>
    </w:p>
    <w:p w14:paraId="201456C1">
      <w:pPr>
        <w:pStyle w:val="51"/>
        <w:widowControl w:val="0"/>
        <w:spacing w:after="0" w:line="360" w:lineRule="auto"/>
        <w:ind w:left="0" w:leftChars="0" w:firstLine="480" w:firstLineChars="200"/>
        <w:rPr>
          <w:color w:val="000000" w:themeColor="text1"/>
          <w:sz w:val="24"/>
          <w14:textFill>
            <w14:solidFill>
              <w14:schemeClr w14:val="tx1"/>
            </w14:solidFill>
          </w14:textFill>
        </w:rPr>
      </w:pPr>
      <w:r>
        <w:rPr>
          <w:rFonts w:hint="eastAsia"/>
          <w:bCs/>
          <w:color w:val="000000" w:themeColor="text1"/>
          <w:kern w:val="0"/>
          <w:sz w:val="24"/>
          <w:lang w:val="en-US" w:bidi="ar"/>
          <w14:textFill>
            <w14:solidFill>
              <w14:schemeClr w14:val="tx1"/>
            </w14:solidFill>
          </w14:textFill>
        </w:rPr>
        <w:t>项目排放的废气主要为</w:t>
      </w:r>
      <w:r>
        <w:rPr>
          <w:bCs/>
          <w:color w:val="000000" w:themeColor="text1"/>
          <w:kern w:val="0"/>
          <w:sz w:val="24"/>
          <w:lang w:val="en-US" w:bidi="ar"/>
          <w14:textFill>
            <w14:solidFill>
              <w14:schemeClr w14:val="tx1"/>
            </w14:solidFill>
          </w14:textFill>
        </w:rPr>
        <w:t>NH</w:t>
      </w:r>
      <w:r>
        <w:rPr>
          <w:bCs/>
          <w:color w:val="000000" w:themeColor="text1"/>
          <w:kern w:val="0"/>
          <w:sz w:val="24"/>
          <w:vertAlign w:val="subscript"/>
          <w:lang w:val="en-US" w:bidi="ar"/>
          <w14:textFill>
            <w14:solidFill>
              <w14:schemeClr w14:val="tx1"/>
            </w14:solidFill>
          </w14:textFill>
        </w:rPr>
        <w:t>3</w:t>
      </w:r>
      <w:r>
        <w:rPr>
          <w:rFonts w:hint="eastAsia"/>
          <w:bCs/>
          <w:color w:val="000000" w:themeColor="text1"/>
          <w:kern w:val="0"/>
          <w:sz w:val="24"/>
          <w:lang w:val="en-US" w:bidi="ar"/>
          <w14:textFill>
            <w14:solidFill>
              <w14:schemeClr w14:val="tx1"/>
            </w14:solidFill>
          </w14:textFill>
        </w:rPr>
        <w:t>、</w:t>
      </w:r>
      <w:r>
        <w:rPr>
          <w:bCs/>
          <w:color w:val="000000" w:themeColor="text1"/>
          <w:kern w:val="0"/>
          <w:sz w:val="24"/>
          <w:lang w:val="en-US" w:bidi="ar"/>
          <w14:textFill>
            <w14:solidFill>
              <w14:schemeClr w14:val="tx1"/>
            </w14:solidFill>
          </w14:textFill>
        </w:rPr>
        <w:t>H</w:t>
      </w:r>
      <w:r>
        <w:rPr>
          <w:bCs/>
          <w:color w:val="000000" w:themeColor="text1"/>
          <w:kern w:val="0"/>
          <w:sz w:val="24"/>
          <w:vertAlign w:val="subscript"/>
          <w:lang w:val="en-US" w:bidi="ar"/>
          <w14:textFill>
            <w14:solidFill>
              <w14:schemeClr w14:val="tx1"/>
            </w14:solidFill>
          </w14:textFill>
        </w:rPr>
        <w:t>2</w:t>
      </w:r>
      <w:r>
        <w:rPr>
          <w:bCs/>
          <w:color w:val="000000" w:themeColor="text1"/>
          <w:kern w:val="0"/>
          <w:sz w:val="24"/>
          <w:lang w:val="en-US" w:bidi="ar"/>
          <w14:textFill>
            <w14:solidFill>
              <w14:schemeClr w14:val="tx1"/>
            </w14:solidFill>
          </w14:textFill>
        </w:rPr>
        <w:t>S</w:t>
      </w:r>
      <w:r>
        <w:rPr>
          <w:rFonts w:hint="eastAsia"/>
          <w:bCs/>
          <w:color w:val="000000" w:themeColor="text1"/>
          <w:kern w:val="0"/>
          <w:sz w:val="24"/>
          <w:lang w:val="en-US" w:bidi="ar"/>
          <w14:textFill>
            <w14:solidFill>
              <w14:schemeClr w14:val="tx1"/>
            </w14:solidFill>
          </w14:textFill>
        </w:rPr>
        <w:t>，且排气量较小，不考虑大气沉降的影响。</w:t>
      </w:r>
      <w:r>
        <w:rPr>
          <w:color w:val="000000" w:themeColor="text1"/>
          <w:sz w:val="24"/>
          <w14:textFill>
            <w14:solidFill>
              <w14:schemeClr w14:val="tx1"/>
            </w14:solidFill>
          </w14:textFill>
        </w:rPr>
        <w:t>建设项目土壤影响类型与影响途径识别见表。</w:t>
      </w:r>
    </w:p>
    <w:p w14:paraId="4750F7D0">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w:t>
      </w:r>
      <w:r>
        <w:rPr>
          <w:rFonts w:hint="eastAsia"/>
          <w:snapToGrid w:val="0"/>
          <w:color w:val="000000" w:themeColor="text1"/>
          <w:szCs w:val="21"/>
          <w:lang w:val="en-US"/>
          <w14:textFill>
            <w14:solidFill>
              <w14:schemeClr w14:val="tx1"/>
            </w14:solidFill>
          </w14:textFill>
        </w:rPr>
        <w:t>5.7-1</w:t>
      </w:r>
      <w:r>
        <w:rPr>
          <w:snapToGrid w:val="0"/>
          <w:color w:val="000000" w:themeColor="text1"/>
          <w:szCs w:val="21"/>
          <w14:textFill>
            <w14:solidFill>
              <w14:schemeClr w14:val="tx1"/>
            </w14:solidFill>
          </w14:textFill>
        </w:rPr>
        <w:t xml:space="preserve"> 建设项目土壤环境影响类型与影响途径表</w:t>
      </w:r>
    </w:p>
    <w:tbl>
      <w:tblPr>
        <w:tblStyle w:val="88"/>
        <w:tblW w:w="5152" w:type="pct"/>
        <w:tblInd w:w="-125" w:type="dxa"/>
        <w:tblBorders>
          <w:top w:val="single" w:color="auto" w:sz="4" w:space="0"/>
          <w:left w:val="none" w:color="auto" w:sz="0" w:space="0"/>
          <w:bottom w:val="single" w:color="auto" w:sz="4" w:space="0"/>
          <w:right w:val="none" w:color="auto" w:sz="0" w:space="0"/>
          <w:insideH w:val="none" w:color="auto" w:sz="4" w:space="0"/>
          <w:insideV w:val="none" w:color="auto" w:sz="4" w:space="0"/>
        </w:tblBorders>
        <w:tblLayout w:type="autofit"/>
        <w:tblCellMar>
          <w:top w:w="0" w:type="dxa"/>
          <w:left w:w="0" w:type="dxa"/>
          <w:bottom w:w="0" w:type="dxa"/>
          <w:right w:w="0" w:type="dxa"/>
        </w:tblCellMar>
      </w:tblPr>
      <w:tblGrid>
        <w:gridCol w:w="1303"/>
        <w:gridCol w:w="1181"/>
        <w:gridCol w:w="1181"/>
        <w:gridCol w:w="1181"/>
        <w:gridCol w:w="732"/>
        <w:gridCol w:w="715"/>
        <w:gridCol w:w="715"/>
        <w:gridCol w:w="715"/>
        <w:gridCol w:w="843"/>
      </w:tblGrid>
      <w:tr w14:paraId="18C76B20">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CellMar>
            <w:top w:w="0" w:type="dxa"/>
            <w:left w:w="0" w:type="dxa"/>
            <w:bottom w:w="0" w:type="dxa"/>
            <w:right w:w="0" w:type="dxa"/>
          </w:tblCellMar>
        </w:tblPrEx>
        <w:trPr>
          <w:trHeight w:val="454" w:hRule="atLeast"/>
        </w:trPr>
        <w:tc>
          <w:tcPr>
            <w:tcW w:w="761" w:type="pct"/>
            <w:vMerge w:val="restart"/>
            <w:tcBorders>
              <w:top w:val="single" w:color="auto" w:sz="12" w:space="0"/>
              <w:bottom w:val="single" w:color="auto" w:sz="4" w:space="0"/>
              <w:right w:val="single" w:color="000000" w:sz="2" w:space="0"/>
            </w:tcBorders>
            <w:vAlign w:val="center"/>
          </w:tcPr>
          <w:p w14:paraId="083FCE44">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不同时段</w:t>
            </w:r>
          </w:p>
        </w:tc>
        <w:tc>
          <w:tcPr>
            <w:tcW w:w="2494" w:type="pct"/>
            <w:gridSpan w:val="4"/>
            <w:tcBorders>
              <w:top w:val="single" w:color="auto" w:sz="12" w:space="0"/>
              <w:left w:val="single" w:color="000000" w:sz="2" w:space="0"/>
              <w:bottom w:val="single" w:color="auto" w:sz="4" w:space="0"/>
              <w:right w:val="single" w:color="000000" w:sz="2" w:space="0"/>
            </w:tcBorders>
            <w:vAlign w:val="center"/>
          </w:tcPr>
          <w:p w14:paraId="12D8C92B">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污染影响型</w:t>
            </w:r>
          </w:p>
        </w:tc>
        <w:tc>
          <w:tcPr>
            <w:tcW w:w="1743" w:type="pct"/>
            <w:gridSpan w:val="4"/>
            <w:tcBorders>
              <w:top w:val="single" w:color="auto" w:sz="12" w:space="0"/>
              <w:left w:val="single" w:color="000000" w:sz="2" w:space="0"/>
              <w:bottom w:val="single" w:color="auto" w:sz="4" w:space="0"/>
            </w:tcBorders>
            <w:vAlign w:val="center"/>
          </w:tcPr>
          <w:p w14:paraId="21AA2E85">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生态影响型</w:t>
            </w:r>
          </w:p>
        </w:tc>
      </w:tr>
      <w:tr w14:paraId="5A936555">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CellMar>
            <w:top w:w="0" w:type="dxa"/>
            <w:left w:w="0" w:type="dxa"/>
            <w:bottom w:w="0" w:type="dxa"/>
            <w:right w:w="0" w:type="dxa"/>
          </w:tblCellMar>
        </w:tblPrEx>
        <w:trPr>
          <w:trHeight w:val="454" w:hRule="atLeast"/>
        </w:trPr>
        <w:tc>
          <w:tcPr>
            <w:tcW w:w="761" w:type="pct"/>
            <w:vMerge w:val="continue"/>
            <w:tcBorders>
              <w:top w:val="single" w:color="auto" w:sz="4" w:space="0"/>
              <w:bottom w:val="single" w:color="auto" w:sz="4" w:space="0"/>
              <w:right w:val="single" w:color="000000" w:sz="2" w:space="0"/>
            </w:tcBorders>
            <w:vAlign w:val="center"/>
          </w:tcPr>
          <w:p w14:paraId="3565770E">
            <w:pPr>
              <w:adjustRightInd w:val="0"/>
              <w:snapToGrid w:val="0"/>
              <w:spacing w:line="360" w:lineRule="auto"/>
              <w:jc w:val="center"/>
              <w:rPr>
                <w:b/>
                <w:bCs/>
                <w:color w:val="000000" w:themeColor="text1"/>
                <w:szCs w:val="21"/>
                <w14:textFill>
                  <w14:solidFill>
                    <w14:schemeClr w14:val="tx1"/>
                  </w14:solidFill>
                </w14:textFill>
              </w:rPr>
            </w:pPr>
          </w:p>
        </w:tc>
        <w:tc>
          <w:tcPr>
            <w:tcW w:w="689" w:type="pct"/>
            <w:tcBorders>
              <w:top w:val="single" w:color="auto" w:sz="4" w:space="0"/>
              <w:left w:val="single" w:color="000000" w:sz="2" w:space="0"/>
              <w:bottom w:val="single" w:color="auto" w:sz="4" w:space="0"/>
              <w:right w:val="single" w:color="000000" w:sz="2" w:space="0"/>
            </w:tcBorders>
            <w:vAlign w:val="center"/>
          </w:tcPr>
          <w:p w14:paraId="1095120E">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大气沉降</w:t>
            </w:r>
          </w:p>
        </w:tc>
        <w:tc>
          <w:tcPr>
            <w:tcW w:w="689" w:type="pct"/>
            <w:tcBorders>
              <w:top w:val="single" w:color="auto" w:sz="4" w:space="0"/>
              <w:left w:val="single" w:color="000000" w:sz="2" w:space="0"/>
              <w:bottom w:val="single" w:color="auto" w:sz="4" w:space="0"/>
              <w:right w:val="single" w:color="000000" w:sz="2" w:space="0"/>
            </w:tcBorders>
            <w:vAlign w:val="center"/>
          </w:tcPr>
          <w:p w14:paraId="41E25EE1">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地面漫流</w:t>
            </w:r>
          </w:p>
        </w:tc>
        <w:tc>
          <w:tcPr>
            <w:tcW w:w="689" w:type="pct"/>
            <w:tcBorders>
              <w:top w:val="single" w:color="auto" w:sz="4" w:space="0"/>
              <w:left w:val="single" w:color="000000" w:sz="2" w:space="0"/>
              <w:bottom w:val="single" w:color="auto" w:sz="4" w:space="0"/>
              <w:right w:val="single" w:color="000000" w:sz="2" w:space="0"/>
            </w:tcBorders>
            <w:vAlign w:val="center"/>
          </w:tcPr>
          <w:p w14:paraId="245EB5A2">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垂直入渗</w:t>
            </w:r>
          </w:p>
        </w:tc>
        <w:tc>
          <w:tcPr>
            <w:tcW w:w="426" w:type="pct"/>
            <w:tcBorders>
              <w:top w:val="single" w:color="auto" w:sz="4" w:space="0"/>
              <w:left w:val="single" w:color="000000" w:sz="2" w:space="0"/>
              <w:bottom w:val="single" w:color="auto" w:sz="4" w:space="0"/>
              <w:right w:val="single" w:color="000000" w:sz="2" w:space="0"/>
            </w:tcBorders>
            <w:vAlign w:val="center"/>
          </w:tcPr>
          <w:p w14:paraId="606ABDCC">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其它</w:t>
            </w:r>
          </w:p>
        </w:tc>
        <w:tc>
          <w:tcPr>
            <w:tcW w:w="417" w:type="pct"/>
            <w:tcBorders>
              <w:top w:val="single" w:color="auto" w:sz="4" w:space="0"/>
              <w:left w:val="single" w:color="000000" w:sz="2" w:space="0"/>
              <w:bottom w:val="single" w:color="auto" w:sz="4" w:space="0"/>
              <w:right w:val="single" w:color="000000" w:sz="2" w:space="0"/>
            </w:tcBorders>
            <w:vAlign w:val="center"/>
          </w:tcPr>
          <w:p w14:paraId="7A0032EB">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盐化</w:t>
            </w:r>
          </w:p>
        </w:tc>
        <w:tc>
          <w:tcPr>
            <w:tcW w:w="417" w:type="pct"/>
            <w:tcBorders>
              <w:top w:val="single" w:color="auto" w:sz="4" w:space="0"/>
              <w:left w:val="single" w:color="000000" w:sz="2" w:space="0"/>
              <w:bottom w:val="single" w:color="auto" w:sz="4" w:space="0"/>
              <w:right w:val="single" w:color="000000" w:sz="2" w:space="0"/>
            </w:tcBorders>
            <w:vAlign w:val="center"/>
          </w:tcPr>
          <w:p w14:paraId="74AE4C37">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碱化</w:t>
            </w:r>
          </w:p>
        </w:tc>
        <w:tc>
          <w:tcPr>
            <w:tcW w:w="417" w:type="pct"/>
            <w:tcBorders>
              <w:top w:val="single" w:color="auto" w:sz="4" w:space="0"/>
              <w:left w:val="single" w:color="000000" w:sz="2" w:space="0"/>
              <w:bottom w:val="single" w:color="auto" w:sz="4" w:space="0"/>
              <w:right w:val="single" w:color="000000" w:sz="2" w:space="0"/>
            </w:tcBorders>
            <w:vAlign w:val="center"/>
          </w:tcPr>
          <w:p w14:paraId="5DAEDB15">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酸化</w:t>
            </w:r>
          </w:p>
        </w:tc>
        <w:tc>
          <w:tcPr>
            <w:tcW w:w="491" w:type="pct"/>
            <w:tcBorders>
              <w:top w:val="single" w:color="auto" w:sz="4" w:space="0"/>
              <w:left w:val="single" w:color="000000" w:sz="2" w:space="0"/>
              <w:bottom w:val="single" w:color="auto" w:sz="4" w:space="0"/>
            </w:tcBorders>
            <w:vAlign w:val="center"/>
          </w:tcPr>
          <w:p w14:paraId="18178D46">
            <w:pPr>
              <w:pStyle w:val="1744"/>
              <w:adjustRightInd w:val="0"/>
              <w:snapToGrid w:val="0"/>
              <w:spacing w:line="360" w:lineRule="auto"/>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其他</w:t>
            </w:r>
          </w:p>
        </w:tc>
      </w:tr>
      <w:tr w14:paraId="532A7D5C">
        <w:tblPrEx>
          <w:tblBorders>
            <w:top w:val="single" w:color="auto" w:sz="4" w:space="0"/>
            <w:left w:val="none" w:color="auto" w:sz="0" w:space="0"/>
            <w:bottom w:val="single" w:color="auto" w:sz="4" w:space="0"/>
            <w:right w:val="none" w:color="auto" w:sz="0" w:space="0"/>
            <w:insideH w:val="none" w:color="auto" w:sz="4" w:space="0"/>
            <w:insideV w:val="none" w:color="auto" w:sz="4" w:space="0"/>
          </w:tblBorders>
          <w:tblCellMar>
            <w:top w:w="0" w:type="dxa"/>
            <w:left w:w="0" w:type="dxa"/>
            <w:bottom w:w="0" w:type="dxa"/>
            <w:right w:w="0" w:type="dxa"/>
          </w:tblCellMar>
        </w:tblPrEx>
        <w:trPr>
          <w:trHeight w:val="454" w:hRule="atLeast"/>
        </w:trPr>
        <w:tc>
          <w:tcPr>
            <w:tcW w:w="761" w:type="pct"/>
            <w:tcBorders>
              <w:top w:val="single" w:color="auto" w:sz="4" w:space="0"/>
              <w:bottom w:val="single" w:color="auto" w:sz="12" w:space="0"/>
              <w:right w:val="single" w:color="000000" w:sz="2" w:space="0"/>
            </w:tcBorders>
            <w:vAlign w:val="center"/>
          </w:tcPr>
          <w:p w14:paraId="63A362D7">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运营期</w:t>
            </w:r>
          </w:p>
        </w:tc>
        <w:tc>
          <w:tcPr>
            <w:tcW w:w="689" w:type="pct"/>
            <w:tcBorders>
              <w:top w:val="single" w:color="auto" w:sz="4" w:space="0"/>
              <w:left w:val="single" w:color="000000" w:sz="2" w:space="0"/>
              <w:bottom w:val="single" w:color="auto" w:sz="12" w:space="0"/>
              <w:right w:val="single" w:color="000000" w:sz="2" w:space="0"/>
            </w:tcBorders>
            <w:vAlign w:val="center"/>
          </w:tcPr>
          <w:p w14:paraId="0E13C0B4">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p>
        </w:tc>
        <w:tc>
          <w:tcPr>
            <w:tcW w:w="689" w:type="pct"/>
            <w:tcBorders>
              <w:top w:val="single" w:color="auto" w:sz="4" w:space="0"/>
              <w:left w:val="single" w:color="000000" w:sz="2" w:space="0"/>
              <w:bottom w:val="single" w:color="auto" w:sz="12" w:space="0"/>
              <w:right w:val="single" w:color="000000" w:sz="2" w:space="0"/>
            </w:tcBorders>
            <w:vAlign w:val="center"/>
          </w:tcPr>
          <w:p w14:paraId="26D470C4">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p>
        </w:tc>
        <w:tc>
          <w:tcPr>
            <w:tcW w:w="689" w:type="pct"/>
            <w:tcBorders>
              <w:top w:val="single" w:color="auto" w:sz="4" w:space="0"/>
              <w:left w:val="single" w:color="000000" w:sz="2" w:space="0"/>
              <w:bottom w:val="single" w:color="auto" w:sz="12" w:space="0"/>
              <w:right w:val="single" w:color="000000" w:sz="2" w:space="0"/>
            </w:tcBorders>
            <w:vAlign w:val="center"/>
          </w:tcPr>
          <w:p w14:paraId="3EF6CB99">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p>
        </w:tc>
        <w:tc>
          <w:tcPr>
            <w:tcW w:w="426" w:type="pct"/>
            <w:tcBorders>
              <w:top w:val="single" w:color="auto" w:sz="4" w:space="0"/>
              <w:left w:val="single" w:color="000000" w:sz="2" w:space="0"/>
              <w:bottom w:val="single" w:color="auto" w:sz="12" w:space="0"/>
              <w:right w:val="single" w:color="000000" w:sz="2" w:space="0"/>
            </w:tcBorders>
            <w:vAlign w:val="center"/>
          </w:tcPr>
          <w:p w14:paraId="1CED6F7F">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p>
        </w:tc>
        <w:tc>
          <w:tcPr>
            <w:tcW w:w="417" w:type="pct"/>
            <w:tcBorders>
              <w:top w:val="single" w:color="auto" w:sz="4" w:space="0"/>
              <w:left w:val="single" w:color="000000" w:sz="2" w:space="0"/>
              <w:bottom w:val="single" w:color="auto" w:sz="12" w:space="0"/>
              <w:right w:val="single" w:color="000000" w:sz="2" w:space="0"/>
            </w:tcBorders>
            <w:vAlign w:val="center"/>
          </w:tcPr>
          <w:p w14:paraId="5BDB167B">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p>
        </w:tc>
        <w:tc>
          <w:tcPr>
            <w:tcW w:w="417" w:type="pct"/>
            <w:tcBorders>
              <w:top w:val="single" w:color="auto" w:sz="4" w:space="0"/>
              <w:left w:val="single" w:color="000000" w:sz="2" w:space="0"/>
              <w:bottom w:val="single" w:color="auto" w:sz="12" w:space="0"/>
              <w:right w:val="single" w:color="000000" w:sz="2" w:space="0"/>
            </w:tcBorders>
            <w:vAlign w:val="center"/>
          </w:tcPr>
          <w:p w14:paraId="7EFA4120">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p>
        </w:tc>
        <w:tc>
          <w:tcPr>
            <w:tcW w:w="417" w:type="pct"/>
            <w:tcBorders>
              <w:top w:val="single" w:color="auto" w:sz="4" w:space="0"/>
              <w:left w:val="single" w:color="000000" w:sz="2" w:space="0"/>
              <w:bottom w:val="single" w:color="auto" w:sz="12" w:space="0"/>
              <w:right w:val="single" w:color="000000" w:sz="2" w:space="0"/>
            </w:tcBorders>
            <w:vAlign w:val="center"/>
          </w:tcPr>
          <w:p w14:paraId="61A15DA9">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p>
        </w:tc>
        <w:tc>
          <w:tcPr>
            <w:tcW w:w="491" w:type="pct"/>
            <w:tcBorders>
              <w:top w:val="single" w:color="auto" w:sz="4" w:space="0"/>
              <w:left w:val="single" w:color="000000" w:sz="2" w:space="0"/>
              <w:bottom w:val="single" w:color="auto" w:sz="12" w:space="0"/>
            </w:tcBorders>
            <w:vAlign w:val="center"/>
          </w:tcPr>
          <w:p w14:paraId="0693121C">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w:t>
            </w:r>
          </w:p>
        </w:tc>
      </w:tr>
    </w:tbl>
    <w:p w14:paraId="20180D50">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w:t>
      </w:r>
      <w:r>
        <w:rPr>
          <w:rFonts w:hint="eastAsia"/>
          <w:snapToGrid w:val="0"/>
          <w:color w:val="000000" w:themeColor="text1"/>
          <w:szCs w:val="21"/>
          <w:lang w:val="en-US"/>
          <w14:textFill>
            <w14:solidFill>
              <w14:schemeClr w14:val="tx1"/>
            </w14:solidFill>
          </w14:textFill>
        </w:rPr>
        <w:t xml:space="preserve">5.7-2 </w:t>
      </w:r>
      <w:r>
        <w:rPr>
          <w:snapToGrid w:val="0"/>
          <w:color w:val="000000" w:themeColor="text1"/>
          <w:szCs w:val="21"/>
          <w14:textFill>
            <w14:solidFill>
              <w14:schemeClr w14:val="tx1"/>
            </w14:solidFill>
          </w14:textFill>
        </w:rPr>
        <w:t>污染影响型建设项目土壤环境影响源及影响因子识别表</w:t>
      </w:r>
    </w:p>
    <w:tbl>
      <w:tblPr>
        <w:tblStyle w:val="8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7"/>
        <w:gridCol w:w="2250"/>
        <w:gridCol w:w="2245"/>
        <w:gridCol w:w="1988"/>
      </w:tblGrid>
      <w:tr w14:paraId="0AC22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4" w:type="pct"/>
            <w:tcBorders>
              <w:top w:val="single" w:color="auto" w:sz="12" w:space="0"/>
              <w:left w:val="nil"/>
            </w:tcBorders>
            <w:vAlign w:val="center"/>
          </w:tcPr>
          <w:p w14:paraId="55C37633">
            <w:pPr>
              <w:pStyle w:val="34"/>
              <w:spacing w:line="240" w:lineRule="auto"/>
              <w:ind w:firstLine="0" w:firstLineChars="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污染源</w:t>
            </w:r>
          </w:p>
        </w:tc>
        <w:tc>
          <w:tcPr>
            <w:tcW w:w="1355" w:type="pct"/>
            <w:tcBorders>
              <w:top w:val="single" w:color="auto" w:sz="12" w:space="0"/>
            </w:tcBorders>
            <w:vAlign w:val="center"/>
          </w:tcPr>
          <w:p w14:paraId="469A6EF3">
            <w:pPr>
              <w:pStyle w:val="34"/>
              <w:spacing w:line="240" w:lineRule="auto"/>
              <w:ind w:firstLine="0" w:firstLineChars="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污染途径</w:t>
            </w:r>
          </w:p>
        </w:tc>
        <w:tc>
          <w:tcPr>
            <w:tcW w:w="1352" w:type="pct"/>
            <w:tcBorders>
              <w:top w:val="single" w:color="auto" w:sz="12" w:space="0"/>
            </w:tcBorders>
            <w:vAlign w:val="center"/>
          </w:tcPr>
          <w:p w14:paraId="2D9F33C0">
            <w:pPr>
              <w:pStyle w:val="34"/>
              <w:spacing w:line="240" w:lineRule="auto"/>
              <w:ind w:firstLine="0" w:firstLineChars="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特征因子</w:t>
            </w:r>
          </w:p>
        </w:tc>
        <w:tc>
          <w:tcPr>
            <w:tcW w:w="1197" w:type="pct"/>
            <w:tcBorders>
              <w:top w:val="single" w:color="auto" w:sz="12" w:space="0"/>
              <w:right w:val="nil"/>
            </w:tcBorders>
            <w:vAlign w:val="center"/>
          </w:tcPr>
          <w:p w14:paraId="4F910D90">
            <w:pPr>
              <w:pStyle w:val="34"/>
              <w:spacing w:line="240" w:lineRule="auto"/>
              <w:ind w:firstLine="0" w:firstLineChars="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备注</w:t>
            </w:r>
          </w:p>
        </w:tc>
      </w:tr>
      <w:tr w14:paraId="2BBA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4" w:type="pct"/>
            <w:tcBorders>
              <w:left w:val="nil"/>
            </w:tcBorders>
            <w:vAlign w:val="center"/>
          </w:tcPr>
          <w:p w14:paraId="56142CF3">
            <w:pPr>
              <w:adjustRightInd w:val="0"/>
              <w:snapToGrid w:val="0"/>
              <w:jc w:val="cente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废水收集、暂存</w:t>
            </w:r>
          </w:p>
        </w:tc>
        <w:tc>
          <w:tcPr>
            <w:tcW w:w="1355" w:type="pct"/>
            <w:vAlign w:val="center"/>
          </w:tcPr>
          <w:p w14:paraId="5F0D50D3">
            <w:pPr>
              <w:adjustRightInd w:val="0"/>
              <w:snapToGrid w:val="0"/>
              <w:jc w:val="center"/>
              <w:rPr>
                <w:bCs/>
                <w:color w:val="000000" w:themeColor="text1"/>
                <w14:textFill>
                  <w14:solidFill>
                    <w14:schemeClr w14:val="tx1"/>
                  </w14:solidFill>
                </w14:textFill>
              </w:rPr>
            </w:pPr>
            <w:r>
              <w:rPr>
                <w:bCs/>
                <w:color w:val="000000" w:themeColor="text1"/>
                <w14:textFill>
                  <w14:solidFill>
                    <w14:schemeClr w14:val="tx1"/>
                  </w14:solidFill>
                </w14:textFill>
              </w:rPr>
              <w:t>垂直入渗</w:t>
            </w:r>
          </w:p>
        </w:tc>
        <w:tc>
          <w:tcPr>
            <w:tcW w:w="1352" w:type="pct"/>
            <w:vAlign w:val="center"/>
          </w:tcPr>
          <w:p w14:paraId="1CE293BC">
            <w:pPr>
              <w:pStyle w:val="34"/>
              <w:spacing w:line="240" w:lineRule="auto"/>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COD、氨氮</w:t>
            </w:r>
          </w:p>
        </w:tc>
        <w:tc>
          <w:tcPr>
            <w:tcW w:w="1197" w:type="pct"/>
            <w:tcBorders>
              <w:right w:val="nil"/>
            </w:tcBorders>
            <w:vAlign w:val="center"/>
          </w:tcPr>
          <w:p w14:paraId="3B4A480C">
            <w:pPr>
              <w:pStyle w:val="34"/>
              <w:spacing w:line="240" w:lineRule="auto"/>
              <w:ind w:firstLine="0" w:firstLineChars="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事故状况</w:t>
            </w:r>
          </w:p>
        </w:tc>
      </w:tr>
      <w:tr w14:paraId="08D3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4" w:type="pct"/>
            <w:tcBorders>
              <w:left w:val="nil"/>
              <w:bottom w:val="single" w:color="auto" w:sz="12" w:space="0"/>
            </w:tcBorders>
            <w:vAlign w:val="center"/>
          </w:tcPr>
          <w:p w14:paraId="37CD547A">
            <w:pPr>
              <w:adjustRightInd w:val="0"/>
              <w:snapToGrid w:val="0"/>
              <w:jc w:val="center"/>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发电机房</w:t>
            </w:r>
          </w:p>
        </w:tc>
        <w:tc>
          <w:tcPr>
            <w:tcW w:w="1355" w:type="pct"/>
            <w:tcBorders>
              <w:bottom w:val="single" w:color="auto" w:sz="12" w:space="0"/>
            </w:tcBorders>
            <w:vAlign w:val="center"/>
          </w:tcPr>
          <w:p w14:paraId="5B2EA0EA">
            <w:pPr>
              <w:adjustRightInd w:val="0"/>
              <w:snapToGrid w:val="0"/>
              <w:jc w:val="center"/>
              <w:rPr>
                <w:bCs/>
                <w:color w:val="000000" w:themeColor="text1"/>
                <w14:textFill>
                  <w14:solidFill>
                    <w14:schemeClr w14:val="tx1"/>
                  </w14:solidFill>
                </w14:textFill>
              </w:rPr>
            </w:pPr>
            <w:r>
              <w:rPr>
                <w:bCs/>
                <w:color w:val="000000" w:themeColor="text1"/>
                <w14:textFill>
                  <w14:solidFill>
                    <w14:schemeClr w14:val="tx1"/>
                  </w14:solidFill>
                </w14:textFill>
              </w:rPr>
              <w:t>地面漫流</w:t>
            </w:r>
            <w:r>
              <w:rPr>
                <w:rFonts w:hint="eastAsia"/>
                <w:bCs/>
                <w:color w:val="000000" w:themeColor="text1"/>
                <w14:textFill>
                  <w14:solidFill>
                    <w14:schemeClr w14:val="tx1"/>
                  </w14:solidFill>
                </w14:textFill>
              </w:rPr>
              <w:t>、</w:t>
            </w:r>
            <w:r>
              <w:rPr>
                <w:bCs/>
                <w:color w:val="000000" w:themeColor="text1"/>
                <w14:textFill>
                  <w14:solidFill>
                    <w14:schemeClr w14:val="tx1"/>
                  </w14:solidFill>
                </w14:textFill>
              </w:rPr>
              <w:t>垂直入渗</w:t>
            </w:r>
          </w:p>
        </w:tc>
        <w:tc>
          <w:tcPr>
            <w:tcW w:w="1352" w:type="pct"/>
            <w:tcBorders>
              <w:bottom w:val="single" w:color="auto" w:sz="12" w:space="0"/>
            </w:tcBorders>
            <w:vAlign w:val="center"/>
          </w:tcPr>
          <w:p w14:paraId="26E00D9F">
            <w:pPr>
              <w:pStyle w:val="34"/>
              <w:spacing w:line="240" w:lineRule="auto"/>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石油类</w:t>
            </w:r>
          </w:p>
        </w:tc>
        <w:tc>
          <w:tcPr>
            <w:tcW w:w="1197" w:type="pct"/>
            <w:tcBorders>
              <w:bottom w:val="single" w:color="auto" w:sz="12" w:space="0"/>
              <w:right w:val="nil"/>
            </w:tcBorders>
            <w:vAlign w:val="center"/>
          </w:tcPr>
          <w:p w14:paraId="7C7753B7">
            <w:pPr>
              <w:pStyle w:val="34"/>
              <w:spacing w:line="240" w:lineRule="auto"/>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事故</w:t>
            </w:r>
            <w:r>
              <w:rPr>
                <w:color w:val="000000" w:themeColor="text1"/>
                <w:szCs w:val="21"/>
                <w14:textFill>
                  <w14:solidFill>
                    <w14:schemeClr w14:val="tx1"/>
                  </w14:solidFill>
                </w14:textFill>
              </w:rPr>
              <w:t>状况</w:t>
            </w:r>
          </w:p>
        </w:tc>
      </w:tr>
    </w:tbl>
    <w:p w14:paraId="37E9917E">
      <w:pPr>
        <w:pStyle w:val="5"/>
        <w:adjustRightInd w:val="0"/>
        <w:snapToGrid w:val="0"/>
        <w:spacing w:before="0" w:after="0" w:line="360" w:lineRule="auto"/>
        <w:rPr>
          <w:color w:val="000000" w:themeColor="text1"/>
          <w:sz w:val="28"/>
          <w:szCs w:val="28"/>
          <w14:textFill>
            <w14:solidFill>
              <w14:schemeClr w14:val="tx1"/>
            </w14:solidFill>
          </w14:textFill>
        </w:rPr>
      </w:pPr>
      <w:bookmarkStart w:id="854" w:name="_Toc10074"/>
      <w:bookmarkStart w:id="855" w:name="_Toc230079422"/>
      <w:bookmarkStart w:id="856" w:name="_Toc233380236"/>
      <w:r>
        <w:rPr>
          <w:color w:val="000000" w:themeColor="text1"/>
          <w:sz w:val="28"/>
          <w:szCs w:val="28"/>
          <w14:textFill>
            <w14:solidFill>
              <w14:schemeClr w14:val="tx1"/>
            </w14:solidFill>
          </w14:textFill>
        </w:rPr>
        <w:t>5.7.3</w:t>
      </w:r>
      <w:bookmarkEnd w:id="851"/>
      <w:bookmarkEnd w:id="852"/>
      <w:bookmarkEnd w:id="853"/>
      <w:r>
        <w:rPr>
          <w:color w:val="000000" w:themeColor="text1"/>
          <w:sz w:val="28"/>
          <w:szCs w:val="28"/>
          <w14:textFill>
            <w14:solidFill>
              <w14:schemeClr w14:val="tx1"/>
            </w14:solidFill>
          </w14:textFill>
        </w:rPr>
        <w:t>现状调查与评价</w:t>
      </w:r>
      <w:bookmarkEnd w:id="854"/>
      <w:bookmarkEnd w:id="855"/>
      <w:bookmarkEnd w:id="856"/>
    </w:p>
    <w:p w14:paraId="167F5941">
      <w:pPr>
        <w:pStyle w:val="34"/>
        <w:ind w:firstLine="482"/>
        <w:rPr>
          <w:b/>
          <w:color w:val="000000" w:themeColor="text1"/>
          <w:sz w:val="24"/>
          <w14:textFill>
            <w14:solidFill>
              <w14:schemeClr w14:val="tx1"/>
            </w14:solidFill>
          </w14:textFill>
        </w:rPr>
      </w:pPr>
      <w:bookmarkStart w:id="857" w:name="_Toc30804"/>
      <w:r>
        <w:rPr>
          <w:b/>
          <w:color w:val="000000" w:themeColor="text1"/>
          <w:sz w:val="24"/>
          <w14:textFill>
            <w14:solidFill>
              <w14:schemeClr w14:val="tx1"/>
            </w14:solidFill>
          </w14:textFill>
        </w:rPr>
        <w:t>（1）</w:t>
      </w:r>
      <w:r>
        <w:rPr>
          <w:rFonts w:hint="eastAsia"/>
          <w:b/>
          <w:color w:val="000000" w:themeColor="text1"/>
          <w:sz w:val="24"/>
          <w14:textFill>
            <w14:solidFill>
              <w14:schemeClr w14:val="tx1"/>
            </w14:solidFill>
          </w14:textFill>
        </w:rPr>
        <w:t>评价</w:t>
      </w:r>
      <w:r>
        <w:rPr>
          <w:b/>
          <w:color w:val="000000" w:themeColor="text1"/>
          <w:sz w:val="24"/>
          <w14:textFill>
            <w14:solidFill>
              <w14:schemeClr w14:val="tx1"/>
            </w14:solidFill>
          </w14:textFill>
        </w:rPr>
        <w:t>范围</w:t>
      </w:r>
      <w:bookmarkEnd w:id="857"/>
    </w:p>
    <w:p w14:paraId="2E8FDB38">
      <w:pPr>
        <w:pStyle w:val="34"/>
        <w:rPr>
          <w:bCs/>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根据《环境影响评价技术导则土壤环</w:t>
      </w:r>
      <w:r>
        <w:rPr>
          <w:bCs/>
          <w:color w:val="000000" w:themeColor="text1"/>
          <w:sz w:val="24"/>
          <w14:textFill>
            <w14:solidFill>
              <w14:schemeClr w14:val="tx1"/>
            </w14:solidFill>
          </w14:textFill>
        </w:rPr>
        <w:t>境（试行）》（HJ964-2018），项目土壤现状</w:t>
      </w:r>
      <w:r>
        <w:rPr>
          <w:rFonts w:hint="eastAsia"/>
          <w:bCs/>
          <w:color w:val="000000" w:themeColor="text1"/>
          <w:sz w:val="24"/>
          <w14:textFill>
            <w14:solidFill>
              <w14:schemeClr w14:val="tx1"/>
            </w14:solidFill>
          </w14:textFill>
        </w:rPr>
        <w:t>评价</w:t>
      </w:r>
      <w:r>
        <w:rPr>
          <w:bCs/>
          <w:color w:val="000000" w:themeColor="text1"/>
          <w:sz w:val="24"/>
          <w14:textFill>
            <w14:solidFill>
              <w14:schemeClr w14:val="tx1"/>
            </w14:solidFill>
          </w14:textFill>
        </w:rPr>
        <w:t>范围为厂界外延</w:t>
      </w:r>
      <w:r>
        <w:rPr>
          <w:rFonts w:hint="eastAsia"/>
          <w:bCs/>
          <w:color w:val="000000" w:themeColor="text1"/>
          <w:sz w:val="24"/>
          <w14:textFill>
            <w14:solidFill>
              <w14:schemeClr w14:val="tx1"/>
            </w14:solidFill>
          </w14:textFill>
        </w:rPr>
        <w:t>50</w:t>
      </w:r>
      <w:r>
        <w:rPr>
          <w:bCs/>
          <w:color w:val="000000" w:themeColor="text1"/>
          <w:sz w:val="24"/>
          <w14:textFill>
            <w14:solidFill>
              <w14:schemeClr w14:val="tx1"/>
            </w14:solidFill>
          </w14:textFill>
        </w:rPr>
        <w:t>m范围。</w:t>
      </w:r>
    </w:p>
    <w:p w14:paraId="5FD9CD8E">
      <w:pPr>
        <w:pStyle w:val="34"/>
        <w:numPr>
          <w:ilvl w:val="0"/>
          <w:numId w:val="31"/>
        </w:numPr>
        <w:ind w:firstLine="482"/>
        <w:rPr>
          <w:b/>
          <w:color w:val="000000" w:themeColor="text1"/>
          <w:sz w:val="24"/>
          <w14:textFill>
            <w14:solidFill>
              <w14:schemeClr w14:val="tx1"/>
            </w14:solidFill>
          </w14:textFill>
        </w:rPr>
      </w:pPr>
      <w:bookmarkStart w:id="858" w:name="_Toc1528"/>
      <w:r>
        <w:rPr>
          <w:b/>
          <w:color w:val="000000" w:themeColor="text1"/>
          <w:sz w:val="24"/>
          <w14:textFill>
            <w14:solidFill>
              <w14:schemeClr w14:val="tx1"/>
            </w14:solidFill>
          </w14:textFill>
        </w:rPr>
        <w:t>敏感目标</w:t>
      </w:r>
      <w:bookmarkEnd w:id="858"/>
    </w:p>
    <w:p w14:paraId="41AFB51A">
      <w:pPr>
        <w:pStyle w:val="34"/>
        <w:rPr>
          <w:color w:val="000000" w:themeColor="text1"/>
          <w:sz w:val="24"/>
          <w14:textFill>
            <w14:solidFill>
              <w14:schemeClr w14:val="tx1"/>
            </w14:solidFill>
          </w14:textFill>
        </w:rPr>
      </w:pPr>
      <w:r>
        <w:rPr>
          <w:color w:val="000000" w:themeColor="text1"/>
          <w:sz w:val="24"/>
          <w14:textFill>
            <w14:solidFill>
              <w14:schemeClr w14:val="tx1"/>
            </w14:solidFill>
          </w14:textFill>
        </w:rPr>
        <w:t>根据导则，项目土壤保护目标主要为项目周边调查范围内</w:t>
      </w:r>
      <w:r>
        <w:rPr>
          <w:rFonts w:hint="eastAsia"/>
          <w:color w:val="000000" w:themeColor="text1"/>
          <w:sz w:val="24"/>
          <w14:textFill>
            <w14:solidFill>
              <w14:schemeClr w14:val="tx1"/>
            </w14:solidFill>
          </w14:textFill>
        </w:rPr>
        <w:t>耕地</w:t>
      </w:r>
      <w:r>
        <w:rPr>
          <w:color w:val="000000" w:themeColor="text1"/>
          <w:sz w:val="24"/>
          <w14:textFill>
            <w14:solidFill>
              <w14:schemeClr w14:val="tx1"/>
            </w14:solidFill>
          </w14:textFill>
        </w:rPr>
        <w:t>。</w:t>
      </w:r>
    </w:p>
    <w:p w14:paraId="0CC36B3C">
      <w:pPr>
        <w:pStyle w:val="34"/>
        <w:numPr>
          <w:ilvl w:val="0"/>
          <w:numId w:val="31"/>
        </w:numPr>
        <w:ind w:firstLine="482"/>
        <w:rPr>
          <w:b/>
          <w:color w:val="000000" w:themeColor="text1"/>
          <w:sz w:val="24"/>
          <w14:textFill>
            <w14:solidFill>
              <w14:schemeClr w14:val="tx1"/>
            </w14:solidFill>
          </w14:textFill>
        </w:rPr>
      </w:pPr>
      <w:bookmarkStart w:id="859" w:name="_Toc11426"/>
      <w:r>
        <w:rPr>
          <w:b/>
          <w:color w:val="000000" w:themeColor="text1"/>
          <w:sz w:val="24"/>
          <w14:textFill>
            <w14:solidFill>
              <w14:schemeClr w14:val="tx1"/>
            </w14:solidFill>
          </w14:textFill>
        </w:rPr>
        <w:t>土地利用类型调查</w:t>
      </w:r>
      <w:bookmarkEnd w:id="859"/>
      <w:r>
        <w:rPr>
          <w:b/>
          <w:color w:val="000000" w:themeColor="text1"/>
          <w:sz w:val="24"/>
          <w14:textFill>
            <w14:solidFill>
              <w14:schemeClr w14:val="tx1"/>
            </w14:solidFill>
          </w14:textFill>
        </w:rPr>
        <w:t xml:space="preserve"> </w:t>
      </w:r>
    </w:p>
    <w:p w14:paraId="3FF58688">
      <w:pPr>
        <w:pStyle w:val="34"/>
        <w:rPr>
          <w:color w:val="000000" w:themeColor="text1"/>
          <w:sz w:val="24"/>
          <w14:textFill>
            <w14:solidFill>
              <w14:schemeClr w14:val="tx1"/>
            </w14:solidFill>
          </w14:textFill>
        </w:rPr>
      </w:pPr>
      <w:r>
        <w:rPr>
          <w:color w:val="000000" w:themeColor="text1"/>
          <w:sz w:val="24"/>
          <w14:textFill>
            <w14:solidFill>
              <w14:schemeClr w14:val="tx1"/>
            </w14:solidFill>
          </w14:textFill>
        </w:rPr>
        <w:t>根据现场调查结果，项目占地区域目前为</w:t>
      </w:r>
      <w:r>
        <w:rPr>
          <w:rFonts w:hint="eastAsia"/>
          <w:color w:val="000000" w:themeColor="text1"/>
          <w:sz w:val="24"/>
          <w14:textFill>
            <w14:solidFill>
              <w14:schemeClr w14:val="tx1"/>
            </w14:solidFill>
          </w14:textFill>
        </w:rPr>
        <w:t>耕地</w:t>
      </w:r>
      <w:r>
        <w:rPr>
          <w:color w:val="000000" w:themeColor="text1"/>
          <w:sz w:val="24"/>
          <w14:textFill>
            <w14:solidFill>
              <w14:schemeClr w14:val="tx1"/>
            </w14:solidFill>
          </w14:textFill>
        </w:rPr>
        <w:t>。</w:t>
      </w:r>
    </w:p>
    <w:p w14:paraId="4936EFEA">
      <w:pPr>
        <w:pStyle w:val="5"/>
        <w:adjustRightInd w:val="0"/>
        <w:snapToGrid w:val="0"/>
        <w:spacing w:before="0" w:after="0" w:line="360" w:lineRule="auto"/>
        <w:rPr>
          <w:color w:val="000000" w:themeColor="text1"/>
          <w:sz w:val="28"/>
          <w:szCs w:val="28"/>
          <w14:textFill>
            <w14:solidFill>
              <w14:schemeClr w14:val="tx1"/>
            </w14:solidFill>
          </w14:textFill>
        </w:rPr>
      </w:pPr>
      <w:bookmarkStart w:id="860" w:name="_Toc40220788"/>
      <w:bookmarkStart w:id="861" w:name="_Toc28814713"/>
      <w:bookmarkStart w:id="862" w:name="_Toc27751227"/>
      <w:bookmarkStart w:id="863" w:name="_Toc25062"/>
      <w:bookmarkStart w:id="864" w:name="_Toc230079423"/>
      <w:bookmarkStart w:id="865" w:name="_Toc233380237"/>
      <w:r>
        <w:rPr>
          <w:color w:val="000000" w:themeColor="text1"/>
          <w:sz w:val="28"/>
          <w:szCs w:val="28"/>
          <w14:textFill>
            <w14:solidFill>
              <w14:schemeClr w14:val="tx1"/>
            </w14:solidFill>
          </w14:textFill>
        </w:rPr>
        <w:t>5.7.</w:t>
      </w:r>
      <w:bookmarkEnd w:id="860"/>
      <w:bookmarkEnd w:id="861"/>
      <w:bookmarkEnd w:id="862"/>
      <w:r>
        <w:rPr>
          <w:rFonts w:hint="eastAsia"/>
          <w:color w:val="000000" w:themeColor="text1"/>
          <w:sz w:val="28"/>
          <w:szCs w:val="28"/>
          <w14:textFill>
            <w14:solidFill>
              <w14:schemeClr w14:val="tx1"/>
            </w14:solidFill>
          </w14:textFill>
        </w:rPr>
        <w:t>4</w:t>
      </w:r>
      <w:r>
        <w:rPr>
          <w:color w:val="000000" w:themeColor="text1"/>
          <w:sz w:val="28"/>
          <w:szCs w:val="28"/>
          <w14:textFill>
            <w14:solidFill>
              <w14:schemeClr w14:val="tx1"/>
            </w14:solidFill>
          </w14:textFill>
        </w:rPr>
        <w:t>环境影响分析</w:t>
      </w:r>
      <w:bookmarkEnd w:id="863"/>
      <w:bookmarkEnd w:id="864"/>
      <w:bookmarkEnd w:id="865"/>
    </w:p>
    <w:p w14:paraId="5B9EBC0C">
      <w:pPr>
        <w:pStyle w:val="3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（1）对项目所在地土壤影响分析</w:t>
      </w:r>
    </w:p>
    <w:p w14:paraId="73A1029B">
      <w:pPr>
        <w:pStyle w:val="34"/>
        <w:rPr>
          <w:color w:val="000000" w:themeColor="text1"/>
          <w:sz w:val="24"/>
          <w14:textFill>
            <w14:solidFill>
              <w14:schemeClr w14:val="tx1"/>
            </w14:solidFill>
          </w14:textFill>
        </w:rPr>
      </w:pPr>
      <w:r>
        <w:rPr>
          <w:color w:val="000000" w:themeColor="text1"/>
          <w:sz w:val="24"/>
          <w14:textFill>
            <w14:solidFill>
              <w14:schemeClr w14:val="tx1"/>
            </w14:solidFill>
          </w14:textFill>
        </w:rPr>
        <w:t>根据项目土壤环境质量现状监测结果，项目占地范围内，各监测点位各项因子均能满足标准限值，表明占地范围内土壤未受到污染。</w:t>
      </w:r>
    </w:p>
    <w:p w14:paraId="02EDE3E2">
      <w:pPr>
        <w:pStyle w:val="34"/>
        <w:rPr>
          <w:color w:val="000000" w:themeColor="text1"/>
          <w:sz w:val="24"/>
          <w14:textFill>
            <w14:solidFill>
              <w14:schemeClr w14:val="tx1"/>
            </w14:solidFill>
          </w14:textFill>
        </w:rPr>
      </w:pPr>
      <w:r>
        <w:rPr>
          <w:color w:val="000000" w:themeColor="text1"/>
          <w:sz w:val="24"/>
          <w14:textFill>
            <w14:solidFill>
              <w14:schemeClr w14:val="tx1"/>
            </w14:solidFill>
          </w14:textFill>
        </w:rPr>
        <w:t>本项目对土壤环境的影响途径主要是</w:t>
      </w:r>
      <w:r>
        <w:rPr>
          <w:rFonts w:hint="eastAsia"/>
          <w:color w:val="000000" w:themeColor="text1"/>
          <w:sz w:val="24"/>
          <w14:textFill>
            <w14:solidFill>
              <w14:schemeClr w14:val="tx1"/>
            </w14:solidFill>
          </w14:textFill>
        </w:rPr>
        <w:t>废水</w:t>
      </w:r>
      <w:r>
        <w:rPr>
          <w:color w:val="000000" w:themeColor="text1"/>
          <w:sz w:val="24"/>
          <w14:textFill>
            <w14:solidFill>
              <w14:schemeClr w14:val="tx1"/>
            </w14:solidFill>
          </w14:textFill>
        </w:rPr>
        <w:t>在事故状态下垂直入渗进入到土壤环境中从而污染土壤。本项目采取分区防渗的措施，根据项目可能泄漏至地面区域污染物的性质和生产单元的构筑方式，将评价区域划分为重点污染防治区、一般污染防治区和简单污染防渗区。可避免发生</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跑、冒、滴、漏</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现象污染土壤环境。</w:t>
      </w:r>
    </w:p>
    <w:p w14:paraId="7B4BF40B">
      <w:pPr>
        <w:pStyle w:val="34"/>
        <w:rPr>
          <w:color w:val="000000" w:themeColor="text1"/>
          <w:sz w:val="24"/>
          <w14:textFill>
            <w14:solidFill>
              <w14:schemeClr w14:val="tx1"/>
            </w14:solidFill>
          </w14:textFill>
        </w:rPr>
      </w:pPr>
      <w:r>
        <w:rPr>
          <w:color w:val="000000" w:themeColor="text1"/>
          <w:sz w:val="24"/>
          <w14:textFill>
            <w14:solidFill>
              <w14:schemeClr w14:val="tx1"/>
            </w14:solidFill>
          </w14:textFill>
        </w:rPr>
        <w:t>非正常工况指</w:t>
      </w:r>
      <w:r>
        <w:rPr>
          <w:rFonts w:hint="eastAsia"/>
          <w:color w:val="000000" w:themeColor="text1"/>
          <w:sz w:val="24"/>
          <w14:textFill>
            <w14:solidFill>
              <w14:schemeClr w14:val="tx1"/>
            </w14:solidFill>
          </w14:textFill>
        </w:rPr>
        <w:t>集水池</w:t>
      </w:r>
      <w:r>
        <w:rPr>
          <w:color w:val="000000" w:themeColor="text1"/>
          <w:sz w:val="24"/>
          <w14:textFill>
            <w14:solidFill>
              <w14:schemeClr w14:val="tx1"/>
            </w14:solidFill>
          </w14:textFill>
        </w:rPr>
        <w:t>等防渗层破裂发生泄漏，</w:t>
      </w:r>
      <w:r>
        <w:rPr>
          <w:rFonts w:hint="eastAsia"/>
          <w:color w:val="000000" w:themeColor="text1"/>
          <w:sz w:val="24"/>
          <w14:textFill>
            <w14:solidFill>
              <w14:schemeClr w14:val="tx1"/>
            </w14:solidFill>
          </w14:textFill>
        </w:rPr>
        <w:t>废水</w:t>
      </w:r>
      <w:r>
        <w:rPr>
          <w:color w:val="000000" w:themeColor="text1"/>
          <w:sz w:val="24"/>
          <w14:textFill>
            <w14:solidFill>
              <w14:schemeClr w14:val="tx1"/>
            </w14:solidFill>
          </w14:textFill>
        </w:rPr>
        <w:t>从破裂处进入土壤，从而污染物进入土壤环境中污染土壤</w:t>
      </w:r>
      <w:r>
        <w:rPr>
          <w:rFonts w:hint="eastAsia"/>
          <w:color w:val="000000" w:themeColor="text1"/>
          <w:sz w:val="24"/>
          <w14:textFill>
            <w14:solidFill>
              <w14:schemeClr w14:val="tx1"/>
            </w14:solidFill>
          </w14:textFill>
        </w:rPr>
        <w:t>。</w:t>
      </w:r>
    </w:p>
    <w:p w14:paraId="2BDE4AE0">
      <w:pPr>
        <w:pStyle w:val="34"/>
        <w:rPr>
          <w:rFonts w:ascii="宋体" w:hAnsi="宋体" w:cs="宋体"/>
          <w:color w:val="000000" w:themeColor="text1"/>
          <w:kern w:val="0"/>
          <w:sz w:val="24"/>
          <w:lang w:bidi="ar"/>
          <w14:textFill>
            <w14:solidFill>
              <w14:schemeClr w14:val="tx1"/>
            </w14:solidFill>
          </w14:textFill>
        </w:rPr>
      </w:pPr>
      <w:r>
        <w:rPr>
          <w:rFonts w:hint="eastAsia"/>
          <w:color w:val="000000" w:themeColor="text1"/>
          <w:sz w:val="24"/>
          <w14:textFill>
            <w14:solidFill>
              <w14:schemeClr w14:val="tx1"/>
            </w14:solidFill>
          </w14:textFill>
        </w:rPr>
        <w:t>本项目废水主要为生活污水，废水含有</w:t>
      </w:r>
      <w:r>
        <w:rPr>
          <w:color w:val="000000" w:themeColor="text1"/>
          <w:sz w:val="24"/>
          <w14:textFill>
            <w14:solidFill>
              <w14:schemeClr w14:val="tx1"/>
            </w14:solidFill>
          </w14:textFill>
        </w:rPr>
        <w:t>COD</w:t>
      </w:r>
      <w:r>
        <w:rPr>
          <w:rFonts w:hint="eastAsia"/>
          <w:color w:val="000000" w:themeColor="text1"/>
          <w:sz w:val="24"/>
          <w14:textFill>
            <w14:solidFill>
              <w14:schemeClr w14:val="tx1"/>
            </w14:solidFill>
          </w14:textFill>
        </w:rPr>
        <w:t>、氨氮、总氮、总磷等污染物，不含有毒有害物质，事故排放情况下废水所含污染物浓度过高，会造成土壤透气、透水性下降和板结，影响土壤质量，长期积</w:t>
      </w:r>
      <w:r>
        <w:rPr>
          <w:rFonts w:hint="eastAsia" w:ascii="宋体" w:hAnsi="宋体" w:cs="宋体"/>
          <w:color w:val="000000" w:themeColor="text1"/>
          <w:kern w:val="0"/>
          <w:sz w:val="24"/>
          <w:lang w:bidi="ar"/>
          <w14:textFill>
            <w14:solidFill>
              <w14:schemeClr w14:val="tx1"/>
            </w14:solidFill>
          </w14:textFill>
        </w:rPr>
        <w:t>累，可能会导致土壤降解消纳能力退减，其污染对周围环境的破坏与影响将逐步显现。</w:t>
      </w:r>
    </w:p>
    <w:p w14:paraId="2193A35C">
      <w:pPr>
        <w:pStyle w:val="5"/>
        <w:adjustRightInd w:val="0"/>
        <w:snapToGrid w:val="0"/>
        <w:spacing w:before="0" w:after="0" w:line="360" w:lineRule="auto"/>
        <w:rPr>
          <w:color w:val="000000" w:themeColor="text1"/>
          <w:sz w:val="28"/>
          <w:szCs w:val="28"/>
          <w14:textFill>
            <w14:solidFill>
              <w14:schemeClr w14:val="tx1"/>
            </w14:solidFill>
          </w14:textFill>
        </w:rPr>
      </w:pPr>
      <w:bookmarkStart w:id="866" w:name="_Toc28814711"/>
      <w:bookmarkStart w:id="867" w:name="_Toc27751225"/>
      <w:bookmarkStart w:id="868" w:name="_Toc40220786"/>
      <w:bookmarkStart w:id="869" w:name="_Toc15981"/>
      <w:bookmarkStart w:id="870" w:name="_Toc230079424"/>
      <w:bookmarkStart w:id="871" w:name="_Toc233380238"/>
      <w:r>
        <w:rPr>
          <w:color w:val="000000" w:themeColor="text1"/>
          <w:sz w:val="28"/>
          <w:szCs w:val="28"/>
          <w14:textFill>
            <w14:solidFill>
              <w14:schemeClr w14:val="tx1"/>
            </w14:solidFill>
          </w14:textFill>
        </w:rPr>
        <w:t>5.7.</w:t>
      </w:r>
      <w:r>
        <w:rPr>
          <w:rFonts w:hint="eastAsia"/>
          <w:color w:val="000000" w:themeColor="text1"/>
          <w:sz w:val="28"/>
          <w:szCs w:val="28"/>
          <w14:textFill>
            <w14:solidFill>
              <w14:schemeClr w14:val="tx1"/>
            </w14:solidFill>
          </w14:textFill>
        </w:rPr>
        <w:t>5</w:t>
      </w:r>
      <w:bookmarkEnd w:id="866"/>
      <w:bookmarkEnd w:id="867"/>
      <w:bookmarkEnd w:id="868"/>
      <w:r>
        <w:rPr>
          <w:color w:val="000000" w:themeColor="text1"/>
          <w:sz w:val="28"/>
          <w:szCs w:val="28"/>
          <w14:textFill>
            <w14:solidFill>
              <w14:schemeClr w14:val="tx1"/>
            </w14:solidFill>
          </w14:textFill>
        </w:rPr>
        <w:t>防治措施</w:t>
      </w:r>
      <w:bookmarkEnd w:id="869"/>
      <w:bookmarkEnd w:id="870"/>
      <w:bookmarkEnd w:id="871"/>
    </w:p>
    <w:p w14:paraId="37EEBDCA">
      <w:pPr>
        <w:pStyle w:val="34"/>
        <w:rPr>
          <w:color w:val="000000" w:themeColor="text1"/>
          <w:sz w:val="24"/>
          <w14:textFill>
            <w14:solidFill>
              <w14:schemeClr w14:val="tx1"/>
            </w14:solidFill>
          </w14:textFill>
        </w:rPr>
      </w:pPr>
      <w:r>
        <w:rPr>
          <w:color w:val="000000" w:themeColor="text1"/>
          <w:sz w:val="24"/>
          <w14:textFill>
            <w14:solidFill>
              <w14:schemeClr w14:val="tx1"/>
            </w14:solidFill>
          </w14:textFill>
        </w:rPr>
        <w:t>项目土壤污染防治措施按照</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源头控制、过程防控、跟踪监测、应急响应</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相结合的原则，从污染物的产生、运移、扩散、应急响应全阶段进行控制。项目主要</w:t>
      </w:r>
      <w:r>
        <w:rPr>
          <w:rFonts w:hint="eastAsia"/>
          <w:color w:val="000000" w:themeColor="text1"/>
          <w:sz w:val="24"/>
          <w14:textFill>
            <w14:solidFill>
              <w14:schemeClr w14:val="tx1"/>
            </w14:solidFill>
          </w14:textFill>
        </w:rPr>
        <w:t>土壤污染防治</w:t>
      </w:r>
      <w:r>
        <w:rPr>
          <w:color w:val="000000" w:themeColor="text1"/>
          <w:sz w:val="24"/>
          <w14:textFill>
            <w14:solidFill>
              <w14:schemeClr w14:val="tx1"/>
            </w14:solidFill>
          </w14:textFill>
        </w:rPr>
        <w:t>措施包括源头控制措施及过程控制措施，具体见表。</w:t>
      </w:r>
    </w:p>
    <w:p w14:paraId="5CF3BF27">
      <w:pPr>
        <w:pStyle w:val="34"/>
        <w:ind w:firstLine="422"/>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w:t>
      </w:r>
      <w:r>
        <w:rPr>
          <w:rFonts w:hint="eastAsia"/>
          <w:b/>
          <w:bCs/>
          <w:color w:val="000000" w:themeColor="text1"/>
          <w:szCs w:val="21"/>
          <w14:textFill>
            <w14:solidFill>
              <w14:schemeClr w14:val="tx1"/>
            </w14:solidFill>
          </w14:textFill>
        </w:rPr>
        <w:t>5.7-3</w:t>
      </w:r>
      <w:r>
        <w:rPr>
          <w:b/>
          <w:bCs/>
          <w:color w:val="000000" w:themeColor="text1"/>
          <w:szCs w:val="21"/>
          <w14:textFill>
            <w14:solidFill>
              <w14:schemeClr w14:val="tx1"/>
            </w14:solidFill>
          </w14:textFill>
        </w:rPr>
        <w:t xml:space="preserve"> </w:t>
      </w:r>
      <w:r>
        <w:rPr>
          <w:rFonts w:hint="eastAsia"/>
          <w:b/>
          <w:bCs/>
          <w:color w:val="000000" w:themeColor="text1"/>
          <w:szCs w:val="21"/>
          <w14:textFill>
            <w14:solidFill>
              <w14:schemeClr w14:val="tx1"/>
            </w14:solidFill>
          </w14:textFill>
        </w:rPr>
        <w:t>土壤污染防治</w:t>
      </w:r>
      <w:r>
        <w:rPr>
          <w:b/>
          <w:bCs/>
          <w:color w:val="000000" w:themeColor="text1"/>
          <w:szCs w:val="21"/>
          <w14:textFill>
            <w14:solidFill>
              <w14:schemeClr w14:val="tx1"/>
            </w14:solidFill>
          </w14:textFill>
        </w:rPr>
        <w:t>措施一览表</w:t>
      </w:r>
    </w:p>
    <w:tbl>
      <w:tblPr>
        <w:tblStyle w:val="88"/>
        <w:tblW w:w="5303" w:type="pct"/>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0"/>
        <w:gridCol w:w="1767"/>
        <w:gridCol w:w="2308"/>
        <w:gridCol w:w="3911"/>
      </w:tblGrid>
      <w:tr w14:paraId="497E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66" w:type="pct"/>
            <w:tcBorders>
              <w:top w:val="single" w:color="auto" w:sz="12" w:space="0"/>
              <w:left w:val="nil"/>
            </w:tcBorders>
            <w:vAlign w:val="center"/>
          </w:tcPr>
          <w:p w14:paraId="0DF93408">
            <w:pPr>
              <w:pStyle w:val="1744"/>
              <w:adjustRightInd w:val="0"/>
              <w:snapToGrid w:val="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污染类型</w:t>
            </w:r>
          </w:p>
        </w:tc>
        <w:tc>
          <w:tcPr>
            <w:tcW w:w="1003" w:type="pct"/>
            <w:tcBorders>
              <w:top w:val="single" w:color="auto" w:sz="12" w:space="0"/>
            </w:tcBorders>
            <w:vAlign w:val="center"/>
          </w:tcPr>
          <w:p w14:paraId="2C4DC9DC">
            <w:pPr>
              <w:pStyle w:val="1744"/>
              <w:adjustRightInd w:val="0"/>
              <w:snapToGrid w:val="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防治区域</w:t>
            </w:r>
          </w:p>
        </w:tc>
        <w:tc>
          <w:tcPr>
            <w:tcW w:w="1310" w:type="pct"/>
            <w:tcBorders>
              <w:top w:val="single" w:color="auto" w:sz="12" w:space="0"/>
              <w:right w:val="nil"/>
            </w:tcBorders>
            <w:vAlign w:val="center"/>
          </w:tcPr>
          <w:p w14:paraId="3F45C42E">
            <w:pPr>
              <w:pStyle w:val="1744"/>
              <w:adjustRightInd w:val="0"/>
              <w:snapToGrid w:val="0"/>
              <w:jc w:val="center"/>
              <w:rPr>
                <w:rFonts w:ascii="Times New Roman" w:hAnsi="Times New Roman" w:cs="Times New Roman"/>
                <w:b/>
                <w:bCs/>
                <w:color w:val="000000" w:themeColor="text1"/>
                <w:sz w:val="21"/>
                <w:szCs w:val="21"/>
                <w14:textFill>
                  <w14:solidFill>
                    <w14:schemeClr w14:val="tx1"/>
                  </w14:solidFill>
                </w14:textFill>
              </w:rPr>
            </w:pPr>
            <w:r>
              <w:rPr>
                <w:rFonts w:ascii="Times New Roman" w:hAnsi="Times New Roman" w:cs="Times New Roman"/>
                <w:b/>
                <w:bCs/>
                <w:color w:val="000000" w:themeColor="text1"/>
                <w:sz w:val="21"/>
                <w:szCs w:val="21"/>
                <w14:textFill>
                  <w14:solidFill>
                    <w14:schemeClr w14:val="tx1"/>
                  </w14:solidFill>
                </w14:textFill>
              </w:rPr>
              <w:t>防渗技术要求</w:t>
            </w:r>
          </w:p>
        </w:tc>
        <w:tc>
          <w:tcPr>
            <w:tcW w:w="2220" w:type="pct"/>
            <w:tcBorders>
              <w:top w:val="single" w:color="auto" w:sz="12" w:space="0"/>
              <w:right w:val="nil"/>
            </w:tcBorders>
            <w:vAlign w:val="center"/>
          </w:tcPr>
          <w:p w14:paraId="7283E895">
            <w:pPr>
              <w:pStyle w:val="1744"/>
              <w:adjustRightInd w:val="0"/>
              <w:snapToGrid w:val="0"/>
              <w:jc w:val="center"/>
              <w:rPr>
                <w:rFonts w:ascii="Times New Roman" w:hAnsi="Times New Roman" w:cs="Times New Roman"/>
                <w:b/>
                <w:bCs/>
                <w:color w:val="000000" w:themeColor="text1"/>
                <w:sz w:val="21"/>
                <w:szCs w:val="21"/>
                <w14:textFill>
                  <w14:solidFill>
                    <w14:schemeClr w14:val="tx1"/>
                  </w14:solidFill>
                </w14:textFill>
              </w:rPr>
            </w:pPr>
            <w:r>
              <w:rPr>
                <w:rFonts w:hint="eastAsia" w:cs="Times New Roman"/>
                <w:b/>
                <w:bCs/>
                <w:color w:val="000000" w:themeColor="text1"/>
                <w:sz w:val="21"/>
                <w:szCs w:val="21"/>
                <w:lang w:val="en-US"/>
                <w14:textFill>
                  <w14:solidFill>
                    <w14:schemeClr w14:val="tx1"/>
                  </w14:solidFill>
                </w14:textFill>
              </w:rPr>
              <w:t>防渗措施</w:t>
            </w:r>
          </w:p>
        </w:tc>
      </w:tr>
      <w:tr w14:paraId="03E5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trPr>
        <w:tc>
          <w:tcPr>
            <w:tcW w:w="466" w:type="pct"/>
            <w:vMerge w:val="restart"/>
            <w:tcBorders>
              <w:left w:val="nil"/>
            </w:tcBorders>
            <w:vAlign w:val="center"/>
          </w:tcPr>
          <w:p w14:paraId="171E1333">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重点防渗区</w:t>
            </w:r>
          </w:p>
        </w:tc>
        <w:tc>
          <w:tcPr>
            <w:tcW w:w="1003" w:type="pct"/>
            <w:vAlign w:val="center"/>
          </w:tcPr>
          <w:p w14:paraId="77D35541">
            <w:pPr>
              <w:adjustRightInd w:val="0"/>
              <w:snapToGrid w:val="0"/>
              <w:jc w:val="center"/>
              <w:rPr>
                <w:bCs/>
                <w:color w:val="EE0000"/>
                <w:szCs w:val="21"/>
              </w:rPr>
            </w:pPr>
            <w:r>
              <w:rPr>
                <w:rFonts w:hint="eastAsia" w:ascii="宋体" w:hAnsi="宋体" w:cs="宋体"/>
                <w:color w:val="EE0000"/>
                <w:spacing w:val="-2"/>
                <w:szCs w:val="21"/>
              </w:rPr>
              <w:t>医疗废物暂存</w:t>
            </w:r>
          </w:p>
        </w:tc>
        <w:tc>
          <w:tcPr>
            <w:tcW w:w="1310" w:type="pct"/>
            <w:tcBorders>
              <w:right w:val="nil"/>
            </w:tcBorders>
            <w:vAlign w:val="center"/>
          </w:tcPr>
          <w:p w14:paraId="017A94A1">
            <w:pPr>
              <w:pStyle w:val="1233"/>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防渗层为至少1m厚黏土层（渗透系数不大于10</w:t>
            </w:r>
            <w:r>
              <w:rPr>
                <w:color w:val="000000" w:themeColor="text1"/>
                <w:sz w:val="21"/>
                <w:szCs w:val="21"/>
                <w:vertAlign w:val="superscript"/>
                <w14:textFill>
                  <w14:solidFill>
                    <w14:schemeClr w14:val="tx1"/>
                  </w14:solidFill>
                </w14:textFill>
              </w:rPr>
              <w:t>-7</w:t>
            </w:r>
            <w:r>
              <w:rPr>
                <w:color w:val="000000" w:themeColor="text1"/>
                <w:sz w:val="21"/>
                <w:szCs w:val="21"/>
                <w14:textFill>
                  <w14:solidFill>
                    <w14:schemeClr w14:val="tx1"/>
                  </w14:solidFill>
                </w14:textFill>
              </w:rPr>
              <w:t xml:space="preserve"> cm/s），或至少2 mm 厚高密度聚乙烯膜等人工防渗材料（渗透系数不大于10</w:t>
            </w:r>
            <w:r>
              <w:rPr>
                <w:color w:val="000000" w:themeColor="text1"/>
                <w:sz w:val="21"/>
                <w:szCs w:val="21"/>
                <w:vertAlign w:val="superscript"/>
                <w14:textFill>
                  <w14:solidFill>
                    <w14:schemeClr w14:val="tx1"/>
                  </w14:solidFill>
                </w14:textFill>
              </w:rPr>
              <w:t>-10</w:t>
            </w:r>
            <w:r>
              <w:rPr>
                <w:color w:val="000000" w:themeColor="text1"/>
                <w:sz w:val="21"/>
                <w:szCs w:val="21"/>
                <w14:textFill>
                  <w14:solidFill>
                    <w14:schemeClr w14:val="tx1"/>
                  </w14:solidFill>
                </w14:textFill>
              </w:rPr>
              <w:t xml:space="preserve"> cm/s）</w:t>
            </w:r>
          </w:p>
        </w:tc>
        <w:tc>
          <w:tcPr>
            <w:tcW w:w="2220" w:type="pct"/>
            <w:tcBorders>
              <w:right w:val="nil"/>
            </w:tcBorders>
            <w:vAlign w:val="center"/>
          </w:tcPr>
          <w:p w14:paraId="56A49B43">
            <w:pPr>
              <w:pStyle w:val="1233"/>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地面及四周</w:t>
            </w:r>
            <w:r>
              <w:rPr>
                <w:color w:val="000000" w:themeColor="text1"/>
                <w:sz w:val="21"/>
                <w:szCs w:val="21"/>
                <w14:textFill>
                  <w14:solidFill>
                    <w14:schemeClr w14:val="tx1"/>
                  </w14:solidFill>
                </w14:textFill>
              </w:rPr>
              <w:t>1m</w:t>
            </w:r>
            <w:r>
              <w:rPr>
                <w:rFonts w:hint="eastAsia"/>
                <w:color w:val="000000" w:themeColor="text1"/>
                <w:sz w:val="21"/>
                <w:szCs w:val="21"/>
                <w14:textFill>
                  <w14:solidFill>
                    <w14:schemeClr w14:val="tx1"/>
                  </w14:solidFill>
                </w14:textFill>
              </w:rPr>
              <w:t>高的墙裙必须做防渗处理，采取“夯实土层</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混凝土垫层</w:t>
            </w:r>
            <w:r>
              <w:rPr>
                <w:color w:val="000000" w:themeColor="text1"/>
                <w:sz w:val="21"/>
                <w:szCs w:val="21"/>
                <w14:textFill>
                  <w14:solidFill>
                    <w14:schemeClr w14:val="tx1"/>
                  </w14:solidFill>
                </w14:textFill>
              </w:rPr>
              <w:t>+2mmHDPE</w:t>
            </w:r>
            <w:r>
              <w:rPr>
                <w:rFonts w:hint="eastAsia"/>
                <w:color w:val="000000" w:themeColor="text1"/>
                <w:sz w:val="21"/>
                <w:szCs w:val="21"/>
                <w14:textFill>
                  <w14:solidFill>
                    <w14:schemeClr w14:val="tx1"/>
                  </w14:solidFill>
                </w14:textFill>
              </w:rPr>
              <w:t>膜</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混凝土地面”的防渗措施，从下往上依次是</w:t>
            </w:r>
            <w:r>
              <w:rPr>
                <w:color w:val="000000" w:themeColor="text1"/>
                <w:sz w:val="21"/>
                <w:szCs w:val="21"/>
                <w14:textFill>
                  <w14:solidFill>
                    <w14:schemeClr w14:val="tx1"/>
                  </w14:solidFill>
                </w14:textFill>
              </w:rPr>
              <w:t>100cm</w:t>
            </w:r>
            <w:r>
              <w:rPr>
                <w:rFonts w:hint="eastAsia"/>
                <w:color w:val="000000" w:themeColor="text1"/>
                <w:sz w:val="21"/>
                <w:szCs w:val="21"/>
                <w14:textFill>
                  <w14:solidFill>
                    <w14:schemeClr w14:val="tx1"/>
                  </w14:solidFill>
                </w14:textFill>
              </w:rPr>
              <w:t>夯实土层、</w:t>
            </w:r>
            <w:r>
              <w:rPr>
                <w:color w:val="000000" w:themeColor="text1"/>
                <w:sz w:val="21"/>
                <w:szCs w:val="21"/>
                <w14:textFill>
                  <w14:solidFill>
                    <w14:schemeClr w14:val="tx1"/>
                  </w14:solidFill>
                </w14:textFill>
              </w:rPr>
              <w:t>15cm</w:t>
            </w:r>
            <w:r>
              <w:rPr>
                <w:rFonts w:hint="eastAsia"/>
                <w:color w:val="000000" w:themeColor="text1"/>
                <w:sz w:val="21"/>
                <w:szCs w:val="21"/>
                <w14:textFill>
                  <w14:solidFill>
                    <w14:schemeClr w14:val="tx1"/>
                  </w14:solidFill>
                </w14:textFill>
              </w:rPr>
              <w:t>厚混凝土垫层、</w:t>
            </w:r>
            <w:r>
              <w:rPr>
                <w:color w:val="000000" w:themeColor="text1"/>
                <w:sz w:val="21"/>
                <w:szCs w:val="21"/>
                <w14:textFill>
                  <w14:solidFill>
                    <w14:schemeClr w14:val="tx1"/>
                  </w14:solidFill>
                </w14:textFill>
              </w:rPr>
              <w:t>2mm</w:t>
            </w:r>
            <w:r>
              <w:rPr>
                <w:rFonts w:hint="eastAsia"/>
                <w:color w:val="000000" w:themeColor="text1"/>
                <w:sz w:val="21"/>
                <w:szCs w:val="21"/>
                <w14:textFill>
                  <w14:solidFill>
                    <w14:schemeClr w14:val="tx1"/>
                  </w14:solidFill>
                </w14:textFill>
              </w:rPr>
              <w:t>厚</w:t>
            </w:r>
            <w:r>
              <w:rPr>
                <w:color w:val="000000" w:themeColor="text1"/>
                <w:sz w:val="21"/>
                <w:szCs w:val="21"/>
                <w14:textFill>
                  <w14:solidFill>
                    <w14:schemeClr w14:val="tx1"/>
                  </w14:solidFill>
                </w14:textFill>
              </w:rPr>
              <w:t>HDPE</w:t>
            </w:r>
            <w:r>
              <w:rPr>
                <w:rFonts w:hint="eastAsia"/>
                <w:color w:val="000000" w:themeColor="text1"/>
                <w:sz w:val="21"/>
                <w:szCs w:val="21"/>
                <w14:textFill>
                  <w14:solidFill>
                    <w14:schemeClr w14:val="tx1"/>
                  </w14:solidFill>
                </w14:textFill>
              </w:rPr>
              <w:t>防渗膜、</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厚混凝土地面，地面预留伸缩缝（深度不得超过</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w:t>
            </w:r>
          </w:p>
        </w:tc>
      </w:tr>
      <w:tr w14:paraId="4263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trPr>
        <w:tc>
          <w:tcPr>
            <w:tcW w:w="466" w:type="pct"/>
            <w:vMerge w:val="continue"/>
            <w:tcBorders>
              <w:left w:val="nil"/>
            </w:tcBorders>
            <w:vAlign w:val="center"/>
          </w:tcPr>
          <w:p w14:paraId="09A47777">
            <w:pPr>
              <w:pStyle w:val="1233"/>
              <w:spacing w:line="240" w:lineRule="auto"/>
              <w:rPr>
                <w:color w:val="000000" w:themeColor="text1"/>
                <w14:textFill>
                  <w14:solidFill>
                    <w14:schemeClr w14:val="tx1"/>
                  </w14:solidFill>
                </w14:textFill>
              </w:rPr>
            </w:pPr>
          </w:p>
        </w:tc>
        <w:tc>
          <w:tcPr>
            <w:tcW w:w="1003" w:type="pct"/>
            <w:vAlign w:val="center"/>
          </w:tcPr>
          <w:p w14:paraId="0587C090">
            <w:pPr>
              <w:adjustRightInd w:val="0"/>
              <w:snapToGrid w:val="0"/>
              <w:jc w:val="center"/>
              <w:rPr>
                <w:rFonts w:ascii="宋体" w:hAnsi="宋体" w:cs="宋体"/>
                <w:color w:val="EE0000"/>
                <w:spacing w:val="-2"/>
                <w:szCs w:val="21"/>
              </w:rPr>
            </w:pPr>
            <w:r>
              <w:rPr>
                <w:rFonts w:hint="eastAsia" w:ascii="宋体" w:hAnsi="宋体" w:cs="宋体"/>
                <w:color w:val="EE0000"/>
                <w:spacing w:val="-2"/>
                <w:szCs w:val="21"/>
              </w:rPr>
              <w:t>药品库、柴油发电机房、集水池、隔油池</w:t>
            </w:r>
          </w:p>
        </w:tc>
        <w:tc>
          <w:tcPr>
            <w:tcW w:w="1310" w:type="pct"/>
            <w:tcBorders>
              <w:right w:val="nil"/>
            </w:tcBorders>
            <w:vAlign w:val="center"/>
          </w:tcPr>
          <w:p w14:paraId="43F30DDC">
            <w:pPr>
              <w:pStyle w:val="1233"/>
              <w:spacing w:line="240" w:lineRule="auto"/>
              <w:rPr>
                <w:rFonts w:ascii="宋体" w:hAnsi="宋体" w:cs="宋体"/>
                <w:color w:val="000000" w:themeColor="text1"/>
                <w:spacing w:val="-2"/>
                <w:sz w:val="21"/>
                <w:szCs w:val="21"/>
                <w14:textFill>
                  <w14:solidFill>
                    <w14:schemeClr w14:val="tx1"/>
                  </w14:solidFill>
                </w14:textFill>
              </w:rPr>
            </w:pPr>
            <w:r>
              <w:rPr>
                <w:bCs/>
                <w:color w:val="000000" w:themeColor="text1"/>
                <w:kern w:val="2"/>
                <w:sz w:val="21"/>
                <w:szCs w:val="21"/>
                <w14:textFill>
                  <w14:solidFill>
                    <w14:schemeClr w14:val="tx1"/>
                  </w14:solidFill>
                </w14:textFill>
              </w:rPr>
              <w:t>等效黏土防渗层Mb≥6.0m，</w:t>
            </w:r>
            <w:r>
              <w:rPr>
                <w:bCs/>
                <w:color w:val="000000" w:themeColor="text1"/>
                <w:sz w:val="21"/>
                <w:szCs w:val="21"/>
                <w14:textFill>
                  <w14:solidFill>
                    <w14:schemeClr w14:val="tx1"/>
                  </w14:solidFill>
                </w14:textFill>
              </w:rPr>
              <w:t>渗透系数</w:t>
            </w:r>
            <w:r>
              <w:rPr>
                <w:bCs/>
                <w:color w:val="000000" w:themeColor="text1"/>
                <w:kern w:val="2"/>
                <w:sz w:val="21"/>
                <w:szCs w:val="21"/>
                <w14:textFill>
                  <w14:solidFill>
                    <w14:schemeClr w14:val="tx1"/>
                  </w14:solidFill>
                </w14:textFill>
              </w:rPr>
              <w:t>K≤1.0×10</w:t>
            </w:r>
            <w:r>
              <w:rPr>
                <w:bCs/>
                <w:color w:val="000000" w:themeColor="text1"/>
                <w:kern w:val="2"/>
                <w:sz w:val="21"/>
                <w:szCs w:val="21"/>
                <w:vertAlign w:val="superscript"/>
                <w14:textFill>
                  <w14:solidFill>
                    <w14:schemeClr w14:val="tx1"/>
                  </w14:solidFill>
                </w14:textFill>
              </w:rPr>
              <w:t>-7</w:t>
            </w:r>
            <w:r>
              <w:rPr>
                <w:bCs/>
                <w:color w:val="000000" w:themeColor="text1"/>
                <w:kern w:val="2"/>
                <w:sz w:val="21"/>
                <w:szCs w:val="21"/>
                <w14:textFill>
                  <w14:solidFill>
                    <w14:schemeClr w14:val="tx1"/>
                  </w14:solidFill>
                </w14:textFill>
              </w:rPr>
              <w:t>cm/s</w:t>
            </w:r>
          </w:p>
        </w:tc>
        <w:tc>
          <w:tcPr>
            <w:tcW w:w="2220" w:type="pct"/>
            <w:tcBorders>
              <w:right w:val="nil"/>
            </w:tcBorders>
            <w:vAlign w:val="center"/>
          </w:tcPr>
          <w:p w14:paraId="5E677794">
            <w:pPr>
              <w:pStyle w:val="1233"/>
              <w:spacing w:line="240" w:lineRule="auto"/>
              <w:rPr>
                <w:bCs/>
                <w:color w:val="000000" w:themeColor="text1"/>
                <w:kern w:val="2"/>
                <w:sz w:val="21"/>
                <w:szCs w:val="21"/>
                <w14:textFill>
                  <w14:solidFill>
                    <w14:schemeClr w14:val="tx1"/>
                  </w14:solidFill>
                </w14:textFill>
              </w:rPr>
            </w:pPr>
            <w:r>
              <w:rPr>
                <w:rFonts w:hint="eastAsia"/>
                <w:color w:val="000000" w:themeColor="text1"/>
                <w:sz w:val="21"/>
                <w:szCs w:val="21"/>
                <w14:textFill>
                  <w14:solidFill>
                    <w14:schemeClr w14:val="tx1"/>
                  </w14:solidFill>
                </w14:textFill>
              </w:rPr>
              <w:t>地面及四周</w:t>
            </w:r>
            <w:r>
              <w:rPr>
                <w:color w:val="000000" w:themeColor="text1"/>
                <w:sz w:val="21"/>
                <w:szCs w:val="21"/>
                <w14:textFill>
                  <w14:solidFill>
                    <w14:schemeClr w14:val="tx1"/>
                  </w14:solidFill>
                </w14:textFill>
              </w:rPr>
              <w:t>1m</w:t>
            </w:r>
            <w:r>
              <w:rPr>
                <w:rFonts w:hint="eastAsia"/>
                <w:color w:val="000000" w:themeColor="text1"/>
                <w:sz w:val="21"/>
                <w:szCs w:val="21"/>
                <w14:textFill>
                  <w14:solidFill>
                    <w14:schemeClr w14:val="tx1"/>
                  </w14:solidFill>
                </w14:textFill>
              </w:rPr>
              <w:t>高的墙裙必须做防渗处理，采取“夯实土层</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混凝土垫层</w:t>
            </w:r>
            <w:r>
              <w:rPr>
                <w:color w:val="000000" w:themeColor="text1"/>
                <w:sz w:val="21"/>
                <w:szCs w:val="21"/>
                <w14:textFill>
                  <w14:solidFill>
                    <w14:schemeClr w14:val="tx1"/>
                  </w14:solidFill>
                </w14:textFill>
              </w:rPr>
              <w:t>+2mmHDPE</w:t>
            </w:r>
            <w:r>
              <w:rPr>
                <w:rFonts w:hint="eastAsia"/>
                <w:color w:val="000000" w:themeColor="text1"/>
                <w:sz w:val="21"/>
                <w:szCs w:val="21"/>
                <w14:textFill>
                  <w14:solidFill>
                    <w14:schemeClr w14:val="tx1"/>
                  </w14:solidFill>
                </w14:textFill>
              </w:rPr>
              <w:t>膜</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混凝土地面</w:t>
            </w:r>
            <w:r>
              <w:rPr>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的防渗措施，从下往上依次是</w:t>
            </w:r>
            <w:r>
              <w:rPr>
                <w:color w:val="000000" w:themeColor="text1"/>
                <w:sz w:val="21"/>
                <w:szCs w:val="21"/>
                <w14:textFill>
                  <w14:solidFill>
                    <w14:schemeClr w14:val="tx1"/>
                  </w14:solidFill>
                </w14:textFill>
              </w:rPr>
              <w:t>100cm</w:t>
            </w:r>
            <w:r>
              <w:rPr>
                <w:rFonts w:hint="eastAsia"/>
                <w:color w:val="000000" w:themeColor="text1"/>
                <w:sz w:val="21"/>
                <w:szCs w:val="21"/>
                <w14:textFill>
                  <w14:solidFill>
                    <w14:schemeClr w14:val="tx1"/>
                  </w14:solidFill>
                </w14:textFill>
              </w:rPr>
              <w:t>夯实土层、</w:t>
            </w:r>
            <w:r>
              <w:rPr>
                <w:color w:val="000000" w:themeColor="text1"/>
                <w:sz w:val="21"/>
                <w:szCs w:val="21"/>
                <w14:textFill>
                  <w14:solidFill>
                    <w14:schemeClr w14:val="tx1"/>
                  </w14:solidFill>
                </w14:textFill>
              </w:rPr>
              <w:t>15cm</w:t>
            </w:r>
            <w:r>
              <w:rPr>
                <w:rFonts w:hint="eastAsia"/>
                <w:color w:val="000000" w:themeColor="text1"/>
                <w:sz w:val="21"/>
                <w:szCs w:val="21"/>
                <w14:textFill>
                  <w14:solidFill>
                    <w14:schemeClr w14:val="tx1"/>
                  </w14:solidFill>
                </w14:textFill>
              </w:rPr>
              <w:t>厚混凝土垫层、</w:t>
            </w:r>
            <w:r>
              <w:rPr>
                <w:color w:val="000000" w:themeColor="text1"/>
                <w:sz w:val="21"/>
                <w:szCs w:val="21"/>
                <w14:textFill>
                  <w14:solidFill>
                    <w14:schemeClr w14:val="tx1"/>
                  </w14:solidFill>
                </w14:textFill>
              </w:rPr>
              <w:t>2mm</w:t>
            </w:r>
            <w:r>
              <w:rPr>
                <w:rFonts w:hint="eastAsia"/>
                <w:color w:val="000000" w:themeColor="text1"/>
                <w:sz w:val="21"/>
                <w:szCs w:val="21"/>
                <w14:textFill>
                  <w14:solidFill>
                    <w14:schemeClr w14:val="tx1"/>
                  </w14:solidFill>
                </w14:textFill>
              </w:rPr>
              <w:t>厚</w:t>
            </w:r>
            <w:r>
              <w:rPr>
                <w:color w:val="000000" w:themeColor="text1"/>
                <w:sz w:val="21"/>
                <w:szCs w:val="21"/>
                <w14:textFill>
                  <w14:solidFill>
                    <w14:schemeClr w14:val="tx1"/>
                  </w14:solidFill>
                </w14:textFill>
              </w:rPr>
              <w:t>HDPE</w:t>
            </w:r>
            <w:r>
              <w:rPr>
                <w:rFonts w:hint="eastAsia"/>
                <w:color w:val="000000" w:themeColor="text1"/>
                <w:sz w:val="21"/>
                <w:szCs w:val="21"/>
                <w14:textFill>
                  <w14:solidFill>
                    <w14:schemeClr w14:val="tx1"/>
                  </w14:solidFill>
                </w14:textFill>
              </w:rPr>
              <w:t>防渗膜、</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厚混凝土地面，地面预留伸缩缝（深度不得超过</w:t>
            </w:r>
            <w:r>
              <w:rPr>
                <w:color w:val="000000" w:themeColor="text1"/>
                <w:sz w:val="21"/>
                <w:szCs w:val="21"/>
                <w14:textFill>
                  <w14:solidFill>
                    <w14:schemeClr w14:val="tx1"/>
                  </w14:solidFill>
                </w14:textFill>
              </w:rPr>
              <w:t>20cm</w:t>
            </w:r>
            <w:r>
              <w:rPr>
                <w:rFonts w:hint="eastAsia"/>
                <w:color w:val="000000" w:themeColor="text1"/>
                <w:sz w:val="21"/>
                <w:szCs w:val="21"/>
                <w14:textFill>
                  <w14:solidFill>
                    <w14:schemeClr w14:val="tx1"/>
                  </w14:solidFill>
                </w14:textFill>
              </w:rPr>
              <w:t>）。</w:t>
            </w:r>
          </w:p>
        </w:tc>
      </w:tr>
      <w:tr w14:paraId="1913D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66" w:type="pct"/>
            <w:tcBorders>
              <w:left w:val="nil"/>
            </w:tcBorders>
            <w:vAlign w:val="center"/>
          </w:tcPr>
          <w:p w14:paraId="76A592F7">
            <w:pPr>
              <w:pStyle w:val="1744"/>
              <w:adjustRightInd w:val="0"/>
              <w:snapToGrid w:val="0"/>
              <w:jc w:val="center"/>
              <w:rPr>
                <w:rFonts w:ascii="Times New Roman" w:hAnsi="Times New Roman" w:cs="Times New Roman"/>
                <w:bCs/>
                <w:color w:val="000000" w:themeColor="text1"/>
                <w:sz w:val="21"/>
                <w:szCs w:val="21"/>
                <w14:textFill>
                  <w14:solidFill>
                    <w14:schemeClr w14:val="tx1"/>
                  </w14:solidFill>
                </w14:textFill>
              </w:rPr>
            </w:pPr>
            <w:r>
              <w:rPr>
                <w:rFonts w:ascii="Times New Roman" w:hAnsi="Times New Roman" w:cs="Times New Roman"/>
                <w:bCs/>
                <w:color w:val="000000" w:themeColor="text1"/>
                <w:sz w:val="21"/>
                <w:szCs w:val="21"/>
                <w14:textFill>
                  <w14:solidFill>
                    <w14:schemeClr w14:val="tx1"/>
                  </w14:solidFill>
                </w14:textFill>
              </w:rPr>
              <w:t>一般防渗区</w:t>
            </w:r>
          </w:p>
        </w:tc>
        <w:tc>
          <w:tcPr>
            <w:tcW w:w="1003" w:type="pct"/>
            <w:vAlign w:val="center"/>
          </w:tcPr>
          <w:p w14:paraId="49041580">
            <w:pPr>
              <w:spacing w:before="24" w:line="228" w:lineRule="auto"/>
              <w:ind w:left="9"/>
              <w:jc w:val="center"/>
              <w:rPr>
                <w:bCs/>
                <w:color w:val="EE0000"/>
                <w:szCs w:val="21"/>
              </w:rPr>
            </w:pPr>
            <w:r>
              <w:rPr>
                <w:rFonts w:hint="eastAsia"/>
                <w:bCs/>
                <w:color w:val="EE0000"/>
                <w:szCs w:val="21"/>
              </w:rPr>
              <w:t>牛舍</w:t>
            </w:r>
            <w:r>
              <w:rPr>
                <w:rFonts w:hint="eastAsia"/>
                <w:color w:val="EE0000"/>
                <w:spacing w:val="2"/>
                <w:szCs w:val="21"/>
              </w:rPr>
              <w:t>、饲料仓库、饲料加工间、消毒池</w:t>
            </w:r>
            <w:r>
              <w:rPr>
                <w:rFonts w:hint="eastAsia"/>
                <w:bCs/>
                <w:color w:val="EE0000"/>
                <w:szCs w:val="21"/>
              </w:rPr>
              <w:t>等</w:t>
            </w:r>
          </w:p>
        </w:tc>
        <w:tc>
          <w:tcPr>
            <w:tcW w:w="1310" w:type="pct"/>
            <w:tcBorders>
              <w:right w:val="nil"/>
            </w:tcBorders>
            <w:vAlign w:val="center"/>
          </w:tcPr>
          <w:p w14:paraId="3CB9AE6F">
            <w:pPr>
              <w:pStyle w:val="257"/>
              <w:rPr>
                <w:color w:val="000000" w:themeColor="text1"/>
                <w:sz w:val="21"/>
                <w14:textFill>
                  <w14:solidFill>
                    <w14:schemeClr w14:val="tx1"/>
                  </w14:solidFill>
                </w14:textFill>
              </w:rPr>
            </w:pPr>
            <w:r>
              <w:rPr>
                <w:bCs/>
                <w:color w:val="000000" w:themeColor="text1"/>
                <w:sz w:val="21"/>
                <w14:textFill>
                  <w14:solidFill>
                    <w14:schemeClr w14:val="tx1"/>
                  </w14:solidFill>
                </w14:textFill>
              </w:rPr>
              <w:t>等效黏土防渗层Mb≥1.5m，渗透系数K≤1.0×10</w:t>
            </w:r>
            <w:r>
              <w:rPr>
                <w:bCs/>
                <w:color w:val="000000" w:themeColor="text1"/>
                <w:sz w:val="21"/>
                <w:vertAlign w:val="superscript"/>
                <w14:textFill>
                  <w14:solidFill>
                    <w14:schemeClr w14:val="tx1"/>
                  </w14:solidFill>
                </w14:textFill>
              </w:rPr>
              <w:t>-7</w:t>
            </w:r>
            <w:r>
              <w:rPr>
                <w:bCs/>
                <w:color w:val="000000" w:themeColor="text1"/>
                <w:sz w:val="21"/>
                <w14:textFill>
                  <w14:solidFill>
                    <w14:schemeClr w14:val="tx1"/>
                  </w14:solidFill>
                </w14:textFill>
              </w:rPr>
              <w:t>cm/s</w:t>
            </w:r>
          </w:p>
        </w:tc>
        <w:tc>
          <w:tcPr>
            <w:tcW w:w="2220" w:type="pct"/>
            <w:tcBorders>
              <w:right w:val="nil"/>
            </w:tcBorders>
            <w:vAlign w:val="center"/>
          </w:tcPr>
          <w:p w14:paraId="3A65B77C">
            <w:pPr>
              <w:pStyle w:val="1233"/>
              <w:spacing w:line="24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防渗层为下部为黏土层</w:t>
            </w:r>
          </w:p>
          <w:p w14:paraId="6B3CDDBF">
            <w:pPr>
              <w:pStyle w:val="1233"/>
              <w:spacing w:line="240" w:lineRule="auto"/>
              <w:rPr>
                <w:bCs/>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抗渗混凝土（厚度不应小于 </w:t>
            </w:r>
            <w:r>
              <w:rPr>
                <w:color w:val="000000" w:themeColor="text1"/>
                <w:sz w:val="21"/>
                <w:szCs w:val="21"/>
                <w14:textFill>
                  <w14:solidFill>
                    <w14:schemeClr w14:val="tx1"/>
                  </w14:solidFill>
                </w14:textFill>
              </w:rPr>
              <w:t>100mm</w:t>
            </w:r>
            <w:r>
              <w:rPr>
                <w:rFonts w:hint="eastAsia"/>
                <w:color w:val="000000" w:themeColor="text1"/>
                <w:sz w:val="21"/>
                <w:szCs w:val="21"/>
                <w14:textFill>
                  <w14:solidFill>
                    <w14:schemeClr w14:val="tx1"/>
                  </w14:solidFill>
                </w14:textFill>
              </w:rPr>
              <w:t>）</w:t>
            </w:r>
          </w:p>
        </w:tc>
      </w:tr>
      <w:tr w14:paraId="269B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66" w:type="pct"/>
            <w:tcBorders>
              <w:left w:val="nil"/>
              <w:bottom w:val="single" w:color="auto" w:sz="12" w:space="0"/>
            </w:tcBorders>
            <w:vAlign w:val="center"/>
          </w:tcPr>
          <w:p w14:paraId="2822C4D2">
            <w:pPr>
              <w:pStyle w:val="1744"/>
              <w:adjustRightInd w:val="0"/>
              <w:snapToGrid w:val="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简单防渗区</w:t>
            </w:r>
          </w:p>
        </w:tc>
        <w:tc>
          <w:tcPr>
            <w:tcW w:w="1003" w:type="pct"/>
            <w:tcBorders>
              <w:bottom w:val="single" w:color="auto" w:sz="12" w:space="0"/>
            </w:tcBorders>
            <w:vAlign w:val="center"/>
          </w:tcPr>
          <w:p w14:paraId="58E5642F">
            <w:pPr>
              <w:spacing w:before="24" w:line="228" w:lineRule="auto"/>
              <w:ind w:left="9"/>
              <w:jc w:val="center"/>
              <w:rPr>
                <w:color w:val="EE0000"/>
                <w:szCs w:val="21"/>
              </w:rPr>
            </w:pPr>
            <w:r>
              <w:rPr>
                <w:color w:val="EE0000"/>
                <w:spacing w:val="2"/>
                <w:szCs w:val="21"/>
              </w:rPr>
              <w:t>办公生活区、道路等</w:t>
            </w:r>
          </w:p>
        </w:tc>
        <w:tc>
          <w:tcPr>
            <w:tcW w:w="1310" w:type="pct"/>
            <w:tcBorders>
              <w:bottom w:val="single" w:color="auto" w:sz="12" w:space="0"/>
              <w:right w:val="nil"/>
            </w:tcBorders>
            <w:vAlign w:val="center"/>
          </w:tcPr>
          <w:p w14:paraId="73414C3E">
            <w:pPr>
              <w:pStyle w:val="257"/>
              <w:rPr>
                <w:color w:val="000000" w:themeColor="text1"/>
                <w:sz w:val="21"/>
                <w14:textFill>
                  <w14:solidFill>
                    <w14:schemeClr w14:val="tx1"/>
                  </w14:solidFill>
                </w14:textFill>
              </w:rPr>
            </w:pPr>
            <w:r>
              <w:rPr>
                <w:bCs/>
                <w:color w:val="000000" w:themeColor="text1"/>
                <w:sz w:val="21"/>
                <w14:textFill>
                  <w14:solidFill>
                    <w14:schemeClr w14:val="tx1"/>
                  </w14:solidFill>
                </w14:textFill>
              </w:rPr>
              <w:t>一般地面硬化</w:t>
            </w:r>
          </w:p>
        </w:tc>
        <w:tc>
          <w:tcPr>
            <w:tcW w:w="2220" w:type="pct"/>
            <w:tcBorders>
              <w:bottom w:val="single" w:color="auto" w:sz="12" w:space="0"/>
              <w:right w:val="nil"/>
            </w:tcBorders>
            <w:vAlign w:val="center"/>
          </w:tcPr>
          <w:p w14:paraId="2B16D951">
            <w:pPr>
              <w:pStyle w:val="1233"/>
              <w:spacing w:line="240" w:lineRule="auto"/>
              <w:rPr>
                <w:bCs/>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采用非铺砌地坪或普通混凝土地坪</w:t>
            </w:r>
          </w:p>
        </w:tc>
      </w:tr>
    </w:tbl>
    <w:p w14:paraId="3EB0FC7C">
      <w:pPr>
        <w:pStyle w:val="3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本次评价拟对项目拟建场址土壤防治措施提出相应要求，具体要求如下：</w:t>
      </w:r>
    </w:p>
    <w:p w14:paraId="26D2F8F1">
      <w:pPr>
        <w:pStyle w:val="3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）加强对集水池等池体开挖及建设过程中对表土的保存与治理；</w:t>
      </w:r>
    </w:p>
    <w:p w14:paraId="06A4EB81">
      <w:pPr>
        <w:pStyle w:val="3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）加强养殖场场区的防渗处置，本次评价将养殖场区地下水污染防治区分为重点防渗区域、一般防渗区域和简单防渗区域。严格按上述表5.7-3要求做好防渗措施，满足防渗技术要求；</w:t>
      </w:r>
    </w:p>
    <w:p w14:paraId="7FEB5EF2">
      <w:pPr>
        <w:pStyle w:val="3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（3）加强废水管道及各类池体的维修管理，加强生产管理，避免避免粪污未经处理直接侵入土壤，从而造成土壤污染；</w:t>
      </w:r>
    </w:p>
    <w:p w14:paraId="03A654C4">
      <w:pPr>
        <w:pStyle w:val="3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（4）建设应急事故池，当污水处理设备发生故障时，将废水导入应急事故池中暂存；</w:t>
      </w:r>
    </w:p>
    <w:p w14:paraId="1F0E9795">
      <w:pPr>
        <w:pStyle w:val="3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（5）在生产过程中，做好设备的维护、检修，杜绝跑、冒、滴、漏现象。同时，加强污染物产生主要环节的安全防护、报警措施，以便及时发现事故隐患，采取有效的应对措施；</w:t>
      </w:r>
    </w:p>
    <w:p w14:paraId="0DD9E156">
      <w:pPr>
        <w:pStyle w:val="34"/>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（6）项目根据施肥需求，定期派出技术人员指导种植地合理施用废水，可有效的利用水资源，可控性较好，对土壤及地下水产生污染影响风险较小。</w:t>
      </w:r>
    </w:p>
    <w:p w14:paraId="7AA6482D">
      <w:pPr>
        <w:pStyle w:val="5"/>
        <w:adjustRightInd w:val="0"/>
        <w:snapToGrid w:val="0"/>
        <w:spacing w:before="0" w:after="0" w:line="360" w:lineRule="auto"/>
        <w:rPr>
          <w:color w:val="000000" w:themeColor="text1"/>
          <w:sz w:val="28"/>
          <w:szCs w:val="28"/>
          <w14:textFill>
            <w14:solidFill>
              <w14:schemeClr w14:val="tx1"/>
            </w14:solidFill>
          </w14:textFill>
        </w:rPr>
      </w:pPr>
      <w:bookmarkStart w:id="872" w:name="_Toc31431"/>
      <w:bookmarkStart w:id="873" w:name="_Toc230079425"/>
      <w:bookmarkStart w:id="874" w:name="_Toc233380239"/>
      <w:r>
        <w:rPr>
          <w:rFonts w:hint="eastAsia"/>
          <w:color w:val="000000" w:themeColor="text1"/>
          <w:sz w:val="28"/>
          <w:szCs w:val="28"/>
          <w14:textFill>
            <w14:solidFill>
              <w14:schemeClr w14:val="tx1"/>
            </w14:solidFill>
          </w14:textFill>
        </w:rPr>
        <w:t>5.7.6</w:t>
      </w:r>
      <w:r>
        <w:rPr>
          <w:color w:val="000000" w:themeColor="text1"/>
          <w:sz w:val="28"/>
          <w:szCs w:val="28"/>
          <w14:textFill>
            <w14:solidFill>
              <w14:schemeClr w14:val="tx1"/>
            </w14:solidFill>
          </w14:textFill>
        </w:rPr>
        <w:t>小结</w:t>
      </w:r>
      <w:bookmarkEnd w:id="872"/>
      <w:bookmarkEnd w:id="873"/>
      <w:bookmarkEnd w:id="874"/>
    </w:p>
    <w:p w14:paraId="582BDF6E">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针对各类污染物均采取了对应的污染治理措施，可确保污染物的达标排放及防止渗漏发生，可从源头上控制项目对区域土壤环境的污染源强，确保项目对区域土壤环境的影响处于可接受水平。因此，只要企业严格落实本报告提出的污染防治措施，项目对区域土壤环境影响是可接受的。</w:t>
      </w:r>
    </w:p>
    <w:p w14:paraId="26276D2F">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项目土壤环境影响自查情况见表5.7-</w:t>
      </w: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w:t>
      </w:r>
    </w:p>
    <w:p w14:paraId="51945EF8">
      <w:pPr>
        <w:pStyle w:val="1771"/>
        <w:spacing w:line="360" w:lineRule="auto"/>
        <w:rPr>
          <w:snapToGrid w:val="0"/>
          <w:color w:val="000000" w:themeColor="text1"/>
          <w:szCs w:val="21"/>
          <w14:textFill>
            <w14:solidFill>
              <w14:schemeClr w14:val="tx1"/>
            </w14:solidFill>
          </w14:textFill>
        </w:rPr>
      </w:pPr>
      <w:r>
        <w:rPr>
          <w:snapToGrid w:val="0"/>
          <w:color w:val="000000" w:themeColor="text1"/>
          <w:szCs w:val="21"/>
          <w14:textFill>
            <w14:solidFill>
              <w14:schemeClr w14:val="tx1"/>
            </w14:solidFill>
          </w14:textFill>
        </w:rPr>
        <w:t>表5.7-</w:t>
      </w:r>
      <w:r>
        <w:rPr>
          <w:rFonts w:hint="eastAsia"/>
          <w:snapToGrid w:val="0"/>
          <w:color w:val="000000" w:themeColor="text1"/>
          <w:szCs w:val="21"/>
          <w:lang w:val="en-US"/>
          <w14:textFill>
            <w14:solidFill>
              <w14:schemeClr w14:val="tx1"/>
            </w14:solidFill>
          </w14:textFill>
        </w:rPr>
        <w:t>4</w:t>
      </w:r>
      <w:r>
        <w:rPr>
          <w:snapToGrid w:val="0"/>
          <w:color w:val="000000" w:themeColor="text1"/>
          <w:szCs w:val="21"/>
          <w14:textFill>
            <w14:solidFill>
              <w14:schemeClr w14:val="tx1"/>
            </w14:solidFill>
          </w14:textFill>
        </w:rPr>
        <w:t xml:space="preserve"> 项目土壤环境影响评价自查表</w:t>
      </w:r>
    </w:p>
    <w:tbl>
      <w:tblPr>
        <w:tblStyle w:val="88"/>
        <w:tblW w:w="88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7" w:type="dxa"/>
          <w:bottom w:w="0" w:type="dxa"/>
          <w:right w:w="17" w:type="dxa"/>
        </w:tblCellMar>
      </w:tblPr>
      <w:tblGrid>
        <w:gridCol w:w="427"/>
        <w:gridCol w:w="1676"/>
        <w:gridCol w:w="1417"/>
        <w:gridCol w:w="274"/>
        <w:gridCol w:w="1263"/>
        <w:gridCol w:w="1067"/>
        <w:gridCol w:w="471"/>
        <w:gridCol w:w="1540"/>
        <w:gridCol w:w="717"/>
      </w:tblGrid>
      <w:tr w14:paraId="69FC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2103" w:type="dxa"/>
            <w:gridSpan w:val="2"/>
            <w:noWrap/>
            <w:vAlign w:val="center"/>
          </w:tcPr>
          <w:p w14:paraId="440C2117">
            <w:pPr>
              <w:spacing w:line="240" w:lineRule="exact"/>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工作内容</w:t>
            </w:r>
          </w:p>
        </w:tc>
        <w:tc>
          <w:tcPr>
            <w:tcW w:w="6032" w:type="dxa"/>
            <w:gridSpan w:val="6"/>
            <w:noWrap/>
            <w:vAlign w:val="center"/>
          </w:tcPr>
          <w:p w14:paraId="205E56C2">
            <w:pPr>
              <w:spacing w:line="240" w:lineRule="exact"/>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完成情况</w:t>
            </w:r>
          </w:p>
        </w:tc>
        <w:tc>
          <w:tcPr>
            <w:tcW w:w="717" w:type="dxa"/>
            <w:noWrap/>
            <w:vAlign w:val="center"/>
          </w:tcPr>
          <w:p w14:paraId="5E331D6D">
            <w:pPr>
              <w:spacing w:line="240" w:lineRule="exact"/>
              <w:jc w:val="center"/>
              <w:rPr>
                <w:b/>
                <w:color w:val="000000" w:themeColor="text1"/>
                <w:sz w:val="18"/>
                <w:szCs w:val="18"/>
                <w14:textFill>
                  <w14:solidFill>
                    <w14:schemeClr w14:val="tx1"/>
                  </w14:solidFill>
                </w14:textFill>
              </w:rPr>
            </w:pPr>
            <w:r>
              <w:rPr>
                <w:b/>
                <w:color w:val="000000" w:themeColor="text1"/>
                <w:sz w:val="18"/>
                <w:szCs w:val="18"/>
                <w14:textFill>
                  <w14:solidFill>
                    <w14:schemeClr w14:val="tx1"/>
                  </w14:solidFill>
                </w14:textFill>
              </w:rPr>
              <w:t>备注</w:t>
            </w:r>
          </w:p>
        </w:tc>
      </w:tr>
      <w:tr w14:paraId="4757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restart"/>
            <w:noWrap/>
            <w:vAlign w:val="center"/>
          </w:tcPr>
          <w:p w14:paraId="225E6E48">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影影响识别</w:t>
            </w:r>
          </w:p>
        </w:tc>
        <w:tc>
          <w:tcPr>
            <w:tcW w:w="1676" w:type="dxa"/>
            <w:noWrap/>
            <w:vAlign w:val="center"/>
          </w:tcPr>
          <w:p w14:paraId="1BB9744F">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影响类型</w:t>
            </w:r>
          </w:p>
        </w:tc>
        <w:tc>
          <w:tcPr>
            <w:tcW w:w="6032" w:type="dxa"/>
            <w:gridSpan w:val="6"/>
            <w:noWrap/>
            <w:vAlign w:val="center"/>
          </w:tcPr>
          <w:p w14:paraId="34AFBE5C">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污染影响型</w:t>
            </w:r>
            <w:r>
              <w:rPr>
                <w:color w:val="000000" w:themeColor="text1"/>
                <w:sz w:val="18"/>
                <w:szCs w:val="18"/>
                <w14:textFill>
                  <w14:solidFill>
                    <w14:schemeClr w14:val="tx1"/>
                  </w14:solidFill>
                </w14:textFill>
              </w:rPr>
              <w:sym w:font="Wingdings" w:char="00FE"/>
            </w:r>
            <w:r>
              <w:rPr>
                <w:color w:val="000000" w:themeColor="text1"/>
                <w:sz w:val="18"/>
                <w:szCs w:val="18"/>
                <w14:textFill>
                  <w14:solidFill>
                    <w14:schemeClr w14:val="tx1"/>
                  </w14:solidFill>
                </w14:textFill>
              </w:rPr>
              <w:t>；生态影响型</w:t>
            </w:r>
            <w:r>
              <w:rPr>
                <w:color w:val="000000" w:themeColor="text1"/>
                <w:sz w:val="18"/>
                <w:szCs w:val="18"/>
                <w14:textFill>
                  <w14:solidFill>
                    <w14:schemeClr w14:val="tx1"/>
                  </w14:solidFill>
                </w14:textFill>
              </w:rPr>
              <w:sym w:font="Wingdings" w:char="F0A8"/>
            </w:r>
            <w:r>
              <w:rPr>
                <w:color w:val="000000" w:themeColor="text1"/>
                <w:sz w:val="18"/>
                <w:szCs w:val="18"/>
                <w14:textFill>
                  <w14:solidFill>
                    <w14:schemeClr w14:val="tx1"/>
                  </w14:solidFill>
                </w14:textFill>
              </w:rPr>
              <w:t>；两种兼有</w:t>
            </w:r>
            <w:r>
              <w:rPr>
                <w:color w:val="000000" w:themeColor="text1"/>
                <w:sz w:val="18"/>
                <w:szCs w:val="18"/>
                <w14:textFill>
                  <w14:solidFill>
                    <w14:schemeClr w14:val="tx1"/>
                  </w14:solidFill>
                </w14:textFill>
              </w:rPr>
              <w:sym w:font="Wingdings" w:char="F0A8"/>
            </w:r>
          </w:p>
        </w:tc>
        <w:tc>
          <w:tcPr>
            <w:tcW w:w="717" w:type="dxa"/>
            <w:noWrap/>
            <w:vAlign w:val="center"/>
          </w:tcPr>
          <w:p w14:paraId="5526AA16">
            <w:pPr>
              <w:spacing w:line="240" w:lineRule="exact"/>
              <w:jc w:val="center"/>
              <w:rPr>
                <w:color w:val="000000" w:themeColor="text1"/>
                <w:sz w:val="18"/>
                <w:szCs w:val="18"/>
                <w14:textFill>
                  <w14:solidFill>
                    <w14:schemeClr w14:val="tx1"/>
                  </w14:solidFill>
                </w14:textFill>
              </w:rPr>
            </w:pPr>
          </w:p>
        </w:tc>
      </w:tr>
      <w:tr w14:paraId="03D9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11297648">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7EAB5423">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土地利用类型</w:t>
            </w:r>
          </w:p>
        </w:tc>
        <w:tc>
          <w:tcPr>
            <w:tcW w:w="6032" w:type="dxa"/>
            <w:gridSpan w:val="6"/>
            <w:noWrap/>
            <w:vAlign w:val="center"/>
          </w:tcPr>
          <w:p w14:paraId="0DC7B476">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建设用地</w:t>
            </w:r>
            <w:r>
              <w:rPr>
                <w:color w:val="000000" w:themeColor="text1"/>
                <w:sz w:val="18"/>
                <w:szCs w:val="18"/>
                <w14:textFill>
                  <w14:solidFill>
                    <w14:schemeClr w14:val="tx1"/>
                  </w14:solidFill>
                </w14:textFill>
              </w:rPr>
              <w:sym w:font="Wingdings" w:char="00A8"/>
            </w:r>
            <w:r>
              <w:rPr>
                <w:color w:val="000000" w:themeColor="text1"/>
                <w:sz w:val="18"/>
                <w:szCs w:val="18"/>
                <w14:textFill>
                  <w14:solidFill>
                    <w14:schemeClr w14:val="tx1"/>
                  </w14:solidFill>
                </w14:textFill>
              </w:rPr>
              <w:t>；农用地</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；未利用地</w:t>
            </w:r>
            <w:r>
              <w:rPr>
                <w:color w:val="000000" w:themeColor="text1"/>
                <w:sz w:val="18"/>
                <w:szCs w:val="18"/>
                <w14:textFill>
                  <w14:solidFill>
                    <w14:schemeClr w14:val="tx1"/>
                  </w14:solidFill>
                </w14:textFill>
              </w:rPr>
              <w:sym w:font="Wingdings" w:char="F0A8"/>
            </w:r>
          </w:p>
        </w:tc>
        <w:tc>
          <w:tcPr>
            <w:tcW w:w="717" w:type="dxa"/>
            <w:noWrap/>
            <w:vAlign w:val="center"/>
          </w:tcPr>
          <w:p w14:paraId="4162BC27">
            <w:pPr>
              <w:spacing w:line="240" w:lineRule="exact"/>
              <w:jc w:val="center"/>
              <w:rPr>
                <w:color w:val="000000" w:themeColor="text1"/>
                <w:sz w:val="18"/>
                <w:szCs w:val="18"/>
                <w14:textFill>
                  <w14:solidFill>
                    <w14:schemeClr w14:val="tx1"/>
                  </w14:solidFill>
                </w14:textFill>
              </w:rPr>
            </w:pPr>
          </w:p>
        </w:tc>
      </w:tr>
      <w:tr w14:paraId="1851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3710FED7">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220D3FBF">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占地规模</w:t>
            </w:r>
          </w:p>
        </w:tc>
        <w:tc>
          <w:tcPr>
            <w:tcW w:w="6032" w:type="dxa"/>
            <w:gridSpan w:val="6"/>
            <w:noWrap/>
            <w:vAlign w:val="center"/>
          </w:tcPr>
          <w:p w14:paraId="71533A5B">
            <w:pPr>
              <w:spacing w:line="240" w:lineRule="exact"/>
              <w:jc w:val="center"/>
              <w:rPr>
                <w:color w:val="000000" w:themeColor="text1"/>
                <w:sz w:val="18"/>
                <w:szCs w:val="18"/>
                <w14:textFill>
                  <w14:solidFill>
                    <w14:schemeClr w14:val="tx1"/>
                  </w14:solidFill>
                </w14:textFill>
              </w:rPr>
            </w:pPr>
            <w:r>
              <w:rPr>
                <w:color w:val="EE0000"/>
                <w:sz w:val="18"/>
                <w:szCs w:val="18"/>
              </w:rPr>
              <w:t>（</w:t>
            </w:r>
            <w:r>
              <w:rPr>
                <w:rFonts w:hint="eastAsia"/>
                <w:color w:val="EE0000"/>
                <w:sz w:val="18"/>
                <w:szCs w:val="18"/>
              </w:rPr>
              <w:t>22.15</w:t>
            </w:r>
            <w:r>
              <w:rPr>
                <w:color w:val="EE0000"/>
                <w:sz w:val="18"/>
                <w:szCs w:val="18"/>
              </w:rPr>
              <w:t>）</w:t>
            </w:r>
            <w:bookmarkStart w:id="875" w:name="OLE_LINK65"/>
            <w:r>
              <w:rPr>
                <w:color w:val="EE0000"/>
                <w:sz w:val="18"/>
                <w:szCs w:val="18"/>
              </w:rPr>
              <w:t>hm</w:t>
            </w:r>
            <w:r>
              <w:rPr>
                <w:color w:val="EE0000"/>
                <w:sz w:val="18"/>
                <w:szCs w:val="18"/>
                <w:vertAlign w:val="superscript"/>
              </w:rPr>
              <w:t>2</w:t>
            </w:r>
            <w:bookmarkEnd w:id="875"/>
            <w:r>
              <w:rPr>
                <w:rFonts w:hint="eastAsia"/>
                <w:color w:val="EE0000"/>
                <w:sz w:val="18"/>
                <w:szCs w:val="18"/>
              </w:rPr>
              <w:t>（分为4个建设场区，每个场区占地规模均小于20</w:t>
            </w:r>
            <w:r>
              <w:rPr>
                <w:color w:val="EE0000"/>
                <w:sz w:val="18"/>
                <w:szCs w:val="18"/>
              </w:rPr>
              <w:t>hm</w:t>
            </w:r>
            <w:r>
              <w:rPr>
                <w:color w:val="EE0000"/>
                <w:sz w:val="18"/>
                <w:szCs w:val="18"/>
                <w:vertAlign w:val="superscript"/>
              </w:rPr>
              <w:t>2</w:t>
            </w:r>
            <w:r>
              <w:rPr>
                <w:rFonts w:hint="eastAsia"/>
                <w:color w:val="EE0000"/>
                <w:sz w:val="18"/>
                <w:szCs w:val="18"/>
              </w:rPr>
              <w:t>）</w:t>
            </w:r>
          </w:p>
        </w:tc>
        <w:tc>
          <w:tcPr>
            <w:tcW w:w="717" w:type="dxa"/>
            <w:noWrap/>
            <w:vAlign w:val="center"/>
          </w:tcPr>
          <w:p w14:paraId="20F2A933">
            <w:pPr>
              <w:spacing w:line="240" w:lineRule="exact"/>
              <w:jc w:val="center"/>
              <w:rPr>
                <w:color w:val="000000" w:themeColor="text1"/>
                <w:sz w:val="18"/>
                <w:szCs w:val="18"/>
                <w14:textFill>
                  <w14:solidFill>
                    <w14:schemeClr w14:val="tx1"/>
                  </w14:solidFill>
                </w14:textFill>
              </w:rPr>
            </w:pPr>
          </w:p>
        </w:tc>
      </w:tr>
      <w:tr w14:paraId="4F5B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15F17CD4">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6C4E810B">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敏感目标信息</w:t>
            </w:r>
          </w:p>
        </w:tc>
        <w:tc>
          <w:tcPr>
            <w:tcW w:w="6032" w:type="dxa"/>
            <w:gridSpan w:val="6"/>
            <w:noWrap/>
            <w:vAlign w:val="center"/>
          </w:tcPr>
          <w:p w14:paraId="1AB96D66">
            <w:pPr>
              <w:spacing w:line="240" w:lineRule="exact"/>
              <w:jc w:val="center"/>
              <w:rPr>
                <w:color w:val="000000" w:themeColor="text1"/>
                <w:sz w:val="18"/>
                <w:szCs w:val="18"/>
                <w14:textFill>
                  <w14:solidFill>
                    <w14:schemeClr w14:val="tx1"/>
                  </w14:solidFill>
                </w14:textFill>
              </w:rPr>
            </w:pPr>
          </w:p>
        </w:tc>
        <w:tc>
          <w:tcPr>
            <w:tcW w:w="717" w:type="dxa"/>
            <w:noWrap/>
            <w:vAlign w:val="center"/>
          </w:tcPr>
          <w:p w14:paraId="56A692D5">
            <w:pPr>
              <w:spacing w:line="240" w:lineRule="exact"/>
              <w:jc w:val="center"/>
              <w:rPr>
                <w:color w:val="000000" w:themeColor="text1"/>
                <w:sz w:val="18"/>
                <w:szCs w:val="18"/>
                <w14:textFill>
                  <w14:solidFill>
                    <w14:schemeClr w14:val="tx1"/>
                  </w14:solidFill>
                </w14:textFill>
              </w:rPr>
            </w:pPr>
          </w:p>
        </w:tc>
      </w:tr>
      <w:tr w14:paraId="3C531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11967898">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549D1FF5">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影响途径</w:t>
            </w:r>
          </w:p>
        </w:tc>
        <w:tc>
          <w:tcPr>
            <w:tcW w:w="6032" w:type="dxa"/>
            <w:gridSpan w:val="6"/>
            <w:noWrap/>
            <w:vAlign w:val="center"/>
          </w:tcPr>
          <w:p w14:paraId="2ADFD172">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大气沉降</w:t>
            </w:r>
            <w:r>
              <w:rPr>
                <w:color w:val="000000" w:themeColor="text1"/>
                <w:sz w:val="18"/>
                <w:szCs w:val="18"/>
                <w14:textFill>
                  <w14:solidFill>
                    <w14:schemeClr w14:val="tx1"/>
                  </w14:solidFill>
                </w14:textFill>
              </w:rPr>
              <w:sym w:font="Wingdings" w:char="00FE"/>
            </w:r>
            <w:r>
              <w:rPr>
                <w:color w:val="000000" w:themeColor="text1"/>
                <w:sz w:val="18"/>
                <w:szCs w:val="18"/>
                <w14:textFill>
                  <w14:solidFill>
                    <w14:schemeClr w14:val="tx1"/>
                  </w14:solidFill>
                </w14:textFill>
              </w:rPr>
              <w:t>；地面漫流</w:t>
            </w:r>
            <w:bookmarkStart w:id="876" w:name="OLE_LINK185"/>
            <w:bookmarkStart w:id="877" w:name="OLE_LINK186"/>
            <w:r>
              <w:rPr>
                <w:color w:val="000000" w:themeColor="text1"/>
                <w:sz w:val="18"/>
                <w:szCs w:val="18"/>
                <w14:textFill>
                  <w14:solidFill>
                    <w14:schemeClr w14:val="tx1"/>
                  </w14:solidFill>
                </w14:textFill>
              </w:rPr>
              <w:sym w:font="Wingdings" w:char="00FE"/>
            </w:r>
            <w:bookmarkEnd w:id="876"/>
            <w:bookmarkEnd w:id="877"/>
            <w:r>
              <w:rPr>
                <w:color w:val="000000" w:themeColor="text1"/>
                <w:sz w:val="18"/>
                <w:szCs w:val="18"/>
                <w14:textFill>
                  <w14:solidFill>
                    <w14:schemeClr w14:val="tx1"/>
                  </w14:solidFill>
                </w14:textFill>
              </w:rPr>
              <w:t>；垂直入渗</w:t>
            </w:r>
            <w:r>
              <w:rPr>
                <w:color w:val="000000" w:themeColor="text1"/>
                <w:sz w:val="18"/>
                <w:szCs w:val="18"/>
                <w14:textFill>
                  <w14:solidFill>
                    <w14:schemeClr w14:val="tx1"/>
                  </w14:solidFill>
                </w14:textFill>
              </w:rPr>
              <w:sym w:font="Wingdings" w:char="00FE"/>
            </w:r>
            <w:r>
              <w:rPr>
                <w:color w:val="000000" w:themeColor="text1"/>
                <w:sz w:val="18"/>
                <w:szCs w:val="18"/>
                <w14:textFill>
                  <w14:solidFill>
                    <w14:schemeClr w14:val="tx1"/>
                  </w14:solidFill>
                </w14:textFill>
              </w:rPr>
              <w:t>；地下水位</w:t>
            </w:r>
            <w:r>
              <w:rPr>
                <w:color w:val="000000" w:themeColor="text1"/>
                <w:sz w:val="18"/>
                <w:szCs w:val="18"/>
                <w14:textFill>
                  <w14:solidFill>
                    <w14:schemeClr w14:val="tx1"/>
                  </w14:solidFill>
                </w14:textFill>
              </w:rPr>
              <w:sym w:font="Wingdings" w:char="F0A8"/>
            </w:r>
            <w:r>
              <w:rPr>
                <w:color w:val="000000" w:themeColor="text1"/>
                <w:sz w:val="18"/>
                <w:szCs w:val="18"/>
                <w14:textFill>
                  <w14:solidFill>
                    <w14:schemeClr w14:val="tx1"/>
                  </w14:solidFill>
                </w14:textFill>
              </w:rPr>
              <w:t>；其他（</w:t>
            </w:r>
            <w:r>
              <w:rPr>
                <w:color w:val="000000" w:themeColor="text1"/>
                <w:sz w:val="18"/>
                <w:szCs w:val="18"/>
                <w14:textFill>
                  <w14:solidFill>
                    <w14:schemeClr w14:val="tx1"/>
                  </w14:solidFill>
                </w14:textFill>
              </w:rPr>
              <w:tab/>
            </w:r>
            <w:r>
              <w:rPr>
                <w:color w:val="000000" w:themeColor="text1"/>
                <w:sz w:val="18"/>
                <w:szCs w:val="18"/>
                <w14:textFill>
                  <w14:solidFill>
                    <w14:schemeClr w14:val="tx1"/>
                  </w14:solidFill>
                </w14:textFill>
              </w:rPr>
              <w:t>）</w:t>
            </w:r>
          </w:p>
        </w:tc>
        <w:tc>
          <w:tcPr>
            <w:tcW w:w="717" w:type="dxa"/>
            <w:noWrap/>
            <w:vAlign w:val="center"/>
          </w:tcPr>
          <w:p w14:paraId="6772DB47">
            <w:pPr>
              <w:spacing w:line="240" w:lineRule="exact"/>
              <w:jc w:val="center"/>
              <w:rPr>
                <w:color w:val="000000" w:themeColor="text1"/>
                <w:sz w:val="18"/>
                <w:szCs w:val="18"/>
                <w14:textFill>
                  <w14:solidFill>
                    <w14:schemeClr w14:val="tx1"/>
                  </w14:solidFill>
                </w14:textFill>
              </w:rPr>
            </w:pPr>
          </w:p>
        </w:tc>
      </w:tr>
      <w:tr w14:paraId="12B6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5B8B1854">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02313E3D">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全部污染物</w:t>
            </w:r>
          </w:p>
        </w:tc>
        <w:tc>
          <w:tcPr>
            <w:tcW w:w="6032" w:type="dxa"/>
            <w:gridSpan w:val="6"/>
            <w:noWrap/>
            <w:vAlign w:val="center"/>
          </w:tcPr>
          <w:p w14:paraId="362D56F8">
            <w:pPr>
              <w:spacing w:line="24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废水污染物：COD、氨氮、石油类等</w:t>
            </w:r>
          </w:p>
        </w:tc>
        <w:tc>
          <w:tcPr>
            <w:tcW w:w="717" w:type="dxa"/>
            <w:noWrap/>
            <w:vAlign w:val="center"/>
          </w:tcPr>
          <w:p w14:paraId="046E3367">
            <w:pPr>
              <w:spacing w:line="240" w:lineRule="exact"/>
              <w:jc w:val="center"/>
              <w:rPr>
                <w:color w:val="000000" w:themeColor="text1"/>
                <w:sz w:val="18"/>
                <w:szCs w:val="18"/>
                <w14:textFill>
                  <w14:solidFill>
                    <w14:schemeClr w14:val="tx1"/>
                  </w14:solidFill>
                </w14:textFill>
              </w:rPr>
            </w:pPr>
          </w:p>
        </w:tc>
      </w:tr>
      <w:tr w14:paraId="723D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057AFE0A">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5A70725D">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特征因子</w:t>
            </w:r>
          </w:p>
        </w:tc>
        <w:tc>
          <w:tcPr>
            <w:tcW w:w="6032" w:type="dxa"/>
            <w:gridSpan w:val="6"/>
            <w:noWrap/>
            <w:vAlign w:val="center"/>
          </w:tcPr>
          <w:p w14:paraId="26E0447C">
            <w:pPr>
              <w:spacing w:line="24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COD、氨氮、石油类</w:t>
            </w:r>
          </w:p>
        </w:tc>
        <w:tc>
          <w:tcPr>
            <w:tcW w:w="717" w:type="dxa"/>
            <w:noWrap/>
            <w:vAlign w:val="center"/>
          </w:tcPr>
          <w:p w14:paraId="04B015B4">
            <w:pPr>
              <w:spacing w:line="240" w:lineRule="exact"/>
              <w:jc w:val="center"/>
              <w:rPr>
                <w:color w:val="000000" w:themeColor="text1"/>
                <w:sz w:val="18"/>
                <w:szCs w:val="18"/>
                <w14:textFill>
                  <w14:solidFill>
                    <w14:schemeClr w14:val="tx1"/>
                  </w14:solidFill>
                </w14:textFill>
              </w:rPr>
            </w:pPr>
          </w:p>
        </w:tc>
      </w:tr>
      <w:tr w14:paraId="2656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33D5BB59">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29811E6C">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所属土壤环境影响评价项目类别</w:t>
            </w:r>
          </w:p>
        </w:tc>
        <w:tc>
          <w:tcPr>
            <w:tcW w:w="6032" w:type="dxa"/>
            <w:gridSpan w:val="6"/>
            <w:noWrap/>
            <w:vAlign w:val="center"/>
          </w:tcPr>
          <w:p w14:paraId="5978EDF3">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Ⅰ类</w:t>
            </w:r>
            <w:r>
              <w:rPr>
                <w:color w:val="000000" w:themeColor="text1"/>
                <w:sz w:val="18"/>
                <w:szCs w:val="18"/>
                <w14:textFill>
                  <w14:solidFill>
                    <w14:schemeClr w14:val="tx1"/>
                  </w14:solidFill>
                </w14:textFill>
              </w:rPr>
              <w:sym w:font="Wingdings" w:char="00A8"/>
            </w:r>
            <w:r>
              <w:rPr>
                <w:color w:val="000000" w:themeColor="text1"/>
                <w:sz w:val="18"/>
                <w:szCs w:val="18"/>
                <w14:textFill>
                  <w14:solidFill>
                    <w14:schemeClr w14:val="tx1"/>
                  </w14:solidFill>
                </w14:textFill>
              </w:rPr>
              <w:t>；Ⅱ类</w:t>
            </w:r>
            <w:bookmarkStart w:id="878" w:name="OLE_LINK181"/>
            <w:bookmarkStart w:id="879" w:name="OLE_LINK182"/>
            <w:r>
              <w:rPr>
                <w:color w:val="000000" w:themeColor="text1"/>
                <w:sz w:val="18"/>
                <w:szCs w:val="18"/>
                <w14:textFill>
                  <w14:solidFill>
                    <w14:schemeClr w14:val="tx1"/>
                  </w14:solidFill>
                </w14:textFill>
              </w:rPr>
              <w:sym w:font="Wingdings" w:char="00A8"/>
            </w:r>
            <w:bookmarkEnd w:id="878"/>
            <w:bookmarkEnd w:id="879"/>
            <w:r>
              <w:rPr>
                <w:color w:val="000000" w:themeColor="text1"/>
                <w:sz w:val="18"/>
                <w:szCs w:val="18"/>
                <w14:textFill>
                  <w14:solidFill>
                    <w14:schemeClr w14:val="tx1"/>
                  </w14:solidFill>
                </w14:textFill>
              </w:rPr>
              <w:t>；Ⅲ类</w:t>
            </w:r>
            <w:r>
              <w:rPr>
                <w:color w:val="000000" w:themeColor="text1"/>
                <w:sz w:val="18"/>
                <w:szCs w:val="18"/>
                <w14:textFill>
                  <w14:solidFill>
                    <w14:schemeClr w14:val="tx1"/>
                  </w14:solidFill>
                </w14:textFill>
              </w:rPr>
              <w:sym w:font="Wingdings" w:char="00FE"/>
            </w:r>
            <w:r>
              <w:rPr>
                <w:color w:val="000000" w:themeColor="text1"/>
                <w:sz w:val="18"/>
                <w:szCs w:val="18"/>
                <w14:textFill>
                  <w14:solidFill>
                    <w14:schemeClr w14:val="tx1"/>
                  </w14:solidFill>
                </w14:textFill>
              </w:rPr>
              <w:t>；Ⅳ类</w:t>
            </w:r>
            <w:r>
              <w:rPr>
                <w:color w:val="000000" w:themeColor="text1"/>
                <w:sz w:val="18"/>
                <w:szCs w:val="18"/>
                <w14:textFill>
                  <w14:solidFill>
                    <w14:schemeClr w14:val="tx1"/>
                  </w14:solidFill>
                </w14:textFill>
              </w:rPr>
              <w:sym w:font="Wingdings" w:char="F0A8"/>
            </w:r>
          </w:p>
        </w:tc>
        <w:tc>
          <w:tcPr>
            <w:tcW w:w="717" w:type="dxa"/>
            <w:noWrap/>
            <w:vAlign w:val="center"/>
          </w:tcPr>
          <w:p w14:paraId="0F4D5F84">
            <w:pPr>
              <w:spacing w:line="240" w:lineRule="exact"/>
              <w:jc w:val="center"/>
              <w:rPr>
                <w:color w:val="000000" w:themeColor="text1"/>
                <w:sz w:val="18"/>
                <w:szCs w:val="18"/>
                <w14:textFill>
                  <w14:solidFill>
                    <w14:schemeClr w14:val="tx1"/>
                  </w14:solidFill>
                </w14:textFill>
              </w:rPr>
            </w:pPr>
          </w:p>
        </w:tc>
      </w:tr>
      <w:tr w14:paraId="3137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4F810BEE">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24B383AD">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敏感程度</w:t>
            </w:r>
          </w:p>
        </w:tc>
        <w:tc>
          <w:tcPr>
            <w:tcW w:w="6032" w:type="dxa"/>
            <w:gridSpan w:val="6"/>
            <w:noWrap/>
            <w:vAlign w:val="center"/>
          </w:tcPr>
          <w:p w14:paraId="15CF5200">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敏感</w:t>
            </w:r>
            <w:r>
              <w:rPr>
                <w:rFonts w:hint="eastAsia"/>
                <w:color w:val="000000" w:themeColor="text1"/>
                <w:sz w:val="18"/>
                <w:szCs w:val="18"/>
                <w14:textFill>
                  <w14:solidFill>
                    <w14:schemeClr w14:val="tx1"/>
                  </w14:solidFill>
                </w14:textFill>
              </w:rPr>
              <w:t>☑</w:t>
            </w:r>
            <w:r>
              <w:rPr>
                <w:color w:val="000000" w:themeColor="text1"/>
                <w:sz w:val="18"/>
                <w:szCs w:val="18"/>
                <w14:textFill>
                  <w14:solidFill>
                    <w14:schemeClr w14:val="tx1"/>
                  </w14:solidFill>
                </w14:textFill>
              </w:rPr>
              <w:t>；较敏感□；不敏感</w:t>
            </w:r>
            <w:r>
              <w:rPr>
                <w:color w:val="000000" w:themeColor="text1"/>
                <w:sz w:val="18"/>
                <w:szCs w:val="18"/>
                <w14:textFill>
                  <w14:solidFill>
                    <w14:schemeClr w14:val="tx1"/>
                  </w14:solidFill>
                </w14:textFill>
              </w:rPr>
              <w:sym w:font="Wingdings" w:char="00A8"/>
            </w:r>
          </w:p>
        </w:tc>
        <w:tc>
          <w:tcPr>
            <w:tcW w:w="717" w:type="dxa"/>
            <w:noWrap/>
            <w:vAlign w:val="center"/>
          </w:tcPr>
          <w:p w14:paraId="4D898EC9">
            <w:pPr>
              <w:spacing w:line="240" w:lineRule="exact"/>
              <w:jc w:val="center"/>
              <w:rPr>
                <w:color w:val="000000" w:themeColor="text1"/>
                <w:sz w:val="18"/>
                <w:szCs w:val="18"/>
                <w14:textFill>
                  <w14:solidFill>
                    <w14:schemeClr w14:val="tx1"/>
                  </w14:solidFill>
                </w14:textFill>
              </w:rPr>
            </w:pPr>
          </w:p>
        </w:tc>
      </w:tr>
      <w:tr w14:paraId="34FD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2103" w:type="dxa"/>
            <w:gridSpan w:val="2"/>
            <w:noWrap/>
            <w:vAlign w:val="center"/>
          </w:tcPr>
          <w:p w14:paraId="39FAB068">
            <w:pPr>
              <w:pStyle w:val="1744"/>
              <w:kinsoku w:val="0"/>
              <w:overflowPunct w:val="0"/>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评价工作等级</w:t>
            </w:r>
          </w:p>
        </w:tc>
        <w:tc>
          <w:tcPr>
            <w:tcW w:w="6032" w:type="dxa"/>
            <w:gridSpan w:val="6"/>
            <w:noWrap/>
            <w:vAlign w:val="center"/>
          </w:tcPr>
          <w:p w14:paraId="614E5DD2">
            <w:pPr>
              <w:pStyle w:val="1744"/>
              <w:kinsoku w:val="0"/>
              <w:overflowPunct w:val="0"/>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一级</w:t>
            </w:r>
            <w:r>
              <w:rPr>
                <w:rFonts w:ascii="Times New Roman" w:hAnsi="Times New Roman" w:cs="Times New Roman"/>
                <w:color w:val="000000" w:themeColor="text1"/>
                <w:sz w:val="18"/>
                <w:szCs w:val="18"/>
                <w14:textFill>
                  <w14:solidFill>
                    <w14:schemeClr w14:val="tx1"/>
                  </w14:solidFill>
                </w14:textFill>
              </w:rPr>
              <w:t>□</w:t>
            </w:r>
            <w:r>
              <w:rPr>
                <w:rFonts w:ascii="Times New Roman" w:hAnsi="Times New Roman" w:eastAsia="宋体" w:cs="Times New Roman"/>
                <w:color w:val="000000" w:themeColor="text1"/>
                <w:sz w:val="18"/>
                <w:szCs w:val="18"/>
                <w14:textFill>
                  <w14:solidFill>
                    <w14:schemeClr w14:val="tx1"/>
                  </w14:solidFill>
                </w14:textFill>
              </w:rPr>
              <w:t>；二级</w:t>
            </w:r>
            <w:r>
              <w:rPr>
                <w:rFonts w:ascii="Times New Roman" w:hAnsi="Times New Roman" w:cs="Times New Roman"/>
                <w:color w:val="000000" w:themeColor="text1"/>
                <w:sz w:val="18"/>
                <w:szCs w:val="18"/>
                <w14:textFill>
                  <w14:solidFill>
                    <w14:schemeClr w14:val="tx1"/>
                  </w14:solidFill>
                </w14:textFill>
              </w:rPr>
              <w:t>□</w:t>
            </w:r>
            <w:r>
              <w:rPr>
                <w:rFonts w:ascii="Times New Roman" w:hAnsi="Times New Roman" w:eastAsia="宋体" w:cs="Times New Roman"/>
                <w:color w:val="000000" w:themeColor="text1"/>
                <w:sz w:val="18"/>
                <w:szCs w:val="18"/>
                <w14:textFill>
                  <w14:solidFill>
                    <w14:schemeClr w14:val="tx1"/>
                  </w14:solidFill>
                </w14:textFill>
              </w:rPr>
              <w:t>；三级</w:t>
            </w:r>
            <w:r>
              <w:rPr>
                <w:rFonts w:ascii="Times New Roman" w:hAnsi="Times New Roman" w:cs="Times New Roman"/>
                <w:color w:val="000000" w:themeColor="text1"/>
                <w:sz w:val="18"/>
                <w:szCs w:val="18"/>
                <w14:textFill>
                  <w14:solidFill>
                    <w14:schemeClr w14:val="tx1"/>
                  </w14:solidFill>
                </w14:textFill>
              </w:rPr>
              <w:sym w:font="Wingdings" w:char="00FE"/>
            </w:r>
          </w:p>
        </w:tc>
        <w:tc>
          <w:tcPr>
            <w:tcW w:w="717" w:type="dxa"/>
            <w:noWrap/>
            <w:vAlign w:val="center"/>
          </w:tcPr>
          <w:p w14:paraId="16722B8A">
            <w:pPr>
              <w:spacing w:line="240" w:lineRule="exact"/>
              <w:jc w:val="center"/>
              <w:rPr>
                <w:color w:val="000000" w:themeColor="text1"/>
                <w:sz w:val="18"/>
                <w:szCs w:val="18"/>
                <w14:textFill>
                  <w14:solidFill>
                    <w14:schemeClr w14:val="tx1"/>
                  </w14:solidFill>
                </w14:textFill>
              </w:rPr>
            </w:pPr>
          </w:p>
        </w:tc>
      </w:tr>
      <w:tr w14:paraId="302E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restart"/>
            <w:noWrap/>
            <w:vAlign w:val="center"/>
          </w:tcPr>
          <w:p w14:paraId="6C4ECCD6">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现状调查内容</w:t>
            </w:r>
          </w:p>
        </w:tc>
        <w:tc>
          <w:tcPr>
            <w:tcW w:w="1676" w:type="dxa"/>
            <w:noWrap/>
            <w:vAlign w:val="center"/>
          </w:tcPr>
          <w:p w14:paraId="261527A7">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资料收集</w:t>
            </w:r>
          </w:p>
        </w:tc>
        <w:tc>
          <w:tcPr>
            <w:tcW w:w="6032" w:type="dxa"/>
            <w:gridSpan w:val="6"/>
            <w:noWrap/>
            <w:vAlign w:val="center"/>
          </w:tcPr>
          <w:p w14:paraId="149EF987">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a）</w:t>
            </w:r>
            <w:r>
              <w:rPr>
                <w:color w:val="000000" w:themeColor="text1"/>
                <w:sz w:val="18"/>
                <w:szCs w:val="18"/>
                <w14:textFill>
                  <w14:solidFill>
                    <w14:schemeClr w14:val="tx1"/>
                  </w14:solidFill>
                </w14:textFill>
              </w:rPr>
              <w:sym w:font="Wingdings" w:char="00A8"/>
            </w:r>
            <w:r>
              <w:rPr>
                <w:color w:val="000000" w:themeColor="text1"/>
                <w:sz w:val="18"/>
                <w:szCs w:val="18"/>
                <w14:textFill>
                  <w14:solidFill>
                    <w14:schemeClr w14:val="tx1"/>
                  </w14:solidFill>
                </w14:textFill>
              </w:rPr>
              <w:t>；b）</w:t>
            </w:r>
            <w:r>
              <w:rPr>
                <w:color w:val="000000" w:themeColor="text1"/>
                <w:sz w:val="18"/>
                <w:szCs w:val="18"/>
                <w14:textFill>
                  <w14:solidFill>
                    <w14:schemeClr w14:val="tx1"/>
                  </w14:solidFill>
                </w14:textFill>
              </w:rPr>
              <w:sym w:font="Wingdings" w:char="00A8"/>
            </w:r>
            <w:r>
              <w:rPr>
                <w:color w:val="000000" w:themeColor="text1"/>
                <w:sz w:val="18"/>
                <w:szCs w:val="18"/>
                <w14:textFill>
                  <w14:solidFill>
                    <w14:schemeClr w14:val="tx1"/>
                  </w14:solidFill>
                </w14:textFill>
              </w:rPr>
              <w:t>；c）</w:t>
            </w:r>
            <w:r>
              <w:rPr>
                <w:color w:val="000000" w:themeColor="text1"/>
                <w:sz w:val="18"/>
                <w:szCs w:val="18"/>
                <w14:textFill>
                  <w14:solidFill>
                    <w14:schemeClr w14:val="tx1"/>
                  </w14:solidFill>
                </w14:textFill>
              </w:rPr>
              <w:sym w:font="Wingdings" w:char="00A8"/>
            </w:r>
            <w:r>
              <w:rPr>
                <w:color w:val="000000" w:themeColor="text1"/>
                <w:sz w:val="18"/>
                <w:szCs w:val="18"/>
                <w14:textFill>
                  <w14:solidFill>
                    <w14:schemeClr w14:val="tx1"/>
                  </w14:solidFill>
                </w14:textFill>
              </w:rPr>
              <w:t>；d）</w:t>
            </w:r>
            <w:r>
              <w:rPr>
                <w:color w:val="000000" w:themeColor="text1"/>
                <w:sz w:val="18"/>
                <w:szCs w:val="18"/>
                <w14:textFill>
                  <w14:solidFill>
                    <w14:schemeClr w14:val="tx1"/>
                  </w14:solidFill>
                </w14:textFill>
              </w:rPr>
              <w:sym w:font="Wingdings" w:char="00A8"/>
            </w:r>
          </w:p>
        </w:tc>
        <w:tc>
          <w:tcPr>
            <w:tcW w:w="717" w:type="dxa"/>
            <w:noWrap/>
            <w:vAlign w:val="center"/>
          </w:tcPr>
          <w:p w14:paraId="31D76AF0">
            <w:pPr>
              <w:spacing w:line="240" w:lineRule="exact"/>
              <w:jc w:val="center"/>
              <w:rPr>
                <w:color w:val="000000" w:themeColor="text1"/>
                <w:sz w:val="18"/>
                <w:szCs w:val="18"/>
                <w14:textFill>
                  <w14:solidFill>
                    <w14:schemeClr w14:val="tx1"/>
                  </w14:solidFill>
                </w14:textFill>
              </w:rPr>
            </w:pPr>
          </w:p>
        </w:tc>
      </w:tr>
      <w:tr w14:paraId="421D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7AE0D479">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1E441946">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理化特性</w:t>
            </w:r>
          </w:p>
        </w:tc>
        <w:tc>
          <w:tcPr>
            <w:tcW w:w="6032" w:type="dxa"/>
            <w:gridSpan w:val="6"/>
            <w:noWrap/>
            <w:vAlign w:val="center"/>
          </w:tcPr>
          <w:p w14:paraId="358A5AE3">
            <w:pPr>
              <w:spacing w:line="240" w:lineRule="exact"/>
              <w:jc w:val="center"/>
              <w:rPr>
                <w:color w:val="000000" w:themeColor="text1"/>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浅</w:t>
            </w:r>
            <w:r>
              <w:rPr>
                <w:color w:val="000000" w:themeColor="text1"/>
                <w:kern w:val="0"/>
                <w:sz w:val="18"/>
                <w:szCs w:val="18"/>
                <w14:textFill>
                  <w14:solidFill>
                    <w14:schemeClr w14:val="tx1"/>
                  </w14:solidFill>
                </w14:textFill>
              </w:rPr>
              <w:t>棕</w:t>
            </w:r>
            <w:r>
              <w:rPr>
                <w:rFonts w:hint="eastAsia"/>
                <w:color w:val="000000" w:themeColor="text1"/>
                <w:kern w:val="0"/>
                <w:sz w:val="18"/>
                <w:szCs w:val="18"/>
                <w14:textFill>
                  <w14:solidFill>
                    <w14:schemeClr w14:val="tx1"/>
                  </w14:solidFill>
                </w14:textFill>
              </w:rPr>
              <w:t>色、砂壤土、少量根系</w:t>
            </w:r>
          </w:p>
        </w:tc>
        <w:tc>
          <w:tcPr>
            <w:tcW w:w="717" w:type="dxa"/>
            <w:noWrap/>
            <w:vAlign w:val="center"/>
          </w:tcPr>
          <w:p w14:paraId="17CD82BF">
            <w:pPr>
              <w:spacing w:line="240" w:lineRule="exact"/>
              <w:jc w:val="center"/>
              <w:rPr>
                <w:color w:val="000000" w:themeColor="text1"/>
                <w:sz w:val="18"/>
                <w:szCs w:val="18"/>
                <w14:textFill>
                  <w14:solidFill>
                    <w14:schemeClr w14:val="tx1"/>
                  </w14:solidFill>
                </w14:textFill>
              </w:rPr>
            </w:pPr>
          </w:p>
        </w:tc>
      </w:tr>
      <w:tr w14:paraId="3F80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022D91E9">
            <w:pPr>
              <w:spacing w:line="240" w:lineRule="exact"/>
              <w:jc w:val="center"/>
              <w:rPr>
                <w:color w:val="000000" w:themeColor="text1"/>
                <w:sz w:val="18"/>
                <w:szCs w:val="18"/>
                <w14:textFill>
                  <w14:solidFill>
                    <w14:schemeClr w14:val="tx1"/>
                  </w14:solidFill>
                </w14:textFill>
              </w:rPr>
            </w:pPr>
          </w:p>
        </w:tc>
        <w:tc>
          <w:tcPr>
            <w:tcW w:w="1676" w:type="dxa"/>
            <w:vMerge w:val="restart"/>
            <w:noWrap/>
            <w:vAlign w:val="center"/>
          </w:tcPr>
          <w:p w14:paraId="2943486D">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现状监测点位</w:t>
            </w:r>
          </w:p>
        </w:tc>
        <w:tc>
          <w:tcPr>
            <w:tcW w:w="1417" w:type="dxa"/>
            <w:noWrap/>
            <w:vAlign w:val="center"/>
          </w:tcPr>
          <w:p w14:paraId="153E3A98">
            <w:pPr>
              <w:spacing w:line="240" w:lineRule="exact"/>
              <w:jc w:val="center"/>
              <w:rPr>
                <w:color w:val="000000" w:themeColor="text1"/>
                <w:sz w:val="18"/>
                <w:szCs w:val="18"/>
                <w14:textFill>
                  <w14:solidFill>
                    <w14:schemeClr w14:val="tx1"/>
                  </w14:solidFill>
                </w14:textFill>
              </w:rPr>
            </w:pPr>
          </w:p>
        </w:tc>
        <w:tc>
          <w:tcPr>
            <w:tcW w:w="1537" w:type="dxa"/>
            <w:gridSpan w:val="2"/>
            <w:noWrap/>
            <w:vAlign w:val="center"/>
          </w:tcPr>
          <w:p w14:paraId="0F5A9E28">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占地范围内</w:t>
            </w:r>
          </w:p>
        </w:tc>
        <w:tc>
          <w:tcPr>
            <w:tcW w:w="1538" w:type="dxa"/>
            <w:gridSpan w:val="2"/>
            <w:noWrap/>
            <w:vAlign w:val="center"/>
          </w:tcPr>
          <w:p w14:paraId="22721C35">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占地范围外</w:t>
            </w:r>
          </w:p>
        </w:tc>
        <w:tc>
          <w:tcPr>
            <w:tcW w:w="1540" w:type="dxa"/>
            <w:noWrap/>
            <w:vAlign w:val="center"/>
          </w:tcPr>
          <w:p w14:paraId="0EB0CF29">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深度</w:t>
            </w:r>
          </w:p>
        </w:tc>
        <w:tc>
          <w:tcPr>
            <w:tcW w:w="717" w:type="dxa"/>
            <w:vMerge w:val="restart"/>
            <w:noWrap/>
            <w:vAlign w:val="center"/>
          </w:tcPr>
          <w:p w14:paraId="30080A53">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点位布置图</w:t>
            </w:r>
          </w:p>
        </w:tc>
      </w:tr>
      <w:tr w14:paraId="1E1C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4B91D2FE">
            <w:pPr>
              <w:spacing w:line="240" w:lineRule="exact"/>
              <w:jc w:val="center"/>
              <w:rPr>
                <w:color w:val="000000" w:themeColor="text1"/>
                <w:sz w:val="18"/>
                <w:szCs w:val="18"/>
                <w14:textFill>
                  <w14:solidFill>
                    <w14:schemeClr w14:val="tx1"/>
                  </w14:solidFill>
                </w14:textFill>
              </w:rPr>
            </w:pPr>
          </w:p>
        </w:tc>
        <w:tc>
          <w:tcPr>
            <w:tcW w:w="1676" w:type="dxa"/>
            <w:vMerge w:val="continue"/>
            <w:noWrap/>
            <w:vAlign w:val="center"/>
          </w:tcPr>
          <w:p w14:paraId="3458499E">
            <w:pPr>
              <w:spacing w:line="240" w:lineRule="exact"/>
              <w:jc w:val="center"/>
              <w:rPr>
                <w:color w:val="000000" w:themeColor="text1"/>
                <w:sz w:val="18"/>
                <w:szCs w:val="18"/>
                <w14:textFill>
                  <w14:solidFill>
                    <w14:schemeClr w14:val="tx1"/>
                  </w14:solidFill>
                </w14:textFill>
              </w:rPr>
            </w:pPr>
          </w:p>
        </w:tc>
        <w:tc>
          <w:tcPr>
            <w:tcW w:w="1417" w:type="dxa"/>
            <w:noWrap/>
            <w:vAlign w:val="center"/>
          </w:tcPr>
          <w:p w14:paraId="3A0D0917">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表层样点数</w:t>
            </w:r>
          </w:p>
        </w:tc>
        <w:tc>
          <w:tcPr>
            <w:tcW w:w="1537" w:type="dxa"/>
            <w:gridSpan w:val="2"/>
            <w:noWrap/>
            <w:vAlign w:val="center"/>
          </w:tcPr>
          <w:p w14:paraId="21229744">
            <w:pPr>
              <w:spacing w:line="24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538" w:type="dxa"/>
            <w:gridSpan w:val="2"/>
            <w:noWrap/>
            <w:vAlign w:val="center"/>
          </w:tcPr>
          <w:p w14:paraId="4711D25C">
            <w:pPr>
              <w:spacing w:line="24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540" w:type="dxa"/>
            <w:noWrap/>
            <w:vAlign w:val="center"/>
          </w:tcPr>
          <w:p w14:paraId="11BFF847">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0~0.2m</w:t>
            </w:r>
          </w:p>
        </w:tc>
        <w:tc>
          <w:tcPr>
            <w:tcW w:w="717" w:type="dxa"/>
            <w:vMerge w:val="continue"/>
            <w:noWrap/>
            <w:vAlign w:val="center"/>
          </w:tcPr>
          <w:p w14:paraId="0CA48201">
            <w:pPr>
              <w:spacing w:line="240" w:lineRule="exact"/>
              <w:jc w:val="center"/>
              <w:rPr>
                <w:color w:val="000000" w:themeColor="text1"/>
                <w:sz w:val="18"/>
                <w:szCs w:val="18"/>
                <w14:textFill>
                  <w14:solidFill>
                    <w14:schemeClr w14:val="tx1"/>
                  </w14:solidFill>
                </w14:textFill>
              </w:rPr>
            </w:pPr>
          </w:p>
        </w:tc>
      </w:tr>
      <w:tr w14:paraId="19DC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375443B7">
            <w:pPr>
              <w:spacing w:line="240" w:lineRule="exact"/>
              <w:jc w:val="center"/>
              <w:rPr>
                <w:color w:val="000000" w:themeColor="text1"/>
                <w:sz w:val="18"/>
                <w:szCs w:val="18"/>
                <w14:textFill>
                  <w14:solidFill>
                    <w14:schemeClr w14:val="tx1"/>
                  </w14:solidFill>
                </w14:textFill>
              </w:rPr>
            </w:pPr>
          </w:p>
        </w:tc>
        <w:tc>
          <w:tcPr>
            <w:tcW w:w="1676" w:type="dxa"/>
            <w:vMerge w:val="continue"/>
            <w:noWrap/>
            <w:vAlign w:val="center"/>
          </w:tcPr>
          <w:p w14:paraId="36B6A2A4">
            <w:pPr>
              <w:spacing w:line="240" w:lineRule="exact"/>
              <w:jc w:val="center"/>
              <w:rPr>
                <w:color w:val="000000" w:themeColor="text1"/>
                <w:sz w:val="18"/>
                <w:szCs w:val="18"/>
                <w14:textFill>
                  <w14:solidFill>
                    <w14:schemeClr w14:val="tx1"/>
                  </w14:solidFill>
                </w14:textFill>
              </w:rPr>
            </w:pPr>
          </w:p>
        </w:tc>
        <w:tc>
          <w:tcPr>
            <w:tcW w:w="1417" w:type="dxa"/>
            <w:noWrap/>
            <w:vAlign w:val="center"/>
          </w:tcPr>
          <w:p w14:paraId="178A3B48">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柱状样点数</w:t>
            </w:r>
          </w:p>
        </w:tc>
        <w:tc>
          <w:tcPr>
            <w:tcW w:w="1537" w:type="dxa"/>
            <w:gridSpan w:val="2"/>
            <w:noWrap/>
            <w:vAlign w:val="center"/>
          </w:tcPr>
          <w:p w14:paraId="2D10FA7F">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538" w:type="dxa"/>
            <w:gridSpan w:val="2"/>
            <w:noWrap/>
            <w:vAlign w:val="center"/>
          </w:tcPr>
          <w:p w14:paraId="7F669C98">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540" w:type="dxa"/>
            <w:noWrap/>
            <w:vAlign w:val="center"/>
          </w:tcPr>
          <w:p w14:paraId="1E9277D8">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717" w:type="dxa"/>
            <w:vMerge w:val="continue"/>
            <w:noWrap/>
            <w:vAlign w:val="center"/>
          </w:tcPr>
          <w:p w14:paraId="740C606C">
            <w:pPr>
              <w:spacing w:line="240" w:lineRule="exact"/>
              <w:jc w:val="center"/>
              <w:rPr>
                <w:color w:val="000000" w:themeColor="text1"/>
                <w:sz w:val="18"/>
                <w:szCs w:val="18"/>
                <w14:textFill>
                  <w14:solidFill>
                    <w14:schemeClr w14:val="tx1"/>
                  </w14:solidFill>
                </w14:textFill>
              </w:rPr>
            </w:pPr>
          </w:p>
        </w:tc>
      </w:tr>
      <w:tr w14:paraId="5F9A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2A5D2C9B">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538500C9">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现状监测因子</w:t>
            </w:r>
          </w:p>
        </w:tc>
        <w:tc>
          <w:tcPr>
            <w:tcW w:w="6032" w:type="dxa"/>
            <w:gridSpan w:val="6"/>
            <w:noWrap/>
            <w:vAlign w:val="center"/>
          </w:tcPr>
          <w:p w14:paraId="307C0DFD">
            <w:pPr>
              <w:autoSpaceDE w:val="0"/>
              <w:autoSpaceDN w:val="0"/>
              <w:adjustRightInd w:val="0"/>
              <w:spacing w:line="240" w:lineRule="exact"/>
              <w:jc w:val="center"/>
              <w:rPr>
                <w:color w:val="000000" w:themeColor="text1"/>
                <w:sz w:val="18"/>
                <w:szCs w:val="18"/>
                <w14:textFill>
                  <w14:solidFill>
                    <w14:schemeClr w14:val="tx1"/>
                  </w14:solidFill>
                </w14:textFill>
              </w:rPr>
            </w:pPr>
            <w:r>
              <w:rPr>
                <w:color w:val="000000" w:themeColor="text1"/>
                <w:kern w:val="0"/>
                <w:sz w:val="18"/>
                <w:szCs w:val="18"/>
                <w14:textFill>
                  <w14:solidFill>
                    <w14:schemeClr w14:val="tx1"/>
                  </w14:solidFill>
                </w14:textFill>
              </w:rPr>
              <w:t>pH、氧化还原电位、阳离子交换量、渗透性、容重、总孔隙度、石砾含量、铅（总铅）、镉（总镉）、铜（总铜）、镍（总镍）、汞（总汞）、砷（总砷）、铬（总铬）、锌（总锌）、六六六（α-六六六、β-六六六、γ-六六六、δ-六六六）、滴滴涕（p,p'-DDE、p,p'-DDD、o,p'-DDT、p,p'-DDT）、苯并(a)芘</w:t>
            </w:r>
          </w:p>
        </w:tc>
        <w:tc>
          <w:tcPr>
            <w:tcW w:w="717" w:type="dxa"/>
            <w:noWrap/>
            <w:vAlign w:val="center"/>
          </w:tcPr>
          <w:p w14:paraId="22317D20">
            <w:pPr>
              <w:spacing w:line="240" w:lineRule="exact"/>
              <w:jc w:val="center"/>
              <w:rPr>
                <w:color w:val="000000" w:themeColor="text1"/>
                <w:sz w:val="18"/>
                <w:szCs w:val="18"/>
                <w14:textFill>
                  <w14:solidFill>
                    <w14:schemeClr w14:val="tx1"/>
                  </w14:solidFill>
                </w14:textFill>
              </w:rPr>
            </w:pPr>
          </w:p>
        </w:tc>
      </w:tr>
      <w:tr w14:paraId="6F2B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restart"/>
            <w:noWrap/>
            <w:vAlign w:val="center"/>
          </w:tcPr>
          <w:p w14:paraId="32695114">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现状评价</w:t>
            </w:r>
          </w:p>
        </w:tc>
        <w:tc>
          <w:tcPr>
            <w:tcW w:w="1676" w:type="dxa"/>
            <w:noWrap/>
            <w:vAlign w:val="center"/>
          </w:tcPr>
          <w:p w14:paraId="0D583C5E">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评价因子</w:t>
            </w:r>
          </w:p>
        </w:tc>
        <w:tc>
          <w:tcPr>
            <w:tcW w:w="6032" w:type="dxa"/>
            <w:gridSpan w:val="6"/>
            <w:noWrap/>
            <w:vAlign w:val="center"/>
          </w:tcPr>
          <w:p w14:paraId="0D109C4C">
            <w:pPr>
              <w:spacing w:line="240" w:lineRule="exact"/>
              <w:jc w:val="center"/>
              <w:rPr>
                <w:color w:val="000000" w:themeColor="text1"/>
                <w:sz w:val="18"/>
                <w:szCs w:val="18"/>
                <w14:textFill>
                  <w14:solidFill>
                    <w14:schemeClr w14:val="tx1"/>
                  </w14:solidFill>
                </w14:textFill>
              </w:rPr>
            </w:pPr>
            <w:r>
              <w:rPr>
                <w:color w:val="000000" w:themeColor="text1"/>
                <w:kern w:val="0"/>
                <w:sz w:val="18"/>
                <w:szCs w:val="18"/>
                <w14:textFill>
                  <w14:solidFill>
                    <w14:schemeClr w14:val="tx1"/>
                  </w14:solidFill>
                </w14:textFill>
              </w:rPr>
              <w:t>pH、氧化还原电位、阳离子交换量、渗透性、容重、总孔隙度、石砾含量、铅（总铅）、镉（总镉）、铜（总铜）、镍（总镍）、汞（总汞）、砷（总砷）、铬（总铬）、锌（总锌）、六六六（α-六六六、β-六六六、γ-六六六、δ-六六六）、滴滴涕（p,p'-DDE、p,p'-DDD、o,p'-DDT、p,p'-DDT）、苯并(a)芘</w:t>
            </w:r>
          </w:p>
        </w:tc>
        <w:tc>
          <w:tcPr>
            <w:tcW w:w="717" w:type="dxa"/>
            <w:noWrap/>
            <w:vAlign w:val="center"/>
          </w:tcPr>
          <w:p w14:paraId="5148C149">
            <w:pPr>
              <w:spacing w:line="240" w:lineRule="exact"/>
              <w:jc w:val="center"/>
              <w:rPr>
                <w:color w:val="000000" w:themeColor="text1"/>
                <w:sz w:val="18"/>
                <w:szCs w:val="18"/>
                <w14:textFill>
                  <w14:solidFill>
                    <w14:schemeClr w14:val="tx1"/>
                  </w14:solidFill>
                </w14:textFill>
              </w:rPr>
            </w:pPr>
          </w:p>
        </w:tc>
      </w:tr>
      <w:tr w14:paraId="1638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04CD09C6">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48FCB63D">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评价标准</w:t>
            </w:r>
          </w:p>
        </w:tc>
        <w:tc>
          <w:tcPr>
            <w:tcW w:w="6032" w:type="dxa"/>
            <w:gridSpan w:val="6"/>
            <w:noWrap/>
            <w:vAlign w:val="center"/>
          </w:tcPr>
          <w:p w14:paraId="21E81CAD">
            <w:pPr>
              <w:spacing w:line="240" w:lineRule="exact"/>
              <w:jc w:val="center"/>
              <w:rPr>
                <w:color w:val="FF0000"/>
                <w:sz w:val="18"/>
                <w:szCs w:val="18"/>
              </w:rPr>
            </w:pPr>
            <w:r>
              <w:rPr>
                <w:color w:val="FF0000"/>
                <w:sz w:val="18"/>
                <w:szCs w:val="18"/>
              </w:rPr>
              <w:t>GB15618</w:t>
            </w:r>
            <w:r>
              <w:rPr>
                <w:rFonts w:hint="eastAsia"/>
                <w:color w:val="FF0000"/>
                <w:sz w:val="18"/>
                <w:szCs w:val="18"/>
              </w:rPr>
              <w:t>☑</w:t>
            </w:r>
            <w:r>
              <w:rPr>
                <w:color w:val="FF0000"/>
                <w:sz w:val="18"/>
                <w:szCs w:val="18"/>
              </w:rPr>
              <w:t>；GB36600</w:t>
            </w:r>
            <w:r>
              <w:rPr>
                <w:color w:val="FF0000"/>
                <w:sz w:val="18"/>
                <w:szCs w:val="18"/>
              </w:rPr>
              <w:sym w:font="Wingdings" w:char="00FE"/>
            </w:r>
            <w:r>
              <w:rPr>
                <w:color w:val="FF0000"/>
                <w:sz w:val="18"/>
                <w:szCs w:val="18"/>
              </w:rPr>
              <w:t>；表D.1□；表D.2□；其他（ ）</w:t>
            </w:r>
          </w:p>
        </w:tc>
        <w:tc>
          <w:tcPr>
            <w:tcW w:w="717" w:type="dxa"/>
            <w:noWrap/>
            <w:vAlign w:val="center"/>
          </w:tcPr>
          <w:p w14:paraId="60A0DC82">
            <w:pPr>
              <w:spacing w:line="240" w:lineRule="exact"/>
              <w:jc w:val="center"/>
              <w:rPr>
                <w:color w:val="000000" w:themeColor="text1"/>
                <w:sz w:val="18"/>
                <w:szCs w:val="18"/>
                <w14:textFill>
                  <w14:solidFill>
                    <w14:schemeClr w14:val="tx1"/>
                  </w14:solidFill>
                </w14:textFill>
              </w:rPr>
            </w:pPr>
          </w:p>
        </w:tc>
      </w:tr>
      <w:tr w14:paraId="662E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0744996E">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6DBEBD04">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现状评价结论</w:t>
            </w:r>
          </w:p>
        </w:tc>
        <w:tc>
          <w:tcPr>
            <w:tcW w:w="6032" w:type="dxa"/>
            <w:gridSpan w:val="6"/>
            <w:noWrap/>
            <w:vAlign w:val="center"/>
          </w:tcPr>
          <w:p w14:paraId="49663B2A">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项目区域各土壤监测的监测值均</w:t>
            </w:r>
            <w:r>
              <w:rPr>
                <w:rFonts w:hint="eastAsia"/>
                <w:color w:val="000000" w:themeColor="text1"/>
                <w:sz w:val="18"/>
                <w:szCs w:val="18"/>
                <w14:textFill>
                  <w14:solidFill>
                    <w14:schemeClr w14:val="tx1"/>
                  </w14:solidFill>
                </w14:textFill>
              </w:rPr>
              <w:t>满足《土壤环境质量标准农用地土壤污染风险管控标准》（GB 15618—2018）</w:t>
            </w:r>
          </w:p>
        </w:tc>
        <w:tc>
          <w:tcPr>
            <w:tcW w:w="717" w:type="dxa"/>
            <w:noWrap/>
            <w:vAlign w:val="center"/>
          </w:tcPr>
          <w:p w14:paraId="71F885B5">
            <w:pPr>
              <w:spacing w:line="240" w:lineRule="exact"/>
              <w:jc w:val="center"/>
              <w:rPr>
                <w:color w:val="000000" w:themeColor="text1"/>
                <w:sz w:val="18"/>
                <w:szCs w:val="18"/>
                <w14:textFill>
                  <w14:solidFill>
                    <w14:schemeClr w14:val="tx1"/>
                  </w14:solidFill>
                </w14:textFill>
              </w:rPr>
            </w:pPr>
          </w:p>
        </w:tc>
      </w:tr>
      <w:tr w14:paraId="601C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restart"/>
            <w:noWrap/>
            <w:vAlign w:val="center"/>
          </w:tcPr>
          <w:p w14:paraId="1E2EDEA6">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影响预测</w:t>
            </w:r>
          </w:p>
        </w:tc>
        <w:tc>
          <w:tcPr>
            <w:tcW w:w="1676" w:type="dxa"/>
            <w:noWrap/>
            <w:vAlign w:val="center"/>
          </w:tcPr>
          <w:p w14:paraId="072040E7">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预测因子</w:t>
            </w:r>
          </w:p>
        </w:tc>
        <w:tc>
          <w:tcPr>
            <w:tcW w:w="6032" w:type="dxa"/>
            <w:gridSpan w:val="6"/>
            <w:noWrap/>
            <w:vAlign w:val="center"/>
          </w:tcPr>
          <w:p w14:paraId="7B66930A">
            <w:pPr>
              <w:spacing w:line="24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w:t>
            </w:r>
          </w:p>
        </w:tc>
        <w:tc>
          <w:tcPr>
            <w:tcW w:w="717" w:type="dxa"/>
            <w:noWrap/>
            <w:vAlign w:val="center"/>
          </w:tcPr>
          <w:p w14:paraId="2923DE85">
            <w:pPr>
              <w:spacing w:line="240" w:lineRule="exact"/>
              <w:jc w:val="center"/>
              <w:rPr>
                <w:color w:val="000000" w:themeColor="text1"/>
                <w:sz w:val="18"/>
                <w:szCs w:val="18"/>
                <w14:textFill>
                  <w14:solidFill>
                    <w14:schemeClr w14:val="tx1"/>
                  </w14:solidFill>
                </w14:textFill>
              </w:rPr>
            </w:pPr>
          </w:p>
        </w:tc>
      </w:tr>
      <w:tr w14:paraId="73112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3B92DF09">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0C832747">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预测方法</w:t>
            </w:r>
          </w:p>
        </w:tc>
        <w:tc>
          <w:tcPr>
            <w:tcW w:w="6032" w:type="dxa"/>
            <w:gridSpan w:val="6"/>
            <w:noWrap/>
            <w:vAlign w:val="center"/>
          </w:tcPr>
          <w:p w14:paraId="1E867B74">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附录E□；附录F□；其他（</w:t>
            </w:r>
            <w:r>
              <w:rPr>
                <w:color w:val="000000" w:themeColor="text1"/>
                <w:sz w:val="18"/>
                <w:szCs w:val="18"/>
                <w14:textFill>
                  <w14:solidFill>
                    <w14:schemeClr w14:val="tx1"/>
                  </w14:solidFill>
                </w14:textFill>
              </w:rPr>
              <w:tab/>
            </w:r>
            <w:r>
              <w:rPr>
                <w:color w:val="000000" w:themeColor="text1"/>
                <w:sz w:val="18"/>
                <w:szCs w:val="18"/>
                <w14:textFill>
                  <w14:solidFill>
                    <w14:schemeClr w14:val="tx1"/>
                  </w14:solidFill>
                </w14:textFill>
              </w:rPr>
              <w:sym w:font="Wingdings 2" w:char="F050"/>
            </w:r>
            <w:r>
              <w:rPr>
                <w:color w:val="000000" w:themeColor="text1"/>
                <w:sz w:val="18"/>
                <w:szCs w:val="18"/>
                <w14:textFill>
                  <w14:solidFill>
                    <w14:schemeClr w14:val="tx1"/>
                  </w14:solidFill>
                </w14:textFill>
              </w:rPr>
              <w:t>）</w:t>
            </w:r>
          </w:p>
        </w:tc>
        <w:tc>
          <w:tcPr>
            <w:tcW w:w="717" w:type="dxa"/>
            <w:noWrap/>
            <w:vAlign w:val="center"/>
          </w:tcPr>
          <w:p w14:paraId="283ACE82">
            <w:pPr>
              <w:spacing w:line="240" w:lineRule="exact"/>
              <w:jc w:val="center"/>
              <w:rPr>
                <w:color w:val="000000" w:themeColor="text1"/>
                <w:sz w:val="18"/>
                <w:szCs w:val="18"/>
                <w14:textFill>
                  <w14:solidFill>
                    <w14:schemeClr w14:val="tx1"/>
                  </w14:solidFill>
                </w14:textFill>
              </w:rPr>
            </w:pPr>
          </w:p>
        </w:tc>
      </w:tr>
      <w:tr w14:paraId="2471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73522C7E">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3281DD87">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预测分析内容</w:t>
            </w:r>
          </w:p>
        </w:tc>
        <w:tc>
          <w:tcPr>
            <w:tcW w:w="6032" w:type="dxa"/>
            <w:gridSpan w:val="6"/>
            <w:noWrap/>
            <w:vAlign w:val="center"/>
          </w:tcPr>
          <w:p w14:paraId="3B1C5258">
            <w:pPr>
              <w:pStyle w:val="1744"/>
              <w:tabs>
                <w:tab w:val="left" w:pos="1629"/>
              </w:tabs>
              <w:spacing w:line="240" w:lineRule="exact"/>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eastAsia="宋体" w:cs="Times New Roman"/>
                <w:color w:val="000000" w:themeColor="text1"/>
                <w:sz w:val="18"/>
                <w:szCs w:val="18"/>
                <w14:textFill>
                  <w14:solidFill>
                    <w14:schemeClr w14:val="tx1"/>
                  </w14:solidFill>
                </w14:textFill>
              </w:rPr>
              <w:t>影响范围（</w:t>
            </w:r>
            <w:r>
              <w:rPr>
                <w:rFonts w:ascii="Times New Roman" w:hAnsi="Times New Roman" w:cs="Times New Roman"/>
                <w:color w:val="000000" w:themeColor="text1"/>
                <w:sz w:val="18"/>
                <w:szCs w:val="18"/>
                <w14:textFill>
                  <w14:solidFill>
                    <w14:schemeClr w14:val="tx1"/>
                  </w14:solidFill>
                </w14:textFill>
              </w:rPr>
              <w:tab/>
            </w:r>
            <w:r>
              <w:rPr>
                <w:rFonts w:ascii="Times New Roman" w:hAnsi="Times New Roman" w:eastAsia="宋体" w:cs="Times New Roman"/>
                <w:color w:val="000000" w:themeColor="text1"/>
                <w:sz w:val="18"/>
                <w:szCs w:val="18"/>
                <w14:textFill>
                  <w14:solidFill>
                    <w14:schemeClr w14:val="tx1"/>
                  </w14:solidFill>
                </w14:textFill>
              </w:rPr>
              <w:t>）</w:t>
            </w:r>
          </w:p>
          <w:p w14:paraId="488FCCB0">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影响程度（</w:t>
            </w:r>
            <w:r>
              <w:rPr>
                <w:color w:val="000000" w:themeColor="text1"/>
                <w:sz w:val="18"/>
                <w:szCs w:val="18"/>
                <w14:textFill>
                  <w14:solidFill>
                    <w14:schemeClr w14:val="tx1"/>
                  </w14:solidFill>
                </w14:textFill>
              </w:rPr>
              <w:tab/>
            </w:r>
            <w:r>
              <w:rPr>
                <w:color w:val="000000" w:themeColor="text1"/>
                <w:sz w:val="18"/>
                <w:szCs w:val="18"/>
                <w14:textFill>
                  <w14:solidFill>
                    <w14:schemeClr w14:val="tx1"/>
                  </w14:solidFill>
                </w14:textFill>
              </w:rPr>
              <w:t>）</w:t>
            </w:r>
          </w:p>
        </w:tc>
        <w:tc>
          <w:tcPr>
            <w:tcW w:w="717" w:type="dxa"/>
            <w:noWrap/>
            <w:vAlign w:val="center"/>
          </w:tcPr>
          <w:p w14:paraId="4FAC6A28">
            <w:pPr>
              <w:spacing w:line="240" w:lineRule="exact"/>
              <w:jc w:val="center"/>
              <w:rPr>
                <w:color w:val="000000" w:themeColor="text1"/>
                <w:sz w:val="18"/>
                <w:szCs w:val="18"/>
                <w14:textFill>
                  <w14:solidFill>
                    <w14:schemeClr w14:val="tx1"/>
                  </w14:solidFill>
                </w14:textFill>
              </w:rPr>
            </w:pPr>
          </w:p>
        </w:tc>
      </w:tr>
      <w:tr w14:paraId="63C8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2CC15362">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0FA897A5">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预测结论</w:t>
            </w:r>
          </w:p>
        </w:tc>
        <w:tc>
          <w:tcPr>
            <w:tcW w:w="6032" w:type="dxa"/>
            <w:gridSpan w:val="6"/>
            <w:noWrap/>
            <w:vAlign w:val="center"/>
          </w:tcPr>
          <w:p w14:paraId="51CE3B87">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达标结论：a）</w:t>
            </w:r>
            <w:r>
              <w:rPr>
                <w:color w:val="000000" w:themeColor="text1"/>
                <w:sz w:val="18"/>
                <w:szCs w:val="18"/>
                <w14:textFill>
                  <w14:solidFill>
                    <w14:schemeClr w14:val="tx1"/>
                  </w14:solidFill>
                </w14:textFill>
              </w:rPr>
              <w:sym w:font="Wingdings" w:char="00FE"/>
            </w:r>
            <w:r>
              <w:rPr>
                <w:color w:val="000000" w:themeColor="text1"/>
                <w:sz w:val="18"/>
                <w:szCs w:val="18"/>
                <w14:textFill>
                  <w14:solidFill>
                    <w14:schemeClr w14:val="tx1"/>
                  </w14:solidFill>
                </w14:textFill>
              </w:rPr>
              <w:t>；b）</w:t>
            </w:r>
            <w:r>
              <w:rPr>
                <w:color w:val="000000" w:themeColor="text1"/>
                <w:sz w:val="18"/>
                <w:szCs w:val="18"/>
                <w14:textFill>
                  <w14:solidFill>
                    <w14:schemeClr w14:val="tx1"/>
                  </w14:solidFill>
                </w14:textFill>
              </w:rPr>
              <w:sym w:font="Wingdings" w:char="00A8"/>
            </w:r>
            <w:r>
              <w:rPr>
                <w:color w:val="000000" w:themeColor="text1"/>
                <w:sz w:val="18"/>
                <w:szCs w:val="18"/>
                <w14:textFill>
                  <w14:solidFill>
                    <w14:schemeClr w14:val="tx1"/>
                  </w14:solidFill>
                </w14:textFill>
              </w:rPr>
              <w:t>；c）</w:t>
            </w:r>
            <w:r>
              <w:rPr>
                <w:color w:val="000000" w:themeColor="text1"/>
                <w:sz w:val="18"/>
                <w:szCs w:val="18"/>
                <w14:textFill>
                  <w14:solidFill>
                    <w14:schemeClr w14:val="tx1"/>
                  </w14:solidFill>
                </w14:textFill>
              </w:rPr>
              <w:sym w:font="Wingdings" w:char="00A8"/>
            </w:r>
            <w:r>
              <w:rPr>
                <w:color w:val="000000" w:themeColor="text1"/>
                <w:sz w:val="18"/>
                <w:szCs w:val="18"/>
                <w14:textFill>
                  <w14:solidFill>
                    <w14:schemeClr w14:val="tx1"/>
                  </w14:solidFill>
                </w14:textFill>
              </w:rPr>
              <w:t>不达标结论：a）</w:t>
            </w:r>
            <w:r>
              <w:rPr>
                <w:color w:val="000000" w:themeColor="text1"/>
                <w:sz w:val="18"/>
                <w:szCs w:val="18"/>
                <w14:textFill>
                  <w14:solidFill>
                    <w14:schemeClr w14:val="tx1"/>
                  </w14:solidFill>
                </w14:textFill>
              </w:rPr>
              <w:sym w:font="Wingdings" w:char="00A8"/>
            </w:r>
            <w:r>
              <w:rPr>
                <w:color w:val="000000" w:themeColor="text1"/>
                <w:sz w:val="18"/>
                <w:szCs w:val="18"/>
                <w14:textFill>
                  <w14:solidFill>
                    <w14:schemeClr w14:val="tx1"/>
                  </w14:solidFill>
                </w14:textFill>
              </w:rPr>
              <w:t>；b）</w:t>
            </w:r>
            <w:r>
              <w:rPr>
                <w:color w:val="000000" w:themeColor="text1"/>
                <w:sz w:val="18"/>
                <w:szCs w:val="18"/>
                <w14:textFill>
                  <w14:solidFill>
                    <w14:schemeClr w14:val="tx1"/>
                  </w14:solidFill>
                </w14:textFill>
              </w:rPr>
              <w:sym w:font="Wingdings" w:char="00A8"/>
            </w:r>
          </w:p>
        </w:tc>
        <w:tc>
          <w:tcPr>
            <w:tcW w:w="717" w:type="dxa"/>
            <w:noWrap/>
            <w:vAlign w:val="center"/>
          </w:tcPr>
          <w:p w14:paraId="6FCE98C9">
            <w:pPr>
              <w:spacing w:line="240" w:lineRule="exact"/>
              <w:jc w:val="center"/>
              <w:rPr>
                <w:color w:val="000000" w:themeColor="text1"/>
                <w:sz w:val="18"/>
                <w:szCs w:val="18"/>
                <w14:textFill>
                  <w14:solidFill>
                    <w14:schemeClr w14:val="tx1"/>
                  </w14:solidFill>
                </w14:textFill>
              </w:rPr>
            </w:pPr>
          </w:p>
        </w:tc>
      </w:tr>
      <w:tr w14:paraId="28CDC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restart"/>
            <w:noWrap/>
            <w:vAlign w:val="center"/>
          </w:tcPr>
          <w:p w14:paraId="14B35AE4">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防治措施</w:t>
            </w:r>
          </w:p>
        </w:tc>
        <w:tc>
          <w:tcPr>
            <w:tcW w:w="1676" w:type="dxa"/>
            <w:noWrap/>
            <w:vAlign w:val="center"/>
          </w:tcPr>
          <w:p w14:paraId="3FB2A775">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防控措施</w:t>
            </w:r>
          </w:p>
        </w:tc>
        <w:tc>
          <w:tcPr>
            <w:tcW w:w="6032" w:type="dxa"/>
            <w:gridSpan w:val="6"/>
            <w:noWrap/>
            <w:vAlign w:val="center"/>
          </w:tcPr>
          <w:p w14:paraId="43CF0A0C">
            <w:pPr>
              <w:spacing w:line="24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土壤环境质量现状保障</w:t>
            </w:r>
            <w:r>
              <w:rPr>
                <w:color w:val="000000" w:themeColor="text1"/>
                <w:sz w:val="18"/>
                <w:szCs w:val="18"/>
                <w14:textFill>
                  <w14:solidFill>
                    <w14:schemeClr w14:val="tx1"/>
                  </w14:solidFill>
                </w14:textFill>
              </w:rPr>
              <w:sym w:font="Wingdings" w:char="00FE"/>
            </w:r>
            <w:r>
              <w:rPr>
                <w:color w:val="000000" w:themeColor="text1"/>
                <w:sz w:val="18"/>
                <w:szCs w:val="18"/>
                <w14:textFill>
                  <w14:solidFill>
                    <w14:schemeClr w14:val="tx1"/>
                  </w14:solidFill>
                </w14:textFill>
              </w:rPr>
              <w:t>；源头控制</w:t>
            </w:r>
            <w:r>
              <w:rPr>
                <w:color w:val="000000" w:themeColor="text1"/>
                <w:sz w:val="18"/>
                <w:szCs w:val="18"/>
                <w14:textFill>
                  <w14:solidFill>
                    <w14:schemeClr w14:val="tx1"/>
                  </w14:solidFill>
                </w14:textFill>
              </w:rPr>
              <w:sym w:font="Wingdings" w:char="00FE"/>
            </w:r>
            <w:r>
              <w:rPr>
                <w:color w:val="000000" w:themeColor="text1"/>
                <w:sz w:val="18"/>
                <w:szCs w:val="18"/>
                <w14:textFill>
                  <w14:solidFill>
                    <w14:schemeClr w14:val="tx1"/>
                  </w14:solidFill>
                </w14:textFill>
              </w:rPr>
              <w:t>；过程防控</w:t>
            </w:r>
            <w:r>
              <w:rPr>
                <w:color w:val="000000" w:themeColor="text1"/>
                <w:sz w:val="18"/>
                <w:szCs w:val="18"/>
                <w14:textFill>
                  <w14:solidFill>
                    <w14:schemeClr w14:val="tx1"/>
                  </w14:solidFill>
                </w14:textFill>
              </w:rPr>
              <w:sym w:font="Wingdings" w:char="00FE"/>
            </w:r>
            <w:r>
              <w:rPr>
                <w:color w:val="000000" w:themeColor="text1"/>
                <w:sz w:val="18"/>
                <w:szCs w:val="18"/>
                <w14:textFill>
                  <w14:solidFill>
                    <w14:schemeClr w14:val="tx1"/>
                  </w14:solidFill>
                </w14:textFill>
              </w:rPr>
              <w:t>；其他</w:t>
            </w:r>
            <w:r>
              <w:rPr>
                <w:rFonts w:hint="eastAsia"/>
                <w:color w:val="000000" w:themeColor="text1"/>
                <w:sz w:val="18"/>
                <w:szCs w:val="18"/>
                <w14:textFill>
                  <w14:solidFill>
                    <w14:schemeClr w14:val="tx1"/>
                  </w14:solidFill>
                </w14:textFill>
              </w:rPr>
              <w:t>（ ）</w:t>
            </w:r>
          </w:p>
        </w:tc>
        <w:tc>
          <w:tcPr>
            <w:tcW w:w="717" w:type="dxa"/>
            <w:noWrap/>
            <w:vAlign w:val="center"/>
          </w:tcPr>
          <w:p w14:paraId="78C14054">
            <w:pPr>
              <w:spacing w:line="240" w:lineRule="exact"/>
              <w:jc w:val="center"/>
              <w:rPr>
                <w:color w:val="000000" w:themeColor="text1"/>
                <w:sz w:val="18"/>
                <w:szCs w:val="18"/>
                <w14:textFill>
                  <w14:solidFill>
                    <w14:schemeClr w14:val="tx1"/>
                  </w14:solidFill>
                </w14:textFill>
              </w:rPr>
            </w:pPr>
          </w:p>
        </w:tc>
      </w:tr>
      <w:tr w14:paraId="383C9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7A0F7578">
            <w:pPr>
              <w:spacing w:line="240" w:lineRule="exact"/>
              <w:jc w:val="center"/>
              <w:rPr>
                <w:color w:val="000000" w:themeColor="text1"/>
                <w:sz w:val="18"/>
                <w:szCs w:val="18"/>
                <w14:textFill>
                  <w14:solidFill>
                    <w14:schemeClr w14:val="tx1"/>
                  </w14:solidFill>
                </w14:textFill>
              </w:rPr>
            </w:pPr>
          </w:p>
        </w:tc>
        <w:tc>
          <w:tcPr>
            <w:tcW w:w="1676" w:type="dxa"/>
            <w:vMerge w:val="restart"/>
            <w:noWrap/>
            <w:vAlign w:val="center"/>
          </w:tcPr>
          <w:p w14:paraId="3E1A772D">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跟踪监测</w:t>
            </w:r>
          </w:p>
        </w:tc>
        <w:tc>
          <w:tcPr>
            <w:tcW w:w="1691" w:type="dxa"/>
            <w:gridSpan w:val="2"/>
            <w:noWrap/>
            <w:vAlign w:val="center"/>
          </w:tcPr>
          <w:p w14:paraId="185AD97C">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监测点数</w:t>
            </w:r>
          </w:p>
        </w:tc>
        <w:tc>
          <w:tcPr>
            <w:tcW w:w="2330" w:type="dxa"/>
            <w:gridSpan w:val="2"/>
            <w:noWrap/>
            <w:vAlign w:val="center"/>
          </w:tcPr>
          <w:p w14:paraId="70561F3E">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监测指标</w:t>
            </w:r>
          </w:p>
        </w:tc>
        <w:tc>
          <w:tcPr>
            <w:tcW w:w="2011" w:type="dxa"/>
            <w:gridSpan w:val="2"/>
            <w:noWrap/>
            <w:vAlign w:val="center"/>
          </w:tcPr>
          <w:p w14:paraId="32F98C61">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监测频次</w:t>
            </w:r>
          </w:p>
        </w:tc>
        <w:tc>
          <w:tcPr>
            <w:tcW w:w="717" w:type="dxa"/>
            <w:vMerge w:val="restart"/>
            <w:noWrap/>
            <w:vAlign w:val="center"/>
          </w:tcPr>
          <w:p w14:paraId="2A8B2CA6">
            <w:pPr>
              <w:spacing w:line="240" w:lineRule="exact"/>
              <w:jc w:val="center"/>
              <w:rPr>
                <w:color w:val="000000" w:themeColor="text1"/>
                <w:sz w:val="18"/>
                <w:szCs w:val="18"/>
                <w14:textFill>
                  <w14:solidFill>
                    <w14:schemeClr w14:val="tx1"/>
                  </w14:solidFill>
                </w14:textFill>
              </w:rPr>
            </w:pPr>
          </w:p>
        </w:tc>
      </w:tr>
      <w:tr w14:paraId="1D857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06FD167A">
            <w:pPr>
              <w:spacing w:line="240" w:lineRule="exact"/>
              <w:jc w:val="center"/>
              <w:rPr>
                <w:color w:val="000000" w:themeColor="text1"/>
                <w:sz w:val="18"/>
                <w:szCs w:val="18"/>
                <w14:textFill>
                  <w14:solidFill>
                    <w14:schemeClr w14:val="tx1"/>
                  </w14:solidFill>
                </w14:textFill>
              </w:rPr>
            </w:pPr>
          </w:p>
        </w:tc>
        <w:tc>
          <w:tcPr>
            <w:tcW w:w="1676" w:type="dxa"/>
            <w:vMerge w:val="continue"/>
            <w:noWrap/>
            <w:vAlign w:val="center"/>
          </w:tcPr>
          <w:p w14:paraId="3654051C">
            <w:pPr>
              <w:spacing w:line="240" w:lineRule="exact"/>
              <w:jc w:val="center"/>
              <w:rPr>
                <w:color w:val="000000" w:themeColor="text1"/>
                <w:sz w:val="18"/>
                <w:szCs w:val="18"/>
                <w14:textFill>
                  <w14:solidFill>
                    <w14:schemeClr w14:val="tx1"/>
                  </w14:solidFill>
                </w14:textFill>
              </w:rPr>
            </w:pPr>
          </w:p>
        </w:tc>
        <w:tc>
          <w:tcPr>
            <w:tcW w:w="1691" w:type="dxa"/>
            <w:gridSpan w:val="2"/>
            <w:noWrap/>
            <w:vAlign w:val="center"/>
          </w:tcPr>
          <w:p w14:paraId="5054E541">
            <w:pPr>
              <w:spacing w:line="24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2330" w:type="dxa"/>
            <w:gridSpan w:val="2"/>
            <w:noWrap/>
            <w:vAlign w:val="center"/>
          </w:tcPr>
          <w:p w14:paraId="63EBBF89">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pH</w:t>
            </w:r>
            <w:r>
              <w:rPr>
                <w:rFonts w:hint="eastAsia"/>
                <w:color w:val="000000" w:themeColor="text1"/>
                <w:sz w:val="18"/>
                <w:szCs w:val="18"/>
                <w14:textFill>
                  <w14:solidFill>
                    <w14:schemeClr w14:val="tx1"/>
                  </w14:solidFill>
                </w14:textFill>
              </w:rPr>
              <w:t>、镉、汞、砷、铅、铬、铜、镍、锌</w:t>
            </w:r>
          </w:p>
        </w:tc>
        <w:tc>
          <w:tcPr>
            <w:tcW w:w="2011" w:type="dxa"/>
            <w:gridSpan w:val="2"/>
            <w:noWrap/>
            <w:vAlign w:val="center"/>
          </w:tcPr>
          <w:p w14:paraId="661FCB33">
            <w:pPr>
              <w:spacing w:line="240" w:lineRule="exact"/>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1次/5年</w:t>
            </w:r>
          </w:p>
        </w:tc>
        <w:tc>
          <w:tcPr>
            <w:tcW w:w="717" w:type="dxa"/>
            <w:vMerge w:val="continue"/>
            <w:noWrap/>
            <w:vAlign w:val="center"/>
          </w:tcPr>
          <w:p w14:paraId="6CC35AF6">
            <w:pPr>
              <w:spacing w:line="240" w:lineRule="exact"/>
              <w:jc w:val="center"/>
              <w:rPr>
                <w:color w:val="000000" w:themeColor="text1"/>
                <w:sz w:val="18"/>
                <w:szCs w:val="18"/>
                <w14:textFill>
                  <w14:solidFill>
                    <w14:schemeClr w14:val="tx1"/>
                  </w14:solidFill>
                </w14:textFill>
              </w:rPr>
            </w:pPr>
          </w:p>
        </w:tc>
      </w:tr>
      <w:tr w14:paraId="263B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427" w:type="dxa"/>
            <w:vMerge w:val="continue"/>
            <w:noWrap/>
            <w:vAlign w:val="center"/>
          </w:tcPr>
          <w:p w14:paraId="25358491">
            <w:pPr>
              <w:spacing w:line="240" w:lineRule="exact"/>
              <w:jc w:val="center"/>
              <w:rPr>
                <w:color w:val="000000" w:themeColor="text1"/>
                <w:sz w:val="18"/>
                <w:szCs w:val="18"/>
                <w14:textFill>
                  <w14:solidFill>
                    <w14:schemeClr w14:val="tx1"/>
                  </w14:solidFill>
                </w14:textFill>
              </w:rPr>
            </w:pPr>
          </w:p>
        </w:tc>
        <w:tc>
          <w:tcPr>
            <w:tcW w:w="1676" w:type="dxa"/>
            <w:noWrap/>
            <w:vAlign w:val="center"/>
          </w:tcPr>
          <w:p w14:paraId="112B7E67">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信息公开指标</w:t>
            </w:r>
          </w:p>
        </w:tc>
        <w:tc>
          <w:tcPr>
            <w:tcW w:w="6032" w:type="dxa"/>
            <w:gridSpan w:val="6"/>
            <w:noWrap/>
            <w:vAlign w:val="center"/>
          </w:tcPr>
          <w:p w14:paraId="4C9CF315">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污染防治措施、监测因子、监测方法、监测结果及达标情况</w:t>
            </w:r>
          </w:p>
        </w:tc>
        <w:tc>
          <w:tcPr>
            <w:tcW w:w="717" w:type="dxa"/>
            <w:vMerge w:val="continue"/>
            <w:noWrap/>
            <w:vAlign w:val="center"/>
          </w:tcPr>
          <w:p w14:paraId="3C265947">
            <w:pPr>
              <w:spacing w:line="240" w:lineRule="exact"/>
              <w:jc w:val="center"/>
              <w:rPr>
                <w:color w:val="000000" w:themeColor="text1"/>
                <w:sz w:val="18"/>
                <w:szCs w:val="18"/>
                <w14:textFill>
                  <w14:solidFill>
                    <w14:schemeClr w14:val="tx1"/>
                  </w14:solidFill>
                </w14:textFill>
              </w:rPr>
            </w:pPr>
          </w:p>
        </w:tc>
      </w:tr>
      <w:tr w14:paraId="025EE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2103" w:type="dxa"/>
            <w:gridSpan w:val="2"/>
            <w:noWrap/>
            <w:vAlign w:val="center"/>
          </w:tcPr>
          <w:p w14:paraId="5C7A4BA6">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评价结论</w:t>
            </w:r>
          </w:p>
        </w:tc>
        <w:tc>
          <w:tcPr>
            <w:tcW w:w="6032" w:type="dxa"/>
            <w:gridSpan w:val="6"/>
            <w:noWrap/>
            <w:vAlign w:val="center"/>
          </w:tcPr>
          <w:p w14:paraId="5AB4FED6">
            <w:pPr>
              <w:spacing w:line="240" w:lineRule="exact"/>
              <w:jc w:val="center"/>
              <w:rPr>
                <w:color w:val="000000" w:themeColor="text1"/>
                <w:sz w:val="18"/>
                <w:szCs w:val="18"/>
                <w14:textFill>
                  <w14:solidFill>
                    <w14:schemeClr w14:val="tx1"/>
                  </w14:solidFill>
                </w14:textFill>
              </w:rPr>
            </w:pPr>
            <w:r>
              <w:rPr>
                <w:color w:val="FF0000"/>
                <w:sz w:val="18"/>
                <w:szCs w:val="18"/>
              </w:rPr>
              <w:t>可行</w:t>
            </w:r>
          </w:p>
        </w:tc>
        <w:tc>
          <w:tcPr>
            <w:tcW w:w="717" w:type="dxa"/>
            <w:noWrap/>
            <w:vAlign w:val="center"/>
          </w:tcPr>
          <w:p w14:paraId="6CA14848">
            <w:pPr>
              <w:spacing w:line="240" w:lineRule="exact"/>
              <w:jc w:val="center"/>
              <w:rPr>
                <w:color w:val="000000" w:themeColor="text1"/>
                <w:sz w:val="18"/>
                <w:szCs w:val="18"/>
                <w14:textFill>
                  <w14:solidFill>
                    <w14:schemeClr w14:val="tx1"/>
                  </w14:solidFill>
                </w14:textFill>
              </w:rPr>
            </w:pPr>
          </w:p>
        </w:tc>
      </w:tr>
      <w:tr w14:paraId="2534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7" w:type="dxa"/>
            <w:bottom w:w="0" w:type="dxa"/>
            <w:right w:w="17" w:type="dxa"/>
          </w:tblCellMar>
        </w:tblPrEx>
        <w:trPr>
          <w:jc w:val="center"/>
        </w:trPr>
        <w:tc>
          <w:tcPr>
            <w:tcW w:w="8852" w:type="dxa"/>
            <w:gridSpan w:val="9"/>
            <w:noWrap/>
            <w:vAlign w:val="center"/>
          </w:tcPr>
          <w:p w14:paraId="0E81D0D0">
            <w:pPr>
              <w:spacing w:line="240" w:lineRule="exact"/>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注1：“</w:t>
            </w:r>
            <w:r>
              <w:rPr>
                <w:color w:val="000000" w:themeColor="text1"/>
                <w:sz w:val="18"/>
                <w:szCs w:val="18"/>
                <w14:textFill>
                  <w14:solidFill>
                    <w14:schemeClr w14:val="tx1"/>
                  </w14:solidFill>
                </w14:textFill>
              </w:rPr>
              <w:sym w:font="Wingdings" w:char="00A8"/>
            </w:r>
            <w:r>
              <w:rPr>
                <w:color w:val="000000" w:themeColor="text1"/>
                <w:sz w:val="18"/>
                <w:szCs w:val="18"/>
                <w14:textFill>
                  <w14:solidFill>
                    <w14:schemeClr w14:val="tx1"/>
                  </w14:solidFill>
                </w14:textFill>
              </w:rPr>
              <w:t>”为勾选项，可√；“（）”为内容填写项；“备注”为其他补充内容。注2：需要分别开展土壤环境影响评级工作的，分别填写自查表。</w:t>
            </w:r>
          </w:p>
        </w:tc>
      </w:tr>
    </w:tbl>
    <w:p w14:paraId="06DD3F8A">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880" w:name="_Toc233380240"/>
      <w:r>
        <w:rPr>
          <w:rFonts w:ascii="Times New Roman" w:hAnsi="Times New Roman" w:eastAsia="宋体"/>
          <w:color w:val="000000" w:themeColor="text1"/>
          <w:sz w:val="30"/>
          <w:szCs w:val="30"/>
          <w14:textFill>
            <w14:solidFill>
              <w14:schemeClr w14:val="tx1"/>
            </w14:solidFill>
          </w14:textFill>
        </w:rPr>
        <w:t>5.8运输环境影响分析</w:t>
      </w:r>
      <w:bookmarkEnd w:id="837"/>
      <w:bookmarkEnd w:id="880"/>
    </w:p>
    <w:p w14:paraId="46A520DC">
      <w:pPr>
        <w:pStyle w:val="5"/>
        <w:adjustRightInd w:val="0"/>
        <w:snapToGrid w:val="0"/>
        <w:spacing w:before="0" w:after="0" w:line="360" w:lineRule="auto"/>
        <w:rPr>
          <w:color w:val="000000" w:themeColor="text1"/>
          <w:sz w:val="28"/>
          <w:szCs w:val="28"/>
          <w14:textFill>
            <w14:solidFill>
              <w14:schemeClr w14:val="tx1"/>
            </w14:solidFill>
          </w14:textFill>
        </w:rPr>
      </w:pPr>
      <w:bookmarkStart w:id="881" w:name="_Toc233380241"/>
      <w:bookmarkStart w:id="882" w:name="_Toc230079427"/>
      <w:bookmarkStart w:id="883" w:name="_Toc3181"/>
      <w:bookmarkStart w:id="884" w:name="_Toc22854"/>
      <w:r>
        <w:rPr>
          <w:rFonts w:hint="eastAsia"/>
          <w:color w:val="000000" w:themeColor="text1"/>
          <w:sz w:val="28"/>
          <w:szCs w:val="28"/>
          <w14:textFill>
            <w14:solidFill>
              <w14:schemeClr w14:val="tx1"/>
            </w14:solidFill>
          </w14:textFill>
        </w:rPr>
        <w:t>5.8.1运输过程环境影响</w:t>
      </w:r>
      <w:bookmarkEnd w:id="881"/>
      <w:bookmarkEnd w:id="882"/>
      <w:bookmarkEnd w:id="883"/>
    </w:p>
    <w:p w14:paraId="47EA8072">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1、养殖场交通运输条件分析</w:t>
      </w:r>
    </w:p>
    <w:p w14:paraId="0A4E7E2B">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项目外购生长牛主要来巴中市及周边境内养牛户及牛场，通过项目每个养殖小区的乡村道路运输至各养殖小区，该公路为水泥混凝土路面，路况较好。项目建成后，进出场区道路的车流量少量增加，项目与周边乡村道路的连接道路已形成，道路两侧200m范围内多为低矮植被、耕地及少量散户居民。</w:t>
      </w:r>
    </w:p>
    <w:p w14:paraId="004AE88E">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本次环评要求运输路线应尽量避开大型地表水体、城镇规划建成区、自然保护区风景名胜区、饮用水水源保护区等环境敏感区。</w:t>
      </w:r>
    </w:p>
    <w:p w14:paraId="54C83426">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2、运输过程废气影响分析</w:t>
      </w:r>
    </w:p>
    <w:p w14:paraId="1F858839">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废弃垫料运至有机肥加工厂途中会散发出恶臭，入场架子牛和出栏肉牛在运输过程散发恶臭，其主要恶臭污染物为NH</w:t>
      </w:r>
      <w:r>
        <w:rPr>
          <w:rFonts w:hint="eastAsia"/>
          <w:color w:val="000000" w:themeColor="text1"/>
          <w:kern w:val="0"/>
          <w:sz w:val="24"/>
          <w:vertAlign w:val="subscript"/>
          <w:lang w:bidi="ar"/>
          <w14:textFill>
            <w14:solidFill>
              <w14:schemeClr w14:val="tx1"/>
            </w14:solidFill>
          </w14:textFill>
        </w:rPr>
        <w:t>3</w:t>
      </w:r>
      <w:r>
        <w:rPr>
          <w:rFonts w:hint="eastAsia"/>
          <w:color w:val="000000" w:themeColor="text1"/>
          <w:kern w:val="0"/>
          <w:sz w:val="24"/>
          <w:lang w:bidi="ar"/>
          <w14:textFill>
            <w14:solidFill>
              <w14:schemeClr w14:val="tx1"/>
            </w14:solidFill>
          </w14:textFill>
        </w:rPr>
        <w:t>、H</w:t>
      </w:r>
      <w:r>
        <w:rPr>
          <w:rFonts w:hint="eastAsia"/>
          <w:color w:val="000000" w:themeColor="text1"/>
          <w:kern w:val="0"/>
          <w:sz w:val="24"/>
          <w:vertAlign w:val="subscript"/>
          <w:lang w:bidi="ar"/>
          <w14:textFill>
            <w14:solidFill>
              <w14:schemeClr w14:val="tx1"/>
            </w14:solidFill>
          </w14:textFill>
        </w:rPr>
        <w:t>2</w:t>
      </w:r>
      <w:r>
        <w:rPr>
          <w:rFonts w:hint="eastAsia"/>
          <w:color w:val="000000" w:themeColor="text1"/>
          <w:kern w:val="0"/>
          <w:sz w:val="24"/>
          <w:lang w:bidi="ar"/>
          <w14:textFill>
            <w14:solidFill>
              <w14:schemeClr w14:val="tx1"/>
            </w14:solidFill>
          </w14:textFill>
        </w:rPr>
        <w:t>S等，废弃垫料在运输途中散发出的恶臭会对周围环境产生短暂影响，对沿途居民会产生心理上及感官上的不良影响。项目运输主要是通过周边的乡村道路，一般运输车辆的恶臭影响范围在道路两侧50m内，根据现场踏勘可知，项目运输道路两侧50m范围内分布有散居住户，因此，项目在运输过程中对上述散居住户有一定的影响。建设单位应对运输车辆进行彻底清理和消毒、使用半密闭运输车辆等措施，尽量减小对沿途村居民影响。因运输车辆处于动态，影响时间较短，1~2min左右，随着运输车辆的离开，恶臭影响也逐渐消失。</w:t>
      </w:r>
    </w:p>
    <w:p w14:paraId="60C7C294">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同时本项目废弃垫料外运过程中采用密闭罐车防止运输过程中滴漏；车辆全封闭，防止其恶臭在运输过程对周边的影响，同时企业在选择运输道路时，尽量选择远离居民区的道路进行运输。通过采用上述方法后，其对周边居民环境影响较小。</w:t>
      </w:r>
    </w:p>
    <w:p w14:paraId="6A8099BB">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3、运输过程噪声影响分析</w:t>
      </w:r>
    </w:p>
    <w:p w14:paraId="62967F56">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本项目进出物料在运输过程中会产生噪声，对沿线的居民产生噪声影响，项目运输环境主要为农村环境，根据同类项目类比分析，其对噪声影响范围为道路两侧50m范围内的居民，根据现场踏勘可知，项目运输道路两侧50m范围内分布有散居住户，因此项目在运输过程中对道路两侧50m范围散居住户有一定的影响。</w:t>
      </w:r>
    </w:p>
    <w:p w14:paraId="429FEF5E">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因此建设单位必须对进出的运输车辆加强管理，要限速禁鸣，并分散进出，不得猛踩油门，汽车运输应安排昼间进行，严禁夜间运输，避开午休时间（12:00~14:00），可减轻交通噪声对两侧居民的影响。</w:t>
      </w:r>
    </w:p>
    <w:p w14:paraId="0CAEBCEC">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4、运输过程其它影响分析</w:t>
      </w:r>
    </w:p>
    <w:p w14:paraId="2692600F">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运输过程中废弃垫料随意散落到路面，将会给沿途经过的村庄造成污染，因此运输车辆应做好防散落措施，确保运输过程中不随意散落，采取相应措施后对沿途环境影响较小。</w:t>
      </w:r>
    </w:p>
    <w:p w14:paraId="587BED60">
      <w:pPr>
        <w:pStyle w:val="5"/>
        <w:adjustRightInd w:val="0"/>
        <w:snapToGrid w:val="0"/>
        <w:spacing w:before="0" w:after="0" w:line="360" w:lineRule="auto"/>
        <w:rPr>
          <w:color w:val="000000" w:themeColor="text1"/>
          <w:sz w:val="28"/>
          <w:szCs w:val="28"/>
          <w14:textFill>
            <w14:solidFill>
              <w14:schemeClr w14:val="tx1"/>
            </w14:solidFill>
          </w14:textFill>
        </w:rPr>
      </w:pPr>
      <w:bookmarkStart w:id="885" w:name="_Toc20290"/>
      <w:bookmarkStart w:id="886" w:name="_Toc230079428"/>
      <w:bookmarkStart w:id="887" w:name="_Toc233380242"/>
      <w:r>
        <w:rPr>
          <w:rFonts w:hint="eastAsia"/>
          <w:color w:val="000000" w:themeColor="text1"/>
          <w:sz w:val="28"/>
          <w:szCs w:val="28"/>
          <w14:textFill>
            <w14:solidFill>
              <w14:schemeClr w14:val="tx1"/>
            </w14:solidFill>
          </w14:textFill>
        </w:rPr>
        <w:t>5.8.2运输污染防治措施可行性分析</w:t>
      </w:r>
      <w:bookmarkEnd w:id="885"/>
      <w:bookmarkEnd w:id="886"/>
      <w:bookmarkEnd w:id="887"/>
    </w:p>
    <w:p w14:paraId="254E521F">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（1）架子牛入场和肉牛出栏出场时保持清洁，废弃垫料运输车辆确保运输过程中不随意散落废弃垫料，杜绝粪便的随意散落；</w:t>
      </w:r>
    </w:p>
    <w:p w14:paraId="48B1255C">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（2）本项目废弃垫料、病死牛采用密闭槽罐车进行运输，可以有效降低粪污等运输过程中对沿线的环境影响；</w:t>
      </w:r>
    </w:p>
    <w:p w14:paraId="4EF319CE">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（3）建设单位必须对进出的运输车辆加强管理，要限速禁鸣，并分散进出，不得猛踩油门，汽车运输应安排昼间进行，严禁夜间运输，并避开午休时（12:00~14:30），以减轻交通噪声对两侧居民的影响。</w:t>
      </w:r>
    </w:p>
    <w:p w14:paraId="5F31D671">
      <w:pPr>
        <w:pStyle w:val="34"/>
        <w:rPr>
          <w:color w:val="000000" w:themeColor="text1"/>
          <w:kern w:val="0"/>
          <w:sz w:val="24"/>
          <w:lang w:bidi="ar"/>
          <w14:textFill>
            <w14:solidFill>
              <w14:schemeClr w14:val="tx1"/>
            </w14:solidFill>
          </w14:textFill>
        </w:rPr>
      </w:pPr>
      <w:r>
        <w:rPr>
          <w:rFonts w:hint="eastAsia"/>
          <w:color w:val="000000" w:themeColor="text1"/>
          <w:kern w:val="0"/>
          <w:sz w:val="24"/>
          <w:lang w:bidi="ar"/>
          <w14:textFill>
            <w14:solidFill>
              <w14:schemeClr w14:val="tx1"/>
            </w14:solidFill>
          </w14:textFill>
        </w:rPr>
        <w:t>通过以上措施处理后，运输过程对运输路线周边环境影响较小。</w:t>
      </w:r>
    </w:p>
    <w:p w14:paraId="136011AF">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888" w:name="_Toc233380243"/>
      <w:r>
        <w:rPr>
          <w:rFonts w:ascii="Times New Roman" w:hAnsi="Times New Roman" w:eastAsia="宋体"/>
          <w:color w:val="000000" w:themeColor="text1"/>
          <w:sz w:val="30"/>
          <w:szCs w:val="30"/>
          <w14:textFill>
            <w14:solidFill>
              <w14:schemeClr w14:val="tx1"/>
            </w14:solidFill>
          </w14:textFill>
        </w:rPr>
        <w:t>5.9生态环境的影响分析</w:t>
      </w:r>
      <w:bookmarkEnd w:id="838"/>
      <w:bookmarkEnd w:id="839"/>
      <w:bookmarkEnd w:id="840"/>
      <w:bookmarkEnd w:id="841"/>
      <w:bookmarkEnd w:id="842"/>
      <w:bookmarkEnd w:id="843"/>
      <w:bookmarkEnd w:id="884"/>
      <w:bookmarkEnd w:id="888"/>
    </w:p>
    <w:p w14:paraId="1056AB13">
      <w:pPr>
        <w:pStyle w:val="34"/>
        <w:rPr>
          <w:color w:val="000000" w:themeColor="text1"/>
          <w:kern w:val="0"/>
          <w:sz w:val="24"/>
          <w:lang w:bidi="ar"/>
          <w14:textFill>
            <w14:solidFill>
              <w14:schemeClr w14:val="tx1"/>
            </w14:solidFill>
          </w14:textFill>
        </w:rPr>
      </w:pPr>
      <w:bookmarkStart w:id="889" w:name="_Toc31231"/>
      <w:r>
        <w:rPr>
          <w:color w:val="000000" w:themeColor="text1"/>
          <w:kern w:val="0"/>
          <w:sz w:val="24"/>
          <w:lang w:bidi="ar"/>
          <w14:textFill>
            <w14:solidFill>
              <w14:schemeClr w14:val="tx1"/>
            </w14:solidFill>
          </w14:textFill>
        </w:rPr>
        <w:t>根据《环境影响评价技术导则</w:t>
      </w:r>
      <w:r>
        <w:rPr>
          <w:color w:val="000000" w:themeColor="text1"/>
          <w:kern w:val="0"/>
          <w:sz w:val="24"/>
          <w:lang w:bidi="ar"/>
          <w14:textFill>
            <w14:solidFill>
              <w14:schemeClr w14:val="tx1"/>
            </w14:solidFill>
          </w14:textFill>
        </w:rPr>
        <w:tab/>
      </w:r>
      <w:r>
        <w:rPr>
          <w:color w:val="000000" w:themeColor="text1"/>
          <w:kern w:val="0"/>
          <w:sz w:val="24"/>
          <w:lang w:bidi="ar"/>
          <w14:textFill>
            <w14:solidFill>
              <w14:schemeClr w14:val="tx1"/>
            </w14:solidFill>
          </w14:textFill>
        </w:rPr>
        <w:t>生态影响》（</w:t>
      </w:r>
      <w:r>
        <w:rPr>
          <w:rFonts w:hint="eastAsia"/>
          <w:color w:val="000000" w:themeColor="text1"/>
          <w:kern w:val="0"/>
          <w:sz w:val="24"/>
          <w:lang w:bidi="ar"/>
          <w14:textFill>
            <w14:solidFill>
              <w14:schemeClr w14:val="tx1"/>
            </w14:solidFill>
          </w14:textFill>
        </w:rPr>
        <w:t>HJ19-2022</w:t>
      </w:r>
      <w:r>
        <w:rPr>
          <w:color w:val="000000" w:themeColor="text1"/>
          <w:kern w:val="0"/>
          <w:sz w:val="24"/>
          <w:lang w:bidi="ar"/>
          <w14:textFill>
            <w14:solidFill>
              <w14:schemeClr w14:val="tx1"/>
            </w14:solidFill>
          </w14:textFill>
        </w:rPr>
        <w:t>）</w:t>
      </w:r>
      <w:r>
        <w:rPr>
          <w:rFonts w:hint="eastAsia"/>
          <w:color w:val="000000" w:themeColor="text1"/>
          <w:kern w:val="0"/>
          <w:sz w:val="24"/>
          <w:lang w:bidi="ar"/>
          <w14:textFill>
            <w14:solidFill>
              <w14:schemeClr w14:val="tx1"/>
            </w14:solidFill>
          </w14:textFill>
        </w:rPr>
        <w:t>，项目不涉及特殊和重要敏感区域，为一般区域；本项目地表水评价等级为水污染影响型建设项目三级B；本项目地下水水位及土壤影响范围内无天然林、公益林、湿地等生态保护目标。</w:t>
      </w:r>
      <w:r>
        <w:rPr>
          <w:color w:val="000000" w:themeColor="text1"/>
          <w:sz w:val="24"/>
          <w14:textFill>
            <w14:solidFill>
              <w14:schemeClr w14:val="tx1"/>
            </w14:solidFill>
          </w14:textFill>
        </w:rPr>
        <w:t>本项目评价等级为</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三级</w:t>
      </w:r>
      <w:r>
        <w:rPr>
          <w:rFonts w:hint="eastAsia"/>
          <w:color w:val="000000" w:themeColor="text1"/>
          <w:sz w:val="24"/>
          <w14:textFill>
            <w14:solidFill>
              <w14:schemeClr w14:val="tx1"/>
            </w14:solidFill>
          </w14:textFill>
        </w:rPr>
        <w:t>”；根据</w:t>
      </w:r>
      <w:r>
        <w:rPr>
          <w:color w:val="000000" w:themeColor="text1"/>
          <w:kern w:val="0"/>
          <w:sz w:val="24"/>
          <w:lang w:bidi="ar"/>
          <w14:textFill>
            <w14:solidFill>
              <w14:schemeClr w14:val="tx1"/>
            </w14:solidFill>
          </w14:textFill>
        </w:rPr>
        <w:t>《环境影响评价技术导则</w:t>
      </w:r>
      <w:r>
        <w:rPr>
          <w:color w:val="000000" w:themeColor="text1"/>
          <w:kern w:val="0"/>
          <w:sz w:val="24"/>
          <w:lang w:bidi="ar"/>
          <w14:textFill>
            <w14:solidFill>
              <w14:schemeClr w14:val="tx1"/>
            </w14:solidFill>
          </w14:textFill>
        </w:rPr>
        <w:tab/>
      </w:r>
      <w:r>
        <w:rPr>
          <w:color w:val="000000" w:themeColor="text1"/>
          <w:kern w:val="0"/>
          <w:sz w:val="24"/>
          <w:lang w:bidi="ar"/>
          <w14:textFill>
            <w14:solidFill>
              <w14:schemeClr w14:val="tx1"/>
            </w14:solidFill>
          </w14:textFill>
        </w:rPr>
        <w:t>生态影响》（</w:t>
      </w:r>
      <w:r>
        <w:rPr>
          <w:rFonts w:hint="eastAsia"/>
          <w:color w:val="000000" w:themeColor="text1"/>
          <w:kern w:val="0"/>
          <w:sz w:val="24"/>
          <w:lang w:bidi="ar"/>
          <w14:textFill>
            <w14:solidFill>
              <w14:schemeClr w14:val="tx1"/>
            </w14:solidFill>
          </w14:textFill>
        </w:rPr>
        <w:t>HJ19-2022</w:t>
      </w:r>
      <w:r>
        <w:rPr>
          <w:color w:val="000000" w:themeColor="text1"/>
          <w:kern w:val="0"/>
          <w:sz w:val="24"/>
          <w:lang w:bidi="ar"/>
          <w14:textFill>
            <w14:solidFill>
              <w14:schemeClr w14:val="tx1"/>
            </w14:solidFill>
          </w14:textFill>
        </w:rPr>
        <w:t>）</w:t>
      </w:r>
      <w:r>
        <w:rPr>
          <w:rFonts w:hint="eastAsia"/>
          <w:color w:val="000000" w:themeColor="text1"/>
          <w:sz w:val="24"/>
          <w14:textFill>
            <w14:solidFill>
              <w14:schemeClr w14:val="tx1"/>
            </w14:solidFill>
          </w14:textFill>
        </w:rPr>
        <w:t>：“污染影响类建设项目评价范围应涵盖直接占用区域以及污染物排放产生的间接生态影响区域”，本项目生态环境评价范围为项目占地红线及红线外扩500m范围评价范围。</w:t>
      </w:r>
    </w:p>
    <w:p w14:paraId="67EDA9A7">
      <w:pPr>
        <w:pStyle w:val="5"/>
        <w:adjustRightInd w:val="0"/>
        <w:snapToGrid w:val="0"/>
        <w:spacing w:before="0" w:after="0" w:line="360" w:lineRule="auto"/>
        <w:rPr>
          <w:color w:val="000000" w:themeColor="text1"/>
          <w:sz w:val="28"/>
          <w:szCs w:val="28"/>
          <w14:textFill>
            <w14:solidFill>
              <w14:schemeClr w14:val="tx1"/>
            </w14:solidFill>
          </w14:textFill>
        </w:rPr>
      </w:pPr>
      <w:bookmarkStart w:id="890" w:name="_Toc5991"/>
      <w:bookmarkStart w:id="891" w:name="_Toc230079430"/>
      <w:bookmarkStart w:id="892" w:name="_Toc233380244"/>
      <w:r>
        <w:rPr>
          <w:rFonts w:hint="eastAsia"/>
          <w:color w:val="000000" w:themeColor="text1"/>
          <w:sz w:val="28"/>
          <w:szCs w:val="28"/>
          <w14:textFill>
            <w14:solidFill>
              <w14:schemeClr w14:val="tx1"/>
            </w14:solidFill>
          </w14:textFill>
        </w:rPr>
        <w:t>5.9.1生态影响</w:t>
      </w:r>
      <w:bookmarkEnd w:id="890"/>
      <w:bookmarkEnd w:id="891"/>
      <w:bookmarkEnd w:id="892"/>
    </w:p>
    <w:p w14:paraId="23925CE3">
      <w:pPr>
        <w:pStyle w:val="1603"/>
        <w:spacing w:line="360" w:lineRule="auto"/>
        <w:ind w:firstLine="472"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（1）对陆生植物的影响</w:t>
      </w:r>
    </w:p>
    <w:p w14:paraId="4102358D">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本项目占地类型为</w:t>
      </w:r>
      <w:r>
        <w:rPr>
          <w:rFonts w:hint="eastAsia"/>
          <w:color w:val="000000" w:themeColor="text1"/>
          <w:sz w:val="24"/>
          <w14:textFill>
            <w14:solidFill>
              <w14:schemeClr w14:val="tx1"/>
            </w14:solidFill>
          </w14:textFill>
        </w:rPr>
        <w:t>耕地</w:t>
      </w:r>
      <w:r>
        <w:rPr>
          <w:color w:val="000000" w:themeColor="text1"/>
          <w:sz w:val="24"/>
          <w14:textFill>
            <w14:solidFill>
              <w14:schemeClr w14:val="tx1"/>
            </w14:solidFill>
          </w14:textFill>
        </w:rPr>
        <w:t>，拟建项目总占地面积约</w:t>
      </w:r>
      <w:r>
        <w:rPr>
          <w:rFonts w:hint="eastAsia"/>
          <w:color w:val="EE0000"/>
          <w:sz w:val="24"/>
        </w:rPr>
        <w:t>22.15</w:t>
      </w:r>
      <w:r>
        <w:rPr>
          <w:color w:val="EE0000"/>
          <w:sz w:val="24"/>
        </w:rPr>
        <w:t>hm</w:t>
      </w:r>
      <w:r>
        <w:rPr>
          <w:color w:val="EE0000"/>
          <w:sz w:val="24"/>
          <w:vertAlign w:val="superscript"/>
        </w:rPr>
        <w:t>2</w:t>
      </w:r>
      <w:r>
        <w:rPr>
          <w:color w:val="000000" w:themeColor="text1"/>
          <w:sz w:val="24"/>
          <w14:textFill>
            <w14:solidFill>
              <w14:schemeClr w14:val="tx1"/>
            </w14:solidFill>
          </w14:textFill>
        </w:rPr>
        <w:t>，项目选址周围均为</w:t>
      </w:r>
      <w:r>
        <w:rPr>
          <w:rFonts w:hint="eastAsia"/>
          <w:color w:val="000000" w:themeColor="text1"/>
          <w:sz w:val="24"/>
          <w14:textFill>
            <w14:solidFill>
              <w14:schemeClr w14:val="tx1"/>
            </w14:solidFill>
          </w14:textFill>
        </w:rPr>
        <w:t>农田</w:t>
      </w:r>
      <w:r>
        <w:rPr>
          <w:color w:val="000000" w:themeColor="text1"/>
          <w:sz w:val="24"/>
          <w14:textFill>
            <w14:solidFill>
              <w14:schemeClr w14:val="tx1"/>
            </w14:solidFill>
          </w14:textFill>
        </w:rPr>
        <w:t>，植被</w:t>
      </w:r>
      <w:r>
        <w:rPr>
          <w:rFonts w:hint="eastAsia"/>
          <w:color w:val="000000" w:themeColor="text1"/>
          <w:sz w:val="24"/>
          <w14:textFill>
            <w14:solidFill>
              <w14:schemeClr w14:val="tx1"/>
            </w14:solidFill>
          </w14:textFill>
        </w:rPr>
        <w:t>较少</w:t>
      </w:r>
      <w:r>
        <w:rPr>
          <w:color w:val="000000" w:themeColor="text1"/>
          <w:sz w:val="24"/>
          <w14:textFill>
            <w14:solidFill>
              <w14:schemeClr w14:val="tx1"/>
            </w14:solidFill>
          </w14:textFill>
        </w:rPr>
        <w:t>。项目建成后，通过在厂区内进行植被恢复措施，将增加厂区内植被覆盖度，对陆生植物环境影响较小。</w:t>
      </w:r>
    </w:p>
    <w:p w14:paraId="0CCD27D6">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）对陆生动物的影响分析</w:t>
      </w:r>
    </w:p>
    <w:p w14:paraId="357DE667">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受本项目的建设及施工期扰动的影响，一些动物的栖息地可能会受到一定的影响，项目所在区域内野生动物种类极少，缺少大型野生哺乳动物，现有的野生动物多为一些常见的鸟类、啮齿类及昆虫等，这些动物的迁移能力较强，同类生境在附近易于寻找，因此，本项目的建设不会对动物的种群及数量带来明显的影响。</w:t>
      </w:r>
    </w:p>
    <w:p w14:paraId="39FCD6F5">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）对土地利用</w:t>
      </w:r>
      <w:r>
        <w:rPr>
          <w:rFonts w:hint="eastAsia"/>
          <w:color w:val="000000" w:themeColor="text1"/>
          <w:sz w:val="24"/>
          <w14:textFill>
            <w14:solidFill>
              <w14:schemeClr w14:val="tx1"/>
            </w14:solidFill>
          </w14:textFill>
        </w:rPr>
        <w:t>地</w:t>
      </w:r>
      <w:r>
        <w:rPr>
          <w:color w:val="000000" w:themeColor="text1"/>
          <w:sz w:val="24"/>
          <w14:textFill>
            <w14:solidFill>
              <w14:schemeClr w14:val="tx1"/>
            </w14:solidFill>
          </w14:textFill>
        </w:rPr>
        <w:t>影响分析</w:t>
      </w:r>
    </w:p>
    <w:p w14:paraId="33CF512B">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本项目占地类型为</w:t>
      </w:r>
      <w:r>
        <w:rPr>
          <w:rFonts w:hint="eastAsia"/>
          <w:color w:val="000000" w:themeColor="text1"/>
          <w:sz w:val="24"/>
          <w14:textFill>
            <w14:solidFill>
              <w14:schemeClr w14:val="tx1"/>
            </w14:solidFill>
          </w14:textFill>
        </w:rPr>
        <w:t>耕地</w:t>
      </w:r>
      <w:r>
        <w:rPr>
          <w:color w:val="000000" w:themeColor="text1"/>
          <w:sz w:val="24"/>
          <w14:textFill>
            <w14:solidFill>
              <w14:schemeClr w14:val="tx1"/>
            </w14:solidFill>
          </w14:textFill>
        </w:rPr>
        <w:t>，对土壤最直接也是最明显的影响就是被</w:t>
      </w:r>
      <w:r>
        <w:rPr>
          <w:rFonts w:hint="eastAsia"/>
          <w:color w:val="000000" w:themeColor="text1"/>
          <w:sz w:val="24"/>
          <w14:textFill>
            <w14:solidFill>
              <w14:schemeClr w14:val="tx1"/>
            </w14:solidFill>
          </w14:textFill>
        </w:rPr>
        <w:t>占</w:t>
      </w:r>
      <w:r>
        <w:rPr>
          <w:color w:val="000000" w:themeColor="text1"/>
          <w:sz w:val="24"/>
          <w14:textFill>
            <w14:solidFill>
              <w14:schemeClr w14:val="tx1"/>
            </w14:solidFill>
          </w14:textFill>
        </w:rPr>
        <w:t>场地占地范围内道路和建构筑物等所覆盖的那部分土地资源，全部采用水泥硬化，土地类型改变为建设用地，这部分土地完全丧失原有土壤生产力。但是该场地因受到地形、耕作方式等的限制，原始土壤生产力普遍不高，本项目建成后，可借现代化养殖来带动该地区以及周边地区的发展，同时项目将因地适宜实施绿化，美化环境。</w:t>
      </w:r>
    </w:p>
    <w:p w14:paraId="51183C1B">
      <w:pPr>
        <w:pStyle w:val="5"/>
        <w:adjustRightInd w:val="0"/>
        <w:snapToGrid w:val="0"/>
        <w:spacing w:before="0" w:after="0" w:line="360" w:lineRule="auto"/>
        <w:rPr>
          <w:color w:val="000000" w:themeColor="text1"/>
          <w:sz w:val="28"/>
          <w:szCs w:val="28"/>
          <w14:textFill>
            <w14:solidFill>
              <w14:schemeClr w14:val="tx1"/>
            </w14:solidFill>
          </w14:textFill>
        </w:rPr>
      </w:pPr>
      <w:bookmarkStart w:id="893" w:name="_Toc3438"/>
      <w:bookmarkStart w:id="894" w:name="_Toc230079431"/>
      <w:bookmarkStart w:id="895" w:name="_Toc233380245"/>
      <w:r>
        <w:rPr>
          <w:rFonts w:hint="eastAsia"/>
          <w:color w:val="000000" w:themeColor="text1"/>
          <w:sz w:val="28"/>
          <w:szCs w:val="28"/>
          <w14:textFill>
            <w14:solidFill>
              <w14:schemeClr w14:val="tx1"/>
            </w14:solidFill>
          </w14:textFill>
        </w:rPr>
        <w:t>5.9.2生态保护措施</w:t>
      </w:r>
      <w:bookmarkEnd w:id="893"/>
      <w:bookmarkEnd w:id="894"/>
      <w:bookmarkEnd w:id="895"/>
    </w:p>
    <w:p w14:paraId="29C6A98F">
      <w:pPr>
        <w:pStyle w:val="1603"/>
        <w:spacing w:line="360" w:lineRule="auto"/>
        <w:ind w:firstLine="474"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（1）加强污染物治理</w:t>
      </w:r>
    </w:p>
    <w:p w14:paraId="45638CF2">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项目运营期应采用先进高效的污染防治技术，实现"三废"达标排放。在确保排放达标的基础上，通过全过程精细化管理，持续削减污染物排放总量，最大限度降低对区域生态环境的影响。</w:t>
      </w:r>
    </w:p>
    <w:p w14:paraId="1722EA05">
      <w:pPr>
        <w:pStyle w:val="1603"/>
        <w:spacing w:line="360" w:lineRule="auto"/>
        <w:ind w:firstLine="474"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（2）场区硬化</w:t>
      </w:r>
    </w:p>
    <w:p w14:paraId="31788DF2">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建设单位应同步推进场地硬化与绿化工程。通过科学规划地面硬化方案，有效控制面源污染，为后续生态建设奠定基础。</w:t>
      </w:r>
    </w:p>
    <w:p w14:paraId="78EA455E">
      <w:pPr>
        <w:pStyle w:val="1603"/>
        <w:spacing w:line="360" w:lineRule="auto"/>
        <w:ind w:firstLine="474"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w:t>
      </w:r>
      <w:r>
        <w:rPr>
          <w:b/>
          <w:bCs/>
          <w:color w:val="000000" w:themeColor="text1"/>
          <w:sz w:val="24"/>
          <w14:textFill>
            <w14:solidFill>
              <w14:schemeClr w14:val="tx1"/>
            </w14:solidFill>
          </w14:textFill>
        </w:rPr>
        <w:t>实施系统绿化工程</w:t>
      </w:r>
    </w:p>
    <w:p w14:paraId="4E7419CA">
      <w:pPr>
        <w:pStyle w:val="1603"/>
        <w:spacing w:line="360" w:lineRule="auto"/>
        <w:ind w:firstLine="472"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建设单位应</w:t>
      </w:r>
      <w:r>
        <w:rPr>
          <w:color w:val="000000" w:themeColor="text1"/>
          <w:sz w:val="24"/>
          <w14:textFill>
            <w14:solidFill>
              <w14:schemeClr w14:val="tx1"/>
            </w14:solidFill>
          </w14:textFill>
        </w:rPr>
        <w:t>制定分级绿化方案：重点区域（养殖区）</w:t>
      </w:r>
      <w:r>
        <w:rPr>
          <w:rFonts w:hint="eastAsia"/>
          <w:color w:val="000000" w:themeColor="text1"/>
          <w:sz w:val="24"/>
          <w14:textFill>
            <w14:solidFill>
              <w14:schemeClr w14:val="tx1"/>
            </w14:solidFill>
          </w14:textFill>
        </w:rPr>
        <w:t>周围</w:t>
      </w:r>
      <w:r>
        <w:rPr>
          <w:color w:val="000000" w:themeColor="text1"/>
          <w:sz w:val="24"/>
          <w14:textFill>
            <w14:solidFill>
              <w14:schemeClr w14:val="tx1"/>
            </w14:solidFill>
          </w14:textFill>
        </w:rPr>
        <w:t>采用乔木为主，乔灌草立体配置</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厂界建设防护林带，发挥防风降尘、隔离污染功能</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生活区以景观绿化为主，配置绿篱、花坛等道路两侧形成多树种混交林带植物选择应兼顾生态功能（吸收污染物、降噪隔音）和景观效果。</w:t>
      </w:r>
    </w:p>
    <w:p w14:paraId="570E30ED">
      <w:pPr>
        <w:pStyle w:val="1603"/>
        <w:spacing w:line="360" w:lineRule="auto"/>
        <w:ind w:firstLine="474"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（4）做好非规划用地的植被保护</w:t>
      </w:r>
    </w:p>
    <w:p w14:paraId="5677C611">
      <w:pPr>
        <w:pStyle w:val="1603"/>
        <w:spacing w:line="360" w:lineRule="auto"/>
        <w:ind w:firstLine="472"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做好</w:t>
      </w:r>
      <w:r>
        <w:rPr>
          <w:color w:val="000000" w:themeColor="text1"/>
          <w:sz w:val="24"/>
          <w14:textFill>
            <w14:solidFill>
              <w14:schemeClr w14:val="tx1"/>
            </w14:solidFill>
          </w14:textFill>
        </w:rPr>
        <w:t>非规划用地的植被保护，减少对生态环境的破坏。除规划占地外，不占用其它土地，不砍伐工程用地外的现有树木，破坏植被</w:t>
      </w:r>
      <w:r>
        <w:rPr>
          <w:rFonts w:hint="eastAsia"/>
          <w:color w:val="000000" w:themeColor="text1"/>
          <w:sz w:val="24"/>
          <w14:textFill>
            <w14:solidFill>
              <w14:schemeClr w14:val="tx1"/>
            </w14:solidFill>
          </w14:textFill>
        </w:rPr>
        <w:t>。</w:t>
      </w:r>
    </w:p>
    <w:p w14:paraId="4BF66F70">
      <w:pPr>
        <w:pStyle w:val="1603"/>
        <w:spacing w:line="360" w:lineRule="auto"/>
        <w:ind w:firstLine="474"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（5）加强职工生态环保意识</w:t>
      </w:r>
    </w:p>
    <w:p w14:paraId="481DFFCB">
      <w:pPr>
        <w:pStyle w:val="1603"/>
        <w:spacing w:line="360" w:lineRule="auto"/>
        <w:ind w:firstLine="472"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建设单位应</w:t>
      </w:r>
      <w:r>
        <w:rPr>
          <w:color w:val="000000" w:themeColor="text1"/>
          <w:sz w:val="24"/>
          <w14:textFill>
            <w14:solidFill>
              <w14:schemeClr w14:val="tx1"/>
            </w14:solidFill>
          </w14:textFill>
        </w:rPr>
        <w:t>建立生态环保培训体系</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完善环境管理制度</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培育全员生态环境保护意识</w:t>
      </w:r>
      <w:r>
        <w:rPr>
          <w:rFonts w:hint="eastAsia"/>
          <w:color w:val="000000" w:themeColor="text1"/>
          <w:sz w:val="24"/>
          <w14:textFill>
            <w14:solidFill>
              <w14:schemeClr w14:val="tx1"/>
            </w14:solidFill>
          </w14:textFill>
        </w:rPr>
        <w:t>。</w:t>
      </w:r>
    </w:p>
    <w:p w14:paraId="41EADBFF">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通过构建"污染治理-生态建设-管理提升"三位一体的环境保护体系，实现项目建设与生态环境的协调发展。</w:t>
      </w:r>
    </w:p>
    <w:p w14:paraId="6A06A9E3">
      <w:pPr>
        <w:pStyle w:val="1603"/>
        <w:spacing w:line="360" w:lineRule="auto"/>
        <w:ind w:firstLine="474"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（6）水土流失的预防措施</w:t>
      </w:r>
    </w:p>
    <w:p w14:paraId="1CB06B05">
      <w:pPr>
        <w:adjustRightInd w:val="0"/>
        <w:snapToGrid w:val="0"/>
        <w:spacing w:line="360" w:lineRule="auto"/>
        <w:ind w:firstLine="480" w:firstLineChars="200"/>
        <w:rPr>
          <w:sz w:val="24"/>
        </w:rPr>
      </w:pPr>
      <w:r>
        <w:rPr>
          <w:rFonts w:hint="eastAsia"/>
          <w:sz w:val="24"/>
        </w:rPr>
        <w:t>水土流失的预防主要采取</w:t>
      </w:r>
      <w:r>
        <w:rPr>
          <w:sz w:val="24"/>
        </w:rPr>
        <w:t>植物防护措施主要包括植树、种草、或乔灌草结合，或种植农作物等形式。</w:t>
      </w:r>
    </w:p>
    <w:p w14:paraId="37065477">
      <w:pPr>
        <w:adjustRightInd w:val="0"/>
        <w:snapToGrid w:val="0"/>
        <w:spacing w:line="360" w:lineRule="auto"/>
        <w:ind w:firstLine="480" w:firstLineChars="200"/>
        <w:rPr>
          <w:sz w:val="24"/>
        </w:rPr>
      </w:pPr>
      <w:r>
        <w:rPr>
          <w:sz w:val="24"/>
        </w:rPr>
        <w:t>施工完成后，在房屋周围、道路两侧、空地等尽早进行绿化，搞好植被的恢复、再造。</w:t>
      </w:r>
    </w:p>
    <w:p w14:paraId="08E3352C">
      <w:pPr>
        <w:pStyle w:val="5"/>
        <w:adjustRightInd w:val="0"/>
        <w:snapToGrid w:val="0"/>
        <w:spacing w:before="0" w:after="0" w:line="360" w:lineRule="auto"/>
        <w:rPr>
          <w:color w:val="000000" w:themeColor="text1"/>
          <w:sz w:val="28"/>
          <w:szCs w:val="28"/>
          <w14:textFill>
            <w14:solidFill>
              <w14:schemeClr w14:val="tx1"/>
            </w14:solidFill>
          </w14:textFill>
        </w:rPr>
      </w:pPr>
      <w:bookmarkStart w:id="896" w:name="_Toc2889"/>
      <w:bookmarkStart w:id="897" w:name="_Toc230079432"/>
      <w:bookmarkStart w:id="898" w:name="_Toc233380246"/>
      <w:r>
        <w:rPr>
          <w:rFonts w:hint="eastAsia"/>
          <w:color w:val="000000" w:themeColor="text1"/>
          <w:sz w:val="28"/>
          <w:szCs w:val="28"/>
          <w14:textFill>
            <w14:solidFill>
              <w14:schemeClr w14:val="tx1"/>
            </w14:solidFill>
          </w14:textFill>
        </w:rPr>
        <w:t>5.9.3服务期满后复垦要求</w:t>
      </w:r>
      <w:bookmarkEnd w:id="896"/>
      <w:bookmarkEnd w:id="897"/>
      <w:bookmarkEnd w:id="898"/>
    </w:p>
    <w:p w14:paraId="0F7B8798">
      <w:pPr>
        <w:pStyle w:val="1603"/>
        <w:numPr>
          <w:ilvl w:val="0"/>
          <w:numId w:val="32"/>
        </w:numPr>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土地利用规划</w:t>
      </w:r>
    </w:p>
    <w:p w14:paraId="110D84F3">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项目用地将建设</w:t>
      </w:r>
      <w:r>
        <w:rPr>
          <w:rFonts w:hint="eastAsia"/>
          <w:color w:val="000000" w:themeColor="text1"/>
          <w:sz w:val="24"/>
          <w14:textFill>
            <w14:solidFill>
              <w14:schemeClr w14:val="tx1"/>
            </w14:solidFill>
          </w14:textFill>
        </w:rPr>
        <w:t>肉牛</w:t>
      </w:r>
      <w:r>
        <w:rPr>
          <w:color w:val="000000" w:themeColor="text1"/>
          <w:sz w:val="24"/>
          <w14:textFill>
            <w14:solidFill>
              <w14:schemeClr w14:val="tx1"/>
            </w14:solidFill>
          </w14:textFill>
        </w:rPr>
        <w:t>养殖场，硬化区域仅限于必要的生产生活设施（</w:t>
      </w:r>
      <w:r>
        <w:rPr>
          <w:rFonts w:hint="eastAsia"/>
          <w:color w:val="000000" w:themeColor="text1"/>
          <w:sz w:val="24"/>
          <w14:textFill>
            <w14:solidFill>
              <w14:schemeClr w14:val="tx1"/>
            </w14:solidFill>
          </w14:textFill>
        </w:rPr>
        <w:t>牛舍</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垫料棚、饲料仓库</w:t>
      </w:r>
      <w:r>
        <w:rPr>
          <w:color w:val="000000" w:themeColor="text1"/>
          <w:sz w:val="24"/>
          <w14:textFill>
            <w14:solidFill>
              <w14:schemeClr w14:val="tx1"/>
            </w14:solidFill>
          </w14:textFill>
        </w:rPr>
        <w:t>、生活区等）。所有建设活动均确保土地可完全恢复原有使用功能，不会造成永久性地形地貌改变或土地损毁。</w:t>
      </w:r>
    </w:p>
    <w:p w14:paraId="4EB210A1">
      <w:pPr>
        <w:pStyle w:val="1603"/>
        <w:spacing w:line="360" w:lineRule="auto"/>
        <w:ind w:firstLine="472"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土地保护措施</w:t>
      </w:r>
    </w:p>
    <w:p w14:paraId="2034CCBA">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（1）施工过程中如因挖填、堆压等造成土地扰动，将严格依据《土地管理法》及《土地复垦条例》要求实施修复；</w:t>
      </w:r>
    </w:p>
    <w:p w14:paraId="249EC60D">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（2）拆除建构筑物后，采用专业机械清除混凝土层并进行深耕翻整；</w:t>
      </w:r>
    </w:p>
    <w:p w14:paraId="7A20A953">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（3）确保复垦后的土地达到原有耕作标准，维持原始土地格局和生产能力。</w:t>
      </w:r>
    </w:p>
    <w:p w14:paraId="520CD5BA">
      <w:pPr>
        <w:pStyle w:val="1603"/>
        <w:spacing w:line="360" w:lineRule="auto"/>
        <w:ind w:firstLine="472"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复垦标准要求</w:t>
      </w:r>
    </w:p>
    <w:p w14:paraId="51703515">
      <w:pPr>
        <w:pStyle w:val="1603"/>
        <w:numPr>
          <w:ilvl w:val="0"/>
          <w:numId w:val="33"/>
        </w:numPr>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服务期满后恢复至原状或更优状态；</w:t>
      </w:r>
    </w:p>
    <w:p w14:paraId="58B151C6">
      <w:pPr>
        <w:pStyle w:val="1603"/>
        <w:numPr>
          <w:ilvl w:val="0"/>
          <w:numId w:val="33"/>
        </w:numPr>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确保修复后的土地功能与周边地貌协调一致；</w:t>
      </w:r>
    </w:p>
    <w:p w14:paraId="259B0F65">
      <w:pPr>
        <w:pStyle w:val="1603"/>
        <w:numPr>
          <w:ilvl w:val="0"/>
          <w:numId w:val="33"/>
        </w:numPr>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复垦质量需达到可立即恢复耕种的标准。</w:t>
      </w:r>
    </w:p>
    <w:p w14:paraId="48AA4FD6">
      <w:pPr>
        <w:pStyle w:val="1603"/>
        <w:spacing w:line="360" w:lineRule="auto"/>
        <w:ind w:firstLine="472"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监督管理机制</w:t>
      </w:r>
    </w:p>
    <w:p w14:paraId="48C59CC8">
      <w:pPr>
        <w:pStyle w:val="1603"/>
        <w:numPr>
          <w:ilvl w:val="0"/>
          <w:numId w:val="34"/>
        </w:numPr>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复垦工程由村委会全程监督实施；</w:t>
      </w:r>
    </w:p>
    <w:p w14:paraId="601C8EE7">
      <w:pPr>
        <w:pStyle w:val="1603"/>
        <w:numPr>
          <w:ilvl w:val="0"/>
          <w:numId w:val="34"/>
        </w:numPr>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经县级自然资源部门验收合格后，向原承包方返还土地并结清复垦费用；</w:t>
      </w:r>
    </w:p>
    <w:p w14:paraId="42A3237D">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（3）建立完整的复垦档案备查。</w:t>
      </w:r>
    </w:p>
    <w:p w14:paraId="079537A6">
      <w:pPr>
        <w:pStyle w:val="5"/>
        <w:adjustRightInd w:val="0"/>
        <w:snapToGrid w:val="0"/>
        <w:spacing w:before="0" w:after="0" w:line="360" w:lineRule="auto"/>
        <w:rPr>
          <w:color w:val="000000" w:themeColor="text1"/>
          <w:sz w:val="28"/>
          <w:szCs w:val="28"/>
          <w14:textFill>
            <w14:solidFill>
              <w14:schemeClr w14:val="tx1"/>
            </w14:solidFill>
          </w14:textFill>
        </w:rPr>
      </w:pPr>
      <w:bookmarkStart w:id="899" w:name="_Toc24151"/>
      <w:bookmarkStart w:id="900" w:name="_Toc230079433"/>
      <w:bookmarkStart w:id="901" w:name="_Toc233380247"/>
      <w:r>
        <w:rPr>
          <w:rFonts w:hint="eastAsia"/>
          <w:color w:val="000000" w:themeColor="text1"/>
          <w:sz w:val="28"/>
          <w:szCs w:val="28"/>
          <w14:textFill>
            <w14:solidFill>
              <w14:schemeClr w14:val="tx1"/>
            </w14:solidFill>
          </w14:textFill>
        </w:rPr>
        <w:t>5.9.4</w:t>
      </w:r>
      <w:r>
        <w:rPr>
          <w:color w:val="000000" w:themeColor="text1"/>
          <w:sz w:val="28"/>
          <w:szCs w:val="28"/>
          <w14:textFill>
            <w14:solidFill>
              <w14:schemeClr w14:val="tx1"/>
            </w14:solidFill>
          </w14:textFill>
        </w:rPr>
        <w:t>生态环境影响评价小结</w:t>
      </w:r>
      <w:bookmarkEnd w:id="899"/>
      <w:bookmarkEnd w:id="900"/>
      <w:bookmarkEnd w:id="901"/>
    </w:p>
    <w:p w14:paraId="0284887E">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评价区生态系统受到本项目影响相对较小，在严格采取评价提出的生态保护措施后，其生态特征不会从根本上发生改变，体系仍然维持原有的稳定性和生态承载能力。</w:t>
      </w:r>
    </w:p>
    <w:p w14:paraId="3174EB31">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从总体上看，项目运营期对生态环境的影响较小，评价要求对废水、废气、固废各种污染物按照处理措施严格执行，并加大场区及其周围地区的绿化面积，保证生态环境不会受到破坏，并能够对受到影响的场地及时补救。</w:t>
      </w:r>
    </w:p>
    <w:p w14:paraId="6D6F9117">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 xml:space="preserve">表5.9-1 </w:t>
      </w:r>
      <w:r>
        <w:rPr>
          <w:b/>
          <w:bCs/>
          <w:color w:val="000000" w:themeColor="text1"/>
          <w:szCs w:val="21"/>
          <w14:textFill>
            <w14:solidFill>
              <w14:schemeClr w14:val="tx1"/>
            </w14:solidFill>
          </w14:textFill>
        </w:rPr>
        <w:t>本项目生态影响评价自查表见表</w:t>
      </w:r>
    </w:p>
    <w:tbl>
      <w:tblPr>
        <w:tblStyle w:val="88"/>
        <w:tblW w:w="89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1558"/>
        <w:gridCol w:w="6218"/>
      </w:tblGrid>
      <w:tr w14:paraId="5BC4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blHeader/>
          <w:jc w:val="center"/>
        </w:trPr>
        <w:tc>
          <w:tcPr>
            <w:tcW w:w="2733" w:type="dxa"/>
            <w:gridSpan w:val="2"/>
            <w:vAlign w:val="center"/>
          </w:tcPr>
          <w:p w14:paraId="6C1E0B7A">
            <w:pPr>
              <w:adjustRightInd w:val="0"/>
              <w:snapToGrid w:val="0"/>
              <w:jc w:val="center"/>
              <w:rPr>
                <w:b/>
                <w:bCs/>
                <w:snapToGrid w:val="0"/>
                <w:color w:val="000000" w:themeColor="text1"/>
                <w:kern w:val="0"/>
                <w14:textFill>
                  <w14:solidFill>
                    <w14:schemeClr w14:val="tx1"/>
                  </w14:solidFill>
                </w14:textFill>
              </w:rPr>
            </w:pPr>
            <w:r>
              <w:rPr>
                <w:b/>
                <w:bCs/>
                <w:snapToGrid w:val="0"/>
                <w:color w:val="000000" w:themeColor="text1"/>
                <w:kern w:val="0"/>
                <w14:textFill>
                  <w14:solidFill>
                    <w14:schemeClr w14:val="tx1"/>
                  </w14:solidFill>
                </w14:textFill>
              </w:rPr>
              <w:t>工作内容</w:t>
            </w:r>
          </w:p>
        </w:tc>
        <w:tc>
          <w:tcPr>
            <w:tcW w:w="6218" w:type="dxa"/>
            <w:vAlign w:val="center"/>
          </w:tcPr>
          <w:p w14:paraId="57AB255B">
            <w:pPr>
              <w:adjustRightInd w:val="0"/>
              <w:snapToGrid w:val="0"/>
              <w:jc w:val="center"/>
              <w:rPr>
                <w:b/>
                <w:bCs/>
                <w:snapToGrid w:val="0"/>
                <w:color w:val="000000" w:themeColor="text1"/>
                <w:kern w:val="0"/>
                <w14:textFill>
                  <w14:solidFill>
                    <w14:schemeClr w14:val="tx1"/>
                  </w14:solidFill>
                </w14:textFill>
              </w:rPr>
            </w:pPr>
            <w:r>
              <w:rPr>
                <w:b/>
                <w:bCs/>
                <w:snapToGrid w:val="0"/>
                <w:color w:val="000000" w:themeColor="text1"/>
                <w:kern w:val="0"/>
                <w14:textFill>
                  <w14:solidFill>
                    <w14:schemeClr w14:val="tx1"/>
                  </w14:solidFill>
                </w14:textFill>
              </w:rPr>
              <w:t>自查项目</w:t>
            </w:r>
          </w:p>
        </w:tc>
      </w:tr>
      <w:tr w14:paraId="0301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restart"/>
            <w:vAlign w:val="center"/>
          </w:tcPr>
          <w:p w14:paraId="2CADE4D1">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生态影响识别</w:t>
            </w:r>
          </w:p>
        </w:tc>
        <w:tc>
          <w:tcPr>
            <w:tcW w:w="1558" w:type="dxa"/>
            <w:vAlign w:val="center"/>
          </w:tcPr>
          <w:p w14:paraId="262FDEA6">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生态保护目标</w:t>
            </w:r>
          </w:p>
        </w:tc>
        <w:tc>
          <w:tcPr>
            <w:tcW w:w="6218" w:type="dxa"/>
            <w:vAlign w:val="center"/>
          </w:tcPr>
          <w:p w14:paraId="157D4D0A">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重要物种</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；国家公园</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；自然保护区</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自然公园</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；世界自然遗产</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；生态保护红线</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重要生境</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；其他具有重要生态功能、对保护生物多样性具有重要意义的区域</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；其他</w:t>
            </w:r>
            <w:r>
              <w:rPr>
                <w:color w:val="000000" w:themeColor="text1"/>
                <w:kern w:val="0"/>
                <w14:textFill>
                  <w14:solidFill>
                    <w14:schemeClr w14:val="tx1"/>
                  </w14:solidFill>
                </w14:textFill>
              </w:rPr>
              <w:sym w:font="Wingdings 2" w:char="0052"/>
            </w:r>
            <w:r>
              <w:rPr>
                <w:color w:val="000000" w:themeColor="text1"/>
                <w14:textFill>
                  <w14:solidFill>
                    <w14:schemeClr w14:val="tx1"/>
                  </w14:solidFill>
                </w14:textFill>
              </w:rPr>
              <w:t></w:t>
            </w:r>
          </w:p>
        </w:tc>
      </w:tr>
      <w:tr w14:paraId="78C4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continue"/>
            <w:vAlign w:val="center"/>
          </w:tcPr>
          <w:p w14:paraId="61B7E0CE">
            <w:pPr>
              <w:adjustRightInd w:val="0"/>
              <w:snapToGrid w:val="0"/>
              <w:jc w:val="center"/>
              <w:rPr>
                <w:snapToGrid w:val="0"/>
                <w:color w:val="000000" w:themeColor="text1"/>
                <w:kern w:val="0"/>
                <w14:textFill>
                  <w14:solidFill>
                    <w14:schemeClr w14:val="tx1"/>
                  </w14:solidFill>
                </w14:textFill>
              </w:rPr>
            </w:pPr>
          </w:p>
        </w:tc>
        <w:tc>
          <w:tcPr>
            <w:tcW w:w="1558" w:type="dxa"/>
            <w:vAlign w:val="center"/>
          </w:tcPr>
          <w:p w14:paraId="6638209E">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影响方式</w:t>
            </w:r>
          </w:p>
        </w:tc>
        <w:tc>
          <w:tcPr>
            <w:tcW w:w="6218" w:type="dxa"/>
            <w:vAlign w:val="center"/>
          </w:tcPr>
          <w:p w14:paraId="12483FD1">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工程占用</w:t>
            </w:r>
            <w:r>
              <w:rPr>
                <w:rFonts w:hint="eastAsia"/>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；施工活动干扰</w:t>
            </w:r>
            <w:r>
              <w:rPr>
                <w:rFonts w:hint="eastAsia"/>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；改变环境条件</w:t>
            </w:r>
            <w:r>
              <w:rPr>
                <w:color w:val="000000" w:themeColor="text1"/>
                <w:kern w:val="0"/>
                <w14:textFill>
                  <w14:solidFill>
                    <w14:schemeClr w14:val="tx1"/>
                  </w14:solidFill>
                </w14:textFill>
              </w:rPr>
              <w:t>□；其他</w:t>
            </w:r>
            <w:r>
              <w:rPr>
                <w:color w:val="000000" w:themeColor="text1"/>
                <w:kern w:val="0"/>
                <w14:textFill>
                  <w14:solidFill>
                    <w14:schemeClr w14:val="tx1"/>
                  </w14:solidFill>
                </w14:textFill>
              </w:rPr>
              <w:sym w:font="Wingdings 2" w:char="0052"/>
            </w:r>
            <w:r>
              <w:rPr>
                <w:color w:val="000000" w:themeColor="text1"/>
                <w14:textFill>
                  <w14:solidFill>
                    <w14:schemeClr w14:val="tx1"/>
                  </w14:solidFill>
                </w14:textFill>
              </w:rPr>
              <w:t></w:t>
            </w:r>
          </w:p>
        </w:tc>
      </w:tr>
      <w:tr w14:paraId="3D7B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continue"/>
            <w:vAlign w:val="center"/>
          </w:tcPr>
          <w:p w14:paraId="372E10E8">
            <w:pPr>
              <w:adjustRightInd w:val="0"/>
              <w:snapToGrid w:val="0"/>
              <w:jc w:val="center"/>
              <w:rPr>
                <w:snapToGrid w:val="0"/>
                <w:color w:val="000000" w:themeColor="text1"/>
                <w:kern w:val="0"/>
                <w14:textFill>
                  <w14:solidFill>
                    <w14:schemeClr w14:val="tx1"/>
                  </w14:solidFill>
                </w14:textFill>
              </w:rPr>
            </w:pPr>
          </w:p>
        </w:tc>
        <w:tc>
          <w:tcPr>
            <w:tcW w:w="1558" w:type="dxa"/>
            <w:vAlign w:val="center"/>
          </w:tcPr>
          <w:p w14:paraId="7D4B6A5F">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评价因子</w:t>
            </w:r>
          </w:p>
        </w:tc>
        <w:tc>
          <w:tcPr>
            <w:tcW w:w="6218" w:type="dxa"/>
            <w:vAlign w:val="center"/>
          </w:tcPr>
          <w:p w14:paraId="513CB366">
            <w:pPr>
              <w:adjustRightInd w:val="0"/>
              <w:snapToGrid w:val="0"/>
              <w:rPr>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物种</w:t>
            </w:r>
            <w:r>
              <w:rPr>
                <w:color w:val="000000" w:themeColor="text1"/>
                <w14:textFill>
                  <w14:solidFill>
                    <w14:schemeClr w14:val="tx1"/>
                  </w14:solidFill>
                </w14:textFill>
              </w:rPr>
              <w:t></w:t>
            </w:r>
            <w:r>
              <w:rPr>
                <w:color w:val="000000" w:themeColor="text1"/>
                <w:kern w:val="0"/>
                <w14:textFill>
                  <w14:solidFill>
                    <w14:schemeClr w14:val="tx1"/>
                  </w14:solidFill>
                </w14:textFill>
              </w:rPr>
              <w:t>（分布范围、种群数量、种群结构、行为）</w:t>
            </w:r>
          </w:p>
          <w:p w14:paraId="20BB37AF">
            <w:pPr>
              <w:adjustRightInd w:val="0"/>
              <w:snapToGrid w:val="0"/>
              <w:rPr>
                <w:color w:val="000000" w:themeColor="text1"/>
                <w:kern w:val="0"/>
                <w14:textFill>
                  <w14:solidFill>
                    <w14:schemeClr w14:val="tx1"/>
                  </w14:solidFill>
                </w14:textFill>
              </w:rPr>
            </w:pPr>
            <w:r>
              <w:rPr>
                <w:color w:val="000000" w:themeColor="text1"/>
                <w:kern w:val="0"/>
                <w14:textFill>
                  <w14:solidFill>
                    <w14:schemeClr w14:val="tx1"/>
                  </w14:solidFill>
                </w14:textFill>
              </w:rPr>
              <w:t>生境</w:t>
            </w:r>
            <w:r>
              <w:rPr>
                <w:color w:val="000000" w:themeColor="text1"/>
                <w14:textFill>
                  <w14:solidFill>
                    <w14:schemeClr w14:val="tx1"/>
                  </w14:solidFill>
                </w14:textFill>
              </w:rPr>
              <w:t></w:t>
            </w:r>
            <w:r>
              <w:rPr>
                <w:color w:val="000000" w:themeColor="text1"/>
                <w:kern w:val="0"/>
                <w14:textFill>
                  <w14:solidFill>
                    <w14:schemeClr w14:val="tx1"/>
                  </w14:solidFill>
                </w14:textFill>
              </w:rPr>
              <w:t>（生境面积、生境质量、连通性）</w:t>
            </w:r>
          </w:p>
          <w:p w14:paraId="4953F011">
            <w:pPr>
              <w:adjustRightInd w:val="0"/>
              <w:snapToGrid w:val="0"/>
              <w:rPr>
                <w:color w:val="000000" w:themeColor="text1"/>
                <w:kern w:val="0"/>
                <w14:textFill>
                  <w14:solidFill>
                    <w14:schemeClr w14:val="tx1"/>
                  </w14:solidFill>
                </w14:textFill>
              </w:rPr>
            </w:pPr>
            <w:r>
              <w:rPr>
                <w:color w:val="000000" w:themeColor="text1"/>
                <w:kern w:val="0"/>
                <w14:textFill>
                  <w14:solidFill>
                    <w14:schemeClr w14:val="tx1"/>
                  </w14:solidFill>
                </w14:textFill>
              </w:rPr>
              <w:t>生物群落</w:t>
            </w:r>
            <w:r>
              <w:rPr>
                <w:color w:val="000000" w:themeColor="text1"/>
                <w14:textFill>
                  <w14:solidFill>
                    <w14:schemeClr w14:val="tx1"/>
                  </w14:solidFill>
                </w14:textFill>
              </w:rPr>
              <w:t></w:t>
            </w:r>
            <w:r>
              <w:rPr>
                <w:color w:val="000000" w:themeColor="text1"/>
                <w:kern w:val="0"/>
                <w14:textFill>
                  <w14:solidFill>
                    <w14:schemeClr w14:val="tx1"/>
                  </w14:solidFill>
                </w14:textFill>
              </w:rPr>
              <w:t>（物种组成、群落结构）</w:t>
            </w:r>
          </w:p>
          <w:p w14:paraId="342D9E8F">
            <w:pPr>
              <w:adjustRightInd w:val="0"/>
              <w:snapToGrid w:val="0"/>
              <w:rPr>
                <w:color w:val="000000" w:themeColor="text1"/>
                <w:kern w:val="0"/>
                <w14:textFill>
                  <w14:solidFill>
                    <w14:schemeClr w14:val="tx1"/>
                  </w14:solidFill>
                </w14:textFill>
              </w:rPr>
            </w:pPr>
            <w:r>
              <w:rPr>
                <w:color w:val="000000" w:themeColor="text1"/>
                <w:kern w:val="0"/>
                <w14:textFill>
                  <w14:solidFill>
                    <w14:schemeClr w14:val="tx1"/>
                  </w14:solidFill>
                </w14:textFill>
              </w:rPr>
              <w:t>生态系统</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w:t>
            </w:r>
          </w:p>
          <w:p w14:paraId="55289A61">
            <w:pPr>
              <w:adjustRightInd w:val="0"/>
              <w:snapToGrid w:val="0"/>
              <w:rPr>
                <w:color w:val="000000" w:themeColor="text1"/>
                <w:kern w:val="0"/>
                <w14:textFill>
                  <w14:solidFill>
                    <w14:schemeClr w14:val="tx1"/>
                  </w14:solidFill>
                </w14:textFill>
              </w:rPr>
            </w:pPr>
            <w:r>
              <w:rPr>
                <w:color w:val="000000" w:themeColor="text1"/>
                <w:kern w:val="0"/>
                <w14:textFill>
                  <w14:solidFill>
                    <w14:schemeClr w14:val="tx1"/>
                  </w14:solidFill>
                </w14:textFill>
              </w:rPr>
              <w:t>生物多样性</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w:t>
            </w:r>
          </w:p>
          <w:p w14:paraId="11B7718E">
            <w:pPr>
              <w:adjustRightInd w:val="0"/>
              <w:snapToGrid w:val="0"/>
              <w:rPr>
                <w:color w:val="000000" w:themeColor="text1"/>
                <w:kern w:val="0"/>
                <w14:textFill>
                  <w14:solidFill>
                    <w14:schemeClr w14:val="tx1"/>
                  </w14:solidFill>
                </w14:textFill>
              </w:rPr>
            </w:pPr>
            <w:r>
              <w:rPr>
                <w:color w:val="000000" w:themeColor="text1"/>
                <w:kern w:val="0"/>
                <w14:textFill>
                  <w14:solidFill>
                    <w14:schemeClr w14:val="tx1"/>
                  </w14:solidFill>
                </w14:textFill>
              </w:rPr>
              <w:t>生态敏感区</w:t>
            </w:r>
            <w:r>
              <w:rPr>
                <w:color w:val="000000" w:themeColor="text1"/>
                <w14:textFill>
                  <w14:solidFill>
                    <w14:schemeClr w14:val="tx1"/>
                  </w14:solidFill>
                </w14:textFill>
              </w:rPr>
              <w:t></w:t>
            </w:r>
            <w:r>
              <w:rPr>
                <w:color w:val="000000" w:themeColor="text1"/>
                <w:kern w:val="0"/>
                <w14:textFill>
                  <w14:solidFill>
                    <w14:schemeClr w14:val="tx1"/>
                  </w14:solidFill>
                </w14:textFill>
              </w:rPr>
              <w:t>（主要保护对象、生态功能）</w:t>
            </w:r>
          </w:p>
          <w:p w14:paraId="458C00CB">
            <w:pPr>
              <w:adjustRightInd w:val="0"/>
              <w:snapToGrid w:val="0"/>
              <w:rPr>
                <w:color w:val="000000" w:themeColor="text1"/>
                <w:kern w:val="0"/>
                <w14:textFill>
                  <w14:solidFill>
                    <w14:schemeClr w14:val="tx1"/>
                  </w14:solidFill>
                </w14:textFill>
              </w:rPr>
            </w:pPr>
            <w:r>
              <w:rPr>
                <w:color w:val="000000" w:themeColor="text1"/>
                <w:kern w:val="0"/>
                <w14:textFill>
                  <w14:solidFill>
                    <w14:schemeClr w14:val="tx1"/>
                  </w14:solidFill>
                </w14:textFill>
              </w:rPr>
              <w:t>自然景观</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w:t>
            </w:r>
          </w:p>
          <w:p w14:paraId="27074C08">
            <w:pPr>
              <w:adjustRightInd w:val="0"/>
              <w:snapToGrid w:val="0"/>
              <w:rPr>
                <w:color w:val="000000" w:themeColor="text1"/>
                <w:kern w:val="0"/>
                <w14:textFill>
                  <w14:solidFill>
                    <w14:schemeClr w14:val="tx1"/>
                  </w14:solidFill>
                </w14:textFill>
              </w:rPr>
            </w:pPr>
            <w:r>
              <w:rPr>
                <w:color w:val="000000" w:themeColor="text1"/>
                <w:kern w:val="0"/>
                <w14:textFill>
                  <w14:solidFill>
                    <w14:schemeClr w14:val="tx1"/>
                  </w14:solidFill>
                </w14:textFill>
              </w:rPr>
              <w:t>自然遗迹□（）</w:t>
            </w:r>
          </w:p>
          <w:p w14:paraId="5DFC920A">
            <w:pPr>
              <w:rPr>
                <w:snapToGrid w:val="0"/>
                <w:color w:val="000000" w:themeColor="text1"/>
                <w:kern w:val="0"/>
                <w14:textFill>
                  <w14:solidFill>
                    <w14:schemeClr w14:val="tx1"/>
                  </w14:solidFill>
                </w14:textFill>
              </w:rPr>
            </w:pPr>
            <w:r>
              <w:rPr>
                <w:color w:val="000000" w:themeColor="text1"/>
                <w:kern w:val="0"/>
                <w14:textFill>
                  <w14:solidFill>
                    <w14:schemeClr w14:val="tx1"/>
                  </w14:solidFill>
                </w14:textFill>
              </w:rPr>
              <w:t>其他</w:t>
            </w:r>
            <w:r>
              <w:rPr>
                <w:color w:val="000000" w:themeColor="text1"/>
                <w:kern w:val="0"/>
                <w14:textFill>
                  <w14:solidFill>
                    <w14:schemeClr w14:val="tx1"/>
                  </w14:solidFill>
                </w14:textFill>
              </w:rPr>
              <w:sym w:font="Wingdings 2" w:char="0052"/>
            </w:r>
            <w:r>
              <w:rPr>
                <w:color w:val="000000" w:themeColor="text1"/>
                <w:kern w:val="0"/>
                <w14:textFill>
                  <w14:solidFill>
                    <w14:schemeClr w14:val="tx1"/>
                  </w14:solidFill>
                </w14:textFill>
              </w:rPr>
              <w:t>（</w:t>
            </w:r>
            <w:r>
              <w:rPr>
                <w:color w:val="000000" w:themeColor="text1"/>
                <w:kern w:val="0"/>
                <w:lang w:bidi="ar"/>
                <w14:textFill>
                  <w14:solidFill>
                    <w14:schemeClr w14:val="tx1"/>
                  </w14:solidFill>
                </w14:textFill>
              </w:rPr>
              <w:t>植被类型、土地利用、动物资源等</w:t>
            </w:r>
            <w:r>
              <w:rPr>
                <w:color w:val="000000" w:themeColor="text1"/>
                <w:kern w:val="0"/>
                <w14:textFill>
                  <w14:solidFill>
                    <w14:schemeClr w14:val="tx1"/>
                  </w14:solidFill>
                </w14:textFill>
              </w:rPr>
              <w:t>）</w:t>
            </w:r>
          </w:p>
        </w:tc>
      </w:tr>
      <w:tr w14:paraId="0A80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733" w:type="dxa"/>
            <w:gridSpan w:val="2"/>
            <w:vAlign w:val="center"/>
          </w:tcPr>
          <w:p w14:paraId="45F3B8F8">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评价等级</w:t>
            </w:r>
          </w:p>
        </w:tc>
        <w:tc>
          <w:tcPr>
            <w:tcW w:w="6218" w:type="dxa"/>
            <w:vAlign w:val="center"/>
          </w:tcPr>
          <w:p w14:paraId="320BD1E5">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一级</w:t>
            </w:r>
            <w:r>
              <w:rPr>
                <w:color w:val="000000" w:themeColor="text1"/>
                <w:kern w:val="0"/>
                <w14:textFill>
                  <w14:solidFill>
                    <w14:schemeClr w14:val="tx1"/>
                  </w14:solidFill>
                </w14:textFill>
              </w:rPr>
              <w:t>□     二级□     三级</w:t>
            </w:r>
            <w:r>
              <w:rPr>
                <w:rFonts w:hint="eastAsia"/>
                <w:color w:val="000000" w:themeColor="text1"/>
                <w:kern w:val="0"/>
                <w14:textFill>
                  <w14:solidFill>
                    <w14:schemeClr w14:val="tx1"/>
                  </w14:solidFill>
                </w14:textFill>
              </w:rPr>
              <w:t>☑</w:t>
            </w:r>
            <w:r>
              <w:rPr>
                <w:color w:val="000000" w:themeColor="text1"/>
                <w14:textFill>
                  <w14:solidFill>
                    <w14:schemeClr w14:val="tx1"/>
                  </w14:solidFill>
                </w14:textFill>
              </w:rPr>
              <w:t>生态影响简单分析</w:t>
            </w:r>
            <w:r>
              <w:rPr>
                <w:rFonts w:hint="eastAsia"/>
                <w:color w:val="000000" w:themeColor="text1"/>
                <w:kern w:val="0"/>
                <w14:textFill>
                  <w14:solidFill>
                    <w14:schemeClr w14:val="tx1"/>
                  </w14:solidFill>
                </w14:textFill>
              </w:rPr>
              <w:t>☑</w:t>
            </w:r>
          </w:p>
        </w:tc>
      </w:tr>
      <w:tr w14:paraId="26AF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2733" w:type="dxa"/>
            <w:gridSpan w:val="2"/>
            <w:vAlign w:val="center"/>
          </w:tcPr>
          <w:p w14:paraId="6BF9412D">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评价范围</w:t>
            </w:r>
          </w:p>
        </w:tc>
        <w:tc>
          <w:tcPr>
            <w:tcW w:w="6218" w:type="dxa"/>
            <w:vAlign w:val="center"/>
          </w:tcPr>
          <w:p w14:paraId="54464419">
            <w:pPr>
              <w:adjustRightInd w:val="0"/>
              <w:snapToGrid w:val="0"/>
              <w:rPr>
                <w:snapToGrid w:val="0"/>
                <w:color w:val="000000" w:themeColor="text1"/>
                <w:kern w:val="0"/>
                <w14:textFill>
                  <w14:solidFill>
                    <w14:schemeClr w14:val="tx1"/>
                  </w14:solidFill>
                </w14:textFill>
              </w:rPr>
            </w:pPr>
            <w:r>
              <w:rPr>
                <w:snapToGrid w:val="0"/>
                <w:kern w:val="0"/>
              </w:rPr>
              <w:t>陆域面积：（</w:t>
            </w:r>
            <w:r>
              <w:rPr>
                <w:rFonts w:hint="eastAsia"/>
                <w:snapToGrid w:val="0"/>
                <w:kern w:val="0"/>
              </w:rPr>
              <w:t>2.1</w:t>
            </w:r>
            <w:r>
              <w:rPr>
                <w:snapToGrid w:val="0"/>
                <w:kern w:val="0"/>
              </w:rPr>
              <w:t>）</w:t>
            </w:r>
            <w:r>
              <w:rPr>
                <w:rFonts w:hint="eastAsia"/>
                <w:snapToGrid w:val="0"/>
                <w:kern w:val="0"/>
              </w:rPr>
              <w:t>km</w:t>
            </w:r>
            <w:r>
              <w:rPr>
                <w:rFonts w:hint="eastAsia"/>
                <w:snapToGrid w:val="0"/>
                <w:kern w:val="0"/>
                <w:vertAlign w:val="superscript"/>
              </w:rPr>
              <w:t>2</w:t>
            </w:r>
            <w:r>
              <w:rPr>
                <w:snapToGrid w:val="0"/>
                <w:color w:val="000000" w:themeColor="text1"/>
                <w:kern w:val="0"/>
                <w14:textFill>
                  <w14:solidFill>
                    <w14:schemeClr w14:val="tx1"/>
                  </w14:solidFill>
                </w14:textFill>
              </w:rPr>
              <w:t>；水域面积（ ）</w:t>
            </w:r>
            <w:r>
              <w:rPr>
                <w:rFonts w:hint="eastAsia"/>
                <w:snapToGrid w:val="0"/>
                <w:color w:val="000000" w:themeColor="text1"/>
                <w:kern w:val="0"/>
                <w14:textFill>
                  <w14:solidFill>
                    <w14:schemeClr w14:val="tx1"/>
                  </w14:solidFill>
                </w14:textFill>
              </w:rPr>
              <w:t>km</w:t>
            </w:r>
            <w:r>
              <w:rPr>
                <w:rFonts w:hint="eastAsia"/>
                <w:snapToGrid w:val="0"/>
                <w:color w:val="000000" w:themeColor="text1"/>
                <w:kern w:val="0"/>
                <w:vertAlign w:val="superscript"/>
                <w14:textFill>
                  <w14:solidFill>
                    <w14:schemeClr w14:val="tx1"/>
                  </w14:solidFill>
                </w14:textFill>
              </w:rPr>
              <w:t>2</w:t>
            </w:r>
          </w:p>
        </w:tc>
      </w:tr>
      <w:tr w14:paraId="1CCA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restart"/>
            <w:vAlign w:val="center"/>
          </w:tcPr>
          <w:p w14:paraId="2DCACF8C">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生态现状调查与评价</w:t>
            </w:r>
          </w:p>
        </w:tc>
        <w:tc>
          <w:tcPr>
            <w:tcW w:w="1558" w:type="dxa"/>
            <w:vAlign w:val="center"/>
          </w:tcPr>
          <w:p w14:paraId="5888F1AB">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调查方法</w:t>
            </w:r>
          </w:p>
        </w:tc>
        <w:tc>
          <w:tcPr>
            <w:tcW w:w="6218" w:type="dxa"/>
            <w:vAlign w:val="center"/>
          </w:tcPr>
          <w:p w14:paraId="18AC15B9">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资料收集</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；遥感调查</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；调查样方、样线□；调查点位、断面□；专家和公众咨询法</w:t>
            </w:r>
            <w:r>
              <w:rPr>
                <w:color w:val="000000" w:themeColor="text1"/>
                <w14:textFill>
                  <w14:solidFill>
                    <w14:schemeClr w14:val="tx1"/>
                  </w14:solidFill>
                </w14:textFill>
              </w:rPr>
              <w:t>；其他</w:t>
            </w:r>
            <w:r>
              <w:rPr>
                <w:rFonts w:hint="eastAsia"/>
                <w:color w:val="000000" w:themeColor="text1"/>
                <w:kern w:val="0"/>
                <w14:textFill>
                  <w14:solidFill>
                    <w14:schemeClr w14:val="tx1"/>
                  </w14:solidFill>
                </w14:textFill>
              </w:rPr>
              <w:t>☑</w:t>
            </w:r>
          </w:p>
        </w:tc>
      </w:tr>
      <w:tr w14:paraId="370D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continue"/>
            <w:vAlign w:val="center"/>
          </w:tcPr>
          <w:p w14:paraId="11C31E7C">
            <w:pPr>
              <w:adjustRightInd w:val="0"/>
              <w:snapToGrid w:val="0"/>
              <w:jc w:val="center"/>
              <w:rPr>
                <w:snapToGrid w:val="0"/>
                <w:color w:val="000000" w:themeColor="text1"/>
                <w:kern w:val="0"/>
                <w14:textFill>
                  <w14:solidFill>
                    <w14:schemeClr w14:val="tx1"/>
                  </w14:solidFill>
                </w14:textFill>
              </w:rPr>
            </w:pPr>
          </w:p>
        </w:tc>
        <w:tc>
          <w:tcPr>
            <w:tcW w:w="1558" w:type="dxa"/>
            <w:vAlign w:val="center"/>
          </w:tcPr>
          <w:p w14:paraId="0575465B">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调查时间</w:t>
            </w:r>
          </w:p>
        </w:tc>
        <w:tc>
          <w:tcPr>
            <w:tcW w:w="6218" w:type="dxa"/>
            <w:vAlign w:val="center"/>
          </w:tcPr>
          <w:p w14:paraId="7F18B339">
            <w:pPr>
              <w:adjustRightInd w:val="0"/>
              <w:snapToGrid w:val="0"/>
              <w:rPr>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春季</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；夏季</w:t>
            </w:r>
            <w:r>
              <w:rPr>
                <w:color w:val="000000" w:themeColor="text1"/>
                <w:kern w:val="0"/>
                <w14:textFill>
                  <w14:solidFill>
                    <w14:schemeClr w14:val="tx1"/>
                  </w14:solidFill>
                </w14:textFill>
              </w:rPr>
              <w:sym w:font="Wingdings 2" w:char="00A3"/>
            </w:r>
            <w:r>
              <w:rPr>
                <w:snapToGrid w:val="0"/>
                <w:color w:val="000000" w:themeColor="text1"/>
                <w:kern w:val="0"/>
                <w14:textFill>
                  <w14:solidFill>
                    <w14:schemeClr w14:val="tx1"/>
                  </w14:solidFill>
                </w14:textFill>
              </w:rPr>
              <w:t>；秋季</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；冬季</w:t>
            </w:r>
            <w:r>
              <w:rPr>
                <w:color w:val="000000" w:themeColor="text1"/>
                <w:kern w:val="0"/>
                <w14:textFill>
                  <w14:solidFill>
                    <w14:schemeClr w14:val="tx1"/>
                  </w14:solidFill>
                </w14:textFill>
              </w:rPr>
              <w:t>□</w:t>
            </w:r>
          </w:p>
          <w:p w14:paraId="71A08B50">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丰水期</w:t>
            </w:r>
            <w:r>
              <w:rPr>
                <w:rFonts w:hint="eastAsia"/>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；枯水期</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；平水期</w:t>
            </w:r>
            <w:r>
              <w:rPr>
                <w:color w:val="000000" w:themeColor="text1"/>
                <w:kern w:val="0"/>
                <w14:textFill>
                  <w14:solidFill>
                    <w14:schemeClr w14:val="tx1"/>
                  </w14:solidFill>
                </w14:textFill>
              </w:rPr>
              <w:t>□</w:t>
            </w:r>
          </w:p>
        </w:tc>
      </w:tr>
      <w:tr w14:paraId="764E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continue"/>
            <w:vAlign w:val="center"/>
          </w:tcPr>
          <w:p w14:paraId="1A459B63">
            <w:pPr>
              <w:adjustRightInd w:val="0"/>
              <w:snapToGrid w:val="0"/>
              <w:jc w:val="center"/>
              <w:rPr>
                <w:snapToGrid w:val="0"/>
                <w:color w:val="000000" w:themeColor="text1"/>
                <w:kern w:val="0"/>
                <w14:textFill>
                  <w14:solidFill>
                    <w14:schemeClr w14:val="tx1"/>
                  </w14:solidFill>
                </w14:textFill>
              </w:rPr>
            </w:pPr>
          </w:p>
        </w:tc>
        <w:tc>
          <w:tcPr>
            <w:tcW w:w="1558" w:type="dxa"/>
            <w:vAlign w:val="center"/>
          </w:tcPr>
          <w:p w14:paraId="7B66D511">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所在区域的生态问题</w:t>
            </w:r>
          </w:p>
        </w:tc>
        <w:tc>
          <w:tcPr>
            <w:tcW w:w="6218" w:type="dxa"/>
            <w:vAlign w:val="center"/>
          </w:tcPr>
          <w:p w14:paraId="3308DE8B">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水土流失</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；沙漠化</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；石漠化□；盐渍化□；生物入侵□</w:t>
            </w:r>
            <w:r>
              <w:rPr>
                <w:color w:val="000000" w:themeColor="text1"/>
                <w14:textFill>
                  <w14:solidFill>
                    <w14:schemeClr w14:val="tx1"/>
                  </w14:solidFill>
                </w14:textFill>
              </w:rPr>
              <w:t>；污染危害</w:t>
            </w:r>
            <w:r>
              <w:rPr>
                <w:color w:val="000000" w:themeColor="text1"/>
                <w:kern w:val="0"/>
                <w14:textFill>
                  <w14:solidFill>
                    <w14:schemeClr w14:val="tx1"/>
                  </w14:solidFill>
                </w14:textFill>
              </w:rPr>
              <w:t>□；</w:t>
            </w:r>
            <w:r>
              <w:rPr>
                <w:color w:val="000000" w:themeColor="text1"/>
                <w14:textFill>
                  <w14:solidFill>
                    <w14:schemeClr w14:val="tx1"/>
                  </w14:solidFill>
                </w14:textFill>
              </w:rPr>
              <w:t>其他</w:t>
            </w:r>
            <w:r>
              <w:rPr>
                <w:color w:val="000000" w:themeColor="text1"/>
                <w:kern w:val="0"/>
                <w14:textFill>
                  <w14:solidFill>
                    <w14:schemeClr w14:val="tx1"/>
                  </w14:solidFill>
                </w14:textFill>
              </w:rPr>
              <w:sym w:font="Wingdings 2" w:char="00A3"/>
            </w:r>
          </w:p>
        </w:tc>
      </w:tr>
      <w:tr w14:paraId="2B6A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continue"/>
            <w:vAlign w:val="center"/>
          </w:tcPr>
          <w:p w14:paraId="3503848E">
            <w:pPr>
              <w:adjustRightInd w:val="0"/>
              <w:snapToGrid w:val="0"/>
              <w:jc w:val="center"/>
              <w:rPr>
                <w:snapToGrid w:val="0"/>
                <w:color w:val="000000" w:themeColor="text1"/>
                <w:kern w:val="0"/>
                <w14:textFill>
                  <w14:solidFill>
                    <w14:schemeClr w14:val="tx1"/>
                  </w14:solidFill>
                </w14:textFill>
              </w:rPr>
            </w:pPr>
          </w:p>
        </w:tc>
        <w:tc>
          <w:tcPr>
            <w:tcW w:w="1558" w:type="dxa"/>
            <w:vAlign w:val="center"/>
          </w:tcPr>
          <w:p w14:paraId="6301083C">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评价内容</w:t>
            </w:r>
          </w:p>
        </w:tc>
        <w:tc>
          <w:tcPr>
            <w:tcW w:w="6218" w:type="dxa"/>
            <w:vAlign w:val="center"/>
          </w:tcPr>
          <w:p w14:paraId="39A5DF08">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植被/植物群落</w:t>
            </w:r>
            <w:r>
              <w:rPr>
                <w:color w:val="000000" w:themeColor="text1"/>
                <w14:textFill>
                  <w14:solidFill>
                    <w14:schemeClr w14:val="tx1"/>
                  </w14:solidFill>
                </w14:textFill>
              </w:rPr>
              <w:sym w:font="Wingdings 2" w:char="0052"/>
            </w:r>
            <w:r>
              <w:rPr>
                <w:snapToGrid w:val="0"/>
                <w:color w:val="000000" w:themeColor="text1"/>
                <w:kern w:val="0"/>
                <w14:textFill>
                  <w14:solidFill>
                    <w14:schemeClr w14:val="tx1"/>
                  </w14:solidFill>
                </w14:textFill>
              </w:rPr>
              <w:t>；土地利用</w:t>
            </w:r>
            <w:r>
              <w:rPr>
                <w:color w:val="000000" w:themeColor="text1"/>
                <w14:textFill>
                  <w14:solidFill>
                    <w14:schemeClr w14:val="tx1"/>
                  </w14:solidFill>
                </w14:textFill>
              </w:rPr>
              <w:sym w:font="Wingdings 2" w:char="0052"/>
            </w:r>
            <w:r>
              <w:rPr>
                <w:snapToGrid w:val="0"/>
                <w:color w:val="000000" w:themeColor="text1"/>
                <w:kern w:val="0"/>
                <w14:textFill>
                  <w14:solidFill>
                    <w14:schemeClr w14:val="tx1"/>
                  </w14:solidFill>
                </w14:textFill>
              </w:rPr>
              <w:t>；生态系统</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生物多样性</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；重要物种</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；生态敏感区</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其他</w:t>
            </w:r>
            <w:r>
              <w:rPr>
                <w:rFonts w:hint="eastAsia"/>
                <w:color w:val="000000" w:themeColor="text1"/>
                <w:kern w:val="0"/>
                <w14:textFill>
                  <w14:solidFill>
                    <w14:schemeClr w14:val="tx1"/>
                  </w14:solidFill>
                </w14:textFill>
              </w:rPr>
              <w:t>☑</w:t>
            </w:r>
          </w:p>
        </w:tc>
      </w:tr>
      <w:tr w14:paraId="17B3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restart"/>
            <w:vAlign w:val="center"/>
          </w:tcPr>
          <w:p w14:paraId="1E4FAB0B">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生态影响预测与评价</w:t>
            </w:r>
          </w:p>
        </w:tc>
        <w:tc>
          <w:tcPr>
            <w:tcW w:w="1558" w:type="dxa"/>
            <w:vAlign w:val="center"/>
          </w:tcPr>
          <w:p w14:paraId="716196BD">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评价方法</w:t>
            </w:r>
          </w:p>
        </w:tc>
        <w:tc>
          <w:tcPr>
            <w:tcW w:w="6218" w:type="dxa"/>
            <w:vAlign w:val="center"/>
          </w:tcPr>
          <w:p w14:paraId="47E0D762">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定性</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；定性和定量</w:t>
            </w:r>
            <w:r>
              <w:rPr>
                <w:color w:val="000000" w:themeColor="text1"/>
                <w:kern w:val="0"/>
                <w14:textFill>
                  <w14:solidFill>
                    <w14:schemeClr w14:val="tx1"/>
                  </w14:solidFill>
                </w14:textFill>
              </w:rPr>
              <w:sym w:font="Wingdings 2" w:char="0052"/>
            </w:r>
          </w:p>
        </w:tc>
      </w:tr>
      <w:tr w14:paraId="3D18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continue"/>
            <w:vAlign w:val="center"/>
          </w:tcPr>
          <w:p w14:paraId="5F626F9F">
            <w:pPr>
              <w:adjustRightInd w:val="0"/>
              <w:snapToGrid w:val="0"/>
              <w:jc w:val="center"/>
              <w:rPr>
                <w:snapToGrid w:val="0"/>
                <w:color w:val="000000" w:themeColor="text1"/>
                <w:kern w:val="0"/>
                <w14:textFill>
                  <w14:solidFill>
                    <w14:schemeClr w14:val="tx1"/>
                  </w14:solidFill>
                </w14:textFill>
              </w:rPr>
            </w:pPr>
          </w:p>
        </w:tc>
        <w:tc>
          <w:tcPr>
            <w:tcW w:w="1558" w:type="dxa"/>
            <w:vAlign w:val="center"/>
          </w:tcPr>
          <w:p w14:paraId="5E610D56">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评价内容</w:t>
            </w:r>
          </w:p>
        </w:tc>
        <w:tc>
          <w:tcPr>
            <w:tcW w:w="6218" w:type="dxa"/>
            <w:vAlign w:val="center"/>
          </w:tcPr>
          <w:p w14:paraId="4C498FA2">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植被/植物群落</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；土地利用</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；生态系统</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生物多样性</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；重要物种</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；生态敏感区</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；生物入侵风险□；</w:t>
            </w:r>
            <w:r>
              <w:rPr>
                <w:snapToGrid w:val="0"/>
                <w:color w:val="000000" w:themeColor="text1"/>
                <w:kern w:val="0"/>
                <w14:textFill>
                  <w14:solidFill>
                    <w14:schemeClr w14:val="tx1"/>
                  </w14:solidFill>
                </w14:textFill>
              </w:rPr>
              <w:t>其他</w:t>
            </w:r>
            <w:r>
              <w:rPr>
                <w:color w:val="000000" w:themeColor="text1"/>
                <w:kern w:val="0"/>
                <w14:textFill>
                  <w14:solidFill>
                    <w14:schemeClr w14:val="tx1"/>
                  </w14:solidFill>
                </w14:textFill>
              </w:rPr>
              <w:t>☑</w:t>
            </w:r>
          </w:p>
        </w:tc>
      </w:tr>
      <w:tr w14:paraId="7792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restart"/>
            <w:vAlign w:val="center"/>
          </w:tcPr>
          <w:p w14:paraId="5E25D114">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生态保护对策措施</w:t>
            </w:r>
          </w:p>
        </w:tc>
        <w:tc>
          <w:tcPr>
            <w:tcW w:w="1558" w:type="dxa"/>
            <w:vAlign w:val="center"/>
          </w:tcPr>
          <w:p w14:paraId="6BD2C727">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对策措施</w:t>
            </w:r>
          </w:p>
        </w:tc>
        <w:tc>
          <w:tcPr>
            <w:tcW w:w="6218" w:type="dxa"/>
            <w:vAlign w:val="center"/>
          </w:tcPr>
          <w:p w14:paraId="102F09AC">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避让</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；减缓</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；生态修复</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；生态补偿</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；科研</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；其他</w:t>
            </w:r>
            <w:r>
              <w:rPr>
                <w:rFonts w:hint="eastAsia"/>
                <w:color w:val="000000" w:themeColor="text1"/>
                <w:kern w:val="0"/>
                <w14:textFill>
                  <w14:solidFill>
                    <w14:schemeClr w14:val="tx1"/>
                  </w14:solidFill>
                </w14:textFill>
              </w:rPr>
              <w:t>☑</w:t>
            </w:r>
          </w:p>
        </w:tc>
      </w:tr>
      <w:tr w14:paraId="7C14A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continue"/>
            <w:vAlign w:val="center"/>
          </w:tcPr>
          <w:p w14:paraId="567D94F7">
            <w:pPr>
              <w:adjustRightInd w:val="0"/>
              <w:snapToGrid w:val="0"/>
              <w:jc w:val="center"/>
              <w:rPr>
                <w:snapToGrid w:val="0"/>
                <w:color w:val="000000" w:themeColor="text1"/>
                <w:kern w:val="0"/>
                <w14:textFill>
                  <w14:solidFill>
                    <w14:schemeClr w14:val="tx1"/>
                  </w14:solidFill>
                </w14:textFill>
              </w:rPr>
            </w:pPr>
          </w:p>
        </w:tc>
        <w:tc>
          <w:tcPr>
            <w:tcW w:w="1558" w:type="dxa"/>
            <w:vAlign w:val="center"/>
          </w:tcPr>
          <w:p w14:paraId="2AC8AF0F">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生态监测计划</w:t>
            </w:r>
          </w:p>
        </w:tc>
        <w:tc>
          <w:tcPr>
            <w:tcW w:w="6218" w:type="dxa"/>
            <w:vAlign w:val="center"/>
          </w:tcPr>
          <w:p w14:paraId="6FF0986E">
            <w:pPr>
              <w:adjustRightInd w:val="0"/>
              <w:snapToGrid w:val="0"/>
              <w:rPr>
                <w:snapToGrid w:val="0"/>
                <w:color w:val="000000" w:themeColor="text1"/>
                <w:kern w:val="0"/>
                <w14:textFill>
                  <w14:solidFill>
                    <w14:schemeClr w14:val="tx1"/>
                  </w14:solidFill>
                </w14:textFill>
              </w:rPr>
            </w:pPr>
            <w:r>
              <w:rPr>
                <w:color w:val="000000" w:themeColor="text1"/>
                <w:kern w:val="0"/>
                <w14:textFill>
                  <w14:solidFill>
                    <w14:schemeClr w14:val="tx1"/>
                  </w14:solidFill>
                </w14:textFill>
              </w:rPr>
              <w:t>全生命周期□；</w:t>
            </w:r>
            <w:r>
              <w:rPr>
                <w:snapToGrid w:val="0"/>
                <w:color w:val="000000" w:themeColor="text1"/>
                <w:kern w:val="0"/>
                <w14:textFill>
                  <w14:solidFill>
                    <w14:schemeClr w14:val="tx1"/>
                  </w14:solidFill>
                </w14:textFill>
              </w:rPr>
              <w:t>长期跟踪</w:t>
            </w:r>
            <w:r>
              <w:rPr>
                <w:color w:val="000000" w:themeColor="text1"/>
                <w:kern w:val="0"/>
                <w14:textFill>
                  <w14:solidFill>
                    <w14:schemeClr w14:val="tx1"/>
                  </w14:solidFill>
                </w14:textFill>
              </w:rPr>
              <w:t>□；常规</w:t>
            </w:r>
            <w:r>
              <w:rPr>
                <w:color w:val="000000" w:themeColor="text1"/>
                <w14:textFill>
                  <w14:solidFill>
                    <w14:schemeClr w14:val="tx1"/>
                  </w14:solidFill>
                </w14:textFill>
              </w:rPr>
              <w:sym w:font="Wingdings 2" w:char="00A3"/>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无</w:t>
            </w:r>
            <w:r>
              <w:rPr>
                <w:color w:val="000000" w:themeColor="text1"/>
                <w:kern w:val="0"/>
                <w14:textFill>
                  <w14:solidFill>
                    <w14:schemeClr w14:val="tx1"/>
                  </w14:solidFill>
                </w14:textFill>
              </w:rPr>
              <w:sym w:font="Wingdings 2" w:char="0052"/>
            </w:r>
          </w:p>
        </w:tc>
      </w:tr>
      <w:tr w14:paraId="21B5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Merge w:val="continue"/>
            <w:vAlign w:val="center"/>
          </w:tcPr>
          <w:p w14:paraId="3F50D806">
            <w:pPr>
              <w:adjustRightInd w:val="0"/>
              <w:snapToGrid w:val="0"/>
              <w:jc w:val="center"/>
              <w:rPr>
                <w:snapToGrid w:val="0"/>
                <w:color w:val="000000" w:themeColor="text1"/>
                <w:kern w:val="0"/>
                <w14:textFill>
                  <w14:solidFill>
                    <w14:schemeClr w14:val="tx1"/>
                  </w14:solidFill>
                </w14:textFill>
              </w:rPr>
            </w:pPr>
          </w:p>
        </w:tc>
        <w:tc>
          <w:tcPr>
            <w:tcW w:w="1558" w:type="dxa"/>
            <w:vAlign w:val="center"/>
          </w:tcPr>
          <w:p w14:paraId="1B7C4343">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环境管理</w:t>
            </w:r>
          </w:p>
        </w:tc>
        <w:tc>
          <w:tcPr>
            <w:tcW w:w="6218" w:type="dxa"/>
            <w:vAlign w:val="center"/>
          </w:tcPr>
          <w:p w14:paraId="092D1618">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环境监理</w:t>
            </w:r>
            <w:r>
              <w:rPr>
                <w:color w:val="000000" w:themeColor="text1"/>
                <w14:textFill>
                  <w14:solidFill>
                    <w14:schemeClr w14:val="tx1"/>
                  </w14:solidFill>
                </w14:textFill>
              </w:rPr>
              <w:sym w:font="Wingdings 2" w:char="00A3"/>
            </w:r>
            <w:r>
              <w:rPr>
                <w:snapToGrid w:val="0"/>
                <w:color w:val="000000" w:themeColor="text1"/>
                <w:kern w:val="0"/>
                <w14:textFill>
                  <w14:solidFill>
                    <w14:schemeClr w14:val="tx1"/>
                  </w14:solidFill>
                </w14:textFill>
              </w:rPr>
              <w:t>；环境影响后评价</w:t>
            </w:r>
            <w:r>
              <w:rPr>
                <w:color w:val="000000" w:themeColor="text1"/>
                <w:kern w:val="0"/>
                <w14:textFill>
                  <w14:solidFill>
                    <w14:schemeClr w14:val="tx1"/>
                  </w14:solidFill>
                </w14:textFill>
              </w:rPr>
              <w:t>□</w:t>
            </w:r>
            <w:r>
              <w:rPr>
                <w:snapToGrid w:val="0"/>
                <w:color w:val="000000" w:themeColor="text1"/>
                <w:kern w:val="0"/>
                <w14:textFill>
                  <w14:solidFill>
                    <w14:schemeClr w14:val="tx1"/>
                  </w14:solidFill>
                </w14:textFill>
              </w:rPr>
              <w:t>；其他</w:t>
            </w:r>
            <w:r>
              <w:rPr>
                <w:color w:val="000000" w:themeColor="text1"/>
                <w:kern w:val="0"/>
                <w14:textFill>
                  <w14:solidFill>
                    <w14:schemeClr w14:val="tx1"/>
                  </w14:solidFill>
                </w14:textFill>
              </w:rPr>
              <w:sym w:font="Wingdings 2" w:char="0052"/>
            </w:r>
          </w:p>
        </w:tc>
      </w:tr>
      <w:tr w14:paraId="7D3A2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175" w:type="dxa"/>
            <w:vAlign w:val="center"/>
          </w:tcPr>
          <w:p w14:paraId="42343A1D">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评价结论</w:t>
            </w:r>
          </w:p>
        </w:tc>
        <w:tc>
          <w:tcPr>
            <w:tcW w:w="1558" w:type="dxa"/>
            <w:vAlign w:val="center"/>
          </w:tcPr>
          <w:p w14:paraId="68A63F21">
            <w:pPr>
              <w:adjustRightInd w:val="0"/>
              <w:snapToGrid w:val="0"/>
              <w:jc w:val="center"/>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生态影响</w:t>
            </w:r>
          </w:p>
        </w:tc>
        <w:tc>
          <w:tcPr>
            <w:tcW w:w="6218" w:type="dxa"/>
            <w:vAlign w:val="center"/>
          </w:tcPr>
          <w:p w14:paraId="4CD0B199">
            <w:pPr>
              <w:adjustRightInd w:val="0"/>
              <w:snapToGrid w:val="0"/>
              <w:rPr>
                <w:snapToGrid w:val="0"/>
                <w:color w:val="000000" w:themeColor="text1"/>
                <w:kern w:val="0"/>
                <w14:textFill>
                  <w14:solidFill>
                    <w14:schemeClr w14:val="tx1"/>
                  </w14:solidFill>
                </w14:textFill>
              </w:rPr>
            </w:pPr>
            <w:r>
              <w:rPr>
                <w:snapToGrid w:val="0"/>
                <w:color w:val="000000" w:themeColor="text1"/>
                <w:kern w:val="0"/>
                <w14:textFill>
                  <w14:solidFill>
                    <w14:schemeClr w14:val="tx1"/>
                  </w14:solidFill>
                </w14:textFill>
              </w:rPr>
              <w:t>可行</w:t>
            </w:r>
            <w:r>
              <w:rPr>
                <w:color w:val="000000" w:themeColor="text1"/>
                <w:kern w:val="0"/>
                <w14:textFill>
                  <w14:solidFill>
                    <w14:schemeClr w14:val="tx1"/>
                  </w14:solidFill>
                </w14:textFill>
              </w:rPr>
              <w:sym w:font="Wingdings 2" w:char="0052"/>
            </w:r>
            <w:r>
              <w:rPr>
                <w:color w:val="000000" w:themeColor="text1"/>
                <w:kern w:val="0"/>
                <w14:textFill>
                  <w14:solidFill>
                    <w14:schemeClr w14:val="tx1"/>
                  </w14:solidFill>
                </w14:textFill>
              </w:rPr>
              <w:t>；不可行□</w:t>
            </w:r>
          </w:p>
        </w:tc>
      </w:tr>
      <w:tr w14:paraId="6199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8951" w:type="dxa"/>
            <w:gridSpan w:val="3"/>
            <w:vAlign w:val="center"/>
          </w:tcPr>
          <w:p w14:paraId="3B19A348">
            <w:pPr>
              <w:adjustRightInd w:val="0"/>
              <w:snapToGrid w:val="0"/>
              <w:rPr>
                <w:snapToGrid w:val="0"/>
                <w:color w:val="000000" w:themeColor="text1"/>
                <w:kern w:val="0"/>
                <w14:textFill>
                  <w14:solidFill>
                    <w14:schemeClr w14:val="tx1"/>
                  </w14:solidFill>
                </w14:textFill>
              </w:rPr>
            </w:pPr>
            <w:r>
              <w:rPr>
                <w:color w:val="000000" w:themeColor="text1"/>
                <w14:textFill>
                  <w14:solidFill>
                    <w14:schemeClr w14:val="tx1"/>
                  </w14:solidFill>
                </w14:textFill>
              </w:rPr>
              <w:t>注：</w:t>
            </w:r>
            <w:r>
              <w:rPr>
                <w:rFonts w:hint="eastAsia"/>
                <w:color w:val="000000" w:themeColor="text1"/>
                <w14:textFill>
                  <w14:solidFill>
                    <w14:schemeClr w14:val="tx1"/>
                  </w14:solidFill>
                </w14:textFill>
              </w:rPr>
              <w:t>“</w:t>
            </w:r>
            <w:r>
              <w:rPr>
                <w:color w:val="000000" w:themeColor="text1"/>
                <w:kern w:val="0"/>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为勾选项，可</w:t>
            </w:r>
            <w:r>
              <w:rPr>
                <w:color w:val="000000" w:themeColor="text1"/>
                <w:shd w:val="clear" w:color="auto" w:fill="FFFFFF"/>
                <w14:textFill>
                  <w14:solidFill>
                    <w14:schemeClr w14:val="tx1"/>
                  </w14:solidFill>
                </w14:textFill>
              </w:rPr>
              <w:t>√</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 ）</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为内容填写项。</w:t>
            </w:r>
          </w:p>
        </w:tc>
      </w:tr>
    </w:tbl>
    <w:p w14:paraId="418B3562">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02" w:name="_Toc233380248"/>
      <w:r>
        <w:rPr>
          <w:rFonts w:ascii="Times New Roman" w:hAnsi="Times New Roman" w:eastAsia="宋体"/>
          <w:color w:val="000000" w:themeColor="text1"/>
          <w:sz w:val="30"/>
          <w:szCs w:val="30"/>
          <w14:textFill>
            <w14:solidFill>
              <w14:schemeClr w14:val="tx1"/>
            </w14:solidFill>
          </w14:textFill>
        </w:rPr>
        <w:t>5.10社会影响分析</w:t>
      </w:r>
      <w:bookmarkEnd w:id="889"/>
      <w:bookmarkEnd w:id="902"/>
    </w:p>
    <w:p w14:paraId="148BCE7D">
      <w:pPr>
        <w:pStyle w:val="51"/>
        <w:widowControl w:val="0"/>
        <w:spacing w:after="0" w:line="360" w:lineRule="auto"/>
        <w:ind w:left="0" w:leftChars="0"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w:t>
      </w:r>
      <w:r>
        <w:rPr>
          <w:b/>
          <w:bCs/>
          <w:color w:val="000000" w:themeColor="text1"/>
          <w:sz w:val="24"/>
          <w:lang w:val="en-US"/>
          <w14:textFill>
            <w14:solidFill>
              <w14:schemeClr w14:val="tx1"/>
            </w14:solidFill>
          </w14:textFill>
        </w:rPr>
        <w:t>1</w:t>
      </w:r>
      <w:r>
        <w:rPr>
          <w:b/>
          <w:bCs/>
          <w:color w:val="000000" w:themeColor="text1"/>
          <w:sz w:val="24"/>
          <w14:textFill>
            <w14:solidFill>
              <w14:schemeClr w14:val="tx1"/>
            </w14:solidFill>
          </w14:textFill>
        </w:rPr>
        <w:t>）对区域经济影响</w:t>
      </w:r>
    </w:p>
    <w:p w14:paraId="527D5BBD">
      <w:pPr>
        <w:pStyle w:val="51"/>
        <w:widowControl w:val="0"/>
        <w:spacing w:after="0" w:line="360" w:lineRule="auto"/>
        <w:ind w:left="0" w:leftChars="0" w:firstLine="480" w:firstLineChars="200"/>
        <w:rPr>
          <w:color w:val="000000" w:themeColor="text1"/>
          <w:sz w:val="24"/>
          <w14:textFill>
            <w14:solidFill>
              <w14:schemeClr w14:val="tx1"/>
            </w14:solidFill>
          </w14:textFill>
        </w:rPr>
      </w:pPr>
      <w:r>
        <w:rPr>
          <w:color w:val="000000" w:themeColor="text1"/>
          <w:sz w:val="24"/>
          <w:lang w:val="en-US"/>
          <w14:textFill>
            <w14:solidFill>
              <w14:schemeClr w14:val="tx1"/>
            </w14:solidFill>
          </w14:textFill>
        </w:rPr>
        <w:t>本项目的建设成为推动地方农业现代化和经济增长的重要引擎。本项目的生产促进就业增长，养牛场运营需要劳动力，包括饲养员、兽医、管理人员等，为当地居民提供就业机会。带动上下游产业（饲料供应、物流运输、设备维护等）的岗位需求，进一步扩大就业市场。拉动相关产业链发展，促进当地玉米、大豆等饲料原料种植业的需求；推动</w:t>
      </w:r>
      <w:r>
        <w:rPr>
          <w:rFonts w:hint="eastAsia"/>
          <w:color w:val="000000" w:themeColor="text1"/>
          <w:sz w:val="24"/>
          <w:lang w:val="en-US"/>
          <w14:textFill>
            <w14:solidFill>
              <w14:schemeClr w14:val="tx1"/>
            </w14:solidFill>
          </w14:textFill>
        </w:rPr>
        <w:t>肉牛</w:t>
      </w:r>
      <w:r>
        <w:rPr>
          <w:color w:val="000000" w:themeColor="text1"/>
          <w:sz w:val="24"/>
          <w:lang w:val="en-US"/>
          <w14:textFill>
            <w14:solidFill>
              <w14:schemeClr w14:val="tx1"/>
            </w14:solidFill>
          </w14:textFill>
        </w:rPr>
        <w:t>加工、冷链物流、包装材料等配套产业发展，形成产业集群效应。</w:t>
      </w:r>
      <w:r>
        <w:rPr>
          <w:color w:val="000000" w:themeColor="text1"/>
          <w:sz w:val="24"/>
          <w14:textFill>
            <w14:solidFill>
              <w14:schemeClr w14:val="tx1"/>
            </w14:solidFill>
          </w14:textFill>
        </w:rPr>
        <w:t>帮助农民脱贫致富，具有明显的社会正效应。</w:t>
      </w:r>
    </w:p>
    <w:p w14:paraId="2E3542B2">
      <w:pPr>
        <w:pStyle w:val="51"/>
        <w:widowControl w:val="0"/>
        <w:spacing w:after="0" w:line="360" w:lineRule="auto"/>
        <w:ind w:left="0" w:leftChars="0" w:firstLine="482" w:firstLineChars="200"/>
        <w:rPr>
          <w:b/>
          <w:bCs/>
          <w:color w:val="000000" w:themeColor="text1"/>
          <w:sz w:val="24"/>
          <w:lang w:val="en-US"/>
          <w14:textFill>
            <w14:solidFill>
              <w14:schemeClr w14:val="tx1"/>
            </w14:solidFill>
          </w14:textFill>
        </w:rPr>
      </w:pPr>
      <w:r>
        <w:rPr>
          <w:b/>
          <w:bCs/>
          <w:color w:val="000000" w:themeColor="text1"/>
          <w:sz w:val="24"/>
          <w:lang w:val="en-US"/>
          <w14:textFill>
            <w14:solidFill>
              <w14:schemeClr w14:val="tx1"/>
            </w14:solidFill>
          </w14:textFill>
        </w:rPr>
        <w:t>（2）居民生活环境的影响</w:t>
      </w:r>
    </w:p>
    <w:p w14:paraId="297579E1">
      <w:pPr>
        <w:pStyle w:val="51"/>
        <w:widowControl w:val="0"/>
        <w:spacing w:after="0" w:line="360" w:lineRule="auto"/>
        <w:ind w:left="0" w:leftChars="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本项目的建设后，为周边农户创造就业机会，有效提高当地农民收入水平。该项目建成后，物流需求增加：主要涉及</w:t>
      </w:r>
      <w:r>
        <w:rPr>
          <w:color w:val="000000" w:themeColor="text1"/>
          <w:sz w:val="24"/>
          <w:lang w:val="en-US"/>
          <w14:textFill>
            <w14:solidFill>
              <w14:schemeClr w14:val="tx1"/>
            </w14:solidFill>
          </w14:textFill>
        </w:rPr>
        <w:t>肉牛</w:t>
      </w:r>
      <w:r>
        <w:rPr>
          <w:color w:val="000000" w:themeColor="text1"/>
          <w:sz w:val="24"/>
          <w14:textFill>
            <w14:solidFill>
              <w14:schemeClr w14:val="tx1"/>
            </w14:solidFill>
          </w14:textFill>
        </w:rPr>
        <w:t>、饲料等物资运输。但由于本项目运输路线多位于人口密度较低区域，住户较少，汽车发动机工作时产生的噪声对沿线居民生活产生短时影响，不会导致声环境质量明显的下降。通过科学规划运输时段和频次、优先选择影响较小的运输路径、减少夜间运输量、确保运输车辆符合噪声排放标准等可有效减少物流运输中所产生的环境影响。</w:t>
      </w:r>
    </w:p>
    <w:p w14:paraId="1AD17891">
      <w:pPr>
        <w:rPr>
          <w:color w:val="000000" w:themeColor="text1"/>
          <w:sz w:val="36"/>
          <w:szCs w:val="36"/>
          <w14:textFill>
            <w14:solidFill>
              <w14:schemeClr w14:val="tx1"/>
            </w14:solidFill>
          </w14:textFill>
        </w:rPr>
      </w:pPr>
    </w:p>
    <w:p w14:paraId="710B259E">
      <w:pPr>
        <w:rPr>
          <w:color w:val="000000" w:themeColor="text1"/>
          <w:sz w:val="36"/>
          <w:szCs w:val="36"/>
          <w14:textFill>
            <w14:solidFill>
              <w14:schemeClr w14:val="tx1"/>
            </w14:solidFill>
          </w14:textFill>
        </w:rPr>
        <w:sectPr>
          <w:pgSz w:w="11907" w:h="16840"/>
          <w:pgMar w:top="1440" w:right="1797" w:bottom="1440" w:left="1797" w:header="851" w:footer="992" w:gutter="0"/>
          <w:pgNumType w:chapStyle="1"/>
          <w:cols w:space="720" w:num="1"/>
          <w:docGrid w:linePitch="312" w:charSpace="0"/>
        </w:sectPr>
      </w:pPr>
    </w:p>
    <w:p w14:paraId="53AF2186">
      <w:pPr>
        <w:pStyle w:val="3"/>
        <w:snapToGrid w:val="0"/>
        <w:spacing w:before="240" w:beforeLines="100" w:after="240" w:afterLines="100" w:line="360" w:lineRule="auto"/>
        <w:rPr>
          <w:bCs w:val="0"/>
          <w:color w:val="000000" w:themeColor="text1"/>
          <w:sz w:val="36"/>
          <w:szCs w:val="36"/>
          <w14:textFill>
            <w14:solidFill>
              <w14:schemeClr w14:val="tx1"/>
            </w14:solidFill>
          </w14:textFill>
        </w:rPr>
      </w:pPr>
      <w:bookmarkStart w:id="903" w:name="_Toc233380249"/>
      <w:bookmarkStart w:id="904" w:name="_Toc14460"/>
      <w:r>
        <w:rPr>
          <w:bCs w:val="0"/>
          <w:color w:val="000000" w:themeColor="text1"/>
          <w:sz w:val="36"/>
          <w:szCs w:val="36"/>
          <w14:textFill>
            <w14:solidFill>
              <w14:schemeClr w14:val="tx1"/>
            </w14:solidFill>
          </w14:textFill>
        </w:rPr>
        <w:t>6环境风险分析</w:t>
      </w:r>
      <w:bookmarkEnd w:id="844"/>
      <w:bookmarkEnd w:id="903"/>
      <w:bookmarkEnd w:id="904"/>
    </w:p>
    <w:p w14:paraId="00A5E6BA">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05" w:name="_Toc10633660"/>
      <w:bookmarkStart w:id="906" w:name="_Toc10641480"/>
      <w:bookmarkStart w:id="907" w:name="_Toc40220791"/>
      <w:bookmarkStart w:id="908" w:name="_Toc6355"/>
      <w:bookmarkStart w:id="909" w:name="_Toc233380250"/>
      <w:r>
        <w:rPr>
          <w:rFonts w:ascii="Times New Roman" w:hAnsi="Times New Roman" w:eastAsia="宋体"/>
          <w:color w:val="000000" w:themeColor="text1"/>
          <w:sz w:val="30"/>
          <w:szCs w:val="30"/>
          <w14:textFill>
            <w14:solidFill>
              <w14:schemeClr w14:val="tx1"/>
            </w14:solidFill>
          </w14:textFill>
        </w:rPr>
        <w:t>6.1评价</w:t>
      </w:r>
      <w:bookmarkEnd w:id="905"/>
      <w:bookmarkEnd w:id="906"/>
      <w:r>
        <w:rPr>
          <w:rFonts w:ascii="Times New Roman" w:hAnsi="Times New Roman" w:eastAsia="宋体"/>
          <w:color w:val="000000" w:themeColor="text1"/>
          <w:sz w:val="30"/>
          <w:szCs w:val="30"/>
          <w14:textFill>
            <w14:solidFill>
              <w14:schemeClr w14:val="tx1"/>
            </w14:solidFill>
          </w14:textFill>
        </w:rPr>
        <w:t>目的</w:t>
      </w:r>
      <w:bookmarkEnd w:id="907"/>
      <w:bookmarkEnd w:id="908"/>
      <w:bookmarkEnd w:id="909"/>
    </w:p>
    <w:p w14:paraId="77912743">
      <w:pPr>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环境风险评价的目的是分析、预测和评估建设项目存在的潜在危险、有害因素和可能发生的突发性事件导致的危险物质环境急性损害，提出合理可行的预防、控制和减缓措施，明确环境风险监控及应急要求，为建设项目环境风险防控提供科学依据。评价工作程序见下图6.1-1。</w:t>
      </w:r>
    </w:p>
    <w:p w14:paraId="169C304D">
      <w:pPr>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drawing>
          <wp:inline distT="0" distB="0" distL="0" distR="0">
            <wp:extent cx="5396230" cy="5438775"/>
            <wp:effectExtent l="0" t="0" r="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a:xfrm>
                      <a:off x="0" y="0"/>
                      <a:ext cx="5396230" cy="5438775"/>
                    </a:xfrm>
                    <a:prstGeom prst="rect">
                      <a:avLst/>
                    </a:prstGeom>
                    <a:noFill/>
                    <a:ln>
                      <a:noFill/>
                    </a:ln>
                  </pic:spPr>
                </pic:pic>
              </a:graphicData>
            </a:graphic>
          </wp:inline>
        </w:drawing>
      </w:r>
    </w:p>
    <w:p w14:paraId="6E33CD9E">
      <w:pPr>
        <w:adjustRightInd w:val="0"/>
        <w:snapToGrid w:val="0"/>
        <w:spacing w:before="120" w:beforeLines="50"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图6.1-1 评价工作程序</w:t>
      </w:r>
    </w:p>
    <w:p w14:paraId="54640E2D">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10" w:name="_Toc29657"/>
      <w:bookmarkStart w:id="911" w:name="_Toc40220792"/>
      <w:bookmarkStart w:id="912" w:name="_Toc233380251"/>
      <w:r>
        <w:rPr>
          <w:rFonts w:ascii="Times New Roman" w:hAnsi="Times New Roman" w:eastAsia="宋体"/>
          <w:color w:val="000000" w:themeColor="text1"/>
          <w:sz w:val="30"/>
          <w:szCs w:val="30"/>
          <w14:textFill>
            <w14:solidFill>
              <w14:schemeClr w14:val="tx1"/>
            </w14:solidFill>
          </w14:textFill>
        </w:rPr>
        <w:t>6.2风险潜势初判</w:t>
      </w:r>
      <w:bookmarkEnd w:id="910"/>
      <w:bookmarkEnd w:id="911"/>
      <w:bookmarkEnd w:id="912"/>
    </w:p>
    <w:p w14:paraId="1D80A965">
      <w:pPr>
        <w:pStyle w:val="5"/>
        <w:adjustRightInd w:val="0"/>
        <w:snapToGrid w:val="0"/>
        <w:spacing w:before="0" w:after="0" w:line="360" w:lineRule="auto"/>
        <w:rPr>
          <w:color w:val="000000" w:themeColor="text1"/>
          <w:sz w:val="28"/>
          <w:szCs w:val="28"/>
          <w14:textFill>
            <w14:solidFill>
              <w14:schemeClr w14:val="tx1"/>
            </w14:solidFill>
          </w14:textFill>
        </w:rPr>
      </w:pPr>
      <w:bookmarkStart w:id="913" w:name="_Toc16476"/>
      <w:bookmarkStart w:id="914" w:name="_Toc28814718"/>
      <w:bookmarkStart w:id="915" w:name="_Toc233380252"/>
      <w:bookmarkStart w:id="916" w:name="_Toc40220793"/>
      <w:r>
        <w:rPr>
          <w:color w:val="000000" w:themeColor="text1"/>
          <w:sz w:val="28"/>
          <w:szCs w:val="28"/>
          <w14:textFill>
            <w14:solidFill>
              <w14:schemeClr w14:val="tx1"/>
            </w14:solidFill>
          </w14:textFill>
        </w:rPr>
        <w:t>6.2.1危险物质</w:t>
      </w:r>
      <w:bookmarkEnd w:id="913"/>
      <w:bookmarkEnd w:id="914"/>
      <w:bookmarkEnd w:id="915"/>
      <w:bookmarkEnd w:id="916"/>
    </w:p>
    <w:p w14:paraId="6BEF4162">
      <w:pPr>
        <w:spacing w:line="360" w:lineRule="auto"/>
        <w:ind w:firstLine="480" w:firstLineChars="200"/>
        <w:jc w:val="both"/>
        <w:rPr>
          <w:color w:val="000000" w:themeColor="text1"/>
          <w:kern w:val="0"/>
          <w:sz w:val="24"/>
          <w:szCs w:val="23"/>
          <w14:textFill>
            <w14:solidFill>
              <w14:schemeClr w14:val="tx1"/>
            </w14:solidFill>
          </w14:textFill>
        </w:rPr>
      </w:pPr>
      <w:r>
        <w:rPr>
          <w:color w:val="000000" w:themeColor="text1"/>
          <w:kern w:val="0"/>
          <w:sz w:val="24"/>
          <w:szCs w:val="23"/>
          <w14:textFill>
            <w14:solidFill>
              <w14:schemeClr w14:val="tx1"/>
            </w14:solidFill>
          </w14:textFill>
        </w:rPr>
        <w:t>对照《建设项目环境风险评价技术导则》（HJ169-2018）附录B，本项目涉及的危险物质储存情况见下表6.2-1。</w:t>
      </w:r>
    </w:p>
    <w:p w14:paraId="54AC478F">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表6.2-1   项目主要关注危险物质储存情况表</w:t>
      </w:r>
    </w:p>
    <w:tbl>
      <w:tblPr>
        <w:tblStyle w:val="88"/>
        <w:tblW w:w="8426"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811"/>
        <w:gridCol w:w="1035"/>
        <w:gridCol w:w="1160"/>
        <w:gridCol w:w="1104"/>
        <w:gridCol w:w="1122"/>
        <w:gridCol w:w="1449"/>
      </w:tblGrid>
      <w:tr w14:paraId="567BB9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45" w:type="dxa"/>
            <w:tcBorders>
              <w:top w:val="single" w:color="auto" w:sz="12" w:space="0"/>
            </w:tcBorders>
            <w:vAlign w:val="center"/>
          </w:tcPr>
          <w:p w14:paraId="704215A2">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序号</w:t>
            </w:r>
          </w:p>
        </w:tc>
        <w:tc>
          <w:tcPr>
            <w:tcW w:w="1811" w:type="dxa"/>
            <w:tcBorders>
              <w:top w:val="single" w:color="auto" w:sz="12" w:space="0"/>
            </w:tcBorders>
            <w:vAlign w:val="center"/>
          </w:tcPr>
          <w:p w14:paraId="3244DC24">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名称</w:t>
            </w:r>
          </w:p>
        </w:tc>
        <w:tc>
          <w:tcPr>
            <w:tcW w:w="1035" w:type="dxa"/>
            <w:tcBorders>
              <w:top w:val="single" w:color="auto" w:sz="12" w:space="0"/>
            </w:tcBorders>
            <w:vAlign w:val="center"/>
          </w:tcPr>
          <w:p w14:paraId="16BE2753">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CAS No.</w:t>
            </w:r>
          </w:p>
        </w:tc>
        <w:tc>
          <w:tcPr>
            <w:tcW w:w="1160" w:type="dxa"/>
            <w:tcBorders>
              <w:top w:val="single" w:color="auto" w:sz="12" w:space="0"/>
            </w:tcBorders>
            <w:vAlign w:val="center"/>
          </w:tcPr>
          <w:p w14:paraId="17F75141">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储存方式</w:t>
            </w:r>
          </w:p>
        </w:tc>
        <w:tc>
          <w:tcPr>
            <w:tcW w:w="1104" w:type="dxa"/>
            <w:tcBorders>
              <w:top w:val="single" w:color="auto" w:sz="12" w:space="0"/>
            </w:tcBorders>
            <w:vAlign w:val="center"/>
          </w:tcPr>
          <w:p w14:paraId="05F4E3A3">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最大存储量/t</w:t>
            </w:r>
          </w:p>
        </w:tc>
        <w:tc>
          <w:tcPr>
            <w:tcW w:w="1122" w:type="dxa"/>
            <w:tcBorders>
              <w:top w:val="single" w:color="auto" w:sz="12" w:space="0"/>
            </w:tcBorders>
            <w:vAlign w:val="center"/>
          </w:tcPr>
          <w:p w14:paraId="1ECDA076">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最大存储周期/d</w:t>
            </w:r>
          </w:p>
        </w:tc>
        <w:tc>
          <w:tcPr>
            <w:tcW w:w="1449" w:type="dxa"/>
            <w:tcBorders>
              <w:top w:val="single" w:color="auto" w:sz="12" w:space="0"/>
            </w:tcBorders>
            <w:vAlign w:val="center"/>
          </w:tcPr>
          <w:p w14:paraId="519183D7">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存储位置</w:t>
            </w:r>
          </w:p>
        </w:tc>
      </w:tr>
      <w:tr w14:paraId="32705AB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637721C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811" w:type="dxa"/>
            <w:vAlign w:val="center"/>
          </w:tcPr>
          <w:p w14:paraId="6C57CB5F">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柴油</w:t>
            </w:r>
          </w:p>
        </w:tc>
        <w:tc>
          <w:tcPr>
            <w:tcW w:w="1035" w:type="dxa"/>
            <w:vAlign w:val="center"/>
          </w:tcPr>
          <w:p w14:paraId="7F21F3EB">
            <w:pPr>
              <w:adjustRightInd w:val="0"/>
              <w:snapToGrid w:val="0"/>
              <w:jc w:val="center"/>
              <w:rPr>
                <w:color w:val="000000" w:themeColor="text1"/>
                <w:szCs w:val="21"/>
                <w14:textFill>
                  <w14:solidFill>
                    <w14:schemeClr w14:val="tx1"/>
                  </w14:solidFill>
                </w14:textFill>
              </w:rPr>
            </w:pPr>
            <w:r>
              <w:rPr>
                <w:rFonts w:eastAsia="TimesNewRomanPSMT"/>
                <w:color w:val="000000" w:themeColor="text1"/>
                <w:kern w:val="0"/>
                <w:szCs w:val="21"/>
                <w14:textFill>
                  <w14:solidFill>
                    <w14:schemeClr w14:val="tx1"/>
                  </w14:solidFill>
                </w14:textFill>
              </w:rPr>
              <w:t>/</w:t>
            </w:r>
          </w:p>
        </w:tc>
        <w:tc>
          <w:tcPr>
            <w:tcW w:w="1160" w:type="dxa"/>
            <w:vAlign w:val="center"/>
          </w:tcPr>
          <w:p w14:paraId="54977AAD">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铁桶</w:t>
            </w:r>
          </w:p>
        </w:tc>
        <w:tc>
          <w:tcPr>
            <w:tcW w:w="1104" w:type="dxa"/>
            <w:vAlign w:val="center"/>
          </w:tcPr>
          <w:p w14:paraId="524A25E0">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0.1</w:t>
            </w:r>
          </w:p>
        </w:tc>
        <w:tc>
          <w:tcPr>
            <w:tcW w:w="1122" w:type="dxa"/>
            <w:vAlign w:val="center"/>
          </w:tcPr>
          <w:p w14:paraId="019BD2D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365</w:t>
            </w:r>
          </w:p>
        </w:tc>
        <w:tc>
          <w:tcPr>
            <w:tcW w:w="1449" w:type="dxa"/>
            <w:vAlign w:val="center"/>
          </w:tcPr>
          <w:p w14:paraId="51F4ABD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柴油发电机房</w:t>
            </w:r>
          </w:p>
        </w:tc>
      </w:tr>
      <w:tr w14:paraId="7FFDB2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45" w:type="dxa"/>
            <w:vAlign w:val="center"/>
          </w:tcPr>
          <w:p w14:paraId="1B5562C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811" w:type="dxa"/>
            <w:vAlign w:val="center"/>
          </w:tcPr>
          <w:p w14:paraId="35BBDBB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过氧乙酸</w:t>
            </w:r>
          </w:p>
        </w:tc>
        <w:tc>
          <w:tcPr>
            <w:tcW w:w="1035" w:type="dxa"/>
            <w:vAlign w:val="center"/>
          </w:tcPr>
          <w:p w14:paraId="02E7D5E5">
            <w:pPr>
              <w:adjustRightInd w:val="0"/>
              <w:snapToGrid w:val="0"/>
              <w:jc w:val="center"/>
              <w:rPr>
                <w:rFonts w:eastAsia="TimesNewRomanPSMT"/>
                <w:color w:val="000000" w:themeColor="text1"/>
                <w:kern w:val="0"/>
                <w:szCs w:val="21"/>
                <w14:textFill>
                  <w14:solidFill>
                    <w14:schemeClr w14:val="tx1"/>
                  </w14:solidFill>
                </w14:textFill>
              </w:rPr>
            </w:pPr>
            <w:r>
              <w:rPr>
                <w:rFonts w:eastAsia="TimesNewRomanPSMT"/>
                <w:color w:val="000000" w:themeColor="text1"/>
                <w:kern w:val="0"/>
                <w:szCs w:val="21"/>
                <w14:textFill>
                  <w14:solidFill>
                    <w14:schemeClr w14:val="tx1"/>
                  </w14:solidFill>
                </w14:textFill>
              </w:rPr>
              <w:t>79-21-0</w:t>
            </w:r>
          </w:p>
        </w:tc>
        <w:tc>
          <w:tcPr>
            <w:tcW w:w="1160" w:type="dxa"/>
            <w:vAlign w:val="center"/>
          </w:tcPr>
          <w:p w14:paraId="13055556">
            <w:pPr>
              <w:adjustRightInd w:val="0"/>
              <w:snapToGrid w:val="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塑料桶</w:t>
            </w:r>
          </w:p>
        </w:tc>
        <w:tc>
          <w:tcPr>
            <w:tcW w:w="1104" w:type="dxa"/>
            <w:vAlign w:val="center"/>
          </w:tcPr>
          <w:p w14:paraId="4EA77EFD">
            <w:pPr>
              <w:adjustRightInd w:val="0"/>
              <w:snapToGrid w:val="0"/>
              <w:jc w:val="center"/>
              <w:rPr>
                <w:rFonts w:eastAsia="等线"/>
                <w:color w:val="000000" w:themeColor="text1"/>
                <w:szCs w:val="21"/>
                <w14:textFill>
                  <w14:solidFill>
                    <w14:schemeClr w14:val="tx1"/>
                  </w14:solidFill>
                </w14:textFill>
              </w:rPr>
            </w:pPr>
            <w:r>
              <w:rPr>
                <w:rFonts w:eastAsia="等线"/>
                <w:color w:val="000000" w:themeColor="text1"/>
                <w:szCs w:val="21"/>
                <w14:textFill>
                  <w14:solidFill>
                    <w14:schemeClr w14:val="tx1"/>
                  </w14:solidFill>
                </w14:textFill>
              </w:rPr>
              <w:t>0.1</w:t>
            </w:r>
          </w:p>
        </w:tc>
        <w:tc>
          <w:tcPr>
            <w:tcW w:w="1122" w:type="dxa"/>
            <w:vAlign w:val="center"/>
          </w:tcPr>
          <w:p w14:paraId="0ABF89F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365</w:t>
            </w:r>
          </w:p>
        </w:tc>
        <w:tc>
          <w:tcPr>
            <w:tcW w:w="1449" w:type="dxa"/>
            <w:vAlign w:val="center"/>
          </w:tcPr>
          <w:p w14:paraId="711CFC0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仓储区</w:t>
            </w:r>
          </w:p>
        </w:tc>
      </w:tr>
    </w:tbl>
    <w:p w14:paraId="1DB881B3">
      <w:pPr>
        <w:pStyle w:val="5"/>
        <w:adjustRightInd w:val="0"/>
        <w:snapToGrid w:val="0"/>
        <w:spacing w:before="0" w:after="0" w:line="360" w:lineRule="auto"/>
        <w:rPr>
          <w:color w:val="000000" w:themeColor="text1"/>
          <w:sz w:val="28"/>
          <w:szCs w:val="28"/>
          <w14:textFill>
            <w14:solidFill>
              <w14:schemeClr w14:val="tx1"/>
            </w14:solidFill>
          </w14:textFill>
        </w:rPr>
      </w:pPr>
      <w:bookmarkStart w:id="917" w:name="_Toc233380253"/>
      <w:bookmarkStart w:id="918" w:name="_Toc3327"/>
      <w:r>
        <w:rPr>
          <w:color w:val="000000" w:themeColor="text1"/>
          <w:sz w:val="28"/>
          <w:szCs w:val="28"/>
          <w14:textFill>
            <w14:solidFill>
              <w14:schemeClr w14:val="tx1"/>
            </w14:solidFill>
          </w14:textFill>
        </w:rPr>
        <w:t>6.2.2</w:t>
      </w:r>
      <w:r>
        <w:rPr>
          <w:rFonts w:hint="eastAsia"/>
          <w:color w:val="000000" w:themeColor="text1"/>
          <w:sz w:val="28"/>
          <w:szCs w:val="28"/>
          <w14:textFill>
            <w14:solidFill>
              <w14:schemeClr w14:val="tx1"/>
            </w14:solidFill>
          </w14:textFill>
        </w:rPr>
        <w:t xml:space="preserve"> </w:t>
      </w:r>
      <w:r>
        <w:rPr>
          <w:color w:val="000000" w:themeColor="text1"/>
          <w:sz w:val="28"/>
          <w:szCs w:val="28"/>
          <w14:textFill>
            <w14:solidFill>
              <w14:schemeClr w14:val="tx1"/>
            </w14:solidFill>
          </w14:textFill>
        </w:rPr>
        <w:t>Q值的确定</w:t>
      </w:r>
      <w:bookmarkEnd w:id="917"/>
      <w:bookmarkEnd w:id="918"/>
    </w:p>
    <w:p w14:paraId="4A54606E">
      <w:pPr>
        <w:autoSpaceDE w:val="0"/>
        <w:autoSpaceDN w:val="0"/>
        <w:adjustRightInd w:val="0"/>
        <w:snapToGrid w:val="0"/>
        <w:spacing w:line="360" w:lineRule="auto"/>
        <w:ind w:firstLine="480" w:firstLineChars="200"/>
        <w:jc w:val="both"/>
        <w:rPr>
          <w:color w:val="000000" w:themeColor="text1"/>
          <w:kern w:val="0"/>
          <w:sz w:val="24"/>
          <w:szCs w:val="23"/>
          <w14:textFill>
            <w14:solidFill>
              <w14:schemeClr w14:val="tx1"/>
            </w14:solidFill>
          </w14:textFill>
        </w:rPr>
      </w:pPr>
      <w:r>
        <w:rPr>
          <w:color w:val="000000" w:themeColor="text1"/>
          <w:kern w:val="0"/>
          <w:sz w:val="24"/>
          <w:szCs w:val="23"/>
          <w14:textFill>
            <w14:solidFill>
              <w14:schemeClr w14:val="tx1"/>
            </w14:solidFill>
          </w14:textFill>
        </w:rPr>
        <w:t xml:space="preserve">根据《建设项目环境风险评价技术导则》（HJ 169-2018），计算项目所涉及的每种危险物质在厂界内的最大存在总量与其在附录B中对应临界量的比值Q。在不同厂区的同一种物质，按其在厂界内的最大存在总量计算。 </w:t>
      </w:r>
    </w:p>
    <w:p w14:paraId="220442D7">
      <w:pPr>
        <w:autoSpaceDE w:val="0"/>
        <w:autoSpaceDN w:val="0"/>
        <w:adjustRightInd w:val="0"/>
        <w:snapToGrid w:val="0"/>
        <w:spacing w:line="360" w:lineRule="auto"/>
        <w:ind w:firstLine="480" w:firstLineChars="200"/>
        <w:jc w:val="both"/>
        <w:rPr>
          <w:color w:val="000000" w:themeColor="text1"/>
          <w:kern w:val="0"/>
          <w:sz w:val="24"/>
          <w:szCs w:val="23"/>
          <w14:textFill>
            <w14:solidFill>
              <w14:schemeClr w14:val="tx1"/>
            </w14:solidFill>
          </w14:textFill>
        </w:rPr>
      </w:pPr>
      <w:r>
        <w:rPr>
          <w:color w:val="000000" w:themeColor="text1"/>
          <w:kern w:val="0"/>
          <w:sz w:val="24"/>
          <w:szCs w:val="23"/>
          <w14:textFill>
            <w14:solidFill>
              <w14:schemeClr w14:val="tx1"/>
            </w14:solidFill>
          </w14:textFill>
        </w:rPr>
        <w:t xml:space="preserve">当只涉及一种危险物质时，计算该物质的总量与其临界量比值，即为Q： </w:t>
      </w:r>
    </w:p>
    <w:p w14:paraId="1884F4A5">
      <w:pPr>
        <w:pStyle w:val="1782"/>
        <w:adjustRightInd w:val="0"/>
        <w:spacing w:line="360" w:lineRule="auto"/>
        <w:ind w:firstLine="480" w:firstLineChars="200"/>
        <w:jc w:val="both"/>
        <w:rPr>
          <w:color w:val="000000" w:themeColor="text1"/>
          <w:sz w:val="28"/>
          <w14:textFill>
            <w14:solidFill>
              <w14:schemeClr w14:val="tx1"/>
            </w14:solidFill>
          </w14:textFill>
        </w:rPr>
      </w:pPr>
      <w:r>
        <w:rPr>
          <w:b w:val="0"/>
          <w:color w:val="000000" w:themeColor="text1"/>
          <w:kern w:val="0"/>
          <w:sz w:val="24"/>
          <w:szCs w:val="23"/>
          <w14:textFill>
            <w14:solidFill>
              <w14:schemeClr w14:val="tx1"/>
            </w14:solidFill>
          </w14:textFill>
        </w:rPr>
        <w:t>当存在多种危险物质时，则按下式计算物质总量与其临界量比值Q：</w:t>
      </w:r>
    </w:p>
    <w:p w14:paraId="3FAA1CCE">
      <w:pPr>
        <w:autoSpaceDE w:val="0"/>
        <w:autoSpaceDN w:val="0"/>
        <w:adjustRightInd w:val="0"/>
        <w:snapToGrid w:val="0"/>
        <w:spacing w:line="360" w:lineRule="auto"/>
        <w:ind w:firstLine="470"/>
        <w:jc w:val="center"/>
        <w:rPr>
          <w:color w:val="000000" w:themeColor="text1"/>
          <w:kern w:val="0"/>
          <w:sz w:val="24"/>
          <w14:textFill>
            <w14:solidFill>
              <w14:schemeClr w14:val="tx1"/>
            </w14:solidFill>
          </w14:textFill>
        </w:rPr>
      </w:pPr>
      <w:r>
        <w:rPr>
          <w:color w:val="000000" w:themeColor="text1"/>
          <w14:textFill>
            <w14:solidFill>
              <w14:schemeClr w14:val="tx1"/>
            </w14:solidFill>
          </w14:textFill>
        </w:rPr>
        <w:drawing>
          <wp:inline distT="0" distB="0" distL="0" distR="0">
            <wp:extent cx="2087880" cy="607695"/>
            <wp:effectExtent l="0" t="0" r="0" b="0"/>
            <wp:docPr id="1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a:xfrm>
                      <a:off x="0" y="0"/>
                      <a:ext cx="2087880" cy="607695"/>
                    </a:xfrm>
                    <a:prstGeom prst="rect">
                      <a:avLst/>
                    </a:prstGeom>
                    <a:noFill/>
                    <a:ln>
                      <a:noFill/>
                    </a:ln>
                  </pic:spPr>
                </pic:pic>
              </a:graphicData>
            </a:graphic>
          </wp:inline>
        </w:drawing>
      </w:r>
    </w:p>
    <w:p w14:paraId="7C1FF3E2">
      <w:pPr>
        <w:autoSpaceDE w:val="0"/>
        <w:autoSpaceDN w:val="0"/>
        <w:adjustRightInd w:val="0"/>
        <w:snapToGrid w:val="0"/>
        <w:spacing w:line="360" w:lineRule="auto"/>
        <w:ind w:firstLine="360" w:firstLineChars="15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 xml:space="preserve">式中： </w:t>
      </w:r>
    </w:p>
    <w:p w14:paraId="70DC1844">
      <w:pPr>
        <w:autoSpaceDE w:val="0"/>
        <w:autoSpaceDN w:val="0"/>
        <w:adjustRightInd w:val="0"/>
        <w:snapToGrid w:val="0"/>
        <w:spacing w:line="360" w:lineRule="auto"/>
        <w:ind w:firstLine="991" w:firstLineChars="413"/>
        <w:rPr>
          <w:color w:val="000000" w:themeColor="text1"/>
          <w:kern w:val="0"/>
          <w:sz w:val="24"/>
          <w14:textFill>
            <w14:solidFill>
              <w14:schemeClr w14:val="tx1"/>
            </w14:solidFill>
          </w14:textFill>
        </w:rPr>
      </w:pPr>
      <w:r>
        <w:rPr>
          <w:i/>
          <w:iCs/>
          <w:color w:val="000000" w:themeColor="text1"/>
          <w:kern w:val="0"/>
          <w:sz w:val="24"/>
          <w14:textFill>
            <w14:solidFill>
              <w14:schemeClr w14:val="tx1"/>
            </w14:solidFill>
          </w14:textFill>
        </w:rPr>
        <w:t>q1</w:t>
      </w:r>
      <w:r>
        <w:rPr>
          <w:color w:val="000000" w:themeColor="text1"/>
          <w:kern w:val="0"/>
          <w:sz w:val="24"/>
          <w14:textFill>
            <w14:solidFill>
              <w14:schemeClr w14:val="tx1"/>
            </w14:solidFill>
          </w14:textFill>
        </w:rPr>
        <w:t>，</w:t>
      </w:r>
      <w:r>
        <w:rPr>
          <w:i/>
          <w:iCs/>
          <w:color w:val="000000" w:themeColor="text1"/>
          <w:kern w:val="0"/>
          <w:sz w:val="24"/>
          <w14:textFill>
            <w14:solidFill>
              <w14:schemeClr w14:val="tx1"/>
            </w14:solidFill>
          </w14:textFill>
        </w:rPr>
        <w:t>q2……qn—</w:t>
      </w:r>
      <w:r>
        <w:rPr>
          <w:color w:val="000000" w:themeColor="text1"/>
          <w:kern w:val="0"/>
          <w:sz w:val="24"/>
          <w14:textFill>
            <w14:solidFill>
              <w14:schemeClr w14:val="tx1"/>
            </w14:solidFill>
          </w14:textFill>
        </w:rPr>
        <w:t xml:space="preserve">每种危险物质的最大存在总量，t； </w:t>
      </w:r>
    </w:p>
    <w:p w14:paraId="469BC996">
      <w:pPr>
        <w:pStyle w:val="1782"/>
        <w:adjustRightInd w:val="0"/>
        <w:spacing w:line="360" w:lineRule="auto"/>
        <w:ind w:firstLine="991" w:firstLineChars="413"/>
        <w:jc w:val="both"/>
        <w:rPr>
          <w:color w:val="000000" w:themeColor="text1"/>
          <w:sz w:val="24"/>
          <w14:textFill>
            <w14:solidFill>
              <w14:schemeClr w14:val="tx1"/>
            </w14:solidFill>
          </w14:textFill>
        </w:rPr>
      </w:pPr>
      <w:r>
        <w:rPr>
          <w:b w:val="0"/>
          <w:i/>
          <w:iCs/>
          <w:color w:val="000000" w:themeColor="text1"/>
          <w:kern w:val="0"/>
          <w:sz w:val="24"/>
          <w14:textFill>
            <w14:solidFill>
              <w14:schemeClr w14:val="tx1"/>
            </w14:solidFill>
          </w14:textFill>
        </w:rPr>
        <w:t>Q1</w:t>
      </w:r>
      <w:r>
        <w:rPr>
          <w:b w:val="0"/>
          <w:color w:val="000000" w:themeColor="text1"/>
          <w:kern w:val="0"/>
          <w:sz w:val="24"/>
          <w14:textFill>
            <w14:solidFill>
              <w14:schemeClr w14:val="tx1"/>
            </w14:solidFill>
          </w14:textFill>
        </w:rPr>
        <w:t>，</w:t>
      </w:r>
      <w:r>
        <w:rPr>
          <w:b w:val="0"/>
          <w:i/>
          <w:iCs/>
          <w:color w:val="000000" w:themeColor="text1"/>
          <w:kern w:val="0"/>
          <w:sz w:val="24"/>
          <w14:textFill>
            <w14:solidFill>
              <w14:schemeClr w14:val="tx1"/>
            </w14:solidFill>
          </w14:textFill>
        </w:rPr>
        <w:t>Q2…Qn—</w:t>
      </w:r>
      <w:r>
        <w:rPr>
          <w:b w:val="0"/>
          <w:color w:val="000000" w:themeColor="text1"/>
          <w:kern w:val="0"/>
          <w:sz w:val="24"/>
          <w14:textFill>
            <w14:solidFill>
              <w14:schemeClr w14:val="tx1"/>
            </w14:solidFill>
          </w14:textFill>
        </w:rPr>
        <w:t>每种危险物质的临界量，t。</w:t>
      </w:r>
    </w:p>
    <w:p w14:paraId="61915416">
      <w:pPr>
        <w:autoSpaceDE w:val="0"/>
        <w:autoSpaceDN w:val="0"/>
        <w:adjustRightInd w:val="0"/>
        <w:snapToGrid w:val="0"/>
        <w:spacing w:line="360" w:lineRule="auto"/>
        <w:ind w:firstLine="991" w:firstLineChars="413"/>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当</w:t>
      </w:r>
      <w:r>
        <w:rPr>
          <w:i/>
          <w:iCs/>
          <w:color w:val="000000" w:themeColor="text1"/>
          <w:kern w:val="0"/>
          <w:sz w:val="24"/>
          <w14:textFill>
            <w14:solidFill>
              <w14:schemeClr w14:val="tx1"/>
            </w14:solidFill>
          </w14:textFill>
        </w:rPr>
        <w:t>Q</w:t>
      </w:r>
      <w:r>
        <w:rPr>
          <w:color w:val="000000" w:themeColor="text1"/>
          <w:kern w:val="0"/>
          <w:sz w:val="24"/>
          <w14:textFill>
            <w14:solidFill>
              <w14:schemeClr w14:val="tx1"/>
            </w14:solidFill>
          </w14:textFill>
        </w:rPr>
        <w:t xml:space="preserve">＜1时，该项目环境风险潜势为I。 </w:t>
      </w:r>
    </w:p>
    <w:p w14:paraId="1F53AC9B">
      <w:pPr>
        <w:pStyle w:val="1782"/>
        <w:adjustRightInd w:val="0"/>
        <w:spacing w:line="360" w:lineRule="auto"/>
        <w:ind w:firstLine="991" w:firstLineChars="413"/>
        <w:jc w:val="both"/>
        <w:rPr>
          <w:color w:val="000000" w:themeColor="text1"/>
          <w:sz w:val="24"/>
          <w14:textFill>
            <w14:solidFill>
              <w14:schemeClr w14:val="tx1"/>
            </w14:solidFill>
          </w14:textFill>
        </w:rPr>
      </w:pPr>
      <w:r>
        <w:rPr>
          <w:b w:val="0"/>
          <w:color w:val="000000" w:themeColor="text1"/>
          <w:kern w:val="0"/>
          <w:sz w:val="24"/>
          <w14:textFill>
            <w14:solidFill>
              <w14:schemeClr w14:val="tx1"/>
            </w14:solidFill>
          </w14:textFill>
        </w:rPr>
        <w:t>当</w:t>
      </w:r>
      <w:r>
        <w:rPr>
          <w:b w:val="0"/>
          <w:i/>
          <w:iCs/>
          <w:color w:val="000000" w:themeColor="text1"/>
          <w:kern w:val="0"/>
          <w:sz w:val="24"/>
          <w14:textFill>
            <w14:solidFill>
              <w14:schemeClr w14:val="tx1"/>
            </w14:solidFill>
          </w14:textFill>
        </w:rPr>
        <w:t>Q</w:t>
      </w:r>
      <w:r>
        <w:rPr>
          <w:b w:val="0"/>
          <w:color w:val="000000" w:themeColor="text1"/>
          <w:kern w:val="0"/>
          <w:sz w:val="24"/>
          <w14:textFill>
            <w14:solidFill>
              <w14:schemeClr w14:val="tx1"/>
            </w14:solidFill>
          </w14:textFill>
        </w:rPr>
        <w:t>≥1时，将</w:t>
      </w:r>
      <w:r>
        <w:rPr>
          <w:b w:val="0"/>
          <w:i/>
          <w:iCs/>
          <w:color w:val="000000" w:themeColor="text1"/>
          <w:kern w:val="0"/>
          <w:sz w:val="24"/>
          <w14:textFill>
            <w14:solidFill>
              <w14:schemeClr w14:val="tx1"/>
            </w14:solidFill>
          </w14:textFill>
        </w:rPr>
        <w:t>Q</w:t>
      </w:r>
      <w:r>
        <w:rPr>
          <w:b w:val="0"/>
          <w:color w:val="000000" w:themeColor="text1"/>
          <w:kern w:val="0"/>
          <w:sz w:val="24"/>
          <w14:textFill>
            <w14:solidFill>
              <w14:schemeClr w14:val="tx1"/>
            </w14:solidFill>
          </w14:textFill>
        </w:rPr>
        <w:t>值划分为：（1）1≤</w:t>
      </w:r>
      <w:r>
        <w:rPr>
          <w:b w:val="0"/>
          <w:i/>
          <w:iCs/>
          <w:color w:val="000000" w:themeColor="text1"/>
          <w:kern w:val="0"/>
          <w:sz w:val="24"/>
          <w14:textFill>
            <w14:solidFill>
              <w14:schemeClr w14:val="tx1"/>
            </w14:solidFill>
          </w14:textFill>
        </w:rPr>
        <w:t>Q&lt;10</w:t>
      </w:r>
      <w:r>
        <w:rPr>
          <w:b w:val="0"/>
          <w:color w:val="000000" w:themeColor="text1"/>
          <w:kern w:val="0"/>
          <w:sz w:val="24"/>
          <w14:textFill>
            <w14:solidFill>
              <w14:schemeClr w14:val="tx1"/>
            </w14:solidFill>
          </w14:textFill>
        </w:rPr>
        <w:t>；（2）10≤</w:t>
      </w:r>
      <w:r>
        <w:rPr>
          <w:b w:val="0"/>
          <w:i/>
          <w:iCs/>
          <w:color w:val="000000" w:themeColor="text1"/>
          <w:kern w:val="0"/>
          <w:sz w:val="24"/>
          <w14:textFill>
            <w14:solidFill>
              <w14:schemeClr w14:val="tx1"/>
            </w14:solidFill>
          </w14:textFill>
        </w:rPr>
        <w:t>Q&lt;100</w:t>
      </w:r>
      <w:r>
        <w:rPr>
          <w:b w:val="0"/>
          <w:color w:val="000000" w:themeColor="text1"/>
          <w:kern w:val="0"/>
          <w:sz w:val="24"/>
          <w14:textFill>
            <w14:solidFill>
              <w14:schemeClr w14:val="tx1"/>
            </w14:solidFill>
          </w14:textFill>
        </w:rPr>
        <w:t>；（3）</w:t>
      </w:r>
      <w:r>
        <w:rPr>
          <w:b w:val="0"/>
          <w:i/>
          <w:iCs/>
          <w:color w:val="000000" w:themeColor="text1"/>
          <w:kern w:val="0"/>
          <w:sz w:val="24"/>
          <w14:textFill>
            <w14:solidFill>
              <w14:schemeClr w14:val="tx1"/>
            </w14:solidFill>
          </w14:textFill>
        </w:rPr>
        <w:t>Q</w:t>
      </w:r>
      <w:r>
        <w:rPr>
          <w:b w:val="0"/>
          <w:color w:val="000000" w:themeColor="text1"/>
          <w:kern w:val="0"/>
          <w:sz w:val="24"/>
          <w14:textFill>
            <w14:solidFill>
              <w14:schemeClr w14:val="tx1"/>
            </w14:solidFill>
          </w14:textFill>
        </w:rPr>
        <w:t>≥100。</w:t>
      </w:r>
    </w:p>
    <w:p w14:paraId="68117D43">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表6.2-2   项目重点关注的危险物质及临界量</w:t>
      </w:r>
    </w:p>
    <w:tbl>
      <w:tblPr>
        <w:tblStyle w:val="88"/>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84"/>
        <w:gridCol w:w="1496"/>
        <w:gridCol w:w="1348"/>
        <w:gridCol w:w="2149"/>
        <w:gridCol w:w="1536"/>
      </w:tblGrid>
      <w:tr w14:paraId="5C70913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4" w:hRule="atLeast"/>
          <w:tblHeader/>
        </w:trPr>
        <w:tc>
          <w:tcPr>
            <w:tcW w:w="1784" w:type="dxa"/>
            <w:tcBorders>
              <w:top w:val="single" w:color="auto" w:sz="12" w:space="0"/>
            </w:tcBorders>
            <w:vAlign w:val="center"/>
          </w:tcPr>
          <w:p w14:paraId="01FF7412">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物质名称</w:t>
            </w:r>
          </w:p>
        </w:tc>
        <w:tc>
          <w:tcPr>
            <w:tcW w:w="1496" w:type="dxa"/>
            <w:tcBorders>
              <w:top w:val="single" w:color="auto" w:sz="12" w:space="0"/>
            </w:tcBorders>
            <w:vAlign w:val="center"/>
          </w:tcPr>
          <w:p w14:paraId="40148C43">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CAS No.</w:t>
            </w:r>
          </w:p>
        </w:tc>
        <w:tc>
          <w:tcPr>
            <w:tcW w:w="1348" w:type="dxa"/>
            <w:tcBorders>
              <w:top w:val="single" w:color="auto" w:sz="12" w:space="0"/>
            </w:tcBorders>
            <w:vAlign w:val="center"/>
          </w:tcPr>
          <w:p w14:paraId="6F55C93F">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临界量Q</w:t>
            </w:r>
            <w:r>
              <w:rPr>
                <w:b/>
                <w:bCs/>
                <w:color w:val="000000" w:themeColor="text1"/>
                <w:szCs w:val="21"/>
                <w:vertAlign w:val="subscript"/>
                <w14:textFill>
                  <w14:solidFill>
                    <w14:schemeClr w14:val="tx1"/>
                  </w14:solidFill>
                </w14:textFill>
              </w:rPr>
              <w:t>n</w:t>
            </w:r>
            <w:r>
              <w:rPr>
                <w:b/>
                <w:bCs/>
                <w:color w:val="000000" w:themeColor="text1"/>
                <w:szCs w:val="21"/>
                <w14:textFill>
                  <w14:solidFill>
                    <w14:schemeClr w14:val="tx1"/>
                  </w14:solidFill>
                </w14:textFill>
              </w:rPr>
              <w:t>/t</w:t>
            </w:r>
          </w:p>
        </w:tc>
        <w:tc>
          <w:tcPr>
            <w:tcW w:w="2149" w:type="dxa"/>
            <w:tcBorders>
              <w:top w:val="single" w:color="auto" w:sz="12" w:space="0"/>
            </w:tcBorders>
            <w:vAlign w:val="center"/>
          </w:tcPr>
          <w:p w14:paraId="49165DBD">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项目最大存在量q</w:t>
            </w:r>
            <w:r>
              <w:rPr>
                <w:b/>
                <w:bCs/>
                <w:color w:val="000000" w:themeColor="text1"/>
                <w:szCs w:val="21"/>
                <w:vertAlign w:val="subscript"/>
                <w14:textFill>
                  <w14:solidFill>
                    <w14:schemeClr w14:val="tx1"/>
                  </w14:solidFill>
                </w14:textFill>
              </w:rPr>
              <w:t>n</w:t>
            </w:r>
            <w:r>
              <w:rPr>
                <w:b/>
                <w:bCs/>
                <w:color w:val="000000" w:themeColor="text1"/>
                <w:szCs w:val="21"/>
                <w14:textFill>
                  <w14:solidFill>
                    <w14:schemeClr w14:val="tx1"/>
                  </w14:solidFill>
                </w14:textFill>
              </w:rPr>
              <w:t>/t</w:t>
            </w:r>
          </w:p>
        </w:tc>
        <w:tc>
          <w:tcPr>
            <w:tcW w:w="1536" w:type="dxa"/>
            <w:tcBorders>
              <w:top w:val="single" w:color="auto" w:sz="12" w:space="0"/>
            </w:tcBorders>
            <w:vAlign w:val="center"/>
          </w:tcPr>
          <w:p w14:paraId="7A16EC34">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q</w:t>
            </w:r>
            <w:r>
              <w:rPr>
                <w:b/>
                <w:bCs/>
                <w:color w:val="000000" w:themeColor="text1"/>
                <w:szCs w:val="21"/>
                <w:vertAlign w:val="subscript"/>
                <w14:textFill>
                  <w14:solidFill>
                    <w14:schemeClr w14:val="tx1"/>
                  </w14:solidFill>
                </w14:textFill>
              </w:rPr>
              <w:t>n</w:t>
            </w:r>
            <w:r>
              <w:rPr>
                <w:b/>
                <w:bCs/>
                <w:color w:val="000000" w:themeColor="text1"/>
                <w:szCs w:val="21"/>
                <w14:textFill>
                  <w14:solidFill>
                    <w14:schemeClr w14:val="tx1"/>
                  </w14:solidFill>
                </w14:textFill>
              </w:rPr>
              <w:t>/Q</w:t>
            </w:r>
            <w:r>
              <w:rPr>
                <w:b/>
                <w:bCs/>
                <w:color w:val="000000" w:themeColor="text1"/>
                <w:szCs w:val="21"/>
                <w:vertAlign w:val="subscript"/>
                <w14:textFill>
                  <w14:solidFill>
                    <w14:schemeClr w14:val="tx1"/>
                  </w14:solidFill>
                </w14:textFill>
              </w:rPr>
              <w:t>n</w:t>
            </w:r>
          </w:p>
        </w:tc>
      </w:tr>
      <w:tr w14:paraId="68C994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784" w:type="dxa"/>
            <w:vAlign w:val="center"/>
          </w:tcPr>
          <w:p w14:paraId="657F8414">
            <w:pPr>
              <w:adjustRightInd w:val="0"/>
              <w:snapToGrid w:val="0"/>
              <w:jc w:val="center"/>
              <w:rPr>
                <w:bCs/>
                <w:color w:val="000000" w:themeColor="text1"/>
                <w:kern w:val="0"/>
                <w:szCs w:val="21"/>
                <w14:textFill>
                  <w14:solidFill>
                    <w14:schemeClr w14:val="tx1"/>
                  </w14:solidFill>
                </w14:textFill>
              </w:rPr>
            </w:pPr>
            <w:r>
              <w:rPr>
                <w:bCs/>
                <w:color w:val="000000" w:themeColor="text1"/>
                <w:kern w:val="0"/>
                <w:szCs w:val="21"/>
                <w14:textFill>
                  <w14:solidFill>
                    <w14:schemeClr w14:val="tx1"/>
                  </w14:solidFill>
                </w14:textFill>
              </w:rPr>
              <w:t>柴油</w:t>
            </w:r>
          </w:p>
        </w:tc>
        <w:tc>
          <w:tcPr>
            <w:tcW w:w="1496" w:type="dxa"/>
            <w:vAlign w:val="center"/>
          </w:tcPr>
          <w:p w14:paraId="67FAEDB2">
            <w:pPr>
              <w:adjustRightInd w:val="0"/>
              <w:snapToGrid w:val="0"/>
              <w:jc w:val="center"/>
              <w:rPr>
                <w:color w:val="000000" w:themeColor="text1"/>
                <w:szCs w:val="21"/>
                <w14:textFill>
                  <w14:solidFill>
                    <w14:schemeClr w14:val="tx1"/>
                  </w14:solidFill>
                </w14:textFill>
              </w:rPr>
            </w:pPr>
            <w:r>
              <w:rPr>
                <w:rFonts w:eastAsia="TimesNewRomanPSMT"/>
                <w:color w:val="000000" w:themeColor="text1"/>
                <w:kern w:val="0"/>
                <w:szCs w:val="21"/>
                <w14:textFill>
                  <w14:solidFill>
                    <w14:schemeClr w14:val="tx1"/>
                  </w14:solidFill>
                </w14:textFill>
              </w:rPr>
              <w:t>/</w:t>
            </w:r>
          </w:p>
        </w:tc>
        <w:tc>
          <w:tcPr>
            <w:tcW w:w="1348" w:type="dxa"/>
            <w:vAlign w:val="center"/>
          </w:tcPr>
          <w:p w14:paraId="207DBE3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2500</w:t>
            </w:r>
          </w:p>
        </w:tc>
        <w:tc>
          <w:tcPr>
            <w:tcW w:w="2149" w:type="dxa"/>
            <w:vAlign w:val="center"/>
          </w:tcPr>
          <w:p w14:paraId="12F7748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0.1</w:t>
            </w:r>
          </w:p>
        </w:tc>
        <w:tc>
          <w:tcPr>
            <w:tcW w:w="1536" w:type="dxa"/>
            <w:vAlign w:val="center"/>
          </w:tcPr>
          <w:p w14:paraId="3A3D9D5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0.00004</w:t>
            </w:r>
          </w:p>
        </w:tc>
      </w:tr>
      <w:tr w14:paraId="447A499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784" w:type="dxa"/>
            <w:vAlign w:val="center"/>
          </w:tcPr>
          <w:p w14:paraId="18495B4E">
            <w:pPr>
              <w:adjustRightInd w:val="0"/>
              <w:snapToGrid w:val="0"/>
              <w:jc w:val="center"/>
              <w:rPr>
                <w:szCs w:val="21"/>
              </w:rPr>
            </w:pPr>
            <w:r>
              <w:rPr>
                <w:szCs w:val="21"/>
              </w:rPr>
              <w:t>过氧乙酸</w:t>
            </w:r>
          </w:p>
        </w:tc>
        <w:tc>
          <w:tcPr>
            <w:tcW w:w="1496" w:type="dxa"/>
            <w:vAlign w:val="center"/>
          </w:tcPr>
          <w:p w14:paraId="51408312">
            <w:pPr>
              <w:adjustRightInd w:val="0"/>
              <w:snapToGrid w:val="0"/>
              <w:jc w:val="center"/>
              <w:rPr>
                <w:rFonts w:eastAsia="TimesNewRomanPSMT"/>
                <w:kern w:val="0"/>
                <w:szCs w:val="21"/>
              </w:rPr>
            </w:pPr>
            <w:r>
              <w:rPr>
                <w:rFonts w:eastAsia="TimesNewRomanPSMT"/>
                <w:kern w:val="0"/>
                <w:szCs w:val="21"/>
              </w:rPr>
              <w:t>79-21-0</w:t>
            </w:r>
          </w:p>
        </w:tc>
        <w:tc>
          <w:tcPr>
            <w:tcW w:w="1348" w:type="dxa"/>
            <w:vAlign w:val="center"/>
          </w:tcPr>
          <w:p w14:paraId="32F12B2C">
            <w:pPr>
              <w:adjustRightInd w:val="0"/>
              <w:snapToGrid w:val="0"/>
              <w:jc w:val="center"/>
              <w:rPr>
                <w:szCs w:val="21"/>
              </w:rPr>
            </w:pPr>
            <w:r>
              <w:rPr>
                <w:szCs w:val="21"/>
              </w:rPr>
              <w:t>5</w:t>
            </w:r>
          </w:p>
        </w:tc>
        <w:tc>
          <w:tcPr>
            <w:tcW w:w="2149" w:type="dxa"/>
            <w:vAlign w:val="center"/>
          </w:tcPr>
          <w:p w14:paraId="69120475">
            <w:pPr>
              <w:adjustRightInd w:val="0"/>
              <w:snapToGrid w:val="0"/>
              <w:jc w:val="center"/>
              <w:rPr>
                <w:szCs w:val="21"/>
              </w:rPr>
            </w:pPr>
            <w:r>
              <w:rPr>
                <w:szCs w:val="21"/>
              </w:rPr>
              <w:t>0.1</w:t>
            </w:r>
          </w:p>
        </w:tc>
        <w:tc>
          <w:tcPr>
            <w:tcW w:w="1536" w:type="dxa"/>
            <w:vAlign w:val="center"/>
          </w:tcPr>
          <w:p w14:paraId="7341F5A9">
            <w:pPr>
              <w:adjustRightInd w:val="0"/>
              <w:snapToGrid w:val="0"/>
              <w:jc w:val="center"/>
              <w:rPr>
                <w:szCs w:val="21"/>
              </w:rPr>
            </w:pPr>
            <w:r>
              <w:rPr>
                <w:szCs w:val="21"/>
              </w:rPr>
              <w:t>0.02</w:t>
            </w:r>
          </w:p>
        </w:tc>
      </w:tr>
      <w:tr w14:paraId="4F33F1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6777" w:type="dxa"/>
            <w:gridSpan w:val="4"/>
            <w:tcBorders>
              <w:bottom w:val="single" w:color="auto" w:sz="12" w:space="0"/>
            </w:tcBorders>
            <w:vAlign w:val="center"/>
          </w:tcPr>
          <w:p w14:paraId="6B940942">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合计</w:t>
            </w:r>
          </w:p>
        </w:tc>
        <w:tc>
          <w:tcPr>
            <w:tcW w:w="1536" w:type="dxa"/>
            <w:tcBorders>
              <w:bottom w:val="single" w:color="auto" w:sz="12" w:space="0"/>
            </w:tcBorders>
            <w:vAlign w:val="center"/>
          </w:tcPr>
          <w:p w14:paraId="29341C71">
            <w:pPr>
              <w:adjustRightInd w:val="0"/>
              <w:snapToGrid w:val="0"/>
              <w:jc w:val="center"/>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0.0200664</w:t>
            </w:r>
          </w:p>
        </w:tc>
      </w:tr>
    </w:tbl>
    <w:p w14:paraId="16C26674">
      <w:pPr>
        <w:pStyle w:val="5"/>
        <w:adjustRightInd w:val="0"/>
        <w:snapToGrid w:val="0"/>
        <w:spacing w:before="0" w:after="0" w:line="360" w:lineRule="auto"/>
        <w:rPr>
          <w:color w:val="000000" w:themeColor="text1"/>
          <w:sz w:val="28"/>
          <w:szCs w:val="28"/>
          <w14:textFill>
            <w14:solidFill>
              <w14:schemeClr w14:val="tx1"/>
            </w14:solidFill>
          </w14:textFill>
        </w:rPr>
      </w:pPr>
      <w:bookmarkStart w:id="919" w:name="_Toc28605"/>
      <w:bookmarkStart w:id="920" w:name="_Toc233380254"/>
      <w:r>
        <w:rPr>
          <w:color w:val="000000" w:themeColor="text1"/>
          <w:sz w:val="28"/>
          <w:szCs w:val="28"/>
          <w14:textFill>
            <w14:solidFill>
              <w14:schemeClr w14:val="tx1"/>
            </w14:solidFill>
          </w14:textFill>
        </w:rPr>
        <w:t>6.2.3环境风险潜势</w:t>
      </w:r>
      <w:bookmarkEnd w:id="919"/>
      <w:bookmarkEnd w:id="920"/>
    </w:p>
    <w:p w14:paraId="3AE120EB">
      <w:pPr>
        <w:spacing w:before="120" w:beforeLines="50"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由表6.2-2可知，本项目危险物质数量与临界量比值（Q）小于1，根据导则要求，当Q＜1，直接判定项目环境风险潜势为I，故不再对项目行业及生产工艺（M）分析进一步判定危险物质及工艺系统危险性（P），并不再分析环境敏感程度（E）。</w:t>
      </w:r>
    </w:p>
    <w:p w14:paraId="69B8BAB9">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21" w:name="_Toc233380255"/>
      <w:bookmarkStart w:id="922" w:name="_Toc4099"/>
      <w:bookmarkStart w:id="923" w:name="_Toc40220796"/>
      <w:bookmarkStart w:id="924" w:name="_Toc10633662"/>
      <w:bookmarkStart w:id="925" w:name="_Toc14134828"/>
      <w:r>
        <w:rPr>
          <w:rFonts w:ascii="Times New Roman" w:hAnsi="Times New Roman" w:eastAsia="宋体"/>
          <w:color w:val="000000" w:themeColor="text1"/>
          <w:sz w:val="30"/>
          <w:szCs w:val="30"/>
          <w14:textFill>
            <w14:solidFill>
              <w14:schemeClr w14:val="tx1"/>
            </w14:solidFill>
          </w14:textFill>
        </w:rPr>
        <w:t>6.3环境风险评价等级、范围</w:t>
      </w:r>
      <w:bookmarkEnd w:id="921"/>
      <w:bookmarkEnd w:id="922"/>
      <w:bookmarkEnd w:id="923"/>
      <w:bookmarkEnd w:id="924"/>
      <w:bookmarkEnd w:id="925"/>
    </w:p>
    <w:p w14:paraId="6EE045DD">
      <w:pPr>
        <w:pStyle w:val="5"/>
        <w:adjustRightInd w:val="0"/>
        <w:snapToGrid w:val="0"/>
        <w:spacing w:before="0" w:after="0" w:line="360" w:lineRule="auto"/>
        <w:rPr>
          <w:color w:val="000000" w:themeColor="text1"/>
          <w:sz w:val="28"/>
          <w:szCs w:val="28"/>
          <w14:textFill>
            <w14:solidFill>
              <w14:schemeClr w14:val="tx1"/>
            </w14:solidFill>
          </w14:textFill>
        </w:rPr>
      </w:pPr>
      <w:bookmarkStart w:id="926" w:name="_Toc28814722"/>
      <w:bookmarkStart w:id="927" w:name="_Toc11876"/>
      <w:bookmarkStart w:id="928" w:name="_Toc40220797"/>
      <w:bookmarkStart w:id="929" w:name="_Toc233380256"/>
      <w:r>
        <w:rPr>
          <w:color w:val="000000" w:themeColor="text1"/>
          <w:sz w:val="28"/>
          <w:szCs w:val="28"/>
          <w14:textFill>
            <w14:solidFill>
              <w14:schemeClr w14:val="tx1"/>
            </w14:solidFill>
          </w14:textFill>
        </w:rPr>
        <w:t>6.3.1 项目风险评价等级</w:t>
      </w:r>
      <w:bookmarkEnd w:id="926"/>
      <w:bookmarkEnd w:id="927"/>
      <w:bookmarkEnd w:id="928"/>
      <w:bookmarkEnd w:id="929"/>
    </w:p>
    <w:p w14:paraId="2CE51663">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根据《建设项目环境风险评价技术导则》（HJ 169-2018）中的规定，评价工作等级划分依据详见表6.3-1。</w:t>
      </w:r>
    </w:p>
    <w:p w14:paraId="6B98AB67">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表6.3-1 风险评价工作级别划分</w:t>
      </w:r>
    </w:p>
    <w:tbl>
      <w:tblPr>
        <w:tblStyle w:val="88"/>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1688"/>
        <w:gridCol w:w="1660"/>
        <w:gridCol w:w="1654"/>
        <w:gridCol w:w="1656"/>
      </w:tblGrid>
      <w:tr w14:paraId="362FDE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00" w:type="dxa"/>
            <w:tcBorders>
              <w:top w:val="single" w:color="auto" w:sz="12" w:space="0"/>
            </w:tcBorders>
            <w:vAlign w:val="center"/>
          </w:tcPr>
          <w:p w14:paraId="5AF48DA5">
            <w:pPr>
              <w:autoSpaceDE w:val="0"/>
              <w:autoSpaceDN w:val="0"/>
              <w:adjustRightIn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环境风险潜势</w:t>
            </w:r>
          </w:p>
        </w:tc>
        <w:tc>
          <w:tcPr>
            <w:tcW w:w="1803" w:type="dxa"/>
            <w:tcBorders>
              <w:top w:val="single" w:color="auto" w:sz="12" w:space="0"/>
            </w:tcBorders>
            <w:vAlign w:val="center"/>
          </w:tcPr>
          <w:p w14:paraId="72EADD43">
            <w:pPr>
              <w:autoSpaceDE w:val="0"/>
              <w:autoSpaceDN w:val="0"/>
              <w:adjustRightIn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Ⅳ</w:t>
            </w:r>
            <w:r>
              <w:rPr>
                <w:b/>
                <w:color w:val="000000" w:themeColor="text1"/>
                <w:szCs w:val="21"/>
                <w:vertAlign w:val="superscript"/>
                <w14:textFill>
                  <w14:solidFill>
                    <w14:schemeClr w14:val="tx1"/>
                  </w14:solidFill>
                </w14:textFill>
              </w:rPr>
              <w:t>+</w:t>
            </w:r>
            <w:r>
              <w:rPr>
                <w:b/>
                <w:color w:val="000000" w:themeColor="text1"/>
                <w:szCs w:val="21"/>
                <w14:textFill>
                  <w14:solidFill>
                    <w14:schemeClr w14:val="tx1"/>
                  </w14:solidFill>
                </w14:textFill>
              </w:rPr>
              <w:t>、Ⅳ</w:t>
            </w:r>
          </w:p>
        </w:tc>
        <w:tc>
          <w:tcPr>
            <w:tcW w:w="1801" w:type="dxa"/>
            <w:tcBorders>
              <w:top w:val="single" w:color="auto" w:sz="12" w:space="0"/>
            </w:tcBorders>
            <w:vAlign w:val="center"/>
          </w:tcPr>
          <w:p w14:paraId="373749E1">
            <w:pPr>
              <w:autoSpaceDE w:val="0"/>
              <w:autoSpaceDN w:val="0"/>
              <w:adjustRightIn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III</w:t>
            </w:r>
          </w:p>
        </w:tc>
        <w:tc>
          <w:tcPr>
            <w:tcW w:w="1799" w:type="dxa"/>
            <w:tcBorders>
              <w:top w:val="single" w:color="auto" w:sz="12" w:space="0"/>
            </w:tcBorders>
            <w:vAlign w:val="center"/>
          </w:tcPr>
          <w:p w14:paraId="5F19FE00">
            <w:pPr>
              <w:autoSpaceDE w:val="0"/>
              <w:autoSpaceDN w:val="0"/>
              <w:adjustRightIn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II</w:t>
            </w:r>
          </w:p>
        </w:tc>
        <w:tc>
          <w:tcPr>
            <w:tcW w:w="1800" w:type="dxa"/>
            <w:tcBorders>
              <w:top w:val="single" w:color="auto" w:sz="12" w:space="0"/>
            </w:tcBorders>
            <w:vAlign w:val="center"/>
          </w:tcPr>
          <w:p w14:paraId="033227DC">
            <w:pPr>
              <w:autoSpaceDE w:val="0"/>
              <w:autoSpaceDN w:val="0"/>
              <w:adjustRightIn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I</w:t>
            </w:r>
          </w:p>
        </w:tc>
      </w:tr>
      <w:tr w14:paraId="41CFB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800" w:type="dxa"/>
            <w:vAlign w:val="center"/>
          </w:tcPr>
          <w:p w14:paraId="658889FC">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评价工作等级</w:t>
            </w:r>
          </w:p>
        </w:tc>
        <w:tc>
          <w:tcPr>
            <w:tcW w:w="1803" w:type="dxa"/>
            <w:vAlign w:val="center"/>
          </w:tcPr>
          <w:p w14:paraId="42226F80">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w:t>
            </w:r>
          </w:p>
        </w:tc>
        <w:tc>
          <w:tcPr>
            <w:tcW w:w="1801" w:type="dxa"/>
            <w:vAlign w:val="center"/>
          </w:tcPr>
          <w:p w14:paraId="3E1C4B01">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二</w:t>
            </w:r>
          </w:p>
        </w:tc>
        <w:tc>
          <w:tcPr>
            <w:tcW w:w="1799" w:type="dxa"/>
            <w:vAlign w:val="center"/>
          </w:tcPr>
          <w:p w14:paraId="5E764678">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三</w:t>
            </w:r>
          </w:p>
        </w:tc>
        <w:tc>
          <w:tcPr>
            <w:tcW w:w="1800" w:type="dxa"/>
            <w:vAlign w:val="center"/>
          </w:tcPr>
          <w:p w14:paraId="7A7A5304">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简单分析</w:t>
            </w:r>
            <w:r>
              <w:rPr>
                <w:color w:val="000000" w:themeColor="text1"/>
                <w14:textFill>
                  <w14:solidFill>
                    <w14:schemeClr w14:val="tx1"/>
                  </w14:solidFill>
                </w14:textFill>
              </w:rPr>
              <w:sym w:font="Wingdings 2" w:char="F052"/>
            </w:r>
          </w:p>
        </w:tc>
      </w:tr>
      <w:tr w14:paraId="35C32E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03" w:type="dxa"/>
            <w:gridSpan w:val="5"/>
            <w:tcBorders>
              <w:bottom w:val="single" w:color="auto" w:sz="12" w:space="0"/>
            </w:tcBorders>
            <w:vAlign w:val="center"/>
          </w:tcPr>
          <w:p w14:paraId="57A37B6F">
            <w:pPr>
              <w:autoSpaceDE w:val="0"/>
              <w:autoSpaceDN w:val="0"/>
              <w:adjustRightInd w:val="0"/>
              <w:jc w:val="center"/>
              <w:rPr>
                <w:color w:val="000000" w:themeColor="text1"/>
                <w:szCs w:val="21"/>
                <w14:textFill>
                  <w14:solidFill>
                    <w14:schemeClr w14:val="tx1"/>
                  </w14:solidFill>
                </w14:textFill>
              </w:rPr>
            </w:pPr>
            <w:r>
              <w:rPr>
                <w:color w:val="000000" w:themeColor="text1"/>
                <w14:textFill>
                  <w14:solidFill>
                    <w14:schemeClr w14:val="tx1"/>
                  </w14:solidFill>
                </w14:textFill>
              </w:rPr>
              <w:sym w:font="Wingdings 2" w:char="F052"/>
            </w:r>
            <w:r>
              <w:rPr>
                <w:color w:val="000000" w:themeColor="text1"/>
                <w:szCs w:val="21"/>
                <w14:textFill>
                  <w14:solidFill>
                    <w14:schemeClr w14:val="tx1"/>
                  </w14:solidFill>
                </w14:textFill>
              </w:rPr>
              <w:t>是相对于详细评价工作内容而言，在描述危险物质、环境影响途径、环境危害后果、风险防范措施等方面给出定性说明。</w:t>
            </w:r>
          </w:p>
        </w:tc>
      </w:tr>
    </w:tbl>
    <w:p w14:paraId="1BE2D5DB">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本次评价根据各个环境要素及项目环境风险潜势综合等级情况，按导则要求确定评价等级及工作内容见下表6.3-2。</w:t>
      </w:r>
    </w:p>
    <w:p w14:paraId="6832E3B6">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表6.3-2  项目综合环境风险评价等级划分情况及工作内容</w:t>
      </w:r>
    </w:p>
    <w:tbl>
      <w:tblPr>
        <w:tblStyle w:val="88"/>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224"/>
        <w:gridCol w:w="1892"/>
        <w:gridCol w:w="1822"/>
        <w:gridCol w:w="1965"/>
        <w:gridCol w:w="1410"/>
      </w:tblGrid>
      <w:tr w14:paraId="7ADC8A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shd w:val="clear" w:color="auto" w:fill="FFFFFF"/>
          <w:tblCellMar>
            <w:top w:w="0" w:type="dxa"/>
            <w:left w:w="108" w:type="dxa"/>
            <w:bottom w:w="0" w:type="dxa"/>
            <w:right w:w="108" w:type="dxa"/>
          </w:tblCellMar>
        </w:tblPrEx>
        <w:trPr>
          <w:tblHeader/>
        </w:trPr>
        <w:tc>
          <w:tcPr>
            <w:tcW w:w="1287" w:type="dxa"/>
            <w:tcBorders>
              <w:top w:val="single" w:color="auto" w:sz="12" w:space="0"/>
            </w:tcBorders>
            <w:shd w:val="clear" w:color="auto" w:fill="FFFFFF"/>
            <w:vAlign w:val="center"/>
          </w:tcPr>
          <w:p w14:paraId="03569CF4">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环境要素</w:t>
            </w:r>
          </w:p>
        </w:tc>
        <w:tc>
          <w:tcPr>
            <w:tcW w:w="2008" w:type="dxa"/>
            <w:tcBorders>
              <w:top w:val="single" w:color="auto" w:sz="12" w:space="0"/>
            </w:tcBorders>
            <w:shd w:val="clear" w:color="auto" w:fill="FFFFFF"/>
            <w:vAlign w:val="center"/>
          </w:tcPr>
          <w:p w14:paraId="2CCFFC55">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大气环境</w:t>
            </w:r>
          </w:p>
        </w:tc>
        <w:tc>
          <w:tcPr>
            <w:tcW w:w="1933" w:type="dxa"/>
            <w:tcBorders>
              <w:top w:val="single" w:color="auto" w:sz="12" w:space="0"/>
            </w:tcBorders>
            <w:shd w:val="clear" w:color="auto" w:fill="FFFFFF"/>
            <w:vAlign w:val="center"/>
          </w:tcPr>
          <w:p w14:paraId="42100B7E">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地表水环境</w:t>
            </w:r>
          </w:p>
        </w:tc>
        <w:tc>
          <w:tcPr>
            <w:tcW w:w="2071" w:type="dxa"/>
            <w:tcBorders>
              <w:top w:val="single" w:color="auto" w:sz="12" w:space="0"/>
            </w:tcBorders>
            <w:shd w:val="clear" w:color="auto" w:fill="FFFFFF"/>
            <w:vAlign w:val="center"/>
          </w:tcPr>
          <w:p w14:paraId="7C95A69A">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地下水环境</w:t>
            </w:r>
          </w:p>
        </w:tc>
        <w:tc>
          <w:tcPr>
            <w:tcW w:w="1488" w:type="dxa"/>
            <w:vMerge w:val="restart"/>
            <w:tcBorders>
              <w:top w:val="single" w:color="auto" w:sz="12" w:space="0"/>
            </w:tcBorders>
            <w:shd w:val="clear" w:color="auto" w:fill="FFFFFF"/>
            <w:vAlign w:val="center"/>
          </w:tcPr>
          <w:p w14:paraId="14256D3D">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项目综合评价等级</w:t>
            </w:r>
          </w:p>
        </w:tc>
      </w:tr>
      <w:tr w14:paraId="124416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87" w:type="dxa"/>
            <w:shd w:val="clear" w:color="auto" w:fill="FFFFFF"/>
            <w:vAlign w:val="center"/>
          </w:tcPr>
          <w:p w14:paraId="79B6C265">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环境潜势</w:t>
            </w:r>
          </w:p>
        </w:tc>
        <w:tc>
          <w:tcPr>
            <w:tcW w:w="2008" w:type="dxa"/>
            <w:shd w:val="clear" w:color="auto" w:fill="FFFFFF"/>
            <w:vAlign w:val="center"/>
          </w:tcPr>
          <w:p w14:paraId="734C9E64">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I</w:t>
            </w:r>
          </w:p>
        </w:tc>
        <w:tc>
          <w:tcPr>
            <w:tcW w:w="1933" w:type="dxa"/>
            <w:shd w:val="clear" w:color="auto" w:fill="FFFFFF"/>
            <w:vAlign w:val="center"/>
          </w:tcPr>
          <w:p w14:paraId="5D654C5A">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I</w:t>
            </w:r>
          </w:p>
        </w:tc>
        <w:tc>
          <w:tcPr>
            <w:tcW w:w="2071" w:type="dxa"/>
            <w:shd w:val="clear" w:color="auto" w:fill="FFFFFF"/>
            <w:vAlign w:val="center"/>
          </w:tcPr>
          <w:p w14:paraId="122EF370">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I</w:t>
            </w:r>
          </w:p>
        </w:tc>
        <w:tc>
          <w:tcPr>
            <w:tcW w:w="1488" w:type="dxa"/>
            <w:vMerge w:val="continue"/>
            <w:shd w:val="clear" w:color="auto" w:fill="FFFFFF"/>
            <w:vAlign w:val="center"/>
          </w:tcPr>
          <w:p w14:paraId="2E3DC1E4">
            <w:pPr>
              <w:autoSpaceDE w:val="0"/>
              <w:autoSpaceDN w:val="0"/>
              <w:adjustRightInd w:val="0"/>
              <w:jc w:val="center"/>
              <w:rPr>
                <w:color w:val="000000" w:themeColor="text1"/>
                <w:szCs w:val="21"/>
                <w14:textFill>
                  <w14:solidFill>
                    <w14:schemeClr w14:val="tx1"/>
                  </w14:solidFill>
                </w14:textFill>
              </w:rPr>
            </w:pPr>
          </w:p>
        </w:tc>
      </w:tr>
      <w:tr w14:paraId="0730AA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87" w:type="dxa"/>
            <w:shd w:val="clear" w:color="auto" w:fill="FFFFFF"/>
            <w:vAlign w:val="center"/>
          </w:tcPr>
          <w:p w14:paraId="5911C2B5">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环境风险工作评价等级</w:t>
            </w:r>
          </w:p>
        </w:tc>
        <w:tc>
          <w:tcPr>
            <w:tcW w:w="2008" w:type="dxa"/>
            <w:shd w:val="clear" w:color="auto" w:fill="FFFFFF"/>
            <w:vAlign w:val="center"/>
          </w:tcPr>
          <w:p w14:paraId="196787FA">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简单分析</w:t>
            </w:r>
          </w:p>
        </w:tc>
        <w:tc>
          <w:tcPr>
            <w:tcW w:w="1933" w:type="dxa"/>
            <w:shd w:val="clear" w:color="auto" w:fill="FFFFFF"/>
            <w:vAlign w:val="center"/>
          </w:tcPr>
          <w:p w14:paraId="33D83CB7">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简单分析</w:t>
            </w:r>
          </w:p>
        </w:tc>
        <w:tc>
          <w:tcPr>
            <w:tcW w:w="2071" w:type="dxa"/>
            <w:shd w:val="clear" w:color="auto" w:fill="FFFFFF"/>
            <w:vAlign w:val="center"/>
          </w:tcPr>
          <w:p w14:paraId="099E097B">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简单分析</w:t>
            </w:r>
          </w:p>
        </w:tc>
        <w:tc>
          <w:tcPr>
            <w:tcW w:w="1488" w:type="dxa"/>
            <w:shd w:val="clear" w:color="auto" w:fill="FFFFFF"/>
            <w:vAlign w:val="center"/>
          </w:tcPr>
          <w:p w14:paraId="0EDE74BA">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简单分析</w:t>
            </w:r>
          </w:p>
        </w:tc>
      </w:tr>
      <w:tr w14:paraId="6EE5DE0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87" w:type="dxa"/>
            <w:tcBorders>
              <w:bottom w:val="single" w:color="auto" w:sz="12" w:space="0"/>
            </w:tcBorders>
            <w:shd w:val="clear" w:color="auto" w:fill="FFFFFF"/>
            <w:vAlign w:val="center"/>
          </w:tcPr>
          <w:p w14:paraId="70FCAF46">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工作内容</w:t>
            </w:r>
          </w:p>
        </w:tc>
        <w:tc>
          <w:tcPr>
            <w:tcW w:w="2008" w:type="dxa"/>
            <w:tcBorders>
              <w:bottom w:val="single" w:color="auto" w:sz="12" w:space="0"/>
            </w:tcBorders>
            <w:shd w:val="clear" w:color="auto" w:fill="FFFFFF"/>
            <w:vAlign w:val="center"/>
          </w:tcPr>
          <w:p w14:paraId="28DCFC1A">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定性分析说明大气环境影响后果</w:t>
            </w:r>
          </w:p>
        </w:tc>
        <w:tc>
          <w:tcPr>
            <w:tcW w:w="1933" w:type="dxa"/>
            <w:tcBorders>
              <w:bottom w:val="single" w:color="auto" w:sz="12" w:space="0"/>
            </w:tcBorders>
            <w:shd w:val="clear" w:color="auto" w:fill="FFFFFF"/>
            <w:vAlign w:val="center"/>
          </w:tcPr>
          <w:p w14:paraId="40C04C09">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定性分析说明地表水环境影响后果</w:t>
            </w:r>
          </w:p>
        </w:tc>
        <w:tc>
          <w:tcPr>
            <w:tcW w:w="2071" w:type="dxa"/>
            <w:tcBorders>
              <w:bottom w:val="single" w:color="auto" w:sz="12" w:space="0"/>
            </w:tcBorders>
            <w:shd w:val="clear" w:color="auto" w:fill="FFFFFF"/>
            <w:vAlign w:val="center"/>
          </w:tcPr>
          <w:p w14:paraId="2C31BFE6">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在描述危险物质、环境影响途径、环境危害后果、风险防范措施等方面给出定性说明</w:t>
            </w:r>
          </w:p>
        </w:tc>
        <w:tc>
          <w:tcPr>
            <w:tcW w:w="1488" w:type="dxa"/>
            <w:tcBorders>
              <w:bottom w:val="single" w:color="auto" w:sz="12" w:space="0"/>
            </w:tcBorders>
            <w:shd w:val="clear" w:color="auto" w:fill="FFFFFF"/>
            <w:vAlign w:val="center"/>
          </w:tcPr>
          <w:p w14:paraId="0B9BB11A">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bl>
    <w:p w14:paraId="03848DFD">
      <w:pPr>
        <w:pStyle w:val="5"/>
        <w:adjustRightInd w:val="0"/>
        <w:snapToGrid w:val="0"/>
        <w:spacing w:before="0" w:after="0" w:line="360" w:lineRule="auto"/>
        <w:rPr>
          <w:color w:val="000000" w:themeColor="text1"/>
          <w:sz w:val="28"/>
          <w:szCs w:val="28"/>
          <w14:textFill>
            <w14:solidFill>
              <w14:schemeClr w14:val="tx1"/>
            </w14:solidFill>
          </w14:textFill>
        </w:rPr>
      </w:pPr>
      <w:bookmarkStart w:id="930" w:name="_Toc40220798"/>
      <w:bookmarkStart w:id="931" w:name="_Toc28814723"/>
      <w:bookmarkStart w:id="932" w:name="_Toc2962"/>
      <w:bookmarkStart w:id="933" w:name="_Toc233380257"/>
      <w:r>
        <w:rPr>
          <w:color w:val="000000" w:themeColor="text1"/>
          <w:sz w:val="28"/>
          <w:szCs w:val="28"/>
          <w14:textFill>
            <w14:solidFill>
              <w14:schemeClr w14:val="tx1"/>
            </w14:solidFill>
          </w14:textFill>
        </w:rPr>
        <w:t>6.3.2 评价范围</w:t>
      </w:r>
      <w:bookmarkEnd w:id="930"/>
      <w:bookmarkEnd w:id="931"/>
      <w:bookmarkEnd w:id="932"/>
      <w:bookmarkEnd w:id="933"/>
    </w:p>
    <w:p w14:paraId="0F47E0BB">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本次环境风险评价为简要分析，不划定评价范围。</w:t>
      </w:r>
    </w:p>
    <w:p w14:paraId="538513CA">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34" w:name="_Toc14134829"/>
      <w:bookmarkStart w:id="935" w:name="_Toc26948"/>
      <w:bookmarkStart w:id="936" w:name="_Toc40220799"/>
      <w:bookmarkStart w:id="937" w:name="_Toc233380258"/>
      <w:r>
        <w:rPr>
          <w:rFonts w:ascii="Times New Roman" w:hAnsi="Times New Roman" w:eastAsia="宋体"/>
          <w:color w:val="000000" w:themeColor="text1"/>
          <w:sz w:val="30"/>
          <w:szCs w:val="30"/>
          <w14:textFill>
            <w14:solidFill>
              <w14:schemeClr w14:val="tx1"/>
            </w14:solidFill>
          </w14:textFill>
        </w:rPr>
        <w:t>6.4 项目风险识别</w:t>
      </w:r>
      <w:bookmarkEnd w:id="934"/>
      <w:bookmarkEnd w:id="935"/>
      <w:bookmarkEnd w:id="936"/>
      <w:bookmarkEnd w:id="937"/>
    </w:p>
    <w:p w14:paraId="33550C84">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存在一定的安全危险因素，风险防范是企业安全生产的前提和保障，本评价将对本工程涉及的有毒、有害化学品的使用及储运等过程中可能发生的潜在危险进行分析，以找出主要危险环节，认识危险程度，从而针对性地采取预防和应急措施，尽可能将风险可能性和危害程度降至最低。</w:t>
      </w:r>
    </w:p>
    <w:p w14:paraId="60CDFF84">
      <w:pPr>
        <w:pStyle w:val="5"/>
        <w:adjustRightInd w:val="0"/>
        <w:snapToGrid w:val="0"/>
        <w:spacing w:before="0" w:after="0" w:line="360" w:lineRule="auto"/>
        <w:rPr>
          <w:color w:val="000000" w:themeColor="text1"/>
          <w:sz w:val="28"/>
          <w:szCs w:val="28"/>
          <w14:textFill>
            <w14:solidFill>
              <w14:schemeClr w14:val="tx1"/>
            </w14:solidFill>
          </w14:textFill>
        </w:rPr>
      </w:pPr>
      <w:bookmarkStart w:id="938" w:name="_Toc21998"/>
      <w:bookmarkStart w:id="939" w:name="_Toc40220800"/>
      <w:bookmarkStart w:id="940" w:name="_Toc28814725"/>
      <w:bookmarkStart w:id="941" w:name="_Toc233380259"/>
      <w:r>
        <w:rPr>
          <w:color w:val="000000" w:themeColor="text1"/>
          <w:sz w:val="28"/>
          <w:szCs w:val="28"/>
          <w14:textFill>
            <w14:solidFill>
              <w14:schemeClr w14:val="tx1"/>
            </w14:solidFill>
          </w14:textFill>
        </w:rPr>
        <w:t>6.4.1 物质风险识别</w:t>
      </w:r>
      <w:bookmarkEnd w:id="938"/>
      <w:bookmarkEnd w:id="939"/>
      <w:bookmarkEnd w:id="940"/>
      <w:bookmarkEnd w:id="941"/>
    </w:p>
    <w:p w14:paraId="59D04371">
      <w:pPr>
        <w:autoSpaceDE w:val="0"/>
        <w:autoSpaceDN w:val="0"/>
        <w:adjustRightInd w:val="0"/>
        <w:spacing w:line="360" w:lineRule="auto"/>
        <w:ind w:firstLine="468" w:firstLineChars="200"/>
        <w:jc w:val="both"/>
        <w:rPr>
          <w:color w:val="000000" w:themeColor="text1"/>
          <w:sz w:val="24"/>
          <w14:textFill>
            <w14:solidFill>
              <w14:schemeClr w14:val="tx1"/>
            </w14:solidFill>
          </w14:textFill>
        </w:rPr>
      </w:pPr>
      <w:r>
        <w:rPr>
          <w:color w:val="000000" w:themeColor="text1"/>
          <w:spacing w:val="-3"/>
          <w:sz w:val="24"/>
          <w14:textFill>
            <w14:solidFill>
              <w14:schemeClr w14:val="tx1"/>
            </w14:solidFill>
          </w14:textFill>
        </w:rPr>
        <w:t>项目运营期涉及的风险物质主要为柴油、过氧乙酸。项目涉及的主要风险物质理化性质及危险特性如下：</w:t>
      </w:r>
    </w:p>
    <w:p w14:paraId="25B833BF">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表6.4-1 过氧乙酸的理化性质和危险特性表</w:t>
      </w:r>
    </w:p>
    <w:tbl>
      <w:tblPr>
        <w:tblStyle w:val="1745"/>
        <w:tblW w:w="8405"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Layout w:type="fixed"/>
        <w:tblCellMar>
          <w:top w:w="0" w:type="dxa"/>
          <w:left w:w="0" w:type="dxa"/>
          <w:bottom w:w="0" w:type="dxa"/>
          <w:right w:w="0" w:type="dxa"/>
        </w:tblCellMar>
      </w:tblPr>
      <w:tblGrid>
        <w:gridCol w:w="476"/>
        <w:gridCol w:w="1679"/>
        <w:gridCol w:w="775"/>
        <w:gridCol w:w="683"/>
        <w:gridCol w:w="1573"/>
        <w:gridCol w:w="984"/>
        <w:gridCol w:w="2235"/>
      </w:tblGrid>
      <w:tr w14:paraId="2B7A04A0">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restart"/>
            <w:tcBorders>
              <w:tl2br w:val="nil"/>
              <w:tr2bl w:val="nil"/>
            </w:tcBorders>
            <w:textDirection w:val="tbRlV"/>
            <w:vAlign w:val="center"/>
          </w:tcPr>
          <w:p w14:paraId="26A5FD3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标</w:t>
            </w:r>
            <w:r>
              <w:rPr>
                <w:rFonts w:ascii="Times New Roman" w:hAnsi="Times New Roman" w:eastAsia="宋体"/>
                <w:color w:val="000000" w:themeColor="text1"/>
                <w:spacing w:val="-38"/>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识</w:t>
            </w:r>
          </w:p>
        </w:tc>
        <w:tc>
          <w:tcPr>
            <w:tcW w:w="5694" w:type="dxa"/>
            <w:gridSpan w:val="5"/>
            <w:tcBorders>
              <w:tl2br w:val="nil"/>
              <w:tr2bl w:val="nil"/>
            </w:tcBorders>
            <w:vAlign w:val="center"/>
          </w:tcPr>
          <w:p w14:paraId="48F087EA">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17"/>
                <w:szCs w:val="21"/>
                <w:lang w:eastAsia="zh-CN"/>
                <w14:textFill>
                  <w14:solidFill>
                    <w14:schemeClr w14:val="tx1"/>
                  </w14:solidFill>
                </w14:textFill>
              </w:rPr>
              <w:t>中文名：</w:t>
            </w:r>
            <w:r>
              <w:rPr>
                <w:rFonts w:ascii="Times New Roman" w:hAnsi="Times New Roman" w:eastAsia="宋体"/>
                <w:color w:val="000000" w:themeColor="text1"/>
                <w:spacing w:val="-34"/>
                <w:szCs w:val="21"/>
                <w:lang w:eastAsia="zh-CN"/>
                <w14:textFill>
                  <w14:solidFill>
                    <w14:schemeClr w14:val="tx1"/>
                  </w14:solidFill>
                </w14:textFill>
              </w:rPr>
              <w:t xml:space="preserve"> </w:t>
            </w:r>
            <w:r>
              <w:rPr>
                <w:rFonts w:ascii="Times New Roman" w:hAnsi="Times New Roman" w:eastAsia="宋体"/>
                <w:color w:val="000000" w:themeColor="text1"/>
                <w:spacing w:val="17"/>
                <w:szCs w:val="21"/>
                <w:lang w:eastAsia="zh-CN"/>
                <w14:textFill>
                  <w14:solidFill>
                    <w14:schemeClr w14:val="tx1"/>
                  </w14:solidFill>
                </w14:textFill>
              </w:rPr>
              <w:t>过氧化乙酸；</w:t>
            </w:r>
            <w:r>
              <w:rPr>
                <w:rFonts w:ascii="Times New Roman" w:hAnsi="Times New Roman" w:eastAsia="宋体"/>
                <w:color w:val="000000" w:themeColor="text1"/>
                <w:spacing w:val="-39"/>
                <w:szCs w:val="21"/>
                <w:lang w:eastAsia="zh-CN"/>
                <w14:textFill>
                  <w14:solidFill>
                    <w14:schemeClr w14:val="tx1"/>
                  </w14:solidFill>
                </w14:textFill>
              </w:rPr>
              <w:t xml:space="preserve"> </w:t>
            </w:r>
            <w:r>
              <w:rPr>
                <w:rFonts w:ascii="Times New Roman" w:hAnsi="Times New Roman" w:eastAsia="宋体"/>
                <w:color w:val="000000" w:themeColor="text1"/>
                <w:spacing w:val="17"/>
                <w:szCs w:val="21"/>
                <w:lang w:eastAsia="zh-CN"/>
                <w14:textFill>
                  <w14:solidFill>
                    <w14:schemeClr w14:val="tx1"/>
                  </w14:solidFill>
                </w14:textFill>
              </w:rPr>
              <w:t>过乙酸；</w:t>
            </w:r>
            <w:r>
              <w:rPr>
                <w:rFonts w:ascii="Times New Roman" w:hAnsi="Times New Roman" w:eastAsia="宋体"/>
                <w:color w:val="000000" w:themeColor="text1"/>
                <w:spacing w:val="-41"/>
                <w:szCs w:val="21"/>
                <w:lang w:eastAsia="zh-CN"/>
                <w14:textFill>
                  <w14:solidFill>
                    <w14:schemeClr w14:val="tx1"/>
                  </w14:solidFill>
                </w14:textFill>
              </w:rPr>
              <w:t xml:space="preserve"> </w:t>
            </w:r>
            <w:r>
              <w:rPr>
                <w:rFonts w:ascii="Times New Roman" w:hAnsi="Times New Roman" w:eastAsia="宋体"/>
                <w:color w:val="000000" w:themeColor="text1"/>
                <w:spacing w:val="17"/>
                <w:szCs w:val="21"/>
                <w:lang w:eastAsia="zh-CN"/>
                <w14:textFill>
                  <w14:solidFill>
                    <w14:schemeClr w14:val="tx1"/>
                  </w14:solidFill>
                </w14:textFill>
              </w:rPr>
              <w:t>过氧乙酸</w:t>
            </w:r>
          </w:p>
        </w:tc>
        <w:tc>
          <w:tcPr>
            <w:tcW w:w="2235" w:type="dxa"/>
            <w:tcBorders>
              <w:tl2br w:val="nil"/>
              <w:tr2bl w:val="nil"/>
            </w:tcBorders>
            <w:vAlign w:val="center"/>
          </w:tcPr>
          <w:p w14:paraId="4E9B00C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6"/>
                <w:szCs w:val="21"/>
                <w:lang w:eastAsia="en-US"/>
                <w14:textFill>
                  <w14:solidFill>
                    <w14:schemeClr w14:val="tx1"/>
                  </w14:solidFill>
                </w14:textFill>
              </w:rPr>
              <w:t>危险货物编号：</w:t>
            </w:r>
            <w:r>
              <w:rPr>
                <w:rFonts w:ascii="Times New Roman" w:hAnsi="Times New Roman" w:eastAsia="宋体"/>
                <w:color w:val="000000" w:themeColor="text1"/>
                <w:spacing w:val="-33"/>
                <w:szCs w:val="21"/>
                <w:lang w:eastAsia="en-US"/>
                <w14:textFill>
                  <w14:solidFill>
                    <w14:schemeClr w14:val="tx1"/>
                  </w14:solidFill>
                </w14:textFill>
              </w:rPr>
              <w:t xml:space="preserve"> </w:t>
            </w:r>
            <w:r>
              <w:rPr>
                <w:rFonts w:ascii="Times New Roman" w:hAnsi="Times New Roman" w:eastAsia="宋体"/>
                <w:color w:val="000000" w:themeColor="text1"/>
                <w:spacing w:val="16"/>
                <w:szCs w:val="21"/>
                <w:lang w:eastAsia="en-US"/>
                <w14:textFill>
                  <w14:solidFill>
                    <w14:schemeClr w14:val="tx1"/>
                  </w14:solidFill>
                </w14:textFill>
              </w:rPr>
              <w:t>52051</w:t>
            </w:r>
          </w:p>
        </w:tc>
      </w:tr>
      <w:tr w14:paraId="6C2D2A3D">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continue"/>
            <w:tcBorders>
              <w:tl2br w:val="nil"/>
              <w:tr2bl w:val="nil"/>
            </w:tcBorders>
            <w:textDirection w:val="tbRlV"/>
            <w:vAlign w:val="center"/>
          </w:tcPr>
          <w:p w14:paraId="03102D4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5694" w:type="dxa"/>
            <w:gridSpan w:val="5"/>
            <w:tcBorders>
              <w:tl2br w:val="nil"/>
              <w:tr2bl w:val="nil"/>
            </w:tcBorders>
            <w:vAlign w:val="center"/>
          </w:tcPr>
          <w:p w14:paraId="1EA64E7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8"/>
                <w:szCs w:val="21"/>
                <w:lang w:eastAsia="en-US"/>
                <w14:textFill>
                  <w14:solidFill>
                    <w14:schemeClr w14:val="tx1"/>
                  </w14:solidFill>
                </w14:textFill>
              </w:rPr>
              <w:t>英文名</w:t>
            </w:r>
            <w:r>
              <w:rPr>
                <w:rFonts w:ascii="Times New Roman" w:hAnsi="Times New Roman" w:eastAsia="宋体"/>
                <w:color w:val="000000" w:themeColor="text1"/>
                <w:spacing w:val="-55"/>
                <w:szCs w:val="21"/>
                <w:lang w:eastAsia="en-US"/>
                <w14:textFill>
                  <w14:solidFill>
                    <w14:schemeClr w14:val="tx1"/>
                  </w14:solidFill>
                </w14:textFill>
              </w:rPr>
              <w:t xml:space="preserve"> </w:t>
            </w:r>
            <w:r>
              <w:rPr>
                <w:rFonts w:ascii="Times New Roman" w:hAnsi="Times New Roman" w:eastAsia="宋体"/>
                <w:color w:val="000000" w:themeColor="text1"/>
                <w:spacing w:val="28"/>
                <w:szCs w:val="21"/>
                <w:lang w:eastAsia="en-US"/>
                <w14:textFill>
                  <w14:solidFill>
                    <w14:schemeClr w14:val="tx1"/>
                  </w14:solidFill>
                </w14:textFill>
              </w:rPr>
              <w:t>：peroxyacetic acid</w:t>
            </w:r>
          </w:p>
        </w:tc>
        <w:tc>
          <w:tcPr>
            <w:tcW w:w="2235" w:type="dxa"/>
            <w:tcBorders>
              <w:tl2br w:val="nil"/>
              <w:tr2bl w:val="nil"/>
            </w:tcBorders>
            <w:vAlign w:val="center"/>
          </w:tcPr>
          <w:p w14:paraId="6D1C27B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UN</w:t>
            </w:r>
            <w:r>
              <w:rPr>
                <w:rFonts w:ascii="Times New Roman" w:hAnsi="Times New Roman" w:eastAsia="宋体"/>
                <w:color w:val="000000" w:themeColor="text1"/>
                <w:spacing w:val="29"/>
                <w:w w:val="101"/>
                <w:szCs w:val="21"/>
                <w:lang w:eastAsia="en-US"/>
                <w14:textFill>
                  <w14:solidFill>
                    <w14:schemeClr w14:val="tx1"/>
                  </w14:solidFill>
                </w14:textFill>
              </w:rPr>
              <w:t xml:space="preserve"> </w:t>
            </w:r>
            <w:r>
              <w:rPr>
                <w:rFonts w:ascii="Times New Roman" w:hAnsi="Times New Roman" w:eastAsia="宋体"/>
                <w:color w:val="000000" w:themeColor="text1"/>
                <w:spacing w:val="9"/>
                <w:szCs w:val="21"/>
                <w:lang w:eastAsia="en-US"/>
                <w14:textFill>
                  <w14:solidFill>
                    <w14:schemeClr w14:val="tx1"/>
                  </w14:solidFill>
                </w14:textFill>
              </w:rPr>
              <w:t>编号：</w:t>
            </w:r>
            <w:r>
              <w:rPr>
                <w:rFonts w:ascii="Times New Roman" w:hAnsi="Times New Roman" w:eastAsia="宋体"/>
                <w:color w:val="000000" w:themeColor="text1"/>
                <w:spacing w:val="-44"/>
                <w:szCs w:val="21"/>
                <w:lang w:eastAsia="en-US"/>
                <w14:textFill>
                  <w14:solidFill>
                    <w14:schemeClr w14:val="tx1"/>
                  </w14:solidFill>
                </w14:textFill>
              </w:rPr>
              <w:t xml:space="preserve"> </w:t>
            </w:r>
            <w:r>
              <w:rPr>
                <w:rFonts w:ascii="Times New Roman" w:hAnsi="Times New Roman" w:eastAsia="宋体"/>
                <w:color w:val="000000" w:themeColor="text1"/>
                <w:spacing w:val="9"/>
                <w:szCs w:val="21"/>
                <w:lang w:eastAsia="en-US"/>
                <w14:textFill>
                  <w14:solidFill>
                    <w14:schemeClr w14:val="tx1"/>
                  </w14:solidFill>
                </w14:textFill>
              </w:rPr>
              <w:t>2131</w:t>
            </w:r>
          </w:p>
        </w:tc>
      </w:tr>
      <w:tr w14:paraId="013F4297">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continue"/>
            <w:tcBorders>
              <w:tl2br w:val="nil"/>
              <w:tr2bl w:val="nil"/>
            </w:tcBorders>
            <w:textDirection w:val="tbRlV"/>
            <w:vAlign w:val="center"/>
          </w:tcPr>
          <w:p w14:paraId="1BBA695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2454" w:type="dxa"/>
            <w:gridSpan w:val="2"/>
            <w:tcBorders>
              <w:tl2br w:val="nil"/>
              <w:tr2bl w:val="nil"/>
            </w:tcBorders>
            <w:vAlign w:val="center"/>
          </w:tcPr>
          <w:p w14:paraId="5968CA5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分子式：</w:t>
            </w:r>
            <w:r>
              <w:rPr>
                <w:rFonts w:ascii="Times New Roman" w:hAnsi="Times New Roman" w:eastAsia="宋体"/>
                <w:color w:val="000000" w:themeColor="text1"/>
                <w:spacing w:val="-41"/>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C</w:t>
            </w:r>
            <w:r>
              <w:rPr>
                <w:rFonts w:ascii="Times New Roman" w:hAnsi="Times New Roman" w:eastAsia="宋体"/>
                <w:color w:val="000000" w:themeColor="text1"/>
                <w:spacing w:val="8"/>
                <w:position w:val="-1"/>
                <w:szCs w:val="21"/>
                <w:vertAlign w:val="subscript"/>
                <w:lang w:eastAsia="en-US"/>
                <w14:textFill>
                  <w14:solidFill>
                    <w14:schemeClr w14:val="tx1"/>
                  </w14:solidFill>
                </w14:textFill>
              </w:rPr>
              <w:t>2</w:t>
            </w:r>
            <w:r>
              <w:rPr>
                <w:rFonts w:ascii="Times New Roman" w:hAnsi="Times New Roman" w:eastAsia="宋体"/>
                <w:color w:val="000000" w:themeColor="text1"/>
                <w:spacing w:val="8"/>
                <w:szCs w:val="21"/>
                <w:lang w:eastAsia="en-US"/>
                <w14:textFill>
                  <w14:solidFill>
                    <w14:schemeClr w14:val="tx1"/>
                  </w14:solidFill>
                </w14:textFill>
              </w:rPr>
              <w:t>H</w:t>
            </w:r>
            <w:r>
              <w:rPr>
                <w:rFonts w:ascii="Times New Roman" w:hAnsi="Times New Roman" w:eastAsia="宋体"/>
                <w:color w:val="000000" w:themeColor="text1"/>
                <w:spacing w:val="8"/>
                <w:position w:val="-1"/>
                <w:szCs w:val="21"/>
                <w:vertAlign w:val="subscript"/>
                <w:lang w:eastAsia="en-US"/>
                <w14:textFill>
                  <w14:solidFill>
                    <w14:schemeClr w14:val="tx1"/>
                  </w14:solidFill>
                </w14:textFill>
              </w:rPr>
              <w:t>4</w:t>
            </w:r>
            <w:r>
              <w:rPr>
                <w:rFonts w:ascii="Times New Roman" w:hAnsi="Times New Roman" w:eastAsia="宋体"/>
                <w:color w:val="000000" w:themeColor="text1"/>
                <w:spacing w:val="8"/>
                <w:szCs w:val="21"/>
                <w:lang w:eastAsia="en-US"/>
                <w14:textFill>
                  <w14:solidFill>
                    <w14:schemeClr w14:val="tx1"/>
                  </w14:solidFill>
                </w14:textFill>
              </w:rPr>
              <w:t>O</w:t>
            </w:r>
            <w:r>
              <w:rPr>
                <w:rFonts w:ascii="Times New Roman" w:hAnsi="Times New Roman" w:eastAsia="宋体"/>
                <w:color w:val="000000" w:themeColor="text1"/>
                <w:spacing w:val="8"/>
                <w:position w:val="-1"/>
                <w:szCs w:val="21"/>
                <w:vertAlign w:val="subscript"/>
                <w:lang w:eastAsia="en-US"/>
                <w14:textFill>
                  <w14:solidFill>
                    <w14:schemeClr w14:val="tx1"/>
                  </w14:solidFill>
                </w14:textFill>
              </w:rPr>
              <w:t>3</w:t>
            </w:r>
          </w:p>
        </w:tc>
        <w:tc>
          <w:tcPr>
            <w:tcW w:w="3240" w:type="dxa"/>
            <w:gridSpan w:val="3"/>
            <w:tcBorders>
              <w:tl2br w:val="nil"/>
              <w:tr2bl w:val="nil"/>
            </w:tcBorders>
            <w:vAlign w:val="center"/>
          </w:tcPr>
          <w:p w14:paraId="2428006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3"/>
                <w:szCs w:val="21"/>
                <w:lang w:eastAsia="en-US"/>
                <w14:textFill>
                  <w14:solidFill>
                    <w14:schemeClr w14:val="tx1"/>
                  </w14:solidFill>
                </w14:textFill>
              </w:rPr>
              <w:t>相对分子质量：</w:t>
            </w:r>
            <w:r>
              <w:rPr>
                <w:rFonts w:ascii="Times New Roman" w:hAnsi="Times New Roman" w:eastAsia="宋体"/>
                <w:color w:val="000000" w:themeColor="text1"/>
                <w:spacing w:val="-34"/>
                <w:szCs w:val="21"/>
                <w:lang w:eastAsia="en-US"/>
                <w14:textFill>
                  <w14:solidFill>
                    <w14:schemeClr w14:val="tx1"/>
                  </w14:solidFill>
                </w14:textFill>
              </w:rPr>
              <w:t xml:space="preserve"> </w:t>
            </w:r>
            <w:r>
              <w:rPr>
                <w:rFonts w:ascii="Times New Roman" w:hAnsi="Times New Roman" w:eastAsia="宋体"/>
                <w:color w:val="000000" w:themeColor="text1"/>
                <w:spacing w:val="13"/>
                <w:szCs w:val="21"/>
                <w:lang w:eastAsia="en-US"/>
                <w14:textFill>
                  <w14:solidFill>
                    <w14:schemeClr w14:val="tx1"/>
                  </w14:solidFill>
                </w14:textFill>
              </w:rPr>
              <w:t>76.051</w:t>
            </w:r>
          </w:p>
        </w:tc>
        <w:tc>
          <w:tcPr>
            <w:tcW w:w="2235" w:type="dxa"/>
            <w:tcBorders>
              <w:tl2br w:val="nil"/>
              <w:tr2bl w:val="nil"/>
            </w:tcBorders>
            <w:vAlign w:val="center"/>
          </w:tcPr>
          <w:p w14:paraId="2DA3D56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CAS</w:t>
            </w:r>
            <w:r>
              <w:rPr>
                <w:rFonts w:ascii="Times New Roman" w:hAnsi="Times New Roman" w:eastAsia="宋体"/>
                <w:color w:val="000000" w:themeColor="text1"/>
                <w:spacing w:val="36"/>
                <w:w w:val="101"/>
                <w:szCs w:val="21"/>
                <w:lang w:eastAsia="en-US"/>
                <w14:textFill>
                  <w14:solidFill>
                    <w14:schemeClr w14:val="tx1"/>
                  </w14:solidFill>
                </w14:textFill>
              </w:rPr>
              <w:t xml:space="preserve"> </w:t>
            </w:r>
            <w:r>
              <w:rPr>
                <w:rFonts w:ascii="Times New Roman" w:hAnsi="Times New Roman" w:eastAsia="宋体"/>
                <w:color w:val="000000" w:themeColor="text1"/>
                <w:spacing w:val="6"/>
                <w:szCs w:val="21"/>
                <w:lang w:eastAsia="en-US"/>
                <w14:textFill>
                  <w14:solidFill>
                    <w14:schemeClr w14:val="tx1"/>
                  </w14:solidFill>
                </w14:textFill>
              </w:rPr>
              <w:t>号</w:t>
            </w:r>
            <w:r>
              <w:rPr>
                <w:rFonts w:ascii="Times New Roman" w:hAnsi="Times New Roman" w:eastAsia="宋体"/>
                <w:color w:val="000000" w:themeColor="text1"/>
                <w:spacing w:val="-53"/>
                <w:szCs w:val="21"/>
                <w:lang w:eastAsia="en-US"/>
                <w14:textFill>
                  <w14:solidFill>
                    <w14:schemeClr w14:val="tx1"/>
                  </w14:solidFill>
                </w14:textFill>
              </w:rPr>
              <w:t xml:space="preserve"> </w:t>
            </w:r>
            <w:r>
              <w:rPr>
                <w:rFonts w:ascii="Times New Roman" w:hAnsi="Times New Roman" w:eastAsia="宋体"/>
                <w:color w:val="000000" w:themeColor="text1"/>
                <w:spacing w:val="6"/>
                <w:szCs w:val="21"/>
                <w:lang w:eastAsia="en-US"/>
                <w14:textFill>
                  <w14:solidFill>
                    <w14:schemeClr w14:val="tx1"/>
                  </w14:solidFill>
                </w14:textFill>
              </w:rPr>
              <w:t>：79-21-0</w:t>
            </w:r>
          </w:p>
        </w:tc>
      </w:tr>
      <w:tr w14:paraId="2D4941AC">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tcBorders>
              <w:tl2br w:val="nil"/>
              <w:tr2bl w:val="nil"/>
            </w:tcBorders>
            <w:textDirection w:val="tbRlV"/>
            <w:vAlign w:val="center"/>
          </w:tcPr>
          <w:p w14:paraId="72EA50B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理</w:t>
            </w:r>
            <w:r>
              <w:rPr>
                <w:rFonts w:ascii="Times New Roman" w:hAnsi="Times New Roman" w:eastAsia="宋体"/>
                <w:color w:val="000000" w:themeColor="text1"/>
                <w:spacing w:val="-36"/>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化</w:t>
            </w:r>
            <w:r>
              <w:rPr>
                <w:rFonts w:ascii="Times New Roman" w:hAnsi="Times New Roman" w:eastAsia="宋体"/>
                <w:color w:val="000000" w:themeColor="text1"/>
                <w:spacing w:val="-38"/>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性</w:t>
            </w:r>
            <w:r>
              <w:rPr>
                <w:rFonts w:ascii="Times New Roman" w:hAnsi="Times New Roman" w:eastAsia="宋体"/>
                <w:color w:val="000000" w:themeColor="text1"/>
                <w:spacing w:val="-35"/>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质</w:t>
            </w:r>
          </w:p>
        </w:tc>
        <w:tc>
          <w:tcPr>
            <w:tcW w:w="7929" w:type="dxa"/>
            <w:gridSpan w:val="6"/>
            <w:tcBorders>
              <w:tl2br w:val="nil"/>
              <w:tr2bl w:val="nil"/>
            </w:tcBorders>
            <w:vAlign w:val="center"/>
          </w:tcPr>
          <w:p w14:paraId="2227E06A">
            <w:pPr>
              <w:widowControl/>
              <w:autoSpaceDE/>
              <w:autoSpaceDN/>
              <w:jc w:val="center"/>
              <w:rPr>
                <w:rFonts w:ascii="Times New Roman" w:hAnsi="Times New Roman" w:eastAsia="宋体"/>
                <w:color w:val="000000" w:themeColor="text1"/>
                <w:spacing w:val="23"/>
                <w:szCs w:val="21"/>
                <w:lang w:eastAsia="zh-CN"/>
                <w14:textFill>
                  <w14:solidFill>
                    <w14:schemeClr w14:val="tx1"/>
                  </w14:solidFill>
                </w14:textFill>
              </w:rPr>
            </w:pPr>
            <w:r>
              <w:rPr>
                <w:rFonts w:ascii="Times New Roman" w:hAnsi="Times New Roman" w:eastAsia="宋体"/>
                <w:color w:val="000000" w:themeColor="text1"/>
                <w:spacing w:val="23"/>
                <w:szCs w:val="21"/>
                <w:lang w:eastAsia="zh-CN"/>
                <w14:textFill>
                  <w14:solidFill>
                    <w14:schemeClr w14:val="tx1"/>
                  </w14:solidFill>
                </w14:textFill>
              </w:rPr>
              <w:t>外观与性状：</w:t>
            </w:r>
            <w:r>
              <w:rPr>
                <w:rFonts w:ascii="Times New Roman" w:hAnsi="Times New Roman" w:eastAsia="宋体"/>
                <w:color w:val="000000" w:themeColor="text1"/>
                <w:spacing w:val="8"/>
                <w:szCs w:val="21"/>
                <w:lang w:eastAsia="zh-CN"/>
                <w14:textFill>
                  <w14:solidFill>
                    <w14:schemeClr w14:val="tx1"/>
                  </w14:solidFill>
                </w14:textFill>
              </w:rPr>
              <w:t>无色液体，具有强烈刺激性气味。</w:t>
            </w:r>
          </w:p>
          <w:p w14:paraId="6ED916A6">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10"/>
                <w:szCs w:val="21"/>
                <w:lang w:eastAsia="zh-CN"/>
                <w14:textFill>
                  <w14:solidFill>
                    <w14:schemeClr w14:val="tx1"/>
                  </w14:solidFill>
                </w14:textFill>
              </w:rPr>
              <w:t>熔点(℃)：</w:t>
            </w:r>
            <w:r>
              <w:rPr>
                <w:rFonts w:ascii="Times New Roman" w:hAnsi="Times New Roman" w:eastAsia="宋体"/>
                <w:color w:val="000000" w:themeColor="text1"/>
                <w:szCs w:val="21"/>
                <w:lang w:eastAsia="zh-CN"/>
                <w14:textFill>
                  <w14:solidFill>
                    <w14:schemeClr w14:val="tx1"/>
                  </w14:solidFill>
                </w14:textFill>
              </w:rPr>
              <w:t>0.1，</w:t>
            </w:r>
            <w:r>
              <w:rPr>
                <w:rFonts w:ascii="Times New Roman" w:hAnsi="Times New Roman" w:eastAsia="宋体"/>
                <w:color w:val="000000" w:themeColor="text1"/>
                <w:spacing w:val="21"/>
                <w:position w:val="1"/>
                <w:szCs w:val="21"/>
                <w:lang w:eastAsia="zh-CN"/>
                <w14:textFill>
                  <w14:solidFill>
                    <w14:schemeClr w14:val="tx1"/>
                  </w14:solidFill>
                </w14:textFill>
              </w:rPr>
              <w:t>相对密度（水=1）：</w:t>
            </w:r>
            <w:r>
              <w:rPr>
                <w:rFonts w:ascii="Times New Roman" w:hAnsi="Times New Roman" w:eastAsia="宋体"/>
                <w:color w:val="000000" w:themeColor="text1"/>
                <w:spacing w:val="-2"/>
                <w:szCs w:val="21"/>
                <w:lang w:eastAsia="zh-CN"/>
                <w14:textFill>
                  <w14:solidFill>
                    <w14:schemeClr w14:val="tx1"/>
                  </w14:solidFill>
                </w14:textFill>
              </w:rPr>
              <w:t>1.15，</w:t>
            </w:r>
            <w:r>
              <w:rPr>
                <w:rFonts w:ascii="Times New Roman" w:hAnsi="Times New Roman" w:eastAsia="宋体"/>
                <w:color w:val="000000" w:themeColor="text1"/>
                <w:spacing w:val="10"/>
                <w:szCs w:val="21"/>
                <w:lang w:eastAsia="zh-CN"/>
                <w14:textFill>
                  <w14:solidFill>
                    <w14:schemeClr w14:val="tx1"/>
                  </w14:solidFill>
                </w14:textFill>
              </w:rPr>
              <w:t>沸点(℃)：</w:t>
            </w:r>
            <w:r>
              <w:rPr>
                <w:rFonts w:ascii="Times New Roman" w:hAnsi="Times New Roman" w:eastAsia="宋体"/>
                <w:color w:val="000000" w:themeColor="text1"/>
                <w:spacing w:val="-3"/>
                <w:szCs w:val="21"/>
                <w:lang w:eastAsia="zh-CN"/>
                <w14:textFill>
                  <w14:solidFill>
                    <w14:schemeClr w14:val="tx1"/>
                  </w14:solidFill>
                </w14:textFill>
              </w:rPr>
              <w:t>105，</w:t>
            </w:r>
          </w:p>
          <w:p w14:paraId="1946DDD6">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9"/>
                <w:szCs w:val="21"/>
                <w:lang w:eastAsia="zh-CN"/>
                <w14:textFill>
                  <w14:solidFill>
                    <w14:schemeClr w14:val="tx1"/>
                  </w14:solidFill>
                </w14:textFill>
              </w:rPr>
              <w:t>饱和蒸气压（</w:t>
            </w:r>
            <w:r>
              <w:rPr>
                <w:rFonts w:ascii="Times New Roman" w:hAnsi="Times New Roman" w:eastAsia="宋体"/>
                <w:color w:val="000000" w:themeColor="text1"/>
                <w:szCs w:val="21"/>
                <w:lang w:eastAsia="zh-CN"/>
                <w14:textFill>
                  <w14:solidFill>
                    <w14:schemeClr w14:val="tx1"/>
                  </w14:solidFill>
                </w14:textFill>
              </w:rPr>
              <w:t>kPa</w:t>
            </w:r>
            <w:r>
              <w:rPr>
                <w:rFonts w:ascii="Times New Roman" w:hAnsi="Times New Roman" w:eastAsia="宋体"/>
                <w:color w:val="000000" w:themeColor="text1"/>
                <w:spacing w:val="9"/>
                <w:szCs w:val="21"/>
                <w:lang w:eastAsia="zh-CN"/>
                <w14:textFill>
                  <w14:solidFill>
                    <w14:schemeClr w14:val="tx1"/>
                  </w14:solidFill>
                </w14:textFill>
              </w:rPr>
              <w:t>）：</w:t>
            </w:r>
            <w:r>
              <w:rPr>
                <w:rFonts w:ascii="Times New Roman" w:hAnsi="Times New Roman" w:eastAsia="宋体"/>
                <w:color w:val="000000" w:themeColor="text1"/>
                <w:spacing w:val="12"/>
                <w:szCs w:val="21"/>
                <w:lang w:eastAsia="zh-CN"/>
                <w14:textFill>
                  <w14:solidFill>
                    <w14:schemeClr w14:val="tx1"/>
                  </w14:solidFill>
                </w14:textFill>
              </w:rPr>
              <w:t>2.6/20℃，</w:t>
            </w:r>
          </w:p>
          <w:p w14:paraId="4EB9143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9"/>
                <w:szCs w:val="21"/>
                <w:lang w:eastAsia="en-US"/>
                <w14:textFill>
                  <w14:solidFill>
                    <w14:schemeClr w14:val="tx1"/>
                  </w14:solidFill>
                </w14:textFill>
              </w:rPr>
              <w:t>溶解性：</w:t>
            </w:r>
            <w:r>
              <w:rPr>
                <w:rFonts w:ascii="Times New Roman" w:hAnsi="Times New Roman" w:eastAsia="宋体"/>
                <w:color w:val="000000" w:themeColor="text1"/>
                <w:spacing w:val="8"/>
                <w:szCs w:val="21"/>
                <w:lang w:eastAsia="en-US"/>
                <w14:textFill>
                  <w14:solidFill>
                    <w14:schemeClr w14:val="tx1"/>
                  </w14:solidFill>
                </w14:textFill>
              </w:rPr>
              <w:t>溶于水，溶于乙醇、乙醚、硫酸。</w:t>
            </w:r>
          </w:p>
        </w:tc>
      </w:tr>
      <w:tr w14:paraId="2724275E">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restart"/>
            <w:tcBorders>
              <w:tl2br w:val="nil"/>
              <w:tr2bl w:val="nil"/>
            </w:tcBorders>
            <w:textDirection w:val="tbRlV"/>
            <w:vAlign w:val="center"/>
          </w:tcPr>
          <w:p w14:paraId="6E69261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毒</w:t>
            </w:r>
            <w:r>
              <w:rPr>
                <w:rFonts w:ascii="Times New Roman" w:hAnsi="Times New Roman" w:eastAsia="宋体"/>
                <w:color w:val="000000" w:themeColor="text1"/>
                <w:spacing w:val="-31"/>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性</w:t>
            </w:r>
            <w:r>
              <w:rPr>
                <w:rFonts w:ascii="Times New Roman" w:hAnsi="Times New Roman" w:eastAsia="宋体"/>
                <w:color w:val="000000" w:themeColor="text1"/>
                <w:spacing w:val="-38"/>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及</w:t>
            </w:r>
            <w:r>
              <w:rPr>
                <w:rFonts w:ascii="Times New Roman" w:hAnsi="Times New Roman" w:eastAsia="宋体"/>
                <w:color w:val="000000" w:themeColor="text1"/>
                <w:spacing w:val="-35"/>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健</w:t>
            </w:r>
            <w:r>
              <w:rPr>
                <w:rFonts w:ascii="Times New Roman" w:hAnsi="Times New Roman" w:eastAsia="宋体"/>
                <w:color w:val="000000" w:themeColor="text1"/>
                <w:spacing w:val="-38"/>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康</w:t>
            </w:r>
            <w:r>
              <w:rPr>
                <w:rFonts w:ascii="Times New Roman" w:hAnsi="Times New Roman" w:eastAsia="宋体"/>
                <w:color w:val="000000" w:themeColor="text1"/>
                <w:spacing w:val="-37"/>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危</w:t>
            </w:r>
            <w:r>
              <w:rPr>
                <w:rFonts w:ascii="Times New Roman" w:hAnsi="Times New Roman" w:eastAsia="宋体"/>
                <w:color w:val="000000" w:themeColor="text1"/>
                <w:spacing w:val="-35"/>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害</w:t>
            </w:r>
          </w:p>
        </w:tc>
        <w:tc>
          <w:tcPr>
            <w:tcW w:w="1679" w:type="dxa"/>
            <w:tcBorders>
              <w:tl2br w:val="nil"/>
              <w:tr2bl w:val="nil"/>
            </w:tcBorders>
            <w:vAlign w:val="center"/>
          </w:tcPr>
          <w:p w14:paraId="52E752E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1"/>
                <w:szCs w:val="21"/>
                <w:lang w:eastAsia="en-US"/>
                <w14:textFill>
                  <w14:solidFill>
                    <w14:schemeClr w14:val="tx1"/>
                  </w14:solidFill>
                </w14:textFill>
              </w:rPr>
              <w:t>侵入途径</w:t>
            </w:r>
          </w:p>
        </w:tc>
        <w:tc>
          <w:tcPr>
            <w:tcW w:w="6250" w:type="dxa"/>
            <w:gridSpan w:val="5"/>
            <w:tcBorders>
              <w:tl2br w:val="nil"/>
              <w:tr2bl w:val="nil"/>
            </w:tcBorders>
            <w:vAlign w:val="center"/>
          </w:tcPr>
          <w:p w14:paraId="0F64BFF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2"/>
                <w:szCs w:val="21"/>
                <w:lang w:eastAsia="en-US"/>
                <w14:textFill>
                  <w14:solidFill>
                    <w14:schemeClr w14:val="tx1"/>
                  </w14:solidFill>
                </w14:textFill>
              </w:rPr>
              <w:t>吸入</w:t>
            </w:r>
            <w:r>
              <w:rPr>
                <w:rFonts w:ascii="Times New Roman" w:hAnsi="Times New Roman" w:eastAsia="宋体"/>
                <w:color w:val="000000" w:themeColor="text1"/>
                <w:spacing w:val="-53"/>
                <w:szCs w:val="21"/>
                <w:lang w:eastAsia="en-US"/>
                <w14:textFill>
                  <w14:solidFill>
                    <w14:schemeClr w14:val="tx1"/>
                  </w14:solidFill>
                </w14:textFill>
              </w:rPr>
              <w:t xml:space="preserve"> </w:t>
            </w:r>
            <w:r>
              <w:rPr>
                <w:rFonts w:ascii="Times New Roman" w:hAnsi="Times New Roman" w:eastAsia="宋体"/>
                <w:color w:val="000000" w:themeColor="text1"/>
                <w:spacing w:val="12"/>
                <w:szCs w:val="21"/>
                <w:lang w:eastAsia="en-US"/>
                <w14:textFill>
                  <w14:solidFill>
                    <w14:schemeClr w14:val="tx1"/>
                  </w14:solidFill>
                </w14:textFill>
              </w:rPr>
              <w:t>、食入</w:t>
            </w:r>
            <w:r>
              <w:rPr>
                <w:rFonts w:ascii="Times New Roman" w:hAnsi="Times New Roman" w:eastAsia="宋体"/>
                <w:color w:val="000000" w:themeColor="text1"/>
                <w:spacing w:val="-55"/>
                <w:szCs w:val="21"/>
                <w:lang w:eastAsia="en-US"/>
                <w14:textFill>
                  <w14:solidFill>
                    <w14:schemeClr w14:val="tx1"/>
                  </w14:solidFill>
                </w14:textFill>
              </w:rPr>
              <w:t xml:space="preserve"> </w:t>
            </w:r>
            <w:r>
              <w:rPr>
                <w:rFonts w:ascii="Times New Roman" w:hAnsi="Times New Roman" w:eastAsia="宋体"/>
                <w:color w:val="000000" w:themeColor="text1"/>
                <w:spacing w:val="12"/>
                <w:szCs w:val="21"/>
                <w:lang w:eastAsia="en-US"/>
                <w14:textFill>
                  <w14:solidFill>
                    <w14:schemeClr w14:val="tx1"/>
                  </w14:solidFill>
                </w14:textFill>
              </w:rPr>
              <w:t>、</w:t>
            </w:r>
            <w:r>
              <w:rPr>
                <w:rFonts w:ascii="Times New Roman" w:hAnsi="Times New Roman" w:eastAsia="宋体"/>
                <w:color w:val="000000" w:themeColor="text1"/>
                <w:spacing w:val="-41"/>
                <w:szCs w:val="21"/>
                <w:lang w:eastAsia="en-US"/>
                <w14:textFill>
                  <w14:solidFill>
                    <w14:schemeClr w14:val="tx1"/>
                  </w14:solidFill>
                </w14:textFill>
              </w:rPr>
              <w:t xml:space="preserve"> </w:t>
            </w:r>
            <w:r>
              <w:rPr>
                <w:rFonts w:ascii="Times New Roman" w:hAnsi="Times New Roman" w:eastAsia="宋体"/>
                <w:color w:val="000000" w:themeColor="text1"/>
                <w:spacing w:val="12"/>
                <w:szCs w:val="21"/>
                <w:lang w:eastAsia="en-US"/>
                <w14:textFill>
                  <w14:solidFill>
                    <w14:schemeClr w14:val="tx1"/>
                  </w14:solidFill>
                </w14:textFill>
              </w:rPr>
              <w:t>以皮吸收。</w:t>
            </w:r>
          </w:p>
        </w:tc>
      </w:tr>
      <w:tr w14:paraId="0857F83F">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continue"/>
            <w:tcBorders>
              <w:tl2br w:val="nil"/>
              <w:tr2bl w:val="nil"/>
            </w:tcBorders>
            <w:textDirection w:val="tbRlV"/>
            <w:vAlign w:val="center"/>
          </w:tcPr>
          <w:p w14:paraId="3106F81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679" w:type="dxa"/>
            <w:tcBorders>
              <w:tl2br w:val="nil"/>
              <w:tr2bl w:val="nil"/>
            </w:tcBorders>
            <w:vAlign w:val="center"/>
          </w:tcPr>
          <w:p w14:paraId="7367A9D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4"/>
                <w:szCs w:val="21"/>
                <w:lang w:eastAsia="en-US"/>
                <w14:textFill>
                  <w14:solidFill>
                    <w14:schemeClr w14:val="tx1"/>
                  </w14:solidFill>
                </w14:textFill>
              </w:rPr>
              <w:t>毒性</w:t>
            </w:r>
          </w:p>
        </w:tc>
        <w:tc>
          <w:tcPr>
            <w:tcW w:w="6250" w:type="dxa"/>
            <w:gridSpan w:val="5"/>
            <w:tcBorders>
              <w:tl2br w:val="nil"/>
              <w:tr2bl w:val="nil"/>
            </w:tcBorders>
            <w:vAlign w:val="center"/>
          </w:tcPr>
          <w:p w14:paraId="6AEBC57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LD</w:t>
            </w:r>
            <w:r>
              <w:rPr>
                <w:rFonts w:ascii="Times New Roman" w:hAnsi="Times New Roman" w:eastAsia="宋体"/>
                <w:color w:val="000000" w:themeColor="text1"/>
                <w:spacing w:val="16"/>
                <w:position w:val="-1"/>
                <w:szCs w:val="21"/>
                <w:vertAlign w:val="subscript"/>
                <w:lang w:eastAsia="en-US"/>
                <w14:textFill>
                  <w14:solidFill>
                    <w14:schemeClr w14:val="tx1"/>
                  </w14:solidFill>
                </w14:textFill>
              </w:rPr>
              <w:t>50</w:t>
            </w:r>
            <w:r>
              <w:rPr>
                <w:rFonts w:ascii="Times New Roman" w:hAnsi="Times New Roman" w:eastAsia="宋体"/>
                <w:color w:val="000000" w:themeColor="text1"/>
                <w:spacing w:val="16"/>
                <w:position w:val="-1"/>
                <w:szCs w:val="21"/>
                <w:lang w:eastAsia="en-US"/>
                <w14:textFill>
                  <w14:solidFill>
                    <w14:schemeClr w14:val="tx1"/>
                  </w14:solidFill>
                </w14:textFill>
              </w:rPr>
              <w:t xml:space="preserve"> </w:t>
            </w:r>
            <w:r>
              <w:rPr>
                <w:rFonts w:ascii="Times New Roman" w:hAnsi="Times New Roman" w:eastAsia="宋体"/>
                <w:color w:val="000000" w:themeColor="text1"/>
                <w:spacing w:val="16"/>
                <w:szCs w:val="21"/>
                <w:lang w:eastAsia="en-US"/>
                <w14:textFill>
                  <w14:solidFill>
                    <w14:schemeClr w14:val="tx1"/>
                  </w14:solidFill>
                </w14:textFill>
              </w:rPr>
              <w:t>：</w:t>
            </w:r>
            <w:r>
              <w:rPr>
                <w:rFonts w:ascii="Times New Roman" w:hAnsi="Times New Roman" w:eastAsia="宋体"/>
                <w:color w:val="000000" w:themeColor="text1"/>
                <w:spacing w:val="-46"/>
                <w:szCs w:val="21"/>
                <w:lang w:eastAsia="en-US"/>
                <w14:textFill>
                  <w14:solidFill>
                    <w14:schemeClr w14:val="tx1"/>
                  </w14:solidFill>
                </w14:textFill>
              </w:rPr>
              <w:t xml:space="preserve"> </w:t>
            </w:r>
            <w:r>
              <w:rPr>
                <w:rFonts w:ascii="Times New Roman" w:hAnsi="Times New Roman" w:eastAsia="宋体"/>
                <w:color w:val="000000" w:themeColor="text1"/>
                <w:spacing w:val="16"/>
                <w:szCs w:val="21"/>
                <w:lang w:eastAsia="en-US"/>
                <w14:textFill>
                  <w14:solidFill>
                    <w14:schemeClr w14:val="tx1"/>
                  </w14:solidFill>
                </w14:textFill>
              </w:rPr>
              <w:t>1540</w:t>
            </w:r>
            <w:r>
              <w:rPr>
                <w:rFonts w:ascii="Times New Roman" w:hAnsi="Times New Roman" w:eastAsia="宋体"/>
                <w:color w:val="000000" w:themeColor="text1"/>
                <w:szCs w:val="21"/>
                <w:lang w:eastAsia="en-US"/>
                <w14:textFill>
                  <w14:solidFill>
                    <w14:schemeClr w14:val="tx1"/>
                  </w14:solidFill>
                </w14:textFill>
              </w:rPr>
              <w:t>µL</w:t>
            </w:r>
            <w:r>
              <w:rPr>
                <w:rFonts w:ascii="Times New Roman" w:hAnsi="Times New Roman" w:eastAsia="宋体"/>
                <w:color w:val="000000" w:themeColor="text1"/>
                <w:spacing w:val="16"/>
                <w:szCs w:val="21"/>
                <w:lang w:eastAsia="en-US"/>
                <w14:textFill>
                  <w14:solidFill>
                    <w14:schemeClr w14:val="tx1"/>
                  </w14:solidFill>
                </w14:textFill>
              </w:rPr>
              <w:t>/</w:t>
            </w:r>
            <w:r>
              <w:rPr>
                <w:rFonts w:ascii="Times New Roman" w:hAnsi="Times New Roman" w:eastAsia="宋体"/>
                <w:color w:val="000000" w:themeColor="text1"/>
                <w:szCs w:val="21"/>
                <w:lang w:eastAsia="en-US"/>
                <w14:textFill>
                  <w14:solidFill>
                    <w14:schemeClr w14:val="tx1"/>
                  </w14:solidFill>
                </w14:textFill>
              </w:rPr>
              <w:t>kg</w:t>
            </w:r>
            <w:r>
              <w:rPr>
                <w:rFonts w:ascii="Times New Roman" w:hAnsi="Times New Roman" w:eastAsia="宋体"/>
                <w:color w:val="000000" w:themeColor="text1"/>
                <w:spacing w:val="-30"/>
                <w:szCs w:val="21"/>
                <w:lang w:eastAsia="en-US"/>
                <w14:textFill>
                  <w14:solidFill>
                    <w14:schemeClr w14:val="tx1"/>
                  </w14:solidFill>
                </w14:textFill>
              </w:rPr>
              <w:t xml:space="preserve"> </w:t>
            </w:r>
            <w:r>
              <w:rPr>
                <w:rFonts w:ascii="Times New Roman" w:hAnsi="Times New Roman" w:eastAsia="宋体"/>
                <w:color w:val="000000" w:themeColor="text1"/>
                <w:spacing w:val="16"/>
                <w:szCs w:val="21"/>
                <w:lang w:eastAsia="en-US"/>
                <w14:textFill>
                  <w14:solidFill>
                    <w14:schemeClr w14:val="tx1"/>
                  </w14:solidFill>
                </w14:textFill>
              </w:rPr>
              <w:t>（大鼠经</w:t>
            </w:r>
            <w:r>
              <w:rPr>
                <w:rFonts w:ascii="Times New Roman" w:hAnsi="Times New Roman" w:eastAsia="宋体"/>
                <w:color w:val="000000" w:themeColor="text1"/>
                <w:spacing w:val="-41"/>
                <w:szCs w:val="21"/>
                <w:lang w:eastAsia="en-US"/>
                <w14:textFill>
                  <w14:solidFill>
                    <w14:schemeClr w14:val="tx1"/>
                  </w14:solidFill>
                </w14:textFill>
              </w:rPr>
              <w:t xml:space="preserve"> </w:t>
            </w:r>
            <w:r>
              <w:rPr>
                <w:rFonts w:ascii="Times New Roman" w:hAnsi="Times New Roman" w:eastAsia="宋体"/>
                <w:color w:val="000000" w:themeColor="text1"/>
                <w:spacing w:val="16"/>
                <w:szCs w:val="21"/>
                <w:lang w:eastAsia="en-US"/>
                <w14:textFill>
                  <w14:solidFill>
                    <w14:schemeClr w14:val="tx1"/>
                  </w14:solidFill>
                </w14:textFill>
              </w:rPr>
              <w:t>口</w:t>
            </w:r>
            <w:r>
              <w:rPr>
                <w:rFonts w:ascii="Times New Roman" w:hAnsi="Times New Roman" w:eastAsia="宋体"/>
                <w:color w:val="000000" w:themeColor="text1"/>
                <w:spacing w:val="-46"/>
                <w:szCs w:val="21"/>
                <w:lang w:eastAsia="en-US"/>
                <w14:textFill>
                  <w14:solidFill>
                    <w14:schemeClr w14:val="tx1"/>
                  </w14:solidFill>
                </w14:textFill>
              </w:rPr>
              <w:t xml:space="preserve"> </w:t>
            </w:r>
            <w:r>
              <w:rPr>
                <w:rFonts w:ascii="Times New Roman" w:hAnsi="Times New Roman" w:eastAsia="宋体"/>
                <w:color w:val="000000" w:themeColor="text1"/>
                <w:spacing w:val="-12"/>
                <w:szCs w:val="21"/>
                <w:lang w:eastAsia="en-US"/>
                <w14:textFill>
                  <w14:solidFill>
                    <w14:schemeClr w14:val="tx1"/>
                  </w14:solidFill>
                </w14:textFill>
              </w:rPr>
              <w:t>）</w:t>
            </w:r>
            <w:r>
              <w:rPr>
                <w:rFonts w:ascii="Times New Roman" w:hAnsi="Times New Roman" w:eastAsia="宋体"/>
                <w:color w:val="000000" w:themeColor="text1"/>
                <w:spacing w:val="-47"/>
                <w:szCs w:val="21"/>
                <w:lang w:eastAsia="en-US"/>
                <w14:textFill>
                  <w14:solidFill>
                    <w14:schemeClr w14:val="tx1"/>
                  </w14:solidFill>
                </w14:textFill>
              </w:rPr>
              <w:t xml:space="preserve"> </w:t>
            </w:r>
            <w:r>
              <w:rPr>
                <w:rFonts w:ascii="Times New Roman" w:hAnsi="Times New Roman" w:eastAsia="宋体"/>
                <w:color w:val="000000" w:themeColor="text1"/>
                <w:spacing w:val="-12"/>
                <w:szCs w:val="21"/>
                <w:lang w:eastAsia="en-US"/>
                <w14:textFill>
                  <w14:solidFill>
                    <w14:schemeClr w14:val="tx1"/>
                  </w14:solidFill>
                </w14:textFill>
              </w:rPr>
              <w:t>；</w:t>
            </w:r>
            <w:r>
              <w:rPr>
                <w:rFonts w:ascii="Times New Roman" w:hAnsi="Times New Roman" w:eastAsia="宋体"/>
                <w:color w:val="000000" w:themeColor="text1"/>
                <w:spacing w:val="-50"/>
                <w:szCs w:val="21"/>
                <w:lang w:eastAsia="en-US"/>
                <w14:textFill>
                  <w14:solidFill>
                    <w14:schemeClr w14:val="tx1"/>
                  </w14:solidFill>
                </w14:textFill>
              </w:rPr>
              <w:t xml:space="preserve"> </w:t>
            </w:r>
            <w:r>
              <w:rPr>
                <w:rFonts w:ascii="Times New Roman" w:hAnsi="Times New Roman" w:eastAsia="宋体"/>
                <w:color w:val="000000" w:themeColor="text1"/>
                <w:spacing w:val="16"/>
                <w:szCs w:val="21"/>
                <w:lang w:eastAsia="en-US"/>
                <w14:textFill>
                  <w14:solidFill>
                    <w14:schemeClr w14:val="tx1"/>
                  </w14:solidFill>
                </w14:textFill>
              </w:rPr>
              <w:t>1410</w:t>
            </w:r>
            <w:r>
              <w:rPr>
                <w:rFonts w:ascii="Times New Roman" w:hAnsi="Times New Roman" w:eastAsia="宋体"/>
                <w:color w:val="000000" w:themeColor="text1"/>
                <w:szCs w:val="21"/>
                <w:lang w:eastAsia="en-US"/>
                <w14:textFill>
                  <w14:solidFill>
                    <w14:schemeClr w14:val="tx1"/>
                  </w14:solidFill>
                </w14:textFill>
              </w:rPr>
              <w:t>µL</w:t>
            </w:r>
            <w:r>
              <w:rPr>
                <w:rFonts w:ascii="Times New Roman" w:hAnsi="Times New Roman" w:eastAsia="宋体"/>
                <w:color w:val="000000" w:themeColor="text1"/>
                <w:spacing w:val="16"/>
                <w:szCs w:val="21"/>
                <w:lang w:eastAsia="en-US"/>
                <w14:textFill>
                  <w14:solidFill>
                    <w14:schemeClr w14:val="tx1"/>
                  </w14:solidFill>
                </w14:textFill>
              </w:rPr>
              <w:t>/</w:t>
            </w:r>
            <w:r>
              <w:rPr>
                <w:rFonts w:ascii="Times New Roman" w:hAnsi="Times New Roman" w:eastAsia="宋体"/>
                <w:color w:val="000000" w:themeColor="text1"/>
                <w:szCs w:val="21"/>
                <w:lang w:eastAsia="en-US"/>
                <w14:textFill>
                  <w14:solidFill>
                    <w14:schemeClr w14:val="tx1"/>
                  </w14:solidFill>
                </w14:textFill>
              </w:rPr>
              <w:t>kg</w:t>
            </w:r>
            <w:r>
              <w:rPr>
                <w:rFonts w:ascii="Times New Roman" w:hAnsi="Times New Roman" w:eastAsia="宋体"/>
                <w:color w:val="000000" w:themeColor="text1"/>
                <w:spacing w:val="-30"/>
                <w:szCs w:val="21"/>
                <w:lang w:eastAsia="en-US"/>
                <w14:textFill>
                  <w14:solidFill>
                    <w14:schemeClr w14:val="tx1"/>
                  </w14:solidFill>
                </w14:textFill>
              </w:rPr>
              <w:t xml:space="preserve"> </w:t>
            </w:r>
            <w:r>
              <w:rPr>
                <w:rFonts w:ascii="Times New Roman" w:hAnsi="Times New Roman" w:eastAsia="宋体"/>
                <w:color w:val="000000" w:themeColor="text1"/>
                <w:spacing w:val="16"/>
                <w:szCs w:val="21"/>
                <w:lang w:eastAsia="en-US"/>
                <w14:textFill>
                  <w14:solidFill>
                    <w14:schemeClr w14:val="tx1"/>
                  </w14:solidFill>
                </w14:textFill>
              </w:rPr>
              <w:t>（免经皮</w:t>
            </w:r>
            <w:r>
              <w:rPr>
                <w:rFonts w:ascii="Times New Roman" w:hAnsi="Times New Roman" w:eastAsia="宋体"/>
                <w:color w:val="000000" w:themeColor="text1"/>
                <w:spacing w:val="-12"/>
                <w:szCs w:val="21"/>
                <w:lang w:eastAsia="en-US"/>
                <w14:textFill>
                  <w14:solidFill>
                    <w14:schemeClr w14:val="tx1"/>
                  </w14:solidFill>
                </w14:textFill>
              </w:rPr>
              <w:t>）</w:t>
            </w:r>
            <w:r>
              <w:rPr>
                <w:rFonts w:ascii="Times New Roman" w:hAnsi="Times New Roman" w:eastAsia="宋体"/>
                <w:color w:val="000000" w:themeColor="text1"/>
                <w:spacing w:val="-47"/>
                <w:szCs w:val="21"/>
                <w:lang w:eastAsia="en-US"/>
                <w14:textFill>
                  <w14:solidFill>
                    <w14:schemeClr w14:val="tx1"/>
                  </w14:solidFill>
                </w14:textFill>
              </w:rPr>
              <w:t xml:space="preserve"> </w:t>
            </w:r>
            <w:r>
              <w:rPr>
                <w:rFonts w:ascii="Times New Roman" w:hAnsi="Times New Roman" w:eastAsia="宋体"/>
                <w:color w:val="000000" w:themeColor="text1"/>
                <w:spacing w:val="-12"/>
                <w:szCs w:val="21"/>
                <w:lang w:eastAsia="en-US"/>
                <w14:textFill>
                  <w14:solidFill>
                    <w14:schemeClr w14:val="tx1"/>
                  </w14:solidFill>
                </w14:textFill>
              </w:rPr>
              <w:t>；</w:t>
            </w:r>
          </w:p>
          <w:p w14:paraId="72036C2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LC</w:t>
            </w:r>
            <w:r>
              <w:rPr>
                <w:rFonts w:ascii="Times New Roman" w:hAnsi="Times New Roman" w:eastAsia="宋体"/>
                <w:color w:val="000000" w:themeColor="text1"/>
                <w:spacing w:val="19"/>
                <w:position w:val="-1"/>
                <w:szCs w:val="21"/>
                <w:vertAlign w:val="subscript"/>
                <w:lang w:eastAsia="en-US"/>
                <w14:textFill>
                  <w14:solidFill>
                    <w14:schemeClr w14:val="tx1"/>
                  </w14:solidFill>
                </w14:textFill>
              </w:rPr>
              <w:t>50</w:t>
            </w:r>
            <w:r>
              <w:rPr>
                <w:rFonts w:ascii="Times New Roman" w:hAnsi="Times New Roman" w:eastAsia="宋体"/>
                <w:color w:val="000000" w:themeColor="text1"/>
                <w:spacing w:val="19"/>
                <w:position w:val="-1"/>
                <w:szCs w:val="21"/>
                <w:lang w:eastAsia="en-US"/>
                <w14:textFill>
                  <w14:solidFill>
                    <w14:schemeClr w14:val="tx1"/>
                  </w14:solidFill>
                </w14:textFill>
              </w:rPr>
              <w:t xml:space="preserve"> </w:t>
            </w:r>
            <w:r>
              <w:rPr>
                <w:rFonts w:ascii="Times New Roman" w:hAnsi="Times New Roman" w:eastAsia="宋体"/>
                <w:color w:val="000000" w:themeColor="text1"/>
                <w:spacing w:val="19"/>
                <w:szCs w:val="21"/>
                <w:lang w:eastAsia="en-US"/>
                <w14:textFill>
                  <w14:solidFill>
                    <w14:schemeClr w14:val="tx1"/>
                  </w14:solidFill>
                </w14:textFill>
              </w:rPr>
              <w:t>：450</w:t>
            </w:r>
            <w:r>
              <w:rPr>
                <w:rFonts w:ascii="Times New Roman" w:hAnsi="Times New Roman" w:eastAsia="宋体"/>
                <w:color w:val="000000" w:themeColor="text1"/>
                <w:szCs w:val="21"/>
                <w:lang w:eastAsia="en-US"/>
                <w14:textFill>
                  <w14:solidFill>
                    <w14:schemeClr w14:val="tx1"/>
                  </w14:solidFill>
                </w14:textFill>
              </w:rPr>
              <w:t>mg</w:t>
            </w:r>
            <w:r>
              <w:rPr>
                <w:rFonts w:ascii="Times New Roman" w:hAnsi="Times New Roman" w:eastAsia="宋体"/>
                <w:color w:val="000000" w:themeColor="text1"/>
                <w:spacing w:val="19"/>
                <w:szCs w:val="21"/>
                <w:lang w:eastAsia="en-US"/>
                <w14:textFill>
                  <w14:solidFill>
                    <w14:schemeClr w14:val="tx1"/>
                  </w14:solidFill>
                </w14:textFill>
              </w:rPr>
              <w:t>/m</w:t>
            </w:r>
            <w:r>
              <w:rPr>
                <w:rFonts w:ascii="Times New Roman" w:hAnsi="Times New Roman" w:eastAsia="宋体"/>
                <w:color w:val="000000" w:themeColor="text1"/>
                <w:spacing w:val="19"/>
                <w:szCs w:val="21"/>
                <w:vertAlign w:val="superscript"/>
                <w:lang w:eastAsia="en-US"/>
                <w14:textFill>
                  <w14:solidFill>
                    <w14:schemeClr w14:val="tx1"/>
                  </w14:solidFill>
                </w14:textFill>
              </w:rPr>
              <w:t>3</w:t>
            </w:r>
            <w:r>
              <w:rPr>
                <w:rFonts w:ascii="Times New Roman" w:hAnsi="Times New Roman" w:eastAsia="宋体"/>
                <w:color w:val="000000" w:themeColor="text1"/>
                <w:spacing w:val="19"/>
                <w:szCs w:val="21"/>
                <w:lang w:eastAsia="en-US"/>
                <w14:textFill>
                  <w14:solidFill>
                    <w14:schemeClr w14:val="tx1"/>
                  </w14:solidFill>
                </w14:textFill>
              </w:rPr>
              <w:t>（大鼠吸入）</w:t>
            </w:r>
          </w:p>
        </w:tc>
      </w:tr>
      <w:tr w14:paraId="4076523A">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continue"/>
            <w:tcBorders>
              <w:tl2br w:val="nil"/>
              <w:tr2bl w:val="nil"/>
            </w:tcBorders>
            <w:textDirection w:val="tbRlV"/>
            <w:vAlign w:val="center"/>
          </w:tcPr>
          <w:p w14:paraId="31DB3CA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679" w:type="dxa"/>
            <w:tcBorders>
              <w:tl2br w:val="nil"/>
              <w:tr2bl w:val="nil"/>
            </w:tcBorders>
            <w:vAlign w:val="center"/>
          </w:tcPr>
          <w:p w14:paraId="42B30CF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2"/>
                <w:szCs w:val="21"/>
                <w:lang w:eastAsia="en-US"/>
                <w14:textFill>
                  <w14:solidFill>
                    <w14:schemeClr w14:val="tx1"/>
                  </w14:solidFill>
                </w14:textFill>
              </w:rPr>
              <w:t>健康危害</w:t>
            </w:r>
          </w:p>
        </w:tc>
        <w:tc>
          <w:tcPr>
            <w:tcW w:w="6250" w:type="dxa"/>
            <w:gridSpan w:val="5"/>
            <w:tcBorders>
              <w:tl2br w:val="nil"/>
              <w:tr2bl w:val="nil"/>
            </w:tcBorders>
            <w:vAlign w:val="center"/>
          </w:tcPr>
          <w:p w14:paraId="6A044274">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22"/>
                <w:szCs w:val="21"/>
                <w:lang w:eastAsia="zh-CN"/>
                <w14:textFill>
                  <w14:solidFill>
                    <w14:schemeClr w14:val="tx1"/>
                  </w14:solidFill>
                </w14:textFill>
              </w:rPr>
              <w:t>对眼睛</w:t>
            </w:r>
            <w:r>
              <w:rPr>
                <w:rFonts w:ascii="Times New Roman" w:hAnsi="Times New Roman" w:eastAsia="宋体"/>
                <w:color w:val="000000" w:themeColor="text1"/>
                <w:spacing w:val="-58"/>
                <w:szCs w:val="21"/>
                <w:lang w:eastAsia="zh-CN"/>
                <w14:textFill>
                  <w14:solidFill>
                    <w14:schemeClr w14:val="tx1"/>
                  </w14:solidFill>
                </w14:textFill>
              </w:rPr>
              <w:t xml:space="preserve"> </w:t>
            </w:r>
            <w:r>
              <w:rPr>
                <w:rFonts w:ascii="Times New Roman" w:hAnsi="Times New Roman" w:eastAsia="宋体"/>
                <w:color w:val="000000" w:themeColor="text1"/>
                <w:spacing w:val="22"/>
                <w:szCs w:val="21"/>
                <w:lang w:eastAsia="zh-CN"/>
                <w14:textFill>
                  <w14:solidFill>
                    <w14:schemeClr w14:val="tx1"/>
                  </w14:solidFill>
                </w14:textFill>
              </w:rPr>
              <w:t>、皮肤、粘膜和上呼吸道有强烈刺激作用</w:t>
            </w:r>
            <w:r>
              <w:rPr>
                <w:rFonts w:ascii="Times New Roman" w:hAnsi="Times New Roman" w:eastAsia="宋体"/>
                <w:color w:val="000000" w:themeColor="text1"/>
                <w:spacing w:val="-53"/>
                <w:szCs w:val="21"/>
                <w:lang w:eastAsia="zh-CN"/>
                <w14:textFill>
                  <w14:solidFill>
                    <w14:schemeClr w14:val="tx1"/>
                  </w14:solidFill>
                </w14:textFill>
              </w:rPr>
              <w:t xml:space="preserve"> </w:t>
            </w:r>
            <w:r>
              <w:rPr>
                <w:rFonts w:ascii="Times New Roman" w:hAnsi="Times New Roman" w:eastAsia="宋体"/>
                <w:color w:val="000000" w:themeColor="text1"/>
                <w:spacing w:val="22"/>
                <w:szCs w:val="21"/>
                <w:lang w:eastAsia="zh-CN"/>
                <w14:textFill>
                  <w14:solidFill>
                    <w14:schemeClr w14:val="tx1"/>
                  </w14:solidFill>
                </w14:textFill>
              </w:rPr>
              <w:t>。</w:t>
            </w:r>
            <w:r>
              <w:rPr>
                <w:rFonts w:ascii="Times New Roman" w:hAnsi="Times New Roman" w:eastAsia="宋体"/>
                <w:color w:val="000000" w:themeColor="text1"/>
                <w:spacing w:val="-56"/>
                <w:szCs w:val="21"/>
                <w:lang w:eastAsia="zh-CN"/>
                <w14:textFill>
                  <w14:solidFill>
                    <w14:schemeClr w14:val="tx1"/>
                  </w14:solidFill>
                </w14:textFill>
              </w:rPr>
              <w:t xml:space="preserve"> </w:t>
            </w:r>
            <w:r>
              <w:rPr>
                <w:rFonts w:ascii="Times New Roman" w:hAnsi="Times New Roman" w:eastAsia="宋体"/>
                <w:color w:val="000000" w:themeColor="text1"/>
                <w:spacing w:val="22"/>
                <w:szCs w:val="21"/>
                <w:lang w:eastAsia="zh-CN"/>
                <w14:textFill>
                  <w14:solidFill>
                    <w14:schemeClr w14:val="tx1"/>
                  </w14:solidFill>
                </w14:textFill>
              </w:rPr>
              <w:t>吸入后可引起</w:t>
            </w:r>
            <w:r>
              <w:rPr>
                <w:rFonts w:ascii="Times New Roman" w:hAnsi="Times New Roman" w:eastAsia="宋体"/>
                <w:color w:val="000000" w:themeColor="text1"/>
                <w:spacing w:val="21"/>
                <w:szCs w:val="21"/>
                <w:lang w:eastAsia="zh-CN"/>
                <w14:textFill>
                  <w14:solidFill>
                    <w14:schemeClr w14:val="tx1"/>
                  </w14:solidFill>
                </w14:textFill>
              </w:rPr>
              <w:t>喉、支气管的炎症</w:t>
            </w:r>
            <w:r>
              <w:rPr>
                <w:rFonts w:ascii="Times New Roman" w:hAnsi="Times New Roman" w:eastAsia="宋体"/>
                <w:color w:val="000000" w:themeColor="text1"/>
                <w:spacing w:val="-55"/>
                <w:szCs w:val="21"/>
                <w:lang w:eastAsia="zh-CN"/>
                <w14:textFill>
                  <w14:solidFill>
                    <w14:schemeClr w14:val="tx1"/>
                  </w14:solidFill>
                </w14:textFill>
              </w:rPr>
              <w:t xml:space="preserve"> </w:t>
            </w:r>
            <w:r>
              <w:rPr>
                <w:rFonts w:ascii="Times New Roman" w:hAnsi="Times New Roman" w:eastAsia="宋体"/>
                <w:color w:val="000000" w:themeColor="text1"/>
                <w:spacing w:val="21"/>
                <w:szCs w:val="21"/>
                <w:lang w:eastAsia="zh-CN"/>
                <w14:textFill>
                  <w14:solidFill>
                    <w14:schemeClr w14:val="tx1"/>
                  </w14:solidFill>
                </w14:textFill>
              </w:rPr>
              <w:t>、水肿</w:t>
            </w:r>
            <w:r>
              <w:rPr>
                <w:rFonts w:ascii="Times New Roman" w:hAnsi="Times New Roman" w:eastAsia="宋体"/>
                <w:color w:val="000000" w:themeColor="text1"/>
                <w:spacing w:val="-58"/>
                <w:szCs w:val="21"/>
                <w:lang w:eastAsia="zh-CN"/>
                <w14:textFill>
                  <w14:solidFill>
                    <w14:schemeClr w14:val="tx1"/>
                  </w14:solidFill>
                </w14:textFill>
              </w:rPr>
              <w:t xml:space="preserve"> </w:t>
            </w:r>
            <w:r>
              <w:rPr>
                <w:rFonts w:ascii="Times New Roman" w:hAnsi="Times New Roman" w:eastAsia="宋体"/>
                <w:color w:val="000000" w:themeColor="text1"/>
                <w:spacing w:val="21"/>
                <w:szCs w:val="21"/>
                <w:lang w:eastAsia="zh-CN"/>
                <w14:textFill>
                  <w14:solidFill>
                    <w14:schemeClr w14:val="tx1"/>
                  </w14:solidFill>
                </w14:textFill>
              </w:rPr>
              <w:t>、痉挛及化学性肺炎肺水肿</w:t>
            </w:r>
            <w:r>
              <w:rPr>
                <w:rFonts w:ascii="Times New Roman" w:hAnsi="Times New Roman" w:eastAsia="宋体"/>
                <w:color w:val="000000" w:themeColor="text1"/>
                <w:spacing w:val="-50"/>
                <w:szCs w:val="21"/>
                <w:lang w:eastAsia="zh-CN"/>
                <w14:textFill>
                  <w14:solidFill>
                    <w14:schemeClr w14:val="tx1"/>
                  </w14:solidFill>
                </w14:textFill>
              </w:rPr>
              <w:t xml:space="preserve"> </w:t>
            </w:r>
            <w:r>
              <w:rPr>
                <w:rFonts w:ascii="Times New Roman" w:hAnsi="Times New Roman" w:eastAsia="宋体"/>
                <w:color w:val="000000" w:themeColor="text1"/>
                <w:spacing w:val="21"/>
                <w:szCs w:val="21"/>
                <w:lang w:eastAsia="zh-CN"/>
                <w14:textFill>
                  <w14:solidFill>
                    <w14:schemeClr w14:val="tx1"/>
                  </w14:solidFill>
                </w14:textFill>
              </w:rPr>
              <w:t>。接触后可引起灼烧</w:t>
            </w:r>
            <w:r>
              <w:rPr>
                <w:rFonts w:ascii="Times New Roman" w:hAnsi="Times New Roman" w:eastAsia="宋体"/>
                <w:color w:val="000000" w:themeColor="text1"/>
                <w:spacing w:val="11"/>
                <w:szCs w:val="21"/>
                <w:lang w:eastAsia="zh-CN"/>
                <w14:textFill>
                  <w14:solidFill>
                    <w14:schemeClr w14:val="tx1"/>
                  </w14:solidFill>
                </w14:textFill>
              </w:rPr>
              <w:t>感</w:t>
            </w:r>
            <w:r>
              <w:rPr>
                <w:rFonts w:ascii="Times New Roman" w:hAnsi="Times New Roman" w:eastAsia="宋体"/>
                <w:color w:val="000000" w:themeColor="text1"/>
                <w:spacing w:val="-42"/>
                <w:szCs w:val="21"/>
                <w:lang w:eastAsia="zh-CN"/>
                <w14:textFill>
                  <w14:solidFill>
                    <w14:schemeClr w14:val="tx1"/>
                  </w14:solidFill>
                </w14:textFill>
              </w:rPr>
              <w:t xml:space="preserve"> </w:t>
            </w:r>
            <w:r>
              <w:rPr>
                <w:rFonts w:ascii="Times New Roman" w:hAnsi="Times New Roman" w:eastAsia="宋体"/>
                <w:color w:val="000000" w:themeColor="text1"/>
                <w:spacing w:val="11"/>
                <w:szCs w:val="21"/>
                <w:lang w:eastAsia="zh-CN"/>
                <w14:textFill>
                  <w14:solidFill>
                    <w14:schemeClr w14:val="tx1"/>
                  </w14:solidFill>
                </w14:textFill>
              </w:rPr>
              <w:t>、</w:t>
            </w:r>
            <w:r>
              <w:rPr>
                <w:rFonts w:ascii="Times New Roman" w:hAnsi="Times New Roman" w:eastAsia="宋体"/>
                <w:color w:val="000000" w:themeColor="text1"/>
                <w:spacing w:val="-55"/>
                <w:szCs w:val="21"/>
                <w:lang w:eastAsia="zh-CN"/>
                <w14:textFill>
                  <w14:solidFill>
                    <w14:schemeClr w14:val="tx1"/>
                  </w14:solidFill>
                </w14:textFill>
              </w:rPr>
              <w:t xml:space="preserve"> </w:t>
            </w:r>
            <w:r>
              <w:rPr>
                <w:rFonts w:ascii="Times New Roman" w:hAnsi="Times New Roman" w:eastAsia="宋体"/>
                <w:color w:val="000000" w:themeColor="text1"/>
                <w:spacing w:val="11"/>
                <w:szCs w:val="21"/>
                <w:lang w:eastAsia="zh-CN"/>
                <w14:textFill>
                  <w14:solidFill>
                    <w14:schemeClr w14:val="tx1"/>
                  </w14:solidFill>
                </w14:textFill>
              </w:rPr>
              <w:t>咳嗽</w:t>
            </w:r>
            <w:r>
              <w:rPr>
                <w:rFonts w:ascii="Times New Roman" w:hAnsi="Times New Roman" w:eastAsia="宋体"/>
                <w:color w:val="000000" w:themeColor="text1"/>
                <w:spacing w:val="-56"/>
                <w:szCs w:val="21"/>
                <w:lang w:eastAsia="zh-CN"/>
                <w14:textFill>
                  <w14:solidFill>
                    <w14:schemeClr w14:val="tx1"/>
                  </w14:solidFill>
                </w14:textFill>
              </w:rPr>
              <w:t xml:space="preserve"> </w:t>
            </w:r>
            <w:r>
              <w:rPr>
                <w:rFonts w:ascii="Times New Roman" w:hAnsi="Times New Roman" w:eastAsia="宋体"/>
                <w:color w:val="000000" w:themeColor="text1"/>
                <w:spacing w:val="11"/>
                <w:szCs w:val="21"/>
                <w:lang w:eastAsia="zh-CN"/>
                <w14:textFill>
                  <w14:solidFill>
                    <w14:schemeClr w14:val="tx1"/>
                  </w14:solidFill>
                </w14:textFill>
              </w:rPr>
              <w:t>、</w:t>
            </w:r>
            <w:r>
              <w:rPr>
                <w:rFonts w:ascii="Times New Roman" w:hAnsi="Times New Roman" w:eastAsia="宋体"/>
                <w:color w:val="000000" w:themeColor="text1"/>
                <w:spacing w:val="-55"/>
                <w:szCs w:val="21"/>
                <w:lang w:eastAsia="zh-CN"/>
                <w14:textFill>
                  <w14:solidFill>
                    <w14:schemeClr w14:val="tx1"/>
                  </w14:solidFill>
                </w14:textFill>
              </w:rPr>
              <w:t xml:space="preserve"> </w:t>
            </w:r>
            <w:r>
              <w:rPr>
                <w:rFonts w:ascii="Times New Roman" w:hAnsi="Times New Roman" w:eastAsia="宋体"/>
                <w:color w:val="000000" w:themeColor="text1"/>
                <w:spacing w:val="11"/>
                <w:szCs w:val="21"/>
                <w:lang w:eastAsia="zh-CN"/>
                <w14:textFill>
                  <w14:solidFill>
                    <w14:schemeClr w14:val="tx1"/>
                  </w14:solidFill>
                </w14:textFill>
              </w:rPr>
              <w:t>息</w:t>
            </w:r>
            <w:r>
              <w:rPr>
                <w:rFonts w:ascii="Times New Roman" w:hAnsi="Times New Roman" w:eastAsia="宋体"/>
                <w:color w:val="000000" w:themeColor="text1"/>
                <w:spacing w:val="-56"/>
                <w:szCs w:val="21"/>
                <w:lang w:eastAsia="zh-CN"/>
                <w14:textFill>
                  <w14:solidFill>
                    <w14:schemeClr w14:val="tx1"/>
                  </w14:solidFill>
                </w14:textFill>
              </w:rPr>
              <w:t xml:space="preserve"> </w:t>
            </w:r>
            <w:r>
              <w:rPr>
                <w:rFonts w:ascii="Times New Roman" w:hAnsi="Times New Roman" w:eastAsia="宋体"/>
                <w:color w:val="000000" w:themeColor="text1"/>
                <w:spacing w:val="11"/>
                <w:szCs w:val="21"/>
                <w:lang w:eastAsia="zh-CN"/>
                <w14:textFill>
                  <w14:solidFill>
                    <w14:schemeClr w14:val="tx1"/>
                  </w14:solidFill>
                </w14:textFill>
              </w:rPr>
              <w:t>、气短</w:t>
            </w:r>
            <w:r>
              <w:rPr>
                <w:rFonts w:ascii="Times New Roman" w:hAnsi="Times New Roman" w:eastAsia="宋体"/>
                <w:color w:val="000000" w:themeColor="text1"/>
                <w:spacing w:val="-59"/>
                <w:szCs w:val="21"/>
                <w:lang w:eastAsia="zh-CN"/>
                <w14:textFill>
                  <w14:solidFill>
                    <w14:schemeClr w14:val="tx1"/>
                  </w14:solidFill>
                </w14:textFill>
              </w:rPr>
              <w:t xml:space="preserve"> </w:t>
            </w:r>
            <w:r>
              <w:rPr>
                <w:rFonts w:ascii="Times New Roman" w:hAnsi="Times New Roman" w:eastAsia="宋体"/>
                <w:color w:val="000000" w:themeColor="text1"/>
                <w:spacing w:val="11"/>
                <w:szCs w:val="21"/>
                <w:lang w:eastAsia="zh-CN"/>
                <w14:textFill>
                  <w14:solidFill>
                    <w14:schemeClr w14:val="tx1"/>
                  </w14:solidFill>
                </w14:textFill>
              </w:rPr>
              <w:t>、头痛</w:t>
            </w:r>
            <w:r>
              <w:rPr>
                <w:rFonts w:ascii="Times New Roman" w:hAnsi="Times New Roman" w:eastAsia="宋体"/>
                <w:color w:val="000000" w:themeColor="text1"/>
                <w:spacing w:val="-55"/>
                <w:szCs w:val="21"/>
                <w:lang w:eastAsia="zh-CN"/>
                <w14:textFill>
                  <w14:solidFill>
                    <w14:schemeClr w14:val="tx1"/>
                  </w14:solidFill>
                </w14:textFill>
              </w:rPr>
              <w:t xml:space="preserve"> </w:t>
            </w:r>
            <w:r>
              <w:rPr>
                <w:rFonts w:ascii="Times New Roman" w:hAnsi="Times New Roman" w:eastAsia="宋体"/>
                <w:color w:val="000000" w:themeColor="text1"/>
                <w:spacing w:val="11"/>
                <w:szCs w:val="21"/>
                <w:lang w:eastAsia="zh-CN"/>
                <w14:textFill>
                  <w14:solidFill>
                    <w14:schemeClr w14:val="tx1"/>
                  </w14:solidFill>
                </w14:textFill>
              </w:rPr>
              <w:t>、恶心及呕吐。</w:t>
            </w:r>
          </w:p>
        </w:tc>
      </w:tr>
      <w:tr w14:paraId="58E0B801">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continue"/>
            <w:tcBorders>
              <w:tl2br w:val="nil"/>
              <w:tr2bl w:val="nil"/>
            </w:tcBorders>
            <w:textDirection w:val="tbRlV"/>
            <w:vAlign w:val="center"/>
          </w:tcPr>
          <w:p w14:paraId="163D5F1A">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679" w:type="dxa"/>
            <w:tcBorders>
              <w:tl2br w:val="nil"/>
              <w:tr2bl w:val="nil"/>
            </w:tcBorders>
            <w:vAlign w:val="center"/>
          </w:tcPr>
          <w:p w14:paraId="4B762EB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0"/>
                <w:szCs w:val="21"/>
                <w:lang w:eastAsia="en-US"/>
                <w14:textFill>
                  <w14:solidFill>
                    <w14:schemeClr w14:val="tx1"/>
                  </w14:solidFill>
                </w14:textFill>
              </w:rPr>
              <w:t>急救方法</w:t>
            </w:r>
          </w:p>
        </w:tc>
        <w:tc>
          <w:tcPr>
            <w:tcW w:w="6250" w:type="dxa"/>
            <w:gridSpan w:val="5"/>
            <w:tcBorders>
              <w:tl2br w:val="nil"/>
              <w:tr2bl w:val="nil"/>
            </w:tcBorders>
            <w:vAlign w:val="center"/>
          </w:tcPr>
          <w:p w14:paraId="0FEB7DF3">
            <w:pPr>
              <w:widowControl/>
              <w:autoSpaceDE/>
              <w:autoSpaceDN/>
              <w:jc w:val="center"/>
              <w:rPr>
                <w:rFonts w:ascii="Times New Roman" w:hAnsi="Times New Roman" w:eastAsia="宋体"/>
                <w:color w:val="000000" w:themeColor="text1"/>
                <w:spacing w:val="8"/>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皮肤接触：脱去污染衣物，用肥皂水及清水彻底冲洗。</w:t>
            </w:r>
          </w:p>
          <w:p w14:paraId="584B87BA">
            <w:pPr>
              <w:widowControl/>
              <w:autoSpaceDE/>
              <w:autoSpaceDN/>
              <w:jc w:val="center"/>
              <w:rPr>
                <w:rFonts w:ascii="Times New Roman" w:hAnsi="Times New Roman" w:eastAsia="宋体"/>
                <w:color w:val="000000" w:themeColor="text1"/>
                <w:spacing w:val="8"/>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眼睛接触：立即翻开上下眼脸，用流动清水冲洗15分钟，就医。</w:t>
            </w:r>
          </w:p>
          <w:p w14:paraId="64A2CA1A">
            <w:pPr>
              <w:widowControl/>
              <w:autoSpaceDE/>
              <w:autoSpaceDN/>
              <w:jc w:val="center"/>
              <w:rPr>
                <w:rFonts w:ascii="Times New Roman" w:hAnsi="Times New Roman" w:eastAsia="宋体"/>
                <w:color w:val="000000" w:themeColor="text1"/>
                <w:spacing w:val="8"/>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吸入：迅速脱离现场至空气新鲜处。呼吸困难时，给氧。呼吸停止时，立即进行人工呼吸。就医。</w:t>
            </w:r>
          </w:p>
          <w:p w14:paraId="543037F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食入：误服者给饮牛奶或蛋清。</w:t>
            </w:r>
            <w:r>
              <w:rPr>
                <w:rFonts w:ascii="Times New Roman" w:hAnsi="Times New Roman" w:eastAsia="宋体"/>
                <w:color w:val="000000" w:themeColor="text1"/>
                <w:spacing w:val="8"/>
                <w:szCs w:val="21"/>
                <w:lang w:eastAsia="en-US"/>
                <w14:textFill>
                  <w14:solidFill>
                    <w14:schemeClr w14:val="tx1"/>
                  </w14:solidFill>
                </w14:textFill>
              </w:rPr>
              <w:t>立即就医。</w:t>
            </w:r>
          </w:p>
        </w:tc>
      </w:tr>
      <w:tr w14:paraId="49361B18">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restart"/>
            <w:tcBorders>
              <w:tl2br w:val="nil"/>
              <w:tr2bl w:val="nil"/>
            </w:tcBorders>
            <w:textDirection w:val="tbRlV"/>
            <w:vAlign w:val="center"/>
          </w:tcPr>
          <w:p w14:paraId="3FFFE91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燃</w:t>
            </w:r>
            <w:r>
              <w:rPr>
                <w:rFonts w:ascii="Times New Roman" w:hAnsi="Times New Roman" w:eastAsia="宋体"/>
                <w:color w:val="000000" w:themeColor="text1"/>
                <w:spacing w:val="-34"/>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烧</w:t>
            </w:r>
            <w:r>
              <w:rPr>
                <w:rFonts w:ascii="Times New Roman" w:hAnsi="Times New Roman" w:eastAsia="宋体"/>
                <w:color w:val="000000" w:themeColor="text1"/>
                <w:spacing w:val="-35"/>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爆</w:t>
            </w:r>
            <w:r>
              <w:rPr>
                <w:rFonts w:ascii="Times New Roman" w:hAnsi="Times New Roman" w:eastAsia="宋体"/>
                <w:color w:val="000000" w:themeColor="text1"/>
                <w:spacing w:val="-37"/>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炸</w:t>
            </w:r>
            <w:r>
              <w:rPr>
                <w:rFonts w:ascii="Times New Roman" w:hAnsi="Times New Roman" w:eastAsia="宋体"/>
                <w:color w:val="000000" w:themeColor="text1"/>
                <w:spacing w:val="-36"/>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危</w:t>
            </w:r>
            <w:r>
              <w:rPr>
                <w:rFonts w:ascii="Times New Roman" w:hAnsi="Times New Roman" w:eastAsia="宋体"/>
                <w:color w:val="000000" w:themeColor="text1"/>
                <w:spacing w:val="-37"/>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险</w:t>
            </w:r>
            <w:r>
              <w:rPr>
                <w:rFonts w:ascii="Times New Roman" w:hAnsi="Times New Roman" w:eastAsia="宋体"/>
                <w:color w:val="000000" w:themeColor="text1"/>
                <w:spacing w:val="-35"/>
                <w:szCs w:val="21"/>
                <w:lang w:eastAsia="en-US"/>
                <w14:textFill>
                  <w14:solidFill>
                    <w14:schemeClr w14:val="tx1"/>
                  </w14:solidFill>
                </w14:textFill>
              </w:rPr>
              <w:t xml:space="preserve"> </w:t>
            </w:r>
            <w:r>
              <w:rPr>
                <w:rFonts w:ascii="Times New Roman" w:hAnsi="Times New Roman" w:eastAsia="宋体"/>
                <w:color w:val="000000" w:themeColor="text1"/>
                <w:spacing w:val="8"/>
                <w:szCs w:val="21"/>
                <w:lang w:eastAsia="en-US"/>
                <w14:textFill>
                  <w14:solidFill>
                    <w14:schemeClr w14:val="tx1"/>
                  </w14:solidFill>
                </w14:textFill>
              </w:rPr>
              <w:t>性</w:t>
            </w:r>
          </w:p>
        </w:tc>
        <w:tc>
          <w:tcPr>
            <w:tcW w:w="1679" w:type="dxa"/>
            <w:tcBorders>
              <w:tl2br w:val="nil"/>
              <w:tr2bl w:val="nil"/>
            </w:tcBorders>
            <w:vAlign w:val="center"/>
          </w:tcPr>
          <w:p w14:paraId="579CD77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0"/>
                <w:szCs w:val="21"/>
                <w:lang w:eastAsia="en-US"/>
                <w14:textFill>
                  <w14:solidFill>
                    <w14:schemeClr w14:val="tx1"/>
                  </w14:solidFill>
                </w14:textFill>
              </w:rPr>
              <w:t>燃烧性</w:t>
            </w:r>
          </w:p>
        </w:tc>
        <w:tc>
          <w:tcPr>
            <w:tcW w:w="1458" w:type="dxa"/>
            <w:gridSpan w:val="2"/>
            <w:tcBorders>
              <w:tl2br w:val="nil"/>
              <w:tr2bl w:val="nil"/>
            </w:tcBorders>
            <w:vAlign w:val="center"/>
          </w:tcPr>
          <w:p w14:paraId="3702C31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易燃</w:t>
            </w:r>
          </w:p>
        </w:tc>
        <w:tc>
          <w:tcPr>
            <w:tcW w:w="1573" w:type="dxa"/>
            <w:tcBorders>
              <w:tl2br w:val="nil"/>
              <w:tr2bl w:val="nil"/>
            </w:tcBorders>
            <w:vAlign w:val="center"/>
          </w:tcPr>
          <w:p w14:paraId="0003923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1"/>
                <w:szCs w:val="21"/>
                <w:lang w:eastAsia="en-US"/>
                <w14:textFill>
                  <w14:solidFill>
                    <w14:schemeClr w14:val="tx1"/>
                  </w14:solidFill>
                </w14:textFill>
              </w:rPr>
              <w:t>分解产物</w:t>
            </w:r>
          </w:p>
        </w:tc>
        <w:tc>
          <w:tcPr>
            <w:tcW w:w="3219" w:type="dxa"/>
            <w:gridSpan w:val="2"/>
            <w:tcBorders>
              <w:tl2br w:val="nil"/>
              <w:tr2bl w:val="nil"/>
            </w:tcBorders>
            <w:vAlign w:val="center"/>
          </w:tcPr>
          <w:p w14:paraId="240E072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1"/>
                <w:szCs w:val="21"/>
                <w:lang w:eastAsia="en-US"/>
                <w14:textFill>
                  <w14:solidFill>
                    <w14:schemeClr w14:val="tx1"/>
                  </w14:solidFill>
                </w14:textFill>
              </w:rPr>
              <w:t>一氧化碳</w:t>
            </w:r>
            <w:r>
              <w:rPr>
                <w:rFonts w:ascii="Times New Roman" w:hAnsi="Times New Roman" w:eastAsia="宋体"/>
                <w:color w:val="000000" w:themeColor="text1"/>
                <w:spacing w:val="-52"/>
                <w:szCs w:val="21"/>
                <w:lang w:eastAsia="en-US"/>
                <w14:textFill>
                  <w14:solidFill>
                    <w14:schemeClr w14:val="tx1"/>
                  </w14:solidFill>
                </w14:textFill>
              </w:rPr>
              <w:t xml:space="preserve"> </w:t>
            </w:r>
            <w:r>
              <w:rPr>
                <w:rFonts w:ascii="Times New Roman" w:hAnsi="Times New Roman" w:eastAsia="宋体"/>
                <w:color w:val="000000" w:themeColor="text1"/>
                <w:spacing w:val="21"/>
                <w:szCs w:val="21"/>
                <w:lang w:eastAsia="en-US"/>
                <w14:textFill>
                  <w14:solidFill>
                    <w14:schemeClr w14:val="tx1"/>
                  </w14:solidFill>
                </w14:textFill>
              </w:rPr>
              <w:t>、二氧化碳</w:t>
            </w:r>
          </w:p>
        </w:tc>
      </w:tr>
      <w:tr w14:paraId="37777F77">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continue"/>
            <w:tcBorders>
              <w:tl2br w:val="nil"/>
              <w:tr2bl w:val="nil"/>
            </w:tcBorders>
            <w:textDirection w:val="tbRlV"/>
            <w:vAlign w:val="center"/>
          </w:tcPr>
          <w:p w14:paraId="3BBA55E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679" w:type="dxa"/>
            <w:tcBorders>
              <w:tl2br w:val="nil"/>
              <w:tr2bl w:val="nil"/>
            </w:tcBorders>
            <w:vAlign w:val="center"/>
          </w:tcPr>
          <w:p w14:paraId="767E498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1"/>
                <w:szCs w:val="21"/>
                <w:lang w:eastAsia="en-US"/>
                <w14:textFill>
                  <w14:solidFill>
                    <w14:schemeClr w14:val="tx1"/>
                  </w14:solidFill>
                </w14:textFill>
              </w:rPr>
              <w:t>危险特性</w:t>
            </w:r>
          </w:p>
        </w:tc>
        <w:tc>
          <w:tcPr>
            <w:tcW w:w="6250" w:type="dxa"/>
            <w:gridSpan w:val="5"/>
            <w:tcBorders>
              <w:tl2br w:val="nil"/>
              <w:tr2bl w:val="nil"/>
            </w:tcBorders>
            <w:vAlign w:val="center"/>
          </w:tcPr>
          <w:p w14:paraId="65D8566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易燃，加热至100℃时即猛烈分解，遇火或受热、受震都可</w:t>
            </w:r>
            <w:r>
              <w:rPr>
                <w:rFonts w:ascii="Times New Roman" w:hAnsi="Times New Roman" w:eastAsia="宋体"/>
                <w:color w:val="000000" w:themeColor="text1"/>
                <w:spacing w:val="7"/>
                <w:szCs w:val="21"/>
                <w:lang w:eastAsia="zh-CN"/>
                <w14:textFill>
                  <w14:solidFill>
                    <w14:schemeClr w14:val="tx1"/>
                  </w14:solidFill>
                </w14:textFill>
              </w:rPr>
              <w:t>起。与还原剂、</w:t>
            </w:r>
            <w:r>
              <w:rPr>
                <w:rFonts w:ascii="Times New Roman" w:hAnsi="Times New Roman" w:eastAsia="宋体"/>
                <w:color w:val="000000" w:themeColor="text1"/>
                <w:spacing w:val="8"/>
                <w:szCs w:val="21"/>
                <w:lang w:eastAsia="zh-CN"/>
                <w14:textFill>
                  <w14:solidFill>
                    <w14:schemeClr w14:val="tx1"/>
                  </w14:solidFill>
                </w14:textFill>
              </w:rPr>
              <w:t>促进剂、有机物、可燃物等接触烈反应，有燃烧爆炸的危险</w:t>
            </w:r>
            <w:r>
              <w:rPr>
                <w:rFonts w:ascii="Times New Roman" w:hAnsi="Times New Roman" w:eastAsia="宋体"/>
                <w:color w:val="000000" w:themeColor="text1"/>
                <w:spacing w:val="7"/>
                <w:szCs w:val="21"/>
                <w:lang w:eastAsia="zh-CN"/>
                <w14:textFill>
                  <w14:solidFill>
                    <w14:schemeClr w14:val="tx1"/>
                  </w14:solidFill>
                </w14:textFill>
              </w:rPr>
              <w:t>。</w:t>
            </w:r>
            <w:r>
              <w:rPr>
                <w:rFonts w:ascii="Times New Roman" w:hAnsi="Times New Roman" w:eastAsia="宋体"/>
                <w:color w:val="000000" w:themeColor="text1"/>
                <w:spacing w:val="7"/>
                <w:szCs w:val="21"/>
                <w:lang w:eastAsia="en-US"/>
                <w14:textFill>
                  <w14:solidFill>
                    <w14:schemeClr w14:val="tx1"/>
                  </w14:solidFill>
                </w14:textFill>
              </w:rPr>
              <w:t>有强腐蚀性。</w:t>
            </w:r>
          </w:p>
        </w:tc>
      </w:tr>
      <w:tr w14:paraId="148D1DD5">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continue"/>
            <w:tcBorders>
              <w:tl2br w:val="nil"/>
              <w:tr2bl w:val="nil"/>
            </w:tcBorders>
            <w:textDirection w:val="tbRlV"/>
            <w:vAlign w:val="center"/>
          </w:tcPr>
          <w:p w14:paraId="7E61CE1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679" w:type="dxa"/>
            <w:tcBorders>
              <w:tl2br w:val="nil"/>
              <w:tr2bl w:val="nil"/>
            </w:tcBorders>
            <w:vAlign w:val="center"/>
          </w:tcPr>
          <w:p w14:paraId="092C751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储运条件与泄</w:t>
            </w:r>
            <w:r>
              <w:rPr>
                <w:rFonts w:ascii="Times New Roman" w:hAnsi="Times New Roman" w:eastAsia="宋体"/>
                <w:color w:val="000000" w:themeColor="text1"/>
                <w:spacing w:val="6"/>
                <w:szCs w:val="21"/>
                <w:lang w:eastAsia="en-US"/>
                <w14:textFill>
                  <w14:solidFill>
                    <w14:schemeClr w14:val="tx1"/>
                  </w14:solidFill>
                </w14:textFill>
              </w:rPr>
              <w:t>漏处理</w:t>
            </w:r>
          </w:p>
        </w:tc>
        <w:tc>
          <w:tcPr>
            <w:tcW w:w="6250" w:type="dxa"/>
            <w:gridSpan w:val="5"/>
            <w:tcBorders>
              <w:tl2br w:val="nil"/>
              <w:tr2bl w:val="nil"/>
            </w:tcBorders>
            <w:vAlign w:val="center"/>
          </w:tcPr>
          <w:p w14:paraId="0993DAE1">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12"/>
                <w:szCs w:val="21"/>
                <w:lang w:eastAsia="zh-CN"/>
                <w14:textFill>
                  <w14:solidFill>
                    <w14:schemeClr w14:val="tx1"/>
                  </w14:solidFill>
                </w14:textFill>
              </w:rPr>
              <w:t>储运条件：储存于有冷藏、通风良好、散热良好的不燃结构的仓间内。严</w:t>
            </w:r>
            <w:r>
              <w:rPr>
                <w:rFonts w:ascii="Times New Roman" w:hAnsi="Times New Roman" w:eastAsia="宋体"/>
                <w:color w:val="000000" w:themeColor="text1"/>
                <w:spacing w:val="4"/>
                <w:szCs w:val="21"/>
                <w:lang w:eastAsia="zh-CN"/>
                <w14:textFill>
                  <w14:solidFill>
                    <w14:schemeClr w14:val="tx1"/>
                  </w14:solidFill>
                </w14:textFill>
              </w:rPr>
              <w:t xml:space="preserve"> </w:t>
            </w:r>
            <w:r>
              <w:rPr>
                <w:rFonts w:ascii="Times New Roman" w:hAnsi="Times New Roman" w:eastAsia="宋体"/>
                <w:color w:val="000000" w:themeColor="text1"/>
                <w:spacing w:val="12"/>
                <w:szCs w:val="21"/>
                <w:lang w:eastAsia="zh-CN"/>
                <w14:textFill>
                  <w14:solidFill>
                    <w14:schemeClr w14:val="tx1"/>
                  </w14:solidFill>
                </w14:textFill>
              </w:rPr>
              <w:t>禁火种。应与促进剂、还原剂易燃或可燃物、碱类、酸类分开存放。搬运</w:t>
            </w:r>
            <w:r>
              <w:rPr>
                <w:rFonts w:ascii="Times New Roman" w:hAnsi="Times New Roman" w:eastAsia="宋体"/>
                <w:color w:val="000000" w:themeColor="text1"/>
                <w:spacing w:val="3"/>
                <w:szCs w:val="21"/>
                <w:lang w:eastAsia="zh-CN"/>
                <w14:textFill>
                  <w14:solidFill>
                    <w14:schemeClr w14:val="tx1"/>
                  </w14:solidFill>
                </w14:textFill>
              </w:rPr>
              <w:t xml:space="preserve"> </w:t>
            </w:r>
            <w:r>
              <w:rPr>
                <w:rFonts w:ascii="Times New Roman" w:hAnsi="Times New Roman" w:eastAsia="宋体"/>
                <w:color w:val="000000" w:themeColor="text1"/>
                <w:spacing w:val="9"/>
                <w:szCs w:val="21"/>
                <w:lang w:eastAsia="zh-CN"/>
                <w14:textFill>
                  <w14:solidFill>
                    <w14:schemeClr w14:val="tx1"/>
                  </w14:solidFill>
                </w14:textFill>
              </w:rPr>
              <w:t>时应轻装轻卸，防止包装及容器损坏。禁止撞击和震荡。</w:t>
            </w:r>
          </w:p>
          <w:p w14:paraId="0840AB14">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7"/>
                <w:szCs w:val="21"/>
                <w:lang w:eastAsia="zh-CN"/>
                <w14:textFill>
                  <w14:solidFill>
                    <w14:schemeClr w14:val="tx1"/>
                  </w14:solidFill>
                </w14:textFill>
              </w:rPr>
              <w:t>泄漏处理：迅速撤离。</w:t>
            </w:r>
          </w:p>
          <w:p w14:paraId="33EFE0BA">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12"/>
                <w:szCs w:val="21"/>
                <w:lang w:eastAsia="zh-CN"/>
                <w14:textFill>
                  <w14:solidFill>
                    <w14:schemeClr w14:val="tx1"/>
                  </w14:solidFill>
                </w14:textFill>
              </w:rPr>
              <w:t>泄漏污染区人员至安全区，并进行隔离，严格限制出入。建议应急处理人</w:t>
            </w:r>
            <w:r>
              <w:rPr>
                <w:rFonts w:ascii="Times New Roman" w:hAnsi="Times New Roman" w:eastAsia="宋体"/>
                <w:color w:val="000000" w:themeColor="text1"/>
                <w:szCs w:val="21"/>
                <w:lang w:eastAsia="zh-CN"/>
                <w14:textFill>
                  <w14:solidFill>
                    <w14:schemeClr w14:val="tx1"/>
                  </w14:solidFill>
                </w14:textFill>
              </w:rPr>
              <w:t xml:space="preserve"> </w:t>
            </w:r>
            <w:r>
              <w:rPr>
                <w:rFonts w:ascii="Times New Roman" w:hAnsi="Times New Roman" w:eastAsia="宋体"/>
                <w:color w:val="000000" w:themeColor="text1"/>
                <w:spacing w:val="12"/>
                <w:szCs w:val="21"/>
                <w:lang w:eastAsia="zh-CN"/>
                <w14:textFill>
                  <w14:solidFill>
                    <w14:schemeClr w14:val="tx1"/>
                  </w14:solidFill>
                </w14:textFill>
              </w:rPr>
              <w:t>员载自给正压式呼吸器，穿防酸碱工作服。不要直接接触泄漏物。尽可能</w:t>
            </w:r>
            <w:r>
              <w:rPr>
                <w:rFonts w:ascii="Times New Roman" w:hAnsi="Times New Roman" w:eastAsia="宋体"/>
                <w:color w:val="000000" w:themeColor="text1"/>
                <w:spacing w:val="4"/>
                <w:szCs w:val="21"/>
                <w:lang w:eastAsia="zh-CN"/>
                <w14:textFill>
                  <w14:solidFill>
                    <w14:schemeClr w14:val="tx1"/>
                  </w14:solidFill>
                </w14:textFill>
              </w:rPr>
              <w:t xml:space="preserve"> </w:t>
            </w:r>
            <w:r>
              <w:rPr>
                <w:rFonts w:ascii="Times New Roman" w:hAnsi="Times New Roman" w:eastAsia="宋体"/>
                <w:color w:val="000000" w:themeColor="text1"/>
                <w:spacing w:val="8"/>
                <w:szCs w:val="21"/>
                <w:lang w:eastAsia="zh-CN"/>
                <w14:textFill>
                  <w14:solidFill>
                    <w14:schemeClr w14:val="tx1"/>
                  </w14:solidFill>
                </w14:textFill>
              </w:rPr>
              <w:t>切断泄漏源，防止进入下水道、排洪沟等限制性空间。小量泄漏</w:t>
            </w:r>
            <w:r>
              <w:rPr>
                <w:rFonts w:ascii="Times New Roman" w:hAnsi="Times New Roman" w:eastAsia="宋体"/>
                <w:color w:val="000000" w:themeColor="text1"/>
                <w:spacing w:val="7"/>
                <w:szCs w:val="21"/>
                <w:lang w:eastAsia="zh-CN"/>
                <w14:textFill>
                  <w14:solidFill>
                    <w14:schemeClr w14:val="tx1"/>
                  </w14:solidFill>
                </w14:textFill>
              </w:rPr>
              <w:t>：用惰性、</w:t>
            </w:r>
            <w:r>
              <w:rPr>
                <w:rFonts w:ascii="Times New Roman" w:hAnsi="Times New Roman" w:eastAsia="宋体"/>
                <w:color w:val="000000" w:themeColor="text1"/>
                <w:szCs w:val="21"/>
                <w:lang w:eastAsia="zh-CN"/>
                <w14:textFill>
                  <w14:solidFill>
                    <w14:schemeClr w14:val="tx1"/>
                  </w14:solidFill>
                </w14:textFill>
              </w:rPr>
              <w:t xml:space="preserve"> </w:t>
            </w:r>
            <w:r>
              <w:rPr>
                <w:rFonts w:ascii="Times New Roman" w:hAnsi="Times New Roman" w:eastAsia="宋体"/>
                <w:color w:val="000000" w:themeColor="text1"/>
                <w:spacing w:val="12"/>
                <w:szCs w:val="21"/>
                <w:lang w:eastAsia="zh-CN"/>
                <w14:textFill>
                  <w14:solidFill>
                    <w14:schemeClr w14:val="tx1"/>
                  </w14:solidFill>
                </w14:textFill>
              </w:rPr>
              <w:t>潮湿的不燃材料混合吸收。收入金厘容器内。也可以用大量水冲洗，洗液</w:t>
            </w:r>
            <w:r>
              <w:rPr>
                <w:rFonts w:ascii="Times New Roman" w:hAnsi="Times New Roman" w:eastAsia="宋体"/>
                <w:color w:val="000000" w:themeColor="text1"/>
                <w:spacing w:val="4"/>
                <w:szCs w:val="21"/>
                <w:lang w:eastAsia="zh-CN"/>
                <w14:textFill>
                  <w14:solidFill>
                    <w14:schemeClr w14:val="tx1"/>
                  </w14:solidFill>
                </w14:textFill>
              </w:rPr>
              <w:t xml:space="preserve"> </w:t>
            </w:r>
            <w:r>
              <w:rPr>
                <w:rFonts w:ascii="Times New Roman" w:hAnsi="Times New Roman" w:eastAsia="宋体"/>
                <w:color w:val="000000" w:themeColor="text1"/>
                <w:spacing w:val="10"/>
                <w:szCs w:val="21"/>
                <w:lang w:eastAsia="zh-CN"/>
                <w14:textFill>
                  <w14:solidFill>
                    <w14:schemeClr w14:val="tx1"/>
                  </w14:solidFill>
                </w14:textFill>
              </w:rPr>
              <w:t>稀释后放入废水系统。大量泄漏：构筑国堤或挖坑收容；用泡沫覆盖，降低</w:t>
            </w:r>
            <w:r>
              <w:rPr>
                <w:rFonts w:ascii="Times New Roman" w:hAnsi="Times New Roman" w:eastAsia="宋体"/>
                <w:color w:val="000000" w:themeColor="text1"/>
                <w:spacing w:val="3"/>
                <w:szCs w:val="21"/>
                <w:lang w:eastAsia="zh-CN"/>
                <w14:textFill>
                  <w14:solidFill>
                    <w14:schemeClr w14:val="tx1"/>
                  </w14:solidFill>
                </w14:textFill>
              </w:rPr>
              <w:t xml:space="preserve"> </w:t>
            </w:r>
            <w:r>
              <w:rPr>
                <w:rFonts w:ascii="Times New Roman" w:hAnsi="Times New Roman" w:eastAsia="宋体"/>
                <w:color w:val="000000" w:themeColor="text1"/>
                <w:spacing w:val="12"/>
                <w:szCs w:val="21"/>
                <w:lang w:eastAsia="zh-CN"/>
                <w14:textFill>
                  <w14:solidFill>
                    <w14:schemeClr w14:val="tx1"/>
                  </w14:solidFill>
                </w14:textFill>
              </w:rPr>
              <w:t>蒸气灾害。用防爆泵转移至槽车或专用收集器内，收集回收或运至废物处</w:t>
            </w:r>
            <w:r>
              <w:rPr>
                <w:rFonts w:ascii="Times New Roman" w:hAnsi="Times New Roman" w:eastAsia="宋体"/>
                <w:color w:val="000000" w:themeColor="text1"/>
                <w:spacing w:val="6"/>
                <w:szCs w:val="21"/>
                <w:lang w:eastAsia="zh-CN"/>
                <w14:textFill>
                  <w14:solidFill>
                    <w14:schemeClr w14:val="tx1"/>
                  </w14:solidFill>
                </w14:textFill>
              </w:rPr>
              <w:t>理场所处置。</w:t>
            </w:r>
          </w:p>
        </w:tc>
      </w:tr>
      <w:tr w14:paraId="6D70EF30">
        <w:tblPrEx>
          <w:tblBorders>
            <w:top w:val="single" w:color="000000" w:sz="12" w:space="0"/>
            <w:left w:val="none" w:color="auto" w:sz="0" w:space="0"/>
            <w:bottom w:val="single" w:color="000000" w:sz="12" w:space="0"/>
            <w:right w:val="none" w:color="auto" w:sz="0" w:space="0"/>
            <w:insideH w:val="single" w:color="000000" w:sz="4" w:space="0"/>
            <w:insideV w:val="single" w:color="000000" w:sz="2" w:space="0"/>
          </w:tblBorders>
          <w:tblCellMar>
            <w:top w:w="0" w:type="dxa"/>
            <w:left w:w="0" w:type="dxa"/>
            <w:bottom w:w="0" w:type="dxa"/>
            <w:right w:w="0" w:type="dxa"/>
          </w:tblCellMar>
        </w:tblPrEx>
        <w:trPr>
          <w:cantSplit/>
          <w:trHeight w:val="340" w:hRule="atLeast"/>
        </w:trPr>
        <w:tc>
          <w:tcPr>
            <w:tcW w:w="476" w:type="dxa"/>
            <w:vMerge w:val="continue"/>
            <w:tcBorders>
              <w:tl2br w:val="nil"/>
              <w:tr2bl w:val="nil"/>
            </w:tcBorders>
            <w:textDirection w:val="tbRlV"/>
            <w:vAlign w:val="center"/>
          </w:tcPr>
          <w:p w14:paraId="04BE3B31">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679" w:type="dxa"/>
            <w:tcBorders>
              <w:tl2br w:val="nil"/>
              <w:tr2bl w:val="nil"/>
            </w:tcBorders>
            <w:vAlign w:val="center"/>
          </w:tcPr>
          <w:p w14:paraId="10F16CD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灭火方法</w:t>
            </w:r>
          </w:p>
        </w:tc>
        <w:tc>
          <w:tcPr>
            <w:tcW w:w="6250" w:type="dxa"/>
            <w:gridSpan w:val="5"/>
            <w:tcBorders>
              <w:tl2br w:val="nil"/>
              <w:tr2bl w:val="nil"/>
            </w:tcBorders>
            <w:vAlign w:val="center"/>
          </w:tcPr>
          <w:p w14:paraId="18EA3E9E">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12"/>
                <w:szCs w:val="21"/>
                <w:lang w:eastAsia="zh-CN"/>
                <w14:textFill>
                  <w14:solidFill>
                    <w14:schemeClr w14:val="tx1"/>
                  </w14:solidFill>
                </w14:textFill>
              </w:rPr>
              <w:t>消防人员须在有防爆掩蔽处操作。灭火剂：雾状水、二氧化碳、砂土。遇</w:t>
            </w:r>
            <w:r>
              <w:rPr>
                <w:rFonts w:ascii="Times New Roman" w:hAnsi="Times New Roman" w:eastAsia="宋体"/>
                <w:color w:val="000000" w:themeColor="text1"/>
                <w:szCs w:val="21"/>
                <w:lang w:eastAsia="zh-CN"/>
                <w14:textFill>
                  <w14:solidFill>
                    <w14:schemeClr w14:val="tx1"/>
                  </w14:solidFill>
                </w14:textFill>
              </w:rPr>
              <w:t xml:space="preserve"> </w:t>
            </w:r>
            <w:r>
              <w:rPr>
                <w:rFonts w:ascii="Times New Roman" w:hAnsi="Times New Roman" w:eastAsia="宋体"/>
                <w:color w:val="000000" w:themeColor="text1"/>
                <w:spacing w:val="9"/>
                <w:szCs w:val="21"/>
                <w:lang w:eastAsia="zh-CN"/>
                <w14:textFill>
                  <w14:solidFill>
                    <w14:schemeClr w14:val="tx1"/>
                  </w14:solidFill>
                </w14:textFill>
              </w:rPr>
              <w:t>大火切勿轻易接近。在物料附近失火须用水保持容器冷却。</w:t>
            </w:r>
          </w:p>
        </w:tc>
      </w:tr>
    </w:tbl>
    <w:p w14:paraId="209502B2">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表6.4-2 柴油的安全特性表</w:t>
      </w:r>
    </w:p>
    <w:tbl>
      <w:tblPr>
        <w:tblStyle w:val="88"/>
        <w:tblW w:w="5065"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804"/>
        <w:gridCol w:w="7587"/>
      </w:tblGrid>
      <w:tr w14:paraId="4C51853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0F951CB1">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标识</w:t>
            </w:r>
          </w:p>
        </w:tc>
        <w:tc>
          <w:tcPr>
            <w:tcW w:w="4520" w:type="pct"/>
            <w:tcBorders>
              <w:right w:val="nil"/>
            </w:tcBorders>
            <w:vAlign w:val="center"/>
          </w:tcPr>
          <w:p w14:paraId="667A645A">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中文名称：柴油；英文名称：Dieseloil；Dieselfuel；</w:t>
            </w:r>
          </w:p>
          <w:p w14:paraId="0068B76D">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CASNO：68334-30-5；相对分子质量：224</w:t>
            </w:r>
          </w:p>
        </w:tc>
      </w:tr>
      <w:tr w14:paraId="4BD5E70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6E6FBCA2">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理化性质</w:t>
            </w:r>
          </w:p>
        </w:tc>
        <w:tc>
          <w:tcPr>
            <w:tcW w:w="4520" w:type="pct"/>
            <w:tcBorders>
              <w:right w:val="nil"/>
            </w:tcBorders>
            <w:vAlign w:val="center"/>
          </w:tcPr>
          <w:p w14:paraId="4FA4898A">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外观与性状：稍有粘性的棕色液体。</w:t>
            </w:r>
          </w:p>
          <w:p w14:paraId="763D422E">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主要用途：用作柴油机的燃料。</w:t>
            </w:r>
          </w:p>
          <w:p w14:paraId="2720D0C1">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熔点（℃）：-18；相对密度（水=1）：0.87-0.9；沸点（℃）：282-338；</w:t>
            </w:r>
          </w:p>
          <w:p w14:paraId="30F54146">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溶解性：不溶于水，能与多种有机溶剂相混溶。</w:t>
            </w:r>
          </w:p>
        </w:tc>
      </w:tr>
      <w:tr w14:paraId="4FB9700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680C03A0">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燃烧爆炸危险性</w:t>
            </w:r>
          </w:p>
        </w:tc>
        <w:tc>
          <w:tcPr>
            <w:tcW w:w="4520" w:type="pct"/>
            <w:tcBorders>
              <w:right w:val="nil"/>
            </w:tcBorders>
            <w:vAlign w:val="center"/>
          </w:tcPr>
          <w:p w14:paraId="2FF41167">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闪点（℃）：55；爆炸极限（v%）：0.7~5；</w:t>
            </w:r>
          </w:p>
          <w:p w14:paraId="414C750F">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燃爆危险：本品易燃，具刺激性。</w:t>
            </w:r>
          </w:p>
          <w:p w14:paraId="2D3395B8">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危险特性：遇明火、高热或与氧化剂接触，有引起燃烧爆炸的危险。若遇高热，容器内压增大，</w:t>
            </w:r>
          </w:p>
          <w:p w14:paraId="2F038272">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有开裂和爆炸的危险。</w:t>
            </w:r>
          </w:p>
          <w:p w14:paraId="34B017A5">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燃烧（分解）产物：一氧化碳、二氧化碳。</w:t>
            </w:r>
          </w:p>
          <w:p w14:paraId="6287F2AD">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禁配物：强氧化剂、卤素。</w:t>
            </w:r>
          </w:p>
          <w:p w14:paraId="1475B99B">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灭火方法：消防人员须佩戴防毒面具、穿全身消防服，在上风向灭火。尽可能将容器从火场移至空旷处。喷水保持火场容器冷却，直至灭火结束。处在火场中的容器若已变色或从安全泄压装置中产生声音，必须马上撤离。</w:t>
            </w:r>
          </w:p>
          <w:p w14:paraId="035E3239">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灭火剂：雾状水、泡沫、干粉、二氧化碳、砂土。</w:t>
            </w:r>
          </w:p>
        </w:tc>
      </w:tr>
      <w:tr w14:paraId="0CF59BD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180C772B">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操作与储存</w:t>
            </w:r>
          </w:p>
        </w:tc>
        <w:tc>
          <w:tcPr>
            <w:tcW w:w="4520" w:type="pct"/>
            <w:tcBorders>
              <w:right w:val="nil"/>
            </w:tcBorders>
            <w:vAlign w:val="center"/>
          </w:tcPr>
          <w:p w14:paraId="31447B4C">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操作注意事项：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2B3AE1CF">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储存注意事项：储存于阴凉、通风的库房。远离火种、热源。应与氧化剂、卤素分开存放，切忌混储。采用防爆型照明、通风设施。禁止使用易产生火花的机械设备和工具。储区应备有泄漏应急处理设备和合适的收容材料。</w:t>
            </w:r>
          </w:p>
        </w:tc>
      </w:tr>
      <w:tr w14:paraId="033A273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45675DB1">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运输信息</w:t>
            </w:r>
          </w:p>
        </w:tc>
        <w:tc>
          <w:tcPr>
            <w:tcW w:w="4520" w:type="pct"/>
            <w:tcBorders>
              <w:right w:val="nil"/>
            </w:tcBorders>
            <w:vAlign w:val="center"/>
          </w:tcPr>
          <w:p w14:paraId="2982350E">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运输前应先检查包装容器是否完整、密封，运输过程中要确保容器不泄漏、不倒塌、不坠落、不损坏。运输时运输车辆应配备相应品种和数量的消防器材及泄漏应急处理设备。夏季最好早晚运输。运输时所用的槽（罐）车应有接地链，槽内可设孔隔板以减少震荡产生静电。严禁与氧化剂、卤素、食用化学品等混装混运。运输途中应防曝晒、雨淋，防高温。中途停留时应远离火种、热源、高温区。装运该物品的车辆排气管必须配备阻火装置，禁止使用易产生火花的机械设备和工具装卸。运输车船必须彻底清洗、消毒，否则不得装运其它物品。船时，配装位置应远离卧室、厨房，并与机舱、电源、火源等部位隔离。公路运输时要按规定路线行驶。</w:t>
            </w:r>
          </w:p>
        </w:tc>
      </w:tr>
      <w:tr w14:paraId="1D02546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68FE32C1">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毒性、健康及环境危害性</w:t>
            </w:r>
          </w:p>
        </w:tc>
        <w:tc>
          <w:tcPr>
            <w:tcW w:w="4520" w:type="pct"/>
            <w:tcBorders>
              <w:right w:val="nil"/>
            </w:tcBorders>
            <w:vAlign w:val="center"/>
          </w:tcPr>
          <w:p w14:paraId="7AEDF98B">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接触限值：中国MAC(mg/m</w:t>
            </w:r>
            <w:r>
              <w:rPr>
                <w:color w:val="000000" w:themeColor="text1"/>
                <w:szCs w:val="21"/>
                <w:vertAlign w:val="superscript"/>
                <w:lang w:val="zh-CN"/>
                <w14:textFill>
                  <w14:solidFill>
                    <w14:schemeClr w14:val="tx1"/>
                  </w14:solidFill>
                </w14:textFill>
              </w:rPr>
              <w:t>3</w:t>
            </w:r>
            <w:r>
              <w:rPr>
                <w:color w:val="000000" w:themeColor="text1"/>
                <w:szCs w:val="21"/>
                <w:lang w:val="zh-CN"/>
                <w14:textFill>
                  <w14:solidFill>
                    <w14:schemeClr w14:val="tx1"/>
                  </w14:solidFill>
                </w14:textFill>
              </w:rPr>
              <w:t>)：未制定标准；TLVTN：未制订标准；TLVWN：未制订标准。</w:t>
            </w:r>
          </w:p>
          <w:p w14:paraId="168B3BC4">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急性毒性：LD50：大鼠经口7500mg/kg，兔经皮LD：＞5ml/kg。具有刺激作用。</w:t>
            </w:r>
          </w:p>
          <w:p w14:paraId="768081D3">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侵入途径：吸入、食入、经皮肤吸收。</w:t>
            </w:r>
          </w:p>
          <w:p w14:paraId="3B0181A0">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健康危害：皮肤接触可为主要吸收途径，可致急性肾脏损害。柴油可引起接触性皮炎、油性痤疮。吸入其雾滴或液体呛入可引起吸入性肺炎。能经胎盘进入胎儿血中。柴油废气可引起眼、鼻刺激症状，头晕及头痛。</w:t>
            </w:r>
          </w:p>
          <w:p w14:paraId="43D6A846">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环境危害：对环境有危害，对水体和大气可造成污染。</w:t>
            </w:r>
          </w:p>
        </w:tc>
      </w:tr>
      <w:tr w14:paraId="328E8F9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7D6CDE7D">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急救措施</w:t>
            </w:r>
          </w:p>
        </w:tc>
        <w:tc>
          <w:tcPr>
            <w:tcW w:w="4520" w:type="pct"/>
            <w:tcBorders>
              <w:right w:val="nil"/>
            </w:tcBorders>
            <w:vAlign w:val="center"/>
          </w:tcPr>
          <w:p w14:paraId="54A050E7">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皮肤接触：立即脱去污染的衣着，用肥皂水和清水彻底冲洗皮肤。就医。</w:t>
            </w:r>
          </w:p>
          <w:p w14:paraId="254C928C">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眼睛接触：提起眼睑，用流动清水或生理盐水冲洗。就医。</w:t>
            </w:r>
          </w:p>
          <w:p w14:paraId="059EDC88">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吸入：迅速脱离现场至空气新鲜处。保持呼吸道通畅。如呼吸困难，给输氧。如呼吸停止，立即进行人工呼吸。就医。</w:t>
            </w:r>
          </w:p>
          <w:p w14:paraId="3A7EEE73">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食入：尽快彻底洗胃。就医</w:t>
            </w:r>
          </w:p>
        </w:tc>
      </w:tr>
      <w:tr w14:paraId="5A6B185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22275738">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防护措施</w:t>
            </w:r>
          </w:p>
        </w:tc>
        <w:tc>
          <w:tcPr>
            <w:tcW w:w="4520" w:type="pct"/>
            <w:tcBorders>
              <w:right w:val="nil"/>
            </w:tcBorders>
            <w:vAlign w:val="center"/>
          </w:tcPr>
          <w:p w14:paraId="5A49BE22">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工程控制：密闭操作，注意通风。呼吸系统防护：空气中浓度超标时，建议佩戴自吸过滤式防毒面具（半面罩）。紧急事态抢救或撤离时，应该佩戴空气呼吸器。眼睛防护：戴化学安全防护眼镜。身体防护：穿一般作业防护服。</w:t>
            </w:r>
          </w:p>
          <w:p w14:paraId="5A10006E">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手防护：戴橡胶耐油手套。</w:t>
            </w:r>
          </w:p>
          <w:p w14:paraId="32ED733F">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其他防护：工作现场严禁吸烟。避免长期反复接触。</w:t>
            </w:r>
          </w:p>
        </w:tc>
      </w:tr>
      <w:tr w14:paraId="36A7761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5990D2DC">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泄露应急处置</w:t>
            </w:r>
          </w:p>
        </w:tc>
        <w:tc>
          <w:tcPr>
            <w:tcW w:w="4520" w:type="pct"/>
            <w:tcBorders>
              <w:right w:val="nil"/>
            </w:tcBorders>
            <w:vAlign w:val="center"/>
          </w:tcPr>
          <w:p w14:paraId="23F6304B">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迅速撤离泄漏污染区人员至安全区，并进行隔离，严格限制出入。切断火源。建议应急处理人员戴自给正压式呼吸器，穿一般作业工作服。尽可能切断泄漏源。防止流入下水道、排洪沟等限制性空间。小量泄漏：用活性炭或其它惰性材料吸收。大量泄漏：构筑围堤或挖坑收容。用泵转移至槽车或专用收集器内，回收或运至废物处理场所处置。</w:t>
            </w:r>
          </w:p>
        </w:tc>
      </w:tr>
    </w:tbl>
    <w:p w14:paraId="5169A605">
      <w:pPr>
        <w:autoSpaceDE w:val="0"/>
        <w:autoSpaceDN w:val="0"/>
        <w:adjustRightInd w:val="0"/>
        <w:spacing w:line="360" w:lineRule="auto"/>
        <w:jc w:val="center"/>
        <w:rPr>
          <w:b/>
          <w:color w:val="000000" w:themeColor="text1"/>
          <w:szCs w:val="21"/>
          <w14:textFill>
            <w14:solidFill>
              <w14:schemeClr w14:val="tx1"/>
            </w14:solidFill>
          </w14:textFill>
        </w:rPr>
      </w:pPr>
      <w:bookmarkStart w:id="942" w:name="_Toc28814726"/>
      <w:bookmarkStart w:id="943" w:name="_Toc40220801"/>
      <w:bookmarkStart w:id="944" w:name="_Toc27751240"/>
      <w:bookmarkStart w:id="945" w:name="_Toc21529690"/>
      <w:bookmarkStart w:id="946" w:name="_Toc10633661"/>
      <w:bookmarkStart w:id="947" w:name="_Toc10641481"/>
      <w:r>
        <w:rPr>
          <w:b/>
          <w:color w:val="000000" w:themeColor="text1"/>
          <w:szCs w:val="21"/>
          <w14:textFill>
            <w14:solidFill>
              <w14:schemeClr w14:val="tx1"/>
            </w14:solidFill>
          </w14:textFill>
        </w:rPr>
        <w:t>表6.4-3 甲烷的安全特性表</w:t>
      </w:r>
    </w:p>
    <w:tbl>
      <w:tblPr>
        <w:tblStyle w:val="88"/>
        <w:tblW w:w="5064"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804"/>
        <w:gridCol w:w="7585"/>
      </w:tblGrid>
      <w:tr w14:paraId="31EED89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jc w:val="center"/>
        </w:trPr>
        <w:tc>
          <w:tcPr>
            <w:tcW w:w="479" w:type="pct"/>
            <w:tcBorders>
              <w:left w:val="nil"/>
            </w:tcBorders>
            <w:vAlign w:val="center"/>
          </w:tcPr>
          <w:p w14:paraId="5D12F5F7">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标识</w:t>
            </w:r>
          </w:p>
        </w:tc>
        <w:tc>
          <w:tcPr>
            <w:tcW w:w="4520" w:type="pct"/>
            <w:tcBorders>
              <w:right w:val="nil"/>
            </w:tcBorders>
            <w:vAlign w:val="center"/>
          </w:tcPr>
          <w:p w14:paraId="3B72F101">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中文名称：</w:t>
            </w:r>
            <w:r>
              <w:rPr>
                <w:color w:val="000000" w:themeColor="text1"/>
                <w:szCs w:val="21"/>
                <w14:textFill>
                  <w14:solidFill>
                    <w14:schemeClr w14:val="tx1"/>
                  </w14:solidFill>
                </w14:textFill>
              </w:rPr>
              <w:t>甲烷</w:t>
            </w:r>
            <w:r>
              <w:rPr>
                <w:color w:val="000000" w:themeColor="text1"/>
                <w:szCs w:val="21"/>
                <w:lang w:val="zh-CN"/>
                <w14:textFill>
                  <w14:solidFill>
                    <w14:schemeClr w14:val="tx1"/>
                  </w14:solidFill>
                </w14:textFill>
              </w:rPr>
              <w:t>；英文名称：methane</w:t>
            </w:r>
          </w:p>
          <w:p w14:paraId="439478E6">
            <w:pPr>
              <w:jc w:val="center"/>
              <w:rPr>
                <w:color w:val="000000" w:themeColor="text1"/>
                <w:szCs w:val="21"/>
                <w14:textFill>
                  <w14:solidFill>
                    <w14:schemeClr w14:val="tx1"/>
                  </w14:solidFill>
                </w14:textFill>
              </w:rPr>
            </w:pPr>
            <w:r>
              <w:rPr>
                <w:color w:val="000000" w:themeColor="text1"/>
                <w:szCs w:val="21"/>
                <w:lang w:val="zh-CN"/>
                <w14:textFill>
                  <w14:solidFill>
                    <w14:schemeClr w14:val="tx1"/>
                  </w14:solidFill>
                </w14:textFill>
              </w:rPr>
              <w:t>CAS</w:t>
            </w:r>
            <w:r>
              <w:rPr>
                <w:color w:val="000000" w:themeColor="text1"/>
                <w:szCs w:val="21"/>
                <w14:textFill>
                  <w14:solidFill>
                    <w14:schemeClr w14:val="tx1"/>
                  </w14:solidFill>
                </w14:textFill>
              </w:rPr>
              <w:t>号</w:t>
            </w:r>
            <w:r>
              <w:rPr>
                <w:color w:val="000000" w:themeColor="text1"/>
                <w:szCs w:val="21"/>
                <w:lang w:val="zh-CN"/>
                <w14:textFill>
                  <w14:solidFill>
                    <w14:schemeClr w14:val="tx1"/>
                  </w14:solidFill>
                </w14:textFill>
              </w:rPr>
              <w:t>：</w:t>
            </w:r>
            <w:r>
              <w:rPr>
                <w:color w:val="000000" w:themeColor="text1"/>
                <w:szCs w:val="21"/>
                <w14:textFill>
                  <w14:solidFill>
                    <w14:schemeClr w14:val="tx1"/>
                  </w14:solidFill>
                </w14:textFill>
              </w:rPr>
              <w:t>74-82-8</w:t>
            </w:r>
            <w:r>
              <w:rPr>
                <w:color w:val="000000" w:themeColor="text1"/>
                <w:szCs w:val="21"/>
                <w:lang w:val="zh-CN"/>
                <w14:textFill>
                  <w14:solidFill>
                    <w14:schemeClr w14:val="tx1"/>
                  </w14:solidFill>
                </w14:textFill>
              </w:rPr>
              <w:t>；相对分子质量：</w:t>
            </w:r>
            <w:r>
              <w:rPr>
                <w:color w:val="000000" w:themeColor="text1"/>
                <w:szCs w:val="21"/>
                <w14:textFill>
                  <w14:solidFill>
                    <w14:schemeClr w14:val="tx1"/>
                  </w14:solidFill>
                </w14:textFill>
              </w:rPr>
              <w:t>16.04</w:t>
            </w:r>
          </w:p>
        </w:tc>
      </w:tr>
      <w:tr w14:paraId="780F921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32F8B655">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理化性质</w:t>
            </w:r>
          </w:p>
        </w:tc>
        <w:tc>
          <w:tcPr>
            <w:tcW w:w="4520" w:type="pct"/>
            <w:tcBorders>
              <w:right w:val="nil"/>
            </w:tcBorders>
            <w:vAlign w:val="center"/>
          </w:tcPr>
          <w:p w14:paraId="0A77B6AB">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外观与性状：</w:t>
            </w:r>
            <w:r>
              <w:rPr>
                <w:color w:val="000000" w:themeColor="text1"/>
                <w:szCs w:val="21"/>
                <w14:textFill>
                  <w14:solidFill>
                    <w14:schemeClr w14:val="tx1"/>
                  </w14:solidFill>
                </w14:textFill>
              </w:rPr>
              <w:t>气态</w:t>
            </w:r>
            <w:r>
              <w:rPr>
                <w:color w:val="000000" w:themeColor="text1"/>
                <w:szCs w:val="21"/>
                <w:lang w:val="zh-CN"/>
                <w14:textFill>
                  <w14:solidFill>
                    <w14:schemeClr w14:val="tx1"/>
                  </w14:solidFill>
                </w14:textFill>
              </w:rPr>
              <w:t>。</w:t>
            </w:r>
          </w:p>
          <w:p w14:paraId="2DA78528">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主要用途：用作柴油机的燃料。</w:t>
            </w:r>
          </w:p>
          <w:p w14:paraId="0EAC0A81">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熔点（℃）：</w:t>
            </w:r>
            <w:r>
              <w:rPr>
                <w:color w:val="000000" w:themeColor="text1"/>
                <w:szCs w:val="21"/>
                <w14:textFill>
                  <w14:solidFill>
                    <w14:schemeClr w14:val="tx1"/>
                  </w14:solidFill>
                </w14:textFill>
              </w:rPr>
              <w:t>-182.5</w:t>
            </w:r>
            <w:r>
              <w:rPr>
                <w:color w:val="000000" w:themeColor="text1"/>
                <w:szCs w:val="21"/>
                <w:lang w:val="zh-CN"/>
                <w14:textFill>
                  <w14:solidFill>
                    <w14:schemeClr w14:val="tx1"/>
                  </w14:solidFill>
                </w14:textFill>
              </w:rPr>
              <w:t>；相对密度（水=1）：</w:t>
            </w:r>
            <w:r>
              <w:rPr>
                <w:color w:val="000000" w:themeColor="text1"/>
                <w:szCs w:val="21"/>
                <w14:textFill>
                  <w14:solidFill>
                    <w14:schemeClr w14:val="tx1"/>
                  </w14:solidFill>
                </w14:textFill>
              </w:rPr>
              <w:t>0.42</w:t>
            </w:r>
            <w:r>
              <w:rPr>
                <w:color w:val="000000" w:themeColor="text1"/>
                <w:szCs w:val="21"/>
                <w:lang w:val="zh-CN"/>
                <w14:textFill>
                  <w14:solidFill>
                    <w14:schemeClr w14:val="tx1"/>
                  </w14:solidFill>
                </w14:textFill>
              </w:rPr>
              <w:t>；沸点（℃）：</w:t>
            </w:r>
            <w:r>
              <w:rPr>
                <w:color w:val="000000" w:themeColor="text1"/>
                <w:szCs w:val="21"/>
                <w14:textFill>
                  <w14:solidFill>
                    <w14:schemeClr w14:val="tx1"/>
                  </w14:solidFill>
                </w14:textFill>
              </w:rPr>
              <w:t>-161.5</w:t>
            </w:r>
            <w:r>
              <w:rPr>
                <w:color w:val="000000" w:themeColor="text1"/>
                <w:szCs w:val="21"/>
                <w:lang w:val="zh-CN"/>
                <w14:textFill>
                  <w14:solidFill>
                    <w14:schemeClr w14:val="tx1"/>
                  </w14:solidFill>
                </w14:textFill>
              </w:rPr>
              <w:t>；</w:t>
            </w:r>
          </w:p>
          <w:p w14:paraId="791BA87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相对密度（空气=1）：0.55；饱和蒸汽压（mPa）：53.32（-168.8℃）；</w:t>
            </w:r>
          </w:p>
          <w:p w14:paraId="351AC08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闪点（℃）：4.59；</w:t>
            </w:r>
          </w:p>
          <w:p w14:paraId="5E582EFD">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溶解性：微溶于水，溶于醇、乙醚。</w:t>
            </w:r>
          </w:p>
        </w:tc>
      </w:tr>
      <w:tr w14:paraId="4F6AC9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0864C265">
            <w:pPr>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健康危害</w:t>
            </w:r>
          </w:p>
        </w:tc>
        <w:tc>
          <w:tcPr>
            <w:tcW w:w="4520" w:type="pct"/>
            <w:tcBorders>
              <w:right w:val="nil"/>
            </w:tcBorders>
            <w:vAlign w:val="center"/>
          </w:tcPr>
          <w:p w14:paraId="1C82532B">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侵入途径：吸入</w:t>
            </w:r>
          </w:p>
          <w:p w14:paraId="4EBD4E1F">
            <w:pPr>
              <w:jc w:val="center"/>
              <w:rPr>
                <w:color w:val="000000" w:themeColor="text1"/>
                <w:szCs w:val="21"/>
                <w:lang w:val="zh-CN"/>
                <w14:textFill>
                  <w14:solidFill>
                    <w14:schemeClr w14:val="tx1"/>
                  </w14:solidFill>
                </w14:textFill>
              </w:rPr>
            </w:pPr>
            <w:r>
              <w:rPr>
                <w:color w:val="000000" w:themeColor="text1"/>
                <w:kern w:val="0"/>
                <w:szCs w:val="21"/>
                <w:lang w:bidi="ar"/>
                <w14:textFill>
                  <w14:solidFill>
                    <w14:schemeClr w14:val="tx1"/>
                  </w14:solidFill>
                </w14:textFill>
              </w:rPr>
              <w:t>甲烷对人基本无毒，但浓度过高时，使空气中氧含量明显降低，使人窒息。当空气中甲烷达25％～30％时，可引起头痛、头晕、乏力、注意力不集中、呼吸和心跳加速、共济失调。若不及时脱离，可致窒息死亡。皮肤接触液化本品，可致冻伤。</w:t>
            </w:r>
          </w:p>
        </w:tc>
      </w:tr>
      <w:tr w14:paraId="2D14351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4EB7EC8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危险特性</w:t>
            </w:r>
          </w:p>
        </w:tc>
        <w:tc>
          <w:tcPr>
            <w:tcW w:w="4520" w:type="pct"/>
            <w:tcBorders>
              <w:right w:val="nil"/>
            </w:tcBorders>
            <w:vAlign w:val="center"/>
          </w:tcPr>
          <w:p w14:paraId="00FAB591">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易燃，与空气混合能形成爆炸性混合物，遇热源和明火有燃烧爆炸的危险。与五氧化溴、氯气、次氯酸、三氟化氮、液氧、二氟化氧及其它强氧化剂接触剧烈反应。</w:t>
            </w:r>
          </w:p>
        </w:tc>
      </w:tr>
      <w:tr w14:paraId="33D39B9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7B44D29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灭火方法</w:t>
            </w:r>
          </w:p>
        </w:tc>
        <w:tc>
          <w:tcPr>
            <w:tcW w:w="4520" w:type="pct"/>
            <w:tcBorders>
              <w:right w:val="nil"/>
            </w:tcBorders>
            <w:vAlign w:val="center"/>
          </w:tcPr>
          <w:p w14:paraId="1A51165D">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切断气源。若不能切断气源，则不允许熄灭泄漏处的火焰。喷水冷却容器，可能的话将容器从火场移至空旷处。灭火剂：雾状水、泡沫、二氧化碳、干粉。</w:t>
            </w:r>
          </w:p>
        </w:tc>
      </w:tr>
      <w:tr w14:paraId="42DCEA8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jc w:val="center"/>
        </w:trPr>
        <w:tc>
          <w:tcPr>
            <w:tcW w:w="479" w:type="pct"/>
            <w:tcBorders>
              <w:left w:val="nil"/>
            </w:tcBorders>
            <w:vAlign w:val="center"/>
          </w:tcPr>
          <w:p w14:paraId="5803E2D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对应的事故防范措施</w:t>
            </w:r>
          </w:p>
        </w:tc>
        <w:tc>
          <w:tcPr>
            <w:tcW w:w="4520" w:type="pct"/>
            <w:tcBorders>
              <w:right w:val="nil"/>
            </w:tcBorders>
            <w:vAlign w:val="center"/>
          </w:tcPr>
          <w:p w14:paraId="282231CA">
            <w:pPr>
              <w:jc w:val="center"/>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应急处理：迅速撤离泄漏污染区人员至上风处，并进行隔离，严格限制出入。切断火源。建议应急处理人员戴自给正压式呼吸器，穿防静电工作服。尽可能切断泄漏源。合理通风，加速扩散。喷雾状水稀释、溶解。漏气容器要妥善处理，修复、检验后再用。急救措施：皮肤接触或眼睛接触：皮肤或眼睛接触液态甲烷会冻伤，应及时就医。吸入：迅速脱离现场至空气新鲜处。保持呼吸道通畅。如呼吸困难，给输氧。如呼吸停止，立即进行人工呼吸，就医。</w:t>
            </w:r>
          </w:p>
        </w:tc>
      </w:tr>
    </w:tbl>
    <w:p w14:paraId="301CFB5B">
      <w:pPr>
        <w:pStyle w:val="5"/>
        <w:adjustRightInd w:val="0"/>
        <w:snapToGrid w:val="0"/>
        <w:spacing w:before="0" w:after="0" w:line="360" w:lineRule="auto"/>
        <w:rPr>
          <w:color w:val="000000" w:themeColor="text1"/>
          <w:sz w:val="28"/>
          <w:szCs w:val="28"/>
          <w14:textFill>
            <w14:solidFill>
              <w14:schemeClr w14:val="tx1"/>
            </w14:solidFill>
          </w14:textFill>
        </w:rPr>
      </w:pPr>
      <w:bookmarkStart w:id="948" w:name="_Toc3681"/>
      <w:bookmarkStart w:id="949" w:name="_Toc233380260"/>
      <w:r>
        <w:rPr>
          <w:color w:val="000000" w:themeColor="text1"/>
          <w:sz w:val="28"/>
          <w:szCs w:val="28"/>
          <w14:textFill>
            <w14:solidFill>
              <w14:schemeClr w14:val="tx1"/>
            </w14:solidFill>
          </w14:textFill>
        </w:rPr>
        <w:t>6.4.2生产过程风险识别</w:t>
      </w:r>
      <w:bookmarkEnd w:id="942"/>
      <w:bookmarkEnd w:id="943"/>
      <w:bookmarkEnd w:id="944"/>
      <w:bookmarkEnd w:id="945"/>
      <w:bookmarkEnd w:id="948"/>
      <w:bookmarkEnd w:id="949"/>
    </w:p>
    <w:p w14:paraId="62E39724">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color w:val="000000" w:themeColor="text1"/>
          <w:spacing w:val="-1"/>
          <w:sz w:val="24"/>
          <w14:textFill>
            <w14:solidFill>
              <w14:schemeClr w14:val="tx1"/>
            </w14:solidFill>
          </w14:textFill>
        </w:rPr>
        <w:t>柴油、</w:t>
      </w:r>
      <w:r>
        <w:rPr>
          <w:color w:val="000000" w:themeColor="text1"/>
          <w:spacing w:val="-2"/>
          <w:sz w:val="24"/>
          <w14:textFill>
            <w14:solidFill>
              <w14:schemeClr w14:val="tx1"/>
            </w14:solidFill>
          </w14:textFill>
        </w:rPr>
        <w:t>过氧乙酸、存储过程存在泄漏、火灾、爆炸等风险。</w:t>
      </w:r>
    </w:p>
    <w:p w14:paraId="502A2C0D">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color w:val="000000" w:themeColor="text1"/>
          <w:spacing w:val="-3"/>
          <w:sz w:val="24"/>
          <w14:textFill>
            <w14:solidFill>
              <w14:schemeClr w14:val="tx1"/>
            </w14:solidFill>
          </w14:textFill>
        </w:rPr>
        <w:t>柴油、</w:t>
      </w:r>
      <w:r>
        <w:rPr>
          <w:color w:val="000000" w:themeColor="text1"/>
          <w:spacing w:val="-2"/>
          <w:sz w:val="24"/>
          <w14:textFill>
            <w14:solidFill>
              <w14:schemeClr w14:val="tx1"/>
            </w14:solidFill>
          </w14:textFill>
        </w:rPr>
        <w:t>过氧乙酸</w:t>
      </w:r>
      <w:r>
        <w:rPr>
          <w:color w:val="000000" w:themeColor="text1"/>
          <w:spacing w:val="-3"/>
          <w:sz w:val="24"/>
          <w14:textFill>
            <w14:solidFill>
              <w14:schemeClr w14:val="tx1"/>
            </w14:solidFill>
          </w14:textFill>
        </w:rPr>
        <w:t>运输途中，如发生车祸或</w:t>
      </w:r>
      <w:r>
        <w:rPr>
          <w:color w:val="000000" w:themeColor="text1"/>
          <w:spacing w:val="-4"/>
          <w:sz w:val="24"/>
          <w14:textFill>
            <w14:solidFill>
              <w14:schemeClr w14:val="tx1"/>
            </w14:solidFill>
          </w14:textFill>
        </w:rPr>
        <w:t>侧翻，有发生</w:t>
      </w:r>
      <w:r>
        <w:rPr>
          <w:color w:val="000000" w:themeColor="text1"/>
          <w:spacing w:val="-2"/>
          <w:sz w:val="24"/>
          <w14:textFill>
            <w14:solidFill>
              <w14:schemeClr w14:val="tx1"/>
            </w14:solidFill>
          </w14:textFill>
        </w:rPr>
        <w:t>风险物质泄漏的风险</w:t>
      </w:r>
      <w:r>
        <w:rPr>
          <w:color w:val="000000" w:themeColor="text1"/>
          <w:sz w:val="24"/>
          <w14:textFill>
            <w14:solidFill>
              <w14:schemeClr w14:val="tx1"/>
            </w14:solidFill>
          </w14:textFill>
        </w:rPr>
        <w:t>。</w:t>
      </w:r>
    </w:p>
    <w:p w14:paraId="07EA7EEE">
      <w:pPr>
        <w:autoSpaceDE w:val="0"/>
        <w:autoSpaceDN w:val="0"/>
        <w:adjustRightInd w:val="0"/>
        <w:spacing w:line="360" w:lineRule="auto"/>
        <w:ind w:firstLine="480" w:firstLineChars="200"/>
        <w:jc w:val="both"/>
        <w:rPr>
          <w:color w:val="000000" w:themeColor="text1"/>
          <w:spacing w:val="-12"/>
          <w:sz w:val="24"/>
          <w14:textFill>
            <w14:solidFill>
              <w14:schemeClr w14:val="tx1"/>
            </w14:solidFill>
          </w14:textFill>
        </w:rPr>
      </w:pPr>
      <w:r>
        <w:rPr>
          <w:color w:val="000000" w:themeColor="text1"/>
          <w:sz w:val="24"/>
          <w14:textFill>
            <w14:solidFill>
              <w14:schemeClr w14:val="tx1"/>
            </w14:solidFill>
          </w14:textFill>
        </w:rPr>
        <w:t>（3）</w:t>
      </w:r>
      <w:r>
        <w:rPr>
          <w:color w:val="000000" w:themeColor="text1"/>
          <w:spacing w:val="-3"/>
          <w:sz w:val="24"/>
          <w14:textFill>
            <w14:solidFill>
              <w14:schemeClr w14:val="tx1"/>
            </w14:solidFill>
          </w14:textFill>
        </w:rPr>
        <w:t>柴油发电机、</w:t>
      </w:r>
      <w:r>
        <w:rPr>
          <w:color w:val="000000" w:themeColor="text1"/>
          <w:spacing w:val="-2"/>
          <w:sz w:val="24"/>
          <w14:textFill>
            <w14:solidFill>
              <w14:schemeClr w14:val="tx1"/>
            </w14:solidFill>
          </w14:textFill>
        </w:rPr>
        <w:t>过氧乙酸</w:t>
      </w:r>
      <w:r>
        <w:rPr>
          <w:color w:val="000000" w:themeColor="text1"/>
          <w:spacing w:val="-3"/>
          <w:sz w:val="24"/>
          <w14:textFill>
            <w14:solidFill>
              <w14:schemeClr w14:val="tx1"/>
            </w14:solidFill>
          </w14:textFill>
        </w:rPr>
        <w:t>使用过程若操作不当，有发生火</w:t>
      </w:r>
      <w:r>
        <w:rPr>
          <w:color w:val="000000" w:themeColor="text1"/>
          <w:spacing w:val="-4"/>
          <w:sz w:val="24"/>
          <w14:textFill>
            <w14:solidFill>
              <w14:schemeClr w14:val="tx1"/>
            </w14:solidFill>
          </w14:textFill>
        </w:rPr>
        <w:t>灾、爆炸的风</w:t>
      </w:r>
      <w:r>
        <w:rPr>
          <w:color w:val="000000" w:themeColor="text1"/>
          <w:spacing w:val="-12"/>
          <w:sz w:val="24"/>
          <w14:textFill>
            <w14:solidFill>
              <w14:schemeClr w14:val="tx1"/>
            </w14:solidFill>
          </w14:textFill>
        </w:rPr>
        <w:t>险。</w:t>
      </w:r>
    </w:p>
    <w:p w14:paraId="4A142656">
      <w:pPr>
        <w:autoSpaceDE w:val="0"/>
        <w:autoSpaceDN w:val="0"/>
        <w:adjustRightInd w:val="0"/>
        <w:spacing w:line="360" w:lineRule="auto"/>
        <w:ind w:firstLine="468" w:firstLineChars="200"/>
        <w:jc w:val="both"/>
        <w:rPr>
          <w:color w:val="000000" w:themeColor="text1"/>
          <w:spacing w:val="-3"/>
          <w:sz w:val="24"/>
          <w14:textFill>
            <w14:solidFill>
              <w14:schemeClr w14:val="tx1"/>
            </w14:solidFill>
          </w14:textFill>
        </w:rPr>
      </w:pPr>
      <w:r>
        <w:rPr>
          <w:color w:val="000000" w:themeColor="text1"/>
          <w:spacing w:val="-3"/>
          <w:sz w:val="24"/>
          <w14:textFill>
            <w14:solidFill>
              <w14:schemeClr w14:val="tx1"/>
            </w14:solidFill>
          </w14:textFill>
        </w:rPr>
        <w:t>（4）项由于人员操作不当、违章作业、操作失误或维修管理不善，均可能导致火灾、爆炸事故的发生。</w:t>
      </w:r>
    </w:p>
    <w:p w14:paraId="020F7BBA">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（6）</w:t>
      </w:r>
      <w:bookmarkStart w:id="950" w:name="_Toc28814728"/>
      <w:bookmarkStart w:id="951" w:name="_Toc40220803"/>
      <w:bookmarkStart w:id="952" w:name="_Toc27751243"/>
      <w:bookmarkStart w:id="953" w:name="_Toc21529693"/>
      <w:r>
        <w:rPr>
          <w:color w:val="000000" w:themeColor="text1"/>
          <w:sz w:val="24"/>
          <w14:textFill>
            <w14:solidFill>
              <w14:schemeClr w14:val="tx1"/>
            </w14:solidFill>
          </w14:textFill>
        </w:rPr>
        <w:t>项目污水管线、集水池泄漏、不能正常运行、操作人员失误以及暴雨等极端天气等都可能引起废水未经处理排放到周边环境，造成土壤及地下水体污染。</w:t>
      </w:r>
    </w:p>
    <w:p w14:paraId="270A30D0">
      <w:pPr>
        <w:pStyle w:val="5"/>
        <w:adjustRightInd w:val="0"/>
        <w:snapToGrid w:val="0"/>
        <w:spacing w:before="0" w:after="0" w:line="360" w:lineRule="auto"/>
        <w:rPr>
          <w:color w:val="000000" w:themeColor="text1"/>
          <w:sz w:val="28"/>
          <w:szCs w:val="28"/>
          <w14:textFill>
            <w14:solidFill>
              <w14:schemeClr w14:val="tx1"/>
            </w14:solidFill>
          </w14:textFill>
        </w:rPr>
      </w:pPr>
      <w:bookmarkStart w:id="954" w:name="_Toc31401"/>
      <w:bookmarkStart w:id="955" w:name="_Toc233380261"/>
      <w:r>
        <w:rPr>
          <w:color w:val="000000" w:themeColor="text1"/>
          <w:sz w:val="28"/>
          <w:szCs w:val="28"/>
          <w14:textFill>
            <w14:solidFill>
              <w14:schemeClr w14:val="tx1"/>
            </w14:solidFill>
          </w14:textFill>
        </w:rPr>
        <w:t>6.4.3公用工程风险识别</w:t>
      </w:r>
      <w:bookmarkEnd w:id="950"/>
      <w:bookmarkEnd w:id="951"/>
      <w:bookmarkEnd w:id="952"/>
      <w:bookmarkEnd w:id="953"/>
      <w:bookmarkEnd w:id="954"/>
      <w:bookmarkEnd w:id="955"/>
    </w:p>
    <w:p w14:paraId="4CFF75C7">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电器设备若不按规程操作或设备本身质量问题，规格不符合要求，易引起触电伤害事故，甚至引发二次事故，造成中毒、燃烧、爆炸事故发生。</w:t>
      </w:r>
    </w:p>
    <w:p w14:paraId="7F563871">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56" w:name="_Toc40220809"/>
      <w:bookmarkStart w:id="957" w:name="_Toc539"/>
      <w:bookmarkStart w:id="958" w:name="_Toc233380262"/>
      <w:r>
        <w:rPr>
          <w:rFonts w:ascii="Times New Roman" w:hAnsi="Times New Roman" w:eastAsia="宋体"/>
          <w:color w:val="000000" w:themeColor="text1"/>
          <w:sz w:val="30"/>
          <w:szCs w:val="30"/>
          <w14:textFill>
            <w14:solidFill>
              <w14:schemeClr w14:val="tx1"/>
            </w14:solidFill>
          </w14:textFill>
        </w:rPr>
        <w:t>6.5</w:t>
      </w:r>
      <w:bookmarkEnd w:id="956"/>
      <w:r>
        <w:rPr>
          <w:rFonts w:ascii="Times New Roman" w:hAnsi="Times New Roman" w:eastAsia="宋体"/>
          <w:color w:val="000000" w:themeColor="text1"/>
          <w:sz w:val="30"/>
          <w:szCs w:val="30"/>
          <w14:textFill>
            <w14:solidFill>
              <w14:schemeClr w14:val="tx1"/>
            </w14:solidFill>
          </w14:textFill>
        </w:rPr>
        <w:t>环境风险分析</w:t>
      </w:r>
      <w:bookmarkEnd w:id="957"/>
      <w:bookmarkEnd w:id="958"/>
    </w:p>
    <w:p w14:paraId="29C04F7F">
      <w:pPr>
        <w:autoSpaceDE w:val="0"/>
        <w:autoSpaceDN w:val="0"/>
        <w:adjustRightIn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1、风险事故情形设定</w:t>
      </w:r>
    </w:p>
    <w:p w14:paraId="51B68C22">
      <w:pPr>
        <w:autoSpaceDE w:val="0"/>
        <w:autoSpaceDN w:val="0"/>
        <w:adjustRightIn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本项目可能发生的事故风险类型主要为</w:t>
      </w:r>
      <w:r>
        <w:rPr>
          <w:color w:val="000000" w:themeColor="text1"/>
          <w:spacing w:val="-3"/>
          <w:sz w:val="24"/>
          <w14:textFill>
            <w14:solidFill>
              <w14:schemeClr w14:val="tx1"/>
            </w14:solidFill>
          </w14:textFill>
        </w:rPr>
        <w:t>过氧乙酸</w:t>
      </w:r>
      <w:r>
        <w:rPr>
          <w:color w:val="000000" w:themeColor="text1"/>
          <w:kern w:val="0"/>
          <w:sz w:val="24"/>
          <w14:textFill>
            <w14:solidFill>
              <w14:schemeClr w14:val="tx1"/>
            </w14:solidFill>
          </w14:textFill>
        </w:rPr>
        <w:t>、柴油的泄漏、火灾和爆炸风险、污水发生渗漏、动物疫情风险。</w:t>
      </w:r>
    </w:p>
    <w:p w14:paraId="632ADBC0">
      <w:pPr>
        <w:autoSpaceDE w:val="0"/>
        <w:autoSpaceDN w:val="0"/>
        <w:adjustRightIn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污染事故可能的途径有：厂区暂存的过氧乙酸、柴油发生泄漏污染土壤和地下水环境；污水管道、集水池和废水处理设施破损泄露渗入地下，污染土壤及地下水。</w:t>
      </w:r>
    </w:p>
    <w:p w14:paraId="7E3D4810">
      <w:pPr>
        <w:autoSpaceDE w:val="0"/>
        <w:autoSpaceDN w:val="0"/>
        <w:adjustRightInd w:val="0"/>
        <w:spacing w:line="360" w:lineRule="auto"/>
        <w:ind w:firstLine="480" w:firstLineChars="200"/>
        <w:jc w:val="both"/>
        <w:rPr>
          <w:color w:val="EE0000"/>
          <w:kern w:val="0"/>
          <w:sz w:val="24"/>
        </w:rPr>
      </w:pPr>
      <w:r>
        <w:rPr>
          <w:kern w:val="0"/>
          <w:sz w:val="24"/>
        </w:rPr>
        <w:t>动物疫情：本项目动物疫情发生的原因主要包括养殖场卫生条件差、防疫措施不到位、引入带菌畜禽等。疫情的传播途径主要有空气传播、接触传播和媒介传播等。</w:t>
      </w:r>
    </w:p>
    <w:p w14:paraId="10027C8F">
      <w:pPr>
        <w:autoSpaceDE w:val="0"/>
        <w:autoSpaceDN w:val="0"/>
        <w:adjustRightInd w:val="0"/>
        <w:spacing w:line="360" w:lineRule="auto"/>
        <w:ind w:firstLine="482" w:firstLineChars="200"/>
        <w:jc w:val="both"/>
        <w:rPr>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2、环境风险危害后果分析</w:t>
      </w:r>
    </w:p>
    <w:p w14:paraId="4A713F68">
      <w:pPr>
        <w:autoSpaceDE w:val="0"/>
        <w:autoSpaceDN w:val="0"/>
        <w:adjustRightInd w:val="0"/>
        <w:spacing w:line="360" w:lineRule="auto"/>
        <w:ind w:firstLine="482" w:firstLineChars="200"/>
        <w:jc w:val="both"/>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（1）大气环境</w:t>
      </w:r>
    </w:p>
    <w:p w14:paraId="759A613A">
      <w:pPr>
        <w:autoSpaceDE w:val="0"/>
        <w:autoSpaceDN w:val="0"/>
        <w:adjustRightIn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次评价环境风险大气环境影响主要考虑柴油火灾、爆炸引发的伴生/次生污染物影响，在柴油遇明火会引发火灾，当易燃物质聚集到一定极限，极易引发爆炸风险。发生火灾、爆炸产生的浓烟会以燃烧点（或爆炸点）为中心在一定范围内降落，燃烧点（或爆炸点）上空局部气温、气压、能见度等会产生明显的变化，对局部大气环境造成短期影响。燃烧时将产生CO、SO</w:t>
      </w:r>
      <w:r>
        <w:rPr>
          <w:color w:val="000000" w:themeColor="text1"/>
          <w:kern w:val="0"/>
          <w:sz w:val="24"/>
          <w:vertAlign w:val="subscript"/>
          <w14:textFill>
            <w14:solidFill>
              <w14:schemeClr w14:val="tx1"/>
            </w14:solidFill>
          </w14:textFill>
        </w:rPr>
        <w:t>2</w:t>
      </w:r>
      <w:r>
        <w:rPr>
          <w:color w:val="000000" w:themeColor="text1"/>
          <w:kern w:val="0"/>
          <w:sz w:val="24"/>
          <w14:textFill>
            <w14:solidFill>
              <w14:schemeClr w14:val="tx1"/>
            </w14:solidFill>
          </w14:textFill>
        </w:rPr>
        <w:t>、NOx、颗粒物等等伴生/次生污染物，烟气对眼睛、呼吸道有一定的刺激性，过渡接触可能导致中毒或窒息；同时，污染物沿下风向扩散，对下风向也会产生一定的影响。</w:t>
      </w:r>
    </w:p>
    <w:p w14:paraId="3E90F637">
      <w:pPr>
        <w:autoSpaceDE w:val="0"/>
        <w:autoSpaceDN w:val="0"/>
        <w:adjustRightInd w:val="0"/>
        <w:spacing w:line="360" w:lineRule="auto"/>
        <w:ind w:firstLine="482" w:firstLineChars="200"/>
        <w:jc w:val="both"/>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（2）地表水环境</w:t>
      </w:r>
    </w:p>
    <w:p w14:paraId="5A427777">
      <w:pPr>
        <w:autoSpaceDE w:val="0"/>
        <w:autoSpaceDN w:val="0"/>
        <w:adjustRightInd w:val="0"/>
        <w:snapToGrid w:val="0"/>
        <w:spacing w:line="360" w:lineRule="auto"/>
        <w:ind w:firstLine="480" w:firstLineChars="200"/>
        <w:jc w:val="both"/>
        <w:rPr>
          <w:color w:val="000000" w:themeColor="text1"/>
          <w:kern w:val="0"/>
          <w:sz w:val="24"/>
          <w:szCs w:val="28"/>
          <w14:textFill>
            <w14:solidFill>
              <w14:schemeClr w14:val="tx1"/>
            </w14:solidFill>
          </w14:textFill>
        </w:rPr>
      </w:pPr>
      <w:r>
        <w:rPr>
          <w:color w:val="000000" w:themeColor="text1"/>
          <w:kern w:val="0"/>
          <w:sz w:val="24"/>
          <w:szCs w:val="28"/>
          <w14:textFill>
            <w14:solidFill>
              <w14:schemeClr w14:val="tx1"/>
            </w14:solidFill>
          </w14:textFill>
        </w:rPr>
        <w:t>项目地表水环境的主要风险包括过氧乙酸、柴油以及未经处理的牛舍冲洗废水可能进入周边地表水体，造成地表水体污染。</w:t>
      </w:r>
    </w:p>
    <w:p w14:paraId="42EE081E">
      <w:pPr>
        <w:autoSpaceDE w:val="0"/>
        <w:autoSpaceDN w:val="0"/>
        <w:adjustRightInd w:val="0"/>
        <w:snapToGrid w:val="0"/>
        <w:spacing w:line="360" w:lineRule="auto"/>
        <w:ind w:firstLine="468" w:firstLineChars="200"/>
        <w:jc w:val="both"/>
        <w:rPr>
          <w:color w:val="000000" w:themeColor="text1"/>
          <w:kern w:val="0"/>
          <w:sz w:val="24"/>
          <w:szCs w:val="28"/>
          <w14:textFill>
            <w14:solidFill>
              <w14:schemeClr w14:val="tx1"/>
            </w14:solidFill>
          </w14:textFill>
        </w:rPr>
      </w:pPr>
      <w:r>
        <w:rPr>
          <w:color w:val="000000" w:themeColor="text1"/>
          <w:spacing w:val="-3"/>
          <w:sz w:val="24"/>
          <w14:textFill>
            <w14:solidFill>
              <w14:schemeClr w14:val="tx1"/>
            </w14:solidFill>
          </w14:textFill>
        </w:rPr>
        <w:t>过氧乙酸</w:t>
      </w:r>
      <w:r>
        <w:rPr>
          <w:color w:val="000000" w:themeColor="text1"/>
          <w:kern w:val="0"/>
          <w:sz w:val="24"/>
          <w:szCs w:val="28"/>
          <w14:textFill>
            <w14:solidFill>
              <w14:schemeClr w14:val="tx1"/>
            </w14:solidFill>
          </w14:textFill>
        </w:rPr>
        <w:t>和柴油若流入水体，将引发大面积水面污染。油膜会阻断水体与空气的接触，导致水中溶解氧无法补充，进而造成水生动植物死亡。此外，柴油中含有的氯、硫、磷等有机化合物具有强毒性，残留在土壤或水体中，会对人类和其他生物造成严重危害。</w:t>
      </w:r>
      <w:r>
        <w:rPr>
          <w:color w:val="000000" w:themeColor="text1"/>
          <w:spacing w:val="-3"/>
          <w:sz w:val="24"/>
          <w14:textFill>
            <w14:solidFill>
              <w14:schemeClr w14:val="tx1"/>
            </w14:solidFill>
          </w14:textFill>
        </w:rPr>
        <w:t>过氧乙酸</w:t>
      </w:r>
      <w:r>
        <w:rPr>
          <w:color w:val="000000" w:themeColor="text1"/>
          <w:kern w:val="0"/>
          <w:sz w:val="24"/>
          <w:szCs w:val="28"/>
          <w14:textFill>
            <w14:solidFill>
              <w14:schemeClr w14:val="tx1"/>
            </w14:solidFill>
          </w14:textFill>
        </w:rPr>
        <w:t>泄漏进入地表水后，强氧化性破坏水生生物，分解消耗氧气（化学需氧量COD升高），导致厌氧环境，pH值降低至酸性，进一步污染水环境。</w:t>
      </w:r>
    </w:p>
    <w:p w14:paraId="40BA325A">
      <w:pPr>
        <w:autoSpaceDE w:val="0"/>
        <w:autoSpaceDN w:val="0"/>
        <w:adjustRightInd w:val="0"/>
        <w:snapToGrid w:val="0"/>
        <w:spacing w:line="360" w:lineRule="auto"/>
        <w:ind w:firstLine="480" w:firstLineChars="200"/>
        <w:jc w:val="both"/>
        <w:rPr>
          <w:color w:val="000000" w:themeColor="text1"/>
          <w:kern w:val="0"/>
          <w:sz w:val="24"/>
          <w:szCs w:val="28"/>
          <w14:textFill>
            <w14:solidFill>
              <w14:schemeClr w14:val="tx1"/>
            </w14:solidFill>
          </w14:textFill>
        </w:rPr>
      </w:pPr>
      <w:r>
        <w:rPr>
          <w:color w:val="000000" w:themeColor="text1"/>
          <w:kern w:val="0"/>
          <w:sz w:val="24"/>
          <w:szCs w:val="28"/>
          <w14:textFill>
            <w14:solidFill>
              <w14:schemeClr w14:val="tx1"/>
            </w14:solidFill>
          </w14:textFill>
        </w:rPr>
        <w:t>畜禽养殖场中未经处理的高浓度废水若进入自然水体，会使水体中的固体悬浮物（SS）、有机物和微生物含量大幅增加，改变水体的物理、化学性质以及生物群落结构，导致水质恶化。</w:t>
      </w:r>
    </w:p>
    <w:p w14:paraId="422A7D2A">
      <w:pPr>
        <w:autoSpaceDE w:val="0"/>
        <w:autoSpaceDN w:val="0"/>
        <w:adjustRightInd w:val="0"/>
        <w:snapToGrid w:val="0"/>
        <w:spacing w:line="360" w:lineRule="auto"/>
        <w:ind w:firstLine="480" w:firstLineChars="200"/>
        <w:jc w:val="both"/>
        <w:rPr>
          <w:color w:val="000000" w:themeColor="text1"/>
          <w:kern w:val="0"/>
          <w:sz w:val="24"/>
          <w:szCs w:val="28"/>
          <w14:textFill>
            <w14:solidFill>
              <w14:schemeClr w14:val="tx1"/>
            </w14:solidFill>
          </w14:textFill>
        </w:rPr>
      </w:pPr>
      <w:r>
        <w:rPr>
          <w:color w:val="000000" w:themeColor="text1"/>
          <w:kern w:val="0"/>
          <w:sz w:val="24"/>
          <w:szCs w:val="28"/>
          <w14:textFill>
            <w14:solidFill>
              <w14:schemeClr w14:val="tx1"/>
            </w14:solidFill>
          </w14:textFill>
        </w:rPr>
        <w:t>过氧乙酸、柴油以及未经处理的牛舍冲洗废水进入地表水体后，不仅会造成短期的水质恶化和水生动植物死亡，还可能对生态系统的结构和功能造成长期影响。例如，长期的污染可能导致水体生物多样性下降，生态系统的稳定性降低。同样，这些污染物进入土壤和地下水后，可能会影响土壤微生物的活性和植物的生长，破坏土壤生态系统的平衡，进而影响整个生态系统的健康。</w:t>
      </w:r>
    </w:p>
    <w:p w14:paraId="73107F42">
      <w:pPr>
        <w:autoSpaceDE w:val="0"/>
        <w:autoSpaceDN w:val="0"/>
        <w:adjustRightIn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（3）地下水和土壤环境</w:t>
      </w:r>
    </w:p>
    <w:p w14:paraId="5AEF005C">
      <w:pPr>
        <w:autoSpaceDE w:val="0"/>
        <w:autoSpaceDN w:val="0"/>
        <w:adjustRightInd w:val="0"/>
        <w:snapToGrid w:val="0"/>
        <w:spacing w:line="360" w:lineRule="auto"/>
        <w:ind w:firstLine="468" w:firstLineChars="200"/>
        <w:jc w:val="both"/>
        <w:rPr>
          <w:color w:val="000000" w:themeColor="text1"/>
          <w:kern w:val="0"/>
          <w:sz w:val="24"/>
          <w:szCs w:val="28"/>
          <w14:textFill>
            <w14:solidFill>
              <w14:schemeClr w14:val="tx1"/>
            </w14:solidFill>
          </w14:textFill>
        </w:rPr>
      </w:pPr>
      <w:r>
        <w:rPr>
          <w:color w:val="000000" w:themeColor="text1"/>
          <w:spacing w:val="-3"/>
          <w:sz w:val="24"/>
          <w14:textFill>
            <w14:solidFill>
              <w14:schemeClr w14:val="tx1"/>
            </w14:solidFill>
          </w14:textFill>
        </w:rPr>
        <w:t>过氧乙酸</w:t>
      </w:r>
      <w:r>
        <w:rPr>
          <w:color w:val="000000" w:themeColor="text1"/>
          <w:kern w:val="0"/>
          <w:sz w:val="24"/>
          <w:szCs w:val="28"/>
          <w14:textFill>
            <w14:solidFill>
              <w14:schemeClr w14:val="tx1"/>
            </w14:solidFill>
          </w14:textFill>
        </w:rPr>
        <w:t>和柴油若泄漏进入地下，将导致土壤污染。未经处理的牛舍冲洗废水泄漏含有高浓度的有机物和氨氮，会使土壤环境质量严重下降。当污染超出土壤的自净能力时，会出现有机物降解不完全和厌氧分解，产生恶臭物质和亚硝酸盐等有害成分，改变土壤的结构和性质，破坏其原有的功能。这将导致作物徒长、倒伏、晚熟或不熟，造成减产甚至毒害作物，引发大面积腐烂。此外，土壤对病原微生物的自净能力减弱，不仅增加了治理难度，还可能引发生物污染和疫病传播。</w:t>
      </w:r>
    </w:p>
    <w:p w14:paraId="1DEDAD27">
      <w:pPr>
        <w:autoSpaceDE w:val="0"/>
        <w:autoSpaceDN w:val="0"/>
        <w:adjustRightInd w:val="0"/>
        <w:snapToGrid w:val="0"/>
        <w:spacing w:line="360" w:lineRule="auto"/>
        <w:ind w:firstLine="468" w:firstLineChars="200"/>
        <w:jc w:val="both"/>
        <w:rPr>
          <w:color w:val="000000" w:themeColor="text1"/>
          <w:kern w:val="0"/>
          <w:sz w:val="24"/>
          <w:szCs w:val="28"/>
          <w14:textFill>
            <w14:solidFill>
              <w14:schemeClr w14:val="tx1"/>
            </w14:solidFill>
          </w14:textFill>
        </w:rPr>
      </w:pPr>
      <w:r>
        <w:rPr>
          <w:color w:val="000000" w:themeColor="text1"/>
          <w:spacing w:val="-3"/>
          <w:sz w:val="24"/>
          <w14:textFill>
            <w14:solidFill>
              <w14:schemeClr w14:val="tx1"/>
            </w14:solidFill>
          </w14:textFill>
        </w:rPr>
        <w:t>过氧乙酸</w:t>
      </w:r>
      <w:r>
        <w:rPr>
          <w:color w:val="000000" w:themeColor="text1"/>
          <w:kern w:val="0"/>
          <w:sz w:val="24"/>
          <w:szCs w:val="28"/>
          <w14:textFill>
            <w14:solidFill>
              <w14:schemeClr w14:val="tx1"/>
            </w14:solidFill>
          </w14:textFill>
        </w:rPr>
        <w:t>和柴油泄漏进入地下将使地下水受到污染。未经处理的牛舍冲洗废水</w:t>
      </w:r>
      <w:r>
        <w:rPr>
          <w:color w:val="000000" w:themeColor="text1"/>
          <w:kern w:val="0"/>
          <w:sz w:val="24"/>
          <w14:textFill>
            <w14:solidFill>
              <w14:schemeClr w14:val="tx1"/>
            </w14:solidFill>
          </w14:textFill>
        </w:rPr>
        <w:t>污事故排放</w:t>
      </w:r>
      <w:r>
        <w:rPr>
          <w:color w:val="000000" w:themeColor="text1"/>
          <w:kern w:val="0"/>
          <w:sz w:val="24"/>
          <w:szCs w:val="28"/>
          <w14:textFill>
            <w14:solidFill>
              <w14:schemeClr w14:val="tx1"/>
            </w14:solidFill>
          </w14:textFill>
        </w:rPr>
        <w:t>，会渗入地下污染地下水，可能会影响土壤微生物的活性和植物的生长，破坏土壤生态系统的平衡，进而影响整个生态系统的健康。”</w:t>
      </w:r>
    </w:p>
    <w:p w14:paraId="421881F1">
      <w:pPr>
        <w:autoSpaceDE w:val="0"/>
        <w:autoSpaceDN w:val="0"/>
        <w:adjustRightInd w:val="0"/>
        <w:snapToGrid w:val="0"/>
        <w:spacing w:line="360" w:lineRule="auto"/>
        <w:ind w:firstLine="480" w:firstLineChars="200"/>
        <w:jc w:val="both"/>
        <w:rPr>
          <w:color w:val="000000" w:themeColor="text1"/>
          <w:kern w:val="0"/>
          <w:sz w:val="24"/>
          <w:szCs w:val="28"/>
          <w14:textFill>
            <w14:solidFill>
              <w14:schemeClr w14:val="tx1"/>
            </w14:solidFill>
          </w14:textFill>
        </w:rPr>
      </w:pPr>
      <w:r>
        <w:rPr>
          <w:color w:val="000000" w:themeColor="text1"/>
          <w:kern w:val="0"/>
          <w:sz w:val="24"/>
          <w:szCs w:val="28"/>
          <w14:textFill>
            <w14:solidFill>
              <w14:schemeClr w14:val="tx1"/>
            </w14:solidFill>
          </w14:textFill>
        </w:rPr>
        <w:t>由上述分析，废水事故排污对环境的危害较大，应坚决杜绝项目废水事故排放的发生。</w:t>
      </w:r>
    </w:p>
    <w:p w14:paraId="413DCD0C">
      <w:pPr>
        <w:autoSpaceDE w:val="0"/>
        <w:autoSpaceDN w:val="0"/>
        <w:adjustRightInd w:val="0"/>
        <w:snapToGrid w:val="0"/>
        <w:spacing w:line="360" w:lineRule="auto"/>
        <w:ind w:left="474"/>
        <w:jc w:val="both"/>
        <w:rPr>
          <w:b/>
          <w:bCs/>
          <w:color w:val="000000" w:themeColor="text1"/>
          <w:spacing w:val="-2"/>
          <w:sz w:val="24"/>
          <w14:textFill>
            <w14:solidFill>
              <w14:schemeClr w14:val="tx1"/>
            </w14:solidFill>
          </w14:textFill>
        </w:rPr>
      </w:pPr>
      <w:r>
        <w:rPr>
          <w:rFonts w:hint="eastAsia"/>
          <w:b/>
          <w:bCs/>
          <w:color w:val="000000" w:themeColor="text1"/>
          <w:spacing w:val="-2"/>
          <w:sz w:val="24"/>
          <w:highlight w:val="lightGray"/>
          <w14:textFill>
            <w14:solidFill>
              <w14:schemeClr w14:val="tx1"/>
            </w14:solidFill>
          </w14:textFill>
        </w:rPr>
        <w:t>（</w:t>
      </w:r>
      <w:r>
        <w:rPr>
          <w:rFonts w:hint="eastAsia"/>
          <w:b/>
          <w:bCs/>
          <w:color w:val="000000" w:themeColor="text1"/>
          <w:spacing w:val="-2"/>
          <w:sz w:val="24"/>
          <w14:textFill>
            <w14:solidFill>
              <w14:schemeClr w14:val="tx1"/>
            </w14:solidFill>
          </w14:textFill>
        </w:rPr>
        <w:t>4</w:t>
      </w:r>
      <w:r>
        <w:rPr>
          <w:rFonts w:hint="eastAsia"/>
          <w:b/>
          <w:bCs/>
          <w:color w:val="000000" w:themeColor="text1"/>
          <w:spacing w:val="-2"/>
          <w:sz w:val="24"/>
          <w:highlight w:val="lightGray"/>
          <w14:textFill>
            <w14:solidFill>
              <w14:schemeClr w14:val="tx1"/>
            </w14:solidFill>
          </w14:textFill>
        </w:rPr>
        <w:t>）</w:t>
      </w:r>
      <w:r>
        <w:rPr>
          <w:b/>
          <w:bCs/>
          <w:color w:val="000000" w:themeColor="text1"/>
          <w:kern w:val="0"/>
          <w:sz w:val="24"/>
          <w14:textFill>
            <w14:solidFill>
              <w14:schemeClr w14:val="tx1"/>
            </w14:solidFill>
          </w14:textFill>
        </w:rPr>
        <w:t>疫情</w:t>
      </w:r>
      <w:r>
        <w:rPr>
          <w:b/>
          <w:bCs/>
          <w:color w:val="000000" w:themeColor="text1"/>
          <w:spacing w:val="-2"/>
          <w:sz w:val="24"/>
          <w14:textFill>
            <w14:solidFill>
              <w14:schemeClr w14:val="tx1"/>
            </w14:solidFill>
          </w14:textFill>
        </w:rPr>
        <w:t>风险分析</w:t>
      </w:r>
    </w:p>
    <w:p w14:paraId="161FDC81">
      <w:pPr>
        <w:autoSpaceDE w:val="0"/>
        <w:autoSpaceDN w:val="0"/>
        <w:adjustRightInd w:val="0"/>
        <w:snapToGrid w:val="0"/>
        <w:spacing w:line="360" w:lineRule="auto"/>
        <w:ind w:firstLine="480" w:firstLineChars="200"/>
        <w:jc w:val="both"/>
        <w:rPr>
          <w:color w:val="FF0000"/>
          <w:sz w:val="24"/>
        </w:rPr>
      </w:pPr>
      <w:r>
        <w:rPr>
          <w:rFonts w:hint="eastAsia"/>
          <w:color w:val="FF0000"/>
          <w:sz w:val="24"/>
        </w:rPr>
        <w:t>养牛场如管理不善，会诱发常见疾病，如口蹄疫、炭疽等，而且传播很快，甚至感染到人群。为了避免疫病发生，应建立好良好的防范措施。</w:t>
      </w:r>
    </w:p>
    <w:p w14:paraId="4E317B36">
      <w:pPr>
        <w:autoSpaceDE w:val="0"/>
        <w:autoSpaceDN w:val="0"/>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炭疽是由炭疽杆菌引起的一种急性、热败血性传染病。本病能传染给人和其他家畜。炭疽杆菌为革兰氏阳性菌，为需氧和兼性需氧菌。菌体对外界理化因素的抵抗力不强，但炭疽杆菌芽孢的抵抗力很强，在干燥状态下可存活40年以上，在土壤中可生存20年以上且具有感染力。如果被感染动物的尸体处理不当或形成大量芽孢并污染土壤、水源、牧地等,则可成为长久的疫源地。本病主要传染源是病畜，经消化道感染。常因采食被污染的饲料、饮水而感染，其次是带有炭疽杆菌的吸血昆虫叮咬，通过皮肤而感染。本病世界各地均有发生，一般呈散发性，但有时也可呈地方性流行。多发生于炎热多雨的季节。牛群一般为最急性型发病，体温升高，出现昏迷、突然卧倒、呼吸极度困难、可视黏膜呈蓝紫色、口吐白沫、全身战栗、心悸等症状，不久出现虚脱，出现症状后数分钟至数小时死亡。</w:t>
      </w:r>
    </w:p>
    <w:p w14:paraId="7AF01EAC">
      <w:pPr>
        <w:autoSpaceDE w:val="0"/>
        <w:autoSpaceDN w:val="0"/>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蹄疫是偶蹄兽的一种急性、发热性高度接触性传染病，其临床特征是在口腔黏膜、蹄部和乳房皮肤发生水疱性疹。病毒主要存在于水疱皮及淋巴液中。病牛是主要的传染源，康复期和潜伏期的病牛亦可带毒排毒，本病主要经呼吸和消化道感染，也能经黏膜和皮肤感染。其传播既有蔓延式又有跳跃式的，它可发生于一年四季。潜伏期平均2～4天，最长可达7天左右，病牛体温升高40～41℃,精神沉郁、食欲下降，闭口、流涎，开口时有吸吮声。1～2天后在唇内面、齿龈、舌面和颊部黏膜发生蚕豆大至核桃大的水疱。此时口角流涎增多，呈白色泡沫状，常挂满嘴边，采食、反刍完全停止。在口腔发生水疱的同时或稍后，趾间及蹄冠的柔软皮肤上也发生水疱，并很快破溃出现糜烂，然后逐渐愈合。若病牛衰弱管理不当或治疗不及时，糜烂部可能继发感染化脓、坏死甚至蹄匣脱落，乳头皮肤有时也可能出现水疱，而且很快破裂形成烂斑。本病一般为良性经过，只是口腔发病，约经1周即可治愈，如果蹄部出现病变时，则病期可延至2～3周或更久，死亡率一般不超过1%~3%。但有时当水疱病变逐渐愈合，病牛趋向恢复健康时，病情突然恶化，全身虚弱、肌肉震颤、特别是心跳加快、节律不齐，因心脏停搏而突然倒地死亡，这种病型称为恶性口蹄疫，病死率高达20%～50%，主要是由于病毒侵害心肌所致。犊牛患病时特征性水疱症状不明显，主要表现为出血性肠炎和心肌麻痹，死亡率很高。标准化肉牛养殖</w:t>
      </w:r>
      <w:r>
        <w:rPr>
          <w:color w:val="000000" w:themeColor="text1"/>
          <w:sz w:val="24"/>
          <w14:textFill>
            <w14:solidFill>
              <w14:schemeClr w14:val="tx1"/>
            </w14:solidFill>
          </w14:textFill>
        </w:rPr>
        <w:t xml:space="preserve">场养殖规模大、密度高、传播速度快，疾病威胁严重，若养殖场管理不善，会诱发常见疾病，如禽流感、新城疫、传染性支气管炎等，一旦发生疫情传播速度极快，很难控制，可直接导致牲畜死亡、产品低劣、产量下降，防治费用增加，经济损失巨大，甚至感染到人群。 </w:t>
      </w:r>
    </w:p>
    <w:p w14:paraId="22ABD2A5">
      <w:pPr>
        <w:autoSpaceDE w:val="0"/>
        <w:autoSpaceDN w:val="0"/>
        <w:adjustRightInd w:val="0"/>
        <w:snapToGrid w:val="0"/>
        <w:spacing w:line="360" w:lineRule="auto"/>
        <w:ind w:firstLine="480" w:firstLineChars="200"/>
        <w:jc w:val="both"/>
        <w:rPr>
          <w:color w:val="000000" w:themeColor="text1"/>
          <w:kern w:val="0"/>
          <w:sz w:val="24"/>
          <w:szCs w:val="28"/>
          <w14:textFill>
            <w14:solidFill>
              <w14:schemeClr w14:val="tx1"/>
            </w14:solidFill>
          </w14:textFill>
        </w:rPr>
      </w:pPr>
      <w:r>
        <w:rPr>
          <w:rFonts w:hint="eastAsia"/>
          <w:color w:val="000000" w:themeColor="text1"/>
          <w:kern w:val="0"/>
          <w:sz w:val="24"/>
          <w:szCs w:val="28"/>
          <w14:textFill>
            <w14:solidFill>
              <w14:schemeClr w14:val="tx1"/>
            </w14:solidFill>
          </w14:textFill>
        </w:rPr>
        <w:t>在养殖场发生重大传染疫病病情时，若未及时对病死牛尸体进行安全处置，特别是在发生人畜共患病疫情时，有可能引发周边大规模疫情的发生，产生重大的公共卫生及人群健康安全风险事件。</w:t>
      </w:r>
      <w:r>
        <w:rPr>
          <w:color w:val="000000" w:themeColor="text1"/>
          <w:kern w:val="0"/>
          <w:sz w:val="24"/>
          <w:szCs w:val="28"/>
          <w14:textFill>
            <w14:solidFill>
              <w14:schemeClr w14:val="tx1"/>
            </w14:solidFill>
          </w14:textFill>
        </w:rPr>
        <w:t>因此，肉牛养殖场需要采取有效的预防和控制措施，如疫苗接种、定期检疫、改善饲养管理等，以减少疾病的发生和传播。</w:t>
      </w:r>
    </w:p>
    <w:bookmarkEnd w:id="946"/>
    <w:bookmarkEnd w:id="947"/>
    <w:p w14:paraId="34BCC714">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59" w:name="_Toc520469069"/>
      <w:bookmarkStart w:id="960" w:name="_Toc40220817"/>
      <w:bookmarkStart w:id="961" w:name="_Toc8019"/>
      <w:bookmarkStart w:id="962" w:name="_Toc233380263"/>
      <w:r>
        <w:rPr>
          <w:rFonts w:ascii="Times New Roman" w:hAnsi="Times New Roman" w:eastAsia="宋体"/>
          <w:color w:val="000000" w:themeColor="text1"/>
          <w:sz w:val="30"/>
          <w:szCs w:val="30"/>
          <w14:textFill>
            <w14:solidFill>
              <w14:schemeClr w14:val="tx1"/>
            </w14:solidFill>
          </w14:textFill>
        </w:rPr>
        <w:t>6.6环境风险</w:t>
      </w:r>
      <w:bookmarkEnd w:id="959"/>
      <w:r>
        <w:rPr>
          <w:rFonts w:ascii="Times New Roman" w:hAnsi="Times New Roman" w:eastAsia="宋体"/>
          <w:color w:val="000000" w:themeColor="text1"/>
          <w:sz w:val="30"/>
          <w:szCs w:val="30"/>
          <w14:textFill>
            <w14:solidFill>
              <w14:schemeClr w14:val="tx1"/>
            </w14:solidFill>
          </w14:textFill>
        </w:rPr>
        <w:t>防范措施</w:t>
      </w:r>
      <w:bookmarkEnd w:id="960"/>
      <w:r>
        <w:rPr>
          <w:rFonts w:ascii="Times New Roman" w:hAnsi="Times New Roman" w:eastAsia="宋体"/>
          <w:color w:val="000000" w:themeColor="text1"/>
          <w:sz w:val="30"/>
          <w:szCs w:val="30"/>
          <w14:textFill>
            <w14:solidFill>
              <w14:schemeClr w14:val="tx1"/>
            </w14:solidFill>
          </w14:textFill>
        </w:rPr>
        <w:t>及应急要求</w:t>
      </w:r>
      <w:bookmarkEnd w:id="961"/>
      <w:bookmarkEnd w:id="962"/>
    </w:p>
    <w:p w14:paraId="492E1A83">
      <w:pPr>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1、柴油燃爆风险防范措施</w:t>
      </w:r>
    </w:p>
    <w:p w14:paraId="08BC020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本项目柴油的储运，应严格按照国家、行业相关规定执行，需采取的防范措施主要包括：</w:t>
      </w:r>
    </w:p>
    <w:p w14:paraId="2FA6E31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（1）柴油发电机房的建设满足防火要求，防火间距、消防通道、消防设施等满足要求。</w:t>
      </w:r>
    </w:p>
    <w:p w14:paraId="3061EE2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（2）柴油发电机房储油桶与周围建筑物之间有足够的防火距离。</w:t>
      </w:r>
    </w:p>
    <w:p w14:paraId="37FAF68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（3）柴油发电机房储油桶周围设置防火堤，防止因物料泄漏而引起流淌火或二次危害。</w:t>
      </w:r>
    </w:p>
    <w:p w14:paraId="31CFC1FA">
      <w:pPr>
        <w:wordWrap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（4）柴油发电机房以及储油桶的地面必须做重点防渗处理，使柴油发电机（包括柴油发电机房储油桶）防渗达到</w:t>
      </w:r>
      <w:r>
        <w:rPr>
          <w:bCs/>
          <w:color w:val="000000" w:themeColor="text1"/>
          <w:sz w:val="24"/>
          <w14:textFill>
            <w14:solidFill>
              <w14:schemeClr w14:val="tx1"/>
            </w14:solidFill>
          </w14:textFill>
        </w:rPr>
        <w:t>等效黏土防渗层Mb≥6.0m，渗透系数K≤1.0×10</w:t>
      </w:r>
      <w:r>
        <w:rPr>
          <w:bCs/>
          <w:color w:val="000000" w:themeColor="text1"/>
          <w:sz w:val="24"/>
          <w:vertAlign w:val="superscript"/>
          <w14:textFill>
            <w14:solidFill>
              <w14:schemeClr w14:val="tx1"/>
            </w14:solidFill>
          </w14:textFill>
        </w:rPr>
        <w:t>-7</w:t>
      </w:r>
      <w:r>
        <w:rPr>
          <w:bCs/>
          <w:color w:val="000000" w:themeColor="text1"/>
          <w:sz w:val="24"/>
          <w14:textFill>
            <w14:solidFill>
              <w14:schemeClr w14:val="tx1"/>
            </w14:solidFill>
          </w14:textFill>
        </w:rPr>
        <w:t>cm/s防渗技术要求。</w:t>
      </w:r>
    </w:p>
    <w:p w14:paraId="0A516B1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（5）柴油发电机以及储油桶下面必须添加集油盘收集发电机跑冒和渗漏出来的机油和柴油，减少对外环境的影响。</w:t>
      </w:r>
    </w:p>
    <w:p w14:paraId="70870276">
      <w:pPr>
        <w:autoSpaceDE w:val="0"/>
        <w:autoSpaceDN w:val="0"/>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（6）柴油发电机房以及储油桶应按相关规定设置消防器材，配置干粉泡沫化学灭火器。</w:t>
      </w:r>
    </w:p>
    <w:p w14:paraId="06765B49">
      <w:pPr>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2、过氧乙酸风险防范措施</w:t>
      </w:r>
    </w:p>
    <w:p w14:paraId="0598C11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注意储存的量不宜过大，尤其要注意储存时应该采用塑料容器，而不能用玻璃瓶等膨胀性较差的容器储存过氧乙酸。必须储存于低温、避光的阴凉处，并采取通风换气措施，防止挥发出的蒸气大量集聚形成爆炸性混合物。同时，由于其在贮存中易分解，应当注意有效期。储存过氧乙酸的容器应当留有不少于 5%的空隙，防止液体蒸发膨胀造成容器爆裂。严禁使用铁器或铝器等金属容器盛装存放。</w:t>
      </w:r>
    </w:p>
    <w:p w14:paraId="503419F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（2）刚拉运回来的过氧乙酸不宜立即使用，应当静置至少30分钟以上，以利运输过程中因震动等产生的静电消除，防止静电引起火灾或爆炸事故。</w:t>
      </w:r>
    </w:p>
    <w:p w14:paraId="79D61D8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储存场所应当设置明显的禁止烟火的防火标志，严禁使用非防爆电气照明或明火，电气线路若非十分必要不得架设，必须设置时必须采用防爆设计或采取防爆措施。同时要注意与热源、明火、易燃可燃物质等分开。</w:t>
      </w:r>
    </w:p>
    <w:p w14:paraId="2637D8B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（4）其受震时的灵敏性增大，在搬运过程中要轻拿轻放，禁止摔、砸、碰、撞和太阳长时间照射，注意避免因受热、接触明火及受到摩擦、震动、撞击引起燃烧爆炸而造成对人员的伤害。</w:t>
      </w:r>
    </w:p>
    <w:p w14:paraId="4781334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（5）应专库储存，专人保管，禁止与还原剂、有机物、可燃物、还原剂、酸碱和无机氧化剂等混合或接触，保管及使用人员应进行消防安全培训。</w:t>
      </w:r>
    </w:p>
    <w:p w14:paraId="4298117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（6）在进行室内喷洒消毒时浓度不易过高，应按说明进行稀释。</w:t>
      </w:r>
    </w:p>
    <w:p w14:paraId="5EE3D02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（7）使用时应认真阅读使用说明书和安全须知，严格按要求进行操作。</w:t>
      </w:r>
    </w:p>
    <w:p w14:paraId="56389D39">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8）发生过氧乙酸火灾事故或大量液体泄漏时，抢险人员必须加强个人防护措施，宜在上风方向进行抢险作业，或用湿毛巾捂住口鼻可防止其对人体的毒害性，必要时应配戴空气呼吸器。对泄漏的液体可用水进行洗消，对火灾宜用水、泡沫和二氧化碳剂（灭火器）进行扑救。不得用干粉扑救过氧乙酸火灾。</w:t>
      </w:r>
    </w:p>
    <w:p w14:paraId="54F4805A">
      <w:pPr>
        <w:spacing w:line="360" w:lineRule="auto"/>
        <w:ind w:firstLine="482" w:firstLineChars="200"/>
        <w:rPr>
          <w:b/>
          <w:color w:val="EE0000"/>
          <w:sz w:val="24"/>
        </w:rPr>
      </w:pPr>
      <w:r>
        <w:rPr>
          <w:b/>
          <w:color w:val="EE0000"/>
          <w:sz w:val="24"/>
        </w:rPr>
        <w:t>4、废水污染事故防范措施</w:t>
      </w:r>
    </w:p>
    <w:p w14:paraId="42ECE512">
      <w:pPr>
        <w:spacing w:line="360" w:lineRule="auto"/>
        <w:ind w:firstLine="480" w:firstLineChars="200"/>
        <w:rPr>
          <w:color w:val="EE0000"/>
          <w:sz w:val="24"/>
        </w:rPr>
      </w:pPr>
      <w:r>
        <w:rPr>
          <w:color w:val="EE0000"/>
          <w:sz w:val="24"/>
        </w:rPr>
        <w:t>为避免养殖废水泄漏事故的发生，建设单位需做好有关防范措施：</w:t>
      </w:r>
    </w:p>
    <w:p w14:paraId="151CBE5B">
      <w:pPr>
        <w:spacing w:line="360" w:lineRule="auto"/>
        <w:ind w:firstLine="480" w:firstLineChars="200"/>
        <w:rPr>
          <w:color w:val="EE0000"/>
          <w:sz w:val="24"/>
        </w:rPr>
      </w:pPr>
      <w:r>
        <w:rPr>
          <w:color w:val="EE0000"/>
          <w:sz w:val="24"/>
        </w:rPr>
        <w:t>（1）</w:t>
      </w:r>
      <w:r>
        <w:rPr>
          <w:color w:val="EE0000"/>
          <w:spacing w:val="-2"/>
          <w:sz w:val="24"/>
        </w:rPr>
        <w:t>牛舍等均做好防渗防漏措施，一旦发现渗漏点，及时进行堵漏，</w:t>
      </w:r>
      <w:r>
        <w:rPr>
          <w:color w:val="EE0000"/>
          <w:spacing w:val="-3"/>
          <w:sz w:val="24"/>
        </w:rPr>
        <w:t>防止污染进一步扩散</w:t>
      </w:r>
      <w:r>
        <w:rPr>
          <w:color w:val="EE0000"/>
          <w:sz w:val="24"/>
        </w:rPr>
        <w:t>防止污水泄漏污染地下水。</w:t>
      </w:r>
    </w:p>
    <w:p w14:paraId="0ABF623C">
      <w:pPr>
        <w:spacing w:line="360" w:lineRule="auto"/>
        <w:ind w:firstLine="480" w:firstLineChars="200"/>
        <w:rPr>
          <w:color w:val="000000" w:themeColor="text1"/>
          <w:spacing w:val="-3"/>
          <w:sz w:val="24"/>
          <w14:textFill>
            <w14:solidFill>
              <w14:schemeClr w14:val="tx1"/>
            </w14:solidFill>
          </w14:textFill>
        </w:rPr>
      </w:pPr>
      <w:r>
        <w:rPr>
          <w:color w:val="EE0000"/>
          <w:sz w:val="24"/>
        </w:rPr>
        <w:t>（2）</w:t>
      </w:r>
      <w:r>
        <w:rPr>
          <w:color w:val="EE0000"/>
          <w:kern w:val="0"/>
          <w:sz w:val="24"/>
          <w:lang w:bidi="ar"/>
        </w:rPr>
        <w:t>项目牛牛设清洗的周期为半年</w:t>
      </w:r>
      <w:r>
        <w:rPr>
          <w:color w:val="000000" w:themeColor="text1"/>
          <w:kern w:val="0"/>
          <w:sz w:val="24"/>
          <w:lang w:bidi="ar"/>
          <w14:textFill>
            <w14:solidFill>
              <w14:schemeClr w14:val="tx1"/>
            </w14:solidFill>
          </w14:textFill>
        </w:rPr>
        <w:t>清洗一次，产生量较小，养殖场内集水池</w:t>
      </w:r>
      <w:r>
        <w:rPr>
          <w:color w:val="000000" w:themeColor="text1"/>
          <w:spacing w:val="-3"/>
          <w:sz w:val="24"/>
          <w14:textFill>
            <w14:solidFill>
              <w14:schemeClr w14:val="tx1"/>
            </w14:solidFill>
          </w14:textFill>
        </w:rPr>
        <w:t>，可以收集暂存牛舍清洗一次的废水。</w:t>
      </w:r>
    </w:p>
    <w:p w14:paraId="6B283B9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（3）加强废水处理设施的维护和管理，发现问题及时解决，确保处理系统正常运行。</w:t>
      </w:r>
    </w:p>
    <w:p w14:paraId="37C7E1C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集水</w:t>
      </w:r>
      <w:r>
        <w:rPr>
          <w:color w:val="000000" w:themeColor="text1"/>
          <w:sz w:val="24"/>
          <w14:textFill>
            <w14:solidFill>
              <w14:schemeClr w14:val="tx1"/>
            </w14:solidFill>
          </w14:textFill>
        </w:rPr>
        <w:t>池要加盖遮挡，避免雨季溢流。</w:t>
      </w:r>
    </w:p>
    <w:p w14:paraId="0A2CC97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（5）加强厂内所有排污管沟的管理，做好日常巡视工作，防治发生跑冒滴漏事件。</w:t>
      </w:r>
    </w:p>
    <w:p w14:paraId="73398E14">
      <w:pPr>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5、畜禽疫病事故风险防范措施</w:t>
      </w:r>
    </w:p>
    <w:p w14:paraId="020C89C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（1）疫病预防措施</w:t>
      </w:r>
    </w:p>
    <w:p w14:paraId="360E828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根据《中华人民共和国动物防疫法》（主席令第七十一号）及其他相关管理办法的要求，本项目的生产经营活动采取以下措施保障动物疫病的防治：</w:t>
      </w:r>
    </w:p>
    <w:p w14:paraId="65B1D90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合理规划养殖场布局，区分生产区、生活区和隔离区，减少交叉污染风险。限制外来人员进入养殖场，必要时进行消毒和更换工作服。对进出养殖场的车辆进行严格消毒，特别是运输畜禽和饲料的车辆。定期对养殖设备、工具进行清洗和消毒，避免交叉使用。</w:t>
      </w:r>
    </w:p>
    <w:p w14:paraId="72DF883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2）在生产中应坚持“防重于治”的方针，改变原来的被动治疗为现在的主动预防。如引种时的检疫、隔离、消毒；养牛场疾病的化验与预测；疫苗的注射、药物预防等等，都是将疾病拒之门外的有效办法。</w:t>
      </w:r>
    </w:p>
    <w:p w14:paraId="0479289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3）严格控制非生产人员进入生产区，必须进入时应更换工作服及鞋帽，经消毒室消毒后才能进入。</w:t>
      </w:r>
    </w:p>
    <w:p w14:paraId="3717839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加强影响疾病发生和流行的饲养管理因素，主要包括饲料营养、饮水质量、饲养密度、通风换气、防暑或保温、粪便和污物处理、环境卫生和消毒、动物圈舍管理、生产管理制度、全进全出制度、技术操作规程以及患病动物隔离、检疫等内容，防治病原微生物在不同批次群体中形成连续感染或交叉感染。</w:t>
      </w:r>
    </w:p>
    <w:p w14:paraId="1C1F59E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5）根据当地疫病流行情况，选择合适的疫苗进行免疫接种。制定科学的免疫程序，确保畜禽在关键生长阶段获得有效保护。详细记录免疫时间、疫苗种类、剂量等信息，便于追溯和管理。</w:t>
      </w:r>
    </w:p>
    <w:p w14:paraId="79C8889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6）加强员工防疫知识和兽医法规的教育；做好牛只的免疫接种工作，做好群体防治，必要时使用免疫增强剂，在使用药物的同时，也要做好药物消毒检查，确保药物的安全。</w:t>
      </w:r>
    </w:p>
    <w:p w14:paraId="1D2C35D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7）严格落实消毒制度，定期对养殖场环境进行消毒，包括圈舍、通道、排水沟等。对饲料槽、饮水器、工具等进行定期消毒。工作人员进入养殖区前，需进行手部消毒和更换工作服。进出养殖场的车辆必须经过消毒池或喷雾消毒。并定期进行厂区杀虫灭鼠工作，切断昆虫和鼠类等传染源。</w:t>
      </w:r>
    </w:p>
    <w:p w14:paraId="441A22B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8）保持牛舍的清洁，干燥、平整、无杂物。</w:t>
      </w:r>
    </w:p>
    <w:p w14:paraId="39B1B2D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9）定期对养殖场员工进行疫病防控知识培训，提高防控意识。通过宣传资料、培训课程等方式，普及疫病防控知识。</w:t>
      </w:r>
    </w:p>
    <w:p w14:paraId="7127F54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（2）疫病监测制度</w:t>
      </w:r>
    </w:p>
    <w:p w14:paraId="24FA27B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疫病监测是预防疾病的关键，养殖场日常需要对养殖场内牛只的健康状况、免疫水平以及原发病史进行全面、细致地观察了解，才能有针对性制定免疫程序、防控措施和净化方案。</w:t>
      </w:r>
    </w:p>
    <w:p w14:paraId="2BD39AA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（3）发生疫情时紧急措施</w:t>
      </w:r>
    </w:p>
    <w:p w14:paraId="6FE0274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1）做好疫情报告和疫情诊断工作，迅速全面准确的将疫情报告给主管防疫部门，以便畜禽防疫检疫机构及时正确的做出诊断，提出并实施防治办法，控制疫病的蔓延扩散。</w:t>
      </w:r>
    </w:p>
    <w:p w14:paraId="05505E6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2）对于已经感染疫病的动物，可以挽救的，应进行及时全面的治疗措施，但对于感染烈性传染病的畜禽，应坚决予以扑杀后，交由当地县级以上地方人民政府兽医主管部门负责处置。</w:t>
      </w:r>
    </w:p>
    <w:p w14:paraId="7742A6D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3）制定详细的疫病应急预案，包括疫情报告、隔离、消毒、扑杀等措施。 储备必要的应急物资，如消毒剂、防护服、疫苗等。 定期进行应急演练，提高应对疫情的能力。</w:t>
      </w:r>
    </w:p>
    <w:p w14:paraId="5307E8B0">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63" w:name="_Toc40220827"/>
      <w:bookmarkStart w:id="964" w:name="_Toc9136"/>
      <w:bookmarkStart w:id="965" w:name="_Toc233380264"/>
      <w:r>
        <w:rPr>
          <w:rFonts w:ascii="Times New Roman" w:hAnsi="Times New Roman" w:eastAsia="宋体"/>
          <w:color w:val="000000" w:themeColor="text1"/>
          <w:sz w:val="30"/>
          <w:szCs w:val="30"/>
          <w14:textFill>
            <w14:solidFill>
              <w14:schemeClr w14:val="tx1"/>
            </w14:solidFill>
          </w14:textFill>
        </w:rPr>
        <w:t>6.7风险事故应急预案</w:t>
      </w:r>
      <w:bookmarkEnd w:id="963"/>
      <w:bookmarkEnd w:id="964"/>
      <w:bookmarkEnd w:id="965"/>
    </w:p>
    <w:p w14:paraId="71768C90">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bookmarkStart w:id="966" w:name="_Toc225843528"/>
      <w:bookmarkStart w:id="967" w:name="_Toc225843692"/>
      <w:bookmarkStart w:id="968" w:name="_Toc226435153"/>
      <w:bookmarkStart w:id="969" w:name="_Toc225843200"/>
      <w:r>
        <w:rPr>
          <w:color w:val="000000" w:themeColor="text1"/>
          <w:kern w:val="0"/>
          <w:sz w:val="24"/>
          <w14:textFill>
            <w14:solidFill>
              <w14:schemeClr w14:val="tx1"/>
            </w14:solidFill>
          </w14:textFill>
        </w:rPr>
        <w:t>1、企业内部应急预案</w:t>
      </w:r>
    </w:p>
    <w:p w14:paraId="6BFB6E57">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根据《突发事件应急预案管理办法》（国办发〔2013〕101号）、《突发环境事件应急管理办法》（环境保护部第34号）、《企业事业单位突发环境事件应急预案备案管理办法（试行）》（环发〔2015〕4号）、《突发环境事件信息报告办法》（环境保护部令第17号）、《突发环境事件应急预案管理暂行办法》（环发〔2010〕113号）、《企业事业单位突发环境事件应急预案备案管理办法（试行）》（环发</w:t>
      </w:r>
      <w:r>
        <w:rPr>
          <w:bCs/>
          <w:color w:val="000000" w:themeColor="text1"/>
          <w:kern w:val="0"/>
          <w:sz w:val="24"/>
          <w14:textFill>
            <w14:solidFill>
              <w14:schemeClr w14:val="tx1"/>
            </w14:solidFill>
          </w14:textFill>
        </w:rPr>
        <w:t>[2015]4</w:t>
      </w:r>
      <w:r>
        <w:rPr>
          <w:color w:val="000000" w:themeColor="text1"/>
          <w:kern w:val="0"/>
          <w:sz w:val="24"/>
          <w14:textFill>
            <w14:solidFill>
              <w14:schemeClr w14:val="tx1"/>
            </w14:solidFill>
          </w14:textFill>
        </w:rPr>
        <w:t>号）、《四川省突发环境事件应急预案备案行业名录（2022版）》，编制突发环境事件应急预案并到当地生态环境主管部门备案。突发环境事件应急预案的应包括下表内容。</w:t>
      </w:r>
    </w:p>
    <w:p w14:paraId="27C4ED87">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表6.7-1 环境风险应急预案内容</w:t>
      </w:r>
    </w:p>
    <w:tbl>
      <w:tblPr>
        <w:tblStyle w:val="88"/>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978"/>
        <w:gridCol w:w="2424"/>
        <w:gridCol w:w="4911"/>
      </w:tblGrid>
      <w:tr w14:paraId="567479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blHeader/>
        </w:trPr>
        <w:tc>
          <w:tcPr>
            <w:tcW w:w="588" w:type="pct"/>
            <w:tcBorders>
              <w:top w:val="single" w:color="auto" w:sz="12" w:space="0"/>
            </w:tcBorders>
            <w:vAlign w:val="center"/>
          </w:tcPr>
          <w:p w14:paraId="48D91980">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序号</w:t>
            </w:r>
          </w:p>
        </w:tc>
        <w:tc>
          <w:tcPr>
            <w:tcW w:w="1458" w:type="pct"/>
            <w:tcBorders>
              <w:top w:val="single" w:color="auto" w:sz="12" w:space="0"/>
            </w:tcBorders>
            <w:vAlign w:val="center"/>
          </w:tcPr>
          <w:p w14:paraId="4BB42BF3">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项目</w:t>
            </w:r>
          </w:p>
        </w:tc>
        <w:tc>
          <w:tcPr>
            <w:tcW w:w="2954" w:type="pct"/>
            <w:tcBorders>
              <w:top w:val="single" w:color="auto" w:sz="12" w:space="0"/>
            </w:tcBorders>
            <w:vAlign w:val="center"/>
          </w:tcPr>
          <w:p w14:paraId="5A06EB0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内容及要求</w:t>
            </w:r>
          </w:p>
        </w:tc>
      </w:tr>
      <w:tr w14:paraId="3B41F3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88" w:type="pct"/>
            <w:vAlign w:val="center"/>
          </w:tcPr>
          <w:p w14:paraId="4D73DDD7">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p>
        </w:tc>
        <w:tc>
          <w:tcPr>
            <w:tcW w:w="1458" w:type="pct"/>
            <w:vAlign w:val="center"/>
          </w:tcPr>
          <w:p w14:paraId="711250A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应急组织机构、人员</w:t>
            </w:r>
          </w:p>
        </w:tc>
        <w:tc>
          <w:tcPr>
            <w:tcW w:w="2954" w:type="pct"/>
            <w:vAlign w:val="center"/>
          </w:tcPr>
          <w:p w14:paraId="66ADF94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公司应急机构人员，地方政府应急组织人员</w:t>
            </w:r>
          </w:p>
        </w:tc>
      </w:tr>
      <w:tr w14:paraId="60C56B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88" w:type="pct"/>
            <w:vAlign w:val="center"/>
          </w:tcPr>
          <w:p w14:paraId="6C38066A">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w:t>
            </w:r>
          </w:p>
        </w:tc>
        <w:tc>
          <w:tcPr>
            <w:tcW w:w="1458" w:type="pct"/>
            <w:vAlign w:val="center"/>
          </w:tcPr>
          <w:p w14:paraId="3C5B149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预案分级响应条件</w:t>
            </w:r>
          </w:p>
        </w:tc>
        <w:tc>
          <w:tcPr>
            <w:tcW w:w="2954" w:type="pct"/>
            <w:vAlign w:val="center"/>
          </w:tcPr>
          <w:p w14:paraId="0D32612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规定预案的级别及分级响应程序</w:t>
            </w:r>
          </w:p>
        </w:tc>
      </w:tr>
      <w:tr w14:paraId="0D76D4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88" w:type="pct"/>
            <w:vAlign w:val="center"/>
          </w:tcPr>
          <w:p w14:paraId="10CB739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w:t>
            </w:r>
          </w:p>
        </w:tc>
        <w:tc>
          <w:tcPr>
            <w:tcW w:w="1458" w:type="pct"/>
            <w:vAlign w:val="center"/>
          </w:tcPr>
          <w:p w14:paraId="681E3CAC">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应急救援保障</w:t>
            </w:r>
          </w:p>
        </w:tc>
        <w:tc>
          <w:tcPr>
            <w:tcW w:w="2954" w:type="pct"/>
            <w:vAlign w:val="center"/>
          </w:tcPr>
          <w:p w14:paraId="6B0A8400">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应急设施、设备与器材等</w:t>
            </w:r>
          </w:p>
        </w:tc>
      </w:tr>
      <w:tr w14:paraId="35CC68B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88" w:type="pct"/>
            <w:vAlign w:val="center"/>
          </w:tcPr>
          <w:p w14:paraId="22D496A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w:t>
            </w:r>
          </w:p>
        </w:tc>
        <w:tc>
          <w:tcPr>
            <w:tcW w:w="1458" w:type="pct"/>
            <w:vAlign w:val="center"/>
          </w:tcPr>
          <w:p w14:paraId="50A3F109">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报警、通讯联络方式</w:t>
            </w:r>
          </w:p>
        </w:tc>
        <w:tc>
          <w:tcPr>
            <w:tcW w:w="2954" w:type="pct"/>
            <w:vAlign w:val="center"/>
          </w:tcPr>
          <w:p w14:paraId="3C62CFD8">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规定应急状态下的报警通讯方式；交通保障、管制</w:t>
            </w:r>
          </w:p>
        </w:tc>
      </w:tr>
      <w:tr w14:paraId="5CCD01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88" w:type="pct"/>
            <w:vAlign w:val="center"/>
          </w:tcPr>
          <w:p w14:paraId="7DD8EBE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w:t>
            </w:r>
          </w:p>
        </w:tc>
        <w:tc>
          <w:tcPr>
            <w:tcW w:w="1458" w:type="pct"/>
            <w:vAlign w:val="center"/>
          </w:tcPr>
          <w:p w14:paraId="05DEA6B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应急环境监测、抢险、救援及控制措施</w:t>
            </w:r>
          </w:p>
        </w:tc>
        <w:tc>
          <w:tcPr>
            <w:tcW w:w="2954" w:type="pct"/>
            <w:vAlign w:val="center"/>
          </w:tcPr>
          <w:p w14:paraId="49AF1532">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由环境监测站负责对事故现场进行监测，对事故性质、参数与后果进行评估，为指挥部门提供决策根据</w:t>
            </w:r>
          </w:p>
        </w:tc>
      </w:tr>
      <w:tr w14:paraId="59B5041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88" w:type="pct"/>
            <w:vAlign w:val="center"/>
          </w:tcPr>
          <w:p w14:paraId="3FACFF33">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w:t>
            </w:r>
          </w:p>
        </w:tc>
        <w:tc>
          <w:tcPr>
            <w:tcW w:w="1458" w:type="pct"/>
            <w:vAlign w:val="center"/>
          </w:tcPr>
          <w:p w14:paraId="6AC70DF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应急检测、防护措施、清除泄漏措施器材</w:t>
            </w:r>
          </w:p>
        </w:tc>
        <w:tc>
          <w:tcPr>
            <w:tcW w:w="2954" w:type="pct"/>
            <w:vAlign w:val="center"/>
          </w:tcPr>
          <w:p w14:paraId="716F6650">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事故现场、邻近区域、控制防火区域，控制和清除污染措施及相应设备</w:t>
            </w:r>
          </w:p>
        </w:tc>
      </w:tr>
      <w:tr w14:paraId="262669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88" w:type="pct"/>
            <w:vAlign w:val="center"/>
          </w:tcPr>
          <w:p w14:paraId="106A0DDE">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w:t>
            </w:r>
          </w:p>
        </w:tc>
        <w:tc>
          <w:tcPr>
            <w:tcW w:w="1458" w:type="pct"/>
            <w:vAlign w:val="center"/>
          </w:tcPr>
          <w:p w14:paraId="4FA2C3A1">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人员紧急撤离、疏散</w:t>
            </w:r>
          </w:p>
        </w:tc>
        <w:tc>
          <w:tcPr>
            <w:tcW w:w="2954" w:type="pct"/>
            <w:vAlign w:val="center"/>
          </w:tcPr>
          <w:p w14:paraId="3237EA5B">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撤离组织计划及救护，医疗救护与公众健康</w:t>
            </w:r>
          </w:p>
        </w:tc>
      </w:tr>
      <w:tr w14:paraId="6945BA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88" w:type="pct"/>
            <w:vAlign w:val="center"/>
          </w:tcPr>
          <w:p w14:paraId="2ABD134F">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w:t>
            </w:r>
          </w:p>
        </w:tc>
        <w:tc>
          <w:tcPr>
            <w:tcW w:w="1458" w:type="pct"/>
            <w:vAlign w:val="center"/>
          </w:tcPr>
          <w:p w14:paraId="329A95F7">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事故应急救援关闭程序与恢复措施</w:t>
            </w:r>
          </w:p>
        </w:tc>
        <w:tc>
          <w:tcPr>
            <w:tcW w:w="2954" w:type="pct"/>
            <w:vAlign w:val="center"/>
          </w:tcPr>
          <w:p w14:paraId="6F77FD85">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专业队伍抢救结束后，做好事故现场善后处理，邻近区域解除事故警戒及善后恢复措施，现场调查、清理、清洗工作恢复生产状态，组织生产</w:t>
            </w:r>
          </w:p>
        </w:tc>
      </w:tr>
      <w:tr w14:paraId="520A31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88" w:type="pct"/>
            <w:tcBorders>
              <w:bottom w:val="single" w:color="auto" w:sz="12" w:space="0"/>
            </w:tcBorders>
            <w:vAlign w:val="center"/>
          </w:tcPr>
          <w:p w14:paraId="33116D0A">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w:t>
            </w:r>
          </w:p>
        </w:tc>
        <w:tc>
          <w:tcPr>
            <w:tcW w:w="1458" w:type="pct"/>
            <w:tcBorders>
              <w:bottom w:val="single" w:color="auto" w:sz="12" w:space="0"/>
            </w:tcBorders>
            <w:vAlign w:val="center"/>
          </w:tcPr>
          <w:p w14:paraId="3E90E19D">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应急培训计划</w:t>
            </w:r>
          </w:p>
        </w:tc>
        <w:tc>
          <w:tcPr>
            <w:tcW w:w="2954" w:type="pct"/>
            <w:tcBorders>
              <w:bottom w:val="single" w:color="auto" w:sz="12" w:space="0"/>
            </w:tcBorders>
            <w:vAlign w:val="center"/>
          </w:tcPr>
          <w:p w14:paraId="572C1ABA">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制定计划，安排人员培训与演练</w:t>
            </w:r>
          </w:p>
        </w:tc>
      </w:tr>
    </w:tbl>
    <w:p w14:paraId="6C190257">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2、应急组织机构</w:t>
      </w:r>
    </w:p>
    <w:p w14:paraId="167BA876">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企业为防止突发性环境污染事件的发生，专门成立有突发环境事件应急指挥部，指挥部由总指挥、副总指挥和成员组成。应急指挥部下设抢险救灾组、警戒疏散组、医疗救护组、应急监测组和通讯联络组。</w:t>
      </w:r>
    </w:p>
    <w:p w14:paraId="20FA7D3A">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3、应急响应程序</w:t>
      </w:r>
    </w:p>
    <w:p w14:paraId="44A2E30D">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事故应急救援一般包括报警与接警、应急救援队伍的出动、救援后备队的预备、实施应急救援（紧急疏散、现场急救）、溢出或泄漏救援和火灾控制几个方面。</w:t>
      </w:r>
    </w:p>
    <w:p w14:paraId="37ED406A">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事故报警。发生危险化学品特大事故或有可能发展成为特大事故和可能危及周边区域安全的事故时，企业应及时向应急指挥部报告或向119报警。报告或报警的内容包括：事故发生的时间、地点、企业名称、交通路线、联络电话、联络人姓名、危险化学品的种类、数量、事故类型（火灾、爆炸、有毒物质的大量泄漏等）、周边情况、需要支援的人员、设备、器材等。</w:t>
      </w:r>
    </w:p>
    <w:p w14:paraId="23CD026B">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（2）接到报告或报警后，应急指挥部立即指派应急总指挥，调集车辆和各专业队伍、设施迅速赶赴事故现场。</w:t>
      </w:r>
    </w:p>
    <w:p w14:paraId="0AE28988">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（3）事故发生单位应指派专人负责引导指挥人员及各专业队伍进入事故救援现场。</w:t>
      </w:r>
    </w:p>
    <w:p w14:paraId="2FC2E4E6">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（4）指挥人员到达现场后，立即了解现场情况及事故的性质，确定警戒区域和事故控制具体实施方案，布置各专业救援队伍任务。</w:t>
      </w:r>
    </w:p>
    <w:p w14:paraId="62D411C3">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（5）专家咨询到达现场后，迅速对事故情况做出判断，提出处置实施办法和防范措施，事故得到控制后，参与事故调查及提出防范措施。</w:t>
      </w:r>
    </w:p>
    <w:p w14:paraId="7CBA473E">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（6）各专业救援队伍到达现场后，服从现场指挥人员的指挥，采取必须的个人防护，按各自的分工展开处置和救援工作。</w:t>
      </w:r>
    </w:p>
    <w:p w14:paraId="114C1AD3">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（7）事故得到控制后，由专家组成员和生态环境部门指导进行现场洗消工作。</w:t>
      </w:r>
    </w:p>
    <w:p w14:paraId="2FADC986">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（8）事故得到控制后，由安全生产监督管理部门决定应妥善保护的区域，组织相关机构和人员对事故开展调查和救援工作。</w:t>
      </w:r>
    </w:p>
    <w:p w14:paraId="3918EE59">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5、应急环境监测</w:t>
      </w:r>
    </w:p>
    <w:p w14:paraId="0C7CAFEA">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当事故发生后，应急指挥部应迅速组织企业和专业应急监测机构对事故现场以及周围环境进行连续不间断监测，及时了事故现场及敏感目标环境空气中污染物的浓度或水体中污染物浓度，对事故的性质、参数以及各类污染物质的扩散程度进行评估，为指挥部门提供决策依据。园区应急指挥部应根据入区企业的性质、特点及企业的应急预案，确定相应的应急监测频次与监测点位，并及时纳入到应急预案中。</w:t>
      </w:r>
    </w:p>
    <w:p w14:paraId="267566D9">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6、应急救援结束、恢复现场</w:t>
      </w:r>
    </w:p>
    <w:p w14:paraId="00F74736">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应急救援指挥中心视事故救援结束，宣布应急救援结束，救援队伍和物资、设备撤离现场，恢复现场正常状态。</w:t>
      </w:r>
    </w:p>
    <w:p w14:paraId="297394D2">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7、事故调查、处理</w:t>
      </w:r>
    </w:p>
    <w:p w14:paraId="52210A97">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由公司主要负责人负责，生产相关人员组成公司调查小组，协调政府有关部门、专家、设计对事故的经过、原因进行调查、确定事故性质、认定事故责任，提出整改和防范措施。</w:t>
      </w:r>
    </w:p>
    <w:p w14:paraId="58A02114">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8、应急培训和演练</w:t>
      </w:r>
    </w:p>
    <w:p w14:paraId="1221D2BC">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由公司主要负责人或者负责安全环保工作人员对公司各级领导和员工进行相应的各级《环境风险事故应急预案》进行宣传和培训，并组织演练。</w:t>
      </w:r>
    </w:p>
    <w:p w14:paraId="369E414D">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70" w:name="_Toc24183"/>
      <w:bookmarkStart w:id="971" w:name="_Toc233380265"/>
      <w:r>
        <w:rPr>
          <w:rFonts w:ascii="Times New Roman" w:hAnsi="Times New Roman" w:eastAsia="宋体"/>
          <w:color w:val="000000" w:themeColor="text1"/>
          <w:sz w:val="30"/>
          <w:szCs w:val="30"/>
          <w14:textFill>
            <w14:solidFill>
              <w14:schemeClr w14:val="tx1"/>
            </w14:solidFill>
          </w14:textFill>
        </w:rPr>
        <w:t>6.8风险评价结论</w:t>
      </w:r>
      <w:bookmarkEnd w:id="970"/>
      <w:bookmarkEnd w:id="971"/>
    </w:p>
    <w:p w14:paraId="703BF9FE">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营运期间涉及的主要危险物质包括柴油、过氧乙酸，不构成重大危险源，项目环境风险事故的发生概率极小。建设单位通过采取一系列的风险防范措施，同时制定相应的事故应急预案，可有效地防止环境风险事故的发生；一旦发生事故，依靠安全防护设施和事故应急措施也能及时控制事故，防止事故的蔓延。减少事故带来的人员伤亡、财产损失和环境影响，项目的环境风险水平是可以接受的。综合分析，从环境风险角度分析本项目建设可行。</w:t>
      </w:r>
    </w:p>
    <w:bookmarkEnd w:id="966"/>
    <w:bookmarkEnd w:id="967"/>
    <w:bookmarkEnd w:id="968"/>
    <w:bookmarkEnd w:id="969"/>
    <w:p w14:paraId="47F26901">
      <w:pPr>
        <w:autoSpaceDE w:val="0"/>
        <w:autoSpaceDN w:val="0"/>
        <w:adjustRightInd w:val="0"/>
        <w:spacing w:line="360" w:lineRule="auto"/>
        <w:jc w:val="center"/>
        <w:rPr>
          <w:b/>
          <w:color w:val="000000" w:themeColor="text1"/>
          <w:szCs w:val="21"/>
          <w14:textFill>
            <w14:solidFill>
              <w14:schemeClr w14:val="tx1"/>
            </w14:solidFill>
          </w14:textFill>
        </w:rPr>
      </w:pPr>
      <w:bookmarkStart w:id="972" w:name="_Hlk773452"/>
      <w:r>
        <w:rPr>
          <w:b/>
          <w:color w:val="000000" w:themeColor="text1"/>
          <w:szCs w:val="21"/>
          <w14:textFill>
            <w14:solidFill>
              <w14:schemeClr w14:val="tx1"/>
            </w14:solidFill>
          </w14:textFill>
        </w:rPr>
        <w:t>表6.8-1 建设项目环境风险简单分析内容表</w:t>
      </w:r>
    </w:p>
    <w:tbl>
      <w:tblPr>
        <w:tblStyle w:val="88"/>
        <w:tblW w:w="5201"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2463"/>
        <w:gridCol w:w="1638"/>
        <w:gridCol w:w="1271"/>
        <w:gridCol w:w="2072"/>
      </w:tblGrid>
      <w:tr w14:paraId="7ABE83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tcBorders>
              <w:tl2br w:val="nil"/>
              <w:tr2bl w:val="nil"/>
            </w:tcBorders>
            <w:tcMar>
              <w:left w:w="28" w:type="dxa"/>
              <w:right w:w="28" w:type="dxa"/>
            </w:tcMar>
            <w:vAlign w:val="center"/>
          </w:tcPr>
          <w:p w14:paraId="39B31C3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建设项目名称</w:t>
            </w:r>
          </w:p>
        </w:tc>
        <w:tc>
          <w:tcPr>
            <w:tcW w:w="4304" w:type="pct"/>
            <w:gridSpan w:val="4"/>
            <w:tcBorders>
              <w:tl2br w:val="nil"/>
              <w:tr2bl w:val="nil"/>
            </w:tcBorders>
            <w:tcMar>
              <w:left w:w="28" w:type="dxa"/>
              <w:right w:w="28" w:type="dxa"/>
            </w:tcMar>
            <w:vAlign w:val="center"/>
          </w:tcPr>
          <w:p w14:paraId="274E1D1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巴州区肉牛产业建设项目</w:t>
            </w:r>
          </w:p>
        </w:tc>
      </w:tr>
      <w:tr w14:paraId="31EDA2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tcBorders>
              <w:tl2br w:val="nil"/>
              <w:tr2bl w:val="nil"/>
            </w:tcBorders>
            <w:tcMar>
              <w:left w:w="28" w:type="dxa"/>
              <w:right w:w="28" w:type="dxa"/>
            </w:tcMar>
            <w:vAlign w:val="center"/>
          </w:tcPr>
          <w:p w14:paraId="79D3FD4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建设地点</w:t>
            </w:r>
          </w:p>
        </w:tc>
        <w:tc>
          <w:tcPr>
            <w:tcW w:w="1424" w:type="pct"/>
            <w:tcBorders>
              <w:tl2br w:val="nil"/>
              <w:tr2bl w:val="nil"/>
            </w:tcBorders>
            <w:tcMar>
              <w:left w:w="28" w:type="dxa"/>
              <w:right w:w="28" w:type="dxa"/>
            </w:tcMar>
            <w:vAlign w:val="center"/>
          </w:tcPr>
          <w:p w14:paraId="54A8A5D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（四川）省</w:t>
            </w:r>
          </w:p>
        </w:tc>
        <w:tc>
          <w:tcPr>
            <w:tcW w:w="947" w:type="pct"/>
            <w:tcBorders>
              <w:tl2br w:val="nil"/>
              <w:tr2bl w:val="nil"/>
            </w:tcBorders>
            <w:tcMar>
              <w:left w:w="28" w:type="dxa"/>
              <w:right w:w="28" w:type="dxa"/>
            </w:tcMar>
            <w:vAlign w:val="center"/>
          </w:tcPr>
          <w:p w14:paraId="64F0397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（巴中）市</w:t>
            </w:r>
          </w:p>
        </w:tc>
        <w:tc>
          <w:tcPr>
            <w:tcW w:w="735" w:type="pct"/>
            <w:tcBorders>
              <w:tl2br w:val="nil"/>
              <w:tr2bl w:val="nil"/>
            </w:tcBorders>
            <w:tcMar>
              <w:left w:w="28" w:type="dxa"/>
              <w:right w:w="28" w:type="dxa"/>
            </w:tcMar>
            <w:vAlign w:val="center"/>
          </w:tcPr>
          <w:p w14:paraId="6ED8B7A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巴州区</w:t>
            </w:r>
          </w:p>
        </w:tc>
        <w:tc>
          <w:tcPr>
            <w:tcW w:w="1198" w:type="pct"/>
            <w:tcBorders>
              <w:tl2br w:val="nil"/>
              <w:tr2bl w:val="nil"/>
            </w:tcBorders>
            <w:tcMar>
              <w:left w:w="28" w:type="dxa"/>
              <w:right w:w="28" w:type="dxa"/>
            </w:tcMar>
            <w:vAlign w:val="center"/>
          </w:tcPr>
          <w:p w14:paraId="0B0AA1C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098E06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tcBorders>
              <w:tl2br w:val="nil"/>
              <w:tr2bl w:val="nil"/>
            </w:tcBorders>
            <w:tcMar>
              <w:left w:w="28" w:type="dxa"/>
              <w:right w:w="28" w:type="dxa"/>
            </w:tcMar>
            <w:vAlign w:val="center"/>
          </w:tcPr>
          <w:p w14:paraId="04863D4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地理坐标</w:t>
            </w:r>
          </w:p>
        </w:tc>
        <w:tc>
          <w:tcPr>
            <w:tcW w:w="1424" w:type="pct"/>
            <w:tcBorders>
              <w:tl2br w:val="nil"/>
              <w:tr2bl w:val="nil"/>
            </w:tcBorders>
            <w:tcMar>
              <w:left w:w="28" w:type="dxa"/>
              <w:right w:w="28" w:type="dxa"/>
            </w:tcMar>
            <w:vAlign w:val="center"/>
          </w:tcPr>
          <w:p w14:paraId="2CE8DD3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经度</w:t>
            </w:r>
          </w:p>
        </w:tc>
        <w:tc>
          <w:tcPr>
            <w:tcW w:w="947" w:type="pct"/>
            <w:tcBorders>
              <w:tl2br w:val="nil"/>
              <w:tr2bl w:val="nil"/>
            </w:tcBorders>
            <w:tcMar>
              <w:left w:w="28" w:type="dxa"/>
              <w:right w:w="28" w:type="dxa"/>
            </w:tcMar>
            <w:vAlign w:val="center"/>
          </w:tcPr>
          <w:p w14:paraId="7C7BC22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735" w:type="pct"/>
            <w:tcBorders>
              <w:tl2br w:val="nil"/>
              <w:tr2bl w:val="nil"/>
            </w:tcBorders>
            <w:tcMar>
              <w:left w:w="28" w:type="dxa"/>
              <w:right w:w="28" w:type="dxa"/>
            </w:tcMar>
            <w:vAlign w:val="center"/>
          </w:tcPr>
          <w:p w14:paraId="32D421F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纬度</w:t>
            </w:r>
          </w:p>
        </w:tc>
        <w:tc>
          <w:tcPr>
            <w:tcW w:w="1198" w:type="pct"/>
            <w:tcBorders>
              <w:tl2br w:val="nil"/>
              <w:tr2bl w:val="nil"/>
            </w:tcBorders>
            <w:tcMar>
              <w:left w:w="28" w:type="dxa"/>
              <w:right w:w="28" w:type="dxa"/>
            </w:tcMar>
            <w:vAlign w:val="center"/>
          </w:tcPr>
          <w:p w14:paraId="0F27EBC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488FFC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tcBorders>
              <w:tl2br w:val="nil"/>
              <w:tr2bl w:val="nil"/>
            </w:tcBorders>
            <w:tcMar>
              <w:left w:w="28" w:type="dxa"/>
              <w:right w:w="28" w:type="dxa"/>
            </w:tcMar>
            <w:vAlign w:val="center"/>
          </w:tcPr>
          <w:p w14:paraId="28AE165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主要危险物质及分布</w:t>
            </w:r>
          </w:p>
        </w:tc>
        <w:tc>
          <w:tcPr>
            <w:tcW w:w="4304" w:type="pct"/>
            <w:gridSpan w:val="4"/>
            <w:tcBorders>
              <w:tl2br w:val="nil"/>
              <w:tr2bl w:val="nil"/>
            </w:tcBorders>
            <w:tcMar>
              <w:left w:w="28" w:type="dxa"/>
              <w:right w:w="28" w:type="dxa"/>
            </w:tcMar>
            <w:vAlign w:val="center"/>
          </w:tcPr>
          <w:p w14:paraId="399C9F1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柴油、过氧乙酸等。</w:t>
            </w:r>
          </w:p>
        </w:tc>
      </w:tr>
      <w:tr w14:paraId="499A8A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tcBorders>
              <w:tl2br w:val="nil"/>
              <w:tr2bl w:val="nil"/>
            </w:tcBorders>
            <w:tcMar>
              <w:left w:w="28" w:type="dxa"/>
              <w:right w:w="28" w:type="dxa"/>
            </w:tcMar>
            <w:vAlign w:val="center"/>
          </w:tcPr>
          <w:p w14:paraId="56E0A2A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环境影响途径及危害后果</w:t>
            </w:r>
          </w:p>
        </w:tc>
        <w:tc>
          <w:tcPr>
            <w:tcW w:w="4304" w:type="pct"/>
            <w:gridSpan w:val="4"/>
            <w:tcBorders>
              <w:tl2br w:val="nil"/>
              <w:tr2bl w:val="nil"/>
            </w:tcBorders>
            <w:tcMar>
              <w:left w:w="28" w:type="dxa"/>
              <w:right w:w="28" w:type="dxa"/>
            </w:tcMar>
            <w:vAlign w:val="center"/>
          </w:tcPr>
          <w:p w14:paraId="02CCA408">
            <w:pPr>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大气环境：柴油、过氧乙酸泄漏后若遇明火很容易引起火灾、爆炸事故，火灾、爆炸产生的废气污染区域大气环境；</w:t>
            </w:r>
          </w:p>
          <w:p w14:paraId="7FBD85B1">
            <w:pPr>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地表水环境：柴油、过氧乙酸泄漏污染区域地表水体；污水事故泄漏、外溢可能污染区域地表水体；</w:t>
            </w:r>
          </w:p>
          <w:p w14:paraId="24BEDFC0">
            <w:pPr>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地下水环境、土壤环境：过氧乙酸、柴油泄漏、污水事故泄漏、外溢可能污染区域地下水环境或土壤环境。</w:t>
            </w:r>
          </w:p>
        </w:tc>
      </w:tr>
      <w:tr w14:paraId="7F17DE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tcBorders>
              <w:tl2br w:val="nil"/>
              <w:tr2bl w:val="nil"/>
            </w:tcBorders>
            <w:tcMar>
              <w:left w:w="28" w:type="dxa"/>
              <w:right w:w="28" w:type="dxa"/>
            </w:tcMar>
            <w:vAlign w:val="center"/>
          </w:tcPr>
          <w:p w14:paraId="48B8F66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风险防范要求（纳入企业应急预案统一管理）</w:t>
            </w:r>
          </w:p>
        </w:tc>
        <w:tc>
          <w:tcPr>
            <w:tcW w:w="4304" w:type="pct"/>
            <w:gridSpan w:val="4"/>
            <w:tcBorders>
              <w:tl2br w:val="nil"/>
              <w:tr2bl w:val="nil"/>
            </w:tcBorders>
            <w:tcMar>
              <w:left w:w="28" w:type="dxa"/>
              <w:right w:w="28" w:type="dxa"/>
            </w:tcMar>
            <w:vAlign w:val="center"/>
          </w:tcPr>
          <w:p w14:paraId="7AD2ABDB">
            <w:pPr>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1）加强重点防渗区的管理与维护，做好防渗防漏措施，加强日常监管和维护；（2）厂区合理规划，实行雨污分流；（3）规范储存易燃易爆物质、设置相关消防器材；（4）加强设施的维护和管理，发现问题及时解决；（5）养殖场应具有严格的卫生管理制度；（6）畜禽疫病事故风险防范需要从生物安全管理、免疫接种、消毒措施、饲料与饮水管理、疫情监测与报告、应急预案、培训与教育、记录与追溯、合作与沟通等多个方面入手，形成全面的防控体系；（7）做好肉牛的接种免疫工作；（8）定期对养殖场员工进行疫病防控知识培训，提高防控意识。待处理设施运行正常后，事故解除后重新</w:t>
            </w:r>
            <w:r>
              <w:rPr>
                <w:rFonts w:hint="eastAsia"/>
                <w:color w:val="000000" w:themeColor="text1"/>
                <w:szCs w:val="21"/>
                <w14:textFill>
                  <w14:solidFill>
                    <w14:schemeClr w14:val="tx1"/>
                  </w14:solidFill>
                </w14:textFill>
              </w:rPr>
              <w:t>对污染物</w:t>
            </w:r>
            <w:r>
              <w:rPr>
                <w:color w:val="000000" w:themeColor="text1"/>
                <w:szCs w:val="21"/>
                <w14:textFill>
                  <w14:solidFill>
                    <w14:schemeClr w14:val="tx1"/>
                  </w14:solidFill>
                </w14:textFill>
              </w:rPr>
              <w:t>进行处理。</w:t>
            </w:r>
          </w:p>
        </w:tc>
      </w:tr>
      <w:tr w14:paraId="4920B1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l2br w:val="nil"/>
              <w:tr2bl w:val="nil"/>
            </w:tcBorders>
            <w:tcMar>
              <w:left w:w="28" w:type="dxa"/>
              <w:right w:w="28" w:type="dxa"/>
            </w:tcMar>
            <w:vAlign w:val="center"/>
          </w:tcPr>
          <w:p w14:paraId="51CD396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填表说明：根据《建设项目环境风险评价技术导则》（HJ169-2018）进行分析，项目Q值&lt;1，风险潜势为I，评价等级为简单分析。在落实了环评提出的风险防范措施后，项目环境风险处于可接受水平。</w:t>
            </w:r>
          </w:p>
        </w:tc>
      </w:tr>
      <w:bookmarkEnd w:id="972"/>
    </w:tbl>
    <w:p w14:paraId="063A46D2">
      <w:pPr>
        <w:autoSpaceDE w:val="0"/>
        <w:autoSpaceDN w:val="0"/>
        <w:adjustRightInd w:val="0"/>
        <w:snapToGrid w:val="0"/>
        <w:spacing w:line="360" w:lineRule="auto"/>
        <w:ind w:firstLine="422" w:firstLineChars="200"/>
        <w:jc w:val="center"/>
        <w:rPr>
          <w:color w:val="000000" w:themeColor="text1"/>
          <w:sz w:val="36"/>
          <w:szCs w:val="36"/>
          <w14:textFill>
            <w14:solidFill>
              <w14:schemeClr w14:val="tx1"/>
            </w14:solidFill>
          </w14:textFill>
        </w:rPr>
      </w:pPr>
      <w:bookmarkStart w:id="973" w:name="_Toc40220833"/>
      <w:r>
        <w:rPr>
          <w:b/>
          <w:color w:val="000000" w:themeColor="text1"/>
          <w:szCs w:val="21"/>
          <w14:textFill>
            <w14:solidFill>
              <w14:schemeClr w14:val="tx1"/>
            </w14:solidFill>
          </w14:textFill>
        </w:rPr>
        <w:t>表6.8-2 环境分析评价自查表</w:t>
      </w:r>
    </w:p>
    <w:tbl>
      <w:tblPr>
        <w:tblStyle w:val="1745"/>
        <w:tblW w:w="871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4"/>
        <w:gridCol w:w="1049"/>
        <w:gridCol w:w="1363"/>
        <w:gridCol w:w="545"/>
        <w:gridCol w:w="1274"/>
        <w:gridCol w:w="500"/>
        <w:gridCol w:w="330"/>
        <w:gridCol w:w="488"/>
        <w:gridCol w:w="1375"/>
        <w:gridCol w:w="1350"/>
      </w:tblGrid>
      <w:tr w14:paraId="20586D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jc w:val="center"/>
        </w:trPr>
        <w:tc>
          <w:tcPr>
            <w:tcW w:w="1493" w:type="dxa"/>
            <w:gridSpan w:val="2"/>
            <w:tcBorders>
              <w:tl2br w:val="nil"/>
              <w:tr2bl w:val="nil"/>
            </w:tcBorders>
            <w:vAlign w:val="center"/>
          </w:tcPr>
          <w:p w14:paraId="04BBAB9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工作内容</w:t>
            </w:r>
          </w:p>
        </w:tc>
        <w:tc>
          <w:tcPr>
            <w:tcW w:w="7225" w:type="dxa"/>
            <w:gridSpan w:val="8"/>
            <w:tcBorders>
              <w:tl2br w:val="nil"/>
              <w:tr2bl w:val="nil"/>
            </w:tcBorders>
            <w:vAlign w:val="center"/>
          </w:tcPr>
          <w:p w14:paraId="2EB2E71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完成情况</w:t>
            </w:r>
          </w:p>
        </w:tc>
      </w:tr>
      <w:tr w14:paraId="5069B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jc w:val="center"/>
        </w:trPr>
        <w:tc>
          <w:tcPr>
            <w:tcW w:w="444" w:type="dxa"/>
            <w:vMerge w:val="restart"/>
            <w:tcBorders>
              <w:tl2br w:val="nil"/>
              <w:tr2bl w:val="nil"/>
            </w:tcBorders>
            <w:textDirection w:val="tbRlV"/>
            <w:vAlign w:val="center"/>
          </w:tcPr>
          <w:p w14:paraId="7B76ECA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9"/>
                <w:szCs w:val="21"/>
                <w:lang w:eastAsia="en-US"/>
                <w14:textFill>
                  <w14:solidFill>
                    <w14:schemeClr w14:val="tx1"/>
                  </w14:solidFill>
                </w14:textFill>
              </w:rPr>
              <w:t>风</w:t>
            </w:r>
            <w:r>
              <w:rPr>
                <w:rFonts w:ascii="Times New Roman" w:hAnsi="Times New Roman" w:eastAsia="宋体"/>
                <w:color w:val="000000" w:themeColor="text1"/>
                <w:spacing w:val="-37"/>
                <w:szCs w:val="21"/>
                <w:lang w:eastAsia="en-US"/>
                <w14:textFill>
                  <w14:solidFill>
                    <w14:schemeClr w14:val="tx1"/>
                  </w14:solidFill>
                </w14:textFill>
              </w:rPr>
              <w:t xml:space="preserve"> </w:t>
            </w:r>
            <w:r>
              <w:rPr>
                <w:rFonts w:ascii="Times New Roman" w:hAnsi="Times New Roman" w:eastAsia="宋体"/>
                <w:color w:val="000000" w:themeColor="text1"/>
                <w:spacing w:val="9"/>
                <w:szCs w:val="21"/>
                <w:lang w:eastAsia="en-US"/>
                <w14:textFill>
                  <w14:solidFill>
                    <w14:schemeClr w14:val="tx1"/>
                  </w14:solidFill>
                </w14:textFill>
              </w:rPr>
              <w:t>险</w:t>
            </w:r>
            <w:r>
              <w:rPr>
                <w:rFonts w:ascii="Times New Roman" w:hAnsi="Times New Roman" w:eastAsia="宋体"/>
                <w:color w:val="000000" w:themeColor="text1"/>
                <w:spacing w:val="-36"/>
                <w:szCs w:val="21"/>
                <w:lang w:eastAsia="en-US"/>
                <w14:textFill>
                  <w14:solidFill>
                    <w14:schemeClr w14:val="tx1"/>
                  </w14:solidFill>
                </w14:textFill>
              </w:rPr>
              <w:t xml:space="preserve"> </w:t>
            </w:r>
            <w:r>
              <w:rPr>
                <w:rFonts w:ascii="Times New Roman" w:hAnsi="Times New Roman" w:eastAsia="宋体"/>
                <w:color w:val="000000" w:themeColor="text1"/>
                <w:spacing w:val="9"/>
                <w:szCs w:val="21"/>
                <w:lang w:eastAsia="en-US"/>
                <w14:textFill>
                  <w14:solidFill>
                    <w14:schemeClr w14:val="tx1"/>
                  </w14:solidFill>
                </w14:textFill>
              </w:rPr>
              <w:t>调</w:t>
            </w:r>
            <w:r>
              <w:rPr>
                <w:rFonts w:ascii="Times New Roman" w:hAnsi="Times New Roman" w:eastAsia="宋体"/>
                <w:color w:val="000000" w:themeColor="text1"/>
                <w:spacing w:val="-39"/>
                <w:szCs w:val="21"/>
                <w:lang w:eastAsia="en-US"/>
                <w14:textFill>
                  <w14:solidFill>
                    <w14:schemeClr w14:val="tx1"/>
                  </w14:solidFill>
                </w14:textFill>
              </w:rPr>
              <w:t xml:space="preserve"> </w:t>
            </w:r>
            <w:r>
              <w:rPr>
                <w:rFonts w:ascii="Times New Roman" w:hAnsi="Times New Roman" w:eastAsia="宋体"/>
                <w:color w:val="000000" w:themeColor="text1"/>
                <w:spacing w:val="9"/>
                <w:szCs w:val="21"/>
                <w:lang w:eastAsia="en-US"/>
                <w14:textFill>
                  <w14:solidFill>
                    <w14:schemeClr w14:val="tx1"/>
                  </w14:solidFill>
                </w14:textFill>
              </w:rPr>
              <w:t>查</w:t>
            </w:r>
          </w:p>
        </w:tc>
        <w:tc>
          <w:tcPr>
            <w:tcW w:w="1049" w:type="dxa"/>
            <w:vMerge w:val="restart"/>
            <w:tcBorders>
              <w:tl2br w:val="nil"/>
              <w:tr2bl w:val="nil"/>
            </w:tcBorders>
            <w:vAlign w:val="center"/>
          </w:tcPr>
          <w:p w14:paraId="1C62ED8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危险物质</w:t>
            </w:r>
          </w:p>
        </w:tc>
        <w:tc>
          <w:tcPr>
            <w:tcW w:w="1363" w:type="dxa"/>
            <w:tcBorders>
              <w:tl2br w:val="nil"/>
              <w:tr2bl w:val="nil"/>
            </w:tcBorders>
            <w:vAlign w:val="center"/>
          </w:tcPr>
          <w:p w14:paraId="1A3F734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名称</w:t>
            </w:r>
          </w:p>
        </w:tc>
        <w:tc>
          <w:tcPr>
            <w:tcW w:w="2649" w:type="dxa"/>
            <w:gridSpan w:val="4"/>
            <w:tcBorders>
              <w:tl2br w:val="nil"/>
              <w:tr2bl w:val="nil"/>
            </w:tcBorders>
            <w:vAlign w:val="center"/>
          </w:tcPr>
          <w:p w14:paraId="0F35D105">
            <w:pPr>
              <w:widowControl/>
              <w:autoSpaceDE/>
              <w:autoSpaceDN/>
              <w:jc w:val="center"/>
              <w:rPr>
                <w:rFonts w:ascii="Times New Roman" w:hAnsi="Times New Roman" w:eastAsia="宋体"/>
                <w:color w:val="EE0000"/>
                <w:szCs w:val="21"/>
                <w:lang w:eastAsia="en-US"/>
              </w:rPr>
            </w:pPr>
            <w:r>
              <w:rPr>
                <w:rFonts w:ascii="Times New Roman" w:hAnsi="Times New Roman" w:eastAsia="宋体"/>
                <w:color w:val="EE0000"/>
                <w:spacing w:val="4"/>
                <w:szCs w:val="21"/>
                <w:lang w:eastAsia="en-US"/>
              </w:rPr>
              <w:t>柴油</w:t>
            </w:r>
          </w:p>
        </w:tc>
        <w:tc>
          <w:tcPr>
            <w:tcW w:w="3213" w:type="dxa"/>
            <w:gridSpan w:val="3"/>
            <w:tcBorders>
              <w:tl2br w:val="nil"/>
              <w:tr2bl w:val="nil"/>
            </w:tcBorders>
            <w:vAlign w:val="center"/>
          </w:tcPr>
          <w:p w14:paraId="0C91CCC8">
            <w:pPr>
              <w:widowControl/>
              <w:autoSpaceDE/>
              <w:autoSpaceDN/>
              <w:jc w:val="center"/>
              <w:rPr>
                <w:rFonts w:ascii="Times New Roman" w:hAnsi="Times New Roman" w:eastAsia="宋体"/>
                <w:color w:val="EE0000"/>
                <w:szCs w:val="21"/>
                <w:lang w:eastAsia="en-US"/>
              </w:rPr>
            </w:pPr>
            <w:r>
              <w:rPr>
                <w:rFonts w:ascii="Times New Roman" w:hAnsi="Times New Roman" w:eastAsia="宋体"/>
                <w:color w:val="EE0000"/>
                <w:szCs w:val="21"/>
                <w:lang w:eastAsia="en-US"/>
              </w:rPr>
              <w:t>过氧乙酸</w:t>
            </w:r>
          </w:p>
        </w:tc>
      </w:tr>
      <w:tr w14:paraId="5941E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44" w:type="dxa"/>
            <w:vMerge w:val="continue"/>
            <w:tcBorders>
              <w:tl2br w:val="nil"/>
              <w:tr2bl w:val="nil"/>
            </w:tcBorders>
            <w:textDirection w:val="tbRlV"/>
            <w:vAlign w:val="center"/>
          </w:tcPr>
          <w:p w14:paraId="030D6A9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49" w:type="dxa"/>
            <w:vMerge w:val="continue"/>
            <w:tcBorders>
              <w:tl2br w:val="nil"/>
              <w:tr2bl w:val="nil"/>
            </w:tcBorders>
            <w:vAlign w:val="center"/>
          </w:tcPr>
          <w:p w14:paraId="34BF325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tcBorders>
              <w:tl2br w:val="nil"/>
              <w:tr2bl w:val="nil"/>
            </w:tcBorders>
            <w:vAlign w:val="center"/>
          </w:tcPr>
          <w:p w14:paraId="25FB2DB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position w:val="1"/>
                <w:szCs w:val="21"/>
                <w:lang w:eastAsia="en-US"/>
                <w14:textFill>
                  <w14:solidFill>
                    <w14:schemeClr w14:val="tx1"/>
                  </w14:solidFill>
                </w14:textFill>
              </w:rPr>
              <w:t>存在总量/t</w:t>
            </w:r>
          </w:p>
        </w:tc>
        <w:tc>
          <w:tcPr>
            <w:tcW w:w="2649" w:type="dxa"/>
            <w:gridSpan w:val="4"/>
            <w:tcBorders>
              <w:tl2br w:val="nil"/>
              <w:tr2bl w:val="nil"/>
            </w:tcBorders>
            <w:vAlign w:val="center"/>
          </w:tcPr>
          <w:p w14:paraId="30169F5A">
            <w:pPr>
              <w:widowControl/>
              <w:autoSpaceDE/>
              <w:autoSpaceDN/>
              <w:jc w:val="center"/>
              <w:rPr>
                <w:rFonts w:ascii="Times New Roman" w:hAnsi="Times New Roman" w:eastAsia="宋体"/>
                <w:color w:val="EE0000"/>
                <w:szCs w:val="21"/>
                <w:lang w:eastAsia="en-US"/>
              </w:rPr>
            </w:pPr>
            <w:r>
              <w:rPr>
                <w:rFonts w:ascii="Times New Roman" w:hAnsi="Times New Roman" w:eastAsia="宋体"/>
                <w:color w:val="EE0000"/>
                <w:spacing w:val="2"/>
                <w:szCs w:val="21"/>
                <w:lang w:eastAsia="en-US"/>
              </w:rPr>
              <w:t>0.1</w:t>
            </w:r>
          </w:p>
        </w:tc>
        <w:tc>
          <w:tcPr>
            <w:tcW w:w="3213" w:type="dxa"/>
            <w:gridSpan w:val="3"/>
            <w:tcBorders>
              <w:tl2br w:val="nil"/>
              <w:tr2bl w:val="nil"/>
            </w:tcBorders>
            <w:vAlign w:val="center"/>
          </w:tcPr>
          <w:p w14:paraId="6F7792A6">
            <w:pPr>
              <w:widowControl/>
              <w:autoSpaceDE/>
              <w:autoSpaceDN/>
              <w:jc w:val="center"/>
              <w:rPr>
                <w:rFonts w:ascii="Times New Roman" w:hAnsi="Times New Roman" w:eastAsia="宋体"/>
                <w:color w:val="EE0000"/>
                <w:szCs w:val="21"/>
                <w:lang w:eastAsia="en-US"/>
              </w:rPr>
            </w:pPr>
            <w:r>
              <w:rPr>
                <w:rFonts w:ascii="Times New Roman" w:hAnsi="Times New Roman" w:eastAsia="宋体"/>
                <w:color w:val="EE0000"/>
                <w:szCs w:val="21"/>
                <w:lang w:eastAsia="en-US"/>
              </w:rPr>
              <w:t>0.1</w:t>
            </w:r>
          </w:p>
        </w:tc>
      </w:tr>
      <w:tr w14:paraId="76A7D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 w:hRule="atLeast"/>
          <w:jc w:val="center"/>
        </w:trPr>
        <w:tc>
          <w:tcPr>
            <w:tcW w:w="444" w:type="dxa"/>
            <w:vMerge w:val="continue"/>
            <w:tcBorders>
              <w:tl2br w:val="nil"/>
              <w:tr2bl w:val="nil"/>
            </w:tcBorders>
            <w:textDirection w:val="tbRlV"/>
            <w:vAlign w:val="center"/>
          </w:tcPr>
          <w:p w14:paraId="5135CA5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49" w:type="dxa"/>
            <w:vMerge w:val="restart"/>
            <w:tcBorders>
              <w:tl2br w:val="nil"/>
              <w:tr2bl w:val="nil"/>
            </w:tcBorders>
            <w:vAlign w:val="center"/>
          </w:tcPr>
          <w:p w14:paraId="179F6AE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环境敏感</w:t>
            </w:r>
            <w:r>
              <w:rPr>
                <w:rFonts w:ascii="Times New Roman" w:hAnsi="Times New Roman" w:eastAsia="宋体"/>
                <w:color w:val="000000" w:themeColor="text1"/>
                <w:szCs w:val="21"/>
                <w:lang w:eastAsia="en-US"/>
                <w14:textFill>
                  <w14:solidFill>
                    <w14:schemeClr w14:val="tx1"/>
                  </w14:solidFill>
                </w14:textFill>
              </w:rPr>
              <w:t xml:space="preserve"> 性</w:t>
            </w:r>
          </w:p>
        </w:tc>
        <w:tc>
          <w:tcPr>
            <w:tcW w:w="1363" w:type="dxa"/>
            <w:vMerge w:val="restart"/>
            <w:tcBorders>
              <w:tl2br w:val="nil"/>
              <w:tr2bl w:val="nil"/>
            </w:tcBorders>
            <w:vAlign w:val="center"/>
          </w:tcPr>
          <w:p w14:paraId="59D4115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大气</w:t>
            </w:r>
          </w:p>
        </w:tc>
        <w:tc>
          <w:tcPr>
            <w:tcW w:w="3137" w:type="dxa"/>
            <w:gridSpan w:val="5"/>
            <w:tcBorders>
              <w:tl2br w:val="nil"/>
              <w:tr2bl w:val="nil"/>
            </w:tcBorders>
            <w:vAlign w:val="center"/>
          </w:tcPr>
          <w:p w14:paraId="37A9AA5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500m范围内人口数</w:t>
            </w:r>
            <w:r>
              <w:rPr>
                <w:rFonts w:ascii="Times New Roman" w:hAnsi="Times New Roman" w:eastAsia="宋体"/>
                <w:color w:val="000000" w:themeColor="text1"/>
                <w:spacing w:val="17"/>
                <w:szCs w:val="21"/>
                <w:u w:val="single"/>
                <w:lang w:eastAsia="en-US"/>
                <w14:textFill>
                  <w14:solidFill>
                    <w14:schemeClr w14:val="tx1"/>
                  </w14:solidFill>
                </w14:textFill>
              </w:rPr>
              <w:t xml:space="preserve"> </w:t>
            </w:r>
            <w:r>
              <w:rPr>
                <w:rFonts w:ascii="Times New Roman" w:hAnsi="Times New Roman" w:eastAsia="宋体"/>
                <w:color w:val="000000" w:themeColor="text1"/>
                <w:spacing w:val="5"/>
                <w:szCs w:val="21"/>
                <w:u w:val="single"/>
                <w:lang w:eastAsia="en-US"/>
                <w14:textFill>
                  <w14:solidFill>
                    <w14:schemeClr w14:val="tx1"/>
                  </w14:solidFill>
                </w14:textFill>
              </w:rPr>
              <w:t>286</w:t>
            </w:r>
            <w:r>
              <w:rPr>
                <w:rFonts w:ascii="Times New Roman" w:hAnsi="Times New Roman" w:eastAsia="宋体"/>
                <w:color w:val="000000" w:themeColor="text1"/>
                <w:spacing w:val="7"/>
                <w:szCs w:val="21"/>
                <w:u w:val="single"/>
                <w:lang w:eastAsia="en-US"/>
                <w14:textFill>
                  <w14:solidFill>
                    <w14:schemeClr w14:val="tx1"/>
                  </w14:solidFill>
                </w14:textFill>
              </w:rPr>
              <w:t xml:space="preserve">  </w:t>
            </w:r>
            <w:r>
              <w:rPr>
                <w:rFonts w:ascii="Times New Roman" w:hAnsi="Times New Roman" w:eastAsia="宋体"/>
                <w:color w:val="000000" w:themeColor="text1"/>
                <w:spacing w:val="5"/>
                <w:szCs w:val="21"/>
                <w:lang w:eastAsia="en-US"/>
                <w14:textFill>
                  <w14:solidFill>
                    <w14:schemeClr w14:val="tx1"/>
                  </w14:solidFill>
                </w14:textFill>
              </w:rPr>
              <w:t>人</w:t>
            </w:r>
          </w:p>
        </w:tc>
        <w:tc>
          <w:tcPr>
            <w:tcW w:w="2725" w:type="dxa"/>
            <w:gridSpan w:val="2"/>
            <w:tcBorders>
              <w:tl2br w:val="nil"/>
              <w:tr2bl w:val="nil"/>
            </w:tcBorders>
            <w:vAlign w:val="center"/>
          </w:tcPr>
          <w:p w14:paraId="02F7C75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5</w:t>
            </w:r>
            <w:r>
              <w:rPr>
                <w:rFonts w:ascii="Times New Roman" w:hAnsi="Times New Roman" w:eastAsia="宋体"/>
                <w:color w:val="000000" w:themeColor="text1"/>
                <w:szCs w:val="21"/>
                <w:lang w:eastAsia="en-US"/>
                <w14:textFill>
                  <w14:solidFill>
                    <w14:schemeClr w14:val="tx1"/>
                  </w14:solidFill>
                </w14:textFill>
              </w:rPr>
              <w:t>km</w:t>
            </w:r>
            <w:r>
              <w:rPr>
                <w:rFonts w:ascii="Times New Roman" w:hAnsi="Times New Roman" w:eastAsia="宋体"/>
                <w:color w:val="000000" w:themeColor="text1"/>
                <w:spacing w:val="6"/>
                <w:szCs w:val="21"/>
                <w:lang w:eastAsia="en-US"/>
                <w14:textFill>
                  <w14:solidFill>
                    <w14:schemeClr w14:val="tx1"/>
                  </w14:solidFill>
                </w14:textFill>
              </w:rPr>
              <w:t>范围内人口数</w:t>
            </w:r>
            <w:r>
              <w:rPr>
                <w:rFonts w:ascii="Times New Roman" w:hAnsi="Times New Roman" w:eastAsia="宋体"/>
                <w:color w:val="000000" w:themeColor="text1"/>
                <w:spacing w:val="6"/>
                <w:szCs w:val="21"/>
                <w:u w:val="single"/>
                <w:lang w:eastAsia="en-US"/>
                <w14:textFill>
                  <w14:solidFill>
                    <w14:schemeClr w14:val="tx1"/>
                  </w14:solidFill>
                </w14:textFill>
              </w:rPr>
              <w:t xml:space="preserve">  7900  </w:t>
            </w:r>
            <w:r>
              <w:rPr>
                <w:rFonts w:ascii="Times New Roman" w:hAnsi="Times New Roman" w:eastAsia="宋体"/>
                <w:color w:val="000000" w:themeColor="text1"/>
                <w:spacing w:val="6"/>
                <w:szCs w:val="21"/>
                <w:lang w:eastAsia="en-US"/>
                <w14:textFill>
                  <w14:solidFill>
                    <w14:schemeClr w14:val="tx1"/>
                  </w14:solidFill>
                </w14:textFill>
              </w:rPr>
              <w:t>人</w:t>
            </w:r>
          </w:p>
        </w:tc>
      </w:tr>
      <w:tr w14:paraId="2FCAF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jc w:val="center"/>
        </w:trPr>
        <w:tc>
          <w:tcPr>
            <w:tcW w:w="444" w:type="dxa"/>
            <w:vMerge w:val="continue"/>
            <w:tcBorders>
              <w:tl2br w:val="nil"/>
              <w:tr2bl w:val="nil"/>
            </w:tcBorders>
            <w:textDirection w:val="tbRlV"/>
            <w:vAlign w:val="center"/>
          </w:tcPr>
          <w:p w14:paraId="1FFF997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49" w:type="dxa"/>
            <w:vMerge w:val="continue"/>
            <w:tcBorders>
              <w:tl2br w:val="nil"/>
              <w:tr2bl w:val="nil"/>
            </w:tcBorders>
            <w:vAlign w:val="center"/>
          </w:tcPr>
          <w:p w14:paraId="2BAF04D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vMerge w:val="continue"/>
            <w:tcBorders>
              <w:tl2br w:val="nil"/>
              <w:tr2bl w:val="nil"/>
            </w:tcBorders>
            <w:vAlign w:val="center"/>
          </w:tcPr>
          <w:p w14:paraId="7459255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4512" w:type="dxa"/>
            <w:gridSpan w:val="6"/>
            <w:tcBorders>
              <w:tl2br w:val="nil"/>
              <w:tr2bl w:val="nil"/>
            </w:tcBorders>
            <w:vAlign w:val="center"/>
          </w:tcPr>
          <w:p w14:paraId="1AFB2D4A">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7"/>
                <w:szCs w:val="21"/>
                <w:lang w:eastAsia="zh-CN"/>
                <w14:textFill>
                  <w14:solidFill>
                    <w14:schemeClr w14:val="tx1"/>
                  </w14:solidFill>
                </w14:textFill>
              </w:rPr>
              <w:t>每公里管段周边200m范围内人口数（最大）</w:t>
            </w:r>
          </w:p>
        </w:tc>
        <w:tc>
          <w:tcPr>
            <w:tcW w:w="1350" w:type="dxa"/>
            <w:tcBorders>
              <w:tl2br w:val="nil"/>
              <w:tr2bl w:val="nil"/>
            </w:tcBorders>
            <w:vAlign w:val="center"/>
          </w:tcPr>
          <w:p w14:paraId="310534E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u w:val="single"/>
                <w:lang w:eastAsia="zh-CN"/>
                <w14:textFill>
                  <w14:solidFill>
                    <w14:schemeClr w14:val="tx1"/>
                  </w14:solidFill>
                </w14:textFill>
              </w:rPr>
              <w:t xml:space="preserve">    </w:t>
            </w:r>
            <w:r>
              <w:rPr>
                <w:rFonts w:ascii="Times New Roman" w:hAnsi="Times New Roman" w:eastAsia="宋体"/>
                <w:color w:val="000000" w:themeColor="text1"/>
                <w:szCs w:val="21"/>
                <w:u w:val="single"/>
                <w:lang w:eastAsia="en-US"/>
                <w14:textFill>
                  <w14:solidFill>
                    <w14:schemeClr w14:val="tx1"/>
                  </w14:solidFill>
                </w14:textFill>
              </w:rPr>
              <w:t xml:space="preserve">/  </w:t>
            </w:r>
            <w:r>
              <w:rPr>
                <w:rFonts w:ascii="Times New Roman" w:hAnsi="Times New Roman" w:eastAsia="宋体"/>
                <w:color w:val="000000" w:themeColor="text1"/>
                <w:szCs w:val="21"/>
                <w:lang w:eastAsia="en-US"/>
                <w14:textFill>
                  <w14:solidFill>
                    <w14:schemeClr w14:val="tx1"/>
                  </w14:solidFill>
                </w14:textFill>
              </w:rPr>
              <w:t>人</w:t>
            </w:r>
          </w:p>
        </w:tc>
      </w:tr>
      <w:tr w14:paraId="777C1F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44" w:type="dxa"/>
            <w:vMerge w:val="continue"/>
            <w:tcBorders>
              <w:tl2br w:val="nil"/>
              <w:tr2bl w:val="nil"/>
            </w:tcBorders>
            <w:textDirection w:val="tbRlV"/>
            <w:vAlign w:val="center"/>
          </w:tcPr>
          <w:p w14:paraId="17F9068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49" w:type="dxa"/>
            <w:vMerge w:val="continue"/>
            <w:tcBorders>
              <w:tl2br w:val="nil"/>
              <w:tr2bl w:val="nil"/>
            </w:tcBorders>
            <w:vAlign w:val="center"/>
          </w:tcPr>
          <w:p w14:paraId="477C1BD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vMerge w:val="restart"/>
            <w:tcBorders>
              <w:tl2br w:val="nil"/>
              <w:tr2bl w:val="nil"/>
            </w:tcBorders>
            <w:vAlign w:val="center"/>
          </w:tcPr>
          <w:p w14:paraId="7F450D2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地表水</w:t>
            </w:r>
          </w:p>
        </w:tc>
        <w:tc>
          <w:tcPr>
            <w:tcW w:w="1819" w:type="dxa"/>
            <w:gridSpan w:val="2"/>
            <w:tcBorders>
              <w:tl2br w:val="nil"/>
              <w:tr2bl w:val="nil"/>
            </w:tcBorders>
            <w:vAlign w:val="center"/>
          </w:tcPr>
          <w:p w14:paraId="1716694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地表水功能敏感性</w:t>
            </w:r>
          </w:p>
        </w:tc>
        <w:tc>
          <w:tcPr>
            <w:tcW w:w="1318" w:type="dxa"/>
            <w:gridSpan w:val="3"/>
            <w:tcBorders>
              <w:tl2br w:val="nil"/>
              <w:tr2bl w:val="nil"/>
            </w:tcBorders>
            <w:vAlign w:val="center"/>
          </w:tcPr>
          <w:p w14:paraId="51D1E05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F1</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75" w:type="dxa"/>
            <w:tcBorders>
              <w:tl2br w:val="nil"/>
              <w:tr2bl w:val="nil"/>
            </w:tcBorders>
            <w:vAlign w:val="center"/>
          </w:tcPr>
          <w:p w14:paraId="7B9987F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F2</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50" w:type="dxa"/>
            <w:tcBorders>
              <w:tl2br w:val="nil"/>
              <w:tr2bl w:val="nil"/>
            </w:tcBorders>
            <w:vAlign w:val="center"/>
          </w:tcPr>
          <w:p w14:paraId="4C01ADF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F3</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32422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44" w:type="dxa"/>
            <w:vMerge w:val="continue"/>
            <w:tcBorders>
              <w:tl2br w:val="nil"/>
              <w:tr2bl w:val="nil"/>
            </w:tcBorders>
            <w:textDirection w:val="tbRlV"/>
            <w:vAlign w:val="center"/>
          </w:tcPr>
          <w:p w14:paraId="6FE15AE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49" w:type="dxa"/>
            <w:vMerge w:val="continue"/>
            <w:tcBorders>
              <w:tl2br w:val="nil"/>
              <w:tr2bl w:val="nil"/>
            </w:tcBorders>
            <w:vAlign w:val="center"/>
          </w:tcPr>
          <w:p w14:paraId="336841C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vMerge w:val="continue"/>
            <w:tcBorders>
              <w:tl2br w:val="nil"/>
              <w:tr2bl w:val="nil"/>
            </w:tcBorders>
            <w:vAlign w:val="center"/>
          </w:tcPr>
          <w:p w14:paraId="41B0599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819" w:type="dxa"/>
            <w:gridSpan w:val="2"/>
            <w:tcBorders>
              <w:tl2br w:val="nil"/>
              <w:tr2bl w:val="nil"/>
            </w:tcBorders>
            <w:vAlign w:val="center"/>
          </w:tcPr>
          <w:p w14:paraId="256AD29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环境敏感目标分级</w:t>
            </w:r>
          </w:p>
        </w:tc>
        <w:tc>
          <w:tcPr>
            <w:tcW w:w="1318" w:type="dxa"/>
            <w:gridSpan w:val="3"/>
            <w:tcBorders>
              <w:tl2br w:val="nil"/>
              <w:tr2bl w:val="nil"/>
            </w:tcBorders>
            <w:vAlign w:val="center"/>
          </w:tcPr>
          <w:p w14:paraId="0E1D128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S1</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75" w:type="dxa"/>
            <w:tcBorders>
              <w:tl2br w:val="nil"/>
              <w:tr2bl w:val="nil"/>
            </w:tcBorders>
            <w:vAlign w:val="center"/>
          </w:tcPr>
          <w:p w14:paraId="0C5C25E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S2</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50" w:type="dxa"/>
            <w:tcBorders>
              <w:tl2br w:val="nil"/>
              <w:tr2bl w:val="nil"/>
            </w:tcBorders>
            <w:vAlign w:val="center"/>
          </w:tcPr>
          <w:p w14:paraId="4625C6A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S3</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774B1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jc w:val="center"/>
        </w:trPr>
        <w:tc>
          <w:tcPr>
            <w:tcW w:w="444" w:type="dxa"/>
            <w:vMerge w:val="continue"/>
            <w:tcBorders>
              <w:tl2br w:val="nil"/>
              <w:tr2bl w:val="nil"/>
            </w:tcBorders>
            <w:textDirection w:val="tbRlV"/>
            <w:vAlign w:val="center"/>
          </w:tcPr>
          <w:p w14:paraId="2DF4EE8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49" w:type="dxa"/>
            <w:vMerge w:val="continue"/>
            <w:tcBorders>
              <w:tl2br w:val="nil"/>
              <w:tr2bl w:val="nil"/>
            </w:tcBorders>
            <w:vAlign w:val="center"/>
          </w:tcPr>
          <w:p w14:paraId="2870464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vMerge w:val="restart"/>
            <w:tcBorders>
              <w:tl2br w:val="nil"/>
              <w:tr2bl w:val="nil"/>
            </w:tcBorders>
            <w:vAlign w:val="center"/>
          </w:tcPr>
          <w:p w14:paraId="7644EE5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地下水</w:t>
            </w:r>
          </w:p>
        </w:tc>
        <w:tc>
          <w:tcPr>
            <w:tcW w:w="1819" w:type="dxa"/>
            <w:gridSpan w:val="2"/>
            <w:tcBorders>
              <w:tl2br w:val="nil"/>
              <w:tr2bl w:val="nil"/>
            </w:tcBorders>
            <w:vAlign w:val="center"/>
          </w:tcPr>
          <w:p w14:paraId="4D77F2D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地下水功能敏感性</w:t>
            </w:r>
          </w:p>
        </w:tc>
        <w:tc>
          <w:tcPr>
            <w:tcW w:w="1318" w:type="dxa"/>
            <w:gridSpan w:val="3"/>
            <w:tcBorders>
              <w:tl2br w:val="nil"/>
              <w:tr2bl w:val="nil"/>
            </w:tcBorders>
            <w:vAlign w:val="center"/>
          </w:tcPr>
          <w:p w14:paraId="0DAD0D4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G1</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75" w:type="dxa"/>
            <w:tcBorders>
              <w:tl2br w:val="nil"/>
              <w:tr2bl w:val="nil"/>
            </w:tcBorders>
            <w:vAlign w:val="center"/>
          </w:tcPr>
          <w:p w14:paraId="42E36CC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G2</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50" w:type="dxa"/>
            <w:tcBorders>
              <w:tl2br w:val="nil"/>
              <w:tr2bl w:val="nil"/>
            </w:tcBorders>
            <w:vAlign w:val="center"/>
          </w:tcPr>
          <w:p w14:paraId="29D1F90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G3</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67F99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jc w:val="center"/>
        </w:trPr>
        <w:tc>
          <w:tcPr>
            <w:tcW w:w="444" w:type="dxa"/>
            <w:vMerge w:val="continue"/>
            <w:tcBorders>
              <w:tl2br w:val="nil"/>
              <w:tr2bl w:val="nil"/>
            </w:tcBorders>
            <w:textDirection w:val="tbRlV"/>
            <w:vAlign w:val="center"/>
          </w:tcPr>
          <w:p w14:paraId="17585F5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49" w:type="dxa"/>
            <w:vMerge w:val="continue"/>
            <w:tcBorders>
              <w:tl2br w:val="nil"/>
              <w:tr2bl w:val="nil"/>
            </w:tcBorders>
            <w:vAlign w:val="center"/>
          </w:tcPr>
          <w:p w14:paraId="344F56D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vMerge w:val="continue"/>
            <w:tcBorders>
              <w:tl2br w:val="nil"/>
              <w:tr2bl w:val="nil"/>
            </w:tcBorders>
            <w:vAlign w:val="center"/>
          </w:tcPr>
          <w:p w14:paraId="62C2563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819" w:type="dxa"/>
            <w:gridSpan w:val="2"/>
            <w:tcBorders>
              <w:tl2br w:val="nil"/>
              <w:tr2bl w:val="nil"/>
            </w:tcBorders>
            <w:vAlign w:val="center"/>
          </w:tcPr>
          <w:p w14:paraId="547217A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包气带防污功能</w:t>
            </w:r>
          </w:p>
        </w:tc>
        <w:tc>
          <w:tcPr>
            <w:tcW w:w="1318" w:type="dxa"/>
            <w:gridSpan w:val="3"/>
            <w:tcBorders>
              <w:tl2br w:val="nil"/>
              <w:tr2bl w:val="nil"/>
            </w:tcBorders>
            <w:vAlign w:val="center"/>
          </w:tcPr>
          <w:p w14:paraId="3801564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D1</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75" w:type="dxa"/>
            <w:tcBorders>
              <w:tl2br w:val="nil"/>
              <w:tr2bl w:val="nil"/>
            </w:tcBorders>
            <w:vAlign w:val="center"/>
          </w:tcPr>
          <w:p w14:paraId="2658A78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D2</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50" w:type="dxa"/>
            <w:tcBorders>
              <w:tl2br w:val="nil"/>
              <w:tr2bl w:val="nil"/>
            </w:tcBorders>
            <w:vAlign w:val="center"/>
          </w:tcPr>
          <w:p w14:paraId="321EF06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D3</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534A6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jc w:val="center"/>
        </w:trPr>
        <w:tc>
          <w:tcPr>
            <w:tcW w:w="1493" w:type="dxa"/>
            <w:gridSpan w:val="2"/>
            <w:vMerge w:val="restart"/>
            <w:tcBorders>
              <w:tl2br w:val="nil"/>
              <w:tr2bl w:val="nil"/>
            </w:tcBorders>
            <w:vAlign w:val="center"/>
          </w:tcPr>
          <w:p w14:paraId="6D6AB412">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物质及工艺系</w:t>
            </w:r>
            <w:r>
              <w:rPr>
                <w:rFonts w:ascii="Times New Roman" w:hAnsi="Times New Roman" w:eastAsia="宋体"/>
                <w:color w:val="000000" w:themeColor="text1"/>
                <w:szCs w:val="21"/>
                <w:lang w:eastAsia="zh-CN"/>
                <w14:textFill>
                  <w14:solidFill>
                    <w14:schemeClr w14:val="tx1"/>
                  </w14:solidFill>
                </w14:textFill>
              </w:rPr>
              <w:t xml:space="preserve"> </w:t>
            </w:r>
            <w:r>
              <w:rPr>
                <w:rFonts w:ascii="Times New Roman" w:hAnsi="Times New Roman" w:eastAsia="宋体"/>
                <w:color w:val="000000" w:themeColor="text1"/>
                <w:spacing w:val="6"/>
                <w:szCs w:val="21"/>
                <w:lang w:eastAsia="zh-CN"/>
                <w14:textFill>
                  <w14:solidFill>
                    <w14:schemeClr w14:val="tx1"/>
                  </w14:solidFill>
                </w14:textFill>
              </w:rPr>
              <w:t>统危险性</w:t>
            </w:r>
          </w:p>
        </w:tc>
        <w:tc>
          <w:tcPr>
            <w:tcW w:w="1363" w:type="dxa"/>
            <w:tcBorders>
              <w:tl2br w:val="nil"/>
              <w:tr2bl w:val="nil"/>
            </w:tcBorders>
            <w:vAlign w:val="center"/>
          </w:tcPr>
          <w:p w14:paraId="318B098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Q</w:t>
            </w:r>
            <w:r>
              <w:rPr>
                <w:rFonts w:ascii="Times New Roman" w:hAnsi="Times New Roman" w:eastAsia="宋体"/>
                <w:color w:val="000000" w:themeColor="text1"/>
                <w:spacing w:val="12"/>
                <w:szCs w:val="21"/>
                <w:lang w:eastAsia="en-US"/>
                <w14:textFill>
                  <w14:solidFill>
                    <w14:schemeClr w14:val="tx1"/>
                  </w14:solidFill>
                </w14:textFill>
              </w:rPr>
              <w:t xml:space="preserve"> </w:t>
            </w:r>
            <w:r>
              <w:rPr>
                <w:rFonts w:ascii="Times New Roman" w:hAnsi="Times New Roman" w:eastAsia="宋体"/>
                <w:color w:val="000000" w:themeColor="text1"/>
                <w:spacing w:val="-1"/>
                <w:szCs w:val="21"/>
                <w:lang w:eastAsia="en-US"/>
                <w14:textFill>
                  <w14:solidFill>
                    <w14:schemeClr w14:val="tx1"/>
                  </w14:solidFill>
                </w14:textFill>
              </w:rPr>
              <w:t>值</w:t>
            </w:r>
          </w:p>
        </w:tc>
        <w:tc>
          <w:tcPr>
            <w:tcW w:w="1819" w:type="dxa"/>
            <w:gridSpan w:val="2"/>
            <w:tcBorders>
              <w:tl2br w:val="nil"/>
              <w:tr2bl w:val="nil"/>
            </w:tcBorders>
            <w:vAlign w:val="center"/>
          </w:tcPr>
          <w:p w14:paraId="3DFA5F8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Q&lt;1</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8745" cy="102235"/>
                  <wp:effectExtent l="0" t="0" r="14605" b="12065"/>
                  <wp:docPr id="442" name="IM 442"/>
                  <wp:cNvGraphicFramePr/>
                  <a:graphic xmlns:a="http://schemas.openxmlformats.org/drawingml/2006/main">
                    <a:graphicData uri="http://schemas.openxmlformats.org/drawingml/2006/picture">
                      <pic:pic xmlns:pic="http://schemas.openxmlformats.org/drawingml/2006/picture">
                        <pic:nvPicPr>
                          <pic:cNvPr id="442" name="IM 442"/>
                          <pic:cNvPicPr/>
                        </pic:nvPicPr>
                        <pic:blipFill>
                          <a:blip r:embed="rId118"/>
                          <a:stretch>
                            <a:fillRect/>
                          </a:stretch>
                        </pic:blipFill>
                        <pic:spPr>
                          <a:xfrm>
                            <a:off x="0" y="0"/>
                            <a:ext cx="118959" cy="102588"/>
                          </a:xfrm>
                          <a:prstGeom prst="rect">
                            <a:avLst/>
                          </a:prstGeom>
                        </pic:spPr>
                      </pic:pic>
                    </a:graphicData>
                  </a:graphic>
                </wp:inline>
              </w:drawing>
            </w:r>
          </w:p>
        </w:tc>
        <w:tc>
          <w:tcPr>
            <w:tcW w:w="1318" w:type="dxa"/>
            <w:gridSpan w:val="3"/>
            <w:tcBorders>
              <w:tl2br w:val="nil"/>
              <w:tr2bl w:val="nil"/>
            </w:tcBorders>
            <w:vAlign w:val="center"/>
          </w:tcPr>
          <w:p w14:paraId="492FC12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position w:val="2"/>
                <w:szCs w:val="21"/>
                <w:lang w:eastAsia="en-US"/>
                <w14:textFill>
                  <w14:solidFill>
                    <w14:schemeClr w14:val="tx1"/>
                  </w14:solidFill>
                </w14:textFill>
              </w:rPr>
              <w:t>1≤Q&lt;10</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75" w:type="dxa"/>
            <w:tcBorders>
              <w:tl2br w:val="nil"/>
              <w:tr2bl w:val="nil"/>
            </w:tcBorders>
            <w:vAlign w:val="center"/>
          </w:tcPr>
          <w:p w14:paraId="4812638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10≤Q&lt;100</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r>
              <w:rPr>
                <w:rFonts w:ascii="Times New Roman" w:hAnsi="Times New Roman" w:eastAsia="宋体"/>
                <w:color w:val="000000" w:themeColor="text1"/>
                <w:spacing w:val="2"/>
                <w:szCs w:val="21"/>
                <w:lang w:eastAsia="en-US"/>
                <w14:textFill>
                  <w14:solidFill>
                    <w14:schemeClr w14:val="tx1"/>
                  </w14:solidFill>
                </w14:textFill>
              </w:rPr>
              <w:t xml:space="preserve"> </w:t>
            </w:r>
          </w:p>
        </w:tc>
        <w:tc>
          <w:tcPr>
            <w:tcW w:w="1350" w:type="dxa"/>
            <w:tcBorders>
              <w:tl2br w:val="nil"/>
              <w:tr2bl w:val="nil"/>
            </w:tcBorders>
            <w:vAlign w:val="center"/>
          </w:tcPr>
          <w:p w14:paraId="0480911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position w:val="2"/>
                <w:szCs w:val="21"/>
                <w:lang w:eastAsia="en-US"/>
                <w14:textFill>
                  <w14:solidFill>
                    <w14:schemeClr w14:val="tx1"/>
                  </w14:solidFill>
                </w14:textFill>
              </w:rPr>
              <w:t>Q&gt;100</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2A08A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1493" w:type="dxa"/>
            <w:gridSpan w:val="2"/>
            <w:vMerge w:val="continue"/>
            <w:tcBorders>
              <w:tl2br w:val="nil"/>
              <w:tr2bl w:val="nil"/>
            </w:tcBorders>
            <w:vAlign w:val="center"/>
          </w:tcPr>
          <w:p w14:paraId="67BAC88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tcBorders>
              <w:tl2br w:val="nil"/>
              <w:tr2bl w:val="nil"/>
            </w:tcBorders>
            <w:vAlign w:val="center"/>
          </w:tcPr>
          <w:p w14:paraId="03AB8AA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M</w:t>
            </w:r>
            <w:r>
              <w:rPr>
                <w:rFonts w:ascii="Times New Roman" w:hAnsi="Times New Roman" w:eastAsia="宋体"/>
                <w:color w:val="000000" w:themeColor="text1"/>
                <w:spacing w:val="10"/>
                <w:szCs w:val="21"/>
                <w:lang w:eastAsia="en-US"/>
                <w14:textFill>
                  <w14:solidFill>
                    <w14:schemeClr w14:val="tx1"/>
                  </w14:solidFill>
                </w14:textFill>
              </w:rPr>
              <w:t xml:space="preserve"> </w:t>
            </w:r>
            <w:r>
              <w:rPr>
                <w:rFonts w:ascii="Times New Roman" w:hAnsi="Times New Roman" w:eastAsia="宋体"/>
                <w:color w:val="000000" w:themeColor="text1"/>
                <w:spacing w:val="2"/>
                <w:szCs w:val="21"/>
                <w:lang w:eastAsia="en-US"/>
                <w14:textFill>
                  <w14:solidFill>
                    <w14:schemeClr w14:val="tx1"/>
                  </w14:solidFill>
                </w14:textFill>
              </w:rPr>
              <w:t>值</w:t>
            </w:r>
          </w:p>
        </w:tc>
        <w:tc>
          <w:tcPr>
            <w:tcW w:w="1819" w:type="dxa"/>
            <w:gridSpan w:val="2"/>
            <w:tcBorders>
              <w:tl2br w:val="nil"/>
              <w:tr2bl w:val="nil"/>
            </w:tcBorders>
            <w:vAlign w:val="center"/>
          </w:tcPr>
          <w:p w14:paraId="66F4126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M1</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18" w:type="dxa"/>
            <w:gridSpan w:val="3"/>
            <w:tcBorders>
              <w:tl2br w:val="nil"/>
              <w:tr2bl w:val="nil"/>
            </w:tcBorders>
            <w:vAlign w:val="center"/>
          </w:tcPr>
          <w:p w14:paraId="3C73919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M2</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75" w:type="dxa"/>
            <w:tcBorders>
              <w:tl2br w:val="nil"/>
              <w:tr2bl w:val="nil"/>
            </w:tcBorders>
            <w:vAlign w:val="center"/>
          </w:tcPr>
          <w:p w14:paraId="38A4942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M3</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50" w:type="dxa"/>
            <w:tcBorders>
              <w:tl2br w:val="nil"/>
              <w:tr2bl w:val="nil"/>
            </w:tcBorders>
            <w:vAlign w:val="center"/>
          </w:tcPr>
          <w:p w14:paraId="1CD4C7F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M4</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34EAB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1493" w:type="dxa"/>
            <w:gridSpan w:val="2"/>
            <w:vMerge w:val="continue"/>
            <w:tcBorders>
              <w:tl2br w:val="nil"/>
              <w:tr2bl w:val="nil"/>
            </w:tcBorders>
            <w:vAlign w:val="center"/>
          </w:tcPr>
          <w:p w14:paraId="2A2B32D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tcBorders>
              <w:tl2br w:val="nil"/>
              <w:tr2bl w:val="nil"/>
            </w:tcBorders>
            <w:vAlign w:val="center"/>
          </w:tcPr>
          <w:p w14:paraId="5649D77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P</w:t>
            </w:r>
            <w:r>
              <w:rPr>
                <w:rFonts w:ascii="Times New Roman" w:hAnsi="Times New Roman" w:eastAsia="宋体"/>
                <w:color w:val="000000" w:themeColor="text1"/>
                <w:spacing w:val="12"/>
                <w:szCs w:val="21"/>
                <w:lang w:eastAsia="en-US"/>
                <w14:textFill>
                  <w14:solidFill>
                    <w14:schemeClr w14:val="tx1"/>
                  </w14:solidFill>
                </w14:textFill>
              </w:rPr>
              <w:t xml:space="preserve"> </w:t>
            </w:r>
            <w:r>
              <w:rPr>
                <w:rFonts w:ascii="Times New Roman" w:hAnsi="Times New Roman" w:eastAsia="宋体"/>
                <w:color w:val="000000" w:themeColor="text1"/>
                <w:spacing w:val="1"/>
                <w:szCs w:val="21"/>
                <w:lang w:eastAsia="en-US"/>
                <w14:textFill>
                  <w14:solidFill>
                    <w14:schemeClr w14:val="tx1"/>
                  </w14:solidFill>
                </w14:textFill>
              </w:rPr>
              <w:t>值</w:t>
            </w:r>
          </w:p>
        </w:tc>
        <w:tc>
          <w:tcPr>
            <w:tcW w:w="1819" w:type="dxa"/>
            <w:gridSpan w:val="2"/>
            <w:tcBorders>
              <w:tl2br w:val="nil"/>
              <w:tr2bl w:val="nil"/>
            </w:tcBorders>
            <w:vAlign w:val="center"/>
          </w:tcPr>
          <w:p w14:paraId="69DBD20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P1</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18" w:type="dxa"/>
            <w:gridSpan w:val="3"/>
            <w:tcBorders>
              <w:tl2br w:val="nil"/>
              <w:tr2bl w:val="nil"/>
            </w:tcBorders>
            <w:vAlign w:val="center"/>
          </w:tcPr>
          <w:p w14:paraId="3114988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P2</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75" w:type="dxa"/>
            <w:tcBorders>
              <w:tl2br w:val="nil"/>
              <w:tr2bl w:val="nil"/>
            </w:tcBorders>
            <w:vAlign w:val="center"/>
          </w:tcPr>
          <w:p w14:paraId="7E2B576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P3</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50" w:type="dxa"/>
            <w:tcBorders>
              <w:tl2br w:val="nil"/>
              <w:tr2bl w:val="nil"/>
            </w:tcBorders>
            <w:vAlign w:val="center"/>
          </w:tcPr>
          <w:p w14:paraId="5FC5737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P4</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72B49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jc w:val="center"/>
        </w:trPr>
        <w:tc>
          <w:tcPr>
            <w:tcW w:w="1493" w:type="dxa"/>
            <w:gridSpan w:val="2"/>
            <w:vMerge w:val="restart"/>
            <w:tcBorders>
              <w:tl2br w:val="nil"/>
              <w:tr2bl w:val="nil"/>
            </w:tcBorders>
            <w:vAlign w:val="center"/>
          </w:tcPr>
          <w:p w14:paraId="2AD4B37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环境敏感程度</w:t>
            </w:r>
          </w:p>
        </w:tc>
        <w:tc>
          <w:tcPr>
            <w:tcW w:w="1363" w:type="dxa"/>
            <w:tcBorders>
              <w:tl2br w:val="nil"/>
              <w:tr2bl w:val="nil"/>
            </w:tcBorders>
            <w:vAlign w:val="center"/>
          </w:tcPr>
          <w:p w14:paraId="3CF6C82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大气</w:t>
            </w:r>
          </w:p>
        </w:tc>
        <w:tc>
          <w:tcPr>
            <w:tcW w:w="1819" w:type="dxa"/>
            <w:gridSpan w:val="2"/>
            <w:tcBorders>
              <w:tl2br w:val="nil"/>
              <w:tr2bl w:val="nil"/>
            </w:tcBorders>
            <w:vAlign w:val="center"/>
          </w:tcPr>
          <w:p w14:paraId="6269892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E1</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18" w:type="dxa"/>
            <w:gridSpan w:val="3"/>
            <w:tcBorders>
              <w:tl2br w:val="nil"/>
              <w:tr2bl w:val="nil"/>
            </w:tcBorders>
            <w:vAlign w:val="center"/>
          </w:tcPr>
          <w:p w14:paraId="05BEDF0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E2</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2725" w:type="dxa"/>
            <w:gridSpan w:val="2"/>
            <w:tcBorders>
              <w:tl2br w:val="nil"/>
              <w:tr2bl w:val="nil"/>
            </w:tcBorders>
            <w:vAlign w:val="center"/>
          </w:tcPr>
          <w:p w14:paraId="067FDFA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E3</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35A3D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1493" w:type="dxa"/>
            <w:gridSpan w:val="2"/>
            <w:vMerge w:val="continue"/>
            <w:tcBorders>
              <w:tl2br w:val="nil"/>
              <w:tr2bl w:val="nil"/>
            </w:tcBorders>
            <w:vAlign w:val="center"/>
          </w:tcPr>
          <w:p w14:paraId="15FEC36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tcBorders>
              <w:tl2br w:val="nil"/>
              <w:tr2bl w:val="nil"/>
            </w:tcBorders>
            <w:vAlign w:val="center"/>
          </w:tcPr>
          <w:p w14:paraId="699C250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地表水</w:t>
            </w:r>
          </w:p>
        </w:tc>
        <w:tc>
          <w:tcPr>
            <w:tcW w:w="1819" w:type="dxa"/>
            <w:gridSpan w:val="2"/>
            <w:tcBorders>
              <w:tl2br w:val="nil"/>
              <w:tr2bl w:val="nil"/>
            </w:tcBorders>
            <w:vAlign w:val="center"/>
          </w:tcPr>
          <w:p w14:paraId="2644939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E1</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18" w:type="dxa"/>
            <w:gridSpan w:val="3"/>
            <w:tcBorders>
              <w:tl2br w:val="nil"/>
              <w:tr2bl w:val="nil"/>
            </w:tcBorders>
            <w:vAlign w:val="center"/>
          </w:tcPr>
          <w:p w14:paraId="2FDF0E3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E2</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8745" cy="102235"/>
                  <wp:effectExtent l="0" t="0" r="14605" b="12065"/>
                  <wp:docPr id="450" name="IM 450"/>
                  <wp:cNvGraphicFramePr/>
                  <a:graphic xmlns:a="http://schemas.openxmlformats.org/drawingml/2006/main">
                    <a:graphicData uri="http://schemas.openxmlformats.org/drawingml/2006/picture">
                      <pic:pic xmlns:pic="http://schemas.openxmlformats.org/drawingml/2006/picture">
                        <pic:nvPicPr>
                          <pic:cNvPr id="450" name="IM 450"/>
                          <pic:cNvPicPr/>
                        </pic:nvPicPr>
                        <pic:blipFill>
                          <a:blip r:embed="rId118"/>
                          <a:stretch>
                            <a:fillRect/>
                          </a:stretch>
                        </pic:blipFill>
                        <pic:spPr>
                          <a:xfrm>
                            <a:off x="0" y="0"/>
                            <a:ext cx="118967" cy="102588"/>
                          </a:xfrm>
                          <a:prstGeom prst="rect">
                            <a:avLst/>
                          </a:prstGeom>
                        </pic:spPr>
                      </pic:pic>
                    </a:graphicData>
                  </a:graphic>
                </wp:inline>
              </w:drawing>
            </w:r>
          </w:p>
        </w:tc>
        <w:tc>
          <w:tcPr>
            <w:tcW w:w="2725" w:type="dxa"/>
            <w:gridSpan w:val="2"/>
            <w:tcBorders>
              <w:tl2br w:val="nil"/>
              <w:tr2bl w:val="nil"/>
            </w:tcBorders>
            <w:vAlign w:val="center"/>
          </w:tcPr>
          <w:p w14:paraId="1B30AE8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E3</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27869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1493" w:type="dxa"/>
            <w:gridSpan w:val="2"/>
            <w:vMerge w:val="continue"/>
            <w:tcBorders>
              <w:tl2br w:val="nil"/>
              <w:tr2bl w:val="nil"/>
            </w:tcBorders>
            <w:vAlign w:val="center"/>
          </w:tcPr>
          <w:p w14:paraId="6AA2CC8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tcBorders>
              <w:tl2br w:val="nil"/>
              <w:tr2bl w:val="nil"/>
            </w:tcBorders>
            <w:vAlign w:val="center"/>
          </w:tcPr>
          <w:p w14:paraId="028CE83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地下水</w:t>
            </w:r>
          </w:p>
        </w:tc>
        <w:tc>
          <w:tcPr>
            <w:tcW w:w="1819" w:type="dxa"/>
            <w:gridSpan w:val="2"/>
            <w:tcBorders>
              <w:tl2br w:val="nil"/>
              <w:tr2bl w:val="nil"/>
            </w:tcBorders>
            <w:vAlign w:val="center"/>
          </w:tcPr>
          <w:p w14:paraId="72B4DD3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E1</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18" w:type="dxa"/>
            <w:gridSpan w:val="3"/>
            <w:tcBorders>
              <w:tl2br w:val="nil"/>
              <w:tr2bl w:val="nil"/>
            </w:tcBorders>
            <w:vAlign w:val="center"/>
          </w:tcPr>
          <w:p w14:paraId="1F978E6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E2</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8745" cy="102235"/>
                  <wp:effectExtent l="0" t="0" r="14605" b="12065"/>
                  <wp:docPr id="452" name="IM 452"/>
                  <wp:cNvGraphicFramePr/>
                  <a:graphic xmlns:a="http://schemas.openxmlformats.org/drawingml/2006/main">
                    <a:graphicData uri="http://schemas.openxmlformats.org/drawingml/2006/picture">
                      <pic:pic xmlns:pic="http://schemas.openxmlformats.org/drawingml/2006/picture">
                        <pic:nvPicPr>
                          <pic:cNvPr id="452" name="IM 452"/>
                          <pic:cNvPicPr/>
                        </pic:nvPicPr>
                        <pic:blipFill>
                          <a:blip r:embed="rId118"/>
                          <a:stretch>
                            <a:fillRect/>
                          </a:stretch>
                        </pic:blipFill>
                        <pic:spPr>
                          <a:xfrm>
                            <a:off x="0" y="0"/>
                            <a:ext cx="118967" cy="102588"/>
                          </a:xfrm>
                          <a:prstGeom prst="rect">
                            <a:avLst/>
                          </a:prstGeom>
                        </pic:spPr>
                      </pic:pic>
                    </a:graphicData>
                  </a:graphic>
                </wp:inline>
              </w:drawing>
            </w:r>
          </w:p>
        </w:tc>
        <w:tc>
          <w:tcPr>
            <w:tcW w:w="2725" w:type="dxa"/>
            <w:gridSpan w:val="2"/>
            <w:tcBorders>
              <w:tl2br w:val="nil"/>
              <w:tr2bl w:val="nil"/>
            </w:tcBorders>
            <w:vAlign w:val="center"/>
          </w:tcPr>
          <w:p w14:paraId="143DF25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E3</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r>
      <w:tr w14:paraId="73BA2E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jc w:val="center"/>
        </w:trPr>
        <w:tc>
          <w:tcPr>
            <w:tcW w:w="1493" w:type="dxa"/>
            <w:gridSpan w:val="2"/>
            <w:tcBorders>
              <w:tl2br w:val="nil"/>
              <w:tr2bl w:val="nil"/>
            </w:tcBorders>
            <w:vAlign w:val="center"/>
          </w:tcPr>
          <w:p w14:paraId="708BA76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环境风险潜势</w:t>
            </w:r>
          </w:p>
        </w:tc>
        <w:tc>
          <w:tcPr>
            <w:tcW w:w="1363" w:type="dxa"/>
            <w:tcBorders>
              <w:tl2br w:val="nil"/>
              <w:tr2bl w:val="nil"/>
            </w:tcBorders>
            <w:vAlign w:val="center"/>
          </w:tcPr>
          <w:p w14:paraId="38A286B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Ⅳ+</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819" w:type="dxa"/>
            <w:gridSpan w:val="2"/>
            <w:tcBorders>
              <w:tl2br w:val="nil"/>
              <w:tr2bl w:val="nil"/>
            </w:tcBorders>
            <w:vAlign w:val="center"/>
          </w:tcPr>
          <w:p w14:paraId="4E17FCF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Ⅳ</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18" w:type="dxa"/>
            <w:gridSpan w:val="3"/>
            <w:tcBorders>
              <w:tl2br w:val="nil"/>
              <w:tr2bl w:val="nil"/>
            </w:tcBorders>
            <w:vAlign w:val="center"/>
          </w:tcPr>
          <w:p w14:paraId="095076B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Ⅲ</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75" w:type="dxa"/>
            <w:tcBorders>
              <w:tl2br w:val="nil"/>
              <w:tr2bl w:val="nil"/>
            </w:tcBorders>
            <w:vAlign w:val="center"/>
          </w:tcPr>
          <w:p w14:paraId="6EE5E11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8"/>
                <w:szCs w:val="21"/>
                <w:lang w:eastAsia="en-US"/>
                <w14:textFill>
                  <w14:solidFill>
                    <w14:schemeClr w14:val="tx1"/>
                  </w14:solidFill>
                </w14:textFill>
              </w:rPr>
              <w:t>Ⅱ</w:t>
            </w:r>
            <w:r>
              <w:rPr>
                <w:rFonts w:ascii="Times New Roman" w:hAnsi="Times New Roman" w:eastAsia="宋体"/>
                <w:color w:val="000000" w:themeColor="text1"/>
                <w:lang w:eastAsia="en-US"/>
                <w14:textFill>
                  <w14:solidFill>
                    <w14:schemeClr w14:val="tx1"/>
                  </w14:solidFill>
                </w14:textFill>
              </w:rPr>
              <w:t xml:space="preserve"> </w:t>
            </w:r>
            <w:r>
              <w:rPr>
                <w:rFonts w:ascii="Times New Roman" w:hAnsi="Times New Roman" w:eastAsia="宋体"/>
                <w:color w:val="000000" w:themeColor="text1"/>
                <w:lang w:eastAsia="en-US"/>
                <w14:textFill>
                  <w14:solidFill>
                    <w14:schemeClr w14:val="tx1"/>
                  </w14:solidFill>
                </w14:textFill>
              </w:rPr>
              <w:sym w:font="Wingdings 2" w:char="00A3"/>
            </w:r>
          </w:p>
        </w:tc>
        <w:tc>
          <w:tcPr>
            <w:tcW w:w="1350" w:type="dxa"/>
            <w:tcBorders>
              <w:tl2br w:val="nil"/>
              <w:tr2bl w:val="nil"/>
            </w:tcBorders>
            <w:vAlign w:val="center"/>
          </w:tcPr>
          <w:p w14:paraId="03F89D6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lang w:eastAsia="en-US"/>
                <w14:textFill>
                  <w14:solidFill>
                    <w14:schemeClr w14:val="tx1"/>
                  </w14:solidFill>
                </w14:textFill>
              </w:rPr>
              <w:t xml:space="preserve">I </w:t>
            </w:r>
            <w:r>
              <w:rPr>
                <w:rFonts w:ascii="Times New Roman" w:hAnsi="Times New Roman" w:eastAsia="宋体"/>
                <w:color w:val="000000" w:themeColor="text1"/>
                <w:lang w:eastAsia="en-US"/>
                <w14:textFill>
                  <w14:solidFill>
                    <w14:schemeClr w14:val="tx1"/>
                  </w14:solidFill>
                </w14:textFill>
              </w:rPr>
              <w:sym w:font="Wingdings 2" w:char="0052"/>
            </w:r>
          </w:p>
        </w:tc>
      </w:tr>
      <w:tr w14:paraId="42590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1493" w:type="dxa"/>
            <w:gridSpan w:val="2"/>
            <w:tcBorders>
              <w:tl2br w:val="nil"/>
              <w:tr2bl w:val="nil"/>
            </w:tcBorders>
            <w:vAlign w:val="center"/>
          </w:tcPr>
          <w:p w14:paraId="48A7767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评价等级</w:t>
            </w:r>
          </w:p>
        </w:tc>
        <w:tc>
          <w:tcPr>
            <w:tcW w:w="1908" w:type="dxa"/>
            <w:gridSpan w:val="2"/>
            <w:tcBorders>
              <w:tl2br w:val="nil"/>
              <w:tr2bl w:val="nil"/>
            </w:tcBorders>
            <w:vAlign w:val="center"/>
          </w:tcPr>
          <w:p w14:paraId="5B78A5F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一级</w:t>
            </w:r>
            <w:r>
              <w:rPr>
                <w:rFonts w:ascii="Times New Roman" w:hAnsi="Times New Roman" w:eastAsia="宋体"/>
                <w:color w:val="000000" w:themeColor="text1"/>
                <w:lang w:eastAsia="en-US"/>
                <w14:textFill>
                  <w14:solidFill>
                    <w14:schemeClr w14:val="tx1"/>
                  </w14:solidFill>
                </w14:textFill>
              </w:rPr>
              <w:sym w:font="Wingdings 2" w:char="00A3"/>
            </w:r>
          </w:p>
        </w:tc>
        <w:tc>
          <w:tcPr>
            <w:tcW w:w="1774" w:type="dxa"/>
            <w:gridSpan w:val="2"/>
            <w:tcBorders>
              <w:tl2br w:val="nil"/>
              <w:tr2bl w:val="nil"/>
            </w:tcBorders>
            <w:vAlign w:val="center"/>
          </w:tcPr>
          <w:p w14:paraId="3E83124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二级</w:t>
            </w:r>
            <w:r>
              <w:rPr>
                <w:rFonts w:ascii="Times New Roman" w:hAnsi="Times New Roman" w:eastAsia="宋体"/>
                <w:color w:val="000000" w:themeColor="text1"/>
                <w:lang w:eastAsia="en-US"/>
                <w14:textFill>
                  <w14:solidFill>
                    <w14:schemeClr w14:val="tx1"/>
                  </w14:solidFill>
                </w14:textFill>
              </w:rPr>
              <w:sym w:font="Wingdings 2" w:char="00A3"/>
            </w:r>
          </w:p>
        </w:tc>
        <w:tc>
          <w:tcPr>
            <w:tcW w:w="2193" w:type="dxa"/>
            <w:gridSpan w:val="3"/>
            <w:tcBorders>
              <w:tl2br w:val="nil"/>
              <w:tr2bl w:val="nil"/>
            </w:tcBorders>
            <w:vAlign w:val="center"/>
          </w:tcPr>
          <w:p w14:paraId="4560EDB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三级</w:t>
            </w:r>
            <w:r>
              <w:rPr>
                <w:rFonts w:ascii="Times New Roman" w:hAnsi="Times New Roman" w:eastAsia="宋体"/>
                <w:color w:val="000000" w:themeColor="text1"/>
                <w:lang w:eastAsia="en-US"/>
                <w14:textFill>
                  <w14:solidFill>
                    <w14:schemeClr w14:val="tx1"/>
                  </w14:solidFill>
                </w14:textFill>
              </w:rPr>
              <w:sym w:font="Wingdings 2" w:char="00A3"/>
            </w:r>
          </w:p>
        </w:tc>
        <w:tc>
          <w:tcPr>
            <w:tcW w:w="1350" w:type="dxa"/>
            <w:tcBorders>
              <w:tl2br w:val="nil"/>
              <w:tr2bl w:val="nil"/>
            </w:tcBorders>
            <w:vAlign w:val="center"/>
          </w:tcPr>
          <w:p w14:paraId="328C104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简单分析</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9380" cy="102235"/>
                  <wp:effectExtent l="0" t="0" r="13970" b="12065"/>
                  <wp:docPr id="456" name="IM 456"/>
                  <wp:cNvGraphicFramePr/>
                  <a:graphic xmlns:a="http://schemas.openxmlformats.org/drawingml/2006/main">
                    <a:graphicData uri="http://schemas.openxmlformats.org/drawingml/2006/picture">
                      <pic:pic xmlns:pic="http://schemas.openxmlformats.org/drawingml/2006/picture">
                        <pic:nvPicPr>
                          <pic:cNvPr id="456" name="IM 456"/>
                          <pic:cNvPicPr/>
                        </pic:nvPicPr>
                        <pic:blipFill>
                          <a:blip r:embed="rId119"/>
                          <a:stretch>
                            <a:fillRect/>
                          </a:stretch>
                        </pic:blipFill>
                        <pic:spPr>
                          <a:xfrm>
                            <a:off x="0" y="0"/>
                            <a:ext cx="119657" cy="102588"/>
                          </a:xfrm>
                          <a:prstGeom prst="rect">
                            <a:avLst/>
                          </a:prstGeom>
                        </pic:spPr>
                      </pic:pic>
                    </a:graphicData>
                  </a:graphic>
                </wp:inline>
              </w:drawing>
            </w:r>
          </w:p>
        </w:tc>
      </w:tr>
      <w:tr w14:paraId="3A577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jc w:val="center"/>
        </w:trPr>
        <w:tc>
          <w:tcPr>
            <w:tcW w:w="444" w:type="dxa"/>
            <w:vMerge w:val="restart"/>
            <w:tcBorders>
              <w:tl2br w:val="nil"/>
              <w:tr2bl w:val="nil"/>
            </w:tcBorders>
            <w:vAlign w:val="center"/>
          </w:tcPr>
          <w:p w14:paraId="6C6A8B9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9"/>
                <w:szCs w:val="21"/>
                <w:lang w:eastAsia="en-US"/>
                <w14:textFill>
                  <w14:solidFill>
                    <w14:schemeClr w14:val="tx1"/>
                  </w14:solidFill>
                </w14:textFill>
              </w:rPr>
              <w:t>风 险 识 别</w:t>
            </w:r>
          </w:p>
        </w:tc>
        <w:tc>
          <w:tcPr>
            <w:tcW w:w="1049" w:type="dxa"/>
            <w:tcBorders>
              <w:tl2br w:val="nil"/>
              <w:tr2bl w:val="nil"/>
            </w:tcBorders>
            <w:vAlign w:val="center"/>
          </w:tcPr>
          <w:p w14:paraId="4E7AA24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物质危险</w:t>
            </w:r>
            <w:r>
              <w:rPr>
                <w:rFonts w:ascii="Times New Roman" w:hAnsi="Times New Roman" w:eastAsia="宋体"/>
                <w:color w:val="000000" w:themeColor="text1"/>
                <w:szCs w:val="21"/>
                <w:lang w:eastAsia="en-US"/>
                <w14:textFill>
                  <w14:solidFill>
                    <w14:schemeClr w14:val="tx1"/>
                  </w14:solidFill>
                </w14:textFill>
              </w:rPr>
              <w:t xml:space="preserve"> 性</w:t>
            </w:r>
          </w:p>
        </w:tc>
        <w:tc>
          <w:tcPr>
            <w:tcW w:w="3182" w:type="dxa"/>
            <w:gridSpan w:val="3"/>
            <w:tcBorders>
              <w:tl2br w:val="nil"/>
              <w:tr2bl w:val="nil"/>
            </w:tcBorders>
            <w:vAlign w:val="center"/>
          </w:tcPr>
          <w:p w14:paraId="51B0906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有毒有害</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9380" cy="102235"/>
                  <wp:effectExtent l="0" t="0" r="13970" b="12065"/>
                  <wp:docPr id="458" name="IM 458"/>
                  <wp:cNvGraphicFramePr/>
                  <a:graphic xmlns:a="http://schemas.openxmlformats.org/drawingml/2006/main">
                    <a:graphicData uri="http://schemas.openxmlformats.org/drawingml/2006/picture">
                      <pic:pic xmlns:pic="http://schemas.openxmlformats.org/drawingml/2006/picture">
                        <pic:nvPicPr>
                          <pic:cNvPr id="458" name="IM 458"/>
                          <pic:cNvPicPr/>
                        </pic:nvPicPr>
                        <pic:blipFill>
                          <a:blip r:embed="rId120"/>
                          <a:stretch>
                            <a:fillRect/>
                          </a:stretch>
                        </pic:blipFill>
                        <pic:spPr>
                          <a:xfrm>
                            <a:off x="0" y="0"/>
                            <a:ext cx="119657" cy="102588"/>
                          </a:xfrm>
                          <a:prstGeom prst="rect">
                            <a:avLst/>
                          </a:prstGeom>
                        </pic:spPr>
                      </pic:pic>
                    </a:graphicData>
                  </a:graphic>
                </wp:inline>
              </w:drawing>
            </w:r>
          </w:p>
        </w:tc>
        <w:tc>
          <w:tcPr>
            <w:tcW w:w="4043" w:type="dxa"/>
            <w:gridSpan w:val="5"/>
            <w:tcBorders>
              <w:tl2br w:val="nil"/>
              <w:tr2bl w:val="nil"/>
            </w:tcBorders>
            <w:vAlign w:val="center"/>
          </w:tcPr>
          <w:p w14:paraId="7DA1917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易燃易爆</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9380" cy="102235"/>
                  <wp:effectExtent l="0" t="0" r="13970" b="12065"/>
                  <wp:docPr id="460" name="IM 460"/>
                  <wp:cNvGraphicFramePr/>
                  <a:graphic xmlns:a="http://schemas.openxmlformats.org/drawingml/2006/main">
                    <a:graphicData uri="http://schemas.openxmlformats.org/drawingml/2006/picture">
                      <pic:pic xmlns:pic="http://schemas.openxmlformats.org/drawingml/2006/picture">
                        <pic:nvPicPr>
                          <pic:cNvPr id="460" name="IM 460"/>
                          <pic:cNvPicPr/>
                        </pic:nvPicPr>
                        <pic:blipFill>
                          <a:blip r:embed="rId119"/>
                          <a:stretch>
                            <a:fillRect/>
                          </a:stretch>
                        </pic:blipFill>
                        <pic:spPr>
                          <a:xfrm>
                            <a:off x="0" y="0"/>
                            <a:ext cx="119657" cy="102588"/>
                          </a:xfrm>
                          <a:prstGeom prst="rect">
                            <a:avLst/>
                          </a:prstGeom>
                        </pic:spPr>
                      </pic:pic>
                    </a:graphicData>
                  </a:graphic>
                </wp:inline>
              </w:drawing>
            </w:r>
          </w:p>
        </w:tc>
      </w:tr>
      <w:tr w14:paraId="027D3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444" w:type="dxa"/>
            <w:vMerge w:val="continue"/>
            <w:tcBorders>
              <w:tl2br w:val="nil"/>
              <w:tr2bl w:val="nil"/>
            </w:tcBorders>
            <w:textDirection w:val="tbRlV"/>
            <w:vAlign w:val="center"/>
          </w:tcPr>
          <w:p w14:paraId="4990FB89">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49" w:type="dxa"/>
            <w:tcBorders>
              <w:tl2br w:val="nil"/>
              <w:tr2bl w:val="nil"/>
            </w:tcBorders>
            <w:vAlign w:val="center"/>
          </w:tcPr>
          <w:p w14:paraId="5A0E998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环境风险</w:t>
            </w:r>
            <w:r>
              <w:rPr>
                <w:rFonts w:ascii="Times New Roman" w:hAnsi="Times New Roman" w:eastAsia="宋体"/>
                <w:color w:val="000000" w:themeColor="text1"/>
                <w:szCs w:val="21"/>
                <w:lang w:eastAsia="en-US"/>
                <w14:textFill>
                  <w14:solidFill>
                    <w14:schemeClr w14:val="tx1"/>
                  </w14:solidFill>
                </w14:textFill>
              </w:rPr>
              <w:t xml:space="preserve"> </w:t>
            </w:r>
            <w:r>
              <w:rPr>
                <w:rFonts w:ascii="Times New Roman" w:hAnsi="Times New Roman" w:eastAsia="宋体"/>
                <w:color w:val="000000" w:themeColor="text1"/>
                <w:spacing w:val="4"/>
                <w:szCs w:val="21"/>
                <w:lang w:eastAsia="en-US"/>
                <w14:textFill>
                  <w14:solidFill>
                    <w14:schemeClr w14:val="tx1"/>
                  </w14:solidFill>
                </w14:textFill>
              </w:rPr>
              <w:t>类型</w:t>
            </w:r>
          </w:p>
        </w:tc>
        <w:tc>
          <w:tcPr>
            <w:tcW w:w="1363" w:type="dxa"/>
            <w:tcBorders>
              <w:tl2br w:val="nil"/>
              <w:tr2bl w:val="nil"/>
            </w:tcBorders>
            <w:vAlign w:val="center"/>
          </w:tcPr>
          <w:p w14:paraId="7D2492F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泄漏</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9380" cy="102235"/>
                  <wp:effectExtent l="0" t="0" r="13970" b="12065"/>
                  <wp:docPr id="462" name="IM 462"/>
                  <wp:cNvGraphicFramePr/>
                  <a:graphic xmlns:a="http://schemas.openxmlformats.org/drawingml/2006/main">
                    <a:graphicData uri="http://schemas.openxmlformats.org/drawingml/2006/picture">
                      <pic:pic xmlns:pic="http://schemas.openxmlformats.org/drawingml/2006/picture">
                        <pic:nvPicPr>
                          <pic:cNvPr id="462" name="IM 462"/>
                          <pic:cNvPicPr/>
                        </pic:nvPicPr>
                        <pic:blipFill>
                          <a:blip r:embed="rId120"/>
                          <a:stretch>
                            <a:fillRect/>
                          </a:stretch>
                        </pic:blipFill>
                        <pic:spPr>
                          <a:xfrm>
                            <a:off x="0" y="0"/>
                            <a:ext cx="119647" cy="102588"/>
                          </a:xfrm>
                          <a:prstGeom prst="rect">
                            <a:avLst/>
                          </a:prstGeom>
                        </pic:spPr>
                      </pic:pic>
                    </a:graphicData>
                  </a:graphic>
                </wp:inline>
              </w:drawing>
            </w:r>
          </w:p>
        </w:tc>
        <w:tc>
          <w:tcPr>
            <w:tcW w:w="5862" w:type="dxa"/>
            <w:gridSpan w:val="7"/>
            <w:tcBorders>
              <w:tl2br w:val="nil"/>
              <w:tr2bl w:val="nil"/>
            </w:tcBorders>
            <w:vAlign w:val="center"/>
          </w:tcPr>
          <w:p w14:paraId="7F267C58">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position w:val="1"/>
                <w:szCs w:val="21"/>
                <w:lang w:eastAsia="zh-CN"/>
                <w14:textFill>
                  <w14:solidFill>
                    <w14:schemeClr w14:val="tx1"/>
                  </w14:solidFill>
                </w14:textFill>
              </w:rPr>
              <w:t>火灾、爆炸引发伴生/次生污染物排放</w:t>
            </w:r>
            <w:r>
              <w:rPr>
                <w:rFonts w:ascii="Calibri" w:hAnsi="Calibri" w:eastAsia="Times New Roman"/>
                <w:color w:val="000000" w:themeColor="text1"/>
                <w:position w:val="1"/>
                <w:szCs w:val="21"/>
                <w:lang w:eastAsia="en-US"/>
                <w14:textFill>
                  <w14:solidFill>
                    <w14:schemeClr w14:val="tx1"/>
                  </w14:solidFill>
                </w14:textFill>
              </w:rPr>
              <w:drawing>
                <wp:inline distT="0" distB="0" distL="0" distR="0">
                  <wp:extent cx="118110" cy="102235"/>
                  <wp:effectExtent l="0" t="0" r="15240" b="12065"/>
                  <wp:docPr id="464" name="IM 464"/>
                  <wp:cNvGraphicFramePr/>
                  <a:graphic xmlns:a="http://schemas.openxmlformats.org/drawingml/2006/main">
                    <a:graphicData uri="http://schemas.openxmlformats.org/drawingml/2006/picture">
                      <pic:pic xmlns:pic="http://schemas.openxmlformats.org/drawingml/2006/picture">
                        <pic:nvPicPr>
                          <pic:cNvPr id="464" name="IM 464"/>
                          <pic:cNvPicPr/>
                        </pic:nvPicPr>
                        <pic:blipFill>
                          <a:blip r:embed="rId120"/>
                          <a:stretch>
                            <a:fillRect/>
                          </a:stretch>
                        </pic:blipFill>
                        <pic:spPr>
                          <a:xfrm>
                            <a:off x="0" y="0"/>
                            <a:ext cx="118151" cy="102588"/>
                          </a:xfrm>
                          <a:prstGeom prst="rect">
                            <a:avLst/>
                          </a:prstGeom>
                        </pic:spPr>
                      </pic:pic>
                    </a:graphicData>
                  </a:graphic>
                </wp:inline>
              </w:drawing>
            </w:r>
          </w:p>
        </w:tc>
      </w:tr>
      <w:tr w14:paraId="1CE20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jc w:val="center"/>
        </w:trPr>
        <w:tc>
          <w:tcPr>
            <w:tcW w:w="444" w:type="dxa"/>
            <w:vMerge w:val="continue"/>
            <w:tcBorders>
              <w:tl2br w:val="nil"/>
              <w:tr2bl w:val="nil"/>
            </w:tcBorders>
            <w:textDirection w:val="tbRlV"/>
            <w:vAlign w:val="center"/>
          </w:tcPr>
          <w:p w14:paraId="18AB3F0C">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049" w:type="dxa"/>
            <w:tcBorders>
              <w:tl2br w:val="nil"/>
              <w:tr2bl w:val="nil"/>
            </w:tcBorders>
            <w:vAlign w:val="center"/>
          </w:tcPr>
          <w:p w14:paraId="7C9E5F2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影响途径</w:t>
            </w:r>
          </w:p>
        </w:tc>
        <w:tc>
          <w:tcPr>
            <w:tcW w:w="1363" w:type="dxa"/>
            <w:tcBorders>
              <w:tl2br w:val="nil"/>
              <w:tr2bl w:val="nil"/>
            </w:tcBorders>
            <w:vAlign w:val="center"/>
          </w:tcPr>
          <w:p w14:paraId="62B5BAC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大气</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9380" cy="102235"/>
                  <wp:effectExtent l="0" t="0" r="13970" b="12065"/>
                  <wp:docPr id="466" name="IM 466"/>
                  <wp:cNvGraphicFramePr/>
                  <a:graphic xmlns:a="http://schemas.openxmlformats.org/drawingml/2006/main">
                    <a:graphicData uri="http://schemas.openxmlformats.org/drawingml/2006/picture">
                      <pic:pic xmlns:pic="http://schemas.openxmlformats.org/drawingml/2006/picture">
                        <pic:nvPicPr>
                          <pic:cNvPr id="466" name="IM 466"/>
                          <pic:cNvPicPr/>
                        </pic:nvPicPr>
                        <pic:blipFill>
                          <a:blip r:embed="rId120"/>
                          <a:stretch>
                            <a:fillRect/>
                          </a:stretch>
                        </pic:blipFill>
                        <pic:spPr>
                          <a:xfrm>
                            <a:off x="0" y="0"/>
                            <a:ext cx="119647" cy="102588"/>
                          </a:xfrm>
                          <a:prstGeom prst="rect">
                            <a:avLst/>
                          </a:prstGeom>
                        </pic:spPr>
                      </pic:pic>
                    </a:graphicData>
                  </a:graphic>
                </wp:inline>
              </w:drawing>
            </w:r>
          </w:p>
        </w:tc>
        <w:tc>
          <w:tcPr>
            <w:tcW w:w="3137" w:type="dxa"/>
            <w:gridSpan w:val="5"/>
            <w:tcBorders>
              <w:tl2br w:val="nil"/>
              <w:tr2bl w:val="nil"/>
            </w:tcBorders>
            <w:vAlign w:val="center"/>
          </w:tcPr>
          <w:p w14:paraId="70CA588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地表水</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9380" cy="102235"/>
                  <wp:effectExtent l="0" t="0" r="13970" b="12065"/>
                  <wp:docPr id="468" name="IM 468"/>
                  <wp:cNvGraphicFramePr/>
                  <a:graphic xmlns:a="http://schemas.openxmlformats.org/drawingml/2006/main">
                    <a:graphicData uri="http://schemas.openxmlformats.org/drawingml/2006/picture">
                      <pic:pic xmlns:pic="http://schemas.openxmlformats.org/drawingml/2006/picture">
                        <pic:nvPicPr>
                          <pic:cNvPr id="468" name="IM 468"/>
                          <pic:cNvPicPr/>
                        </pic:nvPicPr>
                        <pic:blipFill>
                          <a:blip r:embed="rId120"/>
                          <a:stretch>
                            <a:fillRect/>
                          </a:stretch>
                        </pic:blipFill>
                        <pic:spPr>
                          <a:xfrm>
                            <a:off x="0" y="0"/>
                            <a:ext cx="119642" cy="102588"/>
                          </a:xfrm>
                          <a:prstGeom prst="rect">
                            <a:avLst/>
                          </a:prstGeom>
                        </pic:spPr>
                      </pic:pic>
                    </a:graphicData>
                  </a:graphic>
                </wp:inline>
              </w:drawing>
            </w:r>
          </w:p>
        </w:tc>
        <w:tc>
          <w:tcPr>
            <w:tcW w:w="2725" w:type="dxa"/>
            <w:gridSpan w:val="2"/>
            <w:tcBorders>
              <w:tl2br w:val="nil"/>
              <w:tr2bl w:val="nil"/>
            </w:tcBorders>
            <w:vAlign w:val="center"/>
          </w:tcPr>
          <w:p w14:paraId="1DB3FC4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地下水</w:t>
            </w:r>
            <w:r>
              <w:rPr>
                <w:rFonts w:ascii="Calibri" w:hAnsi="Calibri" w:eastAsia="Times New Roman"/>
                <w:color w:val="000000" w:themeColor="text1"/>
                <w:szCs w:val="21"/>
                <w:lang w:eastAsia="en-US"/>
                <w14:textFill>
                  <w14:solidFill>
                    <w14:schemeClr w14:val="tx1"/>
                  </w14:solidFill>
                </w14:textFill>
              </w:rPr>
              <w:drawing>
                <wp:inline distT="0" distB="0" distL="0" distR="0">
                  <wp:extent cx="118110" cy="102235"/>
                  <wp:effectExtent l="0" t="0" r="15240" b="12065"/>
                  <wp:docPr id="470" name="IM 470"/>
                  <wp:cNvGraphicFramePr/>
                  <a:graphic xmlns:a="http://schemas.openxmlformats.org/drawingml/2006/main">
                    <a:graphicData uri="http://schemas.openxmlformats.org/drawingml/2006/picture">
                      <pic:pic xmlns:pic="http://schemas.openxmlformats.org/drawingml/2006/picture">
                        <pic:nvPicPr>
                          <pic:cNvPr id="470" name="IM 470"/>
                          <pic:cNvPicPr/>
                        </pic:nvPicPr>
                        <pic:blipFill>
                          <a:blip r:embed="rId120"/>
                          <a:stretch>
                            <a:fillRect/>
                          </a:stretch>
                        </pic:blipFill>
                        <pic:spPr>
                          <a:xfrm>
                            <a:off x="0" y="0"/>
                            <a:ext cx="118144" cy="102588"/>
                          </a:xfrm>
                          <a:prstGeom prst="rect">
                            <a:avLst/>
                          </a:prstGeom>
                        </pic:spPr>
                      </pic:pic>
                    </a:graphicData>
                  </a:graphic>
                </wp:inline>
              </w:drawing>
            </w:r>
          </w:p>
        </w:tc>
      </w:tr>
      <w:tr w14:paraId="7066A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1493" w:type="dxa"/>
            <w:gridSpan w:val="2"/>
            <w:tcBorders>
              <w:tl2br w:val="nil"/>
              <w:tr2bl w:val="nil"/>
            </w:tcBorders>
            <w:vAlign w:val="center"/>
          </w:tcPr>
          <w:p w14:paraId="275BD4B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事故情形分析</w:t>
            </w:r>
          </w:p>
        </w:tc>
        <w:tc>
          <w:tcPr>
            <w:tcW w:w="1363" w:type="dxa"/>
            <w:tcBorders>
              <w:tl2br w:val="nil"/>
              <w:tr2bl w:val="nil"/>
            </w:tcBorders>
            <w:vAlign w:val="center"/>
          </w:tcPr>
          <w:p w14:paraId="08FCD7A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源强设定方法</w:t>
            </w:r>
          </w:p>
        </w:tc>
        <w:tc>
          <w:tcPr>
            <w:tcW w:w="1819" w:type="dxa"/>
            <w:gridSpan w:val="2"/>
            <w:tcBorders>
              <w:tl2br w:val="nil"/>
              <w:tr2bl w:val="nil"/>
            </w:tcBorders>
            <w:vAlign w:val="center"/>
          </w:tcPr>
          <w:p w14:paraId="66E9498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计算法</w:t>
            </w:r>
            <w:r>
              <w:rPr>
                <w:rFonts w:ascii="Times New Roman" w:hAnsi="Times New Roman" w:eastAsia="宋体"/>
                <w:color w:val="000000" w:themeColor="text1"/>
                <w:lang w:eastAsia="en-US"/>
                <w14:textFill>
                  <w14:solidFill>
                    <w14:schemeClr w14:val="tx1"/>
                  </w14:solidFill>
                </w14:textFill>
              </w:rPr>
              <w:sym w:font="Wingdings 2" w:char="00A3"/>
            </w:r>
          </w:p>
        </w:tc>
        <w:tc>
          <w:tcPr>
            <w:tcW w:w="1318" w:type="dxa"/>
            <w:gridSpan w:val="3"/>
            <w:tcBorders>
              <w:tl2br w:val="nil"/>
              <w:tr2bl w:val="nil"/>
            </w:tcBorders>
            <w:vAlign w:val="center"/>
          </w:tcPr>
          <w:p w14:paraId="1EB78F0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经验估算法</w:t>
            </w:r>
            <w:r>
              <w:rPr>
                <w:rFonts w:ascii="Times New Roman" w:hAnsi="Times New Roman" w:eastAsia="宋体"/>
                <w:color w:val="000000" w:themeColor="text1"/>
                <w:lang w:eastAsia="en-US"/>
                <w14:textFill>
                  <w14:solidFill>
                    <w14:schemeClr w14:val="tx1"/>
                  </w14:solidFill>
                </w14:textFill>
              </w:rPr>
              <w:sym w:font="Wingdings 2" w:char="00A3"/>
            </w:r>
          </w:p>
        </w:tc>
        <w:tc>
          <w:tcPr>
            <w:tcW w:w="2725" w:type="dxa"/>
            <w:gridSpan w:val="2"/>
            <w:tcBorders>
              <w:tl2br w:val="nil"/>
              <w:tr2bl w:val="nil"/>
            </w:tcBorders>
            <w:vAlign w:val="center"/>
          </w:tcPr>
          <w:p w14:paraId="02F79DA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其他估算法</w:t>
            </w:r>
            <w:r>
              <w:rPr>
                <w:rFonts w:ascii="Times New Roman" w:hAnsi="Times New Roman" w:eastAsia="宋体"/>
                <w:color w:val="000000" w:themeColor="text1"/>
                <w:lang w:eastAsia="en-US"/>
                <w14:textFill>
                  <w14:solidFill>
                    <w14:schemeClr w14:val="tx1"/>
                  </w14:solidFill>
                </w14:textFill>
              </w:rPr>
              <w:sym w:font="Wingdings 2" w:char="00A3"/>
            </w:r>
          </w:p>
        </w:tc>
      </w:tr>
      <w:tr w14:paraId="5D319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44" w:type="dxa"/>
            <w:vMerge w:val="restart"/>
            <w:tcBorders>
              <w:tl2br w:val="nil"/>
              <w:tr2bl w:val="nil"/>
            </w:tcBorders>
            <w:vAlign w:val="center"/>
          </w:tcPr>
          <w:p w14:paraId="2C9DE47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9"/>
                <w:szCs w:val="21"/>
                <w:lang w:eastAsia="en-US"/>
                <w14:textFill>
                  <w14:solidFill>
                    <w14:schemeClr w14:val="tx1"/>
                  </w14:solidFill>
                </w14:textFill>
              </w:rPr>
              <w:t>风</w:t>
            </w:r>
            <w:r>
              <w:rPr>
                <w:rFonts w:ascii="Times New Roman" w:hAnsi="Times New Roman" w:eastAsia="宋体"/>
                <w:color w:val="000000" w:themeColor="text1"/>
                <w:spacing w:val="-37"/>
                <w:szCs w:val="21"/>
                <w:lang w:eastAsia="en-US"/>
                <w14:textFill>
                  <w14:solidFill>
                    <w14:schemeClr w14:val="tx1"/>
                  </w14:solidFill>
                </w14:textFill>
              </w:rPr>
              <w:t xml:space="preserve"> </w:t>
            </w:r>
            <w:r>
              <w:rPr>
                <w:rFonts w:ascii="Times New Roman" w:hAnsi="Times New Roman" w:eastAsia="宋体"/>
                <w:color w:val="000000" w:themeColor="text1"/>
                <w:spacing w:val="9"/>
                <w:szCs w:val="21"/>
                <w:lang w:eastAsia="en-US"/>
                <w14:textFill>
                  <w14:solidFill>
                    <w14:schemeClr w14:val="tx1"/>
                  </w14:solidFill>
                </w14:textFill>
              </w:rPr>
              <w:t>险</w:t>
            </w:r>
            <w:r>
              <w:rPr>
                <w:rFonts w:ascii="Times New Roman" w:hAnsi="Times New Roman" w:eastAsia="宋体"/>
                <w:color w:val="000000" w:themeColor="text1"/>
                <w:spacing w:val="-38"/>
                <w:szCs w:val="21"/>
                <w:lang w:eastAsia="en-US"/>
                <w14:textFill>
                  <w14:solidFill>
                    <w14:schemeClr w14:val="tx1"/>
                  </w14:solidFill>
                </w14:textFill>
              </w:rPr>
              <w:t xml:space="preserve"> </w:t>
            </w:r>
            <w:r>
              <w:rPr>
                <w:rFonts w:ascii="Times New Roman" w:hAnsi="Times New Roman" w:eastAsia="宋体"/>
                <w:color w:val="000000" w:themeColor="text1"/>
                <w:spacing w:val="9"/>
                <w:szCs w:val="21"/>
                <w:lang w:eastAsia="en-US"/>
                <w14:textFill>
                  <w14:solidFill>
                    <w14:schemeClr w14:val="tx1"/>
                  </w14:solidFill>
                </w14:textFill>
              </w:rPr>
              <w:t>预</w:t>
            </w:r>
            <w:r>
              <w:rPr>
                <w:rFonts w:ascii="Times New Roman" w:hAnsi="Times New Roman" w:eastAsia="宋体"/>
                <w:color w:val="000000" w:themeColor="text1"/>
                <w:spacing w:val="-36"/>
                <w:szCs w:val="21"/>
                <w:lang w:eastAsia="en-US"/>
                <w14:textFill>
                  <w14:solidFill>
                    <w14:schemeClr w14:val="tx1"/>
                  </w14:solidFill>
                </w14:textFill>
              </w:rPr>
              <w:t xml:space="preserve"> </w:t>
            </w:r>
            <w:r>
              <w:rPr>
                <w:rFonts w:ascii="Times New Roman" w:hAnsi="Times New Roman" w:eastAsia="宋体"/>
                <w:color w:val="000000" w:themeColor="text1"/>
                <w:spacing w:val="9"/>
                <w:szCs w:val="21"/>
                <w:lang w:eastAsia="en-US"/>
                <w14:textFill>
                  <w14:solidFill>
                    <w14:schemeClr w14:val="tx1"/>
                  </w14:solidFill>
                </w14:textFill>
              </w:rPr>
              <w:t>测</w:t>
            </w:r>
            <w:r>
              <w:rPr>
                <w:rFonts w:ascii="Times New Roman" w:hAnsi="Times New Roman" w:eastAsia="宋体"/>
                <w:color w:val="000000" w:themeColor="text1"/>
                <w:spacing w:val="-39"/>
                <w:szCs w:val="21"/>
                <w:lang w:eastAsia="en-US"/>
                <w14:textFill>
                  <w14:solidFill>
                    <w14:schemeClr w14:val="tx1"/>
                  </w14:solidFill>
                </w14:textFill>
              </w:rPr>
              <w:t xml:space="preserve"> </w:t>
            </w:r>
            <w:r>
              <w:rPr>
                <w:rFonts w:ascii="Times New Roman" w:hAnsi="Times New Roman" w:eastAsia="宋体"/>
                <w:color w:val="000000" w:themeColor="text1"/>
                <w:spacing w:val="9"/>
                <w:szCs w:val="21"/>
                <w:lang w:eastAsia="en-US"/>
                <w14:textFill>
                  <w14:solidFill>
                    <w14:schemeClr w14:val="tx1"/>
                  </w14:solidFill>
                </w14:textFill>
              </w:rPr>
              <w:t>与</w:t>
            </w:r>
          </w:p>
        </w:tc>
        <w:tc>
          <w:tcPr>
            <w:tcW w:w="1049" w:type="dxa"/>
            <w:vMerge w:val="restart"/>
            <w:tcBorders>
              <w:tl2br w:val="nil"/>
              <w:tr2bl w:val="nil"/>
            </w:tcBorders>
            <w:vAlign w:val="center"/>
          </w:tcPr>
          <w:p w14:paraId="4052A4A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大气</w:t>
            </w:r>
          </w:p>
        </w:tc>
        <w:tc>
          <w:tcPr>
            <w:tcW w:w="1363" w:type="dxa"/>
            <w:tcBorders>
              <w:tl2br w:val="nil"/>
              <w:tr2bl w:val="nil"/>
            </w:tcBorders>
            <w:vAlign w:val="center"/>
          </w:tcPr>
          <w:p w14:paraId="3D82E14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预测模型</w:t>
            </w:r>
          </w:p>
        </w:tc>
        <w:tc>
          <w:tcPr>
            <w:tcW w:w="1819" w:type="dxa"/>
            <w:gridSpan w:val="2"/>
            <w:tcBorders>
              <w:tl2br w:val="nil"/>
              <w:tr2bl w:val="nil"/>
            </w:tcBorders>
            <w:vAlign w:val="center"/>
          </w:tcPr>
          <w:p w14:paraId="61090F0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SLAB</w:t>
            </w:r>
            <w:r>
              <w:rPr>
                <w:rFonts w:ascii="Times New Roman" w:hAnsi="Times New Roman" w:eastAsia="宋体"/>
                <w:color w:val="000000" w:themeColor="text1"/>
                <w:lang w:eastAsia="en-US"/>
                <w14:textFill>
                  <w14:solidFill>
                    <w14:schemeClr w14:val="tx1"/>
                  </w14:solidFill>
                </w14:textFill>
              </w:rPr>
              <w:sym w:font="Wingdings 2" w:char="00A3"/>
            </w:r>
          </w:p>
        </w:tc>
        <w:tc>
          <w:tcPr>
            <w:tcW w:w="1318" w:type="dxa"/>
            <w:gridSpan w:val="3"/>
            <w:tcBorders>
              <w:tl2br w:val="nil"/>
              <w:tr2bl w:val="nil"/>
            </w:tcBorders>
            <w:vAlign w:val="center"/>
          </w:tcPr>
          <w:p w14:paraId="339235C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AFTOX</w:t>
            </w:r>
            <w:r>
              <w:rPr>
                <w:rFonts w:ascii="Times New Roman" w:hAnsi="Times New Roman" w:eastAsia="宋体"/>
                <w:color w:val="000000" w:themeColor="text1"/>
                <w:lang w:eastAsia="en-US"/>
                <w14:textFill>
                  <w14:solidFill>
                    <w14:schemeClr w14:val="tx1"/>
                  </w14:solidFill>
                </w14:textFill>
              </w:rPr>
              <w:sym w:font="Wingdings 2" w:char="00A3"/>
            </w:r>
          </w:p>
        </w:tc>
        <w:tc>
          <w:tcPr>
            <w:tcW w:w="2725" w:type="dxa"/>
            <w:gridSpan w:val="2"/>
            <w:tcBorders>
              <w:tl2br w:val="nil"/>
              <w:tr2bl w:val="nil"/>
            </w:tcBorders>
            <w:vAlign w:val="center"/>
          </w:tcPr>
          <w:p w14:paraId="0B2673B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其他</w:t>
            </w:r>
            <w:r>
              <w:rPr>
                <w:rFonts w:ascii="Times New Roman" w:hAnsi="Times New Roman" w:eastAsia="宋体"/>
                <w:color w:val="000000" w:themeColor="text1"/>
                <w:lang w:eastAsia="en-US"/>
                <w14:textFill>
                  <w14:solidFill>
                    <w14:schemeClr w14:val="tx1"/>
                  </w14:solidFill>
                </w14:textFill>
              </w:rPr>
              <w:sym w:font="Wingdings 2" w:char="00A3"/>
            </w:r>
            <w:r>
              <w:rPr>
                <w:rFonts w:ascii="Times New Roman" w:hAnsi="Times New Roman" w:eastAsia="宋体"/>
                <w:color w:val="000000" w:themeColor="text1"/>
                <w:spacing w:val="2"/>
                <w:szCs w:val="21"/>
                <w:lang w:eastAsia="en-US"/>
                <w14:textFill>
                  <w14:solidFill>
                    <w14:schemeClr w14:val="tx1"/>
                  </w14:solidFill>
                </w14:textFill>
              </w:rPr>
              <w:t></w:t>
            </w:r>
          </w:p>
        </w:tc>
      </w:tr>
      <w:tr w14:paraId="5B70E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 w:hRule="atLeast"/>
          <w:jc w:val="center"/>
        </w:trPr>
        <w:tc>
          <w:tcPr>
            <w:tcW w:w="444" w:type="dxa"/>
            <w:vMerge w:val="continue"/>
            <w:tcBorders>
              <w:tl2br w:val="nil"/>
              <w:tr2bl w:val="nil"/>
            </w:tcBorders>
            <w:vAlign w:val="center"/>
          </w:tcPr>
          <w:p w14:paraId="530ABA3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49" w:type="dxa"/>
            <w:vMerge w:val="continue"/>
            <w:tcBorders>
              <w:tl2br w:val="nil"/>
              <w:tr2bl w:val="nil"/>
            </w:tcBorders>
            <w:vAlign w:val="center"/>
          </w:tcPr>
          <w:p w14:paraId="5D96196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363" w:type="dxa"/>
            <w:vMerge w:val="restart"/>
            <w:tcBorders>
              <w:tl2br w:val="nil"/>
              <w:tr2bl w:val="nil"/>
            </w:tcBorders>
            <w:vAlign w:val="center"/>
          </w:tcPr>
          <w:p w14:paraId="625A882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预测结果</w:t>
            </w:r>
          </w:p>
        </w:tc>
        <w:tc>
          <w:tcPr>
            <w:tcW w:w="5862" w:type="dxa"/>
            <w:gridSpan w:val="7"/>
            <w:tcBorders>
              <w:tl2br w:val="nil"/>
              <w:tr2bl w:val="nil"/>
            </w:tcBorders>
            <w:vAlign w:val="center"/>
          </w:tcPr>
          <w:p w14:paraId="4626D973">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6"/>
                <w:szCs w:val="21"/>
                <w:lang w:eastAsia="zh-CN"/>
                <w14:textFill>
                  <w14:solidFill>
                    <w14:schemeClr w14:val="tx1"/>
                  </w14:solidFill>
                </w14:textFill>
              </w:rPr>
              <w:t>大气毒性终点浓度-</w:t>
            </w:r>
            <w:r>
              <w:rPr>
                <w:rFonts w:ascii="Times New Roman" w:hAnsi="Times New Roman" w:eastAsia="宋体"/>
                <w:color w:val="000000" w:themeColor="text1"/>
                <w:spacing w:val="-15"/>
                <w:szCs w:val="21"/>
                <w:lang w:eastAsia="zh-CN"/>
                <w14:textFill>
                  <w14:solidFill>
                    <w14:schemeClr w14:val="tx1"/>
                  </w14:solidFill>
                </w14:textFill>
              </w:rPr>
              <w:t xml:space="preserve"> </w:t>
            </w:r>
            <w:r>
              <w:rPr>
                <w:rFonts w:ascii="Times New Roman" w:hAnsi="Times New Roman" w:eastAsia="宋体"/>
                <w:color w:val="000000" w:themeColor="text1"/>
                <w:spacing w:val="6"/>
                <w:szCs w:val="21"/>
                <w:lang w:eastAsia="zh-CN"/>
                <w14:textFill>
                  <w14:solidFill>
                    <w14:schemeClr w14:val="tx1"/>
                  </w14:solidFill>
                </w14:textFill>
              </w:rPr>
              <w:t>1 最大影响范围</w:t>
            </w:r>
            <w:r>
              <w:rPr>
                <w:rFonts w:ascii="Times New Roman" w:hAnsi="Times New Roman" w:eastAsia="宋体"/>
                <w:color w:val="000000" w:themeColor="text1"/>
                <w:spacing w:val="6"/>
                <w:szCs w:val="21"/>
                <w:u w:val="single"/>
                <w:lang w:eastAsia="zh-CN"/>
                <w14:textFill>
                  <w14:solidFill>
                    <w14:schemeClr w14:val="tx1"/>
                  </w14:solidFill>
                </w14:textFill>
              </w:rPr>
              <w:t xml:space="preserve">    </w:t>
            </w:r>
            <w:r>
              <w:rPr>
                <w:rFonts w:ascii="Times New Roman" w:hAnsi="Times New Roman" w:eastAsia="宋体"/>
                <w:color w:val="000000" w:themeColor="text1"/>
                <w:spacing w:val="6"/>
                <w:szCs w:val="21"/>
                <w:lang w:eastAsia="zh-CN"/>
                <w14:textFill>
                  <w14:solidFill>
                    <w14:schemeClr w14:val="tx1"/>
                  </w14:solidFill>
                </w14:textFill>
              </w:rPr>
              <w:t>m</w:t>
            </w:r>
          </w:p>
        </w:tc>
      </w:tr>
      <w:tr w14:paraId="7DD6B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44" w:type="dxa"/>
            <w:vMerge w:val="continue"/>
            <w:tcBorders>
              <w:tl2br w:val="nil"/>
              <w:tr2bl w:val="nil"/>
            </w:tcBorders>
            <w:vAlign w:val="center"/>
          </w:tcPr>
          <w:p w14:paraId="15334917">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049" w:type="dxa"/>
            <w:vMerge w:val="continue"/>
            <w:tcBorders>
              <w:tl2br w:val="nil"/>
              <w:tr2bl w:val="nil"/>
            </w:tcBorders>
            <w:vAlign w:val="center"/>
          </w:tcPr>
          <w:p w14:paraId="6B87C3B4">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363" w:type="dxa"/>
            <w:vMerge w:val="continue"/>
            <w:tcBorders>
              <w:tl2br w:val="nil"/>
              <w:tr2bl w:val="nil"/>
            </w:tcBorders>
            <w:vAlign w:val="center"/>
          </w:tcPr>
          <w:p w14:paraId="526BD41D">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5862" w:type="dxa"/>
            <w:gridSpan w:val="7"/>
            <w:tcBorders>
              <w:tl2br w:val="nil"/>
              <w:tr2bl w:val="nil"/>
            </w:tcBorders>
            <w:vAlign w:val="center"/>
          </w:tcPr>
          <w:p w14:paraId="0DB542F7">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7"/>
                <w:szCs w:val="21"/>
                <w:lang w:eastAsia="zh-CN"/>
                <w14:textFill>
                  <w14:solidFill>
                    <w14:schemeClr w14:val="tx1"/>
                  </w14:solidFill>
                </w14:textFill>
              </w:rPr>
              <w:t>大气毒性终点浓度-2 最大影响范围</w:t>
            </w:r>
            <w:r>
              <w:rPr>
                <w:rFonts w:ascii="Times New Roman" w:hAnsi="Times New Roman" w:eastAsia="宋体"/>
                <w:color w:val="000000" w:themeColor="text1"/>
                <w:spacing w:val="7"/>
                <w:szCs w:val="21"/>
                <w:u w:val="single"/>
                <w:lang w:eastAsia="zh-CN"/>
                <w14:textFill>
                  <w14:solidFill>
                    <w14:schemeClr w14:val="tx1"/>
                  </w14:solidFill>
                </w14:textFill>
              </w:rPr>
              <w:t xml:space="preserve">    </w:t>
            </w:r>
            <w:r>
              <w:rPr>
                <w:rFonts w:ascii="Times New Roman" w:hAnsi="Times New Roman" w:eastAsia="宋体"/>
                <w:color w:val="000000" w:themeColor="text1"/>
                <w:spacing w:val="7"/>
                <w:szCs w:val="21"/>
                <w:lang w:eastAsia="zh-CN"/>
                <w14:textFill>
                  <w14:solidFill>
                    <w14:schemeClr w14:val="tx1"/>
                  </w14:solidFill>
                </w14:textFill>
              </w:rPr>
              <w:t>m</w:t>
            </w:r>
          </w:p>
        </w:tc>
      </w:tr>
      <w:tr w14:paraId="68B01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44" w:type="dxa"/>
            <w:vMerge w:val="continue"/>
            <w:tcBorders>
              <w:tl2br w:val="nil"/>
              <w:tr2bl w:val="nil"/>
            </w:tcBorders>
            <w:vAlign w:val="center"/>
          </w:tcPr>
          <w:p w14:paraId="32169BE2">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049" w:type="dxa"/>
            <w:tcBorders>
              <w:tl2br w:val="nil"/>
              <w:tr2bl w:val="nil"/>
            </w:tcBorders>
            <w:vAlign w:val="center"/>
          </w:tcPr>
          <w:p w14:paraId="2866ED9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地表水</w:t>
            </w:r>
          </w:p>
        </w:tc>
        <w:tc>
          <w:tcPr>
            <w:tcW w:w="7225" w:type="dxa"/>
            <w:gridSpan w:val="8"/>
            <w:tcBorders>
              <w:tl2br w:val="nil"/>
              <w:tr2bl w:val="nil"/>
            </w:tcBorders>
            <w:vAlign w:val="center"/>
          </w:tcPr>
          <w:p w14:paraId="0FB688F0">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6"/>
                <w:szCs w:val="21"/>
                <w:lang w:eastAsia="zh-CN"/>
                <w14:textFill>
                  <w14:solidFill>
                    <w14:schemeClr w14:val="tx1"/>
                  </w14:solidFill>
                </w14:textFill>
              </w:rPr>
              <w:t>最近敏感目标</w:t>
            </w:r>
            <w:r>
              <w:rPr>
                <w:rFonts w:ascii="Times New Roman" w:hAnsi="Times New Roman" w:eastAsia="宋体"/>
                <w:color w:val="000000" w:themeColor="text1"/>
                <w:spacing w:val="6"/>
                <w:szCs w:val="21"/>
                <w:u w:val="single"/>
                <w:lang w:eastAsia="zh-CN"/>
                <w14:textFill>
                  <w14:solidFill>
                    <w14:schemeClr w14:val="tx1"/>
                  </w14:solidFill>
                </w14:textFill>
              </w:rPr>
              <w:t xml:space="preserve">    </w:t>
            </w:r>
            <w:r>
              <w:rPr>
                <w:rFonts w:ascii="Times New Roman" w:hAnsi="Times New Roman" w:eastAsia="宋体"/>
                <w:color w:val="000000" w:themeColor="text1"/>
                <w:spacing w:val="6"/>
                <w:szCs w:val="21"/>
                <w:lang w:eastAsia="zh-CN"/>
                <w14:textFill>
                  <w14:solidFill>
                    <w14:schemeClr w14:val="tx1"/>
                  </w14:solidFill>
                </w14:textFill>
              </w:rPr>
              <w:t>，到达时间</w:t>
            </w:r>
            <w:r>
              <w:rPr>
                <w:rFonts w:ascii="Times New Roman" w:hAnsi="Times New Roman" w:eastAsia="宋体"/>
                <w:color w:val="000000" w:themeColor="text1"/>
                <w:spacing w:val="6"/>
                <w:szCs w:val="21"/>
                <w:u w:val="single"/>
                <w:lang w:eastAsia="zh-CN"/>
                <w14:textFill>
                  <w14:solidFill>
                    <w14:schemeClr w14:val="tx1"/>
                  </w14:solidFill>
                </w14:textFill>
              </w:rPr>
              <w:t xml:space="preserve">    </w:t>
            </w:r>
            <w:r>
              <w:rPr>
                <w:rFonts w:ascii="Times New Roman" w:hAnsi="Times New Roman" w:eastAsia="宋体"/>
                <w:color w:val="000000" w:themeColor="text1"/>
                <w:spacing w:val="6"/>
                <w:szCs w:val="21"/>
                <w:lang w:eastAsia="zh-CN"/>
                <w14:textFill>
                  <w14:solidFill>
                    <w14:schemeClr w14:val="tx1"/>
                  </w14:solidFill>
                </w14:textFill>
              </w:rPr>
              <w:t>h</w:t>
            </w:r>
          </w:p>
        </w:tc>
      </w:tr>
      <w:tr w14:paraId="7955D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444" w:type="dxa"/>
            <w:vMerge w:val="continue"/>
            <w:tcBorders>
              <w:tl2br w:val="nil"/>
              <w:tr2bl w:val="nil"/>
            </w:tcBorders>
            <w:vAlign w:val="center"/>
          </w:tcPr>
          <w:p w14:paraId="477DC1C6">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049" w:type="dxa"/>
            <w:tcBorders>
              <w:tl2br w:val="nil"/>
              <w:tr2bl w:val="nil"/>
            </w:tcBorders>
            <w:vAlign w:val="center"/>
          </w:tcPr>
          <w:p w14:paraId="3E7F95B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地下水</w:t>
            </w:r>
          </w:p>
        </w:tc>
        <w:tc>
          <w:tcPr>
            <w:tcW w:w="7225" w:type="dxa"/>
            <w:gridSpan w:val="8"/>
            <w:tcBorders>
              <w:tl2br w:val="nil"/>
              <w:tr2bl w:val="nil"/>
            </w:tcBorders>
            <w:vAlign w:val="center"/>
          </w:tcPr>
          <w:p w14:paraId="3FA007BE">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7"/>
                <w:szCs w:val="21"/>
                <w:lang w:eastAsia="zh-CN"/>
                <w14:textFill>
                  <w14:solidFill>
                    <w14:schemeClr w14:val="tx1"/>
                  </w14:solidFill>
                </w14:textFill>
              </w:rPr>
              <w:t xml:space="preserve">下游厂区边界到达时间 </w:t>
            </w:r>
            <w:r>
              <w:rPr>
                <w:rFonts w:ascii="Times New Roman" w:hAnsi="Times New Roman" w:eastAsia="宋体"/>
                <w:color w:val="000000" w:themeColor="text1"/>
                <w:spacing w:val="6"/>
                <w:szCs w:val="21"/>
                <w:u w:val="single"/>
                <w:lang w:eastAsia="zh-CN"/>
                <w14:textFill>
                  <w14:solidFill>
                    <w14:schemeClr w14:val="tx1"/>
                  </w14:solidFill>
                </w14:textFill>
              </w:rPr>
              <w:t xml:space="preserve">    </w:t>
            </w:r>
            <w:r>
              <w:rPr>
                <w:rFonts w:ascii="Times New Roman" w:hAnsi="Times New Roman" w:eastAsia="宋体"/>
                <w:color w:val="000000" w:themeColor="text1"/>
                <w:spacing w:val="7"/>
                <w:szCs w:val="21"/>
                <w:lang w:eastAsia="zh-CN"/>
                <w14:textFill>
                  <w14:solidFill>
                    <w14:schemeClr w14:val="tx1"/>
                  </w14:solidFill>
                </w14:textFill>
              </w:rPr>
              <w:t>d</w:t>
            </w:r>
          </w:p>
        </w:tc>
      </w:tr>
      <w:tr w14:paraId="66789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1493" w:type="dxa"/>
            <w:gridSpan w:val="2"/>
            <w:tcBorders>
              <w:tl2br w:val="nil"/>
              <w:tr2bl w:val="nil"/>
            </w:tcBorders>
            <w:vAlign w:val="center"/>
          </w:tcPr>
          <w:p w14:paraId="6C55CE2A">
            <w:pPr>
              <w:widowControl w:val="0"/>
              <w:autoSpaceDE w:val="0"/>
              <w:autoSpaceDN w:val="0"/>
              <w:adjustRightInd w:val="0"/>
              <w:snapToGrid w:val="0"/>
              <w:jc w:val="center"/>
              <w:rPr>
                <w:rFonts w:ascii="Times New Roman" w:hAnsi="Times New Roman" w:eastAsia="宋体"/>
                <w:color w:val="000000" w:themeColor="text1"/>
                <w:spacing w:val="6"/>
                <w:szCs w:val="21"/>
                <w:lang w:eastAsia="en-US"/>
                <w14:textFill>
                  <w14:solidFill>
                    <w14:schemeClr w14:val="tx1"/>
                  </w14:solidFill>
                </w14:textFill>
              </w:rPr>
            </w:pPr>
            <w:r>
              <w:rPr>
                <w:rFonts w:ascii="Times New Roman" w:hAnsi="Times New Roman" w:eastAsia="宋体"/>
                <w:color w:val="000000" w:themeColor="text1"/>
                <w:lang w:eastAsia="en-US"/>
                <w14:textFill>
                  <w14:solidFill>
                    <w14:schemeClr w14:val="tx1"/>
                  </w14:solidFill>
                </w14:textFill>
              </w:rPr>
              <w:t>重点风险防范措施</w:t>
            </w:r>
          </w:p>
        </w:tc>
        <w:tc>
          <w:tcPr>
            <w:tcW w:w="7225" w:type="dxa"/>
            <w:gridSpan w:val="8"/>
            <w:tcBorders>
              <w:tl2br w:val="nil"/>
              <w:tr2bl w:val="nil"/>
            </w:tcBorders>
            <w:vAlign w:val="center"/>
          </w:tcPr>
          <w:p w14:paraId="32D3127A">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zCs w:val="21"/>
                <w:lang w:eastAsia="zh-CN"/>
                <w14:textFill>
                  <w14:solidFill>
                    <w14:schemeClr w14:val="tx1"/>
                  </w14:solidFill>
                </w14:textFill>
              </w:rPr>
              <w:t>（1）加强重点防渗区的管理与维护，做好防渗防漏措施，加强日常监管和维护；（2）厂区合理规划，实行雨污分流，牛舍周边设置截水沟；（3）规范储存易燃易爆物质、设置相关消防器材；（4）加强设施的维护和管理，发现问题及时解决。（5）养殖场应具有严格的卫生管理制度；（6）畜禽疫病事故风险防范需要从生物安全管理、免疫接种、消毒措施、饲料与饮水管理、疫情监测与报告、应急预案、培训与教育、记录与追溯、合作与沟通等多个方面入手，形成全面的防控体系；（7）做好牛只的接种免疫工作；（8）定期对养殖场员工进行疫病防控知识培训，提高防控意识。</w:t>
            </w:r>
          </w:p>
        </w:tc>
      </w:tr>
      <w:tr w14:paraId="608D2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1493" w:type="dxa"/>
            <w:gridSpan w:val="2"/>
            <w:tcBorders>
              <w:tl2br w:val="nil"/>
              <w:tr2bl w:val="nil"/>
            </w:tcBorders>
            <w:vAlign w:val="center"/>
          </w:tcPr>
          <w:p w14:paraId="3B581643">
            <w:pPr>
              <w:widowControl w:val="0"/>
              <w:autoSpaceDE w:val="0"/>
              <w:autoSpaceDN w:val="0"/>
              <w:adjustRightInd w:val="0"/>
              <w:snapToGrid w:val="0"/>
              <w:jc w:val="left"/>
              <w:rPr>
                <w:rFonts w:ascii="Times New Roman" w:hAnsi="Times New Roman" w:eastAsia="宋体"/>
                <w:color w:val="000000" w:themeColor="text1"/>
                <w:spacing w:val="6"/>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评价结论及建议</w:t>
            </w:r>
          </w:p>
        </w:tc>
        <w:tc>
          <w:tcPr>
            <w:tcW w:w="7225" w:type="dxa"/>
            <w:gridSpan w:val="8"/>
            <w:tcBorders>
              <w:tl2br w:val="nil"/>
              <w:tr2bl w:val="nil"/>
            </w:tcBorders>
            <w:vAlign w:val="center"/>
          </w:tcPr>
          <w:p w14:paraId="3D5AD43E">
            <w:pPr>
              <w:widowControl/>
              <w:autoSpaceDE/>
              <w:autoSpaceDN/>
              <w:jc w:val="left"/>
              <w:rPr>
                <w:rFonts w:ascii="Times New Roman" w:hAnsi="Times New Roman" w:eastAsia="宋体"/>
                <w:color w:val="000000" w:themeColor="text1"/>
                <w:spacing w:val="7"/>
                <w:szCs w:val="21"/>
                <w:lang w:eastAsia="zh-CN"/>
                <w14:textFill>
                  <w14:solidFill>
                    <w14:schemeClr w14:val="tx1"/>
                  </w14:solidFill>
                </w14:textFill>
              </w:rPr>
            </w:pPr>
            <w:r>
              <w:rPr>
                <w:rFonts w:ascii="Times New Roman" w:hAnsi="Times New Roman" w:eastAsia="宋体"/>
                <w:color w:val="000000" w:themeColor="text1"/>
                <w:szCs w:val="21"/>
                <w:lang w:eastAsia="zh-CN"/>
                <w14:textFill>
                  <w14:solidFill>
                    <w14:schemeClr w14:val="tx1"/>
                  </w14:solidFill>
                </w14:textFill>
              </w:rPr>
              <w:t>项目在严格落实环评提出各项措施和要求的前提下，项目风险事故基本可在厂内解决，影响在可恢复范围内，产生的环境风险可控。</w:t>
            </w:r>
          </w:p>
        </w:tc>
      </w:tr>
      <w:tr w14:paraId="381F5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8718" w:type="dxa"/>
            <w:gridSpan w:val="10"/>
            <w:tcBorders>
              <w:tl2br w:val="nil"/>
              <w:tr2bl w:val="nil"/>
            </w:tcBorders>
            <w:vAlign w:val="center"/>
          </w:tcPr>
          <w:p w14:paraId="22552954">
            <w:pPr>
              <w:widowControl/>
              <w:autoSpaceDE/>
              <w:autoSpaceDN/>
              <w:jc w:val="left"/>
              <w:rPr>
                <w:rFonts w:ascii="Times New Roman" w:hAnsi="Times New Roman" w:eastAsia="宋体"/>
                <w:color w:val="000000" w:themeColor="text1"/>
                <w:spacing w:val="7"/>
                <w:szCs w:val="21"/>
                <w:lang w:eastAsia="zh-CN"/>
                <w14:textFill>
                  <w14:solidFill>
                    <w14:schemeClr w14:val="tx1"/>
                  </w14:solidFill>
                </w14:textFill>
              </w:rPr>
            </w:pPr>
            <w:r>
              <w:rPr>
                <w:rFonts w:ascii="Times New Roman" w:hAnsi="Times New Roman" w:eastAsia="宋体"/>
                <w:color w:val="000000" w:themeColor="text1"/>
                <w:szCs w:val="21"/>
                <w:lang w:eastAsia="zh-CN"/>
                <w14:textFill>
                  <w14:solidFill>
                    <w14:schemeClr w14:val="tx1"/>
                  </w14:solidFill>
                </w14:textFill>
              </w:rPr>
              <w:t>注：“□”为勾选项，“___”为填写项。</w:t>
            </w:r>
          </w:p>
        </w:tc>
      </w:tr>
    </w:tbl>
    <w:p w14:paraId="246AFD9F">
      <w:pPr>
        <w:autoSpaceDE w:val="0"/>
        <w:autoSpaceDN w:val="0"/>
        <w:adjustRightInd w:val="0"/>
        <w:snapToGrid w:val="0"/>
        <w:spacing w:line="360" w:lineRule="auto"/>
        <w:jc w:val="both"/>
        <w:rPr>
          <w:color w:val="000000" w:themeColor="text1"/>
          <w:sz w:val="36"/>
          <w:szCs w:val="36"/>
          <w14:textFill>
            <w14:solidFill>
              <w14:schemeClr w14:val="tx1"/>
            </w14:solidFill>
          </w14:textFill>
        </w:rPr>
        <w:sectPr>
          <w:pgSz w:w="11907" w:h="16840"/>
          <w:pgMar w:top="1440" w:right="1797" w:bottom="1440" w:left="1797" w:header="851" w:footer="992" w:gutter="0"/>
          <w:pgNumType w:chapStyle="1"/>
          <w:cols w:space="720" w:num="1"/>
          <w:docGrid w:linePitch="312" w:charSpace="0"/>
        </w:sectPr>
      </w:pPr>
    </w:p>
    <w:p w14:paraId="379084FE">
      <w:pPr>
        <w:pStyle w:val="3"/>
        <w:snapToGrid w:val="0"/>
        <w:spacing w:before="240" w:beforeLines="100" w:after="240" w:afterLines="100" w:line="360" w:lineRule="auto"/>
        <w:rPr>
          <w:bCs w:val="0"/>
          <w:color w:val="000000" w:themeColor="text1"/>
          <w:sz w:val="36"/>
          <w:szCs w:val="36"/>
          <w14:textFill>
            <w14:solidFill>
              <w14:schemeClr w14:val="tx1"/>
            </w14:solidFill>
          </w14:textFill>
        </w:rPr>
      </w:pPr>
      <w:bookmarkStart w:id="974" w:name="_Toc233380266"/>
      <w:bookmarkStart w:id="975" w:name="_Toc699"/>
      <w:r>
        <w:rPr>
          <w:bCs w:val="0"/>
          <w:color w:val="000000" w:themeColor="text1"/>
          <w:sz w:val="36"/>
          <w:szCs w:val="36"/>
          <w14:textFill>
            <w14:solidFill>
              <w14:schemeClr w14:val="tx1"/>
            </w14:solidFill>
          </w14:textFill>
        </w:rPr>
        <w:t xml:space="preserve">7 </w:t>
      </w:r>
      <w:bookmarkEnd w:id="973"/>
      <w:r>
        <w:rPr>
          <w:bCs w:val="0"/>
          <w:color w:val="000000" w:themeColor="text1"/>
          <w:sz w:val="36"/>
          <w:szCs w:val="36"/>
          <w14:textFill>
            <w14:solidFill>
              <w14:schemeClr w14:val="tx1"/>
            </w14:solidFill>
          </w14:textFill>
        </w:rPr>
        <w:t>污染治理措施技术经济论证</w:t>
      </w:r>
      <w:bookmarkEnd w:id="974"/>
      <w:bookmarkEnd w:id="975"/>
    </w:p>
    <w:p w14:paraId="3E4AE202">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76" w:name="_Toc29221882"/>
      <w:bookmarkStart w:id="977" w:name="_Toc6406"/>
      <w:bookmarkStart w:id="978" w:name="_Toc21399"/>
      <w:bookmarkStart w:id="979" w:name="_Toc233380267"/>
      <w:bookmarkStart w:id="980" w:name="_Toc40220837"/>
      <w:r>
        <w:rPr>
          <w:rFonts w:ascii="Times New Roman" w:hAnsi="Times New Roman" w:eastAsia="宋体"/>
          <w:color w:val="000000" w:themeColor="text1"/>
          <w:sz w:val="30"/>
          <w:szCs w:val="30"/>
          <w14:textFill>
            <w14:solidFill>
              <w14:schemeClr w14:val="tx1"/>
            </w14:solidFill>
          </w14:textFill>
        </w:rPr>
        <w:t>7.1施工期环境保护措施及其可行性论证</w:t>
      </w:r>
      <w:bookmarkEnd w:id="976"/>
      <w:bookmarkEnd w:id="977"/>
      <w:bookmarkEnd w:id="978"/>
      <w:bookmarkEnd w:id="979"/>
    </w:p>
    <w:p w14:paraId="59CD497B">
      <w:pPr>
        <w:spacing w:line="360" w:lineRule="auto"/>
        <w:ind w:firstLine="480" w:firstLineChars="200"/>
        <w:rPr>
          <w:color w:val="000000" w:themeColor="text1"/>
          <w:sz w:val="20"/>
          <w:szCs w:val="20"/>
          <w14:textFill>
            <w14:solidFill>
              <w14:schemeClr w14:val="tx1"/>
            </w14:solidFill>
          </w14:textFill>
        </w:rPr>
      </w:pPr>
      <w:r>
        <w:rPr>
          <w:color w:val="000000" w:themeColor="text1"/>
          <w:sz w:val="24"/>
          <w14:textFill>
            <w14:solidFill>
              <w14:schemeClr w14:val="tx1"/>
            </w14:solidFill>
          </w14:textFill>
        </w:rPr>
        <w:t>本项目施工期主要包括基础工程、主体工程、装饰工程、设备安装等工程建设等。施工期间对环境的影响主要是扬尘、废水、施工噪声、建筑垃圾及生态影响等，本次评价针对其影响提出相应的污染防治措施。</w:t>
      </w:r>
    </w:p>
    <w:p w14:paraId="3388DCF5">
      <w:pPr>
        <w:pStyle w:val="5"/>
        <w:adjustRightInd w:val="0"/>
        <w:snapToGrid w:val="0"/>
        <w:spacing w:before="0" w:after="0" w:line="360" w:lineRule="auto"/>
        <w:rPr>
          <w:color w:val="000000" w:themeColor="text1"/>
          <w:sz w:val="28"/>
          <w:szCs w:val="28"/>
          <w14:textFill>
            <w14:solidFill>
              <w14:schemeClr w14:val="tx1"/>
            </w14:solidFill>
          </w14:textFill>
        </w:rPr>
      </w:pPr>
      <w:bookmarkStart w:id="981" w:name="_Toc233380268"/>
      <w:bookmarkStart w:id="982" w:name="_Toc13757"/>
      <w:bookmarkStart w:id="983" w:name="_Toc19261"/>
      <w:r>
        <w:rPr>
          <w:color w:val="000000" w:themeColor="text1"/>
          <w:sz w:val="28"/>
          <w:szCs w:val="28"/>
          <w14:textFill>
            <w14:solidFill>
              <w14:schemeClr w14:val="tx1"/>
            </w14:solidFill>
          </w14:textFill>
        </w:rPr>
        <w:t>7.1.1施工期废气防治措施论证</w:t>
      </w:r>
      <w:bookmarkEnd w:id="981"/>
      <w:bookmarkEnd w:id="982"/>
      <w:bookmarkEnd w:id="983"/>
    </w:p>
    <w:p w14:paraId="249184B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在施工期间将采取多项有效措施控制扬尘污染，包括：设置2米高围挡封闭施工区域、实施湿法抑尘作业、设置车辆冲洗设施、限制运输车辆行驶速度、安排专人定期清扫路面、对裸露地面进行全面覆盖等。同时，对于施工机械尾气排放问题，将优先选用符合国家环保标准的设备，并依靠大气扩散作用实现自然净化。</w:t>
      </w:r>
    </w:p>
    <w:p w14:paraId="7D9D0E8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所采用的施工期大气污染防治措施均为当前行业内广泛应用的成熟技术，具有操作简便、实施性强的特点。通过落实上述综合降尘方案，可显著减少施工扬尘排放量，相关措施在技术可靠性和经济合理性方面均具有显著优势。</w:t>
      </w:r>
    </w:p>
    <w:p w14:paraId="0D4478FE">
      <w:pPr>
        <w:pStyle w:val="5"/>
        <w:adjustRightInd w:val="0"/>
        <w:snapToGrid w:val="0"/>
        <w:spacing w:before="0" w:after="0" w:line="360" w:lineRule="auto"/>
        <w:rPr>
          <w:color w:val="000000" w:themeColor="text1"/>
          <w:sz w:val="28"/>
          <w:szCs w:val="28"/>
          <w14:textFill>
            <w14:solidFill>
              <w14:schemeClr w14:val="tx1"/>
            </w14:solidFill>
          </w14:textFill>
        </w:rPr>
      </w:pPr>
      <w:bookmarkStart w:id="984" w:name="_Toc233380269"/>
      <w:bookmarkStart w:id="985" w:name="_Toc4157"/>
      <w:bookmarkStart w:id="986" w:name="_Toc10255"/>
      <w:r>
        <w:rPr>
          <w:color w:val="000000" w:themeColor="text1"/>
          <w:sz w:val="28"/>
          <w:szCs w:val="28"/>
          <w14:textFill>
            <w14:solidFill>
              <w14:schemeClr w14:val="tx1"/>
            </w14:solidFill>
          </w14:textFill>
        </w:rPr>
        <w:t>7.1.2施工期废水防治措施论证</w:t>
      </w:r>
      <w:bookmarkEnd w:id="984"/>
      <w:bookmarkEnd w:id="985"/>
      <w:bookmarkEnd w:id="986"/>
    </w:p>
    <w:p w14:paraId="16E2514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项目施工期产生的废水包括施工人员生活污水、施工作业废水和暴雨径流初期雨水，根据废水的不同性质，进行分类收集处理。通过以下方式控制水污染：</w:t>
      </w:r>
    </w:p>
    <w:p w14:paraId="0354388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1、雨水管理：在施工区域上游设置截洪沟，防止外部雨水冲刷场地造成面源污染和水土流失；场内雨水经收集池暂存后回用于施工或抑尘。</w:t>
      </w:r>
    </w:p>
    <w:p w14:paraId="51096DE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2、施工废水：设置临时沉淀池对施工废水进行沉淀处理，确保达标后循环利用。</w:t>
      </w:r>
    </w:p>
    <w:p w14:paraId="71CB29F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3、生活污水：依托周边居民现有化粪池处理施工人员生活污水，处理后用于项周边农田施肥。</w:t>
      </w:r>
    </w:p>
    <w:p w14:paraId="1A15C5CB">
      <w:pPr>
        <w:widowControl w:val="0"/>
        <w:spacing w:line="360" w:lineRule="auto"/>
        <w:ind w:firstLine="480" w:firstLineChars="200"/>
        <w:jc w:val="both"/>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t>上述水污染防治措施均为通用技术，成熟可靠、易于实施，既能有效控制施工期水污染，又具备良好的技术可行性和经济合理性。</w:t>
      </w:r>
    </w:p>
    <w:p w14:paraId="5051C74D">
      <w:pPr>
        <w:pStyle w:val="5"/>
        <w:adjustRightInd w:val="0"/>
        <w:snapToGrid w:val="0"/>
        <w:spacing w:before="0" w:after="0" w:line="360" w:lineRule="auto"/>
        <w:rPr>
          <w:color w:val="000000" w:themeColor="text1"/>
          <w:sz w:val="28"/>
          <w:szCs w:val="28"/>
          <w14:textFill>
            <w14:solidFill>
              <w14:schemeClr w14:val="tx1"/>
            </w14:solidFill>
          </w14:textFill>
        </w:rPr>
      </w:pPr>
      <w:bookmarkStart w:id="987" w:name="_Toc16638"/>
      <w:bookmarkStart w:id="988" w:name="_Toc233380270"/>
      <w:bookmarkStart w:id="989" w:name="_Toc507"/>
      <w:r>
        <w:rPr>
          <w:color w:val="000000" w:themeColor="text1"/>
          <w:sz w:val="28"/>
          <w:szCs w:val="28"/>
          <w14:textFill>
            <w14:solidFill>
              <w14:schemeClr w14:val="tx1"/>
            </w14:solidFill>
          </w14:textFill>
        </w:rPr>
        <w:t>7.1.3施工期噪声防治措施论证</w:t>
      </w:r>
      <w:bookmarkEnd w:id="987"/>
      <w:bookmarkEnd w:id="988"/>
      <w:bookmarkEnd w:id="989"/>
    </w:p>
    <w:p w14:paraId="6C57A48B">
      <w:pPr>
        <w:spacing w:line="360" w:lineRule="auto"/>
        <w:ind w:firstLine="480" w:firstLineChars="200"/>
        <w:rPr>
          <w:color w:val="000000" w:themeColor="text1"/>
          <w:sz w:val="24"/>
          <w14:textFill>
            <w14:solidFill>
              <w14:schemeClr w14:val="tx1"/>
            </w14:solidFill>
          </w14:textFill>
        </w:rPr>
      </w:pPr>
      <w:bookmarkStart w:id="990" w:name="_Toc14184"/>
      <w:r>
        <w:rPr>
          <w:color w:val="000000" w:themeColor="text1"/>
          <w:sz w:val="24"/>
          <w14:textFill>
            <w14:solidFill>
              <w14:schemeClr w14:val="tx1"/>
            </w14:solidFill>
          </w14:textFill>
        </w:rPr>
        <w:t>施工期间，对施工设备进行定期保养和维护，并对现场工作人员进行培训，严格按操作规范使用各类机械；作业时在高噪声设备周围设置2m高屏蔽；合理安排施工进度和作业时间；</w:t>
      </w:r>
      <w:r>
        <w:rPr>
          <w:color w:val="000000" w:themeColor="text1"/>
          <w:spacing w:val="-1"/>
          <w:sz w:val="24"/>
          <w14:textFill>
            <w14:solidFill>
              <w14:schemeClr w14:val="tx1"/>
            </w14:solidFill>
          </w14:textFill>
        </w:rPr>
        <w:t>合理布局等措施控制</w:t>
      </w:r>
      <w:r>
        <w:rPr>
          <w:color w:val="000000" w:themeColor="text1"/>
          <w:sz w:val="24"/>
          <w14:textFill>
            <w14:solidFill>
              <w14:schemeClr w14:val="tx1"/>
            </w14:solidFill>
          </w14:textFill>
        </w:rPr>
        <w:t>。</w:t>
      </w:r>
    </w:p>
    <w:p w14:paraId="795064F3">
      <w:pPr>
        <w:spacing w:before="36" w:line="345" w:lineRule="auto"/>
        <w:ind w:left="26" w:right="45" w:firstLine="476"/>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施工期采取的噪声防治措施为目前普遍采用的措施，</w:t>
      </w:r>
      <w:r>
        <w:rPr>
          <w:color w:val="000000" w:themeColor="text1"/>
          <w:sz w:val="24"/>
          <w14:textFill>
            <w14:solidFill>
              <w14:schemeClr w14:val="tx1"/>
            </w14:solidFill>
          </w14:textFill>
        </w:rPr>
        <w:t xml:space="preserve">成熟可靠、易于实施， </w:t>
      </w:r>
      <w:r>
        <w:rPr>
          <w:color w:val="000000" w:themeColor="text1"/>
          <w:spacing w:val="-1"/>
          <w:sz w:val="24"/>
          <w14:textFill>
            <w14:solidFill>
              <w14:schemeClr w14:val="tx1"/>
            </w14:solidFill>
          </w14:textFill>
        </w:rPr>
        <w:t>从技术、经济的角度讲可行。</w:t>
      </w:r>
    </w:p>
    <w:p w14:paraId="1C3DB33E">
      <w:pPr>
        <w:pStyle w:val="5"/>
        <w:adjustRightInd w:val="0"/>
        <w:snapToGrid w:val="0"/>
        <w:spacing w:before="0" w:after="0" w:line="360" w:lineRule="auto"/>
        <w:rPr>
          <w:color w:val="000000" w:themeColor="text1"/>
          <w:sz w:val="28"/>
          <w:szCs w:val="28"/>
          <w14:textFill>
            <w14:solidFill>
              <w14:schemeClr w14:val="tx1"/>
            </w14:solidFill>
          </w14:textFill>
        </w:rPr>
      </w:pPr>
      <w:bookmarkStart w:id="991" w:name="_Toc12292"/>
      <w:bookmarkStart w:id="992" w:name="_Toc233380271"/>
      <w:r>
        <w:rPr>
          <w:color w:val="000000" w:themeColor="text1"/>
          <w:sz w:val="28"/>
          <w:szCs w:val="28"/>
          <w14:textFill>
            <w14:solidFill>
              <w14:schemeClr w14:val="tx1"/>
            </w14:solidFill>
          </w14:textFill>
        </w:rPr>
        <w:t>7.1.4施工期固废处置措施论证</w:t>
      </w:r>
      <w:bookmarkEnd w:id="990"/>
      <w:bookmarkEnd w:id="991"/>
      <w:bookmarkEnd w:id="992"/>
    </w:p>
    <w:p w14:paraId="061219D5">
      <w:pPr>
        <w:spacing w:before="36" w:line="345" w:lineRule="auto"/>
        <w:ind w:left="26" w:right="45" w:firstLine="476"/>
        <w:rPr>
          <w:color w:val="000000" w:themeColor="text1"/>
          <w:spacing w:val="-2"/>
          <w:sz w:val="24"/>
          <w14:textFill>
            <w14:solidFill>
              <w14:schemeClr w14:val="tx1"/>
            </w14:solidFill>
          </w14:textFill>
        </w:rPr>
      </w:pPr>
      <w:bookmarkStart w:id="993" w:name="_Toc25173"/>
      <w:r>
        <w:rPr>
          <w:color w:val="000000" w:themeColor="text1"/>
          <w:spacing w:val="-2"/>
          <w:sz w:val="24"/>
          <w14:textFill>
            <w14:solidFill>
              <w14:schemeClr w14:val="tx1"/>
            </w14:solidFill>
          </w14:textFill>
        </w:rPr>
        <w:t>本项目在施工过程中将合理调配土方，实现挖填平衡，不产生废弃土方。施工建筑垃圾将集中存放于临时库房，并定期清运至指定处置场所；施工人员的生活垃圾则统一收集后交由环卫部门清运处理。</w:t>
      </w:r>
    </w:p>
    <w:p w14:paraId="7F75BEB7">
      <w:pPr>
        <w:spacing w:line="360" w:lineRule="auto"/>
        <w:ind w:firstLine="472"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所采取的固体废物管理措施</w:t>
      </w:r>
      <w:r>
        <w:rPr>
          <w:color w:val="000000" w:themeColor="text1"/>
          <w:sz w:val="24"/>
          <w14:textFill>
            <w14:solidFill>
              <w14:schemeClr w14:val="tx1"/>
            </w14:solidFill>
          </w14:textFill>
        </w:rPr>
        <w:t>合理有效</w:t>
      </w:r>
      <w:r>
        <w:rPr>
          <w:color w:val="000000" w:themeColor="text1"/>
          <w:spacing w:val="-2"/>
          <w:sz w:val="24"/>
          <w14:textFill>
            <w14:solidFill>
              <w14:schemeClr w14:val="tx1"/>
            </w14:solidFill>
          </w14:textFill>
        </w:rPr>
        <w:t>，技术成熟、操作便捷，</w:t>
      </w:r>
      <w:r>
        <w:rPr>
          <w:color w:val="000000" w:themeColor="text1"/>
          <w:sz w:val="24"/>
          <w14:textFill>
            <w14:solidFill>
              <w14:schemeClr w14:val="tx1"/>
            </w14:solidFill>
          </w14:textFill>
        </w:rPr>
        <w:t>技术经济可行。</w:t>
      </w:r>
    </w:p>
    <w:p w14:paraId="6322777A">
      <w:pPr>
        <w:pStyle w:val="5"/>
        <w:adjustRightInd w:val="0"/>
        <w:snapToGrid w:val="0"/>
        <w:spacing w:before="0" w:after="0" w:line="360" w:lineRule="auto"/>
        <w:rPr>
          <w:color w:val="000000" w:themeColor="text1"/>
          <w:sz w:val="28"/>
          <w:szCs w:val="28"/>
          <w14:textFill>
            <w14:solidFill>
              <w14:schemeClr w14:val="tx1"/>
            </w14:solidFill>
          </w14:textFill>
        </w:rPr>
      </w:pPr>
      <w:bookmarkStart w:id="994" w:name="_Toc18223"/>
      <w:bookmarkStart w:id="995" w:name="_Toc233380272"/>
      <w:r>
        <w:rPr>
          <w:color w:val="000000" w:themeColor="text1"/>
          <w:sz w:val="28"/>
          <w:szCs w:val="28"/>
          <w14:textFill>
            <w14:solidFill>
              <w14:schemeClr w14:val="tx1"/>
            </w14:solidFill>
          </w14:textFill>
        </w:rPr>
        <w:t>7.1.5施工期生态环境保护措施论证</w:t>
      </w:r>
      <w:bookmarkEnd w:id="993"/>
      <w:bookmarkEnd w:id="994"/>
      <w:bookmarkEnd w:id="995"/>
    </w:p>
    <w:p w14:paraId="3C4E6D0B">
      <w:pPr>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1、生态减缓补偿措施</w:t>
      </w:r>
    </w:p>
    <w:p w14:paraId="27BA242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针对本项目的实际情况，本次评价建议采取以下生态减缓补偿措施：</w:t>
      </w:r>
    </w:p>
    <w:p w14:paraId="2B09A7E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（1）严格控制施工线路，施工范围，避免对施工区外的生态环境造成破坏。</w:t>
      </w:r>
    </w:p>
    <w:p w14:paraId="2C7A806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（2）建设所需物料堆放在场区，可减少对土地的占用，减少对生态的影响。</w:t>
      </w:r>
    </w:p>
    <w:p w14:paraId="729C366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（3）禁止建筑垃圾乱堆乱放，占压施工场地以外土地。在加快施工进度的前提下，施工完毕后进行覆土绿化，破坏的植被进行及时恢复，不会对生态环境造成明显影响。</w:t>
      </w:r>
    </w:p>
    <w:p w14:paraId="6DDFB820">
      <w:pPr>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2、水土保持措施</w:t>
      </w:r>
    </w:p>
    <w:p w14:paraId="3AA7922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（1）设置导流系统</w:t>
      </w:r>
    </w:p>
    <w:p w14:paraId="499E6C4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及时做好排水导流工作，减轻水流对裸露地表的冲刷，应设置拦砂坝，在施工中应实施排水工程，以预防地面径流直接冲刷施工浮土，导致水土流失加剧。</w:t>
      </w:r>
    </w:p>
    <w:p w14:paraId="5DACF40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（2）施工时间选择</w:t>
      </w:r>
    </w:p>
    <w:p w14:paraId="4F1988C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在建设施工期间，有大面积的裸露地表，容易形成水土流失面。项目应合理安排施工，尽量将土石方开挖期避开大规模的降雨天气，并尽量缩短挖方时间，尽量在雨季到来之前完成挖方工程。若遇雨季，应对水土流失进行重点防护。</w:t>
      </w:r>
    </w:p>
    <w:p w14:paraId="21A11FE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（3）项目所在地挖方、填方应尽量平衡，剥离土石方就地消化为填土石方。对开挖的土壤分层堆放，分层回填，以保护植被生长层，恢复土壤生产力。</w:t>
      </w:r>
    </w:p>
    <w:p w14:paraId="3D5179B8">
      <w:pPr>
        <w:autoSpaceDE w:val="0"/>
        <w:autoSpaceDN w:val="0"/>
        <w:adjustRightInd w:val="0"/>
        <w:snapToGrid w:val="0"/>
        <w:spacing w:line="360" w:lineRule="auto"/>
        <w:ind w:firstLine="468" w:firstLineChars="200"/>
        <w:jc w:val="both"/>
        <w:rPr>
          <w:color w:val="000000" w:themeColor="text1"/>
          <w:kern w:val="0"/>
          <w:sz w:val="24"/>
          <w14:textFill>
            <w14:solidFill>
              <w14:schemeClr w14:val="tx1"/>
            </w14:solidFill>
          </w14:textFill>
        </w:rPr>
      </w:pPr>
      <w:r>
        <w:rPr>
          <w:color w:val="000000" w:themeColor="text1"/>
          <w:spacing w:val="-3"/>
          <w:sz w:val="24"/>
          <w14:textFill>
            <w14:solidFill>
              <w14:schemeClr w14:val="tx1"/>
            </w14:solidFill>
          </w14:textFill>
        </w:rPr>
        <w:t>本项目用地类型为设施农用地，生物量较小，无</w:t>
      </w:r>
      <w:r>
        <w:rPr>
          <w:color w:val="000000" w:themeColor="text1"/>
          <w:spacing w:val="-4"/>
          <w:sz w:val="24"/>
          <w14:textFill>
            <w14:solidFill>
              <w14:schemeClr w14:val="tx1"/>
            </w14:solidFill>
          </w14:textFill>
        </w:rPr>
        <w:t>珍稀濒危野生动植物</w:t>
      </w:r>
      <w:r>
        <w:rPr>
          <w:color w:val="000000" w:themeColor="text1"/>
          <w:spacing w:val="-7"/>
          <w:sz w:val="24"/>
          <w14:textFill>
            <w14:solidFill>
              <w14:schemeClr w14:val="tx1"/>
            </w14:solidFill>
          </w14:textFill>
        </w:rPr>
        <w:t>分布。</w:t>
      </w:r>
      <w:r>
        <w:rPr>
          <w:color w:val="000000" w:themeColor="text1"/>
          <w:sz w:val="24"/>
          <w14:textFill>
            <w14:solidFill>
              <w14:schemeClr w14:val="tx1"/>
            </w14:solidFill>
          </w14:textFill>
        </w:rPr>
        <w:t>评价认为在工程施工阶段采取上述防治措施后，可有效防止施工期生态环境的恶化，将施工期对生态环境的影响降至最低。生态保护措施有效，技术经济可行。</w:t>
      </w:r>
    </w:p>
    <w:p w14:paraId="79B76666">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996" w:name="_Toc29221883"/>
      <w:bookmarkStart w:id="997" w:name="_Toc24521"/>
      <w:bookmarkStart w:id="998" w:name="_Toc32381"/>
      <w:bookmarkStart w:id="999" w:name="_Toc233380273"/>
      <w:r>
        <w:rPr>
          <w:rFonts w:ascii="Times New Roman" w:hAnsi="Times New Roman" w:eastAsia="宋体"/>
          <w:color w:val="000000" w:themeColor="text1"/>
          <w:sz w:val="30"/>
          <w:szCs w:val="30"/>
          <w14:textFill>
            <w14:solidFill>
              <w14:schemeClr w14:val="tx1"/>
            </w14:solidFill>
          </w14:textFill>
        </w:rPr>
        <w:t>7.2运营期环境保护措施及其可行性论证</w:t>
      </w:r>
      <w:bookmarkEnd w:id="996"/>
      <w:bookmarkEnd w:id="997"/>
      <w:bookmarkEnd w:id="998"/>
      <w:bookmarkEnd w:id="999"/>
    </w:p>
    <w:p w14:paraId="0BE0601A">
      <w:pPr>
        <w:pStyle w:val="5"/>
        <w:adjustRightInd w:val="0"/>
        <w:snapToGrid w:val="0"/>
        <w:spacing w:before="0" w:after="0" w:line="360" w:lineRule="auto"/>
        <w:rPr>
          <w:color w:val="000000" w:themeColor="text1"/>
          <w:sz w:val="28"/>
          <w:szCs w:val="28"/>
          <w14:textFill>
            <w14:solidFill>
              <w14:schemeClr w14:val="tx1"/>
            </w14:solidFill>
          </w14:textFill>
        </w:rPr>
      </w:pPr>
      <w:bookmarkStart w:id="1000" w:name="_Toc30176"/>
      <w:bookmarkStart w:id="1001" w:name="_Toc233380274"/>
      <w:r>
        <w:rPr>
          <w:color w:val="000000" w:themeColor="text1"/>
          <w:sz w:val="28"/>
          <w:szCs w:val="28"/>
          <w14:textFill>
            <w14:solidFill>
              <w14:schemeClr w14:val="tx1"/>
            </w14:solidFill>
          </w14:textFill>
        </w:rPr>
        <w:t>7.2.1 大气污染防治措施可行性分析</w:t>
      </w:r>
      <w:bookmarkEnd w:id="980"/>
      <w:bookmarkEnd w:id="1000"/>
      <w:bookmarkEnd w:id="1001"/>
    </w:p>
    <w:p w14:paraId="39D38177">
      <w:pPr>
        <w:autoSpaceDE w:val="0"/>
        <w:autoSpaceDN w:val="0"/>
        <w:adjustRightInd w:val="0"/>
        <w:spacing w:line="360" w:lineRule="auto"/>
        <w:ind w:firstLine="482" w:firstLineChars="200"/>
        <w:rPr>
          <w:b/>
          <w:color w:val="000000" w:themeColor="text1"/>
          <w:kern w:val="0"/>
          <w:sz w:val="24"/>
          <w14:textFill>
            <w14:solidFill>
              <w14:schemeClr w14:val="tx1"/>
            </w14:solidFill>
          </w14:textFill>
        </w:rPr>
      </w:pPr>
      <w:bookmarkStart w:id="1002" w:name="_Toc185140915"/>
      <w:r>
        <w:rPr>
          <w:b/>
          <w:color w:val="000000" w:themeColor="text1"/>
          <w:kern w:val="0"/>
          <w:sz w:val="24"/>
          <w14:textFill>
            <w14:solidFill>
              <w14:schemeClr w14:val="tx1"/>
            </w14:solidFill>
          </w14:textFill>
        </w:rPr>
        <w:t>1、恶臭治理措施可行性论证</w:t>
      </w:r>
    </w:p>
    <w:p w14:paraId="021A78AB">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本项目的恶臭污染源主要集中在牛舍区域，具有分布范围广、集中处理困难的特点。预防为主，恶臭源头控制是最有效的控制方法，针对本项目恶臭污染物的无组织排放特点，本环评提出以下防治措施：</w:t>
      </w:r>
    </w:p>
    <w:p w14:paraId="4C93E1B5">
      <w:pPr>
        <w:numPr>
          <w:ilvl w:val="0"/>
          <w:numId w:val="35"/>
        </w:num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源头控制</w:t>
      </w:r>
    </w:p>
    <w:p w14:paraId="6046AF53">
      <w:pPr>
        <w:pStyle w:val="547"/>
        <w:numPr>
          <w:ilvl w:val="0"/>
          <w:numId w:val="36"/>
        </w:numPr>
        <w:autoSpaceDE w:val="0"/>
        <w:autoSpaceDN w:val="0"/>
        <w:adjustRightInd w:val="0"/>
        <w:snapToGrid w:val="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科学设计日粮，提升饲料利用率</w:t>
      </w:r>
    </w:p>
    <w:p w14:paraId="12C0FA71">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牛舍采食饲料后，饲料在消化道中被微生物分解，产生臭气；同时，未被消化吸收的部分在体外被微生物降解，也会产生恶臭。通过提高日粮的消化率、减少干物质（特别是蛋白质）的排出量，既能减少肠道内臭气的生成，也能降低粪便排出后的臭气排放，这是从源头上减少恶臭的有效方法。</w:t>
      </w:r>
    </w:p>
    <w:p w14:paraId="10547B20">
      <w:pPr>
        <w:pStyle w:val="547"/>
        <w:numPr>
          <w:ilvl w:val="0"/>
          <w:numId w:val="36"/>
        </w:numPr>
        <w:autoSpaceDE w:val="0"/>
        <w:autoSpaceDN w:val="0"/>
        <w:adjustRightInd w:val="0"/>
        <w:snapToGrid w:val="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合理使用环保饲料添加剂和微生物制剂</w:t>
      </w:r>
    </w:p>
    <w:p w14:paraId="14042556">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在饲料中添加益生菌，从源头改善和预防恶臭问题。益生菌能够调节牛的肠道菌群平衡，维护肠道健康，同时还能产生多种酶，促进饲料的消化吸收，提高蛋白质利用率，从而显著降低粪便排放的恶臭污染。</w:t>
      </w:r>
    </w:p>
    <w:p w14:paraId="7E191C3F">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目前常见的较为先进的环保添加剂和微生态制品包括益生素、活菌制剂、微生态制剂等。益生素是一种新型的可改善动物生长和饲料效率及控制环境污染的绿色饲料添加剂。活菌制剂调节肠道微生态平衡、增强免疫力、提高生产性能，可降低粪臭。利用生物方法，将EM有效微生物菌剂加入饲料中，可以促进</w:t>
      </w:r>
      <w:r>
        <w:rPr>
          <w:rFonts w:hint="eastAsia"/>
          <w:color w:val="000000" w:themeColor="text1"/>
          <w:kern w:val="0"/>
          <w:sz w:val="24"/>
          <w14:textFill>
            <w14:solidFill>
              <w14:schemeClr w14:val="tx1"/>
            </w14:solidFill>
          </w14:textFill>
        </w:rPr>
        <w:t>牛</w:t>
      </w:r>
      <w:r>
        <w:rPr>
          <w:color w:val="000000" w:themeColor="text1"/>
          <w:kern w:val="0"/>
          <w:sz w:val="24"/>
          <w14:textFill>
            <w14:solidFill>
              <w14:schemeClr w14:val="tx1"/>
            </w14:solidFill>
          </w14:textFill>
        </w:rPr>
        <w:t>只生长及降低粪便的臭味。将“亚罗康菌”的微生物制剂，直接添加到饲料中，可将</w:t>
      </w:r>
      <w:r>
        <w:rPr>
          <w:rFonts w:hint="eastAsia"/>
          <w:color w:val="000000" w:themeColor="text1"/>
          <w:kern w:val="0"/>
          <w:sz w:val="24"/>
          <w14:textFill>
            <w14:solidFill>
              <w14:schemeClr w14:val="tx1"/>
            </w14:solidFill>
          </w14:textFill>
        </w:rPr>
        <w:t>牛</w:t>
      </w:r>
      <w:r>
        <w:rPr>
          <w:color w:val="000000" w:themeColor="text1"/>
          <w:kern w:val="0"/>
          <w:sz w:val="24"/>
          <w14:textFill>
            <w14:solidFill>
              <w14:schemeClr w14:val="tx1"/>
            </w14:solidFill>
          </w14:textFill>
        </w:rPr>
        <w:t>体内的NH</w:t>
      </w:r>
      <w:r>
        <w:rPr>
          <w:color w:val="000000" w:themeColor="text1"/>
          <w:kern w:val="0"/>
          <w:sz w:val="24"/>
          <w:vertAlign w:val="subscript"/>
          <w14:textFill>
            <w14:solidFill>
              <w14:schemeClr w14:val="tx1"/>
            </w14:solidFill>
          </w14:textFill>
        </w:rPr>
        <w:t>3</w:t>
      </w:r>
      <w:r>
        <w:rPr>
          <w:color w:val="000000" w:themeColor="text1"/>
          <w:kern w:val="0"/>
          <w:sz w:val="24"/>
          <w14:textFill>
            <w14:solidFill>
              <w14:schemeClr w14:val="tx1"/>
            </w14:solidFill>
          </w14:textFill>
        </w:rPr>
        <w:t>、硫化氢(H</w:t>
      </w:r>
      <w:r>
        <w:rPr>
          <w:color w:val="000000" w:themeColor="text1"/>
          <w:kern w:val="0"/>
          <w:sz w:val="24"/>
          <w:vertAlign w:val="subscript"/>
          <w14:textFill>
            <w14:solidFill>
              <w14:schemeClr w14:val="tx1"/>
            </w14:solidFill>
          </w14:textFill>
        </w:rPr>
        <w:t>2</w:t>
      </w:r>
      <w:r>
        <w:rPr>
          <w:color w:val="000000" w:themeColor="text1"/>
          <w:kern w:val="0"/>
          <w:sz w:val="24"/>
          <w14:textFill>
            <w14:solidFill>
              <w14:schemeClr w14:val="tx1"/>
            </w14:solidFill>
          </w14:textFill>
        </w:rPr>
        <w:t>S)、甲烷(CH</w:t>
      </w:r>
      <w:r>
        <w:rPr>
          <w:color w:val="000000" w:themeColor="text1"/>
          <w:kern w:val="0"/>
          <w:sz w:val="24"/>
          <w:vertAlign w:val="subscript"/>
          <w14:textFill>
            <w14:solidFill>
              <w14:schemeClr w14:val="tx1"/>
            </w14:solidFill>
          </w14:textFill>
        </w:rPr>
        <w:t>4</w:t>
      </w:r>
      <w:r>
        <w:rPr>
          <w:color w:val="000000" w:themeColor="text1"/>
          <w:kern w:val="0"/>
          <w:sz w:val="24"/>
          <w14:textFill>
            <w14:solidFill>
              <w14:schemeClr w14:val="tx1"/>
            </w14:solidFill>
          </w14:textFill>
        </w:rPr>
        <w:t>)等转化为可供畜体吸收的化合态氨和其他物质，可使排泄物中的营养成分和有害成分都明显降低，从而提高饲料消化利用率，并减少臭气的产生。需要注意，在肉牛育肥过程中使用添加剂时，应选择微生物、低聚糖等无公害饲料添加剂，以保证畜产品安全和无公害。饲料中添加 1~3%沸石粉（需食品级，如斜发沸石），可减少粪便中氨和硫化物的产生（通过肠道内吸附和调节微生物），另外，分阶段饲喂，即用不同养分组成的日粮来饲喂不同生长发育阶段的牛只，使日粮养分更接近</w:t>
      </w:r>
      <w:r>
        <w:rPr>
          <w:rFonts w:hint="eastAsia"/>
          <w:color w:val="000000" w:themeColor="text1"/>
          <w:kern w:val="0"/>
          <w:sz w:val="24"/>
          <w14:textFill>
            <w14:solidFill>
              <w14:schemeClr w14:val="tx1"/>
            </w14:solidFill>
          </w14:textFill>
        </w:rPr>
        <w:t>牛</w:t>
      </w:r>
      <w:r>
        <w:rPr>
          <w:color w:val="000000" w:themeColor="text1"/>
          <w:kern w:val="0"/>
          <w:sz w:val="24"/>
          <w14:textFill>
            <w14:solidFill>
              <w14:schemeClr w14:val="tx1"/>
            </w14:solidFill>
          </w14:textFill>
        </w:rPr>
        <w:t>只的需要，可避免养分的浪费和对环境的污染。</w:t>
      </w:r>
    </w:p>
    <w:p w14:paraId="245D8C15">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（2）过程控制</w:t>
      </w:r>
    </w:p>
    <w:p w14:paraId="33D3CA63">
      <w:pPr>
        <w:autoSpaceDE w:val="0"/>
        <w:autoSpaceDN w:val="0"/>
        <w:adjustRightInd w:val="0"/>
        <w:snapToGrid w:val="0"/>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加强绿化</w:t>
      </w:r>
    </w:p>
    <w:p w14:paraId="5F07F9C0">
      <w:pPr>
        <w:autoSpaceDE w:val="0"/>
        <w:autoSpaceDN w:val="0"/>
        <w:adjustRightInd w:val="0"/>
        <w:snapToGrid w:val="0"/>
        <w:spacing w:line="360" w:lineRule="auto"/>
        <w:ind w:firstLine="480" w:firstLineChars="200"/>
        <w:jc w:val="both"/>
        <w:rPr>
          <w:color w:val="000000" w:themeColor="text1"/>
          <w:spacing w:val="-4"/>
          <w:sz w:val="24"/>
          <w14:textFill>
            <w14:solidFill>
              <w14:schemeClr w14:val="tx1"/>
            </w14:solidFill>
          </w14:textFill>
        </w:rPr>
      </w:pPr>
      <w:r>
        <w:rPr>
          <w:color w:val="000000" w:themeColor="text1"/>
          <w:kern w:val="0"/>
          <w:sz w:val="24"/>
          <w14:textFill>
            <w14:solidFill>
              <w14:schemeClr w14:val="tx1"/>
            </w14:solidFill>
          </w14:textFill>
        </w:rPr>
        <w:t>在养殖场及其周边种植绿色植物是防止污染物扩散、降低场区温度与噪音、提升环境质量的最有效方法之一。首先，植物能够降低风速，减少恶臭的传播距离。同时，绿色植物还能调节局部温度，夏季降温为动物提供舒适的生长环境，冬季则让阳光穿透畜舍以增加热量。此外，植物的叶片能够直接吸收和过滤空气中的有害气体和粉尘，从而减轻异味。研究表明，有害气体经过绿化区域后，至少有25%被吸收，恶臭浓度可降低50%。在养殖场及其周边种植高大树木和林带，还能净化空气中的粉尘，并减少微生物数量，细菌总量可减少21%-79%。某些树木的花、叶还能分泌杀菌物质，消灭细菌、真菌等病原体。场区绿化应以完全覆盖裸露地面为目标，广泛种植花草树木。道路两侧可种植乔灌木和松柏等，场界边缘则可种植杨树、槐树等高大树种，形成多层防护林带，同时种植大量竹林，以进一步降低恶臭污染的影响。</w:t>
      </w:r>
    </w:p>
    <w:p w14:paraId="3157F389">
      <w:pPr>
        <w:autoSpaceDE w:val="0"/>
        <w:autoSpaceDN w:val="0"/>
        <w:adjustRightInd w:val="0"/>
        <w:snapToGrid w:val="0"/>
        <w:spacing w:line="360" w:lineRule="auto"/>
        <w:ind w:firstLine="480" w:firstLineChars="200"/>
        <w:jc w:val="both"/>
        <w:rPr>
          <w:color w:val="000000" w:themeColor="text1"/>
          <w:spacing w:val="-4"/>
          <w:sz w:val="24"/>
          <w14:textFill>
            <w14:solidFill>
              <w14:schemeClr w14:val="tx1"/>
            </w14:solidFill>
          </w14:textFill>
        </w:rPr>
      </w:pPr>
      <w:r>
        <w:rPr>
          <w:color w:val="000000" w:themeColor="text1"/>
          <w:kern w:val="0"/>
          <w:sz w:val="24"/>
          <w14:textFill>
            <w14:solidFill>
              <w14:schemeClr w14:val="tx1"/>
            </w14:solidFill>
          </w14:textFill>
        </w:rPr>
        <w:t>（3）</w:t>
      </w:r>
      <w:r>
        <w:rPr>
          <w:color w:val="000000" w:themeColor="text1"/>
          <w:spacing w:val="-4"/>
          <w:sz w:val="24"/>
          <w14:textFill>
            <w14:solidFill>
              <w14:schemeClr w14:val="tx1"/>
            </w14:solidFill>
          </w14:textFill>
        </w:rPr>
        <w:t>末端控制</w:t>
      </w:r>
    </w:p>
    <w:p w14:paraId="1626AC82">
      <w:pPr>
        <w:autoSpaceDE w:val="0"/>
        <w:autoSpaceDN w:val="0"/>
        <w:adjustRightInd w:val="0"/>
        <w:snapToGrid w:val="0"/>
        <w:spacing w:line="360" w:lineRule="auto"/>
        <w:ind w:firstLine="464" w:firstLineChars="200"/>
        <w:jc w:val="both"/>
        <w:rPr>
          <w:color w:val="000000" w:themeColor="text1"/>
          <w:kern w:val="0"/>
          <w:sz w:val="24"/>
          <w:highlight w:val="red"/>
          <w14:textFill>
            <w14:solidFill>
              <w14:schemeClr w14:val="tx1"/>
            </w14:solidFill>
          </w14:textFill>
        </w:rPr>
      </w:pPr>
      <w:r>
        <w:rPr>
          <w:rFonts w:hint="eastAsia" w:ascii="宋体" w:hAnsi="宋体" w:cs="宋体"/>
          <w:color w:val="000000" w:themeColor="text1"/>
          <w:spacing w:val="-4"/>
          <w:sz w:val="24"/>
          <w14:textFill>
            <w14:solidFill>
              <w14:schemeClr w14:val="tx1"/>
            </w14:solidFill>
          </w14:textFill>
        </w:rPr>
        <w:t>①</w:t>
      </w:r>
      <w:r>
        <w:rPr>
          <w:color w:val="000000" w:themeColor="text1"/>
          <w:spacing w:val="-4"/>
          <w:sz w:val="24"/>
          <w14:textFill>
            <w14:solidFill>
              <w14:schemeClr w14:val="tx1"/>
            </w14:solidFill>
          </w14:textFill>
        </w:rPr>
        <w:t>使用除臭剂</w:t>
      </w:r>
    </w:p>
    <w:p w14:paraId="64B4B39E">
      <w:pPr>
        <w:adjustRightInd w:val="0"/>
        <w:snapToGrid w:val="0"/>
        <w:spacing w:line="360" w:lineRule="auto"/>
        <w:ind w:firstLine="480" w:firstLineChars="200"/>
        <w:rPr>
          <w:bCs/>
          <w:color w:val="000000" w:themeColor="text1"/>
          <w:kern w:val="21"/>
          <w:sz w:val="24"/>
          <w14:textFill>
            <w14:solidFill>
              <w14:schemeClr w14:val="tx1"/>
            </w14:solidFill>
          </w14:textFill>
        </w:rPr>
      </w:pPr>
      <w:r>
        <w:rPr>
          <w:bCs/>
          <w:color w:val="000000" w:themeColor="text1"/>
          <w:kern w:val="21"/>
          <w:sz w:val="24"/>
          <w14:textFill>
            <w14:solidFill>
              <w14:schemeClr w14:val="tx1"/>
            </w14:solidFill>
          </w14:textFill>
        </w:rPr>
        <w:t>高效生物除臭剂是一种利用微生物代谢活动来分解和消除恶臭物质的生物技术方法。其除臭原理主要包括以下几个方面：</w:t>
      </w:r>
    </w:p>
    <w:p w14:paraId="035B9DAD">
      <w:pPr>
        <w:adjustRightInd w:val="0"/>
        <w:snapToGrid w:val="0"/>
        <w:spacing w:line="360" w:lineRule="auto"/>
        <w:ind w:firstLine="480" w:firstLineChars="200"/>
        <w:rPr>
          <w:bCs/>
          <w:color w:val="000000" w:themeColor="text1"/>
          <w:kern w:val="21"/>
          <w:sz w:val="24"/>
          <w14:textFill>
            <w14:solidFill>
              <w14:schemeClr w14:val="tx1"/>
            </w14:solidFill>
          </w14:textFill>
        </w:rPr>
      </w:pPr>
      <w:r>
        <w:rPr>
          <w:bCs/>
          <w:color w:val="000000" w:themeColor="text1"/>
          <w:kern w:val="21"/>
          <w:sz w:val="24"/>
          <w14:textFill>
            <w14:solidFill>
              <w14:schemeClr w14:val="tx1"/>
            </w14:solidFill>
          </w14:textFill>
        </w:rPr>
        <w:t>微生物降解：高效生物除臭剂中含有多种特定的微生物菌种，这些微生物能够以恶臭物质（如氨气、硫化氢、挥发性有机化合物等）为营养源，通过代谢活动将其分解为无害或低害的物质，如二氧化碳、水和无机盐。</w:t>
      </w:r>
    </w:p>
    <w:p w14:paraId="6CBCB130">
      <w:pPr>
        <w:adjustRightInd w:val="0"/>
        <w:snapToGrid w:val="0"/>
        <w:spacing w:line="360" w:lineRule="auto"/>
        <w:ind w:firstLine="480" w:firstLineChars="200"/>
        <w:rPr>
          <w:bCs/>
          <w:color w:val="000000" w:themeColor="text1"/>
          <w:kern w:val="21"/>
          <w:sz w:val="24"/>
          <w14:textFill>
            <w14:solidFill>
              <w14:schemeClr w14:val="tx1"/>
            </w14:solidFill>
          </w14:textFill>
        </w:rPr>
      </w:pPr>
      <w:r>
        <w:rPr>
          <w:bCs/>
          <w:color w:val="000000" w:themeColor="text1"/>
          <w:kern w:val="21"/>
          <w:sz w:val="24"/>
          <w14:textFill>
            <w14:solidFill>
              <w14:schemeClr w14:val="tx1"/>
            </w14:solidFill>
          </w14:textFill>
        </w:rPr>
        <w:t>酶促反应：微生物在代谢过程中会产生多种酶，这些酶能够催化恶臭物质的分解反应，加速降解过程。</w:t>
      </w:r>
    </w:p>
    <w:p w14:paraId="1DE6793F">
      <w:pPr>
        <w:adjustRightInd w:val="0"/>
        <w:snapToGrid w:val="0"/>
        <w:spacing w:line="360" w:lineRule="auto"/>
        <w:ind w:firstLine="480" w:firstLineChars="200"/>
        <w:rPr>
          <w:bCs/>
          <w:color w:val="000000" w:themeColor="text1"/>
          <w:kern w:val="21"/>
          <w:sz w:val="24"/>
          <w14:textFill>
            <w14:solidFill>
              <w14:schemeClr w14:val="tx1"/>
            </w14:solidFill>
          </w14:textFill>
        </w:rPr>
      </w:pPr>
      <w:r>
        <w:rPr>
          <w:bCs/>
          <w:color w:val="000000" w:themeColor="text1"/>
          <w:kern w:val="21"/>
          <w:sz w:val="24"/>
          <w14:textFill>
            <w14:solidFill>
              <w14:schemeClr w14:val="tx1"/>
            </w14:solidFill>
          </w14:textFill>
        </w:rPr>
        <w:t>生物吸附：某些微生物及其代谢产物具有吸附能力，能够吸附恶臭物质，减少其挥发和扩散。</w:t>
      </w:r>
    </w:p>
    <w:p w14:paraId="2DC634A3">
      <w:pPr>
        <w:adjustRightInd w:val="0"/>
        <w:snapToGrid w:val="0"/>
        <w:spacing w:line="360" w:lineRule="auto"/>
        <w:ind w:firstLine="480" w:firstLineChars="200"/>
        <w:rPr>
          <w:bCs/>
          <w:color w:val="000000" w:themeColor="text1"/>
          <w:kern w:val="21"/>
          <w:sz w:val="24"/>
          <w14:textFill>
            <w14:solidFill>
              <w14:schemeClr w14:val="tx1"/>
            </w14:solidFill>
          </w14:textFill>
        </w:rPr>
      </w:pPr>
      <w:r>
        <w:rPr>
          <w:bCs/>
          <w:color w:val="000000" w:themeColor="text1"/>
          <w:kern w:val="21"/>
          <w:sz w:val="24"/>
          <w14:textFill>
            <w14:solidFill>
              <w14:schemeClr w14:val="tx1"/>
            </w14:solidFill>
          </w14:textFill>
        </w:rPr>
        <w:t>高效生物除臭剂具有以下显著优点：生物除臭剂利用微生物的自然代谢过程，不产生二次污染，符合环保要求。能够快速降解多种恶臭物质，除臭效果显著。微生物及其代谢产物对人体和动物无害，使用安全。微生物在适宜条件下能够持续繁殖和代谢，提供长期的除臭效果。能够处理多种类型的恶臭物质，适用于不同的环境和场合。相对于化学除臭剂，生物除臭剂的使用成本较低，且维护简单。</w:t>
      </w:r>
    </w:p>
    <w:p w14:paraId="27DE2762">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高效生物除臭剂是近年来研发的一种新型技术，能够有效去除臭气且操作简便。它不仅对牲畜、植物和土壤无害，无毒无污染，安全环保，还具有成本低廉、设备简单、效果稳定等优点。与其他除臭方法相比，高效生物除臭剂在投资和维护管理方面的费用较低。由于其具备传统方法无法比拟的优势和安全性，因此在未来的发展潜力和应用前景十分广阔。</w:t>
      </w:r>
    </w:p>
    <w:p w14:paraId="1099B019">
      <w:pPr>
        <w:autoSpaceDE w:val="0"/>
        <w:autoSpaceDN w:val="0"/>
        <w:adjustRightInd w:val="0"/>
        <w:spacing w:line="360" w:lineRule="auto"/>
        <w:ind w:firstLine="482" w:firstLineChars="200"/>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恶臭治理措施可行性分析：</w:t>
      </w:r>
    </w:p>
    <w:p w14:paraId="73056C39">
      <w:pPr>
        <w:numPr>
          <w:ilvl w:val="0"/>
          <w:numId w:val="37"/>
        </w:numPr>
        <w:spacing w:line="360" w:lineRule="auto"/>
        <w:ind w:firstLine="480" w:firstLineChars="200"/>
        <w:rPr>
          <w:color w:val="000000" w:themeColor="text1"/>
          <w:spacing w:val="-6"/>
          <w:sz w:val="24"/>
          <w14:textFill>
            <w14:solidFill>
              <w14:schemeClr w14:val="tx1"/>
            </w14:solidFill>
          </w14:textFill>
        </w:rPr>
      </w:pPr>
      <w:r>
        <w:rPr>
          <w:color w:val="000000" w:themeColor="text1"/>
          <w:sz w:val="24"/>
          <w14:textFill>
            <w14:solidFill>
              <w14:schemeClr w14:val="tx1"/>
            </w14:solidFill>
          </w14:textFill>
        </w:rPr>
        <w:t>根据《排污许可证申请与核发技术规范 畜禽养殖行业》（</w:t>
      </w:r>
      <w:r>
        <w:rPr>
          <w:rFonts w:eastAsia="Times New Roman"/>
          <w:color w:val="000000" w:themeColor="text1"/>
          <w:sz w:val="24"/>
          <w14:textFill>
            <w14:solidFill>
              <w14:schemeClr w14:val="tx1"/>
            </w14:solidFill>
          </w14:textFill>
        </w:rPr>
        <w:t>HJ</w:t>
      </w:r>
      <w:r>
        <w:rPr>
          <w:rFonts w:eastAsia="Times New Roman"/>
          <w:color w:val="000000" w:themeColor="text1"/>
          <w:spacing w:val="-1"/>
          <w:sz w:val="24"/>
          <w14:textFill>
            <w14:solidFill>
              <w14:schemeClr w14:val="tx1"/>
            </w14:solidFill>
          </w14:textFill>
        </w:rPr>
        <w:t>1029-2019</w:t>
      </w:r>
      <w:r>
        <w:rPr>
          <w:color w:val="000000" w:themeColor="text1"/>
          <w:spacing w:val="-1"/>
          <w:sz w:val="24"/>
          <w14:textFill>
            <w14:solidFill>
              <w14:schemeClr w14:val="tx1"/>
            </w14:solidFill>
          </w14:textFill>
        </w:rPr>
        <w:t>）：</w:t>
      </w:r>
      <w:r>
        <w:rPr>
          <w:color w:val="000000" w:themeColor="text1"/>
          <w:spacing w:val="-6"/>
          <w:sz w:val="24"/>
          <w14:textFill>
            <w14:solidFill>
              <w14:schemeClr w14:val="tx1"/>
            </w14:solidFill>
          </w14:textFill>
        </w:rPr>
        <w:t>“表</w:t>
      </w:r>
      <w:r>
        <w:rPr>
          <w:rFonts w:eastAsia="Times New Roman"/>
          <w:color w:val="000000" w:themeColor="text1"/>
          <w:spacing w:val="-6"/>
          <w:sz w:val="24"/>
          <w14:textFill>
            <w14:solidFill>
              <w14:schemeClr w14:val="tx1"/>
            </w14:solidFill>
          </w14:textFill>
        </w:rPr>
        <w:t>7</w:t>
      </w:r>
      <w:r>
        <w:rPr>
          <w:color w:val="000000" w:themeColor="text1"/>
          <w:spacing w:val="-6"/>
          <w:sz w:val="24"/>
          <w14:textFill>
            <w14:solidFill>
              <w14:schemeClr w14:val="tx1"/>
            </w14:solidFill>
          </w14:textFill>
        </w:rPr>
        <w:t>畜禽养殖行业排污单位恶臭无组织排放控制要求</w:t>
      </w:r>
      <w:r>
        <w:rPr>
          <w:color w:val="000000" w:themeColor="text1"/>
          <w:spacing w:val="-88"/>
          <w:sz w:val="24"/>
          <w14:textFill>
            <w14:solidFill>
              <w14:schemeClr w14:val="tx1"/>
            </w14:solidFill>
          </w14:textFill>
        </w:rPr>
        <w:t xml:space="preserve"> </w:t>
      </w:r>
      <w:r>
        <w:rPr>
          <w:color w:val="000000" w:themeColor="text1"/>
          <w:spacing w:val="-6"/>
          <w:sz w:val="24"/>
          <w14:textFill>
            <w14:solidFill>
              <w14:schemeClr w14:val="tx1"/>
            </w14:solidFill>
          </w14:textFill>
        </w:rPr>
        <w:t>”，恶臭排放控制要求如下：</w:t>
      </w:r>
    </w:p>
    <w:p w14:paraId="3215A8F0">
      <w:pPr>
        <w:spacing w:line="360" w:lineRule="auto"/>
        <w:jc w:val="center"/>
        <w:rPr>
          <w:color w:val="000000" w:themeColor="text1"/>
          <w:szCs w:val="21"/>
          <w14:textFill>
            <w14:solidFill>
              <w14:schemeClr w14:val="tx1"/>
            </w14:solidFill>
          </w14:textFill>
        </w:rPr>
      </w:pPr>
      <w:r>
        <w:rPr>
          <w:b/>
          <w:bCs/>
          <w:color w:val="000000" w:themeColor="text1"/>
          <w:spacing w:val="7"/>
          <w:szCs w:val="21"/>
          <w14:textFill>
            <w14:solidFill>
              <w14:schemeClr w14:val="tx1"/>
            </w14:solidFill>
          </w14:textFill>
        </w:rPr>
        <w:t>表7.2-1</w:t>
      </w:r>
      <w:r>
        <w:rPr>
          <w:rFonts w:eastAsia="Times New Roman"/>
          <w:b/>
          <w:bCs/>
          <w:color w:val="000000" w:themeColor="text1"/>
          <w:spacing w:val="7"/>
          <w:szCs w:val="21"/>
          <w14:textFill>
            <w14:solidFill>
              <w14:schemeClr w14:val="tx1"/>
            </w14:solidFill>
          </w14:textFill>
        </w:rPr>
        <w:t xml:space="preserve">  </w:t>
      </w:r>
      <w:r>
        <w:rPr>
          <w:b/>
          <w:bCs/>
          <w:color w:val="000000" w:themeColor="text1"/>
          <w:spacing w:val="7"/>
          <w:szCs w:val="21"/>
          <w14:textFill>
            <w14:solidFill>
              <w14:schemeClr w14:val="tx1"/>
            </w14:solidFill>
          </w14:textFill>
        </w:rPr>
        <w:t>畜禽养殖行业排污单位恶臭无组织排放控制要求</w:t>
      </w:r>
    </w:p>
    <w:p w14:paraId="03FEDE20">
      <w:pPr>
        <w:spacing w:line="27" w:lineRule="exact"/>
        <w:rPr>
          <w:color w:val="000000" w:themeColor="text1"/>
          <w14:textFill>
            <w14:solidFill>
              <w14:schemeClr w14:val="tx1"/>
            </w14:solidFill>
          </w14:textFill>
        </w:rPr>
      </w:pPr>
    </w:p>
    <w:tbl>
      <w:tblPr>
        <w:tblStyle w:val="1745"/>
        <w:tblW w:w="8554" w:type="dxa"/>
        <w:tblInd w:w="2" w:type="dxa"/>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666"/>
        <w:gridCol w:w="3459"/>
        <w:gridCol w:w="3554"/>
        <w:gridCol w:w="875"/>
      </w:tblGrid>
      <w:tr w14:paraId="3C97CA20">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2" w:hRule="atLeast"/>
          <w:tblHeader/>
        </w:trPr>
        <w:tc>
          <w:tcPr>
            <w:tcW w:w="666" w:type="dxa"/>
            <w:tcBorders>
              <w:top w:val="single" w:color="000000" w:sz="12" w:space="0"/>
            </w:tcBorders>
            <w:vAlign w:val="center"/>
          </w:tcPr>
          <w:p w14:paraId="639C2A6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3"/>
                <w:szCs w:val="21"/>
                <w:lang w:eastAsia="en-US"/>
                <w14:textFill>
                  <w14:solidFill>
                    <w14:schemeClr w14:val="tx1"/>
                  </w14:solidFill>
                </w14:textFill>
              </w:rPr>
              <w:t>主要</w:t>
            </w:r>
          </w:p>
        </w:tc>
        <w:tc>
          <w:tcPr>
            <w:tcW w:w="3459" w:type="dxa"/>
            <w:tcBorders>
              <w:top w:val="single" w:color="000000" w:sz="12" w:space="0"/>
            </w:tcBorders>
            <w:vAlign w:val="center"/>
          </w:tcPr>
          <w:p w14:paraId="79143EE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7"/>
                <w:szCs w:val="21"/>
                <w:lang w:eastAsia="en-US"/>
                <w14:textFill>
                  <w14:solidFill>
                    <w14:schemeClr w14:val="tx1"/>
                  </w14:solidFill>
                </w14:textFill>
              </w:rPr>
              <w:t>无组织排放控制要求</w:t>
            </w:r>
          </w:p>
        </w:tc>
        <w:tc>
          <w:tcPr>
            <w:tcW w:w="3554" w:type="dxa"/>
            <w:tcBorders>
              <w:top w:val="single" w:color="000000" w:sz="12" w:space="0"/>
            </w:tcBorders>
            <w:vAlign w:val="center"/>
          </w:tcPr>
          <w:p w14:paraId="18BF3E8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7"/>
                <w:szCs w:val="21"/>
                <w:lang w:eastAsia="en-US"/>
                <w14:textFill>
                  <w14:solidFill>
                    <w14:schemeClr w14:val="tx1"/>
                  </w14:solidFill>
                </w14:textFill>
              </w:rPr>
              <w:t>本项目采取的措施</w:t>
            </w:r>
          </w:p>
        </w:tc>
        <w:tc>
          <w:tcPr>
            <w:tcW w:w="875" w:type="dxa"/>
            <w:tcBorders>
              <w:top w:val="single" w:color="000000" w:sz="12" w:space="0"/>
            </w:tcBorders>
            <w:vAlign w:val="center"/>
          </w:tcPr>
          <w:p w14:paraId="7BCE838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6"/>
                <w:szCs w:val="21"/>
                <w:lang w:eastAsia="en-US"/>
                <w14:textFill>
                  <w14:solidFill>
                    <w14:schemeClr w14:val="tx1"/>
                  </w14:solidFill>
                </w14:textFill>
              </w:rPr>
              <w:t>是否满足要求</w:t>
            </w:r>
          </w:p>
        </w:tc>
      </w:tr>
      <w:tr w14:paraId="4E745065">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66" w:type="dxa"/>
            <w:vAlign w:val="center"/>
          </w:tcPr>
          <w:p w14:paraId="2631F49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养殖栏舍</w:t>
            </w:r>
          </w:p>
        </w:tc>
        <w:tc>
          <w:tcPr>
            <w:tcW w:w="3459" w:type="dxa"/>
            <w:vAlign w:val="center"/>
          </w:tcPr>
          <w:p w14:paraId="6580D27E">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7"/>
                <w:szCs w:val="21"/>
                <w:lang w:eastAsia="zh-CN"/>
                <w14:textFill>
                  <w14:solidFill>
                    <w14:schemeClr w14:val="tx1"/>
                  </w14:solidFill>
                </w14:textFill>
              </w:rPr>
              <w:t>（1）选用益生菌配方饲料；</w:t>
            </w:r>
          </w:p>
          <w:p w14:paraId="1A1807DD">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9"/>
                <w:szCs w:val="21"/>
                <w:lang w:eastAsia="zh-CN"/>
                <w14:textFill>
                  <w14:solidFill>
                    <w14:schemeClr w14:val="tx1"/>
                  </w14:solidFill>
                </w14:textFill>
              </w:rPr>
              <w:t>（2）及时清运粪污</w:t>
            </w:r>
            <w:r>
              <w:rPr>
                <w:rFonts w:ascii="Times New Roman" w:hAnsi="Times New Roman" w:eastAsia="宋体"/>
                <w:color w:val="000000" w:themeColor="text1"/>
                <w:szCs w:val="21"/>
                <w:lang w:eastAsia="zh-CN"/>
                <w14:textFill>
                  <w14:solidFill>
                    <w14:schemeClr w14:val="tx1"/>
                  </w14:solidFill>
                </w14:textFill>
              </w:rPr>
              <w:t>；</w:t>
            </w:r>
          </w:p>
          <w:p w14:paraId="26F265D4">
            <w:pPr>
              <w:widowControl/>
              <w:autoSpaceDE/>
              <w:autoSpaceDN/>
              <w:jc w:val="left"/>
              <w:rPr>
                <w:rFonts w:ascii="Times New Roman" w:hAnsi="Times New Roman" w:eastAsia="宋体"/>
                <w:color w:val="000000" w:themeColor="text1"/>
                <w:spacing w:val="-5"/>
                <w:szCs w:val="21"/>
                <w:lang w:eastAsia="zh-CN"/>
                <w14:textFill>
                  <w14:solidFill>
                    <w14:schemeClr w14:val="tx1"/>
                  </w14:solidFill>
                </w14:textFill>
              </w:rPr>
            </w:pPr>
            <w:r>
              <w:rPr>
                <w:rFonts w:ascii="Times New Roman" w:hAnsi="Times New Roman" w:eastAsia="宋体"/>
                <w:color w:val="000000" w:themeColor="text1"/>
                <w:szCs w:val="21"/>
                <w:lang w:eastAsia="zh-CN"/>
                <w14:textFill>
                  <w14:solidFill>
                    <w14:schemeClr w14:val="tx1"/>
                  </w14:solidFill>
                </w14:textFill>
              </w:rPr>
              <w:t>（</w:t>
            </w:r>
            <w:r>
              <w:rPr>
                <w:rFonts w:ascii="Times New Roman" w:hAnsi="Times New Roman" w:eastAsia="宋体"/>
                <w:color w:val="000000" w:themeColor="text1"/>
                <w:spacing w:val="9"/>
                <w:szCs w:val="21"/>
                <w:lang w:eastAsia="zh-CN"/>
                <w14:textFill>
                  <w14:solidFill>
                    <w14:schemeClr w14:val="tx1"/>
                  </w14:solidFill>
                </w14:textFill>
              </w:rPr>
              <w:t>3）向粪便</w:t>
            </w:r>
            <w:r>
              <w:rPr>
                <w:rFonts w:ascii="Times New Roman" w:hAnsi="Times New Roman" w:eastAsia="宋体"/>
                <w:color w:val="000000" w:themeColor="text1"/>
                <w:spacing w:val="11"/>
                <w:szCs w:val="21"/>
                <w:lang w:eastAsia="zh-CN"/>
                <w14:textFill>
                  <w14:solidFill>
                    <w14:schemeClr w14:val="tx1"/>
                  </w14:solidFill>
                </w14:textFill>
              </w:rPr>
              <w:t>或舍内投（铺）放吸附剂减少臭气</w:t>
            </w:r>
            <w:r>
              <w:rPr>
                <w:rFonts w:ascii="Times New Roman" w:hAnsi="Times New Roman" w:eastAsia="宋体"/>
                <w:color w:val="000000" w:themeColor="text1"/>
                <w:spacing w:val="6"/>
                <w:szCs w:val="21"/>
                <w:lang w:eastAsia="zh-CN"/>
                <w14:textFill>
                  <w14:solidFill>
                    <w14:schemeClr w14:val="tx1"/>
                  </w14:solidFill>
                </w14:textFill>
              </w:rPr>
              <w:t>的散发</w:t>
            </w:r>
            <w:r>
              <w:rPr>
                <w:rFonts w:ascii="Times New Roman" w:hAnsi="Times New Roman" w:eastAsia="宋体"/>
                <w:color w:val="000000" w:themeColor="text1"/>
                <w:spacing w:val="-5"/>
                <w:szCs w:val="21"/>
                <w:lang w:eastAsia="zh-CN"/>
                <w14:textFill>
                  <w14:solidFill>
                    <w14:schemeClr w14:val="tx1"/>
                  </w14:solidFill>
                </w14:textFill>
              </w:rPr>
              <w:t>；</w:t>
            </w:r>
          </w:p>
          <w:p w14:paraId="3C3946DD">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5"/>
                <w:szCs w:val="21"/>
                <w:lang w:eastAsia="zh-CN"/>
                <w14:textFill>
                  <w14:solidFill>
                    <w14:schemeClr w14:val="tx1"/>
                  </w14:solidFill>
                </w14:textFill>
              </w:rPr>
              <w:t>（</w:t>
            </w:r>
            <w:r>
              <w:rPr>
                <w:rFonts w:ascii="Times New Roman" w:hAnsi="Times New Roman" w:eastAsia="宋体"/>
                <w:color w:val="000000" w:themeColor="text1"/>
                <w:spacing w:val="6"/>
                <w:szCs w:val="21"/>
                <w:lang w:eastAsia="zh-CN"/>
                <w14:textFill>
                  <w14:solidFill>
                    <w14:schemeClr w14:val="tx1"/>
                  </w14:solidFill>
                </w14:textFill>
              </w:rPr>
              <w:t>4）投加或喷洒除臭剂；</w:t>
            </w:r>
          </w:p>
          <w:p w14:paraId="7C6065BF">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1"/>
                <w:szCs w:val="21"/>
                <w:lang w:eastAsia="zh-CN"/>
                <w14:textFill>
                  <w14:solidFill>
                    <w14:schemeClr w14:val="tx1"/>
                  </w14:solidFill>
                </w14:textFill>
              </w:rPr>
              <w:t>（5）集中通风排气经处理（喷淋法、</w:t>
            </w:r>
            <w:r>
              <w:rPr>
                <w:rFonts w:ascii="Times New Roman" w:hAnsi="Times New Roman" w:eastAsia="宋体"/>
                <w:color w:val="000000" w:themeColor="text1"/>
                <w:spacing w:val="11"/>
                <w:szCs w:val="21"/>
                <w:lang w:eastAsia="zh-CN"/>
                <w14:textFill>
                  <w14:solidFill>
                    <w14:schemeClr w14:val="tx1"/>
                  </w14:solidFill>
                </w14:textFill>
              </w:rPr>
              <w:t xml:space="preserve"> </w:t>
            </w:r>
            <w:r>
              <w:rPr>
                <w:rFonts w:ascii="Times New Roman" w:hAnsi="Times New Roman" w:eastAsia="宋体"/>
                <w:color w:val="000000" w:themeColor="text1"/>
                <w:spacing w:val="8"/>
                <w:szCs w:val="21"/>
                <w:lang w:eastAsia="zh-CN"/>
                <w14:textFill>
                  <w14:solidFill>
                    <w14:schemeClr w14:val="tx1"/>
                  </w14:solidFill>
                </w14:textFill>
              </w:rPr>
              <w:t>生物洗涤法、吸收法等）后排放；</w:t>
            </w:r>
          </w:p>
          <w:p w14:paraId="192C4BF2">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7"/>
                <w:szCs w:val="21"/>
                <w:lang w:eastAsia="zh-CN"/>
                <w14:textFill>
                  <w14:solidFill>
                    <w14:schemeClr w14:val="tx1"/>
                  </w14:solidFill>
                </w14:textFill>
              </w:rPr>
              <w:t>（6）集中收集气体经处理（生物过</w:t>
            </w:r>
            <w:r>
              <w:rPr>
                <w:rFonts w:ascii="Times New Roman" w:hAnsi="Times New Roman" w:eastAsia="宋体"/>
                <w:color w:val="000000" w:themeColor="text1"/>
                <w:spacing w:val="9"/>
                <w:szCs w:val="21"/>
                <w:lang w:eastAsia="zh-CN"/>
                <w14:textFill>
                  <w14:solidFill>
                    <w14:schemeClr w14:val="tx1"/>
                  </w14:solidFill>
                </w14:textFill>
              </w:rPr>
              <w:t>滤法、生物洗涤法、吸收法等）后</w:t>
            </w:r>
            <w:r>
              <w:rPr>
                <w:rFonts w:ascii="Times New Roman" w:hAnsi="Times New Roman" w:eastAsia="宋体"/>
                <w:color w:val="000000" w:themeColor="text1"/>
                <w:spacing w:val="4"/>
                <w:szCs w:val="21"/>
                <w:lang w:eastAsia="zh-CN"/>
                <w14:textFill>
                  <w14:solidFill>
                    <w14:schemeClr w14:val="tx1"/>
                  </w14:solidFill>
                </w14:textFill>
              </w:rPr>
              <w:t>由排气筒排放</w:t>
            </w:r>
          </w:p>
        </w:tc>
        <w:tc>
          <w:tcPr>
            <w:tcW w:w="3554" w:type="dxa"/>
            <w:vAlign w:val="center"/>
          </w:tcPr>
          <w:p w14:paraId="536A4A9F">
            <w:pPr>
              <w:widowControl/>
              <w:numPr>
                <w:ilvl w:val="0"/>
                <w:numId w:val="38"/>
              </w:numPr>
              <w:autoSpaceDE/>
              <w:autoSpaceDN/>
              <w:jc w:val="left"/>
              <w:rPr>
                <w:rFonts w:ascii="Times New Roman" w:hAnsi="Times New Roman" w:eastAsia="宋体"/>
                <w:color w:val="000000" w:themeColor="text1"/>
                <w:spacing w:val="-4"/>
                <w:szCs w:val="21"/>
                <w:lang w:eastAsia="zh-CN"/>
                <w14:textFill>
                  <w14:solidFill>
                    <w14:schemeClr w14:val="tx1"/>
                  </w14:solidFill>
                </w14:textFill>
              </w:rPr>
            </w:pPr>
            <w:r>
              <w:rPr>
                <w:rFonts w:ascii="Times New Roman" w:hAnsi="Times New Roman" w:eastAsia="宋体"/>
                <w:color w:val="000000" w:themeColor="text1"/>
                <w:spacing w:val="6"/>
                <w:szCs w:val="21"/>
                <w:lang w:eastAsia="zh-CN"/>
                <w14:textFill>
                  <w14:solidFill>
                    <w14:schemeClr w14:val="tx1"/>
                  </w14:solidFill>
                </w14:textFill>
              </w:rPr>
              <w:t>科学设计日粮</w:t>
            </w:r>
            <w:r>
              <w:rPr>
                <w:rFonts w:ascii="Times New Roman" w:hAnsi="Times New Roman" w:eastAsia="宋体"/>
                <w:color w:val="000000" w:themeColor="text1"/>
                <w:kern w:val="0"/>
                <w:szCs w:val="21"/>
                <w:lang w:eastAsia="zh-CN"/>
                <w14:textFill>
                  <w14:solidFill>
                    <w14:schemeClr w14:val="tx1"/>
                  </w14:solidFill>
                </w14:textFill>
              </w:rPr>
              <w:t>，</w:t>
            </w:r>
            <w:r>
              <w:rPr>
                <w:rFonts w:ascii="Times New Roman" w:hAnsi="Times New Roman" w:eastAsia="宋体"/>
                <w:color w:val="000000" w:themeColor="text1"/>
                <w:spacing w:val="9"/>
                <w:szCs w:val="21"/>
                <w:lang w:eastAsia="zh-CN"/>
                <w14:textFill>
                  <w14:solidFill>
                    <w14:schemeClr w14:val="tx1"/>
                  </w14:solidFill>
                </w14:textFill>
              </w:rPr>
              <w:t>合理使用环保饲料添加剂和微生物制剂</w:t>
            </w:r>
            <w:r>
              <w:rPr>
                <w:rFonts w:ascii="Times New Roman" w:hAnsi="Times New Roman" w:eastAsia="宋体"/>
                <w:color w:val="000000" w:themeColor="text1"/>
                <w:spacing w:val="-4"/>
                <w:szCs w:val="21"/>
                <w:lang w:eastAsia="zh-CN"/>
                <w14:textFill>
                  <w14:solidFill>
                    <w14:schemeClr w14:val="tx1"/>
                  </w14:solidFill>
                </w14:textFill>
              </w:rPr>
              <w:t>；</w:t>
            </w:r>
          </w:p>
          <w:p w14:paraId="70A7024C">
            <w:pPr>
              <w:widowControl/>
              <w:numPr>
                <w:ilvl w:val="0"/>
                <w:numId w:val="38"/>
              </w:numPr>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9"/>
                <w:szCs w:val="21"/>
                <w:lang w:eastAsia="zh-CN"/>
                <w14:textFill>
                  <w14:solidFill>
                    <w14:schemeClr w14:val="tx1"/>
                  </w14:solidFill>
                </w14:textFill>
              </w:rPr>
              <w:t>牛舍定期喷洒除臭剂。</w:t>
            </w:r>
          </w:p>
        </w:tc>
        <w:tc>
          <w:tcPr>
            <w:tcW w:w="875" w:type="dxa"/>
            <w:vAlign w:val="center"/>
          </w:tcPr>
          <w:p w14:paraId="521017F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是</w:t>
            </w:r>
          </w:p>
        </w:tc>
      </w:tr>
      <w:tr w14:paraId="6742A325">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023" w:hRule="atLeast"/>
        </w:trPr>
        <w:tc>
          <w:tcPr>
            <w:tcW w:w="666" w:type="dxa"/>
            <w:vAlign w:val="center"/>
          </w:tcPr>
          <w:p w14:paraId="5F3D2195">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固体</w:t>
            </w:r>
            <w:r>
              <w:rPr>
                <w:rFonts w:ascii="Times New Roman" w:hAnsi="Times New Roman" w:eastAsia="宋体"/>
                <w:color w:val="000000" w:themeColor="text1"/>
                <w:spacing w:val="3"/>
                <w:szCs w:val="21"/>
                <w:lang w:eastAsia="en-US"/>
                <w14:textFill>
                  <w14:solidFill>
                    <w14:schemeClr w14:val="tx1"/>
                  </w14:solidFill>
                </w14:textFill>
              </w:rPr>
              <w:t>粪污处理工程</w:t>
            </w:r>
          </w:p>
        </w:tc>
        <w:tc>
          <w:tcPr>
            <w:tcW w:w="3459" w:type="dxa"/>
            <w:vAlign w:val="center"/>
          </w:tcPr>
          <w:p w14:paraId="473E4ABD">
            <w:pPr>
              <w:widowControl/>
              <w:numPr>
                <w:ilvl w:val="0"/>
                <w:numId w:val="39"/>
              </w:numPr>
              <w:autoSpaceDE/>
              <w:autoSpaceDN/>
              <w:jc w:val="left"/>
              <w:rPr>
                <w:rFonts w:ascii="Times New Roman" w:hAnsi="Times New Roman" w:eastAsia="宋体"/>
                <w:color w:val="000000" w:themeColor="text1"/>
                <w:spacing w:val="-6"/>
                <w:szCs w:val="21"/>
                <w:lang w:eastAsia="en-US"/>
                <w14:textFill>
                  <w14:solidFill>
                    <w14:schemeClr w14:val="tx1"/>
                  </w14:solidFill>
                </w14:textFill>
              </w:rPr>
            </w:pPr>
            <w:r>
              <w:rPr>
                <w:rFonts w:ascii="Times New Roman" w:hAnsi="Times New Roman" w:eastAsia="宋体"/>
                <w:color w:val="000000" w:themeColor="text1"/>
                <w:spacing w:val="10"/>
                <w:szCs w:val="21"/>
                <w:lang w:eastAsia="en-US"/>
                <w14:textFill>
                  <w14:solidFill>
                    <w14:schemeClr w14:val="tx1"/>
                  </w14:solidFill>
                </w14:textFill>
              </w:rPr>
              <w:t>定期喷洒除臭剂</w:t>
            </w:r>
            <w:r>
              <w:rPr>
                <w:rFonts w:ascii="Times New Roman" w:hAnsi="Times New Roman" w:eastAsia="宋体"/>
                <w:color w:val="000000" w:themeColor="text1"/>
                <w:spacing w:val="-6"/>
                <w:szCs w:val="21"/>
                <w:lang w:eastAsia="en-US"/>
                <w14:textFill>
                  <w14:solidFill>
                    <w14:schemeClr w14:val="tx1"/>
                  </w14:solidFill>
                </w14:textFill>
              </w:rPr>
              <w:t>；</w:t>
            </w:r>
          </w:p>
          <w:p w14:paraId="3BC606EF">
            <w:pPr>
              <w:widowControl/>
              <w:numPr>
                <w:ilvl w:val="0"/>
                <w:numId w:val="39"/>
              </w:numPr>
              <w:autoSpaceDE/>
              <w:autoSpaceDN/>
              <w:jc w:val="left"/>
              <w:rPr>
                <w:rFonts w:ascii="Times New Roman" w:hAnsi="Times New Roman" w:eastAsia="宋体"/>
                <w:color w:val="000000" w:themeColor="text1"/>
                <w:spacing w:val="-3"/>
                <w:szCs w:val="21"/>
                <w:lang w:eastAsia="en-US"/>
                <w14:textFill>
                  <w14:solidFill>
                    <w14:schemeClr w14:val="tx1"/>
                  </w14:solidFill>
                </w14:textFill>
              </w:rPr>
            </w:pPr>
            <w:r>
              <w:rPr>
                <w:rFonts w:ascii="Times New Roman" w:hAnsi="Times New Roman" w:eastAsia="宋体"/>
                <w:color w:val="000000" w:themeColor="text1"/>
                <w:spacing w:val="10"/>
                <w:szCs w:val="21"/>
                <w:lang w:eastAsia="en-US"/>
                <w14:textFill>
                  <w14:solidFill>
                    <w14:schemeClr w14:val="tx1"/>
                  </w14:solidFill>
                </w14:textFill>
              </w:rPr>
              <w:t>及时清运固体粪污</w:t>
            </w:r>
            <w:r>
              <w:rPr>
                <w:rFonts w:ascii="Times New Roman" w:hAnsi="Times New Roman" w:eastAsia="宋体"/>
                <w:color w:val="000000" w:themeColor="text1"/>
                <w:spacing w:val="-3"/>
                <w:szCs w:val="21"/>
                <w:lang w:eastAsia="en-US"/>
                <w14:textFill>
                  <w14:solidFill>
                    <w14:schemeClr w14:val="tx1"/>
                  </w14:solidFill>
                </w14:textFill>
              </w:rPr>
              <w:t>；</w:t>
            </w:r>
          </w:p>
          <w:p w14:paraId="3704C33C">
            <w:pPr>
              <w:widowControl/>
              <w:numPr>
                <w:ilvl w:val="0"/>
                <w:numId w:val="39"/>
              </w:numPr>
              <w:autoSpaceDE/>
              <w:autoSpaceDN/>
              <w:jc w:val="left"/>
              <w:rPr>
                <w:rFonts w:ascii="Times New Roman" w:hAnsi="Times New Roman" w:eastAsia="宋体"/>
                <w:color w:val="000000" w:themeColor="text1"/>
                <w:spacing w:val="-9"/>
                <w:szCs w:val="21"/>
                <w:lang w:eastAsia="zh-CN"/>
                <w14:textFill>
                  <w14:solidFill>
                    <w14:schemeClr w14:val="tx1"/>
                  </w14:solidFill>
                </w14:textFill>
              </w:rPr>
            </w:pPr>
            <w:r>
              <w:rPr>
                <w:rFonts w:ascii="Times New Roman" w:hAnsi="Times New Roman" w:eastAsia="宋体"/>
                <w:color w:val="000000" w:themeColor="text1"/>
                <w:spacing w:val="10"/>
                <w:szCs w:val="21"/>
                <w:lang w:eastAsia="zh-CN"/>
                <w14:textFill>
                  <w14:solidFill>
                    <w14:schemeClr w14:val="tx1"/>
                  </w14:solidFill>
                </w14:textFill>
              </w:rPr>
              <w:t>采用厌氧或全</w:t>
            </w:r>
            <w:r>
              <w:rPr>
                <w:rFonts w:ascii="Times New Roman" w:hAnsi="Times New Roman" w:eastAsia="宋体"/>
                <w:color w:val="000000" w:themeColor="text1"/>
                <w:spacing w:val="11"/>
                <w:szCs w:val="21"/>
                <w:lang w:eastAsia="zh-CN"/>
                <w14:textFill>
                  <w14:solidFill>
                    <w14:schemeClr w14:val="tx1"/>
                  </w14:solidFill>
                </w14:textFill>
              </w:rPr>
              <w:t>场好氧堆肥方式</w:t>
            </w:r>
            <w:r>
              <w:rPr>
                <w:rFonts w:ascii="Times New Roman" w:hAnsi="Times New Roman" w:eastAsia="宋体"/>
                <w:color w:val="000000" w:themeColor="text1"/>
                <w:spacing w:val="-9"/>
                <w:szCs w:val="21"/>
                <w:lang w:eastAsia="zh-CN"/>
                <w14:textFill>
                  <w14:solidFill>
                    <w14:schemeClr w14:val="tx1"/>
                  </w14:solidFill>
                </w14:textFill>
              </w:rPr>
              <w:t>；</w:t>
            </w:r>
          </w:p>
          <w:p w14:paraId="4CC2A86B">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9"/>
                <w:szCs w:val="21"/>
                <w:lang w:eastAsia="zh-CN"/>
                <w14:textFill>
                  <w14:solidFill>
                    <w14:schemeClr w14:val="tx1"/>
                  </w14:solidFill>
                </w14:textFill>
              </w:rPr>
              <w:t>（</w:t>
            </w:r>
            <w:r>
              <w:rPr>
                <w:rFonts w:ascii="Times New Roman" w:hAnsi="Times New Roman" w:eastAsia="宋体"/>
                <w:color w:val="000000" w:themeColor="text1"/>
                <w:spacing w:val="11"/>
                <w:szCs w:val="21"/>
                <w:lang w:eastAsia="zh-CN"/>
                <w14:textFill>
                  <w14:solidFill>
                    <w14:schemeClr w14:val="tx1"/>
                  </w14:solidFill>
                </w14:textFill>
              </w:rPr>
              <w:t>4）集中收集气</w:t>
            </w:r>
            <w:r>
              <w:rPr>
                <w:rFonts w:ascii="Times New Roman" w:hAnsi="Times New Roman" w:eastAsia="宋体"/>
                <w:color w:val="000000" w:themeColor="text1"/>
                <w:spacing w:val="12"/>
                <w:szCs w:val="21"/>
                <w:lang w:eastAsia="zh-CN"/>
                <w14:textFill>
                  <w14:solidFill>
                    <w14:schemeClr w14:val="tx1"/>
                  </w14:solidFill>
                </w14:textFill>
              </w:rPr>
              <w:t>体经处理（生物过滤法、生物洗涤</w:t>
            </w:r>
            <w:r>
              <w:rPr>
                <w:rFonts w:ascii="Times New Roman" w:hAnsi="Times New Roman" w:eastAsia="宋体"/>
                <w:color w:val="000000" w:themeColor="text1"/>
                <w:spacing w:val="11"/>
                <w:szCs w:val="21"/>
                <w:lang w:eastAsia="zh-CN"/>
                <w14:textFill>
                  <w14:solidFill>
                    <w14:schemeClr w14:val="tx1"/>
                  </w14:solidFill>
                </w14:textFill>
              </w:rPr>
              <w:t>法、吸收法等）后由排气筒排放。</w:t>
            </w:r>
          </w:p>
        </w:tc>
        <w:tc>
          <w:tcPr>
            <w:tcW w:w="3554" w:type="dxa"/>
            <w:vAlign w:val="center"/>
          </w:tcPr>
          <w:p w14:paraId="0F66ACEF">
            <w:pPr>
              <w:widowControl/>
              <w:autoSpaceDE/>
              <w:autoSpaceDN/>
              <w:jc w:val="left"/>
              <w:rPr>
                <w:rFonts w:ascii="Times New Roman" w:hAnsi="Times New Roman" w:eastAsia="宋体"/>
                <w:color w:val="000000" w:themeColor="text1"/>
                <w:szCs w:val="21"/>
                <w:highlight w:val="yellow"/>
                <w:lang w:eastAsia="zh-CN"/>
                <w14:textFill>
                  <w14:solidFill>
                    <w14:schemeClr w14:val="tx1"/>
                  </w14:solidFill>
                </w14:textFill>
              </w:rPr>
            </w:pPr>
            <w:r>
              <w:rPr>
                <w:rFonts w:ascii="Times New Roman" w:hAnsi="Times New Roman" w:eastAsia="宋体"/>
                <w:color w:val="000000" w:themeColor="text1"/>
                <w:spacing w:val="6"/>
                <w:szCs w:val="21"/>
                <w:lang w:eastAsia="zh-CN"/>
                <w14:textFill>
                  <w14:solidFill>
                    <w14:schemeClr w14:val="tx1"/>
                  </w14:solidFill>
                </w14:textFill>
              </w:rPr>
              <w:t>本项目采用垫料床养殖模式，养殖过程中不会产生粪污，仅在牛只批次出栏时更换垫料，垫料一次性外运至</w:t>
            </w:r>
            <w:r>
              <w:rPr>
                <w:rFonts w:hint="eastAsia" w:ascii="Times New Roman" w:hAnsi="Times New Roman" w:eastAsia="宋体"/>
                <w:color w:val="000000" w:themeColor="text1"/>
                <w:spacing w:val="6"/>
                <w:szCs w:val="21"/>
                <w:lang w:eastAsia="zh-CN"/>
                <w14:textFill>
                  <w14:solidFill>
                    <w14:schemeClr w14:val="tx1"/>
                  </w14:solidFill>
                </w14:textFill>
              </w:rPr>
              <w:t>有机肥厂无害化处置</w:t>
            </w:r>
            <w:r>
              <w:rPr>
                <w:rFonts w:ascii="Times New Roman" w:hAnsi="Times New Roman" w:eastAsia="宋体"/>
                <w:color w:val="000000" w:themeColor="text1"/>
                <w:spacing w:val="6"/>
                <w:szCs w:val="21"/>
                <w:lang w:eastAsia="zh-CN"/>
                <w14:textFill>
                  <w14:solidFill>
                    <w14:schemeClr w14:val="tx1"/>
                  </w14:solidFill>
                </w14:textFill>
              </w:rPr>
              <w:t>。</w:t>
            </w:r>
          </w:p>
        </w:tc>
        <w:tc>
          <w:tcPr>
            <w:tcW w:w="875" w:type="dxa"/>
            <w:vAlign w:val="center"/>
          </w:tcPr>
          <w:p w14:paraId="7104FBF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是</w:t>
            </w:r>
          </w:p>
        </w:tc>
      </w:tr>
      <w:tr w14:paraId="17AE0AD4">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457" w:hRule="atLeast"/>
        </w:trPr>
        <w:tc>
          <w:tcPr>
            <w:tcW w:w="666" w:type="dxa"/>
            <w:vAlign w:val="center"/>
          </w:tcPr>
          <w:p w14:paraId="0279A4A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废水</w:t>
            </w:r>
            <w:r>
              <w:rPr>
                <w:rFonts w:ascii="Times New Roman" w:hAnsi="Times New Roman" w:eastAsia="宋体"/>
                <w:color w:val="000000" w:themeColor="text1"/>
                <w:spacing w:val="2"/>
                <w:szCs w:val="21"/>
                <w:lang w:eastAsia="en-US"/>
                <w14:textFill>
                  <w14:solidFill>
                    <w14:schemeClr w14:val="tx1"/>
                  </w14:solidFill>
                </w14:textFill>
              </w:rPr>
              <w:t>处理工程</w:t>
            </w:r>
          </w:p>
        </w:tc>
        <w:tc>
          <w:tcPr>
            <w:tcW w:w="3459" w:type="dxa"/>
            <w:vAlign w:val="center"/>
          </w:tcPr>
          <w:p w14:paraId="0FAF3959">
            <w:pPr>
              <w:widowControl/>
              <w:numPr>
                <w:ilvl w:val="0"/>
                <w:numId w:val="40"/>
              </w:numPr>
              <w:autoSpaceDE/>
              <w:autoSpaceDN/>
              <w:jc w:val="left"/>
              <w:rPr>
                <w:rFonts w:ascii="Times New Roman" w:hAnsi="Times New Roman" w:eastAsia="宋体"/>
                <w:color w:val="000000" w:themeColor="text1"/>
                <w:spacing w:val="11"/>
                <w:szCs w:val="21"/>
                <w:lang w:eastAsia="en-US"/>
                <w14:textFill>
                  <w14:solidFill>
                    <w14:schemeClr w14:val="tx1"/>
                  </w14:solidFill>
                </w14:textFill>
              </w:rPr>
            </w:pPr>
            <w:r>
              <w:rPr>
                <w:rFonts w:ascii="Times New Roman" w:hAnsi="Times New Roman" w:eastAsia="宋体"/>
                <w:color w:val="000000" w:themeColor="text1"/>
                <w:spacing w:val="11"/>
                <w:szCs w:val="21"/>
                <w:lang w:eastAsia="en-US"/>
                <w14:textFill>
                  <w14:solidFill>
                    <w14:schemeClr w14:val="tx1"/>
                  </w14:solidFill>
                </w14:textFill>
              </w:rPr>
              <w:t>定期喷洒除臭剂；</w:t>
            </w:r>
          </w:p>
          <w:p w14:paraId="5037BD29">
            <w:pPr>
              <w:widowControl/>
              <w:numPr>
                <w:ilvl w:val="0"/>
                <w:numId w:val="40"/>
              </w:numPr>
              <w:autoSpaceDE/>
              <w:autoSpaceDN/>
              <w:jc w:val="left"/>
              <w:rPr>
                <w:rFonts w:ascii="Times New Roman" w:hAnsi="Times New Roman" w:eastAsia="宋体"/>
                <w:color w:val="000000" w:themeColor="text1"/>
                <w:spacing w:val="11"/>
                <w:szCs w:val="21"/>
                <w:lang w:eastAsia="zh-CN"/>
                <w14:textFill>
                  <w14:solidFill>
                    <w14:schemeClr w14:val="tx1"/>
                  </w14:solidFill>
                </w14:textFill>
              </w:rPr>
            </w:pPr>
            <w:r>
              <w:rPr>
                <w:rFonts w:ascii="Times New Roman" w:hAnsi="Times New Roman" w:eastAsia="宋体"/>
                <w:color w:val="000000" w:themeColor="text1"/>
                <w:spacing w:val="11"/>
                <w:szCs w:val="21"/>
                <w:lang w:eastAsia="zh-CN"/>
                <w14:textFill>
                  <w14:solidFill>
                    <w14:schemeClr w14:val="tx1"/>
                  </w14:solidFill>
                </w14:textFill>
              </w:rPr>
              <w:t>废水处理设施加盖或加罩；（3）集中收集气体经处理（生物过滤法、生物洗涤法、吸收法等）后由排气筒排放。</w:t>
            </w:r>
          </w:p>
        </w:tc>
        <w:tc>
          <w:tcPr>
            <w:tcW w:w="3554" w:type="dxa"/>
            <w:vAlign w:val="center"/>
          </w:tcPr>
          <w:p w14:paraId="6A4E8F1A">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7"/>
                <w:szCs w:val="21"/>
                <w:lang w:eastAsia="zh-CN"/>
                <w14:textFill>
                  <w14:solidFill>
                    <w14:schemeClr w14:val="tx1"/>
                  </w14:solidFill>
                </w14:textFill>
              </w:rPr>
              <w:t>定期在集水池周围</w:t>
            </w:r>
            <w:r>
              <w:rPr>
                <w:rFonts w:ascii="Times New Roman" w:hAnsi="Times New Roman" w:eastAsia="宋体"/>
                <w:color w:val="000000" w:themeColor="text1"/>
                <w:spacing w:val="11"/>
                <w:szCs w:val="21"/>
                <w:lang w:eastAsia="zh-CN"/>
                <w14:textFill>
                  <w14:solidFill>
                    <w14:schemeClr w14:val="tx1"/>
                  </w14:solidFill>
                </w14:textFill>
              </w:rPr>
              <w:t>喷洒除臭剂。</w:t>
            </w:r>
          </w:p>
        </w:tc>
        <w:tc>
          <w:tcPr>
            <w:tcW w:w="875" w:type="dxa"/>
            <w:vAlign w:val="center"/>
          </w:tcPr>
          <w:p w14:paraId="62D4C59D">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是</w:t>
            </w:r>
          </w:p>
        </w:tc>
      </w:tr>
      <w:tr w14:paraId="7E418CB7">
        <w:tblPrEx>
          <w:tblBorders>
            <w:top w:val="single" w:color="000000" w:sz="2" w:space="0"/>
            <w:left w:val="none" w:color="auto" w:sz="0" w:space="0"/>
            <w:bottom w:val="single" w:color="000000" w:sz="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1423" w:hRule="atLeast"/>
        </w:trPr>
        <w:tc>
          <w:tcPr>
            <w:tcW w:w="666" w:type="dxa"/>
            <w:tcBorders>
              <w:bottom w:val="single" w:color="000000" w:sz="12" w:space="0"/>
            </w:tcBorders>
            <w:vAlign w:val="center"/>
          </w:tcPr>
          <w:p w14:paraId="0AE224F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全场</w:t>
            </w:r>
          </w:p>
        </w:tc>
        <w:tc>
          <w:tcPr>
            <w:tcW w:w="3459" w:type="dxa"/>
            <w:tcBorders>
              <w:bottom w:val="single" w:color="000000" w:sz="12" w:space="0"/>
            </w:tcBorders>
            <w:vAlign w:val="center"/>
          </w:tcPr>
          <w:p w14:paraId="20B19358">
            <w:pPr>
              <w:widowControl/>
              <w:numPr>
                <w:ilvl w:val="0"/>
                <w:numId w:val="41"/>
              </w:numPr>
              <w:autoSpaceDE/>
              <w:autoSpaceDN/>
              <w:jc w:val="left"/>
              <w:rPr>
                <w:rFonts w:ascii="Times New Roman" w:hAnsi="Times New Roman" w:eastAsia="宋体"/>
                <w:color w:val="000000" w:themeColor="text1"/>
                <w:spacing w:val="11"/>
                <w:szCs w:val="21"/>
                <w:lang w:eastAsia="zh-CN"/>
                <w14:textFill>
                  <w14:solidFill>
                    <w14:schemeClr w14:val="tx1"/>
                  </w14:solidFill>
                </w14:textFill>
              </w:rPr>
            </w:pPr>
            <w:r>
              <w:rPr>
                <w:rFonts w:ascii="Times New Roman" w:hAnsi="Times New Roman" w:eastAsia="宋体"/>
                <w:color w:val="000000" w:themeColor="text1"/>
                <w:spacing w:val="11"/>
                <w:szCs w:val="21"/>
                <w:lang w:eastAsia="zh-CN"/>
                <w14:textFill>
                  <w14:solidFill>
                    <w14:schemeClr w14:val="tx1"/>
                  </w14:solidFill>
                </w14:textFill>
              </w:rPr>
              <w:t>固体粪污规范还田利用；（2）场区运输道路全硬化、及时清扫、无积灰扬尘、定期洒水抑尘；</w:t>
            </w:r>
          </w:p>
          <w:p w14:paraId="576E487F">
            <w:pPr>
              <w:widowControl/>
              <w:autoSpaceDE/>
              <w:autoSpaceDN/>
              <w:jc w:val="left"/>
              <w:rPr>
                <w:rFonts w:ascii="Times New Roman" w:hAnsi="Times New Roman" w:eastAsia="宋体"/>
                <w:color w:val="000000" w:themeColor="text1"/>
                <w:spacing w:val="11"/>
                <w:szCs w:val="21"/>
                <w:lang w:eastAsia="en-US"/>
                <w14:textFill>
                  <w14:solidFill>
                    <w14:schemeClr w14:val="tx1"/>
                  </w14:solidFill>
                </w14:textFill>
              </w:rPr>
            </w:pPr>
            <w:r>
              <w:rPr>
                <w:rFonts w:ascii="Times New Roman" w:hAnsi="Times New Roman" w:eastAsia="宋体"/>
                <w:color w:val="000000" w:themeColor="text1"/>
                <w:spacing w:val="11"/>
                <w:szCs w:val="21"/>
                <w:lang w:eastAsia="en-US"/>
                <w14:textFill>
                  <w14:solidFill>
                    <w14:schemeClr w14:val="tx1"/>
                  </w14:solidFill>
                </w14:textFill>
              </w:rPr>
              <w:t>（3）加强场区绿化。</w:t>
            </w:r>
          </w:p>
        </w:tc>
        <w:tc>
          <w:tcPr>
            <w:tcW w:w="3554" w:type="dxa"/>
            <w:tcBorders>
              <w:bottom w:val="single" w:color="000000" w:sz="12" w:space="0"/>
            </w:tcBorders>
            <w:vAlign w:val="center"/>
          </w:tcPr>
          <w:p w14:paraId="3CE00C73">
            <w:pPr>
              <w:widowControl/>
              <w:autoSpaceDE/>
              <w:autoSpaceDN/>
              <w:jc w:val="left"/>
              <w:rPr>
                <w:rFonts w:ascii="Times New Roman" w:hAnsi="Times New Roman" w:eastAsia="宋体"/>
                <w:color w:val="000000" w:themeColor="text1"/>
                <w:spacing w:val="8"/>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（1）</w:t>
            </w:r>
            <w:r>
              <w:rPr>
                <w:rFonts w:ascii="Times New Roman" w:hAnsi="Times New Roman" w:eastAsia="宋体"/>
                <w:bCs/>
                <w:color w:val="000000" w:themeColor="text1"/>
                <w:szCs w:val="21"/>
                <w:lang w:eastAsia="zh-CN"/>
                <w14:textFill>
                  <w14:solidFill>
                    <w14:schemeClr w14:val="tx1"/>
                  </w14:solidFill>
                </w14:textFill>
              </w:rPr>
              <w:t>废弃垫料及时清运</w:t>
            </w:r>
            <w:r>
              <w:rPr>
                <w:rFonts w:ascii="Times New Roman" w:hAnsi="Times New Roman" w:eastAsia="宋体"/>
                <w:color w:val="000000" w:themeColor="text1"/>
                <w:spacing w:val="-1"/>
                <w:szCs w:val="21"/>
                <w:lang w:eastAsia="zh-CN"/>
                <w14:textFill>
                  <w14:solidFill>
                    <w14:schemeClr w14:val="tx1"/>
                  </w14:solidFill>
                </w14:textFill>
              </w:rPr>
              <w:t>外运至</w:t>
            </w:r>
            <w:r>
              <w:rPr>
                <w:rFonts w:hint="eastAsia" w:ascii="Times New Roman" w:hAnsi="Times New Roman" w:eastAsia="宋体"/>
                <w:color w:val="000000" w:themeColor="text1"/>
                <w:spacing w:val="-1"/>
                <w:szCs w:val="21"/>
                <w:lang w:eastAsia="zh-CN"/>
                <w14:textFill>
                  <w14:solidFill>
                    <w14:schemeClr w14:val="tx1"/>
                  </w14:solidFill>
                </w14:textFill>
              </w:rPr>
              <w:t>有机肥厂无害化处置</w:t>
            </w:r>
            <w:r>
              <w:rPr>
                <w:rFonts w:ascii="Times New Roman" w:hAnsi="Times New Roman" w:eastAsia="宋体"/>
                <w:color w:val="000000" w:themeColor="text1"/>
                <w:spacing w:val="-1"/>
                <w:szCs w:val="21"/>
                <w:lang w:eastAsia="zh-CN"/>
                <w14:textFill>
                  <w14:solidFill>
                    <w14:schemeClr w14:val="tx1"/>
                  </w14:solidFill>
                </w14:textFill>
              </w:rPr>
              <w:t>。</w:t>
            </w:r>
          </w:p>
          <w:p w14:paraId="7A4A6939">
            <w:pPr>
              <w:widowControl/>
              <w:numPr>
                <w:ilvl w:val="0"/>
                <w:numId w:val="41"/>
              </w:numPr>
              <w:autoSpaceDE/>
              <w:autoSpaceDN/>
              <w:jc w:val="left"/>
              <w:rPr>
                <w:rFonts w:ascii="Times New Roman" w:hAnsi="Times New Roman" w:eastAsia="宋体"/>
                <w:color w:val="000000" w:themeColor="text1"/>
                <w:spacing w:val="-3"/>
                <w:szCs w:val="21"/>
                <w:lang w:eastAsia="zh-CN"/>
                <w14:textFill>
                  <w14:solidFill>
                    <w14:schemeClr w14:val="tx1"/>
                  </w14:solidFill>
                </w14:textFill>
              </w:rPr>
            </w:pPr>
            <w:r>
              <w:rPr>
                <w:rFonts w:ascii="Times New Roman" w:hAnsi="Times New Roman" w:eastAsia="宋体"/>
                <w:color w:val="000000" w:themeColor="text1"/>
                <w:spacing w:val="13"/>
                <w:szCs w:val="21"/>
                <w:lang w:eastAsia="zh-CN"/>
                <w14:textFill>
                  <w14:solidFill>
                    <w14:schemeClr w14:val="tx1"/>
                  </w14:solidFill>
                </w14:textFill>
              </w:rPr>
              <w:t>场区运输道</w:t>
            </w:r>
            <w:r>
              <w:rPr>
                <w:rFonts w:ascii="Times New Roman" w:hAnsi="Times New Roman" w:eastAsia="宋体"/>
                <w:color w:val="000000" w:themeColor="text1"/>
                <w:spacing w:val="-3"/>
                <w:szCs w:val="21"/>
                <w:lang w:eastAsia="zh-CN"/>
                <w14:textFill>
                  <w14:solidFill>
                    <w14:schemeClr w14:val="tx1"/>
                  </w14:solidFill>
                </w14:textFill>
              </w:rPr>
              <w:t>路全硬化、及时清扫、无积灰扬尘、</w:t>
            </w:r>
            <w:r>
              <w:rPr>
                <w:rFonts w:ascii="Times New Roman" w:hAnsi="Times New Roman" w:eastAsia="宋体"/>
                <w:color w:val="000000" w:themeColor="text1"/>
                <w:spacing w:val="13"/>
                <w:szCs w:val="21"/>
                <w:lang w:eastAsia="zh-CN"/>
                <w14:textFill>
                  <w14:solidFill>
                    <w14:schemeClr w14:val="tx1"/>
                  </w14:solidFill>
                </w14:textFill>
              </w:rPr>
              <w:t>定期洒水抑尘</w:t>
            </w:r>
            <w:r>
              <w:rPr>
                <w:rFonts w:ascii="Times New Roman" w:hAnsi="Times New Roman" w:eastAsia="宋体"/>
                <w:color w:val="000000" w:themeColor="text1"/>
                <w:spacing w:val="-3"/>
                <w:szCs w:val="21"/>
                <w:lang w:eastAsia="zh-CN"/>
                <w14:textFill>
                  <w14:solidFill>
                    <w14:schemeClr w14:val="tx1"/>
                  </w14:solidFill>
                </w14:textFill>
              </w:rPr>
              <w:t>；</w:t>
            </w:r>
          </w:p>
          <w:p w14:paraId="13B39A8F">
            <w:pPr>
              <w:widowControl/>
              <w:numPr>
                <w:ilvl w:val="0"/>
                <w:numId w:val="41"/>
              </w:numPr>
              <w:autoSpaceDE/>
              <w:autoSpaceDN/>
              <w:jc w:val="left"/>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3"/>
                <w:szCs w:val="21"/>
                <w:lang w:eastAsia="en-US"/>
                <w14:textFill>
                  <w14:solidFill>
                    <w14:schemeClr w14:val="tx1"/>
                  </w14:solidFill>
                </w14:textFill>
              </w:rPr>
              <w:t>场区加强绿化。</w:t>
            </w:r>
          </w:p>
        </w:tc>
        <w:tc>
          <w:tcPr>
            <w:tcW w:w="875" w:type="dxa"/>
            <w:tcBorders>
              <w:bottom w:val="single" w:color="000000" w:sz="12" w:space="0"/>
            </w:tcBorders>
            <w:vAlign w:val="center"/>
          </w:tcPr>
          <w:p w14:paraId="6C3D1452">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是</w:t>
            </w:r>
          </w:p>
        </w:tc>
      </w:tr>
    </w:tbl>
    <w:p w14:paraId="33C03D4B">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根据上表分析，本项目符合《排污许可证申请与核发技术规范 畜禽养殖行业》（</w:t>
      </w:r>
      <w:r>
        <w:rPr>
          <w:rFonts w:eastAsia="Times New Roman"/>
          <w:color w:val="000000" w:themeColor="text1"/>
          <w:sz w:val="24"/>
          <w14:textFill>
            <w14:solidFill>
              <w14:schemeClr w14:val="tx1"/>
            </w14:solidFill>
          </w14:textFill>
        </w:rPr>
        <w:t>HJ</w:t>
      </w:r>
      <w:r>
        <w:rPr>
          <w:rFonts w:eastAsia="Times New Roman"/>
          <w:color w:val="000000" w:themeColor="text1"/>
          <w:spacing w:val="-1"/>
          <w:sz w:val="24"/>
          <w14:textFill>
            <w14:solidFill>
              <w14:schemeClr w14:val="tx1"/>
            </w14:solidFill>
          </w14:textFill>
        </w:rPr>
        <w:t>1029-2019</w:t>
      </w:r>
      <w:r>
        <w:rPr>
          <w:color w:val="000000" w:themeColor="text1"/>
          <w:spacing w:val="-1"/>
          <w:sz w:val="24"/>
          <w14:textFill>
            <w14:solidFill>
              <w14:schemeClr w14:val="tx1"/>
            </w14:solidFill>
          </w14:textFill>
        </w:rPr>
        <w:t>）：</w:t>
      </w:r>
      <w:r>
        <w:rPr>
          <w:color w:val="000000" w:themeColor="text1"/>
          <w:spacing w:val="-6"/>
          <w:sz w:val="24"/>
          <w14:textFill>
            <w14:solidFill>
              <w14:schemeClr w14:val="tx1"/>
            </w14:solidFill>
          </w14:textFill>
        </w:rPr>
        <w:t>“表</w:t>
      </w:r>
      <w:r>
        <w:rPr>
          <w:rFonts w:eastAsia="Times New Roman"/>
          <w:color w:val="000000" w:themeColor="text1"/>
          <w:spacing w:val="-6"/>
          <w:sz w:val="24"/>
          <w14:textFill>
            <w14:solidFill>
              <w14:schemeClr w14:val="tx1"/>
            </w14:solidFill>
          </w14:textFill>
        </w:rPr>
        <w:t>7</w:t>
      </w:r>
      <w:r>
        <w:rPr>
          <w:color w:val="000000" w:themeColor="text1"/>
          <w:spacing w:val="-6"/>
          <w:sz w:val="24"/>
          <w14:textFill>
            <w14:solidFill>
              <w14:schemeClr w14:val="tx1"/>
            </w14:solidFill>
          </w14:textFill>
        </w:rPr>
        <w:t>畜禽养殖行业排污单位恶臭无组织排放控制要求</w:t>
      </w:r>
      <w:r>
        <w:rPr>
          <w:color w:val="000000" w:themeColor="text1"/>
          <w:spacing w:val="-88"/>
          <w:sz w:val="24"/>
          <w14:textFill>
            <w14:solidFill>
              <w14:schemeClr w14:val="tx1"/>
            </w14:solidFill>
          </w14:textFill>
        </w:rPr>
        <w:t xml:space="preserve"> </w:t>
      </w:r>
      <w:r>
        <w:rPr>
          <w:color w:val="000000" w:themeColor="text1"/>
          <w:spacing w:val="-6"/>
          <w:sz w:val="24"/>
          <w14:textFill>
            <w14:solidFill>
              <w14:schemeClr w14:val="tx1"/>
            </w14:solidFill>
          </w14:textFill>
        </w:rPr>
        <w:t>”，恶臭排放控制要求。</w:t>
      </w:r>
    </w:p>
    <w:p w14:paraId="43542AAC">
      <w:pPr>
        <w:adjustRightInd w:val="0"/>
        <w:snapToGrid w:val="0"/>
        <w:spacing w:line="360" w:lineRule="auto"/>
        <w:ind w:left="420" w:leftChars="200"/>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3、食堂油烟防治措施</w:t>
      </w:r>
    </w:p>
    <w:p w14:paraId="0EF5CEB2">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食堂产生的油烟通过油烟净化器处理，净化效率不低于60%，处理后的油烟引至屋顶排放，最终通过大气稀释扩散。根据工程分析，项目食堂油烟排放浓度能够满足《饮食业油烟排放标准（试行）》（GB18483-2001）中“小型”规模的排放要求，即油烟排放浓度≤2mg/m³。因此，食堂油烟的防治措施是可行的。</w:t>
      </w:r>
    </w:p>
    <w:p w14:paraId="07073DB6">
      <w:pPr>
        <w:adjustRightInd w:val="0"/>
        <w:snapToGrid w:val="0"/>
        <w:spacing w:line="360" w:lineRule="auto"/>
        <w:ind w:left="420" w:leftChars="200"/>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4、备用发电机废气防治措施</w:t>
      </w:r>
    </w:p>
    <w:p w14:paraId="3BD727B0">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本项目应急柴油发电机废气经由自身携带的废气净化装置处理后，排口朝向绿化区域。由于应急柴油发电机仅在停电时使用，使用频率低，废气产生量较少，采取上述措施后可实现达标排放。</w:t>
      </w:r>
    </w:p>
    <w:p w14:paraId="481A6A19">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此外，本环评建议项目使用0#柴油，因其属于清洁能源，燃烧产生的污染物较少，可进一步降低排放。柴油储存在单独的房间内，严禁放置在发电机房，并符合消防要求，注意防火以避免安全隐患。</w:t>
      </w:r>
    </w:p>
    <w:p w14:paraId="38650EC9">
      <w:pPr>
        <w:spacing w:line="360" w:lineRule="auto"/>
        <w:ind w:firstLine="480" w:firstLineChars="200"/>
        <w:jc w:val="both"/>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综上所述，本项目在采取以上的废气治理措施后，废气能够实现达标排放，废气治理技术成熟可靠，技术经济可行。</w:t>
      </w:r>
    </w:p>
    <w:bookmarkEnd w:id="1002"/>
    <w:p w14:paraId="17F4F65C">
      <w:pPr>
        <w:pStyle w:val="5"/>
        <w:adjustRightInd w:val="0"/>
        <w:snapToGrid w:val="0"/>
        <w:spacing w:before="0" w:after="0" w:line="360" w:lineRule="auto"/>
        <w:rPr>
          <w:color w:val="000000" w:themeColor="text1"/>
          <w:sz w:val="28"/>
          <w:szCs w:val="28"/>
          <w14:textFill>
            <w14:solidFill>
              <w14:schemeClr w14:val="tx1"/>
            </w14:solidFill>
          </w14:textFill>
        </w:rPr>
      </w:pPr>
      <w:bookmarkStart w:id="1003" w:name="_Toc40220839"/>
      <w:bookmarkStart w:id="1004" w:name="_Toc28814764"/>
      <w:bookmarkStart w:id="1005" w:name="_Toc21529724"/>
      <w:bookmarkStart w:id="1006" w:name="_Toc27751274"/>
      <w:bookmarkStart w:id="1007" w:name="_Toc25946"/>
      <w:bookmarkStart w:id="1008" w:name="_Toc233380275"/>
      <w:r>
        <w:rPr>
          <w:color w:val="000000" w:themeColor="text1"/>
          <w:sz w:val="28"/>
          <w:szCs w:val="28"/>
          <w14:textFill>
            <w14:solidFill>
              <w14:schemeClr w14:val="tx1"/>
            </w14:solidFill>
          </w14:textFill>
        </w:rPr>
        <w:t>7.2.2废水污染防治措施可行性分析</w:t>
      </w:r>
      <w:bookmarkEnd w:id="1003"/>
      <w:bookmarkEnd w:id="1004"/>
      <w:bookmarkEnd w:id="1005"/>
      <w:bookmarkEnd w:id="1006"/>
      <w:bookmarkEnd w:id="1007"/>
      <w:bookmarkEnd w:id="1008"/>
    </w:p>
    <w:p w14:paraId="2B9BE9E3">
      <w:pPr>
        <w:autoSpaceDE w:val="0"/>
        <w:autoSpaceDN w:val="0"/>
        <w:adjustRightInd w:val="0"/>
        <w:snapToGrid w:val="0"/>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1、废水治理措施</w:t>
      </w:r>
    </w:p>
    <w:p w14:paraId="1768615D">
      <w:pPr>
        <w:autoSpaceDE w:val="0"/>
        <w:autoSpaceDN w:val="0"/>
        <w:adjustRightInd w:val="0"/>
        <w:snapToGrid w:val="0"/>
        <w:spacing w:line="360" w:lineRule="auto"/>
        <w:ind w:firstLine="480" w:firstLineChars="200"/>
        <w:jc w:val="both"/>
        <w:rPr>
          <w:sz w:val="24"/>
        </w:rPr>
      </w:pPr>
      <w:r>
        <w:rPr>
          <w:sz w:val="24"/>
        </w:rPr>
        <w:t>项目采用</w:t>
      </w:r>
      <w:r>
        <w:rPr>
          <w:rFonts w:hint="eastAsia"/>
          <w:sz w:val="24"/>
        </w:rPr>
        <w:t>生物发酵床养殖模式</w:t>
      </w:r>
      <w:r>
        <w:rPr>
          <w:sz w:val="24"/>
        </w:rPr>
        <w:t>，</w:t>
      </w:r>
      <w:r>
        <w:rPr>
          <w:rFonts w:hint="eastAsia"/>
          <w:sz w:val="24"/>
        </w:rPr>
        <w:t>不需要对畜舍进行冲洗，无冲栏废水产生，牛尿直接排到发酵垫料的垫料上，垫料里富含特殊有益微生物，能够快速被消化分解，无牛尿和冲栏废水排放。项目主要废水为办公生活污水，项目生活污水排入化粪</w:t>
      </w:r>
      <w:r>
        <w:rPr>
          <w:sz w:val="24"/>
        </w:rPr>
        <w:t>池；</w:t>
      </w:r>
      <w:r>
        <w:rPr>
          <w:rFonts w:hint="eastAsia"/>
          <w:sz w:val="24"/>
        </w:rPr>
        <w:t>定期外运</w:t>
      </w:r>
      <w:r>
        <w:rPr>
          <w:sz w:val="24"/>
        </w:rPr>
        <w:t>用作农肥，不排放。</w:t>
      </w:r>
    </w:p>
    <w:p w14:paraId="1A6BF398">
      <w:pPr>
        <w:autoSpaceDE w:val="0"/>
        <w:autoSpaceDN w:val="0"/>
        <w:adjustRightInd w:val="0"/>
        <w:snapToGrid w:val="0"/>
        <w:spacing w:line="360" w:lineRule="auto"/>
        <w:ind w:firstLine="482" w:firstLineChars="200"/>
        <w:jc w:val="both"/>
        <w:rPr>
          <w:b/>
          <w:bCs/>
          <w:color w:val="000000" w:themeColor="text1"/>
          <w:sz w:val="24"/>
          <w14:textFill>
            <w14:solidFill>
              <w14:schemeClr w14:val="tx1"/>
            </w14:solidFill>
          </w14:textFill>
        </w:rPr>
      </w:pPr>
      <w:bookmarkStart w:id="1009" w:name="_Toc28814765"/>
      <w:bookmarkStart w:id="1010" w:name="_Toc27751275"/>
      <w:bookmarkStart w:id="1011" w:name="_Toc40220840"/>
      <w:bookmarkStart w:id="1012" w:name="_Toc21529725"/>
      <w:r>
        <w:rPr>
          <w:b/>
          <w:bCs/>
          <w:color w:val="000000" w:themeColor="text1"/>
          <w:sz w:val="24"/>
          <w14:textFill>
            <w14:solidFill>
              <w14:schemeClr w14:val="tx1"/>
            </w14:solidFill>
          </w14:textFill>
        </w:rPr>
        <w:t>2、废水污染防治措施可行性分析</w:t>
      </w:r>
    </w:p>
    <w:p w14:paraId="3A6CDAA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（1）废水处理工艺的可行性</w:t>
      </w:r>
    </w:p>
    <w:p w14:paraId="58020469">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项目各养殖小区设置1个容积为</w:t>
      </w:r>
      <w:r>
        <w:rPr>
          <w:rFonts w:hint="eastAsia"/>
          <w:color w:val="EE0000"/>
          <w:sz w:val="24"/>
        </w:rPr>
        <w:t>10m</w:t>
      </w:r>
      <w:r>
        <w:rPr>
          <w:rFonts w:hint="eastAsia"/>
          <w:color w:val="EE0000"/>
          <w:sz w:val="24"/>
          <w:vertAlign w:val="superscript"/>
        </w:rPr>
        <w:t>3</w:t>
      </w:r>
      <w:r>
        <w:rPr>
          <w:rFonts w:hint="eastAsia"/>
          <w:color w:val="000000" w:themeColor="text1"/>
          <w:sz w:val="24"/>
          <w14:textFill>
            <w14:solidFill>
              <w14:schemeClr w14:val="tx1"/>
            </w14:solidFill>
          </w14:textFill>
        </w:rPr>
        <w:t>的化粪池对生活污水进行收集，设置1个</w:t>
      </w:r>
      <w:r>
        <w:rPr>
          <w:color w:val="000000" w:themeColor="text1"/>
          <w:sz w:val="24"/>
          <w14:textFill>
            <w14:solidFill>
              <w14:schemeClr w14:val="tx1"/>
            </w14:solidFill>
          </w14:textFill>
        </w:rPr>
        <w:t>100</w:t>
      </w:r>
      <w:r>
        <w:rPr>
          <w:rFonts w:hint="eastAsia"/>
          <w:color w:val="000000" w:themeColor="text1"/>
          <w:sz w:val="24"/>
          <w14:textFill>
            <w14:solidFill>
              <w14:schemeClr w14:val="tx1"/>
            </w14:solidFill>
          </w14:textFill>
        </w:rPr>
        <w:t>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初期雨水收集池暂存场内初期雨水。对照项目废水产生量进行核算可知，项目拟建化粪池容积满足7天生活污水收集，能够满足储存需求，措施可行。项目生活污水能完全被收集消纳。</w:t>
      </w:r>
    </w:p>
    <w:p w14:paraId="6F9EC938">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项目初期雨水水质较为简单，可用于项目区绿化。项目设计有</w:t>
      </w:r>
      <w:r>
        <w:rPr>
          <w:color w:val="000000" w:themeColor="text1"/>
          <w:sz w:val="24"/>
          <w14:textFill>
            <w14:solidFill>
              <w14:schemeClr w14:val="tx1"/>
            </w14:solidFill>
          </w14:textFill>
        </w:rPr>
        <w:t>100</w:t>
      </w:r>
      <w:r>
        <w:rPr>
          <w:rFonts w:hint="eastAsia"/>
          <w:color w:val="000000" w:themeColor="text1"/>
          <w:sz w:val="24"/>
          <w14:textFill>
            <w14:solidFill>
              <w14:schemeClr w14:val="tx1"/>
            </w14:solidFill>
          </w14:textFill>
        </w:rPr>
        <w:t>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初期雨水收集池暂存场内初期雨水，初期雨水收集池可储存雨天无法用于浇灌的废水，可保证雨天时废水的存储。</w:t>
      </w:r>
    </w:p>
    <w:p w14:paraId="399A67C0">
      <w:pPr>
        <w:pStyle w:val="5"/>
        <w:adjustRightInd w:val="0"/>
        <w:snapToGrid w:val="0"/>
        <w:spacing w:before="0" w:after="0" w:line="360" w:lineRule="auto"/>
        <w:rPr>
          <w:color w:val="000000" w:themeColor="text1"/>
          <w:sz w:val="28"/>
          <w:szCs w:val="28"/>
          <w14:textFill>
            <w14:solidFill>
              <w14:schemeClr w14:val="tx1"/>
            </w14:solidFill>
          </w14:textFill>
        </w:rPr>
      </w:pPr>
      <w:bookmarkStart w:id="1013" w:name="_Toc19807"/>
      <w:bookmarkStart w:id="1014" w:name="_Toc233380276"/>
      <w:r>
        <w:rPr>
          <w:color w:val="000000" w:themeColor="text1"/>
          <w:sz w:val="28"/>
          <w:szCs w:val="28"/>
          <w14:textFill>
            <w14:solidFill>
              <w14:schemeClr w14:val="tx1"/>
            </w14:solidFill>
          </w14:textFill>
        </w:rPr>
        <w:t xml:space="preserve">7.2.3 </w:t>
      </w:r>
      <w:bookmarkEnd w:id="1009"/>
      <w:bookmarkEnd w:id="1010"/>
      <w:bookmarkEnd w:id="1011"/>
      <w:bookmarkEnd w:id="1012"/>
      <w:r>
        <w:rPr>
          <w:color w:val="000000" w:themeColor="text1"/>
          <w:sz w:val="28"/>
          <w:szCs w:val="28"/>
          <w14:textFill>
            <w14:solidFill>
              <w14:schemeClr w14:val="tx1"/>
            </w14:solidFill>
          </w14:textFill>
        </w:rPr>
        <w:t>噪声防治措施及可行性分析</w:t>
      </w:r>
      <w:bookmarkEnd w:id="1013"/>
      <w:bookmarkEnd w:id="1014"/>
    </w:p>
    <w:p w14:paraId="738AF4B5">
      <w:pPr>
        <w:spacing w:line="360" w:lineRule="auto"/>
        <w:ind w:firstLine="480" w:firstLineChars="200"/>
        <w:rPr>
          <w:color w:val="000000" w:themeColor="text1"/>
          <w:sz w:val="24"/>
          <w14:textFill>
            <w14:solidFill>
              <w14:schemeClr w14:val="tx1"/>
            </w14:solidFill>
          </w14:textFill>
        </w:rPr>
      </w:pPr>
      <w:bookmarkStart w:id="1015" w:name="_Hlk93874059"/>
      <w:r>
        <w:rPr>
          <w:color w:val="000000" w:themeColor="text1"/>
          <w:sz w:val="24"/>
          <w14:textFill>
            <w14:solidFill>
              <w14:schemeClr w14:val="tx1"/>
            </w14:solidFill>
          </w14:textFill>
        </w:rPr>
        <w:t>结合项目性质，营运期噪声主要为风机、柴油发电机等设备噪声以及进出车辆噪声等。主要采取以下治理措施：</w:t>
      </w:r>
    </w:p>
    <w:p w14:paraId="34DABA4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（1）采用科学饲养方式，加强对牛舍的日常管理，合理安排饲养时间，定时投食；禁止非工作人员随意进场，减少多牛舍的干扰。</w:t>
      </w:r>
    </w:p>
    <w:p w14:paraId="4629908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（2）柴油发电机置于密闭建筑的发电机房内，采用低噪声设备，优先选用性能较好和自带消声器的设备，同时利用建筑隔声。</w:t>
      </w:r>
    </w:p>
    <w:p w14:paraId="4399AD1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（3）通风设备采用低噪声型，且其吊装设备采用减振吊装、落地式安装设备采用弹簧减振器或橡胶减振垫，进出口设软接头，风机进出口风管处安装消声设备。</w:t>
      </w:r>
    </w:p>
    <w:p w14:paraId="7991E10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（4）场内对车辆采取限速、禁鸣的要求，可以有效降低车辆运输带来的噪声；另外，运输车辆沿途必须按规范操作，尽量少鸣笛，以免对周围村民生活造成影响或因鸣笛使</w:t>
      </w:r>
      <w:r>
        <w:rPr>
          <w:rFonts w:hint="eastAsia"/>
          <w:color w:val="000000" w:themeColor="text1"/>
          <w:sz w:val="24"/>
          <w14:textFill>
            <w14:solidFill>
              <w14:schemeClr w14:val="tx1"/>
            </w14:solidFill>
          </w14:textFill>
        </w:rPr>
        <w:t>牛</w:t>
      </w:r>
      <w:r>
        <w:rPr>
          <w:color w:val="000000" w:themeColor="text1"/>
          <w:sz w:val="24"/>
          <w14:textFill>
            <w14:solidFill>
              <w14:schemeClr w14:val="tx1"/>
            </w14:solidFill>
          </w14:textFill>
        </w:rPr>
        <w:t>受到惊吓而</w:t>
      </w:r>
      <w:r>
        <w:rPr>
          <w:rFonts w:hint="eastAsia"/>
          <w:color w:val="000000" w:themeColor="text1"/>
          <w:sz w:val="24"/>
          <w14:textFill>
            <w14:solidFill>
              <w14:schemeClr w14:val="tx1"/>
            </w14:solidFill>
          </w14:textFill>
        </w:rPr>
        <w:t>牛</w:t>
      </w:r>
      <w:r>
        <w:rPr>
          <w:color w:val="000000" w:themeColor="text1"/>
          <w:sz w:val="24"/>
          <w14:textFill>
            <w14:solidFill>
              <w14:schemeClr w14:val="tx1"/>
            </w14:solidFill>
          </w14:textFill>
        </w:rPr>
        <w:t>叫，从而产生扰民。</w:t>
      </w:r>
    </w:p>
    <w:p w14:paraId="6C71F68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（5）加强场区内绿化，四周种植乔木及灌木，充分利用建筑物、绿化带阻隔声波传播。</w:t>
      </w:r>
    </w:p>
    <w:p w14:paraId="6B0B42A0">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项目营运期采取上述噪声治理措施后，厂界噪声可满足《工业企业厂界环境噪声排放标准》（GB12348-2008）中2类标准，实现达标排放；且设备进场后，日常运行维护费用较低。因此，评价认为项目营运期噪声治理措施技术经济可行。</w:t>
      </w:r>
    </w:p>
    <w:p w14:paraId="2A07ED23">
      <w:pPr>
        <w:pStyle w:val="5"/>
        <w:adjustRightInd w:val="0"/>
        <w:snapToGrid w:val="0"/>
        <w:spacing w:before="0" w:after="0" w:line="360" w:lineRule="auto"/>
        <w:rPr>
          <w:color w:val="000000" w:themeColor="text1"/>
          <w:sz w:val="28"/>
          <w:szCs w:val="28"/>
          <w14:textFill>
            <w14:solidFill>
              <w14:schemeClr w14:val="tx1"/>
            </w14:solidFill>
          </w14:textFill>
        </w:rPr>
      </w:pPr>
      <w:bookmarkStart w:id="1016" w:name="_Toc20199"/>
      <w:bookmarkStart w:id="1017" w:name="_Toc233380277"/>
      <w:r>
        <w:rPr>
          <w:color w:val="000000" w:themeColor="text1"/>
          <w:sz w:val="28"/>
          <w:szCs w:val="28"/>
          <w14:textFill>
            <w14:solidFill>
              <w14:schemeClr w14:val="tx1"/>
            </w14:solidFill>
          </w14:textFill>
        </w:rPr>
        <w:t>7.2.4固体废物的处置措施及可行性论证</w:t>
      </w:r>
      <w:bookmarkEnd w:id="1016"/>
      <w:bookmarkEnd w:id="1017"/>
    </w:p>
    <w:p w14:paraId="0D2118AE">
      <w:pPr>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w:t>
      </w:r>
      <w:r>
        <w:rPr>
          <w:rFonts w:hint="eastAsia"/>
          <w:b/>
          <w:bCs/>
          <w:color w:val="000000" w:themeColor="text1"/>
          <w:sz w:val="24"/>
          <w14:textFill>
            <w14:solidFill>
              <w14:schemeClr w14:val="tx1"/>
            </w14:solidFill>
          </w14:textFill>
        </w:rPr>
        <w:t>发酵垫料</w:t>
      </w:r>
      <w:r>
        <w:rPr>
          <w:b/>
          <w:bCs/>
          <w:color w:val="000000" w:themeColor="text1"/>
          <w:spacing w:val="-8"/>
          <w:sz w:val="24"/>
          <w14:textFill>
            <w14:solidFill>
              <w14:schemeClr w14:val="tx1"/>
            </w14:solidFill>
          </w14:textFill>
        </w:rPr>
        <w:t>处理</w:t>
      </w:r>
      <w:r>
        <w:rPr>
          <w:b/>
          <w:bCs/>
          <w:color w:val="000000" w:themeColor="text1"/>
          <w:spacing w:val="-8"/>
          <w:sz w:val="24"/>
          <w:lang w:val="zh-CN"/>
          <w14:textFill>
            <w14:solidFill>
              <w14:schemeClr w14:val="tx1"/>
            </w14:solidFill>
          </w14:textFill>
        </w:rPr>
        <w:t>措施技术可行性</w:t>
      </w:r>
    </w:p>
    <w:p w14:paraId="49BC9132">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（1）污染治理措施</w:t>
      </w:r>
    </w:p>
    <w:p w14:paraId="1C79BC2F">
      <w:pPr>
        <w:spacing w:line="360" w:lineRule="auto"/>
        <w:ind w:firstLine="480" w:firstLineChars="200"/>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牛舍采用生物菌发酵床技术，不需要对牛舍进行冲洗，无冲栏废水产生，牛尿直接排到发酵床的垫料上，垫料里富含特殊有益微生物，能够快速被消化分解，因此本项目无养殖废水排出，牛粪进入垫草垫料中，经牛踩结形成粪床。牛只产牛粪含水率为80%，粪床6个月清理一次，垫料铺设时初始含水率为10%，清理时发酵垫料含水率为50%。项目每次（每半年）清理出的废弃垫料通过汽车运至有机肥厂无害化处理，不在厂区堆存。</w:t>
      </w:r>
    </w:p>
    <w:p w14:paraId="3F9C200E">
      <w:pPr>
        <w:spacing w:line="360" w:lineRule="auto"/>
        <w:ind w:firstLine="476"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（2）治理措施可行性分析</w:t>
      </w:r>
    </w:p>
    <w:p w14:paraId="3D605887">
      <w:pPr>
        <w:spacing w:line="360" w:lineRule="auto"/>
        <w:ind w:firstLine="476" w:firstLineChars="200"/>
        <w:jc w:val="both"/>
        <w:rPr>
          <w:color w:val="000000" w:themeColor="text1"/>
          <w:spacing w:val="-1"/>
          <w:sz w:val="24"/>
          <w14:textFill>
            <w14:solidFill>
              <w14:schemeClr w14:val="tx1"/>
            </w14:solidFill>
          </w14:textFill>
        </w:rPr>
      </w:pPr>
      <w:r>
        <w:rPr>
          <w:rFonts w:hint="eastAsia"/>
          <w:color w:val="000000" w:themeColor="text1"/>
          <w:spacing w:val="-1"/>
          <w:sz w:val="24"/>
          <w14:textFill>
            <w14:solidFill>
              <w14:schemeClr w14:val="tx1"/>
            </w14:solidFill>
          </w14:textFill>
        </w:rPr>
        <w:t>本项目</w:t>
      </w:r>
      <w:r>
        <w:rPr>
          <w:color w:val="000000" w:themeColor="text1"/>
          <w:spacing w:val="-1"/>
          <w:sz w:val="24"/>
          <w14:textFill>
            <w14:solidFill>
              <w14:schemeClr w14:val="tx1"/>
            </w14:solidFill>
          </w14:textFill>
        </w:rPr>
        <w:t>资源综合利用，符合《排污许可证申请与核发技术规范 畜禽养殖行业》（HJ1029-2019）中相关要求，</w:t>
      </w:r>
      <w:r>
        <w:rPr>
          <w:rFonts w:hint="eastAsia"/>
          <w:color w:val="000000" w:themeColor="text1"/>
          <w:spacing w:val="-1"/>
          <w:sz w:val="24"/>
          <w14:textFill>
            <w14:solidFill>
              <w14:schemeClr w14:val="tx1"/>
            </w14:solidFill>
          </w14:textFill>
        </w:rPr>
        <w:t>废弃垫料</w:t>
      </w:r>
      <w:r>
        <w:rPr>
          <w:color w:val="000000" w:themeColor="text1"/>
          <w:spacing w:val="-1"/>
          <w:sz w:val="24"/>
          <w14:textFill>
            <w14:solidFill>
              <w14:schemeClr w14:val="tx1"/>
            </w14:solidFill>
          </w14:textFill>
        </w:rPr>
        <w:t>处理方式及去向合理，不会对环境造成影响。</w:t>
      </w:r>
    </w:p>
    <w:p w14:paraId="050FEAC2">
      <w:pPr>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2、饲料残渣</w:t>
      </w:r>
      <w:r>
        <w:rPr>
          <w:b/>
          <w:bCs/>
          <w:color w:val="000000" w:themeColor="text1"/>
          <w:spacing w:val="-8"/>
          <w:sz w:val="24"/>
          <w14:textFill>
            <w14:solidFill>
              <w14:schemeClr w14:val="tx1"/>
            </w14:solidFill>
          </w14:textFill>
        </w:rPr>
        <w:t>处理</w:t>
      </w:r>
      <w:r>
        <w:rPr>
          <w:b/>
          <w:bCs/>
          <w:color w:val="000000" w:themeColor="text1"/>
          <w:spacing w:val="-8"/>
          <w:sz w:val="24"/>
          <w:lang w:val="zh-CN"/>
          <w14:textFill>
            <w14:solidFill>
              <w14:schemeClr w14:val="tx1"/>
            </w14:solidFill>
          </w14:textFill>
        </w:rPr>
        <w:t>措施技术可行性</w:t>
      </w:r>
    </w:p>
    <w:p w14:paraId="4EADB61E">
      <w:pPr>
        <w:spacing w:line="360" w:lineRule="auto"/>
        <w:ind w:firstLine="480" w:firstLineChars="200"/>
        <w:jc w:val="both"/>
        <w:rPr>
          <w:color w:val="000000" w:themeColor="text1"/>
          <w:spacing w:val="-1"/>
          <w:sz w:val="24"/>
          <w14:textFill>
            <w14:solidFill>
              <w14:schemeClr w14:val="tx1"/>
            </w14:solidFill>
          </w14:textFill>
        </w:rPr>
      </w:pPr>
      <w:r>
        <w:rPr>
          <w:rFonts w:hint="eastAsia"/>
          <w:color w:val="000000" w:themeColor="text1"/>
          <w:sz w:val="24"/>
          <w14:textFill>
            <w14:solidFill>
              <w14:schemeClr w14:val="tx1"/>
            </w14:solidFill>
          </w14:textFill>
        </w:rPr>
        <w:t>饲料残渣主要分布于牛舍内，定期清扫后投入牛舍作为发酵垫料，既节约了成本，可操作性高，</w:t>
      </w:r>
      <w:r>
        <w:rPr>
          <w:color w:val="000000" w:themeColor="text1"/>
          <w:spacing w:val="-1"/>
          <w:sz w:val="24"/>
          <w14:textFill>
            <w14:solidFill>
              <w14:schemeClr w14:val="tx1"/>
            </w14:solidFill>
          </w14:textFill>
        </w:rPr>
        <w:t>资源综合利用，不外排。饲料残渣去向合理，可得到资源化利用，防止对周围环境造成二次污染。</w:t>
      </w:r>
    </w:p>
    <w:p w14:paraId="567B3D79">
      <w:pPr>
        <w:spacing w:line="360" w:lineRule="auto"/>
        <w:ind w:firstLine="450" w:firstLineChars="200"/>
        <w:rPr>
          <w:color w:val="000000" w:themeColor="text1"/>
          <w:sz w:val="24"/>
          <w14:textFill>
            <w14:solidFill>
              <w14:schemeClr w14:val="tx1"/>
            </w14:solidFill>
          </w14:textFill>
        </w:rPr>
      </w:pPr>
      <w:r>
        <w:rPr>
          <w:b/>
          <w:bCs/>
          <w:color w:val="000000" w:themeColor="text1"/>
          <w:spacing w:val="-8"/>
          <w:sz w:val="24"/>
          <w14:textFill>
            <w14:solidFill>
              <w14:schemeClr w14:val="tx1"/>
            </w14:solidFill>
          </w14:textFill>
        </w:rPr>
        <w:t>3、病死</w:t>
      </w:r>
      <w:r>
        <w:rPr>
          <w:rFonts w:hint="eastAsia"/>
          <w:b/>
          <w:bCs/>
          <w:color w:val="000000" w:themeColor="text1"/>
          <w:spacing w:val="-8"/>
          <w:sz w:val="24"/>
          <w14:textFill>
            <w14:solidFill>
              <w14:schemeClr w14:val="tx1"/>
            </w14:solidFill>
          </w14:textFill>
        </w:rPr>
        <w:t>牛</w:t>
      </w:r>
      <w:r>
        <w:rPr>
          <w:b/>
          <w:bCs/>
          <w:color w:val="000000" w:themeColor="text1"/>
          <w:spacing w:val="-8"/>
          <w:sz w:val="24"/>
          <w14:textFill>
            <w14:solidFill>
              <w14:schemeClr w14:val="tx1"/>
            </w14:solidFill>
          </w14:textFill>
        </w:rPr>
        <w:t>处理</w:t>
      </w:r>
      <w:r>
        <w:rPr>
          <w:b/>
          <w:bCs/>
          <w:color w:val="000000" w:themeColor="text1"/>
          <w:spacing w:val="-8"/>
          <w:sz w:val="24"/>
          <w:lang w:val="zh-CN"/>
          <w14:textFill>
            <w14:solidFill>
              <w14:schemeClr w14:val="tx1"/>
            </w14:solidFill>
          </w14:textFill>
        </w:rPr>
        <w:t>措施技术可行性</w:t>
      </w:r>
    </w:p>
    <w:p w14:paraId="50F2332E">
      <w:pPr>
        <w:spacing w:line="360" w:lineRule="auto"/>
        <w:ind w:firstLine="480" w:firstLineChars="200"/>
        <w:jc w:val="both"/>
        <w:rPr>
          <w:color w:val="000000" w:themeColor="text1"/>
          <w:spacing w:val="-3"/>
          <w:sz w:val="24"/>
          <w14:textFill>
            <w14:solidFill>
              <w14:schemeClr w14:val="tx1"/>
            </w14:solidFill>
          </w14:textFill>
        </w:rPr>
      </w:pPr>
      <w:r>
        <w:rPr>
          <w:color w:val="000000" w:themeColor="text1"/>
          <w:sz w:val="24"/>
          <w14:textFill>
            <w14:solidFill>
              <w14:schemeClr w14:val="tx1"/>
            </w14:solidFill>
          </w14:textFill>
        </w:rPr>
        <w:t>根据《畜禽养殖业污染防治技术规范》(HJ/T81--2001）的规定：“病死禽畜尸体要及时处理，严禁随意丢弃，严禁出售或作为饲料再利用”。本项目产生的病死</w:t>
      </w:r>
      <w:r>
        <w:rPr>
          <w:rFonts w:hint="eastAsia"/>
          <w:color w:val="000000" w:themeColor="text1"/>
          <w:sz w:val="24"/>
          <w14:textFill>
            <w14:solidFill>
              <w14:schemeClr w14:val="tx1"/>
            </w14:solidFill>
          </w14:textFill>
        </w:rPr>
        <w:t>牛</w:t>
      </w:r>
      <w:r>
        <w:rPr>
          <w:color w:val="000000" w:themeColor="text1"/>
          <w:sz w:val="24"/>
          <w14:textFill>
            <w14:solidFill>
              <w14:schemeClr w14:val="tx1"/>
            </w14:solidFill>
          </w14:textFill>
        </w:rPr>
        <w:t>暂存于医疗废物暂存间的冰柜中，定期交四川科农动物无害化处理有限公司“巴中市病死畜禽集中无害化处理中心建设项目”处置。</w:t>
      </w:r>
    </w:p>
    <w:p w14:paraId="76A25EF3">
      <w:pPr>
        <w:pStyle w:val="575"/>
        <w:adjustRightInd w:val="0"/>
        <w:snapToGrid w:val="0"/>
        <w:spacing w:before="0" w:after="0"/>
        <w:rPr>
          <w:color w:val="000000" w:themeColor="text1"/>
          <w14:textFill>
            <w14:solidFill>
              <w14:schemeClr w14:val="tx1"/>
            </w14:solidFill>
          </w14:textFill>
        </w:rPr>
      </w:pPr>
      <w:r>
        <w:rPr>
          <w:color w:val="000000" w:themeColor="text1"/>
          <w:lang w:val="en-US"/>
          <w14:textFill>
            <w14:solidFill>
              <w14:schemeClr w14:val="tx1"/>
            </w14:solidFill>
          </w14:textFill>
        </w:rPr>
        <w:t>根据</w:t>
      </w:r>
      <w:r>
        <w:rPr>
          <w:color w:val="000000" w:themeColor="text1"/>
          <w14:textFill>
            <w14:solidFill>
              <w14:schemeClr w14:val="tx1"/>
            </w14:solidFill>
          </w14:textFill>
        </w:rPr>
        <w:t>巴中市农业农村局、巴中市财政局、国家金融监督管理总局巴中监管分局关于印发《巴中市病死畜禽集中无害化处理与保险联动工作实施方案》的通知（巴府办规〔2024〕6号）：“重点工作（一）全域覆盖。全市集中无害化处理工作由四川科农动物无害化处理有限公司统一收集处理，采取分区包片的方式，各县（区）按乡镇划分固定收集区域，具体区域由无害化处理中心与县（区）农业农村局共同确定，无害化处理中心和各保险公司公布各区域固定报案电话，除集中爆发重大疫情外，收集车辆、收集人员24小时内在固定收集区域内上门收集病死畜禽，确因客观原因难以及时上门收集的，应当与报案人联系并说明原因。山区、牧区、边远地区等无害化处理中心收集车辆无法到达区域的病死畜禽，需要自行处理的，经无害化处理中心确认车辆确实无法到达，乡镇畜牧兽医站（农业综合服务中心）确认符合《病死及病害动物无害化处理技术规范》和环境影响评价要求，可以自行按规定处理，留存处理过程影像资料，确保全市病死畜禽无害化处理全覆盖。”</w:t>
      </w:r>
    </w:p>
    <w:p w14:paraId="4E21780D">
      <w:pPr>
        <w:spacing w:before="34" w:line="378" w:lineRule="auto"/>
        <w:ind w:left="15" w:right="49" w:firstLine="478"/>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根据《巴中市巴州生态环境局关于“</w:t>
      </w:r>
      <w:r>
        <w:rPr>
          <w:color w:val="000000" w:themeColor="text1"/>
          <w:spacing w:val="-85"/>
          <w:sz w:val="24"/>
          <w14:textFill>
            <w14:solidFill>
              <w14:schemeClr w14:val="tx1"/>
            </w14:solidFill>
          </w14:textFill>
        </w:rPr>
        <w:t xml:space="preserve"> </w:t>
      </w:r>
      <w:r>
        <w:rPr>
          <w:color w:val="000000" w:themeColor="text1"/>
          <w:spacing w:val="-1"/>
          <w:sz w:val="24"/>
          <w14:textFill>
            <w14:solidFill>
              <w14:schemeClr w14:val="tx1"/>
            </w14:solidFill>
          </w14:textFill>
        </w:rPr>
        <w:t>巴中市病死畜</w:t>
      </w:r>
      <w:r>
        <w:rPr>
          <w:color w:val="000000" w:themeColor="text1"/>
          <w:spacing w:val="-2"/>
          <w:sz w:val="24"/>
          <w14:textFill>
            <w14:solidFill>
              <w14:schemeClr w14:val="tx1"/>
            </w14:solidFill>
          </w14:textFill>
        </w:rPr>
        <w:t>禽集中无害化处理中心建设</w:t>
      </w:r>
      <w:r>
        <w:rPr>
          <w:color w:val="000000" w:themeColor="text1"/>
          <w:spacing w:val="-7"/>
          <w:sz w:val="24"/>
          <w14:textFill>
            <w14:solidFill>
              <w14:schemeClr w14:val="tx1"/>
            </w14:solidFill>
          </w14:textFill>
        </w:rPr>
        <w:t>项目</w:t>
      </w:r>
      <w:r>
        <w:rPr>
          <w:color w:val="000000" w:themeColor="text1"/>
          <w:spacing w:val="-87"/>
          <w:sz w:val="24"/>
          <w14:textFill>
            <w14:solidFill>
              <w14:schemeClr w14:val="tx1"/>
            </w14:solidFill>
          </w14:textFill>
        </w:rPr>
        <w:t xml:space="preserve"> </w:t>
      </w:r>
      <w:r>
        <w:rPr>
          <w:color w:val="000000" w:themeColor="text1"/>
          <w:spacing w:val="-7"/>
          <w:sz w:val="24"/>
          <w14:textFill>
            <w14:solidFill>
              <w14:schemeClr w14:val="tx1"/>
            </w14:solidFill>
          </w14:textFill>
        </w:rPr>
        <w:t>”环境影响报告表的批复》（巴环境巴州审〔2023〕1号，2023年1月16日</w:t>
      </w:r>
      <w:r>
        <w:rPr>
          <w:color w:val="000000" w:themeColor="text1"/>
          <w:spacing w:val="-50"/>
          <w:sz w:val="24"/>
          <w14:textFill>
            <w14:solidFill>
              <w14:schemeClr w14:val="tx1"/>
            </w14:solidFill>
          </w14:textFill>
        </w:rPr>
        <w:t>）：</w:t>
      </w:r>
      <w:r>
        <w:rPr>
          <w:color w:val="000000" w:themeColor="text1"/>
          <w:sz w:val="24"/>
          <w14:textFill>
            <w14:solidFill>
              <w14:schemeClr w14:val="tx1"/>
            </w14:solidFill>
          </w14:textFill>
        </w:rPr>
        <w:t>该项目建设单位为四川科农动物无害化处理有限公司</w:t>
      </w:r>
      <w:r>
        <w:rPr>
          <w:color w:val="000000" w:themeColor="text1"/>
          <w:spacing w:val="-1"/>
          <w:sz w:val="24"/>
          <w14:textFill>
            <w14:solidFill>
              <w14:schemeClr w14:val="tx1"/>
            </w14:solidFill>
          </w14:textFill>
        </w:rPr>
        <w:t>，拟建地点位于巴中市巴州区光辉镇哨台村</w:t>
      </w:r>
      <w:r>
        <w:rPr>
          <w:rFonts w:eastAsia="Times New Roman"/>
          <w:color w:val="000000" w:themeColor="text1"/>
          <w:spacing w:val="-1"/>
          <w:sz w:val="24"/>
          <w14:textFill>
            <w14:solidFill>
              <w14:schemeClr w14:val="tx1"/>
            </w14:solidFill>
          </w14:textFill>
        </w:rPr>
        <w:t>5</w:t>
      </w:r>
      <w:r>
        <w:rPr>
          <w:color w:val="000000" w:themeColor="text1"/>
          <w:spacing w:val="-1"/>
          <w:sz w:val="24"/>
          <w14:textFill>
            <w14:solidFill>
              <w14:schemeClr w14:val="tx1"/>
            </w14:solidFill>
          </w14:textFill>
        </w:rPr>
        <w:t>组（巴中循环经济产业园</w:t>
      </w:r>
      <w:r>
        <w:rPr>
          <w:rFonts w:eastAsia="Times New Roman"/>
          <w:color w:val="000000" w:themeColor="text1"/>
          <w:spacing w:val="-1"/>
          <w:sz w:val="24"/>
          <w14:textFill>
            <w14:solidFill>
              <w14:schemeClr w14:val="tx1"/>
            </w14:solidFill>
          </w14:textFill>
        </w:rPr>
        <w:t>GHZ-0</w:t>
      </w:r>
      <w:r>
        <w:rPr>
          <w:rFonts w:eastAsia="Times New Roman"/>
          <w:color w:val="000000" w:themeColor="text1"/>
          <w:spacing w:val="-2"/>
          <w:sz w:val="24"/>
          <w14:textFill>
            <w14:solidFill>
              <w14:schemeClr w14:val="tx1"/>
            </w14:solidFill>
          </w14:textFill>
        </w:rPr>
        <w:t>5</w:t>
      </w:r>
      <w:r>
        <w:rPr>
          <w:color w:val="000000" w:themeColor="text1"/>
          <w:spacing w:val="-2"/>
          <w:sz w:val="24"/>
          <w14:textFill>
            <w14:solidFill>
              <w14:schemeClr w14:val="tx1"/>
            </w14:solidFill>
          </w14:textFill>
        </w:rPr>
        <w:t>号地块）。项目占地面积约</w:t>
      </w:r>
      <w:r>
        <w:rPr>
          <w:rFonts w:eastAsia="Times New Roman"/>
          <w:color w:val="000000" w:themeColor="text1"/>
          <w:spacing w:val="-2"/>
          <w:sz w:val="24"/>
          <w14:textFill>
            <w14:solidFill>
              <w14:schemeClr w14:val="tx1"/>
            </w14:solidFill>
          </w14:textFill>
        </w:rPr>
        <w:t>18135.4m</w:t>
      </w:r>
      <w:r>
        <w:rPr>
          <w:rFonts w:eastAsia="Times New Roman"/>
          <w:color w:val="000000" w:themeColor="text1"/>
          <w:spacing w:val="-2"/>
          <w:position w:val="8"/>
          <w:sz w:val="15"/>
          <w:szCs w:val="15"/>
          <w14:textFill>
            <w14:solidFill>
              <w14:schemeClr w14:val="tx1"/>
            </w14:solidFill>
          </w14:textFill>
        </w:rPr>
        <w:t>2</w:t>
      </w:r>
      <w:r>
        <w:rPr>
          <w:rFonts w:eastAsia="Times New Roman"/>
          <w:color w:val="000000" w:themeColor="text1"/>
          <w:spacing w:val="-10"/>
          <w:position w:val="8"/>
          <w:sz w:val="15"/>
          <w:szCs w:val="15"/>
          <w14:textFill>
            <w14:solidFill>
              <w14:schemeClr w14:val="tx1"/>
            </w14:solidFill>
          </w14:textFill>
        </w:rPr>
        <w:t xml:space="preserve"> </w:t>
      </w:r>
      <w:r>
        <w:rPr>
          <w:color w:val="000000" w:themeColor="text1"/>
          <w:spacing w:val="-2"/>
          <w:sz w:val="24"/>
          <w14:textFill>
            <w14:solidFill>
              <w14:schemeClr w14:val="tx1"/>
            </w14:solidFill>
          </w14:textFill>
        </w:rPr>
        <w:t>，</w:t>
      </w:r>
      <w:r>
        <w:rPr>
          <w:color w:val="000000" w:themeColor="text1"/>
          <w:spacing w:val="-1"/>
          <w:sz w:val="24"/>
          <w14:textFill>
            <w14:solidFill>
              <w14:schemeClr w14:val="tx1"/>
            </w14:solidFill>
          </w14:textFill>
        </w:rPr>
        <w:t>配套干化化制设备及焚烧设备，年处理2万吨病死畜禽。已建成并投入运营。</w:t>
      </w:r>
      <w:r>
        <w:rPr>
          <w:b/>
          <w:bCs/>
          <w:color w:val="000000" w:themeColor="text1"/>
          <w:spacing w:val="-1"/>
          <w:sz w:val="24"/>
          <w14:textFill>
            <w14:solidFill>
              <w14:schemeClr w14:val="tx1"/>
            </w14:solidFill>
          </w14:textFill>
        </w:rPr>
        <w:t>2025年3月3日，</w:t>
      </w:r>
      <w:r>
        <w:rPr>
          <w:b/>
          <w:bCs/>
          <w:color w:val="000000" w:themeColor="text1"/>
          <w:sz w:val="24"/>
          <w14:textFill>
            <w14:solidFill>
              <w14:schemeClr w14:val="tx1"/>
            </w14:solidFill>
          </w14:textFill>
        </w:rPr>
        <w:t>四川科农动物无害化处理有限公司巴中市病死畜禽集中无害化处理中心建设项目取得《</w:t>
      </w:r>
      <w:r>
        <w:rPr>
          <w:b/>
          <w:bCs/>
          <w:color w:val="000000" w:themeColor="text1"/>
          <w:spacing w:val="-1"/>
          <w:sz w:val="24"/>
          <w14:textFill>
            <w14:solidFill>
              <w14:schemeClr w14:val="tx1"/>
            </w14:solidFill>
          </w14:textFill>
        </w:rPr>
        <w:t>动物防疫条件合格证</w:t>
      </w:r>
      <w:r>
        <w:rPr>
          <w:b/>
          <w:bCs/>
          <w:color w:val="000000" w:themeColor="text1"/>
          <w:sz w:val="24"/>
          <w14:textFill>
            <w14:solidFill>
              <w14:schemeClr w14:val="tx1"/>
            </w14:solidFill>
          </w14:textFill>
        </w:rPr>
        <w:t>》</w:t>
      </w:r>
      <w:r>
        <w:rPr>
          <w:b/>
          <w:bCs/>
          <w:color w:val="000000" w:themeColor="text1"/>
          <w:spacing w:val="-1"/>
          <w:sz w:val="24"/>
          <w14:textFill>
            <w14:solidFill>
              <w14:schemeClr w14:val="tx1"/>
            </w14:solidFill>
          </w14:textFill>
        </w:rPr>
        <w:t>（巴巴</w:t>
      </w:r>
      <w:r>
        <w:rPr>
          <w:rFonts w:hint="eastAsia"/>
          <w:b/>
          <w:bCs/>
          <w:color w:val="000000" w:themeColor="text1"/>
          <w:spacing w:val="-1"/>
          <w:sz w:val="24"/>
          <w14:textFill>
            <w14:solidFill>
              <w14:schemeClr w14:val="tx1"/>
            </w14:solidFill>
          </w14:textFill>
        </w:rPr>
        <w:t>）</w:t>
      </w:r>
      <w:r>
        <w:rPr>
          <w:b/>
          <w:bCs/>
          <w:color w:val="000000" w:themeColor="text1"/>
          <w:spacing w:val="-1"/>
          <w:sz w:val="24"/>
          <w14:textFill>
            <w14:solidFill>
              <w14:schemeClr w14:val="tx1"/>
            </w14:solidFill>
          </w14:textFill>
        </w:rPr>
        <w:t>动防合字第20250008号，目前该无害化中心已经正常运行。</w:t>
      </w:r>
    </w:p>
    <w:p w14:paraId="75077A96">
      <w:pPr>
        <w:spacing w:before="34" w:line="378" w:lineRule="auto"/>
        <w:ind w:left="15" w:right="49" w:firstLine="478"/>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本项目位于巴中市巴州区，属于该资质单位处置服役范围，并且本项目目前已与该公司签订了处置协议（协议见附件），病死</w:t>
      </w:r>
      <w:r>
        <w:rPr>
          <w:rFonts w:hint="eastAsia"/>
          <w:color w:val="000000" w:themeColor="text1"/>
          <w:spacing w:val="-1"/>
          <w:sz w:val="24"/>
          <w14:textFill>
            <w14:solidFill>
              <w14:schemeClr w14:val="tx1"/>
            </w14:solidFill>
          </w14:textFill>
        </w:rPr>
        <w:t>牛</w:t>
      </w:r>
      <w:r>
        <w:rPr>
          <w:color w:val="000000" w:themeColor="text1"/>
          <w:spacing w:val="-1"/>
          <w:sz w:val="24"/>
          <w14:textFill>
            <w14:solidFill>
              <w14:schemeClr w14:val="tx1"/>
            </w14:solidFill>
          </w14:textFill>
        </w:rPr>
        <w:t>运输由该单位专人收集、专车运输、及时收集、及时处置。</w:t>
      </w:r>
    </w:p>
    <w:p w14:paraId="3AF6D3F7">
      <w:pPr>
        <w:spacing w:before="34" w:line="378" w:lineRule="auto"/>
        <w:ind w:left="15" w:right="49" w:firstLine="478"/>
        <w:rPr>
          <w:color w:val="000000" w:themeColor="text1"/>
          <w:spacing w:val="-1"/>
          <w:sz w:val="24"/>
          <w14:textFill>
            <w14:solidFill>
              <w14:schemeClr w14:val="tx1"/>
            </w14:solidFill>
          </w14:textFill>
        </w:rPr>
      </w:pPr>
      <w:r>
        <w:rPr>
          <w:color w:val="000000" w:themeColor="text1"/>
          <w:sz w:val="24"/>
          <w14:textFill>
            <w14:solidFill>
              <w14:schemeClr w14:val="tx1"/>
            </w14:solidFill>
          </w14:textFill>
        </w:rPr>
        <w:t>综上所述，本项目病死牛处理措施合理可行。</w:t>
      </w:r>
    </w:p>
    <w:p w14:paraId="2A2E6DCB">
      <w:pPr>
        <w:spacing w:line="360" w:lineRule="auto"/>
        <w:ind w:firstLine="450" w:firstLineChars="200"/>
        <w:rPr>
          <w:b/>
          <w:bCs/>
          <w:color w:val="000000" w:themeColor="text1"/>
          <w:spacing w:val="-8"/>
          <w:sz w:val="24"/>
          <w14:textFill>
            <w14:solidFill>
              <w14:schemeClr w14:val="tx1"/>
            </w14:solidFill>
          </w14:textFill>
        </w:rPr>
      </w:pPr>
      <w:r>
        <w:rPr>
          <w:b/>
          <w:bCs/>
          <w:color w:val="000000" w:themeColor="text1"/>
          <w:spacing w:val="-8"/>
          <w:sz w:val="24"/>
          <w14:textFill>
            <w14:solidFill>
              <w14:schemeClr w14:val="tx1"/>
            </w14:solidFill>
          </w14:textFill>
        </w:rPr>
        <w:t>4、危险废物、动物医疗废物处置措施及其可行性论证</w:t>
      </w:r>
    </w:p>
    <w:p w14:paraId="000ABD78">
      <w:pPr>
        <w:spacing w:line="360" w:lineRule="auto"/>
        <w:ind w:firstLine="476" w:firstLineChars="200"/>
        <w:rPr>
          <w:color w:val="000000" w:themeColor="text1"/>
          <w:spacing w:val="-1"/>
          <w:sz w:val="24"/>
          <w14:textFill>
            <w14:solidFill>
              <w14:schemeClr w14:val="tx1"/>
            </w14:solidFill>
          </w14:textFill>
        </w:rPr>
      </w:pPr>
      <w:r>
        <w:rPr>
          <w:rFonts w:hint="eastAsia"/>
          <w:color w:val="000000" w:themeColor="text1"/>
          <w:spacing w:val="-1"/>
          <w:sz w:val="24"/>
          <w14:textFill>
            <w14:solidFill>
              <w14:schemeClr w14:val="tx1"/>
            </w14:solidFill>
          </w14:textFill>
        </w:rPr>
        <w:t>参照《动物诊疗机构管理办法》规定，项目应当参照《医疗废物管理条例》的有关规定处理医疗废弃物。根据《国家危险废物名录（2021年版）》，项目医疗废物属“HW01（841-001-01、841-002-01、841-004-01、841-005-01）”类危险废物，畜禽医疗废物收集后交由有资质单位处置。环评要求设置医疗废物暂存间，收集、贮存、转运、运输均按相关要求进行，并委托有资质的单位进行处理，禁止与生活办公垃圾进行混装，处置方案可行。</w:t>
      </w:r>
    </w:p>
    <w:p w14:paraId="1B8AAEBF">
      <w:pPr>
        <w:spacing w:line="360" w:lineRule="auto"/>
        <w:ind w:firstLine="488" w:firstLineChars="200"/>
        <w:rPr>
          <w:color w:val="000000" w:themeColor="text1"/>
          <w:sz w:val="24"/>
          <w14:textFill>
            <w14:solidFill>
              <w14:schemeClr w14:val="tx1"/>
            </w14:solidFill>
          </w14:textFill>
        </w:rPr>
      </w:pPr>
      <w:r>
        <w:rPr>
          <w:color w:val="000000" w:themeColor="text1"/>
          <w:spacing w:val="2"/>
          <w:sz w:val="24"/>
          <w14:textFill>
            <w14:solidFill>
              <w14:schemeClr w14:val="tx1"/>
            </w14:solidFill>
          </w14:textFill>
        </w:rPr>
        <w:t>本环评要求危险废物暂存间设计</w:t>
      </w:r>
      <w:r>
        <w:rPr>
          <w:color w:val="000000" w:themeColor="text1"/>
          <w:spacing w:val="-2"/>
          <w:sz w:val="24"/>
          <w14:textFill>
            <w14:solidFill>
              <w14:schemeClr w14:val="tx1"/>
            </w14:solidFill>
          </w14:textFill>
        </w:rPr>
        <w:t>原则及要求如下：</w:t>
      </w:r>
    </w:p>
    <w:p w14:paraId="325EA4D0">
      <w:pPr>
        <w:spacing w:line="360" w:lineRule="auto"/>
        <w:ind w:firstLine="484" w:firstLineChars="200"/>
        <w:jc w:val="both"/>
        <w:rPr>
          <w:color w:val="000000" w:themeColor="text1"/>
          <w:sz w:val="24"/>
          <w14:textFill>
            <w14:solidFill>
              <w14:schemeClr w14:val="tx1"/>
            </w14:solidFill>
          </w14:textFill>
        </w:rPr>
      </w:pPr>
      <w:r>
        <w:rPr>
          <w:rFonts w:eastAsia="Times New Roman"/>
          <w:color w:val="000000" w:themeColor="text1"/>
          <w:spacing w:val="1"/>
          <w:sz w:val="24"/>
          <w14:textFill>
            <w14:solidFill>
              <w14:schemeClr w14:val="tx1"/>
            </w14:solidFill>
          </w14:textFill>
        </w:rPr>
        <w:t>1</w:t>
      </w:r>
      <w:r>
        <w:rPr>
          <w:color w:val="000000" w:themeColor="text1"/>
          <w:spacing w:val="1"/>
          <w:sz w:val="24"/>
          <w14:textFill>
            <w14:solidFill>
              <w14:schemeClr w14:val="tx1"/>
            </w14:solidFill>
          </w14:textFill>
        </w:rPr>
        <w:t>）</w:t>
      </w:r>
      <w:r>
        <w:rPr>
          <w:rFonts w:hint="eastAsia"/>
          <w:color w:val="000000" w:themeColor="text1"/>
          <w:spacing w:val="1"/>
          <w:sz w:val="24"/>
          <w14:textFill>
            <w14:solidFill>
              <w14:schemeClr w14:val="tx1"/>
            </w14:solidFill>
          </w14:textFill>
        </w:rPr>
        <w:t>医</w:t>
      </w:r>
      <w:r>
        <w:rPr>
          <w:color w:val="000000" w:themeColor="text1"/>
          <w:spacing w:val="1"/>
          <w:sz w:val="24"/>
          <w14:textFill>
            <w14:solidFill>
              <w14:schemeClr w14:val="tx1"/>
            </w14:solidFill>
          </w14:textFill>
        </w:rPr>
        <w:t>废暂存间地面采取重点防渗措施，防渗技术要求需满足</w:t>
      </w:r>
      <w:r>
        <w:rPr>
          <w:color w:val="000000" w:themeColor="text1"/>
          <w:sz w:val="24"/>
          <w14:textFill>
            <w14:solidFill>
              <w14:schemeClr w14:val="tx1"/>
            </w14:solidFill>
          </w14:textFill>
        </w:rPr>
        <w:t>防渗层为至少1m厚黏土层（渗透系数不大于10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 xml:space="preserve"> cm/s），或至少2 mm 厚高密度聚乙烯膜等人工防渗材料（渗透系数不大于10</w:t>
      </w:r>
      <w:r>
        <w:rPr>
          <w:color w:val="000000" w:themeColor="text1"/>
          <w:sz w:val="24"/>
          <w:vertAlign w:val="superscript"/>
          <w14:textFill>
            <w14:solidFill>
              <w14:schemeClr w14:val="tx1"/>
            </w14:solidFill>
          </w14:textFill>
        </w:rPr>
        <w:t>-10</w:t>
      </w:r>
      <w:r>
        <w:rPr>
          <w:color w:val="000000" w:themeColor="text1"/>
          <w:sz w:val="24"/>
          <w14:textFill>
            <w14:solidFill>
              <w14:schemeClr w14:val="tx1"/>
            </w14:solidFill>
          </w14:textFill>
        </w:rPr>
        <w:t xml:space="preserve"> cm/s）</w:t>
      </w:r>
      <w:r>
        <w:rPr>
          <w:color w:val="000000" w:themeColor="text1"/>
          <w:spacing w:val="1"/>
          <w:sz w:val="24"/>
          <w14:textFill>
            <w14:solidFill>
              <w14:schemeClr w14:val="tx1"/>
            </w14:solidFill>
          </w14:textFill>
        </w:rPr>
        <w:t>，</w:t>
      </w:r>
      <w:r>
        <w:rPr>
          <w:rFonts w:hint="eastAsia"/>
          <w:color w:val="000000" w:themeColor="text1"/>
          <w:spacing w:val="2"/>
          <w:sz w:val="24"/>
          <w14:textFill>
            <w14:solidFill>
              <w14:schemeClr w14:val="tx1"/>
            </w14:solidFill>
          </w14:textFill>
        </w:rPr>
        <w:t>医</w:t>
      </w:r>
      <w:r>
        <w:rPr>
          <w:color w:val="000000" w:themeColor="text1"/>
          <w:spacing w:val="2"/>
          <w:sz w:val="24"/>
          <w14:textFill>
            <w14:solidFill>
              <w14:schemeClr w14:val="tx1"/>
            </w14:solidFill>
          </w14:textFill>
        </w:rPr>
        <w:t>废暂存间</w:t>
      </w:r>
      <w:r>
        <w:rPr>
          <w:color w:val="000000" w:themeColor="text1"/>
          <w:spacing w:val="1"/>
          <w:sz w:val="24"/>
          <w14:textFill>
            <w14:solidFill>
              <w14:schemeClr w14:val="tx1"/>
            </w14:solidFill>
          </w14:textFill>
        </w:rPr>
        <w:t>满足</w:t>
      </w:r>
      <w:r>
        <w:rPr>
          <w:color w:val="000000" w:themeColor="text1"/>
          <w:spacing w:val="2"/>
          <w:sz w:val="24"/>
          <w14:textFill>
            <w14:solidFill>
              <w14:schemeClr w14:val="tx1"/>
            </w14:solidFill>
          </w14:textFill>
        </w:rPr>
        <w:t>《危险废物贮存污染控制标准》（</w:t>
      </w:r>
      <w:r>
        <w:rPr>
          <w:rFonts w:eastAsia="Times New Roman"/>
          <w:color w:val="000000" w:themeColor="text1"/>
          <w:sz w:val="24"/>
          <w14:textFill>
            <w14:solidFill>
              <w14:schemeClr w14:val="tx1"/>
            </w14:solidFill>
          </w14:textFill>
        </w:rPr>
        <w:t>GB</w:t>
      </w:r>
      <w:r>
        <w:rPr>
          <w:rFonts w:eastAsia="Times New Roman"/>
          <w:color w:val="000000" w:themeColor="text1"/>
          <w:spacing w:val="2"/>
          <w:sz w:val="24"/>
          <w14:textFill>
            <w14:solidFill>
              <w14:schemeClr w14:val="tx1"/>
            </w14:solidFill>
          </w14:textFill>
        </w:rPr>
        <w:t>18597-2</w:t>
      </w:r>
      <w:r>
        <w:rPr>
          <w:rFonts w:eastAsia="Times New Roman"/>
          <w:color w:val="000000" w:themeColor="text1"/>
          <w:spacing w:val="1"/>
          <w:sz w:val="24"/>
          <w14:textFill>
            <w14:solidFill>
              <w14:schemeClr w14:val="tx1"/>
            </w14:solidFill>
          </w14:textFill>
        </w:rPr>
        <w:t>023</w:t>
      </w:r>
      <w:r>
        <w:rPr>
          <w:color w:val="000000" w:themeColor="text1"/>
          <w:spacing w:val="12"/>
          <w:sz w:val="24"/>
          <w14:textFill>
            <w14:solidFill>
              <w14:schemeClr w14:val="tx1"/>
            </w14:solidFill>
          </w14:textFill>
        </w:rPr>
        <w:t>）</w:t>
      </w:r>
      <w:r>
        <w:rPr>
          <w:color w:val="000000" w:themeColor="text1"/>
          <w:spacing w:val="-2"/>
          <w:sz w:val="24"/>
          <w14:textFill>
            <w14:solidFill>
              <w14:schemeClr w14:val="tx1"/>
            </w14:solidFill>
          </w14:textFill>
        </w:rPr>
        <w:t>；</w:t>
      </w:r>
    </w:p>
    <w:p w14:paraId="73E587B7">
      <w:pPr>
        <w:spacing w:line="360" w:lineRule="auto"/>
        <w:ind w:firstLine="476" w:firstLineChars="200"/>
        <w:rPr>
          <w:color w:val="000000" w:themeColor="text1"/>
          <w:sz w:val="24"/>
          <w14:textFill>
            <w14:solidFill>
              <w14:schemeClr w14:val="tx1"/>
            </w14:solidFill>
          </w14:textFill>
        </w:rPr>
      </w:pPr>
      <w:r>
        <w:rPr>
          <w:rFonts w:eastAsia="Times New Roman"/>
          <w:color w:val="000000" w:themeColor="text1"/>
          <w:spacing w:val="-1"/>
          <w:sz w:val="24"/>
          <w14:textFill>
            <w14:solidFill>
              <w14:schemeClr w14:val="tx1"/>
            </w14:solidFill>
          </w14:textFill>
        </w:rPr>
        <w:t>2</w:t>
      </w:r>
      <w:r>
        <w:rPr>
          <w:color w:val="000000" w:themeColor="text1"/>
          <w:spacing w:val="-1"/>
          <w:sz w:val="24"/>
          <w14:textFill>
            <w14:solidFill>
              <w14:schemeClr w14:val="tx1"/>
            </w14:solidFill>
          </w14:textFill>
        </w:rPr>
        <w:t>）暂存间应远离办公区、生活区等人员密集或环境敏感区域</w:t>
      </w:r>
      <w:r>
        <w:rPr>
          <w:color w:val="000000" w:themeColor="text1"/>
          <w:spacing w:val="-2"/>
          <w:sz w:val="24"/>
          <w14:textFill>
            <w14:solidFill>
              <w14:schemeClr w14:val="tx1"/>
            </w14:solidFill>
          </w14:textFill>
        </w:rPr>
        <w:t>；</w:t>
      </w:r>
    </w:p>
    <w:p w14:paraId="4794749C">
      <w:pPr>
        <w:spacing w:line="360" w:lineRule="auto"/>
        <w:ind w:firstLine="480" w:firstLineChars="200"/>
        <w:rPr>
          <w:color w:val="000000" w:themeColor="text1"/>
          <w:sz w:val="24"/>
          <w14:textFill>
            <w14:solidFill>
              <w14:schemeClr w14:val="tx1"/>
            </w14:solidFill>
          </w14:textFill>
        </w:rPr>
      </w:pPr>
      <w:r>
        <w:rPr>
          <w:rFonts w:eastAsia="Times New Roman"/>
          <w:color w:val="000000" w:themeColor="text1"/>
          <w:sz w:val="24"/>
          <w14:textFill>
            <w14:solidFill>
              <w14:schemeClr w14:val="tx1"/>
            </w14:solidFill>
          </w14:textFill>
        </w:rPr>
        <w:t>3</w:t>
      </w:r>
      <w:r>
        <w:rPr>
          <w:color w:val="000000" w:themeColor="text1"/>
          <w:sz w:val="24"/>
          <w14:textFill>
            <w14:solidFill>
              <w14:schemeClr w14:val="tx1"/>
            </w14:solidFill>
          </w14:textFill>
        </w:rPr>
        <w:t>）暂存间应全封闭设计，防止异味扩散和污染物外泄；</w:t>
      </w:r>
    </w:p>
    <w:p w14:paraId="254A6BB3">
      <w:pPr>
        <w:spacing w:line="360" w:lineRule="auto"/>
        <w:ind w:firstLine="472" w:firstLineChars="200"/>
        <w:rPr>
          <w:color w:val="000000" w:themeColor="text1"/>
          <w:sz w:val="24"/>
          <w14:textFill>
            <w14:solidFill>
              <w14:schemeClr w14:val="tx1"/>
            </w14:solidFill>
          </w14:textFill>
        </w:rPr>
      </w:pPr>
      <w:r>
        <w:rPr>
          <w:rFonts w:eastAsia="Times New Roman"/>
          <w:color w:val="000000" w:themeColor="text1"/>
          <w:spacing w:val="-2"/>
          <w:sz w:val="24"/>
          <w14:textFill>
            <w14:solidFill>
              <w14:schemeClr w14:val="tx1"/>
            </w14:solidFill>
          </w14:textFill>
        </w:rPr>
        <w:t>4</w:t>
      </w:r>
      <w:r>
        <w:rPr>
          <w:color w:val="000000" w:themeColor="text1"/>
          <w:spacing w:val="-2"/>
          <w:sz w:val="24"/>
          <w14:textFill>
            <w14:solidFill>
              <w14:schemeClr w14:val="tx1"/>
            </w14:solidFill>
          </w14:textFill>
        </w:rPr>
        <w:t>）</w:t>
      </w:r>
      <w:r>
        <w:rPr>
          <w:rFonts w:hint="eastAsia"/>
          <w:color w:val="000000" w:themeColor="text1"/>
          <w:sz w:val="24"/>
          <w14:textFill>
            <w14:solidFill>
              <w14:schemeClr w14:val="tx1"/>
            </w14:solidFill>
          </w14:textFill>
        </w:rPr>
        <w:t>医</w:t>
      </w:r>
      <w:r>
        <w:rPr>
          <w:color w:val="000000" w:themeColor="text1"/>
          <w:sz w:val="24"/>
          <w14:textFill>
            <w14:solidFill>
              <w14:schemeClr w14:val="tx1"/>
            </w14:solidFill>
          </w14:textFill>
        </w:rPr>
        <w:t>废暂存间要求防火、防爆、防风、防雨、防渗漏，并设有通风设施；</w:t>
      </w:r>
      <w:r>
        <w:rPr>
          <w:rFonts w:hint="eastAsia"/>
          <w:color w:val="000000" w:themeColor="text1"/>
          <w:sz w:val="24"/>
          <w14:textFill>
            <w14:solidFill>
              <w14:schemeClr w14:val="tx1"/>
            </w14:solidFill>
          </w14:textFill>
        </w:rPr>
        <w:t>医</w:t>
      </w:r>
      <w:r>
        <w:rPr>
          <w:color w:val="000000" w:themeColor="text1"/>
          <w:sz w:val="24"/>
          <w14:textFill>
            <w14:solidFill>
              <w14:schemeClr w14:val="tx1"/>
            </w14:solidFill>
          </w14:textFill>
        </w:rPr>
        <w:t>废库拟采取人工防渗措施和废液收集措施，并对</w:t>
      </w:r>
      <w:r>
        <w:rPr>
          <w:rFonts w:hint="eastAsia"/>
          <w:color w:val="000000" w:themeColor="text1"/>
          <w:sz w:val="24"/>
          <w14:textFill>
            <w14:solidFill>
              <w14:schemeClr w14:val="tx1"/>
            </w14:solidFill>
          </w14:textFill>
        </w:rPr>
        <w:t>医</w:t>
      </w:r>
      <w:r>
        <w:rPr>
          <w:color w:val="000000" w:themeColor="text1"/>
          <w:sz w:val="24"/>
          <w14:textFill>
            <w14:solidFill>
              <w14:schemeClr w14:val="tx1"/>
            </w14:solidFill>
          </w14:textFill>
        </w:rPr>
        <w:t>废暂存设施、场所设置危险废物识别标志；</w:t>
      </w:r>
    </w:p>
    <w:p w14:paraId="33128280">
      <w:pPr>
        <w:spacing w:line="360" w:lineRule="auto"/>
        <w:ind w:firstLine="476" w:firstLineChars="200"/>
        <w:rPr>
          <w:color w:val="000000" w:themeColor="text1"/>
          <w:spacing w:val="-1"/>
          <w:sz w:val="24"/>
          <w14:textFill>
            <w14:solidFill>
              <w14:schemeClr w14:val="tx1"/>
            </w14:solidFill>
          </w14:textFill>
        </w:rPr>
      </w:pPr>
      <w:r>
        <w:rPr>
          <w:rFonts w:eastAsia="Times New Roman"/>
          <w:color w:val="000000" w:themeColor="text1"/>
          <w:spacing w:val="-1"/>
          <w:sz w:val="24"/>
          <w14:textFill>
            <w14:solidFill>
              <w14:schemeClr w14:val="tx1"/>
            </w14:solidFill>
          </w14:textFill>
        </w:rPr>
        <w:t>5</w:t>
      </w:r>
      <w:r>
        <w:rPr>
          <w:color w:val="000000" w:themeColor="text1"/>
          <w:spacing w:val="-1"/>
          <w:sz w:val="24"/>
          <w14:textFill>
            <w14:solidFill>
              <w14:schemeClr w14:val="tx1"/>
            </w14:solidFill>
          </w14:textFill>
        </w:rPr>
        <w:t>）设施内要有安全照明设施和通风设施，符合消防要求，配备灭火器材和火灾报警装置；</w:t>
      </w:r>
    </w:p>
    <w:p w14:paraId="6825457C">
      <w:pPr>
        <w:spacing w:line="360" w:lineRule="auto"/>
        <w:ind w:firstLine="476" w:firstLineChars="200"/>
        <w:rPr>
          <w:color w:val="000000" w:themeColor="text1"/>
          <w:sz w:val="24"/>
          <w14:textFill>
            <w14:solidFill>
              <w14:schemeClr w14:val="tx1"/>
            </w14:solidFill>
          </w14:textFill>
        </w:rPr>
      </w:pPr>
      <w:r>
        <w:rPr>
          <w:rFonts w:eastAsia="Times New Roman"/>
          <w:color w:val="000000" w:themeColor="text1"/>
          <w:spacing w:val="-1"/>
          <w:sz w:val="24"/>
          <w14:textFill>
            <w14:solidFill>
              <w14:schemeClr w14:val="tx1"/>
            </w14:solidFill>
          </w14:textFill>
        </w:rPr>
        <w:t>6</w:t>
      </w:r>
      <w:r>
        <w:rPr>
          <w:color w:val="000000" w:themeColor="text1"/>
          <w:spacing w:val="-1"/>
          <w:sz w:val="24"/>
          <w14:textFill>
            <w14:solidFill>
              <w14:schemeClr w14:val="tx1"/>
            </w14:solidFill>
          </w14:textFill>
        </w:rPr>
        <w:t>）</w:t>
      </w:r>
      <w:r>
        <w:rPr>
          <w:color w:val="000000" w:themeColor="text1"/>
          <w:sz w:val="24"/>
          <w14:textFill>
            <w14:solidFill>
              <w14:schemeClr w14:val="tx1"/>
            </w14:solidFill>
          </w14:textFill>
        </w:rPr>
        <w:t>对运输</w:t>
      </w:r>
      <w:r>
        <w:rPr>
          <w:rFonts w:hint="eastAsia"/>
          <w:color w:val="000000" w:themeColor="text1"/>
          <w:sz w:val="24"/>
          <w14:textFill>
            <w14:solidFill>
              <w14:schemeClr w14:val="tx1"/>
            </w14:solidFill>
          </w14:textFill>
        </w:rPr>
        <w:t>医</w:t>
      </w:r>
      <w:r>
        <w:rPr>
          <w:color w:val="000000" w:themeColor="text1"/>
          <w:sz w:val="24"/>
          <w14:textFill>
            <w14:solidFill>
              <w14:schemeClr w14:val="tx1"/>
            </w14:solidFill>
          </w14:textFill>
        </w:rPr>
        <w:t>险废物的设施和设备应当加强管理和维护，保证其正常运行和使用；</w:t>
      </w:r>
    </w:p>
    <w:p w14:paraId="78E78FD8">
      <w:pPr>
        <w:spacing w:line="360" w:lineRule="auto"/>
        <w:ind w:firstLine="472" w:firstLineChars="200"/>
        <w:rPr>
          <w:color w:val="000000" w:themeColor="text1"/>
          <w:sz w:val="24"/>
          <w14:textFill>
            <w14:solidFill>
              <w14:schemeClr w14:val="tx1"/>
            </w14:solidFill>
          </w14:textFill>
        </w:rPr>
      </w:pPr>
      <w:r>
        <w:rPr>
          <w:rFonts w:eastAsia="Times New Roman"/>
          <w:color w:val="000000" w:themeColor="text1"/>
          <w:spacing w:val="-2"/>
          <w:sz w:val="24"/>
          <w14:textFill>
            <w14:solidFill>
              <w14:schemeClr w14:val="tx1"/>
            </w14:solidFill>
          </w14:textFill>
        </w:rPr>
        <w:t>7</w:t>
      </w:r>
      <w:r>
        <w:rPr>
          <w:color w:val="000000" w:themeColor="text1"/>
          <w:spacing w:val="-2"/>
          <w:sz w:val="24"/>
          <w14:textFill>
            <w14:solidFill>
              <w14:schemeClr w14:val="tx1"/>
            </w14:solidFill>
          </w14:textFill>
        </w:rPr>
        <w:t>）暂存间应由专人负责管理，记录医疗废物的种类、数量、交接时间等信息。入库房时，要分类登记，医疗废物要有计量，并盛装于周转箱内；</w:t>
      </w:r>
    </w:p>
    <w:p w14:paraId="66863D97">
      <w:pPr>
        <w:spacing w:line="360" w:lineRule="auto"/>
        <w:ind w:firstLine="476" w:firstLineChars="200"/>
        <w:rPr>
          <w:color w:val="000000" w:themeColor="text1"/>
          <w:sz w:val="24"/>
          <w14:textFill>
            <w14:solidFill>
              <w14:schemeClr w14:val="tx1"/>
            </w14:solidFill>
          </w14:textFill>
        </w:rPr>
      </w:pPr>
      <w:r>
        <w:rPr>
          <w:rFonts w:eastAsia="Times New Roman"/>
          <w:color w:val="000000" w:themeColor="text1"/>
          <w:spacing w:val="-1"/>
          <w:sz w:val="24"/>
          <w14:textFill>
            <w14:solidFill>
              <w14:schemeClr w14:val="tx1"/>
            </w14:solidFill>
          </w14:textFill>
        </w:rPr>
        <w:t>8</w:t>
      </w:r>
      <w:r>
        <w:rPr>
          <w:color w:val="000000" w:themeColor="text1"/>
          <w:spacing w:val="-1"/>
          <w:sz w:val="24"/>
          <w14:textFill>
            <w14:solidFill>
              <w14:schemeClr w14:val="tx1"/>
            </w14:solidFill>
          </w14:textFill>
        </w:rPr>
        <w:t>）</w:t>
      </w:r>
      <w:r>
        <w:rPr>
          <w:color w:val="000000" w:themeColor="text1"/>
          <w:sz w:val="24"/>
          <w14:textFill>
            <w14:solidFill>
              <w14:schemeClr w14:val="tx1"/>
            </w14:solidFill>
          </w14:textFill>
        </w:rPr>
        <w:t>转移危险废物时，必须按照规定填写危险废物转移联单，并向危险废物移出地和接受地的县级以上地方人民政府生态环境行政主管部门报告；</w:t>
      </w:r>
    </w:p>
    <w:p w14:paraId="46F5A7E4">
      <w:pPr>
        <w:spacing w:line="360" w:lineRule="auto"/>
        <w:ind w:firstLine="480" w:firstLineChars="200"/>
        <w:rPr>
          <w:color w:val="000000" w:themeColor="text1"/>
          <w:spacing w:val="-1"/>
          <w:sz w:val="24"/>
          <w14:textFill>
            <w14:solidFill>
              <w14:schemeClr w14:val="tx1"/>
            </w14:solidFill>
          </w14:textFill>
        </w:rPr>
      </w:pPr>
      <w:r>
        <w:rPr>
          <w:color w:val="000000" w:themeColor="text1"/>
          <w:sz w:val="24"/>
          <w14:textFill>
            <w14:solidFill>
              <w14:schemeClr w14:val="tx1"/>
            </w14:solidFill>
          </w14:textFill>
        </w:rPr>
        <w:t>9）</w:t>
      </w:r>
      <w:r>
        <w:rPr>
          <w:color w:val="000000" w:themeColor="text1"/>
          <w:spacing w:val="-1"/>
          <w:sz w:val="24"/>
          <w14:textFill>
            <w14:solidFill>
              <w14:schemeClr w14:val="tx1"/>
            </w14:solidFill>
          </w14:textFill>
        </w:rPr>
        <w:t>库房外明显处设置危险废物警示标志；</w:t>
      </w:r>
    </w:p>
    <w:p w14:paraId="5936AE18">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10）应制定在发生意外事故时采取的应急措施和防范措施；</w:t>
      </w:r>
    </w:p>
    <w:p w14:paraId="21C1A78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11）若发生突发性事故必须立即采取措施消除或者减轻对环境的污染危害，及时通报给附近的单位和居民，并向事故发生地县级以上人民政府环境保护行政主管部门和有关部门报告，接受调查处理。</w:t>
      </w:r>
    </w:p>
    <w:p w14:paraId="1D44096F">
      <w:pPr>
        <w:pStyle w:val="1603"/>
        <w:spacing w:line="360" w:lineRule="auto"/>
        <w:ind w:firstLine="472"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根据《中华人民共和国固体废物污染环境防治法》，项目产生的危险废物收集后委托有处理资质的单位进行处理。环评要求，项目在试运营之前必须签订危险废物处置协议，落实去向，否则不得投入运营。</w:t>
      </w:r>
    </w:p>
    <w:p w14:paraId="562AADAE">
      <w:pPr>
        <w:spacing w:line="360" w:lineRule="auto"/>
        <w:ind w:firstLine="480" w:firstLineChars="200"/>
        <w:rPr>
          <w:color w:val="000000" w:themeColor="text1"/>
          <w:spacing w:val="-1"/>
          <w:sz w:val="24"/>
          <w14:textFill>
            <w14:solidFill>
              <w14:schemeClr w14:val="tx1"/>
            </w14:solidFill>
          </w14:textFill>
        </w:rPr>
      </w:pPr>
      <w:r>
        <w:rPr>
          <w:color w:val="000000" w:themeColor="text1"/>
          <w:sz w:val="24"/>
          <w14:textFill>
            <w14:solidFill>
              <w14:schemeClr w14:val="tx1"/>
            </w14:solidFill>
          </w14:textFill>
        </w:rPr>
        <w:t>在采取上述措施后，医疗废物将得到妥善的</w:t>
      </w:r>
      <w:r>
        <w:rPr>
          <w:color w:val="000000" w:themeColor="text1"/>
          <w:spacing w:val="-1"/>
          <w:sz w:val="24"/>
          <w14:textFill>
            <w14:solidFill>
              <w14:schemeClr w14:val="tx1"/>
            </w14:solidFill>
          </w14:textFill>
        </w:rPr>
        <w:t>处置，防治措施可行。</w:t>
      </w:r>
    </w:p>
    <w:p w14:paraId="3E55DB8E">
      <w:pPr>
        <w:spacing w:line="360" w:lineRule="auto"/>
        <w:ind w:firstLine="450" w:firstLineChars="200"/>
        <w:rPr>
          <w:b/>
          <w:bCs/>
          <w:color w:val="000000" w:themeColor="text1"/>
          <w:spacing w:val="-8"/>
          <w:sz w:val="24"/>
          <w14:textFill>
            <w14:solidFill>
              <w14:schemeClr w14:val="tx1"/>
            </w14:solidFill>
          </w14:textFill>
        </w:rPr>
      </w:pPr>
      <w:r>
        <w:rPr>
          <w:b/>
          <w:bCs/>
          <w:color w:val="000000" w:themeColor="text1"/>
          <w:spacing w:val="-8"/>
          <w:sz w:val="24"/>
          <w14:textFill>
            <w14:solidFill>
              <w14:schemeClr w14:val="tx1"/>
            </w14:solidFill>
          </w14:textFill>
        </w:rPr>
        <w:t>5、生活垃圾处置措施及其可行性论证</w:t>
      </w:r>
    </w:p>
    <w:p w14:paraId="7ED4AD46">
      <w:pPr>
        <w:spacing w:line="360" w:lineRule="auto"/>
        <w:ind w:firstLine="460" w:firstLineChars="200"/>
        <w:rPr>
          <w:color w:val="000000" w:themeColor="text1"/>
          <w:spacing w:val="-5"/>
          <w:sz w:val="24"/>
          <w:lang w:val="zh-CN"/>
          <w14:textFill>
            <w14:solidFill>
              <w14:schemeClr w14:val="tx1"/>
            </w14:solidFill>
          </w14:textFill>
        </w:rPr>
      </w:pPr>
      <w:r>
        <w:rPr>
          <w:color w:val="000000" w:themeColor="text1"/>
          <w:spacing w:val="-5"/>
          <w:sz w:val="24"/>
          <w14:textFill>
            <w14:solidFill>
              <w14:schemeClr w14:val="tx1"/>
            </w14:solidFill>
          </w14:textFill>
        </w:rPr>
        <w:t>生活区及场区道路两侧合理布设垃圾箱，集中收集后由当地环卫部门统一处理，</w:t>
      </w:r>
      <w:r>
        <w:rPr>
          <w:color w:val="000000" w:themeColor="text1"/>
          <w:spacing w:val="-5"/>
          <w:sz w:val="24"/>
          <w:lang w:val="zh-CN"/>
          <w14:textFill>
            <w14:solidFill>
              <w14:schemeClr w14:val="tx1"/>
            </w14:solidFill>
          </w14:textFill>
        </w:rPr>
        <w:t>对外环境影响较小。项目生活垃圾收集处置措施可行。</w:t>
      </w:r>
    </w:p>
    <w:p w14:paraId="40085CB4">
      <w:pPr>
        <w:spacing w:line="360" w:lineRule="auto"/>
        <w:ind w:firstLine="450" w:firstLineChars="200"/>
        <w:rPr>
          <w:b/>
          <w:bCs/>
          <w:color w:val="000000" w:themeColor="text1"/>
          <w:spacing w:val="-8"/>
          <w:sz w:val="24"/>
          <w:lang w:val="zh-CN"/>
          <w14:textFill>
            <w14:solidFill>
              <w14:schemeClr w14:val="tx1"/>
            </w14:solidFill>
          </w14:textFill>
        </w:rPr>
      </w:pPr>
      <w:r>
        <w:rPr>
          <w:b/>
          <w:bCs/>
          <w:color w:val="000000" w:themeColor="text1"/>
          <w:spacing w:val="-8"/>
          <w:sz w:val="24"/>
          <w14:textFill>
            <w14:solidFill>
              <w14:schemeClr w14:val="tx1"/>
            </w14:solidFill>
          </w14:textFill>
        </w:rPr>
        <w:t>6、</w:t>
      </w:r>
      <w:r>
        <w:rPr>
          <w:b/>
          <w:bCs/>
          <w:color w:val="000000" w:themeColor="text1"/>
          <w:spacing w:val="-8"/>
          <w:sz w:val="24"/>
          <w:lang w:val="zh-CN"/>
          <w14:textFill>
            <w14:solidFill>
              <w14:schemeClr w14:val="tx1"/>
            </w14:solidFill>
          </w14:textFill>
        </w:rPr>
        <w:t>餐厨垃圾（含隔油池油脂）</w:t>
      </w:r>
      <w:r>
        <w:rPr>
          <w:b/>
          <w:bCs/>
          <w:color w:val="000000" w:themeColor="text1"/>
          <w:spacing w:val="-8"/>
          <w:sz w:val="24"/>
          <w14:textFill>
            <w14:solidFill>
              <w14:schemeClr w14:val="tx1"/>
            </w14:solidFill>
          </w14:textFill>
        </w:rPr>
        <w:t>处理</w:t>
      </w:r>
      <w:r>
        <w:rPr>
          <w:b/>
          <w:bCs/>
          <w:color w:val="000000" w:themeColor="text1"/>
          <w:spacing w:val="-8"/>
          <w:sz w:val="24"/>
          <w:lang w:val="zh-CN"/>
          <w14:textFill>
            <w14:solidFill>
              <w14:schemeClr w14:val="tx1"/>
            </w14:solidFill>
          </w14:textFill>
        </w:rPr>
        <w:t>措施技术可行性</w:t>
      </w:r>
    </w:p>
    <w:p w14:paraId="1BD92C0D">
      <w:pPr>
        <w:spacing w:line="360" w:lineRule="auto"/>
        <w:ind w:firstLine="480" w:firstLineChars="200"/>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本项目餐厨垃圾产生量为</w:t>
      </w:r>
      <w:r>
        <w:rPr>
          <w:color w:val="000000" w:themeColor="text1"/>
          <w:sz w:val="24"/>
          <w14:textFill>
            <w14:solidFill>
              <w14:schemeClr w14:val="tx1"/>
            </w14:solidFill>
          </w14:textFill>
        </w:rPr>
        <w:t>2.0t/a，</w:t>
      </w:r>
      <w:r>
        <w:rPr>
          <w:color w:val="000000" w:themeColor="text1"/>
          <w:sz w:val="24"/>
          <w:lang w:val="zh-CN"/>
          <w14:textFill>
            <w14:solidFill>
              <w14:schemeClr w14:val="tx1"/>
            </w14:solidFill>
          </w14:textFill>
        </w:rPr>
        <w:t>食堂内设立密闭收集桶，餐厨垃圾（含隔油池油脂）与生活垃圾需单独收集，餐厨垃圾收集桶应设立明显警示装置，收集后交由餐厨垃圾收运单位清运处置，对外环境影响较小。项目餐厨垃圾收集处置措施可行。</w:t>
      </w:r>
    </w:p>
    <w:p w14:paraId="757BAD36">
      <w:pPr>
        <w:spacing w:line="360" w:lineRule="auto"/>
        <w:ind w:firstLine="450" w:firstLineChars="200"/>
        <w:rPr>
          <w:b/>
          <w:bCs/>
          <w:color w:val="000000" w:themeColor="text1"/>
          <w:spacing w:val="-8"/>
          <w:sz w:val="24"/>
          <w:lang w:val="zh-CN"/>
          <w14:textFill>
            <w14:solidFill>
              <w14:schemeClr w14:val="tx1"/>
            </w14:solidFill>
          </w14:textFill>
        </w:rPr>
      </w:pPr>
      <w:r>
        <w:rPr>
          <w:b/>
          <w:bCs/>
          <w:color w:val="000000" w:themeColor="text1"/>
          <w:spacing w:val="-8"/>
          <w:sz w:val="24"/>
          <w14:textFill>
            <w14:solidFill>
              <w14:schemeClr w14:val="tx1"/>
            </w14:solidFill>
          </w14:textFill>
        </w:rPr>
        <w:t>7、</w:t>
      </w:r>
      <w:r>
        <w:rPr>
          <w:b/>
          <w:bCs/>
          <w:color w:val="000000" w:themeColor="text1"/>
          <w:spacing w:val="-8"/>
          <w:sz w:val="24"/>
          <w:lang w:val="zh-CN"/>
          <w14:textFill>
            <w14:solidFill>
              <w14:schemeClr w14:val="tx1"/>
            </w14:solidFill>
          </w14:textFill>
        </w:rPr>
        <w:t>废包装材料</w:t>
      </w:r>
      <w:r>
        <w:rPr>
          <w:b/>
          <w:bCs/>
          <w:color w:val="000000" w:themeColor="text1"/>
          <w:spacing w:val="-8"/>
          <w:sz w:val="24"/>
          <w14:textFill>
            <w14:solidFill>
              <w14:schemeClr w14:val="tx1"/>
            </w14:solidFill>
          </w14:textFill>
        </w:rPr>
        <w:t>处理</w:t>
      </w:r>
      <w:r>
        <w:rPr>
          <w:b/>
          <w:bCs/>
          <w:color w:val="000000" w:themeColor="text1"/>
          <w:spacing w:val="-8"/>
          <w:sz w:val="24"/>
          <w:lang w:val="zh-CN"/>
          <w14:textFill>
            <w14:solidFill>
              <w14:schemeClr w14:val="tx1"/>
            </w14:solidFill>
          </w14:textFill>
        </w:rPr>
        <w:t>措施技术可行性</w:t>
      </w:r>
    </w:p>
    <w:p w14:paraId="312D2C46">
      <w:pPr>
        <w:spacing w:line="360" w:lineRule="auto"/>
        <w:ind w:firstLine="480" w:firstLineChars="200"/>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废包装材料主要为废塑料袋、废纸箱等，可直接外售废品收购商，处置方式可行。</w:t>
      </w:r>
    </w:p>
    <w:p w14:paraId="45703C75">
      <w:pPr>
        <w:spacing w:before="32" w:line="347" w:lineRule="auto"/>
        <w:ind w:left="8" w:right="2" w:firstLine="483"/>
        <w:rPr>
          <w:color w:val="000000" w:themeColor="text1"/>
          <w:sz w:val="24"/>
          <w14:textFill>
            <w14:solidFill>
              <w14:schemeClr w14:val="tx1"/>
            </w14:solidFill>
          </w14:textFill>
        </w:rPr>
      </w:pPr>
      <w:r>
        <w:rPr>
          <w:b/>
          <w:bCs/>
          <w:color w:val="000000" w:themeColor="text1"/>
          <w:spacing w:val="2"/>
          <w:sz w:val="24"/>
          <w14:textFill>
            <w14:solidFill>
              <w14:schemeClr w14:val="tx1"/>
            </w14:solidFill>
          </w14:textFill>
        </w:rPr>
        <w:t>综上所述，本项目各类固体废物去向明确，可得到资源化利用或无害化处置，防止</w:t>
      </w:r>
      <w:r>
        <w:rPr>
          <w:b/>
          <w:bCs/>
          <w:color w:val="000000" w:themeColor="text1"/>
          <w:spacing w:val="-3"/>
          <w:sz w:val="24"/>
          <w14:textFill>
            <w14:solidFill>
              <w14:schemeClr w14:val="tx1"/>
            </w14:solidFill>
          </w14:textFill>
        </w:rPr>
        <w:t>对周围环境造成二次污染。</w:t>
      </w:r>
    </w:p>
    <w:p w14:paraId="7DCC1BD5">
      <w:pPr>
        <w:pStyle w:val="5"/>
        <w:adjustRightInd w:val="0"/>
        <w:snapToGrid w:val="0"/>
        <w:spacing w:before="0" w:after="0" w:line="360" w:lineRule="auto"/>
        <w:rPr>
          <w:color w:val="000000" w:themeColor="text1"/>
          <w:sz w:val="28"/>
          <w:szCs w:val="28"/>
          <w14:textFill>
            <w14:solidFill>
              <w14:schemeClr w14:val="tx1"/>
            </w14:solidFill>
          </w14:textFill>
        </w:rPr>
      </w:pPr>
      <w:bookmarkStart w:id="1018" w:name="_Toc18102"/>
      <w:bookmarkStart w:id="1019" w:name="_Toc233380278"/>
      <w:r>
        <w:rPr>
          <w:color w:val="000000" w:themeColor="text1"/>
          <w:sz w:val="28"/>
          <w:szCs w:val="28"/>
          <w14:textFill>
            <w14:solidFill>
              <w14:schemeClr w14:val="tx1"/>
            </w14:solidFill>
          </w14:textFill>
        </w:rPr>
        <w:t>7.2.5地下水污染防治措施及可行性论证</w:t>
      </w:r>
      <w:bookmarkEnd w:id="1018"/>
      <w:bookmarkEnd w:id="1019"/>
    </w:p>
    <w:p w14:paraId="1A54B79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本项目地下水污染预防措施按照“源头控制、分区控制、污染监控、应急响应”的主动与被动防渗相结合的防渗原则</w:t>
      </w:r>
      <w:bookmarkEnd w:id="1015"/>
      <w:r>
        <w:rPr>
          <w:color w:val="000000" w:themeColor="text1"/>
          <w:sz w:val="24"/>
          <w14:textFill>
            <w14:solidFill>
              <w14:schemeClr w14:val="tx1"/>
            </w14:solidFill>
          </w14:textFill>
        </w:rPr>
        <w:t>，将污染物泄漏的环境风险事故降到最低程度。</w:t>
      </w:r>
    </w:p>
    <w:p w14:paraId="3F13BD0D">
      <w:pPr>
        <w:pStyle w:val="1771"/>
        <w:spacing w:line="360" w:lineRule="auto"/>
        <w:rPr>
          <w:snapToGrid w:val="0"/>
          <w:color w:val="000000" w:themeColor="text1"/>
          <w:szCs w:val="21"/>
          <w:lang w:val="en-US"/>
          <w14:textFill>
            <w14:solidFill>
              <w14:schemeClr w14:val="tx1"/>
            </w14:solidFill>
          </w14:textFill>
        </w:rPr>
      </w:pPr>
      <w:r>
        <w:rPr>
          <w:snapToGrid w:val="0"/>
          <w:color w:val="000000" w:themeColor="text1"/>
          <w:szCs w:val="21"/>
          <w14:textFill>
            <w14:solidFill>
              <w14:schemeClr w14:val="tx1"/>
            </w14:solidFill>
          </w14:textFill>
        </w:rPr>
        <w:t>表</w:t>
      </w:r>
      <w:r>
        <w:rPr>
          <w:snapToGrid w:val="0"/>
          <w:color w:val="000000" w:themeColor="text1"/>
          <w:szCs w:val="21"/>
          <w:lang w:val="en-US"/>
          <w14:textFill>
            <w14:solidFill>
              <w14:schemeClr w14:val="tx1"/>
            </w14:solidFill>
          </w14:textFill>
        </w:rPr>
        <w:t xml:space="preserve">7.2-3 </w:t>
      </w:r>
      <w:r>
        <w:rPr>
          <w:snapToGrid w:val="0"/>
          <w:color w:val="000000" w:themeColor="text1"/>
          <w:szCs w:val="21"/>
          <w14:textFill>
            <w14:solidFill>
              <w14:schemeClr w14:val="tx1"/>
            </w14:solidFill>
          </w14:textFill>
        </w:rPr>
        <w:t>项目</w:t>
      </w:r>
      <w:r>
        <w:rPr>
          <w:snapToGrid w:val="0"/>
          <w:color w:val="000000" w:themeColor="text1"/>
          <w:szCs w:val="21"/>
          <w:lang w:val="en-US"/>
          <w14:textFill>
            <w14:solidFill>
              <w14:schemeClr w14:val="tx1"/>
            </w14:solidFill>
          </w14:textFill>
        </w:rPr>
        <w:t>分区防渗表</w:t>
      </w:r>
    </w:p>
    <w:tbl>
      <w:tblPr>
        <w:tblStyle w:val="88"/>
        <w:tblW w:w="505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844"/>
        <w:gridCol w:w="2048"/>
        <w:gridCol w:w="3791"/>
      </w:tblGrid>
      <w:tr w14:paraId="3C89F7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29" w:type="pct"/>
            <w:tcBorders>
              <w:tl2br w:val="nil"/>
              <w:tr2bl w:val="nil"/>
            </w:tcBorders>
            <w:vAlign w:val="center"/>
          </w:tcPr>
          <w:p w14:paraId="7348611A">
            <w:pPr>
              <w:adjustRightInd w:val="0"/>
              <w:snapToGrid w:val="0"/>
              <w:jc w:val="center"/>
              <w:rPr>
                <w:b/>
                <w:color w:val="000000" w:themeColor="text1"/>
                <w:spacing w:val="12"/>
                <w:szCs w:val="21"/>
                <w14:textFill>
                  <w14:solidFill>
                    <w14:schemeClr w14:val="tx1"/>
                  </w14:solidFill>
                </w14:textFill>
              </w:rPr>
            </w:pPr>
            <w:r>
              <w:rPr>
                <w:b/>
                <w:color w:val="000000" w:themeColor="text1"/>
                <w:spacing w:val="12"/>
                <w:szCs w:val="21"/>
                <w14:textFill>
                  <w14:solidFill>
                    <w14:schemeClr w14:val="tx1"/>
                  </w14:solidFill>
                </w14:textFill>
              </w:rPr>
              <w:t>防渗类别</w:t>
            </w:r>
          </w:p>
        </w:tc>
        <w:tc>
          <w:tcPr>
            <w:tcW w:w="1097" w:type="pct"/>
            <w:tcBorders>
              <w:tl2br w:val="nil"/>
              <w:tr2bl w:val="nil"/>
            </w:tcBorders>
            <w:vAlign w:val="center"/>
          </w:tcPr>
          <w:p w14:paraId="3AC22A4A">
            <w:pPr>
              <w:adjustRightInd w:val="0"/>
              <w:snapToGrid w:val="0"/>
              <w:jc w:val="center"/>
              <w:rPr>
                <w:b/>
                <w:color w:val="000000" w:themeColor="text1"/>
                <w:spacing w:val="12"/>
                <w:szCs w:val="21"/>
                <w14:textFill>
                  <w14:solidFill>
                    <w14:schemeClr w14:val="tx1"/>
                  </w14:solidFill>
                </w14:textFill>
              </w:rPr>
            </w:pPr>
            <w:r>
              <w:rPr>
                <w:b/>
                <w:color w:val="000000" w:themeColor="text1"/>
                <w:spacing w:val="12"/>
                <w:szCs w:val="21"/>
                <w14:textFill>
                  <w14:solidFill>
                    <w14:schemeClr w14:val="tx1"/>
                  </w14:solidFill>
                </w14:textFill>
              </w:rPr>
              <w:t>防渗区域</w:t>
            </w:r>
          </w:p>
        </w:tc>
        <w:tc>
          <w:tcPr>
            <w:tcW w:w="1218" w:type="pct"/>
            <w:tcBorders>
              <w:tl2br w:val="nil"/>
              <w:tr2bl w:val="nil"/>
            </w:tcBorders>
            <w:vAlign w:val="center"/>
          </w:tcPr>
          <w:p w14:paraId="45DD3EDC">
            <w:pPr>
              <w:adjustRightInd w:val="0"/>
              <w:snapToGrid w:val="0"/>
              <w:jc w:val="center"/>
              <w:rPr>
                <w:b/>
                <w:color w:val="000000" w:themeColor="text1"/>
                <w:spacing w:val="12"/>
                <w:szCs w:val="21"/>
                <w14:textFill>
                  <w14:solidFill>
                    <w14:schemeClr w14:val="tx1"/>
                  </w14:solidFill>
                </w14:textFill>
              </w:rPr>
            </w:pPr>
            <w:r>
              <w:rPr>
                <w:b/>
                <w:bCs/>
                <w:color w:val="000000" w:themeColor="text1"/>
                <w:szCs w:val="21"/>
                <w14:textFill>
                  <w14:solidFill>
                    <w14:schemeClr w14:val="tx1"/>
                  </w14:solidFill>
                </w14:textFill>
              </w:rPr>
              <w:t>防渗技术要求</w:t>
            </w:r>
          </w:p>
        </w:tc>
        <w:tc>
          <w:tcPr>
            <w:tcW w:w="2254" w:type="pct"/>
            <w:tcBorders>
              <w:tl2br w:val="nil"/>
              <w:tr2bl w:val="nil"/>
            </w:tcBorders>
            <w:vAlign w:val="center"/>
          </w:tcPr>
          <w:p w14:paraId="53C15FED">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防渗措施</w:t>
            </w:r>
          </w:p>
        </w:tc>
      </w:tr>
      <w:tr w14:paraId="5527D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29" w:type="pct"/>
            <w:vMerge w:val="restart"/>
            <w:tcBorders>
              <w:tl2br w:val="nil"/>
              <w:tr2bl w:val="nil"/>
            </w:tcBorders>
            <w:vAlign w:val="center"/>
          </w:tcPr>
          <w:p w14:paraId="13E58211">
            <w:pPr>
              <w:adjustRightInd w:val="0"/>
              <w:snapToGrid w:val="0"/>
              <w:jc w:val="center"/>
              <w:rPr>
                <w:color w:val="000000" w:themeColor="text1"/>
                <w:spacing w:val="12"/>
                <w:szCs w:val="21"/>
                <w14:textFill>
                  <w14:solidFill>
                    <w14:schemeClr w14:val="tx1"/>
                  </w14:solidFill>
                </w14:textFill>
              </w:rPr>
            </w:pPr>
            <w:r>
              <w:rPr>
                <w:color w:val="000000" w:themeColor="text1"/>
                <w:spacing w:val="7"/>
                <w:szCs w:val="21"/>
                <w14:textFill>
                  <w14:solidFill>
                    <w14:schemeClr w14:val="tx1"/>
                  </w14:solidFill>
                </w14:textFill>
              </w:rPr>
              <w:t>重点防渗区</w:t>
            </w:r>
          </w:p>
        </w:tc>
        <w:tc>
          <w:tcPr>
            <w:tcW w:w="1097" w:type="pct"/>
            <w:tcBorders>
              <w:tl2br w:val="nil"/>
              <w:tr2bl w:val="nil"/>
            </w:tcBorders>
            <w:vAlign w:val="center"/>
          </w:tcPr>
          <w:p w14:paraId="66BB7082">
            <w:pPr>
              <w:adjustRightInd w:val="0"/>
              <w:snapToGrid w:val="0"/>
              <w:jc w:val="center"/>
              <w:rPr>
                <w:color w:val="000000" w:themeColor="text1"/>
                <w:spacing w:val="12"/>
                <w:szCs w:val="21"/>
                <w:highlight w:val="yellow"/>
                <w14:textFill>
                  <w14:solidFill>
                    <w14:schemeClr w14:val="tx1"/>
                  </w14:solidFill>
                </w14:textFill>
              </w:rPr>
            </w:pPr>
            <w:r>
              <w:rPr>
                <w:rFonts w:hint="eastAsia"/>
                <w:color w:val="000000" w:themeColor="text1"/>
                <w:spacing w:val="-2"/>
                <w:szCs w:val="21"/>
                <w14:textFill>
                  <w14:solidFill>
                    <w14:schemeClr w14:val="tx1"/>
                  </w14:solidFill>
                </w14:textFill>
              </w:rPr>
              <w:t>医</w:t>
            </w:r>
            <w:r>
              <w:rPr>
                <w:color w:val="000000" w:themeColor="text1"/>
                <w:spacing w:val="-2"/>
                <w:szCs w:val="21"/>
                <w14:textFill>
                  <w14:solidFill>
                    <w14:schemeClr w14:val="tx1"/>
                  </w14:solidFill>
                </w14:textFill>
              </w:rPr>
              <w:t>废暂存</w:t>
            </w:r>
            <w:r>
              <w:rPr>
                <w:color w:val="000000" w:themeColor="text1"/>
                <w:spacing w:val="12"/>
                <w:szCs w:val="21"/>
                <w14:textFill>
                  <w14:solidFill>
                    <w14:schemeClr w14:val="tx1"/>
                  </w14:solidFill>
                </w14:textFill>
              </w:rPr>
              <w:t>间</w:t>
            </w:r>
          </w:p>
        </w:tc>
        <w:tc>
          <w:tcPr>
            <w:tcW w:w="1218" w:type="pct"/>
            <w:tcBorders>
              <w:tl2br w:val="nil"/>
              <w:tr2bl w:val="nil"/>
            </w:tcBorders>
            <w:vAlign w:val="center"/>
          </w:tcPr>
          <w:p w14:paraId="3FD81D1E">
            <w:pPr>
              <w:pStyle w:val="1233"/>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防渗层为至少1m厚黏土层（渗透系数不大于10</w:t>
            </w:r>
            <w:r>
              <w:rPr>
                <w:color w:val="000000" w:themeColor="text1"/>
                <w:sz w:val="21"/>
                <w:szCs w:val="21"/>
                <w:vertAlign w:val="superscript"/>
                <w14:textFill>
                  <w14:solidFill>
                    <w14:schemeClr w14:val="tx1"/>
                  </w14:solidFill>
                </w14:textFill>
              </w:rPr>
              <w:t>-7</w:t>
            </w:r>
            <w:r>
              <w:rPr>
                <w:color w:val="000000" w:themeColor="text1"/>
                <w:sz w:val="21"/>
                <w:szCs w:val="21"/>
                <w14:textFill>
                  <w14:solidFill>
                    <w14:schemeClr w14:val="tx1"/>
                  </w14:solidFill>
                </w14:textFill>
              </w:rPr>
              <w:t xml:space="preserve"> cm/s），或至少2mm厚高密度聚乙烯膜等人工防渗材料（渗透系数不大于10</w:t>
            </w:r>
            <w:r>
              <w:rPr>
                <w:color w:val="000000" w:themeColor="text1"/>
                <w:sz w:val="21"/>
                <w:szCs w:val="21"/>
                <w:vertAlign w:val="superscript"/>
                <w14:textFill>
                  <w14:solidFill>
                    <w14:schemeClr w14:val="tx1"/>
                  </w14:solidFill>
                </w14:textFill>
              </w:rPr>
              <w:t>-10</w:t>
            </w:r>
            <w:r>
              <w:rPr>
                <w:color w:val="000000" w:themeColor="text1"/>
                <w:sz w:val="21"/>
                <w:szCs w:val="21"/>
                <w14:textFill>
                  <w14:solidFill>
                    <w14:schemeClr w14:val="tx1"/>
                  </w14:solidFill>
                </w14:textFill>
              </w:rPr>
              <w:t xml:space="preserve"> cm/s）</w:t>
            </w:r>
          </w:p>
        </w:tc>
        <w:tc>
          <w:tcPr>
            <w:tcW w:w="2254" w:type="pct"/>
            <w:tcBorders>
              <w:tl2br w:val="nil"/>
              <w:tr2bl w:val="nil"/>
            </w:tcBorders>
            <w:vAlign w:val="center"/>
          </w:tcPr>
          <w:p w14:paraId="60E1E555">
            <w:pPr>
              <w:pStyle w:val="1233"/>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地面及四周1m高的墙裙必须做防渗处理，采取“夯实土层+混凝土垫层+2mmHDPE膜+混凝土地面”的防渗措施，从下往上依次是100cm夯实土层、15cm厚混凝土垫层、2mm厚HDPE防渗膜、20cm厚混凝土地面，地面预留伸缩缝（深度不得超过20cm）。</w:t>
            </w:r>
          </w:p>
        </w:tc>
      </w:tr>
      <w:tr w14:paraId="2060AB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29" w:type="pct"/>
            <w:vMerge w:val="continue"/>
            <w:tcBorders>
              <w:tl2br w:val="nil"/>
              <w:tr2bl w:val="nil"/>
            </w:tcBorders>
            <w:vAlign w:val="center"/>
          </w:tcPr>
          <w:p w14:paraId="750E2E04">
            <w:pPr>
              <w:pStyle w:val="1233"/>
              <w:spacing w:line="240" w:lineRule="auto"/>
              <w:rPr>
                <w:color w:val="000000" w:themeColor="text1"/>
                <w14:textFill>
                  <w14:solidFill>
                    <w14:schemeClr w14:val="tx1"/>
                  </w14:solidFill>
                </w14:textFill>
              </w:rPr>
            </w:pPr>
          </w:p>
        </w:tc>
        <w:tc>
          <w:tcPr>
            <w:tcW w:w="1097" w:type="pct"/>
            <w:tcBorders>
              <w:tl2br w:val="nil"/>
              <w:tr2bl w:val="nil"/>
            </w:tcBorders>
            <w:vAlign w:val="center"/>
          </w:tcPr>
          <w:p w14:paraId="3C085606">
            <w:pPr>
              <w:adjustRightInd w:val="0"/>
              <w:snapToGrid w:val="0"/>
              <w:jc w:val="center"/>
              <w:rPr>
                <w:color w:val="000000" w:themeColor="text1"/>
                <w:spacing w:val="-2"/>
                <w:szCs w:val="21"/>
                <w14:textFill>
                  <w14:solidFill>
                    <w14:schemeClr w14:val="tx1"/>
                  </w14:solidFill>
                </w14:textFill>
              </w:rPr>
            </w:pPr>
            <w:r>
              <w:rPr>
                <w:rFonts w:hint="eastAsia"/>
                <w:color w:val="000000" w:themeColor="text1"/>
                <w:spacing w:val="-2"/>
                <w:szCs w:val="21"/>
                <w14:textFill>
                  <w14:solidFill>
                    <w14:schemeClr w14:val="tx1"/>
                  </w14:solidFill>
                </w14:textFill>
              </w:rPr>
              <w:t>青贮窖、</w:t>
            </w:r>
            <w:r>
              <w:rPr>
                <w:color w:val="000000" w:themeColor="text1"/>
                <w:spacing w:val="-2"/>
                <w:szCs w:val="21"/>
                <w14:textFill>
                  <w14:solidFill>
                    <w14:schemeClr w14:val="tx1"/>
                  </w14:solidFill>
                </w14:textFill>
              </w:rPr>
              <w:t>药品库、柴油发电机房、隔油池、初期雨水池、</w:t>
            </w:r>
          </w:p>
        </w:tc>
        <w:tc>
          <w:tcPr>
            <w:tcW w:w="1218" w:type="pct"/>
            <w:tcBorders>
              <w:tl2br w:val="nil"/>
              <w:tr2bl w:val="nil"/>
            </w:tcBorders>
            <w:vAlign w:val="center"/>
          </w:tcPr>
          <w:p w14:paraId="26D906B6">
            <w:pPr>
              <w:pStyle w:val="1233"/>
              <w:spacing w:line="240" w:lineRule="auto"/>
              <w:rPr>
                <w:color w:val="000000" w:themeColor="text1"/>
                <w:spacing w:val="-2"/>
                <w:sz w:val="21"/>
                <w:szCs w:val="21"/>
                <w14:textFill>
                  <w14:solidFill>
                    <w14:schemeClr w14:val="tx1"/>
                  </w14:solidFill>
                </w14:textFill>
              </w:rPr>
            </w:pPr>
            <w:r>
              <w:rPr>
                <w:bCs/>
                <w:color w:val="000000" w:themeColor="text1"/>
                <w:kern w:val="2"/>
                <w:sz w:val="21"/>
                <w:szCs w:val="21"/>
                <w14:textFill>
                  <w14:solidFill>
                    <w14:schemeClr w14:val="tx1"/>
                  </w14:solidFill>
                </w14:textFill>
              </w:rPr>
              <w:t>等效黏土防渗层Mb≥6.0m，</w:t>
            </w:r>
            <w:r>
              <w:rPr>
                <w:bCs/>
                <w:color w:val="000000" w:themeColor="text1"/>
                <w:sz w:val="21"/>
                <w:szCs w:val="21"/>
                <w14:textFill>
                  <w14:solidFill>
                    <w14:schemeClr w14:val="tx1"/>
                  </w14:solidFill>
                </w14:textFill>
              </w:rPr>
              <w:t>渗透系数</w:t>
            </w:r>
            <w:r>
              <w:rPr>
                <w:bCs/>
                <w:color w:val="000000" w:themeColor="text1"/>
                <w:kern w:val="2"/>
                <w:sz w:val="21"/>
                <w:szCs w:val="21"/>
                <w14:textFill>
                  <w14:solidFill>
                    <w14:schemeClr w14:val="tx1"/>
                  </w14:solidFill>
                </w14:textFill>
              </w:rPr>
              <w:t>K≤1.0×10</w:t>
            </w:r>
            <w:r>
              <w:rPr>
                <w:bCs/>
                <w:color w:val="000000" w:themeColor="text1"/>
                <w:kern w:val="2"/>
                <w:sz w:val="21"/>
                <w:szCs w:val="21"/>
                <w:vertAlign w:val="superscript"/>
                <w14:textFill>
                  <w14:solidFill>
                    <w14:schemeClr w14:val="tx1"/>
                  </w14:solidFill>
                </w14:textFill>
              </w:rPr>
              <w:t>-7</w:t>
            </w:r>
            <w:r>
              <w:rPr>
                <w:bCs/>
                <w:color w:val="000000" w:themeColor="text1"/>
                <w:kern w:val="2"/>
                <w:sz w:val="21"/>
                <w:szCs w:val="21"/>
                <w14:textFill>
                  <w14:solidFill>
                    <w14:schemeClr w14:val="tx1"/>
                  </w14:solidFill>
                </w14:textFill>
              </w:rPr>
              <w:t>cm/s</w:t>
            </w:r>
          </w:p>
        </w:tc>
        <w:tc>
          <w:tcPr>
            <w:tcW w:w="2254" w:type="pct"/>
            <w:tcBorders>
              <w:tl2br w:val="nil"/>
              <w:tr2bl w:val="nil"/>
            </w:tcBorders>
            <w:vAlign w:val="center"/>
          </w:tcPr>
          <w:p w14:paraId="6EE3487C">
            <w:pPr>
              <w:pStyle w:val="1233"/>
              <w:spacing w:line="240" w:lineRule="auto"/>
              <w:rPr>
                <w:bCs/>
                <w:color w:val="000000" w:themeColor="text1"/>
                <w:kern w:val="2"/>
                <w:sz w:val="21"/>
                <w:szCs w:val="21"/>
                <w14:textFill>
                  <w14:solidFill>
                    <w14:schemeClr w14:val="tx1"/>
                  </w14:solidFill>
                </w14:textFill>
              </w:rPr>
            </w:pPr>
            <w:r>
              <w:rPr>
                <w:color w:val="000000" w:themeColor="text1"/>
                <w:sz w:val="21"/>
                <w:szCs w:val="21"/>
                <w14:textFill>
                  <w14:solidFill>
                    <w14:schemeClr w14:val="tx1"/>
                  </w14:solidFill>
                </w14:textFill>
              </w:rPr>
              <w:t>地面及四周1m高的墙裙必须做防渗处理，采取“夯实土层+混凝土垫层+2mmHDPE膜+混凝土地面”的防渗措施，从下往上依次是100cm夯实土层、15cm厚混凝土垫层、2mm厚HDPE防渗膜、20cm厚混凝土地面，地面预留伸缩缝（深度不得超过20cm）。</w:t>
            </w:r>
          </w:p>
        </w:tc>
      </w:tr>
      <w:tr w14:paraId="301221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tcBorders>
              <w:tl2br w:val="nil"/>
              <w:tr2bl w:val="nil"/>
            </w:tcBorders>
            <w:vAlign w:val="center"/>
          </w:tcPr>
          <w:p w14:paraId="3791714B">
            <w:pPr>
              <w:adjustRightInd w:val="0"/>
              <w:snapToGrid w:val="0"/>
              <w:jc w:val="center"/>
              <w:rPr>
                <w:color w:val="000000" w:themeColor="text1"/>
                <w:spacing w:val="12"/>
                <w:szCs w:val="21"/>
                <w14:textFill>
                  <w14:solidFill>
                    <w14:schemeClr w14:val="tx1"/>
                  </w14:solidFill>
                </w14:textFill>
              </w:rPr>
            </w:pPr>
            <w:r>
              <w:rPr>
                <w:color w:val="000000" w:themeColor="text1"/>
                <w:spacing w:val="7"/>
                <w:szCs w:val="21"/>
                <w14:textFill>
                  <w14:solidFill>
                    <w14:schemeClr w14:val="tx1"/>
                  </w14:solidFill>
                </w14:textFill>
              </w:rPr>
              <w:t>一般防渗区</w:t>
            </w:r>
          </w:p>
        </w:tc>
        <w:tc>
          <w:tcPr>
            <w:tcW w:w="1097" w:type="pct"/>
            <w:tcBorders>
              <w:tl2br w:val="nil"/>
              <w:tr2bl w:val="nil"/>
            </w:tcBorders>
          </w:tcPr>
          <w:p w14:paraId="61B42A74">
            <w:pPr>
              <w:spacing w:before="24" w:line="228" w:lineRule="auto"/>
              <w:ind w:left="9"/>
              <w:jc w:val="center"/>
              <w:rPr>
                <w:color w:val="000000" w:themeColor="text1"/>
                <w:spacing w:val="2"/>
                <w:szCs w:val="21"/>
                <w:highlight w:val="yellow"/>
                <w14:textFill>
                  <w14:solidFill>
                    <w14:schemeClr w14:val="tx1"/>
                  </w14:solidFill>
                </w14:textFill>
              </w:rPr>
            </w:pPr>
            <w:r>
              <w:rPr>
                <w:color w:val="000000" w:themeColor="text1"/>
                <w:spacing w:val="-2"/>
                <w:szCs w:val="21"/>
                <w14:textFill>
                  <w14:solidFill>
                    <w14:schemeClr w14:val="tx1"/>
                  </w14:solidFill>
                </w14:textFill>
              </w:rPr>
              <w:t>饲料仓库</w:t>
            </w:r>
            <w:r>
              <w:rPr>
                <w:rFonts w:hint="eastAsia"/>
                <w:color w:val="000000" w:themeColor="text1"/>
                <w:spacing w:val="-2"/>
                <w:szCs w:val="21"/>
                <w14:textFill>
                  <w14:solidFill>
                    <w14:schemeClr w14:val="tx1"/>
                  </w14:solidFill>
                </w14:textFill>
              </w:rPr>
              <w:t>、</w:t>
            </w:r>
            <w:r>
              <w:rPr>
                <w:color w:val="000000" w:themeColor="text1"/>
                <w:spacing w:val="-2"/>
                <w:szCs w:val="21"/>
                <w14:textFill>
                  <w14:solidFill>
                    <w14:schemeClr w14:val="tx1"/>
                  </w14:solidFill>
                </w14:textFill>
              </w:rPr>
              <w:t>饲料加工间、消毒池</w:t>
            </w:r>
            <w:r>
              <w:rPr>
                <w:rFonts w:hint="eastAsia"/>
                <w:color w:val="000000" w:themeColor="text1"/>
                <w:spacing w:val="2"/>
                <w:szCs w:val="21"/>
                <w14:textFill>
                  <w14:solidFill>
                    <w14:schemeClr w14:val="tx1"/>
                  </w14:solidFill>
                </w14:textFill>
              </w:rPr>
              <w:t>、冷库</w:t>
            </w:r>
          </w:p>
        </w:tc>
        <w:tc>
          <w:tcPr>
            <w:tcW w:w="1218" w:type="pct"/>
            <w:tcBorders>
              <w:tl2br w:val="nil"/>
              <w:tr2bl w:val="nil"/>
            </w:tcBorders>
            <w:vAlign w:val="center"/>
          </w:tcPr>
          <w:p w14:paraId="57CD86AC">
            <w:pPr>
              <w:pStyle w:val="257"/>
              <w:rPr>
                <w:color w:val="000000" w:themeColor="text1"/>
                <w:spacing w:val="12"/>
                <w:sz w:val="21"/>
                <w14:textFill>
                  <w14:solidFill>
                    <w14:schemeClr w14:val="tx1"/>
                  </w14:solidFill>
                </w14:textFill>
              </w:rPr>
            </w:pPr>
            <w:r>
              <w:rPr>
                <w:bCs/>
                <w:color w:val="000000" w:themeColor="text1"/>
                <w:sz w:val="21"/>
                <w14:textFill>
                  <w14:solidFill>
                    <w14:schemeClr w14:val="tx1"/>
                  </w14:solidFill>
                </w14:textFill>
              </w:rPr>
              <w:t>等效黏土防渗层Mb≥1.5m，渗透系数K≤1.0×10</w:t>
            </w:r>
            <w:r>
              <w:rPr>
                <w:bCs/>
                <w:color w:val="000000" w:themeColor="text1"/>
                <w:sz w:val="21"/>
                <w:vertAlign w:val="superscript"/>
                <w14:textFill>
                  <w14:solidFill>
                    <w14:schemeClr w14:val="tx1"/>
                  </w14:solidFill>
                </w14:textFill>
              </w:rPr>
              <w:t>-7</w:t>
            </w:r>
            <w:r>
              <w:rPr>
                <w:bCs/>
                <w:color w:val="000000" w:themeColor="text1"/>
                <w:sz w:val="21"/>
                <w14:textFill>
                  <w14:solidFill>
                    <w14:schemeClr w14:val="tx1"/>
                  </w14:solidFill>
                </w14:textFill>
              </w:rPr>
              <w:t>cm/s</w:t>
            </w:r>
          </w:p>
        </w:tc>
        <w:tc>
          <w:tcPr>
            <w:tcW w:w="2254" w:type="pct"/>
            <w:tcBorders>
              <w:tl2br w:val="nil"/>
              <w:tr2bl w:val="nil"/>
            </w:tcBorders>
            <w:vAlign w:val="center"/>
          </w:tcPr>
          <w:p w14:paraId="02B448DC">
            <w:pPr>
              <w:pStyle w:val="1233"/>
              <w:spacing w:line="240" w:lineRule="auto"/>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防渗层为下部为黏土层</w:t>
            </w:r>
          </w:p>
          <w:p w14:paraId="595BC144">
            <w:pPr>
              <w:pStyle w:val="1233"/>
              <w:spacing w:line="240" w:lineRule="auto"/>
              <w:rPr>
                <w:bCs/>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抗渗混凝土（厚度不应小于 100mm）</w:t>
            </w:r>
          </w:p>
        </w:tc>
      </w:tr>
      <w:tr w14:paraId="36D02E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29" w:type="pct"/>
            <w:tcBorders>
              <w:tl2br w:val="nil"/>
              <w:tr2bl w:val="nil"/>
            </w:tcBorders>
            <w:vAlign w:val="center"/>
          </w:tcPr>
          <w:p w14:paraId="4289D36C">
            <w:pPr>
              <w:adjustRightInd w:val="0"/>
              <w:snapToGrid w:val="0"/>
              <w:jc w:val="center"/>
              <w:rPr>
                <w:color w:val="000000" w:themeColor="text1"/>
                <w:spacing w:val="12"/>
                <w:szCs w:val="21"/>
                <w14:textFill>
                  <w14:solidFill>
                    <w14:schemeClr w14:val="tx1"/>
                  </w14:solidFill>
                </w14:textFill>
              </w:rPr>
            </w:pPr>
            <w:r>
              <w:rPr>
                <w:color w:val="000000" w:themeColor="text1"/>
                <w:spacing w:val="7"/>
                <w:szCs w:val="21"/>
                <w14:textFill>
                  <w14:solidFill>
                    <w14:schemeClr w14:val="tx1"/>
                  </w14:solidFill>
                </w14:textFill>
              </w:rPr>
              <w:t>简单防渗区</w:t>
            </w:r>
          </w:p>
        </w:tc>
        <w:tc>
          <w:tcPr>
            <w:tcW w:w="1097" w:type="pct"/>
            <w:tcBorders>
              <w:tl2br w:val="nil"/>
              <w:tr2bl w:val="nil"/>
            </w:tcBorders>
            <w:vAlign w:val="center"/>
          </w:tcPr>
          <w:p w14:paraId="3C80B3D2">
            <w:pPr>
              <w:adjustRightInd w:val="0"/>
              <w:snapToGrid w:val="0"/>
              <w:jc w:val="center"/>
              <w:rPr>
                <w:color w:val="000000" w:themeColor="text1"/>
                <w:spacing w:val="2"/>
                <w:szCs w:val="21"/>
                <w:highlight w:val="yellow"/>
                <w14:textFill>
                  <w14:solidFill>
                    <w14:schemeClr w14:val="tx1"/>
                  </w14:solidFill>
                </w14:textFill>
              </w:rPr>
            </w:pPr>
            <w:r>
              <w:rPr>
                <w:color w:val="000000" w:themeColor="text1"/>
                <w:spacing w:val="12"/>
                <w:szCs w:val="21"/>
                <w14:textFill>
                  <w14:solidFill>
                    <w14:schemeClr w14:val="tx1"/>
                  </w14:solidFill>
                </w14:textFill>
              </w:rPr>
              <w:t>办公生活区、道路等</w:t>
            </w:r>
          </w:p>
        </w:tc>
        <w:tc>
          <w:tcPr>
            <w:tcW w:w="1218" w:type="pct"/>
            <w:tcBorders>
              <w:tl2br w:val="nil"/>
              <w:tr2bl w:val="nil"/>
            </w:tcBorders>
            <w:vAlign w:val="center"/>
          </w:tcPr>
          <w:p w14:paraId="307F541C">
            <w:pPr>
              <w:adjustRightInd w:val="0"/>
              <w:snapToGrid w:val="0"/>
              <w:jc w:val="center"/>
              <w:rPr>
                <w:color w:val="000000" w:themeColor="text1"/>
                <w:spacing w:val="12"/>
                <w:szCs w:val="21"/>
                <w14:textFill>
                  <w14:solidFill>
                    <w14:schemeClr w14:val="tx1"/>
                  </w14:solidFill>
                </w14:textFill>
              </w:rPr>
            </w:pPr>
            <w:r>
              <w:rPr>
                <w:color w:val="000000" w:themeColor="text1"/>
                <w:spacing w:val="12"/>
                <w:szCs w:val="21"/>
                <w14:textFill>
                  <w14:solidFill>
                    <w14:schemeClr w14:val="tx1"/>
                  </w14:solidFill>
                </w14:textFill>
              </w:rPr>
              <w:t>一般地面硬化</w:t>
            </w:r>
          </w:p>
        </w:tc>
        <w:tc>
          <w:tcPr>
            <w:tcW w:w="2254" w:type="pct"/>
            <w:tcBorders>
              <w:tl2br w:val="nil"/>
              <w:tr2bl w:val="nil"/>
            </w:tcBorders>
            <w:vAlign w:val="center"/>
          </w:tcPr>
          <w:p w14:paraId="1FCA8154">
            <w:pPr>
              <w:pStyle w:val="1233"/>
              <w:spacing w:line="240" w:lineRule="auto"/>
              <w:rPr>
                <w:color w:val="000000" w:themeColor="text1"/>
                <w:spacing w:val="12"/>
                <w:sz w:val="21"/>
                <w:szCs w:val="21"/>
                <w14:textFill>
                  <w14:solidFill>
                    <w14:schemeClr w14:val="tx1"/>
                  </w14:solidFill>
                </w14:textFill>
              </w:rPr>
            </w:pPr>
            <w:r>
              <w:rPr>
                <w:color w:val="000000" w:themeColor="text1"/>
                <w:sz w:val="21"/>
                <w:szCs w:val="21"/>
                <w14:textFill>
                  <w14:solidFill>
                    <w14:schemeClr w14:val="tx1"/>
                  </w14:solidFill>
                </w14:textFill>
              </w:rPr>
              <w:t>采用非铺砌地坪或普通混凝土地坪</w:t>
            </w:r>
          </w:p>
        </w:tc>
      </w:tr>
    </w:tbl>
    <w:p w14:paraId="6B85C3A8">
      <w:pPr>
        <w:spacing w:line="360" w:lineRule="auto"/>
        <w:ind w:firstLine="496" w:firstLineChars="200"/>
        <w:jc w:val="both"/>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同时，生产区内易产生泄漏的贮存设施（柴油发电机房、</w:t>
      </w:r>
      <w:r>
        <w:rPr>
          <w:rFonts w:hint="eastAsia"/>
          <w:color w:val="000000" w:themeColor="text1"/>
          <w:spacing w:val="4"/>
          <w:sz w:val="24"/>
          <w14:textFill>
            <w14:solidFill>
              <w14:schemeClr w14:val="tx1"/>
            </w14:solidFill>
          </w14:textFill>
        </w:rPr>
        <w:t>医</w:t>
      </w:r>
      <w:r>
        <w:rPr>
          <w:color w:val="000000" w:themeColor="text1"/>
          <w:spacing w:val="4"/>
          <w:sz w:val="24"/>
          <w14:textFill>
            <w14:solidFill>
              <w14:schemeClr w14:val="tx1"/>
            </w14:solidFill>
          </w14:textFill>
        </w:rPr>
        <w:t>险废物暂存间）设置空</w:t>
      </w:r>
      <w:r>
        <w:rPr>
          <w:color w:val="000000" w:themeColor="text1"/>
          <w:spacing w:val="5"/>
          <w:sz w:val="24"/>
          <w14:textFill>
            <w14:solidFill>
              <w14:schemeClr w14:val="tx1"/>
            </w14:solidFill>
          </w14:textFill>
        </w:rPr>
        <w:t>桶作为备用收容设施；贮存和输送废水的设施和管线均采用</w:t>
      </w:r>
      <w:r>
        <w:rPr>
          <w:color w:val="000000" w:themeColor="text1"/>
          <w:spacing w:val="4"/>
          <w:sz w:val="24"/>
          <w14:textFill>
            <w14:solidFill>
              <w14:schemeClr w14:val="tx1"/>
            </w14:solidFill>
          </w14:textFill>
        </w:rPr>
        <w:t>防腐材料。</w:t>
      </w:r>
    </w:p>
    <w:p w14:paraId="05AFFBEC">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采取上述治理措施后，可有效地避免了污染物渗入地下，污染地下水。</w:t>
      </w:r>
    </w:p>
    <w:p w14:paraId="4B6031D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此外，利用项目区下游现有地下水监测井（1个）作为定期监测井，定期对地下水环境质量进行监测，发现污染状况立即采取措施，排查并切断污染源，可有效防止地下水污染。本项目防渗措施满足《环境影响评价技术导则 地下水环境》（HJ610-2016）和</w:t>
      </w:r>
      <w:r>
        <w:rPr>
          <w:color w:val="000000" w:themeColor="text1"/>
          <w:kern w:val="0"/>
          <w:sz w:val="24"/>
          <w14:textFill>
            <w14:solidFill>
              <w14:schemeClr w14:val="tx1"/>
            </w14:solidFill>
          </w14:textFill>
        </w:rPr>
        <w:t>《危险废物贮存污染控制标准》（GB18597-2023）</w:t>
      </w:r>
      <w:r>
        <w:rPr>
          <w:color w:val="000000" w:themeColor="text1"/>
          <w:sz w:val="24"/>
          <w14:textFill>
            <w14:solidFill>
              <w14:schemeClr w14:val="tx1"/>
            </w14:solidFill>
          </w14:textFill>
        </w:rPr>
        <w:t>中防渗技术要求，可有效避免运行过程中对地下水的污染。采取的防治措施均经济技术可行、措施有效。</w:t>
      </w:r>
    </w:p>
    <w:p w14:paraId="4464421F">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综上，项目拟采取的地下水污染防治措施可行。</w:t>
      </w:r>
    </w:p>
    <w:p w14:paraId="55496A44">
      <w:pPr>
        <w:pStyle w:val="4"/>
        <w:spacing w:before="0" w:after="0" w:line="360" w:lineRule="auto"/>
        <w:rPr>
          <w:rFonts w:ascii="Times New Roman" w:hAnsi="Times New Roman" w:eastAsia="宋体"/>
          <w:color w:val="000000" w:themeColor="text1"/>
          <w:sz w:val="30"/>
          <w:szCs w:val="30"/>
          <w14:textFill>
            <w14:solidFill>
              <w14:schemeClr w14:val="tx1"/>
            </w14:solidFill>
          </w14:textFill>
        </w:rPr>
      </w:pPr>
      <w:bookmarkStart w:id="1020" w:name="_Toc27751278"/>
      <w:bookmarkStart w:id="1021" w:name="_Toc11910"/>
      <w:bookmarkStart w:id="1022" w:name="_Toc40220843"/>
      <w:bookmarkStart w:id="1023" w:name="_Toc21529728"/>
      <w:bookmarkStart w:id="1024" w:name="_Toc28814768"/>
      <w:bookmarkStart w:id="1025" w:name="_Toc233380279"/>
      <w:r>
        <w:rPr>
          <w:rFonts w:ascii="Times New Roman" w:hAnsi="Times New Roman" w:eastAsia="宋体"/>
          <w:color w:val="000000" w:themeColor="text1"/>
          <w:sz w:val="30"/>
          <w:szCs w:val="30"/>
          <w14:textFill>
            <w14:solidFill>
              <w14:schemeClr w14:val="tx1"/>
            </w14:solidFill>
          </w14:textFill>
        </w:rPr>
        <w:t>7.3 环保投资估算及竣工验收内容</w:t>
      </w:r>
      <w:bookmarkEnd w:id="1020"/>
      <w:bookmarkEnd w:id="1021"/>
      <w:bookmarkEnd w:id="1022"/>
      <w:bookmarkEnd w:id="1023"/>
      <w:bookmarkEnd w:id="1024"/>
      <w:bookmarkEnd w:id="1025"/>
      <w:bookmarkStart w:id="1026" w:name="_Toc185140935"/>
      <w:bookmarkStart w:id="1027" w:name="_Toc204834857"/>
    </w:p>
    <w:p w14:paraId="7C7E85B8">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表7.3-1 本项目环保投资估算及竣工验收内容</w:t>
      </w:r>
    </w:p>
    <w:tbl>
      <w:tblPr>
        <w:tblStyle w:val="88"/>
        <w:tblW w:w="5172"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022"/>
        <w:gridCol w:w="1553"/>
        <w:gridCol w:w="4363"/>
        <w:gridCol w:w="963"/>
        <w:gridCol w:w="698"/>
      </w:tblGrid>
      <w:tr w14:paraId="400464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tcBorders>
              <w:tl2br w:val="nil"/>
              <w:tr2bl w:val="nil"/>
            </w:tcBorders>
            <w:vAlign w:val="center"/>
          </w:tcPr>
          <w:p w14:paraId="1CDCEDF0">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类别</w:t>
            </w:r>
          </w:p>
        </w:tc>
        <w:tc>
          <w:tcPr>
            <w:tcW w:w="903" w:type="pct"/>
            <w:tcBorders>
              <w:tl2br w:val="nil"/>
              <w:tr2bl w:val="nil"/>
            </w:tcBorders>
            <w:vAlign w:val="center"/>
          </w:tcPr>
          <w:p w14:paraId="62A0E109">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防治对象</w:t>
            </w:r>
          </w:p>
        </w:tc>
        <w:tc>
          <w:tcPr>
            <w:tcW w:w="2537" w:type="pct"/>
            <w:tcBorders>
              <w:tl2br w:val="nil"/>
              <w:tr2bl w:val="nil"/>
            </w:tcBorders>
            <w:vAlign w:val="center"/>
          </w:tcPr>
          <w:p w14:paraId="50E5EFBC">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环保设施（措施）名称</w:t>
            </w:r>
          </w:p>
        </w:tc>
        <w:tc>
          <w:tcPr>
            <w:tcW w:w="560" w:type="pct"/>
            <w:tcBorders>
              <w:tl2br w:val="nil"/>
              <w:tr2bl w:val="nil"/>
            </w:tcBorders>
            <w:vAlign w:val="center"/>
          </w:tcPr>
          <w:p w14:paraId="202AD47E">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金额</w:t>
            </w:r>
          </w:p>
          <w:p w14:paraId="2626AD68">
            <w:pPr>
              <w:jc w:val="center"/>
              <w:rPr>
                <w:bCs/>
                <w:color w:val="000000" w:themeColor="text1"/>
                <w:szCs w:val="21"/>
                <w14:textFill>
                  <w14:solidFill>
                    <w14:schemeClr w14:val="tx1"/>
                  </w14:solidFill>
                </w14:textFill>
              </w:rPr>
            </w:pPr>
            <w:r>
              <w:rPr>
                <w:b/>
                <w:color w:val="000000" w:themeColor="text1"/>
                <w:szCs w:val="21"/>
                <w14:textFill>
                  <w14:solidFill>
                    <w14:schemeClr w14:val="tx1"/>
                  </w14:solidFill>
                </w14:textFill>
              </w:rPr>
              <w:t>（万元）</w:t>
            </w:r>
          </w:p>
        </w:tc>
        <w:tc>
          <w:tcPr>
            <w:tcW w:w="406" w:type="pct"/>
            <w:tcBorders>
              <w:tl2br w:val="nil"/>
              <w:tr2bl w:val="nil"/>
            </w:tcBorders>
            <w:vAlign w:val="center"/>
          </w:tcPr>
          <w:p w14:paraId="34D73B22">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备注</w:t>
            </w:r>
          </w:p>
        </w:tc>
      </w:tr>
      <w:tr w14:paraId="1E7C9D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vMerge w:val="restart"/>
            <w:tcBorders>
              <w:tl2br w:val="nil"/>
              <w:tr2bl w:val="nil"/>
            </w:tcBorders>
            <w:vAlign w:val="center"/>
          </w:tcPr>
          <w:p w14:paraId="0398806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903" w:type="pct"/>
            <w:tcBorders>
              <w:tl2br w:val="nil"/>
              <w:tr2bl w:val="nil"/>
            </w:tcBorders>
            <w:vAlign w:val="center"/>
          </w:tcPr>
          <w:p w14:paraId="0C827A36">
            <w:pPr>
              <w:jc w:val="center"/>
              <w:rPr>
                <w:szCs w:val="21"/>
              </w:rPr>
            </w:pPr>
            <w:r>
              <w:rPr>
                <w:rFonts w:hint="eastAsia"/>
                <w:kern w:val="0"/>
                <w:szCs w:val="21"/>
              </w:rPr>
              <w:t>牛舍</w:t>
            </w:r>
            <w:r>
              <w:rPr>
                <w:kern w:val="0"/>
                <w:szCs w:val="21"/>
              </w:rPr>
              <w:t>恶臭</w:t>
            </w:r>
          </w:p>
        </w:tc>
        <w:tc>
          <w:tcPr>
            <w:tcW w:w="2537" w:type="pct"/>
            <w:tcBorders>
              <w:tl2br w:val="nil"/>
              <w:tr2bl w:val="nil"/>
            </w:tcBorders>
            <w:vAlign w:val="center"/>
          </w:tcPr>
          <w:p w14:paraId="04972317">
            <w:pPr>
              <w:rPr>
                <w:szCs w:val="21"/>
              </w:rPr>
            </w:pPr>
            <w:r>
              <w:rPr>
                <w:szCs w:val="21"/>
              </w:rPr>
              <w:t>日粮中添加EM制剂；</w:t>
            </w:r>
            <w:r>
              <w:rPr>
                <w:rFonts w:hint="eastAsia"/>
                <w:szCs w:val="21"/>
              </w:rPr>
              <w:t>采用生物发酵床养殖模式，在源头上降低恶臭排放</w:t>
            </w:r>
            <w:r>
              <w:rPr>
                <w:szCs w:val="21"/>
              </w:rPr>
              <w:t>；</w:t>
            </w:r>
            <w:r>
              <w:rPr>
                <w:rFonts w:hint="eastAsia"/>
                <w:szCs w:val="21"/>
              </w:rPr>
              <w:t>牛舍</w:t>
            </w:r>
            <w:r>
              <w:rPr>
                <w:szCs w:val="21"/>
              </w:rPr>
              <w:t>定期喷洒生物除臭剂；加强</w:t>
            </w:r>
            <w:r>
              <w:rPr>
                <w:rFonts w:hint="eastAsia"/>
                <w:szCs w:val="21"/>
              </w:rPr>
              <w:t>牛舍</w:t>
            </w:r>
            <w:r>
              <w:rPr>
                <w:szCs w:val="21"/>
              </w:rPr>
              <w:t>消毒措施。</w:t>
            </w:r>
          </w:p>
        </w:tc>
        <w:tc>
          <w:tcPr>
            <w:tcW w:w="560" w:type="pct"/>
            <w:vMerge w:val="restart"/>
            <w:tcBorders>
              <w:tl2br w:val="nil"/>
              <w:tr2bl w:val="nil"/>
            </w:tcBorders>
            <w:vAlign w:val="center"/>
          </w:tcPr>
          <w:p w14:paraId="3529E90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200.0</w:t>
            </w:r>
          </w:p>
        </w:tc>
        <w:tc>
          <w:tcPr>
            <w:tcW w:w="406" w:type="pct"/>
            <w:tcBorders>
              <w:tl2br w:val="nil"/>
              <w:tr2bl w:val="nil"/>
            </w:tcBorders>
            <w:vAlign w:val="center"/>
          </w:tcPr>
          <w:p w14:paraId="23DE33F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33A49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vMerge w:val="continue"/>
            <w:tcBorders>
              <w:tl2br w:val="nil"/>
              <w:tr2bl w:val="nil"/>
            </w:tcBorders>
            <w:vAlign w:val="center"/>
          </w:tcPr>
          <w:p w14:paraId="5D87D252">
            <w:pPr>
              <w:jc w:val="center"/>
              <w:rPr>
                <w:color w:val="000000" w:themeColor="text1"/>
                <w:szCs w:val="21"/>
                <w14:textFill>
                  <w14:solidFill>
                    <w14:schemeClr w14:val="tx1"/>
                  </w14:solidFill>
                </w14:textFill>
              </w:rPr>
            </w:pPr>
          </w:p>
        </w:tc>
        <w:tc>
          <w:tcPr>
            <w:tcW w:w="903" w:type="pct"/>
            <w:tcBorders>
              <w:tl2br w:val="nil"/>
              <w:tr2bl w:val="nil"/>
            </w:tcBorders>
            <w:vAlign w:val="center"/>
          </w:tcPr>
          <w:p w14:paraId="3E9C78F1">
            <w:pPr>
              <w:jc w:val="center"/>
              <w:rPr>
                <w:color w:val="000000" w:themeColor="text1"/>
                <w:kern w:val="0"/>
                <w:szCs w:val="21"/>
                <w14:textFill>
                  <w14:solidFill>
                    <w14:schemeClr w14:val="tx1"/>
                  </w14:solidFill>
                </w14:textFill>
              </w:rPr>
            </w:pPr>
            <w:r>
              <w:rPr>
                <w:bCs/>
                <w:color w:val="000000" w:themeColor="text1"/>
                <w:szCs w:val="21"/>
                <w14:textFill>
                  <w14:solidFill>
                    <w14:schemeClr w14:val="tx1"/>
                  </w14:solidFill>
                </w14:textFill>
              </w:rPr>
              <w:t>饲料加工粉尘</w:t>
            </w:r>
          </w:p>
        </w:tc>
        <w:tc>
          <w:tcPr>
            <w:tcW w:w="2537" w:type="pct"/>
            <w:tcBorders>
              <w:tl2br w:val="nil"/>
              <w:tr2bl w:val="nil"/>
            </w:tcBorders>
            <w:vAlign w:val="center"/>
          </w:tcPr>
          <w:p w14:paraId="13D897A3">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分别在投料口、粉碎机出料口处设置集气罩，收集的粉尘经布袋除尘器处理后由15m</w:t>
            </w:r>
            <w:r>
              <w:rPr>
                <w:bCs/>
                <w:color w:val="000000" w:themeColor="text1"/>
                <w:kern w:val="0"/>
                <w:szCs w:val="21"/>
                <w14:textFill>
                  <w14:solidFill>
                    <w14:schemeClr w14:val="tx1"/>
                  </w14:solidFill>
                </w14:textFill>
              </w:rPr>
              <w:t>高</w:t>
            </w:r>
            <w:r>
              <w:rPr>
                <w:color w:val="000000" w:themeColor="text1"/>
                <w:szCs w:val="21"/>
                <w14:textFill>
                  <w14:solidFill>
                    <w14:schemeClr w14:val="tx1"/>
                  </w14:solidFill>
                </w14:textFill>
              </w:rPr>
              <w:t>排气筒（DA002）排放。风机风量9000m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/h。车间建筑外围屋面敷设环形喷雾降尘管路。车间建筑外围屋面敷设环形喷雾降尘管路。</w:t>
            </w:r>
          </w:p>
        </w:tc>
        <w:tc>
          <w:tcPr>
            <w:tcW w:w="560" w:type="pct"/>
            <w:vMerge w:val="continue"/>
            <w:tcBorders>
              <w:tl2br w:val="nil"/>
              <w:tr2bl w:val="nil"/>
            </w:tcBorders>
            <w:vAlign w:val="center"/>
          </w:tcPr>
          <w:p w14:paraId="773DF2C5">
            <w:pPr>
              <w:jc w:val="center"/>
              <w:rPr>
                <w:color w:val="000000" w:themeColor="text1"/>
                <w:szCs w:val="21"/>
                <w14:textFill>
                  <w14:solidFill>
                    <w14:schemeClr w14:val="tx1"/>
                  </w14:solidFill>
                </w14:textFill>
              </w:rPr>
            </w:pPr>
          </w:p>
        </w:tc>
        <w:tc>
          <w:tcPr>
            <w:tcW w:w="406" w:type="pct"/>
            <w:tcBorders>
              <w:tl2br w:val="nil"/>
              <w:tr2bl w:val="nil"/>
            </w:tcBorders>
            <w:vAlign w:val="center"/>
          </w:tcPr>
          <w:p w14:paraId="1E97765D">
            <w:pPr>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新建</w:t>
            </w:r>
          </w:p>
        </w:tc>
      </w:tr>
      <w:tr w14:paraId="3B210A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594" w:type="pct"/>
            <w:vMerge w:val="continue"/>
            <w:tcBorders>
              <w:tl2br w:val="nil"/>
              <w:tr2bl w:val="nil"/>
            </w:tcBorders>
            <w:vAlign w:val="center"/>
          </w:tcPr>
          <w:p w14:paraId="346BF49D">
            <w:pPr>
              <w:jc w:val="center"/>
              <w:rPr>
                <w:color w:val="000000" w:themeColor="text1"/>
                <w:szCs w:val="21"/>
                <w14:textFill>
                  <w14:solidFill>
                    <w14:schemeClr w14:val="tx1"/>
                  </w14:solidFill>
                </w14:textFill>
              </w:rPr>
            </w:pPr>
          </w:p>
        </w:tc>
        <w:tc>
          <w:tcPr>
            <w:tcW w:w="903" w:type="pct"/>
            <w:tcBorders>
              <w:tl2br w:val="nil"/>
              <w:tr2bl w:val="nil"/>
            </w:tcBorders>
            <w:vAlign w:val="center"/>
          </w:tcPr>
          <w:p w14:paraId="2C93E841">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食堂油烟</w:t>
            </w:r>
          </w:p>
        </w:tc>
        <w:tc>
          <w:tcPr>
            <w:tcW w:w="2537" w:type="pct"/>
            <w:tcBorders>
              <w:tl2br w:val="nil"/>
              <w:tr2bl w:val="nil"/>
            </w:tcBorders>
            <w:vAlign w:val="center"/>
          </w:tcPr>
          <w:p w14:paraId="4141C873">
            <w:pPr>
              <w:adjustRightInd w:val="0"/>
              <w:snapToGrid w:val="0"/>
              <w:rPr>
                <w:color w:val="000000" w:themeColor="text1"/>
                <w:szCs w:val="21"/>
                <w14:textFill>
                  <w14:solidFill>
                    <w14:schemeClr w14:val="tx1"/>
                  </w14:solidFill>
                </w14:textFill>
              </w:rPr>
            </w:pPr>
            <w:r>
              <w:rPr>
                <w:bCs/>
                <w:color w:val="000000" w:themeColor="text1"/>
                <w:szCs w:val="21"/>
                <w14:textFill>
                  <w14:solidFill>
                    <w14:schemeClr w14:val="tx1"/>
                  </w14:solidFill>
                </w14:textFill>
              </w:rPr>
              <w:t>油烟净化装置处理净化后的油烟由专用烟道于屋顶排放</w:t>
            </w:r>
          </w:p>
        </w:tc>
        <w:tc>
          <w:tcPr>
            <w:tcW w:w="560" w:type="pct"/>
            <w:vMerge w:val="continue"/>
            <w:tcBorders>
              <w:tl2br w:val="nil"/>
              <w:tr2bl w:val="nil"/>
            </w:tcBorders>
            <w:vAlign w:val="center"/>
          </w:tcPr>
          <w:p w14:paraId="13B3BE85">
            <w:pPr>
              <w:jc w:val="center"/>
              <w:rPr>
                <w:color w:val="000000" w:themeColor="text1"/>
                <w:szCs w:val="21"/>
                <w14:textFill>
                  <w14:solidFill>
                    <w14:schemeClr w14:val="tx1"/>
                  </w14:solidFill>
                </w14:textFill>
              </w:rPr>
            </w:pPr>
          </w:p>
        </w:tc>
        <w:tc>
          <w:tcPr>
            <w:tcW w:w="406" w:type="pct"/>
            <w:tcBorders>
              <w:tl2br w:val="nil"/>
              <w:tr2bl w:val="nil"/>
            </w:tcBorders>
            <w:vAlign w:val="center"/>
          </w:tcPr>
          <w:p w14:paraId="71A0A684">
            <w:pPr>
              <w:jc w:val="center"/>
              <w:rPr>
                <w:color w:val="000000" w:themeColor="text1"/>
                <w:szCs w:val="21"/>
                <w14:textFill>
                  <w14:solidFill>
                    <w14:schemeClr w14:val="tx1"/>
                  </w14:solidFill>
                </w14:textFill>
              </w:rPr>
            </w:pPr>
            <w:r>
              <w:rPr>
                <w:color w:val="000000" w:themeColor="text1"/>
                <w:spacing w:val="-6"/>
                <w:szCs w:val="21"/>
                <w14:textFill>
                  <w14:solidFill>
                    <w14:schemeClr w14:val="tx1"/>
                  </w14:solidFill>
                </w14:textFill>
              </w:rPr>
              <w:t>新建</w:t>
            </w:r>
          </w:p>
        </w:tc>
      </w:tr>
      <w:tr w14:paraId="74C71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vMerge w:val="continue"/>
            <w:tcBorders>
              <w:tl2br w:val="nil"/>
              <w:tr2bl w:val="nil"/>
            </w:tcBorders>
            <w:vAlign w:val="center"/>
          </w:tcPr>
          <w:p w14:paraId="7DA12231">
            <w:pPr>
              <w:jc w:val="center"/>
              <w:rPr>
                <w:color w:val="000000" w:themeColor="text1"/>
                <w:szCs w:val="21"/>
                <w14:textFill>
                  <w14:solidFill>
                    <w14:schemeClr w14:val="tx1"/>
                  </w14:solidFill>
                </w14:textFill>
              </w:rPr>
            </w:pPr>
          </w:p>
        </w:tc>
        <w:tc>
          <w:tcPr>
            <w:tcW w:w="903" w:type="pct"/>
            <w:tcBorders>
              <w:tl2br w:val="nil"/>
              <w:tr2bl w:val="nil"/>
            </w:tcBorders>
            <w:vAlign w:val="center"/>
          </w:tcPr>
          <w:p w14:paraId="29A9A6FE">
            <w:pPr>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柴油发电机废气</w:t>
            </w:r>
          </w:p>
        </w:tc>
        <w:tc>
          <w:tcPr>
            <w:tcW w:w="2537" w:type="pct"/>
            <w:tcBorders>
              <w:tl2br w:val="nil"/>
              <w:tr2bl w:val="nil"/>
            </w:tcBorders>
            <w:vAlign w:val="center"/>
          </w:tcPr>
          <w:p w14:paraId="6C78150B">
            <w:pPr>
              <w:adjustRightInd w:val="0"/>
              <w:snapToGrid w:val="0"/>
              <w:rPr>
                <w:color w:val="000000" w:themeColor="text1"/>
                <w:szCs w:val="21"/>
                <w14:textFill>
                  <w14:solidFill>
                    <w14:schemeClr w14:val="tx1"/>
                  </w14:solidFill>
                </w14:textFill>
              </w:rPr>
            </w:pPr>
            <w:r>
              <w:rPr>
                <w:bCs/>
                <w:color w:val="000000" w:themeColor="text1"/>
                <w:szCs w:val="21"/>
                <w14:textFill>
                  <w14:solidFill>
                    <w14:schemeClr w14:val="tx1"/>
                  </w14:solidFill>
                </w14:textFill>
              </w:rPr>
              <w:t>废气由自身携带的废气净化装置处理后排放</w:t>
            </w:r>
          </w:p>
        </w:tc>
        <w:tc>
          <w:tcPr>
            <w:tcW w:w="560" w:type="pct"/>
            <w:vMerge w:val="continue"/>
            <w:tcBorders>
              <w:tl2br w:val="nil"/>
              <w:tr2bl w:val="nil"/>
            </w:tcBorders>
            <w:vAlign w:val="center"/>
          </w:tcPr>
          <w:p w14:paraId="55CC3EBB">
            <w:pPr>
              <w:jc w:val="center"/>
              <w:rPr>
                <w:color w:val="000000" w:themeColor="text1"/>
                <w:szCs w:val="21"/>
                <w14:textFill>
                  <w14:solidFill>
                    <w14:schemeClr w14:val="tx1"/>
                  </w14:solidFill>
                </w14:textFill>
              </w:rPr>
            </w:pPr>
          </w:p>
        </w:tc>
        <w:tc>
          <w:tcPr>
            <w:tcW w:w="406" w:type="pct"/>
            <w:tcBorders>
              <w:tl2br w:val="nil"/>
              <w:tr2bl w:val="nil"/>
            </w:tcBorders>
            <w:vAlign w:val="center"/>
          </w:tcPr>
          <w:p w14:paraId="178F6FF7">
            <w:pPr>
              <w:jc w:val="center"/>
              <w:rPr>
                <w:color w:val="000000" w:themeColor="text1"/>
                <w:szCs w:val="21"/>
                <w14:textFill>
                  <w14:solidFill>
                    <w14:schemeClr w14:val="tx1"/>
                  </w14:solidFill>
                </w14:textFill>
              </w:rPr>
            </w:pPr>
            <w:r>
              <w:rPr>
                <w:color w:val="000000" w:themeColor="text1"/>
                <w:spacing w:val="-6"/>
                <w:szCs w:val="21"/>
                <w14:textFill>
                  <w14:solidFill>
                    <w14:schemeClr w14:val="tx1"/>
                  </w14:solidFill>
                </w14:textFill>
              </w:rPr>
              <w:t>新建</w:t>
            </w:r>
          </w:p>
        </w:tc>
      </w:tr>
      <w:tr w14:paraId="091055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837" w:hRule="atLeast"/>
          <w:jc w:val="center"/>
        </w:trPr>
        <w:tc>
          <w:tcPr>
            <w:tcW w:w="594" w:type="pct"/>
            <w:tcBorders>
              <w:tl2br w:val="nil"/>
              <w:tr2bl w:val="nil"/>
            </w:tcBorders>
            <w:vAlign w:val="center"/>
          </w:tcPr>
          <w:p w14:paraId="15B0E47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903" w:type="pct"/>
            <w:tcBorders>
              <w:tl2br w:val="nil"/>
              <w:tr2bl w:val="nil"/>
            </w:tcBorders>
            <w:vAlign w:val="center"/>
          </w:tcPr>
          <w:p w14:paraId="3E39841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生活污水</w:t>
            </w:r>
          </w:p>
        </w:tc>
        <w:tc>
          <w:tcPr>
            <w:tcW w:w="2537" w:type="pct"/>
            <w:tcBorders>
              <w:tl2br w:val="nil"/>
              <w:tr2bl w:val="nil"/>
            </w:tcBorders>
            <w:vAlign w:val="center"/>
          </w:tcPr>
          <w:p w14:paraId="3F8E5967">
            <w:pPr>
              <w:rPr>
                <w:color w:val="000000" w:themeColor="text1"/>
                <w:szCs w:val="21"/>
                <w14:textFill>
                  <w14:solidFill>
                    <w14:schemeClr w14:val="tx1"/>
                  </w14:solidFill>
                </w14:textFill>
              </w:rPr>
            </w:pPr>
            <w:r>
              <w:rPr>
                <w:color w:val="000000" w:themeColor="text1"/>
                <w:szCs w:val="21"/>
                <w14:textFill>
                  <w14:solidFill>
                    <w14:schemeClr w14:val="tx1"/>
                  </w14:solidFill>
                </w14:textFill>
              </w:rPr>
              <w:t>食堂废水首先经隔油池（3m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）处理后同生活污水一起</w:t>
            </w:r>
            <w:r>
              <w:rPr>
                <w:rFonts w:hint="eastAsia"/>
                <w:color w:val="000000" w:themeColor="text1"/>
                <w:szCs w:val="21"/>
                <w14:textFill>
                  <w14:solidFill>
                    <w14:schemeClr w14:val="tx1"/>
                  </w14:solidFill>
                </w14:textFill>
              </w:rPr>
              <w:t>进入化粪池（4</w:t>
            </w:r>
            <w:r>
              <w:rPr>
                <w:color w:val="000000" w:themeColor="text1"/>
                <w:szCs w:val="21"/>
                <w14:textFill>
                  <w14:solidFill>
                    <w14:schemeClr w14:val="tx1"/>
                  </w14:solidFill>
                </w14:textFill>
              </w:rPr>
              <w:t>00</w:t>
            </w:r>
            <w:r>
              <w:rPr>
                <w:rFonts w:hint="eastAsia"/>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），暂存后定期外运用作农肥</w:t>
            </w:r>
            <w:r>
              <w:rPr>
                <w:color w:val="000000" w:themeColor="text1"/>
                <w:szCs w:val="21"/>
                <w14:textFill>
                  <w14:solidFill>
                    <w14:schemeClr w14:val="tx1"/>
                  </w14:solidFill>
                </w14:textFill>
              </w:rPr>
              <w:t>。</w:t>
            </w:r>
          </w:p>
        </w:tc>
        <w:tc>
          <w:tcPr>
            <w:tcW w:w="560" w:type="pct"/>
            <w:tcBorders>
              <w:tl2br w:val="nil"/>
              <w:tr2bl w:val="nil"/>
            </w:tcBorders>
            <w:vAlign w:val="center"/>
          </w:tcPr>
          <w:p w14:paraId="53088A7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c>
          <w:tcPr>
            <w:tcW w:w="406" w:type="pct"/>
            <w:tcBorders>
              <w:tl2br w:val="nil"/>
              <w:tr2bl w:val="nil"/>
            </w:tcBorders>
            <w:vAlign w:val="center"/>
          </w:tcPr>
          <w:p w14:paraId="09B53DCB">
            <w:pPr>
              <w:jc w:val="center"/>
              <w:rPr>
                <w:color w:val="000000" w:themeColor="text1"/>
                <w:szCs w:val="21"/>
                <w14:textFill>
                  <w14:solidFill>
                    <w14:schemeClr w14:val="tx1"/>
                  </w14:solidFill>
                </w14:textFill>
              </w:rPr>
            </w:pPr>
            <w:r>
              <w:rPr>
                <w:color w:val="000000" w:themeColor="text1"/>
                <w:spacing w:val="-6"/>
                <w:szCs w:val="21"/>
                <w14:textFill>
                  <w14:solidFill>
                    <w14:schemeClr w14:val="tx1"/>
                  </w14:solidFill>
                </w14:textFill>
              </w:rPr>
              <w:t>新建</w:t>
            </w:r>
          </w:p>
        </w:tc>
      </w:tr>
      <w:tr w14:paraId="7F5EF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tcBorders>
              <w:tl2br w:val="nil"/>
              <w:tr2bl w:val="nil"/>
            </w:tcBorders>
            <w:vAlign w:val="center"/>
          </w:tcPr>
          <w:p w14:paraId="0CF5ED6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3440" w:type="pct"/>
            <w:gridSpan w:val="2"/>
            <w:tcBorders>
              <w:tl2br w:val="nil"/>
              <w:tr2bl w:val="nil"/>
            </w:tcBorders>
            <w:vAlign w:val="center"/>
          </w:tcPr>
          <w:p w14:paraId="51A11049">
            <w:pPr>
              <w:rPr>
                <w:color w:val="000000" w:themeColor="text1"/>
                <w:szCs w:val="21"/>
                <w14:textFill>
                  <w14:solidFill>
                    <w14:schemeClr w14:val="tx1"/>
                  </w14:solidFill>
                </w14:textFill>
              </w:rPr>
            </w:pPr>
            <w:r>
              <w:rPr>
                <w:color w:val="000000" w:themeColor="text1"/>
                <w:szCs w:val="21"/>
                <w14:textFill>
                  <w14:solidFill>
                    <w14:schemeClr w14:val="tx1"/>
                  </w14:solidFill>
                </w14:textFill>
              </w:rPr>
              <w:t>合理喂养、加强管理，采取低噪声设备、厂墙隔声等综合降噪措施。</w:t>
            </w:r>
          </w:p>
        </w:tc>
        <w:tc>
          <w:tcPr>
            <w:tcW w:w="560" w:type="pct"/>
            <w:tcBorders>
              <w:tl2br w:val="nil"/>
              <w:tr2bl w:val="nil"/>
            </w:tcBorders>
            <w:vAlign w:val="center"/>
          </w:tcPr>
          <w:p w14:paraId="2AFA9D2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10.0</w:t>
            </w:r>
          </w:p>
        </w:tc>
        <w:tc>
          <w:tcPr>
            <w:tcW w:w="406" w:type="pct"/>
            <w:tcBorders>
              <w:tl2br w:val="nil"/>
              <w:tr2bl w:val="nil"/>
            </w:tcBorders>
            <w:vAlign w:val="center"/>
          </w:tcPr>
          <w:p w14:paraId="6B6AE84E">
            <w:pPr>
              <w:jc w:val="center"/>
              <w:rPr>
                <w:color w:val="000000" w:themeColor="text1"/>
                <w:spacing w:val="-6"/>
                <w:szCs w:val="21"/>
                <w14:textFill>
                  <w14:solidFill>
                    <w14:schemeClr w14:val="tx1"/>
                  </w14:solidFill>
                </w14:textFill>
              </w:rPr>
            </w:pPr>
            <w:r>
              <w:rPr>
                <w:color w:val="000000" w:themeColor="text1"/>
                <w:szCs w:val="21"/>
                <w14:textFill>
                  <w14:solidFill>
                    <w14:schemeClr w14:val="tx1"/>
                  </w14:solidFill>
                </w14:textFill>
              </w:rPr>
              <w:t>新建</w:t>
            </w:r>
          </w:p>
        </w:tc>
      </w:tr>
      <w:tr w14:paraId="045E70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tcBorders>
              <w:tl2br w:val="nil"/>
              <w:tr2bl w:val="nil"/>
            </w:tcBorders>
            <w:vAlign w:val="center"/>
          </w:tcPr>
          <w:p w14:paraId="7985B70C">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地下水污染防治</w:t>
            </w:r>
          </w:p>
        </w:tc>
        <w:tc>
          <w:tcPr>
            <w:tcW w:w="3440" w:type="pct"/>
            <w:gridSpan w:val="2"/>
            <w:tcBorders>
              <w:tl2br w:val="nil"/>
              <w:tr2bl w:val="nil"/>
            </w:tcBorders>
            <w:vAlign w:val="center"/>
          </w:tcPr>
          <w:p w14:paraId="19CC3847">
            <w:pPr>
              <w:rPr>
                <w:color w:val="000000" w:themeColor="text1"/>
                <w:szCs w:val="21"/>
                <w14:textFill>
                  <w14:solidFill>
                    <w14:schemeClr w14:val="tx1"/>
                  </w14:solidFill>
                </w14:textFill>
              </w:rPr>
            </w:pPr>
            <w:r>
              <w:rPr>
                <w:color w:val="000000" w:themeColor="text1"/>
                <w:szCs w:val="21"/>
                <w14:textFill>
                  <w14:solidFill>
                    <w14:schemeClr w14:val="tx1"/>
                  </w14:solidFill>
                </w14:textFill>
              </w:rPr>
              <w:t>分区防渗：</w:t>
            </w:r>
          </w:p>
          <w:p w14:paraId="4A97CB71">
            <w:pPr>
              <w:rPr>
                <w:bCs/>
                <w:color w:val="000000" w:themeColor="text1"/>
                <w:szCs w:val="21"/>
                <w14:textFill>
                  <w14:solidFill>
                    <w14:schemeClr w14:val="tx1"/>
                  </w14:solidFill>
                </w14:textFill>
              </w:rPr>
            </w:pPr>
            <w:r>
              <w:rPr>
                <w:rFonts w:hint="eastAsia"/>
                <w:color w:val="000000" w:themeColor="text1"/>
                <w:spacing w:val="7"/>
                <w:szCs w:val="21"/>
                <w14:textFill>
                  <w14:solidFill>
                    <w14:schemeClr w14:val="tx1"/>
                  </w14:solidFill>
                </w14:textFill>
              </w:rPr>
              <w:t>1）</w:t>
            </w:r>
            <w:r>
              <w:rPr>
                <w:color w:val="000000" w:themeColor="text1"/>
                <w:spacing w:val="7"/>
                <w:szCs w:val="21"/>
                <w14:textFill>
                  <w14:solidFill>
                    <w14:schemeClr w14:val="tx1"/>
                  </w14:solidFill>
                </w14:textFill>
              </w:rPr>
              <w:t>重点防渗区：</w:t>
            </w:r>
            <w:r>
              <w:rPr>
                <w:rFonts w:hint="eastAsia"/>
                <w:color w:val="000000" w:themeColor="text1"/>
                <w:spacing w:val="7"/>
                <w:szCs w:val="21"/>
                <w14:textFill>
                  <w14:solidFill>
                    <w14:schemeClr w14:val="tx1"/>
                  </w14:solidFill>
                </w14:textFill>
              </w:rPr>
              <w:t>医</w:t>
            </w:r>
            <w:r>
              <w:rPr>
                <w:color w:val="000000" w:themeColor="text1"/>
                <w:spacing w:val="12"/>
                <w:szCs w:val="21"/>
                <w14:textFill>
                  <w14:solidFill>
                    <w14:schemeClr w14:val="tx1"/>
                  </w14:solidFill>
                </w14:textFill>
              </w:rPr>
              <w:t>废暂存间</w:t>
            </w:r>
            <w:r>
              <w:rPr>
                <w:color w:val="000000" w:themeColor="text1"/>
                <w:szCs w:val="21"/>
                <w14:textFill>
                  <w14:solidFill>
                    <w14:schemeClr w14:val="tx1"/>
                  </w14:solidFill>
                </w14:textFill>
              </w:rPr>
              <w:t>防渗层为至少1m厚黏土层（渗透系数不大于10</w:t>
            </w:r>
            <w:r>
              <w:rPr>
                <w:color w:val="000000" w:themeColor="text1"/>
                <w:szCs w:val="21"/>
                <w:vertAlign w:val="superscript"/>
                <w14:textFill>
                  <w14:solidFill>
                    <w14:schemeClr w14:val="tx1"/>
                  </w14:solidFill>
                </w14:textFill>
              </w:rPr>
              <w:t>-7</w:t>
            </w:r>
            <w:r>
              <w:rPr>
                <w:color w:val="000000" w:themeColor="text1"/>
                <w:szCs w:val="21"/>
                <w14:textFill>
                  <w14:solidFill>
                    <w14:schemeClr w14:val="tx1"/>
                  </w14:solidFill>
                </w14:textFill>
              </w:rPr>
              <w:t>cm/s），或至少2mm厚高密度聚乙烯膜等人工防渗材料（渗透系数不大于10</w:t>
            </w:r>
            <w:r>
              <w:rPr>
                <w:color w:val="000000" w:themeColor="text1"/>
                <w:szCs w:val="21"/>
                <w:vertAlign w:val="superscript"/>
                <w14:textFill>
                  <w14:solidFill>
                    <w14:schemeClr w14:val="tx1"/>
                  </w14:solidFill>
                </w14:textFill>
              </w:rPr>
              <w:t>-10</w:t>
            </w:r>
            <w:r>
              <w:rPr>
                <w:color w:val="000000" w:themeColor="text1"/>
                <w:szCs w:val="21"/>
                <w14:textFill>
                  <w14:solidFill>
                    <w14:schemeClr w14:val="tx1"/>
                  </w14:solidFill>
                </w14:textFill>
              </w:rPr>
              <w:t>cm/s），</w:t>
            </w:r>
            <w:r>
              <w:rPr>
                <w:rFonts w:hint="eastAsia"/>
                <w:color w:val="000000" w:themeColor="text1"/>
                <w:szCs w:val="21"/>
                <w14:textFill>
                  <w14:solidFill>
                    <w14:schemeClr w14:val="tx1"/>
                  </w14:solidFill>
                </w14:textFill>
              </w:rPr>
              <w:t>青贮窖、</w:t>
            </w:r>
            <w:r>
              <w:rPr>
                <w:color w:val="000000" w:themeColor="text1"/>
                <w:spacing w:val="-2"/>
                <w:szCs w:val="21"/>
                <w14:textFill>
                  <w14:solidFill>
                    <w14:schemeClr w14:val="tx1"/>
                  </w14:solidFill>
                </w14:textFill>
              </w:rPr>
              <w:t>药品库、柴油发电机房、隔油池、初期雨水池</w:t>
            </w:r>
            <w:r>
              <w:rPr>
                <w:bCs/>
                <w:color w:val="000000" w:themeColor="text1"/>
                <w:szCs w:val="21"/>
                <w14:textFill>
                  <w14:solidFill>
                    <w14:schemeClr w14:val="tx1"/>
                  </w14:solidFill>
                </w14:textFill>
              </w:rPr>
              <w:t>等效黏土防渗层Mb≥6.0m，渗透系数K≤1.0×10</w:t>
            </w:r>
            <w:r>
              <w:rPr>
                <w:bCs/>
                <w:color w:val="000000" w:themeColor="text1"/>
                <w:szCs w:val="21"/>
                <w:vertAlign w:val="superscript"/>
                <w14:textFill>
                  <w14:solidFill>
                    <w14:schemeClr w14:val="tx1"/>
                  </w14:solidFill>
                </w14:textFill>
              </w:rPr>
              <w:t>-7</w:t>
            </w:r>
            <w:r>
              <w:rPr>
                <w:bCs/>
                <w:color w:val="000000" w:themeColor="text1"/>
                <w:szCs w:val="21"/>
                <w14:textFill>
                  <w14:solidFill>
                    <w14:schemeClr w14:val="tx1"/>
                  </w14:solidFill>
                </w14:textFill>
              </w:rPr>
              <w:t>cm/s。</w:t>
            </w:r>
          </w:p>
          <w:p w14:paraId="3C648B1D">
            <w:pP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2）</w:t>
            </w:r>
            <w:r>
              <w:rPr>
                <w:bCs/>
                <w:color w:val="000000" w:themeColor="text1"/>
                <w:szCs w:val="21"/>
                <w14:textFill>
                  <w14:solidFill>
                    <w14:schemeClr w14:val="tx1"/>
                  </w14:solidFill>
                </w14:textFill>
              </w:rPr>
              <w:t>一般防渗区：</w:t>
            </w:r>
            <w:r>
              <w:rPr>
                <w:rFonts w:hint="eastAsia"/>
                <w:bCs/>
                <w:color w:val="000000" w:themeColor="text1"/>
                <w:szCs w:val="21"/>
                <w14:textFill>
                  <w14:solidFill>
                    <w14:schemeClr w14:val="tx1"/>
                  </w14:solidFill>
                </w14:textFill>
              </w:rPr>
              <w:t>牛舍</w:t>
            </w:r>
            <w:r>
              <w:rPr>
                <w:bCs/>
                <w:color w:val="000000" w:themeColor="text1"/>
                <w:szCs w:val="21"/>
                <w14:textFill>
                  <w14:solidFill>
                    <w14:schemeClr w14:val="tx1"/>
                  </w14:solidFill>
                </w14:textFill>
              </w:rPr>
              <w:t>、</w:t>
            </w:r>
            <w:r>
              <w:rPr>
                <w:color w:val="000000" w:themeColor="text1"/>
                <w:spacing w:val="2"/>
                <w:szCs w:val="21"/>
                <w14:textFill>
                  <w14:solidFill>
                    <w14:schemeClr w14:val="tx1"/>
                  </w14:solidFill>
                </w14:textFill>
              </w:rPr>
              <w:t>饲料仓库、饲料加工间、消毒池</w:t>
            </w:r>
            <w:r>
              <w:rPr>
                <w:rFonts w:hint="eastAsia"/>
                <w:color w:val="000000" w:themeColor="text1"/>
                <w:spacing w:val="2"/>
                <w:szCs w:val="21"/>
                <w14:textFill>
                  <w14:solidFill>
                    <w14:schemeClr w14:val="tx1"/>
                  </w14:solidFill>
                </w14:textFill>
              </w:rPr>
              <w:t>、冷库</w:t>
            </w:r>
            <w:r>
              <w:rPr>
                <w:color w:val="000000" w:themeColor="text1"/>
                <w:spacing w:val="2"/>
                <w:szCs w:val="21"/>
                <w14:textFill>
                  <w14:solidFill>
                    <w14:schemeClr w14:val="tx1"/>
                  </w14:solidFill>
                </w14:textFill>
              </w:rPr>
              <w:t>采取</w:t>
            </w:r>
            <w:r>
              <w:rPr>
                <w:color w:val="000000" w:themeColor="text1"/>
                <w:spacing w:val="7"/>
                <w:szCs w:val="21"/>
                <w14:textFill>
                  <w14:solidFill>
                    <w14:schemeClr w14:val="tx1"/>
                  </w14:solidFill>
                </w14:textFill>
              </w:rPr>
              <w:t>一般防渗措施，</w:t>
            </w:r>
            <w:r>
              <w:rPr>
                <w:bCs/>
                <w:color w:val="000000" w:themeColor="text1"/>
                <w:szCs w:val="21"/>
                <w14:textFill>
                  <w14:solidFill>
                    <w14:schemeClr w14:val="tx1"/>
                  </w14:solidFill>
                </w14:textFill>
              </w:rPr>
              <w:t>等效黏土防渗层Mb≥1.5m，渗透系数K≤1.0×10</w:t>
            </w:r>
            <w:r>
              <w:rPr>
                <w:bCs/>
                <w:color w:val="000000" w:themeColor="text1"/>
                <w:szCs w:val="21"/>
                <w:vertAlign w:val="superscript"/>
                <w14:textFill>
                  <w14:solidFill>
                    <w14:schemeClr w14:val="tx1"/>
                  </w14:solidFill>
                </w14:textFill>
              </w:rPr>
              <w:t>-7</w:t>
            </w:r>
            <w:r>
              <w:rPr>
                <w:bCs/>
                <w:color w:val="000000" w:themeColor="text1"/>
                <w:szCs w:val="21"/>
                <w14:textFill>
                  <w14:solidFill>
                    <w14:schemeClr w14:val="tx1"/>
                  </w14:solidFill>
                </w14:textFill>
              </w:rPr>
              <w:t>cm/s。</w:t>
            </w:r>
          </w:p>
          <w:p w14:paraId="7839A1F0">
            <w:pPr>
              <w:rPr>
                <w:color w:val="000000" w:themeColor="text1"/>
                <w:spacing w:val="12"/>
                <w:szCs w:val="21"/>
                <w14:textFill>
                  <w14:solidFill>
                    <w14:schemeClr w14:val="tx1"/>
                  </w14:solidFill>
                </w14:textFill>
              </w:rPr>
            </w:pPr>
            <w:r>
              <w:rPr>
                <w:rFonts w:hint="eastAsia"/>
                <w:bCs/>
                <w:color w:val="000000" w:themeColor="text1"/>
                <w:szCs w:val="21"/>
                <w14:textFill>
                  <w14:solidFill>
                    <w14:schemeClr w14:val="tx1"/>
                  </w14:solidFill>
                </w14:textFill>
              </w:rPr>
              <w:t>3）</w:t>
            </w:r>
            <w:r>
              <w:rPr>
                <w:bCs/>
                <w:color w:val="000000" w:themeColor="text1"/>
                <w:szCs w:val="21"/>
                <w14:textFill>
                  <w14:solidFill>
                    <w14:schemeClr w14:val="tx1"/>
                  </w14:solidFill>
                </w14:textFill>
              </w:rPr>
              <w:t>简单防渗区：</w:t>
            </w:r>
            <w:r>
              <w:rPr>
                <w:color w:val="000000" w:themeColor="text1"/>
                <w:spacing w:val="12"/>
                <w:szCs w:val="21"/>
                <w14:textFill>
                  <w14:solidFill>
                    <w14:schemeClr w14:val="tx1"/>
                  </w14:solidFill>
                </w14:textFill>
              </w:rPr>
              <w:t>办公生活区、道路等采取一般地面硬化。</w:t>
            </w:r>
          </w:p>
          <w:p w14:paraId="56065C30">
            <w:pPr>
              <w:rPr>
                <w:color w:val="000000" w:themeColor="text1"/>
                <w:szCs w:val="21"/>
                <w14:textFill>
                  <w14:solidFill>
                    <w14:schemeClr w14:val="tx1"/>
                  </w14:solidFill>
                </w14:textFill>
              </w:rPr>
            </w:pPr>
            <w:r>
              <w:rPr>
                <w:color w:val="000000" w:themeColor="text1"/>
                <w:spacing w:val="12"/>
                <w:szCs w:val="21"/>
                <w14:textFill>
                  <w14:solidFill>
                    <w14:schemeClr w14:val="tx1"/>
                  </w14:solidFill>
                </w14:textFill>
              </w:rPr>
              <w:t>厂区下游设置1口地下水监测井，跟踪监测。</w:t>
            </w:r>
          </w:p>
        </w:tc>
        <w:tc>
          <w:tcPr>
            <w:tcW w:w="560" w:type="pct"/>
            <w:tcBorders>
              <w:tl2br w:val="nil"/>
              <w:tr2bl w:val="nil"/>
            </w:tcBorders>
            <w:vAlign w:val="center"/>
          </w:tcPr>
          <w:p w14:paraId="4D0B7BC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60.0</w:t>
            </w:r>
          </w:p>
        </w:tc>
        <w:tc>
          <w:tcPr>
            <w:tcW w:w="406" w:type="pct"/>
            <w:tcBorders>
              <w:tl2br w:val="nil"/>
              <w:tr2bl w:val="nil"/>
            </w:tcBorders>
            <w:vAlign w:val="center"/>
          </w:tcPr>
          <w:p w14:paraId="4C9828B4">
            <w:pPr>
              <w:jc w:val="cente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新建</w:t>
            </w:r>
          </w:p>
        </w:tc>
      </w:tr>
      <w:tr w14:paraId="4FDC66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514" w:hRule="atLeast"/>
          <w:jc w:val="center"/>
        </w:trPr>
        <w:tc>
          <w:tcPr>
            <w:tcW w:w="594" w:type="pct"/>
            <w:vMerge w:val="restart"/>
            <w:tcBorders>
              <w:tl2br w:val="nil"/>
              <w:tr2bl w:val="nil"/>
            </w:tcBorders>
            <w:vAlign w:val="center"/>
          </w:tcPr>
          <w:p w14:paraId="35FDD42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固体废物</w:t>
            </w:r>
          </w:p>
        </w:tc>
        <w:tc>
          <w:tcPr>
            <w:tcW w:w="3440" w:type="pct"/>
            <w:gridSpan w:val="2"/>
            <w:tcBorders>
              <w:tl2br w:val="nil"/>
              <w:tr2bl w:val="nil"/>
            </w:tcBorders>
            <w:vAlign w:val="center"/>
          </w:tcPr>
          <w:p w14:paraId="65C0BACD">
            <w:pP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危险废物：</w:t>
            </w:r>
            <w:r>
              <w:rPr>
                <w:rFonts w:hint="eastAsia"/>
                <w:color w:val="000000" w:themeColor="text1"/>
                <w:szCs w:val="21"/>
                <w14:textFill>
                  <w14:solidFill>
                    <w14:schemeClr w14:val="tx1"/>
                  </w14:solidFill>
                </w14:textFill>
              </w:rPr>
              <w:t>各养殖小区</w:t>
            </w:r>
            <w:r>
              <w:rPr>
                <w:color w:val="000000" w:themeColor="text1"/>
                <w:szCs w:val="21"/>
                <w14:textFill>
                  <w14:solidFill>
                    <w14:schemeClr w14:val="tx1"/>
                  </w14:solidFill>
                </w14:textFill>
              </w:rPr>
              <w:t>设置1间危废暂存间，</w:t>
            </w:r>
            <w:r>
              <w:rPr>
                <w:color w:val="000000" w:themeColor="text1"/>
                <w:spacing w:val="6"/>
                <w:szCs w:val="21"/>
                <w14:textFill>
                  <w14:solidFill>
                    <w14:schemeClr w14:val="tx1"/>
                  </w14:solidFill>
                </w14:textFill>
              </w:rPr>
              <w:t>30</w:t>
            </w:r>
            <w:r>
              <w:rPr>
                <w:rFonts w:eastAsia="Times New Roman"/>
                <w:color w:val="000000" w:themeColor="text1"/>
                <w:spacing w:val="6"/>
                <w:szCs w:val="21"/>
                <w14:textFill>
                  <w14:solidFill>
                    <w14:schemeClr w14:val="tx1"/>
                  </w14:solidFill>
                </w14:textFill>
              </w:rPr>
              <w:t>m</w:t>
            </w:r>
            <w:r>
              <w:rPr>
                <w:color w:val="000000" w:themeColor="text1"/>
                <w:spacing w:val="6"/>
                <w:szCs w:val="21"/>
                <w:vertAlign w:val="superscript"/>
                <w14:textFill>
                  <w14:solidFill>
                    <w14:schemeClr w14:val="tx1"/>
                  </w14:solidFill>
                </w14:textFill>
              </w:rPr>
              <w:t>2</w:t>
            </w:r>
            <w:r>
              <w:rPr>
                <w:color w:val="000000" w:themeColor="text1"/>
                <w:szCs w:val="21"/>
                <w14:textFill>
                  <w14:solidFill>
                    <w14:schemeClr w14:val="tx1"/>
                  </w14:solidFill>
                </w14:textFill>
              </w:rPr>
              <w:t>，动物医疗废物、危险废物定期交有相应资质的单位处理。</w:t>
            </w:r>
          </w:p>
        </w:tc>
        <w:tc>
          <w:tcPr>
            <w:tcW w:w="560" w:type="pct"/>
            <w:tcBorders>
              <w:tl2br w:val="nil"/>
              <w:tr2bl w:val="nil"/>
            </w:tcBorders>
            <w:vAlign w:val="center"/>
          </w:tcPr>
          <w:p w14:paraId="2DCB341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10.0</w:t>
            </w:r>
          </w:p>
        </w:tc>
        <w:tc>
          <w:tcPr>
            <w:tcW w:w="406" w:type="pct"/>
            <w:tcBorders>
              <w:tl2br w:val="nil"/>
              <w:tr2bl w:val="nil"/>
            </w:tcBorders>
            <w:vAlign w:val="center"/>
          </w:tcPr>
          <w:p w14:paraId="679B6772">
            <w:pPr>
              <w:jc w:val="center"/>
              <w:rPr>
                <w:color w:val="000000" w:themeColor="text1"/>
                <w:spacing w:val="-6"/>
                <w:szCs w:val="21"/>
                <w14:textFill>
                  <w14:solidFill>
                    <w14:schemeClr w14:val="tx1"/>
                  </w14:solidFill>
                </w14:textFill>
              </w:rPr>
            </w:pPr>
            <w:r>
              <w:rPr>
                <w:color w:val="000000" w:themeColor="text1"/>
                <w:szCs w:val="21"/>
                <w14:textFill>
                  <w14:solidFill>
                    <w14:schemeClr w14:val="tx1"/>
                  </w14:solidFill>
                </w14:textFill>
              </w:rPr>
              <w:t>新建</w:t>
            </w:r>
          </w:p>
        </w:tc>
      </w:tr>
      <w:tr w14:paraId="21BA5E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24" w:hRule="atLeast"/>
          <w:jc w:val="center"/>
        </w:trPr>
        <w:tc>
          <w:tcPr>
            <w:tcW w:w="594" w:type="pct"/>
            <w:vMerge w:val="continue"/>
            <w:tcBorders>
              <w:tl2br w:val="nil"/>
              <w:tr2bl w:val="nil"/>
            </w:tcBorders>
            <w:vAlign w:val="center"/>
          </w:tcPr>
          <w:p w14:paraId="55598BF2">
            <w:pPr>
              <w:jc w:val="center"/>
              <w:rPr>
                <w:color w:val="000000" w:themeColor="text1"/>
                <w:szCs w:val="21"/>
                <w14:textFill>
                  <w14:solidFill>
                    <w14:schemeClr w14:val="tx1"/>
                  </w14:solidFill>
                </w14:textFill>
              </w:rPr>
            </w:pPr>
          </w:p>
        </w:tc>
        <w:tc>
          <w:tcPr>
            <w:tcW w:w="3440" w:type="pct"/>
            <w:gridSpan w:val="2"/>
            <w:tcBorders>
              <w:tl2br w:val="nil"/>
              <w:tr2bl w:val="nil"/>
            </w:tcBorders>
            <w:vAlign w:val="center"/>
          </w:tcPr>
          <w:p w14:paraId="675AA6DE">
            <w:pP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生活垃圾：厂区内设置垃圾桶，</w:t>
            </w:r>
            <w:r>
              <w:rPr>
                <w:color w:val="000000" w:themeColor="text1"/>
                <w14:textFill>
                  <w14:solidFill>
                    <w14:schemeClr w14:val="tx1"/>
                  </w14:solidFill>
                </w14:textFill>
              </w:rPr>
              <w:t>交由环卫部门处理。</w:t>
            </w:r>
          </w:p>
        </w:tc>
        <w:tc>
          <w:tcPr>
            <w:tcW w:w="560" w:type="pct"/>
            <w:tcBorders>
              <w:tl2br w:val="nil"/>
              <w:tr2bl w:val="nil"/>
            </w:tcBorders>
            <w:vAlign w:val="center"/>
          </w:tcPr>
          <w:p w14:paraId="1BC0785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c>
          <w:tcPr>
            <w:tcW w:w="406" w:type="pct"/>
            <w:tcBorders>
              <w:tl2br w:val="nil"/>
              <w:tr2bl w:val="nil"/>
            </w:tcBorders>
            <w:vAlign w:val="center"/>
          </w:tcPr>
          <w:p w14:paraId="41D4F4A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196060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44" w:hRule="atLeast"/>
          <w:jc w:val="center"/>
        </w:trPr>
        <w:tc>
          <w:tcPr>
            <w:tcW w:w="594" w:type="pct"/>
            <w:vMerge w:val="continue"/>
            <w:tcBorders>
              <w:tl2br w:val="nil"/>
              <w:tr2bl w:val="nil"/>
            </w:tcBorders>
            <w:vAlign w:val="center"/>
          </w:tcPr>
          <w:p w14:paraId="05D18215">
            <w:pPr>
              <w:jc w:val="center"/>
              <w:rPr>
                <w:color w:val="000000" w:themeColor="text1"/>
                <w:szCs w:val="21"/>
                <w14:textFill>
                  <w14:solidFill>
                    <w14:schemeClr w14:val="tx1"/>
                  </w14:solidFill>
                </w14:textFill>
              </w:rPr>
            </w:pPr>
          </w:p>
        </w:tc>
        <w:tc>
          <w:tcPr>
            <w:tcW w:w="3440" w:type="pct"/>
            <w:gridSpan w:val="2"/>
            <w:tcBorders>
              <w:tl2br w:val="nil"/>
              <w:tr2bl w:val="nil"/>
            </w:tcBorders>
            <w:vAlign w:val="center"/>
          </w:tcPr>
          <w:p w14:paraId="5178180D">
            <w:pPr>
              <w:rPr>
                <w:color w:val="000000" w:themeColor="text1"/>
                <w:szCs w:val="21"/>
                <w14:textFill>
                  <w14:solidFill>
                    <w14:schemeClr w14:val="tx1"/>
                  </w14:solidFill>
                </w14:textFill>
              </w:rPr>
            </w:pPr>
            <w:r>
              <w:rPr>
                <w:color w:val="000000" w:themeColor="text1"/>
                <w:szCs w:val="21"/>
                <w14:textFill>
                  <w14:solidFill>
                    <w14:schemeClr w14:val="tx1"/>
                  </w14:solidFill>
                </w14:textFill>
              </w:rPr>
              <w:t>餐厨垃圾（含隔油池油脂）</w:t>
            </w:r>
            <w:r>
              <w:rPr>
                <w:color w:val="000000" w:themeColor="text1"/>
                <w14:textFill>
                  <w14:solidFill>
                    <w14:schemeClr w14:val="tx1"/>
                  </w14:solidFill>
                </w14:textFill>
              </w:rPr>
              <w:t>由取得经营许可的餐厨垃圾处理单位处置。</w:t>
            </w:r>
          </w:p>
        </w:tc>
        <w:tc>
          <w:tcPr>
            <w:tcW w:w="560" w:type="pct"/>
            <w:tcBorders>
              <w:tl2br w:val="nil"/>
              <w:tr2bl w:val="nil"/>
            </w:tcBorders>
            <w:vAlign w:val="center"/>
          </w:tcPr>
          <w:p w14:paraId="073F7BF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c>
          <w:tcPr>
            <w:tcW w:w="406" w:type="pct"/>
            <w:tcBorders>
              <w:tl2br w:val="nil"/>
              <w:tr2bl w:val="nil"/>
            </w:tcBorders>
            <w:vAlign w:val="center"/>
          </w:tcPr>
          <w:p w14:paraId="2982C8D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2C06AE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384" w:hRule="atLeast"/>
          <w:jc w:val="center"/>
        </w:trPr>
        <w:tc>
          <w:tcPr>
            <w:tcW w:w="594" w:type="pct"/>
            <w:vMerge w:val="continue"/>
            <w:tcBorders>
              <w:tl2br w:val="nil"/>
              <w:tr2bl w:val="nil"/>
            </w:tcBorders>
            <w:vAlign w:val="center"/>
          </w:tcPr>
          <w:p w14:paraId="21634B19">
            <w:pPr>
              <w:jc w:val="center"/>
              <w:rPr>
                <w:color w:val="000000" w:themeColor="text1"/>
                <w:szCs w:val="21"/>
                <w14:textFill>
                  <w14:solidFill>
                    <w14:schemeClr w14:val="tx1"/>
                  </w14:solidFill>
                </w14:textFill>
              </w:rPr>
            </w:pPr>
          </w:p>
        </w:tc>
        <w:tc>
          <w:tcPr>
            <w:tcW w:w="3440" w:type="pct"/>
            <w:gridSpan w:val="2"/>
            <w:tcBorders>
              <w:tl2br w:val="nil"/>
              <w:tr2bl w:val="nil"/>
            </w:tcBorders>
            <w:vAlign w:val="center"/>
          </w:tcPr>
          <w:p w14:paraId="7944B8D3">
            <w:pPr>
              <w:rPr>
                <w:color w:val="000000" w:themeColor="text1"/>
                <w:szCs w:val="21"/>
                <w14:textFill>
                  <w14:solidFill>
                    <w14:schemeClr w14:val="tx1"/>
                  </w14:solidFill>
                </w14:textFill>
              </w:rPr>
            </w:pPr>
            <w:r>
              <w:rPr>
                <w:color w:val="000000" w:themeColor="text1"/>
                <w:szCs w:val="21"/>
                <w14:textFill>
                  <w14:solidFill>
                    <w14:schemeClr w14:val="tx1"/>
                  </w14:solidFill>
                </w14:textFill>
              </w:rPr>
              <w:t>病死</w:t>
            </w:r>
            <w:r>
              <w:rPr>
                <w:rFonts w:hint="eastAsia"/>
                <w:color w:val="000000" w:themeColor="text1"/>
                <w:szCs w:val="21"/>
                <w14:textFill>
                  <w14:solidFill>
                    <w14:schemeClr w14:val="tx1"/>
                  </w14:solidFill>
                </w14:textFill>
              </w:rPr>
              <w:t>牛</w:t>
            </w:r>
            <w:r>
              <w:rPr>
                <w:color w:val="000000" w:themeColor="text1"/>
                <w:szCs w:val="21"/>
                <w14:textFill>
                  <w14:solidFill>
                    <w14:schemeClr w14:val="tx1"/>
                  </w14:solidFill>
                </w14:textFill>
              </w:rPr>
              <w:t>托四川科农动物无害化处理有限公司无害化处理中心处置。</w:t>
            </w:r>
          </w:p>
        </w:tc>
        <w:tc>
          <w:tcPr>
            <w:tcW w:w="560" w:type="pct"/>
            <w:tcBorders>
              <w:tl2br w:val="nil"/>
              <w:tr2bl w:val="nil"/>
            </w:tcBorders>
            <w:vAlign w:val="center"/>
          </w:tcPr>
          <w:p w14:paraId="5C73601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6.0</w:t>
            </w:r>
          </w:p>
        </w:tc>
        <w:tc>
          <w:tcPr>
            <w:tcW w:w="406" w:type="pct"/>
            <w:tcBorders>
              <w:tl2br w:val="nil"/>
              <w:tr2bl w:val="nil"/>
            </w:tcBorders>
            <w:vAlign w:val="center"/>
          </w:tcPr>
          <w:p w14:paraId="5139A89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32D316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vMerge w:val="restart"/>
            <w:tcBorders>
              <w:tl2br w:val="nil"/>
              <w:tr2bl w:val="nil"/>
            </w:tcBorders>
            <w:vAlign w:val="center"/>
          </w:tcPr>
          <w:p w14:paraId="0497048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环境风险</w:t>
            </w:r>
          </w:p>
        </w:tc>
        <w:tc>
          <w:tcPr>
            <w:tcW w:w="3440" w:type="pct"/>
            <w:gridSpan w:val="2"/>
            <w:tcBorders>
              <w:tl2br w:val="nil"/>
              <w:tr2bl w:val="nil"/>
            </w:tcBorders>
            <w:vAlign w:val="center"/>
          </w:tcPr>
          <w:p w14:paraId="30953590">
            <w:pPr>
              <w:rPr>
                <w:color w:val="000000" w:themeColor="text1"/>
                <w:spacing w:val="-6"/>
                <w:szCs w:val="21"/>
                <w14:textFill>
                  <w14:solidFill>
                    <w14:schemeClr w14:val="tx1"/>
                  </w14:solidFill>
                </w14:textFill>
              </w:rPr>
            </w:pPr>
            <w:r>
              <w:rPr>
                <w:color w:val="000000" w:themeColor="text1"/>
                <w:spacing w:val="-6"/>
                <w:szCs w:val="21"/>
                <w14:textFill>
                  <w14:solidFill>
                    <w14:schemeClr w14:val="tx1"/>
                  </w14:solidFill>
                </w14:textFill>
              </w:rPr>
              <w:t>落实防火、防爆设计要求，配备足够的消防器材</w:t>
            </w:r>
          </w:p>
        </w:tc>
        <w:tc>
          <w:tcPr>
            <w:tcW w:w="560" w:type="pct"/>
            <w:vMerge w:val="restart"/>
            <w:tcBorders>
              <w:tl2br w:val="nil"/>
              <w:tr2bl w:val="nil"/>
            </w:tcBorders>
            <w:vAlign w:val="center"/>
          </w:tcPr>
          <w:p w14:paraId="6734A79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30.0</w:t>
            </w:r>
          </w:p>
        </w:tc>
        <w:tc>
          <w:tcPr>
            <w:tcW w:w="406" w:type="pct"/>
            <w:vMerge w:val="restart"/>
            <w:tcBorders>
              <w:tl2br w:val="nil"/>
              <w:tr2bl w:val="nil"/>
            </w:tcBorders>
            <w:vAlign w:val="center"/>
          </w:tcPr>
          <w:p w14:paraId="6A0DE9E6">
            <w:pPr>
              <w:jc w:val="center"/>
              <w:rPr>
                <w:color w:val="000000" w:themeColor="text1"/>
                <w:spacing w:val="-6"/>
                <w:szCs w:val="21"/>
                <w14:textFill>
                  <w14:solidFill>
                    <w14:schemeClr w14:val="tx1"/>
                  </w14:solidFill>
                </w14:textFill>
              </w:rPr>
            </w:pPr>
            <w:r>
              <w:rPr>
                <w:color w:val="000000" w:themeColor="text1"/>
                <w:szCs w:val="21"/>
                <w14:textFill>
                  <w14:solidFill>
                    <w14:schemeClr w14:val="tx1"/>
                  </w14:solidFill>
                </w14:textFill>
              </w:rPr>
              <w:t>新建</w:t>
            </w:r>
          </w:p>
        </w:tc>
      </w:tr>
      <w:tr w14:paraId="48A05B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vMerge w:val="continue"/>
            <w:tcBorders>
              <w:tl2br w:val="nil"/>
              <w:tr2bl w:val="nil"/>
            </w:tcBorders>
            <w:vAlign w:val="center"/>
          </w:tcPr>
          <w:p w14:paraId="67147AE1">
            <w:pPr>
              <w:jc w:val="center"/>
              <w:rPr>
                <w:color w:val="000000" w:themeColor="text1"/>
                <w:szCs w:val="21"/>
                <w14:textFill>
                  <w14:solidFill>
                    <w14:schemeClr w14:val="tx1"/>
                  </w14:solidFill>
                </w14:textFill>
              </w:rPr>
            </w:pPr>
          </w:p>
        </w:tc>
        <w:tc>
          <w:tcPr>
            <w:tcW w:w="3440" w:type="pct"/>
            <w:gridSpan w:val="2"/>
            <w:tcBorders>
              <w:tl2br w:val="nil"/>
              <w:tr2bl w:val="nil"/>
            </w:tcBorders>
            <w:vAlign w:val="center"/>
          </w:tcPr>
          <w:p w14:paraId="17BB0646">
            <w:pPr>
              <w:rPr>
                <w:color w:val="000000" w:themeColor="text1"/>
                <w:spacing w:val="-6"/>
                <w:szCs w:val="21"/>
                <w14:textFill>
                  <w14:solidFill>
                    <w14:schemeClr w14:val="tx1"/>
                  </w14:solidFill>
                </w14:textFill>
              </w:rPr>
            </w:pPr>
            <w:r>
              <w:rPr>
                <w:color w:val="FF0000"/>
                <w:szCs w:val="21"/>
              </w:rPr>
              <w:t>设置1个容积为1000m</w:t>
            </w:r>
            <w:r>
              <w:rPr>
                <w:color w:val="FF0000"/>
                <w:szCs w:val="21"/>
                <w:vertAlign w:val="superscript"/>
              </w:rPr>
              <w:t>3</w:t>
            </w:r>
            <w:r>
              <w:rPr>
                <w:color w:val="FF0000"/>
                <w:szCs w:val="21"/>
              </w:rPr>
              <w:t>的事故应急池，当污水处理设施发生故障停运时，将废水导入应急事故池中。待处理设施运行正常后，事故解除后重新</w:t>
            </w:r>
            <w:r>
              <w:rPr>
                <w:rFonts w:hint="eastAsia"/>
                <w:color w:val="FF0000"/>
                <w:szCs w:val="21"/>
              </w:rPr>
              <w:t>对污染物</w:t>
            </w:r>
            <w:r>
              <w:rPr>
                <w:color w:val="FF0000"/>
                <w:szCs w:val="21"/>
              </w:rPr>
              <w:t>进行处理。</w:t>
            </w:r>
          </w:p>
        </w:tc>
        <w:tc>
          <w:tcPr>
            <w:tcW w:w="560" w:type="pct"/>
            <w:vMerge w:val="continue"/>
            <w:tcBorders>
              <w:tl2br w:val="nil"/>
              <w:tr2bl w:val="nil"/>
            </w:tcBorders>
            <w:vAlign w:val="center"/>
          </w:tcPr>
          <w:p w14:paraId="7CEC5A8E">
            <w:pPr>
              <w:jc w:val="center"/>
              <w:rPr>
                <w:color w:val="000000" w:themeColor="text1"/>
                <w:szCs w:val="21"/>
                <w14:textFill>
                  <w14:solidFill>
                    <w14:schemeClr w14:val="tx1"/>
                  </w14:solidFill>
                </w14:textFill>
              </w:rPr>
            </w:pPr>
          </w:p>
        </w:tc>
        <w:tc>
          <w:tcPr>
            <w:tcW w:w="406" w:type="pct"/>
            <w:vMerge w:val="continue"/>
            <w:tcBorders>
              <w:tl2br w:val="nil"/>
              <w:tr2bl w:val="nil"/>
            </w:tcBorders>
            <w:vAlign w:val="center"/>
          </w:tcPr>
          <w:p w14:paraId="125B0375">
            <w:pPr>
              <w:jc w:val="center"/>
              <w:rPr>
                <w:color w:val="000000" w:themeColor="text1"/>
                <w:szCs w:val="21"/>
                <w14:textFill>
                  <w14:solidFill>
                    <w14:schemeClr w14:val="tx1"/>
                  </w14:solidFill>
                </w14:textFill>
              </w:rPr>
            </w:pPr>
          </w:p>
        </w:tc>
      </w:tr>
      <w:tr w14:paraId="251060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vMerge w:val="continue"/>
            <w:tcBorders>
              <w:tl2br w:val="nil"/>
              <w:tr2bl w:val="nil"/>
            </w:tcBorders>
            <w:vAlign w:val="center"/>
          </w:tcPr>
          <w:p w14:paraId="4ADE2A5F">
            <w:pPr>
              <w:jc w:val="center"/>
              <w:rPr>
                <w:color w:val="000000" w:themeColor="text1"/>
                <w:szCs w:val="21"/>
                <w14:textFill>
                  <w14:solidFill>
                    <w14:schemeClr w14:val="tx1"/>
                  </w14:solidFill>
                </w14:textFill>
              </w:rPr>
            </w:pPr>
          </w:p>
        </w:tc>
        <w:tc>
          <w:tcPr>
            <w:tcW w:w="3440" w:type="pct"/>
            <w:gridSpan w:val="2"/>
            <w:tcBorders>
              <w:tl2br w:val="nil"/>
              <w:tr2bl w:val="nil"/>
            </w:tcBorders>
            <w:vAlign w:val="center"/>
          </w:tcPr>
          <w:p w14:paraId="480C56B4">
            <w:pPr>
              <w:jc w:val="both"/>
              <w:rPr>
                <w:color w:val="000000" w:themeColor="text1"/>
                <w:szCs w:val="21"/>
                <w14:textFill>
                  <w14:solidFill>
                    <w14:schemeClr w14:val="tx1"/>
                  </w14:solidFill>
                </w14:textFill>
              </w:rPr>
            </w:pPr>
            <w:r>
              <w:rPr>
                <w:color w:val="000000" w:themeColor="text1"/>
                <w:szCs w:val="21"/>
                <w14:textFill>
                  <w14:solidFill>
                    <w14:schemeClr w14:val="tx1"/>
                  </w14:solidFill>
                </w14:textFill>
              </w:rPr>
              <w:t>制定环境风险应急预案</w:t>
            </w:r>
          </w:p>
        </w:tc>
        <w:tc>
          <w:tcPr>
            <w:tcW w:w="560" w:type="pct"/>
            <w:vMerge w:val="continue"/>
            <w:tcBorders>
              <w:tl2br w:val="nil"/>
              <w:tr2bl w:val="nil"/>
            </w:tcBorders>
            <w:vAlign w:val="center"/>
          </w:tcPr>
          <w:p w14:paraId="1C670937">
            <w:pPr>
              <w:jc w:val="center"/>
              <w:rPr>
                <w:color w:val="000000" w:themeColor="text1"/>
                <w:szCs w:val="21"/>
                <w14:textFill>
                  <w14:solidFill>
                    <w14:schemeClr w14:val="tx1"/>
                  </w14:solidFill>
                </w14:textFill>
              </w:rPr>
            </w:pPr>
          </w:p>
        </w:tc>
        <w:tc>
          <w:tcPr>
            <w:tcW w:w="406" w:type="pct"/>
            <w:vMerge w:val="continue"/>
            <w:tcBorders>
              <w:tl2br w:val="nil"/>
              <w:tr2bl w:val="nil"/>
            </w:tcBorders>
          </w:tcPr>
          <w:p w14:paraId="37D943F2">
            <w:pPr>
              <w:jc w:val="both"/>
              <w:rPr>
                <w:color w:val="000000" w:themeColor="text1"/>
                <w:szCs w:val="21"/>
                <w14:textFill>
                  <w14:solidFill>
                    <w14:schemeClr w14:val="tx1"/>
                  </w14:solidFill>
                </w14:textFill>
              </w:rPr>
            </w:pPr>
          </w:p>
        </w:tc>
      </w:tr>
      <w:tr w14:paraId="2FD06C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tcBorders>
              <w:tl2br w:val="nil"/>
              <w:tr2bl w:val="nil"/>
            </w:tcBorders>
            <w:vAlign w:val="center"/>
          </w:tcPr>
          <w:p w14:paraId="0062241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环境管理</w:t>
            </w:r>
          </w:p>
        </w:tc>
        <w:tc>
          <w:tcPr>
            <w:tcW w:w="3440" w:type="pct"/>
            <w:gridSpan w:val="2"/>
            <w:tcBorders>
              <w:tl2br w:val="nil"/>
              <w:tr2bl w:val="nil"/>
            </w:tcBorders>
            <w:vAlign w:val="center"/>
          </w:tcPr>
          <w:p w14:paraId="500E1862">
            <w:pPr>
              <w:jc w:val="both"/>
              <w:rPr>
                <w:color w:val="000000" w:themeColor="text1"/>
                <w:szCs w:val="21"/>
                <w14:textFill>
                  <w14:solidFill>
                    <w14:schemeClr w14:val="tx1"/>
                  </w14:solidFill>
                </w14:textFill>
              </w:rPr>
            </w:pPr>
            <w:r>
              <w:rPr>
                <w:color w:val="000000" w:themeColor="text1"/>
                <w:spacing w:val="2"/>
                <w:szCs w:val="21"/>
                <w14:textFill>
                  <w14:solidFill>
                    <w14:schemeClr w14:val="tx1"/>
                  </w14:solidFill>
                </w14:textFill>
              </w:rPr>
              <w:t>废气、地下水、噪声、土壤自行监测及环保设施运行维护等</w:t>
            </w:r>
          </w:p>
        </w:tc>
        <w:tc>
          <w:tcPr>
            <w:tcW w:w="560" w:type="pct"/>
            <w:tcBorders>
              <w:tl2br w:val="nil"/>
              <w:tr2bl w:val="nil"/>
            </w:tcBorders>
            <w:vAlign w:val="center"/>
          </w:tcPr>
          <w:p w14:paraId="47CA45A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20.0</w:t>
            </w:r>
          </w:p>
        </w:tc>
        <w:tc>
          <w:tcPr>
            <w:tcW w:w="406" w:type="pct"/>
            <w:tcBorders>
              <w:tl2br w:val="nil"/>
              <w:tr2bl w:val="nil"/>
            </w:tcBorders>
            <w:vAlign w:val="center"/>
          </w:tcPr>
          <w:p w14:paraId="35DE64D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5677B0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94" w:type="pct"/>
            <w:tcBorders>
              <w:tl2br w:val="nil"/>
              <w:tr2bl w:val="nil"/>
            </w:tcBorders>
            <w:vAlign w:val="center"/>
          </w:tcPr>
          <w:p w14:paraId="69E4C12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合计</w:t>
            </w:r>
          </w:p>
        </w:tc>
        <w:tc>
          <w:tcPr>
            <w:tcW w:w="4406" w:type="pct"/>
            <w:gridSpan w:val="4"/>
            <w:tcBorders>
              <w:tl2br w:val="nil"/>
              <w:tr2bl w:val="nil"/>
            </w:tcBorders>
            <w:vAlign w:val="center"/>
          </w:tcPr>
          <w:p w14:paraId="07D3768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360.0万元</w:t>
            </w:r>
          </w:p>
        </w:tc>
      </w:tr>
      <w:bookmarkEnd w:id="1026"/>
      <w:bookmarkEnd w:id="1027"/>
    </w:tbl>
    <w:p w14:paraId="48B072F7">
      <w:pPr>
        <w:autoSpaceDE w:val="0"/>
        <w:autoSpaceDN w:val="0"/>
        <w:adjustRightInd w:val="0"/>
        <w:snapToGrid w:val="0"/>
        <w:spacing w:line="360" w:lineRule="auto"/>
        <w:ind w:firstLine="482" w:firstLineChars="200"/>
        <w:rPr>
          <w:b/>
          <w:bCs/>
          <w:color w:val="000000" w:themeColor="text1"/>
          <w:sz w:val="24"/>
          <w14:textFill>
            <w14:solidFill>
              <w14:schemeClr w14:val="tx1"/>
            </w14:solidFill>
          </w14:textFill>
        </w:rPr>
      </w:pPr>
    </w:p>
    <w:p w14:paraId="34375C07">
      <w:pPr>
        <w:adjustRightInd w:val="0"/>
        <w:snapToGrid w:val="0"/>
        <w:spacing w:line="360" w:lineRule="auto"/>
        <w:jc w:val="both"/>
        <w:rPr>
          <w:color w:val="000000" w:themeColor="text1"/>
          <w:sz w:val="24"/>
          <w14:textFill>
            <w14:solidFill>
              <w14:schemeClr w14:val="tx1"/>
            </w14:solidFill>
          </w14:textFill>
        </w:rPr>
        <w:sectPr>
          <w:headerReference r:id="rId19" w:type="default"/>
          <w:footerReference r:id="rId20" w:type="default"/>
          <w:pgSz w:w="11907" w:h="16840"/>
          <w:pgMar w:top="1440" w:right="1797" w:bottom="1440" w:left="1797" w:header="851" w:footer="992" w:gutter="0"/>
          <w:pgNumType w:chapStyle="1"/>
          <w:cols w:space="720" w:num="1"/>
          <w:docGrid w:linePitch="312" w:charSpace="0"/>
        </w:sectPr>
      </w:pPr>
    </w:p>
    <w:p w14:paraId="4AD23A68">
      <w:pPr>
        <w:pStyle w:val="3"/>
        <w:snapToGrid w:val="0"/>
        <w:spacing w:before="240" w:beforeLines="100" w:after="240" w:afterLines="100" w:line="360" w:lineRule="auto"/>
        <w:rPr>
          <w:bCs w:val="0"/>
          <w:color w:val="000000" w:themeColor="text1"/>
          <w:sz w:val="36"/>
          <w:szCs w:val="36"/>
          <w14:textFill>
            <w14:solidFill>
              <w14:schemeClr w14:val="tx1"/>
            </w14:solidFill>
          </w14:textFill>
        </w:rPr>
      </w:pPr>
      <w:bookmarkStart w:id="1028" w:name="_Toc233380280"/>
      <w:bookmarkStart w:id="1029" w:name="_Toc40220844"/>
      <w:bookmarkStart w:id="1030" w:name="_Toc31759"/>
      <w:r>
        <w:rPr>
          <w:bCs w:val="0"/>
          <w:color w:val="000000" w:themeColor="text1"/>
          <w:sz w:val="36"/>
          <w:szCs w:val="36"/>
          <w14:textFill>
            <w14:solidFill>
              <w14:schemeClr w14:val="tx1"/>
            </w14:solidFill>
          </w14:textFill>
        </w:rPr>
        <w:t>8环境影响经济损益分析</w:t>
      </w:r>
      <w:bookmarkEnd w:id="1028"/>
      <w:bookmarkEnd w:id="1029"/>
      <w:bookmarkEnd w:id="1030"/>
    </w:p>
    <w:p w14:paraId="7E1774A7">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环境影响经济损益分析是环境影响评价的一项主要内容，设置本专题的目的在于衡量建设项目所需投入的环保投资和能收到的环保效果，以评价项目的环境经济可行性。因而在环境经济损益分析中除计算用于控制污染所需投资费用外，同时还需估算可能收到的环境与经济效益，以实现增加地区的建设项目、扩大生产、提高经济效益的同时不至于造成区域环境污染，做到经济效益、社会效益和环境效益的统一。</w:t>
      </w:r>
    </w:p>
    <w:p w14:paraId="64E338CE">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031" w:name="_Toc233380281"/>
      <w:bookmarkStart w:id="1032" w:name="_Toc7258"/>
      <w:bookmarkStart w:id="1033" w:name="_Toc27768"/>
      <w:r>
        <w:rPr>
          <w:rFonts w:ascii="Times New Roman" w:hAnsi="Times New Roman" w:eastAsia="宋体"/>
          <w:color w:val="000000" w:themeColor="text1"/>
          <w:sz w:val="30"/>
          <w:szCs w:val="30"/>
          <w14:textFill>
            <w14:solidFill>
              <w14:schemeClr w14:val="tx1"/>
            </w14:solidFill>
          </w14:textFill>
        </w:rPr>
        <w:t>8.1经济效益分析</w:t>
      </w:r>
      <w:bookmarkEnd w:id="1031"/>
      <w:bookmarkEnd w:id="1032"/>
      <w:bookmarkEnd w:id="1033"/>
    </w:p>
    <w:p w14:paraId="7C0726B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本项目总投资35090.20万元，建成后形成</w:t>
      </w:r>
      <w:r>
        <w:rPr>
          <w:rFonts w:hint="eastAsia"/>
          <w:color w:val="000000" w:themeColor="text1"/>
          <w:sz w:val="24"/>
          <w14:textFill>
            <w14:solidFill>
              <w14:schemeClr w14:val="tx1"/>
            </w14:solidFill>
          </w14:textFill>
        </w:rPr>
        <w:t>出栏2</w:t>
      </w:r>
      <w:r>
        <w:rPr>
          <w:color w:val="000000" w:themeColor="text1"/>
          <w:sz w:val="24"/>
          <w14:textFill>
            <w14:solidFill>
              <w14:schemeClr w14:val="tx1"/>
            </w14:solidFill>
          </w14:textFill>
        </w:rPr>
        <w:t>1180</w:t>
      </w:r>
      <w:r>
        <w:rPr>
          <w:rFonts w:hint="eastAsia"/>
          <w:color w:val="000000" w:themeColor="text1"/>
          <w:sz w:val="24"/>
          <w14:textFill>
            <w14:solidFill>
              <w14:schemeClr w14:val="tx1"/>
            </w14:solidFill>
          </w14:textFill>
        </w:rPr>
        <w:t>头食用肉牛</w:t>
      </w:r>
      <w:r>
        <w:rPr>
          <w:color w:val="000000" w:themeColor="text1"/>
          <w:sz w:val="24"/>
          <w14:textFill>
            <w14:solidFill>
              <w14:schemeClr w14:val="tx1"/>
            </w14:solidFill>
          </w14:textFill>
        </w:rPr>
        <w:t>的生产规模。项目的建设将促进该地区农业的发展，从而拉动地方经济增长，提升区域的经济消费水平。本项目建成后，投资收益率较高。同进，本项目的建设具有产业链效益，能够带动当地经济的快速发展，并能促进饲料加工、种植业、养殖业等相关行业的发展。</w:t>
      </w:r>
    </w:p>
    <w:p w14:paraId="3964A880">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因此，本项目的建设可促进区域畜牧业发展和产业结构的调整，增加当地的就业机会和人均收入，总体经济效益将会显著增长。</w:t>
      </w:r>
    </w:p>
    <w:p w14:paraId="65A0F98F">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034" w:name="_Toc8484"/>
      <w:bookmarkStart w:id="1035" w:name="_Toc6239"/>
      <w:bookmarkStart w:id="1036" w:name="_Toc233380282"/>
      <w:r>
        <w:rPr>
          <w:rFonts w:ascii="Times New Roman" w:hAnsi="Times New Roman" w:eastAsia="宋体"/>
          <w:color w:val="000000" w:themeColor="text1"/>
          <w:sz w:val="30"/>
          <w:szCs w:val="30"/>
          <w14:textFill>
            <w14:solidFill>
              <w14:schemeClr w14:val="tx1"/>
            </w14:solidFill>
          </w14:textFill>
        </w:rPr>
        <w:t>8.2社会效益分析</w:t>
      </w:r>
      <w:bookmarkEnd w:id="1034"/>
      <w:bookmarkEnd w:id="1035"/>
      <w:bookmarkEnd w:id="1036"/>
    </w:p>
    <w:p w14:paraId="6B92D297">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项目社会效益是十分明显的，特别是对地方经济促进作用突出，还可以为当地提供若干就业机会，增加居民的人均收入，促进社会稳定和经济繁荣。这不仅解决了部分剩余劳动力的就业问题，同时间接带动饲料种植、运输等相关产业发展，为辖区社会稳定将起到积极的作用。项目建设对地方财政也有较大的贡献。通过粪污资源化利用，减少环境污染，促进生态循环农业。</w:t>
      </w:r>
    </w:p>
    <w:p w14:paraId="7AA5DD6B">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综上所述，在落实各项污染防治措施，污染物达标排放的前提下，工程的运行具有较好的社会、环境和经济效益。</w:t>
      </w:r>
    </w:p>
    <w:p w14:paraId="65C8C67E">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037" w:name="_Toc22418"/>
      <w:bookmarkStart w:id="1038" w:name="_Toc17585"/>
      <w:bookmarkStart w:id="1039" w:name="_Toc233380283"/>
      <w:r>
        <w:rPr>
          <w:rFonts w:ascii="Times New Roman" w:hAnsi="Times New Roman" w:eastAsia="宋体"/>
          <w:color w:val="000000" w:themeColor="text1"/>
          <w:sz w:val="30"/>
          <w:szCs w:val="30"/>
          <w14:textFill>
            <w14:solidFill>
              <w14:schemeClr w14:val="tx1"/>
            </w14:solidFill>
          </w14:textFill>
        </w:rPr>
        <w:t>8.3</w:t>
      </w:r>
      <w:bookmarkEnd w:id="1037"/>
      <w:r>
        <w:rPr>
          <w:rFonts w:ascii="Times New Roman" w:hAnsi="Times New Roman" w:eastAsia="宋体"/>
          <w:color w:val="000000" w:themeColor="text1"/>
          <w:sz w:val="30"/>
          <w:szCs w:val="30"/>
          <w14:textFill>
            <w14:solidFill>
              <w14:schemeClr w14:val="tx1"/>
            </w14:solidFill>
          </w14:textFill>
        </w:rPr>
        <w:t>环境经济损益分析</w:t>
      </w:r>
      <w:bookmarkEnd w:id="1038"/>
      <w:bookmarkEnd w:id="1039"/>
    </w:p>
    <w:p w14:paraId="6273CFC0">
      <w:pPr>
        <w:pStyle w:val="5"/>
        <w:adjustRightInd w:val="0"/>
        <w:snapToGrid w:val="0"/>
        <w:spacing w:before="0" w:after="0" w:line="360" w:lineRule="auto"/>
        <w:rPr>
          <w:color w:val="000000" w:themeColor="text1"/>
          <w:sz w:val="28"/>
          <w:szCs w:val="28"/>
          <w14:textFill>
            <w14:solidFill>
              <w14:schemeClr w14:val="tx1"/>
            </w14:solidFill>
          </w14:textFill>
        </w:rPr>
      </w:pPr>
      <w:bookmarkStart w:id="1040" w:name="_Toc233380284"/>
      <w:bookmarkStart w:id="1041" w:name="_Toc31065"/>
      <w:r>
        <w:rPr>
          <w:color w:val="000000" w:themeColor="text1"/>
          <w:sz w:val="28"/>
          <w:szCs w:val="28"/>
          <w14:textFill>
            <w14:solidFill>
              <w14:schemeClr w14:val="tx1"/>
            </w14:solidFill>
          </w14:textFill>
        </w:rPr>
        <w:t>8.3.1项目建设带来的环境损失</w:t>
      </w:r>
      <w:bookmarkEnd w:id="1040"/>
      <w:bookmarkEnd w:id="1041"/>
    </w:p>
    <w:p w14:paraId="0FF5DBE2">
      <w:pPr>
        <w:spacing w:line="360" w:lineRule="auto"/>
        <w:ind w:firstLine="480" w:firstLineChars="200"/>
        <w:jc w:val="both"/>
        <w:rPr>
          <w:color w:val="000000" w:themeColor="text1"/>
          <w:sz w:val="24"/>
          <w:szCs w:val="18"/>
          <w14:textFill>
            <w14:solidFill>
              <w14:schemeClr w14:val="tx1"/>
            </w14:solidFill>
          </w14:textFill>
        </w:rPr>
      </w:pPr>
      <w:r>
        <w:rPr>
          <w:color w:val="000000" w:themeColor="text1"/>
          <w:sz w:val="24"/>
          <w:szCs w:val="18"/>
          <w14:textFill>
            <w14:solidFill>
              <w14:schemeClr w14:val="tx1"/>
            </w14:solidFill>
          </w14:textFill>
        </w:rPr>
        <w:t>本项目营运期废气、废水、固废、噪声等均有产生，另外，项目投运后还存在地下水污染物和环境事故等风险。</w:t>
      </w:r>
    </w:p>
    <w:p w14:paraId="66012C7D">
      <w:pPr>
        <w:spacing w:line="360" w:lineRule="auto"/>
        <w:ind w:firstLine="480" w:firstLineChars="200"/>
        <w:jc w:val="both"/>
        <w:rPr>
          <w:color w:val="000000" w:themeColor="text1"/>
          <w:sz w:val="24"/>
          <w:szCs w:val="18"/>
          <w14:textFill>
            <w14:solidFill>
              <w14:schemeClr w14:val="tx1"/>
            </w14:solidFill>
          </w14:textFill>
        </w:rPr>
      </w:pPr>
      <w:r>
        <w:rPr>
          <w:color w:val="000000" w:themeColor="text1"/>
          <w:sz w:val="24"/>
          <w:szCs w:val="18"/>
          <w14:textFill>
            <w14:solidFill>
              <w14:schemeClr w14:val="tx1"/>
            </w14:solidFill>
          </w14:textFill>
        </w:rPr>
        <w:t>营运期废气、废水、固废、噪声等一旦治理和防范措施不到位，将给区域大气环境、地表水环境、土壤环境及地下水环境等带来严重污染，造成无法挽回的环境损失。一旦发生环境污染事故，企业也必将承受重大的经济损失。</w:t>
      </w:r>
    </w:p>
    <w:p w14:paraId="5614AAE0">
      <w:pPr>
        <w:pStyle w:val="5"/>
        <w:adjustRightInd w:val="0"/>
        <w:snapToGrid w:val="0"/>
        <w:spacing w:before="0" w:after="0" w:line="360" w:lineRule="auto"/>
        <w:rPr>
          <w:color w:val="000000" w:themeColor="text1"/>
          <w:sz w:val="28"/>
          <w:szCs w:val="28"/>
          <w14:textFill>
            <w14:solidFill>
              <w14:schemeClr w14:val="tx1"/>
            </w14:solidFill>
          </w14:textFill>
        </w:rPr>
      </w:pPr>
      <w:bookmarkStart w:id="1042" w:name="_Toc4477"/>
      <w:bookmarkStart w:id="1043" w:name="_Toc233380285"/>
      <w:r>
        <w:rPr>
          <w:color w:val="000000" w:themeColor="text1"/>
          <w:sz w:val="28"/>
          <w:szCs w:val="28"/>
          <w14:textFill>
            <w14:solidFill>
              <w14:schemeClr w14:val="tx1"/>
            </w14:solidFill>
          </w14:textFill>
        </w:rPr>
        <w:t>8.3.2环境效益分析</w:t>
      </w:r>
      <w:bookmarkEnd w:id="1042"/>
      <w:bookmarkEnd w:id="1043"/>
    </w:p>
    <w:p w14:paraId="71EC29B1">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8.3.2.1环保投资分析</w:t>
      </w:r>
    </w:p>
    <w:p w14:paraId="0C084EBC">
      <w:pPr>
        <w:spacing w:line="360" w:lineRule="auto"/>
        <w:ind w:firstLine="480" w:firstLineChars="200"/>
        <w:jc w:val="both"/>
        <w:rPr>
          <w:color w:val="000000" w:themeColor="text1"/>
          <w:sz w:val="24"/>
          <w:szCs w:val="18"/>
          <w14:textFill>
            <w14:solidFill>
              <w14:schemeClr w14:val="tx1"/>
            </w14:solidFill>
          </w14:textFill>
        </w:rPr>
      </w:pPr>
      <w:r>
        <w:rPr>
          <w:color w:val="000000" w:themeColor="text1"/>
          <w:sz w:val="24"/>
          <w:szCs w:val="18"/>
          <w14:textFill>
            <w14:solidFill>
              <w14:schemeClr w14:val="tx1"/>
            </w14:solidFill>
          </w14:textFill>
        </w:rPr>
        <w:t>本项目用于环保投资约360万元，占项目总投资35090.20万元的1.026%。本项目环境保护治理措施具有针对性，抓住了本项目污染治理的重点，污染治理效果和环境效益明显。</w:t>
      </w:r>
    </w:p>
    <w:p w14:paraId="35C13746">
      <w:pPr>
        <w:spacing w:line="360" w:lineRule="auto"/>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8.3.2.2环境经济损益分析</w:t>
      </w:r>
    </w:p>
    <w:p w14:paraId="50723C04">
      <w:pPr>
        <w:spacing w:line="360" w:lineRule="auto"/>
        <w:ind w:firstLine="482"/>
        <w:rPr>
          <w:b/>
          <w:color w:val="000000" w:themeColor="text1"/>
          <w:sz w:val="24"/>
          <w14:textFill>
            <w14:solidFill>
              <w14:schemeClr w14:val="tx1"/>
            </w14:solidFill>
          </w14:textFill>
        </w:rPr>
      </w:pPr>
      <w:r>
        <w:rPr>
          <w:b/>
          <w:color w:val="000000" w:themeColor="text1"/>
          <w:sz w:val="24"/>
          <w14:textFill>
            <w14:solidFill>
              <w14:schemeClr w14:val="tx1"/>
            </w14:solidFill>
          </w14:textFill>
        </w:rPr>
        <w:t>1、环保设施建设投资</w:t>
      </w:r>
      <w:r>
        <w:rPr>
          <w:b/>
          <w:i/>
          <w:color w:val="000000" w:themeColor="text1"/>
          <w:sz w:val="24"/>
          <w14:textFill>
            <w14:solidFill>
              <w14:schemeClr w14:val="tx1"/>
            </w14:solidFill>
          </w14:textFill>
        </w:rPr>
        <w:t>C</w:t>
      </w:r>
      <w:r>
        <w:rPr>
          <w:b/>
          <w:i/>
          <w:color w:val="000000" w:themeColor="text1"/>
          <w:sz w:val="24"/>
          <w:vertAlign w:val="subscript"/>
          <w14:textFill>
            <w14:solidFill>
              <w14:schemeClr w14:val="tx1"/>
            </w14:solidFill>
          </w14:textFill>
        </w:rPr>
        <w:t>0</w:t>
      </w:r>
    </w:p>
    <w:p w14:paraId="49753926">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为控制和减轻对周围环境的污染，本项目用于环保设施建设的一次性投资约360万元，占项目总投资的1.026%。本项目运营期废气治理设施投资200万元，占环保投资的55.56%；废水治理设施20万元，占环保投资的5.56%；噪声防治措施投资10万元，占环保投资2.78%；固废处置设施20万元，占环保投资的5.56%；地下水防治措施投资60万元，占环保投资的16.67%；风险防治措施投资50万元，占环保投资13.89%。</w:t>
      </w:r>
    </w:p>
    <w:p w14:paraId="311E3C86">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根据工程的污染源与污染物排放情况，认为工程环保投资的分配使用突出了废水、固体废物治理力度，符合工程实际，有利于实现社会、经济与环境三个效益的统一。</w:t>
      </w:r>
    </w:p>
    <w:p w14:paraId="7004B2B9">
      <w:pPr>
        <w:spacing w:line="360" w:lineRule="auto"/>
        <w:ind w:firstLine="48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1、废气环保税减少量</w:t>
      </w:r>
    </w:p>
    <w:p w14:paraId="7F495F6F">
      <w:pPr>
        <w:spacing w:line="360" w:lineRule="auto"/>
        <w:ind w:firstLine="480"/>
        <w:rPr>
          <w:color w:val="000000" w:themeColor="text1"/>
          <w:sz w:val="24"/>
          <w14:textFill>
            <w14:solidFill>
              <w14:schemeClr w14:val="tx1"/>
            </w14:solidFill>
          </w14:textFill>
        </w:rPr>
      </w:pPr>
      <w:r>
        <w:rPr>
          <w:color w:val="000000" w:themeColor="text1"/>
          <w:sz w:val="24"/>
          <w14:textFill>
            <w14:solidFill>
              <w14:schemeClr w14:val="tx1"/>
            </w14:solidFill>
          </w14:textFill>
        </w:rPr>
        <w:t>根据《中华人民共和国环境保护税法》，废气应缴纳的环境保护税按照下面公式计算：污染物的污染当量数=污染物的排放量（千克）/污染物的污染当量（千克）；</w:t>
      </w:r>
    </w:p>
    <w:p w14:paraId="3CDF2BD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废气应缴纳的环境保护税（元）=3.9（元）×各项污染物的当量数之和；</w:t>
      </w:r>
    </w:p>
    <w:p w14:paraId="40095221">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w:t>
      </w:r>
      <w:r>
        <w:rPr>
          <w:color w:val="000000" w:themeColor="text1"/>
          <w:sz w:val="24"/>
          <w14:textFill>
            <w14:solidFill>
              <w14:schemeClr w14:val="tx1"/>
            </w14:solidFill>
          </w14:textFill>
        </w:rPr>
        <w:t>在采取环境治理措施后，项目每年可</w:t>
      </w:r>
      <w:r>
        <w:rPr>
          <w:rFonts w:hint="eastAsia"/>
          <w:color w:val="000000" w:themeColor="text1"/>
          <w:sz w:val="24"/>
          <w14:textFill>
            <w14:solidFill>
              <w14:schemeClr w14:val="tx1"/>
            </w14:solidFill>
          </w14:textFill>
        </w:rPr>
        <w:t>大量</w:t>
      </w:r>
      <w:r>
        <w:rPr>
          <w:color w:val="000000" w:themeColor="text1"/>
          <w:sz w:val="24"/>
          <w14:textFill>
            <w14:solidFill>
              <w14:schemeClr w14:val="tx1"/>
            </w14:solidFill>
          </w14:textFill>
        </w:rPr>
        <w:t>少缴纳大气污染物环境保护税。</w:t>
      </w:r>
    </w:p>
    <w:p w14:paraId="40A0941B">
      <w:pPr>
        <w:spacing w:line="360" w:lineRule="auto"/>
        <w:ind w:firstLine="460" w:firstLineChars="200"/>
        <w:rPr>
          <w:color w:val="000000" w:themeColor="text1"/>
          <w:sz w:val="24"/>
          <w14:textFill>
            <w14:solidFill>
              <w14:schemeClr w14:val="tx1"/>
            </w14:solidFill>
          </w14:textFill>
        </w:rPr>
      </w:pPr>
      <w:r>
        <w:rPr>
          <w:rFonts w:eastAsia="Times New Roman"/>
          <w:b/>
          <w:bCs/>
          <w:color w:val="000000" w:themeColor="text1"/>
          <w:spacing w:val="-5"/>
          <w:sz w:val="24"/>
          <w14:textFill>
            <w14:solidFill>
              <w14:schemeClr w14:val="tx1"/>
            </w14:solidFill>
          </w14:textFill>
        </w:rPr>
        <w:t>2</w:t>
      </w:r>
      <w:r>
        <w:rPr>
          <w:b/>
          <w:bCs/>
          <w:color w:val="000000" w:themeColor="text1"/>
          <w:spacing w:val="-5"/>
          <w:sz w:val="24"/>
          <w14:textFill>
            <w14:solidFill>
              <w14:schemeClr w14:val="tx1"/>
            </w14:solidFill>
          </w14:textFill>
        </w:rPr>
        <w:t>、废水环保税减少量</w:t>
      </w:r>
    </w:p>
    <w:p w14:paraId="6B5E9AA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根据《中华人民共和国环境保护税法》，废水应缴纳的环境保护税（元）=2.8（元）×各项污染物的当量数之和；</w:t>
      </w:r>
    </w:p>
    <w:p w14:paraId="1A50E52A">
      <w:pPr>
        <w:spacing w:line="360" w:lineRule="auto"/>
        <w:ind w:firstLine="482"/>
        <w:rPr>
          <w:b/>
          <w:color w:val="000000" w:themeColor="text1"/>
          <w:sz w:val="24"/>
          <w14:textFill>
            <w14:solidFill>
              <w14:schemeClr w14:val="tx1"/>
            </w14:solidFill>
          </w14:textFill>
        </w:rPr>
      </w:pPr>
      <w:r>
        <w:rPr>
          <w:rFonts w:hint="eastAsia"/>
          <w:color w:val="000000" w:themeColor="text1"/>
          <w:spacing w:val="-4"/>
          <w:sz w:val="24"/>
          <w14:textFill>
            <w14:solidFill>
              <w14:schemeClr w14:val="tx1"/>
            </w14:solidFill>
          </w14:textFill>
        </w:rPr>
        <w:t>项目</w:t>
      </w:r>
      <w:r>
        <w:rPr>
          <w:color w:val="000000" w:themeColor="text1"/>
          <w:spacing w:val="-4"/>
          <w:sz w:val="24"/>
          <w14:textFill>
            <w14:solidFill>
              <w14:schemeClr w14:val="tx1"/>
            </w14:solidFill>
          </w14:textFill>
        </w:rPr>
        <w:t>在采取环境治理措施后，项目每年可</w:t>
      </w:r>
      <w:r>
        <w:rPr>
          <w:rFonts w:hint="eastAsia"/>
          <w:color w:val="000000" w:themeColor="text1"/>
          <w:spacing w:val="-4"/>
          <w:sz w:val="24"/>
          <w14:textFill>
            <w14:solidFill>
              <w14:schemeClr w14:val="tx1"/>
            </w14:solidFill>
          </w14:textFill>
        </w:rPr>
        <w:t>大量</w:t>
      </w:r>
      <w:r>
        <w:rPr>
          <w:color w:val="000000" w:themeColor="text1"/>
          <w:spacing w:val="-4"/>
          <w:sz w:val="24"/>
          <w14:textFill>
            <w14:solidFill>
              <w14:schemeClr w14:val="tx1"/>
            </w14:solidFill>
          </w14:textFill>
        </w:rPr>
        <w:t>少缴纳废水污染物环</w:t>
      </w:r>
      <w:r>
        <w:rPr>
          <w:color w:val="000000" w:themeColor="text1"/>
          <w:spacing w:val="-5"/>
          <w:sz w:val="24"/>
          <w14:textFill>
            <w14:solidFill>
              <w14:schemeClr w14:val="tx1"/>
            </w14:solidFill>
          </w14:textFill>
        </w:rPr>
        <w:t>境保</w:t>
      </w:r>
      <w:r>
        <w:rPr>
          <w:color w:val="000000" w:themeColor="text1"/>
          <w:spacing w:val="-2"/>
          <w:sz w:val="24"/>
          <w14:textFill>
            <w14:solidFill>
              <w14:schemeClr w14:val="tx1"/>
            </w14:solidFill>
          </w14:textFill>
        </w:rPr>
        <w:t>护税。</w:t>
      </w:r>
    </w:p>
    <w:p w14:paraId="2C74362E">
      <w:pPr>
        <w:spacing w:line="360" w:lineRule="auto"/>
        <w:ind w:firstLine="482"/>
        <w:rPr>
          <w:b/>
          <w:color w:val="000000" w:themeColor="text1"/>
          <w:sz w:val="24"/>
          <w14:textFill>
            <w14:solidFill>
              <w14:schemeClr w14:val="tx1"/>
            </w14:solidFill>
          </w14:textFill>
        </w:rPr>
      </w:pPr>
      <w:r>
        <w:rPr>
          <w:color w:val="000000" w:themeColor="text1"/>
          <w:spacing w:val="-2"/>
          <w:sz w:val="24"/>
          <w14:textFill>
            <w14:solidFill>
              <w14:schemeClr w14:val="tx1"/>
            </w14:solidFill>
          </w14:textFill>
        </w:rPr>
        <w:t>综上，采取环境治理措施后，</w:t>
      </w:r>
      <w:r>
        <w:rPr>
          <w:color w:val="000000" w:themeColor="text1"/>
          <w:spacing w:val="-1"/>
          <w:sz w:val="24"/>
          <w14:textFill>
            <w14:solidFill>
              <w14:schemeClr w14:val="tx1"/>
            </w14:solidFill>
          </w14:textFill>
        </w:rPr>
        <w:t>环保投资具有经济效益和环境效益。</w:t>
      </w:r>
    </w:p>
    <w:p w14:paraId="5937661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环保设施投入使用后，除了可减少污染物的排放外，还可回收部分可利用资源，因此具有一定的经济效益。由于间接经济收益难以估算，因而在此仅计算直接经济效益，主要是回收利用的各种废物所获得的经济收入。</w:t>
      </w:r>
    </w:p>
    <w:p w14:paraId="3D53FBB6">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044" w:name="_Toc233380286"/>
      <w:bookmarkStart w:id="1045" w:name="_Toc15852"/>
      <w:r>
        <w:rPr>
          <w:rFonts w:ascii="Times New Roman" w:hAnsi="Times New Roman" w:eastAsia="宋体"/>
          <w:color w:val="000000" w:themeColor="text1"/>
          <w:sz w:val="30"/>
          <w:szCs w:val="30"/>
          <w14:textFill>
            <w14:solidFill>
              <w14:schemeClr w14:val="tx1"/>
            </w14:solidFill>
          </w14:textFill>
        </w:rPr>
        <w:t>8.4结论</w:t>
      </w:r>
      <w:bookmarkEnd w:id="1044"/>
      <w:bookmarkEnd w:id="1045"/>
    </w:p>
    <w:p w14:paraId="59EC5061">
      <w:pPr>
        <w:spacing w:line="360" w:lineRule="auto"/>
        <w:ind w:firstLine="480"/>
        <w:rPr>
          <w:color w:val="000000" w:themeColor="text1"/>
          <w:sz w:val="24"/>
          <w14:textFill>
            <w14:solidFill>
              <w14:schemeClr w14:val="tx1"/>
            </w14:solidFill>
          </w14:textFill>
        </w:rPr>
        <w:sectPr>
          <w:headerReference r:id="rId22" w:type="first"/>
          <w:footerReference r:id="rId24" w:type="first"/>
          <w:headerReference r:id="rId21" w:type="even"/>
          <w:footerReference r:id="rId23" w:type="even"/>
          <w:pgSz w:w="11907" w:h="16840"/>
          <w:pgMar w:top="1440" w:right="1797" w:bottom="1440" w:left="1797" w:header="851" w:footer="992" w:gutter="0"/>
          <w:pgNumType w:chapStyle="1"/>
          <w:cols w:space="720" w:num="1"/>
          <w:docGrid w:linePitch="312" w:charSpace="0"/>
        </w:sectPr>
      </w:pPr>
      <w:r>
        <w:rPr>
          <w:color w:val="000000" w:themeColor="text1"/>
          <w:sz w:val="24"/>
          <w:szCs w:val="18"/>
          <w14:textFill>
            <w14:solidFill>
              <w14:schemeClr w14:val="tx1"/>
            </w14:solidFill>
          </w14:textFill>
        </w:rPr>
        <w:t>分析可知，在落实本环评提出的各项污染防治措施的前提下，本项目的建设能够达到经济效益、社会效益和环境效益相统一的要求，通过环保投资减少了污染物排放量，使污染物排放量在环境容量容许的范围内。项目建设满足可持续发展的要求，从环境经济角度而言，项目建设是可行的。</w:t>
      </w:r>
    </w:p>
    <w:p w14:paraId="59D47C38">
      <w:pPr>
        <w:pStyle w:val="3"/>
        <w:snapToGrid w:val="0"/>
        <w:spacing w:before="240" w:beforeLines="100" w:after="240" w:afterLines="100" w:line="360" w:lineRule="auto"/>
        <w:rPr>
          <w:bCs w:val="0"/>
          <w:color w:val="000000" w:themeColor="text1"/>
          <w:sz w:val="36"/>
          <w:szCs w:val="36"/>
          <w14:textFill>
            <w14:solidFill>
              <w14:schemeClr w14:val="tx1"/>
            </w14:solidFill>
          </w14:textFill>
        </w:rPr>
      </w:pPr>
      <w:bookmarkStart w:id="1046" w:name="_Toc21628"/>
      <w:bookmarkStart w:id="1047" w:name="_Toc233380287"/>
      <w:bookmarkStart w:id="1048" w:name="_Toc40220852"/>
      <w:r>
        <w:rPr>
          <w:bCs w:val="0"/>
          <w:color w:val="000000" w:themeColor="text1"/>
          <w:sz w:val="36"/>
          <w:szCs w:val="36"/>
          <w14:textFill>
            <w14:solidFill>
              <w14:schemeClr w14:val="tx1"/>
            </w14:solidFill>
          </w14:textFill>
        </w:rPr>
        <w:t>9环境管理与监测计划</w:t>
      </w:r>
      <w:bookmarkEnd w:id="1046"/>
      <w:bookmarkEnd w:id="1047"/>
      <w:bookmarkEnd w:id="1048"/>
    </w:p>
    <w:p w14:paraId="47AE4829">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国家对有污染项目应严格控制污染源的要求，除对工程项目“三废”治理严格实行“三同时”制度外，并要求在工程项目的建设施工和建成后的运行阶段中，加强环境管理和环境监测工作，切实有效的了解和控制工程污染物的排放量，促进污染治理工作，使治污设施达到最佳的效果，以保证工程最佳的环境效益、经济效益和社会效益。因此必须对工程“三废”源强、治污设施效果进行定期和不定期的监测，并同时制定各项环保措施，编制环境规划，以达到强化环境管理的目的。所以，本报告提出以下环境监测及环境管理建议。</w:t>
      </w:r>
    </w:p>
    <w:p w14:paraId="0413223E">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049" w:name="_Toc40220853"/>
      <w:bookmarkStart w:id="1050" w:name="_Toc233380288"/>
      <w:bookmarkStart w:id="1051" w:name="_Toc3557"/>
      <w:bookmarkStart w:id="1052" w:name="_Toc520469092"/>
      <w:bookmarkStart w:id="1053" w:name="_Toc240951808"/>
      <w:bookmarkStart w:id="1054" w:name="_Toc483497224"/>
      <w:bookmarkStart w:id="1055" w:name="_Toc413883130"/>
      <w:r>
        <w:rPr>
          <w:rFonts w:ascii="Times New Roman" w:hAnsi="Times New Roman" w:eastAsia="宋体"/>
          <w:color w:val="000000" w:themeColor="text1"/>
          <w:sz w:val="30"/>
          <w:szCs w:val="30"/>
          <w14:textFill>
            <w14:solidFill>
              <w14:schemeClr w14:val="tx1"/>
            </w14:solidFill>
          </w14:textFill>
        </w:rPr>
        <w:t>9.1 环境管理</w:t>
      </w:r>
      <w:bookmarkEnd w:id="1049"/>
      <w:bookmarkEnd w:id="1050"/>
      <w:bookmarkEnd w:id="1051"/>
      <w:bookmarkEnd w:id="1052"/>
      <w:bookmarkEnd w:id="1053"/>
      <w:bookmarkEnd w:id="1054"/>
      <w:bookmarkEnd w:id="1055"/>
    </w:p>
    <w:p w14:paraId="6D1553BA">
      <w:pPr>
        <w:pStyle w:val="752"/>
        <w:rPr>
          <w:rFonts w:cs="Times New Roman"/>
          <w:color w:val="000000" w:themeColor="text1"/>
          <w14:textFill>
            <w14:solidFill>
              <w14:schemeClr w14:val="tx1"/>
            </w14:solidFill>
          </w14:textFill>
        </w:rPr>
      </w:pPr>
      <w:bookmarkStart w:id="1056" w:name="_Toc27751289"/>
      <w:bookmarkStart w:id="1057" w:name="_Toc28814779"/>
      <w:bookmarkStart w:id="1058" w:name="_Toc21529739"/>
      <w:bookmarkStart w:id="1059" w:name="_Toc233380289"/>
      <w:bookmarkStart w:id="1060" w:name="_Toc14411"/>
      <w:bookmarkStart w:id="1061" w:name="_Toc40220854"/>
      <w:r>
        <w:rPr>
          <w:rFonts w:cs="Times New Roman"/>
          <w:color w:val="000000" w:themeColor="text1"/>
          <w14:textFill>
            <w14:solidFill>
              <w14:schemeClr w14:val="tx1"/>
            </w14:solidFill>
          </w14:textFill>
        </w:rPr>
        <w:t>9.1.1 建立环境管理体系</w:t>
      </w:r>
      <w:bookmarkEnd w:id="1056"/>
      <w:bookmarkEnd w:id="1057"/>
      <w:bookmarkEnd w:id="1058"/>
      <w:bookmarkEnd w:id="1059"/>
      <w:bookmarkEnd w:id="1060"/>
      <w:bookmarkEnd w:id="1061"/>
    </w:p>
    <w:p w14:paraId="6639F10B">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环境管理有助于指导和监督工厂的环保工作，全面反映全厂各部分的环境状况，掌握污染源动态及其缓减措施和实际运行效果，以便及时有效地采取补救措施，使企业的生产活动符合环境法规的要求。目前，我国已颁布环境管理体系的系列标准(GB/T24001，24004、24010，24011～24012)，按该系列标准的要求，环境管理体系可参照图9.1-1步骤建立和完善。</w:t>
      </w:r>
    </w:p>
    <w:p w14:paraId="57E1112E">
      <w:pPr>
        <w:ind w:firstLine="470"/>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g">
            <w:drawing>
              <wp:anchor distT="0" distB="0" distL="114300" distR="114300" simplePos="0" relativeHeight="251668480" behindDoc="0" locked="0" layoutInCell="1" allowOverlap="1">
                <wp:simplePos x="0" y="0"/>
                <wp:positionH relativeFrom="column">
                  <wp:posOffset>1905000</wp:posOffset>
                </wp:positionH>
                <wp:positionV relativeFrom="paragraph">
                  <wp:posOffset>-5080</wp:posOffset>
                </wp:positionV>
                <wp:extent cx="1828800" cy="1880235"/>
                <wp:effectExtent l="4445" t="4445" r="14605" b="20320"/>
                <wp:wrapNone/>
                <wp:docPr id="57" name="Group 517"/>
                <wp:cNvGraphicFramePr/>
                <a:graphic xmlns:a="http://schemas.openxmlformats.org/drawingml/2006/main">
                  <a:graphicData uri="http://schemas.microsoft.com/office/word/2010/wordprocessingGroup">
                    <wpg:wgp>
                      <wpg:cNvGrpSpPr/>
                      <wpg:grpSpPr>
                        <a:xfrm>
                          <a:off x="0" y="0"/>
                          <a:ext cx="1828800" cy="1880235"/>
                          <a:chOff x="4433" y="9134"/>
                          <a:chExt cx="2880" cy="2961"/>
                        </a:xfrm>
                        <a:effectLst/>
                      </wpg:grpSpPr>
                      <wps:wsp>
                        <wps:cNvPr id="92" name="文本框 9"/>
                        <wps:cNvSpPr txBox="1">
                          <a:spLocks noChangeArrowheads="1"/>
                        </wps:cNvSpPr>
                        <wps:spPr bwMode="auto">
                          <a:xfrm>
                            <a:off x="4433" y="9134"/>
                            <a:ext cx="2835" cy="454"/>
                          </a:xfrm>
                          <a:prstGeom prst="rect">
                            <a:avLst/>
                          </a:prstGeom>
                          <a:noFill/>
                          <a:ln w="9525">
                            <a:solidFill>
                              <a:srgbClr val="000000"/>
                            </a:solidFill>
                            <a:miter lim="800000"/>
                          </a:ln>
                          <a:effectLst/>
                        </wps:spPr>
                        <wps:txbx>
                          <w:txbxContent>
                            <w:p w14:paraId="161CF9AF">
                              <w:pPr>
                                <w:jc w:val="center"/>
                                <w:rPr>
                                  <w:szCs w:val="21"/>
                                </w:rPr>
                              </w:pPr>
                              <w:r>
                                <w:rPr>
                                  <w:rFonts w:hint="eastAsia"/>
                                  <w:szCs w:val="21"/>
                                </w:rPr>
                                <w:t>制定环境方针</w:t>
                              </w:r>
                            </w:p>
                          </w:txbxContent>
                        </wps:txbx>
                        <wps:bodyPr rot="0" vert="horz" wrap="square" lIns="91440" tIns="45720" rIns="91440" bIns="45720" anchor="t" anchorCtr="0" upright="1">
                          <a:noAutofit/>
                        </wps:bodyPr>
                      </wps:wsp>
                      <wps:wsp>
                        <wps:cNvPr id="5" name="文本框 7"/>
                        <wps:cNvSpPr txBox="1">
                          <a:spLocks noChangeArrowheads="1"/>
                        </wps:cNvSpPr>
                        <wps:spPr bwMode="auto">
                          <a:xfrm>
                            <a:off x="4433" y="9963"/>
                            <a:ext cx="2835" cy="454"/>
                          </a:xfrm>
                          <a:prstGeom prst="rect">
                            <a:avLst/>
                          </a:prstGeom>
                          <a:noFill/>
                          <a:ln w="9525">
                            <a:solidFill>
                              <a:srgbClr val="000000"/>
                            </a:solidFill>
                            <a:miter lim="800000"/>
                          </a:ln>
                          <a:effectLst/>
                        </wps:spPr>
                        <wps:txbx>
                          <w:txbxContent>
                            <w:p w14:paraId="4A6216F3">
                              <w:pPr>
                                <w:jc w:val="center"/>
                                <w:rPr>
                                  <w:szCs w:val="21"/>
                                </w:rPr>
                              </w:pPr>
                              <w:r>
                                <w:rPr>
                                  <w:rFonts w:hint="eastAsia"/>
                                  <w:szCs w:val="21"/>
                                </w:rPr>
                                <w:t>制定环境目标和指标</w:t>
                              </w:r>
                            </w:p>
                          </w:txbxContent>
                        </wps:txbx>
                        <wps:bodyPr rot="0" vert="horz" wrap="square" lIns="91440" tIns="45720" rIns="91440" bIns="45720" anchor="t" anchorCtr="0" upright="1">
                          <a:noAutofit/>
                        </wps:bodyPr>
                      </wps:wsp>
                      <wps:wsp>
                        <wps:cNvPr id="96" name="文本框 5"/>
                        <wps:cNvSpPr txBox="1">
                          <a:spLocks noChangeArrowheads="1"/>
                        </wps:cNvSpPr>
                        <wps:spPr bwMode="auto">
                          <a:xfrm>
                            <a:off x="4463" y="10843"/>
                            <a:ext cx="2835" cy="454"/>
                          </a:xfrm>
                          <a:prstGeom prst="rect">
                            <a:avLst/>
                          </a:prstGeom>
                          <a:noFill/>
                          <a:ln w="9525">
                            <a:solidFill>
                              <a:srgbClr val="000000"/>
                            </a:solidFill>
                            <a:miter lim="800000"/>
                          </a:ln>
                          <a:effectLst/>
                        </wps:spPr>
                        <wps:txbx>
                          <w:txbxContent>
                            <w:p w14:paraId="089DBB92">
                              <w:pPr>
                                <w:jc w:val="center"/>
                              </w:pPr>
                              <w:r>
                                <w:rPr>
                                  <w:rFonts w:hint="eastAsia"/>
                                  <w:szCs w:val="21"/>
                                </w:rPr>
                                <w:t>制定环境管理实施和方案</w:t>
                              </w:r>
                            </w:p>
                          </w:txbxContent>
                        </wps:txbx>
                        <wps:bodyPr rot="0" vert="horz" wrap="square" lIns="91440" tIns="45720" rIns="91440" bIns="45720" anchor="t" anchorCtr="0" upright="1">
                          <a:noAutofit/>
                        </wps:bodyPr>
                      </wps:wsp>
                      <wps:wsp>
                        <wps:cNvPr id="97" name="文本框 3"/>
                        <wps:cNvSpPr txBox="1">
                          <a:spLocks noChangeArrowheads="1"/>
                        </wps:cNvSpPr>
                        <wps:spPr bwMode="auto">
                          <a:xfrm>
                            <a:off x="4478" y="11641"/>
                            <a:ext cx="2835" cy="454"/>
                          </a:xfrm>
                          <a:prstGeom prst="rect">
                            <a:avLst/>
                          </a:prstGeom>
                          <a:noFill/>
                          <a:ln w="9525">
                            <a:solidFill>
                              <a:srgbClr val="000000"/>
                            </a:solidFill>
                            <a:miter lim="800000"/>
                          </a:ln>
                          <a:effectLst/>
                        </wps:spPr>
                        <wps:txbx>
                          <w:txbxContent>
                            <w:p w14:paraId="57974DB5">
                              <w:pPr>
                                <w:jc w:val="center"/>
                                <w:rPr>
                                  <w:szCs w:val="21"/>
                                </w:rPr>
                              </w:pPr>
                              <w:r>
                                <w:rPr>
                                  <w:rFonts w:hint="eastAsia"/>
                                  <w:szCs w:val="21"/>
                                </w:rPr>
                                <w:t>调整组织机构明确职责</w:t>
                              </w:r>
                            </w:p>
                          </w:txbxContent>
                        </wps:txbx>
                        <wps:bodyPr rot="0" vert="horz" wrap="square" lIns="91440" tIns="45720" rIns="91440" bIns="45720" anchor="t" anchorCtr="0" upright="1">
                          <a:noAutofit/>
                        </wps:bodyPr>
                      </wps:wsp>
                      <wps:wsp>
                        <wps:cNvPr id="98" name="直接连接符 8"/>
                        <wps:cNvCnPr>
                          <a:cxnSpLocks noChangeShapeType="1"/>
                        </wps:cNvCnPr>
                        <wps:spPr bwMode="auto">
                          <a:xfrm>
                            <a:off x="5850" y="9566"/>
                            <a:ext cx="0" cy="397"/>
                          </a:xfrm>
                          <a:prstGeom prst="line">
                            <a:avLst/>
                          </a:prstGeom>
                          <a:noFill/>
                          <a:ln w="9525">
                            <a:solidFill>
                              <a:srgbClr val="000000"/>
                            </a:solidFill>
                            <a:round/>
                            <a:tailEnd type="triangle" w="med" len="med"/>
                          </a:ln>
                          <a:effectLst/>
                        </wps:spPr>
                        <wps:bodyPr/>
                      </wps:wsp>
                      <wps:wsp>
                        <wps:cNvPr id="99" name="直接连接符 6"/>
                        <wps:cNvCnPr>
                          <a:cxnSpLocks noChangeShapeType="1"/>
                        </wps:cNvCnPr>
                        <wps:spPr bwMode="auto">
                          <a:xfrm>
                            <a:off x="5880" y="10417"/>
                            <a:ext cx="15" cy="426"/>
                          </a:xfrm>
                          <a:prstGeom prst="line">
                            <a:avLst/>
                          </a:prstGeom>
                          <a:noFill/>
                          <a:ln w="9525">
                            <a:solidFill>
                              <a:srgbClr val="000000"/>
                            </a:solidFill>
                            <a:round/>
                            <a:tailEnd type="triangle" w="med" len="med"/>
                          </a:ln>
                          <a:effectLst/>
                        </wps:spPr>
                        <wps:bodyPr/>
                      </wps:wsp>
                      <wps:wsp>
                        <wps:cNvPr id="100" name="直接连接符 4"/>
                        <wps:cNvCnPr>
                          <a:cxnSpLocks noChangeShapeType="1"/>
                        </wps:cNvCnPr>
                        <wps:spPr bwMode="auto">
                          <a:xfrm>
                            <a:off x="5895" y="11297"/>
                            <a:ext cx="0" cy="370"/>
                          </a:xfrm>
                          <a:prstGeom prst="line">
                            <a:avLst/>
                          </a:prstGeom>
                          <a:noFill/>
                          <a:ln w="9525">
                            <a:solidFill>
                              <a:srgbClr val="000000"/>
                            </a:solidFill>
                            <a:round/>
                            <a:tailEnd type="triangle" w="med" len="med"/>
                          </a:ln>
                          <a:effectLst/>
                        </wps:spPr>
                        <wps:bodyPr/>
                      </wps:wsp>
                    </wpg:wgp>
                  </a:graphicData>
                </a:graphic>
              </wp:anchor>
            </w:drawing>
          </mc:Choice>
          <mc:Fallback>
            <w:pict>
              <v:group id="Group 517" o:spid="_x0000_s1026" o:spt="203" style="position:absolute;left:0pt;margin-left:150pt;margin-top:-0.4pt;height:148.05pt;width:144pt;z-index:251668480;mso-width-relative:page;mso-height-relative:page;" coordorigin="4433,9134" coordsize="2880,2961" o:gfxdata="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">
                <o:lock v:ext="edit" aspectratio="f"/>
                <v:shape id="文本框 9" o:spid="_x0000_s1026" o:spt="202" type="#_x0000_t202" style="position:absolute;left:4433;top:9134;height:454;width:2835;" filled="f" stroked="t" coordsize="21600,21600" o:gfxdata="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c6Vg7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161CF9AF">
                        <w:pPr>
                          <w:jc w:val="center"/>
                          <w:rPr>
                            <w:szCs w:val="21"/>
                          </w:rPr>
                        </w:pPr>
                        <w:r>
                          <w:rPr>
                            <w:rFonts w:hint="eastAsia"/>
                            <w:szCs w:val="21"/>
                          </w:rPr>
                          <w:t>制定环境方针</w:t>
                        </w:r>
                      </w:p>
                    </w:txbxContent>
                  </v:textbox>
                </v:shape>
                <v:shape id="文本框 7" o:spid="_x0000_s1026" o:spt="202" type="#_x0000_t202" style="position:absolute;left:4433;top:9963;height:454;width:2835;" filled="f" stroked="t" coordsize="21600,21600" o:gfxdata="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SEEougAAANoA&#10;AAAPAAAAAAAAAAEAIAAAACIAAABkcnMvZG93bnJldi54bWxQSwECFAAUAAAACACHTuJAMy8FnjsA&#10;AAA5AAAAEAAAAAAAAAABACAAAAAJAQAAZHJzL3NoYXBleG1sLnhtbFBLBQYAAAAABgAGAFsBAACz&#10;AwAAAAA=&#10;">
                  <v:fill on="f" focussize="0,0"/>
                  <v:stroke color="#000000" miterlimit="8" joinstyle="miter"/>
                  <v:imagedata o:title=""/>
                  <o:lock v:ext="edit" aspectratio="f"/>
                  <v:textbox>
                    <w:txbxContent>
                      <w:p w14:paraId="4A6216F3">
                        <w:pPr>
                          <w:jc w:val="center"/>
                          <w:rPr>
                            <w:szCs w:val="21"/>
                          </w:rPr>
                        </w:pPr>
                        <w:r>
                          <w:rPr>
                            <w:rFonts w:hint="eastAsia"/>
                            <w:szCs w:val="21"/>
                          </w:rPr>
                          <w:t>制定环境目标和指标</w:t>
                        </w:r>
                      </w:p>
                    </w:txbxContent>
                  </v:textbox>
                </v:shape>
                <v:shape id="文本框 5" o:spid="_x0000_s1026" o:spt="202" type="#_x0000_t202" style="position:absolute;left:4463;top:10843;height:454;width:2835;" filled="f" stroked="t" coordsize="21600,21600" o:gfxdata="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b1k4C8AAAA&#10;2wAAAA8AAAAAAAAAAQAgAAAAIgAAAGRycy9kb3ducmV2LnhtbFBLAQIUABQAAAAIAIdO4kAzLwWe&#10;OwAAADkAAAAQAAAAAAAAAAEAIAAAAAsBAABkcnMvc2hhcGV4bWwueG1sUEsFBgAAAAAGAAYAWwEA&#10;ALUDAAAAAA==&#10;">
                  <v:fill on="f" focussize="0,0"/>
                  <v:stroke color="#000000" miterlimit="8" joinstyle="miter"/>
                  <v:imagedata o:title=""/>
                  <o:lock v:ext="edit" aspectratio="f"/>
                  <v:textbox>
                    <w:txbxContent>
                      <w:p w14:paraId="089DBB92">
                        <w:pPr>
                          <w:jc w:val="center"/>
                        </w:pPr>
                        <w:r>
                          <w:rPr>
                            <w:rFonts w:hint="eastAsia"/>
                            <w:szCs w:val="21"/>
                          </w:rPr>
                          <w:t>制定环境管理实施和方案</w:t>
                        </w:r>
                      </w:p>
                    </w:txbxContent>
                  </v:textbox>
                </v:shape>
                <v:shape id="文本框 3" o:spid="_x0000_s1026" o:spt="202" type="#_x0000_t202" style="position:absolute;left:4478;top:11641;height:454;width:2835;" filled="f" stroked="t" coordsize="21600,21600" o:gfxdata="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bk2G74A&#10;AADbAAAADwAAAAAAAAABACAAAAAiAAAAZHJzL2Rvd25yZXYueG1sUEsBAhQAFAAAAAgAh07iQDMv&#10;BZ47AAAAOQAAABAAAAAAAAAAAQAgAAAADQEAAGRycy9zaGFwZXhtbC54bWxQSwUGAAAAAAYABgBb&#10;AQAAtwMAAAAA&#10;">
                  <v:fill on="f" focussize="0,0"/>
                  <v:stroke color="#000000" miterlimit="8" joinstyle="miter"/>
                  <v:imagedata o:title=""/>
                  <o:lock v:ext="edit" aspectratio="f"/>
                  <v:textbox>
                    <w:txbxContent>
                      <w:p w14:paraId="57974DB5">
                        <w:pPr>
                          <w:jc w:val="center"/>
                          <w:rPr>
                            <w:szCs w:val="21"/>
                          </w:rPr>
                        </w:pPr>
                        <w:r>
                          <w:rPr>
                            <w:rFonts w:hint="eastAsia"/>
                            <w:szCs w:val="21"/>
                          </w:rPr>
                          <w:t>调整组织机构明确职责</w:t>
                        </w:r>
                      </w:p>
                    </w:txbxContent>
                  </v:textbox>
                </v:shape>
                <v:line id="直接连接符 8" o:spid="_x0000_s1026" o:spt="20" style="position:absolute;left:5850;top:9566;height:397;width:0;" filled="f" stroked="t" coordsize="21600,21600" o:gfxdata="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zz97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line id="直接连接符 6" o:spid="_x0000_s1026" o:spt="20" style="position:absolute;left:5880;top:10417;height:426;width:15;" filled="f" stroked="t" coordsize="21600,21600" o:gfxdata="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UBWb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4" o:spid="_x0000_s1026" o:spt="20" style="position:absolute;left:5895;top:11297;height:370;width:0;" filled="f" stroked="t" coordsize="21600,21600" o:gfxdata="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vf62&#10;wAAAANwAAAAPAAAAAAAAAAEAIAAAACIAAABkcnMvZG93bnJldi54bWxQSwECFAAUAAAACACHTuJA&#10;My8FnjsAAAA5AAAAEAAAAAAAAAABACAAAAAPAQAAZHJzL3NoYXBleG1sLnhtbFBLBQYAAAAABgAG&#10;AFsBAAC5AwAAAAA=&#10;">
                  <v:fill on="f" focussize="0,0"/>
                  <v:stroke color="#000000" joinstyle="round" endarrow="block"/>
                  <v:imagedata o:title=""/>
                  <o:lock v:ext="edit" aspectratio="f"/>
                </v:line>
              </v:group>
            </w:pict>
          </mc:Fallback>
        </mc:AlternateContent>
      </w:r>
    </w:p>
    <w:p w14:paraId="705CF7E9">
      <w:pPr>
        <w:ind w:firstLine="470"/>
        <w:rPr>
          <w:color w:val="000000" w:themeColor="text1"/>
          <w14:textFill>
            <w14:solidFill>
              <w14:schemeClr w14:val="tx1"/>
            </w14:solidFill>
          </w14:textFill>
        </w:rPr>
      </w:pPr>
    </w:p>
    <w:p w14:paraId="399F9C8E">
      <w:pPr>
        <w:ind w:firstLine="470"/>
        <w:rPr>
          <w:color w:val="000000" w:themeColor="text1"/>
          <w14:textFill>
            <w14:solidFill>
              <w14:schemeClr w14:val="tx1"/>
            </w14:solidFill>
          </w14:textFill>
        </w:rPr>
      </w:pPr>
    </w:p>
    <w:p w14:paraId="3B45D79E">
      <w:pPr>
        <w:ind w:firstLine="470"/>
        <w:rPr>
          <w:color w:val="000000" w:themeColor="text1"/>
          <w14:textFill>
            <w14:solidFill>
              <w14:schemeClr w14:val="tx1"/>
            </w14:solidFill>
          </w14:textFill>
        </w:rPr>
      </w:pPr>
    </w:p>
    <w:p w14:paraId="016D8EAF">
      <w:pPr>
        <w:ind w:firstLine="470"/>
        <w:rPr>
          <w:color w:val="000000" w:themeColor="text1"/>
          <w14:textFill>
            <w14:solidFill>
              <w14:schemeClr w14:val="tx1"/>
            </w14:solidFill>
          </w14:textFill>
        </w:rPr>
      </w:pPr>
    </w:p>
    <w:p w14:paraId="63079196">
      <w:pPr>
        <w:ind w:firstLine="470"/>
        <w:rPr>
          <w:color w:val="000000" w:themeColor="text1"/>
          <w14:textFill>
            <w14:solidFill>
              <w14:schemeClr w14:val="tx1"/>
            </w14:solidFill>
          </w14:textFill>
        </w:rPr>
      </w:pPr>
    </w:p>
    <w:p w14:paraId="3469024F">
      <w:pPr>
        <w:ind w:firstLine="470"/>
        <w:rPr>
          <w:color w:val="000000" w:themeColor="text1"/>
          <w14:textFill>
            <w14:solidFill>
              <w14:schemeClr w14:val="tx1"/>
            </w14:solidFill>
          </w14:textFill>
        </w:rPr>
      </w:pPr>
    </w:p>
    <w:p w14:paraId="3B8A5556">
      <w:pPr>
        <w:ind w:firstLine="470"/>
        <w:rPr>
          <w:color w:val="000000" w:themeColor="text1"/>
          <w14:textFill>
            <w14:solidFill>
              <w14:schemeClr w14:val="tx1"/>
            </w14:solidFill>
          </w14:textFill>
        </w:rPr>
      </w:pPr>
    </w:p>
    <w:p w14:paraId="44F88667">
      <w:pPr>
        <w:ind w:firstLine="470"/>
        <w:rPr>
          <w:color w:val="000000" w:themeColor="text1"/>
          <w14:textFill>
            <w14:solidFill>
              <w14:schemeClr w14:val="tx1"/>
            </w14:solidFill>
          </w14:textFill>
        </w:rPr>
      </w:pPr>
    </w:p>
    <w:p w14:paraId="0D49062C">
      <w:pPr>
        <w:ind w:firstLine="470"/>
        <w:rPr>
          <w:color w:val="000000" w:themeColor="text1"/>
          <w14:textFill>
            <w14:solidFill>
              <w14:schemeClr w14:val="tx1"/>
            </w14:solidFill>
          </w14:textFill>
        </w:rPr>
      </w:pPr>
    </w:p>
    <w:p w14:paraId="457E76EA">
      <w:pPr>
        <w:pStyle w:val="273"/>
        <w:spacing w:line="360" w:lineRule="auto"/>
        <w:ind w:firstLine="488"/>
        <w:jc w:val="center"/>
        <w:rPr>
          <w:b/>
          <w:color w:val="000000" w:themeColor="text1"/>
          <w14:textFill>
            <w14:solidFill>
              <w14:schemeClr w14:val="tx1"/>
            </w14:solidFill>
          </w14:textFill>
        </w:rPr>
      </w:pPr>
    </w:p>
    <w:p w14:paraId="1FA4B9F0">
      <w:pPr>
        <w:pStyle w:val="273"/>
        <w:spacing w:line="360" w:lineRule="auto"/>
        <w:ind w:firstLine="488"/>
        <w:jc w:val="center"/>
        <w:rPr>
          <w:b/>
          <w:color w:val="000000" w:themeColor="text1"/>
          <w14:textFill>
            <w14:solidFill>
              <w14:schemeClr w14:val="tx1"/>
            </w14:solidFill>
          </w14:textFill>
        </w:rPr>
      </w:pPr>
    </w:p>
    <w:p w14:paraId="0D7DF83E">
      <w:pPr>
        <w:adjustRightInd w:val="0"/>
        <w:snapToGrid w:val="0"/>
        <w:spacing w:before="120" w:beforeLines="50"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图9.1-1 环境管理体系建立和完善步骤</w:t>
      </w:r>
    </w:p>
    <w:p w14:paraId="34A9240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环境管理体系应在企业对环境所承担的责任和义务的环境方针指导下，制定出在一定时期要实现的环境目标和分解指标，以及实现环境目标的具体实施方案。为了顺利实施环境管理方案，必须明确从最高领导到一般员工的环境职责，执行国家环保法规和各项规章制度。</w:t>
      </w:r>
    </w:p>
    <w:p w14:paraId="57D7577D">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根据《中华人民共和国环境保护法》，建设单位必须把环保工作纳入日常工作计划之中，建立企业的环境保护责任制度，采取各种有效的措施，防治生产建设过程中产生的污染及其对环境造成的危害和影响。</w:t>
      </w:r>
    </w:p>
    <w:p w14:paraId="7B442C6D">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该厂应设置环境管理机构，可单设环保管理人员1-2人或由行政管理人员兼任。该机构职责是贯彻执行环境保护的法规和标准，负责污染源排放申报登记，对环保设施运行管理进行考核和统计，建立环境监测制度。</w:t>
      </w:r>
    </w:p>
    <w:p w14:paraId="01693F8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主要职责如下：</w:t>
      </w:r>
    </w:p>
    <w:p w14:paraId="3DB696C7">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1、遵守国家、地方的有关法律、法规以及其它相关规定，结合该项目的工艺特征，制定切实有效的环保管理制度，并落实到各部门、各岗位，使环保工作有章可循。</w:t>
      </w:r>
    </w:p>
    <w:p w14:paraId="20C31262">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2、建立健全项目运行期的污染源档案，环保设施运行情况档案，按月统计污染物排放情况并编制好有关数据报表并存档。</w:t>
      </w:r>
    </w:p>
    <w:p w14:paraId="76A5007B">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3、对环保设施、设备进行日常的监控和维护工作，并作好记录存档。</w:t>
      </w:r>
    </w:p>
    <w:p w14:paraId="33106871">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4、做好环境保护，安全生产宣传以及相关技术培训等工作，提高全体员工的环境保护意识，加强环境法制观念。</w:t>
      </w:r>
    </w:p>
    <w:p w14:paraId="1783975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5、加强管理，建立废水、废气非正常排放的应急制度和响应措施，将非正常排放的影响降至最低。</w:t>
      </w:r>
    </w:p>
    <w:p w14:paraId="2E518161">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6、加强危险、有毒品的贮运，使用的安全管理，做好防火、防爆、防毒害的日常管理工作及应急处理，疏散措施的组织等。</w:t>
      </w:r>
    </w:p>
    <w:p w14:paraId="07DD367E">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7、接受并配合地方环境保护主管部门对公司各废气、废水、噪声等污染源排放情况及固废处置情况进行监督监测，并将检查结果及时反馈给上级主管部门及相关生产操作系统，制订环境保护规划和目标，协调各部门的关系，调查处理企业内外污染事故与纠纷。</w:t>
      </w:r>
    </w:p>
    <w:p w14:paraId="4C80217E">
      <w:pPr>
        <w:pStyle w:val="752"/>
        <w:rPr>
          <w:rFonts w:cs="Times New Roman"/>
          <w:color w:val="000000" w:themeColor="text1"/>
          <w14:textFill>
            <w14:solidFill>
              <w14:schemeClr w14:val="tx1"/>
            </w14:solidFill>
          </w14:textFill>
        </w:rPr>
      </w:pPr>
      <w:bookmarkStart w:id="1062" w:name="_Toc2922"/>
      <w:bookmarkStart w:id="1063" w:name="_Toc21021"/>
      <w:bookmarkStart w:id="1064" w:name="_Toc233380290"/>
      <w:r>
        <w:rPr>
          <w:rFonts w:cs="Times New Roman"/>
          <w:color w:val="000000" w:themeColor="text1"/>
          <w14:textFill>
            <w14:solidFill>
              <w14:schemeClr w14:val="tx1"/>
            </w14:solidFill>
          </w14:textFill>
        </w:rPr>
        <w:t>9.1.3环境管理制度</w:t>
      </w:r>
      <w:bookmarkEnd w:id="1062"/>
      <w:bookmarkEnd w:id="1063"/>
      <w:bookmarkEnd w:id="1064"/>
    </w:p>
    <w:p w14:paraId="6A91AE92">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应建立健全必要的环境管理规章制度，并把它作为企业领导和全体职工必须严格遵守的一种规范和总则。“有规可循、执规必严”是环境管理得以顺利实施的重要保证。各项规章制度要体现环境管理的任务、内容和准则，使环境管理特点和要求渗透到企业的各项管理工作之中。</w:t>
      </w:r>
    </w:p>
    <w:p w14:paraId="71E30209">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最基本的环境管理制度有以下几方面：</w:t>
      </w:r>
    </w:p>
    <w:p w14:paraId="2CD1FBCC">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（1）环境保护管理条例；</w:t>
      </w:r>
    </w:p>
    <w:p w14:paraId="0EB5839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（2）环境质量管理规程；</w:t>
      </w:r>
    </w:p>
    <w:p w14:paraId="6485564C">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（3）环境管理的经济责任制；</w:t>
      </w:r>
    </w:p>
    <w:p w14:paraId="6A4C8EC7">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（4）环保业务的管理制度；</w:t>
      </w:r>
    </w:p>
    <w:p w14:paraId="160E5B1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（5）环境管理岗位责任制；</w:t>
      </w:r>
    </w:p>
    <w:p w14:paraId="3FC918F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（6）环境保护的考核制度；</w:t>
      </w:r>
    </w:p>
    <w:p w14:paraId="20CF512A">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（7）环保设施管理制度；</w:t>
      </w:r>
    </w:p>
    <w:p w14:paraId="4C6969C9">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（8）场区防渗管理条例；</w:t>
      </w:r>
    </w:p>
    <w:p w14:paraId="030C205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（9）生态保护管理规定；</w:t>
      </w:r>
    </w:p>
    <w:p w14:paraId="03412E54">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（10）污染物防治、控制措施及达标排放实施办法；</w:t>
      </w:r>
    </w:p>
    <w:p w14:paraId="769B1100">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（11）清洁生产审计制度。</w:t>
      </w:r>
    </w:p>
    <w:p w14:paraId="35E81E9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通过对各项环境管理制度建立和严格执行，形成目标管理、监督反馈紧密配</w:t>
      </w:r>
    </w:p>
    <w:p w14:paraId="24EA40ED">
      <w:pPr>
        <w:pStyle w:val="752"/>
        <w:rPr>
          <w:rFonts w:cs="Times New Roman"/>
          <w:color w:val="000000" w:themeColor="text1"/>
          <w14:textFill>
            <w14:solidFill>
              <w14:schemeClr w14:val="tx1"/>
            </w14:solidFill>
          </w14:textFill>
        </w:rPr>
      </w:pPr>
      <w:bookmarkStart w:id="1065" w:name="_Toc19134"/>
      <w:bookmarkStart w:id="1066" w:name="_Toc22666"/>
      <w:bookmarkStart w:id="1067" w:name="_Toc233380291"/>
      <w:r>
        <w:rPr>
          <w:rFonts w:cs="Times New Roman"/>
          <w:color w:val="000000" w:themeColor="text1"/>
          <w14:textFill>
            <w14:solidFill>
              <w14:schemeClr w14:val="tx1"/>
            </w14:solidFill>
          </w14:textFill>
        </w:rPr>
        <w:t>9.1.4环境管理手段和措施</w:t>
      </w:r>
      <w:bookmarkEnd w:id="1065"/>
      <w:bookmarkEnd w:id="1066"/>
      <w:bookmarkEnd w:id="1067"/>
    </w:p>
    <w:p w14:paraId="49C9952B">
      <w:pPr>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1、环境管理手段</w:t>
      </w:r>
    </w:p>
    <w:p w14:paraId="556C80FD">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类比国内部分养殖企业环境管理经验，结合建设单位实际情况，可采用行政、经济、技术、教育等环境管理手段进行本项目的环境管理工作。</w:t>
      </w:r>
    </w:p>
    <w:p w14:paraId="3E9D591B">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行政手段：制定环境保护目标责任制，将环境保护列入岗位责任制及生产调度当中，不定期检查环境保护状况，以行政手段督促、检查、奖惩，促使生产岗位按要求完成环保任务；本项目制定各区域操作规程，如牛舍规定一线工人的每日干清粪时间，次数，粪便是否现场堆积，检查责任人；</w:t>
      </w:r>
      <w:r>
        <w:rPr>
          <w:rFonts w:hint="eastAsia"/>
          <w:color w:val="000000" w:themeColor="text1"/>
          <w:sz w:val="24"/>
          <w14:textFill>
            <w14:solidFill>
              <w14:schemeClr w14:val="tx1"/>
            </w14:solidFill>
          </w14:textFill>
        </w:rPr>
        <w:t>牛舍</w:t>
      </w:r>
      <w:r>
        <w:rPr>
          <w:color w:val="000000" w:themeColor="text1"/>
          <w:sz w:val="24"/>
          <w14:textFill>
            <w14:solidFill>
              <w14:schemeClr w14:val="tx1"/>
            </w14:solidFill>
          </w14:textFill>
        </w:rPr>
        <w:t>是否按要求喷洒除臭剂，是否灭蚊蝇等等，检查责任人。</w:t>
      </w:r>
    </w:p>
    <w:p w14:paraId="35702991">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技术手段：从项目设计、施工到运营全过程采取先进的工艺、设备，同环境保护措施密切结合，积极推广应用新技术，解决环境问题，实现清洁生产；本项目要求各区域安装水表，进行用水量统计，作为考核指标之一，定期对员工进行操作培训并做记录。</w:t>
      </w:r>
    </w:p>
    <w:p w14:paraId="2AF76177">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（3）经济手段：制定并严格按照《环境保护奖惩办法》开展工作，促进环保工作的定量考核，切实将防治污染和保护环境落实到生产管理建设的各个工作环节，做到奖优罚劣，将环境保护与经济效益结合起来。</w:t>
      </w:r>
    </w:p>
    <w:p w14:paraId="6F62D82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（4）教育手段：通过环保宣传和教育，提高全体职工的环保意识，做到自觉保护环境。</w:t>
      </w:r>
    </w:p>
    <w:p w14:paraId="3E0AA29D">
      <w:pPr>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2、环境管理措施</w:t>
      </w:r>
    </w:p>
    <w:p w14:paraId="390D2A17">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（1）建立ISO14000环境管理体系，建议同时进行QHSE（质量、健康、安全、环保）审核；</w:t>
      </w:r>
    </w:p>
    <w:p w14:paraId="49149204">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（2）制订环境保护岗位目标责任制，将环境管理纳入生产管理体系，环保评估与经济效益评估相结合，建立严格的奖惩机制；</w:t>
      </w:r>
    </w:p>
    <w:p w14:paraId="35327F3E">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加强环境保护宣传教育工作，将环保意识融入企业文化，进行培训，使全体职工能够意识到环境保护的重要意义，包括与企业生产、生存和发展的关系，全公司应有危机感和责任感，把环保工作落实到实处，落实到每一位员工；</w:t>
      </w:r>
    </w:p>
    <w:p w14:paraId="6D48348E">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（4）加强环境监测数据的统计工作，建立全场完善的污染源及物料流失档案，严格控制污染物排放总量，确保污染物排放指标达到设计要求；</w:t>
      </w:r>
    </w:p>
    <w:p w14:paraId="06150CEC">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（5）强化对环保设施运行监督、管理的职能，建立全场完善的环保设施运行、维护、维修等技术档案，以及加强对环保设施操作人员的技术培训，确保环保设施处于正常运行情况，污染物排放连续达标；</w:t>
      </w:r>
    </w:p>
    <w:p w14:paraId="709D6B69">
      <w:pPr>
        <w:spacing w:line="360" w:lineRule="auto"/>
        <w:ind w:firstLine="480" w:firstLineChars="200"/>
        <w:jc w:val="both"/>
        <w:rPr>
          <w:color w:val="000000" w:themeColor="text1"/>
          <w14:textFill>
            <w14:solidFill>
              <w14:schemeClr w14:val="tx1"/>
            </w14:solidFill>
          </w14:textFill>
        </w:rPr>
      </w:pPr>
      <w:r>
        <w:rPr>
          <w:color w:val="000000" w:themeColor="text1"/>
          <w:sz w:val="24"/>
          <w14:textFill>
            <w14:solidFill>
              <w14:schemeClr w14:val="tx1"/>
            </w14:solidFill>
          </w14:textFill>
        </w:rPr>
        <w:t>（6）制订应急系统。</w:t>
      </w:r>
    </w:p>
    <w:p w14:paraId="622E8564">
      <w:pPr>
        <w:pStyle w:val="752"/>
        <w:rPr>
          <w:rFonts w:cs="Times New Roman"/>
          <w:color w:val="000000" w:themeColor="text1"/>
          <w14:textFill>
            <w14:solidFill>
              <w14:schemeClr w14:val="tx1"/>
            </w14:solidFill>
          </w14:textFill>
        </w:rPr>
      </w:pPr>
      <w:bookmarkStart w:id="1068" w:name="_Toc9567"/>
      <w:bookmarkStart w:id="1069" w:name="_Toc233380292"/>
      <w:r>
        <w:rPr>
          <w:rFonts w:cs="Times New Roman"/>
          <w:color w:val="000000" w:themeColor="text1"/>
          <w14:textFill>
            <w14:solidFill>
              <w14:schemeClr w14:val="tx1"/>
            </w14:solidFill>
          </w14:textFill>
        </w:rPr>
        <w:t>9.1.5施工期环境管理</w:t>
      </w:r>
      <w:bookmarkEnd w:id="1068"/>
      <w:bookmarkEnd w:id="1069"/>
    </w:p>
    <w:p w14:paraId="2DC03D0C">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（1）设计部门应该将本报告书提出的环保措施列入设计之中。建设单位应该把污染治理所需资金、材料和设备等纳入工程预算。</w:t>
      </w:r>
    </w:p>
    <w:p w14:paraId="42F2C888">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建设单位与施工单位签定工程承包合同中，应包括有关工程施工期间环境保护条款，包括工程施工生态环境保护（水土保持）、施工期间环境污染控制，污染物排放管理，施工人员环保教育及相关奖惩条款。</w:t>
      </w:r>
    </w:p>
    <w:p w14:paraId="7703D4B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施工单位应提高环保意识，加强驻地和施工现场的环境管理，合理安排施工计划，切实做到组织计划严谨，文明施工。提高施工人员的环保意识，落实各项环保措施，环保工程与主体工程同时实施、同时运行，环保工程费用专款专用，不偷工减料，延误工期。</w:t>
      </w:r>
    </w:p>
    <w:p w14:paraId="690412A5">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（4）施工单位应特别注意工程施工中的水土保持，尽可能保护好沿线土壤、植被，弃土、弃渣须运至设计中指定地点弃置，严禁随意堆置，防止对地表水环境产生影响。</w:t>
      </w:r>
    </w:p>
    <w:p w14:paraId="5C4C3D8C">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（5）各施工现场、施工单位驻地及其他施工临时设施，应加强环境管理，</w:t>
      </w:r>
    </w:p>
    <w:p w14:paraId="73E21C7E">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（6）根据本报告书提出的环保措施和生态环境部门审批要求，建设单位应该严格执行“三同时 ”制度，健全各项环保设施，绿化美化厂区环境。</w:t>
      </w:r>
    </w:p>
    <w:p w14:paraId="446BF88C">
      <w:pPr>
        <w:pStyle w:val="752"/>
        <w:rPr>
          <w:rFonts w:cs="Times New Roman"/>
          <w:color w:val="000000" w:themeColor="text1"/>
          <w14:textFill>
            <w14:solidFill>
              <w14:schemeClr w14:val="tx1"/>
            </w14:solidFill>
          </w14:textFill>
        </w:rPr>
      </w:pPr>
      <w:bookmarkStart w:id="1070" w:name="_Toc205713866"/>
      <w:bookmarkStart w:id="1071" w:name="_Toc240951809"/>
      <w:bookmarkStart w:id="1072" w:name="_Toc205719835"/>
      <w:bookmarkStart w:id="1073" w:name="_Toc205719676"/>
      <w:bookmarkStart w:id="1074" w:name="_Toc242967612"/>
      <w:bookmarkStart w:id="1075" w:name="_Toc28814780"/>
      <w:bookmarkStart w:id="1076" w:name="_Toc243578602"/>
      <w:bookmarkStart w:id="1077" w:name="_Toc27751290"/>
      <w:bookmarkStart w:id="1078" w:name="_Toc244079813"/>
      <w:bookmarkStart w:id="1079" w:name="_Toc19248"/>
      <w:bookmarkStart w:id="1080" w:name="_Toc21529740"/>
      <w:bookmarkStart w:id="1081" w:name="_Toc40220855"/>
      <w:bookmarkStart w:id="1082" w:name="_Toc233380293"/>
      <w:r>
        <w:rPr>
          <w:rFonts w:cs="Times New Roman"/>
          <w:color w:val="000000" w:themeColor="text1"/>
          <w14:textFill>
            <w14:solidFill>
              <w14:schemeClr w14:val="tx1"/>
            </w14:solidFill>
          </w14:textFill>
        </w:rPr>
        <w:t>9.1.</w:t>
      </w:r>
      <w:bookmarkEnd w:id="1070"/>
      <w:bookmarkEnd w:id="1071"/>
      <w:bookmarkEnd w:id="1072"/>
      <w:bookmarkEnd w:id="1073"/>
      <w:r>
        <w:rPr>
          <w:rFonts w:cs="Times New Roman"/>
          <w:color w:val="000000" w:themeColor="text1"/>
          <w14:textFill>
            <w14:solidFill>
              <w14:schemeClr w14:val="tx1"/>
            </w14:solidFill>
          </w14:textFill>
        </w:rPr>
        <w:t>6营运期环境管理</w:t>
      </w:r>
      <w:bookmarkEnd w:id="1074"/>
      <w:bookmarkEnd w:id="1075"/>
      <w:bookmarkEnd w:id="1076"/>
      <w:bookmarkEnd w:id="1077"/>
      <w:bookmarkEnd w:id="1078"/>
      <w:bookmarkEnd w:id="1079"/>
      <w:bookmarkEnd w:id="1080"/>
      <w:bookmarkEnd w:id="1081"/>
      <w:bookmarkEnd w:id="1082"/>
    </w:p>
    <w:p w14:paraId="7D2AE68D">
      <w:pPr>
        <w:spacing w:line="360" w:lineRule="auto"/>
        <w:ind w:firstLine="480" w:firstLineChars="200"/>
        <w:jc w:val="both"/>
        <w:rPr>
          <w:color w:val="000000" w:themeColor="text1"/>
          <w:sz w:val="24"/>
          <w14:textFill>
            <w14:solidFill>
              <w14:schemeClr w14:val="tx1"/>
            </w14:solidFill>
          </w14:textFill>
        </w:rPr>
      </w:pPr>
      <w:bookmarkStart w:id="1083" w:name="_Toc413883131"/>
      <w:r>
        <w:rPr>
          <w:color w:val="000000" w:themeColor="text1"/>
          <w:sz w:val="24"/>
          <w14:textFill>
            <w14:solidFill>
              <w14:schemeClr w14:val="tx1"/>
            </w14:solidFill>
          </w14:textFill>
        </w:rPr>
        <w:t>1、结合该项目的工艺贯彻落实公司的环保方针，根据公司的环境保护管理制度确定各部门、各岗位的环境保护职责和规章制度。并遵守国家、地方的有关法律、法规以及其它相关规定。</w:t>
      </w:r>
    </w:p>
    <w:p w14:paraId="71DBAB4D">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2、制定并严格执行环保规章制度，明确职责，并监督执</w:t>
      </w:r>
      <w:r>
        <w:rPr>
          <w:color w:val="000000" w:themeColor="text1"/>
          <w:spacing w:val="-7"/>
          <w:sz w:val="24"/>
          <w14:textFill>
            <w14:solidFill>
              <w14:schemeClr w14:val="tx1"/>
            </w14:solidFill>
          </w14:textFill>
        </w:rPr>
        <w:t>行。</w:t>
      </w:r>
      <w:r>
        <w:rPr>
          <w:color w:val="000000" w:themeColor="text1"/>
          <w:sz w:val="24"/>
          <w14:textFill>
            <w14:solidFill>
              <w14:schemeClr w14:val="tx1"/>
            </w14:solidFill>
          </w14:textFill>
        </w:rPr>
        <w:t>建立健全工程运行过程中的污染源档案、环保设施和工艺流程档案。按月统计污染物排放的有关数据报表和环保设施的运行状况。</w:t>
      </w:r>
    </w:p>
    <w:p w14:paraId="1347A16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3、对环保设施、设备进行日常的监控和维护工作，并作好记录存档。</w:t>
      </w:r>
    </w:p>
    <w:p w14:paraId="3E07028B">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4、做好环境保护、安全生产宣传，以及相关技术培训等工作。</w:t>
      </w:r>
    </w:p>
    <w:p w14:paraId="2DF97573">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5、加强管理，建立废水、废气非正常排放的应急制度和响应措施，将非正常排放的影响降至最低。</w:t>
      </w:r>
    </w:p>
    <w:p w14:paraId="561B8648">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6、对从事环保工作的专职人员，应进行上岗前和日常的专业培训，要求其了解公司各种产品的生产工艺和产生的废水、废气、噪声等污染的治理技术，确保废水、废气、噪声等污染物的达标排放和处理设备的正常运转，提出环境监测计划。</w:t>
      </w:r>
    </w:p>
    <w:p w14:paraId="78FB5943">
      <w:pPr>
        <w:pStyle w:val="752"/>
        <w:rPr>
          <w:rFonts w:cs="Times New Roman"/>
          <w:color w:val="000000" w:themeColor="text1"/>
          <w14:textFill>
            <w14:solidFill>
              <w14:schemeClr w14:val="tx1"/>
            </w14:solidFill>
          </w14:textFill>
        </w:rPr>
      </w:pPr>
      <w:bookmarkStart w:id="1084" w:name="_Toc31230"/>
      <w:bookmarkStart w:id="1085" w:name="_Toc21529741"/>
      <w:bookmarkStart w:id="1086" w:name="_Toc27751291"/>
      <w:bookmarkStart w:id="1087" w:name="_Toc28814781"/>
      <w:bookmarkStart w:id="1088" w:name="_Toc40220856"/>
      <w:bookmarkStart w:id="1089" w:name="_Toc233380294"/>
      <w:r>
        <w:rPr>
          <w:rFonts w:cs="Times New Roman"/>
          <w:color w:val="000000" w:themeColor="text1"/>
          <w14:textFill>
            <w14:solidFill>
              <w14:schemeClr w14:val="tx1"/>
            </w14:solidFill>
          </w14:textFill>
        </w:rPr>
        <w:t>9.1.7污染物排放清单</w:t>
      </w:r>
      <w:bookmarkEnd w:id="1084"/>
      <w:bookmarkEnd w:id="1085"/>
      <w:bookmarkEnd w:id="1086"/>
      <w:bookmarkEnd w:id="1087"/>
      <w:bookmarkEnd w:id="1088"/>
      <w:bookmarkEnd w:id="1089"/>
    </w:p>
    <w:p w14:paraId="5D9C48C3">
      <w:pPr>
        <w:autoSpaceDE w:val="0"/>
        <w:autoSpaceDN w:val="0"/>
        <w:adjustRightInd w:val="0"/>
        <w:spacing w:line="360" w:lineRule="auto"/>
        <w:ind w:firstLine="480" w:firstLineChars="200"/>
        <w:jc w:val="both"/>
        <w:rPr>
          <w:snapToGrid w:val="0"/>
          <w:color w:val="000000" w:themeColor="text1"/>
          <w:sz w:val="24"/>
          <w14:textFill>
            <w14:solidFill>
              <w14:schemeClr w14:val="tx1"/>
            </w14:solidFill>
          </w14:textFill>
        </w:rPr>
      </w:pPr>
      <w:r>
        <w:rPr>
          <w:snapToGrid w:val="0"/>
          <w:color w:val="000000" w:themeColor="text1"/>
          <w:sz w:val="24"/>
          <w14:textFill>
            <w14:solidFill>
              <w14:schemeClr w14:val="tx1"/>
            </w14:solidFill>
          </w14:textFill>
        </w:rPr>
        <w:t>项目产生污染物主要是生产过程排放的</w:t>
      </w:r>
      <w:r>
        <w:rPr>
          <w:color w:val="000000" w:themeColor="text1"/>
          <w:kern w:val="0"/>
          <w:sz w:val="24"/>
          <w14:textFill>
            <w14:solidFill>
              <w14:schemeClr w14:val="tx1"/>
            </w14:solidFill>
          </w14:textFill>
        </w:rPr>
        <w:t>H</w:t>
      </w:r>
      <w:r>
        <w:rPr>
          <w:color w:val="000000" w:themeColor="text1"/>
          <w:kern w:val="0"/>
          <w:sz w:val="24"/>
          <w:vertAlign w:val="subscript"/>
          <w14:textFill>
            <w14:solidFill>
              <w14:schemeClr w14:val="tx1"/>
            </w14:solidFill>
          </w14:textFill>
        </w:rPr>
        <w:t>2</w:t>
      </w:r>
      <w:r>
        <w:rPr>
          <w:color w:val="000000" w:themeColor="text1"/>
          <w:kern w:val="0"/>
          <w:sz w:val="24"/>
          <w14:textFill>
            <w14:solidFill>
              <w14:schemeClr w14:val="tx1"/>
            </w14:solidFill>
          </w14:textFill>
        </w:rPr>
        <w:t>S、NH</w:t>
      </w:r>
      <w:r>
        <w:rPr>
          <w:color w:val="000000" w:themeColor="text1"/>
          <w:kern w:val="0"/>
          <w:sz w:val="24"/>
          <w:vertAlign w:val="subscript"/>
          <w14:textFill>
            <w14:solidFill>
              <w14:schemeClr w14:val="tx1"/>
            </w14:solidFill>
          </w14:textFill>
        </w:rPr>
        <w:t>3</w:t>
      </w:r>
      <w:r>
        <w:rPr>
          <w:color w:val="000000" w:themeColor="text1"/>
          <w:kern w:val="0"/>
          <w:sz w:val="24"/>
          <w14:textFill>
            <w14:solidFill>
              <w14:schemeClr w14:val="tx1"/>
            </w14:solidFill>
          </w14:textFill>
        </w:rPr>
        <w:t>、臭气浓度</w:t>
      </w:r>
      <w:r>
        <w:rPr>
          <w:snapToGrid w:val="0"/>
          <w:color w:val="000000" w:themeColor="text1"/>
          <w:sz w:val="24"/>
          <w14:textFill>
            <w14:solidFill>
              <w14:schemeClr w14:val="tx1"/>
            </w14:solidFill>
          </w14:textFill>
        </w:rPr>
        <w:t>等；设备的噪声以及动物医疗废物、生活垃圾等固体废物，项目营运期间需制定详细的污染物排放清单，污染物排放清单的内容参见表9.1-1。</w:t>
      </w:r>
    </w:p>
    <w:p w14:paraId="4FA0508F">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表9.1-1 项目污染物排放清单表</w:t>
      </w:r>
    </w:p>
    <w:tbl>
      <w:tblPr>
        <w:tblStyle w:val="8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889"/>
        <w:gridCol w:w="1693"/>
        <w:gridCol w:w="1873"/>
        <w:gridCol w:w="1490"/>
        <w:gridCol w:w="2368"/>
      </w:tblGrid>
      <w:tr w14:paraId="2A3750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543F511E">
            <w:pPr>
              <w:jc w:val="center"/>
              <w:rPr>
                <w:b/>
                <w:color w:val="000000" w:themeColor="text1"/>
                <w:szCs w:val="21"/>
                <w14:textFill>
                  <w14:solidFill>
                    <w14:schemeClr w14:val="tx1"/>
                  </w14:solidFill>
                </w14:textFill>
              </w:rPr>
            </w:pPr>
            <w:bookmarkStart w:id="1090" w:name="_Toc40220857"/>
            <w:bookmarkStart w:id="1091" w:name="_Toc520469093"/>
            <w:bookmarkStart w:id="1092" w:name="_Toc483497225"/>
            <w:r>
              <w:rPr>
                <w:b/>
                <w:color w:val="000000" w:themeColor="text1"/>
                <w:szCs w:val="21"/>
                <w14:textFill>
                  <w14:solidFill>
                    <w14:schemeClr w14:val="tx1"/>
                  </w14:solidFill>
                </w14:textFill>
              </w:rPr>
              <w:t>序号</w:t>
            </w:r>
          </w:p>
        </w:tc>
        <w:tc>
          <w:tcPr>
            <w:tcW w:w="1018" w:type="pct"/>
            <w:tcBorders>
              <w:tl2br w:val="nil"/>
              <w:tr2bl w:val="nil"/>
            </w:tcBorders>
            <w:vAlign w:val="center"/>
          </w:tcPr>
          <w:p w14:paraId="1C17DD91">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污染物名称</w:t>
            </w:r>
          </w:p>
        </w:tc>
        <w:tc>
          <w:tcPr>
            <w:tcW w:w="1126" w:type="pct"/>
            <w:tcBorders>
              <w:tl2br w:val="nil"/>
              <w:tr2bl w:val="nil"/>
            </w:tcBorders>
            <w:vAlign w:val="center"/>
          </w:tcPr>
          <w:p w14:paraId="5A9BCC3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排放位置</w:t>
            </w:r>
          </w:p>
        </w:tc>
        <w:tc>
          <w:tcPr>
            <w:tcW w:w="896" w:type="pct"/>
            <w:tcBorders>
              <w:tl2br w:val="nil"/>
              <w:tr2bl w:val="nil"/>
            </w:tcBorders>
            <w:vAlign w:val="center"/>
          </w:tcPr>
          <w:p w14:paraId="25F5E080">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排放规律</w:t>
            </w:r>
          </w:p>
        </w:tc>
        <w:tc>
          <w:tcPr>
            <w:tcW w:w="1424" w:type="pct"/>
            <w:tcBorders>
              <w:tl2br w:val="nil"/>
              <w:tr2bl w:val="nil"/>
            </w:tcBorders>
            <w:vAlign w:val="center"/>
          </w:tcPr>
          <w:p w14:paraId="64B260C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排放去向</w:t>
            </w:r>
          </w:p>
        </w:tc>
      </w:tr>
      <w:tr w14:paraId="04A330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2711ED3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018" w:type="pct"/>
            <w:tcBorders>
              <w:tl2br w:val="nil"/>
              <w:tr2bl w:val="nil"/>
            </w:tcBorders>
            <w:vAlign w:val="center"/>
          </w:tcPr>
          <w:p w14:paraId="75C698D1">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H</w:t>
            </w:r>
            <w:r>
              <w:rPr>
                <w:color w:val="000000" w:themeColor="text1"/>
                <w:kern w:val="0"/>
                <w:szCs w:val="21"/>
                <w:vertAlign w:val="subscript"/>
                <w14:textFill>
                  <w14:solidFill>
                    <w14:schemeClr w14:val="tx1"/>
                  </w14:solidFill>
                </w14:textFill>
              </w:rPr>
              <w:t>2</w:t>
            </w:r>
            <w:r>
              <w:rPr>
                <w:color w:val="000000" w:themeColor="text1"/>
                <w:kern w:val="0"/>
                <w:szCs w:val="21"/>
                <w14:textFill>
                  <w14:solidFill>
                    <w14:schemeClr w14:val="tx1"/>
                  </w14:solidFill>
                </w14:textFill>
              </w:rPr>
              <w:t>S、NH</w:t>
            </w:r>
            <w:r>
              <w:rPr>
                <w:color w:val="000000" w:themeColor="text1"/>
                <w:kern w:val="0"/>
                <w:szCs w:val="21"/>
                <w:vertAlign w:val="subscript"/>
                <w14:textFill>
                  <w14:solidFill>
                    <w14:schemeClr w14:val="tx1"/>
                  </w14:solidFill>
                </w14:textFill>
              </w:rPr>
              <w:t>3</w:t>
            </w:r>
            <w:r>
              <w:rPr>
                <w:color w:val="000000" w:themeColor="text1"/>
                <w:kern w:val="0"/>
                <w:szCs w:val="21"/>
                <w14:textFill>
                  <w14:solidFill>
                    <w14:schemeClr w14:val="tx1"/>
                  </w14:solidFill>
                </w14:textFill>
              </w:rPr>
              <w:t>、臭气浓度</w:t>
            </w:r>
          </w:p>
        </w:tc>
        <w:tc>
          <w:tcPr>
            <w:tcW w:w="1126" w:type="pct"/>
            <w:tcBorders>
              <w:tl2br w:val="nil"/>
              <w:tr2bl w:val="nil"/>
            </w:tcBorders>
            <w:vAlign w:val="center"/>
          </w:tcPr>
          <w:p w14:paraId="5EE1867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牛舍</w:t>
            </w:r>
          </w:p>
        </w:tc>
        <w:tc>
          <w:tcPr>
            <w:tcW w:w="896" w:type="pct"/>
            <w:tcBorders>
              <w:tl2br w:val="nil"/>
              <w:tr2bl w:val="nil"/>
            </w:tcBorders>
            <w:vAlign w:val="center"/>
          </w:tcPr>
          <w:p w14:paraId="0CF00C2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连续排放</w:t>
            </w:r>
          </w:p>
        </w:tc>
        <w:tc>
          <w:tcPr>
            <w:tcW w:w="1424" w:type="pct"/>
            <w:tcBorders>
              <w:tl2br w:val="nil"/>
              <w:tr2bl w:val="nil"/>
            </w:tcBorders>
            <w:vAlign w:val="center"/>
          </w:tcPr>
          <w:p w14:paraId="700ED8E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大气环境</w:t>
            </w:r>
          </w:p>
        </w:tc>
      </w:tr>
      <w:tr w14:paraId="697B49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0378C20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018" w:type="pct"/>
            <w:tcBorders>
              <w:tl2br w:val="nil"/>
              <w:tr2bl w:val="nil"/>
            </w:tcBorders>
            <w:vAlign w:val="center"/>
          </w:tcPr>
          <w:p w14:paraId="4AB8D1C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TSP</w:t>
            </w:r>
          </w:p>
        </w:tc>
        <w:tc>
          <w:tcPr>
            <w:tcW w:w="1126" w:type="pct"/>
            <w:tcBorders>
              <w:tl2br w:val="nil"/>
              <w:tr2bl w:val="nil"/>
            </w:tcBorders>
            <w:vAlign w:val="center"/>
          </w:tcPr>
          <w:p w14:paraId="2F537D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饲料仓库</w:t>
            </w:r>
          </w:p>
        </w:tc>
        <w:tc>
          <w:tcPr>
            <w:tcW w:w="896" w:type="pct"/>
            <w:tcBorders>
              <w:tl2br w:val="nil"/>
              <w:tr2bl w:val="nil"/>
            </w:tcBorders>
            <w:vAlign w:val="center"/>
          </w:tcPr>
          <w:p w14:paraId="3106686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连续排放</w:t>
            </w:r>
          </w:p>
        </w:tc>
        <w:tc>
          <w:tcPr>
            <w:tcW w:w="1424" w:type="pct"/>
            <w:tcBorders>
              <w:tl2br w:val="nil"/>
              <w:tr2bl w:val="nil"/>
            </w:tcBorders>
            <w:vAlign w:val="center"/>
          </w:tcPr>
          <w:p w14:paraId="5DDFB04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大气环境</w:t>
            </w:r>
          </w:p>
        </w:tc>
      </w:tr>
      <w:tr w14:paraId="7C68E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39D2952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1018" w:type="pct"/>
            <w:tcBorders>
              <w:tl2br w:val="nil"/>
              <w:tr2bl w:val="nil"/>
            </w:tcBorders>
            <w:vAlign w:val="center"/>
          </w:tcPr>
          <w:p w14:paraId="5EB1BB8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生活污水</w:t>
            </w:r>
          </w:p>
        </w:tc>
        <w:tc>
          <w:tcPr>
            <w:tcW w:w="1126" w:type="pct"/>
            <w:tcBorders>
              <w:tl2br w:val="nil"/>
              <w:tr2bl w:val="nil"/>
            </w:tcBorders>
            <w:vAlign w:val="center"/>
          </w:tcPr>
          <w:p w14:paraId="6373541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日常生产</w:t>
            </w:r>
          </w:p>
        </w:tc>
        <w:tc>
          <w:tcPr>
            <w:tcW w:w="896" w:type="pct"/>
            <w:tcBorders>
              <w:tl2br w:val="nil"/>
              <w:tr2bl w:val="nil"/>
            </w:tcBorders>
            <w:vAlign w:val="center"/>
          </w:tcPr>
          <w:p w14:paraId="5A6E362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连续排放</w:t>
            </w:r>
          </w:p>
        </w:tc>
        <w:tc>
          <w:tcPr>
            <w:tcW w:w="1424" w:type="pct"/>
            <w:tcBorders>
              <w:tl2br w:val="nil"/>
              <w:tr2bl w:val="nil"/>
            </w:tcBorders>
            <w:vAlign w:val="center"/>
          </w:tcPr>
          <w:p w14:paraId="51210FD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厂区内</w:t>
            </w:r>
            <w:r>
              <w:rPr>
                <w:rFonts w:hint="eastAsia"/>
                <w:color w:val="000000" w:themeColor="text1"/>
                <w:szCs w:val="21"/>
                <w14:textFill>
                  <w14:solidFill>
                    <w14:schemeClr w14:val="tx1"/>
                  </w14:solidFill>
                </w14:textFill>
              </w:rPr>
              <w:t>化粪</w:t>
            </w:r>
            <w:r>
              <w:rPr>
                <w:color w:val="000000" w:themeColor="text1"/>
                <w:szCs w:val="21"/>
                <w14:textFill>
                  <w14:solidFill>
                    <w14:schemeClr w14:val="tx1"/>
                  </w14:solidFill>
                </w14:textFill>
              </w:rPr>
              <w:t>池处理后用于</w:t>
            </w:r>
            <w:r>
              <w:rPr>
                <w:rFonts w:hint="eastAsia"/>
                <w:color w:val="000000" w:themeColor="text1"/>
                <w:szCs w:val="21"/>
                <w14:textFill>
                  <w14:solidFill>
                    <w14:schemeClr w14:val="tx1"/>
                  </w14:solidFill>
                </w14:textFill>
              </w:rPr>
              <w:t>场区绿化</w:t>
            </w:r>
          </w:p>
        </w:tc>
      </w:tr>
      <w:tr w14:paraId="7C608A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2EF11A0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5</w:t>
            </w:r>
          </w:p>
        </w:tc>
        <w:tc>
          <w:tcPr>
            <w:tcW w:w="1018" w:type="pct"/>
            <w:tcBorders>
              <w:tl2br w:val="nil"/>
              <w:tr2bl w:val="nil"/>
            </w:tcBorders>
            <w:vAlign w:val="center"/>
          </w:tcPr>
          <w:p w14:paraId="72808F3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1126" w:type="pct"/>
            <w:tcBorders>
              <w:tl2br w:val="nil"/>
              <w:tr2bl w:val="nil"/>
            </w:tcBorders>
            <w:vAlign w:val="center"/>
          </w:tcPr>
          <w:p w14:paraId="49039A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养殖区</w:t>
            </w:r>
          </w:p>
        </w:tc>
        <w:tc>
          <w:tcPr>
            <w:tcW w:w="896" w:type="pct"/>
            <w:tcBorders>
              <w:tl2br w:val="nil"/>
              <w:tr2bl w:val="nil"/>
            </w:tcBorders>
            <w:vAlign w:val="center"/>
          </w:tcPr>
          <w:p w14:paraId="2A4F13F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连续排放</w:t>
            </w:r>
          </w:p>
        </w:tc>
        <w:tc>
          <w:tcPr>
            <w:tcW w:w="1424" w:type="pct"/>
            <w:tcBorders>
              <w:tl2br w:val="nil"/>
              <w:tr2bl w:val="nil"/>
            </w:tcBorders>
            <w:vAlign w:val="center"/>
          </w:tcPr>
          <w:p w14:paraId="36BC99A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w:t>
            </w:r>
          </w:p>
        </w:tc>
      </w:tr>
      <w:tr w14:paraId="76EBBD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1EB1AFA7">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6</w:t>
            </w:r>
          </w:p>
        </w:tc>
        <w:tc>
          <w:tcPr>
            <w:tcW w:w="1018" w:type="pct"/>
            <w:tcBorders>
              <w:tl2br w:val="nil"/>
              <w:tr2bl w:val="nil"/>
            </w:tcBorders>
            <w:vAlign w:val="center"/>
          </w:tcPr>
          <w:p w14:paraId="21AC699E">
            <w:pPr>
              <w:pStyle w:val="75"/>
              <w:adjustRightInd w:val="0"/>
              <w:snapToGrid w:val="0"/>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动物医疗废物</w:t>
            </w:r>
          </w:p>
        </w:tc>
        <w:tc>
          <w:tcPr>
            <w:tcW w:w="1126" w:type="pct"/>
            <w:tcBorders>
              <w:tl2br w:val="nil"/>
              <w:tr2bl w:val="nil"/>
            </w:tcBorders>
            <w:vAlign w:val="center"/>
          </w:tcPr>
          <w:p w14:paraId="6E5CA4F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医</w:t>
            </w:r>
            <w:r>
              <w:rPr>
                <w:color w:val="000000" w:themeColor="text1"/>
                <w:szCs w:val="21"/>
                <w14:textFill>
                  <w14:solidFill>
                    <w14:schemeClr w14:val="tx1"/>
                  </w14:solidFill>
                </w14:textFill>
              </w:rPr>
              <w:t>废暂存间</w:t>
            </w:r>
          </w:p>
        </w:tc>
        <w:tc>
          <w:tcPr>
            <w:tcW w:w="896" w:type="pct"/>
            <w:tcBorders>
              <w:tl2br w:val="nil"/>
              <w:tr2bl w:val="nil"/>
            </w:tcBorders>
            <w:vAlign w:val="center"/>
          </w:tcPr>
          <w:p w14:paraId="73319E6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间接排放</w:t>
            </w:r>
          </w:p>
        </w:tc>
        <w:tc>
          <w:tcPr>
            <w:tcW w:w="1424" w:type="pct"/>
            <w:tcBorders>
              <w:tl2br w:val="nil"/>
              <w:tr2bl w:val="nil"/>
            </w:tcBorders>
            <w:vAlign w:val="center"/>
          </w:tcPr>
          <w:p w14:paraId="5195B27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委托有资质单位处理</w:t>
            </w:r>
          </w:p>
        </w:tc>
      </w:tr>
      <w:tr w14:paraId="488E9B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5AB3F9C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9</w:t>
            </w:r>
          </w:p>
        </w:tc>
        <w:tc>
          <w:tcPr>
            <w:tcW w:w="1018" w:type="pct"/>
            <w:tcBorders>
              <w:tl2br w:val="nil"/>
              <w:tr2bl w:val="nil"/>
            </w:tcBorders>
            <w:vAlign w:val="center"/>
          </w:tcPr>
          <w:p w14:paraId="458179BE">
            <w:pPr>
              <w:pStyle w:val="75"/>
              <w:adjustRightInd w:val="0"/>
              <w:snapToGrid w:val="0"/>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病死</w:t>
            </w:r>
            <w:r>
              <w:rPr>
                <w:rFonts w:hint="eastAsia"/>
                <w:color w:val="000000" w:themeColor="text1"/>
                <w:sz w:val="21"/>
                <w:szCs w:val="21"/>
                <w:lang w:val="en-US"/>
                <w14:textFill>
                  <w14:solidFill>
                    <w14:schemeClr w14:val="tx1"/>
                  </w14:solidFill>
                </w14:textFill>
              </w:rPr>
              <w:t>牛</w:t>
            </w:r>
          </w:p>
        </w:tc>
        <w:tc>
          <w:tcPr>
            <w:tcW w:w="1126" w:type="pct"/>
            <w:tcBorders>
              <w:tl2br w:val="nil"/>
              <w:tr2bl w:val="nil"/>
            </w:tcBorders>
            <w:vAlign w:val="center"/>
          </w:tcPr>
          <w:p w14:paraId="132847F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冷库</w:t>
            </w:r>
          </w:p>
        </w:tc>
        <w:tc>
          <w:tcPr>
            <w:tcW w:w="896" w:type="pct"/>
            <w:tcBorders>
              <w:tl2br w:val="nil"/>
              <w:tr2bl w:val="nil"/>
            </w:tcBorders>
            <w:vAlign w:val="center"/>
          </w:tcPr>
          <w:p w14:paraId="0B5C9AD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间接排放</w:t>
            </w:r>
          </w:p>
        </w:tc>
        <w:tc>
          <w:tcPr>
            <w:tcW w:w="1424" w:type="pct"/>
            <w:tcBorders>
              <w:tl2br w:val="nil"/>
              <w:tr2bl w:val="nil"/>
            </w:tcBorders>
            <w:vAlign w:val="center"/>
          </w:tcPr>
          <w:p w14:paraId="7AAC8C4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委托四川科农动物无害化处理有限公司无害化处理中心处置</w:t>
            </w:r>
          </w:p>
        </w:tc>
      </w:tr>
      <w:tr w14:paraId="7F3C1D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21E1BC9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1018" w:type="pct"/>
            <w:tcBorders>
              <w:tl2br w:val="nil"/>
              <w:tr2bl w:val="nil"/>
            </w:tcBorders>
            <w:vAlign w:val="center"/>
          </w:tcPr>
          <w:p w14:paraId="6C0BEB6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生活垃圾</w:t>
            </w:r>
          </w:p>
        </w:tc>
        <w:tc>
          <w:tcPr>
            <w:tcW w:w="1126" w:type="pct"/>
            <w:tcBorders>
              <w:tl2br w:val="nil"/>
              <w:tr2bl w:val="nil"/>
            </w:tcBorders>
            <w:vAlign w:val="center"/>
          </w:tcPr>
          <w:p w14:paraId="2051C6E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办公区</w:t>
            </w:r>
          </w:p>
        </w:tc>
        <w:tc>
          <w:tcPr>
            <w:tcW w:w="896" w:type="pct"/>
            <w:tcBorders>
              <w:tl2br w:val="nil"/>
              <w:tr2bl w:val="nil"/>
            </w:tcBorders>
            <w:vAlign w:val="center"/>
          </w:tcPr>
          <w:p w14:paraId="7C4742B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间接排放</w:t>
            </w:r>
          </w:p>
        </w:tc>
        <w:tc>
          <w:tcPr>
            <w:tcW w:w="1424" w:type="pct"/>
            <w:tcBorders>
              <w:tl2br w:val="nil"/>
              <w:tr2bl w:val="nil"/>
            </w:tcBorders>
            <w:vAlign w:val="center"/>
          </w:tcPr>
          <w:p w14:paraId="54D80B7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交由环卫部门处理</w:t>
            </w:r>
          </w:p>
        </w:tc>
      </w:tr>
      <w:tr w14:paraId="6DDD2B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4031B49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w:t>
            </w:r>
          </w:p>
        </w:tc>
        <w:tc>
          <w:tcPr>
            <w:tcW w:w="1018" w:type="pct"/>
            <w:tcBorders>
              <w:tl2br w:val="nil"/>
              <w:tr2bl w:val="nil"/>
            </w:tcBorders>
            <w:vAlign w:val="center"/>
          </w:tcPr>
          <w:p w14:paraId="4DE9B6D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餐厨垃圾（含隔油池油脂）</w:t>
            </w:r>
          </w:p>
        </w:tc>
        <w:tc>
          <w:tcPr>
            <w:tcW w:w="1126" w:type="pct"/>
            <w:tcBorders>
              <w:tl2br w:val="nil"/>
              <w:tr2bl w:val="nil"/>
            </w:tcBorders>
            <w:vAlign w:val="center"/>
          </w:tcPr>
          <w:p w14:paraId="1A17E92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食堂</w:t>
            </w:r>
          </w:p>
        </w:tc>
        <w:tc>
          <w:tcPr>
            <w:tcW w:w="896" w:type="pct"/>
            <w:tcBorders>
              <w:tl2br w:val="nil"/>
              <w:tr2bl w:val="nil"/>
            </w:tcBorders>
            <w:vAlign w:val="center"/>
          </w:tcPr>
          <w:p w14:paraId="2257C2C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间接排放</w:t>
            </w:r>
          </w:p>
        </w:tc>
        <w:tc>
          <w:tcPr>
            <w:tcW w:w="1424" w:type="pct"/>
            <w:tcBorders>
              <w:tl2br w:val="nil"/>
              <w:tr2bl w:val="nil"/>
            </w:tcBorders>
            <w:vAlign w:val="center"/>
          </w:tcPr>
          <w:p w14:paraId="1BD8F93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由取得经营许可的餐厨垃圾处理单位处置。</w:t>
            </w:r>
          </w:p>
        </w:tc>
      </w:tr>
      <w:tr w14:paraId="7003AE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5802A21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13</w:t>
            </w:r>
          </w:p>
        </w:tc>
        <w:tc>
          <w:tcPr>
            <w:tcW w:w="1018" w:type="pct"/>
            <w:tcBorders>
              <w:tl2br w:val="nil"/>
              <w:tr2bl w:val="nil"/>
            </w:tcBorders>
            <w:vAlign w:val="center"/>
          </w:tcPr>
          <w:p w14:paraId="7811AAD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废弃垫料</w:t>
            </w:r>
          </w:p>
        </w:tc>
        <w:tc>
          <w:tcPr>
            <w:tcW w:w="1126" w:type="pct"/>
            <w:tcBorders>
              <w:tl2br w:val="nil"/>
              <w:tr2bl w:val="nil"/>
            </w:tcBorders>
            <w:vAlign w:val="center"/>
          </w:tcPr>
          <w:p w14:paraId="58D2F8E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896" w:type="pct"/>
            <w:tcBorders>
              <w:tl2br w:val="nil"/>
              <w:tr2bl w:val="nil"/>
            </w:tcBorders>
            <w:vAlign w:val="center"/>
          </w:tcPr>
          <w:p w14:paraId="30A496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间接排放</w:t>
            </w:r>
          </w:p>
        </w:tc>
        <w:tc>
          <w:tcPr>
            <w:tcW w:w="1424" w:type="pct"/>
            <w:tcBorders>
              <w:tl2br w:val="nil"/>
              <w:tr2bl w:val="nil"/>
            </w:tcBorders>
            <w:vAlign w:val="center"/>
          </w:tcPr>
          <w:p w14:paraId="3532917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外运用作农肥</w:t>
            </w:r>
          </w:p>
        </w:tc>
      </w:tr>
      <w:tr w14:paraId="5B1548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584FA1B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0" w:type="auto"/>
            <w:tcBorders>
              <w:tl2br w:val="nil"/>
              <w:tr2bl w:val="nil"/>
            </w:tcBorders>
            <w:vAlign w:val="center"/>
          </w:tcPr>
          <w:p w14:paraId="01FAF48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饲料残渣</w:t>
            </w:r>
          </w:p>
        </w:tc>
        <w:tc>
          <w:tcPr>
            <w:tcW w:w="0" w:type="auto"/>
            <w:tcBorders>
              <w:tl2br w:val="nil"/>
              <w:tr2bl w:val="nil"/>
            </w:tcBorders>
            <w:vAlign w:val="center"/>
          </w:tcPr>
          <w:p w14:paraId="1383576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牛舍</w:t>
            </w:r>
          </w:p>
        </w:tc>
        <w:tc>
          <w:tcPr>
            <w:tcW w:w="0" w:type="auto"/>
            <w:tcBorders>
              <w:tl2br w:val="nil"/>
              <w:tr2bl w:val="nil"/>
            </w:tcBorders>
            <w:vAlign w:val="center"/>
          </w:tcPr>
          <w:p w14:paraId="30BCD00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间接排放</w:t>
            </w:r>
          </w:p>
        </w:tc>
        <w:tc>
          <w:tcPr>
            <w:tcW w:w="0" w:type="auto"/>
            <w:tcBorders>
              <w:tl2br w:val="nil"/>
              <w:tr2bl w:val="nil"/>
            </w:tcBorders>
            <w:vAlign w:val="center"/>
          </w:tcPr>
          <w:p w14:paraId="5685839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作为发酵床原料</w:t>
            </w:r>
          </w:p>
        </w:tc>
      </w:tr>
      <w:tr w14:paraId="203203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c>
          <w:tcPr>
            <w:tcW w:w="535" w:type="pct"/>
            <w:tcBorders>
              <w:tl2br w:val="nil"/>
              <w:tr2bl w:val="nil"/>
            </w:tcBorders>
            <w:vAlign w:val="center"/>
          </w:tcPr>
          <w:p w14:paraId="5A8BA69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15</w:t>
            </w:r>
          </w:p>
        </w:tc>
        <w:tc>
          <w:tcPr>
            <w:tcW w:w="0" w:type="auto"/>
            <w:tcBorders>
              <w:tl2br w:val="nil"/>
              <w:tr2bl w:val="nil"/>
            </w:tcBorders>
            <w:vAlign w:val="center"/>
          </w:tcPr>
          <w:p w14:paraId="3A823F34">
            <w:pPr>
              <w:pStyle w:val="75"/>
              <w:adjustRightInd w:val="0"/>
              <w:snapToGrid w:val="0"/>
              <w:rPr>
                <w:color w:val="000000" w:themeColor="text1"/>
                <w:sz w:val="21"/>
                <w:szCs w:val="21"/>
                <w:lang w:val="en-US"/>
                <w14:textFill>
                  <w14:solidFill>
                    <w14:schemeClr w14:val="tx1"/>
                  </w14:solidFill>
                </w14:textFill>
              </w:rPr>
            </w:pPr>
            <w:r>
              <w:rPr>
                <w:color w:val="000000" w:themeColor="text1"/>
                <w:sz w:val="21"/>
                <w:szCs w:val="21"/>
                <w:lang w:val="en-US"/>
                <w14:textFill>
                  <w14:solidFill>
                    <w14:schemeClr w14:val="tx1"/>
                  </w14:solidFill>
                </w14:textFill>
              </w:rPr>
              <w:t>废包装材料</w:t>
            </w:r>
          </w:p>
        </w:tc>
        <w:tc>
          <w:tcPr>
            <w:tcW w:w="0" w:type="auto"/>
            <w:tcBorders>
              <w:tl2br w:val="nil"/>
              <w:tr2bl w:val="nil"/>
            </w:tcBorders>
            <w:vAlign w:val="center"/>
          </w:tcPr>
          <w:p w14:paraId="31BF73A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饲料仓库</w:t>
            </w:r>
          </w:p>
        </w:tc>
        <w:tc>
          <w:tcPr>
            <w:tcW w:w="0" w:type="auto"/>
            <w:tcBorders>
              <w:tl2br w:val="nil"/>
              <w:tr2bl w:val="nil"/>
            </w:tcBorders>
            <w:vAlign w:val="center"/>
          </w:tcPr>
          <w:p w14:paraId="18C4854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间接排放</w:t>
            </w:r>
          </w:p>
        </w:tc>
        <w:tc>
          <w:tcPr>
            <w:tcW w:w="1424" w:type="pct"/>
            <w:tcBorders>
              <w:tl2br w:val="nil"/>
              <w:tr2bl w:val="nil"/>
            </w:tcBorders>
            <w:vAlign w:val="center"/>
          </w:tcPr>
          <w:p w14:paraId="4639530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分类收集后出售给废品回收站。</w:t>
            </w:r>
          </w:p>
        </w:tc>
      </w:tr>
    </w:tbl>
    <w:p w14:paraId="6003FA93">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093" w:name="_Toc233380295"/>
      <w:bookmarkStart w:id="1094" w:name="_Toc32064"/>
      <w:r>
        <w:rPr>
          <w:rFonts w:ascii="Times New Roman" w:hAnsi="Times New Roman" w:eastAsia="宋体"/>
          <w:color w:val="000000" w:themeColor="text1"/>
          <w:sz w:val="30"/>
          <w:szCs w:val="30"/>
          <w14:textFill>
            <w14:solidFill>
              <w14:schemeClr w14:val="tx1"/>
            </w14:solidFill>
          </w14:textFill>
        </w:rPr>
        <w:t>9.2环境教育</w:t>
      </w:r>
      <w:bookmarkEnd w:id="1083"/>
      <w:bookmarkEnd w:id="1090"/>
      <w:bookmarkEnd w:id="1091"/>
      <w:bookmarkEnd w:id="1092"/>
      <w:bookmarkEnd w:id="1093"/>
      <w:bookmarkEnd w:id="1094"/>
    </w:p>
    <w:p w14:paraId="13B0B6D7">
      <w:pPr>
        <w:autoSpaceDE w:val="0"/>
        <w:autoSpaceDN w:val="0"/>
        <w:adjustRightInd w:val="0"/>
        <w:spacing w:line="360" w:lineRule="auto"/>
        <w:ind w:firstLine="480" w:firstLineChars="200"/>
        <w:jc w:val="both"/>
        <w:rPr>
          <w:snapToGrid w:val="0"/>
          <w:color w:val="000000" w:themeColor="text1"/>
          <w:sz w:val="24"/>
          <w14:textFill>
            <w14:solidFill>
              <w14:schemeClr w14:val="tx1"/>
            </w14:solidFill>
          </w14:textFill>
        </w:rPr>
      </w:pPr>
      <w:r>
        <w:rPr>
          <w:snapToGrid w:val="0"/>
          <w:color w:val="000000" w:themeColor="text1"/>
          <w:sz w:val="24"/>
          <w14:textFill>
            <w14:solidFill>
              <w14:schemeClr w14:val="tx1"/>
            </w14:solidFill>
          </w14:textFill>
        </w:rPr>
        <w:t>对操作人员要定期进行关于操作技能和环保方面的培训，加强操作人员的事业心和环保责任感，要严格按照操作规程办事，要管好、用好环保设施，充分发挥其治理效能。</w:t>
      </w:r>
    </w:p>
    <w:p w14:paraId="7D631CFC">
      <w:pPr>
        <w:autoSpaceDE w:val="0"/>
        <w:autoSpaceDN w:val="0"/>
        <w:adjustRightInd w:val="0"/>
        <w:spacing w:line="360" w:lineRule="auto"/>
        <w:ind w:firstLine="480" w:firstLineChars="200"/>
        <w:jc w:val="both"/>
        <w:rPr>
          <w:snapToGrid w:val="0"/>
          <w:color w:val="000000" w:themeColor="text1"/>
          <w:sz w:val="24"/>
          <w14:textFill>
            <w14:solidFill>
              <w14:schemeClr w14:val="tx1"/>
            </w14:solidFill>
          </w14:textFill>
        </w:rPr>
      </w:pPr>
      <w:r>
        <w:rPr>
          <w:snapToGrid w:val="0"/>
          <w:color w:val="000000" w:themeColor="text1"/>
          <w:sz w:val="24"/>
          <w14:textFill>
            <w14:solidFill>
              <w14:schemeClr w14:val="tx1"/>
            </w14:solidFill>
          </w14:textFill>
        </w:rPr>
        <w:t>加强对废气和废水处理设施的管理，做到定期检查维修，发现问题及时解决，使回收设施长期在最佳状态下运行。</w:t>
      </w:r>
    </w:p>
    <w:p w14:paraId="5E5BE94E">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095" w:name="_Toc240951810"/>
      <w:bookmarkStart w:id="1096" w:name="_Toc205719677"/>
      <w:bookmarkStart w:id="1097" w:name="_Toc413883132"/>
      <w:bookmarkStart w:id="1098" w:name="_Toc520469094"/>
      <w:bookmarkStart w:id="1099" w:name="_Toc205713867"/>
      <w:bookmarkStart w:id="1100" w:name="_Toc205719836"/>
      <w:bookmarkStart w:id="1101" w:name="_Toc483497226"/>
      <w:bookmarkStart w:id="1102" w:name="_Toc40220858"/>
      <w:bookmarkStart w:id="1103" w:name="_Toc13096"/>
      <w:bookmarkStart w:id="1104" w:name="_Toc233380296"/>
      <w:r>
        <w:rPr>
          <w:rFonts w:ascii="Times New Roman" w:hAnsi="Times New Roman" w:eastAsia="宋体"/>
          <w:color w:val="000000" w:themeColor="text1"/>
          <w:sz w:val="30"/>
          <w:szCs w:val="30"/>
          <w14:textFill>
            <w14:solidFill>
              <w14:schemeClr w14:val="tx1"/>
            </w14:solidFill>
          </w14:textFill>
        </w:rPr>
        <w:t>9.3环境监测</w:t>
      </w:r>
      <w:bookmarkEnd w:id="1095"/>
      <w:bookmarkEnd w:id="1096"/>
      <w:bookmarkEnd w:id="1097"/>
      <w:bookmarkEnd w:id="1098"/>
      <w:bookmarkEnd w:id="1099"/>
      <w:bookmarkEnd w:id="1100"/>
      <w:bookmarkEnd w:id="1101"/>
      <w:r>
        <w:rPr>
          <w:rFonts w:ascii="Times New Roman" w:hAnsi="Times New Roman" w:eastAsia="宋体"/>
          <w:color w:val="000000" w:themeColor="text1"/>
          <w:sz w:val="30"/>
          <w:szCs w:val="30"/>
          <w14:textFill>
            <w14:solidFill>
              <w14:schemeClr w14:val="tx1"/>
            </w14:solidFill>
          </w14:textFill>
        </w:rPr>
        <w:t>计划</w:t>
      </w:r>
      <w:bookmarkEnd w:id="1102"/>
      <w:bookmarkEnd w:id="1103"/>
      <w:bookmarkEnd w:id="1104"/>
    </w:p>
    <w:p w14:paraId="0712359F">
      <w:pPr>
        <w:autoSpaceDE w:val="0"/>
        <w:autoSpaceDN w:val="0"/>
        <w:adjustRightInd w:val="0"/>
        <w:spacing w:line="360" w:lineRule="auto"/>
        <w:ind w:firstLine="480" w:firstLineChars="200"/>
        <w:jc w:val="both"/>
        <w:rPr>
          <w:color w:val="000000" w:themeColor="text1"/>
          <w14:textFill>
            <w14:solidFill>
              <w14:schemeClr w14:val="tx1"/>
            </w14:solidFill>
          </w14:textFill>
        </w:rPr>
      </w:pPr>
      <w:r>
        <w:rPr>
          <w:color w:val="000000" w:themeColor="text1"/>
          <w:sz w:val="24"/>
          <w14:textFill>
            <w14:solidFill>
              <w14:schemeClr w14:val="tx1"/>
            </w14:solidFill>
          </w14:textFill>
        </w:rPr>
        <w:t>根据《排污单位自行监测技术指南总则》（</w:t>
      </w:r>
      <w:r>
        <w:rPr>
          <w:rFonts w:eastAsia="Times New Roman"/>
          <w:color w:val="000000" w:themeColor="text1"/>
          <w:spacing w:val="-1"/>
          <w:sz w:val="24"/>
          <w14:textFill>
            <w14:solidFill>
              <w14:schemeClr w14:val="tx1"/>
            </w14:solidFill>
          </w14:textFill>
        </w:rPr>
        <w:t>HJ819-2017</w:t>
      </w:r>
      <w:r>
        <w:rPr>
          <w:color w:val="000000" w:themeColor="text1"/>
          <w:spacing w:val="-1"/>
          <w:sz w:val="24"/>
          <w14:textFill>
            <w14:solidFill>
              <w14:schemeClr w14:val="tx1"/>
            </w14:solidFill>
          </w14:textFill>
        </w:rPr>
        <w:t>）</w:t>
      </w:r>
      <w:r>
        <w:rPr>
          <w:color w:val="000000" w:themeColor="text1"/>
          <w:sz w:val="24"/>
          <w14:textFill>
            <w14:solidFill>
              <w14:schemeClr w14:val="tx1"/>
            </w14:solidFill>
          </w14:textFill>
        </w:rPr>
        <w:t>、《排污单位自</w:t>
      </w:r>
      <w:r>
        <w:rPr>
          <w:color w:val="000000" w:themeColor="text1"/>
          <w:spacing w:val="-1"/>
          <w:sz w:val="24"/>
          <w14:textFill>
            <w14:solidFill>
              <w14:schemeClr w14:val="tx1"/>
            </w14:solidFill>
          </w14:textFill>
        </w:rPr>
        <w:t>行监测技术指南 畜禽养殖行业》（</w:t>
      </w:r>
      <w:r>
        <w:rPr>
          <w:rFonts w:eastAsia="Times New Roman"/>
          <w:color w:val="000000" w:themeColor="text1"/>
          <w:spacing w:val="-1"/>
          <w:sz w:val="24"/>
          <w14:textFill>
            <w14:solidFill>
              <w14:schemeClr w14:val="tx1"/>
            </w14:solidFill>
          </w14:textFill>
        </w:rPr>
        <w:t>HJ1252</w:t>
      </w:r>
      <w:r>
        <w:rPr>
          <w:color w:val="000000" w:themeColor="text1"/>
          <w:spacing w:val="-1"/>
          <w:sz w:val="24"/>
          <w14:textFill>
            <w14:solidFill>
              <w14:schemeClr w14:val="tx1"/>
            </w14:solidFill>
          </w14:textFill>
        </w:rPr>
        <w:t>—</w:t>
      </w:r>
      <w:r>
        <w:rPr>
          <w:rFonts w:eastAsia="Times New Roman"/>
          <w:color w:val="000000" w:themeColor="text1"/>
          <w:spacing w:val="-1"/>
          <w:sz w:val="24"/>
          <w14:textFill>
            <w14:solidFill>
              <w14:schemeClr w14:val="tx1"/>
            </w14:solidFill>
          </w14:textFill>
        </w:rPr>
        <w:t>2022</w:t>
      </w:r>
      <w:r>
        <w:rPr>
          <w:color w:val="000000" w:themeColor="text1"/>
          <w:spacing w:val="14"/>
          <w:sz w:val="24"/>
          <w14:textFill>
            <w14:solidFill>
              <w14:schemeClr w14:val="tx1"/>
            </w14:solidFill>
          </w14:textFill>
        </w:rPr>
        <w:t>），</w:t>
      </w:r>
      <w:r>
        <w:rPr>
          <w:snapToGrid w:val="0"/>
          <w:color w:val="000000" w:themeColor="text1"/>
          <w:sz w:val="24"/>
          <w14:textFill>
            <w14:solidFill>
              <w14:schemeClr w14:val="tx1"/>
            </w14:solidFill>
          </w14:textFill>
        </w:rPr>
        <w:t>本项目具体环境监测内容如下表。</w:t>
      </w:r>
    </w:p>
    <w:p w14:paraId="609FD7E5">
      <w:pPr>
        <w:autoSpaceDE w:val="0"/>
        <w:autoSpaceDN w:val="0"/>
        <w:adjustRightInd w:val="0"/>
        <w:spacing w:line="360" w:lineRule="auto"/>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表9.3-1 运行期厂区环境监测、管理计划</w:t>
      </w:r>
    </w:p>
    <w:tbl>
      <w:tblPr>
        <w:tblStyle w:val="88"/>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520"/>
        <w:gridCol w:w="2387"/>
        <w:gridCol w:w="1588"/>
        <w:gridCol w:w="1157"/>
        <w:gridCol w:w="2661"/>
      </w:tblGrid>
      <w:tr w14:paraId="1459A6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313" w:type="pct"/>
            <w:tcBorders>
              <w:tl2br w:val="nil"/>
              <w:tr2bl w:val="nil"/>
            </w:tcBorders>
            <w:vAlign w:val="center"/>
          </w:tcPr>
          <w:p w14:paraId="6F2A62C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类别</w:t>
            </w:r>
          </w:p>
        </w:tc>
        <w:tc>
          <w:tcPr>
            <w:tcW w:w="1436" w:type="pct"/>
            <w:tcBorders>
              <w:tl2br w:val="nil"/>
              <w:tr2bl w:val="nil"/>
            </w:tcBorders>
            <w:vAlign w:val="center"/>
          </w:tcPr>
          <w:p w14:paraId="481D40EB">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污染源点位</w:t>
            </w:r>
          </w:p>
        </w:tc>
        <w:tc>
          <w:tcPr>
            <w:tcW w:w="955" w:type="pct"/>
            <w:tcBorders>
              <w:tl2br w:val="nil"/>
              <w:tr2bl w:val="nil"/>
            </w:tcBorders>
            <w:vAlign w:val="center"/>
          </w:tcPr>
          <w:p w14:paraId="25504752">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监测指标</w:t>
            </w:r>
          </w:p>
        </w:tc>
        <w:tc>
          <w:tcPr>
            <w:tcW w:w="696" w:type="pct"/>
            <w:tcBorders>
              <w:tl2br w:val="nil"/>
              <w:tr2bl w:val="nil"/>
            </w:tcBorders>
          </w:tcPr>
          <w:p w14:paraId="13CCE75D">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监测频率</w:t>
            </w:r>
          </w:p>
        </w:tc>
        <w:tc>
          <w:tcPr>
            <w:tcW w:w="1600" w:type="pct"/>
            <w:tcBorders>
              <w:tl2br w:val="nil"/>
              <w:tr2bl w:val="nil"/>
            </w:tcBorders>
          </w:tcPr>
          <w:p w14:paraId="36D494B5">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执行标准</w:t>
            </w:r>
          </w:p>
        </w:tc>
      </w:tr>
      <w:tr w14:paraId="73510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31" w:hRule="atLeast"/>
          <w:jc w:val="center"/>
        </w:trPr>
        <w:tc>
          <w:tcPr>
            <w:tcW w:w="313" w:type="pct"/>
            <w:vMerge w:val="restart"/>
            <w:tcBorders>
              <w:tl2br w:val="nil"/>
              <w:tr2bl w:val="nil"/>
            </w:tcBorders>
            <w:vAlign w:val="center"/>
          </w:tcPr>
          <w:p w14:paraId="4E64491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1436" w:type="pct"/>
            <w:tcBorders>
              <w:tl2br w:val="nil"/>
              <w:tr2bl w:val="nil"/>
            </w:tcBorders>
            <w:vAlign w:val="center"/>
          </w:tcPr>
          <w:p w14:paraId="78544C58">
            <w:pPr>
              <w:jc w:val="center"/>
              <w:rPr>
                <w:color w:val="000000" w:themeColor="text1"/>
                <w:szCs w:val="21"/>
                <w14:textFill>
                  <w14:solidFill>
                    <w14:schemeClr w14:val="tx1"/>
                  </w14:solidFill>
                </w14:textFill>
              </w:rPr>
            </w:pPr>
            <w:bookmarkStart w:id="1105" w:name="OLE_LINK66"/>
            <w:r>
              <w:rPr>
                <w:rFonts w:hint="eastAsia"/>
                <w:color w:val="000000" w:themeColor="text1"/>
                <w:spacing w:val="7"/>
                <w:szCs w:val="21"/>
                <w14:textFill>
                  <w14:solidFill>
                    <w14:schemeClr w14:val="tx1"/>
                  </w14:solidFill>
                </w14:textFill>
              </w:rPr>
              <w:t>各养殖场区场</w:t>
            </w:r>
            <w:r>
              <w:rPr>
                <w:color w:val="000000" w:themeColor="text1"/>
                <w:spacing w:val="7"/>
                <w:szCs w:val="21"/>
                <w14:textFill>
                  <w14:solidFill>
                    <w14:schemeClr w14:val="tx1"/>
                  </w14:solidFill>
                </w14:textFill>
              </w:rPr>
              <w:t>界</w:t>
            </w:r>
            <w:bookmarkEnd w:id="1105"/>
            <w:r>
              <w:rPr>
                <w:color w:val="000000" w:themeColor="text1"/>
                <w:spacing w:val="7"/>
                <w:szCs w:val="21"/>
                <w14:textFill>
                  <w14:solidFill>
                    <w14:schemeClr w14:val="tx1"/>
                  </w14:solidFill>
                </w14:textFill>
              </w:rPr>
              <w:t>外上风向2～50m范围内</w:t>
            </w:r>
            <w:r>
              <w:rPr>
                <w:color w:val="000000" w:themeColor="text1"/>
                <w:spacing w:val="3"/>
                <w:szCs w:val="21"/>
                <w14:textFill>
                  <w14:solidFill>
                    <w14:schemeClr w14:val="tx1"/>
                  </w14:solidFill>
                </w14:textFill>
              </w:rPr>
              <w:t>（参照点1个）</w:t>
            </w:r>
          </w:p>
        </w:tc>
        <w:tc>
          <w:tcPr>
            <w:tcW w:w="955" w:type="pct"/>
            <w:vMerge w:val="restart"/>
            <w:tcBorders>
              <w:tl2br w:val="nil"/>
              <w:tr2bl w:val="nil"/>
            </w:tcBorders>
            <w:vAlign w:val="center"/>
          </w:tcPr>
          <w:p w14:paraId="5501C221">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H</w:t>
            </w:r>
            <w:r>
              <w:rPr>
                <w:color w:val="000000" w:themeColor="text1"/>
                <w:kern w:val="0"/>
                <w:szCs w:val="21"/>
                <w:vertAlign w:val="subscript"/>
                <w14:textFill>
                  <w14:solidFill>
                    <w14:schemeClr w14:val="tx1"/>
                  </w14:solidFill>
                </w14:textFill>
              </w:rPr>
              <w:t>2</w:t>
            </w:r>
            <w:r>
              <w:rPr>
                <w:color w:val="000000" w:themeColor="text1"/>
                <w:kern w:val="0"/>
                <w:szCs w:val="21"/>
                <w14:textFill>
                  <w14:solidFill>
                    <w14:schemeClr w14:val="tx1"/>
                  </w14:solidFill>
                </w14:textFill>
              </w:rPr>
              <w:t>S、NH</w:t>
            </w:r>
            <w:r>
              <w:rPr>
                <w:color w:val="000000" w:themeColor="text1"/>
                <w:kern w:val="0"/>
                <w:szCs w:val="21"/>
                <w:vertAlign w:val="subscript"/>
                <w14:textFill>
                  <w14:solidFill>
                    <w14:schemeClr w14:val="tx1"/>
                  </w14:solidFill>
                </w14:textFill>
              </w:rPr>
              <w:t>3</w:t>
            </w:r>
            <w:r>
              <w:rPr>
                <w:color w:val="000000" w:themeColor="text1"/>
                <w:kern w:val="0"/>
                <w:szCs w:val="21"/>
                <w14:textFill>
                  <w14:solidFill>
                    <w14:schemeClr w14:val="tx1"/>
                  </w14:solidFill>
                </w14:textFill>
              </w:rPr>
              <w:t>、臭气浓度</w:t>
            </w:r>
          </w:p>
        </w:tc>
        <w:tc>
          <w:tcPr>
            <w:tcW w:w="696" w:type="pct"/>
            <w:vMerge w:val="restart"/>
            <w:tcBorders>
              <w:tl2br w:val="nil"/>
              <w:tr2bl w:val="nil"/>
            </w:tcBorders>
            <w:vAlign w:val="center"/>
          </w:tcPr>
          <w:p w14:paraId="3F815710">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臭气浓度</w:t>
            </w:r>
            <w:r>
              <w:rPr>
                <w:color w:val="000000" w:themeColor="text1"/>
                <w:szCs w:val="21"/>
                <w14:textFill>
                  <w14:solidFill>
                    <w14:schemeClr w14:val="tx1"/>
                  </w14:solidFill>
                </w14:textFill>
              </w:rPr>
              <w:t>每半年1次；</w:t>
            </w:r>
            <w:r>
              <w:rPr>
                <w:color w:val="000000" w:themeColor="text1"/>
                <w:kern w:val="0"/>
                <w:szCs w:val="21"/>
                <w14:textFill>
                  <w14:solidFill>
                    <w14:schemeClr w14:val="tx1"/>
                  </w14:solidFill>
                </w14:textFill>
              </w:rPr>
              <w:t>H</w:t>
            </w:r>
            <w:r>
              <w:rPr>
                <w:color w:val="000000" w:themeColor="text1"/>
                <w:kern w:val="0"/>
                <w:szCs w:val="21"/>
                <w:vertAlign w:val="subscript"/>
                <w14:textFill>
                  <w14:solidFill>
                    <w14:schemeClr w14:val="tx1"/>
                  </w14:solidFill>
                </w14:textFill>
              </w:rPr>
              <w:t>2</w:t>
            </w:r>
            <w:r>
              <w:rPr>
                <w:color w:val="000000" w:themeColor="text1"/>
                <w:kern w:val="0"/>
                <w:szCs w:val="21"/>
                <w14:textFill>
                  <w14:solidFill>
                    <w14:schemeClr w14:val="tx1"/>
                  </w14:solidFill>
                </w14:textFill>
              </w:rPr>
              <w:t>S、NH</w:t>
            </w:r>
            <w:r>
              <w:rPr>
                <w:color w:val="000000" w:themeColor="text1"/>
                <w:kern w:val="0"/>
                <w:szCs w:val="21"/>
                <w:vertAlign w:val="subscript"/>
                <w14:textFill>
                  <w14:solidFill>
                    <w14:schemeClr w14:val="tx1"/>
                  </w14:solidFill>
                </w14:textFill>
              </w:rPr>
              <w:t>3</w:t>
            </w:r>
            <w:r>
              <w:rPr>
                <w:color w:val="000000" w:themeColor="text1"/>
                <w:szCs w:val="21"/>
                <w14:textFill>
                  <w14:solidFill>
                    <w14:schemeClr w14:val="tx1"/>
                  </w14:solidFill>
                </w14:textFill>
              </w:rPr>
              <w:t>每年1次</w:t>
            </w:r>
          </w:p>
        </w:tc>
        <w:tc>
          <w:tcPr>
            <w:tcW w:w="1600" w:type="pct"/>
            <w:vMerge w:val="restart"/>
            <w:tcBorders>
              <w:tl2br w:val="nil"/>
              <w:tr2bl w:val="nil"/>
            </w:tcBorders>
            <w:vAlign w:val="center"/>
          </w:tcPr>
          <w:p w14:paraId="5FF5C9F1">
            <w:pPr>
              <w:jc w:val="cente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H</w:t>
            </w:r>
            <w:r>
              <w:rPr>
                <w:color w:val="000000" w:themeColor="text1"/>
                <w:kern w:val="0"/>
                <w:szCs w:val="21"/>
                <w:vertAlign w:val="subscript"/>
                <w14:textFill>
                  <w14:solidFill>
                    <w14:schemeClr w14:val="tx1"/>
                  </w14:solidFill>
                </w14:textFill>
              </w:rPr>
              <w:t>2</w:t>
            </w:r>
            <w:r>
              <w:rPr>
                <w:color w:val="000000" w:themeColor="text1"/>
                <w:kern w:val="0"/>
                <w:szCs w:val="21"/>
                <w14:textFill>
                  <w14:solidFill>
                    <w14:schemeClr w14:val="tx1"/>
                  </w14:solidFill>
                </w14:textFill>
              </w:rPr>
              <w:t>S、NH</w:t>
            </w:r>
            <w:r>
              <w:rPr>
                <w:color w:val="000000" w:themeColor="text1"/>
                <w:kern w:val="0"/>
                <w:szCs w:val="21"/>
                <w:vertAlign w:val="subscript"/>
                <w14:textFill>
                  <w14:solidFill>
                    <w14:schemeClr w14:val="tx1"/>
                  </w14:solidFill>
                </w14:textFill>
              </w:rPr>
              <w:t>3</w:t>
            </w:r>
            <w:r>
              <w:rPr>
                <w:color w:val="000000" w:themeColor="text1"/>
                <w:kern w:val="0"/>
                <w:szCs w:val="21"/>
                <w14:textFill>
                  <w14:solidFill>
                    <w14:schemeClr w14:val="tx1"/>
                  </w14:solidFill>
                </w14:textFill>
              </w:rPr>
              <w:t>执行</w:t>
            </w:r>
            <w:r>
              <w:rPr>
                <w:color w:val="000000" w:themeColor="text1"/>
                <w:spacing w:val="7"/>
                <w:szCs w:val="21"/>
                <w14:textFill>
                  <w14:solidFill>
                    <w14:schemeClr w14:val="tx1"/>
                  </w14:solidFill>
                </w14:textFill>
              </w:rPr>
              <w:t>《恶臭污染物排放标准》（</w:t>
            </w:r>
            <w:r>
              <w:rPr>
                <w:color w:val="000000" w:themeColor="text1"/>
                <w:szCs w:val="21"/>
                <w14:textFill>
                  <w14:solidFill>
                    <w14:schemeClr w14:val="tx1"/>
                  </w14:solidFill>
                </w14:textFill>
              </w:rPr>
              <w:t>GB</w:t>
            </w:r>
            <w:r>
              <w:rPr>
                <w:color w:val="000000" w:themeColor="text1"/>
                <w:spacing w:val="7"/>
                <w:szCs w:val="21"/>
                <w14:textFill>
                  <w14:solidFill>
                    <w14:schemeClr w14:val="tx1"/>
                  </w14:solidFill>
                </w14:textFill>
              </w:rPr>
              <w:t>14554-93）</w:t>
            </w:r>
            <w:r>
              <w:rPr>
                <w:color w:val="000000" w:themeColor="text1"/>
                <w:spacing w:val="3"/>
                <w:szCs w:val="21"/>
                <w14:textFill>
                  <w14:solidFill>
                    <w14:schemeClr w14:val="tx1"/>
                  </w14:solidFill>
                </w14:textFill>
              </w:rPr>
              <w:t>、臭气浓度执行《畜禽养殖业污染物排放标准》（GB18596-2001）</w:t>
            </w:r>
          </w:p>
        </w:tc>
      </w:tr>
      <w:tr w14:paraId="313E66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31" w:hRule="atLeast"/>
          <w:jc w:val="center"/>
        </w:trPr>
        <w:tc>
          <w:tcPr>
            <w:tcW w:w="313" w:type="pct"/>
            <w:vMerge w:val="continue"/>
            <w:tcBorders>
              <w:tl2br w:val="nil"/>
              <w:tr2bl w:val="nil"/>
            </w:tcBorders>
            <w:vAlign w:val="center"/>
          </w:tcPr>
          <w:p w14:paraId="068D4762">
            <w:pPr>
              <w:jc w:val="center"/>
              <w:rPr>
                <w:color w:val="000000" w:themeColor="text1"/>
                <w:szCs w:val="21"/>
                <w14:textFill>
                  <w14:solidFill>
                    <w14:schemeClr w14:val="tx1"/>
                  </w14:solidFill>
                </w14:textFill>
              </w:rPr>
            </w:pPr>
          </w:p>
        </w:tc>
        <w:tc>
          <w:tcPr>
            <w:tcW w:w="1436" w:type="pct"/>
            <w:tcBorders>
              <w:tl2br w:val="nil"/>
              <w:tr2bl w:val="nil"/>
            </w:tcBorders>
            <w:vAlign w:val="center"/>
          </w:tcPr>
          <w:p w14:paraId="74F81BCB">
            <w:pPr>
              <w:jc w:val="center"/>
              <w:rPr>
                <w:color w:val="000000" w:themeColor="text1"/>
                <w:szCs w:val="21"/>
                <w14:textFill>
                  <w14:solidFill>
                    <w14:schemeClr w14:val="tx1"/>
                  </w14:solidFill>
                </w14:textFill>
              </w:rPr>
            </w:pPr>
            <w:r>
              <w:rPr>
                <w:rFonts w:hint="eastAsia"/>
                <w:color w:val="000000" w:themeColor="text1"/>
                <w:spacing w:val="7"/>
                <w:szCs w:val="21"/>
                <w14:textFill>
                  <w14:solidFill>
                    <w14:schemeClr w14:val="tx1"/>
                  </w14:solidFill>
                </w14:textFill>
              </w:rPr>
              <w:t>各养殖场区场</w:t>
            </w:r>
            <w:r>
              <w:rPr>
                <w:color w:val="000000" w:themeColor="text1"/>
                <w:spacing w:val="7"/>
                <w:szCs w:val="21"/>
                <w14:textFill>
                  <w14:solidFill>
                    <w14:schemeClr w14:val="tx1"/>
                  </w14:solidFill>
                </w14:textFill>
              </w:rPr>
              <w:t>界外下风向2～50m范围内</w:t>
            </w:r>
            <w:r>
              <w:rPr>
                <w:color w:val="000000" w:themeColor="text1"/>
                <w:spacing w:val="3"/>
                <w:szCs w:val="21"/>
                <w14:textFill>
                  <w14:solidFill>
                    <w14:schemeClr w14:val="tx1"/>
                  </w14:solidFill>
                </w14:textFill>
              </w:rPr>
              <w:t>（监控点3个）</w:t>
            </w:r>
          </w:p>
        </w:tc>
        <w:tc>
          <w:tcPr>
            <w:tcW w:w="955" w:type="pct"/>
            <w:vMerge w:val="continue"/>
            <w:tcBorders>
              <w:tl2br w:val="nil"/>
              <w:tr2bl w:val="nil"/>
            </w:tcBorders>
            <w:vAlign w:val="center"/>
          </w:tcPr>
          <w:p w14:paraId="6D4F267E">
            <w:pPr>
              <w:jc w:val="center"/>
              <w:rPr>
                <w:color w:val="000000" w:themeColor="text1"/>
                <w:szCs w:val="21"/>
                <w14:textFill>
                  <w14:solidFill>
                    <w14:schemeClr w14:val="tx1"/>
                  </w14:solidFill>
                </w14:textFill>
              </w:rPr>
            </w:pPr>
          </w:p>
        </w:tc>
        <w:tc>
          <w:tcPr>
            <w:tcW w:w="696" w:type="pct"/>
            <w:vMerge w:val="continue"/>
            <w:tcBorders>
              <w:tl2br w:val="nil"/>
              <w:tr2bl w:val="nil"/>
            </w:tcBorders>
            <w:vAlign w:val="center"/>
          </w:tcPr>
          <w:p w14:paraId="10849169">
            <w:pPr>
              <w:jc w:val="center"/>
              <w:rPr>
                <w:color w:val="000000" w:themeColor="text1"/>
                <w:szCs w:val="21"/>
                <w14:textFill>
                  <w14:solidFill>
                    <w14:schemeClr w14:val="tx1"/>
                  </w14:solidFill>
                </w14:textFill>
              </w:rPr>
            </w:pPr>
          </w:p>
        </w:tc>
        <w:tc>
          <w:tcPr>
            <w:tcW w:w="1600" w:type="pct"/>
            <w:vMerge w:val="continue"/>
            <w:tcBorders>
              <w:tl2br w:val="nil"/>
              <w:tr2bl w:val="nil"/>
            </w:tcBorders>
            <w:vAlign w:val="center"/>
          </w:tcPr>
          <w:p w14:paraId="48CB1055">
            <w:pPr>
              <w:jc w:val="center"/>
              <w:rPr>
                <w:color w:val="000000" w:themeColor="text1"/>
                <w:szCs w:val="21"/>
                <w14:textFill>
                  <w14:solidFill>
                    <w14:schemeClr w14:val="tx1"/>
                  </w14:solidFill>
                </w14:textFill>
              </w:rPr>
            </w:pPr>
          </w:p>
        </w:tc>
      </w:tr>
      <w:tr w14:paraId="3A3D4D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313" w:type="pct"/>
            <w:vMerge w:val="continue"/>
            <w:tcBorders>
              <w:tl2br w:val="nil"/>
              <w:tr2bl w:val="nil"/>
            </w:tcBorders>
            <w:vAlign w:val="center"/>
          </w:tcPr>
          <w:p w14:paraId="2EB1B594">
            <w:pPr>
              <w:jc w:val="center"/>
              <w:rPr>
                <w:color w:val="000000" w:themeColor="text1"/>
                <w:szCs w:val="21"/>
                <w14:textFill>
                  <w14:solidFill>
                    <w14:schemeClr w14:val="tx1"/>
                  </w14:solidFill>
                </w14:textFill>
              </w:rPr>
            </w:pPr>
          </w:p>
        </w:tc>
        <w:tc>
          <w:tcPr>
            <w:tcW w:w="1436" w:type="pct"/>
            <w:tcBorders>
              <w:tl2br w:val="nil"/>
              <w:tr2bl w:val="nil"/>
            </w:tcBorders>
            <w:vAlign w:val="center"/>
          </w:tcPr>
          <w:p w14:paraId="728FB858">
            <w:pPr>
              <w:jc w:val="center"/>
              <w:rPr>
                <w:color w:val="000000" w:themeColor="text1"/>
                <w:spacing w:val="8"/>
                <w:szCs w:val="21"/>
                <w14:textFill>
                  <w14:solidFill>
                    <w14:schemeClr w14:val="tx1"/>
                  </w14:solidFill>
                </w14:textFill>
              </w:rPr>
            </w:pPr>
            <w:r>
              <w:rPr>
                <w:rFonts w:hint="eastAsia"/>
                <w:color w:val="000000" w:themeColor="text1"/>
                <w:spacing w:val="8"/>
                <w:szCs w:val="21"/>
                <w14:textFill>
                  <w14:solidFill>
                    <w14:schemeClr w14:val="tx1"/>
                  </w14:solidFill>
                </w14:textFill>
              </w:rPr>
              <w:t>各养殖场区</w:t>
            </w:r>
            <w:r>
              <w:rPr>
                <w:color w:val="000000" w:themeColor="text1"/>
                <w:spacing w:val="8"/>
                <w:szCs w:val="21"/>
                <w14:textFill>
                  <w14:solidFill>
                    <w14:schemeClr w14:val="tx1"/>
                  </w14:solidFill>
                </w14:textFill>
              </w:rPr>
              <w:t>饲料加工排气筒DA00</w:t>
            </w:r>
            <w:r>
              <w:rPr>
                <w:rFonts w:hint="eastAsia"/>
                <w:color w:val="000000" w:themeColor="text1"/>
                <w:spacing w:val="8"/>
                <w:szCs w:val="21"/>
                <w14:textFill>
                  <w14:solidFill>
                    <w14:schemeClr w14:val="tx1"/>
                  </w14:solidFill>
                </w14:textFill>
              </w:rPr>
              <w:t>1</w:t>
            </w:r>
          </w:p>
        </w:tc>
        <w:tc>
          <w:tcPr>
            <w:tcW w:w="955" w:type="pct"/>
            <w:tcBorders>
              <w:tl2br w:val="nil"/>
              <w:tr2bl w:val="nil"/>
            </w:tcBorders>
            <w:vAlign w:val="center"/>
          </w:tcPr>
          <w:p w14:paraId="0E9FF00C">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颗粒物</w:t>
            </w:r>
          </w:p>
        </w:tc>
        <w:tc>
          <w:tcPr>
            <w:tcW w:w="696" w:type="pct"/>
            <w:tcBorders>
              <w:tl2br w:val="nil"/>
              <w:tr2bl w:val="nil"/>
            </w:tcBorders>
            <w:vAlign w:val="center"/>
          </w:tcPr>
          <w:p w14:paraId="28C8BB60">
            <w:pPr>
              <w:jc w:val="center"/>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每年1次</w:t>
            </w:r>
          </w:p>
        </w:tc>
        <w:tc>
          <w:tcPr>
            <w:tcW w:w="1600" w:type="pct"/>
            <w:tcBorders>
              <w:tl2br w:val="nil"/>
              <w:tr2bl w:val="nil"/>
            </w:tcBorders>
            <w:vAlign w:val="center"/>
          </w:tcPr>
          <w:p w14:paraId="37C92280">
            <w:pPr>
              <w:jc w:val="center"/>
              <w:rPr>
                <w:color w:val="000000" w:themeColor="text1"/>
                <w:spacing w:val="7"/>
                <w:szCs w:val="21"/>
                <w14:textFill>
                  <w14:solidFill>
                    <w14:schemeClr w14:val="tx1"/>
                  </w14:solidFill>
                </w14:textFill>
              </w:rPr>
            </w:pPr>
            <w:r>
              <w:rPr>
                <w:color w:val="000000" w:themeColor="text1"/>
                <w:spacing w:val="7"/>
                <w:szCs w:val="21"/>
                <w14:textFill>
                  <w14:solidFill>
                    <w14:schemeClr w14:val="tx1"/>
                  </w14:solidFill>
                </w14:textFill>
              </w:rPr>
              <w:t>《大气污染物综合排放标准》</w:t>
            </w:r>
            <w:r>
              <w:rPr>
                <w:color w:val="000000" w:themeColor="text1"/>
                <w:spacing w:val="3"/>
                <w:szCs w:val="21"/>
                <w14:textFill>
                  <w14:solidFill>
                    <w14:schemeClr w14:val="tx1"/>
                  </w14:solidFill>
                </w14:textFill>
              </w:rPr>
              <w:t>（</w:t>
            </w:r>
            <w:r>
              <w:rPr>
                <w:color w:val="000000" w:themeColor="text1"/>
                <w:szCs w:val="21"/>
                <w14:textFill>
                  <w14:solidFill>
                    <w14:schemeClr w14:val="tx1"/>
                  </w14:solidFill>
                </w14:textFill>
              </w:rPr>
              <w:t>GB</w:t>
            </w:r>
            <w:r>
              <w:rPr>
                <w:color w:val="000000" w:themeColor="text1"/>
                <w:spacing w:val="3"/>
                <w:szCs w:val="21"/>
                <w14:textFill>
                  <w14:solidFill>
                    <w14:schemeClr w14:val="tx1"/>
                  </w14:solidFill>
                </w14:textFill>
              </w:rPr>
              <w:t>16297-1996）</w:t>
            </w:r>
          </w:p>
        </w:tc>
      </w:tr>
      <w:tr w14:paraId="1BE626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313" w:type="pct"/>
            <w:tcBorders>
              <w:tl2br w:val="nil"/>
              <w:tr2bl w:val="nil"/>
            </w:tcBorders>
            <w:vAlign w:val="center"/>
          </w:tcPr>
          <w:p w14:paraId="5CC21A0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1436" w:type="pct"/>
            <w:tcBorders>
              <w:tl2br w:val="nil"/>
              <w:tr2bl w:val="nil"/>
            </w:tcBorders>
            <w:vAlign w:val="center"/>
          </w:tcPr>
          <w:p w14:paraId="1D6C853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厂界噪声（</w:t>
            </w:r>
            <w:r>
              <w:rPr>
                <w:rFonts w:hint="eastAsia"/>
                <w:color w:val="000000" w:themeColor="text1"/>
                <w:szCs w:val="21"/>
                <w14:textFill>
                  <w14:solidFill>
                    <w14:schemeClr w14:val="tx1"/>
                  </w14:solidFill>
                </w14:textFill>
              </w:rPr>
              <w:t>各养殖场区</w:t>
            </w:r>
            <w:r>
              <w:rPr>
                <w:color w:val="000000" w:themeColor="text1"/>
                <w:szCs w:val="21"/>
                <w14:textFill>
                  <w14:solidFill>
                    <w14:schemeClr w14:val="tx1"/>
                  </w14:solidFill>
                </w14:textFill>
              </w:rPr>
              <w:t>4个点）</w:t>
            </w:r>
          </w:p>
        </w:tc>
        <w:tc>
          <w:tcPr>
            <w:tcW w:w="955" w:type="pct"/>
            <w:tcBorders>
              <w:tl2br w:val="nil"/>
              <w:tr2bl w:val="nil"/>
            </w:tcBorders>
            <w:vAlign w:val="center"/>
          </w:tcPr>
          <w:p w14:paraId="674025B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L</w:t>
            </w:r>
            <w:r>
              <w:rPr>
                <w:color w:val="000000" w:themeColor="text1"/>
                <w:szCs w:val="21"/>
                <w:vertAlign w:val="subscript"/>
                <w14:textFill>
                  <w14:solidFill>
                    <w14:schemeClr w14:val="tx1"/>
                  </w14:solidFill>
                </w14:textFill>
              </w:rPr>
              <w:t>Aeq</w:t>
            </w:r>
          </w:p>
        </w:tc>
        <w:tc>
          <w:tcPr>
            <w:tcW w:w="696" w:type="pct"/>
            <w:tcBorders>
              <w:tl2br w:val="nil"/>
              <w:tr2bl w:val="nil"/>
            </w:tcBorders>
            <w:vAlign w:val="center"/>
          </w:tcPr>
          <w:p w14:paraId="22F3ABE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1次/季，昼夜</w:t>
            </w:r>
          </w:p>
        </w:tc>
        <w:tc>
          <w:tcPr>
            <w:tcW w:w="1600" w:type="pct"/>
            <w:tcBorders>
              <w:tl2br w:val="nil"/>
              <w:tr2bl w:val="nil"/>
            </w:tcBorders>
            <w:vAlign w:val="center"/>
          </w:tcPr>
          <w:p w14:paraId="7917AA1E">
            <w:pPr>
              <w:jc w:val="center"/>
              <w:rPr>
                <w:color w:val="000000" w:themeColor="text1"/>
                <w:szCs w:val="21"/>
                <w14:textFill>
                  <w14:solidFill>
                    <w14:schemeClr w14:val="tx1"/>
                  </w14:solidFill>
                </w14:textFill>
              </w:rPr>
            </w:pPr>
            <w:r>
              <w:rPr>
                <w:color w:val="000000" w:themeColor="text1"/>
                <w:spacing w:val="7"/>
                <w:szCs w:val="21"/>
                <w14:textFill>
                  <w14:solidFill>
                    <w14:schemeClr w14:val="tx1"/>
                  </w14:solidFill>
                </w14:textFill>
              </w:rPr>
              <w:t>《工业企业厂界环境噪声排放标准》（GB12348-2008）2类标准值</w:t>
            </w:r>
          </w:p>
        </w:tc>
      </w:tr>
      <w:tr w14:paraId="06BE10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jc w:val="center"/>
        </w:trPr>
        <w:tc>
          <w:tcPr>
            <w:tcW w:w="313" w:type="pct"/>
            <w:tcBorders>
              <w:tl2br w:val="nil"/>
              <w:tr2bl w:val="nil"/>
            </w:tcBorders>
            <w:vAlign w:val="center"/>
          </w:tcPr>
          <w:p w14:paraId="676E417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地下水</w:t>
            </w:r>
          </w:p>
        </w:tc>
        <w:tc>
          <w:tcPr>
            <w:tcW w:w="1436" w:type="pct"/>
            <w:tcBorders>
              <w:tl2br w:val="nil"/>
              <w:tr2bl w:val="nil"/>
            </w:tcBorders>
            <w:vAlign w:val="center"/>
          </w:tcPr>
          <w:p w14:paraId="0BD1F66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各养殖场区</w:t>
            </w:r>
            <w:r>
              <w:rPr>
                <w:color w:val="000000" w:themeColor="text1"/>
                <w:szCs w:val="21"/>
                <w14:textFill>
                  <w14:solidFill>
                    <w14:schemeClr w14:val="tx1"/>
                  </w14:solidFill>
                </w14:textFill>
              </w:rPr>
              <w:t>下游监测井（1个点）：项目东北侧500m处居民水井</w:t>
            </w:r>
          </w:p>
        </w:tc>
        <w:tc>
          <w:tcPr>
            <w:tcW w:w="955" w:type="pct"/>
            <w:tcBorders>
              <w:tl2br w:val="nil"/>
              <w:tr2bl w:val="nil"/>
            </w:tcBorders>
            <w:vAlign w:val="center"/>
          </w:tcPr>
          <w:p w14:paraId="10E79409">
            <w:pPr>
              <w:widowControl w:val="0"/>
              <w:adjustRightInd w:val="0"/>
              <w:jc w:val="center"/>
              <w:textAlignment w:val="baseline"/>
              <w:rPr>
                <w:color w:val="000000" w:themeColor="text1"/>
                <w:szCs w:val="21"/>
                <w14:textFill>
                  <w14:solidFill>
                    <w14:schemeClr w14:val="tx1"/>
                  </w14:solidFill>
                </w14:textFill>
              </w:rPr>
            </w:pPr>
            <w:r>
              <w:rPr>
                <w:color w:val="000000" w:themeColor="text1"/>
                <w:szCs w:val="21"/>
                <w14:textFill>
                  <w14:solidFill>
                    <w14:schemeClr w14:val="tx1"/>
                  </w14:solidFill>
                </w14:textFill>
              </w:rPr>
              <w:t>pH、耗氧量、溶解性总固体、挥发性酚类、阴离子表面活性剂、氯化物、硫化物、石油类、汞、铬、砷、六价铬、铅、氨氮、总大肠菌 群、菌落总数、铜、锌</w:t>
            </w:r>
          </w:p>
        </w:tc>
        <w:tc>
          <w:tcPr>
            <w:tcW w:w="696" w:type="pct"/>
            <w:tcBorders>
              <w:tl2br w:val="nil"/>
              <w:tr2bl w:val="nil"/>
            </w:tcBorders>
            <w:vAlign w:val="center"/>
          </w:tcPr>
          <w:p w14:paraId="1F26C7F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每年1次</w:t>
            </w:r>
          </w:p>
        </w:tc>
        <w:tc>
          <w:tcPr>
            <w:tcW w:w="1600" w:type="pct"/>
            <w:tcBorders>
              <w:tl2br w:val="nil"/>
              <w:tr2bl w:val="nil"/>
            </w:tcBorders>
            <w:vAlign w:val="center"/>
          </w:tcPr>
          <w:p w14:paraId="2DD2B031">
            <w:pPr>
              <w:jc w:val="center"/>
              <w:rPr>
                <w:color w:val="000000" w:themeColor="text1"/>
                <w:szCs w:val="21"/>
                <w14:textFill>
                  <w14:solidFill>
                    <w14:schemeClr w14:val="tx1"/>
                  </w14:solidFill>
                </w14:textFill>
              </w:rPr>
            </w:pPr>
            <w:r>
              <w:rPr>
                <w:color w:val="000000" w:themeColor="text1"/>
                <w:spacing w:val="7"/>
                <w:szCs w:val="21"/>
                <w14:textFill>
                  <w14:solidFill>
                    <w14:schemeClr w14:val="tx1"/>
                  </w14:solidFill>
                </w14:textFill>
              </w:rPr>
              <w:t>《地下水质量标准》</w:t>
            </w:r>
            <w:r>
              <w:rPr>
                <w:color w:val="000000" w:themeColor="text1"/>
                <w:spacing w:val="6"/>
                <w:szCs w:val="21"/>
                <w14:textFill>
                  <w14:solidFill>
                    <w14:schemeClr w14:val="tx1"/>
                  </w14:solidFill>
                </w14:textFill>
              </w:rPr>
              <w:t>（</w:t>
            </w:r>
            <w:r>
              <w:rPr>
                <w:color w:val="000000" w:themeColor="text1"/>
                <w:szCs w:val="21"/>
                <w14:textFill>
                  <w14:solidFill>
                    <w14:schemeClr w14:val="tx1"/>
                  </w14:solidFill>
                </w14:textFill>
              </w:rPr>
              <w:t>GB</w:t>
            </w:r>
            <w:r>
              <w:rPr>
                <w:color w:val="000000" w:themeColor="text1"/>
                <w:spacing w:val="6"/>
                <w:szCs w:val="21"/>
                <w14:textFill>
                  <w14:solidFill>
                    <w14:schemeClr w14:val="tx1"/>
                  </w14:solidFill>
                </w14:textFill>
              </w:rPr>
              <w:t>/T14848-2017）中Ⅲ类标</w:t>
            </w:r>
            <w:r>
              <w:rPr>
                <w:color w:val="000000" w:themeColor="text1"/>
                <w:szCs w:val="21"/>
                <w14:textFill>
                  <w14:solidFill>
                    <w14:schemeClr w14:val="tx1"/>
                  </w14:solidFill>
                </w14:textFill>
              </w:rPr>
              <w:t>准</w:t>
            </w:r>
          </w:p>
        </w:tc>
      </w:tr>
      <w:tr w14:paraId="56872E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119" w:hRule="atLeast"/>
          <w:jc w:val="center"/>
        </w:trPr>
        <w:tc>
          <w:tcPr>
            <w:tcW w:w="313" w:type="pct"/>
            <w:tcBorders>
              <w:tl2br w:val="nil"/>
              <w:tr2bl w:val="nil"/>
            </w:tcBorders>
            <w:vAlign w:val="center"/>
          </w:tcPr>
          <w:p w14:paraId="4490DF9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土壤</w:t>
            </w:r>
          </w:p>
        </w:tc>
        <w:tc>
          <w:tcPr>
            <w:tcW w:w="1436" w:type="pct"/>
            <w:tcBorders>
              <w:tl2br w:val="nil"/>
              <w:tr2bl w:val="nil"/>
            </w:tcBorders>
            <w:vAlign w:val="center"/>
          </w:tcPr>
          <w:p w14:paraId="04DF257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各养殖场区</w:t>
            </w:r>
            <w:r>
              <w:rPr>
                <w:color w:val="000000" w:themeColor="text1"/>
                <w:szCs w:val="21"/>
                <w14:textFill>
                  <w14:solidFill>
                    <w14:schemeClr w14:val="tx1"/>
                  </w14:solidFill>
                </w14:textFill>
              </w:rPr>
              <w:t>范围内（1个点）</w:t>
            </w:r>
          </w:p>
        </w:tc>
        <w:tc>
          <w:tcPr>
            <w:tcW w:w="955" w:type="pct"/>
            <w:tcBorders>
              <w:tl2br w:val="nil"/>
              <w:tr2bl w:val="nil"/>
            </w:tcBorders>
            <w:vAlign w:val="center"/>
          </w:tcPr>
          <w:p w14:paraId="7FACE5C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pH、镉、汞、砷、铅、铬、铜、镍、锌</w:t>
            </w:r>
          </w:p>
        </w:tc>
        <w:tc>
          <w:tcPr>
            <w:tcW w:w="696" w:type="pct"/>
            <w:tcBorders>
              <w:tl2br w:val="nil"/>
              <w:tr2bl w:val="nil"/>
            </w:tcBorders>
            <w:vAlign w:val="center"/>
          </w:tcPr>
          <w:p w14:paraId="26F7C8D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每5年1次</w:t>
            </w:r>
          </w:p>
        </w:tc>
        <w:tc>
          <w:tcPr>
            <w:tcW w:w="1600" w:type="pct"/>
            <w:tcBorders>
              <w:tl2br w:val="nil"/>
              <w:tr2bl w:val="nil"/>
            </w:tcBorders>
            <w:vAlign w:val="center"/>
          </w:tcPr>
          <w:p w14:paraId="0AE0361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《土壤环境质量 农用地土壤污染风险管控标准》（GB15618-2018）表1农用地土壤污染风险筛选值</w:t>
            </w:r>
          </w:p>
        </w:tc>
      </w:tr>
    </w:tbl>
    <w:p w14:paraId="56BA0971">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06" w:name="_Toc205719680"/>
      <w:bookmarkStart w:id="1107" w:name="_Toc240951811"/>
      <w:bookmarkStart w:id="1108" w:name="_Toc205713870"/>
      <w:bookmarkStart w:id="1109" w:name="_Toc413883133"/>
      <w:bookmarkStart w:id="1110" w:name="_Toc205719839"/>
      <w:bookmarkStart w:id="1111" w:name="_Toc520469095"/>
      <w:bookmarkStart w:id="1112" w:name="_Toc18009"/>
      <w:bookmarkStart w:id="1113" w:name="_Toc483497227"/>
      <w:bookmarkStart w:id="1114" w:name="_Toc40220859"/>
      <w:bookmarkStart w:id="1115" w:name="_Toc233380297"/>
      <w:r>
        <w:rPr>
          <w:rFonts w:ascii="Times New Roman" w:hAnsi="Times New Roman" w:eastAsia="宋体"/>
          <w:color w:val="000000" w:themeColor="text1"/>
          <w:sz w:val="30"/>
          <w:szCs w:val="30"/>
          <w14:textFill>
            <w14:solidFill>
              <w14:schemeClr w14:val="tx1"/>
            </w14:solidFill>
          </w14:textFill>
        </w:rPr>
        <w:t>9.4</w:t>
      </w:r>
      <w:bookmarkEnd w:id="1106"/>
      <w:bookmarkEnd w:id="1107"/>
      <w:bookmarkEnd w:id="1108"/>
      <w:bookmarkEnd w:id="1109"/>
      <w:bookmarkEnd w:id="1110"/>
      <w:r>
        <w:rPr>
          <w:rFonts w:ascii="Times New Roman" w:hAnsi="Times New Roman" w:eastAsia="宋体"/>
          <w:color w:val="000000" w:themeColor="text1"/>
          <w:sz w:val="30"/>
          <w:szCs w:val="30"/>
          <w14:textFill>
            <w14:solidFill>
              <w14:schemeClr w14:val="tx1"/>
            </w14:solidFill>
          </w14:textFill>
        </w:rPr>
        <w:t>排污口规范化</w:t>
      </w:r>
      <w:bookmarkEnd w:id="1111"/>
      <w:bookmarkEnd w:id="1112"/>
      <w:bookmarkEnd w:id="1113"/>
      <w:bookmarkEnd w:id="1114"/>
      <w:bookmarkEnd w:id="1115"/>
    </w:p>
    <w:p w14:paraId="3A090B1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项目应根据原国家环境保护总局</w:t>
      </w:r>
      <w:r>
        <w:rPr>
          <w:sz w:val="24"/>
        </w:rPr>
        <w:t>《排污口规范化整治技术要求(试行)》（1996年5月20日国家环保局环监[1996]470号）、《环境保护图形标志-排放口（源）》（GB15562.1-1995）和</w:t>
      </w:r>
      <w:r>
        <w:rPr>
          <w:color w:val="000000" w:themeColor="text1"/>
          <w:sz w:val="24"/>
          <w14:textFill>
            <w14:solidFill>
              <w14:schemeClr w14:val="tx1"/>
            </w14:solidFill>
          </w14:textFill>
        </w:rPr>
        <w:t>本项目污染物排放的实际情况，项目所有排放口（包括水、气、声、固废）必须按照“便于采样、便于计量监测、便于日常现场监督检查”的原则和规范化要求，设置与之相应的环境保护图形标志牌，排污口的规范化要符合环境监察部门的相关要求。</w:t>
      </w:r>
    </w:p>
    <w:p w14:paraId="07FC5A4A">
      <w:p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1、废气排放口</w:t>
      </w:r>
    </w:p>
    <w:p w14:paraId="77207AEF">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对于有组织排放的废气，排气筒应设置便于采样、监测的采样平台、采样口，采样口的设置应符合《污染源监测技术规范》要求。废气排放口均应设置环保图形标志牌。</w:t>
      </w:r>
    </w:p>
    <w:p w14:paraId="3419098D">
      <w:p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2、固定噪声源</w:t>
      </w:r>
    </w:p>
    <w:p w14:paraId="3F904143">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根据不同噪声源的情况，采取减振降噪、隔声等措施，使厂界达到相应功能区的标准要求。在厂界噪声敏感且对外界影响最大处设置固定噪声源的监测点和噪声环境保护图形标志牌。</w:t>
      </w:r>
    </w:p>
    <w:p w14:paraId="1C24756B">
      <w:p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3、固废</w:t>
      </w:r>
    </w:p>
    <w:p w14:paraId="3DB947B0">
      <w:pPr>
        <w:autoSpaceDE w:val="0"/>
        <w:autoSpaceDN w:val="0"/>
        <w:adjustRightInd w:val="0"/>
        <w:spacing w:line="360" w:lineRule="auto"/>
        <w:ind w:firstLine="480" w:firstLineChars="200"/>
        <w:jc w:val="both"/>
        <w:rPr>
          <w:snapToGrid w:val="0"/>
          <w:color w:val="000000" w:themeColor="text1"/>
          <w:sz w:val="24"/>
          <w14:textFill>
            <w14:solidFill>
              <w14:schemeClr w14:val="tx1"/>
            </w14:solidFill>
          </w14:textFill>
        </w:rPr>
      </w:pPr>
      <w:r>
        <w:rPr>
          <w:snapToGrid w:val="0"/>
          <w:color w:val="000000" w:themeColor="text1"/>
          <w:sz w:val="24"/>
          <w14:textFill>
            <w14:solidFill>
              <w14:schemeClr w14:val="tx1"/>
            </w14:solidFill>
          </w14:textFill>
        </w:rPr>
        <w:t>对于各类固体废物应设置专用贮存、堆放场地。各类固体废物贮存场所均应设置醒目的标志牌。</w:t>
      </w:r>
    </w:p>
    <w:p w14:paraId="07FFFF29">
      <w:pPr>
        <w:autoSpaceDE w:val="0"/>
        <w:autoSpaceDN w:val="0"/>
        <w:adjustRightInd w:val="0"/>
        <w:spacing w:line="360" w:lineRule="auto"/>
        <w:ind w:firstLine="480" w:firstLineChars="200"/>
        <w:jc w:val="both"/>
        <w:rPr>
          <w:snapToGrid w:val="0"/>
          <w:color w:val="000000" w:themeColor="text1"/>
          <w:sz w:val="24"/>
          <w14:textFill>
            <w14:solidFill>
              <w14:schemeClr w14:val="tx1"/>
            </w14:solidFill>
          </w14:textFill>
        </w:rPr>
      </w:pPr>
      <w:r>
        <w:rPr>
          <w:rFonts w:hint="eastAsia" w:ascii="宋体" w:hAnsi="宋体" w:cs="宋体"/>
          <w:snapToGrid w:val="0"/>
          <w:color w:val="000000" w:themeColor="text1"/>
          <w:sz w:val="24"/>
          <w14:textFill>
            <w14:solidFill>
              <w14:schemeClr w14:val="tx1"/>
            </w14:solidFill>
          </w14:textFill>
        </w:rPr>
        <w:t>①</w:t>
      </w:r>
      <w:r>
        <w:rPr>
          <w:snapToGrid w:val="0"/>
          <w:color w:val="000000" w:themeColor="text1"/>
          <w:sz w:val="24"/>
          <w14:textFill>
            <w14:solidFill>
              <w14:schemeClr w14:val="tx1"/>
            </w14:solidFill>
          </w14:textFill>
        </w:rPr>
        <w:t>固体废物贮存场所要防流失、防渗漏、防雨、防洪水。</w:t>
      </w:r>
    </w:p>
    <w:p w14:paraId="02EC81AB">
      <w:pPr>
        <w:autoSpaceDE w:val="0"/>
        <w:autoSpaceDN w:val="0"/>
        <w:adjustRightInd w:val="0"/>
        <w:spacing w:line="360" w:lineRule="auto"/>
        <w:ind w:firstLine="480" w:firstLineChars="200"/>
        <w:jc w:val="both"/>
        <w:rPr>
          <w:snapToGrid w:val="0"/>
          <w:color w:val="000000" w:themeColor="text1"/>
          <w:sz w:val="24"/>
          <w14:textFill>
            <w14:solidFill>
              <w14:schemeClr w14:val="tx1"/>
            </w14:solidFill>
          </w14:textFill>
        </w:rPr>
      </w:pPr>
      <w:r>
        <w:rPr>
          <w:rFonts w:hint="eastAsia" w:ascii="宋体" w:hAnsi="宋体" w:cs="宋体"/>
          <w:snapToGrid w:val="0"/>
          <w:color w:val="000000" w:themeColor="text1"/>
          <w:sz w:val="24"/>
          <w14:textFill>
            <w14:solidFill>
              <w14:schemeClr w14:val="tx1"/>
            </w14:solidFill>
          </w14:textFill>
        </w:rPr>
        <w:t>②</w:t>
      </w:r>
      <w:r>
        <w:rPr>
          <w:snapToGrid w:val="0"/>
          <w:color w:val="000000" w:themeColor="text1"/>
          <w:sz w:val="24"/>
          <w14:textFill>
            <w14:solidFill>
              <w14:schemeClr w14:val="tx1"/>
            </w14:solidFill>
          </w14:textFill>
        </w:rPr>
        <w:t>一般固体废物贮存场所在醒目处设置一个标志牌。</w:t>
      </w:r>
    </w:p>
    <w:p w14:paraId="46373252">
      <w:pPr>
        <w:autoSpaceDE w:val="0"/>
        <w:autoSpaceDN w:val="0"/>
        <w:adjustRightInd w:val="0"/>
        <w:spacing w:line="360" w:lineRule="auto"/>
        <w:ind w:firstLine="480" w:firstLineChars="200"/>
        <w:jc w:val="both"/>
        <w:rPr>
          <w:snapToGrid w:val="0"/>
          <w:color w:val="000000" w:themeColor="text1"/>
          <w:sz w:val="24"/>
          <w14:textFill>
            <w14:solidFill>
              <w14:schemeClr w14:val="tx1"/>
            </w14:solidFill>
          </w14:textFill>
        </w:rPr>
      </w:pPr>
      <w:r>
        <w:rPr>
          <w:rFonts w:hint="eastAsia" w:ascii="宋体" w:hAnsi="宋体" w:cs="宋体"/>
          <w:snapToGrid w:val="0"/>
          <w:color w:val="000000" w:themeColor="text1"/>
          <w:sz w:val="24"/>
          <w14:textFill>
            <w14:solidFill>
              <w14:schemeClr w14:val="tx1"/>
            </w14:solidFill>
          </w14:textFill>
        </w:rPr>
        <w:t>③</w:t>
      </w:r>
      <w:r>
        <w:rPr>
          <w:snapToGrid w:val="0"/>
          <w:color w:val="000000" w:themeColor="text1"/>
          <w:sz w:val="24"/>
          <w14:textFill>
            <w14:solidFill>
              <w14:schemeClr w14:val="tx1"/>
            </w14:solidFill>
          </w14:textFill>
        </w:rPr>
        <w:t>危险废物暂存间的边界采用墙体封闭，并在边界各进出口设置明显标志牌。</w:t>
      </w:r>
    </w:p>
    <w:p w14:paraId="4E924C48">
      <w:pPr>
        <w:autoSpaceDE w:val="0"/>
        <w:autoSpaceDN w:val="0"/>
        <w:adjustRightInd w:val="0"/>
        <w:spacing w:line="360" w:lineRule="auto"/>
        <w:ind w:firstLine="480" w:firstLineChars="200"/>
        <w:jc w:val="both"/>
        <w:rPr>
          <w:snapToGrid w:val="0"/>
          <w:color w:val="000000" w:themeColor="text1"/>
          <w:sz w:val="24"/>
          <w14:textFill>
            <w14:solidFill>
              <w14:schemeClr w14:val="tx1"/>
            </w14:solidFill>
          </w14:textFill>
        </w:rPr>
      </w:pPr>
      <w:r>
        <w:rPr>
          <w:snapToGrid w:val="0"/>
          <w:color w:val="000000" w:themeColor="text1"/>
          <w:sz w:val="24"/>
          <w14:textFill>
            <w14:solidFill>
              <w14:schemeClr w14:val="tx1"/>
            </w14:solidFill>
          </w14:textFill>
        </w:rPr>
        <w:t>排放口图形标志见表9.4-1。</w:t>
      </w:r>
    </w:p>
    <w:p w14:paraId="5D85447D">
      <w:pPr>
        <w:widowControl w:val="0"/>
        <w:spacing w:before="120" w:beforeLines="50" w:line="240" w:lineRule="exact"/>
        <w:jc w:val="center"/>
        <w:rPr>
          <w:b/>
          <w:color w:val="000000" w:themeColor="text1"/>
          <w14:textFill>
            <w14:solidFill>
              <w14:schemeClr w14:val="tx1"/>
            </w14:solidFill>
          </w14:textFill>
        </w:rPr>
      </w:pPr>
      <w:r>
        <w:rPr>
          <w:b/>
          <w:color w:val="000000" w:themeColor="text1"/>
          <w14:textFill>
            <w14:solidFill>
              <w14:schemeClr w14:val="tx1"/>
            </w14:solidFill>
          </w14:textFill>
        </w:rPr>
        <w:t>表9.4-1  环境保护图形标志表</w:t>
      </w:r>
    </w:p>
    <w:tbl>
      <w:tblPr>
        <w:tblStyle w:val="88"/>
        <w:tblW w:w="4998"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765"/>
        <w:gridCol w:w="1729"/>
        <w:gridCol w:w="1741"/>
        <w:gridCol w:w="1312"/>
        <w:gridCol w:w="2763"/>
      </w:tblGrid>
      <w:tr w14:paraId="5E2D816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3" w:hRule="atLeast"/>
          <w:tblHeader/>
          <w:jc w:val="center"/>
        </w:trPr>
        <w:tc>
          <w:tcPr>
            <w:tcW w:w="460" w:type="pct"/>
            <w:tcBorders>
              <w:tl2br w:val="nil"/>
              <w:tr2bl w:val="nil"/>
            </w:tcBorders>
            <w:vAlign w:val="center"/>
          </w:tcPr>
          <w:p w14:paraId="5CA1638C">
            <w:pPr>
              <w:pStyle w:val="347"/>
              <w:tabs>
                <w:tab w:val="left" w:pos="540"/>
                <w:tab w:val="left" w:pos="1080"/>
                <w:tab w:val="left" w:pos="1260"/>
                <w:tab w:val="left" w:pos="1440"/>
              </w:tabs>
              <w:rPr>
                <w:b/>
                <w:color w:val="000000" w:themeColor="text1"/>
                <w14:textFill>
                  <w14:solidFill>
                    <w14:schemeClr w14:val="tx1"/>
                  </w14:solidFill>
                </w14:textFill>
              </w:rPr>
            </w:pPr>
            <w:r>
              <w:rPr>
                <w:b/>
                <w:color w:val="000000" w:themeColor="text1"/>
                <w14:textFill>
                  <w14:solidFill>
                    <w14:schemeClr w14:val="tx1"/>
                  </w14:solidFill>
                </w14:textFill>
              </w:rPr>
              <w:t>序号</w:t>
            </w:r>
          </w:p>
        </w:tc>
        <w:tc>
          <w:tcPr>
            <w:tcW w:w="1040" w:type="pct"/>
            <w:tcBorders>
              <w:tl2br w:val="nil"/>
              <w:tr2bl w:val="nil"/>
            </w:tcBorders>
            <w:vAlign w:val="center"/>
          </w:tcPr>
          <w:p w14:paraId="3674E088">
            <w:pPr>
              <w:pStyle w:val="347"/>
              <w:tabs>
                <w:tab w:val="left" w:pos="540"/>
                <w:tab w:val="left" w:pos="1080"/>
                <w:tab w:val="left" w:pos="1260"/>
                <w:tab w:val="left" w:pos="1440"/>
              </w:tabs>
              <w:rPr>
                <w:b/>
                <w:color w:val="000000" w:themeColor="text1"/>
                <w14:textFill>
                  <w14:solidFill>
                    <w14:schemeClr w14:val="tx1"/>
                  </w14:solidFill>
                </w14:textFill>
              </w:rPr>
            </w:pPr>
            <w:r>
              <w:rPr>
                <w:b/>
                <w:color w:val="000000" w:themeColor="text1"/>
                <w14:textFill>
                  <w14:solidFill>
                    <w14:schemeClr w14:val="tx1"/>
                  </w14:solidFill>
                </w14:textFill>
              </w:rPr>
              <w:t>提示图形符号</w:t>
            </w:r>
          </w:p>
        </w:tc>
        <w:tc>
          <w:tcPr>
            <w:tcW w:w="1047" w:type="pct"/>
            <w:tcBorders>
              <w:tl2br w:val="nil"/>
              <w:tr2bl w:val="nil"/>
            </w:tcBorders>
            <w:vAlign w:val="center"/>
          </w:tcPr>
          <w:p w14:paraId="3CD67FBF">
            <w:pPr>
              <w:pStyle w:val="347"/>
              <w:tabs>
                <w:tab w:val="left" w:pos="540"/>
                <w:tab w:val="left" w:pos="1080"/>
                <w:tab w:val="left" w:pos="1260"/>
                <w:tab w:val="left" w:pos="1440"/>
              </w:tabs>
              <w:rPr>
                <w:b/>
                <w:color w:val="000000" w:themeColor="text1"/>
                <w14:textFill>
                  <w14:solidFill>
                    <w14:schemeClr w14:val="tx1"/>
                  </w14:solidFill>
                </w14:textFill>
              </w:rPr>
            </w:pPr>
            <w:r>
              <w:rPr>
                <w:b/>
                <w:color w:val="000000" w:themeColor="text1"/>
                <w14:textFill>
                  <w14:solidFill>
                    <w14:schemeClr w14:val="tx1"/>
                  </w14:solidFill>
                </w14:textFill>
              </w:rPr>
              <w:t>警告图形符号</w:t>
            </w:r>
          </w:p>
        </w:tc>
        <w:tc>
          <w:tcPr>
            <w:tcW w:w="789" w:type="pct"/>
            <w:tcBorders>
              <w:tl2br w:val="nil"/>
              <w:tr2bl w:val="nil"/>
            </w:tcBorders>
            <w:vAlign w:val="center"/>
          </w:tcPr>
          <w:p w14:paraId="0BEFA106">
            <w:pPr>
              <w:pStyle w:val="347"/>
              <w:tabs>
                <w:tab w:val="left" w:pos="540"/>
                <w:tab w:val="left" w:pos="1080"/>
                <w:tab w:val="left" w:pos="1260"/>
                <w:tab w:val="left" w:pos="1440"/>
              </w:tabs>
              <w:rPr>
                <w:b/>
                <w:color w:val="000000" w:themeColor="text1"/>
                <w14:textFill>
                  <w14:solidFill>
                    <w14:schemeClr w14:val="tx1"/>
                  </w14:solidFill>
                </w14:textFill>
              </w:rPr>
            </w:pPr>
            <w:r>
              <w:rPr>
                <w:b/>
                <w:color w:val="000000" w:themeColor="text1"/>
                <w14:textFill>
                  <w14:solidFill>
                    <w14:schemeClr w14:val="tx1"/>
                  </w14:solidFill>
                </w14:textFill>
              </w:rPr>
              <w:t>名称</w:t>
            </w:r>
          </w:p>
        </w:tc>
        <w:tc>
          <w:tcPr>
            <w:tcW w:w="1662" w:type="pct"/>
            <w:tcBorders>
              <w:tl2br w:val="nil"/>
              <w:tr2bl w:val="nil"/>
            </w:tcBorders>
            <w:vAlign w:val="center"/>
          </w:tcPr>
          <w:p w14:paraId="03012678">
            <w:pPr>
              <w:pStyle w:val="347"/>
              <w:tabs>
                <w:tab w:val="left" w:pos="540"/>
                <w:tab w:val="left" w:pos="1080"/>
                <w:tab w:val="left" w:pos="1260"/>
                <w:tab w:val="left" w:pos="1440"/>
              </w:tabs>
              <w:rPr>
                <w:b/>
                <w:color w:val="000000" w:themeColor="text1"/>
                <w14:textFill>
                  <w14:solidFill>
                    <w14:schemeClr w14:val="tx1"/>
                  </w14:solidFill>
                </w14:textFill>
              </w:rPr>
            </w:pPr>
            <w:r>
              <w:rPr>
                <w:b/>
                <w:color w:val="000000" w:themeColor="text1"/>
                <w14:textFill>
                  <w14:solidFill>
                    <w14:schemeClr w14:val="tx1"/>
                  </w14:solidFill>
                </w14:textFill>
              </w:rPr>
              <w:t>功能</w:t>
            </w:r>
          </w:p>
        </w:tc>
      </w:tr>
      <w:tr w14:paraId="7F4526B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460" w:type="pct"/>
            <w:tcBorders>
              <w:tl2br w:val="nil"/>
              <w:tr2bl w:val="nil"/>
            </w:tcBorders>
            <w:vAlign w:val="center"/>
          </w:tcPr>
          <w:p w14:paraId="12CAA5B7">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1</w:t>
            </w:r>
          </w:p>
        </w:tc>
        <w:tc>
          <w:tcPr>
            <w:tcW w:w="1040" w:type="pct"/>
            <w:tcBorders>
              <w:tl2br w:val="nil"/>
              <w:tr2bl w:val="nil"/>
            </w:tcBorders>
            <w:vAlign w:val="center"/>
          </w:tcPr>
          <w:p w14:paraId="03441EAC">
            <w:pPr>
              <w:pStyle w:val="347"/>
              <w:tabs>
                <w:tab w:val="left" w:pos="540"/>
                <w:tab w:val="left" w:pos="1080"/>
                <w:tab w:val="left" w:pos="1260"/>
                <w:tab w:val="left" w:pos="1440"/>
              </w:tabs>
              <w:rPr>
                <w:color w:val="000000" w:themeColor="text1"/>
                <w:sz w:val="14"/>
                <w:szCs w:val="14"/>
                <w14:textFill>
                  <w14:solidFill>
                    <w14:schemeClr w14:val="tx1"/>
                  </w14:solidFill>
                </w14:textFill>
              </w:rPr>
            </w:pPr>
            <w:r>
              <w:rPr>
                <w:color w:val="000000" w:themeColor="text1"/>
                <w:sz w:val="14"/>
                <w:szCs w:val="14"/>
                <w14:textFill>
                  <w14:solidFill>
                    <w14:schemeClr w14:val="tx1"/>
                  </w14:solidFill>
                </w14:textFill>
              </w:rPr>
              <w:drawing>
                <wp:inline distT="0" distB="0" distL="114300" distR="114300">
                  <wp:extent cx="809625" cy="809625"/>
                  <wp:effectExtent l="0" t="0" r="9525" b="9525"/>
                  <wp:docPr id="1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
                          <pic:cNvPicPr>
                            <a:picLocks noChangeAspect="1"/>
                          </pic:cNvPicPr>
                        </pic:nvPicPr>
                        <pic:blipFill>
                          <a:blip r:embed="rId121"/>
                          <a:stretch>
                            <a:fillRect/>
                          </a:stretch>
                        </pic:blipFill>
                        <pic:spPr>
                          <a:xfrm>
                            <a:off x="0" y="0"/>
                            <a:ext cx="809625" cy="809625"/>
                          </a:xfrm>
                          <a:prstGeom prst="rect">
                            <a:avLst/>
                          </a:prstGeom>
                          <a:noFill/>
                          <a:ln>
                            <a:noFill/>
                          </a:ln>
                        </pic:spPr>
                      </pic:pic>
                    </a:graphicData>
                  </a:graphic>
                </wp:inline>
              </w:drawing>
            </w:r>
          </w:p>
        </w:tc>
        <w:tc>
          <w:tcPr>
            <w:tcW w:w="1047" w:type="pct"/>
            <w:tcBorders>
              <w:tl2br w:val="nil"/>
              <w:tr2bl w:val="nil"/>
            </w:tcBorders>
            <w:vAlign w:val="center"/>
          </w:tcPr>
          <w:p w14:paraId="67596102">
            <w:pPr>
              <w:pStyle w:val="347"/>
              <w:tabs>
                <w:tab w:val="left" w:pos="540"/>
                <w:tab w:val="left" w:pos="1080"/>
                <w:tab w:val="left" w:pos="1260"/>
                <w:tab w:val="left" w:pos="1440"/>
              </w:tabs>
              <w:rPr>
                <w:color w:val="000000" w:themeColor="text1"/>
                <w:sz w:val="12"/>
                <w:szCs w:val="12"/>
                <w14:textFill>
                  <w14:solidFill>
                    <w14:schemeClr w14:val="tx1"/>
                  </w14:solidFill>
                </w14:textFill>
              </w:rPr>
            </w:pPr>
            <w:r>
              <w:rPr>
                <w:color w:val="000000" w:themeColor="text1"/>
                <w:sz w:val="12"/>
                <w:szCs w:val="12"/>
                <w14:textFill>
                  <w14:solidFill>
                    <w14:schemeClr w14:val="tx1"/>
                  </w14:solidFill>
                </w14:textFill>
              </w:rPr>
              <w:drawing>
                <wp:inline distT="0" distB="0" distL="114300" distR="114300">
                  <wp:extent cx="800100" cy="790575"/>
                  <wp:effectExtent l="0" t="0" r="0" b="9525"/>
                  <wp:docPr id="10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5"/>
                          <pic:cNvPicPr>
                            <a:picLocks noChangeAspect="1"/>
                          </pic:cNvPicPr>
                        </pic:nvPicPr>
                        <pic:blipFill>
                          <a:blip r:embed="rId122"/>
                          <a:stretch>
                            <a:fillRect/>
                          </a:stretch>
                        </pic:blipFill>
                        <pic:spPr>
                          <a:xfrm>
                            <a:off x="0" y="0"/>
                            <a:ext cx="800100" cy="790575"/>
                          </a:xfrm>
                          <a:prstGeom prst="rect">
                            <a:avLst/>
                          </a:prstGeom>
                          <a:noFill/>
                          <a:ln>
                            <a:noFill/>
                          </a:ln>
                        </pic:spPr>
                      </pic:pic>
                    </a:graphicData>
                  </a:graphic>
                </wp:inline>
              </w:drawing>
            </w:r>
          </w:p>
        </w:tc>
        <w:tc>
          <w:tcPr>
            <w:tcW w:w="789" w:type="pct"/>
            <w:tcBorders>
              <w:tl2br w:val="nil"/>
              <w:tr2bl w:val="nil"/>
            </w:tcBorders>
            <w:vAlign w:val="center"/>
          </w:tcPr>
          <w:p w14:paraId="6AEB703A">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废气排放口</w:t>
            </w:r>
          </w:p>
        </w:tc>
        <w:tc>
          <w:tcPr>
            <w:tcW w:w="1662" w:type="pct"/>
            <w:tcBorders>
              <w:tl2br w:val="nil"/>
              <w:tr2bl w:val="nil"/>
            </w:tcBorders>
            <w:vAlign w:val="center"/>
          </w:tcPr>
          <w:p w14:paraId="653D647E">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表示废气向大气环境排放</w:t>
            </w:r>
          </w:p>
        </w:tc>
      </w:tr>
      <w:tr w14:paraId="110DDCC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785" w:type="dxa"/>
            <w:tcBorders>
              <w:tl2br w:val="nil"/>
              <w:tr2bl w:val="nil"/>
            </w:tcBorders>
            <w:vAlign w:val="center"/>
          </w:tcPr>
          <w:p w14:paraId="1AEA23E1">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2</w:t>
            </w:r>
          </w:p>
        </w:tc>
        <w:tc>
          <w:tcPr>
            <w:tcW w:w="1040" w:type="pct"/>
            <w:tcBorders>
              <w:tl2br w:val="nil"/>
              <w:tr2bl w:val="nil"/>
            </w:tcBorders>
            <w:vAlign w:val="center"/>
          </w:tcPr>
          <w:p w14:paraId="236F1E9F">
            <w:pPr>
              <w:pStyle w:val="347"/>
              <w:tabs>
                <w:tab w:val="left" w:pos="540"/>
                <w:tab w:val="left" w:pos="1080"/>
                <w:tab w:val="left" w:pos="1260"/>
                <w:tab w:val="left" w:pos="1440"/>
              </w:tabs>
              <w:rPr>
                <w:color w:val="000000" w:themeColor="text1"/>
                <w:sz w:val="12"/>
                <w:szCs w:val="12"/>
                <w14:textFill>
                  <w14:solidFill>
                    <w14:schemeClr w14:val="tx1"/>
                  </w14:solidFill>
                </w14:textFill>
              </w:rPr>
            </w:pPr>
            <w:r>
              <w:rPr>
                <w:color w:val="000000" w:themeColor="text1"/>
                <w:sz w:val="12"/>
                <w:szCs w:val="12"/>
                <w14:textFill>
                  <w14:solidFill>
                    <w14:schemeClr w14:val="tx1"/>
                  </w14:solidFill>
                </w14:textFill>
              </w:rPr>
              <w:drawing>
                <wp:inline distT="0" distB="0" distL="114300" distR="114300">
                  <wp:extent cx="819150" cy="819150"/>
                  <wp:effectExtent l="0" t="0" r="0" b="0"/>
                  <wp:docPr id="10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6"/>
                          <pic:cNvPicPr>
                            <a:picLocks noChangeAspect="1"/>
                          </pic:cNvPicPr>
                        </pic:nvPicPr>
                        <pic:blipFill>
                          <a:blip r:embed="rId123"/>
                          <a:stretch>
                            <a:fillRect/>
                          </a:stretch>
                        </pic:blipFill>
                        <pic:spPr>
                          <a:xfrm>
                            <a:off x="0" y="0"/>
                            <a:ext cx="819150" cy="819150"/>
                          </a:xfrm>
                          <a:prstGeom prst="rect">
                            <a:avLst/>
                          </a:prstGeom>
                          <a:noFill/>
                          <a:ln>
                            <a:noFill/>
                          </a:ln>
                        </pic:spPr>
                      </pic:pic>
                    </a:graphicData>
                  </a:graphic>
                </wp:inline>
              </w:drawing>
            </w:r>
          </w:p>
        </w:tc>
        <w:tc>
          <w:tcPr>
            <w:tcW w:w="1047" w:type="pct"/>
            <w:tcBorders>
              <w:tl2br w:val="nil"/>
              <w:tr2bl w:val="nil"/>
            </w:tcBorders>
            <w:vAlign w:val="center"/>
          </w:tcPr>
          <w:p w14:paraId="78F66FDB">
            <w:pPr>
              <w:pStyle w:val="347"/>
              <w:tabs>
                <w:tab w:val="left" w:pos="540"/>
                <w:tab w:val="left" w:pos="1080"/>
                <w:tab w:val="left" w:pos="1260"/>
                <w:tab w:val="left" w:pos="1440"/>
              </w:tabs>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drawing>
                <wp:inline distT="0" distB="0" distL="114300" distR="114300">
                  <wp:extent cx="866775" cy="819150"/>
                  <wp:effectExtent l="0" t="0" r="9525" b="0"/>
                  <wp:docPr id="10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7"/>
                          <pic:cNvPicPr>
                            <a:picLocks noChangeAspect="1"/>
                          </pic:cNvPicPr>
                        </pic:nvPicPr>
                        <pic:blipFill>
                          <a:blip r:embed="rId124"/>
                          <a:stretch>
                            <a:fillRect/>
                          </a:stretch>
                        </pic:blipFill>
                        <pic:spPr>
                          <a:xfrm>
                            <a:off x="0" y="0"/>
                            <a:ext cx="866775" cy="819150"/>
                          </a:xfrm>
                          <a:prstGeom prst="rect">
                            <a:avLst/>
                          </a:prstGeom>
                          <a:noFill/>
                          <a:ln>
                            <a:noFill/>
                          </a:ln>
                        </pic:spPr>
                      </pic:pic>
                    </a:graphicData>
                  </a:graphic>
                </wp:inline>
              </w:drawing>
            </w:r>
          </w:p>
        </w:tc>
        <w:tc>
          <w:tcPr>
            <w:tcW w:w="789" w:type="pct"/>
            <w:tcBorders>
              <w:tl2br w:val="nil"/>
              <w:tr2bl w:val="nil"/>
            </w:tcBorders>
            <w:vAlign w:val="center"/>
          </w:tcPr>
          <w:p w14:paraId="212E2A4F">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一般固体废物</w:t>
            </w:r>
          </w:p>
        </w:tc>
        <w:tc>
          <w:tcPr>
            <w:tcW w:w="1662" w:type="pct"/>
            <w:tcBorders>
              <w:tl2br w:val="nil"/>
              <w:tr2bl w:val="nil"/>
            </w:tcBorders>
            <w:vAlign w:val="center"/>
          </w:tcPr>
          <w:p w14:paraId="0319D505">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表示一般固体废物贮存、处置场</w:t>
            </w:r>
          </w:p>
        </w:tc>
      </w:tr>
      <w:tr w14:paraId="68AEAB4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785" w:type="dxa"/>
            <w:tcBorders>
              <w:tl2br w:val="nil"/>
              <w:tr2bl w:val="nil"/>
            </w:tcBorders>
            <w:vAlign w:val="center"/>
          </w:tcPr>
          <w:p w14:paraId="5BDAE44E">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3</w:t>
            </w:r>
          </w:p>
        </w:tc>
        <w:tc>
          <w:tcPr>
            <w:tcW w:w="1040" w:type="pct"/>
            <w:tcBorders>
              <w:tl2br w:val="nil"/>
              <w:tr2bl w:val="nil"/>
            </w:tcBorders>
            <w:vAlign w:val="center"/>
          </w:tcPr>
          <w:p w14:paraId="77756F68">
            <w:pPr>
              <w:pStyle w:val="347"/>
              <w:tabs>
                <w:tab w:val="left" w:pos="540"/>
                <w:tab w:val="left" w:pos="1080"/>
                <w:tab w:val="left" w:pos="1260"/>
                <w:tab w:val="left" w:pos="1440"/>
              </w:tabs>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drawing>
                <wp:inline distT="0" distB="0" distL="114300" distR="114300">
                  <wp:extent cx="812165" cy="793115"/>
                  <wp:effectExtent l="0" t="0" r="6985" b="6985"/>
                  <wp:docPr id="10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8"/>
                          <pic:cNvPicPr>
                            <a:picLocks noChangeAspect="1"/>
                          </pic:cNvPicPr>
                        </pic:nvPicPr>
                        <pic:blipFill>
                          <a:blip r:embed="rId125"/>
                          <a:stretch>
                            <a:fillRect/>
                          </a:stretch>
                        </pic:blipFill>
                        <pic:spPr>
                          <a:xfrm>
                            <a:off x="0" y="0"/>
                            <a:ext cx="812165" cy="793115"/>
                          </a:xfrm>
                          <a:prstGeom prst="rect">
                            <a:avLst/>
                          </a:prstGeom>
                          <a:noFill/>
                          <a:ln>
                            <a:noFill/>
                          </a:ln>
                        </pic:spPr>
                      </pic:pic>
                    </a:graphicData>
                  </a:graphic>
                </wp:inline>
              </w:drawing>
            </w:r>
          </w:p>
        </w:tc>
        <w:tc>
          <w:tcPr>
            <w:tcW w:w="1047" w:type="pct"/>
            <w:tcBorders>
              <w:tl2br w:val="nil"/>
              <w:tr2bl w:val="nil"/>
            </w:tcBorders>
            <w:vAlign w:val="center"/>
          </w:tcPr>
          <w:p w14:paraId="6F3FD846">
            <w:pPr>
              <w:pStyle w:val="347"/>
              <w:tabs>
                <w:tab w:val="left" w:pos="540"/>
                <w:tab w:val="left" w:pos="1080"/>
                <w:tab w:val="left" w:pos="1260"/>
                <w:tab w:val="left" w:pos="1440"/>
              </w:tabs>
              <w:rPr>
                <w:color w:val="000000" w:themeColor="text1"/>
                <w:sz w:val="20"/>
                <w14:textFill>
                  <w14:solidFill>
                    <w14:schemeClr w14:val="tx1"/>
                  </w14:solidFill>
                </w14:textFill>
              </w:rPr>
            </w:pPr>
            <w:r>
              <w:rPr>
                <w:color w:val="000000" w:themeColor="text1"/>
                <w14:textFill>
                  <w14:solidFill>
                    <w14:schemeClr w14:val="tx1"/>
                  </w14:solidFill>
                </w14:textFill>
              </w:rPr>
              <w:drawing>
                <wp:inline distT="0" distB="0" distL="114300" distR="114300">
                  <wp:extent cx="800100" cy="714375"/>
                  <wp:effectExtent l="0" t="0" r="0" b="9525"/>
                  <wp:docPr id="10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9"/>
                          <pic:cNvPicPr>
                            <a:picLocks noChangeAspect="1"/>
                          </pic:cNvPicPr>
                        </pic:nvPicPr>
                        <pic:blipFill>
                          <a:blip r:embed="rId126"/>
                          <a:stretch>
                            <a:fillRect/>
                          </a:stretch>
                        </pic:blipFill>
                        <pic:spPr>
                          <a:xfrm>
                            <a:off x="0" y="0"/>
                            <a:ext cx="800100" cy="714375"/>
                          </a:xfrm>
                          <a:prstGeom prst="rect">
                            <a:avLst/>
                          </a:prstGeom>
                          <a:noFill/>
                          <a:ln>
                            <a:noFill/>
                          </a:ln>
                        </pic:spPr>
                      </pic:pic>
                    </a:graphicData>
                  </a:graphic>
                </wp:inline>
              </w:drawing>
            </w:r>
          </w:p>
        </w:tc>
        <w:tc>
          <w:tcPr>
            <w:tcW w:w="789" w:type="pct"/>
            <w:tcBorders>
              <w:tl2br w:val="nil"/>
              <w:tr2bl w:val="nil"/>
            </w:tcBorders>
            <w:vAlign w:val="center"/>
          </w:tcPr>
          <w:p w14:paraId="7F58DA0E">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噪声排放源</w:t>
            </w:r>
          </w:p>
        </w:tc>
        <w:tc>
          <w:tcPr>
            <w:tcW w:w="1662" w:type="pct"/>
            <w:tcBorders>
              <w:tl2br w:val="nil"/>
              <w:tr2bl w:val="nil"/>
            </w:tcBorders>
            <w:vAlign w:val="center"/>
          </w:tcPr>
          <w:p w14:paraId="0EB24932">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表示噪声向外环境排放</w:t>
            </w:r>
          </w:p>
        </w:tc>
      </w:tr>
      <w:tr w14:paraId="5B9C7F2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3" w:hRule="atLeast"/>
          <w:jc w:val="center"/>
        </w:trPr>
        <w:tc>
          <w:tcPr>
            <w:tcW w:w="785" w:type="dxa"/>
            <w:tcBorders>
              <w:tl2br w:val="nil"/>
              <w:tr2bl w:val="nil"/>
            </w:tcBorders>
            <w:vAlign w:val="center"/>
          </w:tcPr>
          <w:p w14:paraId="0FEC96E9">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4</w:t>
            </w:r>
          </w:p>
        </w:tc>
        <w:tc>
          <w:tcPr>
            <w:tcW w:w="1040" w:type="pct"/>
            <w:tcBorders>
              <w:tl2br w:val="nil"/>
              <w:tr2bl w:val="nil"/>
            </w:tcBorders>
            <w:vAlign w:val="center"/>
          </w:tcPr>
          <w:p w14:paraId="02662843">
            <w:pPr>
              <w:pStyle w:val="347"/>
              <w:tabs>
                <w:tab w:val="left" w:pos="540"/>
                <w:tab w:val="left" w:pos="1080"/>
                <w:tab w:val="left" w:pos="1260"/>
                <w:tab w:val="left" w:pos="1440"/>
              </w:tabs>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w:t>
            </w:r>
          </w:p>
        </w:tc>
        <w:tc>
          <w:tcPr>
            <w:tcW w:w="1047" w:type="pct"/>
            <w:tcBorders>
              <w:tl2br w:val="nil"/>
              <w:tr2bl w:val="nil"/>
            </w:tcBorders>
            <w:vAlign w:val="center"/>
          </w:tcPr>
          <w:p w14:paraId="24234DFC">
            <w:pPr>
              <w:pStyle w:val="347"/>
              <w:tabs>
                <w:tab w:val="left" w:pos="540"/>
                <w:tab w:val="left" w:pos="1080"/>
                <w:tab w:val="left" w:pos="1260"/>
                <w:tab w:val="left" w:pos="1440"/>
              </w:tabs>
              <w:rPr>
                <w:color w:val="000000" w:themeColor="text1"/>
                <w:sz w:val="20"/>
                <w14:textFill>
                  <w14:solidFill>
                    <w14:schemeClr w14:val="tx1"/>
                  </w14:solidFill>
                </w14:textFill>
              </w:rPr>
            </w:pPr>
            <w:r>
              <w:rPr>
                <w:color w:val="000000" w:themeColor="text1"/>
                <w14:textFill>
                  <w14:solidFill>
                    <w14:schemeClr w14:val="tx1"/>
                  </w14:solidFill>
                </w14:textFill>
              </w:rPr>
              <w:drawing>
                <wp:inline distT="0" distB="0" distL="114300" distR="114300">
                  <wp:extent cx="820420" cy="837565"/>
                  <wp:effectExtent l="0" t="0" r="17780" b="635"/>
                  <wp:docPr id="10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6"/>
                          <pic:cNvPicPr>
                            <a:picLocks noChangeAspect="1"/>
                          </pic:cNvPicPr>
                        </pic:nvPicPr>
                        <pic:blipFill>
                          <a:blip r:embed="rId127"/>
                          <a:stretch>
                            <a:fillRect/>
                          </a:stretch>
                        </pic:blipFill>
                        <pic:spPr>
                          <a:xfrm>
                            <a:off x="0" y="0"/>
                            <a:ext cx="820420" cy="837565"/>
                          </a:xfrm>
                          <a:prstGeom prst="rect">
                            <a:avLst/>
                          </a:prstGeom>
                          <a:noFill/>
                          <a:ln>
                            <a:noFill/>
                          </a:ln>
                        </pic:spPr>
                      </pic:pic>
                    </a:graphicData>
                  </a:graphic>
                </wp:inline>
              </w:drawing>
            </w:r>
          </w:p>
        </w:tc>
        <w:tc>
          <w:tcPr>
            <w:tcW w:w="789" w:type="pct"/>
            <w:tcBorders>
              <w:tl2br w:val="nil"/>
              <w:tr2bl w:val="nil"/>
            </w:tcBorders>
            <w:vAlign w:val="center"/>
          </w:tcPr>
          <w:p w14:paraId="79738680">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危险废物</w:t>
            </w:r>
          </w:p>
        </w:tc>
        <w:tc>
          <w:tcPr>
            <w:tcW w:w="1662" w:type="pct"/>
            <w:tcBorders>
              <w:tl2br w:val="nil"/>
              <w:tr2bl w:val="nil"/>
            </w:tcBorders>
            <w:vAlign w:val="center"/>
          </w:tcPr>
          <w:p w14:paraId="5FFBD80E">
            <w:pPr>
              <w:pStyle w:val="347"/>
              <w:tabs>
                <w:tab w:val="left" w:pos="540"/>
                <w:tab w:val="left" w:pos="1080"/>
                <w:tab w:val="left" w:pos="1260"/>
                <w:tab w:val="left" w:pos="1440"/>
              </w:tabs>
              <w:rPr>
                <w:color w:val="000000" w:themeColor="text1"/>
                <w14:textFill>
                  <w14:solidFill>
                    <w14:schemeClr w14:val="tx1"/>
                  </w14:solidFill>
                </w14:textFill>
              </w:rPr>
            </w:pPr>
            <w:r>
              <w:rPr>
                <w:color w:val="000000" w:themeColor="text1"/>
                <w14:textFill>
                  <w14:solidFill>
                    <w14:schemeClr w14:val="tx1"/>
                  </w14:solidFill>
                </w14:textFill>
              </w:rPr>
              <w:t>表示危险废物贮存、处置场</w:t>
            </w:r>
          </w:p>
        </w:tc>
      </w:tr>
    </w:tbl>
    <w:p w14:paraId="1DC6F4DB">
      <w:pPr>
        <w:adjustRightInd w:val="0"/>
        <w:snapToGrid w:val="0"/>
        <w:jc w:val="center"/>
        <w:rPr>
          <w:color w:val="000000" w:themeColor="text1"/>
          <w:szCs w:val="28"/>
          <w14:textFill>
            <w14:solidFill>
              <w14:schemeClr w14:val="tx1"/>
            </w14:solidFill>
          </w14:textFill>
        </w:rPr>
      </w:pPr>
    </w:p>
    <w:p w14:paraId="74AC286F">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（1）污染物排放口的环保图形标志牌应设置在排污口（采样点）附近且醒目处，高度为标志牌上缘离地面约2m。</w:t>
      </w:r>
    </w:p>
    <w:p w14:paraId="0B9810FB">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（2）排污口附近1m范围内有建筑物的，设平面式标志牌，无建筑物的设立式标志牌。一般排污单位的污染物排放口，可根据情况设置立式或平面固定式标志牌。</w:t>
      </w:r>
    </w:p>
    <w:p w14:paraId="63D01AF7">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3）规范化排污口的有关设置（如图形标志牌、计量装置、监控装置等）属于环保设施，排污单位必须负责日常的维护保养，任何单位和个人不得擅自拆除，如需要变更的需报环境监管部门同意并办理相关变更手续。</w:t>
      </w:r>
    </w:p>
    <w:p w14:paraId="41A74EE5">
      <w:pPr>
        <w:adjustRightInd w:val="0"/>
        <w:snapToGrid w:val="0"/>
        <w:spacing w:line="360" w:lineRule="auto"/>
        <w:ind w:firstLine="482" w:firstLineChars="200"/>
        <w:jc w:val="both"/>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4、排污口规范化管理</w:t>
      </w:r>
    </w:p>
    <w:p w14:paraId="4A8A86E0">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排污口是企业排放污染物进入环境的通道，强化排污口的管理是实施污染物总量控制的基础工作之一，也是区域环境管理逐步实现污染物排放科学化、定量化的重要手段。</w:t>
      </w:r>
    </w:p>
    <w:p w14:paraId="3F65177E">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（1）排污口规范化管理的基本原则 </w:t>
      </w:r>
    </w:p>
    <w:p w14:paraId="244307A1">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向环境排放污染物的排污口必须规范化。</w:t>
      </w:r>
    </w:p>
    <w:p w14:paraId="3A887093">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排污口应便于采样与计量监测，便于日常现场监督检查。</w:t>
      </w:r>
    </w:p>
    <w:p w14:paraId="1F537D03">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（2）排污口建档管理 </w:t>
      </w:r>
    </w:p>
    <w:p w14:paraId="60EFAC1D">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①</w:t>
      </w:r>
      <w:r>
        <w:rPr>
          <w:color w:val="000000" w:themeColor="text1"/>
          <w:sz w:val="24"/>
          <w14:textFill>
            <w14:solidFill>
              <w14:schemeClr w14:val="tx1"/>
            </w14:solidFill>
          </w14:textFill>
        </w:rPr>
        <w:t xml:space="preserve">要求使用国家环保局统一印刷的《中华人民共和国规范化排污口标志登记 证》，并按要求填写有关内容。 </w:t>
      </w:r>
    </w:p>
    <w:p w14:paraId="65AAAE13">
      <w:pPr>
        <w:adjustRightInd w:val="0"/>
        <w:snapToGrid w:val="0"/>
        <w:spacing w:line="360" w:lineRule="auto"/>
        <w:ind w:firstLine="480" w:firstLineChars="200"/>
        <w:jc w:val="both"/>
        <w:rPr>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w:t>
      </w:r>
      <w:r>
        <w:rPr>
          <w:color w:val="000000" w:themeColor="text1"/>
          <w:sz w:val="24"/>
          <w14:textFill>
            <w14:solidFill>
              <w14:schemeClr w14:val="tx1"/>
            </w14:solidFill>
          </w14:textFill>
        </w:rPr>
        <w:t>根据排污口管理档案内容要求，项目建成后，应将主要污染物种类、数量、浓度、排放去向、达标情况及设施运行情况记录于档案。</w:t>
      </w:r>
    </w:p>
    <w:p w14:paraId="5FE4EB10">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16" w:name="_Toc21045"/>
      <w:bookmarkStart w:id="1117" w:name="_Toc233380298"/>
      <w:r>
        <w:rPr>
          <w:rFonts w:ascii="Times New Roman" w:hAnsi="Times New Roman" w:eastAsia="宋体"/>
          <w:color w:val="000000" w:themeColor="text1"/>
          <w:sz w:val="30"/>
          <w:szCs w:val="30"/>
          <w14:textFill>
            <w14:solidFill>
              <w14:schemeClr w14:val="tx1"/>
            </w14:solidFill>
          </w14:textFill>
        </w:rPr>
        <w:t>9.5排污许可要求</w:t>
      </w:r>
      <w:bookmarkEnd w:id="1116"/>
      <w:bookmarkEnd w:id="1117"/>
    </w:p>
    <w:p w14:paraId="6C1AAEAF">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根据《排污许可管理办法》（2024年4月1日生态环境部令第32号公布，自2024年7月1日起施行）和环境保护部办公厅《关于做好环境影响评价制度与排污许可制衔接相关工作的通知》（环办环评【2017】84号）的要求，建设单位应在投入生产或使用并产生实际排污行为之前，依法按照《固定污染源排污许可分类管理名录（2019年版）》（生态环境部令第 11号）和《排污许可证申请与核发技术规范 畜禽养殖行业》（HJ1029-2019）规定，申</w:t>
      </w:r>
      <w:bookmarkStart w:id="1118" w:name="bookmark296"/>
      <w:bookmarkEnd w:id="1118"/>
      <w:r>
        <w:rPr>
          <w:color w:val="000000" w:themeColor="text1"/>
          <w:sz w:val="24"/>
          <w14:textFill>
            <w14:solidFill>
              <w14:schemeClr w14:val="tx1"/>
            </w14:solidFill>
          </w14:textFill>
        </w:rPr>
        <w:t>请领取排污许可证。</w:t>
      </w:r>
    </w:p>
    <w:p w14:paraId="56AC62AA">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19" w:name="_Toc233380299"/>
      <w:bookmarkStart w:id="1120" w:name="_Toc29128"/>
      <w:r>
        <w:rPr>
          <w:rFonts w:ascii="Times New Roman" w:hAnsi="Times New Roman" w:eastAsia="宋体"/>
          <w:color w:val="000000" w:themeColor="text1"/>
          <w:sz w:val="30"/>
          <w:szCs w:val="30"/>
          <w14:textFill>
            <w14:solidFill>
              <w14:schemeClr w14:val="tx1"/>
            </w14:solidFill>
          </w14:textFill>
        </w:rPr>
        <w:t>9.6</w:t>
      </w:r>
      <w:bookmarkStart w:id="1121" w:name="_Toc29221898"/>
      <w:bookmarkStart w:id="1122" w:name="_Toc29807"/>
      <w:r>
        <w:rPr>
          <w:rFonts w:ascii="Times New Roman" w:hAnsi="Times New Roman" w:eastAsia="宋体"/>
          <w:color w:val="000000" w:themeColor="text1"/>
          <w:sz w:val="30"/>
          <w:szCs w:val="30"/>
          <w14:textFill>
            <w14:solidFill>
              <w14:schemeClr w14:val="tx1"/>
            </w14:solidFill>
          </w14:textFill>
        </w:rPr>
        <w:t>竣工环境保护验收</w:t>
      </w:r>
      <w:bookmarkEnd w:id="1119"/>
      <w:bookmarkEnd w:id="1120"/>
      <w:bookmarkEnd w:id="1121"/>
      <w:bookmarkEnd w:id="1122"/>
    </w:p>
    <w:p w14:paraId="2E51ED99">
      <w:pPr>
        <w:adjustRightInd w:val="0"/>
        <w:snapToGrid w:val="0"/>
        <w:spacing w:line="360" w:lineRule="auto"/>
        <w:ind w:firstLine="480" w:firstLineChars="200"/>
        <w:jc w:val="both"/>
        <w:rPr>
          <w:snapToGrid w:val="0"/>
          <w:color w:val="000000" w:themeColor="text1"/>
          <w:sz w:val="24"/>
          <w14:textFill>
            <w14:solidFill>
              <w14:schemeClr w14:val="tx1"/>
            </w14:solidFill>
          </w14:textFill>
        </w:rPr>
      </w:pPr>
      <w:r>
        <w:rPr>
          <w:snapToGrid w:val="0"/>
          <w:color w:val="000000" w:themeColor="text1"/>
          <w:sz w:val="24"/>
          <w14:textFill>
            <w14:solidFill>
              <w14:schemeClr w14:val="tx1"/>
            </w14:solidFill>
          </w14:textFill>
        </w:rPr>
        <w:t>根据《建设项目竣工环境保护验收暂行办法》规定：建设项目竣工后，建设单位应当如实查验、监测、记载建设项目环境保护设施的建设和调试情况，编制验收监测（调查）报告。验收监测（调查）报告编制完成后，建设单位应当根据验收监测（调查）报告结论，逐一检查是否存在本办法第八条所列验收不合格的情形，提出验收意见。存在问题的，建设单位应当进行整改，整改完成后方可提出验收意见。验收意见包括工程建设基本情况、工程变动情况、环境保护设施落实情况、环境保护设施调试效果、工程建设对环境的影响、验收结论和后续要求等内容，验收结论应当明确该建设项目环境保护设施是否验收合格。建设项目配套建设的环境保护设施经验收合格后，其主体工程方可投入生产或者使用；未经验收或者验收不合格的，不得投入生产或者使用。</w:t>
      </w:r>
    </w:p>
    <w:p w14:paraId="1814D842">
      <w:pPr>
        <w:adjustRightInd w:val="0"/>
        <w:snapToGrid w:val="0"/>
        <w:spacing w:line="360" w:lineRule="auto"/>
        <w:ind w:firstLine="480" w:firstLineChars="200"/>
        <w:jc w:val="both"/>
        <w:rPr>
          <w:snapToGrid w:val="0"/>
          <w:color w:val="000000" w:themeColor="text1"/>
          <w:sz w:val="24"/>
          <w14:textFill>
            <w14:solidFill>
              <w14:schemeClr w14:val="tx1"/>
            </w14:solidFill>
          </w14:textFill>
        </w:rPr>
      </w:pPr>
      <w:r>
        <w:rPr>
          <w:snapToGrid w:val="0"/>
          <w:color w:val="000000" w:themeColor="text1"/>
          <w:sz w:val="24"/>
          <w14:textFill>
            <w14:solidFill>
              <w14:schemeClr w14:val="tx1"/>
            </w14:solidFill>
          </w14:textFill>
        </w:rPr>
        <w:t>本项目竣工环境保护验收一览表见表9.6-1</w:t>
      </w:r>
    </w:p>
    <w:p w14:paraId="72B90F00">
      <w:pPr>
        <w:adjustRightInd w:val="0"/>
        <w:snapToGrid w:val="0"/>
        <w:spacing w:line="360" w:lineRule="auto"/>
        <w:ind w:firstLine="422" w:firstLineChars="200"/>
        <w:jc w:val="center"/>
        <w:rPr>
          <w:b/>
          <w:bCs/>
          <w:snapToGrid w:val="0"/>
          <w:color w:val="000000" w:themeColor="text1"/>
          <w:szCs w:val="21"/>
          <w14:textFill>
            <w14:solidFill>
              <w14:schemeClr w14:val="tx1"/>
            </w14:solidFill>
          </w14:textFill>
        </w:rPr>
      </w:pPr>
      <w:r>
        <w:rPr>
          <w:b/>
          <w:bCs/>
          <w:snapToGrid w:val="0"/>
          <w:color w:val="000000" w:themeColor="text1"/>
          <w:szCs w:val="21"/>
          <w14:textFill>
            <w14:solidFill>
              <w14:schemeClr w14:val="tx1"/>
            </w14:solidFill>
          </w14:textFill>
        </w:rPr>
        <w:t>表9.6-1 项目“三同时”竣工验收一览表</w:t>
      </w:r>
    </w:p>
    <w:tbl>
      <w:tblPr>
        <w:tblStyle w:val="1745"/>
        <w:tblW w:w="8788" w:type="dxa"/>
        <w:tblInd w:w="0"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692"/>
        <w:gridCol w:w="1023"/>
        <w:gridCol w:w="1218"/>
        <w:gridCol w:w="3157"/>
        <w:gridCol w:w="2156"/>
        <w:gridCol w:w="542"/>
      </w:tblGrid>
      <w:tr w14:paraId="6A85306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tcBorders>
              <w:tl2br w:val="nil"/>
              <w:tr2bl w:val="nil"/>
            </w:tcBorders>
            <w:vAlign w:val="center"/>
          </w:tcPr>
          <w:p w14:paraId="40816797">
            <w:pPr>
              <w:widowControl/>
              <w:autoSpaceDE/>
              <w:autoSpaceDN/>
              <w:jc w:val="center"/>
              <w:rPr>
                <w:rFonts w:ascii="Times New Roman" w:hAnsi="Times New Roman" w:eastAsia="宋体"/>
                <w:b/>
                <w:bCs/>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4"/>
                <w:szCs w:val="21"/>
                <w:lang w:eastAsia="en-US"/>
                <w14:textFill>
                  <w14:solidFill>
                    <w14:schemeClr w14:val="tx1"/>
                  </w14:solidFill>
                </w14:textFill>
              </w:rPr>
              <w:t>类型</w:t>
            </w:r>
          </w:p>
        </w:tc>
        <w:tc>
          <w:tcPr>
            <w:tcW w:w="1023" w:type="dxa"/>
            <w:tcBorders>
              <w:tl2br w:val="nil"/>
              <w:tr2bl w:val="nil"/>
            </w:tcBorders>
            <w:vAlign w:val="center"/>
          </w:tcPr>
          <w:p w14:paraId="3F6FD79C">
            <w:pPr>
              <w:widowControl/>
              <w:autoSpaceDE/>
              <w:autoSpaceDN/>
              <w:jc w:val="center"/>
              <w:rPr>
                <w:rFonts w:ascii="Times New Roman" w:hAnsi="Times New Roman" w:eastAsia="宋体"/>
                <w:b/>
                <w:bCs/>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6"/>
                <w:szCs w:val="21"/>
                <w:lang w:eastAsia="en-US"/>
                <w14:textFill>
                  <w14:solidFill>
                    <w14:schemeClr w14:val="tx1"/>
                  </w14:solidFill>
                </w14:textFill>
              </w:rPr>
              <w:t>污染源</w:t>
            </w:r>
          </w:p>
        </w:tc>
        <w:tc>
          <w:tcPr>
            <w:tcW w:w="1218" w:type="dxa"/>
            <w:tcBorders>
              <w:tl2br w:val="nil"/>
              <w:tr2bl w:val="nil"/>
            </w:tcBorders>
            <w:vAlign w:val="center"/>
          </w:tcPr>
          <w:p w14:paraId="40AF47A6">
            <w:pPr>
              <w:widowControl/>
              <w:autoSpaceDE/>
              <w:autoSpaceDN/>
              <w:jc w:val="center"/>
              <w:rPr>
                <w:rFonts w:ascii="Times New Roman" w:hAnsi="Times New Roman" w:eastAsia="宋体"/>
                <w:b/>
                <w:bCs/>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6"/>
                <w:szCs w:val="21"/>
                <w:lang w:eastAsia="en-US"/>
                <w14:textFill>
                  <w14:solidFill>
                    <w14:schemeClr w14:val="tx1"/>
                  </w14:solidFill>
                </w14:textFill>
              </w:rPr>
              <w:t>污染物</w:t>
            </w:r>
          </w:p>
        </w:tc>
        <w:tc>
          <w:tcPr>
            <w:tcW w:w="3157" w:type="dxa"/>
            <w:tcBorders>
              <w:tl2br w:val="nil"/>
              <w:tr2bl w:val="nil"/>
            </w:tcBorders>
            <w:vAlign w:val="center"/>
          </w:tcPr>
          <w:p w14:paraId="1F5C8C30">
            <w:pPr>
              <w:widowControl/>
              <w:autoSpaceDE/>
              <w:autoSpaceDN/>
              <w:jc w:val="center"/>
              <w:rPr>
                <w:rFonts w:ascii="Times New Roman" w:hAnsi="Times New Roman" w:eastAsia="宋体"/>
                <w:b/>
                <w:bCs/>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7"/>
                <w:szCs w:val="21"/>
                <w:lang w:eastAsia="en-US"/>
                <w14:textFill>
                  <w14:solidFill>
                    <w14:schemeClr w14:val="tx1"/>
                  </w14:solidFill>
                </w14:textFill>
              </w:rPr>
              <w:t>验收内容</w:t>
            </w:r>
          </w:p>
        </w:tc>
        <w:tc>
          <w:tcPr>
            <w:tcW w:w="2156" w:type="dxa"/>
            <w:tcBorders>
              <w:tl2br w:val="nil"/>
              <w:tr2bl w:val="nil"/>
            </w:tcBorders>
            <w:vAlign w:val="center"/>
          </w:tcPr>
          <w:p w14:paraId="3C7AE1F5">
            <w:pPr>
              <w:widowControl/>
              <w:autoSpaceDE/>
              <w:autoSpaceDN/>
              <w:jc w:val="center"/>
              <w:rPr>
                <w:rFonts w:ascii="Times New Roman" w:hAnsi="Times New Roman" w:eastAsia="宋体"/>
                <w:b/>
                <w:bCs/>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7"/>
                <w:szCs w:val="21"/>
                <w:lang w:eastAsia="en-US"/>
                <w14:textFill>
                  <w14:solidFill>
                    <w14:schemeClr w14:val="tx1"/>
                  </w14:solidFill>
                </w14:textFill>
              </w:rPr>
              <w:t>执行标准</w:t>
            </w:r>
          </w:p>
        </w:tc>
        <w:tc>
          <w:tcPr>
            <w:tcW w:w="542" w:type="dxa"/>
            <w:tcBorders>
              <w:tl2br w:val="nil"/>
              <w:tr2bl w:val="nil"/>
            </w:tcBorders>
            <w:vAlign w:val="center"/>
          </w:tcPr>
          <w:p w14:paraId="513B49A5">
            <w:pPr>
              <w:widowControl/>
              <w:autoSpaceDE/>
              <w:autoSpaceDN/>
              <w:jc w:val="center"/>
              <w:rPr>
                <w:rFonts w:ascii="Times New Roman" w:hAnsi="Times New Roman" w:eastAsia="宋体"/>
                <w:b/>
                <w:bCs/>
                <w:color w:val="000000" w:themeColor="text1"/>
                <w:szCs w:val="21"/>
                <w:lang w:eastAsia="en-US"/>
                <w14:textFill>
                  <w14:solidFill>
                    <w14:schemeClr w14:val="tx1"/>
                  </w14:solidFill>
                </w14:textFill>
              </w:rPr>
            </w:pPr>
            <w:r>
              <w:rPr>
                <w:rFonts w:ascii="Times New Roman" w:hAnsi="Times New Roman" w:eastAsia="宋体"/>
                <w:b/>
                <w:bCs/>
                <w:color w:val="000000" w:themeColor="text1"/>
                <w:spacing w:val="5"/>
                <w:szCs w:val="21"/>
                <w:lang w:eastAsia="en-US"/>
                <w14:textFill>
                  <w14:solidFill>
                    <w14:schemeClr w14:val="tx1"/>
                  </w14:solidFill>
                </w14:textFill>
              </w:rPr>
              <w:t>验收</w:t>
            </w:r>
            <w:r>
              <w:rPr>
                <w:rFonts w:ascii="Times New Roman" w:hAnsi="Times New Roman" w:eastAsia="宋体"/>
                <w:b/>
                <w:bCs/>
                <w:color w:val="000000" w:themeColor="text1"/>
                <w:spacing w:val="4"/>
                <w:szCs w:val="21"/>
                <w:lang w:eastAsia="en-US"/>
                <w14:textFill>
                  <w14:solidFill>
                    <w14:schemeClr w14:val="tx1"/>
                  </w14:solidFill>
                </w14:textFill>
              </w:rPr>
              <w:t>要求</w:t>
            </w:r>
          </w:p>
        </w:tc>
      </w:tr>
      <w:tr w14:paraId="71CAB49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restart"/>
            <w:tcBorders>
              <w:tl2br w:val="nil"/>
              <w:tr2bl w:val="nil"/>
            </w:tcBorders>
            <w:vAlign w:val="center"/>
          </w:tcPr>
          <w:p w14:paraId="129DF99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废气</w:t>
            </w:r>
          </w:p>
        </w:tc>
        <w:tc>
          <w:tcPr>
            <w:tcW w:w="1023" w:type="dxa"/>
            <w:tcBorders>
              <w:tl2br w:val="nil"/>
              <w:tr2bl w:val="nil"/>
            </w:tcBorders>
            <w:vAlign w:val="center"/>
          </w:tcPr>
          <w:p w14:paraId="517CF57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圈舍</w:t>
            </w:r>
          </w:p>
        </w:tc>
        <w:tc>
          <w:tcPr>
            <w:tcW w:w="1218" w:type="dxa"/>
            <w:tcBorders>
              <w:tl2br w:val="nil"/>
              <w:tr2bl w:val="nil"/>
            </w:tcBorders>
            <w:vAlign w:val="center"/>
          </w:tcPr>
          <w:p w14:paraId="41E1A76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NH</w:t>
            </w:r>
            <w:r>
              <w:rPr>
                <w:rFonts w:ascii="Times New Roman" w:hAnsi="Times New Roman" w:eastAsia="宋体"/>
                <w:color w:val="000000" w:themeColor="text1"/>
                <w:spacing w:val="-3"/>
                <w:position w:val="-1"/>
                <w:szCs w:val="21"/>
                <w:vertAlign w:val="subscript"/>
                <w:lang w:eastAsia="en-US"/>
                <w14:textFill>
                  <w14:solidFill>
                    <w14:schemeClr w14:val="tx1"/>
                  </w14:solidFill>
                </w14:textFill>
              </w:rPr>
              <w:t>3</w:t>
            </w:r>
            <w:r>
              <w:rPr>
                <w:rFonts w:ascii="Times New Roman" w:hAnsi="Times New Roman" w:eastAsia="宋体"/>
                <w:color w:val="000000" w:themeColor="text1"/>
                <w:spacing w:val="-3"/>
                <w:szCs w:val="21"/>
                <w:lang w:eastAsia="en-US"/>
                <w14:textFill>
                  <w14:solidFill>
                    <w14:schemeClr w14:val="tx1"/>
                  </w14:solidFill>
                </w14:textFill>
              </w:rPr>
              <w:t>、</w:t>
            </w:r>
            <w:r>
              <w:rPr>
                <w:rFonts w:ascii="Times New Roman" w:hAnsi="Times New Roman" w:eastAsia="宋体"/>
                <w:color w:val="000000" w:themeColor="text1"/>
                <w:spacing w:val="30"/>
                <w:szCs w:val="21"/>
                <w:lang w:eastAsia="en-US"/>
                <w14:textFill>
                  <w14:solidFill>
                    <w14:schemeClr w14:val="tx1"/>
                  </w14:solidFill>
                </w14:textFill>
              </w:rPr>
              <w:t>H</w:t>
            </w:r>
            <w:r>
              <w:rPr>
                <w:rFonts w:ascii="Times New Roman" w:hAnsi="Times New Roman" w:eastAsia="宋体"/>
                <w:color w:val="000000" w:themeColor="text1"/>
                <w:spacing w:val="30"/>
                <w:position w:val="-1"/>
                <w:szCs w:val="21"/>
                <w:vertAlign w:val="subscript"/>
                <w:lang w:eastAsia="en-US"/>
                <w14:textFill>
                  <w14:solidFill>
                    <w14:schemeClr w14:val="tx1"/>
                  </w14:solidFill>
                </w14:textFill>
              </w:rPr>
              <w:t>2</w:t>
            </w:r>
            <w:r>
              <w:rPr>
                <w:rFonts w:ascii="Times New Roman" w:hAnsi="Times New Roman" w:eastAsia="宋体"/>
                <w:color w:val="000000" w:themeColor="text1"/>
                <w:spacing w:val="30"/>
                <w:szCs w:val="21"/>
                <w:lang w:eastAsia="en-US"/>
                <w14:textFill>
                  <w14:solidFill>
                    <w14:schemeClr w14:val="tx1"/>
                  </w14:solidFill>
                </w14:textFill>
              </w:rPr>
              <w:t>S、臭气浓度</w:t>
            </w:r>
          </w:p>
        </w:tc>
        <w:tc>
          <w:tcPr>
            <w:tcW w:w="3157" w:type="dxa"/>
            <w:tcBorders>
              <w:tl2br w:val="nil"/>
              <w:tr2bl w:val="nil"/>
            </w:tcBorders>
            <w:vAlign w:val="center"/>
          </w:tcPr>
          <w:p w14:paraId="08DF0337">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eastAsia="宋体"/>
                <w:color w:val="000000" w:themeColor="text1"/>
                <w:szCs w:val="21"/>
                <w:lang w:eastAsia="zh-CN"/>
                <w14:textFill>
                  <w14:solidFill>
                    <w14:schemeClr w14:val="tx1"/>
                  </w14:solidFill>
                </w14:textFill>
              </w:rPr>
              <w:t>采用场床一体化养殖模式</w:t>
            </w:r>
            <w:r>
              <w:rPr>
                <w:rFonts w:ascii="Times New Roman" w:hAnsi="Times New Roman" w:eastAsia="宋体"/>
                <w:color w:val="000000" w:themeColor="text1"/>
                <w:szCs w:val="21"/>
                <w:lang w:eastAsia="zh-CN"/>
                <w14:textFill>
                  <w14:solidFill>
                    <w14:schemeClr w14:val="tx1"/>
                  </w14:solidFill>
                </w14:textFill>
              </w:rPr>
              <w:t>；</w:t>
            </w:r>
            <w:r>
              <w:rPr>
                <w:rFonts w:hint="eastAsia" w:ascii="Times New Roman" w:hAnsi="Times New Roman" w:eastAsia="宋体"/>
                <w:color w:val="000000" w:themeColor="text1"/>
                <w:szCs w:val="21"/>
                <w:lang w:eastAsia="zh-CN"/>
                <w14:textFill>
                  <w14:solidFill>
                    <w14:schemeClr w14:val="tx1"/>
                  </w14:solidFill>
                </w14:textFill>
              </w:rPr>
              <w:t>牛舍</w:t>
            </w:r>
            <w:r>
              <w:rPr>
                <w:rFonts w:ascii="Times New Roman" w:hAnsi="Times New Roman" w:eastAsia="宋体"/>
                <w:color w:val="000000" w:themeColor="text1"/>
                <w:szCs w:val="21"/>
                <w:lang w:eastAsia="zh-CN"/>
                <w14:textFill>
                  <w14:solidFill>
                    <w14:schemeClr w14:val="tx1"/>
                  </w14:solidFill>
                </w14:textFill>
              </w:rPr>
              <w:t>周边定期喷洒生物除臭剂。加强项目场区及四周绿化。</w:t>
            </w:r>
          </w:p>
        </w:tc>
        <w:tc>
          <w:tcPr>
            <w:tcW w:w="2156" w:type="dxa"/>
            <w:tcBorders>
              <w:tl2br w:val="nil"/>
              <w:tr2bl w:val="nil"/>
            </w:tcBorders>
            <w:vAlign w:val="center"/>
          </w:tcPr>
          <w:p w14:paraId="6E8B19B0">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《恶臭污染物排放标</w:t>
            </w:r>
            <w:r>
              <w:rPr>
                <w:rFonts w:ascii="Times New Roman" w:hAnsi="Times New Roman" w:eastAsia="宋体"/>
                <w:color w:val="000000" w:themeColor="text1"/>
                <w:spacing w:val="2"/>
                <w:szCs w:val="21"/>
                <w:lang w:eastAsia="zh-CN"/>
                <w14:textFill>
                  <w14:solidFill>
                    <w14:schemeClr w14:val="tx1"/>
                  </w14:solidFill>
                </w14:textFill>
              </w:rPr>
              <w:t xml:space="preserve"> </w:t>
            </w:r>
            <w:r>
              <w:rPr>
                <w:rFonts w:ascii="Times New Roman" w:hAnsi="Times New Roman" w:eastAsia="宋体"/>
                <w:color w:val="000000" w:themeColor="text1"/>
                <w:spacing w:val="5"/>
                <w:szCs w:val="21"/>
                <w:lang w:eastAsia="zh-CN"/>
                <w14:textFill>
                  <w14:solidFill>
                    <w14:schemeClr w14:val="tx1"/>
                  </w14:solidFill>
                </w14:textFill>
              </w:rPr>
              <w:t>准》（</w:t>
            </w:r>
            <w:r>
              <w:rPr>
                <w:rFonts w:ascii="Times New Roman" w:hAnsi="Times New Roman" w:eastAsia="宋体"/>
                <w:color w:val="000000" w:themeColor="text1"/>
                <w:szCs w:val="21"/>
                <w:lang w:eastAsia="zh-CN"/>
                <w14:textFill>
                  <w14:solidFill>
                    <w14:schemeClr w14:val="tx1"/>
                  </w14:solidFill>
                </w14:textFill>
              </w:rPr>
              <w:t>GB</w:t>
            </w:r>
            <w:r>
              <w:rPr>
                <w:rFonts w:ascii="Times New Roman" w:hAnsi="Times New Roman" w:eastAsia="宋体"/>
                <w:color w:val="000000" w:themeColor="text1"/>
                <w:spacing w:val="5"/>
                <w:szCs w:val="21"/>
                <w:lang w:eastAsia="zh-CN"/>
                <w14:textFill>
                  <w14:solidFill>
                    <w14:schemeClr w14:val="tx1"/>
                  </w14:solidFill>
                </w14:textFill>
              </w:rPr>
              <w:t>14554-93）、</w:t>
            </w:r>
            <w:r>
              <w:rPr>
                <w:rFonts w:ascii="Times New Roman" w:hAnsi="Times New Roman" w:eastAsia="宋体"/>
                <w:color w:val="000000" w:themeColor="text1"/>
                <w:spacing w:val="3"/>
                <w:szCs w:val="21"/>
                <w:lang w:eastAsia="zh-CN"/>
                <w14:textFill>
                  <w14:solidFill>
                    <w14:schemeClr w14:val="tx1"/>
                  </w14:solidFill>
                </w14:textFill>
              </w:rPr>
              <w:t>臭气浓度执行《畜禽养殖业污染物排放标准》（GB18596-2001）</w:t>
            </w:r>
          </w:p>
        </w:tc>
        <w:tc>
          <w:tcPr>
            <w:tcW w:w="542" w:type="dxa"/>
            <w:vMerge w:val="restart"/>
            <w:tcBorders>
              <w:tl2br w:val="nil"/>
              <w:tr2bl w:val="nil"/>
            </w:tcBorders>
            <w:vAlign w:val="center"/>
          </w:tcPr>
          <w:p w14:paraId="6965646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达标</w:t>
            </w:r>
            <w:r>
              <w:rPr>
                <w:rFonts w:ascii="Times New Roman" w:hAnsi="Times New Roman" w:eastAsia="宋体"/>
                <w:color w:val="000000" w:themeColor="text1"/>
                <w:spacing w:val="4"/>
                <w:szCs w:val="21"/>
                <w:lang w:eastAsia="en-US"/>
                <w14:textFill>
                  <w14:solidFill>
                    <w14:schemeClr w14:val="tx1"/>
                  </w14:solidFill>
                </w14:textFill>
              </w:rPr>
              <w:t>排放</w:t>
            </w:r>
          </w:p>
        </w:tc>
      </w:tr>
      <w:tr w14:paraId="098F5EC2">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continue"/>
            <w:tcBorders>
              <w:tl2br w:val="nil"/>
              <w:tr2bl w:val="nil"/>
            </w:tcBorders>
            <w:vAlign w:val="center"/>
          </w:tcPr>
          <w:p w14:paraId="059C30B8">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023" w:type="dxa"/>
            <w:tcBorders>
              <w:tl2br w:val="nil"/>
              <w:tr2bl w:val="nil"/>
            </w:tcBorders>
            <w:vAlign w:val="center"/>
          </w:tcPr>
          <w:p w14:paraId="5405BF16">
            <w:pPr>
              <w:widowControl/>
              <w:autoSpaceDE/>
              <w:autoSpaceDN/>
              <w:jc w:val="center"/>
              <w:rPr>
                <w:rFonts w:ascii="Times New Roman" w:hAnsi="Times New Roman" w:eastAsia="宋体"/>
                <w:color w:val="000000" w:themeColor="text1"/>
                <w:kern w:val="0"/>
                <w:szCs w:val="21"/>
                <w:lang w:eastAsia="en-US"/>
                <w14:textFill>
                  <w14:solidFill>
                    <w14:schemeClr w14:val="tx1"/>
                  </w14:solidFill>
                </w14:textFill>
              </w:rPr>
            </w:pPr>
            <w:r>
              <w:rPr>
                <w:rFonts w:ascii="Times New Roman" w:hAnsi="Times New Roman" w:eastAsia="宋体"/>
                <w:bCs/>
                <w:color w:val="000000" w:themeColor="text1"/>
                <w:szCs w:val="21"/>
                <w:lang w:eastAsia="en-US"/>
                <w14:textFill>
                  <w14:solidFill>
                    <w14:schemeClr w14:val="tx1"/>
                  </w14:solidFill>
                </w14:textFill>
              </w:rPr>
              <w:t>饲料加工粉尘</w:t>
            </w:r>
          </w:p>
        </w:tc>
        <w:tc>
          <w:tcPr>
            <w:tcW w:w="1218" w:type="dxa"/>
            <w:tcBorders>
              <w:tl2br w:val="nil"/>
              <w:tr2bl w:val="nil"/>
            </w:tcBorders>
            <w:vAlign w:val="center"/>
          </w:tcPr>
          <w:p w14:paraId="7B808A54">
            <w:pPr>
              <w:widowControl/>
              <w:autoSpaceDE/>
              <w:autoSpaceDN/>
              <w:jc w:val="center"/>
              <w:rPr>
                <w:rFonts w:ascii="Times New Roman" w:hAnsi="Times New Roman" w:eastAsia="宋体"/>
                <w:color w:val="000000" w:themeColor="text1"/>
                <w:spacing w:val="-3"/>
                <w:szCs w:val="21"/>
                <w:lang w:eastAsia="en-US"/>
                <w14:textFill>
                  <w14:solidFill>
                    <w14:schemeClr w14:val="tx1"/>
                  </w14:solidFill>
                </w14:textFill>
              </w:rPr>
            </w:pPr>
            <w:r>
              <w:rPr>
                <w:rFonts w:ascii="Times New Roman" w:hAnsi="Times New Roman" w:eastAsia="宋体"/>
                <w:color w:val="000000" w:themeColor="text1"/>
                <w:spacing w:val="30"/>
                <w:szCs w:val="21"/>
                <w:lang w:eastAsia="en-US"/>
                <w14:textFill>
                  <w14:solidFill>
                    <w14:schemeClr w14:val="tx1"/>
                  </w14:solidFill>
                </w14:textFill>
              </w:rPr>
              <w:t>TSP</w:t>
            </w:r>
          </w:p>
        </w:tc>
        <w:tc>
          <w:tcPr>
            <w:tcW w:w="3157" w:type="dxa"/>
            <w:tcBorders>
              <w:tl2br w:val="nil"/>
              <w:tr2bl w:val="nil"/>
            </w:tcBorders>
            <w:vAlign w:val="center"/>
          </w:tcPr>
          <w:p w14:paraId="0D47A278">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eastAsia="宋体"/>
                <w:color w:val="000000" w:themeColor="text1"/>
                <w:szCs w:val="21"/>
                <w:lang w:eastAsia="zh-CN"/>
                <w14:textFill>
                  <w14:solidFill>
                    <w14:schemeClr w14:val="tx1"/>
                  </w14:solidFill>
                </w14:textFill>
              </w:rPr>
              <w:t>精饲料加工设备采用全密闭式加工</w:t>
            </w:r>
            <w:r>
              <w:rPr>
                <w:rFonts w:ascii="Times New Roman" w:hAnsi="Times New Roman" w:eastAsia="宋体"/>
                <w:color w:val="000000" w:themeColor="text1"/>
                <w:szCs w:val="21"/>
                <w:lang w:eastAsia="zh-CN"/>
                <w14:textFill>
                  <w14:solidFill>
                    <w14:schemeClr w14:val="tx1"/>
                  </w14:solidFill>
                </w14:textFill>
              </w:rPr>
              <w:t>，收集的粉尘经布袋除尘器处理后由15m</w:t>
            </w:r>
            <w:r>
              <w:rPr>
                <w:rFonts w:ascii="Times New Roman" w:hAnsi="Times New Roman" w:eastAsia="宋体"/>
                <w:bCs/>
                <w:color w:val="000000" w:themeColor="text1"/>
                <w:kern w:val="0"/>
                <w:szCs w:val="21"/>
                <w:lang w:eastAsia="zh-CN"/>
                <w14:textFill>
                  <w14:solidFill>
                    <w14:schemeClr w14:val="tx1"/>
                  </w14:solidFill>
                </w14:textFill>
              </w:rPr>
              <w:t>高</w:t>
            </w:r>
            <w:r>
              <w:rPr>
                <w:rFonts w:ascii="Times New Roman" w:hAnsi="Times New Roman" w:eastAsia="宋体"/>
                <w:color w:val="000000" w:themeColor="text1"/>
                <w:szCs w:val="21"/>
                <w:lang w:eastAsia="zh-CN"/>
                <w14:textFill>
                  <w14:solidFill>
                    <w14:schemeClr w14:val="tx1"/>
                  </w14:solidFill>
                </w14:textFill>
              </w:rPr>
              <w:t>排气筒（DA00</w:t>
            </w:r>
            <w:r>
              <w:rPr>
                <w:rFonts w:hint="eastAsia" w:ascii="Times New Roman" w:hAnsi="Times New Roman" w:eastAsia="宋体"/>
                <w:color w:val="000000" w:themeColor="text1"/>
                <w:szCs w:val="21"/>
                <w:lang w:eastAsia="zh-CN"/>
                <w14:textFill>
                  <w14:solidFill>
                    <w14:schemeClr w14:val="tx1"/>
                  </w14:solidFill>
                </w14:textFill>
              </w:rPr>
              <w:t>1</w:t>
            </w:r>
            <w:r>
              <w:rPr>
                <w:rFonts w:ascii="Times New Roman" w:hAnsi="Times New Roman" w:eastAsia="宋体"/>
                <w:color w:val="000000" w:themeColor="text1"/>
                <w:szCs w:val="21"/>
                <w:lang w:eastAsia="zh-CN"/>
                <w14:textFill>
                  <w14:solidFill>
                    <w14:schemeClr w14:val="tx1"/>
                  </w14:solidFill>
                </w14:textFill>
              </w:rPr>
              <w:t>）排放。风机风量</w:t>
            </w:r>
            <w:r>
              <w:rPr>
                <w:rFonts w:hint="eastAsia" w:ascii="Times New Roman" w:hAnsi="Times New Roman" w:eastAsia="宋体"/>
                <w:color w:val="000000" w:themeColor="text1"/>
                <w:szCs w:val="21"/>
                <w:lang w:eastAsia="zh-CN"/>
                <w14:textFill>
                  <w14:solidFill>
                    <w14:schemeClr w14:val="tx1"/>
                  </w14:solidFill>
                </w14:textFill>
              </w:rPr>
              <w:t>5</w:t>
            </w:r>
            <w:r>
              <w:rPr>
                <w:rFonts w:ascii="Times New Roman" w:hAnsi="Times New Roman" w:eastAsia="宋体"/>
                <w:color w:val="000000" w:themeColor="text1"/>
                <w:szCs w:val="21"/>
                <w:lang w:eastAsia="zh-CN"/>
                <w14:textFill>
                  <w14:solidFill>
                    <w14:schemeClr w14:val="tx1"/>
                  </w14:solidFill>
                </w14:textFill>
              </w:rPr>
              <w:t>000m</w:t>
            </w:r>
            <w:r>
              <w:rPr>
                <w:rFonts w:ascii="Times New Roman" w:hAnsi="Times New Roman" w:eastAsia="宋体"/>
                <w:color w:val="000000" w:themeColor="text1"/>
                <w:szCs w:val="21"/>
                <w:vertAlign w:val="superscript"/>
                <w:lang w:eastAsia="zh-CN"/>
                <w14:textFill>
                  <w14:solidFill>
                    <w14:schemeClr w14:val="tx1"/>
                  </w14:solidFill>
                </w14:textFill>
              </w:rPr>
              <w:t>3</w:t>
            </w:r>
            <w:r>
              <w:rPr>
                <w:rFonts w:ascii="Times New Roman" w:hAnsi="Times New Roman" w:eastAsia="宋体"/>
                <w:color w:val="000000" w:themeColor="text1"/>
                <w:szCs w:val="21"/>
                <w:lang w:eastAsia="zh-CN"/>
                <w14:textFill>
                  <w14:solidFill>
                    <w14:schemeClr w14:val="tx1"/>
                  </w14:solidFill>
                </w14:textFill>
              </w:rPr>
              <w:t>/h。。</w:t>
            </w:r>
          </w:p>
        </w:tc>
        <w:tc>
          <w:tcPr>
            <w:tcW w:w="2156" w:type="dxa"/>
            <w:tcBorders>
              <w:tl2br w:val="nil"/>
              <w:tr2bl w:val="nil"/>
            </w:tcBorders>
            <w:vAlign w:val="center"/>
          </w:tcPr>
          <w:p w14:paraId="10308314">
            <w:pPr>
              <w:widowControl/>
              <w:autoSpaceDE/>
              <w:autoSpaceDN/>
              <w:jc w:val="center"/>
              <w:rPr>
                <w:rFonts w:ascii="Times New Roman" w:hAnsi="Times New Roman" w:eastAsia="宋体"/>
                <w:color w:val="000000" w:themeColor="text1"/>
                <w:spacing w:val="8"/>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《大气污染物综合排</w:t>
            </w:r>
            <w:r>
              <w:rPr>
                <w:rFonts w:ascii="Times New Roman" w:hAnsi="Times New Roman" w:eastAsia="宋体"/>
                <w:color w:val="000000" w:themeColor="text1"/>
                <w:spacing w:val="5"/>
                <w:szCs w:val="21"/>
                <w:lang w:eastAsia="zh-CN"/>
                <w14:textFill>
                  <w14:solidFill>
                    <w14:schemeClr w14:val="tx1"/>
                  </w14:solidFill>
                </w14:textFill>
              </w:rPr>
              <w:t>放标准》</w:t>
            </w:r>
            <w:r>
              <w:rPr>
                <w:rFonts w:ascii="Times New Roman" w:hAnsi="Times New Roman" w:eastAsia="宋体"/>
                <w:color w:val="000000" w:themeColor="text1"/>
                <w:spacing w:val="4"/>
                <w:szCs w:val="21"/>
                <w:lang w:eastAsia="zh-CN"/>
                <w14:textFill>
                  <w14:solidFill>
                    <w14:schemeClr w14:val="tx1"/>
                  </w14:solidFill>
                </w14:textFill>
              </w:rPr>
              <w:t>（</w:t>
            </w:r>
            <w:r>
              <w:rPr>
                <w:rFonts w:ascii="Times New Roman" w:hAnsi="Times New Roman" w:eastAsia="宋体"/>
                <w:color w:val="000000" w:themeColor="text1"/>
                <w:szCs w:val="21"/>
                <w:lang w:eastAsia="zh-CN"/>
                <w14:textFill>
                  <w14:solidFill>
                    <w14:schemeClr w14:val="tx1"/>
                  </w14:solidFill>
                </w14:textFill>
              </w:rPr>
              <w:t>GB</w:t>
            </w:r>
            <w:r>
              <w:rPr>
                <w:rFonts w:ascii="Times New Roman" w:hAnsi="Times New Roman" w:eastAsia="宋体"/>
                <w:color w:val="000000" w:themeColor="text1"/>
                <w:spacing w:val="4"/>
                <w:szCs w:val="21"/>
                <w:lang w:eastAsia="zh-CN"/>
                <w14:textFill>
                  <w14:solidFill>
                    <w14:schemeClr w14:val="tx1"/>
                  </w14:solidFill>
                </w14:textFill>
              </w:rPr>
              <w:t>16297-1996）</w:t>
            </w:r>
          </w:p>
        </w:tc>
        <w:tc>
          <w:tcPr>
            <w:tcW w:w="542" w:type="dxa"/>
            <w:vMerge w:val="continue"/>
            <w:tcBorders>
              <w:tl2br w:val="nil"/>
              <w:tr2bl w:val="nil"/>
            </w:tcBorders>
            <w:vAlign w:val="center"/>
          </w:tcPr>
          <w:p w14:paraId="3021538F">
            <w:pPr>
              <w:widowControl/>
              <w:autoSpaceDE/>
              <w:autoSpaceDN/>
              <w:jc w:val="center"/>
              <w:rPr>
                <w:rFonts w:ascii="Times New Roman" w:hAnsi="Times New Roman" w:eastAsia="宋体"/>
                <w:color w:val="000000" w:themeColor="text1"/>
                <w:spacing w:val="-4"/>
                <w:szCs w:val="21"/>
                <w:lang w:eastAsia="zh-CN"/>
                <w14:textFill>
                  <w14:solidFill>
                    <w14:schemeClr w14:val="tx1"/>
                  </w14:solidFill>
                </w14:textFill>
              </w:rPr>
            </w:pPr>
          </w:p>
        </w:tc>
      </w:tr>
      <w:tr w14:paraId="134BC8B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continue"/>
            <w:tcBorders>
              <w:tl2br w:val="nil"/>
              <w:tr2bl w:val="nil"/>
            </w:tcBorders>
            <w:vAlign w:val="center"/>
          </w:tcPr>
          <w:p w14:paraId="5C32E8BB">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023" w:type="dxa"/>
            <w:tcBorders>
              <w:tl2br w:val="nil"/>
              <w:tr2bl w:val="nil"/>
            </w:tcBorders>
            <w:vAlign w:val="center"/>
          </w:tcPr>
          <w:p w14:paraId="281726E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食堂</w:t>
            </w:r>
          </w:p>
        </w:tc>
        <w:tc>
          <w:tcPr>
            <w:tcW w:w="1218" w:type="dxa"/>
            <w:tcBorders>
              <w:tl2br w:val="nil"/>
              <w:tr2bl w:val="nil"/>
            </w:tcBorders>
            <w:vAlign w:val="center"/>
          </w:tcPr>
          <w:p w14:paraId="1B3B2A2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食堂油烟</w:t>
            </w:r>
          </w:p>
        </w:tc>
        <w:tc>
          <w:tcPr>
            <w:tcW w:w="3157" w:type="dxa"/>
            <w:tcBorders>
              <w:tl2br w:val="nil"/>
              <w:tr2bl w:val="nil"/>
            </w:tcBorders>
            <w:vAlign w:val="center"/>
          </w:tcPr>
          <w:p w14:paraId="47CCFEA6">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油烟</w:t>
            </w:r>
            <w:r>
              <w:rPr>
                <w:rFonts w:ascii="Times New Roman" w:hAnsi="Times New Roman" w:eastAsia="宋体"/>
                <w:color w:val="000000" w:themeColor="text1"/>
                <w:spacing w:val="-59"/>
                <w:szCs w:val="21"/>
                <w:lang w:eastAsia="zh-CN"/>
                <w14:textFill>
                  <w14:solidFill>
                    <w14:schemeClr w14:val="tx1"/>
                  </w14:solidFill>
                </w14:textFill>
              </w:rPr>
              <w:t xml:space="preserve"> </w:t>
            </w:r>
            <w:r>
              <w:rPr>
                <w:rFonts w:ascii="Times New Roman" w:hAnsi="Times New Roman" w:eastAsia="宋体"/>
                <w:color w:val="000000" w:themeColor="text1"/>
                <w:spacing w:val="8"/>
                <w:szCs w:val="21"/>
                <w:lang w:eastAsia="zh-CN"/>
                <w14:textFill>
                  <w14:solidFill>
                    <w14:schemeClr w14:val="tx1"/>
                  </w14:solidFill>
                </w14:textFill>
              </w:rPr>
              <w:t>净化器：1套，</w:t>
            </w:r>
            <w:r>
              <w:rPr>
                <w:rFonts w:ascii="Times New Roman" w:hAnsi="Times New Roman" w:eastAsia="宋体"/>
                <w:color w:val="000000" w:themeColor="text1"/>
                <w:spacing w:val="-54"/>
                <w:szCs w:val="21"/>
                <w:lang w:eastAsia="zh-CN"/>
                <w14:textFill>
                  <w14:solidFill>
                    <w14:schemeClr w14:val="tx1"/>
                  </w14:solidFill>
                </w14:textFill>
              </w:rPr>
              <w:t xml:space="preserve"> </w:t>
            </w:r>
            <w:r>
              <w:rPr>
                <w:rFonts w:ascii="Times New Roman" w:hAnsi="Times New Roman" w:eastAsia="宋体"/>
                <w:color w:val="000000" w:themeColor="text1"/>
                <w:spacing w:val="8"/>
                <w:szCs w:val="21"/>
                <w:lang w:eastAsia="zh-CN"/>
                <w14:textFill>
                  <w14:solidFill>
                    <w14:schemeClr w14:val="tx1"/>
                  </w14:solidFill>
                </w14:textFill>
              </w:rPr>
              <w:t>风量2</w:t>
            </w:r>
            <w:r>
              <w:rPr>
                <w:rFonts w:ascii="Times New Roman" w:hAnsi="Times New Roman" w:eastAsia="宋体"/>
                <w:color w:val="000000" w:themeColor="text1"/>
                <w:spacing w:val="3"/>
                <w:szCs w:val="21"/>
                <w:lang w:eastAsia="zh-CN"/>
                <w14:textFill>
                  <w14:solidFill>
                    <w14:schemeClr w14:val="tx1"/>
                  </w14:solidFill>
                </w14:textFill>
              </w:rPr>
              <w:t>000m</w:t>
            </w:r>
            <w:r>
              <w:rPr>
                <w:rFonts w:ascii="Times New Roman" w:hAnsi="Times New Roman" w:eastAsia="宋体"/>
                <w:color w:val="000000" w:themeColor="text1"/>
                <w:spacing w:val="3"/>
                <w:szCs w:val="21"/>
                <w:vertAlign w:val="superscript"/>
                <w:lang w:eastAsia="zh-CN"/>
                <w14:textFill>
                  <w14:solidFill>
                    <w14:schemeClr w14:val="tx1"/>
                  </w14:solidFill>
                </w14:textFill>
              </w:rPr>
              <w:t>3</w:t>
            </w:r>
            <w:r>
              <w:rPr>
                <w:rFonts w:ascii="Times New Roman" w:hAnsi="Times New Roman" w:eastAsia="宋体"/>
                <w:color w:val="000000" w:themeColor="text1"/>
                <w:spacing w:val="3"/>
                <w:szCs w:val="21"/>
                <w:lang w:eastAsia="zh-CN"/>
                <w14:textFill>
                  <w14:solidFill>
                    <w14:schemeClr w14:val="tx1"/>
                  </w14:solidFill>
                </w14:textFill>
              </w:rPr>
              <w:t>/h，净化效率</w:t>
            </w:r>
            <w:r>
              <w:rPr>
                <w:rFonts w:hint="eastAsia" w:ascii="Times New Roman" w:hAnsi="Times New Roman" w:eastAsia="宋体"/>
                <w:color w:val="000000" w:themeColor="text1"/>
                <w:spacing w:val="3"/>
                <w:szCs w:val="21"/>
                <w:lang w:eastAsia="zh-CN"/>
                <w14:textFill>
                  <w14:solidFill>
                    <w14:schemeClr w14:val="tx1"/>
                  </w14:solidFill>
                </w14:textFill>
              </w:rPr>
              <w:t>60</w:t>
            </w:r>
            <w:r>
              <w:rPr>
                <w:rFonts w:ascii="Times New Roman" w:hAnsi="Times New Roman" w:eastAsia="宋体"/>
                <w:color w:val="000000" w:themeColor="text1"/>
                <w:spacing w:val="3"/>
                <w:szCs w:val="21"/>
                <w:lang w:eastAsia="zh-CN"/>
                <w14:textFill>
                  <w14:solidFill>
                    <w14:schemeClr w14:val="tx1"/>
                  </w14:solidFill>
                </w14:textFill>
              </w:rPr>
              <w:t>%。</w:t>
            </w:r>
            <w:r>
              <w:rPr>
                <w:rFonts w:ascii="Times New Roman" w:hAnsi="Times New Roman" w:eastAsia="宋体"/>
                <w:color w:val="000000" w:themeColor="text1"/>
                <w:spacing w:val="11"/>
                <w:szCs w:val="21"/>
                <w:lang w:eastAsia="zh-CN"/>
                <w14:textFill>
                  <w14:solidFill>
                    <w14:schemeClr w14:val="tx1"/>
                  </w14:solidFill>
                </w14:textFill>
              </w:rPr>
              <w:t>油烟经集气罩收集并送至油烟净化器净化通过排烟风管</w:t>
            </w:r>
            <w:r>
              <w:rPr>
                <w:rFonts w:ascii="Times New Roman" w:hAnsi="Times New Roman" w:eastAsia="宋体"/>
                <w:color w:val="000000" w:themeColor="text1"/>
                <w:spacing w:val="7"/>
                <w:szCs w:val="21"/>
                <w:lang w:eastAsia="zh-CN"/>
                <w14:textFill>
                  <w14:solidFill>
                    <w14:schemeClr w14:val="tx1"/>
                  </w14:solidFill>
                </w14:textFill>
              </w:rPr>
              <w:t>送至楼顶排放。</w:t>
            </w:r>
          </w:p>
        </w:tc>
        <w:tc>
          <w:tcPr>
            <w:tcW w:w="2156" w:type="dxa"/>
            <w:tcBorders>
              <w:tl2br w:val="nil"/>
              <w:tr2bl w:val="nil"/>
            </w:tcBorders>
            <w:vAlign w:val="center"/>
          </w:tcPr>
          <w:p w14:paraId="1E51F009">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《饮食业油烟排放标</w:t>
            </w:r>
            <w:r>
              <w:rPr>
                <w:rFonts w:ascii="Times New Roman" w:hAnsi="Times New Roman" w:eastAsia="宋体"/>
                <w:color w:val="000000" w:themeColor="text1"/>
                <w:spacing w:val="2"/>
                <w:szCs w:val="21"/>
                <w:lang w:eastAsia="zh-CN"/>
                <w14:textFill>
                  <w14:solidFill>
                    <w14:schemeClr w14:val="tx1"/>
                  </w14:solidFill>
                </w14:textFill>
              </w:rPr>
              <w:t xml:space="preserve"> </w:t>
            </w:r>
            <w:r>
              <w:rPr>
                <w:rFonts w:ascii="Times New Roman" w:hAnsi="Times New Roman" w:eastAsia="宋体"/>
                <w:color w:val="000000" w:themeColor="text1"/>
                <w:spacing w:val="9"/>
                <w:szCs w:val="21"/>
                <w:lang w:eastAsia="zh-CN"/>
                <w14:textFill>
                  <w14:solidFill>
                    <w14:schemeClr w14:val="tx1"/>
                  </w14:solidFill>
                </w14:textFill>
              </w:rPr>
              <w:t>准（试行）》</w:t>
            </w:r>
          </w:p>
          <w:p w14:paraId="487258E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w:t>
            </w:r>
            <w:r>
              <w:rPr>
                <w:rFonts w:ascii="Times New Roman" w:hAnsi="Times New Roman" w:eastAsia="宋体"/>
                <w:color w:val="000000" w:themeColor="text1"/>
                <w:szCs w:val="21"/>
                <w:lang w:eastAsia="en-US"/>
                <w14:textFill>
                  <w14:solidFill>
                    <w14:schemeClr w14:val="tx1"/>
                  </w14:solidFill>
                </w14:textFill>
              </w:rPr>
              <w:t>GB</w:t>
            </w:r>
            <w:r>
              <w:rPr>
                <w:rFonts w:ascii="Times New Roman" w:hAnsi="Times New Roman" w:eastAsia="宋体"/>
                <w:color w:val="000000" w:themeColor="text1"/>
                <w:spacing w:val="4"/>
                <w:szCs w:val="21"/>
                <w:lang w:eastAsia="en-US"/>
                <w14:textFill>
                  <w14:solidFill>
                    <w14:schemeClr w14:val="tx1"/>
                  </w14:solidFill>
                </w14:textFill>
              </w:rPr>
              <w:t>18483-2001）</w:t>
            </w:r>
          </w:p>
        </w:tc>
        <w:tc>
          <w:tcPr>
            <w:tcW w:w="542" w:type="dxa"/>
            <w:vMerge w:val="continue"/>
            <w:tcBorders>
              <w:tl2br w:val="nil"/>
              <w:tr2bl w:val="nil"/>
            </w:tcBorders>
            <w:vAlign w:val="center"/>
          </w:tcPr>
          <w:p w14:paraId="65CA0C6E">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r>
      <w:tr w14:paraId="2A71F84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continue"/>
            <w:tcBorders>
              <w:tl2br w:val="nil"/>
              <w:tr2bl w:val="nil"/>
            </w:tcBorders>
          </w:tcPr>
          <w:p w14:paraId="71173EAF">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023" w:type="dxa"/>
            <w:tcBorders>
              <w:tl2br w:val="nil"/>
              <w:tr2bl w:val="nil"/>
            </w:tcBorders>
          </w:tcPr>
          <w:p w14:paraId="23CCB510">
            <w:pPr>
              <w:widowControl/>
              <w:autoSpaceDE/>
              <w:autoSpaceDN/>
              <w:jc w:val="center"/>
              <w:rPr>
                <w:rFonts w:ascii="Times New Roman" w:hAnsi="Times New Roman" w:eastAsia="宋体"/>
                <w:color w:val="000000" w:themeColor="text1"/>
                <w:spacing w:val="6"/>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柴油发电机</w:t>
            </w:r>
          </w:p>
        </w:tc>
        <w:tc>
          <w:tcPr>
            <w:tcW w:w="1218" w:type="dxa"/>
            <w:tcBorders>
              <w:tl2br w:val="nil"/>
              <w:tr2bl w:val="nil"/>
            </w:tcBorders>
            <w:vAlign w:val="center"/>
          </w:tcPr>
          <w:p w14:paraId="7F4AF974">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CO、HC、</w:t>
            </w:r>
            <w:r>
              <w:rPr>
                <w:rFonts w:ascii="Times New Roman" w:hAnsi="Times New Roman" w:eastAsia="宋体"/>
                <w:color w:val="000000" w:themeColor="text1"/>
                <w:szCs w:val="21"/>
                <w:lang w:eastAsia="en-US"/>
                <w14:textFill>
                  <w14:solidFill>
                    <w14:schemeClr w14:val="tx1"/>
                  </w14:solidFill>
                </w14:textFill>
              </w:rPr>
              <w:t>NO</w:t>
            </w:r>
            <w:r>
              <w:rPr>
                <w:rFonts w:ascii="Times New Roman" w:hAnsi="Times New Roman" w:eastAsia="宋体"/>
                <w:color w:val="000000" w:themeColor="text1"/>
                <w:spacing w:val="9"/>
                <w:position w:val="-1"/>
                <w:szCs w:val="21"/>
                <w:vertAlign w:val="subscript"/>
                <w:lang w:eastAsia="en-US"/>
                <w14:textFill>
                  <w14:solidFill>
                    <w14:schemeClr w14:val="tx1"/>
                  </w14:solidFill>
                </w14:textFill>
              </w:rPr>
              <w:t>2</w:t>
            </w:r>
            <w:r>
              <w:rPr>
                <w:rFonts w:ascii="Times New Roman" w:hAnsi="Times New Roman" w:eastAsia="宋体"/>
                <w:color w:val="000000" w:themeColor="text1"/>
                <w:spacing w:val="9"/>
                <w:szCs w:val="21"/>
                <w:lang w:eastAsia="en-US"/>
                <w14:textFill>
                  <w14:solidFill>
                    <w14:schemeClr w14:val="tx1"/>
                  </w14:solidFill>
                </w14:textFill>
              </w:rPr>
              <w:t>等</w:t>
            </w:r>
          </w:p>
        </w:tc>
        <w:tc>
          <w:tcPr>
            <w:tcW w:w="3157" w:type="dxa"/>
            <w:tcBorders>
              <w:tl2br w:val="nil"/>
              <w:tr2bl w:val="nil"/>
            </w:tcBorders>
            <w:vAlign w:val="center"/>
          </w:tcPr>
          <w:p w14:paraId="7A50E4C0">
            <w:pPr>
              <w:widowControl/>
              <w:autoSpaceDE/>
              <w:autoSpaceDN/>
              <w:jc w:val="center"/>
              <w:rPr>
                <w:rFonts w:ascii="Times New Roman" w:hAnsi="Times New Roman" w:eastAsia="宋体"/>
                <w:color w:val="000000" w:themeColor="text1"/>
                <w:spacing w:val="8"/>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由设备自带废气净化装置处 理后排放</w:t>
            </w:r>
          </w:p>
        </w:tc>
        <w:tc>
          <w:tcPr>
            <w:tcW w:w="2156" w:type="dxa"/>
            <w:tcBorders>
              <w:tl2br w:val="nil"/>
              <w:tr2bl w:val="nil"/>
            </w:tcBorders>
            <w:vAlign w:val="center"/>
          </w:tcPr>
          <w:p w14:paraId="0C64A5A5">
            <w:pPr>
              <w:widowControl/>
              <w:autoSpaceDE/>
              <w:autoSpaceDN/>
              <w:jc w:val="center"/>
              <w:rPr>
                <w:rFonts w:ascii="Times New Roman" w:hAnsi="Times New Roman" w:eastAsia="宋体"/>
                <w:color w:val="000000" w:themeColor="text1"/>
                <w:spacing w:val="8"/>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w:t>
            </w:r>
          </w:p>
        </w:tc>
        <w:tc>
          <w:tcPr>
            <w:tcW w:w="542" w:type="dxa"/>
            <w:vMerge w:val="continue"/>
            <w:tcBorders>
              <w:tl2br w:val="nil"/>
              <w:tr2bl w:val="nil"/>
            </w:tcBorders>
          </w:tcPr>
          <w:p w14:paraId="0C336337">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r>
      <w:tr w14:paraId="2DFCB49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692" w:type="dxa"/>
            <w:vMerge w:val="restart"/>
            <w:tcBorders>
              <w:tl2br w:val="nil"/>
              <w:tr2bl w:val="nil"/>
            </w:tcBorders>
            <w:vAlign w:val="center"/>
          </w:tcPr>
          <w:p w14:paraId="714E26E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废水</w:t>
            </w:r>
          </w:p>
        </w:tc>
        <w:tc>
          <w:tcPr>
            <w:tcW w:w="1023" w:type="dxa"/>
            <w:tcBorders>
              <w:tl2br w:val="nil"/>
              <w:tr2bl w:val="nil"/>
            </w:tcBorders>
            <w:vAlign w:val="center"/>
          </w:tcPr>
          <w:p w14:paraId="5E36B8A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食堂</w:t>
            </w:r>
          </w:p>
        </w:tc>
        <w:tc>
          <w:tcPr>
            <w:tcW w:w="1218" w:type="dxa"/>
            <w:tcBorders>
              <w:tl2br w:val="nil"/>
              <w:tr2bl w:val="nil"/>
            </w:tcBorders>
            <w:vAlign w:val="center"/>
          </w:tcPr>
          <w:p w14:paraId="745748A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食堂废水</w:t>
            </w:r>
          </w:p>
        </w:tc>
        <w:tc>
          <w:tcPr>
            <w:tcW w:w="3157" w:type="dxa"/>
            <w:vMerge w:val="restart"/>
            <w:tcBorders>
              <w:tl2br w:val="nil"/>
              <w:tr2bl w:val="nil"/>
            </w:tcBorders>
            <w:vAlign w:val="center"/>
          </w:tcPr>
          <w:p w14:paraId="538BAC13">
            <w:pPr>
              <w:widowControl/>
              <w:autoSpaceDE/>
              <w:autoSpaceDN/>
              <w:jc w:val="center"/>
              <w:rPr>
                <w:rFonts w:ascii="Times New Roman" w:hAnsi="Times New Roman" w:eastAsia="宋体"/>
                <w:color w:val="000000" w:themeColor="text1"/>
                <w:spacing w:val="6"/>
                <w:szCs w:val="21"/>
                <w:lang w:eastAsia="zh-CN"/>
                <w14:textFill>
                  <w14:solidFill>
                    <w14:schemeClr w14:val="tx1"/>
                  </w14:solidFill>
                </w14:textFill>
              </w:rPr>
            </w:pPr>
            <w:r>
              <w:rPr>
                <w:rFonts w:ascii="Times New Roman" w:hAnsi="Times New Roman" w:eastAsia="宋体"/>
                <w:color w:val="000000" w:themeColor="text1"/>
                <w:szCs w:val="21"/>
                <w:lang w:eastAsia="zh-CN"/>
                <w14:textFill>
                  <w14:solidFill>
                    <w14:schemeClr w14:val="tx1"/>
                  </w14:solidFill>
                </w14:textFill>
              </w:rPr>
              <w:t>食堂废水先</w:t>
            </w:r>
            <w:r>
              <w:rPr>
                <w:rFonts w:ascii="Times New Roman" w:hAnsi="Times New Roman" w:eastAsia="宋体"/>
                <w:color w:val="000000" w:themeColor="text1"/>
                <w:kern w:val="0"/>
                <w:szCs w:val="21"/>
                <w:lang w:eastAsia="zh-CN" w:bidi="ar"/>
                <w14:textFill>
                  <w14:solidFill>
                    <w14:schemeClr w14:val="tx1"/>
                  </w14:solidFill>
                </w14:textFill>
              </w:rPr>
              <w:t>经隔油池（</w:t>
            </w:r>
            <w:r>
              <w:rPr>
                <w:rFonts w:hint="eastAsia" w:ascii="Times New Roman" w:hAnsi="Times New Roman" w:eastAsia="宋体"/>
                <w:color w:val="000000" w:themeColor="text1"/>
                <w:kern w:val="0"/>
                <w:szCs w:val="21"/>
                <w:lang w:eastAsia="zh-CN" w:bidi="ar"/>
                <w14:textFill>
                  <w14:solidFill>
                    <w14:schemeClr w14:val="tx1"/>
                  </w14:solidFill>
                </w14:textFill>
              </w:rPr>
              <w:t>2</w:t>
            </w:r>
            <w:r>
              <w:rPr>
                <w:rFonts w:ascii="Times New Roman" w:hAnsi="Times New Roman" w:eastAsia="宋体"/>
                <w:color w:val="000000" w:themeColor="text1"/>
                <w:kern w:val="0"/>
                <w:szCs w:val="21"/>
                <w:lang w:eastAsia="zh-CN" w:bidi="ar"/>
                <w14:textFill>
                  <w14:solidFill>
                    <w14:schemeClr w14:val="tx1"/>
                  </w14:solidFill>
                </w14:textFill>
              </w:rPr>
              <w:t>m</w:t>
            </w:r>
            <w:r>
              <w:rPr>
                <w:rFonts w:ascii="Times New Roman" w:hAnsi="Times New Roman" w:eastAsia="宋体"/>
                <w:color w:val="000000" w:themeColor="text1"/>
                <w:kern w:val="0"/>
                <w:szCs w:val="21"/>
                <w:vertAlign w:val="superscript"/>
                <w:lang w:eastAsia="zh-CN" w:bidi="ar"/>
                <w14:textFill>
                  <w14:solidFill>
                    <w14:schemeClr w14:val="tx1"/>
                  </w14:solidFill>
                </w14:textFill>
              </w:rPr>
              <w:t>3</w:t>
            </w:r>
            <w:r>
              <w:rPr>
                <w:rFonts w:ascii="Times New Roman" w:hAnsi="Times New Roman" w:eastAsia="宋体"/>
                <w:color w:val="000000" w:themeColor="text1"/>
                <w:kern w:val="0"/>
                <w:szCs w:val="21"/>
                <w:lang w:eastAsia="zh-CN" w:bidi="ar"/>
                <w14:textFill>
                  <w14:solidFill>
                    <w14:schemeClr w14:val="tx1"/>
                  </w14:solidFill>
                </w14:textFill>
              </w:rPr>
              <w:t>）处理后与生活污水进入</w:t>
            </w:r>
            <w:r>
              <w:rPr>
                <w:rFonts w:hint="eastAsia" w:ascii="Times New Roman" w:hAnsi="Times New Roman" w:eastAsia="宋体"/>
                <w:color w:val="000000" w:themeColor="text1"/>
                <w:kern w:val="0"/>
                <w:szCs w:val="21"/>
                <w:lang w:eastAsia="zh-CN" w:bidi="ar"/>
                <w14:textFill>
                  <w14:solidFill>
                    <w14:schemeClr w14:val="tx1"/>
                  </w14:solidFill>
                </w14:textFill>
              </w:rPr>
              <w:t>化粪</w:t>
            </w:r>
            <w:r>
              <w:rPr>
                <w:rFonts w:ascii="Times New Roman" w:hAnsi="Times New Roman" w:eastAsia="宋体"/>
                <w:color w:val="000000" w:themeColor="text1"/>
                <w:kern w:val="0"/>
                <w:szCs w:val="21"/>
                <w:lang w:eastAsia="zh-CN" w:bidi="ar"/>
                <w14:textFill>
                  <w14:solidFill>
                    <w14:schemeClr w14:val="tx1"/>
                  </w14:solidFill>
                </w14:textFill>
              </w:rPr>
              <w:t>池进行处理，处理后用作农肥。</w:t>
            </w:r>
          </w:p>
        </w:tc>
        <w:tc>
          <w:tcPr>
            <w:tcW w:w="2156" w:type="dxa"/>
            <w:vMerge w:val="restart"/>
            <w:tcBorders>
              <w:tl2br w:val="nil"/>
              <w:tr2bl w:val="nil"/>
            </w:tcBorders>
            <w:vAlign w:val="center"/>
          </w:tcPr>
          <w:p w14:paraId="30553AB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w:t>
            </w:r>
          </w:p>
        </w:tc>
        <w:tc>
          <w:tcPr>
            <w:tcW w:w="542" w:type="dxa"/>
            <w:vMerge w:val="restart"/>
            <w:tcBorders>
              <w:tl2br w:val="nil"/>
              <w:tr2bl w:val="nil"/>
            </w:tcBorders>
            <w:vAlign w:val="center"/>
          </w:tcPr>
          <w:p w14:paraId="50BAEC0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合理设置，运行正常</w:t>
            </w:r>
          </w:p>
        </w:tc>
      </w:tr>
      <w:tr w14:paraId="11C72D6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continue"/>
            <w:tcBorders>
              <w:tl2br w:val="nil"/>
              <w:tr2bl w:val="nil"/>
            </w:tcBorders>
            <w:vAlign w:val="center"/>
          </w:tcPr>
          <w:p w14:paraId="52A7B5C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23" w:type="dxa"/>
            <w:tcBorders>
              <w:tl2br w:val="nil"/>
              <w:tr2bl w:val="nil"/>
            </w:tcBorders>
            <w:vAlign w:val="center"/>
          </w:tcPr>
          <w:p w14:paraId="06F484D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生活</w:t>
            </w:r>
          </w:p>
        </w:tc>
        <w:tc>
          <w:tcPr>
            <w:tcW w:w="1218" w:type="dxa"/>
            <w:tcBorders>
              <w:tl2br w:val="nil"/>
              <w:tr2bl w:val="nil"/>
            </w:tcBorders>
            <w:vAlign w:val="center"/>
          </w:tcPr>
          <w:p w14:paraId="6D9993EE">
            <w:pPr>
              <w:widowControl/>
              <w:autoSpaceDE/>
              <w:autoSpaceDN/>
              <w:jc w:val="center"/>
              <w:rPr>
                <w:rFonts w:ascii="Times New Roman" w:hAnsi="Times New Roman" w:eastAsia="宋体"/>
                <w:color w:val="000000" w:themeColor="text1"/>
                <w:spacing w:val="6"/>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生活污水</w:t>
            </w:r>
          </w:p>
        </w:tc>
        <w:tc>
          <w:tcPr>
            <w:tcW w:w="3157" w:type="dxa"/>
            <w:vMerge w:val="continue"/>
            <w:tcBorders>
              <w:tl2br w:val="nil"/>
              <w:tr2bl w:val="nil"/>
            </w:tcBorders>
            <w:vAlign w:val="center"/>
          </w:tcPr>
          <w:p w14:paraId="37CD1184">
            <w:pPr>
              <w:widowControl/>
              <w:autoSpaceDE/>
              <w:autoSpaceDN/>
              <w:jc w:val="center"/>
              <w:rPr>
                <w:rFonts w:ascii="Times New Roman" w:hAnsi="Times New Roman" w:eastAsia="宋体"/>
                <w:color w:val="000000" w:themeColor="text1"/>
                <w:spacing w:val="6"/>
                <w:szCs w:val="21"/>
                <w:lang w:eastAsia="en-US"/>
                <w14:textFill>
                  <w14:solidFill>
                    <w14:schemeClr w14:val="tx1"/>
                  </w14:solidFill>
                </w14:textFill>
              </w:rPr>
            </w:pPr>
          </w:p>
        </w:tc>
        <w:tc>
          <w:tcPr>
            <w:tcW w:w="2156" w:type="dxa"/>
            <w:vMerge w:val="continue"/>
            <w:tcBorders>
              <w:tl2br w:val="nil"/>
              <w:tr2bl w:val="nil"/>
            </w:tcBorders>
            <w:vAlign w:val="center"/>
          </w:tcPr>
          <w:p w14:paraId="5125B8C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542" w:type="dxa"/>
            <w:vMerge w:val="continue"/>
            <w:tcBorders>
              <w:tl2br w:val="nil"/>
              <w:tr2bl w:val="nil"/>
            </w:tcBorders>
          </w:tcPr>
          <w:p w14:paraId="2F2DF971">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r>
      <w:tr w14:paraId="459D04B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restart"/>
            <w:tcBorders>
              <w:tl2br w:val="nil"/>
              <w:tr2bl w:val="nil"/>
            </w:tcBorders>
            <w:vAlign w:val="center"/>
          </w:tcPr>
          <w:p w14:paraId="68FF954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固废</w:t>
            </w:r>
          </w:p>
        </w:tc>
        <w:tc>
          <w:tcPr>
            <w:tcW w:w="1023" w:type="dxa"/>
            <w:tcBorders>
              <w:tl2br w:val="nil"/>
              <w:tr2bl w:val="nil"/>
            </w:tcBorders>
            <w:vAlign w:val="center"/>
          </w:tcPr>
          <w:p w14:paraId="300F346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危险</w:t>
            </w:r>
            <w:r>
              <w:rPr>
                <w:rFonts w:ascii="Times New Roman" w:hAnsi="Times New Roman" w:eastAsia="宋体"/>
                <w:color w:val="000000" w:themeColor="text1"/>
                <w:spacing w:val="5"/>
                <w:szCs w:val="21"/>
                <w:lang w:eastAsia="en-US"/>
                <w14:textFill>
                  <w14:solidFill>
                    <w14:schemeClr w14:val="tx1"/>
                  </w14:solidFill>
                </w14:textFill>
              </w:rPr>
              <w:t>废物</w:t>
            </w:r>
          </w:p>
        </w:tc>
        <w:tc>
          <w:tcPr>
            <w:tcW w:w="1218" w:type="dxa"/>
            <w:tcBorders>
              <w:tl2br w:val="nil"/>
              <w:tr2bl w:val="nil"/>
            </w:tcBorders>
            <w:vAlign w:val="center"/>
          </w:tcPr>
          <w:p w14:paraId="525A9C00">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4"/>
                <w:szCs w:val="21"/>
                <w:lang w:eastAsia="zh-CN"/>
                <w14:textFill>
                  <w14:solidFill>
                    <w14:schemeClr w14:val="tx1"/>
                  </w14:solidFill>
                </w14:textFill>
              </w:rPr>
              <w:t>动物医疗废物</w:t>
            </w:r>
          </w:p>
        </w:tc>
        <w:tc>
          <w:tcPr>
            <w:tcW w:w="3157" w:type="dxa"/>
            <w:tcBorders>
              <w:tl2br w:val="nil"/>
              <w:tr2bl w:val="nil"/>
            </w:tcBorders>
            <w:vAlign w:val="center"/>
          </w:tcPr>
          <w:p w14:paraId="791F8F80">
            <w:pPr>
              <w:widowControl/>
              <w:tabs>
                <w:tab w:val="left" w:pos="2310"/>
              </w:tabs>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eastAsia="宋体"/>
                <w:color w:val="000000" w:themeColor="text1"/>
                <w:szCs w:val="21"/>
                <w:lang w:eastAsia="zh-CN"/>
                <w14:textFill>
                  <w14:solidFill>
                    <w14:schemeClr w14:val="tx1"/>
                  </w14:solidFill>
                </w14:textFill>
              </w:rPr>
              <w:t>医</w:t>
            </w:r>
            <w:r>
              <w:rPr>
                <w:rFonts w:ascii="Times New Roman" w:hAnsi="Times New Roman" w:eastAsia="宋体"/>
                <w:color w:val="000000" w:themeColor="text1"/>
                <w:szCs w:val="21"/>
                <w:lang w:eastAsia="zh-CN"/>
                <w14:textFill>
                  <w14:solidFill>
                    <w14:schemeClr w14:val="tx1"/>
                  </w14:solidFill>
                </w14:textFill>
              </w:rPr>
              <w:t>废暂存间：</w:t>
            </w:r>
            <w:r>
              <w:rPr>
                <w:rFonts w:hint="eastAsia" w:ascii="Times New Roman" w:hAnsi="Times New Roman" w:eastAsia="宋体"/>
                <w:color w:val="000000" w:themeColor="text1"/>
                <w:szCs w:val="21"/>
                <w:lang w:eastAsia="zh-CN"/>
                <w14:textFill>
                  <w14:solidFill>
                    <w14:schemeClr w14:val="tx1"/>
                  </w14:solidFill>
                </w14:textFill>
              </w:rPr>
              <w:t>各处养殖场区设置</w:t>
            </w:r>
            <w:r>
              <w:rPr>
                <w:rFonts w:ascii="Times New Roman" w:hAnsi="Times New Roman" w:eastAsia="宋体"/>
                <w:color w:val="000000" w:themeColor="text1"/>
                <w:szCs w:val="21"/>
                <w:lang w:eastAsia="zh-CN"/>
                <w14:textFill>
                  <w14:solidFill>
                    <w14:schemeClr w14:val="tx1"/>
                  </w14:solidFill>
                </w14:textFill>
              </w:rPr>
              <w:t>1间，</w:t>
            </w:r>
            <w:r>
              <w:rPr>
                <w:rFonts w:hint="eastAsia" w:ascii="Times New Roman" w:hAnsi="Times New Roman" w:eastAsia="宋体"/>
                <w:color w:val="000000" w:themeColor="text1"/>
                <w:szCs w:val="21"/>
                <w:lang w:eastAsia="zh-CN"/>
                <w14:textFill>
                  <w14:solidFill>
                    <w14:schemeClr w14:val="tx1"/>
                  </w14:solidFill>
                </w14:textFill>
              </w:rPr>
              <w:t>5</w:t>
            </w:r>
            <w:r>
              <w:rPr>
                <w:rFonts w:ascii="Times New Roman" w:hAnsi="Times New Roman" w:eastAsia="宋体"/>
                <w:color w:val="000000" w:themeColor="text1"/>
                <w:szCs w:val="21"/>
                <w:lang w:eastAsia="zh-CN"/>
                <w14:textFill>
                  <w14:solidFill>
                    <w14:schemeClr w14:val="tx1"/>
                  </w14:solidFill>
                </w14:textFill>
              </w:rPr>
              <w:t>m</w:t>
            </w:r>
            <w:r>
              <w:rPr>
                <w:rFonts w:ascii="Times New Roman" w:hAnsi="Times New Roman" w:eastAsia="宋体"/>
                <w:color w:val="000000" w:themeColor="text1"/>
                <w:szCs w:val="21"/>
                <w:vertAlign w:val="superscript"/>
                <w:lang w:eastAsia="zh-CN"/>
                <w14:textFill>
                  <w14:solidFill>
                    <w14:schemeClr w14:val="tx1"/>
                  </w14:solidFill>
                </w14:textFill>
              </w:rPr>
              <w:t>2</w:t>
            </w:r>
            <w:r>
              <w:rPr>
                <w:rFonts w:ascii="Times New Roman" w:hAnsi="Times New Roman" w:eastAsia="宋体"/>
                <w:color w:val="000000" w:themeColor="text1"/>
                <w:szCs w:val="21"/>
                <w:lang w:eastAsia="zh-CN"/>
                <w14:textFill>
                  <w14:solidFill>
                    <w14:schemeClr w14:val="tx1"/>
                  </w14:solidFill>
                </w14:textFill>
              </w:rPr>
              <w:t>，内</w:t>
            </w:r>
            <w:r>
              <w:rPr>
                <w:rFonts w:ascii="Times New Roman" w:hAnsi="Times New Roman" w:eastAsia="宋体"/>
                <w:color w:val="000000" w:themeColor="text1"/>
                <w:spacing w:val="19"/>
                <w:szCs w:val="21"/>
                <w:lang w:eastAsia="zh-CN"/>
                <w14:textFill>
                  <w14:solidFill>
                    <w14:schemeClr w14:val="tx1"/>
                  </w14:solidFill>
                </w14:textFill>
              </w:rPr>
              <w:t>置</w:t>
            </w:r>
            <w:r>
              <w:rPr>
                <w:rFonts w:ascii="Times New Roman" w:hAnsi="Times New Roman" w:eastAsia="宋体"/>
                <w:color w:val="000000" w:themeColor="text1"/>
                <w:spacing w:val="-46"/>
                <w:szCs w:val="21"/>
                <w:lang w:eastAsia="zh-CN"/>
                <w14:textFill>
                  <w14:solidFill>
                    <w14:schemeClr w14:val="tx1"/>
                  </w14:solidFill>
                </w14:textFill>
              </w:rPr>
              <w:t xml:space="preserve"> </w:t>
            </w:r>
            <w:r>
              <w:rPr>
                <w:rFonts w:ascii="Times New Roman" w:hAnsi="Times New Roman" w:eastAsia="宋体"/>
                <w:color w:val="000000" w:themeColor="text1"/>
                <w:spacing w:val="19"/>
                <w:szCs w:val="21"/>
                <w:lang w:eastAsia="zh-CN"/>
                <w14:textFill>
                  <w14:solidFill>
                    <w14:schemeClr w14:val="tx1"/>
                  </w14:solidFill>
                </w14:textFill>
              </w:rPr>
              <w:t>医疗废物专用</w:t>
            </w:r>
            <w:r>
              <w:rPr>
                <w:rFonts w:ascii="Times New Roman" w:hAnsi="Times New Roman" w:eastAsia="宋体"/>
                <w:color w:val="000000" w:themeColor="text1"/>
                <w:spacing w:val="-54"/>
                <w:szCs w:val="21"/>
                <w:lang w:eastAsia="zh-CN"/>
                <w14:textFill>
                  <w14:solidFill>
                    <w14:schemeClr w14:val="tx1"/>
                  </w14:solidFill>
                </w14:textFill>
              </w:rPr>
              <w:t xml:space="preserve"> </w:t>
            </w:r>
            <w:r>
              <w:rPr>
                <w:rFonts w:ascii="Times New Roman" w:hAnsi="Times New Roman" w:eastAsia="宋体"/>
                <w:color w:val="000000" w:themeColor="text1"/>
                <w:spacing w:val="19"/>
                <w:szCs w:val="21"/>
                <w:lang w:eastAsia="zh-CN"/>
                <w14:textFill>
                  <w14:solidFill>
                    <w14:schemeClr w14:val="tx1"/>
                  </w14:solidFill>
                </w14:textFill>
              </w:rPr>
              <w:t>收集</w:t>
            </w:r>
            <w:r>
              <w:rPr>
                <w:rFonts w:ascii="Times New Roman" w:hAnsi="Times New Roman" w:eastAsia="宋体"/>
                <w:color w:val="000000" w:themeColor="text1"/>
                <w:spacing w:val="-59"/>
                <w:szCs w:val="21"/>
                <w:lang w:eastAsia="zh-CN"/>
                <w14:textFill>
                  <w14:solidFill>
                    <w14:schemeClr w14:val="tx1"/>
                  </w14:solidFill>
                </w14:textFill>
              </w:rPr>
              <w:t xml:space="preserve"> </w:t>
            </w:r>
            <w:r>
              <w:rPr>
                <w:rFonts w:ascii="Times New Roman" w:hAnsi="Times New Roman" w:eastAsia="宋体"/>
                <w:color w:val="000000" w:themeColor="text1"/>
                <w:spacing w:val="19"/>
                <w:szCs w:val="21"/>
                <w:lang w:eastAsia="zh-CN"/>
                <w14:textFill>
                  <w14:solidFill>
                    <w14:schemeClr w14:val="tx1"/>
                  </w14:solidFill>
                </w14:textFill>
              </w:rPr>
              <w:t>桶</w:t>
            </w:r>
            <w:r>
              <w:rPr>
                <w:rFonts w:ascii="Times New Roman" w:hAnsi="Times New Roman" w:eastAsia="宋体"/>
                <w:color w:val="000000" w:themeColor="text1"/>
                <w:spacing w:val="11"/>
                <w:szCs w:val="21"/>
                <w:lang w:eastAsia="zh-CN"/>
                <w14:textFill>
                  <w14:solidFill>
                    <w14:schemeClr w14:val="tx1"/>
                  </w14:solidFill>
                </w14:textFill>
              </w:rPr>
              <w:t>，采取重点防渗措施，渗</w:t>
            </w:r>
            <w:r>
              <w:rPr>
                <w:rFonts w:ascii="Times New Roman" w:hAnsi="Times New Roman" w:eastAsia="宋体"/>
                <w:color w:val="000000" w:themeColor="text1"/>
                <w:spacing w:val="5"/>
                <w:szCs w:val="21"/>
                <w:lang w:eastAsia="zh-CN"/>
                <w14:textFill>
                  <w14:solidFill>
                    <w14:schemeClr w14:val="tx1"/>
                  </w14:solidFill>
                </w14:textFill>
              </w:rPr>
              <w:t>透系数≤1.0×10</w:t>
            </w:r>
            <w:r>
              <w:rPr>
                <w:rFonts w:ascii="Times New Roman" w:hAnsi="Times New Roman" w:eastAsia="宋体"/>
                <w:color w:val="000000" w:themeColor="text1"/>
                <w:spacing w:val="5"/>
                <w:szCs w:val="21"/>
                <w:vertAlign w:val="superscript"/>
                <w:lang w:eastAsia="zh-CN"/>
                <w14:textFill>
                  <w14:solidFill>
                    <w14:schemeClr w14:val="tx1"/>
                  </w14:solidFill>
                </w14:textFill>
              </w:rPr>
              <w:t>-10</w:t>
            </w:r>
            <w:r>
              <w:rPr>
                <w:rFonts w:ascii="Times New Roman" w:hAnsi="Times New Roman" w:eastAsia="宋体"/>
                <w:color w:val="000000" w:themeColor="text1"/>
                <w:szCs w:val="21"/>
                <w:lang w:eastAsia="zh-CN"/>
                <w14:textFill>
                  <w14:solidFill>
                    <w14:schemeClr w14:val="tx1"/>
                  </w14:solidFill>
                </w14:textFill>
              </w:rPr>
              <w:t>cm</w:t>
            </w:r>
            <w:r>
              <w:rPr>
                <w:rFonts w:ascii="Times New Roman" w:hAnsi="Times New Roman" w:eastAsia="宋体"/>
                <w:color w:val="000000" w:themeColor="text1"/>
                <w:spacing w:val="5"/>
                <w:szCs w:val="21"/>
                <w:lang w:eastAsia="zh-CN"/>
                <w14:textFill>
                  <w14:solidFill>
                    <w14:schemeClr w14:val="tx1"/>
                  </w14:solidFill>
                </w14:textFill>
              </w:rPr>
              <w:t>/s。</w:t>
            </w:r>
          </w:p>
        </w:tc>
        <w:tc>
          <w:tcPr>
            <w:tcW w:w="2156" w:type="dxa"/>
            <w:tcBorders>
              <w:tl2br w:val="nil"/>
              <w:tr2bl w:val="nil"/>
            </w:tcBorders>
            <w:vAlign w:val="center"/>
          </w:tcPr>
          <w:p w14:paraId="4AD12A18">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《危险废物贮存污染</w:t>
            </w:r>
          </w:p>
          <w:p w14:paraId="5548B9A7">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10"/>
                <w:szCs w:val="21"/>
                <w:lang w:eastAsia="zh-CN"/>
                <w14:textFill>
                  <w14:solidFill>
                    <w14:schemeClr w14:val="tx1"/>
                  </w14:solidFill>
                </w14:textFill>
              </w:rPr>
              <w:t>控制标准》（</w:t>
            </w:r>
            <w:r>
              <w:rPr>
                <w:rFonts w:ascii="Times New Roman" w:hAnsi="Times New Roman" w:eastAsia="宋体"/>
                <w:color w:val="000000" w:themeColor="text1"/>
                <w:szCs w:val="21"/>
                <w:lang w:eastAsia="zh-CN"/>
                <w14:textFill>
                  <w14:solidFill>
                    <w14:schemeClr w14:val="tx1"/>
                  </w14:solidFill>
                </w14:textFill>
              </w:rPr>
              <w:t>GB</w:t>
            </w:r>
            <w:r>
              <w:rPr>
                <w:rFonts w:ascii="Times New Roman" w:hAnsi="Times New Roman" w:eastAsia="宋体"/>
                <w:color w:val="000000" w:themeColor="text1"/>
                <w:spacing w:val="4"/>
                <w:szCs w:val="21"/>
                <w:lang w:eastAsia="zh-CN"/>
                <w14:textFill>
                  <w14:solidFill>
                    <w14:schemeClr w14:val="tx1"/>
                  </w14:solidFill>
                </w14:textFill>
              </w:rPr>
              <w:t xml:space="preserve"> </w:t>
            </w:r>
            <w:r>
              <w:rPr>
                <w:rFonts w:ascii="Times New Roman" w:hAnsi="Times New Roman" w:eastAsia="宋体"/>
                <w:color w:val="000000" w:themeColor="text1"/>
                <w:spacing w:val="2"/>
                <w:szCs w:val="21"/>
                <w:lang w:eastAsia="zh-CN"/>
                <w14:textFill>
                  <w14:solidFill>
                    <w14:schemeClr w14:val="tx1"/>
                  </w14:solidFill>
                </w14:textFill>
              </w:rPr>
              <w:t>18597-2023）、</w:t>
            </w:r>
            <w:r>
              <w:rPr>
                <w:rFonts w:ascii="Times New Roman" w:hAnsi="Times New Roman" w:eastAsia="宋体"/>
                <w:color w:val="000000" w:themeColor="text1"/>
                <w:spacing w:val="1"/>
                <w:szCs w:val="21"/>
                <w:lang w:eastAsia="zh-CN"/>
                <w14:textFill>
                  <w14:solidFill>
                    <w14:schemeClr w14:val="tx1"/>
                  </w14:solidFill>
                </w14:textFill>
              </w:rPr>
              <w:t>《医疗废物处理处置污染控制标准》（GB39707-2020）</w:t>
            </w:r>
          </w:p>
        </w:tc>
        <w:tc>
          <w:tcPr>
            <w:tcW w:w="542" w:type="dxa"/>
            <w:vMerge w:val="restart"/>
            <w:tcBorders>
              <w:tl2br w:val="nil"/>
              <w:tr2bl w:val="nil"/>
            </w:tcBorders>
            <w:vAlign w:val="center"/>
          </w:tcPr>
          <w:p w14:paraId="62071AD3">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4"/>
                <w:szCs w:val="21"/>
                <w:lang w:eastAsia="en-US"/>
                <w14:textFill>
                  <w14:solidFill>
                    <w14:schemeClr w14:val="tx1"/>
                  </w14:solidFill>
                </w14:textFill>
              </w:rPr>
              <w:t>合理</w:t>
            </w:r>
            <w:r>
              <w:rPr>
                <w:rFonts w:ascii="Times New Roman" w:hAnsi="Times New Roman" w:eastAsia="宋体"/>
                <w:color w:val="000000" w:themeColor="text1"/>
                <w:spacing w:val="2"/>
                <w:szCs w:val="21"/>
                <w:lang w:eastAsia="en-US"/>
                <w14:textFill>
                  <w14:solidFill>
                    <w14:schemeClr w14:val="tx1"/>
                  </w14:solidFill>
                </w14:textFill>
              </w:rPr>
              <w:t>处置</w:t>
            </w:r>
          </w:p>
        </w:tc>
      </w:tr>
      <w:tr w14:paraId="76E120B7">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continue"/>
            <w:tcBorders>
              <w:tl2br w:val="nil"/>
              <w:tr2bl w:val="nil"/>
            </w:tcBorders>
            <w:vAlign w:val="center"/>
          </w:tcPr>
          <w:p w14:paraId="33CAC82F">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c>
          <w:tcPr>
            <w:tcW w:w="1023" w:type="dxa"/>
            <w:vMerge w:val="restart"/>
            <w:tcBorders>
              <w:tl2br w:val="nil"/>
              <w:tr2bl w:val="nil"/>
            </w:tcBorders>
            <w:vAlign w:val="center"/>
          </w:tcPr>
          <w:p w14:paraId="056E758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一般</w:t>
            </w:r>
            <w:r>
              <w:rPr>
                <w:rFonts w:ascii="Times New Roman" w:hAnsi="Times New Roman" w:eastAsia="宋体"/>
                <w:color w:val="000000" w:themeColor="text1"/>
                <w:spacing w:val="-5"/>
                <w:szCs w:val="21"/>
                <w:lang w:eastAsia="en-US"/>
                <w14:textFill>
                  <w14:solidFill>
                    <w14:schemeClr w14:val="tx1"/>
                  </w14:solidFill>
                </w14:textFill>
              </w:rPr>
              <w:t>固废</w:t>
            </w:r>
          </w:p>
        </w:tc>
        <w:tc>
          <w:tcPr>
            <w:tcW w:w="1218" w:type="dxa"/>
            <w:tcBorders>
              <w:tl2br w:val="nil"/>
              <w:tr2bl w:val="nil"/>
            </w:tcBorders>
            <w:vAlign w:val="center"/>
          </w:tcPr>
          <w:p w14:paraId="799FE707">
            <w:pPr>
              <w:pStyle w:val="75"/>
              <w:widowControl w:val="0"/>
              <w:autoSpaceDE w:val="0"/>
              <w:autoSpaceDN w:val="0"/>
              <w:adjustRightInd w:val="0"/>
              <w:snapToGrid w:val="0"/>
              <w:rPr>
                <w:rFonts w:ascii="Times New Roman" w:hAnsi="Times New Roman" w:eastAsia="宋体"/>
                <w:color w:val="000000" w:themeColor="text1"/>
                <w:sz w:val="21"/>
                <w:szCs w:val="21"/>
                <w:lang w:val="en-US" w:eastAsia="en-US"/>
                <w14:textFill>
                  <w14:solidFill>
                    <w14:schemeClr w14:val="tx1"/>
                  </w14:solidFill>
                </w14:textFill>
              </w:rPr>
            </w:pPr>
            <w:r>
              <w:rPr>
                <w:rFonts w:ascii="Times New Roman" w:hAnsi="Times New Roman" w:eastAsia="宋体"/>
                <w:color w:val="000000" w:themeColor="text1"/>
                <w:sz w:val="21"/>
                <w:szCs w:val="21"/>
                <w:lang w:val="en-US" w:eastAsia="en-US"/>
                <w14:textFill>
                  <w14:solidFill>
                    <w14:schemeClr w14:val="tx1"/>
                  </w14:solidFill>
                </w14:textFill>
              </w:rPr>
              <w:t>病死</w:t>
            </w:r>
            <w:r>
              <w:rPr>
                <w:rFonts w:hint="eastAsia" w:ascii="Times New Roman" w:hAnsi="Times New Roman" w:eastAsia="宋体"/>
                <w:color w:val="000000" w:themeColor="text1"/>
                <w:sz w:val="21"/>
                <w:szCs w:val="21"/>
                <w:lang w:val="en-US" w:eastAsia="zh-CN"/>
                <w14:textFill>
                  <w14:solidFill>
                    <w14:schemeClr w14:val="tx1"/>
                  </w14:solidFill>
                </w14:textFill>
              </w:rPr>
              <w:t>牛</w:t>
            </w:r>
          </w:p>
        </w:tc>
        <w:tc>
          <w:tcPr>
            <w:tcW w:w="3157" w:type="dxa"/>
            <w:tcBorders>
              <w:tl2br w:val="nil"/>
              <w:tr2bl w:val="nil"/>
            </w:tcBorders>
            <w:vAlign w:val="center"/>
          </w:tcPr>
          <w:p w14:paraId="066EE4B8">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hint="eastAsia" w:ascii="Times New Roman" w:hAnsi="Times New Roman" w:eastAsia="宋体"/>
                <w:color w:val="000000" w:themeColor="text1"/>
                <w:szCs w:val="21"/>
                <w:lang w:eastAsia="zh-CN"/>
                <w14:textFill>
                  <w14:solidFill>
                    <w14:schemeClr w14:val="tx1"/>
                  </w14:solidFill>
                </w14:textFill>
              </w:rPr>
              <w:t>日产日清</w:t>
            </w:r>
            <w:r>
              <w:rPr>
                <w:rFonts w:ascii="Times New Roman" w:hAnsi="Times New Roman" w:eastAsia="宋体"/>
                <w:color w:val="000000" w:themeColor="text1"/>
                <w:szCs w:val="21"/>
                <w:lang w:eastAsia="zh-CN"/>
                <w14:textFill>
                  <w14:solidFill>
                    <w14:schemeClr w14:val="tx1"/>
                  </w14:solidFill>
                </w14:textFill>
              </w:rPr>
              <w:t>，委托四川科农动物无害化处理有限公司无害化处理中心处置。</w:t>
            </w:r>
          </w:p>
        </w:tc>
        <w:tc>
          <w:tcPr>
            <w:tcW w:w="2156" w:type="dxa"/>
            <w:vMerge w:val="restart"/>
            <w:tcBorders>
              <w:tl2br w:val="nil"/>
              <w:tr2bl w:val="nil"/>
            </w:tcBorders>
            <w:vAlign w:val="center"/>
          </w:tcPr>
          <w:p w14:paraId="67490CF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2"/>
                <w:szCs w:val="21"/>
                <w:lang w:eastAsia="en-US"/>
                <w14:textFill>
                  <w14:solidFill>
                    <w14:schemeClr w14:val="tx1"/>
                  </w14:solidFill>
                </w14:textFill>
              </w:rPr>
              <w:t>/</w:t>
            </w:r>
          </w:p>
        </w:tc>
        <w:tc>
          <w:tcPr>
            <w:tcW w:w="542" w:type="dxa"/>
            <w:vMerge w:val="continue"/>
            <w:tcBorders>
              <w:tl2br w:val="nil"/>
              <w:tr2bl w:val="nil"/>
            </w:tcBorders>
          </w:tcPr>
          <w:p w14:paraId="7883E47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p>
        </w:tc>
      </w:tr>
      <w:tr w14:paraId="6407C6A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continue"/>
            <w:tcBorders>
              <w:tl2br w:val="nil"/>
              <w:tr2bl w:val="nil"/>
            </w:tcBorders>
            <w:vAlign w:val="center"/>
          </w:tcPr>
          <w:p w14:paraId="35B10B2F">
            <w:pPr>
              <w:widowControl/>
              <w:autoSpaceDE/>
              <w:autoSpaceDN/>
              <w:jc w:val="center"/>
              <w:rPr>
                <w:rFonts w:ascii="Times New Roman" w:hAnsi="Times New Roman" w:eastAsia="宋体"/>
                <w:color w:val="000000" w:themeColor="text1"/>
                <w:lang w:eastAsia="en-US"/>
                <w14:textFill>
                  <w14:solidFill>
                    <w14:schemeClr w14:val="tx1"/>
                  </w14:solidFill>
                </w14:textFill>
              </w:rPr>
            </w:pPr>
          </w:p>
        </w:tc>
        <w:tc>
          <w:tcPr>
            <w:tcW w:w="1023" w:type="dxa"/>
            <w:vMerge w:val="continue"/>
            <w:tcBorders>
              <w:tl2br w:val="nil"/>
              <w:tr2bl w:val="nil"/>
            </w:tcBorders>
            <w:vAlign w:val="center"/>
          </w:tcPr>
          <w:p w14:paraId="6406E9E8">
            <w:pPr>
              <w:widowControl/>
              <w:autoSpaceDE/>
              <w:autoSpaceDN/>
              <w:jc w:val="center"/>
              <w:rPr>
                <w:rFonts w:ascii="Times New Roman" w:hAnsi="Times New Roman" w:eastAsia="宋体"/>
                <w:color w:val="000000" w:themeColor="text1"/>
                <w:lang w:eastAsia="en-US"/>
                <w14:textFill>
                  <w14:solidFill>
                    <w14:schemeClr w14:val="tx1"/>
                  </w14:solidFill>
                </w14:textFill>
              </w:rPr>
            </w:pPr>
          </w:p>
        </w:tc>
        <w:tc>
          <w:tcPr>
            <w:tcW w:w="1218" w:type="dxa"/>
            <w:tcBorders>
              <w:tl2br w:val="nil"/>
              <w:tr2bl w:val="nil"/>
            </w:tcBorders>
            <w:vAlign w:val="center"/>
          </w:tcPr>
          <w:p w14:paraId="78484F55">
            <w:pPr>
              <w:widowControl w:val="0"/>
              <w:autoSpaceDE w:val="0"/>
              <w:autoSpaceDN w:val="0"/>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生活垃圾</w:t>
            </w:r>
          </w:p>
        </w:tc>
        <w:tc>
          <w:tcPr>
            <w:tcW w:w="3157" w:type="dxa"/>
            <w:tcBorders>
              <w:tl2br w:val="nil"/>
              <w:tr2bl w:val="nil"/>
            </w:tcBorders>
            <w:vAlign w:val="center"/>
          </w:tcPr>
          <w:p w14:paraId="091858DB">
            <w:pPr>
              <w:widowControl/>
              <w:autoSpaceDE/>
              <w:autoSpaceDN/>
              <w:jc w:val="center"/>
              <w:rPr>
                <w:rFonts w:ascii="Times New Roman" w:hAnsi="Times New Roman" w:eastAsia="宋体"/>
                <w:color w:val="000000" w:themeColor="text1"/>
                <w:spacing w:val="7"/>
                <w:szCs w:val="21"/>
                <w:lang w:eastAsia="zh-CN"/>
                <w14:textFill>
                  <w14:solidFill>
                    <w14:schemeClr w14:val="tx1"/>
                  </w14:solidFill>
                </w14:textFill>
              </w:rPr>
            </w:pPr>
            <w:r>
              <w:rPr>
                <w:rFonts w:ascii="Times New Roman" w:hAnsi="Times New Roman" w:eastAsia="宋体"/>
                <w:color w:val="000000" w:themeColor="text1"/>
                <w:spacing w:val="7"/>
                <w:szCs w:val="21"/>
                <w:lang w:eastAsia="zh-CN"/>
                <w14:textFill>
                  <w14:solidFill>
                    <w14:schemeClr w14:val="tx1"/>
                  </w14:solidFill>
                </w14:textFill>
              </w:rPr>
              <w:t>设置生活垃圾箱（若干）</w:t>
            </w:r>
            <w:r>
              <w:rPr>
                <w:rFonts w:ascii="Times New Roman" w:hAnsi="Times New Roman" w:eastAsia="宋体"/>
                <w:color w:val="000000" w:themeColor="text1"/>
                <w:szCs w:val="21"/>
                <w:lang w:eastAsia="zh-CN"/>
                <w14:textFill>
                  <w14:solidFill>
                    <w14:schemeClr w14:val="tx1"/>
                  </w14:solidFill>
                </w14:textFill>
              </w:rPr>
              <w:t>交由环卫部门处理</w:t>
            </w:r>
            <w:r>
              <w:rPr>
                <w:rFonts w:ascii="Times New Roman" w:hAnsi="Times New Roman" w:eastAsia="宋体"/>
                <w:color w:val="000000" w:themeColor="text1"/>
                <w:spacing w:val="7"/>
                <w:szCs w:val="21"/>
                <w:lang w:eastAsia="zh-CN"/>
                <w14:textFill>
                  <w14:solidFill>
                    <w14:schemeClr w14:val="tx1"/>
                  </w14:solidFill>
                </w14:textFill>
              </w:rPr>
              <w:t>；</w:t>
            </w:r>
          </w:p>
          <w:p w14:paraId="06158F78">
            <w:pPr>
              <w:widowControl w:val="0"/>
              <w:autoSpaceDE w:val="0"/>
              <w:autoSpaceDN w:val="0"/>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zCs w:val="21"/>
                <w:lang w:eastAsia="zh-CN"/>
                <w14:textFill>
                  <w14:solidFill>
                    <w14:schemeClr w14:val="tx1"/>
                  </w14:solidFill>
                </w14:textFill>
              </w:rPr>
              <w:t>餐厨垃圾（含隔油池油脂）由取得经营许可的餐厨垃圾处理单位处置。</w:t>
            </w:r>
          </w:p>
        </w:tc>
        <w:tc>
          <w:tcPr>
            <w:tcW w:w="2156" w:type="dxa"/>
            <w:vMerge w:val="continue"/>
            <w:tcBorders>
              <w:tl2br w:val="nil"/>
              <w:tr2bl w:val="nil"/>
            </w:tcBorders>
            <w:vAlign w:val="center"/>
          </w:tcPr>
          <w:p w14:paraId="042DB422">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542" w:type="dxa"/>
            <w:vMerge w:val="continue"/>
            <w:tcBorders>
              <w:tl2br w:val="nil"/>
              <w:tr2bl w:val="nil"/>
            </w:tcBorders>
          </w:tcPr>
          <w:p w14:paraId="68641F0B">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r>
      <w:tr w14:paraId="132DF831">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continue"/>
            <w:tcBorders>
              <w:tl2br w:val="nil"/>
              <w:tr2bl w:val="nil"/>
            </w:tcBorders>
            <w:vAlign w:val="center"/>
          </w:tcPr>
          <w:p w14:paraId="5280432D">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023" w:type="dxa"/>
            <w:vMerge w:val="continue"/>
            <w:tcBorders>
              <w:tl2br w:val="nil"/>
              <w:tr2bl w:val="nil"/>
            </w:tcBorders>
            <w:vAlign w:val="center"/>
          </w:tcPr>
          <w:p w14:paraId="1D9DF901">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218" w:type="dxa"/>
            <w:tcBorders>
              <w:tl2br w:val="nil"/>
              <w:tr2bl w:val="nil"/>
            </w:tcBorders>
            <w:vAlign w:val="center"/>
          </w:tcPr>
          <w:p w14:paraId="5066652B">
            <w:pPr>
              <w:widowControl w:val="0"/>
              <w:autoSpaceDE w:val="0"/>
              <w:autoSpaceDN w:val="0"/>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饲料残渣</w:t>
            </w:r>
          </w:p>
        </w:tc>
        <w:tc>
          <w:tcPr>
            <w:tcW w:w="3157" w:type="dxa"/>
            <w:tcBorders>
              <w:tl2br w:val="nil"/>
              <w:tr2bl w:val="nil"/>
            </w:tcBorders>
            <w:vAlign w:val="center"/>
          </w:tcPr>
          <w:p w14:paraId="0343F93E">
            <w:pPr>
              <w:widowControl w:val="0"/>
              <w:autoSpaceDE w:val="0"/>
              <w:autoSpaceDN w:val="0"/>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zCs w:val="21"/>
                <w:lang w:eastAsia="zh-CN"/>
                <w14:textFill>
                  <w14:solidFill>
                    <w14:schemeClr w14:val="tx1"/>
                  </w14:solidFill>
                </w14:textFill>
              </w:rPr>
              <w:t>外售作为有机肥生产的原材料使用。</w:t>
            </w:r>
          </w:p>
        </w:tc>
        <w:tc>
          <w:tcPr>
            <w:tcW w:w="2156" w:type="dxa"/>
            <w:vMerge w:val="continue"/>
            <w:tcBorders>
              <w:tl2br w:val="nil"/>
              <w:tr2bl w:val="nil"/>
            </w:tcBorders>
            <w:vAlign w:val="center"/>
          </w:tcPr>
          <w:p w14:paraId="61BD7219">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542" w:type="dxa"/>
            <w:vMerge w:val="continue"/>
            <w:tcBorders>
              <w:tl2br w:val="nil"/>
              <w:tr2bl w:val="nil"/>
            </w:tcBorders>
          </w:tcPr>
          <w:p w14:paraId="3BCF1A3A">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r>
      <w:tr w14:paraId="6DB29590">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vMerge w:val="continue"/>
            <w:tcBorders>
              <w:tl2br w:val="nil"/>
              <w:tr2bl w:val="nil"/>
            </w:tcBorders>
            <w:vAlign w:val="center"/>
          </w:tcPr>
          <w:p w14:paraId="65973076">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023" w:type="dxa"/>
            <w:vMerge w:val="continue"/>
            <w:tcBorders>
              <w:tl2br w:val="nil"/>
              <w:tr2bl w:val="nil"/>
            </w:tcBorders>
            <w:vAlign w:val="center"/>
          </w:tcPr>
          <w:p w14:paraId="742B15B3">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1218" w:type="dxa"/>
            <w:tcBorders>
              <w:tl2br w:val="nil"/>
              <w:tr2bl w:val="nil"/>
            </w:tcBorders>
            <w:vAlign w:val="center"/>
          </w:tcPr>
          <w:p w14:paraId="33EC7761">
            <w:pPr>
              <w:pStyle w:val="75"/>
              <w:widowControl w:val="0"/>
              <w:autoSpaceDE w:val="0"/>
              <w:autoSpaceDN w:val="0"/>
              <w:adjustRightInd w:val="0"/>
              <w:snapToGrid w:val="0"/>
              <w:rPr>
                <w:rFonts w:ascii="Times New Roman" w:hAnsi="Times New Roman" w:eastAsia="宋体"/>
                <w:color w:val="000000" w:themeColor="text1"/>
                <w:sz w:val="21"/>
                <w:szCs w:val="21"/>
                <w:lang w:val="en-US" w:eastAsia="en-US"/>
                <w14:textFill>
                  <w14:solidFill>
                    <w14:schemeClr w14:val="tx1"/>
                  </w14:solidFill>
                </w14:textFill>
              </w:rPr>
            </w:pPr>
            <w:r>
              <w:rPr>
                <w:rFonts w:ascii="Times New Roman" w:hAnsi="Times New Roman" w:eastAsia="宋体"/>
                <w:color w:val="000000" w:themeColor="text1"/>
                <w:sz w:val="21"/>
                <w:szCs w:val="21"/>
                <w:lang w:val="en-US" w:eastAsia="en-US"/>
                <w14:textFill>
                  <w14:solidFill>
                    <w14:schemeClr w14:val="tx1"/>
                  </w14:solidFill>
                </w14:textFill>
              </w:rPr>
              <w:t>废包装材料</w:t>
            </w:r>
          </w:p>
        </w:tc>
        <w:tc>
          <w:tcPr>
            <w:tcW w:w="3157" w:type="dxa"/>
            <w:tcBorders>
              <w:tl2br w:val="nil"/>
              <w:tr2bl w:val="nil"/>
            </w:tcBorders>
            <w:vAlign w:val="center"/>
          </w:tcPr>
          <w:p w14:paraId="11AC87C0">
            <w:pPr>
              <w:widowControl w:val="0"/>
              <w:autoSpaceDE w:val="0"/>
              <w:autoSpaceDN w:val="0"/>
              <w:adjustRightInd w:val="0"/>
              <w:snapToGrid w:val="0"/>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zCs w:val="21"/>
                <w:lang w:eastAsia="zh-CN"/>
                <w14:textFill>
                  <w14:solidFill>
                    <w14:schemeClr w14:val="tx1"/>
                  </w14:solidFill>
                </w14:textFill>
              </w:rPr>
              <w:t>分类收集后出售给废品回收站。</w:t>
            </w:r>
          </w:p>
        </w:tc>
        <w:tc>
          <w:tcPr>
            <w:tcW w:w="2156" w:type="dxa"/>
            <w:vMerge w:val="continue"/>
            <w:tcBorders>
              <w:tl2br w:val="nil"/>
              <w:tr2bl w:val="nil"/>
            </w:tcBorders>
            <w:vAlign w:val="center"/>
          </w:tcPr>
          <w:p w14:paraId="22E09D7B">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c>
          <w:tcPr>
            <w:tcW w:w="542" w:type="dxa"/>
            <w:vMerge w:val="continue"/>
            <w:tcBorders>
              <w:tl2br w:val="nil"/>
              <w:tr2bl w:val="nil"/>
            </w:tcBorders>
          </w:tcPr>
          <w:p w14:paraId="1E062B29">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p>
        </w:tc>
      </w:tr>
      <w:tr w14:paraId="50AA56A5">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92" w:type="dxa"/>
            <w:tcBorders>
              <w:tl2br w:val="nil"/>
              <w:tr2bl w:val="nil"/>
            </w:tcBorders>
            <w:vAlign w:val="center"/>
          </w:tcPr>
          <w:p w14:paraId="5845B3E8">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1"/>
                <w:szCs w:val="21"/>
                <w:lang w:eastAsia="en-US"/>
                <w14:textFill>
                  <w14:solidFill>
                    <w14:schemeClr w14:val="tx1"/>
                  </w14:solidFill>
                </w14:textFill>
              </w:rPr>
              <w:t>噪声</w:t>
            </w:r>
          </w:p>
        </w:tc>
        <w:tc>
          <w:tcPr>
            <w:tcW w:w="1023" w:type="dxa"/>
            <w:tcBorders>
              <w:tl2br w:val="nil"/>
              <w:tr2bl w:val="nil"/>
            </w:tcBorders>
            <w:vAlign w:val="center"/>
          </w:tcPr>
          <w:p w14:paraId="0513A6C6">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5"/>
                <w:szCs w:val="21"/>
                <w:lang w:eastAsia="en-US"/>
                <w14:textFill>
                  <w14:solidFill>
                    <w14:schemeClr w14:val="tx1"/>
                  </w14:solidFill>
                </w14:textFill>
              </w:rPr>
              <w:t>项目</w:t>
            </w:r>
            <w:r>
              <w:rPr>
                <w:rFonts w:hint="eastAsia" w:ascii="Times New Roman" w:hAnsi="Times New Roman" w:eastAsia="宋体"/>
                <w:color w:val="000000" w:themeColor="text1"/>
                <w:spacing w:val="5"/>
                <w:szCs w:val="21"/>
                <w:lang w:eastAsia="zh-CN"/>
                <w14:textFill>
                  <w14:solidFill>
                    <w14:schemeClr w14:val="tx1"/>
                  </w14:solidFill>
                </w14:textFill>
              </w:rPr>
              <w:t>区域</w:t>
            </w:r>
          </w:p>
        </w:tc>
        <w:tc>
          <w:tcPr>
            <w:tcW w:w="4375" w:type="dxa"/>
            <w:gridSpan w:val="2"/>
            <w:tcBorders>
              <w:tl2br w:val="nil"/>
              <w:tr2bl w:val="nil"/>
            </w:tcBorders>
            <w:vAlign w:val="center"/>
          </w:tcPr>
          <w:p w14:paraId="5DF1A516">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1"/>
                <w:szCs w:val="21"/>
                <w:lang w:eastAsia="zh-CN"/>
                <w14:textFill>
                  <w14:solidFill>
                    <w14:schemeClr w14:val="tx1"/>
                  </w14:solidFill>
                </w14:textFill>
              </w:rPr>
              <w:t>选用低噪设备、合理布局、加强维护保养，</w:t>
            </w:r>
            <w:r>
              <w:rPr>
                <w:rFonts w:ascii="Times New Roman" w:hAnsi="Times New Roman" w:eastAsia="宋体"/>
                <w:color w:val="000000" w:themeColor="text1"/>
                <w:spacing w:val="8"/>
                <w:szCs w:val="21"/>
                <w:lang w:eastAsia="zh-CN"/>
                <w14:textFill>
                  <w14:solidFill>
                    <w14:schemeClr w14:val="tx1"/>
                  </w14:solidFill>
                </w14:textFill>
              </w:rPr>
              <w:t>采取隔声等综合降噪措施。</w:t>
            </w:r>
          </w:p>
        </w:tc>
        <w:tc>
          <w:tcPr>
            <w:tcW w:w="2156" w:type="dxa"/>
            <w:tcBorders>
              <w:tl2br w:val="nil"/>
              <w:tr2bl w:val="nil"/>
            </w:tcBorders>
            <w:vAlign w:val="center"/>
          </w:tcPr>
          <w:p w14:paraId="1A572ED0">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《工业企业厂界环境</w:t>
            </w:r>
            <w:r>
              <w:rPr>
                <w:rFonts w:ascii="Times New Roman" w:hAnsi="Times New Roman" w:eastAsia="宋体"/>
                <w:color w:val="000000" w:themeColor="text1"/>
                <w:spacing w:val="2"/>
                <w:szCs w:val="21"/>
                <w:lang w:eastAsia="zh-CN"/>
                <w14:textFill>
                  <w14:solidFill>
                    <w14:schemeClr w14:val="tx1"/>
                  </w14:solidFill>
                </w14:textFill>
              </w:rPr>
              <w:t xml:space="preserve"> </w:t>
            </w:r>
            <w:r>
              <w:rPr>
                <w:rFonts w:ascii="Times New Roman" w:hAnsi="Times New Roman" w:eastAsia="宋体"/>
                <w:color w:val="000000" w:themeColor="text1"/>
                <w:spacing w:val="5"/>
                <w:szCs w:val="21"/>
                <w:lang w:eastAsia="zh-CN"/>
                <w14:textFill>
                  <w14:solidFill>
                    <w14:schemeClr w14:val="tx1"/>
                  </w14:solidFill>
                </w14:textFill>
              </w:rPr>
              <w:t>噪声排放标准》</w:t>
            </w:r>
          </w:p>
          <w:p w14:paraId="1DAB91AB">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zCs w:val="21"/>
                <w:lang w:eastAsia="en-US"/>
                <w14:textFill>
                  <w14:solidFill>
                    <w14:schemeClr w14:val="tx1"/>
                  </w14:solidFill>
                </w14:textFill>
              </w:rPr>
              <w:t>（GB</w:t>
            </w:r>
            <w:r>
              <w:rPr>
                <w:rFonts w:ascii="Times New Roman" w:hAnsi="Times New Roman" w:eastAsia="宋体"/>
                <w:color w:val="000000" w:themeColor="text1"/>
                <w:spacing w:val="5"/>
                <w:szCs w:val="21"/>
                <w:lang w:eastAsia="en-US"/>
                <w14:textFill>
                  <w14:solidFill>
                    <w14:schemeClr w14:val="tx1"/>
                  </w14:solidFill>
                </w14:textFill>
              </w:rPr>
              <w:t>12348-2008）</w:t>
            </w:r>
          </w:p>
        </w:tc>
        <w:tc>
          <w:tcPr>
            <w:tcW w:w="542" w:type="dxa"/>
            <w:tcBorders>
              <w:tl2br w:val="nil"/>
              <w:tr2bl w:val="nil"/>
            </w:tcBorders>
            <w:vAlign w:val="center"/>
          </w:tcPr>
          <w:p w14:paraId="5A001820">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3"/>
                <w:szCs w:val="21"/>
                <w:lang w:eastAsia="en-US"/>
                <w14:textFill>
                  <w14:solidFill>
                    <w14:schemeClr w14:val="tx1"/>
                  </w14:solidFill>
                </w14:textFill>
              </w:rPr>
              <w:t>厂界</w:t>
            </w:r>
            <w:r>
              <w:rPr>
                <w:rFonts w:ascii="Times New Roman" w:hAnsi="Times New Roman" w:eastAsia="宋体"/>
                <w:color w:val="000000" w:themeColor="text1"/>
                <w:spacing w:val="5"/>
                <w:szCs w:val="21"/>
                <w:lang w:eastAsia="en-US"/>
                <w14:textFill>
                  <w14:solidFill>
                    <w14:schemeClr w14:val="tx1"/>
                  </w14:solidFill>
                </w14:textFill>
              </w:rPr>
              <w:t>达标</w:t>
            </w:r>
          </w:p>
        </w:tc>
      </w:tr>
      <w:tr w14:paraId="1607F086">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715" w:type="dxa"/>
            <w:gridSpan w:val="2"/>
            <w:tcBorders>
              <w:tl2br w:val="nil"/>
              <w:tr2bl w:val="nil"/>
            </w:tcBorders>
            <w:vAlign w:val="center"/>
          </w:tcPr>
          <w:p w14:paraId="31CADBAC">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地下水污染防治</w:t>
            </w:r>
          </w:p>
        </w:tc>
        <w:tc>
          <w:tcPr>
            <w:tcW w:w="4375" w:type="dxa"/>
            <w:gridSpan w:val="2"/>
            <w:tcBorders>
              <w:tl2br w:val="nil"/>
              <w:tr2bl w:val="nil"/>
            </w:tcBorders>
            <w:vAlign w:val="center"/>
          </w:tcPr>
          <w:p w14:paraId="4E5A2642">
            <w:pPr>
              <w:widowControl/>
              <w:autoSpaceDE/>
              <w:autoSpaceDN/>
              <w:jc w:val="both"/>
              <w:rPr>
                <w:rFonts w:ascii="Times New Roman" w:hAnsi="Times New Roman" w:eastAsia="宋体"/>
                <w:color w:val="000000" w:themeColor="text1"/>
                <w:spacing w:val="7"/>
                <w:szCs w:val="21"/>
                <w:lang w:eastAsia="en-US"/>
                <w14:textFill>
                  <w14:solidFill>
                    <w14:schemeClr w14:val="tx1"/>
                  </w14:solidFill>
                </w14:textFill>
              </w:rPr>
            </w:pPr>
            <w:r>
              <w:rPr>
                <w:rFonts w:ascii="Times New Roman" w:hAnsi="Times New Roman" w:eastAsia="宋体"/>
                <w:color w:val="000000" w:themeColor="text1"/>
                <w:spacing w:val="7"/>
                <w:szCs w:val="21"/>
                <w:lang w:eastAsia="en-US"/>
                <w14:textFill>
                  <w14:solidFill>
                    <w14:schemeClr w14:val="tx1"/>
                  </w14:solidFill>
                </w14:textFill>
              </w:rPr>
              <w:t>防渗措施：</w:t>
            </w:r>
          </w:p>
          <w:p w14:paraId="737A8478">
            <w:pPr>
              <w:widowControl/>
              <w:numPr>
                <w:ilvl w:val="0"/>
                <w:numId w:val="42"/>
              </w:numPr>
              <w:autoSpaceDE/>
              <w:autoSpaceDN/>
              <w:jc w:val="left"/>
              <w:rPr>
                <w:rFonts w:ascii="Times New Roman" w:hAnsi="Times New Roman" w:eastAsia="宋体"/>
                <w:color w:val="000000" w:themeColor="text1"/>
                <w:spacing w:val="-2"/>
                <w:szCs w:val="21"/>
                <w:lang w:eastAsia="zh-CN"/>
                <w14:textFill>
                  <w14:solidFill>
                    <w14:schemeClr w14:val="tx1"/>
                  </w14:solidFill>
                </w14:textFill>
              </w:rPr>
            </w:pPr>
            <w:r>
              <w:rPr>
                <w:rFonts w:ascii="Times New Roman" w:hAnsi="Times New Roman" w:eastAsia="宋体"/>
                <w:color w:val="000000" w:themeColor="text1"/>
                <w:spacing w:val="7"/>
                <w:szCs w:val="21"/>
                <w:lang w:eastAsia="zh-CN"/>
                <w14:textFill>
                  <w14:solidFill>
                    <w14:schemeClr w14:val="tx1"/>
                  </w14:solidFill>
                </w14:textFill>
              </w:rPr>
              <w:t>重点防渗区：</w:t>
            </w:r>
            <w:r>
              <w:rPr>
                <w:rFonts w:hint="eastAsia" w:ascii="Times New Roman" w:hAnsi="Times New Roman" w:eastAsia="宋体"/>
                <w:color w:val="000000" w:themeColor="text1"/>
                <w:spacing w:val="-2"/>
                <w:szCs w:val="21"/>
                <w:lang w:eastAsia="zh-CN"/>
                <w14:textFill>
                  <w14:solidFill>
                    <w14:schemeClr w14:val="tx1"/>
                  </w14:solidFill>
                </w14:textFill>
              </w:rPr>
              <w:t>医</w:t>
            </w:r>
            <w:r>
              <w:rPr>
                <w:rFonts w:ascii="Times New Roman" w:hAnsi="Times New Roman" w:eastAsia="宋体"/>
                <w:color w:val="000000" w:themeColor="text1"/>
                <w:spacing w:val="-2"/>
                <w:szCs w:val="21"/>
                <w:lang w:eastAsia="zh-CN"/>
                <w14:textFill>
                  <w14:solidFill>
                    <w14:schemeClr w14:val="tx1"/>
                  </w14:solidFill>
                </w14:textFill>
              </w:rPr>
              <w:t>废暂存间、</w:t>
            </w:r>
            <w:r>
              <w:rPr>
                <w:rFonts w:hint="eastAsia" w:ascii="Times New Roman" w:hAnsi="Times New Roman" w:eastAsia="宋体"/>
                <w:color w:val="000000" w:themeColor="text1"/>
                <w:spacing w:val="-2"/>
                <w:szCs w:val="21"/>
                <w:lang w:eastAsia="zh-CN"/>
                <w14:textFill>
                  <w14:solidFill>
                    <w14:schemeClr w14:val="tx1"/>
                  </w14:solidFill>
                </w14:textFill>
              </w:rPr>
              <w:t>青贮窖池、</w:t>
            </w:r>
            <w:r>
              <w:rPr>
                <w:rFonts w:ascii="Times New Roman" w:hAnsi="Times New Roman" w:eastAsia="宋体"/>
                <w:color w:val="000000" w:themeColor="text1"/>
                <w:spacing w:val="-2"/>
                <w:szCs w:val="21"/>
                <w:lang w:eastAsia="zh-CN"/>
                <w14:textFill>
                  <w14:solidFill>
                    <w14:schemeClr w14:val="tx1"/>
                  </w14:solidFill>
                </w14:textFill>
              </w:rPr>
              <w:t>药品库、柴油发电机房、隔油池、</w:t>
            </w:r>
            <w:r>
              <w:rPr>
                <w:rFonts w:hint="eastAsia" w:ascii="Times New Roman" w:hAnsi="Times New Roman" w:eastAsia="宋体"/>
                <w:color w:val="000000" w:themeColor="text1"/>
                <w:spacing w:val="-2"/>
                <w:szCs w:val="21"/>
                <w:lang w:eastAsia="zh-CN"/>
                <w14:textFill>
                  <w14:solidFill>
                    <w14:schemeClr w14:val="tx1"/>
                  </w14:solidFill>
                </w14:textFill>
              </w:rPr>
              <w:t>化粪</w:t>
            </w:r>
            <w:r>
              <w:rPr>
                <w:rFonts w:ascii="Times New Roman" w:hAnsi="Times New Roman" w:eastAsia="宋体"/>
                <w:color w:val="000000" w:themeColor="text1"/>
                <w:spacing w:val="-2"/>
                <w:szCs w:val="21"/>
                <w:lang w:eastAsia="zh-CN"/>
                <w14:textFill>
                  <w14:solidFill>
                    <w14:schemeClr w14:val="tx1"/>
                  </w14:solidFill>
                </w14:textFill>
              </w:rPr>
              <w:t>池。</w:t>
            </w:r>
            <w:r>
              <w:rPr>
                <w:rFonts w:hint="eastAsia" w:ascii="Times New Roman" w:hAnsi="Times New Roman" w:eastAsia="宋体"/>
                <w:color w:val="000000" w:themeColor="text1"/>
                <w:spacing w:val="-2"/>
                <w:szCs w:val="21"/>
                <w:lang w:eastAsia="zh-CN"/>
                <w14:textFill>
                  <w14:solidFill>
                    <w14:schemeClr w14:val="tx1"/>
                  </w14:solidFill>
                </w14:textFill>
              </w:rPr>
              <w:t>医</w:t>
            </w:r>
            <w:r>
              <w:rPr>
                <w:rFonts w:ascii="Times New Roman" w:hAnsi="Times New Roman" w:eastAsia="宋体"/>
                <w:color w:val="000000" w:themeColor="text1"/>
                <w:spacing w:val="-2"/>
                <w:szCs w:val="21"/>
                <w:lang w:eastAsia="zh-CN"/>
                <w14:textFill>
                  <w14:solidFill>
                    <w14:schemeClr w14:val="tx1"/>
                  </w14:solidFill>
                </w14:textFill>
              </w:rPr>
              <w:t>废暂存间防渗技术要求为</w:t>
            </w:r>
            <w:r>
              <w:rPr>
                <w:rFonts w:ascii="Times New Roman" w:hAnsi="Times New Roman" w:eastAsia="宋体"/>
                <w:color w:val="000000" w:themeColor="text1"/>
                <w:szCs w:val="21"/>
                <w:lang w:eastAsia="zh-CN"/>
                <w14:textFill>
                  <w14:solidFill>
                    <w14:schemeClr w14:val="tx1"/>
                  </w14:solidFill>
                </w14:textFill>
              </w:rPr>
              <w:t>防渗层为至少1m厚黏土层（渗透系数不大于10</w:t>
            </w:r>
            <w:r>
              <w:rPr>
                <w:rFonts w:ascii="Times New Roman" w:hAnsi="Times New Roman" w:eastAsia="宋体"/>
                <w:color w:val="000000" w:themeColor="text1"/>
                <w:szCs w:val="21"/>
                <w:vertAlign w:val="superscript"/>
                <w:lang w:eastAsia="zh-CN"/>
                <w14:textFill>
                  <w14:solidFill>
                    <w14:schemeClr w14:val="tx1"/>
                  </w14:solidFill>
                </w14:textFill>
              </w:rPr>
              <w:t>-7</w:t>
            </w:r>
            <w:r>
              <w:rPr>
                <w:rFonts w:ascii="Times New Roman" w:hAnsi="Times New Roman" w:eastAsia="宋体"/>
                <w:color w:val="000000" w:themeColor="text1"/>
                <w:szCs w:val="21"/>
                <w:lang w:eastAsia="zh-CN"/>
                <w14:textFill>
                  <w14:solidFill>
                    <w14:schemeClr w14:val="tx1"/>
                  </w14:solidFill>
                </w14:textFill>
              </w:rPr>
              <w:t xml:space="preserve"> cm/s），或至少2mm厚高密度聚乙烯膜等人工防渗材料（渗透系数不大于10</w:t>
            </w:r>
            <w:r>
              <w:rPr>
                <w:rFonts w:ascii="Times New Roman" w:hAnsi="Times New Roman" w:eastAsia="宋体"/>
                <w:color w:val="000000" w:themeColor="text1"/>
                <w:szCs w:val="21"/>
                <w:vertAlign w:val="superscript"/>
                <w:lang w:eastAsia="zh-CN"/>
                <w14:textFill>
                  <w14:solidFill>
                    <w14:schemeClr w14:val="tx1"/>
                  </w14:solidFill>
                </w14:textFill>
              </w:rPr>
              <w:t>-10</w:t>
            </w:r>
            <w:r>
              <w:rPr>
                <w:rFonts w:ascii="Times New Roman" w:hAnsi="Times New Roman" w:eastAsia="宋体"/>
                <w:color w:val="000000" w:themeColor="text1"/>
                <w:szCs w:val="21"/>
                <w:lang w:eastAsia="zh-CN"/>
                <w14:textFill>
                  <w14:solidFill>
                    <w14:schemeClr w14:val="tx1"/>
                  </w14:solidFill>
                </w14:textFill>
              </w:rPr>
              <w:t xml:space="preserve"> cm/s）</w:t>
            </w:r>
            <w:r>
              <w:rPr>
                <w:rFonts w:ascii="Times New Roman" w:hAnsi="Times New Roman" w:eastAsia="宋体"/>
                <w:color w:val="000000" w:themeColor="text1"/>
                <w:spacing w:val="-2"/>
                <w:szCs w:val="21"/>
                <w:lang w:eastAsia="zh-CN"/>
                <w14:textFill>
                  <w14:solidFill>
                    <w14:schemeClr w14:val="tx1"/>
                  </w14:solidFill>
                </w14:textFill>
              </w:rPr>
              <w:t>；</w:t>
            </w:r>
            <w:r>
              <w:rPr>
                <w:rFonts w:hint="eastAsia" w:ascii="Times New Roman" w:hAnsi="Times New Roman" w:eastAsia="宋体"/>
                <w:color w:val="000000" w:themeColor="text1"/>
                <w:spacing w:val="-2"/>
                <w:szCs w:val="21"/>
                <w:lang w:eastAsia="zh-CN"/>
                <w14:textFill>
                  <w14:solidFill>
                    <w14:schemeClr w14:val="tx1"/>
                  </w14:solidFill>
                </w14:textFill>
              </w:rPr>
              <w:t>青贮窖池、</w:t>
            </w:r>
            <w:r>
              <w:rPr>
                <w:rFonts w:ascii="Times New Roman" w:hAnsi="Times New Roman" w:eastAsia="宋体"/>
                <w:color w:val="000000" w:themeColor="text1"/>
                <w:spacing w:val="-2"/>
                <w:szCs w:val="21"/>
                <w:lang w:eastAsia="zh-CN"/>
                <w14:textFill>
                  <w14:solidFill>
                    <w14:schemeClr w14:val="tx1"/>
                  </w14:solidFill>
                </w14:textFill>
              </w:rPr>
              <w:t>药品库、柴油发电机房、隔油池、</w:t>
            </w:r>
            <w:r>
              <w:rPr>
                <w:rFonts w:hint="eastAsia" w:ascii="Times New Roman" w:hAnsi="Times New Roman" w:eastAsia="宋体"/>
                <w:color w:val="000000" w:themeColor="text1"/>
                <w:spacing w:val="-2"/>
                <w:szCs w:val="21"/>
                <w:lang w:eastAsia="zh-CN"/>
                <w14:textFill>
                  <w14:solidFill>
                    <w14:schemeClr w14:val="tx1"/>
                  </w14:solidFill>
                </w14:textFill>
              </w:rPr>
              <w:t>化粪</w:t>
            </w:r>
            <w:r>
              <w:rPr>
                <w:rFonts w:ascii="Times New Roman" w:hAnsi="Times New Roman" w:eastAsia="宋体"/>
                <w:color w:val="000000" w:themeColor="text1"/>
                <w:spacing w:val="-2"/>
                <w:szCs w:val="21"/>
                <w:lang w:eastAsia="zh-CN"/>
                <w14:textFill>
                  <w14:solidFill>
                    <w14:schemeClr w14:val="tx1"/>
                  </w14:solidFill>
                </w14:textFill>
              </w:rPr>
              <w:t>池防渗技术要求为：应满足等效黏土防渗层Mb≥6.0m ，K≤10</w:t>
            </w:r>
            <w:r>
              <w:rPr>
                <w:rFonts w:ascii="Times New Roman" w:hAnsi="Times New Roman" w:eastAsia="宋体"/>
                <w:color w:val="000000" w:themeColor="text1"/>
                <w:spacing w:val="-2"/>
                <w:szCs w:val="21"/>
                <w:vertAlign w:val="superscript"/>
                <w:lang w:eastAsia="zh-CN"/>
                <w14:textFill>
                  <w14:solidFill>
                    <w14:schemeClr w14:val="tx1"/>
                  </w14:solidFill>
                </w14:textFill>
              </w:rPr>
              <w:t>-7</w:t>
            </w:r>
            <w:r>
              <w:rPr>
                <w:rFonts w:ascii="Times New Roman" w:hAnsi="Times New Roman" w:eastAsia="宋体"/>
                <w:color w:val="000000" w:themeColor="text1"/>
                <w:spacing w:val="-2"/>
                <w:szCs w:val="21"/>
                <w:lang w:eastAsia="zh-CN"/>
                <w14:textFill>
                  <w14:solidFill>
                    <w14:schemeClr w14:val="tx1"/>
                  </w14:solidFill>
                </w14:textFill>
              </w:rPr>
              <w:t>cm/s的防渗要求</w:t>
            </w:r>
            <w:r>
              <w:rPr>
                <w:rFonts w:ascii="Times New Roman" w:hAnsi="Times New Roman" w:eastAsia="宋体"/>
                <w:color w:val="000000" w:themeColor="text1"/>
                <w:szCs w:val="21"/>
                <w:lang w:eastAsia="zh-CN"/>
                <w14:textFill>
                  <w14:solidFill>
                    <w14:schemeClr w14:val="tx1"/>
                  </w14:solidFill>
                </w14:textFill>
              </w:rPr>
              <w:t>。</w:t>
            </w:r>
          </w:p>
          <w:p w14:paraId="3E38EF46">
            <w:pPr>
              <w:widowControl/>
              <w:numPr>
                <w:ilvl w:val="0"/>
                <w:numId w:val="42"/>
              </w:numPr>
              <w:autoSpaceDE/>
              <w:autoSpaceDN/>
              <w:jc w:val="left"/>
              <w:rPr>
                <w:rFonts w:ascii="Times New Roman" w:hAnsi="Times New Roman" w:eastAsia="宋体"/>
                <w:color w:val="000000" w:themeColor="text1"/>
                <w:spacing w:val="-2"/>
                <w:szCs w:val="21"/>
                <w:lang w:eastAsia="zh-CN"/>
                <w14:textFill>
                  <w14:solidFill>
                    <w14:schemeClr w14:val="tx1"/>
                  </w14:solidFill>
                </w14:textFill>
              </w:rPr>
            </w:pPr>
            <w:r>
              <w:rPr>
                <w:rFonts w:ascii="Times New Roman" w:hAnsi="Times New Roman" w:eastAsia="宋体"/>
                <w:color w:val="000000" w:themeColor="text1"/>
                <w:spacing w:val="-2"/>
                <w:szCs w:val="21"/>
                <w:lang w:eastAsia="zh-CN"/>
                <w14:textFill>
                  <w14:solidFill>
                    <w14:schemeClr w14:val="tx1"/>
                  </w14:solidFill>
                </w14:textFill>
              </w:rPr>
              <w:t>一般防渗区：牛舍、饲料仓库、饲料加工间、消毒池</w:t>
            </w:r>
            <w:r>
              <w:rPr>
                <w:rFonts w:hint="eastAsia" w:ascii="Times New Roman" w:hAnsi="Times New Roman" w:eastAsia="宋体"/>
                <w:color w:val="000000" w:themeColor="text1"/>
                <w:spacing w:val="-2"/>
                <w:szCs w:val="21"/>
                <w:lang w:eastAsia="zh-CN"/>
                <w14:textFill>
                  <w14:solidFill>
                    <w14:schemeClr w14:val="tx1"/>
                  </w14:solidFill>
                </w14:textFill>
              </w:rPr>
              <w:t>、雨水收集池、冷库</w:t>
            </w:r>
            <w:r>
              <w:rPr>
                <w:rFonts w:ascii="Times New Roman" w:hAnsi="Times New Roman" w:eastAsia="宋体"/>
                <w:color w:val="000000" w:themeColor="text1"/>
                <w:spacing w:val="-2"/>
                <w:szCs w:val="21"/>
                <w:lang w:eastAsia="zh-CN"/>
                <w14:textFill>
                  <w14:solidFill>
                    <w14:schemeClr w14:val="tx1"/>
                  </w14:solidFill>
                </w14:textFill>
              </w:rPr>
              <w:t>确定为一般防渗区，应满足等效黏土防渗层Mb≥1.5m，K≤10</w:t>
            </w:r>
            <w:r>
              <w:rPr>
                <w:rFonts w:ascii="Times New Roman" w:hAnsi="Times New Roman" w:eastAsia="宋体"/>
                <w:color w:val="000000" w:themeColor="text1"/>
                <w:spacing w:val="-2"/>
                <w:szCs w:val="21"/>
                <w:vertAlign w:val="superscript"/>
                <w:lang w:eastAsia="zh-CN"/>
                <w14:textFill>
                  <w14:solidFill>
                    <w14:schemeClr w14:val="tx1"/>
                  </w14:solidFill>
                </w14:textFill>
              </w:rPr>
              <w:t>-7</w:t>
            </w:r>
            <w:r>
              <w:rPr>
                <w:rFonts w:ascii="Times New Roman" w:hAnsi="Times New Roman" w:eastAsia="宋体"/>
                <w:color w:val="000000" w:themeColor="text1"/>
                <w:spacing w:val="-2"/>
                <w:szCs w:val="21"/>
                <w:lang w:eastAsia="zh-CN"/>
                <w14:textFill>
                  <w14:solidFill>
                    <w14:schemeClr w14:val="tx1"/>
                  </w14:solidFill>
                </w14:textFill>
              </w:rPr>
              <w:t>cm/s的防渗要求。</w:t>
            </w:r>
          </w:p>
          <w:p w14:paraId="294017B0">
            <w:pPr>
              <w:widowControl/>
              <w:numPr>
                <w:ilvl w:val="0"/>
                <w:numId w:val="42"/>
              </w:numPr>
              <w:autoSpaceDE/>
              <w:autoSpaceDN/>
              <w:jc w:val="left"/>
              <w:rPr>
                <w:rFonts w:ascii="Times New Roman" w:hAnsi="Times New Roman" w:eastAsia="宋体"/>
                <w:color w:val="000000" w:themeColor="text1"/>
                <w:spacing w:val="-2"/>
                <w:szCs w:val="21"/>
                <w:lang w:eastAsia="zh-CN"/>
                <w14:textFill>
                  <w14:solidFill>
                    <w14:schemeClr w14:val="tx1"/>
                  </w14:solidFill>
                </w14:textFill>
              </w:rPr>
            </w:pPr>
            <w:r>
              <w:rPr>
                <w:rFonts w:ascii="Times New Roman" w:hAnsi="Times New Roman" w:eastAsia="宋体"/>
                <w:color w:val="000000" w:themeColor="text1"/>
                <w:spacing w:val="-2"/>
                <w:szCs w:val="21"/>
                <w:lang w:eastAsia="zh-CN"/>
                <w14:textFill>
                  <w14:solidFill>
                    <w14:schemeClr w14:val="tx1"/>
                  </w14:solidFill>
                </w14:textFill>
              </w:rPr>
              <w:t>简单防渗区：办公生活区、道路等，采取水泥地面硬化。</w:t>
            </w:r>
          </w:p>
          <w:p w14:paraId="1AD98AD0">
            <w:pPr>
              <w:widowControl/>
              <w:autoSpaceDE/>
              <w:autoSpaceDN/>
              <w:jc w:val="left"/>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跟踪监测井：1个，位于项目区下游。</w:t>
            </w:r>
          </w:p>
        </w:tc>
        <w:tc>
          <w:tcPr>
            <w:tcW w:w="2156" w:type="dxa"/>
            <w:tcBorders>
              <w:tl2br w:val="nil"/>
              <w:tr2bl w:val="nil"/>
            </w:tcBorders>
            <w:vAlign w:val="center"/>
          </w:tcPr>
          <w:p w14:paraId="26AF192B">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按规定采取相应地下水污水防治措施</w:t>
            </w:r>
          </w:p>
        </w:tc>
        <w:tc>
          <w:tcPr>
            <w:tcW w:w="542" w:type="dxa"/>
            <w:tcBorders>
              <w:tl2br w:val="nil"/>
              <w:tr2bl w:val="nil"/>
            </w:tcBorders>
            <w:vAlign w:val="center"/>
          </w:tcPr>
          <w:p w14:paraId="266544AA">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6"/>
                <w:szCs w:val="21"/>
                <w:lang w:eastAsia="en-US"/>
                <w14:textFill>
                  <w14:solidFill>
                    <w14:schemeClr w14:val="tx1"/>
                  </w14:solidFill>
                </w14:textFill>
              </w:rPr>
              <w:t>满足防</w:t>
            </w:r>
            <w:r>
              <w:rPr>
                <w:rFonts w:ascii="Times New Roman" w:hAnsi="Times New Roman" w:eastAsia="宋体"/>
                <w:color w:val="000000" w:themeColor="text1"/>
                <w:spacing w:val="1"/>
                <w:szCs w:val="21"/>
                <w:lang w:eastAsia="en-US"/>
                <w14:textFill>
                  <w14:solidFill>
                    <w14:schemeClr w14:val="tx1"/>
                  </w14:solidFill>
                </w14:textFill>
              </w:rPr>
              <w:t xml:space="preserve"> </w:t>
            </w:r>
            <w:r>
              <w:rPr>
                <w:rFonts w:ascii="Times New Roman" w:hAnsi="Times New Roman" w:eastAsia="宋体"/>
                <w:color w:val="000000" w:themeColor="text1"/>
                <w:spacing w:val="6"/>
                <w:szCs w:val="21"/>
                <w:lang w:eastAsia="en-US"/>
                <w14:textFill>
                  <w14:solidFill>
                    <w14:schemeClr w14:val="tx1"/>
                  </w14:solidFill>
                </w14:textFill>
              </w:rPr>
              <w:t>渗要求</w:t>
            </w:r>
          </w:p>
        </w:tc>
      </w:tr>
      <w:tr w14:paraId="1054DA78">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715" w:type="dxa"/>
            <w:gridSpan w:val="2"/>
            <w:tcBorders>
              <w:tl2br w:val="nil"/>
              <w:tr2bl w:val="nil"/>
            </w:tcBorders>
            <w:vAlign w:val="center"/>
          </w:tcPr>
          <w:p w14:paraId="49A2F216">
            <w:pPr>
              <w:widowControl/>
              <w:autoSpaceDE/>
              <w:autoSpaceDN/>
              <w:jc w:val="center"/>
              <w:rPr>
                <w:rFonts w:ascii="Times New Roman" w:hAnsi="Times New Roman" w:eastAsia="宋体"/>
                <w:color w:val="000000" w:themeColor="text1"/>
                <w:szCs w:val="21"/>
                <w:lang w:eastAsia="en-US"/>
                <w14:textFill>
                  <w14:solidFill>
                    <w14:schemeClr w14:val="tx1"/>
                  </w14:solidFill>
                </w14:textFill>
              </w:rPr>
            </w:pPr>
            <w:r>
              <w:rPr>
                <w:rFonts w:ascii="Times New Roman" w:hAnsi="Times New Roman" w:eastAsia="宋体"/>
                <w:color w:val="000000" w:themeColor="text1"/>
                <w:spacing w:val="8"/>
                <w:szCs w:val="21"/>
                <w:lang w:eastAsia="en-US"/>
                <w14:textFill>
                  <w14:solidFill>
                    <w14:schemeClr w14:val="tx1"/>
                  </w14:solidFill>
                </w14:textFill>
              </w:rPr>
              <w:t>环境风险防范</w:t>
            </w:r>
            <w:r>
              <w:rPr>
                <w:rFonts w:ascii="Times New Roman" w:hAnsi="Times New Roman" w:eastAsia="宋体"/>
                <w:color w:val="000000" w:themeColor="text1"/>
                <w:spacing w:val="4"/>
                <w:szCs w:val="21"/>
                <w:lang w:eastAsia="en-US"/>
                <w14:textFill>
                  <w14:solidFill>
                    <w14:schemeClr w14:val="tx1"/>
                  </w14:solidFill>
                </w14:textFill>
              </w:rPr>
              <w:t>措施</w:t>
            </w:r>
          </w:p>
        </w:tc>
        <w:tc>
          <w:tcPr>
            <w:tcW w:w="4375" w:type="dxa"/>
            <w:gridSpan w:val="2"/>
            <w:tcBorders>
              <w:tl2br w:val="nil"/>
              <w:tr2bl w:val="nil"/>
            </w:tcBorders>
            <w:vAlign w:val="center"/>
          </w:tcPr>
          <w:p w14:paraId="0B2E12AF">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制定</w:t>
            </w:r>
            <w:r>
              <w:rPr>
                <w:rFonts w:ascii="Times New Roman" w:hAnsi="Times New Roman" w:eastAsia="宋体"/>
                <w:color w:val="000000" w:themeColor="text1"/>
                <w:spacing w:val="7"/>
                <w:szCs w:val="21"/>
                <w:lang w:eastAsia="zh-CN"/>
                <w14:textFill>
                  <w14:solidFill>
                    <w14:schemeClr w14:val="tx1"/>
                  </w14:solidFill>
                </w14:textFill>
              </w:rPr>
              <w:t>突发环境事件应急预案，加强环境管理，区域、部门联动。事故应急环境监测。</w:t>
            </w:r>
          </w:p>
        </w:tc>
        <w:tc>
          <w:tcPr>
            <w:tcW w:w="2156" w:type="dxa"/>
            <w:tcBorders>
              <w:tl2br w:val="nil"/>
              <w:tr2bl w:val="nil"/>
            </w:tcBorders>
            <w:vAlign w:val="center"/>
          </w:tcPr>
          <w:p w14:paraId="018F6B24">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8"/>
                <w:szCs w:val="21"/>
                <w:lang w:eastAsia="zh-CN"/>
                <w14:textFill>
                  <w14:solidFill>
                    <w14:schemeClr w14:val="tx1"/>
                  </w14:solidFill>
                </w14:textFill>
              </w:rPr>
              <w:t>按规定采取相应环境风险防范措施</w:t>
            </w:r>
          </w:p>
        </w:tc>
        <w:tc>
          <w:tcPr>
            <w:tcW w:w="542" w:type="dxa"/>
            <w:tcBorders>
              <w:tl2br w:val="nil"/>
              <w:tr2bl w:val="nil"/>
            </w:tcBorders>
            <w:vAlign w:val="center"/>
          </w:tcPr>
          <w:p w14:paraId="760DF3F4">
            <w:pPr>
              <w:widowControl/>
              <w:autoSpaceDE/>
              <w:autoSpaceDN/>
              <w:jc w:val="center"/>
              <w:rPr>
                <w:rFonts w:ascii="Times New Roman" w:hAnsi="Times New Roman" w:eastAsia="宋体"/>
                <w:color w:val="000000" w:themeColor="text1"/>
                <w:szCs w:val="21"/>
                <w:lang w:eastAsia="zh-CN"/>
                <w14:textFill>
                  <w14:solidFill>
                    <w14:schemeClr w14:val="tx1"/>
                  </w14:solidFill>
                </w14:textFill>
              </w:rPr>
            </w:pPr>
            <w:r>
              <w:rPr>
                <w:rFonts w:ascii="Times New Roman" w:hAnsi="Times New Roman" w:eastAsia="宋体"/>
                <w:color w:val="000000" w:themeColor="text1"/>
                <w:spacing w:val="6"/>
                <w:szCs w:val="21"/>
                <w:lang w:eastAsia="zh-CN"/>
                <w14:textFill>
                  <w14:solidFill>
                    <w14:schemeClr w14:val="tx1"/>
                  </w14:solidFill>
                </w14:textFill>
              </w:rPr>
              <w:t>满足防</w:t>
            </w:r>
            <w:r>
              <w:rPr>
                <w:rFonts w:ascii="Times New Roman" w:hAnsi="Times New Roman" w:eastAsia="宋体"/>
                <w:color w:val="000000" w:themeColor="text1"/>
                <w:spacing w:val="5"/>
                <w:szCs w:val="21"/>
                <w:lang w:eastAsia="zh-CN"/>
                <w14:textFill>
                  <w14:solidFill>
                    <w14:schemeClr w14:val="tx1"/>
                  </w14:solidFill>
                </w14:textFill>
              </w:rPr>
              <w:t>范环境</w:t>
            </w:r>
            <w:r>
              <w:rPr>
                <w:rFonts w:ascii="Times New Roman" w:hAnsi="Times New Roman" w:eastAsia="宋体"/>
                <w:color w:val="000000" w:themeColor="text1"/>
                <w:spacing w:val="4"/>
                <w:szCs w:val="21"/>
                <w:lang w:eastAsia="zh-CN"/>
                <w14:textFill>
                  <w14:solidFill>
                    <w14:schemeClr w14:val="tx1"/>
                  </w14:solidFill>
                </w14:textFill>
              </w:rPr>
              <w:t>风险要求</w:t>
            </w:r>
          </w:p>
        </w:tc>
      </w:tr>
    </w:tbl>
    <w:p w14:paraId="224DF228">
      <w:pPr>
        <w:adjustRightInd w:val="0"/>
        <w:snapToGrid w:val="0"/>
        <w:spacing w:line="360" w:lineRule="auto"/>
        <w:jc w:val="both"/>
        <w:rPr>
          <w:color w:val="000000" w:themeColor="text1"/>
          <w:sz w:val="24"/>
          <w14:textFill>
            <w14:solidFill>
              <w14:schemeClr w14:val="tx1"/>
            </w14:solidFill>
          </w14:textFill>
        </w:rPr>
        <w:sectPr>
          <w:pgSz w:w="11907" w:h="16840"/>
          <w:pgMar w:top="1440" w:right="1797" w:bottom="1440" w:left="1797" w:header="851" w:footer="992" w:gutter="0"/>
          <w:pgNumType w:chapStyle="1"/>
          <w:cols w:space="720" w:num="1"/>
          <w:docGrid w:linePitch="312" w:charSpace="0"/>
        </w:sectPr>
      </w:pPr>
    </w:p>
    <w:p w14:paraId="234FA3BA">
      <w:pPr>
        <w:pStyle w:val="3"/>
        <w:snapToGrid w:val="0"/>
        <w:spacing w:before="240" w:beforeLines="100" w:after="240" w:afterLines="100" w:line="360" w:lineRule="auto"/>
        <w:rPr>
          <w:bCs w:val="0"/>
          <w:color w:val="000000" w:themeColor="text1"/>
          <w:sz w:val="36"/>
          <w:szCs w:val="36"/>
          <w14:textFill>
            <w14:solidFill>
              <w14:schemeClr w14:val="tx1"/>
            </w14:solidFill>
          </w14:textFill>
        </w:rPr>
      </w:pPr>
      <w:bookmarkStart w:id="1123" w:name="_Toc233380300"/>
      <w:bookmarkStart w:id="1124" w:name="_Toc40220860"/>
      <w:bookmarkStart w:id="1125" w:name="_Toc20300"/>
      <w:r>
        <w:rPr>
          <w:bCs w:val="0"/>
          <w:color w:val="000000" w:themeColor="text1"/>
          <w:sz w:val="36"/>
          <w:szCs w:val="36"/>
          <w14:textFill>
            <w14:solidFill>
              <w14:schemeClr w14:val="tx1"/>
            </w14:solidFill>
          </w14:textFill>
        </w:rPr>
        <w:t>10结论与建议</w:t>
      </w:r>
      <w:bookmarkEnd w:id="1123"/>
      <w:bookmarkEnd w:id="1124"/>
      <w:bookmarkEnd w:id="1125"/>
    </w:p>
    <w:p w14:paraId="4148DD14">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26" w:name="_Toc233380301"/>
      <w:bookmarkStart w:id="1127" w:name="_Toc185141058"/>
      <w:bookmarkStart w:id="1128" w:name="_Toc40220861"/>
      <w:bookmarkStart w:id="1129" w:name="_Toc204834898"/>
      <w:bookmarkStart w:id="1130" w:name="_Toc306099256"/>
      <w:bookmarkStart w:id="1131" w:name="_Toc520469097"/>
      <w:r>
        <w:rPr>
          <w:rFonts w:ascii="Times New Roman" w:hAnsi="Times New Roman" w:eastAsia="宋体"/>
          <w:color w:val="000000" w:themeColor="text1"/>
          <w:sz w:val="30"/>
          <w:szCs w:val="30"/>
          <w14:textFill>
            <w14:solidFill>
              <w14:schemeClr w14:val="tx1"/>
            </w14:solidFill>
          </w14:textFill>
        </w:rPr>
        <w:t>10.1项目概况</w:t>
      </w:r>
      <w:bookmarkEnd w:id="1126"/>
    </w:p>
    <w:p w14:paraId="23561F2F">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bCs/>
          <w:color w:val="000000" w:themeColor="text1"/>
          <w:sz w:val="24"/>
          <w14:textFill>
            <w14:solidFill>
              <w14:schemeClr w14:val="tx1"/>
            </w14:solidFill>
          </w14:textFill>
        </w:rPr>
        <w:t>巴中市巨城市政工程有限公司拟投资35090.20万元，在巴州区共占地面积0.63万亩，其中建设饲草料种植基地0.6万亩、饲草料加工基地0.6万平方米；建设肉牛养殖区17.57万平方米，并配套建设其他附属设施工程。建成后可年出栏安格斯肉牛19380头、巴山肉牛1800头。</w:t>
      </w:r>
    </w:p>
    <w:p w14:paraId="39F71C86">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32" w:name="_Toc233380302"/>
      <w:r>
        <w:rPr>
          <w:rFonts w:ascii="Times New Roman" w:hAnsi="Times New Roman" w:eastAsia="宋体"/>
          <w:color w:val="000000" w:themeColor="text1"/>
          <w:sz w:val="30"/>
          <w:szCs w:val="30"/>
          <w14:textFill>
            <w14:solidFill>
              <w14:schemeClr w14:val="tx1"/>
            </w14:solidFill>
          </w14:textFill>
        </w:rPr>
        <w:t>10.2产业政策及规划的符合性</w:t>
      </w:r>
      <w:bookmarkEnd w:id="1127"/>
      <w:bookmarkEnd w:id="1128"/>
      <w:bookmarkEnd w:id="1129"/>
      <w:bookmarkEnd w:id="1130"/>
      <w:bookmarkEnd w:id="1131"/>
      <w:bookmarkEnd w:id="1132"/>
    </w:p>
    <w:p w14:paraId="580E2156">
      <w:pPr>
        <w:adjustRightInd w:val="0"/>
        <w:snapToGrid w:val="0"/>
        <w:spacing w:line="360" w:lineRule="auto"/>
        <w:ind w:firstLine="482" w:firstLineChars="200"/>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1、产业政策符合性</w:t>
      </w:r>
    </w:p>
    <w:p w14:paraId="3121C639">
      <w:pPr>
        <w:autoSpaceDE w:val="0"/>
        <w:autoSpaceDN w:val="0"/>
        <w:adjustRightInd w:val="0"/>
        <w:spacing w:line="360" w:lineRule="auto"/>
        <w:ind w:firstLine="480" w:firstLineChars="200"/>
        <w:jc w:val="both"/>
        <w:rPr>
          <w:b/>
          <w:color w:val="000000" w:themeColor="text1"/>
          <w:sz w:val="24"/>
          <w14:textFill>
            <w14:solidFill>
              <w14:schemeClr w14:val="tx1"/>
            </w14:solidFill>
          </w14:textFill>
        </w:rPr>
      </w:pPr>
      <w:r>
        <w:rPr>
          <w:color w:val="000000" w:themeColor="text1"/>
          <w:sz w:val="24"/>
          <w14:textFill>
            <w14:solidFill>
              <w14:schemeClr w14:val="tx1"/>
            </w14:solidFill>
          </w14:textFill>
        </w:rPr>
        <w:t>根据《国民经济行业分类》（GB/T 4754-2017）（2019年修订），</w:t>
      </w:r>
      <w:r>
        <w:rPr>
          <w:bCs/>
          <w:color w:val="000000" w:themeColor="text1"/>
          <w:sz w:val="24"/>
          <w14:textFill>
            <w14:solidFill>
              <w14:schemeClr w14:val="tx1"/>
            </w14:solidFill>
          </w14:textFill>
        </w:rPr>
        <w:t>本项目属于</w:t>
      </w:r>
      <w:r>
        <w:rPr>
          <w:color w:val="000000" w:themeColor="text1"/>
          <w:sz w:val="24"/>
          <w14:textFill>
            <w14:solidFill>
              <w14:schemeClr w14:val="tx1"/>
            </w14:solidFill>
          </w14:textFill>
        </w:rPr>
        <w:t>A0331类“牛的饲养”建设项目</w:t>
      </w:r>
      <w:r>
        <w:rPr>
          <w:bCs/>
          <w:color w:val="000000" w:themeColor="text1"/>
          <w:sz w:val="24"/>
          <w14:textFill>
            <w14:solidFill>
              <w14:schemeClr w14:val="tx1"/>
            </w14:solidFill>
          </w14:textFill>
        </w:rPr>
        <w:t>，对照《产业结构调整指导目录（2024年本）》，本项目属于产业政策中鼓励类：14．现代畜牧业及水产生态健康养殖：畜禽标准化规模养殖技术开发与应用。</w:t>
      </w:r>
    </w:p>
    <w:p w14:paraId="77BE3459">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本项目经巴州区发展和改革局《四川省固定资产投资备案表》（备案号：川投资备〔2408-511902-04-01-255827〕FGQB-0766号）予以备案。</w:t>
      </w:r>
    </w:p>
    <w:p w14:paraId="56EB2AA6">
      <w:pPr>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因此，本项目符合的国家现行产业政策。</w:t>
      </w:r>
    </w:p>
    <w:p w14:paraId="16D006F0">
      <w:pPr>
        <w:autoSpaceDE w:val="0"/>
        <w:autoSpaceDN w:val="0"/>
        <w:adjustRightInd w:val="0"/>
        <w:spacing w:line="360" w:lineRule="auto"/>
        <w:ind w:firstLine="482" w:firstLineChars="200"/>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2、用地规划符合性</w:t>
      </w:r>
    </w:p>
    <w:p w14:paraId="45A6D67E">
      <w:pPr>
        <w:pStyle w:val="75"/>
        <w:adjustRightInd w:val="0"/>
        <w:snapToGrid w:val="0"/>
        <w:spacing w:line="360" w:lineRule="auto"/>
        <w:ind w:firstLine="480" w:firstLineChars="200"/>
        <w:jc w:val="both"/>
        <w:rPr>
          <w:color w:val="000000" w:themeColor="text1"/>
          <w:kern w:val="0"/>
          <w:lang w:val="en-US" w:bidi="ar"/>
          <w14:textFill>
            <w14:solidFill>
              <w14:schemeClr w14:val="tx1"/>
            </w14:solidFill>
          </w14:textFill>
        </w:rPr>
      </w:pPr>
      <w:r>
        <w:rPr>
          <w:color w:val="000000" w:themeColor="text1"/>
          <w:kern w:val="0"/>
          <w:lang w:val="en-US" w:bidi="ar"/>
          <w14:textFill>
            <w14:solidFill>
              <w14:schemeClr w14:val="tx1"/>
            </w14:solidFill>
          </w14:textFill>
        </w:rPr>
        <w:t>本项目养殖场选址白庙乡百花村，曾口镇佛龙村，清江镇塘坝村，水宁寺镇始宁社区。</w:t>
      </w:r>
      <w:r>
        <w:rPr>
          <w:color w:val="000000" w:themeColor="text1"/>
          <w14:textFill>
            <w14:solidFill>
              <w14:schemeClr w14:val="tx1"/>
            </w14:solidFill>
          </w14:textFill>
        </w:rPr>
        <w:t>建设单位向</w:t>
      </w:r>
      <w:r>
        <w:rPr>
          <w:color w:val="000000" w:themeColor="text1"/>
          <w:kern w:val="0"/>
          <w:lang w:val="en-US" w:bidi="ar"/>
          <w14:textFill>
            <w14:solidFill>
              <w14:schemeClr w14:val="tx1"/>
            </w14:solidFill>
          </w14:textFill>
        </w:rPr>
        <w:t>当地乡镇</w:t>
      </w:r>
      <w:r>
        <w:rPr>
          <w:color w:val="000000" w:themeColor="text1"/>
          <w14:textFill>
            <w14:solidFill>
              <w14:schemeClr w14:val="tx1"/>
            </w14:solidFill>
          </w14:textFill>
        </w:rPr>
        <w:t>人民政府提交了设施农用地申请，</w:t>
      </w:r>
      <w:r>
        <w:rPr>
          <w:color w:val="000000" w:themeColor="text1"/>
          <w:lang w:val="en-US"/>
          <w14:textFill>
            <w14:solidFill>
              <w14:schemeClr w14:val="tx1"/>
            </w14:solidFill>
          </w14:textFill>
        </w:rPr>
        <w:t>目前已</w:t>
      </w:r>
      <w:r>
        <w:rPr>
          <w:color w:val="000000" w:themeColor="text1"/>
          <w14:textFill>
            <w14:solidFill>
              <w14:schemeClr w14:val="tx1"/>
            </w14:solidFill>
          </w14:textFill>
        </w:rPr>
        <w:t>获得了</w:t>
      </w:r>
      <w:r>
        <w:rPr>
          <w:color w:val="000000" w:themeColor="text1"/>
          <w:kern w:val="0"/>
          <w:lang w:val="en-US" w:bidi="ar"/>
          <w14:textFill>
            <w14:solidFill>
              <w14:schemeClr w14:val="tx1"/>
            </w14:solidFill>
          </w14:textFill>
        </w:rPr>
        <w:t>当地</w:t>
      </w:r>
      <w:r>
        <w:rPr>
          <w:color w:val="000000" w:themeColor="text1"/>
          <w14:textFill>
            <w14:solidFill>
              <w14:schemeClr w14:val="tx1"/>
            </w14:solidFill>
          </w14:textFill>
        </w:rPr>
        <w:t>乡镇政府盖章的设施农业用地</w:t>
      </w:r>
      <w:r>
        <w:rPr>
          <w:color w:val="000000" w:themeColor="text1"/>
          <w:lang w:val="en-US"/>
          <w14:textFill>
            <w14:solidFill>
              <w14:schemeClr w14:val="tx1"/>
            </w14:solidFill>
          </w14:textFill>
        </w:rPr>
        <w:t>批复</w:t>
      </w:r>
      <w:r>
        <w:rPr>
          <w:color w:val="000000" w:themeColor="text1"/>
          <w14:textFill>
            <w14:solidFill>
              <w14:schemeClr w14:val="tx1"/>
            </w14:solidFill>
          </w14:textFill>
        </w:rPr>
        <w:t>，并确定本项目红线范围内不占用在编的永久基本农田，符合“三区三线”管控规划。</w:t>
      </w:r>
      <w:r>
        <w:rPr>
          <w:rFonts w:hint="eastAsia"/>
          <w:color w:val="000000" w:themeColor="text1"/>
          <w14:textFill>
            <w14:solidFill>
              <w14:schemeClr w14:val="tx1"/>
            </w14:solidFill>
          </w14:textFill>
        </w:rPr>
        <w:t>同时</w:t>
      </w:r>
      <w:r>
        <w:rPr>
          <w:color w:val="000000" w:themeColor="text1"/>
          <w14:textFill>
            <w14:solidFill>
              <w14:schemeClr w14:val="tx1"/>
            </w14:solidFill>
          </w14:textFill>
        </w:rPr>
        <w:t>，本项目建设单位与</w:t>
      </w:r>
      <w:r>
        <w:rPr>
          <w:color w:val="000000" w:themeColor="text1"/>
          <w:lang w:val="en-US"/>
          <w14:textFill>
            <w14:solidFill>
              <w14:schemeClr w14:val="tx1"/>
            </w14:solidFill>
          </w14:textFill>
        </w:rPr>
        <w:t>当地村委</w:t>
      </w:r>
      <w:r>
        <w:rPr>
          <w:color w:val="000000" w:themeColor="text1"/>
          <w14:textFill>
            <w14:solidFill>
              <w14:schemeClr w14:val="tx1"/>
            </w14:solidFill>
          </w14:textFill>
        </w:rPr>
        <w:t>签订了</w:t>
      </w:r>
      <w:r>
        <w:rPr>
          <w:color w:val="000000" w:themeColor="text1"/>
          <w:lang w:val="en-US"/>
          <w14:textFill>
            <w14:solidFill>
              <w14:schemeClr w14:val="tx1"/>
            </w14:solidFill>
          </w14:textFill>
        </w:rPr>
        <w:t>土地流转</w:t>
      </w:r>
      <w:r>
        <w:rPr>
          <w:color w:val="000000" w:themeColor="text1"/>
          <w14:textFill>
            <w14:solidFill>
              <w14:schemeClr w14:val="tx1"/>
            </w14:solidFill>
          </w14:textFill>
        </w:rPr>
        <w:t>协议，协议租赁用于</w:t>
      </w:r>
      <w:r>
        <w:rPr>
          <w:color w:val="000000" w:themeColor="text1"/>
          <w:lang w:val="en-US"/>
          <w14:textFill>
            <w14:solidFill>
              <w14:schemeClr w14:val="tx1"/>
            </w14:solidFill>
          </w14:textFill>
        </w:rPr>
        <w:t>肉牛</w:t>
      </w:r>
      <w:r>
        <w:rPr>
          <w:rFonts w:hint="eastAsia"/>
          <w:color w:val="000000" w:themeColor="text1"/>
          <w:lang w:val="en-US"/>
          <w14:textFill>
            <w14:solidFill>
              <w14:schemeClr w14:val="tx1"/>
            </w14:solidFill>
          </w14:textFill>
        </w:rPr>
        <w:t>养殖场</w:t>
      </w:r>
      <w:r>
        <w:rPr>
          <w:color w:val="000000" w:themeColor="text1"/>
          <w14:textFill>
            <w14:solidFill>
              <w14:schemeClr w14:val="tx1"/>
            </w14:solidFill>
          </w14:textFill>
        </w:rPr>
        <w:t>的建设。</w:t>
      </w:r>
    </w:p>
    <w:p w14:paraId="2C7F672E">
      <w:pPr>
        <w:pStyle w:val="75"/>
        <w:adjustRightInd w:val="0"/>
        <w:snapToGrid w:val="0"/>
        <w:spacing w:line="360" w:lineRule="auto"/>
        <w:ind w:firstLine="480" w:firstLineChars="200"/>
        <w:jc w:val="both"/>
        <w:rPr>
          <w:color w:val="000000" w:themeColor="text1"/>
          <w14:textFill>
            <w14:solidFill>
              <w14:schemeClr w14:val="tx1"/>
            </w14:solidFill>
          </w14:textFill>
        </w:rPr>
      </w:pPr>
      <w:r>
        <w:rPr>
          <w:color w:val="000000" w:themeColor="text1"/>
          <w14:textFill>
            <w14:solidFill>
              <w14:schemeClr w14:val="tx1"/>
            </w14:solidFill>
          </w14:textFill>
        </w:rPr>
        <w:t>根据</w:t>
      </w:r>
      <w:r>
        <w:rPr>
          <w:rFonts w:hint="eastAsia"/>
          <w:color w:val="000000" w:themeColor="text1"/>
          <w14:textFill>
            <w14:solidFill>
              <w14:schemeClr w14:val="tx1"/>
            </w14:solidFill>
          </w14:textFill>
        </w:rPr>
        <w:t>设施农业用地备案表</w:t>
      </w:r>
      <w:r>
        <w:rPr>
          <w:color w:val="000000" w:themeColor="text1"/>
          <w14:textFill>
            <w14:solidFill>
              <w14:schemeClr w14:val="tx1"/>
            </w14:solidFill>
          </w14:textFill>
        </w:rPr>
        <w:t>，本项目不涉及饮用水水源保护区，不在畜禽养殖禁养区、限养区范围；不涉及生态保护红线、不占基本农田；未占用公益林和保护林。</w:t>
      </w:r>
    </w:p>
    <w:p w14:paraId="2EA62D86">
      <w:pPr>
        <w:adjustRightInd w:val="0"/>
        <w:snapToGrid w:val="0"/>
        <w:spacing w:line="360" w:lineRule="auto"/>
        <w:ind w:firstLine="482" w:firstLineChars="200"/>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3、选址合理性</w:t>
      </w:r>
    </w:p>
    <w:p w14:paraId="382D310B">
      <w:pPr>
        <w:adjustRightInd w:val="0"/>
        <w:snapToGrid w:val="0"/>
        <w:spacing w:line="360" w:lineRule="auto"/>
        <w:ind w:firstLine="480" w:firstLineChars="200"/>
        <w:jc w:val="both"/>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项目地处农村环境，周边主要为农户、耕地和林地。项目选址已避开基本农田、生态红线和禽畜禁养区，不涉及饮用水源保护区，不在自然保护区、风景名胜区、场镇规划区、湿地公园等保护区范围内。</w:t>
      </w:r>
    </w:p>
    <w:p w14:paraId="38BF31C9">
      <w:pPr>
        <w:adjustRightInd w:val="0"/>
        <w:snapToGrid w:val="0"/>
        <w:spacing w:line="360" w:lineRule="auto"/>
        <w:ind w:firstLine="480" w:firstLineChars="200"/>
        <w:jc w:val="both"/>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此外，项目肉牛养殖过程会产生噪声和恶臭，项目采用生物发酵床养殖模式，项目肉牛养殖过程产生的粪污混入发酵垫料中形成发酵床，建设单位与周边农户签订协议，废弃垫料</w:t>
      </w:r>
      <w:r>
        <w:rPr>
          <w:rFonts w:hint="eastAsia"/>
          <w:color w:val="000000" w:themeColor="text1"/>
          <w:kern w:val="0"/>
          <w:sz w:val="24"/>
          <w:lang w:bidi="ar"/>
          <w14:textFill>
            <w14:solidFill>
              <w14:schemeClr w14:val="tx1"/>
            </w14:solidFill>
          </w14:textFill>
        </w:rPr>
        <w:t>外运至有机肥厂无害化处置</w:t>
      </w:r>
      <w:r>
        <w:rPr>
          <w:color w:val="000000" w:themeColor="text1"/>
          <w:kern w:val="0"/>
          <w:sz w:val="24"/>
          <w:lang w:bidi="ar"/>
          <w14:textFill>
            <w14:solidFill>
              <w14:schemeClr w14:val="tx1"/>
            </w14:solidFill>
          </w14:textFill>
        </w:rPr>
        <w:t>，实现粪污资源化利用。项目生活污水处理后用于厂区绿化，不外排。本项目无生产废水、生活污水外排。项目采用发酵床技术，在饲料中添加益生菌，以及圈舍喷洒生物除臭剂的方式，能够显著减少恶臭影响，同时选址时已尽量避开周边零散民居，且以牛舍边界为起点划定100m的卫生防护距离范围。</w:t>
      </w:r>
      <w:bookmarkStart w:id="1133" w:name="OLE_LINK15"/>
      <w:bookmarkStart w:id="1134" w:name="OLE_LINK16"/>
      <w:r>
        <w:rPr>
          <w:rFonts w:hint="eastAsia"/>
          <w:color w:val="000000" w:themeColor="text1"/>
          <w:kern w:val="0"/>
          <w:sz w:val="24"/>
          <w:lang w:bidi="ar"/>
          <w14:textFill>
            <w14:solidFill>
              <w14:schemeClr w14:val="tx1"/>
            </w14:solidFill>
          </w14:textFill>
        </w:rPr>
        <w:t>本项目</w:t>
      </w:r>
      <w:r>
        <w:rPr>
          <w:color w:val="000000" w:themeColor="text1"/>
          <w:kern w:val="0"/>
          <w:sz w:val="24"/>
          <w:lang w:bidi="ar"/>
          <w14:textFill>
            <w14:solidFill>
              <w14:schemeClr w14:val="tx1"/>
            </w14:solidFill>
          </w14:textFill>
        </w:rPr>
        <w:t>已与该</w:t>
      </w:r>
      <w:r>
        <w:rPr>
          <w:rFonts w:hint="eastAsia"/>
          <w:color w:val="000000" w:themeColor="text1"/>
          <w:kern w:val="0"/>
          <w:sz w:val="24"/>
          <w:lang w:bidi="ar"/>
          <w14:textFill>
            <w14:solidFill>
              <w14:schemeClr w14:val="tx1"/>
            </w14:solidFill>
          </w14:textFill>
        </w:rPr>
        <w:t>周边卫生防护</w:t>
      </w:r>
      <w:r>
        <w:rPr>
          <w:color w:val="000000" w:themeColor="text1"/>
          <w:kern w:val="0"/>
          <w:sz w:val="24"/>
          <w:lang w:bidi="ar"/>
          <w14:textFill>
            <w14:solidFill>
              <w14:schemeClr w14:val="tx1"/>
            </w14:solidFill>
          </w14:textFill>
        </w:rPr>
        <w:t>居民签订房屋租赁协议作为职工宿舍、休息室等使用，因此本项目卫生防护距离范围内无医院、学校、居民等保护目标分布。</w:t>
      </w:r>
      <w:bookmarkEnd w:id="1133"/>
      <w:bookmarkEnd w:id="1134"/>
    </w:p>
    <w:p w14:paraId="19E5CE1A">
      <w:pPr>
        <w:spacing w:before="36" w:line="346" w:lineRule="auto"/>
        <w:ind w:left="10" w:right="65" w:firstLine="504"/>
        <w:jc w:val="both"/>
        <w:rPr>
          <w:color w:val="000000" w:themeColor="text1"/>
          <w:spacing w:val="-1"/>
          <w:sz w:val="24"/>
          <w14:textFill>
            <w14:solidFill>
              <w14:schemeClr w14:val="tx1"/>
            </w14:solidFill>
          </w14:textFill>
        </w:rPr>
      </w:pPr>
      <w:r>
        <w:rPr>
          <w:color w:val="000000" w:themeColor="text1"/>
          <w:kern w:val="0"/>
          <w:sz w:val="24"/>
          <w:lang w:bidi="ar"/>
          <w14:textFill>
            <w14:solidFill>
              <w14:schemeClr w14:val="tx1"/>
            </w14:solidFill>
          </w14:textFill>
        </w:rPr>
        <w:t>总体来说，项目通过采取相应的污染治理措施，基本上不会对周围产生污染或影响。项目建设地点位于农村，项目用地属于设施农业用地，用地符合当地规划；项目所在区域环境空气质量、地表水环境质量、声环境质量状况良好，根据预测项目对区域环境影响较小，不会改变区域环境功能，因此项目周围无明显环境制约因素，项目与周围外环境是基本相容的，项目选址合理。</w:t>
      </w:r>
    </w:p>
    <w:p w14:paraId="20208C5F">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35" w:name="_Toc233380303"/>
      <w:bookmarkStart w:id="1136" w:name="_Toc40220862"/>
      <w:bookmarkStart w:id="1137" w:name="_Toc520469098"/>
      <w:bookmarkStart w:id="1138" w:name="_Toc204834899"/>
      <w:bookmarkStart w:id="1139" w:name="_Toc306099257"/>
      <w:bookmarkStart w:id="1140" w:name="_Toc185141059"/>
      <w:r>
        <w:rPr>
          <w:rFonts w:ascii="Times New Roman" w:hAnsi="Times New Roman" w:eastAsia="宋体"/>
          <w:color w:val="000000" w:themeColor="text1"/>
          <w:sz w:val="30"/>
          <w:szCs w:val="30"/>
          <w14:textFill>
            <w14:solidFill>
              <w14:schemeClr w14:val="tx1"/>
            </w14:solidFill>
          </w14:textFill>
        </w:rPr>
        <w:t>10.3环境质量现状</w:t>
      </w:r>
      <w:bookmarkEnd w:id="1135"/>
    </w:p>
    <w:p w14:paraId="1BB5D295">
      <w:pPr>
        <w:tabs>
          <w:tab w:val="left" w:pos="9540"/>
        </w:tabs>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1、</w:t>
      </w:r>
      <w:r>
        <w:rPr>
          <w:b/>
          <w:bCs/>
          <w:color w:val="000000" w:themeColor="text1"/>
          <w:spacing w:val="-4"/>
          <w:sz w:val="24"/>
          <w14:textFill>
            <w14:solidFill>
              <w14:schemeClr w14:val="tx1"/>
            </w14:solidFill>
          </w14:textFill>
        </w:rPr>
        <w:t>环境空气质量现状</w:t>
      </w:r>
    </w:p>
    <w:p w14:paraId="295C6F34">
      <w:pPr>
        <w:tabs>
          <w:tab w:val="left" w:pos="9540"/>
        </w:tabs>
        <w:spacing w:line="360" w:lineRule="auto"/>
        <w:ind w:firstLine="480" w:firstLineChars="200"/>
        <w:jc w:val="both"/>
        <w:rPr>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根据</w:t>
      </w:r>
      <w:r>
        <w:rPr>
          <w:color w:val="000000" w:themeColor="text1"/>
          <w:sz w:val="24"/>
          <w14:textFill>
            <w14:solidFill>
              <w14:schemeClr w14:val="tx1"/>
            </w14:solidFill>
          </w14:textFill>
        </w:rPr>
        <w:t>巴中市2024年环境质量公报</w:t>
      </w:r>
      <w:r>
        <w:rPr>
          <w:bCs/>
          <w:color w:val="000000" w:themeColor="text1"/>
          <w:kern w:val="0"/>
          <w:sz w:val="24"/>
          <w14:textFill>
            <w14:solidFill>
              <w14:schemeClr w14:val="tx1"/>
            </w14:solidFill>
          </w14:textFill>
        </w:rPr>
        <w:t>，</w:t>
      </w:r>
      <w:r>
        <w:rPr>
          <w:color w:val="000000" w:themeColor="text1"/>
          <w:kern w:val="0"/>
          <w:sz w:val="24"/>
          <w14:textFill>
            <w14:solidFill>
              <w14:schemeClr w14:val="tx1"/>
            </w14:solidFill>
          </w14:textFill>
        </w:rPr>
        <w:t>项目所在区域环境空气质量达标，属于达标区。</w:t>
      </w:r>
      <w:r>
        <w:rPr>
          <w:rFonts w:hint="eastAsia"/>
          <w:color w:val="000000" w:themeColor="text1"/>
          <w:kern w:val="0"/>
          <w:sz w:val="24"/>
          <w14:textFill>
            <w14:solidFill>
              <w14:schemeClr w14:val="tx1"/>
            </w14:solidFill>
          </w14:textFill>
        </w:rPr>
        <w:t>根据项目现场补充监测，</w:t>
      </w:r>
      <w:r>
        <w:rPr>
          <w:color w:val="000000" w:themeColor="text1"/>
          <w:sz w:val="24"/>
          <w14:textFill>
            <w14:solidFill>
              <w14:schemeClr w14:val="tx1"/>
            </w14:solidFill>
          </w14:textFill>
        </w:rPr>
        <w:t>项目所在区域环境空气中氨、硫化氢满足</w:t>
      </w:r>
      <w:r>
        <w:rPr>
          <w:color w:val="000000" w:themeColor="text1"/>
          <w:spacing w:val="1"/>
          <w:sz w:val="24"/>
          <w14:textFill>
            <w14:solidFill>
              <w14:schemeClr w14:val="tx1"/>
            </w14:solidFill>
          </w14:textFill>
        </w:rPr>
        <w:t>《环境影响评价技术导则大气环境》（</w:t>
      </w:r>
      <w:r>
        <w:rPr>
          <w:color w:val="000000" w:themeColor="text1"/>
          <w:sz w:val="24"/>
          <w14:textFill>
            <w14:solidFill>
              <w14:schemeClr w14:val="tx1"/>
            </w14:solidFill>
          </w14:textFill>
        </w:rPr>
        <w:t>HJ</w:t>
      </w:r>
      <w:r>
        <w:rPr>
          <w:rFonts w:eastAsia="Times New Roman"/>
          <w:color w:val="000000" w:themeColor="text1"/>
          <w:spacing w:val="1"/>
          <w:sz w:val="24"/>
          <w14:textFill>
            <w14:solidFill>
              <w14:schemeClr w14:val="tx1"/>
            </w14:solidFill>
          </w14:textFill>
        </w:rPr>
        <w:t>2.2-2018</w:t>
      </w:r>
      <w:r>
        <w:rPr>
          <w:color w:val="000000" w:themeColor="text1"/>
          <w:spacing w:val="1"/>
          <w:sz w:val="24"/>
          <w14:textFill>
            <w14:solidFill>
              <w14:schemeClr w14:val="tx1"/>
            </w14:solidFill>
          </w14:textFill>
        </w:rPr>
        <w:t>）附录</w:t>
      </w:r>
      <w:r>
        <w:rPr>
          <w:rFonts w:eastAsia="Times New Roman"/>
          <w:color w:val="000000" w:themeColor="text1"/>
          <w:spacing w:val="1"/>
          <w:sz w:val="24"/>
          <w14:textFill>
            <w14:solidFill>
              <w14:schemeClr w14:val="tx1"/>
            </w14:solidFill>
          </w14:textFill>
        </w:rPr>
        <w:t>D</w:t>
      </w:r>
      <w:r>
        <w:rPr>
          <w:color w:val="000000" w:themeColor="text1"/>
          <w:spacing w:val="1"/>
          <w:sz w:val="24"/>
          <w14:textFill>
            <w14:solidFill>
              <w14:schemeClr w14:val="tx1"/>
            </w14:solidFill>
          </w14:textFill>
        </w:rPr>
        <w:t>参考限值，</w:t>
      </w:r>
      <w:r>
        <w:rPr>
          <w:rFonts w:eastAsia="Times New Roman"/>
          <w:color w:val="000000" w:themeColor="text1"/>
          <w:spacing w:val="1"/>
          <w:sz w:val="24"/>
          <w14:textFill>
            <w14:solidFill>
              <w14:schemeClr w14:val="tx1"/>
            </w14:solidFill>
          </w14:textFill>
        </w:rPr>
        <w:t>TSP</w:t>
      </w:r>
      <w:r>
        <w:rPr>
          <w:color w:val="000000" w:themeColor="text1"/>
          <w:sz w:val="24"/>
          <w14:textFill>
            <w14:solidFill>
              <w14:schemeClr w14:val="tx1"/>
            </w14:solidFill>
          </w14:textFill>
        </w:rPr>
        <w:t>满足《环境空气质量标准》（GB 3095-20</w:t>
      </w:r>
      <w:r>
        <w:rPr>
          <w:rFonts w:hint="eastAsia"/>
          <w:color w:val="000000" w:themeColor="text1"/>
          <w:sz w:val="24"/>
          <w14:textFill>
            <w14:solidFill>
              <w14:schemeClr w14:val="tx1"/>
            </w14:solidFill>
          </w14:textFill>
        </w:rPr>
        <w:t>26</w:t>
      </w:r>
      <w:r>
        <w:rPr>
          <w:color w:val="000000" w:themeColor="text1"/>
          <w:sz w:val="24"/>
          <w14:textFill>
            <w14:solidFill>
              <w14:schemeClr w14:val="tx1"/>
            </w14:solidFill>
          </w14:textFill>
        </w:rPr>
        <w:t>）二级标准</w:t>
      </w:r>
      <w:r>
        <w:rPr>
          <w:color w:val="000000" w:themeColor="text1"/>
          <w:spacing w:val="1"/>
          <w:sz w:val="24"/>
          <w14:textFill>
            <w14:solidFill>
              <w14:schemeClr w14:val="tx1"/>
            </w14:solidFill>
          </w14:textFill>
        </w:rPr>
        <w:t>。</w:t>
      </w:r>
    </w:p>
    <w:p w14:paraId="5A22E5E5">
      <w:pPr>
        <w:widowControl w:val="0"/>
        <w:spacing w:line="360" w:lineRule="auto"/>
        <w:ind w:firstLine="466" w:firstLineChars="200"/>
        <w:rPr>
          <w:color w:val="000000" w:themeColor="text1"/>
          <w:sz w:val="24"/>
          <w14:textFill>
            <w14:solidFill>
              <w14:schemeClr w14:val="tx1"/>
            </w14:solidFill>
          </w14:textFill>
        </w:rPr>
      </w:pPr>
      <w:r>
        <w:rPr>
          <w:b/>
          <w:bCs/>
          <w:color w:val="000000" w:themeColor="text1"/>
          <w:spacing w:val="-4"/>
          <w:sz w:val="24"/>
          <w14:textFill>
            <w14:solidFill>
              <w14:schemeClr w14:val="tx1"/>
            </w14:solidFill>
          </w14:textFill>
        </w:rPr>
        <w:t>2、地表水环境质量现状</w:t>
      </w:r>
    </w:p>
    <w:p w14:paraId="07DA7164">
      <w:pPr>
        <w:widowControl w:val="0"/>
        <w:spacing w:line="360" w:lineRule="auto"/>
        <w:ind w:firstLine="480" w:firstLineChars="200"/>
        <w:jc w:val="both"/>
        <w:rPr>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根据</w:t>
      </w:r>
      <w:r>
        <w:rPr>
          <w:color w:val="000000" w:themeColor="text1"/>
          <w:kern w:val="0"/>
          <w:sz w:val="24"/>
          <w14:textFill>
            <w14:solidFill>
              <w14:schemeClr w14:val="tx1"/>
            </w14:solidFill>
          </w14:textFill>
        </w:rPr>
        <w:t>巴中市2024年环境质量公报</w:t>
      </w:r>
      <w:r>
        <w:rPr>
          <w:bCs/>
          <w:color w:val="000000" w:themeColor="text1"/>
          <w:kern w:val="0"/>
          <w:sz w:val="24"/>
          <w14:textFill>
            <w14:solidFill>
              <w14:schemeClr w14:val="tx1"/>
            </w14:solidFill>
          </w14:textFill>
        </w:rPr>
        <w:t>，项目</w:t>
      </w:r>
      <w:r>
        <w:rPr>
          <w:color w:val="000000" w:themeColor="text1"/>
          <w:spacing w:val="7"/>
          <w:sz w:val="24"/>
          <w14:textFill>
            <w14:solidFill>
              <w14:schemeClr w14:val="tx1"/>
            </w14:solidFill>
          </w14:textFill>
        </w:rPr>
        <w:t>所在区域地表水满足《地表水环境质量标准》</w:t>
      </w:r>
      <w:r>
        <w:rPr>
          <w:color w:val="000000" w:themeColor="text1"/>
          <w:spacing w:val="-1"/>
          <w:sz w:val="24"/>
          <w14:textFill>
            <w14:solidFill>
              <w14:schemeClr w14:val="tx1"/>
            </w14:solidFill>
          </w14:textFill>
        </w:rPr>
        <w:t>（GB</w:t>
      </w:r>
      <w:r>
        <w:rPr>
          <w:rFonts w:eastAsia="Times New Roman"/>
          <w:color w:val="000000" w:themeColor="text1"/>
          <w:spacing w:val="-1"/>
          <w:sz w:val="24"/>
          <w14:textFill>
            <w14:solidFill>
              <w14:schemeClr w14:val="tx1"/>
            </w14:solidFill>
          </w14:textFill>
        </w:rPr>
        <w:t>3838-2002</w:t>
      </w:r>
      <w:r>
        <w:rPr>
          <w:color w:val="000000" w:themeColor="text1"/>
          <w:spacing w:val="-1"/>
          <w:sz w:val="24"/>
          <w14:textFill>
            <w14:solidFill>
              <w14:schemeClr w14:val="tx1"/>
            </w14:solidFill>
          </w14:textFill>
        </w:rPr>
        <w:t>）</w:t>
      </w:r>
      <w:r>
        <w:rPr>
          <w:rFonts w:eastAsia="Times New Roman"/>
          <w:color w:val="000000" w:themeColor="text1"/>
          <w:spacing w:val="-1"/>
          <w:sz w:val="24"/>
          <w14:textFill>
            <w14:solidFill>
              <w14:schemeClr w14:val="tx1"/>
            </w14:solidFill>
          </w14:textFill>
        </w:rPr>
        <w:t>III</w:t>
      </w:r>
      <w:r>
        <w:rPr>
          <w:color w:val="000000" w:themeColor="text1"/>
          <w:spacing w:val="-1"/>
          <w:sz w:val="24"/>
          <w14:textFill>
            <w14:solidFill>
              <w14:schemeClr w14:val="tx1"/>
            </w14:solidFill>
          </w14:textFill>
        </w:rPr>
        <w:t>类标准，水环</w:t>
      </w:r>
      <w:r>
        <w:rPr>
          <w:color w:val="000000" w:themeColor="text1"/>
          <w:spacing w:val="-2"/>
          <w:sz w:val="24"/>
          <w14:textFill>
            <w14:solidFill>
              <w14:schemeClr w14:val="tx1"/>
            </w14:solidFill>
          </w14:textFill>
        </w:rPr>
        <w:t>境质量较好。</w:t>
      </w:r>
    </w:p>
    <w:p w14:paraId="623CABB8">
      <w:pPr>
        <w:widowControl w:val="0"/>
        <w:spacing w:line="360" w:lineRule="auto"/>
        <w:ind w:firstLine="528" w:firstLineChars="200"/>
        <w:jc w:val="both"/>
        <w:rPr>
          <w:color w:val="000000" w:themeColor="text1"/>
          <w:kern w:val="0"/>
          <w:sz w:val="24"/>
          <w14:textFill>
            <w14:solidFill>
              <w14:schemeClr w14:val="tx1"/>
            </w14:solidFill>
          </w14:textFill>
        </w:rPr>
      </w:pPr>
      <w:r>
        <w:rPr>
          <w:color w:val="000000" w:themeColor="text1"/>
          <w:spacing w:val="12"/>
          <w:sz w:val="24"/>
          <w14:textFill>
            <w14:solidFill>
              <w14:schemeClr w14:val="tx1"/>
            </w14:solidFill>
          </w14:textFill>
        </w:rPr>
        <w:t>根据现状监测，项目周围地表水体各项监测评价因子均达到《地表水环</w:t>
      </w:r>
      <w:r>
        <w:rPr>
          <w:color w:val="000000" w:themeColor="text1"/>
          <w:spacing w:val="11"/>
          <w:sz w:val="24"/>
          <w14:textFill>
            <w14:solidFill>
              <w14:schemeClr w14:val="tx1"/>
            </w14:solidFill>
          </w14:textFill>
        </w:rPr>
        <w:t>境质量标</w:t>
      </w:r>
      <w:r>
        <w:rPr>
          <w:color w:val="000000" w:themeColor="text1"/>
          <w:spacing w:val="-1"/>
          <w:sz w:val="24"/>
          <w14:textFill>
            <w14:solidFill>
              <w14:schemeClr w14:val="tx1"/>
            </w14:solidFill>
          </w14:textFill>
        </w:rPr>
        <w:t xml:space="preserve">准》（GB </w:t>
      </w:r>
      <w:r>
        <w:rPr>
          <w:rFonts w:eastAsia="Times New Roman"/>
          <w:color w:val="000000" w:themeColor="text1"/>
          <w:spacing w:val="-1"/>
          <w:sz w:val="24"/>
          <w14:textFill>
            <w14:solidFill>
              <w14:schemeClr w14:val="tx1"/>
            </w14:solidFill>
          </w14:textFill>
        </w:rPr>
        <w:t>3838-2002</w:t>
      </w:r>
      <w:r>
        <w:rPr>
          <w:color w:val="000000" w:themeColor="text1"/>
          <w:spacing w:val="-1"/>
          <w:sz w:val="24"/>
          <w14:textFill>
            <w14:solidFill>
              <w14:schemeClr w14:val="tx1"/>
            </w14:solidFill>
          </w14:textFill>
        </w:rPr>
        <w:t>）</w:t>
      </w:r>
      <w:r>
        <w:rPr>
          <w:rFonts w:eastAsia="Times New Roman"/>
          <w:color w:val="000000" w:themeColor="text1"/>
          <w:spacing w:val="-1"/>
          <w:sz w:val="24"/>
          <w14:textFill>
            <w14:solidFill>
              <w14:schemeClr w14:val="tx1"/>
            </w14:solidFill>
          </w14:textFill>
        </w:rPr>
        <w:t>III</w:t>
      </w:r>
      <w:r>
        <w:rPr>
          <w:color w:val="000000" w:themeColor="text1"/>
          <w:spacing w:val="-1"/>
          <w:sz w:val="24"/>
          <w14:textFill>
            <w14:solidFill>
              <w14:schemeClr w14:val="tx1"/>
            </w14:solidFill>
          </w14:textFill>
        </w:rPr>
        <w:t>类水域标准。</w:t>
      </w:r>
    </w:p>
    <w:p w14:paraId="4C9499FE">
      <w:pPr>
        <w:widowControl w:val="0"/>
        <w:spacing w:line="360" w:lineRule="auto"/>
        <w:ind w:firstLine="466" w:firstLineChars="200"/>
        <w:rPr>
          <w:b/>
          <w:bCs/>
          <w:color w:val="000000" w:themeColor="text1"/>
          <w:spacing w:val="-4"/>
          <w:sz w:val="24"/>
          <w14:textFill>
            <w14:solidFill>
              <w14:schemeClr w14:val="tx1"/>
            </w14:solidFill>
          </w14:textFill>
        </w:rPr>
      </w:pPr>
      <w:r>
        <w:rPr>
          <w:b/>
          <w:bCs/>
          <w:color w:val="000000" w:themeColor="text1"/>
          <w:spacing w:val="-4"/>
          <w:sz w:val="24"/>
          <w14:textFill>
            <w14:solidFill>
              <w14:schemeClr w14:val="tx1"/>
            </w14:solidFill>
          </w14:textFill>
        </w:rPr>
        <w:t>3、地下水环境质量现状</w:t>
      </w:r>
    </w:p>
    <w:p w14:paraId="7BE4918B">
      <w:pPr>
        <w:tabs>
          <w:tab w:val="left" w:pos="9540"/>
        </w:tabs>
        <w:spacing w:line="360" w:lineRule="auto"/>
        <w:ind w:firstLine="652" w:firstLineChars="200"/>
        <w:jc w:val="both"/>
        <w:rPr>
          <w:color w:val="000000" w:themeColor="text1"/>
          <w:sz w:val="24"/>
          <w14:textFill>
            <w14:solidFill>
              <w14:schemeClr w14:val="tx1"/>
            </w14:solidFill>
          </w14:textFill>
        </w:rPr>
      </w:pPr>
      <w:r>
        <w:rPr>
          <w:color w:val="000000" w:themeColor="text1"/>
          <w:spacing w:val="43"/>
          <w:sz w:val="24"/>
          <w14:textFill>
            <w14:solidFill>
              <w14:schemeClr w14:val="tx1"/>
            </w14:solidFill>
          </w14:textFill>
        </w:rPr>
        <w:t>项目所在区域</w:t>
      </w:r>
      <w:r>
        <w:rPr>
          <w:color w:val="000000" w:themeColor="text1"/>
          <w:sz w:val="24"/>
          <w14:textFill>
            <w14:solidFill>
              <w14:schemeClr w14:val="tx1"/>
            </w14:solidFill>
          </w14:textFill>
        </w:rPr>
        <w:t>各监测点位地下水中监测因子均满足《地下水质量标准》（GB/T 14848-2017</w:t>
      </w:r>
      <w:r>
        <w:rPr>
          <w:rFonts w:hint="eastAsia" w:ascii="宋体" w:hAnsi="宋体" w:cs="宋体"/>
          <w:color w:val="000000" w:themeColor="text1"/>
          <w:spacing w:val="-1"/>
          <w:sz w:val="24"/>
          <w14:textFill>
            <w14:solidFill>
              <w14:schemeClr w14:val="tx1"/>
            </w14:solidFill>
          </w14:textFill>
        </w:rPr>
        <w:t>）</w:t>
      </w:r>
      <w:r>
        <w:rPr>
          <w:rFonts w:eastAsia="Times New Roman"/>
          <w:color w:val="000000" w:themeColor="text1"/>
          <w:spacing w:val="-1"/>
          <w:sz w:val="24"/>
          <w14:textFill>
            <w14:solidFill>
              <w14:schemeClr w14:val="tx1"/>
            </w14:solidFill>
          </w14:textFill>
        </w:rPr>
        <w:t>Ⅲ</w:t>
      </w:r>
      <w:r>
        <w:rPr>
          <w:color w:val="000000" w:themeColor="text1"/>
          <w:sz w:val="24"/>
          <w14:textFill>
            <w14:solidFill>
              <w14:schemeClr w14:val="tx1"/>
            </w14:solidFill>
          </w14:textFill>
        </w:rPr>
        <w:t>类标准。</w:t>
      </w:r>
    </w:p>
    <w:p w14:paraId="0AB06D65">
      <w:pPr>
        <w:widowControl w:val="0"/>
        <w:spacing w:line="360" w:lineRule="auto"/>
        <w:ind w:firstLine="466" w:firstLineChars="200"/>
        <w:rPr>
          <w:b/>
          <w:bCs/>
          <w:color w:val="000000" w:themeColor="text1"/>
          <w:spacing w:val="-4"/>
          <w:sz w:val="24"/>
          <w14:textFill>
            <w14:solidFill>
              <w14:schemeClr w14:val="tx1"/>
            </w14:solidFill>
          </w14:textFill>
        </w:rPr>
      </w:pPr>
      <w:r>
        <w:rPr>
          <w:b/>
          <w:bCs/>
          <w:color w:val="000000" w:themeColor="text1"/>
          <w:spacing w:val="-4"/>
          <w:sz w:val="24"/>
          <w14:textFill>
            <w14:solidFill>
              <w14:schemeClr w14:val="tx1"/>
            </w14:solidFill>
          </w14:textFill>
        </w:rPr>
        <w:t>4、土壤环境质量现状</w:t>
      </w:r>
    </w:p>
    <w:p w14:paraId="2D6184BF">
      <w:pPr>
        <w:tabs>
          <w:tab w:val="left" w:pos="9540"/>
        </w:tabs>
        <w:spacing w:line="360" w:lineRule="auto"/>
        <w:ind w:firstLine="476" w:firstLineChars="200"/>
        <w:rPr>
          <w:color w:val="000000" w:themeColor="text1"/>
          <w:kern w:val="0"/>
          <w:sz w:val="24"/>
          <w14:textFill>
            <w14:solidFill>
              <w14:schemeClr w14:val="tx1"/>
            </w14:solidFill>
          </w14:textFill>
        </w:rPr>
      </w:pPr>
      <w:r>
        <w:rPr>
          <w:color w:val="000000" w:themeColor="text1"/>
          <w:spacing w:val="-1"/>
          <w:sz w:val="24"/>
          <w14:textFill>
            <w14:solidFill>
              <w14:schemeClr w14:val="tx1"/>
            </w14:solidFill>
          </w14:textFill>
        </w:rPr>
        <w:t>根据现状监测，</w:t>
      </w:r>
      <w:r>
        <w:rPr>
          <w:color w:val="000000" w:themeColor="text1"/>
          <w:kern w:val="0"/>
          <w:sz w:val="24"/>
          <w14:textFill>
            <w14:solidFill>
              <w14:schemeClr w14:val="tx1"/>
            </w14:solidFill>
          </w14:textFill>
        </w:rPr>
        <w:t>本项目厂址区域土壤中各污染物含量均低于</w:t>
      </w:r>
      <w:r>
        <w:rPr>
          <w:bCs/>
          <w:color w:val="000000" w:themeColor="text1"/>
          <w:sz w:val="24"/>
          <w14:textFill>
            <w14:solidFill>
              <w14:schemeClr w14:val="tx1"/>
            </w14:solidFill>
          </w14:textFill>
        </w:rPr>
        <w:t>《土壤环境质量标准 农用地土壤污染风险管控标准（试行）》（GB 15618-2018）。</w:t>
      </w:r>
    </w:p>
    <w:p w14:paraId="112E710D">
      <w:pPr>
        <w:tabs>
          <w:tab w:val="left" w:pos="9540"/>
        </w:tabs>
        <w:spacing w:line="360" w:lineRule="auto"/>
        <w:ind w:firstLine="466" w:firstLineChars="200"/>
        <w:rPr>
          <w:color w:val="000000" w:themeColor="text1"/>
          <w:kern w:val="0"/>
          <w:sz w:val="24"/>
          <w14:textFill>
            <w14:solidFill>
              <w14:schemeClr w14:val="tx1"/>
            </w14:solidFill>
          </w14:textFill>
        </w:rPr>
      </w:pPr>
      <w:r>
        <w:rPr>
          <w:b/>
          <w:bCs/>
          <w:color w:val="000000" w:themeColor="text1"/>
          <w:spacing w:val="-4"/>
          <w:sz w:val="24"/>
          <w14:textFill>
            <w14:solidFill>
              <w14:schemeClr w14:val="tx1"/>
            </w14:solidFill>
          </w14:textFill>
        </w:rPr>
        <w:t>5、声环境质量现状</w:t>
      </w:r>
    </w:p>
    <w:p w14:paraId="3DB3B526">
      <w:pPr>
        <w:tabs>
          <w:tab w:val="left" w:pos="9540"/>
        </w:tabs>
        <w:spacing w:line="360" w:lineRule="auto"/>
        <w:ind w:firstLine="476" w:firstLineChars="200"/>
        <w:rPr>
          <w:color w:val="000000" w:themeColor="text1"/>
          <w:kern w:val="0"/>
          <w:sz w:val="24"/>
          <w14:textFill>
            <w14:solidFill>
              <w14:schemeClr w14:val="tx1"/>
            </w14:solidFill>
          </w14:textFill>
        </w:rPr>
      </w:pPr>
      <w:r>
        <w:rPr>
          <w:color w:val="000000" w:themeColor="text1"/>
          <w:spacing w:val="-1"/>
          <w:sz w:val="24"/>
          <w14:textFill>
            <w14:solidFill>
              <w14:schemeClr w14:val="tx1"/>
            </w14:solidFill>
          </w14:textFill>
        </w:rPr>
        <w:t>根据现状监测，</w:t>
      </w:r>
      <w:r>
        <w:rPr>
          <w:color w:val="000000" w:themeColor="text1"/>
          <w:kern w:val="0"/>
          <w:sz w:val="24"/>
          <w14:textFill>
            <w14:solidFill>
              <w14:schemeClr w14:val="tx1"/>
            </w14:solidFill>
          </w14:textFill>
        </w:rPr>
        <w:t>本项目场界各监测点昼间、夜间环境噪声均低于《声环境质量标准》（GB3096-2008）中2类标准限值的要求；区域声环境质量较好。</w:t>
      </w:r>
    </w:p>
    <w:p w14:paraId="323939D6">
      <w:pPr>
        <w:spacing w:before="35" w:line="220" w:lineRule="auto"/>
        <w:ind w:left="488"/>
        <w:rPr>
          <w:color w:val="000000" w:themeColor="text1"/>
          <w:sz w:val="24"/>
          <w14:textFill>
            <w14:solidFill>
              <w14:schemeClr w14:val="tx1"/>
            </w14:solidFill>
          </w14:textFill>
        </w:rPr>
      </w:pPr>
      <w:r>
        <w:rPr>
          <w:rFonts w:eastAsia="Times New Roman"/>
          <w:b/>
          <w:bCs/>
          <w:color w:val="000000" w:themeColor="text1"/>
          <w:spacing w:val="-6"/>
          <w:sz w:val="24"/>
          <w14:textFill>
            <w14:solidFill>
              <w14:schemeClr w14:val="tx1"/>
            </w14:solidFill>
          </w14:textFill>
        </w:rPr>
        <w:t>6</w:t>
      </w:r>
      <w:r>
        <w:rPr>
          <w:b/>
          <w:bCs/>
          <w:color w:val="000000" w:themeColor="text1"/>
          <w:spacing w:val="-6"/>
          <w:sz w:val="24"/>
          <w14:textFill>
            <w14:solidFill>
              <w14:schemeClr w14:val="tx1"/>
            </w14:solidFill>
          </w14:textFill>
        </w:rPr>
        <w:t>、生态环境质量</w:t>
      </w:r>
    </w:p>
    <w:p w14:paraId="586CA813">
      <w:pPr>
        <w:spacing w:line="360" w:lineRule="auto"/>
        <w:ind w:firstLine="476"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本项目位于白庙乡百花村，曾口镇佛龙村，清江镇塘坝村，水宁寺镇始宁社区。本项目属农村区域，区域内人类活动频繁，不存在原生植被。</w:t>
      </w:r>
    </w:p>
    <w:p w14:paraId="5B78B8DE">
      <w:pPr>
        <w:spacing w:line="360" w:lineRule="auto"/>
        <w:ind w:firstLine="476" w:firstLineChars="200"/>
        <w:jc w:val="both"/>
        <w:rPr>
          <w:color w:val="000000" w:themeColor="text1"/>
          <w:spacing w:val="-1"/>
          <w:sz w:val="24"/>
          <w14:textFill>
            <w14:solidFill>
              <w14:schemeClr w14:val="tx1"/>
            </w14:solidFill>
          </w14:textFill>
        </w:rPr>
      </w:pPr>
      <w:r>
        <w:rPr>
          <w:color w:val="000000" w:themeColor="text1"/>
          <w:spacing w:val="-1"/>
          <w:sz w:val="24"/>
          <w14:textFill>
            <w14:solidFill>
              <w14:schemeClr w14:val="tx1"/>
            </w14:solidFill>
          </w14:textFill>
        </w:rPr>
        <w:t>根据调查，本项目评价范围内无自然保护区、风景名胜区等，无列入国家及地方保护名录的珍稀濒危动植物及古、大、珍、奇树木分布。</w:t>
      </w:r>
    </w:p>
    <w:bookmarkEnd w:id="1136"/>
    <w:bookmarkEnd w:id="1137"/>
    <w:bookmarkEnd w:id="1138"/>
    <w:bookmarkEnd w:id="1139"/>
    <w:bookmarkEnd w:id="1140"/>
    <w:p w14:paraId="4158FFEE">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41" w:name="_Toc185141060"/>
      <w:bookmarkStart w:id="1142" w:name="_Toc40220863"/>
      <w:bookmarkStart w:id="1143" w:name="_Toc520469099"/>
      <w:bookmarkStart w:id="1144" w:name="_Toc204834900"/>
      <w:bookmarkStart w:id="1145" w:name="_Toc306099258"/>
      <w:bookmarkStart w:id="1146" w:name="_Toc233380304"/>
      <w:r>
        <w:rPr>
          <w:rFonts w:ascii="Times New Roman" w:hAnsi="Times New Roman" w:eastAsia="宋体"/>
          <w:color w:val="000000" w:themeColor="text1"/>
          <w:sz w:val="30"/>
          <w:szCs w:val="30"/>
          <w14:textFill>
            <w14:solidFill>
              <w14:schemeClr w14:val="tx1"/>
            </w14:solidFill>
          </w14:textFill>
        </w:rPr>
        <w:t>10.4环境保护</w:t>
      </w:r>
      <w:bookmarkEnd w:id="1141"/>
      <w:r>
        <w:rPr>
          <w:rFonts w:ascii="Times New Roman" w:hAnsi="Times New Roman" w:eastAsia="宋体"/>
          <w:color w:val="000000" w:themeColor="text1"/>
          <w:sz w:val="30"/>
          <w:szCs w:val="30"/>
          <w14:textFill>
            <w14:solidFill>
              <w14:schemeClr w14:val="tx1"/>
            </w14:solidFill>
          </w14:textFill>
        </w:rPr>
        <w:t>措施投资估算</w:t>
      </w:r>
      <w:bookmarkEnd w:id="1142"/>
      <w:bookmarkEnd w:id="1143"/>
      <w:bookmarkEnd w:id="1144"/>
      <w:bookmarkEnd w:id="1145"/>
      <w:bookmarkEnd w:id="1146"/>
    </w:p>
    <w:p w14:paraId="0E5F1ACA">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本项目拟采取的环保对策措施（含风险事故应急措施）经济技术可行，措施有效。本项目用于环保及其相关工程的投资为360万元，占工程总投资比例为1.026%。</w:t>
      </w:r>
    </w:p>
    <w:p w14:paraId="71937C3D">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47" w:name="_Toc204834902"/>
      <w:bookmarkStart w:id="1148" w:name="_Toc40220869"/>
      <w:bookmarkStart w:id="1149" w:name="_Toc306099260"/>
      <w:bookmarkStart w:id="1150" w:name="_Toc520469101"/>
      <w:bookmarkStart w:id="1151" w:name="_Toc185141077"/>
      <w:bookmarkStart w:id="1152" w:name="_Toc233380305"/>
      <w:r>
        <w:rPr>
          <w:rFonts w:ascii="Times New Roman" w:hAnsi="Times New Roman" w:eastAsia="宋体"/>
          <w:color w:val="000000" w:themeColor="text1"/>
          <w:sz w:val="30"/>
          <w:szCs w:val="30"/>
          <w14:textFill>
            <w14:solidFill>
              <w14:schemeClr w14:val="tx1"/>
            </w14:solidFill>
          </w14:textFill>
        </w:rPr>
        <w:t>10.5</w:t>
      </w:r>
      <w:bookmarkEnd w:id="1147"/>
      <w:bookmarkEnd w:id="1148"/>
      <w:bookmarkEnd w:id="1149"/>
      <w:bookmarkEnd w:id="1150"/>
      <w:bookmarkEnd w:id="1151"/>
      <w:r>
        <w:rPr>
          <w:rFonts w:ascii="Times New Roman" w:hAnsi="Times New Roman" w:eastAsia="宋体"/>
          <w:color w:val="000000" w:themeColor="text1"/>
          <w:sz w:val="30"/>
          <w:szCs w:val="30"/>
          <w14:textFill>
            <w14:solidFill>
              <w14:schemeClr w14:val="tx1"/>
            </w14:solidFill>
          </w14:textFill>
        </w:rPr>
        <w:t>环境影响分析结论</w:t>
      </w:r>
      <w:bookmarkEnd w:id="1152"/>
    </w:p>
    <w:p w14:paraId="42122D97">
      <w:pPr>
        <w:pStyle w:val="752"/>
        <w:rPr>
          <w:rFonts w:cs="Times New Roman"/>
          <w:color w:val="000000" w:themeColor="text1"/>
          <w14:textFill>
            <w14:solidFill>
              <w14:schemeClr w14:val="tx1"/>
            </w14:solidFill>
          </w14:textFill>
        </w:rPr>
      </w:pPr>
      <w:bookmarkStart w:id="1153" w:name="_Toc21529755"/>
      <w:bookmarkStart w:id="1154" w:name="_Toc40220870"/>
      <w:bookmarkStart w:id="1155" w:name="_Toc27751305"/>
      <w:bookmarkStart w:id="1156" w:name="_Toc28814795"/>
      <w:bookmarkStart w:id="1157" w:name="_Toc185141078"/>
      <w:bookmarkStart w:id="1158" w:name="_Toc233380306"/>
      <w:r>
        <w:rPr>
          <w:rFonts w:cs="Times New Roman"/>
          <w:color w:val="000000" w:themeColor="text1"/>
          <w14:textFill>
            <w14:solidFill>
              <w14:schemeClr w14:val="tx1"/>
            </w14:solidFill>
          </w14:textFill>
        </w:rPr>
        <w:t>10.5.1</w:t>
      </w:r>
      <w:bookmarkEnd w:id="1153"/>
      <w:bookmarkEnd w:id="1154"/>
      <w:bookmarkEnd w:id="1155"/>
      <w:bookmarkEnd w:id="1156"/>
      <w:bookmarkEnd w:id="1157"/>
      <w:r>
        <w:rPr>
          <w:rFonts w:cs="Times New Roman"/>
          <w:color w:val="000000" w:themeColor="text1"/>
          <w14:textFill>
            <w14:solidFill>
              <w14:schemeClr w14:val="tx1"/>
            </w14:solidFill>
          </w14:textFill>
        </w:rPr>
        <w:t>大气环境影响分析</w:t>
      </w:r>
      <w:bookmarkEnd w:id="1158"/>
    </w:p>
    <w:p w14:paraId="4E6BD66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根据预测结果，本项目厂界H</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S、NH</w:t>
      </w:r>
      <w:r>
        <w:rPr>
          <w:color w:val="000000" w:themeColor="text1"/>
          <w:sz w:val="24"/>
          <w:vertAlign w:val="subscript"/>
          <w14:textFill>
            <w14:solidFill>
              <w14:schemeClr w14:val="tx1"/>
            </w14:solidFill>
          </w14:textFill>
        </w:rPr>
        <w:t>3</w:t>
      </w:r>
      <w:r>
        <w:rPr>
          <w:color w:val="000000" w:themeColor="text1"/>
          <w:sz w:val="24"/>
          <w14:textFill>
            <w14:solidFill>
              <w14:schemeClr w14:val="tx1"/>
            </w14:solidFill>
          </w14:textFill>
        </w:rPr>
        <w:t>的预测排放浓度均能满足《恶臭污染物排放标准》（GB 14554-93）表1中二级标准要求，TSP预测排放浓度可满足《环境空气质量标准》（GB 3095-2012）</w:t>
      </w:r>
      <w:r>
        <w:rPr>
          <w:color w:val="000000" w:themeColor="text1"/>
          <w:spacing w:val="-1"/>
          <w:sz w:val="24"/>
          <w14:textFill>
            <w14:solidFill>
              <w14:schemeClr w14:val="tx1"/>
            </w14:solidFill>
          </w14:textFill>
        </w:rPr>
        <w:t>二级标准</w:t>
      </w:r>
      <w:r>
        <w:rPr>
          <w:color w:val="000000" w:themeColor="text1"/>
          <w:sz w:val="24"/>
          <w14:textFill>
            <w14:solidFill>
              <w14:schemeClr w14:val="tx1"/>
            </w14:solidFill>
          </w14:textFill>
        </w:rPr>
        <w:t>，对环境空气影响很小。</w:t>
      </w:r>
    </w:p>
    <w:p w14:paraId="1A0CA0AF">
      <w:pPr>
        <w:spacing w:line="360" w:lineRule="auto"/>
        <w:ind w:firstLine="468" w:firstLineChars="200"/>
        <w:rPr>
          <w:color w:val="000000" w:themeColor="text1"/>
          <w:sz w:val="24"/>
          <w14:textFill>
            <w14:solidFill>
              <w14:schemeClr w14:val="tx1"/>
            </w14:solidFill>
          </w14:textFill>
        </w:rPr>
      </w:pPr>
      <w:r>
        <w:rPr>
          <w:color w:val="000000" w:themeColor="text1"/>
          <w:spacing w:val="-3"/>
          <w:sz w:val="24"/>
          <w14:textFill>
            <w14:solidFill>
              <w14:schemeClr w14:val="tx1"/>
            </w14:solidFill>
          </w14:textFill>
        </w:rPr>
        <w:t>本项目运营期废气主要为恶臭，牛舍恶臭采取在精料里添加益生菌，以及圈舍喷洒生物除臭剂的方式，能够显著减少恶臭影响，同时以牛舍边界为起点划定100m的卫生防护距离范围。</w:t>
      </w:r>
      <w:r>
        <w:rPr>
          <w:rFonts w:hint="eastAsia"/>
          <w:color w:val="000000" w:themeColor="text1"/>
          <w:kern w:val="0"/>
          <w:sz w:val="24"/>
          <w:lang w:bidi="ar"/>
          <w14:textFill>
            <w14:solidFill>
              <w14:schemeClr w14:val="tx1"/>
            </w14:solidFill>
          </w14:textFill>
        </w:rPr>
        <w:t>本项目</w:t>
      </w:r>
      <w:r>
        <w:rPr>
          <w:color w:val="000000" w:themeColor="text1"/>
          <w:kern w:val="0"/>
          <w:sz w:val="24"/>
          <w:lang w:bidi="ar"/>
          <w14:textFill>
            <w14:solidFill>
              <w14:schemeClr w14:val="tx1"/>
            </w14:solidFill>
          </w14:textFill>
        </w:rPr>
        <w:t>已与该</w:t>
      </w:r>
      <w:r>
        <w:rPr>
          <w:rFonts w:hint="eastAsia"/>
          <w:color w:val="000000" w:themeColor="text1"/>
          <w:kern w:val="0"/>
          <w:sz w:val="24"/>
          <w:lang w:bidi="ar"/>
          <w14:textFill>
            <w14:solidFill>
              <w14:schemeClr w14:val="tx1"/>
            </w14:solidFill>
          </w14:textFill>
        </w:rPr>
        <w:t>周边卫生防护</w:t>
      </w:r>
      <w:r>
        <w:rPr>
          <w:color w:val="000000" w:themeColor="text1"/>
          <w:kern w:val="0"/>
          <w:sz w:val="24"/>
          <w:lang w:bidi="ar"/>
          <w14:textFill>
            <w14:solidFill>
              <w14:schemeClr w14:val="tx1"/>
            </w14:solidFill>
          </w14:textFill>
        </w:rPr>
        <w:t>居民签订房屋租赁协议作为职工宿舍、休息室等使用，因此本项目卫生防护距离范围内无医院、学校、居民等保护目标分布</w:t>
      </w:r>
      <w:r>
        <w:rPr>
          <w:color w:val="000000" w:themeColor="text1"/>
          <w:spacing w:val="-3"/>
          <w:sz w:val="24"/>
          <w14:textFill>
            <w14:solidFill>
              <w14:schemeClr w14:val="tx1"/>
            </w14:solidFill>
          </w14:textFill>
        </w:rPr>
        <w:t>。因此本项目卫生防护距离范围内无医院、学校、居民等保护目标分布。</w:t>
      </w:r>
      <w:r>
        <w:rPr>
          <w:color w:val="000000" w:themeColor="text1"/>
          <w:sz w:val="24"/>
          <w14:textFill>
            <w14:solidFill>
              <w14:schemeClr w14:val="tx1"/>
            </w14:solidFill>
          </w14:textFill>
        </w:rPr>
        <w:t>同时，提出如下卫生防护距离相关要求：在卫生防护距离范围内</w:t>
      </w:r>
      <w:r>
        <w:rPr>
          <w:bCs/>
          <w:color w:val="000000" w:themeColor="text1"/>
          <w:sz w:val="24"/>
          <w14:textFill>
            <w14:solidFill>
              <w14:schemeClr w14:val="tx1"/>
            </w14:solidFill>
          </w14:textFill>
        </w:rPr>
        <w:t>不得规划新建集中居民区、医院、学校及食品医药加工企业等易受本项目恶臭影响的建设项目。</w:t>
      </w:r>
    </w:p>
    <w:p w14:paraId="717D11B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项目饲草料加工设备设置布袋除尘器收集，并经15m高排气筒排放，加工间密闭。</w:t>
      </w:r>
    </w:p>
    <w:p w14:paraId="661CB56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项目地处农村环境，加强食堂通风换气即可。柴油发电机废气经发电机配置的排风系统排放，排放口设置朝向绿化，对环境无明显影响。</w:t>
      </w:r>
    </w:p>
    <w:p w14:paraId="76670A4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综上，项目运营期废气不会对项目所在地环境空气质量造成明显不利影响。</w:t>
      </w:r>
    </w:p>
    <w:p w14:paraId="6A03116C">
      <w:pPr>
        <w:pStyle w:val="752"/>
        <w:rPr>
          <w:rFonts w:cs="Times New Roman"/>
          <w:color w:val="000000" w:themeColor="text1"/>
          <w14:textFill>
            <w14:solidFill>
              <w14:schemeClr w14:val="tx1"/>
            </w14:solidFill>
          </w14:textFill>
        </w:rPr>
      </w:pPr>
      <w:bookmarkStart w:id="1159" w:name="_Toc21529756"/>
      <w:bookmarkStart w:id="1160" w:name="_Toc28814796"/>
      <w:bookmarkStart w:id="1161" w:name="_Toc27751306"/>
      <w:bookmarkStart w:id="1162" w:name="_Toc185141079"/>
      <w:bookmarkStart w:id="1163" w:name="_Toc40220871"/>
      <w:bookmarkStart w:id="1164" w:name="_Toc233380307"/>
      <w:r>
        <w:rPr>
          <w:rFonts w:cs="Times New Roman"/>
          <w:color w:val="000000" w:themeColor="text1"/>
          <w14:textFill>
            <w14:solidFill>
              <w14:schemeClr w14:val="tx1"/>
            </w14:solidFill>
          </w14:textFill>
        </w:rPr>
        <w:t>10.5.2地表水环境</w:t>
      </w:r>
      <w:bookmarkEnd w:id="1159"/>
      <w:bookmarkEnd w:id="1160"/>
      <w:bookmarkEnd w:id="1161"/>
      <w:bookmarkEnd w:id="1162"/>
      <w:bookmarkEnd w:id="1163"/>
      <w:r>
        <w:rPr>
          <w:rFonts w:cs="Times New Roman"/>
          <w:color w:val="000000" w:themeColor="text1"/>
          <w14:textFill>
            <w14:solidFill>
              <w14:schemeClr w14:val="tx1"/>
            </w14:solidFill>
          </w14:textFill>
        </w:rPr>
        <w:t>影响分析</w:t>
      </w:r>
      <w:bookmarkEnd w:id="1164"/>
    </w:p>
    <w:p w14:paraId="12C05A57">
      <w:pPr>
        <w:spacing w:line="360" w:lineRule="auto"/>
        <w:ind w:firstLine="480" w:firstLineChars="200"/>
        <w:rPr>
          <w:color w:val="000000" w:themeColor="text1"/>
          <w:sz w:val="24"/>
          <w14:textFill>
            <w14:solidFill>
              <w14:schemeClr w14:val="tx1"/>
            </w14:solidFill>
          </w14:textFill>
        </w:rPr>
      </w:pPr>
      <w:bookmarkStart w:id="1165" w:name="_Toc185141080"/>
      <w:r>
        <w:rPr>
          <w:color w:val="000000" w:themeColor="text1"/>
          <w:sz w:val="24"/>
          <w14:textFill>
            <w14:solidFill>
              <w14:schemeClr w14:val="tx1"/>
            </w14:solidFill>
          </w14:textFill>
        </w:rPr>
        <w:t>项目采用生物发酵床养殖模式，项目肉牛养殖过程产生的粪污混入发酵垫料中形成发酵床，因此项目无养殖废水。</w:t>
      </w:r>
    </w:p>
    <w:p w14:paraId="785689F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各处养殖场办公生活区设有卫生间，生活污水收集至化粪池，预处理后后用于厂区绿化。</w:t>
      </w:r>
    </w:p>
    <w:p w14:paraId="2AF83BE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各处养殖场厂区地面雨水依靠地势排至场区雨水收集池，对场区雨水径流进行收集沉淀处理后用于厂区绿化。</w:t>
      </w:r>
    </w:p>
    <w:p w14:paraId="101DC43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因此，本项目废水不外排，对地表水环境影响不大。</w:t>
      </w:r>
    </w:p>
    <w:p w14:paraId="60FC27AC">
      <w:pPr>
        <w:pStyle w:val="752"/>
        <w:spacing w:before="0" w:after="0"/>
        <w:rPr>
          <w:rFonts w:cs="Times New Roman"/>
          <w:color w:val="000000" w:themeColor="text1"/>
          <w14:textFill>
            <w14:solidFill>
              <w14:schemeClr w14:val="tx1"/>
            </w14:solidFill>
          </w14:textFill>
        </w:rPr>
      </w:pPr>
      <w:bookmarkStart w:id="1166" w:name="_Toc28814797"/>
      <w:bookmarkStart w:id="1167" w:name="_Toc21529757"/>
      <w:bookmarkStart w:id="1168" w:name="_Toc40220872"/>
      <w:bookmarkStart w:id="1169" w:name="_Toc27751307"/>
      <w:bookmarkStart w:id="1170" w:name="_Toc233380308"/>
      <w:r>
        <w:rPr>
          <w:rFonts w:cs="Times New Roman"/>
          <w:color w:val="000000" w:themeColor="text1"/>
          <w14:textFill>
            <w14:solidFill>
              <w14:schemeClr w14:val="tx1"/>
            </w14:solidFill>
          </w14:textFill>
        </w:rPr>
        <w:t>10.5.3土壤、地下水环境</w:t>
      </w:r>
      <w:bookmarkEnd w:id="1165"/>
      <w:bookmarkEnd w:id="1166"/>
      <w:bookmarkEnd w:id="1167"/>
      <w:bookmarkEnd w:id="1168"/>
      <w:bookmarkEnd w:id="1169"/>
      <w:r>
        <w:rPr>
          <w:rFonts w:cs="Times New Roman"/>
          <w:color w:val="000000" w:themeColor="text1"/>
          <w14:textFill>
            <w14:solidFill>
              <w14:schemeClr w14:val="tx1"/>
            </w14:solidFill>
          </w14:textFill>
        </w:rPr>
        <w:t>影响分析</w:t>
      </w:r>
      <w:bookmarkEnd w:id="1170"/>
    </w:p>
    <w:p w14:paraId="448AE134">
      <w:pPr>
        <w:spacing w:line="360" w:lineRule="auto"/>
        <w:ind w:firstLine="496" w:firstLineChars="200"/>
        <w:rPr>
          <w:color w:val="000000" w:themeColor="text1"/>
          <w:spacing w:val="4"/>
          <w:sz w:val="24"/>
          <w14:textFill>
            <w14:solidFill>
              <w14:schemeClr w14:val="tx1"/>
            </w14:solidFill>
          </w14:textFill>
        </w:rPr>
      </w:pPr>
      <w:r>
        <w:rPr>
          <w:color w:val="000000" w:themeColor="text1"/>
          <w:spacing w:val="4"/>
          <w:sz w:val="24"/>
          <w14:textFill>
            <w14:solidFill>
              <w14:schemeClr w14:val="tx1"/>
            </w14:solidFill>
          </w14:textFill>
        </w:rPr>
        <w:t>项目主要采取源头管控、分区防渗措施加强对土壤、地下水的污染防治。</w:t>
      </w:r>
    </w:p>
    <w:p w14:paraId="1EEE5B10">
      <w:pPr>
        <w:spacing w:line="360" w:lineRule="auto"/>
        <w:ind w:firstLine="496" w:firstLineChars="200"/>
        <w:rPr>
          <w:color w:val="000000" w:themeColor="text1"/>
          <w:spacing w:val="4"/>
          <w:sz w:val="24"/>
          <w14:textFill>
            <w14:solidFill>
              <w14:schemeClr w14:val="tx1"/>
            </w14:solidFill>
          </w14:textFill>
        </w:rPr>
      </w:pPr>
      <w:r>
        <w:rPr>
          <w:rFonts w:hint="eastAsia"/>
          <w:color w:val="000000" w:themeColor="text1"/>
          <w:spacing w:val="4"/>
          <w:sz w:val="24"/>
          <w14:textFill>
            <w14:solidFill>
              <w14:schemeClr w14:val="tx1"/>
            </w14:solidFill>
          </w14:textFill>
        </w:rPr>
        <w:t>医疗</w:t>
      </w:r>
      <w:r>
        <w:rPr>
          <w:color w:val="000000" w:themeColor="text1"/>
          <w:spacing w:val="4"/>
          <w:sz w:val="24"/>
          <w14:textFill>
            <w14:solidFill>
              <w14:schemeClr w14:val="tx1"/>
            </w14:solidFill>
          </w14:textFill>
        </w:rPr>
        <w:t>废物暂存间、青贮窖池、药品库、柴油发电机房、隔油池、化粪池采取重点防渗，防渗层为至少1m厚黏土层（渗透系数不大于10</w:t>
      </w:r>
      <w:r>
        <w:rPr>
          <w:color w:val="000000" w:themeColor="text1"/>
          <w:spacing w:val="4"/>
          <w:sz w:val="24"/>
          <w:vertAlign w:val="superscript"/>
          <w14:textFill>
            <w14:solidFill>
              <w14:schemeClr w14:val="tx1"/>
            </w14:solidFill>
          </w14:textFill>
        </w:rPr>
        <w:t>-7</w:t>
      </w:r>
      <w:r>
        <w:rPr>
          <w:color w:val="000000" w:themeColor="text1"/>
          <w:spacing w:val="4"/>
          <w:sz w:val="24"/>
          <w14:textFill>
            <w14:solidFill>
              <w14:schemeClr w14:val="tx1"/>
            </w14:solidFill>
          </w14:textFill>
        </w:rPr>
        <w:t>cm/s），或至少2mm厚高密度聚乙烯膜等人工防渗材料（渗透系数不大于10</w:t>
      </w:r>
      <w:r>
        <w:rPr>
          <w:color w:val="000000" w:themeColor="text1"/>
          <w:spacing w:val="4"/>
          <w:sz w:val="24"/>
          <w:vertAlign w:val="superscript"/>
          <w14:textFill>
            <w14:solidFill>
              <w14:schemeClr w14:val="tx1"/>
            </w14:solidFill>
          </w14:textFill>
        </w:rPr>
        <w:t>-10</w:t>
      </w:r>
      <w:r>
        <w:rPr>
          <w:color w:val="000000" w:themeColor="text1"/>
          <w:spacing w:val="4"/>
          <w:sz w:val="24"/>
          <w14:textFill>
            <w14:solidFill>
              <w14:schemeClr w14:val="tx1"/>
            </w14:solidFill>
          </w14:textFill>
        </w:rPr>
        <w:t>cm/s）；</w:t>
      </w:r>
    </w:p>
    <w:p w14:paraId="3928401E">
      <w:pPr>
        <w:spacing w:line="360" w:lineRule="auto"/>
        <w:ind w:firstLine="496" w:firstLineChars="200"/>
        <w:rPr>
          <w:color w:val="000000" w:themeColor="text1"/>
          <w:spacing w:val="4"/>
          <w:sz w:val="24"/>
          <w14:textFill>
            <w14:solidFill>
              <w14:schemeClr w14:val="tx1"/>
            </w14:solidFill>
          </w14:textFill>
        </w:rPr>
      </w:pPr>
      <w:r>
        <w:rPr>
          <w:color w:val="000000" w:themeColor="text1"/>
          <w:spacing w:val="4"/>
          <w:sz w:val="24"/>
          <w14:textFill>
            <w14:solidFill>
              <w14:schemeClr w14:val="tx1"/>
            </w14:solidFill>
          </w14:textFill>
        </w:rPr>
        <w:t>牛舍、饲料仓库、饲料加工间、消毒池、雨水收集池、冷库采取一般防渗，要求其等效黏土防渗层Mb≥1.5m，渗透系数K≤1.0×10</w:t>
      </w:r>
      <w:r>
        <w:rPr>
          <w:color w:val="000000" w:themeColor="text1"/>
          <w:spacing w:val="4"/>
          <w:sz w:val="24"/>
          <w:vertAlign w:val="superscript"/>
          <w14:textFill>
            <w14:solidFill>
              <w14:schemeClr w14:val="tx1"/>
            </w14:solidFill>
          </w14:textFill>
        </w:rPr>
        <w:t>-7</w:t>
      </w:r>
      <w:r>
        <w:rPr>
          <w:color w:val="000000" w:themeColor="text1"/>
          <w:spacing w:val="4"/>
          <w:sz w:val="24"/>
          <w14:textFill>
            <w14:solidFill>
              <w14:schemeClr w14:val="tx1"/>
            </w14:solidFill>
          </w14:textFill>
        </w:rPr>
        <w:t>cm/s；</w:t>
      </w:r>
    </w:p>
    <w:p w14:paraId="5830876E">
      <w:pPr>
        <w:spacing w:line="360" w:lineRule="auto"/>
        <w:ind w:firstLine="496" w:firstLineChars="200"/>
        <w:rPr>
          <w:color w:val="000000" w:themeColor="text1"/>
          <w:spacing w:val="4"/>
          <w:sz w:val="24"/>
          <w14:textFill>
            <w14:solidFill>
              <w14:schemeClr w14:val="tx1"/>
            </w14:solidFill>
          </w14:textFill>
        </w:rPr>
      </w:pPr>
      <w:r>
        <w:rPr>
          <w:color w:val="000000" w:themeColor="text1"/>
          <w:spacing w:val="4"/>
          <w:sz w:val="24"/>
          <w14:textFill>
            <w14:solidFill>
              <w14:schemeClr w14:val="tx1"/>
            </w14:solidFill>
          </w14:textFill>
        </w:rPr>
        <w:t>办公生活区、道路、饲料加工间等采取简易防渗，地面硬化处理。</w:t>
      </w:r>
    </w:p>
    <w:p w14:paraId="58C85A35">
      <w:pPr>
        <w:spacing w:line="360" w:lineRule="auto"/>
        <w:ind w:firstLine="468" w:firstLineChars="200"/>
        <w:jc w:val="both"/>
        <w:rPr>
          <w:color w:val="000000" w:themeColor="text1"/>
          <w:spacing w:val="-3"/>
          <w:sz w:val="24"/>
          <w14:textFill>
            <w14:solidFill>
              <w14:schemeClr w14:val="tx1"/>
            </w14:solidFill>
          </w14:textFill>
        </w:rPr>
      </w:pPr>
      <w:r>
        <w:rPr>
          <w:color w:val="000000" w:themeColor="text1"/>
          <w:spacing w:val="-3"/>
          <w:sz w:val="24"/>
          <w14:textFill>
            <w14:solidFill>
              <w14:schemeClr w14:val="tx1"/>
            </w14:solidFill>
          </w14:textFill>
        </w:rPr>
        <w:t>此外，建立地下水的环境监测和管控制度：</w:t>
      </w:r>
    </w:p>
    <w:p w14:paraId="19397587">
      <w:pPr>
        <w:spacing w:line="360" w:lineRule="auto"/>
        <w:ind w:firstLine="468" w:firstLineChars="200"/>
        <w:jc w:val="both"/>
        <w:rPr>
          <w:color w:val="000000" w:themeColor="text1"/>
          <w:spacing w:val="-3"/>
          <w:sz w:val="24"/>
          <w14:textFill>
            <w14:solidFill>
              <w14:schemeClr w14:val="tx1"/>
            </w14:solidFill>
          </w14:textFill>
        </w:rPr>
      </w:pPr>
      <w:r>
        <w:rPr>
          <w:rFonts w:hint="eastAsia" w:ascii="宋体" w:hAnsi="宋体" w:cs="宋体"/>
          <w:color w:val="000000" w:themeColor="text1"/>
          <w:spacing w:val="-3"/>
          <w:sz w:val="24"/>
          <w14:textFill>
            <w14:solidFill>
              <w14:schemeClr w14:val="tx1"/>
            </w14:solidFill>
          </w14:textFill>
        </w:rPr>
        <w:t>①</w:t>
      </w:r>
      <w:r>
        <w:rPr>
          <w:color w:val="000000" w:themeColor="text1"/>
          <w:spacing w:val="-3"/>
          <w:sz w:val="24"/>
          <w14:textFill>
            <w14:solidFill>
              <w14:schemeClr w14:val="tx1"/>
            </w14:solidFill>
          </w14:textFill>
        </w:rPr>
        <w:t>建立地下水环境监测管理体系，严格按照环评要求对下游水质监测井进行监测，一旦发现水质异常，立刻采取有效措施阻止污染羽的扩散迁移，将地下水控制在局部范围，避免对项目下游地下水造成污染。</w:t>
      </w:r>
    </w:p>
    <w:p w14:paraId="4C5E8074">
      <w:pPr>
        <w:spacing w:line="360" w:lineRule="auto"/>
        <w:ind w:firstLine="468" w:firstLineChars="200"/>
        <w:jc w:val="both"/>
        <w:rPr>
          <w:color w:val="000000" w:themeColor="text1"/>
          <w:spacing w:val="-3"/>
          <w:sz w:val="24"/>
          <w14:textFill>
            <w14:solidFill>
              <w14:schemeClr w14:val="tx1"/>
            </w14:solidFill>
          </w14:textFill>
        </w:rPr>
      </w:pPr>
      <w:r>
        <w:rPr>
          <w:rFonts w:hint="eastAsia" w:ascii="宋体" w:hAnsi="宋体" w:cs="宋体"/>
          <w:color w:val="000000" w:themeColor="text1"/>
          <w:spacing w:val="-3"/>
          <w:sz w:val="24"/>
          <w14:textFill>
            <w14:solidFill>
              <w14:schemeClr w14:val="tx1"/>
            </w14:solidFill>
          </w14:textFill>
        </w:rPr>
        <w:t>②</w:t>
      </w:r>
      <w:r>
        <w:rPr>
          <w:color w:val="000000" w:themeColor="text1"/>
          <w:spacing w:val="-3"/>
          <w:sz w:val="24"/>
          <w14:textFill>
            <w14:solidFill>
              <w14:schemeClr w14:val="tx1"/>
            </w14:solidFill>
          </w14:textFill>
        </w:rPr>
        <w:t>场区内四周设置排污沟，同时在排污沟外圈修建雨水沟，避免雨污混排，实行“清污分流”。</w:t>
      </w:r>
    </w:p>
    <w:p w14:paraId="6072B5C2">
      <w:pPr>
        <w:spacing w:line="360" w:lineRule="auto"/>
        <w:ind w:firstLine="468" w:firstLineChars="200"/>
        <w:jc w:val="both"/>
        <w:rPr>
          <w:color w:val="000000" w:themeColor="text1"/>
          <w:spacing w:val="-3"/>
          <w:sz w:val="24"/>
          <w14:textFill>
            <w14:solidFill>
              <w14:schemeClr w14:val="tx1"/>
            </w14:solidFill>
          </w14:textFill>
        </w:rPr>
      </w:pPr>
      <w:r>
        <w:rPr>
          <w:rFonts w:hint="eastAsia" w:ascii="宋体" w:hAnsi="宋体" w:cs="宋体"/>
          <w:color w:val="000000" w:themeColor="text1"/>
          <w:spacing w:val="-3"/>
          <w:sz w:val="24"/>
          <w14:textFill>
            <w14:solidFill>
              <w14:schemeClr w14:val="tx1"/>
            </w14:solidFill>
          </w14:textFill>
        </w:rPr>
        <w:t>③</w:t>
      </w:r>
      <w:r>
        <w:rPr>
          <w:color w:val="000000" w:themeColor="text1"/>
          <w:spacing w:val="-3"/>
          <w:sz w:val="24"/>
          <w14:textFill>
            <w14:solidFill>
              <w14:schemeClr w14:val="tx1"/>
            </w14:solidFill>
          </w14:textFill>
        </w:rPr>
        <w:t>设置地下水例行监测井。</w:t>
      </w:r>
    </w:p>
    <w:p w14:paraId="2BB3C89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做好防渗措施后，并加强维护和厂区环境管理的前提下，可有效控制厂区内的污染物下渗现象，避免污染土壤、地下水，因此项目不会对区域地下水环境产生明显不利影响，不会改变区域地下水环境质量功能等级，项目对地下水环境影响较小。</w:t>
      </w:r>
    </w:p>
    <w:p w14:paraId="2B231F06">
      <w:pPr>
        <w:pStyle w:val="752"/>
        <w:spacing w:before="0" w:after="0"/>
        <w:rPr>
          <w:rFonts w:cs="Times New Roman"/>
          <w:color w:val="000000" w:themeColor="text1"/>
          <w14:textFill>
            <w14:solidFill>
              <w14:schemeClr w14:val="tx1"/>
            </w14:solidFill>
          </w14:textFill>
        </w:rPr>
      </w:pPr>
      <w:bookmarkStart w:id="1171" w:name="_Toc40220873"/>
      <w:bookmarkStart w:id="1172" w:name="_Toc185141081"/>
      <w:bookmarkStart w:id="1173" w:name="_Toc21529758"/>
      <w:bookmarkStart w:id="1174" w:name="_Toc28814798"/>
      <w:bookmarkStart w:id="1175" w:name="_Toc27751308"/>
      <w:bookmarkStart w:id="1176" w:name="_Toc233380309"/>
      <w:r>
        <w:rPr>
          <w:rFonts w:cs="Times New Roman"/>
          <w:color w:val="000000" w:themeColor="text1"/>
          <w14:textFill>
            <w14:solidFill>
              <w14:schemeClr w14:val="tx1"/>
            </w14:solidFill>
          </w14:textFill>
        </w:rPr>
        <w:t>10.5.4声环境</w:t>
      </w:r>
      <w:bookmarkEnd w:id="1171"/>
      <w:bookmarkEnd w:id="1172"/>
      <w:bookmarkEnd w:id="1173"/>
      <w:bookmarkEnd w:id="1174"/>
      <w:bookmarkEnd w:id="1175"/>
      <w:r>
        <w:rPr>
          <w:rFonts w:cs="Times New Roman"/>
          <w:color w:val="000000" w:themeColor="text1"/>
          <w14:textFill>
            <w14:solidFill>
              <w14:schemeClr w14:val="tx1"/>
            </w14:solidFill>
          </w14:textFill>
        </w:rPr>
        <w:t>影响分析</w:t>
      </w:r>
      <w:bookmarkEnd w:id="1176"/>
    </w:p>
    <w:p w14:paraId="7D69FEAB">
      <w:pPr>
        <w:spacing w:line="360" w:lineRule="auto"/>
        <w:ind w:firstLine="468" w:firstLineChars="200"/>
        <w:rPr>
          <w:color w:val="000000" w:themeColor="text1"/>
          <w:highlight w:val="yellow"/>
          <w14:textFill>
            <w14:solidFill>
              <w14:schemeClr w14:val="tx1"/>
            </w14:solidFill>
          </w14:textFill>
        </w:rPr>
      </w:pPr>
      <w:r>
        <w:rPr>
          <w:color w:val="000000" w:themeColor="text1"/>
          <w:spacing w:val="-3"/>
          <w:sz w:val="24"/>
          <w14:textFill>
            <w14:solidFill>
              <w14:schemeClr w14:val="tx1"/>
            </w14:solidFill>
          </w14:textFill>
        </w:rPr>
        <w:t>项目噪声主要来自风机等设备</w:t>
      </w:r>
      <w:r>
        <w:rPr>
          <w:color w:val="000000" w:themeColor="text1"/>
          <w:spacing w:val="-4"/>
          <w:sz w:val="24"/>
          <w14:textFill>
            <w14:solidFill>
              <w14:schemeClr w14:val="tx1"/>
            </w14:solidFill>
          </w14:textFill>
        </w:rPr>
        <w:t>，项目通过选择低噪</w:t>
      </w:r>
      <w:r>
        <w:rPr>
          <w:color w:val="000000" w:themeColor="text1"/>
          <w:spacing w:val="-3"/>
          <w:sz w:val="24"/>
          <w14:textFill>
            <w14:solidFill>
              <w14:schemeClr w14:val="tx1"/>
            </w14:solidFill>
          </w14:textFill>
        </w:rPr>
        <w:t>声设备，加强维护保养，牛舍及围墙隔声等措施进行隔声降噪，各厂界噪声可达</w:t>
      </w:r>
      <w:r>
        <w:rPr>
          <w:color w:val="000000" w:themeColor="text1"/>
          <w:spacing w:val="-2"/>
          <w:sz w:val="24"/>
          <w14:textFill>
            <w14:solidFill>
              <w14:schemeClr w14:val="tx1"/>
            </w14:solidFill>
          </w14:textFill>
        </w:rPr>
        <w:t xml:space="preserve">《工业企业厂界环境噪声排放标准》（GB </w:t>
      </w:r>
      <w:r>
        <w:rPr>
          <w:rFonts w:eastAsia="Times New Roman"/>
          <w:color w:val="000000" w:themeColor="text1"/>
          <w:spacing w:val="-2"/>
          <w:sz w:val="24"/>
          <w14:textFill>
            <w14:solidFill>
              <w14:schemeClr w14:val="tx1"/>
            </w14:solidFill>
          </w14:textFill>
        </w:rPr>
        <w:t>12348-2008</w:t>
      </w:r>
      <w:r>
        <w:rPr>
          <w:color w:val="000000" w:themeColor="text1"/>
          <w:spacing w:val="-3"/>
          <w:sz w:val="24"/>
          <w14:textFill>
            <w14:solidFill>
              <w14:schemeClr w14:val="tx1"/>
            </w14:solidFill>
          </w14:textFill>
        </w:rPr>
        <w:t>）</w:t>
      </w:r>
      <w:r>
        <w:rPr>
          <w:rFonts w:eastAsia="Times New Roman"/>
          <w:color w:val="000000" w:themeColor="text1"/>
          <w:spacing w:val="-3"/>
          <w:sz w:val="24"/>
          <w14:textFill>
            <w14:solidFill>
              <w14:schemeClr w14:val="tx1"/>
            </w14:solidFill>
          </w14:textFill>
        </w:rPr>
        <w:t>2</w:t>
      </w:r>
      <w:r>
        <w:rPr>
          <w:color w:val="000000" w:themeColor="text1"/>
          <w:spacing w:val="-3"/>
          <w:sz w:val="24"/>
          <w14:textFill>
            <w14:solidFill>
              <w14:schemeClr w14:val="tx1"/>
            </w14:solidFill>
          </w14:textFill>
        </w:rPr>
        <w:t>类标准，敏感点噪声可</w:t>
      </w:r>
      <w:r>
        <w:rPr>
          <w:color w:val="000000" w:themeColor="text1"/>
          <w:spacing w:val="-1"/>
          <w:sz w:val="24"/>
          <w14:textFill>
            <w14:solidFill>
              <w14:schemeClr w14:val="tx1"/>
            </w14:solidFill>
          </w14:textFill>
        </w:rPr>
        <w:t xml:space="preserve">达《声环境质量标准》（GB </w:t>
      </w:r>
      <w:r>
        <w:rPr>
          <w:rFonts w:eastAsia="Times New Roman"/>
          <w:color w:val="000000" w:themeColor="text1"/>
          <w:spacing w:val="-1"/>
          <w:sz w:val="24"/>
          <w14:textFill>
            <w14:solidFill>
              <w14:schemeClr w14:val="tx1"/>
            </w14:solidFill>
          </w14:textFill>
        </w:rPr>
        <w:t>3096-2008</w:t>
      </w:r>
      <w:r>
        <w:rPr>
          <w:color w:val="000000" w:themeColor="text1"/>
          <w:spacing w:val="-1"/>
          <w:sz w:val="24"/>
          <w14:textFill>
            <w14:solidFill>
              <w14:schemeClr w14:val="tx1"/>
            </w14:solidFill>
          </w14:textFill>
        </w:rPr>
        <w:t>）中</w:t>
      </w:r>
      <w:r>
        <w:rPr>
          <w:rFonts w:eastAsia="Times New Roman"/>
          <w:color w:val="000000" w:themeColor="text1"/>
          <w:spacing w:val="-1"/>
          <w:sz w:val="24"/>
          <w14:textFill>
            <w14:solidFill>
              <w14:schemeClr w14:val="tx1"/>
            </w14:solidFill>
          </w14:textFill>
        </w:rPr>
        <w:t>2</w:t>
      </w:r>
      <w:r>
        <w:rPr>
          <w:color w:val="000000" w:themeColor="text1"/>
          <w:spacing w:val="-1"/>
          <w:sz w:val="24"/>
          <w14:textFill>
            <w14:solidFill>
              <w14:schemeClr w14:val="tx1"/>
            </w14:solidFill>
          </w14:textFill>
        </w:rPr>
        <w:t>类标准。综上，项目建设对当地声</w:t>
      </w:r>
      <w:r>
        <w:rPr>
          <w:color w:val="000000" w:themeColor="text1"/>
          <w:spacing w:val="-2"/>
          <w:sz w:val="24"/>
          <w14:textFill>
            <w14:solidFill>
              <w14:schemeClr w14:val="tx1"/>
            </w14:solidFill>
          </w14:textFill>
        </w:rPr>
        <w:t>环境影响轻微。</w:t>
      </w:r>
    </w:p>
    <w:p w14:paraId="665BEFFD">
      <w:pPr>
        <w:pStyle w:val="752"/>
        <w:spacing w:before="0" w:after="0"/>
        <w:rPr>
          <w:rFonts w:cs="Times New Roman"/>
          <w:color w:val="000000" w:themeColor="text1"/>
          <w14:textFill>
            <w14:solidFill>
              <w14:schemeClr w14:val="tx1"/>
            </w14:solidFill>
          </w14:textFill>
        </w:rPr>
      </w:pPr>
      <w:bookmarkStart w:id="1177" w:name="_Toc233380310"/>
      <w:r>
        <w:rPr>
          <w:rFonts w:cs="Times New Roman"/>
          <w:color w:val="000000" w:themeColor="text1"/>
          <w14:textFill>
            <w14:solidFill>
              <w14:schemeClr w14:val="tx1"/>
            </w14:solidFill>
          </w14:textFill>
        </w:rPr>
        <w:t>10.5.5固体废弃物对环境的影响</w:t>
      </w:r>
      <w:bookmarkEnd w:id="1177"/>
    </w:p>
    <w:p w14:paraId="70129F23">
      <w:pPr>
        <w:spacing w:line="354" w:lineRule="auto"/>
        <w:ind w:firstLine="484"/>
        <w:rPr>
          <w:color w:val="000000" w:themeColor="text1"/>
          <w:sz w:val="24"/>
          <w14:textFill>
            <w14:solidFill>
              <w14:schemeClr w14:val="tx1"/>
            </w14:solidFill>
          </w14:textFill>
        </w:rPr>
      </w:pPr>
      <w:r>
        <w:rPr>
          <w:color w:val="000000" w:themeColor="text1"/>
          <w:spacing w:val="-5"/>
          <w:sz w:val="24"/>
          <w14:textFill>
            <w14:solidFill>
              <w14:schemeClr w14:val="tx1"/>
            </w14:solidFill>
          </w14:textFill>
        </w:rPr>
        <w:t>项目运营期产生的固体废物为一般固废，</w:t>
      </w:r>
      <w:r>
        <w:rPr>
          <w:color w:val="000000" w:themeColor="text1"/>
          <w:spacing w:val="-3"/>
          <w:sz w:val="24"/>
          <w14:textFill>
            <w14:solidFill>
              <w14:schemeClr w14:val="tx1"/>
            </w14:solidFill>
          </w14:textFill>
        </w:rPr>
        <w:t>主要为动物防疫废物、废弃垫料、病死牛、饲料残渣、废包装材料</w:t>
      </w:r>
      <w:r>
        <w:rPr>
          <w:color w:val="000000" w:themeColor="text1"/>
          <w:spacing w:val="-5"/>
          <w:sz w:val="24"/>
          <w14:textFill>
            <w14:solidFill>
              <w14:schemeClr w14:val="tx1"/>
            </w14:solidFill>
          </w14:textFill>
        </w:rPr>
        <w:t>和生活垃圾等。防疫废物按照医疗废物进行收集暂存管理，交予合规单位无害化处置。废弃垫料</w:t>
      </w:r>
      <w:r>
        <w:rPr>
          <w:rFonts w:hint="eastAsia"/>
          <w:color w:val="000000" w:themeColor="text1"/>
          <w:spacing w:val="-5"/>
          <w:sz w:val="24"/>
          <w14:textFill>
            <w14:solidFill>
              <w14:schemeClr w14:val="tx1"/>
            </w14:solidFill>
          </w14:textFill>
        </w:rPr>
        <w:t>外运至有机肥厂无害化处理后生产有机肥</w:t>
      </w:r>
      <w:r>
        <w:rPr>
          <w:color w:val="000000" w:themeColor="text1"/>
          <w:spacing w:val="-5"/>
          <w:sz w:val="24"/>
          <w14:textFill>
            <w14:solidFill>
              <w14:schemeClr w14:val="tx1"/>
            </w14:solidFill>
          </w14:textFill>
        </w:rPr>
        <w:t>，实现粪污资源化利用；</w:t>
      </w:r>
      <w:r>
        <w:rPr>
          <w:color w:val="000000" w:themeColor="text1"/>
          <w:spacing w:val="-3"/>
          <w:sz w:val="24"/>
          <w14:textFill>
            <w14:solidFill>
              <w14:schemeClr w14:val="tx1"/>
            </w14:solidFill>
          </w14:textFill>
        </w:rPr>
        <w:t>病死牛委托四川科农动物无害化处理有限公司统一收集处理；废包装材料外售综合利用</w:t>
      </w:r>
      <w:r>
        <w:rPr>
          <w:color w:val="000000" w:themeColor="text1"/>
          <w:spacing w:val="-1"/>
          <w:sz w:val="24"/>
          <w14:textFill>
            <w14:solidFill>
              <w14:schemeClr w14:val="tx1"/>
            </w14:solidFill>
          </w14:textFill>
        </w:rPr>
        <w:t>；生活垃圾收集后由环卫部门统一清运处置。</w:t>
      </w:r>
    </w:p>
    <w:p w14:paraId="157006F1">
      <w:pPr>
        <w:spacing w:line="360" w:lineRule="auto"/>
        <w:ind w:firstLine="468" w:firstLineChars="200"/>
        <w:rPr>
          <w:color w:val="000000" w:themeColor="text1"/>
          <w:spacing w:val="-1"/>
          <w:sz w:val="24"/>
          <w14:textFill>
            <w14:solidFill>
              <w14:schemeClr w14:val="tx1"/>
            </w14:solidFill>
          </w14:textFill>
        </w:rPr>
      </w:pPr>
      <w:r>
        <w:rPr>
          <w:color w:val="000000" w:themeColor="text1"/>
          <w:spacing w:val="-3"/>
          <w:sz w:val="24"/>
          <w14:textFill>
            <w14:solidFill>
              <w14:schemeClr w14:val="tx1"/>
            </w14:solidFill>
          </w14:textFill>
        </w:rPr>
        <w:t>项目固体废物去向明确，只要能严格落实各类固废暂存</w:t>
      </w:r>
      <w:r>
        <w:rPr>
          <w:color w:val="000000" w:themeColor="text1"/>
          <w:spacing w:val="-4"/>
          <w:sz w:val="24"/>
          <w14:textFill>
            <w14:solidFill>
              <w14:schemeClr w14:val="tx1"/>
            </w14:solidFill>
          </w14:textFill>
        </w:rPr>
        <w:t>及处理措施，加强危</w:t>
      </w:r>
      <w:r>
        <w:rPr>
          <w:color w:val="000000" w:themeColor="text1"/>
          <w:sz w:val="24"/>
          <w14:textFill>
            <w14:solidFill>
              <w14:schemeClr w14:val="tx1"/>
            </w14:solidFill>
          </w14:textFill>
        </w:rPr>
        <w:t>废收集、转运和管理，确保固废去向明确妥当，可避免</w:t>
      </w:r>
      <w:r>
        <w:rPr>
          <w:color w:val="000000" w:themeColor="text1"/>
          <w:spacing w:val="-1"/>
          <w:sz w:val="24"/>
          <w14:textFill>
            <w14:solidFill>
              <w14:schemeClr w14:val="tx1"/>
            </w14:solidFill>
          </w14:textFill>
        </w:rPr>
        <w:t>对环境造成二次污染。</w:t>
      </w:r>
    </w:p>
    <w:p w14:paraId="05C6FD88">
      <w:pPr>
        <w:spacing w:line="360" w:lineRule="auto"/>
        <w:ind w:firstLine="498" w:firstLineChars="200"/>
        <w:rPr>
          <w:color w:val="000000" w:themeColor="text1"/>
          <w:sz w:val="24"/>
          <w14:textFill>
            <w14:solidFill>
              <w14:schemeClr w14:val="tx1"/>
            </w14:solidFill>
          </w14:textFill>
        </w:rPr>
      </w:pPr>
      <w:r>
        <w:rPr>
          <w:b/>
          <w:bCs/>
          <w:color w:val="000000" w:themeColor="text1"/>
          <w:spacing w:val="4"/>
          <w:sz w:val="24"/>
          <w14:textFill>
            <w14:solidFill>
              <w14:schemeClr w14:val="tx1"/>
            </w14:solidFill>
          </w14:textFill>
        </w:rPr>
        <w:t>评价认为，本工程采取的环境保护措施技术经济可行，措施有效。</w:t>
      </w:r>
    </w:p>
    <w:p w14:paraId="3DF903CD">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78" w:name="_Toc40220874"/>
      <w:bookmarkStart w:id="1179" w:name="_Toc306099261"/>
      <w:bookmarkStart w:id="1180" w:name="_Toc204834903"/>
      <w:bookmarkStart w:id="1181" w:name="_Toc185141082"/>
      <w:bookmarkStart w:id="1182" w:name="_Toc520469102"/>
      <w:bookmarkStart w:id="1183" w:name="_Toc233380311"/>
      <w:r>
        <w:rPr>
          <w:rFonts w:ascii="Times New Roman" w:hAnsi="Times New Roman" w:eastAsia="宋体"/>
          <w:color w:val="000000" w:themeColor="text1"/>
          <w:sz w:val="30"/>
          <w:szCs w:val="30"/>
          <w14:textFill>
            <w14:solidFill>
              <w14:schemeClr w14:val="tx1"/>
            </w14:solidFill>
          </w14:textFill>
        </w:rPr>
        <w:t>10.6环境风险评价结论</w:t>
      </w:r>
      <w:bookmarkEnd w:id="1178"/>
      <w:bookmarkEnd w:id="1179"/>
      <w:bookmarkEnd w:id="1180"/>
      <w:bookmarkEnd w:id="1181"/>
      <w:bookmarkEnd w:id="1182"/>
      <w:bookmarkEnd w:id="1183"/>
    </w:p>
    <w:p w14:paraId="1513AE8F">
      <w:pPr>
        <w:spacing w:line="347" w:lineRule="auto"/>
        <w:ind w:firstLine="484"/>
        <w:rPr>
          <w:color w:val="000000" w:themeColor="text1"/>
          <w:sz w:val="24"/>
          <w14:textFill>
            <w14:solidFill>
              <w14:schemeClr w14:val="tx1"/>
            </w14:solidFill>
          </w14:textFill>
        </w:rPr>
      </w:pPr>
      <w:r>
        <w:rPr>
          <w:color w:val="000000" w:themeColor="text1"/>
          <w:spacing w:val="4"/>
          <w:sz w:val="24"/>
          <w14:textFill>
            <w14:solidFill>
              <w14:schemeClr w14:val="tx1"/>
            </w14:solidFill>
          </w14:textFill>
        </w:rPr>
        <w:t>本项目不构成重大危险源，本项目运营过程中严格执行“三同时</w:t>
      </w:r>
      <w:r>
        <w:rPr>
          <w:color w:val="000000" w:themeColor="text1"/>
          <w:spacing w:val="3"/>
          <w:sz w:val="24"/>
          <w14:textFill>
            <w14:solidFill>
              <w14:schemeClr w14:val="tx1"/>
            </w14:solidFill>
          </w14:textFill>
        </w:rPr>
        <w:t>”制度，落实本报</w:t>
      </w:r>
      <w:r>
        <w:rPr>
          <w:color w:val="000000" w:themeColor="text1"/>
          <w:spacing w:val="5"/>
          <w:sz w:val="24"/>
          <w14:textFill>
            <w14:solidFill>
              <w14:schemeClr w14:val="tx1"/>
            </w14:solidFill>
          </w14:textFill>
        </w:rPr>
        <w:t>告提出的风险事故防范、疫病防范措施，建立和落实各项风</w:t>
      </w:r>
      <w:r>
        <w:rPr>
          <w:color w:val="000000" w:themeColor="text1"/>
          <w:spacing w:val="4"/>
          <w:sz w:val="24"/>
          <w14:textFill>
            <w14:solidFill>
              <w14:schemeClr w14:val="tx1"/>
            </w14:solidFill>
          </w14:textFill>
        </w:rPr>
        <w:t>险预警、环境风险削减措施</w:t>
      </w:r>
      <w:r>
        <w:rPr>
          <w:color w:val="000000" w:themeColor="text1"/>
          <w:spacing w:val="5"/>
          <w:sz w:val="24"/>
          <w14:textFill>
            <w14:solidFill>
              <w14:schemeClr w14:val="tx1"/>
            </w14:solidFill>
          </w14:textFill>
        </w:rPr>
        <w:t>和事故应急计划，杜绝重大安全事故和重大环境污染</w:t>
      </w:r>
      <w:r>
        <w:rPr>
          <w:color w:val="000000" w:themeColor="text1"/>
          <w:spacing w:val="4"/>
          <w:sz w:val="24"/>
          <w14:textFill>
            <w14:solidFill>
              <w14:schemeClr w14:val="tx1"/>
            </w14:solidFill>
          </w14:textFill>
        </w:rPr>
        <w:t>事故的发生，可使本项目建成后风</w:t>
      </w:r>
      <w:r>
        <w:rPr>
          <w:color w:val="000000" w:themeColor="text1"/>
          <w:sz w:val="24"/>
          <w14:textFill>
            <w14:solidFill>
              <w14:schemeClr w14:val="tx1"/>
            </w14:solidFill>
          </w14:textFill>
        </w:rPr>
        <w:t>险水平处于可接受程度，因此从风险角度而</w:t>
      </w:r>
      <w:r>
        <w:rPr>
          <w:color w:val="000000" w:themeColor="text1"/>
          <w:spacing w:val="-1"/>
          <w:sz w:val="24"/>
          <w14:textFill>
            <w14:solidFill>
              <w14:schemeClr w14:val="tx1"/>
            </w14:solidFill>
          </w14:textFill>
        </w:rPr>
        <w:t>言，本项目建设是可行的。</w:t>
      </w:r>
    </w:p>
    <w:p w14:paraId="2F1C6AAF">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84" w:name="_Toc40220875"/>
      <w:bookmarkStart w:id="1185" w:name="_Toc233380312"/>
      <w:bookmarkStart w:id="1186" w:name="_Toc14134862"/>
      <w:r>
        <w:rPr>
          <w:rFonts w:ascii="Times New Roman" w:hAnsi="Times New Roman" w:eastAsia="宋体"/>
          <w:color w:val="000000" w:themeColor="text1"/>
          <w:sz w:val="30"/>
          <w:szCs w:val="30"/>
          <w14:textFill>
            <w14:solidFill>
              <w14:schemeClr w14:val="tx1"/>
            </w14:solidFill>
          </w14:textFill>
        </w:rPr>
        <w:t>10.7公众参与</w:t>
      </w:r>
      <w:bookmarkEnd w:id="1184"/>
      <w:bookmarkEnd w:id="1185"/>
      <w:bookmarkEnd w:id="1186"/>
    </w:p>
    <w:p w14:paraId="70358108">
      <w:pPr>
        <w:spacing w:line="347" w:lineRule="auto"/>
        <w:ind w:firstLine="484"/>
        <w:rPr>
          <w:color w:val="000000" w:themeColor="text1"/>
          <w:sz w:val="24"/>
          <w14:textFill>
            <w14:solidFill>
              <w14:schemeClr w14:val="tx1"/>
            </w14:solidFill>
          </w14:textFill>
        </w:rPr>
      </w:pPr>
      <w:r>
        <w:rPr>
          <w:color w:val="000000" w:themeColor="text1"/>
          <w:sz w:val="24"/>
          <w14:textFill>
            <w14:solidFill>
              <w14:schemeClr w14:val="tx1"/>
            </w14:solidFill>
          </w14:textFill>
        </w:rPr>
        <w:t>根据《</w:t>
      </w:r>
      <w:r>
        <w:rPr>
          <w:color w:val="000000" w:themeColor="text1"/>
          <w:sz w:val="24"/>
          <w:lang w:val="en"/>
          <w14:textFill>
            <w14:solidFill>
              <w14:schemeClr w14:val="tx1"/>
            </w14:solidFill>
          </w14:textFill>
        </w:rPr>
        <w:t>环境影响评价公众参与办法</w:t>
      </w:r>
      <w:r>
        <w:rPr>
          <w:color w:val="000000" w:themeColor="text1"/>
          <w:sz w:val="24"/>
          <w14:textFill>
            <w14:solidFill>
              <w14:schemeClr w14:val="tx1"/>
            </w14:solidFill>
          </w14:textFill>
        </w:rPr>
        <w:t>》（生态环境部令第4号）中的相关要求，</w:t>
      </w:r>
      <w:r>
        <w:rPr>
          <w:color w:val="000000" w:themeColor="text1"/>
          <w:kern w:val="0"/>
          <w:sz w:val="24"/>
          <w14:textFill>
            <w14:solidFill>
              <w14:schemeClr w14:val="tx1"/>
            </w14:solidFill>
          </w14:textFill>
        </w:rPr>
        <w:t>建设单位</w:t>
      </w:r>
      <w:r>
        <w:rPr>
          <w:color w:val="000000" w:themeColor="text1"/>
          <w:sz w:val="24"/>
          <w14:textFill>
            <w14:solidFill>
              <w14:schemeClr w14:val="tx1"/>
            </w14:solidFill>
          </w14:textFill>
        </w:rPr>
        <w:t>通过网络、刊登报纸、现场张贴等方式进行了本项目环境影响评价公众参与信息公示，在公示期间未收到反对项目建设的反馈意见。</w:t>
      </w:r>
    </w:p>
    <w:p w14:paraId="4FA3F85B">
      <w:pPr>
        <w:spacing w:line="347" w:lineRule="auto"/>
        <w:ind w:firstLine="484"/>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巴中市巨城市政工程有限公司</w:t>
      </w:r>
      <w:r>
        <w:rPr>
          <w:color w:val="000000" w:themeColor="text1"/>
          <w:sz w:val="24"/>
          <w14:textFill>
            <w14:solidFill>
              <w14:schemeClr w14:val="tx1"/>
            </w14:solidFill>
          </w14:textFill>
        </w:rPr>
        <w:t>应重视环境保护，严格执行国家有关规定及标准，落实各项环保治理措施，加强环境管理，减轻本项目对周围环境的影响。</w:t>
      </w:r>
    </w:p>
    <w:p w14:paraId="607B9CFD">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87" w:name="_Toc204834905"/>
      <w:bookmarkStart w:id="1188" w:name="_Toc40220876"/>
      <w:bookmarkStart w:id="1189" w:name="_Toc306099263"/>
      <w:bookmarkStart w:id="1190" w:name="_Toc185141084"/>
      <w:bookmarkStart w:id="1191" w:name="_Toc520469103"/>
      <w:bookmarkStart w:id="1192" w:name="_Toc233380313"/>
      <w:r>
        <w:rPr>
          <w:rFonts w:ascii="Times New Roman" w:hAnsi="Times New Roman" w:eastAsia="宋体"/>
          <w:color w:val="000000" w:themeColor="text1"/>
          <w:sz w:val="30"/>
          <w:szCs w:val="30"/>
          <w14:textFill>
            <w14:solidFill>
              <w14:schemeClr w14:val="tx1"/>
            </w14:solidFill>
          </w14:textFill>
        </w:rPr>
        <w:t>10.8</w:t>
      </w:r>
      <w:bookmarkEnd w:id="1187"/>
      <w:bookmarkEnd w:id="1188"/>
      <w:bookmarkEnd w:id="1189"/>
      <w:bookmarkEnd w:id="1190"/>
      <w:bookmarkEnd w:id="1191"/>
      <w:r>
        <w:rPr>
          <w:rFonts w:ascii="Times New Roman" w:hAnsi="Times New Roman" w:eastAsia="宋体"/>
          <w:color w:val="000000" w:themeColor="text1"/>
          <w:sz w:val="30"/>
          <w:szCs w:val="30"/>
          <w14:textFill>
            <w14:solidFill>
              <w14:schemeClr w14:val="tx1"/>
            </w14:solidFill>
          </w14:textFill>
        </w:rPr>
        <w:t>建设项目环境可行性结论</w:t>
      </w:r>
      <w:bookmarkEnd w:id="1192"/>
    </w:p>
    <w:p w14:paraId="01427F43">
      <w:pPr>
        <w:autoSpaceDE w:val="0"/>
        <w:autoSpaceDN w:val="0"/>
        <w:adjustRightInd w:val="0"/>
        <w:spacing w:line="360" w:lineRule="auto"/>
        <w:ind w:firstLine="480" w:firstLineChars="200"/>
        <w:jc w:val="both"/>
        <w:rPr>
          <w:color w:val="000000" w:themeColor="text1"/>
          <w:sz w:val="24"/>
          <w14:textFill>
            <w14:solidFill>
              <w14:schemeClr w14:val="tx1"/>
            </w14:solidFill>
          </w14:textFill>
        </w:rPr>
      </w:pPr>
      <w:r>
        <w:rPr>
          <w:bCs/>
          <w:color w:val="000000" w:themeColor="text1"/>
          <w:sz w:val="24"/>
          <w14:textFill>
            <w14:solidFill>
              <w14:schemeClr w14:val="tx1"/>
            </w14:solidFill>
          </w14:textFill>
        </w:rPr>
        <w:t>巴中市巨城市政工程有限公司拟投资35090.20万元，在巴州区共占地面积0.63万亩，其中建设饲草料种植基地0.6万亩、饲草料加工基地0.6万平方米；建设肉牛养殖区17.57万平方米，并配套建设其他附属设施工程。建成后可年出栏安格斯肉牛19380头、巴山肉牛1800头。</w:t>
      </w:r>
    </w:p>
    <w:p w14:paraId="6F18EFA6">
      <w:pPr>
        <w:spacing w:line="347" w:lineRule="auto"/>
        <w:ind w:firstLine="484"/>
        <w:rPr>
          <w:color w:val="000000" w:themeColor="text1"/>
          <w:sz w:val="24"/>
          <w14:textFill>
            <w14:solidFill>
              <w14:schemeClr w14:val="tx1"/>
            </w14:solidFill>
          </w14:textFill>
        </w:rPr>
      </w:pPr>
      <w:r>
        <w:rPr>
          <w:color w:val="000000" w:themeColor="text1"/>
          <w:sz w:val="24"/>
          <w14:textFill>
            <w14:solidFill>
              <w14:schemeClr w14:val="tx1"/>
            </w14:solidFill>
          </w14:textFill>
        </w:rPr>
        <w:t>本项目建设符合国家现行产业政策，项目选址不在禁养、限养区域内，与外环境相容，总平面布置合理。项目采取的污染防治措施技术经济可行。建设单位认真落实本报告中提出的各项污染防治措施及环境风险防范措施，可确保污染物实现稳定达标排放。从环保角度而言，本项目的建设是可行的。</w:t>
      </w:r>
    </w:p>
    <w:p w14:paraId="2AAEA9FE">
      <w:pPr>
        <w:pStyle w:val="4"/>
        <w:spacing w:before="120" w:after="120" w:line="360" w:lineRule="auto"/>
        <w:rPr>
          <w:rFonts w:ascii="Times New Roman" w:hAnsi="Times New Roman" w:eastAsia="宋体"/>
          <w:color w:val="000000" w:themeColor="text1"/>
          <w:sz w:val="30"/>
          <w:szCs w:val="30"/>
          <w14:textFill>
            <w14:solidFill>
              <w14:schemeClr w14:val="tx1"/>
            </w14:solidFill>
          </w14:textFill>
        </w:rPr>
      </w:pPr>
      <w:bookmarkStart w:id="1193" w:name="_Toc306099264"/>
      <w:bookmarkStart w:id="1194" w:name="_Toc40220877"/>
      <w:bookmarkStart w:id="1195" w:name="_Toc204834906"/>
      <w:bookmarkStart w:id="1196" w:name="_Toc185141085"/>
      <w:bookmarkStart w:id="1197" w:name="_Toc520469104"/>
      <w:bookmarkStart w:id="1198" w:name="_Toc233380314"/>
      <w:r>
        <w:rPr>
          <w:rFonts w:ascii="Times New Roman" w:hAnsi="Times New Roman" w:eastAsia="宋体"/>
          <w:color w:val="000000" w:themeColor="text1"/>
          <w:sz w:val="30"/>
          <w:szCs w:val="30"/>
          <w14:textFill>
            <w14:solidFill>
              <w14:schemeClr w14:val="tx1"/>
            </w14:solidFill>
          </w14:textFill>
        </w:rPr>
        <w:t>10.9要求及建议</w:t>
      </w:r>
      <w:bookmarkEnd w:id="1193"/>
      <w:bookmarkEnd w:id="1194"/>
      <w:bookmarkEnd w:id="1195"/>
      <w:bookmarkEnd w:id="1196"/>
      <w:bookmarkEnd w:id="1197"/>
      <w:bookmarkEnd w:id="1198"/>
    </w:p>
    <w:p w14:paraId="09BC4FDE">
      <w:pPr>
        <w:spacing w:line="347" w:lineRule="auto"/>
        <w:ind w:firstLine="484"/>
        <w:rPr>
          <w:color w:val="000000" w:themeColor="text1"/>
          <w:sz w:val="24"/>
          <w14:textFill>
            <w14:solidFill>
              <w14:schemeClr w14:val="tx1"/>
            </w14:solidFill>
          </w14:textFill>
        </w:rPr>
      </w:pPr>
      <w:r>
        <w:rPr>
          <w:color w:val="000000" w:themeColor="text1"/>
          <w:sz w:val="24"/>
          <w14:textFill>
            <w14:solidFill>
              <w14:schemeClr w14:val="tx1"/>
            </w14:solidFill>
          </w14:textFill>
        </w:rPr>
        <w:t>1、建设单位要保证足够的环保资金，落实本环评提出的各项治理措施，做好项目建设的“三同时”工作。</w:t>
      </w:r>
    </w:p>
    <w:p w14:paraId="18509BEB">
      <w:pPr>
        <w:spacing w:line="347" w:lineRule="auto"/>
        <w:ind w:firstLine="484"/>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color w:val="000000" w:themeColor="text1"/>
          <w:spacing w:val="2"/>
          <w:sz w:val="24"/>
          <w14:textFill>
            <w14:solidFill>
              <w14:schemeClr w14:val="tx1"/>
            </w14:solidFill>
          </w14:textFill>
        </w:rPr>
        <w:t>建设单位必须严格落实本环评中提出的固体废物处置措</w:t>
      </w:r>
      <w:r>
        <w:rPr>
          <w:color w:val="000000" w:themeColor="text1"/>
          <w:spacing w:val="1"/>
          <w:sz w:val="24"/>
          <w14:textFill>
            <w14:solidFill>
              <w14:schemeClr w14:val="tx1"/>
            </w14:solidFill>
          </w14:textFill>
        </w:rPr>
        <w:t>施，确保各类固体废物</w:t>
      </w:r>
      <w:r>
        <w:rPr>
          <w:color w:val="000000" w:themeColor="text1"/>
          <w:spacing w:val="-1"/>
          <w:sz w:val="24"/>
          <w14:textFill>
            <w14:solidFill>
              <w14:schemeClr w14:val="tx1"/>
            </w14:solidFill>
          </w14:textFill>
        </w:rPr>
        <w:t>处置妥当，不对环境造成二次污染。</w:t>
      </w:r>
    </w:p>
    <w:p w14:paraId="677A368C">
      <w:pPr>
        <w:spacing w:line="347" w:lineRule="auto"/>
        <w:ind w:firstLine="484"/>
        <w:rPr>
          <w:color w:val="000000" w:themeColor="text1"/>
          <w:sz w:val="24"/>
          <w14:textFill>
            <w14:solidFill>
              <w14:schemeClr w14:val="tx1"/>
            </w14:solidFill>
          </w14:textFill>
        </w:rPr>
      </w:pPr>
      <w:r>
        <w:rPr>
          <w:color w:val="000000" w:themeColor="text1"/>
          <w:sz w:val="24"/>
          <w14:textFill>
            <w14:solidFill>
              <w14:schemeClr w14:val="tx1"/>
            </w14:solidFill>
          </w14:textFill>
        </w:rPr>
        <w:t>3、建立环境管理机构，负责全场环境管理工作，保证环保设施正常运行，并建立环保档案。</w:t>
      </w:r>
    </w:p>
    <w:p w14:paraId="568B9131">
      <w:pPr>
        <w:spacing w:line="347" w:lineRule="auto"/>
        <w:ind w:firstLine="484"/>
        <w:rPr>
          <w:color w:val="000000" w:themeColor="text1"/>
          <w:sz w:val="24"/>
          <w14:textFill>
            <w14:solidFill>
              <w14:schemeClr w14:val="tx1"/>
            </w14:solidFill>
          </w14:textFill>
        </w:rPr>
      </w:pPr>
      <w:r>
        <w:rPr>
          <w:color w:val="000000" w:themeColor="text1"/>
          <w:sz w:val="24"/>
          <w14:textFill>
            <w14:solidFill>
              <w14:schemeClr w14:val="tx1"/>
            </w14:solidFill>
          </w14:textFill>
        </w:rPr>
        <w:t>4、</w:t>
      </w:r>
      <w:r>
        <w:rPr>
          <w:color w:val="000000" w:themeColor="text1"/>
          <w:spacing w:val="-6"/>
          <w:sz w:val="24"/>
          <w14:textFill>
            <w14:solidFill>
              <w14:schemeClr w14:val="tx1"/>
            </w14:solidFill>
          </w14:textFill>
        </w:rPr>
        <w:t>加强项目污染物排放的日常监测，建立污染源档案，接受当地环保部门</w:t>
      </w:r>
      <w:r>
        <w:rPr>
          <w:color w:val="000000" w:themeColor="text1"/>
          <w:spacing w:val="-7"/>
          <w:sz w:val="24"/>
          <w14:textFill>
            <w14:solidFill>
              <w14:schemeClr w14:val="tx1"/>
            </w14:solidFill>
          </w14:textFill>
        </w:rPr>
        <w:t>监管，</w:t>
      </w:r>
      <w:r>
        <w:rPr>
          <w:color w:val="000000" w:themeColor="text1"/>
          <w:spacing w:val="-1"/>
          <w:sz w:val="24"/>
          <w14:textFill>
            <w14:solidFill>
              <w14:schemeClr w14:val="tx1"/>
            </w14:solidFill>
          </w14:textFill>
        </w:rPr>
        <w:t>预防事故排放；肉牛定期做健康检查，避免疫情发生。</w:t>
      </w:r>
    </w:p>
    <w:p w14:paraId="434DFA10">
      <w:pPr>
        <w:spacing w:line="347" w:lineRule="auto"/>
        <w:ind w:firstLine="484"/>
        <w:rPr>
          <w:color w:val="000000" w:themeColor="text1"/>
          <w:sz w:val="24"/>
          <w14:textFill>
            <w14:solidFill>
              <w14:schemeClr w14:val="tx1"/>
            </w14:solidFill>
          </w14:textFill>
        </w:rPr>
      </w:pPr>
      <w:r>
        <w:rPr>
          <w:color w:val="000000" w:themeColor="text1"/>
          <w:sz w:val="24"/>
          <w14:textFill>
            <w14:solidFill>
              <w14:schemeClr w14:val="tx1"/>
            </w14:solidFill>
          </w14:textFill>
        </w:rPr>
        <w:t>5、场区除绿化用地外应进行地面硬化处理；四周隔墙和建排水沟。</w:t>
      </w:r>
    </w:p>
    <w:p w14:paraId="217F1BEB">
      <w:pPr>
        <w:adjustRightInd w:val="0"/>
        <w:snapToGrid w:val="0"/>
        <w:spacing w:line="360" w:lineRule="auto"/>
        <w:ind w:firstLine="480" w:firstLineChars="200"/>
        <w:jc w:val="both"/>
        <w:rPr>
          <w:color w:val="000000" w:themeColor="text1"/>
          <w:sz w:val="24"/>
          <w14:textFill>
            <w14:solidFill>
              <w14:schemeClr w14:val="tx1"/>
            </w14:solidFill>
          </w14:textFill>
        </w:rPr>
      </w:pPr>
      <w:r>
        <w:rPr>
          <w:color w:val="000000" w:themeColor="text1"/>
          <w:sz w:val="24"/>
          <w14:textFill>
            <w14:solidFill>
              <w14:schemeClr w14:val="tx1"/>
            </w14:solidFill>
          </w14:textFill>
        </w:rPr>
        <w:t>6、严格执行和落实本报告提出的各项环保和风险防范应急措施，以确保达标排放。</w:t>
      </w:r>
    </w:p>
    <w:p w14:paraId="64E95F04">
      <w:pPr>
        <w:adjustRightInd w:val="0"/>
        <w:snapToGrid w:val="0"/>
        <w:spacing w:line="360" w:lineRule="auto"/>
        <w:ind w:firstLine="480" w:firstLineChars="200"/>
        <w:jc w:val="both"/>
        <w:rPr>
          <w:color w:val="000000" w:themeColor="text1"/>
          <w:sz w:val="24"/>
          <w:highlight w:val="yellow"/>
          <w14:textFill>
            <w14:solidFill>
              <w14:schemeClr w14:val="tx1"/>
            </w14:solidFill>
          </w14:textFill>
        </w:rPr>
      </w:pPr>
      <w:r>
        <w:rPr>
          <w:color w:val="000000" w:themeColor="text1"/>
          <w:sz w:val="24"/>
          <w14:textFill>
            <w14:solidFill>
              <w14:schemeClr w14:val="tx1"/>
            </w14:solidFill>
          </w14:textFill>
        </w:rPr>
        <w:t>7、项目防渗层施工时需有施工记录，并做好施工现场影像资料的存档备查工作。</w:t>
      </w:r>
    </w:p>
    <w:p w14:paraId="67EEF7A4">
      <w:pPr>
        <w:adjustRightInd w:val="0"/>
        <w:snapToGrid w:val="0"/>
        <w:spacing w:line="360" w:lineRule="auto"/>
        <w:ind w:firstLine="480" w:firstLineChars="200"/>
        <w:jc w:val="both"/>
        <w:rPr>
          <w:color w:val="000000" w:themeColor="text1"/>
          <w:sz w:val="24"/>
          <w:highlight w:val="yellow"/>
          <w14:textFill>
            <w14:solidFill>
              <w14:schemeClr w14:val="tx1"/>
            </w14:solidFill>
          </w14:textFill>
        </w:rPr>
      </w:pPr>
    </w:p>
    <w:sectPr>
      <w:headerReference r:id="rId25" w:type="default"/>
      <w:footerReference r:id="rId26" w:type="default"/>
      <w:pgSz w:w="11907" w:h="16840"/>
      <w:pgMar w:top="1440" w:right="1797" w:bottom="1440" w:left="1797" w:header="851" w:footer="992" w:gutter="0"/>
      <w:pgNumType w:chapStyle="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Plotter">
    <w:altName w:val="Times New Roman"/>
    <w:panose1 w:val="00000000000000000000"/>
    <w:charset w:val="00"/>
    <w:family w:val="modern"/>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7F" w:usb3="00000000" w:csb0="003F01FF" w:csb1="00000000"/>
  </w:font>
  <w:font w:name="楷体_GB2312">
    <w:panose1 w:val="0201060903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00000287" w:usb1="00000000" w:usb2="00000000" w:usb3="00000000" w:csb0="2000009F" w:csb1="DFD70000"/>
  </w:font>
  <w:font w:name="ˎ̥">
    <w:altName w:val="Times New Roman"/>
    <w:panose1 w:val="00000000000000000000"/>
    <w:charset w:val="00"/>
    <w:family w:val="roman"/>
    <w:pitch w:val="default"/>
    <w:sig w:usb0="00000000" w:usb1="00000000" w:usb2="00000000" w:usb3="00000000" w:csb0="00040001" w:csb1="00000000"/>
  </w:font>
  <w:font w:name="TimesNewRomanPSMT">
    <w:altName w:val="MS Gothic"/>
    <w:panose1 w:val="00000000000000000000"/>
    <w:charset w:val="80"/>
    <w:family w:val="auto"/>
    <w:pitch w:val="default"/>
    <w:sig w:usb0="00000000" w:usb1="00000000" w:usb2="00000000" w:usb3="00000000" w:csb0="00020000" w:csb1="00000000"/>
  </w:font>
  <w:font w:name="MS Gothic">
    <w:panose1 w:val="020B0609070205080204"/>
    <w:charset w:val="80"/>
    <w:family w:val="auto"/>
    <w:pitch w:val="default"/>
    <w:sig w:usb0="E00002FF" w:usb1="6AC7FDFB" w:usb2="00000012" w:usb3="00000000" w:csb0="4002009F" w:csb1="DFD70000"/>
  </w:font>
  <w:font w:name="TimesNewRoman">
    <w:altName w:val="Times New Roman"/>
    <w:panose1 w:val="00000000000000000000"/>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Book Antiqua">
    <w:altName w:val="Segoe Print"/>
    <w:panose1 w:val="02040602050305030304"/>
    <w:charset w:val="00"/>
    <w:family w:val="roman"/>
    <w:pitch w:val="default"/>
    <w:sig w:usb0="00000000" w:usb1="00000000" w:usb2="00000000" w:usb3="00000000" w:csb0="0000009F" w:csb1="00000000"/>
  </w:font>
  <w:font w:name="MS Sans Serif">
    <w:altName w:val="Times New Roman"/>
    <w:panose1 w:val="00000000000000000000"/>
    <w:charset w:val="00"/>
    <w:family w:val="auto"/>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华康简宋">
    <w:altName w:val="宋体"/>
    <w:panose1 w:val="00000000000000000000"/>
    <w:charset w:val="86"/>
    <w:family w:val="modern"/>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MS Song">
    <w:altName w:val="宋体"/>
    <w:panose1 w:val="00000000000000000000"/>
    <w:charset w:val="86"/>
    <w:family w:val="moder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书宋简体">
    <w:altName w:val="宋体"/>
    <w:panose1 w:val="00000000000000000000"/>
    <w:charset w:val="86"/>
    <w:family w:val="script"/>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Arial Narrow">
    <w:altName w:val="Arial"/>
    <w:panose1 w:val="00000000000000000000"/>
    <w:charset w:val="00"/>
    <w:family w:val="swiss"/>
    <w:pitch w:val="default"/>
    <w:sig w:usb0="00000000" w:usb1="00000000" w:usb2="00000000" w:usb3="00000000" w:csb0="0000009F" w:csb1="00000000"/>
  </w:font>
  <w:font w:name="楷体">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MS Mincho">
    <w:panose1 w:val="02020609040205080304"/>
    <w:charset w:val="80"/>
    <w:family w:val="auto"/>
    <w:pitch w:val="default"/>
    <w:sig w:usb0="E00002FF" w:usb1="6AC7FDFB" w:usb2="00000012" w:usb3="00000000" w:csb0="4002009F" w:csb1="DFD70000"/>
  </w:font>
  <w:font w:name="Arial Rounded MT Bold">
    <w:altName w:val="Arial"/>
    <w:panose1 w:val="00000000000000000000"/>
    <w:charset w:val="00"/>
    <w:family w:val="swiss"/>
    <w:pitch w:val="default"/>
    <w:sig w:usb0="00000000" w:usb1="00000000" w:usb2="00000000" w:usb3="00000000" w:csb0="00000001" w:csb1="00000000"/>
  </w:font>
  <w:font w:name="Calibri Light">
    <w:panose1 w:val="020F0302020204030204"/>
    <w:charset w:val="00"/>
    <w:family w:val="swiss"/>
    <w:pitch w:val="default"/>
    <w:sig w:usb0="A00002EF" w:usb1="4000207B" w:usb2="00000000"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Batang">
    <w:panose1 w:val="02030600000101010101"/>
    <w:charset w:val="81"/>
    <w:family w:val="roman"/>
    <w:pitch w:val="default"/>
    <w:sig w:usb0="B00002AF" w:usb1="69D77CFB" w:usb2="00000030" w:usb3="00000000" w:csb0="4008009F" w:csb1="DFD70000"/>
  </w:font>
  <w:font w:name="幼圆">
    <w:altName w:val="宋体"/>
    <w:panose1 w:val="02010509060101010101"/>
    <w:charset w:val="86"/>
    <w:family w:val="modern"/>
    <w:pitch w:val="default"/>
    <w:sig w:usb0="00000000" w:usb1="00000000" w:usb2="00000010" w:usb3="00000000" w:csb0="00040000" w:csb1="00000000"/>
  </w:font>
  <w:font w:name="..ì.">
    <w:altName w:val="宋体"/>
    <w:panose1 w:val="00000000000000000000"/>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TT288o00">
    <w:altName w:val="Times New Roman"/>
    <w:panose1 w:val="00000000000000000000"/>
    <w:charset w:val="00"/>
    <w:family w:val="roman"/>
    <w:pitch w:val="default"/>
    <w:sig w:usb0="00000000" w:usb1="00000000" w:usb2="00000000" w:usb3="00000000" w:csb0="00040001" w:csb1="00000000"/>
  </w:font>
  <w:font w:name="Cambria Math">
    <w:panose1 w:val="02040503050406030204"/>
    <w:charset w:val="00"/>
    <w:family w:val="roman"/>
    <w:pitch w:val="default"/>
    <w:sig w:usb0="E00002FF" w:usb1="420024FF" w:usb2="00000000" w:usb3="00000000" w:csb0="2000019F" w:csb1="00000000"/>
  </w:font>
  <w:font w:name="汉鼎简书宋">
    <w:altName w:val="宋体"/>
    <w:panose1 w:val="00000000000000000000"/>
    <w:charset w:val="86"/>
    <w:family w:val="modern"/>
    <w:pitch w:val="default"/>
    <w:sig w:usb0="00000000" w:usb1="00000000" w:usb2="00000010" w:usb3="00000000" w:csb0="00040000" w:csb1="00000000"/>
  </w:font>
  <w:font w:name="Noto Sans CJK JP Regular">
    <w:altName w:val="Arial"/>
    <w:panose1 w:val="00000000000000000000"/>
    <w:charset w:val="00"/>
    <w:family w:val="swiss"/>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Sim Sun">
    <w:altName w:val="宋体"/>
    <w:panose1 w:val="00000000000000000000"/>
    <w:charset w:val="86"/>
    <w:family w:val="auto"/>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仿宋">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宋三简体">
    <w:altName w:val="宋体"/>
    <w:panose1 w:val="00000000000000000000"/>
    <w:charset w:val="86"/>
    <w:family w:val="auto"/>
    <w:pitch w:val="default"/>
    <w:sig w:usb0="00000000" w:usb1="00000000" w:usb2="00000010" w:usb3="00000000" w:csb0="00040000" w:csb1="00000000"/>
  </w:font>
  <w:font w:name="-18030">
    <w:altName w:val="Times New Roman"/>
    <w:panose1 w:val="00000000000000000000"/>
    <w:charset w:val="00"/>
    <w:family w:val="roman"/>
    <w:pitch w:val="default"/>
    <w:sig w:usb0="00000000" w:usb1="00000000" w:usb2="00000000" w:usb3="00000000" w:csb0="00000001" w:csb1="00000000"/>
  </w:font>
  <w:font w:name="等线 Light">
    <w:altName w:val="宋体"/>
    <w:panose1 w:val="02010600030101010101"/>
    <w:charset w:val="86"/>
    <w:family w:val="auto"/>
    <w:pitch w:val="default"/>
    <w:sig w:usb0="00000000" w:usb1="00000000"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华文新魏">
    <w:panose1 w:val="02010800040101010101"/>
    <w:charset w:val="86"/>
    <w:family w:val="auto"/>
    <w:pitch w:val="default"/>
    <w:sig w:usb0="00000001" w:usb1="080F0000" w:usb2="00000000" w:usb3="00000000" w:csb0="00040000" w:csb1="00000000"/>
  </w:font>
  <w:font w:name="五">
    <w:altName w:val="黑体"/>
    <w:panose1 w:val="00000000000000000000"/>
    <w:charset w:val="86"/>
    <w:family w:val="auto"/>
    <w:pitch w:val="default"/>
    <w:sig w:usb0="00000000" w:usb1="00000000" w:usb2="00000010" w:usb3="00000000" w:csb0="00040000" w:csb1="00000000"/>
  </w:font>
  <w:font w:name="MS PMincho">
    <w:panose1 w:val="02020600040205080304"/>
    <w:charset w:val="80"/>
    <w:family w:val="roman"/>
    <w:pitch w:val="default"/>
    <w:sig w:usb0="E00002FF" w:usb1="6AC7FDFB" w:usb2="00000012" w:usb3="00000000" w:csb0="4002009F" w:csb1="DFD70000"/>
  </w:font>
  <w:font w:name="”“Times New Roman”“">
    <w:altName w:val="宋体"/>
    <w:panose1 w:val="00000000000000000000"/>
    <w:charset w:val="86"/>
    <w:family w:val="roman"/>
    <w:pitch w:val="default"/>
    <w:sig w:usb0="00000000" w:usb1="00000000" w:usb2="00000010" w:usb3="00000000" w:csb0="00040000" w:csb1="00000000"/>
  </w:font>
  <w:font w:name="DFKai-SB">
    <w:panose1 w:val="03000509000000000000"/>
    <w:charset w:val="88"/>
    <w:family w:val="script"/>
    <w:pitch w:val="default"/>
    <w:sig w:usb0="00000003" w:usb1="082E0000" w:usb2="00000016" w:usb3="00000000" w:csb0="00100001" w:csb1="00000000"/>
  </w:font>
  <w:font w:name="方正黑体简体">
    <w:altName w:val="微软雅黑"/>
    <w:panose1 w:val="00000000000000000000"/>
    <w:charset w:val="86"/>
    <w:family w:val="auto"/>
    <w:pitch w:val="default"/>
    <w:sig w:usb0="00000000" w:usb1="00000000" w:usb2="00000012" w:usb3="00000000" w:csb0="00040001" w:csb1="00000000"/>
  </w:font>
  <w:font w:name="Times New Roman;Symbol;Arial;婼">
    <w:altName w:val="黑体"/>
    <w:panose1 w:val="00000000000000000000"/>
    <w:charset w:val="86"/>
    <w:family w:val="auto"/>
    <w:pitch w:val="default"/>
    <w:sig w:usb0="00000000" w:usb1="00000000" w:usb2="00000010" w:usb3="00000000" w:csb0="00040000" w:csb1="00000000"/>
  </w:font>
  <w:font w:name="Garamond">
    <w:altName w:val="Segoe Print"/>
    <w:panose1 w:val="00000000000000000000"/>
    <w:charset w:val="00"/>
    <w:family w:val="roman"/>
    <w:pitch w:val="default"/>
    <w:sig w:usb0="00000000" w:usb1="00000000" w:usb2="00000000" w:usb3="00000000" w:csb0="0000009F" w:csb1="00000000"/>
  </w:font>
  <w:font w:name="华文行楷">
    <w:panose1 w:val="02010800040101010101"/>
    <w:charset w:val="86"/>
    <w:family w:val="auto"/>
    <w:pitch w:val="default"/>
    <w:sig w:usb0="00000001" w:usb1="080F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華康中楷體">
    <w:altName w:val="Microsoft JhengHei"/>
    <w:panose1 w:val="00000000000000000000"/>
    <w:charset w:val="88"/>
    <w:family w:val="modern"/>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Symusic">
    <w:altName w:val="Segoe Print"/>
    <w:panose1 w:val="00000400000000000000"/>
    <w:charset w:val="00"/>
    <w:family w:val="auto"/>
    <w:pitch w:val="default"/>
    <w:sig w:usb0="00000000" w:usb1="00000000" w:usb2="00000000" w:usb3="00000000" w:csb0="000001FF" w:csb1="00000000"/>
  </w:font>
  <w:font w:name="Helvetica">
    <w:altName w:val="Arial"/>
    <w:panose1 w:val="020B0604020202020204"/>
    <w:charset w:val="00"/>
    <w:family w:val="auto"/>
    <w:pitch w:val="default"/>
    <w:sig w:usb0="00000000" w:usb1="00000000" w:usb2="00000000" w:usb3="00000000" w:csb0="2000019F" w:csb1="4F010000"/>
  </w:font>
  <w:font w:name="Wingdings 2">
    <w:altName w:val="Wingdings"/>
    <w:panose1 w:val="05020102010507070707"/>
    <w:charset w:val="02"/>
    <w:family w:val="roman"/>
    <w:pitch w:val="default"/>
    <w:sig w:usb0="00000000" w:usb1="00000000" w:usb2="00000000" w:usb3="00000000" w:csb0="80000000" w:csb1="00000000"/>
  </w:font>
  <w:font w:name="Segoe UI">
    <w:panose1 w:val="020B0502040204020203"/>
    <w:charset w:val="00"/>
    <w:family w:val="swiss"/>
    <w:pitch w:val="default"/>
    <w:sig w:usb0="E10022FF" w:usb1="C000E47F" w:usb2="00000029" w:usb3="00000000" w:csb0="200001DF" w:csb1="20000000"/>
  </w:font>
  <w:font w:name="Songti SC Regular">
    <w:altName w:val="宋体"/>
    <w:panose1 w:val="00000000000000000000"/>
    <w:charset w:val="86"/>
    <w:family w:val="auto"/>
    <w:pitch w:val="default"/>
    <w:sig w:usb0="00000000" w:usb1="00000000" w:usb2="00000000" w:usb3="00000000" w:csb0="00040000" w:csb1="00000000"/>
  </w:font>
  <w:font w:name="Songti SC Bold">
    <w:altName w:val="宋体"/>
    <w:panose1 w:val="00000000000000000000"/>
    <w:charset w:val="86"/>
    <w:family w:val="auto"/>
    <w:pitch w:val="default"/>
    <w:sig w:usb0="00000000" w:usb1="0000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 w:name="SimSun-ExtB">
    <w:panose1 w:val="02010609060101010101"/>
    <w:charset w:val="86"/>
    <w:family w:val="auto"/>
    <w:pitch w:val="default"/>
    <w:sig w:usb0="00000001" w:usb1="02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627E7">
    <w:pPr>
      <w:pStyle w:val="5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9BAAE">
    <w:pPr>
      <w:tabs>
        <w:tab w:val="center" w:pos="6199"/>
      </w:tabs>
      <w:spacing w:line="176" w:lineRule="auto"/>
      <w:rPr>
        <w:rFonts w:eastAsiaTheme="minorEastAsia"/>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1611706"/>
      <w:docPartObj>
        <w:docPartGallery w:val="AutoText"/>
      </w:docPartObj>
    </w:sdtPr>
    <w:sdtContent>
      <w:p w14:paraId="673E7060">
        <w:pPr>
          <w:pStyle w:val="55"/>
          <w:jc w:val="center"/>
        </w:pPr>
        <w:r>
          <w:fldChar w:fldCharType="begin"/>
        </w:r>
        <w:r>
          <w:instrText xml:space="preserve">PAGE   \* MERGEFORMAT</w:instrText>
        </w:r>
        <w:r>
          <w:fldChar w:fldCharType="separate"/>
        </w:r>
        <w:r>
          <w:rPr>
            <w:lang w:val="zh-CN"/>
          </w:rPr>
          <w:t>15</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7F6B5">
    <w:pPr>
      <w:pStyle w:val="55"/>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DEF18">
                          <w:pPr>
                            <w:pStyle w:val="55"/>
                            <w:jc w:val="center"/>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vE67A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FJJopVPz04/vp&#10;58Pp1zeCMwjUWj9D3L1FZOjemQ5tM5x7HEbeXeVU/IIRgR9Yx4u8oguEx0vTyXSaw8XhGzbAzx6v&#10;W+fDe2EUiUZBHeqXZGWHjQ996BASs2mzbqRMNZSatAW9ev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e8TrsCwCAABXBAAADgAAAAAAAAABACAAAAAfAQAAZHJzL2Uyb0RvYy54bWxQSwUGAAAAAAYA&#10;BgBZAQAAvQUAAAAA&#10;">
              <v:fill on="f" focussize="0,0"/>
              <v:stroke on="f" weight="0.5pt"/>
              <v:imagedata o:title=""/>
              <o:lock v:ext="edit" aspectratio="f"/>
              <v:textbox inset="0mm,0mm,0mm,0mm" style="mso-fit-shape-to-text:t;">
                <w:txbxContent>
                  <w:p w14:paraId="4ACDEF18">
                    <w:pPr>
                      <w:pStyle w:val="55"/>
                      <w:jc w:val="center"/>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C0538">
    <w:pPr>
      <w:spacing w:line="176" w:lineRule="auto"/>
      <w:ind w:left="4085"/>
      <w:jc w:val="center"/>
      <w:rPr>
        <w:rFonts w:eastAsia="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52400" cy="147955"/>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52400" cy="1479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FAC9D6">
                          <w:pPr>
                            <w:pStyle w:val="55"/>
                            <w:jc w:val="both"/>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1.65pt;width:12pt;mso-position-horizontal:center;mso-position-horizontal-relative:margin;z-index:251662336;mso-width-relative:page;mso-height-relative:page;" filled="f" stroked="f" coordsize="21600,21600" o:gfxdata="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sDIHHSAAAAAwEAAA8AAAAAAAAAAQAgAAAAIgAAAGRycy9kb3ducmV2LnhtbFBLAQIU&#10;ABQAAAAIAIdO4kDmcaHcMgIAAFcEAAAOAAAAAAAAAAEAIAAAACEBAABkcnMvZTJvRG9jLnhtbFBL&#10;BQYAAAAABgAGAFkBAADFBQAAAAA=&#10;">
              <v:fill on="f" focussize="0,0"/>
              <v:stroke on="f" weight="0.5pt"/>
              <v:imagedata o:title=""/>
              <o:lock v:ext="edit" aspectratio="f"/>
              <v:textbox inset="0mm,0mm,0mm,0mm">
                <w:txbxContent>
                  <w:p w14:paraId="74FAC9D6">
                    <w:pPr>
                      <w:pStyle w:val="55"/>
                      <w:jc w:val="both"/>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3B667">
    <w:pPr>
      <w:spacing w:line="176" w:lineRule="auto"/>
      <w:rPr>
        <w:rFonts w:eastAsiaTheme="minorEastAsia"/>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52400"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52400" cy="1479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43801">
                          <w:pPr>
                            <w:pStyle w:val="55"/>
                            <w:jc w:val="both"/>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1.65pt;width:12pt;mso-position-horizontal:center;mso-position-horizontal-relative:margin;z-index:251661312;mso-width-relative:page;mso-height-relative:page;" filled="f" stroked="f" coordsize="21600,21600" o:gfxdata="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uwMgcdIAAAADAQAADwAAAAAAAAABACAAAAAiAAAAZHJzL2Rvd25yZXYueG1sUEsBAhQA&#10;FAAAAAgAh07iQK0wU+cxAgAAVQQAAA4AAAAAAAAAAQAgAAAAIQEAAGRycy9lMm9Eb2MueG1sUEsF&#10;BgAAAAAGAAYAWQEAAMQFAAAAAA==&#10;">
              <v:fill on="f" focussize="0,0"/>
              <v:stroke on="f" weight="0.5pt"/>
              <v:imagedata o:title=""/>
              <o:lock v:ext="edit" aspectratio="f"/>
              <v:textbox inset="0mm,0mm,0mm,0mm">
                <w:txbxContent>
                  <w:p w14:paraId="21043801">
                    <w:pPr>
                      <w:pStyle w:val="55"/>
                      <w:jc w:val="both"/>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AC12E">
    <w:pPr>
      <w:spacing w:line="184" w:lineRule="auto"/>
      <w:rPr>
        <w:rFonts w:eastAsia="Times New Roman"/>
        <w:sz w:val="20"/>
        <w:szCs w:val="20"/>
      </w:rPr>
    </w:pPr>
    <w:r>
      <w:rPr>
        <w:sz w:val="20"/>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59055</wp:posOffset>
              </wp:positionV>
              <wp:extent cx="209550" cy="142875"/>
              <wp:effectExtent l="0" t="0" r="0" b="9525"/>
              <wp:wrapNone/>
              <wp:docPr id="30" name="文本框 30"/>
              <wp:cNvGraphicFramePr/>
              <a:graphic xmlns:a="http://schemas.openxmlformats.org/drawingml/2006/main">
                <a:graphicData uri="http://schemas.microsoft.com/office/word/2010/wordprocessingShape">
                  <wps:wsp>
                    <wps:cNvSpPr txBox="1"/>
                    <wps:spPr>
                      <a:xfrm>
                        <a:off x="0" y="0"/>
                        <a:ext cx="209550" cy="142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DD3B6B">
                          <w:pPr>
                            <w:pStyle w:val="55"/>
                            <w:jc w:val="center"/>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4.65pt;height:11.25pt;width:16.5pt;mso-position-horizontal:center;mso-position-horizontal-relative:margin;z-index:251670528;mso-width-relative:page;mso-height-relative:page;" filled="f" stroked="f" coordsize="21600,21600" o:gfxdata="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xrrgjTAAAABAEAAA8AAAAAAAAAAQAgAAAAIgAAAGRycy9kb3ducmV2LnhtbFBLAQIU&#10;ABQAAAAIAIdO4kAv3eIcMQIAAFcEAAAOAAAAAAAAAAEAIAAAACIBAABkcnMvZTJvRG9jLnhtbFBL&#10;BQYAAAAABgAGAFkBAADFBQAAAAA=&#10;">
              <v:fill on="f" focussize="0,0"/>
              <v:stroke on="f" weight="0.5pt"/>
              <v:imagedata o:title=""/>
              <o:lock v:ext="edit" aspectratio="f"/>
              <v:textbox inset="0mm,0mm,0mm,0mm">
                <w:txbxContent>
                  <w:p w14:paraId="2DDD3B6B">
                    <w:pPr>
                      <w:pStyle w:val="55"/>
                      <w:jc w:val="center"/>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34139">
    <w:pPr>
      <w:spacing w:line="184" w:lineRule="auto"/>
      <w:rPr>
        <w:rFonts w:eastAsiaTheme="minorEastAsia"/>
        <w:sz w:val="20"/>
        <w:szCs w:val="20"/>
      </w:rPr>
    </w:pPr>
    <w:r>
      <w:rPr>
        <w:sz w:val="20"/>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-93345</wp:posOffset>
              </wp:positionV>
              <wp:extent cx="209550" cy="142875"/>
              <wp:effectExtent l="0" t="0" r="0" b="9525"/>
              <wp:wrapNone/>
              <wp:docPr id="654880328" name="文本框 654880328"/>
              <wp:cNvGraphicFramePr/>
              <a:graphic xmlns:a="http://schemas.openxmlformats.org/drawingml/2006/main">
                <a:graphicData uri="http://schemas.microsoft.com/office/word/2010/wordprocessingShape">
                  <wps:wsp>
                    <wps:cNvSpPr txBox="1"/>
                    <wps:spPr>
                      <a:xfrm>
                        <a:off x="0" y="0"/>
                        <a:ext cx="209550" cy="142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9E839E">
                          <w:pPr>
                            <w:pStyle w:val="55"/>
                            <w:jc w:val="center"/>
                          </w:pPr>
                          <w:r>
                            <w:fldChar w:fldCharType="begin"/>
                          </w:r>
                          <w:r>
                            <w:instrText xml:space="preserve"> PAGE  \* MERGEFORMAT </w:instrText>
                          </w:r>
                          <w:r>
                            <w:fldChar w:fldCharType="separate"/>
                          </w:r>
                          <w:r>
                            <w:t>99</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7.35pt;height:11.25pt;width:16.5pt;mso-position-horizontal:center;mso-position-horizontal-relative:margin;z-index:251675648;mso-width-relative:page;mso-height-relative:page;" filled="f" stroked="f" coordsize="21600,21600" o:gfxdata="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HfC8+3UAAAABQEAAA8AAAAAAAAAAQAgAAAAIgAAAGRycy9kb3ducmV2&#10;LnhtbFBLAQIUABQAAAAIAIdO4kCuqLlQOQIAAGUEAAAOAAAAAAAAAAEAIAAAACMBAABkcnMvZTJv&#10;RG9jLnhtbFBLBQYAAAAABgAGAFkBAADOBQAAAAA=&#10;">
              <v:fill on="f" focussize="0,0"/>
              <v:stroke on="f" weight="0.5pt"/>
              <v:imagedata o:title=""/>
              <o:lock v:ext="edit" aspectratio="f"/>
              <v:textbox inset="0mm,0mm,0mm,0mm">
                <w:txbxContent>
                  <w:p w14:paraId="019E839E">
                    <w:pPr>
                      <w:pStyle w:val="55"/>
                      <w:jc w:val="center"/>
                    </w:pPr>
                    <w:r>
                      <w:fldChar w:fldCharType="begin"/>
                    </w:r>
                    <w:r>
                      <w:instrText xml:space="preserve"> PAGE  \* MERGEFORMAT </w:instrText>
                    </w:r>
                    <w:r>
                      <w:fldChar w:fldCharType="separate"/>
                    </w:r>
                    <w:r>
                      <w:t>99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27B1A">
    <w:pPr>
      <w:spacing w:line="184" w:lineRule="auto"/>
      <w:rPr>
        <w:rFonts w:eastAsia="Times New Roman"/>
        <w:sz w:val="20"/>
        <w:szCs w:val="20"/>
      </w:rPr>
    </w:pPr>
    <w:r>
      <w:rPr>
        <w:sz w:val="20"/>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-7620</wp:posOffset>
              </wp:positionV>
              <wp:extent cx="209550" cy="142875"/>
              <wp:effectExtent l="0" t="0" r="0" b="9525"/>
              <wp:wrapNone/>
              <wp:docPr id="1954241861" name="文本框 1954241861"/>
              <wp:cNvGraphicFramePr/>
              <a:graphic xmlns:a="http://schemas.openxmlformats.org/drawingml/2006/main">
                <a:graphicData uri="http://schemas.microsoft.com/office/word/2010/wordprocessingShape">
                  <wps:wsp>
                    <wps:cNvSpPr txBox="1"/>
                    <wps:spPr>
                      <a:xfrm>
                        <a:off x="0" y="0"/>
                        <a:ext cx="209550" cy="142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FB8E7">
                          <w:pPr>
                            <w:pStyle w:val="55"/>
                            <w:jc w:val="center"/>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6pt;height:11.25pt;width:16.5pt;mso-position-horizontal:center;mso-position-horizontal-relative:margin;z-index:251674624;mso-width-relative:page;mso-height-relative:page;" filled="f" stroked="f" coordsize="21600,21600" o:gfxdata="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Q1kKxtMAAAAFAQAADwAAAAAAAAABACAAAAAiAAAAZHJzL2Rvd25yZXYu&#10;eG1sUEsBAhQAFAAAAAgAh07iQPhKN4o5AgAAZwQAAA4AAAAAAAAAAQAgAAAAIgEAAGRycy9lMm9E&#10;b2MueG1sUEsFBgAAAAAGAAYAWQEAAM0FAAAAAA==&#10;">
              <v:fill on="f" focussize="0,0"/>
              <v:stroke on="f" weight="0.5pt"/>
              <v:imagedata o:title=""/>
              <o:lock v:ext="edit" aspectratio="f"/>
              <v:textbox inset="0mm,0mm,0mm,0mm">
                <w:txbxContent>
                  <w:p w14:paraId="2C6FB8E7">
                    <w:pPr>
                      <w:pStyle w:val="55"/>
                      <w:jc w:val="center"/>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433E1">
    <w:pPr>
      <w:pStyle w:val="55"/>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FF9DF">
                          <w:pPr>
                            <w:pStyle w:val="55"/>
                            <w:jc w:val="center"/>
                          </w:pPr>
                          <w:r>
                            <w:fldChar w:fldCharType="begin"/>
                          </w:r>
                          <w:r>
                            <w:instrText xml:space="preserve"> PAGE  \* MERGEFORMAT </w:instrText>
                          </w:r>
                          <w:r>
                            <w:fldChar w:fldCharType="separate"/>
                          </w:r>
                          <w:r>
                            <w:t>167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89FF9DF">
                    <w:pPr>
                      <w:pStyle w:val="55"/>
                      <w:jc w:val="center"/>
                    </w:pPr>
                    <w:r>
                      <w:fldChar w:fldCharType="begin"/>
                    </w:r>
                    <w:r>
                      <w:instrText xml:space="preserve"> PAGE  \* MERGEFORMAT </w:instrText>
                    </w:r>
                    <w:r>
                      <w:fldChar w:fldCharType="separate"/>
                    </w:r>
                    <w:r>
                      <w:t>167</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43397">
    <w:pPr>
      <w:jc w:val="center"/>
      <w:rPr>
        <w:rFonts w:eastAsia="Times New Roman"/>
        <w:sz w:val="20"/>
        <w:szCs w:val="20"/>
      </w:rPr>
    </w:pPr>
    <w:r>
      <w:rPr>
        <w:sz w:val="20"/>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305435" cy="16891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305435" cy="1689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A0F31B">
                          <w:pPr>
                            <w:pStyle w:val="55"/>
                          </w:pPr>
                          <w:r>
                            <w:fldChar w:fldCharType="begin"/>
                          </w:r>
                          <w:r>
                            <w:instrText xml:space="preserve"> PAGE  \* MERGEFORMAT </w:instrText>
                          </w:r>
                          <w:r>
                            <w:fldChar w:fldCharType="separate"/>
                          </w:r>
                          <w:r>
                            <w:t>197</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pt;height:13.3pt;width:24.05pt;mso-position-horizontal:center;mso-position-horizontal-relative:margin;z-index:251671552;mso-width-relative:page;mso-height-relative:page;" filled="f" stroked="f" coordsize="21600,21600" o:gfxdata="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om1kNMAAAADAQAADwAAAAAAAAABACAAAAAiAAAAZHJzL2Rvd25yZXYueG1sUEsB&#10;AhQAFAAAAAgAh07iQGhLEWkzAgAAVwQAAA4AAAAAAAAAAQAgAAAAIgEAAGRycy9lMm9Eb2MueG1s&#10;UEsFBgAAAAAGAAYAWQEAAMcFAAAAAA==&#10;">
              <v:fill on="f" focussize="0,0"/>
              <v:stroke on="f" weight="0.5pt"/>
              <v:imagedata o:title=""/>
              <o:lock v:ext="edit" aspectratio="f"/>
              <v:textbox inset="0mm,0mm,0mm,0mm">
                <w:txbxContent>
                  <w:p w14:paraId="0DA0F31B">
                    <w:pPr>
                      <w:pStyle w:val="55"/>
                    </w:pPr>
                    <w:r>
                      <w:fldChar w:fldCharType="begin"/>
                    </w:r>
                    <w:r>
                      <w:instrText xml:space="preserve"> PAGE  \* MERGEFORMAT </w:instrText>
                    </w:r>
                    <w:r>
                      <w:fldChar w:fldCharType="separate"/>
                    </w:r>
                    <w:r>
                      <w:t>197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95A7E">
    <w:pPr>
      <w:jc w:val="center"/>
      <w:rPr>
        <w:rFonts w:eastAsia="Times New Roman"/>
        <w:sz w:val="20"/>
        <w:szCs w:val="20"/>
      </w:rPr>
    </w:pPr>
    <w:r>
      <w:rPr>
        <w:sz w:val="20"/>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9A8BF">
                          <w:pPr>
                            <w:pStyle w:val="55"/>
                          </w:pPr>
                          <w:r>
                            <w:fldChar w:fldCharType="begin"/>
                          </w:r>
                          <w:r>
                            <w:instrText xml:space="preserve"> PAGE  \* MERGEFORMAT </w:instrText>
                          </w:r>
                          <w:r>
                            <w:fldChar w:fldCharType="separate"/>
                          </w:r>
                          <w:r>
                            <w:t>307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43B9A8BF">
                    <w:pPr>
                      <w:pStyle w:val="55"/>
                    </w:pPr>
                    <w:r>
                      <w:fldChar w:fldCharType="begin"/>
                    </w:r>
                    <w:r>
                      <w:instrText xml:space="preserve"> PAGE  \* MERGEFORMAT </w:instrText>
                    </w:r>
                    <w:r>
                      <w:fldChar w:fldCharType="separate"/>
                    </w:r>
                    <w:r>
                      <w:t>307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E68EC">
    <w:pPr>
      <w:pStyle w:val="55"/>
      <w:ind w:firstLine="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3C957">
    <w:pPr>
      <w:pStyle w:val="55"/>
      <w:ind w:firstLine="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11F9E">
    <w:pPr>
      <w:jc w:val="center"/>
      <w:rPr>
        <w:rFonts w:eastAsia="Times New Roman"/>
        <w:sz w:val="20"/>
        <w:szCs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36D0BE">
                          <w:pPr>
                            <w:pStyle w:val="55"/>
                          </w:pPr>
                          <w:r>
                            <w:fldChar w:fldCharType="begin"/>
                          </w:r>
                          <w:r>
                            <w:instrText xml:space="preserve"> PAGE  \* MERGEFORMAT </w:instrText>
                          </w:r>
                          <w:r>
                            <w:fldChar w:fldCharType="separate"/>
                          </w:r>
                          <w:r>
                            <w:t>314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fTTA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tfTTAtAgAAVwQAAA4AAAAAAAAAAQAgAAAAHwEAAGRycy9lMm9Eb2MueG1sUEsFBgAAAAAG&#10;AAYAWQEAAL4FAAAAAA==&#10;">
              <v:fill on="f" focussize="0,0"/>
              <v:stroke on="f" weight="0.5pt"/>
              <v:imagedata o:title=""/>
              <o:lock v:ext="edit" aspectratio="f"/>
              <v:textbox inset="0mm,0mm,0mm,0mm" style="mso-fit-shape-to-text:t;">
                <w:txbxContent>
                  <w:p w14:paraId="3836D0BE">
                    <w:pPr>
                      <w:pStyle w:val="55"/>
                    </w:pPr>
                    <w:r>
                      <w:fldChar w:fldCharType="begin"/>
                    </w:r>
                    <w:r>
                      <w:instrText xml:space="preserve"> PAGE  \* MERGEFORMAT </w:instrText>
                    </w:r>
                    <w:r>
                      <w:fldChar w:fldCharType="separate"/>
                    </w:r>
                    <w:r>
                      <w:t>314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8BEB">
    <w:pPr>
      <w:pStyle w:val="5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50E3F">
    <w:pPr>
      <w:pStyle w:val="57"/>
      <w:rPr>
        <w:sz w:val="21"/>
        <w:szCs w:val="21"/>
      </w:rPr>
    </w:pPr>
    <w:r>
      <w:rPr>
        <w:rFonts w:hint="eastAsia"/>
        <w:sz w:val="21"/>
        <w:szCs w:val="21"/>
      </w:rPr>
      <w:t>巴州区肉牛产业建设项目环境影响报告书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9A742">
    <w:pPr>
      <w:pBdr>
        <w:bottom w:val="single" w:color="auto" w:sz="4" w:space="0"/>
      </w:pBdr>
      <w:spacing w:before="16" w:line="219" w:lineRule="auto"/>
      <w:jc w:val="center"/>
      <w:rPr>
        <w:szCs w:val="21"/>
      </w:rPr>
    </w:pPr>
    <w:r>
      <w:rPr>
        <w:rFonts w:hint="eastAsia"/>
        <w:szCs w:val="21"/>
      </w:rPr>
      <w:t>巴州区肉牛产业建设项目环境影响报告书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65230">
    <w:pPr>
      <w:pBdr>
        <w:bottom w:val="single" w:color="auto" w:sz="4" w:space="0"/>
      </w:pBdr>
      <w:jc w:val="center"/>
      <w:rPr>
        <w:sz w:val="20"/>
        <w:szCs w:val="20"/>
      </w:rPr>
    </w:pPr>
    <w:r>
      <w:rPr>
        <w:rFonts w:hint="eastAsia"/>
        <w:sz w:val="20"/>
        <w:szCs w:val="20"/>
      </w:rPr>
      <w:t>巴州区肉牛产业建设项目环境影响报告书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A1E2A">
    <w:pPr>
      <w:pBdr>
        <w:bottom w:val="single" w:color="auto" w:sz="4" w:space="0"/>
      </w:pBd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巴州区肉牛产业建设项目环境影响报告书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98011">
    <w:pPr>
      <w:pBdr>
        <w:bottom w:val="single" w:color="auto" w:sz="4" w:space="0"/>
      </w:pBdr>
      <w:spacing w:line="360" w:lineRule="auto"/>
      <w:jc w:val="center"/>
      <w:rPr>
        <w:rFonts w:ascii="宋体" w:hAnsi="宋体" w:cs="宋体"/>
        <w:szCs w:val="21"/>
      </w:rPr>
    </w:pPr>
    <w:r>
      <w:rPr>
        <w:rFonts w:hint="eastAsia"/>
        <w:bCs/>
        <w:color w:val="000000" w:themeColor="text1"/>
        <w:szCs w:val="21"/>
        <w14:textFill>
          <w14:solidFill>
            <w14:schemeClr w14:val="tx1"/>
          </w14:solidFill>
        </w14:textFill>
      </w:rPr>
      <w:t>巴州区肉牛产业建设项目环境影响报告书</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2055D">
    <w:pPr>
      <w:pStyle w:val="57"/>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26B77">
    <w:pPr>
      <w:pStyle w:val="57"/>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86A3B">
    <w:pPr>
      <w:pBdr>
        <w:bottom w:val="single" w:color="auto" w:sz="4" w:space="0"/>
      </w:pBdr>
      <w:spacing w:line="360" w:lineRule="auto"/>
      <w:jc w:val="center"/>
      <w:rPr>
        <w:rFonts w:ascii="宋体" w:hAnsi="宋体" w:cs="宋体"/>
        <w:szCs w:val="21"/>
      </w:rPr>
    </w:pPr>
    <w:r>
      <w:rPr>
        <w:rFonts w:hint="eastAsia"/>
        <w:bCs/>
        <w:color w:val="000000" w:themeColor="text1"/>
        <w:szCs w:val="21"/>
        <w14:textFill>
          <w14:solidFill>
            <w14:schemeClr w14:val="tx1"/>
          </w14:solidFill>
        </w14:textFill>
      </w:rPr>
      <w:t>巴州区肉牛产业建设项目环境影响报告书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38CF5"/>
    <w:multiLevelType w:val="singleLevel"/>
    <w:tmpl w:val="80538CF5"/>
    <w:lvl w:ilvl="0" w:tentative="0">
      <w:start w:val="1"/>
      <w:numFmt w:val="decimal"/>
      <w:suff w:val="nothing"/>
      <w:lvlText w:val="%1、"/>
      <w:lvlJc w:val="left"/>
    </w:lvl>
  </w:abstractNum>
  <w:abstractNum w:abstractNumId="1">
    <w:nsid w:val="85B67E0A"/>
    <w:multiLevelType w:val="singleLevel"/>
    <w:tmpl w:val="85B67E0A"/>
    <w:lvl w:ilvl="0" w:tentative="0">
      <w:start w:val="1"/>
      <w:numFmt w:val="decimal"/>
      <w:suff w:val="nothing"/>
      <w:lvlText w:val="%1、"/>
      <w:lvlJc w:val="left"/>
    </w:lvl>
  </w:abstractNum>
  <w:abstractNum w:abstractNumId="2">
    <w:nsid w:val="9661E154"/>
    <w:multiLevelType w:val="singleLevel"/>
    <w:tmpl w:val="9661E154"/>
    <w:lvl w:ilvl="0" w:tentative="0">
      <w:start w:val="1"/>
      <w:numFmt w:val="decimal"/>
      <w:suff w:val="nothing"/>
      <w:lvlText w:val="（%1）"/>
      <w:lvlJc w:val="left"/>
    </w:lvl>
  </w:abstractNum>
  <w:abstractNum w:abstractNumId="3">
    <w:nsid w:val="972A6B23"/>
    <w:multiLevelType w:val="multilevel"/>
    <w:tmpl w:val="972A6B23"/>
    <w:lvl w:ilvl="0" w:tentative="0">
      <w:start w:val="1"/>
      <w:numFmt w:val="decimal"/>
      <w:suff w:val="nothing"/>
      <w:lvlText w:val="表2.6-%1 "/>
      <w:lvlJc w:val="center"/>
      <w:pPr>
        <w:ind w:left="0" w:firstLine="0"/>
      </w:pPr>
      <w:rPr>
        <w:rFonts w:hint="default" w:ascii="Times New Roman" w:hAnsi="Times New Roman" w:eastAsia="宋体" w:cs="Times New Roman"/>
        <w:b/>
        <w:bCs/>
        <w:sz w:val="21"/>
        <w:szCs w:val="21"/>
      </w:rPr>
    </w:lvl>
    <w:lvl w:ilvl="1" w:tentative="0">
      <w:start w:val="1"/>
      <w:numFmt w:val="decimal"/>
      <w:isLgl/>
      <w:suff w:val="space"/>
      <w:lvlText w:val="%1.%2"/>
      <w:lvlJc w:val="left"/>
      <w:pPr>
        <w:tabs>
          <w:tab w:val="left" w:pos="420"/>
        </w:tabs>
        <w:ind w:left="0" w:firstLine="0"/>
      </w:pPr>
      <w:rPr>
        <w:rFonts w:hint="default" w:ascii="Times New Roman" w:hAnsi="Times New Roman" w:eastAsia="宋体" w:cs="宋体"/>
        <w:sz w:val="28"/>
        <w:szCs w:val="24"/>
      </w:rPr>
    </w:lvl>
    <w:lvl w:ilvl="2" w:tentative="0">
      <w:start w:val="1"/>
      <w:numFmt w:val="decimal"/>
      <w:isLgl/>
      <w:suff w:val="space"/>
      <w:lvlText w:val="%1.%2.%3"/>
      <w:lvlJc w:val="left"/>
      <w:pPr>
        <w:tabs>
          <w:tab w:val="left" w:pos="0"/>
        </w:tabs>
        <w:ind w:left="0" w:firstLine="0"/>
      </w:pPr>
      <w:rPr>
        <w:rFonts w:hint="default" w:ascii="Times New Roman" w:hAnsi="Times New Roman" w:eastAsia="宋体" w:cs="宋体"/>
        <w:b/>
        <w:bCs/>
        <w:sz w:val="24"/>
        <w:szCs w:val="24"/>
      </w:rPr>
    </w:lvl>
    <w:lvl w:ilvl="3" w:tentative="0">
      <w:start w:val="1"/>
      <w:numFmt w:val="decimal"/>
      <w:isLgl/>
      <w:suff w:val="space"/>
      <w:lvlText w:val="%1.%2.%3.%4"/>
      <w:lvlJc w:val="left"/>
      <w:pPr>
        <w:tabs>
          <w:tab w:val="left" w:pos="3416"/>
        </w:tabs>
        <w:ind w:left="2836" w:firstLine="0"/>
      </w:pPr>
      <w:rPr>
        <w:rFonts w:hint="default" w:ascii="Times New Roman" w:hAnsi="Times New Roman" w:eastAsia="宋体" w:cs="宋体"/>
        <w:b/>
        <w:sz w:val="24"/>
        <w:szCs w:val="24"/>
      </w:rPr>
    </w:lvl>
    <w:lvl w:ilvl="4" w:tentative="0">
      <w:start w:val="1"/>
      <w:numFmt w:val="decimalEnclosedCircleChinese"/>
      <w:lvlRestart w:val="0"/>
      <w:suff w:val="nothing"/>
      <w:lvlText w:val="表2.3-%5 "/>
      <w:lvlJc w:val="center"/>
      <w:pPr>
        <w:tabs>
          <w:tab w:val="left" w:pos="0"/>
        </w:tabs>
        <w:ind w:left="0" w:firstLine="0"/>
      </w:pPr>
      <w:rPr>
        <w:rFonts w:hint="eastAsia" w:ascii="Times New Roman" w:hAnsi="Times New Roman" w:eastAsia="Times New Roman" w:cs="Times New Roman"/>
        <w:b/>
        <w:bCs/>
        <w:sz w:val="21"/>
        <w:szCs w:val="21"/>
      </w:rPr>
    </w:lvl>
    <w:lvl w:ilvl="5" w:tentative="0">
      <w:start w:val="1"/>
      <w:numFmt w:val="decimal"/>
      <w:lvlRestart w:val="2"/>
      <w:isLgl/>
      <w:suff w:val="nothing"/>
      <w:lvlText w:val="图%1.%2-%6  "/>
      <w:lvlJc w:val="left"/>
      <w:pPr>
        <w:tabs>
          <w:tab w:val="left" w:pos="420"/>
        </w:tabs>
        <w:ind w:left="0" w:firstLine="0"/>
      </w:pPr>
      <w:rPr>
        <w:rFonts w:hint="default" w:ascii="Times New Roman" w:hAnsi="Times New Roman" w:eastAsia="宋体" w:cs="宋体"/>
        <w:sz w:val="21"/>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4">
    <w:nsid w:val="99236A26"/>
    <w:multiLevelType w:val="singleLevel"/>
    <w:tmpl w:val="99236A26"/>
    <w:lvl w:ilvl="0" w:tentative="0">
      <w:start w:val="1"/>
      <w:numFmt w:val="decimal"/>
      <w:suff w:val="nothing"/>
      <w:lvlText w:val="%1、"/>
      <w:lvlJc w:val="left"/>
    </w:lvl>
  </w:abstractNum>
  <w:abstractNum w:abstractNumId="5">
    <w:nsid w:val="A7E515B1"/>
    <w:multiLevelType w:val="singleLevel"/>
    <w:tmpl w:val="A7E515B1"/>
    <w:lvl w:ilvl="0" w:tentative="0">
      <w:start w:val="1"/>
      <w:numFmt w:val="decimal"/>
      <w:suff w:val="nothing"/>
      <w:lvlText w:val="（%1）"/>
      <w:lvlJc w:val="left"/>
    </w:lvl>
  </w:abstractNum>
  <w:abstractNum w:abstractNumId="6">
    <w:nsid w:val="BBD32DC2"/>
    <w:multiLevelType w:val="singleLevel"/>
    <w:tmpl w:val="BBD32DC2"/>
    <w:lvl w:ilvl="0" w:tentative="0">
      <w:start w:val="1"/>
      <w:numFmt w:val="decimal"/>
      <w:suff w:val="nothing"/>
      <w:lvlText w:val="（%1）"/>
      <w:lvlJc w:val="left"/>
    </w:lvl>
  </w:abstractNum>
  <w:abstractNum w:abstractNumId="7">
    <w:nsid w:val="C40A9195"/>
    <w:multiLevelType w:val="singleLevel"/>
    <w:tmpl w:val="C40A9195"/>
    <w:lvl w:ilvl="0" w:tentative="0">
      <w:start w:val="1"/>
      <w:numFmt w:val="decimal"/>
      <w:suff w:val="nothing"/>
      <w:lvlText w:val="（%1）"/>
      <w:lvlJc w:val="left"/>
    </w:lvl>
  </w:abstractNum>
  <w:abstractNum w:abstractNumId="8">
    <w:nsid w:val="CA64C7E7"/>
    <w:multiLevelType w:val="singleLevel"/>
    <w:tmpl w:val="CA64C7E7"/>
    <w:lvl w:ilvl="0" w:tentative="0">
      <w:start w:val="1"/>
      <w:numFmt w:val="decimal"/>
      <w:suff w:val="nothing"/>
      <w:lvlText w:val="（%1）"/>
      <w:lvlJc w:val="left"/>
    </w:lvl>
  </w:abstractNum>
  <w:abstractNum w:abstractNumId="9">
    <w:nsid w:val="DCF89C1F"/>
    <w:multiLevelType w:val="singleLevel"/>
    <w:tmpl w:val="DCF89C1F"/>
    <w:lvl w:ilvl="0" w:tentative="0">
      <w:start w:val="1"/>
      <w:numFmt w:val="decimal"/>
      <w:suff w:val="nothing"/>
      <w:lvlText w:val="（%1）"/>
      <w:lvlJc w:val="left"/>
    </w:lvl>
  </w:abstractNum>
  <w:abstractNum w:abstractNumId="10">
    <w:nsid w:val="E15BB77B"/>
    <w:multiLevelType w:val="singleLevel"/>
    <w:tmpl w:val="E15BB77B"/>
    <w:lvl w:ilvl="0" w:tentative="0">
      <w:start w:val="1"/>
      <w:numFmt w:val="decimal"/>
      <w:suff w:val="nothing"/>
      <w:lvlText w:val="（%1）"/>
      <w:lvlJc w:val="left"/>
    </w:lvl>
  </w:abstractNum>
  <w:abstractNum w:abstractNumId="11">
    <w:nsid w:val="E9A48453"/>
    <w:multiLevelType w:val="singleLevel"/>
    <w:tmpl w:val="E9A48453"/>
    <w:lvl w:ilvl="0" w:tentative="0">
      <w:start w:val="2"/>
      <w:numFmt w:val="decimal"/>
      <w:suff w:val="nothing"/>
      <w:lvlText w:val="（%1）"/>
      <w:lvlJc w:val="left"/>
    </w:lvl>
  </w:abstractNum>
  <w:abstractNum w:abstractNumId="12">
    <w:nsid w:val="EB916B32"/>
    <w:multiLevelType w:val="singleLevel"/>
    <w:tmpl w:val="EB916B32"/>
    <w:lvl w:ilvl="0" w:tentative="0">
      <w:start w:val="1"/>
      <w:numFmt w:val="decimal"/>
      <w:suff w:val="space"/>
      <w:lvlText w:val="%1."/>
      <w:lvlJc w:val="left"/>
    </w:lvl>
  </w:abstractNum>
  <w:abstractNum w:abstractNumId="13">
    <w:nsid w:val="ECAF5FDC"/>
    <w:multiLevelType w:val="singleLevel"/>
    <w:tmpl w:val="ECAF5FDC"/>
    <w:lvl w:ilvl="0" w:tentative="0">
      <w:start w:val="1"/>
      <w:numFmt w:val="decimal"/>
      <w:suff w:val="space"/>
      <w:lvlText w:val="表1.6-%1"/>
      <w:lvlJc w:val="center"/>
      <w:pPr>
        <w:tabs>
          <w:tab w:val="left" w:pos="0"/>
        </w:tabs>
        <w:ind w:left="-34"/>
      </w:pPr>
      <w:rPr>
        <w:rFonts w:hint="default" w:ascii="黑体" w:hAnsi="黑体" w:eastAsia="黑体" w:cs="黑体"/>
        <w:b w:val="0"/>
        <w:bCs w:val="0"/>
        <w:snapToGrid w:val="0"/>
        <w:sz w:val="21"/>
        <w:szCs w:val="21"/>
      </w:rPr>
    </w:lvl>
  </w:abstractNum>
  <w:abstractNum w:abstractNumId="14">
    <w:nsid w:val="F5C60AB2"/>
    <w:multiLevelType w:val="singleLevel"/>
    <w:tmpl w:val="F5C60AB2"/>
    <w:lvl w:ilvl="0" w:tentative="0">
      <w:start w:val="1"/>
      <w:numFmt w:val="decimal"/>
      <w:lvlText w:val="表2.7-%1"/>
      <w:lvlJc w:val="left"/>
      <w:pPr>
        <w:tabs>
          <w:tab w:val="left" w:pos="420"/>
        </w:tabs>
        <w:ind w:left="425" w:hanging="425"/>
      </w:pPr>
      <w:rPr>
        <w:rFonts w:hint="default" w:ascii="Times New Roman" w:hAnsi="Times New Roman" w:eastAsia="黑体" w:cs="黑体"/>
        <w:sz w:val="21"/>
      </w:rPr>
    </w:lvl>
  </w:abstractNum>
  <w:abstractNum w:abstractNumId="15">
    <w:nsid w:val="FDEBA7D8"/>
    <w:multiLevelType w:val="multilevel"/>
    <w:tmpl w:val="FDEBA7D8"/>
    <w:lvl w:ilvl="0" w:tentative="0">
      <w:start w:val="1"/>
      <w:numFmt w:val="decimal"/>
      <w:suff w:val="nothing"/>
      <w:lvlText w:val="表2.4-%1 "/>
      <w:lvlJc w:val="center"/>
      <w:pPr>
        <w:tabs>
          <w:tab w:val="left" w:pos="0"/>
        </w:tabs>
        <w:ind w:left="0" w:firstLine="0"/>
      </w:pPr>
      <w:rPr>
        <w:rFonts w:hint="default" w:ascii="Times New Roman" w:hAnsi="Times New Roman" w:eastAsia="宋体" w:cs="宋体"/>
        <w:b/>
        <w:color w:val="000000" w:themeColor="text1"/>
        <w:sz w:val="21"/>
        <w:szCs w:val="21"/>
        <w14:textFill>
          <w14:solidFill>
            <w14:schemeClr w14:val="tx1"/>
          </w14:solidFill>
        </w14:textFill>
      </w:rPr>
    </w:lvl>
    <w:lvl w:ilvl="1" w:tentative="0">
      <w:start w:val="1"/>
      <w:numFmt w:val="decimal"/>
      <w:isLgl/>
      <w:suff w:val="space"/>
      <w:lvlText w:val="%1.%2"/>
      <w:lvlJc w:val="left"/>
      <w:pPr>
        <w:tabs>
          <w:tab w:val="left" w:pos="420"/>
        </w:tabs>
        <w:ind w:left="0" w:firstLine="0"/>
      </w:pPr>
      <w:rPr>
        <w:rFonts w:hint="default" w:ascii="Times New Roman" w:hAnsi="Times New Roman" w:eastAsia="宋体" w:cs="宋体"/>
        <w:sz w:val="28"/>
        <w:szCs w:val="24"/>
      </w:rPr>
    </w:lvl>
    <w:lvl w:ilvl="2" w:tentative="0">
      <w:start w:val="1"/>
      <w:numFmt w:val="decimal"/>
      <w:isLgl/>
      <w:suff w:val="space"/>
      <w:lvlText w:val="%1.%2.%3"/>
      <w:lvlJc w:val="left"/>
      <w:pPr>
        <w:tabs>
          <w:tab w:val="left" w:pos="0"/>
        </w:tabs>
        <w:ind w:left="0" w:firstLine="0"/>
      </w:pPr>
      <w:rPr>
        <w:rFonts w:hint="default" w:ascii="Times New Roman" w:hAnsi="Times New Roman" w:eastAsia="宋体" w:cs="宋体"/>
        <w:b/>
        <w:bCs/>
        <w:sz w:val="24"/>
        <w:szCs w:val="24"/>
      </w:rPr>
    </w:lvl>
    <w:lvl w:ilvl="3" w:tentative="0">
      <w:start w:val="1"/>
      <w:numFmt w:val="decimal"/>
      <w:isLgl/>
      <w:suff w:val="space"/>
      <w:lvlText w:val="%1.%2.%3.%4"/>
      <w:lvlJc w:val="left"/>
      <w:pPr>
        <w:tabs>
          <w:tab w:val="left" w:pos="3416"/>
        </w:tabs>
        <w:ind w:left="2836" w:firstLine="0"/>
      </w:pPr>
      <w:rPr>
        <w:rFonts w:hint="default" w:ascii="Times New Roman" w:hAnsi="Times New Roman" w:eastAsia="宋体" w:cs="宋体"/>
        <w:b/>
        <w:sz w:val="24"/>
        <w:szCs w:val="24"/>
      </w:rPr>
    </w:lvl>
    <w:lvl w:ilvl="4" w:tentative="0">
      <w:start w:val="1"/>
      <w:numFmt w:val="decimalEnclosedCircleChinese"/>
      <w:lvlRestart w:val="0"/>
      <w:suff w:val="nothing"/>
      <w:lvlText w:val="表2.3-%5 "/>
      <w:lvlJc w:val="center"/>
      <w:pPr>
        <w:tabs>
          <w:tab w:val="left" w:pos="0"/>
        </w:tabs>
        <w:ind w:left="0" w:firstLine="0"/>
      </w:pPr>
      <w:rPr>
        <w:rFonts w:hint="eastAsia" w:ascii="Times New Roman" w:hAnsi="Times New Roman" w:eastAsia="Times New Roman" w:cs="Times New Roman"/>
        <w:b/>
        <w:bCs/>
        <w:sz w:val="21"/>
        <w:szCs w:val="21"/>
      </w:rPr>
    </w:lvl>
    <w:lvl w:ilvl="5" w:tentative="0">
      <w:start w:val="1"/>
      <w:numFmt w:val="decimal"/>
      <w:lvlRestart w:val="2"/>
      <w:isLgl/>
      <w:suff w:val="nothing"/>
      <w:lvlText w:val="图%1.%2-%6  "/>
      <w:lvlJc w:val="left"/>
      <w:pPr>
        <w:tabs>
          <w:tab w:val="left" w:pos="420"/>
        </w:tabs>
        <w:ind w:left="0" w:firstLine="0"/>
      </w:pPr>
      <w:rPr>
        <w:rFonts w:hint="default" w:ascii="Times New Roman" w:hAnsi="Times New Roman" w:eastAsia="宋体" w:cs="宋体"/>
        <w:sz w:val="21"/>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16">
    <w:nsid w:val="FFFFFF81"/>
    <w:multiLevelType w:val="singleLevel"/>
    <w:tmpl w:val="FFFFFF81"/>
    <w:lvl w:ilvl="0" w:tentative="0">
      <w:start w:val="1"/>
      <w:numFmt w:val="bullet"/>
      <w:pStyle w:val="1240"/>
      <w:lvlText w:val=""/>
      <w:lvlJc w:val="left"/>
      <w:pPr>
        <w:tabs>
          <w:tab w:val="left" w:pos="1620"/>
        </w:tabs>
        <w:ind w:left="1620" w:hanging="360"/>
      </w:pPr>
      <w:rPr>
        <w:rFonts w:hint="default" w:ascii="Wingdings" w:hAnsi="Wingdings"/>
      </w:rPr>
    </w:lvl>
  </w:abstractNum>
  <w:abstractNum w:abstractNumId="17">
    <w:nsid w:val="034A2C41"/>
    <w:multiLevelType w:val="singleLevel"/>
    <w:tmpl w:val="034A2C41"/>
    <w:lvl w:ilvl="0" w:tentative="0">
      <w:start w:val="1"/>
      <w:numFmt w:val="decimal"/>
      <w:suff w:val="nothing"/>
      <w:lvlText w:val="（%1）"/>
      <w:lvlJc w:val="left"/>
    </w:lvl>
  </w:abstractNum>
  <w:abstractNum w:abstractNumId="18">
    <w:nsid w:val="06B3DBA6"/>
    <w:multiLevelType w:val="singleLevel"/>
    <w:tmpl w:val="06B3DBA6"/>
    <w:lvl w:ilvl="0" w:tentative="0">
      <w:start w:val="1"/>
      <w:numFmt w:val="decimal"/>
      <w:suff w:val="nothing"/>
      <w:lvlText w:val="（%1）"/>
      <w:lvlJc w:val="left"/>
    </w:lvl>
  </w:abstractNum>
  <w:abstractNum w:abstractNumId="19">
    <w:nsid w:val="088FA6E5"/>
    <w:multiLevelType w:val="singleLevel"/>
    <w:tmpl w:val="088FA6E5"/>
    <w:lvl w:ilvl="0" w:tentative="0">
      <w:start w:val="1"/>
      <w:numFmt w:val="decimal"/>
      <w:suff w:val="nothing"/>
      <w:lvlText w:val="（%1）"/>
      <w:lvlJc w:val="left"/>
    </w:lvl>
  </w:abstractNum>
  <w:abstractNum w:abstractNumId="20">
    <w:nsid w:val="0DDE2B46"/>
    <w:multiLevelType w:val="multilevel"/>
    <w:tmpl w:val="0DDE2B46"/>
    <w:lvl w:ilvl="0" w:tentative="0">
      <w:start w:val="0"/>
      <w:numFmt w:val="none"/>
      <w:pStyle w:val="3583"/>
      <w:lvlText w:val=""/>
      <w:lvlJc w:val="left"/>
      <w:pPr>
        <w:tabs>
          <w:tab w:val="left" w:pos="360"/>
        </w:tabs>
      </w:p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21">
    <w:nsid w:val="171B0A60"/>
    <w:multiLevelType w:val="multilevel"/>
    <w:tmpl w:val="171B0A60"/>
    <w:lvl w:ilvl="0" w:tentative="0">
      <w:start w:val="1"/>
      <w:numFmt w:val="decimal"/>
      <w:pStyle w:val="1728"/>
      <w:suff w:val="space"/>
      <w:lvlText w:val="%1 "/>
      <w:lvlJc w:val="center"/>
      <w:pPr>
        <w:ind w:left="3240" w:firstLine="0"/>
      </w:pPr>
      <w:rPr>
        <w:rFonts w:hint="eastAsia" w:ascii="MS Sans Serif" w:hAnsi="MS Sans Serif" w:eastAsia="Cambria" w:cs="Arial"/>
        <w:b w:val="0"/>
        <w:bCs w:val="0"/>
        <w:i w:val="0"/>
        <w:iCs w:val="0"/>
        <w:caps w:val="0"/>
        <w:strike w:val="0"/>
        <w:dstrike w:val="0"/>
        <w:vanish w:val="0"/>
        <w:color w:val="000000"/>
        <w:position w:val="0"/>
        <w:sz w:val="36"/>
        <w:szCs w:val="36"/>
        <w:u w:val="none"/>
        <w:vertAlign w:val="baseline"/>
      </w:rPr>
    </w:lvl>
    <w:lvl w:ilvl="1" w:tentative="0">
      <w:start w:val="1"/>
      <w:numFmt w:val="decimal"/>
      <w:pStyle w:val="694"/>
      <w:suff w:val="space"/>
      <w:lvlText w:val="%1.%2 "/>
      <w:lvlJc w:val="left"/>
      <w:pPr>
        <w:ind w:left="851" w:firstLine="0"/>
      </w:pPr>
      <w:rPr>
        <w:rFonts w:hint="eastAsia" w:ascii="Cambria" w:hAnsi="MS Sans Serif" w:eastAsia="Cambria"/>
        <w:b/>
        <w:i w:val="0"/>
        <w:spacing w:val="8"/>
        <w:position w:val="0"/>
        <w:sz w:val="28"/>
        <w:szCs w:val="28"/>
        <w:lang w:val="en-US" w:eastAsia="zh-CN"/>
      </w:rPr>
    </w:lvl>
    <w:lvl w:ilvl="2" w:tentative="0">
      <w:start w:val="1"/>
      <w:numFmt w:val="decimal"/>
      <w:suff w:val="nothing"/>
      <w:lvlText w:val="%1.%2.%3 "/>
      <w:lvlJc w:val="left"/>
      <w:pPr>
        <w:ind w:left="568" w:firstLine="0"/>
      </w:pPr>
      <w:rPr>
        <w:rFonts w:hint="eastAsia" w:ascii="MS Sans Serif" w:hAnsi="MS Sans Serif" w:eastAsia="Cambria" w:cs="Arial"/>
        <w:b w:val="0"/>
        <w:bCs w:val="0"/>
        <w:i w:val="0"/>
        <w:iCs w:val="0"/>
        <w:caps w:val="0"/>
        <w:smallCaps w:val="0"/>
        <w:strike w:val="0"/>
        <w:dstrike w:val="0"/>
        <w:vanish w:val="0"/>
        <w:color w:val="000000"/>
        <w:position w:val="0"/>
        <w:sz w:val="28"/>
        <w:szCs w:val="28"/>
        <w:u w:val="none"/>
        <w:vertAlign w:val="baseline"/>
        <w:lang w:eastAsia="zh-CN"/>
      </w:rPr>
    </w:lvl>
    <w:lvl w:ilvl="3" w:tentative="0">
      <w:start w:val="1"/>
      <w:numFmt w:val="decimal"/>
      <w:suff w:val="nothing"/>
      <w:lvlText w:val="%1.%2.%3.%4 "/>
      <w:lvlJc w:val="left"/>
      <w:pPr>
        <w:ind w:left="0" w:firstLine="0"/>
      </w:pPr>
      <w:rPr>
        <w:rFonts w:hint="eastAsia" w:ascii="MS Sans Serif" w:hAnsi="MS Sans Serif" w:eastAsia="仿宋_GB2312" w:cs="Arial"/>
        <w:b/>
        <w:i w:val="0"/>
        <w:iCs w:val="0"/>
        <w:caps w:val="0"/>
        <w:smallCaps w:val="0"/>
        <w:strike w:val="0"/>
        <w:dstrike w:val="0"/>
        <w:vanish w:val="0"/>
        <w:color w:val="000000"/>
        <w:position w:val="0"/>
        <w:sz w:val="24"/>
        <w:szCs w:val="24"/>
        <w:u w:val="none"/>
        <w:vertAlign w:val="baseline"/>
      </w:rPr>
    </w:lvl>
    <w:lvl w:ilvl="4" w:tentative="0">
      <w:start w:val="1"/>
      <w:numFmt w:val="decimal"/>
      <w:suff w:val="nothing"/>
      <w:lvlText w:val="%5、"/>
      <w:lvlJc w:val="left"/>
      <w:pPr>
        <w:ind w:left="-3367" w:firstLine="0"/>
      </w:pPr>
      <w:rPr>
        <w:rFonts w:hint="eastAsia"/>
      </w:rPr>
    </w:lvl>
    <w:lvl w:ilvl="5" w:tentative="0">
      <w:start w:val="1"/>
      <w:numFmt w:val="none"/>
      <w:suff w:val="nothing"/>
      <w:lvlText w:val=""/>
      <w:lvlJc w:val="left"/>
      <w:pPr>
        <w:ind w:left="-4274" w:firstLine="0"/>
      </w:pPr>
      <w:rPr>
        <w:rFonts w:hint="eastAsia"/>
      </w:rPr>
    </w:lvl>
    <w:lvl w:ilvl="6" w:tentative="0">
      <w:start w:val="1"/>
      <w:numFmt w:val="none"/>
      <w:suff w:val="nothing"/>
      <w:lvlText w:val=""/>
      <w:lvlJc w:val="left"/>
      <w:pPr>
        <w:ind w:left="-4274" w:firstLine="0"/>
      </w:pPr>
      <w:rPr>
        <w:rFonts w:hint="eastAsia"/>
      </w:rPr>
    </w:lvl>
    <w:lvl w:ilvl="7" w:tentative="0">
      <w:start w:val="1"/>
      <w:numFmt w:val="none"/>
      <w:suff w:val="nothing"/>
      <w:lvlText w:val=""/>
      <w:lvlJc w:val="left"/>
      <w:pPr>
        <w:ind w:left="-3367" w:firstLine="0"/>
      </w:pPr>
      <w:rPr>
        <w:rFonts w:hint="eastAsia"/>
      </w:rPr>
    </w:lvl>
    <w:lvl w:ilvl="8" w:tentative="0">
      <w:start w:val="1"/>
      <w:numFmt w:val="none"/>
      <w:suff w:val="nothing"/>
      <w:lvlText w:val=""/>
      <w:lvlJc w:val="left"/>
      <w:pPr>
        <w:ind w:left="-4274" w:firstLine="0"/>
      </w:pPr>
      <w:rPr>
        <w:rFonts w:hint="eastAsia"/>
      </w:rPr>
    </w:lvl>
  </w:abstractNum>
  <w:abstractNum w:abstractNumId="22">
    <w:nsid w:val="350F1668"/>
    <w:multiLevelType w:val="singleLevel"/>
    <w:tmpl w:val="350F1668"/>
    <w:lvl w:ilvl="0" w:tentative="0">
      <w:start w:val="6"/>
      <w:numFmt w:val="chineseCounting"/>
      <w:suff w:val="nothing"/>
      <w:lvlText w:val="第%1条　"/>
      <w:lvlJc w:val="left"/>
      <w:rPr>
        <w:rFonts w:hint="eastAsia"/>
      </w:rPr>
    </w:lvl>
  </w:abstractNum>
  <w:abstractNum w:abstractNumId="23">
    <w:nsid w:val="35414961"/>
    <w:multiLevelType w:val="multilevel"/>
    <w:tmpl w:val="35414961"/>
    <w:lvl w:ilvl="0" w:tentative="0">
      <w:start w:val="1"/>
      <w:numFmt w:val="japaneseCounting"/>
      <w:pStyle w:val="3646"/>
      <w:lvlText w:val="%1、"/>
      <w:lvlJc w:val="left"/>
      <w:pPr>
        <w:tabs>
          <w:tab w:val="left" w:pos="1920"/>
        </w:tabs>
        <w:ind w:left="1920" w:hanging="480"/>
      </w:pPr>
      <w:rPr>
        <w:rFonts w:hint="eastAsia"/>
      </w:rPr>
    </w:lvl>
    <w:lvl w:ilvl="1" w:tentative="0">
      <w:start w:val="1"/>
      <w:numFmt w:val="lowerLetter"/>
      <w:lvlText w:val="%2)"/>
      <w:lvlJc w:val="left"/>
      <w:pPr>
        <w:tabs>
          <w:tab w:val="left" w:pos="2280"/>
        </w:tabs>
        <w:ind w:left="2280" w:hanging="420"/>
      </w:pPr>
    </w:lvl>
    <w:lvl w:ilvl="2" w:tentative="0">
      <w:start w:val="1"/>
      <w:numFmt w:val="lowerRoman"/>
      <w:lvlText w:val="%3."/>
      <w:lvlJc w:val="right"/>
      <w:pPr>
        <w:tabs>
          <w:tab w:val="left" w:pos="2700"/>
        </w:tabs>
        <w:ind w:left="2700" w:hanging="420"/>
      </w:pPr>
    </w:lvl>
    <w:lvl w:ilvl="3" w:tentative="0">
      <w:start w:val="1"/>
      <w:numFmt w:val="decimal"/>
      <w:lvlText w:val="%4."/>
      <w:lvlJc w:val="left"/>
      <w:pPr>
        <w:tabs>
          <w:tab w:val="left" w:pos="3120"/>
        </w:tabs>
        <w:ind w:left="3120" w:hanging="420"/>
      </w:pPr>
    </w:lvl>
    <w:lvl w:ilvl="4" w:tentative="0">
      <w:start w:val="1"/>
      <w:numFmt w:val="lowerLetter"/>
      <w:lvlText w:val="%5)"/>
      <w:lvlJc w:val="left"/>
      <w:pPr>
        <w:tabs>
          <w:tab w:val="left" w:pos="3540"/>
        </w:tabs>
        <w:ind w:left="3540" w:hanging="420"/>
      </w:pPr>
    </w:lvl>
    <w:lvl w:ilvl="5" w:tentative="0">
      <w:start w:val="1"/>
      <w:numFmt w:val="lowerRoman"/>
      <w:lvlText w:val="%6."/>
      <w:lvlJc w:val="right"/>
      <w:pPr>
        <w:tabs>
          <w:tab w:val="left" w:pos="3960"/>
        </w:tabs>
        <w:ind w:left="3960" w:hanging="420"/>
      </w:pPr>
    </w:lvl>
    <w:lvl w:ilvl="6" w:tentative="0">
      <w:start w:val="1"/>
      <w:numFmt w:val="decimal"/>
      <w:lvlText w:val="%7."/>
      <w:lvlJc w:val="left"/>
      <w:pPr>
        <w:tabs>
          <w:tab w:val="left" w:pos="4380"/>
        </w:tabs>
        <w:ind w:left="4380" w:hanging="420"/>
      </w:pPr>
    </w:lvl>
    <w:lvl w:ilvl="7" w:tentative="0">
      <w:start w:val="1"/>
      <w:numFmt w:val="lowerLetter"/>
      <w:lvlText w:val="%8)"/>
      <w:lvlJc w:val="left"/>
      <w:pPr>
        <w:tabs>
          <w:tab w:val="left" w:pos="4800"/>
        </w:tabs>
        <w:ind w:left="4800" w:hanging="420"/>
      </w:pPr>
    </w:lvl>
    <w:lvl w:ilvl="8" w:tentative="0">
      <w:start w:val="1"/>
      <w:numFmt w:val="lowerRoman"/>
      <w:lvlText w:val="%9."/>
      <w:lvlJc w:val="right"/>
      <w:pPr>
        <w:tabs>
          <w:tab w:val="left" w:pos="5220"/>
        </w:tabs>
        <w:ind w:left="5220" w:hanging="420"/>
      </w:pPr>
    </w:lvl>
  </w:abstractNum>
  <w:abstractNum w:abstractNumId="24">
    <w:nsid w:val="37DA6A38"/>
    <w:multiLevelType w:val="multilevel"/>
    <w:tmpl w:val="37DA6A38"/>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pStyle w:val="2432"/>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5">
    <w:nsid w:val="4A3B3BD0"/>
    <w:multiLevelType w:val="singleLevel"/>
    <w:tmpl w:val="4A3B3BD0"/>
    <w:lvl w:ilvl="0" w:tentative="0">
      <w:start w:val="1"/>
      <w:numFmt w:val="decimal"/>
      <w:suff w:val="nothing"/>
      <w:lvlText w:val="（%1）"/>
      <w:lvlJc w:val="left"/>
    </w:lvl>
  </w:abstractNum>
  <w:abstractNum w:abstractNumId="26">
    <w:nsid w:val="4B0670DC"/>
    <w:multiLevelType w:val="multilevel"/>
    <w:tmpl w:val="4B0670DC"/>
    <w:lvl w:ilvl="0" w:tentative="0">
      <w:start w:val="1"/>
      <w:numFmt w:val="decimal"/>
      <w:pStyle w:val="3392"/>
      <w:suff w:val="space"/>
      <w:lvlText w:val="%1"/>
      <w:lvlJc w:val="left"/>
      <w:pPr>
        <w:ind w:left="0" w:firstLine="0"/>
      </w:pPr>
      <w:rPr>
        <w:rFonts w:hint="default" w:ascii="Times New Roman" w:hAnsi="Times New Roman"/>
        <w:sz w:val="32"/>
      </w:rPr>
    </w:lvl>
    <w:lvl w:ilvl="1" w:tentative="0">
      <w:start w:val="1"/>
      <w:numFmt w:val="decimal"/>
      <w:suff w:val="space"/>
      <w:lvlText w:val="%1.%2"/>
      <w:lvlJc w:val="left"/>
      <w:pPr>
        <w:ind w:left="32" w:firstLine="0"/>
      </w:pPr>
      <w:rPr>
        <w:rFonts w:hint="default" w:ascii="Times New Roman" w:hAnsi="Times New Roman"/>
        <w:sz w:val="30"/>
      </w:rPr>
    </w:lvl>
    <w:lvl w:ilvl="2" w:tentative="0">
      <w:start w:val="1"/>
      <w:numFmt w:val="decimal"/>
      <w:suff w:val="space"/>
      <w:lvlText w:val="%1.%2.%3"/>
      <w:lvlJc w:val="left"/>
      <w:pPr>
        <w:ind w:left="0" w:firstLine="0"/>
      </w:pPr>
      <w:rPr>
        <w:rFonts w:hint="default" w:ascii="Times New Roman" w:hAnsi="Times New Roman" w:eastAsia="黑体"/>
        <w:b/>
        <w:i w:val="0"/>
        <w:color w:val="000000"/>
        <w:sz w:val="28"/>
        <w:szCs w:val="28"/>
      </w:rPr>
    </w:lvl>
    <w:lvl w:ilvl="3" w:tentative="0">
      <w:start w:val="1"/>
      <w:numFmt w:val="decimal"/>
      <w:pStyle w:val="2874"/>
      <w:lvlText w:val="%1.%2.%3.%4"/>
      <w:lvlJc w:val="left"/>
      <w:pPr>
        <w:tabs>
          <w:tab w:val="left" w:pos="466"/>
        </w:tabs>
        <w:ind w:left="466" w:firstLine="0"/>
      </w:pPr>
      <w:rPr>
        <w:rFonts w:hint="default" w:ascii="Times New Roman" w:hAnsi="Times New Roman"/>
        <w:sz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0"/>
      <w:numFmt w:val="decimal"/>
      <w:lvlText w:val="%1.%2.%3.%4.%5.%6.%7.%8.%9."/>
      <w:lvlJc w:val="left"/>
      <w:pPr>
        <w:tabs>
          <w:tab w:val="left" w:pos="1559"/>
        </w:tabs>
        <w:ind w:left="1559" w:hanging="1559"/>
      </w:pPr>
      <w:rPr>
        <w:rFonts w:hint="eastAsia"/>
      </w:rPr>
    </w:lvl>
  </w:abstractNum>
  <w:abstractNum w:abstractNumId="27">
    <w:nsid w:val="4C9937C0"/>
    <w:multiLevelType w:val="singleLevel"/>
    <w:tmpl w:val="4C9937C0"/>
    <w:lvl w:ilvl="0" w:tentative="0">
      <w:start w:val="1"/>
      <w:numFmt w:val="chineseCounting"/>
      <w:suff w:val="nothing"/>
      <w:lvlText w:val="（%1）"/>
      <w:lvlJc w:val="left"/>
      <w:rPr>
        <w:rFonts w:hint="eastAsia"/>
      </w:rPr>
    </w:lvl>
  </w:abstractNum>
  <w:abstractNum w:abstractNumId="28">
    <w:nsid w:val="5388B44B"/>
    <w:multiLevelType w:val="singleLevel"/>
    <w:tmpl w:val="5388B44B"/>
    <w:lvl w:ilvl="0" w:tentative="0">
      <w:start w:val="1"/>
      <w:numFmt w:val="decimal"/>
      <w:suff w:val="nothing"/>
      <w:lvlText w:val="（%1）"/>
      <w:lvlJc w:val="left"/>
    </w:lvl>
  </w:abstractNum>
  <w:abstractNum w:abstractNumId="29">
    <w:nsid w:val="551BB841"/>
    <w:multiLevelType w:val="singleLevel"/>
    <w:tmpl w:val="551BB841"/>
    <w:lvl w:ilvl="0" w:tentative="0">
      <w:start w:val="1"/>
      <w:numFmt w:val="decimal"/>
      <w:suff w:val="nothing"/>
      <w:lvlText w:val="%1、"/>
      <w:lvlJc w:val="left"/>
    </w:lvl>
  </w:abstractNum>
  <w:abstractNum w:abstractNumId="30">
    <w:nsid w:val="56E2753B"/>
    <w:multiLevelType w:val="multilevel"/>
    <w:tmpl w:val="56E2753B"/>
    <w:lvl w:ilvl="0" w:tentative="0">
      <w:start w:val="1"/>
      <w:numFmt w:val="decimal"/>
      <w:pStyle w:val="253"/>
      <w:suff w:val="space"/>
      <w:lvlText w:val="%1"/>
      <w:lvlJc w:val="left"/>
      <w:pPr>
        <w:ind w:left="0" w:firstLine="0"/>
      </w:pPr>
      <w:rPr>
        <w:rFonts w:hint="eastAsia"/>
      </w:rPr>
    </w:lvl>
    <w:lvl w:ilvl="1" w:tentative="0">
      <w:start w:val="1"/>
      <w:numFmt w:val="decimal"/>
      <w:pStyle w:val="1884"/>
      <w:lvlText w:val="%1.%2"/>
      <w:lvlJc w:val="left"/>
      <w:pPr>
        <w:tabs>
          <w:tab w:val="left" w:pos="0"/>
        </w:tabs>
        <w:ind w:left="576" w:hanging="576"/>
      </w:pPr>
      <w:rPr>
        <w:rFonts w:hint="eastAsia"/>
        <w:sz w:val="28"/>
        <w:szCs w:val="28"/>
      </w:rPr>
    </w:lvl>
    <w:lvl w:ilvl="2" w:tentative="0">
      <w:start w:val="1"/>
      <w:numFmt w:val="decimal"/>
      <w:pStyle w:val="1885"/>
      <w:suff w:val="space"/>
      <w:lvlText w:val="%1.%2.%3"/>
      <w:lvlJc w:val="left"/>
      <w:pPr>
        <w:ind w:left="0" w:firstLine="0"/>
      </w:pPr>
      <w:rPr>
        <w:rFonts w:hint="eastAsia"/>
      </w:rPr>
    </w:lvl>
    <w:lvl w:ilvl="3" w:tentative="0">
      <w:start w:val="1"/>
      <w:numFmt w:val="decimal"/>
      <w:pStyle w:val="1886"/>
      <w:suff w:val="space"/>
      <w:lvlText w:val="%1.%2.%3.%4"/>
      <w:lvlJc w:val="left"/>
      <w:pPr>
        <w:ind w:left="1224" w:hanging="864"/>
      </w:pPr>
      <w:rPr>
        <w:rFonts w:hint="default" w:ascii="Times New Roman" w:hAnsi="Times New Roman" w:cs="Times New Roman"/>
      </w:rPr>
    </w:lvl>
    <w:lvl w:ilvl="4" w:tentative="0">
      <w:start w:val="1"/>
      <w:numFmt w:val="decimal"/>
      <w:lvlText w:val="%1.%2.%3.%4.%5"/>
      <w:lvlJc w:val="left"/>
      <w:pPr>
        <w:tabs>
          <w:tab w:val="left" w:pos="0"/>
        </w:tabs>
        <w:ind w:left="1008" w:hanging="1008"/>
      </w:pPr>
      <w:rPr>
        <w:rFonts w:hint="eastAsia"/>
      </w:rPr>
    </w:lvl>
    <w:lvl w:ilvl="5" w:tentative="0">
      <w:start w:val="1"/>
      <w:numFmt w:val="decimal"/>
      <w:lvlText w:val="%1.%2.%3.%4.%5.%6"/>
      <w:lvlJc w:val="left"/>
      <w:pPr>
        <w:tabs>
          <w:tab w:val="left" w:pos="0"/>
        </w:tabs>
        <w:ind w:left="1152" w:hanging="1152"/>
      </w:pPr>
      <w:rPr>
        <w:rFonts w:hint="eastAsia"/>
      </w:rPr>
    </w:lvl>
    <w:lvl w:ilvl="6" w:tentative="0">
      <w:start w:val="1"/>
      <w:numFmt w:val="decimal"/>
      <w:lvlText w:val="%1.%2.%3.%4.%5.%6.%7"/>
      <w:lvlJc w:val="left"/>
      <w:pPr>
        <w:tabs>
          <w:tab w:val="left" w:pos="0"/>
        </w:tabs>
        <w:ind w:left="1296" w:hanging="1296"/>
      </w:pPr>
      <w:rPr>
        <w:rFonts w:hint="eastAsia"/>
      </w:rPr>
    </w:lvl>
    <w:lvl w:ilvl="7" w:tentative="0">
      <w:start w:val="1"/>
      <w:numFmt w:val="decimal"/>
      <w:lvlText w:val="%1.%2.%3.%4.%5.%6.%7.%8"/>
      <w:lvlJc w:val="left"/>
      <w:pPr>
        <w:tabs>
          <w:tab w:val="left" w:pos="0"/>
        </w:tabs>
        <w:ind w:left="1440" w:hanging="1440"/>
      </w:pPr>
      <w:rPr>
        <w:rFonts w:hint="eastAsia"/>
      </w:rPr>
    </w:lvl>
    <w:lvl w:ilvl="8" w:tentative="0">
      <w:start w:val="1"/>
      <w:numFmt w:val="decimal"/>
      <w:lvlText w:val="%1.%2.%3.%4.%5.%6.%7.%8.%9"/>
      <w:lvlJc w:val="left"/>
      <w:pPr>
        <w:tabs>
          <w:tab w:val="left" w:pos="0"/>
        </w:tabs>
        <w:ind w:left="1584" w:hanging="1584"/>
      </w:pPr>
      <w:rPr>
        <w:rFonts w:hint="eastAsia"/>
      </w:rPr>
    </w:lvl>
  </w:abstractNum>
  <w:abstractNum w:abstractNumId="31">
    <w:nsid w:val="57133F65"/>
    <w:multiLevelType w:val="multilevel"/>
    <w:tmpl w:val="57133F65"/>
    <w:lvl w:ilvl="0" w:tentative="0">
      <w:start w:val="1"/>
      <w:numFmt w:val="decimal"/>
      <w:pStyle w:val="1646"/>
      <w:lvlText w:val="第%1章 "/>
      <w:lvlJc w:val="left"/>
      <w:pPr>
        <w:tabs>
          <w:tab w:val="left" w:pos="425"/>
        </w:tabs>
        <w:ind w:left="425" w:hanging="425"/>
      </w:pPr>
      <w:rPr>
        <w:rFonts w:hint="eastAsia"/>
      </w:rPr>
    </w:lvl>
    <w:lvl w:ilvl="1" w:tentative="0">
      <w:start w:val="1"/>
      <w:numFmt w:val="decimal"/>
      <w:lvlText w:val="%1.%2 "/>
      <w:lvlJc w:val="left"/>
      <w:pPr>
        <w:tabs>
          <w:tab w:val="left" w:pos="567"/>
        </w:tabs>
        <w:ind w:left="567" w:hanging="567"/>
      </w:pPr>
      <w:rPr>
        <w:rFonts w:hint="eastAsia"/>
      </w:rPr>
    </w:lvl>
    <w:lvl w:ilvl="2" w:tentative="0">
      <w:start w:val="1"/>
      <w:numFmt w:val="decimal"/>
      <w:pStyle w:val="1596"/>
      <w:lvlText w:val="%1.%2.%3 "/>
      <w:lvlJc w:val="left"/>
      <w:pPr>
        <w:tabs>
          <w:tab w:val="left" w:pos="709"/>
        </w:tabs>
        <w:ind w:left="709" w:hanging="709"/>
      </w:pPr>
      <w:rPr>
        <w:rFonts w:hint="eastAsia"/>
      </w:rPr>
    </w:lvl>
    <w:lvl w:ilvl="3" w:tentative="0">
      <w:start w:val="1"/>
      <w:numFmt w:val="decimal"/>
      <w:lvlText w:val="%1.%2.%3.%4 "/>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2">
    <w:nsid w:val="5E0AAC05"/>
    <w:multiLevelType w:val="singleLevel"/>
    <w:tmpl w:val="5E0AAC05"/>
    <w:lvl w:ilvl="0" w:tentative="0">
      <w:start w:val="1"/>
      <w:numFmt w:val="decimal"/>
      <w:lvlText w:val="表4.3-%1"/>
      <w:lvlJc w:val="left"/>
      <w:pPr>
        <w:tabs>
          <w:tab w:val="left" w:pos="420"/>
        </w:tabs>
        <w:ind w:left="425" w:hanging="425"/>
      </w:pPr>
      <w:rPr>
        <w:rFonts w:hint="default" w:ascii="Times New Roman" w:hAnsi="Times New Roman" w:eastAsia="黑体" w:cs="黑体"/>
        <w:sz w:val="21"/>
      </w:rPr>
    </w:lvl>
  </w:abstractNum>
  <w:abstractNum w:abstractNumId="33">
    <w:nsid w:val="5ECABF62"/>
    <w:multiLevelType w:val="singleLevel"/>
    <w:tmpl w:val="5ECABF62"/>
    <w:lvl w:ilvl="0" w:tentative="0">
      <w:start w:val="1"/>
      <w:numFmt w:val="decimal"/>
      <w:suff w:val="nothing"/>
      <w:lvlText w:val="（%1）"/>
      <w:lvlJc w:val="left"/>
    </w:lvl>
  </w:abstractNum>
  <w:abstractNum w:abstractNumId="34">
    <w:nsid w:val="627B6509"/>
    <w:multiLevelType w:val="multilevel"/>
    <w:tmpl w:val="627B6509"/>
    <w:lvl w:ilvl="0" w:tentative="0">
      <w:start w:val="1"/>
      <w:numFmt w:val="decimal"/>
      <w:pStyle w:val="852"/>
      <w:lvlText w:val="%1"/>
      <w:lvlJc w:val="left"/>
      <w:pPr>
        <w:tabs>
          <w:tab w:val="left" w:pos="425"/>
        </w:tabs>
        <w:ind w:left="425" w:hanging="425"/>
      </w:pPr>
      <w:rPr>
        <w:rFonts w:hint="eastAsia"/>
      </w:rPr>
    </w:lvl>
    <w:lvl w:ilvl="1" w:tentative="0">
      <w:start w:val="1"/>
      <w:numFmt w:val="decimal"/>
      <w:pStyle w:val="1120"/>
      <w:lvlText w:val="%1.%2"/>
      <w:lvlJc w:val="left"/>
      <w:pPr>
        <w:tabs>
          <w:tab w:val="left" w:pos="992"/>
        </w:tabs>
        <w:ind w:left="992" w:hanging="567"/>
      </w:pPr>
      <w:rPr>
        <w:rFonts w:hint="eastAsia"/>
      </w:rPr>
    </w:lvl>
    <w:lvl w:ilvl="2" w:tentative="0">
      <w:start w:val="1"/>
      <w:numFmt w:val="decimal"/>
      <w:pStyle w:val="407"/>
      <w:lvlText w:val="%1.%2.%3"/>
      <w:lvlJc w:val="left"/>
      <w:pPr>
        <w:tabs>
          <w:tab w:val="left" w:pos="567"/>
        </w:tabs>
        <w:ind w:left="567" w:hanging="567"/>
      </w:pPr>
      <w:rPr>
        <w:rFonts w:hint="eastAsia"/>
      </w:rPr>
    </w:lvl>
    <w:lvl w:ilvl="3" w:tentative="0">
      <w:start w:val="1"/>
      <w:numFmt w:val="decimal"/>
      <w:pStyle w:val="1594"/>
      <w:lvlText w:val="%1.%2.%3.%4"/>
      <w:lvlJc w:val="left"/>
      <w:pPr>
        <w:tabs>
          <w:tab w:val="left" w:pos="1788"/>
        </w:tabs>
        <w:ind w:left="1788"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5">
    <w:nsid w:val="65DF57F0"/>
    <w:multiLevelType w:val="multilevel"/>
    <w:tmpl w:val="65DF57F0"/>
    <w:lvl w:ilvl="0" w:tentative="0">
      <w:start w:val="1"/>
      <w:numFmt w:val="decimalEnclosedCircle"/>
      <w:lvlText w:val="%1"/>
      <w:lvlJc w:val="left"/>
      <w:pPr>
        <w:ind w:left="832" w:hanging="360"/>
      </w:pPr>
      <w:rPr>
        <w:rFonts w:hint="default" w:ascii="宋体" w:hAnsi="宋体" w:cs="宋体"/>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abstractNum w:abstractNumId="36">
    <w:nsid w:val="6E917366"/>
    <w:multiLevelType w:val="multilevel"/>
    <w:tmpl w:val="6E917366"/>
    <w:lvl w:ilvl="0" w:tentative="0">
      <w:start w:val="1"/>
      <w:numFmt w:val="decimalEnclosedCircle"/>
      <w:lvlText w:val="%1"/>
      <w:lvlJc w:val="left"/>
      <w:pPr>
        <w:ind w:left="840" w:hanging="360"/>
      </w:pPr>
      <w:rPr>
        <w:rFonts w:hint="default" w:ascii="宋体" w:hAnsi="宋体" w:cs="宋体"/>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7">
    <w:nsid w:val="78900253"/>
    <w:multiLevelType w:val="multilevel"/>
    <w:tmpl w:val="78900253"/>
    <w:lvl w:ilvl="0" w:tentative="0">
      <w:start w:val="1"/>
      <w:numFmt w:val="decimal"/>
      <w:pStyle w:val="2561"/>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8">
    <w:nsid w:val="7B541212"/>
    <w:multiLevelType w:val="multilevel"/>
    <w:tmpl w:val="7B541212"/>
    <w:lvl w:ilvl="0" w:tentative="0">
      <w:start w:val="1"/>
      <w:numFmt w:val="bullet"/>
      <w:pStyle w:val="2599"/>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9">
    <w:nsid w:val="7CAD4B7B"/>
    <w:multiLevelType w:val="multilevel"/>
    <w:tmpl w:val="7CAD4B7B"/>
    <w:lvl w:ilvl="0" w:tentative="0">
      <w:start w:val="1"/>
      <w:numFmt w:val="decimal"/>
      <w:pStyle w:val="4013"/>
      <w:lvlText w:val="(%1)"/>
      <w:lvlJc w:val="left"/>
      <w:pPr>
        <w:tabs>
          <w:tab w:val="left" w:pos="851"/>
        </w:tabs>
        <w:ind w:left="851" w:hanging="454"/>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decimal"/>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0">
    <w:nsid w:val="7DB84BA9"/>
    <w:multiLevelType w:val="multilevel"/>
    <w:tmpl w:val="7DB84BA9"/>
    <w:lvl w:ilvl="0" w:tentative="0">
      <w:start w:val="1"/>
      <w:numFmt w:val="decimal"/>
      <w:lvlText w:val="%1"/>
      <w:lvlJc w:val="left"/>
      <w:pPr>
        <w:tabs>
          <w:tab w:val="left" w:pos="450"/>
        </w:tabs>
        <w:ind w:left="450" w:hanging="450"/>
      </w:pPr>
      <w:rPr>
        <w:rFonts w:hint="eastAsia"/>
        <w:sz w:val="30"/>
        <w:szCs w:val="30"/>
      </w:rPr>
    </w:lvl>
    <w:lvl w:ilvl="1" w:tentative="0">
      <w:start w:val="1"/>
      <w:numFmt w:val="decimal"/>
      <w:pStyle w:val="800"/>
      <w:isLgl/>
      <w:lvlText w:val="%1.%2"/>
      <w:lvlJc w:val="left"/>
      <w:pPr>
        <w:tabs>
          <w:tab w:val="left" w:pos="495"/>
        </w:tabs>
        <w:ind w:left="495" w:hanging="495"/>
      </w:pPr>
      <w:rPr>
        <w:rFonts w:hint="default"/>
      </w:rPr>
    </w:lvl>
    <w:lvl w:ilvl="2" w:tentative="0">
      <w:start w:val="1"/>
      <w:numFmt w:val="decimal"/>
      <w:pStyle w:val="1887"/>
      <w:isLgl/>
      <w:lvlText w:val="%1.%2.%3"/>
      <w:lvlJc w:val="left"/>
      <w:pPr>
        <w:tabs>
          <w:tab w:val="left" w:pos="720"/>
        </w:tabs>
        <w:ind w:left="720" w:hanging="720"/>
      </w:pPr>
      <w:rPr>
        <w:rFonts w:hint="default"/>
        <w:b/>
        <w:i w:val="0"/>
        <w:sz w:val="28"/>
        <w:szCs w:val="28"/>
      </w:rPr>
    </w:lvl>
    <w:lvl w:ilvl="3" w:tentative="0">
      <w:start w:val="1"/>
      <w:numFmt w:val="decimal"/>
      <w:isLgl/>
      <w:lvlText w:val="%1.%2.%3.%4"/>
      <w:lvlJc w:val="left"/>
      <w:pPr>
        <w:tabs>
          <w:tab w:val="left" w:pos="0"/>
        </w:tabs>
        <w:ind w:left="0" w:firstLine="0"/>
      </w:pPr>
      <w:rPr>
        <w:rFonts w:hint="default"/>
        <w:sz w:val="28"/>
        <w:szCs w:val="28"/>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440"/>
        </w:tabs>
        <w:ind w:left="1440" w:hanging="1440"/>
      </w:pPr>
      <w:rPr>
        <w:rFonts w:hint="default"/>
      </w:rPr>
    </w:lvl>
    <w:lvl w:ilvl="6" w:tentative="0">
      <w:start w:val="1"/>
      <w:numFmt w:val="decimal"/>
      <w:isLgl/>
      <w:lvlText w:val="%1.%2.%3.%4.%5.%6.%7"/>
      <w:lvlJc w:val="left"/>
      <w:pPr>
        <w:tabs>
          <w:tab w:val="left" w:pos="1440"/>
        </w:tabs>
        <w:ind w:left="1440" w:hanging="1440"/>
      </w:pPr>
      <w:rPr>
        <w:rFonts w:hint="default"/>
      </w:rPr>
    </w:lvl>
    <w:lvl w:ilvl="7" w:tentative="0">
      <w:start w:val="1"/>
      <w:numFmt w:val="decimal"/>
      <w:isLgl/>
      <w:lvlText w:val="%1.%2.%3.%4.%5.%6.%7.%8"/>
      <w:lvlJc w:val="left"/>
      <w:pPr>
        <w:tabs>
          <w:tab w:val="left" w:pos="1800"/>
        </w:tabs>
        <w:ind w:left="1800" w:hanging="1800"/>
      </w:pPr>
      <w:rPr>
        <w:rFonts w:hint="default"/>
      </w:rPr>
    </w:lvl>
    <w:lvl w:ilvl="8" w:tentative="0">
      <w:start w:val="1"/>
      <w:numFmt w:val="decimal"/>
      <w:isLgl/>
      <w:lvlText w:val="%1.%2.%3.%4.%5.%6.%7.%8.%9"/>
      <w:lvlJc w:val="left"/>
      <w:pPr>
        <w:tabs>
          <w:tab w:val="left" w:pos="2160"/>
        </w:tabs>
        <w:ind w:left="2160" w:hanging="2160"/>
      </w:pPr>
      <w:rPr>
        <w:rFonts w:hint="default"/>
      </w:rPr>
    </w:lvl>
  </w:abstractNum>
  <w:abstractNum w:abstractNumId="41">
    <w:nsid w:val="7DDB1689"/>
    <w:multiLevelType w:val="singleLevel"/>
    <w:tmpl w:val="7DDB1689"/>
    <w:lvl w:ilvl="0" w:tentative="0">
      <w:start w:val="14"/>
      <w:numFmt w:val="decimal"/>
      <w:suff w:val="nothing"/>
      <w:lvlText w:val="（%1）"/>
      <w:lvlJc w:val="left"/>
    </w:lvl>
  </w:abstractNum>
  <w:num w:numId="1">
    <w:abstractNumId w:val="30"/>
  </w:num>
  <w:num w:numId="2">
    <w:abstractNumId w:val="34"/>
  </w:num>
  <w:num w:numId="3">
    <w:abstractNumId w:val="21"/>
  </w:num>
  <w:num w:numId="4">
    <w:abstractNumId w:val="40"/>
  </w:num>
  <w:num w:numId="5">
    <w:abstractNumId w:val="16"/>
  </w:num>
  <w:num w:numId="6">
    <w:abstractNumId w:val="31"/>
  </w:num>
  <w:num w:numId="7">
    <w:abstractNumId w:val="24"/>
  </w:num>
  <w:num w:numId="8">
    <w:abstractNumId w:val="37"/>
  </w:num>
  <w:num w:numId="9">
    <w:abstractNumId w:val="38"/>
  </w:num>
  <w:num w:numId="10">
    <w:abstractNumId w:val="26"/>
  </w:num>
  <w:num w:numId="11">
    <w:abstractNumId w:val="20"/>
  </w:num>
  <w:num w:numId="12">
    <w:abstractNumId w:val="23"/>
  </w:num>
  <w:num w:numId="13">
    <w:abstractNumId w:val="39"/>
  </w:num>
  <w:num w:numId="14">
    <w:abstractNumId w:val="4"/>
  </w:num>
  <w:num w:numId="15">
    <w:abstractNumId w:val="13"/>
  </w:num>
  <w:num w:numId="16">
    <w:abstractNumId w:val="11"/>
  </w:num>
  <w:num w:numId="17">
    <w:abstractNumId w:val="22"/>
  </w:num>
  <w:num w:numId="18">
    <w:abstractNumId w:val="27"/>
  </w:num>
  <w:num w:numId="19">
    <w:abstractNumId w:val="41"/>
  </w:num>
  <w:num w:numId="20">
    <w:abstractNumId w:val="29"/>
  </w:num>
  <w:num w:numId="21">
    <w:abstractNumId w:val="9"/>
  </w:num>
  <w:num w:numId="22">
    <w:abstractNumId w:val="15"/>
  </w:num>
  <w:num w:numId="23">
    <w:abstractNumId w:val="14"/>
  </w:num>
  <w:num w:numId="24">
    <w:abstractNumId w:val="3"/>
  </w:num>
  <w:num w:numId="25">
    <w:abstractNumId w:val="12"/>
  </w:num>
  <w:num w:numId="26">
    <w:abstractNumId w:val="19"/>
  </w:num>
  <w:num w:numId="27">
    <w:abstractNumId w:val="35"/>
  </w:num>
  <w:num w:numId="28">
    <w:abstractNumId w:val="7"/>
  </w:num>
  <w:num w:numId="29">
    <w:abstractNumId w:val="32"/>
  </w:num>
  <w:num w:numId="30">
    <w:abstractNumId w:val="0"/>
  </w:num>
  <w:num w:numId="31">
    <w:abstractNumId w:val="28"/>
  </w:num>
  <w:num w:numId="32">
    <w:abstractNumId w:val="1"/>
  </w:num>
  <w:num w:numId="33">
    <w:abstractNumId w:val="18"/>
  </w:num>
  <w:num w:numId="34">
    <w:abstractNumId w:val="25"/>
  </w:num>
  <w:num w:numId="35">
    <w:abstractNumId w:val="33"/>
  </w:num>
  <w:num w:numId="36">
    <w:abstractNumId w:val="36"/>
  </w:num>
  <w:num w:numId="37">
    <w:abstractNumId w:val="6"/>
  </w:num>
  <w:num w:numId="38">
    <w:abstractNumId w:val="8"/>
  </w:num>
  <w:num w:numId="39">
    <w:abstractNumId w:val="5"/>
  </w:num>
  <w:num w:numId="40">
    <w:abstractNumId w:val="10"/>
  </w:num>
  <w:num w:numId="41">
    <w:abstractNumId w:val="17"/>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2"/>
  <w:displayVerticalDrawingGridEvery w:val="2"/>
  <w:noPunctuationKerning w:val="1"/>
  <w:characterSpacingControl w:val="doNotCompress"/>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IxZDlhMGI4ZDNmOTI5YzdkMjZjOTE5YmE2Zjk5OTcifQ=="/>
  </w:docVars>
  <w:rsids>
    <w:rsidRoot w:val="008018C2"/>
    <w:rsid w:val="0000012B"/>
    <w:rsid w:val="0000014D"/>
    <w:rsid w:val="00000288"/>
    <w:rsid w:val="000002BE"/>
    <w:rsid w:val="0000039D"/>
    <w:rsid w:val="00000461"/>
    <w:rsid w:val="000004C7"/>
    <w:rsid w:val="00000579"/>
    <w:rsid w:val="00000597"/>
    <w:rsid w:val="00000719"/>
    <w:rsid w:val="000007CF"/>
    <w:rsid w:val="000008D5"/>
    <w:rsid w:val="00000B38"/>
    <w:rsid w:val="00000B4C"/>
    <w:rsid w:val="00000D16"/>
    <w:rsid w:val="00000D68"/>
    <w:rsid w:val="00001351"/>
    <w:rsid w:val="00001358"/>
    <w:rsid w:val="000015FC"/>
    <w:rsid w:val="000016E2"/>
    <w:rsid w:val="0000175C"/>
    <w:rsid w:val="00001A25"/>
    <w:rsid w:val="00001ACE"/>
    <w:rsid w:val="00001D17"/>
    <w:rsid w:val="00001DF6"/>
    <w:rsid w:val="000020AC"/>
    <w:rsid w:val="000023F4"/>
    <w:rsid w:val="000024EE"/>
    <w:rsid w:val="000027ED"/>
    <w:rsid w:val="00002B27"/>
    <w:rsid w:val="00002C4B"/>
    <w:rsid w:val="00002D56"/>
    <w:rsid w:val="00002DE5"/>
    <w:rsid w:val="00002E80"/>
    <w:rsid w:val="00003169"/>
    <w:rsid w:val="00003191"/>
    <w:rsid w:val="0000322B"/>
    <w:rsid w:val="000032C4"/>
    <w:rsid w:val="00003416"/>
    <w:rsid w:val="0000356A"/>
    <w:rsid w:val="000036FA"/>
    <w:rsid w:val="00003809"/>
    <w:rsid w:val="0000384C"/>
    <w:rsid w:val="000039A1"/>
    <w:rsid w:val="00003A41"/>
    <w:rsid w:val="00003CC5"/>
    <w:rsid w:val="00003E86"/>
    <w:rsid w:val="00003EC4"/>
    <w:rsid w:val="000040A2"/>
    <w:rsid w:val="00004251"/>
    <w:rsid w:val="00004469"/>
    <w:rsid w:val="0000452C"/>
    <w:rsid w:val="0000483F"/>
    <w:rsid w:val="00004C79"/>
    <w:rsid w:val="00004D91"/>
    <w:rsid w:val="00004E55"/>
    <w:rsid w:val="00004FCD"/>
    <w:rsid w:val="00005018"/>
    <w:rsid w:val="00005123"/>
    <w:rsid w:val="000051CC"/>
    <w:rsid w:val="00005216"/>
    <w:rsid w:val="000052F6"/>
    <w:rsid w:val="0000535F"/>
    <w:rsid w:val="00005476"/>
    <w:rsid w:val="00005490"/>
    <w:rsid w:val="000055BC"/>
    <w:rsid w:val="000057F7"/>
    <w:rsid w:val="0000592C"/>
    <w:rsid w:val="0000599C"/>
    <w:rsid w:val="000059A1"/>
    <w:rsid w:val="00005A3E"/>
    <w:rsid w:val="00005A53"/>
    <w:rsid w:val="00005AE8"/>
    <w:rsid w:val="00005B4F"/>
    <w:rsid w:val="00005D16"/>
    <w:rsid w:val="00005E08"/>
    <w:rsid w:val="000061A7"/>
    <w:rsid w:val="000062F6"/>
    <w:rsid w:val="000063AF"/>
    <w:rsid w:val="0000648F"/>
    <w:rsid w:val="000064F9"/>
    <w:rsid w:val="000065AE"/>
    <w:rsid w:val="00006B75"/>
    <w:rsid w:val="00006CCD"/>
    <w:rsid w:val="00006D23"/>
    <w:rsid w:val="00006EF1"/>
    <w:rsid w:val="0000728D"/>
    <w:rsid w:val="0000730D"/>
    <w:rsid w:val="00007490"/>
    <w:rsid w:val="0000761B"/>
    <w:rsid w:val="0000781E"/>
    <w:rsid w:val="000078C3"/>
    <w:rsid w:val="00007A5F"/>
    <w:rsid w:val="00007B46"/>
    <w:rsid w:val="00007B69"/>
    <w:rsid w:val="00007DBF"/>
    <w:rsid w:val="00007F82"/>
    <w:rsid w:val="00007F93"/>
    <w:rsid w:val="000100DA"/>
    <w:rsid w:val="00010383"/>
    <w:rsid w:val="00010405"/>
    <w:rsid w:val="0001046B"/>
    <w:rsid w:val="000105EC"/>
    <w:rsid w:val="00010909"/>
    <w:rsid w:val="00010987"/>
    <w:rsid w:val="00010999"/>
    <w:rsid w:val="00010B1D"/>
    <w:rsid w:val="00010BA2"/>
    <w:rsid w:val="00010BAE"/>
    <w:rsid w:val="00010C32"/>
    <w:rsid w:val="00010DC3"/>
    <w:rsid w:val="00010FD6"/>
    <w:rsid w:val="00010FED"/>
    <w:rsid w:val="000110AE"/>
    <w:rsid w:val="000113A8"/>
    <w:rsid w:val="000115D8"/>
    <w:rsid w:val="00011805"/>
    <w:rsid w:val="00011A84"/>
    <w:rsid w:val="00011AD5"/>
    <w:rsid w:val="00011EF6"/>
    <w:rsid w:val="00011FB6"/>
    <w:rsid w:val="000123FC"/>
    <w:rsid w:val="0001257F"/>
    <w:rsid w:val="0001263F"/>
    <w:rsid w:val="000126E4"/>
    <w:rsid w:val="000128CD"/>
    <w:rsid w:val="000128D2"/>
    <w:rsid w:val="00012994"/>
    <w:rsid w:val="000129AD"/>
    <w:rsid w:val="000129FF"/>
    <w:rsid w:val="00012D40"/>
    <w:rsid w:val="00012E5C"/>
    <w:rsid w:val="000131A4"/>
    <w:rsid w:val="00013346"/>
    <w:rsid w:val="00013617"/>
    <w:rsid w:val="00013651"/>
    <w:rsid w:val="00013739"/>
    <w:rsid w:val="00013762"/>
    <w:rsid w:val="000139BA"/>
    <w:rsid w:val="000139BD"/>
    <w:rsid w:val="00013F9C"/>
    <w:rsid w:val="0001415C"/>
    <w:rsid w:val="00014200"/>
    <w:rsid w:val="0001437B"/>
    <w:rsid w:val="00014386"/>
    <w:rsid w:val="0001446A"/>
    <w:rsid w:val="0001451E"/>
    <w:rsid w:val="0001465B"/>
    <w:rsid w:val="00014884"/>
    <w:rsid w:val="00014936"/>
    <w:rsid w:val="00014D0B"/>
    <w:rsid w:val="00014D64"/>
    <w:rsid w:val="00014DC6"/>
    <w:rsid w:val="00014EA2"/>
    <w:rsid w:val="00015127"/>
    <w:rsid w:val="000152DA"/>
    <w:rsid w:val="0001542C"/>
    <w:rsid w:val="0001542E"/>
    <w:rsid w:val="0001546E"/>
    <w:rsid w:val="0001589F"/>
    <w:rsid w:val="00015964"/>
    <w:rsid w:val="000159C7"/>
    <w:rsid w:val="00015A89"/>
    <w:rsid w:val="00015B1B"/>
    <w:rsid w:val="00015B3B"/>
    <w:rsid w:val="00015BF2"/>
    <w:rsid w:val="00015C75"/>
    <w:rsid w:val="00015C8D"/>
    <w:rsid w:val="00015E15"/>
    <w:rsid w:val="00015E3E"/>
    <w:rsid w:val="00016172"/>
    <w:rsid w:val="0001622F"/>
    <w:rsid w:val="00016336"/>
    <w:rsid w:val="000164FA"/>
    <w:rsid w:val="00016836"/>
    <w:rsid w:val="0001689D"/>
    <w:rsid w:val="000169DA"/>
    <w:rsid w:val="00016A4A"/>
    <w:rsid w:val="00016E67"/>
    <w:rsid w:val="0001712A"/>
    <w:rsid w:val="000172B1"/>
    <w:rsid w:val="000174D8"/>
    <w:rsid w:val="000175AB"/>
    <w:rsid w:val="00017619"/>
    <w:rsid w:val="00017811"/>
    <w:rsid w:val="0001786F"/>
    <w:rsid w:val="00017993"/>
    <w:rsid w:val="00017D95"/>
    <w:rsid w:val="00017E90"/>
    <w:rsid w:val="00017EDB"/>
    <w:rsid w:val="00017F7B"/>
    <w:rsid w:val="00017FA5"/>
    <w:rsid w:val="00017FE4"/>
    <w:rsid w:val="00020071"/>
    <w:rsid w:val="000200AD"/>
    <w:rsid w:val="000200B4"/>
    <w:rsid w:val="000201CD"/>
    <w:rsid w:val="00020238"/>
    <w:rsid w:val="0002037B"/>
    <w:rsid w:val="00020396"/>
    <w:rsid w:val="00020512"/>
    <w:rsid w:val="00020670"/>
    <w:rsid w:val="000206C8"/>
    <w:rsid w:val="0002079E"/>
    <w:rsid w:val="00020AF9"/>
    <w:rsid w:val="00020B4B"/>
    <w:rsid w:val="00020BFB"/>
    <w:rsid w:val="00020C91"/>
    <w:rsid w:val="00020D09"/>
    <w:rsid w:val="00020D43"/>
    <w:rsid w:val="00020F49"/>
    <w:rsid w:val="00021296"/>
    <w:rsid w:val="000212D7"/>
    <w:rsid w:val="00021369"/>
    <w:rsid w:val="00021575"/>
    <w:rsid w:val="000216FE"/>
    <w:rsid w:val="000217F7"/>
    <w:rsid w:val="0002191E"/>
    <w:rsid w:val="000219AC"/>
    <w:rsid w:val="000219E8"/>
    <w:rsid w:val="000219FB"/>
    <w:rsid w:val="00021A07"/>
    <w:rsid w:val="00021A8B"/>
    <w:rsid w:val="000220B2"/>
    <w:rsid w:val="000224D5"/>
    <w:rsid w:val="00022581"/>
    <w:rsid w:val="000225A2"/>
    <w:rsid w:val="0002263E"/>
    <w:rsid w:val="00022767"/>
    <w:rsid w:val="000227E6"/>
    <w:rsid w:val="00022A70"/>
    <w:rsid w:val="00022AA4"/>
    <w:rsid w:val="00022C92"/>
    <w:rsid w:val="00022CA2"/>
    <w:rsid w:val="00022D39"/>
    <w:rsid w:val="00022D73"/>
    <w:rsid w:val="00022FBC"/>
    <w:rsid w:val="00023172"/>
    <w:rsid w:val="0002318D"/>
    <w:rsid w:val="000235A8"/>
    <w:rsid w:val="000236D9"/>
    <w:rsid w:val="000236E1"/>
    <w:rsid w:val="0002370E"/>
    <w:rsid w:val="00023841"/>
    <w:rsid w:val="000238A1"/>
    <w:rsid w:val="00023A01"/>
    <w:rsid w:val="00023D76"/>
    <w:rsid w:val="00023F0C"/>
    <w:rsid w:val="00023F95"/>
    <w:rsid w:val="000241E5"/>
    <w:rsid w:val="0002452F"/>
    <w:rsid w:val="000245AC"/>
    <w:rsid w:val="000246AF"/>
    <w:rsid w:val="000248D4"/>
    <w:rsid w:val="00024B2A"/>
    <w:rsid w:val="00024E78"/>
    <w:rsid w:val="00024FA2"/>
    <w:rsid w:val="00025208"/>
    <w:rsid w:val="00025364"/>
    <w:rsid w:val="0002560A"/>
    <w:rsid w:val="00025612"/>
    <w:rsid w:val="0002585F"/>
    <w:rsid w:val="00025C27"/>
    <w:rsid w:val="0002607E"/>
    <w:rsid w:val="000260E8"/>
    <w:rsid w:val="00026365"/>
    <w:rsid w:val="000263B8"/>
    <w:rsid w:val="00026738"/>
    <w:rsid w:val="00026769"/>
    <w:rsid w:val="000267A2"/>
    <w:rsid w:val="0002693C"/>
    <w:rsid w:val="00026F28"/>
    <w:rsid w:val="00026FC5"/>
    <w:rsid w:val="0002717B"/>
    <w:rsid w:val="000272B8"/>
    <w:rsid w:val="000273DA"/>
    <w:rsid w:val="0002749B"/>
    <w:rsid w:val="000276A7"/>
    <w:rsid w:val="00027E90"/>
    <w:rsid w:val="000300AF"/>
    <w:rsid w:val="000300B3"/>
    <w:rsid w:val="000302F1"/>
    <w:rsid w:val="000303D1"/>
    <w:rsid w:val="00030767"/>
    <w:rsid w:val="0003086E"/>
    <w:rsid w:val="00030A36"/>
    <w:rsid w:val="00030C06"/>
    <w:rsid w:val="00030D0F"/>
    <w:rsid w:val="00030DC7"/>
    <w:rsid w:val="00030E89"/>
    <w:rsid w:val="00030FEB"/>
    <w:rsid w:val="00031023"/>
    <w:rsid w:val="00031039"/>
    <w:rsid w:val="0003126F"/>
    <w:rsid w:val="000312A2"/>
    <w:rsid w:val="000312B5"/>
    <w:rsid w:val="00031584"/>
    <w:rsid w:val="0003162A"/>
    <w:rsid w:val="000317A8"/>
    <w:rsid w:val="000318D8"/>
    <w:rsid w:val="00031A4F"/>
    <w:rsid w:val="00031AA7"/>
    <w:rsid w:val="00031D42"/>
    <w:rsid w:val="00031EB1"/>
    <w:rsid w:val="000320C7"/>
    <w:rsid w:val="00032274"/>
    <w:rsid w:val="0003227F"/>
    <w:rsid w:val="000323EE"/>
    <w:rsid w:val="00032938"/>
    <w:rsid w:val="000329F8"/>
    <w:rsid w:val="00032BD4"/>
    <w:rsid w:val="00032C44"/>
    <w:rsid w:val="00032E3D"/>
    <w:rsid w:val="000334FF"/>
    <w:rsid w:val="00033522"/>
    <w:rsid w:val="00033695"/>
    <w:rsid w:val="000336AC"/>
    <w:rsid w:val="0003393E"/>
    <w:rsid w:val="00033A1D"/>
    <w:rsid w:val="00033A3A"/>
    <w:rsid w:val="00033A83"/>
    <w:rsid w:val="00033E74"/>
    <w:rsid w:val="00033EDC"/>
    <w:rsid w:val="00033F30"/>
    <w:rsid w:val="00034094"/>
    <w:rsid w:val="00034471"/>
    <w:rsid w:val="0003453A"/>
    <w:rsid w:val="000345B8"/>
    <w:rsid w:val="00034686"/>
    <w:rsid w:val="00034B0D"/>
    <w:rsid w:val="00034B50"/>
    <w:rsid w:val="00034CED"/>
    <w:rsid w:val="00034D86"/>
    <w:rsid w:val="00035046"/>
    <w:rsid w:val="00035086"/>
    <w:rsid w:val="000350C8"/>
    <w:rsid w:val="000351B6"/>
    <w:rsid w:val="00035244"/>
    <w:rsid w:val="0003537A"/>
    <w:rsid w:val="00035381"/>
    <w:rsid w:val="00035959"/>
    <w:rsid w:val="0003597C"/>
    <w:rsid w:val="00035E0F"/>
    <w:rsid w:val="000360C4"/>
    <w:rsid w:val="00036137"/>
    <w:rsid w:val="00036139"/>
    <w:rsid w:val="00036251"/>
    <w:rsid w:val="0003627F"/>
    <w:rsid w:val="0003631D"/>
    <w:rsid w:val="00036349"/>
    <w:rsid w:val="000363EA"/>
    <w:rsid w:val="00036466"/>
    <w:rsid w:val="00036510"/>
    <w:rsid w:val="0003671E"/>
    <w:rsid w:val="00036940"/>
    <w:rsid w:val="00036A6D"/>
    <w:rsid w:val="00036BE6"/>
    <w:rsid w:val="00036E31"/>
    <w:rsid w:val="00036EF5"/>
    <w:rsid w:val="0003709E"/>
    <w:rsid w:val="000376B1"/>
    <w:rsid w:val="00037AD7"/>
    <w:rsid w:val="00037C38"/>
    <w:rsid w:val="00037E9B"/>
    <w:rsid w:val="000400E4"/>
    <w:rsid w:val="00040115"/>
    <w:rsid w:val="0004011F"/>
    <w:rsid w:val="00040338"/>
    <w:rsid w:val="00040450"/>
    <w:rsid w:val="000405A2"/>
    <w:rsid w:val="000406DC"/>
    <w:rsid w:val="0004074F"/>
    <w:rsid w:val="00040A36"/>
    <w:rsid w:val="00040C80"/>
    <w:rsid w:val="00040C8F"/>
    <w:rsid w:val="00040DAB"/>
    <w:rsid w:val="000410B4"/>
    <w:rsid w:val="0004113D"/>
    <w:rsid w:val="00041229"/>
    <w:rsid w:val="00041449"/>
    <w:rsid w:val="00041787"/>
    <w:rsid w:val="0004178C"/>
    <w:rsid w:val="0004180A"/>
    <w:rsid w:val="00041F8F"/>
    <w:rsid w:val="000420F7"/>
    <w:rsid w:val="000420FB"/>
    <w:rsid w:val="000421C9"/>
    <w:rsid w:val="00042950"/>
    <w:rsid w:val="000429C0"/>
    <w:rsid w:val="00042DF9"/>
    <w:rsid w:val="000432A9"/>
    <w:rsid w:val="00043362"/>
    <w:rsid w:val="00043448"/>
    <w:rsid w:val="0004360D"/>
    <w:rsid w:val="00043651"/>
    <w:rsid w:val="0004367E"/>
    <w:rsid w:val="000437C8"/>
    <w:rsid w:val="000439E7"/>
    <w:rsid w:val="00043A12"/>
    <w:rsid w:val="00043B3F"/>
    <w:rsid w:val="00043B64"/>
    <w:rsid w:val="00043C98"/>
    <w:rsid w:val="0004404A"/>
    <w:rsid w:val="0004404E"/>
    <w:rsid w:val="00044222"/>
    <w:rsid w:val="000442C6"/>
    <w:rsid w:val="00044408"/>
    <w:rsid w:val="00044459"/>
    <w:rsid w:val="00044461"/>
    <w:rsid w:val="000446FB"/>
    <w:rsid w:val="0004485E"/>
    <w:rsid w:val="0004494F"/>
    <w:rsid w:val="00044D72"/>
    <w:rsid w:val="0004545A"/>
    <w:rsid w:val="00045837"/>
    <w:rsid w:val="0004592C"/>
    <w:rsid w:val="0004592F"/>
    <w:rsid w:val="00045940"/>
    <w:rsid w:val="00045ADB"/>
    <w:rsid w:val="00045C0B"/>
    <w:rsid w:val="00046066"/>
    <w:rsid w:val="00046118"/>
    <w:rsid w:val="0004648D"/>
    <w:rsid w:val="000464D4"/>
    <w:rsid w:val="000469F9"/>
    <w:rsid w:val="00046B85"/>
    <w:rsid w:val="00046CC9"/>
    <w:rsid w:val="00046F0C"/>
    <w:rsid w:val="00047213"/>
    <w:rsid w:val="00047767"/>
    <w:rsid w:val="00047837"/>
    <w:rsid w:val="000478B5"/>
    <w:rsid w:val="00047A3E"/>
    <w:rsid w:val="00047D09"/>
    <w:rsid w:val="00047D21"/>
    <w:rsid w:val="00050034"/>
    <w:rsid w:val="000500B7"/>
    <w:rsid w:val="00050114"/>
    <w:rsid w:val="00050350"/>
    <w:rsid w:val="00050378"/>
    <w:rsid w:val="0005050C"/>
    <w:rsid w:val="000508B7"/>
    <w:rsid w:val="000509D3"/>
    <w:rsid w:val="00050C37"/>
    <w:rsid w:val="00050CD4"/>
    <w:rsid w:val="00050DC6"/>
    <w:rsid w:val="00050E26"/>
    <w:rsid w:val="00051241"/>
    <w:rsid w:val="000512C0"/>
    <w:rsid w:val="00051343"/>
    <w:rsid w:val="0005169B"/>
    <w:rsid w:val="0005174C"/>
    <w:rsid w:val="00051761"/>
    <w:rsid w:val="0005197E"/>
    <w:rsid w:val="00051B9E"/>
    <w:rsid w:val="00052273"/>
    <w:rsid w:val="00052329"/>
    <w:rsid w:val="000523C6"/>
    <w:rsid w:val="000526C2"/>
    <w:rsid w:val="000527EB"/>
    <w:rsid w:val="000528E8"/>
    <w:rsid w:val="0005293E"/>
    <w:rsid w:val="00052B00"/>
    <w:rsid w:val="00052BB6"/>
    <w:rsid w:val="00052C1C"/>
    <w:rsid w:val="00052E60"/>
    <w:rsid w:val="00052F76"/>
    <w:rsid w:val="00052FEA"/>
    <w:rsid w:val="000530A2"/>
    <w:rsid w:val="000531BD"/>
    <w:rsid w:val="000532B1"/>
    <w:rsid w:val="000534FF"/>
    <w:rsid w:val="000535F1"/>
    <w:rsid w:val="000539A4"/>
    <w:rsid w:val="000539E9"/>
    <w:rsid w:val="00053A04"/>
    <w:rsid w:val="00053A9F"/>
    <w:rsid w:val="00053ADD"/>
    <w:rsid w:val="00053B1F"/>
    <w:rsid w:val="00053B27"/>
    <w:rsid w:val="00053BE1"/>
    <w:rsid w:val="00053D33"/>
    <w:rsid w:val="00053DF5"/>
    <w:rsid w:val="0005437D"/>
    <w:rsid w:val="000543FB"/>
    <w:rsid w:val="0005442E"/>
    <w:rsid w:val="0005446F"/>
    <w:rsid w:val="000544E2"/>
    <w:rsid w:val="00054622"/>
    <w:rsid w:val="000547AC"/>
    <w:rsid w:val="00054947"/>
    <w:rsid w:val="00054E23"/>
    <w:rsid w:val="00054F00"/>
    <w:rsid w:val="00054F5D"/>
    <w:rsid w:val="00054F63"/>
    <w:rsid w:val="000554CD"/>
    <w:rsid w:val="0005578B"/>
    <w:rsid w:val="00055805"/>
    <w:rsid w:val="000559E5"/>
    <w:rsid w:val="00055A7B"/>
    <w:rsid w:val="00055BB2"/>
    <w:rsid w:val="00055C44"/>
    <w:rsid w:val="00055CB8"/>
    <w:rsid w:val="00055E03"/>
    <w:rsid w:val="00055F64"/>
    <w:rsid w:val="00055F6F"/>
    <w:rsid w:val="00055FAF"/>
    <w:rsid w:val="0005601C"/>
    <w:rsid w:val="0005616B"/>
    <w:rsid w:val="000561A3"/>
    <w:rsid w:val="000562A1"/>
    <w:rsid w:val="00056488"/>
    <w:rsid w:val="000564DA"/>
    <w:rsid w:val="00056760"/>
    <w:rsid w:val="000569CD"/>
    <w:rsid w:val="00056B79"/>
    <w:rsid w:val="00056BDB"/>
    <w:rsid w:val="00056D4F"/>
    <w:rsid w:val="00056E38"/>
    <w:rsid w:val="00056EE6"/>
    <w:rsid w:val="00056F24"/>
    <w:rsid w:val="00057054"/>
    <w:rsid w:val="000570A2"/>
    <w:rsid w:val="000571D0"/>
    <w:rsid w:val="0005720A"/>
    <w:rsid w:val="000572EB"/>
    <w:rsid w:val="000574D8"/>
    <w:rsid w:val="000578DD"/>
    <w:rsid w:val="00057A11"/>
    <w:rsid w:val="00057A2F"/>
    <w:rsid w:val="00057B79"/>
    <w:rsid w:val="00057CE5"/>
    <w:rsid w:val="00057D3C"/>
    <w:rsid w:val="00057FF9"/>
    <w:rsid w:val="000602DA"/>
    <w:rsid w:val="0006055D"/>
    <w:rsid w:val="000605F3"/>
    <w:rsid w:val="00060E07"/>
    <w:rsid w:val="00060E8B"/>
    <w:rsid w:val="000617D3"/>
    <w:rsid w:val="000618DF"/>
    <w:rsid w:val="000618FB"/>
    <w:rsid w:val="00061B98"/>
    <w:rsid w:val="0006205F"/>
    <w:rsid w:val="00062241"/>
    <w:rsid w:val="00062616"/>
    <w:rsid w:val="00062789"/>
    <w:rsid w:val="0006293C"/>
    <w:rsid w:val="00062AE1"/>
    <w:rsid w:val="00062D6F"/>
    <w:rsid w:val="00062DDA"/>
    <w:rsid w:val="00062E2C"/>
    <w:rsid w:val="000633E8"/>
    <w:rsid w:val="0006345D"/>
    <w:rsid w:val="0006353E"/>
    <w:rsid w:val="0006382F"/>
    <w:rsid w:val="00063847"/>
    <w:rsid w:val="00063B17"/>
    <w:rsid w:val="00063C66"/>
    <w:rsid w:val="00063E19"/>
    <w:rsid w:val="00063F43"/>
    <w:rsid w:val="00064195"/>
    <w:rsid w:val="00064264"/>
    <w:rsid w:val="00064322"/>
    <w:rsid w:val="00064399"/>
    <w:rsid w:val="0006445A"/>
    <w:rsid w:val="000645B4"/>
    <w:rsid w:val="00064802"/>
    <w:rsid w:val="000649D9"/>
    <w:rsid w:val="00064AC1"/>
    <w:rsid w:val="00064B07"/>
    <w:rsid w:val="00064BEE"/>
    <w:rsid w:val="00064E25"/>
    <w:rsid w:val="00064E6B"/>
    <w:rsid w:val="000650E2"/>
    <w:rsid w:val="000651DB"/>
    <w:rsid w:val="00065264"/>
    <w:rsid w:val="0006534F"/>
    <w:rsid w:val="000654F3"/>
    <w:rsid w:val="00065575"/>
    <w:rsid w:val="0006585F"/>
    <w:rsid w:val="000658F9"/>
    <w:rsid w:val="00065924"/>
    <w:rsid w:val="0006598D"/>
    <w:rsid w:val="00065A74"/>
    <w:rsid w:val="00065C0B"/>
    <w:rsid w:val="00065D29"/>
    <w:rsid w:val="00065D5F"/>
    <w:rsid w:val="00065E32"/>
    <w:rsid w:val="000661AD"/>
    <w:rsid w:val="000662B3"/>
    <w:rsid w:val="000663A3"/>
    <w:rsid w:val="000664C6"/>
    <w:rsid w:val="0006662E"/>
    <w:rsid w:val="000666EC"/>
    <w:rsid w:val="00066734"/>
    <w:rsid w:val="0006678F"/>
    <w:rsid w:val="000667AA"/>
    <w:rsid w:val="00066953"/>
    <w:rsid w:val="00066BCB"/>
    <w:rsid w:val="00066CAD"/>
    <w:rsid w:val="00066D22"/>
    <w:rsid w:val="000670B2"/>
    <w:rsid w:val="000671FA"/>
    <w:rsid w:val="00067323"/>
    <w:rsid w:val="000673A2"/>
    <w:rsid w:val="000673EC"/>
    <w:rsid w:val="0006768F"/>
    <w:rsid w:val="000676C6"/>
    <w:rsid w:val="00067740"/>
    <w:rsid w:val="000678D6"/>
    <w:rsid w:val="000679B6"/>
    <w:rsid w:val="00067D2F"/>
    <w:rsid w:val="00067F32"/>
    <w:rsid w:val="0007018E"/>
    <w:rsid w:val="0007077F"/>
    <w:rsid w:val="00070ADA"/>
    <w:rsid w:val="00070B4A"/>
    <w:rsid w:val="00070FDE"/>
    <w:rsid w:val="00071147"/>
    <w:rsid w:val="00071163"/>
    <w:rsid w:val="000711C4"/>
    <w:rsid w:val="000716EE"/>
    <w:rsid w:val="000716FC"/>
    <w:rsid w:val="00071714"/>
    <w:rsid w:val="0007172A"/>
    <w:rsid w:val="00071E2F"/>
    <w:rsid w:val="00071E4F"/>
    <w:rsid w:val="000720D8"/>
    <w:rsid w:val="000723FD"/>
    <w:rsid w:val="0007256C"/>
    <w:rsid w:val="00072637"/>
    <w:rsid w:val="00072686"/>
    <w:rsid w:val="0007292A"/>
    <w:rsid w:val="00072B8D"/>
    <w:rsid w:val="00072CF5"/>
    <w:rsid w:val="00072E06"/>
    <w:rsid w:val="00072E27"/>
    <w:rsid w:val="00072F14"/>
    <w:rsid w:val="00072F3E"/>
    <w:rsid w:val="00072FD2"/>
    <w:rsid w:val="0007314D"/>
    <w:rsid w:val="000731C6"/>
    <w:rsid w:val="0007324E"/>
    <w:rsid w:val="00073794"/>
    <w:rsid w:val="00073902"/>
    <w:rsid w:val="00073AED"/>
    <w:rsid w:val="00073B3B"/>
    <w:rsid w:val="00073D01"/>
    <w:rsid w:val="00073E97"/>
    <w:rsid w:val="00073EE9"/>
    <w:rsid w:val="00073F3C"/>
    <w:rsid w:val="000742E6"/>
    <w:rsid w:val="0007431C"/>
    <w:rsid w:val="0007437D"/>
    <w:rsid w:val="0007490C"/>
    <w:rsid w:val="00074922"/>
    <w:rsid w:val="00074A4A"/>
    <w:rsid w:val="00075455"/>
    <w:rsid w:val="000754C6"/>
    <w:rsid w:val="0007570E"/>
    <w:rsid w:val="00075739"/>
    <w:rsid w:val="000757C4"/>
    <w:rsid w:val="00075CCF"/>
    <w:rsid w:val="00075EEA"/>
    <w:rsid w:val="00075F26"/>
    <w:rsid w:val="0007600B"/>
    <w:rsid w:val="00076286"/>
    <w:rsid w:val="00076385"/>
    <w:rsid w:val="00076441"/>
    <w:rsid w:val="000765E1"/>
    <w:rsid w:val="000768B2"/>
    <w:rsid w:val="000768CF"/>
    <w:rsid w:val="00076967"/>
    <w:rsid w:val="00076ABC"/>
    <w:rsid w:val="00076B11"/>
    <w:rsid w:val="0007704D"/>
    <w:rsid w:val="0007710A"/>
    <w:rsid w:val="000771F2"/>
    <w:rsid w:val="00077678"/>
    <w:rsid w:val="00077E04"/>
    <w:rsid w:val="00077FA0"/>
    <w:rsid w:val="00080111"/>
    <w:rsid w:val="0008019B"/>
    <w:rsid w:val="000801CB"/>
    <w:rsid w:val="0008068D"/>
    <w:rsid w:val="00080713"/>
    <w:rsid w:val="000807DD"/>
    <w:rsid w:val="000808AA"/>
    <w:rsid w:val="00080B60"/>
    <w:rsid w:val="00080B75"/>
    <w:rsid w:val="00080D99"/>
    <w:rsid w:val="00080E38"/>
    <w:rsid w:val="000813A4"/>
    <w:rsid w:val="0008161D"/>
    <w:rsid w:val="000818B3"/>
    <w:rsid w:val="0008194E"/>
    <w:rsid w:val="00081A0F"/>
    <w:rsid w:val="00081B82"/>
    <w:rsid w:val="00081D4E"/>
    <w:rsid w:val="00081DAC"/>
    <w:rsid w:val="00081DFA"/>
    <w:rsid w:val="00081F59"/>
    <w:rsid w:val="0008241A"/>
    <w:rsid w:val="0008272F"/>
    <w:rsid w:val="000827C7"/>
    <w:rsid w:val="00082C49"/>
    <w:rsid w:val="00082CD6"/>
    <w:rsid w:val="00082D36"/>
    <w:rsid w:val="00082D44"/>
    <w:rsid w:val="00082E9C"/>
    <w:rsid w:val="00082F0D"/>
    <w:rsid w:val="00082FAD"/>
    <w:rsid w:val="00083429"/>
    <w:rsid w:val="000838F1"/>
    <w:rsid w:val="00083A09"/>
    <w:rsid w:val="00083E3F"/>
    <w:rsid w:val="00083ECA"/>
    <w:rsid w:val="000841AE"/>
    <w:rsid w:val="00084295"/>
    <w:rsid w:val="00084338"/>
    <w:rsid w:val="00084504"/>
    <w:rsid w:val="0008475D"/>
    <w:rsid w:val="00084883"/>
    <w:rsid w:val="00084915"/>
    <w:rsid w:val="00084BC2"/>
    <w:rsid w:val="00084BF2"/>
    <w:rsid w:val="00084F36"/>
    <w:rsid w:val="000850D4"/>
    <w:rsid w:val="000850FE"/>
    <w:rsid w:val="000852A7"/>
    <w:rsid w:val="00085336"/>
    <w:rsid w:val="0008572D"/>
    <w:rsid w:val="0008582A"/>
    <w:rsid w:val="000858DE"/>
    <w:rsid w:val="00085951"/>
    <w:rsid w:val="00085A1C"/>
    <w:rsid w:val="00085A1F"/>
    <w:rsid w:val="00085A4D"/>
    <w:rsid w:val="00085B6F"/>
    <w:rsid w:val="00085C37"/>
    <w:rsid w:val="00085F71"/>
    <w:rsid w:val="00085F9D"/>
    <w:rsid w:val="00086115"/>
    <w:rsid w:val="000861A2"/>
    <w:rsid w:val="00086394"/>
    <w:rsid w:val="000863F4"/>
    <w:rsid w:val="00086426"/>
    <w:rsid w:val="00086677"/>
    <w:rsid w:val="00086749"/>
    <w:rsid w:val="0008695C"/>
    <w:rsid w:val="00086AE9"/>
    <w:rsid w:val="00086D85"/>
    <w:rsid w:val="00086F20"/>
    <w:rsid w:val="000870EF"/>
    <w:rsid w:val="00087133"/>
    <w:rsid w:val="000872A7"/>
    <w:rsid w:val="000872BB"/>
    <w:rsid w:val="00087522"/>
    <w:rsid w:val="000875FA"/>
    <w:rsid w:val="000877F3"/>
    <w:rsid w:val="0008793F"/>
    <w:rsid w:val="00087B98"/>
    <w:rsid w:val="00087C6A"/>
    <w:rsid w:val="00087E2A"/>
    <w:rsid w:val="0009017F"/>
    <w:rsid w:val="0009033D"/>
    <w:rsid w:val="00090485"/>
    <w:rsid w:val="000906E8"/>
    <w:rsid w:val="0009075B"/>
    <w:rsid w:val="00090866"/>
    <w:rsid w:val="0009098D"/>
    <w:rsid w:val="00090BA8"/>
    <w:rsid w:val="00090D10"/>
    <w:rsid w:val="00091127"/>
    <w:rsid w:val="0009114B"/>
    <w:rsid w:val="00091323"/>
    <w:rsid w:val="00091556"/>
    <w:rsid w:val="000915FE"/>
    <w:rsid w:val="00091750"/>
    <w:rsid w:val="00091A21"/>
    <w:rsid w:val="00091BF8"/>
    <w:rsid w:val="00091DBA"/>
    <w:rsid w:val="000921EE"/>
    <w:rsid w:val="00092576"/>
    <w:rsid w:val="00092674"/>
    <w:rsid w:val="0009287A"/>
    <w:rsid w:val="0009298E"/>
    <w:rsid w:val="00092E3B"/>
    <w:rsid w:val="00092F04"/>
    <w:rsid w:val="00092FFE"/>
    <w:rsid w:val="00093174"/>
    <w:rsid w:val="000931F3"/>
    <w:rsid w:val="000935DA"/>
    <w:rsid w:val="00093D89"/>
    <w:rsid w:val="00093D99"/>
    <w:rsid w:val="00093DCC"/>
    <w:rsid w:val="00093ECA"/>
    <w:rsid w:val="00094155"/>
    <w:rsid w:val="00094181"/>
    <w:rsid w:val="00094269"/>
    <w:rsid w:val="00094395"/>
    <w:rsid w:val="000943A3"/>
    <w:rsid w:val="0009446A"/>
    <w:rsid w:val="0009460D"/>
    <w:rsid w:val="0009491D"/>
    <w:rsid w:val="00094E4D"/>
    <w:rsid w:val="00095041"/>
    <w:rsid w:val="00095098"/>
    <w:rsid w:val="000950D1"/>
    <w:rsid w:val="000951A1"/>
    <w:rsid w:val="00095480"/>
    <w:rsid w:val="000954BD"/>
    <w:rsid w:val="00095585"/>
    <w:rsid w:val="0009564F"/>
    <w:rsid w:val="00095954"/>
    <w:rsid w:val="000959E4"/>
    <w:rsid w:val="00095C0A"/>
    <w:rsid w:val="00095C39"/>
    <w:rsid w:val="00095C6E"/>
    <w:rsid w:val="00095D25"/>
    <w:rsid w:val="0009621E"/>
    <w:rsid w:val="00096234"/>
    <w:rsid w:val="000962DC"/>
    <w:rsid w:val="00096471"/>
    <w:rsid w:val="000964E5"/>
    <w:rsid w:val="000964E6"/>
    <w:rsid w:val="00096584"/>
    <w:rsid w:val="0009667C"/>
    <w:rsid w:val="000966B2"/>
    <w:rsid w:val="00096A5F"/>
    <w:rsid w:val="00096C05"/>
    <w:rsid w:val="00096FD6"/>
    <w:rsid w:val="000972A4"/>
    <w:rsid w:val="000972BF"/>
    <w:rsid w:val="00097379"/>
    <w:rsid w:val="000975E2"/>
    <w:rsid w:val="000979FA"/>
    <w:rsid w:val="00097A74"/>
    <w:rsid w:val="00097A8D"/>
    <w:rsid w:val="00097E07"/>
    <w:rsid w:val="000A00C1"/>
    <w:rsid w:val="000A0287"/>
    <w:rsid w:val="000A0302"/>
    <w:rsid w:val="000A03B5"/>
    <w:rsid w:val="000A0448"/>
    <w:rsid w:val="000A0853"/>
    <w:rsid w:val="000A091C"/>
    <w:rsid w:val="000A0B40"/>
    <w:rsid w:val="000A0B76"/>
    <w:rsid w:val="000A0CE3"/>
    <w:rsid w:val="000A103E"/>
    <w:rsid w:val="000A1379"/>
    <w:rsid w:val="000A14D0"/>
    <w:rsid w:val="000A15B0"/>
    <w:rsid w:val="000A15E6"/>
    <w:rsid w:val="000A1604"/>
    <w:rsid w:val="000A1648"/>
    <w:rsid w:val="000A16A8"/>
    <w:rsid w:val="000A1803"/>
    <w:rsid w:val="000A1A36"/>
    <w:rsid w:val="000A1A79"/>
    <w:rsid w:val="000A1AAB"/>
    <w:rsid w:val="000A20E3"/>
    <w:rsid w:val="000A2278"/>
    <w:rsid w:val="000A2452"/>
    <w:rsid w:val="000A2551"/>
    <w:rsid w:val="000A256B"/>
    <w:rsid w:val="000A2708"/>
    <w:rsid w:val="000A28AC"/>
    <w:rsid w:val="000A292E"/>
    <w:rsid w:val="000A2A9D"/>
    <w:rsid w:val="000A2D35"/>
    <w:rsid w:val="000A2D94"/>
    <w:rsid w:val="000A2E09"/>
    <w:rsid w:val="000A2E44"/>
    <w:rsid w:val="000A2E6B"/>
    <w:rsid w:val="000A2F8D"/>
    <w:rsid w:val="000A3167"/>
    <w:rsid w:val="000A31CA"/>
    <w:rsid w:val="000A328C"/>
    <w:rsid w:val="000A3709"/>
    <w:rsid w:val="000A38FB"/>
    <w:rsid w:val="000A393C"/>
    <w:rsid w:val="000A3AA9"/>
    <w:rsid w:val="000A3C09"/>
    <w:rsid w:val="000A3C73"/>
    <w:rsid w:val="000A4255"/>
    <w:rsid w:val="000A42F9"/>
    <w:rsid w:val="000A43A6"/>
    <w:rsid w:val="000A43AB"/>
    <w:rsid w:val="000A4589"/>
    <w:rsid w:val="000A482E"/>
    <w:rsid w:val="000A488D"/>
    <w:rsid w:val="000A4B22"/>
    <w:rsid w:val="000A503B"/>
    <w:rsid w:val="000A50BA"/>
    <w:rsid w:val="000A51EA"/>
    <w:rsid w:val="000A55AF"/>
    <w:rsid w:val="000A55DE"/>
    <w:rsid w:val="000A56FF"/>
    <w:rsid w:val="000A57C9"/>
    <w:rsid w:val="000A58E3"/>
    <w:rsid w:val="000A5953"/>
    <w:rsid w:val="000A59D6"/>
    <w:rsid w:val="000A5E35"/>
    <w:rsid w:val="000A6116"/>
    <w:rsid w:val="000A62F6"/>
    <w:rsid w:val="000A62FB"/>
    <w:rsid w:val="000A63F1"/>
    <w:rsid w:val="000A644B"/>
    <w:rsid w:val="000A64EA"/>
    <w:rsid w:val="000A65F6"/>
    <w:rsid w:val="000A685C"/>
    <w:rsid w:val="000A695A"/>
    <w:rsid w:val="000A69B9"/>
    <w:rsid w:val="000A69BB"/>
    <w:rsid w:val="000A6E79"/>
    <w:rsid w:val="000A7490"/>
    <w:rsid w:val="000A7752"/>
    <w:rsid w:val="000A776B"/>
    <w:rsid w:val="000A77E6"/>
    <w:rsid w:val="000A7889"/>
    <w:rsid w:val="000A7AAB"/>
    <w:rsid w:val="000A7AE4"/>
    <w:rsid w:val="000A7CA0"/>
    <w:rsid w:val="000A7D71"/>
    <w:rsid w:val="000A7F59"/>
    <w:rsid w:val="000B021F"/>
    <w:rsid w:val="000B04DD"/>
    <w:rsid w:val="000B0669"/>
    <w:rsid w:val="000B07A0"/>
    <w:rsid w:val="000B0A97"/>
    <w:rsid w:val="000B0C15"/>
    <w:rsid w:val="000B0F11"/>
    <w:rsid w:val="000B0F53"/>
    <w:rsid w:val="000B0F75"/>
    <w:rsid w:val="000B1126"/>
    <w:rsid w:val="000B131E"/>
    <w:rsid w:val="000B149C"/>
    <w:rsid w:val="000B1578"/>
    <w:rsid w:val="000B15C7"/>
    <w:rsid w:val="000B15D2"/>
    <w:rsid w:val="000B1613"/>
    <w:rsid w:val="000B1722"/>
    <w:rsid w:val="000B173A"/>
    <w:rsid w:val="000B1875"/>
    <w:rsid w:val="000B1A3E"/>
    <w:rsid w:val="000B1D1B"/>
    <w:rsid w:val="000B1EF2"/>
    <w:rsid w:val="000B229A"/>
    <w:rsid w:val="000B230C"/>
    <w:rsid w:val="000B2334"/>
    <w:rsid w:val="000B234D"/>
    <w:rsid w:val="000B238C"/>
    <w:rsid w:val="000B2547"/>
    <w:rsid w:val="000B2570"/>
    <w:rsid w:val="000B25DD"/>
    <w:rsid w:val="000B27AF"/>
    <w:rsid w:val="000B2877"/>
    <w:rsid w:val="000B2AC5"/>
    <w:rsid w:val="000B2BD0"/>
    <w:rsid w:val="000B2CC7"/>
    <w:rsid w:val="000B2EA8"/>
    <w:rsid w:val="000B300C"/>
    <w:rsid w:val="000B30D5"/>
    <w:rsid w:val="000B31E3"/>
    <w:rsid w:val="000B33C7"/>
    <w:rsid w:val="000B34C1"/>
    <w:rsid w:val="000B3566"/>
    <w:rsid w:val="000B3703"/>
    <w:rsid w:val="000B37BA"/>
    <w:rsid w:val="000B3B30"/>
    <w:rsid w:val="000B3B9E"/>
    <w:rsid w:val="000B3CC1"/>
    <w:rsid w:val="000B3EA1"/>
    <w:rsid w:val="000B3F13"/>
    <w:rsid w:val="000B4038"/>
    <w:rsid w:val="000B4079"/>
    <w:rsid w:val="000B40E9"/>
    <w:rsid w:val="000B4451"/>
    <w:rsid w:val="000B46DD"/>
    <w:rsid w:val="000B4838"/>
    <w:rsid w:val="000B49FC"/>
    <w:rsid w:val="000B4D39"/>
    <w:rsid w:val="000B505E"/>
    <w:rsid w:val="000B52E8"/>
    <w:rsid w:val="000B532B"/>
    <w:rsid w:val="000B5404"/>
    <w:rsid w:val="000B548E"/>
    <w:rsid w:val="000B559F"/>
    <w:rsid w:val="000B5726"/>
    <w:rsid w:val="000B573B"/>
    <w:rsid w:val="000B5905"/>
    <w:rsid w:val="000B5B2A"/>
    <w:rsid w:val="000B5D33"/>
    <w:rsid w:val="000B5D9D"/>
    <w:rsid w:val="000B5FF9"/>
    <w:rsid w:val="000B6093"/>
    <w:rsid w:val="000B6224"/>
    <w:rsid w:val="000B633B"/>
    <w:rsid w:val="000B6351"/>
    <w:rsid w:val="000B637B"/>
    <w:rsid w:val="000B6423"/>
    <w:rsid w:val="000B677F"/>
    <w:rsid w:val="000B6A6E"/>
    <w:rsid w:val="000B6A94"/>
    <w:rsid w:val="000B6B78"/>
    <w:rsid w:val="000B6BF8"/>
    <w:rsid w:val="000B6C36"/>
    <w:rsid w:val="000B6C49"/>
    <w:rsid w:val="000B6C6A"/>
    <w:rsid w:val="000B6D09"/>
    <w:rsid w:val="000B6E90"/>
    <w:rsid w:val="000B6EF0"/>
    <w:rsid w:val="000B706E"/>
    <w:rsid w:val="000B70C5"/>
    <w:rsid w:val="000B71A1"/>
    <w:rsid w:val="000B71B1"/>
    <w:rsid w:val="000B7223"/>
    <w:rsid w:val="000B73F7"/>
    <w:rsid w:val="000B7906"/>
    <w:rsid w:val="000B7B2E"/>
    <w:rsid w:val="000B7D66"/>
    <w:rsid w:val="000B7DB2"/>
    <w:rsid w:val="000B7F20"/>
    <w:rsid w:val="000C01C5"/>
    <w:rsid w:val="000C021E"/>
    <w:rsid w:val="000C024B"/>
    <w:rsid w:val="000C0398"/>
    <w:rsid w:val="000C0572"/>
    <w:rsid w:val="000C0996"/>
    <w:rsid w:val="000C0A79"/>
    <w:rsid w:val="000C0CFC"/>
    <w:rsid w:val="000C0E91"/>
    <w:rsid w:val="000C1160"/>
    <w:rsid w:val="000C15A4"/>
    <w:rsid w:val="000C17EE"/>
    <w:rsid w:val="000C186E"/>
    <w:rsid w:val="000C1990"/>
    <w:rsid w:val="000C1A99"/>
    <w:rsid w:val="000C1B75"/>
    <w:rsid w:val="000C1C1C"/>
    <w:rsid w:val="000C1E52"/>
    <w:rsid w:val="000C2089"/>
    <w:rsid w:val="000C2299"/>
    <w:rsid w:val="000C2464"/>
    <w:rsid w:val="000C2578"/>
    <w:rsid w:val="000C25A5"/>
    <w:rsid w:val="000C28B2"/>
    <w:rsid w:val="000C29BF"/>
    <w:rsid w:val="000C2BA2"/>
    <w:rsid w:val="000C2EB6"/>
    <w:rsid w:val="000C2EE0"/>
    <w:rsid w:val="000C3097"/>
    <w:rsid w:val="000C30DE"/>
    <w:rsid w:val="000C31C5"/>
    <w:rsid w:val="000C33C4"/>
    <w:rsid w:val="000C34D5"/>
    <w:rsid w:val="000C3563"/>
    <w:rsid w:val="000C3587"/>
    <w:rsid w:val="000C3600"/>
    <w:rsid w:val="000C378D"/>
    <w:rsid w:val="000C37CE"/>
    <w:rsid w:val="000C38E7"/>
    <w:rsid w:val="000C3B3F"/>
    <w:rsid w:val="000C3BA1"/>
    <w:rsid w:val="000C3DA7"/>
    <w:rsid w:val="000C3FC3"/>
    <w:rsid w:val="000C4052"/>
    <w:rsid w:val="000C4288"/>
    <w:rsid w:val="000C42D5"/>
    <w:rsid w:val="000C4408"/>
    <w:rsid w:val="000C44E0"/>
    <w:rsid w:val="000C460B"/>
    <w:rsid w:val="000C46ED"/>
    <w:rsid w:val="000C4783"/>
    <w:rsid w:val="000C4C0A"/>
    <w:rsid w:val="000C4D30"/>
    <w:rsid w:val="000C4D96"/>
    <w:rsid w:val="000C5097"/>
    <w:rsid w:val="000C51DA"/>
    <w:rsid w:val="000C520D"/>
    <w:rsid w:val="000C5309"/>
    <w:rsid w:val="000C53E3"/>
    <w:rsid w:val="000C58FE"/>
    <w:rsid w:val="000C5AA8"/>
    <w:rsid w:val="000C5C2C"/>
    <w:rsid w:val="000C5D11"/>
    <w:rsid w:val="000C5DAB"/>
    <w:rsid w:val="000C5E81"/>
    <w:rsid w:val="000C5FE9"/>
    <w:rsid w:val="000C61CA"/>
    <w:rsid w:val="000C6439"/>
    <w:rsid w:val="000C64EC"/>
    <w:rsid w:val="000C673A"/>
    <w:rsid w:val="000C6939"/>
    <w:rsid w:val="000C6A0B"/>
    <w:rsid w:val="000C6B75"/>
    <w:rsid w:val="000C6EC2"/>
    <w:rsid w:val="000C7246"/>
    <w:rsid w:val="000C72FC"/>
    <w:rsid w:val="000C73D6"/>
    <w:rsid w:val="000C745E"/>
    <w:rsid w:val="000C77C1"/>
    <w:rsid w:val="000C78FC"/>
    <w:rsid w:val="000C79E4"/>
    <w:rsid w:val="000C7D6C"/>
    <w:rsid w:val="000C7E83"/>
    <w:rsid w:val="000D0142"/>
    <w:rsid w:val="000D0149"/>
    <w:rsid w:val="000D0221"/>
    <w:rsid w:val="000D0289"/>
    <w:rsid w:val="000D02EC"/>
    <w:rsid w:val="000D055A"/>
    <w:rsid w:val="000D0579"/>
    <w:rsid w:val="000D06CC"/>
    <w:rsid w:val="000D0AAD"/>
    <w:rsid w:val="000D0D84"/>
    <w:rsid w:val="000D0F74"/>
    <w:rsid w:val="000D10AB"/>
    <w:rsid w:val="000D1148"/>
    <w:rsid w:val="000D125A"/>
    <w:rsid w:val="000D1365"/>
    <w:rsid w:val="000D140A"/>
    <w:rsid w:val="000D14A1"/>
    <w:rsid w:val="000D157E"/>
    <w:rsid w:val="000D15C2"/>
    <w:rsid w:val="000D18DE"/>
    <w:rsid w:val="000D1BD3"/>
    <w:rsid w:val="000D1C25"/>
    <w:rsid w:val="000D1C8E"/>
    <w:rsid w:val="000D1D59"/>
    <w:rsid w:val="000D1F28"/>
    <w:rsid w:val="000D205C"/>
    <w:rsid w:val="000D22AB"/>
    <w:rsid w:val="000D25EA"/>
    <w:rsid w:val="000D2657"/>
    <w:rsid w:val="000D28CF"/>
    <w:rsid w:val="000D2973"/>
    <w:rsid w:val="000D2AA7"/>
    <w:rsid w:val="000D2AC1"/>
    <w:rsid w:val="000D2ACD"/>
    <w:rsid w:val="000D2FB5"/>
    <w:rsid w:val="000D3165"/>
    <w:rsid w:val="000D31B0"/>
    <w:rsid w:val="000D3448"/>
    <w:rsid w:val="000D3BF2"/>
    <w:rsid w:val="000D3CA1"/>
    <w:rsid w:val="000D3D4D"/>
    <w:rsid w:val="000D3E52"/>
    <w:rsid w:val="000D3F00"/>
    <w:rsid w:val="000D4018"/>
    <w:rsid w:val="000D427C"/>
    <w:rsid w:val="000D42C7"/>
    <w:rsid w:val="000D446E"/>
    <w:rsid w:val="000D456C"/>
    <w:rsid w:val="000D4830"/>
    <w:rsid w:val="000D4842"/>
    <w:rsid w:val="000D4922"/>
    <w:rsid w:val="000D4C3F"/>
    <w:rsid w:val="000D4D55"/>
    <w:rsid w:val="000D4F19"/>
    <w:rsid w:val="000D505F"/>
    <w:rsid w:val="000D527C"/>
    <w:rsid w:val="000D534B"/>
    <w:rsid w:val="000D549E"/>
    <w:rsid w:val="000D58B9"/>
    <w:rsid w:val="000D5927"/>
    <w:rsid w:val="000D5D45"/>
    <w:rsid w:val="000D5E01"/>
    <w:rsid w:val="000D5EB6"/>
    <w:rsid w:val="000D6137"/>
    <w:rsid w:val="000D616D"/>
    <w:rsid w:val="000D6193"/>
    <w:rsid w:val="000D6198"/>
    <w:rsid w:val="000D62BB"/>
    <w:rsid w:val="000D648A"/>
    <w:rsid w:val="000D665E"/>
    <w:rsid w:val="000D6742"/>
    <w:rsid w:val="000D67CA"/>
    <w:rsid w:val="000D697A"/>
    <w:rsid w:val="000D7017"/>
    <w:rsid w:val="000D73A2"/>
    <w:rsid w:val="000D7501"/>
    <w:rsid w:val="000D79E2"/>
    <w:rsid w:val="000D7A5C"/>
    <w:rsid w:val="000D7CCF"/>
    <w:rsid w:val="000D7D21"/>
    <w:rsid w:val="000D7DA9"/>
    <w:rsid w:val="000D7FFE"/>
    <w:rsid w:val="000E01CD"/>
    <w:rsid w:val="000E0212"/>
    <w:rsid w:val="000E02EA"/>
    <w:rsid w:val="000E02ED"/>
    <w:rsid w:val="000E0623"/>
    <w:rsid w:val="000E0801"/>
    <w:rsid w:val="000E0F59"/>
    <w:rsid w:val="000E1095"/>
    <w:rsid w:val="000E11A1"/>
    <w:rsid w:val="000E13AC"/>
    <w:rsid w:val="000E1465"/>
    <w:rsid w:val="000E1523"/>
    <w:rsid w:val="000E162F"/>
    <w:rsid w:val="000E1BF4"/>
    <w:rsid w:val="000E2242"/>
    <w:rsid w:val="000E2398"/>
    <w:rsid w:val="000E239F"/>
    <w:rsid w:val="000E23F0"/>
    <w:rsid w:val="000E25C9"/>
    <w:rsid w:val="000E2B4C"/>
    <w:rsid w:val="000E2D0C"/>
    <w:rsid w:val="000E2DB5"/>
    <w:rsid w:val="000E2FB7"/>
    <w:rsid w:val="000E2FF9"/>
    <w:rsid w:val="000E33A7"/>
    <w:rsid w:val="000E361D"/>
    <w:rsid w:val="000E3899"/>
    <w:rsid w:val="000E3A57"/>
    <w:rsid w:val="000E3F07"/>
    <w:rsid w:val="000E4086"/>
    <w:rsid w:val="000E43E1"/>
    <w:rsid w:val="000E440A"/>
    <w:rsid w:val="000E4469"/>
    <w:rsid w:val="000E4486"/>
    <w:rsid w:val="000E4687"/>
    <w:rsid w:val="000E475A"/>
    <w:rsid w:val="000E4AA7"/>
    <w:rsid w:val="000E4F8F"/>
    <w:rsid w:val="000E50E2"/>
    <w:rsid w:val="000E5426"/>
    <w:rsid w:val="000E5431"/>
    <w:rsid w:val="000E57E1"/>
    <w:rsid w:val="000E5832"/>
    <w:rsid w:val="000E5AFD"/>
    <w:rsid w:val="000E5D71"/>
    <w:rsid w:val="000E5EEC"/>
    <w:rsid w:val="000E642F"/>
    <w:rsid w:val="000E647A"/>
    <w:rsid w:val="000E67E3"/>
    <w:rsid w:val="000E686B"/>
    <w:rsid w:val="000E6C8B"/>
    <w:rsid w:val="000E6DD1"/>
    <w:rsid w:val="000E6E1E"/>
    <w:rsid w:val="000E6E86"/>
    <w:rsid w:val="000E6FA7"/>
    <w:rsid w:val="000E6FF2"/>
    <w:rsid w:val="000E7137"/>
    <w:rsid w:val="000E737D"/>
    <w:rsid w:val="000E73DB"/>
    <w:rsid w:val="000E74AC"/>
    <w:rsid w:val="000E7524"/>
    <w:rsid w:val="000E75FA"/>
    <w:rsid w:val="000E7829"/>
    <w:rsid w:val="000E787C"/>
    <w:rsid w:val="000E79A5"/>
    <w:rsid w:val="000E79D5"/>
    <w:rsid w:val="000F0003"/>
    <w:rsid w:val="000F0028"/>
    <w:rsid w:val="000F0049"/>
    <w:rsid w:val="000F00E8"/>
    <w:rsid w:val="000F0105"/>
    <w:rsid w:val="000F0281"/>
    <w:rsid w:val="000F0282"/>
    <w:rsid w:val="000F040B"/>
    <w:rsid w:val="000F0417"/>
    <w:rsid w:val="000F0499"/>
    <w:rsid w:val="000F08DE"/>
    <w:rsid w:val="000F099F"/>
    <w:rsid w:val="000F0A0B"/>
    <w:rsid w:val="000F0D1D"/>
    <w:rsid w:val="000F0DB9"/>
    <w:rsid w:val="000F0E5C"/>
    <w:rsid w:val="000F1280"/>
    <w:rsid w:val="000F1317"/>
    <w:rsid w:val="000F15E5"/>
    <w:rsid w:val="000F1AD6"/>
    <w:rsid w:val="000F1C03"/>
    <w:rsid w:val="000F1CB3"/>
    <w:rsid w:val="000F1CF8"/>
    <w:rsid w:val="000F1DFC"/>
    <w:rsid w:val="000F2211"/>
    <w:rsid w:val="000F2249"/>
    <w:rsid w:val="000F23AD"/>
    <w:rsid w:val="000F23CD"/>
    <w:rsid w:val="000F2521"/>
    <w:rsid w:val="000F26F9"/>
    <w:rsid w:val="000F2955"/>
    <w:rsid w:val="000F2C03"/>
    <w:rsid w:val="000F2CDC"/>
    <w:rsid w:val="000F3623"/>
    <w:rsid w:val="000F3B4D"/>
    <w:rsid w:val="000F3F1E"/>
    <w:rsid w:val="000F43A9"/>
    <w:rsid w:val="000F45D0"/>
    <w:rsid w:val="000F4697"/>
    <w:rsid w:val="000F4A21"/>
    <w:rsid w:val="000F4BE8"/>
    <w:rsid w:val="000F4E98"/>
    <w:rsid w:val="000F5233"/>
    <w:rsid w:val="000F52E6"/>
    <w:rsid w:val="000F538F"/>
    <w:rsid w:val="000F5534"/>
    <w:rsid w:val="000F55AB"/>
    <w:rsid w:val="000F598D"/>
    <w:rsid w:val="000F5A1F"/>
    <w:rsid w:val="000F5E3D"/>
    <w:rsid w:val="000F5F58"/>
    <w:rsid w:val="000F6021"/>
    <w:rsid w:val="000F60AF"/>
    <w:rsid w:val="000F61E6"/>
    <w:rsid w:val="000F6256"/>
    <w:rsid w:val="000F6561"/>
    <w:rsid w:val="000F668F"/>
    <w:rsid w:val="000F69D2"/>
    <w:rsid w:val="000F6C11"/>
    <w:rsid w:val="000F6DED"/>
    <w:rsid w:val="000F71A0"/>
    <w:rsid w:val="000F76BF"/>
    <w:rsid w:val="000F7948"/>
    <w:rsid w:val="000F79D8"/>
    <w:rsid w:val="000F7C8B"/>
    <w:rsid w:val="0010017B"/>
    <w:rsid w:val="0010034F"/>
    <w:rsid w:val="001004C1"/>
    <w:rsid w:val="001007B8"/>
    <w:rsid w:val="0010083E"/>
    <w:rsid w:val="001008B5"/>
    <w:rsid w:val="00100DE2"/>
    <w:rsid w:val="00101214"/>
    <w:rsid w:val="0010143E"/>
    <w:rsid w:val="00101528"/>
    <w:rsid w:val="00101841"/>
    <w:rsid w:val="00101A5E"/>
    <w:rsid w:val="00101CB2"/>
    <w:rsid w:val="00101EAA"/>
    <w:rsid w:val="001022A6"/>
    <w:rsid w:val="0010235E"/>
    <w:rsid w:val="00102375"/>
    <w:rsid w:val="00102469"/>
    <w:rsid w:val="001024B2"/>
    <w:rsid w:val="0010277B"/>
    <w:rsid w:val="0010316B"/>
    <w:rsid w:val="0010340D"/>
    <w:rsid w:val="0010377D"/>
    <w:rsid w:val="00103AEF"/>
    <w:rsid w:val="00103C01"/>
    <w:rsid w:val="00103EFF"/>
    <w:rsid w:val="00104048"/>
    <w:rsid w:val="0010405D"/>
    <w:rsid w:val="00104210"/>
    <w:rsid w:val="001043D4"/>
    <w:rsid w:val="0010448C"/>
    <w:rsid w:val="00104825"/>
    <w:rsid w:val="00104973"/>
    <w:rsid w:val="00104AFE"/>
    <w:rsid w:val="00104D00"/>
    <w:rsid w:val="00104F5D"/>
    <w:rsid w:val="00104F6E"/>
    <w:rsid w:val="00105019"/>
    <w:rsid w:val="00105186"/>
    <w:rsid w:val="00105342"/>
    <w:rsid w:val="00105403"/>
    <w:rsid w:val="001054BA"/>
    <w:rsid w:val="00105682"/>
    <w:rsid w:val="001056AE"/>
    <w:rsid w:val="0010573D"/>
    <w:rsid w:val="0010575A"/>
    <w:rsid w:val="00105CD0"/>
    <w:rsid w:val="00105DC7"/>
    <w:rsid w:val="001065AA"/>
    <w:rsid w:val="0010690C"/>
    <w:rsid w:val="00106E00"/>
    <w:rsid w:val="00106F7F"/>
    <w:rsid w:val="00107299"/>
    <w:rsid w:val="001074AE"/>
    <w:rsid w:val="00107738"/>
    <w:rsid w:val="00107887"/>
    <w:rsid w:val="001078AA"/>
    <w:rsid w:val="0010794A"/>
    <w:rsid w:val="00107AEF"/>
    <w:rsid w:val="00107BA3"/>
    <w:rsid w:val="00107BAF"/>
    <w:rsid w:val="00107D35"/>
    <w:rsid w:val="00107DCD"/>
    <w:rsid w:val="00107F79"/>
    <w:rsid w:val="001100CB"/>
    <w:rsid w:val="00110164"/>
    <w:rsid w:val="001102A1"/>
    <w:rsid w:val="001102E3"/>
    <w:rsid w:val="001104DE"/>
    <w:rsid w:val="001105EF"/>
    <w:rsid w:val="00110618"/>
    <w:rsid w:val="00110708"/>
    <w:rsid w:val="0011075C"/>
    <w:rsid w:val="00110A63"/>
    <w:rsid w:val="00110AF8"/>
    <w:rsid w:val="00110B55"/>
    <w:rsid w:val="00110E38"/>
    <w:rsid w:val="00110ED4"/>
    <w:rsid w:val="001110D6"/>
    <w:rsid w:val="001110EE"/>
    <w:rsid w:val="001112A0"/>
    <w:rsid w:val="0011157F"/>
    <w:rsid w:val="001117DE"/>
    <w:rsid w:val="00111804"/>
    <w:rsid w:val="001119EB"/>
    <w:rsid w:val="001120EA"/>
    <w:rsid w:val="001120F1"/>
    <w:rsid w:val="00112137"/>
    <w:rsid w:val="00112363"/>
    <w:rsid w:val="001123B0"/>
    <w:rsid w:val="001123DA"/>
    <w:rsid w:val="00112424"/>
    <w:rsid w:val="00112500"/>
    <w:rsid w:val="001128D2"/>
    <w:rsid w:val="00112B2C"/>
    <w:rsid w:val="00112FD9"/>
    <w:rsid w:val="00113269"/>
    <w:rsid w:val="00113446"/>
    <w:rsid w:val="00113473"/>
    <w:rsid w:val="001137F6"/>
    <w:rsid w:val="0011383A"/>
    <w:rsid w:val="00113C89"/>
    <w:rsid w:val="00113F91"/>
    <w:rsid w:val="00113FE9"/>
    <w:rsid w:val="001141D6"/>
    <w:rsid w:val="00114288"/>
    <w:rsid w:val="00114481"/>
    <w:rsid w:val="001147A2"/>
    <w:rsid w:val="0011490A"/>
    <w:rsid w:val="00114A25"/>
    <w:rsid w:val="00114B27"/>
    <w:rsid w:val="00114D95"/>
    <w:rsid w:val="00115150"/>
    <w:rsid w:val="0011543C"/>
    <w:rsid w:val="001155A3"/>
    <w:rsid w:val="001155CB"/>
    <w:rsid w:val="0011576F"/>
    <w:rsid w:val="001158F6"/>
    <w:rsid w:val="00115EB8"/>
    <w:rsid w:val="00116236"/>
    <w:rsid w:val="001162A0"/>
    <w:rsid w:val="0011643B"/>
    <w:rsid w:val="00116562"/>
    <w:rsid w:val="001166F8"/>
    <w:rsid w:val="001167B5"/>
    <w:rsid w:val="00116845"/>
    <w:rsid w:val="00116B7D"/>
    <w:rsid w:val="00116BDE"/>
    <w:rsid w:val="00116FBE"/>
    <w:rsid w:val="0011703B"/>
    <w:rsid w:val="0011725D"/>
    <w:rsid w:val="00117288"/>
    <w:rsid w:val="001173C7"/>
    <w:rsid w:val="00117730"/>
    <w:rsid w:val="00117995"/>
    <w:rsid w:val="00117DE2"/>
    <w:rsid w:val="00117ECB"/>
    <w:rsid w:val="00117FF4"/>
    <w:rsid w:val="0012024F"/>
    <w:rsid w:val="001203CA"/>
    <w:rsid w:val="00120544"/>
    <w:rsid w:val="001207E0"/>
    <w:rsid w:val="00120853"/>
    <w:rsid w:val="00120C25"/>
    <w:rsid w:val="00120D48"/>
    <w:rsid w:val="00120F6E"/>
    <w:rsid w:val="0012116D"/>
    <w:rsid w:val="0012161E"/>
    <w:rsid w:val="001217E0"/>
    <w:rsid w:val="0012183E"/>
    <w:rsid w:val="0012193B"/>
    <w:rsid w:val="00121948"/>
    <w:rsid w:val="0012194D"/>
    <w:rsid w:val="00121B4B"/>
    <w:rsid w:val="00121C02"/>
    <w:rsid w:val="00121CE1"/>
    <w:rsid w:val="00121D7D"/>
    <w:rsid w:val="00121F64"/>
    <w:rsid w:val="001222B1"/>
    <w:rsid w:val="00122687"/>
    <w:rsid w:val="0012271C"/>
    <w:rsid w:val="00122852"/>
    <w:rsid w:val="001228CB"/>
    <w:rsid w:val="001229B1"/>
    <w:rsid w:val="00122AB2"/>
    <w:rsid w:val="00122B46"/>
    <w:rsid w:val="00122DD8"/>
    <w:rsid w:val="00122F0B"/>
    <w:rsid w:val="001233AB"/>
    <w:rsid w:val="00123722"/>
    <w:rsid w:val="001237D1"/>
    <w:rsid w:val="00123917"/>
    <w:rsid w:val="00123A02"/>
    <w:rsid w:val="00123ED9"/>
    <w:rsid w:val="00123FD4"/>
    <w:rsid w:val="001241FA"/>
    <w:rsid w:val="00124227"/>
    <w:rsid w:val="001245FB"/>
    <w:rsid w:val="001246AF"/>
    <w:rsid w:val="00124940"/>
    <w:rsid w:val="00124A7C"/>
    <w:rsid w:val="00124C28"/>
    <w:rsid w:val="0012541E"/>
    <w:rsid w:val="0012574F"/>
    <w:rsid w:val="001258BA"/>
    <w:rsid w:val="001258D5"/>
    <w:rsid w:val="00125908"/>
    <w:rsid w:val="00125B19"/>
    <w:rsid w:val="00125F1D"/>
    <w:rsid w:val="00126299"/>
    <w:rsid w:val="0012631E"/>
    <w:rsid w:val="001263D5"/>
    <w:rsid w:val="00126739"/>
    <w:rsid w:val="001269CB"/>
    <w:rsid w:val="00126C44"/>
    <w:rsid w:val="00126C4D"/>
    <w:rsid w:val="00126CA8"/>
    <w:rsid w:val="00126EB4"/>
    <w:rsid w:val="00126FAE"/>
    <w:rsid w:val="00127043"/>
    <w:rsid w:val="0012704B"/>
    <w:rsid w:val="0012709E"/>
    <w:rsid w:val="00127145"/>
    <w:rsid w:val="00127438"/>
    <w:rsid w:val="0012754D"/>
    <w:rsid w:val="0012767F"/>
    <w:rsid w:val="00127842"/>
    <w:rsid w:val="00127AF8"/>
    <w:rsid w:val="00127B50"/>
    <w:rsid w:val="00127BCE"/>
    <w:rsid w:val="00127C14"/>
    <w:rsid w:val="00127D01"/>
    <w:rsid w:val="0013002F"/>
    <w:rsid w:val="001301D4"/>
    <w:rsid w:val="0013052D"/>
    <w:rsid w:val="001307AD"/>
    <w:rsid w:val="00130DF3"/>
    <w:rsid w:val="0013100A"/>
    <w:rsid w:val="00131073"/>
    <w:rsid w:val="001311E2"/>
    <w:rsid w:val="001312E9"/>
    <w:rsid w:val="001313EF"/>
    <w:rsid w:val="001315E8"/>
    <w:rsid w:val="001315F8"/>
    <w:rsid w:val="00131975"/>
    <w:rsid w:val="00131A62"/>
    <w:rsid w:val="00131B25"/>
    <w:rsid w:val="00131B5B"/>
    <w:rsid w:val="00131BD9"/>
    <w:rsid w:val="00131CB3"/>
    <w:rsid w:val="00132230"/>
    <w:rsid w:val="00132244"/>
    <w:rsid w:val="0013226B"/>
    <w:rsid w:val="001322F1"/>
    <w:rsid w:val="001323CD"/>
    <w:rsid w:val="00132555"/>
    <w:rsid w:val="001327EA"/>
    <w:rsid w:val="00132CBA"/>
    <w:rsid w:val="00133048"/>
    <w:rsid w:val="001330FE"/>
    <w:rsid w:val="00133298"/>
    <w:rsid w:val="001332C5"/>
    <w:rsid w:val="0013335A"/>
    <w:rsid w:val="001333D1"/>
    <w:rsid w:val="001334B4"/>
    <w:rsid w:val="00133893"/>
    <w:rsid w:val="00133B60"/>
    <w:rsid w:val="00133B71"/>
    <w:rsid w:val="00133D9C"/>
    <w:rsid w:val="0013417A"/>
    <w:rsid w:val="001343A1"/>
    <w:rsid w:val="00134719"/>
    <w:rsid w:val="0013478E"/>
    <w:rsid w:val="00134B9C"/>
    <w:rsid w:val="00134CBA"/>
    <w:rsid w:val="00134D3F"/>
    <w:rsid w:val="0013506D"/>
    <w:rsid w:val="0013524B"/>
    <w:rsid w:val="00135270"/>
    <w:rsid w:val="00135492"/>
    <w:rsid w:val="00135AAD"/>
    <w:rsid w:val="00135C92"/>
    <w:rsid w:val="00135D35"/>
    <w:rsid w:val="00135DE8"/>
    <w:rsid w:val="00135E33"/>
    <w:rsid w:val="00135F05"/>
    <w:rsid w:val="0013606C"/>
    <w:rsid w:val="001360CF"/>
    <w:rsid w:val="00136117"/>
    <w:rsid w:val="00136136"/>
    <w:rsid w:val="00136169"/>
    <w:rsid w:val="00136549"/>
    <w:rsid w:val="001368E8"/>
    <w:rsid w:val="00136A81"/>
    <w:rsid w:val="00136B33"/>
    <w:rsid w:val="00136C86"/>
    <w:rsid w:val="00136CF6"/>
    <w:rsid w:val="00136E15"/>
    <w:rsid w:val="00137272"/>
    <w:rsid w:val="001372CA"/>
    <w:rsid w:val="001374E4"/>
    <w:rsid w:val="00137838"/>
    <w:rsid w:val="00137D56"/>
    <w:rsid w:val="00137D87"/>
    <w:rsid w:val="00137DA9"/>
    <w:rsid w:val="0014003B"/>
    <w:rsid w:val="0014039B"/>
    <w:rsid w:val="001406AF"/>
    <w:rsid w:val="00140886"/>
    <w:rsid w:val="00140C0C"/>
    <w:rsid w:val="00140D7C"/>
    <w:rsid w:val="00140DCA"/>
    <w:rsid w:val="00140EE1"/>
    <w:rsid w:val="00140FD3"/>
    <w:rsid w:val="001411BB"/>
    <w:rsid w:val="001412F8"/>
    <w:rsid w:val="001416F7"/>
    <w:rsid w:val="001418F7"/>
    <w:rsid w:val="00141934"/>
    <w:rsid w:val="00141A6B"/>
    <w:rsid w:val="00141C96"/>
    <w:rsid w:val="00141EF2"/>
    <w:rsid w:val="00142212"/>
    <w:rsid w:val="0014247E"/>
    <w:rsid w:val="001426DE"/>
    <w:rsid w:val="001427C8"/>
    <w:rsid w:val="00142A94"/>
    <w:rsid w:val="00142DE1"/>
    <w:rsid w:val="00142ECD"/>
    <w:rsid w:val="00143059"/>
    <w:rsid w:val="0014306C"/>
    <w:rsid w:val="0014333E"/>
    <w:rsid w:val="00143558"/>
    <w:rsid w:val="001436E9"/>
    <w:rsid w:val="00143848"/>
    <w:rsid w:val="001438DB"/>
    <w:rsid w:val="00143D3F"/>
    <w:rsid w:val="00143EE2"/>
    <w:rsid w:val="00143F7C"/>
    <w:rsid w:val="001440DA"/>
    <w:rsid w:val="00144229"/>
    <w:rsid w:val="00144556"/>
    <w:rsid w:val="0014455A"/>
    <w:rsid w:val="001445B2"/>
    <w:rsid w:val="001445C1"/>
    <w:rsid w:val="001445F9"/>
    <w:rsid w:val="00144862"/>
    <w:rsid w:val="001448FC"/>
    <w:rsid w:val="001449AD"/>
    <w:rsid w:val="001449EF"/>
    <w:rsid w:val="00144DD9"/>
    <w:rsid w:val="00144E64"/>
    <w:rsid w:val="00144F26"/>
    <w:rsid w:val="00144F50"/>
    <w:rsid w:val="00145079"/>
    <w:rsid w:val="00145385"/>
    <w:rsid w:val="0014543A"/>
    <w:rsid w:val="0014583C"/>
    <w:rsid w:val="001458A9"/>
    <w:rsid w:val="001459C7"/>
    <w:rsid w:val="00145A39"/>
    <w:rsid w:val="00145C59"/>
    <w:rsid w:val="00145C65"/>
    <w:rsid w:val="00145FB1"/>
    <w:rsid w:val="0014615D"/>
    <w:rsid w:val="00146317"/>
    <w:rsid w:val="00146368"/>
    <w:rsid w:val="001465A4"/>
    <w:rsid w:val="00146690"/>
    <w:rsid w:val="00146798"/>
    <w:rsid w:val="00146856"/>
    <w:rsid w:val="00146896"/>
    <w:rsid w:val="00146991"/>
    <w:rsid w:val="00146B6D"/>
    <w:rsid w:val="00146C0E"/>
    <w:rsid w:val="001470EB"/>
    <w:rsid w:val="0014711F"/>
    <w:rsid w:val="00147222"/>
    <w:rsid w:val="00147640"/>
    <w:rsid w:val="0014764C"/>
    <w:rsid w:val="0014788C"/>
    <w:rsid w:val="001478F6"/>
    <w:rsid w:val="0014799A"/>
    <w:rsid w:val="00147A7A"/>
    <w:rsid w:val="00147B1C"/>
    <w:rsid w:val="00147B78"/>
    <w:rsid w:val="00150257"/>
    <w:rsid w:val="001505DD"/>
    <w:rsid w:val="00150736"/>
    <w:rsid w:val="00150B41"/>
    <w:rsid w:val="00150C5E"/>
    <w:rsid w:val="00150F53"/>
    <w:rsid w:val="0015106D"/>
    <w:rsid w:val="00151087"/>
    <w:rsid w:val="00151269"/>
    <w:rsid w:val="0015155C"/>
    <w:rsid w:val="0015172D"/>
    <w:rsid w:val="00151782"/>
    <w:rsid w:val="001517B3"/>
    <w:rsid w:val="0015183B"/>
    <w:rsid w:val="0015184E"/>
    <w:rsid w:val="00151991"/>
    <w:rsid w:val="001519F9"/>
    <w:rsid w:val="00151A71"/>
    <w:rsid w:val="00151AA9"/>
    <w:rsid w:val="00151BD8"/>
    <w:rsid w:val="00151F01"/>
    <w:rsid w:val="00151F52"/>
    <w:rsid w:val="0015219B"/>
    <w:rsid w:val="001525A0"/>
    <w:rsid w:val="001527C0"/>
    <w:rsid w:val="0015280C"/>
    <w:rsid w:val="00152930"/>
    <w:rsid w:val="001529EF"/>
    <w:rsid w:val="00152A09"/>
    <w:rsid w:val="00152A2A"/>
    <w:rsid w:val="00152A42"/>
    <w:rsid w:val="00152D71"/>
    <w:rsid w:val="0015304E"/>
    <w:rsid w:val="001536B6"/>
    <w:rsid w:val="001538C4"/>
    <w:rsid w:val="00153B36"/>
    <w:rsid w:val="00153B56"/>
    <w:rsid w:val="00153B8E"/>
    <w:rsid w:val="00153C3B"/>
    <w:rsid w:val="00153C5A"/>
    <w:rsid w:val="00153C8C"/>
    <w:rsid w:val="00153C95"/>
    <w:rsid w:val="001542E1"/>
    <w:rsid w:val="00154EC4"/>
    <w:rsid w:val="00155170"/>
    <w:rsid w:val="001552F5"/>
    <w:rsid w:val="00155351"/>
    <w:rsid w:val="0015547B"/>
    <w:rsid w:val="001554B0"/>
    <w:rsid w:val="001559AF"/>
    <w:rsid w:val="00155B20"/>
    <w:rsid w:val="00155E23"/>
    <w:rsid w:val="001564A9"/>
    <w:rsid w:val="001569EB"/>
    <w:rsid w:val="00156BDE"/>
    <w:rsid w:val="00156BFB"/>
    <w:rsid w:val="00156CAB"/>
    <w:rsid w:val="00156E77"/>
    <w:rsid w:val="00156EB8"/>
    <w:rsid w:val="00156FFD"/>
    <w:rsid w:val="00157028"/>
    <w:rsid w:val="0015708F"/>
    <w:rsid w:val="00157602"/>
    <w:rsid w:val="0015765C"/>
    <w:rsid w:val="00157853"/>
    <w:rsid w:val="0015788E"/>
    <w:rsid w:val="001578A4"/>
    <w:rsid w:val="0015793D"/>
    <w:rsid w:val="00157B9D"/>
    <w:rsid w:val="00157CD9"/>
    <w:rsid w:val="00157E18"/>
    <w:rsid w:val="00157E2B"/>
    <w:rsid w:val="0016001A"/>
    <w:rsid w:val="00160615"/>
    <w:rsid w:val="001606B5"/>
    <w:rsid w:val="00160A60"/>
    <w:rsid w:val="00160C0D"/>
    <w:rsid w:val="00160F5D"/>
    <w:rsid w:val="00160F75"/>
    <w:rsid w:val="00160FF4"/>
    <w:rsid w:val="00160FF6"/>
    <w:rsid w:val="00161006"/>
    <w:rsid w:val="00161161"/>
    <w:rsid w:val="0016138C"/>
    <w:rsid w:val="001614DE"/>
    <w:rsid w:val="0016177A"/>
    <w:rsid w:val="001617A6"/>
    <w:rsid w:val="0016192A"/>
    <w:rsid w:val="001619D9"/>
    <w:rsid w:val="00161A49"/>
    <w:rsid w:val="00161AA8"/>
    <w:rsid w:val="00161E25"/>
    <w:rsid w:val="00162006"/>
    <w:rsid w:val="00162421"/>
    <w:rsid w:val="00162452"/>
    <w:rsid w:val="001624AF"/>
    <w:rsid w:val="0016253E"/>
    <w:rsid w:val="00162822"/>
    <w:rsid w:val="00162A4B"/>
    <w:rsid w:val="00162C30"/>
    <w:rsid w:val="001630B7"/>
    <w:rsid w:val="00163470"/>
    <w:rsid w:val="00163609"/>
    <w:rsid w:val="00163BC8"/>
    <w:rsid w:val="00163BF2"/>
    <w:rsid w:val="00163C1C"/>
    <w:rsid w:val="00163CE7"/>
    <w:rsid w:val="00163DBD"/>
    <w:rsid w:val="00164144"/>
    <w:rsid w:val="00164252"/>
    <w:rsid w:val="00164294"/>
    <w:rsid w:val="00164A86"/>
    <w:rsid w:val="00164A98"/>
    <w:rsid w:val="00164D27"/>
    <w:rsid w:val="00164F91"/>
    <w:rsid w:val="00165439"/>
    <w:rsid w:val="0016549D"/>
    <w:rsid w:val="001655B7"/>
    <w:rsid w:val="0016576A"/>
    <w:rsid w:val="001658BA"/>
    <w:rsid w:val="00165900"/>
    <w:rsid w:val="00165AE2"/>
    <w:rsid w:val="00165B24"/>
    <w:rsid w:val="00165B54"/>
    <w:rsid w:val="00165F0A"/>
    <w:rsid w:val="00165F90"/>
    <w:rsid w:val="001660A3"/>
    <w:rsid w:val="0016623A"/>
    <w:rsid w:val="00166291"/>
    <w:rsid w:val="00166361"/>
    <w:rsid w:val="00166463"/>
    <w:rsid w:val="0016664C"/>
    <w:rsid w:val="00166881"/>
    <w:rsid w:val="00166889"/>
    <w:rsid w:val="001668BB"/>
    <w:rsid w:val="00166915"/>
    <w:rsid w:val="00166AC6"/>
    <w:rsid w:val="00166CB4"/>
    <w:rsid w:val="00166F65"/>
    <w:rsid w:val="0016704F"/>
    <w:rsid w:val="001675D2"/>
    <w:rsid w:val="001675E8"/>
    <w:rsid w:val="00167C72"/>
    <w:rsid w:val="00167D35"/>
    <w:rsid w:val="00167D8D"/>
    <w:rsid w:val="00167DAE"/>
    <w:rsid w:val="00170151"/>
    <w:rsid w:val="0017017F"/>
    <w:rsid w:val="00170519"/>
    <w:rsid w:val="00170575"/>
    <w:rsid w:val="001705AE"/>
    <w:rsid w:val="0017073C"/>
    <w:rsid w:val="00170935"/>
    <w:rsid w:val="00170D5A"/>
    <w:rsid w:val="00170FF2"/>
    <w:rsid w:val="001710C8"/>
    <w:rsid w:val="001716B1"/>
    <w:rsid w:val="00171970"/>
    <w:rsid w:val="001719FA"/>
    <w:rsid w:val="00171B06"/>
    <w:rsid w:val="00171FDF"/>
    <w:rsid w:val="00172050"/>
    <w:rsid w:val="00172469"/>
    <w:rsid w:val="0017282D"/>
    <w:rsid w:val="001728AD"/>
    <w:rsid w:val="00172913"/>
    <w:rsid w:val="00172BCD"/>
    <w:rsid w:val="00172DDF"/>
    <w:rsid w:val="00172EAF"/>
    <w:rsid w:val="00172F18"/>
    <w:rsid w:val="00172FD2"/>
    <w:rsid w:val="0017352F"/>
    <w:rsid w:val="0017365F"/>
    <w:rsid w:val="00173676"/>
    <w:rsid w:val="00173959"/>
    <w:rsid w:val="00173BF5"/>
    <w:rsid w:val="00173C47"/>
    <w:rsid w:val="00173FA1"/>
    <w:rsid w:val="00174047"/>
    <w:rsid w:val="0017425A"/>
    <w:rsid w:val="001744BE"/>
    <w:rsid w:val="001746AA"/>
    <w:rsid w:val="0017486B"/>
    <w:rsid w:val="001748BF"/>
    <w:rsid w:val="00174925"/>
    <w:rsid w:val="001749A0"/>
    <w:rsid w:val="00174DCA"/>
    <w:rsid w:val="00174DE9"/>
    <w:rsid w:val="00174F6B"/>
    <w:rsid w:val="00175075"/>
    <w:rsid w:val="0017508F"/>
    <w:rsid w:val="001750DD"/>
    <w:rsid w:val="00175334"/>
    <w:rsid w:val="001753D7"/>
    <w:rsid w:val="00175401"/>
    <w:rsid w:val="001754AA"/>
    <w:rsid w:val="001754AF"/>
    <w:rsid w:val="001754E9"/>
    <w:rsid w:val="00175653"/>
    <w:rsid w:val="00175864"/>
    <w:rsid w:val="00175CA1"/>
    <w:rsid w:val="00175D22"/>
    <w:rsid w:val="00175DE1"/>
    <w:rsid w:val="00175E1B"/>
    <w:rsid w:val="001761C6"/>
    <w:rsid w:val="00176260"/>
    <w:rsid w:val="00176267"/>
    <w:rsid w:val="00176349"/>
    <w:rsid w:val="0017645B"/>
    <w:rsid w:val="00176577"/>
    <w:rsid w:val="0017673F"/>
    <w:rsid w:val="001768B0"/>
    <w:rsid w:val="001768F3"/>
    <w:rsid w:val="00176998"/>
    <w:rsid w:val="001769AE"/>
    <w:rsid w:val="00176AE7"/>
    <w:rsid w:val="00176C7F"/>
    <w:rsid w:val="001775C5"/>
    <w:rsid w:val="0017773E"/>
    <w:rsid w:val="00177C8F"/>
    <w:rsid w:val="00177F29"/>
    <w:rsid w:val="001805FC"/>
    <w:rsid w:val="00180723"/>
    <w:rsid w:val="00180786"/>
    <w:rsid w:val="001808C6"/>
    <w:rsid w:val="00180A64"/>
    <w:rsid w:val="00180B99"/>
    <w:rsid w:val="00180BF0"/>
    <w:rsid w:val="00180C1D"/>
    <w:rsid w:val="00180C6F"/>
    <w:rsid w:val="00180C8D"/>
    <w:rsid w:val="0018111C"/>
    <w:rsid w:val="00181375"/>
    <w:rsid w:val="001813D8"/>
    <w:rsid w:val="00181449"/>
    <w:rsid w:val="001817A9"/>
    <w:rsid w:val="00181A18"/>
    <w:rsid w:val="00181A35"/>
    <w:rsid w:val="00181B1C"/>
    <w:rsid w:val="00181C16"/>
    <w:rsid w:val="00181E2A"/>
    <w:rsid w:val="00181E80"/>
    <w:rsid w:val="00181EC8"/>
    <w:rsid w:val="001820A4"/>
    <w:rsid w:val="0018219A"/>
    <w:rsid w:val="001823CF"/>
    <w:rsid w:val="0018245A"/>
    <w:rsid w:val="00182460"/>
    <w:rsid w:val="001826E6"/>
    <w:rsid w:val="0018274C"/>
    <w:rsid w:val="00182769"/>
    <w:rsid w:val="001828B2"/>
    <w:rsid w:val="00182990"/>
    <w:rsid w:val="001829F0"/>
    <w:rsid w:val="00182BFB"/>
    <w:rsid w:val="00182C9D"/>
    <w:rsid w:val="00182CE5"/>
    <w:rsid w:val="00182DAC"/>
    <w:rsid w:val="00182E5C"/>
    <w:rsid w:val="00183385"/>
    <w:rsid w:val="001834AE"/>
    <w:rsid w:val="00183868"/>
    <w:rsid w:val="00183879"/>
    <w:rsid w:val="0018388B"/>
    <w:rsid w:val="001839C0"/>
    <w:rsid w:val="00183A1C"/>
    <w:rsid w:val="00183B4C"/>
    <w:rsid w:val="00183DFE"/>
    <w:rsid w:val="00183FA5"/>
    <w:rsid w:val="001841B0"/>
    <w:rsid w:val="00184281"/>
    <w:rsid w:val="0018450D"/>
    <w:rsid w:val="00184599"/>
    <w:rsid w:val="00184990"/>
    <w:rsid w:val="00184AD5"/>
    <w:rsid w:val="00185447"/>
    <w:rsid w:val="00185596"/>
    <w:rsid w:val="00185CD7"/>
    <w:rsid w:val="00185CDA"/>
    <w:rsid w:val="00185FDD"/>
    <w:rsid w:val="00185FED"/>
    <w:rsid w:val="0018620F"/>
    <w:rsid w:val="001863F5"/>
    <w:rsid w:val="00186406"/>
    <w:rsid w:val="00186421"/>
    <w:rsid w:val="00186811"/>
    <w:rsid w:val="00186825"/>
    <w:rsid w:val="00186A39"/>
    <w:rsid w:val="00186AD6"/>
    <w:rsid w:val="00186AEB"/>
    <w:rsid w:val="00186AFD"/>
    <w:rsid w:val="00186CA3"/>
    <w:rsid w:val="00186EBE"/>
    <w:rsid w:val="00187126"/>
    <w:rsid w:val="001873EE"/>
    <w:rsid w:val="0018743D"/>
    <w:rsid w:val="00187579"/>
    <w:rsid w:val="001877B6"/>
    <w:rsid w:val="0018793E"/>
    <w:rsid w:val="00187A48"/>
    <w:rsid w:val="00187A6A"/>
    <w:rsid w:val="00187BF6"/>
    <w:rsid w:val="00187E23"/>
    <w:rsid w:val="00187F66"/>
    <w:rsid w:val="001900FE"/>
    <w:rsid w:val="00190314"/>
    <w:rsid w:val="00190323"/>
    <w:rsid w:val="00190588"/>
    <w:rsid w:val="001905B3"/>
    <w:rsid w:val="0019060C"/>
    <w:rsid w:val="001906E5"/>
    <w:rsid w:val="0019073C"/>
    <w:rsid w:val="001908BB"/>
    <w:rsid w:val="001909CE"/>
    <w:rsid w:val="001910F7"/>
    <w:rsid w:val="00191217"/>
    <w:rsid w:val="0019139F"/>
    <w:rsid w:val="001916AC"/>
    <w:rsid w:val="001918E1"/>
    <w:rsid w:val="0019191A"/>
    <w:rsid w:val="00191AA1"/>
    <w:rsid w:val="00191B9C"/>
    <w:rsid w:val="00191DB0"/>
    <w:rsid w:val="00191DEC"/>
    <w:rsid w:val="00191E12"/>
    <w:rsid w:val="00191E67"/>
    <w:rsid w:val="00191FBC"/>
    <w:rsid w:val="00192246"/>
    <w:rsid w:val="001923CA"/>
    <w:rsid w:val="00192488"/>
    <w:rsid w:val="001924E9"/>
    <w:rsid w:val="00192572"/>
    <w:rsid w:val="0019288B"/>
    <w:rsid w:val="001928D2"/>
    <w:rsid w:val="00192F04"/>
    <w:rsid w:val="00192F91"/>
    <w:rsid w:val="00193062"/>
    <w:rsid w:val="001930F9"/>
    <w:rsid w:val="00193203"/>
    <w:rsid w:val="0019335C"/>
    <w:rsid w:val="001934A7"/>
    <w:rsid w:val="001934B5"/>
    <w:rsid w:val="001936EE"/>
    <w:rsid w:val="00193739"/>
    <w:rsid w:val="00193757"/>
    <w:rsid w:val="001937EE"/>
    <w:rsid w:val="00193820"/>
    <w:rsid w:val="00193BB9"/>
    <w:rsid w:val="00193D3A"/>
    <w:rsid w:val="00193F6D"/>
    <w:rsid w:val="00194123"/>
    <w:rsid w:val="001942B3"/>
    <w:rsid w:val="001942F2"/>
    <w:rsid w:val="00194477"/>
    <w:rsid w:val="0019455B"/>
    <w:rsid w:val="001947DF"/>
    <w:rsid w:val="001947F9"/>
    <w:rsid w:val="001948D4"/>
    <w:rsid w:val="00194949"/>
    <w:rsid w:val="00194C6D"/>
    <w:rsid w:val="00195385"/>
    <w:rsid w:val="00195571"/>
    <w:rsid w:val="0019561D"/>
    <w:rsid w:val="00195AD3"/>
    <w:rsid w:val="00195B0C"/>
    <w:rsid w:val="00195B20"/>
    <w:rsid w:val="00195C84"/>
    <w:rsid w:val="00195CDA"/>
    <w:rsid w:val="00195F38"/>
    <w:rsid w:val="00195F8E"/>
    <w:rsid w:val="0019621A"/>
    <w:rsid w:val="001964BC"/>
    <w:rsid w:val="00196563"/>
    <w:rsid w:val="001965D6"/>
    <w:rsid w:val="00196658"/>
    <w:rsid w:val="00196AF2"/>
    <w:rsid w:val="00196B46"/>
    <w:rsid w:val="00196CFF"/>
    <w:rsid w:val="00196E00"/>
    <w:rsid w:val="00196E69"/>
    <w:rsid w:val="00196E6B"/>
    <w:rsid w:val="00197049"/>
    <w:rsid w:val="001970ED"/>
    <w:rsid w:val="0019711B"/>
    <w:rsid w:val="001971E4"/>
    <w:rsid w:val="00197310"/>
    <w:rsid w:val="00197376"/>
    <w:rsid w:val="00197417"/>
    <w:rsid w:val="00197446"/>
    <w:rsid w:val="001975C7"/>
    <w:rsid w:val="00197854"/>
    <w:rsid w:val="00197AD4"/>
    <w:rsid w:val="00197BA2"/>
    <w:rsid w:val="00197C8E"/>
    <w:rsid w:val="00197E18"/>
    <w:rsid w:val="00197E6C"/>
    <w:rsid w:val="001A017B"/>
    <w:rsid w:val="001A027E"/>
    <w:rsid w:val="001A0528"/>
    <w:rsid w:val="001A0591"/>
    <w:rsid w:val="001A0605"/>
    <w:rsid w:val="001A0631"/>
    <w:rsid w:val="001A073F"/>
    <w:rsid w:val="001A0885"/>
    <w:rsid w:val="001A08CC"/>
    <w:rsid w:val="001A0B6B"/>
    <w:rsid w:val="001A0DA7"/>
    <w:rsid w:val="001A0EC0"/>
    <w:rsid w:val="001A10B2"/>
    <w:rsid w:val="001A11B4"/>
    <w:rsid w:val="001A130F"/>
    <w:rsid w:val="001A136E"/>
    <w:rsid w:val="001A1515"/>
    <w:rsid w:val="001A16C2"/>
    <w:rsid w:val="001A1740"/>
    <w:rsid w:val="001A1751"/>
    <w:rsid w:val="001A1789"/>
    <w:rsid w:val="001A194C"/>
    <w:rsid w:val="001A194D"/>
    <w:rsid w:val="001A19BB"/>
    <w:rsid w:val="001A1C3A"/>
    <w:rsid w:val="001A1CC9"/>
    <w:rsid w:val="001A1E3A"/>
    <w:rsid w:val="001A1E78"/>
    <w:rsid w:val="001A1EA0"/>
    <w:rsid w:val="001A2092"/>
    <w:rsid w:val="001A2167"/>
    <w:rsid w:val="001A23DE"/>
    <w:rsid w:val="001A2598"/>
    <w:rsid w:val="001A2688"/>
    <w:rsid w:val="001A2881"/>
    <w:rsid w:val="001A2AB8"/>
    <w:rsid w:val="001A2DCA"/>
    <w:rsid w:val="001A31ED"/>
    <w:rsid w:val="001A3232"/>
    <w:rsid w:val="001A33EE"/>
    <w:rsid w:val="001A35A6"/>
    <w:rsid w:val="001A3B79"/>
    <w:rsid w:val="001A3DD1"/>
    <w:rsid w:val="001A3DF5"/>
    <w:rsid w:val="001A3F58"/>
    <w:rsid w:val="001A3FDB"/>
    <w:rsid w:val="001A4299"/>
    <w:rsid w:val="001A4387"/>
    <w:rsid w:val="001A43D1"/>
    <w:rsid w:val="001A4565"/>
    <w:rsid w:val="001A45D4"/>
    <w:rsid w:val="001A4949"/>
    <w:rsid w:val="001A4CAA"/>
    <w:rsid w:val="001A4F50"/>
    <w:rsid w:val="001A4FFC"/>
    <w:rsid w:val="001A5047"/>
    <w:rsid w:val="001A5223"/>
    <w:rsid w:val="001A5B61"/>
    <w:rsid w:val="001A5D1B"/>
    <w:rsid w:val="001A5D9C"/>
    <w:rsid w:val="001A62EB"/>
    <w:rsid w:val="001A635C"/>
    <w:rsid w:val="001A63E6"/>
    <w:rsid w:val="001A642A"/>
    <w:rsid w:val="001A66B9"/>
    <w:rsid w:val="001A672B"/>
    <w:rsid w:val="001A6972"/>
    <w:rsid w:val="001A6AD7"/>
    <w:rsid w:val="001A6BBC"/>
    <w:rsid w:val="001A6C52"/>
    <w:rsid w:val="001A6C87"/>
    <w:rsid w:val="001A6CAD"/>
    <w:rsid w:val="001A6D40"/>
    <w:rsid w:val="001A6DB8"/>
    <w:rsid w:val="001A6E4C"/>
    <w:rsid w:val="001A6EE3"/>
    <w:rsid w:val="001A710B"/>
    <w:rsid w:val="001A73D0"/>
    <w:rsid w:val="001A7479"/>
    <w:rsid w:val="001A747D"/>
    <w:rsid w:val="001A7910"/>
    <w:rsid w:val="001A7929"/>
    <w:rsid w:val="001A7AFF"/>
    <w:rsid w:val="001A7B3A"/>
    <w:rsid w:val="001A7BCB"/>
    <w:rsid w:val="001A7DFA"/>
    <w:rsid w:val="001B01DA"/>
    <w:rsid w:val="001B026A"/>
    <w:rsid w:val="001B035A"/>
    <w:rsid w:val="001B0365"/>
    <w:rsid w:val="001B03E6"/>
    <w:rsid w:val="001B03FF"/>
    <w:rsid w:val="001B04D1"/>
    <w:rsid w:val="001B06D9"/>
    <w:rsid w:val="001B07A4"/>
    <w:rsid w:val="001B0825"/>
    <w:rsid w:val="001B0B71"/>
    <w:rsid w:val="001B0E6B"/>
    <w:rsid w:val="001B0E95"/>
    <w:rsid w:val="001B11A9"/>
    <w:rsid w:val="001B11E8"/>
    <w:rsid w:val="001B12CF"/>
    <w:rsid w:val="001B1851"/>
    <w:rsid w:val="001B1D08"/>
    <w:rsid w:val="001B20B0"/>
    <w:rsid w:val="001B225A"/>
    <w:rsid w:val="001B2492"/>
    <w:rsid w:val="001B25B2"/>
    <w:rsid w:val="001B283E"/>
    <w:rsid w:val="001B285E"/>
    <w:rsid w:val="001B28D9"/>
    <w:rsid w:val="001B28EF"/>
    <w:rsid w:val="001B292C"/>
    <w:rsid w:val="001B2E51"/>
    <w:rsid w:val="001B2EDF"/>
    <w:rsid w:val="001B2FA8"/>
    <w:rsid w:val="001B3048"/>
    <w:rsid w:val="001B3407"/>
    <w:rsid w:val="001B36A9"/>
    <w:rsid w:val="001B36D4"/>
    <w:rsid w:val="001B3776"/>
    <w:rsid w:val="001B378E"/>
    <w:rsid w:val="001B37B9"/>
    <w:rsid w:val="001B39B7"/>
    <w:rsid w:val="001B3A9E"/>
    <w:rsid w:val="001B3BF1"/>
    <w:rsid w:val="001B3CEC"/>
    <w:rsid w:val="001B3D9A"/>
    <w:rsid w:val="001B3E1D"/>
    <w:rsid w:val="001B3F6C"/>
    <w:rsid w:val="001B43B9"/>
    <w:rsid w:val="001B45E4"/>
    <w:rsid w:val="001B46BA"/>
    <w:rsid w:val="001B46E5"/>
    <w:rsid w:val="001B46F4"/>
    <w:rsid w:val="001B477B"/>
    <w:rsid w:val="001B4905"/>
    <w:rsid w:val="001B4916"/>
    <w:rsid w:val="001B4AAD"/>
    <w:rsid w:val="001B507F"/>
    <w:rsid w:val="001B51FA"/>
    <w:rsid w:val="001B53A4"/>
    <w:rsid w:val="001B53DF"/>
    <w:rsid w:val="001B54AD"/>
    <w:rsid w:val="001B59C8"/>
    <w:rsid w:val="001B5B18"/>
    <w:rsid w:val="001B5C87"/>
    <w:rsid w:val="001B5EB0"/>
    <w:rsid w:val="001B608E"/>
    <w:rsid w:val="001B61CC"/>
    <w:rsid w:val="001B6212"/>
    <w:rsid w:val="001B6622"/>
    <w:rsid w:val="001B662B"/>
    <w:rsid w:val="001B67B7"/>
    <w:rsid w:val="001B688B"/>
    <w:rsid w:val="001B693E"/>
    <w:rsid w:val="001B6AF3"/>
    <w:rsid w:val="001B6B26"/>
    <w:rsid w:val="001B6F94"/>
    <w:rsid w:val="001B72A6"/>
    <w:rsid w:val="001B73D7"/>
    <w:rsid w:val="001B78A9"/>
    <w:rsid w:val="001B7C6F"/>
    <w:rsid w:val="001B7C90"/>
    <w:rsid w:val="001C00A5"/>
    <w:rsid w:val="001C01DE"/>
    <w:rsid w:val="001C028A"/>
    <w:rsid w:val="001C02E9"/>
    <w:rsid w:val="001C030F"/>
    <w:rsid w:val="001C0569"/>
    <w:rsid w:val="001C058B"/>
    <w:rsid w:val="001C0A37"/>
    <w:rsid w:val="001C0A85"/>
    <w:rsid w:val="001C0A94"/>
    <w:rsid w:val="001C0AB7"/>
    <w:rsid w:val="001C0AD3"/>
    <w:rsid w:val="001C0CBF"/>
    <w:rsid w:val="001C0D6D"/>
    <w:rsid w:val="001C0DB9"/>
    <w:rsid w:val="001C0DED"/>
    <w:rsid w:val="001C0E8B"/>
    <w:rsid w:val="001C0F7B"/>
    <w:rsid w:val="001C112C"/>
    <w:rsid w:val="001C1205"/>
    <w:rsid w:val="001C147B"/>
    <w:rsid w:val="001C1864"/>
    <w:rsid w:val="001C18FC"/>
    <w:rsid w:val="001C19DD"/>
    <w:rsid w:val="001C1A52"/>
    <w:rsid w:val="001C1AD0"/>
    <w:rsid w:val="001C1D4E"/>
    <w:rsid w:val="001C1FBB"/>
    <w:rsid w:val="001C2406"/>
    <w:rsid w:val="001C2587"/>
    <w:rsid w:val="001C2609"/>
    <w:rsid w:val="001C2615"/>
    <w:rsid w:val="001C2931"/>
    <w:rsid w:val="001C2B03"/>
    <w:rsid w:val="001C2BC8"/>
    <w:rsid w:val="001C2C62"/>
    <w:rsid w:val="001C2DEC"/>
    <w:rsid w:val="001C2F12"/>
    <w:rsid w:val="001C31FB"/>
    <w:rsid w:val="001C3292"/>
    <w:rsid w:val="001C3447"/>
    <w:rsid w:val="001C36E5"/>
    <w:rsid w:val="001C3753"/>
    <w:rsid w:val="001C3815"/>
    <w:rsid w:val="001C386C"/>
    <w:rsid w:val="001C3BD1"/>
    <w:rsid w:val="001C3E06"/>
    <w:rsid w:val="001C3F18"/>
    <w:rsid w:val="001C3F86"/>
    <w:rsid w:val="001C40CD"/>
    <w:rsid w:val="001C4586"/>
    <w:rsid w:val="001C46D4"/>
    <w:rsid w:val="001C4866"/>
    <w:rsid w:val="001C4A43"/>
    <w:rsid w:val="001C4CB5"/>
    <w:rsid w:val="001C4DC5"/>
    <w:rsid w:val="001C4DE8"/>
    <w:rsid w:val="001C50AA"/>
    <w:rsid w:val="001C50B5"/>
    <w:rsid w:val="001C54F8"/>
    <w:rsid w:val="001C55CC"/>
    <w:rsid w:val="001C5829"/>
    <w:rsid w:val="001C5B1F"/>
    <w:rsid w:val="001C5BE5"/>
    <w:rsid w:val="001C5D3E"/>
    <w:rsid w:val="001C60E5"/>
    <w:rsid w:val="001C6137"/>
    <w:rsid w:val="001C6172"/>
    <w:rsid w:val="001C6948"/>
    <w:rsid w:val="001C69C7"/>
    <w:rsid w:val="001C6A90"/>
    <w:rsid w:val="001C6ABB"/>
    <w:rsid w:val="001C7123"/>
    <w:rsid w:val="001C72AA"/>
    <w:rsid w:val="001C7466"/>
    <w:rsid w:val="001C7898"/>
    <w:rsid w:val="001C7B21"/>
    <w:rsid w:val="001C7BA4"/>
    <w:rsid w:val="001C7C09"/>
    <w:rsid w:val="001C7C95"/>
    <w:rsid w:val="001D0051"/>
    <w:rsid w:val="001D0344"/>
    <w:rsid w:val="001D0754"/>
    <w:rsid w:val="001D0777"/>
    <w:rsid w:val="001D0800"/>
    <w:rsid w:val="001D08DF"/>
    <w:rsid w:val="001D0961"/>
    <w:rsid w:val="001D0968"/>
    <w:rsid w:val="001D0A1C"/>
    <w:rsid w:val="001D0B41"/>
    <w:rsid w:val="001D0E7D"/>
    <w:rsid w:val="001D1354"/>
    <w:rsid w:val="001D1370"/>
    <w:rsid w:val="001D13A1"/>
    <w:rsid w:val="001D1445"/>
    <w:rsid w:val="001D1466"/>
    <w:rsid w:val="001D1728"/>
    <w:rsid w:val="001D174D"/>
    <w:rsid w:val="001D18C4"/>
    <w:rsid w:val="001D1F4F"/>
    <w:rsid w:val="001D1FA2"/>
    <w:rsid w:val="001D1FCA"/>
    <w:rsid w:val="001D2016"/>
    <w:rsid w:val="001D202F"/>
    <w:rsid w:val="001D20E3"/>
    <w:rsid w:val="001D2526"/>
    <w:rsid w:val="001D27CE"/>
    <w:rsid w:val="001D2AFC"/>
    <w:rsid w:val="001D2BF8"/>
    <w:rsid w:val="001D2C3D"/>
    <w:rsid w:val="001D2FEF"/>
    <w:rsid w:val="001D35CC"/>
    <w:rsid w:val="001D37C5"/>
    <w:rsid w:val="001D3868"/>
    <w:rsid w:val="001D3A98"/>
    <w:rsid w:val="001D3EA9"/>
    <w:rsid w:val="001D3F57"/>
    <w:rsid w:val="001D3FF0"/>
    <w:rsid w:val="001D4178"/>
    <w:rsid w:val="001D4190"/>
    <w:rsid w:val="001D4345"/>
    <w:rsid w:val="001D47BD"/>
    <w:rsid w:val="001D48B3"/>
    <w:rsid w:val="001D48B4"/>
    <w:rsid w:val="001D48DA"/>
    <w:rsid w:val="001D4AC0"/>
    <w:rsid w:val="001D4AFB"/>
    <w:rsid w:val="001D4C5E"/>
    <w:rsid w:val="001D4C70"/>
    <w:rsid w:val="001D4E05"/>
    <w:rsid w:val="001D524C"/>
    <w:rsid w:val="001D5291"/>
    <w:rsid w:val="001D53A4"/>
    <w:rsid w:val="001D56E9"/>
    <w:rsid w:val="001D576D"/>
    <w:rsid w:val="001D5E8F"/>
    <w:rsid w:val="001D5EC6"/>
    <w:rsid w:val="001D5FB4"/>
    <w:rsid w:val="001D6031"/>
    <w:rsid w:val="001D632A"/>
    <w:rsid w:val="001D63A7"/>
    <w:rsid w:val="001D64DA"/>
    <w:rsid w:val="001D656A"/>
    <w:rsid w:val="001D661F"/>
    <w:rsid w:val="001D6A43"/>
    <w:rsid w:val="001D6A83"/>
    <w:rsid w:val="001D6AB7"/>
    <w:rsid w:val="001D6B38"/>
    <w:rsid w:val="001D6B9B"/>
    <w:rsid w:val="001D6BC8"/>
    <w:rsid w:val="001D6DC9"/>
    <w:rsid w:val="001D6E40"/>
    <w:rsid w:val="001D6F85"/>
    <w:rsid w:val="001D7062"/>
    <w:rsid w:val="001D706A"/>
    <w:rsid w:val="001D711C"/>
    <w:rsid w:val="001D72CD"/>
    <w:rsid w:val="001D7304"/>
    <w:rsid w:val="001D7475"/>
    <w:rsid w:val="001D755F"/>
    <w:rsid w:val="001D766B"/>
    <w:rsid w:val="001D766F"/>
    <w:rsid w:val="001D76FA"/>
    <w:rsid w:val="001D7741"/>
    <w:rsid w:val="001D774C"/>
    <w:rsid w:val="001D77B3"/>
    <w:rsid w:val="001D77E6"/>
    <w:rsid w:val="001D7924"/>
    <w:rsid w:val="001D7BF9"/>
    <w:rsid w:val="001D7C5A"/>
    <w:rsid w:val="001D7C7B"/>
    <w:rsid w:val="001D7CBC"/>
    <w:rsid w:val="001D7D62"/>
    <w:rsid w:val="001E009A"/>
    <w:rsid w:val="001E0234"/>
    <w:rsid w:val="001E02D2"/>
    <w:rsid w:val="001E02E6"/>
    <w:rsid w:val="001E0376"/>
    <w:rsid w:val="001E051A"/>
    <w:rsid w:val="001E0904"/>
    <w:rsid w:val="001E0962"/>
    <w:rsid w:val="001E0A8F"/>
    <w:rsid w:val="001E0B60"/>
    <w:rsid w:val="001E0FFB"/>
    <w:rsid w:val="001E107D"/>
    <w:rsid w:val="001E1296"/>
    <w:rsid w:val="001E12A6"/>
    <w:rsid w:val="001E144D"/>
    <w:rsid w:val="001E162A"/>
    <w:rsid w:val="001E170B"/>
    <w:rsid w:val="001E1770"/>
    <w:rsid w:val="001E1883"/>
    <w:rsid w:val="001E19CE"/>
    <w:rsid w:val="001E1AA7"/>
    <w:rsid w:val="001E1ACB"/>
    <w:rsid w:val="001E1B12"/>
    <w:rsid w:val="001E1BF1"/>
    <w:rsid w:val="001E1C47"/>
    <w:rsid w:val="001E1DFA"/>
    <w:rsid w:val="001E1E25"/>
    <w:rsid w:val="001E1EE1"/>
    <w:rsid w:val="001E21FC"/>
    <w:rsid w:val="001E228C"/>
    <w:rsid w:val="001E22A8"/>
    <w:rsid w:val="001E23A4"/>
    <w:rsid w:val="001E2448"/>
    <w:rsid w:val="001E250F"/>
    <w:rsid w:val="001E298B"/>
    <w:rsid w:val="001E2B03"/>
    <w:rsid w:val="001E2B0A"/>
    <w:rsid w:val="001E2BBA"/>
    <w:rsid w:val="001E2D03"/>
    <w:rsid w:val="001E2F05"/>
    <w:rsid w:val="001E318C"/>
    <w:rsid w:val="001E365F"/>
    <w:rsid w:val="001E3718"/>
    <w:rsid w:val="001E37EF"/>
    <w:rsid w:val="001E3BFE"/>
    <w:rsid w:val="001E3C4C"/>
    <w:rsid w:val="001E3DEC"/>
    <w:rsid w:val="001E3E18"/>
    <w:rsid w:val="001E3EA8"/>
    <w:rsid w:val="001E43BE"/>
    <w:rsid w:val="001E488E"/>
    <w:rsid w:val="001E48C0"/>
    <w:rsid w:val="001E48DE"/>
    <w:rsid w:val="001E495A"/>
    <w:rsid w:val="001E4D72"/>
    <w:rsid w:val="001E4E10"/>
    <w:rsid w:val="001E50B8"/>
    <w:rsid w:val="001E518A"/>
    <w:rsid w:val="001E52AA"/>
    <w:rsid w:val="001E54C2"/>
    <w:rsid w:val="001E55C5"/>
    <w:rsid w:val="001E5629"/>
    <w:rsid w:val="001E5740"/>
    <w:rsid w:val="001E57A3"/>
    <w:rsid w:val="001E57D8"/>
    <w:rsid w:val="001E5BEB"/>
    <w:rsid w:val="001E5C7D"/>
    <w:rsid w:val="001E5D6F"/>
    <w:rsid w:val="001E5F2B"/>
    <w:rsid w:val="001E6068"/>
    <w:rsid w:val="001E608C"/>
    <w:rsid w:val="001E62E7"/>
    <w:rsid w:val="001E635B"/>
    <w:rsid w:val="001E64A7"/>
    <w:rsid w:val="001E64AD"/>
    <w:rsid w:val="001E6619"/>
    <w:rsid w:val="001E672B"/>
    <w:rsid w:val="001E6795"/>
    <w:rsid w:val="001E6EAC"/>
    <w:rsid w:val="001E6F0D"/>
    <w:rsid w:val="001E76BB"/>
    <w:rsid w:val="001E77ED"/>
    <w:rsid w:val="001E7890"/>
    <w:rsid w:val="001E78BE"/>
    <w:rsid w:val="001E7AFD"/>
    <w:rsid w:val="001E7B7F"/>
    <w:rsid w:val="001E7D12"/>
    <w:rsid w:val="001E7DEF"/>
    <w:rsid w:val="001E7E6A"/>
    <w:rsid w:val="001E7EAD"/>
    <w:rsid w:val="001F003B"/>
    <w:rsid w:val="001F0050"/>
    <w:rsid w:val="001F0067"/>
    <w:rsid w:val="001F0268"/>
    <w:rsid w:val="001F0276"/>
    <w:rsid w:val="001F0382"/>
    <w:rsid w:val="001F0632"/>
    <w:rsid w:val="001F06CD"/>
    <w:rsid w:val="001F06EF"/>
    <w:rsid w:val="001F074E"/>
    <w:rsid w:val="001F0957"/>
    <w:rsid w:val="001F0983"/>
    <w:rsid w:val="001F1148"/>
    <w:rsid w:val="001F13DB"/>
    <w:rsid w:val="001F1558"/>
    <w:rsid w:val="001F1632"/>
    <w:rsid w:val="001F1659"/>
    <w:rsid w:val="001F1735"/>
    <w:rsid w:val="001F1886"/>
    <w:rsid w:val="001F1913"/>
    <w:rsid w:val="001F1B9E"/>
    <w:rsid w:val="001F1C42"/>
    <w:rsid w:val="001F2092"/>
    <w:rsid w:val="001F2572"/>
    <w:rsid w:val="001F2584"/>
    <w:rsid w:val="001F2895"/>
    <w:rsid w:val="001F2B76"/>
    <w:rsid w:val="001F2B83"/>
    <w:rsid w:val="001F2CD0"/>
    <w:rsid w:val="001F30D5"/>
    <w:rsid w:val="001F3111"/>
    <w:rsid w:val="001F3204"/>
    <w:rsid w:val="001F329D"/>
    <w:rsid w:val="001F330E"/>
    <w:rsid w:val="001F33BD"/>
    <w:rsid w:val="001F3482"/>
    <w:rsid w:val="001F3572"/>
    <w:rsid w:val="001F36FC"/>
    <w:rsid w:val="001F3963"/>
    <w:rsid w:val="001F3C8B"/>
    <w:rsid w:val="001F3E66"/>
    <w:rsid w:val="001F3F64"/>
    <w:rsid w:val="001F412F"/>
    <w:rsid w:val="001F4255"/>
    <w:rsid w:val="001F4294"/>
    <w:rsid w:val="001F42D1"/>
    <w:rsid w:val="001F4564"/>
    <w:rsid w:val="001F4665"/>
    <w:rsid w:val="001F4741"/>
    <w:rsid w:val="001F4752"/>
    <w:rsid w:val="001F49C3"/>
    <w:rsid w:val="001F4AB2"/>
    <w:rsid w:val="001F4B80"/>
    <w:rsid w:val="001F4CA1"/>
    <w:rsid w:val="001F4DD1"/>
    <w:rsid w:val="001F504B"/>
    <w:rsid w:val="001F5208"/>
    <w:rsid w:val="001F53FF"/>
    <w:rsid w:val="001F5511"/>
    <w:rsid w:val="001F5709"/>
    <w:rsid w:val="001F5899"/>
    <w:rsid w:val="001F5B10"/>
    <w:rsid w:val="001F5EC6"/>
    <w:rsid w:val="001F6383"/>
    <w:rsid w:val="001F640A"/>
    <w:rsid w:val="001F649F"/>
    <w:rsid w:val="001F64AC"/>
    <w:rsid w:val="001F6567"/>
    <w:rsid w:val="001F663F"/>
    <w:rsid w:val="001F66C5"/>
    <w:rsid w:val="001F66E3"/>
    <w:rsid w:val="001F6803"/>
    <w:rsid w:val="001F6CB7"/>
    <w:rsid w:val="001F6D40"/>
    <w:rsid w:val="001F6E98"/>
    <w:rsid w:val="001F6ECA"/>
    <w:rsid w:val="001F6F8B"/>
    <w:rsid w:val="001F7055"/>
    <w:rsid w:val="001F7164"/>
    <w:rsid w:val="001F7294"/>
    <w:rsid w:val="001F74CD"/>
    <w:rsid w:val="001F7709"/>
    <w:rsid w:val="001F7773"/>
    <w:rsid w:val="001F789C"/>
    <w:rsid w:val="001F7A72"/>
    <w:rsid w:val="001F7C26"/>
    <w:rsid w:val="001F7E93"/>
    <w:rsid w:val="001F7F7E"/>
    <w:rsid w:val="002001CF"/>
    <w:rsid w:val="0020058B"/>
    <w:rsid w:val="002005D9"/>
    <w:rsid w:val="00200964"/>
    <w:rsid w:val="00200A1C"/>
    <w:rsid w:val="00200E9F"/>
    <w:rsid w:val="002010F6"/>
    <w:rsid w:val="00201115"/>
    <w:rsid w:val="002012D1"/>
    <w:rsid w:val="002013FE"/>
    <w:rsid w:val="002014BB"/>
    <w:rsid w:val="002015E6"/>
    <w:rsid w:val="00201652"/>
    <w:rsid w:val="0020185B"/>
    <w:rsid w:val="00201861"/>
    <w:rsid w:val="00201B33"/>
    <w:rsid w:val="00201E31"/>
    <w:rsid w:val="00201F1D"/>
    <w:rsid w:val="00202249"/>
    <w:rsid w:val="00202339"/>
    <w:rsid w:val="0020233B"/>
    <w:rsid w:val="0020242A"/>
    <w:rsid w:val="00202A81"/>
    <w:rsid w:val="00202B44"/>
    <w:rsid w:val="00202CB9"/>
    <w:rsid w:val="00202F8A"/>
    <w:rsid w:val="00203114"/>
    <w:rsid w:val="00203190"/>
    <w:rsid w:val="0020324A"/>
    <w:rsid w:val="00203367"/>
    <w:rsid w:val="0020336F"/>
    <w:rsid w:val="0020347A"/>
    <w:rsid w:val="002035F4"/>
    <w:rsid w:val="00203605"/>
    <w:rsid w:val="002036A8"/>
    <w:rsid w:val="002037BE"/>
    <w:rsid w:val="00203D12"/>
    <w:rsid w:val="00203E40"/>
    <w:rsid w:val="00203E75"/>
    <w:rsid w:val="002040C2"/>
    <w:rsid w:val="0020428F"/>
    <w:rsid w:val="002042DF"/>
    <w:rsid w:val="002043C7"/>
    <w:rsid w:val="002043E5"/>
    <w:rsid w:val="002044AE"/>
    <w:rsid w:val="00204793"/>
    <w:rsid w:val="00204A85"/>
    <w:rsid w:val="00204BF3"/>
    <w:rsid w:val="00204CCB"/>
    <w:rsid w:val="00204D49"/>
    <w:rsid w:val="00205021"/>
    <w:rsid w:val="002051A9"/>
    <w:rsid w:val="002053AD"/>
    <w:rsid w:val="0020553A"/>
    <w:rsid w:val="002055EB"/>
    <w:rsid w:val="0020571E"/>
    <w:rsid w:val="002058E3"/>
    <w:rsid w:val="002058E4"/>
    <w:rsid w:val="00205ACC"/>
    <w:rsid w:val="00205BFC"/>
    <w:rsid w:val="00205D1D"/>
    <w:rsid w:val="00205DB0"/>
    <w:rsid w:val="00205E2D"/>
    <w:rsid w:val="00205FED"/>
    <w:rsid w:val="00206338"/>
    <w:rsid w:val="002065C2"/>
    <w:rsid w:val="00206902"/>
    <w:rsid w:val="00206943"/>
    <w:rsid w:val="0020696F"/>
    <w:rsid w:val="002069FF"/>
    <w:rsid w:val="00206A2A"/>
    <w:rsid w:val="00206AB6"/>
    <w:rsid w:val="00206C11"/>
    <w:rsid w:val="00206C2E"/>
    <w:rsid w:val="00206CE1"/>
    <w:rsid w:val="00206DDB"/>
    <w:rsid w:val="00206F21"/>
    <w:rsid w:val="0020709D"/>
    <w:rsid w:val="00207113"/>
    <w:rsid w:val="0020721F"/>
    <w:rsid w:val="00207337"/>
    <w:rsid w:val="002073B2"/>
    <w:rsid w:val="002073D9"/>
    <w:rsid w:val="00207597"/>
    <w:rsid w:val="002076AE"/>
    <w:rsid w:val="00207851"/>
    <w:rsid w:val="00207852"/>
    <w:rsid w:val="00207AD9"/>
    <w:rsid w:val="00207D3C"/>
    <w:rsid w:val="00207E3F"/>
    <w:rsid w:val="00207F07"/>
    <w:rsid w:val="00207F85"/>
    <w:rsid w:val="0021030B"/>
    <w:rsid w:val="00210394"/>
    <w:rsid w:val="00210638"/>
    <w:rsid w:val="00210A54"/>
    <w:rsid w:val="00210B41"/>
    <w:rsid w:val="002110EE"/>
    <w:rsid w:val="00211156"/>
    <w:rsid w:val="002113A8"/>
    <w:rsid w:val="00211566"/>
    <w:rsid w:val="00211874"/>
    <w:rsid w:val="002118A6"/>
    <w:rsid w:val="00211D7D"/>
    <w:rsid w:val="00211EA4"/>
    <w:rsid w:val="00211F8E"/>
    <w:rsid w:val="00212089"/>
    <w:rsid w:val="0021218C"/>
    <w:rsid w:val="002121E5"/>
    <w:rsid w:val="00212389"/>
    <w:rsid w:val="00212518"/>
    <w:rsid w:val="002125EA"/>
    <w:rsid w:val="002129FB"/>
    <w:rsid w:val="00212B0D"/>
    <w:rsid w:val="00212B6E"/>
    <w:rsid w:val="00212BB3"/>
    <w:rsid w:val="00212FF7"/>
    <w:rsid w:val="0021301A"/>
    <w:rsid w:val="002130EB"/>
    <w:rsid w:val="002130EC"/>
    <w:rsid w:val="002133CF"/>
    <w:rsid w:val="0021364A"/>
    <w:rsid w:val="002136B6"/>
    <w:rsid w:val="00213839"/>
    <w:rsid w:val="0021398B"/>
    <w:rsid w:val="002139A1"/>
    <w:rsid w:val="00213CF6"/>
    <w:rsid w:val="00213D04"/>
    <w:rsid w:val="00213F54"/>
    <w:rsid w:val="0021407A"/>
    <w:rsid w:val="0021407B"/>
    <w:rsid w:val="0021427F"/>
    <w:rsid w:val="0021459E"/>
    <w:rsid w:val="0021468C"/>
    <w:rsid w:val="002146E2"/>
    <w:rsid w:val="00214B44"/>
    <w:rsid w:val="00214CC2"/>
    <w:rsid w:val="002150BF"/>
    <w:rsid w:val="002151E0"/>
    <w:rsid w:val="002152F8"/>
    <w:rsid w:val="0021530F"/>
    <w:rsid w:val="002153B6"/>
    <w:rsid w:val="002155B0"/>
    <w:rsid w:val="00215600"/>
    <w:rsid w:val="0021578B"/>
    <w:rsid w:val="002157C6"/>
    <w:rsid w:val="002159B1"/>
    <w:rsid w:val="00215C08"/>
    <w:rsid w:val="00216041"/>
    <w:rsid w:val="00216226"/>
    <w:rsid w:val="002163DB"/>
    <w:rsid w:val="0021653A"/>
    <w:rsid w:val="002165D6"/>
    <w:rsid w:val="00216791"/>
    <w:rsid w:val="00216A20"/>
    <w:rsid w:val="00216A3D"/>
    <w:rsid w:val="00216AB4"/>
    <w:rsid w:val="00216B3A"/>
    <w:rsid w:val="00216F05"/>
    <w:rsid w:val="002170E0"/>
    <w:rsid w:val="0021717B"/>
    <w:rsid w:val="002172F5"/>
    <w:rsid w:val="0021754C"/>
    <w:rsid w:val="002179DD"/>
    <w:rsid w:val="00217A9F"/>
    <w:rsid w:val="00217B13"/>
    <w:rsid w:val="00217B3A"/>
    <w:rsid w:val="00217FD0"/>
    <w:rsid w:val="002200A1"/>
    <w:rsid w:val="0022011A"/>
    <w:rsid w:val="002202DE"/>
    <w:rsid w:val="0022049C"/>
    <w:rsid w:val="00220C39"/>
    <w:rsid w:val="00220CEA"/>
    <w:rsid w:val="00220EC0"/>
    <w:rsid w:val="0022104A"/>
    <w:rsid w:val="0022137C"/>
    <w:rsid w:val="00221788"/>
    <w:rsid w:val="00221811"/>
    <w:rsid w:val="0022185F"/>
    <w:rsid w:val="00221BE8"/>
    <w:rsid w:val="00221C50"/>
    <w:rsid w:val="00221F96"/>
    <w:rsid w:val="00221FC1"/>
    <w:rsid w:val="00222384"/>
    <w:rsid w:val="002223F8"/>
    <w:rsid w:val="002224D3"/>
    <w:rsid w:val="002227D3"/>
    <w:rsid w:val="00222804"/>
    <w:rsid w:val="00222943"/>
    <w:rsid w:val="0022296A"/>
    <w:rsid w:val="00222A1E"/>
    <w:rsid w:val="00222EF2"/>
    <w:rsid w:val="00222EFF"/>
    <w:rsid w:val="0022317A"/>
    <w:rsid w:val="002232C8"/>
    <w:rsid w:val="00223507"/>
    <w:rsid w:val="0022358D"/>
    <w:rsid w:val="00223680"/>
    <w:rsid w:val="00223823"/>
    <w:rsid w:val="00223A22"/>
    <w:rsid w:val="00223AEB"/>
    <w:rsid w:val="00223D41"/>
    <w:rsid w:val="00224136"/>
    <w:rsid w:val="0022461F"/>
    <w:rsid w:val="002247AA"/>
    <w:rsid w:val="002249B3"/>
    <w:rsid w:val="00224A2A"/>
    <w:rsid w:val="00224BD9"/>
    <w:rsid w:val="00224CAE"/>
    <w:rsid w:val="00225397"/>
    <w:rsid w:val="002253DF"/>
    <w:rsid w:val="00225678"/>
    <w:rsid w:val="00225692"/>
    <w:rsid w:val="0022597A"/>
    <w:rsid w:val="00225B25"/>
    <w:rsid w:val="00225B93"/>
    <w:rsid w:val="00225BB5"/>
    <w:rsid w:val="00225C27"/>
    <w:rsid w:val="00225C3B"/>
    <w:rsid w:val="00225D34"/>
    <w:rsid w:val="00225EF8"/>
    <w:rsid w:val="002261CD"/>
    <w:rsid w:val="00226708"/>
    <w:rsid w:val="00226A5D"/>
    <w:rsid w:val="00226BC4"/>
    <w:rsid w:val="00226C26"/>
    <w:rsid w:val="00227075"/>
    <w:rsid w:val="0022716B"/>
    <w:rsid w:val="002271F7"/>
    <w:rsid w:val="0022758E"/>
    <w:rsid w:val="002276DF"/>
    <w:rsid w:val="0022775F"/>
    <w:rsid w:val="0022781C"/>
    <w:rsid w:val="00227A07"/>
    <w:rsid w:val="00227A5B"/>
    <w:rsid w:val="00227C66"/>
    <w:rsid w:val="00227DB9"/>
    <w:rsid w:val="00227FD7"/>
    <w:rsid w:val="0023012A"/>
    <w:rsid w:val="002301F8"/>
    <w:rsid w:val="002304BD"/>
    <w:rsid w:val="00230833"/>
    <w:rsid w:val="00230B1B"/>
    <w:rsid w:val="00230B9D"/>
    <w:rsid w:val="00230BCA"/>
    <w:rsid w:val="00230C4B"/>
    <w:rsid w:val="00230DBA"/>
    <w:rsid w:val="00230F3C"/>
    <w:rsid w:val="00231120"/>
    <w:rsid w:val="002313B8"/>
    <w:rsid w:val="00231592"/>
    <w:rsid w:val="00231639"/>
    <w:rsid w:val="0023163F"/>
    <w:rsid w:val="002317EE"/>
    <w:rsid w:val="002317F8"/>
    <w:rsid w:val="002319BE"/>
    <w:rsid w:val="00231BEE"/>
    <w:rsid w:val="00231D48"/>
    <w:rsid w:val="00231DB0"/>
    <w:rsid w:val="00231E73"/>
    <w:rsid w:val="00231F2C"/>
    <w:rsid w:val="002321D0"/>
    <w:rsid w:val="00232227"/>
    <w:rsid w:val="00232420"/>
    <w:rsid w:val="002324A4"/>
    <w:rsid w:val="002326EE"/>
    <w:rsid w:val="00232776"/>
    <w:rsid w:val="0023283B"/>
    <w:rsid w:val="00232CFA"/>
    <w:rsid w:val="00232D55"/>
    <w:rsid w:val="002331F7"/>
    <w:rsid w:val="00233228"/>
    <w:rsid w:val="0023354E"/>
    <w:rsid w:val="0023383B"/>
    <w:rsid w:val="00233858"/>
    <w:rsid w:val="0023396D"/>
    <w:rsid w:val="00233A88"/>
    <w:rsid w:val="00233AC1"/>
    <w:rsid w:val="00233ADA"/>
    <w:rsid w:val="00233BD6"/>
    <w:rsid w:val="00234171"/>
    <w:rsid w:val="002342F0"/>
    <w:rsid w:val="00234334"/>
    <w:rsid w:val="00234713"/>
    <w:rsid w:val="002349FD"/>
    <w:rsid w:val="00234E87"/>
    <w:rsid w:val="002352E3"/>
    <w:rsid w:val="002353C6"/>
    <w:rsid w:val="002358A8"/>
    <w:rsid w:val="00235A4D"/>
    <w:rsid w:val="00235B22"/>
    <w:rsid w:val="00235B80"/>
    <w:rsid w:val="00235C70"/>
    <w:rsid w:val="00235E49"/>
    <w:rsid w:val="00235EDB"/>
    <w:rsid w:val="00235F68"/>
    <w:rsid w:val="002360F1"/>
    <w:rsid w:val="0023616E"/>
    <w:rsid w:val="002363CA"/>
    <w:rsid w:val="00236886"/>
    <w:rsid w:val="00236A26"/>
    <w:rsid w:val="00236BE0"/>
    <w:rsid w:val="00236C08"/>
    <w:rsid w:val="00236C2F"/>
    <w:rsid w:val="00236C81"/>
    <w:rsid w:val="00236E40"/>
    <w:rsid w:val="00236E82"/>
    <w:rsid w:val="00236F61"/>
    <w:rsid w:val="00237324"/>
    <w:rsid w:val="0023733B"/>
    <w:rsid w:val="00237353"/>
    <w:rsid w:val="0023789B"/>
    <w:rsid w:val="00237B78"/>
    <w:rsid w:val="00237BC1"/>
    <w:rsid w:val="00237C5B"/>
    <w:rsid w:val="00237CBE"/>
    <w:rsid w:val="00240463"/>
    <w:rsid w:val="002404E8"/>
    <w:rsid w:val="00240A18"/>
    <w:rsid w:val="00240C0E"/>
    <w:rsid w:val="0024105F"/>
    <w:rsid w:val="0024106F"/>
    <w:rsid w:val="0024108F"/>
    <w:rsid w:val="00241295"/>
    <w:rsid w:val="00241341"/>
    <w:rsid w:val="00241576"/>
    <w:rsid w:val="002415D5"/>
    <w:rsid w:val="00241633"/>
    <w:rsid w:val="002416D8"/>
    <w:rsid w:val="002417A9"/>
    <w:rsid w:val="0024184C"/>
    <w:rsid w:val="002418C3"/>
    <w:rsid w:val="002418C8"/>
    <w:rsid w:val="00241A17"/>
    <w:rsid w:val="00241AC3"/>
    <w:rsid w:val="00241C87"/>
    <w:rsid w:val="00241CE1"/>
    <w:rsid w:val="0024225C"/>
    <w:rsid w:val="002422AA"/>
    <w:rsid w:val="0024235C"/>
    <w:rsid w:val="002425BA"/>
    <w:rsid w:val="0024264F"/>
    <w:rsid w:val="00242650"/>
    <w:rsid w:val="0024291C"/>
    <w:rsid w:val="00242CD8"/>
    <w:rsid w:val="00242F6D"/>
    <w:rsid w:val="00242F99"/>
    <w:rsid w:val="00243017"/>
    <w:rsid w:val="00243189"/>
    <w:rsid w:val="00243317"/>
    <w:rsid w:val="0024334E"/>
    <w:rsid w:val="0024336E"/>
    <w:rsid w:val="00243373"/>
    <w:rsid w:val="0024373C"/>
    <w:rsid w:val="00243A02"/>
    <w:rsid w:val="00243C4A"/>
    <w:rsid w:val="00243E0B"/>
    <w:rsid w:val="00243E0E"/>
    <w:rsid w:val="0024409B"/>
    <w:rsid w:val="0024413A"/>
    <w:rsid w:val="0024413C"/>
    <w:rsid w:val="002441C1"/>
    <w:rsid w:val="0024421C"/>
    <w:rsid w:val="0024437F"/>
    <w:rsid w:val="0024466D"/>
    <w:rsid w:val="002446B1"/>
    <w:rsid w:val="00244813"/>
    <w:rsid w:val="002448F5"/>
    <w:rsid w:val="00244B9D"/>
    <w:rsid w:val="00244C4B"/>
    <w:rsid w:val="00244CDC"/>
    <w:rsid w:val="00245041"/>
    <w:rsid w:val="00245097"/>
    <w:rsid w:val="002450D5"/>
    <w:rsid w:val="0024531E"/>
    <w:rsid w:val="002453F8"/>
    <w:rsid w:val="00245757"/>
    <w:rsid w:val="00245917"/>
    <w:rsid w:val="00245ABD"/>
    <w:rsid w:val="00245E8B"/>
    <w:rsid w:val="00245E8D"/>
    <w:rsid w:val="0024647C"/>
    <w:rsid w:val="002468BB"/>
    <w:rsid w:val="002468F9"/>
    <w:rsid w:val="00246A3C"/>
    <w:rsid w:val="00246A50"/>
    <w:rsid w:val="00247098"/>
    <w:rsid w:val="002471BA"/>
    <w:rsid w:val="0024747C"/>
    <w:rsid w:val="0024779B"/>
    <w:rsid w:val="00247801"/>
    <w:rsid w:val="00247A20"/>
    <w:rsid w:val="00247D11"/>
    <w:rsid w:val="00247E06"/>
    <w:rsid w:val="00247F3B"/>
    <w:rsid w:val="00250550"/>
    <w:rsid w:val="002509FC"/>
    <w:rsid w:val="00250A00"/>
    <w:rsid w:val="00250AA5"/>
    <w:rsid w:val="00250B93"/>
    <w:rsid w:val="00250BA3"/>
    <w:rsid w:val="00250BC1"/>
    <w:rsid w:val="00251011"/>
    <w:rsid w:val="00251377"/>
    <w:rsid w:val="002513E5"/>
    <w:rsid w:val="0025153F"/>
    <w:rsid w:val="002515D0"/>
    <w:rsid w:val="00251740"/>
    <w:rsid w:val="0025185C"/>
    <w:rsid w:val="00251CFC"/>
    <w:rsid w:val="00251EA9"/>
    <w:rsid w:val="00251F06"/>
    <w:rsid w:val="0025218D"/>
    <w:rsid w:val="0025231F"/>
    <w:rsid w:val="002524A8"/>
    <w:rsid w:val="0025255E"/>
    <w:rsid w:val="0025259A"/>
    <w:rsid w:val="00252837"/>
    <w:rsid w:val="00252A61"/>
    <w:rsid w:val="00252ABD"/>
    <w:rsid w:val="00252B35"/>
    <w:rsid w:val="00252BC7"/>
    <w:rsid w:val="00252DD4"/>
    <w:rsid w:val="00252EE3"/>
    <w:rsid w:val="00252EEE"/>
    <w:rsid w:val="00252F38"/>
    <w:rsid w:val="00253236"/>
    <w:rsid w:val="00253266"/>
    <w:rsid w:val="00253358"/>
    <w:rsid w:val="00253551"/>
    <w:rsid w:val="002537FD"/>
    <w:rsid w:val="002539B8"/>
    <w:rsid w:val="002539F8"/>
    <w:rsid w:val="00253A47"/>
    <w:rsid w:val="00253B05"/>
    <w:rsid w:val="00253B20"/>
    <w:rsid w:val="00253C33"/>
    <w:rsid w:val="00253EF8"/>
    <w:rsid w:val="00254101"/>
    <w:rsid w:val="002541CF"/>
    <w:rsid w:val="0025459B"/>
    <w:rsid w:val="00254658"/>
    <w:rsid w:val="00254A5A"/>
    <w:rsid w:val="00254ABF"/>
    <w:rsid w:val="00254B20"/>
    <w:rsid w:val="00254C12"/>
    <w:rsid w:val="00254E2E"/>
    <w:rsid w:val="00254FB9"/>
    <w:rsid w:val="00255668"/>
    <w:rsid w:val="0025574E"/>
    <w:rsid w:val="0025591B"/>
    <w:rsid w:val="00255BEA"/>
    <w:rsid w:val="00255BFF"/>
    <w:rsid w:val="00256102"/>
    <w:rsid w:val="00256252"/>
    <w:rsid w:val="0025626B"/>
    <w:rsid w:val="00256396"/>
    <w:rsid w:val="00256447"/>
    <w:rsid w:val="00256470"/>
    <w:rsid w:val="002565F1"/>
    <w:rsid w:val="00256622"/>
    <w:rsid w:val="0025666F"/>
    <w:rsid w:val="00256736"/>
    <w:rsid w:val="00256852"/>
    <w:rsid w:val="0025685D"/>
    <w:rsid w:val="00256954"/>
    <w:rsid w:val="00256AE0"/>
    <w:rsid w:val="00256F61"/>
    <w:rsid w:val="0025740A"/>
    <w:rsid w:val="00257BEB"/>
    <w:rsid w:val="00257EA8"/>
    <w:rsid w:val="00257F2C"/>
    <w:rsid w:val="00257F4B"/>
    <w:rsid w:val="00260142"/>
    <w:rsid w:val="00260215"/>
    <w:rsid w:val="0026039F"/>
    <w:rsid w:val="00260492"/>
    <w:rsid w:val="002606E1"/>
    <w:rsid w:val="0026090D"/>
    <w:rsid w:val="0026095E"/>
    <w:rsid w:val="00260DFC"/>
    <w:rsid w:val="00261079"/>
    <w:rsid w:val="00261244"/>
    <w:rsid w:val="0026133C"/>
    <w:rsid w:val="002617C9"/>
    <w:rsid w:val="0026181C"/>
    <w:rsid w:val="00261C78"/>
    <w:rsid w:val="00261F69"/>
    <w:rsid w:val="00262321"/>
    <w:rsid w:val="002625E3"/>
    <w:rsid w:val="00262869"/>
    <w:rsid w:val="00262994"/>
    <w:rsid w:val="002629F7"/>
    <w:rsid w:val="00262CAD"/>
    <w:rsid w:val="00262CFF"/>
    <w:rsid w:val="00262DD9"/>
    <w:rsid w:val="002631D2"/>
    <w:rsid w:val="0026335C"/>
    <w:rsid w:val="00263576"/>
    <w:rsid w:val="0026365D"/>
    <w:rsid w:val="00263668"/>
    <w:rsid w:val="0026383F"/>
    <w:rsid w:val="002638E6"/>
    <w:rsid w:val="002638EE"/>
    <w:rsid w:val="00263B9E"/>
    <w:rsid w:val="00263C0F"/>
    <w:rsid w:val="00263D4F"/>
    <w:rsid w:val="00263DF2"/>
    <w:rsid w:val="002640CA"/>
    <w:rsid w:val="002641C5"/>
    <w:rsid w:val="00264294"/>
    <w:rsid w:val="002645DB"/>
    <w:rsid w:val="0026483B"/>
    <w:rsid w:val="002649ED"/>
    <w:rsid w:val="00264A4C"/>
    <w:rsid w:val="00264AEE"/>
    <w:rsid w:val="00264D49"/>
    <w:rsid w:val="00264FAA"/>
    <w:rsid w:val="00265393"/>
    <w:rsid w:val="002653B7"/>
    <w:rsid w:val="00265653"/>
    <w:rsid w:val="0026571F"/>
    <w:rsid w:val="00265750"/>
    <w:rsid w:val="0026580D"/>
    <w:rsid w:val="002659A0"/>
    <w:rsid w:val="00265C18"/>
    <w:rsid w:val="00266090"/>
    <w:rsid w:val="002660C1"/>
    <w:rsid w:val="0026610F"/>
    <w:rsid w:val="002662FD"/>
    <w:rsid w:val="002664EA"/>
    <w:rsid w:val="0026652E"/>
    <w:rsid w:val="002666D7"/>
    <w:rsid w:val="0026697D"/>
    <w:rsid w:val="00266A66"/>
    <w:rsid w:val="00266A71"/>
    <w:rsid w:val="00266C1A"/>
    <w:rsid w:val="00266CCF"/>
    <w:rsid w:val="00266D0F"/>
    <w:rsid w:val="00266DB7"/>
    <w:rsid w:val="002670F1"/>
    <w:rsid w:val="00267101"/>
    <w:rsid w:val="002671A3"/>
    <w:rsid w:val="0026722C"/>
    <w:rsid w:val="00267898"/>
    <w:rsid w:val="002678A0"/>
    <w:rsid w:val="00267D11"/>
    <w:rsid w:val="00267DA1"/>
    <w:rsid w:val="002701FC"/>
    <w:rsid w:val="002702D1"/>
    <w:rsid w:val="002706B7"/>
    <w:rsid w:val="0027074D"/>
    <w:rsid w:val="002708D3"/>
    <w:rsid w:val="00270B78"/>
    <w:rsid w:val="00270B7A"/>
    <w:rsid w:val="00270BE1"/>
    <w:rsid w:val="00270BF5"/>
    <w:rsid w:val="00270D49"/>
    <w:rsid w:val="00270F6E"/>
    <w:rsid w:val="00271172"/>
    <w:rsid w:val="002711C7"/>
    <w:rsid w:val="002713B5"/>
    <w:rsid w:val="002713C7"/>
    <w:rsid w:val="0027155C"/>
    <w:rsid w:val="00271971"/>
    <w:rsid w:val="00271AE9"/>
    <w:rsid w:val="00271B0F"/>
    <w:rsid w:val="00272027"/>
    <w:rsid w:val="002721C7"/>
    <w:rsid w:val="00272380"/>
    <w:rsid w:val="002725F1"/>
    <w:rsid w:val="002726E9"/>
    <w:rsid w:val="002729D2"/>
    <w:rsid w:val="00272A62"/>
    <w:rsid w:val="00272CA3"/>
    <w:rsid w:val="00272FB6"/>
    <w:rsid w:val="002731E5"/>
    <w:rsid w:val="0027337C"/>
    <w:rsid w:val="00273492"/>
    <w:rsid w:val="0027356F"/>
    <w:rsid w:val="002736E5"/>
    <w:rsid w:val="00273873"/>
    <w:rsid w:val="002739A1"/>
    <w:rsid w:val="00273AAF"/>
    <w:rsid w:val="00273B12"/>
    <w:rsid w:val="00273C55"/>
    <w:rsid w:val="00273C60"/>
    <w:rsid w:val="002740A7"/>
    <w:rsid w:val="00274120"/>
    <w:rsid w:val="00274255"/>
    <w:rsid w:val="00274AD2"/>
    <w:rsid w:val="00274B5A"/>
    <w:rsid w:val="00274B71"/>
    <w:rsid w:val="00274E99"/>
    <w:rsid w:val="00274F34"/>
    <w:rsid w:val="00275045"/>
    <w:rsid w:val="00275107"/>
    <w:rsid w:val="0027530D"/>
    <w:rsid w:val="0027532F"/>
    <w:rsid w:val="00275388"/>
    <w:rsid w:val="002753C2"/>
    <w:rsid w:val="00275492"/>
    <w:rsid w:val="0027569C"/>
    <w:rsid w:val="002759F9"/>
    <w:rsid w:val="00275C64"/>
    <w:rsid w:val="00275E7F"/>
    <w:rsid w:val="00275EE9"/>
    <w:rsid w:val="002765C1"/>
    <w:rsid w:val="00276677"/>
    <w:rsid w:val="002766C4"/>
    <w:rsid w:val="002769F8"/>
    <w:rsid w:val="00276A57"/>
    <w:rsid w:val="00276E78"/>
    <w:rsid w:val="00276F73"/>
    <w:rsid w:val="00277060"/>
    <w:rsid w:val="0027730C"/>
    <w:rsid w:val="00277488"/>
    <w:rsid w:val="00277C9F"/>
    <w:rsid w:val="00277D68"/>
    <w:rsid w:val="002804CF"/>
    <w:rsid w:val="00280625"/>
    <w:rsid w:val="0028072A"/>
    <w:rsid w:val="00280856"/>
    <w:rsid w:val="002809B3"/>
    <w:rsid w:val="00280ABC"/>
    <w:rsid w:val="00280BCA"/>
    <w:rsid w:val="00280C2A"/>
    <w:rsid w:val="00280CFA"/>
    <w:rsid w:val="00280E2A"/>
    <w:rsid w:val="00280F29"/>
    <w:rsid w:val="00281190"/>
    <w:rsid w:val="00281203"/>
    <w:rsid w:val="00281298"/>
    <w:rsid w:val="002816A4"/>
    <w:rsid w:val="002816F4"/>
    <w:rsid w:val="00281728"/>
    <w:rsid w:val="00281750"/>
    <w:rsid w:val="0028193C"/>
    <w:rsid w:val="0028216E"/>
    <w:rsid w:val="002823DB"/>
    <w:rsid w:val="0028242B"/>
    <w:rsid w:val="002826FC"/>
    <w:rsid w:val="0028271A"/>
    <w:rsid w:val="00282723"/>
    <w:rsid w:val="0028275F"/>
    <w:rsid w:val="00282778"/>
    <w:rsid w:val="002827BA"/>
    <w:rsid w:val="00282B62"/>
    <w:rsid w:val="00282EA1"/>
    <w:rsid w:val="00283002"/>
    <w:rsid w:val="00283026"/>
    <w:rsid w:val="0028304B"/>
    <w:rsid w:val="002830F9"/>
    <w:rsid w:val="002831DA"/>
    <w:rsid w:val="00283282"/>
    <w:rsid w:val="00283628"/>
    <w:rsid w:val="002836F5"/>
    <w:rsid w:val="0028381D"/>
    <w:rsid w:val="00283A1E"/>
    <w:rsid w:val="00283A3D"/>
    <w:rsid w:val="00283A48"/>
    <w:rsid w:val="00283AD8"/>
    <w:rsid w:val="00283D7D"/>
    <w:rsid w:val="00283D93"/>
    <w:rsid w:val="002840AF"/>
    <w:rsid w:val="002840F1"/>
    <w:rsid w:val="00284240"/>
    <w:rsid w:val="0028479C"/>
    <w:rsid w:val="002847F8"/>
    <w:rsid w:val="00284A2C"/>
    <w:rsid w:val="00284A59"/>
    <w:rsid w:val="00284C16"/>
    <w:rsid w:val="00284FD0"/>
    <w:rsid w:val="0028506B"/>
    <w:rsid w:val="0028513E"/>
    <w:rsid w:val="00285452"/>
    <w:rsid w:val="00285663"/>
    <w:rsid w:val="002857BE"/>
    <w:rsid w:val="00285D5A"/>
    <w:rsid w:val="00285E52"/>
    <w:rsid w:val="00285F6B"/>
    <w:rsid w:val="00286243"/>
    <w:rsid w:val="00286395"/>
    <w:rsid w:val="002863E7"/>
    <w:rsid w:val="00286483"/>
    <w:rsid w:val="002864F6"/>
    <w:rsid w:val="00286610"/>
    <w:rsid w:val="002867FD"/>
    <w:rsid w:val="0028694E"/>
    <w:rsid w:val="00286A38"/>
    <w:rsid w:val="00286C61"/>
    <w:rsid w:val="00286DEE"/>
    <w:rsid w:val="00286E3A"/>
    <w:rsid w:val="00286F66"/>
    <w:rsid w:val="002871B4"/>
    <w:rsid w:val="002871D7"/>
    <w:rsid w:val="0028740E"/>
    <w:rsid w:val="00287686"/>
    <w:rsid w:val="0028771A"/>
    <w:rsid w:val="0028774D"/>
    <w:rsid w:val="002878FB"/>
    <w:rsid w:val="002878FE"/>
    <w:rsid w:val="002879D2"/>
    <w:rsid w:val="00287A7C"/>
    <w:rsid w:val="00287B90"/>
    <w:rsid w:val="00287BA5"/>
    <w:rsid w:val="00287ED5"/>
    <w:rsid w:val="002900B8"/>
    <w:rsid w:val="002903E9"/>
    <w:rsid w:val="00290660"/>
    <w:rsid w:val="00290890"/>
    <w:rsid w:val="0029095F"/>
    <w:rsid w:val="00290AD8"/>
    <w:rsid w:val="00290BDE"/>
    <w:rsid w:val="00290C35"/>
    <w:rsid w:val="00290D47"/>
    <w:rsid w:val="00290F0A"/>
    <w:rsid w:val="00290F22"/>
    <w:rsid w:val="00291229"/>
    <w:rsid w:val="00291326"/>
    <w:rsid w:val="0029135B"/>
    <w:rsid w:val="0029139C"/>
    <w:rsid w:val="00291403"/>
    <w:rsid w:val="002915F3"/>
    <w:rsid w:val="002918C7"/>
    <w:rsid w:val="00291A6B"/>
    <w:rsid w:val="00291DE4"/>
    <w:rsid w:val="00291F86"/>
    <w:rsid w:val="0029205C"/>
    <w:rsid w:val="002923EB"/>
    <w:rsid w:val="00292520"/>
    <w:rsid w:val="0029268B"/>
    <w:rsid w:val="00292690"/>
    <w:rsid w:val="002929B1"/>
    <w:rsid w:val="00292A5B"/>
    <w:rsid w:val="00292A97"/>
    <w:rsid w:val="00292B69"/>
    <w:rsid w:val="0029309A"/>
    <w:rsid w:val="00293183"/>
    <w:rsid w:val="00293484"/>
    <w:rsid w:val="00293A06"/>
    <w:rsid w:val="00293A80"/>
    <w:rsid w:val="00293AE0"/>
    <w:rsid w:val="00293BEC"/>
    <w:rsid w:val="00294309"/>
    <w:rsid w:val="0029446F"/>
    <w:rsid w:val="002944A1"/>
    <w:rsid w:val="002945C8"/>
    <w:rsid w:val="00294609"/>
    <w:rsid w:val="00294614"/>
    <w:rsid w:val="0029490F"/>
    <w:rsid w:val="00294959"/>
    <w:rsid w:val="0029498F"/>
    <w:rsid w:val="00294A5D"/>
    <w:rsid w:val="00294C53"/>
    <w:rsid w:val="00294EC3"/>
    <w:rsid w:val="00294EC4"/>
    <w:rsid w:val="002953A1"/>
    <w:rsid w:val="00295912"/>
    <w:rsid w:val="00295978"/>
    <w:rsid w:val="00295B58"/>
    <w:rsid w:val="00295D06"/>
    <w:rsid w:val="00295DC3"/>
    <w:rsid w:val="00295FCE"/>
    <w:rsid w:val="002960B7"/>
    <w:rsid w:val="00296128"/>
    <w:rsid w:val="002961DF"/>
    <w:rsid w:val="00296707"/>
    <w:rsid w:val="00296709"/>
    <w:rsid w:val="002967C2"/>
    <w:rsid w:val="002969E3"/>
    <w:rsid w:val="00296BB9"/>
    <w:rsid w:val="00296C1F"/>
    <w:rsid w:val="00296DDB"/>
    <w:rsid w:val="00296F0A"/>
    <w:rsid w:val="00297051"/>
    <w:rsid w:val="00297173"/>
    <w:rsid w:val="002973E4"/>
    <w:rsid w:val="002975D9"/>
    <w:rsid w:val="00297667"/>
    <w:rsid w:val="00297A20"/>
    <w:rsid w:val="00297ABB"/>
    <w:rsid w:val="00297B03"/>
    <w:rsid w:val="00297CEB"/>
    <w:rsid w:val="00297D1E"/>
    <w:rsid w:val="00297DB1"/>
    <w:rsid w:val="00297E70"/>
    <w:rsid w:val="00297F96"/>
    <w:rsid w:val="002A0139"/>
    <w:rsid w:val="002A05C3"/>
    <w:rsid w:val="002A0670"/>
    <w:rsid w:val="002A0ADD"/>
    <w:rsid w:val="002A0B0C"/>
    <w:rsid w:val="002A0B57"/>
    <w:rsid w:val="002A0C02"/>
    <w:rsid w:val="002A0CD6"/>
    <w:rsid w:val="002A0E09"/>
    <w:rsid w:val="002A0E94"/>
    <w:rsid w:val="002A0ED8"/>
    <w:rsid w:val="002A109A"/>
    <w:rsid w:val="002A109C"/>
    <w:rsid w:val="002A14AD"/>
    <w:rsid w:val="002A19E5"/>
    <w:rsid w:val="002A19FA"/>
    <w:rsid w:val="002A1A8A"/>
    <w:rsid w:val="002A1D7F"/>
    <w:rsid w:val="002A20A1"/>
    <w:rsid w:val="002A2103"/>
    <w:rsid w:val="002A2512"/>
    <w:rsid w:val="002A253E"/>
    <w:rsid w:val="002A2887"/>
    <w:rsid w:val="002A28DE"/>
    <w:rsid w:val="002A28E4"/>
    <w:rsid w:val="002A28F9"/>
    <w:rsid w:val="002A2BF1"/>
    <w:rsid w:val="002A2F51"/>
    <w:rsid w:val="002A330E"/>
    <w:rsid w:val="002A33B1"/>
    <w:rsid w:val="002A35CD"/>
    <w:rsid w:val="002A3749"/>
    <w:rsid w:val="002A378E"/>
    <w:rsid w:val="002A39CD"/>
    <w:rsid w:val="002A39D9"/>
    <w:rsid w:val="002A3A50"/>
    <w:rsid w:val="002A3FC1"/>
    <w:rsid w:val="002A410D"/>
    <w:rsid w:val="002A4249"/>
    <w:rsid w:val="002A44B9"/>
    <w:rsid w:val="002A4508"/>
    <w:rsid w:val="002A48E4"/>
    <w:rsid w:val="002A4D1F"/>
    <w:rsid w:val="002A4D59"/>
    <w:rsid w:val="002A4FE2"/>
    <w:rsid w:val="002A5148"/>
    <w:rsid w:val="002A5410"/>
    <w:rsid w:val="002A54EA"/>
    <w:rsid w:val="002A58B1"/>
    <w:rsid w:val="002A58E4"/>
    <w:rsid w:val="002A5B83"/>
    <w:rsid w:val="002A5BD2"/>
    <w:rsid w:val="002A5D34"/>
    <w:rsid w:val="002A5EA6"/>
    <w:rsid w:val="002A6308"/>
    <w:rsid w:val="002A6343"/>
    <w:rsid w:val="002A6459"/>
    <w:rsid w:val="002A6505"/>
    <w:rsid w:val="002A6700"/>
    <w:rsid w:val="002A695A"/>
    <w:rsid w:val="002A6BFA"/>
    <w:rsid w:val="002A6D6E"/>
    <w:rsid w:val="002A6DC9"/>
    <w:rsid w:val="002A6E4C"/>
    <w:rsid w:val="002A70C1"/>
    <w:rsid w:val="002A732F"/>
    <w:rsid w:val="002A7406"/>
    <w:rsid w:val="002A740C"/>
    <w:rsid w:val="002A748E"/>
    <w:rsid w:val="002A762F"/>
    <w:rsid w:val="002A7BA1"/>
    <w:rsid w:val="002A7CDE"/>
    <w:rsid w:val="002A7DC9"/>
    <w:rsid w:val="002B0248"/>
    <w:rsid w:val="002B02D1"/>
    <w:rsid w:val="002B03C2"/>
    <w:rsid w:val="002B0549"/>
    <w:rsid w:val="002B060D"/>
    <w:rsid w:val="002B064C"/>
    <w:rsid w:val="002B0A75"/>
    <w:rsid w:val="002B0B93"/>
    <w:rsid w:val="002B0C4F"/>
    <w:rsid w:val="002B0DB7"/>
    <w:rsid w:val="002B0DC5"/>
    <w:rsid w:val="002B0F0E"/>
    <w:rsid w:val="002B133B"/>
    <w:rsid w:val="002B13B9"/>
    <w:rsid w:val="002B16C1"/>
    <w:rsid w:val="002B1831"/>
    <w:rsid w:val="002B1B00"/>
    <w:rsid w:val="002B2021"/>
    <w:rsid w:val="002B21C2"/>
    <w:rsid w:val="002B23A9"/>
    <w:rsid w:val="002B23D8"/>
    <w:rsid w:val="002B255E"/>
    <w:rsid w:val="002B2677"/>
    <w:rsid w:val="002B281E"/>
    <w:rsid w:val="002B28A5"/>
    <w:rsid w:val="002B29A7"/>
    <w:rsid w:val="002B2A10"/>
    <w:rsid w:val="002B302B"/>
    <w:rsid w:val="002B32C9"/>
    <w:rsid w:val="002B32ED"/>
    <w:rsid w:val="002B3357"/>
    <w:rsid w:val="002B33CE"/>
    <w:rsid w:val="002B34D2"/>
    <w:rsid w:val="002B3516"/>
    <w:rsid w:val="002B36AD"/>
    <w:rsid w:val="002B3B12"/>
    <w:rsid w:val="002B3D70"/>
    <w:rsid w:val="002B3D82"/>
    <w:rsid w:val="002B4256"/>
    <w:rsid w:val="002B4358"/>
    <w:rsid w:val="002B45F8"/>
    <w:rsid w:val="002B48B4"/>
    <w:rsid w:val="002B4A5E"/>
    <w:rsid w:val="002B4AB4"/>
    <w:rsid w:val="002B4B33"/>
    <w:rsid w:val="002B4B9E"/>
    <w:rsid w:val="002B520B"/>
    <w:rsid w:val="002B5262"/>
    <w:rsid w:val="002B53AB"/>
    <w:rsid w:val="002B558A"/>
    <w:rsid w:val="002B5743"/>
    <w:rsid w:val="002B5762"/>
    <w:rsid w:val="002B582C"/>
    <w:rsid w:val="002B5838"/>
    <w:rsid w:val="002B58B9"/>
    <w:rsid w:val="002B6059"/>
    <w:rsid w:val="002B636C"/>
    <w:rsid w:val="002B65CA"/>
    <w:rsid w:val="002B66CF"/>
    <w:rsid w:val="002B683F"/>
    <w:rsid w:val="002B69BD"/>
    <w:rsid w:val="002B6B0B"/>
    <w:rsid w:val="002B6BA1"/>
    <w:rsid w:val="002B6C0B"/>
    <w:rsid w:val="002B6C52"/>
    <w:rsid w:val="002B6D90"/>
    <w:rsid w:val="002B6F9A"/>
    <w:rsid w:val="002B7148"/>
    <w:rsid w:val="002B71BF"/>
    <w:rsid w:val="002B7285"/>
    <w:rsid w:val="002B7444"/>
    <w:rsid w:val="002B761F"/>
    <w:rsid w:val="002B7685"/>
    <w:rsid w:val="002B77FF"/>
    <w:rsid w:val="002B79FB"/>
    <w:rsid w:val="002B7AA1"/>
    <w:rsid w:val="002B7B3E"/>
    <w:rsid w:val="002B7C12"/>
    <w:rsid w:val="002B7FD1"/>
    <w:rsid w:val="002C0358"/>
    <w:rsid w:val="002C03E3"/>
    <w:rsid w:val="002C04A7"/>
    <w:rsid w:val="002C0590"/>
    <w:rsid w:val="002C05D9"/>
    <w:rsid w:val="002C0626"/>
    <w:rsid w:val="002C0BF0"/>
    <w:rsid w:val="002C0D1C"/>
    <w:rsid w:val="002C0D65"/>
    <w:rsid w:val="002C0EBC"/>
    <w:rsid w:val="002C11BC"/>
    <w:rsid w:val="002C1306"/>
    <w:rsid w:val="002C1383"/>
    <w:rsid w:val="002C1453"/>
    <w:rsid w:val="002C1B14"/>
    <w:rsid w:val="002C1D60"/>
    <w:rsid w:val="002C1F88"/>
    <w:rsid w:val="002C24E3"/>
    <w:rsid w:val="002C24E5"/>
    <w:rsid w:val="002C2626"/>
    <w:rsid w:val="002C2739"/>
    <w:rsid w:val="002C2756"/>
    <w:rsid w:val="002C27E2"/>
    <w:rsid w:val="002C2B08"/>
    <w:rsid w:val="002C2DC0"/>
    <w:rsid w:val="002C2E67"/>
    <w:rsid w:val="002C2EBD"/>
    <w:rsid w:val="002C34CA"/>
    <w:rsid w:val="002C3500"/>
    <w:rsid w:val="002C38FD"/>
    <w:rsid w:val="002C40A5"/>
    <w:rsid w:val="002C40BC"/>
    <w:rsid w:val="002C40E8"/>
    <w:rsid w:val="002C4300"/>
    <w:rsid w:val="002C43D4"/>
    <w:rsid w:val="002C4541"/>
    <w:rsid w:val="002C48A1"/>
    <w:rsid w:val="002C48EC"/>
    <w:rsid w:val="002C4A5F"/>
    <w:rsid w:val="002C4A87"/>
    <w:rsid w:val="002C4B1F"/>
    <w:rsid w:val="002C4C5A"/>
    <w:rsid w:val="002C4F09"/>
    <w:rsid w:val="002C4FE1"/>
    <w:rsid w:val="002C50C9"/>
    <w:rsid w:val="002C5128"/>
    <w:rsid w:val="002C51C0"/>
    <w:rsid w:val="002C528B"/>
    <w:rsid w:val="002C52AE"/>
    <w:rsid w:val="002C53C9"/>
    <w:rsid w:val="002C58D6"/>
    <w:rsid w:val="002C5996"/>
    <w:rsid w:val="002C5C03"/>
    <w:rsid w:val="002C5C34"/>
    <w:rsid w:val="002C5C71"/>
    <w:rsid w:val="002C5DB8"/>
    <w:rsid w:val="002C5E87"/>
    <w:rsid w:val="002C5F1C"/>
    <w:rsid w:val="002C6183"/>
    <w:rsid w:val="002C662B"/>
    <w:rsid w:val="002C6B32"/>
    <w:rsid w:val="002C6BA2"/>
    <w:rsid w:val="002C6C63"/>
    <w:rsid w:val="002C6E27"/>
    <w:rsid w:val="002C6E90"/>
    <w:rsid w:val="002C6F83"/>
    <w:rsid w:val="002C7043"/>
    <w:rsid w:val="002C7063"/>
    <w:rsid w:val="002C7065"/>
    <w:rsid w:val="002C712F"/>
    <w:rsid w:val="002C71A4"/>
    <w:rsid w:val="002C73B9"/>
    <w:rsid w:val="002C7576"/>
    <w:rsid w:val="002C763F"/>
    <w:rsid w:val="002C7713"/>
    <w:rsid w:val="002C77AF"/>
    <w:rsid w:val="002C7A85"/>
    <w:rsid w:val="002C7C29"/>
    <w:rsid w:val="002C7C5A"/>
    <w:rsid w:val="002C7D1D"/>
    <w:rsid w:val="002C7D67"/>
    <w:rsid w:val="002C7E50"/>
    <w:rsid w:val="002C7F55"/>
    <w:rsid w:val="002C7FA1"/>
    <w:rsid w:val="002C7FFE"/>
    <w:rsid w:val="002D0025"/>
    <w:rsid w:val="002D0389"/>
    <w:rsid w:val="002D03B0"/>
    <w:rsid w:val="002D042A"/>
    <w:rsid w:val="002D0868"/>
    <w:rsid w:val="002D0A27"/>
    <w:rsid w:val="002D0BA4"/>
    <w:rsid w:val="002D0DBA"/>
    <w:rsid w:val="002D0DF2"/>
    <w:rsid w:val="002D0F87"/>
    <w:rsid w:val="002D0FAA"/>
    <w:rsid w:val="002D0FE5"/>
    <w:rsid w:val="002D1245"/>
    <w:rsid w:val="002D1434"/>
    <w:rsid w:val="002D159E"/>
    <w:rsid w:val="002D15CF"/>
    <w:rsid w:val="002D1841"/>
    <w:rsid w:val="002D193E"/>
    <w:rsid w:val="002D1977"/>
    <w:rsid w:val="002D19BD"/>
    <w:rsid w:val="002D1C7D"/>
    <w:rsid w:val="002D1D37"/>
    <w:rsid w:val="002D1D9F"/>
    <w:rsid w:val="002D1DCD"/>
    <w:rsid w:val="002D2027"/>
    <w:rsid w:val="002D228B"/>
    <w:rsid w:val="002D2330"/>
    <w:rsid w:val="002D23CA"/>
    <w:rsid w:val="002D27C5"/>
    <w:rsid w:val="002D28CF"/>
    <w:rsid w:val="002D293F"/>
    <w:rsid w:val="002D2FA6"/>
    <w:rsid w:val="002D2FF5"/>
    <w:rsid w:val="002D3121"/>
    <w:rsid w:val="002D328E"/>
    <w:rsid w:val="002D33C9"/>
    <w:rsid w:val="002D3578"/>
    <w:rsid w:val="002D35F2"/>
    <w:rsid w:val="002D3600"/>
    <w:rsid w:val="002D360A"/>
    <w:rsid w:val="002D3642"/>
    <w:rsid w:val="002D36D4"/>
    <w:rsid w:val="002D3A0D"/>
    <w:rsid w:val="002D3AAE"/>
    <w:rsid w:val="002D3BFD"/>
    <w:rsid w:val="002D3F27"/>
    <w:rsid w:val="002D410A"/>
    <w:rsid w:val="002D413C"/>
    <w:rsid w:val="002D4165"/>
    <w:rsid w:val="002D4183"/>
    <w:rsid w:val="002D41E7"/>
    <w:rsid w:val="002D4205"/>
    <w:rsid w:val="002D4243"/>
    <w:rsid w:val="002D42BB"/>
    <w:rsid w:val="002D4383"/>
    <w:rsid w:val="002D444B"/>
    <w:rsid w:val="002D4491"/>
    <w:rsid w:val="002D49B5"/>
    <w:rsid w:val="002D4ABD"/>
    <w:rsid w:val="002D4D5A"/>
    <w:rsid w:val="002D5197"/>
    <w:rsid w:val="002D56CE"/>
    <w:rsid w:val="002D589B"/>
    <w:rsid w:val="002D596E"/>
    <w:rsid w:val="002D59A5"/>
    <w:rsid w:val="002D5F36"/>
    <w:rsid w:val="002D5F5F"/>
    <w:rsid w:val="002D5F86"/>
    <w:rsid w:val="002D61F9"/>
    <w:rsid w:val="002D6279"/>
    <w:rsid w:val="002D6358"/>
    <w:rsid w:val="002D6517"/>
    <w:rsid w:val="002D65E4"/>
    <w:rsid w:val="002D68A6"/>
    <w:rsid w:val="002D6A6E"/>
    <w:rsid w:val="002D6FF3"/>
    <w:rsid w:val="002D7120"/>
    <w:rsid w:val="002D71CD"/>
    <w:rsid w:val="002D7218"/>
    <w:rsid w:val="002D7499"/>
    <w:rsid w:val="002D758A"/>
    <w:rsid w:val="002D7593"/>
    <w:rsid w:val="002D762C"/>
    <w:rsid w:val="002D7879"/>
    <w:rsid w:val="002D7A58"/>
    <w:rsid w:val="002D7B76"/>
    <w:rsid w:val="002D7B79"/>
    <w:rsid w:val="002D7B8C"/>
    <w:rsid w:val="002D7DEE"/>
    <w:rsid w:val="002D7E37"/>
    <w:rsid w:val="002E03B9"/>
    <w:rsid w:val="002E0414"/>
    <w:rsid w:val="002E0455"/>
    <w:rsid w:val="002E0498"/>
    <w:rsid w:val="002E05D9"/>
    <w:rsid w:val="002E05DE"/>
    <w:rsid w:val="002E06A5"/>
    <w:rsid w:val="002E0828"/>
    <w:rsid w:val="002E08C8"/>
    <w:rsid w:val="002E0E7A"/>
    <w:rsid w:val="002E0F43"/>
    <w:rsid w:val="002E0FF8"/>
    <w:rsid w:val="002E10C4"/>
    <w:rsid w:val="002E1686"/>
    <w:rsid w:val="002E177B"/>
    <w:rsid w:val="002E1908"/>
    <w:rsid w:val="002E1B55"/>
    <w:rsid w:val="002E1DA1"/>
    <w:rsid w:val="002E1DF5"/>
    <w:rsid w:val="002E207E"/>
    <w:rsid w:val="002E22D9"/>
    <w:rsid w:val="002E25A4"/>
    <w:rsid w:val="002E2692"/>
    <w:rsid w:val="002E2717"/>
    <w:rsid w:val="002E2818"/>
    <w:rsid w:val="002E2CF1"/>
    <w:rsid w:val="002E2E8B"/>
    <w:rsid w:val="002E2F13"/>
    <w:rsid w:val="002E3133"/>
    <w:rsid w:val="002E3156"/>
    <w:rsid w:val="002E3211"/>
    <w:rsid w:val="002E3333"/>
    <w:rsid w:val="002E3356"/>
    <w:rsid w:val="002E33C3"/>
    <w:rsid w:val="002E3468"/>
    <w:rsid w:val="002E38E6"/>
    <w:rsid w:val="002E38FA"/>
    <w:rsid w:val="002E3A78"/>
    <w:rsid w:val="002E3BC4"/>
    <w:rsid w:val="002E3F3F"/>
    <w:rsid w:val="002E42AD"/>
    <w:rsid w:val="002E42F5"/>
    <w:rsid w:val="002E437E"/>
    <w:rsid w:val="002E44A7"/>
    <w:rsid w:val="002E44AB"/>
    <w:rsid w:val="002E46D7"/>
    <w:rsid w:val="002E4734"/>
    <w:rsid w:val="002E48ED"/>
    <w:rsid w:val="002E54FA"/>
    <w:rsid w:val="002E5566"/>
    <w:rsid w:val="002E55B8"/>
    <w:rsid w:val="002E5781"/>
    <w:rsid w:val="002E57AC"/>
    <w:rsid w:val="002E57BD"/>
    <w:rsid w:val="002E582D"/>
    <w:rsid w:val="002E59E0"/>
    <w:rsid w:val="002E5A2F"/>
    <w:rsid w:val="002E5B20"/>
    <w:rsid w:val="002E5CA9"/>
    <w:rsid w:val="002E5EAC"/>
    <w:rsid w:val="002E5F7C"/>
    <w:rsid w:val="002E6115"/>
    <w:rsid w:val="002E61D2"/>
    <w:rsid w:val="002E61F9"/>
    <w:rsid w:val="002E6291"/>
    <w:rsid w:val="002E63C3"/>
    <w:rsid w:val="002E6471"/>
    <w:rsid w:val="002E648E"/>
    <w:rsid w:val="002E67E6"/>
    <w:rsid w:val="002E6ED0"/>
    <w:rsid w:val="002E6F72"/>
    <w:rsid w:val="002E707A"/>
    <w:rsid w:val="002E7146"/>
    <w:rsid w:val="002E730D"/>
    <w:rsid w:val="002E732E"/>
    <w:rsid w:val="002E7783"/>
    <w:rsid w:val="002E7830"/>
    <w:rsid w:val="002E797C"/>
    <w:rsid w:val="002E7A22"/>
    <w:rsid w:val="002E7A97"/>
    <w:rsid w:val="002E7B54"/>
    <w:rsid w:val="002E7B7B"/>
    <w:rsid w:val="002E7CD9"/>
    <w:rsid w:val="002E7F22"/>
    <w:rsid w:val="002F0205"/>
    <w:rsid w:val="002F03C1"/>
    <w:rsid w:val="002F042C"/>
    <w:rsid w:val="002F05CD"/>
    <w:rsid w:val="002F0874"/>
    <w:rsid w:val="002F0A51"/>
    <w:rsid w:val="002F0A90"/>
    <w:rsid w:val="002F0DF9"/>
    <w:rsid w:val="002F0E4B"/>
    <w:rsid w:val="002F1066"/>
    <w:rsid w:val="002F1191"/>
    <w:rsid w:val="002F12A9"/>
    <w:rsid w:val="002F12EF"/>
    <w:rsid w:val="002F1568"/>
    <w:rsid w:val="002F15A8"/>
    <w:rsid w:val="002F1777"/>
    <w:rsid w:val="002F189F"/>
    <w:rsid w:val="002F1935"/>
    <w:rsid w:val="002F1A32"/>
    <w:rsid w:val="002F1AB6"/>
    <w:rsid w:val="002F1D70"/>
    <w:rsid w:val="002F1ED3"/>
    <w:rsid w:val="002F218E"/>
    <w:rsid w:val="002F21F8"/>
    <w:rsid w:val="002F2578"/>
    <w:rsid w:val="002F2A63"/>
    <w:rsid w:val="002F2DA5"/>
    <w:rsid w:val="002F2E99"/>
    <w:rsid w:val="002F2F4B"/>
    <w:rsid w:val="002F2F84"/>
    <w:rsid w:val="002F3005"/>
    <w:rsid w:val="002F322A"/>
    <w:rsid w:val="002F34CB"/>
    <w:rsid w:val="002F3501"/>
    <w:rsid w:val="002F37AD"/>
    <w:rsid w:val="002F3916"/>
    <w:rsid w:val="002F3987"/>
    <w:rsid w:val="002F39B1"/>
    <w:rsid w:val="002F3A34"/>
    <w:rsid w:val="002F3DBA"/>
    <w:rsid w:val="002F3FE2"/>
    <w:rsid w:val="002F4172"/>
    <w:rsid w:val="002F4334"/>
    <w:rsid w:val="002F44CB"/>
    <w:rsid w:val="002F4603"/>
    <w:rsid w:val="002F476E"/>
    <w:rsid w:val="002F4900"/>
    <w:rsid w:val="002F49CE"/>
    <w:rsid w:val="002F4EB0"/>
    <w:rsid w:val="002F4EBA"/>
    <w:rsid w:val="002F4ED4"/>
    <w:rsid w:val="002F517A"/>
    <w:rsid w:val="002F52B0"/>
    <w:rsid w:val="002F53FE"/>
    <w:rsid w:val="002F551B"/>
    <w:rsid w:val="002F5540"/>
    <w:rsid w:val="002F55DD"/>
    <w:rsid w:val="002F57EC"/>
    <w:rsid w:val="002F5942"/>
    <w:rsid w:val="002F5A6B"/>
    <w:rsid w:val="002F5A87"/>
    <w:rsid w:val="002F5D12"/>
    <w:rsid w:val="002F5E5B"/>
    <w:rsid w:val="002F5ED7"/>
    <w:rsid w:val="002F5FD3"/>
    <w:rsid w:val="002F60C4"/>
    <w:rsid w:val="002F60E0"/>
    <w:rsid w:val="002F6186"/>
    <w:rsid w:val="002F63C5"/>
    <w:rsid w:val="002F64C1"/>
    <w:rsid w:val="002F66A0"/>
    <w:rsid w:val="002F6863"/>
    <w:rsid w:val="002F69DF"/>
    <w:rsid w:val="002F6E74"/>
    <w:rsid w:val="002F6F16"/>
    <w:rsid w:val="002F6FAF"/>
    <w:rsid w:val="002F6FC7"/>
    <w:rsid w:val="002F7238"/>
    <w:rsid w:val="002F7253"/>
    <w:rsid w:val="002F738A"/>
    <w:rsid w:val="002F748B"/>
    <w:rsid w:val="002F74DE"/>
    <w:rsid w:val="002F76D7"/>
    <w:rsid w:val="002F7748"/>
    <w:rsid w:val="002F78EA"/>
    <w:rsid w:val="002F797F"/>
    <w:rsid w:val="002F7B43"/>
    <w:rsid w:val="002F7C45"/>
    <w:rsid w:val="002F7C8A"/>
    <w:rsid w:val="002F7E6C"/>
    <w:rsid w:val="002F7ECD"/>
    <w:rsid w:val="002F7F29"/>
    <w:rsid w:val="003000A8"/>
    <w:rsid w:val="003000CE"/>
    <w:rsid w:val="00300230"/>
    <w:rsid w:val="00300271"/>
    <w:rsid w:val="0030070A"/>
    <w:rsid w:val="003008C1"/>
    <w:rsid w:val="00300A3C"/>
    <w:rsid w:val="00300ADB"/>
    <w:rsid w:val="00300B03"/>
    <w:rsid w:val="00300B0D"/>
    <w:rsid w:val="00300D17"/>
    <w:rsid w:val="00300EBE"/>
    <w:rsid w:val="00300FA7"/>
    <w:rsid w:val="0030102F"/>
    <w:rsid w:val="0030125F"/>
    <w:rsid w:val="003014A4"/>
    <w:rsid w:val="003014DB"/>
    <w:rsid w:val="00301650"/>
    <w:rsid w:val="00301855"/>
    <w:rsid w:val="00301885"/>
    <w:rsid w:val="00301A6D"/>
    <w:rsid w:val="00301B7C"/>
    <w:rsid w:val="00301CEE"/>
    <w:rsid w:val="00301D00"/>
    <w:rsid w:val="00301DA3"/>
    <w:rsid w:val="00301F15"/>
    <w:rsid w:val="00301F9C"/>
    <w:rsid w:val="0030232D"/>
    <w:rsid w:val="0030261F"/>
    <w:rsid w:val="00302A07"/>
    <w:rsid w:val="00302A22"/>
    <w:rsid w:val="00302A44"/>
    <w:rsid w:val="00302C88"/>
    <w:rsid w:val="00302DB2"/>
    <w:rsid w:val="00302F61"/>
    <w:rsid w:val="00302F64"/>
    <w:rsid w:val="00303012"/>
    <w:rsid w:val="00303168"/>
    <w:rsid w:val="003031E3"/>
    <w:rsid w:val="0030336F"/>
    <w:rsid w:val="00303463"/>
    <w:rsid w:val="003034C3"/>
    <w:rsid w:val="00303631"/>
    <w:rsid w:val="003038F5"/>
    <w:rsid w:val="003039DF"/>
    <w:rsid w:val="00303AD7"/>
    <w:rsid w:val="00303DD0"/>
    <w:rsid w:val="00304110"/>
    <w:rsid w:val="00304113"/>
    <w:rsid w:val="003041AF"/>
    <w:rsid w:val="003041DA"/>
    <w:rsid w:val="0030442D"/>
    <w:rsid w:val="00304444"/>
    <w:rsid w:val="00304587"/>
    <w:rsid w:val="00304670"/>
    <w:rsid w:val="003046BD"/>
    <w:rsid w:val="00304770"/>
    <w:rsid w:val="003048F4"/>
    <w:rsid w:val="00304B13"/>
    <w:rsid w:val="00304CC1"/>
    <w:rsid w:val="00304D8D"/>
    <w:rsid w:val="00304EBA"/>
    <w:rsid w:val="003050A4"/>
    <w:rsid w:val="00305194"/>
    <w:rsid w:val="00305195"/>
    <w:rsid w:val="0030574A"/>
    <w:rsid w:val="00305832"/>
    <w:rsid w:val="0030586A"/>
    <w:rsid w:val="00305BDD"/>
    <w:rsid w:val="00305CE7"/>
    <w:rsid w:val="00305DA0"/>
    <w:rsid w:val="00305FAF"/>
    <w:rsid w:val="003060C5"/>
    <w:rsid w:val="003061AD"/>
    <w:rsid w:val="00306257"/>
    <w:rsid w:val="003062C4"/>
    <w:rsid w:val="003062D7"/>
    <w:rsid w:val="003063E3"/>
    <w:rsid w:val="003066A2"/>
    <w:rsid w:val="003068D4"/>
    <w:rsid w:val="0030694B"/>
    <w:rsid w:val="003069D8"/>
    <w:rsid w:val="00306A35"/>
    <w:rsid w:val="00306B12"/>
    <w:rsid w:val="00306C1E"/>
    <w:rsid w:val="00306C5F"/>
    <w:rsid w:val="00306CE7"/>
    <w:rsid w:val="00307095"/>
    <w:rsid w:val="00307099"/>
    <w:rsid w:val="00307311"/>
    <w:rsid w:val="003073FF"/>
    <w:rsid w:val="00307682"/>
    <w:rsid w:val="00307698"/>
    <w:rsid w:val="0030786C"/>
    <w:rsid w:val="00307962"/>
    <w:rsid w:val="00307980"/>
    <w:rsid w:val="00307ADF"/>
    <w:rsid w:val="00307B59"/>
    <w:rsid w:val="00307BC0"/>
    <w:rsid w:val="00307DA4"/>
    <w:rsid w:val="003100D4"/>
    <w:rsid w:val="0031016E"/>
    <w:rsid w:val="003101E2"/>
    <w:rsid w:val="00310437"/>
    <w:rsid w:val="0031059C"/>
    <w:rsid w:val="00310C94"/>
    <w:rsid w:val="003110D0"/>
    <w:rsid w:val="00311288"/>
    <w:rsid w:val="0031138D"/>
    <w:rsid w:val="0031142C"/>
    <w:rsid w:val="003114BA"/>
    <w:rsid w:val="003116C5"/>
    <w:rsid w:val="00311B50"/>
    <w:rsid w:val="00311B56"/>
    <w:rsid w:val="00311BD3"/>
    <w:rsid w:val="00311EA7"/>
    <w:rsid w:val="00312054"/>
    <w:rsid w:val="003120C5"/>
    <w:rsid w:val="003122F4"/>
    <w:rsid w:val="0031234E"/>
    <w:rsid w:val="00312439"/>
    <w:rsid w:val="0031264F"/>
    <w:rsid w:val="0031273F"/>
    <w:rsid w:val="00312B4D"/>
    <w:rsid w:val="00312B5F"/>
    <w:rsid w:val="00312E03"/>
    <w:rsid w:val="00313199"/>
    <w:rsid w:val="003133C2"/>
    <w:rsid w:val="0031373D"/>
    <w:rsid w:val="00313971"/>
    <w:rsid w:val="00313AFC"/>
    <w:rsid w:val="00313B3B"/>
    <w:rsid w:val="00313B9A"/>
    <w:rsid w:val="00313BCE"/>
    <w:rsid w:val="0031422B"/>
    <w:rsid w:val="0031445A"/>
    <w:rsid w:val="00314BF8"/>
    <w:rsid w:val="00314F95"/>
    <w:rsid w:val="0031501B"/>
    <w:rsid w:val="00315085"/>
    <w:rsid w:val="003150CE"/>
    <w:rsid w:val="003154C4"/>
    <w:rsid w:val="00315559"/>
    <w:rsid w:val="00315583"/>
    <w:rsid w:val="003155C3"/>
    <w:rsid w:val="003155E8"/>
    <w:rsid w:val="003156D3"/>
    <w:rsid w:val="00315900"/>
    <w:rsid w:val="00315ABE"/>
    <w:rsid w:val="00315B55"/>
    <w:rsid w:val="00315DA9"/>
    <w:rsid w:val="00315E94"/>
    <w:rsid w:val="00316019"/>
    <w:rsid w:val="0031620C"/>
    <w:rsid w:val="003162BC"/>
    <w:rsid w:val="003162BD"/>
    <w:rsid w:val="00316333"/>
    <w:rsid w:val="00316342"/>
    <w:rsid w:val="003163A7"/>
    <w:rsid w:val="00316682"/>
    <w:rsid w:val="0031685D"/>
    <w:rsid w:val="0031686D"/>
    <w:rsid w:val="0031687E"/>
    <w:rsid w:val="00317482"/>
    <w:rsid w:val="003175BB"/>
    <w:rsid w:val="003175BC"/>
    <w:rsid w:val="003176B1"/>
    <w:rsid w:val="00317701"/>
    <w:rsid w:val="003178D0"/>
    <w:rsid w:val="003178FD"/>
    <w:rsid w:val="00317CF5"/>
    <w:rsid w:val="00317D80"/>
    <w:rsid w:val="00317D84"/>
    <w:rsid w:val="00317DE4"/>
    <w:rsid w:val="00317DE9"/>
    <w:rsid w:val="00317E34"/>
    <w:rsid w:val="0032001F"/>
    <w:rsid w:val="003203BE"/>
    <w:rsid w:val="003204B0"/>
    <w:rsid w:val="00320843"/>
    <w:rsid w:val="00320AA9"/>
    <w:rsid w:val="00320BA6"/>
    <w:rsid w:val="00320BE9"/>
    <w:rsid w:val="00320FC4"/>
    <w:rsid w:val="00321286"/>
    <w:rsid w:val="00321399"/>
    <w:rsid w:val="00321C02"/>
    <w:rsid w:val="00321D49"/>
    <w:rsid w:val="00321DA1"/>
    <w:rsid w:val="00321DD7"/>
    <w:rsid w:val="00321E20"/>
    <w:rsid w:val="00321EB8"/>
    <w:rsid w:val="00321F3D"/>
    <w:rsid w:val="00322207"/>
    <w:rsid w:val="0032221D"/>
    <w:rsid w:val="0032226E"/>
    <w:rsid w:val="00322296"/>
    <w:rsid w:val="003222B7"/>
    <w:rsid w:val="00322395"/>
    <w:rsid w:val="003224D0"/>
    <w:rsid w:val="003226A8"/>
    <w:rsid w:val="00322848"/>
    <w:rsid w:val="003228AC"/>
    <w:rsid w:val="00322912"/>
    <w:rsid w:val="00322943"/>
    <w:rsid w:val="00322F37"/>
    <w:rsid w:val="00322FED"/>
    <w:rsid w:val="00323002"/>
    <w:rsid w:val="003231B0"/>
    <w:rsid w:val="003234C6"/>
    <w:rsid w:val="00323619"/>
    <w:rsid w:val="0032374D"/>
    <w:rsid w:val="00323AE5"/>
    <w:rsid w:val="00323BFA"/>
    <w:rsid w:val="00323C06"/>
    <w:rsid w:val="00323C3F"/>
    <w:rsid w:val="00323CF4"/>
    <w:rsid w:val="00323DBD"/>
    <w:rsid w:val="00323FC2"/>
    <w:rsid w:val="003246B8"/>
    <w:rsid w:val="0032471A"/>
    <w:rsid w:val="0032485C"/>
    <w:rsid w:val="003249D4"/>
    <w:rsid w:val="00324AC2"/>
    <w:rsid w:val="00324D5B"/>
    <w:rsid w:val="00324DBF"/>
    <w:rsid w:val="00325074"/>
    <w:rsid w:val="00325080"/>
    <w:rsid w:val="003252BA"/>
    <w:rsid w:val="00325326"/>
    <w:rsid w:val="00325447"/>
    <w:rsid w:val="0032555D"/>
    <w:rsid w:val="00325628"/>
    <w:rsid w:val="00325988"/>
    <w:rsid w:val="003259C7"/>
    <w:rsid w:val="00325A53"/>
    <w:rsid w:val="00325D6C"/>
    <w:rsid w:val="00325E62"/>
    <w:rsid w:val="00325F26"/>
    <w:rsid w:val="00325FB8"/>
    <w:rsid w:val="00326276"/>
    <w:rsid w:val="00326485"/>
    <w:rsid w:val="003264EF"/>
    <w:rsid w:val="0032657D"/>
    <w:rsid w:val="0032678D"/>
    <w:rsid w:val="00326825"/>
    <w:rsid w:val="0032696C"/>
    <w:rsid w:val="00326983"/>
    <w:rsid w:val="00326A02"/>
    <w:rsid w:val="00326A64"/>
    <w:rsid w:val="00326B60"/>
    <w:rsid w:val="00326C3E"/>
    <w:rsid w:val="00326C4B"/>
    <w:rsid w:val="00326C8C"/>
    <w:rsid w:val="00326DA4"/>
    <w:rsid w:val="00326DE7"/>
    <w:rsid w:val="00326E6C"/>
    <w:rsid w:val="00326E78"/>
    <w:rsid w:val="003270E9"/>
    <w:rsid w:val="00327149"/>
    <w:rsid w:val="00327194"/>
    <w:rsid w:val="00327201"/>
    <w:rsid w:val="00327238"/>
    <w:rsid w:val="003274F2"/>
    <w:rsid w:val="00327521"/>
    <w:rsid w:val="0032752C"/>
    <w:rsid w:val="003275B7"/>
    <w:rsid w:val="003275E8"/>
    <w:rsid w:val="00327670"/>
    <w:rsid w:val="0032768B"/>
    <w:rsid w:val="00327762"/>
    <w:rsid w:val="003277FA"/>
    <w:rsid w:val="00327C02"/>
    <w:rsid w:val="00327C1C"/>
    <w:rsid w:val="00327CB1"/>
    <w:rsid w:val="00327E39"/>
    <w:rsid w:val="00327FE1"/>
    <w:rsid w:val="00327FF0"/>
    <w:rsid w:val="0033009E"/>
    <w:rsid w:val="003300BC"/>
    <w:rsid w:val="00330206"/>
    <w:rsid w:val="003302F5"/>
    <w:rsid w:val="0033035B"/>
    <w:rsid w:val="003304DC"/>
    <w:rsid w:val="00330566"/>
    <w:rsid w:val="0033095E"/>
    <w:rsid w:val="00330AA2"/>
    <w:rsid w:val="00330D3E"/>
    <w:rsid w:val="00330DB5"/>
    <w:rsid w:val="00330EFF"/>
    <w:rsid w:val="0033119B"/>
    <w:rsid w:val="003311BA"/>
    <w:rsid w:val="003313C3"/>
    <w:rsid w:val="00331408"/>
    <w:rsid w:val="00331532"/>
    <w:rsid w:val="00331550"/>
    <w:rsid w:val="003315EB"/>
    <w:rsid w:val="0033160F"/>
    <w:rsid w:val="003316BB"/>
    <w:rsid w:val="003316C6"/>
    <w:rsid w:val="00331DE6"/>
    <w:rsid w:val="003321D1"/>
    <w:rsid w:val="0033249E"/>
    <w:rsid w:val="003324C9"/>
    <w:rsid w:val="00332619"/>
    <w:rsid w:val="00332687"/>
    <w:rsid w:val="00332AA8"/>
    <w:rsid w:val="00332C6E"/>
    <w:rsid w:val="00332CD4"/>
    <w:rsid w:val="00332CEB"/>
    <w:rsid w:val="00332D35"/>
    <w:rsid w:val="00332F35"/>
    <w:rsid w:val="003330BA"/>
    <w:rsid w:val="003330FF"/>
    <w:rsid w:val="00333151"/>
    <w:rsid w:val="003332E4"/>
    <w:rsid w:val="003334F1"/>
    <w:rsid w:val="003336EE"/>
    <w:rsid w:val="0033374B"/>
    <w:rsid w:val="0033381E"/>
    <w:rsid w:val="00333A47"/>
    <w:rsid w:val="00333FE0"/>
    <w:rsid w:val="00334167"/>
    <w:rsid w:val="003342A3"/>
    <w:rsid w:val="003344AC"/>
    <w:rsid w:val="003345A2"/>
    <w:rsid w:val="003345C7"/>
    <w:rsid w:val="0033466E"/>
    <w:rsid w:val="00334725"/>
    <w:rsid w:val="003347D0"/>
    <w:rsid w:val="00334896"/>
    <w:rsid w:val="003349D4"/>
    <w:rsid w:val="00334D83"/>
    <w:rsid w:val="00334E2E"/>
    <w:rsid w:val="00335023"/>
    <w:rsid w:val="0033504C"/>
    <w:rsid w:val="003353A1"/>
    <w:rsid w:val="003354B9"/>
    <w:rsid w:val="0033565A"/>
    <w:rsid w:val="003357AC"/>
    <w:rsid w:val="0033585C"/>
    <w:rsid w:val="00335C60"/>
    <w:rsid w:val="00335E8C"/>
    <w:rsid w:val="0033602A"/>
    <w:rsid w:val="003361D1"/>
    <w:rsid w:val="003361FD"/>
    <w:rsid w:val="00336225"/>
    <w:rsid w:val="00336345"/>
    <w:rsid w:val="00336371"/>
    <w:rsid w:val="00336A7D"/>
    <w:rsid w:val="00336FE4"/>
    <w:rsid w:val="00337095"/>
    <w:rsid w:val="00337179"/>
    <w:rsid w:val="003372D9"/>
    <w:rsid w:val="0033749A"/>
    <w:rsid w:val="0033771F"/>
    <w:rsid w:val="00337CE9"/>
    <w:rsid w:val="0034008E"/>
    <w:rsid w:val="003406F0"/>
    <w:rsid w:val="00340A82"/>
    <w:rsid w:val="00340B82"/>
    <w:rsid w:val="00340CD8"/>
    <w:rsid w:val="003411BE"/>
    <w:rsid w:val="003412BC"/>
    <w:rsid w:val="00341369"/>
    <w:rsid w:val="00341375"/>
    <w:rsid w:val="003414B3"/>
    <w:rsid w:val="00341552"/>
    <w:rsid w:val="00341668"/>
    <w:rsid w:val="003416F3"/>
    <w:rsid w:val="00341813"/>
    <w:rsid w:val="00341B59"/>
    <w:rsid w:val="00341BE8"/>
    <w:rsid w:val="00341C93"/>
    <w:rsid w:val="00341D9E"/>
    <w:rsid w:val="00341E78"/>
    <w:rsid w:val="00341E91"/>
    <w:rsid w:val="00341FA0"/>
    <w:rsid w:val="0034205D"/>
    <w:rsid w:val="003420C4"/>
    <w:rsid w:val="0034224F"/>
    <w:rsid w:val="00342266"/>
    <w:rsid w:val="0034246C"/>
    <w:rsid w:val="00342470"/>
    <w:rsid w:val="003424AA"/>
    <w:rsid w:val="00342795"/>
    <w:rsid w:val="00342819"/>
    <w:rsid w:val="00342989"/>
    <w:rsid w:val="0034298A"/>
    <w:rsid w:val="00342ACD"/>
    <w:rsid w:val="00342DD6"/>
    <w:rsid w:val="00342DE4"/>
    <w:rsid w:val="003430A1"/>
    <w:rsid w:val="00343100"/>
    <w:rsid w:val="0034315A"/>
    <w:rsid w:val="00343242"/>
    <w:rsid w:val="0034339E"/>
    <w:rsid w:val="003434EE"/>
    <w:rsid w:val="0034355E"/>
    <w:rsid w:val="003437BB"/>
    <w:rsid w:val="003437C6"/>
    <w:rsid w:val="00343821"/>
    <w:rsid w:val="00343AD7"/>
    <w:rsid w:val="00343AF4"/>
    <w:rsid w:val="00343AF9"/>
    <w:rsid w:val="00343B1A"/>
    <w:rsid w:val="00343BE4"/>
    <w:rsid w:val="00343CA4"/>
    <w:rsid w:val="00344002"/>
    <w:rsid w:val="003441F2"/>
    <w:rsid w:val="0034431F"/>
    <w:rsid w:val="0034439D"/>
    <w:rsid w:val="0034440A"/>
    <w:rsid w:val="003447A0"/>
    <w:rsid w:val="00344877"/>
    <w:rsid w:val="00344B2E"/>
    <w:rsid w:val="00344BD7"/>
    <w:rsid w:val="00344CDF"/>
    <w:rsid w:val="00344D82"/>
    <w:rsid w:val="00344E62"/>
    <w:rsid w:val="00344F4F"/>
    <w:rsid w:val="00345012"/>
    <w:rsid w:val="00345055"/>
    <w:rsid w:val="003451EB"/>
    <w:rsid w:val="00345202"/>
    <w:rsid w:val="00345206"/>
    <w:rsid w:val="00345261"/>
    <w:rsid w:val="0034530D"/>
    <w:rsid w:val="003453E2"/>
    <w:rsid w:val="003454F1"/>
    <w:rsid w:val="0034556D"/>
    <w:rsid w:val="0034575F"/>
    <w:rsid w:val="0034577E"/>
    <w:rsid w:val="00345A7E"/>
    <w:rsid w:val="00345A9C"/>
    <w:rsid w:val="00345E80"/>
    <w:rsid w:val="00345F16"/>
    <w:rsid w:val="00346018"/>
    <w:rsid w:val="0034620C"/>
    <w:rsid w:val="003462F7"/>
    <w:rsid w:val="00346309"/>
    <w:rsid w:val="00346578"/>
    <w:rsid w:val="00346581"/>
    <w:rsid w:val="00346882"/>
    <w:rsid w:val="003468A6"/>
    <w:rsid w:val="003468D6"/>
    <w:rsid w:val="003468FD"/>
    <w:rsid w:val="00346985"/>
    <w:rsid w:val="00346AE6"/>
    <w:rsid w:val="00346B95"/>
    <w:rsid w:val="00346BA4"/>
    <w:rsid w:val="00346BE5"/>
    <w:rsid w:val="00346DF1"/>
    <w:rsid w:val="00347013"/>
    <w:rsid w:val="0034715B"/>
    <w:rsid w:val="003474C6"/>
    <w:rsid w:val="00347999"/>
    <w:rsid w:val="0034799B"/>
    <w:rsid w:val="00347C45"/>
    <w:rsid w:val="00347C58"/>
    <w:rsid w:val="00347C70"/>
    <w:rsid w:val="0035022E"/>
    <w:rsid w:val="003502B2"/>
    <w:rsid w:val="00350492"/>
    <w:rsid w:val="003507E8"/>
    <w:rsid w:val="003508F9"/>
    <w:rsid w:val="00350A23"/>
    <w:rsid w:val="00350AB0"/>
    <w:rsid w:val="00350B3F"/>
    <w:rsid w:val="00350B5C"/>
    <w:rsid w:val="00350BB4"/>
    <w:rsid w:val="00350BCD"/>
    <w:rsid w:val="00350F01"/>
    <w:rsid w:val="00350F64"/>
    <w:rsid w:val="003510AB"/>
    <w:rsid w:val="003512C2"/>
    <w:rsid w:val="003513B9"/>
    <w:rsid w:val="0035157F"/>
    <w:rsid w:val="003515DD"/>
    <w:rsid w:val="00351778"/>
    <w:rsid w:val="00351824"/>
    <w:rsid w:val="003519DE"/>
    <w:rsid w:val="00351C3D"/>
    <w:rsid w:val="00351E17"/>
    <w:rsid w:val="00351E41"/>
    <w:rsid w:val="00351F3B"/>
    <w:rsid w:val="00351F8E"/>
    <w:rsid w:val="003521D1"/>
    <w:rsid w:val="0035221B"/>
    <w:rsid w:val="003524EE"/>
    <w:rsid w:val="0035253F"/>
    <w:rsid w:val="00352671"/>
    <w:rsid w:val="003527CF"/>
    <w:rsid w:val="00352A22"/>
    <w:rsid w:val="00352A5B"/>
    <w:rsid w:val="00352B28"/>
    <w:rsid w:val="00352C51"/>
    <w:rsid w:val="00352D1D"/>
    <w:rsid w:val="00352E35"/>
    <w:rsid w:val="00352E6D"/>
    <w:rsid w:val="00352E6E"/>
    <w:rsid w:val="00352F82"/>
    <w:rsid w:val="00352FE0"/>
    <w:rsid w:val="003531F6"/>
    <w:rsid w:val="0035320A"/>
    <w:rsid w:val="00353255"/>
    <w:rsid w:val="003532F4"/>
    <w:rsid w:val="0035331E"/>
    <w:rsid w:val="00353575"/>
    <w:rsid w:val="00353AE3"/>
    <w:rsid w:val="00353B02"/>
    <w:rsid w:val="00353C11"/>
    <w:rsid w:val="0035420C"/>
    <w:rsid w:val="00354234"/>
    <w:rsid w:val="00354437"/>
    <w:rsid w:val="003544D7"/>
    <w:rsid w:val="00354519"/>
    <w:rsid w:val="00354566"/>
    <w:rsid w:val="00354CD5"/>
    <w:rsid w:val="00354D76"/>
    <w:rsid w:val="00354FC7"/>
    <w:rsid w:val="00355331"/>
    <w:rsid w:val="00355446"/>
    <w:rsid w:val="003557DD"/>
    <w:rsid w:val="0035590B"/>
    <w:rsid w:val="00355B4B"/>
    <w:rsid w:val="00355F90"/>
    <w:rsid w:val="0035608E"/>
    <w:rsid w:val="00356191"/>
    <w:rsid w:val="00356273"/>
    <w:rsid w:val="003565D8"/>
    <w:rsid w:val="00356698"/>
    <w:rsid w:val="0035684B"/>
    <w:rsid w:val="003568B5"/>
    <w:rsid w:val="00356937"/>
    <w:rsid w:val="00356993"/>
    <w:rsid w:val="003569BF"/>
    <w:rsid w:val="00356B47"/>
    <w:rsid w:val="00356C7F"/>
    <w:rsid w:val="00356C92"/>
    <w:rsid w:val="00356E26"/>
    <w:rsid w:val="003571DD"/>
    <w:rsid w:val="003571F8"/>
    <w:rsid w:val="00357203"/>
    <w:rsid w:val="0035725E"/>
    <w:rsid w:val="00357339"/>
    <w:rsid w:val="003576CA"/>
    <w:rsid w:val="0035771C"/>
    <w:rsid w:val="0035795A"/>
    <w:rsid w:val="00357B45"/>
    <w:rsid w:val="00357C01"/>
    <w:rsid w:val="00357D3E"/>
    <w:rsid w:val="00357D90"/>
    <w:rsid w:val="00357DF8"/>
    <w:rsid w:val="00357F3F"/>
    <w:rsid w:val="00360172"/>
    <w:rsid w:val="00360214"/>
    <w:rsid w:val="00360645"/>
    <w:rsid w:val="0036064B"/>
    <w:rsid w:val="00360692"/>
    <w:rsid w:val="0036080C"/>
    <w:rsid w:val="00360831"/>
    <w:rsid w:val="00360862"/>
    <w:rsid w:val="00360A07"/>
    <w:rsid w:val="00360B10"/>
    <w:rsid w:val="00361300"/>
    <w:rsid w:val="00361373"/>
    <w:rsid w:val="0036138E"/>
    <w:rsid w:val="0036146B"/>
    <w:rsid w:val="0036163A"/>
    <w:rsid w:val="0036173C"/>
    <w:rsid w:val="00361827"/>
    <w:rsid w:val="00361B79"/>
    <w:rsid w:val="00361D6D"/>
    <w:rsid w:val="00361F20"/>
    <w:rsid w:val="003623B2"/>
    <w:rsid w:val="00362528"/>
    <w:rsid w:val="00362595"/>
    <w:rsid w:val="0036264F"/>
    <w:rsid w:val="0036270B"/>
    <w:rsid w:val="00362919"/>
    <w:rsid w:val="00362C85"/>
    <w:rsid w:val="00362E18"/>
    <w:rsid w:val="003630AB"/>
    <w:rsid w:val="00363BF3"/>
    <w:rsid w:val="00363C56"/>
    <w:rsid w:val="00363E70"/>
    <w:rsid w:val="00363F54"/>
    <w:rsid w:val="00363FDB"/>
    <w:rsid w:val="00364023"/>
    <w:rsid w:val="00364027"/>
    <w:rsid w:val="00364203"/>
    <w:rsid w:val="0036474C"/>
    <w:rsid w:val="00364752"/>
    <w:rsid w:val="003647FA"/>
    <w:rsid w:val="00364853"/>
    <w:rsid w:val="00364898"/>
    <w:rsid w:val="00364A60"/>
    <w:rsid w:val="00364B0C"/>
    <w:rsid w:val="00364B9C"/>
    <w:rsid w:val="00364D87"/>
    <w:rsid w:val="00364DFF"/>
    <w:rsid w:val="00364E6F"/>
    <w:rsid w:val="00364F09"/>
    <w:rsid w:val="00365340"/>
    <w:rsid w:val="00365883"/>
    <w:rsid w:val="00365993"/>
    <w:rsid w:val="00365B63"/>
    <w:rsid w:val="00365BCF"/>
    <w:rsid w:val="00365F1E"/>
    <w:rsid w:val="00365F21"/>
    <w:rsid w:val="00365F34"/>
    <w:rsid w:val="00365F7A"/>
    <w:rsid w:val="003663B7"/>
    <w:rsid w:val="0036651E"/>
    <w:rsid w:val="0036655C"/>
    <w:rsid w:val="00366629"/>
    <w:rsid w:val="00366D1D"/>
    <w:rsid w:val="00366D48"/>
    <w:rsid w:val="00367095"/>
    <w:rsid w:val="003670F3"/>
    <w:rsid w:val="003676A3"/>
    <w:rsid w:val="00367700"/>
    <w:rsid w:val="0036777E"/>
    <w:rsid w:val="00367B87"/>
    <w:rsid w:val="00367C11"/>
    <w:rsid w:val="00367CE9"/>
    <w:rsid w:val="00367ED9"/>
    <w:rsid w:val="00367F37"/>
    <w:rsid w:val="00370072"/>
    <w:rsid w:val="003700AE"/>
    <w:rsid w:val="0037015F"/>
    <w:rsid w:val="0037018E"/>
    <w:rsid w:val="003702F2"/>
    <w:rsid w:val="00370396"/>
    <w:rsid w:val="00370449"/>
    <w:rsid w:val="00370492"/>
    <w:rsid w:val="003704FE"/>
    <w:rsid w:val="00370809"/>
    <w:rsid w:val="00370936"/>
    <w:rsid w:val="003710E1"/>
    <w:rsid w:val="0037112F"/>
    <w:rsid w:val="003712EB"/>
    <w:rsid w:val="00371619"/>
    <w:rsid w:val="00371652"/>
    <w:rsid w:val="003716E8"/>
    <w:rsid w:val="003717AA"/>
    <w:rsid w:val="0037183D"/>
    <w:rsid w:val="00371855"/>
    <w:rsid w:val="00371AFD"/>
    <w:rsid w:val="00371BCC"/>
    <w:rsid w:val="00371C30"/>
    <w:rsid w:val="00371E8C"/>
    <w:rsid w:val="00372248"/>
    <w:rsid w:val="00372478"/>
    <w:rsid w:val="003724DB"/>
    <w:rsid w:val="0037251E"/>
    <w:rsid w:val="00372556"/>
    <w:rsid w:val="00372602"/>
    <w:rsid w:val="003728A9"/>
    <w:rsid w:val="0037291B"/>
    <w:rsid w:val="00372AD4"/>
    <w:rsid w:val="00372B2D"/>
    <w:rsid w:val="00372BAF"/>
    <w:rsid w:val="00372D43"/>
    <w:rsid w:val="00372DE5"/>
    <w:rsid w:val="00372EE5"/>
    <w:rsid w:val="00372FF7"/>
    <w:rsid w:val="00373067"/>
    <w:rsid w:val="00373201"/>
    <w:rsid w:val="00373963"/>
    <w:rsid w:val="0037396A"/>
    <w:rsid w:val="00373A10"/>
    <w:rsid w:val="00373C3E"/>
    <w:rsid w:val="00373D12"/>
    <w:rsid w:val="003740A5"/>
    <w:rsid w:val="00374241"/>
    <w:rsid w:val="003744CA"/>
    <w:rsid w:val="0037457F"/>
    <w:rsid w:val="003746BE"/>
    <w:rsid w:val="003746C6"/>
    <w:rsid w:val="00374732"/>
    <w:rsid w:val="00374795"/>
    <w:rsid w:val="003749DA"/>
    <w:rsid w:val="00374A3F"/>
    <w:rsid w:val="00374ACD"/>
    <w:rsid w:val="00374C61"/>
    <w:rsid w:val="00374DD7"/>
    <w:rsid w:val="00374F9D"/>
    <w:rsid w:val="003754BA"/>
    <w:rsid w:val="003755D1"/>
    <w:rsid w:val="00375EE6"/>
    <w:rsid w:val="00376013"/>
    <w:rsid w:val="00376085"/>
    <w:rsid w:val="0037615D"/>
    <w:rsid w:val="0037622D"/>
    <w:rsid w:val="003762D3"/>
    <w:rsid w:val="00376354"/>
    <w:rsid w:val="003768E3"/>
    <w:rsid w:val="003768EE"/>
    <w:rsid w:val="003768FA"/>
    <w:rsid w:val="00376A9B"/>
    <w:rsid w:val="00376ACE"/>
    <w:rsid w:val="00376E9C"/>
    <w:rsid w:val="00377114"/>
    <w:rsid w:val="0037714C"/>
    <w:rsid w:val="00377459"/>
    <w:rsid w:val="003774BD"/>
    <w:rsid w:val="00377628"/>
    <w:rsid w:val="00377755"/>
    <w:rsid w:val="003779C0"/>
    <w:rsid w:val="00377A3D"/>
    <w:rsid w:val="00377A82"/>
    <w:rsid w:val="00377B97"/>
    <w:rsid w:val="00377E8C"/>
    <w:rsid w:val="00377F12"/>
    <w:rsid w:val="00377F6F"/>
    <w:rsid w:val="003801CC"/>
    <w:rsid w:val="003802C0"/>
    <w:rsid w:val="00380429"/>
    <w:rsid w:val="0038044B"/>
    <w:rsid w:val="00380517"/>
    <w:rsid w:val="0038071A"/>
    <w:rsid w:val="003807C5"/>
    <w:rsid w:val="00380981"/>
    <w:rsid w:val="003809EE"/>
    <w:rsid w:val="003809F3"/>
    <w:rsid w:val="00380D89"/>
    <w:rsid w:val="00380ED9"/>
    <w:rsid w:val="00380F51"/>
    <w:rsid w:val="00380F95"/>
    <w:rsid w:val="00380FC6"/>
    <w:rsid w:val="00381040"/>
    <w:rsid w:val="003810A1"/>
    <w:rsid w:val="00381208"/>
    <w:rsid w:val="00381392"/>
    <w:rsid w:val="00381603"/>
    <w:rsid w:val="00381723"/>
    <w:rsid w:val="00381941"/>
    <w:rsid w:val="00381A92"/>
    <w:rsid w:val="00381B1B"/>
    <w:rsid w:val="00381D98"/>
    <w:rsid w:val="00381F0B"/>
    <w:rsid w:val="0038205B"/>
    <w:rsid w:val="00382061"/>
    <w:rsid w:val="00382209"/>
    <w:rsid w:val="00382432"/>
    <w:rsid w:val="0038281F"/>
    <w:rsid w:val="003829E1"/>
    <w:rsid w:val="00382A7A"/>
    <w:rsid w:val="00382B47"/>
    <w:rsid w:val="00382D01"/>
    <w:rsid w:val="00382EBD"/>
    <w:rsid w:val="00382F4F"/>
    <w:rsid w:val="0038300B"/>
    <w:rsid w:val="0038308D"/>
    <w:rsid w:val="0038334F"/>
    <w:rsid w:val="003834E5"/>
    <w:rsid w:val="00383603"/>
    <w:rsid w:val="00383786"/>
    <w:rsid w:val="003838BE"/>
    <w:rsid w:val="003838FD"/>
    <w:rsid w:val="00383DBC"/>
    <w:rsid w:val="00383EC3"/>
    <w:rsid w:val="00383F4F"/>
    <w:rsid w:val="00383F88"/>
    <w:rsid w:val="00383FB2"/>
    <w:rsid w:val="003840F8"/>
    <w:rsid w:val="003842AF"/>
    <w:rsid w:val="003842CA"/>
    <w:rsid w:val="003842D0"/>
    <w:rsid w:val="003842F0"/>
    <w:rsid w:val="003844FA"/>
    <w:rsid w:val="00384788"/>
    <w:rsid w:val="0038482D"/>
    <w:rsid w:val="00384B9C"/>
    <w:rsid w:val="00384D5F"/>
    <w:rsid w:val="00385070"/>
    <w:rsid w:val="003851B2"/>
    <w:rsid w:val="003852B7"/>
    <w:rsid w:val="003856FC"/>
    <w:rsid w:val="00385873"/>
    <w:rsid w:val="003858BE"/>
    <w:rsid w:val="00385B8B"/>
    <w:rsid w:val="00385BE2"/>
    <w:rsid w:val="00385C6F"/>
    <w:rsid w:val="00385CC1"/>
    <w:rsid w:val="00385E42"/>
    <w:rsid w:val="0038603D"/>
    <w:rsid w:val="00386095"/>
    <w:rsid w:val="003860EF"/>
    <w:rsid w:val="003861E6"/>
    <w:rsid w:val="003862A9"/>
    <w:rsid w:val="0038631E"/>
    <w:rsid w:val="00386331"/>
    <w:rsid w:val="00386401"/>
    <w:rsid w:val="0038644B"/>
    <w:rsid w:val="0038663D"/>
    <w:rsid w:val="00386852"/>
    <w:rsid w:val="00386942"/>
    <w:rsid w:val="003869D5"/>
    <w:rsid w:val="00386B76"/>
    <w:rsid w:val="00386D71"/>
    <w:rsid w:val="00387064"/>
    <w:rsid w:val="00387152"/>
    <w:rsid w:val="00387184"/>
    <w:rsid w:val="0038726E"/>
    <w:rsid w:val="003872F9"/>
    <w:rsid w:val="0038762A"/>
    <w:rsid w:val="003877E0"/>
    <w:rsid w:val="00387895"/>
    <w:rsid w:val="00387E27"/>
    <w:rsid w:val="0039013B"/>
    <w:rsid w:val="0039024B"/>
    <w:rsid w:val="003903A8"/>
    <w:rsid w:val="00390433"/>
    <w:rsid w:val="003904F2"/>
    <w:rsid w:val="00390779"/>
    <w:rsid w:val="003907DD"/>
    <w:rsid w:val="00390865"/>
    <w:rsid w:val="00390975"/>
    <w:rsid w:val="00390E55"/>
    <w:rsid w:val="00390EBB"/>
    <w:rsid w:val="00390EBE"/>
    <w:rsid w:val="00390F67"/>
    <w:rsid w:val="00390F7F"/>
    <w:rsid w:val="003911E0"/>
    <w:rsid w:val="003916E2"/>
    <w:rsid w:val="003917CA"/>
    <w:rsid w:val="00391922"/>
    <w:rsid w:val="00391ABF"/>
    <w:rsid w:val="00391C2D"/>
    <w:rsid w:val="00391D57"/>
    <w:rsid w:val="00392200"/>
    <w:rsid w:val="00392224"/>
    <w:rsid w:val="0039225A"/>
    <w:rsid w:val="003923D4"/>
    <w:rsid w:val="0039269F"/>
    <w:rsid w:val="003926F3"/>
    <w:rsid w:val="0039271F"/>
    <w:rsid w:val="003929F4"/>
    <w:rsid w:val="00392B15"/>
    <w:rsid w:val="00392F1C"/>
    <w:rsid w:val="00393430"/>
    <w:rsid w:val="0039359E"/>
    <w:rsid w:val="003935D2"/>
    <w:rsid w:val="0039362D"/>
    <w:rsid w:val="00393733"/>
    <w:rsid w:val="00393911"/>
    <w:rsid w:val="00393988"/>
    <w:rsid w:val="00393CD1"/>
    <w:rsid w:val="00393D6E"/>
    <w:rsid w:val="0039417C"/>
    <w:rsid w:val="003945FA"/>
    <w:rsid w:val="003948E5"/>
    <w:rsid w:val="0039499D"/>
    <w:rsid w:val="00394DC9"/>
    <w:rsid w:val="00394E24"/>
    <w:rsid w:val="00394E65"/>
    <w:rsid w:val="00394ECE"/>
    <w:rsid w:val="00395403"/>
    <w:rsid w:val="0039541C"/>
    <w:rsid w:val="0039541E"/>
    <w:rsid w:val="00395643"/>
    <w:rsid w:val="0039567A"/>
    <w:rsid w:val="0039578A"/>
    <w:rsid w:val="003958BA"/>
    <w:rsid w:val="00395A7D"/>
    <w:rsid w:val="00395CAD"/>
    <w:rsid w:val="00395E09"/>
    <w:rsid w:val="00395F5E"/>
    <w:rsid w:val="00395FAD"/>
    <w:rsid w:val="00395FC0"/>
    <w:rsid w:val="00396390"/>
    <w:rsid w:val="003963A0"/>
    <w:rsid w:val="003963BA"/>
    <w:rsid w:val="003963C7"/>
    <w:rsid w:val="00396673"/>
    <w:rsid w:val="003966BE"/>
    <w:rsid w:val="00396932"/>
    <w:rsid w:val="003969A4"/>
    <w:rsid w:val="00396B17"/>
    <w:rsid w:val="00396BC6"/>
    <w:rsid w:val="003970BA"/>
    <w:rsid w:val="0039732C"/>
    <w:rsid w:val="0039767A"/>
    <w:rsid w:val="003978B4"/>
    <w:rsid w:val="00397B68"/>
    <w:rsid w:val="00397B7A"/>
    <w:rsid w:val="00397E77"/>
    <w:rsid w:val="00397EA2"/>
    <w:rsid w:val="003A0016"/>
    <w:rsid w:val="003A0026"/>
    <w:rsid w:val="003A0121"/>
    <w:rsid w:val="003A04E3"/>
    <w:rsid w:val="003A060C"/>
    <w:rsid w:val="003A0858"/>
    <w:rsid w:val="003A088D"/>
    <w:rsid w:val="003A08F7"/>
    <w:rsid w:val="003A0ABE"/>
    <w:rsid w:val="003A0BDE"/>
    <w:rsid w:val="003A0EF7"/>
    <w:rsid w:val="003A0F6B"/>
    <w:rsid w:val="003A10E2"/>
    <w:rsid w:val="003A1240"/>
    <w:rsid w:val="003A1338"/>
    <w:rsid w:val="003A14C5"/>
    <w:rsid w:val="003A14D9"/>
    <w:rsid w:val="003A1712"/>
    <w:rsid w:val="003A1805"/>
    <w:rsid w:val="003A194F"/>
    <w:rsid w:val="003A1B21"/>
    <w:rsid w:val="003A1B54"/>
    <w:rsid w:val="003A1C5F"/>
    <w:rsid w:val="003A1D4D"/>
    <w:rsid w:val="003A1D58"/>
    <w:rsid w:val="003A1E55"/>
    <w:rsid w:val="003A20A2"/>
    <w:rsid w:val="003A2122"/>
    <w:rsid w:val="003A2258"/>
    <w:rsid w:val="003A2348"/>
    <w:rsid w:val="003A2450"/>
    <w:rsid w:val="003A257C"/>
    <w:rsid w:val="003A261F"/>
    <w:rsid w:val="003A2778"/>
    <w:rsid w:val="003A2799"/>
    <w:rsid w:val="003A27DC"/>
    <w:rsid w:val="003A2945"/>
    <w:rsid w:val="003A2978"/>
    <w:rsid w:val="003A299A"/>
    <w:rsid w:val="003A2CBC"/>
    <w:rsid w:val="003A2E67"/>
    <w:rsid w:val="003A2F50"/>
    <w:rsid w:val="003A2F60"/>
    <w:rsid w:val="003A2FDE"/>
    <w:rsid w:val="003A3467"/>
    <w:rsid w:val="003A378A"/>
    <w:rsid w:val="003A37DB"/>
    <w:rsid w:val="003A39C6"/>
    <w:rsid w:val="003A3AD2"/>
    <w:rsid w:val="003A3D78"/>
    <w:rsid w:val="003A4033"/>
    <w:rsid w:val="003A40F7"/>
    <w:rsid w:val="003A4182"/>
    <w:rsid w:val="003A4511"/>
    <w:rsid w:val="003A47F9"/>
    <w:rsid w:val="003A4860"/>
    <w:rsid w:val="003A4995"/>
    <w:rsid w:val="003A49CE"/>
    <w:rsid w:val="003A4A21"/>
    <w:rsid w:val="003A4A44"/>
    <w:rsid w:val="003A4A79"/>
    <w:rsid w:val="003A4ABE"/>
    <w:rsid w:val="003A4C59"/>
    <w:rsid w:val="003A4F3C"/>
    <w:rsid w:val="003A500B"/>
    <w:rsid w:val="003A5288"/>
    <w:rsid w:val="003A55B2"/>
    <w:rsid w:val="003A57F3"/>
    <w:rsid w:val="003A5877"/>
    <w:rsid w:val="003A5880"/>
    <w:rsid w:val="003A5988"/>
    <w:rsid w:val="003A5C51"/>
    <w:rsid w:val="003A5D74"/>
    <w:rsid w:val="003A5E7C"/>
    <w:rsid w:val="003A6204"/>
    <w:rsid w:val="003A6231"/>
    <w:rsid w:val="003A66AD"/>
    <w:rsid w:val="003A68CD"/>
    <w:rsid w:val="003A696F"/>
    <w:rsid w:val="003A6AB1"/>
    <w:rsid w:val="003A6C73"/>
    <w:rsid w:val="003A6D9A"/>
    <w:rsid w:val="003A6DE6"/>
    <w:rsid w:val="003A6F1B"/>
    <w:rsid w:val="003A6FD5"/>
    <w:rsid w:val="003A7250"/>
    <w:rsid w:val="003A75D6"/>
    <w:rsid w:val="003A777C"/>
    <w:rsid w:val="003A7A8C"/>
    <w:rsid w:val="003A7C32"/>
    <w:rsid w:val="003A7C94"/>
    <w:rsid w:val="003A7C9C"/>
    <w:rsid w:val="003A7ED4"/>
    <w:rsid w:val="003B000E"/>
    <w:rsid w:val="003B0244"/>
    <w:rsid w:val="003B0359"/>
    <w:rsid w:val="003B049D"/>
    <w:rsid w:val="003B04B1"/>
    <w:rsid w:val="003B06ED"/>
    <w:rsid w:val="003B0933"/>
    <w:rsid w:val="003B09AA"/>
    <w:rsid w:val="003B0A61"/>
    <w:rsid w:val="003B0B5C"/>
    <w:rsid w:val="003B11CB"/>
    <w:rsid w:val="003B11F8"/>
    <w:rsid w:val="003B13E3"/>
    <w:rsid w:val="003B146F"/>
    <w:rsid w:val="003B1559"/>
    <w:rsid w:val="003B16C4"/>
    <w:rsid w:val="003B17A4"/>
    <w:rsid w:val="003B17F2"/>
    <w:rsid w:val="003B1829"/>
    <w:rsid w:val="003B1A75"/>
    <w:rsid w:val="003B1C88"/>
    <w:rsid w:val="003B1D96"/>
    <w:rsid w:val="003B1FB1"/>
    <w:rsid w:val="003B219D"/>
    <w:rsid w:val="003B24E2"/>
    <w:rsid w:val="003B267B"/>
    <w:rsid w:val="003B2688"/>
    <w:rsid w:val="003B28B8"/>
    <w:rsid w:val="003B2972"/>
    <w:rsid w:val="003B2AA0"/>
    <w:rsid w:val="003B2D81"/>
    <w:rsid w:val="003B3009"/>
    <w:rsid w:val="003B3106"/>
    <w:rsid w:val="003B3161"/>
    <w:rsid w:val="003B34CC"/>
    <w:rsid w:val="003B39B4"/>
    <w:rsid w:val="003B3AAA"/>
    <w:rsid w:val="003B3CE9"/>
    <w:rsid w:val="003B3D8A"/>
    <w:rsid w:val="003B3EF0"/>
    <w:rsid w:val="003B3EF2"/>
    <w:rsid w:val="003B4450"/>
    <w:rsid w:val="003B4D89"/>
    <w:rsid w:val="003B4E7C"/>
    <w:rsid w:val="003B509A"/>
    <w:rsid w:val="003B5123"/>
    <w:rsid w:val="003B5359"/>
    <w:rsid w:val="003B5515"/>
    <w:rsid w:val="003B552A"/>
    <w:rsid w:val="003B570D"/>
    <w:rsid w:val="003B57D7"/>
    <w:rsid w:val="003B593B"/>
    <w:rsid w:val="003B596E"/>
    <w:rsid w:val="003B5B7B"/>
    <w:rsid w:val="003B5EE9"/>
    <w:rsid w:val="003B6107"/>
    <w:rsid w:val="003B627A"/>
    <w:rsid w:val="003B643A"/>
    <w:rsid w:val="003B65F2"/>
    <w:rsid w:val="003B66DC"/>
    <w:rsid w:val="003B6851"/>
    <w:rsid w:val="003B6AC0"/>
    <w:rsid w:val="003B6EC6"/>
    <w:rsid w:val="003B6F6B"/>
    <w:rsid w:val="003B7016"/>
    <w:rsid w:val="003B71A3"/>
    <w:rsid w:val="003B7208"/>
    <w:rsid w:val="003B7370"/>
    <w:rsid w:val="003B748E"/>
    <w:rsid w:val="003B7969"/>
    <w:rsid w:val="003B7A09"/>
    <w:rsid w:val="003B7F8E"/>
    <w:rsid w:val="003B7FE1"/>
    <w:rsid w:val="003C01AB"/>
    <w:rsid w:val="003C01C0"/>
    <w:rsid w:val="003C0285"/>
    <w:rsid w:val="003C02D8"/>
    <w:rsid w:val="003C02EF"/>
    <w:rsid w:val="003C0466"/>
    <w:rsid w:val="003C0468"/>
    <w:rsid w:val="003C048A"/>
    <w:rsid w:val="003C04DF"/>
    <w:rsid w:val="003C05FF"/>
    <w:rsid w:val="003C06D1"/>
    <w:rsid w:val="003C0719"/>
    <w:rsid w:val="003C08DF"/>
    <w:rsid w:val="003C09C6"/>
    <w:rsid w:val="003C0A78"/>
    <w:rsid w:val="003C0ABB"/>
    <w:rsid w:val="003C0C55"/>
    <w:rsid w:val="003C0C6D"/>
    <w:rsid w:val="003C0D47"/>
    <w:rsid w:val="003C0DF5"/>
    <w:rsid w:val="003C0F3B"/>
    <w:rsid w:val="003C1479"/>
    <w:rsid w:val="003C1655"/>
    <w:rsid w:val="003C16F4"/>
    <w:rsid w:val="003C18BA"/>
    <w:rsid w:val="003C19D9"/>
    <w:rsid w:val="003C1BBE"/>
    <w:rsid w:val="003C1C1B"/>
    <w:rsid w:val="003C1D2D"/>
    <w:rsid w:val="003C2022"/>
    <w:rsid w:val="003C204A"/>
    <w:rsid w:val="003C2166"/>
    <w:rsid w:val="003C2859"/>
    <w:rsid w:val="003C28DE"/>
    <w:rsid w:val="003C2A3C"/>
    <w:rsid w:val="003C2B50"/>
    <w:rsid w:val="003C2CC7"/>
    <w:rsid w:val="003C2CEB"/>
    <w:rsid w:val="003C2EC6"/>
    <w:rsid w:val="003C3173"/>
    <w:rsid w:val="003C317B"/>
    <w:rsid w:val="003C3244"/>
    <w:rsid w:val="003C3395"/>
    <w:rsid w:val="003C34FA"/>
    <w:rsid w:val="003C3630"/>
    <w:rsid w:val="003C3665"/>
    <w:rsid w:val="003C3710"/>
    <w:rsid w:val="003C3AE5"/>
    <w:rsid w:val="003C3F81"/>
    <w:rsid w:val="003C3F9B"/>
    <w:rsid w:val="003C40E2"/>
    <w:rsid w:val="003C42B7"/>
    <w:rsid w:val="003C42F1"/>
    <w:rsid w:val="003C43D4"/>
    <w:rsid w:val="003C4434"/>
    <w:rsid w:val="003C4518"/>
    <w:rsid w:val="003C468C"/>
    <w:rsid w:val="003C481A"/>
    <w:rsid w:val="003C4AA9"/>
    <w:rsid w:val="003C4B1B"/>
    <w:rsid w:val="003C4BDE"/>
    <w:rsid w:val="003C4EDC"/>
    <w:rsid w:val="003C4F3A"/>
    <w:rsid w:val="003C522A"/>
    <w:rsid w:val="003C573C"/>
    <w:rsid w:val="003C5869"/>
    <w:rsid w:val="003C5C43"/>
    <w:rsid w:val="003C6092"/>
    <w:rsid w:val="003C60A0"/>
    <w:rsid w:val="003C61F2"/>
    <w:rsid w:val="003C622A"/>
    <w:rsid w:val="003C62A6"/>
    <w:rsid w:val="003C659E"/>
    <w:rsid w:val="003C68EC"/>
    <w:rsid w:val="003C6B12"/>
    <w:rsid w:val="003C6B65"/>
    <w:rsid w:val="003C6B87"/>
    <w:rsid w:val="003C6CED"/>
    <w:rsid w:val="003C6D7F"/>
    <w:rsid w:val="003C6E13"/>
    <w:rsid w:val="003C719A"/>
    <w:rsid w:val="003C72EC"/>
    <w:rsid w:val="003C7381"/>
    <w:rsid w:val="003C73F7"/>
    <w:rsid w:val="003C753F"/>
    <w:rsid w:val="003C7590"/>
    <w:rsid w:val="003C7809"/>
    <w:rsid w:val="003C7895"/>
    <w:rsid w:val="003C799E"/>
    <w:rsid w:val="003C7A63"/>
    <w:rsid w:val="003C7BF0"/>
    <w:rsid w:val="003C7D09"/>
    <w:rsid w:val="003C7F13"/>
    <w:rsid w:val="003D009B"/>
    <w:rsid w:val="003D00DD"/>
    <w:rsid w:val="003D0166"/>
    <w:rsid w:val="003D06DD"/>
    <w:rsid w:val="003D0774"/>
    <w:rsid w:val="003D08A9"/>
    <w:rsid w:val="003D0B7C"/>
    <w:rsid w:val="003D0E44"/>
    <w:rsid w:val="003D10CB"/>
    <w:rsid w:val="003D112A"/>
    <w:rsid w:val="003D121F"/>
    <w:rsid w:val="003D1282"/>
    <w:rsid w:val="003D1474"/>
    <w:rsid w:val="003D161E"/>
    <w:rsid w:val="003D176C"/>
    <w:rsid w:val="003D17BD"/>
    <w:rsid w:val="003D18DE"/>
    <w:rsid w:val="003D18F6"/>
    <w:rsid w:val="003D197E"/>
    <w:rsid w:val="003D1A2D"/>
    <w:rsid w:val="003D1C8B"/>
    <w:rsid w:val="003D1E4A"/>
    <w:rsid w:val="003D2345"/>
    <w:rsid w:val="003D23F6"/>
    <w:rsid w:val="003D25A3"/>
    <w:rsid w:val="003D270C"/>
    <w:rsid w:val="003D2AC5"/>
    <w:rsid w:val="003D2C14"/>
    <w:rsid w:val="003D2CEC"/>
    <w:rsid w:val="003D2DDA"/>
    <w:rsid w:val="003D2F05"/>
    <w:rsid w:val="003D3030"/>
    <w:rsid w:val="003D30A0"/>
    <w:rsid w:val="003D31DA"/>
    <w:rsid w:val="003D3338"/>
    <w:rsid w:val="003D340A"/>
    <w:rsid w:val="003D3550"/>
    <w:rsid w:val="003D356F"/>
    <w:rsid w:val="003D3583"/>
    <w:rsid w:val="003D3C73"/>
    <w:rsid w:val="003D3D27"/>
    <w:rsid w:val="003D3E6D"/>
    <w:rsid w:val="003D3FCA"/>
    <w:rsid w:val="003D42F5"/>
    <w:rsid w:val="003D42F8"/>
    <w:rsid w:val="003D4643"/>
    <w:rsid w:val="003D4778"/>
    <w:rsid w:val="003D4915"/>
    <w:rsid w:val="003D4926"/>
    <w:rsid w:val="003D527A"/>
    <w:rsid w:val="003D5558"/>
    <w:rsid w:val="003D55DE"/>
    <w:rsid w:val="003D56FF"/>
    <w:rsid w:val="003D5806"/>
    <w:rsid w:val="003D5900"/>
    <w:rsid w:val="003D59CF"/>
    <w:rsid w:val="003D5AF5"/>
    <w:rsid w:val="003D5C3D"/>
    <w:rsid w:val="003D5DFA"/>
    <w:rsid w:val="003D5FDA"/>
    <w:rsid w:val="003D609B"/>
    <w:rsid w:val="003D611A"/>
    <w:rsid w:val="003D6190"/>
    <w:rsid w:val="003D6223"/>
    <w:rsid w:val="003D6276"/>
    <w:rsid w:val="003D6464"/>
    <w:rsid w:val="003D6555"/>
    <w:rsid w:val="003D65D5"/>
    <w:rsid w:val="003D6832"/>
    <w:rsid w:val="003D6A77"/>
    <w:rsid w:val="003D6AC5"/>
    <w:rsid w:val="003D6B32"/>
    <w:rsid w:val="003D6C94"/>
    <w:rsid w:val="003D73EF"/>
    <w:rsid w:val="003D75D0"/>
    <w:rsid w:val="003D796F"/>
    <w:rsid w:val="003D7C95"/>
    <w:rsid w:val="003E008C"/>
    <w:rsid w:val="003E0422"/>
    <w:rsid w:val="003E049F"/>
    <w:rsid w:val="003E0693"/>
    <w:rsid w:val="003E094B"/>
    <w:rsid w:val="003E0994"/>
    <w:rsid w:val="003E0AD2"/>
    <w:rsid w:val="003E0FDC"/>
    <w:rsid w:val="003E1043"/>
    <w:rsid w:val="003E111A"/>
    <w:rsid w:val="003E1260"/>
    <w:rsid w:val="003E139E"/>
    <w:rsid w:val="003E141E"/>
    <w:rsid w:val="003E177D"/>
    <w:rsid w:val="003E1B89"/>
    <w:rsid w:val="003E1B9B"/>
    <w:rsid w:val="003E1C22"/>
    <w:rsid w:val="003E1EA2"/>
    <w:rsid w:val="003E1F31"/>
    <w:rsid w:val="003E1F6A"/>
    <w:rsid w:val="003E20E3"/>
    <w:rsid w:val="003E2341"/>
    <w:rsid w:val="003E23AF"/>
    <w:rsid w:val="003E2714"/>
    <w:rsid w:val="003E27CF"/>
    <w:rsid w:val="003E27FB"/>
    <w:rsid w:val="003E298B"/>
    <w:rsid w:val="003E2CAF"/>
    <w:rsid w:val="003E30C2"/>
    <w:rsid w:val="003E3118"/>
    <w:rsid w:val="003E31A4"/>
    <w:rsid w:val="003E31F6"/>
    <w:rsid w:val="003E35AD"/>
    <w:rsid w:val="003E3667"/>
    <w:rsid w:val="003E36A7"/>
    <w:rsid w:val="003E36BC"/>
    <w:rsid w:val="003E3C01"/>
    <w:rsid w:val="003E3EBA"/>
    <w:rsid w:val="003E3F83"/>
    <w:rsid w:val="003E4417"/>
    <w:rsid w:val="003E4512"/>
    <w:rsid w:val="003E45CD"/>
    <w:rsid w:val="003E4668"/>
    <w:rsid w:val="003E46D0"/>
    <w:rsid w:val="003E472C"/>
    <w:rsid w:val="003E48B1"/>
    <w:rsid w:val="003E4B98"/>
    <w:rsid w:val="003E4BBE"/>
    <w:rsid w:val="003E4DAA"/>
    <w:rsid w:val="003E5015"/>
    <w:rsid w:val="003E5248"/>
    <w:rsid w:val="003E5481"/>
    <w:rsid w:val="003E551E"/>
    <w:rsid w:val="003E568E"/>
    <w:rsid w:val="003E57AF"/>
    <w:rsid w:val="003E59EF"/>
    <w:rsid w:val="003E5A0F"/>
    <w:rsid w:val="003E5AAC"/>
    <w:rsid w:val="003E5C55"/>
    <w:rsid w:val="003E5DC7"/>
    <w:rsid w:val="003E63A6"/>
    <w:rsid w:val="003E64E4"/>
    <w:rsid w:val="003E65B0"/>
    <w:rsid w:val="003E6B1F"/>
    <w:rsid w:val="003E70A3"/>
    <w:rsid w:val="003E729D"/>
    <w:rsid w:val="003E73A0"/>
    <w:rsid w:val="003E7518"/>
    <w:rsid w:val="003E7728"/>
    <w:rsid w:val="003E78AE"/>
    <w:rsid w:val="003E78E6"/>
    <w:rsid w:val="003E7A3F"/>
    <w:rsid w:val="003E7B04"/>
    <w:rsid w:val="003E7B26"/>
    <w:rsid w:val="003E7B41"/>
    <w:rsid w:val="003E7C0F"/>
    <w:rsid w:val="003E7C9A"/>
    <w:rsid w:val="003E7CCC"/>
    <w:rsid w:val="003E7F30"/>
    <w:rsid w:val="003E7F5D"/>
    <w:rsid w:val="003F0082"/>
    <w:rsid w:val="003F0149"/>
    <w:rsid w:val="003F01AC"/>
    <w:rsid w:val="003F01C7"/>
    <w:rsid w:val="003F0379"/>
    <w:rsid w:val="003F06DE"/>
    <w:rsid w:val="003F08EB"/>
    <w:rsid w:val="003F09FA"/>
    <w:rsid w:val="003F0A53"/>
    <w:rsid w:val="003F0AA1"/>
    <w:rsid w:val="003F0AE5"/>
    <w:rsid w:val="003F0AEE"/>
    <w:rsid w:val="003F0CCA"/>
    <w:rsid w:val="003F0E5F"/>
    <w:rsid w:val="003F0F3B"/>
    <w:rsid w:val="003F0FDF"/>
    <w:rsid w:val="003F147A"/>
    <w:rsid w:val="003F14BF"/>
    <w:rsid w:val="003F153E"/>
    <w:rsid w:val="003F156D"/>
    <w:rsid w:val="003F15EA"/>
    <w:rsid w:val="003F15F7"/>
    <w:rsid w:val="003F163F"/>
    <w:rsid w:val="003F165B"/>
    <w:rsid w:val="003F18B7"/>
    <w:rsid w:val="003F1901"/>
    <w:rsid w:val="003F1A9D"/>
    <w:rsid w:val="003F1AE2"/>
    <w:rsid w:val="003F1C7F"/>
    <w:rsid w:val="003F1D76"/>
    <w:rsid w:val="003F1ED4"/>
    <w:rsid w:val="003F1F57"/>
    <w:rsid w:val="003F2564"/>
    <w:rsid w:val="003F25F1"/>
    <w:rsid w:val="003F2753"/>
    <w:rsid w:val="003F286E"/>
    <w:rsid w:val="003F2904"/>
    <w:rsid w:val="003F2EB2"/>
    <w:rsid w:val="003F2F17"/>
    <w:rsid w:val="003F2F95"/>
    <w:rsid w:val="003F3316"/>
    <w:rsid w:val="003F3472"/>
    <w:rsid w:val="003F348E"/>
    <w:rsid w:val="003F362B"/>
    <w:rsid w:val="003F378D"/>
    <w:rsid w:val="003F3805"/>
    <w:rsid w:val="003F3937"/>
    <w:rsid w:val="003F3946"/>
    <w:rsid w:val="003F3A71"/>
    <w:rsid w:val="003F3AA8"/>
    <w:rsid w:val="003F3D4A"/>
    <w:rsid w:val="003F3DD8"/>
    <w:rsid w:val="003F3F50"/>
    <w:rsid w:val="003F4225"/>
    <w:rsid w:val="003F4238"/>
    <w:rsid w:val="003F43E5"/>
    <w:rsid w:val="003F452C"/>
    <w:rsid w:val="003F4649"/>
    <w:rsid w:val="003F4671"/>
    <w:rsid w:val="003F47B7"/>
    <w:rsid w:val="003F4877"/>
    <w:rsid w:val="003F4A75"/>
    <w:rsid w:val="003F4AE1"/>
    <w:rsid w:val="003F4B47"/>
    <w:rsid w:val="003F4CB8"/>
    <w:rsid w:val="003F4DAD"/>
    <w:rsid w:val="003F4FB8"/>
    <w:rsid w:val="003F4FEA"/>
    <w:rsid w:val="003F50A2"/>
    <w:rsid w:val="003F5147"/>
    <w:rsid w:val="003F528B"/>
    <w:rsid w:val="003F53F0"/>
    <w:rsid w:val="003F54C4"/>
    <w:rsid w:val="003F54D6"/>
    <w:rsid w:val="003F554A"/>
    <w:rsid w:val="003F567E"/>
    <w:rsid w:val="003F56B2"/>
    <w:rsid w:val="003F5798"/>
    <w:rsid w:val="003F5C0E"/>
    <w:rsid w:val="003F603D"/>
    <w:rsid w:val="003F610F"/>
    <w:rsid w:val="003F617F"/>
    <w:rsid w:val="003F6198"/>
    <w:rsid w:val="003F6204"/>
    <w:rsid w:val="003F652E"/>
    <w:rsid w:val="003F6576"/>
    <w:rsid w:val="003F6638"/>
    <w:rsid w:val="003F68A7"/>
    <w:rsid w:val="003F68B2"/>
    <w:rsid w:val="003F6C87"/>
    <w:rsid w:val="003F6CA3"/>
    <w:rsid w:val="003F6D0E"/>
    <w:rsid w:val="003F6D9D"/>
    <w:rsid w:val="003F6DCD"/>
    <w:rsid w:val="003F72BD"/>
    <w:rsid w:val="003F73CF"/>
    <w:rsid w:val="003F75A9"/>
    <w:rsid w:val="003F7619"/>
    <w:rsid w:val="003F7854"/>
    <w:rsid w:val="003F79D3"/>
    <w:rsid w:val="003F7AFD"/>
    <w:rsid w:val="003F7CA9"/>
    <w:rsid w:val="00400126"/>
    <w:rsid w:val="0040019A"/>
    <w:rsid w:val="00400209"/>
    <w:rsid w:val="00400592"/>
    <w:rsid w:val="004007A4"/>
    <w:rsid w:val="004007AE"/>
    <w:rsid w:val="004007D1"/>
    <w:rsid w:val="0040083E"/>
    <w:rsid w:val="004009E8"/>
    <w:rsid w:val="00400BB1"/>
    <w:rsid w:val="00400F42"/>
    <w:rsid w:val="00400F85"/>
    <w:rsid w:val="00400FE2"/>
    <w:rsid w:val="004010F0"/>
    <w:rsid w:val="0040118A"/>
    <w:rsid w:val="00401228"/>
    <w:rsid w:val="00401378"/>
    <w:rsid w:val="00401486"/>
    <w:rsid w:val="0040199A"/>
    <w:rsid w:val="00401DC6"/>
    <w:rsid w:val="00401DF8"/>
    <w:rsid w:val="00402263"/>
    <w:rsid w:val="0040234B"/>
    <w:rsid w:val="0040247D"/>
    <w:rsid w:val="004024D4"/>
    <w:rsid w:val="00402612"/>
    <w:rsid w:val="00402614"/>
    <w:rsid w:val="004026C1"/>
    <w:rsid w:val="00402FB0"/>
    <w:rsid w:val="004030E4"/>
    <w:rsid w:val="004031C1"/>
    <w:rsid w:val="00403218"/>
    <w:rsid w:val="00403383"/>
    <w:rsid w:val="004033FC"/>
    <w:rsid w:val="004035AA"/>
    <w:rsid w:val="004035D2"/>
    <w:rsid w:val="004035EA"/>
    <w:rsid w:val="00403751"/>
    <w:rsid w:val="004037C3"/>
    <w:rsid w:val="004037FE"/>
    <w:rsid w:val="00403888"/>
    <w:rsid w:val="00403BA8"/>
    <w:rsid w:val="00403BF6"/>
    <w:rsid w:val="00403D80"/>
    <w:rsid w:val="00403E6D"/>
    <w:rsid w:val="00404324"/>
    <w:rsid w:val="00404493"/>
    <w:rsid w:val="004048DE"/>
    <w:rsid w:val="00404A66"/>
    <w:rsid w:val="00404D84"/>
    <w:rsid w:val="00404F30"/>
    <w:rsid w:val="00405580"/>
    <w:rsid w:val="0040558E"/>
    <w:rsid w:val="004058CA"/>
    <w:rsid w:val="004059BF"/>
    <w:rsid w:val="00405C8D"/>
    <w:rsid w:val="00406305"/>
    <w:rsid w:val="00406311"/>
    <w:rsid w:val="004064C4"/>
    <w:rsid w:val="00406660"/>
    <w:rsid w:val="004067FA"/>
    <w:rsid w:val="00406818"/>
    <w:rsid w:val="00406882"/>
    <w:rsid w:val="0040694D"/>
    <w:rsid w:val="004069F5"/>
    <w:rsid w:val="00406D27"/>
    <w:rsid w:val="00406ED6"/>
    <w:rsid w:val="00406FE6"/>
    <w:rsid w:val="004070A8"/>
    <w:rsid w:val="004071EC"/>
    <w:rsid w:val="004072A2"/>
    <w:rsid w:val="00407342"/>
    <w:rsid w:val="00407379"/>
    <w:rsid w:val="0040743F"/>
    <w:rsid w:val="0040768A"/>
    <w:rsid w:val="0040770E"/>
    <w:rsid w:val="00407AB2"/>
    <w:rsid w:val="00407C43"/>
    <w:rsid w:val="00407CF1"/>
    <w:rsid w:val="004100DC"/>
    <w:rsid w:val="004101EA"/>
    <w:rsid w:val="004102D0"/>
    <w:rsid w:val="0041037A"/>
    <w:rsid w:val="00410453"/>
    <w:rsid w:val="004104ED"/>
    <w:rsid w:val="00410549"/>
    <w:rsid w:val="00410637"/>
    <w:rsid w:val="004109F4"/>
    <w:rsid w:val="00410C3A"/>
    <w:rsid w:val="00410C7A"/>
    <w:rsid w:val="00410D1F"/>
    <w:rsid w:val="00410D50"/>
    <w:rsid w:val="00410FA8"/>
    <w:rsid w:val="0041147F"/>
    <w:rsid w:val="004114E6"/>
    <w:rsid w:val="0041173E"/>
    <w:rsid w:val="004118C8"/>
    <w:rsid w:val="00411C0B"/>
    <w:rsid w:val="00411ECC"/>
    <w:rsid w:val="00411F1F"/>
    <w:rsid w:val="00411F9F"/>
    <w:rsid w:val="0041206C"/>
    <w:rsid w:val="00412469"/>
    <w:rsid w:val="004124C2"/>
    <w:rsid w:val="004127DE"/>
    <w:rsid w:val="00412886"/>
    <w:rsid w:val="00412A81"/>
    <w:rsid w:val="00412BA5"/>
    <w:rsid w:val="00412E21"/>
    <w:rsid w:val="0041307A"/>
    <w:rsid w:val="004137F6"/>
    <w:rsid w:val="00413802"/>
    <w:rsid w:val="0041386B"/>
    <w:rsid w:val="00413A1D"/>
    <w:rsid w:val="00413DDA"/>
    <w:rsid w:val="0041400F"/>
    <w:rsid w:val="00414314"/>
    <w:rsid w:val="00414480"/>
    <w:rsid w:val="004144FC"/>
    <w:rsid w:val="00414587"/>
    <w:rsid w:val="004145A8"/>
    <w:rsid w:val="004147E1"/>
    <w:rsid w:val="00414A09"/>
    <w:rsid w:val="00414A0F"/>
    <w:rsid w:val="00414CA0"/>
    <w:rsid w:val="00414E23"/>
    <w:rsid w:val="00415604"/>
    <w:rsid w:val="0041564D"/>
    <w:rsid w:val="0041591F"/>
    <w:rsid w:val="00415A65"/>
    <w:rsid w:val="00415A7C"/>
    <w:rsid w:val="00415B1B"/>
    <w:rsid w:val="00415C20"/>
    <w:rsid w:val="00415DAF"/>
    <w:rsid w:val="00415EB1"/>
    <w:rsid w:val="00415F47"/>
    <w:rsid w:val="00415F7B"/>
    <w:rsid w:val="00415F9B"/>
    <w:rsid w:val="004160FB"/>
    <w:rsid w:val="00416420"/>
    <w:rsid w:val="004166A0"/>
    <w:rsid w:val="00416931"/>
    <w:rsid w:val="00416963"/>
    <w:rsid w:val="00416B6D"/>
    <w:rsid w:val="00416C55"/>
    <w:rsid w:val="00416E79"/>
    <w:rsid w:val="00416EF8"/>
    <w:rsid w:val="00417159"/>
    <w:rsid w:val="004171D6"/>
    <w:rsid w:val="004173CD"/>
    <w:rsid w:val="0041760B"/>
    <w:rsid w:val="004177DB"/>
    <w:rsid w:val="004177E6"/>
    <w:rsid w:val="00417995"/>
    <w:rsid w:val="00417DF4"/>
    <w:rsid w:val="00417E75"/>
    <w:rsid w:val="00417F3C"/>
    <w:rsid w:val="00417FFB"/>
    <w:rsid w:val="0042005D"/>
    <w:rsid w:val="00420446"/>
    <w:rsid w:val="004204FA"/>
    <w:rsid w:val="00420693"/>
    <w:rsid w:val="00420855"/>
    <w:rsid w:val="004208B6"/>
    <w:rsid w:val="0042090A"/>
    <w:rsid w:val="004214DE"/>
    <w:rsid w:val="0042163F"/>
    <w:rsid w:val="004219B4"/>
    <w:rsid w:val="004219BC"/>
    <w:rsid w:val="00421B1B"/>
    <w:rsid w:val="00421E3B"/>
    <w:rsid w:val="00421F1E"/>
    <w:rsid w:val="00422087"/>
    <w:rsid w:val="0042222E"/>
    <w:rsid w:val="004224A4"/>
    <w:rsid w:val="004224C2"/>
    <w:rsid w:val="004225B6"/>
    <w:rsid w:val="00422630"/>
    <w:rsid w:val="004226A9"/>
    <w:rsid w:val="0042271C"/>
    <w:rsid w:val="004228B0"/>
    <w:rsid w:val="004229F4"/>
    <w:rsid w:val="00422B08"/>
    <w:rsid w:val="00422D02"/>
    <w:rsid w:val="00422F12"/>
    <w:rsid w:val="00422F3D"/>
    <w:rsid w:val="00422F3F"/>
    <w:rsid w:val="004230BE"/>
    <w:rsid w:val="00423417"/>
    <w:rsid w:val="00423720"/>
    <w:rsid w:val="004237D8"/>
    <w:rsid w:val="00423A55"/>
    <w:rsid w:val="00423B3C"/>
    <w:rsid w:val="00423B45"/>
    <w:rsid w:val="00423C6D"/>
    <w:rsid w:val="00423CB8"/>
    <w:rsid w:val="00423D0B"/>
    <w:rsid w:val="004242C5"/>
    <w:rsid w:val="00424302"/>
    <w:rsid w:val="0042437F"/>
    <w:rsid w:val="0042446E"/>
    <w:rsid w:val="0042450B"/>
    <w:rsid w:val="00424665"/>
    <w:rsid w:val="00424B20"/>
    <w:rsid w:val="00424EFD"/>
    <w:rsid w:val="004250A4"/>
    <w:rsid w:val="004252D6"/>
    <w:rsid w:val="0042539C"/>
    <w:rsid w:val="004256D0"/>
    <w:rsid w:val="00425745"/>
    <w:rsid w:val="004258AF"/>
    <w:rsid w:val="0042599A"/>
    <w:rsid w:val="00425A57"/>
    <w:rsid w:val="00425B18"/>
    <w:rsid w:val="00425E2D"/>
    <w:rsid w:val="00425E6D"/>
    <w:rsid w:val="0042619B"/>
    <w:rsid w:val="004262D3"/>
    <w:rsid w:val="0042631F"/>
    <w:rsid w:val="004266B4"/>
    <w:rsid w:val="00426818"/>
    <w:rsid w:val="00426E2C"/>
    <w:rsid w:val="00426E33"/>
    <w:rsid w:val="00426E7F"/>
    <w:rsid w:val="00426EAE"/>
    <w:rsid w:val="004272AC"/>
    <w:rsid w:val="0042785B"/>
    <w:rsid w:val="00427AA3"/>
    <w:rsid w:val="00427CED"/>
    <w:rsid w:val="00430208"/>
    <w:rsid w:val="0043038C"/>
    <w:rsid w:val="0043056C"/>
    <w:rsid w:val="004306B7"/>
    <w:rsid w:val="00430F0B"/>
    <w:rsid w:val="00430F75"/>
    <w:rsid w:val="004310B9"/>
    <w:rsid w:val="004310FE"/>
    <w:rsid w:val="004312A8"/>
    <w:rsid w:val="004312AF"/>
    <w:rsid w:val="0043130D"/>
    <w:rsid w:val="004313C8"/>
    <w:rsid w:val="004315EA"/>
    <w:rsid w:val="00431797"/>
    <w:rsid w:val="0043179D"/>
    <w:rsid w:val="004318B4"/>
    <w:rsid w:val="0043198A"/>
    <w:rsid w:val="00431B9D"/>
    <w:rsid w:val="00431BCC"/>
    <w:rsid w:val="00431C15"/>
    <w:rsid w:val="00431D1E"/>
    <w:rsid w:val="004320A5"/>
    <w:rsid w:val="004321A3"/>
    <w:rsid w:val="00432234"/>
    <w:rsid w:val="00432475"/>
    <w:rsid w:val="0043251B"/>
    <w:rsid w:val="0043274A"/>
    <w:rsid w:val="00432A9E"/>
    <w:rsid w:val="00432AB7"/>
    <w:rsid w:val="00432CD4"/>
    <w:rsid w:val="00432D3C"/>
    <w:rsid w:val="00432DDB"/>
    <w:rsid w:val="00432E32"/>
    <w:rsid w:val="00433068"/>
    <w:rsid w:val="00433180"/>
    <w:rsid w:val="0043345A"/>
    <w:rsid w:val="0043368A"/>
    <w:rsid w:val="004336DF"/>
    <w:rsid w:val="00433788"/>
    <w:rsid w:val="004338F3"/>
    <w:rsid w:val="00433B46"/>
    <w:rsid w:val="00433E04"/>
    <w:rsid w:val="00434325"/>
    <w:rsid w:val="00434349"/>
    <w:rsid w:val="004344C7"/>
    <w:rsid w:val="0043458C"/>
    <w:rsid w:val="004345EC"/>
    <w:rsid w:val="004346B4"/>
    <w:rsid w:val="004346BD"/>
    <w:rsid w:val="004347B7"/>
    <w:rsid w:val="004348F1"/>
    <w:rsid w:val="00434ABD"/>
    <w:rsid w:val="00434AD4"/>
    <w:rsid w:val="00434B3E"/>
    <w:rsid w:val="00434C66"/>
    <w:rsid w:val="00434C78"/>
    <w:rsid w:val="00434C8A"/>
    <w:rsid w:val="00434DE2"/>
    <w:rsid w:val="00434E4D"/>
    <w:rsid w:val="0043518B"/>
    <w:rsid w:val="0043521D"/>
    <w:rsid w:val="0043556B"/>
    <w:rsid w:val="00435A18"/>
    <w:rsid w:val="00435A46"/>
    <w:rsid w:val="00435BEC"/>
    <w:rsid w:val="00435C25"/>
    <w:rsid w:val="00435D32"/>
    <w:rsid w:val="00436028"/>
    <w:rsid w:val="004361E4"/>
    <w:rsid w:val="0043627D"/>
    <w:rsid w:val="004363CB"/>
    <w:rsid w:val="004363D9"/>
    <w:rsid w:val="004364B7"/>
    <w:rsid w:val="00436578"/>
    <w:rsid w:val="00436A6E"/>
    <w:rsid w:val="00436EA7"/>
    <w:rsid w:val="00436FB7"/>
    <w:rsid w:val="00437049"/>
    <w:rsid w:val="0043744D"/>
    <w:rsid w:val="004374A5"/>
    <w:rsid w:val="004375A0"/>
    <w:rsid w:val="004377A7"/>
    <w:rsid w:val="00437885"/>
    <w:rsid w:val="00437BDC"/>
    <w:rsid w:val="00437E6F"/>
    <w:rsid w:val="00437E8E"/>
    <w:rsid w:val="00437F2E"/>
    <w:rsid w:val="00437FB4"/>
    <w:rsid w:val="00437FD4"/>
    <w:rsid w:val="0044014E"/>
    <w:rsid w:val="004401BB"/>
    <w:rsid w:val="004406C7"/>
    <w:rsid w:val="004406CB"/>
    <w:rsid w:val="00440902"/>
    <w:rsid w:val="00440C32"/>
    <w:rsid w:val="00441425"/>
    <w:rsid w:val="0044173D"/>
    <w:rsid w:val="00441793"/>
    <w:rsid w:val="00441CAD"/>
    <w:rsid w:val="0044231D"/>
    <w:rsid w:val="00442836"/>
    <w:rsid w:val="004428A6"/>
    <w:rsid w:val="004428EB"/>
    <w:rsid w:val="0044290B"/>
    <w:rsid w:val="00442C5E"/>
    <w:rsid w:val="00442CE7"/>
    <w:rsid w:val="00442D7F"/>
    <w:rsid w:val="00442F5B"/>
    <w:rsid w:val="00442FC6"/>
    <w:rsid w:val="0044339A"/>
    <w:rsid w:val="004434FA"/>
    <w:rsid w:val="00443572"/>
    <w:rsid w:val="00443757"/>
    <w:rsid w:val="00443D56"/>
    <w:rsid w:val="00443DFB"/>
    <w:rsid w:val="00443F1B"/>
    <w:rsid w:val="00443F2D"/>
    <w:rsid w:val="00444764"/>
    <w:rsid w:val="0044477E"/>
    <w:rsid w:val="00444949"/>
    <w:rsid w:val="00444C8E"/>
    <w:rsid w:val="00444F48"/>
    <w:rsid w:val="00444F49"/>
    <w:rsid w:val="00445107"/>
    <w:rsid w:val="00445176"/>
    <w:rsid w:val="00445185"/>
    <w:rsid w:val="00445211"/>
    <w:rsid w:val="00445222"/>
    <w:rsid w:val="0044539E"/>
    <w:rsid w:val="00445527"/>
    <w:rsid w:val="00445528"/>
    <w:rsid w:val="0044572F"/>
    <w:rsid w:val="00445811"/>
    <w:rsid w:val="00445C88"/>
    <w:rsid w:val="00446217"/>
    <w:rsid w:val="0044651D"/>
    <w:rsid w:val="00446B55"/>
    <w:rsid w:val="00446BCC"/>
    <w:rsid w:val="00447002"/>
    <w:rsid w:val="0044706D"/>
    <w:rsid w:val="0044716D"/>
    <w:rsid w:val="004472F7"/>
    <w:rsid w:val="00447A2C"/>
    <w:rsid w:val="00447A6F"/>
    <w:rsid w:val="00447B53"/>
    <w:rsid w:val="00447E34"/>
    <w:rsid w:val="00450078"/>
    <w:rsid w:val="00450151"/>
    <w:rsid w:val="004508B7"/>
    <w:rsid w:val="004508CA"/>
    <w:rsid w:val="004509AD"/>
    <w:rsid w:val="00450A19"/>
    <w:rsid w:val="00450CA6"/>
    <w:rsid w:val="0045111B"/>
    <w:rsid w:val="004513D6"/>
    <w:rsid w:val="004514CC"/>
    <w:rsid w:val="00451562"/>
    <w:rsid w:val="00451B57"/>
    <w:rsid w:val="00451E62"/>
    <w:rsid w:val="0045211E"/>
    <w:rsid w:val="004526B5"/>
    <w:rsid w:val="00452CCC"/>
    <w:rsid w:val="004530AE"/>
    <w:rsid w:val="004530C0"/>
    <w:rsid w:val="004532CB"/>
    <w:rsid w:val="004533F2"/>
    <w:rsid w:val="00453491"/>
    <w:rsid w:val="00453871"/>
    <w:rsid w:val="00453C29"/>
    <w:rsid w:val="00453C87"/>
    <w:rsid w:val="00453DF4"/>
    <w:rsid w:val="00453E63"/>
    <w:rsid w:val="004545DA"/>
    <w:rsid w:val="004545E2"/>
    <w:rsid w:val="00454601"/>
    <w:rsid w:val="004546A2"/>
    <w:rsid w:val="00454720"/>
    <w:rsid w:val="004548D8"/>
    <w:rsid w:val="00454D3C"/>
    <w:rsid w:val="00454ED9"/>
    <w:rsid w:val="00454FE7"/>
    <w:rsid w:val="004553D0"/>
    <w:rsid w:val="004553DC"/>
    <w:rsid w:val="004557CC"/>
    <w:rsid w:val="00455906"/>
    <w:rsid w:val="004559AF"/>
    <w:rsid w:val="00455C4C"/>
    <w:rsid w:val="00455CC1"/>
    <w:rsid w:val="00455DCA"/>
    <w:rsid w:val="00455E0F"/>
    <w:rsid w:val="00455FEE"/>
    <w:rsid w:val="00456070"/>
    <w:rsid w:val="0045611D"/>
    <w:rsid w:val="004561FF"/>
    <w:rsid w:val="00456427"/>
    <w:rsid w:val="004568A8"/>
    <w:rsid w:val="004568CC"/>
    <w:rsid w:val="00456A75"/>
    <w:rsid w:val="00456D19"/>
    <w:rsid w:val="00456EB0"/>
    <w:rsid w:val="00456F34"/>
    <w:rsid w:val="004576DA"/>
    <w:rsid w:val="00457757"/>
    <w:rsid w:val="0045798E"/>
    <w:rsid w:val="00457A76"/>
    <w:rsid w:val="00457B8C"/>
    <w:rsid w:val="00457D42"/>
    <w:rsid w:val="00457D4D"/>
    <w:rsid w:val="0046000F"/>
    <w:rsid w:val="00460035"/>
    <w:rsid w:val="0046013C"/>
    <w:rsid w:val="004602D3"/>
    <w:rsid w:val="00460397"/>
    <w:rsid w:val="004604DB"/>
    <w:rsid w:val="0046078F"/>
    <w:rsid w:val="00460812"/>
    <w:rsid w:val="004608FD"/>
    <w:rsid w:val="00460A8A"/>
    <w:rsid w:val="00460B25"/>
    <w:rsid w:val="00460D8F"/>
    <w:rsid w:val="00460F8A"/>
    <w:rsid w:val="00460FBE"/>
    <w:rsid w:val="0046147A"/>
    <w:rsid w:val="00461821"/>
    <w:rsid w:val="00461D34"/>
    <w:rsid w:val="00461D39"/>
    <w:rsid w:val="00461E6E"/>
    <w:rsid w:val="00461EB3"/>
    <w:rsid w:val="00461EF9"/>
    <w:rsid w:val="00461F07"/>
    <w:rsid w:val="00462504"/>
    <w:rsid w:val="0046270E"/>
    <w:rsid w:val="0046270F"/>
    <w:rsid w:val="00462820"/>
    <w:rsid w:val="00462966"/>
    <w:rsid w:val="00462988"/>
    <w:rsid w:val="00462A10"/>
    <w:rsid w:val="00463198"/>
    <w:rsid w:val="004635EB"/>
    <w:rsid w:val="0046360E"/>
    <w:rsid w:val="0046375D"/>
    <w:rsid w:val="004638C6"/>
    <w:rsid w:val="00463BDD"/>
    <w:rsid w:val="00463C35"/>
    <w:rsid w:val="00463F16"/>
    <w:rsid w:val="00464036"/>
    <w:rsid w:val="004640FE"/>
    <w:rsid w:val="00464165"/>
    <w:rsid w:val="00464180"/>
    <w:rsid w:val="004644B5"/>
    <w:rsid w:val="00464531"/>
    <w:rsid w:val="00464571"/>
    <w:rsid w:val="00464589"/>
    <w:rsid w:val="00464701"/>
    <w:rsid w:val="00464878"/>
    <w:rsid w:val="004648B6"/>
    <w:rsid w:val="004648F8"/>
    <w:rsid w:val="00464A10"/>
    <w:rsid w:val="00464E26"/>
    <w:rsid w:val="00464E83"/>
    <w:rsid w:val="00464E8C"/>
    <w:rsid w:val="00465024"/>
    <w:rsid w:val="00465185"/>
    <w:rsid w:val="004652E8"/>
    <w:rsid w:val="0046555D"/>
    <w:rsid w:val="004655BA"/>
    <w:rsid w:val="004658E0"/>
    <w:rsid w:val="00465944"/>
    <w:rsid w:val="004659F1"/>
    <w:rsid w:val="00465B00"/>
    <w:rsid w:val="00465C04"/>
    <w:rsid w:val="00465F06"/>
    <w:rsid w:val="00465F36"/>
    <w:rsid w:val="00466220"/>
    <w:rsid w:val="00466282"/>
    <w:rsid w:val="0046642D"/>
    <w:rsid w:val="00466474"/>
    <w:rsid w:val="004664B0"/>
    <w:rsid w:val="004667FA"/>
    <w:rsid w:val="00466A26"/>
    <w:rsid w:val="00466DA7"/>
    <w:rsid w:val="00466ECC"/>
    <w:rsid w:val="00466FEB"/>
    <w:rsid w:val="00467073"/>
    <w:rsid w:val="00467196"/>
    <w:rsid w:val="0046723A"/>
    <w:rsid w:val="004672F9"/>
    <w:rsid w:val="004673A6"/>
    <w:rsid w:val="004673D2"/>
    <w:rsid w:val="004675BB"/>
    <w:rsid w:val="00467724"/>
    <w:rsid w:val="00467903"/>
    <w:rsid w:val="00467CDE"/>
    <w:rsid w:val="00467D11"/>
    <w:rsid w:val="00467D58"/>
    <w:rsid w:val="00470149"/>
    <w:rsid w:val="00470163"/>
    <w:rsid w:val="00470279"/>
    <w:rsid w:val="004702C2"/>
    <w:rsid w:val="004705A8"/>
    <w:rsid w:val="00470687"/>
    <w:rsid w:val="00470853"/>
    <w:rsid w:val="00470ABA"/>
    <w:rsid w:val="00470C11"/>
    <w:rsid w:val="00470D14"/>
    <w:rsid w:val="00470D67"/>
    <w:rsid w:val="00470EDA"/>
    <w:rsid w:val="00470F53"/>
    <w:rsid w:val="00470FCF"/>
    <w:rsid w:val="00471326"/>
    <w:rsid w:val="0047150E"/>
    <w:rsid w:val="004715AE"/>
    <w:rsid w:val="0047197D"/>
    <w:rsid w:val="00471B78"/>
    <w:rsid w:val="00471D16"/>
    <w:rsid w:val="00471DF0"/>
    <w:rsid w:val="00471E68"/>
    <w:rsid w:val="00472182"/>
    <w:rsid w:val="0047226A"/>
    <w:rsid w:val="004723EF"/>
    <w:rsid w:val="00472402"/>
    <w:rsid w:val="00472691"/>
    <w:rsid w:val="00472717"/>
    <w:rsid w:val="00472755"/>
    <w:rsid w:val="0047280A"/>
    <w:rsid w:val="00472D25"/>
    <w:rsid w:val="00472E12"/>
    <w:rsid w:val="00472FAA"/>
    <w:rsid w:val="00472FEA"/>
    <w:rsid w:val="00473008"/>
    <w:rsid w:val="0047331F"/>
    <w:rsid w:val="0047355A"/>
    <w:rsid w:val="00473676"/>
    <w:rsid w:val="00473925"/>
    <w:rsid w:val="0047392D"/>
    <w:rsid w:val="00473983"/>
    <w:rsid w:val="00473B74"/>
    <w:rsid w:val="00474436"/>
    <w:rsid w:val="00474495"/>
    <w:rsid w:val="004744D8"/>
    <w:rsid w:val="004745CD"/>
    <w:rsid w:val="00474816"/>
    <w:rsid w:val="00474A0D"/>
    <w:rsid w:val="00474D68"/>
    <w:rsid w:val="00474EC4"/>
    <w:rsid w:val="00474F04"/>
    <w:rsid w:val="00475073"/>
    <w:rsid w:val="004751B3"/>
    <w:rsid w:val="0047531B"/>
    <w:rsid w:val="00475495"/>
    <w:rsid w:val="004755FA"/>
    <w:rsid w:val="004759A5"/>
    <w:rsid w:val="00475BB9"/>
    <w:rsid w:val="00475C5A"/>
    <w:rsid w:val="00475C66"/>
    <w:rsid w:val="00475D1B"/>
    <w:rsid w:val="00475D65"/>
    <w:rsid w:val="00475E7A"/>
    <w:rsid w:val="00475F35"/>
    <w:rsid w:val="00476284"/>
    <w:rsid w:val="00476422"/>
    <w:rsid w:val="004764B1"/>
    <w:rsid w:val="00476534"/>
    <w:rsid w:val="004765A4"/>
    <w:rsid w:val="00476915"/>
    <w:rsid w:val="004769AC"/>
    <w:rsid w:val="004769F0"/>
    <w:rsid w:val="00476EC3"/>
    <w:rsid w:val="00477075"/>
    <w:rsid w:val="004773E9"/>
    <w:rsid w:val="004777C9"/>
    <w:rsid w:val="0047783D"/>
    <w:rsid w:val="004778CD"/>
    <w:rsid w:val="00477AF1"/>
    <w:rsid w:val="00477C37"/>
    <w:rsid w:val="00477D0C"/>
    <w:rsid w:val="00477E25"/>
    <w:rsid w:val="004807E8"/>
    <w:rsid w:val="0048098D"/>
    <w:rsid w:val="004809BC"/>
    <w:rsid w:val="004809E9"/>
    <w:rsid w:val="00480A8D"/>
    <w:rsid w:val="00480D52"/>
    <w:rsid w:val="00480E3D"/>
    <w:rsid w:val="00480F23"/>
    <w:rsid w:val="0048131C"/>
    <w:rsid w:val="004814F5"/>
    <w:rsid w:val="00481930"/>
    <w:rsid w:val="00481A62"/>
    <w:rsid w:val="00481E86"/>
    <w:rsid w:val="00482077"/>
    <w:rsid w:val="00482085"/>
    <w:rsid w:val="004820A6"/>
    <w:rsid w:val="004821C5"/>
    <w:rsid w:val="00482413"/>
    <w:rsid w:val="00482453"/>
    <w:rsid w:val="004824AE"/>
    <w:rsid w:val="00482623"/>
    <w:rsid w:val="0048293C"/>
    <w:rsid w:val="00482C3E"/>
    <w:rsid w:val="00482EAB"/>
    <w:rsid w:val="00482EF1"/>
    <w:rsid w:val="00483025"/>
    <w:rsid w:val="004835D9"/>
    <w:rsid w:val="00483782"/>
    <w:rsid w:val="004838C6"/>
    <w:rsid w:val="00483A93"/>
    <w:rsid w:val="00483AB1"/>
    <w:rsid w:val="00483FC8"/>
    <w:rsid w:val="004840F0"/>
    <w:rsid w:val="00484664"/>
    <w:rsid w:val="00484676"/>
    <w:rsid w:val="004848F0"/>
    <w:rsid w:val="00484D1D"/>
    <w:rsid w:val="00485056"/>
    <w:rsid w:val="004851B0"/>
    <w:rsid w:val="00485202"/>
    <w:rsid w:val="0048527B"/>
    <w:rsid w:val="004853B7"/>
    <w:rsid w:val="004855DD"/>
    <w:rsid w:val="004858B8"/>
    <w:rsid w:val="0048593D"/>
    <w:rsid w:val="00485A5C"/>
    <w:rsid w:val="00485DD7"/>
    <w:rsid w:val="00485FA0"/>
    <w:rsid w:val="00486388"/>
    <w:rsid w:val="004864C3"/>
    <w:rsid w:val="004865EB"/>
    <w:rsid w:val="004866A7"/>
    <w:rsid w:val="004868B8"/>
    <w:rsid w:val="00486B3A"/>
    <w:rsid w:val="00486C37"/>
    <w:rsid w:val="00486D7D"/>
    <w:rsid w:val="00486EEC"/>
    <w:rsid w:val="00487096"/>
    <w:rsid w:val="004871D3"/>
    <w:rsid w:val="00487530"/>
    <w:rsid w:val="00487588"/>
    <w:rsid w:val="00487595"/>
    <w:rsid w:val="00487820"/>
    <w:rsid w:val="004878F6"/>
    <w:rsid w:val="00487C5C"/>
    <w:rsid w:val="00487C8E"/>
    <w:rsid w:val="00487FC2"/>
    <w:rsid w:val="00487FC7"/>
    <w:rsid w:val="004900F7"/>
    <w:rsid w:val="0049011C"/>
    <w:rsid w:val="00490379"/>
    <w:rsid w:val="0049046E"/>
    <w:rsid w:val="004905B6"/>
    <w:rsid w:val="004906B5"/>
    <w:rsid w:val="004907FE"/>
    <w:rsid w:val="00490884"/>
    <w:rsid w:val="00490972"/>
    <w:rsid w:val="00490BC1"/>
    <w:rsid w:val="00490CC7"/>
    <w:rsid w:val="00491234"/>
    <w:rsid w:val="00491667"/>
    <w:rsid w:val="004916B1"/>
    <w:rsid w:val="0049177E"/>
    <w:rsid w:val="00491A43"/>
    <w:rsid w:val="00491CDC"/>
    <w:rsid w:val="00491F93"/>
    <w:rsid w:val="0049212F"/>
    <w:rsid w:val="0049218F"/>
    <w:rsid w:val="004924DC"/>
    <w:rsid w:val="00492500"/>
    <w:rsid w:val="00492555"/>
    <w:rsid w:val="004925BD"/>
    <w:rsid w:val="004926D6"/>
    <w:rsid w:val="004926EA"/>
    <w:rsid w:val="0049275B"/>
    <w:rsid w:val="004927C5"/>
    <w:rsid w:val="00492C36"/>
    <w:rsid w:val="00492CCB"/>
    <w:rsid w:val="004931A1"/>
    <w:rsid w:val="0049322C"/>
    <w:rsid w:val="004932FF"/>
    <w:rsid w:val="00493613"/>
    <w:rsid w:val="0049368B"/>
    <w:rsid w:val="0049375D"/>
    <w:rsid w:val="0049397B"/>
    <w:rsid w:val="00493A5B"/>
    <w:rsid w:val="00493D8A"/>
    <w:rsid w:val="00493DF6"/>
    <w:rsid w:val="00494041"/>
    <w:rsid w:val="00494129"/>
    <w:rsid w:val="004941D8"/>
    <w:rsid w:val="00494344"/>
    <w:rsid w:val="00494451"/>
    <w:rsid w:val="004944A7"/>
    <w:rsid w:val="0049456A"/>
    <w:rsid w:val="00494A87"/>
    <w:rsid w:val="00494A9E"/>
    <w:rsid w:val="00494D0B"/>
    <w:rsid w:val="00494D25"/>
    <w:rsid w:val="00494F12"/>
    <w:rsid w:val="00495092"/>
    <w:rsid w:val="00495155"/>
    <w:rsid w:val="004951E0"/>
    <w:rsid w:val="004951F1"/>
    <w:rsid w:val="00495396"/>
    <w:rsid w:val="004954CB"/>
    <w:rsid w:val="004954D3"/>
    <w:rsid w:val="0049553B"/>
    <w:rsid w:val="00495567"/>
    <w:rsid w:val="004955BC"/>
    <w:rsid w:val="0049568E"/>
    <w:rsid w:val="00495E84"/>
    <w:rsid w:val="00495F2D"/>
    <w:rsid w:val="00496442"/>
    <w:rsid w:val="004965F8"/>
    <w:rsid w:val="004966DD"/>
    <w:rsid w:val="004967F1"/>
    <w:rsid w:val="00496947"/>
    <w:rsid w:val="00496AEE"/>
    <w:rsid w:val="00496B0F"/>
    <w:rsid w:val="00496B5B"/>
    <w:rsid w:val="00496E8A"/>
    <w:rsid w:val="00496F3F"/>
    <w:rsid w:val="004972E8"/>
    <w:rsid w:val="00497374"/>
    <w:rsid w:val="0049739B"/>
    <w:rsid w:val="00497A37"/>
    <w:rsid w:val="00497B2A"/>
    <w:rsid w:val="00497B54"/>
    <w:rsid w:val="00497D64"/>
    <w:rsid w:val="00497DB1"/>
    <w:rsid w:val="00497DD3"/>
    <w:rsid w:val="004A003D"/>
    <w:rsid w:val="004A006A"/>
    <w:rsid w:val="004A02E5"/>
    <w:rsid w:val="004A02E9"/>
    <w:rsid w:val="004A0734"/>
    <w:rsid w:val="004A078A"/>
    <w:rsid w:val="004A07C0"/>
    <w:rsid w:val="004A0913"/>
    <w:rsid w:val="004A0A9C"/>
    <w:rsid w:val="004A0AB0"/>
    <w:rsid w:val="004A0CB4"/>
    <w:rsid w:val="004A1098"/>
    <w:rsid w:val="004A11AD"/>
    <w:rsid w:val="004A143A"/>
    <w:rsid w:val="004A160C"/>
    <w:rsid w:val="004A19D4"/>
    <w:rsid w:val="004A1A5F"/>
    <w:rsid w:val="004A1B07"/>
    <w:rsid w:val="004A1BE2"/>
    <w:rsid w:val="004A1D1B"/>
    <w:rsid w:val="004A1E14"/>
    <w:rsid w:val="004A1ED4"/>
    <w:rsid w:val="004A1F04"/>
    <w:rsid w:val="004A1FD2"/>
    <w:rsid w:val="004A1FD8"/>
    <w:rsid w:val="004A20E9"/>
    <w:rsid w:val="004A28CD"/>
    <w:rsid w:val="004A29A2"/>
    <w:rsid w:val="004A2D53"/>
    <w:rsid w:val="004A2E3B"/>
    <w:rsid w:val="004A2E7E"/>
    <w:rsid w:val="004A3096"/>
    <w:rsid w:val="004A3124"/>
    <w:rsid w:val="004A3368"/>
    <w:rsid w:val="004A33A0"/>
    <w:rsid w:val="004A33B4"/>
    <w:rsid w:val="004A33BB"/>
    <w:rsid w:val="004A33D9"/>
    <w:rsid w:val="004A347F"/>
    <w:rsid w:val="004A3550"/>
    <w:rsid w:val="004A35A8"/>
    <w:rsid w:val="004A37F2"/>
    <w:rsid w:val="004A38D6"/>
    <w:rsid w:val="004A38EC"/>
    <w:rsid w:val="004A3A74"/>
    <w:rsid w:val="004A3D10"/>
    <w:rsid w:val="004A3E0B"/>
    <w:rsid w:val="004A419D"/>
    <w:rsid w:val="004A4207"/>
    <w:rsid w:val="004A424E"/>
    <w:rsid w:val="004A4449"/>
    <w:rsid w:val="004A451A"/>
    <w:rsid w:val="004A4656"/>
    <w:rsid w:val="004A4805"/>
    <w:rsid w:val="004A4832"/>
    <w:rsid w:val="004A483A"/>
    <w:rsid w:val="004A49A6"/>
    <w:rsid w:val="004A49E0"/>
    <w:rsid w:val="004A4A15"/>
    <w:rsid w:val="004A4A71"/>
    <w:rsid w:val="004A4CB7"/>
    <w:rsid w:val="004A4F41"/>
    <w:rsid w:val="004A52AA"/>
    <w:rsid w:val="004A553D"/>
    <w:rsid w:val="004A556E"/>
    <w:rsid w:val="004A5658"/>
    <w:rsid w:val="004A5C32"/>
    <w:rsid w:val="004A5CAE"/>
    <w:rsid w:val="004A5D22"/>
    <w:rsid w:val="004A5DBE"/>
    <w:rsid w:val="004A6172"/>
    <w:rsid w:val="004A6392"/>
    <w:rsid w:val="004A6566"/>
    <w:rsid w:val="004A65DB"/>
    <w:rsid w:val="004A66D8"/>
    <w:rsid w:val="004A6882"/>
    <w:rsid w:val="004A69BC"/>
    <w:rsid w:val="004A6A90"/>
    <w:rsid w:val="004A6B8D"/>
    <w:rsid w:val="004A6F78"/>
    <w:rsid w:val="004A6F81"/>
    <w:rsid w:val="004A6FBD"/>
    <w:rsid w:val="004A7021"/>
    <w:rsid w:val="004A7099"/>
    <w:rsid w:val="004A7322"/>
    <w:rsid w:val="004A735C"/>
    <w:rsid w:val="004A735F"/>
    <w:rsid w:val="004A747C"/>
    <w:rsid w:val="004A7499"/>
    <w:rsid w:val="004A7522"/>
    <w:rsid w:val="004A764B"/>
    <w:rsid w:val="004A7CE3"/>
    <w:rsid w:val="004A7D7A"/>
    <w:rsid w:val="004B000E"/>
    <w:rsid w:val="004B014F"/>
    <w:rsid w:val="004B01A7"/>
    <w:rsid w:val="004B01B6"/>
    <w:rsid w:val="004B023B"/>
    <w:rsid w:val="004B04CE"/>
    <w:rsid w:val="004B0591"/>
    <w:rsid w:val="004B05CF"/>
    <w:rsid w:val="004B06B0"/>
    <w:rsid w:val="004B077F"/>
    <w:rsid w:val="004B07F5"/>
    <w:rsid w:val="004B0829"/>
    <w:rsid w:val="004B0857"/>
    <w:rsid w:val="004B0898"/>
    <w:rsid w:val="004B0965"/>
    <w:rsid w:val="004B09B1"/>
    <w:rsid w:val="004B0AFC"/>
    <w:rsid w:val="004B0CA8"/>
    <w:rsid w:val="004B10FD"/>
    <w:rsid w:val="004B11AB"/>
    <w:rsid w:val="004B11E8"/>
    <w:rsid w:val="004B12D2"/>
    <w:rsid w:val="004B1599"/>
    <w:rsid w:val="004B174B"/>
    <w:rsid w:val="004B1836"/>
    <w:rsid w:val="004B1CF0"/>
    <w:rsid w:val="004B200E"/>
    <w:rsid w:val="004B21D0"/>
    <w:rsid w:val="004B23B7"/>
    <w:rsid w:val="004B23E7"/>
    <w:rsid w:val="004B23F8"/>
    <w:rsid w:val="004B2408"/>
    <w:rsid w:val="004B2503"/>
    <w:rsid w:val="004B2997"/>
    <w:rsid w:val="004B2AB3"/>
    <w:rsid w:val="004B2BB2"/>
    <w:rsid w:val="004B2C9B"/>
    <w:rsid w:val="004B2C9C"/>
    <w:rsid w:val="004B2CC1"/>
    <w:rsid w:val="004B2D64"/>
    <w:rsid w:val="004B2E67"/>
    <w:rsid w:val="004B2E7F"/>
    <w:rsid w:val="004B2F4F"/>
    <w:rsid w:val="004B3137"/>
    <w:rsid w:val="004B32A5"/>
    <w:rsid w:val="004B3525"/>
    <w:rsid w:val="004B3682"/>
    <w:rsid w:val="004B36BA"/>
    <w:rsid w:val="004B3723"/>
    <w:rsid w:val="004B38AB"/>
    <w:rsid w:val="004B393F"/>
    <w:rsid w:val="004B3C3D"/>
    <w:rsid w:val="004B3D0B"/>
    <w:rsid w:val="004B3F9D"/>
    <w:rsid w:val="004B422F"/>
    <w:rsid w:val="004B427E"/>
    <w:rsid w:val="004B4304"/>
    <w:rsid w:val="004B4428"/>
    <w:rsid w:val="004B472B"/>
    <w:rsid w:val="004B4833"/>
    <w:rsid w:val="004B4835"/>
    <w:rsid w:val="004B499F"/>
    <w:rsid w:val="004B4A9F"/>
    <w:rsid w:val="004B4ACE"/>
    <w:rsid w:val="004B4BC2"/>
    <w:rsid w:val="004B4BFD"/>
    <w:rsid w:val="004B5022"/>
    <w:rsid w:val="004B511E"/>
    <w:rsid w:val="004B5383"/>
    <w:rsid w:val="004B5695"/>
    <w:rsid w:val="004B57E3"/>
    <w:rsid w:val="004B5B24"/>
    <w:rsid w:val="004B5BE2"/>
    <w:rsid w:val="004B5C75"/>
    <w:rsid w:val="004B5DE3"/>
    <w:rsid w:val="004B5F75"/>
    <w:rsid w:val="004B5F8D"/>
    <w:rsid w:val="004B6103"/>
    <w:rsid w:val="004B612E"/>
    <w:rsid w:val="004B6325"/>
    <w:rsid w:val="004B6432"/>
    <w:rsid w:val="004B64C9"/>
    <w:rsid w:val="004B655E"/>
    <w:rsid w:val="004B65F5"/>
    <w:rsid w:val="004B66D5"/>
    <w:rsid w:val="004B67FB"/>
    <w:rsid w:val="004B6A58"/>
    <w:rsid w:val="004B6AB0"/>
    <w:rsid w:val="004B6AD6"/>
    <w:rsid w:val="004B6B73"/>
    <w:rsid w:val="004B6B89"/>
    <w:rsid w:val="004B6D75"/>
    <w:rsid w:val="004B6EE3"/>
    <w:rsid w:val="004B7294"/>
    <w:rsid w:val="004B77B1"/>
    <w:rsid w:val="004B79AD"/>
    <w:rsid w:val="004B79D5"/>
    <w:rsid w:val="004B7D33"/>
    <w:rsid w:val="004B7E73"/>
    <w:rsid w:val="004C004A"/>
    <w:rsid w:val="004C0113"/>
    <w:rsid w:val="004C02F7"/>
    <w:rsid w:val="004C0804"/>
    <w:rsid w:val="004C0884"/>
    <w:rsid w:val="004C0903"/>
    <w:rsid w:val="004C0B95"/>
    <w:rsid w:val="004C0BB9"/>
    <w:rsid w:val="004C0BFD"/>
    <w:rsid w:val="004C0DB8"/>
    <w:rsid w:val="004C0F88"/>
    <w:rsid w:val="004C10D9"/>
    <w:rsid w:val="004C123D"/>
    <w:rsid w:val="004C12BE"/>
    <w:rsid w:val="004C15F3"/>
    <w:rsid w:val="004C16BF"/>
    <w:rsid w:val="004C17C7"/>
    <w:rsid w:val="004C1960"/>
    <w:rsid w:val="004C1A32"/>
    <w:rsid w:val="004C1A4B"/>
    <w:rsid w:val="004C1AB7"/>
    <w:rsid w:val="004C1ABB"/>
    <w:rsid w:val="004C1AC0"/>
    <w:rsid w:val="004C1B21"/>
    <w:rsid w:val="004C1CD2"/>
    <w:rsid w:val="004C1CEE"/>
    <w:rsid w:val="004C1EFD"/>
    <w:rsid w:val="004C2030"/>
    <w:rsid w:val="004C2200"/>
    <w:rsid w:val="004C222C"/>
    <w:rsid w:val="004C23A9"/>
    <w:rsid w:val="004C23DC"/>
    <w:rsid w:val="004C25A2"/>
    <w:rsid w:val="004C27BD"/>
    <w:rsid w:val="004C2A7A"/>
    <w:rsid w:val="004C2CAD"/>
    <w:rsid w:val="004C2F0F"/>
    <w:rsid w:val="004C302B"/>
    <w:rsid w:val="004C3062"/>
    <w:rsid w:val="004C30DF"/>
    <w:rsid w:val="004C329D"/>
    <w:rsid w:val="004C357D"/>
    <w:rsid w:val="004C3685"/>
    <w:rsid w:val="004C3859"/>
    <w:rsid w:val="004C38C3"/>
    <w:rsid w:val="004C391A"/>
    <w:rsid w:val="004C397C"/>
    <w:rsid w:val="004C3994"/>
    <w:rsid w:val="004C39E0"/>
    <w:rsid w:val="004C3A32"/>
    <w:rsid w:val="004C3A65"/>
    <w:rsid w:val="004C4166"/>
    <w:rsid w:val="004C4289"/>
    <w:rsid w:val="004C42FC"/>
    <w:rsid w:val="004C43F8"/>
    <w:rsid w:val="004C461A"/>
    <w:rsid w:val="004C4653"/>
    <w:rsid w:val="004C4763"/>
    <w:rsid w:val="004C48BB"/>
    <w:rsid w:val="004C4D0F"/>
    <w:rsid w:val="004C4E8A"/>
    <w:rsid w:val="004C4FB1"/>
    <w:rsid w:val="004C5040"/>
    <w:rsid w:val="004C51F9"/>
    <w:rsid w:val="004C5232"/>
    <w:rsid w:val="004C554B"/>
    <w:rsid w:val="004C55C2"/>
    <w:rsid w:val="004C561E"/>
    <w:rsid w:val="004C564E"/>
    <w:rsid w:val="004C5BDC"/>
    <w:rsid w:val="004C5FDD"/>
    <w:rsid w:val="004C60EC"/>
    <w:rsid w:val="004C6218"/>
    <w:rsid w:val="004C63B7"/>
    <w:rsid w:val="004C63E6"/>
    <w:rsid w:val="004C654D"/>
    <w:rsid w:val="004C68BA"/>
    <w:rsid w:val="004C6AC5"/>
    <w:rsid w:val="004C6AD7"/>
    <w:rsid w:val="004C6EA3"/>
    <w:rsid w:val="004C6FFD"/>
    <w:rsid w:val="004C7150"/>
    <w:rsid w:val="004C715A"/>
    <w:rsid w:val="004C7422"/>
    <w:rsid w:val="004C755A"/>
    <w:rsid w:val="004C758E"/>
    <w:rsid w:val="004C7624"/>
    <w:rsid w:val="004C7702"/>
    <w:rsid w:val="004C7750"/>
    <w:rsid w:val="004C7752"/>
    <w:rsid w:val="004C77E8"/>
    <w:rsid w:val="004C7AA8"/>
    <w:rsid w:val="004C7AC2"/>
    <w:rsid w:val="004C7AD8"/>
    <w:rsid w:val="004C7B55"/>
    <w:rsid w:val="004C7DFF"/>
    <w:rsid w:val="004D0020"/>
    <w:rsid w:val="004D0075"/>
    <w:rsid w:val="004D0200"/>
    <w:rsid w:val="004D03FF"/>
    <w:rsid w:val="004D05AA"/>
    <w:rsid w:val="004D05EB"/>
    <w:rsid w:val="004D061B"/>
    <w:rsid w:val="004D066F"/>
    <w:rsid w:val="004D069D"/>
    <w:rsid w:val="004D08D3"/>
    <w:rsid w:val="004D08F7"/>
    <w:rsid w:val="004D091C"/>
    <w:rsid w:val="004D0B70"/>
    <w:rsid w:val="004D0BD3"/>
    <w:rsid w:val="004D0D28"/>
    <w:rsid w:val="004D0DBA"/>
    <w:rsid w:val="004D0DEE"/>
    <w:rsid w:val="004D0E90"/>
    <w:rsid w:val="004D1157"/>
    <w:rsid w:val="004D1553"/>
    <w:rsid w:val="004D15D3"/>
    <w:rsid w:val="004D1803"/>
    <w:rsid w:val="004D1A98"/>
    <w:rsid w:val="004D1BDA"/>
    <w:rsid w:val="004D2051"/>
    <w:rsid w:val="004D21C0"/>
    <w:rsid w:val="004D22CF"/>
    <w:rsid w:val="004D22D6"/>
    <w:rsid w:val="004D2313"/>
    <w:rsid w:val="004D24AA"/>
    <w:rsid w:val="004D253A"/>
    <w:rsid w:val="004D2A90"/>
    <w:rsid w:val="004D2FAC"/>
    <w:rsid w:val="004D313D"/>
    <w:rsid w:val="004D3213"/>
    <w:rsid w:val="004D3B99"/>
    <w:rsid w:val="004D3EF2"/>
    <w:rsid w:val="004D3FDE"/>
    <w:rsid w:val="004D4031"/>
    <w:rsid w:val="004D430C"/>
    <w:rsid w:val="004D43A1"/>
    <w:rsid w:val="004D43F8"/>
    <w:rsid w:val="004D4686"/>
    <w:rsid w:val="004D498E"/>
    <w:rsid w:val="004D49F1"/>
    <w:rsid w:val="004D4A61"/>
    <w:rsid w:val="004D4A8D"/>
    <w:rsid w:val="004D4AD9"/>
    <w:rsid w:val="004D4ADF"/>
    <w:rsid w:val="004D4B2B"/>
    <w:rsid w:val="004D4B41"/>
    <w:rsid w:val="004D4D60"/>
    <w:rsid w:val="004D4EA8"/>
    <w:rsid w:val="004D522F"/>
    <w:rsid w:val="004D568D"/>
    <w:rsid w:val="004D5981"/>
    <w:rsid w:val="004D5DD6"/>
    <w:rsid w:val="004D603E"/>
    <w:rsid w:val="004D60BB"/>
    <w:rsid w:val="004D629A"/>
    <w:rsid w:val="004D62D8"/>
    <w:rsid w:val="004D67C3"/>
    <w:rsid w:val="004D6932"/>
    <w:rsid w:val="004D69C5"/>
    <w:rsid w:val="004D6B5E"/>
    <w:rsid w:val="004D6C38"/>
    <w:rsid w:val="004D6DD5"/>
    <w:rsid w:val="004D6E34"/>
    <w:rsid w:val="004D705D"/>
    <w:rsid w:val="004D70E7"/>
    <w:rsid w:val="004D793C"/>
    <w:rsid w:val="004D796A"/>
    <w:rsid w:val="004E00A5"/>
    <w:rsid w:val="004E02D1"/>
    <w:rsid w:val="004E02E9"/>
    <w:rsid w:val="004E0320"/>
    <w:rsid w:val="004E0339"/>
    <w:rsid w:val="004E04C3"/>
    <w:rsid w:val="004E0507"/>
    <w:rsid w:val="004E0535"/>
    <w:rsid w:val="004E0632"/>
    <w:rsid w:val="004E06EA"/>
    <w:rsid w:val="004E073D"/>
    <w:rsid w:val="004E0D19"/>
    <w:rsid w:val="004E0E59"/>
    <w:rsid w:val="004E0F81"/>
    <w:rsid w:val="004E1187"/>
    <w:rsid w:val="004E12F1"/>
    <w:rsid w:val="004E146A"/>
    <w:rsid w:val="004E157D"/>
    <w:rsid w:val="004E161E"/>
    <w:rsid w:val="004E18D2"/>
    <w:rsid w:val="004E1C22"/>
    <w:rsid w:val="004E1E8B"/>
    <w:rsid w:val="004E20CB"/>
    <w:rsid w:val="004E252E"/>
    <w:rsid w:val="004E28BA"/>
    <w:rsid w:val="004E2D91"/>
    <w:rsid w:val="004E2E31"/>
    <w:rsid w:val="004E2E62"/>
    <w:rsid w:val="004E2E68"/>
    <w:rsid w:val="004E2F88"/>
    <w:rsid w:val="004E2FC2"/>
    <w:rsid w:val="004E300D"/>
    <w:rsid w:val="004E311D"/>
    <w:rsid w:val="004E32AD"/>
    <w:rsid w:val="004E32F6"/>
    <w:rsid w:val="004E3395"/>
    <w:rsid w:val="004E349F"/>
    <w:rsid w:val="004E3A74"/>
    <w:rsid w:val="004E3BA9"/>
    <w:rsid w:val="004E3DF1"/>
    <w:rsid w:val="004E40E7"/>
    <w:rsid w:val="004E427D"/>
    <w:rsid w:val="004E434C"/>
    <w:rsid w:val="004E43BC"/>
    <w:rsid w:val="004E44EC"/>
    <w:rsid w:val="004E44FE"/>
    <w:rsid w:val="004E4613"/>
    <w:rsid w:val="004E4950"/>
    <w:rsid w:val="004E4C03"/>
    <w:rsid w:val="004E4C29"/>
    <w:rsid w:val="004E4D24"/>
    <w:rsid w:val="004E4E59"/>
    <w:rsid w:val="004E5108"/>
    <w:rsid w:val="004E5174"/>
    <w:rsid w:val="004E52E8"/>
    <w:rsid w:val="004E53AD"/>
    <w:rsid w:val="004E54B0"/>
    <w:rsid w:val="004E5645"/>
    <w:rsid w:val="004E57A0"/>
    <w:rsid w:val="004E5AB8"/>
    <w:rsid w:val="004E5C1D"/>
    <w:rsid w:val="004E5D49"/>
    <w:rsid w:val="004E5DB2"/>
    <w:rsid w:val="004E5DD5"/>
    <w:rsid w:val="004E5E2F"/>
    <w:rsid w:val="004E5E9C"/>
    <w:rsid w:val="004E5F0D"/>
    <w:rsid w:val="004E616D"/>
    <w:rsid w:val="004E6213"/>
    <w:rsid w:val="004E6594"/>
    <w:rsid w:val="004E66BF"/>
    <w:rsid w:val="004E66E9"/>
    <w:rsid w:val="004E679B"/>
    <w:rsid w:val="004E6E4B"/>
    <w:rsid w:val="004E6E6E"/>
    <w:rsid w:val="004E6EEE"/>
    <w:rsid w:val="004E70C9"/>
    <w:rsid w:val="004E735D"/>
    <w:rsid w:val="004E7386"/>
    <w:rsid w:val="004E73EF"/>
    <w:rsid w:val="004E785B"/>
    <w:rsid w:val="004E79B6"/>
    <w:rsid w:val="004E7B20"/>
    <w:rsid w:val="004E7C20"/>
    <w:rsid w:val="004E7D16"/>
    <w:rsid w:val="004E7E8D"/>
    <w:rsid w:val="004E7EBD"/>
    <w:rsid w:val="004F013A"/>
    <w:rsid w:val="004F0363"/>
    <w:rsid w:val="004F0457"/>
    <w:rsid w:val="004F0703"/>
    <w:rsid w:val="004F0781"/>
    <w:rsid w:val="004F0A50"/>
    <w:rsid w:val="004F0C22"/>
    <w:rsid w:val="004F0D1D"/>
    <w:rsid w:val="004F0D85"/>
    <w:rsid w:val="004F0DB1"/>
    <w:rsid w:val="004F0DE8"/>
    <w:rsid w:val="004F0F2E"/>
    <w:rsid w:val="004F0F5E"/>
    <w:rsid w:val="004F1148"/>
    <w:rsid w:val="004F121A"/>
    <w:rsid w:val="004F1377"/>
    <w:rsid w:val="004F164D"/>
    <w:rsid w:val="004F1BFF"/>
    <w:rsid w:val="004F1EE5"/>
    <w:rsid w:val="004F2133"/>
    <w:rsid w:val="004F2216"/>
    <w:rsid w:val="004F22A8"/>
    <w:rsid w:val="004F22CE"/>
    <w:rsid w:val="004F29DE"/>
    <w:rsid w:val="004F2A48"/>
    <w:rsid w:val="004F2BA6"/>
    <w:rsid w:val="004F2C9C"/>
    <w:rsid w:val="004F2CB7"/>
    <w:rsid w:val="004F2FE3"/>
    <w:rsid w:val="004F3048"/>
    <w:rsid w:val="004F33FA"/>
    <w:rsid w:val="004F3713"/>
    <w:rsid w:val="004F3877"/>
    <w:rsid w:val="004F3A2A"/>
    <w:rsid w:val="004F3B3B"/>
    <w:rsid w:val="004F3CDA"/>
    <w:rsid w:val="004F3EAB"/>
    <w:rsid w:val="004F4229"/>
    <w:rsid w:val="004F42F7"/>
    <w:rsid w:val="004F434B"/>
    <w:rsid w:val="004F43E2"/>
    <w:rsid w:val="004F43E8"/>
    <w:rsid w:val="004F449D"/>
    <w:rsid w:val="004F4688"/>
    <w:rsid w:val="004F4A10"/>
    <w:rsid w:val="004F4A6B"/>
    <w:rsid w:val="004F4B66"/>
    <w:rsid w:val="004F4B95"/>
    <w:rsid w:val="004F4D2D"/>
    <w:rsid w:val="004F50FC"/>
    <w:rsid w:val="004F527D"/>
    <w:rsid w:val="004F52EC"/>
    <w:rsid w:val="004F547B"/>
    <w:rsid w:val="004F55A0"/>
    <w:rsid w:val="004F5630"/>
    <w:rsid w:val="004F571F"/>
    <w:rsid w:val="004F5A9E"/>
    <w:rsid w:val="004F5B16"/>
    <w:rsid w:val="004F5B3E"/>
    <w:rsid w:val="004F5B52"/>
    <w:rsid w:val="004F5C4C"/>
    <w:rsid w:val="004F5D23"/>
    <w:rsid w:val="004F5DFC"/>
    <w:rsid w:val="004F5EDC"/>
    <w:rsid w:val="004F61F9"/>
    <w:rsid w:val="004F6558"/>
    <w:rsid w:val="004F687A"/>
    <w:rsid w:val="004F68A1"/>
    <w:rsid w:val="004F6A84"/>
    <w:rsid w:val="004F6ABB"/>
    <w:rsid w:val="004F6DAA"/>
    <w:rsid w:val="004F6FED"/>
    <w:rsid w:val="004F6FF2"/>
    <w:rsid w:val="004F704D"/>
    <w:rsid w:val="004F709F"/>
    <w:rsid w:val="004F711B"/>
    <w:rsid w:val="004F7412"/>
    <w:rsid w:val="004F748E"/>
    <w:rsid w:val="004F7868"/>
    <w:rsid w:val="004F78AE"/>
    <w:rsid w:val="004F7A30"/>
    <w:rsid w:val="004F7A5A"/>
    <w:rsid w:val="004F7A86"/>
    <w:rsid w:val="004F7BDF"/>
    <w:rsid w:val="004F7C90"/>
    <w:rsid w:val="004F7E1E"/>
    <w:rsid w:val="004F7E35"/>
    <w:rsid w:val="0050004E"/>
    <w:rsid w:val="005000BC"/>
    <w:rsid w:val="00500190"/>
    <w:rsid w:val="005001BF"/>
    <w:rsid w:val="0050030A"/>
    <w:rsid w:val="005003E5"/>
    <w:rsid w:val="005006F2"/>
    <w:rsid w:val="005009BD"/>
    <w:rsid w:val="00500F23"/>
    <w:rsid w:val="00500F68"/>
    <w:rsid w:val="00501083"/>
    <w:rsid w:val="005011E6"/>
    <w:rsid w:val="0050152C"/>
    <w:rsid w:val="005015EA"/>
    <w:rsid w:val="005018A0"/>
    <w:rsid w:val="005018D7"/>
    <w:rsid w:val="00501A33"/>
    <w:rsid w:val="00501AEC"/>
    <w:rsid w:val="00501B13"/>
    <w:rsid w:val="00501B36"/>
    <w:rsid w:val="00501B46"/>
    <w:rsid w:val="00501BE1"/>
    <w:rsid w:val="00501C6A"/>
    <w:rsid w:val="0050203B"/>
    <w:rsid w:val="0050238F"/>
    <w:rsid w:val="0050239C"/>
    <w:rsid w:val="005024E2"/>
    <w:rsid w:val="0050263A"/>
    <w:rsid w:val="00502870"/>
    <w:rsid w:val="00502883"/>
    <w:rsid w:val="00502937"/>
    <w:rsid w:val="00502C81"/>
    <w:rsid w:val="00502D03"/>
    <w:rsid w:val="00502ECC"/>
    <w:rsid w:val="0050328C"/>
    <w:rsid w:val="005033CB"/>
    <w:rsid w:val="005033D7"/>
    <w:rsid w:val="0050347F"/>
    <w:rsid w:val="00503A4A"/>
    <w:rsid w:val="00503DD0"/>
    <w:rsid w:val="00503E81"/>
    <w:rsid w:val="00503F34"/>
    <w:rsid w:val="00504335"/>
    <w:rsid w:val="0050457D"/>
    <w:rsid w:val="00504658"/>
    <w:rsid w:val="00504DEF"/>
    <w:rsid w:val="00504E86"/>
    <w:rsid w:val="00504F48"/>
    <w:rsid w:val="00504F73"/>
    <w:rsid w:val="00504FFA"/>
    <w:rsid w:val="00505043"/>
    <w:rsid w:val="005051B9"/>
    <w:rsid w:val="00505284"/>
    <w:rsid w:val="00505298"/>
    <w:rsid w:val="005052B8"/>
    <w:rsid w:val="005052F1"/>
    <w:rsid w:val="005055A8"/>
    <w:rsid w:val="00505871"/>
    <w:rsid w:val="005058AD"/>
    <w:rsid w:val="00505A89"/>
    <w:rsid w:val="00505CB2"/>
    <w:rsid w:val="00505EF7"/>
    <w:rsid w:val="00505FD0"/>
    <w:rsid w:val="0050601F"/>
    <w:rsid w:val="005061B3"/>
    <w:rsid w:val="00506342"/>
    <w:rsid w:val="00506648"/>
    <w:rsid w:val="00506AE2"/>
    <w:rsid w:val="00506AE4"/>
    <w:rsid w:val="00506CF7"/>
    <w:rsid w:val="00506EB5"/>
    <w:rsid w:val="00506EB7"/>
    <w:rsid w:val="00506FF1"/>
    <w:rsid w:val="00507032"/>
    <w:rsid w:val="00507222"/>
    <w:rsid w:val="0050730C"/>
    <w:rsid w:val="00507892"/>
    <w:rsid w:val="0050789C"/>
    <w:rsid w:val="00507C84"/>
    <w:rsid w:val="00507E1E"/>
    <w:rsid w:val="00507E5B"/>
    <w:rsid w:val="00507EA1"/>
    <w:rsid w:val="005101EF"/>
    <w:rsid w:val="00510797"/>
    <w:rsid w:val="00510987"/>
    <w:rsid w:val="00510A86"/>
    <w:rsid w:val="00510C03"/>
    <w:rsid w:val="00510F08"/>
    <w:rsid w:val="00511139"/>
    <w:rsid w:val="005111D2"/>
    <w:rsid w:val="00511289"/>
    <w:rsid w:val="00511533"/>
    <w:rsid w:val="0051164A"/>
    <w:rsid w:val="00511677"/>
    <w:rsid w:val="00511940"/>
    <w:rsid w:val="00511992"/>
    <w:rsid w:val="00511B13"/>
    <w:rsid w:val="00511BC2"/>
    <w:rsid w:val="00511CE7"/>
    <w:rsid w:val="00511F45"/>
    <w:rsid w:val="00512163"/>
    <w:rsid w:val="005121A5"/>
    <w:rsid w:val="0051229E"/>
    <w:rsid w:val="00512522"/>
    <w:rsid w:val="0051253A"/>
    <w:rsid w:val="00512750"/>
    <w:rsid w:val="005127C7"/>
    <w:rsid w:val="005127F9"/>
    <w:rsid w:val="00512A8E"/>
    <w:rsid w:val="00512B09"/>
    <w:rsid w:val="00512C19"/>
    <w:rsid w:val="00512DBB"/>
    <w:rsid w:val="00512FC8"/>
    <w:rsid w:val="00513180"/>
    <w:rsid w:val="0051328B"/>
    <w:rsid w:val="005132A8"/>
    <w:rsid w:val="005134EB"/>
    <w:rsid w:val="0051354A"/>
    <w:rsid w:val="00513556"/>
    <w:rsid w:val="0051357B"/>
    <w:rsid w:val="0051368C"/>
    <w:rsid w:val="005136C6"/>
    <w:rsid w:val="00513793"/>
    <w:rsid w:val="005137F3"/>
    <w:rsid w:val="0051382C"/>
    <w:rsid w:val="005138BE"/>
    <w:rsid w:val="0051393D"/>
    <w:rsid w:val="005139BB"/>
    <w:rsid w:val="00513C79"/>
    <w:rsid w:val="00513E24"/>
    <w:rsid w:val="0051408B"/>
    <w:rsid w:val="0051414A"/>
    <w:rsid w:val="00514180"/>
    <w:rsid w:val="00514308"/>
    <w:rsid w:val="0051446B"/>
    <w:rsid w:val="00514508"/>
    <w:rsid w:val="005146A9"/>
    <w:rsid w:val="005146B3"/>
    <w:rsid w:val="0051481A"/>
    <w:rsid w:val="0051498A"/>
    <w:rsid w:val="00514A27"/>
    <w:rsid w:val="00514AB4"/>
    <w:rsid w:val="00515212"/>
    <w:rsid w:val="00515363"/>
    <w:rsid w:val="0051538C"/>
    <w:rsid w:val="005154D8"/>
    <w:rsid w:val="005157A7"/>
    <w:rsid w:val="005157E1"/>
    <w:rsid w:val="005158D4"/>
    <w:rsid w:val="00515A28"/>
    <w:rsid w:val="00515A38"/>
    <w:rsid w:val="00515AC2"/>
    <w:rsid w:val="00515B1F"/>
    <w:rsid w:val="00515C5E"/>
    <w:rsid w:val="00515F20"/>
    <w:rsid w:val="00515F61"/>
    <w:rsid w:val="005162D6"/>
    <w:rsid w:val="00516317"/>
    <w:rsid w:val="005163EC"/>
    <w:rsid w:val="00516573"/>
    <w:rsid w:val="0051664B"/>
    <w:rsid w:val="0051683D"/>
    <w:rsid w:val="00516A4E"/>
    <w:rsid w:val="00516AEA"/>
    <w:rsid w:val="00516F0C"/>
    <w:rsid w:val="005172F7"/>
    <w:rsid w:val="00517435"/>
    <w:rsid w:val="00517611"/>
    <w:rsid w:val="005176D6"/>
    <w:rsid w:val="005178A0"/>
    <w:rsid w:val="00517C52"/>
    <w:rsid w:val="00517C5C"/>
    <w:rsid w:val="00517EA1"/>
    <w:rsid w:val="00517F99"/>
    <w:rsid w:val="005200D9"/>
    <w:rsid w:val="005201BC"/>
    <w:rsid w:val="005202B7"/>
    <w:rsid w:val="00520334"/>
    <w:rsid w:val="00520439"/>
    <w:rsid w:val="0052095A"/>
    <w:rsid w:val="00520CA1"/>
    <w:rsid w:val="00520FAF"/>
    <w:rsid w:val="005211E9"/>
    <w:rsid w:val="005212CC"/>
    <w:rsid w:val="00521304"/>
    <w:rsid w:val="00521399"/>
    <w:rsid w:val="005217BA"/>
    <w:rsid w:val="005217DA"/>
    <w:rsid w:val="00521920"/>
    <w:rsid w:val="00521B83"/>
    <w:rsid w:val="00521C50"/>
    <w:rsid w:val="00521CCC"/>
    <w:rsid w:val="00521E7C"/>
    <w:rsid w:val="00521E8C"/>
    <w:rsid w:val="00522087"/>
    <w:rsid w:val="005221B1"/>
    <w:rsid w:val="005222AD"/>
    <w:rsid w:val="005222C5"/>
    <w:rsid w:val="0052234C"/>
    <w:rsid w:val="00522486"/>
    <w:rsid w:val="005227B4"/>
    <w:rsid w:val="005228E9"/>
    <w:rsid w:val="00522A48"/>
    <w:rsid w:val="00522AE7"/>
    <w:rsid w:val="00522BCA"/>
    <w:rsid w:val="00523234"/>
    <w:rsid w:val="00523406"/>
    <w:rsid w:val="00523415"/>
    <w:rsid w:val="0052359D"/>
    <w:rsid w:val="00523677"/>
    <w:rsid w:val="00523995"/>
    <w:rsid w:val="00523AD2"/>
    <w:rsid w:val="00523CED"/>
    <w:rsid w:val="00523E68"/>
    <w:rsid w:val="005240F0"/>
    <w:rsid w:val="00524194"/>
    <w:rsid w:val="00524246"/>
    <w:rsid w:val="005244B8"/>
    <w:rsid w:val="00524515"/>
    <w:rsid w:val="00524565"/>
    <w:rsid w:val="005248CB"/>
    <w:rsid w:val="00524B82"/>
    <w:rsid w:val="00524C57"/>
    <w:rsid w:val="005250EB"/>
    <w:rsid w:val="00525204"/>
    <w:rsid w:val="00525280"/>
    <w:rsid w:val="005252C8"/>
    <w:rsid w:val="005253B0"/>
    <w:rsid w:val="00525696"/>
    <w:rsid w:val="0052571E"/>
    <w:rsid w:val="00525841"/>
    <w:rsid w:val="0052592C"/>
    <w:rsid w:val="0052599B"/>
    <w:rsid w:val="00525F0B"/>
    <w:rsid w:val="00525F3A"/>
    <w:rsid w:val="005261CA"/>
    <w:rsid w:val="0052620A"/>
    <w:rsid w:val="0052634F"/>
    <w:rsid w:val="0052659B"/>
    <w:rsid w:val="00526A47"/>
    <w:rsid w:val="00526A5E"/>
    <w:rsid w:val="00526C7A"/>
    <w:rsid w:val="00526CEB"/>
    <w:rsid w:val="00526F42"/>
    <w:rsid w:val="00526FDC"/>
    <w:rsid w:val="00526FFF"/>
    <w:rsid w:val="0052721E"/>
    <w:rsid w:val="0052765D"/>
    <w:rsid w:val="005277DA"/>
    <w:rsid w:val="00527B48"/>
    <w:rsid w:val="00527CAD"/>
    <w:rsid w:val="005300FF"/>
    <w:rsid w:val="005301E4"/>
    <w:rsid w:val="00530238"/>
    <w:rsid w:val="005303C2"/>
    <w:rsid w:val="00530536"/>
    <w:rsid w:val="0053053B"/>
    <w:rsid w:val="005305F9"/>
    <w:rsid w:val="005306C6"/>
    <w:rsid w:val="005306D0"/>
    <w:rsid w:val="00530B0F"/>
    <w:rsid w:val="00530C98"/>
    <w:rsid w:val="00530CAC"/>
    <w:rsid w:val="00530FB6"/>
    <w:rsid w:val="005310DE"/>
    <w:rsid w:val="00531177"/>
    <w:rsid w:val="005314EF"/>
    <w:rsid w:val="00531AA4"/>
    <w:rsid w:val="00531ACE"/>
    <w:rsid w:val="00531C2F"/>
    <w:rsid w:val="00531F24"/>
    <w:rsid w:val="00532304"/>
    <w:rsid w:val="005325E8"/>
    <w:rsid w:val="00532644"/>
    <w:rsid w:val="0053266F"/>
    <w:rsid w:val="00532B12"/>
    <w:rsid w:val="00532DB7"/>
    <w:rsid w:val="00532F6B"/>
    <w:rsid w:val="00532FDC"/>
    <w:rsid w:val="00533389"/>
    <w:rsid w:val="0053353A"/>
    <w:rsid w:val="005335AC"/>
    <w:rsid w:val="00533784"/>
    <w:rsid w:val="00533846"/>
    <w:rsid w:val="00533A35"/>
    <w:rsid w:val="00533BE2"/>
    <w:rsid w:val="00533E6B"/>
    <w:rsid w:val="00533E79"/>
    <w:rsid w:val="00534041"/>
    <w:rsid w:val="00534153"/>
    <w:rsid w:val="0053426A"/>
    <w:rsid w:val="0053452B"/>
    <w:rsid w:val="0053456C"/>
    <w:rsid w:val="00534B0E"/>
    <w:rsid w:val="00534B28"/>
    <w:rsid w:val="00534CAC"/>
    <w:rsid w:val="00534DC4"/>
    <w:rsid w:val="00534FFC"/>
    <w:rsid w:val="0053502E"/>
    <w:rsid w:val="00535357"/>
    <w:rsid w:val="00535707"/>
    <w:rsid w:val="005357EE"/>
    <w:rsid w:val="00535973"/>
    <w:rsid w:val="00535C2C"/>
    <w:rsid w:val="00535CA7"/>
    <w:rsid w:val="00535E91"/>
    <w:rsid w:val="00535F70"/>
    <w:rsid w:val="0053638A"/>
    <w:rsid w:val="0053670E"/>
    <w:rsid w:val="005367ED"/>
    <w:rsid w:val="005369A3"/>
    <w:rsid w:val="00536A3D"/>
    <w:rsid w:val="00536B25"/>
    <w:rsid w:val="00536C24"/>
    <w:rsid w:val="0053709D"/>
    <w:rsid w:val="005372C4"/>
    <w:rsid w:val="00537340"/>
    <w:rsid w:val="005375F4"/>
    <w:rsid w:val="00537603"/>
    <w:rsid w:val="00537DE7"/>
    <w:rsid w:val="00540219"/>
    <w:rsid w:val="005402EA"/>
    <w:rsid w:val="00540307"/>
    <w:rsid w:val="005403A6"/>
    <w:rsid w:val="0054050E"/>
    <w:rsid w:val="005405DB"/>
    <w:rsid w:val="005408D0"/>
    <w:rsid w:val="005408F7"/>
    <w:rsid w:val="00540964"/>
    <w:rsid w:val="005409C6"/>
    <w:rsid w:val="005409DD"/>
    <w:rsid w:val="00540AD1"/>
    <w:rsid w:val="00540B64"/>
    <w:rsid w:val="00540CBE"/>
    <w:rsid w:val="00540D27"/>
    <w:rsid w:val="00540E22"/>
    <w:rsid w:val="00540E41"/>
    <w:rsid w:val="005413ED"/>
    <w:rsid w:val="005415F2"/>
    <w:rsid w:val="0054193F"/>
    <w:rsid w:val="00541B0C"/>
    <w:rsid w:val="00541B57"/>
    <w:rsid w:val="00541C71"/>
    <w:rsid w:val="00541CB9"/>
    <w:rsid w:val="00541CD4"/>
    <w:rsid w:val="00541DB5"/>
    <w:rsid w:val="00541E2A"/>
    <w:rsid w:val="00541E64"/>
    <w:rsid w:val="00541E71"/>
    <w:rsid w:val="00541E77"/>
    <w:rsid w:val="00541F0F"/>
    <w:rsid w:val="005423A2"/>
    <w:rsid w:val="005424C5"/>
    <w:rsid w:val="005425F5"/>
    <w:rsid w:val="0054292F"/>
    <w:rsid w:val="00542A4C"/>
    <w:rsid w:val="00542B9E"/>
    <w:rsid w:val="00542C50"/>
    <w:rsid w:val="00542CCC"/>
    <w:rsid w:val="00542D12"/>
    <w:rsid w:val="00542DED"/>
    <w:rsid w:val="00542F88"/>
    <w:rsid w:val="00542FF5"/>
    <w:rsid w:val="00543132"/>
    <w:rsid w:val="00543155"/>
    <w:rsid w:val="00543168"/>
    <w:rsid w:val="005432C0"/>
    <w:rsid w:val="0054331B"/>
    <w:rsid w:val="005433A9"/>
    <w:rsid w:val="0054349D"/>
    <w:rsid w:val="0054356E"/>
    <w:rsid w:val="0054359A"/>
    <w:rsid w:val="0054371E"/>
    <w:rsid w:val="00543D4E"/>
    <w:rsid w:val="00543FF7"/>
    <w:rsid w:val="0054400B"/>
    <w:rsid w:val="0054404B"/>
    <w:rsid w:val="00544097"/>
    <w:rsid w:val="0054416A"/>
    <w:rsid w:val="00544206"/>
    <w:rsid w:val="0054424F"/>
    <w:rsid w:val="0054427F"/>
    <w:rsid w:val="00544390"/>
    <w:rsid w:val="005443FE"/>
    <w:rsid w:val="00544487"/>
    <w:rsid w:val="0054448B"/>
    <w:rsid w:val="00544547"/>
    <w:rsid w:val="005447CA"/>
    <w:rsid w:val="005448CC"/>
    <w:rsid w:val="00544975"/>
    <w:rsid w:val="005449E3"/>
    <w:rsid w:val="00544C2E"/>
    <w:rsid w:val="00544CC1"/>
    <w:rsid w:val="00544D1E"/>
    <w:rsid w:val="00544E2C"/>
    <w:rsid w:val="00545082"/>
    <w:rsid w:val="00545456"/>
    <w:rsid w:val="00545782"/>
    <w:rsid w:val="005458EE"/>
    <w:rsid w:val="00545A39"/>
    <w:rsid w:val="00545C72"/>
    <w:rsid w:val="00545D06"/>
    <w:rsid w:val="00545D3B"/>
    <w:rsid w:val="00545D50"/>
    <w:rsid w:val="00545E0F"/>
    <w:rsid w:val="00546151"/>
    <w:rsid w:val="00546232"/>
    <w:rsid w:val="0054649D"/>
    <w:rsid w:val="005466A7"/>
    <w:rsid w:val="00546735"/>
    <w:rsid w:val="00546772"/>
    <w:rsid w:val="005468D8"/>
    <w:rsid w:val="00546AA9"/>
    <w:rsid w:val="00546C88"/>
    <w:rsid w:val="00546DA8"/>
    <w:rsid w:val="00546E76"/>
    <w:rsid w:val="00547096"/>
    <w:rsid w:val="0054724E"/>
    <w:rsid w:val="00547315"/>
    <w:rsid w:val="00547535"/>
    <w:rsid w:val="005479C4"/>
    <w:rsid w:val="005479F6"/>
    <w:rsid w:val="005500AC"/>
    <w:rsid w:val="00550122"/>
    <w:rsid w:val="005503C7"/>
    <w:rsid w:val="00550451"/>
    <w:rsid w:val="005504D0"/>
    <w:rsid w:val="0055056F"/>
    <w:rsid w:val="00550728"/>
    <w:rsid w:val="00550A84"/>
    <w:rsid w:val="00550F13"/>
    <w:rsid w:val="00550F29"/>
    <w:rsid w:val="00551694"/>
    <w:rsid w:val="005516AC"/>
    <w:rsid w:val="005516B4"/>
    <w:rsid w:val="00551717"/>
    <w:rsid w:val="00551745"/>
    <w:rsid w:val="005518B2"/>
    <w:rsid w:val="005519EA"/>
    <w:rsid w:val="00551C8B"/>
    <w:rsid w:val="005520CF"/>
    <w:rsid w:val="005520D4"/>
    <w:rsid w:val="0055220A"/>
    <w:rsid w:val="0055221B"/>
    <w:rsid w:val="005522C8"/>
    <w:rsid w:val="00552320"/>
    <w:rsid w:val="005525AC"/>
    <w:rsid w:val="00552705"/>
    <w:rsid w:val="005527FD"/>
    <w:rsid w:val="005529DA"/>
    <w:rsid w:val="00552B1A"/>
    <w:rsid w:val="00552C7D"/>
    <w:rsid w:val="00552D69"/>
    <w:rsid w:val="00552E84"/>
    <w:rsid w:val="00552F0A"/>
    <w:rsid w:val="00552F7E"/>
    <w:rsid w:val="00553186"/>
    <w:rsid w:val="005531DC"/>
    <w:rsid w:val="00553290"/>
    <w:rsid w:val="005532EC"/>
    <w:rsid w:val="0055334C"/>
    <w:rsid w:val="005533AA"/>
    <w:rsid w:val="00553533"/>
    <w:rsid w:val="00553761"/>
    <w:rsid w:val="0055391D"/>
    <w:rsid w:val="00553A8E"/>
    <w:rsid w:val="00553EC5"/>
    <w:rsid w:val="00553F4C"/>
    <w:rsid w:val="00553F52"/>
    <w:rsid w:val="00554125"/>
    <w:rsid w:val="0055420E"/>
    <w:rsid w:val="005543DB"/>
    <w:rsid w:val="0055444E"/>
    <w:rsid w:val="00554578"/>
    <w:rsid w:val="005545B6"/>
    <w:rsid w:val="005545D4"/>
    <w:rsid w:val="00554637"/>
    <w:rsid w:val="00554BF9"/>
    <w:rsid w:val="00554F72"/>
    <w:rsid w:val="00554FC4"/>
    <w:rsid w:val="0055504C"/>
    <w:rsid w:val="00555143"/>
    <w:rsid w:val="00555185"/>
    <w:rsid w:val="00555383"/>
    <w:rsid w:val="005555E9"/>
    <w:rsid w:val="00555617"/>
    <w:rsid w:val="005556E6"/>
    <w:rsid w:val="0055584D"/>
    <w:rsid w:val="0055597D"/>
    <w:rsid w:val="00555D17"/>
    <w:rsid w:val="00555DEA"/>
    <w:rsid w:val="00555FFC"/>
    <w:rsid w:val="00556017"/>
    <w:rsid w:val="005560B7"/>
    <w:rsid w:val="005560B9"/>
    <w:rsid w:val="00556897"/>
    <w:rsid w:val="00556B39"/>
    <w:rsid w:val="00556D02"/>
    <w:rsid w:val="00556DD6"/>
    <w:rsid w:val="00556E9F"/>
    <w:rsid w:val="00556FE1"/>
    <w:rsid w:val="00557048"/>
    <w:rsid w:val="00557082"/>
    <w:rsid w:val="0055710D"/>
    <w:rsid w:val="005571C0"/>
    <w:rsid w:val="00557243"/>
    <w:rsid w:val="00557420"/>
    <w:rsid w:val="005574FC"/>
    <w:rsid w:val="00557636"/>
    <w:rsid w:val="0055766C"/>
    <w:rsid w:val="0055773E"/>
    <w:rsid w:val="0055786B"/>
    <w:rsid w:val="005579FB"/>
    <w:rsid w:val="00557AE9"/>
    <w:rsid w:val="00557F8C"/>
    <w:rsid w:val="00560061"/>
    <w:rsid w:val="005600FB"/>
    <w:rsid w:val="005602AE"/>
    <w:rsid w:val="00560440"/>
    <w:rsid w:val="00560567"/>
    <w:rsid w:val="00560740"/>
    <w:rsid w:val="005607FB"/>
    <w:rsid w:val="005608FD"/>
    <w:rsid w:val="00560CE4"/>
    <w:rsid w:val="00560DA8"/>
    <w:rsid w:val="00560F40"/>
    <w:rsid w:val="00560FEE"/>
    <w:rsid w:val="0056105B"/>
    <w:rsid w:val="005611FC"/>
    <w:rsid w:val="00561264"/>
    <w:rsid w:val="00561510"/>
    <w:rsid w:val="00561759"/>
    <w:rsid w:val="005617C5"/>
    <w:rsid w:val="0056192F"/>
    <w:rsid w:val="00561D68"/>
    <w:rsid w:val="00561F4D"/>
    <w:rsid w:val="00561FA9"/>
    <w:rsid w:val="00562224"/>
    <w:rsid w:val="005622A6"/>
    <w:rsid w:val="005623F3"/>
    <w:rsid w:val="00562835"/>
    <w:rsid w:val="00562B55"/>
    <w:rsid w:val="00562B81"/>
    <w:rsid w:val="00562B9A"/>
    <w:rsid w:val="00562D6E"/>
    <w:rsid w:val="00562E42"/>
    <w:rsid w:val="00562F63"/>
    <w:rsid w:val="00563021"/>
    <w:rsid w:val="00563043"/>
    <w:rsid w:val="00563052"/>
    <w:rsid w:val="0056316D"/>
    <w:rsid w:val="00563286"/>
    <w:rsid w:val="005633DA"/>
    <w:rsid w:val="00563450"/>
    <w:rsid w:val="00563715"/>
    <w:rsid w:val="00563784"/>
    <w:rsid w:val="005639B9"/>
    <w:rsid w:val="00563A6A"/>
    <w:rsid w:val="00563BB3"/>
    <w:rsid w:val="00563C84"/>
    <w:rsid w:val="00563D1A"/>
    <w:rsid w:val="00563DBE"/>
    <w:rsid w:val="00563EA3"/>
    <w:rsid w:val="00563F25"/>
    <w:rsid w:val="00564195"/>
    <w:rsid w:val="005641DE"/>
    <w:rsid w:val="005642E6"/>
    <w:rsid w:val="00564303"/>
    <w:rsid w:val="0056466A"/>
    <w:rsid w:val="005646FB"/>
    <w:rsid w:val="0056470A"/>
    <w:rsid w:val="005647BE"/>
    <w:rsid w:val="00564AF7"/>
    <w:rsid w:val="00564BCF"/>
    <w:rsid w:val="00564FAA"/>
    <w:rsid w:val="00564FCD"/>
    <w:rsid w:val="00565169"/>
    <w:rsid w:val="005653F6"/>
    <w:rsid w:val="005654AE"/>
    <w:rsid w:val="0056568F"/>
    <w:rsid w:val="0056569C"/>
    <w:rsid w:val="00565A1D"/>
    <w:rsid w:val="00565ACE"/>
    <w:rsid w:val="00565B0E"/>
    <w:rsid w:val="00565CEB"/>
    <w:rsid w:val="00565DE7"/>
    <w:rsid w:val="00565F3E"/>
    <w:rsid w:val="0056640A"/>
    <w:rsid w:val="00566666"/>
    <w:rsid w:val="005666D9"/>
    <w:rsid w:val="00566819"/>
    <w:rsid w:val="00566A07"/>
    <w:rsid w:val="00566A56"/>
    <w:rsid w:val="00566CE8"/>
    <w:rsid w:val="00566E78"/>
    <w:rsid w:val="00566ECC"/>
    <w:rsid w:val="00567051"/>
    <w:rsid w:val="00567169"/>
    <w:rsid w:val="00567293"/>
    <w:rsid w:val="0056783A"/>
    <w:rsid w:val="005679D8"/>
    <w:rsid w:val="00567CCA"/>
    <w:rsid w:val="005700D4"/>
    <w:rsid w:val="00570204"/>
    <w:rsid w:val="005702EF"/>
    <w:rsid w:val="005705FB"/>
    <w:rsid w:val="0057096C"/>
    <w:rsid w:val="00570F4C"/>
    <w:rsid w:val="00571091"/>
    <w:rsid w:val="0057109C"/>
    <w:rsid w:val="005710A5"/>
    <w:rsid w:val="005711DA"/>
    <w:rsid w:val="005716D7"/>
    <w:rsid w:val="00571702"/>
    <w:rsid w:val="005719A3"/>
    <w:rsid w:val="00571CB0"/>
    <w:rsid w:val="00571D9B"/>
    <w:rsid w:val="00571E4F"/>
    <w:rsid w:val="00571E99"/>
    <w:rsid w:val="005720DF"/>
    <w:rsid w:val="00572271"/>
    <w:rsid w:val="005723C5"/>
    <w:rsid w:val="00572441"/>
    <w:rsid w:val="0057253C"/>
    <w:rsid w:val="00572584"/>
    <w:rsid w:val="00572897"/>
    <w:rsid w:val="005728C3"/>
    <w:rsid w:val="00572C9C"/>
    <w:rsid w:val="00573040"/>
    <w:rsid w:val="0057309E"/>
    <w:rsid w:val="0057317F"/>
    <w:rsid w:val="00573241"/>
    <w:rsid w:val="0057343A"/>
    <w:rsid w:val="00573782"/>
    <w:rsid w:val="00573C15"/>
    <w:rsid w:val="00573C17"/>
    <w:rsid w:val="00573D1C"/>
    <w:rsid w:val="00573F7C"/>
    <w:rsid w:val="00573FBA"/>
    <w:rsid w:val="0057426E"/>
    <w:rsid w:val="005742E8"/>
    <w:rsid w:val="00574499"/>
    <w:rsid w:val="00574623"/>
    <w:rsid w:val="005749D7"/>
    <w:rsid w:val="00574A7C"/>
    <w:rsid w:val="00574DA9"/>
    <w:rsid w:val="00575316"/>
    <w:rsid w:val="00575317"/>
    <w:rsid w:val="005753BA"/>
    <w:rsid w:val="0057541C"/>
    <w:rsid w:val="00575442"/>
    <w:rsid w:val="0057548D"/>
    <w:rsid w:val="005757C4"/>
    <w:rsid w:val="00575AE8"/>
    <w:rsid w:val="00575BC8"/>
    <w:rsid w:val="00575CD6"/>
    <w:rsid w:val="005761AE"/>
    <w:rsid w:val="005761E0"/>
    <w:rsid w:val="0057656B"/>
    <w:rsid w:val="005767B9"/>
    <w:rsid w:val="005769EF"/>
    <w:rsid w:val="00576F12"/>
    <w:rsid w:val="00576F7F"/>
    <w:rsid w:val="00577082"/>
    <w:rsid w:val="005772F9"/>
    <w:rsid w:val="0057734E"/>
    <w:rsid w:val="00577383"/>
    <w:rsid w:val="0057738A"/>
    <w:rsid w:val="005777C0"/>
    <w:rsid w:val="00577C7B"/>
    <w:rsid w:val="00577E47"/>
    <w:rsid w:val="00577F76"/>
    <w:rsid w:val="00580048"/>
    <w:rsid w:val="0058012E"/>
    <w:rsid w:val="00580303"/>
    <w:rsid w:val="00580317"/>
    <w:rsid w:val="00580543"/>
    <w:rsid w:val="00580A39"/>
    <w:rsid w:val="00580B27"/>
    <w:rsid w:val="00580D3A"/>
    <w:rsid w:val="005810BA"/>
    <w:rsid w:val="005812F9"/>
    <w:rsid w:val="00581424"/>
    <w:rsid w:val="005817C5"/>
    <w:rsid w:val="005818A9"/>
    <w:rsid w:val="00581A92"/>
    <w:rsid w:val="00582172"/>
    <w:rsid w:val="00582266"/>
    <w:rsid w:val="00582277"/>
    <w:rsid w:val="005824C0"/>
    <w:rsid w:val="005826E6"/>
    <w:rsid w:val="00582989"/>
    <w:rsid w:val="00582A7C"/>
    <w:rsid w:val="00582A9B"/>
    <w:rsid w:val="00582BC4"/>
    <w:rsid w:val="00582BC7"/>
    <w:rsid w:val="00582E51"/>
    <w:rsid w:val="00582E8D"/>
    <w:rsid w:val="00583120"/>
    <w:rsid w:val="0058320B"/>
    <w:rsid w:val="00583357"/>
    <w:rsid w:val="005833C1"/>
    <w:rsid w:val="00583429"/>
    <w:rsid w:val="005835E1"/>
    <w:rsid w:val="00583743"/>
    <w:rsid w:val="005838F5"/>
    <w:rsid w:val="0058396E"/>
    <w:rsid w:val="00583AA3"/>
    <w:rsid w:val="00583D48"/>
    <w:rsid w:val="0058407E"/>
    <w:rsid w:val="00584866"/>
    <w:rsid w:val="00584A51"/>
    <w:rsid w:val="0058530F"/>
    <w:rsid w:val="00585538"/>
    <w:rsid w:val="0058553C"/>
    <w:rsid w:val="0058553E"/>
    <w:rsid w:val="0058561B"/>
    <w:rsid w:val="00585AF0"/>
    <w:rsid w:val="00585B91"/>
    <w:rsid w:val="00585F84"/>
    <w:rsid w:val="00586094"/>
    <w:rsid w:val="00586124"/>
    <w:rsid w:val="0058625A"/>
    <w:rsid w:val="005862DA"/>
    <w:rsid w:val="0058676A"/>
    <w:rsid w:val="00586A5E"/>
    <w:rsid w:val="00586A61"/>
    <w:rsid w:val="00586A8B"/>
    <w:rsid w:val="00586BAD"/>
    <w:rsid w:val="00586BEA"/>
    <w:rsid w:val="00586DE6"/>
    <w:rsid w:val="005871C2"/>
    <w:rsid w:val="00587376"/>
    <w:rsid w:val="00587415"/>
    <w:rsid w:val="00587446"/>
    <w:rsid w:val="00587563"/>
    <w:rsid w:val="00587570"/>
    <w:rsid w:val="005875D9"/>
    <w:rsid w:val="0058767A"/>
    <w:rsid w:val="005877EC"/>
    <w:rsid w:val="00587835"/>
    <w:rsid w:val="005878CD"/>
    <w:rsid w:val="00587B19"/>
    <w:rsid w:val="00587C1F"/>
    <w:rsid w:val="00587ECA"/>
    <w:rsid w:val="005904C7"/>
    <w:rsid w:val="005904D2"/>
    <w:rsid w:val="0059081E"/>
    <w:rsid w:val="00590828"/>
    <w:rsid w:val="0059092F"/>
    <w:rsid w:val="0059099B"/>
    <w:rsid w:val="00590BD4"/>
    <w:rsid w:val="00590D79"/>
    <w:rsid w:val="00591023"/>
    <w:rsid w:val="005910B8"/>
    <w:rsid w:val="005912CB"/>
    <w:rsid w:val="005913EC"/>
    <w:rsid w:val="00591422"/>
    <w:rsid w:val="00591568"/>
    <w:rsid w:val="005915A7"/>
    <w:rsid w:val="0059184F"/>
    <w:rsid w:val="00591855"/>
    <w:rsid w:val="0059191F"/>
    <w:rsid w:val="00591964"/>
    <w:rsid w:val="00591C15"/>
    <w:rsid w:val="00591D72"/>
    <w:rsid w:val="00591DAA"/>
    <w:rsid w:val="00591DDF"/>
    <w:rsid w:val="00591F8F"/>
    <w:rsid w:val="005921B1"/>
    <w:rsid w:val="00592AC2"/>
    <w:rsid w:val="00592B8F"/>
    <w:rsid w:val="00592F9B"/>
    <w:rsid w:val="00593177"/>
    <w:rsid w:val="005931AC"/>
    <w:rsid w:val="0059356C"/>
    <w:rsid w:val="00593610"/>
    <w:rsid w:val="0059361F"/>
    <w:rsid w:val="00593669"/>
    <w:rsid w:val="005937B1"/>
    <w:rsid w:val="00593ADD"/>
    <w:rsid w:val="00593B98"/>
    <w:rsid w:val="00593BE8"/>
    <w:rsid w:val="00593D16"/>
    <w:rsid w:val="00593D8C"/>
    <w:rsid w:val="0059454B"/>
    <w:rsid w:val="00594776"/>
    <w:rsid w:val="00594900"/>
    <w:rsid w:val="00594AF4"/>
    <w:rsid w:val="00594C08"/>
    <w:rsid w:val="00594E49"/>
    <w:rsid w:val="00594F82"/>
    <w:rsid w:val="005952C4"/>
    <w:rsid w:val="0059542A"/>
    <w:rsid w:val="00595578"/>
    <w:rsid w:val="00595634"/>
    <w:rsid w:val="0059565B"/>
    <w:rsid w:val="005956DE"/>
    <w:rsid w:val="00595AD1"/>
    <w:rsid w:val="00595B03"/>
    <w:rsid w:val="00595B6A"/>
    <w:rsid w:val="00595E9E"/>
    <w:rsid w:val="00596136"/>
    <w:rsid w:val="00596357"/>
    <w:rsid w:val="005965FE"/>
    <w:rsid w:val="00596882"/>
    <w:rsid w:val="00596EBE"/>
    <w:rsid w:val="005970C4"/>
    <w:rsid w:val="0059711F"/>
    <w:rsid w:val="00597209"/>
    <w:rsid w:val="0059722C"/>
    <w:rsid w:val="00597363"/>
    <w:rsid w:val="005976ED"/>
    <w:rsid w:val="0059787B"/>
    <w:rsid w:val="005978FB"/>
    <w:rsid w:val="0059791F"/>
    <w:rsid w:val="00597B11"/>
    <w:rsid w:val="00597BF0"/>
    <w:rsid w:val="00597F35"/>
    <w:rsid w:val="005A01A4"/>
    <w:rsid w:val="005A04CA"/>
    <w:rsid w:val="005A05D4"/>
    <w:rsid w:val="005A0CBE"/>
    <w:rsid w:val="005A0EBA"/>
    <w:rsid w:val="005A0F47"/>
    <w:rsid w:val="005A1048"/>
    <w:rsid w:val="005A1057"/>
    <w:rsid w:val="005A1070"/>
    <w:rsid w:val="005A10D7"/>
    <w:rsid w:val="005A11F3"/>
    <w:rsid w:val="005A146E"/>
    <w:rsid w:val="005A17D9"/>
    <w:rsid w:val="005A1969"/>
    <w:rsid w:val="005A1A21"/>
    <w:rsid w:val="005A1D05"/>
    <w:rsid w:val="005A1EC0"/>
    <w:rsid w:val="005A20AF"/>
    <w:rsid w:val="005A2186"/>
    <w:rsid w:val="005A2225"/>
    <w:rsid w:val="005A239F"/>
    <w:rsid w:val="005A2673"/>
    <w:rsid w:val="005A26BF"/>
    <w:rsid w:val="005A284F"/>
    <w:rsid w:val="005A2866"/>
    <w:rsid w:val="005A296C"/>
    <w:rsid w:val="005A2C0D"/>
    <w:rsid w:val="005A2CB7"/>
    <w:rsid w:val="005A2D64"/>
    <w:rsid w:val="005A3094"/>
    <w:rsid w:val="005A30F3"/>
    <w:rsid w:val="005A3281"/>
    <w:rsid w:val="005A337F"/>
    <w:rsid w:val="005A33FE"/>
    <w:rsid w:val="005A341F"/>
    <w:rsid w:val="005A354D"/>
    <w:rsid w:val="005A369D"/>
    <w:rsid w:val="005A3721"/>
    <w:rsid w:val="005A3764"/>
    <w:rsid w:val="005A3999"/>
    <w:rsid w:val="005A3D5C"/>
    <w:rsid w:val="005A3F38"/>
    <w:rsid w:val="005A3FEC"/>
    <w:rsid w:val="005A40E8"/>
    <w:rsid w:val="005A4128"/>
    <w:rsid w:val="005A4148"/>
    <w:rsid w:val="005A41C3"/>
    <w:rsid w:val="005A41EC"/>
    <w:rsid w:val="005A42AF"/>
    <w:rsid w:val="005A42F3"/>
    <w:rsid w:val="005A42FF"/>
    <w:rsid w:val="005A44E3"/>
    <w:rsid w:val="005A4782"/>
    <w:rsid w:val="005A4B1E"/>
    <w:rsid w:val="005A4C99"/>
    <w:rsid w:val="005A4D85"/>
    <w:rsid w:val="005A4DD1"/>
    <w:rsid w:val="005A4EB8"/>
    <w:rsid w:val="005A4F14"/>
    <w:rsid w:val="005A4F2F"/>
    <w:rsid w:val="005A4F4F"/>
    <w:rsid w:val="005A4F57"/>
    <w:rsid w:val="005A529A"/>
    <w:rsid w:val="005A52B5"/>
    <w:rsid w:val="005A5349"/>
    <w:rsid w:val="005A54BC"/>
    <w:rsid w:val="005A5687"/>
    <w:rsid w:val="005A5874"/>
    <w:rsid w:val="005A58CC"/>
    <w:rsid w:val="005A5B84"/>
    <w:rsid w:val="005A5CB5"/>
    <w:rsid w:val="005A5E1C"/>
    <w:rsid w:val="005A602F"/>
    <w:rsid w:val="005A605C"/>
    <w:rsid w:val="005A6061"/>
    <w:rsid w:val="005A662F"/>
    <w:rsid w:val="005A6772"/>
    <w:rsid w:val="005A680B"/>
    <w:rsid w:val="005A6DC4"/>
    <w:rsid w:val="005A6F10"/>
    <w:rsid w:val="005A6F4D"/>
    <w:rsid w:val="005A700C"/>
    <w:rsid w:val="005A72DC"/>
    <w:rsid w:val="005A7589"/>
    <w:rsid w:val="005A75AE"/>
    <w:rsid w:val="005A7689"/>
    <w:rsid w:val="005A76D9"/>
    <w:rsid w:val="005A7B89"/>
    <w:rsid w:val="005A7F24"/>
    <w:rsid w:val="005B018E"/>
    <w:rsid w:val="005B0486"/>
    <w:rsid w:val="005B0562"/>
    <w:rsid w:val="005B0776"/>
    <w:rsid w:val="005B089D"/>
    <w:rsid w:val="005B090B"/>
    <w:rsid w:val="005B0BE6"/>
    <w:rsid w:val="005B0C50"/>
    <w:rsid w:val="005B0E25"/>
    <w:rsid w:val="005B0E8F"/>
    <w:rsid w:val="005B0F78"/>
    <w:rsid w:val="005B107E"/>
    <w:rsid w:val="005B10FD"/>
    <w:rsid w:val="005B12BA"/>
    <w:rsid w:val="005B1307"/>
    <w:rsid w:val="005B1309"/>
    <w:rsid w:val="005B15A2"/>
    <w:rsid w:val="005B199A"/>
    <w:rsid w:val="005B19AB"/>
    <w:rsid w:val="005B1B73"/>
    <w:rsid w:val="005B1BDB"/>
    <w:rsid w:val="005B1C31"/>
    <w:rsid w:val="005B1C4F"/>
    <w:rsid w:val="005B1C67"/>
    <w:rsid w:val="005B1C74"/>
    <w:rsid w:val="005B1D0F"/>
    <w:rsid w:val="005B1DD7"/>
    <w:rsid w:val="005B1E8D"/>
    <w:rsid w:val="005B214B"/>
    <w:rsid w:val="005B214C"/>
    <w:rsid w:val="005B21CF"/>
    <w:rsid w:val="005B245B"/>
    <w:rsid w:val="005B2654"/>
    <w:rsid w:val="005B26C3"/>
    <w:rsid w:val="005B2783"/>
    <w:rsid w:val="005B2A03"/>
    <w:rsid w:val="005B2A3B"/>
    <w:rsid w:val="005B2B18"/>
    <w:rsid w:val="005B2E43"/>
    <w:rsid w:val="005B2EDF"/>
    <w:rsid w:val="005B325D"/>
    <w:rsid w:val="005B330B"/>
    <w:rsid w:val="005B3378"/>
    <w:rsid w:val="005B34FF"/>
    <w:rsid w:val="005B3565"/>
    <w:rsid w:val="005B3681"/>
    <w:rsid w:val="005B3708"/>
    <w:rsid w:val="005B3A0D"/>
    <w:rsid w:val="005B3A31"/>
    <w:rsid w:val="005B3A34"/>
    <w:rsid w:val="005B3B09"/>
    <w:rsid w:val="005B3B1D"/>
    <w:rsid w:val="005B3CF5"/>
    <w:rsid w:val="005B3FCC"/>
    <w:rsid w:val="005B3FD8"/>
    <w:rsid w:val="005B403C"/>
    <w:rsid w:val="005B4043"/>
    <w:rsid w:val="005B417A"/>
    <w:rsid w:val="005B43D4"/>
    <w:rsid w:val="005B44C5"/>
    <w:rsid w:val="005B458C"/>
    <w:rsid w:val="005B49CF"/>
    <w:rsid w:val="005B4AA0"/>
    <w:rsid w:val="005B4AD6"/>
    <w:rsid w:val="005B4CAF"/>
    <w:rsid w:val="005B4CC0"/>
    <w:rsid w:val="005B4E37"/>
    <w:rsid w:val="005B4E61"/>
    <w:rsid w:val="005B5153"/>
    <w:rsid w:val="005B524F"/>
    <w:rsid w:val="005B55AB"/>
    <w:rsid w:val="005B578C"/>
    <w:rsid w:val="005B5857"/>
    <w:rsid w:val="005B5A54"/>
    <w:rsid w:val="005B5B8F"/>
    <w:rsid w:val="005B5D16"/>
    <w:rsid w:val="005B5D98"/>
    <w:rsid w:val="005B5ED3"/>
    <w:rsid w:val="005B610A"/>
    <w:rsid w:val="005B6339"/>
    <w:rsid w:val="005B651B"/>
    <w:rsid w:val="005B6682"/>
    <w:rsid w:val="005B67F6"/>
    <w:rsid w:val="005B684C"/>
    <w:rsid w:val="005B6A6E"/>
    <w:rsid w:val="005B6C9B"/>
    <w:rsid w:val="005B6DC2"/>
    <w:rsid w:val="005B6F51"/>
    <w:rsid w:val="005B705C"/>
    <w:rsid w:val="005B71AB"/>
    <w:rsid w:val="005B726B"/>
    <w:rsid w:val="005B739E"/>
    <w:rsid w:val="005B7626"/>
    <w:rsid w:val="005B7878"/>
    <w:rsid w:val="005B792C"/>
    <w:rsid w:val="005B7B65"/>
    <w:rsid w:val="005B7D14"/>
    <w:rsid w:val="005B7F81"/>
    <w:rsid w:val="005B7FFE"/>
    <w:rsid w:val="005C0229"/>
    <w:rsid w:val="005C04E8"/>
    <w:rsid w:val="005C0AA9"/>
    <w:rsid w:val="005C0C56"/>
    <w:rsid w:val="005C0F1A"/>
    <w:rsid w:val="005C12D7"/>
    <w:rsid w:val="005C1392"/>
    <w:rsid w:val="005C1536"/>
    <w:rsid w:val="005C1583"/>
    <w:rsid w:val="005C1589"/>
    <w:rsid w:val="005C1A03"/>
    <w:rsid w:val="005C1A92"/>
    <w:rsid w:val="005C1BD2"/>
    <w:rsid w:val="005C1DE6"/>
    <w:rsid w:val="005C1E95"/>
    <w:rsid w:val="005C1EED"/>
    <w:rsid w:val="005C2235"/>
    <w:rsid w:val="005C2254"/>
    <w:rsid w:val="005C2259"/>
    <w:rsid w:val="005C25A3"/>
    <w:rsid w:val="005C289C"/>
    <w:rsid w:val="005C2C20"/>
    <w:rsid w:val="005C2D5B"/>
    <w:rsid w:val="005C2EAB"/>
    <w:rsid w:val="005C2ED8"/>
    <w:rsid w:val="005C2FEB"/>
    <w:rsid w:val="005C3061"/>
    <w:rsid w:val="005C31A8"/>
    <w:rsid w:val="005C3248"/>
    <w:rsid w:val="005C32CB"/>
    <w:rsid w:val="005C335C"/>
    <w:rsid w:val="005C34B9"/>
    <w:rsid w:val="005C3630"/>
    <w:rsid w:val="005C3652"/>
    <w:rsid w:val="005C3672"/>
    <w:rsid w:val="005C3A1F"/>
    <w:rsid w:val="005C3BFD"/>
    <w:rsid w:val="005C3F7C"/>
    <w:rsid w:val="005C4172"/>
    <w:rsid w:val="005C44B9"/>
    <w:rsid w:val="005C4511"/>
    <w:rsid w:val="005C464D"/>
    <w:rsid w:val="005C48BF"/>
    <w:rsid w:val="005C48F8"/>
    <w:rsid w:val="005C4A8E"/>
    <w:rsid w:val="005C4B40"/>
    <w:rsid w:val="005C4BB3"/>
    <w:rsid w:val="005C4C8C"/>
    <w:rsid w:val="005C4D56"/>
    <w:rsid w:val="005C4D74"/>
    <w:rsid w:val="005C52DC"/>
    <w:rsid w:val="005C5304"/>
    <w:rsid w:val="005C547C"/>
    <w:rsid w:val="005C5749"/>
    <w:rsid w:val="005C57EF"/>
    <w:rsid w:val="005C5833"/>
    <w:rsid w:val="005C5856"/>
    <w:rsid w:val="005C5873"/>
    <w:rsid w:val="005C58DF"/>
    <w:rsid w:val="005C5C1C"/>
    <w:rsid w:val="005C5CA4"/>
    <w:rsid w:val="005C5DEC"/>
    <w:rsid w:val="005C5E77"/>
    <w:rsid w:val="005C5F01"/>
    <w:rsid w:val="005C607F"/>
    <w:rsid w:val="005C6152"/>
    <w:rsid w:val="005C61B9"/>
    <w:rsid w:val="005C61C1"/>
    <w:rsid w:val="005C64B8"/>
    <w:rsid w:val="005C64EA"/>
    <w:rsid w:val="005C6536"/>
    <w:rsid w:val="005C6645"/>
    <w:rsid w:val="005C67E6"/>
    <w:rsid w:val="005C6A31"/>
    <w:rsid w:val="005C6AC5"/>
    <w:rsid w:val="005C6B0C"/>
    <w:rsid w:val="005C6BC2"/>
    <w:rsid w:val="005C6BFC"/>
    <w:rsid w:val="005C6D41"/>
    <w:rsid w:val="005C6EA4"/>
    <w:rsid w:val="005C7088"/>
    <w:rsid w:val="005C70DA"/>
    <w:rsid w:val="005C71D5"/>
    <w:rsid w:val="005C7440"/>
    <w:rsid w:val="005C76EE"/>
    <w:rsid w:val="005C7849"/>
    <w:rsid w:val="005C78BC"/>
    <w:rsid w:val="005C7900"/>
    <w:rsid w:val="005C7A57"/>
    <w:rsid w:val="005C7D00"/>
    <w:rsid w:val="005C7DCA"/>
    <w:rsid w:val="005C7F9E"/>
    <w:rsid w:val="005D02D7"/>
    <w:rsid w:val="005D0590"/>
    <w:rsid w:val="005D07C9"/>
    <w:rsid w:val="005D098F"/>
    <w:rsid w:val="005D0B2A"/>
    <w:rsid w:val="005D0B95"/>
    <w:rsid w:val="005D0CB8"/>
    <w:rsid w:val="005D0CCA"/>
    <w:rsid w:val="005D0CED"/>
    <w:rsid w:val="005D0D89"/>
    <w:rsid w:val="005D0F62"/>
    <w:rsid w:val="005D1052"/>
    <w:rsid w:val="005D1162"/>
    <w:rsid w:val="005D141E"/>
    <w:rsid w:val="005D1425"/>
    <w:rsid w:val="005D16D3"/>
    <w:rsid w:val="005D17CB"/>
    <w:rsid w:val="005D1A55"/>
    <w:rsid w:val="005D1B03"/>
    <w:rsid w:val="005D1D5E"/>
    <w:rsid w:val="005D1FA1"/>
    <w:rsid w:val="005D2156"/>
    <w:rsid w:val="005D2175"/>
    <w:rsid w:val="005D21CC"/>
    <w:rsid w:val="005D229B"/>
    <w:rsid w:val="005D2A60"/>
    <w:rsid w:val="005D2A85"/>
    <w:rsid w:val="005D2AB4"/>
    <w:rsid w:val="005D2B54"/>
    <w:rsid w:val="005D2D07"/>
    <w:rsid w:val="005D3101"/>
    <w:rsid w:val="005D3327"/>
    <w:rsid w:val="005D3375"/>
    <w:rsid w:val="005D3438"/>
    <w:rsid w:val="005D3500"/>
    <w:rsid w:val="005D3519"/>
    <w:rsid w:val="005D389A"/>
    <w:rsid w:val="005D3C6A"/>
    <w:rsid w:val="005D3DAD"/>
    <w:rsid w:val="005D3FF9"/>
    <w:rsid w:val="005D43F6"/>
    <w:rsid w:val="005D4406"/>
    <w:rsid w:val="005D44E9"/>
    <w:rsid w:val="005D47F0"/>
    <w:rsid w:val="005D49AB"/>
    <w:rsid w:val="005D49E5"/>
    <w:rsid w:val="005D4AA2"/>
    <w:rsid w:val="005D4B02"/>
    <w:rsid w:val="005D4DA2"/>
    <w:rsid w:val="005D4EC8"/>
    <w:rsid w:val="005D4F28"/>
    <w:rsid w:val="005D53F7"/>
    <w:rsid w:val="005D58D9"/>
    <w:rsid w:val="005D59C6"/>
    <w:rsid w:val="005D5CF5"/>
    <w:rsid w:val="005D5DA1"/>
    <w:rsid w:val="005D5FA3"/>
    <w:rsid w:val="005D620C"/>
    <w:rsid w:val="005D6218"/>
    <w:rsid w:val="005D631B"/>
    <w:rsid w:val="005D6489"/>
    <w:rsid w:val="005D64F7"/>
    <w:rsid w:val="005D6825"/>
    <w:rsid w:val="005D69BE"/>
    <w:rsid w:val="005D6BBD"/>
    <w:rsid w:val="005D769E"/>
    <w:rsid w:val="005D787A"/>
    <w:rsid w:val="005D7880"/>
    <w:rsid w:val="005D7A93"/>
    <w:rsid w:val="005D7CCA"/>
    <w:rsid w:val="005D7F22"/>
    <w:rsid w:val="005D7FF7"/>
    <w:rsid w:val="005E015A"/>
    <w:rsid w:val="005E0467"/>
    <w:rsid w:val="005E0507"/>
    <w:rsid w:val="005E0631"/>
    <w:rsid w:val="005E06C4"/>
    <w:rsid w:val="005E0898"/>
    <w:rsid w:val="005E09F9"/>
    <w:rsid w:val="005E0A37"/>
    <w:rsid w:val="005E0B86"/>
    <w:rsid w:val="005E0D7E"/>
    <w:rsid w:val="005E0DF9"/>
    <w:rsid w:val="005E0E1A"/>
    <w:rsid w:val="005E0E79"/>
    <w:rsid w:val="005E0ECD"/>
    <w:rsid w:val="005E1122"/>
    <w:rsid w:val="005E19FB"/>
    <w:rsid w:val="005E1A84"/>
    <w:rsid w:val="005E1B31"/>
    <w:rsid w:val="005E1C96"/>
    <w:rsid w:val="005E1EA8"/>
    <w:rsid w:val="005E1FB7"/>
    <w:rsid w:val="005E2209"/>
    <w:rsid w:val="005E2463"/>
    <w:rsid w:val="005E25EA"/>
    <w:rsid w:val="005E2866"/>
    <w:rsid w:val="005E2D61"/>
    <w:rsid w:val="005E2DFE"/>
    <w:rsid w:val="005E2FE6"/>
    <w:rsid w:val="005E2FF0"/>
    <w:rsid w:val="005E31DB"/>
    <w:rsid w:val="005E34DA"/>
    <w:rsid w:val="005E35B0"/>
    <w:rsid w:val="005E369B"/>
    <w:rsid w:val="005E3F66"/>
    <w:rsid w:val="005E42F9"/>
    <w:rsid w:val="005E439B"/>
    <w:rsid w:val="005E43E0"/>
    <w:rsid w:val="005E446D"/>
    <w:rsid w:val="005E44AB"/>
    <w:rsid w:val="005E46AE"/>
    <w:rsid w:val="005E49E1"/>
    <w:rsid w:val="005E4ADA"/>
    <w:rsid w:val="005E4D76"/>
    <w:rsid w:val="005E4DD6"/>
    <w:rsid w:val="005E51C8"/>
    <w:rsid w:val="005E52DB"/>
    <w:rsid w:val="005E5610"/>
    <w:rsid w:val="005E562B"/>
    <w:rsid w:val="005E57A6"/>
    <w:rsid w:val="005E57DB"/>
    <w:rsid w:val="005E59BB"/>
    <w:rsid w:val="005E59DB"/>
    <w:rsid w:val="005E5AAB"/>
    <w:rsid w:val="005E5AAD"/>
    <w:rsid w:val="005E5C88"/>
    <w:rsid w:val="005E5CFE"/>
    <w:rsid w:val="005E5E1A"/>
    <w:rsid w:val="005E623A"/>
    <w:rsid w:val="005E62BB"/>
    <w:rsid w:val="005E6436"/>
    <w:rsid w:val="005E65D1"/>
    <w:rsid w:val="005E66D8"/>
    <w:rsid w:val="005E676E"/>
    <w:rsid w:val="005E6803"/>
    <w:rsid w:val="005E6865"/>
    <w:rsid w:val="005E6B50"/>
    <w:rsid w:val="005E6BB2"/>
    <w:rsid w:val="005E6BE0"/>
    <w:rsid w:val="005E6C88"/>
    <w:rsid w:val="005E6D30"/>
    <w:rsid w:val="005E70E0"/>
    <w:rsid w:val="005E7105"/>
    <w:rsid w:val="005E71E0"/>
    <w:rsid w:val="005E725A"/>
    <w:rsid w:val="005E727B"/>
    <w:rsid w:val="005E74B8"/>
    <w:rsid w:val="005E76F8"/>
    <w:rsid w:val="005E7829"/>
    <w:rsid w:val="005E7EB3"/>
    <w:rsid w:val="005E7F13"/>
    <w:rsid w:val="005F00FB"/>
    <w:rsid w:val="005F0170"/>
    <w:rsid w:val="005F023F"/>
    <w:rsid w:val="005F0429"/>
    <w:rsid w:val="005F0554"/>
    <w:rsid w:val="005F065D"/>
    <w:rsid w:val="005F087E"/>
    <w:rsid w:val="005F094D"/>
    <w:rsid w:val="005F0B94"/>
    <w:rsid w:val="005F0BAB"/>
    <w:rsid w:val="005F0C76"/>
    <w:rsid w:val="005F0F10"/>
    <w:rsid w:val="005F1172"/>
    <w:rsid w:val="005F11BA"/>
    <w:rsid w:val="005F11CF"/>
    <w:rsid w:val="005F123B"/>
    <w:rsid w:val="005F1511"/>
    <w:rsid w:val="005F1524"/>
    <w:rsid w:val="005F167E"/>
    <w:rsid w:val="005F17B1"/>
    <w:rsid w:val="005F198C"/>
    <w:rsid w:val="005F19D3"/>
    <w:rsid w:val="005F1B98"/>
    <w:rsid w:val="005F1C00"/>
    <w:rsid w:val="005F1FDD"/>
    <w:rsid w:val="005F2133"/>
    <w:rsid w:val="005F21B9"/>
    <w:rsid w:val="005F2291"/>
    <w:rsid w:val="005F22BB"/>
    <w:rsid w:val="005F25E4"/>
    <w:rsid w:val="005F27AC"/>
    <w:rsid w:val="005F2828"/>
    <w:rsid w:val="005F2A4D"/>
    <w:rsid w:val="005F2C2F"/>
    <w:rsid w:val="005F2D52"/>
    <w:rsid w:val="005F2D78"/>
    <w:rsid w:val="005F3047"/>
    <w:rsid w:val="005F3048"/>
    <w:rsid w:val="005F327A"/>
    <w:rsid w:val="005F3588"/>
    <w:rsid w:val="005F3615"/>
    <w:rsid w:val="005F3885"/>
    <w:rsid w:val="005F388F"/>
    <w:rsid w:val="005F38FC"/>
    <w:rsid w:val="005F39EB"/>
    <w:rsid w:val="005F3B38"/>
    <w:rsid w:val="005F3B9B"/>
    <w:rsid w:val="005F3CCA"/>
    <w:rsid w:val="005F3D4C"/>
    <w:rsid w:val="005F3DDF"/>
    <w:rsid w:val="005F3EBF"/>
    <w:rsid w:val="005F40B8"/>
    <w:rsid w:val="005F4238"/>
    <w:rsid w:val="005F43F2"/>
    <w:rsid w:val="005F448C"/>
    <w:rsid w:val="005F4525"/>
    <w:rsid w:val="005F4699"/>
    <w:rsid w:val="005F481F"/>
    <w:rsid w:val="005F49BE"/>
    <w:rsid w:val="005F4CA7"/>
    <w:rsid w:val="005F4CCF"/>
    <w:rsid w:val="005F4DD3"/>
    <w:rsid w:val="005F4E73"/>
    <w:rsid w:val="005F4FFA"/>
    <w:rsid w:val="005F5169"/>
    <w:rsid w:val="005F5273"/>
    <w:rsid w:val="005F59DD"/>
    <w:rsid w:val="005F5A3C"/>
    <w:rsid w:val="005F5E17"/>
    <w:rsid w:val="005F5F1E"/>
    <w:rsid w:val="005F5F40"/>
    <w:rsid w:val="005F5F69"/>
    <w:rsid w:val="005F6075"/>
    <w:rsid w:val="005F63E2"/>
    <w:rsid w:val="005F641F"/>
    <w:rsid w:val="005F6702"/>
    <w:rsid w:val="005F6802"/>
    <w:rsid w:val="005F6818"/>
    <w:rsid w:val="005F6B7D"/>
    <w:rsid w:val="005F6CE0"/>
    <w:rsid w:val="005F6D55"/>
    <w:rsid w:val="005F6EC2"/>
    <w:rsid w:val="005F6EC8"/>
    <w:rsid w:val="005F70A8"/>
    <w:rsid w:val="005F70C5"/>
    <w:rsid w:val="005F7176"/>
    <w:rsid w:val="005F71FF"/>
    <w:rsid w:val="005F7214"/>
    <w:rsid w:val="005F7454"/>
    <w:rsid w:val="005F7461"/>
    <w:rsid w:val="005F76B4"/>
    <w:rsid w:val="005F76CC"/>
    <w:rsid w:val="005F7983"/>
    <w:rsid w:val="005F79ED"/>
    <w:rsid w:val="005F7C6D"/>
    <w:rsid w:val="005F7CE8"/>
    <w:rsid w:val="005F7DBF"/>
    <w:rsid w:val="005F7F2A"/>
    <w:rsid w:val="005F7F46"/>
    <w:rsid w:val="005F7F6F"/>
    <w:rsid w:val="00600022"/>
    <w:rsid w:val="0060062F"/>
    <w:rsid w:val="006006E4"/>
    <w:rsid w:val="006008A7"/>
    <w:rsid w:val="00600E43"/>
    <w:rsid w:val="00600FCC"/>
    <w:rsid w:val="00601040"/>
    <w:rsid w:val="006010C0"/>
    <w:rsid w:val="0060117C"/>
    <w:rsid w:val="00601223"/>
    <w:rsid w:val="00601386"/>
    <w:rsid w:val="0060146F"/>
    <w:rsid w:val="006015D9"/>
    <w:rsid w:val="006017AF"/>
    <w:rsid w:val="00601992"/>
    <w:rsid w:val="006019CC"/>
    <w:rsid w:val="00601C88"/>
    <w:rsid w:val="00601E35"/>
    <w:rsid w:val="00601E56"/>
    <w:rsid w:val="00601E6C"/>
    <w:rsid w:val="00602200"/>
    <w:rsid w:val="00602345"/>
    <w:rsid w:val="006023CA"/>
    <w:rsid w:val="006023E8"/>
    <w:rsid w:val="00602588"/>
    <w:rsid w:val="006025C4"/>
    <w:rsid w:val="00602645"/>
    <w:rsid w:val="00602A23"/>
    <w:rsid w:val="00602BC0"/>
    <w:rsid w:val="00602C84"/>
    <w:rsid w:val="00602D60"/>
    <w:rsid w:val="00602DB3"/>
    <w:rsid w:val="00603291"/>
    <w:rsid w:val="006032EA"/>
    <w:rsid w:val="006032FF"/>
    <w:rsid w:val="006034AB"/>
    <w:rsid w:val="0060366E"/>
    <w:rsid w:val="00603690"/>
    <w:rsid w:val="006038CE"/>
    <w:rsid w:val="00603B27"/>
    <w:rsid w:val="00603B43"/>
    <w:rsid w:val="00603C9C"/>
    <w:rsid w:val="00603CC5"/>
    <w:rsid w:val="00603E3E"/>
    <w:rsid w:val="00603FC9"/>
    <w:rsid w:val="00603FDD"/>
    <w:rsid w:val="006040B0"/>
    <w:rsid w:val="0060411F"/>
    <w:rsid w:val="006041DE"/>
    <w:rsid w:val="00604558"/>
    <w:rsid w:val="00604567"/>
    <w:rsid w:val="0060457A"/>
    <w:rsid w:val="006045C7"/>
    <w:rsid w:val="006045DC"/>
    <w:rsid w:val="006046C4"/>
    <w:rsid w:val="006048F5"/>
    <w:rsid w:val="00604A3E"/>
    <w:rsid w:val="00604DF6"/>
    <w:rsid w:val="006050A8"/>
    <w:rsid w:val="00605130"/>
    <w:rsid w:val="006051B2"/>
    <w:rsid w:val="00605222"/>
    <w:rsid w:val="0060528C"/>
    <w:rsid w:val="0060539F"/>
    <w:rsid w:val="00605498"/>
    <w:rsid w:val="0060555C"/>
    <w:rsid w:val="006055D7"/>
    <w:rsid w:val="006058B6"/>
    <w:rsid w:val="00605965"/>
    <w:rsid w:val="00605B04"/>
    <w:rsid w:val="00605DE2"/>
    <w:rsid w:val="00605FE1"/>
    <w:rsid w:val="00606345"/>
    <w:rsid w:val="0060640A"/>
    <w:rsid w:val="0060655E"/>
    <w:rsid w:val="0060656E"/>
    <w:rsid w:val="006066B8"/>
    <w:rsid w:val="006069AA"/>
    <w:rsid w:val="00606C19"/>
    <w:rsid w:val="00606EC9"/>
    <w:rsid w:val="00607120"/>
    <w:rsid w:val="0060742D"/>
    <w:rsid w:val="00607625"/>
    <w:rsid w:val="00607664"/>
    <w:rsid w:val="006078A1"/>
    <w:rsid w:val="00607B57"/>
    <w:rsid w:val="00607D18"/>
    <w:rsid w:val="0061038E"/>
    <w:rsid w:val="00610A52"/>
    <w:rsid w:val="00610D4B"/>
    <w:rsid w:val="00610DF1"/>
    <w:rsid w:val="00610E4A"/>
    <w:rsid w:val="00610E81"/>
    <w:rsid w:val="00610E9C"/>
    <w:rsid w:val="00610F89"/>
    <w:rsid w:val="00610FB3"/>
    <w:rsid w:val="0061105E"/>
    <w:rsid w:val="006110CE"/>
    <w:rsid w:val="0061115F"/>
    <w:rsid w:val="00611266"/>
    <w:rsid w:val="00611404"/>
    <w:rsid w:val="006114A2"/>
    <w:rsid w:val="0061157B"/>
    <w:rsid w:val="00611847"/>
    <w:rsid w:val="00611B9E"/>
    <w:rsid w:val="00611BE0"/>
    <w:rsid w:val="00611C3B"/>
    <w:rsid w:val="00611CE4"/>
    <w:rsid w:val="00611D1C"/>
    <w:rsid w:val="006121DF"/>
    <w:rsid w:val="0061239D"/>
    <w:rsid w:val="006124CB"/>
    <w:rsid w:val="006124D1"/>
    <w:rsid w:val="00612655"/>
    <w:rsid w:val="0061288D"/>
    <w:rsid w:val="00612978"/>
    <w:rsid w:val="00612C89"/>
    <w:rsid w:val="00612ECA"/>
    <w:rsid w:val="00612F5F"/>
    <w:rsid w:val="00612F64"/>
    <w:rsid w:val="00612FE5"/>
    <w:rsid w:val="006130B1"/>
    <w:rsid w:val="006130F8"/>
    <w:rsid w:val="00613294"/>
    <w:rsid w:val="006134EA"/>
    <w:rsid w:val="00613538"/>
    <w:rsid w:val="00613588"/>
    <w:rsid w:val="0061359E"/>
    <w:rsid w:val="00613700"/>
    <w:rsid w:val="006137AD"/>
    <w:rsid w:val="00613C36"/>
    <w:rsid w:val="00613C7D"/>
    <w:rsid w:val="00613D01"/>
    <w:rsid w:val="00613DAF"/>
    <w:rsid w:val="006140FC"/>
    <w:rsid w:val="00614426"/>
    <w:rsid w:val="00614794"/>
    <w:rsid w:val="006149D8"/>
    <w:rsid w:val="00614A2B"/>
    <w:rsid w:val="00614B86"/>
    <w:rsid w:val="00614BD4"/>
    <w:rsid w:val="00614D14"/>
    <w:rsid w:val="00614D4B"/>
    <w:rsid w:val="00614E28"/>
    <w:rsid w:val="00614EC2"/>
    <w:rsid w:val="006150B2"/>
    <w:rsid w:val="006151E5"/>
    <w:rsid w:val="006153B9"/>
    <w:rsid w:val="006153CC"/>
    <w:rsid w:val="0061551F"/>
    <w:rsid w:val="006155C2"/>
    <w:rsid w:val="00615654"/>
    <w:rsid w:val="006158C6"/>
    <w:rsid w:val="0061599D"/>
    <w:rsid w:val="00615B18"/>
    <w:rsid w:val="00615B9C"/>
    <w:rsid w:val="00615C25"/>
    <w:rsid w:val="00615D26"/>
    <w:rsid w:val="006160D3"/>
    <w:rsid w:val="00616278"/>
    <w:rsid w:val="006163AB"/>
    <w:rsid w:val="006163BC"/>
    <w:rsid w:val="006165CA"/>
    <w:rsid w:val="006169FB"/>
    <w:rsid w:val="00616B69"/>
    <w:rsid w:val="0061708F"/>
    <w:rsid w:val="006170F5"/>
    <w:rsid w:val="00617104"/>
    <w:rsid w:val="006172A2"/>
    <w:rsid w:val="00617364"/>
    <w:rsid w:val="006173EB"/>
    <w:rsid w:val="00617533"/>
    <w:rsid w:val="00617762"/>
    <w:rsid w:val="006179C9"/>
    <w:rsid w:val="00617A77"/>
    <w:rsid w:val="00617B86"/>
    <w:rsid w:val="00617CDE"/>
    <w:rsid w:val="00617F7F"/>
    <w:rsid w:val="00620039"/>
    <w:rsid w:val="00620168"/>
    <w:rsid w:val="0062054E"/>
    <w:rsid w:val="00620677"/>
    <w:rsid w:val="006206D8"/>
    <w:rsid w:val="00621479"/>
    <w:rsid w:val="006214E7"/>
    <w:rsid w:val="00621518"/>
    <w:rsid w:val="0062163C"/>
    <w:rsid w:val="00621D21"/>
    <w:rsid w:val="00621E7F"/>
    <w:rsid w:val="00621F7E"/>
    <w:rsid w:val="0062206F"/>
    <w:rsid w:val="00622078"/>
    <w:rsid w:val="006220B4"/>
    <w:rsid w:val="0062216E"/>
    <w:rsid w:val="006224D2"/>
    <w:rsid w:val="006225F4"/>
    <w:rsid w:val="00622775"/>
    <w:rsid w:val="006228B8"/>
    <w:rsid w:val="006229F1"/>
    <w:rsid w:val="00622A94"/>
    <w:rsid w:val="00622B49"/>
    <w:rsid w:val="00622BE6"/>
    <w:rsid w:val="006231CD"/>
    <w:rsid w:val="006233A3"/>
    <w:rsid w:val="006234BB"/>
    <w:rsid w:val="006235BF"/>
    <w:rsid w:val="006236B7"/>
    <w:rsid w:val="0062381B"/>
    <w:rsid w:val="00623A9F"/>
    <w:rsid w:val="00623C65"/>
    <w:rsid w:val="00623C74"/>
    <w:rsid w:val="00623D18"/>
    <w:rsid w:val="00623D62"/>
    <w:rsid w:val="00623DD3"/>
    <w:rsid w:val="00623DF4"/>
    <w:rsid w:val="00623E6A"/>
    <w:rsid w:val="00623F39"/>
    <w:rsid w:val="00624074"/>
    <w:rsid w:val="00624164"/>
    <w:rsid w:val="0062430D"/>
    <w:rsid w:val="006243FA"/>
    <w:rsid w:val="00624417"/>
    <w:rsid w:val="00624571"/>
    <w:rsid w:val="0062470E"/>
    <w:rsid w:val="00624789"/>
    <w:rsid w:val="0062482A"/>
    <w:rsid w:val="00624CCF"/>
    <w:rsid w:val="00624D48"/>
    <w:rsid w:val="00624DDB"/>
    <w:rsid w:val="006253DB"/>
    <w:rsid w:val="0062555F"/>
    <w:rsid w:val="00625625"/>
    <w:rsid w:val="0062563D"/>
    <w:rsid w:val="00625995"/>
    <w:rsid w:val="00625C92"/>
    <w:rsid w:val="00625CF3"/>
    <w:rsid w:val="00625D67"/>
    <w:rsid w:val="0062658D"/>
    <w:rsid w:val="00626646"/>
    <w:rsid w:val="006266DA"/>
    <w:rsid w:val="00626854"/>
    <w:rsid w:val="00626A31"/>
    <w:rsid w:val="00626A57"/>
    <w:rsid w:val="00626A90"/>
    <w:rsid w:val="00626B1C"/>
    <w:rsid w:val="00626BB3"/>
    <w:rsid w:val="00626BD9"/>
    <w:rsid w:val="00626E7B"/>
    <w:rsid w:val="00626EA6"/>
    <w:rsid w:val="0062703F"/>
    <w:rsid w:val="006272D0"/>
    <w:rsid w:val="00627388"/>
    <w:rsid w:val="0062776C"/>
    <w:rsid w:val="006277A3"/>
    <w:rsid w:val="0062780B"/>
    <w:rsid w:val="006278D4"/>
    <w:rsid w:val="00627967"/>
    <w:rsid w:val="0062796A"/>
    <w:rsid w:val="00627A1B"/>
    <w:rsid w:val="00627D90"/>
    <w:rsid w:val="00627EC4"/>
    <w:rsid w:val="00630300"/>
    <w:rsid w:val="00630759"/>
    <w:rsid w:val="006308A2"/>
    <w:rsid w:val="00630A19"/>
    <w:rsid w:val="00630B45"/>
    <w:rsid w:val="00630DFC"/>
    <w:rsid w:val="00630E13"/>
    <w:rsid w:val="00630EB9"/>
    <w:rsid w:val="0063128C"/>
    <w:rsid w:val="006313D1"/>
    <w:rsid w:val="006316A5"/>
    <w:rsid w:val="00631C63"/>
    <w:rsid w:val="00631D09"/>
    <w:rsid w:val="00632283"/>
    <w:rsid w:val="006325F4"/>
    <w:rsid w:val="0063260A"/>
    <w:rsid w:val="0063270E"/>
    <w:rsid w:val="0063285B"/>
    <w:rsid w:val="00632959"/>
    <w:rsid w:val="0063296D"/>
    <w:rsid w:val="00632BBD"/>
    <w:rsid w:val="00632C15"/>
    <w:rsid w:val="00632D62"/>
    <w:rsid w:val="00632D67"/>
    <w:rsid w:val="00632D99"/>
    <w:rsid w:val="00632E4C"/>
    <w:rsid w:val="006330EA"/>
    <w:rsid w:val="0063320F"/>
    <w:rsid w:val="00633286"/>
    <w:rsid w:val="00633593"/>
    <w:rsid w:val="00633867"/>
    <w:rsid w:val="00633C44"/>
    <w:rsid w:val="00633E94"/>
    <w:rsid w:val="00634073"/>
    <w:rsid w:val="006340F9"/>
    <w:rsid w:val="00634351"/>
    <w:rsid w:val="00634610"/>
    <w:rsid w:val="006347B6"/>
    <w:rsid w:val="00634931"/>
    <w:rsid w:val="006349C1"/>
    <w:rsid w:val="00634C64"/>
    <w:rsid w:val="00634D7F"/>
    <w:rsid w:val="00634DE3"/>
    <w:rsid w:val="0063506D"/>
    <w:rsid w:val="006350AF"/>
    <w:rsid w:val="00635149"/>
    <w:rsid w:val="0063519D"/>
    <w:rsid w:val="0063533F"/>
    <w:rsid w:val="0063537C"/>
    <w:rsid w:val="0063587A"/>
    <w:rsid w:val="0063589C"/>
    <w:rsid w:val="00635B19"/>
    <w:rsid w:val="00635B3A"/>
    <w:rsid w:val="00635BBB"/>
    <w:rsid w:val="00635C56"/>
    <w:rsid w:val="00636595"/>
    <w:rsid w:val="006365F1"/>
    <w:rsid w:val="00636815"/>
    <w:rsid w:val="00636941"/>
    <w:rsid w:val="0063694B"/>
    <w:rsid w:val="0063719F"/>
    <w:rsid w:val="006374FA"/>
    <w:rsid w:val="006375BA"/>
    <w:rsid w:val="00637776"/>
    <w:rsid w:val="00637809"/>
    <w:rsid w:val="00637AD8"/>
    <w:rsid w:val="00637C89"/>
    <w:rsid w:val="00637D04"/>
    <w:rsid w:val="00637D3B"/>
    <w:rsid w:val="00640052"/>
    <w:rsid w:val="00640180"/>
    <w:rsid w:val="006401A0"/>
    <w:rsid w:val="006406B3"/>
    <w:rsid w:val="006406DC"/>
    <w:rsid w:val="00640890"/>
    <w:rsid w:val="00640A97"/>
    <w:rsid w:val="00640CAA"/>
    <w:rsid w:val="00640DDA"/>
    <w:rsid w:val="00641357"/>
    <w:rsid w:val="006416C7"/>
    <w:rsid w:val="006417C5"/>
    <w:rsid w:val="0064184D"/>
    <w:rsid w:val="00641B2C"/>
    <w:rsid w:val="00641EAF"/>
    <w:rsid w:val="00641ED0"/>
    <w:rsid w:val="006424F4"/>
    <w:rsid w:val="00642509"/>
    <w:rsid w:val="006425D1"/>
    <w:rsid w:val="00642C56"/>
    <w:rsid w:val="00642D8E"/>
    <w:rsid w:val="00642E05"/>
    <w:rsid w:val="00642E80"/>
    <w:rsid w:val="00642FD4"/>
    <w:rsid w:val="00643176"/>
    <w:rsid w:val="006432C4"/>
    <w:rsid w:val="0064345C"/>
    <w:rsid w:val="006438E7"/>
    <w:rsid w:val="0064393F"/>
    <w:rsid w:val="00643A02"/>
    <w:rsid w:val="00643A71"/>
    <w:rsid w:val="00643E0E"/>
    <w:rsid w:val="00643E21"/>
    <w:rsid w:val="00643F7C"/>
    <w:rsid w:val="00644026"/>
    <w:rsid w:val="00644043"/>
    <w:rsid w:val="006441CE"/>
    <w:rsid w:val="006442B1"/>
    <w:rsid w:val="006444E4"/>
    <w:rsid w:val="00644852"/>
    <w:rsid w:val="00644A00"/>
    <w:rsid w:val="00644ACB"/>
    <w:rsid w:val="00644B47"/>
    <w:rsid w:val="00644BEA"/>
    <w:rsid w:val="00644DBE"/>
    <w:rsid w:val="00644DC2"/>
    <w:rsid w:val="00644DE3"/>
    <w:rsid w:val="006451E4"/>
    <w:rsid w:val="00645235"/>
    <w:rsid w:val="00645372"/>
    <w:rsid w:val="0064540B"/>
    <w:rsid w:val="00645495"/>
    <w:rsid w:val="006454A9"/>
    <w:rsid w:val="006457BF"/>
    <w:rsid w:val="00645843"/>
    <w:rsid w:val="0064592E"/>
    <w:rsid w:val="00645B21"/>
    <w:rsid w:val="00645B44"/>
    <w:rsid w:val="00645B72"/>
    <w:rsid w:val="00645D88"/>
    <w:rsid w:val="00646019"/>
    <w:rsid w:val="0064612C"/>
    <w:rsid w:val="0064616F"/>
    <w:rsid w:val="00646172"/>
    <w:rsid w:val="00646595"/>
    <w:rsid w:val="0064685F"/>
    <w:rsid w:val="0064696D"/>
    <w:rsid w:val="00646C13"/>
    <w:rsid w:val="00646CEA"/>
    <w:rsid w:val="00646D07"/>
    <w:rsid w:val="00646E66"/>
    <w:rsid w:val="006470A4"/>
    <w:rsid w:val="00647239"/>
    <w:rsid w:val="006472D9"/>
    <w:rsid w:val="00647341"/>
    <w:rsid w:val="00647645"/>
    <w:rsid w:val="00647A99"/>
    <w:rsid w:val="00647BBA"/>
    <w:rsid w:val="00647C23"/>
    <w:rsid w:val="00647F55"/>
    <w:rsid w:val="006500C6"/>
    <w:rsid w:val="0065030E"/>
    <w:rsid w:val="006506CD"/>
    <w:rsid w:val="006507B7"/>
    <w:rsid w:val="006508CD"/>
    <w:rsid w:val="00650900"/>
    <w:rsid w:val="0065099F"/>
    <w:rsid w:val="00650CCA"/>
    <w:rsid w:val="00650DCA"/>
    <w:rsid w:val="00650FD5"/>
    <w:rsid w:val="0065107C"/>
    <w:rsid w:val="006512F4"/>
    <w:rsid w:val="006515B6"/>
    <w:rsid w:val="006515E6"/>
    <w:rsid w:val="00651820"/>
    <w:rsid w:val="00651840"/>
    <w:rsid w:val="00651B63"/>
    <w:rsid w:val="00651C3D"/>
    <w:rsid w:val="00651F16"/>
    <w:rsid w:val="00652071"/>
    <w:rsid w:val="00652110"/>
    <w:rsid w:val="006521A0"/>
    <w:rsid w:val="006522CF"/>
    <w:rsid w:val="006524A2"/>
    <w:rsid w:val="00652722"/>
    <w:rsid w:val="006528A0"/>
    <w:rsid w:val="00652B7B"/>
    <w:rsid w:val="00652EA0"/>
    <w:rsid w:val="00652FC2"/>
    <w:rsid w:val="00653149"/>
    <w:rsid w:val="0065324A"/>
    <w:rsid w:val="00653257"/>
    <w:rsid w:val="00653359"/>
    <w:rsid w:val="00653361"/>
    <w:rsid w:val="0065342D"/>
    <w:rsid w:val="00653462"/>
    <w:rsid w:val="006534A0"/>
    <w:rsid w:val="0065356E"/>
    <w:rsid w:val="0065363B"/>
    <w:rsid w:val="00653968"/>
    <w:rsid w:val="00653B48"/>
    <w:rsid w:val="00653B59"/>
    <w:rsid w:val="00653D3B"/>
    <w:rsid w:val="006544B4"/>
    <w:rsid w:val="0065462A"/>
    <w:rsid w:val="00654BF4"/>
    <w:rsid w:val="00654CD3"/>
    <w:rsid w:val="00654EBF"/>
    <w:rsid w:val="00655256"/>
    <w:rsid w:val="006552B6"/>
    <w:rsid w:val="00655317"/>
    <w:rsid w:val="006554D9"/>
    <w:rsid w:val="00655718"/>
    <w:rsid w:val="00655863"/>
    <w:rsid w:val="00655885"/>
    <w:rsid w:val="00655ADA"/>
    <w:rsid w:val="00655C0E"/>
    <w:rsid w:val="00655C47"/>
    <w:rsid w:val="00655CA3"/>
    <w:rsid w:val="00655E5A"/>
    <w:rsid w:val="00655FDB"/>
    <w:rsid w:val="00655FE0"/>
    <w:rsid w:val="00655FEA"/>
    <w:rsid w:val="0065600F"/>
    <w:rsid w:val="00656110"/>
    <w:rsid w:val="00656113"/>
    <w:rsid w:val="00656269"/>
    <w:rsid w:val="006563FC"/>
    <w:rsid w:val="006564E6"/>
    <w:rsid w:val="0065664F"/>
    <w:rsid w:val="006569E0"/>
    <w:rsid w:val="00656D98"/>
    <w:rsid w:val="00656E37"/>
    <w:rsid w:val="00656ED9"/>
    <w:rsid w:val="006570E1"/>
    <w:rsid w:val="0065710C"/>
    <w:rsid w:val="0065730B"/>
    <w:rsid w:val="00657679"/>
    <w:rsid w:val="00657D17"/>
    <w:rsid w:val="00657E96"/>
    <w:rsid w:val="00657FDA"/>
    <w:rsid w:val="006607C6"/>
    <w:rsid w:val="00660AC5"/>
    <w:rsid w:val="00660B6A"/>
    <w:rsid w:val="00660F12"/>
    <w:rsid w:val="00660FD4"/>
    <w:rsid w:val="006610EA"/>
    <w:rsid w:val="006610F1"/>
    <w:rsid w:val="00661619"/>
    <w:rsid w:val="00661623"/>
    <w:rsid w:val="00661650"/>
    <w:rsid w:val="006616B6"/>
    <w:rsid w:val="00661820"/>
    <w:rsid w:val="00661972"/>
    <w:rsid w:val="00661D10"/>
    <w:rsid w:val="00661D97"/>
    <w:rsid w:val="00661E06"/>
    <w:rsid w:val="00661FCB"/>
    <w:rsid w:val="00662104"/>
    <w:rsid w:val="00662115"/>
    <w:rsid w:val="006623D3"/>
    <w:rsid w:val="00662D76"/>
    <w:rsid w:val="00662E57"/>
    <w:rsid w:val="006633FA"/>
    <w:rsid w:val="0066387A"/>
    <w:rsid w:val="00663915"/>
    <w:rsid w:val="006639FA"/>
    <w:rsid w:val="00663A1F"/>
    <w:rsid w:val="00663DFB"/>
    <w:rsid w:val="00663F2F"/>
    <w:rsid w:val="00663F56"/>
    <w:rsid w:val="00663F88"/>
    <w:rsid w:val="00664123"/>
    <w:rsid w:val="0066415F"/>
    <w:rsid w:val="00664248"/>
    <w:rsid w:val="00664362"/>
    <w:rsid w:val="00664390"/>
    <w:rsid w:val="006644BA"/>
    <w:rsid w:val="0066464A"/>
    <w:rsid w:val="006647EB"/>
    <w:rsid w:val="006649AC"/>
    <w:rsid w:val="00664D3C"/>
    <w:rsid w:val="00664E61"/>
    <w:rsid w:val="00664EB8"/>
    <w:rsid w:val="00664ED6"/>
    <w:rsid w:val="00664F18"/>
    <w:rsid w:val="00664F97"/>
    <w:rsid w:val="00664FEC"/>
    <w:rsid w:val="0066514C"/>
    <w:rsid w:val="0066515D"/>
    <w:rsid w:val="006651C0"/>
    <w:rsid w:val="006652B7"/>
    <w:rsid w:val="006653CC"/>
    <w:rsid w:val="00665571"/>
    <w:rsid w:val="00665CAF"/>
    <w:rsid w:val="00665EDB"/>
    <w:rsid w:val="00665FA2"/>
    <w:rsid w:val="00666084"/>
    <w:rsid w:val="00666103"/>
    <w:rsid w:val="006663D0"/>
    <w:rsid w:val="00666499"/>
    <w:rsid w:val="006664C7"/>
    <w:rsid w:val="00666613"/>
    <w:rsid w:val="00666682"/>
    <w:rsid w:val="0066672E"/>
    <w:rsid w:val="0066675E"/>
    <w:rsid w:val="00666802"/>
    <w:rsid w:val="00666836"/>
    <w:rsid w:val="0066685F"/>
    <w:rsid w:val="00666DD9"/>
    <w:rsid w:val="00667072"/>
    <w:rsid w:val="0066713D"/>
    <w:rsid w:val="0066727A"/>
    <w:rsid w:val="0066728C"/>
    <w:rsid w:val="006673EB"/>
    <w:rsid w:val="00667520"/>
    <w:rsid w:val="00667814"/>
    <w:rsid w:val="00667952"/>
    <w:rsid w:val="00667992"/>
    <w:rsid w:val="00667AD9"/>
    <w:rsid w:val="00667C95"/>
    <w:rsid w:val="00667ECB"/>
    <w:rsid w:val="0067002A"/>
    <w:rsid w:val="00670409"/>
    <w:rsid w:val="006704B8"/>
    <w:rsid w:val="006704E5"/>
    <w:rsid w:val="00670598"/>
    <w:rsid w:val="00670690"/>
    <w:rsid w:val="006706A2"/>
    <w:rsid w:val="00670721"/>
    <w:rsid w:val="00670724"/>
    <w:rsid w:val="0067076C"/>
    <w:rsid w:val="00670957"/>
    <w:rsid w:val="00670ABE"/>
    <w:rsid w:val="00670BC9"/>
    <w:rsid w:val="00670C1A"/>
    <w:rsid w:val="00670CA3"/>
    <w:rsid w:val="00670DC7"/>
    <w:rsid w:val="00670E51"/>
    <w:rsid w:val="00670ECC"/>
    <w:rsid w:val="00670EF4"/>
    <w:rsid w:val="00671036"/>
    <w:rsid w:val="00671326"/>
    <w:rsid w:val="006713A4"/>
    <w:rsid w:val="006715E8"/>
    <w:rsid w:val="006717C5"/>
    <w:rsid w:val="006717CA"/>
    <w:rsid w:val="00671A8F"/>
    <w:rsid w:val="00671B00"/>
    <w:rsid w:val="00671B5F"/>
    <w:rsid w:val="0067237B"/>
    <w:rsid w:val="0067252A"/>
    <w:rsid w:val="00672C00"/>
    <w:rsid w:val="00672CA1"/>
    <w:rsid w:val="00672E1D"/>
    <w:rsid w:val="00672E43"/>
    <w:rsid w:val="00672E60"/>
    <w:rsid w:val="00672EE6"/>
    <w:rsid w:val="00672F10"/>
    <w:rsid w:val="006730B0"/>
    <w:rsid w:val="00673694"/>
    <w:rsid w:val="006739F1"/>
    <w:rsid w:val="00673BCA"/>
    <w:rsid w:val="00673BEC"/>
    <w:rsid w:val="00673C41"/>
    <w:rsid w:val="00673CB2"/>
    <w:rsid w:val="00673D64"/>
    <w:rsid w:val="00674311"/>
    <w:rsid w:val="00674401"/>
    <w:rsid w:val="00674587"/>
    <w:rsid w:val="0067470B"/>
    <w:rsid w:val="00674749"/>
    <w:rsid w:val="0067484B"/>
    <w:rsid w:val="006749DE"/>
    <w:rsid w:val="00674A3A"/>
    <w:rsid w:val="00674D4E"/>
    <w:rsid w:val="00674EBC"/>
    <w:rsid w:val="00675057"/>
    <w:rsid w:val="0067539E"/>
    <w:rsid w:val="006753B9"/>
    <w:rsid w:val="0067542D"/>
    <w:rsid w:val="00675481"/>
    <w:rsid w:val="006754B7"/>
    <w:rsid w:val="006754B9"/>
    <w:rsid w:val="00675592"/>
    <w:rsid w:val="006755FE"/>
    <w:rsid w:val="00675718"/>
    <w:rsid w:val="00675959"/>
    <w:rsid w:val="00675ACD"/>
    <w:rsid w:val="00675CA4"/>
    <w:rsid w:val="00675CB7"/>
    <w:rsid w:val="00675FCB"/>
    <w:rsid w:val="00676007"/>
    <w:rsid w:val="0067640A"/>
    <w:rsid w:val="0067647C"/>
    <w:rsid w:val="00676513"/>
    <w:rsid w:val="00676814"/>
    <w:rsid w:val="006768AB"/>
    <w:rsid w:val="00676961"/>
    <w:rsid w:val="00676EB5"/>
    <w:rsid w:val="00676EC9"/>
    <w:rsid w:val="00676FAD"/>
    <w:rsid w:val="0067722F"/>
    <w:rsid w:val="0067726E"/>
    <w:rsid w:val="0067743C"/>
    <w:rsid w:val="0067757D"/>
    <w:rsid w:val="006776B3"/>
    <w:rsid w:val="00677715"/>
    <w:rsid w:val="006777C9"/>
    <w:rsid w:val="00677925"/>
    <w:rsid w:val="006802EE"/>
    <w:rsid w:val="006807AE"/>
    <w:rsid w:val="00680A54"/>
    <w:rsid w:val="00680D48"/>
    <w:rsid w:val="00680EEE"/>
    <w:rsid w:val="0068111F"/>
    <w:rsid w:val="0068134F"/>
    <w:rsid w:val="00681570"/>
    <w:rsid w:val="00681607"/>
    <w:rsid w:val="006816AF"/>
    <w:rsid w:val="006818AC"/>
    <w:rsid w:val="006818DC"/>
    <w:rsid w:val="00681B96"/>
    <w:rsid w:val="00681E9F"/>
    <w:rsid w:val="00681F31"/>
    <w:rsid w:val="00681F76"/>
    <w:rsid w:val="006820C3"/>
    <w:rsid w:val="00682114"/>
    <w:rsid w:val="00682198"/>
    <w:rsid w:val="006822C6"/>
    <w:rsid w:val="006822FD"/>
    <w:rsid w:val="00682425"/>
    <w:rsid w:val="006824D5"/>
    <w:rsid w:val="0068269D"/>
    <w:rsid w:val="006826C3"/>
    <w:rsid w:val="00682E28"/>
    <w:rsid w:val="0068302B"/>
    <w:rsid w:val="00683075"/>
    <w:rsid w:val="006830BA"/>
    <w:rsid w:val="006831B4"/>
    <w:rsid w:val="006834F1"/>
    <w:rsid w:val="00683500"/>
    <w:rsid w:val="00683971"/>
    <w:rsid w:val="006839DC"/>
    <w:rsid w:val="00683ED0"/>
    <w:rsid w:val="00684011"/>
    <w:rsid w:val="0068420D"/>
    <w:rsid w:val="00684286"/>
    <w:rsid w:val="006842E4"/>
    <w:rsid w:val="00684382"/>
    <w:rsid w:val="00684618"/>
    <w:rsid w:val="00684709"/>
    <w:rsid w:val="00684839"/>
    <w:rsid w:val="00684860"/>
    <w:rsid w:val="0068493C"/>
    <w:rsid w:val="00684C28"/>
    <w:rsid w:val="00684C62"/>
    <w:rsid w:val="00685175"/>
    <w:rsid w:val="006852ED"/>
    <w:rsid w:val="0068535C"/>
    <w:rsid w:val="006853BD"/>
    <w:rsid w:val="006854EF"/>
    <w:rsid w:val="0068556D"/>
    <w:rsid w:val="006855D0"/>
    <w:rsid w:val="006856FB"/>
    <w:rsid w:val="00685A99"/>
    <w:rsid w:val="00685B1D"/>
    <w:rsid w:val="00685B8F"/>
    <w:rsid w:val="00685D3D"/>
    <w:rsid w:val="00685F38"/>
    <w:rsid w:val="00686056"/>
    <w:rsid w:val="006860A5"/>
    <w:rsid w:val="0068611C"/>
    <w:rsid w:val="00686174"/>
    <w:rsid w:val="00686203"/>
    <w:rsid w:val="0068633E"/>
    <w:rsid w:val="00686381"/>
    <w:rsid w:val="00686A4E"/>
    <w:rsid w:val="00686CE3"/>
    <w:rsid w:val="00686D12"/>
    <w:rsid w:val="00686E3E"/>
    <w:rsid w:val="00686E59"/>
    <w:rsid w:val="00686FAD"/>
    <w:rsid w:val="00687205"/>
    <w:rsid w:val="006873D6"/>
    <w:rsid w:val="00687465"/>
    <w:rsid w:val="006875D7"/>
    <w:rsid w:val="00687862"/>
    <w:rsid w:val="00687A54"/>
    <w:rsid w:val="00687AEE"/>
    <w:rsid w:val="00687E81"/>
    <w:rsid w:val="00687F06"/>
    <w:rsid w:val="00687F20"/>
    <w:rsid w:val="00690144"/>
    <w:rsid w:val="0069038F"/>
    <w:rsid w:val="006903F5"/>
    <w:rsid w:val="00690548"/>
    <w:rsid w:val="00690816"/>
    <w:rsid w:val="00690B30"/>
    <w:rsid w:val="00690BE1"/>
    <w:rsid w:val="00690C27"/>
    <w:rsid w:val="00690CF6"/>
    <w:rsid w:val="00690D63"/>
    <w:rsid w:val="00690F84"/>
    <w:rsid w:val="00691385"/>
    <w:rsid w:val="00691459"/>
    <w:rsid w:val="00691695"/>
    <w:rsid w:val="0069186A"/>
    <w:rsid w:val="006918CB"/>
    <w:rsid w:val="00691B61"/>
    <w:rsid w:val="00691CD2"/>
    <w:rsid w:val="00691F1F"/>
    <w:rsid w:val="00691FA3"/>
    <w:rsid w:val="006920DF"/>
    <w:rsid w:val="006920EE"/>
    <w:rsid w:val="00692152"/>
    <w:rsid w:val="006924AB"/>
    <w:rsid w:val="006924DB"/>
    <w:rsid w:val="006925BF"/>
    <w:rsid w:val="00692A73"/>
    <w:rsid w:val="00692CC3"/>
    <w:rsid w:val="00692CC9"/>
    <w:rsid w:val="00692CF9"/>
    <w:rsid w:val="00692D24"/>
    <w:rsid w:val="00692D5F"/>
    <w:rsid w:val="00692E84"/>
    <w:rsid w:val="00692EA9"/>
    <w:rsid w:val="00692FA7"/>
    <w:rsid w:val="00693180"/>
    <w:rsid w:val="0069345D"/>
    <w:rsid w:val="0069353B"/>
    <w:rsid w:val="00693631"/>
    <w:rsid w:val="0069365C"/>
    <w:rsid w:val="0069367A"/>
    <w:rsid w:val="00693688"/>
    <w:rsid w:val="006936D9"/>
    <w:rsid w:val="00693906"/>
    <w:rsid w:val="00693A03"/>
    <w:rsid w:val="00693A86"/>
    <w:rsid w:val="00693E51"/>
    <w:rsid w:val="00693E8A"/>
    <w:rsid w:val="0069419E"/>
    <w:rsid w:val="006941D6"/>
    <w:rsid w:val="006942BE"/>
    <w:rsid w:val="00694429"/>
    <w:rsid w:val="0069455F"/>
    <w:rsid w:val="006949FA"/>
    <w:rsid w:val="00694D3C"/>
    <w:rsid w:val="00694F35"/>
    <w:rsid w:val="00694FAD"/>
    <w:rsid w:val="00694FB5"/>
    <w:rsid w:val="0069509E"/>
    <w:rsid w:val="00695236"/>
    <w:rsid w:val="00695334"/>
    <w:rsid w:val="00695666"/>
    <w:rsid w:val="00695710"/>
    <w:rsid w:val="006958BB"/>
    <w:rsid w:val="0069595F"/>
    <w:rsid w:val="00695BE2"/>
    <w:rsid w:val="00696023"/>
    <w:rsid w:val="006960F5"/>
    <w:rsid w:val="0069617F"/>
    <w:rsid w:val="00696576"/>
    <w:rsid w:val="00696781"/>
    <w:rsid w:val="00696943"/>
    <w:rsid w:val="00697187"/>
    <w:rsid w:val="006971AD"/>
    <w:rsid w:val="006971F7"/>
    <w:rsid w:val="00697223"/>
    <w:rsid w:val="0069744B"/>
    <w:rsid w:val="006974EA"/>
    <w:rsid w:val="00697650"/>
    <w:rsid w:val="0069785B"/>
    <w:rsid w:val="00697908"/>
    <w:rsid w:val="006979A0"/>
    <w:rsid w:val="00697AD7"/>
    <w:rsid w:val="00697BD4"/>
    <w:rsid w:val="00697CFE"/>
    <w:rsid w:val="006A045F"/>
    <w:rsid w:val="006A06E2"/>
    <w:rsid w:val="006A0AC2"/>
    <w:rsid w:val="006A0BDB"/>
    <w:rsid w:val="006A0C6A"/>
    <w:rsid w:val="006A0C9E"/>
    <w:rsid w:val="006A0F21"/>
    <w:rsid w:val="006A0FEA"/>
    <w:rsid w:val="006A107C"/>
    <w:rsid w:val="006A1134"/>
    <w:rsid w:val="006A1140"/>
    <w:rsid w:val="006A137B"/>
    <w:rsid w:val="006A13C9"/>
    <w:rsid w:val="006A148B"/>
    <w:rsid w:val="006A16DE"/>
    <w:rsid w:val="006A191B"/>
    <w:rsid w:val="006A1928"/>
    <w:rsid w:val="006A199B"/>
    <w:rsid w:val="006A225B"/>
    <w:rsid w:val="006A2321"/>
    <w:rsid w:val="006A24BE"/>
    <w:rsid w:val="006A2670"/>
    <w:rsid w:val="006A274D"/>
    <w:rsid w:val="006A2794"/>
    <w:rsid w:val="006A292F"/>
    <w:rsid w:val="006A29D6"/>
    <w:rsid w:val="006A2BEC"/>
    <w:rsid w:val="006A2E66"/>
    <w:rsid w:val="006A3000"/>
    <w:rsid w:val="006A3007"/>
    <w:rsid w:val="006A3106"/>
    <w:rsid w:val="006A33CA"/>
    <w:rsid w:val="006A33FF"/>
    <w:rsid w:val="006A35D7"/>
    <w:rsid w:val="006A3668"/>
    <w:rsid w:val="006A3AC8"/>
    <w:rsid w:val="006A3B07"/>
    <w:rsid w:val="006A3F15"/>
    <w:rsid w:val="006A405D"/>
    <w:rsid w:val="006A428E"/>
    <w:rsid w:val="006A44D9"/>
    <w:rsid w:val="006A4BE2"/>
    <w:rsid w:val="006A4C07"/>
    <w:rsid w:val="006A5266"/>
    <w:rsid w:val="006A542D"/>
    <w:rsid w:val="006A54A0"/>
    <w:rsid w:val="006A588B"/>
    <w:rsid w:val="006A58A7"/>
    <w:rsid w:val="006A58E5"/>
    <w:rsid w:val="006A591F"/>
    <w:rsid w:val="006A5DEF"/>
    <w:rsid w:val="006A5E4F"/>
    <w:rsid w:val="006A5F8C"/>
    <w:rsid w:val="006A6027"/>
    <w:rsid w:val="006A622A"/>
    <w:rsid w:val="006A6815"/>
    <w:rsid w:val="006A688B"/>
    <w:rsid w:val="006A6A60"/>
    <w:rsid w:val="006A6D91"/>
    <w:rsid w:val="006A6DC5"/>
    <w:rsid w:val="006A6FBC"/>
    <w:rsid w:val="006A7288"/>
    <w:rsid w:val="006A72BB"/>
    <w:rsid w:val="006A76A0"/>
    <w:rsid w:val="006A77BE"/>
    <w:rsid w:val="006A77C8"/>
    <w:rsid w:val="006A7B4C"/>
    <w:rsid w:val="006A7BD5"/>
    <w:rsid w:val="006B01B1"/>
    <w:rsid w:val="006B06AF"/>
    <w:rsid w:val="006B0CF5"/>
    <w:rsid w:val="006B0FC5"/>
    <w:rsid w:val="006B1088"/>
    <w:rsid w:val="006B1164"/>
    <w:rsid w:val="006B117E"/>
    <w:rsid w:val="006B1194"/>
    <w:rsid w:val="006B163D"/>
    <w:rsid w:val="006B188E"/>
    <w:rsid w:val="006B1962"/>
    <w:rsid w:val="006B1A74"/>
    <w:rsid w:val="006B1B54"/>
    <w:rsid w:val="006B1D5A"/>
    <w:rsid w:val="006B1EB7"/>
    <w:rsid w:val="006B20EE"/>
    <w:rsid w:val="006B214E"/>
    <w:rsid w:val="006B272E"/>
    <w:rsid w:val="006B27B2"/>
    <w:rsid w:val="006B2825"/>
    <w:rsid w:val="006B295C"/>
    <w:rsid w:val="006B297F"/>
    <w:rsid w:val="006B29F2"/>
    <w:rsid w:val="006B2A69"/>
    <w:rsid w:val="006B2EF5"/>
    <w:rsid w:val="006B2FE8"/>
    <w:rsid w:val="006B349C"/>
    <w:rsid w:val="006B35C2"/>
    <w:rsid w:val="006B37E6"/>
    <w:rsid w:val="006B38AA"/>
    <w:rsid w:val="006B3D96"/>
    <w:rsid w:val="006B3F6C"/>
    <w:rsid w:val="006B3FE2"/>
    <w:rsid w:val="006B4020"/>
    <w:rsid w:val="006B4025"/>
    <w:rsid w:val="006B4042"/>
    <w:rsid w:val="006B42AD"/>
    <w:rsid w:val="006B43A8"/>
    <w:rsid w:val="006B4782"/>
    <w:rsid w:val="006B47D4"/>
    <w:rsid w:val="006B47EE"/>
    <w:rsid w:val="006B486C"/>
    <w:rsid w:val="006B512F"/>
    <w:rsid w:val="006B51E0"/>
    <w:rsid w:val="006B5549"/>
    <w:rsid w:val="006B57B4"/>
    <w:rsid w:val="006B59CF"/>
    <w:rsid w:val="006B5B65"/>
    <w:rsid w:val="006B5C05"/>
    <w:rsid w:val="006B5D82"/>
    <w:rsid w:val="006B5DBF"/>
    <w:rsid w:val="006B5F9E"/>
    <w:rsid w:val="006B5FDC"/>
    <w:rsid w:val="006B643C"/>
    <w:rsid w:val="006B66E6"/>
    <w:rsid w:val="006B6C44"/>
    <w:rsid w:val="006B6CAC"/>
    <w:rsid w:val="006B6ECF"/>
    <w:rsid w:val="006B703A"/>
    <w:rsid w:val="006B7059"/>
    <w:rsid w:val="006B71F9"/>
    <w:rsid w:val="006B72BB"/>
    <w:rsid w:val="006B750C"/>
    <w:rsid w:val="006B7745"/>
    <w:rsid w:val="006B775C"/>
    <w:rsid w:val="006B7815"/>
    <w:rsid w:val="006B78F9"/>
    <w:rsid w:val="006B79A2"/>
    <w:rsid w:val="006B7A2D"/>
    <w:rsid w:val="006B7ABC"/>
    <w:rsid w:val="006B7C2D"/>
    <w:rsid w:val="006B7F05"/>
    <w:rsid w:val="006C003A"/>
    <w:rsid w:val="006C00A3"/>
    <w:rsid w:val="006C03AF"/>
    <w:rsid w:val="006C0457"/>
    <w:rsid w:val="006C04A9"/>
    <w:rsid w:val="006C097E"/>
    <w:rsid w:val="006C09BA"/>
    <w:rsid w:val="006C09F1"/>
    <w:rsid w:val="006C09F5"/>
    <w:rsid w:val="006C09FC"/>
    <w:rsid w:val="006C0A36"/>
    <w:rsid w:val="006C0AF6"/>
    <w:rsid w:val="006C0B55"/>
    <w:rsid w:val="006C0C1A"/>
    <w:rsid w:val="006C0D4E"/>
    <w:rsid w:val="006C0E01"/>
    <w:rsid w:val="006C0EDB"/>
    <w:rsid w:val="006C1186"/>
    <w:rsid w:val="006C15E7"/>
    <w:rsid w:val="006C1670"/>
    <w:rsid w:val="006C16FB"/>
    <w:rsid w:val="006C1910"/>
    <w:rsid w:val="006C19AB"/>
    <w:rsid w:val="006C1A06"/>
    <w:rsid w:val="006C1A8A"/>
    <w:rsid w:val="006C1C26"/>
    <w:rsid w:val="006C1CE0"/>
    <w:rsid w:val="006C1E14"/>
    <w:rsid w:val="006C2089"/>
    <w:rsid w:val="006C2300"/>
    <w:rsid w:val="006C2322"/>
    <w:rsid w:val="006C244B"/>
    <w:rsid w:val="006C25FF"/>
    <w:rsid w:val="006C261E"/>
    <w:rsid w:val="006C2681"/>
    <w:rsid w:val="006C270B"/>
    <w:rsid w:val="006C2A2D"/>
    <w:rsid w:val="006C31D8"/>
    <w:rsid w:val="006C325C"/>
    <w:rsid w:val="006C3555"/>
    <w:rsid w:val="006C369D"/>
    <w:rsid w:val="006C3784"/>
    <w:rsid w:val="006C37CB"/>
    <w:rsid w:val="006C3B4C"/>
    <w:rsid w:val="006C3D41"/>
    <w:rsid w:val="006C3E6E"/>
    <w:rsid w:val="006C3F17"/>
    <w:rsid w:val="006C3F75"/>
    <w:rsid w:val="006C4029"/>
    <w:rsid w:val="006C4074"/>
    <w:rsid w:val="006C4614"/>
    <w:rsid w:val="006C46A4"/>
    <w:rsid w:val="006C46D7"/>
    <w:rsid w:val="006C47A3"/>
    <w:rsid w:val="006C4BB8"/>
    <w:rsid w:val="006C4C3F"/>
    <w:rsid w:val="006C4D34"/>
    <w:rsid w:val="006C4DCA"/>
    <w:rsid w:val="006C4E14"/>
    <w:rsid w:val="006C5076"/>
    <w:rsid w:val="006C5547"/>
    <w:rsid w:val="006C55E2"/>
    <w:rsid w:val="006C5617"/>
    <w:rsid w:val="006C5645"/>
    <w:rsid w:val="006C5737"/>
    <w:rsid w:val="006C5782"/>
    <w:rsid w:val="006C5897"/>
    <w:rsid w:val="006C5B83"/>
    <w:rsid w:val="006C5D59"/>
    <w:rsid w:val="006C5E8F"/>
    <w:rsid w:val="006C60D4"/>
    <w:rsid w:val="006C62E9"/>
    <w:rsid w:val="006C646D"/>
    <w:rsid w:val="006C64E0"/>
    <w:rsid w:val="006C6543"/>
    <w:rsid w:val="006C6664"/>
    <w:rsid w:val="006C67A0"/>
    <w:rsid w:val="006C6A67"/>
    <w:rsid w:val="006C6B4E"/>
    <w:rsid w:val="006C6D7B"/>
    <w:rsid w:val="006C6EF1"/>
    <w:rsid w:val="006C70DB"/>
    <w:rsid w:val="006C7213"/>
    <w:rsid w:val="006C72FC"/>
    <w:rsid w:val="006C7368"/>
    <w:rsid w:val="006C73CD"/>
    <w:rsid w:val="006C751C"/>
    <w:rsid w:val="006C7545"/>
    <w:rsid w:val="006C76D3"/>
    <w:rsid w:val="006C789E"/>
    <w:rsid w:val="006C78CD"/>
    <w:rsid w:val="006C7999"/>
    <w:rsid w:val="006C7BAE"/>
    <w:rsid w:val="006C7D08"/>
    <w:rsid w:val="006C7E98"/>
    <w:rsid w:val="006D040F"/>
    <w:rsid w:val="006D062A"/>
    <w:rsid w:val="006D0699"/>
    <w:rsid w:val="006D079B"/>
    <w:rsid w:val="006D0873"/>
    <w:rsid w:val="006D0A73"/>
    <w:rsid w:val="006D0C3F"/>
    <w:rsid w:val="006D0CB6"/>
    <w:rsid w:val="006D0EFC"/>
    <w:rsid w:val="006D11F7"/>
    <w:rsid w:val="006D17B6"/>
    <w:rsid w:val="006D1BE9"/>
    <w:rsid w:val="006D23ED"/>
    <w:rsid w:val="006D2955"/>
    <w:rsid w:val="006D2CC6"/>
    <w:rsid w:val="006D2E43"/>
    <w:rsid w:val="006D300F"/>
    <w:rsid w:val="006D31ED"/>
    <w:rsid w:val="006D3354"/>
    <w:rsid w:val="006D3383"/>
    <w:rsid w:val="006D33BC"/>
    <w:rsid w:val="006D340E"/>
    <w:rsid w:val="006D3687"/>
    <w:rsid w:val="006D36B3"/>
    <w:rsid w:val="006D36B9"/>
    <w:rsid w:val="006D40B0"/>
    <w:rsid w:val="006D418B"/>
    <w:rsid w:val="006D4275"/>
    <w:rsid w:val="006D4364"/>
    <w:rsid w:val="006D46F7"/>
    <w:rsid w:val="006D47A3"/>
    <w:rsid w:val="006D4A61"/>
    <w:rsid w:val="006D4AD9"/>
    <w:rsid w:val="006D4BBD"/>
    <w:rsid w:val="006D4F11"/>
    <w:rsid w:val="006D4FDB"/>
    <w:rsid w:val="006D5043"/>
    <w:rsid w:val="006D5372"/>
    <w:rsid w:val="006D5519"/>
    <w:rsid w:val="006D5753"/>
    <w:rsid w:val="006D5A29"/>
    <w:rsid w:val="006D5BD4"/>
    <w:rsid w:val="006D61D8"/>
    <w:rsid w:val="006D6617"/>
    <w:rsid w:val="006D675F"/>
    <w:rsid w:val="006D69A5"/>
    <w:rsid w:val="006D6D76"/>
    <w:rsid w:val="006D6E7C"/>
    <w:rsid w:val="006D6E82"/>
    <w:rsid w:val="006D6F8E"/>
    <w:rsid w:val="006D700C"/>
    <w:rsid w:val="006D753F"/>
    <w:rsid w:val="006D783F"/>
    <w:rsid w:val="006D7A36"/>
    <w:rsid w:val="006D7B3F"/>
    <w:rsid w:val="006D7E1D"/>
    <w:rsid w:val="006D7E33"/>
    <w:rsid w:val="006D7EBF"/>
    <w:rsid w:val="006D7FA9"/>
    <w:rsid w:val="006D7FD3"/>
    <w:rsid w:val="006D7FFD"/>
    <w:rsid w:val="006E0034"/>
    <w:rsid w:val="006E00E3"/>
    <w:rsid w:val="006E025C"/>
    <w:rsid w:val="006E0335"/>
    <w:rsid w:val="006E03E3"/>
    <w:rsid w:val="006E04C8"/>
    <w:rsid w:val="006E06C0"/>
    <w:rsid w:val="006E0804"/>
    <w:rsid w:val="006E08DF"/>
    <w:rsid w:val="006E08F6"/>
    <w:rsid w:val="006E092C"/>
    <w:rsid w:val="006E093C"/>
    <w:rsid w:val="006E0A44"/>
    <w:rsid w:val="006E0D12"/>
    <w:rsid w:val="006E1027"/>
    <w:rsid w:val="006E1120"/>
    <w:rsid w:val="006E1609"/>
    <w:rsid w:val="006E167E"/>
    <w:rsid w:val="006E1884"/>
    <w:rsid w:val="006E18CA"/>
    <w:rsid w:val="006E1A85"/>
    <w:rsid w:val="006E1B27"/>
    <w:rsid w:val="006E1B58"/>
    <w:rsid w:val="006E1F95"/>
    <w:rsid w:val="006E20A6"/>
    <w:rsid w:val="006E2283"/>
    <w:rsid w:val="006E24DE"/>
    <w:rsid w:val="006E25F0"/>
    <w:rsid w:val="006E264A"/>
    <w:rsid w:val="006E26C2"/>
    <w:rsid w:val="006E28DD"/>
    <w:rsid w:val="006E2B0F"/>
    <w:rsid w:val="006E2B1E"/>
    <w:rsid w:val="006E2DE2"/>
    <w:rsid w:val="006E2F14"/>
    <w:rsid w:val="006E2F52"/>
    <w:rsid w:val="006E334D"/>
    <w:rsid w:val="006E33F6"/>
    <w:rsid w:val="006E358D"/>
    <w:rsid w:val="006E3598"/>
    <w:rsid w:val="006E35BF"/>
    <w:rsid w:val="006E376C"/>
    <w:rsid w:val="006E39DD"/>
    <w:rsid w:val="006E3B10"/>
    <w:rsid w:val="006E3D3A"/>
    <w:rsid w:val="006E3E7A"/>
    <w:rsid w:val="006E3E8A"/>
    <w:rsid w:val="006E3E96"/>
    <w:rsid w:val="006E3F3C"/>
    <w:rsid w:val="006E414A"/>
    <w:rsid w:val="006E4283"/>
    <w:rsid w:val="006E438B"/>
    <w:rsid w:val="006E43A2"/>
    <w:rsid w:val="006E4453"/>
    <w:rsid w:val="006E4454"/>
    <w:rsid w:val="006E44A3"/>
    <w:rsid w:val="006E4519"/>
    <w:rsid w:val="006E45EA"/>
    <w:rsid w:val="006E4852"/>
    <w:rsid w:val="006E4928"/>
    <w:rsid w:val="006E4D39"/>
    <w:rsid w:val="006E4D6A"/>
    <w:rsid w:val="006E4DCB"/>
    <w:rsid w:val="006E4E9D"/>
    <w:rsid w:val="006E4E9F"/>
    <w:rsid w:val="006E4EBD"/>
    <w:rsid w:val="006E511C"/>
    <w:rsid w:val="006E52DF"/>
    <w:rsid w:val="006E53ED"/>
    <w:rsid w:val="006E5427"/>
    <w:rsid w:val="006E5449"/>
    <w:rsid w:val="006E5517"/>
    <w:rsid w:val="006E551F"/>
    <w:rsid w:val="006E57C7"/>
    <w:rsid w:val="006E58E6"/>
    <w:rsid w:val="006E5DD6"/>
    <w:rsid w:val="006E5FC8"/>
    <w:rsid w:val="006E60A4"/>
    <w:rsid w:val="006E63DC"/>
    <w:rsid w:val="006E7006"/>
    <w:rsid w:val="006E71CA"/>
    <w:rsid w:val="006E734B"/>
    <w:rsid w:val="006E7897"/>
    <w:rsid w:val="006E7905"/>
    <w:rsid w:val="006E7A4C"/>
    <w:rsid w:val="006E7A7B"/>
    <w:rsid w:val="006E7B9D"/>
    <w:rsid w:val="006E7CE5"/>
    <w:rsid w:val="006E7DD9"/>
    <w:rsid w:val="006E7E78"/>
    <w:rsid w:val="006F0328"/>
    <w:rsid w:val="006F0799"/>
    <w:rsid w:val="006F07DF"/>
    <w:rsid w:val="006F08F2"/>
    <w:rsid w:val="006F0CF3"/>
    <w:rsid w:val="006F0E21"/>
    <w:rsid w:val="006F11AE"/>
    <w:rsid w:val="006F12D9"/>
    <w:rsid w:val="006F146C"/>
    <w:rsid w:val="006F14BB"/>
    <w:rsid w:val="006F14D3"/>
    <w:rsid w:val="006F1633"/>
    <w:rsid w:val="006F184C"/>
    <w:rsid w:val="006F1E5B"/>
    <w:rsid w:val="006F1FA1"/>
    <w:rsid w:val="006F21E9"/>
    <w:rsid w:val="006F2496"/>
    <w:rsid w:val="006F281F"/>
    <w:rsid w:val="006F2BDA"/>
    <w:rsid w:val="006F2C4E"/>
    <w:rsid w:val="006F2CEC"/>
    <w:rsid w:val="006F2D45"/>
    <w:rsid w:val="006F2DB8"/>
    <w:rsid w:val="006F2E08"/>
    <w:rsid w:val="006F2E79"/>
    <w:rsid w:val="006F3038"/>
    <w:rsid w:val="006F3062"/>
    <w:rsid w:val="006F30EB"/>
    <w:rsid w:val="006F3267"/>
    <w:rsid w:val="006F363D"/>
    <w:rsid w:val="006F3684"/>
    <w:rsid w:val="006F3732"/>
    <w:rsid w:val="006F3855"/>
    <w:rsid w:val="006F3DE1"/>
    <w:rsid w:val="006F3EDB"/>
    <w:rsid w:val="006F3EEB"/>
    <w:rsid w:val="006F3F3B"/>
    <w:rsid w:val="006F40E5"/>
    <w:rsid w:val="006F4251"/>
    <w:rsid w:val="006F427D"/>
    <w:rsid w:val="006F4283"/>
    <w:rsid w:val="006F4461"/>
    <w:rsid w:val="006F44D5"/>
    <w:rsid w:val="006F4523"/>
    <w:rsid w:val="006F497C"/>
    <w:rsid w:val="006F4AB7"/>
    <w:rsid w:val="006F4E17"/>
    <w:rsid w:val="006F4F38"/>
    <w:rsid w:val="006F4F63"/>
    <w:rsid w:val="006F4FA0"/>
    <w:rsid w:val="006F5032"/>
    <w:rsid w:val="006F52DC"/>
    <w:rsid w:val="006F52E8"/>
    <w:rsid w:val="006F55AE"/>
    <w:rsid w:val="006F5624"/>
    <w:rsid w:val="006F571B"/>
    <w:rsid w:val="006F58E1"/>
    <w:rsid w:val="006F59E5"/>
    <w:rsid w:val="006F5A1C"/>
    <w:rsid w:val="006F5B29"/>
    <w:rsid w:val="006F5EA1"/>
    <w:rsid w:val="006F5F4E"/>
    <w:rsid w:val="006F5F9B"/>
    <w:rsid w:val="006F6477"/>
    <w:rsid w:val="006F649E"/>
    <w:rsid w:val="006F664D"/>
    <w:rsid w:val="006F67E6"/>
    <w:rsid w:val="006F6878"/>
    <w:rsid w:val="006F6D23"/>
    <w:rsid w:val="006F6DB2"/>
    <w:rsid w:val="006F71E7"/>
    <w:rsid w:val="006F75B1"/>
    <w:rsid w:val="006F766A"/>
    <w:rsid w:val="006F76AA"/>
    <w:rsid w:val="006F77D1"/>
    <w:rsid w:val="006F79F8"/>
    <w:rsid w:val="006F7B56"/>
    <w:rsid w:val="006F7B95"/>
    <w:rsid w:val="006F7C2E"/>
    <w:rsid w:val="006F7CE1"/>
    <w:rsid w:val="006F7F2D"/>
    <w:rsid w:val="006F7F39"/>
    <w:rsid w:val="007000CD"/>
    <w:rsid w:val="007000F6"/>
    <w:rsid w:val="007001A9"/>
    <w:rsid w:val="007001B3"/>
    <w:rsid w:val="0070025A"/>
    <w:rsid w:val="007005E9"/>
    <w:rsid w:val="007006D5"/>
    <w:rsid w:val="00700759"/>
    <w:rsid w:val="0070081E"/>
    <w:rsid w:val="0070084B"/>
    <w:rsid w:val="007008C0"/>
    <w:rsid w:val="00700BD1"/>
    <w:rsid w:val="00700DF2"/>
    <w:rsid w:val="007012B6"/>
    <w:rsid w:val="00701329"/>
    <w:rsid w:val="007013F7"/>
    <w:rsid w:val="00701469"/>
    <w:rsid w:val="00701591"/>
    <w:rsid w:val="007015B1"/>
    <w:rsid w:val="00701606"/>
    <w:rsid w:val="007017D4"/>
    <w:rsid w:val="00701809"/>
    <w:rsid w:val="00701AEC"/>
    <w:rsid w:val="00701BAD"/>
    <w:rsid w:val="00701F7F"/>
    <w:rsid w:val="0070216F"/>
    <w:rsid w:val="00702513"/>
    <w:rsid w:val="00702821"/>
    <w:rsid w:val="0070286F"/>
    <w:rsid w:val="007028DB"/>
    <w:rsid w:val="00702DC4"/>
    <w:rsid w:val="00702E7C"/>
    <w:rsid w:val="00703005"/>
    <w:rsid w:val="00703128"/>
    <w:rsid w:val="007032C5"/>
    <w:rsid w:val="0070374C"/>
    <w:rsid w:val="0070385C"/>
    <w:rsid w:val="007038AE"/>
    <w:rsid w:val="007038B1"/>
    <w:rsid w:val="007038B9"/>
    <w:rsid w:val="00703919"/>
    <w:rsid w:val="0070398C"/>
    <w:rsid w:val="00703B8D"/>
    <w:rsid w:val="00703C31"/>
    <w:rsid w:val="00703D9A"/>
    <w:rsid w:val="00703D9F"/>
    <w:rsid w:val="00703E64"/>
    <w:rsid w:val="00704061"/>
    <w:rsid w:val="00704214"/>
    <w:rsid w:val="0070431E"/>
    <w:rsid w:val="00704336"/>
    <w:rsid w:val="0070433C"/>
    <w:rsid w:val="007043F9"/>
    <w:rsid w:val="00704428"/>
    <w:rsid w:val="007047F3"/>
    <w:rsid w:val="00704990"/>
    <w:rsid w:val="00704B1C"/>
    <w:rsid w:val="00704C28"/>
    <w:rsid w:val="00704CCA"/>
    <w:rsid w:val="00705078"/>
    <w:rsid w:val="007053D7"/>
    <w:rsid w:val="00705569"/>
    <w:rsid w:val="0070580B"/>
    <w:rsid w:val="0070595B"/>
    <w:rsid w:val="00705BA6"/>
    <w:rsid w:val="00705C1F"/>
    <w:rsid w:val="00705C51"/>
    <w:rsid w:val="00705D4D"/>
    <w:rsid w:val="00705DA5"/>
    <w:rsid w:val="0070607C"/>
    <w:rsid w:val="00706181"/>
    <w:rsid w:val="0070621F"/>
    <w:rsid w:val="007062CB"/>
    <w:rsid w:val="0070643A"/>
    <w:rsid w:val="007064EC"/>
    <w:rsid w:val="00706525"/>
    <w:rsid w:val="0070698C"/>
    <w:rsid w:val="00706BE3"/>
    <w:rsid w:val="00706C5E"/>
    <w:rsid w:val="00706DE9"/>
    <w:rsid w:val="00706E56"/>
    <w:rsid w:val="00706EA3"/>
    <w:rsid w:val="00706EF0"/>
    <w:rsid w:val="0070703B"/>
    <w:rsid w:val="007070FE"/>
    <w:rsid w:val="0070738A"/>
    <w:rsid w:val="00707509"/>
    <w:rsid w:val="007079CF"/>
    <w:rsid w:val="00707B65"/>
    <w:rsid w:val="00710075"/>
    <w:rsid w:val="00710168"/>
    <w:rsid w:val="007101A6"/>
    <w:rsid w:val="007101EF"/>
    <w:rsid w:val="0071028C"/>
    <w:rsid w:val="0071058E"/>
    <w:rsid w:val="007105C0"/>
    <w:rsid w:val="007105D4"/>
    <w:rsid w:val="00710605"/>
    <w:rsid w:val="00710667"/>
    <w:rsid w:val="007107F8"/>
    <w:rsid w:val="0071084E"/>
    <w:rsid w:val="00710D40"/>
    <w:rsid w:val="00711049"/>
    <w:rsid w:val="0071116F"/>
    <w:rsid w:val="007111E7"/>
    <w:rsid w:val="00711318"/>
    <w:rsid w:val="007113DE"/>
    <w:rsid w:val="007113E8"/>
    <w:rsid w:val="00711817"/>
    <w:rsid w:val="00711897"/>
    <w:rsid w:val="00711999"/>
    <w:rsid w:val="00711A4C"/>
    <w:rsid w:val="00711AE9"/>
    <w:rsid w:val="00711B5C"/>
    <w:rsid w:val="00711B6E"/>
    <w:rsid w:val="00711BBD"/>
    <w:rsid w:val="00712280"/>
    <w:rsid w:val="0071234F"/>
    <w:rsid w:val="0071255F"/>
    <w:rsid w:val="007126E5"/>
    <w:rsid w:val="00712733"/>
    <w:rsid w:val="007129D9"/>
    <w:rsid w:val="00712ADF"/>
    <w:rsid w:val="00713225"/>
    <w:rsid w:val="00713492"/>
    <w:rsid w:val="00713519"/>
    <w:rsid w:val="00713693"/>
    <w:rsid w:val="00713B99"/>
    <w:rsid w:val="007141C9"/>
    <w:rsid w:val="00714219"/>
    <w:rsid w:val="00714257"/>
    <w:rsid w:val="007142EF"/>
    <w:rsid w:val="007146C8"/>
    <w:rsid w:val="007148CC"/>
    <w:rsid w:val="007149BE"/>
    <w:rsid w:val="007149D8"/>
    <w:rsid w:val="007149EE"/>
    <w:rsid w:val="00714CF4"/>
    <w:rsid w:val="00714D17"/>
    <w:rsid w:val="0071501C"/>
    <w:rsid w:val="007150A0"/>
    <w:rsid w:val="007151F2"/>
    <w:rsid w:val="00715201"/>
    <w:rsid w:val="00715427"/>
    <w:rsid w:val="0071587A"/>
    <w:rsid w:val="007159CF"/>
    <w:rsid w:val="00715BE1"/>
    <w:rsid w:val="00715E48"/>
    <w:rsid w:val="00715F41"/>
    <w:rsid w:val="007160A9"/>
    <w:rsid w:val="00716129"/>
    <w:rsid w:val="007163AA"/>
    <w:rsid w:val="0071643D"/>
    <w:rsid w:val="00716B0D"/>
    <w:rsid w:val="00716B1A"/>
    <w:rsid w:val="00716C88"/>
    <w:rsid w:val="00716D05"/>
    <w:rsid w:val="00716DA3"/>
    <w:rsid w:val="00716DB9"/>
    <w:rsid w:val="00716E5D"/>
    <w:rsid w:val="00717198"/>
    <w:rsid w:val="0071723B"/>
    <w:rsid w:val="007175F4"/>
    <w:rsid w:val="0071776C"/>
    <w:rsid w:val="00717F30"/>
    <w:rsid w:val="00720003"/>
    <w:rsid w:val="0072009A"/>
    <w:rsid w:val="00720112"/>
    <w:rsid w:val="007201BD"/>
    <w:rsid w:val="007201EE"/>
    <w:rsid w:val="007202AD"/>
    <w:rsid w:val="007202E3"/>
    <w:rsid w:val="0072044B"/>
    <w:rsid w:val="00720565"/>
    <w:rsid w:val="0072065F"/>
    <w:rsid w:val="007208A1"/>
    <w:rsid w:val="0072091F"/>
    <w:rsid w:val="00720E54"/>
    <w:rsid w:val="00721307"/>
    <w:rsid w:val="007214DE"/>
    <w:rsid w:val="007215E9"/>
    <w:rsid w:val="00721846"/>
    <w:rsid w:val="0072197A"/>
    <w:rsid w:val="00721B0B"/>
    <w:rsid w:val="00721BBA"/>
    <w:rsid w:val="00721BE3"/>
    <w:rsid w:val="00721D31"/>
    <w:rsid w:val="00721E7B"/>
    <w:rsid w:val="0072202A"/>
    <w:rsid w:val="00722055"/>
    <w:rsid w:val="00722393"/>
    <w:rsid w:val="00722600"/>
    <w:rsid w:val="0072287A"/>
    <w:rsid w:val="007229C4"/>
    <w:rsid w:val="00722A76"/>
    <w:rsid w:val="00722ADB"/>
    <w:rsid w:val="00722B64"/>
    <w:rsid w:val="00722C2C"/>
    <w:rsid w:val="00722C7B"/>
    <w:rsid w:val="00722D10"/>
    <w:rsid w:val="00722D39"/>
    <w:rsid w:val="00722D73"/>
    <w:rsid w:val="00722D87"/>
    <w:rsid w:val="00722E3A"/>
    <w:rsid w:val="00722ECB"/>
    <w:rsid w:val="00723297"/>
    <w:rsid w:val="007234A6"/>
    <w:rsid w:val="00723620"/>
    <w:rsid w:val="0072394E"/>
    <w:rsid w:val="00723A0A"/>
    <w:rsid w:val="00723A11"/>
    <w:rsid w:val="00723B0F"/>
    <w:rsid w:val="00723D59"/>
    <w:rsid w:val="00723EB7"/>
    <w:rsid w:val="00723F24"/>
    <w:rsid w:val="00723FEC"/>
    <w:rsid w:val="0072406C"/>
    <w:rsid w:val="007241C0"/>
    <w:rsid w:val="00724309"/>
    <w:rsid w:val="00724421"/>
    <w:rsid w:val="007244E2"/>
    <w:rsid w:val="0072474F"/>
    <w:rsid w:val="00724866"/>
    <w:rsid w:val="00724926"/>
    <w:rsid w:val="00724CB3"/>
    <w:rsid w:val="00724CBB"/>
    <w:rsid w:val="00724D2F"/>
    <w:rsid w:val="00724F47"/>
    <w:rsid w:val="00724F8E"/>
    <w:rsid w:val="0072527B"/>
    <w:rsid w:val="0072533E"/>
    <w:rsid w:val="007254DB"/>
    <w:rsid w:val="0072569B"/>
    <w:rsid w:val="007256AC"/>
    <w:rsid w:val="007256CB"/>
    <w:rsid w:val="00725809"/>
    <w:rsid w:val="007258A6"/>
    <w:rsid w:val="007258C0"/>
    <w:rsid w:val="007258C8"/>
    <w:rsid w:val="0072596E"/>
    <w:rsid w:val="00725A1F"/>
    <w:rsid w:val="00725ED9"/>
    <w:rsid w:val="007262C8"/>
    <w:rsid w:val="007263C4"/>
    <w:rsid w:val="007266AA"/>
    <w:rsid w:val="007267E2"/>
    <w:rsid w:val="00726B6A"/>
    <w:rsid w:val="00726B8D"/>
    <w:rsid w:val="00726CF0"/>
    <w:rsid w:val="00726D14"/>
    <w:rsid w:val="00726E8E"/>
    <w:rsid w:val="00727092"/>
    <w:rsid w:val="0072717B"/>
    <w:rsid w:val="007271E5"/>
    <w:rsid w:val="00727421"/>
    <w:rsid w:val="007274D8"/>
    <w:rsid w:val="007274DA"/>
    <w:rsid w:val="00727656"/>
    <w:rsid w:val="0072768E"/>
    <w:rsid w:val="007276DB"/>
    <w:rsid w:val="00727895"/>
    <w:rsid w:val="00727AA5"/>
    <w:rsid w:val="00727C30"/>
    <w:rsid w:val="00727C72"/>
    <w:rsid w:val="00727F3A"/>
    <w:rsid w:val="00727F3C"/>
    <w:rsid w:val="007301CE"/>
    <w:rsid w:val="00730442"/>
    <w:rsid w:val="00730580"/>
    <w:rsid w:val="0073092E"/>
    <w:rsid w:val="007309EA"/>
    <w:rsid w:val="00730A7D"/>
    <w:rsid w:val="00730ACF"/>
    <w:rsid w:val="00730B5B"/>
    <w:rsid w:val="00730E4D"/>
    <w:rsid w:val="00731247"/>
    <w:rsid w:val="0073125C"/>
    <w:rsid w:val="0073127B"/>
    <w:rsid w:val="00731480"/>
    <w:rsid w:val="00731641"/>
    <w:rsid w:val="00731886"/>
    <w:rsid w:val="00731C74"/>
    <w:rsid w:val="00731CD2"/>
    <w:rsid w:val="00731E03"/>
    <w:rsid w:val="00731E1C"/>
    <w:rsid w:val="00731E78"/>
    <w:rsid w:val="00732023"/>
    <w:rsid w:val="00732123"/>
    <w:rsid w:val="007321A8"/>
    <w:rsid w:val="007323E4"/>
    <w:rsid w:val="00732464"/>
    <w:rsid w:val="0073263D"/>
    <w:rsid w:val="00732653"/>
    <w:rsid w:val="0073289E"/>
    <w:rsid w:val="00732963"/>
    <w:rsid w:val="007329AE"/>
    <w:rsid w:val="00732B31"/>
    <w:rsid w:val="00732C69"/>
    <w:rsid w:val="00732CCB"/>
    <w:rsid w:val="00732CE0"/>
    <w:rsid w:val="0073325F"/>
    <w:rsid w:val="007333C7"/>
    <w:rsid w:val="00733565"/>
    <w:rsid w:val="00733568"/>
    <w:rsid w:val="007337AE"/>
    <w:rsid w:val="007337BB"/>
    <w:rsid w:val="00733907"/>
    <w:rsid w:val="00733AF4"/>
    <w:rsid w:val="00733C14"/>
    <w:rsid w:val="00733E30"/>
    <w:rsid w:val="00733E3C"/>
    <w:rsid w:val="00733EB0"/>
    <w:rsid w:val="00733EE9"/>
    <w:rsid w:val="00733F31"/>
    <w:rsid w:val="0073404D"/>
    <w:rsid w:val="00734088"/>
    <w:rsid w:val="007340BD"/>
    <w:rsid w:val="007343A1"/>
    <w:rsid w:val="00734496"/>
    <w:rsid w:val="007344DE"/>
    <w:rsid w:val="00734708"/>
    <w:rsid w:val="00734986"/>
    <w:rsid w:val="00734A02"/>
    <w:rsid w:val="00734A75"/>
    <w:rsid w:val="00734AF9"/>
    <w:rsid w:val="00734EA0"/>
    <w:rsid w:val="00734F53"/>
    <w:rsid w:val="007350C5"/>
    <w:rsid w:val="00735376"/>
    <w:rsid w:val="0073575E"/>
    <w:rsid w:val="00735A19"/>
    <w:rsid w:val="00735B7B"/>
    <w:rsid w:val="00735C3F"/>
    <w:rsid w:val="00735E07"/>
    <w:rsid w:val="00735FE7"/>
    <w:rsid w:val="007360D3"/>
    <w:rsid w:val="00736324"/>
    <w:rsid w:val="0073632F"/>
    <w:rsid w:val="0073635D"/>
    <w:rsid w:val="007364E2"/>
    <w:rsid w:val="007367D7"/>
    <w:rsid w:val="00736935"/>
    <w:rsid w:val="00736A2E"/>
    <w:rsid w:val="00736CAB"/>
    <w:rsid w:val="00736CCE"/>
    <w:rsid w:val="00736E5C"/>
    <w:rsid w:val="00736EEF"/>
    <w:rsid w:val="007370F9"/>
    <w:rsid w:val="00737436"/>
    <w:rsid w:val="0073779E"/>
    <w:rsid w:val="00737862"/>
    <w:rsid w:val="007378CE"/>
    <w:rsid w:val="007379E5"/>
    <w:rsid w:val="00737B62"/>
    <w:rsid w:val="00737BB1"/>
    <w:rsid w:val="00737C20"/>
    <w:rsid w:val="00737C85"/>
    <w:rsid w:val="00737CB9"/>
    <w:rsid w:val="00737D92"/>
    <w:rsid w:val="007402CA"/>
    <w:rsid w:val="00740618"/>
    <w:rsid w:val="00740A15"/>
    <w:rsid w:val="00740A36"/>
    <w:rsid w:val="00740A7B"/>
    <w:rsid w:val="00740ADB"/>
    <w:rsid w:val="00740AE3"/>
    <w:rsid w:val="00740B6B"/>
    <w:rsid w:val="00740C01"/>
    <w:rsid w:val="00740ED1"/>
    <w:rsid w:val="00740F47"/>
    <w:rsid w:val="00740FAD"/>
    <w:rsid w:val="00741037"/>
    <w:rsid w:val="007415E6"/>
    <w:rsid w:val="0074160B"/>
    <w:rsid w:val="00741961"/>
    <w:rsid w:val="007419D5"/>
    <w:rsid w:val="00741AC8"/>
    <w:rsid w:val="0074202F"/>
    <w:rsid w:val="0074211A"/>
    <w:rsid w:val="0074234D"/>
    <w:rsid w:val="007423CF"/>
    <w:rsid w:val="007424CB"/>
    <w:rsid w:val="0074262E"/>
    <w:rsid w:val="00742720"/>
    <w:rsid w:val="00742779"/>
    <w:rsid w:val="0074284D"/>
    <w:rsid w:val="007428CD"/>
    <w:rsid w:val="00742A98"/>
    <w:rsid w:val="00742D16"/>
    <w:rsid w:val="00742DAA"/>
    <w:rsid w:val="0074301E"/>
    <w:rsid w:val="00743216"/>
    <w:rsid w:val="00743219"/>
    <w:rsid w:val="007432A8"/>
    <w:rsid w:val="007432E5"/>
    <w:rsid w:val="00743534"/>
    <w:rsid w:val="00743858"/>
    <w:rsid w:val="00743C81"/>
    <w:rsid w:val="00743C88"/>
    <w:rsid w:val="00743EB7"/>
    <w:rsid w:val="00743F85"/>
    <w:rsid w:val="00744254"/>
    <w:rsid w:val="007442C6"/>
    <w:rsid w:val="007442CC"/>
    <w:rsid w:val="00744363"/>
    <w:rsid w:val="0074466E"/>
    <w:rsid w:val="0074496C"/>
    <w:rsid w:val="00744DFB"/>
    <w:rsid w:val="00744E8B"/>
    <w:rsid w:val="00744F65"/>
    <w:rsid w:val="00744FF9"/>
    <w:rsid w:val="00745105"/>
    <w:rsid w:val="007451F3"/>
    <w:rsid w:val="00745218"/>
    <w:rsid w:val="00745307"/>
    <w:rsid w:val="00745557"/>
    <w:rsid w:val="00745585"/>
    <w:rsid w:val="0074584A"/>
    <w:rsid w:val="00745BAB"/>
    <w:rsid w:val="00745D0C"/>
    <w:rsid w:val="00745D8C"/>
    <w:rsid w:val="00745DAA"/>
    <w:rsid w:val="00745EAB"/>
    <w:rsid w:val="00745FB1"/>
    <w:rsid w:val="0074624B"/>
    <w:rsid w:val="00746401"/>
    <w:rsid w:val="00746445"/>
    <w:rsid w:val="007465BA"/>
    <w:rsid w:val="00746752"/>
    <w:rsid w:val="007468B1"/>
    <w:rsid w:val="00746D28"/>
    <w:rsid w:val="00746DEC"/>
    <w:rsid w:val="00746EA8"/>
    <w:rsid w:val="0074709D"/>
    <w:rsid w:val="00747217"/>
    <w:rsid w:val="007472CB"/>
    <w:rsid w:val="007474B9"/>
    <w:rsid w:val="00747825"/>
    <w:rsid w:val="00747B1C"/>
    <w:rsid w:val="00747E05"/>
    <w:rsid w:val="00747F25"/>
    <w:rsid w:val="0075008A"/>
    <w:rsid w:val="00750106"/>
    <w:rsid w:val="0075011F"/>
    <w:rsid w:val="00750276"/>
    <w:rsid w:val="00750389"/>
    <w:rsid w:val="007504A4"/>
    <w:rsid w:val="007505CF"/>
    <w:rsid w:val="007507CB"/>
    <w:rsid w:val="00750875"/>
    <w:rsid w:val="00750D06"/>
    <w:rsid w:val="00750D46"/>
    <w:rsid w:val="00750ED1"/>
    <w:rsid w:val="00750EE8"/>
    <w:rsid w:val="007510B2"/>
    <w:rsid w:val="0075175C"/>
    <w:rsid w:val="00751997"/>
    <w:rsid w:val="00751BE8"/>
    <w:rsid w:val="00751C43"/>
    <w:rsid w:val="00751FEC"/>
    <w:rsid w:val="0075244C"/>
    <w:rsid w:val="00752518"/>
    <w:rsid w:val="007525C9"/>
    <w:rsid w:val="007527C0"/>
    <w:rsid w:val="007527FE"/>
    <w:rsid w:val="007529E7"/>
    <w:rsid w:val="00752A09"/>
    <w:rsid w:val="00752A98"/>
    <w:rsid w:val="00752BDB"/>
    <w:rsid w:val="00752C2F"/>
    <w:rsid w:val="00752C33"/>
    <w:rsid w:val="00752ED3"/>
    <w:rsid w:val="007530C3"/>
    <w:rsid w:val="00753245"/>
    <w:rsid w:val="0075338B"/>
    <w:rsid w:val="00753521"/>
    <w:rsid w:val="0075356C"/>
    <w:rsid w:val="0075359B"/>
    <w:rsid w:val="007536FA"/>
    <w:rsid w:val="007537EC"/>
    <w:rsid w:val="00754004"/>
    <w:rsid w:val="0075405D"/>
    <w:rsid w:val="007540D8"/>
    <w:rsid w:val="00754369"/>
    <w:rsid w:val="0075439C"/>
    <w:rsid w:val="00754454"/>
    <w:rsid w:val="007544B6"/>
    <w:rsid w:val="00754866"/>
    <w:rsid w:val="00754928"/>
    <w:rsid w:val="00754940"/>
    <w:rsid w:val="00754B66"/>
    <w:rsid w:val="00754D54"/>
    <w:rsid w:val="00754E5E"/>
    <w:rsid w:val="0075500A"/>
    <w:rsid w:val="00755144"/>
    <w:rsid w:val="0075514B"/>
    <w:rsid w:val="007551BD"/>
    <w:rsid w:val="007555EA"/>
    <w:rsid w:val="007555F9"/>
    <w:rsid w:val="00755635"/>
    <w:rsid w:val="007557B7"/>
    <w:rsid w:val="007557F8"/>
    <w:rsid w:val="00755885"/>
    <w:rsid w:val="00755888"/>
    <w:rsid w:val="0075597A"/>
    <w:rsid w:val="00755B0E"/>
    <w:rsid w:val="00755B35"/>
    <w:rsid w:val="00755CDA"/>
    <w:rsid w:val="00755D37"/>
    <w:rsid w:val="00755FB1"/>
    <w:rsid w:val="00756017"/>
    <w:rsid w:val="00756030"/>
    <w:rsid w:val="00756037"/>
    <w:rsid w:val="00756040"/>
    <w:rsid w:val="007568B8"/>
    <w:rsid w:val="00756BCD"/>
    <w:rsid w:val="00756EB0"/>
    <w:rsid w:val="00756FA1"/>
    <w:rsid w:val="007570B7"/>
    <w:rsid w:val="007570F6"/>
    <w:rsid w:val="00757119"/>
    <w:rsid w:val="00757481"/>
    <w:rsid w:val="00757544"/>
    <w:rsid w:val="00757B9E"/>
    <w:rsid w:val="00757BC0"/>
    <w:rsid w:val="00757DB7"/>
    <w:rsid w:val="007601AE"/>
    <w:rsid w:val="007601FD"/>
    <w:rsid w:val="007603EA"/>
    <w:rsid w:val="007604B7"/>
    <w:rsid w:val="0076050B"/>
    <w:rsid w:val="00760548"/>
    <w:rsid w:val="00760692"/>
    <w:rsid w:val="007606B3"/>
    <w:rsid w:val="00760727"/>
    <w:rsid w:val="0076079E"/>
    <w:rsid w:val="007609BC"/>
    <w:rsid w:val="00760A42"/>
    <w:rsid w:val="00760D72"/>
    <w:rsid w:val="00760D9B"/>
    <w:rsid w:val="00760E1F"/>
    <w:rsid w:val="00760FB0"/>
    <w:rsid w:val="0076127B"/>
    <w:rsid w:val="00761396"/>
    <w:rsid w:val="0076149C"/>
    <w:rsid w:val="00761662"/>
    <w:rsid w:val="007616BE"/>
    <w:rsid w:val="00761878"/>
    <w:rsid w:val="00761ABF"/>
    <w:rsid w:val="00761BD7"/>
    <w:rsid w:val="00761E8D"/>
    <w:rsid w:val="00761EFA"/>
    <w:rsid w:val="00761F43"/>
    <w:rsid w:val="00761F66"/>
    <w:rsid w:val="0076225A"/>
    <w:rsid w:val="007623FE"/>
    <w:rsid w:val="007624AB"/>
    <w:rsid w:val="007625BA"/>
    <w:rsid w:val="00762608"/>
    <w:rsid w:val="007626C2"/>
    <w:rsid w:val="007629A3"/>
    <w:rsid w:val="00762B16"/>
    <w:rsid w:val="00762B87"/>
    <w:rsid w:val="00762B91"/>
    <w:rsid w:val="00762BBA"/>
    <w:rsid w:val="00762C40"/>
    <w:rsid w:val="00762EA6"/>
    <w:rsid w:val="00763039"/>
    <w:rsid w:val="0076311E"/>
    <w:rsid w:val="00763161"/>
    <w:rsid w:val="00763335"/>
    <w:rsid w:val="007633AE"/>
    <w:rsid w:val="007633D1"/>
    <w:rsid w:val="007633E4"/>
    <w:rsid w:val="00763430"/>
    <w:rsid w:val="007639AE"/>
    <w:rsid w:val="00763CDA"/>
    <w:rsid w:val="00763F54"/>
    <w:rsid w:val="0076419F"/>
    <w:rsid w:val="00764354"/>
    <w:rsid w:val="0076445F"/>
    <w:rsid w:val="007646E1"/>
    <w:rsid w:val="00764AA6"/>
    <w:rsid w:val="00764CE5"/>
    <w:rsid w:val="00764DD6"/>
    <w:rsid w:val="00764E17"/>
    <w:rsid w:val="00764F74"/>
    <w:rsid w:val="007650B9"/>
    <w:rsid w:val="007650C2"/>
    <w:rsid w:val="007654CB"/>
    <w:rsid w:val="0076552B"/>
    <w:rsid w:val="007655C9"/>
    <w:rsid w:val="00765735"/>
    <w:rsid w:val="0076579F"/>
    <w:rsid w:val="0076584B"/>
    <w:rsid w:val="00765A07"/>
    <w:rsid w:val="00765A0A"/>
    <w:rsid w:val="00765EBC"/>
    <w:rsid w:val="00765FE5"/>
    <w:rsid w:val="007662FC"/>
    <w:rsid w:val="00766333"/>
    <w:rsid w:val="00766516"/>
    <w:rsid w:val="00766650"/>
    <w:rsid w:val="0076665A"/>
    <w:rsid w:val="0076671D"/>
    <w:rsid w:val="00766BFC"/>
    <w:rsid w:val="007672B7"/>
    <w:rsid w:val="00767304"/>
    <w:rsid w:val="0076735B"/>
    <w:rsid w:val="00767519"/>
    <w:rsid w:val="0076786F"/>
    <w:rsid w:val="007678C7"/>
    <w:rsid w:val="007679A0"/>
    <w:rsid w:val="00767B2D"/>
    <w:rsid w:val="00767C96"/>
    <w:rsid w:val="00767D4C"/>
    <w:rsid w:val="0077020B"/>
    <w:rsid w:val="007702F0"/>
    <w:rsid w:val="00770360"/>
    <w:rsid w:val="00770404"/>
    <w:rsid w:val="00770436"/>
    <w:rsid w:val="00770452"/>
    <w:rsid w:val="0077064B"/>
    <w:rsid w:val="0077065D"/>
    <w:rsid w:val="007706BB"/>
    <w:rsid w:val="007706CC"/>
    <w:rsid w:val="0077085A"/>
    <w:rsid w:val="00770B31"/>
    <w:rsid w:val="00770B8D"/>
    <w:rsid w:val="00770D08"/>
    <w:rsid w:val="00770D4B"/>
    <w:rsid w:val="00770D76"/>
    <w:rsid w:val="00770E66"/>
    <w:rsid w:val="00770E93"/>
    <w:rsid w:val="00770ED9"/>
    <w:rsid w:val="007710C1"/>
    <w:rsid w:val="00771266"/>
    <w:rsid w:val="00771308"/>
    <w:rsid w:val="007713D9"/>
    <w:rsid w:val="007714AE"/>
    <w:rsid w:val="00771574"/>
    <w:rsid w:val="007716BB"/>
    <w:rsid w:val="0077171E"/>
    <w:rsid w:val="007719E9"/>
    <w:rsid w:val="00771A70"/>
    <w:rsid w:val="00771B38"/>
    <w:rsid w:val="00771B68"/>
    <w:rsid w:val="00771C78"/>
    <w:rsid w:val="00771E6F"/>
    <w:rsid w:val="00771E73"/>
    <w:rsid w:val="00771ED1"/>
    <w:rsid w:val="0077216F"/>
    <w:rsid w:val="007721B8"/>
    <w:rsid w:val="007724F2"/>
    <w:rsid w:val="00772522"/>
    <w:rsid w:val="0077274C"/>
    <w:rsid w:val="007728DD"/>
    <w:rsid w:val="007729B1"/>
    <w:rsid w:val="00772A64"/>
    <w:rsid w:val="00772AB8"/>
    <w:rsid w:val="00772B75"/>
    <w:rsid w:val="007732A7"/>
    <w:rsid w:val="007733A3"/>
    <w:rsid w:val="007733E9"/>
    <w:rsid w:val="0077366D"/>
    <w:rsid w:val="00773916"/>
    <w:rsid w:val="00773A74"/>
    <w:rsid w:val="00773AA6"/>
    <w:rsid w:val="00773C1B"/>
    <w:rsid w:val="00773CAD"/>
    <w:rsid w:val="00773F22"/>
    <w:rsid w:val="0077406D"/>
    <w:rsid w:val="00774135"/>
    <w:rsid w:val="007744E1"/>
    <w:rsid w:val="00774832"/>
    <w:rsid w:val="00774910"/>
    <w:rsid w:val="00774B16"/>
    <w:rsid w:val="00774D1C"/>
    <w:rsid w:val="00774FE7"/>
    <w:rsid w:val="00775196"/>
    <w:rsid w:val="0077535B"/>
    <w:rsid w:val="007754D4"/>
    <w:rsid w:val="00775739"/>
    <w:rsid w:val="00775898"/>
    <w:rsid w:val="00775B65"/>
    <w:rsid w:val="00775CCE"/>
    <w:rsid w:val="00775E04"/>
    <w:rsid w:val="007761CA"/>
    <w:rsid w:val="007762F1"/>
    <w:rsid w:val="007764B2"/>
    <w:rsid w:val="00776A10"/>
    <w:rsid w:val="00776AB3"/>
    <w:rsid w:val="00776F50"/>
    <w:rsid w:val="00776FE0"/>
    <w:rsid w:val="00776FEE"/>
    <w:rsid w:val="0077724C"/>
    <w:rsid w:val="0077733B"/>
    <w:rsid w:val="0077744D"/>
    <w:rsid w:val="0077746C"/>
    <w:rsid w:val="00777797"/>
    <w:rsid w:val="007777F4"/>
    <w:rsid w:val="0077795C"/>
    <w:rsid w:val="007779B8"/>
    <w:rsid w:val="00777C7C"/>
    <w:rsid w:val="00777C83"/>
    <w:rsid w:val="00777DBA"/>
    <w:rsid w:val="00777F59"/>
    <w:rsid w:val="00780386"/>
    <w:rsid w:val="0078068A"/>
    <w:rsid w:val="00780932"/>
    <w:rsid w:val="00780BE0"/>
    <w:rsid w:val="00780EBF"/>
    <w:rsid w:val="00780F19"/>
    <w:rsid w:val="00780FDF"/>
    <w:rsid w:val="0078111F"/>
    <w:rsid w:val="0078117A"/>
    <w:rsid w:val="00781241"/>
    <w:rsid w:val="007812FC"/>
    <w:rsid w:val="007815CF"/>
    <w:rsid w:val="00781610"/>
    <w:rsid w:val="00781830"/>
    <w:rsid w:val="00781AE8"/>
    <w:rsid w:val="00781D25"/>
    <w:rsid w:val="00782071"/>
    <w:rsid w:val="0078231D"/>
    <w:rsid w:val="00782528"/>
    <w:rsid w:val="007826FA"/>
    <w:rsid w:val="0078278D"/>
    <w:rsid w:val="007829B0"/>
    <w:rsid w:val="007829B9"/>
    <w:rsid w:val="007829C6"/>
    <w:rsid w:val="00782A22"/>
    <w:rsid w:val="00782C10"/>
    <w:rsid w:val="00782D58"/>
    <w:rsid w:val="007834B7"/>
    <w:rsid w:val="007834E1"/>
    <w:rsid w:val="007836CF"/>
    <w:rsid w:val="007837EB"/>
    <w:rsid w:val="007838C8"/>
    <w:rsid w:val="00783986"/>
    <w:rsid w:val="00783E29"/>
    <w:rsid w:val="00783F32"/>
    <w:rsid w:val="00784443"/>
    <w:rsid w:val="00784774"/>
    <w:rsid w:val="0078488A"/>
    <w:rsid w:val="007848C8"/>
    <w:rsid w:val="00784C38"/>
    <w:rsid w:val="00784F40"/>
    <w:rsid w:val="00785035"/>
    <w:rsid w:val="007851B3"/>
    <w:rsid w:val="00785754"/>
    <w:rsid w:val="007857DF"/>
    <w:rsid w:val="0078587E"/>
    <w:rsid w:val="007859E7"/>
    <w:rsid w:val="00785CA9"/>
    <w:rsid w:val="00785DA2"/>
    <w:rsid w:val="007861F5"/>
    <w:rsid w:val="00786360"/>
    <w:rsid w:val="0078655A"/>
    <w:rsid w:val="00786972"/>
    <w:rsid w:val="00786E73"/>
    <w:rsid w:val="00786EC9"/>
    <w:rsid w:val="00786F44"/>
    <w:rsid w:val="00787116"/>
    <w:rsid w:val="00787477"/>
    <w:rsid w:val="007874B1"/>
    <w:rsid w:val="00787557"/>
    <w:rsid w:val="00787588"/>
    <w:rsid w:val="0078758F"/>
    <w:rsid w:val="007875ED"/>
    <w:rsid w:val="007876C7"/>
    <w:rsid w:val="0078772D"/>
    <w:rsid w:val="00787946"/>
    <w:rsid w:val="00787958"/>
    <w:rsid w:val="00787AED"/>
    <w:rsid w:val="00787D29"/>
    <w:rsid w:val="00790355"/>
    <w:rsid w:val="00790376"/>
    <w:rsid w:val="007904C9"/>
    <w:rsid w:val="0079050A"/>
    <w:rsid w:val="007906A0"/>
    <w:rsid w:val="007906EE"/>
    <w:rsid w:val="00790726"/>
    <w:rsid w:val="00790975"/>
    <w:rsid w:val="00790A1F"/>
    <w:rsid w:val="00790C0B"/>
    <w:rsid w:val="00790DF2"/>
    <w:rsid w:val="00790F89"/>
    <w:rsid w:val="0079108B"/>
    <w:rsid w:val="00791248"/>
    <w:rsid w:val="0079138A"/>
    <w:rsid w:val="007913D6"/>
    <w:rsid w:val="00791953"/>
    <w:rsid w:val="00791B92"/>
    <w:rsid w:val="00791F9B"/>
    <w:rsid w:val="00792109"/>
    <w:rsid w:val="0079262B"/>
    <w:rsid w:val="00792642"/>
    <w:rsid w:val="007929A6"/>
    <w:rsid w:val="00792BE9"/>
    <w:rsid w:val="00792C2F"/>
    <w:rsid w:val="00792C80"/>
    <w:rsid w:val="00792F0D"/>
    <w:rsid w:val="00793132"/>
    <w:rsid w:val="00793337"/>
    <w:rsid w:val="00793519"/>
    <w:rsid w:val="007935CD"/>
    <w:rsid w:val="007935DA"/>
    <w:rsid w:val="00793651"/>
    <w:rsid w:val="0079394A"/>
    <w:rsid w:val="00793A85"/>
    <w:rsid w:val="00793DAF"/>
    <w:rsid w:val="00793E73"/>
    <w:rsid w:val="0079402E"/>
    <w:rsid w:val="007940E2"/>
    <w:rsid w:val="00794286"/>
    <w:rsid w:val="007942BC"/>
    <w:rsid w:val="00794520"/>
    <w:rsid w:val="00794616"/>
    <w:rsid w:val="0079488A"/>
    <w:rsid w:val="00794905"/>
    <w:rsid w:val="00794A24"/>
    <w:rsid w:val="00794BC6"/>
    <w:rsid w:val="00794BCE"/>
    <w:rsid w:val="00794DB6"/>
    <w:rsid w:val="00794E97"/>
    <w:rsid w:val="007951D9"/>
    <w:rsid w:val="0079521F"/>
    <w:rsid w:val="007952AC"/>
    <w:rsid w:val="007953FA"/>
    <w:rsid w:val="007954B6"/>
    <w:rsid w:val="00795832"/>
    <w:rsid w:val="00795915"/>
    <w:rsid w:val="00795936"/>
    <w:rsid w:val="007959F4"/>
    <w:rsid w:val="00795AD9"/>
    <w:rsid w:val="00795B48"/>
    <w:rsid w:val="00795B93"/>
    <w:rsid w:val="00795C0D"/>
    <w:rsid w:val="00795CF2"/>
    <w:rsid w:val="00795D27"/>
    <w:rsid w:val="00795D72"/>
    <w:rsid w:val="00796040"/>
    <w:rsid w:val="00796562"/>
    <w:rsid w:val="0079663D"/>
    <w:rsid w:val="0079683C"/>
    <w:rsid w:val="007968C0"/>
    <w:rsid w:val="00796A1E"/>
    <w:rsid w:val="00796AC6"/>
    <w:rsid w:val="00796B26"/>
    <w:rsid w:val="00796CEB"/>
    <w:rsid w:val="00797110"/>
    <w:rsid w:val="00797303"/>
    <w:rsid w:val="00797325"/>
    <w:rsid w:val="00797434"/>
    <w:rsid w:val="007977B0"/>
    <w:rsid w:val="0079782D"/>
    <w:rsid w:val="00797D35"/>
    <w:rsid w:val="007A00ED"/>
    <w:rsid w:val="007A019D"/>
    <w:rsid w:val="007A01D3"/>
    <w:rsid w:val="007A0363"/>
    <w:rsid w:val="007A0370"/>
    <w:rsid w:val="007A08F8"/>
    <w:rsid w:val="007A0A31"/>
    <w:rsid w:val="007A0AE7"/>
    <w:rsid w:val="007A0BF0"/>
    <w:rsid w:val="007A0DDC"/>
    <w:rsid w:val="007A0DDE"/>
    <w:rsid w:val="007A0E29"/>
    <w:rsid w:val="007A125B"/>
    <w:rsid w:val="007A1289"/>
    <w:rsid w:val="007A1487"/>
    <w:rsid w:val="007A175C"/>
    <w:rsid w:val="007A1898"/>
    <w:rsid w:val="007A198B"/>
    <w:rsid w:val="007A1A55"/>
    <w:rsid w:val="007A1DE5"/>
    <w:rsid w:val="007A1F05"/>
    <w:rsid w:val="007A2065"/>
    <w:rsid w:val="007A2072"/>
    <w:rsid w:val="007A20AD"/>
    <w:rsid w:val="007A223B"/>
    <w:rsid w:val="007A2272"/>
    <w:rsid w:val="007A22D6"/>
    <w:rsid w:val="007A239E"/>
    <w:rsid w:val="007A2583"/>
    <w:rsid w:val="007A263B"/>
    <w:rsid w:val="007A2982"/>
    <w:rsid w:val="007A2D7E"/>
    <w:rsid w:val="007A2D84"/>
    <w:rsid w:val="007A2FE4"/>
    <w:rsid w:val="007A31D1"/>
    <w:rsid w:val="007A335A"/>
    <w:rsid w:val="007A337A"/>
    <w:rsid w:val="007A36A3"/>
    <w:rsid w:val="007A3786"/>
    <w:rsid w:val="007A3804"/>
    <w:rsid w:val="007A3918"/>
    <w:rsid w:val="007A3920"/>
    <w:rsid w:val="007A39D2"/>
    <w:rsid w:val="007A3E0A"/>
    <w:rsid w:val="007A3E22"/>
    <w:rsid w:val="007A407B"/>
    <w:rsid w:val="007A4120"/>
    <w:rsid w:val="007A415A"/>
    <w:rsid w:val="007A4206"/>
    <w:rsid w:val="007A425E"/>
    <w:rsid w:val="007A4531"/>
    <w:rsid w:val="007A45C4"/>
    <w:rsid w:val="007A45FB"/>
    <w:rsid w:val="007A46A0"/>
    <w:rsid w:val="007A49F5"/>
    <w:rsid w:val="007A4C13"/>
    <w:rsid w:val="007A4C77"/>
    <w:rsid w:val="007A4C9F"/>
    <w:rsid w:val="007A4E30"/>
    <w:rsid w:val="007A5160"/>
    <w:rsid w:val="007A51B4"/>
    <w:rsid w:val="007A54D0"/>
    <w:rsid w:val="007A5A77"/>
    <w:rsid w:val="007A5B10"/>
    <w:rsid w:val="007A5B35"/>
    <w:rsid w:val="007A5C50"/>
    <w:rsid w:val="007A60A6"/>
    <w:rsid w:val="007A61DD"/>
    <w:rsid w:val="007A654C"/>
    <w:rsid w:val="007A65A4"/>
    <w:rsid w:val="007A65E6"/>
    <w:rsid w:val="007A6725"/>
    <w:rsid w:val="007A6886"/>
    <w:rsid w:val="007A695C"/>
    <w:rsid w:val="007A6A68"/>
    <w:rsid w:val="007A6CA0"/>
    <w:rsid w:val="007A6D8F"/>
    <w:rsid w:val="007A6DAA"/>
    <w:rsid w:val="007A6EA7"/>
    <w:rsid w:val="007A7105"/>
    <w:rsid w:val="007A7148"/>
    <w:rsid w:val="007A73CA"/>
    <w:rsid w:val="007A7421"/>
    <w:rsid w:val="007A743C"/>
    <w:rsid w:val="007A7493"/>
    <w:rsid w:val="007A75DA"/>
    <w:rsid w:val="007A75E1"/>
    <w:rsid w:val="007A76C6"/>
    <w:rsid w:val="007A76EB"/>
    <w:rsid w:val="007A7898"/>
    <w:rsid w:val="007A7BED"/>
    <w:rsid w:val="007A7CF6"/>
    <w:rsid w:val="007A7CF7"/>
    <w:rsid w:val="007B0312"/>
    <w:rsid w:val="007B038C"/>
    <w:rsid w:val="007B05BC"/>
    <w:rsid w:val="007B06A2"/>
    <w:rsid w:val="007B07FD"/>
    <w:rsid w:val="007B0849"/>
    <w:rsid w:val="007B08BE"/>
    <w:rsid w:val="007B0998"/>
    <w:rsid w:val="007B0AA4"/>
    <w:rsid w:val="007B0AC2"/>
    <w:rsid w:val="007B0E26"/>
    <w:rsid w:val="007B0F7A"/>
    <w:rsid w:val="007B0FA6"/>
    <w:rsid w:val="007B10BD"/>
    <w:rsid w:val="007B1161"/>
    <w:rsid w:val="007B140D"/>
    <w:rsid w:val="007B14A5"/>
    <w:rsid w:val="007B1708"/>
    <w:rsid w:val="007B1766"/>
    <w:rsid w:val="007B17CE"/>
    <w:rsid w:val="007B1AF5"/>
    <w:rsid w:val="007B1C4B"/>
    <w:rsid w:val="007B1D97"/>
    <w:rsid w:val="007B1E21"/>
    <w:rsid w:val="007B1E9D"/>
    <w:rsid w:val="007B208A"/>
    <w:rsid w:val="007B20C7"/>
    <w:rsid w:val="007B2587"/>
    <w:rsid w:val="007B2AF4"/>
    <w:rsid w:val="007B2B14"/>
    <w:rsid w:val="007B2C48"/>
    <w:rsid w:val="007B2E66"/>
    <w:rsid w:val="007B2F7A"/>
    <w:rsid w:val="007B2F98"/>
    <w:rsid w:val="007B3212"/>
    <w:rsid w:val="007B350D"/>
    <w:rsid w:val="007B3964"/>
    <w:rsid w:val="007B399A"/>
    <w:rsid w:val="007B4066"/>
    <w:rsid w:val="007B40B7"/>
    <w:rsid w:val="007B41A0"/>
    <w:rsid w:val="007B41C9"/>
    <w:rsid w:val="007B41E4"/>
    <w:rsid w:val="007B42A9"/>
    <w:rsid w:val="007B4524"/>
    <w:rsid w:val="007B4569"/>
    <w:rsid w:val="007B4843"/>
    <w:rsid w:val="007B496E"/>
    <w:rsid w:val="007B4C64"/>
    <w:rsid w:val="007B4ED5"/>
    <w:rsid w:val="007B4F74"/>
    <w:rsid w:val="007B504F"/>
    <w:rsid w:val="007B50CE"/>
    <w:rsid w:val="007B55CA"/>
    <w:rsid w:val="007B568C"/>
    <w:rsid w:val="007B56CF"/>
    <w:rsid w:val="007B57C5"/>
    <w:rsid w:val="007B580A"/>
    <w:rsid w:val="007B5857"/>
    <w:rsid w:val="007B58A3"/>
    <w:rsid w:val="007B58F6"/>
    <w:rsid w:val="007B5ABE"/>
    <w:rsid w:val="007B5DEF"/>
    <w:rsid w:val="007B5ECE"/>
    <w:rsid w:val="007B5F46"/>
    <w:rsid w:val="007B5F82"/>
    <w:rsid w:val="007B6296"/>
    <w:rsid w:val="007B6533"/>
    <w:rsid w:val="007B65F4"/>
    <w:rsid w:val="007B6636"/>
    <w:rsid w:val="007B66AA"/>
    <w:rsid w:val="007B6842"/>
    <w:rsid w:val="007B68DA"/>
    <w:rsid w:val="007B6C7B"/>
    <w:rsid w:val="007B6E77"/>
    <w:rsid w:val="007B6ECE"/>
    <w:rsid w:val="007B6FF2"/>
    <w:rsid w:val="007B713B"/>
    <w:rsid w:val="007B7297"/>
    <w:rsid w:val="007B73AC"/>
    <w:rsid w:val="007B75E1"/>
    <w:rsid w:val="007B7809"/>
    <w:rsid w:val="007B78DA"/>
    <w:rsid w:val="007B7907"/>
    <w:rsid w:val="007B7C32"/>
    <w:rsid w:val="007B7DE2"/>
    <w:rsid w:val="007B7EEE"/>
    <w:rsid w:val="007B7EF1"/>
    <w:rsid w:val="007C009C"/>
    <w:rsid w:val="007C0817"/>
    <w:rsid w:val="007C0B3D"/>
    <w:rsid w:val="007C0B48"/>
    <w:rsid w:val="007C0B5C"/>
    <w:rsid w:val="007C0C9C"/>
    <w:rsid w:val="007C1025"/>
    <w:rsid w:val="007C11CC"/>
    <w:rsid w:val="007C1383"/>
    <w:rsid w:val="007C1387"/>
    <w:rsid w:val="007C169F"/>
    <w:rsid w:val="007C176F"/>
    <w:rsid w:val="007C1921"/>
    <w:rsid w:val="007C195F"/>
    <w:rsid w:val="007C19E1"/>
    <w:rsid w:val="007C1A8D"/>
    <w:rsid w:val="007C1C6E"/>
    <w:rsid w:val="007C1E07"/>
    <w:rsid w:val="007C1F13"/>
    <w:rsid w:val="007C1F69"/>
    <w:rsid w:val="007C1FCF"/>
    <w:rsid w:val="007C208E"/>
    <w:rsid w:val="007C2317"/>
    <w:rsid w:val="007C23E7"/>
    <w:rsid w:val="007C250D"/>
    <w:rsid w:val="007C276B"/>
    <w:rsid w:val="007C2CDB"/>
    <w:rsid w:val="007C2DAF"/>
    <w:rsid w:val="007C2E6A"/>
    <w:rsid w:val="007C2FA3"/>
    <w:rsid w:val="007C334A"/>
    <w:rsid w:val="007C3361"/>
    <w:rsid w:val="007C33A2"/>
    <w:rsid w:val="007C34EE"/>
    <w:rsid w:val="007C35C8"/>
    <w:rsid w:val="007C3643"/>
    <w:rsid w:val="007C37A6"/>
    <w:rsid w:val="007C39F4"/>
    <w:rsid w:val="007C3A16"/>
    <w:rsid w:val="007C3C37"/>
    <w:rsid w:val="007C3CC5"/>
    <w:rsid w:val="007C3CF5"/>
    <w:rsid w:val="007C3D96"/>
    <w:rsid w:val="007C426A"/>
    <w:rsid w:val="007C43BD"/>
    <w:rsid w:val="007C45FA"/>
    <w:rsid w:val="007C4650"/>
    <w:rsid w:val="007C4715"/>
    <w:rsid w:val="007C483C"/>
    <w:rsid w:val="007C4860"/>
    <w:rsid w:val="007C4892"/>
    <w:rsid w:val="007C48B7"/>
    <w:rsid w:val="007C49A3"/>
    <w:rsid w:val="007C49A9"/>
    <w:rsid w:val="007C4D91"/>
    <w:rsid w:val="007C4D9A"/>
    <w:rsid w:val="007C4E9E"/>
    <w:rsid w:val="007C505F"/>
    <w:rsid w:val="007C509E"/>
    <w:rsid w:val="007C54CB"/>
    <w:rsid w:val="007C57A9"/>
    <w:rsid w:val="007C57FD"/>
    <w:rsid w:val="007C5A33"/>
    <w:rsid w:val="007C5C96"/>
    <w:rsid w:val="007C5E5A"/>
    <w:rsid w:val="007C5EBB"/>
    <w:rsid w:val="007C5F66"/>
    <w:rsid w:val="007C5FC6"/>
    <w:rsid w:val="007C6431"/>
    <w:rsid w:val="007C6443"/>
    <w:rsid w:val="007C64DB"/>
    <w:rsid w:val="007C68A5"/>
    <w:rsid w:val="007C6D1A"/>
    <w:rsid w:val="007C6E15"/>
    <w:rsid w:val="007C6E5E"/>
    <w:rsid w:val="007C70DE"/>
    <w:rsid w:val="007C72FD"/>
    <w:rsid w:val="007C7668"/>
    <w:rsid w:val="007C7745"/>
    <w:rsid w:val="007C77C8"/>
    <w:rsid w:val="007C78AF"/>
    <w:rsid w:val="007C7BEC"/>
    <w:rsid w:val="007C7BFF"/>
    <w:rsid w:val="007C7D36"/>
    <w:rsid w:val="007C7D5C"/>
    <w:rsid w:val="007C7DB3"/>
    <w:rsid w:val="007C7DD8"/>
    <w:rsid w:val="007D0063"/>
    <w:rsid w:val="007D008C"/>
    <w:rsid w:val="007D00DF"/>
    <w:rsid w:val="007D01B3"/>
    <w:rsid w:val="007D0558"/>
    <w:rsid w:val="007D06AC"/>
    <w:rsid w:val="007D0B6C"/>
    <w:rsid w:val="007D0C47"/>
    <w:rsid w:val="007D0D56"/>
    <w:rsid w:val="007D0EC0"/>
    <w:rsid w:val="007D0FA6"/>
    <w:rsid w:val="007D0FBC"/>
    <w:rsid w:val="007D10EB"/>
    <w:rsid w:val="007D11E2"/>
    <w:rsid w:val="007D139C"/>
    <w:rsid w:val="007D161F"/>
    <w:rsid w:val="007D1806"/>
    <w:rsid w:val="007D186B"/>
    <w:rsid w:val="007D1D82"/>
    <w:rsid w:val="007D1D83"/>
    <w:rsid w:val="007D2044"/>
    <w:rsid w:val="007D2142"/>
    <w:rsid w:val="007D237B"/>
    <w:rsid w:val="007D2458"/>
    <w:rsid w:val="007D26A7"/>
    <w:rsid w:val="007D28D4"/>
    <w:rsid w:val="007D29CE"/>
    <w:rsid w:val="007D2B38"/>
    <w:rsid w:val="007D2DF2"/>
    <w:rsid w:val="007D2EAC"/>
    <w:rsid w:val="007D3343"/>
    <w:rsid w:val="007D348A"/>
    <w:rsid w:val="007D3492"/>
    <w:rsid w:val="007D34DA"/>
    <w:rsid w:val="007D3631"/>
    <w:rsid w:val="007D36C4"/>
    <w:rsid w:val="007D38CD"/>
    <w:rsid w:val="007D3BED"/>
    <w:rsid w:val="007D3CAB"/>
    <w:rsid w:val="007D3D99"/>
    <w:rsid w:val="007D4114"/>
    <w:rsid w:val="007D4355"/>
    <w:rsid w:val="007D469F"/>
    <w:rsid w:val="007D4703"/>
    <w:rsid w:val="007D4912"/>
    <w:rsid w:val="007D4A59"/>
    <w:rsid w:val="007D4BB5"/>
    <w:rsid w:val="007D4DC7"/>
    <w:rsid w:val="007D5022"/>
    <w:rsid w:val="007D5218"/>
    <w:rsid w:val="007D5260"/>
    <w:rsid w:val="007D52B7"/>
    <w:rsid w:val="007D54AB"/>
    <w:rsid w:val="007D55ED"/>
    <w:rsid w:val="007D5812"/>
    <w:rsid w:val="007D58AA"/>
    <w:rsid w:val="007D58D1"/>
    <w:rsid w:val="007D59DF"/>
    <w:rsid w:val="007D5A0B"/>
    <w:rsid w:val="007D5AA7"/>
    <w:rsid w:val="007D5BCE"/>
    <w:rsid w:val="007D5CA6"/>
    <w:rsid w:val="007D5D12"/>
    <w:rsid w:val="007D5E8B"/>
    <w:rsid w:val="007D5F1C"/>
    <w:rsid w:val="007D5FA2"/>
    <w:rsid w:val="007D5FD4"/>
    <w:rsid w:val="007D5FF7"/>
    <w:rsid w:val="007D60B2"/>
    <w:rsid w:val="007D623D"/>
    <w:rsid w:val="007D6312"/>
    <w:rsid w:val="007D6577"/>
    <w:rsid w:val="007D65D6"/>
    <w:rsid w:val="007D691B"/>
    <w:rsid w:val="007D6BAF"/>
    <w:rsid w:val="007D6DA2"/>
    <w:rsid w:val="007D6DDA"/>
    <w:rsid w:val="007D6EAA"/>
    <w:rsid w:val="007D6F26"/>
    <w:rsid w:val="007D7049"/>
    <w:rsid w:val="007D7234"/>
    <w:rsid w:val="007D72DB"/>
    <w:rsid w:val="007D731F"/>
    <w:rsid w:val="007D748C"/>
    <w:rsid w:val="007D768D"/>
    <w:rsid w:val="007D7761"/>
    <w:rsid w:val="007D7778"/>
    <w:rsid w:val="007D77FD"/>
    <w:rsid w:val="007D7814"/>
    <w:rsid w:val="007D7925"/>
    <w:rsid w:val="007D7C25"/>
    <w:rsid w:val="007D7D2E"/>
    <w:rsid w:val="007D7E9A"/>
    <w:rsid w:val="007E02D1"/>
    <w:rsid w:val="007E05FF"/>
    <w:rsid w:val="007E062F"/>
    <w:rsid w:val="007E0815"/>
    <w:rsid w:val="007E0BC8"/>
    <w:rsid w:val="007E0DBA"/>
    <w:rsid w:val="007E0E77"/>
    <w:rsid w:val="007E0F0C"/>
    <w:rsid w:val="007E135A"/>
    <w:rsid w:val="007E140A"/>
    <w:rsid w:val="007E14DE"/>
    <w:rsid w:val="007E169F"/>
    <w:rsid w:val="007E16B1"/>
    <w:rsid w:val="007E1839"/>
    <w:rsid w:val="007E19CF"/>
    <w:rsid w:val="007E1B00"/>
    <w:rsid w:val="007E1C57"/>
    <w:rsid w:val="007E1CF0"/>
    <w:rsid w:val="007E227D"/>
    <w:rsid w:val="007E23CE"/>
    <w:rsid w:val="007E241B"/>
    <w:rsid w:val="007E25B8"/>
    <w:rsid w:val="007E28D9"/>
    <w:rsid w:val="007E2A2C"/>
    <w:rsid w:val="007E2B69"/>
    <w:rsid w:val="007E2C69"/>
    <w:rsid w:val="007E3475"/>
    <w:rsid w:val="007E350B"/>
    <w:rsid w:val="007E3533"/>
    <w:rsid w:val="007E36C1"/>
    <w:rsid w:val="007E36E5"/>
    <w:rsid w:val="007E3722"/>
    <w:rsid w:val="007E383D"/>
    <w:rsid w:val="007E3945"/>
    <w:rsid w:val="007E3B4B"/>
    <w:rsid w:val="007E3D50"/>
    <w:rsid w:val="007E3F4C"/>
    <w:rsid w:val="007E3F60"/>
    <w:rsid w:val="007E4193"/>
    <w:rsid w:val="007E4326"/>
    <w:rsid w:val="007E44E1"/>
    <w:rsid w:val="007E4593"/>
    <w:rsid w:val="007E4604"/>
    <w:rsid w:val="007E4924"/>
    <w:rsid w:val="007E4AAE"/>
    <w:rsid w:val="007E4BBD"/>
    <w:rsid w:val="007E4E07"/>
    <w:rsid w:val="007E4E5A"/>
    <w:rsid w:val="007E4E8E"/>
    <w:rsid w:val="007E501B"/>
    <w:rsid w:val="007E5208"/>
    <w:rsid w:val="007E52EF"/>
    <w:rsid w:val="007E5791"/>
    <w:rsid w:val="007E597A"/>
    <w:rsid w:val="007E5C29"/>
    <w:rsid w:val="007E5CB9"/>
    <w:rsid w:val="007E5F68"/>
    <w:rsid w:val="007E617B"/>
    <w:rsid w:val="007E6184"/>
    <w:rsid w:val="007E626F"/>
    <w:rsid w:val="007E6361"/>
    <w:rsid w:val="007E63AE"/>
    <w:rsid w:val="007E6487"/>
    <w:rsid w:val="007E6A9D"/>
    <w:rsid w:val="007E6D5A"/>
    <w:rsid w:val="007E6F07"/>
    <w:rsid w:val="007E70DA"/>
    <w:rsid w:val="007E72A5"/>
    <w:rsid w:val="007E72EF"/>
    <w:rsid w:val="007E7373"/>
    <w:rsid w:val="007E75FB"/>
    <w:rsid w:val="007E77D6"/>
    <w:rsid w:val="007E77E2"/>
    <w:rsid w:val="007E7A1D"/>
    <w:rsid w:val="007E7AB9"/>
    <w:rsid w:val="007E7CC0"/>
    <w:rsid w:val="007E7DF5"/>
    <w:rsid w:val="007E7EA7"/>
    <w:rsid w:val="007E7EC1"/>
    <w:rsid w:val="007E7F4C"/>
    <w:rsid w:val="007F0174"/>
    <w:rsid w:val="007F01F5"/>
    <w:rsid w:val="007F0378"/>
    <w:rsid w:val="007F06B8"/>
    <w:rsid w:val="007F0865"/>
    <w:rsid w:val="007F0881"/>
    <w:rsid w:val="007F09B1"/>
    <w:rsid w:val="007F0AB0"/>
    <w:rsid w:val="007F0AB2"/>
    <w:rsid w:val="007F0ADD"/>
    <w:rsid w:val="007F0B29"/>
    <w:rsid w:val="007F1044"/>
    <w:rsid w:val="007F10AE"/>
    <w:rsid w:val="007F11C5"/>
    <w:rsid w:val="007F12F0"/>
    <w:rsid w:val="007F13D4"/>
    <w:rsid w:val="007F147C"/>
    <w:rsid w:val="007F1488"/>
    <w:rsid w:val="007F16D1"/>
    <w:rsid w:val="007F1B74"/>
    <w:rsid w:val="007F1CC9"/>
    <w:rsid w:val="007F1F0A"/>
    <w:rsid w:val="007F2216"/>
    <w:rsid w:val="007F22C1"/>
    <w:rsid w:val="007F2336"/>
    <w:rsid w:val="007F241D"/>
    <w:rsid w:val="007F25A5"/>
    <w:rsid w:val="007F27B6"/>
    <w:rsid w:val="007F2914"/>
    <w:rsid w:val="007F2AA6"/>
    <w:rsid w:val="007F2D0C"/>
    <w:rsid w:val="007F2F65"/>
    <w:rsid w:val="007F2FE5"/>
    <w:rsid w:val="007F345D"/>
    <w:rsid w:val="007F35AE"/>
    <w:rsid w:val="007F366A"/>
    <w:rsid w:val="007F375D"/>
    <w:rsid w:val="007F3939"/>
    <w:rsid w:val="007F39C6"/>
    <w:rsid w:val="007F3B04"/>
    <w:rsid w:val="007F3B22"/>
    <w:rsid w:val="007F3B31"/>
    <w:rsid w:val="007F43F4"/>
    <w:rsid w:val="007F44EB"/>
    <w:rsid w:val="007F4509"/>
    <w:rsid w:val="007F45C2"/>
    <w:rsid w:val="007F48E2"/>
    <w:rsid w:val="007F495E"/>
    <w:rsid w:val="007F498E"/>
    <w:rsid w:val="007F4B8E"/>
    <w:rsid w:val="007F4DE2"/>
    <w:rsid w:val="007F4DE5"/>
    <w:rsid w:val="007F4E8B"/>
    <w:rsid w:val="007F523A"/>
    <w:rsid w:val="007F53A5"/>
    <w:rsid w:val="007F5414"/>
    <w:rsid w:val="007F571F"/>
    <w:rsid w:val="007F5918"/>
    <w:rsid w:val="007F5A26"/>
    <w:rsid w:val="007F5ACC"/>
    <w:rsid w:val="007F5B78"/>
    <w:rsid w:val="007F5B8D"/>
    <w:rsid w:val="007F5E37"/>
    <w:rsid w:val="007F5EE4"/>
    <w:rsid w:val="007F6118"/>
    <w:rsid w:val="007F6142"/>
    <w:rsid w:val="007F61F6"/>
    <w:rsid w:val="007F63D5"/>
    <w:rsid w:val="007F64E0"/>
    <w:rsid w:val="007F6621"/>
    <w:rsid w:val="007F676D"/>
    <w:rsid w:val="007F6809"/>
    <w:rsid w:val="007F681F"/>
    <w:rsid w:val="007F6A2F"/>
    <w:rsid w:val="007F6ECA"/>
    <w:rsid w:val="007F6F51"/>
    <w:rsid w:val="007F7511"/>
    <w:rsid w:val="007F76E6"/>
    <w:rsid w:val="007F784C"/>
    <w:rsid w:val="007F7A08"/>
    <w:rsid w:val="007F7D9E"/>
    <w:rsid w:val="007F7DDE"/>
    <w:rsid w:val="007F7E50"/>
    <w:rsid w:val="00800004"/>
    <w:rsid w:val="008000AC"/>
    <w:rsid w:val="00800382"/>
    <w:rsid w:val="008003C7"/>
    <w:rsid w:val="0080051F"/>
    <w:rsid w:val="0080056C"/>
    <w:rsid w:val="00800667"/>
    <w:rsid w:val="008008FD"/>
    <w:rsid w:val="00800920"/>
    <w:rsid w:val="00800ACD"/>
    <w:rsid w:val="00800CB5"/>
    <w:rsid w:val="00800E8F"/>
    <w:rsid w:val="00800EA0"/>
    <w:rsid w:val="00800EBA"/>
    <w:rsid w:val="00801357"/>
    <w:rsid w:val="0080145A"/>
    <w:rsid w:val="00801489"/>
    <w:rsid w:val="00801509"/>
    <w:rsid w:val="0080176C"/>
    <w:rsid w:val="008018C2"/>
    <w:rsid w:val="0080198C"/>
    <w:rsid w:val="00801A8C"/>
    <w:rsid w:val="00801B25"/>
    <w:rsid w:val="00801E0C"/>
    <w:rsid w:val="00801E9D"/>
    <w:rsid w:val="00802163"/>
    <w:rsid w:val="008021B9"/>
    <w:rsid w:val="0080230C"/>
    <w:rsid w:val="008024D8"/>
    <w:rsid w:val="008028DB"/>
    <w:rsid w:val="00802A54"/>
    <w:rsid w:val="00802EF0"/>
    <w:rsid w:val="00802EF8"/>
    <w:rsid w:val="00803088"/>
    <w:rsid w:val="008030D9"/>
    <w:rsid w:val="008031AD"/>
    <w:rsid w:val="00803387"/>
    <w:rsid w:val="0080348F"/>
    <w:rsid w:val="00803499"/>
    <w:rsid w:val="008035CF"/>
    <w:rsid w:val="008036A3"/>
    <w:rsid w:val="0080380B"/>
    <w:rsid w:val="00803926"/>
    <w:rsid w:val="00803A4F"/>
    <w:rsid w:val="00803A5E"/>
    <w:rsid w:val="00803DBC"/>
    <w:rsid w:val="00804091"/>
    <w:rsid w:val="008042D3"/>
    <w:rsid w:val="0080430B"/>
    <w:rsid w:val="0080433A"/>
    <w:rsid w:val="00804759"/>
    <w:rsid w:val="008048CA"/>
    <w:rsid w:val="0080494B"/>
    <w:rsid w:val="00804B1A"/>
    <w:rsid w:val="00804D98"/>
    <w:rsid w:val="00804DA0"/>
    <w:rsid w:val="00804E1F"/>
    <w:rsid w:val="0080509E"/>
    <w:rsid w:val="00805315"/>
    <w:rsid w:val="008057F6"/>
    <w:rsid w:val="008058C0"/>
    <w:rsid w:val="00805CFD"/>
    <w:rsid w:val="00805D8F"/>
    <w:rsid w:val="00805E46"/>
    <w:rsid w:val="00806260"/>
    <w:rsid w:val="008062A9"/>
    <w:rsid w:val="00806499"/>
    <w:rsid w:val="00806583"/>
    <w:rsid w:val="008065AC"/>
    <w:rsid w:val="0080669F"/>
    <w:rsid w:val="00806787"/>
    <w:rsid w:val="0080682B"/>
    <w:rsid w:val="00806A66"/>
    <w:rsid w:val="00806BDE"/>
    <w:rsid w:val="00806CB6"/>
    <w:rsid w:val="00806D30"/>
    <w:rsid w:val="00806F05"/>
    <w:rsid w:val="0080722F"/>
    <w:rsid w:val="0080740C"/>
    <w:rsid w:val="00807682"/>
    <w:rsid w:val="00807D47"/>
    <w:rsid w:val="00807D73"/>
    <w:rsid w:val="0081044D"/>
    <w:rsid w:val="0081049F"/>
    <w:rsid w:val="0081050B"/>
    <w:rsid w:val="008105FC"/>
    <w:rsid w:val="0081060A"/>
    <w:rsid w:val="0081063A"/>
    <w:rsid w:val="008107C8"/>
    <w:rsid w:val="008108DA"/>
    <w:rsid w:val="0081092F"/>
    <w:rsid w:val="00810A1D"/>
    <w:rsid w:val="00810A2B"/>
    <w:rsid w:val="00810B11"/>
    <w:rsid w:val="00810BE4"/>
    <w:rsid w:val="00810E11"/>
    <w:rsid w:val="00810F62"/>
    <w:rsid w:val="008110A2"/>
    <w:rsid w:val="00811100"/>
    <w:rsid w:val="008111E9"/>
    <w:rsid w:val="0081129E"/>
    <w:rsid w:val="00811870"/>
    <w:rsid w:val="0081192C"/>
    <w:rsid w:val="00811B10"/>
    <w:rsid w:val="00811B3E"/>
    <w:rsid w:val="00811CDC"/>
    <w:rsid w:val="00811FCE"/>
    <w:rsid w:val="00812058"/>
    <w:rsid w:val="0081238D"/>
    <w:rsid w:val="008123CF"/>
    <w:rsid w:val="008125CF"/>
    <w:rsid w:val="008125F3"/>
    <w:rsid w:val="008126CA"/>
    <w:rsid w:val="00812730"/>
    <w:rsid w:val="0081273F"/>
    <w:rsid w:val="008128F3"/>
    <w:rsid w:val="0081295E"/>
    <w:rsid w:val="0081299E"/>
    <w:rsid w:val="008129CE"/>
    <w:rsid w:val="00812C57"/>
    <w:rsid w:val="00812C9D"/>
    <w:rsid w:val="00812E0B"/>
    <w:rsid w:val="00812F1D"/>
    <w:rsid w:val="00813207"/>
    <w:rsid w:val="008132C6"/>
    <w:rsid w:val="008132F0"/>
    <w:rsid w:val="00813537"/>
    <w:rsid w:val="0081361D"/>
    <w:rsid w:val="008136D3"/>
    <w:rsid w:val="00813CA5"/>
    <w:rsid w:val="00813CDE"/>
    <w:rsid w:val="00813D1C"/>
    <w:rsid w:val="00814097"/>
    <w:rsid w:val="0081415A"/>
    <w:rsid w:val="00814222"/>
    <w:rsid w:val="00814338"/>
    <w:rsid w:val="0081435B"/>
    <w:rsid w:val="0081450E"/>
    <w:rsid w:val="0081488A"/>
    <w:rsid w:val="0081496A"/>
    <w:rsid w:val="0081498C"/>
    <w:rsid w:val="00814A79"/>
    <w:rsid w:val="00814A88"/>
    <w:rsid w:val="00814BF3"/>
    <w:rsid w:val="00814C87"/>
    <w:rsid w:val="00814E98"/>
    <w:rsid w:val="00814F69"/>
    <w:rsid w:val="00814F8D"/>
    <w:rsid w:val="00815288"/>
    <w:rsid w:val="0081533C"/>
    <w:rsid w:val="0081536F"/>
    <w:rsid w:val="008154AF"/>
    <w:rsid w:val="0081562C"/>
    <w:rsid w:val="00815696"/>
    <w:rsid w:val="00815728"/>
    <w:rsid w:val="00815AA2"/>
    <w:rsid w:val="00815B9A"/>
    <w:rsid w:val="00815BB3"/>
    <w:rsid w:val="0081608E"/>
    <w:rsid w:val="008160FF"/>
    <w:rsid w:val="00816183"/>
    <w:rsid w:val="0081635B"/>
    <w:rsid w:val="008166DC"/>
    <w:rsid w:val="00816860"/>
    <w:rsid w:val="00816B70"/>
    <w:rsid w:val="00816BCA"/>
    <w:rsid w:val="00816C3D"/>
    <w:rsid w:val="00816E14"/>
    <w:rsid w:val="0081718B"/>
    <w:rsid w:val="008171DC"/>
    <w:rsid w:val="008178A6"/>
    <w:rsid w:val="0082002C"/>
    <w:rsid w:val="00820033"/>
    <w:rsid w:val="008200A9"/>
    <w:rsid w:val="008200B0"/>
    <w:rsid w:val="0082013C"/>
    <w:rsid w:val="0082022B"/>
    <w:rsid w:val="008202B2"/>
    <w:rsid w:val="00820314"/>
    <w:rsid w:val="008204DC"/>
    <w:rsid w:val="008204EA"/>
    <w:rsid w:val="008206B0"/>
    <w:rsid w:val="0082090C"/>
    <w:rsid w:val="00820B66"/>
    <w:rsid w:val="00820BE3"/>
    <w:rsid w:val="00820EC7"/>
    <w:rsid w:val="00820F3A"/>
    <w:rsid w:val="0082117B"/>
    <w:rsid w:val="008212B1"/>
    <w:rsid w:val="0082135F"/>
    <w:rsid w:val="008213B2"/>
    <w:rsid w:val="008215B3"/>
    <w:rsid w:val="008215EB"/>
    <w:rsid w:val="008218B5"/>
    <w:rsid w:val="00821984"/>
    <w:rsid w:val="00821C93"/>
    <w:rsid w:val="00821E4A"/>
    <w:rsid w:val="00821FB2"/>
    <w:rsid w:val="0082227C"/>
    <w:rsid w:val="008222BB"/>
    <w:rsid w:val="008222C5"/>
    <w:rsid w:val="008222D2"/>
    <w:rsid w:val="008225BC"/>
    <w:rsid w:val="00822631"/>
    <w:rsid w:val="00822685"/>
    <w:rsid w:val="008226DF"/>
    <w:rsid w:val="00822AA2"/>
    <w:rsid w:val="00822B2E"/>
    <w:rsid w:val="00822BD1"/>
    <w:rsid w:val="00822D9B"/>
    <w:rsid w:val="00822EE8"/>
    <w:rsid w:val="008230F4"/>
    <w:rsid w:val="008230FD"/>
    <w:rsid w:val="008234DF"/>
    <w:rsid w:val="00823541"/>
    <w:rsid w:val="00823611"/>
    <w:rsid w:val="008236CD"/>
    <w:rsid w:val="0082394E"/>
    <w:rsid w:val="008239BC"/>
    <w:rsid w:val="00823B51"/>
    <w:rsid w:val="0082446F"/>
    <w:rsid w:val="00824577"/>
    <w:rsid w:val="008245E0"/>
    <w:rsid w:val="00824670"/>
    <w:rsid w:val="00824784"/>
    <w:rsid w:val="00824789"/>
    <w:rsid w:val="00824997"/>
    <w:rsid w:val="00824B10"/>
    <w:rsid w:val="00824B8A"/>
    <w:rsid w:val="00824BF9"/>
    <w:rsid w:val="00824CAE"/>
    <w:rsid w:val="00824D33"/>
    <w:rsid w:val="00824DC4"/>
    <w:rsid w:val="00824DD6"/>
    <w:rsid w:val="00825078"/>
    <w:rsid w:val="008250FE"/>
    <w:rsid w:val="008251B8"/>
    <w:rsid w:val="0082523D"/>
    <w:rsid w:val="0082587E"/>
    <w:rsid w:val="00825B06"/>
    <w:rsid w:val="00825D4E"/>
    <w:rsid w:val="00825FB4"/>
    <w:rsid w:val="0082606E"/>
    <w:rsid w:val="008260D2"/>
    <w:rsid w:val="0082616C"/>
    <w:rsid w:val="008262A9"/>
    <w:rsid w:val="00826332"/>
    <w:rsid w:val="008264A6"/>
    <w:rsid w:val="0082655C"/>
    <w:rsid w:val="00826724"/>
    <w:rsid w:val="00826910"/>
    <w:rsid w:val="00826AA6"/>
    <w:rsid w:val="00826BE9"/>
    <w:rsid w:val="00826CFA"/>
    <w:rsid w:val="00826D01"/>
    <w:rsid w:val="00826E66"/>
    <w:rsid w:val="00826ED2"/>
    <w:rsid w:val="00827141"/>
    <w:rsid w:val="00827428"/>
    <w:rsid w:val="00827510"/>
    <w:rsid w:val="008276D7"/>
    <w:rsid w:val="00827788"/>
    <w:rsid w:val="00827AA2"/>
    <w:rsid w:val="00827AAA"/>
    <w:rsid w:val="00827D88"/>
    <w:rsid w:val="00827E84"/>
    <w:rsid w:val="00830054"/>
    <w:rsid w:val="008302EC"/>
    <w:rsid w:val="00830358"/>
    <w:rsid w:val="008303A6"/>
    <w:rsid w:val="00830625"/>
    <w:rsid w:val="0083072A"/>
    <w:rsid w:val="008309DC"/>
    <w:rsid w:val="008309EA"/>
    <w:rsid w:val="00830A05"/>
    <w:rsid w:val="00830A5F"/>
    <w:rsid w:val="00830AD6"/>
    <w:rsid w:val="00830B0C"/>
    <w:rsid w:val="00830C1F"/>
    <w:rsid w:val="00830EF0"/>
    <w:rsid w:val="00830F1E"/>
    <w:rsid w:val="008310BC"/>
    <w:rsid w:val="00831137"/>
    <w:rsid w:val="0083135D"/>
    <w:rsid w:val="00831707"/>
    <w:rsid w:val="00831804"/>
    <w:rsid w:val="00831BCC"/>
    <w:rsid w:val="00831C3D"/>
    <w:rsid w:val="00831C98"/>
    <w:rsid w:val="00831CC4"/>
    <w:rsid w:val="00831CE8"/>
    <w:rsid w:val="00831CFF"/>
    <w:rsid w:val="00831D40"/>
    <w:rsid w:val="00831E03"/>
    <w:rsid w:val="00831F08"/>
    <w:rsid w:val="00831FF8"/>
    <w:rsid w:val="008320AC"/>
    <w:rsid w:val="00832138"/>
    <w:rsid w:val="00832800"/>
    <w:rsid w:val="0083289D"/>
    <w:rsid w:val="008329E9"/>
    <w:rsid w:val="00832A81"/>
    <w:rsid w:val="00832B9E"/>
    <w:rsid w:val="008332D4"/>
    <w:rsid w:val="00833488"/>
    <w:rsid w:val="008334AC"/>
    <w:rsid w:val="008336F9"/>
    <w:rsid w:val="0083378D"/>
    <w:rsid w:val="008337DE"/>
    <w:rsid w:val="00833831"/>
    <w:rsid w:val="00833ADE"/>
    <w:rsid w:val="00833C6F"/>
    <w:rsid w:val="00833D45"/>
    <w:rsid w:val="00833DA0"/>
    <w:rsid w:val="00833E1F"/>
    <w:rsid w:val="00833F8E"/>
    <w:rsid w:val="00833FBB"/>
    <w:rsid w:val="00834046"/>
    <w:rsid w:val="008343CF"/>
    <w:rsid w:val="0083449C"/>
    <w:rsid w:val="00834595"/>
    <w:rsid w:val="008346D1"/>
    <w:rsid w:val="00834826"/>
    <w:rsid w:val="00834B0D"/>
    <w:rsid w:val="00834EAD"/>
    <w:rsid w:val="00834FC1"/>
    <w:rsid w:val="00835181"/>
    <w:rsid w:val="00835251"/>
    <w:rsid w:val="008352C3"/>
    <w:rsid w:val="00835356"/>
    <w:rsid w:val="0083535C"/>
    <w:rsid w:val="00835450"/>
    <w:rsid w:val="008357E1"/>
    <w:rsid w:val="00835A7A"/>
    <w:rsid w:val="00836033"/>
    <w:rsid w:val="00836132"/>
    <w:rsid w:val="00836321"/>
    <w:rsid w:val="008368A6"/>
    <w:rsid w:val="008369BD"/>
    <w:rsid w:val="00836AAE"/>
    <w:rsid w:val="00836C1F"/>
    <w:rsid w:val="00836CBF"/>
    <w:rsid w:val="00836E0A"/>
    <w:rsid w:val="008370F5"/>
    <w:rsid w:val="00837117"/>
    <w:rsid w:val="0083722A"/>
    <w:rsid w:val="00837254"/>
    <w:rsid w:val="008374C5"/>
    <w:rsid w:val="00837878"/>
    <w:rsid w:val="008379A5"/>
    <w:rsid w:val="00837A1A"/>
    <w:rsid w:val="00837A9C"/>
    <w:rsid w:val="00837D5F"/>
    <w:rsid w:val="00837D83"/>
    <w:rsid w:val="00837E00"/>
    <w:rsid w:val="00837E12"/>
    <w:rsid w:val="00837E72"/>
    <w:rsid w:val="00837FA7"/>
    <w:rsid w:val="0084000F"/>
    <w:rsid w:val="0084009A"/>
    <w:rsid w:val="008402EE"/>
    <w:rsid w:val="00840476"/>
    <w:rsid w:val="00840666"/>
    <w:rsid w:val="00840A6A"/>
    <w:rsid w:val="00840B3D"/>
    <w:rsid w:val="00840C5E"/>
    <w:rsid w:val="00840D55"/>
    <w:rsid w:val="00840E86"/>
    <w:rsid w:val="00840EA6"/>
    <w:rsid w:val="00841015"/>
    <w:rsid w:val="00841177"/>
    <w:rsid w:val="008411A2"/>
    <w:rsid w:val="008411C4"/>
    <w:rsid w:val="00841220"/>
    <w:rsid w:val="00841411"/>
    <w:rsid w:val="008414D4"/>
    <w:rsid w:val="00841576"/>
    <w:rsid w:val="0084178E"/>
    <w:rsid w:val="00841830"/>
    <w:rsid w:val="0084188E"/>
    <w:rsid w:val="008419E3"/>
    <w:rsid w:val="00841CA9"/>
    <w:rsid w:val="00841DAB"/>
    <w:rsid w:val="00841FDC"/>
    <w:rsid w:val="008421E3"/>
    <w:rsid w:val="008421E7"/>
    <w:rsid w:val="00842367"/>
    <w:rsid w:val="0084259A"/>
    <w:rsid w:val="0084270D"/>
    <w:rsid w:val="0084272A"/>
    <w:rsid w:val="0084277E"/>
    <w:rsid w:val="00842786"/>
    <w:rsid w:val="00842A86"/>
    <w:rsid w:val="00842AB3"/>
    <w:rsid w:val="00842C6B"/>
    <w:rsid w:val="00842EAB"/>
    <w:rsid w:val="00842EED"/>
    <w:rsid w:val="00843081"/>
    <w:rsid w:val="008430D6"/>
    <w:rsid w:val="00843241"/>
    <w:rsid w:val="0084327A"/>
    <w:rsid w:val="0084329C"/>
    <w:rsid w:val="00843329"/>
    <w:rsid w:val="0084332C"/>
    <w:rsid w:val="0084355F"/>
    <w:rsid w:val="008435C2"/>
    <w:rsid w:val="008436A6"/>
    <w:rsid w:val="008439D3"/>
    <w:rsid w:val="00843E5F"/>
    <w:rsid w:val="00843E90"/>
    <w:rsid w:val="0084400D"/>
    <w:rsid w:val="008442D9"/>
    <w:rsid w:val="0084434B"/>
    <w:rsid w:val="0084434F"/>
    <w:rsid w:val="008447DA"/>
    <w:rsid w:val="008448AF"/>
    <w:rsid w:val="00844A69"/>
    <w:rsid w:val="00844AB1"/>
    <w:rsid w:val="00844C44"/>
    <w:rsid w:val="00844DC8"/>
    <w:rsid w:val="00844DD0"/>
    <w:rsid w:val="00844EC1"/>
    <w:rsid w:val="00845287"/>
    <w:rsid w:val="008453DC"/>
    <w:rsid w:val="0084558B"/>
    <w:rsid w:val="008457B3"/>
    <w:rsid w:val="008458B9"/>
    <w:rsid w:val="00845AE0"/>
    <w:rsid w:val="00845C19"/>
    <w:rsid w:val="00845CA5"/>
    <w:rsid w:val="00845CEC"/>
    <w:rsid w:val="00845DC1"/>
    <w:rsid w:val="00846240"/>
    <w:rsid w:val="0084640B"/>
    <w:rsid w:val="008467DD"/>
    <w:rsid w:val="0084693A"/>
    <w:rsid w:val="008469A6"/>
    <w:rsid w:val="00846B11"/>
    <w:rsid w:val="00846B2E"/>
    <w:rsid w:val="00846C3F"/>
    <w:rsid w:val="00846D0F"/>
    <w:rsid w:val="00846D58"/>
    <w:rsid w:val="00846E2F"/>
    <w:rsid w:val="00846EAB"/>
    <w:rsid w:val="00846EE0"/>
    <w:rsid w:val="00847283"/>
    <w:rsid w:val="008472CB"/>
    <w:rsid w:val="00847320"/>
    <w:rsid w:val="0084735A"/>
    <w:rsid w:val="008474F2"/>
    <w:rsid w:val="0084756F"/>
    <w:rsid w:val="00847796"/>
    <w:rsid w:val="00847838"/>
    <w:rsid w:val="008478F1"/>
    <w:rsid w:val="00847ADB"/>
    <w:rsid w:val="00847CAB"/>
    <w:rsid w:val="00847D42"/>
    <w:rsid w:val="00847D9F"/>
    <w:rsid w:val="00847E0C"/>
    <w:rsid w:val="00847ECB"/>
    <w:rsid w:val="008500A4"/>
    <w:rsid w:val="008501F3"/>
    <w:rsid w:val="00850349"/>
    <w:rsid w:val="00850810"/>
    <w:rsid w:val="0085088D"/>
    <w:rsid w:val="00850BEB"/>
    <w:rsid w:val="00850C71"/>
    <w:rsid w:val="00851083"/>
    <w:rsid w:val="00851134"/>
    <w:rsid w:val="00851139"/>
    <w:rsid w:val="008515ED"/>
    <w:rsid w:val="00851762"/>
    <w:rsid w:val="00851951"/>
    <w:rsid w:val="00851A2F"/>
    <w:rsid w:val="00851B69"/>
    <w:rsid w:val="00851C57"/>
    <w:rsid w:val="00851CE0"/>
    <w:rsid w:val="00851FFB"/>
    <w:rsid w:val="00852202"/>
    <w:rsid w:val="008524EA"/>
    <w:rsid w:val="0085276C"/>
    <w:rsid w:val="008527F8"/>
    <w:rsid w:val="00852A44"/>
    <w:rsid w:val="00852BF4"/>
    <w:rsid w:val="00852C1A"/>
    <w:rsid w:val="00852D3B"/>
    <w:rsid w:val="00852E01"/>
    <w:rsid w:val="008532C1"/>
    <w:rsid w:val="00853509"/>
    <w:rsid w:val="00853675"/>
    <w:rsid w:val="008536A7"/>
    <w:rsid w:val="008537E3"/>
    <w:rsid w:val="008537F0"/>
    <w:rsid w:val="00853830"/>
    <w:rsid w:val="00853993"/>
    <w:rsid w:val="00853D32"/>
    <w:rsid w:val="008541AF"/>
    <w:rsid w:val="00854325"/>
    <w:rsid w:val="0085437D"/>
    <w:rsid w:val="00854584"/>
    <w:rsid w:val="00854597"/>
    <w:rsid w:val="00854B04"/>
    <w:rsid w:val="00854D82"/>
    <w:rsid w:val="00854DBD"/>
    <w:rsid w:val="00854E8A"/>
    <w:rsid w:val="008550EE"/>
    <w:rsid w:val="00855192"/>
    <w:rsid w:val="00855A28"/>
    <w:rsid w:val="00855B7F"/>
    <w:rsid w:val="00855C84"/>
    <w:rsid w:val="00855DD0"/>
    <w:rsid w:val="008561F3"/>
    <w:rsid w:val="008562AF"/>
    <w:rsid w:val="00856342"/>
    <w:rsid w:val="00856415"/>
    <w:rsid w:val="008566CB"/>
    <w:rsid w:val="00856766"/>
    <w:rsid w:val="00856954"/>
    <w:rsid w:val="008569EB"/>
    <w:rsid w:val="00856A6A"/>
    <w:rsid w:val="00856B0E"/>
    <w:rsid w:val="00856B51"/>
    <w:rsid w:val="00856E06"/>
    <w:rsid w:val="00856E22"/>
    <w:rsid w:val="00857216"/>
    <w:rsid w:val="0085757A"/>
    <w:rsid w:val="0085782F"/>
    <w:rsid w:val="008578B6"/>
    <w:rsid w:val="0085798D"/>
    <w:rsid w:val="008579B4"/>
    <w:rsid w:val="00857EE6"/>
    <w:rsid w:val="00860032"/>
    <w:rsid w:val="008600E3"/>
    <w:rsid w:val="00860192"/>
    <w:rsid w:val="008601AE"/>
    <w:rsid w:val="008601D9"/>
    <w:rsid w:val="00860228"/>
    <w:rsid w:val="008602B2"/>
    <w:rsid w:val="00860387"/>
    <w:rsid w:val="008603DC"/>
    <w:rsid w:val="008606AD"/>
    <w:rsid w:val="008608DC"/>
    <w:rsid w:val="00860A82"/>
    <w:rsid w:val="00860AE8"/>
    <w:rsid w:val="008610AA"/>
    <w:rsid w:val="008610D2"/>
    <w:rsid w:val="00861242"/>
    <w:rsid w:val="008614C7"/>
    <w:rsid w:val="008616D4"/>
    <w:rsid w:val="0086176E"/>
    <w:rsid w:val="008618B7"/>
    <w:rsid w:val="0086195C"/>
    <w:rsid w:val="00861A26"/>
    <w:rsid w:val="00861BFB"/>
    <w:rsid w:val="00861C05"/>
    <w:rsid w:val="008621C5"/>
    <w:rsid w:val="008626F1"/>
    <w:rsid w:val="00862782"/>
    <w:rsid w:val="00862796"/>
    <w:rsid w:val="00862961"/>
    <w:rsid w:val="008629FC"/>
    <w:rsid w:val="00862E80"/>
    <w:rsid w:val="0086304C"/>
    <w:rsid w:val="008630C6"/>
    <w:rsid w:val="00863152"/>
    <w:rsid w:val="008632B7"/>
    <w:rsid w:val="00863451"/>
    <w:rsid w:val="008636A7"/>
    <w:rsid w:val="00863878"/>
    <w:rsid w:val="00863912"/>
    <w:rsid w:val="00863B43"/>
    <w:rsid w:val="00863B82"/>
    <w:rsid w:val="00863BFA"/>
    <w:rsid w:val="00863D3C"/>
    <w:rsid w:val="00863E6D"/>
    <w:rsid w:val="00863F5B"/>
    <w:rsid w:val="00863FAE"/>
    <w:rsid w:val="008644AE"/>
    <w:rsid w:val="00864598"/>
    <w:rsid w:val="0086463C"/>
    <w:rsid w:val="0086465F"/>
    <w:rsid w:val="008646DB"/>
    <w:rsid w:val="00864909"/>
    <w:rsid w:val="00864983"/>
    <w:rsid w:val="00864A53"/>
    <w:rsid w:val="00864AD6"/>
    <w:rsid w:val="00864BEA"/>
    <w:rsid w:val="00864C23"/>
    <w:rsid w:val="00864D7A"/>
    <w:rsid w:val="00864E93"/>
    <w:rsid w:val="00864EEE"/>
    <w:rsid w:val="00864EFF"/>
    <w:rsid w:val="00864F75"/>
    <w:rsid w:val="008650ED"/>
    <w:rsid w:val="008652F5"/>
    <w:rsid w:val="0086546B"/>
    <w:rsid w:val="00865697"/>
    <w:rsid w:val="00865768"/>
    <w:rsid w:val="0086580F"/>
    <w:rsid w:val="008659F2"/>
    <w:rsid w:val="00865FAB"/>
    <w:rsid w:val="00866056"/>
    <w:rsid w:val="00866118"/>
    <w:rsid w:val="00866254"/>
    <w:rsid w:val="00866647"/>
    <w:rsid w:val="008667FF"/>
    <w:rsid w:val="008668AA"/>
    <w:rsid w:val="008668EC"/>
    <w:rsid w:val="008668F2"/>
    <w:rsid w:val="00866906"/>
    <w:rsid w:val="00866D17"/>
    <w:rsid w:val="00866E32"/>
    <w:rsid w:val="008670C9"/>
    <w:rsid w:val="008671A1"/>
    <w:rsid w:val="008672C6"/>
    <w:rsid w:val="00867384"/>
    <w:rsid w:val="00867422"/>
    <w:rsid w:val="0086768A"/>
    <w:rsid w:val="008676E5"/>
    <w:rsid w:val="008677B1"/>
    <w:rsid w:val="008677BA"/>
    <w:rsid w:val="00867813"/>
    <w:rsid w:val="00867900"/>
    <w:rsid w:val="00867BE3"/>
    <w:rsid w:val="00867C68"/>
    <w:rsid w:val="00867C6C"/>
    <w:rsid w:val="00867D40"/>
    <w:rsid w:val="00867D9C"/>
    <w:rsid w:val="00867FBF"/>
    <w:rsid w:val="00867FDC"/>
    <w:rsid w:val="00870325"/>
    <w:rsid w:val="00870521"/>
    <w:rsid w:val="00870613"/>
    <w:rsid w:val="00870617"/>
    <w:rsid w:val="008706CD"/>
    <w:rsid w:val="00870795"/>
    <w:rsid w:val="008709C0"/>
    <w:rsid w:val="00870AE4"/>
    <w:rsid w:val="00870B79"/>
    <w:rsid w:val="00870BF7"/>
    <w:rsid w:val="00870F07"/>
    <w:rsid w:val="00870F85"/>
    <w:rsid w:val="00870FA4"/>
    <w:rsid w:val="00871087"/>
    <w:rsid w:val="00871162"/>
    <w:rsid w:val="00871175"/>
    <w:rsid w:val="00871244"/>
    <w:rsid w:val="00871509"/>
    <w:rsid w:val="00871527"/>
    <w:rsid w:val="0087172E"/>
    <w:rsid w:val="00871B5E"/>
    <w:rsid w:val="00871C1F"/>
    <w:rsid w:val="00871DF8"/>
    <w:rsid w:val="00871F82"/>
    <w:rsid w:val="00871FD1"/>
    <w:rsid w:val="00871FE0"/>
    <w:rsid w:val="008722BF"/>
    <w:rsid w:val="0087234A"/>
    <w:rsid w:val="00872413"/>
    <w:rsid w:val="008725D0"/>
    <w:rsid w:val="008725F8"/>
    <w:rsid w:val="0087270F"/>
    <w:rsid w:val="008727CA"/>
    <w:rsid w:val="008729C5"/>
    <w:rsid w:val="008729D8"/>
    <w:rsid w:val="00872AD0"/>
    <w:rsid w:val="00872B1A"/>
    <w:rsid w:val="008737D8"/>
    <w:rsid w:val="00873808"/>
    <w:rsid w:val="00873868"/>
    <w:rsid w:val="00873941"/>
    <w:rsid w:val="00873CA2"/>
    <w:rsid w:val="00874162"/>
    <w:rsid w:val="00874349"/>
    <w:rsid w:val="008743F0"/>
    <w:rsid w:val="0087454B"/>
    <w:rsid w:val="008745B9"/>
    <w:rsid w:val="00874856"/>
    <w:rsid w:val="00874B32"/>
    <w:rsid w:val="00874B7B"/>
    <w:rsid w:val="00874F4C"/>
    <w:rsid w:val="008750C5"/>
    <w:rsid w:val="0087511C"/>
    <w:rsid w:val="00875120"/>
    <w:rsid w:val="0087519C"/>
    <w:rsid w:val="008751DB"/>
    <w:rsid w:val="008752E3"/>
    <w:rsid w:val="008755ED"/>
    <w:rsid w:val="0087560A"/>
    <w:rsid w:val="00875640"/>
    <w:rsid w:val="00875831"/>
    <w:rsid w:val="008759DF"/>
    <w:rsid w:val="00875A7B"/>
    <w:rsid w:val="00875B33"/>
    <w:rsid w:val="00875B5B"/>
    <w:rsid w:val="00875CD5"/>
    <w:rsid w:val="00875F6D"/>
    <w:rsid w:val="0087600C"/>
    <w:rsid w:val="0087617C"/>
    <w:rsid w:val="008761F5"/>
    <w:rsid w:val="00876565"/>
    <w:rsid w:val="0087657A"/>
    <w:rsid w:val="0087669D"/>
    <w:rsid w:val="00876841"/>
    <w:rsid w:val="00876C14"/>
    <w:rsid w:val="00876D44"/>
    <w:rsid w:val="0087702C"/>
    <w:rsid w:val="00877090"/>
    <w:rsid w:val="00877404"/>
    <w:rsid w:val="008776B7"/>
    <w:rsid w:val="008776B8"/>
    <w:rsid w:val="008776D9"/>
    <w:rsid w:val="008776F2"/>
    <w:rsid w:val="00877C1D"/>
    <w:rsid w:val="00877E8C"/>
    <w:rsid w:val="0088011C"/>
    <w:rsid w:val="00880262"/>
    <w:rsid w:val="008806CE"/>
    <w:rsid w:val="0088079B"/>
    <w:rsid w:val="00880982"/>
    <w:rsid w:val="008809B1"/>
    <w:rsid w:val="00880D9E"/>
    <w:rsid w:val="00880FDF"/>
    <w:rsid w:val="00881038"/>
    <w:rsid w:val="0088108D"/>
    <w:rsid w:val="008811C8"/>
    <w:rsid w:val="0088121C"/>
    <w:rsid w:val="0088131F"/>
    <w:rsid w:val="00881771"/>
    <w:rsid w:val="00881A01"/>
    <w:rsid w:val="00881BC0"/>
    <w:rsid w:val="00881DD1"/>
    <w:rsid w:val="00881EAB"/>
    <w:rsid w:val="00881F26"/>
    <w:rsid w:val="00882062"/>
    <w:rsid w:val="00882075"/>
    <w:rsid w:val="0088217D"/>
    <w:rsid w:val="008822DC"/>
    <w:rsid w:val="008823D2"/>
    <w:rsid w:val="00882725"/>
    <w:rsid w:val="00882758"/>
    <w:rsid w:val="008828AD"/>
    <w:rsid w:val="00882BA8"/>
    <w:rsid w:val="00882DF6"/>
    <w:rsid w:val="00882E0F"/>
    <w:rsid w:val="00882F09"/>
    <w:rsid w:val="0088307A"/>
    <w:rsid w:val="00883096"/>
    <w:rsid w:val="0088352C"/>
    <w:rsid w:val="008835CF"/>
    <w:rsid w:val="008835F6"/>
    <w:rsid w:val="00883B1A"/>
    <w:rsid w:val="00883B8F"/>
    <w:rsid w:val="00883C12"/>
    <w:rsid w:val="00883E79"/>
    <w:rsid w:val="00883FCE"/>
    <w:rsid w:val="008840CC"/>
    <w:rsid w:val="00884366"/>
    <w:rsid w:val="0088441C"/>
    <w:rsid w:val="008845CA"/>
    <w:rsid w:val="00884910"/>
    <w:rsid w:val="00884A79"/>
    <w:rsid w:val="00884E89"/>
    <w:rsid w:val="008850D1"/>
    <w:rsid w:val="008852C8"/>
    <w:rsid w:val="00885373"/>
    <w:rsid w:val="008853F7"/>
    <w:rsid w:val="008854EE"/>
    <w:rsid w:val="00885695"/>
    <w:rsid w:val="008856C6"/>
    <w:rsid w:val="00885714"/>
    <w:rsid w:val="00885798"/>
    <w:rsid w:val="00885901"/>
    <w:rsid w:val="00885ABB"/>
    <w:rsid w:val="00885B23"/>
    <w:rsid w:val="00885B4A"/>
    <w:rsid w:val="00885EF2"/>
    <w:rsid w:val="00885EFA"/>
    <w:rsid w:val="008862A8"/>
    <w:rsid w:val="00886400"/>
    <w:rsid w:val="00886438"/>
    <w:rsid w:val="00886451"/>
    <w:rsid w:val="008865AD"/>
    <w:rsid w:val="0088677B"/>
    <w:rsid w:val="00886793"/>
    <w:rsid w:val="00886956"/>
    <w:rsid w:val="00886BB5"/>
    <w:rsid w:val="00886F47"/>
    <w:rsid w:val="00886F7A"/>
    <w:rsid w:val="00886FF3"/>
    <w:rsid w:val="00887297"/>
    <w:rsid w:val="00887546"/>
    <w:rsid w:val="00887598"/>
    <w:rsid w:val="008876C2"/>
    <w:rsid w:val="00887C11"/>
    <w:rsid w:val="00887C6E"/>
    <w:rsid w:val="00887D02"/>
    <w:rsid w:val="00887F38"/>
    <w:rsid w:val="00890436"/>
    <w:rsid w:val="0089073A"/>
    <w:rsid w:val="00890811"/>
    <w:rsid w:val="0089087E"/>
    <w:rsid w:val="008909A4"/>
    <w:rsid w:val="00890C60"/>
    <w:rsid w:val="00890E56"/>
    <w:rsid w:val="00890F1C"/>
    <w:rsid w:val="00891123"/>
    <w:rsid w:val="0089116F"/>
    <w:rsid w:val="00891208"/>
    <w:rsid w:val="0089143F"/>
    <w:rsid w:val="0089148B"/>
    <w:rsid w:val="008915FB"/>
    <w:rsid w:val="008916F7"/>
    <w:rsid w:val="00891767"/>
    <w:rsid w:val="008917AF"/>
    <w:rsid w:val="008917B8"/>
    <w:rsid w:val="0089189B"/>
    <w:rsid w:val="00891ABA"/>
    <w:rsid w:val="00891E0C"/>
    <w:rsid w:val="00891E4A"/>
    <w:rsid w:val="00891E65"/>
    <w:rsid w:val="00892001"/>
    <w:rsid w:val="00892285"/>
    <w:rsid w:val="008923BB"/>
    <w:rsid w:val="008924BC"/>
    <w:rsid w:val="008924E1"/>
    <w:rsid w:val="008924F0"/>
    <w:rsid w:val="00892908"/>
    <w:rsid w:val="00892CF4"/>
    <w:rsid w:val="00892F0A"/>
    <w:rsid w:val="00892FD2"/>
    <w:rsid w:val="008932DD"/>
    <w:rsid w:val="008933FD"/>
    <w:rsid w:val="0089342A"/>
    <w:rsid w:val="0089346A"/>
    <w:rsid w:val="00893638"/>
    <w:rsid w:val="00893726"/>
    <w:rsid w:val="00893C0B"/>
    <w:rsid w:val="00893C97"/>
    <w:rsid w:val="00893CB4"/>
    <w:rsid w:val="00893E5D"/>
    <w:rsid w:val="00894016"/>
    <w:rsid w:val="0089404F"/>
    <w:rsid w:val="0089421C"/>
    <w:rsid w:val="0089425A"/>
    <w:rsid w:val="008942C6"/>
    <w:rsid w:val="00894446"/>
    <w:rsid w:val="0089455F"/>
    <w:rsid w:val="008946CB"/>
    <w:rsid w:val="008946CC"/>
    <w:rsid w:val="0089481C"/>
    <w:rsid w:val="0089483B"/>
    <w:rsid w:val="00894934"/>
    <w:rsid w:val="00894972"/>
    <w:rsid w:val="00895178"/>
    <w:rsid w:val="008952E1"/>
    <w:rsid w:val="008953F8"/>
    <w:rsid w:val="00895853"/>
    <w:rsid w:val="008959FF"/>
    <w:rsid w:val="00895B5D"/>
    <w:rsid w:val="00895D59"/>
    <w:rsid w:val="00895E51"/>
    <w:rsid w:val="00895E87"/>
    <w:rsid w:val="00895EA5"/>
    <w:rsid w:val="00896033"/>
    <w:rsid w:val="00896151"/>
    <w:rsid w:val="008961D4"/>
    <w:rsid w:val="00896305"/>
    <w:rsid w:val="0089642B"/>
    <w:rsid w:val="00896540"/>
    <w:rsid w:val="0089665E"/>
    <w:rsid w:val="00896767"/>
    <w:rsid w:val="00896910"/>
    <w:rsid w:val="00896BA1"/>
    <w:rsid w:val="00896BD4"/>
    <w:rsid w:val="00896D0A"/>
    <w:rsid w:val="00896D98"/>
    <w:rsid w:val="00896E7A"/>
    <w:rsid w:val="008971BA"/>
    <w:rsid w:val="0089759A"/>
    <w:rsid w:val="0089764C"/>
    <w:rsid w:val="00897950"/>
    <w:rsid w:val="00897C97"/>
    <w:rsid w:val="008A0119"/>
    <w:rsid w:val="008A036E"/>
    <w:rsid w:val="008A0599"/>
    <w:rsid w:val="008A05B8"/>
    <w:rsid w:val="008A0869"/>
    <w:rsid w:val="008A0872"/>
    <w:rsid w:val="008A0A09"/>
    <w:rsid w:val="008A0A44"/>
    <w:rsid w:val="008A0AAC"/>
    <w:rsid w:val="008A0F37"/>
    <w:rsid w:val="008A10E8"/>
    <w:rsid w:val="008A110A"/>
    <w:rsid w:val="008A1267"/>
    <w:rsid w:val="008A1299"/>
    <w:rsid w:val="008A12A3"/>
    <w:rsid w:val="008A12EF"/>
    <w:rsid w:val="008A1453"/>
    <w:rsid w:val="008A1ADC"/>
    <w:rsid w:val="008A1BC4"/>
    <w:rsid w:val="008A1CB3"/>
    <w:rsid w:val="008A1CFD"/>
    <w:rsid w:val="008A1D8F"/>
    <w:rsid w:val="008A226B"/>
    <w:rsid w:val="008A23F0"/>
    <w:rsid w:val="008A2543"/>
    <w:rsid w:val="008A2661"/>
    <w:rsid w:val="008A29AD"/>
    <w:rsid w:val="008A2ED7"/>
    <w:rsid w:val="008A2EDB"/>
    <w:rsid w:val="008A301F"/>
    <w:rsid w:val="008A316A"/>
    <w:rsid w:val="008A319F"/>
    <w:rsid w:val="008A33D7"/>
    <w:rsid w:val="008A348A"/>
    <w:rsid w:val="008A3497"/>
    <w:rsid w:val="008A34E5"/>
    <w:rsid w:val="008A3659"/>
    <w:rsid w:val="008A36DA"/>
    <w:rsid w:val="008A3904"/>
    <w:rsid w:val="008A3A80"/>
    <w:rsid w:val="008A3D12"/>
    <w:rsid w:val="008A3E44"/>
    <w:rsid w:val="008A3E51"/>
    <w:rsid w:val="008A3E7D"/>
    <w:rsid w:val="008A3EB1"/>
    <w:rsid w:val="008A3EDC"/>
    <w:rsid w:val="008A3F7C"/>
    <w:rsid w:val="008A3FFF"/>
    <w:rsid w:val="008A42C7"/>
    <w:rsid w:val="008A4369"/>
    <w:rsid w:val="008A43C1"/>
    <w:rsid w:val="008A440B"/>
    <w:rsid w:val="008A4414"/>
    <w:rsid w:val="008A45CC"/>
    <w:rsid w:val="008A482C"/>
    <w:rsid w:val="008A49EE"/>
    <w:rsid w:val="008A4BE9"/>
    <w:rsid w:val="008A4DC6"/>
    <w:rsid w:val="008A4F93"/>
    <w:rsid w:val="008A518F"/>
    <w:rsid w:val="008A5302"/>
    <w:rsid w:val="008A537B"/>
    <w:rsid w:val="008A5426"/>
    <w:rsid w:val="008A5744"/>
    <w:rsid w:val="008A583D"/>
    <w:rsid w:val="008A5931"/>
    <w:rsid w:val="008A5A22"/>
    <w:rsid w:val="008A5DAA"/>
    <w:rsid w:val="008A5F60"/>
    <w:rsid w:val="008A610F"/>
    <w:rsid w:val="008A61B2"/>
    <w:rsid w:val="008A641E"/>
    <w:rsid w:val="008A644E"/>
    <w:rsid w:val="008A6A63"/>
    <w:rsid w:val="008A6BC0"/>
    <w:rsid w:val="008A6DCB"/>
    <w:rsid w:val="008A6EBD"/>
    <w:rsid w:val="008A6FEB"/>
    <w:rsid w:val="008A70B5"/>
    <w:rsid w:val="008A7185"/>
    <w:rsid w:val="008A765D"/>
    <w:rsid w:val="008A7B00"/>
    <w:rsid w:val="008A7CFF"/>
    <w:rsid w:val="008B0063"/>
    <w:rsid w:val="008B0224"/>
    <w:rsid w:val="008B02A6"/>
    <w:rsid w:val="008B0463"/>
    <w:rsid w:val="008B0721"/>
    <w:rsid w:val="008B0998"/>
    <w:rsid w:val="008B09AB"/>
    <w:rsid w:val="008B09E9"/>
    <w:rsid w:val="008B09F1"/>
    <w:rsid w:val="008B0A0F"/>
    <w:rsid w:val="008B0B83"/>
    <w:rsid w:val="008B0D88"/>
    <w:rsid w:val="008B0E42"/>
    <w:rsid w:val="008B0E4C"/>
    <w:rsid w:val="008B0FE6"/>
    <w:rsid w:val="008B100F"/>
    <w:rsid w:val="008B12B7"/>
    <w:rsid w:val="008B13B7"/>
    <w:rsid w:val="008B156D"/>
    <w:rsid w:val="008B173D"/>
    <w:rsid w:val="008B18F4"/>
    <w:rsid w:val="008B19D0"/>
    <w:rsid w:val="008B1D6C"/>
    <w:rsid w:val="008B20A0"/>
    <w:rsid w:val="008B21C7"/>
    <w:rsid w:val="008B2371"/>
    <w:rsid w:val="008B23AC"/>
    <w:rsid w:val="008B2461"/>
    <w:rsid w:val="008B26E6"/>
    <w:rsid w:val="008B2A2B"/>
    <w:rsid w:val="008B2B4B"/>
    <w:rsid w:val="008B2B86"/>
    <w:rsid w:val="008B2C48"/>
    <w:rsid w:val="008B2D7B"/>
    <w:rsid w:val="008B316C"/>
    <w:rsid w:val="008B32F9"/>
    <w:rsid w:val="008B3391"/>
    <w:rsid w:val="008B343B"/>
    <w:rsid w:val="008B34AA"/>
    <w:rsid w:val="008B3A0B"/>
    <w:rsid w:val="008B3A10"/>
    <w:rsid w:val="008B3B36"/>
    <w:rsid w:val="008B3C22"/>
    <w:rsid w:val="008B3D16"/>
    <w:rsid w:val="008B3DAC"/>
    <w:rsid w:val="008B3E66"/>
    <w:rsid w:val="008B3EBE"/>
    <w:rsid w:val="008B3FE3"/>
    <w:rsid w:val="008B4074"/>
    <w:rsid w:val="008B40FC"/>
    <w:rsid w:val="008B4198"/>
    <w:rsid w:val="008B4226"/>
    <w:rsid w:val="008B4250"/>
    <w:rsid w:val="008B4293"/>
    <w:rsid w:val="008B453C"/>
    <w:rsid w:val="008B472E"/>
    <w:rsid w:val="008B4EA4"/>
    <w:rsid w:val="008B5069"/>
    <w:rsid w:val="008B512E"/>
    <w:rsid w:val="008B5604"/>
    <w:rsid w:val="008B57CF"/>
    <w:rsid w:val="008B57DA"/>
    <w:rsid w:val="008B59D5"/>
    <w:rsid w:val="008B5A4A"/>
    <w:rsid w:val="008B5D24"/>
    <w:rsid w:val="008B5E4A"/>
    <w:rsid w:val="008B611D"/>
    <w:rsid w:val="008B6289"/>
    <w:rsid w:val="008B62BA"/>
    <w:rsid w:val="008B6408"/>
    <w:rsid w:val="008B6419"/>
    <w:rsid w:val="008B65B8"/>
    <w:rsid w:val="008B6785"/>
    <w:rsid w:val="008B6B2F"/>
    <w:rsid w:val="008B6E5B"/>
    <w:rsid w:val="008B6FC8"/>
    <w:rsid w:val="008B737B"/>
    <w:rsid w:val="008B73C2"/>
    <w:rsid w:val="008B776F"/>
    <w:rsid w:val="008B78B0"/>
    <w:rsid w:val="008B79D9"/>
    <w:rsid w:val="008B7A62"/>
    <w:rsid w:val="008B7CAF"/>
    <w:rsid w:val="008B7D90"/>
    <w:rsid w:val="008B7FAF"/>
    <w:rsid w:val="008C01F9"/>
    <w:rsid w:val="008C0422"/>
    <w:rsid w:val="008C044C"/>
    <w:rsid w:val="008C049C"/>
    <w:rsid w:val="008C0505"/>
    <w:rsid w:val="008C05E9"/>
    <w:rsid w:val="008C078C"/>
    <w:rsid w:val="008C094E"/>
    <w:rsid w:val="008C114A"/>
    <w:rsid w:val="008C1526"/>
    <w:rsid w:val="008C1572"/>
    <w:rsid w:val="008C168D"/>
    <w:rsid w:val="008C16F4"/>
    <w:rsid w:val="008C1739"/>
    <w:rsid w:val="008C176E"/>
    <w:rsid w:val="008C2267"/>
    <w:rsid w:val="008C243A"/>
    <w:rsid w:val="008C2574"/>
    <w:rsid w:val="008C2A3F"/>
    <w:rsid w:val="008C2BC2"/>
    <w:rsid w:val="008C2BE3"/>
    <w:rsid w:val="008C2D7D"/>
    <w:rsid w:val="008C2DA6"/>
    <w:rsid w:val="008C2EA8"/>
    <w:rsid w:val="008C2FE4"/>
    <w:rsid w:val="008C32F1"/>
    <w:rsid w:val="008C3375"/>
    <w:rsid w:val="008C3451"/>
    <w:rsid w:val="008C36C7"/>
    <w:rsid w:val="008C38C6"/>
    <w:rsid w:val="008C3E71"/>
    <w:rsid w:val="008C4186"/>
    <w:rsid w:val="008C42F4"/>
    <w:rsid w:val="008C4303"/>
    <w:rsid w:val="008C430E"/>
    <w:rsid w:val="008C438A"/>
    <w:rsid w:val="008C43AF"/>
    <w:rsid w:val="008C44E2"/>
    <w:rsid w:val="008C46A8"/>
    <w:rsid w:val="008C476F"/>
    <w:rsid w:val="008C4A72"/>
    <w:rsid w:val="008C4DC2"/>
    <w:rsid w:val="008C4E1F"/>
    <w:rsid w:val="008C4F74"/>
    <w:rsid w:val="008C4F79"/>
    <w:rsid w:val="008C5286"/>
    <w:rsid w:val="008C5453"/>
    <w:rsid w:val="008C56B3"/>
    <w:rsid w:val="008C57F3"/>
    <w:rsid w:val="008C5842"/>
    <w:rsid w:val="008C5861"/>
    <w:rsid w:val="008C5BA8"/>
    <w:rsid w:val="008C5D70"/>
    <w:rsid w:val="008C5E2A"/>
    <w:rsid w:val="008C6087"/>
    <w:rsid w:val="008C609A"/>
    <w:rsid w:val="008C6516"/>
    <w:rsid w:val="008C65E5"/>
    <w:rsid w:val="008C6652"/>
    <w:rsid w:val="008C6922"/>
    <w:rsid w:val="008C693C"/>
    <w:rsid w:val="008C6C96"/>
    <w:rsid w:val="008C6D32"/>
    <w:rsid w:val="008C6DCA"/>
    <w:rsid w:val="008C727A"/>
    <w:rsid w:val="008C731B"/>
    <w:rsid w:val="008C741A"/>
    <w:rsid w:val="008C7593"/>
    <w:rsid w:val="008C75AC"/>
    <w:rsid w:val="008C7690"/>
    <w:rsid w:val="008C7A5F"/>
    <w:rsid w:val="008C7B75"/>
    <w:rsid w:val="008C7C2B"/>
    <w:rsid w:val="008C7D31"/>
    <w:rsid w:val="008C7D46"/>
    <w:rsid w:val="008C7D64"/>
    <w:rsid w:val="008C7E84"/>
    <w:rsid w:val="008C7E8D"/>
    <w:rsid w:val="008C7F52"/>
    <w:rsid w:val="008C7F60"/>
    <w:rsid w:val="008C7F88"/>
    <w:rsid w:val="008D01CA"/>
    <w:rsid w:val="008D032B"/>
    <w:rsid w:val="008D05F1"/>
    <w:rsid w:val="008D05F7"/>
    <w:rsid w:val="008D0653"/>
    <w:rsid w:val="008D0792"/>
    <w:rsid w:val="008D089A"/>
    <w:rsid w:val="008D094A"/>
    <w:rsid w:val="008D0AE3"/>
    <w:rsid w:val="008D0B57"/>
    <w:rsid w:val="008D0B5B"/>
    <w:rsid w:val="008D0D2F"/>
    <w:rsid w:val="008D0E46"/>
    <w:rsid w:val="008D0ED9"/>
    <w:rsid w:val="008D1036"/>
    <w:rsid w:val="008D12E1"/>
    <w:rsid w:val="008D12F2"/>
    <w:rsid w:val="008D138C"/>
    <w:rsid w:val="008D1726"/>
    <w:rsid w:val="008D19F3"/>
    <w:rsid w:val="008D1B62"/>
    <w:rsid w:val="008D1D82"/>
    <w:rsid w:val="008D1F97"/>
    <w:rsid w:val="008D20FB"/>
    <w:rsid w:val="008D22B5"/>
    <w:rsid w:val="008D2412"/>
    <w:rsid w:val="008D25EA"/>
    <w:rsid w:val="008D2884"/>
    <w:rsid w:val="008D2985"/>
    <w:rsid w:val="008D29FB"/>
    <w:rsid w:val="008D2B0B"/>
    <w:rsid w:val="008D304E"/>
    <w:rsid w:val="008D3062"/>
    <w:rsid w:val="008D32CB"/>
    <w:rsid w:val="008D32E6"/>
    <w:rsid w:val="008D3415"/>
    <w:rsid w:val="008D36B2"/>
    <w:rsid w:val="008D3797"/>
    <w:rsid w:val="008D37E8"/>
    <w:rsid w:val="008D394F"/>
    <w:rsid w:val="008D3951"/>
    <w:rsid w:val="008D39D6"/>
    <w:rsid w:val="008D3CC7"/>
    <w:rsid w:val="008D3D41"/>
    <w:rsid w:val="008D3DE4"/>
    <w:rsid w:val="008D3E1E"/>
    <w:rsid w:val="008D3E85"/>
    <w:rsid w:val="008D4422"/>
    <w:rsid w:val="008D446A"/>
    <w:rsid w:val="008D4575"/>
    <w:rsid w:val="008D4AB9"/>
    <w:rsid w:val="008D4C39"/>
    <w:rsid w:val="008D4C51"/>
    <w:rsid w:val="008D4C6B"/>
    <w:rsid w:val="008D4E76"/>
    <w:rsid w:val="008D4F73"/>
    <w:rsid w:val="008D4FDE"/>
    <w:rsid w:val="008D54AF"/>
    <w:rsid w:val="008D551D"/>
    <w:rsid w:val="008D5750"/>
    <w:rsid w:val="008D5989"/>
    <w:rsid w:val="008D5F69"/>
    <w:rsid w:val="008D5F72"/>
    <w:rsid w:val="008D5F81"/>
    <w:rsid w:val="008D611B"/>
    <w:rsid w:val="008D6236"/>
    <w:rsid w:val="008D6546"/>
    <w:rsid w:val="008D669F"/>
    <w:rsid w:val="008D681D"/>
    <w:rsid w:val="008D6825"/>
    <w:rsid w:val="008D685A"/>
    <w:rsid w:val="008D6D83"/>
    <w:rsid w:val="008D6EAB"/>
    <w:rsid w:val="008D712F"/>
    <w:rsid w:val="008D71B5"/>
    <w:rsid w:val="008D73F6"/>
    <w:rsid w:val="008D74A3"/>
    <w:rsid w:val="008D74DA"/>
    <w:rsid w:val="008D75D2"/>
    <w:rsid w:val="008D7B3B"/>
    <w:rsid w:val="008D7BDA"/>
    <w:rsid w:val="008E01B9"/>
    <w:rsid w:val="008E02DF"/>
    <w:rsid w:val="008E03D9"/>
    <w:rsid w:val="008E03F7"/>
    <w:rsid w:val="008E05B8"/>
    <w:rsid w:val="008E0673"/>
    <w:rsid w:val="008E079D"/>
    <w:rsid w:val="008E07E4"/>
    <w:rsid w:val="008E080B"/>
    <w:rsid w:val="008E0BE6"/>
    <w:rsid w:val="008E0E39"/>
    <w:rsid w:val="008E1113"/>
    <w:rsid w:val="008E11B3"/>
    <w:rsid w:val="008E11BA"/>
    <w:rsid w:val="008E1262"/>
    <w:rsid w:val="008E1272"/>
    <w:rsid w:val="008E12ED"/>
    <w:rsid w:val="008E140E"/>
    <w:rsid w:val="008E1486"/>
    <w:rsid w:val="008E14D2"/>
    <w:rsid w:val="008E150F"/>
    <w:rsid w:val="008E1547"/>
    <w:rsid w:val="008E1797"/>
    <w:rsid w:val="008E1851"/>
    <w:rsid w:val="008E206D"/>
    <w:rsid w:val="008E21BB"/>
    <w:rsid w:val="008E227B"/>
    <w:rsid w:val="008E2961"/>
    <w:rsid w:val="008E2ABA"/>
    <w:rsid w:val="008E2B12"/>
    <w:rsid w:val="008E2BDF"/>
    <w:rsid w:val="008E2D11"/>
    <w:rsid w:val="008E30CB"/>
    <w:rsid w:val="008E30CC"/>
    <w:rsid w:val="008E30F6"/>
    <w:rsid w:val="008E3267"/>
    <w:rsid w:val="008E355F"/>
    <w:rsid w:val="008E3637"/>
    <w:rsid w:val="008E36A1"/>
    <w:rsid w:val="008E3701"/>
    <w:rsid w:val="008E385C"/>
    <w:rsid w:val="008E3B17"/>
    <w:rsid w:val="008E3B36"/>
    <w:rsid w:val="008E3C60"/>
    <w:rsid w:val="008E4057"/>
    <w:rsid w:val="008E4179"/>
    <w:rsid w:val="008E41F1"/>
    <w:rsid w:val="008E43AD"/>
    <w:rsid w:val="008E44CD"/>
    <w:rsid w:val="008E44FB"/>
    <w:rsid w:val="008E4526"/>
    <w:rsid w:val="008E45CF"/>
    <w:rsid w:val="008E46E7"/>
    <w:rsid w:val="008E484D"/>
    <w:rsid w:val="008E48AA"/>
    <w:rsid w:val="008E48C0"/>
    <w:rsid w:val="008E4A8E"/>
    <w:rsid w:val="008E4D75"/>
    <w:rsid w:val="008E508F"/>
    <w:rsid w:val="008E5305"/>
    <w:rsid w:val="008E54DF"/>
    <w:rsid w:val="008E54EA"/>
    <w:rsid w:val="008E5A34"/>
    <w:rsid w:val="008E5E09"/>
    <w:rsid w:val="008E6230"/>
    <w:rsid w:val="008E6300"/>
    <w:rsid w:val="008E63C8"/>
    <w:rsid w:val="008E63D1"/>
    <w:rsid w:val="008E6400"/>
    <w:rsid w:val="008E6562"/>
    <w:rsid w:val="008E6636"/>
    <w:rsid w:val="008E68C4"/>
    <w:rsid w:val="008E6ACD"/>
    <w:rsid w:val="008E6CD7"/>
    <w:rsid w:val="008E6E47"/>
    <w:rsid w:val="008E709B"/>
    <w:rsid w:val="008E727E"/>
    <w:rsid w:val="008E72A3"/>
    <w:rsid w:val="008E759F"/>
    <w:rsid w:val="008E760D"/>
    <w:rsid w:val="008E76BC"/>
    <w:rsid w:val="008E7938"/>
    <w:rsid w:val="008E79DB"/>
    <w:rsid w:val="008E7BF8"/>
    <w:rsid w:val="008F049D"/>
    <w:rsid w:val="008F06AE"/>
    <w:rsid w:val="008F0D3B"/>
    <w:rsid w:val="008F105F"/>
    <w:rsid w:val="008F1349"/>
    <w:rsid w:val="008F13D2"/>
    <w:rsid w:val="008F19EE"/>
    <w:rsid w:val="008F1B3C"/>
    <w:rsid w:val="008F1DE6"/>
    <w:rsid w:val="008F1E59"/>
    <w:rsid w:val="008F1E73"/>
    <w:rsid w:val="008F1F2E"/>
    <w:rsid w:val="008F1FD4"/>
    <w:rsid w:val="008F2030"/>
    <w:rsid w:val="008F2772"/>
    <w:rsid w:val="008F2859"/>
    <w:rsid w:val="008F28BF"/>
    <w:rsid w:val="008F2927"/>
    <w:rsid w:val="008F2CFA"/>
    <w:rsid w:val="008F2DDF"/>
    <w:rsid w:val="008F2DF2"/>
    <w:rsid w:val="008F302B"/>
    <w:rsid w:val="008F369B"/>
    <w:rsid w:val="008F3A7F"/>
    <w:rsid w:val="008F3AE2"/>
    <w:rsid w:val="008F3BD4"/>
    <w:rsid w:val="008F3C05"/>
    <w:rsid w:val="008F3C78"/>
    <w:rsid w:val="008F3D63"/>
    <w:rsid w:val="008F3E13"/>
    <w:rsid w:val="008F43C6"/>
    <w:rsid w:val="008F440B"/>
    <w:rsid w:val="008F4635"/>
    <w:rsid w:val="008F4697"/>
    <w:rsid w:val="008F472E"/>
    <w:rsid w:val="008F4957"/>
    <w:rsid w:val="008F496F"/>
    <w:rsid w:val="008F4C2A"/>
    <w:rsid w:val="008F4FC6"/>
    <w:rsid w:val="008F5383"/>
    <w:rsid w:val="008F53CD"/>
    <w:rsid w:val="008F548F"/>
    <w:rsid w:val="008F54EA"/>
    <w:rsid w:val="008F557A"/>
    <w:rsid w:val="008F5666"/>
    <w:rsid w:val="008F5765"/>
    <w:rsid w:val="008F58F5"/>
    <w:rsid w:val="008F5928"/>
    <w:rsid w:val="008F5A3E"/>
    <w:rsid w:val="008F5CC9"/>
    <w:rsid w:val="008F5DDD"/>
    <w:rsid w:val="008F5E3C"/>
    <w:rsid w:val="008F5FF4"/>
    <w:rsid w:val="008F607E"/>
    <w:rsid w:val="008F60B8"/>
    <w:rsid w:val="008F60E4"/>
    <w:rsid w:val="008F618C"/>
    <w:rsid w:val="008F6287"/>
    <w:rsid w:val="008F66AB"/>
    <w:rsid w:val="008F7040"/>
    <w:rsid w:val="008F70AA"/>
    <w:rsid w:val="008F733C"/>
    <w:rsid w:val="008F73CF"/>
    <w:rsid w:val="008F74FD"/>
    <w:rsid w:val="008F75D0"/>
    <w:rsid w:val="008F7821"/>
    <w:rsid w:val="008F783A"/>
    <w:rsid w:val="008F78D8"/>
    <w:rsid w:val="008F7AFD"/>
    <w:rsid w:val="008F7E84"/>
    <w:rsid w:val="008F7FCA"/>
    <w:rsid w:val="0090072E"/>
    <w:rsid w:val="00900852"/>
    <w:rsid w:val="00900929"/>
    <w:rsid w:val="00900B73"/>
    <w:rsid w:val="00900C17"/>
    <w:rsid w:val="00900D86"/>
    <w:rsid w:val="00900ECB"/>
    <w:rsid w:val="0090101B"/>
    <w:rsid w:val="0090113C"/>
    <w:rsid w:val="009012EA"/>
    <w:rsid w:val="009013A2"/>
    <w:rsid w:val="0090146E"/>
    <w:rsid w:val="00901D9F"/>
    <w:rsid w:val="00901F07"/>
    <w:rsid w:val="0090237B"/>
    <w:rsid w:val="00902578"/>
    <w:rsid w:val="00902674"/>
    <w:rsid w:val="0090269B"/>
    <w:rsid w:val="009026D7"/>
    <w:rsid w:val="00902AE3"/>
    <w:rsid w:val="00902BCC"/>
    <w:rsid w:val="00902CD2"/>
    <w:rsid w:val="00902D17"/>
    <w:rsid w:val="00902D3D"/>
    <w:rsid w:val="00902EF1"/>
    <w:rsid w:val="00903017"/>
    <w:rsid w:val="00903088"/>
    <w:rsid w:val="00903451"/>
    <w:rsid w:val="00903860"/>
    <w:rsid w:val="009039F6"/>
    <w:rsid w:val="00903D18"/>
    <w:rsid w:val="00903D61"/>
    <w:rsid w:val="00903F18"/>
    <w:rsid w:val="009041E1"/>
    <w:rsid w:val="0090432B"/>
    <w:rsid w:val="00904735"/>
    <w:rsid w:val="00904913"/>
    <w:rsid w:val="009049D8"/>
    <w:rsid w:val="009049FF"/>
    <w:rsid w:val="00904BA1"/>
    <w:rsid w:val="00904ED2"/>
    <w:rsid w:val="00904FC8"/>
    <w:rsid w:val="0090505A"/>
    <w:rsid w:val="0090519F"/>
    <w:rsid w:val="00905662"/>
    <w:rsid w:val="00905965"/>
    <w:rsid w:val="00905A0E"/>
    <w:rsid w:val="00905A76"/>
    <w:rsid w:val="00905AD0"/>
    <w:rsid w:val="00905AFB"/>
    <w:rsid w:val="00905F6F"/>
    <w:rsid w:val="009064E8"/>
    <w:rsid w:val="00906636"/>
    <w:rsid w:val="00906691"/>
    <w:rsid w:val="00906833"/>
    <w:rsid w:val="009069C3"/>
    <w:rsid w:val="00906A2C"/>
    <w:rsid w:val="00906B48"/>
    <w:rsid w:val="00906CAC"/>
    <w:rsid w:val="00906E06"/>
    <w:rsid w:val="009073CC"/>
    <w:rsid w:val="009079B8"/>
    <w:rsid w:val="00907B03"/>
    <w:rsid w:val="00907B81"/>
    <w:rsid w:val="00907C54"/>
    <w:rsid w:val="00907F3C"/>
    <w:rsid w:val="00907FB0"/>
    <w:rsid w:val="0091094A"/>
    <w:rsid w:val="00910A05"/>
    <w:rsid w:val="00910A62"/>
    <w:rsid w:val="00910ADD"/>
    <w:rsid w:val="00910F5E"/>
    <w:rsid w:val="00911166"/>
    <w:rsid w:val="009112D9"/>
    <w:rsid w:val="0091141B"/>
    <w:rsid w:val="00911646"/>
    <w:rsid w:val="009117C4"/>
    <w:rsid w:val="0091187F"/>
    <w:rsid w:val="009119E3"/>
    <w:rsid w:val="00911FB4"/>
    <w:rsid w:val="0091211F"/>
    <w:rsid w:val="009121A2"/>
    <w:rsid w:val="0091220C"/>
    <w:rsid w:val="00912218"/>
    <w:rsid w:val="009123F3"/>
    <w:rsid w:val="009126D9"/>
    <w:rsid w:val="0091280C"/>
    <w:rsid w:val="00912A3A"/>
    <w:rsid w:val="00912AE9"/>
    <w:rsid w:val="00912CEC"/>
    <w:rsid w:val="00912E46"/>
    <w:rsid w:val="00912F53"/>
    <w:rsid w:val="009131AA"/>
    <w:rsid w:val="00913412"/>
    <w:rsid w:val="009135BB"/>
    <w:rsid w:val="009137F4"/>
    <w:rsid w:val="00913812"/>
    <w:rsid w:val="00913ACF"/>
    <w:rsid w:val="00913B0F"/>
    <w:rsid w:val="00913C92"/>
    <w:rsid w:val="00913CDE"/>
    <w:rsid w:val="00913CDF"/>
    <w:rsid w:val="00913E43"/>
    <w:rsid w:val="00913ECB"/>
    <w:rsid w:val="009140B9"/>
    <w:rsid w:val="00914179"/>
    <w:rsid w:val="00914188"/>
    <w:rsid w:val="00914202"/>
    <w:rsid w:val="00914419"/>
    <w:rsid w:val="009146EC"/>
    <w:rsid w:val="009147B6"/>
    <w:rsid w:val="009147BF"/>
    <w:rsid w:val="00914D0D"/>
    <w:rsid w:val="00914D51"/>
    <w:rsid w:val="00914E9B"/>
    <w:rsid w:val="00914F23"/>
    <w:rsid w:val="00914F57"/>
    <w:rsid w:val="009151F2"/>
    <w:rsid w:val="009153C9"/>
    <w:rsid w:val="0091542B"/>
    <w:rsid w:val="009158D3"/>
    <w:rsid w:val="00915AA0"/>
    <w:rsid w:val="00915E36"/>
    <w:rsid w:val="009161A2"/>
    <w:rsid w:val="009161E7"/>
    <w:rsid w:val="0091644D"/>
    <w:rsid w:val="009165EF"/>
    <w:rsid w:val="0091666A"/>
    <w:rsid w:val="00916685"/>
    <w:rsid w:val="00916A17"/>
    <w:rsid w:val="00916B68"/>
    <w:rsid w:val="00916C0B"/>
    <w:rsid w:val="00916DAF"/>
    <w:rsid w:val="00916DE1"/>
    <w:rsid w:val="00916E36"/>
    <w:rsid w:val="00916EA9"/>
    <w:rsid w:val="00916ECD"/>
    <w:rsid w:val="00916F04"/>
    <w:rsid w:val="00916FE5"/>
    <w:rsid w:val="00917144"/>
    <w:rsid w:val="0091716C"/>
    <w:rsid w:val="00917245"/>
    <w:rsid w:val="00917323"/>
    <w:rsid w:val="0091769C"/>
    <w:rsid w:val="00917D42"/>
    <w:rsid w:val="00917D6C"/>
    <w:rsid w:val="00917F5C"/>
    <w:rsid w:val="009200BB"/>
    <w:rsid w:val="009201B3"/>
    <w:rsid w:val="00920310"/>
    <w:rsid w:val="009204B5"/>
    <w:rsid w:val="00920503"/>
    <w:rsid w:val="009205D6"/>
    <w:rsid w:val="0092067F"/>
    <w:rsid w:val="00920892"/>
    <w:rsid w:val="00920956"/>
    <w:rsid w:val="0092096A"/>
    <w:rsid w:val="00920AAE"/>
    <w:rsid w:val="00920BE0"/>
    <w:rsid w:val="00920BE6"/>
    <w:rsid w:val="00920CEA"/>
    <w:rsid w:val="00920E37"/>
    <w:rsid w:val="00920F07"/>
    <w:rsid w:val="00920FAC"/>
    <w:rsid w:val="00920FCB"/>
    <w:rsid w:val="009210E6"/>
    <w:rsid w:val="00921100"/>
    <w:rsid w:val="00921150"/>
    <w:rsid w:val="00921151"/>
    <w:rsid w:val="0092122E"/>
    <w:rsid w:val="00921449"/>
    <w:rsid w:val="009218DF"/>
    <w:rsid w:val="00921B7C"/>
    <w:rsid w:val="00921F72"/>
    <w:rsid w:val="00921FBE"/>
    <w:rsid w:val="0092213D"/>
    <w:rsid w:val="00922296"/>
    <w:rsid w:val="0092246E"/>
    <w:rsid w:val="0092256E"/>
    <w:rsid w:val="00922639"/>
    <w:rsid w:val="00922674"/>
    <w:rsid w:val="009227E9"/>
    <w:rsid w:val="00922A3B"/>
    <w:rsid w:val="00922BCB"/>
    <w:rsid w:val="00922C6B"/>
    <w:rsid w:val="00922D1B"/>
    <w:rsid w:val="00922D31"/>
    <w:rsid w:val="00922DA9"/>
    <w:rsid w:val="00922DF6"/>
    <w:rsid w:val="00922EA9"/>
    <w:rsid w:val="00922EFB"/>
    <w:rsid w:val="00922FA2"/>
    <w:rsid w:val="00922FA7"/>
    <w:rsid w:val="009230A7"/>
    <w:rsid w:val="009230B8"/>
    <w:rsid w:val="00923416"/>
    <w:rsid w:val="00923422"/>
    <w:rsid w:val="009235F1"/>
    <w:rsid w:val="00923A6E"/>
    <w:rsid w:val="00923CB1"/>
    <w:rsid w:val="00923DA4"/>
    <w:rsid w:val="00923EC6"/>
    <w:rsid w:val="00924004"/>
    <w:rsid w:val="00924506"/>
    <w:rsid w:val="009248A4"/>
    <w:rsid w:val="00924BE0"/>
    <w:rsid w:val="00924C1C"/>
    <w:rsid w:val="00924D4F"/>
    <w:rsid w:val="00924D65"/>
    <w:rsid w:val="00924DDA"/>
    <w:rsid w:val="00925172"/>
    <w:rsid w:val="00925278"/>
    <w:rsid w:val="00925367"/>
    <w:rsid w:val="009253A0"/>
    <w:rsid w:val="009255F2"/>
    <w:rsid w:val="00925AE7"/>
    <w:rsid w:val="00926139"/>
    <w:rsid w:val="009263A3"/>
    <w:rsid w:val="00926476"/>
    <w:rsid w:val="009265DE"/>
    <w:rsid w:val="0092667C"/>
    <w:rsid w:val="009269B0"/>
    <w:rsid w:val="00926BF1"/>
    <w:rsid w:val="00926CA3"/>
    <w:rsid w:val="00926EE3"/>
    <w:rsid w:val="00926FF4"/>
    <w:rsid w:val="00926FFE"/>
    <w:rsid w:val="00927017"/>
    <w:rsid w:val="009272E7"/>
    <w:rsid w:val="009273D7"/>
    <w:rsid w:val="0092746C"/>
    <w:rsid w:val="0092754F"/>
    <w:rsid w:val="0092755F"/>
    <w:rsid w:val="00927633"/>
    <w:rsid w:val="00927809"/>
    <w:rsid w:val="00927902"/>
    <w:rsid w:val="00927914"/>
    <w:rsid w:val="00927929"/>
    <w:rsid w:val="00927D1A"/>
    <w:rsid w:val="00927D90"/>
    <w:rsid w:val="00927E2C"/>
    <w:rsid w:val="00927F28"/>
    <w:rsid w:val="00927FAA"/>
    <w:rsid w:val="00927FAF"/>
    <w:rsid w:val="009301C9"/>
    <w:rsid w:val="00930257"/>
    <w:rsid w:val="00930289"/>
    <w:rsid w:val="00930787"/>
    <w:rsid w:val="009307FA"/>
    <w:rsid w:val="00930ADE"/>
    <w:rsid w:val="00930D7E"/>
    <w:rsid w:val="00930DD1"/>
    <w:rsid w:val="009311F6"/>
    <w:rsid w:val="00931230"/>
    <w:rsid w:val="009312DE"/>
    <w:rsid w:val="00931300"/>
    <w:rsid w:val="00931329"/>
    <w:rsid w:val="009313CA"/>
    <w:rsid w:val="009313FA"/>
    <w:rsid w:val="0093174F"/>
    <w:rsid w:val="009317D1"/>
    <w:rsid w:val="009317D5"/>
    <w:rsid w:val="00931A52"/>
    <w:rsid w:val="00931BC7"/>
    <w:rsid w:val="00931C1B"/>
    <w:rsid w:val="00931CC6"/>
    <w:rsid w:val="009321AC"/>
    <w:rsid w:val="00932237"/>
    <w:rsid w:val="00932315"/>
    <w:rsid w:val="009323C1"/>
    <w:rsid w:val="0093253B"/>
    <w:rsid w:val="00932544"/>
    <w:rsid w:val="009325B1"/>
    <w:rsid w:val="009326C8"/>
    <w:rsid w:val="00932ABE"/>
    <w:rsid w:val="00932AD8"/>
    <w:rsid w:val="00932C80"/>
    <w:rsid w:val="00932FF2"/>
    <w:rsid w:val="00933359"/>
    <w:rsid w:val="00933387"/>
    <w:rsid w:val="009335F3"/>
    <w:rsid w:val="00933782"/>
    <w:rsid w:val="00933906"/>
    <w:rsid w:val="00933A65"/>
    <w:rsid w:val="00933C14"/>
    <w:rsid w:val="00933E5B"/>
    <w:rsid w:val="00933E97"/>
    <w:rsid w:val="00933EB6"/>
    <w:rsid w:val="009343EB"/>
    <w:rsid w:val="009344A1"/>
    <w:rsid w:val="009344D4"/>
    <w:rsid w:val="00934544"/>
    <w:rsid w:val="00934546"/>
    <w:rsid w:val="0093469D"/>
    <w:rsid w:val="00934721"/>
    <w:rsid w:val="00934767"/>
    <w:rsid w:val="00934878"/>
    <w:rsid w:val="0093499A"/>
    <w:rsid w:val="00934B97"/>
    <w:rsid w:val="00934C5A"/>
    <w:rsid w:val="00934CD5"/>
    <w:rsid w:val="00934D91"/>
    <w:rsid w:val="0093524E"/>
    <w:rsid w:val="00935253"/>
    <w:rsid w:val="00935424"/>
    <w:rsid w:val="009354BC"/>
    <w:rsid w:val="009355F4"/>
    <w:rsid w:val="0093561A"/>
    <w:rsid w:val="0093581C"/>
    <w:rsid w:val="00935820"/>
    <w:rsid w:val="00935853"/>
    <w:rsid w:val="00935886"/>
    <w:rsid w:val="00935919"/>
    <w:rsid w:val="00935C21"/>
    <w:rsid w:val="00935D2D"/>
    <w:rsid w:val="00935DE5"/>
    <w:rsid w:val="00935F0D"/>
    <w:rsid w:val="0093608A"/>
    <w:rsid w:val="0093665D"/>
    <w:rsid w:val="009367F7"/>
    <w:rsid w:val="00936A81"/>
    <w:rsid w:val="00936B85"/>
    <w:rsid w:val="00936E33"/>
    <w:rsid w:val="00936EA2"/>
    <w:rsid w:val="009373EA"/>
    <w:rsid w:val="009374D8"/>
    <w:rsid w:val="0093767B"/>
    <w:rsid w:val="009376B1"/>
    <w:rsid w:val="00937C55"/>
    <w:rsid w:val="00937D92"/>
    <w:rsid w:val="00937E6C"/>
    <w:rsid w:val="00937F23"/>
    <w:rsid w:val="009404F1"/>
    <w:rsid w:val="00940530"/>
    <w:rsid w:val="009405A0"/>
    <w:rsid w:val="009406E0"/>
    <w:rsid w:val="0094077D"/>
    <w:rsid w:val="009407E5"/>
    <w:rsid w:val="009409A7"/>
    <w:rsid w:val="00940E49"/>
    <w:rsid w:val="00940EFF"/>
    <w:rsid w:val="00941002"/>
    <w:rsid w:val="00941217"/>
    <w:rsid w:val="00941860"/>
    <w:rsid w:val="009418AE"/>
    <w:rsid w:val="009418D8"/>
    <w:rsid w:val="00941A04"/>
    <w:rsid w:val="00941AE3"/>
    <w:rsid w:val="00941E60"/>
    <w:rsid w:val="00941F72"/>
    <w:rsid w:val="009420B5"/>
    <w:rsid w:val="009426C0"/>
    <w:rsid w:val="0094275E"/>
    <w:rsid w:val="009427DC"/>
    <w:rsid w:val="00942958"/>
    <w:rsid w:val="00942A03"/>
    <w:rsid w:val="00942EA6"/>
    <w:rsid w:val="00943023"/>
    <w:rsid w:val="009430EE"/>
    <w:rsid w:val="00943473"/>
    <w:rsid w:val="009438B1"/>
    <w:rsid w:val="0094390A"/>
    <w:rsid w:val="0094398E"/>
    <w:rsid w:val="009439D5"/>
    <w:rsid w:val="00943BC1"/>
    <w:rsid w:val="00943C2F"/>
    <w:rsid w:val="00943CD7"/>
    <w:rsid w:val="00943D17"/>
    <w:rsid w:val="00943DB8"/>
    <w:rsid w:val="00943EC7"/>
    <w:rsid w:val="00944108"/>
    <w:rsid w:val="0094417A"/>
    <w:rsid w:val="009442E1"/>
    <w:rsid w:val="00944325"/>
    <w:rsid w:val="009443A6"/>
    <w:rsid w:val="0094463A"/>
    <w:rsid w:val="009447E3"/>
    <w:rsid w:val="00944838"/>
    <w:rsid w:val="00944974"/>
    <w:rsid w:val="00944B97"/>
    <w:rsid w:val="00944C4E"/>
    <w:rsid w:val="00944CCB"/>
    <w:rsid w:val="00944DD2"/>
    <w:rsid w:val="00944E4A"/>
    <w:rsid w:val="00944EBC"/>
    <w:rsid w:val="00945008"/>
    <w:rsid w:val="00945126"/>
    <w:rsid w:val="009453F8"/>
    <w:rsid w:val="009457D3"/>
    <w:rsid w:val="009459BC"/>
    <w:rsid w:val="009459FD"/>
    <w:rsid w:val="00945B2B"/>
    <w:rsid w:val="00945C18"/>
    <w:rsid w:val="00945FE0"/>
    <w:rsid w:val="009460B9"/>
    <w:rsid w:val="00946105"/>
    <w:rsid w:val="0094630B"/>
    <w:rsid w:val="0094635F"/>
    <w:rsid w:val="009466AA"/>
    <w:rsid w:val="009466BA"/>
    <w:rsid w:val="00946766"/>
    <w:rsid w:val="009467EC"/>
    <w:rsid w:val="00946C5F"/>
    <w:rsid w:val="009470F7"/>
    <w:rsid w:val="00947187"/>
    <w:rsid w:val="009472D1"/>
    <w:rsid w:val="009476B5"/>
    <w:rsid w:val="0094790C"/>
    <w:rsid w:val="00947951"/>
    <w:rsid w:val="0094796F"/>
    <w:rsid w:val="00947A97"/>
    <w:rsid w:val="00947AA2"/>
    <w:rsid w:val="00947DC4"/>
    <w:rsid w:val="00947FCA"/>
    <w:rsid w:val="00947FFA"/>
    <w:rsid w:val="009500ED"/>
    <w:rsid w:val="0095058E"/>
    <w:rsid w:val="00950829"/>
    <w:rsid w:val="0095089B"/>
    <w:rsid w:val="0095090F"/>
    <w:rsid w:val="00950C8C"/>
    <w:rsid w:val="00950F50"/>
    <w:rsid w:val="00950FDB"/>
    <w:rsid w:val="009510EC"/>
    <w:rsid w:val="0095144D"/>
    <w:rsid w:val="0095166F"/>
    <w:rsid w:val="00951863"/>
    <w:rsid w:val="00951A74"/>
    <w:rsid w:val="00951B86"/>
    <w:rsid w:val="00951BDE"/>
    <w:rsid w:val="00951DEE"/>
    <w:rsid w:val="00951F02"/>
    <w:rsid w:val="009520E0"/>
    <w:rsid w:val="00952330"/>
    <w:rsid w:val="00952788"/>
    <w:rsid w:val="00952994"/>
    <w:rsid w:val="00952B19"/>
    <w:rsid w:val="00952C3B"/>
    <w:rsid w:val="00952C5E"/>
    <w:rsid w:val="00952C6B"/>
    <w:rsid w:val="00952D21"/>
    <w:rsid w:val="00952EC2"/>
    <w:rsid w:val="00952EF2"/>
    <w:rsid w:val="00953126"/>
    <w:rsid w:val="00953185"/>
    <w:rsid w:val="00953188"/>
    <w:rsid w:val="0095372C"/>
    <w:rsid w:val="00953931"/>
    <w:rsid w:val="009539BD"/>
    <w:rsid w:val="00953A4D"/>
    <w:rsid w:val="00953D80"/>
    <w:rsid w:val="00953DFA"/>
    <w:rsid w:val="00953F47"/>
    <w:rsid w:val="00953F54"/>
    <w:rsid w:val="00953FB0"/>
    <w:rsid w:val="009540AB"/>
    <w:rsid w:val="0095440F"/>
    <w:rsid w:val="009547C3"/>
    <w:rsid w:val="00954996"/>
    <w:rsid w:val="00954BA0"/>
    <w:rsid w:val="00954BBE"/>
    <w:rsid w:val="00954DC8"/>
    <w:rsid w:val="009551B7"/>
    <w:rsid w:val="00955951"/>
    <w:rsid w:val="009559DA"/>
    <w:rsid w:val="00955D09"/>
    <w:rsid w:val="00955DB5"/>
    <w:rsid w:val="00955E03"/>
    <w:rsid w:val="0095611F"/>
    <w:rsid w:val="0095619E"/>
    <w:rsid w:val="009564C9"/>
    <w:rsid w:val="00956530"/>
    <w:rsid w:val="009565A6"/>
    <w:rsid w:val="009566B5"/>
    <w:rsid w:val="00956738"/>
    <w:rsid w:val="00956B37"/>
    <w:rsid w:val="00956BA7"/>
    <w:rsid w:val="00956E34"/>
    <w:rsid w:val="009570D1"/>
    <w:rsid w:val="00957113"/>
    <w:rsid w:val="00957258"/>
    <w:rsid w:val="0095740E"/>
    <w:rsid w:val="00957428"/>
    <w:rsid w:val="0095748B"/>
    <w:rsid w:val="00957555"/>
    <w:rsid w:val="0095768B"/>
    <w:rsid w:val="009578F6"/>
    <w:rsid w:val="00957A40"/>
    <w:rsid w:val="00957B6B"/>
    <w:rsid w:val="009603B1"/>
    <w:rsid w:val="009604B7"/>
    <w:rsid w:val="0096055B"/>
    <w:rsid w:val="0096070E"/>
    <w:rsid w:val="0096079D"/>
    <w:rsid w:val="00960920"/>
    <w:rsid w:val="00960A51"/>
    <w:rsid w:val="00960C19"/>
    <w:rsid w:val="00960C83"/>
    <w:rsid w:val="00960DDA"/>
    <w:rsid w:val="0096107A"/>
    <w:rsid w:val="009610E1"/>
    <w:rsid w:val="009612BF"/>
    <w:rsid w:val="009612F2"/>
    <w:rsid w:val="00961536"/>
    <w:rsid w:val="00961592"/>
    <w:rsid w:val="009615A6"/>
    <w:rsid w:val="0096169E"/>
    <w:rsid w:val="00961887"/>
    <w:rsid w:val="009618E5"/>
    <w:rsid w:val="009619EB"/>
    <w:rsid w:val="00961B6B"/>
    <w:rsid w:val="00961C92"/>
    <w:rsid w:val="00961DAE"/>
    <w:rsid w:val="00961E03"/>
    <w:rsid w:val="00961F8A"/>
    <w:rsid w:val="00962882"/>
    <w:rsid w:val="00962BB9"/>
    <w:rsid w:val="00962D08"/>
    <w:rsid w:val="00962D59"/>
    <w:rsid w:val="00962EDD"/>
    <w:rsid w:val="00963006"/>
    <w:rsid w:val="00963123"/>
    <w:rsid w:val="00963524"/>
    <w:rsid w:val="009636BF"/>
    <w:rsid w:val="00963A06"/>
    <w:rsid w:val="00963A3C"/>
    <w:rsid w:val="00963ADF"/>
    <w:rsid w:val="00963B0F"/>
    <w:rsid w:val="00963BB4"/>
    <w:rsid w:val="00963BC4"/>
    <w:rsid w:val="00963C6F"/>
    <w:rsid w:val="00963CA7"/>
    <w:rsid w:val="00963CC8"/>
    <w:rsid w:val="00963CE9"/>
    <w:rsid w:val="009641C9"/>
    <w:rsid w:val="009644ED"/>
    <w:rsid w:val="0096486F"/>
    <w:rsid w:val="00964A8F"/>
    <w:rsid w:val="00964E60"/>
    <w:rsid w:val="00964E6E"/>
    <w:rsid w:val="009650FD"/>
    <w:rsid w:val="0096531C"/>
    <w:rsid w:val="00965B6B"/>
    <w:rsid w:val="00965CB1"/>
    <w:rsid w:val="00966360"/>
    <w:rsid w:val="0096656A"/>
    <w:rsid w:val="00966B54"/>
    <w:rsid w:val="00966C3E"/>
    <w:rsid w:val="00966C59"/>
    <w:rsid w:val="00966D30"/>
    <w:rsid w:val="00966D54"/>
    <w:rsid w:val="009672E2"/>
    <w:rsid w:val="00967389"/>
    <w:rsid w:val="009676B8"/>
    <w:rsid w:val="009677D4"/>
    <w:rsid w:val="0096783D"/>
    <w:rsid w:val="009678AE"/>
    <w:rsid w:val="00967991"/>
    <w:rsid w:val="00967A58"/>
    <w:rsid w:val="00967A8A"/>
    <w:rsid w:val="00967B10"/>
    <w:rsid w:val="00967B13"/>
    <w:rsid w:val="00967C92"/>
    <w:rsid w:val="00967D94"/>
    <w:rsid w:val="00967E65"/>
    <w:rsid w:val="00967F79"/>
    <w:rsid w:val="009700F0"/>
    <w:rsid w:val="00970137"/>
    <w:rsid w:val="0097035A"/>
    <w:rsid w:val="00970672"/>
    <w:rsid w:val="00970824"/>
    <w:rsid w:val="00970951"/>
    <w:rsid w:val="00970B79"/>
    <w:rsid w:val="00970CB6"/>
    <w:rsid w:val="00970D65"/>
    <w:rsid w:val="00970DC2"/>
    <w:rsid w:val="00970EAD"/>
    <w:rsid w:val="00971045"/>
    <w:rsid w:val="009711D1"/>
    <w:rsid w:val="00971365"/>
    <w:rsid w:val="009713FD"/>
    <w:rsid w:val="0097141A"/>
    <w:rsid w:val="0097155D"/>
    <w:rsid w:val="0097190C"/>
    <w:rsid w:val="0097196E"/>
    <w:rsid w:val="00971BC3"/>
    <w:rsid w:val="00971BC7"/>
    <w:rsid w:val="00971C03"/>
    <w:rsid w:val="00971E2F"/>
    <w:rsid w:val="00971FE3"/>
    <w:rsid w:val="00972186"/>
    <w:rsid w:val="00972458"/>
    <w:rsid w:val="0097270B"/>
    <w:rsid w:val="0097295A"/>
    <w:rsid w:val="00972B1A"/>
    <w:rsid w:val="00972C37"/>
    <w:rsid w:val="00972C99"/>
    <w:rsid w:val="00972CC8"/>
    <w:rsid w:val="00972E72"/>
    <w:rsid w:val="00972E91"/>
    <w:rsid w:val="0097300A"/>
    <w:rsid w:val="00973021"/>
    <w:rsid w:val="0097311F"/>
    <w:rsid w:val="009731BE"/>
    <w:rsid w:val="00973253"/>
    <w:rsid w:val="009733FC"/>
    <w:rsid w:val="00973493"/>
    <w:rsid w:val="00973578"/>
    <w:rsid w:val="009738C4"/>
    <w:rsid w:val="00973C5C"/>
    <w:rsid w:val="00973DE0"/>
    <w:rsid w:val="00973E47"/>
    <w:rsid w:val="00973E9B"/>
    <w:rsid w:val="00973F13"/>
    <w:rsid w:val="0097401E"/>
    <w:rsid w:val="0097446B"/>
    <w:rsid w:val="009748C3"/>
    <w:rsid w:val="009749A3"/>
    <w:rsid w:val="00974AC5"/>
    <w:rsid w:val="00974B11"/>
    <w:rsid w:val="00974BB5"/>
    <w:rsid w:val="00974D40"/>
    <w:rsid w:val="00974D63"/>
    <w:rsid w:val="00975084"/>
    <w:rsid w:val="009750FC"/>
    <w:rsid w:val="00975186"/>
    <w:rsid w:val="00975208"/>
    <w:rsid w:val="00975266"/>
    <w:rsid w:val="00975446"/>
    <w:rsid w:val="009755C9"/>
    <w:rsid w:val="00975A3B"/>
    <w:rsid w:val="00975C5C"/>
    <w:rsid w:val="00975CBE"/>
    <w:rsid w:val="00975EEF"/>
    <w:rsid w:val="009760BD"/>
    <w:rsid w:val="00976138"/>
    <w:rsid w:val="00976285"/>
    <w:rsid w:val="0097654F"/>
    <w:rsid w:val="009767D4"/>
    <w:rsid w:val="0097680F"/>
    <w:rsid w:val="00976D3B"/>
    <w:rsid w:val="00977000"/>
    <w:rsid w:val="009771D0"/>
    <w:rsid w:val="00977231"/>
    <w:rsid w:val="0097745B"/>
    <w:rsid w:val="009777BC"/>
    <w:rsid w:val="00977A04"/>
    <w:rsid w:val="00977ABB"/>
    <w:rsid w:val="00977C3C"/>
    <w:rsid w:val="00977EC9"/>
    <w:rsid w:val="009802EE"/>
    <w:rsid w:val="00980788"/>
    <w:rsid w:val="009809EF"/>
    <w:rsid w:val="00980CC7"/>
    <w:rsid w:val="0098108A"/>
    <w:rsid w:val="00981099"/>
    <w:rsid w:val="0098153C"/>
    <w:rsid w:val="00981581"/>
    <w:rsid w:val="00981702"/>
    <w:rsid w:val="00981A36"/>
    <w:rsid w:val="00981BBC"/>
    <w:rsid w:val="00981D92"/>
    <w:rsid w:val="00981F78"/>
    <w:rsid w:val="009822AB"/>
    <w:rsid w:val="0098238B"/>
    <w:rsid w:val="00982397"/>
    <w:rsid w:val="00982501"/>
    <w:rsid w:val="00982B88"/>
    <w:rsid w:val="00982C4C"/>
    <w:rsid w:val="00982CFA"/>
    <w:rsid w:val="00982D49"/>
    <w:rsid w:val="00982D68"/>
    <w:rsid w:val="00982E84"/>
    <w:rsid w:val="00983159"/>
    <w:rsid w:val="0098316B"/>
    <w:rsid w:val="009832C8"/>
    <w:rsid w:val="0098341F"/>
    <w:rsid w:val="009834F8"/>
    <w:rsid w:val="009835D0"/>
    <w:rsid w:val="00983646"/>
    <w:rsid w:val="00983673"/>
    <w:rsid w:val="009836B7"/>
    <w:rsid w:val="00983847"/>
    <w:rsid w:val="0098388D"/>
    <w:rsid w:val="00983BCD"/>
    <w:rsid w:val="00983C3D"/>
    <w:rsid w:val="00983D43"/>
    <w:rsid w:val="00983FA3"/>
    <w:rsid w:val="009842BB"/>
    <w:rsid w:val="009842C8"/>
    <w:rsid w:val="00984407"/>
    <w:rsid w:val="0098445F"/>
    <w:rsid w:val="0098452A"/>
    <w:rsid w:val="009846B1"/>
    <w:rsid w:val="009847E4"/>
    <w:rsid w:val="0098487C"/>
    <w:rsid w:val="009849E7"/>
    <w:rsid w:val="00984B00"/>
    <w:rsid w:val="00984C12"/>
    <w:rsid w:val="00984C2E"/>
    <w:rsid w:val="00984CA6"/>
    <w:rsid w:val="00984DB8"/>
    <w:rsid w:val="00984F61"/>
    <w:rsid w:val="0098500C"/>
    <w:rsid w:val="009852F2"/>
    <w:rsid w:val="009856B9"/>
    <w:rsid w:val="009857B6"/>
    <w:rsid w:val="009857FB"/>
    <w:rsid w:val="009858CB"/>
    <w:rsid w:val="00985AFD"/>
    <w:rsid w:val="00985B11"/>
    <w:rsid w:val="00985C67"/>
    <w:rsid w:val="00985C70"/>
    <w:rsid w:val="00985F37"/>
    <w:rsid w:val="00986187"/>
    <w:rsid w:val="00986257"/>
    <w:rsid w:val="009862C1"/>
    <w:rsid w:val="00986730"/>
    <w:rsid w:val="009870A4"/>
    <w:rsid w:val="009870DF"/>
    <w:rsid w:val="00987392"/>
    <w:rsid w:val="009873FC"/>
    <w:rsid w:val="00987422"/>
    <w:rsid w:val="0098742E"/>
    <w:rsid w:val="0098746A"/>
    <w:rsid w:val="009874CA"/>
    <w:rsid w:val="0098762F"/>
    <w:rsid w:val="00987631"/>
    <w:rsid w:val="009879F4"/>
    <w:rsid w:val="00987B4D"/>
    <w:rsid w:val="00987B7F"/>
    <w:rsid w:val="00987D0A"/>
    <w:rsid w:val="00987E22"/>
    <w:rsid w:val="00987E84"/>
    <w:rsid w:val="00990152"/>
    <w:rsid w:val="00990190"/>
    <w:rsid w:val="009903D3"/>
    <w:rsid w:val="009905E5"/>
    <w:rsid w:val="009906C3"/>
    <w:rsid w:val="009906F1"/>
    <w:rsid w:val="0099080F"/>
    <w:rsid w:val="00990932"/>
    <w:rsid w:val="00990A71"/>
    <w:rsid w:val="00990FD1"/>
    <w:rsid w:val="009910E5"/>
    <w:rsid w:val="0099116D"/>
    <w:rsid w:val="00991251"/>
    <w:rsid w:val="009912A0"/>
    <w:rsid w:val="0099136E"/>
    <w:rsid w:val="009914DB"/>
    <w:rsid w:val="009914E6"/>
    <w:rsid w:val="00991513"/>
    <w:rsid w:val="00991514"/>
    <w:rsid w:val="0099199F"/>
    <w:rsid w:val="00991DE2"/>
    <w:rsid w:val="00991E20"/>
    <w:rsid w:val="00991E76"/>
    <w:rsid w:val="00991E9E"/>
    <w:rsid w:val="00991EFC"/>
    <w:rsid w:val="00991F19"/>
    <w:rsid w:val="00991F5A"/>
    <w:rsid w:val="00991FC0"/>
    <w:rsid w:val="00992688"/>
    <w:rsid w:val="0099292B"/>
    <w:rsid w:val="00992D11"/>
    <w:rsid w:val="00992E1B"/>
    <w:rsid w:val="00993091"/>
    <w:rsid w:val="009931A1"/>
    <w:rsid w:val="009931F5"/>
    <w:rsid w:val="00993366"/>
    <w:rsid w:val="00993496"/>
    <w:rsid w:val="009934C0"/>
    <w:rsid w:val="0099359F"/>
    <w:rsid w:val="0099361A"/>
    <w:rsid w:val="009936FD"/>
    <w:rsid w:val="00993A79"/>
    <w:rsid w:val="00993B9D"/>
    <w:rsid w:val="00993EF9"/>
    <w:rsid w:val="0099405C"/>
    <w:rsid w:val="0099438A"/>
    <w:rsid w:val="00994545"/>
    <w:rsid w:val="0099455D"/>
    <w:rsid w:val="009946FF"/>
    <w:rsid w:val="00994720"/>
    <w:rsid w:val="009947DB"/>
    <w:rsid w:val="0099488C"/>
    <w:rsid w:val="00994C2E"/>
    <w:rsid w:val="00994C8E"/>
    <w:rsid w:val="00994DFA"/>
    <w:rsid w:val="00995075"/>
    <w:rsid w:val="0099576B"/>
    <w:rsid w:val="00995822"/>
    <w:rsid w:val="00995919"/>
    <w:rsid w:val="0099594D"/>
    <w:rsid w:val="009959F2"/>
    <w:rsid w:val="00995C80"/>
    <w:rsid w:val="00995D23"/>
    <w:rsid w:val="00995DA2"/>
    <w:rsid w:val="00996090"/>
    <w:rsid w:val="00996107"/>
    <w:rsid w:val="00996374"/>
    <w:rsid w:val="0099653A"/>
    <w:rsid w:val="009965BD"/>
    <w:rsid w:val="009965CC"/>
    <w:rsid w:val="0099666D"/>
    <w:rsid w:val="00996746"/>
    <w:rsid w:val="00996950"/>
    <w:rsid w:val="0099697C"/>
    <w:rsid w:val="009969D0"/>
    <w:rsid w:val="00996A7D"/>
    <w:rsid w:val="00996B18"/>
    <w:rsid w:val="00996B52"/>
    <w:rsid w:val="00996D2C"/>
    <w:rsid w:val="00996DD9"/>
    <w:rsid w:val="00996F67"/>
    <w:rsid w:val="00996FA3"/>
    <w:rsid w:val="00997324"/>
    <w:rsid w:val="00997525"/>
    <w:rsid w:val="0099797E"/>
    <w:rsid w:val="00997A02"/>
    <w:rsid w:val="00997C17"/>
    <w:rsid w:val="00997C6B"/>
    <w:rsid w:val="009A00F6"/>
    <w:rsid w:val="009A02E7"/>
    <w:rsid w:val="009A03DE"/>
    <w:rsid w:val="009A04EB"/>
    <w:rsid w:val="009A058D"/>
    <w:rsid w:val="009A0AEA"/>
    <w:rsid w:val="009A0C75"/>
    <w:rsid w:val="009A0D76"/>
    <w:rsid w:val="009A0DB1"/>
    <w:rsid w:val="009A0DBB"/>
    <w:rsid w:val="009A0F6F"/>
    <w:rsid w:val="009A0F87"/>
    <w:rsid w:val="009A125A"/>
    <w:rsid w:val="009A1425"/>
    <w:rsid w:val="009A1574"/>
    <w:rsid w:val="009A17B2"/>
    <w:rsid w:val="009A199F"/>
    <w:rsid w:val="009A1C19"/>
    <w:rsid w:val="009A1CD1"/>
    <w:rsid w:val="009A1CD3"/>
    <w:rsid w:val="009A1D95"/>
    <w:rsid w:val="009A1DD1"/>
    <w:rsid w:val="009A212B"/>
    <w:rsid w:val="009A2157"/>
    <w:rsid w:val="009A24FF"/>
    <w:rsid w:val="009A250F"/>
    <w:rsid w:val="009A261A"/>
    <w:rsid w:val="009A26FB"/>
    <w:rsid w:val="009A27F2"/>
    <w:rsid w:val="009A28C0"/>
    <w:rsid w:val="009A28E2"/>
    <w:rsid w:val="009A2909"/>
    <w:rsid w:val="009A2969"/>
    <w:rsid w:val="009A2A96"/>
    <w:rsid w:val="009A2D3F"/>
    <w:rsid w:val="009A2DB9"/>
    <w:rsid w:val="009A2DD3"/>
    <w:rsid w:val="009A2DE3"/>
    <w:rsid w:val="009A304F"/>
    <w:rsid w:val="009A305B"/>
    <w:rsid w:val="009A30CC"/>
    <w:rsid w:val="009A34D2"/>
    <w:rsid w:val="009A34E4"/>
    <w:rsid w:val="009A3704"/>
    <w:rsid w:val="009A38A2"/>
    <w:rsid w:val="009A3B97"/>
    <w:rsid w:val="009A3BD5"/>
    <w:rsid w:val="009A3D93"/>
    <w:rsid w:val="009A4019"/>
    <w:rsid w:val="009A405E"/>
    <w:rsid w:val="009A412B"/>
    <w:rsid w:val="009A41E1"/>
    <w:rsid w:val="009A42D9"/>
    <w:rsid w:val="009A43B5"/>
    <w:rsid w:val="009A445D"/>
    <w:rsid w:val="009A4539"/>
    <w:rsid w:val="009A49F9"/>
    <w:rsid w:val="009A4AA9"/>
    <w:rsid w:val="009A4B65"/>
    <w:rsid w:val="009A4E16"/>
    <w:rsid w:val="009A4E4F"/>
    <w:rsid w:val="009A5150"/>
    <w:rsid w:val="009A523F"/>
    <w:rsid w:val="009A54FE"/>
    <w:rsid w:val="009A5563"/>
    <w:rsid w:val="009A573F"/>
    <w:rsid w:val="009A585F"/>
    <w:rsid w:val="009A5891"/>
    <w:rsid w:val="009A5C8F"/>
    <w:rsid w:val="009A5E22"/>
    <w:rsid w:val="009A6137"/>
    <w:rsid w:val="009A63B3"/>
    <w:rsid w:val="009A6688"/>
    <w:rsid w:val="009A66D3"/>
    <w:rsid w:val="009A66EA"/>
    <w:rsid w:val="009A69CE"/>
    <w:rsid w:val="009A6C2B"/>
    <w:rsid w:val="009A6F8A"/>
    <w:rsid w:val="009A7005"/>
    <w:rsid w:val="009A74E0"/>
    <w:rsid w:val="009A75D2"/>
    <w:rsid w:val="009A773F"/>
    <w:rsid w:val="009A78B0"/>
    <w:rsid w:val="009A7932"/>
    <w:rsid w:val="009A7D27"/>
    <w:rsid w:val="009A7ED4"/>
    <w:rsid w:val="009B0085"/>
    <w:rsid w:val="009B0659"/>
    <w:rsid w:val="009B06BB"/>
    <w:rsid w:val="009B0778"/>
    <w:rsid w:val="009B0953"/>
    <w:rsid w:val="009B0987"/>
    <w:rsid w:val="009B0BE6"/>
    <w:rsid w:val="009B0E28"/>
    <w:rsid w:val="009B0F35"/>
    <w:rsid w:val="009B0F6E"/>
    <w:rsid w:val="009B0F9B"/>
    <w:rsid w:val="009B1036"/>
    <w:rsid w:val="009B11D6"/>
    <w:rsid w:val="009B1376"/>
    <w:rsid w:val="009B156D"/>
    <w:rsid w:val="009B1741"/>
    <w:rsid w:val="009B1A81"/>
    <w:rsid w:val="009B1F0D"/>
    <w:rsid w:val="009B1F22"/>
    <w:rsid w:val="009B2076"/>
    <w:rsid w:val="009B20DC"/>
    <w:rsid w:val="009B223B"/>
    <w:rsid w:val="009B2343"/>
    <w:rsid w:val="009B23E8"/>
    <w:rsid w:val="009B2512"/>
    <w:rsid w:val="009B256B"/>
    <w:rsid w:val="009B25C9"/>
    <w:rsid w:val="009B2659"/>
    <w:rsid w:val="009B26F7"/>
    <w:rsid w:val="009B2713"/>
    <w:rsid w:val="009B2742"/>
    <w:rsid w:val="009B27FE"/>
    <w:rsid w:val="009B2879"/>
    <w:rsid w:val="009B2951"/>
    <w:rsid w:val="009B2A8C"/>
    <w:rsid w:val="009B2C94"/>
    <w:rsid w:val="009B2D39"/>
    <w:rsid w:val="009B2DEC"/>
    <w:rsid w:val="009B2F2A"/>
    <w:rsid w:val="009B3063"/>
    <w:rsid w:val="009B3116"/>
    <w:rsid w:val="009B32C9"/>
    <w:rsid w:val="009B37AB"/>
    <w:rsid w:val="009B3CC8"/>
    <w:rsid w:val="009B3DAC"/>
    <w:rsid w:val="009B3DC3"/>
    <w:rsid w:val="009B3E85"/>
    <w:rsid w:val="009B3F04"/>
    <w:rsid w:val="009B4120"/>
    <w:rsid w:val="009B4167"/>
    <w:rsid w:val="009B42B0"/>
    <w:rsid w:val="009B441D"/>
    <w:rsid w:val="009B4438"/>
    <w:rsid w:val="009B4719"/>
    <w:rsid w:val="009B4803"/>
    <w:rsid w:val="009B4A21"/>
    <w:rsid w:val="009B4CDC"/>
    <w:rsid w:val="009B4D45"/>
    <w:rsid w:val="009B5215"/>
    <w:rsid w:val="009B5233"/>
    <w:rsid w:val="009B5383"/>
    <w:rsid w:val="009B54FC"/>
    <w:rsid w:val="009B55CE"/>
    <w:rsid w:val="009B57AE"/>
    <w:rsid w:val="009B5B3B"/>
    <w:rsid w:val="009B5B3F"/>
    <w:rsid w:val="009B5CE9"/>
    <w:rsid w:val="009B5DDF"/>
    <w:rsid w:val="009B5DF4"/>
    <w:rsid w:val="009B5E06"/>
    <w:rsid w:val="009B6066"/>
    <w:rsid w:val="009B6068"/>
    <w:rsid w:val="009B61D9"/>
    <w:rsid w:val="009B624C"/>
    <w:rsid w:val="009B62D6"/>
    <w:rsid w:val="009B631B"/>
    <w:rsid w:val="009B654F"/>
    <w:rsid w:val="009B65DF"/>
    <w:rsid w:val="009B67F3"/>
    <w:rsid w:val="009B6B5D"/>
    <w:rsid w:val="009B6BBA"/>
    <w:rsid w:val="009B6F55"/>
    <w:rsid w:val="009B6FEB"/>
    <w:rsid w:val="009B73FF"/>
    <w:rsid w:val="009B7411"/>
    <w:rsid w:val="009B7539"/>
    <w:rsid w:val="009B7705"/>
    <w:rsid w:val="009B77C0"/>
    <w:rsid w:val="009B7958"/>
    <w:rsid w:val="009B7976"/>
    <w:rsid w:val="009B79A7"/>
    <w:rsid w:val="009B79EF"/>
    <w:rsid w:val="009B7A09"/>
    <w:rsid w:val="009B7A99"/>
    <w:rsid w:val="009B7B62"/>
    <w:rsid w:val="009B7B77"/>
    <w:rsid w:val="009B7BFA"/>
    <w:rsid w:val="009C007E"/>
    <w:rsid w:val="009C009A"/>
    <w:rsid w:val="009C00D7"/>
    <w:rsid w:val="009C012D"/>
    <w:rsid w:val="009C01F2"/>
    <w:rsid w:val="009C0254"/>
    <w:rsid w:val="009C034B"/>
    <w:rsid w:val="009C044C"/>
    <w:rsid w:val="009C04E0"/>
    <w:rsid w:val="009C07B0"/>
    <w:rsid w:val="009C0B41"/>
    <w:rsid w:val="009C0CCD"/>
    <w:rsid w:val="009C1161"/>
    <w:rsid w:val="009C1191"/>
    <w:rsid w:val="009C174F"/>
    <w:rsid w:val="009C175C"/>
    <w:rsid w:val="009C196E"/>
    <w:rsid w:val="009C1ADF"/>
    <w:rsid w:val="009C1B27"/>
    <w:rsid w:val="009C1B83"/>
    <w:rsid w:val="009C1BBB"/>
    <w:rsid w:val="009C1D38"/>
    <w:rsid w:val="009C1E9A"/>
    <w:rsid w:val="009C2029"/>
    <w:rsid w:val="009C2116"/>
    <w:rsid w:val="009C2169"/>
    <w:rsid w:val="009C2171"/>
    <w:rsid w:val="009C21CC"/>
    <w:rsid w:val="009C235B"/>
    <w:rsid w:val="009C2476"/>
    <w:rsid w:val="009C25D4"/>
    <w:rsid w:val="009C2686"/>
    <w:rsid w:val="009C2798"/>
    <w:rsid w:val="009C2E37"/>
    <w:rsid w:val="009C3193"/>
    <w:rsid w:val="009C3225"/>
    <w:rsid w:val="009C3304"/>
    <w:rsid w:val="009C346F"/>
    <w:rsid w:val="009C35CB"/>
    <w:rsid w:val="009C35CC"/>
    <w:rsid w:val="009C36D6"/>
    <w:rsid w:val="009C37A6"/>
    <w:rsid w:val="009C39D8"/>
    <w:rsid w:val="009C3B0B"/>
    <w:rsid w:val="009C3B27"/>
    <w:rsid w:val="009C3B41"/>
    <w:rsid w:val="009C3B77"/>
    <w:rsid w:val="009C3C36"/>
    <w:rsid w:val="009C3D1A"/>
    <w:rsid w:val="009C4276"/>
    <w:rsid w:val="009C4380"/>
    <w:rsid w:val="009C43EB"/>
    <w:rsid w:val="009C4437"/>
    <w:rsid w:val="009C4505"/>
    <w:rsid w:val="009C47BC"/>
    <w:rsid w:val="009C47FD"/>
    <w:rsid w:val="009C4A04"/>
    <w:rsid w:val="009C4BAA"/>
    <w:rsid w:val="009C4C66"/>
    <w:rsid w:val="009C4EBA"/>
    <w:rsid w:val="009C4F69"/>
    <w:rsid w:val="009C50B7"/>
    <w:rsid w:val="009C512B"/>
    <w:rsid w:val="009C53C6"/>
    <w:rsid w:val="009C54BB"/>
    <w:rsid w:val="009C5656"/>
    <w:rsid w:val="009C5802"/>
    <w:rsid w:val="009C58B7"/>
    <w:rsid w:val="009C5938"/>
    <w:rsid w:val="009C5A9C"/>
    <w:rsid w:val="009C5B2C"/>
    <w:rsid w:val="009C5CA7"/>
    <w:rsid w:val="009C5EBC"/>
    <w:rsid w:val="009C627B"/>
    <w:rsid w:val="009C654F"/>
    <w:rsid w:val="009C65E7"/>
    <w:rsid w:val="009C686F"/>
    <w:rsid w:val="009C6B30"/>
    <w:rsid w:val="009C6C3F"/>
    <w:rsid w:val="009C6D7F"/>
    <w:rsid w:val="009C7111"/>
    <w:rsid w:val="009C7176"/>
    <w:rsid w:val="009C7192"/>
    <w:rsid w:val="009C71D5"/>
    <w:rsid w:val="009C7288"/>
    <w:rsid w:val="009C7328"/>
    <w:rsid w:val="009C7517"/>
    <w:rsid w:val="009C767A"/>
    <w:rsid w:val="009C776B"/>
    <w:rsid w:val="009C77E5"/>
    <w:rsid w:val="009C78BD"/>
    <w:rsid w:val="009C7B23"/>
    <w:rsid w:val="009C7BAD"/>
    <w:rsid w:val="009C7FA3"/>
    <w:rsid w:val="009D0059"/>
    <w:rsid w:val="009D0272"/>
    <w:rsid w:val="009D033D"/>
    <w:rsid w:val="009D034F"/>
    <w:rsid w:val="009D0461"/>
    <w:rsid w:val="009D049E"/>
    <w:rsid w:val="009D05B0"/>
    <w:rsid w:val="009D071C"/>
    <w:rsid w:val="009D07D9"/>
    <w:rsid w:val="009D08F3"/>
    <w:rsid w:val="009D0C71"/>
    <w:rsid w:val="009D0DD4"/>
    <w:rsid w:val="009D0EE7"/>
    <w:rsid w:val="009D0FCF"/>
    <w:rsid w:val="009D115E"/>
    <w:rsid w:val="009D12C4"/>
    <w:rsid w:val="009D165C"/>
    <w:rsid w:val="009D1745"/>
    <w:rsid w:val="009D1776"/>
    <w:rsid w:val="009D177A"/>
    <w:rsid w:val="009D1F79"/>
    <w:rsid w:val="009D2017"/>
    <w:rsid w:val="009D20DB"/>
    <w:rsid w:val="009D20DD"/>
    <w:rsid w:val="009D23FB"/>
    <w:rsid w:val="009D23FF"/>
    <w:rsid w:val="009D24A7"/>
    <w:rsid w:val="009D278E"/>
    <w:rsid w:val="009D2922"/>
    <w:rsid w:val="009D2D9B"/>
    <w:rsid w:val="009D2DCF"/>
    <w:rsid w:val="009D2FAF"/>
    <w:rsid w:val="009D31DA"/>
    <w:rsid w:val="009D324B"/>
    <w:rsid w:val="009D3481"/>
    <w:rsid w:val="009D35BF"/>
    <w:rsid w:val="009D372D"/>
    <w:rsid w:val="009D3946"/>
    <w:rsid w:val="009D3947"/>
    <w:rsid w:val="009D3A5B"/>
    <w:rsid w:val="009D3AAC"/>
    <w:rsid w:val="009D3BDF"/>
    <w:rsid w:val="009D3C51"/>
    <w:rsid w:val="009D3C53"/>
    <w:rsid w:val="009D3CD4"/>
    <w:rsid w:val="009D3EB4"/>
    <w:rsid w:val="009D3F6F"/>
    <w:rsid w:val="009D4237"/>
    <w:rsid w:val="009D4343"/>
    <w:rsid w:val="009D4582"/>
    <w:rsid w:val="009D4919"/>
    <w:rsid w:val="009D49EF"/>
    <w:rsid w:val="009D4AEB"/>
    <w:rsid w:val="009D4DE6"/>
    <w:rsid w:val="009D4FD9"/>
    <w:rsid w:val="009D520F"/>
    <w:rsid w:val="009D5585"/>
    <w:rsid w:val="009D56D6"/>
    <w:rsid w:val="009D570B"/>
    <w:rsid w:val="009D5A97"/>
    <w:rsid w:val="009D5FD6"/>
    <w:rsid w:val="009D5FE5"/>
    <w:rsid w:val="009D60D3"/>
    <w:rsid w:val="009D61C0"/>
    <w:rsid w:val="009D6460"/>
    <w:rsid w:val="009D6525"/>
    <w:rsid w:val="009D6627"/>
    <w:rsid w:val="009D6673"/>
    <w:rsid w:val="009D6ADC"/>
    <w:rsid w:val="009D6B26"/>
    <w:rsid w:val="009D6DE6"/>
    <w:rsid w:val="009D6E1A"/>
    <w:rsid w:val="009D6EAB"/>
    <w:rsid w:val="009D6F74"/>
    <w:rsid w:val="009D71CD"/>
    <w:rsid w:val="009D742C"/>
    <w:rsid w:val="009D76A0"/>
    <w:rsid w:val="009D7787"/>
    <w:rsid w:val="009D785D"/>
    <w:rsid w:val="009D78CA"/>
    <w:rsid w:val="009D7BFE"/>
    <w:rsid w:val="009D7DAD"/>
    <w:rsid w:val="009E0086"/>
    <w:rsid w:val="009E0169"/>
    <w:rsid w:val="009E0222"/>
    <w:rsid w:val="009E0416"/>
    <w:rsid w:val="009E04D2"/>
    <w:rsid w:val="009E0569"/>
    <w:rsid w:val="009E063D"/>
    <w:rsid w:val="009E069B"/>
    <w:rsid w:val="009E0A3E"/>
    <w:rsid w:val="009E0ADC"/>
    <w:rsid w:val="009E0DD7"/>
    <w:rsid w:val="009E0DFE"/>
    <w:rsid w:val="009E0F02"/>
    <w:rsid w:val="009E0F66"/>
    <w:rsid w:val="009E118E"/>
    <w:rsid w:val="009E11CB"/>
    <w:rsid w:val="009E12A9"/>
    <w:rsid w:val="009E1341"/>
    <w:rsid w:val="009E1431"/>
    <w:rsid w:val="009E14B6"/>
    <w:rsid w:val="009E1660"/>
    <w:rsid w:val="009E188C"/>
    <w:rsid w:val="009E199E"/>
    <w:rsid w:val="009E1E12"/>
    <w:rsid w:val="009E1FC5"/>
    <w:rsid w:val="009E20D9"/>
    <w:rsid w:val="009E21F5"/>
    <w:rsid w:val="009E23DC"/>
    <w:rsid w:val="009E23F6"/>
    <w:rsid w:val="009E241A"/>
    <w:rsid w:val="009E2856"/>
    <w:rsid w:val="009E2951"/>
    <w:rsid w:val="009E29AC"/>
    <w:rsid w:val="009E2A34"/>
    <w:rsid w:val="009E319C"/>
    <w:rsid w:val="009E32CE"/>
    <w:rsid w:val="009E3454"/>
    <w:rsid w:val="009E3B29"/>
    <w:rsid w:val="009E3C2B"/>
    <w:rsid w:val="009E3C93"/>
    <w:rsid w:val="009E3E23"/>
    <w:rsid w:val="009E3E87"/>
    <w:rsid w:val="009E4019"/>
    <w:rsid w:val="009E41AF"/>
    <w:rsid w:val="009E41F6"/>
    <w:rsid w:val="009E4277"/>
    <w:rsid w:val="009E42DD"/>
    <w:rsid w:val="009E430E"/>
    <w:rsid w:val="009E4443"/>
    <w:rsid w:val="009E4583"/>
    <w:rsid w:val="009E4584"/>
    <w:rsid w:val="009E4589"/>
    <w:rsid w:val="009E49BA"/>
    <w:rsid w:val="009E4B15"/>
    <w:rsid w:val="009E4C59"/>
    <w:rsid w:val="009E4C90"/>
    <w:rsid w:val="009E4E79"/>
    <w:rsid w:val="009E4F6D"/>
    <w:rsid w:val="009E4FD7"/>
    <w:rsid w:val="009E4FE7"/>
    <w:rsid w:val="009E5049"/>
    <w:rsid w:val="009E50A2"/>
    <w:rsid w:val="009E512A"/>
    <w:rsid w:val="009E52C8"/>
    <w:rsid w:val="009E53DC"/>
    <w:rsid w:val="009E58C1"/>
    <w:rsid w:val="009E5A66"/>
    <w:rsid w:val="009E5F2F"/>
    <w:rsid w:val="009E5F93"/>
    <w:rsid w:val="009E6191"/>
    <w:rsid w:val="009E62DE"/>
    <w:rsid w:val="009E6339"/>
    <w:rsid w:val="009E64EA"/>
    <w:rsid w:val="009E6588"/>
    <w:rsid w:val="009E65BB"/>
    <w:rsid w:val="009E6704"/>
    <w:rsid w:val="009E69B2"/>
    <w:rsid w:val="009E6AD6"/>
    <w:rsid w:val="009E6B66"/>
    <w:rsid w:val="009E7096"/>
    <w:rsid w:val="009E713C"/>
    <w:rsid w:val="009E71C2"/>
    <w:rsid w:val="009E72FA"/>
    <w:rsid w:val="009E7461"/>
    <w:rsid w:val="009E7525"/>
    <w:rsid w:val="009E76EC"/>
    <w:rsid w:val="009E7FF8"/>
    <w:rsid w:val="009F02AF"/>
    <w:rsid w:val="009F0392"/>
    <w:rsid w:val="009F06E5"/>
    <w:rsid w:val="009F0841"/>
    <w:rsid w:val="009F0967"/>
    <w:rsid w:val="009F0A60"/>
    <w:rsid w:val="009F0B02"/>
    <w:rsid w:val="009F0CFD"/>
    <w:rsid w:val="009F0D37"/>
    <w:rsid w:val="009F0FC4"/>
    <w:rsid w:val="009F0FD6"/>
    <w:rsid w:val="009F0FE4"/>
    <w:rsid w:val="009F0FFE"/>
    <w:rsid w:val="009F10D1"/>
    <w:rsid w:val="009F1249"/>
    <w:rsid w:val="009F135E"/>
    <w:rsid w:val="009F1652"/>
    <w:rsid w:val="009F1752"/>
    <w:rsid w:val="009F1A6D"/>
    <w:rsid w:val="009F1D68"/>
    <w:rsid w:val="009F1DF6"/>
    <w:rsid w:val="009F1F91"/>
    <w:rsid w:val="009F2083"/>
    <w:rsid w:val="009F211A"/>
    <w:rsid w:val="009F2157"/>
    <w:rsid w:val="009F2358"/>
    <w:rsid w:val="009F24E5"/>
    <w:rsid w:val="009F260A"/>
    <w:rsid w:val="009F277F"/>
    <w:rsid w:val="009F2B17"/>
    <w:rsid w:val="009F2B68"/>
    <w:rsid w:val="009F2EE5"/>
    <w:rsid w:val="009F3100"/>
    <w:rsid w:val="009F3158"/>
    <w:rsid w:val="009F328E"/>
    <w:rsid w:val="009F348C"/>
    <w:rsid w:val="009F35A7"/>
    <w:rsid w:val="009F36A4"/>
    <w:rsid w:val="009F36E4"/>
    <w:rsid w:val="009F3778"/>
    <w:rsid w:val="009F3983"/>
    <w:rsid w:val="009F3985"/>
    <w:rsid w:val="009F39EA"/>
    <w:rsid w:val="009F3AC8"/>
    <w:rsid w:val="009F3C34"/>
    <w:rsid w:val="009F3DD6"/>
    <w:rsid w:val="009F3F59"/>
    <w:rsid w:val="009F3FC4"/>
    <w:rsid w:val="009F41FF"/>
    <w:rsid w:val="009F4256"/>
    <w:rsid w:val="009F42FC"/>
    <w:rsid w:val="009F4391"/>
    <w:rsid w:val="009F475B"/>
    <w:rsid w:val="009F4AD6"/>
    <w:rsid w:val="009F4B0D"/>
    <w:rsid w:val="009F5024"/>
    <w:rsid w:val="009F5384"/>
    <w:rsid w:val="009F5385"/>
    <w:rsid w:val="009F541D"/>
    <w:rsid w:val="009F5467"/>
    <w:rsid w:val="009F56D1"/>
    <w:rsid w:val="009F5717"/>
    <w:rsid w:val="009F5756"/>
    <w:rsid w:val="009F577D"/>
    <w:rsid w:val="009F599C"/>
    <w:rsid w:val="009F59E6"/>
    <w:rsid w:val="009F5C85"/>
    <w:rsid w:val="009F5CAD"/>
    <w:rsid w:val="009F5D44"/>
    <w:rsid w:val="009F5E51"/>
    <w:rsid w:val="009F5F21"/>
    <w:rsid w:val="009F5F60"/>
    <w:rsid w:val="009F6019"/>
    <w:rsid w:val="009F604C"/>
    <w:rsid w:val="009F606E"/>
    <w:rsid w:val="009F60DF"/>
    <w:rsid w:val="009F614C"/>
    <w:rsid w:val="009F6657"/>
    <w:rsid w:val="009F68AA"/>
    <w:rsid w:val="009F69CC"/>
    <w:rsid w:val="009F6BC7"/>
    <w:rsid w:val="009F6D15"/>
    <w:rsid w:val="009F6EC8"/>
    <w:rsid w:val="009F6F1F"/>
    <w:rsid w:val="009F6F5A"/>
    <w:rsid w:val="009F70EE"/>
    <w:rsid w:val="009F7273"/>
    <w:rsid w:val="009F741F"/>
    <w:rsid w:val="009F7430"/>
    <w:rsid w:val="009F7541"/>
    <w:rsid w:val="009F7576"/>
    <w:rsid w:val="009F763E"/>
    <w:rsid w:val="00A00414"/>
    <w:rsid w:val="00A00474"/>
    <w:rsid w:val="00A004B9"/>
    <w:rsid w:val="00A0058D"/>
    <w:rsid w:val="00A00600"/>
    <w:rsid w:val="00A00634"/>
    <w:rsid w:val="00A006A8"/>
    <w:rsid w:val="00A010BF"/>
    <w:rsid w:val="00A01283"/>
    <w:rsid w:val="00A01434"/>
    <w:rsid w:val="00A0154A"/>
    <w:rsid w:val="00A01A5D"/>
    <w:rsid w:val="00A01AF8"/>
    <w:rsid w:val="00A01B3E"/>
    <w:rsid w:val="00A01C9B"/>
    <w:rsid w:val="00A01E8E"/>
    <w:rsid w:val="00A01FA2"/>
    <w:rsid w:val="00A020A1"/>
    <w:rsid w:val="00A02113"/>
    <w:rsid w:val="00A023F2"/>
    <w:rsid w:val="00A0264C"/>
    <w:rsid w:val="00A02675"/>
    <w:rsid w:val="00A0279B"/>
    <w:rsid w:val="00A028D7"/>
    <w:rsid w:val="00A028F0"/>
    <w:rsid w:val="00A029BB"/>
    <w:rsid w:val="00A02AD9"/>
    <w:rsid w:val="00A02AE7"/>
    <w:rsid w:val="00A0301B"/>
    <w:rsid w:val="00A03157"/>
    <w:rsid w:val="00A033DA"/>
    <w:rsid w:val="00A033E0"/>
    <w:rsid w:val="00A0346D"/>
    <w:rsid w:val="00A0362F"/>
    <w:rsid w:val="00A03663"/>
    <w:rsid w:val="00A036F5"/>
    <w:rsid w:val="00A037C7"/>
    <w:rsid w:val="00A037E4"/>
    <w:rsid w:val="00A0380B"/>
    <w:rsid w:val="00A03BCE"/>
    <w:rsid w:val="00A040C7"/>
    <w:rsid w:val="00A040EB"/>
    <w:rsid w:val="00A0410D"/>
    <w:rsid w:val="00A041EE"/>
    <w:rsid w:val="00A0426E"/>
    <w:rsid w:val="00A0455F"/>
    <w:rsid w:val="00A04623"/>
    <w:rsid w:val="00A047A0"/>
    <w:rsid w:val="00A04807"/>
    <w:rsid w:val="00A04AA6"/>
    <w:rsid w:val="00A04C7E"/>
    <w:rsid w:val="00A04D15"/>
    <w:rsid w:val="00A04F1A"/>
    <w:rsid w:val="00A05042"/>
    <w:rsid w:val="00A05055"/>
    <w:rsid w:val="00A0505C"/>
    <w:rsid w:val="00A05104"/>
    <w:rsid w:val="00A05120"/>
    <w:rsid w:val="00A051AA"/>
    <w:rsid w:val="00A05251"/>
    <w:rsid w:val="00A0533C"/>
    <w:rsid w:val="00A05367"/>
    <w:rsid w:val="00A054BF"/>
    <w:rsid w:val="00A05510"/>
    <w:rsid w:val="00A0567F"/>
    <w:rsid w:val="00A05998"/>
    <w:rsid w:val="00A05A70"/>
    <w:rsid w:val="00A05B8A"/>
    <w:rsid w:val="00A05B98"/>
    <w:rsid w:val="00A05C17"/>
    <w:rsid w:val="00A05D7F"/>
    <w:rsid w:val="00A0605D"/>
    <w:rsid w:val="00A0634F"/>
    <w:rsid w:val="00A06370"/>
    <w:rsid w:val="00A063AE"/>
    <w:rsid w:val="00A063FC"/>
    <w:rsid w:val="00A06A53"/>
    <w:rsid w:val="00A06B9D"/>
    <w:rsid w:val="00A06DD5"/>
    <w:rsid w:val="00A07169"/>
    <w:rsid w:val="00A07261"/>
    <w:rsid w:val="00A07562"/>
    <w:rsid w:val="00A0775C"/>
    <w:rsid w:val="00A07A99"/>
    <w:rsid w:val="00A07FAA"/>
    <w:rsid w:val="00A10068"/>
    <w:rsid w:val="00A10458"/>
    <w:rsid w:val="00A104F8"/>
    <w:rsid w:val="00A10986"/>
    <w:rsid w:val="00A10AF9"/>
    <w:rsid w:val="00A10BE2"/>
    <w:rsid w:val="00A11067"/>
    <w:rsid w:val="00A111F5"/>
    <w:rsid w:val="00A1121C"/>
    <w:rsid w:val="00A11356"/>
    <w:rsid w:val="00A11704"/>
    <w:rsid w:val="00A118F5"/>
    <w:rsid w:val="00A11946"/>
    <w:rsid w:val="00A119B4"/>
    <w:rsid w:val="00A119CB"/>
    <w:rsid w:val="00A11B45"/>
    <w:rsid w:val="00A11CC1"/>
    <w:rsid w:val="00A11D39"/>
    <w:rsid w:val="00A11DBC"/>
    <w:rsid w:val="00A11EF0"/>
    <w:rsid w:val="00A12049"/>
    <w:rsid w:val="00A12093"/>
    <w:rsid w:val="00A12576"/>
    <w:rsid w:val="00A12705"/>
    <w:rsid w:val="00A1290B"/>
    <w:rsid w:val="00A12E2D"/>
    <w:rsid w:val="00A12E3C"/>
    <w:rsid w:val="00A12FF8"/>
    <w:rsid w:val="00A1335E"/>
    <w:rsid w:val="00A133E4"/>
    <w:rsid w:val="00A13502"/>
    <w:rsid w:val="00A13A74"/>
    <w:rsid w:val="00A13B22"/>
    <w:rsid w:val="00A13EA4"/>
    <w:rsid w:val="00A13F1A"/>
    <w:rsid w:val="00A13FAF"/>
    <w:rsid w:val="00A1408A"/>
    <w:rsid w:val="00A14316"/>
    <w:rsid w:val="00A14479"/>
    <w:rsid w:val="00A14714"/>
    <w:rsid w:val="00A1474D"/>
    <w:rsid w:val="00A14773"/>
    <w:rsid w:val="00A14880"/>
    <w:rsid w:val="00A148CF"/>
    <w:rsid w:val="00A14986"/>
    <w:rsid w:val="00A14A8D"/>
    <w:rsid w:val="00A14ACB"/>
    <w:rsid w:val="00A14BDC"/>
    <w:rsid w:val="00A1560A"/>
    <w:rsid w:val="00A156A6"/>
    <w:rsid w:val="00A15D72"/>
    <w:rsid w:val="00A164C1"/>
    <w:rsid w:val="00A16693"/>
    <w:rsid w:val="00A169FF"/>
    <w:rsid w:val="00A16B2C"/>
    <w:rsid w:val="00A16B3C"/>
    <w:rsid w:val="00A16BB6"/>
    <w:rsid w:val="00A16CD4"/>
    <w:rsid w:val="00A16DA2"/>
    <w:rsid w:val="00A16FBE"/>
    <w:rsid w:val="00A1766D"/>
    <w:rsid w:val="00A177F9"/>
    <w:rsid w:val="00A17AE2"/>
    <w:rsid w:val="00A17EDB"/>
    <w:rsid w:val="00A20101"/>
    <w:rsid w:val="00A202B1"/>
    <w:rsid w:val="00A202FF"/>
    <w:rsid w:val="00A20352"/>
    <w:rsid w:val="00A203C7"/>
    <w:rsid w:val="00A203D6"/>
    <w:rsid w:val="00A20507"/>
    <w:rsid w:val="00A2054F"/>
    <w:rsid w:val="00A2057C"/>
    <w:rsid w:val="00A2062B"/>
    <w:rsid w:val="00A2074E"/>
    <w:rsid w:val="00A20B42"/>
    <w:rsid w:val="00A20C1C"/>
    <w:rsid w:val="00A20CD2"/>
    <w:rsid w:val="00A20F59"/>
    <w:rsid w:val="00A21007"/>
    <w:rsid w:val="00A21090"/>
    <w:rsid w:val="00A2121E"/>
    <w:rsid w:val="00A21411"/>
    <w:rsid w:val="00A216F8"/>
    <w:rsid w:val="00A21834"/>
    <w:rsid w:val="00A21B50"/>
    <w:rsid w:val="00A21BE2"/>
    <w:rsid w:val="00A21F44"/>
    <w:rsid w:val="00A21FAA"/>
    <w:rsid w:val="00A2203A"/>
    <w:rsid w:val="00A221B8"/>
    <w:rsid w:val="00A22341"/>
    <w:rsid w:val="00A2235A"/>
    <w:rsid w:val="00A22459"/>
    <w:rsid w:val="00A22489"/>
    <w:rsid w:val="00A224E2"/>
    <w:rsid w:val="00A226C7"/>
    <w:rsid w:val="00A22735"/>
    <w:rsid w:val="00A22899"/>
    <w:rsid w:val="00A229F9"/>
    <w:rsid w:val="00A22A2D"/>
    <w:rsid w:val="00A22A9A"/>
    <w:rsid w:val="00A22ACB"/>
    <w:rsid w:val="00A22B36"/>
    <w:rsid w:val="00A22B94"/>
    <w:rsid w:val="00A22CBD"/>
    <w:rsid w:val="00A22D10"/>
    <w:rsid w:val="00A230A0"/>
    <w:rsid w:val="00A231E8"/>
    <w:rsid w:val="00A2362F"/>
    <w:rsid w:val="00A237C5"/>
    <w:rsid w:val="00A23CA3"/>
    <w:rsid w:val="00A23D1D"/>
    <w:rsid w:val="00A23D6A"/>
    <w:rsid w:val="00A23DDE"/>
    <w:rsid w:val="00A23DE7"/>
    <w:rsid w:val="00A23E9C"/>
    <w:rsid w:val="00A23ED5"/>
    <w:rsid w:val="00A23F17"/>
    <w:rsid w:val="00A241C7"/>
    <w:rsid w:val="00A24537"/>
    <w:rsid w:val="00A24649"/>
    <w:rsid w:val="00A2473C"/>
    <w:rsid w:val="00A24A44"/>
    <w:rsid w:val="00A24AE1"/>
    <w:rsid w:val="00A24BA1"/>
    <w:rsid w:val="00A24BD8"/>
    <w:rsid w:val="00A24C69"/>
    <w:rsid w:val="00A24CF6"/>
    <w:rsid w:val="00A24D96"/>
    <w:rsid w:val="00A24E85"/>
    <w:rsid w:val="00A24F27"/>
    <w:rsid w:val="00A24F61"/>
    <w:rsid w:val="00A24FDC"/>
    <w:rsid w:val="00A25335"/>
    <w:rsid w:val="00A2558F"/>
    <w:rsid w:val="00A2577A"/>
    <w:rsid w:val="00A258A3"/>
    <w:rsid w:val="00A25A58"/>
    <w:rsid w:val="00A25B28"/>
    <w:rsid w:val="00A25D6C"/>
    <w:rsid w:val="00A25D8E"/>
    <w:rsid w:val="00A25D9C"/>
    <w:rsid w:val="00A25E97"/>
    <w:rsid w:val="00A25ED4"/>
    <w:rsid w:val="00A25FD5"/>
    <w:rsid w:val="00A260B5"/>
    <w:rsid w:val="00A26432"/>
    <w:rsid w:val="00A265FF"/>
    <w:rsid w:val="00A266A3"/>
    <w:rsid w:val="00A26798"/>
    <w:rsid w:val="00A26B89"/>
    <w:rsid w:val="00A26F59"/>
    <w:rsid w:val="00A26FB9"/>
    <w:rsid w:val="00A2706D"/>
    <w:rsid w:val="00A27161"/>
    <w:rsid w:val="00A27190"/>
    <w:rsid w:val="00A271F6"/>
    <w:rsid w:val="00A2748B"/>
    <w:rsid w:val="00A277D9"/>
    <w:rsid w:val="00A27853"/>
    <w:rsid w:val="00A278B5"/>
    <w:rsid w:val="00A27A0B"/>
    <w:rsid w:val="00A27E54"/>
    <w:rsid w:val="00A27F3C"/>
    <w:rsid w:val="00A27F81"/>
    <w:rsid w:val="00A30018"/>
    <w:rsid w:val="00A30040"/>
    <w:rsid w:val="00A300A3"/>
    <w:rsid w:val="00A30510"/>
    <w:rsid w:val="00A30519"/>
    <w:rsid w:val="00A3061A"/>
    <w:rsid w:val="00A306F9"/>
    <w:rsid w:val="00A3079F"/>
    <w:rsid w:val="00A30849"/>
    <w:rsid w:val="00A30AB9"/>
    <w:rsid w:val="00A30DCF"/>
    <w:rsid w:val="00A30F56"/>
    <w:rsid w:val="00A30F79"/>
    <w:rsid w:val="00A311F3"/>
    <w:rsid w:val="00A3140F"/>
    <w:rsid w:val="00A3148E"/>
    <w:rsid w:val="00A315A2"/>
    <w:rsid w:val="00A31961"/>
    <w:rsid w:val="00A31A35"/>
    <w:rsid w:val="00A31AAF"/>
    <w:rsid w:val="00A31D25"/>
    <w:rsid w:val="00A31FB8"/>
    <w:rsid w:val="00A3214F"/>
    <w:rsid w:val="00A322A1"/>
    <w:rsid w:val="00A32320"/>
    <w:rsid w:val="00A3240E"/>
    <w:rsid w:val="00A325AF"/>
    <w:rsid w:val="00A327E6"/>
    <w:rsid w:val="00A32883"/>
    <w:rsid w:val="00A32BAA"/>
    <w:rsid w:val="00A32C2E"/>
    <w:rsid w:val="00A33451"/>
    <w:rsid w:val="00A33582"/>
    <w:rsid w:val="00A338E0"/>
    <w:rsid w:val="00A33956"/>
    <w:rsid w:val="00A33D70"/>
    <w:rsid w:val="00A33D7F"/>
    <w:rsid w:val="00A33F6C"/>
    <w:rsid w:val="00A33FA7"/>
    <w:rsid w:val="00A3405F"/>
    <w:rsid w:val="00A3412B"/>
    <w:rsid w:val="00A34165"/>
    <w:rsid w:val="00A342F3"/>
    <w:rsid w:val="00A34594"/>
    <w:rsid w:val="00A347AA"/>
    <w:rsid w:val="00A34845"/>
    <w:rsid w:val="00A34C78"/>
    <w:rsid w:val="00A34D1C"/>
    <w:rsid w:val="00A34F4D"/>
    <w:rsid w:val="00A34F67"/>
    <w:rsid w:val="00A34FB1"/>
    <w:rsid w:val="00A352D3"/>
    <w:rsid w:val="00A35469"/>
    <w:rsid w:val="00A359C5"/>
    <w:rsid w:val="00A35B00"/>
    <w:rsid w:val="00A35D29"/>
    <w:rsid w:val="00A35DBF"/>
    <w:rsid w:val="00A3627A"/>
    <w:rsid w:val="00A366C6"/>
    <w:rsid w:val="00A36903"/>
    <w:rsid w:val="00A369F2"/>
    <w:rsid w:val="00A36CC1"/>
    <w:rsid w:val="00A36F51"/>
    <w:rsid w:val="00A36FB8"/>
    <w:rsid w:val="00A370B1"/>
    <w:rsid w:val="00A370D4"/>
    <w:rsid w:val="00A370ED"/>
    <w:rsid w:val="00A3710D"/>
    <w:rsid w:val="00A37136"/>
    <w:rsid w:val="00A3728C"/>
    <w:rsid w:val="00A37488"/>
    <w:rsid w:val="00A374D8"/>
    <w:rsid w:val="00A37BA9"/>
    <w:rsid w:val="00A40242"/>
    <w:rsid w:val="00A402BE"/>
    <w:rsid w:val="00A406B7"/>
    <w:rsid w:val="00A40897"/>
    <w:rsid w:val="00A40D03"/>
    <w:rsid w:val="00A40D0E"/>
    <w:rsid w:val="00A40E45"/>
    <w:rsid w:val="00A40E68"/>
    <w:rsid w:val="00A40E82"/>
    <w:rsid w:val="00A40EF7"/>
    <w:rsid w:val="00A41101"/>
    <w:rsid w:val="00A413AC"/>
    <w:rsid w:val="00A41448"/>
    <w:rsid w:val="00A41500"/>
    <w:rsid w:val="00A41C8D"/>
    <w:rsid w:val="00A41D99"/>
    <w:rsid w:val="00A41E95"/>
    <w:rsid w:val="00A41EE1"/>
    <w:rsid w:val="00A4283C"/>
    <w:rsid w:val="00A42C80"/>
    <w:rsid w:val="00A43074"/>
    <w:rsid w:val="00A4337B"/>
    <w:rsid w:val="00A43464"/>
    <w:rsid w:val="00A435A5"/>
    <w:rsid w:val="00A43600"/>
    <w:rsid w:val="00A43669"/>
    <w:rsid w:val="00A438D0"/>
    <w:rsid w:val="00A43989"/>
    <w:rsid w:val="00A43A95"/>
    <w:rsid w:val="00A43AA4"/>
    <w:rsid w:val="00A43D65"/>
    <w:rsid w:val="00A43D76"/>
    <w:rsid w:val="00A43DCF"/>
    <w:rsid w:val="00A44108"/>
    <w:rsid w:val="00A44305"/>
    <w:rsid w:val="00A44358"/>
    <w:rsid w:val="00A4464C"/>
    <w:rsid w:val="00A4465C"/>
    <w:rsid w:val="00A44675"/>
    <w:rsid w:val="00A4499C"/>
    <w:rsid w:val="00A44A2D"/>
    <w:rsid w:val="00A44FC3"/>
    <w:rsid w:val="00A4511A"/>
    <w:rsid w:val="00A4523A"/>
    <w:rsid w:val="00A45526"/>
    <w:rsid w:val="00A45549"/>
    <w:rsid w:val="00A457EF"/>
    <w:rsid w:val="00A45857"/>
    <w:rsid w:val="00A45943"/>
    <w:rsid w:val="00A45AC3"/>
    <w:rsid w:val="00A45C55"/>
    <w:rsid w:val="00A45D2D"/>
    <w:rsid w:val="00A45E97"/>
    <w:rsid w:val="00A45F41"/>
    <w:rsid w:val="00A461B6"/>
    <w:rsid w:val="00A4629C"/>
    <w:rsid w:val="00A4655B"/>
    <w:rsid w:val="00A465C1"/>
    <w:rsid w:val="00A4667C"/>
    <w:rsid w:val="00A46703"/>
    <w:rsid w:val="00A4679D"/>
    <w:rsid w:val="00A467AB"/>
    <w:rsid w:val="00A46824"/>
    <w:rsid w:val="00A46940"/>
    <w:rsid w:val="00A46B77"/>
    <w:rsid w:val="00A46B80"/>
    <w:rsid w:val="00A46C8C"/>
    <w:rsid w:val="00A4719F"/>
    <w:rsid w:val="00A4726F"/>
    <w:rsid w:val="00A4778E"/>
    <w:rsid w:val="00A479CA"/>
    <w:rsid w:val="00A479D4"/>
    <w:rsid w:val="00A500BE"/>
    <w:rsid w:val="00A50110"/>
    <w:rsid w:val="00A5014C"/>
    <w:rsid w:val="00A5025E"/>
    <w:rsid w:val="00A50471"/>
    <w:rsid w:val="00A5057C"/>
    <w:rsid w:val="00A505E4"/>
    <w:rsid w:val="00A50735"/>
    <w:rsid w:val="00A5073B"/>
    <w:rsid w:val="00A5073D"/>
    <w:rsid w:val="00A5075B"/>
    <w:rsid w:val="00A5075D"/>
    <w:rsid w:val="00A50842"/>
    <w:rsid w:val="00A508B5"/>
    <w:rsid w:val="00A508F9"/>
    <w:rsid w:val="00A50B9F"/>
    <w:rsid w:val="00A50BC6"/>
    <w:rsid w:val="00A50E92"/>
    <w:rsid w:val="00A51016"/>
    <w:rsid w:val="00A511CD"/>
    <w:rsid w:val="00A51224"/>
    <w:rsid w:val="00A51344"/>
    <w:rsid w:val="00A51664"/>
    <w:rsid w:val="00A516C3"/>
    <w:rsid w:val="00A51A07"/>
    <w:rsid w:val="00A51C06"/>
    <w:rsid w:val="00A51D66"/>
    <w:rsid w:val="00A52324"/>
    <w:rsid w:val="00A523F2"/>
    <w:rsid w:val="00A526A8"/>
    <w:rsid w:val="00A52707"/>
    <w:rsid w:val="00A527DF"/>
    <w:rsid w:val="00A528E9"/>
    <w:rsid w:val="00A529DA"/>
    <w:rsid w:val="00A52B04"/>
    <w:rsid w:val="00A52BF8"/>
    <w:rsid w:val="00A52C1E"/>
    <w:rsid w:val="00A52D5C"/>
    <w:rsid w:val="00A52DA5"/>
    <w:rsid w:val="00A52EB1"/>
    <w:rsid w:val="00A52EC7"/>
    <w:rsid w:val="00A52F8A"/>
    <w:rsid w:val="00A5336D"/>
    <w:rsid w:val="00A533FB"/>
    <w:rsid w:val="00A53424"/>
    <w:rsid w:val="00A53587"/>
    <w:rsid w:val="00A536EF"/>
    <w:rsid w:val="00A537AF"/>
    <w:rsid w:val="00A53818"/>
    <w:rsid w:val="00A53ABE"/>
    <w:rsid w:val="00A53F72"/>
    <w:rsid w:val="00A53F97"/>
    <w:rsid w:val="00A54615"/>
    <w:rsid w:val="00A5463B"/>
    <w:rsid w:val="00A54A19"/>
    <w:rsid w:val="00A54A40"/>
    <w:rsid w:val="00A54A9E"/>
    <w:rsid w:val="00A54AC1"/>
    <w:rsid w:val="00A54B30"/>
    <w:rsid w:val="00A54BF6"/>
    <w:rsid w:val="00A54CA0"/>
    <w:rsid w:val="00A54E24"/>
    <w:rsid w:val="00A54E5B"/>
    <w:rsid w:val="00A54FBB"/>
    <w:rsid w:val="00A54FBD"/>
    <w:rsid w:val="00A5509B"/>
    <w:rsid w:val="00A550F2"/>
    <w:rsid w:val="00A550F4"/>
    <w:rsid w:val="00A553F5"/>
    <w:rsid w:val="00A554AE"/>
    <w:rsid w:val="00A55845"/>
    <w:rsid w:val="00A5584D"/>
    <w:rsid w:val="00A5589D"/>
    <w:rsid w:val="00A558CC"/>
    <w:rsid w:val="00A55B8A"/>
    <w:rsid w:val="00A55C13"/>
    <w:rsid w:val="00A55CBA"/>
    <w:rsid w:val="00A55E4A"/>
    <w:rsid w:val="00A55FE9"/>
    <w:rsid w:val="00A561D5"/>
    <w:rsid w:val="00A5637C"/>
    <w:rsid w:val="00A563B0"/>
    <w:rsid w:val="00A563DD"/>
    <w:rsid w:val="00A563F7"/>
    <w:rsid w:val="00A56489"/>
    <w:rsid w:val="00A56552"/>
    <w:rsid w:val="00A569C0"/>
    <w:rsid w:val="00A56D49"/>
    <w:rsid w:val="00A56F2D"/>
    <w:rsid w:val="00A57000"/>
    <w:rsid w:val="00A570E6"/>
    <w:rsid w:val="00A57133"/>
    <w:rsid w:val="00A572CB"/>
    <w:rsid w:val="00A572E3"/>
    <w:rsid w:val="00A572F2"/>
    <w:rsid w:val="00A573C5"/>
    <w:rsid w:val="00A57448"/>
    <w:rsid w:val="00A5752B"/>
    <w:rsid w:val="00A57770"/>
    <w:rsid w:val="00A5785F"/>
    <w:rsid w:val="00A57AB5"/>
    <w:rsid w:val="00A57AC1"/>
    <w:rsid w:val="00A57B83"/>
    <w:rsid w:val="00A57F26"/>
    <w:rsid w:val="00A601A1"/>
    <w:rsid w:val="00A6024A"/>
    <w:rsid w:val="00A6049A"/>
    <w:rsid w:val="00A604D7"/>
    <w:rsid w:val="00A60832"/>
    <w:rsid w:val="00A608C1"/>
    <w:rsid w:val="00A60C3F"/>
    <w:rsid w:val="00A60DB2"/>
    <w:rsid w:val="00A60F68"/>
    <w:rsid w:val="00A60FCB"/>
    <w:rsid w:val="00A610A6"/>
    <w:rsid w:val="00A61170"/>
    <w:rsid w:val="00A615E3"/>
    <w:rsid w:val="00A615F3"/>
    <w:rsid w:val="00A61CD2"/>
    <w:rsid w:val="00A61CDC"/>
    <w:rsid w:val="00A62002"/>
    <w:rsid w:val="00A62141"/>
    <w:rsid w:val="00A621DB"/>
    <w:rsid w:val="00A6244D"/>
    <w:rsid w:val="00A62561"/>
    <w:rsid w:val="00A6256B"/>
    <w:rsid w:val="00A62D35"/>
    <w:rsid w:val="00A62DD2"/>
    <w:rsid w:val="00A62F68"/>
    <w:rsid w:val="00A630BA"/>
    <w:rsid w:val="00A6338B"/>
    <w:rsid w:val="00A633C7"/>
    <w:rsid w:val="00A63632"/>
    <w:rsid w:val="00A636B3"/>
    <w:rsid w:val="00A637A7"/>
    <w:rsid w:val="00A637CF"/>
    <w:rsid w:val="00A637DE"/>
    <w:rsid w:val="00A63843"/>
    <w:rsid w:val="00A639EC"/>
    <w:rsid w:val="00A63A54"/>
    <w:rsid w:val="00A63B44"/>
    <w:rsid w:val="00A64166"/>
    <w:rsid w:val="00A64194"/>
    <w:rsid w:val="00A642A6"/>
    <w:rsid w:val="00A642B2"/>
    <w:rsid w:val="00A64307"/>
    <w:rsid w:val="00A6447D"/>
    <w:rsid w:val="00A645F0"/>
    <w:rsid w:val="00A647D4"/>
    <w:rsid w:val="00A6501C"/>
    <w:rsid w:val="00A651BE"/>
    <w:rsid w:val="00A652F0"/>
    <w:rsid w:val="00A655BE"/>
    <w:rsid w:val="00A655C8"/>
    <w:rsid w:val="00A655CB"/>
    <w:rsid w:val="00A6567A"/>
    <w:rsid w:val="00A659B1"/>
    <w:rsid w:val="00A65B17"/>
    <w:rsid w:val="00A65BA0"/>
    <w:rsid w:val="00A65C80"/>
    <w:rsid w:val="00A65E16"/>
    <w:rsid w:val="00A65F53"/>
    <w:rsid w:val="00A66017"/>
    <w:rsid w:val="00A66099"/>
    <w:rsid w:val="00A661C6"/>
    <w:rsid w:val="00A66208"/>
    <w:rsid w:val="00A6620D"/>
    <w:rsid w:val="00A66795"/>
    <w:rsid w:val="00A667D1"/>
    <w:rsid w:val="00A669AC"/>
    <w:rsid w:val="00A66D95"/>
    <w:rsid w:val="00A66EC3"/>
    <w:rsid w:val="00A671D6"/>
    <w:rsid w:val="00A6745F"/>
    <w:rsid w:val="00A6769C"/>
    <w:rsid w:val="00A67906"/>
    <w:rsid w:val="00A679C1"/>
    <w:rsid w:val="00A67DD2"/>
    <w:rsid w:val="00A67DE4"/>
    <w:rsid w:val="00A67E20"/>
    <w:rsid w:val="00A700A8"/>
    <w:rsid w:val="00A7014A"/>
    <w:rsid w:val="00A703F3"/>
    <w:rsid w:val="00A70606"/>
    <w:rsid w:val="00A70761"/>
    <w:rsid w:val="00A707E6"/>
    <w:rsid w:val="00A70873"/>
    <w:rsid w:val="00A70932"/>
    <w:rsid w:val="00A70AE1"/>
    <w:rsid w:val="00A70B65"/>
    <w:rsid w:val="00A70D64"/>
    <w:rsid w:val="00A70E48"/>
    <w:rsid w:val="00A7116E"/>
    <w:rsid w:val="00A71223"/>
    <w:rsid w:val="00A7127B"/>
    <w:rsid w:val="00A712BD"/>
    <w:rsid w:val="00A71464"/>
    <w:rsid w:val="00A71500"/>
    <w:rsid w:val="00A7150A"/>
    <w:rsid w:val="00A715D4"/>
    <w:rsid w:val="00A7162C"/>
    <w:rsid w:val="00A717FD"/>
    <w:rsid w:val="00A71A1D"/>
    <w:rsid w:val="00A721CB"/>
    <w:rsid w:val="00A72317"/>
    <w:rsid w:val="00A72367"/>
    <w:rsid w:val="00A725CD"/>
    <w:rsid w:val="00A725F4"/>
    <w:rsid w:val="00A733F5"/>
    <w:rsid w:val="00A735EF"/>
    <w:rsid w:val="00A73607"/>
    <w:rsid w:val="00A73803"/>
    <w:rsid w:val="00A73D50"/>
    <w:rsid w:val="00A73D92"/>
    <w:rsid w:val="00A740D3"/>
    <w:rsid w:val="00A741BC"/>
    <w:rsid w:val="00A7436E"/>
    <w:rsid w:val="00A7454B"/>
    <w:rsid w:val="00A7459F"/>
    <w:rsid w:val="00A74685"/>
    <w:rsid w:val="00A749A5"/>
    <w:rsid w:val="00A74A62"/>
    <w:rsid w:val="00A74B8B"/>
    <w:rsid w:val="00A74C17"/>
    <w:rsid w:val="00A74C9F"/>
    <w:rsid w:val="00A74D72"/>
    <w:rsid w:val="00A74E7F"/>
    <w:rsid w:val="00A74FC5"/>
    <w:rsid w:val="00A75106"/>
    <w:rsid w:val="00A75536"/>
    <w:rsid w:val="00A755E5"/>
    <w:rsid w:val="00A75683"/>
    <w:rsid w:val="00A7574B"/>
    <w:rsid w:val="00A75807"/>
    <w:rsid w:val="00A75D37"/>
    <w:rsid w:val="00A75E07"/>
    <w:rsid w:val="00A75F05"/>
    <w:rsid w:val="00A7612B"/>
    <w:rsid w:val="00A76249"/>
    <w:rsid w:val="00A763BC"/>
    <w:rsid w:val="00A764D0"/>
    <w:rsid w:val="00A7650E"/>
    <w:rsid w:val="00A7660A"/>
    <w:rsid w:val="00A7677D"/>
    <w:rsid w:val="00A7684D"/>
    <w:rsid w:val="00A768CA"/>
    <w:rsid w:val="00A768FD"/>
    <w:rsid w:val="00A76991"/>
    <w:rsid w:val="00A769F0"/>
    <w:rsid w:val="00A76AF1"/>
    <w:rsid w:val="00A76D69"/>
    <w:rsid w:val="00A76F9E"/>
    <w:rsid w:val="00A770E0"/>
    <w:rsid w:val="00A77246"/>
    <w:rsid w:val="00A773AB"/>
    <w:rsid w:val="00A77524"/>
    <w:rsid w:val="00A778E0"/>
    <w:rsid w:val="00A77D4D"/>
    <w:rsid w:val="00A77D87"/>
    <w:rsid w:val="00A77E78"/>
    <w:rsid w:val="00A77F67"/>
    <w:rsid w:val="00A8017A"/>
    <w:rsid w:val="00A801DE"/>
    <w:rsid w:val="00A801E0"/>
    <w:rsid w:val="00A802ED"/>
    <w:rsid w:val="00A805A6"/>
    <w:rsid w:val="00A80671"/>
    <w:rsid w:val="00A8081F"/>
    <w:rsid w:val="00A80927"/>
    <w:rsid w:val="00A80D21"/>
    <w:rsid w:val="00A812F5"/>
    <w:rsid w:val="00A81604"/>
    <w:rsid w:val="00A8197C"/>
    <w:rsid w:val="00A81A97"/>
    <w:rsid w:val="00A81B9A"/>
    <w:rsid w:val="00A81C7A"/>
    <w:rsid w:val="00A82149"/>
    <w:rsid w:val="00A82419"/>
    <w:rsid w:val="00A8246E"/>
    <w:rsid w:val="00A824DF"/>
    <w:rsid w:val="00A8254E"/>
    <w:rsid w:val="00A82751"/>
    <w:rsid w:val="00A827A6"/>
    <w:rsid w:val="00A82839"/>
    <w:rsid w:val="00A82A80"/>
    <w:rsid w:val="00A82E7C"/>
    <w:rsid w:val="00A82EBB"/>
    <w:rsid w:val="00A82F33"/>
    <w:rsid w:val="00A831EE"/>
    <w:rsid w:val="00A8331C"/>
    <w:rsid w:val="00A83644"/>
    <w:rsid w:val="00A838F0"/>
    <w:rsid w:val="00A83A53"/>
    <w:rsid w:val="00A83AD0"/>
    <w:rsid w:val="00A83B4B"/>
    <w:rsid w:val="00A83D82"/>
    <w:rsid w:val="00A83DF8"/>
    <w:rsid w:val="00A8404F"/>
    <w:rsid w:val="00A8479F"/>
    <w:rsid w:val="00A84A09"/>
    <w:rsid w:val="00A84D6B"/>
    <w:rsid w:val="00A84DFC"/>
    <w:rsid w:val="00A85056"/>
    <w:rsid w:val="00A85272"/>
    <w:rsid w:val="00A852AC"/>
    <w:rsid w:val="00A85352"/>
    <w:rsid w:val="00A85481"/>
    <w:rsid w:val="00A8560E"/>
    <w:rsid w:val="00A858F8"/>
    <w:rsid w:val="00A85EF0"/>
    <w:rsid w:val="00A85F42"/>
    <w:rsid w:val="00A8612E"/>
    <w:rsid w:val="00A8640C"/>
    <w:rsid w:val="00A86B8C"/>
    <w:rsid w:val="00A8771A"/>
    <w:rsid w:val="00A87773"/>
    <w:rsid w:val="00A8778E"/>
    <w:rsid w:val="00A878AA"/>
    <w:rsid w:val="00A8799A"/>
    <w:rsid w:val="00A879C9"/>
    <w:rsid w:val="00A87EEC"/>
    <w:rsid w:val="00A87F89"/>
    <w:rsid w:val="00A9021A"/>
    <w:rsid w:val="00A902C8"/>
    <w:rsid w:val="00A90781"/>
    <w:rsid w:val="00A9099A"/>
    <w:rsid w:val="00A90C96"/>
    <w:rsid w:val="00A90D1B"/>
    <w:rsid w:val="00A90EBF"/>
    <w:rsid w:val="00A90EEE"/>
    <w:rsid w:val="00A91169"/>
    <w:rsid w:val="00A911A6"/>
    <w:rsid w:val="00A91287"/>
    <w:rsid w:val="00A91312"/>
    <w:rsid w:val="00A91631"/>
    <w:rsid w:val="00A91718"/>
    <w:rsid w:val="00A9183F"/>
    <w:rsid w:val="00A918A7"/>
    <w:rsid w:val="00A91A12"/>
    <w:rsid w:val="00A91A82"/>
    <w:rsid w:val="00A91AB1"/>
    <w:rsid w:val="00A91EDA"/>
    <w:rsid w:val="00A91F7C"/>
    <w:rsid w:val="00A92156"/>
    <w:rsid w:val="00A9221E"/>
    <w:rsid w:val="00A92514"/>
    <w:rsid w:val="00A926FD"/>
    <w:rsid w:val="00A92835"/>
    <w:rsid w:val="00A92884"/>
    <w:rsid w:val="00A92988"/>
    <w:rsid w:val="00A92DEA"/>
    <w:rsid w:val="00A92FE9"/>
    <w:rsid w:val="00A93431"/>
    <w:rsid w:val="00A93486"/>
    <w:rsid w:val="00A9354D"/>
    <w:rsid w:val="00A93598"/>
    <w:rsid w:val="00A936DA"/>
    <w:rsid w:val="00A93718"/>
    <w:rsid w:val="00A93748"/>
    <w:rsid w:val="00A939FC"/>
    <w:rsid w:val="00A93C33"/>
    <w:rsid w:val="00A94087"/>
    <w:rsid w:val="00A942A0"/>
    <w:rsid w:val="00A942F3"/>
    <w:rsid w:val="00A943FE"/>
    <w:rsid w:val="00A94453"/>
    <w:rsid w:val="00A944DC"/>
    <w:rsid w:val="00A9471B"/>
    <w:rsid w:val="00A94ADC"/>
    <w:rsid w:val="00A94F05"/>
    <w:rsid w:val="00A951CC"/>
    <w:rsid w:val="00A95203"/>
    <w:rsid w:val="00A95287"/>
    <w:rsid w:val="00A9530D"/>
    <w:rsid w:val="00A95332"/>
    <w:rsid w:val="00A95AEE"/>
    <w:rsid w:val="00A95D0B"/>
    <w:rsid w:val="00A95F2F"/>
    <w:rsid w:val="00A95F9B"/>
    <w:rsid w:val="00A961F0"/>
    <w:rsid w:val="00A9633C"/>
    <w:rsid w:val="00A9662B"/>
    <w:rsid w:val="00A96930"/>
    <w:rsid w:val="00A96964"/>
    <w:rsid w:val="00A96A02"/>
    <w:rsid w:val="00A96EA9"/>
    <w:rsid w:val="00A96F06"/>
    <w:rsid w:val="00A96FAB"/>
    <w:rsid w:val="00A97197"/>
    <w:rsid w:val="00A972F7"/>
    <w:rsid w:val="00A97421"/>
    <w:rsid w:val="00A974BD"/>
    <w:rsid w:val="00A9767D"/>
    <w:rsid w:val="00A97ADA"/>
    <w:rsid w:val="00A97C4D"/>
    <w:rsid w:val="00A97EAA"/>
    <w:rsid w:val="00A97F46"/>
    <w:rsid w:val="00AA0038"/>
    <w:rsid w:val="00AA024A"/>
    <w:rsid w:val="00AA0307"/>
    <w:rsid w:val="00AA04DA"/>
    <w:rsid w:val="00AA07E8"/>
    <w:rsid w:val="00AA0D13"/>
    <w:rsid w:val="00AA0FEF"/>
    <w:rsid w:val="00AA1016"/>
    <w:rsid w:val="00AA1068"/>
    <w:rsid w:val="00AA11F4"/>
    <w:rsid w:val="00AA1390"/>
    <w:rsid w:val="00AA1652"/>
    <w:rsid w:val="00AA16A6"/>
    <w:rsid w:val="00AA17CD"/>
    <w:rsid w:val="00AA17D0"/>
    <w:rsid w:val="00AA1868"/>
    <w:rsid w:val="00AA18B3"/>
    <w:rsid w:val="00AA1921"/>
    <w:rsid w:val="00AA1939"/>
    <w:rsid w:val="00AA1A5E"/>
    <w:rsid w:val="00AA1AFE"/>
    <w:rsid w:val="00AA1E16"/>
    <w:rsid w:val="00AA25FF"/>
    <w:rsid w:val="00AA2754"/>
    <w:rsid w:val="00AA2AE4"/>
    <w:rsid w:val="00AA2B12"/>
    <w:rsid w:val="00AA2B9A"/>
    <w:rsid w:val="00AA2DF1"/>
    <w:rsid w:val="00AA2F1E"/>
    <w:rsid w:val="00AA305D"/>
    <w:rsid w:val="00AA3284"/>
    <w:rsid w:val="00AA3516"/>
    <w:rsid w:val="00AA355A"/>
    <w:rsid w:val="00AA3570"/>
    <w:rsid w:val="00AA35A7"/>
    <w:rsid w:val="00AA396D"/>
    <w:rsid w:val="00AA3A50"/>
    <w:rsid w:val="00AA3BDF"/>
    <w:rsid w:val="00AA3C93"/>
    <w:rsid w:val="00AA3CA8"/>
    <w:rsid w:val="00AA41DE"/>
    <w:rsid w:val="00AA41EB"/>
    <w:rsid w:val="00AA43EE"/>
    <w:rsid w:val="00AA4420"/>
    <w:rsid w:val="00AA4562"/>
    <w:rsid w:val="00AA4641"/>
    <w:rsid w:val="00AA4707"/>
    <w:rsid w:val="00AA47B6"/>
    <w:rsid w:val="00AA486B"/>
    <w:rsid w:val="00AA48AE"/>
    <w:rsid w:val="00AA4901"/>
    <w:rsid w:val="00AA499B"/>
    <w:rsid w:val="00AA49D6"/>
    <w:rsid w:val="00AA4B36"/>
    <w:rsid w:val="00AA4B85"/>
    <w:rsid w:val="00AA4CCC"/>
    <w:rsid w:val="00AA4DBD"/>
    <w:rsid w:val="00AA50A2"/>
    <w:rsid w:val="00AA5818"/>
    <w:rsid w:val="00AA59A9"/>
    <w:rsid w:val="00AA59AC"/>
    <w:rsid w:val="00AA6036"/>
    <w:rsid w:val="00AA6233"/>
    <w:rsid w:val="00AA6371"/>
    <w:rsid w:val="00AA644E"/>
    <w:rsid w:val="00AA65A9"/>
    <w:rsid w:val="00AA69F8"/>
    <w:rsid w:val="00AA6B86"/>
    <w:rsid w:val="00AA6B9B"/>
    <w:rsid w:val="00AA6C8B"/>
    <w:rsid w:val="00AA6C9D"/>
    <w:rsid w:val="00AA6CC1"/>
    <w:rsid w:val="00AA6D4A"/>
    <w:rsid w:val="00AA6EDD"/>
    <w:rsid w:val="00AA6F91"/>
    <w:rsid w:val="00AA7055"/>
    <w:rsid w:val="00AA7140"/>
    <w:rsid w:val="00AA71AD"/>
    <w:rsid w:val="00AA71CA"/>
    <w:rsid w:val="00AA7222"/>
    <w:rsid w:val="00AA7230"/>
    <w:rsid w:val="00AA7833"/>
    <w:rsid w:val="00AA7877"/>
    <w:rsid w:val="00AA7CD9"/>
    <w:rsid w:val="00AB00A2"/>
    <w:rsid w:val="00AB055D"/>
    <w:rsid w:val="00AB05C8"/>
    <w:rsid w:val="00AB0BB3"/>
    <w:rsid w:val="00AB0C3A"/>
    <w:rsid w:val="00AB0EB3"/>
    <w:rsid w:val="00AB0F86"/>
    <w:rsid w:val="00AB106D"/>
    <w:rsid w:val="00AB1422"/>
    <w:rsid w:val="00AB1439"/>
    <w:rsid w:val="00AB1497"/>
    <w:rsid w:val="00AB17E7"/>
    <w:rsid w:val="00AB187D"/>
    <w:rsid w:val="00AB1B56"/>
    <w:rsid w:val="00AB1C5D"/>
    <w:rsid w:val="00AB2033"/>
    <w:rsid w:val="00AB210D"/>
    <w:rsid w:val="00AB2132"/>
    <w:rsid w:val="00AB2318"/>
    <w:rsid w:val="00AB2354"/>
    <w:rsid w:val="00AB25BB"/>
    <w:rsid w:val="00AB2610"/>
    <w:rsid w:val="00AB26AD"/>
    <w:rsid w:val="00AB28B4"/>
    <w:rsid w:val="00AB2995"/>
    <w:rsid w:val="00AB29E7"/>
    <w:rsid w:val="00AB2A0E"/>
    <w:rsid w:val="00AB2B46"/>
    <w:rsid w:val="00AB2B90"/>
    <w:rsid w:val="00AB2C67"/>
    <w:rsid w:val="00AB2CF1"/>
    <w:rsid w:val="00AB2DC6"/>
    <w:rsid w:val="00AB3034"/>
    <w:rsid w:val="00AB3164"/>
    <w:rsid w:val="00AB33D9"/>
    <w:rsid w:val="00AB3515"/>
    <w:rsid w:val="00AB3AE1"/>
    <w:rsid w:val="00AB3B07"/>
    <w:rsid w:val="00AB3EBB"/>
    <w:rsid w:val="00AB4058"/>
    <w:rsid w:val="00AB4264"/>
    <w:rsid w:val="00AB42E7"/>
    <w:rsid w:val="00AB44D3"/>
    <w:rsid w:val="00AB4632"/>
    <w:rsid w:val="00AB4816"/>
    <w:rsid w:val="00AB484D"/>
    <w:rsid w:val="00AB4896"/>
    <w:rsid w:val="00AB48D2"/>
    <w:rsid w:val="00AB48E4"/>
    <w:rsid w:val="00AB4AC2"/>
    <w:rsid w:val="00AB4C21"/>
    <w:rsid w:val="00AB4F89"/>
    <w:rsid w:val="00AB50C6"/>
    <w:rsid w:val="00AB52C2"/>
    <w:rsid w:val="00AB52F6"/>
    <w:rsid w:val="00AB56E1"/>
    <w:rsid w:val="00AB58B9"/>
    <w:rsid w:val="00AB5987"/>
    <w:rsid w:val="00AB5A8A"/>
    <w:rsid w:val="00AB5B51"/>
    <w:rsid w:val="00AB60F8"/>
    <w:rsid w:val="00AB636F"/>
    <w:rsid w:val="00AB63F7"/>
    <w:rsid w:val="00AB6429"/>
    <w:rsid w:val="00AB6599"/>
    <w:rsid w:val="00AB67DD"/>
    <w:rsid w:val="00AB6A00"/>
    <w:rsid w:val="00AB6A35"/>
    <w:rsid w:val="00AB6CD2"/>
    <w:rsid w:val="00AB6DF4"/>
    <w:rsid w:val="00AB6EAB"/>
    <w:rsid w:val="00AB70EF"/>
    <w:rsid w:val="00AB71AC"/>
    <w:rsid w:val="00AB74AD"/>
    <w:rsid w:val="00AB754B"/>
    <w:rsid w:val="00AB771F"/>
    <w:rsid w:val="00AB7762"/>
    <w:rsid w:val="00AB78AB"/>
    <w:rsid w:val="00AB7A50"/>
    <w:rsid w:val="00AB7DB9"/>
    <w:rsid w:val="00AB7E6C"/>
    <w:rsid w:val="00AB7F15"/>
    <w:rsid w:val="00AC0108"/>
    <w:rsid w:val="00AC0131"/>
    <w:rsid w:val="00AC013D"/>
    <w:rsid w:val="00AC0309"/>
    <w:rsid w:val="00AC0718"/>
    <w:rsid w:val="00AC077A"/>
    <w:rsid w:val="00AC0928"/>
    <w:rsid w:val="00AC0DA3"/>
    <w:rsid w:val="00AC0EBA"/>
    <w:rsid w:val="00AC12FE"/>
    <w:rsid w:val="00AC1389"/>
    <w:rsid w:val="00AC16EC"/>
    <w:rsid w:val="00AC1793"/>
    <w:rsid w:val="00AC189C"/>
    <w:rsid w:val="00AC18A1"/>
    <w:rsid w:val="00AC1A7C"/>
    <w:rsid w:val="00AC1D9D"/>
    <w:rsid w:val="00AC1DF2"/>
    <w:rsid w:val="00AC1E93"/>
    <w:rsid w:val="00AC1FC3"/>
    <w:rsid w:val="00AC1FCD"/>
    <w:rsid w:val="00AC2191"/>
    <w:rsid w:val="00AC220D"/>
    <w:rsid w:val="00AC23B4"/>
    <w:rsid w:val="00AC245A"/>
    <w:rsid w:val="00AC253D"/>
    <w:rsid w:val="00AC285A"/>
    <w:rsid w:val="00AC28DF"/>
    <w:rsid w:val="00AC2CD0"/>
    <w:rsid w:val="00AC2E6D"/>
    <w:rsid w:val="00AC313A"/>
    <w:rsid w:val="00AC319A"/>
    <w:rsid w:val="00AC31E8"/>
    <w:rsid w:val="00AC31F5"/>
    <w:rsid w:val="00AC323D"/>
    <w:rsid w:val="00AC3483"/>
    <w:rsid w:val="00AC35C9"/>
    <w:rsid w:val="00AC38FF"/>
    <w:rsid w:val="00AC3973"/>
    <w:rsid w:val="00AC3BFE"/>
    <w:rsid w:val="00AC3C60"/>
    <w:rsid w:val="00AC3DB2"/>
    <w:rsid w:val="00AC3EE2"/>
    <w:rsid w:val="00AC4080"/>
    <w:rsid w:val="00AC40E1"/>
    <w:rsid w:val="00AC4482"/>
    <w:rsid w:val="00AC4568"/>
    <w:rsid w:val="00AC459C"/>
    <w:rsid w:val="00AC462C"/>
    <w:rsid w:val="00AC4656"/>
    <w:rsid w:val="00AC4ABA"/>
    <w:rsid w:val="00AC4C2A"/>
    <w:rsid w:val="00AC4DA5"/>
    <w:rsid w:val="00AC4DFB"/>
    <w:rsid w:val="00AC5178"/>
    <w:rsid w:val="00AC53B4"/>
    <w:rsid w:val="00AC53F1"/>
    <w:rsid w:val="00AC5853"/>
    <w:rsid w:val="00AC5A42"/>
    <w:rsid w:val="00AC5C80"/>
    <w:rsid w:val="00AC5D0D"/>
    <w:rsid w:val="00AC5E7F"/>
    <w:rsid w:val="00AC6085"/>
    <w:rsid w:val="00AC61E1"/>
    <w:rsid w:val="00AC622A"/>
    <w:rsid w:val="00AC62A3"/>
    <w:rsid w:val="00AC635E"/>
    <w:rsid w:val="00AC6391"/>
    <w:rsid w:val="00AC6459"/>
    <w:rsid w:val="00AC648B"/>
    <w:rsid w:val="00AC6580"/>
    <w:rsid w:val="00AC6956"/>
    <w:rsid w:val="00AC69A1"/>
    <w:rsid w:val="00AC6AC8"/>
    <w:rsid w:val="00AC6C46"/>
    <w:rsid w:val="00AC6CC2"/>
    <w:rsid w:val="00AC6F94"/>
    <w:rsid w:val="00AC713A"/>
    <w:rsid w:val="00AC7275"/>
    <w:rsid w:val="00AC72D3"/>
    <w:rsid w:val="00AC7372"/>
    <w:rsid w:val="00AC75AE"/>
    <w:rsid w:val="00AC77D4"/>
    <w:rsid w:val="00AC7B12"/>
    <w:rsid w:val="00AC7CF4"/>
    <w:rsid w:val="00AD0117"/>
    <w:rsid w:val="00AD020B"/>
    <w:rsid w:val="00AD02E6"/>
    <w:rsid w:val="00AD0818"/>
    <w:rsid w:val="00AD0A6D"/>
    <w:rsid w:val="00AD0B13"/>
    <w:rsid w:val="00AD0D6F"/>
    <w:rsid w:val="00AD0F81"/>
    <w:rsid w:val="00AD101B"/>
    <w:rsid w:val="00AD102D"/>
    <w:rsid w:val="00AD1048"/>
    <w:rsid w:val="00AD112A"/>
    <w:rsid w:val="00AD1236"/>
    <w:rsid w:val="00AD125A"/>
    <w:rsid w:val="00AD14C4"/>
    <w:rsid w:val="00AD15D6"/>
    <w:rsid w:val="00AD16D1"/>
    <w:rsid w:val="00AD1714"/>
    <w:rsid w:val="00AD1855"/>
    <w:rsid w:val="00AD1B7F"/>
    <w:rsid w:val="00AD1D0A"/>
    <w:rsid w:val="00AD204E"/>
    <w:rsid w:val="00AD215B"/>
    <w:rsid w:val="00AD220D"/>
    <w:rsid w:val="00AD22B0"/>
    <w:rsid w:val="00AD2300"/>
    <w:rsid w:val="00AD235F"/>
    <w:rsid w:val="00AD23B9"/>
    <w:rsid w:val="00AD256A"/>
    <w:rsid w:val="00AD2717"/>
    <w:rsid w:val="00AD29C6"/>
    <w:rsid w:val="00AD2C6E"/>
    <w:rsid w:val="00AD2C87"/>
    <w:rsid w:val="00AD2F5F"/>
    <w:rsid w:val="00AD2F70"/>
    <w:rsid w:val="00AD35E6"/>
    <w:rsid w:val="00AD3A8B"/>
    <w:rsid w:val="00AD3A8F"/>
    <w:rsid w:val="00AD3B71"/>
    <w:rsid w:val="00AD3B95"/>
    <w:rsid w:val="00AD3CCD"/>
    <w:rsid w:val="00AD3D74"/>
    <w:rsid w:val="00AD3FF7"/>
    <w:rsid w:val="00AD420A"/>
    <w:rsid w:val="00AD46F7"/>
    <w:rsid w:val="00AD4748"/>
    <w:rsid w:val="00AD47A4"/>
    <w:rsid w:val="00AD49E7"/>
    <w:rsid w:val="00AD4AD4"/>
    <w:rsid w:val="00AD4BB4"/>
    <w:rsid w:val="00AD4C04"/>
    <w:rsid w:val="00AD4C39"/>
    <w:rsid w:val="00AD50E7"/>
    <w:rsid w:val="00AD5533"/>
    <w:rsid w:val="00AD55ED"/>
    <w:rsid w:val="00AD56FC"/>
    <w:rsid w:val="00AD5752"/>
    <w:rsid w:val="00AD5767"/>
    <w:rsid w:val="00AD58F1"/>
    <w:rsid w:val="00AD5916"/>
    <w:rsid w:val="00AD5A22"/>
    <w:rsid w:val="00AD5DC5"/>
    <w:rsid w:val="00AD5E0E"/>
    <w:rsid w:val="00AD60F0"/>
    <w:rsid w:val="00AD6257"/>
    <w:rsid w:val="00AD6267"/>
    <w:rsid w:val="00AD6470"/>
    <w:rsid w:val="00AD6562"/>
    <w:rsid w:val="00AD66DD"/>
    <w:rsid w:val="00AD6A4B"/>
    <w:rsid w:val="00AD6F11"/>
    <w:rsid w:val="00AD702B"/>
    <w:rsid w:val="00AD70E2"/>
    <w:rsid w:val="00AD7316"/>
    <w:rsid w:val="00AD75E0"/>
    <w:rsid w:val="00AD7778"/>
    <w:rsid w:val="00AD78B5"/>
    <w:rsid w:val="00AD7B7A"/>
    <w:rsid w:val="00AE0266"/>
    <w:rsid w:val="00AE0368"/>
    <w:rsid w:val="00AE03D3"/>
    <w:rsid w:val="00AE0427"/>
    <w:rsid w:val="00AE0428"/>
    <w:rsid w:val="00AE0434"/>
    <w:rsid w:val="00AE04AD"/>
    <w:rsid w:val="00AE05A9"/>
    <w:rsid w:val="00AE076F"/>
    <w:rsid w:val="00AE0839"/>
    <w:rsid w:val="00AE0981"/>
    <w:rsid w:val="00AE0A9E"/>
    <w:rsid w:val="00AE0B88"/>
    <w:rsid w:val="00AE0BF4"/>
    <w:rsid w:val="00AE0CF0"/>
    <w:rsid w:val="00AE0DE6"/>
    <w:rsid w:val="00AE0FA0"/>
    <w:rsid w:val="00AE1012"/>
    <w:rsid w:val="00AE1255"/>
    <w:rsid w:val="00AE1694"/>
    <w:rsid w:val="00AE16F1"/>
    <w:rsid w:val="00AE1CCF"/>
    <w:rsid w:val="00AE1D64"/>
    <w:rsid w:val="00AE1D8F"/>
    <w:rsid w:val="00AE1E87"/>
    <w:rsid w:val="00AE2125"/>
    <w:rsid w:val="00AE217F"/>
    <w:rsid w:val="00AE2366"/>
    <w:rsid w:val="00AE2433"/>
    <w:rsid w:val="00AE2463"/>
    <w:rsid w:val="00AE2ECD"/>
    <w:rsid w:val="00AE3108"/>
    <w:rsid w:val="00AE360F"/>
    <w:rsid w:val="00AE366C"/>
    <w:rsid w:val="00AE376F"/>
    <w:rsid w:val="00AE3BC4"/>
    <w:rsid w:val="00AE3DA5"/>
    <w:rsid w:val="00AE3DD7"/>
    <w:rsid w:val="00AE3E1E"/>
    <w:rsid w:val="00AE3FC4"/>
    <w:rsid w:val="00AE407C"/>
    <w:rsid w:val="00AE40B0"/>
    <w:rsid w:val="00AE435E"/>
    <w:rsid w:val="00AE43E9"/>
    <w:rsid w:val="00AE4436"/>
    <w:rsid w:val="00AE4441"/>
    <w:rsid w:val="00AE4681"/>
    <w:rsid w:val="00AE477C"/>
    <w:rsid w:val="00AE478C"/>
    <w:rsid w:val="00AE494E"/>
    <w:rsid w:val="00AE4B23"/>
    <w:rsid w:val="00AE4BA2"/>
    <w:rsid w:val="00AE4BBF"/>
    <w:rsid w:val="00AE4C07"/>
    <w:rsid w:val="00AE4D16"/>
    <w:rsid w:val="00AE4D4F"/>
    <w:rsid w:val="00AE4D88"/>
    <w:rsid w:val="00AE4EAF"/>
    <w:rsid w:val="00AE506F"/>
    <w:rsid w:val="00AE5082"/>
    <w:rsid w:val="00AE51AC"/>
    <w:rsid w:val="00AE51F0"/>
    <w:rsid w:val="00AE522B"/>
    <w:rsid w:val="00AE551D"/>
    <w:rsid w:val="00AE5768"/>
    <w:rsid w:val="00AE59D5"/>
    <w:rsid w:val="00AE5AA2"/>
    <w:rsid w:val="00AE5AD4"/>
    <w:rsid w:val="00AE5D48"/>
    <w:rsid w:val="00AE621D"/>
    <w:rsid w:val="00AE63F1"/>
    <w:rsid w:val="00AE66D9"/>
    <w:rsid w:val="00AE67B9"/>
    <w:rsid w:val="00AE6939"/>
    <w:rsid w:val="00AE6AE1"/>
    <w:rsid w:val="00AE6AE3"/>
    <w:rsid w:val="00AE6D37"/>
    <w:rsid w:val="00AE6E04"/>
    <w:rsid w:val="00AE7388"/>
    <w:rsid w:val="00AE78FA"/>
    <w:rsid w:val="00AE795B"/>
    <w:rsid w:val="00AE7C37"/>
    <w:rsid w:val="00AE7C3B"/>
    <w:rsid w:val="00AE7F2A"/>
    <w:rsid w:val="00AF00CC"/>
    <w:rsid w:val="00AF0170"/>
    <w:rsid w:val="00AF01AA"/>
    <w:rsid w:val="00AF036A"/>
    <w:rsid w:val="00AF0389"/>
    <w:rsid w:val="00AF0436"/>
    <w:rsid w:val="00AF04EE"/>
    <w:rsid w:val="00AF0652"/>
    <w:rsid w:val="00AF092F"/>
    <w:rsid w:val="00AF0B2E"/>
    <w:rsid w:val="00AF0CB1"/>
    <w:rsid w:val="00AF0DDE"/>
    <w:rsid w:val="00AF0F62"/>
    <w:rsid w:val="00AF1302"/>
    <w:rsid w:val="00AF13B8"/>
    <w:rsid w:val="00AF13EE"/>
    <w:rsid w:val="00AF19AA"/>
    <w:rsid w:val="00AF1BA2"/>
    <w:rsid w:val="00AF1CDE"/>
    <w:rsid w:val="00AF1DFF"/>
    <w:rsid w:val="00AF1E8D"/>
    <w:rsid w:val="00AF1EA3"/>
    <w:rsid w:val="00AF1EBC"/>
    <w:rsid w:val="00AF2042"/>
    <w:rsid w:val="00AF234A"/>
    <w:rsid w:val="00AF23AC"/>
    <w:rsid w:val="00AF252E"/>
    <w:rsid w:val="00AF2A00"/>
    <w:rsid w:val="00AF2AFD"/>
    <w:rsid w:val="00AF2BBB"/>
    <w:rsid w:val="00AF2D23"/>
    <w:rsid w:val="00AF2D6E"/>
    <w:rsid w:val="00AF2DC2"/>
    <w:rsid w:val="00AF2EC3"/>
    <w:rsid w:val="00AF3124"/>
    <w:rsid w:val="00AF3807"/>
    <w:rsid w:val="00AF3ACF"/>
    <w:rsid w:val="00AF3B0A"/>
    <w:rsid w:val="00AF3D47"/>
    <w:rsid w:val="00AF4058"/>
    <w:rsid w:val="00AF42B9"/>
    <w:rsid w:val="00AF42CF"/>
    <w:rsid w:val="00AF431E"/>
    <w:rsid w:val="00AF4815"/>
    <w:rsid w:val="00AF483A"/>
    <w:rsid w:val="00AF48DC"/>
    <w:rsid w:val="00AF49BC"/>
    <w:rsid w:val="00AF4B57"/>
    <w:rsid w:val="00AF5595"/>
    <w:rsid w:val="00AF560D"/>
    <w:rsid w:val="00AF5915"/>
    <w:rsid w:val="00AF5970"/>
    <w:rsid w:val="00AF5DAB"/>
    <w:rsid w:val="00AF61CB"/>
    <w:rsid w:val="00AF64DA"/>
    <w:rsid w:val="00AF64E1"/>
    <w:rsid w:val="00AF673F"/>
    <w:rsid w:val="00AF68C5"/>
    <w:rsid w:val="00AF68D0"/>
    <w:rsid w:val="00AF6977"/>
    <w:rsid w:val="00AF6C62"/>
    <w:rsid w:val="00AF6D49"/>
    <w:rsid w:val="00AF6D77"/>
    <w:rsid w:val="00AF6FE7"/>
    <w:rsid w:val="00AF7031"/>
    <w:rsid w:val="00AF7587"/>
    <w:rsid w:val="00AF75BE"/>
    <w:rsid w:val="00AF7685"/>
    <w:rsid w:val="00AF79E4"/>
    <w:rsid w:val="00AF7B7F"/>
    <w:rsid w:val="00AF7B9E"/>
    <w:rsid w:val="00AF7DF6"/>
    <w:rsid w:val="00B0043D"/>
    <w:rsid w:val="00B005B1"/>
    <w:rsid w:val="00B0077A"/>
    <w:rsid w:val="00B00857"/>
    <w:rsid w:val="00B0087C"/>
    <w:rsid w:val="00B00967"/>
    <w:rsid w:val="00B009D7"/>
    <w:rsid w:val="00B00C68"/>
    <w:rsid w:val="00B00D78"/>
    <w:rsid w:val="00B013CF"/>
    <w:rsid w:val="00B01566"/>
    <w:rsid w:val="00B016B7"/>
    <w:rsid w:val="00B0199B"/>
    <w:rsid w:val="00B01A26"/>
    <w:rsid w:val="00B01C45"/>
    <w:rsid w:val="00B01E3D"/>
    <w:rsid w:val="00B0204E"/>
    <w:rsid w:val="00B021B0"/>
    <w:rsid w:val="00B0230F"/>
    <w:rsid w:val="00B0243A"/>
    <w:rsid w:val="00B02460"/>
    <w:rsid w:val="00B0274C"/>
    <w:rsid w:val="00B027EB"/>
    <w:rsid w:val="00B02832"/>
    <w:rsid w:val="00B029BB"/>
    <w:rsid w:val="00B029BE"/>
    <w:rsid w:val="00B02BBA"/>
    <w:rsid w:val="00B02C57"/>
    <w:rsid w:val="00B02DD6"/>
    <w:rsid w:val="00B02F68"/>
    <w:rsid w:val="00B032E2"/>
    <w:rsid w:val="00B0349A"/>
    <w:rsid w:val="00B0379E"/>
    <w:rsid w:val="00B037D5"/>
    <w:rsid w:val="00B038CD"/>
    <w:rsid w:val="00B03964"/>
    <w:rsid w:val="00B03EC7"/>
    <w:rsid w:val="00B040BA"/>
    <w:rsid w:val="00B043B5"/>
    <w:rsid w:val="00B043E6"/>
    <w:rsid w:val="00B04567"/>
    <w:rsid w:val="00B045B3"/>
    <w:rsid w:val="00B04620"/>
    <w:rsid w:val="00B047C5"/>
    <w:rsid w:val="00B04A19"/>
    <w:rsid w:val="00B04BE4"/>
    <w:rsid w:val="00B04CE3"/>
    <w:rsid w:val="00B04D62"/>
    <w:rsid w:val="00B04F7E"/>
    <w:rsid w:val="00B0508E"/>
    <w:rsid w:val="00B05558"/>
    <w:rsid w:val="00B057F1"/>
    <w:rsid w:val="00B059B6"/>
    <w:rsid w:val="00B05A6E"/>
    <w:rsid w:val="00B05BE4"/>
    <w:rsid w:val="00B05C13"/>
    <w:rsid w:val="00B05CEB"/>
    <w:rsid w:val="00B05D74"/>
    <w:rsid w:val="00B05FD0"/>
    <w:rsid w:val="00B064A1"/>
    <w:rsid w:val="00B06525"/>
    <w:rsid w:val="00B0661C"/>
    <w:rsid w:val="00B0664E"/>
    <w:rsid w:val="00B066F6"/>
    <w:rsid w:val="00B06741"/>
    <w:rsid w:val="00B067BC"/>
    <w:rsid w:val="00B06920"/>
    <w:rsid w:val="00B06B3E"/>
    <w:rsid w:val="00B06DC4"/>
    <w:rsid w:val="00B06DCA"/>
    <w:rsid w:val="00B06F85"/>
    <w:rsid w:val="00B07008"/>
    <w:rsid w:val="00B07028"/>
    <w:rsid w:val="00B070E3"/>
    <w:rsid w:val="00B07140"/>
    <w:rsid w:val="00B072E8"/>
    <w:rsid w:val="00B072EC"/>
    <w:rsid w:val="00B0738D"/>
    <w:rsid w:val="00B074E1"/>
    <w:rsid w:val="00B07538"/>
    <w:rsid w:val="00B0770B"/>
    <w:rsid w:val="00B07CDA"/>
    <w:rsid w:val="00B07DDA"/>
    <w:rsid w:val="00B07F91"/>
    <w:rsid w:val="00B104E4"/>
    <w:rsid w:val="00B10629"/>
    <w:rsid w:val="00B10703"/>
    <w:rsid w:val="00B10B94"/>
    <w:rsid w:val="00B10CD7"/>
    <w:rsid w:val="00B10F71"/>
    <w:rsid w:val="00B11049"/>
    <w:rsid w:val="00B1118E"/>
    <w:rsid w:val="00B11295"/>
    <w:rsid w:val="00B113B2"/>
    <w:rsid w:val="00B11414"/>
    <w:rsid w:val="00B11551"/>
    <w:rsid w:val="00B1163B"/>
    <w:rsid w:val="00B117E8"/>
    <w:rsid w:val="00B11A3F"/>
    <w:rsid w:val="00B11DA5"/>
    <w:rsid w:val="00B11DAF"/>
    <w:rsid w:val="00B11F12"/>
    <w:rsid w:val="00B12114"/>
    <w:rsid w:val="00B12221"/>
    <w:rsid w:val="00B12357"/>
    <w:rsid w:val="00B127E9"/>
    <w:rsid w:val="00B12A6F"/>
    <w:rsid w:val="00B12AF7"/>
    <w:rsid w:val="00B12C4B"/>
    <w:rsid w:val="00B12DC9"/>
    <w:rsid w:val="00B12EE9"/>
    <w:rsid w:val="00B12FF2"/>
    <w:rsid w:val="00B1301D"/>
    <w:rsid w:val="00B13037"/>
    <w:rsid w:val="00B130DE"/>
    <w:rsid w:val="00B13186"/>
    <w:rsid w:val="00B13555"/>
    <w:rsid w:val="00B135F7"/>
    <w:rsid w:val="00B13656"/>
    <w:rsid w:val="00B136BE"/>
    <w:rsid w:val="00B13892"/>
    <w:rsid w:val="00B13938"/>
    <w:rsid w:val="00B1393C"/>
    <w:rsid w:val="00B1396A"/>
    <w:rsid w:val="00B1397C"/>
    <w:rsid w:val="00B13D4A"/>
    <w:rsid w:val="00B13E03"/>
    <w:rsid w:val="00B13EFC"/>
    <w:rsid w:val="00B14084"/>
    <w:rsid w:val="00B1408B"/>
    <w:rsid w:val="00B1409F"/>
    <w:rsid w:val="00B1410F"/>
    <w:rsid w:val="00B141DF"/>
    <w:rsid w:val="00B1430C"/>
    <w:rsid w:val="00B143FD"/>
    <w:rsid w:val="00B14905"/>
    <w:rsid w:val="00B14A3A"/>
    <w:rsid w:val="00B14A96"/>
    <w:rsid w:val="00B14C6C"/>
    <w:rsid w:val="00B14C80"/>
    <w:rsid w:val="00B14DB1"/>
    <w:rsid w:val="00B14EB0"/>
    <w:rsid w:val="00B14ED9"/>
    <w:rsid w:val="00B14F88"/>
    <w:rsid w:val="00B15027"/>
    <w:rsid w:val="00B150DB"/>
    <w:rsid w:val="00B151F0"/>
    <w:rsid w:val="00B152DE"/>
    <w:rsid w:val="00B156ED"/>
    <w:rsid w:val="00B15FF1"/>
    <w:rsid w:val="00B160F3"/>
    <w:rsid w:val="00B1612B"/>
    <w:rsid w:val="00B16139"/>
    <w:rsid w:val="00B16213"/>
    <w:rsid w:val="00B1627F"/>
    <w:rsid w:val="00B162F3"/>
    <w:rsid w:val="00B1649B"/>
    <w:rsid w:val="00B164C3"/>
    <w:rsid w:val="00B1664F"/>
    <w:rsid w:val="00B16AF6"/>
    <w:rsid w:val="00B16D77"/>
    <w:rsid w:val="00B16E4C"/>
    <w:rsid w:val="00B16E7D"/>
    <w:rsid w:val="00B16FDC"/>
    <w:rsid w:val="00B17039"/>
    <w:rsid w:val="00B17077"/>
    <w:rsid w:val="00B170A3"/>
    <w:rsid w:val="00B171FB"/>
    <w:rsid w:val="00B17417"/>
    <w:rsid w:val="00B17746"/>
    <w:rsid w:val="00B17796"/>
    <w:rsid w:val="00B17937"/>
    <w:rsid w:val="00B179EB"/>
    <w:rsid w:val="00B17A1A"/>
    <w:rsid w:val="00B17A2F"/>
    <w:rsid w:val="00B17AEB"/>
    <w:rsid w:val="00B17B6C"/>
    <w:rsid w:val="00B17C6F"/>
    <w:rsid w:val="00B17CF6"/>
    <w:rsid w:val="00B17E6C"/>
    <w:rsid w:val="00B2024A"/>
    <w:rsid w:val="00B203E5"/>
    <w:rsid w:val="00B208E6"/>
    <w:rsid w:val="00B20A17"/>
    <w:rsid w:val="00B20CE9"/>
    <w:rsid w:val="00B20F1A"/>
    <w:rsid w:val="00B20F9C"/>
    <w:rsid w:val="00B21189"/>
    <w:rsid w:val="00B212F3"/>
    <w:rsid w:val="00B21315"/>
    <w:rsid w:val="00B214F1"/>
    <w:rsid w:val="00B216B2"/>
    <w:rsid w:val="00B21915"/>
    <w:rsid w:val="00B21BB3"/>
    <w:rsid w:val="00B21CB2"/>
    <w:rsid w:val="00B21D59"/>
    <w:rsid w:val="00B21DCC"/>
    <w:rsid w:val="00B21E0C"/>
    <w:rsid w:val="00B21F6E"/>
    <w:rsid w:val="00B220F6"/>
    <w:rsid w:val="00B2219F"/>
    <w:rsid w:val="00B2221B"/>
    <w:rsid w:val="00B2246D"/>
    <w:rsid w:val="00B22598"/>
    <w:rsid w:val="00B22778"/>
    <w:rsid w:val="00B229B6"/>
    <w:rsid w:val="00B22D5A"/>
    <w:rsid w:val="00B22E6D"/>
    <w:rsid w:val="00B231CF"/>
    <w:rsid w:val="00B23459"/>
    <w:rsid w:val="00B23556"/>
    <w:rsid w:val="00B237F8"/>
    <w:rsid w:val="00B238F6"/>
    <w:rsid w:val="00B23BA0"/>
    <w:rsid w:val="00B23CB4"/>
    <w:rsid w:val="00B23E32"/>
    <w:rsid w:val="00B23E3F"/>
    <w:rsid w:val="00B23EDE"/>
    <w:rsid w:val="00B23FAB"/>
    <w:rsid w:val="00B240A2"/>
    <w:rsid w:val="00B2411F"/>
    <w:rsid w:val="00B24291"/>
    <w:rsid w:val="00B24387"/>
    <w:rsid w:val="00B24574"/>
    <w:rsid w:val="00B24606"/>
    <w:rsid w:val="00B2460B"/>
    <w:rsid w:val="00B2479C"/>
    <w:rsid w:val="00B24801"/>
    <w:rsid w:val="00B2489C"/>
    <w:rsid w:val="00B248E2"/>
    <w:rsid w:val="00B24954"/>
    <w:rsid w:val="00B2498C"/>
    <w:rsid w:val="00B24AAB"/>
    <w:rsid w:val="00B24C20"/>
    <w:rsid w:val="00B24E9E"/>
    <w:rsid w:val="00B25045"/>
    <w:rsid w:val="00B25472"/>
    <w:rsid w:val="00B2549B"/>
    <w:rsid w:val="00B25541"/>
    <w:rsid w:val="00B25560"/>
    <w:rsid w:val="00B25564"/>
    <w:rsid w:val="00B256F8"/>
    <w:rsid w:val="00B25829"/>
    <w:rsid w:val="00B2598D"/>
    <w:rsid w:val="00B25A44"/>
    <w:rsid w:val="00B25DE8"/>
    <w:rsid w:val="00B25E3C"/>
    <w:rsid w:val="00B26118"/>
    <w:rsid w:val="00B26193"/>
    <w:rsid w:val="00B2619E"/>
    <w:rsid w:val="00B2633D"/>
    <w:rsid w:val="00B26435"/>
    <w:rsid w:val="00B2645E"/>
    <w:rsid w:val="00B264D1"/>
    <w:rsid w:val="00B264E1"/>
    <w:rsid w:val="00B266F8"/>
    <w:rsid w:val="00B2689F"/>
    <w:rsid w:val="00B268D3"/>
    <w:rsid w:val="00B2694F"/>
    <w:rsid w:val="00B269F2"/>
    <w:rsid w:val="00B26AD5"/>
    <w:rsid w:val="00B26B54"/>
    <w:rsid w:val="00B2718C"/>
    <w:rsid w:val="00B27579"/>
    <w:rsid w:val="00B2768D"/>
    <w:rsid w:val="00B276B3"/>
    <w:rsid w:val="00B278DD"/>
    <w:rsid w:val="00B27A90"/>
    <w:rsid w:val="00B27BCB"/>
    <w:rsid w:val="00B30062"/>
    <w:rsid w:val="00B305D9"/>
    <w:rsid w:val="00B30FC4"/>
    <w:rsid w:val="00B311AE"/>
    <w:rsid w:val="00B31265"/>
    <w:rsid w:val="00B3126F"/>
    <w:rsid w:val="00B31273"/>
    <w:rsid w:val="00B312F1"/>
    <w:rsid w:val="00B31356"/>
    <w:rsid w:val="00B316A2"/>
    <w:rsid w:val="00B31719"/>
    <w:rsid w:val="00B31AF9"/>
    <w:rsid w:val="00B31B4B"/>
    <w:rsid w:val="00B31D0F"/>
    <w:rsid w:val="00B31D25"/>
    <w:rsid w:val="00B31E3C"/>
    <w:rsid w:val="00B31FA0"/>
    <w:rsid w:val="00B32015"/>
    <w:rsid w:val="00B32035"/>
    <w:rsid w:val="00B323DF"/>
    <w:rsid w:val="00B324BD"/>
    <w:rsid w:val="00B326D5"/>
    <w:rsid w:val="00B328B8"/>
    <w:rsid w:val="00B32985"/>
    <w:rsid w:val="00B32A1A"/>
    <w:rsid w:val="00B32BA0"/>
    <w:rsid w:val="00B32FC4"/>
    <w:rsid w:val="00B33424"/>
    <w:rsid w:val="00B335E6"/>
    <w:rsid w:val="00B336D0"/>
    <w:rsid w:val="00B3377E"/>
    <w:rsid w:val="00B33815"/>
    <w:rsid w:val="00B3382C"/>
    <w:rsid w:val="00B33849"/>
    <w:rsid w:val="00B33980"/>
    <w:rsid w:val="00B33A30"/>
    <w:rsid w:val="00B33B49"/>
    <w:rsid w:val="00B33D35"/>
    <w:rsid w:val="00B33D3B"/>
    <w:rsid w:val="00B33D84"/>
    <w:rsid w:val="00B33DE9"/>
    <w:rsid w:val="00B33FC1"/>
    <w:rsid w:val="00B343B8"/>
    <w:rsid w:val="00B343F2"/>
    <w:rsid w:val="00B3459D"/>
    <w:rsid w:val="00B345C2"/>
    <w:rsid w:val="00B34651"/>
    <w:rsid w:val="00B3493F"/>
    <w:rsid w:val="00B34A9B"/>
    <w:rsid w:val="00B34AC3"/>
    <w:rsid w:val="00B35036"/>
    <w:rsid w:val="00B350A6"/>
    <w:rsid w:val="00B35418"/>
    <w:rsid w:val="00B3543D"/>
    <w:rsid w:val="00B35545"/>
    <w:rsid w:val="00B3558C"/>
    <w:rsid w:val="00B35782"/>
    <w:rsid w:val="00B358D6"/>
    <w:rsid w:val="00B358F9"/>
    <w:rsid w:val="00B35A93"/>
    <w:rsid w:val="00B35B2C"/>
    <w:rsid w:val="00B35D3D"/>
    <w:rsid w:val="00B36102"/>
    <w:rsid w:val="00B3617A"/>
    <w:rsid w:val="00B3618C"/>
    <w:rsid w:val="00B3652F"/>
    <w:rsid w:val="00B3660F"/>
    <w:rsid w:val="00B36826"/>
    <w:rsid w:val="00B36D63"/>
    <w:rsid w:val="00B36F3C"/>
    <w:rsid w:val="00B37015"/>
    <w:rsid w:val="00B370EC"/>
    <w:rsid w:val="00B3711E"/>
    <w:rsid w:val="00B373CD"/>
    <w:rsid w:val="00B37525"/>
    <w:rsid w:val="00B37771"/>
    <w:rsid w:val="00B37895"/>
    <w:rsid w:val="00B378CE"/>
    <w:rsid w:val="00B37917"/>
    <w:rsid w:val="00B37CAF"/>
    <w:rsid w:val="00B37D46"/>
    <w:rsid w:val="00B37F9F"/>
    <w:rsid w:val="00B400DA"/>
    <w:rsid w:val="00B40116"/>
    <w:rsid w:val="00B401E9"/>
    <w:rsid w:val="00B40262"/>
    <w:rsid w:val="00B40529"/>
    <w:rsid w:val="00B40709"/>
    <w:rsid w:val="00B4078C"/>
    <w:rsid w:val="00B408BD"/>
    <w:rsid w:val="00B409B4"/>
    <w:rsid w:val="00B40DCD"/>
    <w:rsid w:val="00B40F88"/>
    <w:rsid w:val="00B40FAB"/>
    <w:rsid w:val="00B4100C"/>
    <w:rsid w:val="00B4120E"/>
    <w:rsid w:val="00B41213"/>
    <w:rsid w:val="00B4127B"/>
    <w:rsid w:val="00B41450"/>
    <w:rsid w:val="00B41492"/>
    <w:rsid w:val="00B415EA"/>
    <w:rsid w:val="00B41771"/>
    <w:rsid w:val="00B419B5"/>
    <w:rsid w:val="00B419FE"/>
    <w:rsid w:val="00B41AF2"/>
    <w:rsid w:val="00B41B6D"/>
    <w:rsid w:val="00B41C0D"/>
    <w:rsid w:val="00B41CBF"/>
    <w:rsid w:val="00B41E42"/>
    <w:rsid w:val="00B41F4F"/>
    <w:rsid w:val="00B4201F"/>
    <w:rsid w:val="00B4237B"/>
    <w:rsid w:val="00B4252F"/>
    <w:rsid w:val="00B42577"/>
    <w:rsid w:val="00B42638"/>
    <w:rsid w:val="00B42784"/>
    <w:rsid w:val="00B429E8"/>
    <w:rsid w:val="00B42A02"/>
    <w:rsid w:val="00B42B92"/>
    <w:rsid w:val="00B42DD9"/>
    <w:rsid w:val="00B42E2C"/>
    <w:rsid w:val="00B42E3D"/>
    <w:rsid w:val="00B42E6B"/>
    <w:rsid w:val="00B43042"/>
    <w:rsid w:val="00B43397"/>
    <w:rsid w:val="00B43440"/>
    <w:rsid w:val="00B434B3"/>
    <w:rsid w:val="00B4353F"/>
    <w:rsid w:val="00B43711"/>
    <w:rsid w:val="00B4374E"/>
    <w:rsid w:val="00B4375B"/>
    <w:rsid w:val="00B43A4B"/>
    <w:rsid w:val="00B43B09"/>
    <w:rsid w:val="00B43CB5"/>
    <w:rsid w:val="00B43D63"/>
    <w:rsid w:val="00B43D81"/>
    <w:rsid w:val="00B43F75"/>
    <w:rsid w:val="00B44423"/>
    <w:rsid w:val="00B445AC"/>
    <w:rsid w:val="00B4468D"/>
    <w:rsid w:val="00B44787"/>
    <w:rsid w:val="00B449BB"/>
    <w:rsid w:val="00B44BF0"/>
    <w:rsid w:val="00B44C15"/>
    <w:rsid w:val="00B44C9C"/>
    <w:rsid w:val="00B44D5C"/>
    <w:rsid w:val="00B450D1"/>
    <w:rsid w:val="00B45127"/>
    <w:rsid w:val="00B451CA"/>
    <w:rsid w:val="00B45266"/>
    <w:rsid w:val="00B452C4"/>
    <w:rsid w:val="00B454F8"/>
    <w:rsid w:val="00B45563"/>
    <w:rsid w:val="00B458EA"/>
    <w:rsid w:val="00B45944"/>
    <w:rsid w:val="00B459D3"/>
    <w:rsid w:val="00B45BA8"/>
    <w:rsid w:val="00B45C59"/>
    <w:rsid w:val="00B45D5A"/>
    <w:rsid w:val="00B45F7E"/>
    <w:rsid w:val="00B464D0"/>
    <w:rsid w:val="00B465EF"/>
    <w:rsid w:val="00B468E7"/>
    <w:rsid w:val="00B46908"/>
    <w:rsid w:val="00B46954"/>
    <w:rsid w:val="00B46DBF"/>
    <w:rsid w:val="00B46EE7"/>
    <w:rsid w:val="00B46F40"/>
    <w:rsid w:val="00B46F7C"/>
    <w:rsid w:val="00B46FA7"/>
    <w:rsid w:val="00B471F1"/>
    <w:rsid w:val="00B47270"/>
    <w:rsid w:val="00B4738B"/>
    <w:rsid w:val="00B475A0"/>
    <w:rsid w:val="00B4779C"/>
    <w:rsid w:val="00B47935"/>
    <w:rsid w:val="00B47965"/>
    <w:rsid w:val="00B47A01"/>
    <w:rsid w:val="00B47B60"/>
    <w:rsid w:val="00B47D30"/>
    <w:rsid w:val="00B47D56"/>
    <w:rsid w:val="00B47EEE"/>
    <w:rsid w:val="00B47F5A"/>
    <w:rsid w:val="00B50034"/>
    <w:rsid w:val="00B500C5"/>
    <w:rsid w:val="00B50146"/>
    <w:rsid w:val="00B502EF"/>
    <w:rsid w:val="00B50518"/>
    <w:rsid w:val="00B506B5"/>
    <w:rsid w:val="00B508FF"/>
    <w:rsid w:val="00B50978"/>
    <w:rsid w:val="00B50D35"/>
    <w:rsid w:val="00B50EFB"/>
    <w:rsid w:val="00B5113D"/>
    <w:rsid w:val="00B51183"/>
    <w:rsid w:val="00B511EA"/>
    <w:rsid w:val="00B51252"/>
    <w:rsid w:val="00B5149D"/>
    <w:rsid w:val="00B516A8"/>
    <w:rsid w:val="00B5184C"/>
    <w:rsid w:val="00B51928"/>
    <w:rsid w:val="00B51A77"/>
    <w:rsid w:val="00B51AF1"/>
    <w:rsid w:val="00B51B74"/>
    <w:rsid w:val="00B51D8D"/>
    <w:rsid w:val="00B51EBB"/>
    <w:rsid w:val="00B51FF4"/>
    <w:rsid w:val="00B520C6"/>
    <w:rsid w:val="00B52271"/>
    <w:rsid w:val="00B522CB"/>
    <w:rsid w:val="00B5232E"/>
    <w:rsid w:val="00B52482"/>
    <w:rsid w:val="00B5257F"/>
    <w:rsid w:val="00B526B5"/>
    <w:rsid w:val="00B52808"/>
    <w:rsid w:val="00B528B7"/>
    <w:rsid w:val="00B5298A"/>
    <w:rsid w:val="00B52A75"/>
    <w:rsid w:val="00B52AE0"/>
    <w:rsid w:val="00B52CE5"/>
    <w:rsid w:val="00B52E3F"/>
    <w:rsid w:val="00B52E43"/>
    <w:rsid w:val="00B52F06"/>
    <w:rsid w:val="00B52F70"/>
    <w:rsid w:val="00B532DE"/>
    <w:rsid w:val="00B53457"/>
    <w:rsid w:val="00B53544"/>
    <w:rsid w:val="00B537ED"/>
    <w:rsid w:val="00B53809"/>
    <w:rsid w:val="00B538C1"/>
    <w:rsid w:val="00B53A49"/>
    <w:rsid w:val="00B53BF9"/>
    <w:rsid w:val="00B53C4C"/>
    <w:rsid w:val="00B53E51"/>
    <w:rsid w:val="00B53E6D"/>
    <w:rsid w:val="00B53EE8"/>
    <w:rsid w:val="00B53F0E"/>
    <w:rsid w:val="00B54236"/>
    <w:rsid w:val="00B5440D"/>
    <w:rsid w:val="00B544F9"/>
    <w:rsid w:val="00B544FB"/>
    <w:rsid w:val="00B54684"/>
    <w:rsid w:val="00B546F4"/>
    <w:rsid w:val="00B54939"/>
    <w:rsid w:val="00B54984"/>
    <w:rsid w:val="00B54A62"/>
    <w:rsid w:val="00B554AD"/>
    <w:rsid w:val="00B55553"/>
    <w:rsid w:val="00B55A72"/>
    <w:rsid w:val="00B55B52"/>
    <w:rsid w:val="00B55D4E"/>
    <w:rsid w:val="00B55E52"/>
    <w:rsid w:val="00B55F38"/>
    <w:rsid w:val="00B55FC9"/>
    <w:rsid w:val="00B56142"/>
    <w:rsid w:val="00B563D0"/>
    <w:rsid w:val="00B564B8"/>
    <w:rsid w:val="00B56556"/>
    <w:rsid w:val="00B565AF"/>
    <w:rsid w:val="00B568AA"/>
    <w:rsid w:val="00B568BC"/>
    <w:rsid w:val="00B56936"/>
    <w:rsid w:val="00B56A84"/>
    <w:rsid w:val="00B56C18"/>
    <w:rsid w:val="00B56D75"/>
    <w:rsid w:val="00B56E0A"/>
    <w:rsid w:val="00B56E23"/>
    <w:rsid w:val="00B570CB"/>
    <w:rsid w:val="00B57356"/>
    <w:rsid w:val="00B5768B"/>
    <w:rsid w:val="00B578F1"/>
    <w:rsid w:val="00B57B3A"/>
    <w:rsid w:val="00B57BE4"/>
    <w:rsid w:val="00B57D92"/>
    <w:rsid w:val="00B57DE7"/>
    <w:rsid w:val="00B57EE5"/>
    <w:rsid w:val="00B57F2B"/>
    <w:rsid w:val="00B57F3C"/>
    <w:rsid w:val="00B6008B"/>
    <w:rsid w:val="00B60121"/>
    <w:rsid w:val="00B6012A"/>
    <w:rsid w:val="00B60440"/>
    <w:rsid w:val="00B6091E"/>
    <w:rsid w:val="00B6099C"/>
    <w:rsid w:val="00B60A0F"/>
    <w:rsid w:val="00B60AF6"/>
    <w:rsid w:val="00B60DA7"/>
    <w:rsid w:val="00B60DAE"/>
    <w:rsid w:val="00B60E78"/>
    <w:rsid w:val="00B60E99"/>
    <w:rsid w:val="00B60EC6"/>
    <w:rsid w:val="00B60F35"/>
    <w:rsid w:val="00B60F8E"/>
    <w:rsid w:val="00B61304"/>
    <w:rsid w:val="00B6136D"/>
    <w:rsid w:val="00B6143B"/>
    <w:rsid w:val="00B616B2"/>
    <w:rsid w:val="00B61973"/>
    <w:rsid w:val="00B61A1A"/>
    <w:rsid w:val="00B61A6D"/>
    <w:rsid w:val="00B61CA3"/>
    <w:rsid w:val="00B61FF6"/>
    <w:rsid w:val="00B620CB"/>
    <w:rsid w:val="00B62661"/>
    <w:rsid w:val="00B627B0"/>
    <w:rsid w:val="00B628B9"/>
    <w:rsid w:val="00B62B19"/>
    <w:rsid w:val="00B62E92"/>
    <w:rsid w:val="00B630CB"/>
    <w:rsid w:val="00B630D2"/>
    <w:rsid w:val="00B630DB"/>
    <w:rsid w:val="00B63342"/>
    <w:rsid w:val="00B6340B"/>
    <w:rsid w:val="00B6345B"/>
    <w:rsid w:val="00B6347F"/>
    <w:rsid w:val="00B634E4"/>
    <w:rsid w:val="00B635BC"/>
    <w:rsid w:val="00B63856"/>
    <w:rsid w:val="00B63AC8"/>
    <w:rsid w:val="00B63AD6"/>
    <w:rsid w:val="00B63C0B"/>
    <w:rsid w:val="00B63CB5"/>
    <w:rsid w:val="00B63DE2"/>
    <w:rsid w:val="00B63FBE"/>
    <w:rsid w:val="00B64118"/>
    <w:rsid w:val="00B641F7"/>
    <w:rsid w:val="00B644CF"/>
    <w:rsid w:val="00B64589"/>
    <w:rsid w:val="00B645F3"/>
    <w:rsid w:val="00B64697"/>
    <w:rsid w:val="00B646CE"/>
    <w:rsid w:val="00B646D3"/>
    <w:rsid w:val="00B6485E"/>
    <w:rsid w:val="00B64A53"/>
    <w:rsid w:val="00B64A9C"/>
    <w:rsid w:val="00B64FCA"/>
    <w:rsid w:val="00B6512F"/>
    <w:rsid w:val="00B656A0"/>
    <w:rsid w:val="00B65875"/>
    <w:rsid w:val="00B6588F"/>
    <w:rsid w:val="00B659C7"/>
    <w:rsid w:val="00B65B05"/>
    <w:rsid w:val="00B65D2B"/>
    <w:rsid w:val="00B65D4F"/>
    <w:rsid w:val="00B65EB0"/>
    <w:rsid w:val="00B65F5C"/>
    <w:rsid w:val="00B65F8B"/>
    <w:rsid w:val="00B65FAD"/>
    <w:rsid w:val="00B66035"/>
    <w:rsid w:val="00B66070"/>
    <w:rsid w:val="00B66163"/>
    <w:rsid w:val="00B664AD"/>
    <w:rsid w:val="00B66501"/>
    <w:rsid w:val="00B66780"/>
    <w:rsid w:val="00B66B9D"/>
    <w:rsid w:val="00B66E0F"/>
    <w:rsid w:val="00B66EE3"/>
    <w:rsid w:val="00B671FC"/>
    <w:rsid w:val="00B67301"/>
    <w:rsid w:val="00B6733D"/>
    <w:rsid w:val="00B67351"/>
    <w:rsid w:val="00B67382"/>
    <w:rsid w:val="00B6743A"/>
    <w:rsid w:val="00B67536"/>
    <w:rsid w:val="00B677A9"/>
    <w:rsid w:val="00B678E3"/>
    <w:rsid w:val="00B67A2A"/>
    <w:rsid w:val="00B67BBE"/>
    <w:rsid w:val="00B67E5E"/>
    <w:rsid w:val="00B70344"/>
    <w:rsid w:val="00B703C8"/>
    <w:rsid w:val="00B70571"/>
    <w:rsid w:val="00B70644"/>
    <w:rsid w:val="00B707E0"/>
    <w:rsid w:val="00B7085D"/>
    <w:rsid w:val="00B709AD"/>
    <w:rsid w:val="00B70BC1"/>
    <w:rsid w:val="00B70C0C"/>
    <w:rsid w:val="00B70EDA"/>
    <w:rsid w:val="00B70EF4"/>
    <w:rsid w:val="00B70F4F"/>
    <w:rsid w:val="00B70F55"/>
    <w:rsid w:val="00B70FEA"/>
    <w:rsid w:val="00B70FFE"/>
    <w:rsid w:val="00B71093"/>
    <w:rsid w:val="00B714B7"/>
    <w:rsid w:val="00B71BA6"/>
    <w:rsid w:val="00B71DC7"/>
    <w:rsid w:val="00B71EC2"/>
    <w:rsid w:val="00B71FDB"/>
    <w:rsid w:val="00B722B9"/>
    <w:rsid w:val="00B72337"/>
    <w:rsid w:val="00B7238B"/>
    <w:rsid w:val="00B724C7"/>
    <w:rsid w:val="00B72BEF"/>
    <w:rsid w:val="00B72DA9"/>
    <w:rsid w:val="00B72E4D"/>
    <w:rsid w:val="00B72EE9"/>
    <w:rsid w:val="00B7334D"/>
    <w:rsid w:val="00B7345C"/>
    <w:rsid w:val="00B73575"/>
    <w:rsid w:val="00B7370A"/>
    <w:rsid w:val="00B7371E"/>
    <w:rsid w:val="00B73909"/>
    <w:rsid w:val="00B73A9A"/>
    <w:rsid w:val="00B73AB4"/>
    <w:rsid w:val="00B73B76"/>
    <w:rsid w:val="00B73B87"/>
    <w:rsid w:val="00B73BC9"/>
    <w:rsid w:val="00B73BFF"/>
    <w:rsid w:val="00B73C06"/>
    <w:rsid w:val="00B73C86"/>
    <w:rsid w:val="00B73D83"/>
    <w:rsid w:val="00B73EF2"/>
    <w:rsid w:val="00B7415F"/>
    <w:rsid w:val="00B741D6"/>
    <w:rsid w:val="00B74225"/>
    <w:rsid w:val="00B74289"/>
    <w:rsid w:val="00B74355"/>
    <w:rsid w:val="00B74544"/>
    <w:rsid w:val="00B74780"/>
    <w:rsid w:val="00B7478E"/>
    <w:rsid w:val="00B74911"/>
    <w:rsid w:val="00B7492E"/>
    <w:rsid w:val="00B74C84"/>
    <w:rsid w:val="00B74E64"/>
    <w:rsid w:val="00B750D1"/>
    <w:rsid w:val="00B7520F"/>
    <w:rsid w:val="00B753BC"/>
    <w:rsid w:val="00B753D0"/>
    <w:rsid w:val="00B75858"/>
    <w:rsid w:val="00B75CF6"/>
    <w:rsid w:val="00B75D75"/>
    <w:rsid w:val="00B75FC2"/>
    <w:rsid w:val="00B7600B"/>
    <w:rsid w:val="00B7612F"/>
    <w:rsid w:val="00B76409"/>
    <w:rsid w:val="00B764AC"/>
    <w:rsid w:val="00B76683"/>
    <w:rsid w:val="00B76988"/>
    <w:rsid w:val="00B76A94"/>
    <w:rsid w:val="00B76A98"/>
    <w:rsid w:val="00B76CF2"/>
    <w:rsid w:val="00B76D6C"/>
    <w:rsid w:val="00B770B8"/>
    <w:rsid w:val="00B77371"/>
    <w:rsid w:val="00B7763B"/>
    <w:rsid w:val="00B776B6"/>
    <w:rsid w:val="00B77EC4"/>
    <w:rsid w:val="00B77F06"/>
    <w:rsid w:val="00B77FFD"/>
    <w:rsid w:val="00B802C5"/>
    <w:rsid w:val="00B80580"/>
    <w:rsid w:val="00B806D9"/>
    <w:rsid w:val="00B8078B"/>
    <w:rsid w:val="00B8089D"/>
    <w:rsid w:val="00B80AD1"/>
    <w:rsid w:val="00B80B03"/>
    <w:rsid w:val="00B80B69"/>
    <w:rsid w:val="00B80CDB"/>
    <w:rsid w:val="00B80E4A"/>
    <w:rsid w:val="00B810D7"/>
    <w:rsid w:val="00B812C6"/>
    <w:rsid w:val="00B815AC"/>
    <w:rsid w:val="00B815C0"/>
    <w:rsid w:val="00B819EA"/>
    <w:rsid w:val="00B81A2A"/>
    <w:rsid w:val="00B81AFA"/>
    <w:rsid w:val="00B81C23"/>
    <w:rsid w:val="00B81C86"/>
    <w:rsid w:val="00B81C9F"/>
    <w:rsid w:val="00B81DAE"/>
    <w:rsid w:val="00B81F87"/>
    <w:rsid w:val="00B8201F"/>
    <w:rsid w:val="00B820DC"/>
    <w:rsid w:val="00B825BA"/>
    <w:rsid w:val="00B826D8"/>
    <w:rsid w:val="00B827B4"/>
    <w:rsid w:val="00B82842"/>
    <w:rsid w:val="00B828AD"/>
    <w:rsid w:val="00B828D9"/>
    <w:rsid w:val="00B82A59"/>
    <w:rsid w:val="00B82FA2"/>
    <w:rsid w:val="00B83128"/>
    <w:rsid w:val="00B834D7"/>
    <w:rsid w:val="00B83506"/>
    <w:rsid w:val="00B8377F"/>
    <w:rsid w:val="00B8385B"/>
    <w:rsid w:val="00B83BB6"/>
    <w:rsid w:val="00B83BD0"/>
    <w:rsid w:val="00B83DC3"/>
    <w:rsid w:val="00B83DF1"/>
    <w:rsid w:val="00B83E66"/>
    <w:rsid w:val="00B83E92"/>
    <w:rsid w:val="00B840FB"/>
    <w:rsid w:val="00B841D4"/>
    <w:rsid w:val="00B8423F"/>
    <w:rsid w:val="00B84381"/>
    <w:rsid w:val="00B8455C"/>
    <w:rsid w:val="00B84588"/>
    <w:rsid w:val="00B84706"/>
    <w:rsid w:val="00B84768"/>
    <w:rsid w:val="00B84796"/>
    <w:rsid w:val="00B84874"/>
    <w:rsid w:val="00B84910"/>
    <w:rsid w:val="00B84B20"/>
    <w:rsid w:val="00B84C4D"/>
    <w:rsid w:val="00B84CC9"/>
    <w:rsid w:val="00B84E3E"/>
    <w:rsid w:val="00B84E8F"/>
    <w:rsid w:val="00B8509F"/>
    <w:rsid w:val="00B8533F"/>
    <w:rsid w:val="00B8565A"/>
    <w:rsid w:val="00B856C1"/>
    <w:rsid w:val="00B856DC"/>
    <w:rsid w:val="00B85823"/>
    <w:rsid w:val="00B85843"/>
    <w:rsid w:val="00B859C7"/>
    <w:rsid w:val="00B85C27"/>
    <w:rsid w:val="00B86002"/>
    <w:rsid w:val="00B86154"/>
    <w:rsid w:val="00B8615F"/>
    <w:rsid w:val="00B863B6"/>
    <w:rsid w:val="00B86619"/>
    <w:rsid w:val="00B86647"/>
    <w:rsid w:val="00B867AE"/>
    <w:rsid w:val="00B8692F"/>
    <w:rsid w:val="00B86B30"/>
    <w:rsid w:val="00B86E18"/>
    <w:rsid w:val="00B86EB2"/>
    <w:rsid w:val="00B87517"/>
    <w:rsid w:val="00B878B6"/>
    <w:rsid w:val="00B879BC"/>
    <w:rsid w:val="00B87A8B"/>
    <w:rsid w:val="00B87BA3"/>
    <w:rsid w:val="00B90102"/>
    <w:rsid w:val="00B90231"/>
    <w:rsid w:val="00B903B5"/>
    <w:rsid w:val="00B909B6"/>
    <w:rsid w:val="00B909CD"/>
    <w:rsid w:val="00B90CA5"/>
    <w:rsid w:val="00B90DA7"/>
    <w:rsid w:val="00B90E82"/>
    <w:rsid w:val="00B90EE6"/>
    <w:rsid w:val="00B910AA"/>
    <w:rsid w:val="00B9111D"/>
    <w:rsid w:val="00B9136D"/>
    <w:rsid w:val="00B913FA"/>
    <w:rsid w:val="00B915DB"/>
    <w:rsid w:val="00B9166C"/>
    <w:rsid w:val="00B91768"/>
    <w:rsid w:val="00B91A17"/>
    <w:rsid w:val="00B91AC8"/>
    <w:rsid w:val="00B91AEF"/>
    <w:rsid w:val="00B91B1C"/>
    <w:rsid w:val="00B91E89"/>
    <w:rsid w:val="00B91EA3"/>
    <w:rsid w:val="00B92115"/>
    <w:rsid w:val="00B92181"/>
    <w:rsid w:val="00B922DC"/>
    <w:rsid w:val="00B923D6"/>
    <w:rsid w:val="00B92417"/>
    <w:rsid w:val="00B9272B"/>
    <w:rsid w:val="00B9275F"/>
    <w:rsid w:val="00B92840"/>
    <w:rsid w:val="00B92897"/>
    <w:rsid w:val="00B929B1"/>
    <w:rsid w:val="00B92C64"/>
    <w:rsid w:val="00B92D99"/>
    <w:rsid w:val="00B92FC2"/>
    <w:rsid w:val="00B93118"/>
    <w:rsid w:val="00B9317F"/>
    <w:rsid w:val="00B931A4"/>
    <w:rsid w:val="00B932EB"/>
    <w:rsid w:val="00B933A5"/>
    <w:rsid w:val="00B93604"/>
    <w:rsid w:val="00B93605"/>
    <w:rsid w:val="00B93663"/>
    <w:rsid w:val="00B937A3"/>
    <w:rsid w:val="00B93B96"/>
    <w:rsid w:val="00B93C45"/>
    <w:rsid w:val="00B93CBB"/>
    <w:rsid w:val="00B93E44"/>
    <w:rsid w:val="00B93ECB"/>
    <w:rsid w:val="00B93FFE"/>
    <w:rsid w:val="00B94198"/>
    <w:rsid w:val="00B94401"/>
    <w:rsid w:val="00B9457B"/>
    <w:rsid w:val="00B94688"/>
    <w:rsid w:val="00B946A5"/>
    <w:rsid w:val="00B946C9"/>
    <w:rsid w:val="00B94772"/>
    <w:rsid w:val="00B947A0"/>
    <w:rsid w:val="00B948CE"/>
    <w:rsid w:val="00B94934"/>
    <w:rsid w:val="00B94938"/>
    <w:rsid w:val="00B94A72"/>
    <w:rsid w:val="00B94A8D"/>
    <w:rsid w:val="00B94BE9"/>
    <w:rsid w:val="00B94BEB"/>
    <w:rsid w:val="00B94C3F"/>
    <w:rsid w:val="00B94C4B"/>
    <w:rsid w:val="00B94C91"/>
    <w:rsid w:val="00B94D43"/>
    <w:rsid w:val="00B94D50"/>
    <w:rsid w:val="00B94EC8"/>
    <w:rsid w:val="00B94F08"/>
    <w:rsid w:val="00B94FA1"/>
    <w:rsid w:val="00B95365"/>
    <w:rsid w:val="00B95446"/>
    <w:rsid w:val="00B955FF"/>
    <w:rsid w:val="00B9579C"/>
    <w:rsid w:val="00B9579D"/>
    <w:rsid w:val="00B9588B"/>
    <w:rsid w:val="00B95B6C"/>
    <w:rsid w:val="00B95C27"/>
    <w:rsid w:val="00B95C58"/>
    <w:rsid w:val="00B95E44"/>
    <w:rsid w:val="00B95EA8"/>
    <w:rsid w:val="00B95FCD"/>
    <w:rsid w:val="00B96192"/>
    <w:rsid w:val="00B962E2"/>
    <w:rsid w:val="00B962E8"/>
    <w:rsid w:val="00B96824"/>
    <w:rsid w:val="00B96A57"/>
    <w:rsid w:val="00B96AD7"/>
    <w:rsid w:val="00B96F01"/>
    <w:rsid w:val="00B96F96"/>
    <w:rsid w:val="00B97054"/>
    <w:rsid w:val="00B972CF"/>
    <w:rsid w:val="00B972D9"/>
    <w:rsid w:val="00B9738C"/>
    <w:rsid w:val="00B9760E"/>
    <w:rsid w:val="00B9767F"/>
    <w:rsid w:val="00B9782F"/>
    <w:rsid w:val="00B97AAB"/>
    <w:rsid w:val="00B97AB6"/>
    <w:rsid w:val="00B97CBE"/>
    <w:rsid w:val="00B97E04"/>
    <w:rsid w:val="00BA0013"/>
    <w:rsid w:val="00BA0097"/>
    <w:rsid w:val="00BA00BA"/>
    <w:rsid w:val="00BA0168"/>
    <w:rsid w:val="00BA0380"/>
    <w:rsid w:val="00BA039D"/>
    <w:rsid w:val="00BA04FF"/>
    <w:rsid w:val="00BA054C"/>
    <w:rsid w:val="00BA0681"/>
    <w:rsid w:val="00BA0766"/>
    <w:rsid w:val="00BA07A2"/>
    <w:rsid w:val="00BA087A"/>
    <w:rsid w:val="00BA0CF3"/>
    <w:rsid w:val="00BA0D87"/>
    <w:rsid w:val="00BA0E3F"/>
    <w:rsid w:val="00BA0F05"/>
    <w:rsid w:val="00BA11E1"/>
    <w:rsid w:val="00BA1416"/>
    <w:rsid w:val="00BA159B"/>
    <w:rsid w:val="00BA15A8"/>
    <w:rsid w:val="00BA1AA5"/>
    <w:rsid w:val="00BA1D11"/>
    <w:rsid w:val="00BA20B7"/>
    <w:rsid w:val="00BA2672"/>
    <w:rsid w:val="00BA2785"/>
    <w:rsid w:val="00BA27E3"/>
    <w:rsid w:val="00BA2802"/>
    <w:rsid w:val="00BA2876"/>
    <w:rsid w:val="00BA2928"/>
    <w:rsid w:val="00BA2B41"/>
    <w:rsid w:val="00BA2D60"/>
    <w:rsid w:val="00BA2F27"/>
    <w:rsid w:val="00BA2FE7"/>
    <w:rsid w:val="00BA3002"/>
    <w:rsid w:val="00BA3673"/>
    <w:rsid w:val="00BA379C"/>
    <w:rsid w:val="00BA37F2"/>
    <w:rsid w:val="00BA3803"/>
    <w:rsid w:val="00BA39A1"/>
    <w:rsid w:val="00BA3ADA"/>
    <w:rsid w:val="00BA3BD7"/>
    <w:rsid w:val="00BA4005"/>
    <w:rsid w:val="00BA400C"/>
    <w:rsid w:val="00BA40DB"/>
    <w:rsid w:val="00BA41DD"/>
    <w:rsid w:val="00BA4293"/>
    <w:rsid w:val="00BA433B"/>
    <w:rsid w:val="00BA4375"/>
    <w:rsid w:val="00BA46C5"/>
    <w:rsid w:val="00BA4A40"/>
    <w:rsid w:val="00BA4A60"/>
    <w:rsid w:val="00BA4E5C"/>
    <w:rsid w:val="00BA5125"/>
    <w:rsid w:val="00BA5293"/>
    <w:rsid w:val="00BA56A4"/>
    <w:rsid w:val="00BA572D"/>
    <w:rsid w:val="00BA598B"/>
    <w:rsid w:val="00BA5A2E"/>
    <w:rsid w:val="00BA5AFA"/>
    <w:rsid w:val="00BA5DD8"/>
    <w:rsid w:val="00BA629F"/>
    <w:rsid w:val="00BA632A"/>
    <w:rsid w:val="00BA63EF"/>
    <w:rsid w:val="00BA64B1"/>
    <w:rsid w:val="00BA65CB"/>
    <w:rsid w:val="00BA661A"/>
    <w:rsid w:val="00BA6760"/>
    <w:rsid w:val="00BA67A4"/>
    <w:rsid w:val="00BA6CDA"/>
    <w:rsid w:val="00BA6CDC"/>
    <w:rsid w:val="00BA6CE3"/>
    <w:rsid w:val="00BA6F7F"/>
    <w:rsid w:val="00BA718F"/>
    <w:rsid w:val="00BA731A"/>
    <w:rsid w:val="00BA7323"/>
    <w:rsid w:val="00BA73D7"/>
    <w:rsid w:val="00BA78D0"/>
    <w:rsid w:val="00BA7B31"/>
    <w:rsid w:val="00BA7C36"/>
    <w:rsid w:val="00BA7D30"/>
    <w:rsid w:val="00BB0103"/>
    <w:rsid w:val="00BB0122"/>
    <w:rsid w:val="00BB0351"/>
    <w:rsid w:val="00BB0476"/>
    <w:rsid w:val="00BB04D6"/>
    <w:rsid w:val="00BB05E9"/>
    <w:rsid w:val="00BB063F"/>
    <w:rsid w:val="00BB070C"/>
    <w:rsid w:val="00BB08A4"/>
    <w:rsid w:val="00BB09A9"/>
    <w:rsid w:val="00BB0B64"/>
    <w:rsid w:val="00BB0C5A"/>
    <w:rsid w:val="00BB0CBF"/>
    <w:rsid w:val="00BB105E"/>
    <w:rsid w:val="00BB121D"/>
    <w:rsid w:val="00BB1284"/>
    <w:rsid w:val="00BB1367"/>
    <w:rsid w:val="00BB14BE"/>
    <w:rsid w:val="00BB15C0"/>
    <w:rsid w:val="00BB184F"/>
    <w:rsid w:val="00BB1A32"/>
    <w:rsid w:val="00BB1B66"/>
    <w:rsid w:val="00BB1C8B"/>
    <w:rsid w:val="00BB1CA7"/>
    <w:rsid w:val="00BB1D76"/>
    <w:rsid w:val="00BB1D7A"/>
    <w:rsid w:val="00BB1D93"/>
    <w:rsid w:val="00BB1EAC"/>
    <w:rsid w:val="00BB2128"/>
    <w:rsid w:val="00BB2157"/>
    <w:rsid w:val="00BB2602"/>
    <w:rsid w:val="00BB264F"/>
    <w:rsid w:val="00BB2858"/>
    <w:rsid w:val="00BB2887"/>
    <w:rsid w:val="00BB2907"/>
    <w:rsid w:val="00BB2AB7"/>
    <w:rsid w:val="00BB2B98"/>
    <w:rsid w:val="00BB2BBE"/>
    <w:rsid w:val="00BB2CC0"/>
    <w:rsid w:val="00BB2D61"/>
    <w:rsid w:val="00BB2D7A"/>
    <w:rsid w:val="00BB2E49"/>
    <w:rsid w:val="00BB2EB8"/>
    <w:rsid w:val="00BB2F11"/>
    <w:rsid w:val="00BB30BA"/>
    <w:rsid w:val="00BB3473"/>
    <w:rsid w:val="00BB38A3"/>
    <w:rsid w:val="00BB3A5A"/>
    <w:rsid w:val="00BB3ADC"/>
    <w:rsid w:val="00BB3D14"/>
    <w:rsid w:val="00BB3EA2"/>
    <w:rsid w:val="00BB3FB0"/>
    <w:rsid w:val="00BB4054"/>
    <w:rsid w:val="00BB4150"/>
    <w:rsid w:val="00BB4282"/>
    <w:rsid w:val="00BB43F1"/>
    <w:rsid w:val="00BB44B7"/>
    <w:rsid w:val="00BB4651"/>
    <w:rsid w:val="00BB48AE"/>
    <w:rsid w:val="00BB48C5"/>
    <w:rsid w:val="00BB4927"/>
    <w:rsid w:val="00BB4B68"/>
    <w:rsid w:val="00BB4DAB"/>
    <w:rsid w:val="00BB4E4A"/>
    <w:rsid w:val="00BB50A5"/>
    <w:rsid w:val="00BB51B6"/>
    <w:rsid w:val="00BB5346"/>
    <w:rsid w:val="00BB53B9"/>
    <w:rsid w:val="00BB547E"/>
    <w:rsid w:val="00BB5673"/>
    <w:rsid w:val="00BB578E"/>
    <w:rsid w:val="00BB5880"/>
    <w:rsid w:val="00BB5E26"/>
    <w:rsid w:val="00BB6192"/>
    <w:rsid w:val="00BB625F"/>
    <w:rsid w:val="00BB6642"/>
    <w:rsid w:val="00BB690C"/>
    <w:rsid w:val="00BB6911"/>
    <w:rsid w:val="00BB6A6C"/>
    <w:rsid w:val="00BB6AD0"/>
    <w:rsid w:val="00BB7080"/>
    <w:rsid w:val="00BB72F1"/>
    <w:rsid w:val="00BB7427"/>
    <w:rsid w:val="00BB7537"/>
    <w:rsid w:val="00BB7553"/>
    <w:rsid w:val="00BB76C6"/>
    <w:rsid w:val="00BB787D"/>
    <w:rsid w:val="00BB7B84"/>
    <w:rsid w:val="00BB7BB6"/>
    <w:rsid w:val="00BB7C57"/>
    <w:rsid w:val="00BB7C75"/>
    <w:rsid w:val="00BB7F5A"/>
    <w:rsid w:val="00BC01B3"/>
    <w:rsid w:val="00BC01C4"/>
    <w:rsid w:val="00BC020F"/>
    <w:rsid w:val="00BC021F"/>
    <w:rsid w:val="00BC0551"/>
    <w:rsid w:val="00BC0831"/>
    <w:rsid w:val="00BC085D"/>
    <w:rsid w:val="00BC0914"/>
    <w:rsid w:val="00BC0916"/>
    <w:rsid w:val="00BC0941"/>
    <w:rsid w:val="00BC0A22"/>
    <w:rsid w:val="00BC0B94"/>
    <w:rsid w:val="00BC0B98"/>
    <w:rsid w:val="00BC0CA9"/>
    <w:rsid w:val="00BC0D33"/>
    <w:rsid w:val="00BC0E34"/>
    <w:rsid w:val="00BC0EF6"/>
    <w:rsid w:val="00BC12D7"/>
    <w:rsid w:val="00BC136A"/>
    <w:rsid w:val="00BC13AD"/>
    <w:rsid w:val="00BC1480"/>
    <w:rsid w:val="00BC16A4"/>
    <w:rsid w:val="00BC188C"/>
    <w:rsid w:val="00BC18AE"/>
    <w:rsid w:val="00BC1B3E"/>
    <w:rsid w:val="00BC1CC4"/>
    <w:rsid w:val="00BC1CE6"/>
    <w:rsid w:val="00BC1DE9"/>
    <w:rsid w:val="00BC1EF0"/>
    <w:rsid w:val="00BC1F3F"/>
    <w:rsid w:val="00BC24B6"/>
    <w:rsid w:val="00BC24E0"/>
    <w:rsid w:val="00BC2544"/>
    <w:rsid w:val="00BC2636"/>
    <w:rsid w:val="00BC286F"/>
    <w:rsid w:val="00BC2BB3"/>
    <w:rsid w:val="00BC2D48"/>
    <w:rsid w:val="00BC2D64"/>
    <w:rsid w:val="00BC2F5C"/>
    <w:rsid w:val="00BC2F73"/>
    <w:rsid w:val="00BC3017"/>
    <w:rsid w:val="00BC3281"/>
    <w:rsid w:val="00BC3291"/>
    <w:rsid w:val="00BC340E"/>
    <w:rsid w:val="00BC3601"/>
    <w:rsid w:val="00BC3647"/>
    <w:rsid w:val="00BC36F7"/>
    <w:rsid w:val="00BC3A29"/>
    <w:rsid w:val="00BC3AB2"/>
    <w:rsid w:val="00BC3E03"/>
    <w:rsid w:val="00BC3E44"/>
    <w:rsid w:val="00BC3FAF"/>
    <w:rsid w:val="00BC41A6"/>
    <w:rsid w:val="00BC42A7"/>
    <w:rsid w:val="00BC4322"/>
    <w:rsid w:val="00BC4604"/>
    <w:rsid w:val="00BC463A"/>
    <w:rsid w:val="00BC4940"/>
    <w:rsid w:val="00BC4B7D"/>
    <w:rsid w:val="00BC4B96"/>
    <w:rsid w:val="00BC4CB3"/>
    <w:rsid w:val="00BC4CFE"/>
    <w:rsid w:val="00BC4FDE"/>
    <w:rsid w:val="00BC521F"/>
    <w:rsid w:val="00BC5593"/>
    <w:rsid w:val="00BC5627"/>
    <w:rsid w:val="00BC5665"/>
    <w:rsid w:val="00BC57CD"/>
    <w:rsid w:val="00BC5845"/>
    <w:rsid w:val="00BC5990"/>
    <w:rsid w:val="00BC5A28"/>
    <w:rsid w:val="00BC5B6E"/>
    <w:rsid w:val="00BC5CA2"/>
    <w:rsid w:val="00BC5D54"/>
    <w:rsid w:val="00BC5DA8"/>
    <w:rsid w:val="00BC5E13"/>
    <w:rsid w:val="00BC5F72"/>
    <w:rsid w:val="00BC60CD"/>
    <w:rsid w:val="00BC67CE"/>
    <w:rsid w:val="00BC6910"/>
    <w:rsid w:val="00BC6B4F"/>
    <w:rsid w:val="00BC6D00"/>
    <w:rsid w:val="00BC6D32"/>
    <w:rsid w:val="00BC6F50"/>
    <w:rsid w:val="00BC72FE"/>
    <w:rsid w:val="00BC733A"/>
    <w:rsid w:val="00BC7572"/>
    <w:rsid w:val="00BC76DD"/>
    <w:rsid w:val="00BC790A"/>
    <w:rsid w:val="00BC79B9"/>
    <w:rsid w:val="00BC7A28"/>
    <w:rsid w:val="00BC7B8A"/>
    <w:rsid w:val="00BC7BF5"/>
    <w:rsid w:val="00BC7BFF"/>
    <w:rsid w:val="00BC7CF0"/>
    <w:rsid w:val="00BC7D3C"/>
    <w:rsid w:val="00BC7FFD"/>
    <w:rsid w:val="00BD01A7"/>
    <w:rsid w:val="00BD01AE"/>
    <w:rsid w:val="00BD0255"/>
    <w:rsid w:val="00BD027B"/>
    <w:rsid w:val="00BD045E"/>
    <w:rsid w:val="00BD08E9"/>
    <w:rsid w:val="00BD08FF"/>
    <w:rsid w:val="00BD095A"/>
    <w:rsid w:val="00BD0A6C"/>
    <w:rsid w:val="00BD0AE5"/>
    <w:rsid w:val="00BD0B3C"/>
    <w:rsid w:val="00BD0DD1"/>
    <w:rsid w:val="00BD0F07"/>
    <w:rsid w:val="00BD0F25"/>
    <w:rsid w:val="00BD11D9"/>
    <w:rsid w:val="00BD13C7"/>
    <w:rsid w:val="00BD170E"/>
    <w:rsid w:val="00BD191D"/>
    <w:rsid w:val="00BD1944"/>
    <w:rsid w:val="00BD1CBE"/>
    <w:rsid w:val="00BD1D0C"/>
    <w:rsid w:val="00BD1D36"/>
    <w:rsid w:val="00BD1DFC"/>
    <w:rsid w:val="00BD1EB3"/>
    <w:rsid w:val="00BD1F06"/>
    <w:rsid w:val="00BD2022"/>
    <w:rsid w:val="00BD215A"/>
    <w:rsid w:val="00BD2186"/>
    <w:rsid w:val="00BD2190"/>
    <w:rsid w:val="00BD2313"/>
    <w:rsid w:val="00BD247A"/>
    <w:rsid w:val="00BD2494"/>
    <w:rsid w:val="00BD25E4"/>
    <w:rsid w:val="00BD25E9"/>
    <w:rsid w:val="00BD263E"/>
    <w:rsid w:val="00BD26DF"/>
    <w:rsid w:val="00BD273B"/>
    <w:rsid w:val="00BD27EB"/>
    <w:rsid w:val="00BD2882"/>
    <w:rsid w:val="00BD2988"/>
    <w:rsid w:val="00BD2AED"/>
    <w:rsid w:val="00BD2BD0"/>
    <w:rsid w:val="00BD2D70"/>
    <w:rsid w:val="00BD2EE8"/>
    <w:rsid w:val="00BD2FF2"/>
    <w:rsid w:val="00BD3064"/>
    <w:rsid w:val="00BD3131"/>
    <w:rsid w:val="00BD3157"/>
    <w:rsid w:val="00BD34A1"/>
    <w:rsid w:val="00BD3636"/>
    <w:rsid w:val="00BD37E2"/>
    <w:rsid w:val="00BD3941"/>
    <w:rsid w:val="00BD399B"/>
    <w:rsid w:val="00BD3A99"/>
    <w:rsid w:val="00BD3CCE"/>
    <w:rsid w:val="00BD3D3D"/>
    <w:rsid w:val="00BD3DFE"/>
    <w:rsid w:val="00BD40FB"/>
    <w:rsid w:val="00BD4248"/>
    <w:rsid w:val="00BD429E"/>
    <w:rsid w:val="00BD4448"/>
    <w:rsid w:val="00BD44ED"/>
    <w:rsid w:val="00BD4685"/>
    <w:rsid w:val="00BD47E9"/>
    <w:rsid w:val="00BD4917"/>
    <w:rsid w:val="00BD4AF5"/>
    <w:rsid w:val="00BD4CFD"/>
    <w:rsid w:val="00BD4EC2"/>
    <w:rsid w:val="00BD5012"/>
    <w:rsid w:val="00BD501E"/>
    <w:rsid w:val="00BD512B"/>
    <w:rsid w:val="00BD52B2"/>
    <w:rsid w:val="00BD54A9"/>
    <w:rsid w:val="00BD56DB"/>
    <w:rsid w:val="00BD579B"/>
    <w:rsid w:val="00BD57DB"/>
    <w:rsid w:val="00BD57DC"/>
    <w:rsid w:val="00BD585D"/>
    <w:rsid w:val="00BD590B"/>
    <w:rsid w:val="00BD5E2B"/>
    <w:rsid w:val="00BD6180"/>
    <w:rsid w:val="00BD62C4"/>
    <w:rsid w:val="00BD658F"/>
    <w:rsid w:val="00BD68BD"/>
    <w:rsid w:val="00BD69B9"/>
    <w:rsid w:val="00BD6A4A"/>
    <w:rsid w:val="00BD728D"/>
    <w:rsid w:val="00BD77A5"/>
    <w:rsid w:val="00BD792A"/>
    <w:rsid w:val="00BD7961"/>
    <w:rsid w:val="00BD798F"/>
    <w:rsid w:val="00BD7BE4"/>
    <w:rsid w:val="00BD7CB1"/>
    <w:rsid w:val="00BE0123"/>
    <w:rsid w:val="00BE0179"/>
    <w:rsid w:val="00BE02E6"/>
    <w:rsid w:val="00BE07B6"/>
    <w:rsid w:val="00BE09D5"/>
    <w:rsid w:val="00BE0B03"/>
    <w:rsid w:val="00BE0B7E"/>
    <w:rsid w:val="00BE0BEA"/>
    <w:rsid w:val="00BE1183"/>
    <w:rsid w:val="00BE121C"/>
    <w:rsid w:val="00BE130B"/>
    <w:rsid w:val="00BE13D6"/>
    <w:rsid w:val="00BE1555"/>
    <w:rsid w:val="00BE15F6"/>
    <w:rsid w:val="00BE1A9A"/>
    <w:rsid w:val="00BE200C"/>
    <w:rsid w:val="00BE201C"/>
    <w:rsid w:val="00BE2486"/>
    <w:rsid w:val="00BE2499"/>
    <w:rsid w:val="00BE2538"/>
    <w:rsid w:val="00BE277A"/>
    <w:rsid w:val="00BE2AE1"/>
    <w:rsid w:val="00BE2B6D"/>
    <w:rsid w:val="00BE2C3F"/>
    <w:rsid w:val="00BE2EB4"/>
    <w:rsid w:val="00BE2EDB"/>
    <w:rsid w:val="00BE3069"/>
    <w:rsid w:val="00BE31EF"/>
    <w:rsid w:val="00BE320B"/>
    <w:rsid w:val="00BE3504"/>
    <w:rsid w:val="00BE3724"/>
    <w:rsid w:val="00BE37FB"/>
    <w:rsid w:val="00BE3836"/>
    <w:rsid w:val="00BE3854"/>
    <w:rsid w:val="00BE3AB6"/>
    <w:rsid w:val="00BE3AF1"/>
    <w:rsid w:val="00BE3D1D"/>
    <w:rsid w:val="00BE3FCF"/>
    <w:rsid w:val="00BE40B4"/>
    <w:rsid w:val="00BE421C"/>
    <w:rsid w:val="00BE459F"/>
    <w:rsid w:val="00BE45A5"/>
    <w:rsid w:val="00BE476F"/>
    <w:rsid w:val="00BE4821"/>
    <w:rsid w:val="00BE4918"/>
    <w:rsid w:val="00BE4BE8"/>
    <w:rsid w:val="00BE4E0E"/>
    <w:rsid w:val="00BE4F65"/>
    <w:rsid w:val="00BE514A"/>
    <w:rsid w:val="00BE51DA"/>
    <w:rsid w:val="00BE5261"/>
    <w:rsid w:val="00BE52A8"/>
    <w:rsid w:val="00BE52F0"/>
    <w:rsid w:val="00BE531A"/>
    <w:rsid w:val="00BE544F"/>
    <w:rsid w:val="00BE5645"/>
    <w:rsid w:val="00BE593B"/>
    <w:rsid w:val="00BE5B5E"/>
    <w:rsid w:val="00BE5CF1"/>
    <w:rsid w:val="00BE6041"/>
    <w:rsid w:val="00BE6115"/>
    <w:rsid w:val="00BE6253"/>
    <w:rsid w:val="00BE6369"/>
    <w:rsid w:val="00BE6466"/>
    <w:rsid w:val="00BE64BB"/>
    <w:rsid w:val="00BE664E"/>
    <w:rsid w:val="00BE686A"/>
    <w:rsid w:val="00BE68AF"/>
    <w:rsid w:val="00BE68B3"/>
    <w:rsid w:val="00BE68B7"/>
    <w:rsid w:val="00BE6BDA"/>
    <w:rsid w:val="00BE6D7E"/>
    <w:rsid w:val="00BE6DA6"/>
    <w:rsid w:val="00BE6FC9"/>
    <w:rsid w:val="00BE6FD3"/>
    <w:rsid w:val="00BE7056"/>
    <w:rsid w:val="00BE715C"/>
    <w:rsid w:val="00BE7342"/>
    <w:rsid w:val="00BE78CC"/>
    <w:rsid w:val="00BE79D8"/>
    <w:rsid w:val="00BE7A5B"/>
    <w:rsid w:val="00BE7AD4"/>
    <w:rsid w:val="00BE7AFD"/>
    <w:rsid w:val="00BE7B2B"/>
    <w:rsid w:val="00BE7E76"/>
    <w:rsid w:val="00BF0099"/>
    <w:rsid w:val="00BF03C4"/>
    <w:rsid w:val="00BF04A3"/>
    <w:rsid w:val="00BF07F8"/>
    <w:rsid w:val="00BF08CB"/>
    <w:rsid w:val="00BF0B53"/>
    <w:rsid w:val="00BF0E53"/>
    <w:rsid w:val="00BF109E"/>
    <w:rsid w:val="00BF10B7"/>
    <w:rsid w:val="00BF1377"/>
    <w:rsid w:val="00BF1598"/>
    <w:rsid w:val="00BF15EC"/>
    <w:rsid w:val="00BF17BC"/>
    <w:rsid w:val="00BF186E"/>
    <w:rsid w:val="00BF19A1"/>
    <w:rsid w:val="00BF1E22"/>
    <w:rsid w:val="00BF1FA0"/>
    <w:rsid w:val="00BF2189"/>
    <w:rsid w:val="00BF23C4"/>
    <w:rsid w:val="00BF23F9"/>
    <w:rsid w:val="00BF2416"/>
    <w:rsid w:val="00BF2682"/>
    <w:rsid w:val="00BF2831"/>
    <w:rsid w:val="00BF2A3A"/>
    <w:rsid w:val="00BF2CCE"/>
    <w:rsid w:val="00BF2CEB"/>
    <w:rsid w:val="00BF2D1D"/>
    <w:rsid w:val="00BF2E77"/>
    <w:rsid w:val="00BF3167"/>
    <w:rsid w:val="00BF3268"/>
    <w:rsid w:val="00BF3449"/>
    <w:rsid w:val="00BF34B6"/>
    <w:rsid w:val="00BF36EF"/>
    <w:rsid w:val="00BF380E"/>
    <w:rsid w:val="00BF3999"/>
    <w:rsid w:val="00BF39EE"/>
    <w:rsid w:val="00BF3A67"/>
    <w:rsid w:val="00BF3CE1"/>
    <w:rsid w:val="00BF3DEF"/>
    <w:rsid w:val="00BF3E53"/>
    <w:rsid w:val="00BF3EEC"/>
    <w:rsid w:val="00BF4110"/>
    <w:rsid w:val="00BF4143"/>
    <w:rsid w:val="00BF416E"/>
    <w:rsid w:val="00BF42BA"/>
    <w:rsid w:val="00BF4347"/>
    <w:rsid w:val="00BF4609"/>
    <w:rsid w:val="00BF4810"/>
    <w:rsid w:val="00BF491C"/>
    <w:rsid w:val="00BF4981"/>
    <w:rsid w:val="00BF4A5A"/>
    <w:rsid w:val="00BF4BA4"/>
    <w:rsid w:val="00BF4D99"/>
    <w:rsid w:val="00BF4DB4"/>
    <w:rsid w:val="00BF4F34"/>
    <w:rsid w:val="00BF53F2"/>
    <w:rsid w:val="00BF53FE"/>
    <w:rsid w:val="00BF545C"/>
    <w:rsid w:val="00BF55DC"/>
    <w:rsid w:val="00BF59B1"/>
    <w:rsid w:val="00BF59D1"/>
    <w:rsid w:val="00BF5CB7"/>
    <w:rsid w:val="00BF5E2B"/>
    <w:rsid w:val="00BF613D"/>
    <w:rsid w:val="00BF62D3"/>
    <w:rsid w:val="00BF657F"/>
    <w:rsid w:val="00BF658D"/>
    <w:rsid w:val="00BF6BDE"/>
    <w:rsid w:val="00BF6C20"/>
    <w:rsid w:val="00BF6C5C"/>
    <w:rsid w:val="00BF6CEC"/>
    <w:rsid w:val="00BF6F3E"/>
    <w:rsid w:val="00BF706B"/>
    <w:rsid w:val="00BF70BB"/>
    <w:rsid w:val="00BF7188"/>
    <w:rsid w:val="00BF71C5"/>
    <w:rsid w:val="00BF749A"/>
    <w:rsid w:val="00BF76C2"/>
    <w:rsid w:val="00BF7803"/>
    <w:rsid w:val="00BF79E9"/>
    <w:rsid w:val="00BF7AB8"/>
    <w:rsid w:val="00C00087"/>
    <w:rsid w:val="00C007C5"/>
    <w:rsid w:val="00C0097A"/>
    <w:rsid w:val="00C00DAD"/>
    <w:rsid w:val="00C00EC1"/>
    <w:rsid w:val="00C0110D"/>
    <w:rsid w:val="00C01206"/>
    <w:rsid w:val="00C01299"/>
    <w:rsid w:val="00C013E1"/>
    <w:rsid w:val="00C01435"/>
    <w:rsid w:val="00C0157F"/>
    <w:rsid w:val="00C0173E"/>
    <w:rsid w:val="00C0177F"/>
    <w:rsid w:val="00C017C2"/>
    <w:rsid w:val="00C01B91"/>
    <w:rsid w:val="00C01BAD"/>
    <w:rsid w:val="00C01CC8"/>
    <w:rsid w:val="00C01D0E"/>
    <w:rsid w:val="00C01D23"/>
    <w:rsid w:val="00C01D63"/>
    <w:rsid w:val="00C01E74"/>
    <w:rsid w:val="00C02102"/>
    <w:rsid w:val="00C02231"/>
    <w:rsid w:val="00C0223E"/>
    <w:rsid w:val="00C023A8"/>
    <w:rsid w:val="00C024D8"/>
    <w:rsid w:val="00C0252D"/>
    <w:rsid w:val="00C02850"/>
    <w:rsid w:val="00C02A1B"/>
    <w:rsid w:val="00C02DFF"/>
    <w:rsid w:val="00C02EBF"/>
    <w:rsid w:val="00C02F7A"/>
    <w:rsid w:val="00C031A1"/>
    <w:rsid w:val="00C035A3"/>
    <w:rsid w:val="00C035C2"/>
    <w:rsid w:val="00C03BCA"/>
    <w:rsid w:val="00C03DD7"/>
    <w:rsid w:val="00C03E4A"/>
    <w:rsid w:val="00C03EE5"/>
    <w:rsid w:val="00C04144"/>
    <w:rsid w:val="00C04146"/>
    <w:rsid w:val="00C0424E"/>
    <w:rsid w:val="00C042D6"/>
    <w:rsid w:val="00C043FE"/>
    <w:rsid w:val="00C0452A"/>
    <w:rsid w:val="00C04591"/>
    <w:rsid w:val="00C049CB"/>
    <w:rsid w:val="00C04D49"/>
    <w:rsid w:val="00C04DC1"/>
    <w:rsid w:val="00C04F39"/>
    <w:rsid w:val="00C05133"/>
    <w:rsid w:val="00C05191"/>
    <w:rsid w:val="00C051D6"/>
    <w:rsid w:val="00C0571E"/>
    <w:rsid w:val="00C057F4"/>
    <w:rsid w:val="00C05923"/>
    <w:rsid w:val="00C0599F"/>
    <w:rsid w:val="00C05A50"/>
    <w:rsid w:val="00C05BE0"/>
    <w:rsid w:val="00C05F5F"/>
    <w:rsid w:val="00C05FD5"/>
    <w:rsid w:val="00C0644F"/>
    <w:rsid w:val="00C0662F"/>
    <w:rsid w:val="00C066B4"/>
    <w:rsid w:val="00C068AC"/>
    <w:rsid w:val="00C06F6B"/>
    <w:rsid w:val="00C06FFB"/>
    <w:rsid w:val="00C07122"/>
    <w:rsid w:val="00C07177"/>
    <w:rsid w:val="00C072DE"/>
    <w:rsid w:val="00C07354"/>
    <w:rsid w:val="00C07402"/>
    <w:rsid w:val="00C0749D"/>
    <w:rsid w:val="00C07786"/>
    <w:rsid w:val="00C07818"/>
    <w:rsid w:val="00C07A23"/>
    <w:rsid w:val="00C07BFF"/>
    <w:rsid w:val="00C07C5C"/>
    <w:rsid w:val="00C07DC1"/>
    <w:rsid w:val="00C07EB9"/>
    <w:rsid w:val="00C07F9B"/>
    <w:rsid w:val="00C10035"/>
    <w:rsid w:val="00C100BC"/>
    <w:rsid w:val="00C107FE"/>
    <w:rsid w:val="00C10A3E"/>
    <w:rsid w:val="00C10B04"/>
    <w:rsid w:val="00C10BE2"/>
    <w:rsid w:val="00C10D53"/>
    <w:rsid w:val="00C10D85"/>
    <w:rsid w:val="00C10E13"/>
    <w:rsid w:val="00C11223"/>
    <w:rsid w:val="00C118E8"/>
    <w:rsid w:val="00C11A86"/>
    <w:rsid w:val="00C11DE2"/>
    <w:rsid w:val="00C11E7E"/>
    <w:rsid w:val="00C11F4D"/>
    <w:rsid w:val="00C11F92"/>
    <w:rsid w:val="00C12189"/>
    <w:rsid w:val="00C123E4"/>
    <w:rsid w:val="00C12412"/>
    <w:rsid w:val="00C12539"/>
    <w:rsid w:val="00C125EF"/>
    <w:rsid w:val="00C12629"/>
    <w:rsid w:val="00C1267F"/>
    <w:rsid w:val="00C12C58"/>
    <w:rsid w:val="00C12C7C"/>
    <w:rsid w:val="00C12DE3"/>
    <w:rsid w:val="00C12E3A"/>
    <w:rsid w:val="00C1343C"/>
    <w:rsid w:val="00C13651"/>
    <w:rsid w:val="00C1375C"/>
    <w:rsid w:val="00C13787"/>
    <w:rsid w:val="00C13F14"/>
    <w:rsid w:val="00C13F76"/>
    <w:rsid w:val="00C13F80"/>
    <w:rsid w:val="00C1410D"/>
    <w:rsid w:val="00C14484"/>
    <w:rsid w:val="00C14546"/>
    <w:rsid w:val="00C1477F"/>
    <w:rsid w:val="00C1480C"/>
    <w:rsid w:val="00C14D92"/>
    <w:rsid w:val="00C14DFE"/>
    <w:rsid w:val="00C152AB"/>
    <w:rsid w:val="00C152B5"/>
    <w:rsid w:val="00C15305"/>
    <w:rsid w:val="00C1534D"/>
    <w:rsid w:val="00C1539F"/>
    <w:rsid w:val="00C15760"/>
    <w:rsid w:val="00C157E8"/>
    <w:rsid w:val="00C15BE3"/>
    <w:rsid w:val="00C15C54"/>
    <w:rsid w:val="00C15E43"/>
    <w:rsid w:val="00C15FA8"/>
    <w:rsid w:val="00C1602E"/>
    <w:rsid w:val="00C16130"/>
    <w:rsid w:val="00C16135"/>
    <w:rsid w:val="00C1642E"/>
    <w:rsid w:val="00C16434"/>
    <w:rsid w:val="00C167A6"/>
    <w:rsid w:val="00C169CC"/>
    <w:rsid w:val="00C16B07"/>
    <w:rsid w:val="00C16BCD"/>
    <w:rsid w:val="00C16C3C"/>
    <w:rsid w:val="00C16FBD"/>
    <w:rsid w:val="00C1713F"/>
    <w:rsid w:val="00C171E2"/>
    <w:rsid w:val="00C17251"/>
    <w:rsid w:val="00C17345"/>
    <w:rsid w:val="00C17780"/>
    <w:rsid w:val="00C177BB"/>
    <w:rsid w:val="00C177EE"/>
    <w:rsid w:val="00C179F5"/>
    <w:rsid w:val="00C17C32"/>
    <w:rsid w:val="00C17E7F"/>
    <w:rsid w:val="00C17F3A"/>
    <w:rsid w:val="00C203C9"/>
    <w:rsid w:val="00C2048A"/>
    <w:rsid w:val="00C204ED"/>
    <w:rsid w:val="00C206F9"/>
    <w:rsid w:val="00C2073A"/>
    <w:rsid w:val="00C20979"/>
    <w:rsid w:val="00C209C4"/>
    <w:rsid w:val="00C20B4F"/>
    <w:rsid w:val="00C20D41"/>
    <w:rsid w:val="00C20F3C"/>
    <w:rsid w:val="00C20F5C"/>
    <w:rsid w:val="00C21017"/>
    <w:rsid w:val="00C210DD"/>
    <w:rsid w:val="00C2129E"/>
    <w:rsid w:val="00C2146D"/>
    <w:rsid w:val="00C214C1"/>
    <w:rsid w:val="00C21775"/>
    <w:rsid w:val="00C21A4D"/>
    <w:rsid w:val="00C21A89"/>
    <w:rsid w:val="00C21C98"/>
    <w:rsid w:val="00C21DC6"/>
    <w:rsid w:val="00C21DE4"/>
    <w:rsid w:val="00C22246"/>
    <w:rsid w:val="00C22598"/>
    <w:rsid w:val="00C22662"/>
    <w:rsid w:val="00C227BB"/>
    <w:rsid w:val="00C22B62"/>
    <w:rsid w:val="00C22BAF"/>
    <w:rsid w:val="00C22CD9"/>
    <w:rsid w:val="00C22CEC"/>
    <w:rsid w:val="00C22D18"/>
    <w:rsid w:val="00C22D50"/>
    <w:rsid w:val="00C22E83"/>
    <w:rsid w:val="00C23039"/>
    <w:rsid w:val="00C230A9"/>
    <w:rsid w:val="00C230E6"/>
    <w:rsid w:val="00C23169"/>
    <w:rsid w:val="00C23185"/>
    <w:rsid w:val="00C23330"/>
    <w:rsid w:val="00C2345F"/>
    <w:rsid w:val="00C235D6"/>
    <w:rsid w:val="00C23711"/>
    <w:rsid w:val="00C237D9"/>
    <w:rsid w:val="00C238B3"/>
    <w:rsid w:val="00C23E9C"/>
    <w:rsid w:val="00C24118"/>
    <w:rsid w:val="00C2415B"/>
    <w:rsid w:val="00C24193"/>
    <w:rsid w:val="00C24253"/>
    <w:rsid w:val="00C24312"/>
    <w:rsid w:val="00C2436D"/>
    <w:rsid w:val="00C24596"/>
    <w:rsid w:val="00C24700"/>
    <w:rsid w:val="00C24707"/>
    <w:rsid w:val="00C24995"/>
    <w:rsid w:val="00C249C3"/>
    <w:rsid w:val="00C24A3C"/>
    <w:rsid w:val="00C24AA8"/>
    <w:rsid w:val="00C24B95"/>
    <w:rsid w:val="00C24CE4"/>
    <w:rsid w:val="00C24DDB"/>
    <w:rsid w:val="00C24FD0"/>
    <w:rsid w:val="00C251D9"/>
    <w:rsid w:val="00C2530A"/>
    <w:rsid w:val="00C2539D"/>
    <w:rsid w:val="00C256F3"/>
    <w:rsid w:val="00C257C6"/>
    <w:rsid w:val="00C2592C"/>
    <w:rsid w:val="00C25A02"/>
    <w:rsid w:val="00C25A1B"/>
    <w:rsid w:val="00C25DEC"/>
    <w:rsid w:val="00C2610E"/>
    <w:rsid w:val="00C2628E"/>
    <w:rsid w:val="00C26383"/>
    <w:rsid w:val="00C2645B"/>
    <w:rsid w:val="00C264EB"/>
    <w:rsid w:val="00C2667D"/>
    <w:rsid w:val="00C2679B"/>
    <w:rsid w:val="00C268B6"/>
    <w:rsid w:val="00C26BAE"/>
    <w:rsid w:val="00C26CA4"/>
    <w:rsid w:val="00C270FE"/>
    <w:rsid w:val="00C272A5"/>
    <w:rsid w:val="00C27BF6"/>
    <w:rsid w:val="00C27C5E"/>
    <w:rsid w:val="00C3037A"/>
    <w:rsid w:val="00C305FA"/>
    <w:rsid w:val="00C30706"/>
    <w:rsid w:val="00C309AA"/>
    <w:rsid w:val="00C30C65"/>
    <w:rsid w:val="00C30D6B"/>
    <w:rsid w:val="00C30DA7"/>
    <w:rsid w:val="00C30EA4"/>
    <w:rsid w:val="00C30F93"/>
    <w:rsid w:val="00C30FAF"/>
    <w:rsid w:val="00C31154"/>
    <w:rsid w:val="00C31197"/>
    <w:rsid w:val="00C3131C"/>
    <w:rsid w:val="00C31396"/>
    <w:rsid w:val="00C3193E"/>
    <w:rsid w:val="00C31A67"/>
    <w:rsid w:val="00C31B41"/>
    <w:rsid w:val="00C31BB5"/>
    <w:rsid w:val="00C31C68"/>
    <w:rsid w:val="00C31F63"/>
    <w:rsid w:val="00C32003"/>
    <w:rsid w:val="00C3210D"/>
    <w:rsid w:val="00C322DD"/>
    <w:rsid w:val="00C32301"/>
    <w:rsid w:val="00C32326"/>
    <w:rsid w:val="00C324C1"/>
    <w:rsid w:val="00C32834"/>
    <w:rsid w:val="00C32B59"/>
    <w:rsid w:val="00C32B60"/>
    <w:rsid w:val="00C32F35"/>
    <w:rsid w:val="00C32F40"/>
    <w:rsid w:val="00C33016"/>
    <w:rsid w:val="00C33140"/>
    <w:rsid w:val="00C33157"/>
    <w:rsid w:val="00C33177"/>
    <w:rsid w:val="00C3319B"/>
    <w:rsid w:val="00C335CB"/>
    <w:rsid w:val="00C337C7"/>
    <w:rsid w:val="00C3380E"/>
    <w:rsid w:val="00C3389F"/>
    <w:rsid w:val="00C3399B"/>
    <w:rsid w:val="00C339BB"/>
    <w:rsid w:val="00C339E3"/>
    <w:rsid w:val="00C33E5E"/>
    <w:rsid w:val="00C33ECA"/>
    <w:rsid w:val="00C33F34"/>
    <w:rsid w:val="00C33F94"/>
    <w:rsid w:val="00C340CD"/>
    <w:rsid w:val="00C34113"/>
    <w:rsid w:val="00C3437B"/>
    <w:rsid w:val="00C3469D"/>
    <w:rsid w:val="00C348D7"/>
    <w:rsid w:val="00C3494C"/>
    <w:rsid w:val="00C34C24"/>
    <w:rsid w:val="00C34C32"/>
    <w:rsid w:val="00C34D8F"/>
    <w:rsid w:val="00C34E76"/>
    <w:rsid w:val="00C34F2E"/>
    <w:rsid w:val="00C34F3B"/>
    <w:rsid w:val="00C350BE"/>
    <w:rsid w:val="00C35368"/>
    <w:rsid w:val="00C353FC"/>
    <w:rsid w:val="00C354A0"/>
    <w:rsid w:val="00C354F8"/>
    <w:rsid w:val="00C35828"/>
    <w:rsid w:val="00C35CC2"/>
    <w:rsid w:val="00C35D4C"/>
    <w:rsid w:val="00C36134"/>
    <w:rsid w:val="00C36261"/>
    <w:rsid w:val="00C36393"/>
    <w:rsid w:val="00C36502"/>
    <w:rsid w:val="00C365D8"/>
    <w:rsid w:val="00C365FF"/>
    <w:rsid w:val="00C367C2"/>
    <w:rsid w:val="00C367D8"/>
    <w:rsid w:val="00C36900"/>
    <w:rsid w:val="00C36B6E"/>
    <w:rsid w:val="00C36E7A"/>
    <w:rsid w:val="00C36F08"/>
    <w:rsid w:val="00C37197"/>
    <w:rsid w:val="00C373D3"/>
    <w:rsid w:val="00C37432"/>
    <w:rsid w:val="00C37577"/>
    <w:rsid w:val="00C378AA"/>
    <w:rsid w:val="00C37A97"/>
    <w:rsid w:val="00C37D51"/>
    <w:rsid w:val="00C37F11"/>
    <w:rsid w:val="00C37F3B"/>
    <w:rsid w:val="00C37FF7"/>
    <w:rsid w:val="00C4003C"/>
    <w:rsid w:val="00C402F6"/>
    <w:rsid w:val="00C40480"/>
    <w:rsid w:val="00C406A0"/>
    <w:rsid w:val="00C406EB"/>
    <w:rsid w:val="00C40857"/>
    <w:rsid w:val="00C40D6E"/>
    <w:rsid w:val="00C40DFE"/>
    <w:rsid w:val="00C40FFF"/>
    <w:rsid w:val="00C412A1"/>
    <w:rsid w:val="00C4143A"/>
    <w:rsid w:val="00C41795"/>
    <w:rsid w:val="00C41ABD"/>
    <w:rsid w:val="00C41BA7"/>
    <w:rsid w:val="00C41CA8"/>
    <w:rsid w:val="00C422D7"/>
    <w:rsid w:val="00C42310"/>
    <w:rsid w:val="00C423FF"/>
    <w:rsid w:val="00C424B3"/>
    <w:rsid w:val="00C42516"/>
    <w:rsid w:val="00C427BE"/>
    <w:rsid w:val="00C4282D"/>
    <w:rsid w:val="00C4289B"/>
    <w:rsid w:val="00C428DD"/>
    <w:rsid w:val="00C42940"/>
    <w:rsid w:val="00C42BFB"/>
    <w:rsid w:val="00C42C34"/>
    <w:rsid w:val="00C42D4E"/>
    <w:rsid w:val="00C42D71"/>
    <w:rsid w:val="00C42DA2"/>
    <w:rsid w:val="00C42DE3"/>
    <w:rsid w:val="00C42ED5"/>
    <w:rsid w:val="00C43027"/>
    <w:rsid w:val="00C43057"/>
    <w:rsid w:val="00C4308E"/>
    <w:rsid w:val="00C43648"/>
    <w:rsid w:val="00C4367B"/>
    <w:rsid w:val="00C43975"/>
    <w:rsid w:val="00C43A8B"/>
    <w:rsid w:val="00C43C0E"/>
    <w:rsid w:val="00C43CD6"/>
    <w:rsid w:val="00C43EC2"/>
    <w:rsid w:val="00C43FEE"/>
    <w:rsid w:val="00C442AE"/>
    <w:rsid w:val="00C444B7"/>
    <w:rsid w:val="00C4463F"/>
    <w:rsid w:val="00C446C9"/>
    <w:rsid w:val="00C44845"/>
    <w:rsid w:val="00C4485F"/>
    <w:rsid w:val="00C44D6C"/>
    <w:rsid w:val="00C44D76"/>
    <w:rsid w:val="00C44D9F"/>
    <w:rsid w:val="00C44DB6"/>
    <w:rsid w:val="00C44DF1"/>
    <w:rsid w:val="00C44E21"/>
    <w:rsid w:val="00C44E7F"/>
    <w:rsid w:val="00C44E98"/>
    <w:rsid w:val="00C4501E"/>
    <w:rsid w:val="00C450BC"/>
    <w:rsid w:val="00C450D4"/>
    <w:rsid w:val="00C4529F"/>
    <w:rsid w:val="00C45310"/>
    <w:rsid w:val="00C45445"/>
    <w:rsid w:val="00C457B9"/>
    <w:rsid w:val="00C45BB8"/>
    <w:rsid w:val="00C45C8A"/>
    <w:rsid w:val="00C45D1F"/>
    <w:rsid w:val="00C45E66"/>
    <w:rsid w:val="00C45F0C"/>
    <w:rsid w:val="00C45FD7"/>
    <w:rsid w:val="00C46213"/>
    <w:rsid w:val="00C46290"/>
    <w:rsid w:val="00C4632B"/>
    <w:rsid w:val="00C465BF"/>
    <w:rsid w:val="00C46643"/>
    <w:rsid w:val="00C46C40"/>
    <w:rsid w:val="00C46C72"/>
    <w:rsid w:val="00C46EA8"/>
    <w:rsid w:val="00C47113"/>
    <w:rsid w:val="00C4714D"/>
    <w:rsid w:val="00C4720D"/>
    <w:rsid w:val="00C4725C"/>
    <w:rsid w:val="00C475FB"/>
    <w:rsid w:val="00C47679"/>
    <w:rsid w:val="00C478C9"/>
    <w:rsid w:val="00C479EB"/>
    <w:rsid w:val="00C47B80"/>
    <w:rsid w:val="00C47E73"/>
    <w:rsid w:val="00C50065"/>
    <w:rsid w:val="00C50120"/>
    <w:rsid w:val="00C50272"/>
    <w:rsid w:val="00C50415"/>
    <w:rsid w:val="00C5046F"/>
    <w:rsid w:val="00C50517"/>
    <w:rsid w:val="00C50953"/>
    <w:rsid w:val="00C50A53"/>
    <w:rsid w:val="00C50A62"/>
    <w:rsid w:val="00C50B26"/>
    <w:rsid w:val="00C50DAC"/>
    <w:rsid w:val="00C50EBB"/>
    <w:rsid w:val="00C51131"/>
    <w:rsid w:val="00C511CD"/>
    <w:rsid w:val="00C51287"/>
    <w:rsid w:val="00C5165C"/>
    <w:rsid w:val="00C517EA"/>
    <w:rsid w:val="00C518B3"/>
    <w:rsid w:val="00C51B17"/>
    <w:rsid w:val="00C51BF0"/>
    <w:rsid w:val="00C51CF3"/>
    <w:rsid w:val="00C51E52"/>
    <w:rsid w:val="00C52056"/>
    <w:rsid w:val="00C52133"/>
    <w:rsid w:val="00C52142"/>
    <w:rsid w:val="00C52185"/>
    <w:rsid w:val="00C52244"/>
    <w:rsid w:val="00C5279F"/>
    <w:rsid w:val="00C52AB4"/>
    <w:rsid w:val="00C52B81"/>
    <w:rsid w:val="00C52B91"/>
    <w:rsid w:val="00C52BCB"/>
    <w:rsid w:val="00C52C46"/>
    <w:rsid w:val="00C52C67"/>
    <w:rsid w:val="00C52D79"/>
    <w:rsid w:val="00C52DA6"/>
    <w:rsid w:val="00C52EA0"/>
    <w:rsid w:val="00C52F23"/>
    <w:rsid w:val="00C531CD"/>
    <w:rsid w:val="00C5329C"/>
    <w:rsid w:val="00C533CF"/>
    <w:rsid w:val="00C5349C"/>
    <w:rsid w:val="00C536EC"/>
    <w:rsid w:val="00C536FF"/>
    <w:rsid w:val="00C53725"/>
    <w:rsid w:val="00C53AAC"/>
    <w:rsid w:val="00C53BA7"/>
    <w:rsid w:val="00C53CAD"/>
    <w:rsid w:val="00C53CD2"/>
    <w:rsid w:val="00C53D17"/>
    <w:rsid w:val="00C53DCB"/>
    <w:rsid w:val="00C53E74"/>
    <w:rsid w:val="00C54066"/>
    <w:rsid w:val="00C540A8"/>
    <w:rsid w:val="00C54256"/>
    <w:rsid w:val="00C54863"/>
    <w:rsid w:val="00C54B02"/>
    <w:rsid w:val="00C54C56"/>
    <w:rsid w:val="00C54D92"/>
    <w:rsid w:val="00C54E0C"/>
    <w:rsid w:val="00C54E8A"/>
    <w:rsid w:val="00C55118"/>
    <w:rsid w:val="00C55178"/>
    <w:rsid w:val="00C5527B"/>
    <w:rsid w:val="00C55478"/>
    <w:rsid w:val="00C554FD"/>
    <w:rsid w:val="00C558BB"/>
    <w:rsid w:val="00C55A52"/>
    <w:rsid w:val="00C55C28"/>
    <w:rsid w:val="00C55CC1"/>
    <w:rsid w:val="00C55D45"/>
    <w:rsid w:val="00C55D9B"/>
    <w:rsid w:val="00C55F08"/>
    <w:rsid w:val="00C55F70"/>
    <w:rsid w:val="00C561B4"/>
    <w:rsid w:val="00C56331"/>
    <w:rsid w:val="00C56473"/>
    <w:rsid w:val="00C5651B"/>
    <w:rsid w:val="00C56571"/>
    <w:rsid w:val="00C56790"/>
    <w:rsid w:val="00C56808"/>
    <w:rsid w:val="00C56927"/>
    <w:rsid w:val="00C56B50"/>
    <w:rsid w:val="00C56CC7"/>
    <w:rsid w:val="00C5706A"/>
    <w:rsid w:val="00C570D3"/>
    <w:rsid w:val="00C5745C"/>
    <w:rsid w:val="00C574AA"/>
    <w:rsid w:val="00C574EF"/>
    <w:rsid w:val="00C575E0"/>
    <w:rsid w:val="00C578BD"/>
    <w:rsid w:val="00C579ED"/>
    <w:rsid w:val="00C57ABD"/>
    <w:rsid w:val="00C57D1C"/>
    <w:rsid w:val="00C60380"/>
    <w:rsid w:val="00C60542"/>
    <w:rsid w:val="00C60547"/>
    <w:rsid w:val="00C607A8"/>
    <w:rsid w:val="00C60C18"/>
    <w:rsid w:val="00C60C7A"/>
    <w:rsid w:val="00C60F2A"/>
    <w:rsid w:val="00C61161"/>
    <w:rsid w:val="00C611B5"/>
    <w:rsid w:val="00C61258"/>
    <w:rsid w:val="00C61288"/>
    <w:rsid w:val="00C613AE"/>
    <w:rsid w:val="00C61509"/>
    <w:rsid w:val="00C616F0"/>
    <w:rsid w:val="00C6181D"/>
    <w:rsid w:val="00C6193A"/>
    <w:rsid w:val="00C6194B"/>
    <w:rsid w:val="00C61AA0"/>
    <w:rsid w:val="00C62020"/>
    <w:rsid w:val="00C62063"/>
    <w:rsid w:val="00C6236F"/>
    <w:rsid w:val="00C624C5"/>
    <w:rsid w:val="00C6265E"/>
    <w:rsid w:val="00C628B4"/>
    <w:rsid w:val="00C62963"/>
    <w:rsid w:val="00C629B3"/>
    <w:rsid w:val="00C62A3D"/>
    <w:rsid w:val="00C62A97"/>
    <w:rsid w:val="00C62BD5"/>
    <w:rsid w:val="00C62F98"/>
    <w:rsid w:val="00C63450"/>
    <w:rsid w:val="00C63543"/>
    <w:rsid w:val="00C6364E"/>
    <w:rsid w:val="00C638F8"/>
    <w:rsid w:val="00C63B47"/>
    <w:rsid w:val="00C63B9F"/>
    <w:rsid w:val="00C63D57"/>
    <w:rsid w:val="00C6407F"/>
    <w:rsid w:val="00C64408"/>
    <w:rsid w:val="00C64490"/>
    <w:rsid w:val="00C644A9"/>
    <w:rsid w:val="00C644D3"/>
    <w:rsid w:val="00C64506"/>
    <w:rsid w:val="00C646C3"/>
    <w:rsid w:val="00C646CE"/>
    <w:rsid w:val="00C64817"/>
    <w:rsid w:val="00C64847"/>
    <w:rsid w:val="00C6484F"/>
    <w:rsid w:val="00C64885"/>
    <w:rsid w:val="00C64993"/>
    <w:rsid w:val="00C649B3"/>
    <w:rsid w:val="00C649E2"/>
    <w:rsid w:val="00C649E6"/>
    <w:rsid w:val="00C64A4F"/>
    <w:rsid w:val="00C64BC0"/>
    <w:rsid w:val="00C64E6C"/>
    <w:rsid w:val="00C64F7A"/>
    <w:rsid w:val="00C65093"/>
    <w:rsid w:val="00C65299"/>
    <w:rsid w:val="00C652F0"/>
    <w:rsid w:val="00C654B0"/>
    <w:rsid w:val="00C65539"/>
    <w:rsid w:val="00C65842"/>
    <w:rsid w:val="00C65921"/>
    <w:rsid w:val="00C65A40"/>
    <w:rsid w:val="00C65ACE"/>
    <w:rsid w:val="00C65D57"/>
    <w:rsid w:val="00C65DFF"/>
    <w:rsid w:val="00C65E2C"/>
    <w:rsid w:val="00C65EF7"/>
    <w:rsid w:val="00C65F20"/>
    <w:rsid w:val="00C66041"/>
    <w:rsid w:val="00C66042"/>
    <w:rsid w:val="00C66049"/>
    <w:rsid w:val="00C6625D"/>
    <w:rsid w:val="00C6656A"/>
    <w:rsid w:val="00C6657F"/>
    <w:rsid w:val="00C66A5C"/>
    <w:rsid w:val="00C66B33"/>
    <w:rsid w:val="00C66CB8"/>
    <w:rsid w:val="00C66DAE"/>
    <w:rsid w:val="00C66EE3"/>
    <w:rsid w:val="00C66FC7"/>
    <w:rsid w:val="00C671C8"/>
    <w:rsid w:val="00C67477"/>
    <w:rsid w:val="00C674EF"/>
    <w:rsid w:val="00C676A1"/>
    <w:rsid w:val="00C677A9"/>
    <w:rsid w:val="00C6798C"/>
    <w:rsid w:val="00C67F07"/>
    <w:rsid w:val="00C703ED"/>
    <w:rsid w:val="00C7050B"/>
    <w:rsid w:val="00C70525"/>
    <w:rsid w:val="00C70629"/>
    <w:rsid w:val="00C70952"/>
    <w:rsid w:val="00C70AFC"/>
    <w:rsid w:val="00C70BA6"/>
    <w:rsid w:val="00C70BC9"/>
    <w:rsid w:val="00C70C1B"/>
    <w:rsid w:val="00C70D0E"/>
    <w:rsid w:val="00C7105F"/>
    <w:rsid w:val="00C71154"/>
    <w:rsid w:val="00C7190B"/>
    <w:rsid w:val="00C71A28"/>
    <w:rsid w:val="00C71A95"/>
    <w:rsid w:val="00C71B7E"/>
    <w:rsid w:val="00C71CD7"/>
    <w:rsid w:val="00C71D30"/>
    <w:rsid w:val="00C71DB0"/>
    <w:rsid w:val="00C71ECA"/>
    <w:rsid w:val="00C71F24"/>
    <w:rsid w:val="00C7211D"/>
    <w:rsid w:val="00C7231B"/>
    <w:rsid w:val="00C723E9"/>
    <w:rsid w:val="00C7248A"/>
    <w:rsid w:val="00C724B6"/>
    <w:rsid w:val="00C7269C"/>
    <w:rsid w:val="00C726CB"/>
    <w:rsid w:val="00C727AE"/>
    <w:rsid w:val="00C72925"/>
    <w:rsid w:val="00C72926"/>
    <w:rsid w:val="00C7293E"/>
    <w:rsid w:val="00C72AB4"/>
    <w:rsid w:val="00C72D4B"/>
    <w:rsid w:val="00C72F3C"/>
    <w:rsid w:val="00C73122"/>
    <w:rsid w:val="00C7357F"/>
    <w:rsid w:val="00C73727"/>
    <w:rsid w:val="00C73C87"/>
    <w:rsid w:val="00C73DA5"/>
    <w:rsid w:val="00C73F03"/>
    <w:rsid w:val="00C74256"/>
    <w:rsid w:val="00C74314"/>
    <w:rsid w:val="00C7433C"/>
    <w:rsid w:val="00C743CB"/>
    <w:rsid w:val="00C743E0"/>
    <w:rsid w:val="00C7460A"/>
    <w:rsid w:val="00C74689"/>
    <w:rsid w:val="00C7476B"/>
    <w:rsid w:val="00C749DC"/>
    <w:rsid w:val="00C74ADB"/>
    <w:rsid w:val="00C74C3E"/>
    <w:rsid w:val="00C74CA3"/>
    <w:rsid w:val="00C74F1D"/>
    <w:rsid w:val="00C75027"/>
    <w:rsid w:val="00C7523E"/>
    <w:rsid w:val="00C75277"/>
    <w:rsid w:val="00C75279"/>
    <w:rsid w:val="00C75602"/>
    <w:rsid w:val="00C75701"/>
    <w:rsid w:val="00C758B6"/>
    <w:rsid w:val="00C75C3D"/>
    <w:rsid w:val="00C75C45"/>
    <w:rsid w:val="00C75D9D"/>
    <w:rsid w:val="00C75E75"/>
    <w:rsid w:val="00C75E87"/>
    <w:rsid w:val="00C76021"/>
    <w:rsid w:val="00C76024"/>
    <w:rsid w:val="00C7609F"/>
    <w:rsid w:val="00C76288"/>
    <w:rsid w:val="00C7638C"/>
    <w:rsid w:val="00C765AA"/>
    <w:rsid w:val="00C76994"/>
    <w:rsid w:val="00C76A20"/>
    <w:rsid w:val="00C76BA4"/>
    <w:rsid w:val="00C76BC1"/>
    <w:rsid w:val="00C76C78"/>
    <w:rsid w:val="00C772B4"/>
    <w:rsid w:val="00C77356"/>
    <w:rsid w:val="00C774A3"/>
    <w:rsid w:val="00C77675"/>
    <w:rsid w:val="00C7770B"/>
    <w:rsid w:val="00C77739"/>
    <w:rsid w:val="00C77760"/>
    <w:rsid w:val="00C777E7"/>
    <w:rsid w:val="00C777EB"/>
    <w:rsid w:val="00C778C0"/>
    <w:rsid w:val="00C77C82"/>
    <w:rsid w:val="00C77E7B"/>
    <w:rsid w:val="00C801BF"/>
    <w:rsid w:val="00C803F6"/>
    <w:rsid w:val="00C8064E"/>
    <w:rsid w:val="00C8066C"/>
    <w:rsid w:val="00C807D3"/>
    <w:rsid w:val="00C80A14"/>
    <w:rsid w:val="00C80D35"/>
    <w:rsid w:val="00C80D6A"/>
    <w:rsid w:val="00C810BB"/>
    <w:rsid w:val="00C81382"/>
    <w:rsid w:val="00C8141E"/>
    <w:rsid w:val="00C81652"/>
    <w:rsid w:val="00C818C1"/>
    <w:rsid w:val="00C81A98"/>
    <w:rsid w:val="00C81C2A"/>
    <w:rsid w:val="00C81FDF"/>
    <w:rsid w:val="00C82111"/>
    <w:rsid w:val="00C82323"/>
    <w:rsid w:val="00C8257F"/>
    <w:rsid w:val="00C825D1"/>
    <w:rsid w:val="00C825E0"/>
    <w:rsid w:val="00C82661"/>
    <w:rsid w:val="00C8287B"/>
    <w:rsid w:val="00C82A8C"/>
    <w:rsid w:val="00C82BC4"/>
    <w:rsid w:val="00C82E58"/>
    <w:rsid w:val="00C83058"/>
    <w:rsid w:val="00C83158"/>
    <w:rsid w:val="00C8330D"/>
    <w:rsid w:val="00C833CE"/>
    <w:rsid w:val="00C83415"/>
    <w:rsid w:val="00C8358D"/>
    <w:rsid w:val="00C836EE"/>
    <w:rsid w:val="00C83A81"/>
    <w:rsid w:val="00C83EC7"/>
    <w:rsid w:val="00C8426C"/>
    <w:rsid w:val="00C842EC"/>
    <w:rsid w:val="00C844B1"/>
    <w:rsid w:val="00C8462F"/>
    <w:rsid w:val="00C84646"/>
    <w:rsid w:val="00C84673"/>
    <w:rsid w:val="00C84A8B"/>
    <w:rsid w:val="00C84D4D"/>
    <w:rsid w:val="00C84D6F"/>
    <w:rsid w:val="00C84DF1"/>
    <w:rsid w:val="00C850F6"/>
    <w:rsid w:val="00C85212"/>
    <w:rsid w:val="00C8533E"/>
    <w:rsid w:val="00C85461"/>
    <w:rsid w:val="00C8560A"/>
    <w:rsid w:val="00C856E7"/>
    <w:rsid w:val="00C8585F"/>
    <w:rsid w:val="00C85DC4"/>
    <w:rsid w:val="00C85E7D"/>
    <w:rsid w:val="00C861AC"/>
    <w:rsid w:val="00C8634E"/>
    <w:rsid w:val="00C86672"/>
    <w:rsid w:val="00C8688C"/>
    <w:rsid w:val="00C869A7"/>
    <w:rsid w:val="00C869D8"/>
    <w:rsid w:val="00C86AF8"/>
    <w:rsid w:val="00C86B7F"/>
    <w:rsid w:val="00C86D86"/>
    <w:rsid w:val="00C86E4C"/>
    <w:rsid w:val="00C870DE"/>
    <w:rsid w:val="00C87138"/>
    <w:rsid w:val="00C87330"/>
    <w:rsid w:val="00C87420"/>
    <w:rsid w:val="00C874DE"/>
    <w:rsid w:val="00C87AAA"/>
    <w:rsid w:val="00C87ACE"/>
    <w:rsid w:val="00C87C22"/>
    <w:rsid w:val="00C9001E"/>
    <w:rsid w:val="00C90093"/>
    <w:rsid w:val="00C90172"/>
    <w:rsid w:val="00C904A6"/>
    <w:rsid w:val="00C905C7"/>
    <w:rsid w:val="00C9069C"/>
    <w:rsid w:val="00C908B4"/>
    <w:rsid w:val="00C90936"/>
    <w:rsid w:val="00C90968"/>
    <w:rsid w:val="00C90AB2"/>
    <w:rsid w:val="00C9114F"/>
    <w:rsid w:val="00C911C9"/>
    <w:rsid w:val="00C91263"/>
    <w:rsid w:val="00C913B7"/>
    <w:rsid w:val="00C913E9"/>
    <w:rsid w:val="00C9161F"/>
    <w:rsid w:val="00C91A9B"/>
    <w:rsid w:val="00C91B1E"/>
    <w:rsid w:val="00C91B59"/>
    <w:rsid w:val="00C91CDA"/>
    <w:rsid w:val="00C91CF6"/>
    <w:rsid w:val="00C91EA4"/>
    <w:rsid w:val="00C91EC2"/>
    <w:rsid w:val="00C92027"/>
    <w:rsid w:val="00C92085"/>
    <w:rsid w:val="00C920D5"/>
    <w:rsid w:val="00C920D6"/>
    <w:rsid w:val="00C92182"/>
    <w:rsid w:val="00C92253"/>
    <w:rsid w:val="00C92339"/>
    <w:rsid w:val="00C92418"/>
    <w:rsid w:val="00C924B3"/>
    <w:rsid w:val="00C926E6"/>
    <w:rsid w:val="00C928EB"/>
    <w:rsid w:val="00C92A21"/>
    <w:rsid w:val="00C92A9A"/>
    <w:rsid w:val="00C92D9D"/>
    <w:rsid w:val="00C92FB0"/>
    <w:rsid w:val="00C93064"/>
    <w:rsid w:val="00C93081"/>
    <w:rsid w:val="00C930AD"/>
    <w:rsid w:val="00C931A7"/>
    <w:rsid w:val="00C934DC"/>
    <w:rsid w:val="00C93542"/>
    <w:rsid w:val="00C936A1"/>
    <w:rsid w:val="00C93A70"/>
    <w:rsid w:val="00C93AAD"/>
    <w:rsid w:val="00C93ADC"/>
    <w:rsid w:val="00C93ADF"/>
    <w:rsid w:val="00C93B85"/>
    <w:rsid w:val="00C93C83"/>
    <w:rsid w:val="00C93CDC"/>
    <w:rsid w:val="00C93E2D"/>
    <w:rsid w:val="00C93F14"/>
    <w:rsid w:val="00C94040"/>
    <w:rsid w:val="00C940C1"/>
    <w:rsid w:val="00C941EA"/>
    <w:rsid w:val="00C9444F"/>
    <w:rsid w:val="00C944F5"/>
    <w:rsid w:val="00C945D3"/>
    <w:rsid w:val="00C946D0"/>
    <w:rsid w:val="00C94B54"/>
    <w:rsid w:val="00C94E7A"/>
    <w:rsid w:val="00C94EDE"/>
    <w:rsid w:val="00C94EED"/>
    <w:rsid w:val="00C94FCB"/>
    <w:rsid w:val="00C95054"/>
    <w:rsid w:val="00C953B6"/>
    <w:rsid w:val="00C9542F"/>
    <w:rsid w:val="00C95507"/>
    <w:rsid w:val="00C95523"/>
    <w:rsid w:val="00C95593"/>
    <w:rsid w:val="00C9583C"/>
    <w:rsid w:val="00C95A80"/>
    <w:rsid w:val="00C95C2E"/>
    <w:rsid w:val="00C95DDC"/>
    <w:rsid w:val="00C95F09"/>
    <w:rsid w:val="00C962DC"/>
    <w:rsid w:val="00C964C9"/>
    <w:rsid w:val="00C9680C"/>
    <w:rsid w:val="00C96B51"/>
    <w:rsid w:val="00C96EC3"/>
    <w:rsid w:val="00C96F71"/>
    <w:rsid w:val="00C9707A"/>
    <w:rsid w:val="00C97337"/>
    <w:rsid w:val="00C973BD"/>
    <w:rsid w:val="00C97444"/>
    <w:rsid w:val="00C9756E"/>
    <w:rsid w:val="00C975B4"/>
    <w:rsid w:val="00C975DE"/>
    <w:rsid w:val="00C97695"/>
    <w:rsid w:val="00C977F4"/>
    <w:rsid w:val="00C97980"/>
    <w:rsid w:val="00C97DEE"/>
    <w:rsid w:val="00C97E3E"/>
    <w:rsid w:val="00C97FA5"/>
    <w:rsid w:val="00C97FCE"/>
    <w:rsid w:val="00CA0240"/>
    <w:rsid w:val="00CA0242"/>
    <w:rsid w:val="00CA049D"/>
    <w:rsid w:val="00CA0502"/>
    <w:rsid w:val="00CA06A9"/>
    <w:rsid w:val="00CA0791"/>
    <w:rsid w:val="00CA093B"/>
    <w:rsid w:val="00CA09C6"/>
    <w:rsid w:val="00CA0A6A"/>
    <w:rsid w:val="00CA0B9F"/>
    <w:rsid w:val="00CA0BA5"/>
    <w:rsid w:val="00CA0D6A"/>
    <w:rsid w:val="00CA0E4A"/>
    <w:rsid w:val="00CA100A"/>
    <w:rsid w:val="00CA12E2"/>
    <w:rsid w:val="00CA19D1"/>
    <w:rsid w:val="00CA1B3A"/>
    <w:rsid w:val="00CA1C3F"/>
    <w:rsid w:val="00CA1D62"/>
    <w:rsid w:val="00CA1E2F"/>
    <w:rsid w:val="00CA1EE7"/>
    <w:rsid w:val="00CA1F7F"/>
    <w:rsid w:val="00CA220C"/>
    <w:rsid w:val="00CA25A8"/>
    <w:rsid w:val="00CA25CC"/>
    <w:rsid w:val="00CA2779"/>
    <w:rsid w:val="00CA28F3"/>
    <w:rsid w:val="00CA2920"/>
    <w:rsid w:val="00CA29CD"/>
    <w:rsid w:val="00CA3096"/>
    <w:rsid w:val="00CA30AC"/>
    <w:rsid w:val="00CA329E"/>
    <w:rsid w:val="00CA3451"/>
    <w:rsid w:val="00CA36B3"/>
    <w:rsid w:val="00CA3716"/>
    <w:rsid w:val="00CA377C"/>
    <w:rsid w:val="00CA37EE"/>
    <w:rsid w:val="00CA3A84"/>
    <w:rsid w:val="00CA3B73"/>
    <w:rsid w:val="00CA3D7B"/>
    <w:rsid w:val="00CA3DD8"/>
    <w:rsid w:val="00CA3F62"/>
    <w:rsid w:val="00CA4033"/>
    <w:rsid w:val="00CA4042"/>
    <w:rsid w:val="00CA40C8"/>
    <w:rsid w:val="00CA40F0"/>
    <w:rsid w:val="00CA4178"/>
    <w:rsid w:val="00CA42C9"/>
    <w:rsid w:val="00CA4357"/>
    <w:rsid w:val="00CA47B9"/>
    <w:rsid w:val="00CA4810"/>
    <w:rsid w:val="00CA4846"/>
    <w:rsid w:val="00CA4C11"/>
    <w:rsid w:val="00CA4C35"/>
    <w:rsid w:val="00CA4CC5"/>
    <w:rsid w:val="00CA5078"/>
    <w:rsid w:val="00CA50F1"/>
    <w:rsid w:val="00CA5101"/>
    <w:rsid w:val="00CA51F7"/>
    <w:rsid w:val="00CA530F"/>
    <w:rsid w:val="00CA55B4"/>
    <w:rsid w:val="00CA56C8"/>
    <w:rsid w:val="00CA56D0"/>
    <w:rsid w:val="00CA5B36"/>
    <w:rsid w:val="00CA5BBD"/>
    <w:rsid w:val="00CA5CF8"/>
    <w:rsid w:val="00CA5DFC"/>
    <w:rsid w:val="00CA5F62"/>
    <w:rsid w:val="00CA612D"/>
    <w:rsid w:val="00CA619B"/>
    <w:rsid w:val="00CA62C9"/>
    <w:rsid w:val="00CA645F"/>
    <w:rsid w:val="00CA6539"/>
    <w:rsid w:val="00CA6864"/>
    <w:rsid w:val="00CA6B25"/>
    <w:rsid w:val="00CA6BD5"/>
    <w:rsid w:val="00CA6D2C"/>
    <w:rsid w:val="00CA6D72"/>
    <w:rsid w:val="00CA6DFA"/>
    <w:rsid w:val="00CA6E74"/>
    <w:rsid w:val="00CA6EEB"/>
    <w:rsid w:val="00CA70EB"/>
    <w:rsid w:val="00CA7243"/>
    <w:rsid w:val="00CA7B69"/>
    <w:rsid w:val="00CA7B6C"/>
    <w:rsid w:val="00CA7B92"/>
    <w:rsid w:val="00CA7C34"/>
    <w:rsid w:val="00CA7C8B"/>
    <w:rsid w:val="00CA7E36"/>
    <w:rsid w:val="00CA7E74"/>
    <w:rsid w:val="00CA7E7E"/>
    <w:rsid w:val="00CA7F1F"/>
    <w:rsid w:val="00CA7F39"/>
    <w:rsid w:val="00CB00AD"/>
    <w:rsid w:val="00CB0264"/>
    <w:rsid w:val="00CB03CC"/>
    <w:rsid w:val="00CB045D"/>
    <w:rsid w:val="00CB053D"/>
    <w:rsid w:val="00CB0766"/>
    <w:rsid w:val="00CB0E1C"/>
    <w:rsid w:val="00CB0ECB"/>
    <w:rsid w:val="00CB0F31"/>
    <w:rsid w:val="00CB100A"/>
    <w:rsid w:val="00CB11D1"/>
    <w:rsid w:val="00CB1331"/>
    <w:rsid w:val="00CB1E5D"/>
    <w:rsid w:val="00CB1F9D"/>
    <w:rsid w:val="00CB2123"/>
    <w:rsid w:val="00CB2AB2"/>
    <w:rsid w:val="00CB2B03"/>
    <w:rsid w:val="00CB2EB7"/>
    <w:rsid w:val="00CB2EE0"/>
    <w:rsid w:val="00CB2F2E"/>
    <w:rsid w:val="00CB328F"/>
    <w:rsid w:val="00CB334F"/>
    <w:rsid w:val="00CB359F"/>
    <w:rsid w:val="00CB35F0"/>
    <w:rsid w:val="00CB3744"/>
    <w:rsid w:val="00CB3777"/>
    <w:rsid w:val="00CB385B"/>
    <w:rsid w:val="00CB3AD2"/>
    <w:rsid w:val="00CB3C24"/>
    <w:rsid w:val="00CB3E39"/>
    <w:rsid w:val="00CB3E54"/>
    <w:rsid w:val="00CB3EA7"/>
    <w:rsid w:val="00CB40BE"/>
    <w:rsid w:val="00CB40F1"/>
    <w:rsid w:val="00CB433B"/>
    <w:rsid w:val="00CB44EA"/>
    <w:rsid w:val="00CB452B"/>
    <w:rsid w:val="00CB481E"/>
    <w:rsid w:val="00CB485D"/>
    <w:rsid w:val="00CB498C"/>
    <w:rsid w:val="00CB4B1E"/>
    <w:rsid w:val="00CB4B70"/>
    <w:rsid w:val="00CB4BB7"/>
    <w:rsid w:val="00CB4BD6"/>
    <w:rsid w:val="00CB4C2E"/>
    <w:rsid w:val="00CB4C3D"/>
    <w:rsid w:val="00CB4CC8"/>
    <w:rsid w:val="00CB4DFA"/>
    <w:rsid w:val="00CB4F5C"/>
    <w:rsid w:val="00CB5068"/>
    <w:rsid w:val="00CB5091"/>
    <w:rsid w:val="00CB50D8"/>
    <w:rsid w:val="00CB53C4"/>
    <w:rsid w:val="00CB545E"/>
    <w:rsid w:val="00CB5775"/>
    <w:rsid w:val="00CB58D2"/>
    <w:rsid w:val="00CB5A08"/>
    <w:rsid w:val="00CB5B3F"/>
    <w:rsid w:val="00CB5B6C"/>
    <w:rsid w:val="00CB60EE"/>
    <w:rsid w:val="00CB62A2"/>
    <w:rsid w:val="00CB63E0"/>
    <w:rsid w:val="00CB6414"/>
    <w:rsid w:val="00CB64A7"/>
    <w:rsid w:val="00CB6515"/>
    <w:rsid w:val="00CB6575"/>
    <w:rsid w:val="00CB65FD"/>
    <w:rsid w:val="00CB66EF"/>
    <w:rsid w:val="00CB6745"/>
    <w:rsid w:val="00CB68EB"/>
    <w:rsid w:val="00CB6ADD"/>
    <w:rsid w:val="00CB6C1D"/>
    <w:rsid w:val="00CB6D61"/>
    <w:rsid w:val="00CB714D"/>
    <w:rsid w:val="00CB72F3"/>
    <w:rsid w:val="00CB74F2"/>
    <w:rsid w:val="00CB75C4"/>
    <w:rsid w:val="00CB77F8"/>
    <w:rsid w:val="00CB7A0E"/>
    <w:rsid w:val="00CB7D4B"/>
    <w:rsid w:val="00CB7FF7"/>
    <w:rsid w:val="00CC0140"/>
    <w:rsid w:val="00CC032C"/>
    <w:rsid w:val="00CC058F"/>
    <w:rsid w:val="00CC0896"/>
    <w:rsid w:val="00CC0977"/>
    <w:rsid w:val="00CC14CB"/>
    <w:rsid w:val="00CC1608"/>
    <w:rsid w:val="00CC180F"/>
    <w:rsid w:val="00CC1B0A"/>
    <w:rsid w:val="00CC1F7F"/>
    <w:rsid w:val="00CC2097"/>
    <w:rsid w:val="00CC209C"/>
    <w:rsid w:val="00CC21FD"/>
    <w:rsid w:val="00CC26EF"/>
    <w:rsid w:val="00CC2945"/>
    <w:rsid w:val="00CC29B7"/>
    <w:rsid w:val="00CC29D2"/>
    <w:rsid w:val="00CC2CCA"/>
    <w:rsid w:val="00CC2FCA"/>
    <w:rsid w:val="00CC3228"/>
    <w:rsid w:val="00CC3241"/>
    <w:rsid w:val="00CC346B"/>
    <w:rsid w:val="00CC34BD"/>
    <w:rsid w:val="00CC36D7"/>
    <w:rsid w:val="00CC37FD"/>
    <w:rsid w:val="00CC3857"/>
    <w:rsid w:val="00CC38EF"/>
    <w:rsid w:val="00CC3EAE"/>
    <w:rsid w:val="00CC4059"/>
    <w:rsid w:val="00CC41F3"/>
    <w:rsid w:val="00CC4315"/>
    <w:rsid w:val="00CC44D5"/>
    <w:rsid w:val="00CC4521"/>
    <w:rsid w:val="00CC47CC"/>
    <w:rsid w:val="00CC4CC4"/>
    <w:rsid w:val="00CC4DBD"/>
    <w:rsid w:val="00CC4ED8"/>
    <w:rsid w:val="00CC4EF9"/>
    <w:rsid w:val="00CC4FE4"/>
    <w:rsid w:val="00CC50B3"/>
    <w:rsid w:val="00CC5239"/>
    <w:rsid w:val="00CC5298"/>
    <w:rsid w:val="00CC5407"/>
    <w:rsid w:val="00CC568F"/>
    <w:rsid w:val="00CC59FB"/>
    <w:rsid w:val="00CC5C16"/>
    <w:rsid w:val="00CC5C7E"/>
    <w:rsid w:val="00CC5D40"/>
    <w:rsid w:val="00CC5D89"/>
    <w:rsid w:val="00CC629B"/>
    <w:rsid w:val="00CC6BED"/>
    <w:rsid w:val="00CC6C42"/>
    <w:rsid w:val="00CC6DD0"/>
    <w:rsid w:val="00CC6DEA"/>
    <w:rsid w:val="00CC702F"/>
    <w:rsid w:val="00CC7160"/>
    <w:rsid w:val="00CC7198"/>
    <w:rsid w:val="00CC72E8"/>
    <w:rsid w:val="00CC78D6"/>
    <w:rsid w:val="00CC79B6"/>
    <w:rsid w:val="00CC79DA"/>
    <w:rsid w:val="00CC7B4B"/>
    <w:rsid w:val="00CC7BED"/>
    <w:rsid w:val="00CC7D45"/>
    <w:rsid w:val="00CC7D80"/>
    <w:rsid w:val="00CC7E6E"/>
    <w:rsid w:val="00CC7F1A"/>
    <w:rsid w:val="00CD0061"/>
    <w:rsid w:val="00CD077F"/>
    <w:rsid w:val="00CD0842"/>
    <w:rsid w:val="00CD1479"/>
    <w:rsid w:val="00CD15CA"/>
    <w:rsid w:val="00CD1788"/>
    <w:rsid w:val="00CD18C3"/>
    <w:rsid w:val="00CD1BC3"/>
    <w:rsid w:val="00CD1F11"/>
    <w:rsid w:val="00CD20EC"/>
    <w:rsid w:val="00CD2184"/>
    <w:rsid w:val="00CD2241"/>
    <w:rsid w:val="00CD22CA"/>
    <w:rsid w:val="00CD232E"/>
    <w:rsid w:val="00CD2773"/>
    <w:rsid w:val="00CD278D"/>
    <w:rsid w:val="00CD2887"/>
    <w:rsid w:val="00CD28CD"/>
    <w:rsid w:val="00CD2A24"/>
    <w:rsid w:val="00CD2CB4"/>
    <w:rsid w:val="00CD3237"/>
    <w:rsid w:val="00CD37A2"/>
    <w:rsid w:val="00CD38E7"/>
    <w:rsid w:val="00CD412C"/>
    <w:rsid w:val="00CD472C"/>
    <w:rsid w:val="00CD4A9A"/>
    <w:rsid w:val="00CD4AB6"/>
    <w:rsid w:val="00CD4C87"/>
    <w:rsid w:val="00CD4DCE"/>
    <w:rsid w:val="00CD4F04"/>
    <w:rsid w:val="00CD513D"/>
    <w:rsid w:val="00CD555B"/>
    <w:rsid w:val="00CD5960"/>
    <w:rsid w:val="00CD5B3A"/>
    <w:rsid w:val="00CD5B9D"/>
    <w:rsid w:val="00CD5DB9"/>
    <w:rsid w:val="00CD5F71"/>
    <w:rsid w:val="00CD5F8C"/>
    <w:rsid w:val="00CD64DD"/>
    <w:rsid w:val="00CD66DA"/>
    <w:rsid w:val="00CD6706"/>
    <w:rsid w:val="00CD6742"/>
    <w:rsid w:val="00CD6AAC"/>
    <w:rsid w:val="00CD6BAA"/>
    <w:rsid w:val="00CD6BC0"/>
    <w:rsid w:val="00CD6CF0"/>
    <w:rsid w:val="00CD71E3"/>
    <w:rsid w:val="00CD72BB"/>
    <w:rsid w:val="00CD7354"/>
    <w:rsid w:val="00CD7592"/>
    <w:rsid w:val="00CD7693"/>
    <w:rsid w:val="00CD78F5"/>
    <w:rsid w:val="00CD79DA"/>
    <w:rsid w:val="00CD7A7E"/>
    <w:rsid w:val="00CD7AC1"/>
    <w:rsid w:val="00CD7BF2"/>
    <w:rsid w:val="00CD7D30"/>
    <w:rsid w:val="00CD7EF9"/>
    <w:rsid w:val="00CE00F3"/>
    <w:rsid w:val="00CE0159"/>
    <w:rsid w:val="00CE01F3"/>
    <w:rsid w:val="00CE0477"/>
    <w:rsid w:val="00CE0614"/>
    <w:rsid w:val="00CE07E4"/>
    <w:rsid w:val="00CE08FF"/>
    <w:rsid w:val="00CE0B01"/>
    <w:rsid w:val="00CE0B21"/>
    <w:rsid w:val="00CE0D22"/>
    <w:rsid w:val="00CE1005"/>
    <w:rsid w:val="00CE115B"/>
    <w:rsid w:val="00CE145E"/>
    <w:rsid w:val="00CE1595"/>
    <w:rsid w:val="00CE1611"/>
    <w:rsid w:val="00CE16B2"/>
    <w:rsid w:val="00CE1951"/>
    <w:rsid w:val="00CE1B14"/>
    <w:rsid w:val="00CE1B39"/>
    <w:rsid w:val="00CE1C87"/>
    <w:rsid w:val="00CE1CF5"/>
    <w:rsid w:val="00CE1FBA"/>
    <w:rsid w:val="00CE211D"/>
    <w:rsid w:val="00CE2489"/>
    <w:rsid w:val="00CE2855"/>
    <w:rsid w:val="00CE2AD1"/>
    <w:rsid w:val="00CE2B10"/>
    <w:rsid w:val="00CE2D67"/>
    <w:rsid w:val="00CE2E1A"/>
    <w:rsid w:val="00CE2E4A"/>
    <w:rsid w:val="00CE2F2E"/>
    <w:rsid w:val="00CE30D6"/>
    <w:rsid w:val="00CE313F"/>
    <w:rsid w:val="00CE31DA"/>
    <w:rsid w:val="00CE355E"/>
    <w:rsid w:val="00CE36AF"/>
    <w:rsid w:val="00CE371D"/>
    <w:rsid w:val="00CE3879"/>
    <w:rsid w:val="00CE38DE"/>
    <w:rsid w:val="00CE3C17"/>
    <w:rsid w:val="00CE3C5E"/>
    <w:rsid w:val="00CE3D19"/>
    <w:rsid w:val="00CE3D27"/>
    <w:rsid w:val="00CE3D5D"/>
    <w:rsid w:val="00CE3D99"/>
    <w:rsid w:val="00CE3E04"/>
    <w:rsid w:val="00CE40A4"/>
    <w:rsid w:val="00CE416D"/>
    <w:rsid w:val="00CE426A"/>
    <w:rsid w:val="00CE454B"/>
    <w:rsid w:val="00CE4551"/>
    <w:rsid w:val="00CE45D1"/>
    <w:rsid w:val="00CE4858"/>
    <w:rsid w:val="00CE48EF"/>
    <w:rsid w:val="00CE4986"/>
    <w:rsid w:val="00CE49D1"/>
    <w:rsid w:val="00CE4AE5"/>
    <w:rsid w:val="00CE4B2A"/>
    <w:rsid w:val="00CE4CB1"/>
    <w:rsid w:val="00CE4DD1"/>
    <w:rsid w:val="00CE4FF6"/>
    <w:rsid w:val="00CE5174"/>
    <w:rsid w:val="00CE51A6"/>
    <w:rsid w:val="00CE5272"/>
    <w:rsid w:val="00CE5311"/>
    <w:rsid w:val="00CE5466"/>
    <w:rsid w:val="00CE558B"/>
    <w:rsid w:val="00CE56D4"/>
    <w:rsid w:val="00CE5946"/>
    <w:rsid w:val="00CE596B"/>
    <w:rsid w:val="00CE5A13"/>
    <w:rsid w:val="00CE5ABD"/>
    <w:rsid w:val="00CE5AC0"/>
    <w:rsid w:val="00CE5BC6"/>
    <w:rsid w:val="00CE5C68"/>
    <w:rsid w:val="00CE5CC6"/>
    <w:rsid w:val="00CE5F39"/>
    <w:rsid w:val="00CE5F71"/>
    <w:rsid w:val="00CE61E9"/>
    <w:rsid w:val="00CE61EC"/>
    <w:rsid w:val="00CE65AB"/>
    <w:rsid w:val="00CE6850"/>
    <w:rsid w:val="00CE6925"/>
    <w:rsid w:val="00CE6D45"/>
    <w:rsid w:val="00CE6E1B"/>
    <w:rsid w:val="00CE6F99"/>
    <w:rsid w:val="00CE6FAD"/>
    <w:rsid w:val="00CE7274"/>
    <w:rsid w:val="00CE73CA"/>
    <w:rsid w:val="00CE73E7"/>
    <w:rsid w:val="00CE793A"/>
    <w:rsid w:val="00CE7950"/>
    <w:rsid w:val="00CE7A02"/>
    <w:rsid w:val="00CE7A1B"/>
    <w:rsid w:val="00CE7B01"/>
    <w:rsid w:val="00CE7D20"/>
    <w:rsid w:val="00CE7DAA"/>
    <w:rsid w:val="00CF0262"/>
    <w:rsid w:val="00CF056E"/>
    <w:rsid w:val="00CF0571"/>
    <w:rsid w:val="00CF067E"/>
    <w:rsid w:val="00CF0B5B"/>
    <w:rsid w:val="00CF0C91"/>
    <w:rsid w:val="00CF0EC4"/>
    <w:rsid w:val="00CF10B0"/>
    <w:rsid w:val="00CF11A6"/>
    <w:rsid w:val="00CF11D4"/>
    <w:rsid w:val="00CF13D4"/>
    <w:rsid w:val="00CF1438"/>
    <w:rsid w:val="00CF1596"/>
    <w:rsid w:val="00CF1742"/>
    <w:rsid w:val="00CF1766"/>
    <w:rsid w:val="00CF1905"/>
    <w:rsid w:val="00CF190F"/>
    <w:rsid w:val="00CF1B06"/>
    <w:rsid w:val="00CF1CB2"/>
    <w:rsid w:val="00CF1E47"/>
    <w:rsid w:val="00CF208A"/>
    <w:rsid w:val="00CF20D0"/>
    <w:rsid w:val="00CF21A7"/>
    <w:rsid w:val="00CF21F6"/>
    <w:rsid w:val="00CF2531"/>
    <w:rsid w:val="00CF2792"/>
    <w:rsid w:val="00CF287F"/>
    <w:rsid w:val="00CF2AFE"/>
    <w:rsid w:val="00CF2FAC"/>
    <w:rsid w:val="00CF3201"/>
    <w:rsid w:val="00CF3418"/>
    <w:rsid w:val="00CF348A"/>
    <w:rsid w:val="00CF3490"/>
    <w:rsid w:val="00CF34B8"/>
    <w:rsid w:val="00CF3516"/>
    <w:rsid w:val="00CF37B3"/>
    <w:rsid w:val="00CF3935"/>
    <w:rsid w:val="00CF39FB"/>
    <w:rsid w:val="00CF3A5D"/>
    <w:rsid w:val="00CF3B88"/>
    <w:rsid w:val="00CF3E0B"/>
    <w:rsid w:val="00CF3F22"/>
    <w:rsid w:val="00CF4275"/>
    <w:rsid w:val="00CF4371"/>
    <w:rsid w:val="00CF4517"/>
    <w:rsid w:val="00CF45DE"/>
    <w:rsid w:val="00CF4825"/>
    <w:rsid w:val="00CF4933"/>
    <w:rsid w:val="00CF4AA4"/>
    <w:rsid w:val="00CF4AB3"/>
    <w:rsid w:val="00CF4CE8"/>
    <w:rsid w:val="00CF5165"/>
    <w:rsid w:val="00CF5412"/>
    <w:rsid w:val="00CF5664"/>
    <w:rsid w:val="00CF56EC"/>
    <w:rsid w:val="00CF57AA"/>
    <w:rsid w:val="00CF58B7"/>
    <w:rsid w:val="00CF5BC9"/>
    <w:rsid w:val="00CF5C58"/>
    <w:rsid w:val="00CF5E96"/>
    <w:rsid w:val="00CF5F02"/>
    <w:rsid w:val="00CF5F18"/>
    <w:rsid w:val="00CF6164"/>
    <w:rsid w:val="00CF64EC"/>
    <w:rsid w:val="00CF66F1"/>
    <w:rsid w:val="00CF6C25"/>
    <w:rsid w:val="00CF6CC9"/>
    <w:rsid w:val="00CF6CCC"/>
    <w:rsid w:val="00CF7034"/>
    <w:rsid w:val="00CF710E"/>
    <w:rsid w:val="00CF74A1"/>
    <w:rsid w:val="00CF74C5"/>
    <w:rsid w:val="00CF760B"/>
    <w:rsid w:val="00CF766D"/>
    <w:rsid w:val="00CF77AC"/>
    <w:rsid w:val="00CF7875"/>
    <w:rsid w:val="00CF7A2C"/>
    <w:rsid w:val="00CF7EB5"/>
    <w:rsid w:val="00D0000B"/>
    <w:rsid w:val="00D00550"/>
    <w:rsid w:val="00D0065E"/>
    <w:rsid w:val="00D00708"/>
    <w:rsid w:val="00D00938"/>
    <w:rsid w:val="00D00976"/>
    <w:rsid w:val="00D00A46"/>
    <w:rsid w:val="00D00AC6"/>
    <w:rsid w:val="00D00C71"/>
    <w:rsid w:val="00D00CCC"/>
    <w:rsid w:val="00D00DFB"/>
    <w:rsid w:val="00D00FB3"/>
    <w:rsid w:val="00D0119C"/>
    <w:rsid w:val="00D012BC"/>
    <w:rsid w:val="00D01374"/>
    <w:rsid w:val="00D015A1"/>
    <w:rsid w:val="00D01620"/>
    <w:rsid w:val="00D01662"/>
    <w:rsid w:val="00D0177A"/>
    <w:rsid w:val="00D0177C"/>
    <w:rsid w:val="00D01833"/>
    <w:rsid w:val="00D0195B"/>
    <w:rsid w:val="00D019EC"/>
    <w:rsid w:val="00D01ADA"/>
    <w:rsid w:val="00D01AFC"/>
    <w:rsid w:val="00D01BB5"/>
    <w:rsid w:val="00D01BF5"/>
    <w:rsid w:val="00D01C7E"/>
    <w:rsid w:val="00D01FC3"/>
    <w:rsid w:val="00D02026"/>
    <w:rsid w:val="00D022AF"/>
    <w:rsid w:val="00D02328"/>
    <w:rsid w:val="00D02546"/>
    <w:rsid w:val="00D02598"/>
    <w:rsid w:val="00D0270C"/>
    <w:rsid w:val="00D0292D"/>
    <w:rsid w:val="00D02C0C"/>
    <w:rsid w:val="00D03218"/>
    <w:rsid w:val="00D033B5"/>
    <w:rsid w:val="00D034BE"/>
    <w:rsid w:val="00D034FD"/>
    <w:rsid w:val="00D03606"/>
    <w:rsid w:val="00D0386B"/>
    <w:rsid w:val="00D03C53"/>
    <w:rsid w:val="00D03D92"/>
    <w:rsid w:val="00D03E15"/>
    <w:rsid w:val="00D0414E"/>
    <w:rsid w:val="00D041B4"/>
    <w:rsid w:val="00D042EF"/>
    <w:rsid w:val="00D04814"/>
    <w:rsid w:val="00D049C1"/>
    <w:rsid w:val="00D04A7B"/>
    <w:rsid w:val="00D04A99"/>
    <w:rsid w:val="00D04C76"/>
    <w:rsid w:val="00D04D1E"/>
    <w:rsid w:val="00D04E57"/>
    <w:rsid w:val="00D0504B"/>
    <w:rsid w:val="00D052D4"/>
    <w:rsid w:val="00D05592"/>
    <w:rsid w:val="00D05697"/>
    <w:rsid w:val="00D05A93"/>
    <w:rsid w:val="00D05B7F"/>
    <w:rsid w:val="00D05CA0"/>
    <w:rsid w:val="00D0601B"/>
    <w:rsid w:val="00D0601F"/>
    <w:rsid w:val="00D0609D"/>
    <w:rsid w:val="00D06294"/>
    <w:rsid w:val="00D062FF"/>
    <w:rsid w:val="00D06371"/>
    <w:rsid w:val="00D064DD"/>
    <w:rsid w:val="00D066AA"/>
    <w:rsid w:val="00D066CA"/>
    <w:rsid w:val="00D067F6"/>
    <w:rsid w:val="00D068F0"/>
    <w:rsid w:val="00D06A9F"/>
    <w:rsid w:val="00D06B8E"/>
    <w:rsid w:val="00D06D43"/>
    <w:rsid w:val="00D06DE9"/>
    <w:rsid w:val="00D06EAF"/>
    <w:rsid w:val="00D071F5"/>
    <w:rsid w:val="00D07347"/>
    <w:rsid w:val="00D075CE"/>
    <w:rsid w:val="00D0761D"/>
    <w:rsid w:val="00D07898"/>
    <w:rsid w:val="00D078B9"/>
    <w:rsid w:val="00D07BD8"/>
    <w:rsid w:val="00D07C41"/>
    <w:rsid w:val="00D07F17"/>
    <w:rsid w:val="00D10234"/>
    <w:rsid w:val="00D1028C"/>
    <w:rsid w:val="00D102AB"/>
    <w:rsid w:val="00D10358"/>
    <w:rsid w:val="00D1038A"/>
    <w:rsid w:val="00D1044F"/>
    <w:rsid w:val="00D104A3"/>
    <w:rsid w:val="00D1081F"/>
    <w:rsid w:val="00D10848"/>
    <w:rsid w:val="00D108C1"/>
    <w:rsid w:val="00D10BB5"/>
    <w:rsid w:val="00D10DC1"/>
    <w:rsid w:val="00D11028"/>
    <w:rsid w:val="00D11112"/>
    <w:rsid w:val="00D11154"/>
    <w:rsid w:val="00D113E3"/>
    <w:rsid w:val="00D115F9"/>
    <w:rsid w:val="00D1160B"/>
    <w:rsid w:val="00D117BB"/>
    <w:rsid w:val="00D11835"/>
    <w:rsid w:val="00D1198C"/>
    <w:rsid w:val="00D11B33"/>
    <w:rsid w:val="00D11CAE"/>
    <w:rsid w:val="00D11E29"/>
    <w:rsid w:val="00D11E6B"/>
    <w:rsid w:val="00D11E85"/>
    <w:rsid w:val="00D11E89"/>
    <w:rsid w:val="00D11EBD"/>
    <w:rsid w:val="00D11FA2"/>
    <w:rsid w:val="00D11FC3"/>
    <w:rsid w:val="00D11FC5"/>
    <w:rsid w:val="00D12636"/>
    <w:rsid w:val="00D1263B"/>
    <w:rsid w:val="00D127C0"/>
    <w:rsid w:val="00D12824"/>
    <w:rsid w:val="00D12A18"/>
    <w:rsid w:val="00D12B1B"/>
    <w:rsid w:val="00D12B45"/>
    <w:rsid w:val="00D12CA0"/>
    <w:rsid w:val="00D12F7B"/>
    <w:rsid w:val="00D13044"/>
    <w:rsid w:val="00D13222"/>
    <w:rsid w:val="00D132EA"/>
    <w:rsid w:val="00D134BE"/>
    <w:rsid w:val="00D134C5"/>
    <w:rsid w:val="00D138B1"/>
    <w:rsid w:val="00D138B2"/>
    <w:rsid w:val="00D139E4"/>
    <w:rsid w:val="00D13F3C"/>
    <w:rsid w:val="00D13F62"/>
    <w:rsid w:val="00D13FC1"/>
    <w:rsid w:val="00D13FCB"/>
    <w:rsid w:val="00D1410B"/>
    <w:rsid w:val="00D141B1"/>
    <w:rsid w:val="00D142CD"/>
    <w:rsid w:val="00D143C4"/>
    <w:rsid w:val="00D144AA"/>
    <w:rsid w:val="00D14565"/>
    <w:rsid w:val="00D146C8"/>
    <w:rsid w:val="00D146D4"/>
    <w:rsid w:val="00D147C2"/>
    <w:rsid w:val="00D149F0"/>
    <w:rsid w:val="00D14B28"/>
    <w:rsid w:val="00D14D07"/>
    <w:rsid w:val="00D14D38"/>
    <w:rsid w:val="00D14F69"/>
    <w:rsid w:val="00D15150"/>
    <w:rsid w:val="00D154A8"/>
    <w:rsid w:val="00D156B1"/>
    <w:rsid w:val="00D156C8"/>
    <w:rsid w:val="00D158DD"/>
    <w:rsid w:val="00D1591B"/>
    <w:rsid w:val="00D15A79"/>
    <w:rsid w:val="00D15B79"/>
    <w:rsid w:val="00D15B91"/>
    <w:rsid w:val="00D15C85"/>
    <w:rsid w:val="00D15E96"/>
    <w:rsid w:val="00D15ED5"/>
    <w:rsid w:val="00D164F1"/>
    <w:rsid w:val="00D1656B"/>
    <w:rsid w:val="00D166E3"/>
    <w:rsid w:val="00D16C82"/>
    <w:rsid w:val="00D16D59"/>
    <w:rsid w:val="00D16DA0"/>
    <w:rsid w:val="00D16F07"/>
    <w:rsid w:val="00D16FB4"/>
    <w:rsid w:val="00D170DA"/>
    <w:rsid w:val="00D1716B"/>
    <w:rsid w:val="00D17244"/>
    <w:rsid w:val="00D172D9"/>
    <w:rsid w:val="00D174AC"/>
    <w:rsid w:val="00D17610"/>
    <w:rsid w:val="00D1775F"/>
    <w:rsid w:val="00D17B9E"/>
    <w:rsid w:val="00D17BF0"/>
    <w:rsid w:val="00D17F5F"/>
    <w:rsid w:val="00D201D2"/>
    <w:rsid w:val="00D202C1"/>
    <w:rsid w:val="00D206B2"/>
    <w:rsid w:val="00D20727"/>
    <w:rsid w:val="00D20759"/>
    <w:rsid w:val="00D208AE"/>
    <w:rsid w:val="00D20CE8"/>
    <w:rsid w:val="00D20D04"/>
    <w:rsid w:val="00D20D13"/>
    <w:rsid w:val="00D20F4B"/>
    <w:rsid w:val="00D20F4F"/>
    <w:rsid w:val="00D21228"/>
    <w:rsid w:val="00D212EA"/>
    <w:rsid w:val="00D21508"/>
    <w:rsid w:val="00D2162B"/>
    <w:rsid w:val="00D216B2"/>
    <w:rsid w:val="00D21723"/>
    <w:rsid w:val="00D21792"/>
    <w:rsid w:val="00D21BBF"/>
    <w:rsid w:val="00D21CC4"/>
    <w:rsid w:val="00D21E44"/>
    <w:rsid w:val="00D21EA4"/>
    <w:rsid w:val="00D21ED4"/>
    <w:rsid w:val="00D2202F"/>
    <w:rsid w:val="00D22355"/>
    <w:rsid w:val="00D2237B"/>
    <w:rsid w:val="00D22846"/>
    <w:rsid w:val="00D2294F"/>
    <w:rsid w:val="00D22B4C"/>
    <w:rsid w:val="00D22BD1"/>
    <w:rsid w:val="00D22BD6"/>
    <w:rsid w:val="00D22CA1"/>
    <w:rsid w:val="00D22D05"/>
    <w:rsid w:val="00D22DC7"/>
    <w:rsid w:val="00D22F84"/>
    <w:rsid w:val="00D23271"/>
    <w:rsid w:val="00D232CA"/>
    <w:rsid w:val="00D2336D"/>
    <w:rsid w:val="00D2350B"/>
    <w:rsid w:val="00D237F8"/>
    <w:rsid w:val="00D23916"/>
    <w:rsid w:val="00D23920"/>
    <w:rsid w:val="00D23A45"/>
    <w:rsid w:val="00D23B7F"/>
    <w:rsid w:val="00D23BA6"/>
    <w:rsid w:val="00D23F50"/>
    <w:rsid w:val="00D23FE6"/>
    <w:rsid w:val="00D241FE"/>
    <w:rsid w:val="00D243A0"/>
    <w:rsid w:val="00D243AC"/>
    <w:rsid w:val="00D246ED"/>
    <w:rsid w:val="00D247EF"/>
    <w:rsid w:val="00D24817"/>
    <w:rsid w:val="00D248F8"/>
    <w:rsid w:val="00D24A24"/>
    <w:rsid w:val="00D24B22"/>
    <w:rsid w:val="00D24D58"/>
    <w:rsid w:val="00D24D71"/>
    <w:rsid w:val="00D25004"/>
    <w:rsid w:val="00D25429"/>
    <w:rsid w:val="00D2545E"/>
    <w:rsid w:val="00D2572A"/>
    <w:rsid w:val="00D2586E"/>
    <w:rsid w:val="00D25DA7"/>
    <w:rsid w:val="00D25E42"/>
    <w:rsid w:val="00D25E8B"/>
    <w:rsid w:val="00D25EE3"/>
    <w:rsid w:val="00D260E4"/>
    <w:rsid w:val="00D261DE"/>
    <w:rsid w:val="00D262EE"/>
    <w:rsid w:val="00D2630B"/>
    <w:rsid w:val="00D26328"/>
    <w:rsid w:val="00D2658C"/>
    <w:rsid w:val="00D2658F"/>
    <w:rsid w:val="00D26A84"/>
    <w:rsid w:val="00D26AED"/>
    <w:rsid w:val="00D26BFA"/>
    <w:rsid w:val="00D26D44"/>
    <w:rsid w:val="00D27135"/>
    <w:rsid w:val="00D27193"/>
    <w:rsid w:val="00D271F9"/>
    <w:rsid w:val="00D2723C"/>
    <w:rsid w:val="00D27294"/>
    <w:rsid w:val="00D274B8"/>
    <w:rsid w:val="00D27517"/>
    <w:rsid w:val="00D27593"/>
    <w:rsid w:val="00D278EB"/>
    <w:rsid w:val="00D27A1E"/>
    <w:rsid w:val="00D27A89"/>
    <w:rsid w:val="00D27A95"/>
    <w:rsid w:val="00D27C02"/>
    <w:rsid w:val="00D27D51"/>
    <w:rsid w:val="00D30089"/>
    <w:rsid w:val="00D30145"/>
    <w:rsid w:val="00D307E5"/>
    <w:rsid w:val="00D30816"/>
    <w:rsid w:val="00D30866"/>
    <w:rsid w:val="00D30A56"/>
    <w:rsid w:val="00D30C25"/>
    <w:rsid w:val="00D30C43"/>
    <w:rsid w:val="00D30E63"/>
    <w:rsid w:val="00D30F14"/>
    <w:rsid w:val="00D30F9B"/>
    <w:rsid w:val="00D30FBF"/>
    <w:rsid w:val="00D31380"/>
    <w:rsid w:val="00D314BA"/>
    <w:rsid w:val="00D318E7"/>
    <w:rsid w:val="00D31A96"/>
    <w:rsid w:val="00D31AA5"/>
    <w:rsid w:val="00D31BBC"/>
    <w:rsid w:val="00D31F3F"/>
    <w:rsid w:val="00D31FD5"/>
    <w:rsid w:val="00D3229F"/>
    <w:rsid w:val="00D32380"/>
    <w:rsid w:val="00D323E5"/>
    <w:rsid w:val="00D3259B"/>
    <w:rsid w:val="00D32664"/>
    <w:rsid w:val="00D326D5"/>
    <w:rsid w:val="00D326E7"/>
    <w:rsid w:val="00D32777"/>
    <w:rsid w:val="00D327C1"/>
    <w:rsid w:val="00D3287F"/>
    <w:rsid w:val="00D32895"/>
    <w:rsid w:val="00D3297D"/>
    <w:rsid w:val="00D3298C"/>
    <w:rsid w:val="00D32AA6"/>
    <w:rsid w:val="00D32C17"/>
    <w:rsid w:val="00D32DD8"/>
    <w:rsid w:val="00D33226"/>
    <w:rsid w:val="00D333CC"/>
    <w:rsid w:val="00D33831"/>
    <w:rsid w:val="00D33BC5"/>
    <w:rsid w:val="00D33E4F"/>
    <w:rsid w:val="00D33ED7"/>
    <w:rsid w:val="00D33F36"/>
    <w:rsid w:val="00D33F8A"/>
    <w:rsid w:val="00D34041"/>
    <w:rsid w:val="00D340A8"/>
    <w:rsid w:val="00D34179"/>
    <w:rsid w:val="00D3425A"/>
    <w:rsid w:val="00D34339"/>
    <w:rsid w:val="00D34577"/>
    <w:rsid w:val="00D34656"/>
    <w:rsid w:val="00D3470B"/>
    <w:rsid w:val="00D34726"/>
    <w:rsid w:val="00D34792"/>
    <w:rsid w:val="00D34809"/>
    <w:rsid w:val="00D34998"/>
    <w:rsid w:val="00D34A9D"/>
    <w:rsid w:val="00D34D69"/>
    <w:rsid w:val="00D34DE6"/>
    <w:rsid w:val="00D34E63"/>
    <w:rsid w:val="00D34F05"/>
    <w:rsid w:val="00D35220"/>
    <w:rsid w:val="00D352E6"/>
    <w:rsid w:val="00D3555D"/>
    <w:rsid w:val="00D358D0"/>
    <w:rsid w:val="00D35B58"/>
    <w:rsid w:val="00D35B93"/>
    <w:rsid w:val="00D35CF2"/>
    <w:rsid w:val="00D35D0A"/>
    <w:rsid w:val="00D35DA0"/>
    <w:rsid w:val="00D35F6D"/>
    <w:rsid w:val="00D35F76"/>
    <w:rsid w:val="00D35FAB"/>
    <w:rsid w:val="00D36128"/>
    <w:rsid w:val="00D3629B"/>
    <w:rsid w:val="00D3637F"/>
    <w:rsid w:val="00D363CD"/>
    <w:rsid w:val="00D365F7"/>
    <w:rsid w:val="00D36780"/>
    <w:rsid w:val="00D3693D"/>
    <w:rsid w:val="00D36B05"/>
    <w:rsid w:val="00D36CCF"/>
    <w:rsid w:val="00D36D50"/>
    <w:rsid w:val="00D36FBA"/>
    <w:rsid w:val="00D370C2"/>
    <w:rsid w:val="00D373EE"/>
    <w:rsid w:val="00D377E1"/>
    <w:rsid w:val="00D3786A"/>
    <w:rsid w:val="00D3790B"/>
    <w:rsid w:val="00D37A82"/>
    <w:rsid w:val="00D37BD3"/>
    <w:rsid w:val="00D37C69"/>
    <w:rsid w:val="00D37EFE"/>
    <w:rsid w:val="00D37FC9"/>
    <w:rsid w:val="00D37FED"/>
    <w:rsid w:val="00D40037"/>
    <w:rsid w:val="00D40259"/>
    <w:rsid w:val="00D40352"/>
    <w:rsid w:val="00D403A3"/>
    <w:rsid w:val="00D403D4"/>
    <w:rsid w:val="00D4059B"/>
    <w:rsid w:val="00D405AB"/>
    <w:rsid w:val="00D40900"/>
    <w:rsid w:val="00D40A3F"/>
    <w:rsid w:val="00D40BD9"/>
    <w:rsid w:val="00D40D69"/>
    <w:rsid w:val="00D40DB8"/>
    <w:rsid w:val="00D40E0D"/>
    <w:rsid w:val="00D40E49"/>
    <w:rsid w:val="00D40EA0"/>
    <w:rsid w:val="00D411EE"/>
    <w:rsid w:val="00D413C5"/>
    <w:rsid w:val="00D4145A"/>
    <w:rsid w:val="00D41749"/>
    <w:rsid w:val="00D418C1"/>
    <w:rsid w:val="00D4191E"/>
    <w:rsid w:val="00D41A15"/>
    <w:rsid w:val="00D41C6B"/>
    <w:rsid w:val="00D41E76"/>
    <w:rsid w:val="00D42086"/>
    <w:rsid w:val="00D421F1"/>
    <w:rsid w:val="00D4222E"/>
    <w:rsid w:val="00D426E2"/>
    <w:rsid w:val="00D42811"/>
    <w:rsid w:val="00D42957"/>
    <w:rsid w:val="00D42AB6"/>
    <w:rsid w:val="00D42B17"/>
    <w:rsid w:val="00D42C2A"/>
    <w:rsid w:val="00D42E4A"/>
    <w:rsid w:val="00D42EA4"/>
    <w:rsid w:val="00D42EFE"/>
    <w:rsid w:val="00D42F63"/>
    <w:rsid w:val="00D43072"/>
    <w:rsid w:val="00D4309F"/>
    <w:rsid w:val="00D430B1"/>
    <w:rsid w:val="00D4331F"/>
    <w:rsid w:val="00D43332"/>
    <w:rsid w:val="00D433D6"/>
    <w:rsid w:val="00D43615"/>
    <w:rsid w:val="00D437D5"/>
    <w:rsid w:val="00D43812"/>
    <w:rsid w:val="00D43A94"/>
    <w:rsid w:val="00D43CB7"/>
    <w:rsid w:val="00D43EE0"/>
    <w:rsid w:val="00D440A3"/>
    <w:rsid w:val="00D443DD"/>
    <w:rsid w:val="00D4441B"/>
    <w:rsid w:val="00D4459C"/>
    <w:rsid w:val="00D44877"/>
    <w:rsid w:val="00D4488E"/>
    <w:rsid w:val="00D44AB4"/>
    <w:rsid w:val="00D45207"/>
    <w:rsid w:val="00D452F5"/>
    <w:rsid w:val="00D4564B"/>
    <w:rsid w:val="00D4591A"/>
    <w:rsid w:val="00D45AB6"/>
    <w:rsid w:val="00D45DF8"/>
    <w:rsid w:val="00D462CA"/>
    <w:rsid w:val="00D46435"/>
    <w:rsid w:val="00D46526"/>
    <w:rsid w:val="00D46BCD"/>
    <w:rsid w:val="00D46BE3"/>
    <w:rsid w:val="00D46C77"/>
    <w:rsid w:val="00D46CDB"/>
    <w:rsid w:val="00D46D4E"/>
    <w:rsid w:val="00D470AE"/>
    <w:rsid w:val="00D47155"/>
    <w:rsid w:val="00D47237"/>
    <w:rsid w:val="00D47476"/>
    <w:rsid w:val="00D476BB"/>
    <w:rsid w:val="00D4778B"/>
    <w:rsid w:val="00D478CB"/>
    <w:rsid w:val="00D4795A"/>
    <w:rsid w:val="00D4797F"/>
    <w:rsid w:val="00D479C1"/>
    <w:rsid w:val="00D47EF8"/>
    <w:rsid w:val="00D501A9"/>
    <w:rsid w:val="00D501B1"/>
    <w:rsid w:val="00D502B4"/>
    <w:rsid w:val="00D50393"/>
    <w:rsid w:val="00D50448"/>
    <w:rsid w:val="00D50888"/>
    <w:rsid w:val="00D5091C"/>
    <w:rsid w:val="00D50B32"/>
    <w:rsid w:val="00D50C34"/>
    <w:rsid w:val="00D50CC0"/>
    <w:rsid w:val="00D50CF6"/>
    <w:rsid w:val="00D50D7B"/>
    <w:rsid w:val="00D51118"/>
    <w:rsid w:val="00D5115B"/>
    <w:rsid w:val="00D5119A"/>
    <w:rsid w:val="00D51222"/>
    <w:rsid w:val="00D512B7"/>
    <w:rsid w:val="00D512D0"/>
    <w:rsid w:val="00D51356"/>
    <w:rsid w:val="00D51415"/>
    <w:rsid w:val="00D5166B"/>
    <w:rsid w:val="00D51827"/>
    <w:rsid w:val="00D51858"/>
    <w:rsid w:val="00D51884"/>
    <w:rsid w:val="00D519E5"/>
    <w:rsid w:val="00D51E63"/>
    <w:rsid w:val="00D51F1D"/>
    <w:rsid w:val="00D520C1"/>
    <w:rsid w:val="00D521E3"/>
    <w:rsid w:val="00D52228"/>
    <w:rsid w:val="00D52319"/>
    <w:rsid w:val="00D52416"/>
    <w:rsid w:val="00D52486"/>
    <w:rsid w:val="00D525F0"/>
    <w:rsid w:val="00D52796"/>
    <w:rsid w:val="00D52A30"/>
    <w:rsid w:val="00D52A8B"/>
    <w:rsid w:val="00D52E73"/>
    <w:rsid w:val="00D52FBF"/>
    <w:rsid w:val="00D5316A"/>
    <w:rsid w:val="00D5318F"/>
    <w:rsid w:val="00D531B8"/>
    <w:rsid w:val="00D53460"/>
    <w:rsid w:val="00D53AF8"/>
    <w:rsid w:val="00D53B3F"/>
    <w:rsid w:val="00D53C41"/>
    <w:rsid w:val="00D53C6A"/>
    <w:rsid w:val="00D53C96"/>
    <w:rsid w:val="00D545A0"/>
    <w:rsid w:val="00D54672"/>
    <w:rsid w:val="00D546F9"/>
    <w:rsid w:val="00D54897"/>
    <w:rsid w:val="00D549C9"/>
    <w:rsid w:val="00D54C22"/>
    <w:rsid w:val="00D54C2A"/>
    <w:rsid w:val="00D54D24"/>
    <w:rsid w:val="00D54DBC"/>
    <w:rsid w:val="00D54E34"/>
    <w:rsid w:val="00D54F50"/>
    <w:rsid w:val="00D54F81"/>
    <w:rsid w:val="00D55286"/>
    <w:rsid w:val="00D552FE"/>
    <w:rsid w:val="00D553B5"/>
    <w:rsid w:val="00D5594C"/>
    <w:rsid w:val="00D55C07"/>
    <w:rsid w:val="00D55D24"/>
    <w:rsid w:val="00D55E9F"/>
    <w:rsid w:val="00D5606C"/>
    <w:rsid w:val="00D56275"/>
    <w:rsid w:val="00D56461"/>
    <w:rsid w:val="00D56482"/>
    <w:rsid w:val="00D564F5"/>
    <w:rsid w:val="00D56526"/>
    <w:rsid w:val="00D565CE"/>
    <w:rsid w:val="00D56AE6"/>
    <w:rsid w:val="00D56C8A"/>
    <w:rsid w:val="00D56D3B"/>
    <w:rsid w:val="00D56D47"/>
    <w:rsid w:val="00D56F6D"/>
    <w:rsid w:val="00D56F8E"/>
    <w:rsid w:val="00D57115"/>
    <w:rsid w:val="00D5724D"/>
    <w:rsid w:val="00D572B9"/>
    <w:rsid w:val="00D57334"/>
    <w:rsid w:val="00D57380"/>
    <w:rsid w:val="00D57455"/>
    <w:rsid w:val="00D57B95"/>
    <w:rsid w:val="00D57E91"/>
    <w:rsid w:val="00D57F05"/>
    <w:rsid w:val="00D600D9"/>
    <w:rsid w:val="00D60175"/>
    <w:rsid w:val="00D603C0"/>
    <w:rsid w:val="00D604F9"/>
    <w:rsid w:val="00D604FE"/>
    <w:rsid w:val="00D6079F"/>
    <w:rsid w:val="00D60AB6"/>
    <w:rsid w:val="00D60AC3"/>
    <w:rsid w:val="00D60E95"/>
    <w:rsid w:val="00D610B1"/>
    <w:rsid w:val="00D61159"/>
    <w:rsid w:val="00D6149A"/>
    <w:rsid w:val="00D61865"/>
    <w:rsid w:val="00D61A46"/>
    <w:rsid w:val="00D61ADA"/>
    <w:rsid w:val="00D61B35"/>
    <w:rsid w:val="00D61C5B"/>
    <w:rsid w:val="00D61E8D"/>
    <w:rsid w:val="00D61F48"/>
    <w:rsid w:val="00D621FF"/>
    <w:rsid w:val="00D6222A"/>
    <w:rsid w:val="00D622A5"/>
    <w:rsid w:val="00D62427"/>
    <w:rsid w:val="00D624D7"/>
    <w:rsid w:val="00D627E3"/>
    <w:rsid w:val="00D62958"/>
    <w:rsid w:val="00D629AB"/>
    <w:rsid w:val="00D62A8B"/>
    <w:rsid w:val="00D62A9F"/>
    <w:rsid w:val="00D62B15"/>
    <w:rsid w:val="00D62B96"/>
    <w:rsid w:val="00D62C19"/>
    <w:rsid w:val="00D62C48"/>
    <w:rsid w:val="00D62DBD"/>
    <w:rsid w:val="00D62DF1"/>
    <w:rsid w:val="00D634D7"/>
    <w:rsid w:val="00D638C0"/>
    <w:rsid w:val="00D638ED"/>
    <w:rsid w:val="00D63998"/>
    <w:rsid w:val="00D63A37"/>
    <w:rsid w:val="00D63B36"/>
    <w:rsid w:val="00D63E70"/>
    <w:rsid w:val="00D63FC2"/>
    <w:rsid w:val="00D64196"/>
    <w:rsid w:val="00D64204"/>
    <w:rsid w:val="00D642F7"/>
    <w:rsid w:val="00D64587"/>
    <w:rsid w:val="00D645B9"/>
    <w:rsid w:val="00D645F2"/>
    <w:rsid w:val="00D64632"/>
    <w:rsid w:val="00D64D37"/>
    <w:rsid w:val="00D652FE"/>
    <w:rsid w:val="00D65323"/>
    <w:rsid w:val="00D65377"/>
    <w:rsid w:val="00D6547A"/>
    <w:rsid w:val="00D65509"/>
    <w:rsid w:val="00D65747"/>
    <w:rsid w:val="00D6582A"/>
    <w:rsid w:val="00D6592C"/>
    <w:rsid w:val="00D65989"/>
    <w:rsid w:val="00D65A4A"/>
    <w:rsid w:val="00D65AE4"/>
    <w:rsid w:val="00D65B0B"/>
    <w:rsid w:val="00D65B5F"/>
    <w:rsid w:val="00D65D5F"/>
    <w:rsid w:val="00D65E81"/>
    <w:rsid w:val="00D65F8B"/>
    <w:rsid w:val="00D65FD4"/>
    <w:rsid w:val="00D66563"/>
    <w:rsid w:val="00D66C84"/>
    <w:rsid w:val="00D66D18"/>
    <w:rsid w:val="00D66EA4"/>
    <w:rsid w:val="00D66EB8"/>
    <w:rsid w:val="00D66EFA"/>
    <w:rsid w:val="00D66F70"/>
    <w:rsid w:val="00D67064"/>
    <w:rsid w:val="00D67685"/>
    <w:rsid w:val="00D6771E"/>
    <w:rsid w:val="00D67AB1"/>
    <w:rsid w:val="00D67B45"/>
    <w:rsid w:val="00D67BC3"/>
    <w:rsid w:val="00D67F9C"/>
    <w:rsid w:val="00D70193"/>
    <w:rsid w:val="00D70220"/>
    <w:rsid w:val="00D70439"/>
    <w:rsid w:val="00D7056B"/>
    <w:rsid w:val="00D70637"/>
    <w:rsid w:val="00D70A82"/>
    <w:rsid w:val="00D70ABC"/>
    <w:rsid w:val="00D70B14"/>
    <w:rsid w:val="00D70B37"/>
    <w:rsid w:val="00D70BFE"/>
    <w:rsid w:val="00D70DD6"/>
    <w:rsid w:val="00D70F26"/>
    <w:rsid w:val="00D70FC0"/>
    <w:rsid w:val="00D71414"/>
    <w:rsid w:val="00D717FB"/>
    <w:rsid w:val="00D71892"/>
    <w:rsid w:val="00D71959"/>
    <w:rsid w:val="00D71C12"/>
    <w:rsid w:val="00D71EA3"/>
    <w:rsid w:val="00D72174"/>
    <w:rsid w:val="00D721B5"/>
    <w:rsid w:val="00D722C3"/>
    <w:rsid w:val="00D724A9"/>
    <w:rsid w:val="00D7273C"/>
    <w:rsid w:val="00D727F7"/>
    <w:rsid w:val="00D729D4"/>
    <w:rsid w:val="00D72B97"/>
    <w:rsid w:val="00D72E8E"/>
    <w:rsid w:val="00D7303A"/>
    <w:rsid w:val="00D733EC"/>
    <w:rsid w:val="00D7385F"/>
    <w:rsid w:val="00D7387C"/>
    <w:rsid w:val="00D738E6"/>
    <w:rsid w:val="00D73B6C"/>
    <w:rsid w:val="00D7405F"/>
    <w:rsid w:val="00D740D5"/>
    <w:rsid w:val="00D743B5"/>
    <w:rsid w:val="00D743CE"/>
    <w:rsid w:val="00D74646"/>
    <w:rsid w:val="00D74AE5"/>
    <w:rsid w:val="00D74B72"/>
    <w:rsid w:val="00D74C2A"/>
    <w:rsid w:val="00D74F1E"/>
    <w:rsid w:val="00D7512A"/>
    <w:rsid w:val="00D75208"/>
    <w:rsid w:val="00D75356"/>
    <w:rsid w:val="00D7599B"/>
    <w:rsid w:val="00D75B5F"/>
    <w:rsid w:val="00D75C98"/>
    <w:rsid w:val="00D75D66"/>
    <w:rsid w:val="00D75E4C"/>
    <w:rsid w:val="00D75F9E"/>
    <w:rsid w:val="00D7624A"/>
    <w:rsid w:val="00D7652B"/>
    <w:rsid w:val="00D7665E"/>
    <w:rsid w:val="00D76749"/>
    <w:rsid w:val="00D76789"/>
    <w:rsid w:val="00D7696E"/>
    <w:rsid w:val="00D769F8"/>
    <w:rsid w:val="00D76A9F"/>
    <w:rsid w:val="00D76B54"/>
    <w:rsid w:val="00D76BC9"/>
    <w:rsid w:val="00D76DBD"/>
    <w:rsid w:val="00D77131"/>
    <w:rsid w:val="00D7715D"/>
    <w:rsid w:val="00D7719F"/>
    <w:rsid w:val="00D771ED"/>
    <w:rsid w:val="00D772EF"/>
    <w:rsid w:val="00D77B37"/>
    <w:rsid w:val="00D77BBE"/>
    <w:rsid w:val="00D77D68"/>
    <w:rsid w:val="00D77E6C"/>
    <w:rsid w:val="00D77F2A"/>
    <w:rsid w:val="00D80096"/>
    <w:rsid w:val="00D801C0"/>
    <w:rsid w:val="00D802E4"/>
    <w:rsid w:val="00D80331"/>
    <w:rsid w:val="00D80349"/>
    <w:rsid w:val="00D80378"/>
    <w:rsid w:val="00D8046C"/>
    <w:rsid w:val="00D806B1"/>
    <w:rsid w:val="00D807BB"/>
    <w:rsid w:val="00D8088F"/>
    <w:rsid w:val="00D80971"/>
    <w:rsid w:val="00D80A0E"/>
    <w:rsid w:val="00D80B10"/>
    <w:rsid w:val="00D80C55"/>
    <w:rsid w:val="00D80DD2"/>
    <w:rsid w:val="00D80EB1"/>
    <w:rsid w:val="00D810DF"/>
    <w:rsid w:val="00D81114"/>
    <w:rsid w:val="00D811FC"/>
    <w:rsid w:val="00D81537"/>
    <w:rsid w:val="00D81755"/>
    <w:rsid w:val="00D818AE"/>
    <w:rsid w:val="00D818B2"/>
    <w:rsid w:val="00D81C81"/>
    <w:rsid w:val="00D81E8E"/>
    <w:rsid w:val="00D81FA7"/>
    <w:rsid w:val="00D824A0"/>
    <w:rsid w:val="00D82595"/>
    <w:rsid w:val="00D8262B"/>
    <w:rsid w:val="00D82683"/>
    <w:rsid w:val="00D82827"/>
    <w:rsid w:val="00D8283B"/>
    <w:rsid w:val="00D82944"/>
    <w:rsid w:val="00D829B4"/>
    <w:rsid w:val="00D82AFB"/>
    <w:rsid w:val="00D82F52"/>
    <w:rsid w:val="00D82FC8"/>
    <w:rsid w:val="00D83009"/>
    <w:rsid w:val="00D83156"/>
    <w:rsid w:val="00D83218"/>
    <w:rsid w:val="00D83900"/>
    <w:rsid w:val="00D83D00"/>
    <w:rsid w:val="00D83E9F"/>
    <w:rsid w:val="00D84161"/>
    <w:rsid w:val="00D84207"/>
    <w:rsid w:val="00D84700"/>
    <w:rsid w:val="00D84724"/>
    <w:rsid w:val="00D847CA"/>
    <w:rsid w:val="00D848A2"/>
    <w:rsid w:val="00D84AB6"/>
    <w:rsid w:val="00D84B69"/>
    <w:rsid w:val="00D84B8A"/>
    <w:rsid w:val="00D84C7D"/>
    <w:rsid w:val="00D84CC7"/>
    <w:rsid w:val="00D84E5F"/>
    <w:rsid w:val="00D84EA2"/>
    <w:rsid w:val="00D84F35"/>
    <w:rsid w:val="00D851F3"/>
    <w:rsid w:val="00D852BC"/>
    <w:rsid w:val="00D852D7"/>
    <w:rsid w:val="00D852EC"/>
    <w:rsid w:val="00D8530A"/>
    <w:rsid w:val="00D85363"/>
    <w:rsid w:val="00D853E6"/>
    <w:rsid w:val="00D85648"/>
    <w:rsid w:val="00D85880"/>
    <w:rsid w:val="00D85D4A"/>
    <w:rsid w:val="00D85E8E"/>
    <w:rsid w:val="00D85EFF"/>
    <w:rsid w:val="00D862BF"/>
    <w:rsid w:val="00D8650A"/>
    <w:rsid w:val="00D86529"/>
    <w:rsid w:val="00D867C9"/>
    <w:rsid w:val="00D86A6A"/>
    <w:rsid w:val="00D86AC0"/>
    <w:rsid w:val="00D86CDD"/>
    <w:rsid w:val="00D86FB3"/>
    <w:rsid w:val="00D87039"/>
    <w:rsid w:val="00D873FB"/>
    <w:rsid w:val="00D8763A"/>
    <w:rsid w:val="00D8763E"/>
    <w:rsid w:val="00D8768B"/>
    <w:rsid w:val="00D87A5D"/>
    <w:rsid w:val="00D87B77"/>
    <w:rsid w:val="00D87C1B"/>
    <w:rsid w:val="00D87C2A"/>
    <w:rsid w:val="00D87CA8"/>
    <w:rsid w:val="00D87D77"/>
    <w:rsid w:val="00D87E75"/>
    <w:rsid w:val="00D87F8F"/>
    <w:rsid w:val="00D9013B"/>
    <w:rsid w:val="00D901AE"/>
    <w:rsid w:val="00D902D0"/>
    <w:rsid w:val="00D90383"/>
    <w:rsid w:val="00D903CD"/>
    <w:rsid w:val="00D904CC"/>
    <w:rsid w:val="00D90755"/>
    <w:rsid w:val="00D9094A"/>
    <w:rsid w:val="00D90FAE"/>
    <w:rsid w:val="00D90FD8"/>
    <w:rsid w:val="00D911B4"/>
    <w:rsid w:val="00D913C3"/>
    <w:rsid w:val="00D91441"/>
    <w:rsid w:val="00D915BB"/>
    <w:rsid w:val="00D916F1"/>
    <w:rsid w:val="00D9178B"/>
    <w:rsid w:val="00D918DE"/>
    <w:rsid w:val="00D919AC"/>
    <w:rsid w:val="00D919B8"/>
    <w:rsid w:val="00D91A45"/>
    <w:rsid w:val="00D91FF6"/>
    <w:rsid w:val="00D9214B"/>
    <w:rsid w:val="00D9229E"/>
    <w:rsid w:val="00D923B9"/>
    <w:rsid w:val="00D92492"/>
    <w:rsid w:val="00D92675"/>
    <w:rsid w:val="00D92821"/>
    <w:rsid w:val="00D92941"/>
    <w:rsid w:val="00D92FB9"/>
    <w:rsid w:val="00D9309C"/>
    <w:rsid w:val="00D9320E"/>
    <w:rsid w:val="00D93449"/>
    <w:rsid w:val="00D93468"/>
    <w:rsid w:val="00D934CB"/>
    <w:rsid w:val="00D9376F"/>
    <w:rsid w:val="00D939A6"/>
    <w:rsid w:val="00D93AB9"/>
    <w:rsid w:val="00D93C1F"/>
    <w:rsid w:val="00D93D72"/>
    <w:rsid w:val="00D93DBB"/>
    <w:rsid w:val="00D94782"/>
    <w:rsid w:val="00D947B2"/>
    <w:rsid w:val="00D94857"/>
    <w:rsid w:val="00D94A59"/>
    <w:rsid w:val="00D94DF5"/>
    <w:rsid w:val="00D94E67"/>
    <w:rsid w:val="00D94F6A"/>
    <w:rsid w:val="00D950A4"/>
    <w:rsid w:val="00D9512A"/>
    <w:rsid w:val="00D95215"/>
    <w:rsid w:val="00D9541E"/>
    <w:rsid w:val="00D9562F"/>
    <w:rsid w:val="00D95694"/>
    <w:rsid w:val="00D95727"/>
    <w:rsid w:val="00D958E0"/>
    <w:rsid w:val="00D95A13"/>
    <w:rsid w:val="00D95A36"/>
    <w:rsid w:val="00D95E1E"/>
    <w:rsid w:val="00D961EB"/>
    <w:rsid w:val="00D962DF"/>
    <w:rsid w:val="00D96493"/>
    <w:rsid w:val="00D965BD"/>
    <w:rsid w:val="00D965C5"/>
    <w:rsid w:val="00D965D7"/>
    <w:rsid w:val="00D9671E"/>
    <w:rsid w:val="00D96801"/>
    <w:rsid w:val="00D968C5"/>
    <w:rsid w:val="00D96B2B"/>
    <w:rsid w:val="00D96CD0"/>
    <w:rsid w:val="00D96EA2"/>
    <w:rsid w:val="00D9702D"/>
    <w:rsid w:val="00D97564"/>
    <w:rsid w:val="00D97603"/>
    <w:rsid w:val="00D9778F"/>
    <w:rsid w:val="00D97B1D"/>
    <w:rsid w:val="00DA032D"/>
    <w:rsid w:val="00DA0397"/>
    <w:rsid w:val="00DA03AD"/>
    <w:rsid w:val="00DA0801"/>
    <w:rsid w:val="00DA0905"/>
    <w:rsid w:val="00DA09A0"/>
    <w:rsid w:val="00DA0B68"/>
    <w:rsid w:val="00DA0E9B"/>
    <w:rsid w:val="00DA0EE8"/>
    <w:rsid w:val="00DA0FE7"/>
    <w:rsid w:val="00DA1435"/>
    <w:rsid w:val="00DA150E"/>
    <w:rsid w:val="00DA1573"/>
    <w:rsid w:val="00DA1A7A"/>
    <w:rsid w:val="00DA1ABA"/>
    <w:rsid w:val="00DA1B2F"/>
    <w:rsid w:val="00DA1BF3"/>
    <w:rsid w:val="00DA1DF7"/>
    <w:rsid w:val="00DA215E"/>
    <w:rsid w:val="00DA22D6"/>
    <w:rsid w:val="00DA22E0"/>
    <w:rsid w:val="00DA24F9"/>
    <w:rsid w:val="00DA2548"/>
    <w:rsid w:val="00DA2A4B"/>
    <w:rsid w:val="00DA2AE8"/>
    <w:rsid w:val="00DA2E8B"/>
    <w:rsid w:val="00DA2E99"/>
    <w:rsid w:val="00DA2EB1"/>
    <w:rsid w:val="00DA30D0"/>
    <w:rsid w:val="00DA3115"/>
    <w:rsid w:val="00DA337E"/>
    <w:rsid w:val="00DA389E"/>
    <w:rsid w:val="00DA38CA"/>
    <w:rsid w:val="00DA3D8A"/>
    <w:rsid w:val="00DA3EA5"/>
    <w:rsid w:val="00DA3EBE"/>
    <w:rsid w:val="00DA3F39"/>
    <w:rsid w:val="00DA410A"/>
    <w:rsid w:val="00DA4120"/>
    <w:rsid w:val="00DA41E3"/>
    <w:rsid w:val="00DA447F"/>
    <w:rsid w:val="00DA4496"/>
    <w:rsid w:val="00DA4533"/>
    <w:rsid w:val="00DA4556"/>
    <w:rsid w:val="00DA486D"/>
    <w:rsid w:val="00DA48C6"/>
    <w:rsid w:val="00DA4AE6"/>
    <w:rsid w:val="00DA4C03"/>
    <w:rsid w:val="00DA4D24"/>
    <w:rsid w:val="00DA4DF7"/>
    <w:rsid w:val="00DA4F50"/>
    <w:rsid w:val="00DA53D5"/>
    <w:rsid w:val="00DA54CF"/>
    <w:rsid w:val="00DA55C1"/>
    <w:rsid w:val="00DA561C"/>
    <w:rsid w:val="00DA56BA"/>
    <w:rsid w:val="00DA56C6"/>
    <w:rsid w:val="00DA5A5B"/>
    <w:rsid w:val="00DA5B56"/>
    <w:rsid w:val="00DA5C53"/>
    <w:rsid w:val="00DA5C5C"/>
    <w:rsid w:val="00DA5CF6"/>
    <w:rsid w:val="00DA5D80"/>
    <w:rsid w:val="00DA5FAC"/>
    <w:rsid w:val="00DA62AE"/>
    <w:rsid w:val="00DA6384"/>
    <w:rsid w:val="00DA6412"/>
    <w:rsid w:val="00DA69C6"/>
    <w:rsid w:val="00DA6BF0"/>
    <w:rsid w:val="00DA6D5F"/>
    <w:rsid w:val="00DA6D71"/>
    <w:rsid w:val="00DA70EB"/>
    <w:rsid w:val="00DA71DD"/>
    <w:rsid w:val="00DA7217"/>
    <w:rsid w:val="00DA7282"/>
    <w:rsid w:val="00DA7295"/>
    <w:rsid w:val="00DA7366"/>
    <w:rsid w:val="00DA7440"/>
    <w:rsid w:val="00DA7573"/>
    <w:rsid w:val="00DA76B5"/>
    <w:rsid w:val="00DA77B4"/>
    <w:rsid w:val="00DA78A4"/>
    <w:rsid w:val="00DA792B"/>
    <w:rsid w:val="00DA7A66"/>
    <w:rsid w:val="00DA7AFB"/>
    <w:rsid w:val="00DA7B1E"/>
    <w:rsid w:val="00DA7D98"/>
    <w:rsid w:val="00DA7E82"/>
    <w:rsid w:val="00DA7EA1"/>
    <w:rsid w:val="00DB031F"/>
    <w:rsid w:val="00DB04B1"/>
    <w:rsid w:val="00DB06CC"/>
    <w:rsid w:val="00DB06DB"/>
    <w:rsid w:val="00DB07A8"/>
    <w:rsid w:val="00DB099F"/>
    <w:rsid w:val="00DB0A67"/>
    <w:rsid w:val="00DB0CC8"/>
    <w:rsid w:val="00DB0CDF"/>
    <w:rsid w:val="00DB0DBC"/>
    <w:rsid w:val="00DB0E0E"/>
    <w:rsid w:val="00DB0E35"/>
    <w:rsid w:val="00DB0F35"/>
    <w:rsid w:val="00DB1028"/>
    <w:rsid w:val="00DB102A"/>
    <w:rsid w:val="00DB1120"/>
    <w:rsid w:val="00DB1336"/>
    <w:rsid w:val="00DB1341"/>
    <w:rsid w:val="00DB1466"/>
    <w:rsid w:val="00DB1617"/>
    <w:rsid w:val="00DB1861"/>
    <w:rsid w:val="00DB18C6"/>
    <w:rsid w:val="00DB1A26"/>
    <w:rsid w:val="00DB1ABE"/>
    <w:rsid w:val="00DB1B9F"/>
    <w:rsid w:val="00DB1C36"/>
    <w:rsid w:val="00DB1F47"/>
    <w:rsid w:val="00DB221D"/>
    <w:rsid w:val="00DB242F"/>
    <w:rsid w:val="00DB2535"/>
    <w:rsid w:val="00DB25DF"/>
    <w:rsid w:val="00DB28FC"/>
    <w:rsid w:val="00DB293C"/>
    <w:rsid w:val="00DB2B49"/>
    <w:rsid w:val="00DB2C44"/>
    <w:rsid w:val="00DB2CC6"/>
    <w:rsid w:val="00DB2D24"/>
    <w:rsid w:val="00DB2F05"/>
    <w:rsid w:val="00DB3212"/>
    <w:rsid w:val="00DB3300"/>
    <w:rsid w:val="00DB3347"/>
    <w:rsid w:val="00DB3413"/>
    <w:rsid w:val="00DB3554"/>
    <w:rsid w:val="00DB39B1"/>
    <w:rsid w:val="00DB3BE2"/>
    <w:rsid w:val="00DB3DB8"/>
    <w:rsid w:val="00DB3E91"/>
    <w:rsid w:val="00DB3F0E"/>
    <w:rsid w:val="00DB3F83"/>
    <w:rsid w:val="00DB3F88"/>
    <w:rsid w:val="00DB4075"/>
    <w:rsid w:val="00DB418F"/>
    <w:rsid w:val="00DB4324"/>
    <w:rsid w:val="00DB4520"/>
    <w:rsid w:val="00DB4526"/>
    <w:rsid w:val="00DB45A0"/>
    <w:rsid w:val="00DB465F"/>
    <w:rsid w:val="00DB46EF"/>
    <w:rsid w:val="00DB48A0"/>
    <w:rsid w:val="00DB48F5"/>
    <w:rsid w:val="00DB4AB2"/>
    <w:rsid w:val="00DB4ADC"/>
    <w:rsid w:val="00DB4C9E"/>
    <w:rsid w:val="00DB51B1"/>
    <w:rsid w:val="00DB525D"/>
    <w:rsid w:val="00DB52AE"/>
    <w:rsid w:val="00DB55F3"/>
    <w:rsid w:val="00DB5806"/>
    <w:rsid w:val="00DB587D"/>
    <w:rsid w:val="00DB5994"/>
    <w:rsid w:val="00DB5B3A"/>
    <w:rsid w:val="00DB5CB8"/>
    <w:rsid w:val="00DB5D79"/>
    <w:rsid w:val="00DB5FDC"/>
    <w:rsid w:val="00DB5FEB"/>
    <w:rsid w:val="00DB624C"/>
    <w:rsid w:val="00DB64E6"/>
    <w:rsid w:val="00DB65BE"/>
    <w:rsid w:val="00DB65E9"/>
    <w:rsid w:val="00DB66C0"/>
    <w:rsid w:val="00DB6838"/>
    <w:rsid w:val="00DB694F"/>
    <w:rsid w:val="00DB69FA"/>
    <w:rsid w:val="00DB6A60"/>
    <w:rsid w:val="00DB6AF9"/>
    <w:rsid w:val="00DB6C46"/>
    <w:rsid w:val="00DB6E67"/>
    <w:rsid w:val="00DB6F8C"/>
    <w:rsid w:val="00DB70E8"/>
    <w:rsid w:val="00DB727A"/>
    <w:rsid w:val="00DB74BE"/>
    <w:rsid w:val="00DB74C2"/>
    <w:rsid w:val="00DB74D6"/>
    <w:rsid w:val="00DB75C0"/>
    <w:rsid w:val="00DB76ED"/>
    <w:rsid w:val="00DB7751"/>
    <w:rsid w:val="00DB78AF"/>
    <w:rsid w:val="00DB7A9A"/>
    <w:rsid w:val="00DB7C17"/>
    <w:rsid w:val="00DB7CA7"/>
    <w:rsid w:val="00DB7D4A"/>
    <w:rsid w:val="00DB7F62"/>
    <w:rsid w:val="00DC0172"/>
    <w:rsid w:val="00DC0203"/>
    <w:rsid w:val="00DC0395"/>
    <w:rsid w:val="00DC040A"/>
    <w:rsid w:val="00DC0697"/>
    <w:rsid w:val="00DC06DC"/>
    <w:rsid w:val="00DC0842"/>
    <w:rsid w:val="00DC106C"/>
    <w:rsid w:val="00DC122D"/>
    <w:rsid w:val="00DC12AF"/>
    <w:rsid w:val="00DC13CD"/>
    <w:rsid w:val="00DC150D"/>
    <w:rsid w:val="00DC1562"/>
    <w:rsid w:val="00DC15CC"/>
    <w:rsid w:val="00DC1A0F"/>
    <w:rsid w:val="00DC1AA1"/>
    <w:rsid w:val="00DC1FBA"/>
    <w:rsid w:val="00DC1FD8"/>
    <w:rsid w:val="00DC2366"/>
    <w:rsid w:val="00DC23CD"/>
    <w:rsid w:val="00DC23D3"/>
    <w:rsid w:val="00DC255C"/>
    <w:rsid w:val="00DC26A6"/>
    <w:rsid w:val="00DC2757"/>
    <w:rsid w:val="00DC2A12"/>
    <w:rsid w:val="00DC2ADC"/>
    <w:rsid w:val="00DC2D6B"/>
    <w:rsid w:val="00DC2DC2"/>
    <w:rsid w:val="00DC2E23"/>
    <w:rsid w:val="00DC2E7E"/>
    <w:rsid w:val="00DC2FA7"/>
    <w:rsid w:val="00DC31E1"/>
    <w:rsid w:val="00DC33F3"/>
    <w:rsid w:val="00DC3491"/>
    <w:rsid w:val="00DC3638"/>
    <w:rsid w:val="00DC3802"/>
    <w:rsid w:val="00DC3978"/>
    <w:rsid w:val="00DC3F30"/>
    <w:rsid w:val="00DC4042"/>
    <w:rsid w:val="00DC4065"/>
    <w:rsid w:val="00DC456F"/>
    <w:rsid w:val="00DC45C3"/>
    <w:rsid w:val="00DC46A5"/>
    <w:rsid w:val="00DC4B09"/>
    <w:rsid w:val="00DC4E7E"/>
    <w:rsid w:val="00DC4E84"/>
    <w:rsid w:val="00DC531B"/>
    <w:rsid w:val="00DC53C2"/>
    <w:rsid w:val="00DC53E5"/>
    <w:rsid w:val="00DC5595"/>
    <w:rsid w:val="00DC56B1"/>
    <w:rsid w:val="00DC5B43"/>
    <w:rsid w:val="00DC5BD9"/>
    <w:rsid w:val="00DC5C8E"/>
    <w:rsid w:val="00DC5EEE"/>
    <w:rsid w:val="00DC62C2"/>
    <w:rsid w:val="00DC6343"/>
    <w:rsid w:val="00DC6394"/>
    <w:rsid w:val="00DC6551"/>
    <w:rsid w:val="00DC675E"/>
    <w:rsid w:val="00DC67F7"/>
    <w:rsid w:val="00DC6A8B"/>
    <w:rsid w:val="00DC6C18"/>
    <w:rsid w:val="00DC6DD3"/>
    <w:rsid w:val="00DC6F31"/>
    <w:rsid w:val="00DC7088"/>
    <w:rsid w:val="00DC7129"/>
    <w:rsid w:val="00DC718A"/>
    <w:rsid w:val="00DC71E7"/>
    <w:rsid w:val="00DC7423"/>
    <w:rsid w:val="00DC74F4"/>
    <w:rsid w:val="00DC7531"/>
    <w:rsid w:val="00DC786C"/>
    <w:rsid w:val="00DC7B55"/>
    <w:rsid w:val="00DC7F0F"/>
    <w:rsid w:val="00DD00F5"/>
    <w:rsid w:val="00DD02AB"/>
    <w:rsid w:val="00DD0476"/>
    <w:rsid w:val="00DD0681"/>
    <w:rsid w:val="00DD0744"/>
    <w:rsid w:val="00DD0975"/>
    <w:rsid w:val="00DD0A7F"/>
    <w:rsid w:val="00DD0B00"/>
    <w:rsid w:val="00DD0C71"/>
    <w:rsid w:val="00DD0C8D"/>
    <w:rsid w:val="00DD0D60"/>
    <w:rsid w:val="00DD0EAE"/>
    <w:rsid w:val="00DD0EEC"/>
    <w:rsid w:val="00DD100A"/>
    <w:rsid w:val="00DD1022"/>
    <w:rsid w:val="00DD1139"/>
    <w:rsid w:val="00DD12EA"/>
    <w:rsid w:val="00DD185C"/>
    <w:rsid w:val="00DD18CE"/>
    <w:rsid w:val="00DD198B"/>
    <w:rsid w:val="00DD1C04"/>
    <w:rsid w:val="00DD1EC6"/>
    <w:rsid w:val="00DD1F33"/>
    <w:rsid w:val="00DD1F95"/>
    <w:rsid w:val="00DD1FAE"/>
    <w:rsid w:val="00DD2393"/>
    <w:rsid w:val="00DD254B"/>
    <w:rsid w:val="00DD2573"/>
    <w:rsid w:val="00DD258A"/>
    <w:rsid w:val="00DD2842"/>
    <w:rsid w:val="00DD28DC"/>
    <w:rsid w:val="00DD293C"/>
    <w:rsid w:val="00DD2964"/>
    <w:rsid w:val="00DD2A82"/>
    <w:rsid w:val="00DD2C62"/>
    <w:rsid w:val="00DD2E33"/>
    <w:rsid w:val="00DD2EB4"/>
    <w:rsid w:val="00DD2F14"/>
    <w:rsid w:val="00DD3195"/>
    <w:rsid w:val="00DD32C3"/>
    <w:rsid w:val="00DD338A"/>
    <w:rsid w:val="00DD3398"/>
    <w:rsid w:val="00DD35B5"/>
    <w:rsid w:val="00DD384D"/>
    <w:rsid w:val="00DD3A23"/>
    <w:rsid w:val="00DD3C7A"/>
    <w:rsid w:val="00DD3FEC"/>
    <w:rsid w:val="00DD40D0"/>
    <w:rsid w:val="00DD40DE"/>
    <w:rsid w:val="00DD4138"/>
    <w:rsid w:val="00DD4158"/>
    <w:rsid w:val="00DD420D"/>
    <w:rsid w:val="00DD4318"/>
    <w:rsid w:val="00DD4404"/>
    <w:rsid w:val="00DD4486"/>
    <w:rsid w:val="00DD4516"/>
    <w:rsid w:val="00DD45A5"/>
    <w:rsid w:val="00DD45BA"/>
    <w:rsid w:val="00DD4627"/>
    <w:rsid w:val="00DD478E"/>
    <w:rsid w:val="00DD48B9"/>
    <w:rsid w:val="00DD4C3B"/>
    <w:rsid w:val="00DD4D3B"/>
    <w:rsid w:val="00DD4F8E"/>
    <w:rsid w:val="00DD5112"/>
    <w:rsid w:val="00DD5113"/>
    <w:rsid w:val="00DD5207"/>
    <w:rsid w:val="00DD5649"/>
    <w:rsid w:val="00DD56A0"/>
    <w:rsid w:val="00DD5B6E"/>
    <w:rsid w:val="00DD5BB9"/>
    <w:rsid w:val="00DD5CFA"/>
    <w:rsid w:val="00DD608E"/>
    <w:rsid w:val="00DD6189"/>
    <w:rsid w:val="00DD625E"/>
    <w:rsid w:val="00DD64DB"/>
    <w:rsid w:val="00DD6982"/>
    <w:rsid w:val="00DD69AD"/>
    <w:rsid w:val="00DD6C15"/>
    <w:rsid w:val="00DD6C2E"/>
    <w:rsid w:val="00DD6CA0"/>
    <w:rsid w:val="00DD6CA1"/>
    <w:rsid w:val="00DD6D4B"/>
    <w:rsid w:val="00DD6E29"/>
    <w:rsid w:val="00DD6F21"/>
    <w:rsid w:val="00DD6FD6"/>
    <w:rsid w:val="00DD6FF7"/>
    <w:rsid w:val="00DD7126"/>
    <w:rsid w:val="00DD7140"/>
    <w:rsid w:val="00DD718C"/>
    <w:rsid w:val="00DD73E2"/>
    <w:rsid w:val="00DD7B12"/>
    <w:rsid w:val="00DD7B8A"/>
    <w:rsid w:val="00DD7BDA"/>
    <w:rsid w:val="00DD7BF6"/>
    <w:rsid w:val="00DD7CE4"/>
    <w:rsid w:val="00DD7D14"/>
    <w:rsid w:val="00DD7F4B"/>
    <w:rsid w:val="00DE00C8"/>
    <w:rsid w:val="00DE01DD"/>
    <w:rsid w:val="00DE024E"/>
    <w:rsid w:val="00DE0280"/>
    <w:rsid w:val="00DE03EF"/>
    <w:rsid w:val="00DE04E9"/>
    <w:rsid w:val="00DE0689"/>
    <w:rsid w:val="00DE08D2"/>
    <w:rsid w:val="00DE0A25"/>
    <w:rsid w:val="00DE0A4B"/>
    <w:rsid w:val="00DE0AAD"/>
    <w:rsid w:val="00DE0D88"/>
    <w:rsid w:val="00DE1041"/>
    <w:rsid w:val="00DE14D8"/>
    <w:rsid w:val="00DE16B2"/>
    <w:rsid w:val="00DE18F7"/>
    <w:rsid w:val="00DE18FC"/>
    <w:rsid w:val="00DE19BF"/>
    <w:rsid w:val="00DE1C04"/>
    <w:rsid w:val="00DE1E12"/>
    <w:rsid w:val="00DE224D"/>
    <w:rsid w:val="00DE2351"/>
    <w:rsid w:val="00DE243B"/>
    <w:rsid w:val="00DE2FFD"/>
    <w:rsid w:val="00DE300A"/>
    <w:rsid w:val="00DE31A4"/>
    <w:rsid w:val="00DE3228"/>
    <w:rsid w:val="00DE3537"/>
    <w:rsid w:val="00DE3677"/>
    <w:rsid w:val="00DE370E"/>
    <w:rsid w:val="00DE37BC"/>
    <w:rsid w:val="00DE3943"/>
    <w:rsid w:val="00DE3A0C"/>
    <w:rsid w:val="00DE3E7A"/>
    <w:rsid w:val="00DE4335"/>
    <w:rsid w:val="00DE43B8"/>
    <w:rsid w:val="00DE46B3"/>
    <w:rsid w:val="00DE4838"/>
    <w:rsid w:val="00DE4936"/>
    <w:rsid w:val="00DE4A9B"/>
    <w:rsid w:val="00DE4D12"/>
    <w:rsid w:val="00DE4D63"/>
    <w:rsid w:val="00DE4D95"/>
    <w:rsid w:val="00DE5084"/>
    <w:rsid w:val="00DE5161"/>
    <w:rsid w:val="00DE516C"/>
    <w:rsid w:val="00DE5236"/>
    <w:rsid w:val="00DE5334"/>
    <w:rsid w:val="00DE538A"/>
    <w:rsid w:val="00DE55C0"/>
    <w:rsid w:val="00DE55C5"/>
    <w:rsid w:val="00DE576B"/>
    <w:rsid w:val="00DE577B"/>
    <w:rsid w:val="00DE5814"/>
    <w:rsid w:val="00DE5840"/>
    <w:rsid w:val="00DE58EE"/>
    <w:rsid w:val="00DE5A82"/>
    <w:rsid w:val="00DE5D19"/>
    <w:rsid w:val="00DE604E"/>
    <w:rsid w:val="00DE61A1"/>
    <w:rsid w:val="00DE61A6"/>
    <w:rsid w:val="00DE65B2"/>
    <w:rsid w:val="00DE661C"/>
    <w:rsid w:val="00DE66DC"/>
    <w:rsid w:val="00DE670E"/>
    <w:rsid w:val="00DE6761"/>
    <w:rsid w:val="00DE69A0"/>
    <w:rsid w:val="00DE69EF"/>
    <w:rsid w:val="00DE6AD4"/>
    <w:rsid w:val="00DE6C2E"/>
    <w:rsid w:val="00DE7050"/>
    <w:rsid w:val="00DE71CB"/>
    <w:rsid w:val="00DE7424"/>
    <w:rsid w:val="00DE7566"/>
    <w:rsid w:val="00DE7767"/>
    <w:rsid w:val="00DE788D"/>
    <w:rsid w:val="00DE79CF"/>
    <w:rsid w:val="00DE7BA4"/>
    <w:rsid w:val="00DE7C11"/>
    <w:rsid w:val="00DE7ED2"/>
    <w:rsid w:val="00DE7F5C"/>
    <w:rsid w:val="00DF0010"/>
    <w:rsid w:val="00DF0398"/>
    <w:rsid w:val="00DF04CF"/>
    <w:rsid w:val="00DF062F"/>
    <w:rsid w:val="00DF0745"/>
    <w:rsid w:val="00DF09B8"/>
    <w:rsid w:val="00DF0BEC"/>
    <w:rsid w:val="00DF0D3B"/>
    <w:rsid w:val="00DF12A7"/>
    <w:rsid w:val="00DF139E"/>
    <w:rsid w:val="00DF14BB"/>
    <w:rsid w:val="00DF1743"/>
    <w:rsid w:val="00DF18F5"/>
    <w:rsid w:val="00DF1CD1"/>
    <w:rsid w:val="00DF1EFF"/>
    <w:rsid w:val="00DF200D"/>
    <w:rsid w:val="00DF2074"/>
    <w:rsid w:val="00DF20DC"/>
    <w:rsid w:val="00DF267C"/>
    <w:rsid w:val="00DF2709"/>
    <w:rsid w:val="00DF2738"/>
    <w:rsid w:val="00DF2856"/>
    <w:rsid w:val="00DF29C8"/>
    <w:rsid w:val="00DF2CD0"/>
    <w:rsid w:val="00DF3221"/>
    <w:rsid w:val="00DF332D"/>
    <w:rsid w:val="00DF33E9"/>
    <w:rsid w:val="00DF35BE"/>
    <w:rsid w:val="00DF35C2"/>
    <w:rsid w:val="00DF378B"/>
    <w:rsid w:val="00DF3812"/>
    <w:rsid w:val="00DF396D"/>
    <w:rsid w:val="00DF447A"/>
    <w:rsid w:val="00DF4577"/>
    <w:rsid w:val="00DF45D6"/>
    <w:rsid w:val="00DF46E1"/>
    <w:rsid w:val="00DF47B7"/>
    <w:rsid w:val="00DF494D"/>
    <w:rsid w:val="00DF4B29"/>
    <w:rsid w:val="00DF4C2A"/>
    <w:rsid w:val="00DF4DC9"/>
    <w:rsid w:val="00DF4F0B"/>
    <w:rsid w:val="00DF4F5E"/>
    <w:rsid w:val="00DF5008"/>
    <w:rsid w:val="00DF504D"/>
    <w:rsid w:val="00DF52B4"/>
    <w:rsid w:val="00DF5338"/>
    <w:rsid w:val="00DF5360"/>
    <w:rsid w:val="00DF543B"/>
    <w:rsid w:val="00DF5671"/>
    <w:rsid w:val="00DF5B5D"/>
    <w:rsid w:val="00DF5B63"/>
    <w:rsid w:val="00DF5DC7"/>
    <w:rsid w:val="00DF602C"/>
    <w:rsid w:val="00DF60B8"/>
    <w:rsid w:val="00DF612F"/>
    <w:rsid w:val="00DF6318"/>
    <w:rsid w:val="00DF6405"/>
    <w:rsid w:val="00DF6457"/>
    <w:rsid w:val="00DF64A3"/>
    <w:rsid w:val="00DF65B1"/>
    <w:rsid w:val="00DF6642"/>
    <w:rsid w:val="00DF6887"/>
    <w:rsid w:val="00DF6C62"/>
    <w:rsid w:val="00DF6E39"/>
    <w:rsid w:val="00DF6E50"/>
    <w:rsid w:val="00DF6EB3"/>
    <w:rsid w:val="00DF6F8E"/>
    <w:rsid w:val="00DF7142"/>
    <w:rsid w:val="00DF7340"/>
    <w:rsid w:val="00DF73E8"/>
    <w:rsid w:val="00DF79B8"/>
    <w:rsid w:val="00DF7BA9"/>
    <w:rsid w:val="00DF7FFC"/>
    <w:rsid w:val="00E002B6"/>
    <w:rsid w:val="00E0031C"/>
    <w:rsid w:val="00E0042D"/>
    <w:rsid w:val="00E00461"/>
    <w:rsid w:val="00E006CE"/>
    <w:rsid w:val="00E008D3"/>
    <w:rsid w:val="00E0096B"/>
    <w:rsid w:val="00E00A5E"/>
    <w:rsid w:val="00E00D8B"/>
    <w:rsid w:val="00E00EF2"/>
    <w:rsid w:val="00E00F78"/>
    <w:rsid w:val="00E013FA"/>
    <w:rsid w:val="00E0144E"/>
    <w:rsid w:val="00E01453"/>
    <w:rsid w:val="00E01517"/>
    <w:rsid w:val="00E015D2"/>
    <w:rsid w:val="00E017E7"/>
    <w:rsid w:val="00E01A9E"/>
    <w:rsid w:val="00E01D0F"/>
    <w:rsid w:val="00E01E76"/>
    <w:rsid w:val="00E01FC1"/>
    <w:rsid w:val="00E02062"/>
    <w:rsid w:val="00E022C7"/>
    <w:rsid w:val="00E023C7"/>
    <w:rsid w:val="00E023ED"/>
    <w:rsid w:val="00E024CF"/>
    <w:rsid w:val="00E02A81"/>
    <w:rsid w:val="00E02BE5"/>
    <w:rsid w:val="00E02BE7"/>
    <w:rsid w:val="00E02C5F"/>
    <w:rsid w:val="00E02E5F"/>
    <w:rsid w:val="00E02FFB"/>
    <w:rsid w:val="00E0319D"/>
    <w:rsid w:val="00E0326D"/>
    <w:rsid w:val="00E0332F"/>
    <w:rsid w:val="00E033F3"/>
    <w:rsid w:val="00E0391C"/>
    <w:rsid w:val="00E03C3F"/>
    <w:rsid w:val="00E03D24"/>
    <w:rsid w:val="00E03D45"/>
    <w:rsid w:val="00E03F7C"/>
    <w:rsid w:val="00E03FC2"/>
    <w:rsid w:val="00E03FE1"/>
    <w:rsid w:val="00E04020"/>
    <w:rsid w:val="00E04171"/>
    <w:rsid w:val="00E0428E"/>
    <w:rsid w:val="00E042A3"/>
    <w:rsid w:val="00E045D1"/>
    <w:rsid w:val="00E0464E"/>
    <w:rsid w:val="00E0491E"/>
    <w:rsid w:val="00E04953"/>
    <w:rsid w:val="00E04A8F"/>
    <w:rsid w:val="00E04B60"/>
    <w:rsid w:val="00E05227"/>
    <w:rsid w:val="00E0534C"/>
    <w:rsid w:val="00E05566"/>
    <w:rsid w:val="00E0558E"/>
    <w:rsid w:val="00E055AC"/>
    <w:rsid w:val="00E0563B"/>
    <w:rsid w:val="00E0568C"/>
    <w:rsid w:val="00E05781"/>
    <w:rsid w:val="00E05788"/>
    <w:rsid w:val="00E05886"/>
    <w:rsid w:val="00E05900"/>
    <w:rsid w:val="00E05942"/>
    <w:rsid w:val="00E05987"/>
    <w:rsid w:val="00E0599E"/>
    <w:rsid w:val="00E059D5"/>
    <w:rsid w:val="00E05FFF"/>
    <w:rsid w:val="00E06234"/>
    <w:rsid w:val="00E06473"/>
    <w:rsid w:val="00E0648E"/>
    <w:rsid w:val="00E0662F"/>
    <w:rsid w:val="00E06666"/>
    <w:rsid w:val="00E06862"/>
    <w:rsid w:val="00E06909"/>
    <w:rsid w:val="00E0694B"/>
    <w:rsid w:val="00E06AAD"/>
    <w:rsid w:val="00E06AC6"/>
    <w:rsid w:val="00E06CE5"/>
    <w:rsid w:val="00E06FCB"/>
    <w:rsid w:val="00E0744C"/>
    <w:rsid w:val="00E074FA"/>
    <w:rsid w:val="00E07684"/>
    <w:rsid w:val="00E076BE"/>
    <w:rsid w:val="00E07771"/>
    <w:rsid w:val="00E07774"/>
    <w:rsid w:val="00E07A4B"/>
    <w:rsid w:val="00E07AC9"/>
    <w:rsid w:val="00E07E31"/>
    <w:rsid w:val="00E07E53"/>
    <w:rsid w:val="00E07E88"/>
    <w:rsid w:val="00E07EA5"/>
    <w:rsid w:val="00E07F1E"/>
    <w:rsid w:val="00E10015"/>
    <w:rsid w:val="00E10020"/>
    <w:rsid w:val="00E1020B"/>
    <w:rsid w:val="00E1021A"/>
    <w:rsid w:val="00E1024E"/>
    <w:rsid w:val="00E10576"/>
    <w:rsid w:val="00E108F8"/>
    <w:rsid w:val="00E10ACF"/>
    <w:rsid w:val="00E10ED6"/>
    <w:rsid w:val="00E1101A"/>
    <w:rsid w:val="00E1111E"/>
    <w:rsid w:val="00E1144E"/>
    <w:rsid w:val="00E114BD"/>
    <w:rsid w:val="00E11663"/>
    <w:rsid w:val="00E1166B"/>
    <w:rsid w:val="00E116D3"/>
    <w:rsid w:val="00E116DC"/>
    <w:rsid w:val="00E11741"/>
    <w:rsid w:val="00E1177A"/>
    <w:rsid w:val="00E11817"/>
    <w:rsid w:val="00E1192C"/>
    <w:rsid w:val="00E11C60"/>
    <w:rsid w:val="00E11D6E"/>
    <w:rsid w:val="00E11F37"/>
    <w:rsid w:val="00E12406"/>
    <w:rsid w:val="00E125DE"/>
    <w:rsid w:val="00E12652"/>
    <w:rsid w:val="00E12850"/>
    <w:rsid w:val="00E12986"/>
    <w:rsid w:val="00E12A0D"/>
    <w:rsid w:val="00E12B87"/>
    <w:rsid w:val="00E12BF9"/>
    <w:rsid w:val="00E133C4"/>
    <w:rsid w:val="00E136AC"/>
    <w:rsid w:val="00E1384A"/>
    <w:rsid w:val="00E13A01"/>
    <w:rsid w:val="00E13E2A"/>
    <w:rsid w:val="00E13FF4"/>
    <w:rsid w:val="00E140D9"/>
    <w:rsid w:val="00E14131"/>
    <w:rsid w:val="00E14170"/>
    <w:rsid w:val="00E1422C"/>
    <w:rsid w:val="00E144C6"/>
    <w:rsid w:val="00E1466C"/>
    <w:rsid w:val="00E14729"/>
    <w:rsid w:val="00E149F5"/>
    <w:rsid w:val="00E14A2A"/>
    <w:rsid w:val="00E14AB8"/>
    <w:rsid w:val="00E14B08"/>
    <w:rsid w:val="00E14C5D"/>
    <w:rsid w:val="00E14D6C"/>
    <w:rsid w:val="00E15032"/>
    <w:rsid w:val="00E1533F"/>
    <w:rsid w:val="00E15407"/>
    <w:rsid w:val="00E15661"/>
    <w:rsid w:val="00E15680"/>
    <w:rsid w:val="00E157EB"/>
    <w:rsid w:val="00E15B9A"/>
    <w:rsid w:val="00E15CC7"/>
    <w:rsid w:val="00E15F1A"/>
    <w:rsid w:val="00E15F56"/>
    <w:rsid w:val="00E15FD1"/>
    <w:rsid w:val="00E162FB"/>
    <w:rsid w:val="00E164FB"/>
    <w:rsid w:val="00E165E8"/>
    <w:rsid w:val="00E16661"/>
    <w:rsid w:val="00E16981"/>
    <w:rsid w:val="00E16A5F"/>
    <w:rsid w:val="00E16BAF"/>
    <w:rsid w:val="00E16BBA"/>
    <w:rsid w:val="00E16DD9"/>
    <w:rsid w:val="00E17060"/>
    <w:rsid w:val="00E1728E"/>
    <w:rsid w:val="00E17934"/>
    <w:rsid w:val="00E17F58"/>
    <w:rsid w:val="00E2008D"/>
    <w:rsid w:val="00E202D6"/>
    <w:rsid w:val="00E20619"/>
    <w:rsid w:val="00E20717"/>
    <w:rsid w:val="00E20767"/>
    <w:rsid w:val="00E20EFB"/>
    <w:rsid w:val="00E21074"/>
    <w:rsid w:val="00E2114E"/>
    <w:rsid w:val="00E211A7"/>
    <w:rsid w:val="00E2122D"/>
    <w:rsid w:val="00E2149A"/>
    <w:rsid w:val="00E21522"/>
    <w:rsid w:val="00E2167B"/>
    <w:rsid w:val="00E21B02"/>
    <w:rsid w:val="00E21CD4"/>
    <w:rsid w:val="00E21EFF"/>
    <w:rsid w:val="00E21F2B"/>
    <w:rsid w:val="00E21F81"/>
    <w:rsid w:val="00E21F8C"/>
    <w:rsid w:val="00E21FCB"/>
    <w:rsid w:val="00E22016"/>
    <w:rsid w:val="00E2263E"/>
    <w:rsid w:val="00E226DD"/>
    <w:rsid w:val="00E22851"/>
    <w:rsid w:val="00E2286E"/>
    <w:rsid w:val="00E228BF"/>
    <w:rsid w:val="00E22E55"/>
    <w:rsid w:val="00E22E87"/>
    <w:rsid w:val="00E22F03"/>
    <w:rsid w:val="00E23270"/>
    <w:rsid w:val="00E2329B"/>
    <w:rsid w:val="00E232D3"/>
    <w:rsid w:val="00E233D2"/>
    <w:rsid w:val="00E2343A"/>
    <w:rsid w:val="00E239BA"/>
    <w:rsid w:val="00E239E5"/>
    <w:rsid w:val="00E23B04"/>
    <w:rsid w:val="00E23ECA"/>
    <w:rsid w:val="00E23F37"/>
    <w:rsid w:val="00E23F97"/>
    <w:rsid w:val="00E23FEE"/>
    <w:rsid w:val="00E24005"/>
    <w:rsid w:val="00E240DB"/>
    <w:rsid w:val="00E241B6"/>
    <w:rsid w:val="00E242AC"/>
    <w:rsid w:val="00E244A7"/>
    <w:rsid w:val="00E2451C"/>
    <w:rsid w:val="00E2462F"/>
    <w:rsid w:val="00E246A2"/>
    <w:rsid w:val="00E248A4"/>
    <w:rsid w:val="00E24976"/>
    <w:rsid w:val="00E24A3D"/>
    <w:rsid w:val="00E24AEF"/>
    <w:rsid w:val="00E24C24"/>
    <w:rsid w:val="00E24D57"/>
    <w:rsid w:val="00E24DAF"/>
    <w:rsid w:val="00E24E06"/>
    <w:rsid w:val="00E24F00"/>
    <w:rsid w:val="00E25164"/>
    <w:rsid w:val="00E2551F"/>
    <w:rsid w:val="00E257E3"/>
    <w:rsid w:val="00E259F3"/>
    <w:rsid w:val="00E25B65"/>
    <w:rsid w:val="00E25BF8"/>
    <w:rsid w:val="00E25DF0"/>
    <w:rsid w:val="00E25EC8"/>
    <w:rsid w:val="00E260F8"/>
    <w:rsid w:val="00E2616E"/>
    <w:rsid w:val="00E26305"/>
    <w:rsid w:val="00E26421"/>
    <w:rsid w:val="00E26677"/>
    <w:rsid w:val="00E266EB"/>
    <w:rsid w:val="00E2676F"/>
    <w:rsid w:val="00E26872"/>
    <w:rsid w:val="00E26B7B"/>
    <w:rsid w:val="00E26C31"/>
    <w:rsid w:val="00E26E38"/>
    <w:rsid w:val="00E26EA6"/>
    <w:rsid w:val="00E26FE8"/>
    <w:rsid w:val="00E2701E"/>
    <w:rsid w:val="00E2707D"/>
    <w:rsid w:val="00E27275"/>
    <w:rsid w:val="00E27674"/>
    <w:rsid w:val="00E2785D"/>
    <w:rsid w:val="00E27976"/>
    <w:rsid w:val="00E279EE"/>
    <w:rsid w:val="00E27A52"/>
    <w:rsid w:val="00E27D94"/>
    <w:rsid w:val="00E27EAA"/>
    <w:rsid w:val="00E30020"/>
    <w:rsid w:val="00E3015F"/>
    <w:rsid w:val="00E3016C"/>
    <w:rsid w:val="00E30231"/>
    <w:rsid w:val="00E3043C"/>
    <w:rsid w:val="00E304E5"/>
    <w:rsid w:val="00E3071F"/>
    <w:rsid w:val="00E307D3"/>
    <w:rsid w:val="00E308B8"/>
    <w:rsid w:val="00E308BE"/>
    <w:rsid w:val="00E30C24"/>
    <w:rsid w:val="00E30D8E"/>
    <w:rsid w:val="00E30E9A"/>
    <w:rsid w:val="00E30EE0"/>
    <w:rsid w:val="00E30F50"/>
    <w:rsid w:val="00E310B8"/>
    <w:rsid w:val="00E31116"/>
    <w:rsid w:val="00E311ED"/>
    <w:rsid w:val="00E312F6"/>
    <w:rsid w:val="00E316B5"/>
    <w:rsid w:val="00E317C5"/>
    <w:rsid w:val="00E3189F"/>
    <w:rsid w:val="00E3198A"/>
    <w:rsid w:val="00E31A74"/>
    <w:rsid w:val="00E31B39"/>
    <w:rsid w:val="00E31F9F"/>
    <w:rsid w:val="00E32105"/>
    <w:rsid w:val="00E32180"/>
    <w:rsid w:val="00E32212"/>
    <w:rsid w:val="00E323D7"/>
    <w:rsid w:val="00E32514"/>
    <w:rsid w:val="00E32579"/>
    <w:rsid w:val="00E326A0"/>
    <w:rsid w:val="00E32980"/>
    <w:rsid w:val="00E32C1C"/>
    <w:rsid w:val="00E32C95"/>
    <w:rsid w:val="00E32D41"/>
    <w:rsid w:val="00E32D5A"/>
    <w:rsid w:val="00E32DF1"/>
    <w:rsid w:val="00E33466"/>
    <w:rsid w:val="00E33497"/>
    <w:rsid w:val="00E33561"/>
    <w:rsid w:val="00E336AD"/>
    <w:rsid w:val="00E33741"/>
    <w:rsid w:val="00E33943"/>
    <w:rsid w:val="00E33C24"/>
    <w:rsid w:val="00E33D14"/>
    <w:rsid w:val="00E33EE3"/>
    <w:rsid w:val="00E33F62"/>
    <w:rsid w:val="00E33F85"/>
    <w:rsid w:val="00E34084"/>
    <w:rsid w:val="00E341A1"/>
    <w:rsid w:val="00E34337"/>
    <w:rsid w:val="00E34718"/>
    <w:rsid w:val="00E34903"/>
    <w:rsid w:val="00E34A96"/>
    <w:rsid w:val="00E34B52"/>
    <w:rsid w:val="00E34BAA"/>
    <w:rsid w:val="00E34D97"/>
    <w:rsid w:val="00E34E80"/>
    <w:rsid w:val="00E34EC2"/>
    <w:rsid w:val="00E35353"/>
    <w:rsid w:val="00E3543C"/>
    <w:rsid w:val="00E35469"/>
    <w:rsid w:val="00E356F4"/>
    <w:rsid w:val="00E357FC"/>
    <w:rsid w:val="00E35896"/>
    <w:rsid w:val="00E35976"/>
    <w:rsid w:val="00E35A10"/>
    <w:rsid w:val="00E35C0B"/>
    <w:rsid w:val="00E36279"/>
    <w:rsid w:val="00E36367"/>
    <w:rsid w:val="00E36523"/>
    <w:rsid w:val="00E367C0"/>
    <w:rsid w:val="00E36880"/>
    <w:rsid w:val="00E36901"/>
    <w:rsid w:val="00E369BC"/>
    <w:rsid w:val="00E36B7C"/>
    <w:rsid w:val="00E36CA7"/>
    <w:rsid w:val="00E37211"/>
    <w:rsid w:val="00E37212"/>
    <w:rsid w:val="00E3726F"/>
    <w:rsid w:val="00E37390"/>
    <w:rsid w:val="00E37617"/>
    <w:rsid w:val="00E3765C"/>
    <w:rsid w:val="00E3777F"/>
    <w:rsid w:val="00E37936"/>
    <w:rsid w:val="00E379F9"/>
    <w:rsid w:val="00E37B4C"/>
    <w:rsid w:val="00E37C27"/>
    <w:rsid w:val="00E37CF7"/>
    <w:rsid w:val="00E37DFF"/>
    <w:rsid w:val="00E4011C"/>
    <w:rsid w:val="00E4029C"/>
    <w:rsid w:val="00E40502"/>
    <w:rsid w:val="00E4079C"/>
    <w:rsid w:val="00E4084E"/>
    <w:rsid w:val="00E40851"/>
    <w:rsid w:val="00E409B1"/>
    <w:rsid w:val="00E40B70"/>
    <w:rsid w:val="00E40B87"/>
    <w:rsid w:val="00E40C62"/>
    <w:rsid w:val="00E40CCA"/>
    <w:rsid w:val="00E40CEB"/>
    <w:rsid w:val="00E40E9A"/>
    <w:rsid w:val="00E40F13"/>
    <w:rsid w:val="00E411E3"/>
    <w:rsid w:val="00E41242"/>
    <w:rsid w:val="00E412A9"/>
    <w:rsid w:val="00E4133E"/>
    <w:rsid w:val="00E41358"/>
    <w:rsid w:val="00E41A49"/>
    <w:rsid w:val="00E41C1B"/>
    <w:rsid w:val="00E41CA8"/>
    <w:rsid w:val="00E42248"/>
    <w:rsid w:val="00E42288"/>
    <w:rsid w:val="00E4235B"/>
    <w:rsid w:val="00E4237D"/>
    <w:rsid w:val="00E42632"/>
    <w:rsid w:val="00E428CE"/>
    <w:rsid w:val="00E428F2"/>
    <w:rsid w:val="00E42A08"/>
    <w:rsid w:val="00E42F92"/>
    <w:rsid w:val="00E43014"/>
    <w:rsid w:val="00E4331A"/>
    <w:rsid w:val="00E43478"/>
    <w:rsid w:val="00E434E0"/>
    <w:rsid w:val="00E4384B"/>
    <w:rsid w:val="00E43A1F"/>
    <w:rsid w:val="00E43F1E"/>
    <w:rsid w:val="00E43F61"/>
    <w:rsid w:val="00E43FBE"/>
    <w:rsid w:val="00E442DD"/>
    <w:rsid w:val="00E44521"/>
    <w:rsid w:val="00E4466B"/>
    <w:rsid w:val="00E44739"/>
    <w:rsid w:val="00E4480F"/>
    <w:rsid w:val="00E44870"/>
    <w:rsid w:val="00E449DF"/>
    <w:rsid w:val="00E44AF6"/>
    <w:rsid w:val="00E44CE7"/>
    <w:rsid w:val="00E44DB8"/>
    <w:rsid w:val="00E44E14"/>
    <w:rsid w:val="00E44F83"/>
    <w:rsid w:val="00E450B2"/>
    <w:rsid w:val="00E451AB"/>
    <w:rsid w:val="00E45343"/>
    <w:rsid w:val="00E453B3"/>
    <w:rsid w:val="00E4558A"/>
    <w:rsid w:val="00E457ED"/>
    <w:rsid w:val="00E459C0"/>
    <w:rsid w:val="00E45AD9"/>
    <w:rsid w:val="00E4609F"/>
    <w:rsid w:val="00E46175"/>
    <w:rsid w:val="00E463E1"/>
    <w:rsid w:val="00E4683A"/>
    <w:rsid w:val="00E46910"/>
    <w:rsid w:val="00E46AC2"/>
    <w:rsid w:val="00E46BC5"/>
    <w:rsid w:val="00E46C46"/>
    <w:rsid w:val="00E46EA4"/>
    <w:rsid w:val="00E46FEA"/>
    <w:rsid w:val="00E4720A"/>
    <w:rsid w:val="00E4736D"/>
    <w:rsid w:val="00E4745F"/>
    <w:rsid w:val="00E475BE"/>
    <w:rsid w:val="00E47933"/>
    <w:rsid w:val="00E503AF"/>
    <w:rsid w:val="00E50416"/>
    <w:rsid w:val="00E50761"/>
    <w:rsid w:val="00E5077F"/>
    <w:rsid w:val="00E50A03"/>
    <w:rsid w:val="00E50AD8"/>
    <w:rsid w:val="00E50C27"/>
    <w:rsid w:val="00E50E34"/>
    <w:rsid w:val="00E50EC2"/>
    <w:rsid w:val="00E5104A"/>
    <w:rsid w:val="00E510B5"/>
    <w:rsid w:val="00E51286"/>
    <w:rsid w:val="00E51300"/>
    <w:rsid w:val="00E513FE"/>
    <w:rsid w:val="00E516AB"/>
    <w:rsid w:val="00E51741"/>
    <w:rsid w:val="00E51A5F"/>
    <w:rsid w:val="00E51FEF"/>
    <w:rsid w:val="00E520FF"/>
    <w:rsid w:val="00E521DA"/>
    <w:rsid w:val="00E528E2"/>
    <w:rsid w:val="00E52950"/>
    <w:rsid w:val="00E529D7"/>
    <w:rsid w:val="00E529FE"/>
    <w:rsid w:val="00E52D53"/>
    <w:rsid w:val="00E52DAF"/>
    <w:rsid w:val="00E52E49"/>
    <w:rsid w:val="00E531EF"/>
    <w:rsid w:val="00E53209"/>
    <w:rsid w:val="00E5352D"/>
    <w:rsid w:val="00E535EE"/>
    <w:rsid w:val="00E53648"/>
    <w:rsid w:val="00E53758"/>
    <w:rsid w:val="00E537D3"/>
    <w:rsid w:val="00E53895"/>
    <w:rsid w:val="00E53B9C"/>
    <w:rsid w:val="00E53CC3"/>
    <w:rsid w:val="00E53F6D"/>
    <w:rsid w:val="00E53FAA"/>
    <w:rsid w:val="00E540AB"/>
    <w:rsid w:val="00E54208"/>
    <w:rsid w:val="00E542A8"/>
    <w:rsid w:val="00E54667"/>
    <w:rsid w:val="00E5473E"/>
    <w:rsid w:val="00E54762"/>
    <w:rsid w:val="00E54988"/>
    <w:rsid w:val="00E54BD7"/>
    <w:rsid w:val="00E54C0E"/>
    <w:rsid w:val="00E54D03"/>
    <w:rsid w:val="00E54D81"/>
    <w:rsid w:val="00E55057"/>
    <w:rsid w:val="00E5518B"/>
    <w:rsid w:val="00E55459"/>
    <w:rsid w:val="00E55574"/>
    <w:rsid w:val="00E557B0"/>
    <w:rsid w:val="00E557C3"/>
    <w:rsid w:val="00E55967"/>
    <w:rsid w:val="00E559D8"/>
    <w:rsid w:val="00E55A6E"/>
    <w:rsid w:val="00E55D27"/>
    <w:rsid w:val="00E55FEC"/>
    <w:rsid w:val="00E56316"/>
    <w:rsid w:val="00E569CE"/>
    <w:rsid w:val="00E56A7F"/>
    <w:rsid w:val="00E56B2C"/>
    <w:rsid w:val="00E56B64"/>
    <w:rsid w:val="00E56C8D"/>
    <w:rsid w:val="00E56E73"/>
    <w:rsid w:val="00E56E75"/>
    <w:rsid w:val="00E5710D"/>
    <w:rsid w:val="00E5714F"/>
    <w:rsid w:val="00E574A2"/>
    <w:rsid w:val="00E57506"/>
    <w:rsid w:val="00E576D8"/>
    <w:rsid w:val="00E5776F"/>
    <w:rsid w:val="00E57CCC"/>
    <w:rsid w:val="00E57FE4"/>
    <w:rsid w:val="00E600C1"/>
    <w:rsid w:val="00E601F1"/>
    <w:rsid w:val="00E60264"/>
    <w:rsid w:val="00E60538"/>
    <w:rsid w:val="00E60698"/>
    <w:rsid w:val="00E607D7"/>
    <w:rsid w:val="00E60905"/>
    <w:rsid w:val="00E609A3"/>
    <w:rsid w:val="00E609B2"/>
    <w:rsid w:val="00E60A0A"/>
    <w:rsid w:val="00E60C1A"/>
    <w:rsid w:val="00E60DD2"/>
    <w:rsid w:val="00E60DDC"/>
    <w:rsid w:val="00E61020"/>
    <w:rsid w:val="00E6113E"/>
    <w:rsid w:val="00E611C7"/>
    <w:rsid w:val="00E61238"/>
    <w:rsid w:val="00E61961"/>
    <w:rsid w:val="00E61C07"/>
    <w:rsid w:val="00E61CEC"/>
    <w:rsid w:val="00E61D6D"/>
    <w:rsid w:val="00E61EAF"/>
    <w:rsid w:val="00E61EFE"/>
    <w:rsid w:val="00E6210C"/>
    <w:rsid w:val="00E62201"/>
    <w:rsid w:val="00E625AB"/>
    <w:rsid w:val="00E6272B"/>
    <w:rsid w:val="00E62775"/>
    <w:rsid w:val="00E627BA"/>
    <w:rsid w:val="00E62826"/>
    <w:rsid w:val="00E62B45"/>
    <w:rsid w:val="00E62B89"/>
    <w:rsid w:val="00E62E37"/>
    <w:rsid w:val="00E62F67"/>
    <w:rsid w:val="00E62FAD"/>
    <w:rsid w:val="00E62FC4"/>
    <w:rsid w:val="00E63048"/>
    <w:rsid w:val="00E630BF"/>
    <w:rsid w:val="00E630EB"/>
    <w:rsid w:val="00E6315A"/>
    <w:rsid w:val="00E631C5"/>
    <w:rsid w:val="00E631C8"/>
    <w:rsid w:val="00E63271"/>
    <w:rsid w:val="00E63631"/>
    <w:rsid w:val="00E6363D"/>
    <w:rsid w:val="00E63785"/>
    <w:rsid w:val="00E639C6"/>
    <w:rsid w:val="00E639F1"/>
    <w:rsid w:val="00E63A0C"/>
    <w:rsid w:val="00E63A1A"/>
    <w:rsid w:val="00E63B30"/>
    <w:rsid w:val="00E63BDD"/>
    <w:rsid w:val="00E63C19"/>
    <w:rsid w:val="00E63D1E"/>
    <w:rsid w:val="00E63E2B"/>
    <w:rsid w:val="00E6420D"/>
    <w:rsid w:val="00E642A4"/>
    <w:rsid w:val="00E6447D"/>
    <w:rsid w:val="00E644FA"/>
    <w:rsid w:val="00E64537"/>
    <w:rsid w:val="00E6477E"/>
    <w:rsid w:val="00E64835"/>
    <w:rsid w:val="00E64881"/>
    <w:rsid w:val="00E6497F"/>
    <w:rsid w:val="00E64C18"/>
    <w:rsid w:val="00E64F0D"/>
    <w:rsid w:val="00E650F1"/>
    <w:rsid w:val="00E65268"/>
    <w:rsid w:val="00E652BD"/>
    <w:rsid w:val="00E654AE"/>
    <w:rsid w:val="00E6557B"/>
    <w:rsid w:val="00E6563A"/>
    <w:rsid w:val="00E656DA"/>
    <w:rsid w:val="00E65853"/>
    <w:rsid w:val="00E65D9C"/>
    <w:rsid w:val="00E65DB6"/>
    <w:rsid w:val="00E65E24"/>
    <w:rsid w:val="00E65F17"/>
    <w:rsid w:val="00E66036"/>
    <w:rsid w:val="00E6614C"/>
    <w:rsid w:val="00E661C9"/>
    <w:rsid w:val="00E6670C"/>
    <w:rsid w:val="00E66979"/>
    <w:rsid w:val="00E669E6"/>
    <w:rsid w:val="00E66B7E"/>
    <w:rsid w:val="00E66C0B"/>
    <w:rsid w:val="00E66C35"/>
    <w:rsid w:val="00E66C7D"/>
    <w:rsid w:val="00E66F71"/>
    <w:rsid w:val="00E671A0"/>
    <w:rsid w:val="00E6744B"/>
    <w:rsid w:val="00E677FF"/>
    <w:rsid w:val="00E67939"/>
    <w:rsid w:val="00E67D76"/>
    <w:rsid w:val="00E67DDF"/>
    <w:rsid w:val="00E67F24"/>
    <w:rsid w:val="00E701B8"/>
    <w:rsid w:val="00E70244"/>
    <w:rsid w:val="00E702BC"/>
    <w:rsid w:val="00E7034B"/>
    <w:rsid w:val="00E705E6"/>
    <w:rsid w:val="00E709DC"/>
    <w:rsid w:val="00E70A1C"/>
    <w:rsid w:val="00E70CAA"/>
    <w:rsid w:val="00E70D3B"/>
    <w:rsid w:val="00E70E27"/>
    <w:rsid w:val="00E714E0"/>
    <w:rsid w:val="00E71596"/>
    <w:rsid w:val="00E716FA"/>
    <w:rsid w:val="00E71861"/>
    <w:rsid w:val="00E71A03"/>
    <w:rsid w:val="00E71BCE"/>
    <w:rsid w:val="00E71D96"/>
    <w:rsid w:val="00E72042"/>
    <w:rsid w:val="00E72187"/>
    <w:rsid w:val="00E721E2"/>
    <w:rsid w:val="00E723DA"/>
    <w:rsid w:val="00E725E2"/>
    <w:rsid w:val="00E72657"/>
    <w:rsid w:val="00E72724"/>
    <w:rsid w:val="00E7299E"/>
    <w:rsid w:val="00E729A9"/>
    <w:rsid w:val="00E72CAE"/>
    <w:rsid w:val="00E72E40"/>
    <w:rsid w:val="00E72EB9"/>
    <w:rsid w:val="00E730F2"/>
    <w:rsid w:val="00E736C0"/>
    <w:rsid w:val="00E73AAB"/>
    <w:rsid w:val="00E73C5E"/>
    <w:rsid w:val="00E7404F"/>
    <w:rsid w:val="00E741E2"/>
    <w:rsid w:val="00E741F7"/>
    <w:rsid w:val="00E74208"/>
    <w:rsid w:val="00E744D2"/>
    <w:rsid w:val="00E74951"/>
    <w:rsid w:val="00E74BF6"/>
    <w:rsid w:val="00E74D1A"/>
    <w:rsid w:val="00E74F56"/>
    <w:rsid w:val="00E750AE"/>
    <w:rsid w:val="00E75291"/>
    <w:rsid w:val="00E7552E"/>
    <w:rsid w:val="00E75540"/>
    <w:rsid w:val="00E75697"/>
    <w:rsid w:val="00E758A0"/>
    <w:rsid w:val="00E75AA7"/>
    <w:rsid w:val="00E75C37"/>
    <w:rsid w:val="00E7619C"/>
    <w:rsid w:val="00E762EC"/>
    <w:rsid w:val="00E76AD3"/>
    <w:rsid w:val="00E76DFA"/>
    <w:rsid w:val="00E77104"/>
    <w:rsid w:val="00E7727A"/>
    <w:rsid w:val="00E772B0"/>
    <w:rsid w:val="00E77423"/>
    <w:rsid w:val="00E77493"/>
    <w:rsid w:val="00E774BF"/>
    <w:rsid w:val="00E77646"/>
    <w:rsid w:val="00E77690"/>
    <w:rsid w:val="00E77918"/>
    <w:rsid w:val="00E7791D"/>
    <w:rsid w:val="00E779B9"/>
    <w:rsid w:val="00E77AEF"/>
    <w:rsid w:val="00E77AF5"/>
    <w:rsid w:val="00E77C0E"/>
    <w:rsid w:val="00E77DEF"/>
    <w:rsid w:val="00E77E1B"/>
    <w:rsid w:val="00E80088"/>
    <w:rsid w:val="00E8019B"/>
    <w:rsid w:val="00E80477"/>
    <w:rsid w:val="00E806B0"/>
    <w:rsid w:val="00E809E8"/>
    <w:rsid w:val="00E80B26"/>
    <w:rsid w:val="00E8114E"/>
    <w:rsid w:val="00E8117C"/>
    <w:rsid w:val="00E811D7"/>
    <w:rsid w:val="00E8126F"/>
    <w:rsid w:val="00E815C2"/>
    <w:rsid w:val="00E816A8"/>
    <w:rsid w:val="00E816BB"/>
    <w:rsid w:val="00E81746"/>
    <w:rsid w:val="00E817FE"/>
    <w:rsid w:val="00E8196D"/>
    <w:rsid w:val="00E81A3F"/>
    <w:rsid w:val="00E81D40"/>
    <w:rsid w:val="00E81F37"/>
    <w:rsid w:val="00E82137"/>
    <w:rsid w:val="00E82307"/>
    <w:rsid w:val="00E824EA"/>
    <w:rsid w:val="00E82606"/>
    <w:rsid w:val="00E8264F"/>
    <w:rsid w:val="00E82762"/>
    <w:rsid w:val="00E827F9"/>
    <w:rsid w:val="00E82AAE"/>
    <w:rsid w:val="00E82B43"/>
    <w:rsid w:val="00E82E2A"/>
    <w:rsid w:val="00E830C8"/>
    <w:rsid w:val="00E833E0"/>
    <w:rsid w:val="00E834D9"/>
    <w:rsid w:val="00E83510"/>
    <w:rsid w:val="00E83585"/>
    <w:rsid w:val="00E83964"/>
    <w:rsid w:val="00E83D9C"/>
    <w:rsid w:val="00E83F15"/>
    <w:rsid w:val="00E83F58"/>
    <w:rsid w:val="00E8444E"/>
    <w:rsid w:val="00E84550"/>
    <w:rsid w:val="00E84674"/>
    <w:rsid w:val="00E84904"/>
    <w:rsid w:val="00E849E5"/>
    <w:rsid w:val="00E84A53"/>
    <w:rsid w:val="00E84C0F"/>
    <w:rsid w:val="00E84D67"/>
    <w:rsid w:val="00E8500A"/>
    <w:rsid w:val="00E8504B"/>
    <w:rsid w:val="00E85505"/>
    <w:rsid w:val="00E855A6"/>
    <w:rsid w:val="00E85729"/>
    <w:rsid w:val="00E85912"/>
    <w:rsid w:val="00E85A46"/>
    <w:rsid w:val="00E85BC4"/>
    <w:rsid w:val="00E85C2D"/>
    <w:rsid w:val="00E85DE6"/>
    <w:rsid w:val="00E85E14"/>
    <w:rsid w:val="00E8619F"/>
    <w:rsid w:val="00E86439"/>
    <w:rsid w:val="00E864B4"/>
    <w:rsid w:val="00E864D7"/>
    <w:rsid w:val="00E864F6"/>
    <w:rsid w:val="00E866E9"/>
    <w:rsid w:val="00E8676C"/>
    <w:rsid w:val="00E86CD0"/>
    <w:rsid w:val="00E86CD3"/>
    <w:rsid w:val="00E87128"/>
    <w:rsid w:val="00E8748D"/>
    <w:rsid w:val="00E8770C"/>
    <w:rsid w:val="00E87737"/>
    <w:rsid w:val="00E87C9A"/>
    <w:rsid w:val="00E87CEC"/>
    <w:rsid w:val="00E87DEE"/>
    <w:rsid w:val="00E90015"/>
    <w:rsid w:val="00E90105"/>
    <w:rsid w:val="00E902B6"/>
    <w:rsid w:val="00E902C2"/>
    <w:rsid w:val="00E90518"/>
    <w:rsid w:val="00E905A8"/>
    <w:rsid w:val="00E906B9"/>
    <w:rsid w:val="00E90802"/>
    <w:rsid w:val="00E9091A"/>
    <w:rsid w:val="00E90A3C"/>
    <w:rsid w:val="00E90D8B"/>
    <w:rsid w:val="00E90EF8"/>
    <w:rsid w:val="00E90F6F"/>
    <w:rsid w:val="00E90FFF"/>
    <w:rsid w:val="00E9126C"/>
    <w:rsid w:val="00E91306"/>
    <w:rsid w:val="00E913E5"/>
    <w:rsid w:val="00E91612"/>
    <w:rsid w:val="00E91859"/>
    <w:rsid w:val="00E918F3"/>
    <w:rsid w:val="00E91903"/>
    <w:rsid w:val="00E91DF7"/>
    <w:rsid w:val="00E9200E"/>
    <w:rsid w:val="00E9214B"/>
    <w:rsid w:val="00E9232B"/>
    <w:rsid w:val="00E923B2"/>
    <w:rsid w:val="00E92588"/>
    <w:rsid w:val="00E925B9"/>
    <w:rsid w:val="00E926BD"/>
    <w:rsid w:val="00E92796"/>
    <w:rsid w:val="00E92ADE"/>
    <w:rsid w:val="00E92D43"/>
    <w:rsid w:val="00E92E90"/>
    <w:rsid w:val="00E92EE9"/>
    <w:rsid w:val="00E92F5C"/>
    <w:rsid w:val="00E93520"/>
    <w:rsid w:val="00E9369D"/>
    <w:rsid w:val="00E936A1"/>
    <w:rsid w:val="00E936C0"/>
    <w:rsid w:val="00E93A46"/>
    <w:rsid w:val="00E93C7B"/>
    <w:rsid w:val="00E93CDA"/>
    <w:rsid w:val="00E9408E"/>
    <w:rsid w:val="00E9411B"/>
    <w:rsid w:val="00E9428C"/>
    <w:rsid w:val="00E943A0"/>
    <w:rsid w:val="00E94582"/>
    <w:rsid w:val="00E947CF"/>
    <w:rsid w:val="00E94958"/>
    <w:rsid w:val="00E94A7E"/>
    <w:rsid w:val="00E94D48"/>
    <w:rsid w:val="00E94DA8"/>
    <w:rsid w:val="00E94E50"/>
    <w:rsid w:val="00E94EC1"/>
    <w:rsid w:val="00E950DA"/>
    <w:rsid w:val="00E95254"/>
    <w:rsid w:val="00E95495"/>
    <w:rsid w:val="00E95540"/>
    <w:rsid w:val="00E95AC8"/>
    <w:rsid w:val="00E95AF6"/>
    <w:rsid w:val="00E95C69"/>
    <w:rsid w:val="00E95CDD"/>
    <w:rsid w:val="00E95E0B"/>
    <w:rsid w:val="00E96145"/>
    <w:rsid w:val="00E962D0"/>
    <w:rsid w:val="00E963AF"/>
    <w:rsid w:val="00E96489"/>
    <w:rsid w:val="00E964CC"/>
    <w:rsid w:val="00E964DD"/>
    <w:rsid w:val="00E966E6"/>
    <w:rsid w:val="00E9670A"/>
    <w:rsid w:val="00E96785"/>
    <w:rsid w:val="00E96814"/>
    <w:rsid w:val="00E96BAF"/>
    <w:rsid w:val="00E96DC3"/>
    <w:rsid w:val="00E97016"/>
    <w:rsid w:val="00E971AF"/>
    <w:rsid w:val="00E97249"/>
    <w:rsid w:val="00E972FE"/>
    <w:rsid w:val="00E97530"/>
    <w:rsid w:val="00E97756"/>
    <w:rsid w:val="00E97B3A"/>
    <w:rsid w:val="00E97BF4"/>
    <w:rsid w:val="00E97C09"/>
    <w:rsid w:val="00E97D1D"/>
    <w:rsid w:val="00E97E23"/>
    <w:rsid w:val="00E97F03"/>
    <w:rsid w:val="00EA000A"/>
    <w:rsid w:val="00EA00DB"/>
    <w:rsid w:val="00EA058C"/>
    <w:rsid w:val="00EA0872"/>
    <w:rsid w:val="00EA09AB"/>
    <w:rsid w:val="00EA0B1E"/>
    <w:rsid w:val="00EA0BB3"/>
    <w:rsid w:val="00EA0CED"/>
    <w:rsid w:val="00EA0F53"/>
    <w:rsid w:val="00EA1173"/>
    <w:rsid w:val="00EA192E"/>
    <w:rsid w:val="00EA1B12"/>
    <w:rsid w:val="00EA1B3B"/>
    <w:rsid w:val="00EA1BAB"/>
    <w:rsid w:val="00EA1E8B"/>
    <w:rsid w:val="00EA1F60"/>
    <w:rsid w:val="00EA2048"/>
    <w:rsid w:val="00EA22F6"/>
    <w:rsid w:val="00EA233A"/>
    <w:rsid w:val="00EA2560"/>
    <w:rsid w:val="00EA25D4"/>
    <w:rsid w:val="00EA286B"/>
    <w:rsid w:val="00EA28B4"/>
    <w:rsid w:val="00EA2B6A"/>
    <w:rsid w:val="00EA2BE3"/>
    <w:rsid w:val="00EA2CFB"/>
    <w:rsid w:val="00EA301D"/>
    <w:rsid w:val="00EA3148"/>
    <w:rsid w:val="00EA31BE"/>
    <w:rsid w:val="00EA3390"/>
    <w:rsid w:val="00EA33CE"/>
    <w:rsid w:val="00EA34E7"/>
    <w:rsid w:val="00EA35C2"/>
    <w:rsid w:val="00EA3955"/>
    <w:rsid w:val="00EA3A40"/>
    <w:rsid w:val="00EA3A8B"/>
    <w:rsid w:val="00EA3D1A"/>
    <w:rsid w:val="00EA3E18"/>
    <w:rsid w:val="00EA40E8"/>
    <w:rsid w:val="00EA411A"/>
    <w:rsid w:val="00EA42FD"/>
    <w:rsid w:val="00EA4744"/>
    <w:rsid w:val="00EA476F"/>
    <w:rsid w:val="00EA4774"/>
    <w:rsid w:val="00EA488A"/>
    <w:rsid w:val="00EA4AB3"/>
    <w:rsid w:val="00EA4C41"/>
    <w:rsid w:val="00EA4C6E"/>
    <w:rsid w:val="00EA4CBC"/>
    <w:rsid w:val="00EA4DA1"/>
    <w:rsid w:val="00EA4E6B"/>
    <w:rsid w:val="00EA4EA7"/>
    <w:rsid w:val="00EA4FB5"/>
    <w:rsid w:val="00EA5234"/>
    <w:rsid w:val="00EA52F8"/>
    <w:rsid w:val="00EA56E8"/>
    <w:rsid w:val="00EA56EE"/>
    <w:rsid w:val="00EA5766"/>
    <w:rsid w:val="00EA5800"/>
    <w:rsid w:val="00EA589F"/>
    <w:rsid w:val="00EA5B79"/>
    <w:rsid w:val="00EA5BF7"/>
    <w:rsid w:val="00EA5CBF"/>
    <w:rsid w:val="00EA614D"/>
    <w:rsid w:val="00EA643F"/>
    <w:rsid w:val="00EA64AD"/>
    <w:rsid w:val="00EA65D9"/>
    <w:rsid w:val="00EA681E"/>
    <w:rsid w:val="00EA68BA"/>
    <w:rsid w:val="00EA6AAE"/>
    <w:rsid w:val="00EA6BAF"/>
    <w:rsid w:val="00EA6CFD"/>
    <w:rsid w:val="00EA6D75"/>
    <w:rsid w:val="00EA7077"/>
    <w:rsid w:val="00EA70A3"/>
    <w:rsid w:val="00EA70CA"/>
    <w:rsid w:val="00EA7496"/>
    <w:rsid w:val="00EA7624"/>
    <w:rsid w:val="00EA7A90"/>
    <w:rsid w:val="00EA7C5C"/>
    <w:rsid w:val="00EA7EA3"/>
    <w:rsid w:val="00EA7EC1"/>
    <w:rsid w:val="00EB01E2"/>
    <w:rsid w:val="00EB0216"/>
    <w:rsid w:val="00EB024F"/>
    <w:rsid w:val="00EB0256"/>
    <w:rsid w:val="00EB0279"/>
    <w:rsid w:val="00EB06AC"/>
    <w:rsid w:val="00EB06C1"/>
    <w:rsid w:val="00EB0844"/>
    <w:rsid w:val="00EB0B46"/>
    <w:rsid w:val="00EB0CC5"/>
    <w:rsid w:val="00EB0EC9"/>
    <w:rsid w:val="00EB0F1D"/>
    <w:rsid w:val="00EB0F20"/>
    <w:rsid w:val="00EB11D3"/>
    <w:rsid w:val="00EB1208"/>
    <w:rsid w:val="00EB13C4"/>
    <w:rsid w:val="00EB146A"/>
    <w:rsid w:val="00EB1562"/>
    <w:rsid w:val="00EB175C"/>
    <w:rsid w:val="00EB17B9"/>
    <w:rsid w:val="00EB17EC"/>
    <w:rsid w:val="00EB182A"/>
    <w:rsid w:val="00EB1851"/>
    <w:rsid w:val="00EB1AA5"/>
    <w:rsid w:val="00EB1AD2"/>
    <w:rsid w:val="00EB1CEC"/>
    <w:rsid w:val="00EB1CFC"/>
    <w:rsid w:val="00EB1D8D"/>
    <w:rsid w:val="00EB1FAE"/>
    <w:rsid w:val="00EB20CC"/>
    <w:rsid w:val="00EB2158"/>
    <w:rsid w:val="00EB222E"/>
    <w:rsid w:val="00EB2369"/>
    <w:rsid w:val="00EB2389"/>
    <w:rsid w:val="00EB24F1"/>
    <w:rsid w:val="00EB2585"/>
    <w:rsid w:val="00EB2713"/>
    <w:rsid w:val="00EB2740"/>
    <w:rsid w:val="00EB28DB"/>
    <w:rsid w:val="00EB29DC"/>
    <w:rsid w:val="00EB2A5D"/>
    <w:rsid w:val="00EB2F3A"/>
    <w:rsid w:val="00EB31D6"/>
    <w:rsid w:val="00EB33D3"/>
    <w:rsid w:val="00EB33F9"/>
    <w:rsid w:val="00EB356B"/>
    <w:rsid w:val="00EB37E6"/>
    <w:rsid w:val="00EB3A8D"/>
    <w:rsid w:val="00EB3BAD"/>
    <w:rsid w:val="00EB3D81"/>
    <w:rsid w:val="00EB3F90"/>
    <w:rsid w:val="00EB3FAE"/>
    <w:rsid w:val="00EB430A"/>
    <w:rsid w:val="00EB4581"/>
    <w:rsid w:val="00EB458B"/>
    <w:rsid w:val="00EB467C"/>
    <w:rsid w:val="00EB467E"/>
    <w:rsid w:val="00EB4C7A"/>
    <w:rsid w:val="00EB4E1E"/>
    <w:rsid w:val="00EB4E53"/>
    <w:rsid w:val="00EB4E5A"/>
    <w:rsid w:val="00EB5040"/>
    <w:rsid w:val="00EB5150"/>
    <w:rsid w:val="00EB52AB"/>
    <w:rsid w:val="00EB5A0D"/>
    <w:rsid w:val="00EB5A76"/>
    <w:rsid w:val="00EB5A87"/>
    <w:rsid w:val="00EB5C09"/>
    <w:rsid w:val="00EB5C7E"/>
    <w:rsid w:val="00EB5CFA"/>
    <w:rsid w:val="00EB5F13"/>
    <w:rsid w:val="00EB6170"/>
    <w:rsid w:val="00EB61D6"/>
    <w:rsid w:val="00EB6228"/>
    <w:rsid w:val="00EB6283"/>
    <w:rsid w:val="00EB62B5"/>
    <w:rsid w:val="00EB63EA"/>
    <w:rsid w:val="00EB6D2A"/>
    <w:rsid w:val="00EB6E87"/>
    <w:rsid w:val="00EB6EC2"/>
    <w:rsid w:val="00EB6F02"/>
    <w:rsid w:val="00EB7017"/>
    <w:rsid w:val="00EB733E"/>
    <w:rsid w:val="00EB7473"/>
    <w:rsid w:val="00EB749E"/>
    <w:rsid w:val="00EB762B"/>
    <w:rsid w:val="00EB76A0"/>
    <w:rsid w:val="00EB76AA"/>
    <w:rsid w:val="00EB77B3"/>
    <w:rsid w:val="00EB7868"/>
    <w:rsid w:val="00EB78D3"/>
    <w:rsid w:val="00EB7994"/>
    <w:rsid w:val="00EB7C6E"/>
    <w:rsid w:val="00EB7DD4"/>
    <w:rsid w:val="00EB7E9F"/>
    <w:rsid w:val="00EC000D"/>
    <w:rsid w:val="00EC0098"/>
    <w:rsid w:val="00EC01A1"/>
    <w:rsid w:val="00EC01F0"/>
    <w:rsid w:val="00EC03EF"/>
    <w:rsid w:val="00EC0601"/>
    <w:rsid w:val="00EC08C2"/>
    <w:rsid w:val="00EC0E7A"/>
    <w:rsid w:val="00EC1232"/>
    <w:rsid w:val="00EC1249"/>
    <w:rsid w:val="00EC139F"/>
    <w:rsid w:val="00EC1526"/>
    <w:rsid w:val="00EC15B2"/>
    <w:rsid w:val="00EC169B"/>
    <w:rsid w:val="00EC17AE"/>
    <w:rsid w:val="00EC1D4E"/>
    <w:rsid w:val="00EC1E8A"/>
    <w:rsid w:val="00EC1EAE"/>
    <w:rsid w:val="00EC224A"/>
    <w:rsid w:val="00EC22FB"/>
    <w:rsid w:val="00EC23A0"/>
    <w:rsid w:val="00EC250E"/>
    <w:rsid w:val="00EC25B4"/>
    <w:rsid w:val="00EC263B"/>
    <w:rsid w:val="00EC28B8"/>
    <w:rsid w:val="00EC2CF4"/>
    <w:rsid w:val="00EC2F20"/>
    <w:rsid w:val="00EC3065"/>
    <w:rsid w:val="00EC33BB"/>
    <w:rsid w:val="00EC348F"/>
    <w:rsid w:val="00EC34A1"/>
    <w:rsid w:val="00EC391C"/>
    <w:rsid w:val="00EC3951"/>
    <w:rsid w:val="00EC3A03"/>
    <w:rsid w:val="00EC3B69"/>
    <w:rsid w:val="00EC3C6C"/>
    <w:rsid w:val="00EC42D8"/>
    <w:rsid w:val="00EC4480"/>
    <w:rsid w:val="00EC472A"/>
    <w:rsid w:val="00EC4821"/>
    <w:rsid w:val="00EC493D"/>
    <w:rsid w:val="00EC4C42"/>
    <w:rsid w:val="00EC4CD2"/>
    <w:rsid w:val="00EC5096"/>
    <w:rsid w:val="00EC5105"/>
    <w:rsid w:val="00EC5111"/>
    <w:rsid w:val="00EC5372"/>
    <w:rsid w:val="00EC5387"/>
    <w:rsid w:val="00EC5392"/>
    <w:rsid w:val="00EC540C"/>
    <w:rsid w:val="00EC5581"/>
    <w:rsid w:val="00EC580D"/>
    <w:rsid w:val="00EC5B23"/>
    <w:rsid w:val="00EC5BBD"/>
    <w:rsid w:val="00EC5CAE"/>
    <w:rsid w:val="00EC5CCA"/>
    <w:rsid w:val="00EC5DAB"/>
    <w:rsid w:val="00EC5E7C"/>
    <w:rsid w:val="00EC5EE6"/>
    <w:rsid w:val="00EC609F"/>
    <w:rsid w:val="00EC6139"/>
    <w:rsid w:val="00EC63E8"/>
    <w:rsid w:val="00EC6634"/>
    <w:rsid w:val="00EC6635"/>
    <w:rsid w:val="00EC6A78"/>
    <w:rsid w:val="00EC6ACF"/>
    <w:rsid w:val="00EC6E83"/>
    <w:rsid w:val="00EC71F2"/>
    <w:rsid w:val="00EC7335"/>
    <w:rsid w:val="00EC7505"/>
    <w:rsid w:val="00EC75BE"/>
    <w:rsid w:val="00EC7646"/>
    <w:rsid w:val="00EC7782"/>
    <w:rsid w:val="00EC781C"/>
    <w:rsid w:val="00EC7977"/>
    <w:rsid w:val="00EC79EB"/>
    <w:rsid w:val="00EC7A03"/>
    <w:rsid w:val="00EC7B64"/>
    <w:rsid w:val="00EC7C76"/>
    <w:rsid w:val="00EC7D65"/>
    <w:rsid w:val="00EC7DFC"/>
    <w:rsid w:val="00ED0091"/>
    <w:rsid w:val="00ED011C"/>
    <w:rsid w:val="00ED0276"/>
    <w:rsid w:val="00ED04B3"/>
    <w:rsid w:val="00ED04D2"/>
    <w:rsid w:val="00ED056A"/>
    <w:rsid w:val="00ED05CD"/>
    <w:rsid w:val="00ED06F7"/>
    <w:rsid w:val="00ED0885"/>
    <w:rsid w:val="00ED0A56"/>
    <w:rsid w:val="00ED0AD5"/>
    <w:rsid w:val="00ED0E91"/>
    <w:rsid w:val="00ED0F73"/>
    <w:rsid w:val="00ED0F8A"/>
    <w:rsid w:val="00ED0F8E"/>
    <w:rsid w:val="00ED0FB1"/>
    <w:rsid w:val="00ED1225"/>
    <w:rsid w:val="00ED1753"/>
    <w:rsid w:val="00ED1824"/>
    <w:rsid w:val="00ED19B6"/>
    <w:rsid w:val="00ED1A78"/>
    <w:rsid w:val="00ED1B61"/>
    <w:rsid w:val="00ED1CCD"/>
    <w:rsid w:val="00ED1DAD"/>
    <w:rsid w:val="00ED1DDE"/>
    <w:rsid w:val="00ED1E0F"/>
    <w:rsid w:val="00ED20A0"/>
    <w:rsid w:val="00ED2129"/>
    <w:rsid w:val="00ED2192"/>
    <w:rsid w:val="00ED2291"/>
    <w:rsid w:val="00ED2453"/>
    <w:rsid w:val="00ED24CC"/>
    <w:rsid w:val="00ED25DA"/>
    <w:rsid w:val="00ED28CF"/>
    <w:rsid w:val="00ED290D"/>
    <w:rsid w:val="00ED2A6E"/>
    <w:rsid w:val="00ED2B10"/>
    <w:rsid w:val="00ED2D39"/>
    <w:rsid w:val="00ED3090"/>
    <w:rsid w:val="00ED31B0"/>
    <w:rsid w:val="00ED336E"/>
    <w:rsid w:val="00ED3411"/>
    <w:rsid w:val="00ED37CF"/>
    <w:rsid w:val="00ED3884"/>
    <w:rsid w:val="00ED38E2"/>
    <w:rsid w:val="00ED3B9C"/>
    <w:rsid w:val="00ED3D2E"/>
    <w:rsid w:val="00ED3DB3"/>
    <w:rsid w:val="00ED3DC8"/>
    <w:rsid w:val="00ED3EDB"/>
    <w:rsid w:val="00ED3F33"/>
    <w:rsid w:val="00ED3F95"/>
    <w:rsid w:val="00ED43C8"/>
    <w:rsid w:val="00ED43CA"/>
    <w:rsid w:val="00ED4419"/>
    <w:rsid w:val="00ED45DE"/>
    <w:rsid w:val="00ED469B"/>
    <w:rsid w:val="00ED46E4"/>
    <w:rsid w:val="00ED479A"/>
    <w:rsid w:val="00ED49F7"/>
    <w:rsid w:val="00ED4A17"/>
    <w:rsid w:val="00ED4B91"/>
    <w:rsid w:val="00ED4B96"/>
    <w:rsid w:val="00ED4C29"/>
    <w:rsid w:val="00ED4EB8"/>
    <w:rsid w:val="00ED4F21"/>
    <w:rsid w:val="00ED5062"/>
    <w:rsid w:val="00ED51FB"/>
    <w:rsid w:val="00ED526B"/>
    <w:rsid w:val="00ED5412"/>
    <w:rsid w:val="00ED541C"/>
    <w:rsid w:val="00ED5612"/>
    <w:rsid w:val="00ED5740"/>
    <w:rsid w:val="00ED57AE"/>
    <w:rsid w:val="00ED59EC"/>
    <w:rsid w:val="00ED5CD6"/>
    <w:rsid w:val="00ED6196"/>
    <w:rsid w:val="00ED64E5"/>
    <w:rsid w:val="00ED65AD"/>
    <w:rsid w:val="00ED65BC"/>
    <w:rsid w:val="00ED67BA"/>
    <w:rsid w:val="00ED6AB7"/>
    <w:rsid w:val="00ED6DA1"/>
    <w:rsid w:val="00ED70F2"/>
    <w:rsid w:val="00ED714D"/>
    <w:rsid w:val="00ED7219"/>
    <w:rsid w:val="00ED726C"/>
    <w:rsid w:val="00ED736D"/>
    <w:rsid w:val="00ED7447"/>
    <w:rsid w:val="00ED7512"/>
    <w:rsid w:val="00ED753E"/>
    <w:rsid w:val="00ED766F"/>
    <w:rsid w:val="00ED76BC"/>
    <w:rsid w:val="00ED7914"/>
    <w:rsid w:val="00ED7A8A"/>
    <w:rsid w:val="00EE02DC"/>
    <w:rsid w:val="00EE034F"/>
    <w:rsid w:val="00EE043F"/>
    <w:rsid w:val="00EE045B"/>
    <w:rsid w:val="00EE04FC"/>
    <w:rsid w:val="00EE0579"/>
    <w:rsid w:val="00EE0616"/>
    <w:rsid w:val="00EE06FC"/>
    <w:rsid w:val="00EE077B"/>
    <w:rsid w:val="00EE0898"/>
    <w:rsid w:val="00EE09C7"/>
    <w:rsid w:val="00EE09D3"/>
    <w:rsid w:val="00EE09F7"/>
    <w:rsid w:val="00EE0B6F"/>
    <w:rsid w:val="00EE0E15"/>
    <w:rsid w:val="00EE0EBF"/>
    <w:rsid w:val="00EE0EED"/>
    <w:rsid w:val="00EE0F82"/>
    <w:rsid w:val="00EE0FF3"/>
    <w:rsid w:val="00EE129E"/>
    <w:rsid w:val="00EE148B"/>
    <w:rsid w:val="00EE1562"/>
    <w:rsid w:val="00EE1AF2"/>
    <w:rsid w:val="00EE1C04"/>
    <w:rsid w:val="00EE1DFA"/>
    <w:rsid w:val="00EE1F3D"/>
    <w:rsid w:val="00EE1F9D"/>
    <w:rsid w:val="00EE1FA5"/>
    <w:rsid w:val="00EE2015"/>
    <w:rsid w:val="00EE2380"/>
    <w:rsid w:val="00EE23F8"/>
    <w:rsid w:val="00EE241D"/>
    <w:rsid w:val="00EE24B7"/>
    <w:rsid w:val="00EE24FB"/>
    <w:rsid w:val="00EE2511"/>
    <w:rsid w:val="00EE26F4"/>
    <w:rsid w:val="00EE2986"/>
    <w:rsid w:val="00EE2AD9"/>
    <w:rsid w:val="00EE2B6E"/>
    <w:rsid w:val="00EE2C9D"/>
    <w:rsid w:val="00EE2CEF"/>
    <w:rsid w:val="00EE2D02"/>
    <w:rsid w:val="00EE2D6F"/>
    <w:rsid w:val="00EE2DB2"/>
    <w:rsid w:val="00EE2DDE"/>
    <w:rsid w:val="00EE2F80"/>
    <w:rsid w:val="00EE37C6"/>
    <w:rsid w:val="00EE37CC"/>
    <w:rsid w:val="00EE3D9B"/>
    <w:rsid w:val="00EE4191"/>
    <w:rsid w:val="00EE4238"/>
    <w:rsid w:val="00EE4CB7"/>
    <w:rsid w:val="00EE4DD2"/>
    <w:rsid w:val="00EE50BE"/>
    <w:rsid w:val="00EE50D0"/>
    <w:rsid w:val="00EE5385"/>
    <w:rsid w:val="00EE5636"/>
    <w:rsid w:val="00EE56CB"/>
    <w:rsid w:val="00EE57D1"/>
    <w:rsid w:val="00EE5852"/>
    <w:rsid w:val="00EE5A43"/>
    <w:rsid w:val="00EE5E30"/>
    <w:rsid w:val="00EE5EAF"/>
    <w:rsid w:val="00EE644F"/>
    <w:rsid w:val="00EE6654"/>
    <w:rsid w:val="00EE66C7"/>
    <w:rsid w:val="00EE68AA"/>
    <w:rsid w:val="00EE699D"/>
    <w:rsid w:val="00EE69A1"/>
    <w:rsid w:val="00EE69CC"/>
    <w:rsid w:val="00EE6D7D"/>
    <w:rsid w:val="00EE6E0D"/>
    <w:rsid w:val="00EE6F38"/>
    <w:rsid w:val="00EE7022"/>
    <w:rsid w:val="00EE708C"/>
    <w:rsid w:val="00EE70C2"/>
    <w:rsid w:val="00EE71E6"/>
    <w:rsid w:val="00EE73EF"/>
    <w:rsid w:val="00EE7639"/>
    <w:rsid w:val="00EE7711"/>
    <w:rsid w:val="00EE77DF"/>
    <w:rsid w:val="00EE7925"/>
    <w:rsid w:val="00EE7AE5"/>
    <w:rsid w:val="00EE7D7C"/>
    <w:rsid w:val="00EE7D8C"/>
    <w:rsid w:val="00EF00F4"/>
    <w:rsid w:val="00EF0294"/>
    <w:rsid w:val="00EF0303"/>
    <w:rsid w:val="00EF037C"/>
    <w:rsid w:val="00EF050A"/>
    <w:rsid w:val="00EF05C0"/>
    <w:rsid w:val="00EF05D9"/>
    <w:rsid w:val="00EF072E"/>
    <w:rsid w:val="00EF0B29"/>
    <w:rsid w:val="00EF0E9D"/>
    <w:rsid w:val="00EF0EAB"/>
    <w:rsid w:val="00EF0EDF"/>
    <w:rsid w:val="00EF1054"/>
    <w:rsid w:val="00EF1723"/>
    <w:rsid w:val="00EF194F"/>
    <w:rsid w:val="00EF19E2"/>
    <w:rsid w:val="00EF1A5A"/>
    <w:rsid w:val="00EF1ADC"/>
    <w:rsid w:val="00EF1B5C"/>
    <w:rsid w:val="00EF1EA4"/>
    <w:rsid w:val="00EF2036"/>
    <w:rsid w:val="00EF263D"/>
    <w:rsid w:val="00EF266A"/>
    <w:rsid w:val="00EF2918"/>
    <w:rsid w:val="00EF2BB5"/>
    <w:rsid w:val="00EF2C14"/>
    <w:rsid w:val="00EF2CFA"/>
    <w:rsid w:val="00EF2E6A"/>
    <w:rsid w:val="00EF2F75"/>
    <w:rsid w:val="00EF3093"/>
    <w:rsid w:val="00EF3334"/>
    <w:rsid w:val="00EF35C5"/>
    <w:rsid w:val="00EF367A"/>
    <w:rsid w:val="00EF36E1"/>
    <w:rsid w:val="00EF3927"/>
    <w:rsid w:val="00EF3A00"/>
    <w:rsid w:val="00EF3C70"/>
    <w:rsid w:val="00EF3E37"/>
    <w:rsid w:val="00EF40D2"/>
    <w:rsid w:val="00EF43E9"/>
    <w:rsid w:val="00EF4833"/>
    <w:rsid w:val="00EF48D2"/>
    <w:rsid w:val="00EF4A23"/>
    <w:rsid w:val="00EF4C9A"/>
    <w:rsid w:val="00EF4CA5"/>
    <w:rsid w:val="00EF4FB7"/>
    <w:rsid w:val="00EF511C"/>
    <w:rsid w:val="00EF51F2"/>
    <w:rsid w:val="00EF523C"/>
    <w:rsid w:val="00EF5331"/>
    <w:rsid w:val="00EF53E6"/>
    <w:rsid w:val="00EF547E"/>
    <w:rsid w:val="00EF5532"/>
    <w:rsid w:val="00EF5589"/>
    <w:rsid w:val="00EF584C"/>
    <w:rsid w:val="00EF5A57"/>
    <w:rsid w:val="00EF5AA3"/>
    <w:rsid w:val="00EF5D22"/>
    <w:rsid w:val="00EF5D97"/>
    <w:rsid w:val="00EF5E97"/>
    <w:rsid w:val="00EF5EB2"/>
    <w:rsid w:val="00EF5EE3"/>
    <w:rsid w:val="00EF5F22"/>
    <w:rsid w:val="00EF612C"/>
    <w:rsid w:val="00EF623E"/>
    <w:rsid w:val="00EF63D5"/>
    <w:rsid w:val="00EF645E"/>
    <w:rsid w:val="00EF6568"/>
    <w:rsid w:val="00EF658E"/>
    <w:rsid w:val="00EF664E"/>
    <w:rsid w:val="00EF6718"/>
    <w:rsid w:val="00EF6741"/>
    <w:rsid w:val="00EF6869"/>
    <w:rsid w:val="00EF6BBA"/>
    <w:rsid w:val="00EF6C63"/>
    <w:rsid w:val="00EF6C86"/>
    <w:rsid w:val="00EF6D25"/>
    <w:rsid w:val="00EF6DA3"/>
    <w:rsid w:val="00EF6E64"/>
    <w:rsid w:val="00EF6F8D"/>
    <w:rsid w:val="00EF6FBE"/>
    <w:rsid w:val="00EF6FF5"/>
    <w:rsid w:val="00EF72FE"/>
    <w:rsid w:val="00EF7450"/>
    <w:rsid w:val="00EF74B8"/>
    <w:rsid w:val="00EF7507"/>
    <w:rsid w:val="00EF7601"/>
    <w:rsid w:val="00EF771D"/>
    <w:rsid w:val="00EF7A56"/>
    <w:rsid w:val="00EF7C9B"/>
    <w:rsid w:val="00EF7D38"/>
    <w:rsid w:val="00F0004D"/>
    <w:rsid w:val="00F0008F"/>
    <w:rsid w:val="00F00187"/>
    <w:rsid w:val="00F0022F"/>
    <w:rsid w:val="00F002D8"/>
    <w:rsid w:val="00F005D4"/>
    <w:rsid w:val="00F005F0"/>
    <w:rsid w:val="00F00816"/>
    <w:rsid w:val="00F00921"/>
    <w:rsid w:val="00F00973"/>
    <w:rsid w:val="00F00C3F"/>
    <w:rsid w:val="00F00C46"/>
    <w:rsid w:val="00F00CCA"/>
    <w:rsid w:val="00F00D02"/>
    <w:rsid w:val="00F00D8E"/>
    <w:rsid w:val="00F00DA3"/>
    <w:rsid w:val="00F00E5D"/>
    <w:rsid w:val="00F00EFA"/>
    <w:rsid w:val="00F012CC"/>
    <w:rsid w:val="00F015CF"/>
    <w:rsid w:val="00F01786"/>
    <w:rsid w:val="00F018E5"/>
    <w:rsid w:val="00F0198E"/>
    <w:rsid w:val="00F0199C"/>
    <w:rsid w:val="00F019E8"/>
    <w:rsid w:val="00F01B53"/>
    <w:rsid w:val="00F01CC5"/>
    <w:rsid w:val="00F01D6E"/>
    <w:rsid w:val="00F01DC3"/>
    <w:rsid w:val="00F01E73"/>
    <w:rsid w:val="00F02034"/>
    <w:rsid w:val="00F022C4"/>
    <w:rsid w:val="00F02390"/>
    <w:rsid w:val="00F02423"/>
    <w:rsid w:val="00F025AE"/>
    <w:rsid w:val="00F02988"/>
    <w:rsid w:val="00F0299E"/>
    <w:rsid w:val="00F02B87"/>
    <w:rsid w:val="00F02C4A"/>
    <w:rsid w:val="00F03000"/>
    <w:rsid w:val="00F03158"/>
    <w:rsid w:val="00F031D7"/>
    <w:rsid w:val="00F032FA"/>
    <w:rsid w:val="00F03366"/>
    <w:rsid w:val="00F03421"/>
    <w:rsid w:val="00F03679"/>
    <w:rsid w:val="00F03873"/>
    <w:rsid w:val="00F0387F"/>
    <w:rsid w:val="00F03979"/>
    <w:rsid w:val="00F03B1E"/>
    <w:rsid w:val="00F03E03"/>
    <w:rsid w:val="00F03E73"/>
    <w:rsid w:val="00F03E97"/>
    <w:rsid w:val="00F03F09"/>
    <w:rsid w:val="00F03FAF"/>
    <w:rsid w:val="00F0434C"/>
    <w:rsid w:val="00F043E9"/>
    <w:rsid w:val="00F043F1"/>
    <w:rsid w:val="00F0463F"/>
    <w:rsid w:val="00F0479F"/>
    <w:rsid w:val="00F04832"/>
    <w:rsid w:val="00F0493D"/>
    <w:rsid w:val="00F04A7D"/>
    <w:rsid w:val="00F04AA7"/>
    <w:rsid w:val="00F04BE8"/>
    <w:rsid w:val="00F04C23"/>
    <w:rsid w:val="00F04E08"/>
    <w:rsid w:val="00F04FE0"/>
    <w:rsid w:val="00F04FF2"/>
    <w:rsid w:val="00F05103"/>
    <w:rsid w:val="00F05314"/>
    <w:rsid w:val="00F053FB"/>
    <w:rsid w:val="00F05496"/>
    <w:rsid w:val="00F05728"/>
    <w:rsid w:val="00F05CEC"/>
    <w:rsid w:val="00F05E91"/>
    <w:rsid w:val="00F060A1"/>
    <w:rsid w:val="00F060D8"/>
    <w:rsid w:val="00F06345"/>
    <w:rsid w:val="00F06392"/>
    <w:rsid w:val="00F06662"/>
    <w:rsid w:val="00F068EB"/>
    <w:rsid w:val="00F06965"/>
    <w:rsid w:val="00F06A78"/>
    <w:rsid w:val="00F06CB8"/>
    <w:rsid w:val="00F06E14"/>
    <w:rsid w:val="00F06E1E"/>
    <w:rsid w:val="00F06E96"/>
    <w:rsid w:val="00F06F24"/>
    <w:rsid w:val="00F070FA"/>
    <w:rsid w:val="00F07223"/>
    <w:rsid w:val="00F0726A"/>
    <w:rsid w:val="00F072D5"/>
    <w:rsid w:val="00F07DD6"/>
    <w:rsid w:val="00F07F25"/>
    <w:rsid w:val="00F10089"/>
    <w:rsid w:val="00F10102"/>
    <w:rsid w:val="00F1077F"/>
    <w:rsid w:val="00F109F7"/>
    <w:rsid w:val="00F10D49"/>
    <w:rsid w:val="00F10DEC"/>
    <w:rsid w:val="00F11194"/>
    <w:rsid w:val="00F11350"/>
    <w:rsid w:val="00F11437"/>
    <w:rsid w:val="00F1161E"/>
    <w:rsid w:val="00F11695"/>
    <w:rsid w:val="00F116A0"/>
    <w:rsid w:val="00F119B2"/>
    <w:rsid w:val="00F11A83"/>
    <w:rsid w:val="00F11ABE"/>
    <w:rsid w:val="00F11C63"/>
    <w:rsid w:val="00F11C6E"/>
    <w:rsid w:val="00F11EB2"/>
    <w:rsid w:val="00F1208E"/>
    <w:rsid w:val="00F126FF"/>
    <w:rsid w:val="00F12DB6"/>
    <w:rsid w:val="00F12DE6"/>
    <w:rsid w:val="00F12FEB"/>
    <w:rsid w:val="00F1315D"/>
    <w:rsid w:val="00F131B3"/>
    <w:rsid w:val="00F132CD"/>
    <w:rsid w:val="00F133CA"/>
    <w:rsid w:val="00F1343A"/>
    <w:rsid w:val="00F134C8"/>
    <w:rsid w:val="00F134E5"/>
    <w:rsid w:val="00F13512"/>
    <w:rsid w:val="00F137B9"/>
    <w:rsid w:val="00F137D4"/>
    <w:rsid w:val="00F139A0"/>
    <w:rsid w:val="00F13B96"/>
    <w:rsid w:val="00F13C3C"/>
    <w:rsid w:val="00F13CDE"/>
    <w:rsid w:val="00F13CFF"/>
    <w:rsid w:val="00F141CF"/>
    <w:rsid w:val="00F1424E"/>
    <w:rsid w:val="00F1448E"/>
    <w:rsid w:val="00F1451E"/>
    <w:rsid w:val="00F14539"/>
    <w:rsid w:val="00F14634"/>
    <w:rsid w:val="00F14A1C"/>
    <w:rsid w:val="00F14A61"/>
    <w:rsid w:val="00F14B60"/>
    <w:rsid w:val="00F14B86"/>
    <w:rsid w:val="00F14BDC"/>
    <w:rsid w:val="00F14D74"/>
    <w:rsid w:val="00F14D99"/>
    <w:rsid w:val="00F14E7B"/>
    <w:rsid w:val="00F14EBC"/>
    <w:rsid w:val="00F14ED5"/>
    <w:rsid w:val="00F15007"/>
    <w:rsid w:val="00F15072"/>
    <w:rsid w:val="00F15398"/>
    <w:rsid w:val="00F153D8"/>
    <w:rsid w:val="00F153FF"/>
    <w:rsid w:val="00F15624"/>
    <w:rsid w:val="00F156A9"/>
    <w:rsid w:val="00F1573C"/>
    <w:rsid w:val="00F1581A"/>
    <w:rsid w:val="00F1599E"/>
    <w:rsid w:val="00F15AFC"/>
    <w:rsid w:val="00F15B04"/>
    <w:rsid w:val="00F15C1F"/>
    <w:rsid w:val="00F15FD8"/>
    <w:rsid w:val="00F16090"/>
    <w:rsid w:val="00F160EA"/>
    <w:rsid w:val="00F161C8"/>
    <w:rsid w:val="00F165AB"/>
    <w:rsid w:val="00F169DE"/>
    <w:rsid w:val="00F16D13"/>
    <w:rsid w:val="00F16DB4"/>
    <w:rsid w:val="00F16F64"/>
    <w:rsid w:val="00F17080"/>
    <w:rsid w:val="00F1735B"/>
    <w:rsid w:val="00F174A6"/>
    <w:rsid w:val="00F17595"/>
    <w:rsid w:val="00F177A1"/>
    <w:rsid w:val="00F17816"/>
    <w:rsid w:val="00F178ED"/>
    <w:rsid w:val="00F17B6D"/>
    <w:rsid w:val="00F17C1C"/>
    <w:rsid w:val="00F17D00"/>
    <w:rsid w:val="00F17D75"/>
    <w:rsid w:val="00F17F6A"/>
    <w:rsid w:val="00F200F2"/>
    <w:rsid w:val="00F20209"/>
    <w:rsid w:val="00F2025B"/>
    <w:rsid w:val="00F20358"/>
    <w:rsid w:val="00F20367"/>
    <w:rsid w:val="00F20394"/>
    <w:rsid w:val="00F203D9"/>
    <w:rsid w:val="00F20578"/>
    <w:rsid w:val="00F20985"/>
    <w:rsid w:val="00F20A1E"/>
    <w:rsid w:val="00F20B9F"/>
    <w:rsid w:val="00F20DA3"/>
    <w:rsid w:val="00F20F11"/>
    <w:rsid w:val="00F21044"/>
    <w:rsid w:val="00F210FF"/>
    <w:rsid w:val="00F21308"/>
    <w:rsid w:val="00F213B5"/>
    <w:rsid w:val="00F2159A"/>
    <w:rsid w:val="00F2159B"/>
    <w:rsid w:val="00F2190D"/>
    <w:rsid w:val="00F21CD1"/>
    <w:rsid w:val="00F21D52"/>
    <w:rsid w:val="00F21DCE"/>
    <w:rsid w:val="00F22216"/>
    <w:rsid w:val="00F222A4"/>
    <w:rsid w:val="00F222B6"/>
    <w:rsid w:val="00F222E4"/>
    <w:rsid w:val="00F22531"/>
    <w:rsid w:val="00F22617"/>
    <w:rsid w:val="00F22650"/>
    <w:rsid w:val="00F2281B"/>
    <w:rsid w:val="00F228AD"/>
    <w:rsid w:val="00F228B9"/>
    <w:rsid w:val="00F22C6B"/>
    <w:rsid w:val="00F22E9C"/>
    <w:rsid w:val="00F2310A"/>
    <w:rsid w:val="00F2313F"/>
    <w:rsid w:val="00F2326A"/>
    <w:rsid w:val="00F232C7"/>
    <w:rsid w:val="00F23537"/>
    <w:rsid w:val="00F236EE"/>
    <w:rsid w:val="00F23A98"/>
    <w:rsid w:val="00F23ADF"/>
    <w:rsid w:val="00F23B4A"/>
    <w:rsid w:val="00F23CDD"/>
    <w:rsid w:val="00F23D59"/>
    <w:rsid w:val="00F23D7F"/>
    <w:rsid w:val="00F23F85"/>
    <w:rsid w:val="00F24503"/>
    <w:rsid w:val="00F2450F"/>
    <w:rsid w:val="00F24558"/>
    <w:rsid w:val="00F2473F"/>
    <w:rsid w:val="00F2487A"/>
    <w:rsid w:val="00F24913"/>
    <w:rsid w:val="00F24DFA"/>
    <w:rsid w:val="00F24E0D"/>
    <w:rsid w:val="00F24F97"/>
    <w:rsid w:val="00F2512A"/>
    <w:rsid w:val="00F251C0"/>
    <w:rsid w:val="00F25596"/>
    <w:rsid w:val="00F25885"/>
    <w:rsid w:val="00F25915"/>
    <w:rsid w:val="00F25B42"/>
    <w:rsid w:val="00F25BD0"/>
    <w:rsid w:val="00F25CA1"/>
    <w:rsid w:val="00F25D9D"/>
    <w:rsid w:val="00F260E0"/>
    <w:rsid w:val="00F26257"/>
    <w:rsid w:val="00F26403"/>
    <w:rsid w:val="00F265C6"/>
    <w:rsid w:val="00F2671E"/>
    <w:rsid w:val="00F26801"/>
    <w:rsid w:val="00F26831"/>
    <w:rsid w:val="00F26855"/>
    <w:rsid w:val="00F26C87"/>
    <w:rsid w:val="00F26CA5"/>
    <w:rsid w:val="00F26EE5"/>
    <w:rsid w:val="00F26F67"/>
    <w:rsid w:val="00F271EB"/>
    <w:rsid w:val="00F272A1"/>
    <w:rsid w:val="00F273D2"/>
    <w:rsid w:val="00F273E9"/>
    <w:rsid w:val="00F274AC"/>
    <w:rsid w:val="00F276F6"/>
    <w:rsid w:val="00F278E8"/>
    <w:rsid w:val="00F2792F"/>
    <w:rsid w:val="00F279EE"/>
    <w:rsid w:val="00F27B6E"/>
    <w:rsid w:val="00F27B94"/>
    <w:rsid w:val="00F27C37"/>
    <w:rsid w:val="00F27DCB"/>
    <w:rsid w:val="00F27DF2"/>
    <w:rsid w:val="00F27E5E"/>
    <w:rsid w:val="00F27E6C"/>
    <w:rsid w:val="00F27EA2"/>
    <w:rsid w:val="00F30076"/>
    <w:rsid w:val="00F30134"/>
    <w:rsid w:val="00F30241"/>
    <w:rsid w:val="00F3025C"/>
    <w:rsid w:val="00F30280"/>
    <w:rsid w:val="00F30418"/>
    <w:rsid w:val="00F305FC"/>
    <w:rsid w:val="00F30626"/>
    <w:rsid w:val="00F306A2"/>
    <w:rsid w:val="00F306E3"/>
    <w:rsid w:val="00F30845"/>
    <w:rsid w:val="00F30976"/>
    <w:rsid w:val="00F30B87"/>
    <w:rsid w:val="00F3121F"/>
    <w:rsid w:val="00F316AA"/>
    <w:rsid w:val="00F317D1"/>
    <w:rsid w:val="00F31A33"/>
    <w:rsid w:val="00F31A78"/>
    <w:rsid w:val="00F31B8F"/>
    <w:rsid w:val="00F31CD6"/>
    <w:rsid w:val="00F31DA1"/>
    <w:rsid w:val="00F31F92"/>
    <w:rsid w:val="00F321E2"/>
    <w:rsid w:val="00F32306"/>
    <w:rsid w:val="00F32356"/>
    <w:rsid w:val="00F32599"/>
    <w:rsid w:val="00F325A7"/>
    <w:rsid w:val="00F325EB"/>
    <w:rsid w:val="00F326D5"/>
    <w:rsid w:val="00F32776"/>
    <w:rsid w:val="00F3287D"/>
    <w:rsid w:val="00F3298A"/>
    <w:rsid w:val="00F32A58"/>
    <w:rsid w:val="00F32CF7"/>
    <w:rsid w:val="00F32E26"/>
    <w:rsid w:val="00F32F50"/>
    <w:rsid w:val="00F33176"/>
    <w:rsid w:val="00F33177"/>
    <w:rsid w:val="00F33296"/>
    <w:rsid w:val="00F332AE"/>
    <w:rsid w:val="00F3335F"/>
    <w:rsid w:val="00F333F3"/>
    <w:rsid w:val="00F335AB"/>
    <w:rsid w:val="00F335EB"/>
    <w:rsid w:val="00F33921"/>
    <w:rsid w:val="00F33992"/>
    <w:rsid w:val="00F33ACE"/>
    <w:rsid w:val="00F33C88"/>
    <w:rsid w:val="00F33DB7"/>
    <w:rsid w:val="00F34033"/>
    <w:rsid w:val="00F3434E"/>
    <w:rsid w:val="00F34888"/>
    <w:rsid w:val="00F34B8D"/>
    <w:rsid w:val="00F34BED"/>
    <w:rsid w:val="00F34D31"/>
    <w:rsid w:val="00F3512D"/>
    <w:rsid w:val="00F35133"/>
    <w:rsid w:val="00F35579"/>
    <w:rsid w:val="00F355CF"/>
    <w:rsid w:val="00F35E58"/>
    <w:rsid w:val="00F35F77"/>
    <w:rsid w:val="00F3604D"/>
    <w:rsid w:val="00F36080"/>
    <w:rsid w:val="00F361C2"/>
    <w:rsid w:val="00F36351"/>
    <w:rsid w:val="00F3645F"/>
    <w:rsid w:val="00F365A8"/>
    <w:rsid w:val="00F368AB"/>
    <w:rsid w:val="00F36CAA"/>
    <w:rsid w:val="00F36E96"/>
    <w:rsid w:val="00F36E9A"/>
    <w:rsid w:val="00F36EB3"/>
    <w:rsid w:val="00F36EB4"/>
    <w:rsid w:val="00F3743C"/>
    <w:rsid w:val="00F37581"/>
    <w:rsid w:val="00F376BF"/>
    <w:rsid w:val="00F376EF"/>
    <w:rsid w:val="00F378C9"/>
    <w:rsid w:val="00F37A5C"/>
    <w:rsid w:val="00F37A7E"/>
    <w:rsid w:val="00F37BE6"/>
    <w:rsid w:val="00F37D20"/>
    <w:rsid w:val="00F37D70"/>
    <w:rsid w:val="00F37E19"/>
    <w:rsid w:val="00F37FE9"/>
    <w:rsid w:val="00F402BF"/>
    <w:rsid w:val="00F4047B"/>
    <w:rsid w:val="00F404B2"/>
    <w:rsid w:val="00F40507"/>
    <w:rsid w:val="00F4058D"/>
    <w:rsid w:val="00F4071E"/>
    <w:rsid w:val="00F40990"/>
    <w:rsid w:val="00F40B73"/>
    <w:rsid w:val="00F40BAD"/>
    <w:rsid w:val="00F40C5F"/>
    <w:rsid w:val="00F40D9A"/>
    <w:rsid w:val="00F41063"/>
    <w:rsid w:val="00F411BE"/>
    <w:rsid w:val="00F41265"/>
    <w:rsid w:val="00F4155B"/>
    <w:rsid w:val="00F4173B"/>
    <w:rsid w:val="00F41A55"/>
    <w:rsid w:val="00F41B3E"/>
    <w:rsid w:val="00F41D0B"/>
    <w:rsid w:val="00F41D29"/>
    <w:rsid w:val="00F41EE4"/>
    <w:rsid w:val="00F41FD1"/>
    <w:rsid w:val="00F41FD3"/>
    <w:rsid w:val="00F4200F"/>
    <w:rsid w:val="00F4211D"/>
    <w:rsid w:val="00F424B3"/>
    <w:rsid w:val="00F4258B"/>
    <w:rsid w:val="00F42681"/>
    <w:rsid w:val="00F426EA"/>
    <w:rsid w:val="00F4298E"/>
    <w:rsid w:val="00F42ABC"/>
    <w:rsid w:val="00F42E81"/>
    <w:rsid w:val="00F43276"/>
    <w:rsid w:val="00F43430"/>
    <w:rsid w:val="00F4343E"/>
    <w:rsid w:val="00F43731"/>
    <w:rsid w:val="00F437C9"/>
    <w:rsid w:val="00F43A8A"/>
    <w:rsid w:val="00F43DBB"/>
    <w:rsid w:val="00F43EB3"/>
    <w:rsid w:val="00F44140"/>
    <w:rsid w:val="00F4416C"/>
    <w:rsid w:val="00F441BA"/>
    <w:rsid w:val="00F444D9"/>
    <w:rsid w:val="00F44665"/>
    <w:rsid w:val="00F44798"/>
    <w:rsid w:val="00F44DC3"/>
    <w:rsid w:val="00F44E1D"/>
    <w:rsid w:val="00F44FBC"/>
    <w:rsid w:val="00F45184"/>
    <w:rsid w:val="00F45492"/>
    <w:rsid w:val="00F455E4"/>
    <w:rsid w:val="00F456F2"/>
    <w:rsid w:val="00F4572D"/>
    <w:rsid w:val="00F457D5"/>
    <w:rsid w:val="00F4587B"/>
    <w:rsid w:val="00F458DC"/>
    <w:rsid w:val="00F45994"/>
    <w:rsid w:val="00F45C5A"/>
    <w:rsid w:val="00F45D37"/>
    <w:rsid w:val="00F45FE2"/>
    <w:rsid w:val="00F462DD"/>
    <w:rsid w:val="00F46327"/>
    <w:rsid w:val="00F463D8"/>
    <w:rsid w:val="00F464FC"/>
    <w:rsid w:val="00F46695"/>
    <w:rsid w:val="00F467D0"/>
    <w:rsid w:val="00F46862"/>
    <w:rsid w:val="00F46BA1"/>
    <w:rsid w:val="00F46CCB"/>
    <w:rsid w:val="00F46DA5"/>
    <w:rsid w:val="00F46E92"/>
    <w:rsid w:val="00F470CD"/>
    <w:rsid w:val="00F4731E"/>
    <w:rsid w:val="00F473CE"/>
    <w:rsid w:val="00F473F1"/>
    <w:rsid w:val="00F47463"/>
    <w:rsid w:val="00F47584"/>
    <w:rsid w:val="00F4760F"/>
    <w:rsid w:val="00F4795A"/>
    <w:rsid w:val="00F47DA5"/>
    <w:rsid w:val="00F501C5"/>
    <w:rsid w:val="00F503EC"/>
    <w:rsid w:val="00F5056A"/>
    <w:rsid w:val="00F507FD"/>
    <w:rsid w:val="00F50999"/>
    <w:rsid w:val="00F50D71"/>
    <w:rsid w:val="00F5100F"/>
    <w:rsid w:val="00F510DE"/>
    <w:rsid w:val="00F512FD"/>
    <w:rsid w:val="00F5152F"/>
    <w:rsid w:val="00F518E4"/>
    <w:rsid w:val="00F5190A"/>
    <w:rsid w:val="00F51CE8"/>
    <w:rsid w:val="00F51D2D"/>
    <w:rsid w:val="00F51E2D"/>
    <w:rsid w:val="00F51FBA"/>
    <w:rsid w:val="00F5208D"/>
    <w:rsid w:val="00F520DE"/>
    <w:rsid w:val="00F520E6"/>
    <w:rsid w:val="00F5230E"/>
    <w:rsid w:val="00F52332"/>
    <w:rsid w:val="00F5250E"/>
    <w:rsid w:val="00F52571"/>
    <w:rsid w:val="00F52588"/>
    <w:rsid w:val="00F5278E"/>
    <w:rsid w:val="00F5281D"/>
    <w:rsid w:val="00F5294F"/>
    <w:rsid w:val="00F52C68"/>
    <w:rsid w:val="00F52D2D"/>
    <w:rsid w:val="00F52FCE"/>
    <w:rsid w:val="00F52FF9"/>
    <w:rsid w:val="00F53018"/>
    <w:rsid w:val="00F53110"/>
    <w:rsid w:val="00F531E3"/>
    <w:rsid w:val="00F5320D"/>
    <w:rsid w:val="00F53241"/>
    <w:rsid w:val="00F53362"/>
    <w:rsid w:val="00F53487"/>
    <w:rsid w:val="00F5372C"/>
    <w:rsid w:val="00F53762"/>
    <w:rsid w:val="00F5387E"/>
    <w:rsid w:val="00F538E3"/>
    <w:rsid w:val="00F53CD0"/>
    <w:rsid w:val="00F53D24"/>
    <w:rsid w:val="00F53E0C"/>
    <w:rsid w:val="00F53E36"/>
    <w:rsid w:val="00F53F13"/>
    <w:rsid w:val="00F5413E"/>
    <w:rsid w:val="00F541F5"/>
    <w:rsid w:val="00F54614"/>
    <w:rsid w:val="00F54652"/>
    <w:rsid w:val="00F546CA"/>
    <w:rsid w:val="00F54816"/>
    <w:rsid w:val="00F54939"/>
    <w:rsid w:val="00F54A96"/>
    <w:rsid w:val="00F54E7F"/>
    <w:rsid w:val="00F550F8"/>
    <w:rsid w:val="00F55101"/>
    <w:rsid w:val="00F553F9"/>
    <w:rsid w:val="00F556B1"/>
    <w:rsid w:val="00F556D6"/>
    <w:rsid w:val="00F55778"/>
    <w:rsid w:val="00F55ABD"/>
    <w:rsid w:val="00F55B5A"/>
    <w:rsid w:val="00F55C78"/>
    <w:rsid w:val="00F55F63"/>
    <w:rsid w:val="00F564E7"/>
    <w:rsid w:val="00F56540"/>
    <w:rsid w:val="00F567F4"/>
    <w:rsid w:val="00F56B87"/>
    <w:rsid w:val="00F57150"/>
    <w:rsid w:val="00F57159"/>
    <w:rsid w:val="00F57263"/>
    <w:rsid w:val="00F572A8"/>
    <w:rsid w:val="00F572EF"/>
    <w:rsid w:val="00F577C0"/>
    <w:rsid w:val="00F57A3A"/>
    <w:rsid w:val="00F57D6E"/>
    <w:rsid w:val="00F57EA6"/>
    <w:rsid w:val="00F57EDE"/>
    <w:rsid w:val="00F57F69"/>
    <w:rsid w:val="00F601AD"/>
    <w:rsid w:val="00F60374"/>
    <w:rsid w:val="00F60612"/>
    <w:rsid w:val="00F60613"/>
    <w:rsid w:val="00F60854"/>
    <w:rsid w:val="00F60872"/>
    <w:rsid w:val="00F60970"/>
    <w:rsid w:val="00F60A21"/>
    <w:rsid w:val="00F60BA2"/>
    <w:rsid w:val="00F60C05"/>
    <w:rsid w:val="00F60CA0"/>
    <w:rsid w:val="00F60D31"/>
    <w:rsid w:val="00F60D9E"/>
    <w:rsid w:val="00F60DC0"/>
    <w:rsid w:val="00F60DED"/>
    <w:rsid w:val="00F612E7"/>
    <w:rsid w:val="00F612F9"/>
    <w:rsid w:val="00F613BA"/>
    <w:rsid w:val="00F61506"/>
    <w:rsid w:val="00F6195A"/>
    <w:rsid w:val="00F619D3"/>
    <w:rsid w:val="00F61AD3"/>
    <w:rsid w:val="00F61C32"/>
    <w:rsid w:val="00F61FE0"/>
    <w:rsid w:val="00F61FE6"/>
    <w:rsid w:val="00F6241B"/>
    <w:rsid w:val="00F625DB"/>
    <w:rsid w:val="00F62880"/>
    <w:rsid w:val="00F6297C"/>
    <w:rsid w:val="00F62B17"/>
    <w:rsid w:val="00F62C3A"/>
    <w:rsid w:val="00F62ED6"/>
    <w:rsid w:val="00F62F9B"/>
    <w:rsid w:val="00F62FA9"/>
    <w:rsid w:val="00F630A1"/>
    <w:rsid w:val="00F630E8"/>
    <w:rsid w:val="00F63148"/>
    <w:rsid w:val="00F632D3"/>
    <w:rsid w:val="00F6339F"/>
    <w:rsid w:val="00F63415"/>
    <w:rsid w:val="00F6348A"/>
    <w:rsid w:val="00F634D1"/>
    <w:rsid w:val="00F636DB"/>
    <w:rsid w:val="00F63870"/>
    <w:rsid w:val="00F6396F"/>
    <w:rsid w:val="00F63B42"/>
    <w:rsid w:val="00F63BA4"/>
    <w:rsid w:val="00F63D8C"/>
    <w:rsid w:val="00F63F2A"/>
    <w:rsid w:val="00F6408E"/>
    <w:rsid w:val="00F640D7"/>
    <w:rsid w:val="00F641F9"/>
    <w:rsid w:val="00F6440F"/>
    <w:rsid w:val="00F64415"/>
    <w:rsid w:val="00F6441B"/>
    <w:rsid w:val="00F6443F"/>
    <w:rsid w:val="00F646A4"/>
    <w:rsid w:val="00F64730"/>
    <w:rsid w:val="00F64906"/>
    <w:rsid w:val="00F649DD"/>
    <w:rsid w:val="00F64AF3"/>
    <w:rsid w:val="00F64BEA"/>
    <w:rsid w:val="00F64F66"/>
    <w:rsid w:val="00F64FFD"/>
    <w:rsid w:val="00F6547F"/>
    <w:rsid w:val="00F654C7"/>
    <w:rsid w:val="00F654DD"/>
    <w:rsid w:val="00F65654"/>
    <w:rsid w:val="00F65863"/>
    <w:rsid w:val="00F6590C"/>
    <w:rsid w:val="00F65A50"/>
    <w:rsid w:val="00F65AD9"/>
    <w:rsid w:val="00F65CE3"/>
    <w:rsid w:val="00F6606A"/>
    <w:rsid w:val="00F66162"/>
    <w:rsid w:val="00F66229"/>
    <w:rsid w:val="00F6626D"/>
    <w:rsid w:val="00F66857"/>
    <w:rsid w:val="00F6688C"/>
    <w:rsid w:val="00F6689D"/>
    <w:rsid w:val="00F66A0A"/>
    <w:rsid w:val="00F66D52"/>
    <w:rsid w:val="00F66E05"/>
    <w:rsid w:val="00F66E7D"/>
    <w:rsid w:val="00F66EF6"/>
    <w:rsid w:val="00F66F76"/>
    <w:rsid w:val="00F67044"/>
    <w:rsid w:val="00F670B6"/>
    <w:rsid w:val="00F670C6"/>
    <w:rsid w:val="00F6710F"/>
    <w:rsid w:val="00F67700"/>
    <w:rsid w:val="00F677D4"/>
    <w:rsid w:val="00F679E7"/>
    <w:rsid w:val="00F67A15"/>
    <w:rsid w:val="00F700DB"/>
    <w:rsid w:val="00F701AD"/>
    <w:rsid w:val="00F7037F"/>
    <w:rsid w:val="00F703A4"/>
    <w:rsid w:val="00F7058B"/>
    <w:rsid w:val="00F706A4"/>
    <w:rsid w:val="00F7092B"/>
    <w:rsid w:val="00F70BBB"/>
    <w:rsid w:val="00F70D04"/>
    <w:rsid w:val="00F70F90"/>
    <w:rsid w:val="00F712AD"/>
    <w:rsid w:val="00F71562"/>
    <w:rsid w:val="00F715F6"/>
    <w:rsid w:val="00F71727"/>
    <w:rsid w:val="00F71816"/>
    <w:rsid w:val="00F7191F"/>
    <w:rsid w:val="00F71DD3"/>
    <w:rsid w:val="00F71EEF"/>
    <w:rsid w:val="00F721C7"/>
    <w:rsid w:val="00F723C2"/>
    <w:rsid w:val="00F726A4"/>
    <w:rsid w:val="00F726A8"/>
    <w:rsid w:val="00F727A5"/>
    <w:rsid w:val="00F72830"/>
    <w:rsid w:val="00F72A38"/>
    <w:rsid w:val="00F73284"/>
    <w:rsid w:val="00F7334F"/>
    <w:rsid w:val="00F73363"/>
    <w:rsid w:val="00F7343A"/>
    <w:rsid w:val="00F73B18"/>
    <w:rsid w:val="00F73BE5"/>
    <w:rsid w:val="00F73FB6"/>
    <w:rsid w:val="00F7404F"/>
    <w:rsid w:val="00F743C2"/>
    <w:rsid w:val="00F7454B"/>
    <w:rsid w:val="00F74682"/>
    <w:rsid w:val="00F74894"/>
    <w:rsid w:val="00F74B08"/>
    <w:rsid w:val="00F74B28"/>
    <w:rsid w:val="00F74BE0"/>
    <w:rsid w:val="00F74C15"/>
    <w:rsid w:val="00F74D2F"/>
    <w:rsid w:val="00F74DFD"/>
    <w:rsid w:val="00F74E49"/>
    <w:rsid w:val="00F74FEF"/>
    <w:rsid w:val="00F75162"/>
    <w:rsid w:val="00F751C9"/>
    <w:rsid w:val="00F75397"/>
    <w:rsid w:val="00F754B4"/>
    <w:rsid w:val="00F75731"/>
    <w:rsid w:val="00F7585F"/>
    <w:rsid w:val="00F758EE"/>
    <w:rsid w:val="00F75ACA"/>
    <w:rsid w:val="00F75C41"/>
    <w:rsid w:val="00F75E17"/>
    <w:rsid w:val="00F75FCD"/>
    <w:rsid w:val="00F761EC"/>
    <w:rsid w:val="00F7620A"/>
    <w:rsid w:val="00F7624D"/>
    <w:rsid w:val="00F767EA"/>
    <w:rsid w:val="00F76848"/>
    <w:rsid w:val="00F76861"/>
    <w:rsid w:val="00F76935"/>
    <w:rsid w:val="00F76AE6"/>
    <w:rsid w:val="00F76BF1"/>
    <w:rsid w:val="00F76CD2"/>
    <w:rsid w:val="00F76E5F"/>
    <w:rsid w:val="00F7706A"/>
    <w:rsid w:val="00F7721F"/>
    <w:rsid w:val="00F772D7"/>
    <w:rsid w:val="00F77352"/>
    <w:rsid w:val="00F77664"/>
    <w:rsid w:val="00F7778E"/>
    <w:rsid w:val="00F77790"/>
    <w:rsid w:val="00F77AE8"/>
    <w:rsid w:val="00F77DE4"/>
    <w:rsid w:val="00F801E7"/>
    <w:rsid w:val="00F8044D"/>
    <w:rsid w:val="00F8049B"/>
    <w:rsid w:val="00F804CE"/>
    <w:rsid w:val="00F80808"/>
    <w:rsid w:val="00F809CC"/>
    <w:rsid w:val="00F80A2F"/>
    <w:rsid w:val="00F80A67"/>
    <w:rsid w:val="00F80B2B"/>
    <w:rsid w:val="00F80FF3"/>
    <w:rsid w:val="00F811D8"/>
    <w:rsid w:val="00F811DE"/>
    <w:rsid w:val="00F8129A"/>
    <w:rsid w:val="00F81317"/>
    <w:rsid w:val="00F81548"/>
    <w:rsid w:val="00F81577"/>
    <w:rsid w:val="00F8160D"/>
    <w:rsid w:val="00F816A4"/>
    <w:rsid w:val="00F81803"/>
    <w:rsid w:val="00F81878"/>
    <w:rsid w:val="00F819A7"/>
    <w:rsid w:val="00F81B0C"/>
    <w:rsid w:val="00F81CB2"/>
    <w:rsid w:val="00F81DE6"/>
    <w:rsid w:val="00F81EDB"/>
    <w:rsid w:val="00F81EE0"/>
    <w:rsid w:val="00F82014"/>
    <w:rsid w:val="00F822A6"/>
    <w:rsid w:val="00F824E4"/>
    <w:rsid w:val="00F82729"/>
    <w:rsid w:val="00F8296D"/>
    <w:rsid w:val="00F82A95"/>
    <w:rsid w:val="00F82B36"/>
    <w:rsid w:val="00F82CB9"/>
    <w:rsid w:val="00F82D0D"/>
    <w:rsid w:val="00F82D1F"/>
    <w:rsid w:val="00F82DD6"/>
    <w:rsid w:val="00F82FDE"/>
    <w:rsid w:val="00F8303B"/>
    <w:rsid w:val="00F83082"/>
    <w:rsid w:val="00F830DA"/>
    <w:rsid w:val="00F83692"/>
    <w:rsid w:val="00F83713"/>
    <w:rsid w:val="00F83983"/>
    <w:rsid w:val="00F839F3"/>
    <w:rsid w:val="00F83BDE"/>
    <w:rsid w:val="00F83E86"/>
    <w:rsid w:val="00F840A5"/>
    <w:rsid w:val="00F84128"/>
    <w:rsid w:val="00F84276"/>
    <w:rsid w:val="00F84425"/>
    <w:rsid w:val="00F844DF"/>
    <w:rsid w:val="00F844F0"/>
    <w:rsid w:val="00F8460F"/>
    <w:rsid w:val="00F8468F"/>
    <w:rsid w:val="00F846C1"/>
    <w:rsid w:val="00F84813"/>
    <w:rsid w:val="00F84BC9"/>
    <w:rsid w:val="00F84CF4"/>
    <w:rsid w:val="00F84FAA"/>
    <w:rsid w:val="00F85288"/>
    <w:rsid w:val="00F85316"/>
    <w:rsid w:val="00F854C1"/>
    <w:rsid w:val="00F854DB"/>
    <w:rsid w:val="00F8565F"/>
    <w:rsid w:val="00F85668"/>
    <w:rsid w:val="00F856A8"/>
    <w:rsid w:val="00F85993"/>
    <w:rsid w:val="00F85B00"/>
    <w:rsid w:val="00F85B6C"/>
    <w:rsid w:val="00F85DF7"/>
    <w:rsid w:val="00F86233"/>
    <w:rsid w:val="00F86344"/>
    <w:rsid w:val="00F86345"/>
    <w:rsid w:val="00F8638C"/>
    <w:rsid w:val="00F86487"/>
    <w:rsid w:val="00F86925"/>
    <w:rsid w:val="00F86C76"/>
    <w:rsid w:val="00F86EF1"/>
    <w:rsid w:val="00F87384"/>
    <w:rsid w:val="00F87464"/>
    <w:rsid w:val="00F8747E"/>
    <w:rsid w:val="00F876B5"/>
    <w:rsid w:val="00F8788D"/>
    <w:rsid w:val="00F87A46"/>
    <w:rsid w:val="00F87A5B"/>
    <w:rsid w:val="00F87ADD"/>
    <w:rsid w:val="00F87AFA"/>
    <w:rsid w:val="00F87B30"/>
    <w:rsid w:val="00F87D1E"/>
    <w:rsid w:val="00F87DA3"/>
    <w:rsid w:val="00F87E54"/>
    <w:rsid w:val="00F87EE7"/>
    <w:rsid w:val="00F87F1D"/>
    <w:rsid w:val="00F9002B"/>
    <w:rsid w:val="00F90136"/>
    <w:rsid w:val="00F901E4"/>
    <w:rsid w:val="00F901F2"/>
    <w:rsid w:val="00F902B7"/>
    <w:rsid w:val="00F90349"/>
    <w:rsid w:val="00F904DB"/>
    <w:rsid w:val="00F90522"/>
    <w:rsid w:val="00F90632"/>
    <w:rsid w:val="00F90713"/>
    <w:rsid w:val="00F9096F"/>
    <w:rsid w:val="00F90EC8"/>
    <w:rsid w:val="00F91026"/>
    <w:rsid w:val="00F91189"/>
    <w:rsid w:val="00F913DA"/>
    <w:rsid w:val="00F914AC"/>
    <w:rsid w:val="00F914C1"/>
    <w:rsid w:val="00F914CF"/>
    <w:rsid w:val="00F9151F"/>
    <w:rsid w:val="00F917E1"/>
    <w:rsid w:val="00F91B6E"/>
    <w:rsid w:val="00F91EAC"/>
    <w:rsid w:val="00F91F54"/>
    <w:rsid w:val="00F92141"/>
    <w:rsid w:val="00F922E9"/>
    <w:rsid w:val="00F926A3"/>
    <w:rsid w:val="00F92C33"/>
    <w:rsid w:val="00F92DB8"/>
    <w:rsid w:val="00F93229"/>
    <w:rsid w:val="00F93556"/>
    <w:rsid w:val="00F936AC"/>
    <w:rsid w:val="00F936BA"/>
    <w:rsid w:val="00F93811"/>
    <w:rsid w:val="00F938D4"/>
    <w:rsid w:val="00F9391F"/>
    <w:rsid w:val="00F93B6D"/>
    <w:rsid w:val="00F93C16"/>
    <w:rsid w:val="00F93CCB"/>
    <w:rsid w:val="00F93CFC"/>
    <w:rsid w:val="00F93D7A"/>
    <w:rsid w:val="00F93DDA"/>
    <w:rsid w:val="00F93EC2"/>
    <w:rsid w:val="00F93EC7"/>
    <w:rsid w:val="00F9420C"/>
    <w:rsid w:val="00F942CE"/>
    <w:rsid w:val="00F9467E"/>
    <w:rsid w:val="00F94768"/>
    <w:rsid w:val="00F9499F"/>
    <w:rsid w:val="00F94B5D"/>
    <w:rsid w:val="00F94B9B"/>
    <w:rsid w:val="00F951F9"/>
    <w:rsid w:val="00F95290"/>
    <w:rsid w:val="00F952C2"/>
    <w:rsid w:val="00F95349"/>
    <w:rsid w:val="00F953AD"/>
    <w:rsid w:val="00F95551"/>
    <w:rsid w:val="00F95604"/>
    <w:rsid w:val="00F95734"/>
    <w:rsid w:val="00F958E7"/>
    <w:rsid w:val="00F95B87"/>
    <w:rsid w:val="00F95C30"/>
    <w:rsid w:val="00F95E66"/>
    <w:rsid w:val="00F96066"/>
    <w:rsid w:val="00F963F1"/>
    <w:rsid w:val="00F96423"/>
    <w:rsid w:val="00F96662"/>
    <w:rsid w:val="00F9690D"/>
    <w:rsid w:val="00F969DC"/>
    <w:rsid w:val="00F96A29"/>
    <w:rsid w:val="00F96F53"/>
    <w:rsid w:val="00F96FD3"/>
    <w:rsid w:val="00F970A4"/>
    <w:rsid w:val="00F9713B"/>
    <w:rsid w:val="00F9726D"/>
    <w:rsid w:val="00F9746F"/>
    <w:rsid w:val="00F9756F"/>
    <w:rsid w:val="00F977D9"/>
    <w:rsid w:val="00F97A94"/>
    <w:rsid w:val="00F97B33"/>
    <w:rsid w:val="00F97BC9"/>
    <w:rsid w:val="00F97DE3"/>
    <w:rsid w:val="00F97F8C"/>
    <w:rsid w:val="00F97FFA"/>
    <w:rsid w:val="00FA00C6"/>
    <w:rsid w:val="00FA00E5"/>
    <w:rsid w:val="00FA036B"/>
    <w:rsid w:val="00FA040C"/>
    <w:rsid w:val="00FA07A3"/>
    <w:rsid w:val="00FA0864"/>
    <w:rsid w:val="00FA09C0"/>
    <w:rsid w:val="00FA0AE2"/>
    <w:rsid w:val="00FA1270"/>
    <w:rsid w:val="00FA184F"/>
    <w:rsid w:val="00FA1BDE"/>
    <w:rsid w:val="00FA1BE8"/>
    <w:rsid w:val="00FA1C4D"/>
    <w:rsid w:val="00FA1CAC"/>
    <w:rsid w:val="00FA1EF7"/>
    <w:rsid w:val="00FA20F5"/>
    <w:rsid w:val="00FA21A8"/>
    <w:rsid w:val="00FA21F8"/>
    <w:rsid w:val="00FA237B"/>
    <w:rsid w:val="00FA2691"/>
    <w:rsid w:val="00FA26F7"/>
    <w:rsid w:val="00FA29CA"/>
    <w:rsid w:val="00FA2A6E"/>
    <w:rsid w:val="00FA2A79"/>
    <w:rsid w:val="00FA2AA9"/>
    <w:rsid w:val="00FA2AFE"/>
    <w:rsid w:val="00FA2BE0"/>
    <w:rsid w:val="00FA2C61"/>
    <w:rsid w:val="00FA2E05"/>
    <w:rsid w:val="00FA2F94"/>
    <w:rsid w:val="00FA3300"/>
    <w:rsid w:val="00FA34E9"/>
    <w:rsid w:val="00FA38A6"/>
    <w:rsid w:val="00FA3960"/>
    <w:rsid w:val="00FA39D7"/>
    <w:rsid w:val="00FA3BDB"/>
    <w:rsid w:val="00FA3BEB"/>
    <w:rsid w:val="00FA3FE4"/>
    <w:rsid w:val="00FA4096"/>
    <w:rsid w:val="00FA4141"/>
    <w:rsid w:val="00FA4324"/>
    <w:rsid w:val="00FA4330"/>
    <w:rsid w:val="00FA43F0"/>
    <w:rsid w:val="00FA4828"/>
    <w:rsid w:val="00FA4C16"/>
    <w:rsid w:val="00FA4C1E"/>
    <w:rsid w:val="00FA4EE9"/>
    <w:rsid w:val="00FA5034"/>
    <w:rsid w:val="00FA5208"/>
    <w:rsid w:val="00FA54CA"/>
    <w:rsid w:val="00FA55AD"/>
    <w:rsid w:val="00FA5649"/>
    <w:rsid w:val="00FA5722"/>
    <w:rsid w:val="00FA5CF3"/>
    <w:rsid w:val="00FA62A6"/>
    <w:rsid w:val="00FA6314"/>
    <w:rsid w:val="00FA660B"/>
    <w:rsid w:val="00FA66E3"/>
    <w:rsid w:val="00FA66F0"/>
    <w:rsid w:val="00FA683C"/>
    <w:rsid w:val="00FA6889"/>
    <w:rsid w:val="00FA6957"/>
    <w:rsid w:val="00FA6969"/>
    <w:rsid w:val="00FA6A66"/>
    <w:rsid w:val="00FA6AF8"/>
    <w:rsid w:val="00FA6B5B"/>
    <w:rsid w:val="00FA6BA0"/>
    <w:rsid w:val="00FA70F1"/>
    <w:rsid w:val="00FA7155"/>
    <w:rsid w:val="00FA7210"/>
    <w:rsid w:val="00FA725C"/>
    <w:rsid w:val="00FA74DE"/>
    <w:rsid w:val="00FA74FB"/>
    <w:rsid w:val="00FA7559"/>
    <w:rsid w:val="00FA75E4"/>
    <w:rsid w:val="00FA7D15"/>
    <w:rsid w:val="00FB0041"/>
    <w:rsid w:val="00FB0323"/>
    <w:rsid w:val="00FB03A8"/>
    <w:rsid w:val="00FB0914"/>
    <w:rsid w:val="00FB091B"/>
    <w:rsid w:val="00FB0A99"/>
    <w:rsid w:val="00FB0B73"/>
    <w:rsid w:val="00FB0CA1"/>
    <w:rsid w:val="00FB0E96"/>
    <w:rsid w:val="00FB0EA1"/>
    <w:rsid w:val="00FB11ED"/>
    <w:rsid w:val="00FB128B"/>
    <w:rsid w:val="00FB1509"/>
    <w:rsid w:val="00FB151E"/>
    <w:rsid w:val="00FB157C"/>
    <w:rsid w:val="00FB166E"/>
    <w:rsid w:val="00FB1732"/>
    <w:rsid w:val="00FB188C"/>
    <w:rsid w:val="00FB1955"/>
    <w:rsid w:val="00FB19D8"/>
    <w:rsid w:val="00FB1A06"/>
    <w:rsid w:val="00FB1DDE"/>
    <w:rsid w:val="00FB1E3D"/>
    <w:rsid w:val="00FB1EB9"/>
    <w:rsid w:val="00FB1EE9"/>
    <w:rsid w:val="00FB202B"/>
    <w:rsid w:val="00FB21B2"/>
    <w:rsid w:val="00FB21DC"/>
    <w:rsid w:val="00FB2202"/>
    <w:rsid w:val="00FB22C1"/>
    <w:rsid w:val="00FB22E3"/>
    <w:rsid w:val="00FB2386"/>
    <w:rsid w:val="00FB2539"/>
    <w:rsid w:val="00FB28DC"/>
    <w:rsid w:val="00FB2931"/>
    <w:rsid w:val="00FB2942"/>
    <w:rsid w:val="00FB294F"/>
    <w:rsid w:val="00FB299B"/>
    <w:rsid w:val="00FB2B24"/>
    <w:rsid w:val="00FB2EF4"/>
    <w:rsid w:val="00FB316C"/>
    <w:rsid w:val="00FB32B9"/>
    <w:rsid w:val="00FB3467"/>
    <w:rsid w:val="00FB36EC"/>
    <w:rsid w:val="00FB371C"/>
    <w:rsid w:val="00FB3780"/>
    <w:rsid w:val="00FB37B0"/>
    <w:rsid w:val="00FB3AD2"/>
    <w:rsid w:val="00FB3D47"/>
    <w:rsid w:val="00FB3E09"/>
    <w:rsid w:val="00FB3E48"/>
    <w:rsid w:val="00FB427F"/>
    <w:rsid w:val="00FB43A3"/>
    <w:rsid w:val="00FB44C4"/>
    <w:rsid w:val="00FB4505"/>
    <w:rsid w:val="00FB4564"/>
    <w:rsid w:val="00FB45EB"/>
    <w:rsid w:val="00FB4785"/>
    <w:rsid w:val="00FB494B"/>
    <w:rsid w:val="00FB497F"/>
    <w:rsid w:val="00FB49DF"/>
    <w:rsid w:val="00FB4C53"/>
    <w:rsid w:val="00FB4D26"/>
    <w:rsid w:val="00FB4D91"/>
    <w:rsid w:val="00FB4FB5"/>
    <w:rsid w:val="00FB50CD"/>
    <w:rsid w:val="00FB51AD"/>
    <w:rsid w:val="00FB53E5"/>
    <w:rsid w:val="00FB5496"/>
    <w:rsid w:val="00FB5774"/>
    <w:rsid w:val="00FB578A"/>
    <w:rsid w:val="00FB5CBA"/>
    <w:rsid w:val="00FB5EBC"/>
    <w:rsid w:val="00FB6039"/>
    <w:rsid w:val="00FB6155"/>
    <w:rsid w:val="00FB644C"/>
    <w:rsid w:val="00FB6680"/>
    <w:rsid w:val="00FB6835"/>
    <w:rsid w:val="00FB6C0B"/>
    <w:rsid w:val="00FB6CDE"/>
    <w:rsid w:val="00FB75F7"/>
    <w:rsid w:val="00FB767B"/>
    <w:rsid w:val="00FB7799"/>
    <w:rsid w:val="00FB77ED"/>
    <w:rsid w:val="00FB7C09"/>
    <w:rsid w:val="00FB7C2C"/>
    <w:rsid w:val="00FB7D17"/>
    <w:rsid w:val="00FB7E29"/>
    <w:rsid w:val="00FC0234"/>
    <w:rsid w:val="00FC02BC"/>
    <w:rsid w:val="00FC0490"/>
    <w:rsid w:val="00FC05B8"/>
    <w:rsid w:val="00FC0621"/>
    <w:rsid w:val="00FC07FA"/>
    <w:rsid w:val="00FC085B"/>
    <w:rsid w:val="00FC08EB"/>
    <w:rsid w:val="00FC0D00"/>
    <w:rsid w:val="00FC0E3B"/>
    <w:rsid w:val="00FC0F37"/>
    <w:rsid w:val="00FC105A"/>
    <w:rsid w:val="00FC1113"/>
    <w:rsid w:val="00FC1139"/>
    <w:rsid w:val="00FC1349"/>
    <w:rsid w:val="00FC13E8"/>
    <w:rsid w:val="00FC154F"/>
    <w:rsid w:val="00FC1765"/>
    <w:rsid w:val="00FC17F1"/>
    <w:rsid w:val="00FC1C96"/>
    <w:rsid w:val="00FC1CF4"/>
    <w:rsid w:val="00FC2171"/>
    <w:rsid w:val="00FC2290"/>
    <w:rsid w:val="00FC23A6"/>
    <w:rsid w:val="00FC2448"/>
    <w:rsid w:val="00FC24EB"/>
    <w:rsid w:val="00FC2584"/>
    <w:rsid w:val="00FC27A5"/>
    <w:rsid w:val="00FC28EB"/>
    <w:rsid w:val="00FC2931"/>
    <w:rsid w:val="00FC2AB7"/>
    <w:rsid w:val="00FC2BA0"/>
    <w:rsid w:val="00FC2CE9"/>
    <w:rsid w:val="00FC2D09"/>
    <w:rsid w:val="00FC2E9E"/>
    <w:rsid w:val="00FC2FBC"/>
    <w:rsid w:val="00FC2FE6"/>
    <w:rsid w:val="00FC32B9"/>
    <w:rsid w:val="00FC33CB"/>
    <w:rsid w:val="00FC35AE"/>
    <w:rsid w:val="00FC3891"/>
    <w:rsid w:val="00FC3967"/>
    <w:rsid w:val="00FC396E"/>
    <w:rsid w:val="00FC3A43"/>
    <w:rsid w:val="00FC3A61"/>
    <w:rsid w:val="00FC3A7F"/>
    <w:rsid w:val="00FC3BA8"/>
    <w:rsid w:val="00FC3CF0"/>
    <w:rsid w:val="00FC405A"/>
    <w:rsid w:val="00FC43A0"/>
    <w:rsid w:val="00FC468C"/>
    <w:rsid w:val="00FC493E"/>
    <w:rsid w:val="00FC4B46"/>
    <w:rsid w:val="00FC4C6A"/>
    <w:rsid w:val="00FC4D1F"/>
    <w:rsid w:val="00FC4D7F"/>
    <w:rsid w:val="00FC4DDF"/>
    <w:rsid w:val="00FC5148"/>
    <w:rsid w:val="00FC5389"/>
    <w:rsid w:val="00FC54C4"/>
    <w:rsid w:val="00FC55D0"/>
    <w:rsid w:val="00FC5870"/>
    <w:rsid w:val="00FC587E"/>
    <w:rsid w:val="00FC5952"/>
    <w:rsid w:val="00FC597C"/>
    <w:rsid w:val="00FC59B0"/>
    <w:rsid w:val="00FC5B10"/>
    <w:rsid w:val="00FC60E3"/>
    <w:rsid w:val="00FC6388"/>
    <w:rsid w:val="00FC67F7"/>
    <w:rsid w:val="00FC6869"/>
    <w:rsid w:val="00FC6957"/>
    <w:rsid w:val="00FC6DB4"/>
    <w:rsid w:val="00FC6E67"/>
    <w:rsid w:val="00FC70DF"/>
    <w:rsid w:val="00FC75D3"/>
    <w:rsid w:val="00FC766E"/>
    <w:rsid w:val="00FC79C3"/>
    <w:rsid w:val="00FC79E0"/>
    <w:rsid w:val="00FC7B84"/>
    <w:rsid w:val="00FC7CEC"/>
    <w:rsid w:val="00FC7D18"/>
    <w:rsid w:val="00FC7E2C"/>
    <w:rsid w:val="00FC7F94"/>
    <w:rsid w:val="00FD0064"/>
    <w:rsid w:val="00FD0359"/>
    <w:rsid w:val="00FD0442"/>
    <w:rsid w:val="00FD050A"/>
    <w:rsid w:val="00FD0512"/>
    <w:rsid w:val="00FD0584"/>
    <w:rsid w:val="00FD05B8"/>
    <w:rsid w:val="00FD0848"/>
    <w:rsid w:val="00FD0994"/>
    <w:rsid w:val="00FD0A1B"/>
    <w:rsid w:val="00FD0BAC"/>
    <w:rsid w:val="00FD0D6A"/>
    <w:rsid w:val="00FD0D94"/>
    <w:rsid w:val="00FD11BA"/>
    <w:rsid w:val="00FD14C4"/>
    <w:rsid w:val="00FD1663"/>
    <w:rsid w:val="00FD17FC"/>
    <w:rsid w:val="00FD1836"/>
    <w:rsid w:val="00FD1A6D"/>
    <w:rsid w:val="00FD1C9E"/>
    <w:rsid w:val="00FD1D18"/>
    <w:rsid w:val="00FD1E6E"/>
    <w:rsid w:val="00FD1F8D"/>
    <w:rsid w:val="00FD214E"/>
    <w:rsid w:val="00FD2375"/>
    <w:rsid w:val="00FD2439"/>
    <w:rsid w:val="00FD2446"/>
    <w:rsid w:val="00FD2564"/>
    <w:rsid w:val="00FD2707"/>
    <w:rsid w:val="00FD32E7"/>
    <w:rsid w:val="00FD3400"/>
    <w:rsid w:val="00FD350C"/>
    <w:rsid w:val="00FD3523"/>
    <w:rsid w:val="00FD35ED"/>
    <w:rsid w:val="00FD3865"/>
    <w:rsid w:val="00FD3BA0"/>
    <w:rsid w:val="00FD3DA1"/>
    <w:rsid w:val="00FD40AE"/>
    <w:rsid w:val="00FD42E4"/>
    <w:rsid w:val="00FD4498"/>
    <w:rsid w:val="00FD4611"/>
    <w:rsid w:val="00FD4648"/>
    <w:rsid w:val="00FD4856"/>
    <w:rsid w:val="00FD4A43"/>
    <w:rsid w:val="00FD4BF9"/>
    <w:rsid w:val="00FD4DD6"/>
    <w:rsid w:val="00FD4EC8"/>
    <w:rsid w:val="00FD500D"/>
    <w:rsid w:val="00FD506B"/>
    <w:rsid w:val="00FD50BF"/>
    <w:rsid w:val="00FD540A"/>
    <w:rsid w:val="00FD54EF"/>
    <w:rsid w:val="00FD5562"/>
    <w:rsid w:val="00FD5664"/>
    <w:rsid w:val="00FD572F"/>
    <w:rsid w:val="00FD596F"/>
    <w:rsid w:val="00FD5A84"/>
    <w:rsid w:val="00FD5D11"/>
    <w:rsid w:val="00FD5D84"/>
    <w:rsid w:val="00FD5DE1"/>
    <w:rsid w:val="00FD5DEA"/>
    <w:rsid w:val="00FD5FB3"/>
    <w:rsid w:val="00FD61DE"/>
    <w:rsid w:val="00FD6594"/>
    <w:rsid w:val="00FD65FF"/>
    <w:rsid w:val="00FD6938"/>
    <w:rsid w:val="00FD6A3E"/>
    <w:rsid w:val="00FD6AB5"/>
    <w:rsid w:val="00FD6BBB"/>
    <w:rsid w:val="00FD6BDD"/>
    <w:rsid w:val="00FD6C1B"/>
    <w:rsid w:val="00FD6EA4"/>
    <w:rsid w:val="00FD714D"/>
    <w:rsid w:val="00FD72A1"/>
    <w:rsid w:val="00FD73EE"/>
    <w:rsid w:val="00FD7597"/>
    <w:rsid w:val="00FD7747"/>
    <w:rsid w:val="00FD7A4E"/>
    <w:rsid w:val="00FD7D02"/>
    <w:rsid w:val="00FD7E85"/>
    <w:rsid w:val="00FD7EC3"/>
    <w:rsid w:val="00FD7EE6"/>
    <w:rsid w:val="00FD7EE7"/>
    <w:rsid w:val="00FE0099"/>
    <w:rsid w:val="00FE0119"/>
    <w:rsid w:val="00FE0228"/>
    <w:rsid w:val="00FE089B"/>
    <w:rsid w:val="00FE0A02"/>
    <w:rsid w:val="00FE0B14"/>
    <w:rsid w:val="00FE0B40"/>
    <w:rsid w:val="00FE0FE1"/>
    <w:rsid w:val="00FE1007"/>
    <w:rsid w:val="00FE1110"/>
    <w:rsid w:val="00FE1166"/>
    <w:rsid w:val="00FE1333"/>
    <w:rsid w:val="00FE14FF"/>
    <w:rsid w:val="00FE153D"/>
    <w:rsid w:val="00FE16F6"/>
    <w:rsid w:val="00FE188A"/>
    <w:rsid w:val="00FE1E09"/>
    <w:rsid w:val="00FE1E17"/>
    <w:rsid w:val="00FE1EB9"/>
    <w:rsid w:val="00FE20C8"/>
    <w:rsid w:val="00FE21E5"/>
    <w:rsid w:val="00FE25C6"/>
    <w:rsid w:val="00FE2637"/>
    <w:rsid w:val="00FE2682"/>
    <w:rsid w:val="00FE275E"/>
    <w:rsid w:val="00FE2830"/>
    <w:rsid w:val="00FE284A"/>
    <w:rsid w:val="00FE28F3"/>
    <w:rsid w:val="00FE297E"/>
    <w:rsid w:val="00FE299D"/>
    <w:rsid w:val="00FE2BDD"/>
    <w:rsid w:val="00FE2BF4"/>
    <w:rsid w:val="00FE2C06"/>
    <w:rsid w:val="00FE2E1B"/>
    <w:rsid w:val="00FE2E43"/>
    <w:rsid w:val="00FE2F3A"/>
    <w:rsid w:val="00FE2FF3"/>
    <w:rsid w:val="00FE3053"/>
    <w:rsid w:val="00FE32C9"/>
    <w:rsid w:val="00FE35AB"/>
    <w:rsid w:val="00FE364F"/>
    <w:rsid w:val="00FE36B7"/>
    <w:rsid w:val="00FE3A5A"/>
    <w:rsid w:val="00FE4174"/>
    <w:rsid w:val="00FE428F"/>
    <w:rsid w:val="00FE42F2"/>
    <w:rsid w:val="00FE45D4"/>
    <w:rsid w:val="00FE465D"/>
    <w:rsid w:val="00FE473D"/>
    <w:rsid w:val="00FE4950"/>
    <w:rsid w:val="00FE4C1D"/>
    <w:rsid w:val="00FE4DBE"/>
    <w:rsid w:val="00FE502C"/>
    <w:rsid w:val="00FE5336"/>
    <w:rsid w:val="00FE55B5"/>
    <w:rsid w:val="00FE55E3"/>
    <w:rsid w:val="00FE5657"/>
    <w:rsid w:val="00FE5C3A"/>
    <w:rsid w:val="00FE5CB0"/>
    <w:rsid w:val="00FE5CE3"/>
    <w:rsid w:val="00FE5DF5"/>
    <w:rsid w:val="00FE5E13"/>
    <w:rsid w:val="00FE5EC3"/>
    <w:rsid w:val="00FE6248"/>
    <w:rsid w:val="00FE6368"/>
    <w:rsid w:val="00FE638B"/>
    <w:rsid w:val="00FE63D9"/>
    <w:rsid w:val="00FE64C3"/>
    <w:rsid w:val="00FE64CF"/>
    <w:rsid w:val="00FE66CE"/>
    <w:rsid w:val="00FE66F9"/>
    <w:rsid w:val="00FE6770"/>
    <w:rsid w:val="00FE6892"/>
    <w:rsid w:val="00FE6909"/>
    <w:rsid w:val="00FE69F0"/>
    <w:rsid w:val="00FE6AE5"/>
    <w:rsid w:val="00FE6C23"/>
    <w:rsid w:val="00FE6E8E"/>
    <w:rsid w:val="00FE7029"/>
    <w:rsid w:val="00FE7571"/>
    <w:rsid w:val="00FE7641"/>
    <w:rsid w:val="00FE765C"/>
    <w:rsid w:val="00FE76A5"/>
    <w:rsid w:val="00FE7B72"/>
    <w:rsid w:val="00FE7BD3"/>
    <w:rsid w:val="00FE7BD7"/>
    <w:rsid w:val="00FE7C11"/>
    <w:rsid w:val="00FE7E9F"/>
    <w:rsid w:val="00FF00B3"/>
    <w:rsid w:val="00FF0151"/>
    <w:rsid w:val="00FF01B0"/>
    <w:rsid w:val="00FF01F1"/>
    <w:rsid w:val="00FF031E"/>
    <w:rsid w:val="00FF037F"/>
    <w:rsid w:val="00FF03BC"/>
    <w:rsid w:val="00FF0419"/>
    <w:rsid w:val="00FF08A1"/>
    <w:rsid w:val="00FF0A2A"/>
    <w:rsid w:val="00FF0BA9"/>
    <w:rsid w:val="00FF0F42"/>
    <w:rsid w:val="00FF0F67"/>
    <w:rsid w:val="00FF10E0"/>
    <w:rsid w:val="00FF11D1"/>
    <w:rsid w:val="00FF135D"/>
    <w:rsid w:val="00FF1645"/>
    <w:rsid w:val="00FF165B"/>
    <w:rsid w:val="00FF184A"/>
    <w:rsid w:val="00FF1987"/>
    <w:rsid w:val="00FF1992"/>
    <w:rsid w:val="00FF1A4C"/>
    <w:rsid w:val="00FF1A78"/>
    <w:rsid w:val="00FF1B58"/>
    <w:rsid w:val="00FF1CFD"/>
    <w:rsid w:val="00FF1ECB"/>
    <w:rsid w:val="00FF2024"/>
    <w:rsid w:val="00FF2035"/>
    <w:rsid w:val="00FF225E"/>
    <w:rsid w:val="00FF24F6"/>
    <w:rsid w:val="00FF25DB"/>
    <w:rsid w:val="00FF27A3"/>
    <w:rsid w:val="00FF29F4"/>
    <w:rsid w:val="00FF2C8A"/>
    <w:rsid w:val="00FF2D9F"/>
    <w:rsid w:val="00FF325F"/>
    <w:rsid w:val="00FF32AA"/>
    <w:rsid w:val="00FF3300"/>
    <w:rsid w:val="00FF34B6"/>
    <w:rsid w:val="00FF390D"/>
    <w:rsid w:val="00FF39F0"/>
    <w:rsid w:val="00FF3D85"/>
    <w:rsid w:val="00FF3F38"/>
    <w:rsid w:val="00FF3FDA"/>
    <w:rsid w:val="00FF415A"/>
    <w:rsid w:val="00FF43C5"/>
    <w:rsid w:val="00FF454E"/>
    <w:rsid w:val="00FF477D"/>
    <w:rsid w:val="00FF485A"/>
    <w:rsid w:val="00FF498D"/>
    <w:rsid w:val="00FF4A87"/>
    <w:rsid w:val="00FF4B40"/>
    <w:rsid w:val="00FF4CA3"/>
    <w:rsid w:val="00FF4FD5"/>
    <w:rsid w:val="00FF4FFE"/>
    <w:rsid w:val="00FF50FF"/>
    <w:rsid w:val="00FF51E7"/>
    <w:rsid w:val="00FF534F"/>
    <w:rsid w:val="00FF5688"/>
    <w:rsid w:val="00FF5931"/>
    <w:rsid w:val="00FF5EE3"/>
    <w:rsid w:val="00FF6156"/>
    <w:rsid w:val="00FF61F1"/>
    <w:rsid w:val="00FF66E0"/>
    <w:rsid w:val="00FF6816"/>
    <w:rsid w:val="00FF69A3"/>
    <w:rsid w:val="00FF6CB5"/>
    <w:rsid w:val="00FF6D45"/>
    <w:rsid w:val="00FF6DD8"/>
    <w:rsid w:val="00FF6E1F"/>
    <w:rsid w:val="00FF7210"/>
    <w:rsid w:val="00FF722C"/>
    <w:rsid w:val="00FF73C4"/>
    <w:rsid w:val="00FF7412"/>
    <w:rsid w:val="00FF79DE"/>
    <w:rsid w:val="00FF7B12"/>
    <w:rsid w:val="00FF7B71"/>
    <w:rsid w:val="00FF7BAC"/>
    <w:rsid w:val="00FF7EF2"/>
    <w:rsid w:val="00FF7F6A"/>
    <w:rsid w:val="01001B5E"/>
    <w:rsid w:val="01011432"/>
    <w:rsid w:val="0103164E"/>
    <w:rsid w:val="010333FC"/>
    <w:rsid w:val="01042CD0"/>
    <w:rsid w:val="01051131"/>
    <w:rsid w:val="010827C0"/>
    <w:rsid w:val="01086DF8"/>
    <w:rsid w:val="01094653"/>
    <w:rsid w:val="010A3197"/>
    <w:rsid w:val="010A3C11"/>
    <w:rsid w:val="010A478A"/>
    <w:rsid w:val="010B22B0"/>
    <w:rsid w:val="010C29B1"/>
    <w:rsid w:val="010D427B"/>
    <w:rsid w:val="01101675"/>
    <w:rsid w:val="011078C7"/>
    <w:rsid w:val="011765AA"/>
    <w:rsid w:val="01196180"/>
    <w:rsid w:val="011B0745"/>
    <w:rsid w:val="011B6997"/>
    <w:rsid w:val="011E0236"/>
    <w:rsid w:val="01200F7F"/>
    <w:rsid w:val="01211AD4"/>
    <w:rsid w:val="01214875"/>
    <w:rsid w:val="012375FA"/>
    <w:rsid w:val="01255120"/>
    <w:rsid w:val="0127533C"/>
    <w:rsid w:val="012A4E2C"/>
    <w:rsid w:val="012F2443"/>
    <w:rsid w:val="01303AC5"/>
    <w:rsid w:val="01311D17"/>
    <w:rsid w:val="01325A8F"/>
    <w:rsid w:val="0133483E"/>
    <w:rsid w:val="013435B5"/>
    <w:rsid w:val="0135303D"/>
    <w:rsid w:val="0136557F"/>
    <w:rsid w:val="013730A5"/>
    <w:rsid w:val="01390BCC"/>
    <w:rsid w:val="01396D1C"/>
    <w:rsid w:val="01396E1E"/>
    <w:rsid w:val="013C690E"/>
    <w:rsid w:val="013D290D"/>
    <w:rsid w:val="013F2545"/>
    <w:rsid w:val="01401F5A"/>
    <w:rsid w:val="014365C7"/>
    <w:rsid w:val="014B07F6"/>
    <w:rsid w:val="014B3EC8"/>
    <w:rsid w:val="014C6B51"/>
    <w:rsid w:val="01521C8D"/>
    <w:rsid w:val="01524DE4"/>
    <w:rsid w:val="015408C4"/>
    <w:rsid w:val="015679D0"/>
    <w:rsid w:val="015772A4"/>
    <w:rsid w:val="015A3576"/>
    <w:rsid w:val="015B3238"/>
    <w:rsid w:val="015F2A8F"/>
    <w:rsid w:val="015F4817"/>
    <w:rsid w:val="015F7975"/>
    <w:rsid w:val="0160084E"/>
    <w:rsid w:val="016245C6"/>
    <w:rsid w:val="016340E6"/>
    <w:rsid w:val="01696696"/>
    <w:rsid w:val="016A5229"/>
    <w:rsid w:val="016C134C"/>
    <w:rsid w:val="016D6AC7"/>
    <w:rsid w:val="01704002"/>
    <w:rsid w:val="0173611A"/>
    <w:rsid w:val="01741240"/>
    <w:rsid w:val="01763BCE"/>
    <w:rsid w:val="01785B98"/>
    <w:rsid w:val="017B11E4"/>
    <w:rsid w:val="017B2F92"/>
    <w:rsid w:val="017D70B8"/>
    <w:rsid w:val="017E108F"/>
    <w:rsid w:val="017F555F"/>
    <w:rsid w:val="018067FB"/>
    <w:rsid w:val="01826A17"/>
    <w:rsid w:val="01830099"/>
    <w:rsid w:val="01833C12"/>
    <w:rsid w:val="018362EB"/>
    <w:rsid w:val="01884F7A"/>
    <w:rsid w:val="018B153E"/>
    <w:rsid w:val="018B1C01"/>
    <w:rsid w:val="018E2F0E"/>
    <w:rsid w:val="018E781B"/>
    <w:rsid w:val="019422A6"/>
    <w:rsid w:val="019B1886"/>
    <w:rsid w:val="019B3879"/>
    <w:rsid w:val="019D3DF1"/>
    <w:rsid w:val="019F1377"/>
    <w:rsid w:val="01A15995"/>
    <w:rsid w:val="01A15D0B"/>
    <w:rsid w:val="01A26771"/>
    <w:rsid w:val="01A947E6"/>
    <w:rsid w:val="01AA1AC9"/>
    <w:rsid w:val="01AA3877"/>
    <w:rsid w:val="01AB42B5"/>
    <w:rsid w:val="01AC5842"/>
    <w:rsid w:val="01AC75F0"/>
    <w:rsid w:val="01AE15BA"/>
    <w:rsid w:val="01AE427A"/>
    <w:rsid w:val="01AE77C6"/>
    <w:rsid w:val="01AF5DA4"/>
    <w:rsid w:val="01B021A3"/>
    <w:rsid w:val="01B3097E"/>
    <w:rsid w:val="01B464A4"/>
    <w:rsid w:val="01B821A6"/>
    <w:rsid w:val="01B86CD9"/>
    <w:rsid w:val="01BA22B8"/>
    <w:rsid w:val="01BD7A4F"/>
    <w:rsid w:val="01BF5575"/>
    <w:rsid w:val="01C630F0"/>
    <w:rsid w:val="01C71945"/>
    <w:rsid w:val="01C74429"/>
    <w:rsid w:val="01C77DCE"/>
    <w:rsid w:val="01C80D4E"/>
    <w:rsid w:val="01CA3F1A"/>
    <w:rsid w:val="01CA5BE2"/>
    <w:rsid w:val="01CB4A66"/>
    <w:rsid w:val="01D152A8"/>
    <w:rsid w:val="01D34365"/>
    <w:rsid w:val="01D45666"/>
    <w:rsid w:val="01D60B10"/>
    <w:rsid w:val="01D6357A"/>
    <w:rsid w:val="01D717C3"/>
    <w:rsid w:val="01D837BB"/>
    <w:rsid w:val="01DA226F"/>
    <w:rsid w:val="01DB6127"/>
    <w:rsid w:val="01DC4E05"/>
    <w:rsid w:val="01DD59FB"/>
    <w:rsid w:val="01DF713D"/>
    <w:rsid w:val="01DF79C5"/>
    <w:rsid w:val="01E054EB"/>
    <w:rsid w:val="01E27A17"/>
    <w:rsid w:val="01E738C7"/>
    <w:rsid w:val="01E84DFB"/>
    <w:rsid w:val="01EA0118"/>
    <w:rsid w:val="01EC5C3E"/>
    <w:rsid w:val="01EC72D6"/>
    <w:rsid w:val="01EF122A"/>
    <w:rsid w:val="01F01FA1"/>
    <w:rsid w:val="01F05290"/>
    <w:rsid w:val="01F12967"/>
    <w:rsid w:val="01F176F8"/>
    <w:rsid w:val="01F20F27"/>
    <w:rsid w:val="01F21968"/>
    <w:rsid w:val="01F30330"/>
    <w:rsid w:val="01F41614"/>
    <w:rsid w:val="01F768FA"/>
    <w:rsid w:val="01FE5297"/>
    <w:rsid w:val="02002788"/>
    <w:rsid w:val="0200793B"/>
    <w:rsid w:val="02026BAC"/>
    <w:rsid w:val="020359F8"/>
    <w:rsid w:val="0206347E"/>
    <w:rsid w:val="02070CCA"/>
    <w:rsid w:val="0207305F"/>
    <w:rsid w:val="02076F1C"/>
    <w:rsid w:val="020900E5"/>
    <w:rsid w:val="02094F21"/>
    <w:rsid w:val="020B16A6"/>
    <w:rsid w:val="020B1E3F"/>
    <w:rsid w:val="020F0807"/>
    <w:rsid w:val="020F59C0"/>
    <w:rsid w:val="02104157"/>
    <w:rsid w:val="02104A5E"/>
    <w:rsid w:val="02105DD0"/>
    <w:rsid w:val="02151639"/>
    <w:rsid w:val="02186A33"/>
    <w:rsid w:val="021A27AB"/>
    <w:rsid w:val="021E41D8"/>
    <w:rsid w:val="021E7C7C"/>
    <w:rsid w:val="021F4265"/>
    <w:rsid w:val="0220040D"/>
    <w:rsid w:val="02217FDE"/>
    <w:rsid w:val="022573A2"/>
    <w:rsid w:val="02262C8F"/>
    <w:rsid w:val="022B3A92"/>
    <w:rsid w:val="022C0730"/>
    <w:rsid w:val="02317AF5"/>
    <w:rsid w:val="02337D11"/>
    <w:rsid w:val="02340125"/>
    <w:rsid w:val="02355837"/>
    <w:rsid w:val="023567F6"/>
    <w:rsid w:val="023615AF"/>
    <w:rsid w:val="02366D2D"/>
    <w:rsid w:val="02380E83"/>
    <w:rsid w:val="0239424E"/>
    <w:rsid w:val="023A11D8"/>
    <w:rsid w:val="023A5678"/>
    <w:rsid w:val="023B2668"/>
    <w:rsid w:val="023F66B6"/>
    <w:rsid w:val="02405F8A"/>
    <w:rsid w:val="02447828"/>
    <w:rsid w:val="02477318"/>
    <w:rsid w:val="024A0BB7"/>
    <w:rsid w:val="024A0ED2"/>
    <w:rsid w:val="024B6E08"/>
    <w:rsid w:val="024C492F"/>
    <w:rsid w:val="024E68F9"/>
    <w:rsid w:val="02531AEC"/>
    <w:rsid w:val="02547464"/>
    <w:rsid w:val="02555ED9"/>
    <w:rsid w:val="02571F5C"/>
    <w:rsid w:val="025739FF"/>
    <w:rsid w:val="02582B47"/>
    <w:rsid w:val="025B2DC4"/>
    <w:rsid w:val="025C7268"/>
    <w:rsid w:val="025F66DA"/>
    <w:rsid w:val="026305F6"/>
    <w:rsid w:val="02644444"/>
    <w:rsid w:val="02653522"/>
    <w:rsid w:val="02663EAD"/>
    <w:rsid w:val="026779BA"/>
    <w:rsid w:val="026901AD"/>
    <w:rsid w:val="026A3B24"/>
    <w:rsid w:val="0270686F"/>
    <w:rsid w:val="02732A09"/>
    <w:rsid w:val="027475EC"/>
    <w:rsid w:val="02750329"/>
    <w:rsid w:val="027520D7"/>
    <w:rsid w:val="0277619F"/>
    <w:rsid w:val="027A344C"/>
    <w:rsid w:val="027A5940"/>
    <w:rsid w:val="027A7612"/>
    <w:rsid w:val="027B01B1"/>
    <w:rsid w:val="027C5214"/>
    <w:rsid w:val="027F090F"/>
    <w:rsid w:val="027F6AB2"/>
    <w:rsid w:val="02801FC7"/>
    <w:rsid w:val="028027AF"/>
    <w:rsid w:val="02820350"/>
    <w:rsid w:val="02840131"/>
    <w:rsid w:val="0284231A"/>
    <w:rsid w:val="0285377D"/>
    <w:rsid w:val="0285730E"/>
    <w:rsid w:val="0285782E"/>
    <w:rsid w:val="0288005D"/>
    <w:rsid w:val="02881B88"/>
    <w:rsid w:val="028829D6"/>
    <w:rsid w:val="028916DF"/>
    <w:rsid w:val="02893F3B"/>
    <w:rsid w:val="02895B83"/>
    <w:rsid w:val="028F50E6"/>
    <w:rsid w:val="02910859"/>
    <w:rsid w:val="02922C89"/>
    <w:rsid w:val="02924A37"/>
    <w:rsid w:val="02936A01"/>
    <w:rsid w:val="029503A8"/>
    <w:rsid w:val="0299351D"/>
    <w:rsid w:val="029B2F6D"/>
    <w:rsid w:val="029C612E"/>
    <w:rsid w:val="029F0F02"/>
    <w:rsid w:val="029F53A6"/>
    <w:rsid w:val="02A12ECC"/>
    <w:rsid w:val="02A36E18"/>
    <w:rsid w:val="02A824AD"/>
    <w:rsid w:val="02A86784"/>
    <w:rsid w:val="02AB2095"/>
    <w:rsid w:val="02AB558C"/>
    <w:rsid w:val="02AB78A7"/>
    <w:rsid w:val="02AF6C05"/>
    <w:rsid w:val="02B0310F"/>
    <w:rsid w:val="02B250DA"/>
    <w:rsid w:val="02B7624C"/>
    <w:rsid w:val="02BE3A7E"/>
    <w:rsid w:val="02C10646"/>
    <w:rsid w:val="02C3371F"/>
    <w:rsid w:val="02C35A8C"/>
    <w:rsid w:val="02C4662B"/>
    <w:rsid w:val="02C848FD"/>
    <w:rsid w:val="02C866AB"/>
    <w:rsid w:val="02D54924"/>
    <w:rsid w:val="02D7069C"/>
    <w:rsid w:val="02D74B40"/>
    <w:rsid w:val="02D90FB5"/>
    <w:rsid w:val="02DA018C"/>
    <w:rsid w:val="02DB4A40"/>
    <w:rsid w:val="02DD1A2B"/>
    <w:rsid w:val="02DF17B7"/>
    <w:rsid w:val="02DF206A"/>
    <w:rsid w:val="02E132C9"/>
    <w:rsid w:val="02E23A09"/>
    <w:rsid w:val="02E31D91"/>
    <w:rsid w:val="02E35293"/>
    <w:rsid w:val="02E5074D"/>
    <w:rsid w:val="02E9543A"/>
    <w:rsid w:val="02EB239A"/>
    <w:rsid w:val="02EC54FC"/>
    <w:rsid w:val="02EE0F9E"/>
    <w:rsid w:val="02F2197A"/>
    <w:rsid w:val="02F2300F"/>
    <w:rsid w:val="02F23728"/>
    <w:rsid w:val="02F247CC"/>
    <w:rsid w:val="02F62AAB"/>
    <w:rsid w:val="02FA082F"/>
    <w:rsid w:val="02FC6355"/>
    <w:rsid w:val="02FE0DF2"/>
    <w:rsid w:val="02FE6C6B"/>
    <w:rsid w:val="02FF5E45"/>
    <w:rsid w:val="03015719"/>
    <w:rsid w:val="030238E4"/>
    <w:rsid w:val="03035935"/>
    <w:rsid w:val="03060F81"/>
    <w:rsid w:val="03074923"/>
    <w:rsid w:val="03074F92"/>
    <w:rsid w:val="03082F4B"/>
    <w:rsid w:val="03086AA8"/>
    <w:rsid w:val="03097F81"/>
    <w:rsid w:val="030B27C9"/>
    <w:rsid w:val="030E5CC5"/>
    <w:rsid w:val="030F2F39"/>
    <w:rsid w:val="03103BAE"/>
    <w:rsid w:val="03140F5D"/>
    <w:rsid w:val="03165668"/>
    <w:rsid w:val="0317318F"/>
    <w:rsid w:val="03177532"/>
    <w:rsid w:val="03190CB5"/>
    <w:rsid w:val="03195159"/>
    <w:rsid w:val="031C02A5"/>
    <w:rsid w:val="031D1575"/>
    <w:rsid w:val="031D766C"/>
    <w:rsid w:val="031E03CF"/>
    <w:rsid w:val="031E276F"/>
    <w:rsid w:val="032064E7"/>
    <w:rsid w:val="03252FBE"/>
    <w:rsid w:val="03280EF8"/>
    <w:rsid w:val="0328539C"/>
    <w:rsid w:val="033124A2"/>
    <w:rsid w:val="03323B24"/>
    <w:rsid w:val="0332621A"/>
    <w:rsid w:val="03345AEF"/>
    <w:rsid w:val="03367AB9"/>
    <w:rsid w:val="033755DF"/>
    <w:rsid w:val="03393105"/>
    <w:rsid w:val="033B50CF"/>
    <w:rsid w:val="033E071B"/>
    <w:rsid w:val="033E4BBF"/>
    <w:rsid w:val="033E696D"/>
    <w:rsid w:val="033F6241"/>
    <w:rsid w:val="03404493"/>
    <w:rsid w:val="03407473"/>
    <w:rsid w:val="0344528B"/>
    <w:rsid w:val="034540A1"/>
    <w:rsid w:val="0348159A"/>
    <w:rsid w:val="03483348"/>
    <w:rsid w:val="034877EC"/>
    <w:rsid w:val="034A0620"/>
    <w:rsid w:val="034A70C0"/>
    <w:rsid w:val="034F0B7A"/>
    <w:rsid w:val="0350044F"/>
    <w:rsid w:val="035148F2"/>
    <w:rsid w:val="035166A0"/>
    <w:rsid w:val="035241C7"/>
    <w:rsid w:val="03561459"/>
    <w:rsid w:val="035717DD"/>
    <w:rsid w:val="035B12CD"/>
    <w:rsid w:val="035C4902"/>
    <w:rsid w:val="035D3297"/>
    <w:rsid w:val="035E700F"/>
    <w:rsid w:val="03604B36"/>
    <w:rsid w:val="0361034C"/>
    <w:rsid w:val="0361440A"/>
    <w:rsid w:val="03617BE6"/>
    <w:rsid w:val="03676684"/>
    <w:rsid w:val="036B6853"/>
    <w:rsid w:val="036C34DA"/>
    <w:rsid w:val="036D28B4"/>
    <w:rsid w:val="036D5585"/>
    <w:rsid w:val="036F1ED1"/>
    <w:rsid w:val="036F6B27"/>
    <w:rsid w:val="0370381D"/>
    <w:rsid w:val="0370464D"/>
    <w:rsid w:val="037203C5"/>
    <w:rsid w:val="037403E7"/>
    <w:rsid w:val="0374238F"/>
    <w:rsid w:val="037472F8"/>
    <w:rsid w:val="03771E7F"/>
    <w:rsid w:val="037B00CE"/>
    <w:rsid w:val="037B0283"/>
    <w:rsid w:val="03800D34"/>
    <w:rsid w:val="03822CFE"/>
    <w:rsid w:val="03886477"/>
    <w:rsid w:val="03892C16"/>
    <w:rsid w:val="038A1B1E"/>
    <w:rsid w:val="038A570F"/>
    <w:rsid w:val="038B0F07"/>
    <w:rsid w:val="03906A9D"/>
    <w:rsid w:val="03920A67"/>
    <w:rsid w:val="039365CC"/>
    <w:rsid w:val="03936CB9"/>
    <w:rsid w:val="03960557"/>
    <w:rsid w:val="0399147B"/>
    <w:rsid w:val="03991DF6"/>
    <w:rsid w:val="039D6A83"/>
    <w:rsid w:val="039E11BA"/>
    <w:rsid w:val="03A307D3"/>
    <w:rsid w:val="03A34A22"/>
    <w:rsid w:val="03A67506"/>
    <w:rsid w:val="03A859A0"/>
    <w:rsid w:val="03A951F3"/>
    <w:rsid w:val="03A964DC"/>
    <w:rsid w:val="03AB26E4"/>
    <w:rsid w:val="03AC7D7B"/>
    <w:rsid w:val="03AE7A4A"/>
    <w:rsid w:val="03AF786B"/>
    <w:rsid w:val="03B421F8"/>
    <w:rsid w:val="03B629A7"/>
    <w:rsid w:val="03B849E7"/>
    <w:rsid w:val="03B93497"/>
    <w:rsid w:val="03BB1D6C"/>
    <w:rsid w:val="03BC4BD4"/>
    <w:rsid w:val="03C055D4"/>
    <w:rsid w:val="03C2759E"/>
    <w:rsid w:val="03C350C4"/>
    <w:rsid w:val="03C431E6"/>
    <w:rsid w:val="03C47923"/>
    <w:rsid w:val="03C520CE"/>
    <w:rsid w:val="03C53ADD"/>
    <w:rsid w:val="03CD109D"/>
    <w:rsid w:val="03D031B4"/>
    <w:rsid w:val="03D1158F"/>
    <w:rsid w:val="03D177E1"/>
    <w:rsid w:val="03D270B5"/>
    <w:rsid w:val="03D8291E"/>
    <w:rsid w:val="03DA15F5"/>
    <w:rsid w:val="03DB0660"/>
    <w:rsid w:val="03DD389B"/>
    <w:rsid w:val="03DF533E"/>
    <w:rsid w:val="03E216BE"/>
    <w:rsid w:val="03E2554B"/>
    <w:rsid w:val="03E272F9"/>
    <w:rsid w:val="03E42333"/>
    <w:rsid w:val="03E47515"/>
    <w:rsid w:val="03E5328D"/>
    <w:rsid w:val="03E81A27"/>
    <w:rsid w:val="03E87196"/>
    <w:rsid w:val="03EA43FF"/>
    <w:rsid w:val="03ED5495"/>
    <w:rsid w:val="03EF7C67"/>
    <w:rsid w:val="03F10EDE"/>
    <w:rsid w:val="03F10FDA"/>
    <w:rsid w:val="03F2521F"/>
    <w:rsid w:val="03F434D0"/>
    <w:rsid w:val="03F4702C"/>
    <w:rsid w:val="03F65640"/>
    <w:rsid w:val="03F80AD8"/>
    <w:rsid w:val="03F82FC0"/>
    <w:rsid w:val="03F84410"/>
    <w:rsid w:val="03F90AE6"/>
    <w:rsid w:val="03FB03BA"/>
    <w:rsid w:val="03FF434E"/>
    <w:rsid w:val="04001E75"/>
    <w:rsid w:val="04003C23"/>
    <w:rsid w:val="04025BED"/>
    <w:rsid w:val="04057267"/>
    <w:rsid w:val="040B79B6"/>
    <w:rsid w:val="040C25C7"/>
    <w:rsid w:val="040D0631"/>
    <w:rsid w:val="040D6820"/>
    <w:rsid w:val="040E27E3"/>
    <w:rsid w:val="040F41FA"/>
    <w:rsid w:val="040F43A0"/>
    <w:rsid w:val="04114082"/>
    <w:rsid w:val="04194CE4"/>
    <w:rsid w:val="041C5514"/>
    <w:rsid w:val="041E6619"/>
    <w:rsid w:val="04206073"/>
    <w:rsid w:val="04223B68"/>
    <w:rsid w:val="042948F2"/>
    <w:rsid w:val="042C2204"/>
    <w:rsid w:val="042E0790"/>
    <w:rsid w:val="042F5129"/>
    <w:rsid w:val="0430275A"/>
    <w:rsid w:val="04317897"/>
    <w:rsid w:val="0433224A"/>
    <w:rsid w:val="04363AE8"/>
    <w:rsid w:val="04367644"/>
    <w:rsid w:val="043852FA"/>
    <w:rsid w:val="04391220"/>
    <w:rsid w:val="04392C75"/>
    <w:rsid w:val="043953AC"/>
    <w:rsid w:val="043A366E"/>
    <w:rsid w:val="043B4C5B"/>
    <w:rsid w:val="043D6C25"/>
    <w:rsid w:val="04406715"/>
    <w:rsid w:val="0443144C"/>
    <w:rsid w:val="04461F7D"/>
    <w:rsid w:val="04471852"/>
    <w:rsid w:val="044C0C16"/>
    <w:rsid w:val="044E2BE0"/>
    <w:rsid w:val="044E498E"/>
    <w:rsid w:val="0451447E"/>
    <w:rsid w:val="04514609"/>
    <w:rsid w:val="04536448"/>
    <w:rsid w:val="045521C0"/>
    <w:rsid w:val="0457136F"/>
    <w:rsid w:val="045B52FD"/>
    <w:rsid w:val="045F303F"/>
    <w:rsid w:val="045F4DED"/>
    <w:rsid w:val="046057CC"/>
    <w:rsid w:val="04610B65"/>
    <w:rsid w:val="04635ABA"/>
    <w:rsid w:val="046378E3"/>
    <w:rsid w:val="046A44ED"/>
    <w:rsid w:val="046B19E4"/>
    <w:rsid w:val="046C675B"/>
    <w:rsid w:val="04700DA8"/>
    <w:rsid w:val="04702B56"/>
    <w:rsid w:val="047046D1"/>
    <w:rsid w:val="04706FFA"/>
    <w:rsid w:val="04711E59"/>
    <w:rsid w:val="0473723F"/>
    <w:rsid w:val="0475016D"/>
    <w:rsid w:val="04754C8F"/>
    <w:rsid w:val="04762137"/>
    <w:rsid w:val="047631C3"/>
    <w:rsid w:val="04770389"/>
    <w:rsid w:val="04784101"/>
    <w:rsid w:val="047A1C27"/>
    <w:rsid w:val="048033EF"/>
    <w:rsid w:val="04810F1A"/>
    <w:rsid w:val="04811285"/>
    <w:rsid w:val="04814D63"/>
    <w:rsid w:val="048246C2"/>
    <w:rsid w:val="04843C28"/>
    <w:rsid w:val="04854128"/>
    <w:rsid w:val="048900BC"/>
    <w:rsid w:val="04891E6A"/>
    <w:rsid w:val="048C3FC4"/>
    <w:rsid w:val="048D3E9E"/>
    <w:rsid w:val="048E06A7"/>
    <w:rsid w:val="048E4EE6"/>
    <w:rsid w:val="049036F7"/>
    <w:rsid w:val="04903A62"/>
    <w:rsid w:val="04912ACD"/>
    <w:rsid w:val="04921C4C"/>
    <w:rsid w:val="04934A97"/>
    <w:rsid w:val="0495080F"/>
    <w:rsid w:val="049727D9"/>
    <w:rsid w:val="04983E5B"/>
    <w:rsid w:val="04985239"/>
    <w:rsid w:val="049D5915"/>
    <w:rsid w:val="049E532B"/>
    <w:rsid w:val="049F168E"/>
    <w:rsid w:val="04A171B4"/>
    <w:rsid w:val="04A44EF6"/>
    <w:rsid w:val="04A54326"/>
    <w:rsid w:val="04A61A3E"/>
    <w:rsid w:val="04A62A1C"/>
    <w:rsid w:val="04A70542"/>
    <w:rsid w:val="04AB1EA0"/>
    <w:rsid w:val="04AB255A"/>
    <w:rsid w:val="04AC7907"/>
    <w:rsid w:val="04AD7ABA"/>
    <w:rsid w:val="04AE367F"/>
    <w:rsid w:val="04AF2CD6"/>
    <w:rsid w:val="04B073F7"/>
    <w:rsid w:val="04B213C1"/>
    <w:rsid w:val="04B96B96"/>
    <w:rsid w:val="04BA0275"/>
    <w:rsid w:val="04BA0982"/>
    <w:rsid w:val="04BB0FEE"/>
    <w:rsid w:val="04C97C1A"/>
    <w:rsid w:val="04CB5FDF"/>
    <w:rsid w:val="04CC1D57"/>
    <w:rsid w:val="04D01847"/>
    <w:rsid w:val="04D035F5"/>
    <w:rsid w:val="04D16610"/>
    <w:rsid w:val="04D31337"/>
    <w:rsid w:val="04D74983"/>
    <w:rsid w:val="04D806FC"/>
    <w:rsid w:val="04DA126C"/>
    <w:rsid w:val="04DA4474"/>
    <w:rsid w:val="04E2157A"/>
    <w:rsid w:val="04E53EA0"/>
    <w:rsid w:val="04E62991"/>
    <w:rsid w:val="04E62E18"/>
    <w:rsid w:val="04E90B5B"/>
    <w:rsid w:val="04EA0D8F"/>
    <w:rsid w:val="04EA6DAD"/>
    <w:rsid w:val="04EB6681"/>
    <w:rsid w:val="04ED41A7"/>
    <w:rsid w:val="04ED55C6"/>
    <w:rsid w:val="04F1535D"/>
    <w:rsid w:val="04F45324"/>
    <w:rsid w:val="04FC088E"/>
    <w:rsid w:val="04FC6AE0"/>
    <w:rsid w:val="04FD5053"/>
    <w:rsid w:val="04FE0AFC"/>
    <w:rsid w:val="04FE63B4"/>
    <w:rsid w:val="04FF037E"/>
    <w:rsid w:val="05037796"/>
    <w:rsid w:val="05045C3C"/>
    <w:rsid w:val="050553B0"/>
    <w:rsid w:val="050634BB"/>
    <w:rsid w:val="05065269"/>
    <w:rsid w:val="05092FAB"/>
    <w:rsid w:val="050B0AD1"/>
    <w:rsid w:val="050B73D0"/>
    <w:rsid w:val="050D65F7"/>
    <w:rsid w:val="050E0034"/>
    <w:rsid w:val="050E236F"/>
    <w:rsid w:val="050F7E3A"/>
    <w:rsid w:val="0512137B"/>
    <w:rsid w:val="05123C0E"/>
    <w:rsid w:val="0514068B"/>
    <w:rsid w:val="05141EB3"/>
    <w:rsid w:val="05155F38"/>
    <w:rsid w:val="05173E06"/>
    <w:rsid w:val="051B3200"/>
    <w:rsid w:val="051E63A0"/>
    <w:rsid w:val="0521388A"/>
    <w:rsid w:val="05221C94"/>
    <w:rsid w:val="052676B9"/>
    <w:rsid w:val="05283431"/>
    <w:rsid w:val="052851DF"/>
    <w:rsid w:val="052971A9"/>
    <w:rsid w:val="052B4CCF"/>
    <w:rsid w:val="05355B4E"/>
    <w:rsid w:val="053578FC"/>
    <w:rsid w:val="05363B56"/>
    <w:rsid w:val="05373674"/>
    <w:rsid w:val="0539563E"/>
    <w:rsid w:val="053973EC"/>
    <w:rsid w:val="053A45A8"/>
    <w:rsid w:val="053C512E"/>
    <w:rsid w:val="0545478A"/>
    <w:rsid w:val="05455393"/>
    <w:rsid w:val="05461FFC"/>
    <w:rsid w:val="054671FA"/>
    <w:rsid w:val="054C2314"/>
    <w:rsid w:val="054D142B"/>
    <w:rsid w:val="054D1E6D"/>
    <w:rsid w:val="054E09BE"/>
    <w:rsid w:val="054E5C3E"/>
    <w:rsid w:val="054F70D5"/>
    <w:rsid w:val="0551139F"/>
    <w:rsid w:val="055163B9"/>
    <w:rsid w:val="05520E72"/>
    <w:rsid w:val="05544226"/>
    <w:rsid w:val="05545FD4"/>
    <w:rsid w:val="055661F0"/>
    <w:rsid w:val="05573D16"/>
    <w:rsid w:val="0559183C"/>
    <w:rsid w:val="05595CE0"/>
    <w:rsid w:val="055C6A2B"/>
    <w:rsid w:val="055F2221"/>
    <w:rsid w:val="055F2BCB"/>
    <w:rsid w:val="05653944"/>
    <w:rsid w:val="05664386"/>
    <w:rsid w:val="056A1C9B"/>
    <w:rsid w:val="056B77C2"/>
    <w:rsid w:val="056D430E"/>
    <w:rsid w:val="056F1060"/>
    <w:rsid w:val="05706B86"/>
    <w:rsid w:val="0571302A"/>
    <w:rsid w:val="05715BAA"/>
    <w:rsid w:val="057228FE"/>
    <w:rsid w:val="05743CEB"/>
    <w:rsid w:val="057448C8"/>
    <w:rsid w:val="05760640"/>
    <w:rsid w:val="05776166"/>
    <w:rsid w:val="05784549"/>
    <w:rsid w:val="05790131"/>
    <w:rsid w:val="057A683F"/>
    <w:rsid w:val="057C7CDC"/>
    <w:rsid w:val="05834B0B"/>
    <w:rsid w:val="05852631"/>
    <w:rsid w:val="05855C55"/>
    <w:rsid w:val="05856AD5"/>
    <w:rsid w:val="05872E7F"/>
    <w:rsid w:val="05883ED0"/>
    <w:rsid w:val="058F3A4A"/>
    <w:rsid w:val="05905187"/>
    <w:rsid w:val="05942874"/>
    <w:rsid w:val="05964489"/>
    <w:rsid w:val="059705B7"/>
    <w:rsid w:val="059900DE"/>
    <w:rsid w:val="05997E8B"/>
    <w:rsid w:val="059A3C03"/>
    <w:rsid w:val="059B6C75"/>
    <w:rsid w:val="059E36F3"/>
    <w:rsid w:val="05A02C7F"/>
    <w:rsid w:val="05A32D8D"/>
    <w:rsid w:val="05A33817"/>
    <w:rsid w:val="05AA02EA"/>
    <w:rsid w:val="05AB7BBE"/>
    <w:rsid w:val="05AD3936"/>
    <w:rsid w:val="05AF1DBA"/>
    <w:rsid w:val="05AF7E68"/>
    <w:rsid w:val="05B11678"/>
    <w:rsid w:val="05B20F4D"/>
    <w:rsid w:val="05B22E64"/>
    <w:rsid w:val="05B31193"/>
    <w:rsid w:val="05B31A1F"/>
    <w:rsid w:val="05B42F17"/>
    <w:rsid w:val="05B66C8F"/>
    <w:rsid w:val="05B76009"/>
    <w:rsid w:val="05B9052D"/>
    <w:rsid w:val="05B922DB"/>
    <w:rsid w:val="05B95EFB"/>
    <w:rsid w:val="05BB3B2D"/>
    <w:rsid w:val="05BB49FE"/>
    <w:rsid w:val="05BB6053"/>
    <w:rsid w:val="05BB6F66"/>
    <w:rsid w:val="05BC14D7"/>
    <w:rsid w:val="05BD5885"/>
    <w:rsid w:val="05BE5B43"/>
    <w:rsid w:val="05BF5D55"/>
    <w:rsid w:val="05C313AC"/>
    <w:rsid w:val="05C55124"/>
    <w:rsid w:val="05CB7E52"/>
    <w:rsid w:val="05CE4396"/>
    <w:rsid w:val="05D05DE2"/>
    <w:rsid w:val="05D15877"/>
    <w:rsid w:val="05D76C05"/>
    <w:rsid w:val="05DB4947"/>
    <w:rsid w:val="05DB5D19"/>
    <w:rsid w:val="05DD246D"/>
    <w:rsid w:val="05E11832"/>
    <w:rsid w:val="05E14B91"/>
    <w:rsid w:val="05E23E35"/>
    <w:rsid w:val="05E732EC"/>
    <w:rsid w:val="05E74E14"/>
    <w:rsid w:val="05E7509A"/>
    <w:rsid w:val="05E82BC0"/>
    <w:rsid w:val="05E8737A"/>
    <w:rsid w:val="05EA06E6"/>
    <w:rsid w:val="05EB0A33"/>
    <w:rsid w:val="05EC421F"/>
    <w:rsid w:val="05ED3565"/>
    <w:rsid w:val="05ED6429"/>
    <w:rsid w:val="05EE492D"/>
    <w:rsid w:val="05EF6A99"/>
    <w:rsid w:val="05F54C78"/>
    <w:rsid w:val="060043AE"/>
    <w:rsid w:val="06007623"/>
    <w:rsid w:val="06035C4C"/>
    <w:rsid w:val="060406CC"/>
    <w:rsid w:val="06046B53"/>
    <w:rsid w:val="06053772"/>
    <w:rsid w:val="06084F90"/>
    <w:rsid w:val="060E6ACB"/>
    <w:rsid w:val="06111F0A"/>
    <w:rsid w:val="06135E8F"/>
    <w:rsid w:val="06152DCD"/>
    <w:rsid w:val="0615336D"/>
    <w:rsid w:val="06155868"/>
    <w:rsid w:val="06165ECE"/>
    <w:rsid w:val="061816F7"/>
    <w:rsid w:val="0618237D"/>
    <w:rsid w:val="06190FCC"/>
    <w:rsid w:val="0619721E"/>
    <w:rsid w:val="061A244C"/>
    <w:rsid w:val="061A5470"/>
    <w:rsid w:val="061B33AB"/>
    <w:rsid w:val="061B4CE2"/>
    <w:rsid w:val="061D0ABC"/>
    <w:rsid w:val="061E4045"/>
    <w:rsid w:val="062005AC"/>
    <w:rsid w:val="06233BF8"/>
    <w:rsid w:val="062736E9"/>
    <w:rsid w:val="06284243"/>
    <w:rsid w:val="06293905"/>
    <w:rsid w:val="062E0F1B"/>
    <w:rsid w:val="062E2CC9"/>
    <w:rsid w:val="062F259D"/>
    <w:rsid w:val="063148F2"/>
    <w:rsid w:val="063279D7"/>
    <w:rsid w:val="063302DF"/>
    <w:rsid w:val="063368C8"/>
    <w:rsid w:val="06366220"/>
    <w:rsid w:val="0637421B"/>
    <w:rsid w:val="063A14C7"/>
    <w:rsid w:val="063B1B70"/>
    <w:rsid w:val="063D6E65"/>
    <w:rsid w:val="063E4C65"/>
    <w:rsid w:val="06400C4E"/>
    <w:rsid w:val="064029FC"/>
    <w:rsid w:val="064202F5"/>
    <w:rsid w:val="06423C78"/>
    <w:rsid w:val="0643270C"/>
    <w:rsid w:val="0644429B"/>
    <w:rsid w:val="06451158"/>
    <w:rsid w:val="064621DB"/>
    <w:rsid w:val="06475B39"/>
    <w:rsid w:val="064F5803"/>
    <w:rsid w:val="06500E91"/>
    <w:rsid w:val="0650366A"/>
    <w:rsid w:val="06514C09"/>
    <w:rsid w:val="0652465D"/>
    <w:rsid w:val="06532E6F"/>
    <w:rsid w:val="065336FB"/>
    <w:rsid w:val="06540256"/>
    <w:rsid w:val="06546D3D"/>
    <w:rsid w:val="06585F98"/>
    <w:rsid w:val="0659097E"/>
    <w:rsid w:val="065C0B2C"/>
    <w:rsid w:val="065F4421"/>
    <w:rsid w:val="06600654"/>
    <w:rsid w:val="06606C84"/>
    <w:rsid w:val="06615801"/>
    <w:rsid w:val="066252E1"/>
    <w:rsid w:val="06640499"/>
    <w:rsid w:val="06684BBA"/>
    <w:rsid w:val="06695AAF"/>
    <w:rsid w:val="0673692E"/>
    <w:rsid w:val="06765CEE"/>
    <w:rsid w:val="0676641E"/>
    <w:rsid w:val="06782196"/>
    <w:rsid w:val="067A57F6"/>
    <w:rsid w:val="067A7CBC"/>
    <w:rsid w:val="067B1F1D"/>
    <w:rsid w:val="067C2A1C"/>
    <w:rsid w:val="067F1777"/>
    <w:rsid w:val="067F1A0F"/>
    <w:rsid w:val="067F3525"/>
    <w:rsid w:val="0680729D"/>
    <w:rsid w:val="06815CF6"/>
    <w:rsid w:val="06857D48"/>
    <w:rsid w:val="06872D56"/>
    <w:rsid w:val="068C566F"/>
    <w:rsid w:val="068E3E81"/>
    <w:rsid w:val="06913258"/>
    <w:rsid w:val="06952D48"/>
    <w:rsid w:val="0696086E"/>
    <w:rsid w:val="06976AC0"/>
    <w:rsid w:val="069778EF"/>
    <w:rsid w:val="069A3EBB"/>
    <w:rsid w:val="069E573E"/>
    <w:rsid w:val="069F1CA8"/>
    <w:rsid w:val="069F5975"/>
    <w:rsid w:val="069F6002"/>
    <w:rsid w:val="06A20FC1"/>
    <w:rsid w:val="06A305A3"/>
    <w:rsid w:val="06A61794"/>
    <w:rsid w:val="06A7060A"/>
    <w:rsid w:val="06A72333"/>
    <w:rsid w:val="06A74829"/>
    <w:rsid w:val="06A80874"/>
    <w:rsid w:val="06A92350"/>
    <w:rsid w:val="06AB60C8"/>
    <w:rsid w:val="06AD5471"/>
    <w:rsid w:val="06AE3E0A"/>
    <w:rsid w:val="06AF4A55"/>
    <w:rsid w:val="06B17456"/>
    <w:rsid w:val="06B238FA"/>
    <w:rsid w:val="06B37672"/>
    <w:rsid w:val="06BA630B"/>
    <w:rsid w:val="06BD229F"/>
    <w:rsid w:val="06BF4168"/>
    <w:rsid w:val="06C47955"/>
    <w:rsid w:val="06C54CB0"/>
    <w:rsid w:val="06C673A5"/>
    <w:rsid w:val="06C70A28"/>
    <w:rsid w:val="06C947A0"/>
    <w:rsid w:val="06CA277E"/>
    <w:rsid w:val="06D030DE"/>
    <w:rsid w:val="06D078B9"/>
    <w:rsid w:val="06D21D6E"/>
    <w:rsid w:val="06D27AF8"/>
    <w:rsid w:val="06D579A3"/>
    <w:rsid w:val="06D61CB9"/>
    <w:rsid w:val="06D849E3"/>
    <w:rsid w:val="06E00A13"/>
    <w:rsid w:val="06E17D3B"/>
    <w:rsid w:val="06E25862"/>
    <w:rsid w:val="06E93094"/>
    <w:rsid w:val="06E97241"/>
    <w:rsid w:val="06EE06AA"/>
    <w:rsid w:val="06F25E18"/>
    <w:rsid w:val="06F31B2D"/>
    <w:rsid w:val="06F5518B"/>
    <w:rsid w:val="06F76451"/>
    <w:rsid w:val="06F85D90"/>
    <w:rsid w:val="06F86E33"/>
    <w:rsid w:val="06FA2BAB"/>
    <w:rsid w:val="06FC6EAE"/>
    <w:rsid w:val="06FD269B"/>
    <w:rsid w:val="07026E07"/>
    <w:rsid w:val="07047ECE"/>
    <w:rsid w:val="07053AED"/>
    <w:rsid w:val="070B608A"/>
    <w:rsid w:val="07140111"/>
    <w:rsid w:val="071661B3"/>
    <w:rsid w:val="07174993"/>
    <w:rsid w:val="07177C01"/>
    <w:rsid w:val="071A4FFB"/>
    <w:rsid w:val="071B7454"/>
    <w:rsid w:val="071C5217"/>
    <w:rsid w:val="071E0E7E"/>
    <w:rsid w:val="071E412C"/>
    <w:rsid w:val="07227327"/>
    <w:rsid w:val="072440CC"/>
    <w:rsid w:val="07255FAA"/>
    <w:rsid w:val="0727020E"/>
    <w:rsid w:val="07294629"/>
    <w:rsid w:val="072A23D5"/>
    <w:rsid w:val="072A7934"/>
    <w:rsid w:val="072B545A"/>
    <w:rsid w:val="072C1060"/>
    <w:rsid w:val="072C4328"/>
    <w:rsid w:val="07301520"/>
    <w:rsid w:val="0732424B"/>
    <w:rsid w:val="0735792C"/>
    <w:rsid w:val="07397B77"/>
    <w:rsid w:val="073A2049"/>
    <w:rsid w:val="073A38EF"/>
    <w:rsid w:val="073C1416"/>
    <w:rsid w:val="073C31C4"/>
    <w:rsid w:val="073F1F2E"/>
    <w:rsid w:val="07450F80"/>
    <w:rsid w:val="07454E7C"/>
    <w:rsid w:val="07487DBA"/>
    <w:rsid w:val="07493F9A"/>
    <w:rsid w:val="074A1D85"/>
    <w:rsid w:val="074B147F"/>
    <w:rsid w:val="074C3ACA"/>
    <w:rsid w:val="074E2EF7"/>
    <w:rsid w:val="074F5A1D"/>
    <w:rsid w:val="075077CC"/>
    <w:rsid w:val="075229E7"/>
    <w:rsid w:val="07536457"/>
    <w:rsid w:val="0754675F"/>
    <w:rsid w:val="07554285"/>
    <w:rsid w:val="07575C7F"/>
    <w:rsid w:val="075C1DBB"/>
    <w:rsid w:val="075C5614"/>
    <w:rsid w:val="075E7F88"/>
    <w:rsid w:val="07612C2A"/>
    <w:rsid w:val="07621BE9"/>
    <w:rsid w:val="07632E46"/>
    <w:rsid w:val="07656842"/>
    <w:rsid w:val="0768045D"/>
    <w:rsid w:val="07683FB9"/>
    <w:rsid w:val="076B5857"/>
    <w:rsid w:val="076F1613"/>
    <w:rsid w:val="076F59D4"/>
    <w:rsid w:val="077010BF"/>
    <w:rsid w:val="07723089"/>
    <w:rsid w:val="07743C52"/>
    <w:rsid w:val="0774441D"/>
    <w:rsid w:val="07746E01"/>
    <w:rsid w:val="07797F74"/>
    <w:rsid w:val="077C680D"/>
    <w:rsid w:val="07832BA1"/>
    <w:rsid w:val="07837045"/>
    <w:rsid w:val="07844A8B"/>
    <w:rsid w:val="07852DBD"/>
    <w:rsid w:val="078608E3"/>
    <w:rsid w:val="07862691"/>
    <w:rsid w:val="07893EF8"/>
    <w:rsid w:val="078A58ED"/>
    <w:rsid w:val="078B0003"/>
    <w:rsid w:val="078C0D1B"/>
    <w:rsid w:val="078D5AAB"/>
    <w:rsid w:val="079106EB"/>
    <w:rsid w:val="079254DA"/>
    <w:rsid w:val="07937AA3"/>
    <w:rsid w:val="07941252"/>
    <w:rsid w:val="07944DAE"/>
    <w:rsid w:val="079528D4"/>
    <w:rsid w:val="07967398"/>
    <w:rsid w:val="07973635"/>
    <w:rsid w:val="079B438E"/>
    <w:rsid w:val="079E0584"/>
    <w:rsid w:val="079F5020"/>
    <w:rsid w:val="07A01890"/>
    <w:rsid w:val="07A10AE3"/>
    <w:rsid w:val="07A11279"/>
    <w:rsid w:val="07A5520D"/>
    <w:rsid w:val="07A80859"/>
    <w:rsid w:val="07A8437E"/>
    <w:rsid w:val="07AA637F"/>
    <w:rsid w:val="07AB18D9"/>
    <w:rsid w:val="07AB682B"/>
    <w:rsid w:val="07AF4A15"/>
    <w:rsid w:val="07B216D8"/>
    <w:rsid w:val="07B45450"/>
    <w:rsid w:val="07B90CB8"/>
    <w:rsid w:val="07BA233A"/>
    <w:rsid w:val="07BC2556"/>
    <w:rsid w:val="07BC5DA1"/>
    <w:rsid w:val="07BD2998"/>
    <w:rsid w:val="07BD69FF"/>
    <w:rsid w:val="07BE5E08"/>
    <w:rsid w:val="07BF7731"/>
    <w:rsid w:val="07C21E6B"/>
    <w:rsid w:val="07C338E5"/>
    <w:rsid w:val="07C40F5A"/>
    <w:rsid w:val="07C625D4"/>
    <w:rsid w:val="07C82CA9"/>
    <w:rsid w:val="07CC1027"/>
    <w:rsid w:val="07CC19DE"/>
    <w:rsid w:val="07CD02C0"/>
    <w:rsid w:val="07CD79EE"/>
    <w:rsid w:val="07CE2E09"/>
    <w:rsid w:val="07CF228A"/>
    <w:rsid w:val="07D04F20"/>
    <w:rsid w:val="07D16222"/>
    <w:rsid w:val="07D17DB0"/>
    <w:rsid w:val="07D72EEC"/>
    <w:rsid w:val="07D93108"/>
    <w:rsid w:val="07D948ED"/>
    <w:rsid w:val="07D96C64"/>
    <w:rsid w:val="07E018AF"/>
    <w:rsid w:val="07E01DA1"/>
    <w:rsid w:val="07E10E7A"/>
    <w:rsid w:val="07E32B27"/>
    <w:rsid w:val="07EA2C20"/>
    <w:rsid w:val="07EF395F"/>
    <w:rsid w:val="07EF4010"/>
    <w:rsid w:val="07EF50AE"/>
    <w:rsid w:val="07F10452"/>
    <w:rsid w:val="07F30434"/>
    <w:rsid w:val="07F41CF0"/>
    <w:rsid w:val="07F615C4"/>
    <w:rsid w:val="07F63F34"/>
    <w:rsid w:val="07F82721"/>
    <w:rsid w:val="07F87185"/>
    <w:rsid w:val="07FB0E0D"/>
    <w:rsid w:val="07FB6BDB"/>
    <w:rsid w:val="07FC7C87"/>
    <w:rsid w:val="07FE31D4"/>
    <w:rsid w:val="07FF70AC"/>
    <w:rsid w:val="08002443"/>
    <w:rsid w:val="080109C6"/>
    <w:rsid w:val="08031F33"/>
    <w:rsid w:val="08033CE1"/>
    <w:rsid w:val="080452A1"/>
    <w:rsid w:val="08060A3D"/>
    <w:rsid w:val="08061963"/>
    <w:rsid w:val="08080695"/>
    <w:rsid w:val="080C30A6"/>
    <w:rsid w:val="080C528C"/>
    <w:rsid w:val="080C703A"/>
    <w:rsid w:val="080F08D8"/>
    <w:rsid w:val="081123CB"/>
    <w:rsid w:val="08121EAD"/>
    <w:rsid w:val="081544AB"/>
    <w:rsid w:val="08161C67"/>
    <w:rsid w:val="08163A15"/>
    <w:rsid w:val="08182432"/>
    <w:rsid w:val="08184980"/>
    <w:rsid w:val="081952B3"/>
    <w:rsid w:val="081D2FF5"/>
    <w:rsid w:val="081E4FBF"/>
    <w:rsid w:val="082425D6"/>
    <w:rsid w:val="082442C2"/>
    <w:rsid w:val="08245805"/>
    <w:rsid w:val="082779D0"/>
    <w:rsid w:val="082962EA"/>
    <w:rsid w:val="082D7025"/>
    <w:rsid w:val="08321948"/>
    <w:rsid w:val="08346591"/>
    <w:rsid w:val="08355E97"/>
    <w:rsid w:val="08370860"/>
    <w:rsid w:val="08381B67"/>
    <w:rsid w:val="083B647C"/>
    <w:rsid w:val="08412974"/>
    <w:rsid w:val="08412E95"/>
    <w:rsid w:val="08421BC8"/>
    <w:rsid w:val="0842480A"/>
    <w:rsid w:val="08471E20"/>
    <w:rsid w:val="08484D29"/>
    <w:rsid w:val="084A7B62"/>
    <w:rsid w:val="084C5688"/>
    <w:rsid w:val="084E1932"/>
    <w:rsid w:val="08512C9F"/>
    <w:rsid w:val="085207C5"/>
    <w:rsid w:val="085209AC"/>
    <w:rsid w:val="0853529F"/>
    <w:rsid w:val="0854453D"/>
    <w:rsid w:val="08545B61"/>
    <w:rsid w:val="08555CC0"/>
    <w:rsid w:val="08591B53"/>
    <w:rsid w:val="08597073"/>
    <w:rsid w:val="085A5FF7"/>
    <w:rsid w:val="085B627C"/>
    <w:rsid w:val="085D1644"/>
    <w:rsid w:val="085E53BC"/>
    <w:rsid w:val="085E58E2"/>
    <w:rsid w:val="08606B5E"/>
    <w:rsid w:val="086230FE"/>
    <w:rsid w:val="08624EAC"/>
    <w:rsid w:val="08626C5A"/>
    <w:rsid w:val="08650FDB"/>
    <w:rsid w:val="086C1887"/>
    <w:rsid w:val="086C1D00"/>
    <w:rsid w:val="086C1DA1"/>
    <w:rsid w:val="08702416"/>
    <w:rsid w:val="08710AAD"/>
    <w:rsid w:val="08726B02"/>
    <w:rsid w:val="08740015"/>
    <w:rsid w:val="08744BDF"/>
    <w:rsid w:val="08745B19"/>
    <w:rsid w:val="087E49FE"/>
    <w:rsid w:val="087F5A5E"/>
    <w:rsid w:val="087F635C"/>
    <w:rsid w:val="088621D0"/>
    <w:rsid w:val="0887371F"/>
    <w:rsid w:val="08881278"/>
    <w:rsid w:val="08887B07"/>
    <w:rsid w:val="088C1F29"/>
    <w:rsid w:val="088E3F19"/>
    <w:rsid w:val="08902440"/>
    <w:rsid w:val="08912FDE"/>
    <w:rsid w:val="0891753F"/>
    <w:rsid w:val="08955281"/>
    <w:rsid w:val="08976440"/>
    <w:rsid w:val="089808CE"/>
    <w:rsid w:val="089811CD"/>
    <w:rsid w:val="08997EFF"/>
    <w:rsid w:val="089D3278"/>
    <w:rsid w:val="089D3380"/>
    <w:rsid w:val="089D7C92"/>
    <w:rsid w:val="089E50F5"/>
    <w:rsid w:val="08A0312F"/>
    <w:rsid w:val="08A2174C"/>
    <w:rsid w:val="08A2799E"/>
    <w:rsid w:val="08A40041"/>
    <w:rsid w:val="08A54B35"/>
    <w:rsid w:val="08A6175E"/>
    <w:rsid w:val="08AC4379"/>
    <w:rsid w:val="08AE6343"/>
    <w:rsid w:val="08B17BE1"/>
    <w:rsid w:val="08B61884"/>
    <w:rsid w:val="08B6410C"/>
    <w:rsid w:val="08B651F8"/>
    <w:rsid w:val="08B66FA6"/>
    <w:rsid w:val="08B73A59"/>
    <w:rsid w:val="08BA123F"/>
    <w:rsid w:val="08BA4CE8"/>
    <w:rsid w:val="08BB636A"/>
    <w:rsid w:val="08BD20E2"/>
    <w:rsid w:val="08BF4B31"/>
    <w:rsid w:val="08BF5E5A"/>
    <w:rsid w:val="08C01BD2"/>
    <w:rsid w:val="08C04C7F"/>
    <w:rsid w:val="08C416C3"/>
    <w:rsid w:val="08C6543B"/>
    <w:rsid w:val="08CC67C9"/>
    <w:rsid w:val="08D12032"/>
    <w:rsid w:val="08D15B8E"/>
    <w:rsid w:val="08D31906"/>
    <w:rsid w:val="08D44585"/>
    <w:rsid w:val="08D51B22"/>
    <w:rsid w:val="08D5567E"/>
    <w:rsid w:val="08DB6CDD"/>
    <w:rsid w:val="08DF474E"/>
    <w:rsid w:val="08E05092"/>
    <w:rsid w:val="08E05768"/>
    <w:rsid w:val="08E1449B"/>
    <w:rsid w:val="08E36F83"/>
    <w:rsid w:val="08E43B13"/>
    <w:rsid w:val="08E51639"/>
    <w:rsid w:val="08E64065"/>
    <w:rsid w:val="08E66B26"/>
    <w:rsid w:val="08E81855"/>
    <w:rsid w:val="08E92ED7"/>
    <w:rsid w:val="08F0261D"/>
    <w:rsid w:val="08F16230"/>
    <w:rsid w:val="08F31FA8"/>
    <w:rsid w:val="08F97134"/>
    <w:rsid w:val="08FA3336"/>
    <w:rsid w:val="09011978"/>
    <w:rsid w:val="09016473"/>
    <w:rsid w:val="090369F3"/>
    <w:rsid w:val="090540FB"/>
    <w:rsid w:val="09061CDB"/>
    <w:rsid w:val="09063A89"/>
    <w:rsid w:val="09070629"/>
    <w:rsid w:val="090A0559"/>
    <w:rsid w:val="090B4360"/>
    <w:rsid w:val="090B5543"/>
    <w:rsid w:val="090D12BC"/>
    <w:rsid w:val="090E293E"/>
    <w:rsid w:val="090F7036"/>
    <w:rsid w:val="090F782C"/>
    <w:rsid w:val="091004C6"/>
    <w:rsid w:val="0911242E"/>
    <w:rsid w:val="09150170"/>
    <w:rsid w:val="09173EE8"/>
    <w:rsid w:val="091A12E3"/>
    <w:rsid w:val="091A5787"/>
    <w:rsid w:val="091B5662"/>
    <w:rsid w:val="091B59CE"/>
    <w:rsid w:val="091C0C95"/>
    <w:rsid w:val="091D7025"/>
    <w:rsid w:val="091F16FC"/>
    <w:rsid w:val="091F3E67"/>
    <w:rsid w:val="092000F2"/>
    <w:rsid w:val="0921144B"/>
    <w:rsid w:val="09214893"/>
    <w:rsid w:val="0921496D"/>
    <w:rsid w:val="09242161"/>
    <w:rsid w:val="0926237D"/>
    <w:rsid w:val="09271C52"/>
    <w:rsid w:val="09290516"/>
    <w:rsid w:val="09293255"/>
    <w:rsid w:val="092A3856"/>
    <w:rsid w:val="09331ABF"/>
    <w:rsid w:val="0936178E"/>
    <w:rsid w:val="093700E7"/>
    <w:rsid w:val="09371E95"/>
    <w:rsid w:val="093920B1"/>
    <w:rsid w:val="093C394F"/>
    <w:rsid w:val="093C74AB"/>
    <w:rsid w:val="093D2FAF"/>
    <w:rsid w:val="09410F65"/>
    <w:rsid w:val="094445B2"/>
    <w:rsid w:val="094E5A0C"/>
    <w:rsid w:val="094E71DE"/>
    <w:rsid w:val="095073FA"/>
    <w:rsid w:val="09510A7C"/>
    <w:rsid w:val="09537CED"/>
    <w:rsid w:val="09547AF8"/>
    <w:rsid w:val="0955056D"/>
    <w:rsid w:val="095569E0"/>
    <w:rsid w:val="09574F47"/>
    <w:rsid w:val="0958092A"/>
    <w:rsid w:val="09595CA6"/>
    <w:rsid w:val="095A2027"/>
    <w:rsid w:val="095D56DA"/>
    <w:rsid w:val="095F763D"/>
    <w:rsid w:val="096316DD"/>
    <w:rsid w:val="096807EE"/>
    <w:rsid w:val="09684744"/>
    <w:rsid w:val="096A10D1"/>
    <w:rsid w:val="096B4234"/>
    <w:rsid w:val="096B5FE2"/>
    <w:rsid w:val="096D3B08"/>
    <w:rsid w:val="09732A37"/>
    <w:rsid w:val="097430E9"/>
    <w:rsid w:val="09750C0F"/>
    <w:rsid w:val="097A6225"/>
    <w:rsid w:val="097E14B2"/>
    <w:rsid w:val="097F12A3"/>
    <w:rsid w:val="097F35A8"/>
    <w:rsid w:val="097F70D9"/>
    <w:rsid w:val="09802A2B"/>
    <w:rsid w:val="098175B4"/>
    <w:rsid w:val="09824989"/>
    <w:rsid w:val="09840E52"/>
    <w:rsid w:val="09842C00"/>
    <w:rsid w:val="098552F6"/>
    <w:rsid w:val="09864BCA"/>
    <w:rsid w:val="098720CE"/>
    <w:rsid w:val="09886B94"/>
    <w:rsid w:val="098E102A"/>
    <w:rsid w:val="099077F7"/>
    <w:rsid w:val="0992356F"/>
    <w:rsid w:val="0992531D"/>
    <w:rsid w:val="09930631"/>
    <w:rsid w:val="09952748"/>
    <w:rsid w:val="099700EE"/>
    <w:rsid w:val="0998414F"/>
    <w:rsid w:val="0998469B"/>
    <w:rsid w:val="09992B4F"/>
    <w:rsid w:val="09994BF5"/>
    <w:rsid w:val="0999596E"/>
    <w:rsid w:val="099A2423"/>
    <w:rsid w:val="099C263F"/>
    <w:rsid w:val="099C3D28"/>
    <w:rsid w:val="099D2DC6"/>
    <w:rsid w:val="099D3B73"/>
    <w:rsid w:val="099F7A3A"/>
    <w:rsid w:val="09A80FE4"/>
    <w:rsid w:val="09AA4D5C"/>
    <w:rsid w:val="09AB6350"/>
    <w:rsid w:val="09AB79F4"/>
    <w:rsid w:val="09AF4121"/>
    <w:rsid w:val="09AF5ECF"/>
    <w:rsid w:val="09B041CE"/>
    <w:rsid w:val="09B554AF"/>
    <w:rsid w:val="09BC6747"/>
    <w:rsid w:val="09BC683E"/>
    <w:rsid w:val="09BF428B"/>
    <w:rsid w:val="09C12019"/>
    <w:rsid w:val="09C43424"/>
    <w:rsid w:val="09C661EE"/>
    <w:rsid w:val="09C826C8"/>
    <w:rsid w:val="09C8277F"/>
    <w:rsid w:val="09C92B54"/>
    <w:rsid w:val="09CA0CE0"/>
    <w:rsid w:val="09CC08D3"/>
    <w:rsid w:val="09D23E43"/>
    <w:rsid w:val="09D27E0F"/>
    <w:rsid w:val="09D43B87"/>
    <w:rsid w:val="09D50F7A"/>
    <w:rsid w:val="09D73678"/>
    <w:rsid w:val="09D75580"/>
    <w:rsid w:val="09D9119E"/>
    <w:rsid w:val="09D973F0"/>
    <w:rsid w:val="09DB4F16"/>
    <w:rsid w:val="09DC2418"/>
    <w:rsid w:val="09DC2A3C"/>
    <w:rsid w:val="09E244F6"/>
    <w:rsid w:val="09E638BB"/>
    <w:rsid w:val="09E85885"/>
    <w:rsid w:val="09EC5F44"/>
    <w:rsid w:val="09ED2E9B"/>
    <w:rsid w:val="09EE394E"/>
    <w:rsid w:val="09EF09C1"/>
    <w:rsid w:val="09F10647"/>
    <w:rsid w:val="09F47D86"/>
    <w:rsid w:val="09F63AFE"/>
    <w:rsid w:val="09F85FFA"/>
    <w:rsid w:val="09FC30DE"/>
    <w:rsid w:val="0A00497C"/>
    <w:rsid w:val="0A00672A"/>
    <w:rsid w:val="0A08213D"/>
    <w:rsid w:val="0A0855DF"/>
    <w:rsid w:val="0A0A554A"/>
    <w:rsid w:val="0A0C438A"/>
    <w:rsid w:val="0A0E19E3"/>
    <w:rsid w:val="0A0F2E11"/>
    <w:rsid w:val="0A0F3905"/>
    <w:rsid w:val="0A122902"/>
    <w:rsid w:val="0A12645E"/>
    <w:rsid w:val="0A1421D6"/>
    <w:rsid w:val="0A164154"/>
    <w:rsid w:val="0A171CC6"/>
    <w:rsid w:val="0A1931C5"/>
    <w:rsid w:val="0A193C90"/>
    <w:rsid w:val="0A1A4475"/>
    <w:rsid w:val="0A1B3564"/>
    <w:rsid w:val="0A1C72DC"/>
    <w:rsid w:val="0A1E2C34"/>
    <w:rsid w:val="0A21777C"/>
    <w:rsid w:val="0A225CB5"/>
    <w:rsid w:val="0A232419"/>
    <w:rsid w:val="0A2A19F9"/>
    <w:rsid w:val="0A2C37A9"/>
    <w:rsid w:val="0A2C74AD"/>
    <w:rsid w:val="0A2E27E5"/>
    <w:rsid w:val="0A2E5CB6"/>
    <w:rsid w:val="0A2E6FAF"/>
    <w:rsid w:val="0A2F22C5"/>
    <w:rsid w:val="0A2F247A"/>
    <w:rsid w:val="0A3011AD"/>
    <w:rsid w:val="0A336573"/>
    <w:rsid w:val="0A375EC4"/>
    <w:rsid w:val="0A391B00"/>
    <w:rsid w:val="0A3925DE"/>
    <w:rsid w:val="0A3B7FD7"/>
    <w:rsid w:val="0A3C34DB"/>
    <w:rsid w:val="0A402866"/>
    <w:rsid w:val="0A4505E1"/>
    <w:rsid w:val="0A454A85"/>
    <w:rsid w:val="0A4707FD"/>
    <w:rsid w:val="0A486291"/>
    <w:rsid w:val="0A4B7E76"/>
    <w:rsid w:val="0A530F50"/>
    <w:rsid w:val="0A540824"/>
    <w:rsid w:val="0A560A40"/>
    <w:rsid w:val="0A581BBB"/>
    <w:rsid w:val="0A586566"/>
    <w:rsid w:val="0A5A1DC7"/>
    <w:rsid w:val="0A623A94"/>
    <w:rsid w:val="0A626749"/>
    <w:rsid w:val="0A634F0B"/>
    <w:rsid w:val="0A64600C"/>
    <w:rsid w:val="0A652A31"/>
    <w:rsid w:val="0A663DB0"/>
    <w:rsid w:val="0A6845A4"/>
    <w:rsid w:val="0A6A44EC"/>
    <w:rsid w:val="0A6C2012"/>
    <w:rsid w:val="0A6C3DC0"/>
    <w:rsid w:val="0A6D18E6"/>
    <w:rsid w:val="0A6D20CC"/>
    <w:rsid w:val="0A6F0334"/>
    <w:rsid w:val="0A6F1B02"/>
    <w:rsid w:val="0A7113D6"/>
    <w:rsid w:val="0A782765"/>
    <w:rsid w:val="0A785749"/>
    <w:rsid w:val="0A7B2255"/>
    <w:rsid w:val="0A7B58C8"/>
    <w:rsid w:val="0A7E3AF3"/>
    <w:rsid w:val="0A8235E3"/>
    <w:rsid w:val="0A8315F6"/>
    <w:rsid w:val="0A8522AD"/>
    <w:rsid w:val="0A871019"/>
    <w:rsid w:val="0A8921FE"/>
    <w:rsid w:val="0A894972"/>
    <w:rsid w:val="0A8C0317"/>
    <w:rsid w:val="0A8E3333"/>
    <w:rsid w:val="0A93759F"/>
    <w:rsid w:val="0A984BB5"/>
    <w:rsid w:val="0A9E7CF1"/>
    <w:rsid w:val="0AA22647"/>
    <w:rsid w:val="0AA25A34"/>
    <w:rsid w:val="0AA34B75"/>
    <w:rsid w:val="0AA3624C"/>
    <w:rsid w:val="0AA7129C"/>
    <w:rsid w:val="0AA85DF4"/>
    <w:rsid w:val="0AAA48E8"/>
    <w:rsid w:val="0AAA61B7"/>
    <w:rsid w:val="0AAF7892"/>
    <w:rsid w:val="0AB102B4"/>
    <w:rsid w:val="0AB15C77"/>
    <w:rsid w:val="0AB17BDE"/>
    <w:rsid w:val="0AB26AC6"/>
    <w:rsid w:val="0AB35643"/>
    <w:rsid w:val="0ABF0394"/>
    <w:rsid w:val="0ABF1B00"/>
    <w:rsid w:val="0AC05EBA"/>
    <w:rsid w:val="0AC10F38"/>
    <w:rsid w:val="0AC2018B"/>
    <w:rsid w:val="0AC260D6"/>
    <w:rsid w:val="0AC91212"/>
    <w:rsid w:val="0AC92FC0"/>
    <w:rsid w:val="0AC93A52"/>
    <w:rsid w:val="0ACC0D02"/>
    <w:rsid w:val="0ACC2AB1"/>
    <w:rsid w:val="0ACD69C7"/>
    <w:rsid w:val="0ACE49E2"/>
    <w:rsid w:val="0ACF04A9"/>
    <w:rsid w:val="0AD025A1"/>
    <w:rsid w:val="0AD028F9"/>
    <w:rsid w:val="0AD57BB7"/>
    <w:rsid w:val="0AD77199"/>
    <w:rsid w:val="0ADD2F10"/>
    <w:rsid w:val="0AE147AE"/>
    <w:rsid w:val="0AE16099"/>
    <w:rsid w:val="0AE20526"/>
    <w:rsid w:val="0AE222D4"/>
    <w:rsid w:val="0AE57EA1"/>
    <w:rsid w:val="0AE75944"/>
    <w:rsid w:val="0AE918B4"/>
    <w:rsid w:val="0AEA03BB"/>
    <w:rsid w:val="0AEA2F37"/>
    <w:rsid w:val="0AEB5336"/>
    <w:rsid w:val="0AEC6CAF"/>
    <w:rsid w:val="0AF12517"/>
    <w:rsid w:val="0AF14803"/>
    <w:rsid w:val="0AF3003D"/>
    <w:rsid w:val="0AF618DB"/>
    <w:rsid w:val="0AF80FDC"/>
    <w:rsid w:val="0AF85654"/>
    <w:rsid w:val="0AFA3217"/>
    <w:rsid w:val="0AFF2E86"/>
    <w:rsid w:val="0B00567B"/>
    <w:rsid w:val="0B0417E9"/>
    <w:rsid w:val="0B071D3B"/>
    <w:rsid w:val="0B073AE9"/>
    <w:rsid w:val="0B094C47"/>
    <w:rsid w:val="0B095AB3"/>
    <w:rsid w:val="0B0976F9"/>
    <w:rsid w:val="0B0A43BB"/>
    <w:rsid w:val="0B0B182B"/>
    <w:rsid w:val="0B0E30C9"/>
    <w:rsid w:val="0B1017C3"/>
    <w:rsid w:val="0B130875"/>
    <w:rsid w:val="0B136931"/>
    <w:rsid w:val="0B156206"/>
    <w:rsid w:val="0B196157"/>
    <w:rsid w:val="0B1D7A4B"/>
    <w:rsid w:val="0B204BAA"/>
    <w:rsid w:val="0B24469B"/>
    <w:rsid w:val="0B2A419F"/>
    <w:rsid w:val="0B2C09F5"/>
    <w:rsid w:val="0B2D62C5"/>
    <w:rsid w:val="0B30303F"/>
    <w:rsid w:val="0B353D08"/>
    <w:rsid w:val="0B372620"/>
    <w:rsid w:val="0B3A2110"/>
    <w:rsid w:val="0B3F14D4"/>
    <w:rsid w:val="0B411E73"/>
    <w:rsid w:val="0B41524D"/>
    <w:rsid w:val="0B457ECA"/>
    <w:rsid w:val="0B472137"/>
    <w:rsid w:val="0B4E34C6"/>
    <w:rsid w:val="0B4F6FE1"/>
    <w:rsid w:val="0B505490"/>
    <w:rsid w:val="0B563C01"/>
    <w:rsid w:val="0B592FDA"/>
    <w:rsid w:val="0B595AB4"/>
    <w:rsid w:val="0B5A00BC"/>
    <w:rsid w:val="0B5B5779"/>
    <w:rsid w:val="0B5E576F"/>
    <w:rsid w:val="0B5E5DFE"/>
    <w:rsid w:val="0B626F71"/>
    <w:rsid w:val="0B635D6A"/>
    <w:rsid w:val="0B640F3B"/>
    <w:rsid w:val="0B64718D"/>
    <w:rsid w:val="0B6902FF"/>
    <w:rsid w:val="0B6B12B4"/>
    <w:rsid w:val="0B6B4275"/>
    <w:rsid w:val="0B6E5FE8"/>
    <w:rsid w:val="0B6F05A9"/>
    <w:rsid w:val="0B6F53F1"/>
    <w:rsid w:val="0B705C98"/>
    <w:rsid w:val="0B7078E0"/>
    <w:rsid w:val="0B7216D3"/>
    <w:rsid w:val="0B73117E"/>
    <w:rsid w:val="0B74045A"/>
    <w:rsid w:val="0B753148"/>
    <w:rsid w:val="0B770C6E"/>
    <w:rsid w:val="0B777060"/>
    <w:rsid w:val="0B7A69B0"/>
    <w:rsid w:val="0B7C0033"/>
    <w:rsid w:val="0B7C40A9"/>
    <w:rsid w:val="0B7C423B"/>
    <w:rsid w:val="0B7C44D7"/>
    <w:rsid w:val="0B7E024F"/>
    <w:rsid w:val="0B815649"/>
    <w:rsid w:val="0B8213C1"/>
    <w:rsid w:val="0B844427"/>
    <w:rsid w:val="0B845139"/>
    <w:rsid w:val="0B8909A2"/>
    <w:rsid w:val="0B8C422C"/>
    <w:rsid w:val="0B8D6A6E"/>
    <w:rsid w:val="0B906705"/>
    <w:rsid w:val="0B907F82"/>
    <w:rsid w:val="0B923CFA"/>
    <w:rsid w:val="0B943C03"/>
    <w:rsid w:val="0B9510F4"/>
    <w:rsid w:val="0B971310"/>
    <w:rsid w:val="0B973201"/>
    <w:rsid w:val="0B9A6334"/>
    <w:rsid w:val="0B9C3825"/>
    <w:rsid w:val="0B9D3FF4"/>
    <w:rsid w:val="0B9E10CF"/>
    <w:rsid w:val="0BA17A99"/>
    <w:rsid w:val="0BA41FB7"/>
    <w:rsid w:val="0BA47589"/>
    <w:rsid w:val="0BA8707A"/>
    <w:rsid w:val="0BA916F2"/>
    <w:rsid w:val="0BAD4D82"/>
    <w:rsid w:val="0BAD643E"/>
    <w:rsid w:val="0BAE08D5"/>
    <w:rsid w:val="0BB13318"/>
    <w:rsid w:val="0BB2614A"/>
    <w:rsid w:val="0BB51797"/>
    <w:rsid w:val="0BB73761"/>
    <w:rsid w:val="0BB93035"/>
    <w:rsid w:val="0BBA6DAD"/>
    <w:rsid w:val="0BBC2B25"/>
    <w:rsid w:val="0BBE689D"/>
    <w:rsid w:val="0BBF43C3"/>
    <w:rsid w:val="0BC51652"/>
    <w:rsid w:val="0BC62CE6"/>
    <w:rsid w:val="0BC71626"/>
    <w:rsid w:val="0BC71F3A"/>
    <w:rsid w:val="0BC87F6C"/>
    <w:rsid w:val="0BCB2D68"/>
    <w:rsid w:val="0BCB720C"/>
    <w:rsid w:val="0BCC62FA"/>
    <w:rsid w:val="0BCE4606"/>
    <w:rsid w:val="0BCF5714"/>
    <w:rsid w:val="0BD065D0"/>
    <w:rsid w:val="0BD240F7"/>
    <w:rsid w:val="0BD436D3"/>
    <w:rsid w:val="0BD63080"/>
    <w:rsid w:val="0BD87233"/>
    <w:rsid w:val="0BD95D00"/>
    <w:rsid w:val="0BDA11FD"/>
    <w:rsid w:val="0BDA2FAB"/>
    <w:rsid w:val="0BE1433A"/>
    <w:rsid w:val="0BE77385"/>
    <w:rsid w:val="0BE91440"/>
    <w:rsid w:val="0BE977A3"/>
    <w:rsid w:val="0BEA012F"/>
    <w:rsid w:val="0BEA58E4"/>
    <w:rsid w:val="0BEA7692"/>
    <w:rsid w:val="0BEB731D"/>
    <w:rsid w:val="0BED3671"/>
    <w:rsid w:val="0BF027CF"/>
    <w:rsid w:val="0BF0642E"/>
    <w:rsid w:val="0BF24799"/>
    <w:rsid w:val="0BF30924"/>
    <w:rsid w:val="0BF4406D"/>
    <w:rsid w:val="0BF64289"/>
    <w:rsid w:val="0BF73B5D"/>
    <w:rsid w:val="0BF75AF7"/>
    <w:rsid w:val="0BF978D5"/>
    <w:rsid w:val="0BFB7E74"/>
    <w:rsid w:val="0BFE268E"/>
    <w:rsid w:val="0BFE7C41"/>
    <w:rsid w:val="0BFF2A12"/>
    <w:rsid w:val="0BFF54E7"/>
    <w:rsid w:val="0C004E10"/>
    <w:rsid w:val="0C006EB6"/>
    <w:rsid w:val="0C032502"/>
    <w:rsid w:val="0C033CB4"/>
    <w:rsid w:val="0C040028"/>
    <w:rsid w:val="0C0555AD"/>
    <w:rsid w:val="0C086325"/>
    <w:rsid w:val="0C09031A"/>
    <w:rsid w:val="0C0D3381"/>
    <w:rsid w:val="0C0F534B"/>
    <w:rsid w:val="0C0F6BAC"/>
    <w:rsid w:val="0C112E71"/>
    <w:rsid w:val="0C120997"/>
    <w:rsid w:val="0C126BE9"/>
    <w:rsid w:val="0C142961"/>
    <w:rsid w:val="0C14470F"/>
    <w:rsid w:val="0C1464BD"/>
    <w:rsid w:val="0C147A02"/>
    <w:rsid w:val="0C1572C7"/>
    <w:rsid w:val="0C175FAD"/>
    <w:rsid w:val="0C1838CF"/>
    <w:rsid w:val="0C184BF9"/>
    <w:rsid w:val="0C1C35C4"/>
    <w:rsid w:val="0C1E05DC"/>
    <w:rsid w:val="0C1E2CB1"/>
    <w:rsid w:val="0C1E558E"/>
    <w:rsid w:val="0C202B2F"/>
    <w:rsid w:val="0C253E7F"/>
    <w:rsid w:val="0C264442"/>
    <w:rsid w:val="0C272694"/>
    <w:rsid w:val="0C28640C"/>
    <w:rsid w:val="0C2A5CE1"/>
    <w:rsid w:val="0C2B3807"/>
    <w:rsid w:val="0C2C3124"/>
    <w:rsid w:val="0C2D57D1"/>
    <w:rsid w:val="0C2E36E7"/>
    <w:rsid w:val="0C2F32F7"/>
    <w:rsid w:val="0C34090D"/>
    <w:rsid w:val="0C346B5F"/>
    <w:rsid w:val="0C393B45"/>
    <w:rsid w:val="0C3A5FD8"/>
    <w:rsid w:val="0C3B6B9E"/>
    <w:rsid w:val="0C3C4113"/>
    <w:rsid w:val="0C3D1EB8"/>
    <w:rsid w:val="0C3D430D"/>
    <w:rsid w:val="0C3E0833"/>
    <w:rsid w:val="0C452B1A"/>
    <w:rsid w:val="0C476893"/>
    <w:rsid w:val="0C4850AD"/>
    <w:rsid w:val="0C4A1EDF"/>
    <w:rsid w:val="0C4C71CB"/>
    <w:rsid w:val="0C4D19CF"/>
    <w:rsid w:val="0C4D5E73"/>
    <w:rsid w:val="0C4F1BEB"/>
    <w:rsid w:val="0C4F5747"/>
    <w:rsid w:val="0C526FE5"/>
    <w:rsid w:val="0C536EF3"/>
    <w:rsid w:val="0C547201"/>
    <w:rsid w:val="0C550884"/>
    <w:rsid w:val="0C5732FD"/>
    <w:rsid w:val="0C57531C"/>
    <w:rsid w:val="0C590374"/>
    <w:rsid w:val="0C5B233E"/>
    <w:rsid w:val="0C5E3BDC"/>
    <w:rsid w:val="0C605BA6"/>
    <w:rsid w:val="0C6277B4"/>
    <w:rsid w:val="0C635D0F"/>
    <w:rsid w:val="0C643396"/>
    <w:rsid w:val="0C65576F"/>
    <w:rsid w:val="0C66480D"/>
    <w:rsid w:val="0C670164"/>
    <w:rsid w:val="0C670CE3"/>
    <w:rsid w:val="0C6754D4"/>
    <w:rsid w:val="0C680308"/>
    <w:rsid w:val="0C681B81"/>
    <w:rsid w:val="0C7156BE"/>
    <w:rsid w:val="0C747BE1"/>
    <w:rsid w:val="0C750D9F"/>
    <w:rsid w:val="0C765646"/>
    <w:rsid w:val="0C765B67"/>
    <w:rsid w:val="0C767178"/>
    <w:rsid w:val="0C776A4C"/>
    <w:rsid w:val="0C7A1961"/>
    <w:rsid w:val="0C7A56D7"/>
    <w:rsid w:val="0C7C502D"/>
    <w:rsid w:val="0C807FF6"/>
    <w:rsid w:val="0C8278CB"/>
    <w:rsid w:val="0C833643"/>
    <w:rsid w:val="0C8B1C5B"/>
    <w:rsid w:val="0C8B381E"/>
    <w:rsid w:val="0C8C24F7"/>
    <w:rsid w:val="0C8C61E7"/>
    <w:rsid w:val="0C8C699B"/>
    <w:rsid w:val="0C8E2713"/>
    <w:rsid w:val="0C915D60"/>
    <w:rsid w:val="0C923042"/>
    <w:rsid w:val="0C925FED"/>
    <w:rsid w:val="0C956E62"/>
    <w:rsid w:val="0C9605A0"/>
    <w:rsid w:val="0C9615C8"/>
    <w:rsid w:val="0C965124"/>
    <w:rsid w:val="0C996840"/>
    <w:rsid w:val="0C9C460A"/>
    <w:rsid w:val="0C9D1F01"/>
    <w:rsid w:val="0C9D4FDE"/>
    <w:rsid w:val="0C9E39C8"/>
    <w:rsid w:val="0C9E5B83"/>
    <w:rsid w:val="0CA0388E"/>
    <w:rsid w:val="0CA07B74"/>
    <w:rsid w:val="0CA43CE5"/>
    <w:rsid w:val="0CA5332B"/>
    <w:rsid w:val="0CA7201C"/>
    <w:rsid w:val="0CA737D5"/>
    <w:rsid w:val="0CAA6E21"/>
    <w:rsid w:val="0CAC0566"/>
    <w:rsid w:val="0CAF1744"/>
    <w:rsid w:val="0CB06EE6"/>
    <w:rsid w:val="0CB437FC"/>
    <w:rsid w:val="0CB4627B"/>
    <w:rsid w:val="0CB657C6"/>
    <w:rsid w:val="0CB832EC"/>
    <w:rsid w:val="0CBA2B69"/>
    <w:rsid w:val="0CBD4786"/>
    <w:rsid w:val="0CC06335"/>
    <w:rsid w:val="0CC13BAD"/>
    <w:rsid w:val="0CC212FB"/>
    <w:rsid w:val="0CC550C6"/>
    <w:rsid w:val="0CC55A09"/>
    <w:rsid w:val="0CC71781"/>
    <w:rsid w:val="0CCA3020"/>
    <w:rsid w:val="0CCA5F99"/>
    <w:rsid w:val="0CCC4FEA"/>
    <w:rsid w:val="0CCD48BE"/>
    <w:rsid w:val="0CCE0A8A"/>
    <w:rsid w:val="0CCE2B10"/>
    <w:rsid w:val="0CD10852"/>
    <w:rsid w:val="0CD2303E"/>
    <w:rsid w:val="0CD619C5"/>
    <w:rsid w:val="0CD65E68"/>
    <w:rsid w:val="0CDD0FA5"/>
    <w:rsid w:val="0CDF2F6F"/>
    <w:rsid w:val="0CE00A95"/>
    <w:rsid w:val="0CE02843"/>
    <w:rsid w:val="0CE045F1"/>
    <w:rsid w:val="0CE20369"/>
    <w:rsid w:val="0CE265BB"/>
    <w:rsid w:val="0CE37F7E"/>
    <w:rsid w:val="0CEA19F3"/>
    <w:rsid w:val="0CEF3474"/>
    <w:rsid w:val="0CF06F2A"/>
    <w:rsid w:val="0CF34325"/>
    <w:rsid w:val="0CF63E15"/>
    <w:rsid w:val="0CF743E2"/>
    <w:rsid w:val="0CF74AB8"/>
    <w:rsid w:val="0CF92A3E"/>
    <w:rsid w:val="0CFA1A3F"/>
    <w:rsid w:val="0CFA1B57"/>
    <w:rsid w:val="0CFD03AF"/>
    <w:rsid w:val="0CFE523C"/>
    <w:rsid w:val="0CFF53BF"/>
    <w:rsid w:val="0CFF716D"/>
    <w:rsid w:val="0D004C93"/>
    <w:rsid w:val="0D051CD8"/>
    <w:rsid w:val="0D054058"/>
    <w:rsid w:val="0D056BBF"/>
    <w:rsid w:val="0D057296"/>
    <w:rsid w:val="0D074274"/>
    <w:rsid w:val="0D07521B"/>
    <w:rsid w:val="0D091D9A"/>
    <w:rsid w:val="0D0A5A61"/>
    <w:rsid w:val="0D1063DE"/>
    <w:rsid w:val="0D132C19"/>
    <w:rsid w:val="0D1500CF"/>
    <w:rsid w:val="0D15095B"/>
    <w:rsid w:val="0D1644B7"/>
    <w:rsid w:val="0D181FDD"/>
    <w:rsid w:val="0D182DDF"/>
    <w:rsid w:val="0D186481"/>
    <w:rsid w:val="0D1D5845"/>
    <w:rsid w:val="0D1D75F3"/>
    <w:rsid w:val="0D1E160E"/>
    <w:rsid w:val="0D232A61"/>
    <w:rsid w:val="0D232C17"/>
    <w:rsid w:val="0D2A3ABE"/>
    <w:rsid w:val="0D2A4259"/>
    <w:rsid w:val="0D2C3CDA"/>
    <w:rsid w:val="0D2D6A5E"/>
    <w:rsid w:val="0D2E2BDA"/>
    <w:rsid w:val="0D2E31D5"/>
    <w:rsid w:val="0D2E7A52"/>
    <w:rsid w:val="0D334492"/>
    <w:rsid w:val="0D374B59"/>
    <w:rsid w:val="0D3A01A5"/>
    <w:rsid w:val="0D404B09"/>
    <w:rsid w:val="0D411EDF"/>
    <w:rsid w:val="0D4234FE"/>
    <w:rsid w:val="0D441024"/>
    <w:rsid w:val="0D447276"/>
    <w:rsid w:val="0D4508F8"/>
    <w:rsid w:val="0D48582B"/>
    <w:rsid w:val="0D4E1EA3"/>
    <w:rsid w:val="0D4E3CA3"/>
    <w:rsid w:val="0D4F1B22"/>
    <w:rsid w:val="0D501777"/>
    <w:rsid w:val="0D511E4A"/>
    <w:rsid w:val="0D5154EF"/>
    <w:rsid w:val="0D5474C6"/>
    <w:rsid w:val="0D5A21BA"/>
    <w:rsid w:val="0D5C1B29"/>
    <w:rsid w:val="0D5D20E6"/>
    <w:rsid w:val="0D5E3A73"/>
    <w:rsid w:val="0D5F19BA"/>
    <w:rsid w:val="0D6337AD"/>
    <w:rsid w:val="0D63594E"/>
    <w:rsid w:val="0D6671EC"/>
    <w:rsid w:val="0D682F64"/>
    <w:rsid w:val="0D6945E7"/>
    <w:rsid w:val="0D696CDD"/>
    <w:rsid w:val="0D6A3EDB"/>
    <w:rsid w:val="0D6B4803"/>
    <w:rsid w:val="0D6C2329"/>
    <w:rsid w:val="0D6D59C4"/>
    <w:rsid w:val="0D6F40CE"/>
    <w:rsid w:val="0D6F7730"/>
    <w:rsid w:val="0D701E19"/>
    <w:rsid w:val="0D7116ED"/>
    <w:rsid w:val="0D71793F"/>
    <w:rsid w:val="0D7445F1"/>
    <w:rsid w:val="0D7548BC"/>
    <w:rsid w:val="0D766D04"/>
    <w:rsid w:val="0D771E83"/>
    <w:rsid w:val="0D780CCE"/>
    <w:rsid w:val="0D796E2B"/>
    <w:rsid w:val="0D7A0BE3"/>
    <w:rsid w:val="0D7B0244"/>
    <w:rsid w:val="0D7B2E5F"/>
    <w:rsid w:val="0D7B7E36"/>
    <w:rsid w:val="0D8238FA"/>
    <w:rsid w:val="0D8407A6"/>
    <w:rsid w:val="0D860802"/>
    <w:rsid w:val="0D887163"/>
    <w:rsid w:val="0D896A37"/>
    <w:rsid w:val="0D8B1262"/>
    <w:rsid w:val="0D8B2166"/>
    <w:rsid w:val="0D8C6527"/>
    <w:rsid w:val="0D8F5B02"/>
    <w:rsid w:val="0D9067BC"/>
    <w:rsid w:val="0D9217FF"/>
    <w:rsid w:val="0D9836A1"/>
    <w:rsid w:val="0D9864B4"/>
    <w:rsid w:val="0D9B1C5B"/>
    <w:rsid w:val="0D9C49BC"/>
    <w:rsid w:val="0D9C7C13"/>
    <w:rsid w:val="0D9F625A"/>
    <w:rsid w:val="0DA16476"/>
    <w:rsid w:val="0DA27AF9"/>
    <w:rsid w:val="0DA675E9"/>
    <w:rsid w:val="0DA67939"/>
    <w:rsid w:val="0DA87805"/>
    <w:rsid w:val="0DB17536"/>
    <w:rsid w:val="0DB31D06"/>
    <w:rsid w:val="0DB461AA"/>
    <w:rsid w:val="0DB52116"/>
    <w:rsid w:val="0DB6446C"/>
    <w:rsid w:val="0DBC5B20"/>
    <w:rsid w:val="0DC0318D"/>
    <w:rsid w:val="0DC06F95"/>
    <w:rsid w:val="0DC12675"/>
    <w:rsid w:val="0DC161D1"/>
    <w:rsid w:val="0DC21898"/>
    <w:rsid w:val="0DC21F49"/>
    <w:rsid w:val="0DC2489C"/>
    <w:rsid w:val="0DC363ED"/>
    <w:rsid w:val="0DC432BA"/>
    <w:rsid w:val="0DC51F17"/>
    <w:rsid w:val="0DC55E46"/>
    <w:rsid w:val="0DC9777B"/>
    <w:rsid w:val="0DCB05AE"/>
    <w:rsid w:val="0DCB52A1"/>
    <w:rsid w:val="0DCF6D79"/>
    <w:rsid w:val="0DD116EE"/>
    <w:rsid w:val="0DD24882"/>
    <w:rsid w:val="0DD26BAF"/>
    <w:rsid w:val="0DD56120"/>
    <w:rsid w:val="0DD73C46"/>
    <w:rsid w:val="0DD74424"/>
    <w:rsid w:val="0DD9149A"/>
    <w:rsid w:val="0DD91BFD"/>
    <w:rsid w:val="0DDA54E4"/>
    <w:rsid w:val="0DDC125D"/>
    <w:rsid w:val="0DE10795"/>
    <w:rsid w:val="0DE14AC5"/>
    <w:rsid w:val="0DE163B5"/>
    <w:rsid w:val="0DE60F97"/>
    <w:rsid w:val="0DE97FB1"/>
    <w:rsid w:val="0DED5218"/>
    <w:rsid w:val="0DEF6D50"/>
    <w:rsid w:val="0DEF71E2"/>
    <w:rsid w:val="0DF27D93"/>
    <w:rsid w:val="0DF376D7"/>
    <w:rsid w:val="0DF5231E"/>
    <w:rsid w:val="0DF6613C"/>
    <w:rsid w:val="0DF90060"/>
    <w:rsid w:val="0DFD0FF8"/>
    <w:rsid w:val="0DFE0FE4"/>
    <w:rsid w:val="0DFE11D3"/>
    <w:rsid w:val="0E0213F2"/>
    <w:rsid w:val="0E034A3B"/>
    <w:rsid w:val="0E04644A"/>
    <w:rsid w:val="0E07353A"/>
    <w:rsid w:val="0E0849CA"/>
    <w:rsid w:val="0E0A1FE1"/>
    <w:rsid w:val="0E0B7D94"/>
    <w:rsid w:val="0E0C15DB"/>
    <w:rsid w:val="0E0D65F1"/>
    <w:rsid w:val="0E0F54AD"/>
    <w:rsid w:val="0E1327A4"/>
    <w:rsid w:val="0E150E4B"/>
    <w:rsid w:val="0E15476E"/>
    <w:rsid w:val="0E15651D"/>
    <w:rsid w:val="0E1924B1"/>
    <w:rsid w:val="0E1A3B33"/>
    <w:rsid w:val="0E1C3D4F"/>
    <w:rsid w:val="0E1F5B77"/>
    <w:rsid w:val="0E2230B3"/>
    <w:rsid w:val="0E230C39"/>
    <w:rsid w:val="0E24158B"/>
    <w:rsid w:val="0E266ACA"/>
    <w:rsid w:val="0E285103"/>
    <w:rsid w:val="0E285773"/>
    <w:rsid w:val="0E2A646C"/>
    <w:rsid w:val="0E2B0F99"/>
    <w:rsid w:val="0E2D3866"/>
    <w:rsid w:val="0E2E3EEC"/>
    <w:rsid w:val="0E2F75DE"/>
    <w:rsid w:val="0E3015A8"/>
    <w:rsid w:val="0E303356"/>
    <w:rsid w:val="0E323572"/>
    <w:rsid w:val="0E330915"/>
    <w:rsid w:val="0E341099"/>
    <w:rsid w:val="0E364E11"/>
    <w:rsid w:val="0E39416C"/>
    <w:rsid w:val="0E3C619F"/>
    <w:rsid w:val="0E3F0DAA"/>
    <w:rsid w:val="0E415563"/>
    <w:rsid w:val="0E462B7A"/>
    <w:rsid w:val="0E484B44"/>
    <w:rsid w:val="0E4868F2"/>
    <w:rsid w:val="0E4B63E2"/>
    <w:rsid w:val="0E4F1A2E"/>
    <w:rsid w:val="0E524E11"/>
    <w:rsid w:val="0E567261"/>
    <w:rsid w:val="0E5A7AE3"/>
    <w:rsid w:val="0E5B2A68"/>
    <w:rsid w:val="0E5B6625"/>
    <w:rsid w:val="0E5C05EF"/>
    <w:rsid w:val="0E5C591E"/>
    <w:rsid w:val="0E5C65DD"/>
    <w:rsid w:val="0E5D6FB7"/>
    <w:rsid w:val="0E625C06"/>
    <w:rsid w:val="0E6454B7"/>
    <w:rsid w:val="0E666D78"/>
    <w:rsid w:val="0E677FB6"/>
    <w:rsid w:val="0E682AF0"/>
    <w:rsid w:val="0E686F94"/>
    <w:rsid w:val="0E6A2D0C"/>
    <w:rsid w:val="0E6A4ABA"/>
    <w:rsid w:val="0E6A6868"/>
    <w:rsid w:val="0E6B25E0"/>
    <w:rsid w:val="0E6F3FA6"/>
    <w:rsid w:val="0E701638"/>
    <w:rsid w:val="0E714619"/>
    <w:rsid w:val="0E72571D"/>
    <w:rsid w:val="0E736D32"/>
    <w:rsid w:val="0E741495"/>
    <w:rsid w:val="0E745939"/>
    <w:rsid w:val="0E7771D7"/>
    <w:rsid w:val="0E7A2EDF"/>
    <w:rsid w:val="0E7B6CC7"/>
    <w:rsid w:val="0E7D2A40"/>
    <w:rsid w:val="0E7E0142"/>
    <w:rsid w:val="0E811E04"/>
    <w:rsid w:val="0E850C71"/>
    <w:rsid w:val="0E8832FC"/>
    <w:rsid w:val="0E8E60D1"/>
    <w:rsid w:val="0E954E08"/>
    <w:rsid w:val="0E963B01"/>
    <w:rsid w:val="0E9658AF"/>
    <w:rsid w:val="0E981627"/>
    <w:rsid w:val="0E996E88"/>
    <w:rsid w:val="0E9B2EC6"/>
    <w:rsid w:val="0E9C01D8"/>
    <w:rsid w:val="0E9C279A"/>
    <w:rsid w:val="0E9E6D55"/>
    <w:rsid w:val="0E9F4FEC"/>
    <w:rsid w:val="0EA135DB"/>
    <w:rsid w:val="0EA578A0"/>
    <w:rsid w:val="0EAC1011"/>
    <w:rsid w:val="0EAF071F"/>
    <w:rsid w:val="0EB21FBD"/>
    <w:rsid w:val="0EB36461"/>
    <w:rsid w:val="0EB67D00"/>
    <w:rsid w:val="0EB803E8"/>
    <w:rsid w:val="0EB9159E"/>
    <w:rsid w:val="0EB92499"/>
    <w:rsid w:val="0EBA4ABC"/>
    <w:rsid w:val="0EBC26B6"/>
    <w:rsid w:val="0EBF70A2"/>
    <w:rsid w:val="0EC06C0C"/>
    <w:rsid w:val="0EC31A50"/>
    <w:rsid w:val="0EC75A69"/>
    <w:rsid w:val="0EC77ED6"/>
    <w:rsid w:val="0EC85224"/>
    <w:rsid w:val="0EC873C5"/>
    <w:rsid w:val="0ECF2B6F"/>
    <w:rsid w:val="0ED168E7"/>
    <w:rsid w:val="0ED32660"/>
    <w:rsid w:val="0ED42D25"/>
    <w:rsid w:val="0ED814AD"/>
    <w:rsid w:val="0EDB1514"/>
    <w:rsid w:val="0EDB32C2"/>
    <w:rsid w:val="0EDD34DE"/>
    <w:rsid w:val="0EDE2DB2"/>
    <w:rsid w:val="0EDE48A1"/>
    <w:rsid w:val="0EE15D59"/>
    <w:rsid w:val="0EE20AF5"/>
    <w:rsid w:val="0EE303C9"/>
    <w:rsid w:val="0EE4281A"/>
    <w:rsid w:val="0EE52393"/>
    <w:rsid w:val="0EE72544"/>
    <w:rsid w:val="0EE749C6"/>
    <w:rsid w:val="0EE77EB9"/>
    <w:rsid w:val="0EE83B86"/>
    <w:rsid w:val="0EE83C31"/>
    <w:rsid w:val="0EE8738F"/>
    <w:rsid w:val="0EEA79A9"/>
    <w:rsid w:val="0EEB4536"/>
    <w:rsid w:val="0EEE6E67"/>
    <w:rsid w:val="0EF32D02"/>
    <w:rsid w:val="0EF600FC"/>
    <w:rsid w:val="0EF820C6"/>
    <w:rsid w:val="0EF920D0"/>
    <w:rsid w:val="0EF92712"/>
    <w:rsid w:val="0EFA2408"/>
    <w:rsid w:val="0EFB5712"/>
    <w:rsid w:val="0EFD148A"/>
    <w:rsid w:val="0EFD76DC"/>
    <w:rsid w:val="0EFF0189"/>
    <w:rsid w:val="0F000DDF"/>
    <w:rsid w:val="0F017011"/>
    <w:rsid w:val="0F040A6B"/>
    <w:rsid w:val="0F070785"/>
    <w:rsid w:val="0F0E239E"/>
    <w:rsid w:val="0F0F11BE"/>
    <w:rsid w:val="0F102A9F"/>
    <w:rsid w:val="0F102CC4"/>
    <w:rsid w:val="0F102FA9"/>
    <w:rsid w:val="0F1A64E0"/>
    <w:rsid w:val="0F1D1B2D"/>
    <w:rsid w:val="0F1E7653"/>
    <w:rsid w:val="0F212A6D"/>
    <w:rsid w:val="0F21718D"/>
    <w:rsid w:val="0F281D0B"/>
    <w:rsid w:val="0F296CA5"/>
    <w:rsid w:val="0F2C6FE0"/>
    <w:rsid w:val="0F2F1860"/>
    <w:rsid w:val="0F304DD1"/>
    <w:rsid w:val="0F307AB2"/>
    <w:rsid w:val="0F317386"/>
    <w:rsid w:val="0F362BEE"/>
    <w:rsid w:val="0F3712BD"/>
    <w:rsid w:val="0F380715"/>
    <w:rsid w:val="0F380CF4"/>
    <w:rsid w:val="0F384BB8"/>
    <w:rsid w:val="0F3A199C"/>
    <w:rsid w:val="0F3B6457"/>
    <w:rsid w:val="0F3D0BE6"/>
    <w:rsid w:val="0F3D3B30"/>
    <w:rsid w:val="0F403A6D"/>
    <w:rsid w:val="0F441D8F"/>
    <w:rsid w:val="0F4672D5"/>
    <w:rsid w:val="0F4676E4"/>
    <w:rsid w:val="0F474DFC"/>
    <w:rsid w:val="0F483D4E"/>
    <w:rsid w:val="0F4B4326"/>
    <w:rsid w:val="0F4C0664"/>
    <w:rsid w:val="0F50409E"/>
    <w:rsid w:val="0F512094"/>
    <w:rsid w:val="0F53360D"/>
    <w:rsid w:val="0F5616AC"/>
    <w:rsid w:val="0F567555"/>
    <w:rsid w:val="0F595229"/>
    <w:rsid w:val="0F5A5F0C"/>
    <w:rsid w:val="0F5B2655"/>
    <w:rsid w:val="0F5B471D"/>
    <w:rsid w:val="0F5C232E"/>
    <w:rsid w:val="0F5D4181"/>
    <w:rsid w:val="0F5D461F"/>
    <w:rsid w:val="0F6239E3"/>
    <w:rsid w:val="0F6634D4"/>
    <w:rsid w:val="0F670FFA"/>
    <w:rsid w:val="0F696B20"/>
    <w:rsid w:val="0F6A2898"/>
    <w:rsid w:val="0F6B6D3C"/>
    <w:rsid w:val="0F7200CA"/>
    <w:rsid w:val="0F734F6B"/>
    <w:rsid w:val="0F735BF1"/>
    <w:rsid w:val="0F753717"/>
    <w:rsid w:val="0F754D02"/>
    <w:rsid w:val="0F7804E8"/>
    <w:rsid w:val="0F79141A"/>
    <w:rsid w:val="0F793E06"/>
    <w:rsid w:val="0F7A0D2D"/>
    <w:rsid w:val="0F7A2ADB"/>
    <w:rsid w:val="0F7B1AD0"/>
    <w:rsid w:val="0F7B6853"/>
    <w:rsid w:val="0F7D081D"/>
    <w:rsid w:val="0F7E5CE7"/>
    <w:rsid w:val="0F7F00F1"/>
    <w:rsid w:val="0F873473"/>
    <w:rsid w:val="0F8751F8"/>
    <w:rsid w:val="0F8A3E81"/>
    <w:rsid w:val="0F8A4A20"/>
    <w:rsid w:val="0F8C0A60"/>
    <w:rsid w:val="0F8C280E"/>
    <w:rsid w:val="0F9303C1"/>
    <w:rsid w:val="0F933B44"/>
    <w:rsid w:val="0F96368D"/>
    <w:rsid w:val="0F973F77"/>
    <w:rsid w:val="0F974465"/>
    <w:rsid w:val="0F977B31"/>
    <w:rsid w:val="0F9A317D"/>
    <w:rsid w:val="0F9D2C6D"/>
    <w:rsid w:val="0F9D4A1B"/>
    <w:rsid w:val="0FA062BA"/>
    <w:rsid w:val="0FA32781"/>
    <w:rsid w:val="0FA40799"/>
    <w:rsid w:val="0FAA3E38"/>
    <w:rsid w:val="0FAB538A"/>
    <w:rsid w:val="0FAE3FC6"/>
    <w:rsid w:val="0FB00B75"/>
    <w:rsid w:val="0FB02359"/>
    <w:rsid w:val="0FB06655"/>
    <w:rsid w:val="0FB12275"/>
    <w:rsid w:val="0FB26719"/>
    <w:rsid w:val="0FB35FED"/>
    <w:rsid w:val="0FB73D2F"/>
    <w:rsid w:val="0FB75ADD"/>
    <w:rsid w:val="0FBA228C"/>
    <w:rsid w:val="0FBA737B"/>
    <w:rsid w:val="0FBF2BE4"/>
    <w:rsid w:val="0FC05FDF"/>
    <w:rsid w:val="0FC1070A"/>
    <w:rsid w:val="0FC1695C"/>
    <w:rsid w:val="0FC85CFB"/>
    <w:rsid w:val="0FC85F3C"/>
    <w:rsid w:val="0FCB1589"/>
    <w:rsid w:val="0FCC70AF"/>
    <w:rsid w:val="0FCE0CDD"/>
    <w:rsid w:val="0FCE72CB"/>
    <w:rsid w:val="0FCF029B"/>
    <w:rsid w:val="0FD0094D"/>
    <w:rsid w:val="0FD03FE6"/>
    <w:rsid w:val="0FD45A4D"/>
    <w:rsid w:val="0FD50659"/>
    <w:rsid w:val="0FD536AF"/>
    <w:rsid w:val="0FDA7A1E"/>
    <w:rsid w:val="0FDC19E8"/>
    <w:rsid w:val="0FDC314E"/>
    <w:rsid w:val="0FDD306A"/>
    <w:rsid w:val="0FDF6DE2"/>
    <w:rsid w:val="0FE4089C"/>
    <w:rsid w:val="0FE443F8"/>
    <w:rsid w:val="0FE5719E"/>
    <w:rsid w:val="0FEA70D2"/>
    <w:rsid w:val="0FEB1C2B"/>
    <w:rsid w:val="0FEB2E02"/>
    <w:rsid w:val="0FED7751"/>
    <w:rsid w:val="0FF11874"/>
    <w:rsid w:val="0FF56606"/>
    <w:rsid w:val="0FF85943"/>
    <w:rsid w:val="0FFA1E6E"/>
    <w:rsid w:val="0FFA787D"/>
    <w:rsid w:val="0FFF56D6"/>
    <w:rsid w:val="10013AC5"/>
    <w:rsid w:val="10044A9B"/>
    <w:rsid w:val="10063AF0"/>
    <w:rsid w:val="100834D5"/>
    <w:rsid w:val="10086339"/>
    <w:rsid w:val="100D0CBF"/>
    <w:rsid w:val="100D1BA1"/>
    <w:rsid w:val="100E76C7"/>
    <w:rsid w:val="100F33F7"/>
    <w:rsid w:val="10106CE5"/>
    <w:rsid w:val="10125409"/>
    <w:rsid w:val="101271B8"/>
    <w:rsid w:val="10155F92"/>
    <w:rsid w:val="10156CA8"/>
    <w:rsid w:val="10171714"/>
    <w:rsid w:val="101747CE"/>
    <w:rsid w:val="10175909"/>
    <w:rsid w:val="101846A9"/>
    <w:rsid w:val="10196798"/>
    <w:rsid w:val="101E5B5C"/>
    <w:rsid w:val="10234F21"/>
    <w:rsid w:val="10246669"/>
    <w:rsid w:val="10256733"/>
    <w:rsid w:val="1027514F"/>
    <w:rsid w:val="1028084A"/>
    <w:rsid w:val="10283879"/>
    <w:rsid w:val="10294501"/>
    <w:rsid w:val="102962AF"/>
    <w:rsid w:val="102B64CB"/>
    <w:rsid w:val="102D3FF1"/>
    <w:rsid w:val="102F0B7B"/>
    <w:rsid w:val="10340F65"/>
    <w:rsid w:val="1034712E"/>
    <w:rsid w:val="10374E70"/>
    <w:rsid w:val="103823C2"/>
    <w:rsid w:val="103A226A"/>
    <w:rsid w:val="103C2486"/>
    <w:rsid w:val="103C714F"/>
    <w:rsid w:val="103D5D73"/>
    <w:rsid w:val="103D799E"/>
    <w:rsid w:val="103F3D25"/>
    <w:rsid w:val="103F5AD3"/>
    <w:rsid w:val="1042358C"/>
    <w:rsid w:val="104666EA"/>
    <w:rsid w:val="10494BEC"/>
    <w:rsid w:val="104A4BA3"/>
    <w:rsid w:val="104C72DB"/>
    <w:rsid w:val="104E5D16"/>
    <w:rsid w:val="105306AD"/>
    <w:rsid w:val="10533463"/>
    <w:rsid w:val="1054157E"/>
    <w:rsid w:val="105B0B5E"/>
    <w:rsid w:val="105E4149"/>
    <w:rsid w:val="10605BB5"/>
    <w:rsid w:val="10616161"/>
    <w:rsid w:val="10675755"/>
    <w:rsid w:val="106F63B8"/>
    <w:rsid w:val="107101A9"/>
    <w:rsid w:val="107439CE"/>
    <w:rsid w:val="107472AF"/>
    <w:rsid w:val="10757746"/>
    <w:rsid w:val="10795489"/>
    <w:rsid w:val="107E37F2"/>
    <w:rsid w:val="107E65FB"/>
    <w:rsid w:val="107F59ED"/>
    <w:rsid w:val="108300B5"/>
    <w:rsid w:val="10833B67"/>
    <w:rsid w:val="10833C11"/>
    <w:rsid w:val="10853E2D"/>
    <w:rsid w:val="108616C4"/>
    <w:rsid w:val="10861954"/>
    <w:rsid w:val="10875725"/>
    <w:rsid w:val="1089507F"/>
    <w:rsid w:val="108A31F2"/>
    <w:rsid w:val="108A4FA0"/>
    <w:rsid w:val="108F6A5A"/>
    <w:rsid w:val="108F7EE0"/>
    <w:rsid w:val="10925947"/>
    <w:rsid w:val="1094094E"/>
    <w:rsid w:val="10944070"/>
    <w:rsid w:val="1097230C"/>
    <w:rsid w:val="109C4CD3"/>
    <w:rsid w:val="109E0A4B"/>
    <w:rsid w:val="109E6DB2"/>
    <w:rsid w:val="10A11A07"/>
    <w:rsid w:val="10A20615"/>
    <w:rsid w:val="10A43B1F"/>
    <w:rsid w:val="10A5002C"/>
    <w:rsid w:val="10A65B52"/>
    <w:rsid w:val="10A67900"/>
    <w:rsid w:val="10AC7253"/>
    <w:rsid w:val="10AE05B3"/>
    <w:rsid w:val="10AE33DE"/>
    <w:rsid w:val="10AF4A06"/>
    <w:rsid w:val="10B169D0"/>
    <w:rsid w:val="10B4026F"/>
    <w:rsid w:val="10B60736"/>
    <w:rsid w:val="10B65D95"/>
    <w:rsid w:val="10B753FB"/>
    <w:rsid w:val="10B95885"/>
    <w:rsid w:val="10BA05B4"/>
    <w:rsid w:val="10BE10ED"/>
    <w:rsid w:val="10BE733F"/>
    <w:rsid w:val="10C20BDE"/>
    <w:rsid w:val="10C31666"/>
    <w:rsid w:val="10C34956"/>
    <w:rsid w:val="10C414C3"/>
    <w:rsid w:val="10C53C9A"/>
    <w:rsid w:val="10C77FA2"/>
    <w:rsid w:val="10C85D13"/>
    <w:rsid w:val="10CA1840"/>
    <w:rsid w:val="10CB6A1C"/>
    <w:rsid w:val="10CD1330"/>
    <w:rsid w:val="10CD7582"/>
    <w:rsid w:val="10CF32FA"/>
    <w:rsid w:val="10D206F5"/>
    <w:rsid w:val="10D37D71"/>
    <w:rsid w:val="10D425EB"/>
    <w:rsid w:val="10D42720"/>
    <w:rsid w:val="10DB78ED"/>
    <w:rsid w:val="10DD65D3"/>
    <w:rsid w:val="10DE5BF9"/>
    <w:rsid w:val="10E017B4"/>
    <w:rsid w:val="10E072B6"/>
    <w:rsid w:val="10E32514"/>
    <w:rsid w:val="10E35261"/>
    <w:rsid w:val="10E36DA6"/>
    <w:rsid w:val="10E430B3"/>
    <w:rsid w:val="10E431EE"/>
    <w:rsid w:val="10E555FE"/>
    <w:rsid w:val="10E637F4"/>
    <w:rsid w:val="10E66141"/>
    <w:rsid w:val="10EA0B23"/>
    <w:rsid w:val="10EB7046"/>
    <w:rsid w:val="10EC17B7"/>
    <w:rsid w:val="10EC5C5A"/>
    <w:rsid w:val="10EC7A09"/>
    <w:rsid w:val="10F14A8A"/>
    <w:rsid w:val="10F16DCD"/>
    <w:rsid w:val="10F27536"/>
    <w:rsid w:val="10F44B0F"/>
    <w:rsid w:val="10F83127"/>
    <w:rsid w:val="10F92125"/>
    <w:rsid w:val="10FE14EA"/>
    <w:rsid w:val="110034B4"/>
    <w:rsid w:val="11021117"/>
    <w:rsid w:val="11032FA4"/>
    <w:rsid w:val="11036AF9"/>
    <w:rsid w:val="110411F6"/>
    <w:rsid w:val="11061182"/>
    <w:rsid w:val="11074842"/>
    <w:rsid w:val="110A251D"/>
    <w:rsid w:val="110A7E8F"/>
    <w:rsid w:val="110B2B14"/>
    <w:rsid w:val="110C09D7"/>
    <w:rsid w:val="110E5BD1"/>
    <w:rsid w:val="11102CF5"/>
    <w:rsid w:val="11140D0D"/>
    <w:rsid w:val="1114617F"/>
    <w:rsid w:val="11162CD7"/>
    <w:rsid w:val="111B209C"/>
    <w:rsid w:val="111D54A2"/>
    <w:rsid w:val="111D5E14"/>
    <w:rsid w:val="111E1B8C"/>
    <w:rsid w:val="111E4C42"/>
    <w:rsid w:val="11206FB7"/>
    <w:rsid w:val="11213F0D"/>
    <w:rsid w:val="11241AA9"/>
    <w:rsid w:val="11247CB8"/>
    <w:rsid w:val="112631E6"/>
    <w:rsid w:val="11276C93"/>
    <w:rsid w:val="1128644A"/>
    <w:rsid w:val="112A6877"/>
    <w:rsid w:val="112C42A9"/>
    <w:rsid w:val="112C62AE"/>
    <w:rsid w:val="112D0259"/>
    <w:rsid w:val="113413B0"/>
    <w:rsid w:val="1134315E"/>
    <w:rsid w:val="11345723"/>
    <w:rsid w:val="11380EA0"/>
    <w:rsid w:val="11382C4E"/>
    <w:rsid w:val="113849FC"/>
    <w:rsid w:val="1139613B"/>
    <w:rsid w:val="113A4C18"/>
    <w:rsid w:val="113A623D"/>
    <w:rsid w:val="1142587A"/>
    <w:rsid w:val="11447845"/>
    <w:rsid w:val="11473D3D"/>
    <w:rsid w:val="114B271D"/>
    <w:rsid w:val="114F1D45"/>
    <w:rsid w:val="114F61E9"/>
    <w:rsid w:val="11544F10"/>
    <w:rsid w:val="11567578"/>
    <w:rsid w:val="11572401"/>
    <w:rsid w:val="11586E4C"/>
    <w:rsid w:val="115B06EA"/>
    <w:rsid w:val="115B693C"/>
    <w:rsid w:val="116003F7"/>
    <w:rsid w:val="11603F53"/>
    <w:rsid w:val="11621A79"/>
    <w:rsid w:val="116457F1"/>
    <w:rsid w:val="11651BDC"/>
    <w:rsid w:val="11661549"/>
    <w:rsid w:val="116C0B49"/>
    <w:rsid w:val="116C3197"/>
    <w:rsid w:val="116F23E8"/>
    <w:rsid w:val="117602F2"/>
    <w:rsid w:val="117621CC"/>
    <w:rsid w:val="117A3266"/>
    <w:rsid w:val="117A5014"/>
    <w:rsid w:val="117B2B3A"/>
    <w:rsid w:val="117B752B"/>
    <w:rsid w:val="117F262B"/>
    <w:rsid w:val="11812847"/>
    <w:rsid w:val="1182036D"/>
    <w:rsid w:val="118309E2"/>
    <w:rsid w:val="118539B9"/>
    <w:rsid w:val="1186357B"/>
    <w:rsid w:val="11874169"/>
    <w:rsid w:val="11877731"/>
    <w:rsid w:val="118D039B"/>
    <w:rsid w:val="11902A8A"/>
    <w:rsid w:val="119051EF"/>
    <w:rsid w:val="119105B0"/>
    <w:rsid w:val="119360D6"/>
    <w:rsid w:val="1195409E"/>
    <w:rsid w:val="11965BC6"/>
    <w:rsid w:val="119836EC"/>
    <w:rsid w:val="11987B90"/>
    <w:rsid w:val="119A3908"/>
    <w:rsid w:val="119B4F8B"/>
    <w:rsid w:val="119D51A7"/>
    <w:rsid w:val="119D6F55"/>
    <w:rsid w:val="11A007F3"/>
    <w:rsid w:val="11A16A45"/>
    <w:rsid w:val="11A22815"/>
    <w:rsid w:val="11A2456B"/>
    <w:rsid w:val="11A46535"/>
    <w:rsid w:val="11A622AD"/>
    <w:rsid w:val="11A81A0C"/>
    <w:rsid w:val="11A84C34"/>
    <w:rsid w:val="11AC0F46"/>
    <w:rsid w:val="11B047E0"/>
    <w:rsid w:val="11B22B48"/>
    <w:rsid w:val="11B60016"/>
    <w:rsid w:val="11B6739D"/>
    <w:rsid w:val="11BA3663"/>
    <w:rsid w:val="11BC7A36"/>
    <w:rsid w:val="11BD3153"/>
    <w:rsid w:val="11BD6FF4"/>
    <w:rsid w:val="11BF6ECB"/>
    <w:rsid w:val="11C049F1"/>
    <w:rsid w:val="11C10E95"/>
    <w:rsid w:val="11C12C43"/>
    <w:rsid w:val="11C40985"/>
    <w:rsid w:val="11C47BB0"/>
    <w:rsid w:val="11C5058A"/>
    <w:rsid w:val="11C72224"/>
    <w:rsid w:val="11D00241"/>
    <w:rsid w:val="11D32976"/>
    <w:rsid w:val="11D34725"/>
    <w:rsid w:val="11D54941"/>
    <w:rsid w:val="11D706B9"/>
    <w:rsid w:val="11DB0D58"/>
    <w:rsid w:val="11DD37F5"/>
    <w:rsid w:val="11DE3923"/>
    <w:rsid w:val="11DF756D"/>
    <w:rsid w:val="11E22BBA"/>
    <w:rsid w:val="11E4732B"/>
    <w:rsid w:val="11E701D0"/>
    <w:rsid w:val="11E76422"/>
    <w:rsid w:val="11E8108B"/>
    <w:rsid w:val="11EB4164"/>
    <w:rsid w:val="11EC2E8A"/>
    <w:rsid w:val="11F04209"/>
    <w:rsid w:val="11F04E67"/>
    <w:rsid w:val="11F27E27"/>
    <w:rsid w:val="11F428F3"/>
    <w:rsid w:val="11F70BFD"/>
    <w:rsid w:val="11F72BD0"/>
    <w:rsid w:val="11F8418B"/>
    <w:rsid w:val="11F87E50"/>
    <w:rsid w:val="11F9432A"/>
    <w:rsid w:val="11FC1ECD"/>
    <w:rsid w:val="1202500A"/>
    <w:rsid w:val="12040D82"/>
    <w:rsid w:val="12062EB9"/>
    <w:rsid w:val="120D0CBE"/>
    <w:rsid w:val="120E4B6E"/>
    <w:rsid w:val="12110B1B"/>
    <w:rsid w:val="12117034"/>
    <w:rsid w:val="121216F1"/>
    <w:rsid w:val="1212349F"/>
    <w:rsid w:val="12131ED0"/>
    <w:rsid w:val="12134735"/>
    <w:rsid w:val="12140B5F"/>
    <w:rsid w:val="12154213"/>
    <w:rsid w:val="12163B3D"/>
    <w:rsid w:val="1217328C"/>
    <w:rsid w:val="12174146"/>
    <w:rsid w:val="12180BBD"/>
    <w:rsid w:val="121A14E4"/>
    <w:rsid w:val="121C60CC"/>
    <w:rsid w:val="121E0096"/>
    <w:rsid w:val="121F1CA1"/>
    <w:rsid w:val="12217B86"/>
    <w:rsid w:val="1223727C"/>
    <w:rsid w:val="12237953"/>
    <w:rsid w:val="122431D2"/>
    <w:rsid w:val="12244F80"/>
    <w:rsid w:val="12255C44"/>
    <w:rsid w:val="122601D8"/>
    <w:rsid w:val="1226519C"/>
    <w:rsid w:val="122664B5"/>
    <w:rsid w:val="12281213"/>
    <w:rsid w:val="122A5B48"/>
    <w:rsid w:val="122B27B2"/>
    <w:rsid w:val="12303925"/>
    <w:rsid w:val="1232769D"/>
    <w:rsid w:val="12380A2C"/>
    <w:rsid w:val="123A47A4"/>
    <w:rsid w:val="123C27D6"/>
    <w:rsid w:val="123D5128"/>
    <w:rsid w:val="123F4757"/>
    <w:rsid w:val="123F625E"/>
    <w:rsid w:val="12486EC1"/>
    <w:rsid w:val="124A70DD"/>
    <w:rsid w:val="124D2729"/>
    <w:rsid w:val="124E6F34"/>
    <w:rsid w:val="12502219"/>
    <w:rsid w:val="12505591"/>
    <w:rsid w:val="12543085"/>
    <w:rsid w:val="12552BA2"/>
    <w:rsid w:val="125941F4"/>
    <w:rsid w:val="125C296C"/>
    <w:rsid w:val="125C471A"/>
    <w:rsid w:val="125C6E10"/>
    <w:rsid w:val="12631AF2"/>
    <w:rsid w:val="12634B93"/>
    <w:rsid w:val="12655CC4"/>
    <w:rsid w:val="12695089"/>
    <w:rsid w:val="126A2A7E"/>
    <w:rsid w:val="126C2700"/>
    <w:rsid w:val="126D4B79"/>
    <w:rsid w:val="12744159"/>
    <w:rsid w:val="12751C80"/>
    <w:rsid w:val="127557DC"/>
    <w:rsid w:val="128572BF"/>
    <w:rsid w:val="12857DB5"/>
    <w:rsid w:val="128738AA"/>
    <w:rsid w:val="12883761"/>
    <w:rsid w:val="128D0D77"/>
    <w:rsid w:val="128D6FC9"/>
    <w:rsid w:val="1293358D"/>
    <w:rsid w:val="12940283"/>
    <w:rsid w:val="12967F7D"/>
    <w:rsid w:val="12981456"/>
    <w:rsid w:val="129834EB"/>
    <w:rsid w:val="129A3494"/>
    <w:rsid w:val="129A752D"/>
    <w:rsid w:val="129C0FBA"/>
    <w:rsid w:val="129D55EF"/>
    <w:rsid w:val="129E11D6"/>
    <w:rsid w:val="12A3486A"/>
    <w:rsid w:val="12A52565"/>
    <w:rsid w:val="12A550B6"/>
    <w:rsid w:val="12A606A8"/>
    <w:rsid w:val="12A702B4"/>
    <w:rsid w:val="12AA7B7B"/>
    <w:rsid w:val="12AC2211"/>
    <w:rsid w:val="12AF0CEE"/>
    <w:rsid w:val="12B10F0A"/>
    <w:rsid w:val="12B216E7"/>
    <w:rsid w:val="12B24C82"/>
    <w:rsid w:val="12B31436"/>
    <w:rsid w:val="12B5381C"/>
    <w:rsid w:val="12B56410"/>
    <w:rsid w:val="12B66520"/>
    <w:rsid w:val="12B67DB7"/>
    <w:rsid w:val="12B91B6C"/>
    <w:rsid w:val="12BB3B36"/>
    <w:rsid w:val="12BD50B9"/>
    <w:rsid w:val="12C00181"/>
    <w:rsid w:val="12C0739F"/>
    <w:rsid w:val="12C34BBB"/>
    <w:rsid w:val="12C54F8C"/>
    <w:rsid w:val="12C94D9D"/>
    <w:rsid w:val="12CA5B28"/>
    <w:rsid w:val="12CC5D44"/>
    <w:rsid w:val="12CD1ABC"/>
    <w:rsid w:val="12D06EB6"/>
    <w:rsid w:val="12D1335A"/>
    <w:rsid w:val="12D21808"/>
    <w:rsid w:val="12D469A6"/>
    <w:rsid w:val="12DB609D"/>
    <w:rsid w:val="12DC3AAD"/>
    <w:rsid w:val="12DC585B"/>
    <w:rsid w:val="12DE5A77"/>
    <w:rsid w:val="12E225AE"/>
    <w:rsid w:val="12E41216"/>
    <w:rsid w:val="12E60488"/>
    <w:rsid w:val="12EA441C"/>
    <w:rsid w:val="12EA7AE7"/>
    <w:rsid w:val="12EB0686"/>
    <w:rsid w:val="12ED1816"/>
    <w:rsid w:val="12EE0019"/>
    <w:rsid w:val="12EE08A5"/>
    <w:rsid w:val="12EF70B7"/>
    <w:rsid w:val="12EF7422"/>
    <w:rsid w:val="12F064C0"/>
    <w:rsid w:val="12F17465"/>
    <w:rsid w:val="12F17558"/>
    <w:rsid w:val="12F2507E"/>
    <w:rsid w:val="12F31522"/>
    <w:rsid w:val="12F34D7E"/>
    <w:rsid w:val="12F758BF"/>
    <w:rsid w:val="12F9465F"/>
    <w:rsid w:val="12F9640D"/>
    <w:rsid w:val="12FC6EC3"/>
    <w:rsid w:val="130003A3"/>
    <w:rsid w:val="130767D9"/>
    <w:rsid w:val="13090EB0"/>
    <w:rsid w:val="130C0BB1"/>
    <w:rsid w:val="130C11DC"/>
    <w:rsid w:val="130C25E4"/>
    <w:rsid w:val="130C4592"/>
    <w:rsid w:val="130D010A"/>
    <w:rsid w:val="130D3C66"/>
    <w:rsid w:val="130F3E82"/>
    <w:rsid w:val="130F5C30"/>
    <w:rsid w:val="13166FBF"/>
    <w:rsid w:val="131947E1"/>
    <w:rsid w:val="13196AAF"/>
    <w:rsid w:val="131B0F30"/>
    <w:rsid w:val="131B45D5"/>
    <w:rsid w:val="131B632D"/>
    <w:rsid w:val="131D1B36"/>
    <w:rsid w:val="131E1159"/>
    <w:rsid w:val="13201BEB"/>
    <w:rsid w:val="13207E3D"/>
    <w:rsid w:val="13225964"/>
    <w:rsid w:val="1323348A"/>
    <w:rsid w:val="13256945"/>
    <w:rsid w:val="132711CC"/>
    <w:rsid w:val="13294BEB"/>
    <w:rsid w:val="132A4201"/>
    <w:rsid w:val="132A7D7E"/>
    <w:rsid w:val="132B38BD"/>
    <w:rsid w:val="132F1E2E"/>
    <w:rsid w:val="1331204B"/>
    <w:rsid w:val="13313DF9"/>
    <w:rsid w:val="133631BD"/>
    <w:rsid w:val="133828A6"/>
    <w:rsid w:val="13383132"/>
    <w:rsid w:val="133C13AD"/>
    <w:rsid w:val="133E0061"/>
    <w:rsid w:val="13420CEC"/>
    <w:rsid w:val="13462A2A"/>
    <w:rsid w:val="134A6C68"/>
    <w:rsid w:val="134E1CE9"/>
    <w:rsid w:val="134F24D1"/>
    <w:rsid w:val="1350514A"/>
    <w:rsid w:val="13517FF7"/>
    <w:rsid w:val="135755EC"/>
    <w:rsid w:val="135D2E40"/>
    <w:rsid w:val="135E2714"/>
    <w:rsid w:val="135E44C2"/>
    <w:rsid w:val="135F757C"/>
    <w:rsid w:val="1360023A"/>
    <w:rsid w:val="1360754B"/>
    <w:rsid w:val="136504C1"/>
    <w:rsid w:val="13655850"/>
    <w:rsid w:val="13686D56"/>
    <w:rsid w:val="136A730B"/>
    <w:rsid w:val="136B087E"/>
    <w:rsid w:val="136C6BDF"/>
    <w:rsid w:val="1370283F"/>
    <w:rsid w:val="13705C9D"/>
    <w:rsid w:val="13710F58"/>
    <w:rsid w:val="13714B85"/>
    <w:rsid w:val="1371577D"/>
    <w:rsid w:val="13743F0E"/>
    <w:rsid w:val="13763F01"/>
    <w:rsid w:val="13767A5D"/>
    <w:rsid w:val="13775F92"/>
    <w:rsid w:val="13781A27"/>
    <w:rsid w:val="137912FC"/>
    <w:rsid w:val="137D5290"/>
    <w:rsid w:val="137F5E2D"/>
    <w:rsid w:val="137F7BEF"/>
    <w:rsid w:val="13891BB1"/>
    <w:rsid w:val="1389431B"/>
    <w:rsid w:val="138A175B"/>
    <w:rsid w:val="138C54D3"/>
    <w:rsid w:val="138E198A"/>
    <w:rsid w:val="138F28CD"/>
    <w:rsid w:val="13901E1C"/>
    <w:rsid w:val="13914897"/>
    <w:rsid w:val="139154C9"/>
    <w:rsid w:val="139231D1"/>
    <w:rsid w:val="13936861"/>
    <w:rsid w:val="13954387"/>
    <w:rsid w:val="13963C5C"/>
    <w:rsid w:val="139B1132"/>
    <w:rsid w:val="139B3968"/>
    <w:rsid w:val="139C55DE"/>
    <w:rsid w:val="139E3205"/>
    <w:rsid w:val="13A03CF1"/>
    <w:rsid w:val="13A46379"/>
    <w:rsid w:val="13A50343"/>
    <w:rsid w:val="13A51976"/>
    <w:rsid w:val="13A66595"/>
    <w:rsid w:val="13A96B0E"/>
    <w:rsid w:val="13AA7707"/>
    <w:rsid w:val="13AB701B"/>
    <w:rsid w:val="13AD3F51"/>
    <w:rsid w:val="13AE5449"/>
    <w:rsid w:val="13B3480E"/>
    <w:rsid w:val="13BA2040"/>
    <w:rsid w:val="13BB1914"/>
    <w:rsid w:val="13BB385E"/>
    <w:rsid w:val="13BF65A8"/>
    <w:rsid w:val="13C0517C"/>
    <w:rsid w:val="13C37816"/>
    <w:rsid w:val="13C407C9"/>
    <w:rsid w:val="13C44C6D"/>
    <w:rsid w:val="13C62793"/>
    <w:rsid w:val="13C95DDF"/>
    <w:rsid w:val="13CA1519"/>
    <w:rsid w:val="13CC3B21"/>
    <w:rsid w:val="13CC6536"/>
    <w:rsid w:val="13CD70D5"/>
    <w:rsid w:val="13CE33F5"/>
    <w:rsid w:val="13CE5AEB"/>
    <w:rsid w:val="13CF4B70"/>
    <w:rsid w:val="13D11138"/>
    <w:rsid w:val="13D36C5E"/>
    <w:rsid w:val="13D80718"/>
    <w:rsid w:val="13D84738"/>
    <w:rsid w:val="13D87533"/>
    <w:rsid w:val="13D94479"/>
    <w:rsid w:val="13DA0C71"/>
    <w:rsid w:val="13DC5D90"/>
    <w:rsid w:val="13DD7FA7"/>
    <w:rsid w:val="13DF775B"/>
    <w:rsid w:val="13E23345"/>
    <w:rsid w:val="13E357EF"/>
    <w:rsid w:val="13E470BD"/>
    <w:rsid w:val="13E61743"/>
    <w:rsid w:val="13E82EFF"/>
    <w:rsid w:val="13EB3EF3"/>
    <w:rsid w:val="13EB5DB7"/>
    <w:rsid w:val="13EC5F71"/>
    <w:rsid w:val="13ED7D0B"/>
    <w:rsid w:val="13EE0E21"/>
    <w:rsid w:val="13EE414B"/>
    <w:rsid w:val="13F015BE"/>
    <w:rsid w:val="13F06A5A"/>
    <w:rsid w:val="13F10443"/>
    <w:rsid w:val="13F178AB"/>
    <w:rsid w:val="13F35D9C"/>
    <w:rsid w:val="13F56435"/>
    <w:rsid w:val="13F56BD4"/>
    <w:rsid w:val="13F83651"/>
    <w:rsid w:val="13F866C4"/>
    <w:rsid w:val="13F9373F"/>
    <w:rsid w:val="13FC4407"/>
    <w:rsid w:val="13FD12E9"/>
    <w:rsid w:val="13FD1F2D"/>
    <w:rsid w:val="14011A1D"/>
    <w:rsid w:val="14034654"/>
    <w:rsid w:val="1404150D"/>
    <w:rsid w:val="14042F6C"/>
    <w:rsid w:val="14072DAB"/>
    <w:rsid w:val="14080537"/>
    <w:rsid w:val="140E7C96"/>
    <w:rsid w:val="14111320"/>
    <w:rsid w:val="14117786"/>
    <w:rsid w:val="14146950"/>
    <w:rsid w:val="141573DC"/>
    <w:rsid w:val="1416600C"/>
    <w:rsid w:val="14171240"/>
    <w:rsid w:val="1417206A"/>
    <w:rsid w:val="141B23B3"/>
    <w:rsid w:val="14213E6D"/>
    <w:rsid w:val="14221993"/>
    <w:rsid w:val="14221E1F"/>
    <w:rsid w:val="142344B8"/>
    <w:rsid w:val="14264FE0"/>
    <w:rsid w:val="14293859"/>
    <w:rsid w:val="142C5CE3"/>
    <w:rsid w:val="142C75F7"/>
    <w:rsid w:val="142F7384"/>
    <w:rsid w:val="14305E5E"/>
    <w:rsid w:val="14346719"/>
    <w:rsid w:val="14353475"/>
    <w:rsid w:val="14357918"/>
    <w:rsid w:val="1437543F"/>
    <w:rsid w:val="14375506"/>
    <w:rsid w:val="143771ED"/>
    <w:rsid w:val="14394E19"/>
    <w:rsid w:val="143A0A8B"/>
    <w:rsid w:val="143C5C8D"/>
    <w:rsid w:val="143E480A"/>
    <w:rsid w:val="143F76DC"/>
    <w:rsid w:val="14424DC6"/>
    <w:rsid w:val="14445DAD"/>
    <w:rsid w:val="14467430"/>
    <w:rsid w:val="144821C8"/>
    <w:rsid w:val="14495A0F"/>
    <w:rsid w:val="14496F20"/>
    <w:rsid w:val="14515DD5"/>
    <w:rsid w:val="145204CA"/>
    <w:rsid w:val="145429CC"/>
    <w:rsid w:val="145533A6"/>
    <w:rsid w:val="14553B17"/>
    <w:rsid w:val="14567065"/>
    <w:rsid w:val="1457788F"/>
    <w:rsid w:val="145853B5"/>
    <w:rsid w:val="14595B70"/>
    <w:rsid w:val="146124BC"/>
    <w:rsid w:val="146228E4"/>
    <w:rsid w:val="146273D6"/>
    <w:rsid w:val="14627FE2"/>
    <w:rsid w:val="14634486"/>
    <w:rsid w:val="14641FAC"/>
    <w:rsid w:val="14661880"/>
    <w:rsid w:val="14667AD2"/>
    <w:rsid w:val="146B391C"/>
    <w:rsid w:val="146C3C63"/>
    <w:rsid w:val="146E5D7A"/>
    <w:rsid w:val="146E775D"/>
    <w:rsid w:val="14706BA3"/>
    <w:rsid w:val="14726477"/>
    <w:rsid w:val="147562CC"/>
    <w:rsid w:val="1477677F"/>
    <w:rsid w:val="14785D3D"/>
    <w:rsid w:val="147860A8"/>
    <w:rsid w:val="14794DDB"/>
    <w:rsid w:val="147E2072"/>
    <w:rsid w:val="1480145A"/>
    <w:rsid w:val="14832432"/>
    <w:rsid w:val="148A5631"/>
    <w:rsid w:val="148C3C1A"/>
    <w:rsid w:val="148D505F"/>
    <w:rsid w:val="14904B4F"/>
    <w:rsid w:val="149311DD"/>
    <w:rsid w:val="14943AA4"/>
    <w:rsid w:val="14943E0F"/>
    <w:rsid w:val="149442E3"/>
    <w:rsid w:val="14953848"/>
    <w:rsid w:val="149634DA"/>
    <w:rsid w:val="14973DAA"/>
    <w:rsid w:val="149A2D26"/>
    <w:rsid w:val="149B393A"/>
    <w:rsid w:val="149C1746"/>
    <w:rsid w:val="149D6F99"/>
    <w:rsid w:val="14A34882"/>
    <w:rsid w:val="14A81E98"/>
    <w:rsid w:val="14A83BE9"/>
    <w:rsid w:val="14AA3E63"/>
    <w:rsid w:val="14AD27B3"/>
    <w:rsid w:val="14AD510F"/>
    <w:rsid w:val="14AD74AF"/>
    <w:rsid w:val="14B05636"/>
    <w:rsid w:val="14B275DB"/>
    <w:rsid w:val="14B40CF0"/>
    <w:rsid w:val="14B7657F"/>
    <w:rsid w:val="14B83E6B"/>
    <w:rsid w:val="14BE009A"/>
    <w:rsid w:val="14BE3C23"/>
    <w:rsid w:val="14BF323B"/>
    <w:rsid w:val="14C0248F"/>
    <w:rsid w:val="14C111AC"/>
    <w:rsid w:val="14C16CBF"/>
    <w:rsid w:val="14C50C9C"/>
    <w:rsid w:val="14D05AEE"/>
    <w:rsid w:val="14D111CA"/>
    <w:rsid w:val="14D302E6"/>
    <w:rsid w:val="14D61575"/>
    <w:rsid w:val="14D7277E"/>
    <w:rsid w:val="14D964F6"/>
    <w:rsid w:val="14DC1B42"/>
    <w:rsid w:val="14E31122"/>
    <w:rsid w:val="14E37DDB"/>
    <w:rsid w:val="14E53DC5"/>
    <w:rsid w:val="14E552CC"/>
    <w:rsid w:val="14E6501B"/>
    <w:rsid w:val="14EA425F"/>
    <w:rsid w:val="14EB1C26"/>
    <w:rsid w:val="14EB6229"/>
    <w:rsid w:val="14ED7D61"/>
    <w:rsid w:val="14F21366"/>
    <w:rsid w:val="14F275B8"/>
    <w:rsid w:val="14F36259"/>
    <w:rsid w:val="14F378D0"/>
    <w:rsid w:val="14F71303"/>
    <w:rsid w:val="14F93F9F"/>
    <w:rsid w:val="14FB646C"/>
    <w:rsid w:val="14FE4798"/>
    <w:rsid w:val="14FE7D0A"/>
    <w:rsid w:val="15035321"/>
    <w:rsid w:val="15035D17"/>
    <w:rsid w:val="1504385E"/>
    <w:rsid w:val="15054238"/>
    <w:rsid w:val="15080B89"/>
    <w:rsid w:val="1509523C"/>
    <w:rsid w:val="15095E33"/>
    <w:rsid w:val="150A66AF"/>
    <w:rsid w:val="150F0169"/>
    <w:rsid w:val="15190E7E"/>
    <w:rsid w:val="1519674C"/>
    <w:rsid w:val="15196901"/>
    <w:rsid w:val="151B4D60"/>
    <w:rsid w:val="151F3D97"/>
    <w:rsid w:val="15233C15"/>
    <w:rsid w:val="15237771"/>
    <w:rsid w:val="152377F2"/>
    <w:rsid w:val="15244FBD"/>
    <w:rsid w:val="15257731"/>
    <w:rsid w:val="152637C6"/>
    <w:rsid w:val="15273705"/>
    <w:rsid w:val="152A39DB"/>
    <w:rsid w:val="152B05E3"/>
    <w:rsid w:val="152C0D1B"/>
    <w:rsid w:val="152D05F0"/>
    <w:rsid w:val="15307872"/>
    <w:rsid w:val="153366E9"/>
    <w:rsid w:val="153575CA"/>
    <w:rsid w:val="153638BB"/>
    <w:rsid w:val="15363948"/>
    <w:rsid w:val="153B4ABB"/>
    <w:rsid w:val="153E0A4F"/>
    <w:rsid w:val="153F6526"/>
    <w:rsid w:val="15432254"/>
    <w:rsid w:val="15437E13"/>
    <w:rsid w:val="15485429"/>
    <w:rsid w:val="154871D8"/>
    <w:rsid w:val="154A73F4"/>
    <w:rsid w:val="154D2A40"/>
    <w:rsid w:val="154E79B1"/>
    <w:rsid w:val="154F3251"/>
    <w:rsid w:val="154F67B8"/>
    <w:rsid w:val="154F78BE"/>
    <w:rsid w:val="15506032"/>
    <w:rsid w:val="15510782"/>
    <w:rsid w:val="155362A8"/>
    <w:rsid w:val="15594B52"/>
    <w:rsid w:val="15597637"/>
    <w:rsid w:val="155C293F"/>
    <w:rsid w:val="155C4C28"/>
    <w:rsid w:val="155E69FB"/>
    <w:rsid w:val="15676DB7"/>
    <w:rsid w:val="15694E32"/>
    <w:rsid w:val="15695ACC"/>
    <w:rsid w:val="156F6E5A"/>
    <w:rsid w:val="15722CF6"/>
    <w:rsid w:val="15744470"/>
    <w:rsid w:val="15755FA6"/>
    <w:rsid w:val="15760409"/>
    <w:rsid w:val="1578154F"/>
    <w:rsid w:val="15783F61"/>
    <w:rsid w:val="157955E3"/>
    <w:rsid w:val="157A2AA0"/>
    <w:rsid w:val="157B57FF"/>
    <w:rsid w:val="157D4872"/>
    <w:rsid w:val="157E7416"/>
    <w:rsid w:val="157F5F94"/>
    <w:rsid w:val="1582093B"/>
    <w:rsid w:val="158346B4"/>
    <w:rsid w:val="15843DB8"/>
    <w:rsid w:val="15844F52"/>
    <w:rsid w:val="15847B87"/>
    <w:rsid w:val="158635E4"/>
    <w:rsid w:val="1588503E"/>
    <w:rsid w:val="158A77F0"/>
    <w:rsid w:val="158C5316"/>
    <w:rsid w:val="158E4C0A"/>
    <w:rsid w:val="1598015F"/>
    <w:rsid w:val="159A6830"/>
    <w:rsid w:val="159D4B97"/>
    <w:rsid w:val="15A20FDE"/>
    <w:rsid w:val="15A3750D"/>
    <w:rsid w:val="15A44D56"/>
    <w:rsid w:val="15A801E6"/>
    <w:rsid w:val="15A9411A"/>
    <w:rsid w:val="15AA4F35"/>
    <w:rsid w:val="15AB60E4"/>
    <w:rsid w:val="15AF7257"/>
    <w:rsid w:val="15B036FB"/>
    <w:rsid w:val="15B11EE6"/>
    <w:rsid w:val="15B8610B"/>
    <w:rsid w:val="15BD1974"/>
    <w:rsid w:val="15C03212"/>
    <w:rsid w:val="15C50771"/>
    <w:rsid w:val="15C54914"/>
    <w:rsid w:val="15C54CCC"/>
    <w:rsid w:val="15C56A7A"/>
    <w:rsid w:val="15C72C05"/>
    <w:rsid w:val="15C90318"/>
    <w:rsid w:val="15CA5B4B"/>
    <w:rsid w:val="15CA5E3E"/>
    <w:rsid w:val="15CC7E09"/>
    <w:rsid w:val="15CE0478"/>
    <w:rsid w:val="15CE62D8"/>
    <w:rsid w:val="15D24001"/>
    <w:rsid w:val="15D31197"/>
    <w:rsid w:val="15D32F45"/>
    <w:rsid w:val="15D8358F"/>
    <w:rsid w:val="15D87D38"/>
    <w:rsid w:val="15E056A4"/>
    <w:rsid w:val="15E11B06"/>
    <w:rsid w:val="15E2587E"/>
    <w:rsid w:val="15E413A2"/>
    <w:rsid w:val="15E76C4F"/>
    <w:rsid w:val="15EA64E1"/>
    <w:rsid w:val="15EE7D7F"/>
    <w:rsid w:val="15F5083D"/>
    <w:rsid w:val="15F50BE2"/>
    <w:rsid w:val="15F5735F"/>
    <w:rsid w:val="15F67DF9"/>
    <w:rsid w:val="15FA27BA"/>
    <w:rsid w:val="15FA4976"/>
    <w:rsid w:val="15FF3D3A"/>
    <w:rsid w:val="15FF5E46"/>
    <w:rsid w:val="16001343"/>
    <w:rsid w:val="16037773"/>
    <w:rsid w:val="16041350"/>
    <w:rsid w:val="16070E41"/>
    <w:rsid w:val="16077093"/>
    <w:rsid w:val="160D048F"/>
    <w:rsid w:val="160D098F"/>
    <w:rsid w:val="160E7877"/>
    <w:rsid w:val="16102902"/>
    <w:rsid w:val="16113A6D"/>
    <w:rsid w:val="1616021B"/>
    <w:rsid w:val="1618304E"/>
    <w:rsid w:val="16184DFC"/>
    <w:rsid w:val="161A6FBC"/>
    <w:rsid w:val="161C2A95"/>
    <w:rsid w:val="161C2C4B"/>
    <w:rsid w:val="161E12A7"/>
    <w:rsid w:val="162163A6"/>
    <w:rsid w:val="162261B2"/>
    <w:rsid w:val="16227A29"/>
    <w:rsid w:val="162333E0"/>
    <w:rsid w:val="162372C6"/>
    <w:rsid w:val="16253698"/>
    <w:rsid w:val="162714E3"/>
    <w:rsid w:val="162716E7"/>
    <w:rsid w:val="162722CA"/>
    <w:rsid w:val="1629244E"/>
    <w:rsid w:val="162B4B2F"/>
    <w:rsid w:val="162C3C3A"/>
    <w:rsid w:val="162D09EF"/>
    <w:rsid w:val="16300397"/>
    <w:rsid w:val="16302145"/>
    <w:rsid w:val="16315EBE"/>
    <w:rsid w:val="1632644A"/>
    <w:rsid w:val="163360DA"/>
    <w:rsid w:val="16351E52"/>
    <w:rsid w:val="163A54A1"/>
    <w:rsid w:val="163F3808"/>
    <w:rsid w:val="16401C01"/>
    <w:rsid w:val="16421E79"/>
    <w:rsid w:val="16443E43"/>
    <w:rsid w:val="164719BE"/>
    <w:rsid w:val="164812CA"/>
    <w:rsid w:val="16481B85"/>
    <w:rsid w:val="164901B2"/>
    <w:rsid w:val="16493207"/>
    <w:rsid w:val="164C4E8A"/>
    <w:rsid w:val="164D3FE5"/>
    <w:rsid w:val="164E2269"/>
    <w:rsid w:val="165027E8"/>
    <w:rsid w:val="165226B5"/>
    <w:rsid w:val="16534086"/>
    <w:rsid w:val="16551BAC"/>
    <w:rsid w:val="16556050"/>
    <w:rsid w:val="16571DC8"/>
    <w:rsid w:val="16573B76"/>
    <w:rsid w:val="16582B45"/>
    <w:rsid w:val="16585E87"/>
    <w:rsid w:val="165C41B7"/>
    <w:rsid w:val="165F0C7D"/>
    <w:rsid w:val="16610551"/>
    <w:rsid w:val="166242C9"/>
    <w:rsid w:val="1663076D"/>
    <w:rsid w:val="16640041"/>
    <w:rsid w:val="1664769B"/>
    <w:rsid w:val="16663DB9"/>
    <w:rsid w:val="1667420A"/>
    <w:rsid w:val="16674575"/>
    <w:rsid w:val="16695657"/>
    <w:rsid w:val="16710696"/>
    <w:rsid w:val="16724870"/>
    <w:rsid w:val="167427AE"/>
    <w:rsid w:val="16747CB5"/>
    <w:rsid w:val="16766832"/>
    <w:rsid w:val="16777D74"/>
    <w:rsid w:val="167C0930"/>
    <w:rsid w:val="167D7355"/>
    <w:rsid w:val="167E206D"/>
    <w:rsid w:val="167F4E7B"/>
    <w:rsid w:val="16816E45"/>
    <w:rsid w:val="16824929"/>
    <w:rsid w:val="16824D24"/>
    <w:rsid w:val="16826719"/>
    <w:rsid w:val="1683496B"/>
    <w:rsid w:val="168505CD"/>
    <w:rsid w:val="168603B4"/>
    <w:rsid w:val="1687459A"/>
    <w:rsid w:val="16882CAB"/>
    <w:rsid w:val="16890701"/>
    <w:rsid w:val="168B7CC4"/>
    <w:rsid w:val="168E7696"/>
    <w:rsid w:val="16921052"/>
    <w:rsid w:val="1695469E"/>
    <w:rsid w:val="1695644C"/>
    <w:rsid w:val="16963CDE"/>
    <w:rsid w:val="169721C5"/>
    <w:rsid w:val="169B002F"/>
    <w:rsid w:val="169C5A2D"/>
    <w:rsid w:val="16A13043"/>
    <w:rsid w:val="16A626EB"/>
    <w:rsid w:val="16A762A5"/>
    <w:rsid w:val="16A92BBA"/>
    <w:rsid w:val="16AA2483"/>
    <w:rsid w:val="16AE4F75"/>
    <w:rsid w:val="16AE5760"/>
    <w:rsid w:val="16AF043B"/>
    <w:rsid w:val="16B017A5"/>
    <w:rsid w:val="16B03286"/>
    <w:rsid w:val="16B32B8F"/>
    <w:rsid w:val="16B32D77"/>
    <w:rsid w:val="16B40FC8"/>
    <w:rsid w:val="16B70AB9"/>
    <w:rsid w:val="16B74615"/>
    <w:rsid w:val="16B8213B"/>
    <w:rsid w:val="16BD27FA"/>
    <w:rsid w:val="16BD2F83"/>
    <w:rsid w:val="16BF1FDC"/>
    <w:rsid w:val="16C3120C"/>
    <w:rsid w:val="16C42739"/>
    <w:rsid w:val="16C57C0B"/>
    <w:rsid w:val="16CD208A"/>
    <w:rsid w:val="16CD42DD"/>
    <w:rsid w:val="16CF122B"/>
    <w:rsid w:val="16D077D9"/>
    <w:rsid w:val="16D276A1"/>
    <w:rsid w:val="16D451C7"/>
    <w:rsid w:val="16D52CED"/>
    <w:rsid w:val="16D74CB7"/>
    <w:rsid w:val="16D75927"/>
    <w:rsid w:val="16DB77CE"/>
    <w:rsid w:val="16DC73F7"/>
    <w:rsid w:val="16DF3B6C"/>
    <w:rsid w:val="16E11692"/>
    <w:rsid w:val="16E318AE"/>
    <w:rsid w:val="16E6314C"/>
    <w:rsid w:val="16E65EED"/>
    <w:rsid w:val="16E82FA6"/>
    <w:rsid w:val="16EA0F2C"/>
    <w:rsid w:val="16EB0762"/>
    <w:rsid w:val="16ED3B2F"/>
    <w:rsid w:val="16ED44DA"/>
    <w:rsid w:val="16ED64EF"/>
    <w:rsid w:val="16F07B27"/>
    <w:rsid w:val="16F21AF1"/>
    <w:rsid w:val="16F2564D"/>
    <w:rsid w:val="16F83C2A"/>
    <w:rsid w:val="16FB10AB"/>
    <w:rsid w:val="16FB5E9C"/>
    <w:rsid w:val="16FB6BF7"/>
    <w:rsid w:val="16FC0FFA"/>
    <w:rsid w:val="16FE2244"/>
    <w:rsid w:val="16FF6BC8"/>
    <w:rsid w:val="17011F4B"/>
    <w:rsid w:val="1703450A"/>
    <w:rsid w:val="170828FD"/>
    <w:rsid w:val="17092996"/>
    <w:rsid w:val="170A6E3A"/>
    <w:rsid w:val="170B635D"/>
    <w:rsid w:val="1711641B"/>
    <w:rsid w:val="17125146"/>
    <w:rsid w:val="1714086C"/>
    <w:rsid w:val="17151105"/>
    <w:rsid w:val="17173305"/>
    <w:rsid w:val="171B1048"/>
    <w:rsid w:val="171C091C"/>
    <w:rsid w:val="171C4452"/>
    <w:rsid w:val="171D6872"/>
    <w:rsid w:val="171F48B1"/>
    <w:rsid w:val="171F6518"/>
    <w:rsid w:val="1720040C"/>
    <w:rsid w:val="17215F32"/>
    <w:rsid w:val="17237EFC"/>
    <w:rsid w:val="172B23A3"/>
    <w:rsid w:val="172D0D7B"/>
    <w:rsid w:val="172D2EFF"/>
    <w:rsid w:val="172F064F"/>
    <w:rsid w:val="172F68A1"/>
    <w:rsid w:val="173043C7"/>
    <w:rsid w:val="1730624A"/>
    <w:rsid w:val="1732330C"/>
    <w:rsid w:val="17326391"/>
    <w:rsid w:val="17326590"/>
    <w:rsid w:val="17342109"/>
    <w:rsid w:val="17354B6A"/>
    <w:rsid w:val="173619DD"/>
    <w:rsid w:val="1739327C"/>
    <w:rsid w:val="173B5246"/>
    <w:rsid w:val="173E0892"/>
    <w:rsid w:val="173F3A42"/>
    <w:rsid w:val="17400AAE"/>
    <w:rsid w:val="17403D2B"/>
    <w:rsid w:val="17422243"/>
    <w:rsid w:val="174340FA"/>
    <w:rsid w:val="17435EA8"/>
    <w:rsid w:val="17442ED7"/>
    <w:rsid w:val="17481711"/>
    <w:rsid w:val="174A34C9"/>
    <w:rsid w:val="174A36DB"/>
    <w:rsid w:val="174A7237"/>
    <w:rsid w:val="174C51CF"/>
    <w:rsid w:val="174C7883"/>
    <w:rsid w:val="174D163D"/>
    <w:rsid w:val="174D6D27"/>
    <w:rsid w:val="17515193"/>
    <w:rsid w:val="17552F75"/>
    <w:rsid w:val="17563E2E"/>
    <w:rsid w:val="175B488E"/>
    <w:rsid w:val="175E2CE2"/>
    <w:rsid w:val="175F6ABE"/>
    <w:rsid w:val="176127D3"/>
    <w:rsid w:val="17654071"/>
    <w:rsid w:val="176756C6"/>
    <w:rsid w:val="176B039E"/>
    <w:rsid w:val="176C743C"/>
    <w:rsid w:val="176F3141"/>
    <w:rsid w:val="176F6C9D"/>
    <w:rsid w:val="1772044F"/>
    <w:rsid w:val="177414B4"/>
    <w:rsid w:val="1776627E"/>
    <w:rsid w:val="177922F0"/>
    <w:rsid w:val="17793FC0"/>
    <w:rsid w:val="17797B1C"/>
    <w:rsid w:val="177B094C"/>
    <w:rsid w:val="177B11D8"/>
    <w:rsid w:val="177B2A5D"/>
    <w:rsid w:val="177C5708"/>
    <w:rsid w:val="177D7A23"/>
    <w:rsid w:val="177E15D6"/>
    <w:rsid w:val="177E25F5"/>
    <w:rsid w:val="1780297E"/>
    <w:rsid w:val="17836BED"/>
    <w:rsid w:val="17865FB0"/>
    <w:rsid w:val="178766DD"/>
    <w:rsid w:val="178828EB"/>
    <w:rsid w:val="178B2244"/>
    <w:rsid w:val="17914E66"/>
    <w:rsid w:val="17935082"/>
    <w:rsid w:val="179B5CE4"/>
    <w:rsid w:val="179E0B6B"/>
    <w:rsid w:val="179E7583"/>
    <w:rsid w:val="17A0779F"/>
    <w:rsid w:val="17A10E21"/>
    <w:rsid w:val="17A636E2"/>
    <w:rsid w:val="17A8086C"/>
    <w:rsid w:val="17AD0E8A"/>
    <w:rsid w:val="17AE1A29"/>
    <w:rsid w:val="17AF3D77"/>
    <w:rsid w:val="17AF79E2"/>
    <w:rsid w:val="17B1397C"/>
    <w:rsid w:val="17B374D2"/>
    <w:rsid w:val="17B44FF8"/>
    <w:rsid w:val="17B5012D"/>
    <w:rsid w:val="17BA019D"/>
    <w:rsid w:val="17BA0860"/>
    <w:rsid w:val="17BB6387"/>
    <w:rsid w:val="17BE151B"/>
    <w:rsid w:val="17BE4FC6"/>
    <w:rsid w:val="17C1746A"/>
    <w:rsid w:val="17C34200"/>
    <w:rsid w:val="17C43F85"/>
    <w:rsid w:val="17C57205"/>
    <w:rsid w:val="17C84600"/>
    <w:rsid w:val="17C90AA4"/>
    <w:rsid w:val="17CA0378"/>
    <w:rsid w:val="17CF1E32"/>
    <w:rsid w:val="17CF7ED9"/>
    <w:rsid w:val="17D0311D"/>
    <w:rsid w:val="17D17958"/>
    <w:rsid w:val="17D31922"/>
    <w:rsid w:val="17D80CE7"/>
    <w:rsid w:val="17D84B21"/>
    <w:rsid w:val="17D9586B"/>
    <w:rsid w:val="17E10869"/>
    <w:rsid w:val="17E1088B"/>
    <w:rsid w:val="17E10D8A"/>
    <w:rsid w:val="17E256C1"/>
    <w:rsid w:val="17E31439"/>
    <w:rsid w:val="17E441F0"/>
    <w:rsid w:val="17E514E3"/>
    <w:rsid w:val="17E70F2A"/>
    <w:rsid w:val="17E72FF8"/>
    <w:rsid w:val="17E9211B"/>
    <w:rsid w:val="17E92EF4"/>
    <w:rsid w:val="17E94CA2"/>
    <w:rsid w:val="17EF0B95"/>
    <w:rsid w:val="17EF33B1"/>
    <w:rsid w:val="17F43647"/>
    <w:rsid w:val="17F6116D"/>
    <w:rsid w:val="17F77304"/>
    <w:rsid w:val="17FA6EAF"/>
    <w:rsid w:val="17FD3F0D"/>
    <w:rsid w:val="17FD51E2"/>
    <w:rsid w:val="1804388A"/>
    <w:rsid w:val="18055854"/>
    <w:rsid w:val="18075128"/>
    <w:rsid w:val="180B1B5A"/>
    <w:rsid w:val="1811509D"/>
    <w:rsid w:val="18121AEF"/>
    <w:rsid w:val="181427A4"/>
    <w:rsid w:val="181635BD"/>
    <w:rsid w:val="18187335"/>
    <w:rsid w:val="181A7EFE"/>
    <w:rsid w:val="181C1644"/>
    <w:rsid w:val="181E2472"/>
    <w:rsid w:val="18205602"/>
    <w:rsid w:val="182061EA"/>
    <w:rsid w:val="18222239"/>
    <w:rsid w:val="18245CDA"/>
    <w:rsid w:val="18251A52"/>
    <w:rsid w:val="182642C1"/>
    <w:rsid w:val="182867A9"/>
    <w:rsid w:val="18291542"/>
    <w:rsid w:val="18303243"/>
    <w:rsid w:val="183124A5"/>
    <w:rsid w:val="18331D53"/>
    <w:rsid w:val="18344781"/>
    <w:rsid w:val="18381785"/>
    <w:rsid w:val="18383533"/>
    <w:rsid w:val="18385553"/>
    <w:rsid w:val="183879D7"/>
    <w:rsid w:val="183A43E2"/>
    <w:rsid w:val="183C2AAA"/>
    <w:rsid w:val="183C4CD7"/>
    <w:rsid w:val="183C74C7"/>
    <w:rsid w:val="183D3240"/>
    <w:rsid w:val="18414ADE"/>
    <w:rsid w:val="1844637C"/>
    <w:rsid w:val="18452495"/>
    <w:rsid w:val="18455C8B"/>
    <w:rsid w:val="18461624"/>
    <w:rsid w:val="18463EA2"/>
    <w:rsid w:val="184719C8"/>
    <w:rsid w:val="18482B9D"/>
    <w:rsid w:val="1849347E"/>
    <w:rsid w:val="18493AA6"/>
    <w:rsid w:val="18495740"/>
    <w:rsid w:val="184B5A18"/>
    <w:rsid w:val="184C6FDF"/>
    <w:rsid w:val="184D6F90"/>
    <w:rsid w:val="18502F73"/>
    <w:rsid w:val="18512847"/>
    <w:rsid w:val="1853036D"/>
    <w:rsid w:val="18534811"/>
    <w:rsid w:val="185A16FC"/>
    <w:rsid w:val="185A1741"/>
    <w:rsid w:val="185F3E34"/>
    <w:rsid w:val="18611E0D"/>
    <w:rsid w:val="18644328"/>
    <w:rsid w:val="1866280B"/>
    <w:rsid w:val="18683501"/>
    <w:rsid w:val="18700F1F"/>
    <w:rsid w:val="18702CCD"/>
    <w:rsid w:val="1871105F"/>
    <w:rsid w:val="187113A1"/>
    <w:rsid w:val="18721A3A"/>
    <w:rsid w:val="18730A0F"/>
    <w:rsid w:val="187327BD"/>
    <w:rsid w:val="18746741"/>
    <w:rsid w:val="18770500"/>
    <w:rsid w:val="187914D0"/>
    <w:rsid w:val="187E2A36"/>
    <w:rsid w:val="18803B7E"/>
    <w:rsid w:val="1881137E"/>
    <w:rsid w:val="18814EDA"/>
    <w:rsid w:val="18820C52"/>
    <w:rsid w:val="18827403"/>
    <w:rsid w:val="188449CB"/>
    <w:rsid w:val="188859CE"/>
    <w:rsid w:val="188C387F"/>
    <w:rsid w:val="188C3DF9"/>
    <w:rsid w:val="188D1AD1"/>
    <w:rsid w:val="188D6A31"/>
    <w:rsid w:val="188E61A5"/>
    <w:rsid w:val="188F1F1C"/>
    <w:rsid w:val="188F4ED8"/>
    <w:rsid w:val="18910E95"/>
    <w:rsid w:val="18980476"/>
    <w:rsid w:val="18982224"/>
    <w:rsid w:val="189A2440"/>
    <w:rsid w:val="189B3AC2"/>
    <w:rsid w:val="189D314B"/>
    <w:rsid w:val="189D783A"/>
    <w:rsid w:val="189F1804"/>
    <w:rsid w:val="18A137CE"/>
    <w:rsid w:val="18A31822"/>
    <w:rsid w:val="18AC12E8"/>
    <w:rsid w:val="18AF2420"/>
    <w:rsid w:val="18B03A11"/>
    <w:rsid w:val="18B63AC0"/>
    <w:rsid w:val="18B708FC"/>
    <w:rsid w:val="18B76B4E"/>
    <w:rsid w:val="18BA44B9"/>
    <w:rsid w:val="18BC5F12"/>
    <w:rsid w:val="18BD702E"/>
    <w:rsid w:val="18BE612E"/>
    <w:rsid w:val="18BF3C55"/>
    <w:rsid w:val="18BF5A03"/>
    <w:rsid w:val="18C15C1F"/>
    <w:rsid w:val="18C249F0"/>
    <w:rsid w:val="18C366C7"/>
    <w:rsid w:val="18C4126B"/>
    <w:rsid w:val="18C66D91"/>
    <w:rsid w:val="18C80D5B"/>
    <w:rsid w:val="18C87BF9"/>
    <w:rsid w:val="18C87E8A"/>
    <w:rsid w:val="18CA0CDF"/>
    <w:rsid w:val="18CD238D"/>
    <w:rsid w:val="18CE7660"/>
    <w:rsid w:val="18D019BE"/>
    <w:rsid w:val="18D25736"/>
    <w:rsid w:val="18D4670B"/>
    <w:rsid w:val="18D55420"/>
    <w:rsid w:val="18D6258B"/>
    <w:rsid w:val="18DA17E7"/>
    <w:rsid w:val="18DC0363"/>
    <w:rsid w:val="18DE13E4"/>
    <w:rsid w:val="18DF2FA2"/>
    <w:rsid w:val="18E15979"/>
    <w:rsid w:val="18E25825"/>
    <w:rsid w:val="18E36490"/>
    <w:rsid w:val="18E9167E"/>
    <w:rsid w:val="18EB5087"/>
    <w:rsid w:val="18EB53F9"/>
    <w:rsid w:val="18ED5F03"/>
    <w:rsid w:val="18EF28DE"/>
    <w:rsid w:val="18F329B2"/>
    <w:rsid w:val="18F45BA2"/>
    <w:rsid w:val="18F71640"/>
    <w:rsid w:val="18F77EEF"/>
    <w:rsid w:val="18F90F15"/>
    <w:rsid w:val="18F95EAD"/>
    <w:rsid w:val="18FE139B"/>
    <w:rsid w:val="18FE652B"/>
    <w:rsid w:val="1901601B"/>
    <w:rsid w:val="19020C0B"/>
    <w:rsid w:val="19031D93"/>
    <w:rsid w:val="19053D5D"/>
    <w:rsid w:val="190A66EC"/>
    <w:rsid w:val="190B0BF8"/>
    <w:rsid w:val="190B50EC"/>
    <w:rsid w:val="190D2C12"/>
    <w:rsid w:val="190F698A"/>
    <w:rsid w:val="191216B3"/>
    <w:rsid w:val="1912188E"/>
    <w:rsid w:val="191C2E55"/>
    <w:rsid w:val="191E6BCD"/>
    <w:rsid w:val="191F64A1"/>
    <w:rsid w:val="19214221"/>
    <w:rsid w:val="19235F91"/>
    <w:rsid w:val="19241D0A"/>
    <w:rsid w:val="192513D5"/>
    <w:rsid w:val="19265A82"/>
    <w:rsid w:val="19287A4C"/>
    <w:rsid w:val="192A5572"/>
    <w:rsid w:val="192B4E46"/>
    <w:rsid w:val="192C47B4"/>
    <w:rsid w:val="193059E0"/>
    <w:rsid w:val="193208CA"/>
    <w:rsid w:val="1933444D"/>
    <w:rsid w:val="19344A03"/>
    <w:rsid w:val="193645BF"/>
    <w:rsid w:val="19364DB7"/>
    <w:rsid w:val="193A152D"/>
    <w:rsid w:val="193C52A5"/>
    <w:rsid w:val="193C7053"/>
    <w:rsid w:val="193E05E4"/>
    <w:rsid w:val="19410B0E"/>
    <w:rsid w:val="19412DCD"/>
    <w:rsid w:val="19434886"/>
    <w:rsid w:val="194B373A"/>
    <w:rsid w:val="194C2C01"/>
    <w:rsid w:val="194C3497"/>
    <w:rsid w:val="194D1260"/>
    <w:rsid w:val="194F6D87"/>
    <w:rsid w:val="19510D51"/>
    <w:rsid w:val="19524AC9"/>
    <w:rsid w:val="195720DF"/>
    <w:rsid w:val="19596BD7"/>
    <w:rsid w:val="195C76F5"/>
    <w:rsid w:val="19600F94"/>
    <w:rsid w:val="19630350"/>
    <w:rsid w:val="19632832"/>
    <w:rsid w:val="19636CD6"/>
    <w:rsid w:val="19681049"/>
    <w:rsid w:val="196C5B8A"/>
    <w:rsid w:val="197113F3"/>
    <w:rsid w:val="19724D6D"/>
    <w:rsid w:val="19744A3F"/>
    <w:rsid w:val="197467ED"/>
    <w:rsid w:val="19771B7E"/>
    <w:rsid w:val="19792055"/>
    <w:rsid w:val="197A4834"/>
    <w:rsid w:val="197B401F"/>
    <w:rsid w:val="197C5619"/>
    <w:rsid w:val="19810F0A"/>
    <w:rsid w:val="198300CB"/>
    <w:rsid w:val="19831126"/>
    <w:rsid w:val="198509FA"/>
    <w:rsid w:val="19864B80"/>
    <w:rsid w:val="19864EEB"/>
    <w:rsid w:val="19866520"/>
    <w:rsid w:val="19921369"/>
    <w:rsid w:val="199450E1"/>
    <w:rsid w:val="19956C86"/>
    <w:rsid w:val="1997497A"/>
    <w:rsid w:val="199B6470"/>
    <w:rsid w:val="199C57BF"/>
    <w:rsid w:val="199D3F96"/>
    <w:rsid w:val="199E673F"/>
    <w:rsid w:val="19A1157D"/>
    <w:rsid w:val="19A21F94"/>
    <w:rsid w:val="19A76C6D"/>
    <w:rsid w:val="19A90B8D"/>
    <w:rsid w:val="19AA773C"/>
    <w:rsid w:val="19AC242B"/>
    <w:rsid w:val="19AD7F51"/>
    <w:rsid w:val="19B149ED"/>
    <w:rsid w:val="19B74F71"/>
    <w:rsid w:val="19B81AED"/>
    <w:rsid w:val="19BB266E"/>
    <w:rsid w:val="19BB441C"/>
    <w:rsid w:val="19BD0D56"/>
    <w:rsid w:val="19C019B6"/>
    <w:rsid w:val="19C03864"/>
    <w:rsid w:val="19C05ED6"/>
    <w:rsid w:val="19C239FC"/>
    <w:rsid w:val="19C534ED"/>
    <w:rsid w:val="19C67E27"/>
    <w:rsid w:val="19C86B39"/>
    <w:rsid w:val="19CC0E30"/>
    <w:rsid w:val="19CE23A1"/>
    <w:rsid w:val="19D03274"/>
    <w:rsid w:val="19D35C0A"/>
    <w:rsid w:val="19D41982"/>
    <w:rsid w:val="19D718BF"/>
    <w:rsid w:val="19D8128E"/>
    <w:rsid w:val="19D979FE"/>
    <w:rsid w:val="19DB6DE3"/>
    <w:rsid w:val="19DE1F55"/>
    <w:rsid w:val="19DE22C0"/>
    <w:rsid w:val="19E4137D"/>
    <w:rsid w:val="19E72882"/>
    <w:rsid w:val="19E75211"/>
    <w:rsid w:val="19E873EB"/>
    <w:rsid w:val="19EA2F53"/>
    <w:rsid w:val="19EC040D"/>
    <w:rsid w:val="19EC4B60"/>
    <w:rsid w:val="19ED0DE8"/>
    <w:rsid w:val="19ED659F"/>
    <w:rsid w:val="19F142E2"/>
    <w:rsid w:val="19F151DE"/>
    <w:rsid w:val="19F16090"/>
    <w:rsid w:val="19F560BB"/>
    <w:rsid w:val="19F83806"/>
    <w:rsid w:val="19FE426A"/>
    <w:rsid w:val="1A0225D4"/>
    <w:rsid w:val="1A071979"/>
    <w:rsid w:val="1A077661"/>
    <w:rsid w:val="1A0A0EFF"/>
    <w:rsid w:val="1A0D279E"/>
    <w:rsid w:val="1A115525"/>
    <w:rsid w:val="1A126F7E"/>
    <w:rsid w:val="1A135C0D"/>
    <w:rsid w:val="1A164FE1"/>
    <w:rsid w:val="1A1743EA"/>
    <w:rsid w:val="1A177985"/>
    <w:rsid w:val="1A183EC9"/>
    <w:rsid w:val="1A1F0E4F"/>
    <w:rsid w:val="1A2226ED"/>
    <w:rsid w:val="1A22449B"/>
    <w:rsid w:val="1A271AB1"/>
    <w:rsid w:val="1A284401"/>
    <w:rsid w:val="1A2C2311"/>
    <w:rsid w:val="1A304E0A"/>
    <w:rsid w:val="1A310B82"/>
    <w:rsid w:val="1A320E4E"/>
    <w:rsid w:val="1A330456"/>
    <w:rsid w:val="1A332204"/>
    <w:rsid w:val="1A34118F"/>
    <w:rsid w:val="1A341559"/>
    <w:rsid w:val="1A342515"/>
    <w:rsid w:val="1A352420"/>
    <w:rsid w:val="1A3D1F3A"/>
    <w:rsid w:val="1A3E181D"/>
    <w:rsid w:val="1A4008BB"/>
    <w:rsid w:val="1A404921"/>
    <w:rsid w:val="1A436021"/>
    <w:rsid w:val="1A444411"/>
    <w:rsid w:val="1A4567D9"/>
    <w:rsid w:val="1A472154"/>
    <w:rsid w:val="1A4F6F20"/>
    <w:rsid w:val="1A511840"/>
    <w:rsid w:val="1A530AF8"/>
    <w:rsid w:val="1A5328A6"/>
    <w:rsid w:val="1A54276D"/>
    <w:rsid w:val="1A562397"/>
    <w:rsid w:val="1A5D02EB"/>
    <w:rsid w:val="1A5E3C5E"/>
    <w:rsid w:val="1A5F124B"/>
    <w:rsid w:val="1A6052D4"/>
    <w:rsid w:val="1A613215"/>
    <w:rsid w:val="1A654388"/>
    <w:rsid w:val="1A681208"/>
    <w:rsid w:val="1A6C1BBA"/>
    <w:rsid w:val="1A6F204B"/>
    <w:rsid w:val="1A7072BA"/>
    <w:rsid w:val="1A707455"/>
    <w:rsid w:val="1A734CF7"/>
    <w:rsid w:val="1A78230D"/>
    <w:rsid w:val="1A78681D"/>
    <w:rsid w:val="1A7D4307"/>
    <w:rsid w:val="1A7D7923"/>
    <w:rsid w:val="1A7E33A5"/>
    <w:rsid w:val="1A8011C2"/>
    <w:rsid w:val="1A82318C"/>
    <w:rsid w:val="1A824F3A"/>
    <w:rsid w:val="1A83323F"/>
    <w:rsid w:val="1A840CB2"/>
    <w:rsid w:val="1A846F04"/>
    <w:rsid w:val="1A85418F"/>
    <w:rsid w:val="1A8B64E4"/>
    <w:rsid w:val="1A8C400A"/>
    <w:rsid w:val="1A8D53BD"/>
    <w:rsid w:val="1A903AFB"/>
    <w:rsid w:val="1A907657"/>
    <w:rsid w:val="1A9223BA"/>
    <w:rsid w:val="1A96578B"/>
    <w:rsid w:val="1A974E89"/>
    <w:rsid w:val="1A9865E9"/>
    <w:rsid w:val="1A9A0DA0"/>
    <w:rsid w:val="1A9A6727"/>
    <w:rsid w:val="1AA03612"/>
    <w:rsid w:val="1AA2382E"/>
    <w:rsid w:val="1AA25CBE"/>
    <w:rsid w:val="1AA2738A"/>
    <w:rsid w:val="1AA41354"/>
    <w:rsid w:val="1AA650CC"/>
    <w:rsid w:val="1AA84A01"/>
    <w:rsid w:val="1AAA402B"/>
    <w:rsid w:val="1AAF0DCC"/>
    <w:rsid w:val="1AB10FBD"/>
    <w:rsid w:val="1AB33345"/>
    <w:rsid w:val="1AB4206D"/>
    <w:rsid w:val="1AB7679C"/>
    <w:rsid w:val="1ABA7CDE"/>
    <w:rsid w:val="1ABB087D"/>
    <w:rsid w:val="1ABD41C4"/>
    <w:rsid w:val="1ABF4137"/>
    <w:rsid w:val="1ABF7F3C"/>
    <w:rsid w:val="1AC10A0F"/>
    <w:rsid w:val="1AC13CB4"/>
    <w:rsid w:val="1AC35C7E"/>
    <w:rsid w:val="1AC469A3"/>
    <w:rsid w:val="1AC75042"/>
    <w:rsid w:val="1ACC4407"/>
    <w:rsid w:val="1AD0039B"/>
    <w:rsid w:val="1AD2194F"/>
    <w:rsid w:val="1AD82DAC"/>
    <w:rsid w:val="1ADC289C"/>
    <w:rsid w:val="1ADF05DE"/>
    <w:rsid w:val="1ADF238C"/>
    <w:rsid w:val="1ADF2E7C"/>
    <w:rsid w:val="1ADF413A"/>
    <w:rsid w:val="1ADF4299"/>
    <w:rsid w:val="1AE03901"/>
    <w:rsid w:val="1AE259D8"/>
    <w:rsid w:val="1AE300CE"/>
    <w:rsid w:val="1AE31E7C"/>
    <w:rsid w:val="1AE43477"/>
    <w:rsid w:val="1AE43998"/>
    <w:rsid w:val="1AE6196C"/>
    <w:rsid w:val="1AE8488A"/>
    <w:rsid w:val="1AE856E5"/>
    <w:rsid w:val="1AE92759"/>
    <w:rsid w:val="1AED4AA9"/>
    <w:rsid w:val="1AEF3296"/>
    <w:rsid w:val="1AEF54C8"/>
    <w:rsid w:val="1AEF6A73"/>
    <w:rsid w:val="1AF20311"/>
    <w:rsid w:val="1AF220BF"/>
    <w:rsid w:val="1AF44089"/>
    <w:rsid w:val="1AF63A1E"/>
    <w:rsid w:val="1AF71484"/>
    <w:rsid w:val="1AF75928"/>
    <w:rsid w:val="1AFA7FC5"/>
    <w:rsid w:val="1AFD5325"/>
    <w:rsid w:val="1AFF273F"/>
    <w:rsid w:val="1B01027C"/>
    <w:rsid w:val="1B034424"/>
    <w:rsid w:val="1B041DF3"/>
    <w:rsid w:val="1B043BA1"/>
    <w:rsid w:val="1B045D64"/>
    <w:rsid w:val="1B087B35"/>
    <w:rsid w:val="1B1262BE"/>
    <w:rsid w:val="1B163B9A"/>
    <w:rsid w:val="1B1738D4"/>
    <w:rsid w:val="1B183F58"/>
    <w:rsid w:val="1B1C713C"/>
    <w:rsid w:val="1B1E117D"/>
    <w:rsid w:val="1B1E2D22"/>
    <w:rsid w:val="1B1E4B60"/>
    <w:rsid w:val="1B1E5081"/>
    <w:rsid w:val="1B1F09DB"/>
    <w:rsid w:val="1B2129A5"/>
    <w:rsid w:val="1B214753"/>
    <w:rsid w:val="1B21661A"/>
    <w:rsid w:val="1B221B32"/>
    <w:rsid w:val="1B23671D"/>
    <w:rsid w:val="1B245F4B"/>
    <w:rsid w:val="1B256925"/>
    <w:rsid w:val="1B26620D"/>
    <w:rsid w:val="1B2C0455"/>
    <w:rsid w:val="1B302BE8"/>
    <w:rsid w:val="1B32070E"/>
    <w:rsid w:val="1B351FAC"/>
    <w:rsid w:val="1B354519"/>
    <w:rsid w:val="1B356450"/>
    <w:rsid w:val="1B383453"/>
    <w:rsid w:val="1B3E3557"/>
    <w:rsid w:val="1B3E5305"/>
    <w:rsid w:val="1B3F2E2B"/>
    <w:rsid w:val="1B401032"/>
    <w:rsid w:val="1B4030F3"/>
    <w:rsid w:val="1B405805"/>
    <w:rsid w:val="1B42017F"/>
    <w:rsid w:val="1B430B6D"/>
    <w:rsid w:val="1B43291B"/>
    <w:rsid w:val="1B440441"/>
    <w:rsid w:val="1B4545CD"/>
    <w:rsid w:val="1B461979"/>
    <w:rsid w:val="1B4641B9"/>
    <w:rsid w:val="1B486006"/>
    <w:rsid w:val="1B486183"/>
    <w:rsid w:val="1B4A1757"/>
    <w:rsid w:val="1B4B17D0"/>
    <w:rsid w:val="1B4B5C73"/>
    <w:rsid w:val="1B506356"/>
    <w:rsid w:val="1B506DE6"/>
    <w:rsid w:val="1B5468D6"/>
    <w:rsid w:val="1B58691F"/>
    <w:rsid w:val="1B590209"/>
    <w:rsid w:val="1B590390"/>
    <w:rsid w:val="1B5B7B3E"/>
    <w:rsid w:val="1B5C096F"/>
    <w:rsid w:val="1B5E59A7"/>
    <w:rsid w:val="1B60171F"/>
    <w:rsid w:val="1B642891"/>
    <w:rsid w:val="1B650AE3"/>
    <w:rsid w:val="1B656D35"/>
    <w:rsid w:val="1B66607E"/>
    <w:rsid w:val="1B676A58"/>
    <w:rsid w:val="1B6A60FA"/>
    <w:rsid w:val="1B6C00C4"/>
    <w:rsid w:val="1B6F44AC"/>
    <w:rsid w:val="1B79458F"/>
    <w:rsid w:val="1B7E7DF7"/>
    <w:rsid w:val="1B826E63"/>
    <w:rsid w:val="1B827383"/>
    <w:rsid w:val="1B8278A4"/>
    <w:rsid w:val="1B8462B0"/>
    <w:rsid w:val="1B8847D2"/>
    <w:rsid w:val="1B886041"/>
    <w:rsid w:val="1B8A0B27"/>
    <w:rsid w:val="1B8C6CA7"/>
    <w:rsid w:val="1B8D003A"/>
    <w:rsid w:val="1B8D4B4D"/>
    <w:rsid w:val="1B9211AC"/>
    <w:rsid w:val="1B92734F"/>
    <w:rsid w:val="1B937A0D"/>
    <w:rsid w:val="1B966EEF"/>
    <w:rsid w:val="1B993A77"/>
    <w:rsid w:val="1B993F3C"/>
    <w:rsid w:val="1B9A62B3"/>
    <w:rsid w:val="1B9B53C3"/>
    <w:rsid w:val="1B9C027D"/>
    <w:rsid w:val="1B9C202B"/>
    <w:rsid w:val="1B9C64CF"/>
    <w:rsid w:val="1B9E2247"/>
    <w:rsid w:val="1BA173AE"/>
    <w:rsid w:val="1BA548B0"/>
    <w:rsid w:val="1BAA0BEC"/>
    <w:rsid w:val="1BAC6712"/>
    <w:rsid w:val="1BAD4238"/>
    <w:rsid w:val="1BB05AD7"/>
    <w:rsid w:val="1BB20CE1"/>
    <w:rsid w:val="1BB43819"/>
    <w:rsid w:val="1BB51A02"/>
    <w:rsid w:val="1BB651C4"/>
    <w:rsid w:val="1BB9498B"/>
    <w:rsid w:val="1BBD091F"/>
    <w:rsid w:val="1BBE01F3"/>
    <w:rsid w:val="1BBE2F3B"/>
    <w:rsid w:val="1BBE5191"/>
    <w:rsid w:val="1BC11A92"/>
    <w:rsid w:val="1BC22D4C"/>
    <w:rsid w:val="1BC31CAE"/>
    <w:rsid w:val="1BC3580A"/>
    <w:rsid w:val="1BC51582"/>
    <w:rsid w:val="1BC53E8D"/>
    <w:rsid w:val="1BC872C4"/>
    <w:rsid w:val="1BCC1B43"/>
    <w:rsid w:val="1BCE6683"/>
    <w:rsid w:val="1BCF3911"/>
    <w:rsid w:val="1BCF5172"/>
    <w:rsid w:val="1BD6553D"/>
    <w:rsid w:val="1BD941F1"/>
    <w:rsid w:val="1BD9676B"/>
    <w:rsid w:val="1BD96DDB"/>
    <w:rsid w:val="1BDA0FD3"/>
    <w:rsid w:val="1BDA4238"/>
    <w:rsid w:val="1BE07C15"/>
    <w:rsid w:val="1BE107B4"/>
    <w:rsid w:val="1BE37C5A"/>
    <w:rsid w:val="1BE7599C"/>
    <w:rsid w:val="1BE95FD3"/>
    <w:rsid w:val="1BEA2D97"/>
    <w:rsid w:val="1BED2887"/>
    <w:rsid w:val="1BEF2AA3"/>
    <w:rsid w:val="1BF038C8"/>
    <w:rsid w:val="1BF105C9"/>
    <w:rsid w:val="1BF260EF"/>
    <w:rsid w:val="1BF43C15"/>
    <w:rsid w:val="1BF57AF7"/>
    <w:rsid w:val="1BF637C3"/>
    <w:rsid w:val="1C00080C"/>
    <w:rsid w:val="1C033E58"/>
    <w:rsid w:val="1C057BD0"/>
    <w:rsid w:val="1C073948"/>
    <w:rsid w:val="1C0A168B"/>
    <w:rsid w:val="1C0C5403"/>
    <w:rsid w:val="1C0C71B1"/>
    <w:rsid w:val="1C0F6CA1"/>
    <w:rsid w:val="1C107BC6"/>
    <w:rsid w:val="1C117608"/>
    <w:rsid w:val="1C123D93"/>
    <w:rsid w:val="1C1357D3"/>
    <w:rsid w:val="1C136791"/>
    <w:rsid w:val="1C142509"/>
    <w:rsid w:val="1C163621"/>
    <w:rsid w:val="1C163B8C"/>
    <w:rsid w:val="1C167AAF"/>
    <w:rsid w:val="1C1A3895"/>
    <w:rsid w:val="1C1C4F1A"/>
    <w:rsid w:val="1C1C53F8"/>
    <w:rsid w:val="1C1E6EE4"/>
    <w:rsid w:val="1C20736E"/>
    <w:rsid w:val="1C2269D4"/>
    <w:rsid w:val="1C257D63"/>
    <w:rsid w:val="1C26614A"/>
    <w:rsid w:val="1C266597"/>
    <w:rsid w:val="1C27223D"/>
    <w:rsid w:val="1C281B11"/>
    <w:rsid w:val="1C2838BF"/>
    <w:rsid w:val="1C2954F1"/>
    <w:rsid w:val="1C2B7EF9"/>
    <w:rsid w:val="1C2C1601"/>
    <w:rsid w:val="1C2C33AF"/>
    <w:rsid w:val="1C2C7853"/>
    <w:rsid w:val="1C3109C5"/>
    <w:rsid w:val="1C314E69"/>
    <w:rsid w:val="1C3404B6"/>
    <w:rsid w:val="1C35495A"/>
    <w:rsid w:val="1C362480"/>
    <w:rsid w:val="1C366EB6"/>
    <w:rsid w:val="1C3861F8"/>
    <w:rsid w:val="1C387FA6"/>
    <w:rsid w:val="1C393D1E"/>
    <w:rsid w:val="1C3D11FF"/>
    <w:rsid w:val="1C3F526D"/>
    <w:rsid w:val="1C43089F"/>
    <w:rsid w:val="1C450915"/>
    <w:rsid w:val="1C454471"/>
    <w:rsid w:val="1C47468D"/>
    <w:rsid w:val="1C484909"/>
    <w:rsid w:val="1C493F61"/>
    <w:rsid w:val="1C4A5F2B"/>
    <w:rsid w:val="1C4D015E"/>
    <w:rsid w:val="1C4F2417"/>
    <w:rsid w:val="1C4F52EF"/>
    <w:rsid w:val="1C534DE0"/>
    <w:rsid w:val="1C542DAE"/>
    <w:rsid w:val="1C566E7F"/>
    <w:rsid w:val="1C575383"/>
    <w:rsid w:val="1C577A1E"/>
    <w:rsid w:val="1C5A1B35"/>
    <w:rsid w:val="1C5D5C5E"/>
    <w:rsid w:val="1C5E4627"/>
    <w:rsid w:val="1C6012AB"/>
    <w:rsid w:val="1C6048F7"/>
    <w:rsid w:val="1C6202EA"/>
    <w:rsid w:val="1C654144"/>
    <w:rsid w:val="1C654B13"/>
    <w:rsid w:val="1C676ADD"/>
    <w:rsid w:val="1C6A3ED7"/>
    <w:rsid w:val="1C6C2CF5"/>
    <w:rsid w:val="1C6E09D3"/>
    <w:rsid w:val="1C6F7740"/>
    <w:rsid w:val="1C71170A"/>
    <w:rsid w:val="1C7178DF"/>
    <w:rsid w:val="1C753E9B"/>
    <w:rsid w:val="1C772E21"/>
    <w:rsid w:val="1C782A98"/>
    <w:rsid w:val="1C7A6810"/>
    <w:rsid w:val="1C7D49F5"/>
    <w:rsid w:val="1C7F360B"/>
    <w:rsid w:val="1C7F5E4C"/>
    <w:rsid w:val="1C817B9F"/>
    <w:rsid w:val="1C836FFF"/>
    <w:rsid w:val="1C8834C4"/>
    <w:rsid w:val="1C893960"/>
    <w:rsid w:val="1C8D548D"/>
    <w:rsid w:val="1C8F393E"/>
    <w:rsid w:val="1C925163"/>
    <w:rsid w:val="1C933E3B"/>
    <w:rsid w:val="1C937225"/>
    <w:rsid w:val="1C944F1A"/>
    <w:rsid w:val="1C964CCC"/>
    <w:rsid w:val="1C9A47BD"/>
    <w:rsid w:val="1C9B22E3"/>
    <w:rsid w:val="1CA13D9D"/>
    <w:rsid w:val="1CA55860"/>
    <w:rsid w:val="1CA640D9"/>
    <w:rsid w:val="1CA64228"/>
    <w:rsid w:val="1CA8347B"/>
    <w:rsid w:val="1CA92C52"/>
    <w:rsid w:val="1CAB1D11"/>
    <w:rsid w:val="1CAC44F0"/>
    <w:rsid w:val="1CAD6CD0"/>
    <w:rsid w:val="1CAE76AA"/>
    <w:rsid w:val="1CAF0084"/>
    <w:rsid w:val="1CB2219C"/>
    <w:rsid w:val="1CB6756C"/>
    <w:rsid w:val="1CB702B4"/>
    <w:rsid w:val="1CBA09BB"/>
    <w:rsid w:val="1CBF38E2"/>
    <w:rsid w:val="1CBF4223"/>
    <w:rsid w:val="1CBF6A46"/>
    <w:rsid w:val="1CC12B19"/>
    <w:rsid w:val="1CC24C84"/>
    <w:rsid w:val="1CC3281F"/>
    <w:rsid w:val="1CC531B6"/>
    <w:rsid w:val="1CC57360"/>
    <w:rsid w:val="1CC71EBA"/>
    <w:rsid w:val="1CC730D8"/>
    <w:rsid w:val="1CC7644A"/>
    <w:rsid w:val="1CC94C8E"/>
    <w:rsid w:val="1CC950A2"/>
    <w:rsid w:val="1CCB2BC8"/>
    <w:rsid w:val="1CCC104A"/>
    <w:rsid w:val="1CCE4466"/>
    <w:rsid w:val="1CD001DE"/>
    <w:rsid w:val="1CD22F7D"/>
    <w:rsid w:val="1CD53A47"/>
    <w:rsid w:val="1CD56823"/>
    <w:rsid w:val="1CD777BF"/>
    <w:rsid w:val="1CD83537"/>
    <w:rsid w:val="1CD87093"/>
    <w:rsid w:val="1CD877CB"/>
    <w:rsid w:val="1CD925B6"/>
    <w:rsid w:val="1CDA364E"/>
    <w:rsid w:val="1CE3451B"/>
    <w:rsid w:val="1CE41EA1"/>
    <w:rsid w:val="1CE4737F"/>
    <w:rsid w:val="1CE7377A"/>
    <w:rsid w:val="1CE75528"/>
    <w:rsid w:val="1CEC0D90"/>
    <w:rsid w:val="1CED4462"/>
    <w:rsid w:val="1CEF0458"/>
    <w:rsid w:val="1CF06AD2"/>
    <w:rsid w:val="1CF0718B"/>
    <w:rsid w:val="1CF30371"/>
    <w:rsid w:val="1CF3211F"/>
    <w:rsid w:val="1CF540E9"/>
    <w:rsid w:val="1CF73D73"/>
    <w:rsid w:val="1CF75B24"/>
    <w:rsid w:val="1CFC4E7F"/>
    <w:rsid w:val="1CFC7225"/>
    <w:rsid w:val="1CFD2714"/>
    <w:rsid w:val="1D036806"/>
    <w:rsid w:val="1D042315"/>
    <w:rsid w:val="1D091942"/>
    <w:rsid w:val="1D0B56BA"/>
    <w:rsid w:val="1D0B600A"/>
    <w:rsid w:val="1D0C7C1D"/>
    <w:rsid w:val="1D0D1432"/>
    <w:rsid w:val="1D0D3703"/>
    <w:rsid w:val="1D104A7F"/>
    <w:rsid w:val="1D11083E"/>
    <w:rsid w:val="1D1502E7"/>
    <w:rsid w:val="1D19735C"/>
    <w:rsid w:val="1D1B6401"/>
    <w:rsid w:val="1D1B6922"/>
    <w:rsid w:val="1D1C5D2B"/>
    <w:rsid w:val="1D1F18D5"/>
    <w:rsid w:val="1D1F4EB4"/>
    <w:rsid w:val="1D232A04"/>
    <w:rsid w:val="1D282217"/>
    <w:rsid w:val="1D2B7B0B"/>
    <w:rsid w:val="1D2D0DEE"/>
    <w:rsid w:val="1D2D32A5"/>
    <w:rsid w:val="1D322C47"/>
    <w:rsid w:val="1D3249F5"/>
    <w:rsid w:val="1D33076D"/>
    <w:rsid w:val="1D37025D"/>
    <w:rsid w:val="1D383FD6"/>
    <w:rsid w:val="1D385D84"/>
    <w:rsid w:val="1D386277"/>
    <w:rsid w:val="1D3A1AFC"/>
    <w:rsid w:val="1D3A5FA0"/>
    <w:rsid w:val="1D3B0E1E"/>
    <w:rsid w:val="1D3E15EC"/>
    <w:rsid w:val="1D3F1C50"/>
    <w:rsid w:val="1D456212"/>
    <w:rsid w:val="1D4726FB"/>
    <w:rsid w:val="1D4806BC"/>
    <w:rsid w:val="1D4913BD"/>
    <w:rsid w:val="1D4B149F"/>
    <w:rsid w:val="1D4B5AB7"/>
    <w:rsid w:val="1D4D4A4E"/>
    <w:rsid w:val="1D4D7A81"/>
    <w:rsid w:val="1D4E37F9"/>
    <w:rsid w:val="1D4F54BB"/>
    <w:rsid w:val="1D500AC6"/>
    <w:rsid w:val="1D540C01"/>
    <w:rsid w:val="1D541122"/>
    <w:rsid w:val="1D55052B"/>
    <w:rsid w:val="1D554B87"/>
    <w:rsid w:val="1D563A8D"/>
    <w:rsid w:val="1D57445C"/>
    <w:rsid w:val="1D5A3F4C"/>
    <w:rsid w:val="1D5A65E9"/>
    <w:rsid w:val="1D5C7CC4"/>
    <w:rsid w:val="1D5D57EA"/>
    <w:rsid w:val="1D5E1C8E"/>
    <w:rsid w:val="1D5F77B4"/>
    <w:rsid w:val="1D633229"/>
    <w:rsid w:val="1D682927"/>
    <w:rsid w:val="1D686669"/>
    <w:rsid w:val="1D6B6159"/>
    <w:rsid w:val="1D6D3C7F"/>
    <w:rsid w:val="1D7019C1"/>
    <w:rsid w:val="1D7025D9"/>
    <w:rsid w:val="1D724738"/>
    <w:rsid w:val="1D74500E"/>
    <w:rsid w:val="1D752B7B"/>
    <w:rsid w:val="1D796AC8"/>
    <w:rsid w:val="1D7A676B"/>
    <w:rsid w:val="1D7B7E7D"/>
    <w:rsid w:val="1D7C141A"/>
    <w:rsid w:val="1D7C2114"/>
    <w:rsid w:val="1D7C3EC2"/>
    <w:rsid w:val="1D7E40DE"/>
    <w:rsid w:val="1D7E7C3A"/>
    <w:rsid w:val="1D7F1C04"/>
    <w:rsid w:val="1D807FB5"/>
    <w:rsid w:val="1D81631E"/>
    <w:rsid w:val="1D864D41"/>
    <w:rsid w:val="1D8A3911"/>
    <w:rsid w:val="1D8B05A9"/>
    <w:rsid w:val="1D8B67FB"/>
    <w:rsid w:val="1D8D2573"/>
    <w:rsid w:val="1D8E1F7F"/>
    <w:rsid w:val="1D924C74"/>
    <w:rsid w:val="1D9303D6"/>
    <w:rsid w:val="1D937747"/>
    <w:rsid w:val="1D937791"/>
    <w:rsid w:val="1D943902"/>
    <w:rsid w:val="1D950A24"/>
    <w:rsid w:val="1D9B4896"/>
    <w:rsid w:val="1D9B6558"/>
    <w:rsid w:val="1D9D4085"/>
    <w:rsid w:val="1D9E2DB8"/>
    <w:rsid w:val="1D9E3123"/>
    <w:rsid w:val="1D9E3217"/>
    <w:rsid w:val="1D9F25CE"/>
    <w:rsid w:val="1DA04055"/>
    <w:rsid w:val="1DA17DCD"/>
    <w:rsid w:val="1DA23326"/>
    <w:rsid w:val="1DA33B45"/>
    <w:rsid w:val="1DA63635"/>
    <w:rsid w:val="1DA8115B"/>
    <w:rsid w:val="1DA87C8A"/>
    <w:rsid w:val="1DA91EAE"/>
    <w:rsid w:val="1DAB47A7"/>
    <w:rsid w:val="1DAB70EE"/>
    <w:rsid w:val="1DAB745A"/>
    <w:rsid w:val="1DAC3DB6"/>
    <w:rsid w:val="1DAD5595"/>
    <w:rsid w:val="1DAE34D2"/>
    <w:rsid w:val="1DB01DBE"/>
    <w:rsid w:val="1DB042FE"/>
    <w:rsid w:val="1DB33FAD"/>
    <w:rsid w:val="1DB377EF"/>
    <w:rsid w:val="1DB4365C"/>
    <w:rsid w:val="1DB61742"/>
    <w:rsid w:val="1DB775F0"/>
    <w:rsid w:val="1DB918CB"/>
    <w:rsid w:val="1DBE097F"/>
    <w:rsid w:val="1DBE455F"/>
    <w:rsid w:val="1DC046F7"/>
    <w:rsid w:val="1DC3704C"/>
    <w:rsid w:val="1DC71553"/>
    <w:rsid w:val="1DCA2E80"/>
    <w:rsid w:val="1DCD0BC2"/>
    <w:rsid w:val="1DCF0496"/>
    <w:rsid w:val="1DCF66E8"/>
    <w:rsid w:val="1DCF6B00"/>
    <w:rsid w:val="1DD43CFE"/>
    <w:rsid w:val="1DD75402"/>
    <w:rsid w:val="1DD9314F"/>
    <w:rsid w:val="1DDA0899"/>
    <w:rsid w:val="1DDA6E3B"/>
    <w:rsid w:val="1DDB565E"/>
    <w:rsid w:val="1DE05B7B"/>
    <w:rsid w:val="1DE63A32"/>
    <w:rsid w:val="1DE7675C"/>
    <w:rsid w:val="1DEA1774"/>
    <w:rsid w:val="1DEF0B38"/>
    <w:rsid w:val="1DF148B0"/>
    <w:rsid w:val="1DF1729D"/>
    <w:rsid w:val="1DF443A0"/>
    <w:rsid w:val="1DF463C5"/>
    <w:rsid w:val="1DF56BFC"/>
    <w:rsid w:val="1DF61EC7"/>
    <w:rsid w:val="1DF71875"/>
    <w:rsid w:val="1DF82414"/>
    <w:rsid w:val="1DF93765"/>
    <w:rsid w:val="1DF95513"/>
    <w:rsid w:val="1DFC27A3"/>
    <w:rsid w:val="1DFD59B5"/>
    <w:rsid w:val="1DFE062F"/>
    <w:rsid w:val="1DFE0D7B"/>
    <w:rsid w:val="1DFE6FCD"/>
    <w:rsid w:val="1E002731"/>
    <w:rsid w:val="1E004AF3"/>
    <w:rsid w:val="1E01086B"/>
    <w:rsid w:val="1E04324C"/>
    <w:rsid w:val="1E05035C"/>
    <w:rsid w:val="1E053C26"/>
    <w:rsid w:val="1E0565AE"/>
    <w:rsid w:val="1E0740D4"/>
    <w:rsid w:val="1E0A7720"/>
    <w:rsid w:val="1E0C13CE"/>
    <w:rsid w:val="1E0C16EA"/>
    <w:rsid w:val="1E0C7482"/>
    <w:rsid w:val="1E0D0A6A"/>
    <w:rsid w:val="1E0D0FBE"/>
    <w:rsid w:val="1E0D38F0"/>
    <w:rsid w:val="1E110AAE"/>
    <w:rsid w:val="1E12625F"/>
    <w:rsid w:val="1E126780"/>
    <w:rsid w:val="1E176CFE"/>
    <w:rsid w:val="1E18008F"/>
    <w:rsid w:val="1E1C064C"/>
    <w:rsid w:val="1E1D38F7"/>
    <w:rsid w:val="1E1E31CB"/>
    <w:rsid w:val="1E1E766F"/>
    <w:rsid w:val="1E200CF1"/>
    <w:rsid w:val="1E234C86"/>
    <w:rsid w:val="1E2A40E0"/>
    <w:rsid w:val="1E2C58E8"/>
    <w:rsid w:val="1E2E4331"/>
    <w:rsid w:val="1E2E78B2"/>
    <w:rsid w:val="1E3022B7"/>
    <w:rsid w:val="1E330404"/>
    <w:rsid w:val="1E3429EF"/>
    <w:rsid w:val="1E357891"/>
    <w:rsid w:val="1E3B1FCF"/>
    <w:rsid w:val="1E3B3D7D"/>
    <w:rsid w:val="1E3D568B"/>
    <w:rsid w:val="1E3D5D47"/>
    <w:rsid w:val="1E4532CA"/>
    <w:rsid w:val="1E454BFC"/>
    <w:rsid w:val="1E491B29"/>
    <w:rsid w:val="1E4A0464"/>
    <w:rsid w:val="1E4A2212"/>
    <w:rsid w:val="1E4A3FC0"/>
    <w:rsid w:val="1E4A5D6E"/>
    <w:rsid w:val="1E4B0389"/>
    <w:rsid w:val="1E4C1E76"/>
    <w:rsid w:val="1E4C7D38"/>
    <w:rsid w:val="1E4E1D03"/>
    <w:rsid w:val="1E4F703E"/>
    <w:rsid w:val="1E5135A1"/>
    <w:rsid w:val="1E515442"/>
    <w:rsid w:val="1E5170FD"/>
    <w:rsid w:val="1E537319"/>
    <w:rsid w:val="1E54477C"/>
    <w:rsid w:val="1E561C6C"/>
    <w:rsid w:val="1E570222"/>
    <w:rsid w:val="1E5866DD"/>
    <w:rsid w:val="1E5935A7"/>
    <w:rsid w:val="1E5E7721"/>
    <w:rsid w:val="1E605592"/>
    <w:rsid w:val="1E62755C"/>
    <w:rsid w:val="1E63162C"/>
    <w:rsid w:val="1E65658D"/>
    <w:rsid w:val="1E674B72"/>
    <w:rsid w:val="1E6A01BF"/>
    <w:rsid w:val="1E6C3F37"/>
    <w:rsid w:val="1E6D6A63"/>
    <w:rsid w:val="1E6F1C79"/>
    <w:rsid w:val="1E6F3A27"/>
    <w:rsid w:val="1E767E8B"/>
    <w:rsid w:val="1E791E1C"/>
    <w:rsid w:val="1E796654"/>
    <w:rsid w:val="1E7B23CC"/>
    <w:rsid w:val="1E7D4409"/>
    <w:rsid w:val="1E7D7EF2"/>
    <w:rsid w:val="1E890F8D"/>
    <w:rsid w:val="1E8A5DE0"/>
    <w:rsid w:val="1E8A6AB3"/>
    <w:rsid w:val="1E8D7EF7"/>
    <w:rsid w:val="1E8E0351"/>
    <w:rsid w:val="1E933BB9"/>
    <w:rsid w:val="1E957931"/>
    <w:rsid w:val="1E960FB4"/>
    <w:rsid w:val="1E967206"/>
    <w:rsid w:val="1E990AA4"/>
    <w:rsid w:val="1E9F407A"/>
    <w:rsid w:val="1EA26876"/>
    <w:rsid w:val="1EA4705E"/>
    <w:rsid w:val="1EA64BD4"/>
    <w:rsid w:val="1EA9518B"/>
    <w:rsid w:val="1EAB5F5C"/>
    <w:rsid w:val="1EAB7E95"/>
    <w:rsid w:val="1EAC6936"/>
    <w:rsid w:val="1EAC6A29"/>
    <w:rsid w:val="1EAF02C7"/>
    <w:rsid w:val="1EB12291"/>
    <w:rsid w:val="1EB31B66"/>
    <w:rsid w:val="1EB53B30"/>
    <w:rsid w:val="1EB77B79"/>
    <w:rsid w:val="1EB833EC"/>
    <w:rsid w:val="1EBB311A"/>
    <w:rsid w:val="1EBC25FB"/>
    <w:rsid w:val="1EBF3615"/>
    <w:rsid w:val="1EC10726"/>
    <w:rsid w:val="1EC2624D"/>
    <w:rsid w:val="1EC2785D"/>
    <w:rsid w:val="1EC71AB5"/>
    <w:rsid w:val="1EC73863"/>
    <w:rsid w:val="1ECC08B2"/>
    <w:rsid w:val="1ECC0E79"/>
    <w:rsid w:val="1ECD6378"/>
    <w:rsid w:val="1ED015A4"/>
    <w:rsid w:val="1ED3043E"/>
    <w:rsid w:val="1ED307E2"/>
    <w:rsid w:val="1ED32208"/>
    <w:rsid w:val="1ED33FB6"/>
    <w:rsid w:val="1ED81A83"/>
    <w:rsid w:val="1EDA5344"/>
    <w:rsid w:val="1EDC742B"/>
    <w:rsid w:val="1EDD3086"/>
    <w:rsid w:val="1EDE65BA"/>
    <w:rsid w:val="1EE3614B"/>
    <w:rsid w:val="1EE37991"/>
    <w:rsid w:val="1EE4141F"/>
    <w:rsid w:val="1EE50723"/>
    <w:rsid w:val="1EE61F3B"/>
    <w:rsid w:val="1EE87F12"/>
    <w:rsid w:val="1EEB7551"/>
    <w:rsid w:val="1EEE0F88"/>
    <w:rsid w:val="1EEE3723"/>
    <w:rsid w:val="1EEE6005"/>
    <w:rsid w:val="1EF346CD"/>
    <w:rsid w:val="1EF53386"/>
    <w:rsid w:val="1EF53D72"/>
    <w:rsid w:val="1EFA3FB6"/>
    <w:rsid w:val="1EFB3053"/>
    <w:rsid w:val="1EFD0CEB"/>
    <w:rsid w:val="1F0060BE"/>
    <w:rsid w:val="1F02489B"/>
    <w:rsid w:val="1F046865"/>
    <w:rsid w:val="1F0A64FE"/>
    <w:rsid w:val="1F0B19A2"/>
    <w:rsid w:val="1F0B7BF4"/>
    <w:rsid w:val="1F0C1276"/>
    <w:rsid w:val="1F122D30"/>
    <w:rsid w:val="1F14362A"/>
    <w:rsid w:val="1F1451A1"/>
    <w:rsid w:val="1F175179"/>
    <w:rsid w:val="1F176598"/>
    <w:rsid w:val="1F185E6D"/>
    <w:rsid w:val="1F197D24"/>
    <w:rsid w:val="1F1F369F"/>
    <w:rsid w:val="1F1F71FB"/>
    <w:rsid w:val="1F212F73"/>
    <w:rsid w:val="1F215001"/>
    <w:rsid w:val="1F221709"/>
    <w:rsid w:val="1F247119"/>
    <w:rsid w:val="1F250DF2"/>
    <w:rsid w:val="1F28557B"/>
    <w:rsid w:val="1F29007A"/>
    <w:rsid w:val="1F293B5F"/>
    <w:rsid w:val="1F2D5FFE"/>
    <w:rsid w:val="1F2E287D"/>
    <w:rsid w:val="1F3031B6"/>
    <w:rsid w:val="1F30765A"/>
    <w:rsid w:val="1F3507CD"/>
    <w:rsid w:val="1F356400"/>
    <w:rsid w:val="1F364065"/>
    <w:rsid w:val="1F38645C"/>
    <w:rsid w:val="1F3B160A"/>
    <w:rsid w:val="1F3E1D77"/>
    <w:rsid w:val="1F3E2C07"/>
    <w:rsid w:val="1F3E378D"/>
    <w:rsid w:val="1F3E4960"/>
    <w:rsid w:val="1F420707"/>
    <w:rsid w:val="1F42113B"/>
    <w:rsid w:val="1F4C4878"/>
    <w:rsid w:val="1F501AAA"/>
    <w:rsid w:val="1F50594B"/>
    <w:rsid w:val="1F511F82"/>
    <w:rsid w:val="1F532BE0"/>
    <w:rsid w:val="1F550E6F"/>
    <w:rsid w:val="1F552C1D"/>
    <w:rsid w:val="1F5A5839"/>
    <w:rsid w:val="1F5C044F"/>
    <w:rsid w:val="1F5C052B"/>
    <w:rsid w:val="1F5F7009"/>
    <w:rsid w:val="1F6115C2"/>
    <w:rsid w:val="1F672950"/>
    <w:rsid w:val="1F6741CB"/>
    <w:rsid w:val="1F680BA2"/>
    <w:rsid w:val="1F6966C8"/>
    <w:rsid w:val="1F6C401A"/>
    <w:rsid w:val="1F6E1F30"/>
    <w:rsid w:val="1F6F64FB"/>
    <w:rsid w:val="1F705CA9"/>
    <w:rsid w:val="1F706B55"/>
    <w:rsid w:val="1F773002"/>
    <w:rsid w:val="1F7A6B27"/>
    <w:rsid w:val="1F7B230E"/>
    <w:rsid w:val="1F7C04E2"/>
    <w:rsid w:val="1F7D07B7"/>
    <w:rsid w:val="1F7E03C6"/>
    <w:rsid w:val="1F7E6617"/>
    <w:rsid w:val="1F814529"/>
    <w:rsid w:val="1F824A45"/>
    <w:rsid w:val="1F841754"/>
    <w:rsid w:val="1F8452B0"/>
    <w:rsid w:val="1F865520"/>
    <w:rsid w:val="1F877BDE"/>
    <w:rsid w:val="1F881244"/>
    <w:rsid w:val="1F8A1EBA"/>
    <w:rsid w:val="1F8A2A58"/>
    <w:rsid w:val="1F8B3D41"/>
    <w:rsid w:val="1F8B663F"/>
    <w:rsid w:val="1F8E1E9D"/>
    <w:rsid w:val="1F977F29"/>
    <w:rsid w:val="1F984E09"/>
    <w:rsid w:val="1F9A4AD4"/>
    <w:rsid w:val="1F9A5406"/>
    <w:rsid w:val="1F9B08D3"/>
    <w:rsid w:val="1F9E45C4"/>
    <w:rsid w:val="1F9F42E0"/>
    <w:rsid w:val="1FA9750D"/>
    <w:rsid w:val="1FB37FF3"/>
    <w:rsid w:val="1FB5190D"/>
    <w:rsid w:val="1FB522CF"/>
    <w:rsid w:val="1FB61E31"/>
    <w:rsid w:val="1FBA579B"/>
    <w:rsid w:val="1FBC7140"/>
    <w:rsid w:val="1FBE6A14"/>
    <w:rsid w:val="1FC3227C"/>
    <w:rsid w:val="1FC57DA2"/>
    <w:rsid w:val="1FC61D6D"/>
    <w:rsid w:val="1FC73776"/>
    <w:rsid w:val="1FC97167"/>
    <w:rsid w:val="1FCD7EB9"/>
    <w:rsid w:val="1FCE3F40"/>
    <w:rsid w:val="1FD04999"/>
    <w:rsid w:val="1FD22A15"/>
    <w:rsid w:val="1FD239E5"/>
    <w:rsid w:val="1FD55B0C"/>
    <w:rsid w:val="1FD77AD6"/>
    <w:rsid w:val="1FDB75C6"/>
    <w:rsid w:val="1FDC333E"/>
    <w:rsid w:val="1FDC50EC"/>
    <w:rsid w:val="1FDF4104"/>
    <w:rsid w:val="1FDF586C"/>
    <w:rsid w:val="1FE02E2E"/>
    <w:rsid w:val="1FE12599"/>
    <w:rsid w:val="1FE12702"/>
    <w:rsid w:val="1FE3647B"/>
    <w:rsid w:val="1FE67B91"/>
    <w:rsid w:val="1FE741BD"/>
    <w:rsid w:val="1FE87F35"/>
    <w:rsid w:val="1FEC076E"/>
    <w:rsid w:val="1FEE7ABD"/>
    <w:rsid w:val="1FEF4A96"/>
    <w:rsid w:val="1FF02946"/>
    <w:rsid w:val="1FF16DE9"/>
    <w:rsid w:val="1FF37588"/>
    <w:rsid w:val="1FF47977"/>
    <w:rsid w:val="1FF663FC"/>
    <w:rsid w:val="1FF71F26"/>
    <w:rsid w:val="1FFB37C4"/>
    <w:rsid w:val="1FFB59A3"/>
    <w:rsid w:val="1FFE61E4"/>
    <w:rsid w:val="2001740F"/>
    <w:rsid w:val="20054643"/>
    <w:rsid w:val="20062169"/>
    <w:rsid w:val="20097E44"/>
    <w:rsid w:val="200A3A07"/>
    <w:rsid w:val="200A7EAB"/>
    <w:rsid w:val="200D34F7"/>
    <w:rsid w:val="200F7926"/>
    <w:rsid w:val="200F7E6B"/>
    <w:rsid w:val="20144886"/>
    <w:rsid w:val="201523AC"/>
    <w:rsid w:val="20166850"/>
    <w:rsid w:val="20174376"/>
    <w:rsid w:val="20196340"/>
    <w:rsid w:val="201A79C2"/>
    <w:rsid w:val="20254CE5"/>
    <w:rsid w:val="20264FD9"/>
    <w:rsid w:val="20270A5D"/>
    <w:rsid w:val="202820DF"/>
    <w:rsid w:val="202A7DFC"/>
    <w:rsid w:val="202D76F6"/>
    <w:rsid w:val="202F7912"/>
    <w:rsid w:val="20322F5E"/>
    <w:rsid w:val="203A38EA"/>
    <w:rsid w:val="20407429"/>
    <w:rsid w:val="204131A1"/>
    <w:rsid w:val="204333BD"/>
    <w:rsid w:val="20464723"/>
    <w:rsid w:val="204A64FA"/>
    <w:rsid w:val="204B2D1D"/>
    <w:rsid w:val="204D01CF"/>
    <w:rsid w:val="2050635E"/>
    <w:rsid w:val="2051236B"/>
    <w:rsid w:val="20531852"/>
    <w:rsid w:val="20541126"/>
    <w:rsid w:val="20547F6C"/>
    <w:rsid w:val="205630F0"/>
    <w:rsid w:val="20564E49"/>
    <w:rsid w:val="205B24B5"/>
    <w:rsid w:val="205D622D"/>
    <w:rsid w:val="205E6393"/>
    <w:rsid w:val="205F3053"/>
    <w:rsid w:val="206155F1"/>
    <w:rsid w:val="20631369"/>
    <w:rsid w:val="2063580D"/>
    <w:rsid w:val="206375BB"/>
    <w:rsid w:val="20651585"/>
    <w:rsid w:val="206536DB"/>
    <w:rsid w:val="20683301"/>
    <w:rsid w:val="206A094A"/>
    <w:rsid w:val="206C46C2"/>
    <w:rsid w:val="207277FE"/>
    <w:rsid w:val="2073120C"/>
    <w:rsid w:val="20755DFC"/>
    <w:rsid w:val="20783067"/>
    <w:rsid w:val="20787127"/>
    <w:rsid w:val="207A1DC5"/>
    <w:rsid w:val="207B4905"/>
    <w:rsid w:val="207B66B3"/>
    <w:rsid w:val="207D729F"/>
    <w:rsid w:val="207F30F4"/>
    <w:rsid w:val="208026B1"/>
    <w:rsid w:val="20827A42"/>
    <w:rsid w:val="20832A86"/>
    <w:rsid w:val="2083377A"/>
    <w:rsid w:val="20895274"/>
    <w:rsid w:val="208A0FEC"/>
    <w:rsid w:val="208A4B48"/>
    <w:rsid w:val="208C266E"/>
    <w:rsid w:val="208D0A85"/>
    <w:rsid w:val="208D32FB"/>
    <w:rsid w:val="208E129B"/>
    <w:rsid w:val="20936283"/>
    <w:rsid w:val="2096173F"/>
    <w:rsid w:val="209634ED"/>
    <w:rsid w:val="20971013"/>
    <w:rsid w:val="209854B7"/>
    <w:rsid w:val="209C3433"/>
    <w:rsid w:val="209D4318"/>
    <w:rsid w:val="209E05F3"/>
    <w:rsid w:val="20A0611A"/>
    <w:rsid w:val="20A07065"/>
    <w:rsid w:val="20A756FA"/>
    <w:rsid w:val="20A91472"/>
    <w:rsid w:val="20AA4157"/>
    <w:rsid w:val="20AC2D10"/>
    <w:rsid w:val="20AD2AAA"/>
    <w:rsid w:val="20AF1106"/>
    <w:rsid w:val="20AF17DC"/>
    <w:rsid w:val="20B10327"/>
    <w:rsid w:val="20B221AC"/>
    <w:rsid w:val="20B47E17"/>
    <w:rsid w:val="20B87907"/>
    <w:rsid w:val="20B94EBA"/>
    <w:rsid w:val="20B971DB"/>
    <w:rsid w:val="20BA2448"/>
    <w:rsid w:val="20BD6CCC"/>
    <w:rsid w:val="20BE2B36"/>
    <w:rsid w:val="20BE47F2"/>
    <w:rsid w:val="20BF0C96"/>
    <w:rsid w:val="20C07E7A"/>
    <w:rsid w:val="20C20786"/>
    <w:rsid w:val="20C444FE"/>
    <w:rsid w:val="20C53DD2"/>
    <w:rsid w:val="20CC7289"/>
    <w:rsid w:val="20CD0786"/>
    <w:rsid w:val="20D30137"/>
    <w:rsid w:val="20D34741"/>
    <w:rsid w:val="20D66A29"/>
    <w:rsid w:val="20D91494"/>
    <w:rsid w:val="20D919B5"/>
    <w:rsid w:val="20DA787E"/>
    <w:rsid w:val="20DB793B"/>
    <w:rsid w:val="20DC2DA5"/>
    <w:rsid w:val="20DD736E"/>
    <w:rsid w:val="20E22BD6"/>
    <w:rsid w:val="20E24984"/>
    <w:rsid w:val="20E34258"/>
    <w:rsid w:val="20E3657F"/>
    <w:rsid w:val="20E500A4"/>
    <w:rsid w:val="20E6582E"/>
    <w:rsid w:val="20E833E5"/>
    <w:rsid w:val="20EC135F"/>
    <w:rsid w:val="20EE0E06"/>
    <w:rsid w:val="20EE3329"/>
    <w:rsid w:val="20EE5B5F"/>
    <w:rsid w:val="20EF2BFD"/>
    <w:rsid w:val="20F12AC3"/>
    <w:rsid w:val="20F63F8C"/>
    <w:rsid w:val="20FF1092"/>
    <w:rsid w:val="20FF72E4"/>
    <w:rsid w:val="21016E14"/>
    <w:rsid w:val="21025026"/>
    <w:rsid w:val="21026DD4"/>
    <w:rsid w:val="21032E75"/>
    <w:rsid w:val="21075FBA"/>
    <w:rsid w:val="210B25A9"/>
    <w:rsid w:val="210C1A01"/>
    <w:rsid w:val="210C5CAC"/>
    <w:rsid w:val="210D14B3"/>
    <w:rsid w:val="210E20A1"/>
    <w:rsid w:val="210E454C"/>
    <w:rsid w:val="2110329F"/>
    <w:rsid w:val="21117B79"/>
    <w:rsid w:val="2114528A"/>
    <w:rsid w:val="21153C99"/>
    <w:rsid w:val="2116094D"/>
    <w:rsid w:val="21195258"/>
    <w:rsid w:val="211C4678"/>
    <w:rsid w:val="211C7E96"/>
    <w:rsid w:val="211F7986"/>
    <w:rsid w:val="2123408C"/>
    <w:rsid w:val="21240AF9"/>
    <w:rsid w:val="21244F9D"/>
    <w:rsid w:val="2127683B"/>
    <w:rsid w:val="21294361"/>
    <w:rsid w:val="212C3E51"/>
    <w:rsid w:val="212F1E92"/>
    <w:rsid w:val="21303941"/>
    <w:rsid w:val="213056EF"/>
    <w:rsid w:val="2130749E"/>
    <w:rsid w:val="21311468"/>
    <w:rsid w:val="213117D2"/>
    <w:rsid w:val="213172AB"/>
    <w:rsid w:val="21333432"/>
    <w:rsid w:val="21336F8E"/>
    <w:rsid w:val="21366A7E"/>
    <w:rsid w:val="21380F88"/>
    <w:rsid w:val="213845A4"/>
    <w:rsid w:val="213A216D"/>
    <w:rsid w:val="213B0D78"/>
    <w:rsid w:val="213F26B4"/>
    <w:rsid w:val="214178FD"/>
    <w:rsid w:val="21417BC3"/>
    <w:rsid w:val="2143298E"/>
    <w:rsid w:val="2144119B"/>
    <w:rsid w:val="21442F49"/>
    <w:rsid w:val="214473ED"/>
    <w:rsid w:val="214557F9"/>
    <w:rsid w:val="21472A39"/>
    <w:rsid w:val="214747E7"/>
    <w:rsid w:val="21494A03"/>
    <w:rsid w:val="214B077B"/>
    <w:rsid w:val="214B7A0E"/>
    <w:rsid w:val="214C004F"/>
    <w:rsid w:val="214E5B76"/>
    <w:rsid w:val="214F21EB"/>
    <w:rsid w:val="214F4DED"/>
    <w:rsid w:val="214F59A1"/>
    <w:rsid w:val="2153128C"/>
    <w:rsid w:val="21533CD8"/>
    <w:rsid w:val="21535882"/>
    <w:rsid w:val="215544BD"/>
    <w:rsid w:val="215A276C"/>
    <w:rsid w:val="215D56A0"/>
    <w:rsid w:val="21634106"/>
    <w:rsid w:val="21634EC4"/>
    <w:rsid w:val="21635AC5"/>
    <w:rsid w:val="2165647F"/>
    <w:rsid w:val="21661111"/>
    <w:rsid w:val="216830DB"/>
    <w:rsid w:val="21694BF3"/>
    <w:rsid w:val="216A0307"/>
    <w:rsid w:val="216A743D"/>
    <w:rsid w:val="216B420D"/>
    <w:rsid w:val="216C14EC"/>
    <w:rsid w:val="216C787B"/>
    <w:rsid w:val="216D06F2"/>
    <w:rsid w:val="216E446A"/>
    <w:rsid w:val="216F7310"/>
    <w:rsid w:val="216F7324"/>
    <w:rsid w:val="21701F90"/>
    <w:rsid w:val="21710A4D"/>
    <w:rsid w:val="21723F5A"/>
    <w:rsid w:val="21747CD2"/>
    <w:rsid w:val="217934DB"/>
    <w:rsid w:val="217A1CED"/>
    <w:rsid w:val="217A1EA3"/>
    <w:rsid w:val="217A776E"/>
    <w:rsid w:val="217B07D6"/>
    <w:rsid w:val="217B1461"/>
    <w:rsid w:val="217C26E3"/>
    <w:rsid w:val="217F21D3"/>
    <w:rsid w:val="217F2FC3"/>
    <w:rsid w:val="2181419D"/>
    <w:rsid w:val="21815F4B"/>
    <w:rsid w:val="21840024"/>
    <w:rsid w:val="2188552B"/>
    <w:rsid w:val="21893052"/>
    <w:rsid w:val="218D5374"/>
    <w:rsid w:val="218E2416"/>
    <w:rsid w:val="21920158"/>
    <w:rsid w:val="21921716"/>
    <w:rsid w:val="21933ED0"/>
    <w:rsid w:val="2193671F"/>
    <w:rsid w:val="2197576F"/>
    <w:rsid w:val="219A525F"/>
    <w:rsid w:val="219A700D"/>
    <w:rsid w:val="219C4ACE"/>
    <w:rsid w:val="219D08AB"/>
    <w:rsid w:val="219D0F12"/>
    <w:rsid w:val="219F2875"/>
    <w:rsid w:val="21A04AB9"/>
    <w:rsid w:val="21A0623F"/>
    <w:rsid w:val="21A12149"/>
    <w:rsid w:val="21A32365"/>
    <w:rsid w:val="21A460DD"/>
    <w:rsid w:val="21A567E9"/>
    <w:rsid w:val="21A7036C"/>
    <w:rsid w:val="21A8172A"/>
    <w:rsid w:val="21A92715"/>
    <w:rsid w:val="21A97250"/>
    <w:rsid w:val="21A974B5"/>
    <w:rsid w:val="21AB121A"/>
    <w:rsid w:val="21AB2FC8"/>
    <w:rsid w:val="21AD4F92"/>
    <w:rsid w:val="21B026B4"/>
    <w:rsid w:val="21B06830"/>
    <w:rsid w:val="21B300CF"/>
    <w:rsid w:val="21B52099"/>
    <w:rsid w:val="21B60AD2"/>
    <w:rsid w:val="21B93937"/>
    <w:rsid w:val="21BB2196"/>
    <w:rsid w:val="21BD70A2"/>
    <w:rsid w:val="21BE2CFB"/>
    <w:rsid w:val="21C10A3D"/>
    <w:rsid w:val="21C34799"/>
    <w:rsid w:val="21C54E8F"/>
    <w:rsid w:val="21CB18BC"/>
    <w:rsid w:val="21CE2911"/>
    <w:rsid w:val="21CF5E82"/>
    <w:rsid w:val="21D02A2F"/>
    <w:rsid w:val="21D06ED2"/>
    <w:rsid w:val="21D369EC"/>
    <w:rsid w:val="21D51319"/>
    <w:rsid w:val="21D73DBD"/>
    <w:rsid w:val="21D818E3"/>
    <w:rsid w:val="21DE6613"/>
    <w:rsid w:val="21E07116"/>
    <w:rsid w:val="21E11C0A"/>
    <w:rsid w:val="21E32762"/>
    <w:rsid w:val="21E62252"/>
    <w:rsid w:val="21E64000"/>
    <w:rsid w:val="21E85FCA"/>
    <w:rsid w:val="21EF529B"/>
    <w:rsid w:val="21F03485"/>
    <w:rsid w:val="21F04E7F"/>
    <w:rsid w:val="21F229A5"/>
    <w:rsid w:val="21F326CE"/>
    <w:rsid w:val="21F52068"/>
    <w:rsid w:val="21F84DF2"/>
    <w:rsid w:val="21FD6BC4"/>
    <w:rsid w:val="21FF2685"/>
    <w:rsid w:val="22010E3A"/>
    <w:rsid w:val="2201708C"/>
    <w:rsid w:val="22031056"/>
    <w:rsid w:val="22032E04"/>
    <w:rsid w:val="220529E0"/>
    <w:rsid w:val="22066450"/>
    <w:rsid w:val="220726E7"/>
    <w:rsid w:val="22084B69"/>
    <w:rsid w:val="220B1CB9"/>
    <w:rsid w:val="220C3FEC"/>
    <w:rsid w:val="220D77DF"/>
    <w:rsid w:val="22145011"/>
    <w:rsid w:val="221548E5"/>
    <w:rsid w:val="2217240B"/>
    <w:rsid w:val="221779C6"/>
    <w:rsid w:val="22192627"/>
    <w:rsid w:val="222039B6"/>
    <w:rsid w:val="2221328A"/>
    <w:rsid w:val="22266AF2"/>
    <w:rsid w:val="22275311"/>
    <w:rsid w:val="222A0391"/>
    <w:rsid w:val="222A3B7C"/>
    <w:rsid w:val="222A508E"/>
    <w:rsid w:val="222B5EB7"/>
    <w:rsid w:val="222D1BEC"/>
    <w:rsid w:val="222D7799"/>
    <w:rsid w:val="222E307C"/>
    <w:rsid w:val="223116B8"/>
    <w:rsid w:val="223702AD"/>
    <w:rsid w:val="2237485C"/>
    <w:rsid w:val="223905D4"/>
    <w:rsid w:val="223A41F0"/>
    <w:rsid w:val="223B259E"/>
    <w:rsid w:val="223B582C"/>
    <w:rsid w:val="22407BB4"/>
    <w:rsid w:val="224156DA"/>
    <w:rsid w:val="22456F79"/>
    <w:rsid w:val="22460F43"/>
    <w:rsid w:val="22471451"/>
    <w:rsid w:val="224C47AB"/>
    <w:rsid w:val="224D0523"/>
    <w:rsid w:val="224D22D1"/>
    <w:rsid w:val="224F429B"/>
    <w:rsid w:val="224F6C1C"/>
    <w:rsid w:val="2250591D"/>
    <w:rsid w:val="22517CED"/>
    <w:rsid w:val="225361C9"/>
    <w:rsid w:val="2254540E"/>
    <w:rsid w:val="22550014"/>
    <w:rsid w:val="225742BF"/>
    <w:rsid w:val="22576CAC"/>
    <w:rsid w:val="22582B2D"/>
    <w:rsid w:val="22592A24"/>
    <w:rsid w:val="225C2514"/>
    <w:rsid w:val="225D542D"/>
    <w:rsid w:val="225F372C"/>
    <w:rsid w:val="2262011A"/>
    <w:rsid w:val="226202D0"/>
    <w:rsid w:val="22632F8C"/>
    <w:rsid w:val="2264745D"/>
    <w:rsid w:val="226715E5"/>
    <w:rsid w:val="22686002"/>
    <w:rsid w:val="2269726E"/>
    <w:rsid w:val="226A4C31"/>
    <w:rsid w:val="226A69DF"/>
    <w:rsid w:val="226C4308"/>
    <w:rsid w:val="226C7D3C"/>
    <w:rsid w:val="226D14F1"/>
    <w:rsid w:val="22702742"/>
    <w:rsid w:val="22711D00"/>
    <w:rsid w:val="22711EB6"/>
    <w:rsid w:val="22731184"/>
    <w:rsid w:val="22765384"/>
    <w:rsid w:val="22765551"/>
    <w:rsid w:val="227746B0"/>
    <w:rsid w:val="227D2BB6"/>
    <w:rsid w:val="227D55A4"/>
    <w:rsid w:val="22803731"/>
    <w:rsid w:val="22803A9C"/>
    <w:rsid w:val="22806203"/>
    <w:rsid w:val="22812CEF"/>
    <w:rsid w:val="22813210"/>
    <w:rsid w:val="22833F45"/>
    <w:rsid w:val="22851A6B"/>
    <w:rsid w:val="22876504"/>
    <w:rsid w:val="228E4DC3"/>
    <w:rsid w:val="22970B49"/>
    <w:rsid w:val="22995516"/>
    <w:rsid w:val="229B128E"/>
    <w:rsid w:val="229B2CBA"/>
    <w:rsid w:val="229D01D9"/>
    <w:rsid w:val="22A243CB"/>
    <w:rsid w:val="22A31EF1"/>
    <w:rsid w:val="22A5210D"/>
    <w:rsid w:val="22A52EFA"/>
    <w:rsid w:val="22A55C69"/>
    <w:rsid w:val="22A75E85"/>
    <w:rsid w:val="22A77C33"/>
    <w:rsid w:val="22AA14D2"/>
    <w:rsid w:val="22AA7723"/>
    <w:rsid w:val="22AB359E"/>
    <w:rsid w:val="22AB3ABF"/>
    <w:rsid w:val="22AF6AE8"/>
    <w:rsid w:val="22B51CA1"/>
    <w:rsid w:val="22B53594"/>
    <w:rsid w:val="22B61C24"/>
    <w:rsid w:val="22B95D7B"/>
    <w:rsid w:val="22BA5A10"/>
    <w:rsid w:val="22BD1205"/>
    <w:rsid w:val="22BE6D2B"/>
    <w:rsid w:val="22C00CF5"/>
    <w:rsid w:val="22C04851"/>
    <w:rsid w:val="22C55A01"/>
    <w:rsid w:val="22C72083"/>
    <w:rsid w:val="22C96F20"/>
    <w:rsid w:val="22CA5FBD"/>
    <w:rsid w:val="22D03AAD"/>
    <w:rsid w:val="22D04D64"/>
    <w:rsid w:val="22D12F02"/>
    <w:rsid w:val="22D14CB0"/>
    <w:rsid w:val="22D30A28"/>
    <w:rsid w:val="22D402FC"/>
    <w:rsid w:val="22D4654E"/>
    <w:rsid w:val="22D71C1D"/>
    <w:rsid w:val="22DE1802"/>
    <w:rsid w:val="22DF561F"/>
    <w:rsid w:val="22E26EBD"/>
    <w:rsid w:val="22E41AB5"/>
    <w:rsid w:val="22E5250A"/>
    <w:rsid w:val="22E76282"/>
    <w:rsid w:val="22F1348C"/>
    <w:rsid w:val="22F24707"/>
    <w:rsid w:val="22F34C27"/>
    <w:rsid w:val="22F62727"/>
    <w:rsid w:val="22F62969"/>
    <w:rsid w:val="22F664C5"/>
    <w:rsid w:val="22F776BB"/>
    <w:rsid w:val="22F82FEC"/>
    <w:rsid w:val="22FA13D7"/>
    <w:rsid w:val="22FD3574"/>
    <w:rsid w:val="22FD4100"/>
    <w:rsid w:val="23042354"/>
    <w:rsid w:val="23062446"/>
    <w:rsid w:val="230706D2"/>
    <w:rsid w:val="23093D4C"/>
    <w:rsid w:val="230B6414"/>
    <w:rsid w:val="230C0EE7"/>
    <w:rsid w:val="230E380E"/>
    <w:rsid w:val="23111551"/>
    <w:rsid w:val="23113BB8"/>
    <w:rsid w:val="231150AD"/>
    <w:rsid w:val="23157033"/>
    <w:rsid w:val="23164DB9"/>
    <w:rsid w:val="231739FB"/>
    <w:rsid w:val="2318468D"/>
    <w:rsid w:val="2318643B"/>
    <w:rsid w:val="231B0735"/>
    <w:rsid w:val="231B5F2B"/>
    <w:rsid w:val="23201794"/>
    <w:rsid w:val="23203542"/>
    <w:rsid w:val="232079E6"/>
    <w:rsid w:val="23214660"/>
    <w:rsid w:val="2322375E"/>
    <w:rsid w:val="232243B7"/>
    <w:rsid w:val="23225D32"/>
    <w:rsid w:val="232272BA"/>
    <w:rsid w:val="23243032"/>
    <w:rsid w:val="23244DE0"/>
    <w:rsid w:val="23263AC5"/>
    <w:rsid w:val="23270D74"/>
    <w:rsid w:val="23272B22"/>
    <w:rsid w:val="232748D0"/>
    <w:rsid w:val="23275398"/>
    <w:rsid w:val="232B2612"/>
    <w:rsid w:val="232B5A8E"/>
    <w:rsid w:val="232C662D"/>
    <w:rsid w:val="232E3EB1"/>
    <w:rsid w:val="232F735E"/>
    <w:rsid w:val="233026AD"/>
    <w:rsid w:val="233063FB"/>
    <w:rsid w:val="2331574F"/>
    <w:rsid w:val="233314C7"/>
    <w:rsid w:val="2338088B"/>
    <w:rsid w:val="233A4DC2"/>
    <w:rsid w:val="233E4BB7"/>
    <w:rsid w:val="233F7E6C"/>
    <w:rsid w:val="2347442E"/>
    <w:rsid w:val="234856C5"/>
    <w:rsid w:val="2348627B"/>
    <w:rsid w:val="23493CB7"/>
    <w:rsid w:val="234A25AF"/>
    <w:rsid w:val="234B6EF7"/>
    <w:rsid w:val="234C3DF7"/>
    <w:rsid w:val="234E4A66"/>
    <w:rsid w:val="23505B5E"/>
    <w:rsid w:val="23533F67"/>
    <w:rsid w:val="23537352"/>
    <w:rsid w:val="23577448"/>
    <w:rsid w:val="235B27CC"/>
    <w:rsid w:val="235E4892"/>
    <w:rsid w:val="23614286"/>
    <w:rsid w:val="23615928"/>
    <w:rsid w:val="2366364A"/>
    <w:rsid w:val="23675615"/>
    <w:rsid w:val="23690525"/>
    <w:rsid w:val="23694EE9"/>
    <w:rsid w:val="236A7C99"/>
    <w:rsid w:val="236B7871"/>
    <w:rsid w:val="236C6787"/>
    <w:rsid w:val="236E24FF"/>
    <w:rsid w:val="236E4B2D"/>
    <w:rsid w:val="236F7CD9"/>
    <w:rsid w:val="23702823"/>
    <w:rsid w:val="237044C9"/>
    <w:rsid w:val="23713D9D"/>
    <w:rsid w:val="23721DCA"/>
    <w:rsid w:val="2373123B"/>
    <w:rsid w:val="237429BE"/>
    <w:rsid w:val="23757618"/>
    <w:rsid w:val="2378337E"/>
    <w:rsid w:val="237922CC"/>
    <w:rsid w:val="237C16B0"/>
    <w:rsid w:val="237E6898"/>
    <w:rsid w:val="238166D6"/>
    <w:rsid w:val="23817F9C"/>
    <w:rsid w:val="23867849"/>
    <w:rsid w:val="23874E71"/>
    <w:rsid w:val="238B31E6"/>
    <w:rsid w:val="238D0331"/>
    <w:rsid w:val="238D507B"/>
    <w:rsid w:val="238E494F"/>
    <w:rsid w:val="239161EE"/>
    <w:rsid w:val="2392443F"/>
    <w:rsid w:val="23931F66"/>
    <w:rsid w:val="23961D95"/>
    <w:rsid w:val="239D2DE4"/>
    <w:rsid w:val="239F090A"/>
    <w:rsid w:val="23A22D26"/>
    <w:rsid w:val="23A32F09"/>
    <w:rsid w:val="23A46FD4"/>
    <w:rsid w:val="23A621CB"/>
    <w:rsid w:val="23A62696"/>
    <w:rsid w:val="23A6613D"/>
    <w:rsid w:val="23A924A0"/>
    <w:rsid w:val="23AB72AF"/>
    <w:rsid w:val="23AC45B8"/>
    <w:rsid w:val="23B00D6A"/>
    <w:rsid w:val="23B23D14"/>
    <w:rsid w:val="23B245A0"/>
    <w:rsid w:val="23B33E8E"/>
    <w:rsid w:val="23B343B6"/>
    <w:rsid w:val="23B914CA"/>
    <w:rsid w:val="23BA5744"/>
    <w:rsid w:val="23BE21BE"/>
    <w:rsid w:val="23C10881"/>
    <w:rsid w:val="23C16AD3"/>
    <w:rsid w:val="23C465C3"/>
    <w:rsid w:val="23C6058D"/>
    <w:rsid w:val="23C67966"/>
    <w:rsid w:val="23C878D4"/>
    <w:rsid w:val="23C93BD9"/>
    <w:rsid w:val="23CB16FF"/>
    <w:rsid w:val="23CC2790"/>
    <w:rsid w:val="23CE2F9E"/>
    <w:rsid w:val="23CE4694"/>
    <w:rsid w:val="23CF0442"/>
    <w:rsid w:val="23D26F32"/>
    <w:rsid w:val="23D42CAA"/>
    <w:rsid w:val="23D9206E"/>
    <w:rsid w:val="23DD3817"/>
    <w:rsid w:val="23DE7685"/>
    <w:rsid w:val="23E045EC"/>
    <w:rsid w:val="23E26061"/>
    <w:rsid w:val="23E44C23"/>
    <w:rsid w:val="23E46CE6"/>
    <w:rsid w:val="23E57E73"/>
    <w:rsid w:val="23E629DD"/>
    <w:rsid w:val="23E6478B"/>
    <w:rsid w:val="23E74E1E"/>
    <w:rsid w:val="23E91A35"/>
    <w:rsid w:val="23EA7FAE"/>
    <w:rsid w:val="23EB1DA2"/>
    <w:rsid w:val="23EB4B7A"/>
    <w:rsid w:val="23ED3D6C"/>
    <w:rsid w:val="23EE3640"/>
    <w:rsid w:val="23F24EDE"/>
    <w:rsid w:val="23F37E91"/>
    <w:rsid w:val="23F46EA8"/>
    <w:rsid w:val="23F47D66"/>
    <w:rsid w:val="23F5677C"/>
    <w:rsid w:val="23F650D1"/>
    <w:rsid w:val="23F70746"/>
    <w:rsid w:val="23F91212"/>
    <w:rsid w:val="23FB453D"/>
    <w:rsid w:val="23FB475F"/>
    <w:rsid w:val="23FB7BDA"/>
    <w:rsid w:val="240115C5"/>
    <w:rsid w:val="2403321B"/>
    <w:rsid w:val="24062738"/>
    <w:rsid w:val="24082954"/>
    <w:rsid w:val="240864B0"/>
    <w:rsid w:val="24092228"/>
    <w:rsid w:val="24094BFE"/>
    <w:rsid w:val="240A66CC"/>
    <w:rsid w:val="240B274F"/>
    <w:rsid w:val="240D1D18"/>
    <w:rsid w:val="240D4867"/>
    <w:rsid w:val="24101808"/>
    <w:rsid w:val="241217A0"/>
    <w:rsid w:val="24132E60"/>
    <w:rsid w:val="24134E54"/>
    <w:rsid w:val="24150BCD"/>
    <w:rsid w:val="24194B00"/>
    <w:rsid w:val="241A4435"/>
    <w:rsid w:val="241A61E3"/>
    <w:rsid w:val="241C6803"/>
    <w:rsid w:val="241E3AF6"/>
    <w:rsid w:val="241F37F9"/>
    <w:rsid w:val="2420068E"/>
    <w:rsid w:val="24213A15"/>
    <w:rsid w:val="24247062"/>
    <w:rsid w:val="24264B88"/>
    <w:rsid w:val="24287A50"/>
    <w:rsid w:val="24287A76"/>
    <w:rsid w:val="24294678"/>
    <w:rsid w:val="24297F60"/>
    <w:rsid w:val="242A28CA"/>
    <w:rsid w:val="242B4894"/>
    <w:rsid w:val="243454F7"/>
    <w:rsid w:val="24350A36"/>
    <w:rsid w:val="24417C14"/>
    <w:rsid w:val="24422DFE"/>
    <w:rsid w:val="2446347C"/>
    <w:rsid w:val="24482D50"/>
    <w:rsid w:val="244B0162"/>
    <w:rsid w:val="244B1B66"/>
    <w:rsid w:val="244F0582"/>
    <w:rsid w:val="244F2331"/>
    <w:rsid w:val="24516432"/>
    <w:rsid w:val="2451716B"/>
    <w:rsid w:val="24534A8E"/>
    <w:rsid w:val="24544339"/>
    <w:rsid w:val="2455546D"/>
    <w:rsid w:val="24575689"/>
    <w:rsid w:val="245B0CD5"/>
    <w:rsid w:val="245B6F27"/>
    <w:rsid w:val="245F1806"/>
    <w:rsid w:val="24600539"/>
    <w:rsid w:val="246062EC"/>
    <w:rsid w:val="246123DC"/>
    <w:rsid w:val="2469030D"/>
    <w:rsid w:val="246B4C91"/>
    <w:rsid w:val="246B6A3F"/>
    <w:rsid w:val="246D4199"/>
    <w:rsid w:val="246F572D"/>
    <w:rsid w:val="24701892"/>
    <w:rsid w:val="24701A48"/>
    <w:rsid w:val="24724271"/>
    <w:rsid w:val="247248FA"/>
    <w:rsid w:val="24727DCD"/>
    <w:rsid w:val="24747E1D"/>
    <w:rsid w:val="247578DE"/>
    <w:rsid w:val="24763D61"/>
    <w:rsid w:val="24767649"/>
    <w:rsid w:val="247A6A6F"/>
    <w:rsid w:val="247B1C76"/>
    <w:rsid w:val="247B62FC"/>
    <w:rsid w:val="247C6164"/>
    <w:rsid w:val="247C629F"/>
    <w:rsid w:val="247E1F51"/>
    <w:rsid w:val="247E49C4"/>
    <w:rsid w:val="248024EA"/>
    <w:rsid w:val="24863746"/>
    <w:rsid w:val="24865ABF"/>
    <w:rsid w:val="24885842"/>
    <w:rsid w:val="248875F1"/>
    <w:rsid w:val="248A06DA"/>
    <w:rsid w:val="248B0E8F"/>
    <w:rsid w:val="248B7454"/>
    <w:rsid w:val="248B7E85"/>
    <w:rsid w:val="248C70E1"/>
    <w:rsid w:val="248F097F"/>
    <w:rsid w:val="249271CF"/>
    <w:rsid w:val="24942439"/>
    <w:rsid w:val="249473FB"/>
    <w:rsid w:val="24973CD7"/>
    <w:rsid w:val="249917FE"/>
    <w:rsid w:val="24992EEE"/>
    <w:rsid w:val="249A18B6"/>
    <w:rsid w:val="249A22F7"/>
    <w:rsid w:val="249A5961"/>
    <w:rsid w:val="249C349D"/>
    <w:rsid w:val="249D7124"/>
    <w:rsid w:val="24A33FFE"/>
    <w:rsid w:val="24A501A2"/>
    <w:rsid w:val="24A7216D"/>
    <w:rsid w:val="24A9142F"/>
    <w:rsid w:val="24B65F0C"/>
    <w:rsid w:val="24B67988"/>
    <w:rsid w:val="24B71C84"/>
    <w:rsid w:val="24B85FE4"/>
    <w:rsid w:val="24B91EA0"/>
    <w:rsid w:val="24BB786B"/>
    <w:rsid w:val="24BE6297"/>
    <w:rsid w:val="24C06D8A"/>
    <w:rsid w:val="24C22B02"/>
    <w:rsid w:val="24C6149F"/>
    <w:rsid w:val="24CD5DC1"/>
    <w:rsid w:val="24CE7073"/>
    <w:rsid w:val="24CF521F"/>
    <w:rsid w:val="24D003C5"/>
    <w:rsid w:val="24D10F97"/>
    <w:rsid w:val="24D263B7"/>
    <w:rsid w:val="24D31BA1"/>
    <w:rsid w:val="24D439E0"/>
    <w:rsid w:val="24D57369"/>
    <w:rsid w:val="24D7418A"/>
    <w:rsid w:val="24D82326"/>
    <w:rsid w:val="24DB4284"/>
    <w:rsid w:val="24E000F6"/>
    <w:rsid w:val="24E20D41"/>
    <w:rsid w:val="24E444AE"/>
    <w:rsid w:val="24E8008F"/>
    <w:rsid w:val="24EB7A61"/>
    <w:rsid w:val="24EF58C2"/>
    <w:rsid w:val="24F048D0"/>
    <w:rsid w:val="24F133E8"/>
    <w:rsid w:val="24F4110F"/>
    <w:rsid w:val="24F46A34"/>
    <w:rsid w:val="24FD4460"/>
    <w:rsid w:val="24FE2631"/>
    <w:rsid w:val="24FF0039"/>
    <w:rsid w:val="24FF367F"/>
    <w:rsid w:val="24FF3D57"/>
    <w:rsid w:val="25002214"/>
    <w:rsid w:val="25007ACF"/>
    <w:rsid w:val="250110FD"/>
    <w:rsid w:val="25021151"/>
    <w:rsid w:val="250242B2"/>
    <w:rsid w:val="2503346D"/>
    <w:rsid w:val="2504136D"/>
    <w:rsid w:val="25070E5D"/>
    <w:rsid w:val="25072C0B"/>
    <w:rsid w:val="250A26FB"/>
    <w:rsid w:val="250A44A9"/>
    <w:rsid w:val="250A6664"/>
    <w:rsid w:val="250C616B"/>
    <w:rsid w:val="250F1AC0"/>
    <w:rsid w:val="25103294"/>
    <w:rsid w:val="251348CB"/>
    <w:rsid w:val="25141135"/>
    <w:rsid w:val="251D41DD"/>
    <w:rsid w:val="25203CCD"/>
    <w:rsid w:val="25232A7A"/>
    <w:rsid w:val="25257535"/>
    <w:rsid w:val="25263F4E"/>
    <w:rsid w:val="25270BB7"/>
    <w:rsid w:val="25294521"/>
    <w:rsid w:val="25296A7B"/>
    <w:rsid w:val="252B19AC"/>
    <w:rsid w:val="252B4B4C"/>
    <w:rsid w:val="25387269"/>
    <w:rsid w:val="253A2EBB"/>
    <w:rsid w:val="253A4D8F"/>
    <w:rsid w:val="253B0B07"/>
    <w:rsid w:val="253F579B"/>
    <w:rsid w:val="25441769"/>
    <w:rsid w:val="25445C0D"/>
    <w:rsid w:val="2547125A"/>
    <w:rsid w:val="25472F43"/>
    <w:rsid w:val="254A48EC"/>
    <w:rsid w:val="254C061E"/>
    <w:rsid w:val="254E5A36"/>
    <w:rsid w:val="254F4678"/>
    <w:rsid w:val="255138A6"/>
    <w:rsid w:val="255231DD"/>
    <w:rsid w:val="255233A1"/>
    <w:rsid w:val="25565E93"/>
    <w:rsid w:val="255676EF"/>
    <w:rsid w:val="255700FD"/>
    <w:rsid w:val="2558097B"/>
    <w:rsid w:val="255B6AB3"/>
    <w:rsid w:val="255F69BB"/>
    <w:rsid w:val="2567792F"/>
    <w:rsid w:val="256B1920"/>
    <w:rsid w:val="257007B0"/>
    <w:rsid w:val="257162D7"/>
    <w:rsid w:val="25717107"/>
    <w:rsid w:val="25733DFD"/>
    <w:rsid w:val="25756D4C"/>
    <w:rsid w:val="25764EEB"/>
    <w:rsid w:val="257858B7"/>
    <w:rsid w:val="257A162F"/>
    <w:rsid w:val="257A6DB5"/>
    <w:rsid w:val="257A7C47"/>
    <w:rsid w:val="257D111F"/>
    <w:rsid w:val="257D2ECD"/>
    <w:rsid w:val="257E35F2"/>
    <w:rsid w:val="257F6C45"/>
    <w:rsid w:val="2581000F"/>
    <w:rsid w:val="25822292"/>
    <w:rsid w:val="258424AE"/>
    <w:rsid w:val="258458FE"/>
    <w:rsid w:val="2584600A"/>
    <w:rsid w:val="25852F14"/>
    <w:rsid w:val="25867EF4"/>
    <w:rsid w:val="258B383C"/>
    <w:rsid w:val="258B4FC9"/>
    <w:rsid w:val="258D4AEE"/>
    <w:rsid w:val="258F0702"/>
    <w:rsid w:val="258F1298"/>
    <w:rsid w:val="2590230B"/>
    <w:rsid w:val="259049AF"/>
    <w:rsid w:val="259175D4"/>
    <w:rsid w:val="25981AB5"/>
    <w:rsid w:val="25983F7B"/>
    <w:rsid w:val="259E34B5"/>
    <w:rsid w:val="25A121E1"/>
    <w:rsid w:val="25A220E3"/>
    <w:rsid w:val="25A62424"/>
    <w:rsid w:val="25A641D2"/>
    <w:rsid w:val="25A8619C"/>
    <w:rsid w:val="25A95A70"/>
    <w:rsid w:val="25AB17E9"/>
    <w:rsid w:val="25AB575C"/>
    <w:rsid w:val="25AC5561"/>
    <w:rsid w:val="25AD66BE"/>
    <w:rsid w:val="25AD6F5A"/>
    <w:rsid w:val="25AE5E42"/>
    <w:rsid w:val="25B12B77"/>
    <w:rsid w:val="25B17E80"/>
    <w:rsid w:val="25B6018D"/>
    <w:rsid w:val="25B763DF"/>
    <w:rsid w:val="25B97711"/>
    <w:rsid w:val="25BA0095"/>
    <w:rsid w:val="25BA5ED0"/>
    <w:rsid w:val="25BA7506"/>
    <w:rsid w:val="25BB0A6F"/>
    <w:rsid w:val="25BE0B79"/>
    <w:rsid w:val="25BE6C7B"/>
    <w:rsid w:val="25BF35A3"/>
    <w:rsid w:val="25C1725E"/>
    <w:rsid w:val="25C26B32"/>
    <w:rsid w:val="25C32FD6"/>
    <w:rsid w:val="25C44658"/>
    <w:rsid w:val="25C46BF1"/>
    <w:rsid w:val="25C603D0"/>
    <w:rsid w:val="25C61AFA"/>
    <w:rsid w:val="25C805EC"/>
    <w:rsid w:val="25C809A7"/>
    <w:rsid w:val="25CB1E8B"/>
    <w:rsid w:val="25CD79B1"/>
    <w:rsid w:val="25CE54D7"/>
    <w:rsid w:val="25CF5C59"/>
    <w:rsid w:val="25D24FC7"/>
    <w:rsid w:val="25D32AED"/>
    <w:rsid w:val="25D36F91"/>
    <w:rsid w:val="25D9690F"/>
    <w:rsid w:val="25DB7E88"/>
    <w:rsid w:val="25E25B19"/>
    <w:rsid w:val="25E41C25"/>
    <w:rsid w:val="25E7048C"/>
    <w:rsid w:val="25E90046"/>
    <w:rsid w:val="25E92311"/>
    <w:rsid w:val="25E965C8"/>
    <w:rsid w:val="25E96E54"/>
    <w:rsid w:val="25EE7927"/>
    <w:rsid w:val="25F27417"/>
    <w:rsid w:val="25F34F3E"/>
    <w:rsid w:val="25F53236"/>
    <w:rsid w:val="25F767DC"/>
    <w:rsid w:val="25F96F8D"/>
    <w:rsid w:val="25FA544F"/>
    <w:rsid w:val="25FA5EE8"/>
    <w:rsid w:val="25FC1CC0"/>
    <w:rsid w:val="25FC2044"/>
    <w:rsid w:val="25FC3DF2"/>
    <w:rsid w:val="25FF1B34"/>
    <w:rsid w:val="25FF7D86"/>
    <w:rsid w:val="26003524"/>
    <w:rsid w:val="26025181"/>
    <w:rsid w:val="26054A05"/>
    <w:rsid w:val="26063AA3"/>
    <w:rsid w:val="26064C71"/>
    <w:rsid w:val="260678C3"/>
    <w:rsid w:val="260A022D"/>
    <w:rsid w:val="260A59DD"/>
    <w:rsid w:val="260A6A23"/>
    <w:rsid w:val="260F621B"/>
    <w:rsid w:val="26103D41"/>
    <w:rsid w:val="26121868"/>
    <w:rsid w:val="26151358"/>
    <w:rsid w:val="26154FB2"/>
    <w:rsid w:val="26162357"/>
    <w:rsid w:val="26163620"/>
    <w:rsid w:val="2617759C"/>
    <w:rsid w:val="261D1282"/>
    <w:rsid w:val="261D1FBA"/>
    <w:rsid w:val="261F4A04"/>
    <w:rsid w:val="2620115E"/>
    <w:rsid w:val="26243349"/>
    <w:rsid w:val="262470B9"/>
    <w:rsid w:val="2629095F"/>
    <w:rsid w:val="262A1E53"/>
    <w:rsid w:val="262E3697"/>
    <w:rsid w:val="262E5F76"/>
    <w:rsid w:val="26301CEE"/>
    <w:rsid w:val="263133C2"/>
    <w:rsid w:val="26321C01"/>
    <w:rsid w:val="26321F0A"/>
    <w:rsid w:val="263537A8"/>
    <w:rsid w:val="263920A0"/>
    <w:rsid w:val="26396DF4"/>
    <w:rsid w:val="263A0DBE"/>
    <w:rsid w:val="263D7E5C"/>
    <w:rsid w:val="263F224F"/>
    <w:rsid w:val="26415CA9"/>
    <w:rsid w:val="26451C3D"/>
    <w:rsid w:val="264834DB"/>
    <w:rsid w:val="264B4D7A"/>
    <w:rsid w:val="264F669A"/>
    <w:rsid w:val="265005E2"/>
    <w:rsid w:val="26526108"/>
    <w:rsid w:val="26527EB6"/>
    <w:rsid w:val="26570C4B"/>
    <w:rsid w:val="265754CC"/>
    <w:rsid w:val="265A6D6B"/>
    <w:rsid w:val="26600825"/>
    <w:rsid w:val="26600B75"/>
    <w:rsid w:val="26612BE0"/>
    <w:rsid w:val="266320C3"/>
    <w:rsid w:val="2665408D"/>
    <w:rsid w:val="26661BB3"/>
    <w:rsid w:val="266A51AE"/>
    <w:rsid w:val="266B3C94"/>
    <w:rsid w:val="266B71CA"/>
    <w:rsid w:val="266F36FB"/>
    <w:rsid w:val="267270A9"/>
    <w:rsid w:val="26754E25"/>
    <w:rsid w:val="267E00A6"/>
    <w:rsid w:val="267F3EF0"/>
    <w:rsid w:val="267F786F"/>
    <w:rsid w:val="268169ED"/>
    <w:rsid w:val="2682413A"/>
    <w:rsid w:val="26832765"/>
    <w:rsid w:val="268362C1"/>
    <w:rsid w:val="26842C45"/>
    <w:rsid w:val="26845849"/>
    <w:rsid w:val="26865DB2"/>
    <w:rsid w:val="268A0EDE"/>
    <w:rsid w:val="268A7862"/>
    <w:rsid w:val="268D0EEE"/>
    <w:rsid w:val="269009DE"/>
    <w:rsid w:val="26907874"/>
    <w:rsid w:val="26951178"/>
    <w:rsid w:val="26977FBF"/>
    <w:rsid w:val="26993D37"/>
    <w:rsid w:val="269B1288"/>
    <w:rsid w:val="269B185D"/>
    <w:rsid w:val="269B33CF"/>
    <w:rsid w:val="269D6920"/>
    <w:rsid w:val="269E759F"/>
    <w:rsid w:val="269E76E5"/>
    <w:rsid w:val="26A06E73"/>
    <w:rsid w:val="26A12BEB"/>
    <w:rsid w:val="26A1499A"/>
    <w:rsid w:val="26A308BB"/>
    <w:rsid w:val="26A4428C"/>
    <w:rsid w:val="26A526DC"/>
    <w:rsid w:val="26A54F0B"/>
    <w:rsid w:val="26AA1AA0"/>
    <w:rsid w:val="26AA45DC"/>
    <w:rsid w:val="26AD1590"/>
    <w:rsid w:val="26AE2FAD"/>
    <w:rsid w:val="26AF0E4F"/>
    <w:rsid w:val="26AF355A"/>
    <w:rsid w:val="26B47D7B"/>
    <w:rsid w:val="26B50445"/>
    <w:rsid w:val="26B53690"/>
    <w:rsid w:val="26B674D1"/>
    <w:rsid w:val="26B74987"/>
    <w:rsid w:val="26B75F6B"/>
    <w:rsid w:val="26BC7A25"/>
    <w:rsid w:val="26BD06F7"/>
    <w:rsid w:val="26BE0515"/>
    <w:rsid w:val="26BE19EF"/>
    <w:rsid w:val="26BE72FA"/>
    <w:rsid w:val="26BF3F9F"/>
    <w:rsid w:val="26C2328E"/>
    <w:rsid w:val="26C24433"/>
    <w:rsid w:val="26C62652"/>
    <w:rsid w:val="26C8461C"/>
    <w:rsid w:val="26CC5EBA"/>
    <w:rsid w:val="26CD1C32"/>
    <w:rsid w:val="26CF1507"/>
    <w:rsid w:val="26CF59AB"/>
    <w:rsid w:val="26D307AA"/>
    <w:rsid w:val="26D44D6F"/>
    <w:rsid w:val="26D60AE7"/>
    <w:rsid w:val="26D62895"/>
    <w:rsid w:val="26DD51A9"/>
    <w:rsid w:val="26E10C72"/>
    <w:rsid w:val="26E256DE"/>
    <w:rsid w:val="26E2748C"/>
    <w:rsid w:val="26E34FB2"/>
    <w:rsid w:val="26E44F59"/>
    <w:rsid w:val="26EA00EF"/>
    <w:rsid w:val="26EA27E4"/>
    <w:rsid w:val="26ED3A0E"/>
    <w:rsid w:val="26EE17FA"/>
    <w:rsid w:val="26EF06E2"/>
    <w:rsid w:val="26EF7DFB"/>
    <w:rsid w:val="26F176CF"/>
    <w:rsid w:val="26F31699"/>
    <w:rsid w:val="26FA3134"/>
    <w:rsid w:val="26FB3D55"/>
    <w:rsid w:val="26FB67A0"/>
    <w:rsid w:val="26FC418C"/>
    <w:rsid w:val="26FD6A7D"/>
    <w:rsid w:val="27007912"/>
    <w:rsid w:val="270218DC"/>
    <w:rsid w:val="2702368A"/>
    <w:rsid w:val="27027B2E"/>
    <w:rsid w:val="27050297"/>
    <w:rsid w:val="27054F28"/>
    <w:rsid w:val="27075144"/>
    <w:rsid w:val="27086531"/>
    <w:rsid w:val="270A42AE"/>
    <w:rsid w:val="270C4509"/>
    <w:rsid w:val="270D4584"/>
    <w:rsid w:val="270E344F"/>
    <w:rsid w:val="270E44A3"/>
    <w:rsid w:val="270F7B55"/>
    <w:rsid w:val="27117D71"/>
    <w:rsid w:val="27135897"/>
    <w:rsid w:val="2713762D"/>
    <w:rsid w:val="2714274D"/>
    <w:rsid w:val="271433BD"/>
    <w:rsid w:val="27194E78"/>
    <w:rsid w:val="27194F7C"/>
    <w:rsid w:val="27196C26"/>
    <w:rsid w:val="271D64CE"/>
    <w:rsid w:val="271E5FEA"/>
    <w:rsid w:val="271F664C"/>
    <w:rsid w:val="271F69C2"/>
    <w:rsid w:val="272051A9"/>
    <w:rsid w:val="27221F7E"/>
    <w:rsid w:val="27233601"/>
    <w:rsid w:val="27273923"/>
    <w:rsid w:val="272A2BE1"/>
    <w:rsid w:val="272A498F"/>
    <w:rsid w:val="272D447F"/>
    <w:rsid w:val="27353652"/>
    <w:rsid w:val="273746A2"/>
    <w:rsid w:val="27374AC8"/>
    <w:rsid w:val="27383645"/>
    <w:rsid w:val="27387112"/>
    <w:rsid w:val="273B3040"/>
    <w:rsid w:val="273C335D"/>
    <w:rsid w:val="273E043A"/>
    <w:rsid w:val="27431237"/>
    <w:rsid w:val="274417F4"/>
    <w:rsid w:val="274517C9"/>
    <w:rsid w:val="27490C18"/>
    <w:rsid w:val="274E2D55"/>
    <w:rsid w:val="27500494"/>
    <w:rsid w:val="27502468"/>
    <w:rsid w:val="27503C90"/>
    <w:rsid w:val="275057E6"/>
    <w:rsid w:val="27547C5E"/>
    <w:rsid w:val="27554102"/>
    <w:rsid w:val="275A1718"/>
    <w:rsid w:val="275B78FF"/>
    <w:rsid w:val="275E288B"/>
    <w:rsid w:val="275E5EB1"/>
    <w:rsid w:val="2761277E"/>
    <w:rsid w:val="276365F0"/>
    <w:rsid w:val="276415E7"/>
    <w:rsid w:val="276738C3"/>
    <w:rsid w:val="276B714E"/>
    <w:rsid w:val="276F1A45"/>
    <w:rsid w:val="2771651B"/>
    <w:rsid w:val="27723D21"/>
    <w:rsid w:val="2772486C"/>
    <w:rsid w:val="27795FA8"/>
    <w:rsid w:val="277C48A6"/>
    <w:rsid w:val="277F452A"/>
    <w:rsid w:val="27814EF7"/>
    <w:rsid w:val="2781719F"/>
    <w:rsid w:val="27840543"/>
    <w:rsid w:val="278B7B24"/>
    <w:rsid w:val="278C389C"/>
    <w:rsid w:val="278D12FE"/>
    <w:rsid w:val="278E34D5"/>
    <w:rsid w:val="279012A6"/>
    <w:rsid w:val="2790513A"/>
    <w:rsid w:val="27965C2C"/>
    <w:rsid w:val="27965DF0"/>
    <w:rsid w:val="27975368"/>
    <w:rsid w:val="279813D9"/>
    <w:rsid w:val="27987D44"/>
    <w:rsid w:val="279A7D67"/>
    <w:rsid w:val="279C59BB"/>
    <w:rsid w:val="279D1605"/>
    <w:rsid w:val="279D7857"/>
    <w:rsid w:val="279F743C"/>
    <w:rsid w:val="27A02EA3"/>
    <w:rsid w:val="27A110F5"/>
    <w:rsid w:val="27A75FE0"/>
    <w:rsid w:val="27AA02DA"/>
    <w:rsid w:val="27AA5AD0"/>
    <w:rsid w:val="27AB2EB7"/>
    <w:rsid w:val="27AB3D22"/>
    <w:rsid w:val="27AE050D"/>
    <w:rsid w:val="27AE55C0"/>
    <w:rsid w:val="27B01338"/>
    <w:rsid w:val="27B32BD6"/>
    <w:rsid w:val="27B34984"/>
    <w:rsid w:val="27B506FD"/>
    <w:rsid w:val="27B70919"/>
    <w:rsid w:val="27B801ED"/>
    <w:rsid w:val="27B84691"/>
    <w:rsid w:val="27BA55A2"/>
    <w:rsid w:val="27BA6BDA"/>
    <w:rsid w:val="27BB1A8B"/>
    <w:rsid w:val="27BB7CDD"/>
    <w:rsid w:val="27BD5803"/>
    <w:rsid w:val="27BE63B6"/>
    <w:rsid w:val="27C070A1"/>
    <w:rsid w:val="27C13545"/>
    <w:rsid w:val="27C2106B"/>
    <w:rsid w:val="27C46B92"/>
    <w:rsid w:val="27C941A8"/>
    <w:rsid w:val="27CC1EEA"/>
    <w:rsid w:val="27D36DD5"/>
    <w:rsid w:val="27D50D9F"/>
    <w:rsid w:val="27D52B4D"/>
    <w:rsid w:val="27D6404B"/>
    <w:rsid w:val="27D65C52"/>
    <w:rsid w:val="27D671E5"/>
    <w:rsid w:val="27D77EAD"/>
    <w:rsid w:val="27DC037F"/>
    <w:rsid w:val="27DC212D"/>
    <w:rsid w:val="27DF5779"/>
    <w:rsid w:val="27E2526A"/>
    <w:rsid w:val="27E47234"/>
    <w:rsid w:val="27E47572"/>
    <w:rsid w:val="27E514A2"/>
    <w:rsid w:val="27E56B08"/>
    <w:rsid w:val="27E601D4"/>
    <w:rsid w:val="27E72880"/>
    <w:rsid w:val="27E86D24"/>
    <w:rsid w:val="27E9484A"/>
    <w:rsid w:val="27EA62CF"/>
    <w:rsid w:val="27EC60E8"/>
    <w:rsid w:val="27ED7E7D"/>
    <w:rsid w:val="27EE00B2"/>
    <w:rsid w:val="27F136FF"/>
    <w:rsid w:val="27F154AD"/>
    <w:rsid w:val="27F2659C"/>
    <w:rsid w:val="27F31225"/>
    <w:rsid w:val="27F751B9"/>
    <w:rsid w:val="27F97F06"/>
    <w:rsid w:val="27FE6547"/>
    <w:rsid w:val="27FE7286"/>
    <w:rsid w:val="28007EDF"/>
    <w:rsid w:val="2802590C"/>
    <w:rsid w:val="28043432"/>
    <w:rsid w:val="28046D14"/>
    <w:rsid w:val="28060F58"/>
    <w:rsid w:val="280746CD"/>
    <w:rsid w:val="28074CD0"/>
    <w:rsid w:val="28081174"/>
    <w:rsid w:val="28094EEC"/>
    <w:rsid w:val="280A3E3D"/>
    <w:rsid w:val="280A7ACB"/>
    <w:rsid w:val="280D0539"/>
    <w:rsid w:val="280D678A"/>
    <w:rsid w:val="28126FC4"/>
    <w:rsid w:val="28133675"/>
    <w:rsid w:val="28135FC7"/>
    <w:rsid w:val="28137B19"/>
    <w:rsid w:val="28164F13"/>
    <w:rsid w:val="281A2C55"/>
    <w:rsid w:val="281C077C"/>
    <w:rsid w:val="281D1782"/>
    <w:rsid w:val="281D2987"/>
    <w:rsid w:val="28211030"/>
    <w:rsid w:val="282615FA"/>
    <w:rsid w:val="282835C4"/>
    <w:rsid w:val="2829733C"/>
    <w:rsid w:val="282B4E63"/>
    <w:rsid w:val="282B6FF3"/>
    <w:rsid w:val="282C23A1"/>
    <w:rsid w:val="28331A56"/>
    <w:rsid w:val="2835183D"/>
    <w:rsid w:val="28373807"/>
    <w:rsid w:val="28397580"/>
    <w:rsid w:val="283B1F3C"/>
    <w:rsid w:val="283C0E1E"/>
    <w:rsid w:val="283C2BCC"/>
    <w:rsid w:val="283F1B00"/>
    <w:rsid w:val="283F26BC"/>
    <w:rsid w:val="284303FE"/>
    <w:rsid w:val="28447ADD"/>
    <w:rsid w:val="28447CD2"/>
    <w:rsid w:val="284877C3"/>
    <w:rsid w:val="2849613B"/>
    <w:rsid w:val="28497097"/>
    <w:rsid w:val="284A74CB"/>
    <w:rsid w:val="284B0E9E"/>
    <w:rsid w:val="284B1061"/>
    <w:rsid w:val="284D302B"/>
    <w:rsid w:val="284E0B51"/>
    <w:rsid w:val="28500425"/>
    <w:rsid w:val="285142BB"/>
    <w:rsid w:val="2852419D"/>
    <w:rsid w:val="28550131"/>
    <w:rsid w:val="28584889"/>
    <w:rsid w:val="28592069"/>
    <w:rsid w:val="28593831"/>
    <w:rsid w:val="28594428"/>
    <w:rsid w:val="285945DE"/>
    <w:rsid w:val="285A34C6"/>
    <w:rsid w:val="285A547F"/>
    <w:rsid w:val="285C14C0"/>
    <w:rsid w:val="285C326E"/>
    <w:rsid w:val="285C7ADA"/>
    <w:rsid w:val="285D7433"/>
    <w:rsid w:val="285F2031"/>
    <w:rsid w:val="285F4B0C"/>
    <w:rsid w:val="286640ED"/>
    <w:rsid w:val="28682A42"/>
    <w:rsid w:val="286A22CA"/>
    <w:rsid w:val="286B1703"/>
    <w:rsid w:val="286B3A91"/>
    <w:rsid w:val="286E6460"/>
    <w:rsid w:val="286E6AFD"/>
    <w:rsid w:val="286E7764"/>
    <w:rsid w:val="28706D19"/>
    <w:rsid w:val="28722A91"/>
    <w:rsid w:val="2874680A"/>
    <w:rsid w:val="28760D0C"/>
    <w:rsid w:val="28763103"/>
    <w:rsid w:val="287700A8"/>
    <w:rsid w:val="28786C91"/>
    <w:rsid w:val="287B6793"/>
    <w:rsid w:val="287C29F4"/>
    <w:rsid w:val="287E3CFF"/>
    <w:rsid w:val="287E4F92"/>
    <w:rsid w:val="28810F26"/>
    <w:rsid w:val="2882673C"/>
    <w:rsid w:val="288528F2"/>
    <w:rsid w:val="288647E3"/>
    <w:rsid w:val="28870877"/>
    <w:rsid w:val="288A1B89"/>
    <w:rsid w:val="288B5901"/>
    <w:rsid w:val="288E455E"/>
    <w:rsid w:val="288E79DA"/>
    <w:rsid w:val="28916E8B"/>
    <w:rsid w:val="2892056A"/>
    <w:rsid w:val="28927A2A"/>
    <w:rsid w:val="28953E01"/>
    <w:rsid w:val="2897177B"/>
    <w:rsid w:val="289724F8"/>
    <w:rsid w:val="2899001E"/>
    <w:rsid w:val="28996270"/>
    <w:rsid w:val="289A5E4A"/>
    <w:rsid w:val="289C690F"/>
    <w:rsid w:val="289E5635"/>
    <w:rsid w:val="28A16ED3"/>
    <w:rsid w:val="28A17DCD"/>
    <w:rsid w:val="28A340B7"/>
    <w:rsid w:val="28A54C15"/>
    <w:rsid w:val="28A644E9"/>
    <w:rsid w:val="28A670CE"/>
    <w:rsid w:val="28A8200F"/>
    <w:rsid w:val="28A963B4"/>
    <w:rsid w:val="28A97BE5"/>
    <w:rsid w:val="28AA5A71"/>
    <w:rsid w:val="28AB7D51"/>
    <w:rsid w:val="28AD1821"/>
    <w:rsid w:val="28AD3ACA"/>
    <w:rsid w:val="28B20A50"/>
    <w:rsid w:val="28B27332"/>
    <w:rsid w:val="28B430AA"/>
    <w:rsid w:val="28B5297E"/>
    <w:rsid w:val="28B9246E"/>
    <w:rsid w:val="28B94EF1"/>
    <w:rsid w:val="28BA3148"/>
    <w:rsid w:val="28BB13DD"/>
    <w:rsid w:val="28BC38B0"/>
    <w:rsid w:val="28BE5CD7"/>
    <w:rsid w:val="28C36E49"/>
    <w:rsid w:val="28C50E13"/>
    <w:rsid w:val="28C606E7"/>
    <w:rsid w:val="28C76B60"/>
    <w:rsid w:val="28CA467C"/>
    <w:rsid w:val="28CB65FE"/>
    <w:rsid w:val="28CD1A76"/>
    <w:rsid w:val="28CD2D8F"/>
    <w:rsid w:val="28CD7CC8"/>
    <w:rsid w:val="28D0506B"/>
    <w:rsid w:val="28D42E04"/>
    <w:rsid w:val="28D70B46"/>
    <w:rsid w:val="28DC43AF"/>
    <w:rsid w:val="28DC7F0B"/>
    <w:rsid w:val="28E079FB"/>
    <w:rsid w:val="28E31299"/>
    <w:rsid w:val="28E65763"/>
    <w:rsid w:val="28E76FDC"/>
    <w:rsid w:val="28EA087A"/>
    <w:rsid w:val="28EA2628"/>
    <w:rsid w:val="28EA3406"/>
    <w:rsid w:val="28EC1C18"/>
    <w:rsid w:val="28EC2138"/>
    <w:rsid w:val="28EC7A64"/>
    <w:rsid w:val="28ED036A"/>
    <w:rsid w:val="28EF5E90"/>
    <w:rsid w:val="28F006E3"/>
    <w:rsid w:val="28F2772E"/>
    <w:rsid w:val="28F434A6"/>
    <w:rsid w:val="28F45255"/>
    <w:rsid w:val="28F60FCD"/>
    <w:rsid w:val="28F82606"/>
    <w:rsid w:val="28F956C2"/>
    <w:rsid w:val="28FB3BF9"/>
    <w:rsid w:val="28FC05AD"/>
    <w:rsid w:val="28FC779B"/>
    <w:rsid w:val="28FE56C5"/>
    <w:rsid w:val="28FF2441"/>
    <w:rsid w:val="28FF7AE3"/>
    <w:rsid w:val="2900009D"/>
    <w:rsid w:val="29023E15"/>
    <w:rsid w:val="29054D63"/>
    <w:rsid w:val="29057462"/>
    <w:rsid w:val="29064F88"/>
    <w:rsid w:val="29070055"/>
    <w:rsid w:val="290C07F0"/>
    <w:rsid w:val="29121B7F"/>
    <w:rsid w:val="2912753F"/>
    <w:rsid w:val="29143B49"/>
    <w:rsid w:val="291713AF"/>
    <w:rsid w:val="291E49C7"/>
    <w:rsid w:val="291F1B43"/>
    <w:rsid w:val="2920429C"/>
    <w:rsid w:val="2920604A"/>
    <w:rsid w:val="29225DAD"/>
    <w:rsid w:val="29231FDE"/>
    <w:rsid w:val="29264824"/>
    <w:rsid w:val="292662AB"/>
    <w:rsid w:val="29286271"/>
    <w:rsid w:val="292875F4"/>
    <w:rsid w:val="292C6990"/>
    <w:rsid w:val="292D69B8"/>
    <w:rsid w:val="292F44DF"/>
    <w:rsid w:val="29322763"/>
    <w:rsid w:val="29341449"/>
    <w:rsid w:val="2934401A"/>
    <w:rsid w:val="29346369"/>
    <w:rsid w:val="2936586D"/>
    <w:rsid w:val="2939710B"/>
    <w:rsid w:val="29404F3C"/>
    <w:rsid w:val="294066EC"/>
    <w:rsid w:val="294206B6"/>
    <w:rsid w:val="2943145A"/>
    <w:rsid w:val="294340FA"/>
    <w:rsid w:val="29437F8A"/>
    <w:rsid w:val="29442B98"/>
    <w:rsid w:val="2944442E"/>
    <w:rsid w:val="29453D02"/>
    <w:rsid w:val="29474CAF"/>
    <w:rsid w:val="29483920"/>
    <w:rsid w:val="294A6C02"/>
    <w:rsid w:val="294A756A"/>
    <w:rsid w:val="294C4ACB"/>
    <w:rsid w:val="294D3419"/>
    <w:rsid w:val="294D3731"/>
    <w:rsid w:val="29567CBD"/>
    <w:rsid w:val="295959FF"/>
    <w:rsid w:val="295C2DFA"/>
    <w:rsid w:val="295E4FF8"/>
    <w:rsid w:val="296028EA"/>
    <w:rsid w:val="29642175"/>
    <w:rsid w:val="2964687E"/>
    <w:rsid w:val="29657F00"/>
    <w:rsid w:val="29671ECA"/>
    <w:rsid w:val="29693E94"/>
    <w:rsid w:val="296A5517"/>
    <w:rsid w:val="296D5007"/>
    <w:rsid w:val="296E3259"/>
    <w:rsid w:val="29702DE9"/>
    <w:rsid w:val="29714AF7"/>
    <w:rsid w:val="29732D2E"/>
    <w:rsid w:val="29746395"/>
    <w:rsid w:val="29752839"/>
    <w:rsid w:val="29753FA3"/>
    <w:rsid w:val="29785E86"/>
    <w:rsid w:val="29787C34"/>
    <w:rsid w:val="297A7E50"/>
    <w:rsid w:val="297B3247"/>
    <w:rsid w:val="297C23E4"/>
    <w:rsid w:val="297D16EE"/>
    <w:rsid w:val="297D524A"/>
    <w:rsid w:val="297E06D5"/>
    <w:rsid w:val="297E0FC2"/>
    <w:rsid w:val="297E535E"/>
    <w:rsid w:val="298365D8"/>
    <w:rsid w:val="29842A7C"/>
    <w:rsid w:val="298805BC"/>
    <w:rsid w:val="29883BEF"/>
    <w:rsid w:val="298C1931"/>
    <w:rsid w:val="298C387C"/>
    <w:rsid w:val="298F31CF"/>
    <w:rsid w:val="2992393F"/>
    <w:rsid w:val="29932EFB"/>
    <w:rsid w:val="29942D28"/>
    <w:rsid w:val="29955A56"/>
    <w:rsid w:val="29967194"/>
    <w:rsid w:val="29995DFC"/>
    <w:rsid w:val="2999784A"/>
    <w:rsid w:val="299B4658"/>
    <w:rsid w:val="299B568F"/>
    <w:rsid w:val="299C2A61"/>
    <w:rsid w:val="299C33C3"/>
    <w:rsid w:val="299D769A"/>
    <w:rsid w:val="299F1664"/>
    <w:rsid w:val="29A43E7B"/>
    <w:rsid w:val="29A808AE"/>
    <w:rsid w:val="29A97B01"/>
    <w:rsid w:val="29A97BA0"/>
    <w:rsid w:val="29AA1DB7"/>
    <w:rsid w:val="29B00D10"/>
    <w:rsid w:val="29B11398"/>
    <w:rsid w:val="29B20617"/>
    <w:rsid w:val="29B449E4"/>
    <w:rsid w:val="29B50FF4"/>
    <w:rsid w:val="29B622FF"/>
    <w:rsid w:val="29B66771"/>
    <w:rsid w:val="29B816E7"/>
    <w:rsid w:val="29B844D4"/>
    <w:rsid w:val="29BA649E"/>
    <w:rsid w:val="29BB2501"/>
    <w:rsid w:val="29BC052C"/>
    <w:rsid w:val="29BD31B6"/>
    <w:rsid w:val="29C037A2"/>
    <w:rsid w:val="29C0782D"/>
    <w:rsid w:val="29C1545F"/>
    <w:rsid w:val="29C4731D"/>
    <w:rsid w:val="29C70BBB"/>
    <w:rsid w:val="29CA2F90"/>
    <w:rsid w:val="29CA4207"/>
    <w:rsid w:val="29CB14D9"/>
    <w:rsid w:val="29CB58F0"/>
    <w:rsid w:val="29CE019B"/>
    <w:rsid w:val="29D0195B"/>
    <w:rsid w:val="29D05CC2"/>
    <w:rsid w:val="29D137E8"/>
    <w:rsid w:val="29D47B24"/>
    <w:rsid w:val="29D55086"/>
    <w:rsid w:val="29D62BAC"/>
    <w:rsid w:val="29DB01C2"/>
    <w:rsid w:val="29DB6414"/>
    <w:rsid w:val="29DC1ECD"/>
    <w:rsid w:val="29DC2F7B"/>
    <w:rsid w:val="29DD34AB"/>
    <w:rsid w:val="29DD577D"/>
    <w:rsid w:val="29E03A2B"/>
    <w:rsid w:val="29E11C7D"/>
    <w:rsid w:val="29E277A3"/>
    <w:rsid w:val="29E31E8F"/>
    <w:rsid w:val="29E43BB8"/>
    <w:rsid w:val="29E467B7"/>
    <w:rsid w:val="29E52474"/>
    <w:rsid w:val="29E7300B"/>
    <w:rsid w:val="29EC23D0"/>
    <w:rsid w:val="29EE3376"/>
    <w:rsid w:val="29F23E8A"/>
    <w:rsid w:val="29F41202"/>
    <w:rsid w:val="29F55167"/>
    <w:rsid w:val="29F55728"/>
    <w:rsid w:val="29F714A0"/>
    <w:rsid w:val="29FA6504"/>
    <w:rsid w:val="29FA689B"/>
    <w:rsid w:val="29FF3CC3"/>
    <w:rsid w:val="2A0061A4"/>
    <w:rsid w:val="2A01508C"/>
    <w:rsid w:val="2A0239A1"/>
    <w:rsid w:val="2A047719"/>
    <w:rsid w:val="2A0B2ECD"/>
    <w:rsid w:val="2A0B31D8"/>
    <w:rsid w:val="2A0C65CE"/>
    <w:rsid w:val="2A0E120D"/>
    <w:rsid w:val="2A0F1D05"/>
    <w:rsid w:val="2A1123B6"/>
    <w:rsid w:val="2A1132FB"/>
    <w:rsid w:val="2A154580"/>
    <w:rsid w:val="2A16744D"/>
    <w:rsid w:val="2A1831C5"/>
    <w:rsid w:val="2A1A0CEB"/>
    <w:rsid w:val="2A1C40C0"/>
    <w:rsid w:val="2A1D4E1F"/>
    <w:rsid w:val="2A1D6A2D"/>
    <w:rsid w:val="2A1E1CDB"/>
    <w:rsid w:val="2A202079"/>
    <w:rsid w:val="2A21651D"/>
    <w:rsid w:val="2A217CD3"/>
    <w:rsid w:val="2A224043"/>
    <w:rsid w:val="2A225DF1"/>
    <w:rsid w:val="2A2322AC"/>
    <w:rsid w:val="2A245B38"/>
    <w:rsid w:val="2A247DBB"/>
    <w:rsid w:val="2A257690"/>
    <w:rsid w:val="2A261D85"/>
    <w:rsid w:val="2A2658E2"/>
    <w:rsid w:val="2A297180"/>
    <w:rsid w:val="2A2A36FF"/>
    <w:rsid w:val="2A2A637C"/>
    <w:rsid w:val="2A2B2EF8"/>
    <w:rsid w:val="2A2E0C3A"/>
    <w:rsid w:val="2A2F792E"/>
    <w:rsid w:val="2A307D13"/>
    <w:rsid w:val="2A3120B8"/>
    <w:rsid w:val="2A3A57AB"/>
    <w:rsid w:val="2A425534"/>
    <w:rsid w:val="2A426494"/>
    <w:rsid w:val="2A457487"/>
    <w:rsid w:val="2A46613C"/>
    <w:rsid w:val="2A471763"/>
    <w:rsid w:val="2A477C27"/>
    <w:rsid w:val="2A495A74"/>
    <w:rsid w:val="2A4B5348"/>
    <w:rsid w:val="2A4C2E6E"/>
    <w:rsid w:val="2A4F6F0B"/>
    <w:rsid w:val="2A540BE3"/>
    <w:rsid w:val="2A554419"/>
    <w:rsid w:val="2A5B183F"/>
    <w:rsid w:val="2A5B7B7F"/>
    <w:rsid w:val="2A5F29FA"/>
    <w:rsid w:val="2A5F2BA2"/>
    <w:rsid w:val="2A612DBE"/>
    <w:rsid w:val="2A6401B8"/>
    <w:rsid w:val="2A642E9C"/>
    <w:rsid w:val="2A65526E"/>
    <w:rsid w:val="2A66642C"/>
    <w:rsid w:val="2A673E21"/>
    <w:rsid w:val="2A6B7798"/>
    <w:rsid w:val="2A6D3510"/>
    <w:rsid w:val="2A6D6825"/>
    <w:rsid w:val="2A6E5785"/>
    <w:rsid w:val="2A6E7CB5"/>
    <w:rsid w:val="2A6F1145"/>
    <w:rsid w:val="2A716636"/>
    <w:rsid w:val="2A7228D5"/>
    <w:rsid w:val="2A7368EC"/>
    <w:rsid w:val="2A74164B"/>
    <w:rsid w:val="2A7523C5"/>
    <w:rsid w:val="2A7E1E12"/>
    <w:rsid w:val="2A7E3970"/>
    <w:rsid w:val="2A7F27ED"/>
    <w:rsid w:val="2A830F86"/>
    <w:rsid w:val="2A831447"/>
    <w:rsid w:val="2A834AE2"/>
    <w:rsid w:val="2A84085A"/>
    <w:rsid w:val="2A88342D"/>
    <w:rsid w:val="2A895E70"/>
    <w:rsid w:val="2A8B1BE9"/>
    <w:rsid w:val="2A8B2BB1"/>
    <w:rsid w:val="2A8B3EBB"/>
    <w:rsid w:val="2A8C6823"/>
    <w:rsid w:val="2A8D0C3E"/>
    <w:rsid w:val="2A9419D0"/>
    <w:rsid w:val="2A950CB9"/>
    <w:rsid w:val="2A9830B5"/>
    <w:rsid w:val="2A994305"/>
    <w:rsid w:val="2A9A1E2C"/>
    <w:rsid w:val="2A9A7ED0"/>
    <w:rsid w:val="2A9E191C"/>
    <w:rsid w:val="2A9F7442"/>
    <w:rsid w:val="2AA1140C"/>
    <w:rsid w:val="2AA64C74"/>
    <w:rsid w:val="2AA82CC7"/>
    <w:rsid w:val="2AA91E72"/>
    <w:rsid w:val="2AAB1292"/>
    <w:rsid w:val="2AAF18B0"/>
    <w:rsid w:val="2AAF1C1B"/>
    <w:rsid w:val="2AB23619"/>
    <w:rsid w:val="2AB32E89"/>
    <w:rsid w:val="2AB4113F"/>
    <w:rsid w:val="2AB63F7C"/>
    <w:rsid w:val="2AB73A3B"/>
    <w:rsid w:val="2AB84DE6"/>
    <w:rsid w:val="2AB96756"/>
    <w:rsid w:val="2ABA427C"/>
    <w:rsid w:val="2ABC1DA2"/>
    <w:rsid w:val="2ABD4ACF"/>
    <w:rsid w:val="2ABE32E0"/>
    <w:rsid w:val="2ABF5EE4"/>
    <w:rsid w:val="2AC11AAE"/>
    <w:rsid w:val="2AC234BF"/>
    <w:rsid w:val="2AC31382"/>
    <w:rsid w:val="2AC84BEB"/>
    <w:rsid w:val="2ACB46DB"/>
    <w:rsid w:val="2ACD5C73"/>
    <w:rsid w:val="2ACF5A64"/>
    <w:rsid w:val="2AD03A9F"/>
    <w:rsid w:val="2AD0640E"/>
    <w:rsid w:val="2AD30FDE"/>
    <w:rsid w:val="2AD43590"/>
    <w:rsid w:val="2AD4533E"/>
    <w:rsid w:val="2ADC686D"/>
    <w:rsid w:val="2AE65071"/>
    <w:rsid w:val="2AE82B97"/>
    <w:rsid w:val="2AEB08D9"/>
    <w:rsid w:val="2AEF3F25"/>
    <w:rsid w:val="2AEF4C89"/>
    <w:rsid w:val="2AF459E0"/>
    <w:rsid w:val="2AF61758"/>
    <w:rsid w:val="2AF92FF6"/>
    <w:rsid w:val="2AF9465D"/>
    <w:rsid w:val="2AFA0438"/>
    <w:rsid w:val="2AFC0188"/>
    <w:rsid w:val="2AFD108B"/>
    <w:rsid w:val="2B0025D7"/>
    <w:rsid w:val="2B004385"/>
    <w:rsid w:val="2B050473"/>
    <w:rsid w:val="2B053749"/>
    <w:rsid w:val="2B057BED"/>
    <w:rsid w:val="2B073965"/>
    <w:rsid w:val="2B075F1F"/>
    <w:rsid w:val="2B090037"/>
    <w:rsid w:val="2B0A7301"/>
    <w:rsid w:val="2B0B2D29"/>
    <w:rsid w:val="2B0D6AA1"/>
    <w:rsid w:val="2B141BDE"/>
    <w:rsid w:val="2B193698"/>
    <w:rsid w:val="2B1B2449"/>
    <w:rsid w:val="2B1C6CE5"/>
    <w:rsid w:val="2B1E0CAF"/>
    <w:rsid w:val="2B204A27"/>
    <w:rsid w:val="2B237A89"/>
    <w:rsid w:val="2B243C3F"/>
    <w:rsid w:val="2B261911"/>
    <w:rsid w:val="2B275BD3"/>
    <w:rsid w:val="2B287437"/>
    <w:rsid w:val="2B2924BB"/>
    <w:rsid w:val="2B2F07C6"/>
    <w:rsid w:val="2B2F6A18"/>
    <w:rsid w:val="2B30453E"/>
    <w:rsid w:val="2B33613E"/>
    <w:rsid w:val="2B360FEB"/>
    <w:rsid w:val="2B3A42EF"/>
    <w:rsid w:val="2B3A68C0"/>
    <w:rsid w:val="2B3B716B"/>
    <w:rsid w:val="2B3D05D8"/>
    <w:rsid w:val="2B3D54A9"/>
    <w:rsid w:val="2B41088E"/>
    <w:rsid w:val="2B411C15"/>
    <w:rsid w:val="2B45623B"/>
    <w:rsid w:val="2B457FE9"/>
    <w:rsid w:val="2B485D2C"/>
    <w:rsid w:val="2B4917E2"/>
    <w:rsid w:val="2B4B42FF"/>
    <w:rsid w:val="2B4C75CA"/>
    <w:rsid w:val="2B4D4859"/>
    <w:rsid w:val="2B4D4A0F"/>
    <w:rsid w:val="2B4E46A4"/>
    <w:rsid w:val="2B512E32"/>
    <w:rsid w:val="2B522706"/>
    <w:rsid w:val="2B554F4D"/>
    <w:rsid w:val="2B581320"/>
    <w:rsid w:val="2B591CE7"/>
    <w:rsid w:val="2B593A95"/>
    <w:rsid w:val="2B647605"/>
    <w:rsid w:val="2B680D44"/>
    <w:rsid w:val="2B695D53"/>
    <w:rsid w:val="2B6C1A1A"/>
    <w:rsid w:val="2B6C37C8"/>
    <w:rsid w:val="2B6D12EE"/>
    <w:rsid w:val="2B6F150A"/>
    <w:rsid w:val="2B6F32B8"/>
    <w:rsid w:val="2B715282"/>
    <w:rsid w:val="2B74267D"/>
    <w:rsid w:val="2B762899"/>
    <w:rsid w:val="2B7670AA"/>
    <w:rsid w:val="2B7679E1"/>
    <w:rsid w:val="2B77216D"/>
    <w:rsid w:val="2B774C09"/>
    <w:rsid w:val="2B794137"/>
    <w:rsid w:val="2B796202"/>
    <w:rsid w:val="2B7A2802"/>
    <w:rsid w:val="2B7A3071"/>
    <w:rsid w:val="2B7A4B5A"/>
    <w:rsid w:val="2B7B1C5D"/>
    <w:rsid w:val="2B7B1F76"/>
    <w:rsid w:val="2B7D2358"/>
    <w:rsid w:val="2B7D3C27"/>
    <w:rsid w:val="2B7D59D5"/>
    <w:rsid w:val="2B7E174D"/>
    <w:rsid w:val="2B7F4745"/>
    <w:rsid w:val="2B800109"/>
    <w:rsid w:val="2B801021"/>
    <w:rsid w:val="2B804C92"/>
    <w:rsid w:val="2B810F20"/>
    <w:rsid w:val="2B833DC9"/>
    <w:rsid w:val="2B8A00F2"/>
    <w:rsid w:val="2B9351F9"/>
    <w:rsid w:val="2B936FA7"/>
    <w:rsid w:val="2B940F71"/>
    <w:rsid w:val="2B951507"/>
    <w:rsid w:val="2B952789"/>
    <w:rsid w:val="2B966A97"/>
    <w:rsid w:val="2B992203"/>
    <w:rsid w:val="2B996587"/>
    <w:rsid w:val="2B9B22FF"/>
    <w:rsid w:val="2B9D28FD"/>
    <w:rsid w:val="2B9D6077"/>
    <w:rsid w:val="2B9F3B9D"/>
    <w:rsid w:val="2B9F433F"/>
    <w:rsid w:val="2BA03472"/>
    <w:rsid w:val="2BA04E22"/>
    <w:rsid w:val="2BA07916"/>
    <w:rsid w:val="2BA2368E"/>
    <w:rsid w:val="2BA271EA"/>
    <w:rsid w:val="2BA41F0E"/>
    <w:rsid w:val="2BA90F35"/>
    <w:rsid w:val="2BAA3BCD"/>
    <w:rsid w:val="2BAA42F0"/>
    <w:rsid w:val="2BAA609E"/>
    <w:rsid w:val="2BAC1E16"/>
    <w:rsid w:val="2BAE2033"/>
    <w:rsid w:val="2BAE3DE1"/>
    <w:rsid w:val="2BAF13B9"/>
    <w:rsid w:val="2BB05DAB"/>
    <w:rsid w:val="2BB313F7"/>
    <w:rsid w:val="2BB34E5E"/>
    <w:rsid w:val="2BB52C1D"/>
    <w:rsid w:val="2BB63A38"/>
    <w:rsid w:val="2BB67139"/>
    <w:rsid w:val="2BB76C46"/>
    <w:rsid w:val="2BBB474F"/>
    <w:rsid w:val="2BBD2AB3"/>
    <w:rsid w:val="2BBE50F8"/>
    <w:rsid w:val="2BBF67BB"/>
    <w:rsid w:val="2BC03B14"/>
    <w:rsid w:val="2BC058C2"/>
    <w:rsid w:val="2BC17B4B"/>
    <w:rsid w:val="2BC25ADE"/>
    <w:rsid w:val="2BC30558"/>
    <w:rsid w:val="2BC35D84"/>
    <w:rsid w:val="2BC35FF1"/>
    <w:rsid w:val="2BC52ED8"/>
    <w:rsid w:val="2BC628A0"/>
    <w:rsid w:val="2BC929C8"/>
    <w:rsid w:val="2BCC795A"/>
    <w:rsid w:val="2BCE7FDF"/>
    <w:rsid w:val="2BD3004D"/>
    <w:rsid w:val="2BD433DE"/>
    <w:rsid w:val="2BD575BF"/>
    <w:rsid w:val="2BD6095F"/>
    <w:rsid w:val="2BD61589"/>
    <w:rsid w:val="2BD82C0B"/>
    <w:rsid w:val="2BDE3F9A"/>
    <w:rsid w:val="2BDE4841"/>
    <w:rsid w:val="2BDF11C1"/>
    <w:rsid w:val="2BDF3096"/>
    <w:rsid w:val="2BDF3D58"/>
    <w:rsid w:val="2BE23A8A"/>
    <w:rsid w:val="2BE617CC"/>
    <w:rsid w:val="2BE61F32"/>
    <w:rsid w:val="2BE76212"/>
    <w:rsid w:val="2BE772F2"/>
    <w:rsid w:val="2BE8610E"/>
    <w:rsid w:val="2BE94E19"/>
    <w:rsid w:val="2BEB6DE3"/>
    <w:rsid w:val="2BEF7F55"/>
    <w:rsid w:val="2BF10171"/>
    <w:rsid w:val="2BF11F1F"/>
    <w:rsid w:val="2BF66346"/>
    <w:rsid w:val="2BF67536"/>
    <w:rsid w:val="2BF74EFF"/>
    <w:rsid w:val="2BFA0DD4"/>
    <w:rsid w:val="2BFA0FFC"/>
    <w:rsid w:val="2BFA5278"/>
    <w:rsid w:val="2BFC0FF0"/>
    <w:rsid w:val="2BFF288E"/>
    <w:rsid w:val="2C027C88"/>
    <w:rsid w:val="2C046685"/>
    <w:rsid w:val="2C047EA4"/>
    <w:rsid w:val="2C05431D"/>
    <w:rsid w:val="2C06699A"/>
    <w:rsid w:val="2C0C6D59"/>
    <w:rsid w:val="2C0E0D23"/>
    <w:rsid w:val="2C153E60"/>
    <w:rsid w:val="2C1764C2"/>
    <w:rsid w:val="2C1C547E"/>
    <w:rsid w:val="2C1D0F66"/>
    <w:rsid w:val="2C1F4CDE"/>
    <w:rsid w:val="2C2406CB"/>
    <w:rsid w:val="2C245E51"/>
    <w:rsid w:val="2C267E1B"/>
    <w:rsid w:val="2C2722A8"/>
    <w:rsid w:val="2C273B93"/>
    <w:rsid w:val="2C275941"/>
    <w:rsid w:val="2C2C547F"/>
    <w:rsid w:val="2C351E0C"/>
    <w:rsid w:val="2C3F0EDD"/>
    <w:rsid w:val="2C46226B"/>
    <w:rsid w:val="2C482942"/>
    <w:rsid w:val="2C4B5AD3"/>
    <w:rsid w:val="2C4E6B71"/>
    <w:rsid w:val="2C504E98"/>
    <w:rsid w:val="2C506C46"/>
    <w:rsid w:val="2C515396"/>
    <w:rsid w:val="2C51752B"/>
    <w:rsid w:val="2C532592"/>
    <w:rsid w:val="2C536736"/>
    <w:rsid w:val="2C564EB8"/>
    <w:rsid w:val="2C576226"/>
    <w:rsid w:val="2C57694A"/>
    <w:rsid w:val="2C5D5807"/>
    <w:rsid w:val="2C5D5C2F"/>
    <w:rsid w:val="2C5D75B5"/>
    <w:rsid w:val="2C640943"/>
    <w:rsid w:val="2C641705"/>
    <w:rsid w:val="2C64684A"/>
    <w:rsid w:val="2C656B6A"/>
    <w:rsid w:val="2C6721E1"/>
    <w:rsid w:val="2C680433"/>
    <w:rsid w:val="2C6C77F8"/>
    <w:rsid w:val="2C6D55CB"/>
    <w:rsid w:val="2C6E4EA1"/>
    <w:rsid w:val="2C700266"/>
    <w:rsid w:val="2C7072E8"/>
    <w:rsid w:val="2C7176F9"/>
    <w:rsid w:val="2C7212B2"/>
    <w:rsid w:val="2C723060"/>
    <w:rsid w:val="2C730B86"/>
    <w:rsid w:val="2C740BB5"/>
    <w:rsid w:val="2C7548FE"/>
    <w:rsid w:val="2C7A0167"/>
    <w:rsid w:val="2C7A1F15"/>
    <w:rsid w:val="2C7C1ECE"/>
    <w:rsid w:val="2C7D30AC"/>
    <w:rsid w:val="2C7D37B3"/>
    <w:rsid w:val="2C7F01E4"/>
    <w:rsid w:val="2C7F752B"/>
    <w:rsid w:val="2C803D54"/>
    <w:rsid w:val="2C8148F3"/>
    <w:rsid w:val="2C82701B"/>
    <w:rsid w:val="2C840727"/>
    <w:rsid w:val="2C840FE5"/>
    <w:rsid w:val="2C853793"/>
    <w:rsid w:val="2C862667"/>
    <w:rsid w:val="2C8640C1"/>
    <w:rsid w:val="2C8763E0"/>
    <w:rsid w:val="2C892158"/>
    <w:rsid w:val="2C8B5ED0"/>
    <w:rsid w:val="2C8C6BA8"/>
    <w:rsid w:val="2C8D1C48"/>
    <w:rsid w:val="2C925235"/>
    <w:rsid w:val="2C942F95"/>
    <w:rsid w:val="2C9B2839"/>
    <w:rsid w:val="2C9C1DF7"/>
    <w:rsid w:val="2C9D0E95"/>
    <w:rsid w:val="2C9E3E55"/>
    <w:rsid w:val="2C9F197B"/>
    <w:rsid w:val="2CA84CD4"/>
    <w:rsid w:val="2CA86A82"/>
    <w:rsid w:val="2CAE7E10"/>
    <w:rsid w:val="2CB01DDA"/>
    <w:rsid w:val="2CB03B88"/>
    <w:rsid w:val="2CB17636"/>
    <w:rsid w:val="2CB2345D"/>
    <w:rsid w:val="2CB25B52"/>
    <w:rsid w:val="2CB43679"/>
    <w:rsid w:val="2CB4713F"/>
    <w:rsid w:val="2CB73169"/>
    <w:rsid w:val="2CB745C8"/>
    <w:rsid w:val="2CB74F17"/>
    <w:rsid w:val="2CB97AED"/>
    <w:rsid w:val="2CBB4816"/>
    <w:rsid w:val="2CBC252D"/>
    <w:rsid w:val="2CBF5B79"/>
    <w:rsid w:val="2CC118F2"/>
    <w:rsid w:val="2CC15D7F"/>
    <w:rsid w:val="2CC3523C"/>
    <w:rsid w:val="2CC43190"/>
    <w:rsid w:val="2CC47634"/>
    <w:rsid w:val="2CC9735F"/>
    <w:rsid w:val="2CCB6C14"/>
    <w:rsid w:val="2CCE400E"/>
    <w:rsid w:val="2CD63174"/>
    <w:rsid w:val="2CD63BB6"/>
    <w:rsid w:val="2CD7381C"/>
    <w:rsid w:val="2CDD4252"/>
    <w:rsid w:val="2CDE06F5"/>
    <w:rsid w:val="2CE028C6"/>
    <w:rsid w:val="2CE13D42"/>
    <w:rsid w:val="2CE21EEC"/>
    <w:rsid w:val="2CE455E0"/>
    <w:rsid w:val="2CE54F10"/>
    <w:rsid w:val="2CE61358"/>
    <w:rsid w:val="2CE90E48"/>
    <w:rsid w:val="2CEA709A"/>
    <w:rsid w:val="2CEB696E"/>
    <w:rsid w:val="2CEC40B6"/>
    <w:rsid w:val="2CED0939"/>
    <w:rsid w:val="2CED72D0"/>
    <w:rsid w:val="2CEE645F"/>
    <w:rsid w:val="2CF27CFD"/>
    <w:rsid w:val="2CF41CC7"/>
    <w:rsid w:val="2CF4664D"/>
    <w:rsid w:val="2CF47F19"/>
    <w:rsid w:val="2CF63C91"/>
    <w:rsid w:val="2CF70382"/>
    <w:rsid w:val="2CF717B7"/>
    <w:rsid w:val="2CFC6DCE"/>
    <w:rsid w:val="2CFD3A0F"/>
    <w:rsid w:val="2CFD6E2E"/>
    <w:rsid w:val="2CFE2B46"/>
    <w:rsid w:val="2D093BBC"/>
    <w:rsid w:val="2D0B13C9"/>
    <w:rsid w:val="2D0D4B37"/>
    <w:rsid w:val="2D102879"/>
    <w:rsid w:val="2D1144F2"/>
    <w:rsid w:val="2D1244A6"/>
    <w:rsid w:val="2D142369"/>
    <w:rsid w:val="2D191183"/>
    <w:rsid w:val="2D1C121E"/>
    <w:rsid w:val="2D1F071D"/>
    <w:rsid w:val="2D1F486A"/>
    <w:rsid w:val="2D214A86"/>
    <w:rsid w:val="2D235F0E"/>
    <w:rsid w:val="2D241E80"/>
    <w:rsid w:val="2D263E4A"/>
    <w:rsid w:val="2D267460"/>
    <w:rsid w:val="2D270013"/>
    <w:rsid w:val="2D277A7B"/>
    <w:rsid w:val="2D2A09B7"/>
    <w:rsid w:val="2D2D6F87"/>
    <w:rsid w:val="2D306A77"/>
    <w:rsid w:val="2D311100"/>
    <w:rsid w:val="2D3475CB"/>
    <w:rsid w:val="2D366C5C"/>
    <w:rsid w:val="2D3C3092"/>
    <w:rsid w:val="2D3C3AD3"/>
    <w:rsid w:val="2D3C541C"/>
    <w:rsid w:val="2D3D2EDC"/>
    <w:rsid w:val="2D3D63E1"/>
    <w:rsid w:val="2D3E16EE"/>
    <w:rsid w:val="2D3E4EB3"/>
    <w:rsid w:val="2D3E73E6"/>
    <w:rsid w:val="2D40315E"/>
    <w:rsid w:val="2D426ED6"/>
    <w:rsid w:val="2D430559"/>
    <w:rsid w:val="2D460049"/>
    <w:rsid w:val="2D4A18E7"/>
    <w:rsid w:val="2D4A5D90"/>
    <w:rsid w:val="2D4B16D2"/>
    <w:rsid w:val="2D4F15F3"/>
    <w:rsid w:val="2D4F33A1"/>
    <w:rsid w:val="2D4F6EFD"/>
    <w:rsid w:val="2D5108D1"/>
    <w:rsid w:val="2D510EC7"/>
    <w:rsid w:val="2D526987"/>
    <w:rsid w:val="2D55028C"/>
    <w:rsid w:val="2D5704A8"/>
    <w:rsid w:val="2D5B4C0F"/>
    <w:rsid w:val="2D5C5ABE"/>
    <w:rsid w:val="2D5E35E4"/>
    <w:rsid w:val="2D5F68BD"/>
    <w:rsid w:val="2D5F6C3C"/>
    <w:rsid w:val="2D601FD7"/>
    <w:rsid w:val="2D610A81"/>
    <w:rsid w:val="2D6329A9"/>
    <w:rsid w:val="2D652BC5"/>
    <w:rsid w:val="2D66545A"/>
    <w:rsid w:val="2D6730B5"/>
    <w:rsid w:val="2D686211"/>
    <w:rsid w:val="2D6B4704"/>
    <w:rsid w:val="2D6D1BF5"/>
    <w:rsid w:val="2D6D3827"/>
    <w:rsid w:val="2D6D7CCB"/>
    <w:rsid w:val="2D7059A5"/>
    <w:rsid w:val="2D721A06"/>
    <w:rsid w:val="2D746964"/>
    <w:rsid w:val="2D76092E"/>
    <w:rsid w:val="2D7623B6"/>
    <w:rsid w:val="2D764AE5"/>
    <w:rsid w:val="2D781B60"/>
    <w:rsid w:val="2D782F8C"/>
    <w:rsid w:val="2D7921CC"/>
    <w:rsid w:val="2D7D7F0E"/>
    <w:rsid w:val="2D7E5A35"/>
    <w:rsid w:val="2D81006B"/>
    <w:rsid w:val="2D810B55"/>
    <w:rsid w:val="2D84762D"/>
    <w:rsid w:val="2D865FF5"/>
    <w:rsid w:val="2D8C6662"/>
    <w:rsid w:val="2D8F379E"/>
    <w:rsid w:val="2D91320C"/>
    <w:rsid w:val="2D940DB4"/>
    <w:rsid w:val="2D967B74"/>
    <w:rsid w:val="2D983721"/>
    <w:rsid w:val="2D984B62"/>
    <w:rsid w:val="2D986AF6"/>
    <w:rsid w:val="2D9E0A23"/>
    <w:rsid w:val="2D9E60D7"/>
    <w:rsid w:val="2DA07759"/>
    <w:rsid w:val="2DA140C7"/>
    <w:rsid w:val="2DA60AE7"/>
    <w:rsid w:val="2DA84860"/>
    <w:rsid w:val="2DA851EB"/>
    <w:rsid w:val="2DAA0707"/>
    <w:rsid w:val="2DAF2092"/>
    <w:rsid w:val="2DB066EE"/>
    <w:rsid w:val="2DB1558B"/>
    <w:rsid w:val="2DB43204"/>
    <w:rsid w:val="2DB45D05"/>
    <w:rsid w:val="2DB46AA3"/>
    <w:rsid w:val="2DB540D0"/>
    <w:rsid w:val="2DB651CE"/>
    <w:rsid w:val="2DB81EEB"/>
    <w:rsid w:val="2DC07DFB"/>
    <w:rsid w:val="2DC21DC5"/>
    <w:rsid w:val="2DC31151"/>
    <w:rsid w:val="2DC60356"/>
    <w:rsid w:val="2DC84F02"/>
    <w:rsid w:val="2DD00DE9"/>
    <w:rsid w:val="2DD13DB6"/>
    <w:rsid w:val="2DD37B2E"/>
    <w:rsid w:val="2DD41AF8"/>
    <w:rsid w:val="2DD41DEC"/>
    <w:rsid w:val="2DD91A0E"/>
    <w:rsid w:val="2DD9710F"/>
    <w:rsid w:val="2DDB2E87"/>
    <w:rsid w:val="2DDC528E"/>
    <w:rsid w:val="2DDC5444"/>
    <w:rsid w:val="2DDD3C56"/>
    <w:rsid w:val="2DE00074"/>
    <w:rsid w:val="2DE133A7"/>
    <w:rsid w:val="2DE25FC3"/>
    <w:rsid w:val="2DE3765F"/>
    <w:rsid w:val="2DE4512A"/>
    <w:rsid w:val="2DE955A4"/>
    <w:rsid w:val="2DEA131C"/>
    <w:rsid w:val="2DEB4EF4"/>
    <w:rsid w:val="2DED7E3D"/>
    <w:rsid w:val="2DF357BC"/>
    <w:rsid w:val="2DFA0A5A"/>
    <w:rsid w:val="2DFB7085"/>
    <w:rsid w:val="2DFD104F"/>
    <w:rsid w:val="2DFD143F"/>
    <w:rsid w:val="2DFE0923"/>
    <w:rsid w:val="2E0065CE"/>
    <w:rsid w:val="2E051CB2"/>
    <w:rsid w:val="2E0941A6"/>
    <w:rsid w:val="2E0979F4"/>
    <w:rsid w:val="2E0B376C"/>
    <w:rsid w:val="2E0C6363"/>
    <w:rsid w:val="2E0C7AA4"/>
    <w:rsid w:val="2E0F3880"/>
    <w:rsid w:val="2E114AFB"/>
    <w:rsid w:val="2E132621"/>
    <w:rsid w:val="2E175366"/>
    <w:rsid w:val="2E1B14D5"/>
    <w:rsid w:val="2E1B3283"/>
    <w:rsid w:val="2E1B43A2"/>
    <w:rsid w:val="2E1D0A29"/>
    <w:rsid w:val="2E1D6FFC"/>
    <w:rsid w:val="2E216F90"/>
    <w:rsid w:val="2E22004E"/>
    <w:rsid w:val="2E2465DC"/>
    <w:rsid w:val="2E267B1B"/>
    <w:rsid w:val="2E267E7C"/>
    <w:rsid w:val="2E2C36E3"/>
    <w:rsid w:val="2E2D7583"/>
    <w:rsid w:val="2E3031D3"/>
    <w:rsid w:val="2E36630F"/>
    <w:rsid w:val="2E385BE3"/>
    <w:rsid w:val="2E3D31FA"/>
    <w:rsid w:val="2E3D769E"/>
    <w:rsid w:val="2E405189"/>
    <w:rsid w:val="2E431036"/>
    <w:rsid w:val="2E4317F2"/>
    <w:rsid w:val="2E4A062C"/>
    <w:rsid w:val="2E4B55E7"/>
    <w:rsid w:val="2E4C5B33"/>
    <w:rsid w:val="2E4F2F2D"/>
    <w:rsid w:val="2E500215"/>
    <w:rsid w:val="2E505CFA"/>
    <w:rsid w:val="2E526506"/>
    <w:rsid w:val="2E5844D8"/>
    <w:rsid w:val="2E5D564A"/>
    <w:rsid w:val="2E5F7614"/>
    <w:rsid w:val="2E61338C"/>
    <w:rsid w:val="2E642E7B"/>
    <w:rsid w:val="2E652F0D"/>
    <w:rsid w:val="2E6609A2"/>
    <w:rsid w:val="2E666F6E"/>
    <w:rsid w:val="2E6764C9"/>
    <w:rsid w:val="2E692241"/>
    <w:rsid w:val="2E693501"/>
    <w:rsid w:val="2E6B3FAA"/>
    <w:rsid w:val="2E6B420B"/>
    <w:rsid w:val="2E6C3ADF"/>
    <w:rsid w:val="2E6E3D4C"/>
    <w:rsid w:val="2E6E7857"/>
    <w:rsid w:val="2E731311"/>
    <w:rsid w:val="2E7503D3"/>
    <w:rsid w:val="2E755089"/>
    <w:rsid w:val="2E7E65E4"/>
    <w:rsid w:val="2E7F19D7"/>
    <w:rsid w:val="2E7F1A64"/>
    <w:rsid w:val="2E7F3B7F"/>
    <w:rsid w:val="2E821554"/>
    <w:rsid w:val="2E840E29"/>
    <w:rsid w:val="2E870919"/>
    <w:rsid w:val="2E8710F6"/>
    <w:rsid w:val="2E871D01"/>
    <w:rsid w:val="2E884DBD"/>
    <w:rsid w:val="2E89196A"/>
    <w:rsid w:val="2E8A1227"/>
    <w:rsid w:val="2E8B6514"/>
    <w:rsid w:val="2E8C5391"/>
    <w:rsid w:val="2E8D01EE"/>
    <w:rsid w:val="2E932CFE"/>
    <w:rsid w:val="2E9574DA"/>
    <w:rsid w:val="2E970091"/>
    <w:rsid w:val="2E9932A3"/>
    <w:rsid w:val="2E9A4AF0"/>
    <w:rsid w:val="2E9B1469"/>
    <w:rsid w:val="2E9C0D9A"/>
    <w:rsid w:val="2E9C1E4C"/>
    <w:rsid w:val="2E9C2616"/>
    <w:rsid w:val="2E9C43C4"/>
    <w:rsid w:val="2E9D1EEA"/>
    <w:rsid w:val="2EA06E4D"/>
    <w:rsid w:val="2EA17C2D"/>
    <w:rsid w:val="2EA27501"/>
    <w:rsid w:val="2EA65243"/>
    <w:rsid w:val="2EA96AE1"/>
    <w:rsid w:val="2EAB2859"/>
    <w:rsid w:val="2EAE2349"/>
    <w:rsid w:val="2EAE40F8"/>
    <w:rsid w:val="2EB07460"/>
    <w:rsid w:val="2EB12D9C"/>
    <w:rsid w:val="2EB3170E"/>
    <w:rsid w:val="2EB536D8"/>
    <w:rsid w:val="2EB9308B"/>
    <w:rsid w:val="2EBC05C2"/>
    <w:rsid w:val="2EBC487E"/>
    <w:rsid w:val="2EBD433B"/>
    <w:rsid w:val="2EBE07DF"/>
    <w:rsid w:val="2EC07C77"/>
    <w:rsid w:val="2EC22498"/>
    <w:rsid w:val="2EC23D6E"/>
    <w:rsid w:val="2EC4045F"/>
    <w:rsid w:val="2EC4290F"/>
    <w:rsid w:val="2EC465DF"/>
    <w:rsid w:val="2EC52083"/>
    <w:rsid w:val="2EC60F6B"/>
    <w:rsid w:val="2EC8340B"/>
    <w:rsid w:val="2EC8783A"/>
    <w:rsid w:val="2ECE02F6"/>
    <w:rsid w:val="2ED26038"/>
    <w:rsid w:val="2ED26996"/>
    <w:rsid w:val="2ED438FE"/>
    <w:rsid w:val="2ED718A0"/>
    <w:rsid w:val="2ED81174"/>
    <w:rsid w:val="2ED846BE"/>
    <w:rsid w:val="2ED85501"/>
    <w:rsid w:val="2ED951D6"/>
    <w:rsid w:val="2EDD427F"/>
    <w:rsid w:val="2EDE2C2F"/>
    <w:rsid w:val="2EDE30A4"/>
    <w:rsid w:val="2EDE4C4C"/>
    <w:rsid w:val="2EE21A82"/>
    <w:rsid w:val="2EE26446"/>
    <w:rsid w:val="2EE26E88"/>
    <w:rsid w:val="2EE30245"/>
    <w:rsid w:val="2EE47B19"/>
    <w:rsid w:val="2EE50403"/>
    <w:rsid w:val="2EE5613D"/>
    <w:rsid w:val="2EE87609"/>
    <w:rsid w:val="2EEA070E"/>
    <w:rsid w:val="2EEA7450"/>
    <w:rsid w:val="2EED2E72"/>
    <w:rsid w:val="2EF27E76"/>
    <w:rsid w:val="2EF32A07"/>
    <w:rsid w:val="2EF36D92"/>
    <w:rsid w:val="2EF37D5C"/>
    <w:rsid w:val="2EF64D9D"/>
    <w:rsid w:val="2EF958DA"/>
    <w:rsid w:val="2EFC1307"/>
    <w:rsid w:val="2EFC79F2"/>
    <w:rsid w:val="2F0106CB"/>
    <w:rsid w:val="2F011DC7"/>
    <w:rsid w:val="2F023F82"/>
    <w:rsid w:val="2F0401BB"/>
    <w:rsid w:val="2F063F34"/>
    <w:rsid w:val="2F083808"/>
    <w:rsid w:val="2F0D0E1E"/>
    <w:rsid w:val="2F0D551E"/>
    <w:rsid w:val="2F0F2F0D"/>
    <w:rsid w:val="2F0F64BF"/>
    <w:rsid w:val="2F0F6A1F"/>
    <w:rsid w:val="2F114C87"/>
    <w:rsid w:val="2F1202AE"/>
    <w:rsid w:val="2F146650"/>
    <w:rsid w:val="2F162BDB"/>
    <w:rsid w:val="2F1877C3"/>
    <w:rsid w:val="2F1B3012"/>
    <w:rsid w:val="2F1C7E9A"/>
    <w:rsid w:val="2F1F2D2D"/>
    <w:rsid w:val="2F204FF5"/>
    <w:rsid w:val="2F25085E"/>
    <w:rsid w:val="2F252FE8"/>
    <w:rsid w:val="2F266384"/>
    <w:rsid w:val="2F273DA8"/>
    <w:rsid w:val="2F283EAA"/>
    <w:rsid w:val="2F2A29E2"/>
    <w:rsid w:val="2F2B2677"/>
    <w:rsid w:val="2F2B399A"/>
    <w:rsid w:val="2F2C11F4"/>
    <w:rsid w:val="2F2D326E"/>
    <w:rsid w:val="2F300FB0"/>
    <w:rsid w:val="2F307202"/>
    <w:rsid w:val="2F3A3EF1"/>
    <w:rsid w:val="2F3A5849"/>
    <w:rsid w:val="2F3A598B"/>
    <w:rsid w:val="2F3E7229"/>
    <w:rsid w:val="2F3E7D67"/>
    <w:rsid w:val="2F422728"/>
    <w:rsid w:val="2F495FF8"/>
    <w:rsid w:val="2F4A02C4"/>
    <w:rsid w:val="2F4A5401"/>
    <w:rsid w:val="2F4B7B98"/>
    <w:rsid w:val="2F4D1B62"/>
    <w:rsid w:val="2F511653"/>
    <w:rsid w:val="2F522CD5"/>
    <w:rsid w:val="2F554C12"/>
    <w:rsid w:val="2F560A3E"/>
    <w:rsid w:val="2F5876BD"/>
    <w:rsid w:val="2F590507"/>
    <w:rsid w:val="2F60018C"/>
    <w:rsid w:val="2F61560E"/>
    <w:rsid w:val="2F6231CB"/>
    <w:rsid w:val="2F634EE2"/>
    <w:rsid w:val="2F646CC8"/>
    <w:rsid w:val="2F653BA9"/>
    <w:rsid w:val="2F6559EE"/>
    <w:rsid w:val="2F676656"/>
    <w:rsid w:val="2F6A3A6B"/>
    <w:rsid w:val="2F6B3D97"/>
    <w:rsid w:val="2F6F3887"/>
    <w:rsid w:val="2F713AA3"/>
    <w:rsid w:val="2F725125"/>
    <w:rsid w:val="2F733965"/>
    <w:rsid w:val="2F740E9D"/>
    <w:rsid w:val="2F793865"/>
    <w:rsid w:val="2F794705"/>
    <w:rsid w:val="2F805A94"/>
    <w:rsid w:val="2F8428F5"/>
    <w:rsid w:val="2F8439C1"/>
    <w:rsid w:val="2F866E22"/>
    <w:rsid w:val="2F882B9B"/>
    <w:rsid w:val="2F8860C3"/>
    <w:rsid w:val="2F887C8A"/>
    <w:rsid w:val="2F8C713C"/>
    <w:rsid w:val="2F8E19D6"/>
    <w:rsid w:val="2F8E1F35"/>
    <w:rsid w:val="2F9273BF"/>
    <w:rsid w:val="2F947594"/>
    <w:rsid w:val="2F956EAA"/>
    <w:rsid w:val="2F99381C"/>
    <w:rsid w:val="2F994DA8"/>
    <w:rsid w:val="2F997260"/>
    <w:rsid w:val="2F9B0B20"/>
    <w:rsid w:val="2F9D4288"/>
    <w:rsid w:val="2F9D6BBA"/>
    <w:rsid w:val="2F9E23BE"/>
    <w:rsid w:val="2FA00A47"/>
    <w:rsid w:val="2FA06136"/>
    <w:rsid w:val="2FA13062"/>
    <w:rsid w:val="2FA36452"/>
    <w:rsid w:val="2FA61769"/>
    <w:rsid w:val="2FA63021"/>
    <w:rsid w:val="2FA64655"/>
    <w:rsid w:val="2FAD1DFD"/>
    <w:rsid w:val="2FAD2601"/>
    <w:rsid w:val="2FAD43AF"/>
    <w:rsid w:val="2FB13E9F"/>
    <w:rsid w:val="2FB27C17"/>
    <w:rsid w:val="2FB35E69"/>
    <w:rsid w:val="2FB614B6"/>
    <w:rsid w:val="2FB63264"/>
    <w:rsid w:val="2FB971F8"/>
    <w:rsid w:val="2FBB6ACC"/>
    <w:rsid w:val="2FBE5224"/>
    <w:rsid w:val="2FBF1DF3"/>
    <w:rsid w:val="2FC00586"/>
    <w:rsid w:val="2FC31E25"/>
    <w:rsid w:val="2FC33BD3"/>
    <w:rsid w:val="2FC367EB"/>
    <w:rsid w:val="2FC44EB3"/>
    <w:rsid w:val="2FC516F9"/>
    <w:rsid w:val="2FCA31B3"/>
    <w:rsid w:val="2FCA4873"/>
    <w:rsid w:val="2FCA6D0F"/>
    <w:rsid w:val="2FCC22D8"/>
    <w:rsid w:val="2FCC2A87"/>
    <w:rsid w:val="2FCD67FF"/>
    <w:rsid w:val="2FCF4325"/>
    <w:rsid w:val="2FD23E16"/>
    <w:rsid w:val="2FD30669"/>
    <w:rsid w:val="2FD63906"/>
    <w:rsid w:val="2FD7142C"/>
    <w:rsid w:val="2FD8767E"/>
    <w:rsid w:val="2FD91648"/>
    <w:rsid w:val="2FD951A4"/>
    <w:rsid w:val="2FDA422A"/>
    <w:rsid w:val="2FDA518C"/>
    <w:rsid w:val="2FDA5A18"/>
    <w:rsid w:val="2FDB2CCA"/>
    <w:rsid w:val="2FDB53C0"/>
    <w:rsid w:val="2FDD4C94"/>
    <w:rsid w:val="2FDE27BA"/>
    <w:rsid w:val="2FDF5ABE"/>
    <w:rsid w:val="2FE36A1D"/>
    <w:rsid w:val="2FE76ED6"/>
    <w:rsid w:val="2FE83639"/>
    <w:rsid w:val="2FE853E7"/>
    <w:rsid w:val="2FEC3129"/>
    <w:rsid w:val="2FF41FDE"/>
    <w:rsid w:val="2FF63413"/>
    <w:rsid w:val="2FFE4C0B"/>
    <w:rsid w:val="2FFF10AF"/>
    <w:rsid w:val="30011C52"/>
    <w:rsid w:val="300136E6"/>
    <w:rsid w:val="300456D0"/>
    <w:rsid w:val="30054FF9"/>
    <w:rsid w:val="30074904"/>
    <w:rsid w:val="30087837"/>
    <w:rsid w:val="300A7A53"/>
    <w:rsid w:val="300C07F9"/>
    <w:rsid w:val="300C37CC"/>
    <w:rsid w:val="300D70B8"/>
    <w:rsid w:val="3011123E"/>
    <w:rsid w:val="301306B6"/>
    <w:rsid w:val="30142680"/>
    <w:rsid w:val="30145578"/>
    <w:rsid w:val="301461DC"/>
    <w:rsid w:val="30163AD2"/>
    <w:rsid w:val="30197C97"/>
    <w:rsid w:val="301B3A0F"/>
    <w:rsid w:val="301D1535"/>
    <w:rsid w:val="301D445D"/>
    <w:rsid w:val="30204F41"/>
    <w:rsid w:val="302169BE"/>
    <w:rsid w:val="302355F0"/>
    <w:rsid w:val="30247BCE"/>
    <w:rsid w:val="30263342"/>
    <w:rsid w:val="302C1778"/>
    <w:rsid w:val="302C307F"/>
    <w:rsid w:val="302D729E"/>
    <w:rsid w:val="302E54F0"/>
    <w:rsid w:val="302F1268"/>
    <w:rsid w:val="30314552"/>
    <w:rsid w:val="3032478D"/>
    <w:rsid w:val="303461F7"/>
    <w:rsid w:val="30356292"/>
    <w:rsid w:val="303A7409"/>
    <w:rsid w:val="303B5E5F"/>
    <w:rsid w:val="303F594F"/>
    <w:rsid w:val="304277FD"/>
    <w:rsid w:val="304363BA"/>
    <w:rsid w:val="30450A8C"/>
    <w:rsid w:val="30472722"/>
    <w:rsid w:val="30474804"/>
    <w:rsid w:val="304946AE"/>
    <w:rsid w:val="304C309D"/>
    <w:rsid w:val="304C67C6"/>
    <w:rsid w:val="304E16EE"/>
    <w:rsid w:val="304E5B92"/>
    <w:rsid w:val="3050190A"/>
    <w:rsid w:val="30562C99"/>
    <w:rsid w:val="30580B73"/>
    <w:rsid w:val="30586A11"/>
    <w:rsid w:val="30592342"/>
    <w:rsid w:val="30595B75"/>
    <w:rsid w:val="30653C62"/>
    <w:rsid w:val="306730ED"/>
    <w:rsid w:val="306838AF"/>
    <w:rsid w:val="306A4C7F"/>
    <w:rsid w:val="306A7374"/>
    <w:rsid w:val="306D74E0"/>
    <w:rsid w:val="306E1D90"/>
    <w:rsid w:val="30711881"/>
    <w:rsid w:val="307152CA"/>
    <w:rsid w:val="3073370F"/>
    <w:rsid w:val="307750E9"/>
    <w:rsid w:val="3078392E"/>
    <w:rsid w:val="307A1AE5"/>
    <w:rsid w:val="307A6947"/>
    <w:rsid w:val="307B44AD"/>
    <w:rsid w:val="307C226C"/>
    <w:rsid w:val="307C26FF"/>
    <w:rsid w:val="307C3A1B"/>
    <w:rsid w:val="307D6477"/>
    <w:rsid w:val="307F5D4C"/>
    <w:rsid w:val="307F6CF5"/>
    <w:rsid w:val="30803872"/>
    <w:rsid w:val="30803C96"/>
    <w:rsid w:val="30840A88"/>
    <w:rsid w:val="30872C7E"/>
    <w:rsid w:val="30890978"/>
    <w:rsid w:val="308A649E"/>
    <w:rsid w:val="308B0B94"/>
    <w:rsid w:val="308E5F8F"/>
    <w:rsid w:val="3090035F"/>
    <w:rsid w:val="309114BF"/>
    <w:rsid w:val="309335A5"/>
    <w:rsid w:val="30945C6A"/>
    <w:rsid w:val="309505AC"/>
    <w:rsid w:val="309D2223"/>
    <w:rsid w:val="309D2641"/>
    <w:rsid w:val="309D61D2"/>
    <w:rsid w:val="30A05CC2"/>
    <w:rsid w:val="30A52669"/>
    <w:rsid w:val="30A565FF"/>
    <w:rsid w:val="30A56B20"/>
    <w:rsid w:val="30A633C1"/>
    <w:rsid w:val="30A6598D"/>
    <w:rsid w:val="30A734F4"/>
    <w:rsid w:val="30A82846"/>
    <w:rsid w:val="30AD0B0B"/>
    <w:rsid w:val="30AE6631"/>
    <w:rsid w:val="30AF69B0"/>
    <w:rsid w:val="30B005FB"/>
    <w:rsid w:val="30B10A08"/>
    <w:rsid w:val="30B31E99"/>
    <w:rsid w:val="30B33C47"/>
    <w:rsid w:val="30B359F5"/>
    <w:rsid w:val="30B55C11"/>
    <w:rsid w:val="30B575EE"/>
    <w:rsid w:val="30B637BB"/>
    <w:rsid w:val="30B8125D"/>
    <w:rsid w:val="30BB2AFC"/>
    <w:rsid w:val="30BD4AC6"/>
    <w:rsid w:val="30BF439A"/>
    <w:rsid w:val="30C220DC"/>
    <w:rsid w:val="30C234EF"/>
    <w:rsid w:val="30C62D9C"/>
    <w:rsid w:val="30C7687B"/>
    <w:rsid w:val="30C916BD"/>
    <w:rsid w:val="30C9339C"/>
    <w:rsid w:val="30C96FC7"/>
    <w:rsid w:val="30CB2D3F"/>
    <w:rsid w:val="30CC16CB"/>
    <w:rsid w:val="30D15875"/>
    <w:rsid w:val="30D342E9"/>
    <w:rsid w:val="30D37E45"/>
    <w:rsid w:val="30D53FF2"/>
    <w:rsid w:val="30D65943"/>
    <w:rsid w:val="30D756C5"/>
    <w:rsid w:val="30D75B88"/>
    <w:rsid w:val="30D77936"/>
    <w:rsid w:val="30DA5678"/>
    <w:rsid w:val="30E3452C"/>
    <w:rsid w:val="30E67A18"/>
    <w:rsid w:val="30E71077"/>
    <w:rsid w:val="30E97669"/>
    <w:rsid w:val="30EB3EF2"/>
    <w:rsid w:val="30ED24C4"/>
    <w:rsid w:val="30ED5CF7"/>
    <w:rsid w:val="30EF0B21"/>
    <w:rsid w:val="30F229C1"/>
    <w:rsid w:val="30F32296"/>
    <w:rsid w:val="30F77374"/>
    <w:rsid w:val="30F77FD8"/>
    <w:rsid w:val="30F82350"/>
    <w:rsid w:val="30F85AFE"/>
    <w:rsid w:val="30FA10A9"/>
    <w:rsid w:val="30FA3624"/>
    <w:rsid w:val="30FB1970"/>
    <w:rsid w:val="30FD3D3F"/>
    <w:rsid w:val="30FF6E8C"/>
    <w:rsid w:val="310060F6"/>
    <w:rsid w:val="310426F5"/>
    <w:rsid w:val="310558D5"/>
    <w:rsid w:val="31081922"/>
    <w:rsid w:val="310A4D83"/>
    <w:rsid w:val="310A7634"/>
    <w:rsid w:val="310B6367"/>
    <w:rsid w:val="310D77FB"/>
    <w:rsid w:val="3110753A"/>
    <w:rsid w:val="3119139F"/>
    <w:rsid w:val="311B750B"/>
    <w:rsid w:val="311C759F"/>
    <w:rsid w:val="311F12DD"/>
    <w:rsid w:val="31202E64"/>
    <w:rsid w:val="31203DE2"/>
    <w:rsid w:val="31210BB1"/>
    <w:rsid w:val="31245B1A"/>
    <w:rsid w:val="31274A2B"/>
    <w:rsid w:val="31342FDA"/>
    <w:rsid w:val="313528AE"/>
    <w:rsid w:val="3135465C"/>
    <w:rsid w:val="31374878"/>
    <w:rsid w:val="313C59EB"/>
    <w:rsid w:val="313E5C07"/>
    <w:rsid w:val="31400623"/>
    <w:rsid w:val="31440D43"/>
    <w:rsid w:val="314459E3"/>
    <w:rsid w:val="31445AD2"/>
    <w:rsid w:val="31456670"/>
    <w:rsid w:val="31456F95"/>
    <w:rsid w:val="31464495"/>
    <w:rsid w:val="31480788"/>
    <w:rsid w:val="314825E1"/>
    <w:rsid w:val="314D409C"/>
    <w:rsid w:val="314D5E4A"/>
    <w:rsid w:val="314D7BF8"/>
    <w:rsid w:val="314E49B7"/>
    <w:rsid w:val="314E571E"/>
    <w:rsid w:val="31506ACE"/>
    <w:rsid w:val="31517E84"/>
    <w:rsid w:val="315216B2"/>
    <w:rsid w:val="31531727"/>
    <w:rsid w:val="31540825"/>
    <w:rsid w:val="31541EC1"/>
    <w:rsid w:val="31554CFE"/>
    <w:rsid w:val="31576CC8"/>
    <w:rsid w:val="315833EA"/>
    <w:rsid w:val="315C20CC"/>
    <w:rsid w:val="315E3BB3"/>
    <w:rsid w:val="316025BD"/>
    <w:rsid w:val="31607511"/>
    <w:rsid w:val="316118F5"/>
    <w:rsid w:val="3161596C"/>
    <w:rsid w:val="316339BD"/>
    <w:rsid w:val="31657B2E"/>
    <w:rsid w:val="3166515D"/>
    <w:rsid w:val="31666628"/>
    <w:rsid w:val="316B1CB8"/>
    <w:rsid w:val="316B62D0"/>
    <w:rsid w:val="316E7B6E"/>
    <w:rsid w:val="31701B38"/>
    <w:rsid w:val="3170739C"/>
    <w:rsid w:val="31723B02"/>
    <w:rsid w:val="317258B0"/>
    <w:rsid w:val="3172765E"/>
    <w:rsid w:val="31774C16"/>
    <w:rsid w:val="3179160B"/>
    <w:rsid w:val="3179279B"/>
    <w:rsid w:val="317B29B7"/>
    <w:rsid w:val="317B4814"/>
    <w:rsid w:val="317C04DD"/>
    <w:rsid w:val="317F1B79"/>
    <w:rsid w:val="317F1D7B"/>
    <w:rsid w:val="317F1EE4"/>
    <w:rsid w:val="318006F6"/>
    <w:rsid w:val="31815AF3"/>
    <w:rsid w:val="31817949"/>
    <w:rsid w:val="318203D5"/>
    <w:rsid w:val="31852831"/>
    <w:rsid w:val="3187141C"/>
    <w:rsid w:val="318C4BC4"/>
    <w:rsid w:val="318F02CF"/>
    <w:rsid w:val="318F6462"/>
    <w:rsid w:val="318F6FC4"/>
    <w:rsid w:val="319121DA"/>
    <w:rsid w:val="31941E76"/>
    <w:rsid w:val="31943A79"/>
    <w:rsid w:val="319846FE"/>
    <w:rsid w:val="31997D9D"/>
    <w:rsid w:val="319E0453"/>
    <w:rsid w:val="31A0509F"/>
    <w:rsid w:val="31A077F4"/>
    <w:rsid w:val="31A20917"/>
    <w:rsid w:val="31A230CB"/>
    <w:rsid w:val="31A26BB8"/>
    <w:rsid w:val="31A33CBC"/>
    <w:rsid w:val="31A81796"/>
    <w:rsid w:val="31AA608E"/>
    <w:rsid w:val="31AB491E"/>
    <w:rsid w:val="31AB5378"/>
    <w:rsid w:val="31AB668C"/>
    <w:rsid w:val="31AC7601"/>
    <w:rsid w:val="31AC77B7"/>
    <w:rsid w:val="31AF110A"/>
    <w:rsid w:val="31B41A25"/>
    <w:rsid w:val="31B9703B"/>
    <w:rsid w:val="31BB1CA7"/>
    <w:rsid w:val="31BE4652"/>
    <w:rsid w:val="31C43A5C"/>
    <w:rsid w:val="31C81974"/>
    <w:rsid w:val="31C85368"/>
    <w:rsid w:val="31CA56EC"/>
    <w:rsid w:val="31CA749A"/>
    <w:rsid w:val="31CC1D2A"/>
    <w:rsid w:val="31CC3212"/>
    <w:rsid w:val="31CD0D39"/>
    <w:rsid w:val="31CE1EBC"/>
    <w:rsid w:val="31D15F92"/>
    <w:rsid w:val="31D162AF"/>
    <w:rsid w:val="31D2634F"/>
    <w:rsid w:val="31D65E3F"/>
    <w:rsid w:val="31D677DA"/>
    <w:rsid w:val="31D71BB7"/>
    <w:rsid w:val="31DC0F7C"/>
    <w:rsid w:val="31DE2151"/>
    <w:rsid w:val="31DF77E5"/>
    <w:rsid w:val="31E5120A"/>
    <w:rsid w:val="31E700F2"/>
    <w:rsid w:val="31EA61B5"/>
    <w:rsid w:val="31F113E7"/>
    <w:rsid w:val="31F42769"/>
    <w:rsid w:val="31F44517"/>
    <w:rsid w:val="31F7376B"/>
    <w:rsid w:val="31F80063"/>
    <w:rsid w:val="31F96987"/>
    <w:rsid w:val="31F97D80"/>
    <w:rsid w:val="31FA1E11"/>
    <w:rsid w:val="31FB0B6D"/>
    <w:rsid w:val="31FB42D0"/>
    <w:rsid w:val="31FB7654"/>
    <w:rsid w:val="31FF67BC"/>
    <w:rsid w:val="32010A89"/>
    <w:rsid w:val="3202485F"/>
    <w:rsid w:val="32031C5D"/>
    <w:rsid w:val="32070FA4"/>
    <w:rsid w:val="320B051C"/>
    <w:rsid w:val="320C360F"/>
    <w:rsid w:val="320E382B"/>
    <w:rsid w:val="32100B57"/>
    <w:rsid w:val="32101078"/>
    <w:rsid w:val="321150C9"/>
    <w:rsid w:val="32116E77"/>
    <w:rsid w:val="32132BEF"/>
    <w:rsid w:val="32140715"/>
    <w:rsid w:val="321626E0"/>
    <w:rsid w:val="321A609C"/>
    <w:rsid w:val="321D26A2"/>
    <w:rsid w:val="321E1594"/>
    <w:rsid w:val="321E6F8D"/>
    <w:rsid w:val="321F2C5E"/>
    <w:rsid w:val="32201CFB"/>
    <w:rsid w:val="3220221C"/>
    <w:rsid w:val="322044B5"/>
    <w:rsid w:val="32230959"/>
    <w:rsid w:val="32295A9A"/>
    <w:rsid w:val="322F4323"/>
    <w:rsid w:val="322F72FD"/>
    <w:rsid w:val="32356E19"/>
    <w:rsid w:val="32366270"/>
    <w:rsid w:val="323B5CA2"/>
    <w:rsid w:val="323D4DDE"/>
    <w:rsid w:val="323D5EBE"/>
    <w:rsid w:val="323E374F"/>
    <w:rsid w:val="323E39E4"/>
    <w:rsid w:val="323E5B9E"/>
    <w:rsid w:val="32401373"/>
    <w:rsid w:val="324059AE"/>
    <w:rsid w:val="324234D5"/>
    <w:rsid w:val="32442AAE"/>
    <w:rsid w:val="3244724D"/>
    <w:rsid w:val="32470AEB"/>
    <w:rsid w:val="32476B81"/>
    <w:rsid w:val="324A05DB"/>
    <w:rsid w:val="324A223F"/>
    <w:rsid w:val="324B1648"/>
    <w:rsid w:val="324C4353"/>
    <w:rsid w:val="324D7372"/>
    <w:rsid w:val="324E3C27"/>
    <w:rsid w:val="32537490"/>
    <w:rsid w:val="32560D2E"/>
    <w:rsid w:val="32582CF8"/>
    <w:rsid w:val="325A081E"/>
    <w:rsid w:val="325B6344"/>
    <w:rsid w:val="325D06AE"/>
    <w:rsid w:val="32621481"/>
    <w:rsid w:val="3264169D"/>
    <w:rsid w:val="32655415"/>
    <w:rsid w:val="326571C3"/>
    <w:rsid w:val="3267118D"/>
    <w:rsid w:val="32673C7A"/>
    <w:rsid w:val="32696CB3"/>
    <w:rsid w:val="326A5D92"/>
    <w:rsid w:val="326B1881"/>
    <w:rsid w:val="326B3057"/>
    <w:rsid w:val="326B556F"/>
    <w:rsid w:val="326E7E26"/>
    <w:rsid w:val="3271175B"/>
    <w:rsid w:val="327411B4"/>
    <w:rsid w:val="32760C2A"/>
    <w:rsid w:val="327701E8"/>
    <w:rsid w:val="32787C95"/>
    <w:rsid w:val="32792E2E"/>
    <w:rsid w:val="327955A1"/>
    <w:rsid w:val="3282598C"/>
    <w:rsid w:val="32847649"/>
    <w:rsid w:val="328626B9"/>
    <w:rsid w:val="3287538B"/>
    <w:rsid w:val="32877139"/>
    <w:rsid w:val="32893942"/>
    <w:rsid w:val="328A6C2A"/>
    <w:rsid w:val="328F6795"/>
    <w:rsid w:val="32902492"/>
    <w:rsid w:val="329041A8"/>
    <w:rsid w:val="32954761"/>
    <w:rsid w:val="3296737C"/>
    <w:rsid w:val="32973638"/>
    <w:rsid w:val="329A6E6D"/>
    <w:rsid w:val="329B421F"/>
    <w:rsid w:val="329F0927"/>
    <w:rsid w:val="329F2A20"/>
    <w:rsid w:val="32A25D21"/>
    <w:rsid w:val="32A37E25"/>
    <w:rsid w:val="32A45F3D"/>
    <w:rsid w:val="32A7158A"/>
    <w:rsid w:val="32AC6BA0"/>
    <w:rsid w:val="32AE2918"/>
    <w:rsid w:val="32AE58F9"/>
    <w:rsid w:val="32B048E2"/>
    <w:rsid w:val="32B65F9A"/>
    <w:rsid w:val="32B75928"/>
    <w:rsid w:val="32BB6DE3"/>
    <w:rsid w:val="32BD2B5B"/>
    <w:rsid w:val="32C10CC2"/>
    <w:rsid w:val="32C12F96"/>
    <w:rsid w:val="32C4038E"/>
    <w:rsid w:val="32C443AD"/>
    <w:rsid w:val="32C72463"/>
    <w:rsid w:val="32C8270B"/>
    <w:rsid w:val="32C85BAE"/>
    <w:rsid w:val="32CC2D9E"/>
    <w:rsid w:val="32CD6692"/>
    <w:rsid w:val="32CE4D68"/>
    <w:rsid w:val="32CF5928"/>
    <w:rsid w:val="32D305D1"/>
    <w:rsid w:val="32D522DC"/>
    <w:rsid w:val="32D54B9D"/>
    <w:rsid w:val="32D83E39"/>
    <w:rsid w:val="32D84684"/>
    <w:rsid w:val="32DA195F"/>
    <w:rsid w:val="32DA54BB"/>
    <w:rsid w:val="32DD7D9A"/>
    <w:rsid w:val="32DE7359"/>
    <w:rsid w:val="32E04BAD"/>
    <w:rsid w:val="32E116A8"/>
    <w:rsid w:val="32E225C2"/>
    <w:rsid w:val="32E449BE"/>
    <w:rsid w:val="32E4633A"/>
    <w:rsid w:val="32E47AED"/>
    <w:rsid w:val="32E7407C"/>
    <w:rsid w:val="32EA3B58"/>
    <w:rsid w:val="32EA5F52"/>
    <w:rsid w:val="32EB34DA"/>
    <w:rsid w:val="32EC3440"/>
    <w:rsid w:val="32ED1692"/>
    <w:rsid w:val="32EE5A1E"/>
    <w:rsid w:val="32EF2853"/>
    <w:rsid w:val="32F02F31"/>
    <w:rsid w:val="32F04CDF"/>
    <w:rsid w:val="32F10A57"/>
    <w:rsid w:val="32F6606D"/>
    <w:rsid w:val="32F72511"/>
    <w:rsid w:val="32F80037"/>
    <w:rsid w:val="32F84944"/>
    <w:rsid w:val="32F95CB7"/>
    <w:rsid w:val="32FB089A"/>
    <w:rsid w:val="32FF3174"/>
    <w:rsid w:val="330024C5"/>
    <w:rsid w:val="33010C9A"/>
    <w:rsid w:val="3301513E"/>
    <w:rsid w:val="33022C64"/>
    <w:rsid w:val="3303652C"/>
    <w:rsid w:val="330379FF"/>
    <w:rsid w:val="33072028"/>
    <w:rsid w:val="33076E6D"/>
    <w:rsid w:val="3309737C"/>
    <w:rsid w:val="330C5891"/>
    <w:rsid w:val="33100861"/>
    <w:rsid w:val="33101D9D"/>
    <w:rsid w:val="33124C50"/>
    <w:rsid w:val="3317670F"/>
    <w:rsid w:val="331A1D5C"/>
    <w:rsid w:val="331D184C"/>
    <w:rsid w:val="331F3816"/>
    <w:rsid w:val="3324544E"/>
    <w:rsid w:val="33247B3F"/>
    <w:rsid w:val="33254D78"/>
    <w:rsid w:val="33265EB1"/>
    <w:rsid w:val="332901F1"/>
    <w:rsid w:val="332B3F69"/>
    <w:rsid w:val="332C0490"/>
    <w:rsid w:val="332D4643"/>
    <w:rsid w:val="332E1CAB"/>
    <w:rsid w:val="33315C4C"/>
    <w:rsid w:val="33332E1D"/>
    <w:rsid w:val="33354DE7"/>
    <w:rsid w:val="33355D66"/>
    <w:rsid w:val="333746BC"/>
    <w:rsid w:val="33396201"/>
    <w:rsid w:val="333B75B5"/>
    <w:rsid w:val="333C43C8"/>
    <w:rsid w:val="333E1891"/>
    <w:rsid w:val="333F17C2"/>
    <w:rsid w:val="333F5C66"/>
    <w:rsid w:val="33457039"/>
    <w:rsid w:val="33493EB1"/>
    <w:rsid w:val="334B3268"/>
    <w:rsid w:val="334D2131"/>
    <w:rsid w:val="334D3EDF"/>
    <w:rsid w:val="334D791B"/>
    <w:rsid w:val="334E7DB9"/>
    <w:rsid w:val="335039CF"/>
    <w:rsid w:val="3350629C"/>
    <w:rsid w:val="33513241"/>
    <w:rsid w:val="33513F06"/>
    <w:rsid w:val="335222FD"/>
    <w:rsid w:val="335334BF"/>
    <w:rsid w:val="335452E3"/>
    <w:rsid w:val="3355133B"/>
    <w:rsid w:val="33564149"/>
    <w:rsid w:val="33573EDC"/>
    <w:rsid w:val="335B7731"/>
    <w:rsid w:val="33601347"/>
    <w:rsid w:val="3361379C"/>
    <w:rsid w:val="33614751"/>
    <w:rsid w:val="336245A9"/>
    <w:rsid w:val="336528D7"/>
    <w:rsid w:val="336851BD"/>
    <w:rsid w:val="336D2F01"/>
    <w:rsid w:val="336E3E55"/>
    <w:rsid w:val="33704071"/>
    <w:rsid w:val="337558F7"/>
    <w:rsid w:val="337B70E8"/>
    <w:rsid w:val="337C2823"/>
    <w:rsid w:val="337C6572"/>
    <w:rsid w:val="337D6E77"/>
    <w:rsid w:val="33802506"/>
    <w:rsid w:val="338209C1"/>
    <w:rsid w:val="338350F3"/>
    <w:rsid w:val="338418CB"/>
    <w:rsid w:val="33841A39"/>
    <w:rsid w:val="33855315"/>
    <w:rsid w:val="33881F42"/>
    <w:rsid w:val="33883169"/>
    <w:rsid w:val="338A5133"/>
    <w:rsid w:val="338B2BD6"/>
    <w:rsid w:val="338B2C59"/>
    <w:rsid w:val="338C3FB9"/>
    <w:rsid w:val="338E62A6"/>
    <w:rsid w:val="338F6082"/>
    <w:rsid w:val="33992AD1"/>
    <w:rsid w:val="3399410A"/>
    <w:rsid w:val="339C09C3"/>
    <w:rsid w:val="33A1422B"/>
    <w:rsid w:val="33A55C06"/>
    <w:rsid w:val="33A65CE5"/>
    <w:rsid w:val="33AA05E8"/>
    <w:rsid w:val="33AA0990"/>
    <w:rsid w:val="33AA7BD5"/>
    <w:rsid w:val="33AE0ED8"/>
    <w:rsid w:val="33B10912"/>
    <w:rsid w:val="33B2468A"/>
    <w:rsid w:val="33B57CD6"/>
    <w:rsid w:val="33B828D3"/>
    <w:rsid w:val="33BB0BF8"/>
    <w:rsid w:val="33BB62A3"/>
    <w:rsid w:val="33BE4DDD"/>
    <w:rsid w:val="33BE756B"/>
    <w:rsid w:val="33C06DA7"/>
    <w:rsid w:val="33C30645"/>
    <w:rsid w:val="33C46C09"/>
    <w:rsid w:val="33C85C5B"/>
    <w:rsid w:val="33C93912"/>
    <w:rsid w:val="33CA657B"/>
    <w:rsid w:val="33CD1809"/>
    <w:rsid w:val="33CF5BE3"/>
    <w:rsid w:val="33D04B10"/>
    <w:rsid w:val="33D07732"/>
    <w:rsid w:val="33D12D62"/>
    <w:rsid w:val="33D3159C"/>
    <w:rsid w:val="33D53B72"/>
    <w:rsid w:val="33D56E4B"/>
    <w:rsid w:val="33D92592"/>
    <w:rsid w:val="33DA14EB"/>
    <w:rsid w:val="33DA282E"/>
    <w:rsid w:val="33DA5199"/>
    <w:rsid w:val="33DE34F6"/>
    <w:rsid w:val="33DE547F"/>
    <w:rsid w:val="33DE722D"/>
    <w:rsid w:val="33E40FCE"/>
    <w:rsid w:val="33E52369"/>
    <w:rsid w:val="33E5680D"/>
    <w:rsid w:val="33E800AC"/>
    <w:rsid w:val="33E85C36"/>
    <w:rsid w:val="33E87939"/>
    <w:rsid w:val="33EA3E24"/>
    <w:rsid w:val="33EB36F8"/>
    <w:rsid w:val="33EC7B9C"/>
    <w:rsid w:val="33ED4B5E"/>
    <w:rsid w:val="33EE2585"/>
    <w:rsid w:val="33EE588C"/>
    <w:rsid w:val="33EF2FCD"/>
    <w:rsid w:val="33EF4F96"/>
    <w:rsid w:val="33F0483B"/>
    <w:rsid w:val="33F23E05"/>
    <w:rsid w:val="33F2420D"/>
    <w:rsid w:val="33F242CF"/>
    <w:rsid w:val="33F24326"/>
    <w:rsid w:val="33F24A4C"/>
    <w:rsid w:val="33F50A6A"/>
    <w:rsid w:val="33F627C9"/>
    <w:rsid w:val="33F82B82"/>
    <w:rsid w:val="33F93534"/>
    <w:rsid w:val="33FA4004"/>
    <w:rsid w:val="33FC76B3"/>
    <w:rsid w:val="33FE013C"/>
    <w:rsid w:val="33FF76FA"/>
    <w:rsid w:val="34000F51"/>
    <w:rsid w:val="34006798"/>
    <w:rsid w:val="3402116D"/>
    <w:rsid w:val="34034EE6"/>
    <w:rsid w:val="340362E5"/>
    <w:rsid w:val="34054394"/>
    <w:rsid w:val="34056568"/>
    <w:rsid w:val="34060A77"/>
    <w:rsid w:val="340F0C0A"/>
    <w:rsid w:val="341113B0"/>
    <w:rsid w:val="341744ED"/>
    <w:rsid w:val="341B4A8C"/>
    <w:rsid w:val="341C1B03"/>
    <w:rsid w:val="341C486A"/>
    <w:rsid w:val="341D359D"/>
    <w:rsid w:val="341E3ACD"/>
    <w:rsid w:val="341E7629"/>
    <w:rsid w:val="342015F4"/>
    <w:rsid w:val="342235BE"/>
    <w:rsid w:val="3422536C"/>
    <w:rsid w:val="34286628"/>
    <w:rsid w:val="342B06AB"/>
    <w:rsid w:val="342B1D46"/>
    <w:rsid w:val="342D1890"/>
    <w:rsid w:val="342E1F62"/>
    <w:rsid w:val="342E38B2"/>
    <w:rsid w:val="34311A53"/>
    <w:rsid w:val="343155AF"/>
    <w:rsid w:val="343432F1"/>
    <w:rsid w:val="34350021"/>
    <w:rsid w:val="34356827"/>
    <w:rsid w:val="343706EB"/>
    <w:rsid w:val="34386F1C"/>
    <w:rsid w:val="343948A0"/>
    <w:rsid w:val="343D67B3"/>
    <w:rsid w:val="343E1A7A"/>
    <w:rsid w:val="34401C96"/>
    <w:rsid w:val="34414322"/>
    <w:rsid w:val="344277BC"/>
    <w:rsid w:val="3443034D"/>
    <w:rsid w:val="344572AC"/>
    <w:rsid w:val="34473024"/>
    <w:rsid w:val="344A0DB7"/>
    <w:rsid w:val="344A1390"/>
    <w:rsid w:val="344A17B2"/>
    <w:rsid w:val="344A61E6"/>
    <w:rsid w:val="344F3C87"/>
    <w:rsid w:val="34511DE2"/>
    <w:rsid w:val="34525525"/>
    <w:rsid w:val="34541E69"/>
    <w:rsid w:val="34563267"/>
    <w:rsid w:val="345920CE"/>
    <w:rsid w:val="34592D57"/>
    <w:rsid w:val="345968B4"/>
    <w:rsid w:val="345E211C"/>
    <w:rsid w:val="3464195E"/>
    <w:rsid w:val="346B3DE0"/>
    <w:rsid w:val="346C4839"/>
    <w:rsid w:val="346C65E7"/>
    <w:rsid w:val="346C7CD4"/>
    <w:rsid w:val="346F4329"/>
    <w:rsid w:val="34711E4F"/>
    <w:rsid w:val="34733E19"/>
    <w:rsid w:val="347352B7"/>
    <w:rsid w:val="3474193F"/>
    <w:rsid w:val="347436ED"/>
    <w:rsid w:val="34763909"/>
    <w:rsid w:val="34766943"/>
    <w:rsid w:val="347723BE"/>
    <w:rsid w:val="34784F8C"/>
    <w:rsid w:val="347B35FE"/>
    <w:rsid w:val="347C158E"/>
    <w:rsid w:val="347D25A2"/>
    <w:rsid w:val="347D6A46"/>
    <w:rsid w:val="347F6565"/>
    <w:rsid w:val="3481782D"/>
    <w:rsid w:val="348222AE"/>
    <w:rsid w:val="34830DA6"/>
    <w:rsid w:val="34862BF3"/>
    <w:rsid w:val="348A2F11"/>
    <w:rsid w:val="348A4CBF"/>
    <w:rsid w:val="348C0B69"/>
    <w:rsid w:val="349124F1"/>
    <w:rsid w:val="3491354B"/>
    <w:rsid w:val="3492592C"/>
    <w:rsid w:val="34935693"/>
    <w:rsid w:val="349719DA"/>
    <w:rsid w:val="349873DC"/>
    <w:rsid w:val="349B2BDB"/>
    <w:rsid w:val="349D2C44"/>
    <w:rsid w:val="349E6EBF"/>
    <w:rsid w:val="349F4C0E"/>
    <w:rsid w:val="34A2156E"/>
    <w:rsid w:val="34A35D81"/>
    <w:rsid w:val="34A43FD3"/>
    <w:rsid w:val="34A55F9D"/>
    <w:rsid w:val="34A57D4B"/>
    <w:rsid w:val="34A83397"/>
    <w:rsid w:val="34A915E9"/>
    <w:rsid w:val="34AE30A3"/>
    <w:rsid w:val="34B3064C"/>
    <w:rsid w:val="34B33D14"/>
    <w:rsid w:val="34B45172"/>
    <w:rsid w:val="34B45226"/>
    <w:rsid w:val="34B65AB4"/>
    <w:rsid w:val="34BB756E"/>
    <w:rsid w:val="34BD542E"/>
    <w:rsid w:val="34BF0E0C"/>
    <w:rsid w:val="34C06933"/>
    <w:rsid w:val="34C206F9"/>
    <w:rsid w:val="34C226AB"/>
    <w:rsid w:val="34C77CC1"/>
    <w:rsid w:val="34D60CBB"/>
    <w:rsid w:val="34D670AE"/>
    <w:rsid w:val="34D80120"/>
    <w:rsid w:val="34DB48B8"/>
    <w:rsid w:val="34DD4918"/>
    <w:rsid w:val="34DF14AF"/>
    <w:rsid w:val="34E16FD5"/>
    <w:rsid w:val="34E534E2"/>
    <w:rsid w:val="34E645EB"/>
    <w:rsid w:val="34E74F31"/>
    <w:rsid w:val="34E84184"/>
    <w:rsid w:val="34E95E89"/>
    <w:rsid w:val="34EB7E53"/>
    <w:rsid w:val="34EC7728"/>
    <w:rsid w:val="34EE34A0"/>
    <w:rsid w:val="34F0546A"/>
    <w:rsid w:val="34F07218"/>
    <w:rsid w:val="34F17CAA"/>
    <w:rsid w:val="34F36D08"/>
    <w:rsid w:val="34F67037"/>
    <w:rsid w:val="34F760D5"/>
    <w:rsid w:val="34F76C76"/>
    <w:rsid w:val="34F77B28"/>
    <w:rsid w:val="34FB5BBD"/>
    <w:rsid w:val="34FC2127"/>
    <w:rsid w:val="34FD36E3"/>
    <w:rsid w:val="34FF38FF"/>
    <w:rsid w:val="34FF745B"/>
    <w:rsid w:val="35040F15"/>
    <w:rsid w:val="350635C4"/>
    <w:rsid w:val="350E3B42"/>
    <w:rsid w:val="35131158"/>
    <w:rsid w:val="35133E3C"/>
    <w:rsid w:val="351433FA"/>
    <w:rsid w:val="351522E2"/>
    <w:rsid w:val="351557B9"/>
    <w:rsid w:val="351A6043"/>
    <w:rsid w:val="351D20DF"/>
    <w:rsid w:val="351F3659"/>
    <w:rsid w:val="35243365"/>
    <w:rsid w:val="3524459F"/>
    <w:rsid w:val="352549E8"/>
    <w:rsid w:val="35260E8C"/>
    <w:rsid w:val="352C5D76"/>
    <w:rsid w:val="3535115B"/>
    <w:rsid w:val="353A59D7"/>
    <w:rsid w:val="353C16BC"/>
    <w:rsid w:val="353C799D"/>
    <w:rsid w:val="353D7F83"/>
    <w:rsid w:val="353F1275"/>
    <w:rsid w:val="3546508A"/>
    <w:rsid w:val="35472BB0"/>
    <w:rsid w:val="354B26A0"/>
    <w:rsid w:val="354C51AA"/>
    <w:rsid w:val="3550415A"/>
    <w:rsid w:val="35505F08"/>
    <w:rsid w:val="35521C81"/>
    <w:rsid w:val="35523A2F"/>
    <w:rsid w:val="35523BA7"/>
    <w:rsid w:val="35553247"/>
    <w:rsid w:val="355748A5"/>
    <w:rsid w:val="355D6D9F"/>
    <w:rsid w:val="355F3DEC"/>
    <w:rsid w:val="35610116"/>
    <w:rsid w:val="35611EC4"/>
    <w:rsid w:val="35614165"/>
    <w:rsid w:val="356279EA"/>
    <w:rsid w:val="35645510"/>
    <w:rsid w:val="356674DA"/>
    <w:rsid w:val="35675949"/>
    <w:rsid w:val="356B18E7"/>
    <w:rsid w:val="35700359"/>
    <w:rsid w:val="357339A5"/>
    <w:rsid w:val="35755C3F"/>
    <w:rsid w:val="357838DE"/>
    <w:rsid w:val="35793D59"/>
    <w:rsid w:val="357A2F85"/>
    <w:rsid w:val="357B28D6"/>
    <w:rsid w:val="357C7EED"/>
    <w:rsid w:val="357F059C"/>
    <w:rsid w:val="357F2FAB"/>
    <w:rsid w:val="35822132"/>
    <w:rsid w:val="3583008C"/>
    <w:rsid w:val="358362DE"/>
    <w:rsid w:val="35842FA0"/>
    <w:rsid w:val="35843E04"/>
    <w:rsid w:val="3586192A"/>
    <w:rsid w:val="35876A57"/>
    <w:rsid w:val="358931C8"/>
    <w:rsid w:val="358B6F41"/>
    <w:rsid w:val="358D2CB9"/>
    <w:rsid w:val="358D4A67"/>
    <w:rsid w:val="358E07DF"/>
    <w:rsid w:val="358E6A31"/>
    <w:rsid w:val="358F2980"/>
    <w:rsid w:val="35907231"/>
    <w:rsid w:val="35910C57"/>
    <w:rsid w:val="359358B5"/>
    <w:rsid w:val="359366B2"/>
    <w:rsid w:val="359609A8"/>
    <w:rsid w:val="35966E67"/>
    <w:rsid w:val="35971A38"/>
    <w:rsid w:val="359758E5"/>
    <w:rsid w:val="35980CEA"/>
    <w:rsid w:val="3598340C"/>
    <w:rsid w:val="359A53D6"/>
    <w:rsid w:val="359D0A22"/>
    <w:rsid w:val="359D0F6C"/>
    <w:rsid w:val="359E1F1D"/>
    <w:rsid w:val="359E6C74"/>
    <w:rsid w:val="35A136FA"/>
    <w:rsid w:val="35A20B95"/>
    <w:rsid w:val="35A324DC"/>
    <w:rsid w:val="35A41DB0"/>
    <w:rsid w:val="35A42245"/>
    <w:rsid w:val="35A561EB"/>
    <w:rsid w:val="35A75CA6"/>
    <w:rsid w:val="35AC108D"/>
    <w:rsid w:val="35B069A7"/>
    <w:rsid w:val="35B20725"/>
    <w:rsid w:val="35B27214"/>
    <w:rsid w:val="35B27D87"/>
    <w:rsid w:val="35B46497"/>
    <w:rsid w:val="35B50461"/>
    <w:rsid w:val="35B53FBD"/>
    <w:rsid w:val="35B71AE4"/>
    <w:rsid w:val="35BC534C"/>
    <w:rsid w:val="35BF4E3C"/>
    <w:rsid w:val="35C10BB4"/>
    <w:rsid w:val="35C809AB"/>
    <w:rsid w:val="35C83CF1"/>
    <w:rsid w:val="35CE6E2D"/>
    <w:rsid w:val="35CF5088"/>
    <w:rsid w:val="35D07049"/>
    <w:rsid w:val="35D20DC3"/>
    <w:rsid w:val="35D3524C"/>
    <w:rsid w:val="35D73046"/>
    <w:rsid w:val="35D86AEF"/>
    <w:rsid w:val="35D94150"/>
    <w:rsid w:val="35D94B0C"/>
    <w:rsid w:val="35DB7EC8"/>
    <w:rsid w:val="35DC016C"/>
    <w:rsid w:val="35E11256"/>
    <w:rsid w:val="35E14DB3"/>
    <w:rsid w:val="35E30149"/>
    <w:rsid w:val="35E84393"/>
    <w:rsid w:val="35E87AD2"/>
    <w:rsid w:val="35EA1EB9"/>
    <w:rsid w:val="35EC5BA6"/>
    <w:rsid w:val="35ED7BFB"/>
    <w:rsid w:val="35EF3A10"/>
    <w:rsid w:val="35EF4AB2"/>
    <w:rsid w:val="35F04FF6"/>
    <w:rsid w:val="35F1149A"/>
    <w:rsid w:val="35F727E8"/>
    <w:rsid w:val="35F76BAE"/>
    <w:rsid w:val="35F9034E"/>
    <w:rsid w:val="35F920FC"/>
    <w:rsid w:val="35FB603C"/>
    <w:rsid w:val="35FC5379"/>
    <w:rsid w:val="35FD13E9"/>
    <w:rsid w:val="35FD43AC"/>
    <w:rsid w:val="35FF348B"/>
    <w:rsid w:val="36000BAC"/>
    <w:rsid w:val="36024FDC"/>
    <w:rsid w:val="36050AA1"/>
    <w:rsid w:val="36062A6B"/>
    <w:rsid w:val="36090618"/>
    <w:rsid w:val="360B1E2F"/>
    <w:rsid w:val="360B30CD"/>
    <w:rsid w:val="360B340E"/>
    <w:rsid w:val="360F7B72"/>
    <w:rsid w:val="36107446"/>
    <w:rsid w:val="36114676"/>
    <w:rsid w:val="36145188"/>
    <w:rsid w:val="36146F36"/>
    <w:rsid w:val="36162CAE"/>
    <w:rsid w:val="361B4091"/>
    <w:rsid w:val="361B6516"/>
    <w:rsid w:val="361C403D"/>
    <w:rsid w:val="361E6007"/>
    <w:rsid w:val="36202716"/>
    <w:rsid w:val="362178A5"/>
    <w:rsid w:val="36237179"/>
    <w:rsid w:val="36260A17"/>
    <w:rsid w:val="36274EBB"/>
    <w:rsid w:val="362A49AB"/>
    <w:rsid w:val="362B22E7"/>
    <w:rsid w:val="362C39CF"/>
    <w:rsid w:val="362E0151"/>
    <w:rsid w:val="36315D3A"/>
    <w:rsid w:val="36317A9C"/>
    <w:rsid w:val="3633708B"/>
    <w:rsid w:val="36356EAC"/>
    <w:rsid w:val="3636283A"/>
    <w:rsid w:val="36363350"/>
    <w:rsid w:val="363650FE"/>
    <w:rsid w:val="3637097E"/>
    <w:rsid w:val="363870C8"/>
    <w:rsid w:val="36394BEF"/>
    <w:rsid w:val="363B53DF"/>
    <w:rsid w:val="363E2205"/>
    <w:rsid w:val="363F162B"/>
    <w:rsid w:val="36400C61"/>
    <w:rsid w:val="364145FE"/>
    <w:rsid w:val="36435E6F"/>
    <w:rsid w:val="364545D5"/>
    <w:rsid w:val="36462E68"/>
    <w:rsid w:val="364634BD"/>
    <w:rsid w:val="36473061"/>
    <w:rsid w:val="36484E32"/>
    <w:rsid w:val="364A0BAA"/>
    <w:rsid w:val="364A32AA"/>
    <w:rsid w:val="36561231"/>
    <w:rsid w:val="36573DEF"/>
    <w:rsid w:val="36592B9B"/>
    <w:rsid w:val="365F7944"/>
    <w:rsid w:val="3660217B"/>
    <w:rsid w:val="36620D03"/>
    <w:rsid w:val="36624908"/>
    <w:rsid w:val="36637A36"/>
    <w:rsid w:val="36653C36"/>
    <w:rsid w:val="36674EB4"/>
    <w:rsid w:val="3668585E"/>
    <w:rsid w:val="3668710A"/>
    <w:rsid w:val="366A4DA8"/>
    <w:rsid w:val="366F0610"/>
    <w:rsid w:val="366F2305"/>
    <w:rsid w:val="367F4CF7"/>
    <w:rsid w:val="368220F2"/>
    <w:rsid w:val="36840497"/>
    <w:rsid w:val="368619EC"/>
    <w:rsid w:val="368D0A96"/>
    <w:rsid w:val="368D102E"/>
    <w:rsid w:val="368D23BD"/>
    <w:rsid w:val="368D6CE8"/>
    <w:rsid w:val="368E4F3A"/>
    <w:rsid w:val="36914A2B"/>
    <w:rsid w:val="369260AD"/>
    <w:rsid w:val="36932551"/>
    <w:rsid w:val="36942EBB"/>
    <w:rsid w:val="36965812"/>
    <w:rsid w:val="36965B9D"/>
    <w:rsid w:val="36981915"/>
    <w:rsid w:val="36A04776"/>
    <w:rsid w:val="36A06A1C"/>
    <w:rsid w:val="36A55DE0"/>
    <w:rsid w:val="36A66159"/>
    <w:rsid w:val="36A77DAA"/>
    <w:rsid w:val="36AB373F"/>
    <w:rsid w:val="36AC716F"/>
    <w:rsid w:val="36AD5DD1"/>
    <w:rsid w:val="36AF4EB1"/>
    <w:rsid w:val="36AF5821"/>
    <w:rsid w:val="36AF6C5F"/>
    <w:rsid w:val="36B349A1"/>
    <w:rsid w:val="36B424C7"/>
    <w:rsid w:val="36B83D65"/>
    <w:rsid w:val="36B87C32"/>
    <w:rsid w:val="36B9188B"/>
    <w:rsid w:val="36BC40FA"/>
    <w:rsid w:val="36BD4910"/>
    <w:rsid w:val="36BD5820"/>
    <w:rsid w:val="36C070BE"/>
    <w:rsid w:val="36C21B1A"/>
    <w:rsid w:val="36C24BE4"/>
    <w:rsid w:val="36C344B8"/>
    <w:rsid w:val="36C90395"/>
    <w:rsid w:val="36C96F41"/>
    <w:rsid w:val="36C97D20"/>
    <w:rsid w:val="36C97E74"/>
    <w:rsid w:val="36CA779E"/>
    <w:rsid w:val="36CB2CF1"/>
    <w:rsid w:val="36CC7811"/>
    <w:rsid w:val="36CD05C3"/>
    <w:rsid w:val="36CE17DB"/>
    <w:rsid w:val="36CF7301"/>
    <w:rsid w:val="36D033A1"/>
    <w:rsid w:val="36D607C3"/>
    <w:rsid w:val="36D61545"/>
    <w:rsid w:val="36D6162D"/>
    <w:rsid w:val="36D641EB"/>
    <w:rsid w:val="36D96449"/>
    <w:rsid w:val="36DB3EF8"/>
    <w:rsid w:val="36DD37CC"/>
    <w:rsid w:val="36DF36BB"/>
    <w:rsid w:val="36DF5466"/>
    <w:rsid w:val="36DF5796"/>
    <w:rsid w:val="36E032BC"/>
    <w:rsid w:val="36E25286"/>
    <w:rsid w:val="36E55A25"/>
    <w:rsid w:val="36E64FE4"/>
    <w:rsid w:val="36EA1D24"/>
    <w:rsid w:val="36EA26A6"/>
    <w:rsid w:val="36EB413B"/>
    <w:rsid w:val="36EC222D"/>
    <w:rsid w:val="36EC7EB3"/>
    <w:rsid w:val="36F31165"/>
    <w:rsid w:val="36F31241"/>
    <w:rsid w:val="36F56A14"/>
    <w:rsid w:val="36F673EE"/>
    <w:rsid w:val="36F756A5"/>
    <w:rsid w:val="36F80606"/>
    <w:rsid w:val="36FB00F6"/>
    <w:rsid w:val="37016D1F"/>
    <w:rsid w:val="370276D6"/>
    <w:rsid w:val="370445C3"/>
    <w:rsid w:val="37046FAB"/>
    <w:rsid w:val="37074CED"/>
    <w:rsid w:val="37091BF4"/>
    <w:rsid w:val="370A20E7"/>
    <w:rsid w:val="371056DD"/>
    <w:rsid w:val="37107F95"/>
    <w:rsid w:val="371239CE"/>
    <w:rsid w:val="37142473"/>
    <w:rsid w:val="37144D14"/>
    <w:rsid w:val="37155A0D"/>
    <w:rsid w:val="371812F8"/>
    <w:rsid w:val="37192788"/>
    <w:rsid w:val="371A1FCA"/>
    <w:rsid w:val="371D62BE"/>
    <w:rsid w:val="37226B12"/>
    <w:rsid w:val="372949B6"/>
    <w:rsid w:val="372E157F"/>
    <w:rsid w:val="3733163E"/>
    <w:rsid w:val="3733584B"/>
    <w:rsid w:val="37344CA9"/>
    <w:rsid w:val="37350820"/>
    <w:rsid w:val="37362EDC"/>
    <w:rsid w:val="37384EA6"/>
    <w:rsid w:val="373B3B23"/>
    <w:rsid w:val="373F6235"/>
    <w:rsid w:val="37453A22"/>
    <w:rsid w:val="374750E9"/>
    <w:rsid w:val="3748158D"/>
    <w:rsid w:val="37482EBD"/>
    <w:rsid w:val="374970B3"/>
    <w:rsid w:val="374B2E2B"/>
    <w:rsid w:val="374B4E10"/>
    <w:rsid w:val="374B5CAE"/>
    <w:rsid w:val="374C0952"/>
    <w:rsid w:val="374C2700"/>
    <w:rsid w:val="374E0226"/>
    <w:rsid w:val="37503F9E"/>
    <w:rsid w:val="375407E3"/>
    <w:rsid w:val="375A7DB4"/>
    <w:rsid w:val="375C3AFB"/>
    <w:rsid w:val="375C5BE4"/>
    <w:rsid w:val="376143FD"/>
    <w:rsid w:val="37621F23"/>
    <w:rsid w:val="37667C65"/>
    <w:rsid w:val="37677F9D"/>
    <w:rsid w:val="3769147A"/>
    <w:rsid w:val="3769305E"/>
    <w:rsid w:val="376B527C"/>
    <w:rsid w:val="376B702A"/>
    <w:rsid w:val="376E6B1A"/>
    <w:rsid w:val="376E7130"/>
    <w:rsid w:val="37734130"/>
    <w:rsid w:val="37744847"/>
    <w:rsid w:val="3776528F"/>
    <w:rsid w:val="37781747"/>
    <w:rsid w:val="377E4FAF"/>
    <w:rsid w:val="378400EB"/>
    <w:rsid w:val="37857701"/>
    <w:rsid w:val="37857C22"/>
    <w:rsid w:val="3786033A"/>
    <w:rsid w:val="37863E63"/>
    <w:rsid w:val="37887047"/>
    <w:rsid w:val="378A1ED3"/>
    <w:rsid w:val="378E4AC6"/>
    <w:rsid w:val="378E618B"/>
    <w:rsid w:val="378F6E97"/>
    <w:rsid w:val="37906A90"/>
    <w:rsid w:val="37920A5A"/>
    <w:rsid w:val="37922AD5"/>
    <w:rsid w:val="379245B6"/>
    <w:rsid w:val="379251DA"/>
    <w:rsid w:val="37955E55"/>
    <w:rsid w:val="379A5AEA"/>
    <w:rsid w:val="379B69EA"/>
    <w:rsid w:val="379C3687"/>
    <w:rsid w:val="379F0F1F"/>
    <w:rsid w:val="37A14871"/>
    <w:rsid w:val="37A244E3"/>
    <w:rsid w:val="37A367C3"/>
    <w:rsid w:val="37AB446D"/>
    <w:rsid w:val="37AE5168"/>
    <w:rsid w:val="37AE5186"/>
    <w:rsid w:val="37B06E98"/>
    <w:rsid w:val="37B3452D"/>
    <w:rsid w:val="37B92F56"/>
    <w:rsid w:val="37BB437D"/>
    <w:rsid w:val="37BC574F"/>
    <w:rsid w:val="37BC7885"/>
    <w:rsid w:val="37BC7E4B"/>
    <w:rsid w:val="37C020A1"/>
    <w:rsid w:val="37C17446"/>
    <w:rsid w:val="37C6310F"/>
    <w:rsid w:val="37C67478"/>
    <w:rsid w:val="37C67DCF"/>
    <w:rsid w:val="37C7432B"/>
    <w:rsid w:val="37C8447C"/>
    <w:rsid w:val="37C87FD8"/>
    <w:rsid w:val="37C91FA2"/>
    <w:rsid w:val="37CD1A92"/>
    <w:rsid w:val="37CF65F0"/>
    <w:rsid w:val="37D050DF"/>
    <w:rsid w:val="37D3697D"/>
    <w:rsid w:val="37D42E21"/>
    <w:rsid w:val="37D526F5"/>
    <w:rsid w:val="37D929C9"/>
    <w:rsid w:val="37DC7428"/>
    <w:rsid w:val="37DD5DD2"/>
    <w:rsid w:val="37DE5A4E"/>
    <w:rsid w:val="37DE77FC"/>
    <w:rsid w:val="37E82428"/>
    <w:rsid w:val="37EA43F2"/>
    <w:rsid w:val="37EA680C"/>
    <w:rsid w:val="37EB1F18"/>
    <w:rsid w:val="37EB77D4"/>
    <w:rsid w:val="37EC6A27"/>
    <w:rsid w:val="37ED7A3F"/>
    <w:rsid w:val="37F039D3"/>
    <w:rsid w:val="37F05781"/>
    <w:rsid w:val="37F0752F"/>
    <w:rsid w:val="37F66F39"/>
    <w:rsid w:val="37F91FB1"/>
    <w:rsid w:val="37FC04AB"/>
    <w:rsid w:val="37FC73E0"/>
    <w:rsid w:val="37FE1C4C"/>
    <w:rsid w:val="3802658C"/>
    <w:rsid w:val="38033FE9"/>
    <w:rsid w:val="380534F8"/>
    <w:rsid w:val="3806660C"/>
    <w:rsid w:val="380803DD"/>
    <w:rsid w:val="3809121B"/>
    <w:rsid w:val="380A05F1"/>
    <w:rsid w:val="380D2764"/>
    <w:rsid w:val="380D3A6D"/>
    <w:rsid w:val="38105AF1"/>
    <w:rsid w:val="38123949"/>
    <w:rsid w:val="381270FD"/>
    <w:rsid w:val="3814146F"/>
    <w:rsid w:val="38155A7C"/>
    <w:rsid w:val="38156481"/>
    <w:rsid w:val="38163439"/>
    <w:rsid w:val="38184D3B"/>
    <w:rsid w:val="38190834"/>
    <w:rsid w:val="381D668A"/>
    <w:rsid w:val="381F5082"/>
    <w:rsid w:val="38207E14"/>
    <w:rsid w:val="38234AD3"/>
    <w:rsid w:val="38237904"/>
    <w:rsid w:val="38244B3F"/>
    <w:rsid w:val="3825367C"/>
    <w:rsid w:val="382947EF"/>
    <w:rsid w:val="382E1832"/>
    <w:rsid w:val="382E45C3"/>
    <w:rsid w:val="382F44FB"/>
    <w:rsid w:val="38312021"/>
    <w:rsid w:val="38353194"/>
    <w:rsid w:val="38355A6B"/>
    <w:rsid w:val="383658BD"/>
    <w:rsid w:val="383733B0"/>
    <w:rsid w:val="383A6D0C"/>
    <w:rsid w:val="383B4C4E"/>
    <w:rsid w:val="38402264"/>
    <w:rsid w:val="3842422E"/>
    <w:rsid w:val="38434BA9"/>
    <w:rsid w:val="38451D30"/>
    <w:rsid w:val="3845787B"/>
    <w:rsid w:val="38467D54"/>
    <w:rsid w:val="3848736B"/>
    <w:rsid w:val="3849089E"/>
    <w:rsid w:val="384A4E91"/>
    <w:rsid w:val="384D672F"/>
    <w:rsid w:val="3850749D"/>
    <w:rsid w:val="38516E76"/>
    <w:rsid w:val="385278E2"/>
    <w:rsid w:val="385304D4"/>
    <w:rsid w:val="38532DA5"/>
    <w:rsid w:val="385555E4"/>
    <w:rsid w:val="38577EF9"/>
    <w:rsid w:val="385B6485"/>
    <w:rsid w:val="385B709E"/>
    <w:rsid w:val="385E093C"/>
    <w:rsid w:val="385E26EA"/>
    <w:rsid w:val="385F2910"/>
    <w:rsid w:val="38610C01"/>
    <w:rsid w:val="38637D01"/>
    <w:rsid w:val="38653A79"/>
    <w:rsid w:val="386A72E1"/>
    <w:rsid w:val="386C32DC"/>
    <w:rsid w:val="386D4F37"/>
    <w:rsid w:val="387168C2"/>
    <w:rsid w:val="38744A58"/>
    <w:rsid w:val="38745F93"/>
    <w:rsid w:val="38767A34"/>
    <w:rsid w:val="38782C9B"/>
    <w:rsid w:val="387B504A"/>
    <w:rsid w:val="387C6CD3"/>
    <w:rsid w:val="387D5F09"/>
    <w:rsid w:val="387E4B3B"/>
    <w:rsid w:val="3881462B"/>
    <w:rsid w:val="38822138"/>
    <w:rsid w:val="38871C41"/>
    <w:rsid w:val="388A181B"/>
    <w:rsid w:val="388A34DF"/>
    <w:rsid w:val="388A4666"/>
    <w:rsid w:val="388A60E2"/>
    <w:rsid w:val="388C23C7"/>
    <w:rsid w:val="389044E9"/>
    <w:rsid w:val="38906EED"/>
    <w:rsid w:val="38907496"/>
    <w:rsid w:val="389918B8"/>
    <w:rsid w:val="3899266B"/>
    <w:rsid w:val="389A33CF"/>
    <w:rsid w:val="38A16FC1"/>
    <w:rsid w:val="38A27244"/>
    <w:rsid w:val="38A327F3"/>
    <w:rsid w:val="38A464F9"/>
    <w:rsid w:val="38A47A2D"/>
    <w:rsid w:val="38AB76D3"/>
    <w:rsid w:val="38AF6B78"/>
    <w:rsid w:val="38B059AF"/>
    <w:rsid w:val="38B247E4"/>
    <w:rsid w:val="38B30C88"/>
    <w:rsid w:val="38B60206"/>
    <w:rsid w:val="38B60778"/>
    <w:rsid w:val="38B67CF6"/>
    <w:rsid w:val="38B81E0D"/>
    <w:rsid w:val="38B90269"/>
    <w:rsid w:val="38B95B73"/>
    <w:rsid w:val="38BB18EB"/>
    <w:rsid w:val="38BC0DEE"/>
    <w:rsid w:val="38BE7081"/>
    <w:rsid w:val="38C154C4"/>
    <w:rsid w:val="38C25DC8"/>
    <w:rsid w:val="38C42E95"/>
    <w:rsid w:val="38C42F54"/>
    <w:rsid w:val="38C771C2"/>
    <w:rsid w:val="38CA6556"/>
    <w:rsid w:val="38CC58A6"/>
    <w:rsid w:val="38CC7F9C"/>
    <w:rsid w:val="38D40BFF"/>
    <w:rsid w:val="38D60C4C"/>
    <w:rsid w:val="38D91C00"/>
    <w:rsid w:val="38DB3179"/>
    <w:rsid w:val="38E26BF0"/>
    <w:rsid w:val="38E54BBA"/>
    <w:rsid w:val="38E946AA"/>
    <w:rsid w:val="38EB1F1D"/>
    <w:rsid w:val="38F01FC4"/>
    <w:rsid w:val="38F117B0"/>
    <w:rsid w:val="38F17A02"/>
    <w:rsid w:val="38F417C2"/>
    <w:rsid w:val="38F512A1"/>
    <w:rsid w:val="38F77C64"/>
    <w:rsid w:val="38F80D91"/>
    <w:rsid w:val="38F9066F"/>
    <w:rsid w:val="38FA1BB8"/>
    <w:rsid w:val="38FA68B7"/>
    <w:rsid w:val="38FB262F"/>
    <w:rsid w:val="38FD0155"/>
    <w:rsid w:val="38FD1F03"/>
    <w:rsid w:val="390019F4"/>
    <w:rsid w:val="39002C48"/>
    <w:rsid w:val="390037A2"/>
    <w:rsid w:val="39007C46"/>
    <w:rsid w:val="39033292"/>
    <w:rsid w:val="39047696"/>
    <w:rsid w:val="390A24E3"/>
    <w:rsid w:val="390A4620"/>
    <w:rsid w:val="390E601C"/>
    <w:rsid w:val="391159AF"/>
    <w:rsid w:val="3912667C"/>
    <w:rsid w:val="3914724D"/>
    <w:rsid w:val="39167469"/>
    <w:rsid w:val="39191989"/>
    <w:rsid w:val="391A2AB5"/>
    <w:rsid w:val="391C07F9"/>
    <w:rsid w:val="391E302F"/>
    <w:rsid w:val="391F631E"/>
    <w:rsid w:val="39200858"/>
    <w:rsid w:val="39213C0B"/>
    <w:rsid w:val="3922196A"/>
    <w:rsid w:val="39225E0E"/>
    <w:rsid w:val="3922779B"/>
    <w:rsid w:val="39227BBC"/>
    <w:rsid w:val="39237490"/>
    <w:rsid w:val="39241B86"/>
    <w:rsid w:val="392751D2"/>
    <w:rsid w:val="392B7033"/>
    <w:rsid w:val="392C0025"/>
    <w:rsid w:val="392C04C3"/>
    <w:rsid w:val="392E59B4"/>
    <w:rsid w:val="39396CB4"/>
    <w:rsid w:val="393A23BF"/>
    <w:rsid w:val="393C6B9E"/>
    <w:rsid w:val="393C6ED0"/>
    <w:rsid w:val="393F251C"/>
    <w:rsid w:val="393F42CA"/>
    <w:rsid w:val="39405F34"/>
    <w:rsid w:val="394713D0"/>
    <w:rsid w:val="394915ED"/>
    <w:rsid w:val="394C69E7"/>
    <w:rsid w:val="3953787E"/>
    <w:rsid w:val="39557F91"/>
    <w:rsid w:val="39561EE2"/>
    <w:rsid w:val="39565AB7"/>
    <w:rsid w:val="3958001D"/>
    <w:rsid w:val="395A55A8"/>
    <w:rsid w:val="395C1320"/>
    <w:rsid w:val="3962445C"/>
    <w:rsid w:val="396A50BF"/>
    <w:rsid w:val="396B3311"/>
    <w:rsid w:val="396F0622"/>
    <w:rsid w:val="39754676"/>
    <w:rsid w:val="39754901"/>
    <w:rsid w:val="39766A08"/>
    <w:rsid w:val="397834A0"/>
    <w:rsid w:val="39785A2E"/>
    <w:rsid w:val="397D27F8"/>
    <w:rsid w:val="397D6B7B"/>
    <w:rsid w:val="397F6DBC"/>
    <w:rsid w:val="398126A4"/>
    <w:rsid w:val="39812B34"/>
    <w:rsid w:val="39820A82"/>
    <w:rsid w:val="39842625"/>
    <w:rsid w:val="398505E9"/>
    <w:rsid w:val="398544A9"/>
    <w:rsid w:val="3986639D"/>
    <w:rsid w:val="39897A4F"/>
    <w:rsid w:val="398E0DAD"/>
    <w:rsid w:val="398E4279"/>
    <w:rsid w:val="398F777C"/>
    <w:rsid w:val="39915E6F"/>
    <w:rsid w:val="39916AF0"/>
    <w:rsid w:val="399A1E48"/>
    <w:rsid w:val="399A59A4"/>
    <w:rsid w:val="399B34CA"/>
    <w:rsid w:val="399B5583"/>
    <w:rsid w:val="399C7E17"/>
    <w:rsid w:val="39A03F08"/>
    <w:rsid w:val="39A31C9F"/>
    <w:rsid w:val="39A405D1"/>
    <w:rsid w:val="39A4702F"/>
    <w:rsid w:val="39A71E6F"/>
    <w:rsid w:val="39A74E22"/>
    <w:rsid w:val="39A86F0F"/>
    <w:rsid w:val="39AB7BB1"/>
    <w:rsid w:val="39AE1450"/>
    <w:rsid w:val="39AE5BC0"/>
    <w:rsid w:val="39AF11AF"/>
    <w:rsid w:val="39B27192"/>
    <w:rsid w:val="39B32F0A"/>
    <w:rsid w:val="39B878DE"/>
    <w:rsid w:val="39BA4298"/>
    <w:rsid w:val="39BD0E9D"/>
    <w:rsid w:val="39BD23AE"/>
    <w:rsid w:val="39BD78E5"/>
    <w:rsid w:val="39C12F31"/>
    <w:rsid w:val="39C42A21"/>
    <w:rsid w:val="39C80763"/>
    <w:rsid w:val="39C973B3"/>
    <w:rsid w:val="39CB0253"/>
    <w:rsid w:val="39CB12E3"/>
    <w:rsid w:val="39CB3D50"/>
    <w:rsid w:val="39CC330E"/>
    <w:rsid w:val="39D013C6"/>
    <w:rsid w:val="39D0586A"/>
    <w:rsid w:val="39D215E2"/>
    <w:rsid w:val="39D60449"/>
    <w:rsid w:val="39D8513B"/>
    <w:rsid w:val="39D95B15"/>
    <w:rsid w:val="39DA5E57"/>
    <w:rsid w:val="39DF5AAD"/>
    <w:rsid w:val="39E11825"/>
    <w:rsid w:val="39E35A89"/>
    <w:rsid w:val="39E4303F"/>
    <w:rsid w:val="39E430C3"/>
    <w:rsid w:val="39E76710"/>
    <w:rsid w:val="39EB4452"/>
    <w:rsid w:val="39EB6200"/>
    <w:rsid w:val="39EE5CF0"/>
    <w:rsid w:val="39F552D0"/>
    <w:rsid w:val="39F63922"/>
    <w:rsid w:val="39F94DC1"/>
    <w:rsid w:val="39FA28E7"/>
    <w:rsid w:val="39FA4695"/>
    <w:rsid w:val="39FA666B"/>
    <w:rsid w:val="39FC040D"/>
    <w:rsid w:val="39FD4C18"/>
    <w:rsid w:val="39FF1ED5"/>
    <w:rsid w:val="3A056ACA"/>
    <w:rsid w:val="3A062564"/>
    <w:rsid w:val="3A084BD3"/>
    <w:rsid w:val="3A0F1ED5"/>
    <w:rsid w:val="3A105739"/>
    <w:rsid w:val="3A105C66"/>
    <w:rsid w:val="3A121EA5"/>
    <w:rsid w:val="3A1671D7"/>
    <w:rsid w:val="3A175247"/>
    <w:rsid w:val="3A1C0240"/>
    <w:rsid w:val="3A202852"/>
    <w:rsid w:val="3A211C22"/>
    <w:rsid w:val="3A2160C5"/>
    <w:rsid w:val="3A241712"/>
    <w:rsid w:val="3A290B99"/>
    <w:rsid w:val="3A2A4F7A"/>
    <w:rsid w:val="3A2D2935"/>
    <w:rsid w:val="3A2F07E2"/>
    <w:rsid w:val="3A30455A"/>
    <w:rsid w:val="3A3146AF"/>
    <w:rsid w:val="3A373EBD"/>
    <w:rsid w:val="3A3C2EFF"/>
    <w:rsid w:val="3A3E0A25"/>
    <w:rsid w:val="3A3E4582"/>
    <w:rsid w:val="3A4339E1"/>
    <w:rsid w:val="3A4402FA"/>
    <w:rsid w:val="3A465B2C"/>
    <w:rsid w:val="3A4A1178"/>
    <w:rsid w:val="3A4C35B7"/>
    <w:rsid w:val="3A4F639D"/>
    <w:rsid w:val="3A5164BC"/>
    <w:rsid w:val="3A59760D"/>
    <w:rsid w:val="3A5B3385"/>
    <w:rsid w:val="3A5C35BA"/>
    <w:rsid w:val="3A5C3F8C"/>
    <w:rsid w:val="3A5F274A"/>
    <w:rsid w:val="3A6058D6"/>
    <w:rsid w:val="3A612966"/>
    <w:rsid w:val="3A6164C2"/>
    <w:rsid w:val="3A63048C"/>
    <w:rsid w:val="3A695377"/>
    <w:rsid w:val="3A6A181A"/>
    <w:rsid w:val="3A706705"/>
    <w:rsid w:val="3A7206CF"/>
    <w:rsid w:val="3A777A93"/>
    <w:rsid w:val="3A7836B4"/>
    <w:rsid w:val="3A7B0598"/>
    <w:rsid w:val="3A7F419C"/>
    <w:rsid w:val="3A7F6446"/>
    <w:rsid w:val="3A80103E"/>
    <w:rsid w:val="3A810912"/>
    <w:rsid w:val="3A810EF5"/>
    <w:rsid w:val="3A881DEF"/>
    <w:rsid w:val="3A891C39"/>
    <w:rsid w:val="3A8C1ACC"/>
    <w:rsid w:val="3A8D375B"/>
    <w:rsid w:val="3A8F74D3"/>
    <w:rsid w:val="3A904EB2"/>
    <w:rsid w:val="3A922B1F"/>
    <w:rsid w:val="3A941228"/>
    <w:rsid w:val="3A950FAF"/>
    <w:rsid w:val="3A9610E1"/>
    <w:rsid w:val="3A963C90"/>
    <w:rsid w:val="3A9643BE"/>
    <w:rsid w:val="3A970136"/>
    <w:rsid w:val="3A9745CC"/>
    <w:rsid w:val="3A976388"/>
    <w:rsid w:val="3A9C399E"/>
    <w:rsid w:val="3A9C74FA"/>
    <w:rsid w:val="3A9D66C5"/>
    <w:rsid w:val="3AA0348E"/>
    <w:rsid w:val="3AA20FB4"/>
    <w:rsid w:val="3AA27206"/>
    <w:rsid w:val="3AA840F1"/>
    <w:rsid w:val="3AAA1A91"/>
    <w:rsid w:val="3AAA7E69"/>
    <w:rsid w:val="3AAB01BA"/>
    <w:rsid w:val="3AAB3F75"/>
    <w:rsid w:val="3AAF36D1"/>
    <w:rsid w:val="3AAF722D"/>
    <w:rsid w:val="3AB10B1E"/>
    <w:rsid w:val="3AB15BFC"/>
    <w:rsid w:val="3AB40CFA"/>
    <w:rsid w:val="3AB605BC"/>
    <w:rsid w:val="3ABB3704"/>
    <w:rsid w:val="3AC30F2B"/>
    <w:rsid w:val="3AC32CD9"/>
    <w:rsid w:val="3AC40BA6"/>
    <w:rsid w:val="3AC76C6D"/>
    <w:rsid w:val="3AC96DFE"/>
    <w:rsid w:val="3ACB25A1"/>
    <w:rsid w:val="3ACB4F85"/>
    <w:rsid w:val="3ACC55F3"/>
    <w:rsid w:val="3ACD3B57"/>
    <w:rsid w:val="3ACE7FFB"/>
    <w:rsid w:val="3ACF167E"/>
    <w:rsid w:val="3AD038A8"/>
    <w:rsid w:val="3AD13648"/>
    <w:rsid w:val="3AD273C0"/>
    <w:rsid w:val="3AD42620"/>
    <w:rsid w:val="3AD46C94"/>
    <w:rsid w:val="3AD564D4"/>
    <w:rsid w:val="3ADF3BDD"/>
    <w:rsid w:val="3AE113B1"/>
    <w:rsid w:val="3AE15FCC"/>
    <w:rsid w:val="3AE57224"/>
    <w:rsid w:val="3AE710BD"/>
    <w:rsid w:val="3AEA295B"/>
    <w:rsid w:val="3AEA4709"/>
    <w:rsid w:val="3AED3D86"/>
    <w:rsid w:val="3AED7D56"/>
    <w:rsid w:val="3AEF3ACE"/>
    <w:rsid w:val="3AF02707"/>
    <w:rsid w:val="3AF13CEA"/>
    <w:rsid w:val="3AF47336"/>
    <w:rsid w:val="3AF630AE"/>
    <w:rsid w:val="3AF64E5C"/>
    <w:rsid w:val="3AF67C62"/>
    <w:rsid w:val="3AF85078"/>
    <w:rsid w:val="3AFB4FAF"/>
    <w:rsid w:val="3AFD443D"/>
    <w:rsid w:val="3AFD61EB"/>
    <w:rsid w:val="3AFE01B5"/>
    <w:rsid w:val="3B000B6B"/>
    <w:rsid w:val="3B003F2D"/>
    <w:rsid w:val="3B023801"/>
    <w:rsid w:val="3B060262"/>
    <w:rsid w:val="3B06788C"/>
    <w:rsid w:val="3B070E17"/>
    <w:rsid w:val="3B07350D"/>
    <w:rsid w:val="3B0A0908"/>
    <w:rsid w:val="3B0C0B24"/>
    <w:rsid w:val="3B0C60CF"/>
    <w:rsid w:val="3B0D21A6"/>
    <w:rsid w:val="3B11613A"/>
    <w:rsid w:val="3B134F55"/>
    <w:rsid w:val="3B1874C8"/>
    <w:rsid w:val="3B192DA3"/>
    <w:rsid w:val="3B1B01D6"/>
    <w:rsid w:val="3B1F2605"/>
    <w:rsid w:val="3B1F28E1"/>
    <w:rsid w:val="3B225C51"/>
    <w:rsid w:val="3B27770B"/>
    <w:rsid w:val="3B284357"/>
    <w:rsid w:val="3B293570"/>
    <w:rsid w:val="3B2A6027"/>
    <w:rsid w:val="3B2A6BB0"/>
    <w:rsid w:val="3B30344F"/>
    <w:rsid w:val="3B345984"/>
    <w:rsid w:val="3B3528E8"/>
    <w:rsid w:val="3B3877B1"/>
    <w:rsid w:val="3B39238D"/>
    <w:rsid w:val="3B3D75CD"/>
    <w:rsid w:val="3B3E087D"/>
    <w:rsid w:val="3B3E47CB"/>
    <w:rsid w:val="3B40257B"/>
    <w:rsid w:val="3B4172BD"/>
    <w:rsid w:val="3B443E1A"/>
    <w:rsid w:val="3B455DE4"/>
    <w:rsid w:val="3B4677B8"/>
    <w:rsid w:val="3B4E2EEA"/>
    <w:rsid w:val="3B4E4C98"/>
    <w:rsid w:val="3B5129DA"/>
    <w:rsid w:val="3B533783"/>
    <w:rsid w:val="3B540CC7"/>
    <w:rsid w:val="3B5A188F"/>
    <w:rsid w:val="3B5B73B5"/>
    <w:rsid w:val="3B5E2A01"/>
    <w:rsid w:val="3B5F0C53"/>
    <w:rsid w:val="3B6444BC"/>
    <w:rsid w:val="3B651FE2"/>
    <w:rsid w:val="3B667C69"/>
    <w:rsid w:val="3B677CF7"/>
    <w:rsid w:val="3B681342"/>
    <w:rsid w:val="3B695C27"/>
    <w:rsid w:val="3B697D24"/>
    <w:rsid w:val="3B6A75F8"/>
    <w:rsid w:val="3B6E533A"/>
    <w:rsid w:val="3B6E70E8"/>
    <w:rsid w:val="3B705766"/>
    <w:rsid w:val="3B712735"/>
    <w:rsid w:val="3B732951"/>
    <w:rsid w:val="3B7361F5"/>
    <w:rsid w:val="3B766366"/>
    <w:rsid w:val="3B781D15"/>
    <w:rsid w:val="3B7A3CDF"/>
    <w:rsid w:val="3B7A783B"/>
    <w:rsid w:val="3B7B66FA"/>
    <w:rsid w:val="3B7C2623"/>
    <w:rsid w:val="3B7C68DA"/>
    <w:rsid w:val="3B7D557D"/>
    <w:rsid w:val="3B7F1543"/>
    <w:rsid w:val="3B7F1E02"/>
    <w:rsid w:val="3B806E1C"/>
    <w:rsid w:val="3B831518"/>
    <w:rsid w:val="3B83339B"/>
    <w:rsid w:val="3B842468"/>
    <w:rsid w:val="3B857440"/>
    <w:rsid w:val="3B871F58"/>
    <w:rsid w:val="3B8763FC"/>
    <w:rsid w:val="3B894755"/>
    <w:rsid w:val="3B8A5BD4"/>
    <w:rsid w:val="3B8B692F"/>
    <w:rsid w:val="3B8C57C0"/>
    <w:rsid w:val="3B8D5297"/>
    <w:rsid w:val="3B8F3312"/>
    <w:rsid w:val="3B906743"/>
    <w:rsid w:val="3B924897"/>
    <w:rsid w:val="3B925F2C"/>
    <w:rsid w:val="3B93261D"/>
    <w:rsid w:val="3B9701D8"/>
    <w:rsid w:val="3B974891"/>
    <w:rsid w:val="3B9823B7"/>
    <w:rsid w:val="3B994E02"/>
    <w:rsid w:val="3B9B77FE"/>
    <w:rsid w:val="3BA27D27"/>
    <w:rsid w:val="3BA62369"/>
    <w:rsid w:val="3BA73D0D"/>
    <w:rsid w:val="3BAB07ED"/>
    <w:rsid w:val="3BAF52E8"/>
    <w:rsid w:val="3BB16741"/>
    <w:rsid w:val="3BB970C6"/>
    <w:rsid w:val="3BBB1CFC"/>
    <w:rsid w:val="3BBD597A"/>
    <w:rsid w:val="3BBD7D90"/>
    <w:rsid w:val="3BC1546A"/>
    <w:rsid w:val="3BC46D08"/>
    <w:rsid w:val="3BC57EFE"/>
    <w:rsid w:val="3BC66F24"/>
    <w:rsid w:val="3BC67995"/>
    <w:rsid w:val="3BC82BB4"/>
    <w:rsid w:val="3BC94845"/>
    <w:rsid w:val="3BCB5424"/>
    <w:rsid w:val="3BCD6E05"/>
    <w:rsid w:val="3BD80A06"/>
    <w:rsid w:val="3BDC16AF"/>
    <w:rsid w:val="3BDD14DC"/>
    <w:rsid w:val="3BE10E6E"/>
    <w:rsid w:val="3BE42917"/>
    <w:rsid w:val="3BE47317"/>
    <w:rsid w:val="3BE612DE"/>
    <w:rsid w:val="3BE61375"/>
    <w:rsid w:val="3BE64ED1"/>
    <w:rsid w:val="3BE907AF"/>
    <w:rsid w:val="3BF70E8C"/>
    <w:rsid w:val="3BF9665A"/>
    <w:rsid w:val="3BFC46F4"/>
    <w:rsid w:val="3BFD046C"/>
    <w:rsid w:val="3BFF41E4"/>
    <w:rsid w:val="3C007309"/>
    <w:rsid w:val="3C017C3C"/>
    <w:rsid w:val="3C096E11"/>
    <w:rsid w:val="3C0D0B7F"/>
    <w:rsid w:val="3C0E2679"/>
    <w:rsid w:val="3C0E61D6"/>
    <w:rsid w:val="3C1001A0"/>
    <w:rsid w:val="3C101F4E"/>
    <w:rsid w:val="3C123F18"/>
    <w:rsid w:val="3C13304C"/>
    <w:rsid w:val="3C1767AB"/>
    <w:rsid w:val="3C177780"/>
    <w:rsid w:val="3C187054"/>
    <w:rsid w:val="3C1A3962"/>
    <w:rsid w:val="3C1C08F2"/>
    <w:rsid w:val="3C1D1103"/>
    <w:rsid w:val="3C1E28BD"/>
    <w:rsid w:val="3C20265B"/>
    <w:rsid w:val="3C2123AD"/>
    <w:rsid w:val="3C221C81"/>
    <w:rsid w:val="3C231E00"/>
    <w:rsid w:val="3C234EA5"/>
    <w:rsid w:val="3C243C4B"/>
    <w:rsid w:val="3C261771"/>
    <w:rsid w:val="3C262C09"/>
    <w:rsid w:val="3C277297"/>
    <w:rsid w:val="3C277F6E"/>
    <w:rsid w:val="3C2C4218"/>
    <w:rsid w:val="3C2F4ACA"/>
    <w:rsid w:val="3C300842"/>
    <w:rsid w:val="3C30439E"/>
    <w:rsid w:val="3C3176E4"/>
    <w:rsid w:val="3C320447"/>
    <w:rsid w:val="3C3245BA"/>
    <w:rsid w:val="3C385BBC"/>
    <w:rsid w:val="3C3C2D43"/>
    <w:rsid w:val="3C3D72AA"/>
    <w:rsid w:val="3C3F2363"/>
    <w:rsid w:val="3C4165AB"/>
    <w:rsid w:val="3C4452EA"/>
    <w:rsid w:val="3C4B1FA8"/>
    <w:rsid w:val="3C4D4F50"/>
    <w:rsid w:val="3C504A40"/>
    <w:rsid w:val="3C522566"/>
    <w:rsid w:val="3C53017F"/>
    <w:rsid w:val="3C577B7C"/>
    <w:rsid w:val="3C59493B"/>
    <w:rsid w:val="3C597D99"/>
    <w:rsid w:val="3C5A3EF9"/>
    <w:rsid w:val="3C5A58BF"/>
    <w:rsid w:val="3C5C33E5"/>
    <w:rsid w:val="3C5E0F0B"/>
    <w:rsid w:val="3C5E62B4"/>
    <w:rsid w:val="3C5F4C83"/>
    <w:rsid w:val="3C65673D"/>
    <w:rsid w:val="3C671691"/>
    <w:rsid w:val="3C697D36"/>
    <w:rsid w:val="3C6F3118"/>
    <w:rsid w:val="3C7212CC"/>
    <w:rsid w:val="3C7423DC"/>
    <w:rsid w:val="3C746980"/>
    <w:rsid w:val="3C7474B8"/>
    <w:rsid w:val="3C776471"/>
    <w:rsid w:val="3C784FE0"/>
    <w:rsid w:val="3C7875EC"/>
    <w:rsid w:val="3C7921E9"/>
    <w:rsid w:val="3C793F97"/>
    <w:rsid w:val="3C7B47BA"/>
    <w:rsid w:val="3C7B5B5E"/>
    <w:rsid w:val="3C7F1018"/>
    <w:rsid w:val="3C81109D"/>
    <w:rsid w:val="3C8A1D00"/>
    <w:rsid w:val="3C8C1F1C"/>
    <w:rsid w:val="3C8D17F0"/>
    <w:rsid w:val="3C925059"/>
    <w:rsid w:val="3C954D55"/>
    <w:rsid w:val="3C985175"/>
    <w:rsid w:val="3C9E12EB"/>
    <w:rsid w:val="3C9E1C4F"/>
    <w:rsid w:val="3CA0118D"/>
    <w:rsid w:val="3CA30225"/>
    <w:rsid w:val="3CA37A53"/>
    <w:rsid w:val="3CA52FDE"/>
    <w:rsid w:val="3CA553D5"/>
    <w:rsid w:val="3CA62EF7"/>
    <w:rsid w:val="3CAB1C76"/>
    <w:rsid w:val="3CAC611A"/>
    <w:rsid w:val="3CAF42BA"/>
    <w:rsid w:val="3CB23005"/>
    <w:rsid w:val="3CB74ABF"/>
    <w:rsid w:val="3CB75632"/>
    <w:rsid w:val="3CB8451B"/>
    <w:rsid w:val="3CB91EF7"/>
    <w:rsid w:val="3CBC3E83"/>
    <w:rsid w:val="3CBE5E91"/>
    <w:rsid w:val="3CC05167"/>
    <w:rsid w:val="3CC2593E"/>
    <w:rsid w:val="3CC35212"/>
    <w:rsid w:val="3CC86196"/>
    <w:rsid w:val="3CC86CCC"/>
    <w:rsid w:val="3CCA5548"/>
    <w:rsid w:val="3CCB2319"/>
    <w:rsid w:val="3CCB40C7"/>
    <w:rsid w:val="3CCC056A"/>
    <w:rsid w:val="3CCD7F97"/>
    <w:rsid w:val="3CCE7B79"/>
    <w:rsid w:val="3CCF005B"/>
    <w:rsid w:val="3CCF1E09"/>
    <w:rsid w:val="3CCF2851"/>
    <w:rsid w:val="3CD13DD3"/>
    <w:rsid w:val="3CD32AA5"/>
    <w:rsid w:val="3CD47F2D"/>
    <w:rsid w:val="3CD72A6B"/>
    <w:rsid w:val="3CD74D6F"/>
    <w:rsid w:val="3CD76715"/>
    <w:rsid w:val="3CD967E3"/>
    <w:rsid w:val="3CDA2F3F"/>
    <w:rsid w:val="3CDB1237"/>
    <w:rsid w:val="3CDC5A84"/>
    <w:rsid w:val="3CDC62D4"/>
    <w:rsid w:val="3CDE204C"/>
    <w:rsid w:val="3CDE3DFA"/>
    <w:rsid w:val="3CDF7D60"/>
    <w:rsid w:val="3CE13968"/>
    <w:rsid w:val="3CE21B3C"/>
    <w:rsid w:val="3CE36F49"/>
    <w:rsid w:val="3CE5162C"/>
    <w:rsid w:val="3CE55188"/>
    <w:rsid w:val="3CE60A46"/>
    <w:rsid w:val="3CEA09F1"/>
    <w:rsid w:val="3CEB6517"/>
    <w:rsid w:val="3CEF24AB"/>
    <w:rsid w:val="3CF11D7F"/>
    <w:rsid w:val="3CF616E8"/>
    <w:rsid w:val="3CF70E32"/>
    <w:rsid w:val="3CF9310E"/>
    <w:rsid w:val="3CF950D8"/>
    <w:rsid w:val="3CFB4907"/>
    <w:rsid w:val="3CFE59F4"/>
    <w:rsid w:val="3D000214"/>
    <w:rsid w:val="3D0329CE"/>
    <w:rsid w:val="3D053A7C"/>
    <w:rsid w:val="3D071314"/>
    <w:rsid w:val="3D0715A3"/>
    <w:rsid w:val="3D09356D"/>
    <w:rsid w:val="3D0C4E0B"/>
    <w:rsid w:val="3D0C6BB9"/>
    <w:rsid w:val="3D111306"/>
    <w:rsid w:val="3D121CF5"/>
    <w:rsid w:val="3D12435D"/>
    <w:rsid w:val="3D140F5C"/>
    <w:rsid w:val="3D141F11"/>
    <w:rsid w:val="3D1617E6"/>
    <w:rsid w:val="3D192527"/>
    <w:rsid w:val="3D1C447A"/>
    <w:rsid w:val="3D1E390A"/>
    <w:rsid w:val="3D211F38"/>
    <w:rsid w:val="3D22018A"/>
    <w:rsid w:val="3D2460F5"/>
    <w:rsid w:val="3D2832C7"/>
    <w:rsid w:val="3D295CC1"/>
    <w:rsid w:val="3D2A69F0"/>
    <w:rsid w:val="3D2C1DB3"/>
    <w:rsid w:val="3D2C764F"/>
    <w:rsid w:val="3D347271"/>
    <w:rsid w:val="3D35635B"/>
    <w:rsid w:val="3D363C36"/>
    <w:rsid w:val="3D385C00"/>
    <w:rsid w:val="3D393726"/>
    <w:rsid w:val="3D3A2C46"/>
    <w:rsid w:val="3D3A7941"/>
    <w:rsid w:val="3D3B59D5"/>
    <w:rsid w:val="3D3E1DDD"/>
    <w:rsid w:val="3D3F248B"/>
    <w:rsid w:val="3D40208C"/>
    <w:rsid w:val="3D404AB5"/>
    <w:rsid w:val="3D406863"/>
    <w:rsid w:val="3D4358D5"/>
    <w:rsid w:val="3D45031D"/>
    <w:rsid w:val="3D4520CB"/>
    <w:rsid w:val="3D487517"/>
    <w:rsid w:val="3D4C3459"/>
    <w:rsid w:val="3D4C6259"/>
    <w:rsid w:val="3D4D6987"/>
    <w:rsid w:val="3D4F6AA6"/>
    <w:rsid w:val="3D516CC2"/>
    <w:rsid w:val="3D5466D8"/>
    <w:rsid w:val="3D54685A"/>
    <w:rsid w:val="3D5530E1"/>
    <w:rsid w:val="3D567E34"/>
    <w:rsid w:val="3D57037E"/>
    <w:rsid w:val="3D5751DB"/>
    <w:rsid w:val="3D5B18EE"/>
    <w:rsid w:val="3D5D5666"/>
    <w:rsid w:val="3D5F318D"/>
    <w:rsid w:val="3D605AF2"/>
    <w:rsid w:val="3D607332"/>
    <w:rsid w:val="3D670293"/>
    <w:rsid w:val="3D6A1B31"/>
    <w:rsid w:val="3D6A222A"/>
    <w:rsid w:val="3D6C29C5"/>
    <w:rsid w:val="3D6D517E"/>
    <w:rsid w:val="3D714C6E"/>
    <w:rsid w:val="3D716A94"/>
    <w:rsid w:val="3D746AA0"/>
    <w:rsid w:val="3D7529B0"/>
    <w:rsid w:val="3D7A5B4B"/>
    <w:rsid w:val="3D7A7FC6"/>
    <w:rsid w:val="3D7C2E18"/>
    <w:rsid w:val="3D7C2FEC"/>
    <w:rsid w:val="3D7E1B4A"/>
    <w:rsid w:val="3D7E738B"/>
    <w:rsid w:val="3D804EB1"/>
    <w:rsid w:val="3D813F9B"/>
    <w:rsid w:val="3D8A5B15"/>
    <w:rsid w:val="3D8A7087"/>
    <w:rsid w:val="3D8B543F"/>
    <w:rsid w:val="3D8B5C36"/>
    <w:rsid w:val="3D8B6100"/>
    <w:rsid w:val="3D8E75CE"/>
    <w:rsid w:val="3D98669F"/>
    <w:rsid w:val="3D9A41C5"/>
    <w:rsid w:val="3D9A76D5"/>
    <w:rsid w:val="3D9B642E"/>
    <w:rsid w:val="3D9C0D3E"/>
    <w:rsid w:val="3D9C3781"/>
    <w:rsid w:val="3D9D3CB5"/>
    <w:rsid w:val="3D9F17DB"/>
    <w:rsid w:val="3D9F50BB"/>
    <w:rsid w:val="3DA05553"/>
    <w:rsid w:val="3DA07301"/>
    <w:rsid w:val="3DA54F33"/>
    <w:rsid w:val="3DA775A3"/>
    <w:rsid w:val="3DA865E0"/>
    <w:rsid w:val="3DA87EEF"/>
    <w:rsid w:val="3DA912E1"/>
    <w:rsid w:val="3DAA4092"/>
    <w:rsid w:val="3DAC3EF8"/>
    <w:rsid w:val="3DAF1CDD"/>
    <w:rsid w:val="3DAF5796"/>
    <w:rsid w:val="3DB42DAD"/>
    <w:rsid w:val="3DB65977"/>
    <w:rsid w:val="3DBA7D5D"/>
    <w:rsid w:val="3DBF6CA9"/>
    <w:rsid w:val="3DC2196D"/>
    <w:rsid w:val="3DC456E6"/>
    <w:rsid w:val="3DC63086"/>
    <w:rsid w:val="3DC660E6"/>
    <w:rsid w:val="3DCE20C0"/>
    <w:rsid w:val="3DCE3E6E"/>
    <w:rsid w:val="3DD07C2E"/>
    <w:rsid w:val="3DD220D5"/>
    <w:rsid w:val="3DD314BA"/>
    <w:rsid w:val="3DD35929"/>
    <w:rsid w:val="3DD40A79"/>
    <w:rsid w:val="3DD60F75"/>
    <w:rsid w:val="3DD671C7"/>
    <w:rsid w:val="3DD82F3F"/>
    <w:rsid w:val="3DDA0A65"/>
    <w:rsid w:val="3DDA6CB7"/>
    <w:rsid w:val="3DDC47DD"/>
    <w:rsid w:val="3DE01A28"/>
    <w:rsid w:val="3DE051EE"/>
    <w:rsid w:val="3DE21C94"/>
    <w:rsid w:val="3DE2392C"/>
    <w:rsid w:val="3DE37141"/>
    <w:rsid w:val="3DE41DD3"/>
    <w:rsid w:val="3DE6740A"/>
    <w:rsid w:val="3DEA67CE"/>
    <w:rsid w:val="3DEC5CC6"/>
    <w:rsid w:val="3DEE4511"/>
    <w:rsid w:val="3DF24001"/>
    <w:rsid w:val="3DF37D79"/>
    <w:rsid w:val="3DF77869"/>
    <w:rsid w:val="3DFD1D09"/>
    <w:rsid w:val="3DFD4754"/>
    <w:rsid w:val="3DFF671E"/>
    <w:rsid w:val="3E012496"/>
    <w:rsid w:val="3E014244"/>
    <w:rsid w:val="3E0203F7"/>
    <w:rsid w:val="3E027FBC"/>
    <w:rsid w:val="3E03620E"/>
    <w:rsid w:val="3E046634"/>
    <w:rsid w:val="3E057E5C"/>
    <w:rsid w:val="3E063608"/>
    <w:rsid w:val="3E083824"/>
    <w:rsid w:val="3E0C469C"/>
    <w:rsid w:val="3E0D0E3B"/>
    <w:rsid w:val="3E0D2F0E"/>
    <w:rsid w:val="3E0E070F"/>
    <w:rsid w:val="3E0E2161"/>
    <w:rsid w:val="3E1026D9"/>
    <w:rsid w:val="3E171CB9"/>
    <w:rsid w:val="3E186E54"/>
    <w:rsid w:val="3E194DFA"/>
    <w:rsid w:val="3E1A79B5"/>
    <w:rsid w:val="3E1B591F"/>
    <w:rsid w:val="3E1D40B2"/>
    <w:rsid w:val="3E1F0B6E"/>
    <w:rsid w:val="3E23240C"/>
    <w:rsid w:val="3E265A58"/>
    <w:rsid w:val="3E2717D1"/>
    <w:rsid w:val="3E290C0A"/>
    <w:rsid w:val="3E2919ED"/>
    <w:rsid w:val="3E2938F6"/>
    <w:rsid w:val="3E295549"/>
    <w:rsid w:val="3E2B306F"/>
    <w:rsid w:val="3E2B558B"/>
    <w:rsid w:val="3E2C6DE7"/>
    <w:rsid w:val="3E2D376A"/>
    <w:rsid w:val="3E2F1D93"/>
    <w:rsid w:val="3E3208A1"/>
    <w:rsid w:val="3E341870"/>
    <w:rsid w:val="3E375EB7"/>
    <w:rsid w:val="3E391C30"/>
    <w:rsid w:val="3E391FCF"/>
    <w:rsid w:val="3E3A575D"/>
    <w:rsid w:val="3E3A7756"/>
    <w:rsid w:val="3E3D7CA5"/>
    <w:rsid w:val="3E410AE4"/>
    <w:rsid w:val="3E42660A"/>
    <w:rsid w:val="3E460FEB"/>
    <w:rsid w:val="3E4660FB"/>
    <w:rsid w:val="3E4668D1"/>
    <w:rsid w:val="3E4A66E2"/>
    <w:rsid w:val="3E4C78F7"/>
    <w:rsid w:val="3E4D7489"/>
    <w:rsid w:val="3E4F5FC7"/>
    <w:rsid w:val="3E500D27"/>
    <w:rsid w:val="3E510E13"/>
    <w:rsid w:val="3E5636F5"/>
    <w:rsid w:val="3E566026"/>
    <w:rsid w:val="3E573E64"/>
    <w:rsid w:val="3E5D15DE"/>
    <w:rsid w:val="3E5E1696"/>
    <w:rsid w:val="3E5F71BC"/>
    <w:rsid w:val="3E611186"/>
    <w:rsid w:val="3E613B53"/>
    <w:rsid w:val="3E64108F"/>
    <w:rsid w:val="3E641245"/>
    <w:rsid w:val="3E693D35"/>
    <w:rsid w:val="3E6A003B"/>
    <w:rsid w:val="3E6B2544"/>
    <w:rsid w:val="3E6B3DB3"/>
    <w:rsid w:val="3E6F6F6D"/>
    <w:rsid w:val="3E740EBA"/>
    <w:rsid w:val="3E75078E"/>
    <w:rsid w:val="3E7762B4"/>
    <w:rsid w:val="3E79027E"/>
    <w:rsid w:val="3E7F160D"/>
    <w:rsid w:val="3E85536A"/>
    <w:rsid w:val="3E8804C1"/>
    <w:rsid w:val="3E895FE7"/>
    <w:rsid w:val="3E8D3D29"/>
    <w:rsid w:val="3E906080"/>
    <w:rsid w:val="3E911343"/>
    <w:rsid w:val="3E916C1F"/>
    <w:rsid w:val="3E924262"/>
    <w:rsid w:val="3E94479A"/>
    <w:rsid w:val="3E950E30"/>
    <w:rsid w:val="3E976956"/>
    <w:rsid w:val="3E99447C"/>
    <w:rsid w:val="3E9C1829"/>
    <w:rsid w:val="3E9C21BE"/>
    <w:rsid w:val="3E9C707D"/>
    <w:rsid w:val="3E9F1B81"/>
    <w:rsid w:val="3EA12549"/>
    <w:rsid w:val="3EA13295"/>
    <w:rsid w:val="3EA177D5"/>
    <w:rsid w:val="3EA17E71"/>
    <w:rsid w:val="3EA50AA3"/>
    <w:rsid w:val="3EAC1033"/>
    <w:rsid w:val="3EAD3FF2"/>
    <w:rsid w:val="3EAD435E"/>
    <w:rsid w:val="3EAF1EF2"/>
    <w:rsid w:val="3EAF2B6F"/>
    <w:rsid w:val="3EAF3CA0"/>
    <w:rsid w:val="3EAF565D"/>
    <w:rsid w:val="3EB017C6"/>
    <w:rsid w:val="3EB07A18"/>
    <w:rsid w:val="3EB219E2"/>
    <w:rsid w:val="3EB43064"/>
    <w:rsid w:val="3EB76FF8"/>
    <w:rsid w:val="3EB954B1"/>
    <w:rsid w:val="3EBC63BD"/>
    <w:rsid w:val="3EBC6496"/>
    <w:rsid w:val="3EBD75C8"/>
    <w:rsid w:val="3EBE0387"/>
    <w:rsid w:val="3EBE385B"/>
    <w:rsid w:val="3EBF7C5B"/>
    <w:rsid w:val="3EC2309F"/>
    <w:rsid w:val="3EC314F9"/>
    <w:rsid w:val="3EC534C3"/>
    <w:rsid w:val="3EC7548D"/>
    <w:rsid w:val="3EC83EB7"/>
    <w:rsid w:val="3ECA0EC0"/>
    <w:rsid w:val="3ECC2AA4"/>
    <w:rsid w:val="3ECD6BFD"/>
    <w:rsid w:val="3ECF7A14"/>
    <w:rsid w:val="3ED01E68"/>
    <w:rsid w:val="3ED3056A"/>
    <w:rsid w:val="3ED656D0"/>
    <w:rsid w:val="3ED723E2"/>
    <w:rsid w:val="3ED83CAB"/>
    <w:rsid w:val="3EDE4585"/>
    <w:rsid w:val="3EE04C6E"/>
    <w:rsid w:val="3EE11AF9"/>
    <w:rsid w:val="3EE33949"/>
    <w:rsid w:val="3EE37DED"/>
    <w:rsid w:val="3EE47888"/>
    <w:rsid w:val="3EE6168C"/>
    <w:rsid w:val="3EE93EED"/>
    <w:rsid w:val="3EED6576"/>
    <w:rsid w:val="3EF11343"/>
    <w:rsid w:val="3EF148F5"/>
    <w:rsid w:val="3EF21DDE"/>
    <w:rsid w:val="3EF40282"/>
    <w:rsid w:val="3EF45B57"/>
    <w:rsid w:val="3EF468B7"/>
    <w:rsid w:val="3EF7319B"/>
    <w:rsid w:val="3EF73899"/>
    <w:rsid w:val="3EF8635E"/>
    <w:rsid w:val="3EF86F91"/>
    <w:rsid w:val="3EFA132E"/>
    <w:rsid w:val="3EFC0ABC"/>
    <w:rsid w:val="3F03515F"/>
    <w:rsid w:val="3F044CED"/>
    <w:rsid w:val="3F051FBF"/>
    <w:rsid w:val="3F06105C"/>
    <w:rsid w:val="3F087854"/>
    <w:rsid w:val="3F0D4E6A"/>
    <w:rsid w:val="3F116709"/>
    <w:rsid w:val="3F160DD8"/>
    <w:rsid w:val="3F1735AD"/>
    <w:rsid w:val="3F1B1335"/>
    <w:rsid w:val="3F1E4982"/>
    <w:rsid w:val="3F20694C"/>
    <w:rsid w:val="3F2446B7"/>
    <w:rsid w:val="3F285800"/>
    <w:rsid w:val="3F2969DF"/>
    <w:rsid w:val="3F2B06A0"/>
    <w:rsid w:val="3F2C03A4"/>
    <w:rsid w:val="3F2C3542"/>
    <w:rsid w:val="3F2F35E8"/>
    <w:rsid w:val="3F2F4DE1"/>
    <w:rsid w:val="3F300ECA"/>
    <w:rsid w:val="3F32667F"/>
    <w:rsid w:val="3F34781A"/>
    <w:rsid w:val="3F370BCB"/>
    <w:rsid w:val="3F397A0D"/>
    <w:rsid w:val="3F3C0F1B"/>
    <w:rsid w:val="3F3C6758"/>
    <w:rsid w:val="3F3E3276"/>
    <w:rsid w:val="3F3E40E9"/>
    <w:rsid w:val="3F3F643B"/>
    <w:rsid w:val="3F411998"/>
    <w:rsid w:val="3F424B14"/>
    <w:rsid w:val="3F48643C"/>
    <w:rsid w:val="3F4E6449"/>
    <w:rsid w:val="3F51030A"/>
    <w:rsid w:val="3F520ACF"/>
    <w:rsid w:val="3F566811"/>
    <w:rsid w:val="3F5A2E5F"/>
    <w:rsid w:val="3F5B23D4"/>
    <w:rsid w:val="3F5D5151"/>
    <w:rsid w:val="3F5D679C"/>
    <w:rsid w:val="3F5E04AD"/>
    <w:rsid w:val="3F5E7474"/>
    <w:rsid w:val="3F6031EC"/>
    <w:rsid w:val="3F604F9A"/>
    <w:rsid w:val="3F632CDC"/>
    <w:rsid w:val="3F6525B0"/>
    <w:rsid w:val="3F67457A"/>
    <w:rsid w:val="3F6C393F"/>
    <w:rsid w:val="3F6E32DF"/>
    <w:rsid w:val="3F6E64A8"/>
    <w:rsid w:val="3F6F1E30"/>
    <w:rsid w:val="3F7168F2"/>
    <w:rsid w:val="3F735883"/>
    <w:rsid w:val="3F742F66"/>
    <w:rsid w:val="3F743FC9"/>
    <w:rsid w:val="3F746C97"/>
    <w:rsid w:val="3F78162B"/>
    <w:rsid w:val="3F781A69"/>
    <w:rsid w:val="3F79189D"/>
    <w:rsid w:val="3F7A2500"/>
    <w:rsid w:val="3F7B6278"/>
    <w:rsid w:val="3F7F0E8E"/>
    <w:rsid w:val="3F7F666B"/>
    <w:rsid w:val="3F85289A"/>
    <w:rsid w:val="3F88629F"/>
    <w:rsid w:val="3F892743"/>
    <w:rsid w:val="3F8D7D20"/>
    <w:rsid w:val="3F8E7D59"/>
    <w:rsid w:val="3F8F762D"/>
    <w:rsid w:val="3F9115F7"/>
    <w:rsid w:val="3F9133A5"/>
    <w:rsid w:val="3F91350E"/>
    <w:rsid w:val="3F9335C1"/>
    <w:rsid w:val="3F93536F"/>
    <w:rsid w:val="3F936429"/>
    <w:rsid w:val="3F9609BC"/>
    <w:rsid w:val="3F982986"/>
    <w:rsid w:val="3F983332"/>
    <w:rsid w:val="3F9904AC"/>
    <w:rsid w:val="3F991A0E"/>
    <w:rsid w:val="3F9B2476"/>
    <w:rsid w:val="3F9C138B"/>
    <w:rsid w:val="3F9D450B"/>
    <w:rsid w:val="3F9F1F66"/>
    <w:rsid w:val="3FA07A8C"/>
    <w:rsid w:val="3FA4132B"/>
    <w:rsid w:val="3FA4757D"/>
    <w:rsid w:val="3FA532F5"/>
    <w:rsid w:val="3FA535C4"/>
    <w:rsid w:val="3FA83B3C"/>
    <w:rsid w:val="3FA94B93"/>
    <w:rsid w:val="3FA96941"/>
    <w:rsid w:val="3FAA4D9C"/>
    <w:rsid w:val="3FAC7296"/>
    <w:rsid w:val="3FB35A12"/>
    <w:rsid w:val="3FB35BEC"/>
    <w:rsid w:val="3FB6105E"/>
    <w:rsid w:val="3FBB0422"/>
    <w:rsid w:val="3FBD3924"/>
    <w:rsid w:val="3FBF6165"/>
    <w:rsid w:val="3FC1012F"/>
    <w:rsid w:val="3FC20213"/>
    <w:rsid w:val="3FC3686F"/>
    <w:rsid w:val="3FC36A25"/>
    <w:rsid w:val="3FC41290"/>
    <w:rsid w:val="3FC512A1"/>
    <w:rsid w:val="3FC574F3"/>
    <w:rsid w:val="3FC65745"/>
    <w:rsid w:val="3FC979D1"/>
    <w:rsid w:val="3FCE45FA"/>
    <w:rsid w:val="3FD40B3B"/>
    <w:rsid w:val="3FD44D7F"/>
    <w:rsid w:val="3FD57736"/>
    <w:rsid w:val="3FD61700"/>
    <w:rsid w:val="3FD83EB6"/>
    <w:rsid w:val="3FDA11F0"/>
    <w:rsid w:val="3FDC2791"/>
    <w:rsid w:val="3FDD65EB"/>
    <w:rsid w:val="3FDE5383"/>
    <w:rsid w:val="3FDE56EE"/>
    <w:rsid w:val="3FE03D4A"/>
    <w:rsid w:val="3FE200A5"/>
    <w:rsid w:val="3FE23C01"/>
    <w:rsid w:val="3FE47979"/>
    <w:rsid w:val="3FE55380"/>
    <w:rsid w:val="3FE61943"/>
    <w:rsid w:val="3FE70ED2"/>
    <w:rsid w:val="3FE77469"/>
    <w:rsid w:val="3FE8319B"/>
    <w:rsid w:val="3FE931E1"/>
    <w:rsid w:val="3FEA48D8"/>
    <w:rsid w:val="3FEA7A90"/>
    <w:rsid w:val="3FEB3020"/>
    <w:rsid w:val="3FEB51AC"/>
    <w:rsid w:val="3FED758E"/>
    <w:rsid w:val="3FEF577B"/>
    <w:rsid w:val="3FEF631E"/>
    <w:rsid w:val="3FF00926"/>
    <w:rsid w:val="3FF46142"/>
    <w:rsid w:val="3FF51B86"/>
    <w:rsid w:val="3FF676AC"/>
    <w:rsid w:val="3FFC1C67"/>
    <w:rsid w:val="3FFC24DE"/>
    <w:rsid w:val="3FFD6C8D"/>
    <w:rsid w:val="3FFE2182"/>
    <w:rsid w:val="3FFF0C57"/>
    <w:rsid w:val="4001087F"/>
    <w:rsid w:val="400242A3"/>
    <w:rsid w:val="40061FE5"/>
    <w:rsid w:val="40095632"/>
    <w:rsid w:val="400A3C36"/>
    <w:rsid w:val="400B3158"/>
    <w:rsid w:val="400C5EB9"/>
    <w:rsid w:val="400D74EB"/>
    <w:rsid w:val="4012098A"/>
    <w:rsid w:val="4013025E"/>
    <w:rsid w:val="40132D5E"/>
    <w:rsid w:val="40167D4F"/>
    <w:rsid w:val="40171C89"/>
    <w:rsid w:val="401A15ED"/>
    <w:rsid w:val="401B44D0"/>
    <w:rsid w:val="401B483B"/>
    <w:rsid w:val="401F4E55"/>
    <w:rsid w:val="40202755"/>
    <w:rsid w:val="40224945"/>
    <w:rsid w:val="402266F3"/>
    <w:rsid w:val="40251D40"/>
    <w:rsid w:val="402611B6"/>
    <w:rsid w:val="40267F92"/>
    <w:rsid w:val="40275AB8"/>
    <w:rsid w:val="40287F7B"/>
    <w:rsid w:val="402A3E6D"/>
    <w:rsid w:val="4033445D"/>
    <w:rsid w:val="40363199"/>
    <w:rsid w:val="40363F4D"/>
    <w:rsid w:val="40372082"/>
    <w:rsid w:val="403778FD"/>
    <w:rsid w:val="403C5A07"/>
    <w:rsid w:val="4042414A"/>
    <w:rsid w:val="4047744F"/>
    <w:rsid w:val="404926E7"/>
    <w:rsid w:val="40532D51"/>
    <w:rsid w:val="405373A7"/>
    <w:rsid w:val="40537F9E"/>
    <w:rsid w:val="40546FB4"/>
    <w:rsid w:val="405A3595"/>
    <w:rsid w:val="405A40DF"/>
    <w:rsid w:val="405D772B"/>
    <w:rsid w:val="405E3BCF"/>
    <w:rsid w:val="406219CE"/>
    <w:rsid w:val="406A518C"/>
    <w:rsid w:val="406B3DDC"/>
    <w:rsid w:val="406B7369"/>
    <w:rsid w:val="406F6A92"/>
    <w:rsid w:val="40713AD5"/>
    <w:rsid w:val="407231D7"/>
    <w:rsid w:val="40752CC7"/>
    <w:rsid w:val="40784565"/>
    <w:rsid w:val="407927B7"/>
    <w:rsid w:val="40796425"/>
    <w:rsid w:val="407F76A2"/>
    <w:rsid w:val="40805A26"/>
    <w:rsid w:val="4084115C"/>
    <w:rsid w:val="40864ED4"/>
    <w:rsid w:val="408B4299"/>
    <w:rsid w:val="408D6263"/>
    <w:rsid w:val="4093153B"/>
    <w:rsid w:val="40940DD2"/>
    <w:rsid w:val="40970E8F"/>
    <w:rsid w:val="40980764"/>
    <w:rsid w:val="409A0980"/>
    <w:rsid w:val="409B1044"/>
    <w:rsid w:val="409C64A6"/>
    <w:rsid w:val="409E3FCC"/>
    <w:rsid w:val="40A06181"/>
    <w:rsid w:val="40A13ABC"/>
    <w:rsid w:val="40A1586A"/>
    <w:rsid w:val="40A4535A"/>
    <w:rsid w:val="40A833C5"/>
    <w:rsid w:val="40A86BF9"/>
    <w:rsid w:val="40AB3AED"/>
    <w:rsid w:val="40AB66E9"/>
    <w:rsid w:val="40AC270D"/>
    <w:rsid w:val="40AE7C64"/>
    <w:rsid w:val="40B02560"/>
    <w:rsid w:val="40B3734D"/>
    <w:rsid w:val="40B51316"/>
    <w:rsid w:val="40B60FC7"/>
    <w:rsid w:val="40B643D5"/>
    <w:rsid w:val="40B97058"/>
    <w:rsid w:val="40BC08F6"/>
    <w:rsid w:val="40BD7A4C"/>
    <w:rsid w:val="40C003E6"/>
    <w:rsid w:val="40C355D0"/>
    <w:rsid w:val="40C451A5"/>
    <w:rsid w:val="40C61775"/>
    <w:rsid w:val="40C72178"/>
    <w:rsid w:val="40CD665F"/>
    <w:rsid w:val="40CE2CB8"/>
    <w:rsid w:val="40D0614F"/>
    <w:rsid w:val="40D20C01"/>
    <w:rsid w:val="40D24A15"/>
    <w:rsid w:val="40D429F8"/>
    <w:rsid w:val="40D43E92"/>
    <w:rsid w:val="40D70161"/>
    <w:rsid w:val="40D82DFB"/>
    <w:rsid w:val="40D92D37"/>
    <w:rsid w:val="40DA4E47"/>
    <w:rsid w:val="40DB6A51"/>
    <w:rsid w:val="40DC28F6"/>
    <w:rsid w:val="40DC68A2"/>
    <w:rsid w:val="40DE261A"/>
    <w:rsid w:val="40DF0D44"/>
    <w:rsid w:val="40E031C9"/>
    <w:rsid w:val="40E13EB9"/>
    <w:rsid w:val="40E14423"/>
    <w:rsid w:val="40E175F5"/>
    <w:rsid w:val="40E312F7"/>
    <w:rsid w:val="40E35E83"/>
    <w:rsid w:val="40E51BFB"/>
    <w:rsid w:val="40E63D94"/>
    <w:rsid w:val="40E70220"/>
    <w:rsid w:val="40E85247"/>
    <w:rsid w:val="40EB0FA9"/>
    <w:rsid w:val="40EB1D66"/>
    <w:rsid w:val="40EB2F89"/>
    <w:rsid w:val="40ED6D01"/>
    <w:rsid w:val="40EF4827"/>
    <w:rsid w:val="40F10D6E"/>
    <w:rsid w:val="40F167F2"/>
    <w:rsid w:val="40F40090"/>
    <w:rsid w:val="40F41E3E"/>
    <w:rsid w:val="40F47828"/>
    <w:rsid w:val="40F57964"/>
    <w:rsid w:val="40F736DC"/>
    <w:rsid w:val="40F75333"/>
    <w:rsid w:val="40F83D37"/>
    <w:rsid w:val="41004C87"/>
    <w:rsid w:val="410127AD"/>
    <w:rsid w:val="410302D3"/>
    <w:rsid w:val="41075E99"/>
    <w:rsid w:val="41076015"/>
    <w:rsid w:val="410858E9"/>
    <w:rsid w:val="410C00CF"/>
    <w:rsid w:val="410C1D1E"/>
    <w:rsid w:val="410F0A26"/>
    <w:rsid w:val="410F4ECA"/>
    <w:rsid w:val="4114428E"/>
    <w:rsid w:val="41150A3E"/>
    <w:rsid w:val="41151DB4"/>
    <w:rsid w:val="41153022"/>
    <w:rsid w:val="411542E5"/>
    <w:rsid w:val="411A40CF"/>
    <w:rsid w:val="411B561D"/>
    <w:rsid w:val="411E5C8C"/>
    <w:rsid w:val="411E6EBB"/>
    <w:rsid w:val="411F04C2"/>
    <w:rsid w:val="412274DB"/>
    <w:rsid w:val="41262CC9"/>
    <w:rsid w:val="41265D6F"/>
    <w:rsid w:val="41287D39"/>
    <w:rsid w:val="412E1AEA"/>
    <w:rsid w:val="412E4D6A"/>
    <w:rsid w:val="412F0A5C"/>
    <w:rsid w:val="41306BEE"/>
    <w:rsid w:val="4134048C"/>
    <w:rsid w:val="41344930"/>
    <w:rsid w:val="413466DE"/>
    <w:rsid w:val="41361594"/>
    <w:rsid w:val="413B4DE9"/>
    <w:rsid w:val="413F7118"/>
    <w:rsid w:val="41432DC5"/>
    <w:rsid w:val="414344E2"/>
    <w:rsid w:val="41452699"/>
    <w:rsid w:val="414B3761"/>
    <w:rsid w:val="414C3A28"/>
    <w:rsid w:val="414D6ACD"/>
    <w:rsid w:val="41501C4C"/>
    <w:rsid w:val="4153125A"/>
    <w:rsid w:val="4153338C"/>
    <w:rsid w:val="415473EF"/>
    <w:rsid w:val="41562593"/>
    <w:rsid w:val="415B6A48"/>
    <w:rsid w:val="415D3E87"/>
    <w:rsid w:val="4162324B"/>
    <w:rsid w:val="41635215"/>
    <w:rsid w:val="41696778"/>
    <w:rsid w:val="416B795B"/>
    <w:rsid w:val="416C5E78"/>
    <w:rsid w:val="416E1DBB"/>
    <w:rsid w:val="416F3BBA"/>
    <w:rsid w:val="416F7114"/>
    <w:rsid w:val="41765884"/>
    <w:rsid w:val="4177481D"/>
    <w:rsid w:val="417967E7"/>
    <w:rsid w:val="417A0079"/>
    <w:rsid w:val="417D0085"/>
    <w:rsid w:val="417E204F"/>
    <w:rsid w:val="417E7959"/>
    <w:rsid w:val="418036D2"/>
    <w:rsid w:val="41807B75"/>
    <w:rsid w:val="41840FC3"/>
    <w:rsid w:val="41850CE8"/>
    <w:rsid w:val="418530D3"/>
    <w:rsid w:val="418967BC"/>
    <w:rsid w:val="418E10AC"/>
    <w:rsid w:val="41911676"/>
    <w:rsid w:val="41913ED7"/>
    <w:rsid w:val="419158DF"/>
    <w:rsid w:val="4191768D"/>
    <w:rsid w:val="41960106"/>
    <w:rsid w:val="41961147"/>
    <w:rsid w:val="41986C6D"/>
    <w:rsid w:val="419A34D7"/>
    <w:rsid w:val="419E3C7A"/>
    <w:rsid w:val="41A03D74"/>
    <w:rsid w:val="41A31919"/>
    <w:rsid w:val="41A3330C"/>
    <w:rsid w:val="41A41AB6"/>
    <w:rsid w:val="41A43864"/>
    <w:rsid w:val="41A575DC"/>
    <w:rsid w:val="41A75102"/>
    <w:rsid w:val="41A82C28"/>
    <w:rsid w:val="41A95D0C"/>
    <w:rsid w:val="41AA3514"/>
    <w:rsid w:val="41AD07FE"/>
    <w:rsid w:val="41AF2209"/>
    <w:rsid w:val="41B034B4"/>
    <w:rsid w:val="41B24A2D"/>
    <w:rsid w:val="41B25C9F"/>
    <w:rsid w:val="41B4781F"/>
    <w:rsid w:val="41B63597"/>
    <w:rsid w:val="41B65345"/>
    <w:rsid w:val="41BA7D6B"/>
    <w:rsid w:val="41BB132E"/>
    <w:rsid w:val="41BB2E56"/>
    <w:rsid w:val="41BB6D50"/>
    <w:rsid w:val="41BD0482"/>
    <w:rsid w:val="41BD612C"/>
    <w:rsid w:val="41BD66D4"/>
    <w:rsid w:val="41BE244C"/>
    <w:rsid w:val="41BF0D08"/>
    <w:rsid w:val="41C002C6"/>
    <w:rsid w:val="41C2018E"/>
    <w:rsid w:val="41C21F3C"/>
    <w:rsid w:val="41C31810"/>
    <w:rsid w:val="41CA0DF1"/>
    <w:rsid w:val="41CA4AFD"/>
    <w:rsid w:val="41CC2DBB"/>
    <w:rsid w:val="41CE1FB3"/>
    <w:rsid w:val="41CE6B33"/>
    <w:rsid w:val="41CF4673"/>
    <w:rsid w:val="41D2798B"/>
    <w:rsid w:val="41D34149"/>
    <w:rsid w:val="41D34BA9"/>
    <w:rsid w:val="41D60080"/>
    <w:rsid w:val="41DB6C24"/>
    <w:rsid w:val="41DC6703"/>
    <w:rsid w:val="41DD28D2"/>
    <w:rsid w:val="41DD5280"/>
    <w:rsid w:val="41DD57A1"/>
    <w:rsid w:val="41DE44D4"/>
    <w:rsid w:val="41DE483F"/>
    <w:rsid w:val="41DF489C"/>
    <w:rsid w:val="41E16D96"/>
    <w:rsid w:val="41E55C2A"/>
    <w:rsid w:val="41E76960"/>
    <w:rsid w:val="41E82AB1"/>
    <w:rsid w:val="41EA4FEF"/>
    <w:rsid w:val="41EB0E5C"/>
    <w:rsid w:val="41EC520B"/>
    <w:rsid w:val="41ED17A8"/>
    <w:rsid w:val="41EE2D31"/>
    <w:rsid w:val="41F044DE"/>
    <w:rsid w:val="41FB148E"/>
    <w:rsid w:val="41FD11C6"/>
    <w:rsid w:val="41FF6CEC"/>
    <w:rsid w:val="42027077"/>
    <w:rsid w:val="42075E9B"/>
    <w:rsid w:val="42076E16"/>
    <w:rsid w:val="4208360A"/>
    <w:rsid w:val="420A743F"/>
    <w:rsid w:val="420B38E3"/>
    <w:rsid w:val="420D035F"/>
    <w:rsid w:val="420F4A55"/>
    <w:rsid w:val="421107CE"/>
    <w:rsid w:val="4211318D"/>
    <w:rsid w:val="421309EA"/>
    <w:rsid w:val="42132798"/>
    <w:rsid w:val="421513CB"/>
    <w:rsid w:val="42162288"/>
    <w:rsid w:val="42167A81"/>
    <w:rsid w:val="421A1D78"/>
    <w:rsid w:val="421D2C9A"/>
    <w:rsid w:val="42223679"/>
    <w:rsid w:val="42241F93"/>
    <w:rsid w:val="42293D69"/>
    <w:rsid w:val="422F6EA6"/>
    <w:rsid w:val="42333919"/>
    <w:rsid w:val="42347335"/>
    <w:rsid w:val="4237620D"/>
    <w:rsid w:val="42380450"/>
    <w:rsid w:val="42386BE7"/>
    <w:rsid w:val="42394768"/>
    <w:rsid w:val="423A4637"/>
    <w:rsid w:val="423A6783"/>
    <w:rsid w:val="423B3A9C"/>
    <w:rsid w:val="423B584A"/>
    <w:rsid w:val="42415ACC"/>
    <w:rsid w:val="42417305"/>
    <w:rsid w:val="42462B6D"/>
    <w:rsid w:val="42497F67"/>
    <w:rsid w:val="424D4634"/>
    <w:rsid w:val="424E37D0"/>
    <w:rsid w:val="424E557E"/>
    <w:rsid w:val="424F6B0E"/>
    <w:rsid w:val="424F7E7E"/>
    <w:rsid w:val="42500A93"/>
    <w:rsid w:val="4250579A"/>
    <w:rsid w:val="425237E8"/>
    <w:rsid w:val="4253528A"/>
    <w:rsid w:val="425A2175"/>
    <w:rsid w:val="425A6618"/>
    <w:rsid w:val="425F4EC2"/>
    <w:rsid w:val="426D5897"/>
    <w:rsid w:val="426E4E56"/>
    <w:rsid w:val="426E54D8"/>
    <w:rsid w:val="426E79CE"/>
    <w:rsid w:val="426F361B"/>
    <w:rsid w:val="426F3EF3"/>
    <w:rsid w:val="426F64C9"/>
    <w:rsid w:val="42750D5C"/>
    <w:rsid w:val="42764A3E"/>
    <w:rsid w:val="427C747D"/>
    <w:rsid w:val="427E5E44"/>
    <w:rsid w:val="427E780C"/>
    <w:rsid w:val="42802EBB"/>
    <w:rsid w:val="42823C01"/>
    <w:rsid w:val="42857B53"/>
    <w:rsid w:val="4286740D"/>
    <w:rsid w:val="428916B8"/>
    <w:rsid w:val="428A2851"/>
    <w:rsid w:val="428B0D76"/>
    <w:rsid w:val="428B4A24"/>
    <w:rsid w:val="428B67D2"/>
    <w:rsid w:val="428C0EAD"/>
    <w:rsid w:val="428C60A6"/>
    <w:rsid w:val="42903DE8"/>
    <w:rsid w:val="429472F4"/>
    <w:rsid w:val="42984CC3"/>
    <w:rsid w:val="42997141"/>
    <w:rsid w:val="429C453B"/>
    <w:rsid w:val="429E2606"/>
    <w:rsid w:val="42A67946"/>
    <w:rsid w:val="42A7440F"/>
    <w:rsid w:val="42A766EA"/>
    <w:rsid w:val="42A81C22"/>
    <w:rsid w:val="42A87384"/>
    <w:rsid w:val="42A950BB"/>
    <w:rsid w:val="42AB0908"/>
    <w:rsid w:val="42AB29D0"/>
    <w:rsid w:val="42AD50EE"/>
    <w:rsid w:val="42B17BC8"/>
    <w:rsid w:val="42B25919"/>
    <w:rsid w:val="42B45D29"/>
    <w:rsid w:val="42B6123C"/>
    <w:rsid w:val="42B705DC"/>
    <w:rsid w:val="42B76B7B"/>
    <w:rsid w:val="42B77C03"/>
    <w:rsid w:val="42B80EC8"/>
    <w:rsid w:val="42BA0E65"/>
    <w:rsid w:val="42BD2703"/>
    <w:rsid w:val="42BF46CD"/>
    <w:rsid w:val="42C25E03"/>
    <w:rsid w:val="42C35F6C"/>
    <w:rsid w:val="42C43A92"/>
    <w:rsid w:val="42C85330"/>
    <w:rsid w:val="42CD0B98"/>
    <w:rsid w:val="42D068DB"/>
    <w:rsid w:val="42D27F5D"/>
    <w:rsid w:val="42D40179"/>
    <w:rsid w:val="42D57A4D"/>
    <w:rsid w:val="42D635B0"/>
    <w:rsid w:val="42D737C5"/>
    <w:rsid w:val="42D77C69"/>
    <w:rsid w:val="42D9578F"/>
    <w:rsid w:val="42DC702D"/>
    <w:rsid w:val="42DE4B54"/>
    <w:rsid w:val="42E278BB"/>
    <w:rsid w:val="42E3216A"/>
    <w:rsid w:val="42E365EE"/>
    <w:rsid w:val="42E421CA"/>
    <w:rsid w:val="42E460CD"/>
    <w:rsid w:val="42E54136"/>
    <w:rsid w:val="42E859D2"/>
    <w:rsid w:val="42E87FC1"/>
    <w:rsid w:val="42ED4847"/>
    <w:rsid w:val="42ED4D97"/>
    <w:rsid w:val="42F0076D"/>
    <w:rsid w:val="42F02AD9"/>
    <w:rsid w:val="42F3082F"/>
    <w:rsid w:val="42F308B1"/>
    <w:rsid w:val="42F425C9"/>
    <w:rsid w:val="42F97BDF"/>
    <w:rsid w:val="42FB1329"/>
    <w:rsid w:val="42FC2D82"/>
    <w:rsid w:val="42FC322C"/>
    <w:rsid w:val="42FC76D0"/>
    <w:rsid w:val="42FE5101"/>
    <w:rsid w:val="43030A5E"/>
    <w:rsid w:val="43056B28"/>
    <w:rsid w:val="430640AA"/>
    <w:rsid w:val="43077056"/>
    <w:rsid w:val="430908A0"/>
    <w:rsid w:val="430A7932"/>
    <w:rsid w:val="430B346F"/>
    <w:rsid w:val="430B7913"/>
    <w:rsid w:val="430E60F0"/>
    <w:rsid w:val="43100A85"/>
    <w:rsid w:val="43106CD7"/>
    <w:rsid w:val="43147BDF"/>
    <w:rsid w:val="4315253F"/>
    <w:rsid w:val="431542ED"/>
    <w:rsid w:val="43160791"/>
    <w:rsid w:val="43171E14"/>
    <w:rsid w:val="431736E3"/>
    <w:rsid w:val="431762B8"/>
    <w:rsid w:val="43193DDE"/>
    <w:rsid w:val="43194C5C"/>
    <w:rsid w:val="4319715E"/>
    <w:rsid w:val="431B19E5"/>
    <w:rsid w:val="431B5DA8"/>
    <w:rsid w:val="431D774E"/>
    <w:rsid w:val="43202F27"/>
    <w:rsid w:val="43212C92"/>
    <w:rsid w:val="43244357"/>
    <w:rsid w:val="432664FB"/>
    <w:rsid w:val="4326708E"/>
    <w:rsid w:val="4329074B"/>
    <w:rsid w:val="432D09BF"/>
    <w:rsid w:val="432F48E5"/>
    <w:rsid w:val="432F53AF"/>
    <w:rsid w:val="43302ED5"/>
    <w:rsid w:val="43326C4D"/>
    <w:rsid w:val="43330E7E"/>
    <w:rsid w:val="433504EC"/>
    <w:rsid w:val="43352EE8"/>
    <w:rsid w:val="43364990"/>
    <w:rsid w:val="43394480"/>
    <w:rsid w:val="433A4E46"/>
    <w:rsid w:val="433F136A"/>
    <w:rsid w:val="4340580E"/>
    <w:rsid w:val="434123BC"/>
    <w:rsid w:val="43430E5B"/>
    <w:rsid w:val="43453A60"/>
    <w:rsid w:val="43454BD3"/>
    <w:rsid w:val="43454EAD"/>
    <w:rsid w:val="43456981"/>
    <w:rsid w:val="4346094B"/>
    <w:rsid w:val="43482915"/>
    <w:rsid w:val="434972B8"/>
    <w:rsid w:val="434C2842"/>
    <w:rsid w:val="4352109E"/>
    <w:rsid w:val="43525542"/>
    <w:rsid w:val="435720D9"/>
    <w:rsid w:val="43635059"/>
    <w:rsid w:val="43644E69"/>
    <w:rsid w:val="43657023"/>
    <w:rsid w:val="43663D51"/>
    <w:rsid w:val="436B1258"/>
    <w:rsid w:val="436C4FE6"/>
    <w:rsid w:val="436D237B"/>
    <w:rsid w:val="437323CF"/>
    <w:rsid w:val="43737125"/>
    <w:rsid w:val="4374164A"/>
    <w:rsid w:val="43746A4F"/>
    <w:rsid w:val="43747266"/>
    <w:rsid w:val="437572AF"/>
    <w:rsid w:val="4379298E"/>
    <w:rsid w:val="43803E5D"/>
    <w:rsid w:val="43860D47"/>
    <w:rsid w:val="438669F9"/>
    <w:rsid w:val="438D20D6"/>
    <w:rsid w:val="43903D74"/>
    <w:rsid w:val="439212EE"/>
    <w:rsid w:val="43922586"/>
    <w:rsid w:val="439231F3"/>
    <w:rsid w:val="43931DE2"/>
    <w:rsid w:val="4397166E"/>
    <w:rsid w:val="43993170"/>
    <w:rsid w:val="43994F1E"/>
    <w:rsid w:val="439B47F3"/>
    <w:rsid w:val="439C7BA4"/>
    <w:rsid w:val="439D17E5"/>
    <w:rsid w:val="43A318F9"/>
    <w:rsid w:val="43A538C3"/>
    <w:rsid w:val="43A55671"/>
    <w:rsid w:val="43A71FAD"/>
    <w:rsid w:val="43AA2C88"/>
    <w:rsid w:val="43AB46B3"/>
    <w:rsid w:val="43AE09CA"/>
    <w:rsid w:val="43B6787E"/>
    <w:rsid w:val="43B753A5"/>
    <w:rsid w:val="43B81849"/>
    <w:rsid w:val="43B835F7"/>
    <w:rsid w:val="43B9111D"/>
    <w:rsid w:val="43B92ECB"/>
    <w:rsid w:val="43BB74AB"/>
    <w:rsid w:val="43BD12DC"/>
    <w:rsid w:val="43BD6E5F"/>
    <w:rsid w:val="43C024AB"/>
    <w:rsid w:val="43C03DA9"/>
    <w:rsid w:val="43C04259"/>
    <w:rsid w:val="43C077A8"/>
    <w:rsid w:val="43C31F9B"/>
    <w:rsid w:val="43C401ED"/>
    <w:rsid w:val="43C875B2"/>
    <w:rsid w:val="43CB512D"/>
    <w:rsid w:val="43CC52F4"/>
    <w:rsid w:val="43CD6976"/>
    <w:rsid w:val="43CF3F4E"/>
    <w:rsid w:val="43D47D05"/>
    <w:rsid w:val="43D61CCF"/>
    <w:rsid w:val="43D6352F"/>
    <w:rsid w:val="43D84545"/>
    <w:rsid w:val="43DA5F2A"/>
    <w:rsid w:val="43DA644B"/>
    <w:rsid w:val="43DD12AF"/>
    <w:rsid w:val="43DD305D"/>
    <w:rsid w:val="43E223E9"/>
    <w:rsid w:val="43E268C5"/>
    <w:rsid w:val="43E720AB"/>
    <w:rsid w:val="43EC14F2"/>
    <w:rsid w:val="43EC32A0"/>
    <w:rsid w:val="43EE526A"/>
    <w:rsid w:val="43F33419"/>
    <w:rsid w:val="43F646D3"/>
    <w:rsid w:val="43F9162B"/>
    <w:rsid w:val="43F92190"/>
    <w:rsid w:val="43F959BD"/>
    <w:rsid w:val="43FB710C"/>
    <w:rsid w:val="43FD4086"/>
    <w:rsid w:val="43FD54AD"/>
    <w:rsid w:val="43FD725B"/>
    <w:rsid w:val="43FF401D"/>
    <w:rsid w:val="44000AFA"/>
    <w:rsid w:val="44044A8E"/>
    <w:rsid w:val="44051440"/>
    <w:rsid w:val="44064C80"/>
    <w:rsid w:val="44093E52"/>
    <w:rsid w:val="440A1F72"/>
    <w:rsid w:val="440D7B75"/>
    <w:rsid w:val="440E1469"/>
    <w:rsid w:val="440E3217"/>
    <w:rsid w:val="44102666"/>
    <w:rsid w:val="44114AB5"/>
    <w:rsid w:val="44122C16"/>
    <w:rsid w:val="441477C8"/>
    <w:rsid w:val="44147B34"/>
    <w:rsid w:val="441655A2"/>
    <w:rsid w:val="441D16AC"/>
    <w:rsid w:val="441E2B06"/>
    <w:rsid w:val="441E71D2"/>
    <w:rsid w:val="441F3AB4"/>
    <w:rsid w:val="441F577B"/>
    <w:rsid w:val="44222831"/>
    <w:rsid w:val="44224F14"/>
    <w:rsid w:val="44226CC2"/>
    <w:rsid w:val="44241CD7"/>
    <w:rsid w:val="442A5B77"/>
    <w:rsid w:val="442F06AD"/>
    <w:rsid w:val="442F13DF"/>
    <w:rsid w:val="44305883"/>
    <w:rsid w:val="443133A9"/>
    <w:rsid w:val="44314E59"/>
    <w:rsid w:val="4432077B"/>
    <w:rsid w:val="44330ECF"/>
    <w:rsid w:val="44356402"/>
    <w:rsid w:val="443640EC"/>
    <w:rsid w:val="443775B0"/>
    <w:rsid w:val="443D139E"/>
    <w:rsid w:val="443F1044"/>
    <w:rsid w:val="443F1EFE"/>
    <w:rsid w:val="443F4B94"/>
    <w:rsid w:val="44416217"/>
    <w:rsid w:val="44472379"/>
    <w:rsid w:val="44472BCC"/>
    <w:rsid w:val="4447497A"/>
    <w:rsid w:val="44496945"/>
    <w:rsid w:val="444D1FC9"/>
    <w:rsid w:val="444E4F44"/>
    <w:rsid w:val="444E5D09"/>
    <w:rsid w:val="44501A81"/>
    <w:rsid w:val="44533614"/>
    <w:rsid w:val="44544A76"/>
    <w:rsid w:val="445B21D4"/>
    <w:rsid w:val="445C0795"/>
    <w:rsid w:val="445C6678"/>
    <w:rsid w:val="445D7CFA"/>
    <w:rsid w:val="44603C00"/>
    <w:rsid w:val="44623569"/>
    <w:rsid w:val="44634A8F"/>
    <w:rsid w:val="44670B79"/>
    <w:rsid w:val="4469128D"/>
    <w:rsid w:val="446A2417"/>
    <w:rsid w:val="446C43E1"/>
    <w:rsid w:val="44727C49"/>
    <w:rsid w:val="447339C1"/>
    <w:rsid w:val="44735770"/>
    <w:rsid w:val="44782D86"/>
    <w:rsid w:val="447A5EF1"/>
    <w:rsid w:val="447A7C06"/>
    <w:rsid w:val="447B4624"/>
    <w:rsid w:val="447C2011"/>
    <w:rsid w:val="447F2366"/>
    <w:rsid w:val="447F681A"/>
    <w:rsid w:val="448046C7"/>
    <w:rsid w:val="44823C05"/>
    <w:rsid w:val="448434D9"/>
    <w:rsid w:val="448636F5"/>
    <w:rsid w:val="448654A3"/>
    <w:rsid w:val="44873A1C"/>
    <w:rsid w:val="448E6C2D"/>
    <w:rsid w:val="44946C9D"/>
    <w:rsid w:val="44964820"/>
    <w:rsid w:val="44965297"/>
    <w:rsid w:val="44967936"/>
    <w:rsid w:val="44974855"/>
    <w:rsid w:val="449776B0"/>
    <w:rsid w:val="44986F84"/>
    <w:rsid w:val="449B6B1A"/>
    <w:rsid w:val="449C7E1E"/>
    <w:rsid w:val="449E2D2B"/>
    <w:rsid w:val="449F47B6"/>
    <w:rsid w:val="44A4406F"/>
    <w:rsid w:val="44A57553"/>
    <w:rsid w:val="44A91191"/>
    <w:rsid w:val="44A92F3F"/>
    <w:rsid w:val="44AA6D2D"/>
    <w:rsid w:val="44AB315B"/>
    <w:rsid w:val="44AB6CB7"/>
    <w:rsid w:val="44AD02D7"/>
    <w:rsid w:val="44AE178C"/>
    <w:rsid w:val="44AE49FA"/>
    <w:rsid w:val="44B042CE"/>
    <w:rsid w:val="44B23E28"/>
    <w:rsid w:val="44B26298"/>
    <w:rsid w:val="44B37D5D"/>
    <w:rsid w:val="44B41B7B"/>
    <w:rsid w:val="44B43423"/>
    <w:rsid w:val="44B43C94"/>
    <w:rsid w:val="44B53DFD"/>
    <w:rsid w:val="44BD72BE"/>
    <w:rsid w:val="44C14076"/>
    <w:rsid w:val="44C2264E"/>
    <w:rsid w:val="44C24001"/>
    <w:rsid w:val="44C350BE"/>
    <w:rsid w:val="44C361AF"/>
    <w:rsid w:val="44C45FCB"/>
    <w:rsid w:val="44C61D43"/>
    <w:rsid w:val="44C71617"/>
    <w:rsid w:val="44C96097"/>
    <w:rsid w:val="44CB55AC"/>
    <w:rsid w:val="44D04DF5"/>
    <w:rsid w:val="44D10724"/>
    <w:rsid w:val="44D22496"/>
    <w:rsid w:val="44D24FDB"/>
    <w:rsid w:val="44D42F95"/>
    <w:rsid w:val="44D51F41"/>
    <w:rsid w:val="44D55B82"/>
    <w:rsid w:val="44D84C84"/>
    <w:rsid w:val="44DA134B"/>
    <w:rsid w:val="44DD0E3B"/>
    <w:rsid w:val="44DE1D54"/>
    <w:rsid w:val="44E10DE2"/>
    <w:rsid w:val="44E16B7D"/>
    <w:rsid w:val="44E173D5"/>
    <w:rsid w:val="44E54CEA"/>
    <w:rsid w:val="44E64193"/>
    <w:rsid w:val="44EA41C0"/>
    <w:rsid w:val="44EB17AA"/>
    <w:rsid w:val="44EB79FC"/>
    <w:rsid w:val="44ED3CA5"/>
    <w:rsid w:val="44ED3E5A"/>
    <w:rsid w:val="44ED437B"/>
    <w:rsid w:val="44EE5712"/>
    <w:rsid w:val="44F05012"/>
    <w:rsid w:val="44F763A1"/>
    <w:rsid w:val="44FA7C3F"/>
    <w:rsid w:val="44FE14DD"/>
    <w:rsid w:val="44FE772F"/>
    <w:rsid w:val="45027F52"/>
    <w:rsid w:val="45034D45"/>
    <w:rsid w:val="45091C30"/>
    <w:rsid w:val="45097E82"/>
    <w:rsid w:val="450B3BFA"/>
    <w:rsid w:val="450B59A8"/>
    <w:rsid w:val="450D34CE"/>
    <w:rsid w:val="4513485D"/>
    <w:rsid w:val="451707F1"/>
    <w:rsid w:val="451764AF"/>
    <w:rsid w:val="45182F1B"/>
    <w:rsid w:val="45185304"/>
    <w:rsid w:val="451900C5"/>
    <w:rsid w:val="45192F67"/>
    <w:rsid w:val="45196317"/>
    <w:rsid w:val="451B4C5E"/>
    <w:rsid w:val="451E1B7F"/>
    <w:rsid w:val="451F222F"/>
    <w:rsid w:val="451F4540"/>
    <w:rsid w:val="452263BE"/>
    <w:rsid w:val="45230F44"/>
    <w:rsid w:val="45232CF2"/>
    <w:rsid w:val="45252F0E"/>
    <w:rsid w:val="45264590"/>
    <w:rsid w:val="45273A9E"/>
    <w:rsid w:val="45284275"/>
    <w:rsid w:val="452936AB"/>
    <w:rsid w:val="452B604A"/>
    <w:rsid w:val="452D1DC2"/>
    <w:rsid w:val="452E2A12"/>
    <w:rsid w:val="452F78E8"/>
    <w:rsid w:val="453579B5"/>
    <w:rsid w:val="45366C3D"/>
    <w:rsid w:val="4537102D"/>
    <w:rsid w:val="4537567F"/>
    <w:rsid w:val="453F1E21"/>
    <w:rsid w:val="454021E6"/>
    <w:rsid w:val="454037E5"/>
    <w:rsid w:val="4541761C"/>
    <w:rsid w:val="4542375F"/>
    <w:rsid w:val="45451750"/>
    <w:rsid w:val="4546036C"/>
    <w:rsid w:val="45482758"/>
    <w:rsid w:val="4549052D"/>
    <w:rsid w:val="4549602A"/>
    <w:rsid w:val="454977AD"/>
    <w:rsid w:val="454A3468"/>
    <w:rsid w:val="454F1EDE"/>
    <w:rsid w:val="455336A1"/>
    <w:rsid w:val="455434EC"/>
    <w:rsid w:val="4554734F"/>
    <w:rsid w:val="45561319"/>
    <w:rsid w:val="456255F2"/>
    <w:rsid w:val="45637592"/>
    <w:rsid w:val="4565155C"/>
    <w:rsid w:val="45680710"/>
    <w:rsid w:val="45687946"/>
    <w:rsid w:val="456C1406"/>
    <w:rsid w:val="456F4FB4"/>
    <w:rsid w:val="45725A27"/>
    <w:rsid w:val="457479F1"/>
    <w:rsid w:val="45794333"/>
    <w:rsid w:val="457B0D80"/>
    <w:rsid w:val="457B31CC"/>
    <w:rsid w:val="457B7A6B"/>
    <w:rsid w:val="457E617A"/>
    <w:rsid w:val="457F1EF2"/>
    <w:rsid w:val="458012DF"/>
    <w:rsid w:val="45806396"/>
    <w:rsid w:val="45807C7B"/>
    <w:rsid w:val="45845534"/>
    <w:rsid w:val="458662BF"/>
    <w:rsid w:val="45877724"/>
    <w:rsid w:val="458A0FC3"/>
    <w:rsid w:val="458F3ABC"/>
    <w:rsid w:val="459040FF"/>
    <w:rsid w:val="45904C86"/>
    <w:rsid w:val="45943BEF"/>
    <w:rsid w:val="4599590F"/>
    <w:rsid w:val="459B1F40"/>
    <w:rsid w:val="459B5914"/>
    <w:rsid w:val="459B6D2C"/>
    <w:rsid w:val="459D644F"/>
    <w:rsid w:val="45A007E6"/>
    <w:rsid w:val="45A07464"/>
    <w:rsid w:val="45A100BA"/>
    <w:rsid w:val="45A148D8"/>
    <w:rsid w:val="45A2455E"/>
    <w:rsid w:val="45A32CAB"/>
    <w:rsid w:val="45A41848"/>
    <w:rsid w:val="45A803DE"/>
    <w:rsid w:val="45A858ED"/>
    <w:rsid w:val="45AB2CE7"/>
    <w:rsid w:val="45AD1C16"/>
    <w:rsid w:val="45B1654F"/>
    <w:rsid w:val="45B47174"/>
    <w:rsid w:val="45B63B66"/>
    <w:rsid w:val="45B7128B"/>
    <w:rsid w:val="45BC7331"/>
    <w:rsid w:val="45BE5249"/>
    <w:rsid w:val="45C27613"/>
    <w:rsid w:val="45C54AF3"/>
    <w:rsid w:val="45C64F3E"/>
    <w:rsid w:val="45C66EB9"/>
    <w:rsid w:val="45C76993"/>
    <w:rsid w:val="45C76EB3"/>
    <w:rsid w:val="45CD1983"/>
    <w:rsid w:val="45CF6516"/>
    <w:rsid w:val="45D1274E"/>
    <w:rsid w:val="45D205B4"/>
    <w:rsid w:val="45D24F83"/>
    <w:rsid w:val="45D35D56"/>
    <w:rsid w:val="45D40490"/>
    <w:rsid w:val="45D60579"/>
    <w:rsid w:val="45D71D2E"/>
    <w:rsid w:val="45D77CED"/>
    <w:rsid w:val="45DA175F"/>
    <w:rsid w:val="45DB181E"/>
    <w:rsid w:val="45DB2C32"/>
    <w:rsid w:val="45DC10F2"/>
    <w:rsid w:val="45DD5596"/>
    <w:rsid w:val="45DE130F"/>
    <w:rsid w:val="45E07EC4"/>
    <w:rsid w:val="45E76415"/>
    <w:rsid w:val="45E83F3B"/>
    <w:rsid w:val="45E86409"/>
    <w:rsid w:val="45E87A97"/>
    <w:rsid w:val="45EB4767"/>
    <w:rsid w:val="45EF7CD5"/>
    <w:rsid w:val="45F4468E"/>
    <w:rsid w:val="45F72580"/>
    <w:rsid w:val="45F91CA4"/>
    <w:rsid w:val="45F94A6D"/>
    <w:rsid w:val="45F97EF6"/>
    <w:rsid w:val="45FE72BB"/>
    <w:rsid w:val="4601059C"/>
    <w:rsid w:val="46031658"/>
    <w:rsid w:val="4603688D"/>
    <w:rsid w:val="46040D75"/>
    <w:rsid w:val="46054AED"/>
    <w:rsid w:val="4606387D"/>
    <w:rsid w:val="4607616F"/>
    <w:rsid w:val="46080139"/>
    <w:rsid w:val="46082702"/>
    <w:rsid w:val="4609638B"/>
    <w:rsid w:val="4609760E"/>
    <w:rsid w:val="460E1C7B"/>
    <w:rsid w:val="46115CF7"/>
    <w:rsid w:val="46144D30"/>
    <w:rsid w:val="46146ADE"/>
    <w:rsid w:val="46146DEF"/>
    <w:rsid w:val="461818B8"/>
    <w:rsid w:val="461C7FEF"/>
    <w:rsid w:val="461D49B4"/>
    <w:rsid w:val="461E55A5"/>
    <w:rsid w:val="461F5BAF"/>
    <w:rsid w:val="462169DA"/>
    <w:rsid w:val="46220C85"/>
    <w:rsid w:val="462263FA"/>
    <w:rsid w:val="46245EEC"/>
    <w:rsid w:val="46284338"/>
    <w:rsid w:val="462A00B0"/>
    <w:rsid w:val="462B4CC8"/>
    <w:rsid w:val="462C3E28"/>
    <w:rsid w:val="462E3A3B"/>
    <w:rsid w:val="462E5DF2"/>
    <w:rsid w:val="462F56C6"/>
    <w:rsid w:val="46310455"/>
    <w:rsid w:val="4631143E"/>
    <w:rsid w:val="46350F67"/>
    <w:rsid w:val="46355E71"/>
    <w:rsid w:val="463D789F"/>
    <w:rsid w:val="463E4D14"/>
    <w:rsid w:val="46403AB6"/>
    <w:rsid w:val="46416AD6"/>
    <w:rsid w:val="46441D9E"/>
    <w:rsid w:val="46456C98"/>
    <w:rsid w:val="4646138E"/>
    <w:rsid w:val="46497EA6"/>
    <w:rsid w:val="464A2500"/>
    <w:rsid w:val="464C0026"/>
    <w:rsid w:val="464E066E"/>
    <w:rsid w:val="465313B5"/>
    <w:rsid w:val="46535859"/>
    <w:rsid w:val="46537607"/>
    <w:rsid w:val="4654512D"/>
    <w:rsid w:val="465670F7"/>
    <w:rsid w:val="46587F31"/>
    <w:rsid w:val="46592743"/>
    <w:rsid w:val="465A6BE7"/>
    <w:rsid w:val="465C68EA"/>
    <w:rsid w:val="465C7D8E"/>
    <w:rsid w:val="465D2233"/>
    <w:rsid w:val="465F6C1E"/>
    <w:rsid w:val="46616A8D"/>
    <w:rsid w:val="46647A66"/>
    <w:rsid w:val="46686CA8"/>
    <w:rsid w:val="46697CD0"/>
    <w:rsid w:val="466B2BA2"/>
    <w:rsid w:val="466C2476"/>
    <w:rsid w:val="466E4F79"/>
    <w:rsid w:val="46717A8D"/>
    <w:rsid w:val="46731A57"/>
    <w:rsid w:val="46733805"/>
    <w:rsid w:val="467341A1"/>
    <w:rsid w:val="467354C8"/>
    <w:rsid w:val="46737CA9"/>
    <w:rsid w:val="46780E1B"/>
    <w:rsid w:val="46794685"/>
    <w:rsid w:val="46794B93"/>
    <w:rsid w:val="467D28D5"/>
    <w:rsid w:val="467D4684"/>
    <w:rsid w:val="467E21A7"/>
    <w:rsid w:val="467E7D66"/>
    <w:rsid w:val="46805F22"/>
    <w:rsid w:val="46853FF0"/>
    <w:rsid w:val="46872C73"/>
    <w:rsid w:val="468977FE"/>
    <w:rsid w:val="468C48C7"/>
    <w:rsid w:val="468C64C8"/>
    <w:rsid w:val="468D10D3"/>
    <w:rsid w:val="468E6891"/>
    <w:rsid w:val="468F6778"/>
    <w:rsid w:val="469211D3"/>
    <w:rsid w:val="46921AAD"/>
    <w:rsid w:val="46976587"/>
    <w:rsid w:val="46976898"/>
    <w:rsid w:val="4698770F"/>
    <w:rsid w:val="469A5235"/>
    <w:rsid w:val="469D6AD4"/>
    <w:rsid w:val="46A02970"/>
    <w:rsid w:val="46A30048"/>
    <w:rsid w:val="46A40139"/>
    <w:rsid w:val="46A47E62"/>
    <w:rsid w:val="46A55988"/>
    <w:rsid w:val="46A636F7"/>
    <w:rsid w:val="46A71700"/>
    <w:rsid w:val="46AB11F1"/>
    <w:rsid w:val="46AB71F4"/>
    <w:rsid w:val="46AB7443"/>
    <w:rsid w:val="46AE0CE1"/>
    <w:rsid w:val="46AF0723"/>
    <w:rsid w:val="46AF1C1C"/>
    <w:rsid w:val="46AF79F9"/>
    <w:rsid w:val="46B035D2"/>
    <w:rsid w:val="46B04A59"/>
    <w:rsid w:val="46B05036"/>
    <w:rsid w:val="46B06807"/>
    <w:rsid w:val="46B1257F"/>
    <w:rsid w:val="46B17971"/>
    <w:rsid w:val="46B61944"/>
    <w:rsid w:val="46BA7686"/>
    <w:rsid w:val="46BB5EB6"/>
    <w:rsid w:val="46BC1F6E"/>
    <w:rsid w:val="46BE0581"/>
    <w:rsid w:val="46BE5A34"/>
    <w:rsid w:val="46BF4C9C"/>
    <w:rsid w:val="46C027C2"/>
    <w:rsid w:val="46C44060"/>
    <w:rsid w:val="46C51AB9"/>
    <w:rsid w:val="46C6602A"/>
    <w:rsid w:val="46C91677"/>
    <w:rsid w:val="46C95D05"/>
    <w:rsid w:val="46CB3641"/>
    <w:rsid w:val="46CE5EA5"/>
    <w:rsid w:val="46D0030E"/>
    <w:rsid w:val="46D00C57"/>
    <w:rsid w:val="46D85D5E"/>
    <w:rsid w:val="46DA3884"/>
    <w:rsid w:val="46DB740E"/>
    <w:rsid w:val="46DD15C6"/>
    <w:rsid w:val="46DE0B39"/>
    <w:rsid w:val="46DF70EC"/>
    <w:rsid w:val="46E12E64"/>
    <w:rsid w:val="46E36155"/>
    <w:rsid w:val="46E50101"/>
    <w:rsid w:val="46EB5A91"/>
    <w:rsid w:val="46EB783F"/>
    <w:rsid w:val="46ED1987"/>
    <w:rsid w:val="46EE235E"/>
    <w:rsid w:val="46F030A7"/>
    <w:rsid w:val="46F1080C"/>
    <w:rsid w:val="46F10BCE"/>
    <w:rsid w:val="46F25071"/>
    <w:rsid w:val="46F26477"/>
    <w:rsid w:val="46F50B99"/>
    <w:rsid w:val="46F54B62"/>
    <w:rsid w:val="46F74436"/>
    <w:rsid w:val="46F801AE"/>
    <w:rsid w:val="46F86D46"/>
    <w:rsid w:val="46F87D23"/>
    <w:rsid w:val="46FA3F26"/>
    <w:rsid w:val="46FF2A7C"/>
    <w:rsid w:val="46FF7608"/>
    <w:rsid w:val="47003456"/>
    <w:rsid w:val="47013507"/>
    <w:rsid w:val="47017063"/>
    <w:rsid w:val="47022DDB"/>
    <w:rsid w:val="47034A8D"/>
    <w:rsid w:val="4703610C"/>
    <w:rsid w:val="4706430C"/>
    <w:rsid w:val="470D5A07"/>
    <w:rsid w:val="470E352E"/>
    <w:rsid w:val="470E5171"/>
    <w:rsid w:val="4710374A"/>
    <w:rsid w:val="471072A6"/>
    <w:rsid w:val="47121270"/>
    <w:rsid w:val="4714323A"/>
    <w:rsid w:val="47164D67"/>
    <w:rsid w:val="47165C21"/>
    <w:rsid w:val="47176886"/>
    <w:rsid w:val="471A1424"/>
    <w:rsid w:val="471C3E9C"/>
    <w:rsid w:val="471F4ADC"/>
    <w:rsid w:val="471F573B"/>
    <w:rsid w:val="4723347D"/>
    <w:rsid w:val="47242D51"/>
    <w:rsid w:val="472701DB"/>
    <w:rsid w:val="47280A93"/>
    <w:rsid w:val="472A2E92"/>
    <w:rsid w:val="472A598B"/>
    <w:rsid w:val="472B2331"/>
    <w:rsid w:val="472E597E"/>
    <w:rsid w:val="47310DEC"/>
    <w:rsid w:val="47321912"/>
    <w:rsid w:val="47352596"/>
    <w:rsid w:val="47384869"/>
    <w:rsid w:val="47394A4E"/>
    <w:rsid w:val="473C009B"/>
    <w:rsid w:val="473F5DDD"/>
    <w:rsid w:val="473F7B8B"/>
    <w:rsid w:val="47410C27"/>
    <w:rsid w:val="4741207B"/>
    <w:rsid w:val="474156B1"/>
    <w:rsid w:val="47422245"/>
    <w:rsid w:val="47451645"/>
    <w:rsid w:val="474653BD"/>
    <w:rsid w:val="47490A0A"/>
    <w:rsid w:val="474927B8"/>
    <w:rsid w:val="474A6C5C"/>
    <w:rsid w:val="474E4F60"/>
    <w:rsid w:val="474F25F1"/>
    <w:rsid w:val="47501D98"/>
    <w:rsid w:val="47503B46"/>
    <w:rsid w:val="47507743"/>
    <w:rsid w:val="4752462D"/>
    <w:rsid w:val="47543636"/>
    <w:rsid w:val="475A2C17"/>
    <w:rsid w:val="475C698F"/>
    <w:rsid w:val="475E5238"/>
    <w:rsid w:val="475E6263"/>
    <w:rsid w:val="475E7B80"/>
    <w:rsid w:val="475F022D"/>
    <w:rsid w:val="47615D53"/>
    <w:rsid w:val="47617B01"/>
    <w:rsid w:val="47622E43"/>
    <w:rsid w:val="47651C58"/>
    <w:rsid w:val="47685334"/>
    <w:rsid w:val="47685471"/>
    <w:rsid w:val="476A10AC"/>
    <w:rsid w:val="476C62B7"/>
    <w:rsid w:val="476E0F9A"/>
    <w:rsid w:val="476F1586"/>
    <w:rsid w:val="4771759D"/>
    <w:rsid w:val="47721D0E"/>
    <w:rsid w:val="47737835"/>
    <w:rsid w:val="47743CD8"/>
    <w:rsid w:val="477517FF"/>
    <w:rsid w:val="477A652E"/>
    <w:rsid w:val="477C6B53"/>
    <w:rsid w:val="477E040A"/>
    <w:rsid w:val="478015E2"/>
    <w:rsid w:val="47803310"/>
    <w:rsid w:val="47824932"/>
    <w:rsid w:val="47833F1C"/>
    <w:rsid w:val="4783425B"/>
    <w:rsid w:val="478403E3"/>
    <w:rsid w:val="478461EE"/>
    <w:rsid w:val="478A34FC"/>
    <w:rsid w:val="478A7058"/>
    <w:rsid w:val="478C2DB8"/>
    <w:rsid w:val="478C7274"/>
    <w:rsid w:val="478D4D9A"/>
    <w:rsid w:val="478D6B48"/>
    <w:rsid w:val="478F15A6"/>
    <w:rsid w:val="479003E6"/>
    <w:rsid w:val="47927773"/>
    <w:rsid w:val="4793207A"/>
    <w:rsid w:val="47941618"/>
    <w:rsid w:val="47961EA1"/>
    <w:rsid w:val="47977F99"/>
    <w:rsid w:val="479B1265"/>
    <w:rsid w:val="479B1CC2"/>
    <w:rsid w:val="479E0D55"/>
    <w:rsid w:val="479F062A"/>
    <w:rsid w:val="479F1CF3"/>
    <w:rsid w:val="47A01D37"/>
    <w:rsid w:val="47A33F84"/>
    <w:rsid w:val="47A53E92"/>
    <w:rsid w:val="47A619B8"/>
    <w:rsid w:val="47A67C0A"/>
    <w:rsid w:val="47AF4D11"/>
    <w:rsid w:val="47B15A25"/>
    <w:rsid w:val="47B2035D"/>
    <w:rsid w:val="47B24801"/>
    <w:rsid w:val="47B70889"/>
    <w:rsid w:val="47B83827"/>
    <w:rsid w:val="47B916EB"/>
    <w:rsid w:val="47BC0824"/>
    <w:rsid w:val="47BC567F"/>
    <w:rsid w:val="47C307BC"/>
    <w:rsid w:val="47C479A8"/>
    <w:rsid w:val="47C6205A"/>
    <w:rsid w:val="47C661BA"/>
    <w:rsid w:val="47C87B80"/>
    <w:rsid w:val="47CA38F8"/>
    <w:rsid w:val="47CB42B8"/>
    <w:rsid w:val="47CB7671"/>
    <w:rsid w:val="47CF32D2"/>
    <w:rsid w:val="47D049EE"/>
    <w:rsid w:val="47D227AD"/>
    <w:rsid w:val="47D22BC7"/>
    <w:rsid w:val="47D40B4C"/>
    <w:rsid w:val="47D949B3"/>
    <w:rsid w:val="47DB5B06"/>
    <w:rsid w:val="47DC187E"/>
    <w:rsid w:val="47E14CCD"/>
    <w:rsid w:val="47E250E6"/>
    <w:rsid w:val="47E50732"/>
    <w:rsid w:val="47E60EC0"/>
    <w:rsid w:val="47E86474"/>
    <w:rsid w:val="47EA3F9B"/>
    <w:rsid w:val="47EC1AC1"/>
    <w:rsid w:val="47ED3A8B"/>
    <w:rsid w:val="47F22E4F"/>
    <w:rsid w:val="47F733D4"/>
    <w:rsid w:val="47FC65D3"/>
    <w:rsid w:val="47FF1762"/>
    <w:rsid w:val="48027536"/>
    <w:rsid w:val="48030BB8"/>
    <w:rsid w:val="48042B0A"/>
    <w:rsid w:val="480756B2"/>
    <w:rsid w:val="480A1F47"/>
    <w:rsid w:val="480C42C3"/>
    <w:rsid w:val="480E207F"/>
    <w:rsid w:val="480F1C53"/>
    <w:rsid w:val="48111527"/>
    <w:rsid w:val="48117779"/>
    <w:rsid w:val="4813679C"/>
    <w:rsid w:val="481676AF"/>
    <w:rsid w:val="4818117E"/>
    <w:rsid w:val="481B4154"/>
    <w:rsid w:val="481C5453"/>
    <w:rsid w:val="481C57BF"/>
    <w:rsid w:val="481F6B0D"/>
    <w:rsid w:val="482254E2"/>
    <w:rsid w:val="48233009"/>
    <w:rsid w:val="48256D81"/>
    <w:rsid w:val="48292103"/>
    <w:rsid w:val="48294CD4"/>
    <w:rsid w:val="482A083B"/>
    <w:rsid w:val="482C6963"/>
    <w:rsid w:val="482E032B"/>
    <w:rsid w:val="482E33A4"/>
    <w:rsid w:val="48313978"/>
    <w:rsid w:val="4832149E"/>
    <w:rsid w:val="483240FA"/>
    <w:rsid w:val="48337F1C"/>
    <w:rsid w:val="48362D3C"/>
    <w:rsid w:val="4839240D"/>
    <w:rsid w:val="483B2A48"/>
    <w:rsid w:val="483D231C"/>
    <w:rsid w:val="483F3823"/>
    <w:rsid w:val="484254F2"/>
    <w:rsid w:val="48426DF5"/>
    <w:rsid w:val="4843177B"/>
    <w:rsid w:val="48434FE2"/>
    <w:rsid w:val="48435459"/>
    <w:rsid w:val="48455675"/>
    <w:rsid w:val="484671B8"/>
    <w:rsid w:val="48474A35"/>
    <w:rsid w:val="484B6012"/>
    <w:rsid w:val="484E1850"/>
    <w:rsid w:val="484F2050"/>
    <w:rsid w:val="48515DC8"/>
    <w:rsid w:val="48533A6B"/>
    <w:rsid w:val="48535EE5"/>
    <w:rsid w:val="48540412"/>
    <w:rsid w:val="48561630"/>
    <w:rsid w:val="48580F04"/>
    <w:rsid w:val="48582776"/>
    <w:rsid w:val="485910F2"/>
    <w:rsid w:val="485A1120"/>
    <w:rsid w:val="485A2082"/>
    <w:rsid w:val="485A3C35"/>
    <w:rsid w:val="485B6C46"/>
    <w:rsid w:val="4862178A"/>
    <w:rsid w:val="48621D83"/>
    <w:rsid w:val="486419EF"/>
    <w:rsid w:val="48643D4D"/>
    <w:rsid w:val="48667CE0"/>
    <w:rsid w:val="48671147"/>
    <w:rsid w:val="48691363"/>
    <w:rsid w:val="486B0177"/>
    <w:rsid w:val="486D028E"/>
    <w:rsid w:val="486D62A8"/>
    <w:rsid w:val="486F151D"/>
    <w:rsid w:val="486F26F2"/>
    <w:rsid w:val="48742EFF"/>
    <w:rsid w:val="4876582E"/>
    <w:rsid w:val="48785BFB"/>
    <w:rsid w:val="487877F8"/>
    <w:rsid w:val="487B2804"/>
    <w:rsid w:val="487B2E45"/>
    <w:rsid w:val="487D6BBD"/>
    <w:rsid w:val="487F2935"/>
    <w:rsid w:val="48802209"/>
    <w:rsid w:val="488241D3"/>
    <w:rsid w:val="48825A47"/>
    <w:rsid w:val="48831CF9"/>
    <w:rsid w:val="488717E9"/>
    <w:rsid w:val="488908E2"/>
    <w:rsid w:val="48894D7A"/>
    <w:rsid w:val="48895503"/>
    <w:rsid w:val="488E0DCA"/>
    <w:rsid w:val="488F069E"/>
    <w:rsid w:val="488F68F0"/>
    <w:rsid w:val="48904B42"/>
    <w:rsid w:val="48914416"/>
    <w:rsid w:val="48952158"/>
    <w:rsid w:val="4897425D"/>
    <w:rsid w:val="489932CB"/>
    <w:rsid w:val="489C25BD"/>
    <w:rsid w:val="489C6B36"/>
    <w:rsid w:val="489F2FD7"/>
    <w:rsid w:val="48A00AFD"/>
    <w:rsid w:val="48A04659"/>
    <w:rsid w:val="48A71E8C"/>
    <w:rsid w:val="48A74C58"/>
    <w:rsid w:val="48AC1250"/>
    <w:rsid w:val="48AE6D76"/>
    <w:rsid w:val="48AF715A"/>
    <w:rsid w:val="48B565D3"/>
    <w:rsid w:val="48B92DDD"/>
    <w:rsid w:val="48B94236"/>
    <w:rsid w:val="48BA1BBF"/>
    <w:rsid w:val="48BC2773"/>
    <w:rsid w:val="48BC6DC4"/>
    <w:rsid w:val="48BD16AF"/>
    <w:rsid w:val="48BD5CAC"/>
    <w:rsid w:val="48BE4789"/>
    <w:rsid w:val="48BF2D31"/>
    <w:rsid w:val="48BF71D5"/>
    <w:rsid w:val="48C06AA9"/>
    <w:rsid w:val="48C26CC5"/>
    <w:rsid w:val="48C62089"/>
    <w:rsid w:val="48C922EC"/>
    <w:rsid w:val="48C93BB0"/>
    <w:rsid w:val="48CE566A"/>
    <w:rsid w:val="48D32C81"/>
    <w:rsid w:val="48D34A2F"/>
    <w:rsid w:val="48D72771"/>
    <w:rsid w:val="48DC6050"/>
    <w:rsid w:val="48DD37B2"/>
    <w:rsid w:val="48DD58AD"/>
    <w:rsid w:val="48DF1625"/>
    <w:rsid w:val="48E00EFA"/>
    <w:rsid w:val="48E24BBA"/>
    <w:rsid w:val="48E24C72"/>
    <w:rsid w:val="48E36096"/>
    <w:rsid w:val="48E704DA"/>
    <w:rsid w:val="48EB1D78"/>
    <w:rsid w:val="48EC3D42"/>
    <w:rsid w:val="48F2041E"/>
    <w:rsid w:val="48F826E7"/>
    <w:rsid w:val="48FA34B1"/>
    <w:rsid w:val="48FB6EA2"/>
    <w:rsid w:val="48FF5824"/>
    <w:rsid w:val="48FF75D2"/>
    <w:rsid w:val="49033566"/>
    <w:rsid w:val="49033A36"/>
    <w:rsid w:val="49044BE8"/>
    <w:rsid w:val="490746D8"/>
    <w:rsid w:val="490F0B1A"/>
    <w:rsid w:val="491023B4"/>
    <w:rsid w:val="49105C83"/>
    <w:rsid w:val="49116697"/>
    <w:rsid w:val="49117305"/>
    <w:rsid w:val="491310EF"/>
    <w:rsid w:val="4913307D"/>
    <w:rsid w:val="49137521"/>
    <w:rsid w:val="49144504"/>
    <w:rsid w:val="49144A8D"/>
    <w:rsid w:val="4916419A"/>
    <w:rsid w:val="491A440C"/>
    <w:rsid w:val="491B2179"/>
    <w:rsid w:val="491F1A22"/>
    <w:rsid w:val="492049A3"/>
    <w:rsid w:val="49211C3E"/>
    <w:rsid w:val="49221512"/>
    <w:rsid w:val="49261002"/>
    <w:rsid w:val="49290AF3"/>
    <w:rsid w:val="492B6619"/>
    <w:rsid w:val="492D05E3"/>
    <w:rsid w:val="492E7EB7"/>
    <w:rsid w:val="4931796E"/>
    <w:rsid w:val="49333534"/>
    <w:rsid w:val="493354CD"/>
    <w:rsid w:val="49380D36"/>
    <w:rsid w:val="49382AE4"/>
    <w:rsid w:val="49384272"/>
    <w:rsid w:val="493967AB"/>
    <w:rsid w:val="493A7185"/>
    <w:rsid w:val="493B7D23"/>
    <w:rsid w:val="493C0826"/>
    <w:rsid w:val="493C25D4"/>
    <w:rsid w:val="493F0D98"/>
    <w:rsid w:val="493F377B"/>
    <w:rsid w:val="49463091"/>
    <w:rsid w:val="49486324"/>
    <w:rsid w:val="494A2E38"/>
    <w:rsid w:val="494E0559"/>
    <w:rsid w:val="494F491F"/>
    <w:rsid w:val="494F67AB"/>
    <w:rsid w:val="49507E2D"/>
    <w:rsid w:val="49553696"/>
    <w:rsid w:val="49555444"/>
    <w:rsid w:val="49583186"/>
    <w:rsid w:val="495B0E0B"/>
    <w:rsid w:val="495B184D"/>
    <w:rsid w:val="4961028C"/>
    <w:rsid w:val="496164DE"/>
    <w:rsid w:val="49635DB3"/>
    <w:rsid w:val="49651189"/>
    <w:rsid w:val="49656BC0"/>
    <w:rsid w:val="496833C9"/>
    <w:rsid w:val="496A3954"/>
    <w:rsid w:val="496A5C71"/>
    <w:rsid w:val="496B110B"/>
    <w:rsid w:val="49703731"/>
    <w:rsid w:val="49704684"/>
    <w:rsid w:val="4977360C"/>
    <w:rsid w:val="49777AB0"/>
    <w:rsid w:val="497C0C22"/>
    <w:rsid w:val="497E5AA8"/>
    <w:rsid w:val="497F6965"/>
    <w:rsid w:val="498126DD"/>
    <w:rsid w:val="4981448B"/>
    <w:rsid w:val="49822BAA"/>
    <w:rsid w:val="4986099E"/>
    <w:rsid w:val="49867CF3"/>
    <w:rsid w:val="49874791"/>
    <w:rsid w:val="498872D5"/>
    <w:rsid w:val="498909E8"/>
    <w:rsid w:val="498966DE"/>
    <w:rsid w:val="498C3781"/>
    <w:rsid w:val="498E0956"/>
    <w:rsid w:val="49935E47"/>
    <w:rsid w:val="49935F6C"/>
    <w:rsid w:val="49944776"/>
    <w:rsid w:val="49995C78"/>
    <w:rsid w:val="49A168DB"/>
    <w:rsid w:val="49A445FA"/>
    <w:rsid w:val="49A45DEB"/>
    <w:rsid w:val="49A53D6E"/>
    <w:rsid w:val="49A5461D"/>
    <w:rsid w:val="49A92ABD"/>
    <w:rsid w:val="49AB59AC"/>
    <w:rsid w:val="49AB775A"/>
    <w:rsid w:val="49AC4287"/>
    <w:rsid w:val="49AD38FD"/>
    <w:rsid w:val="49B022D0"/>
    <w:rsid w:val="49B11CFD"/>
    <w:rsid w:val="49B20A69"/>
    <w:rsid w:val="49B52386"/>
    <w:rsid w:val="49B546BE"/>
    <w:rsid w:val="49B72B37"/>
    <w:rsid w:val="49B760FE"/>
    <w:rsid w:val="49B77EAC"/>
    <w:rsid w:val="49B93C25"/>
    <w:rsid w:val="49BA799D"/>
    <w:rsid w:val="49BC1967"/>
    <w:rsid w:val="49BE4E12"/>
    <w:rsid w:val="49C265A3"/>
    <w:rsid w:val="49C32CF5"/>
    <w:rsid w:val="49C34AA3"/>
    <w:rsid w:val="49C600F0"/>
    <w:rsid w:val="49C65F48"/>
    <w:rsid w:val="49C7262C"/>
    <w:rsid w:val="49CA0DC2"/>
    <w:rsid w:val="49CA16D0"/>
    <w:rsid w:val="49CA4084"/>
    <w:rsid w:val="49CA5E32"/>
    <w:rsid w:val="49CB1A8A"/>
    <w:rsid w:val="49CB3958"/>
    <w:rsid w:val="49CD76D0"/>
    <w:rsid w:val="49CE4453"/>
    <w:rsid w:val="49D03350"/>
    <w:rsid w:val="49D15412"/>
    <w:rsid w:val="49D56585"/>
    <w:rsid w:val="49D61A36"/>
    <w:rsid w:val="49D66DB1"/>
    <w:rsid w:val="49D7054F"/>
    <w:rsid w:val="49DF091C"/>
    <w:rsid w:val="49E35145"/>
    <w:rsid w:val="49EA0282"/>
    <w:rsid w:val="49EB7B56"/>
    <w:rsid w:val="49EE57D7"/>
    <w:rsid w:val="49F076B0"/>
    <w:rsid w:val="49F11BF3"/>
    <w:rsid w:val="49F37D92"/>
    <w:rsid w:val="49F50475"/>
    <w:rsid w:val="49FA5FEB"/>
    <w:rsid w:val="49FC181A"/>
    <w:rsid w:val="49FC1EF0"/>
    <w:rsid w:val="49FC7FB5"/>
    <w:rsid w:val="49FD67BC"/>
    <w:rsid w:val="49FF7D34"/>
    <w:rsid w:val="4A001BD4"/>
    <w:rsid w:val="4A0128CC"/>
    <w:rsid w:val="4A0171F0"/>
    <w:rsid w:val="4A056843"/>
    <w:rsid w:val="4A073649"/>
    <w:rsid w:val="4A0A4A38"/>
    <w:rsid w:val="4A0C3094"/>
    <w:rsid w:val="4A0D21C2"/>
    <w:rsid w:val="4A0F1A96"/>
    <w:rsid w:val="4A17094B"/>
    <w:rsid w:val="4A1B043B"/>
    <w:rsid w:val="4A1B6691"/>
    <w:rsid w:val="4A1C2562"/>
    <w:rsid w:val="4A1E6773"/>
    <w:rsid w:val="4A1F36E7"/>
    <w:rsid w:val="4A213237"/>
    <w:rsid w:val="4A2319E6"/>
    <w:rsid w:val="4A27131C"/>
    <w:rsid w:val="4A2977C3"/>
    <w:rsid w:val="4A2E3B2F"/>
    <w:rsid w:val="4A30056F"/>
    <w:rsid w:val="4A301A0D"/>
    <w:rsid w:val="4A312D2C"/>
    <w:rsid w:val="4A3132F5"/>
    <w:rsid w:val="4A365275"/>
    <w:rsid w:val="4A37282C"/>
    <w:rsid w:val="4A38723F"/>
    <w:rsid w:val="4A394D65"/>
    <w:rsid w:val="4A3E05CE"/>
    <w:rsid w:val="4A3E237C"/>
    <w:rsid w:val="4A3F507F"/>
    <w:rsid w:val="4A4534F8"/>
    <w:rsid w:val="4A454B8F"/>
    <w:rsid w:val="4A4640A6"/>
    <w:rsid w:val="4A477482"/>
    <w:rsid w:val="4A4E6A63"/>
    <w:rsid w:val="4A505A9B"/>
    <w:rsid w:val="4A510301"/>
    <w:rsid w:val="4A530593"/>
    <w:rsid w:val="4A541B9F"/>
    <w:rsid w:val="4A5601FD"/>
    <w:rsid w:val="4A560560"/>
    <w:rsid w:val="4A5676C5"/>
    <w:rsid w:val="4A595408"/>
    <w:rsid w:val="4A5971B6"/>
    <w:rsid w:val="4A5D4EF8"/>
    <w:rsid w:val="4A5E2A1E"/>
    <w:rsid w:val="4A62250E"/>
    <w:rsid w:val="4A6265BD"/>
    <w:rsid w:val="4A631581"/>
    <w:rsid w:val="4A635B7F"/>
    <w:rsid w:val="4A673681"/>
    <w:rsid w:val="4A6873F9"/>
    <w:rsid w:val="4A6B11FC"/>
    <w:rsid w:val="4A6B390E"/>
    <w:rsid w:val="4A6D0C58"/>
    <w:rsid w:val="4A6E0EB3"/>
    <w:rsid w:val="4A7008B7"/>
    <w:rsid w:val="4A71383E"/>
    <w:rsid w:val="4A722025"/>
    <w:rsid w:val="4A727F0E"/>
    <w:rsid w:val="4A7364C9"/>
    <w:rsid w:val="4A757163"/>
    <w:rsid w:val="4A767D68"/>
    <w:rsid w:val="4A782DAF"/>
    <w:rsid w:val="4A802994"/>
    <w:rsid w:val="4A824CBC"/>
    <w:rsid w:val="4A857FAB"/>
    <w:rsid w:val="4A86619B"/>
    <w:rsid w:val="4A871F75"/>
    <w:rsid w:val="4A895CED"/>
    <w:rsid w:val="4A8C7696"/>
    <w:rsid w:val="4A8E20F7"/>
    <w:rsid w:val="4A8F7A4B"/>
    <w:rsid w:val="4A951FBF"/>
    <w:rsid w:val="4A977AF4"/>
    <w:rsid w:val="4A99106D"/>
    <w:rsid w:val="4A9942DC"/>
    <w:rsid w:val="4A9B157C"/>
    <w:rsid w:val="4A9D2AB4"/>
    <w:rsid w:val="4AA30431"/>
    <w:rsid w:val="4AA30AF1"/>
    <w:rsid w:val="4AA448D5"/>
    <w:rsid w:val="4AA523FB"/>
    <w:rsid w:val="4AA5422C"/>
    <w:rsid w:val="4AA66B63"/>
    <w:rsid w:val="4AA777F9"/>
    <w:rsid w:val="4AA77F21"/>
    <w:rsid w:val="4AAA2FAB"/>
    <w:rsid w:val="4AAE12AF"/>
    <w:rsid w:val="4AB34B18"/>
    <w:rsid w:val="4AB368C6"/>
    <w:rsid w:val="4AB44DF5"/>
    <w:rsid w:val="4AB8064A"/>
    <w:rsid w:val="4AB809B4"/>
    <w:rsid w:val="4ABA5EA6"/>
    <w:rsid w:val="4ABA7398"/>
    <w:rsid w:val="4ABA78B9"/>
    <w:rsid w:val="4ABB39CC"/>
    <w:rsid w:val="4ABD14F2"/>
    <w:rsid w:val="4ABF10E5"/>
    <w:rsid w:val="4ABF5418"/>
    <w:rsid w:val="4AC00FE3"/>
    <w:rsid w:val="4AC41647"/>
    <w:rsid w:val="4AC73519"/>
    <w:rsid w:val="4AC76815"/>
    <w:rsid w:val="4ACA1E61"/>
    <w:rsid w:val="4ACE01A4"/>
    <w:rsid w:val="4ACE54AE"/>
    <w:rsid w:val="4ACF7478"/>
    <w:rsid w:val="4AD0171C"/>
    <w:rsid w:val="4AD11442"/>
    <w:rsid w:val="4AD43941"/>
    <w:rsid w:val="4AD625B4"/>
    <w:rsid w:val="4AD66A58"/>
    <w:rsid w:val="4AD81C6A"/>
    <w:rsid w:val="4AD835A5"/>
    <w:rsid w:val="4AD949B5"/>
    <w:rsid w:val="4ADA20A4"/>
    <w:rsid w:val="4ADD7DE7"/>
    <w:rsid w:val="4ADE3E57"/>
    <w:rsid w:val="4AE42F23"/>
    <w:rsid w:val="4AE56B2F"/>
    <w:rsid w:val="4AE66C9B"/>
    <w:rsid w:val="4AE747C1"/>
    <w:rsid w:val="4AEC002A"/>
    <w:rsid w:val="4AEC1DD8"/>
    <w:rsid w:val="4AED7781"/>
    <w:rsid w:val="4AEF3676"/>
    <w:rsid w:val="4AF34B62"/>
    <w:rsid w:val="4AF3760A"/>
    <w:rsid w:val="4AF64A04"/>
    <w:rsid w:val="4AFA6B4B"/>
    <w:rsid w:val="4AFD45DD"/>
    <w:rsid w:val="4AFD64BC"/>
    <w:rsid w:val="4AFF1B0B"/>
    <w:rsid w:val="4B007631"/>
    <w:rsid w:val="4B032D3D"/>
    <w:rsid w:val="4B054C48"/>
    <w:rsid w:val="4B06733D"/>
    <w:rsid w:val="4B0735C9"/>
    <w:rsid w:val="4B076C12"/>
    <w:rsid w:val="4B092567"/>
    <w:rsid w:val="4B0A6448"/>
    <w:rsid w:val="4B0B18CA"/>
    <w:rsid w:val="4B0B6702"/>
    <w:rsid w:val="4B0C5BF2"/>
    <w:rsid w:val="4B0C5FD6"/>
    <w:rsid w:val="4B0E7FA0"/>
    <w:rsid w:val="4B101F6A"/>
    <w:rsid w:val="4B1530DD"/>
    <w:rsid w:val="4B157580"/>
    <w:rsid w:val="4B166E55"/>
    <w:rsid w:val="4B17021A"/>
    <w:rsid w:val="4B1B26BD"/>
    <w:rsid w:val="4B1B446B"/>
    <w:rsid w:val="4B1D01E3"/>
    <w:rsid w:val="4B1E66CF"/>
    <w:rsid w:val="4B217CD3"/>
    <w:rsid w:val="4B242014"/>
    <w:rsid w:val="4B2A6963"/>
    <w:rsid w:val="4B2B2900"/>
    <w:rsid w:val="4B2B6DA4"/>
    <w:rsid w:val="4B2C0426"/>
    <w:rsid w:val="4B2C5595"/>
    <w:rsid w:val="4B2E1DFD"/>
    <w:rsid w:val="4B2E67E5"/>
    <w:rsid w:val="4B2F7BD7"/>
    <w:rsid w:val="4B3043BA"/>
    <w:rsid w:val="4B337A07"/>
    <w:rsid w:val="4B3A2B43"/>
    <w:rsid w:val="4B3A61CA"/>
    <w:rsid w:val="4B3A7B4E"/>
    <w:rsid w:val="4B3C4946"/>
    <w:rsid w:val="4B3C4B0D"/>
    <w:rsid w:val="4B3C51D2"/>
    <w:rsid w:val="4B3C56F2"/>
    <w:rsid w:val="4B3C6902"/>
    <w:rsid w:val="4B481704"/>
    <w:rsid w:val="4B481EFF"/>
    <w:rsid w:val="4B49547C"/>
    <w:rsid w:val="4B4D1EF0"/>
    <w:rsid w:val="4B4E2A92"/>
    <w:rsid w:val="4B500246"/>
    <w:rsid w:val="4B517E8D"/>
    <w:rsid w:val="4B555BCF"/>
    <w:rsid w:val="4B571947"/>
    <w:rsid w:val="4B577B99"/>
    <w:rsid w:val="4B587F31"/>
    <w:rsid w:val="4B5A0632"/>
    <w:rsid w:val="4B5A1437"/>
    <w:rsid w:val="4B5D2CD5"/>
    <w:rsid w:val="4B5D6832"/>
    <w:rsid w:val="4B605E0C"/>
    <w:rsid w:val="4B63653E"/>
    <w:rsid w:val="4B663FE5"/>
    <w:rsid w:val="4B667F63"/>
    <w:rsid w:val="4B6776B0"/>
    <w:rsid w:val="4B685902"/>
    <w:rsid w:val="4B69317B"/>
    <w:rsid w:val="4B6A37B8"/>
    <w:rsid w:val="4B6B53F2"/>
    <w:rsid w:val="4B6D116B"/>
    <w:rsid w:val="4B770515"/>
    <w:rsid w:val="4B7778F3"/>
    <w:rsid w:val="4B7A73E4"/>
    <w:rsid w:val="4B7C315C"/>
    <w:rsid w:val="4B7E4E3D"/>
    <w:rsid w:val="4B8169C4"/>
    <w:rsid w:val="4B85737C"/>
    <w:rsid w:val="4B880C9C"/>
    <w:rsid w:val="4B885FA4"/>
    <w:rsid w:val="4B8B15F1"/>
    <w:rsid w:val="4B8D35BB"/>
    <w:rsid w:val="4B8D5A3F"/>
    <w:rsid w:val="4B8E10E1"/>
    <w:rsid w:val="4B8E5887"/>
    <w:rsid w:val="4B8F5C99"/>
    <w:rsid w:val="4B8F6261"/>
    <w:rsid w:val="4B904E59"/>
    <w:rsid w:val="4B920BD1"/>
    <w:rsid w:val="4B92532B"/>
    <w:rsid w:val="4B9550DB"/>
    <w:rsid w:val="4B984051"/>
    <w:rsid w:val="4B985147"/>
    <w:rsid w:val="4B991F60"/>
    <w:rsid w:val="4B9C03C6"/>
    <w:rsid w:val="4B9C1A50"/>
    <w:rsid w:val="4BA206E8"/>
    <w:rsid w:val="4BA32DDE"/>
    <w:rsid w:val="4BA61478"/>
    <w:rsid w:val="4BA8076C"/>
    <w:rsid w:val="4BAD1567"/>
    <w:rsid w:val="4BAF3531"/>
    <w:rsid w:val="4BB075EA"/>
    <w:rsid w:val="4BB078CC"/>
    <w:rsid w:val="4BB07A82"/>
    <w:rsid w:val="4BB241BA"/>
    <w:rsid w:val="4BB26B7D"/>
    <w:rsid w:val="4BB34E8B"/>
    <w:rsid w:val="4BB418A9"/>
    <w:rsid w:val="4BB5041C"/>
    <w:rsid w:val="4BB50A10"/>
    <w:rsid w:val="4BBE1B96"/>
    <w:rsid w:val="4BC108B4"/>
    <w:rsid w:val="4BC15012"/>
    <w:rsid w:val="4BC23E1F"/>
    <w:rsid w:val="4BC32B39"/>
    <w:rsid w:val="4BC44B03"/>
    <w:rsid w:val="4BC575D2"/>
    <w:rsid w:val="4BC82845"/>
    <w:rsid w:val="4BCB40E3"/>
    <w:rsid w:val="4BCD39B7"/>
    <w:rsid w:val="4BCD7E5B"/>
    <w:rsid w:val="4BCE14DD"/>
    <w:rsid w:val="4BCE3403"/>
    <w:rsid w:val="4BCE41B0"/>
    <w:rsid w:val="4BD25472"/>
    <w:rsid w:val="4BD411EA"/>
    <w:rsid w:val="4BD42F98"/>
    <w:rsid w:val="4BD9235C"/>
    <w:rsid w:val="4BDB2578"/>
    <w:rsid w:val="4BDC5859"/>
    <w:rsid w:val="4BDD5875"/>
    <w:rsid w:val="4BDE5BC4"/>
    <w:rsid w:val="4BDF36EB"/>
    <w:rsid w:val="4BE447B1"/>
    <w:rsid w:val="4BE60F1D"/>
    <w:rsid w:val="4BE77B7E"/>
    <w:rsid w:val="4BE81A2F"/>
    <w:rsid w:val="4BEA0701"/>
    <w:rsid w:val="4BEA116A"/>
    <w:rsid w:val="4BEB02E1"/>
    <w:rsid w:val="4BEC0097"/>
    <w:rsid w:val="4BEF1B80"/>
    <w:rsid w:val="4BF4363A"/>
    <w:rsid w:val="4BF731F0"/>
    <w:rsid w:val="4BF838F0"/>
    <w:rsid w:val="4BF90C50"/>
    <w:rsid w:val="4BF92D50"/>
    <w:rsid w:val="4BFA0524"/>
    <w:rsid w:val="4BFC429C"/>
    <w:rsid w:val="4C0118B3"/>
    <w:rsid w:val="4C013661"/>
    <w:rsid w:val="4C0160E3"/>
    <w:rsid w:val="4C082C41"/>
    <w:rsid w:val="4C0875E3"/>
    <w:rsid w:val="4C0F30D2"/>
    <w:rsid w:val="4C0F3FD0"/>
    <w:rsid w:val="4C100C5A"/>
    <w:rsid w:val="4C115F9A"/>
    <w:rsid w:val="4C160596"/>
    <w:rsid w:val="4C167EC0"/>
    <w:rsid w:val="4C17506F"/>
    <w:rsid w:val="4C177328"/>
    <w:rsid w:val="4C196BFC"/>
    <w:rsid w:val="4C1A4723"/>
    <w:rsid w:val="4C1C049B"/>
    <w:rsid w:val="4C1E2465"/>
    <w:rsid w:val="4C207F8B"/>
    <w:rsid w:val="4C2275C7"/>
    <w:rsid w:val="4C251FC6"/>
    <w:rsid w:val="4C26756B"/>
    <w:rsid w:val="4C2C2DD4"/>
    <w:rsid w:val="4C325550"/>
    <w:rsid w:val="4C325A71"/>
    <w:rsid w:val="4C325F10"/>
    <w:rsid w:val="4C343A36"/>
    <w:rsid w:val="4C344283"/>
    <w:rsid w:val="4C350CC1"/>
    <w:rsid w:val="4C351FF7"/>
    <w:rsid w:val="4C357913"/>
    <w:rsid w:val="4C392DFB"/>
    <w:rsid w:val="4C3954F1"/>
    <w:rsid w:val="4C3C5414"/>
    <w:rsid w:val="4C3C6DFD"/>
    <w:rsid w:val="4C431ECB"/>
    <w:rsid w:val="4C453E95"/>
    <w:rsid w:val="4C4579F1"/>
    <w:rsid w:val="4C46264D"/>
    <w:rsid w:val="4C46445A"/>
    <w:rsid w:val="4C4874E2"/>
    <w:rsid w:val="4C487F19"/>
    <w:rsid w:val="4C4A7F2C"/>
    <w:rsid w:val="4C4C21DF"/>
    <w:rsid w:val="4C4C6124"/>
    <w:rsid w:val="4C4E7F9D"/>
    <w:rsid w:val="4C4F261E"/>
    <w:rsid w:val="4C50123D"/>
    <w:rsid w:val="4C5145E8"/>
    <w:rsid w:val="4C52210E"/>
    <w:rsid w:val="4C5365B2"/>
    <w:rsid w:val="4C544CA1"/>
    <w:rsid w:val="4C55038A"/>
    <w:rsid w:val="4C561BFF"/>
    <w:rsid w:val="4C59349D"/>
    <w:rsid w:val="4C5E739F"/>
    <w:rsid w:val="4C61656D"/>
    <w:rsid w:val="4C632900"/>
    <w:rsid w:val="4C65665F"/>
    <w:rsid w:val="4C675BBA"/>
    <w:rsid w:val="4C6F2CC0"/>
    <w:rsid w:val="4C7107E7"/>
    <w:rsid w:val="4C714C8A"/>
    <w:rsid w:val="4C716343"/>
    <w:rsid w:val="4C7327B1"/>
    <w:rsid w:val="4C765DFD"/>
    <w:rsid w:val="4C7719A8"/>
    <w:rsid w:val="4C786216"/>
    <w:rsid w:val="4C79769B"/>
    <w:rsid w:val="4C7B3413"/>
    <w:rsid w:val="4C7D6B0F"/>
    <w:rsid w:val="4C83676C"/>
    <w:rsid w:val="4C8449BE"/>
    <w:rsid w:val="4C885B30"/>
    <w:rsid w:val="4C8A5D4C"/>
    <w:rsid w:val="4C8C5620"/>
    <w:rsid w:val="4C8C73CE"/>
    <w:rsid w:val="4C8D3147"/>
    <w:rsid w:val="4C940979"/>
    <w:rsid w:val="4C96451A"/>
    <w:rsid w:val="4C983FC5"/>
    <w:rsid w:val="4C994A2C"/>
    <w:rsid w:val="4C9A3FEA"/>
    <w:rsid w:val="4C9A4580"/>
    <w:rsid w:val="4C9E49B2"/>
    <w:rsid w:val="4C9E7102"/>
    <w:rsid w:val="4CA010CC"/>
    <w:rsid w:val="4CA0731E"/>
    <w:rsid w:val="4CA3296A"/>
    <w:rsid w:val="4CA83BB4"/>
    <w:rsid w:val="4CAA3CF8"/>
    <w:rsid w:val="4CAC5CC3"/>
    <w:rsid w:val="4CAD0DFF"/>
    <w:rsid w:val="4CAF7561"/>
    <w:rsid w:val="4CB37051"/>
    <w:rsid w:val="4CB44B77"/>
    <w:rsid w:val="4CB549AC"/>
    <w:rsid w:val="4CB65211"/>
    <w:rsid w:val="4CB701F8"/>
    <w:rsid w:val="4CB86415"/>
    <w:rsid w:val="4CB878D5"/>
    <w:rsid w:val="4CBA258C"/>
    <w:rsid w:val="4CBD57DA"/>
    <w:rsid w:val="4CBD692F"/>
    <w:rsid w:val="4CBD7ED0"/>
    <w:rsid w:val="4CBF5C1D"/>
    <w:rsid w:val="4CC365C5"/>
    <w:rsid w:val="4CC53781"/>
    <w:rsid w:val="4CC617CD"/>
    <w:rsid w:val="4CC62277"/>
    <w:rsid w:val="4CC629D5"/>
    <w:rsid w:val="4CC76658"/>
    <w:rsid w:val="4CC823D1"/>
    <w:rsid w:val="4CCA7EF7"/>
    <w:rsid w:val="4CCE3E8B"/>
    <w:rsid w:val="4CD307E4"/>
    <w:rsid w:val="4CD34FFD"/>
    <w:rsid w:val="4CD44E47"/>
    <w:rsid w:val="4CD86AB8"/>
    <w:rsid w:val="4CDA3E72"/>
    <w:rsid w:val="4CDC1D6C"/>
    <w:rsid w:val="4CDC3C81"/>
    <w:rsid w:val="4CDE39A2"/>
    <w:rsid w:val="4CDF5D99"/>
    <w:rsid w:val="4CE049AA"/>
    <w:rsid w:val="4CE0596C"/>
    <w:rsid w:val="4CE05E98"/>
    <w:rsid w:val="4CE0771A"/>
    <w:rsid w:val="4CE27936"/>
    <w:rsid w:val="4CE32A47"/>
    <w:rsid w:val="4CE52F83"/>
    <w:rsid w:val="4CE70AA9"/>
    <w:rsid w:val="4CE92A73"/>
    <w:rsid w:val="4CEA67EB"/>
    <w:rsid w:val="4CEC7770"/>
    <w:rsid w:val="4CED7717"/>
    <w:rsid w:val="4CF0343A"/>
    <w:rsid w:val="4CF237CB"/>
    <w:rsid w:val="4CF32007"/>
    <w:rsid w:val="4CF338F1"/>
    <w:rsid w:val="4CF60CEC"/>
    <w:rsid w:val="4CF66F3E"/>
    <w:rsid w:val="4CF84A64"/>
    <w:rsid w:val="4CFA4C80"/>
    <w:rsid w:val="4CFD207A"/>
    <w:rsid w:val="4D023007"/>
    <w:rsid w:val="4D026294"/>
    <w:rsid w:val="4D0478AD"/>
    <w:rsid w:val="4D063625"/>
    <w:rsid w:val="4D080842"/>
    <w:rsid w:val="4D0A4797"/>
    <w:rsid w:val="4D0B0C3B"/>
    <w:rsid w:val="4D0D567D"/>
    <w:rsid w:val="4D0E072B"/>
    <w:rsid w:val="4D0E4287"/>
    <w:rsid w:val="4D0F7FFF"/>
    <w:rsid w:val="4D13189E"/>
    <w:rsid w:val="4D137AF0"/>
    <w:rsid w:val="4D174235"/>
    <w:rsid w:val="4D1A6876"/>
    <w:rsid w:val="4D1B2866"/>
    <w:rsid w:val="4D1E0115"/>
    <w:rsid w:val="4D1F0243"/>
    <w:rsid w:val="4D216607"/>
    <w:rsid w:val="4D225F85"/>
    <w:rsid w:val="4D2A4601"/>
    <w:rsid w:val="4D2C295F"/>
    <w:rsid w:val="4D2E492A"/>
    <w:rsid w:val="4D2F3A34"/>
    <w:rsid w:val="4D302450"/>
    <w:rsid w:val="4D355CB8"/>
    <w:rsid w:val="4D390B70"/>
    <w:rsid w:val="4D3A7580"/>
    <w:rsid w:val="4D3B63E7"/>
    <w:rsid w:val="4D3B6CCA"/>
    <w:rsid w:val="4D3D31CD"/>
    <w:rsid w:val="4D422183"/>
    <w:rsid w:val="4D44414D"/>
    <w:rsid w:val="4D467EC5"/>
    <w:rsid w:val="4D4759EB"/>
    <w:rsid w:val="4D4952BF"/>
    <w:rsid w:val="4D4A6DD6"/>
    <w:rsid w:val="4D4B1874"/>
    <w:rsid w:val="4D4B54DB"/>
    <w:rsid w:val="4D4E28D6"/>
    <w:rsid w:val="4D4E6D7A"/>
    <w:rsid w:val="4D4F0235"/>
    <w:rsid w:val="4D4F2873"/>
    <w:rsid w:val="4D5048A0"/>
    <w:rsid w:val="4D510618"/>
    <w:rsid w:val="4D547523"/>
    <w:rsid w:val="4D5679DC"/>
    <w:rsid w:val="4D5A3970"/>
    <w:rsid w:val="4D5B106D"/>
    <w:rsid w:val="4D5C1497"/>
    <w:rsid w:val="4D5E2FC0"/>
    <w:rsid w:val="4D61529C"/>
    <w:rsid w:val="4D616AAD"/>
    <w:rsid w:val="4D626381"/>
    <w:rsid w:val="4D64034B"/>
    <w:rsid w:val="4D64784A"/>
    <w:rsid w:val="4D663E25"/>
    <w:rsid w:val="4D677E3B"/>
    <w:rsid w:val="4D693BB4"/>
    <w:rsid w:val="4D697710"/>
    <w:rsid w:val="4D6C7200"/>
    <w:rsid w:val="4D700A9E"/>
    <w:rsid w:val="4D722A68"/>
    <w:rsid w:val="4D73233C"/>
    <w:rsid w:val="4D732EA2"/>
    <w:rsid w:val="4D754306"/>
    <w:rsid w:val="4D7560B4"/>
    <w:rsid w:val="4D756952"/>
    <w:rsid w:val="4D761E2D"/>
    <w:rsid w:val="4D773016"/>
    <w:rsid w:val="4D77621C"/>
    <w:rsid w:val="4D785BA5"/>
    <w:rsid w:val="4D7B771B"/>
    <w:rsid w:val="4D7C38E7"/>
    <w:rsid w:val="4D7F0CE1"/>
    <w:rsid w:val="4D811942"/>
    <w:rsid w:val="4D812AEE"/>
    <w:rsid w:val="4D8220AC"/>
    <w:rsid w:val="4D8409ED"/>
    <w:rsid w:val="4D8558DC"/>
    <w:rsid w:val="4D8602C2"/>
    <w:rsid w:val="4D862070"/>
    <w:rsid w:val="4D886D2A"/>
    <w:rsid w:val="4D896004"/>
    <w:rsid w:val="4D8A3570"/>
    <w:rsid w:val="4D8B6786"/>
    <w:rsid w:val="4D8C33FE"/>
    <w:rsid w:val="4D8E53C8"/>
    <w:rsid w:val="4D8F5B63"/>
    <w:rsid w:val="4D924008"/>
    <w:rsid w:val="4D924EB8"/>
    <w:rsid w:val="4D956757"/>
    <w:rsid w:val="4D970721"/>
    <w:rsid w:val="4D981DA3"/>
    <w:rsid w:val="4D9A5B1B"/>
    <w:rsid w:val="4D9E721C"/>
    <w:rsid w:val="4D9E7AF5"/>
    <w:rsid w:val="4DA4699A"/>
    <w:rsid w:val="4DA644C0"/>
    <w:rsid w:val="4DAA1064"/>
    <w:rsid w:val="4DAB5F7A"/>
    <w:rsid w:val="4DAD116D"/>
    <w:rsid w:val="4DAE15C6"/>
    <w:rsid w:val="4DAE5A6A"/>
    <w:rsid w:val="4DB0533F"/>
    <w:rsid w:val="4DBD7A5B"/>
    <w:rsid w:val="4DC31516"/>
    <w:rsid w:val="4DC40DEA"/>
    <w:rsid w:val="4DC60097"/>
    <w:rsid w:val="4DC62DB4"/>
    <w:rsid w:val="4DC969B3"/>
    <w:rsid w:val="4DCA28A4"/>
    <w:rsid w:val="4DCB2178"/>
    <w:rsid w:val="4DCC77E5"/>
    <w:rsid w:val="4DD059E1"/>
    <w:rsid w:val="4DD57C4D"/>
    <w:rsid w:val="4DD728CB"/>
    <w:rsid w:val="4DDA7481"/>
    <w:rsid w:val="4DE4148C"/>
    <w:rsid w:val="4DE77E30"/>
    <w:rsid w:val="4DE818F3"/>
    <w:rsid w:val="4DEA4CF4"/>
    <w:rsid w:val="4DEB0725"/>
    <w:rsid w:val="4DED6593"/>
    <w:rsid w:val="4DEE5E67"/>
    <w:rsid w:val="4DEF40B9"/>
    <w:rsid w:val="4DF06D15"/>
    <w:rsid w:val="4DF35EB9"/>
    <w:rsid w:val="4DF416CF"/>
    <w:rsid w:val="4DF551E8"/>
    <w:rsid w:val="4DF55447"/>
    <w:rsid w:val="4DF55709"/>
    <w:rsid w:val="4DF64286"/>
    <w:rsid w:val="4DF740D0"/>
    <w:rsid w:val="4DF96CE5"/>
    <w:rsid w:val="4DFC4A28"/>
    <w:rsid w:val="4DFC4EBC"/>
    <w:rsid w:val="4DFE42FC"/>
    <w:rsid w:val="4DFF0074"/>
    <w:rsid w:val="4E031912"/>
    <w:rsid w:val="4E036117"/>
    <w:rsid w:val="4E047438"/>
    <w:rsid w:val="4E062834"/>
    <w:rsid w:val="4E062E7B"/>
    <w:rsid w:val="4E065E6C"/>
    <w:rsid w:val="4E092CA1"/>
    <w:rsid w:val="4E0B4C6B"/>
    <w:rsid w:val="4E0D2791"/>
    <w:rsid w:val="4E10402F"/>
    <w:rsid w:val="4E1103A0"/>
    <w:rsid w:val="4E121E37"/>
    <w:rsid w:val="4E127DA7"/>
    <w:rsid w:val="4E15398D"/>
    <w:rsid w:val="4E165AE9"/>
    <w:rsid w:val="4E17716C"/>
    <w:rsid w:val="4E197388"/>
    <w:rsid w:val="4E1F4B52"/>
    <w:rsid w:val="4E204980"/>
    <w:rsid w:val="4E2142A9"/>
    <w:rsid w:val="4E21445F"/>
    <w:rsid w:val="4E21448E"/>
    <w:rsid w:val="4E223196"/>
    <w:rsid w:val="4E23200D"/>
    <w:rsid w:val="4E23259A"/>
    <w:rsid w:val="4E235B10"/>
    <w:rsid w:val="4E281379"/>
    <w:rsid w:val="4E2817A0"/>
    <w:rsid w:val="4E296E9F"/>
    <w:rsid w:val="4E2B0E69"/>
    <w:rsid w:val="4E2B2C17"/>
    <w:rsid w:val="4E2B4ECD"/>
    <w:rsid w:val="4E2E44B5"/>
    <w:rsid w:val="4E2F0959"/>
    <w:rsid w:val="4E30022D"/>
    <w:rsid w:val="4E345F70"/>
    <w:rsid w:val="4E367324"/>
    <w:rsid w:val="4E3B5CEF"/>
    <w:rsid w:val="4E3C3076"/>
    <w:rsid w:val="4E3F78BF"/>
    <w:rsid w:val="4E40695D"/>
    <w:rsid w:val="4E434405"/>
    <w:rsid w:val="4E48798B"/>
    <w:rsid w:val="4E4C3BD7"/>
    <w:rsid w:val="4E4D2A0C"/>
    <w:rsid w:val="4E4E6E17"/>
    <w:rsid w:val="4E4F12F0"/>
    <w:rsid w:val="4E4F3F85"/>
    <w:rsid w:val="4E50267E"/>
    <w:rsid w:val="4E516B22"/>
    <w:rsid w:val="4E524648"/>
    <w:rsid w:val="4E557C94"/>
    <w:rsid w:val="4E573A0C"/>
    <w:rsid w:val="4E593C28"/>
    <w:rsid w:val="4E5959D6"/>
    <w:rsid w:val="4E5C4D9A"/>
    <w:rsid w:val="4E5C54C6"/>
    <w:rsid w:val="4E5C7274"/>
    <w:rsid w:val="4E5D35AC"/>
    <w:rsid w:val="4E5E2FEC"/>
    <w:rsid w:val="4E5E7A74"/>
    <w:rsid w:val="4E612ADD"/>
    <w:rsid w:val="4E630603"/>
    <w:rsid w:val="4E672F84"/>
    <w:rsid w:val="4E6A0A71"/>
    <w:rsid w:val="4E6A1991"/>
    <w:rsid w:val="4E6A4244"/>
    <w:rsid w:val="4E6A7A3E"/>
    <w:rsid w:val="4E6B0A48"/>
    <w:rsid w:val="4E6C1FEA"/>
    <w:rsid w:val="4E6C395B"/>
    <w:rsid w:val="4E6C5709"/>
    <w:rsid w:val="4E6D3230"/>
    <w:rsid w:val="4E6F51FA"/>
    <w:rsid w:val="4E7028B8"/>
    <w:rsid w:val="4E760913"/>
    <w:rsid w:val="4E79477B"/>
    <w:rsid w:val="4E7B1363"/>
    <w:rsid w:val="4E7B594C"/>
    <w:rsid w:val="4E7E7051"/>
    <w:rsid w:val="4E843280"/>
    <w:rsid w:val="4E872543"/>
    <w:rsid w:val="4E88341A"/>
    <w:rsid w:val="4E8851F8"/>
    <w:rsid w:val="4E8862BB"/>
    <w:rsid w:val="4E8C5DAC"/>
    <w:rsid w:val="4E910DA4"/>
    <w:rsid w:val="4E940A30"/>
    <w:rsid w:val="4E966118"/>
    <w:rsid w:val="4E975520"/>
    <w:rsid w:val="4E9764FE"/>
    <w:rsid w:val="4E9A688F"/>
    <w:rsid w:val="4E9D5101"/>
    <w:rsid w:val="4E9E5ADF"/>
    <w:rsid w:val="4EA16297"/>
    <w:rsid w:val="4EA25347"/>
    <w:rsid w:val="4EA3285D"/>
    <w:rsid w:val="4EA61F87"/>
    <w:rsid w:val="4EA67106"/>
    <w:rsid w:val="4EA70528"/>
    <w:rsid w:val="4EA931C9"/>
    <w:rsid w:val="4EB03520"/>
    <w:rsid w:val="4EB26F1E"/>
    <w:rsid w:val="4EB33338"/>
    <w:rsid w:val="4EB45A42"/>
    <w:rsid w:val="4EB57700"/>
    <w:rsid w:val="4EB64BD7"/>
    <w:rsid w:val="4EB764F3"/>
    <w:rsid w:val="4EB86BA1"/>
    <w:rsid w:val="4EBD41B7"/>
    <w:rsid w:val="4EBE058A"/>
    <w:rsid w:val="4EBE757A"/>
    <w:rsid w:val="4EC47DD1"/>
    <w:rsid w:val="4EC5306C"/>
    <w:rsid w:val="4EC533B4"/>
    <w:rsid w:val="4EC61106"/>
    <w:rsid w:val="4EC65B40"/>
    <w:rsid w:val="4ECC67BB"/>
    <w:rsid w:val="4ED137BE"/>
    <w:rsid w:val="4ED56CDE"/>
    <w:rsid w:val="4ED66A64"/>
    <w:rsid w:val="4ED817CF"/>
    <w:rsid w:val="4ED92533"/>
    <w:rsid w:val="4EDE24FE"/>
    <w:rsid w:val="4EDF1751"/>
    <w:rsid w:val="4EE01C53"/>
    <w:rsid w:val="4EE31744"/>
    <w:rsid w:val="4EE47996"/>
    <w:rsid w:val="4EE51018"/>
    <w:rsid w:val="4EE62E47"/>
    <w:rsid w:val="4EE91AEA"/>
    <w:rsid w:val="4EEA0D24"/>
    <w:rsid w:val="4EEA2AD2"/>
    <w:rsid w:val="4EEA4880"/>
    <w:rsid w:val="4EEF1E97"/>
    <w:rsid w:val="4EEF633A"/>
    <w:rsid w:val="4EF86F9D"/>
    <w:rsid w:val="4EF94AC3"/>
    <w:rsid w:val="4EFB5199"/>
    <w:rsid w:val="4EFC5CCA"/>
    <w:rsid w:val="4EFE20DA"/>
    <w:rsid w:val="4F013202"/>
    <w:rsid w:val="4F035942"/>
    <w:rsid w:val="4F0A0A7E"/>
    <w:rsid w:val="4F0B2565"/>
    <w:rsid w:val="4F0C0C9A"/>
    <w:rsid w:val="4F0C2A48"/>
    <w:rsid w:val="4F0C78AF"/>
    <w:rsid w:val="4F0D41DE"/>
    <w:rsid w:val="4F0E4A13"/>
    <w:rsid w:val="4F0E63CE"/>
    <w:rsid w:val="4F0F23EC"/>
    <w:rsid w:val="4F110FA8"/>
    <w:rsid w:val="4F133DD7"/>
    <w:rsid w:val="4F147B4F"/>
    <w:rsid w:val="4F18763F"/>
    <w:rsid w:val="4F1B0EDE"/>
    <w:rsid w:val="4F1B22DD"/>
    <w:rsid w:val="4F1B2A34"/>
    <w:rsid w:val="4F2064F4"/>
    <w:rsid w:val="4F231B40"/>
    <w:rsid w:val="4F244236"/>
    <w:rsid w:val="4F2E6E63"/>
    <w:rsid w:val="4F314280"/>
    <w:rsid w:val="4F3273BB"/>
    <w:rsid w:val="4F3459D3"/>
    <w:rsid w:val="4F3557D2"/>
    <w:rsid w:val="4F367AC5"/>
    <w:rsid w:val="4F377047"/>
    <w:rsid w:val="4F3855EC"/>
    <w:rsid w:val="4F3860E4"/>
    <w:rsid w:val="4F3C52C0"/>
    <w:rsid w:val="4F3D6437"/>
    <w:rsid w:val="4F3E697A"/>
    <w:rsid w:val="4F3F2E1E"/>
    <w:rsid w:val="4F4239AC"/>
    <w:rsid w:val="4F42646A"/>
    <w:rsid w:val="4F431A0F"/>
    <w:rsid w:val="4F45115F"/>
    <w:rsid w:val="4F45133E"/>
    <w:rsid w:val="4F451D45"/>
    <w:rsid w:val="4F455F5A"/>
    <w:rsid w:val="4F460556"/>
    <w:rsid w:val="4F461674"/>
    <w:rsid w:val="4F473291"/>
    <w:rsid w:val="4F4770E1"/>
    <w:rsid w:val="4F495A4B"/>
    <w:rsid w:val="4F4977F9"/>
    <w:rsid w:val="4F4A0E3B"/>
    <w:rsid w:val="4F4A531F"/>
    <w:rsid w:val="4F4C1097"/>
    <w:rsid w:val="4F4F2935"/>
    <w:rsid w:val="4F50251B"/>
    <w:rsid w:val="4F503EE0"/>
    <w:rsid w:val="4F530677"/>
    <w:rsid w:val="4F53618A"/>
    <w:rsid w:val="4F566515"/>
    <w:rsid w:val="4F604B42"/>
    <w:rsid w:val="4F624D5E"/>
    <w:rsid w:val="4F6267DE"/>
    <w:rsid w:val="4F652159"/>
    <w:rsid w:val="4F66512D"/>
    <w:rsid w:val="4F6A776F"/>
    <w:rsid w:val="4F6B59C1"/>
    <w:rsid w:val="4F6C2BDB"/>
    <w:rsid w:val="4F6C4AA2"/>
    <w:rsid w:val="4F710AFD"/>
    <w:rsid w:val="4F712E54"/>
    <w:rsid w:val="4F716D4F"/>
    <w:rsid w:val="4F734876"/>
    <w:rsid w:val="4F7505EE"/>
    <w:rsid w:val="4F7702AB"/>
    <w:rsid w:val="4F781E8C"/>
    <w:rsid w:val="4F7B197C"/>
    <w:rsid w:val="4F7D2233"/>
    <w:rsid w:val="4F7E3798"/>
    <w:rsid w:val="4F7E3CB9"/>
    <w:rsid w:val="4F801DF4"/>
    <w:rsid w:val="4F834194"/>
    <w:rsid w:val="4F85610C"/>
    <w:rsid w:val="4F860A4D"/>
    <w:rsid w:val="4F865DF5"/>
    <w:rsid w:val="4F870321"/>
    <w:rsid w:val="4F8847C5"/>
    <w:rsid w:val="4F8942AD"/>
    <w:rsid w:val="4F8B7E11"/>
    <w:rsid w:val="4F8C3B89"/>
    <w:rsid w:val="4F8C6801"/>
    <w:rsid w:val="4F8E4E5D"/>
    <w:rsid w:val="4F8E660C"/>
    <w:rsid w:val="4F905428"/>
    <w:rsid w:val="4F9071D6"/>
    <w:rsid w:val="4F924D5E"/>
    <w:rsid w:val="4F9273F2"/>
    <w:rsid w:val="4F93316A"/>
    <w:rsid w:val="4F952A3E"/>
    <w:rsid w:val="4F9667B6"/>
    <w:rsid w:val="4F9A62A6"/>
    <w:rsid w:val="4F9B7802"/>
    <w:rsid w:val="4F9C7485"/>
    <w:rsid w:val="4FA03191"/>
    <w:rsid w:val="4FA50603"/>
    <w:rsid w:val="4FA5132A"/>
    <w:rsid w:val="4FA61264"/>
    <w:rsid w:val="4FA64C4B"/>
    <w:rsid w:val="4FA7131C"/>
    <w:rsid w:val="4FA72771"/>
    <w:rsid w:val="4FA930E5"/>
    <w:rsid w:val="4FA96C82"/>
    <w:rsid w:val="4FB16BA6"/>
    <w:rsid w:val="4FB3259B"/>
    <w:rsid w:val="4FB73551"/>
    <w:rsid w:val="4FBB2829"/>
    <w:rsid w:val="4FBB7FCB"/>
    <w:rsid w:val="4FBC621D"/>
    <w:rsid w:val="4FBE17F0"/>
    <w:rsid w:val="4FC43323"/>
    <w:rsid w:val="4FC61C62"/>
    <w:rsid w:val="4FCC4EEF"/>
    <w:rsid w:val="4FCD667C"/>
    <w:rsid w:val="4FD01B09"/>
    <w:rsid w:val="4FD01CC8"/>
    <w:rsid w:val="4FD41318"/>
    <w:rsid w:val="4FD5108C"/>
    <w:rsid w:val="4FD5193E"/>
    <w:rsid w:val="4FD51ACF"/>
    <w:rsid w:val="4FD73056"/>
    <w:rsid w:val="4FD858A9"/>
    <w:rsid w:val="4FDA48F5"/>
    <w:rsid w:val="4FDF63AF"/>
    <w:rsid w:val="4FE03A2B"/>
    <w:rsid w:val="4FE319FB"/>
    <w:rsid w:val="4FE3564E"/>
    <w:rsid w:val="4FE37C4D"/>
    <w:rsid w:val="4FE52ABE"/>
    <w:rsid w:val="4FE63299"/>
    <w:rsid w:val="4FE63A7F"/>
    <w:rsid w:val="4FE65048"/>
    <w:rsid w:val="4FE6773D"/>
    <w:rsid w:val="4FE70DC0"/>
    <w:rsid w:val="4FED6DF9"/>
    <w:rsid w:val="4FEE214E"/>
    <w:rsid w:val="4FF260EE"/>
    <w:rsid w:val="4FF4200C"/>
    <w:rsid w:val="4FF63749"/>
    <w:rsid w:val="4FF754A7"/>
    <w:rsid w:val="4FF82FCD"/>
    <w:rsid w:val="4FF84D7B"/>
    <w:rsid w:val="4FFA360A"/>
    <w:rsid w:val="4FFC0D0F"/>
    <w:rsid w:val="4FFC486B"/>
    <w:rsid w:val="50011E81"/>
    <w:rsid w:val="50027DE4"/>
    <w:rsid w:val="50055E16"/>
    <w:rsid w:val="50094E91"/>
    <w:rsid w:val="500A342C"/>
    <w:rsid w:val="500B0F52"/>
    <w:rsid w:val="500B2D00"/>
    <w:rsid w:val="500B71A4"/>
    <w:rsid w:val="500D0826"/>
    <w:rsid w:val="50100316"/>
    <w:rsid w:val="501174D1"/>
    <w:rsid w:val="501222E0"/>
    <w:rsid w:val="50161EE4"/>
    <w:rsid w:val="501A0529"/>
    <w:rsid w:val="501F0559"/>
    <w:rsid w:val="50242014"/>
    <w:rsid w:val="502435D3"/>
    <w:rsid w:val="502618E8"/>
    <w:rsid w:val="50285660"/>
    <w:rsid w:val="502A762A"/>
    <w:rsid w:val="502B5150"/>
    <w:rsid w:val="502B565A"/>
    <w:rsid w:val="502C6A6D"/>
    <w:rsid w:val="502C7E07"/>
    <w:rsid w:val="502D0EE7"/>
    <w:rsid w:val="502E2B4B"/>
    <w:rsid w:val="503264DF"/>
    <w:rsid w:val="50354221"/>
    <w:rsid w:val="50371D47"/>
    <w:rsid w:val="50373676"/>
    <w:rsid w:val="5038161B"/>
    <w:rsid w:val="503A35E5"/>
    <w:rsid w:val="503C24CB"/>
    <w:rsid w:val="503D7335"/>
    <w:rsid w:val="503E4E84"/>
    <w:rsid w:val="5043249A"/>
    <w:rsid w:val="504632DC"/>
    <w:rsid w:val="50466073"/>
    <w:rsid w:val="50485D02"/>
    <w:rsid w:val="504B3267"/>
    <w:rsid w:val="504D0CA5"/>
    <w:rsid w:val="504F52E3"/>
    <w:rsid w:val="504F7091"/>
    <w:rsid w:val="50504BB7"/>
    <w:rsid w:val="505521CD"/>
    <w:rsid w:val="505C355C"/>
    <w:rsid w:val="505C3C67"/>
    <w:rsid w:val="50615016"/>
    <w:rsid w:val="50616DC4"/>
    <w:rsid w:val="506348EA"/>
    <w:rsid w:val="506643DA"/>
    <w:rsid w:val="506858AC"/>
    <w:rsid w:val="5069089B"/>
    <w:rsid w:val="506972BF"/>
    <w:rsid w:val="50697A27"/>
    <w:rsid w:val="506A5C79"/>
    <w:rsid w:val="506C761D"/>
    <w:rsid w:val="506D5769"/>
    <w:rsid w:val="506F0452"/>
    <w:rsid w:val="5070244A"/>
    <w:rsid w:val="5071695E"/>
    <w:rsid w:val="50720FD1"/>
    <w:rsid w:val="50736E1C"/>
    <w:rsid w:val="507408A5"/>
    <w:rsid w:val="50753CCC"/>
    <w:rsid w:val="50771FBD"/>
    <w:rsid w:val="50783C60"/>
    <w:rsid w:val="507E1724"/>
    <w:rsid w:val="507E7856"/>
    <w:rsid w:val="50854FFE"/>
    <w:rsid w:val="5087673B"/>
    <w:rsid w:val="508825A3"/>
    <w:rsid w:val="508E3FB7"/>
    <w:rsid w:val="50926F7D"/>
    <w:rsid w:val="50934A01"/>
    <w:rsid w:val="5093712D"/>
    <w:rsid w:val="50946015"/>
    <w:rsid w:val="509461CB"/>
    <w:rsid w:val="509577C1"/>
    <w:rsid w:val="50974594"/>
    <w:rsid w:val="50986738"/>
    <w:rsid w:val="509A136D"/>
    <w:rsid w:val="509B0528"/>
    <w:rsid w:val="509B22D6"/>
    <w:rsid w:val="509B7788"/>
    <w:rsid w:val="509D301F"/>
    <w:rsid w:val="50A126B7"/>
    <w:rsid w:val="50A218B6"/>
    <w:rsid w:val="50A30487"/>
    <w:rsid w:val="50A64D7C"/>
    <w:rsid w:val="50A75B54"/>
    <w:rsid w:val="50A8054F"/>
    <w:rsid w:val="50A849F3"/>
    <w:rsid w:val="50B06D75"/>
    <w:rsid w:val="50B213CE"/>
    <w:rsid w:val="50B45146"/>
    <w:rsid w:val="50B82E88"/>
    <w:rsid w:val="50BB4CD3"/>
    <w:rsid w:val="50BE4216"/>
    <w:rsid w:val="50C07F8E"/>
    <w:rsid w:val="50C24D76"/>
    <w:rsid w:val="50C3263F"/>
    <w:rsid w:val="50C57353"/>
    <w:rsid w:val="50C72164"/>
    <w:rsid w:val="50C75131"/>
    <w:rsid w:val="50C83F13"/>
    <w:rsid w:val="50C9014F"/>
    <w:rsid w:val="50CC5E28"/>
    <w:rsid w:val="50D145C2"/>
    <w:rsid w:val="50D149F1"/>
    <w:rsid w:val="50D72C5E"/>
    <w:rsid w:val="50D73090"/>
    <w:rsid w:val="50DB26D2"/>
    <w:rsid w:val="50DB3A34"/>
    <w:rsid w:val="50DD469C"/>
    <w:rsid w:val="50DD59ED"/>
    <w:rsid w:val="50DE5510"/>
    <w:rsid w:val="50DE7392"/>
    <w:rsid w:val="50E21CB3"/>
    <w:rsid w:val="50E377D9"/>
    <w:rsid w:val="50E81293"/>
    <w:rsid w:val="50E82C4E"/>
    <w:rsid w:val="50EB4BD8"/>
    <w:rsid w:val="50EC6EA8"/>
    <w:rsid w:val="50EE1B5C"/>
    <w:rsid w:val="50F149A8"/>
    <w:rsid w:val="50F61095"/>
    <w:rsid w:val="50F92150"/>
    <w:rsid w:val="510065DD"/>
    <w:rsid w:val="51025EB1"/>
    <w:rsid w:val="5108607B"/>
    <w:rsid w:val="51087240"/>
    <w:rsid w:val="510936E3"/>
    <w:rsid w:val="51096861"/>
    <w:rsid w:val="510C31D4"/>
    <w:rsid w:val="510C6D30"/>
    <w:rsid w:val="510D731C"/>
    <w:rsid w:val="51136310"/>
    <w:rsid w:val="51137E0A"/>
    <w:rsid w:val="51142088"/>
    <w:rsid w:val="51172168"/>
    <w:rsid w:val="51172EEC"/>
    <w:rsid w:val="51181B78"/>
    <w:rsid w:val="5119144D"/>
    <w:rsid w:val="511D4F82"/>
    <w:rsid w:val="511E4CB5"/>
    <w:rsid w:val="511F2F07"/>
    <w:rsid w:val="511F6336"/>
    <w:rsid w:val="51254295"/>
    <w:rsid w:val="51256043"/>
    <w:rsid w:val="51264FF3"/>
    <w:rsid w:val="5126535E"/>
    <w:rsid w:val="512978E2"/>
    <w:rsid w:val="512A18AC"/>
    <w:rsid w:val="512A5408"/>
    <w:rsid w:val="512A593E"/>
    <w:rsid w:val="512D42D1"/>
    <w:rsid w:val="512D6CA6"/>
    <w:rsid w:val="513444D8"/>
    <w:rsid w:val="513A2283"/>
    <w:rsid w:val="513B13C3"/>
    <w:rsid w:val="51416F08"/>
    <w:rsid w:val="514324CE"/>
    <w:rsid w:val="5147420C"/>
    <w:rsid w:val="514B4314"/>
    <w:rsid w:val="514C074E"/>
    <w:rsid w:val="51501CA0"/>
    <w:rsid w:val="5153670D"/>
    <w:rsid w:val="515A3F3F"/>
    <w:rsid w:val="515A46FB"/>
    <w:rsid w:val="515B0FDF"/>
    <w:rsid w:val="515B1A65"/>
    <w:rsid w:val="515F3303"/>
    <w:rsid w:val="51600E2A"/>
    <w:rsid w:val="51644DBE"/>
    <w:rsid w:val="516B5D29"/>
    <w:rsid w:val="516B614C"/>
    <w:rsid w:val="516C5A20"/>
    <w:rsid w:val="516D2BC8"/>
    <w:rsid w:val="516E106E"/>
    <w:rsid w:val="516E79EA"/>
    <w:rsid w:val="516F72BF"/>
    <w:rsid w:val="51764AF1"/>
    <w:rsid w:val="51765FC3"/>
    <w:rsid w:val="51782617"/>
    <w:rsid w:val="517A0C04"/>
    <w:rsid w:val="517B53A5"/>
    <w:rsid w:val="517C3D6C"/>
    <w:rsid w:val="517D19DC"/>
    <w:rsid w:val="51805883"/>
    <w:rsid w:val="5181771E"/>
    <w:rsid w:val="518C1C1F"/>
    <w:rsid w:val="518D725A"/>
    <w:rsid w:val="518F1542"/>
    <w:rsid w:val="51917235"/>
    <w:rsid w:val="51932FAD"/>
    <w:rsid w:val="519503D4"/>
    <w:rsid w:val="51986815"/>
    <w:rsid w:val="51987672"/>
    <w:rsid w:val="519C378A"/>
    <w:rsid w:val="519D207E"/>
    <w:rsid w:val="519E38E7"/>
    <w:rsid w:val="519F42C1"/>
    <w:rsid w:val="519F5DF6"/>
    <w:rsid w:val="51A0391C"/>
    <w:rsid w:val="51A054E7"/>
    <w:rsid w:val="51A22E12"/>
    <w:rsid w:val="51A742B0"/>
    <w:rsid w:val="51A77DFB"/>
    <w:rsid w:val="51A8290C"/>
    <w:rsid w:val="51A83503"/>
    <w:rsid w:val="51AA1B03"/>
    <w:rsid w:val="51AC22C1"/>
    <w:rsid w:val="51AD3031"/>
    <w:rsid w:val="51AE6039"/>
    <w:rsid w:val="51B01DB1"/>
    <w:rsid w:val="51B13123"/>
    <w:rsid w:val="51B15B29"/>
    <w:rsid w:val="51B65975"/>
    <w:rsid w:val="51B7313F"/>
    <w:rsid w:val="51B746A8"/>
    <w:rsid w:val="51B74D7E"/>
    <w:rsid w:val="51BC0756"/>
    <w:rsid w:val="51BE2D00"/>
    <w:rsid w:val="51C13FBE"/>
    <w:rsid w:val="51C40EFF"/>
    <w:rsid w:val="51C615D4"/>
    <w:rsid w:val="51C74067"/>
    <w:rsid w:val="51C93A7A"/>
    <w:rsid w:val="51C94C21"/>
    <w:rsid w:val="51CB6BEB"/>
    <w:rsid w:val="51CC4711"/>
    <w:rsid w:val="51CE6722"/>
    <w:rsid w:val="51D16014"/>
    <w:rsid w:val="51D21E7F"/>
    <w:rsid w:val="51DB2633"/>
    <w:rsid w:val="51DC0DF8"/>
    <w:rsid w:val="51DC3B56"/>
    <w:rsid w:val="51DD22DD"/>
    <w:rsid w:val="51DF61F2"/>
    <w:rsid w:val="51E33248"/>
    <w:rsid w:val="51E522E0"/>
    <w:rsid w:val="51E56D7F"/>
    <w:rsid w:val="51E732F9"/>
    <w:rsid w:val="51E97071"/>
    <w:rsid w:val="51EB103B"/>
    <w:rsid w:val="51EB42C8"/>
    <w:rsid w:val="51F0233E"/>
    <w:rsid w:val="51F37A44"/>
    <w:rsid w:val="51F51C40"/>
    <w:rsid w:val="51F577C4"/>
    <w:rsid w:val="51F85506"/>
    <w:rsid w:val="51FA5F1A"/>
    <w:rsid w:val="51FB0B52"/>
    <w:rsid w:val="51FE0D6E"/>
    <w:rsid w:val="51FE1BA6"/>
    <w:rsid w:val="51FE217C"/>
    <w:rsid w:val="51FF4AE6"/>
    <w:rsid w:val="52035D13"/>
    <w:rsid w:val="520914C1"/>
    <w:rsid w:val="520A5BE6"/>
    <w:rsid w:val="520B348B"/>
    <w:rsid w:val="520B6FE7"/>
    <w:rsid w:val="520D0FB1"/>
    <w:rsid w:val="520E0886"/>
    <w:rsid w:val="520E2B94"/>
    <w:rsid w:val="520E4D2A"/>
    <w:rsid w:val="520E6AD8"/>
    <w:rsid w:val="520F30DF"/>
    <w:rsid w:val="521045FE"/>
    <w:rsid w:val="52120793"/>
    <w:rsid w:val="5212481A"/>
    <w:rsid w:val="52157D6F"/>
    <w:rsid w:val="52164FEF"/>
    <w:rsid w:val="52171E30"/>
    <w:rsid w:val="52173BDE"/>
    <w:rsid w:val="52181704"/>
    <w:rsid w:val="521B6D15"/>
    <w:rsid w:val="521C2FA3"/>
    <w:rsid w:val="521D2167"/>
    <w:rsid w:val="521D4E51"/>
    <w:rsid w:val="521E31BF"/>
    <w:rsid w:val="521F0CE5"/>
    <w:rsid w:val="521F6F37"/>
    <w:rsid w:val="52231D6A"/>
    <w:rsid w:val="52233BBC"/>
    <w:rsid w:val="52246A0D"/>
    <w:rsid w:val="52254BE4"/>
    <w:rsid w:val="52290613"/>
    <w:rsid w:val="522A1187"/>
    <w:rsid w:val="522C6DA2"/>
    <w:rsid w:val="522C7E6F"/>
    <w:rsid w:val="522D7F33"/>
    <w:rsid w:val="523035F8"/>
    <w:rsid w:val="52306A4E"/>
    <w:rsid w:val="523227C6"/>
    <w:rsid w:val="523302EC"/>
    <w:rsid w:val="52352B08"/>
    <w:rsid w:val="52384A5B"/>
    <w:rsid w:val="523A167B"/>
    <w:rsid w:val="523A1AA0"/>
    <w:rsid w:val="52417E1A"/>
    <w:rsid w:val="52493686"/>
    <w:rsid w:val="52497B10"/>
    <w:rsid w:val="524A2AC9"/>
    <w:rsid w:val="524E130B"/>
    <w:rsid w:val="524E3378"/>
    <w:rsid w:val="52501489"/>
    <w:rsid w:val="52505342"/>
    <w:rsid w:val="525070F0"/>
    <w:rsid w:val="52522E68"/>
    <w:rsid w:val="5255018C"/>
    <w:rsid w:val="52554706"/>
    <w:rsid w:val="52582F57"/>
    <w:rsid w:val="525B62BE"/>
    <w:rsid w:val="525E7A5F"/>
    <w:rsid w:val="525F7333"/>
    <w:rsid w:val="526130AB"/>
    <w:rsid w:val="52635075"/>
    <w:rsid w:val="5268268C"/>
    <w:rsid w:val="52691264"/>
    <w:rsid w:val="526A1C3E"/>
    <w:rsid w:val="526B231B"/>
    <w:rsid w:val="52701540"/>
    <w:rsid w:val="52707AE1"/>
    <w:rsid w:val="527252B8"/>
    <w:rsid w:val="52792404"/>
    <w:rsid w:val="52792E56"/>
    <w:rsid w:val="527A416D"/>
    <w:rsid w:val="527A572D"/>
    <w:rsid w:val="527A5F1B"/>
    <w:rsid w:val="528172AA"/>
    <w:rsid w:val="528A0854"/>
    <w:rsid w:val="528B1ED6"/>
    <w:rsid w:val="528C2E2C"/>
    <w:rsid w:val="528D2094"/>
    <w:rsid w:val="528D5C4E"/>
    <w:rsid w:val="528E6C66"/>
    <w:rsid w:val="529A65BD"/>
    <w:rsid w:val="529C40E3"/>
    <w:rsid w:val="529E1AAF"/>
    <w:rsid w:val="529E2C4F"/>
    <w:rsid w:val="529E3A5D"/>
    <w:rsid w:val="52A42A2F"/>
    <w:rsid w:val="52A7651D"/>
    <w:rsid w:val="52AA6F11"/>
    <w:rsid w:val="52AD62F0"/>
    <w:rsid w:val="52AE3CC5"/>
    <w:rsid w:val="52AE4D91"/>
    <w:rsid w:val="52AF02BB"/>
    <w:rsid w:val="52AF3E17"/>
    <w:rsid w:val="52B02227"/>
    <w:rsid w:val="52B64958"/>
    <w:rsid w:val="52B729E6"/>
    <w:rsid w:val="52B72CCB"/>
    <w:rsid w:val="52B7716F"/>
    <w:rsid w:val="52BC07CA"/>
    <w:rsid w:val="52C03038"/>
    <w:rsid w:val="52C27FEE"/>
    <w:rsid w:val="52C553E8"/>
    <w:rsid w:val="52C66A82"/>
    <w:rsid w:val="52C873AB"/>
    <w:rsid w:val="52CA50F4"/>
    <w:rsid w:val="52CB2081"/>
    <w:rsid w:val="52CC2C1B"/>
    <w:rsid w:val="52CC61B9"/>
    <w:rsid w:val="52CE653A"/>
    <w:rsid w:val="52CF6267"/>
    <w:rsid w:val="52CF6C40"/>
    <w:rsid w:val="52D0546B"/>
    <w:rsid w:val="52D15D94"/>
    <w:rsid w:val="52D95337"/>
    <w:rsid w:val="52DB10B0"/>
    <w:rsid w:val="52DC0984"/>
    <w:rsid w:val="52DE294E"/>
    <w:rsid w:val="52E00474"/>
    <w:rsid w:val="52E11A47"/>
    <w:rsid w:val="52E15D61"/>
    <w:rsid w:val="52E52121"/>
    <w:rsid w:val="52E53CDC"/>
    <w:rsid w:val="52E55A8A"/>
    <w:rsid w:val="52E74EC7"/>
    <w:rsid w:val="52EA30A1"/>
    <w:rsid w:val="52EA4E4F"/>
    <w:rsid w:val="52EC33C3"/>
    <w:rsid w:val="52EC506B"/>
    <w:rsid w:val="52EE5A15"/>
    <w:rsid w:val="52EF4B5B"/>
    <w:rsid w:val="52F061DD"/>
    <w:rsid w:val="52F15371"/>
    <w:rsid w:val="52F67C97"/>
    <w:rsid w:val="52FA40B1"/>
    <w:rsid w:val="52FB0F81"/>
    <w:rsid w:val="52FD70ED"/>
    <w:rsid w:val="52FF78E7"/>
    <w:rsid w:val="53000B16"/>
    <w:rsid w:val="53013BC5"/>
    <w:rsid w:val="5302663C"/>
    <w:rsid w:val="53083527"/>
    <w:rsid w:val="53086608"/>
    <w:rsid w:val="53095C1D"/>
    <w:rsid w:val="530F2B07"/>
    <w:rsid w:val="530F7AAE"/>
    <w:rsid w:val="53106223"/>
    <w:rsid w:val="5311365E"/>
    <w:rsid w:val="531243A6"/>
    <w:rsid w:val="53134CF9"/>
    <w:rsid w:val="53143742"/>
    <w:rsid w:val="53185E60"/>
    <w:rsid w:val="53191BD8"/>
    <w:rsid w:val="53193986"/>
    <w:rsid w:val="53206AC2"/>
    <w:rsid w:val="53226CDE"/>
    <w:rsid w:val="53230361"/>
    <w:rsid w:val="5325057D"/>
    <w:rsid w:val="53271D10"/>
    <w:rsid w:val="532837EA"/>
    <w:rsid w:val="532A5475"/>
    <w:rsid w:val="532A5B93"/>
    <w:rsid w:val="532C36B9"/>
    <w:rsid w:val="532F31A9"/>
    <w:rsid w:val="533662E6"/>
    <w:rsid w:val="5336727E"/>
    <w:rsid w:val="53370970"/>
    <w:rsid w:val="533832DF"/>
    <w:rsid w:val="53384E94"/>
    <w:rsid w:val="53387E77"/>
    <w:rsid w:val="533B19FC"/>
    <w:rsid w:val="533B56AA"/>
    <w:rsid w:val="533C1FF3"/>
    <w:rsid w:val="533E2B0B"/>
    <w:rsid w:val="53426A39"/>
    <w:rsid w:val="534B5BC5"/>
    <w:rsid w:val="534C3D5B"/>
    <w:rsid w:val="534E7AD3"/>
    <w:rsid w:val="53545FFA"/>
    <w:rsid w:val="535B7AFB"/>
    <w:rsid w:val="535D1AC5"/>
    <w:rsid w:val="53607807"/>
    <w:rsid w:val="53664499"/>
    <w:rsid w:val="5366463F"/>
    <w:rsid w:val="536A41E2"/>
    <w:rsid w:val="536E7AE6"/>
    <w:rsid w:val="536F7A4A"/>
    <w:rsid w:val="53715983"/>
    <w:rsid w:val="537248FF"/>
    <w:rsid w:val="537521EB"/>
    <w:rsid w:val="53760DD8"/>
    <w:rsid w:val="5377683A"/>
    <w:rsid w:val="53786F73"/>
    <w:rsid w:val="537A08C9"/>
    <w:rsid w:val="537B713B"/>
    <w:rsid w:val="537E1A3B"/>
    <w:rsid w:val="538340C7"/>
    <w:rsid w:val="538426F2"/>
    <w:rsid w:val="538708F0"/>
    <w:rsid w:val="538B4884"/>
    <w:rsid w:val="538C05FC"/>
    <w:rsid w:val="538C7084"/>
    <w:rsid w:val="538E05FD"/>
    <w:rsid w:val="5393482C"/>
    <w:rsid w:val="539508FE"/>
    <w:rsid w:val="53954235"/>
    <w:rsid w:val="53963CFA"/>
    <w:rsid w:val="539A6875"/>
    <w:rsid w:val="539B25ED"/>
    <w:rsid w:val="539C7265"/>
    <w:rsid w:val="539D0113"/>
    <w:rsid w:val="539D3711"/>
    <w:rsid w:val="539F5F64"/>
    <w:rsid w:val="53A3372D"/>
    <w:rsid w:val="53A342F4"/>
    <w:rsid w:val="53A414A2"/>
    <w:rsid w:val="53A45945"/>
    <w:rsid w:val="53A5346C"/>
    <w:rsid w:val="53A64F9A"/>
    <w:rsid w:val="53A87204"/>
    <w:rsid w:val="53A92F5C"/>
    <w:rsid w:val="53A95FD1"/>
    <w:rsid w:val="53AA0A2F"/>
    <w:rsid w:val="53AA2830"/>
    <w:rsid w:val="53AA50E8"/>
    <w:rsid w:val="53AB0651"/>
    <w:rsid w:val="53AF6B6F"/>
    <w:rsid w:val="53B10062"/>
    <w:rsid w:val="53B13BBE"/>
    <w:rsid w:val="53B51901"/>
    <w:rsid w:val="53BA0CC5"/>
    <w:rsid w:val="53BA6F17"/>
    <w:rsid w:val="53BC2C8F"/>
    <w:rsid w:val="53C02C55"/>
    <w:rsid w:val="53C1637F"/>
    <w:rsid w:val="53C174F6"/>
    <w:rsid w:val="53C5766A"/>
    <w:rsid w:val="53C75190"/>
    <w:rsid w:val="53C80CA8"/>
    <w:rsid w:val="53CA71D0"/>
    <w:rsid w:val="53CA7443"/>
    <w:rsid w:val="53D012CF"/>
    <w:rsid w:val="53D02297"/>
    <w:rsid w:val="53D03AFA"/>
    <w:rsid w:val="53D03CB0"/>
    <w:rsid w:val="53D03E65"/>
    <w:rsid w:val="53D12677"/>
    <w:rsid w:val="53D37FD9"/>
    <w:rsid w:val="53DA3115"/>
    <w:rsid w:val="53DE3845"/>
    <w:rsid w:val="53DF072C"/>
    <w:rsid w:val="53DF5F6C"/>
    <w:rsid w:val="53E05BD1"/>
    <w:rsid w:val="53E06252"/>
    <w:rsid w:val="53E21FCA"/>
    <w:rsid w:val="53E93ADE"/>
    <w:rsid w:val="53E94252"/>
    <w:rsid w:val="53EB5322"/>
    <w:rsid w:val="53EC07E2"/>
    <w:rsid w:val="53EC14F6"/>
    <w:rsid w:val="53ED6006"/>
    <w:rsid w:val="53F36F74"/>
    <w:rsid w:val="53F561A1"/>
    <w:rsid w:val="53F57F4F"/>
    <w:rsid w:val="53F817ED"/>
    <w:rsid w:val="53F96663"/>
    <w:rsid w:val="53FD451B"/>
    <w:rsid w:val="54014B46"/>
    <w:rsid w:val="54077C82"/>
    <w:rsid w:val="540B45EB"/>
    <w:rsid w:val="540B7773"/>
    <w:rsid w:val="540C3689"/>
    <w:rsid w:val="540E7263"/>
    <w:rsid w:val="54101B5D"/>
    <w:rsid w:val="541B0AFD"/>
    <w:rsid w:val="541C1980"/>
    <w:rsid w:val="541D16F4"/>
    <w:rsid w:val="541D7610"/>
    <w:rsid w:val="541F321E"/>
    <w:rsid w:val="541F6D7A"/>
    <w:rsid w:val="54224ABC"/>
    <w:rsid w:val="5423620A"/>
    <w:rsid w:val="5425405E"/>
    <w:rsid w:val="5426635A"/>
    <w:rsid w:val="54267F44"/>
    <w:rsid w:val="54271AC6"/>
    <w:rsid w:val="542822C5"/>
    <w:rsid w:val="54297BF9"/>
    <w:rsid w:val="542A3C12"/>
    <w:rsid w:val="542B4472"/>
    <w:rsid w:val="542C1497"/>
    <w:rsid w:val="542E520F"/>
    <w:rsid w:val="54330A77"/>
    <w:rsid w:val="54372D88"/>
    <w:rsid w:val="543A753C"/>
    <w:rsid w:val="543D6EF6"/>
    <w:rsid w:val="543F11CA"/>
    <w:rsid w:val="543F566E"/>
    <w:rsid w:val="543F741C"/>
    <w:rsid w:val="54413194"/>
    <w:rsid w:val="54436064"/>
    <w:rsid w:val="54445599"/>
    <w:rsid w:val="54446C36"/>
    <w:rsid w:val="54447157"/>
    <w:rsid w:val="5445799A"/>
    <w:rsid w:val="54471B54"/>
    <w:rsid w:val="5449029B"/>
    <w:rsid w:val="544D7D8B"/>
    <w:rsid w:val="545253A1"/>
    <w:rsid w:val="5452714F"/>
    <w:rsid w:val="5453081C"/>
    <w:rsid w:val="5454111A"/>
    <w:rsid w:val="545509EE"/>
    <w:rsid w:val="545571E3"/>
    <w:rsid w:val="54581635"/>
    <w:rsid w:val="5459177A"/>
    <w:rsid w:val="54596730"/>
    <w:rsid w:val="545C3613"/>
    <w:rsid w:val="545C3B2A"/>
    <w:rsid w:val="54646E83"/>
    <w:rsid w:val="54660E4D"/>
    <w:rsid w:val="54690357"/>
    <w:rsid w:val="546B70B6"/>
    <w:rsid w:val="546E385E"/>
    <w:rsid w:val="54732FDB"/>
    <w:rsid w:val="54736E75"/>
    <w:rsid w:val="547370C6"/>
    <w:rsid w:val="54742D2A"/>
    <w:rsid w:val="54776BB6"/>
    <w:rsid w:val="54790B80"/>
    <w:rsid w:val="5479292E"/>
    <w:rsid w:val="547A557A"/>
    <w:rsid w:val="547C7906"/>
    <w:rsid w:val="547F1F0F"/>
    <w:rsid w:val="547F6CE6"/>
    <w:rsid w:val="5480697A"/>
    <w:rsid w:val="54857525"/>
    <w:rsid w:val="54866F71"/>
    <w:rsid w:val="548E0DEC"/>
    <w:rsid w:val="548F7085"/>
    <w:rsid w:val="54990B73"/>
    <w:rsid w:val="549A0AF6"/>
    <w:rsid w:val="549A5644"/>
    <w:rsid w:val="549C661D"/>
    <w:rsid w:val="549C75A0"/>
    <w:rsid w:val="549D7592"/>
    <w:rsid w:val="549E05E7"/>
    <w:rsid w:val="549E4A7D"/>
    <w:rsid w:val="549E6353"/>
    <w:rsid w:val="549F275D"/>
    <w:rsid w:val="549F47C6"/>
    <w:rsid w:val="54A13C33"/>
    <w:rsid w:val="54A162A4"/>
    <w:rsid w:val="54A83213"/>
    <w:rsid w:val="54A86D6F"/>
    <w:rsid w:val="54A947EB"/>
    <w:rsid w:val="54AB56D0"/>
    <w:rsid w:val="54AB6112"/>
    <w:rsid w:val="54AC51AF"/>
    <w:rsid w:val="54AC7C32"/>
    <w:rsid w:val="54AD4386"/>
    <w:rsid w:val="54AD4B1E"/>
    <w:rsid w:val="54AE5C56"/>
    <w:rsid w:val="54AF45A2"/>
    <w:rsid w:val="54AF6350"/>
    <w:rsid w:val="54B10AF0"/>
    <w:rsid w:val="54B10C1B"/>
    <w:rsid w:val="54B27BEE"/>
    <w:rsid w:val="54B35714"/>
    <w:rsid w:val="54B73456"/>
    <w:rsid w:val="54B81330"/>
    <w:rsid w:val="54B81BBC"/>
    <w:rsid w:val="54BA4CF5"/>
    <w:rsid w:val="54BF230B"/>
    <w:rsid w:val="54C067AF"/>
    <w:rsid w:val="54C17E31"/>
    <w:rsid w:val="54C22FBC"/>
    <w:rsid w:val="54C346FB"/>
    <w:rsid w:val="54C515E4"/>
    <w:rsid w:val="54C73281"/>
    <w:rsid w:val="54C8268A"/>
    <w:rsid w:val="54CA318A"/>
    <w:rsid w:val="54CB0CB0"/>
    <w:rsid w:val="54CB4732"/>
    <w:rsid w:val="54CC5154"/>
    <w:rsid w:val="54CD67D6"/>
    <w:rsid w:val="54CF3934"/>
    <w:rsid w:val="54D04518"/>
    <w:rsid w:val="54D128C6"/>
    <w:rsid w:val="54D16685"/>
    <w:rsid w:val="54D20290"/>
    <w:rsid w:val="54D23DEC"/>
    <w:rsid w:val="54D47B64"/>
    <w:rsid w:val="54D51B2F"/>
    <w:rsid w:val="54D83F05"/>
    <w:rsid w:val="54D9279F"/>
    <w:rsid w:val="54DA5642"/>
    <w:rsid w:val="54DD775A"/>
    <w:rsid w:val="54DF51CB"/>
    <w:rsid w:val="54E404BF"/>
    <w:rsid w:val="54E83610"/>
    <w:rsid w:val="54EB3100"/>
    <w:rsid w:val="54EC75A4"/>
    <w:rsid w:val="54EE1619"/>
    <w:rsid w:val="54F0356F"/>
    <w:rsid w:val="54F2623D"/>
    <w:rsid w:val="54F41FB5"/>
    <w:rsid w:val="54F53F16"/>
    <w:rsid w:val="54F72943"/>
    <w:rsid w:val="54FC3DE1"/>
    <w:rsid w:val="55004DFD"/>
    <w:rsid w:val="55043FA3"/>
    <w:rsid w:val="55050666"/>
    <w:rsid w:val="55055F70"/>
    <w:rsid w:val="55067F3A"/>
    <w:rsid w:val="55096170"/>
    <w:rsid w:val="550A20DC"/>
    <w:rsid w:val="550A5C7C"/>
    <w:rsid w:val="550E5563"/>
    <w:rsid w:val="55100F3D"/>
    <w:rsid w:val="55102B67"/>
    <w:rsid w:val="5511700B"/>
    <w:rsid w:val="5512248D"/>
    <w:rsid w:val="55124B31"/>
    <w:rsid w:val="5513002F"/>
    <w:rsid w:val="55134720"/>
    <w:rsid w:val="55142F0C"/>
    <w:rsid w:val="55144405"/>
    <w:rsid w:val="55144C39"/>
    <w:rsid w:val="55173EF5"/>
    <w:rsid w:val="55176A3E"/>
    <w:rsid w:val="5519761B"/>
    <w:rsid w:val="551C150B"/>
    <w:rsid w:val="551F1F38"/>
    <w:rsid w:val="55231D18"/>
    <w:rsid w:val="552410B7"/>
    <w:rsid w:val="552863E9"/>
    <w:rsid w:val="552A00CC"/>
    <w:rsid w:val="552A59D6"/>
    <w:rsid w:val="552B02EF"/>
    <w:rsid w:val="552B57A8"/>
    <w:rsid w:val="552D196B"/>
    <w:rsid w:val="552D36BF"/>
    <w:rsid w:val="552D3A2B"/>
    <w:rsid w:val="552E0425"/>
    <w:rsid w:val="552E2FF3"/>
    <w:rsid w:val="553001B9"/>
    <w:rsid w:val="55314FB7"/>
    <w:rsid w:val="55326F81"/>
    <w:rsid w:val="55344AA7"/>
    <w:rsid w:val="55350006"/>
    <w:rsid w:val="553625CD"/>
    <w:rsid w:val="553700F3"/>
    <w:rsid w:val="553E5926"/>
    <w:rsid w:val="553F7680"/>
    <w:rsid w:val="554035A7"/>
    <w:rsid w:val="55424A04"/>
    <w:rsid w:val="554271C4"/>
    <w:rsid w:val="55447A06"/>
    <w:rsid w:val="55456CB4"/>
    <w:rsid w:val="554963A1"/>
    <w:rsid w:val="554967A4"/>
    <w:rsid w:val="554A1E3E"/>
    <w:rsid w:val="554A42CB"/>
    <w:rsid w:val="554C0043"/>
    <w:rsid w:val="554C3B9F"/>
    <w:rsid w:val="555313D1"/>
    <w:rsid w:val="55560EC1"/>
    <w:rsid w:val="555714B5"/>
    <w:rsid w:val="55583386"/>
    <w:rsid w:val="5558730C"/>
    <w:rsid w:val="555E60BF"/>
    <w:rsid w:val="555E7D76"/>
    <w:rsid w:val="55603AEE"/>
    <w:rsid w:val="5560462E"/>
    <w:rsid w:val="55620BB0"/>
    <w:rsid w:val="55630EE8"/>
    <w:rsid w:val="55651104"/>
    <w:rsid w:val="556720DE"/>
    <w:rsid w:val="5567547E"/>
    <w:rsid w:val="556E4C3C"/>
    <w:rsid w:val="55711857"/>
    <w:rsid w:val="55717AA9"/>
    <w:rsid w:val="557257AC"/>
    <w:rsid w:val="557355CF"/>
    <w:rsid w:val="557578F0"/>
    <w:rsid w:val="55782BE6"/>
    <w:rsid w:val="557830EE"/>
    <w:rsid w:val="557A15A5"/>
    <w:rsid w:val="55805F3E"/>
    <w:rsid w:val="558763D7"/>
    <w:rsid w:val="5588094F"/>
    <w:rsid w:val="558C6884"/>
    <w:rsid w:val="558D6BE3"/>
    <w:rsid w:val="558E685B"/>
    <w:rsid w:val="5592453F"/>
    <w:rsid w:val="55945546"/>
    <w:rsid w:val="55983288"/>
    <w:rsid w:val="5598479F"/>
    <w:rsid w:val="559D479D"/>
    <w:rsid w:val="559E0172"/>
    <w:rsid w:val="559E63C4"/>
    <w:rsid w:val="55A439DB"/>
    <w:rsid w:val="55A44089"/>
    <w:rsid w:val="55A62DFB"/>
    <w:rsid w:val="55A63158"/>
    <w:rsid w:val="55A8186C"/>
    <w:rsid w:val="55A97243"/>
    <w:rsid w:val="55AA2FBB"/>
    <w:rsid w:val="55AA648C"/>
    <w:rsid w:val="55AA6BB4"/>
    <w:rsid w:val="55AD5535"/>
    <w:rsid w:val="55AE2AAB"/>
    <w:rsid w:val="55AE4859"/>
    <w:rsid w:val="55AF05D2"/>
    <w:rsid w:val="55AF2380"/>
    <w:rsid w:val="55AF412E"/>
    <w:rsid w:val="55B11927"/>
    <w:rsid w:val="55B4525D"/>
    <w:rsid w:val="55B45CED"/>
    <w:rsid w:val="55B47996"/>
    <w:rsid w:val="55B94FAC"/>
    <w:rsid w:val="55BA31FE"/>
    <w:rsid w:val="55C23E61"/>
    <w:rsid w:val="55C40E60"/>
    <w:rsid w:val="55C53951"/>
    <w:rsid w:val="55C67DF5"/>
    <w:rsid w:val="55C951EF"/>
    <w:rsid w:val="55CA33E4"/>
    <w:rsid w:val="55CA5A69"/>
    <w:rsid w:val="55CB7CD6"/>
    <w:rsid w:val="55CE3D63"/>
    <w:rsid w:val="55CF368C"/>
    <w:rsid w:val="55D122F6"/>
    <w:rsid w:val="55D2635F"/>
    <w:rsid w:val="55D3478A"/>
    <w:rsid w:val="55D42011"/>
    <w:rsid w:val="55D43B94"/>
    <w:rsid w:val="55D55E82"/>
    <w:rsid w:val="55D6790C"/>
    <w:rsid w:val="55D909B9"/>
    <w:rsid w:val="55DB3175"/>
    <w:rsid w:val="55DC68AB"/>
    <w:rsid w:val="55DC7137"/>
    <w:rsid w:val="55DE39FE"/>
    <w:rsid w:val="55E0078B"/>
    <w:rsid w:val="55E738C7"/>
    <w:rsid w:val="55EA1FEA"/>
    <w:rsid w:val="55EA2356"/>
    <w:rsid w:val="55EB160A"/>
    <w:rsid w:val="55EE2EA8"/>
    <w:rsid w:val="55F304BE"/>
    <w:rsid w:val="55F54236"/>
    <w:rsid w:val="55F54D3B"/>
    <w:rsid w:val="55F73C2C"/>
    <w:rsid w:val="55F935FB"/>
    <w:rsid w:val="55FE23D5"/>
    <w:rsid w:val="55FF3307"/>
    <w:rsid w:val="55FF63B8"/>
    <w:rsid w:val="5601141F"/>
    <w:rsid w:val="56020701"/>
    <w:rsid w:val="56026953"/>
    <w:rsid w:val="56051FA0"/>
    <w:rsid w:val="56097CE2"/>
    <w:rsid w:val="560B4AC1"/>
    <w:rsid w:val="560E354A"/>
    <w:rsid w:val="560E52F8"/>
    <w:rsid w:val="560E70A6"/>
    <w:rsid w:val="560E7E3B"/>
    <w:rsid w:val="561072C2"/>
    <w:rsid w:val="561623FF"/>
    <w:rsid w:val="56186177"/>
    <w:rsid w:val="561B17C3"/>
    <w:rsid w:val="561D2C04"/>
    <w:rsid w:val="561E54B3"/>
    <w:rsid w:val="56206F98"/>
    <w:rsid w:val="56221102"/>
    <w:rsid w:val="56260894"/>
    <w:rsid w:val="56261052"/>
    <w:rsid w:val="56262642"/>
    <w:rsid w:val="562722FF"/>
    <w:rsid w:val="56291CEA"/>
    <w:rsid w:val="562A3A13"/>
    <w:rsid w:val="562D6A82"/>
    <w:rsid w:val="56301712"/>
    <w:rsid w:val="5630526E"/>
    <w:rsid w:val="56310FE7"/>
    <w:rsid w:val="56315A6C"/>
    <w:rsid w:val="56327C6C"/>
    <w:rsid w:val="5633369C"/>
    <w:rsid w:val="56336E29"/>
    <w:rsid w:val="563805C7"/>
    <w:rsid w:val="5638698C"/>
    <w:rsid w:val="5638738C"/>
    <w:rsid w:val="56397366"/>
    <w:rsid w:val="563A0FCF"/>
    <w:rsid w:val="563B245F"/>
    <w:rsid w:val="563C38EF"/>
    <w:rsid w:val="563F39B0"/>
    <w:rsid w:val="5640122A"/>
    <w:rsid w:val="5641016C"/>
    <w:rsid w:val="56417C4B"/>
    <w:rsid w:val="56440D1A"/>
    <w:rsid w:val="56473B7E"/>
    <w:rsid w:val="56474B1D"/>
    <w:rsid w:val="56486A5C"/>
    <w:rsid w:val="564B20A8"/>
    <w:rsid w:val="564F2EB5"/>
    <w:rsid w:val="565076BF"/>
    <w:rsid w:val="56507F39"/>
    <w:rsid w:val="565151E5"/>
    <w:rsid w:val="56520AD5"/>
    <w:rsid w:val="56521689"/>
    <w:rsid w:val="56526673"/>
    <w:rsid w:val="565374B2"/>
    <w:rsid w:val="565B1A48"/>
    <w:rsid w:val="565D7AC4"/>
    <w:rsid w:val="565E4DBB"/>
    <w:rsid w:val="565F3DA6"/>
    <w:rsid w:val="56606B28"/>
    <w:rsid w:val="5661367A"/>
    <w:rsid w:val="5664316A"/>
    <w:rsid w:val="5666172C"/>
    <w:rsid w:val="56674A08"/>
    <w:rsid w:val="566B44F9"/>
    <w:rsid w:val="566D64C3"/>
    <w:rsid w:val="566E5BF4"/>
    <w:rsid w:val="566E5DAA"/>
    <w:rsid w:val="566F769F"/>
    <w:rsid w:val="56701B0F"/>
    <w:rsid w:val="567A298E"/>
    <w:rsid w:val="567C04B4"/>
    <w:rsid w:val="567F3662"/>
    <w:rsid w:val="568553D4"/>
    <w:rsid w:val="568A77D7"/>
    <w:rsid w:val="568B6BCF"/>
    <w:rsid w:val="569021B1"/>
    <w:rsid w:val="5693235B"/>
    <w:rsid w:val="56942848"/>
    <w:rsid w:val="569502A1"/>
    <w:rsid w:val="569577C7"/>
    <w:rsid w:val="56974DD7"/>
    <w:rsid w:val="56984526"/>
    <w:rsid w:val="56985C18"/>
    <w:rsid w:val="5698680F"/>
    <w:rsid w:val="569A4DDE"/>
    <w:rsid w:val="569D042A"/>
    <w:rsid w:val="56A45C5C"/>
    <w:rsid w:val="56A56D10"/>
    <w:rsid w:val="56A774E2"/>
    <w:rsid w:val="56A8574D"/>
    <w:rsid w:val="56AC530E"/>
    <w:rsid w:val="56AE5057"/>
    <w:rsid w:val="56AE5BF6"/>
    <w:rsid w:val="56AF0889"/>
    <w:rsid w:val="56AF6ADB"/>
    <w:rsid w:val="56B3106F"/>
    <w:rsid w:val="56B37C4E"/>
    <w:rsid w:val="56B52866"/>
    <w:rsid w:val="56B52A1C"/>
    <w:rsid w:val="56B539C6"/>
    <w:rsid w:val="56B714EC"/>
    <w:rsid w:val="56B74F73"/>
    <w:rsid w:val="56B807EC"/>
    <w:rsid w:val="56BC29C5"/>
    <w:rsid w:val="56C02A96"/>
    <w:rsid w:val="56C02C5D"/>
    <w:rsid w:val="56C53BC0"/>
    <w:rsid w:val="56C61BC6"/>
    <w:rsid w:val="56C67981"/>
    <w:rsid w:val="56C87B9D"/>
    <w:rsid w:val="56CA56C3"/>
    <w:rsid w:val="56CF0F2B"/>
    <w:rsid w:val="56D05B1A"/>
    <w:rsid w:val="56D24578"/>
    <w:rsid w:val="56D51C18"/>
    <w:rsid w:val="56D62C0B"/>
    <w:rsid w:val="56D71B8E"/>
    <w:rsid w:val="56D92A7F"/>
    <w:rsid w:val="56DA435E"/>
    <w:rsid w:val="56E04EE6"/>
    <w:rsid w:val="56E0560F"/>
    <w:rsid w:val="56E10C5F"/>
    <w:rsid w:val="56E12A0D"/>
    <w:rsid w:val="56E17C52"/>
    <w:rsid w:val="56E204A4"/>
    <w:rsid w:val="56E36785"/>
    <w:rsid w:val="56E524FD"/>
    <w:rsid w:val="56E60023"/>
    <w:rsid w:val="56E61DD1"/>
    <w:rsid w:val="56E85B49"/>
    <w:rsid w:val="56EB5639"/>
    <w:rsid w:val="56EE0C86"/>
    <w:rsid w:val="56EF42BA"/>
    <w:rsid w:val="56F00EA2"/>
    <w:rsid w:val="56F049FE"/>
    <w:rsid w:val="56F2105C"/>
    <w:rsid w:val="56F269C8"/>
    <w:rsid w:val="56FB3ACE"/>
    <w:rsid w:val="56FD4B37"/>
    <w:rsid w:val="57007337"/>
    <w:rsid w:val="57030BD5"/>
    <w:rsid w:val="570344BB"/>
    <w:rsid w:val="57035FFF"/>
    <w:rsid w:val="5706231D"/>
    <w:rsid w:val="57062473"/>
    <w:rsid w:val="57087F99"/>
    <w:rsid w:val="570973EC"/>
    <w:rsid w:val="570E78D0"/>
    <w:rsid w:val="571050A0"/>
    <w:rsid w:val="571701DC"/>
    <w:rsid w:val="57192B30"/>
    <w:rsid w:val="571A389C"/>
    <w:rsid w:val="571B3010"/>
    <w:rsid w:val="571C2CF5"/>
    <w:rsid w:val="572253C2"/>
    <w:rsid w:val="57226B03"/>
    <w:rsid w:val="572528F9"/>
    <w:rsid w:val="57253D43"/>
    <w:rsid w:val="57255660"/>
    <w:rsid w:val="57256D9D"/>
    <w:rsid w:val="572A30BD"/>
    <w:rsid w:val="572B436A"/>
    <w:rsid w:val="572B451F"/>
    <w:rsid w:val="572D7D3B"/>
    <w:rsid w:val="572F6246"/>
    <w:rsid w:val="57376AD1"/>
    <w:rsid w:val="573B5393"/>
    <w:rsid w:val="574074B7"/>
    <w:rsid w:val="5742757D"/>
    <w:rsid w:val="57475C4D"/>
    <w:rsid w:val="57497744"/>
    <w:rsid w:val="574B60D8"/>
    <w:rsid w:val="574E3545"/>
    <w:rsid w:val="574F5BC8"/>
    <w:rsid w:val="575256B8"/>
    <w:rsid w:val="575267EE"/>
    <w:rsid w:val="57541431"/>
    <w:rsid w:val="57554022"/>
    <w:rsid w:val="57563275"/>
    <w:rsid w:val="57572CCF"/>
    <w:rsid w:val="575925A3"/>
    <w:rsid w:val="575D6537"/>
    <w:rsid w:val="576158FB"/>
    <w:rsid w:val="57686C8A"/>
    <w:rsid w:val="576A0C54"/>
    <w:rsid w:val="576F626A"/>
    <w:rsid w:val="57707A2A"/>
    <w:rsid w:val="57711FE2"/>
    <w:rsid w:val="577218B7"/>
    <w:rsid w:val="57742049"/>
    <w:rsid w:val="57751F2F"/>
    <w:rsid w:val="577675F9"/>
    <w:rsid w:val="5778511F"/>
    <w:rsid w:val="5779221D"/>
    <w:rsid w:val="57792C45"/>
    <w:rsid w:val="577C327F"/>
    <w:rsid w:val="577E64AD"/>
    <w:rsid w:val="577F3FA5"/>
    <w:rsid w:val="57801216"/>
    <w:rsid w:val="57814294"/>
    <w:rsid w:val="578507C0"/>
    <w:rsid w:val="578735B4"/>
    <w:rsid w:val="57877110"/>
    <w:rsid w:val="578A05D1"/>
    <w:rsid w:val="578A39A1"/>
    <w:rsid w:val="578D049F"/>
    <w:rsid w:val="578F06BB"/>
    <w:rsid w:val="579009BF"/>
    <w:rsid w:val="57933407"/>
    <w:rsid w:val="57945CD1"/>
    <w:rsid w:val="57957C11"/>
    <w:rsid w:val="579706B0"/>
    <w:rsid w:val="5798756F"/>
    <w:rsid w:val="579B0E0D"/>
    <w:rsid w:val="579E08FE"/>
    <w:rsid w:val="579E445A"/>
    <w:rsid w:val="579E6147"/>
    <w:rsid w:val="57A04676"/>
    <w:rsid w:val="57A314E8"/>
    <w:rsid w:val="57A31A70"/>
    <w:rsid w:val="57A33D8A"/>
    <w:rsid w:val="57A44166"/>
    <w:rsid w:val="57A468B4"/>
    <w:rsid w:val="57A8352A"/>
    <w:rsid w:val="57AB6007"/>
    <w:rsid w:val="57AD623C"/>
    <w:rsid w:val="57AE6D93"/>
    <w:rsid w:val="57AF0129"/>
    <w:rsid w:val="57AF60A5"/>
    <w:rsid w:val="57B343A9"/>
    <w:rsid w:val="57B46BCF"/>
    <w:rsid w:val="57B63E99"/>
    <w:rsid w:val="57B819BF"/>
    <w:rsid w:val="57B82BBB"/>
    <w:rsid w:val="57B8376D"/>
    <w:rsid w:val="57BB14B0"/>
    <w:rsid w:val="57BE03C2"/>
    <w:rsid w:val="57C02622"/>
    <w:rsid w:val="57C03085"/>
    <w:rsid w:val="57C33EC0"/>
    <w:rsid w:val="57C52DA1"/>
    <w:rsid w:val="57C71C02"/>
    <w:rsid w:val="57C87729"/>
    <w:rsid w:val="57C94C59"/>
    <w:rsid w:val="57CB5299"/>
    <w:rsid w:val="57CB596F"/>
    <w:rsid w:val="57CB5CDA"/>
    <w:rsid w:val="57CB67E2"/>
    <w:rsid w:val="57CF6D09"/>
    <w:rsid w:val="57D04F5B"/>
    <w:rsid w:val="57D12A64"/>
    <w:rsid w:val="57D2073A"/>
    <w:rsid w:val="57D54CC1"/>
    <w:rsid w:val="57D60097"/>
    <w:rsid w:val="57D66F43"/>
    <w:rsid w:val="57D719AF"/>
    <w:rsid w:val="57D82C38"/>
    <w:rsid w:val="57D8796C"/>
    <w:rsid w:val="57D91382"/>
    <w:rsid w:val="57DA78C0"/>
    <w:rsid w:val="57DD31D4"/>
    <w:rsid w:val="57DD4A12"/>
    <w:rsid w:val="57E502DB"/>
    <w:rsid w:val="57E722A5"/>
    <w:rsid w:val="57EE3633"/>
    <w:rsid w:val="57F10A2D"/>
    <w:rsid w:val="57F21079"/>
    <w:rsid w:val="57F73E39"/>
    <w:rsid w:val="57F746C5"/>
    <w:rsid w:val="57F86260"/>
    <w:rsid w:val="57F87BFC"/>
    <w:rsid w:val="57FB365A"/>
    <w:rsid w:val="57FE314A"/>
    <w:rsid w:val="58003366"/>
    <w:rsid w:val="58005114"/>
    <w:rsid w:val="58006EC2"/>
    <w:rsid w:val="58020E8D"/>
    <w:rsid w:val="580469B3"/>
    <w:rsid w:val="58050507"/>
    <w:rsid w:val="58050514"/>
    <w:rsid w:val="580C6F3F"/>
    <w:rsid w:val="580D7A8E"/>
    <w:rsid w:val="58112E7E"/>
    <w:rsid w:val="58132276"/>
    <w:rsid w:val="58136BF6"/>
    <w:rsid w:val="58152BDA"/>
    <w:rsid w:val="58170668"/>
    <w:rsid w:val="581A4428"/>
    <w:rsid w:val="581B5AAA"/>
    <w:rsid w:val="581F1A3E"/>
    <w:rsid w:val="581F559B"/>
    <w:rsid w:val="58226E39"/>
    <w:rsid w:val="5827444F"/>
    <w:rsid w:val="582901C7"/>
    <w:rsid w:val="5829221A"/>
    <w:rsid w:val="582C2590"/>
    <w:rsid w:val="582F28DD"/>
    <w:rsid w:val="582F2AD7"/>
    <w:rsid w:val="58306484"/>
    <w:rsid w:val="583152CE"/>
    <w:rsid w:val="58346749"/>
    <w:rsid w:val="583628E4"/>
    <w:rsid w:val="58362EFC"/>
    <w:rsid w:val="583767B6"/>
    <w:rsid w:val="583844E7"/>
    <w:rsid w:val="583A3465"/>
    <w:rsid w:val="583C439E"/>
    <w:rsid w:val="583C48B9"/>
    <w:rsid w:val="583D2821"/>
    <w:rsid w:val="583D2911"/>
    <w:rsid w:val="583E1337"/>
    <w:rsid w:val="58402724"/>
    <w:rsid w:val="58443253"/>
    <w:rsid w:val="58461A08"/>
    <w:rsid w:val="5846521D"/>
    <w:rsid w:val="584753C2"/>
    <w:rsid w:val="5849296A"/>
    <w:rsid w:val="584C2108"/>
    <w:rsid w:val="584C4556"/>
    <w:rsid w:val="584F4351"/>
    <w:rsid w:val="58501BF8"/>
    <w:rsid w:val="585039A6"/>
    <w:rsid w:val="5853297D"/>
    <w:rsid w:val="58533496"/>
    <w:rsid w:val="58555460"/>
    <w:rsid w:val="58562F86"/>
    <w:rsid w:val="58584F50"/>
    <w:rsid w:val="585B059D"/>
    <w:rsid w:val="585C67EF"/>
    <w:rsid w:val="585F64F9"/>
    <w:rsid w:val="5864776B"/>
    <w:rsid w:val="58650145"/>
    <w:rsid w:val="58656B24"/>
    <w:rsid w:val="5866766D"/>
    <w:rsid w:val="58670CF0"/>
    <w:rsid w:val="58675193"/>
    <w:rsid w:val="586864EF"/>
    <w:rsid w:val="58696EA4"/>
    <w:rsid w:val="586A6EB3"/>
    <w:rsid w:val="586A7B6C"/>
    <w:rsid w:val="586C0B52"/>
    <w:rsid w:val="586C27AA"/>
    <w:rsid w:val="5870229A"/>
    <w:rsid w:val="5872582A"/>
    <w:rsid w:val="58727DC0"/>
    <w:rsid w:val="587360E8"/>
    <w:rsid w:val="587578B0"/>
    <w:rsid w:val="58767185"/>
    <w:rsid w:val="58796E5D"/>
    <w:rsid w:val="587A6C75"/>
    <w:rsid w:val="587D49B7"/>
    <w:rsid w:val="587F6039"/>
    <w:rsid w:val="58825949"/>
    <w:rsid w:val="5884755E"/>
    <w:rsid w:val="588673C8"/>
    <w:rsid w:val="5889335C"/>
    <w:rsid w:val="588D2A9A"/>
    <w:rsid w:val="588D5A69"/>
    <w:rsid w:val="58951D01"/>
    <w:rsid w:val="589574B9"/>
    <w:rsid w:val="58957EFA"/>
    <w:rsid w:val="58992740"/>
    <w:rsid w:val="589938C7"/>
    <w:rsid w:val="589C308F"/>
    <w:rsid w:val="589C4E3D"/>
    <w:rsid w:val="58A504A8"/>
    <w:rsid w:val="58A50D34"/>
    <w:rsid w:val="58A64EFF"/>
    <w:rsid w:val="58A8708A"/>
    <w:rsid w:val="58AA6296"/>
    <w:rsid w:val="58AE691E"/>
    <w:rsid w:val="58AF18C6"/>
    <w:rsid w:val="58B37FCA"/>
    <w:rsid w:val="58B55EFF"/>
    <w:rsid w:val="58B7255A"/>
    <w:rsid w:val="58B73A25"/>
    <w:rsid w:val="58BC728D"/>
    <w:rsid w:val="58BD4DB3"/>
    <w:rsid w:val="58BF28C3"/>
    <w:rsid w:val="58C257CD"/>
    <w:rsid w:val="58C425E6"/>
    <w:rsid w:val="58C83A98"/>
    <w:rsid w:val="58CA7BFC"/>
    <w:rsid w:val="58CC55CF"/>
    <w:rsid w:val="58D1606F"/>
    <w:rsid w:val="58D2260D"/>
    <w:rsid w:val="58D42829"/>
    <w:rsid w:val="58D520FD"/>
    <w:rsid w:val="58D740C7"/>
    <w:rsid w:val="58D77C23"/>
    <w:rsid w:val="58DE337E"/>
    <w:rsid w:val="58DE7204"/>
    <w:rsid w:val="58DF11CE"/>
    <w:rsid w:val="58DF3E78"/>
    <w:rsid w:val="58DF4D2A"/>
    <w:rsid w:val="58E13419"/>
    <w:rsid w:val="58E40592"/>
    <w:rsid w:val="58E42A57"/>
    <w:rsid w:val="58E442E2"/>
    <w:rsid w:val="58E63652"/>
    <w:rsid w:val="58E72AE7"/>
    <w:rsid w:val="58E81E30"/>
    <w:rsid w:val="58E93DFA"/>
    <w:rsid w:val="58E95BA9"/>
    <w:rsid w:val="58EB2CD9"/>
    <w:rsid w:val="58ED4416"/>
    <w:rsid w:val="58ED488E"/>
    <w:rsid w:val="58EE35C0"/>
    <w:rsid w:val="58EF1411"/>
    <w:rsid w:val="58F0513D"/>
    <w:rsid w:val="58F21EBB"/>
    <w:rsid w:val="58F307D5"/>
    <w:rsid w:val="58F5279F"/>
    <w:rsid w:val="58F5454D"/>
    <w:rsid w:val="59012C0E"/>
    <w:rsid w:val="59050C34"/>
    <w:rsid w:val="59060509"/>
    <w:rsid w:val="5906339C"/>
    <w:rsid w:val="5906675A"/>
    <w:rsid w:val="59077600"/>
    <w:rsid w:val="59097FF9"/>
    <w:rsid w:val="590A1BB3"/>
    <w:rsid w:val="590A624B"/>
    <w:rsid w:val="590C382F"/>
    <w:rsid w:val="591B677F"/>
    <w:rsid w:val="591C5F7E"/>
    <w:rsid w:val="5920621F"/>
    <w:rsid w:val="59212B72"/>
    <w:rsid w:val="59213594"/>
    <w:rsid w:val="59232E69"/>
    <w:rsid w:val="59262959"/>
    <w:rsid w:val="59276497"/>
    <w:rsid w:val="592941F7"/>
    <w:rsid w:val="59296D66"/>
    <w:rsid w:val="592A1893"/>
    <w:rsid w:val="592B226D"/>
    <w:rsid w:val="592E180D"/>
    <w:rsid w:val="592E39A9"/>
    <w:rsid w:val="59367040"/>
    <w:rsid w:val="5937326A"/>
    <w:rsid w:val="5939455E"/>
    <w:rsid w:val="593E7E74"/>
    <w:rsid w:val="5943175D"/>
    <w:rsid w:val="59433D32"/>
    <w:rsid w:val="59464DA9"/>
    <w:rsid w:val="594A2AEB"/>
    <w:rsid w:val="594D6F8F"/>
    <w:rsid w:val="594E1447"/>
    <w:rsid w:val="594F3DF6"/>
    <w:rsid w:val="595079D6"/>
    <w:rsid w:val="59507D6F"/>
    <w:rsid w:val="59592D2E"/>
    <w:rsid w:val="59592F31"/>
    <w:rsid w:val="59594ADC"/>
    <w:rsid w:val="59594DF9"/>
    <w:rsid w:val="595C5ED8"/>
    <w:rsid w:val="595D7890"/>
    <w:rsid w:val="595E443B"/>
    <w:rsid w:val="5960040B"/>
    <w:rsid w:val="59606C43"/>
    <w:rsid w:val="5961124C"/>
    <w:rsid w:val="59613991"/>
    <w:rsid w:val="59633680"/>
    <w:rsid w:val="59633BAD"/>
    <w:rsid w:val="596361E3"/>
    <w:rsid w:val="596A0A97"/>
    <w:rsid w:val="596A6CE9"/>
    <w:rsid w:val="596D2336"/>
    <w:rsid w:val="596D5D06"/>
    <w:rsid w:val="596E06BD"/>
    <w:rsid w:val="596E391A"/>
    <w:rsid w:val="5971703E"/>
    <w:rsid w:val="597933D0"/>
    <w:rsid w:val="59797E0D"/>
    <w:rsid w:val="597A4A53"/>
    <w:rsid w:val="597E09E7"/>
    <w:rsid w:val="597F38B7"/>
    <w:rsid w:val="5980475F"/>
    <w:rsid w:val="598C49FD"/>
    <w:rsid w:val="598C4EB2"/>
    <w:rsid w:val="598F6AD5"/>
    <w:rsid w:val="5991071A"/>
    <w:rsid w:val="599344DB"/>
    <w:rsid w:val="59936158"/>
    <w:rsid w:val="59973856"/>
    <w:rsid w:val="599D7A28"/>
    <w:rsid w:val="59A24EDD"/>
    <w:rsid w:val="59A4342A"/>
    <w:rsid w:val="59A73A9A"/>
    <w:rsid w:val="59A862A5"/>
    <w:rsid w:val="59AA2E4E"/>
    <w:rsid w:val="59AA358A"/>
    <w:rsid w:val="59AC10B0"/>
    <w:rsid w:val="59AD3B5F"/>
    <w:rsid w:val="59AD6BD6"/>
    <w:rsid w:val="59AE650F"/>
    <w:rsid w:val="59B01824"/>
    <w:rsid w:val="59B05D3D"/>
    <w:rsid w:val="59B12B6A"/>
    <w:rsid w:val="59B3653F"/>
    <w:rsid w:val="59B44408"/>
    <w:rsid w:val="59B461B6"/>
    <w:rsid w:val="59BB12F3"/>
    <w:rsid w:val="59BC506B"/>
    <w:rsid w:val="59BD150F"/>
    <w:rsid w:val="59BD32BD"/>
    <w:rsid w:val="59C03BF3"/>
    <w:rsid w:val="59C108F0"/>
    <w:rsid w:val="59C208D3"/>
    <w:rsid w:val="59C3464B"/>
    <w:rsid w:val="59C55518"/>
    <w:rsid w:val="59C56616"/>
    <w:rsid w:val="59C759D8"/>
    <w:rsid w:val="59C77C98"/>
    <w:rsid w:val="59C96464"/>
    <w:rsid w:val="59C97EB4"/>
    <w:rsid w:val="59CA7788"/>
    <w:rsid w:val="59CB7611"/>
    <w:rsid w:val="59CD7278"/>
    <w:rsid w:val="59CD7AEE"/>
    <w:rsid w:val="59CF4D9E"/>
    <w:rsid w:val="59D3726C"/>
    <w:rsid w:val="59D53BB4"/>
    <w:rsid w:val="59D6437F"/>
    <w:rsid w:val="59D70C41"/>
    <w:rsid w:val="59D71162"/>
    <w:rsid w:val="59D86349"/>
    <w:rsid w:val="59DD570D"/>
    <w:rsid w:val="59DD74BB"/>
    <w:rsid w:val="59E06FAB"/>
    <w:rsid w:val="59E074F3"/>
    <w:rsid w:val="59E22D24"/>
    <w:rsid w:val="59E24AD2"/>
    <w:rsid w:val="59E36A9C"/>
    <w:rsid w:val="59E56370"/>
    <w:rsid w:val="59E85E60"/>
    <w:rsid w:val="59E928DD"/>
    <w:rsid w:val="59EC3DFA"/>
    <w:rsid w:val="59EF71EF"/>
    <w:rsid w:val="59F04A62"/>
    <w:rsid w:val="59F24F7E"/>
    <w:rsid w:val="59F842F5"/>
    <w:rsid w:val="59F91E1B"/>
    <w:rsid w:val="59FA62BF"/>
    <w:rsid w:val="59FE7432"/>
    <w:rsid w:val="5A032C9A"/>
    <w:rsid w:val="5A041F9C"/>
    <w:rsid w:val="5A042160"/>
    <w:rsid w:val="5A074438"/>
    <w:rsid w:val="5A0917B6"/>
    <w:rsid w:val="5A093965"/>
    <w:rsid w:val="5A0B3E07"/>
    <w:rsid w:val="5A0C7DA1"/>
    <w:rsid w:val="5A0E70D3"/>
    <w:rsid w:val="5A16617F"/>
    <w:rsid w:val="5A166E71"/>
    <w:rsid w:val="5A174DC0"/>
    <w:rsid w:val="5A18057C"/>
    <w:rsid w:val="5A1A070F"/>
    <w:rsid w:val="5A1D3D5C"/>
    <w:rsid w:val="5A1D5B0A"/>
    <w:rsid w:val="5A1E534A"/>
    <w:rsid w:val="5A1F340B"/>
    <w:rsid w:val="5A203F0F"/>
    <w:rsid w:val="5A2309DB"/>
    <w:rsid w:val="5A23111E"/>
    <w:rsid w:val="5A280A6D"/>
    <w:rsid w:val="5A2D2DE6"/>
    <w:rsid w:val="5A312D8C"/>
    <w:rsid w:val="5A3317D1"/>
    <w:rsid w:val="5A3572F7"/>
    <w:rsid w:val="5A36306F"/>
    <w:rsid w:val="5A392171"/>
    <w:rsid w:val="5A3A10D3"/>
    <w:rsid w:val="5A3A3C09"/>
    <w:rsid w:val="5A3C1FE1"/>
    <w:rsid w:val="5A403BBC"/>
    <w:rsid w:val="5A4237C2"/>
    <w:rsid w:val="5A494E46"/>
    <w:rsid w:val="5A4968FF"/>
    <w:rsid w:val="5A4A47BE"/>
    <w:rsid w:val="5A4B62FE"/>
    <w:rsid w:val="5A4C4641"/>
    <w:rsid w:val="5A4F3552"/>
    <w:rsid w:val="5A533C21"/>
    <w:rsid w:val="5A563FC2"/>
    <w:rsid w:val="5A58323D"/>
    <w:rsid w:val="5A594B73"/>
    <w:rsid w:val="5A59670F"/>
    <w:rsid w:val="5A5A5B18"/>
    <w:rsid w:val="5A5E7555"/>
    <w:rsid w:val="5A5F25C6"/>
    <w:rsid w:val="5A61194C"/>
    <w:rsid w:val="5A61633E"/>
    <w:rsid w:val="5A6164F2"/>
    <w:rsid w:val="5A6269F6"/>
    <w:rsid w:val="5A627366"/>
    <w:rsid w:val="5A63739E"/>
    <w:rsid w:val="5A647BDD"/>
    <w:rsid w:val="5A682D95"/>
    <w:rsid w:val="5A690D4F"/>
    <w:rsid w:val="5A6A06C9"/>
    <w:rsid w:val="5A6B32DA"/>
    <w:rsid w:val="5A6B5717"/>
    <w:rsid w:val="5A6C62B6"/>
    <w:rsid w:val="5A6E263F"/>
    <w:rsid w:val="5A70032F"/>
    <w:rsid w:val="5A7121B4"/>
    <w:rsid w:val="5A7140A7"/>
    <w:rsid w:val="5A721756"/>
    <w:rsid w:val="5A746FFF"/>
    <w:rsid w:val="5A751DEA"/>
    <w:rsid w:val="5A753B98"/>
    <w:rsid w:val="5A76409B"/>
    <w:rsid w:val="5A7871E4"/>
    <w:rsid w:val="5A797AC8"/>
    <w:rsid w:val="5A7A510A"/>
    <w:rsid w:val="5A7A7400"/>
    <w:rsid w:val="5A7B0A82"/>
    <w:rsid w:val="5A807D1E"/>
    <w:rsid w:val="5A86486E"/>
    <w:rsid w:val="5A865DA5"/>
    <w:rsid w:val="5A8A3B2E"/>
    <w:rsid w:val="5A8C0EE1"/>
    <w:rsid w:val="5A8C449C"/>
    <w:rsid w:val="5A9009D2"/>
    <w:rsid w:val="5A902780"/>
    <w:rsid w:val="5A90452E"/>
    <w:rsid w:val="5A911F48"/>
    <w:rsid w:val="5A9164F8"/>
    <w:rsid w:val="5A92127B"/>
    <w:rsid w:val="5A9801EF"/>
    <w:rsid w:val="5A99726A"/>
    <w:rsid w:val="5A9C7376"/>
    <w:rsid w:val="5AA12BDF"/>
    <w:rsid w:val="5AA13016"/>
    <w:rsid w:val="5AA153EC"/>
    <w:rsid w:val="5AA20705"/>
    <w:rsid w:val="5AA21EFE"/>
    <w:rsid w:val="5AA24261"/>
    <w:rsid w:val="5AA601F5"/>
    <w:rsid w:val="5AA61FA3"/>
    <w:rsid w:val="5AA91A93"/>
    <w:rsid w:val="5AAA410D"/>
    <w:rsid w:val="5AAC3332"/>
    <w:rsid w:val="5AB26B9A"/>
    <w:rsid w:val="5AB67D0C"/>
    <w:rsid w:val="5AB83A84"/>
    <w:rsid w:val="5ABC1339"/>
    <w:rsid w:val="5ABE7224"/>
    <w:rsid w:val="5ABE7745"/>
    <w:rsid w:val="5ABF6EB9"/>
    <w:rsid w:val="5AC02939"/>
    <w:rsid w:val="5AC33B31"/>
    <w:rsid w:val="5AC4067B"/>
    <w:rsid w:val="5AC5116B"/>
    <w:rsid w:val="5AC643F3"/>
    <w:rsid w:val="5ACD08FB"/>
    <w:rsid w:val="5ACD39D4"/>
    <w:rsid w:val="5ACE14FA"/>
    <w:rsid w:val="5ACE5056"/>
    <w:rsid w:val="5ACF7CF2"/>
    <w:rsid w:val="5AD04EEF"/>
    <w:rsid w:val="5AD10E92"/>
    <w:rsid w:val="5AD3266C"/>
    <w:rsid w:val="5AD70A2A"/>
    <w:rsid w:val="5AD84127"/>
    <w:rsid w:val="5ADE798F"/>
    <w:rsid w:val="5ADF1011"/>
    <w:rsid w:val="5AE147BC"/>
    <w:rsid w:val="5AE14D89"/>
    <w:rsid w:val="5AE64A95"/>
    <w:rsid w:val="5AE8436A"/>
    <w:rsid w:val="5AE9584C"/>
    <w:rsid w:val="5AE96B3B"/>
    <w:rsid w:val="5AE97247"/>
    <w:rsid w:val="5AEA5DC4"/>
    <w:rsid w:val="5AEB20AC"/>
    <w:rsid w:val="5AEC4883"/>
    <w:rsid w:val="5AED176C"/>
    <w:rsid w:val="5AF1353F"/>
    <w:rsid w:val="5AF85079"/>
    <w:rsid w:val="5AF8590C"/>
    <w:rsid w:val="5AF90080"/>
    <w:rsid w:val="5AFA409D"/>
    <w:rsid w:val="5AFA5E4B"/>
    <w:rsid w:val="5AFA6F68"/>
    <w:rsid w:val="5AFE1E47"/>
    <w:rsid w:val="5AFF2821"/>
    <w:rsid w:val="5AFF7905"/>
    <w:rsid w:val="5B037F39"/>
    <w:rsid w:val="5B0427D1"/>
    <w:rsid w:val="5B070568"/>
    <w:rsid w:val="5B072D7E"/>
    <w:rsid w:val="5B091590"/>
    <w:rsid w:val="5B0B1E06"/>
    <w:rsid w:val="5B0E18F6"/>
    <w:rsid w:val="5B117094"/>
    <w:rsid w:val="5B117F79"/>
    <w:rsid w:val="5B135DDD"/>
    <w:rsid w:val="5B136F0D"/>
    <w:rsid w:val="5B1A676E"/>
    <w:rsid w:val="5B1C2265"/>
    <w:rsid w:val="5B23040F"/>
    <w:rsid w:val="5B280C0A"/>
    <w:rsid w:val="5B2C01D0"/>
    <w:rsid w:val="5B2D4472"/>
    <w:rsid w:val="5B3062C7"/>
    <w:rsid w:val="5B3255E5"/>
    <w:rsid w:val="5B330F7D"/>
    <w:rsid w:val="5B3402E5"/>
    <w:rsid w:val="5B34049B"/>
    <w:rsid w:val="5B3475AF"/>
    <w:rsid w:val="5B384B44"/>
    <w:rsid w:val="5B3973A5"/>
    <w:rsid w:val="5B3E083D"/>
    <w:rsid w:val="5B4041A6"/>
    <w:rsid w:val="5B422CFB"/>
    <w:rsid w:val="5B436AB7"/>
    <w:rsid w:val="5B463D7C"/>
    <w:rsid w:val="5B465534"/>
    <w:rsid w:val="5B4800FC"/>
    <w:rsid w:val="5B4C0C4A"/>
    <w:rsid w:val="5B50627E"/>
    <w:rsid w:val="5B527557"/>
    <w:rsid w:val="5B5437AD"/>
    <w:rsid w:val="5B5544F8"/>
    <w:rsid w:val="5B574F57"/>
    <w:rsid w:val="5B590DC3"/>
    <w:rsid w:val="5B5945C5"/>
    <w:rsid w:val="5B597015"/>
    <w:rsid w:val="5B5B2F38"/>
    <w:rsid w:val="5B5D6D73"/>
    <w:rsid w:val="5B5E0F00"/>
    <w:rsid w:val="5B5F5C30"/>
    <w:rsid w:val="5B624451"/>
    <w:rsid w:val="5B667984"/>
    <w:rsid w:val="5B673DB6"/>
    <w:rsid w:val="5B682BEB"/>
    <w:rsid w:val="5B686CE2"/>
    <w:rsid w:val="5B6A0175"/>
    <w:rsid w:val="5B6B6D49"/>
    <w:rsid w:val="5B6D0D13"/>
    <w:rsid w:val="5B6F4A8B"/>
    <w:rsid w:val="5B7114D5"/>
    <w:rsid w:val="5B712F81"/>
    <w:rsid w:val="5B721E85"/>
    <w:rsid w:val="5B7756EE"/>
    <w:rsid w:val="5B77749C"/>
    <w:rsid w:val="5B784218"/>
    <w:rsid w:val="5B791466"/>
    <w:rsid w:val="5B7976B8"/>
    <w:rsid w:val="5B7C2798"/>
    <w:rsid w:val="5B7D3E40"/>
    <w:rsid w:val="5B7D3FF5"/>
    <w:rsid w:val="5B7E0F08"/>
    <w:rsid w:val="5B7F07AB"/>
    <w:rsid w:val="5B7F45A2"/>
    <w:rsid w:val="5B801186"/>
    <w:rsid w:val="5B81656C"/>
    <w:rsid w:val="5B857E0A"/>
    <w:rsid w:val="5B871DD5"/>
    <w:rsid w:val="5B890A02"/>
    <w:rsid w:val="5B895BB1"/>
    <w:rsid w:val="5B8A73CA"/>
    <w:rsid w:val="5B8B1AB5"/>
    <w:rsid w:val="5B8F2876"/>
    <w:rsid w:val="5B914A01"/>
    <w:rsid w:val="5B922E2F"/>
    <w:rsid w:val="5B9242D5"/>
    <w:rsid w:val="5B931C9E"/>
    <w:rsid w:val="5B94004E"/>
    <w:rsid w:val="5B955B74"/>
    <w:rsid w:val="5B980C3C"/>
    <w:rsid w:val="5B9A2DDE"/>
    <w:rsid w:val="5B9E35D2"/>
    <w:rsid w:val="5BA30291"/>
    <w:rsid w:val="5BA364E3"/>
    <w:rsid w:val="5BA432D9"/>
    <w:rsid w:val="5BA504AD"/>
    <w:rsid w:val="5BA54009"/>
    <w:rsid w:val="5BA74225"/>
    <w:rsid w:val="5BAA7871"/>
    <w:rsid w:val="5BAB241D"/>
    <w:rsid w:val="5BAC00FE"/>
    <w:rsid w:val="5BAF4E87"/>
    <w:rsid w:val="5BB16E51"/>
    <w:rsid w:val="5BB26726"/>
    <w:rsid w:val="5BB364CE"/>
    <w:rsid w:val="5BB47AA6"/>
    <w:rsid w:val="5BB57FC4"/>
    <w:rsid w:val="5BB64468"/>
    <w:rsid w:val="5BB848B5"/>
    <w:rsid w:val="5BB93F58"/>
    <w:rsid w:val="5BBC1352"/>
    <w:rsid w:val="5BC14BBB"/>
    <w:rsid w:val="5BC621D1"/>
    <w:rsid w:val="5BC76675"/>
    <w:rsid w:val="5BC85F49"/>
    <w:rsid w:val="5BCA1CC1"/>
    <w:rsid w:val="5BCA7F13"/>
    <w:rsid w:val="5BD26DC8"/>
    <w:rsid w:val="5BD3501A"/>
    <w:rsid w:val="5BD42B40"/>
    <w:rsid w:val="5BD668B8"/>
    <w:rsid w:val="5BDC19F5"/>
    <w:rsid w:val="5BE10896"/>
    <w:rsid w:val="5BE10DB9"/>
    <w:rsid w:val="5BE2525D"/>
    <w:rsid w:val="5BE26022"/>
    <w:rsid w:val="5BE663CF"/>
    <w:rsid w:val="5BEB7F91"/>
    <w:rsid w:val="5BED3C02"/>
    <w:rsid w:val="5BED59B0"/>
    <w:rsid w:val="5BEF03FF"/>
    <w:rsid w:val="5BF00249"/>
    <w:rsid w:val="5BF021AB"/>
    <w:rsid w:val="5BF154A0"/>
    <w:rsid w:val="5BF33C15"/>
    <w:rsid w:val="5BF63C0C"/>
    <w:rsid w:val="5BF73DEC"/>
    <w:rsid w:val="5BF77C6D"/>
    <w:rsid w:val="5BF84A80"/>
    <w:rsid w:val="5BF95104"/>
    <w:rsid w:val="5BFA0755"/>
    <w:rsid w:val="5BFD32B2"/>
    <w:rsid w:val="5BFE2871"/>
    <w:rsid w:val="5C002F46"/>
    <w:rsid w:val="5C036F81"/>
    <w:rsid w:val="5C0C22DA"/>
    <w:rsid w:val="5C0D4457"/>
    <w:rsid w:val="5C121EE9"/>
    <w:rsid w:val="5C166CB5"/>
    <w:rsid w:val="5C1A045E"/>
    <w:rsid w:val="5C1A24BE"/>
    <w:rsid w:val="5C1B076F"/>
    <w:rsid w:val="5C1D44E7"/>
    <w:rsid w:val="5C2515ED"/>
    <w:rsid w:val="5C2B7DD8"/>
    <w:rsid w:val="5C2C64D8"/>
    <w:rsid w:val="5C2D3FFE"/>
    <w:rsid w:val="5C2F5FC8"/>
    <w:rsid w:val="5C317F92"/>
    <w:rsid w:val="5C387119"/>
    <w:rsid w:val="5C3969A7"/>
    <w:rsid w:val="5C3A1D29"/>
    <w:rsid w:val="5C3A224A"/>
    <w:rsid w:val="5C3B496D"/>
    <w:rsid w:val="5C3B671B"/>
    <w:rsid w:val="5C403D31"/>
    <w:rsid w:val="5C45759A"/>
    <w:rsid w:val="5C496222"/>
    <w:rsid w:val="5C4B6DCF"/>
    <w:rsid w:val="5C514191"/>
    <w:rsid w:val="5C545824"/>
    <w:rsid w:val="5C5554E5"/>
    <w:rsid w:val="5C5A1A53"/>
    <w:rsid w:val="5C5E240A"/>
    <w:rsid w:val="5C605C99"/>
    <w:rsid w:val="5C642116"/>
    <w:rsid w:val="5C657C3C"/>
    <w:rsid w:val="5C680FF1"/>
    <w:rsid w:val="5C6953BD"/>
    <w:rsid w:val="5C6C4B26"/>
    <w:rsid w:val="5C6D2645"/>
    <w:rsid w:val="5C6E6AF1"/>
    <w:rsid w:val="5C71038F"/>
    <w:rsid w:val="5C732359"/>
    <w:rsid w:val="5C735EB5"/>
    <w:rsid w:val="5C757E7F"/>
    <w:rsid w:val="5C78121F"/>
    <w:rsid w:val="5C7834CB"/>
    <w:rsid w:val="5C78679A"/>
    <w:rsid w:val="5C78796F"/>
    <w:rsid w:val="5C7C3148"/>
    <w:rsid w:val="5C7D4F86"/>
    <w:rsid w:val="5C7E46C1"/>
    <w:rsid w:val="5C817072"/>
    <w:rsid w:val="5C8400C2"/>
    <w:rsid w:val="5C841E70"/>
    <w:rsid w:val="5C845BEF"/>
    <w:rsid w:val="5C853E3A"/>
    <w:rsid w:val="5C875E04"/>
    <w:rsid w:val="5C89392A"/>
    <w:rsid w:val="5C8A200D"/>
    <w:rsid w:val="5C8C51C9"/>
    <w:rsid w:val="5C8E6CEA"/>
    <w:rsid w:val="5C901728"/>
    <w:rsid w:val="5C902F0B"/>
    <w:rsid w:val="5C912102"/>
    <w:rsid w:val="5C923BAE"/>
    <w:rsid w:val="5C9B540C"/>
    <w:rsid w:val="5C9B567B"/>
    <w:rsid w:val="5C9C18B0"/>
    <w:rsid w:val="5C9D73D6"/>
    <w:rsid w:val="5C9F2D5E"/>
    <w:rsid w:val="5C9F314E"/>
    <w:rsid w:val="5CA02A22"/>
    <w:rsid w:val="5CA0787F"/>
    <w:rsid w:val="5CA22C3E"/>
    <w:rsid w:val="5CA42512"/>
    <w:rsid w:val="5CA442C0"/>
    <w:rsid w:val="5CA7000F"/>
    <w:rsid w:val="5CA729BF"/>
    <w:rsid w:val="5CA93FCD"/>
    <w:rsid w:val="5CAB38A1"/>
    <w:rsid w:val="5CAB54B0"/>
    <w:rsid w:val="5CAC13C7"/>
    <w:rsid w:val="5CB00EB7"/>
    <w:rsid w:val="5CC04E72"/>
    <w:rsid w:val="5CC130C4"/>
    <w:rsid w:val="5CC22998"/>
    <w:rsid w:val="5CCB5E01"/>
    <w:rsid w:val="5CCC394E"/>
    <w:rsid w:val="5CCC7082"/>
    <w:rsid w:val="5CCD01DC"/>
    <w:rsid w:val="5CCE050A"/>
    <w:rsid w:val="5CCE758F"/>
    <w:rsid w:val="5CD24077"/>
    <w:rsid w:val="5CD252D1"/>
    <w:rsid w:val="5CD31049"/>
    <w:rsid w:val="5CD5091E"/>
    <w:rsid w:val="5CD66444"/>
    <w:rsid w:val="5CD728E8"/>
    <w:rsid w:val="5CD821BC"/>
    <w:rsid w:val="5CD86660"/>
    <w:rsid w:val="5CD94E88"/>
    <w:rsid w:val="5CDB057C"/>
    <w:rsid w:val="5CDB3A5A"/>
    <w:rsid w:val="5CDF79EE"/>
    <w:rsid w:val="5CDF7D3A"/>
    <w:rsid w:val="5CE07ABA"/>
    <w:rsid w:val="5CE13766"/>
    <w:rsid w:val="5CE25C9B"/>
    <w:rsid w:val="5CE4729D"/>
    <w:rsid w:val="5CE66FFB"/>
    <w:rsid w:val="5CE86398"/>
    <w:rsid w:val="5CE868B8"/>
    <w:rsid w:val="5CE96177"/>
    <w:rsid w:val="5CEA2C2C"/>
    <w:rsid w:val="5CEE19DF"/>
    <w:rsid w:val="5CF21813"/>
    <w:rsid w:val="5CF324D6"/>
    <w:rsid w:val="5CF67A91"/>
    <w:rsid w:val="5CFA0384"/>
    <w:rsid w:val="5CFB5EAA"/>
    <w:rsid w:val="5CFC234E"/>
    <w:rsid w:val="5D07069B"/>
    <w:rsid w:val="5D092F30"/>
    <w:rsid w:val="5D0C00B7"/>
    <w:rsid w:val="5D1235B4"/>
    <w:rsid w:val="5D123920"/>
    <w:rsid w:val="5D130A89"/>
    <w:rsid w:val="5D131446"/>
    <w:rsid w:val="5D141396"/>
    <w:rsid w:val="5D170F36"/>
    <w:rsid w:val="5D2015DA"/>
    <w:rsid w:val="5D212A6C"/>
    <w:rsid w:val="5D245437"/>
    <w:rsid w:val="5D2641A2"/>
    <w:rsid w:val="5D2C47C9"/>
    <w:rsid w:val="5D2D5717"/>
    <w:rsid w:val="5D2E3846"/>
    <w:rsid w:val="5D311EF2"/>
    <w:rsid w:val="5D32144D"/>
    <w:rsid w:val="5D331782"/>
    <w:rsid w:val="5D335644"/>
    <w:rsid w:val="5D3849BC"/>
    <w:rsid w:val="5D3A4C25"/>
    <w:rsid w:val="5D3A69D3"/>
    <w:rsid w:val="5D3C274B"/>
    <w:rsid w:val="5D3D6594"/>
    <w:rsid w:val="5D3F66DF"/>
    <w:rsid w:val="5D415FB3"/>
    <w:rsid w:val="5D445C4B"/>
    <w:rsid w:val="5D467A6D"/>
    <w:rsid w:val="5D494E68"/>
    <w:rsid w:val="5D49561A"/>
    <w:rsid w:val="5D4A130C"/>
    <w:rsid w:val="5D4C6846"/>
    <w:rsid w:val="5D4E06D0"/>
    <w:rsid w:val="5D4F60A9"/>
    <w:rsid w:val="5D4F6922"/>
    <w:rsid w:val="5D5061F6"/>
    <w:rsid w:val="5D521F6E"/>
    <w:rsid w:val="5D557CB0"/>
    <w:rsid w:val="5D5932FD"/>
    <w:rsid w:val="5D5977A1"/>
    <w:rsid w:val="5D5A247C"/>
    <w:rsid w:val="5D5A52C7"/>
    <w:rsid w:val="5D5A6507"/>
    <w:rsid w:val="5D5E0913"/>
    <w:rsid w:val="5D600B2F"/>
    <w:rsid w:val="5D621292"/>
    <w:rsid w:val="5D623CAF"/>
    <w:rsid w:val="5D63417B"/>
    <w:rsid w:val="5D635F29"/>
    <w:rsid w:val="5D657C54"/>
    <w:rsid w:val="5D663C6C"/>
    <w:rsid w:val="5D69550A"/>
    <w:rsid w:val="5D6A4A5D"/>
    <w:rsid w:val="5D6B3425"/>
    <w:rsid w:val="5D6D24E6"/>
    <w:rsid w:val="5D6D45F9"/>
    <w:rsid w:val="5D6F6E90"/>
    <w:rsid w:val="5D6F7705"/>
    <w:rsid w:val="5D704AEA"/>
    <w:rsid w:val="5D716DC3"/>
    <w:rsid w:val="5D720E02"/>
    <w:rsid w:val="5D72616D"/>
    <w:rsid w:val="5D746389"/>
    <w:rsid w:val="5D755C5D"/>
    <w:rsid w:val="5D777AC6"/>
    <w:rsid w:val="5D8331B0"/>
    <w:rsid w:val="5D834119"/>
    <w:rsid w:val="5D8506A1"/>
    <w:rsid w:val="5D861862"/>
    <w:rsid w:val="5D897022"/>
    <w:rsid w:val="5D8A097F"/>
    <w:rsid w:val="5D8A795A"/>
    <w:rsid w:val="5D8D2FA6"/>
    <w:rsid w:val="5D8D744A"/>
    <w:rsid w:val="5D8F4A9F"/>
    <w:rsid w:val="5D8F6D1E"/>
    <w:rsid w:val="5D9061DC"/>
    <w:rsid w:val="5D912C18"/>
    <w:rsid w:val="5D923490"/>
    <w:rsid w:val="5D9407D9"/>
    <w:rsid w:val="5D964551"/>
    <w:rsid w:val="5D97217A"/>
    <w:rsid w:val="5D9C143B"/>
    <w:rsid w:val="5D9C768D"/>
    <w:rsid w:val="5D9E1657"/>
    <w:rsid w:val="5DA26FAD"/>
    <w:rsid w:val="5DA33DE2"/>
    <w:rsid w:val="5DA54437"/>
    <w:rsid w:val="5DA63D60"/>
    <w:rsid w:val="5DA64068"/>
    <w:rsid w:val="5DA73049"/>
    <w:rsid w:val="5DA85049"/>
    <w:rsid w:val="5DA862DC"/>
    <w:rsid w:val="5DA928D0"/>
    <w:rsid w:val="5DAF1C7B"/>
    <w:rsid w:val="5DB03139"/>
    <w:rsid w:val="5DB1138B"/>
    <w:rsid w:val="5DB46785"/>
    <w:rsid w:val="5DB50C85"/>
    <w:rsid w:val="5DB6074F"/>
    <w:rsid w:val="5DB669A1"/>
    <w:rsid w:val="5DB93D9B"/>
    <w:rsid w:val="5DBA7B13"/>
    <w:rsid w:val="5DBB7918"/>
    <w:rsid w:val="5DBC7D30"/>
    <w:rsid w:val="5DC0337C"/>
    <w:rsid w:val="5DC271B2"/>
    <w:rsid w:val="5DC849FD"/>
    <w:rsid w:val="5DCB3ACF"/>
    <w:rsid w:val="5DCD3CEB"/>
    <w:rsid w:val="5DCD5A99"/>
    <w:rsid w:val="5DCE3C01"/>
    <w:rsid w:val="5DCF4E9B"/>
    <w:rsid w:val="5DD06077"/>
    <w:rsid w:val="5DD47E86"/>
    <w:rsid w:val="5DD51469"/>
    <w:rsid w:val="5DD813D8"/>
    <w:rsid w:val="5DD959BB"/>
    <w:rsid w:val="5DDB01B6"/>
    <w:rsid w:val="5DDC7A8A"/>
    <w:rsid w:val="5DDD008C"/>
    <w:rsid w:val="5DDF5CD5"/>
    <w:rsid w:val="5DE30E18"/>
    <w:rsid w:val="5DE54BC7"/>
    <w:rsid w:val="5DE66B5A"/>
    <w:rsid w:val="5DE719ED"/>
    <w:rsid w:val="5DE74DAC"/>
    <w:rsid w:val="5DEA21A7"/>
    <w:rsid w:val="5DEA7DBC"/>
    <w:rsid w:val="5DEB5F1F"/>
    <w:rsid w:val="5DEB784E"/>
    <w:rsid w:val="5DEF1EB3"/>
    <w:rsid w:val="5DEF4A8E"/>
    <w:rsid w:val="5DEF7705"/>
    <w:rsid w:val="5DF257D0"/>
    <w:rsid w:val="5DF35FE0"/>
    <w:rsid w:val="5DF41277"/>
    <w:rsid w:val="5DF42CE6"/>
    <w:rsid w:val="5DFB3DA7"/>
    <w:rsid w:val="5DFC012C"/>
    <w:rsid w:val="5DFD2403"/>
    <w:rsid w:val="5DFD637E"/>
    <w:rsid w:val="5DFE5F88"/>
    <w:rsid w:val="5E0133B7"/>
    <w:rsid w:val="5E056FE1"/>
    <w:rsid w:val="5E07266A"/>
    <w:rsid w:val="5E0A2849"/>
    <w:rsid w:val="5E0A595C"/>
    <w:rsid w:val="5E0A6063"/>
    <w:rsid w:val="5E0A6219"/>
    <w:rsid w:val="5E0E058B"/>
    <w:rsid w:val="5E0E44DF"/>
    <w:rsid w:val="5E104167"/>
    <w:rsid w:val="5E162F9C"/>
    <w:rsid w:val="5E176D14"/>
    <w:rsid w:val="5E180BAB"/>
    <w:rsid w:val="5E1831B8"/>
    <w:rsid w:val="5E183C9A"/>
    <w:rsid w:val="5E1A20A3"/>
    <w:rsid w:val="5E1D5310"/>
    <w:rsid w:val="5E1E4546"/>
    <w:rsid w:val="5E227B93"/>
    <w:rsid w:val="5E2356B9"/>
    <w:rsid w:val="5E240CCF"/>
    <w:rsid w:val="5E265660"/>
    <w:rsid w:val="5E2751A9"/>
    <w:rsid w:val="5E277548"/>
    <w:rsid w:val="5E2C6C63"/>
    <w:rsid w:val="5E2D7601"/>
    <w:rsid w:val="5E2F0501"/>
    <w:rsid w:val="5E2F405E"/>
    <w:rsid w:val="5E302094"/>
    <w:rsid w:val="5E31427A"/>
    <w:rsid w:val="5E32585B"/>
    <w:rsid w:val="5E331016"/>
    <w:rsid w:val="5E33164F"/>
    <w:rsid w:val="5E343D6A"/>
    <w:rsid w:val="5E384714"/>
    <w:rsid w:val="5E3972E5"/>
    <w:rsid w:val="5E3B0C54"/>
    <w:rsid w:val="5E3D2C1E"/>
    <w:rsid w:val="5E3D35B5"/>
    <w:rsid w:val="5E403254"/>
    <w:rsid w:val="5E420235"/>
    <w:rsid w:val="5E446EBF"/>
    <w:rsid w:val="5E451AD3"/>
    <w:rsid w:val="5E461344"/>
    <w:rsid w:val="5E48575F"/>
    <w:rsid w:val="5E4A533B"/>
    <w:rsid w:val="5E4A692D"/>
    <w:rsid w:val="5E4C4C10"/>
    <w:rsid w:val="5E4D2736"/>
    <w:rsid w:val="5E4E141F"/>
    <w:rsid w:val="5E550BCF"/>
    <w:rsid w:val="5E59557E"/>
    <w:rsid w:val="5E5C0F3E"/>
    <w:rsid w:val="5E5C281C"/>
    <w:rsid w:val="5E5F0841"/>
    <w:rsid w:val="5E624433"/>
    <w:rsid w:val="5E6301AB"/>
    <w:rsid w:val="5E670D15"/>
    <w:rsid w:val="5E6737F7"/>
    <w:rsid w:val="5E68756F"/>
    <w:rsid w:val="5E693A13"/>
    <w:rsid w:val="5E6A153A"/>
    <w:rsid w:val="5E6B3663"/>
    <w:rsid w:val="5E6D1EC3"/>
    <w:rsid w:val="5E6D40F8"/>
    <w:rsid w:val="5E714CB3"/>
    <w:rsid w:val="5E723D15"/>
    <w:rsid w:val="5E7245DC"/>
    <w:rsid w:val="5E734892"/>
    <w:rsid w:val="5E767EDE"/>
    <w:rsid w:val="5E785A05"/>
    <w:rsid w:val="5E7B72A3"/>
    <w:rsid w:val="5E7F6800"/>
    <w:rsid w:val="5E820631"/>
    <w:rsid w:val="5E83071A"/>
    <w:rsid w:val="5E841E57"/>
    <w:rsid w:val="5E8545C5"/>
    <w:rsid w:val="5E8633D0"/>
    <w:rsid w:val="5E8720EC"/>
    <w:rsid w:val="5E895E64"/>
    <w:rsid w:val="5E897C12"/>
    <w:rsid w:val="5E8A398A"/>
    <w:rsid w:val="5E8E09B4"/>
    <w:rsid w:val="5E8E1AB7"/>
    <w:rsid w:val="5E8F1076"/>
    <w:rsid w:val="5E912F6A"/>
    <w:rsid w:val="5E9465B6"/>
    <w:rsid w:val="5E96232F"/>
    <w:rsid w:val="5E977899"/>
    <w:rsid w:val="5E987E55"/>
    <w:rsid w:val="5E99597B"/>
    <w:rsid w:val="5E9D36BD"/>
    <w:rsid w:val="5EA22A81"/>
    <w:rsid w:val="5EA41270"/>
    <w:rsid w:val="5EA42857"/>
    <w:rsid w:val="5EA762EA"/>
    <w:rsid w:val="5EA83D62"/>
    <w:rsid w:val="5EA901E5"/>
    <w:rsid w:val="5EA94901"/>
    <w:rsid w:val="5EAB0623"/>
    <w:rsid w:val="5EAE7678"/>
    <w:rsid w:val="5EB241BB"/>
    <w:rsid w:val="5EB27256"/>
    <w:rsid w:val="5EB341C0"/>
    <w:rsid w:val="5EB563D5"/>
    <w:rsid w:val="5EB654B8"/>
    <w:rsid w:val="5EB84053"/>
    <w:rsid w:val="5EBB452B"/>
    <w:rsid w:val="5EBB7FE7"/>
    <w:rsid w:val="5EBD679C"/>
    <w:rsid w:val="5EC0115A"/>
    <w:rsid w:val="5EC155FD"/>
    <w:rsid w:val="5EC23124"/>
    <w:rsid w:val="5EC56770"/>
    <w:rsid w:val="5EC64EAF"/>
    <w:rsid w:val="5EC727A1"/>
    <w:rsid w:val="5EC73A2C"/>
    <w:rsid w:val="5EC74102"/>
    <w:rsid w:val="5EC8350B"/>
    <w:rsid w:val="5EC93D19"/>
    <w:rsid w:val="5EC944B2"/>
    <w:rsid w:val="5EC9726C"/>
    <w:rsid w:val="5ECA4095"/>
    <w:rsid w:val="5ECB1F07"/>
    <w:rsid w:val="5ECB4491"/>
    <w:rsid w:val="5ECC3FA2"/>
    <w:rsid w:val="5ECC4019"/>
    <w:rsid w:val="5ECF75EF"/>
    <w:rsid w:val="5ED370DF"/>
    <w:rsid w:val="5ED54C05"/>
    <w:rsid w:val="5ED57321"/>
    <w:rsid w:val="5ED6097D"/>
    <w:rsid w:val="5ED61B0C"/>
    <w:rsid w:val="5ED74E21"/>
    <w:rsid w:val="5ED82947"/>
    <w:rsid w:val="5EDA046D"/>
    <w:rsid w:val="5EDA66BF"/>
    <w:rsid w:val="5EDB1920"/>
    <w:rsid w:val="5EDC31BC"/>
    <w:rsid w:val="5EDF7832"/>
    <w:rsid w:val="5EE5030F"/>
    <w:rsid w:val="5EE57C39"/>
    <w:rsid w:val="5EE90311"/>
    <w:rsid w:val="5EEB769A"/>
    <w:rsid w:val="5EEC40AF"/>
    <w:rsid w:val="5EF1163D"/>
    <w:rsid w:val="5EF3152F"/>
    <w:rsid w:val="5EF808F3"/>
    <w:rsid w:val="5EF91E12"/>
    <w:rsid w:val="5EFD3A3C"/>
    <w:rsid w:val="5EFF105D"/>
    <w:rsid w:val="5F000F9C"/>
    <w:rsid w:val="5F015114"/>
    <w:rsid w:val="5F03707F"/>
    <w:rsid w:val="5F074FDA"/>
    <w:rsid w:val="5F0828D4"/>
    <w:rsid w:val="5F0B4ACB"/>
    <w:rsid w:val="5F0C74C1"/>
    <w:rsid w:val="5F0E7E34"/>
    <w:rsid w:val="5F107AA7"/>
    <w:rsid w:val="5F117C07"/>
    <w:rsid w:val="5F16521D"/>
    <w:rsid w:val="5F165C2E"/>
    <w:rsid w:val="5F194F46"/>
    <w:rsid w:val="5F1A6ABC"/>
    <w:rsid w:val="5F1A769E"/>
    <w:rsid w:val="5F1C2834"/>
    <w:rsid w:val="5F1D65AC"/>
    <w:rsid w:val="5F1F2324"/>
    <w:rsid w:val="5F2142EE"/>
    <w:rsid w:val="5F2371B1"/>
    <w:rsid w:val="5F265461"/>
    <w:rsid w:val="5F293EA8"/>
    <w:rsid w:val="5F296CFF"/>
    <w:rsid w:val="5F2B0CC9"/>
    <w:rsid w:val="5F357D99"/>
    <w:rsid w:val="5F363573"/>
    <w:rsid w:val="5F3B75A9"/>
    <w:rsid w:val="5F3C1128"/>
    <w:rsid w:val="5F3D27AA"/>
    <w:rsid w:val="5F3E04B9"/>
    <w:rsid w:val="5F406B06"/>
    <w:rsid w:val="5F466134"/>
    <w:rsid w:val="5F4678B1"/>
    <w:rsid w:val="5F4840E0"/>
    <w:rsid w:val="5F4A67AA"/>
    <w:rsid w:val="5F4B4EC7"/>
    <w:rsid w:val="5F4D1AA5"/>
    <w:rsid w:val="5F4F0E5B"/>
    <w:rsid w:val="5F4F3B85"/>
    <w:rsid w:val="5F50072F"/>
    <w:rsid w:val="5F506981"/>
    <w:rsid w:val="5F57386C"/>
    <w:rsid w:val="5F5875E4"/>
    <w:rsid w:val="5F5A7800"/>
    <w:rsid w:val="5F5E21EA"/>
    <w:rsid w:val="5F6146EB"/>
    <w:rsid w:val="5F630BDC"/>
    <w:rsid w:val="5F6366B5"/>
    <w:rsid w:val="5F65624F"/>
    <w:rsid w:val="5F667F53"/>
    <w:rsid w:val="5F675F94"/>
    <w:rsid w:val="5F68008D"/>
    <w:rsid w:val="5F6847A5"/>
    <w:rsid w:val="5F69359F"/>
    <w:rsid w:val="5F6B0045"/>
    <w:rsid w:val="5F751F44"/>
    <w:rsid w:val="5F757EE5"/>
    <w:rsid w:val="5F7674A3"/>
    <w:rsid w:val="5F772160"/>
    <w:rsid w:val="5F772C6D"/>
    <w:rsid w:val="5F79713B"/>
    <w:rsid w:val="5F7A1C50"/>
    <w:rsid w:val="5F7C1524"/>
    <w:rsid w:val="5F7E0DDA"/>
    <w:rsid w:val="5F7E529D"/>
    <w:rsid w:val="5F7F1015"/>
    <w:rsid w:val="5F7F7267"/>
    <w:rsid w:val="5F806A13"/>
    <w:rsid w:val="5F821A41"/>
    <w:rsid w:val="5F822140"/>
    <w:rsid w:val="5F824661"/>
    <w:rsid w:val="5F8D4FB7"/>
    <w:rsid w:val="5F8D65FE"/>
    <w:rsid w:val="5F922AF6"/>
    <w:rsid w:val="5F9347C8"/>
    <w:rsid w:val="5F97635E"/>
    <w:rsid w:val="5F9A5E4E"/>
    <w:rsid w:val="5F9B75BB"/>
    <w:rsid w:val="5F9C5723"/>
    <w:rsid w:val="5F9E149B"/>
    <w:rsid w:val="5F9F6DCB"/>
    <w:rsid w:val="5FA024CF"/>
    <w:rsid w:val="5FA16A85"/>
    <w:rsid w:val="5FA32F8B"/>
    <w:rsid w:val="5FA42829"/>
    <w:rsid w:val="5FA5594F"/>
    <w:rsid w:val="5FA568C3"/>
    <w:rsid w:val="5FAA1A71"/>
    <w:rsid w:val="5FAA1D8F"/>
    <w:rsid w:val="5FAA3C02"/>
    <w:rsid w:val="5FAD16DE"/>
    <w:rsid w:val="5FAF15CD"/>
    <w:rsid w:val="5FB011CE"/>
    <w:rsid w:val="5FB02F22"/>
    <w:rsid w:val="5FB213EA"/>
    <w:rsid w:val="5FB27109"/>
    <w:rsid w:val="5FB37142"/>
    <w:rsid w:val="5FB418A3"/>
    <w:rsid w:val="5FB52091"/>
    <w:rsid w:val="5FB8266D"/>
    <w:rsid w:val="5FBA3DFB"/>
    <w:rsid w:val="5FBB641C"/>
    <w:rsid w:val="5FBB70D8"/>
    <w:rsid w:val="5FBE38EB"/>
    <w:rsid w:val="5FBE6BF9"/>
    <w:rsid w:val="5FBF2C92"/>
    <w:rsid w:val="5FC25DE6"/>
    <w:rsid w:val="5FC353A5"/>
    <w:rsid w:val="5FC501E9"/>
    <w:rsid w:val="5FC66C44"/>
    <w:rsid w:val="5FCB6008"/>
    <w:rsid w:val="5FCD3B2E"/>
    <w:rsid w:val="5FCD6066"/>
    <w:rsid w:val="5FD05F75"/>
    <w:rsid w:val="5FD11647"/>
    <w:rsid w:val="5FD96977"/>
    <w:rsid w:val="5FDC17EB"/>
    <w:rsid w:val="5FDD1253"/>
    <w:rsid w:val="5FDE3F8D"/>
    <w:rsid w:val="5FE01AB3"/>
    <w:rsid w:val="5FE13A7D"/>
    <w:rsid w:val="5FEA4962"/>
    <w:rsid w:val="5FEC289C"/>
    <w:rsid w:val="5FF13CC0"/>
    <w:rsid w:val="5FF27A39"/>
    <w:rsid w:val="5FF437B1"/>
    <w:rsid w:val="5FF63F7F"/>
    <w:rsid w:val="5FF706C7"/>
    <w:rsid w:val="5FFB59B1"/>
    <w:rsid w:val="5FFC2665"/>
    <w:rsid w:val="5FFE462F"/>
    <w:rsid w:val="5FFE6593"/>
    <w:rsid w:val="5FFF5CB2"/>
    <w:rsid w:val="5FFF6146"/>
    <w:rsid w:val="600059F4"/>
    <w:rsid w:val="60017C7C"/>
    <w:rsid w:val="600357A2"/>
    <w:rsid w:val="60067040"/>
    <w:rsid w:val="60086481"/>
    <w:rsid w:val="60097068"/>
    <w:rsid w:val="600A4D82"/>
    <w:rsid w:val="600D2A18"/>
    <w:rsid w:val="601123D5"/>
    <w:rsid w:val="6014175D"/>
    <w:rsid w:val="60177EB2"/>
    <w:rsid w:val="60185574"/>
    <w:rsid w:val="60193217"/>
    <w:rsid w:val="601B276F"/>
    <w:rsid w:val="601E082E"/>
    <w:rsid w:val="60207D91"/>
    <w:rsid w:val="60213E7A"/>
    <w:rsid w:val="60234709"/>
    <w:rsid w:val="6023477A"/>
    <w:rsid w:val="602437A7"/>
    <w:rsid w:val="6025396A"/>
    <w:rsid w:val="60255261"/>
    <w:rsid w:val="602776E2"/>
    <w:rsid w:val="602A2D2E"/>
    <w:rsid w:val="602C68A1"/>
    <w:rsid w:val="602D1E31"/>
    <w:rsid w:val="602E62B4"/>
    <w:rsid w:val="602F2A3B"/>
    <w:rsid w:val="6032709C"/>
    <w:rsid w:val="603358AD"/>
    <w:rsid w:val="60365498"/>
    <w:rsid w:val="60367925"/>
    <w:rsid w:val="603911C4"/>
    <w:rsid w:val="603C3DEB"/>
    <w:rsid w:val="604007A4"/>
    <w:rsid w:val="60402552"/>
    <w:rsid w:val="604277FE"/>
    <w:rsid w:val="60432529"/>
    <w:rsid w:val="60433DF0"/>
    <w:rsid w:val="60437128"/>
    <w:rsid w:val="60455326"/>
    <w:rsid w:val="60455DBA"/>
    <w:rsid w:val="604638E0"/>
    <w:rsid w:val="604751DF"/>
    <w:rsid w:val="60494F5F"/>
    <w:rsid w:val="604A1623"/>
    <w:rsid w:val="604B787F"/>
    <w:rsid w:val="60501FDB"/>
    <w:rsid w:val="6052563D"/>
    <w:rsid w:val="60536017"/>
    <w:rsid w:val="605424A1"/>
    <w:rsid w:val="60553502"/>
    <w:rsid w:val="60561D75"/>
    <w:rsid w:val="60572553"/>
    <w:rsid w:val="6057789C"/>
    <w:rsid w:val="60582F1E"/>
    <w:rsid w:val="60597AB8"/>
    <w:rsid w:val="605B3830"/>
    <w:rsid w:val="605C62BD"/>
    <w:rsid w:val="605D3104"/>
    <w:rsid w:val="605E0C2A"/>
    <w:rsid w:val="60602BF4"/>
    <w:rsid w:val="6061537A"/>
    <w:rsid w:val="60624BBE"/>
    <w:rsid w:val="6062696C"/>
    <w:rsid w:val="6063655F"/>
    <w:rsid w:val="60651FB9"/>
    <w:rsid w:val="6065645C"/>
    <w:rsid w:val="60673F83"/>
    <w:rsid w:val="60675D31"/>
    <w:rsid w:val="60695812"/>
    <w:rsid w:val="606A3A73"/>
    <w:rsid w:val="606D70BF"/>
    <w:rsid w:val="606D7301"/>
    <w:rsid w:val="606F2B03"/>
    <w:rsid w:val="60716BAF"/>
    <w:rsid w:val="60730B79"/>
    <w:rsid w:val="60736A8B"/>
    <w:rsid w:val="607A2D9D"/>
    <w:rsid w:val="607C05A9"/>
    <w:rsid w:val="607C109C"/>
    <w:rsid w:val="607C7302"/>
    <w:rsid w:val="607C7DEE"/>
    <w:rsid w:val="607E12CC"/>
    <w:rsid w:val="607E2AAB"/>
    <w:rsid w:val="60805044"/>
    <w:rsid w:val="608763D3"/>
    <w:rsid w:val="608A1A1F"/>
    <w:rsid w:val="608B78E2"/>
    <w:rsid w:val="608E59B3"/>
    <w:rsid w:val="60912DAE"/>
    <w:rsid w:val="609400D2"/>
    <w:rsid w:val="609805E0"/>
    <w:rsid w:val="609D7126"/>
    <w:rsid w:val="609E54CA"/>
    <w:rsid w:val="60A033CC"/>
    <w:rsid w:val="60A70313"/>
    <w:rsid w:val="60AB2A40"/>
    <w:rsid w:val="60AC5E39"/>
    <w:rsid w:val="60AF38A0"/>
    <w:rsid w:val="60B11755"/>
    <w:rsid w:val="60B3541A"/>
    <w:rsid w:val="60B87BDB"/>
    <w:rsid w:val="60B90C1E"/>
    <w:rsid w:val="60BD0047"/>
    <w:rsid w:val="60BF1FD9"/>
    <w:rsid w:val="60C0559A"/>
    <w:rsid w:val="60C24FF4"/>
    <w:rsid w:val="60C3313B"/>
    <w:rsid w:val="60C36180"/>
    <w:rsid w:val="60C41052"/>
    <w:rsid w:val="60C413D5"/>
    <w:rsid w:val="60C457EE"/>
    <w:rsid w:val="60C70EC5"/>
    <w:rsid w:val="60CA4511"/>
    <w:rsid w:val="60CC5A1D"/>
    <w:rsid w:val="60CD5C34"/>
    <w:rsid w:val="60D10BE7"/>
    <w:rsid w:val="60D170AA"/>
    <w:rsid w:val="60D85EE9"/>
    <w:rsid w:val="60D877B0"/>
    <w:rsid w:val="60DA3EEB"/>
    <w:rsid w:val="60DC7660"/>
    <w:rsid w:val="60DD5569"/>
    <w:rsid w:val="60DE5A49"/>
    <w:rsid w:val="60E125F2"/>
    <w:rsid w:val="60E12861"/>
    <w:rsid w:val="60E21846"/>
    <w:rsid w:val="60E5284D"/>
    <w:rsid w:val="60E94998"/>
    <w:rsid w:val="60EB22D6"/>
    <w:rsid w:val="60EB7EEB"/>
    <w:rsid w:val="60F11A9E"/>
    <w:rsid w:val="60F35816"/>
    <w:rsid w:val="60F63558"/>
    <w:rsid w:val="60F66235"/>
    <w:rsid w:val="60F72DDD"/>
    <w:rsid w:val="60F96A50"/>
    <w:rsid w:val="60FA4DF7"/>
    <w:rsid w:val="60FB047A"/>
    <w:rsid w:val="60FB46CB"/>
    <w:rsid w:val="60FD48E7"/>
    <w:rsid w:val="60FF240D"/>
    <w:rsid w:val="60FF41BB"/>
    <w:rsid w:val="60FF589D"/>
    <w:rsid w:val="60FF62DF"/>
    <w:rsid w:val="61051185"/>
    <w:rsid w:val="61073840"/>
    <w:rsid w:val="61077826"/>
    <w:rsid w:val="61082472"/>
    <w:rsid w:val="61082D22"/>
    <w:rsid w:val="6109503A"/>
    <w:rsid w:val="610D3483"/>
    <w:rsid w:val="610E2650"/>
    <w:rsid w:val="610F0176"/>
    <w:rsid w:val="610F72CE"/>
    <w:rsid w:val="61137C66"/>
    <w:rsid w:val="611759A9"/>
    <w:rsid w:val="61176028"/>
    <w:rsid w:val="6118702B"/>
    <w:rsid w:val="611B344F"/>
    <w:rsid w:val="611D0AE5"/>
    <w:rsid w:val="611D1A4C"/>
    <w:rsid w:val="611D7812"/>
    <w:rsid w:val="611F485D"/>
    <w:rsid w:val="61237025"/>
    <w:rsid w:val="612805C8"/>
    <w:rsid w:val="612956DC"/>
    <w:rsid w:val="612A5C2C"/>
    <w:rsid w:val="612B4FB0"/>
    <w:rsid w:val="61330309"/>
    <w:rsid w:val="613320B7"/>
    <w:rsid w:val="6139765C"/>
    <w:rsid w:val="613A1697"/>
    <w:rsid w:val="613A6C1A"/>
    <w:rsid w:val="613D1187"/>
    <w:rsid w:val="613D458E"/>
    <w:rsid w:val="613D4CE3"/>
    <w:rsid w:val="613E7387"/>
    <w:rsid w:val="613F5773"/>
    <w:rsid w:val="61404326"/>
    <w:rsid w:val="6142679E"/>
    <w:rsid w:val="61442516"/>
    <w:rsid w:val="6145071A"/>
    <w:rsid w:val="61450C58"/>
    <w:rsid w:val="61454C97"/>
    <w:rsid w:val="61461DEA"/>
    <w:rsid w:val="614721A4"/>
    <w:rsid w:val="614918DA"/>
    <w:rsid w:val="614A3BE6"/>
    <w:rsid w:val="614D5CFE"/>
    <w:rsid w:val="614F7FD9"/>
    <w:rsid w:val="61534507"/>
    <w:rsid w:val="615362B5"/>
    <w:rsid w:val="615563C5"/>
    <w:rsid w:val="615564D1"/>
    <w:rsid w:val="61574D01"/>
    <w:rsid w:val="615844FD"/>
    <w:rsid w:val="616127D0"/>
    <w:rsid w:val="61616C24"/>
    <w:rsid w:val="61647572"/>
    <w:rsid w:val="6168031C"/>
    <w:rsid w:val="61680945"/>
    <w:rsid w:val="61686204"/>
    <w:rsid w:val="616E7593"/>
    <w:rsid w:val="616F2610"/>
    <w:rsid w:val="61700C15"/>
    <w:rsid w:val="61706E67"/>
    <w:rsid w:val="61707DCC"/>
    <w:rsid w:val="617410DA"/>
    <w:rsid w:val="617478C1"/>
    <w:rsid w:val="61750921"/>
    <w:rsid w:val="617A013B"/>
    <w:rsid w:val="617A1988"/>
    <w:rsid w:val="617A5F38"/>
    <w:rsid w:val="617B4ECB"/>
    <w:rsid w:val="617D17A4"/>
    <w:rsid w:val="617F52FC"/>
    <w:rsid w:val="6180184A"/>
    <w:rsid w:val="618172C6"/>
    <w:rsid w:val="6183303E"/>
    <w:rsid w:val="61852A65"/>
    <w:rsid w:val="618943CD"/>
    <w:rsid w:val="618D4C15"/>
    <w:rsid w:val="618D7A19"/>
    <w:rsid w:val="618E553F"/>
    <w:rsid w:val="619052BD"/>
    <w:rsid w:val="6190699E"/>
    <w:rsid w:val="619141A5"/>
    <w:rsid w:val="61926DDD"/>
    <w:rsid w:val="61952D71"/>
    <w:rsid w:val="61973491"/>
    <w:rsid w:val="6198016C"/>
    <w:rsid w:val="61992DEB"/>
    <w:rsid w:val="619A06D0"/>
    <w:rsid w:val="619C1A0A"/>
    <w:rsid w:val="619D39D4"/>
    <w:rsid w:val="61A06B38"/>
    <w:rsid w:val="61A11716"/>
    <w:rsid w:val="61A56791"/>
    <w:rsid w:val="61A81485"/>
    <w:rsid w:val="61AE798F"/>
    <w:rsid w:val="61AF3E33"/>
    <w:rsid w:val="61B24A63"/>
    <w:rsid w:val="61B2576D"/>
    <w:rsid w:val="61B52ACC"/>
    <w:rsid w:val="61B7412F"/>
    <w:rsid w:val="61B9002F"/>
    <w:rsid w:val="61B9439B"/>
    <w:rsid w:val="61BA6334"/>
    <w:rsid w:val="61BB4DBF"/>
    <w:rsid w:val="61BC3E5A"/>
    <w:rsid w:val="61BE4076"/>
    <w:rsid w:val="61BF1B9C"/>
    <w:rsid w:val="61CB0541"/>
    <w:rsid w:val="61CC2D3D"/>
    <w:rsid w:val="61CE5B83"/>
    <w:rsid w:val="61D00C01"/>
    <w:rsid w:val="61D73548"/>
    <w:rsid w:val="61D83CF5"/>
    <w:rsid w:val="61DC4923"/>
    <w:rsid w:val="61DC59DB"/>
    <w:rsid w:val="61DC72C6"/>
    <w:rsid w:val="61DC7777"/>
    <w:rsid w:val="61DD17AD"/>
    <w:rsid w:val="61E46B07"/>
    <w:rsid w:val="61E67129"/>
    <w:rsid w:val="61E735F4"/>
    <w:rsid w:val="61E82692"/>
    <w:rsid w:val="61E909C7"/>
    <w:rsid w:val="61EA3E1A"/>
    <w:rsid w:val="61EA6C19"/>
    <w:rsid w:val="61EC5B50"/>
    <w:rsid w:val="61EC662C"/>
    <w:rsid w:val="61ED6709"/>
    <w:rsid w:val="61F74CB9"/>
    <w:rsid w:val="61F91826"/>
    <w:rsid w:val="61F93300"/>
    <w:rsid w:val="61F950AE"/>
    <w:rsid w:val="61FA48B8"/>
    <w:rsid w:val="61FC06FB"/>
    <w:rsid w:val="62001A0A"/>
    <w:rsid w:val="62001A55"/>
    <w:rsid w:val="6200433A"/>
    <w:rsid w:val="620121B5"/>
    <w:rsid w:val="62012AEF"/>
    <w:rsid w:val="620268B2"/>
    <w:rsid w:val="620403F9"/>
    <w:rsid w:val="62045D03"/>
    <w:rsid w:val="62050071"/>
    <w:rsid w:val="620579B7"/>
    <w:rsid w:val="62057D23"/>
    <w:rsid w:val="62092E18"/>
    <w:rsid w:val="620A72BB"/>
    <w:rsid w:val="620C1791"/>
    <w:rsid w:val="620D0B5A"/>
    <w:rsid w:val="620F60E1"/>
    <w:rsid w:val="6211064A"/>
    <w:rsid w:val="62143C96"/>
    <w:rsid w:val="621517BC"/>
    <w:rsid w:val="6215513A"/>
    <w:rsid w:val="62165C60"/>
    <w:rsid w:val="62195750"/>
    <w:rsid w:val="621B3277"/>
    <w:rsid w:val="621C4335"/>
    <w:rsid w:val="6220088D"/>
    <w:rsid w:val="62214B27"/>
    <w:rsid w:val="62257C51"/>
    <w:rsid w:val="6229523A"/>
    <w:rsid w:val="622B1281"/>
    <w:rsid w:val="622E0283"/>
    <w:rsid w:val="622F05D2"/>
    <w:rsid w:val="622F1A90"/>
    <w:rsid w:val="622F474D"/>
    <w:rsid w:val="622F7EFB"/>
    <w:rsid w:val="623005FF"/>
    <w:rsid w:val="623052EC"/>
    <w:rsid w:val="62307304"/>
    <w:rsid w:val="62315960"/>
    <w:rsid w:val="62375BD7"/>
    <w:rsid w:val="62377985"/>
    <w:rsid w:val="62397BA1"/>
    <w:rsid w:val="623A1223"/>
    <w:rsid w:val="623E0D13"/>
    <w:rsid w:val="623E6F65"/>
    <w:rsid w:val="623F023C"/>
    <w:rsid w:val="623F0814"/>
    <w:rsid w:val="62404A8B"/>
    <w:rsid w:val="62426A55"/>
    <w:rsid w:val="62435D23"/>
    <w:rsid w:val="62436329"/>
    <w:rsid w:val="6244090C"/>
    <w:rsid w:val="6245462F"/>
    <w:rsid w:val="62455EA3"/>
    <w:rsid w:val="62456545"/>
    <w:rsid w:val="62465162"/>
    <w:rsid w:val="62474871"/>
    <w:rsid w:val="62475BA8"/>
    <w:rsid w:val="624B0BFC"/>
    <w:rsid w:val="624D0F56"/>
    <w:rsid w:val="624F2F20"/>
    <w:rsid w:val="624F3EEF"/>
    <w:rsid w:val="625048C9"/>
    <w:rsid w:val="625152A3"/>
    <w:rsid w:val="62516C98"/>
    <w:rsid w:val="6252656D"/>
    <w:rsid w:val="62570027"/>
    <w:rsid w:val="625C563D"/>
    <w:rsid w:val="625E7607"/>
    <w:rsid w:val="62600C89"/>
    <w:rsid w:val="62604218"/>
    <w:rsid w:val="62614A02"/>
    <w:rsid w:val="62621930"/>
    <w:rsid w:val="6263306E"/>
    <w:rsid w:val="62634C1E"/>
    <w:rsid w:val="62650996"/>
    <w:rsid w:val="62652744"/>
    <w:rsid w:val="626562A0"/>
    <w:rsid w:val="62662018"/>
    <w:rsid w:val="626764BC"/>
    <w:rsid w:val="62685D90"/>
    <w:rsid w:val="626A119A"/>
    <w:rsid w:val="626A5FAC"/>
    <w:rsid w:val="626C3AD2"/>
    <w:rsid w:val="626C5880"/>
    <w:rsid w:val="626E59EE"/>
    <w:rsid w:val="626E6459"/>
    <w:rsid w:val="626F5370"/>
    <w:rsid w:val="62740BD9"/>
    <w:rsid w:val="627806C9"/>
    <w:rsid w:val="627831CA"/>
    <w:rsid w:val="62783A56"/>
    <w:rsid w:val="627925D2"/>
    <w:rsid w:val="6282127F"/>
    <w:rsid w:val="628410AE"/>
    <w:rsid w:val="6285345E"/>
    <w:rsid w:val="62856942"/>
    <w:rsid w:val="62865B5C"/>
    <w:rsid w:val="62874BFA"/>
    <w:rsid w:val="62894684"/>
    <w:rsid w:val="628A16C5"/>
    <w:rsid w:val="628A3F58"/>
    <w:rsid w:val="628E0868"/>
    <w:rsid w:val="6296008D"/>
    <w:rsid w:val="62960B4F"/>
    <w:rsid w:val="629628FD"/>
    <w:rsid w:val="62975D9E"/>
    <w:rsid w:val="629848C7"/>
    <w:rsid w:val="629B2670"/>
    <w:rsid w:val="629B6E10"/>
    <w:rsid w:val="629E30C1"/>
    <w:rsid w:val="629E3E4A"/>
    <w:rsid w:val="629F51E1"/>
    <w:rsid w:val="62A241F2"/>
    <w:rsid w:val="62A25608"/>
    <w:rsid w:val="62A3326C"/>
    <w:rsid w:val="62A50D92"/>
    <w:rsid w:val="62A53169"/>
    <w:rsid w:val="62A74B0A"/>
    <w:rsid w:val="62A768B8"/>
    <w:rsid w:val="62AA63A9"/>
    <w:rsid w:val="62AD7C47"/>
    <w:rsid w:val="62B15989"/>
    <w:rsid w:val="62B33CBB"/>
    <w:rsid w:val="62B45479"/>
    <w:rsid w:val="62B80119"/>
    <w:rsid w:val="62B84568"/>
    <w:rsid w:val="62BA40A9"/>
    <w:rsid w:val="62BA7FE7"/>
    <w:rsid w:val="62BC4273"/>
    <w:rsid w:val="62C06F29"/>
    <w:rsid w:val="62C0797A"/>
    <w:rsid w:val="62C14290"/>
    <w:rsid w:val="62C76F5B"/>
    <w:rsid w:val="62C92CD3"/>
    <w:rsid w:val="62CC27C3"/>
    <w:rsid w:val="62CE02E9"/>
    <w:rsid w:val="62CE460F"/>
    <w:rsid w:val="62CF134B"/>
    <w:rsid w:val="62D0444C"/>
    <w:rsid w:val="62D358FF"/>
    <w:rsid w:val="62D701C0"/>
    <w:rsid w:val="62D75D0C"/>
    <w:rsid w:val="62D84CC4"/>
    <w:rsid w:val="62D87A0F"/>
    <w:rsid w:val="62D96C8E"/>
    <w:rsid w:val="62DD41FF"/>
    <w:rsid w:val="62DE30E7"/>
    <w:rsid w:val="62DF2A10"/>
    <w:rsid w:val="62E17A7F"/>
    <w:rsid w:val="62E278F0"/>
    <w:rsid w:val="62E56E6D"/>
    <w:rsid w:val="62E73159"/>
    <w:rsid w:val="62E82926"/>
    <w:rsid w:val="62EC623E"/>
    <w:rsid w:val="62EE098B"/>
    <w:rsid w:val="62EE428B"/>
    <w:rsid w:val="62EF025F"/>
    <w:rsid w:val="62EF2AFE"/>
    <w:rsid w:val="62F0465E"/>
    <w:rsid w:val="62F37D50"/>
    <w:rsid w:val="62F53AC8"/>
    <w:rsid w:val="62FA7330"/>
    <w:rsid w:val="62FB2C69"/>
    <w:rsid w:val="62FF4946"/>
    <w:rsid w:val="63051B4E"/>
    <w:rsid w:val="630E4B89"/>
    <w:rsid w:val="631321A0"/>
    <w:rsid w:val="631548AB"/>
    <w:rsid w:val="63181564"/>
    <w:rsid w:val="631A1780"/>
    <w:rsid w:val="631A52DC"/>
    <w:rsid w:val="631B52B7"/>
    <w:rsid w:val="631F6D97"/>
    <w:rsid w:val="6320666B"/>
    <w:rsid w:val="632131B2"/>
    <w:rsid w:val="6323782A"/>
    <w:rsid w:val="63270E88"/>
    <w:rsid w:val="632779F9"/>
    <w:rsid w:val="63285608"/>
    <w:rsid w:val="63293771"/>
    <w:rsid w:val="6329551F"/>
    <w:rsid w:val="632C14B3"/>
    <w:rsid w:val="63304ADA"/>
    <w:rsid w:val="6332277A"/>
    <w:rsid w:val="63325155"/>
    <w:rsid w:val="63332842"/>
    <w:rsid w:val="633873AA"/>
    <w:rsid w:val="633914DA"/>
    <w:rsid w:val="633D721D"/>
    <w:rsid w:val="633F11E7"/>
    <w:rsid w:val="633F4D43"/>
    <w:rsid w:val="63412ACF"/>
    <w:rsid w:val="63416A1A"/>
    <w:rsid w:val="63462575"/>
    <w:rsid w:val="6349434C"/>
    <w:rsid w:val="63495BC1"/>
    <w:rsid w:val="634A05BB"/>
    <w:rsid w:val="634A1B55"/>
    <w:rsid w:val="634D5929"/>
    <w:rsid w:val="634E4F86"/>
    <w:rsid w:val="634F07DE"/>
    <w:rsid w:val="634F4C2E"/>
    <w:rsid w:val="63526223"/>
    <w:rsid w:val="6356208C"/>
    <w:rsid w:val="6359301B"/>
    <w:rsid w:val="635A0C3C"/>
    <w:rsid w:val="635B58F5"/>
    <w:rsid w:val="635B76A3"/>
    <w:rsid w:val="635F3EBF"/>
    <w:rsid w:val="63604CB9"/>
    <w:rsid w:val="63624ED5"/>
    <w:rsid w:val="636429FB"/>
    <w:rsid w:val="63651857"/>
    <w:rsid w:val="636B1FDC"/>
    <w:rsid w:val="636B5B38"/>
    <w:rsid w:val="636E5628"/>
    <w:rsid w:val="636F2AD3"/>
    <w:rsid w:val="637075F2"/>
    <w:rsid w:val="63730E90"/>
    <w:rsid w:val="63750765"/>
    <w:rsid w:val="6377272F"/>
    <w:rsid w:val="63775D30"/>
    <w:rsid w:val="637B0E80"/>
    <w:rsid w:val="637F15E3"/>
    <w:rsid w:val="637F5749"/>
    <w:rsid w:val="637F7835"/>
    <w:rsid w:val="63803269"/>
    <w:rsid w:val="63812FD3"/>
    <w:rsid w:val="6381535B"/>
    <w:rsid w:val="6384309D"/>
    <w:rsid w:val="63844E4C"/>
    <w:rsid w:val="638A3B44"/>
    <w:rsid w:val="638A4AE5"/>
    <w:rsid w:val="638B442C"/>
    <w:rsid w:val="63911317"/>
    <w:rsid w:val="63921CC6"/>
    <w:rsid w:val="6393508F"/>
    <w:rsid w:val="63947A35"/>
    <w:rsid w:val="63974B7F"/>
    <w:rsid w:val="63984453"/>
    <w:rsid w:val="639C0FD0"/>
    <w:rsid w:val="639C1EBC"/>
    <w:rsid w:val="639E415F"/>
    <w:rsid w:val="639F1C85"/>
    <w:rsid w:val="639F57E1"/>
    <w:rsid w:val="63A13A48"/>
    <w:rsid w:val="63A16A99"/>
    <w:rsid w:val="63A23524"/>
    <w:rsid w:val="63A25979"/>
    <w:rsid w:val="63A320F7"/>
    <w:rsid w:val="63A357BA"/>
    <w:rsid w:val="63A40430"/>
    <w:rsid w:val="63A4104A"/>
    <w:rsid w:val="63A454EE"/>
    <w:rsid w:val="63A469EA"/>
    <w:rsid w:val="63A92B04"/>
    <w:rsid w:val="63A948B2"/>
    <w:rsid w:val="63A97FAA"/>
    <w:rsid w:val="63AC2E92"/>
    <w:rsid w:val="63AD43A2"/>
    <w:rsid w:val="63B15515"/>
    <w:rsid w:val="63B61C48"/>
    <w:rsid w:val="63B958B4"/>
    <w:rsid w:val="63B95A6A"/>
    <w:rsid w:val="63BA45E6"/>
    <w:rsid w:val="63BA6ABF"/>
    <w:rsid w:val="63BD5B38"/>
    <w:rsid w:val="63BF7C32"/>
    <w:rsid w:val="63C416EC"/>
    <w:rsid w:val="63C67212"/>
    <w:rsid w:val="63C90AB0"/>
    <w:rsid w:val="63C9211D"/>
    <w:rsid w:val="63CA720B"/>
    <w:rsid w:val="63CB1C7B"/>
    <w:rsid w:val="63CB4828"/>
    <w:rsid w:val="63CD1EF9"/>
    <w:rsid w:val="63CE3564"/>
    <w:rsid w:val="63CE4319"/>
    <w:rsid w:val="63D17CE2"/>
    <w:rsid w:val="63D3192F"/>
    <w:rsid w:val="63D7141F"/>
    <w:rsid w:val="63D731CD"/>
    <w:rsid w:val="63D80CF3"/>
    <w:rsid w:val="63DB0061"/>
    <w:rsid w:val="63DD0CDE"/>
    <w:rsid w:val="63DD630A"/>
    <w:rsid w:val="63DE3FF5"/>
    <w:rsid w:val="63E2236B"/>
    <w:rsid w:val="63E63410"/>
    <w:rsid w:val="63E853DA"/>
    <w:rsid w:val="63E90FDE"/>
    <w:rsid w:val="63EE432F"/>
    <w:rsid w:val="63EF0FB4"/>
    <w:rsid w:val="63EF49BB"/>
    <w:rsid w:val="63F0428F"/>
    <w:rsid w:val="63F27EFF"/>
    <w:rsid w:val="63F309AE"/>
    <w:rsid w:val="63F313D6"/>
    <w:rsid w:val="63F41FD1"/>
    <w:rsid w:val="63F4655B"/>
    <w:rsid w:val="63F57AF7"/>
    <w:rsid w:val="63F6668D"/>
    <w:rsid w:val="63FC0E86"/>
    <w:rsid w:val="63FC2C34"/>
    <w:rsid w:val="63FD02BC"/>
    <w:rsid w:val="63FE4BFE"/>
    <w:rsid w:val="63FF0976"/>
    <w:rsid w:val="640026DC"/>
    <w:rsid w:val="6401192F"/>
    <w:rsid w:val="6401649C"/>
    <w:rsid w:val="64020817"/>
    <w:rsid w:val="64030466"/>
    <w:rsid w:val="64063AB3"/>
    <w:rsid w:val="640A53ED"/>
    <w:rsid w:val="640B2E77"/>
    <w:rsid w:val="640D3093"/>
    <w:rsid w:val="640D4E41"/>
    <w:rsid w:val="640F6E0B"/>
    <w:rsid w:val="64103F57"/>
    <w:rsid w:val="64112C89"/>
    <w:rsid w:val="64122457"/>
    <w:rsid w:val="641307EF"/>
    <w:rsid w:val="64132724"/>
    <w:rsid w:val="641461CF"/>
    <w:rsid w:val="6418674C"/>
    <w:rsid w:val="641B7FB5"/>
    <w:rsid w:val="641F1048"/>
    <w:rsid w:val="64261175"/>
    <w:rsid w:val="64283A29"/>
    <w:rsid w:val="642D103F"/>
    <w:rsid w:val="642D6052"/>
    <w:rsid w:val="642D671A"/>
    <w:rsid w:val="642D7291"/>
    <w:rsid w:val="642E7A8E"/>
    <w:rsid w:val="643248A8"/>
    <w:rsid w:val="64371EBE"/>
    <w:rsid w:val="6439254A"/>
    <w:rsid w:val="6439450F"/>
    <w:rsid w:val="643B3017"/>
    <w:rsid w:val="643C5726"/>
    <w:rsid w:val="643F0DC9"/>
    <w:rsid w:val="64406FC4"/>
    <w:rsid w:val="64416899"/>
    <w:rsid w:val="64436AB5"/>
    <w:rsid w:val="644545DB"/>
    <w:rsid w:val="64466571"/>
    <w:rsid w:val="644840CB"/>
    <w:rsid w:val="644F0413"/>
    <w:rsid w:val="64524F4A"/>
    <w:rsid w:val="64540922"/>
    <w:rsid w:val="645411FD"/>
    <w:rsid w:val="64542A70"/>
    <w:rsid w:val="64553B1D"/>
    <w:rsid w:val="6458100E"/>
    <w:rsid w:val="645C4122"/>
    <w:rsid w:val="64657E6B"/>
    <w:rsid w:val="64662964"/>
    <w:rsid w:val="6468132B"/>
    <w:rsid w:val="646B7DB9"/>
    <w:rsid w:val="646C7950"/>
    <w:rsid w:val="646D1D84"/>
    <w:rsid w:val="646F46AB"/>
    <w:rsid w:val="646F486F"/>
    <w:rsid w:val="64701E66"/>
    <w:rsid w:val="64705249"/>
    <w:rsid w:val="64713622"/>
    <w:rsid w:val="64754395"/>
    <w:rsid w:val="64760C38"/>
    <w:rsid w:val="647C1FC7"/>
    <w:rsid w:val="64801AB7"/>
    <w:rsid w:val="6484649B"/>
    <w:rsid w:val="648669A1"/>
    <w:rsid w:val="648D1ADE"/>
    <w:rsid w:val="648F0E31"/>
    <w:rsid w:val="648F1CFA"/>
    <w:rsid w:val="648F5856"/>
    <w:rsid w:val="649317EA"/>
    <w:rsid w:val="64942E6C"/>
    <w:rsid w:val="64947310"/>
    <w:rsid w:val="64950FB0"/>
    <w:rsid w:val="64982879"/>
    <w:rsid w:val="649B069F"/>
    <w:rsid w:val="649B41FB"/>
    <w:rsid w:val="649C7F73"/>
    <w:rsid w:val="649D3E7C"/>
    <w:rsid w:val="649D41D8"/>
    <w:rsid w:val="649E018F"/>
    <w:rsid w:val="649E3CEB"/>
    <w:rsid w:val="64A04202"/>
    <w:rsid w:val="64A2188E"/>
    <w:rsid w:val="64A37553"/>
    <w:rsid w:val="64A45F3D"/>
    <w:rsid w:val="64A5151D"/>
    <w:rsid w:val="64A537E1"/>
    <w:rsid w:val="64A55760"/>
    <w:rsid w:val="64A620F1"/>
    <w:rsid w:val="64A70DF2"/>
    <w:rsid w:val="64A7791B"/>
    <w:rsid w:val="64A86918"/>
    <w:rsid w:val="64AA2690"/>
    <w:rsid w:val="64AD3F2E"/>
    <w:rsid w:val="64B4350F"/>
    <w:rsid w:val="64B92B25"/>
    <w:rsid w:val="64BB409E"/>
    <w:rsid w:val="64BB664B"/>
    <w:rsid w:val="64C23E7D"/>
    <w:rsid w:val="64C25C2B"/>
    <w:rsid w:val="64C474F3"/>
    <w:rsid w:val="64C5396E"/>
    <w:rsid w:val="64C5571C"/>
    <w:rsid w:val="64C64FF0"/>
    <w:rsid w:val="64C71494"/>
    <w:rsid w:val="64C9691A"/>
    <w:rsid w:val="64CE15B4"/>
    <w:rsid w:val="64CF0CF2"/>
    <w:rsid w:val="64D441D2"/>
    <w:rsid w:val="64DD334F"/>
    <w:rsid w:val="64E17A55"/>
    <w:rsid w:val="64E35650"/>
    <w:rsid w:val="64E738E4"/>
    <w:rsid w:val="64E831B8"/>
    <w:rsid w:val="64E965CB"/>
    <w:rsid w:val="64E9765C"/>
    <w:rsid w:val="64E97BA7"/>
    <w:rsid w:val="64EA2AB4"/>
    <w:rsid w:val="64EC0EFA"/>
    <w:rsid w:val="64EC2AAE"/>
    <w:rsid w:val="64EE0B10"/>
    <w:rsid w:val="64F26ABA"/>
    <w:rsid w:val="64F8164D"/>
    <w:rsid w:val="64F90F01"/>
    <w:rsid w:val="64F953C5"/>
    <w:rsid w:val="64FD15E9"/>
    <w:rsid w:val="64FD17B8"/>
    <w:rsid w:val="65000502"/>
    <w:rsid w:val="65075D34"/>
    <w:rsid w:val="650D2572"/>
    <w:rsid w:val="650F720C"/>
    <w:rsid w:val="65130235"/>
    <w:rsid w:val="65150451"/>
    <w:rsid w:val="6516562F"/>
    <w:rsid w:val="651D10B4"/>
    <w:rsid w:val="651D2E62"/>
    <w:rsid w:val="65206DF6"/>
    <w:rsid w:val="6522046E"/>
    <w:rsid w:val="652341F0"/>
    <w:rsid w:val="652444D5"/>
    <w:rsid w:val="652561BA"/>
    <w:rsid w:val="65293EFC"/>
    <w:rsid w:val="65294FC1"/>
    <w:rsid w:val="652A5B5F"/>
    <w:rsid w:val="652C1305"/>
    <w:rsid w:val="652C3DF0"/>
    <w:rsid w:val="652C7549"/>
    <w:rsid w:val="652E1513"/>
    <w:rsid w:val="6532453E"/>
    <w:rsid w:val="65336B29"/>
    <w:rsid w:val="653414D1"/>
    <w:rsid w:val="65377372"/>
    <w:rsid w:val="653831CC"/>
    <w:rsid w:val="65393A14"/>
    <w:rsid w:val="653A12A3"/>
    <w:rsid w:val="653E102A"/>
    <w:rsid w:val="653F7497"/>
    <w:rsid w:val="65410C3E"/>
    <w:rsid w:val="65424FBE"/>
    <w:rsid w:val="65442AE4"/>
    <w:rsid w:val="65463E44"/>
    <w:rsid w:val="65465A2A"/>
    <w:rsid w:val="6546685C"/>
    <w:rsid w:val="65497BF4"/>
    <w:rsid w:val="654B3E73"/>
    <w:rsid w:val="65510D5D"/>
    <w:rsid w:val="65554921"/>
    <w:rsid w:val="65605444"/>
    <w:rsid w:val="65622DEA"/>
    <w:rsid w:val="65670581"/>
    <w:rsid w:val="656B2BFC"/>
    <w:rsid w:val="656C43A8"/>
    <w:rsid w:val="656C455D"/>
    <w:rsid w:val="657131AE"/>
    <w:rsid w:val="65720627"/>
    <w:rsid w:val="657673BB"/>
    <w:rsid w:val="65775375"/>
    <w:rsid w:val="657A05EE"/>
    <w:rsid w:val="657A6506"/>
    <w:rsid w:val="657B5DDA"/>
    <w:rsid w:val="657C0C02"/>
    <w:rsid w:val="65870C23"/>
    <w:rsid w:val="658824F9"/>
    <w:rsid w:val="65890C8C"/>
    <w:rsid w:val="658E3BB8"/>
    <w:rsid w:val="658E3D60"/>
    <w:rsid w:val="65940C43"/>
    <w:rsid w:val="65953340"/>
    <w:rsid w:val="65956E9C"/>
    <w:rsid w:val="65960E66"/>
    <w:rsid w:val="6597390A"/>
    <w:rsid w:val="6598361E"/>
    <w:rsid w:val="659A1083"/>
    <w:rsid w:val="659B022A"/>
    <w:rsid w:val="65A12F40"/>
    <w:rsid w:val="65A155DF"/>
    <w:rsid w:val="65A417D5"/>
    <w:rsid w:val="65A74E21"/>
    <w:rsid w:val="65A83F37"/>
    <w:rsid w:val="65A96DEB"/>
    <w:rsid w:val="65AA1CA1"/>
    <w:rsid w:val="65AC5D28"/>
    <w:rsid w:val="65AD65DC"/>
    <w:rsid w:val="65AE61B0"/>
    <w:rsid w:val="65B363D8"/>
    <w:rsid w:val="65B37C6A"/>
    <w:rsid w:val="65B640A4"/>
    <w:rsid w:val="65B65DB5"/>
    <w:rsid w:val="65B86875"/>
    <w:rsid w:val="65BA4ED3"/>
    <w:rsid w:val="65BC08CD"/>
    <w:rsid w:val="65BE060F"/>
    <w:rsid w:val="65BE130E"/>
    <w:rsid w:val="65C3252A"/>
    <w:rsid w:val="65C634F9"/>
    <w:rsid w:val="65C94D98"/>
    <w:rsid w:val="65CB6D62"/>
    <w:rsid w:val="65D04378"/>
    <w:rsid w:val="65D200F0"/>
    <w:rsid w:val="65D336CE"/>
    <w:rsid w:val="65D33E68"/>
    <w:rsid w:val="65D35C16"/>
    <w:rsid w:val="65D6368E"/>
    <w:rsid w:val="65D86017"/>
    <w:rsid w:val="65D976D1"/>
    <w:rsid w:val="65DA0D53"/>
    <w:rsid w:val="65DC5E81"/>
    <w:rsid w:val="65DF6369"/>
    <w:rsid w:val="65E10333"/>
    <w:rsid w:val="65E240AB"/>
    <w:rsid w:val="65E25E59"/>
    <w:rsid w:val="65E362B1"/>
    <w:rsid w:val="65E44404"/>
    <w:rsid w:val="65EA3566"/>
    <w:rsid w:val="65EE0CA2"/>
    <w:rsid w:val="65F0083E"/>
    <w:rsid w:val="65F07FB2"/>
    <w:rsid w:val="65F52031"/>
    <w:rsid w:val="65F65DA4"/>
    <w:rsid w:val="65F90207"/>
    <w:rsid w:val="65FA7647"/>
    <w:rsid w:val="65FA796C"/>
    <w:rsid w:val="65FC33BF"/>
    <w:rsid w:val="65FE0EE5"/>
    <w:rsid w:val="65FE36F1"/>
    <w:rsid w:val="66003776"/>
    <w:rsid w:val="66014531"/>
    <w:rsid w:val="660277C8"/>
    <w:rsid w:val="66061EE0"/>
    <w:rsid w:val="66065FEC"/>
    <w:rsid w:val="66083B12"/>
    <w:rsid w:val="66084BF9"/>
    <w:rsid w:val="6609788A"/>
    <w:rsid w:val="660A5ADC"/>
    <w:rsid w:val="660C46BE"/>
    <w:rsid w:val="660D1128"/>
    <w:rsid w:val="66100C18"/>
    <w:rsid w:val="66106E6A"/>
    <w:rsid w:val="6611613F"/>
    <w:rsid w:val="66140709"/>
    <w:rsid w:val="66171D64"/>
    <w:rsid w:val="6618187B"/>
    <w:rsid w:val="66183441"/>
    <w:rsid w:val="661A0861"/>
    <w:rsid w:val="661A1A97"/>
    <w:rsid w:val="661C136B"/>
    <w:rsid w:val="661D3049"/>
    <w:rsid w:val="661E1587"/>
    <w:rsid w:val="661E50E3"/>
    <w:rsid w:val="661F21B5"/>
    <w:rsid w:val="662054DA"/>
    <w:rsid w:val="66236B9E"/>
    <w:rsid w:val="662411B4"/>
    <w:rsid w:val="66254723"/>
    <w:rsid w:val="662A7F2C"/>
    <w:rsid w:val="662B15AE"/>
    <w:rsid w:val="662E74E5"/>
    <w:rsid w:val="66320049"/>
    <w:rsid w:val="66326BB9"/>
    <w:rsid w:val="66327BF7"/>
    <w:rsid w:val="663761A5"/>
    <w:rsid w:val="66383CCB"/>
    <w:rsid w:val="66393956"/>
    <w:rsid w:val="663D12E2"/>
    <w:rsid w:val="663E0A2F"/>
    <w:rsid w:val="663E0BF4"/>
    <w:rsid w:val="6644119A"/>
    <w:rsid w:val="66456B14"/>
    <w:rsid w:val="66481F61"/>
    <w:rsid w:val="66482F24"/>
    <w:rsid w:val="66494CB0"/>
    <w:rsid w:val="66495ED8"/>
    <w:rsid w:val="664A2570"/>
    <w:rsid w:val="664A412A"/>
    <w:rsid w:val="664B7760"/>
    <w:rsid w:val="665060F7"/>
    <w:rsid w:val="6651700F"/>
    <w:rsid w:val="66527633"/>
    <w:rsid w:val="66546D57"/>
    <w:rsid w:val="665515F9"/>
    <w:rsid w:val="6656075B"/>
    <w:rsid w:val="665723A3"/>
    <w:rsid w:val="66573403"/>
    <w:rsid w:val="66582EDD"/>
    <w:rsid w:val="6659611C"/>
    <w:rsid w:val="665A5DC5"/>
    <w:rsid w:val="665B5ADC"/>
    <w:rsid w:val="665E1984"/>
    <w:rsid w:val="66662DBC"/>
    <w:rsid w:val="66664CDC"/>
    <w:rsid w:val="666B23BE"/>
    <w:rsid w:val="666E2AF9"/>
    <w:rsid w:val="66703465"/>
    <w:rsid w:val="667271DD"/>
    <w:rsid w:val="6673503F"/>
    <w:rsid w:val="6673696B"/>
    <w:rsid w:val="66747DFB"/>
    <w:rsid w:val="6677281C"/>
    <w:rsid w:val="667747F4"/>
    <w:rsid w:val="667967BE"/>
    <w:rsid w:val="667B2536"/>
    <w:rsid w:val="667C1E0A"/>
    <w:rsid w:val="667E5B82"/>
    <w:rsid w:val="66805D9E"/>
    <w:rsid w:val="66807B4C"/>
    <w:rsid w:val="66822AB6"/>
    <w:rsid w:val="66833198"/>
    <w:rsid w:val="6683763C"/>
    <w:rsid w:val="66841A93"/>
    <w:rsid w:val="66854D92"/>
    <w:rsid w:val="66862C89"/>
    <w:rsid w:val="66886A01"/>
    <w:rsid w:val="668A2779"/>
    <w:rsid w:val="668C4743"/>
    <w:rsid w:val="668D04BB"/>
    <w:rsid w:val="66911D59"/>
    <w:rsid w:val="66927307"/>
    <w:rsid w:val="66961D05"/>
    <w:rsid w:val="66992C53"/>
    <w:rsid w:val="669D5738"/>
    <w:rsid w:val="669E6224"/>
    <w:rsid w:val="66A3383B"/>
    <w:rsid w:val="66A51361"/>
    <w:rsid w:val="66A575B3"/>
    <w:rsid w:val="66AC7D60"/>
    <w:rsid w:val="66AD46B9"/>
    <w:rsid w:val="66B05D23"/>
    <w:rsid w:val="66B55482"/>
    <w:rsid w:val="66BB0F04"/>
    <w:rsid w:val="66BB5028"/>
    <w:rsid w:val="66BC2644"/>
    <w:rsid w:val="66BC7DEC"/>
    <w:rsid w:val="66BE0674"/>
    <w:rsid w:val="66BE5D9F"/>
    <w:rsid w:val="66C00AD1"/>
    <w:rsid w:val="66C11F13"/>
    <w:rsid w:val="66C82850"/>
    <w:rsid w:val="66C93DB8"/>
    <w:rsid w:val="66CC1B88"/>
    <w:rsid w:val="66CC2D91"/>
    <w:rsid w:val="66CD08B8"/>
    <w:rsid w:val="66CD2666"/>
    <w:rsid w:val="66CD4D5B"/>
    <w:rsid w:val="66CF63DE"/>
    <w:rsid w:val="66D01339"/>
    <w:rsid w:val="66D103A8"/>
    <w:rsid w:val="66D32372"/>
    <w:rsid w:val="66D430D9"/>
    <w:rsid w:val="66D81AB8"/>
    <w:rsid w:val="66DE2AC5"/>
    <w:rsid w:val="66E10C4D"/>
    <w:rsid w:val="66E82CEE"/>
    <w:rsid w:val="66E8749F"/>
    <w:rsid w:val="66EC3434"/>
    <w:rsid w:val="66ED75EC"/>
    <w:rsid w:val="66F366C0"/>
    <w:rsid w:val="66F66060"/>
    <w:rsid w:val="66F67E0E"/>
    <w:rsid w:val="66F9203B"/>
    <w:rsid w:val="66F928BE"/>
    <w:rsid w:val="66F95B50"/>
    <w:rsid w:val="66FA38BA"/>
    <w:rsid w:val="66FD119D"/>
    <w:rsid w:val="66FD73EF"/>
    <w:rsid w:val="66FE4F15"/>
    <w:rsid w:val="670342D9"/>
    <w:rsid w:val="67047645"/>
    <w:rsid w:val="670562A3"/>
    <w:rsid w:val="6707154A"/>
    <w:rsid w:val="6707540A"/>
    <w:rsid w:val="67095D94"/>
    <w:rsid w:val="670F7122"/>
    <w:rsid w:val="671273F1"/>
    <w:rsid w:val="671275A7"/>
    <w:rsid w:val="67136C12"/>
    <w:rsid w:val="67136D1B"/>
    <w:rsid w:val="6713794E"/>
    <w:rsid w:val="671604B0"/>
    <w:rsid w:val="671958AB"/>
    <w:rsid w:val="672020EF"/>
    <w:rsid w:val="672116AD"/>
    <w:rsid w:val="67237EBF"/>
    <w:rsid w:val="672524A2"/>
    <w:rsid w:val="67252CD4"/>
    <w:rsid w:val="67254250"/>
    <w:rsid w:val="672755CB"/>
    <w:rsid w:val="67277FC8"/>
    <w:rsid w:val="67292542"/>
    <w:rsid w:val="672E57FA"/>
    <w:rsid w:val="672F3320"/>
    <w:rsid w:val="67311FC6"/>
    <w:rsid w:val="673426E5"/>
    <w:rsid w:val="67377530"/>
    <w:rsid w:val="673B22E5"/>
    <w:rsid w:val="673B3A73"/>
    <w:rsid w:val="673D5A3D"/>
    <w:rsid w:val="673E21C1"/>
    <w:rsid w:val="673E3563"/>
    <w:rsid w:val="673E5A70"/>
    <w:rsid w:val="673F51E4"/>
    <w:rsid w:val="673F539A"/>
    <w:rsid w:val="673F7A07"/>
    <w:rsid w:val="67413EBA"/>
    <w:rsid w:val="67430B7A"/>
    <w:rsid w:val="67441255"/>
    <w:rsid w:val="674743C8"/>
    <w:rsid w:val="674A1F08"/>
    <w:rsid w:val="674F15BF"/>
    <w:rsid w:val="674F5770"/>
    <w:rsid w:val="67513297"/>
    <w:rsid w:val="67544B35"/>
    <w:rsid w:val="675608AD"/>
    <w:rsid w:val="675B2367"/>
    <w:rsid w:val="675D15A7"/>
    <w:rsid w:val="675D1C3B"/>
    <w:rsid w:val="675E343F"/>
    <w:rsid w:val="675E59B4"/>
    <w:rsid w:val="675F3C06"/>
    <w:rsid w:val="67606039"/>
    <w:rsid w:val="6760797E"/>
    <w:rsid w:val="67620151"/>
    <w:rsid w:val="67650AF0"/>
    <w:rsid w:val="67656D42"/>
    <w:rsid w:val="67670D0C"/>
    <w:rsid w:val="676905E0"/>
    <w:rsid w:val="676A6106"/>
    <w:rsid w:val="676C1E7F"/>
    <w:rsid w:val="676E209B"/>
    <w:rsid w:val="67705E13"/>
    <w:rsid w:val="677166C6"/>
    <w:rsid w:val="6773145F"/>
    <w:rsid w:val="67760F4F"/>
    <w:rsid w:val="677772D0"/>
    <w:rsid w:val="677802BA"/>
    <w:rsid w:val="67780823"/>
    <w:rsid w:val="67784CC7"/>
    <w:rsid w:val="67787CAA"/>
    <w:rsid w:val="67796717"/>
    <w:rsid w:val="677A5E20"/>
    <w:rsid w:val="67801DCE"/>
    <w:rsid w:val="6784366C"/>
    <w:rsid w:val="67852313"/>
    <w:rsid w:val="67852F40"/>
    <w:rsid w:val="67862377"/>
    <w:rsid w:val="67862A4E"/>
    <w:rsid w:val="67871415"/>
    <w:rsid w:val="678E44EB"/>
    <w:rsid w:val="678F07BF"/>
    <w:rsid w:val="678F3DBF"/>
    <w:rsid w:val="67944EC0"/>
    <w:rsid w:val="67945075"/>
    <w:rsid w:val="679725B9"/>
    <w:rsid w:val="67980EC5"/>
    <w:rsid w:val="679A2E90"/>
    <w:rsid w:val="679D64DC"/>
    <w:rsid w:val="679F168B"/>
    <w:rsid w:val="679F3FDA"/>
    <w:rsid w:val="679F4A2F"/>
    <w:rsid w:val="67A1421E"/>
    <w:rsid w:val="67A46064"/>
    <w:rsid w:val="67A54BE1"/>
    <w:rsid w:val="67A868A6"/>
    <w:rsid w:val="67AC2BC3"/>
    <w:rsid w:val="67B20F17"/>
    <w:rsid w:val="67B33F51"/>
    <w:rsid w:val="67BA52E0"/>
    <w:rsid w:val="67BD6B7E"/>
    <w:rsid w:val="67BE4720"/>
    <w:rsid w:val="67C036F4"/>
    <w:rsid w:val="67C1666E"/>
    <w:rsid w:val="67C219E5"/>
    <w:rsid w:val="67C33220"/>
    <w:rsid w:val="67C43A69"/>
    <w:rsid w:val="67C44F61"/>
    <w:rsid w:val="67C65A33"/>
    <w:rsid w:val="67C972D1"/>
    <w:rsid w:val="67CE48E7"/>
    <w:rsid w:val="67CF51DF"/>
    <w:rsid w:val="67D0240D"/>
    <w:rsid w:val="67D20531"/>
    <w:rsid w:val="67D32FC7"/>
    <w:rsid w:val="67D5211A"/>
    <w:rsid w:val="67D53EC8"/>
    <w:rsid w:val="67D57A24"/>
    <w:rsid w:val="67DA14DE"/>
    <w:rsid w:val="67DB0DB2"/>
    <w:rsid w:val="67DB7004"/>
    <w:rsid w:val="67DC5256"/>
    <w:rsid w:val="67DD0FCE"/>
    <w:rsid w:val="67DE7902"/>
    <w:rsid w:val="67E10981"/>
    <w:rsid w:val="67E20393"/>
    <w:rsid w:val="67E22141"/>
    <w:rsid w:val="67E266DE"/>
    <w:rsid w:val="67E45EB9"/>
    <w:rsid w:val="67E759FE"/>
    <w:rsid w:val="67EA4979"/>
    <w:rsid w:val="67EA761E"/>
    <w:rsid w:val="67EE31DB"/>
    <w:rsid w:val="67EE6D37"/>
    <w:rsid w:val="67F109C6"/>
    <w:rsid w:val="67F24A7A"/>
    <w:rsid w:val="67F26828"/>
    <w:rsid w:val="67F3434E"/>
    <w:rsid w:val="67F72090"/>
    <w:rsid w:val="67F81964"/>
    <w:rsid w:val="67FA4F92"/>
    <w:rsid w:val="67FB3202"/>
    <w:rsid w:val="67FB41E6"/>
    <w:rsid w:val="67FC1489"/>
    <w:rsid w:val="67FD51CC"/>
    <w:rsid w:val="67FF0F45"/>
    <w:rsid w:val="68012F0F"/>
    <w:rsid w:val="68024591"/>
    <w:rsid w:val="6804655B"/>
    <w:rsid w:val="680671B0"/>
    <w:rsid w:val="680822C2"/>
    <w:rsid w:val="6809183E"/>
    <w:rsid w:val="6809591F"/>
    <w:rsid w:val="680B5540"/>
    <w:rsid w:val="680C4CB4"/>
    <w:rsid w:val="680E1188"/>
    <w:rsid w:val="680E2F36"/>
    <w:rsid w:val="681358A2"/>
    <w:rsid w:val="681816C1"/>
    <w:rsid w:val="6819518E"/>
    <w:rsid w:val="681B7EC8"/>
    <w:rsid w:val="681D13CB"/>
    <w:rsid w:val="681D1AEA"/>
    <w:rsid w:val="681D761D"/>
    <w:rsid w:val="681E586F"/>
    <w:rsid w:val="681F5143"/>
    <w:rsid w:val="682140F7"/>
    <w:rsid w:val="682409AB"/>
    <w:rsid w:val="68264723"/>
    <w:rsid w:val="68270D00"/>
    <w:rsid w:val="68272D86"/>
    <w:rsid w:val="6828049B"/>
    <w:rsid w:val="682D7860"/>
    <w:rsid w:val="682E35D8"/>
    <w:rsid w:val="682F64A8"/>
    <w:rsid w:val="6837248C"/>
    <w:rsid w:val="68374D06"/>
    <w:rsid w:val="683A01CF"/>
    <w:rsid w:val="683C3F47"/>
    <w:rsid w:val="683D4DCE"/>
    <w:rsid w:val="683D7C81"/>
    <w:rsid w:val="683E75F2"/>
    <w:rsid w:val="68415F39"/>
    <w:rsid w:val="684274EB"/>
    <w:rsid w:val="6844104D"/>
    <w:rsid w:val="68444BA9"/>
    <w:rsid w:val="68460921"/>
    <w:rsid w:val="684626D0"/>
    <w:rsid w:val="68476448"/>
    <w:rsid w:val="684A6664"/>
    <w:rsid w:val="684B5F38"/>
    <w:rsid w:val="685017A0"/>
    <w:rsid w:val="685079F2"/>
    <w:rsid w:val="685221B2"/>
    <w:rsid w:val="685272C6"/>
    <w:rsid w:val="68541CB5"/>
    <w:rsid w:val="685847A6"/>
    <w:rsid w:val="685A2A93"/>
    <w:rsid w:val="685E210F"/>
    <w:rsid w:val="685F3791"/>
    <w:rsid w:val="6861124B"/>
    <w:rsid w:val="68637725"/>
    <w:rsid w:val="686A21E8"/>
    <w:rsid w:val="686B2D87"/>
    <w:rsid w:val="686D44C4"/>
    <w:rsid w:val="686D5EAE"/>
    <w:rsid w:val="686F6E01"/>
    <w:rsid w:val="686F7E78"/>
    <w:rsid w:val="68713705"/>
    <w:rsid w:val="6871545D"/>
    <w:rsid w:val="68716FB6"/>
    <w:rsid w:val="687631E5"/>
    <w:rsid w:val="68792AA5"/>
    <w:rsid w:val="68796CC8"/>
    <w:rsid w:val="687C07E7"/>
    <w:rsid w:val="687C4A5F"/>
    <w:rsid w:val="687E630D"/>
    <w:rsid w:val="687F69C8"/>
    <w:rsid w:val="688078CF"/>
    <w:rsid w:val="68857C1D"/>
    <w:rsid w:val="68866387"/>
    <w:rsid w:val="688F051A"/>
    <w:rsid w:val="68907DEF"/>
    <w:rsid w:val="6891756F"/>
    <w:rsid w:val="68923B67"/>
    <w:rsid w:val="68942F8E"/>
    <w:rsid w:val="6896160C"/>
    <w:rsid w:val="689625FE"/>
    <w:rsid w:val="68991B2C"/>
    <w:rsid w:val="689A2A1B"/>
    <w:rsid w:val="689B6EBF"/>
    <w:rsid w:val="689C2C37"/>
    <w:rsid w:val="689C4F5F"/>
    <w:rsid w:val="689D7C92"/>
    <w:rsid w:val="689D7F6A"/>
    <w:rsid w:val="689E42BA"/>
    <w:rsid w:val="689F3365"/>
    <w:rsid w:val="68A044D6"/>
    <w:rsid w:val="68A11FFC"/>
    <w:rsid w:val="68A21817"/>
    <w:rsid w:val="68A613C0"/>
    <w:rsid w:val="68AB14BA"/>
    <w:rsid w:val="68AB177D"/>
    <w:rsid w:val="68AB2E7A"/>
    <w:rsid w:val="68AE33AF"/>
    <w:rsid w:val="68AF64C7"/>
    <w:rsid w:val="68B012CD"/>
    <w:rsid w:val="68B41D2F"/>
    <w:rsid w:val="68B47F81"/>
    <w:rsid w:val="68B735CD"/>
    <w:rsid w:val="68B95597"/>
    <w:rsid w:val="68BA0E02"/>
    <w:rsid w:val="68BA405E"/>
    <w:rsid w:val="68BB130F"/>
    <w:rsid w:val="68BB5E0A"/>
    <w:rsid w:val="68BD6421"/>
    <w:rsid w:val="68BE495C"/>
    <w:rsid w:val="68C301C4"/>
    <w:rsid w:val="68C33D20"/>
    <w:rsid w:val="68C364FD"/>
    <w:rsid w:val="68C43B79"/>
    <w:rsid w:val="68C55CEA"/>
    <w:rsid w:val="68C65659"/>
    <w:rsid w:val="68C83A2C"/>
    <w:rsid w:val="68C857DA"/>
    <w:rsid w:val="68CC41D1"/>
    <w:rsid w:val="68D079B4"/>
    <w:rsid w:val="68D15B28"/>
    <w:rsid w:val="68D26566"/>
    <w:rsid w:val="68D66149"/>
    <w:rsid w:val="68D86BF9"/>
    <w:rsid w:val="68DA3457"/>
    <w:rsid w:val="68E00D76"/>
    <w:rsid w:val="68E343C2"/>
    <w:rsid w:val="68E779E3"/>
    <w:rsid w:val="68E800F8"/>
    <w:rsid w:val="68EA0337"/>
    <w:rsid w:val="68EE2E29"/>
    <w:rsid w:val="68EF0FB9"/>
    <w:rsid w:val="68EF39C7"/>
    <w:rsid w:val="68F04F40"/>
    <w:rsid w:val="68F20AA9"/>
    <w:rsid w:val="68F24043"/>
    <w:rsid w:val="68F330E1"/>
    <w:rsid w:val="68F41FC9"/>
    <w:rsid w:val="68F4331A"/>
    <w:rsid w:val="68F4570C"/>
    <w:rsid w:val="68F465CF"/>
    <w:rsid w:val="68F94CA7"/>
    <w:rsid w:val="68FB5BB0"/>
    <w:rsid w:val="68FB795E"/>
    <w:rsid w:val="68FE744E"/>
    <w:rsid w:val="69025A22"/>
    <w:rsid w:val="69026AFB"/>
    <w:rsid w:val="69036813"/>
    <w:rsid w:val="69076303"/>
    <w:rsid w:val="69083E42"/>
    <w:rsid w:val="690A194F"/>
    <w:rsid w:val="690C0CC9"/>
    <w:rsid w:val="690D7691"/>
    <w:rsid w:val="690F0ADD"/>
    <w:rsid w:val="690F0FFE"/>
    <w:rsid w:val="69124CA8"/>
    <w:rsid w:val="69132EFA"/>
    <w:rsid w:val="691524D7"/>
    <w:rsid w:val="691B3B5C"/>
    <w:rsid w:val="691D37DB"/>
    <w:rsid w:val="691D5B26"/>
    <w:rsid w:val="691D5EF5"/>
    <w:rsid w:val="691E364C"/>
    <w:rsid w:val="69205510"/>
    <w:rsid w:val="69261245"/>
    <w:rsid w:val="6926423B"/>
    <w:rsid w:val="692801AE"/>
    <w:rsid w:val="692C5C4D"/>
    <w:rsid w:val="692C5D69"/>
    <w:rsid w:val="692D0CE8"/>
    <w:rsid w:val="692D1AE1"/>
    <w:rsid w:val="692F585A"/>
    <w:rsid w:val="69325074"/>
    <w:rsid w:val="693466D8"/>
    <w:rsid w:val="69362744"/>
    <w:rsid w:val="69366BE8"/>
    <w:rsid w:val="6938470E"/>
    <w:rsid w:val="69387B21"/>
    <w:rsid w:val="693A17B3"/>
    <w:rsid w:val="693A7F09"/>
    <w:rsid w:val="693B41FE"/>
    <w:rsid w:val="693C6DF1"/>
    <w:rsid w:val="693D5CD9"/>
    <w:rsid w:val="6945507D"/>
    <w:rsid w:val="6945582E"/>
    <w:rsid w:val="69492530"/>
    <w:rsid w:val="694A4441"/>
    <w:rsid w:val="694B0821"/>
    <w:rsid w:val="694D7A8E"/>
    <w:rsid w:val="694F3806"/>
    <w:rsid w:val="69502F14"/>
    <w:rsid w:val="69513A22"/>
    <w:rsid w:val="69545DD2"/>
    <w:rsid w:val="69576AEA"/>
    <w:rsid w:val="6958090C"/>
    <w:rsid w:val="69584DB0"/>
    <w:rsid w:val="69591DF9"/>
    <w:rsid w:val="695B03FD"/>
    <w:rsid w:val="695B21AB"/>
    <w:rsid w:val="695B664F"/>
    <w:rsid w:val="695D23C7"/>
    <w:rsid w:val="695E7F4C"/>
    <w:rsid w:val="69613CEC"/>
    <w:rsid w:val="6962178B"/>
    <w:rsid w:val="696279DD"/>
    <w:rsid w:val="69635503"/>
    <w:rsid w:val="69643755"/>
    <w:rsid w:val="69660E78"/>
    <w:rsid w:val="696668F3"/>
    <w:rsid w:val="69676DA1"/>
    <w:rsid w:val="69684F4F"/>
    <w:rsid w:val="696A0CB0"/>
    <w:rsid w:val="696B6996"/>
    <w:rsid w:val="696F20FA"/>
    <w:rsid w:val="69701E94"/>
    <w:rsid w:val="69713A6A"/>
    <w:rsid w:val="69717B21"/>
    <w:rsid w:val="69722417"/>
    <w:rsid w:val="69724608"/>
    <w:rsid w:val="697274F4"/>
    <w:rsid w:val="697463E4"/>
    <w:rsid w:val="69750E54"/>
    <w:rsid w:val="69765236"/>
    <w:rsid w:val="69767A98"/>
    <w:rsid w:val="6977720C"/>
    <w:rsid w:val="698711F2"/>
    <w:rsid w:val="69894F6A"/>
    <w:rsid w:val="698A0CE2"/>
    <w:rsid w:val="69913E1E"/>
    <w:rsid w:val="69924C2F"/>
    <w:rsid w:val="69931944"/>
    <w:rsid w:val="69961435"/>
    <w:rsid w:val="69966816"/>
    <w:rsid w:val="699833FF"/>
    <w:rsid w:val="69985A7F"/>
    <w:rsid w:val="69992CD3"/>
    <w:rsid w:val="699A7177"/>
    <w:rsid w:val="699B6A4B"/>
    <w:rsid w:val="699D0A15"/>
    <w:rsid w:val="699D3CBB"/>
    <w:rsid w:val="699F29DF"/>
    <w:rsid w:val="699F4036"/>
    <w:rsid w:val="69A00505"/>
    <w:rsid w:val="69A17E26"/>
    <w:rsid w:val="69A511DA"/>
    <w:rsid w:val="69A84119"/>
    <w:rsid w:val="69AA4EE0"/>
    <w:rsid w:val="69AC4242"/>
    <w:rsid w:val="69AC6EAA"/>
    <w:rsid w:val="69B00FCA"/>
    <w:rsid w:val="69B10E15"/>
    <w:rsid w:val="69B12FFE"/>
    <w:rsid w:val="69B30239"/>
    <w:rsid w:val="69B468BF"/>
    <w:rsid w:val="69B8584F"/>
    <w:rsid w:val="69BD4F96"/>
    <w:rsid w:val="69BF098B"/>
    <w:rsid w:val="69BF3B13"/>
    <w:rsid w:val="69C34893"/>
    <w:rsid w:val="69C67F6C"/>
    <w:rsid w:val="69C9180A"/>
    <w:rsid w:val="69C940D0"/>
    <w:rsid w:val="69C96B03"/>
    <w:rsid w:val="69CA7330"/>
    <w:rsid w:val="69CB2F6F"/>
    <w:rsid w:val="69CD6811"/>
    <w:rsid w:val="69CE0BCF"/>
    <w:rsid w:val="69CE412A"/>
    <w:rsid w:val="69CE6061"/>
    <w:rsid w:val="69CF4947"/>
    <w:rsid w:val="69D16911"/>
    <w:rsid w:val="69D41F5D"/>
    <w:rsid w:val="69D43FBE"/>
    <w:rsid w:val="69DA187A"/>
    <w:rsid w:val="69DF2DDC"/>
    <w:rsid w:val="69E00902"/>
    <w:rsid w:val="69E06B54"/>
    <w:rsid w:val="69E06F59"/>
    <w:rsid w:val="69E403F2"/>
    <w:rsid w:val="69E43531"/>
    <w:rsid w:val="69E44896"/>
    <w:rsid w:val="69E46644"/>
    <w:rsid w:val="69E61D3E"/>
    <w:rsid w:val="69E72CD3"/>
    <w:rsid w:val="69E75049"/>
    <w:rsid w:val="69E76134"/>
    <w:rsid w:val="69E95A08"/>
    <w:rsid w:val="69EB2713"/>
    <w:rsid w:val="69EC374B"/>
    <w:rsid w:val="69F34AD9"/>
    <w:rsid w:val="69F36887"/>
    <w:rsid w:val="69F525FF"/>
    <w:rsid w:val="69F543AD"/>
    <w:rsid w:val="69F60125"/>
    <w:rsid w:val="69F62FE8"/>
    <w:rsid w:val="69F84C1B"/>
    <w:rsid w:val="69F85DF2"/>
    <w:rsid w:val="69F97D3B"/>
    <w:rsid w:val="69FA5E67"/>
    <w:rsid w:val="69FB1963"/>
    <w:rsid w:val="69FB573C"/>
    <w:rsid w:val="69FD3262"/>
    <w:rsid w:val="69FF6FDA"/>
    <w:rsid w:val="6A010FA4"/>
    <w:rsid w:val="6A016082"/>
    <w:rsid w:val="6A0171F6"/>
    <w:rsid w:val="6A032CC6"/>
    <w:rsid w:val="6A060AF0"/>
    <w:rsid w:val="6A070584"/>
    <w:rsid w:val="6A0942FC"/>
    <w:rsid w:val="6A0A597F"/>
    <w:rsid w:val="6A0D5B9B"/>
    <w:rsid w:val="6A107439"/>
    <w:rsid w:val="6A144187"/>
    <w:rsid w:val="6A152BF7"/>
    <w:rsid w:val="6A154A4F"/>
    <w:rsid w:val="6A1567FD"/>
    <w:rsid w:val="6A161929"/>
    <w:rsid w:val="6A1A02B8"/>
    <w:rsid w:val="6A1A3E14"/>
    <w:rsid w:val="6A205BD3"/>
    <w:rsid w:val="6A207D82"/>
    <w:rsid w:val="6A2B4273"/>
    <w:rsid w:val="6A2C1D99"/>
    <w:rsid w:val="6A2E5B45"/>
    <w:rsid w:val="6A341AF4"/>
    <w:rsid w:val="6A355B55"/>
    <w:rsid w:val="6A3570B3"/>
    <w:rsid w:val="6A366774"/>
    <w:rsid w:val="6A3D1217"/>
    <w:rsid w:val="6A3F7D1E"/>
    <w:rsid w:val="6A41188D"/>
    <w:rsid w:val="6A45564A"/>
    <w:rsid w:val="6A4814BC"/>
    <w:rsid w:val="6A4964A7"/>
    <w:rsid w:val="6A4A3798"/>
    <w:rsid w:val="6A4C294C"/>
    <w:rsid w:val="6A4C4D11"/>
    <w:rsid w:val="6A4D243B"/>
    <w:rsid w:val="6A4E3B2B"/>
    <w:rsid w:val="6A4E61B3"/>
    <w:rsid w:val="6A505A87"/>
    <w:rsid w:val="6A510566"/>
    <w:rsid w:val="6A5135AE"/>
    <w:rsid w:val="6A554118"/>
    <w:rsid w:val="6A5632C4"/>
    <w:rsid w:val="6A566F8E"/>
    <w:rsid w:val="6A575068"/>
    <w:rsid w:val="6A576944"/>
    <w:rsid w:val="6A5B44E0"/>
    <w:rsid w:val="6A5C0800"/>
    <w:rsid w:val="6A5D6095"/>
    <w:rsid w:val="6A5F5F2D"/>
    <w:rsid w:val="6A624A2F"/>
    <w:rsid w:val="6A6257BB"/>
    <w:rsid w:val="6A633A0D"/>
    <w:rsid w:val="6A635FA8"/>
    <w:rsid w:val="6A642E04"/>
    <w:rsid w:val="6A644542"/>
    <w:rsid w:val="6A6562A4"/>
    <w:rsid w:val="6A667059"/>
    <w:rsid w:val="6A675B16"/>
    <w:rsid w:val="6A690030"/>
    <w:rsid w:val="6A690184"/>
    <w:rsid w:val="6A6E23B2"/>
    <w:rsid w:val="6A707ED8"/>
    <w:rsid w:val="6A7276B1"/>
    <w:rsid w:val="6A7308A9"/>
    <w:rsid w:val="6A766A07"/>
    <w:rsid w:val="6A773014"/>
    <w:rsid w:val="6A786D8C"/>
    <w:rsid w:val="6A7D62B1"/>
    <w:rsid w:val="6A7F636D"/>
    <w:rsid w:val="6A8249E6"/>
    <w:rsid w:val="6A845731"/>
    <w:rsid w:val="6A8614A9"/>
    <w:rsid w:val="6A8664A9"/>
    <w:rsid w:val="6A880A51"/>
    <w:rsid w:val="6A894DD0"/>
    <w:rsid w:val="6A8B2F63"/>
    <w:rsid w:val="6A8B4D12"/>
    <w:rsid w:val="6A8B505F"/>
    <w:rsid w:val="6A915674"/>
    <w:rsid w:val="6A9242F2"/>
    <w:rsid w:val="6A933BC6"/>
    <w:rsid w:val="6A951D95"/>
    <w:rsid w:val="6A977E39"/>
    <w:rsid w:val="6A9A31A7"/>
    <w:rsid w:val="6A9E67F3"/>
    <w:rsid w:val="6A9F256B"/>
    <w:rsid w:val="6AA42102"/>
    <w:rsid w:val="6AA45DD3"/>
    <w:rsid w:val="6AA54025"/>
    <w:rsid w:val="6AA638F9"/>
    <w:rsid w:val="6AA87D10"/>
    <w:rsid w:val="6AA933EA"/>
    <w:rsid w:val="6AA94D81"/>
    <w:rsid w:val="6AAB2CE4"/>
    <w:rsid w:val="6AAC72D7"/>
    <w:rsid w:val="6AAE4C37"/>
    <w:rsid w:val="6AAE635C"/>
    <w:rsid w:val="6AB26742"/>
    <w:rsid w:val="6AB37DC4"/>
    <w:rsid w:val="6AB55764"/>
    <w:rsid w:val="6AB57FE0"/>
    <w:rsid w:val="6AB82E37"/>
    <w:rsid w:val="6AB840E5"/>
    <w:rsid w:val="6AB9187F"/>
    <w:rsid w:val="6AB9525A"/>
    <w:rsid w:val="6ABA1153"/>
    <w:rsid w:val="6ABF6FC8"/>
    <w:rsid w:val="6AC50223"/>
    <w:rsid w:val="6AC645F4"/>
    <w:rsid w:val="6AC81AC2"/>
    <w:rsid w:val="6ACA6C72"/>
    <w:rsid w:val="6ACB7804"/>
    <w:rsid w:val="6ACC0D58"/>
    <w:rsid w:val="6ACD0549"/>
    <w:rsid w:val="6ACD3676"/>
    <w:rsid w:val="6ACE4B1D"/>
    <w:rsid w:val="6ACF2E50"/>
    <w:rsid w:val="6AD2649C"/>
    <w:rsid w:val="6AD27A6A"/>
    <w:rsid w:val="6AD72385"/>
    <w:rsid w:val="6AD93CCF"/>
    <w:rsid w:val="6AD94A54"/>
    <w:rsid w:val="6AD97F5A"/>
    <w:rsid w:val="6AE060E4"/>
    <w:rsid w:val="6AE14931"/>
    <w:rsid w:val="6AE368FC"/>
    <w:rsid w:val="6AE461D0"/>
    <w:rsid w:val="6AE508C6"/>
    <w:rsid w:val="6AE5157E"/>
    <w:rsid w:val="6AEC2279"/>
    <w:rsid w:val="6AED777A"/>
    <w:rsid w:val="6AEF0620"/>
    <w:rsid w:val="6AEF34F2"/>
    <w:rsid w:val="6AF068BA"/>
    <w:rsid w:val="6AF26B3F"/>
    <w:rsid w:val="6AF403FB"/>
    <w:rsid w:val="6AF40B09"/>
    <w:rsid w:val="6AF705F9"/>
    <w:rsid w:val="6AF74155"/>
    <w:rsid w:val="6AFB3C45"/>
    <w:rsid w:val="6AFE1987"/>
    <w:rsid w:val="6AFE74CB"/>
    <w:rsid w:val="6B0D3978"/>
    <w:rsid w:val="6B0E066F"/>
    <w:rsid w:val="6B0E5024"/>
    <w:rsid w:val="6B0F0434"/>
    <w:rsid w:val="6B0F3052"/>
    <w:rsid w:val="6B105217"/>
    <w:rsid w:val="6B106FC5"/>
    <w:rsid w:val="6B177879"/>
    <w:rsid w:val="6B19056F"/>
    <w:rsid w:val="6B1A19CE"/>
    <w:rsid w:val="6B1E7298"/>
    <w:rsid w:val="6B21238A"/>
    <w:rsid w:val="6B225676"/>
    <w:rsid w:val="6B2313EE"/>
    <w:rsid w:val="6B286A04"/>
    <w:rsid w:val="6B286B57"/>
    <w:rsid w:val="6B28732C"/>
    <w:rsid w:val="6B2B5629"/>
    <w:rsid w:val="6B2E2ECD"/>
    <w:rsid w:val="6B3233DF"/>
    <w:rsid w:val="6B3358AF"/>
    <w:rsid w:val="6B3638C9"/>
    <w:rsid w:val="6B363A95"/>
    <w:rsid w:val="6B3717AA"/>
    <w:rsid w:val="6B390171"/>
    <w:rsid w:val="6B3B2294"/>
    <w:rsid w:val="6B3B4041"/>
    <w:rsid w:val="6B3C5138"/>
    <w:rsid w:val="6B3C600C"/>
    <w:rsid w:val="6B3C7DBA"/>
    <w:rsid w:val="6B3D5B12"/>
    <w:rsid w:val="6B411367"/>
    <w:rsid w:val="6B451364"/>
    <w:rsid w:val="6B45720E"/>
    <w:rsid w:val="6B4631DA"/>
    <w:rsid w:val="6B4725E3"/>
    <w:rsid w:val="6B475596"/>
    <w:rsid w:val="6B4B624F"/>
    <w:rsid w:val="6B4C26F3"/>
    <w:rsid w:val="6B513865"/>
    <w:rsid w:val="6B5A3D3B"/>
    <w:rsid w:val="6B5B2936"/>
    <w:rsid w:val="6B5E09A6"/>
    <w:rsid w:val="6B60619E"/>
    <w:rsid w:val="6B6317EA"/>
    <w:rsid w:val="6B655563"/>
    <w:rsid w:val="6B67752D"/>
    <w:rsid w:val="6B6932A5"/>
    <w:rsid w:val="6B6A2B79"/>
    <w:rsid w:val="6B6C4B43"/>
    <w:rsid w:val="6B6F1F3D"/>
    <w:rsid w:val="6B7043C1"/>
    <w:rsid w:val="6B7400A5"/>
    <w:rsid w:val="6B743A83"/>
    <w:rsid w:val="6B7457A6"/>
    <w:rsid w:val="6B76151E"/>
    <w:rsid w:val="6B764244"/>
    <w:rsid w:val="6B785296"/>
    <w:rsid w:val="6B7A3154"/>
    <w:rsid w:val="6B7E4876"/>
    <w:rsid w:val="6B7F5788"/>
    <w:rsid w:val="6B8579B3"/>
    <w:rsid w:val="6B882FFF"/>
    <w:rsid w:val="6B8F70A0"/>
    <w:rsid w:val="6B915391"/>
    <w:rsid w:val="6B930322"/>
    <w:rsid w:val="6B9320D0"/>
    <w:rsid w:val="6B935512"/>
    <w:rsid w:val="6B9419A4"/>
    <w:rsid w:val="6B951B7D"/>
    <w:rsid w:val="6B972BC2"/>
    <w:rsid w:val="6B985938"/>
    <w:rsid w:val="6B992596"/>
    <w:rsid w:val="6B9B310B"/>
    <w:rsid w:val="6B9D7D0D"/>
    <w:rsid w:val="6BA075EE"/>
    <w:rsid w:val="6BA442DD"/>
    <w:rsid w:val="6BA50055"/>
    <w:rsid w:val="6BA505A7"/>
    <w:rsid w:val="6BA50981"/>
    <w:rsid w:val="6BA51E03"/>
    <w:rsid w:val="6BA73DCD"/>
    <w:rsid w:val="6BA81CC8"/>
    <w:rsid w:val="6BA951C5"/>
    <w:rsid w:val="6BAA566B"/>
    <w:rsid w:val="6BAC3EA4"/>
    <w:rsid w:val="6BAE515B"/>
    <w:rsid w:val="6BAF4F71"/>
    <w:rsid w:val="6BAF7D3A"/>
    <w:rsid w:val="6BB00E9E"/>
    <w:rsid w:val="6BB402B8"/>
    <w:rsid w:val="6BB42046"/>
    <w:rsid w:val="6BB9116F"/>
    <w:rsid w:val="6BBD3D7B"/>
    <w:rsid w:val="6BBD714D"/>
    <w:rsid w:val="6BC27E90"/>
    <w:rsid w:val="6BC35DF8"/>
    <w:rsid w:val="6BC41409"/>
    <w:rsid w:val="6BC95638"/>
    <w:rsid w:val="6BCA186A"/>
    <w:rsid w:val="6BCA3618"/>
    <w:rsid w:val="6BCD48C8"/>
    <w:rsid w:val="6BCE4EB6"/>
    <w:rsid w:val="6BCF6E80"/>
    <w:rsid w:val="6BD11C59"/>
    <w:rsid w:val="6BD237BA"/>
    <w:rsid w:val="6BD34BC2"/>
    <w:rsid w:val="6BD61FBC"/>
    <w:rsid w:val="6BD83E3E"/>
    <w:rsid w:val="6BE07D12"/>
    <w:rsid w:val="6BE26BB3"/>
    <w:rsid w:val="6BE40B7D"/>
    <w:rsid w:val="6BE648F5"/>
    <w:rsid w:val="6BE73F54"/>
    <w:rsid w:val="6BE741CA"/>
    <w:rsid w:val="6BE96194"/>
    <w:rsid w:val="6BEB1F0C"/>
    <w:rsid w:val="6BEC5C84"/>
    <w:rsid w:val="6BEC61C3"/>
    <w:rsid w:val="6BEC7A32"/>
    <w:rsid w:val="6BEE7C41"/>
    <w:rsid w:val="6BF1329A"/>
    <w:rsid w:val="6BF40694"/>
    <w:rsid w:val="6BF55A4E"/>
    <w:rsid w:val="6BF56847"/>
    <w:rsid w:val="6BF61BBF"/>
    <w:rsid w:val="6BF6265F"/>
    <w:rsid w:val="6BF76FC7"/>
    <w:rsid w:val="6BF9053F"/>
    <w:rsid w:val="6BFD1C3F"/>
    <w:rsid w:val="6C003240"/>
    <w:rsid w:val="6C022DB1"/>
    <w:rsid w:val="6C024A5B"/>
    <w:rsid w:val="6C072F54"/>
    <w:rsid w:val="6C0C0C6D"/>
    <w:rsid w:val="6C0C59DE"/>
    <w:rsid w:val="6C0F3FD4"/>
    <w:rsid w:val="6C0F54CE"/>
    <w:rsid w:val="6C123F77"/>
    <w:rsid w:val="6C172D01"/>
    <w:rsid w:val="6C176920"/>
    <w:rsid w:val="6C1825D5"/>
    <w:rsid w:val="6C1A0E70"/>
    <w:rsid w:val="6C1C0317"/>
    <w:rsid w:val="6C1D408F"/>
    <w:rsid w:val="6C1E4825"/>
    <w:rsid w:val="6C1F1BB5"/>
    <w:rsid w:val="6C224BFB"/>
    <w:rsid w:val="6C225202"/>
    <w:rsid w:val="6C23532C"/>
    <w:rsid w:val="6C262B15"/>
    <w:rsid w:val="6C2C66BB"/>
    <w:rsid w:val="6C2E004A"/>
    <w:rsid w:val="6C30386D"/>
    <w:rsid w:val="6C30758E"/>
    <w:rsid w:val="6C30791F"/>
    <w:rsid w:val="6C313697"/>
    <w:rsid w:val="6C3167E1"/>
    <w:rsid w:val="6C327B3B"/>
    <w:rsid w:val="6C354F35"/>
    <w:rsid w:val="6C382C77"/>
    <w:rsid w:val="6C3A69EF"/>
    <w:rsid w:val="6C3C2767"/>
    <w:rsid w:val="6C3D2247"/>
    <w:rsid w:val="6C3D2E83"/>
    <w:rsid w:val="6C3E3329"/>
    <w:rsid w:val="6C3F19FF"/>
    <w:rsid w:val="6C3F7B62"/>
    <w:rsid w:val="6C400E08"/>
    <w:rsid w:val="6C4038DA"/>
    <w:rsid w:val="6C4258A4"/>
    <w:rsid w:val="6C4433CA"/>
    <w:rsid w:val="6C450EF0"/>
    <w:rsid w:val="6C496C32"/>
    <w:rsid w:val="6C4A3B4F"/>
    <w:rsid w:val="6C4C6DA0"/>
    <w:rsid w:val="6C4D19C3"/>
    <w:rsid w:val="6C4D6722"/>
    <w:rsid w:val="6C501D6F"/>
    <w:rsid w:val="6C517895"/>
    <w:rsid w:val="6C537AB1"/>
    <w:rsid w:val="6C5A7ABE"/>
    <w:rsid w:val="6C5E0930"/>
    <w:rsid w:val="6C5F6456"/>
    <w:rsid w:val="6C661592"/>
    <w:rsid w:val="6C663340"/>
    <w:rsid w:val="6C6770B8"/>
    <w:rsid w:val="6C692464"/>
    <w:rsid w:val="6C6A4059"/>
    <w:rsid w:val="6C6B0957"/>
    <w:rsid w:val="6C6B741E"/>
    <w:rsid w:val="6C7022A4"/>
    <w:rsid w:val="6C74305A"/>
    <w:rsid w:val="6C755C79"/>
    <w:rsid w:val="6C7812C6"/>
    <w:rsid w:val="6C832144"/>
    <w:rsid w:val="6C852B4E"/>
    <w:rsid w:val="6C8639E2"/>
    <w:rsid w:val="6C870A40"/>
    <w:rsid w:val="6C8B40D0"/>
    <w:rsid w:val="6C8E1FC4"/>
    <w:rsid w:val="6C8E3564"/>
    <w:rsid w:val="6C8E6D3B"/>
    <w:rsid w:val="6C90660F"/>
    <w:rsid w:val="6C912AD4"/>
    <w:rsid w:val="6C961A96"/>
    <w:rsid w:val="6C967B81"/>
    <w:rsid w:val="6C985AA7"/>
    <w:rsid w:val="6C996646"/>
    <w:rsid w:val="6C9C0599"/>
    <w:rsid w:val="6C9C6D62"/>
    <w:rsid w:val="6C9D2ADA"/>
    <w:rsid w:val="6C9D4212"/>
    <w:rsid w:val="6C9F4AA4"/>
    <w:rsid w:val="6CA05831"/>
    <w:rsid w:val="6CA572BA"/>
    <w:rsid w:val="6CA87DFD"/>
    <w:rsid w:val="6CA976D1"/>
    <w:rsid w:val="6CAB3449"/>
    <w:rsid w:val="6CB22A29"/>
    <w:rsid w:val="6CB5251A"/>
    <w:rsid w:val="6CB611D0"/>
    <w:rsid w:val="6CB70040"/>
    <w:rsid w:val="6CBA457B"/>
    <w:rsid w:val="6CBB719C"/>
    <w:rsid w:val="6CBE317C"/>
    <w:rsid w:val="6CC87B57"/>
    <w:rsid w:val="6CCA47A5"/>
    <w:rsid w:val="6CCC0304"/>
    <w:rsid w:val="6CCD1611"/>
    <w:rsid w:val="6CCD4BDE"/>
    <w:rsid w:val="6CCF1AF5"/>
    <w:rsid w:val="6CD176D0"/>
    <w:rsid w:val="6CD3474E"/>
    <w:rsid w:val="6CDA788A"/>
    <w:rsid w:val="6CDC1854"/>
    <w:rsid w:val="6CDE737B"/>
    <w:rsid w:val="6CE11379"/>
    <w:rsid w:val="6CE32BE3"/>
    <w:rsid w:val="6CE80618"/>
    <w:rsid w:val="6CE97995"/>
    <w:rsid w:val="6CED5B4D"/>
    <w:rsid w:val="6CEE4D5A"/>
    <w:rsid w:val="6CEF556F"/>
    <w:rsid w:val="6CF03552"/>
    <w:rsid w:val="6CF062D3"/>
    <w:rsid w:val="6CF070AE"/>
    <w:rsid w:val="6CF1561E"/>
    <w:rsid w:val="6CF22540"/>
    <w:rsid w:val="6CF3094C"/>
    <w:rsid w:val="6CF84CEC"/>
    <w:rsid w:val="6CFC5A53"/>
    <w:rsid w:val="6CFE0684"/>
    <w:rsid w:val="6CFE17CB"/>
    <w:rsid w:val="6D064B23"/>
    <w:rsid w:val="6D08089B"/>
    <w:rsid w:val="6D0B1BA5"/>
    <w:rsid w:val="6D0F1C2A"/>
    <w:rsid w:val="6D0F39D8"/>
    <w:rsid w:val="6D0F57BF"/>
    <w:rsid w:val="6D162FB8"/>
    <w:rsid w:val="6D17288C"/>
    <w:rsid w:val="6D196605"/>
    <w:rsid w:val="6D196E05"/>
    <w:rsid w:val="6D1A412B"/>
    <w:rsid w:val="6D1B24E8"/>
    <w:rsid w:val="6D1C60F5"/>
    <w:rsid w:val="6D1E77CC"/>
    <w:rsid w:val="6D22312D"/>
    <w:rsid w:val="6D250610"/>
    <w:rsid w:val="6D260503"/>
    <w:rsid w:val="6D260D22"/>
    <w:rsid w:val="6D266F73"/>
    <w:rsid w:val="6D313BC8"/>
    <w:rsid w:val="6D317FC8"/>
    <w:rsid w:val="6D32600E"/>
    <w:rsid w:val="6D360E1C"/>
    <w:rsid w:val="6D371181"/>
    <w:rsid w:val="6D374CDD"/>
    <w:rsid w:val="6D393F68"/>
    <w:rsid w:val="6D394EF9"/>
    <w:rsid w:val="6D3C6797"/>
    <w:rsid w:val="6D3D6964"/>
    <w:rsid w:val="6D4318D3"/>
    <w:rsid w:val="6D434A7C"/>
    <w:rsid w:val="6D440710"/>
    <w:rsid w:val="6D480C98"/>
    <w:rsid w:val="6D4A0EB4"/>
    <w:rsid w:val="6D4A2C62"/>
    <w:rsid w:val="6D4B5988"/>
    <w:rsid w:val="6D4C60D5"/>
    <w:rsid w:val="6D4D2B68"/>
    <w:rsid w:val="6D4F64CA"/>
    <w:rsid w:val="6D521B17"/>
    <w:rsid w:val="6D527259"/>
    <w:rsid w:val="6D57025E"/>
    <w:rsid w:val="6D575FC8"/>
    <w:rsid w:val="6D580CDC"/>
    <w:rsid w:val="6D582E02"/>
    <w:rsid w:val="6D5835D1"/>
    <w:rsid w:val="6D593A2B"/>
    <w:rsid w:val="6D5C441C"/>
    <w:rsid w:val="6D5D0BE7"/>
    <w:rsid w:val="6D5F15C1"/>
    <w:rsid w:val="6D620248"/>
    <w:rsid w:val="6D635AD2"/>
    <w:rsid w:val="6D68133A"/>
    <w:rsid w:val="6D6E6C99"/>
    <w:rsid w:val="6D6F091A"/>
    <w:rsid w:val="6D725612"/>
    <w:rsid w:val="6D744111"/>
    <w:rsid w:val="6D747CDF"/>
    <w:rsid w:val="6D760E66"/>
    <w:rsid w:val="6D763A57"/>
    <w:rsid w:val="6D77332B"/>
    <w:rsid w:val="6D7777CF"/>
    <w:rsid w:val="6D777986"/>
    <w:rsid w:val="6D7B222A"/>
    <w:rsid w:val="6D7D3037"/>
    <w:rsid w:val="6D7D631A"/>
    <w:rsid w:val="6D7E6F7B"/>
    <w:rsid w:val="6D806684"/>
    <w:rsid w:val="6D836174"/>
    <w:rsid w:val="6D8433DC"/>
    <w:rsid w:val="6D8749FD"/>
    <w:rsid w:val="6D87733D"/>
    <w:rsid w:val="6D8A305E"/>
    <w:rsid w:val="6D8A760B"/>
    <w:rsid w:val="6D8C0AF7"/>
    <w:rsid w:val="6D8D0DA1"/>
    <w:rsid w:val="6D8D1723"/>
    <w:rsid w:val="6D8D42A7"/>
    <w:rsid w:val="6D8F68C7"/>
    <w:rsid w:val="6D941941"/>
    <w:rsid w:val="6D9640F9"/>
    <w:rsid w:val="6D965EA7"/>
    <w:rsid w:val="6D970E1E"/>
    <w:rsid w:val="6D981C1F"/>
    <w:rsid w:val="6D9A0530"/>
    <w:rsid w:val="6D9C0EEE"/>
    <w:rsid w:val="6D9C2C61"/>
    <w:rsid w:val="6D9C44AE"/>
    <w:rsid w:val="6D9E2FAE"/>
    <w:rsid w:val="6DA40FB7"/>
    <w:rsid w:val="6DA531CF"/>
    <w:rsid w:val="6DAA54AF"/>
    <w:rsid w:val="6DAC0B3C"/>
    <w:rsid w:val="6DAE1443"/>
    <w:rsid w:val="6DB06FF1"/>
    <w:rsid w:val="6DB36A59"/>
    <w:rsid w:val="6DB8406F"/>
    <w:rsid w:val="6DBB76BC"/>
    <w:rsid w:val="6DBF603E"/>
    <w:rsid w:val="6DC01176"/>
    <w:rsid w:val="6DC17062"/>
    <w:rsid w:val="6DC2475E"/>
    <w:rsid w:val="6DC47772"/>
    <w:rsid w:val="6DC6672E"/>
    <w:rsid w:val="6DC748C4"/>
    <w:rsid w:val="6DCC7B1B"/>
    <w:rsid w:val="6DCF760B"/>
    <w:rsid w:val="6DD137A9"/>
    <w:rsid w:val="6DD62AF8"/>
    <w:rsid w:val="6DD71D4B"/>
    <w:rsid w:val="6DD72B83"/>
    <w:rsid w:val="6DD80F51"/>
    <w:rsid w:val="6DD864C0"/>
    <w:rsid w:val="6DD95C8D"/>
    <w:rsid w:val="6DDB21D3"/>
    <w:rsid w:val="6DDC5565"/>
    <w:rsid w:val="6DDD5884"/>
    <w:rsid w:val="6DE035C6"/>
    <w:rsid w:val="6DE05374"/>
    <w:rsid w:val="6DE229D1"/>
    <w:rsid w:val="6DE22E9A"/>
    <w:rsid w:val="6DE309C1"/>
    <w:rsid w:val="6DE54739"/>
    <w:rsid w:val="6DE61A1E"/>
    <w:rsid w:val="6DE61A4C"/>
    <w:rsid w:val="6DE913C8"/>
    <w:rsid w:val="6DEC1F6B"/>
    <w:rsid w:val="6DEC505A"/>
    <w:rsid w:val="6DED7F0C"/>
    <w:rsid w:val="6DEE7A91"/>
    <w:rsid w:val="6DEF3809"/>
    <w:rsid w:val="6DF130DE"/>
    <w:rsid w:val="6DF15152"/>
    <w:rsid w:val="6DF40F65"/>
    <w:rsid w:val="6DF64B98"/>
    <w:rsid w:val="6DF80910"/>
    <w:rsid w:val="6DF86252"/>
    <w:rsid w:val="6DFD1A82"/>
    <w:rsid w:val="6DFE07F7"/>
    <w:rsid w:val="6DFE2457"/>
    <w:rsid w:val="6E020C56"/>
    <w:rsid w:val="6E020E0C"/>
    <w:rsid w:val="6E0350D1"/>
    <w:rsid w:val="6E041063"/>
    <w:rsid w:val="6E054DDB"/>
    <w:rsid w:val="6E070B53"/>
    <w:rsid w:val="6E084582"/>
    <w:rsid w:val="6E0A23F1"/>
    <w:rsid w:val="6E0A5F70"/>
    <w:rsid w:val="6E123718"/>
    <w:rsid w:val="6E146DCC"/>
    <w:rsid w:val="6E195507"/>
    <w:rsid w:val="6E1A6AD8"/>
    <w:rsid w:val="6E1B45FE"/>
    <w:rsid w:val="6E1E6EDE"/>
    <w:rsid w:val="6E21682C"/>
    <w:rsid w:val="6E222E9E"/>
    <w:rsid w:val="6E245261"/>
    <w:rsid w:val="6E25722B"/>
    <w:rsid w:val="6E2711F5"/>
    <w:rsid w:val="6E274D51"/>
    <w:rsid w:val="6E2A65EF"/>
    <w:rsid w:val="6E2C2368"/>
    <w:rsid w:val="6E2E3F57"/>
    <w:rsid w:val="6E323894"/>
    <w:rsid w:val="6E3336F6"/>
    <w:rsid w:val="6E3447E3"/>
    <w:rsid w:val="6E3866E0"/>
    <w:rsid w:val="6E3A7D92"/>
    <w:rsid w:val="6E3B2CD7"/>
    <w:rsid w:val="6E3D27C7"/>
    <w:rsid w:val="6E3F4AB1"/>
    <w:rsid w:val="6E423939"/>
    <w:rsid w:val="6E443B55"/>
    <w:rsid w:val="6E47284E"/>
    <w:rsid w:val="6E4771A1"/>
    <w:rsid w:val="6E4964BF"/>
    <w:rsid w:val="6E4C47B8"/>
    <w:rsid w:val="6E4E0530"/>
    <w:rsid w:val="6E4E094B"/>
    <w:rsid w:val="6E510020"/>
    <w:rsid w:val="6E511DCE"/>
    <w:rsid w:val="6E531FEA"/>
    <w:rsid w:val="6E5518BE"/>
    <w:rsid w:val="6E5A6C22"/>
    <w:rsid w:val="6E600263"/>
    <w:rsid w:val="6E662DA3"/>
    <w:rsid w:val="6E672BEE"/>
    <w:rsid w:val="6E6733A0"/>
    <w:rsid w:val="6E6765D2"/>
    <w:rsid w:val="6E6B2E90"/>
    <w:rsid w:val="6E6D4CF2"/>
    <w:rsid w:val="6E712470"/>
    <w:rsid w:val="6E71421E"/>
    <w:rsid w:val="6E7206C2"/>
    <w:rsid w:val="6E753D0F"/>
    <w:rsid w:val="6E764989"/>
    <w:rsid w:val="6E7736BC"/>
    <w:rsid w:val="6E7A1325"/>
    <w:rsid w:val="6E7C32EF"/>
    <w:rsid w:val="6E810905"/>
    <w:rsid w:val="6E8412B1"/>
    <w:rsid w:val="6E85604E"/>
    <w:rsid w:val="6E861244"/>
    <w:rsid w:val="6E8B1784"/>
    <w:rsid w:val="6E8C67FC"/>
    <w:rsid w:val="6E8D72AA"/>
    <w:rsid w:val="6E8E4DD0"/>
    <w:rsid w:val="6E8F2635"/>
    <w:rsid w:val="6E90323B"/>
    <w:rsid w:val="6E912A5B"/>
    <w:rsid w:val="6E927A16"/>
    <w:rsid w:val="6E954194"/>
    <w:rsid w:val="6E9543B1"/>
    <w:rsid w:val="6E963C85"/>
    <w:rsid w:val="6E97293C"/>
    <w:rsid w:val="6E9A19C7"/>
    <w:rsid w:val="6E9A5523"/>
    <w:rsid w:val="6E9C573F"/>
    <w:rsid w:val="6E9F2B3A"/>
    <w:rsid w:val="6EA04B62"/>
    <w:rsid w:val="6EA12D56"/>
    <w:rsid w:val="6EA168B2"/>
    <w:rsid w:val="6EA2087C"/>
    <w:rsid w:val="6EA77C40"/>
    <w:rsid w:val="6EAA5F91"/>
    <w:rsid w:val="6EAB3BD4"/>
    <w:rsid w:val="6EB011EB"/>
    <w:rsid w:val="6EB04D47"/>
    <w:rsid w:val="6EB1286D"/>
    <w:rsid w:val="6EB14DA4"/>
    <w:rsid w:val="6EB330EB"/>
    <w:rsid w:val="6EB40949"/>
    <w:rsid w:val="6EB42BD3"/>
    <w:rsid w:val="6EB56801"/>
    <w:rsid w:val="6EB64310"/>
    <w:rsid w:val="6EB67CFB"/>
    <w:rsid w:val="6EBA3E17"/>
    <w:rsid w:val="6EBD1212"/>
    <w:rsid w:val="6EBE56B6"/>
    <w:rsid w:val="6EBF142E"/>
    <w:rsid w:val="6EBF31DC"/>
    <w:rsid w:val="6EBF7C57"/>
    <w:rsid w:val="6EC14FC1"/>
    <w:rsid w:val="6EC16F54"/>
    <w:rsid w:val="6EC425A0"/>
    <w:rsid w:val="6EC6456A"/>
    <w:rsid w:val="6EC71CFA"/>
    <w:rsid w:val="6EC802E2"/>
    <w:rsid w:val="6EC86534"/>
    <w:rsid w:val="6EC9405A"/>
    <w:rsid w:val="6ECC3702"/>
    <w:rsid w:val="6ECD25EA"/>
    <w:rsid w:val="6ECD3B4B"/>
    <w:rsid w:val="6ED0363B"/>
    <w:rsid w:val="6ED07197"/>
    <w:rsid w:val="6ED22CDD"/>
    <w:rsid w:val="6ED722D3"/>
    <w:rsid w:val="6EDA5D29"/>
    <w:rsid w:val="6EDB5653"/>
    <w:rsid w:val="6EDC1FE0"/>
    <w:rsid w:val="6EDC2FAA"/>
    <w:rsid w:val="6EE42C42"/>
    <w:rsid w:val="6EE67218"/>
    <w:rsid w:val="6EE82732"/>
    <w:rsid w:val="6EE92007"/>
    <w:rsid w:val="6EED538D"/>
    <w:rsid w:val="6EED5F9B"/>
    <w:rsid w:val="6EEF1D13"/>
    <w:rsid w:val="6EF235B1"/>
    <w:rsid w:val="6EF53358"/>
    <w:rsid w:val="6EF54E4F"/>
    <w:rsid w:val="6EF81BCC"/>
    <w:rsid w:val="6EFB4907"/>
    <w:rsid w:val="6F032CF1"/>
    <w:rsid w:val="6F0544A5"/>
    <w:rsid w:val="6F055581"/>
    <w:rsid w:val="6F06705D"/>
    <w:rsid w:val="6F077D6E"/>
    <w:rsid w:val="6F0A2C5E"/>
    <w:rsid w:val="6F0F5F11"/>
    <w:rsid w:val="6F103A37"/>
    <w:rsid w:val="6F1265C8"/>
    <w:rsid w:val="6F1352D6"/>
    <w:rsid w:val="6F141779"/>
    <w:rsid w:val="6F1468E1"/>
    <w:rsid w:val="6F154889"/>
    <w:rsid w:val="6F174DC6"/>
    <w:rsid w:val="6F184237"/>
    <w:rsid w:val="6F1852F2"/>
    <w:rsid w:val="6F192753"/>
    <w:rsid w:val="6F1A245E"/>
    <w:rsid w:val="6F1B2B08"/>
    <w:rsid w:val="6F1D10D4"/>
    <w:rsid w:val="6F1E43A6"/>
    <w:rsid w:val="6F1E7F02"/>
    <w:rsid w:val="6F2106F4"/>
    <w:rsid w:val="6F240FF8"/>
    <w:rsid w:val="6F257809"/>
    <w:rsid w:val="6F265009"/>
    <w:rsid w:val="6F27557D"/>
    <w:rsid w:val="6F280D81"/>
    <w:rsid w:val="6F280EC8"/>
    <w:rsid w:val="6F305E87"/>
    <w:rsid w:val="6F327E52"/>
    <w:rsid w:val="6F3365CC"/>
    <w:rsid w:val="6F355C1A"/>
    <w:rsid w:val="6F392F8E"/>
    <w:rsid w:val="6F395A2B"/>
    <w:rsid w:val="6F3B164A"/>
    <w:rsid w:val="6F3B62CD"/>
    <w:rsid w:val="6F3E2352"/>
    <w:rsid w:val="6F3F1180"/>
    <w:rsid w:val="6F4656AB"/>
    <w:rsid w:val="6F472C99"/>
    <w:rsid w:val="6F487089"/>
    <w:rsid w:val="6F4A6F49"/>
    <w:rsid w:val="6F4F0945"/>
    <w:rsid w:val="6F4F4560"/>
    <w:rsid w:val="6F505725"/>
    <w:rsid w:val="6F506FA1"/>
    <w:rsid w:val="6F543924"/>
    <w:rsid w:val="6F55769C"/>
    <w:rsid w:val="6F5767EF"/>
    <w:rsid w:val="6F59718C"/>
    <w:rsid w:val="6F5A4CB2"/>
    <w:rsid w:val="6F651FD5"/>
    <w:rsid w:val="6F675D4D"/>
    <w:rsid w:val="6F685621"/>
    <w:rsid w:val="6F6A5D27"/>
    <w:rsid w:val="6F6B5112"/>
    <w:rsid w:val="6F6B6EC0"/>
    <w:rsid w:val="6F6C3363"/>
    <w:rsid w:val="6F712728"/>
    <w:rsid w:val="6F775864"/>
    <w:rsid w:val="6F7C2A9F"/>
    <w:rsid w:val="6F7E3ECB"/>
    <w:rsid w:val="6F810491"/>
    <w:rsid w:val="6F834209"/>
    <w:rsid w:val="6F840B90"/>
    <w:rsid w:val="6F86531E"/>
    <w:rsid w:val="6F866C02"/>
    <w:rsid w:val="6F871F4B"/>
    <w:rsid w:val="6F874051"/>
    <w:rsid w:val="6F891E77"/>
    <w:rsid w:val="6F8945E1"/>
    <w:rsid w:val="6F897271"/>
    <w:rsid w:val="6F8A37EA"/>
    <w:rsid w:val="6F8B1310"/>
    <w:rsid w:val="6F902776"/>
    <w:rsid w:val="6F906926"/>
    <w:rsid w:val="6F914B78"/>
    <w:rsid w:val="6F925F92"/>
    <w:rsid w:val="6F9735B3"/>
    <w:rsid w:val="6F973F7E"/>
    <w:rsid w:val="6F9C5A16"/>
    <w:rsid w:val="6F9C60F3"/>
    <w:rsid w:val="6F9C6B77"/>
    <w:rsid w:val="6F9E7295"/>
    <w:rsid w:val="6FA04DBB"/>
    <w:rsid w:val="6FA21C45"/>
    <w:rsid w:val="6FA36659"/>
    <w:rsid w:val="6FA67EF8"/>
    <w:rsid w:val="6FA81EC2"/>
    <w:rsid w:val="6FAA79E8"/>
    <w:rsid w:val="6FAC19B2"/>
    <w:rsid w:val="6FB10D76"/>
    <w:rsid w:val="6FB22D40"/>
    <w:rsid w:val="6FB24AEE"/>
    <w:rsid w:val="6FB40867"/>
    <w:rsid w:val="6FB42615"/>
    <w:rsid w:val="6FB72105"/>
    <w:rsid w:val="6FB95E7D"/>
    <w:rsid w:val="6FBB4137"/>
    <w:rsid w:val="6FBC3D2A"/>
    <w:rsid w:val="6FBC5704"/>
    <w:rsid w:val="6FBD596D"/>
    <w:rsid w:val="6FC3279B"/>
    <w:rsid w:val="6FC32E89"/>
    <w:rsid w:val="6FC347F3"/>
    <w:rsid w:val="6FC36E58"/>
    <w:rsid w:val="6FC52A74"/>
    <w:rsid w:val="6FCA62DC"/>
    <w:rsid w:val="6FCE10E6"/>
    <w:rsid w:val="6FCE205B"/>
    <w:rsid w:val="6FD66A2F"/>
    <w:rsid w:val="6FD76303"/>
    <w:rsid w:val="6FD8191A"/>
    <w:rsid w:val="6FD902CD"/>
    <w:rsid w:val="6FD9207B"/>
    <w:rsid w:val="6FDA2CCF"/>
    <w:rsid w:val="6FE23626"/>
    <w:rsid w:val="6FE26779"/>
    <w:rsid w:val="6FE27182"/>
    <w:rsid w:val="6FEC0000"/>
    <w:rsid w:val="6FED1F6E"/>
    <w:rsid w:val="6FED2426"/>
    <w:rsid w:val="6FEE1FCA"/>
    <w:rsid w:val="6FEF1509"/>
    <w:rsid w:val="6FF0374A"/>
    <w:rsid w:val="6FF11ABB"/>
    <w:rsid w:val="6FF230A4"/>
    <w:rsid w:val="6FF35463"/>
    <w:rsid w:val="6FF60E7F"/>
    <w:rsid w:val="6FF66A5D"/>
    <w:rsid w:val="6FF670D1"/>
    <w:rsid w:val="6FF9096F"/>
    <w:rsid w:val="6FF9337E"/>
    <w:rsid w:val="6FFD045F"/>
    <w:rsid w:val="6FFE345A"/>
    <w:rsid w:val="6FFE5F86"/>
    <w:rsid w:val="6FFF26AD"/>
    <w:rsid w:val="70025A76"/>
    <w:rsid w:val="70057314"/>
    <w:rsid w:val="7007629D"/>
    <w:rsid w:val="700B32D3"/>
    <w:rsid w:val="700C41FF"/>
    <w:rsid w:val="700D7F77"/>
    <w:rsid w:val="70115CB9"/>
    <w:rsid w:val="70141305"/>
    <w:rsid w:val="7016507D"/>
    <w:rsid w:val="7017014C"/>
    <w:rsid w:val="70172DCA"/>
    <w:rsid w:val="70194DCD"/>
    <w:rsid w:val="701B5D3D"/>
    <w:rsid w:val="701C74B2"/>
    <w:rsid w:val="702212C5"/>
    <w:rsid w:val="702459EC"/>
    <w:rsid w:val="702552C0"/>
    <w:rsid w:val="7027728A"/>
    <w:rsid w:val="702A6D7B"/>
    <w:rsid w:val="702C664F"/>
    <w:rsid w:val="703025E3"/>
    <w:rsid w:val="70330545"/>
    <w:rsid w:val="703419D5"/>
    <w:rsid w:val="70346664"/>
    <w:rsid w:val="7036127C"/>
    <w:rsid w:val="703674CE"/>
    <w:rsid w:val="70384FF4"/>
    <w:rsid w:val="703D44F7"/>
    <w:rsid w:val="703E2017"/>
    <w:rsid w:val="703E6218"/>
    <w:rsid w:val="703E6382"/>
    <w:rsid w:val="703F2826"/>
    <w:rsid w:val="704716DB"/>
    <w:rsid w:val="70476FB4"/>
    <w:rsid w:val="70480FAF"/>
    <w:rsid w:val="7049276B"/>
    <w:rsid w:val="704A07CB"/>
    <w:rsid w:val="704B11CB"/>
    <w:rsid w:val="704B18B6"/>
    <w:rsid w:val="70512559"/>
    <w:rsid w:val="70531E2E"/>
    <w:rsid w:val="70534050"/>
    <w:rsid w:val="7056191E"/>
    <w:rsid w:val="70585696"/>
    <w:rsid w:val="705876E0"/>
    <w:rsid w:val="70595889"/>
    <w:rsid w:val="705D672E"/>
    <w:rsid w:val="705E549C"/>
    <w:rsid w:val="706109F2"/>
    <w:rsid w:val="70632D94"/>
    <w:rsid w:val="706A4587"/>
    <w:rsid w:val="706B41B2"/>
    <w:rsid w:val="70701351"/>
    <w:rsid w:val="70716FD7"/>
    <w:rsid w:val="707242E0"/>
    <w:rsid w:val="70726E22"/>
    <w:rsid w:val="707357E9"/>
    <w:rsid w:val="7075449A"/>
    <w:rsid w:val="70761FC0"/>
    <w:rsid w:val="70764AAE"/>
    <w:rsid w:val="70781894"/>
    <w:rsid w:val="707A06D2"/>
    <w:rsid w:val="707F70C6"/>
    <w:rsid w:val="708131AC"/>
    <w:rsid w:val="70814BED"/>
    <w:rsid w:val="70820965"/>
    <w:rsid w:val="70821B92"/>
    <w:rsid w:val="708244C1"/>
    <w:rsid w:val="70871AD7"/>
    <w:rsid w:val="70875F7B"/>
    <w:rsid w:val="70881259"/>
    <w:rsid w:val="70881ABD"/>
    <w:rsid w:val="70891CF3"/>
    <w:rsid w:val="70893AA1"/>
    <w:rsid w:val="708A15C7"/>
    <w:rsid w:val="708B5A6B"/>
    <w:rsid w:val="708B7F22"/>
    <w:rsid w:val="708E10B8"/>
    <w:rsid w:val="708E6837"/>
    <w:rsid w:val="70932B72"/>
    <w:rsid w:val="709354EC"/>
    <w:rsid w:val="70967697"/>
    <w:rsid w:val="70992AC4"/>
    <w:rsid w:val="70993797"/>
    <w:rsid w:val="709F1517"/>
    <w:rsid w:val="70A5064C"/>
    <w:rsid w:val="70AD603D"/>
    <w:rsid w:val="70AE3508"/>
    <w:rsid w:val="70AF7F0C"/>
    <w:rsid w:val="70B14DA6"/>
    <w:rsid w:val="70B328CC"/>
    <w:rsid w:val="70B329FD"/>
    <w:rsid w:val="70B63FFD"/>
    <w:rsid w:val="70B72C7C"/>
    <w:rsid w:val="70B84386"/>
    <w:rsid w:val="70BA00FF"/>
    <w:rsid w:val="70BC3E77"/>
    <w:rsid w:val="70BD7BEF"/>
    <w:rsid w:val="70BF39FA"/>
    <w:rsid w:val="70BF74C3"/>
    <w:rsid w:val="70C03EF4"/>
    <w:rsid w:val="70C03FCF"/>
    <w:rsid w:val="70C04FE9"/>
    <w:rsid w:val="70C14F73"/>
    <w:rsid w:val="70C17CCE"/>
    <w:rsid w:val="70C23B06"/>
    <w:rsid w:val="70C750C9"/>
    <w:rsid w:val="70C8281B"/>
    <w:rsid w:val="70C96594"/>
    <w:rsid w:val="70CA37B5"/>
    <w:rsid w:val="70CE5A55"/>
    <w:rsid w:val="70D2143C"/>
    <w:rsid w:val="70D21600"/>
    <w:rsid w:val="70D311C0"/>
    <w:rsid w:val="70D475D2"/>
    <w:rsid w:val="70D56CE6"/>
    <w:rsid w:val="70D6480D"/>
    <w:rsid w:val="70D70CB1"/>
    <w:rsid w:val="70DA4E7A"/>
    <w:rsid w:val="70DF45B4"/>
    <w:rsid w:val="70E138DD"/>
    <w:rsid w:val="70E1568B"/>
    <w:rsid w:val="70E4517B"/>
    <w:rsid w:val="70E47042"/>
    <w:rsid w:val="70E60EF4"/>
    <w:rsid w:val="70E71017"/>
    <w:rsid w:val="70E909E4"/>
    <w:rsid w:val="70EE1B56"/>
    <w:rsid w:val="70F203E7"/>
    <w:rsid w:val="70F46DD5"/>
    <w:rsid w:val="70F51137"/>
    <w:rsid w:val="70F60E79"/>
    <w:rsid w:val="70F614EA"/>
    <w:rsid w:val="70F72A2A"/>
    <w:rsid w:val="70F73101"/>
    <w:rsid w:val="70F94A85"/>
    <w:rsid w:val="70FC035A"/>
    <w:rsid w:val="70FC0717"/>
    <w:rsid w:val="70FE448F"/>
    <w:rsid w:val="70FF5B11"/>
    <w:rsid w:val="70FF793D"/>
    <w:rsid w:val="71024477"/>
    <w:rsid w:val="7104137A"/>
    <w:rsid w:val="710547C7"/>
    <w:rsid w:val="710650F2"/>
    <w:rsid w:val="71081111"/>
    <w:rsid w:val="710B6BAC"/>
    <w:rsid w:val="710F044A"/>
    <w:rsid w:val="711041C2"/>
    <w:rsid w:val="71131888"/>
    <w:rsid w:val="71136DEE"/>
    <w:rsid w:val="71150C7A"/>
    <w:rsid w:val="71152DC5"/>
    <w:rsid w:val="711669EE"/>
    <w:rsid w:val="71175551"/>
    <w:rsid w:val="711955DA"/>
    <w:rsid w:val="711A6D17"/>
    <w:rsid w:val="71220EF5"/>
    <w:rsid w:val="712367FA"/>
    <w:rsid w:val="71241A1C"/>
    <w:rsid w:val="712706EE"/>
    <w:rsid w:val="7127158C"/>
    <w:rsid w:val="71272EDB"/>
    <w:rsid w:val="712810C8"/>
    <w:rsid w:val="71285068"/>
    <w:rsid w:val="71290DE0"/>
    <w:rsid w:val="712C4911"/>
    <w:rsid w:val="713003C1"/>
    <w:rsid w:val="71304114"/>
    <w:rsid w:val="71327C95"/>
    <w:rsid w:val="71347EB1"/>
    <w:rsid w:val="71384D7B"/>
    <w:rsid w:val="713A53FB"/>
    <w:rsid w:val="713F1162"/>
    <w:rsid w:val="714100EB"/>
    <w:rsid w:val="71467BE4"/>
    <w:rsid w:val="714874B8"/>
    <w:rsid w:val="714979B6"/>
    <w:rsid w:val="714A1482"/>
    <w:rsid w:val="715045BF"/>
    <w:rsid w:val="71504CB8"/>
    <w:rsid w:val="715220E5"/>
    <w:rsid w:val="71535E5D"/>
    <w:rsid w:val="71551BD5"/>
    <w:rsid w:val="71597DC5"/>
    <w:rsid w:val="715B3690"/>
    <w:rsid w:val="715E4F2E"/>
    <w:rsid w:val="715F6EC0"/>
    <w:rsid w:val="71630796"/>
    <w:rsid w:val="71641E18"/>
    <w:rsid w:val="716A38D3"/>
    <w:rsid w:val="716D7B1F"/>
    <w:rsid w:val="717007BD"/>
    <w:rsid w:val="717018ED"/>
    <w:rsid w:val="717165A8"/>
    <w:rsid w:val="717464FF"/>
    <w:rsid w:val="717546F3"/>
    <w:rsid w:val="71755543"/>
    <w:rsid w:val="71771B4C"/>
    <w:rsid w:val="7178464E"/>
    <w:rsid w:val="717958C4"/>
    <w:rsid w:val="717A12F3"/>
    <w:rsid w:val="717A56C5"/>
    <w:rsid w:val="717C0EA9"/>
    <w:rsid w:val="71813AE6"/>
    <w:rsid w:val="718166DC"/>
    <w:rsid w:val="718304F0"/>
    <w:rsid w:val="71854CFA"/>
    <w:rsid w:val="71864D87"/>
    <w:rsid w:val="71894E49"/>
    <w:rsid w:val="718A7AD1"/>
    <w:rsid w:val="718B3849"/>
    <w:rsid w:val="718D32CB"/>
    <w:rsid w:val="71900E5F"/>
    <w:rsid w:val="719135DB"/>
    <w:rsid w:val="719429C1"/>
    <w:rsid w:val="71954707"/>
    <w:rsid w:val="719C5A56"/>
    <w:rsid w:val="719E7794"/>
    <w:rsid w:val="71A072F4"/>
    <w:rsid w:val="71A1306D"/>
    <w:rsid w:val="71A96691"/>
    <w:rsid w:val="71AC3EEB"/>
    <w:rsid w:val="71AD7C63"/>
    <w:rsid w:val="71B0505E"/>
    <w:rsid w:val="71B21356"/>
    <w:rsid w:val="71B25F61"/>
    <w:rsid w:val="71B27028"/>
    <w:rsid w:val="71B278E6"/>
    <w:rsid w:val="71B30ACA"/>
    <w:rsid w:val="71B42DA0"/>
    <w:rsid w:val="71BA7C8A"/>
    <w:rsid w:val="71BB2380"/>
    <w:rsid w:val="71BC14A7"/>
    <w:rsid w:val="71C05FCB"/>
    <w:rsid w:val="71C132A7"/>
    <w:rsid w:val="71C31235"/>
    <w:rsid w:val="71C34D91"/>
    <w:rsid w:val="71C736AA"/>
    <w:rsid w:val="71C80382"/>
    <w:rsid w:val="71C97962"/>
    <w:rsid w:val="71CA7BA9"/>
    <w:rsid w:val="71CD1686"/>
    <w:rsid w:val="71CD3E62"/>
    <w:rsid w:val="71CF1988"/>
    <w:rsid w:val="71D40D4C"/>
    <w:rsid w:val="71D46F9E"/>
    <w:rsid w:val="71D61D0F"/>
    <w:rsid w:val="71D67665"/>
    <w:rsid w:val="71D7319F"/>
    <w:rsid w:val="71D85554"/>
    <w:rsid w:val="71DA3698"/>
    <w:rsid w:val="71DC5E53"/>
    <w:rsid w:val="71E05943"/>
    <w:rsid w:val="71E13469"/>
    <w:rsid w:val="71E76CD1"/>
    <w:rsid w:val="71E847F7"/>
    <w:rsid w:val="71EA0570"/>
    <w:rsid w:val="71EE1771"/>
    <w:rsid w:val="71EE1976"/>
    <w:rsid w:val="71F10DD1"/>
    <w:rsid w:val="71F15DA2"/>
    <w:rsid w:val="71F27DA7"/>
    <w:rsid w:val="71F47640"/>
    <w:rsid w:val="71F65166"/>
    <w:rsid w:val="71F716FC"/>
    <w:rsid w:val="71F82718"/>
    <w:rsid w:val="71FB259A"/>
    <w:rsid w:val="71FB308C"/>
    <w:rsid w:val="71FB43EB"/>
    <w:rsid w:val="71FB452B"/>
    <w:rsid w:val="71FC3E82"/>
    <w:rsid w:val="71FC4DBD"/>
    <w:rsid w:val="71FF234A"/>
    <w:rsid w:val="71FF5A16"/>
    <w:rsid w:val="71FF6EA4"/>
    <w:rsid w:val="72030626"/>
    <w:rsid w:val="720430D3"/>
    <w:rsid w:val="720443FA"/>
    <w:rsid w:val="7205184D"/>
    <w:rsid w:val="7206621D"/>
    <w:rsid w:val="72084E9A"/>
    <w:rsid w:val="72086C48"/>
    <w:rsid w:val="720A672B"/>
    <w:rsid w:val="720A6E02"/>
    <w:rsid w:val="720A6E64"/>
    <w:rsid w:val="721343C1"/>
    <w:rsid w:val="72181581"/>
    <w:rsid w:val="721879F9"/>
    <w:rsid w:val="721A158F"/>
    <w:rsid w:val="721A4443"/>
    <w:rsid w:val="721E1865"/>
    <w:rsid w:val="72231CD3"/>
    <w:rsid w:val="72273572"/>
    <w:rsid w:val="722872EA"/>
    <w:rsid w:val="722905FA"/>
    <w:rsid w:val="722E449C"/>
    <w:rsid w:val="72307D49"/>
    <w:rsid w:val="723111D9"/>
    <w:rsid w:val="723143F0"/>
    <w:rsid w:val="72323CC5"/>
    <w:rsid w:val="72345C8F"/>
    <w:rsid w:val="72374BF5"/>
    <w:rsid w:val="723904CF"/>
    <w:rsid w:val="723914F7"/>
    <w:rsid w:val="72396C13"/>
    <w:rsid w:val="723A2045"/>
    <w:rsid w:val="723C2E11"/>
    <w:rsid w:val="723F6B0D"/>
    <w:rsid w:val="72402885"/>
    <w:rsid w:val="72404633"/>
    <w:rsid w:val="724179B2"/>
    <w:rsid w:val="72421947"/>
    <w:rsid w:val="724317B8"/>
    <w:rsid w:val="72442376"/>
    <w:rsid w:val="72450ADE"/>
    <w:rsid w:val="724539F8"/>
    <w:rsid w:val="72471650"/>
    <w:rsid w:val="724909DE"/>
    <w:rsid w:val="724C7C4B"/>
    <w:rsid w:val="724D0AFE"/>
    <w:rsid w:val="724D25D8"/>
    <w:rsid w:val="724E4A12"/>
    <w:rsid w:val="724E4A39"/>
    <w:rsid w:val="724F2AC9"/>
    <w:rsid w:val="725105EF"/>
    <w:rsid w:val="72514A93"/>
    <w:rsid w:val="725325B9"/>
    <w:rsid w:val="72534367"/>
    <w:rsid w:val="72536115"/>
    <w:rsid w:val="72552548"/>
    <w:rsid w:val="725531A4"/>
    <w:rsid w:val="72556331"/>
    <w:rsid w:val="72587BCF"/>
    <w:rsid w:val="725B2B9B"/>
    <w:rsid w:val="725D3437"/>
    <w:rsid w:val="725E2D0C"/>
    <w:rsid w:val="72606A84"/>
    <w:rsid w:val="72614F83"/>
    <w:rsid w:val="7262438C"/>
    <w:rsid w:val="726245AA"/>
    <w:rsid w:val="72631348"/>
    <w:rsid w:val="72640322"/>
    <w:rsid w:val="726522EC"/>
    <w:rsid w:val="72684737"/>
    <w:rsid w:val="726A16B0"/>
    <w:rsid w:val="726A2B3A"/>
    <w:rsid w:val="726B27F9"/>
    <w:rsid w:val="726E2F4F"/>
    <w:rsid w:val="7271224F"/>
    <w:rsid w:val="72744C26"/>
    <w:rsid w:val="727662A7"/>
    <w:rsid w:val="72785B7B"/>
    <w:rsid w:val="727B1B10"/>
    <w:rsid w:val="727B38BE"/>
    <w:rsid w:val="727C033D"/>
    <w:rsid w:val="727D3192"/>
    <w:rsid w:val="727E6F0A"/>
    <w:rsid w:val="728063A7"/>
    <w:rsid w:val="72807126"/>
    <w:rsid w:val="728301A3"/>
    <w:rsid w:val="728A7C15"/>
    <w:rsid w:val="728E30E2"/>
    <w:rsid w:val="72985791"/>
    <w:rsid w:val="72996FB8"/>
    <w:rsid w:val="729A3D44"/>
    <w:rsid w:val="729A75CE"/>
    <w:rsid w:val="729B5D0E"/>
    <w:rsid w:val="729C5939"/>
    <w:rsid w:val="729C5DE0"/>
    <w:rsid w:val="729F75AC"/>
    <w:rsid w:val="72A20E4A"/>
    <w:rsid w:val="72A41DCB"/>
    <w:rsid w:val="72A6685D"/>
    <w:rsid w:val="72A726FD"/>
    <w:rsid w:val="72A72905"/>
    <w:rsid w:val="72A746B3"/>
    <w:rsid w:val="72A76461"/>
    <w:rsid w:val="72AC1CC9"/>
    <w:rsid w:val="72AC7F1B"/>
    <w:rsid w:val="72AE0E64"/>
    <w:rsid w:val="72B9250E"/>
    <w:rsid w:val="72BA6194"/>
    <w:rsid w:val="72BD7A32"/>
    <w:rsid w:val="72BF0258"/>
    <w:rsid w:val="72C07522"/>
    <w:rsid w:val="72C15774"/>
    <w:rsid w:val="72C2416E"/>
    <w:rsid w:val="72C2773E"/>
    <w:rsid w:val="72C62D8B"/>
    <w:rsid w:val="72C658E2"/>
    <w:rsid w:val="72C810AD"/>
    <w:rsid w:val="72C85252"/>
    <w:rsid w:val="72CB3D94"/>
    <w:rsid w:val="72CB65F3"/>
    <w:rsid w:val="72CC5EC7"/>
    <w:rsid w:val="72CD0B09"/>
    <w:rsid w:val="72CE7E91"/>
    <w:rsid w:val="72D02C5D"/>
    <w:rsid w:val="72D37256"/>
    <w:rsid w:val="72D444C9"/>
    <w:rsid w:val="72D52FCE"/>
    <w:rsid w:val="72D60AF4"/>
    <w:rsid w:val="72D73447"/>
    <w:rsid w:val="72DA4BA4"/>
    <w:rsid w:val="72DA6836"/>
    <w:rsid w:val="72DF37DC"/>
    <w:rsid w:val="72E01973"/>
    <w:rsid w:val="72E15E16"/>
    <w:rsid w:val="72E32C08"/>
    <w:rsid w:val="72E5066D"/>
    <w:rsid w:val="72E66F89"/>
    <w:rsid w:val="72E71524"/>
    <w:rsid w:val="72E96A79"/>
    <w:rsid w:val="72EB27F1"/>
    <w:rsid w:val="72EB6860"/>
    <w:rsid w:val="72EC3B41"/>
    <w:rsid w:val="72ED5B8D"/>
    <w:rsid w:val="72F0605A"/>
    <w:rsid w:val="72F110C0"/>
    <w:rsid w:val="72F21DD2"/>
    <w:rsid w:val="72F25079"/>
    <w:rsid w:val="72F30316"/>
    <w:rsid w:val="72F3295B"/>
    <w:rsid w:val="72F378F8"/>
    <w:rsid w:val="72F42E4A"/>
    <w:rsid w:val="72F64A73"/>
    <w:rsid w:val="72F86CBC"/>
    <w:rsid w:val="72FA3604"/>
    <w:rsid w:val="72FC67AC"/>
    <w:rsid w:val="72FE2DB9"/>
    <w:rsid w:val="72FE3F93"/>
    <w:rsid w:val="73010267"/>
    <w:rsid w:val="73012015"/>
    <w:rsid w:val="73016589"/>
    <w:rsid w:val="7304189F"/>
    <w:rsid w:val="730438B3"/>
    <w:rsid w:val="7305198F"/>
    <w:rsid w:val="73063468"/>
    <w:rsid w:val="73076EFF"/>
    <w:rsid w:val="730C2768"/>
    <w:rsid w:val="730E3E2A"/>
    <w:rsid w:val="73106119"/>
    <w:rsid w:val="731D4975"/>
    <w:rsid w:val="7320374B"/>
    <w:rsid w:val="732142EA"/>
    <w:rsid w:val="73225B94"/>
    <w:rsid w:val="73292630"/>
    <w:rsid w:val="732B52E4"/>
    <w:rsid w:val="732C59B5"/>
    <w:rsid w:val="732D2E0A"/>
    <w:rsid w:val="732D5122"/>
    <w:rsid w:val="73303691"/>
    <w:rsid w:val="7331479F"/>
    <w:rsid w:val="733221CE"/>
    <w:rsid w:val="73326672"/>
    <w:rsid w:val="73330D44"/>
    <w:rsid w:val="73360D7A"/>
    <w:rsid w:val="73375A36"/>
    <w:rsid w:val="733972BD"/>
    <w:rsid w:val="733A0869"/>
    <w:rsid w:val="733B20A7"/>
    <w:rsid w:val="733E1093"/>
    <w:rsid w:val="733E6DC5"/>
    <w:rsid w:val="734168B5"/>
    <w:rsid w:val="7343262D"/>
    <w:rsid w:val="73441F01"/>
    <w:rsid w:val="7346211D"/>
    <w:rsid w:val="73463ECB"/>
    <w:rsid w:val="73467A28"/>
    <w:rsid w:val="7348106F"/>
    <w:rsid w:val="7349727C"/>
    <w:rsid w:val="734B045B"/>
    <w:rsid w:val="734B0E16"/>
    <w:rsid w:val="734B7734"/>
    <w:rsid w:val="735142CD"/>
    <w:rsid w:val="73530396"/>
    <w:rsid w:val="7353375D"/>
    <w:rsid w:val="73541EA7"/>
    <w:rsid w:val="735465E8"/>
    <w:rsid w:val="7355282B"/>
    <w:rsid w:val="73553808"/>
    <w:rsid w:val="7357013F"/>
    <w:rsid w:val="735919E8"/>
    <w:rsid w:val="73593E7F"/>
    <w:rsid w:val="735A0BDC"/>
    <w:rsid w:val="735A34D3"/>
    <w:rsid w:val="735A7977"/>
    <w:rsid w:val="735B6AB0"/>
    <w:rsid w:val="735C36EF"/>
    <w:rsid w:val="735D2FC3"/>
    <w:rsid w:val="735E1215"/>
    <w:rsid w:val="73617EBE"/>
    <w:rsid w:val="73625D05"/>
    <w:rsid w:val="73634562"/>
    <w:rsid w:val="736507F6"/>
    <w:rsid w:val="7365683B"/>
    <w:rsid w:val="736600CA"/>
    <w:rsid w:val="73667774"/>
    <w:rsid w:val="73667ADF"/>
    <w:rsid w:val="73685BF0"/>
    <w:rsid w:val="73691968"/>
    <w:rsid w:val="73693FF1"/>
    <w:rsid w:val="736E51D0"/>
    <w:rsid w:val="736F7E9A"/>
    <w:rsid w:val="73704370"/>
    <w:rsid w:val="73711DF2"/>
    <w:rsid w:val="73734595"/>
    <w:rsid w:val="7375187B"/>
    <w:rsid w:val="73781BAB"/>
    <w:rsid w:val="737A1DC7"/>
    <w:rsid w:val="737C3716"/>
    <w:rsid w:val="737C78ED"/>
    <w:rsid w:val="737D1A16"/>
    <w:rsid w:val="737E5413"/>
    <w:rsid w:val="73813156"/>
    <w:rsid w:val="73816CB2"/>
    <w:rsid w:val="73836ECE"/>
    <w:rsid w:val="738515AF"/>
    <w:rsid w:val="73852C46"/>
    <w:rsid w:val="7386441F"/>
    <w:rsid w:val="738A025C"/>
    <w:rsid w:val="738A5B9F"/>
    <w:rsid w:val="738B331A"/>
    <w:rsid w:val="738D1AFA"/>
    <w:rsid w:val="738F00C7"/>
    <w:rsid w:val="738F62A2"/>
    <w:rsid w:val="7394444F"/>
    <w:rsid w:val="73974727"/>
    <w:rsid w:val="739764D5"/>
    <w:rsid w:val="73993FFB"/>
    <w:rsid w:val="739A7D73"/>
    <w:rsid w:val="739B4217"/>
    <w:rsid w:val="739C79B4"/>
    <w:rsid w:val="739E549D"/>
    <w:rsid w:val="739E7864"/>
    <w:rsid w:val="73A11102"/>
    <w:rsid w:val="73A12E13"/>
    <w:rsid w:val="73A26DE2"/>
    <w:rsid w:val="73A26F97"/>
    <w:rsid w:val="73A3131E"/>
    <w:rsid w:val="73A8107D"/>
    <w:rsid w:val="73AA0E77"/>
    <w:rsid w:val="73AA6208"/>
    <w:rsid w:val="73AB4ED8"/>
    <w:rsid w:val="73AF1A71"/>
    <w:rsid w:val="73AF3118"/>
    <w:rsid w:val="73AF7CC3"/>
    <w:rsid w:val="73B057E9"/>
    <w:rsid w:val="73B13A3B"/>
    <w:rsid w:val="73B230C8"/>
    <w:rsid w:val="73B47087"/>
    <w:rsid w:val="73B70925"/>
    <w:rsid w:val="73B726D3"/>
    <w:rsid w:val="73B72B30"/>
    <w:rsid w:val="73B96AC5"/>
    <w:rsid w:val="73BD5FCC"/>
    <w:rsid w:val="73BF387B"/>
    <w:rsid w:val="73C05A2C"/>
    <w:rsid w:val="73C13552"/>
    <w:rsid w:val="73C1549A"/>
    <w:rsid w:val="73C179F6"/>
    <w:rsid w:val="73C31078"/>
    <w:rsid w:val="73C3376E"/>
    <w:rsid w:val="73C90737"/>
    <w:rsid w:val="73C92407"/>
    <w:rsid w:val="73C979D4"/>
    <w:rsid w:val="73CA1111"/>
    <w:rsid w:val="73CC268A"/>
    <w:rsid w:val="73CC7691"/>
    <w:rsid w:val="73CD5BA5"/>
    <w:rsid w:val="73CD6C4F"/>
    <w:rsid w:val="73D1629C"/>
    <w:rsid w:val="73D2575F"/>
    <w:rsid w:val="73D43285"/>
    <w:rsid w:val="73D440D3"/>
    <w:rsid w:val="73D47EC5"/>
    <w:rsid w:val="73D62817"/>
    <w:rsid w:val="73D72AE8"/>
    <w:rsid w:val="73D82B7F"/>
    <w:rsid w:val="73D834C2"/>
    <w:rsid w:val="73DB142D"/>
    <w:rsid w:val="73DD4830"/>
    <w:rsid w:val="73DF2995"/>
    <w:rsid w:val="73E21E46"/>
    <w:rsid w:val="73E57241"/>
    <w:rsid w:val="73E65A38"/>
    <w:rsid w:val="73E831D5"/>
    <w:rsid w:val="73E94801"/>
    <w:rsid w:val="73EA4857"/>
    <w:rsid w:val="73EB241B"/>
    <w:rsid w:val="73EC1AA2"/>
    <w:rsid w:val="73F12089"/>
    <w:rsid w:val="73F13E37"/>
    <w:rsid w:val="73F64FDE"/>
    <w:rsid w:val="73F676A0"/>
    <w:rsid w:val="73F73418"/>
    <w:rsid w:val="73F952CF"/>
    <w:rsid w:val="73F97190"/>
    <w:rsid w:val="73FB2F08"/>
    <w:rsid w:val="73FD5021"/>
    <w:rsid w:val="73FF07E0"/>
    <w:rsid w:val="7406385C"/>
    <w:rsid w:val="740653C2"/>
    <w:rsid w:val="74074CC2"/>
    <w:rsid w:val="740759EF"/>
    <w:rsid w:val="74092E99"/>
    <w:rsid w:val="74095C37"/>
    <w:rsid w:val="740B2A1F"/>
    <w:rsid w:val="740D6797"/>
    <w:rsid w:val="74116287"/>
    <w:rsid w:val="74122000"/>
    <w:rsid w:val="741438C2"/>
    <w:rsid w:val="74171692"/>
    <w:rsid w:val="741D2E7E"/>
    <w:rsid w:val="741E2752"/>
    <w:rsid w:val="741F60B3"/>
    <w:rsid w:val="74213AFA"/>
    <w:rsid w:val="74213FF1"/>
    <w:rsid w:val="742A7349"/>
    <w:rsid w:val="742C0848"/>
    <w:rsid w:val="742C11FC"/>
    <w:rsid w:val="742C19E9"/>
    <w:rsid w:val="742C5DA8"/>
    <w:rsid w:val="742D6E39"/>
    <w:rsid w:val="742E2774"/>
    <w:rsid w:val="74343D24"/>
    <w:rsid w:val="7434641A"/>
    <w:rsid w:val="74381A66"/>
    <w:rsid w:val="74382034"/>
    <w:rsid w:val="74392A0E"/>
    <w:rsid w:val="74402462"/>
    <w:rsid w:val="74406B6D"/>
    <w:rsid w:val="744228E5"/>
    <w:rsid w:val="7443214A"/>
    <w:rsid w:val="744321B9"/>
    <w:rsid w:val="7448595E"/>
    <w:rsid w:val="744B59AC"/>
    <w:rsid w:val="74503971"/>
    <w:rsid w:val="74524843"/>
    <w:rsid w:val="745360F8"/>
    <w:rsid w:val="745443C6"/>
    <w:rsid w:val="745A5E80"/>
    <w:rsid w:val="745B2982"/>
    <w:rsid w:val="745B7503"/>
    <w:rsid w:val="745D6EFB"/>
    <w:rsid w:val="745E3613"/>
    <w:rsid w:val="745F0551"/>
    <w:rsid w:val="74615A0A"/>
    <w:rsid w:val="74620891"/>
    <w:rsid w:val="74642285"/>
    <w:rsid w:val="74654825"/>
    <w:rsid w:val="74664226"/>
    <w:rsid w:val="74675EA7"/>
    <w:rsid w:val="7469430D"/>
    <w:rsid w:val="746A1E3C"/>
    <w:rsid w:val="746A3BEA"/>
    <w:rsid w:val="746C1710"/>
    <w:rsid w:val="746E1B45"/>
    <w:rsid w:val="7473539A"/>
    <w:rsid w:val="7476433D"/>
    <w:rsid w:val="74777E8B"/>
    <w:rsid w:val="747B7BA5"/>
    <w:rsid w:val="747D1B6F"/>
    <w:rsid w:val="747D391D"/>
    <w:rsid w:val="747D56CB"/>
    <w:rsid w:val="747E6AAC"/>
    <w:rsid w:val="747F5E77"/>
    <w:rsid w:val="7480340D"/>
    <w:rsid w:val="74807A9A"/>
    <w:rsid w:val="74850A24"/>
    <w:rsid w:val="748702F8"/>
    <w:rsid w:val="74893C7E"/>
    <w:rsid w:val="748A009D"/>
    <w:rsid w:val="748D1686"/>
    <w:rsid w:val="748D6999"/>
    <w:rsid w:val="748F3650"/>
    <w:rsid w:val="74911176"/>
    <w:rsid w:val="749173C8"/>
    <w:rsid w:val="74941F12"/>
    <w:rsid w:val="74942A15"/>
    <w:rsid w:val="74956EB9"/>
    <w:rsid w:val="749649DF"/>
    <w:rsid w:val="749B3DA3"/>
    <w:rsid w:val="74A0585D"/>
    <w:rsid w:val="74A419DE"/>
    <w:rsid w:val="74A4534E"/>
    <w:rsid w:val="74A5359C"/>
    <w:rsid w:val="74A621C9"/>
    <w:rsid w:val="74A7141D"/>
    <w:rsid w:val="74A80D46"/>
    <w:rsid w:val="74A92964"/>
    <w:rsid w:val="74AB66DC"/>
    <w:rsid w:val="74AD3D0E"/>
    <w:rsid w:val="74AE7614"/>
    <w:rsid w:val="74AF784E"/>
    <w:rsid w:val="74B15375"/>
    <w:rsid w:val="74B25CE4"/>
    <w:rsid w:val="74B84955"/>
    <w:rsid w:val="74B9247B"/>
    <w:rsid w:val="74B94727"/>
    <w:rsid w:val="74BA419A"/>
    <w:rsid w:val="74BF29C4"/>
    <w:rsid w:val="74C330D6"/>
    <w:rsid w:val="74C4154C"/>
    <w:rsid w:val="74C50E20"/>
    <w:rsid w:val="74CC0400"/>
    <w:rsid w:val="74CC78DB"/>
    <w:rsid w:val="74CD7CDC"/>
    <w:rsid w:val="74D13467"/>
    <w:rsid w:val="74D37E07"/>
    <w:rsid w:val="74DE3FE1"/>
    <w:rsid w:val="74E03DD3"/>
    <w:rsid w:val="74E219D2"/>
    <w:rsid w:val="74E41934"/>
    <w:rsid w:val="74E4399C"/>
    <w:rsid w:val="74E7523A"/>
    <w:rsid w:val="74E81ABC"/>
    <w:rsid w:val="74EB49E5"/>
    <w:rsid w:val="74ED5798"/>
    <w:rsid w:val="74F05498"/>
    <w:rsid w:val="74F162FB"/>
    <w:rsid w:val="74F17E67"/>
    <w:rsid w:val="74F31E31"/>
    <w:rsid w:val="74F3598D"/>
    <w:rsid w:val="74F6543C"/>
    <w:rsid w:val="74F71921"/>
    <w:rsid w:val="74F87447"/>
    <w:rsid w:val="74FA31C0"/>
    <w:rsid w:val="74FD086C"/>
    <w:rsid w:val="74FD4A5E"/>
    <w:rsid w:val="750000AA"/>
    <w:rsid w:val="75011161"/>
    <w:rsid w:val="75050E63"/>
    <w:rsid w:val="75096F5F"/>
    <w:rsid w:val="750B0F29"/>
    <w:rsid w:val="750C27BD"/>
    <w:rsid w:val="750C2CDE"/>
    <w:rsid w:val="750D650E"/>
    <w:rsid w:val="750D6EAB"/>
    <w:rsid w:val="7513273D"/>
    <w:rsid w:val="75132F2C"/>
    <w:rsid w:val="75143E7A"/>
    <w:rsid w:val="7516165A"/>
    <w:rsid w:val="75175B20"/>
    <w:rsid w:val="751771E8"/>
    <w:rsid w:val="751A700A"/>
    <w:rsid w:val="751D2A0A"/>
    <w:rsid w:val="751D6EAE"/>
    <w:rsid w:val="751D7874"/>
    <w:rsid w:val="7521074C"/>
    <w:rsid w:val="7524023C"/>
    <w:rsid w:val="75243D99"/>
    <w:rsid w:val="75272A0A"/>
    <w:rsid w:val="75273889"/>
    <w:rsid w:val="752B200B"/>
    <w:rsid w:val="752C70F1"/>
    <w:rsid w:val="753164B5"/>
    <w:rsid w:val="75322959"/>
    <w:rsid w:val="75330480"/>
    <w:rsid w:val="75387844"/>
    <w:rsid w:val="75393DA6"/>
    <w:rsid w:val="753C37D8"/>
    <w:rsid w:val="753C7334"/>
    <w:rsid w:val="753D30AC"/>
    <w:rsid w:val="753D5060"/>
    <w:rsid w:val="753F0BD2"/>
    <w:rsid w:val="75401397"/>
    <w:rsid w:val="7541494A"/>
    <w:rsid w:val="75422B3C"/>
    <w:rsid w:val="75423766"/>
    <w:rsid w:val="75436915"/>
    <w:rsid w:val="75460325"/>
    <w:rsid w:val="75461F61"/>
    <w:rsid w:val="75483F2B"/>
    <w:rsid w:val="754B7577"/>
    <w:rsid w:val="754D1541"/>
    <w:rsid w:val="754E0E15"/>
    <w:rsid w:val="754E350B"/>
    <w:rsid w:val="754E7067"/>
    <w:rsid w:val="754E76F9"/>
    <w:rsid w:val="75504B8E"/>
    <w:rsid w:val="75556648"/>
    <w:rsid w:val="755725D5"/>
    <w:rsid w:val="7558691B"/>
    <w:rsid w:val="755A3C5E"/>
    <w:rsid w:val="755F1275"/>
    <w:rsid w:val="75616258"/>
    <w:rsid w:val="75640639"/>
    <w:rsid w:val="75644ADD"/>
    <w:rsid w:val="75647671"/>
    <w:rsid w:val="75647EFD"/>
    <w:rsid w:val="756643B1"/>
    <w:rsid w:val="7569258E"/>
    <w:rsid w:val="756B5E56"/>
    <w:rsid w:val="756C44E1"/>
    <w:rsid w:val="756D154D"/>
    <w:rsid w:val="756D208F"/>
    <w:rsid w:val="75706FDE"/>
    <w:rsid w:val="757108D4"/>
    <w:rsid w:val="75742F62"/>
    <w:rsid w:val="75752846"/>
    <w:rsid w:val="75763257"/>
    <w:rsid w:val="757840E4"/>
    <w:rsid w:val="757A4300"/>
    <w:rsid w:val="757C1E26"/>
    <w:rsid w:val="757F36C5"/>
    <w:rsid w:val="75810342"/>
    <w:rsid w:val="758331B5"/>
    <w:rsid w:val="7584022A"/>
    <w:rsid w:val="75840CDB"/>
    <w:rsid w:val="75867A54"/>
    <w:rsid w:val="758863C2"/>
    <w:rsid w:val="7589009F"/>
    <w:rsid w:val="75894543"/>
    <w:rsid w:val="758D5DE2"/>
    <w:rsid w:val="758D7B90"/>
    <w:rsid w:val="758E00C1"/>
    <w:rsid w:val="7591000A"/>
    <w:rsid w:val="759206C7"/>
    <w:rsid w:val="7592088C"/>
    <w:rsid w:val="759251A6"/>
    <w:rsid w:val="75986327"/>
    <w:rsid w:val="759A04FF"/>
    <w:rsid w:val="75A007E0"/>
    <w:rsid w:val="75A1188D"/>
    <w:rsid w:val="75A12ED3"/>
    <w:rsid w:val="75A2585E"/>
    <w:rsid w:val="75A426F4"/>
    <w:rsid w:val="75A60C51"/>
    <w:rsid w:val="75AB270C"/>
    <w:rsid w:val="75AB2ED7"/>
    <w:rsid w:val="75AB4D25"/>
    <w:rsid w:val="75B172CA"/>
    <w:rsid w:val="75B25848"/>
    <w:rsid w:val="75B275F6"/>
    <w:rsid w:val="75B3629E"/>
    <w:rsid w:val="75BB3B77"/>
    <w:rsid w:val="75BF3AC1"/>
    <w:rsid w:val="75C15A8B"/>
    <w:rsid w:val="75C24BF0"/>
    <w:rsid w:val="75C37A55"/>
    <w:rsid w:val="75C4732A"/>
    <w:rsid w:val="75C5557C"/>
    <w:rsid w:val="75C64E50"/>
    <w:rsid w:val="75C94940"/>
    <w:rsid w:val="75CB05D8"/>
    <w:rsid w:val="75CD3BF1"/>
    <w:rsid w:val="75CF01A8"/>
    <w:rsid w:val="75CF1438"/>
    <w:rsid w:val="75D05D09"/>
    <w:rsid w:val="75D237F5"/>
    <w:rsid w:val="75D427E3"/>
    <w:rsid w:val="75D6274E"/>
    <w:rsid w:val="75D67789"/>
    <w:rsid w:val="75D7705D"/>
    <w:rsid w:val="75D80037"/>
    <w:rsid w:val="75D8638B"/>
    <w:rsid w:val="75D91A00"/>
    <w:rsid w:val="75DC28C5"/>
    <w:rsid w:val="75DD619C"/>
    <w:rsid w:val="75DF4163"/>
    <w:rsid w:val="75E0022C"/>
    <w:rsid w:val="75E76DDB"/>
    <w:rsid w:val="75E83558"/>
    <w:rsid w:val="75EA6D90"/>
    <w:rsid w:val="75EE59E0"/>
    <w:rsid w:val="75EF43A6"/>
    <w:rsid w:val="75F53987"/>
    <w:rsid w:val="75F66B70"/>
    <w:rsid w:val="75F714AD"/>
    <w:rsid w:val="75F95225"/>
    <w:rsid w:val="75FA2D4B"/>
    <w:rsid w:val="75FC3666"/>
    <w:rsid w:val="75FC4D15"/>
    <w:rsid w:val="75FC65A1"/>
    <w:rsid w:val="75FF7EA2"/>
    <w:rsid w:val="760017AF"/>
    <w:rsid w:val="760342F6"/>
    <w:rsid w:val="760360A4"/>
    <w:rsid w:val="7608190C"/>
    <w:rsid w:val="76085468"/>
    <w:rsid w:val="760A5684"/>
    <w:rsid w:val="760A7432"/>
    <w:rsid w:val="760C31AA"/>
    <w:rsid w:val="760F2C9B"/>
    <w:rsid w:val="761107C1"/>
    <w:rsid w:val="761262E7"/>
    <w:rsid w:val="76143E0D"/>
    <w:rsid w:val="76171EA7"/>
    <w:rsid w:val="761738FD"/>
    <w:rsid w:val="761756AB"/>
    <w:rsid w:val="761958C7"/>
    <w:rsid w:val="76197675"/>
    <w:rsid w:val="761B163F"/>
    <w:rsid w:val="761C0F14"/>
    <w:rsid w:val="761D1DBC"/>
    <w:rsid w:val="761D459A"/>
    <w:rsid w:val="761F2F1E"/>
    <w:rsid w:val="76200A04"/>
    <w:rsid w:val="76206C56"/>
    <w:rsid w:val="76215DE7"/>
    <w:rsid w:val="76253251"/>
    <w:rsid w:val="76276370"/>
    <w:rsid w:val="76276C73"/>
    <w:rsid w:val="76277AFB"/>
    <w:rsid w:val="762878B8"/>
    <w:rsid w:val="762B2F49"/>
    <w:rsid w:val="7630676D"/>
    <w:rsid w:val="76315091"/>
    <w:rsid w:val="7632427E"/>
    <w:rsid w:val="76342701"/>
    <w:rsid w:val="76367687"/>
    <w:rsid w:val="76383D11"/>
    <w:rsid w:val="763C6E6F"/>
    <w:rsid w:val="763D5EC9"/>
    <w:rsid w:val="763F6329"/>
    <w:rsid w:val="76420BAB"/>
    <w:rsid w:val="76432944"/>
    <w:rsid w:val="76446D4F"/>
    <w:rsid w:val="76447F78"/>
    <w:rsid w:val="76452218"/>
    <w:rsid w:val="76465F91"/>
    <w:rsid w:val="76467193"/>
    <w:rsid w:val="764741E2"/>
    <w:rsid w:val="7647515B"/>
    <w:rsid w:val="764A5A81"/>
    <w:rsid w:val="764C112E"/>
    <w:rsid w:val="764C5733"/>
    <w:rsid w:val="764F753B"/>
    <w:rsid w:val="76500BBD"/>
    <w:rsid w:val="76522B87"/>
    <w:rsid w:val="76535374"/>
    <w:rsid w:val="765406AD"/>
    <w:rsid w:val="76562678"/>
    <w:rsid w:val="765871B6"/>
    <w:rsid w:val="765B1033"/>
    <w:rsid w:val="765B4A61"/>
    <w:rsid w:val="765B7164"/>
    <w:rsid w:val="765C6FAE"/>
    <w:rsid w:val="766216D5"/>
    <w:rsid w:val="7663186E"/>
    <w:rsid w:val="76642C4E"/>
    <w:rsid w:val="766466A9"/>
    <w:rsid w:val="76664579"/>
    <w:rsid w:val="76673C26"/>
    <w:rsid w:val="766928A3"/>
    <w:rsid w:val="766C3C49"/>
    <w:rsid w:val="766D176F"/>
    <w:rsid w:val="76714625"/>
    <w:rsid w:val="767856CA"/>
    <w:rsid w:val="767856CF"/>
    <w:rsid w:val="767B20DE"/>
    <w:rsid w:val="767D5E56"/>
    <w:rsid w:val="767F2EFB"/>
    <w:rsid w:val="768014A2"/>
    <w:rsid w:val="7684252C"/>
    <w:rsid w:val="76852F5D"/>
    <w:rsid w:val="76885277"/>
    <w:rsid w:val="768A40CF"/>
    <w:rsid w:val="768C53EA"/>
    <w:rsid w:val="768C7E47"/>
    <w:rsid w:val="768D1111"/>
    <w:rsid w:val="768D3BBF"/>
    <w:rsid w:val="768F5B89"/>
    <w:rsid w:val="76901C2B"/>
    <w:rsid w:val="76911902"/>
    <w:rsid w:val="769413F2"/>
    <w:rsid w:val="76944BF2"/>
    <w:rsid w:val="769510D8"/>
    <w:rsid w:val="7696032B"/>
    <w:rsid w:val="76960CC6"/>
    <w:rsid w:val="76966F18"/>
    <w:rsid w:val="76984A3E"/>
    <w:rsid w:val="769A6A08"/>
    <w:rsid w:val="76A076F1"/>
    <w:rsid w:val="76A21419"/>
    <w:rsid w:val="76A33700"/>
    <w:rsid w:val="76A421E3"/>
    <w:rsid w:val="76A92DB6"/>
    <w:rsid w:val="76AA29C3"/>
    <w:rsid w:val="76AC04E9"/>
    <w:rsid w:val="76AE24B4"/>
    <w:rsid w:val="76AF3B36"/>
    <w:rsid w:val="76B13BBA"/>
    <w:rsid w:val="76B31878"/>
    <w:rsid w:val="76B33626"/>
    <w:rsid w:val="76B37ACA"/>
    <w:rsid w:val="76B44018"/>
    <w:rsid w:val="76B80C3C"/>
    <w:rsid w:val="76B949B4"/>
    <w:rsid w:val="76BA0E58"/>
    <w:rsid w:val="76BB697E"/>
    <w:rsid w:val="76BB7C34"/>
    <w:rsid w:val="76BC5572"/>
    <w:rsid w:val="76BD034F"/>
    <w:rsid w:val="76BD6253"/>
    <w:rsid w:val="76BE1FCB"/>
    <w:rsid w:val="76BF021D"/>
    <w:rsid w:val="76BF4997"/>
    <w:rsid w:val="76C00D90"/>
    <w:rsid w:val="76C124D4"/>
    <w:rsid w:val="76C467CF"/>
    <w:rsid w:val="76C55F56"/>
    <w:rsid w:val="76C60B18"/>
    <w:rsid w:val="76C84476"/>
    <w:rsid w:val="76C9109B"/>
    <w:rsid w:val="76CD3844"/>
    <w:rsid w:val="76CD6883"/>
    <w:rsid w:val="76CE1080"/>
    <w:rsid w:val="76D076A2"/>
    <w:rsid w:val="76D13703"/>
    <w:rsid w:val="76D34B31"/>
    <w:rsid w:val="76D60F75"/>
    <w:rsid w:val="76D6508A"/>
    <w:rsid w:val="76DA3F51"/>
    <w:rsid w:val="76DB0DCF"/>
    <w:rsid w:val="76DC4121"/>
    <w:rsid w:val="76E557A9"/>
    <w:rsid w:val="76E61C4D"/>
    <w:rsid w:val="76E7060A"/>
    <w:rsid w:val="76E9529A"/>
    <w:rsid w:val="76E97048"/>
    <w:rsid w:val="76EC2FDC"/>
    <w:rsid w:val="76ED6818"/>
    <w:rsid w:val="76EE28B0"/>
    <w:rsid w:val="76F0487A"/>
    <w:rsid w:val="76F105F2"/>
    <w:rsid w:val="76F75EBB"/>
    <w:rsid w:val="76F80230"/>
    <w:rsid w:val="76FB321F"/>
    <w:rsid w:val="76FB49CC"/>
    <w:rsid w:val="76FC7D28"/>
    <w:rsid w:val="770025E3"/>
    <w:rsid w:val="770245AD"/>
    <w:rsid w:val="770403E4"/>
    <w:rsid w:val="77073972"/>
    <w:rsid w:val="7708346D"/>
    <w:rsid w:val="770A7251"/>
    <w:rsid w:val="770B234F"/>
    <w:rsid w:val="77100A78"/>
    <w:rsid w:val="7710232D"/>
    <w:rsid w:val="771542E1"/>
    <w:rsid w:val="771816DB"/>
    <w:rsid w:val="7718459C"/>
    <w:rsid w:val="77185FAF"/>
    <w:rsid w:val="771976E4"/>
    <w:rsid w:val="77197D0F"/>
    <w:rsid w:val="771A5453"/>
    <w:rsid w:val="771C566F"/>
    <w:rsid w:val="772269FE"/>
    <w:rsid w:val="77286F9E"/>
    <w:rsid w:val="772938E8"/>
    <w:rsid w:val="77295DC9"/>
    <w:rsid w:val="772C162A"/>
    <w:rsid w:val="7730111A"/>
    <w:rsid w:val="7731279D"/>
    <w:rsid w:val="77324E93"/>
    <w:rsid w:val="77334767"/>
    <w:rsid w:val="77336515"/>
    <w:rsid w:val="7734311F"/>
    <w:rsid w:val="7735228D"/>
    <w:rsid w:val="77366005"/>
    <w:rsid w:val="773A78A3"/>
    <w:rsid w:val="773B361B"/>
    <w:rsid w:val="773B555D"/>
    <w:rsid w:val="773C186D"/>
    <w:rsid w:val="773C7ABF"/>
    <w:rsid w:val="773D7394"/>
    <w:rsid w:val="77400C32"/>
    <w:rsid w:val="77416E84"/>
    <w:rsid w:val="7746449A"/>
    <w:rsid w:val="77470212"/>
    <w:rsid w:val="7747223C"/>
    <w:rsid w:val="77476464"/>
    <w:rsid w:val="774A385E"/>
    <w:rsid w:val="774E77F3"/>
    <w:rsid w:val="7750356B"/>
    <w:rsid w:val="77536BB7"/>
    <w:rsid w:val="77545CF4"/>
    <w:rsid w:val="7755292F"/>
    <w:rsid w:val="77562203"/>
    <w:rsid w:val="7756518C"/>
    <w:rsid w:val="775C1F10"/>
    <w:rsid w:val="775C2A95"/>
    <w:rsid w:val="775C3CBE"/>
    <w:rsid w:val="775D1F5A"/>
    <w:rsid w:val="776479D4"/>
    <w:rsid w:val="7767447D"/>
    <w:rsid w:val="7767567E"/>
    <w:rsid w:val="776808B4"/>
    <w:rsid w:val="776E4808"/>
    <w:rsid w:val="777015B2"/>
    <w:rsid w:val="777032C5"/>
    <w:rsid w:val="77704F3A"/>
    <w:rsid w:val="7771703D"/>
    <w:rsid w:val="7772528F"/>
    <w:rsid w:val="77744684"/>
    <w:rsid w:val="77770AF7"/>
    <w:rsid w:val="777803CC"/>
    <w:rsid w:val="7778661E"/>
    <w:rsid w:val="777A05E8"/>
    <w:rsid w:val="777F4894"/>
    <w:rsid w:val="777F79AC"/>
    <w:rsid w:val="77843214"/>
    <w:rsid w:val="778C0ADA"/>
    <w:rsid w:val="778C0F36"/>
    <w:rsid w:val="778C10EB"/>
    <w:rsid w:val="778E63DA"/>
    <w:rsid w:val="778E6EBB"/>
    <w:rsid w:val="778E7BEF"/>
    <w:rsid w:val="77901BB9"/>
    <w:rsid w:val="77903967"/>
    <w:rsid w:val="7791148D"/>
    <w:rsid w:val="77923CEA"/>
    <w:rsid w:val="77931C2F"/>
    <w:rsid w:val="779455FA"/>
    <w:rsid w:val="77947D29"/>
    <w:rsid w:val="77950F7E"/>
    <w:rsid w:val="77976AA4"/>
    <w:rsid w:val="779808A6"/>
    <w:rsid w:val="77980A6E"/>
    <w:rsid w:val="779B2290"/>
    <w:rsid w:val="779C40BA"/>
    <w:rsid w:val="779D1178"/>
    <w:rsid w:val="779F004E"/>
    <w:rsid w:val="779F3BAA"/>
    <w:rsid w:val="77A25449"/>
    <w:rsid w:val="77A318EC"/>
    <w:rsid w:val="77A414DC"/>
    <w:rsid w:val="77A45665"/>
    <w:rsid w:val="77A754E0"/>
    <w:rsid w:val="77A94803"/>
    <w:rsid w:val="77AA1492"/>
    <w:rsid w:val="77AA4F8E"/>
    <w:rsid w:val="77AF60C6"/>
    <w:rsid w:val="77B358A8"/>
    <w:rsid w:val="77B37656"/>
    <w:rsid w:val="77B77146"/>
    <w:rsid w:val="77B84C6C"/>
    <w:rsid w:val="77B95BD9"/>
    <w:rsid w:val="77B962E8"/>
    <w:rsid w:val="77B96D29"/>
    <w:rsid w:val="77BE0462"/>
    <w:rsid w:val="77BF21E1"/>
    <w:rsid w:val="77C12DF0"/>
    <w:rsid w:val="77C16217"/>
    <w:rsid w:val="77C477A0"/>
    <w:rsid w:val="77C655DB"/>
    <w:rsid w:val="77C67389"/>
    <w:rsid w:val="77C8440C"/>
    <w:rsid w:val="77CC4224"/>
    <w:rsid w:val="77CD18C2"/>
    <w:rsid w:val="77CD6139"/>
    <w:rsid w:val="77CE623E"/>
    <w:rsid w:val="77CF650E"/>
    <w:rsid w:val="77D00208"/>
    <w:rsid w:val="77D17A87"/>
    <w:rsid w:val="77D27871"/>
    <w:rsid w:val="77D31AA6"/>
    <w:rsid w:val="77D54204"/>
    <w:rsid w:val="77D632A2"/>
    <w:rsid w:val="77D704AF"/>
    <w:rsid w:val="77D73344"/>
    <w:rsid w:val="77D965E5"/>
    <w:rsid w:val="77DD64B5"/>
    <w:rsid w:val="77DE0B76"/>
    <w:rsid w:val="77E12415"/>
    <w:rsid w:val="77E15F2A"/>
    <w:rsid w:val="77E34AEE"/>
    <w:rsid w:val="77E36B97"/>
    <w:rsid w:val="77E37423"/>
    <w:rsid w:val="77E445AD"/>
    <w:rsid w:val="77E553A8"/>
    <w:rsid w:val="77EA16F7"/>
    <w:rsid w:val="77ED43AE"/>
    <w:rsid w:val="77F42148"/>
    <w:rsid w:val="77F55EC0"/>
    <w:rsid w:val="77F66609"/>
    <w:rsid w:val="77F71C38"/>
    <w:rsid w:val="77F739E6"/>
    <w:rsid w:val="77F75794"/>
    <w:rsid w:val="77F9150C"/>
    <w:rsid w:val="77FA7033"/>
    <w:rsid w:val="77FC2DAB"/>
    <w:rsid w:val="77FD5769"/>
    <w:rsid w:val="780215B6"/>
    <w:rsid w:val="78034139"/>
    <w:rsid w:val="78090E99"/>
    <w:rsid w:val="780954C8"/>
    <w:rsid w:val="780A196C"/>
    <w:rsid w:val="780E5940"/>
    <w:rsid w:val="780F6C72"/>
    <w:rsid w:val="78115960"/>
    <w:rsid w:val="78126A72"/>
    <w:rsid w:val="78174088"/>
    <w:rsid w:val="78194988"/>
    <w:rsid w:val="781A3FD2"/>
    <w:rsid w:val="781B5927"/>
    <w:rsid w:val="781E71C5"/>
    <w:rsid w:val="781E731D"/>
    <w:rsid w:val="781E7BA9"/>
    <w:rsid w:val="782347DB"/>
    <w:rsid w:val="782642CC"/>
    <w:rsid w:val="782D0F03"/>
    <w:rsid w:val="782D1944"/>
    <w:rsid w:val="78320EC2"/>
    <w:rsid w:val="78322C70"/>
    <w:rsid w:val="78330C92"/>
    <w:rsid w:val="78342545"/>
    <w:rsid w:val="783B1B25"/>
    <w:rsid w:val="783B7D77"/>
    <w:rsid w:val="78414C61"/>
    <w:rsid w:val="784309DA"/>
    <w:rsid w:val="7847671C"/>
    <w:rsid w:val="78485FF0"/>
    <w:rsid w:val="784C3D32"/>
    <w:rsid w:val="78534766"/>
    <w:rsid w:val="78542BE7"/>
    <w:rsid w:val="785534B6"/>
    <w:rsid w:val="7855542C"/>
    <w:rsid w:val="78571C40"/>
    <w:rsid w:val="785726D7"/>
    <w:rsid w:val="78580D70"/>
    <w:rsid w:val="785A2E96"/>
    <w:rsid w:val="785B3F75"/>
    <w:rsid w:val="785C79B0"/>
    <w:rsid w:val="785E1CB7"/>
    <w:rsid w:val="78614015"/>
    <w:rsid w:val="786170B2"/>
    <w:rsid w:val="786210BD"/>
    <w:rsid w:val="7866291A"/>
    <w:rsid w:val="786A240A"/>
    <w:rsid w:val="786C7F30"/>
    <w:rsid w:val="786D3CA8"/>
    <w:rsid w:val="786F3A75"/>
    <w:rsid w:val="78715547"/>
    <w:rsid w:val="78726D9E"/>
    <w:rsid w:val="78735026"/>
    <w:rsid w:val="78782095"/>
    <w:rsid w:val="78782D79"/>
    <w:rsid w:val="7878358F"/>
    <w:rsid w:val="78785895"/>
    <w:rsid w:val="7879089F"/>
    <w:rsid w:val="78793335"/>
    <w:rsid w:val="787C3EEC"/>
    <w:rsid w:val="787D038F"/>
    <w:rsid w:val="787D213D"/>
    <w:rsid w:val="787F1FE0"/>
    <w:rsid w:val="78822056"/>
    <w:rsid w:val="78833532"/>
    <w:rsid w:val="78855E52"/>
    <w:rsid w:val="78856643"/>
    <w:rsid w:val="78872FBC"/>
    <w:rsid w:val="788D5D25"/>
    <w:rsid w:val="788E22F0"/>
    <w:rsid w:val="78915BE9"/>
    <w:rsid w:val="78926ECA"/>
    <w:rsid w:val="789456D9"/>
    <w:rsid w:val="78964FAD"/>
    <w:rsid w:val="78986F77"/>
    <w:rsid w:val="789B25C4"/>
    <w:rsid w:val="789C1508"/>
    <w:rsid w:val="78A07BDA"/>
    <w:rsid w:val="78A235FD"/>
    <w:rsid w:val="78A3477C"/>
    <w:rsid w:val="78A53442"/>
    <w:rsid w:val="78A551F0"/>
    <w:rsid w:val="78A7237F"/>
    <w:rsid w:val="78A7540C"/>
    <w:rsid w:val="78A80FE9"/>
    <w:rsid w:val="78AC657F"/>
    <w:rsid w:val="78AD248D"/>
    <w:rsid w:val="78AD3BCE"/>
    <w:rsid w:val="78AF75C8"/>
    <w:rsid w:val="78B13B95"/>
    <w:rsid w:val="78B15398"/>
    <w:rsid w:val="78B26AE9"/>
    <w:rsid w:val="78B35B5F"/>
    <w:rsid w:val="78B545FC"/>
    <w:rsid w:val="78B83C1C"/>
    <w:rsid w:val="78BB4A14"/>
    <w:rsid w:val="78BD1BF0"/>
    <w:rsid w:val="78BE4BF4"/>
    <w:rsid w:val="78BF6000"/>
    <w:rsid w:val="78C3558A"/>
    <w:rsid w:val="78C45BA2"/>
    <w:rsid w:val="78C87131"/>
    <w:rsid w:val="78C935D5"/>
    <w:rsid w:val="78CA10FB"/>
    <w:rsid w:val="78CC398B"/>
    <w:rsid w:val="78CC7D9F"/>
    <w:rsid w:val="78CD4747"/>
    <w:rsid w:val="78CF04BF"/>
    <w:rsid w:val="78CF4963"/>
    <w:rsid w:val="78D17826"/>
    <w:rsid w:val="78D635FC"/>
    <w:rsid w:val="78D87374"/>
    <w:rsid w:val="78DB3308"/>
    <w:rsid w:val="78DD156C"/>
    <w:rsid w:val="78E026CC"/>
    <w:rsid w:val="78E05156"/>
    <w:rsid w:val="78E55F35"/>
    <w:rsid w:val="78EA74C2"/>
    <w:rsid w:val="78EE4DE9"/>
    <w:rsid w:val="78EF0B61"/>
    <w:rsid w:val="78F440D1"/>
    <w:rsid w:val="78F46178"/>
    <w:rsid w:val="78F671A8"/>
    <w:rsid w:val="78F7198D"/>
    <w:rsid w:val="78F87A16"/>
    <w:rsid w:val="78F91AEA"/>
    <w:rsid w:val="78FB0AB1"/>
    <w:rsid w:val="78FB3062"/>
    <w:rsid w:val="78FC1CFD"/>
    <w:rsid w:val="78FF6FF6"/>
    <w:rsid w:val="79010967"/>
    <w:rsid w:val="790243F1"/>
    <w:rsid w:val="79030169"/>
    <w:rsid w:val="79075DFA"/>
    <w:rsid w:val="790A14F7"/>
    <w:rsid w:val="790C34C1"/>
    <w:rsid w:val="790E7239"/>
    <w:rsid w:val="79134850"/>
    <w:rsid w:val="791352EF"/>
    <w:rsid w:val="79135C5D"/>
    <w:rsid w:val="79181E66"/>
    <w:rsid w:val="791906D8"/>
    <w:rsid w:val="791A693D"/>
    <w:rsid w:val="791B1956"/>
    <w:rsid w:val="791B3704"/>
    <w:rsid w:val="791B54B2"/>
    <w:rsid w:val="791F131F"/>
    <w:rsid w:val="792028FB"/>
    <w:rsid w:val="79232399"/>
    <w:rsid w:val="792425B9"/>
    <w:rsid w:val="7925540A"/>
    <w:rsid w:val="792627D5"/>
    <w:rsid w:val="792720A9"/>
    <w:rsid w:val="7927654D"/>
    <w:rsid w:val="792B6803"/>
    <w:rsid w:val="792C22A2"/>
    <w:rsid w:val="792C3B64"/>
    <w:rsid w:val="792E3438"/>
    <w:rsid w:val="792E51E6"/>
    <w:rsid w:val="79336CA0"/>
    <w:rsid w:val="79352A18"/>
    <w:rsid w:val="79372434"/>
    <w:rsid w:val="79391E13"/>
    <w:rsid w:val="793B5B55"/>
    <w:rsid w:val="793B73B7"/>
    <w:rsid w:val="793D7B1F"/>
    <w:rsid w:val="793E7479"/>
    <w:rsid w:val="7940316B"/>
    <w:rsid w:val="7941548E"/>
    <w:rsid w:val="7942661A"/>
    <w:rsid w:val="794964C4"/>
    <w:rsid w:val="794A3609"/>
    <w:rsid w:val="794A5E74"/>
    <w:rsid w:val="794B3FEA"/>
    <w:rsid w:val="794D5679"/>
    <w:rsid w:val="7951722A"/>
    <w:rsid w:val="795A327D"/>
    <w:rsid w:val="795C2431"/>
    <w:rsid w:val="795D2751"/>
    <w:rsid w:val="79600758"/>
    <w:rsid w:val="79624D62"/>
    <w:rsid w:val="79646E59"/>
    <w:rsid w:val="79666685"/>
    <w:rsid w:val="79674B9C"/>
    <w:rsid w:val="7967609A"/>
    <w:rsid w:val="796C54B2"/>
    <w:rsid w:val="796C56AF"/>
    <w:rsid w:val="79706818"/>
    <w:rsid w:val="79734E48"/>
    <w:rsid w:val="79774661"/>
    <w:rsid w:val="79787293"/>
    <w:rsid w:val="79792E28"/>
    <w:rsid w:val="797A0886"/>
    <w:rsid w:val="797B6B4F"/>
    <w:rsid w:val="797C1F00"/>
    <w:rsid w:val="797D7A93"/>
    <w:rsid w:val="797E3479"/>
    <w:rsid w:val="798219D5"/>
    <w:rsid w:val="7982320E"/>
    <w:rsid w:val="79865022"/>
    <w:rsid w:val="79870D9A"/>
    <w:rsid w:val="79882CF2"/>
    <w:rsid w:val="798C015E"/>
    <w:rsid w:val="798D1378"/>
    <w:rsid w:val="798E037A"/>
    <w:rsid w:val="798E2128"/>
    <w:rsid w:val="798F0D8A"/>
    <w:rsid w:val="79910EBB"/>
    <w:rsid w:val="79927E6B"/>
    <w:rsid w:val="79933F60"/>
    <w:rsid w:val="799356A1"/>
    <w:rsid w:val="79955265"/>
    <w:rsid w:val="79970DFB"/>
    <w:rsid w:val="79975C89"/>
    <w:rsid w:val="7997722F"/>
    <w:rsid w:val="79986B03"/>
    <w:rsid w:val="799A513D"/>
    <w:rsid w:val="799D05BD"/>
    <w:rsid w:val="79A03DAF"/>
    <w:rsid w:val="79A61220"/>
    <w:rsid w:val="79A67472"/>
    <w:rsid w:val="79A7598D"/>
    <w:rsid w:val="79A84B20"/>
    <w:rsid w:val="79A90D10"/>
    <w:rsid w:val="79A93BF4"/>
    <w:rsid w:val="79A951B4"/>
    <w:rsid w:val="79AA4186"/>
    <w:rsid w:val="79AB0C20"/>
    <w:rsid w:val="79AC25AE"/>
    <w:rsid w:val="79AD3C9C"/>
    <w:rsid w:val="79AE6327"/>
    <w:rsid w:val="79B00633"/>
    <w:rsid w:val="79B24069"/>
    <w:rsid w:val="79B25E17"/>
    <w:rsid w:val="79B37DE1"/>
    <w:rsid w:val="79B511C2"/>
    <w:rsid w:val="79B53B59"/>
    <w:rsid w:val="79B80F53"/>
    <w:rsid w:val="79BC2912"/>
    <w:rsid w:val="79BC4EE7"/>
    <w:rsid w:val="79BD47BC"/>
    <w:rsid w:val="79C11BD2"/>
    <w:rsid w:val="79C45B4A"/>
    <w:rsid w:val="79C67FF1"/>
    <w:rsid w:val="79C8388C"/>
    <w:rsid w:val="79CB0C87"/>
    <w:rsid w:val="79CE03DB"/>
    <w:rsid w:val="79D02741"/>
    <w:rsid w:val="79D03B34"/>
    <w:rsid w:val="79D078A5"/>
    <w:rsid w:val="79D20778"/>
    <w:rsid w:val="79D31B8D"/>
    <w:rsid w:val="79D33452"/>
    <w:rsid w:val="79D51B05"/>
    <w:rsid w:val="79D73ACF"/>
    <w:rsid w:val="79D821F3"/>
    <w:rsid w:val="79DD1288"/>
    <w:rsid w:val="79DD238A"/>
    <w:rsid w:val="79DE4E49"/>
    <w:rsid w:val="79E00438"/>
    <w:rsid w:val="79E07F17"/>
    <w:rsid w:val="79E24918"/>
    <w:rsid w:val="79E3549E"/>
    <w:rsid w:val="79E36EC8"/>
    <w:rsid w:val="79E41D48"/>
    <w:rsid w:val="79E47F9A"/>
    <w:rsid w:val="79E623F4"/>
    <w:rsid w:val="79E93803"/>
    <w:rsid w:val="79E9620E"/>
    <w:rsid w:val="79EC36DB"/>
    <w:rsid w:val="79EE4CD5"/>
    <w:rsid w:val="79F015DC"/>
    <w:rsid w:val="79F2497C"/>
    <w:rsid w:val="79F2754D"/>
    <w:rsid w:val="79F503F9"/>
    <w:rsid w:val="79F71A7C"/>
    <w:rsid w:val="79F77CCE"/>
    <w:rsid w:val="79F854FA"/>
    <w:rsid w:val="79F857F4"/>
    <w:rsid w:val="79F96996"/>
    <w:rsid w:val="79FC1788"/>
    <w:rsid w:val="79FC4230"/>
    <w:rsid w:val="79FD47FB"/>
    <w:rsid w:val="7A04063C"/>
    <w:rsid w:val="7A0640B0"/>
    <w:rsid w:val="7A067586"/>
    <w:rsid w:val="7A09710C"/>
    <w:rsid w:val="7A100D8F"/>
    <w:rsid w:val="7A106FE1"/>
    <w:rsid w:val="7A146139"/>
    <w:rsid w:val="7A146AD1"/>
    <w:rsid w:val="7A150154"/>
    <w:rsid w:val="7A170370"/>
    <w:rsid w:val="7A175207"/>
    <w:rsid w:val="7A1940E8"/>
    <w:rsid w:val="7A19518C"/>
    <w:rsid w:val="7A2160F8"/>
    <w:rsid w:val="7A224071"/>
    <w:rsid w:val="7A27753D"/>
    <w:rsid w:val="7A28257D"/>
    <w:rsid w:val="7A2860D9"/>
    <w:rsid w:val="7A291E51"/>
    <w:rsid w:val="7A2E04F3"/>
    <w:rsid w:val="7A2F491E"/>
    <w:rsid w:val="7A304F8E"/>
    <w:rsid w:val="7A3507F6"/>
    <w:rsid w:val="7A351ED1"/>
    <w:rsid w:val="7A376ADB"/>
    <w:rsid w:val="7A3928DF"/>
    <w:rsid w:val="7A393AB3"/>
    <w:rsid w:val="7A394C16"/>
    <w:rsid w:val="7A3A5144"/>
    <w:rsid w:val="7A3B22B0"/>
    <w:rsid w:val="7A3C7DD6"/>
    <w:rsid w:val="7A3E0239"/>
    <w:rsid w:val="7A3E3B4E"/>
    <w:rsid w:val="7A3F57A6"/>
    <w:rsid w:val="7A410F49"/>
    <w:rsid w:val="7A450285"/>
    <w:rsid w:val="7A454EDD"/>
    <w:rsid w:val="7A4601A0"/>
    <w:rsid w:val="7A495F11"/>
    <w:rsid w:val="7A49604F"/>
    <w:rsid w:val="7A4A42A1"/>
    <w:rsid w:val="7A4D5B40"/>
    <w:rsid w:val="7A4F1436"/>
    <w:rsid w:val="7A522889"/>
    <w:rsid w:val="7A5275FA"/>
    <w:rsid w:val="7A57046F"/>
    <w:rsid w:val="7A5858DF"/>
    <w:rsid w:val="7A5C05A1"/>
    <w:rsid w:val="7A5C60B5"/>
    <w:rsid w:val="7A5C6838"/>
    <w:rsid w:val="7A5D3254"/>
    <w:rsid w:val="7A5F078B"/>
    <w:rsid w:val="7A5F2E01"/>
    <w:rsid w:val="7A601D17"/>
    <w:rsid w:val="7A620295"/>
    <w:rsid w:val="7A635363"/>
    <w:rsid w:val="7A656BC0"/>
    <w:rsid w:val="7A666C01"/>
    <w:rsid w:val="7A6B1472"/>
    <w:rsid w:val="7A707A80"/>
    <w:rsid w:val="7A751048"/>
    <w:rsid w:val="7A777060"/>
    <w:rsid w:val="7A7D6F86"/>
    <w:rsid w:val="7A7E0956"/>
    <w:rsid w:val="7A7E3F4B"/>
    <w:rsid w:val="7A8552D9"/>
    <w:rsid w:val="7A862E00"/>
    <w:rsid w:val="7A865511"/>
    <w:rsid w:val="7A88301C"/>
    <w:rsid w:val="7A8F43AA"/>
    <w:rsid w:val="7A8F7F06"/>
    <w:rsid w:val="7A911ED0"/>
    <w:rsid w:val="7A923E9A"/>
    <w:rsid w:val="7A951295"/>
    <w:rsid w:val="7A97500D"/>
    <w:rsid w:val="7A992EB0"/>
    <w:rsid w:val="7A9C503A"/>
    <w:rsid w:val="7A9D6842"/>
    <w:rsid w:val="7A9D6AC7"/>
    <w:rsid w:val="7A9E283F"/>
    <w:rsid w:val="7A9E45ED"/>
    <w:rsid w:val="7A9E572A"/>
    <w:rsid w:val="7A9E58E0"/>
    <w:rsid w:val="7AA53F4F"/>
    <w:rsid w:val="7AA62526"/>
    <w:rsid w:val="7AA716F4"/>
    <w:rsid w:val="7AA933D2"/>
    <w:rsid w:val="7AAA2F92"/>
    <w:rsid w:val="7AAB6B9F"/>
    <w:rsid w:val="7AAC4A5F"/>
    <w:rsid w:val="7AAC7F07"/>
    <w:rsid w:val="7AB14320"/>
    <w:rsid w:val="7AB16DBD"/>
    <w:rsid w:val="7AB4796D"/>
    <w:rsid w:val="7AB636E5"/>
    <w:rsid w:val="7AB65120"/>
    <w:rsid w:val="7AB67B89"/>
    <w:rsid w:val="7AB93293"/>
    <w:rsid w:val="7ABB519F"/>
    <w:rsid w:val="7ABB6F4D"/>
    <w:rsid w:val="7ABE07EB"/>
    <w:rsid w:val="7ABE675F"/>
    <w:rsid w:val="7AC01C0F"/>
    <w:rsid w:val="7AC5146A"/>
    <w:rsid w:val="7AC94B56"/>
    <w:rsid w:val="7ACA7190"/>
    <w:rsid w:val="7ACC72BE"/>
    <w:rsid w:val="7ACD0A2E"/>
    <w:rsid w:val="7ACF0C4A"/>
    <w:rsid w:val="7AD00747"/>
    <w:rsid w:val="7AD149C3"/>
    <w:rsid w:val="7AD24297"/>
    <w:rsid w:val="7AD51F08"/>
    <w:rsid w:val="7AD81021"/>
    <w:rsid w:val="7AD8769F"/>
    <w:rsid w:val="7AD87842"/>
    <w:rsid w:val="7ADA5588"/>
    <w:rsid w:val="7ADC07EB"/>
    <w:rsid w:val="7ADE0E8D"/>
    <w:rsid w:val="7AE03355"/>
    <w:rsid w:val="7AE2272C"/>
    <w:rsid w:val="7AE364A4"/>
    <w:rsid w:val="7AE3772B"/>
    <w:rsid w:val="7AE55D78"/>
    <w:rsid w:val="7AEC00ED"/>
    <w:rsid w:val="7AED2E7F"/>
    <w:rsid w:val="7AEF309B"/>
    <w:rsid w:val="7AEF33E2"/>
    <w:rsid w:val="7AEF4E49"/>
    <w:rsid w:val="7AF1471D"/>
    <w:rsid w:val="7AF406B1"/>
    <w:rsid w:val="7AF52FFD"/>
    <w:rsid w:val="7AF63020"/>
    <w:rsid w:val="7AF81F4F"/>
    <w:rsid w:val="7AF933BC"/>
    <w:rsid w:val="7AFA19DE"/>
    <w:rsid w:val="7AFB3BDC"/>
    <w:rsid w:val="7AFB559C"/>
    <w:rsid w:val="7AFC477A"/>
    <w:rsid w:val="7B002BB2"/>
    <w:rsid w:val="7B0326A2"/>
    <w:rsid w:val="7B036E36"/>
    <w:rsid w:val="7B04546D"/>
    <w:rsid w:val="7B060931"/>
    <w:rsid w:val="7B0869BE"/>
    <w:rsid w:val="7B0A3A31"/>
    <w:rsid w:val="7B0C0269"/>
    <w:rsid w:val="7B0C59FB"/>
    <w:rsid w:val="7B113011"/>
    <w:rsid w:val="7B1228E5"/>
    <w:rsid w:val="7B130B37"/>
    <w:rsid w:val="7B13722D"/>
    <w:rsid w:val="7B152B01"/>
    <w:rsid w:val="7B160627"/>
    <w:rsid w:val="7B187C5B"/>
    <w:rsid w:val="7B193C74"/>
    <w:rsid w:val="7B1D3764"/>
    <w:rsid w:val="7B1D7C08"/>
    <w:rsid w:val="7B22521E"/>
    <w:rsid w:val="7B226FCC"/>
    <w:rsid w:val="7B230D16"/>
    <w:rsid w:val="7B233AED"/>
    <w:rsid w:val="7B256ABC"/>
    <w:rsid w:val="7B2A7C2F"/>
    <w:rsid w:val="7B2E5A9E"/>
    <w:rsid w:val="7B2F1B69"/>
    <w:rsid w:val="7B2F4023"/>
    <w:rsid w:val="7B313CEB"/>
    <w:rsid w:val="7B33611A"/>
    <w:rsid w:val="7B354F51"/>
    <w:rsid w:val="7B38234C"/>
    <w:rsid w:val="7B3867F0"/>
    <w:rsid w:val="7B3A03BD"/>
    <w:rsid w:val="7B3B1E3C"/>
    <w:rsid w:val="7B3F7B7E"/>
    <w:rsid w:val="7B4056AF"/>
    <w:rsid w:val="7B405743"/>
    <w:rsid w:val="7B430CF1"/>
    <w:rsid w:val="7B450F0D"/>
    <w:rsid w:val="7B474C85"/>
    <w:rsid w:val="7B48416D"/>
    <w:rsid w:val="7B494559"/>
    <w:rsid w:val="7B4D2521"/>
    <w:rsid w:val="7B4E5342"/>
    <w:rsid w:val="7B4F58E7"/>
    <w:rsid w:val="7B505574"/>
    <w:rsid w:val="7B513926"/>
    <w:rsid w:val="7B5829EE"/>
    <w:rsid w:val="7B590472"/>
    <w:rsid w:val="7B590514"/>
    <w:rsid w:val="7B5951B2"/>
    <w:rsid w:val="7B5A6266"/>
    <w:rsid w:val="7B5C2D88"/>
    <w:rsid w:val="7B5C30F3"/>
    <w:rsid w:val="7B5E4E76"/>
    <w:rsid w:val="7B643141"/>
    <w:rsid w:val="7B66335D"/>
    <w:rsid w:val="7B6A569E"/>
    <w:rsid w:val="7B6B2608"/>
    <w:rsid w:val="7B6F673B"/>
    <w:rsid w:val="7B7110C5"/>
    <w:rsid w:val="7B71585E"/>
    <w:rsid w:val="7B731AF0"/>
    <w:rsid w:val="7B7408BD"/>
    <w:rsid w:val="7B7610C6"/>
    <w:rsid w:val="7B762E74"/>
    <w:rsid w:val="7B767318"/>
    <w:rsid w:val="7B7A118C"/>
    <w:rsid w:val="7B7A2964"/>
    <w:rsid w:val="7B7B442A"/>
    <w:rsid w:val="7B7D3732"/>
    <w:rsid w:val="7B7E2A90"/>
    <w:rsid w:val="7B7F6110"/>
    <w:rsid w:val="7B831833"/>
    <w:rsid w:val="7B8437E3"/>
    <w:rsid w:val="7B8632CC"/>
    <w:rsid w:val="7B875283"/>
    <w:rsid w:val="7B881C93"/>
    <w:rsid w:val="7B89704B"/>
    <w:rsid w:val="7B8B5CB3"/>
    <w:rsid w:val="7B907A76"/>
    <w:rsid w:val="7B98103C"/>
    <w:rsid w:val="7B985587"/>
    <w:rsid w:val="7B987878"/>
    <w:rsid w:val="7B9D1A0E"/>
    <w:rsid w:val="7BA02106"/>
    <w:rsid w:val="7BA21E8B"/>
    <w:rsid w:val="7BA307A7"/>
    <w:rsid w:val="7BA7127F"/>
    <w:rsid w:val="7BAB4A6E"/>
    <w:rsid w:val="7BAB4C32"/>
    <w:rsid w:val="7BAF5F2E"/>
    <w:rsid w:val="7BB045D8"/>
    <w:rsid w:val="7BB21E6C"/>
    <w:rsid w:val="7BB30B9E"/>
    <w:rsid w:val="7BB340C8"/>
    <w:rsid w:val="7BB51FF8"/>
    <w:rsid w:val="7BB67714"/>
    <w:rsid w:val="7BBA3986"/>
    <w:rsid w:val="7BBA7205"/>
    <w:rsid w:val="7BBD4F47"/>
    <w:rsid w:val="7BC462D5"/>
    <w:rsid w:val="7BC71922"/>
    <w:rsid w:val="7BCA68A2"/>
    <w:rsid w:val="7BCD518A"/>
    <w:rsid w:val="7BCE0F02"/>
    <w:rsid w:val="7BCF78A0"/>
    <w:rsid w:val="7BD04C7A"/>
    <w:rsid w:val="7BD36518"/>
    <w:rsid w:val="7BD52290"/>
    <w:rsid w:val="7BD55DED"/>
    <w:rsid w:val="7BD74E83"/>
    <w:rsid w:val="7BD77DB7"/>
    <w:rsid w:val="7BDA78A7"/>
    <w:rsid w:val="7BDB0514"/>
    <w:rsid w:val="7BDD2EF3"/>
    <w:rsid w:val="7BDF31CA"/>
    <w:rsid w:val="7BE57DD3"/>
    <w:rsid w:val="7BE60B36"/>
    <w:rsid w:val="7BE61DA8"/>
    <w:rsid w:val="7BE67FFA"/>
    <w:rsid w:val="7BE75B20"/>
    <w:rsid w:val="7BE91898"/>
    <w:rsid w:val="7BEE3457"/>
    <w:rsid w:val="7BF53A86"/>
    <w:rsid w:val="7BF70459"/>
    <w:rsid w:val="7BFA6252"/>
    <w:rsid w:val="7BFA6F52"/>
    <w:rsid w:val="7BFB59C6"/>
    <w:rsid w:val="7BFC438D"/>
    <w:rsid w:val="7BFC781D"/>
    <w:rsid w:val="7BFE45F3"/>
    <w:rsid w:val="7C014E34"/>
    <w:rsid w:val="7C0407EB"/>
    <w:rsid w:val="7C0466D2"/>
    <w:rsid w:val="7C070AEE"/>
    <w:rsid w:val="7C084414"/>
    <w:rsid w:val="7C0906C4"/>
    <w:rsid w:val="7C090879"/>
    <w:rsid w:val="7C0B3F04"/>
    <w:rsid w:val="7C120DEF"/>
    <w:rsid w:val="7C136915"/>
    <w:rsid w:val="7C142DB9"/>
    <w:rsid w:val="7C1508DF"/>
    <w:rsid w:val="7C156B31"/>
    <w:rsid w:val="7C17320C"/>
    <w:rsid w:val="7C190C71"/>
    <w:rsid w:val="7C1A0906"/>
    <w:rsid w:val="7C1A7CA3"/>
    <w:rsid w:val="7C1C37DF"/>
    <w:rsid w:val="7C1E3C2F"/>
    <w:rsid w:val="7C1F52BA"/>
    <w:rsid w:val="7C2074F7"/>
    <w:rsid w:val="7C213321"/>
    <w:rsid w:val="7C2154D6"/>
    <w:rsid w:val="7C23124E"/>
    <w:rsid w:val="7C2377CC"/>
    <w:rsid w:val="7C246D74"/>
    <w:rsid w:val="7C257DF0"/>
    <w:rsid w:val="7C26200C"/>
    <w:rsid w:val="7C26451D"/>
    <w:rsid w:val="7C266648"/>
    <w:rsid w:val="7C2830E3"/>
    <w:rsid w:val="7C2A25DC"/>
    <w:rsid w:val="7C2B064C"/>
    <w:rsid w:val="7C2D79D7"/>
    <w:rsid w:val="7C301B5C"/>
    <w:rsid w:val="7C3311E0"/>
    <w:rsid w:val="7C3451B1"/>
    <w:rsid w:val="7C347B06"/>
    <w:rsid w:val="7C370855"/>
    <w:rsid w:val="7C374CF9"/>
    <w:rsid w:val="7C384E63"/>
    <w:rsid w:val="7C3C2310"/>
    <w:rsid w:val="7C3E1BE4"/>
    <w:rsid w:val="7C3F3BAE"/>
    <w:rsid w:val="7C413482"/>
    <w:rsid w:val="7C442F72"/>
    <w:rsid w:val="7C445F6B"/>
    <w:rsid w:val="7C460A98"/>
    <w:rsid w:val="7C463BAC"/>
    <w:rsid w:val="7C464F3C"/>
    <w:rsid w:val="7C482A62"/>
    <w:rsid w:val="7C484810"/>
    <w:rsid w:val="7C492337"/>
    <w:rsid w:val="7C4A67DB"/>
    <w:rsid w:val="7C4B2553"/>
    <w:rsid w:val="7C4B4301"/>
    <w:rsid w:val="7C4B60AF"/>
    <w:rsid w:val="7C4C354E"/>
    <w:rsid w:val="7C4E22B2"/>
    <w:rsid w:val="7C521E84"/>
    <w:rsid w:val="7C523992"/>
    <w:rsid w:val="7C541407"/>
    <w:rsid w:val="7C5514A3"/>
    <w:rsid w:val="7C5B649E"/>
    <w:rsid w:val="7C5C4760"/>
    <w:rsid w:val="7C5F7DAC"/>
    <w:rsid w:val="7C605FFE"/>
    <w:rsid w:val="7C6333F8"/>
    <w:rsid w:val="7C66113B"/>
    <w:rsid w:val="7C6678A7"/>
    <w:rsid w:val="7C67071F"/>
    <w:rsid w:val="7C6929D9"/>
    <w:rsid w:val="7C693427"/>
    <w:rsid w:val="7C694787"/>
    <w:rsid w:val="7C6A1688"/>
    <w:rsid w:val="7C6B0B62"/>
    <w:rsid w:val="7C6E0182"/>
    <w:rsid w:val="7C6F7D55"/>
    <w:rsid w:val="7C6F7FEF"/>
    <w:rsid w:val="7C724719"/>
    <w:rsid w:val="7C765821"/>
    <w:rsid w:val="7C7E5711"/>
    <w:rsid w:val="7C83759E"/>
    <w:rsid w:val="7C8926D2"/>
    <w:rsid w:val="7C8B5906"/>
    <w:rsid w:val="7C8D3F62"/>
    <w:rsid w:val="7C8D49CC"/>
    <w:rsid w:val="7C8E41ED"/>
    <w:rsid w:val="7C8F68E3"/>
    <w:rsid w:val="7C921F30"/>
    <w:rsid w:val="7C962567"/>
    <w:rsid w:val="7C972F41"/>
    <w:rsid w:val="7C9C0127"/>
    <w:rsid w:val="7C9C0F06"/>
    <w:rsid w:val="7C9C5EB4"/>
    <w:rsid w:val="7C9D0240"/>
    <w:rsid w:val="7C9D7170"/>
    <w:rsid w:val="7C9F67DF"/>
    <w:rsid w:val="7CA05FD0"/>
    <w:rsid w:val="7CA632B4"/>
    <w:rsid w:val="7CA917A9"/>
    <w:rsid w:val="7CAB7C4F"/>
    <w:rsid w:val="7CAD225C"/>
    <w:rsid w:val="7CAD6922"/>
    <w:rsid w:val="7CAE5A9D"/>
    <w:rsid w:val="7CB3343B"/>
    <w:rsid w:val="7CB400F8"/>
    <w:rsid w:val="7CB5279E"/>
    <w:rsid w:val="7CB579CC"/>
    <w:rsid w:val="7CB93023"/>
    <w:rsid w:val="7CB93960"/>
    <w:rsid w:val="7CC04CEF"/>
    <w:rsid w:val="7CC11C19"/>
    <w:rsid w:val="7CC12815"/>
    <w:rsid w:val="7CC3033B"/>
    <w:rsid w:val="7CC77E2B"/>
    <w:rsid w:val="7CCC3693"/>
    <w:rsid w:val="7CCD2F68"/>
    <w:rsid w:val="7CD460A4"/>
    <w:rsid w:val="7CD5404C"/>
    <w:rsid w:val="7CD75B94"/>
    <w:rsid w:val="7CDA1DE4"/>
    <w:rsid w:val="7CDE3A13"/>
    <w:rsid w:val="7CDF6C8D"/>
    <w:rsid w:val="7CE0646E"/>
    <w:rsid w:val="7CE0713F"/>
    <w:rsid w:val="7CE21998"/>
    <w:rsid w:val="7CE23424"/>
    <w:rsid w:val="7CE309DD"/>
    <w:rsid w:val="7CE468F3"/>
    <w:rsid w:val="7CE47D4A"/>
    <w:rsid w:val="7CE64029"/>
    <w:rsid w:val="7CE65DD7"/>
    <w:rsid w:val="7CE704CD"/>
    <w:rsid w:val="7CEF1130"/>
    <w:rsid w:val="7CF04D6B"/>
    <w:rsid w:val="7CF14039"/>
    <w:rsid w:val="7CF60710"/>
    <w:rsid w:val="7CF752FF"/>
    <w:rsid w:val="7CF76237"/>
    <w:rsid w:val="7CF93D5D"/>
    <w:rsid w:val="7CFB1883"/>
    <w:rsid w:val="7CFB7AD5"/>
    <w:rsid w:val="7CFF4918"/>
    <w:rsid w:val="7D00036C"/>
    <w:rsid w:val="7D0050EB"/>
    <w:rsid w:val="7D010F82"/>
    <w:rsid w:val="7D012C11"/>
    <w:rsid w:val="7D031A1C"/>
    <w:rsid w:val="7D060228"/>
    <w:rsid w:val="7D0828AC"/>
    <w:rsid w:val="7D0A74F5"/>
    <w:rsid w:val="7D0C1CE2"/>
    <w:rsid w:val="7D0D7808"/>
    <w:rsid w:val="7D0F1510"/>
    <w:rsid w:val="7D1140FE"/>
    <w:rsid w:val="7D116372"/>
    <w:rsid w:val="7D133070"/>
    <w:rsid w:val="7D140B97"/>
    <w:rsid w:val="7D142945"/>
    <w:rsid w:val="7D146DE8"/>
    <w:rsid w:val="7D16490F"/>
    <w:rsid w:val="7D1B0177"/>
    <w:rsid w:val="7D1B7937"/>
    <w:rsid w:val="7D1E62B0"/>
    <w:rsid w:val="7D1F2D8B"/>
    <w:rsid w:val="7D24527D"/>
    <w:rsid w:val="7D2F59D0"/>
    <w:rsid w:val="7D3111DC"/>
    <w:rsid w:val="7D33726F"/>
    <w:rsid w:val="7D342FE7"/>
    <w:rsid w:val="7D364FB1"/>
    <w:rsid w:val="7D366D5F"/>
    <w:rsid w:val="7D3A1EC6"/>
    <w:rsid w:val="7D3A2A00"/>
    <w:rsid w:val="7D3B0787"/>
    <w:rsid w:val="7D3D633F"/>
    <w:rsid w:val="7D3E5C13"/>
    <w:rsid w:val="7D3E79C1"/>
    <w:rsid w:val="7D44147C"/>
    <w:rsid w:val="7D4476CE"/>
    <w:rsid w:val="7D4519BF"/>
    <w:rsid w:val="7D4D5E56"/>
    <w:rsid w:val="7D507B2C"/>
    <w:rsid w:val="7D5176F5"/>
    <w:rsid w:val="7D553689"/>
    <w:rsid w:val="7D560BE5"/>
    <w:rsid w:val="7D567401"/>
    <w:rsid w:val="7D575847"/>
    <w:rsid w:val="7D584F27"/>
    <w:rsid w:val="7D5D42EC"/>
    <w:rsid w:val="7D5E6E37"/>
    <w:rsid w:val="7D60199E"/>
    <w:rsid w:val="7D641B1E"/>
    <w:rsid w:val="7D6427BF"/>
    <w:rsid w:val="7D646FC7"/>
    <w:rsid w:val="7D6479DB"/>
    <w:rsid w:val="7D662C62"/>
    <w:rsid w:val="7D6733BC"/>
    <w:rsid w:val="7D6C09D3"/>
    <w:rsid w:val="7D6C6800"/>
    <w:rsid w:val="7D6C75DF"/>
    <w:rsid w:val="7D727B6C"/>
    <w:rsid w:val="7D777879"/>
    <w:rsid w:val="7D7C2F0A"/>
    <w:rsid w:val="7D7D673C"/>
    <w:rsid w:val="7D7F7B3A"/>
    <w:rsid w:val="7D80622C"/>
    <w:rsid w:val="7D807FDA"/>
    <w:rsid w:val="7D8255AF"/>
    <w:rsid w:val="7D831B72"/>
    <w:rsid w:val="7D847ACA"/>
    <w:rsid w:val="7D8C2F17"/>
    <w:rsid w:val="7D902913"/>
    <w:rsid w:val="7D912DEC"/>
    <w:rsid w:val="7D913F95"/>
    <w:rsid w:val="7D935485"/>
    <w:rsid w:val="7D94714D"/>
    <w:rsid w:val="7D955719"/>
    <w:rsid w:val="7D975558"/>
    <w:rsid w:val="7D985ACE"/>
    <w:rsid w:val="7D993A11"/>
    <w:rsid w:val="7D9950BC"/>
    <w:rsid w:val="7D996E0E"/>
    <w:rsid w:val="7D9B2D0E"/>
    <w:rsid w:val="7D9D3A60"/>
    <w:rsid w:val="7D9D4CFC"/>
    <w:rsid w:val="7D9F6837"/>
    <w:rsid w:val="7DA1085A"/>
    <w:rsid w:val="7DA20010"/>
    <w:rsid w:val="7DA30836"/>
    <w:rsid w:val="7DA513CC"/>
    <w:rsid w:val="7DA57A41"/>
    <w:rsid w:val="7DA62D3A"/>
    <w:rsid w:val="7DA71A0B"/>
    <w:rsid w:val="7DAE2D99"/>
    <w:rsid w:val="7DAF00C1"/>
    <w:rsid w:val="7DAF3557"/>
    <w:rsid w:val="7DAF38C3"/>
    <w:rsid w:val="7DB01F1F"/>
    <w:rsid w:val="7DB020D4"/>
    <w:rsid w:val="7DB12205"/>
    <w:rsid w:val="7DB21246"/>
    <w:rsid w:val="7DB54128"/>
    <w:rsid w:val="7DB5470D"/>
    <w:rsid w:val="7DB5514F"/>
    <w:rsid w:val="7DB55ED6"/>
    <w:rsid w:val="7DB639FC"/>
    <w:rsid w:val="7DB66434"/>
    <w:rsid w:val="7DB87774"/>
    <w:rsid w:val="7DB94E07"/>
    <w:rsid w:val="7DBA34EC"/>
    <w:rsid w:val="7DBA7990"/>
    <w:rsid w:val="7DBB54B6"/>
    <w:rsid w:val="7DBC3708"/>
    <w:rsid w:val="7DBD122E"/>
    <w:rsid w:val="7DBD65C0"/>
    <w:rsid w:val="7DBD7F8C"/>
    <w:rsid w:val="7DBE3BDC"/>
    <w:rsid w:val="7DBE513D"/>
    <w:rsid w:val="7DBF0B02"/>
    <w:rsid w:val="7DC12ACC"/>
    <w:rsid w:val="7DC600E3"/>
    <w:rsid w:val="7DCA70CB"/>
    <w:rsid w:val="7DCC6151"/>
    <w:rsid w:val="7DCE51E9"/>
    <w:rsid w:val="7DD07777"/>
    <w:rsid w:val="7DD079E3"/>
    <w:rsid w:val="7DD1161D"/>
    <w:rsid w:val="7DD234E2"/>
    <w:rsid w:val="7DD24CD9"/>
    <w:rsid w:val="7DD445E0"/>
    <w:rsid w:val="7DD520D4"/>
    <w:rsid w:val="7DDA2983"/>
    <w:rsid w:val="7DDA593C"/>
    <w:rsid w:val="7DDB20F8"/>
    <w:rsid w:val="7DDD261A"/>
    <w:rsid w:val="7DDF0FCA"/>
    <w:rsid w:val="7DE40569"/>
    <w:rsid w:val="7DE70059"/>
    <w:rsid w:val="7DE71E07"/>
    <w:rsid w:val="7DE762AB"/>
    <w:rsid w:val="7DED579E"/>
    <w:rsid w:val="7DEE43BB"/>
    <w:rsid w:val="7DEF74BD"/>
    <w:rsid w:val="7DF32EA2"/>
    <w:rsid w:val="7DF74740"/>
    <w:rsid w:val="7DF759C8"/>
    <w:rsid w:val="7DF82266"/>
    <w:rsid w:val="7DF9570E"/>
    <w:rsid w:val="7DF96F41"/>
    <w:rsid w:val="7DFA7D8C"/>
    <w:rsid w:val="7DFD5ACF"/>
    <w:rsid w:val="7DFD787D"/>
    <w:rsid w:val="7E001352"/>
    <w:rsid w:val="7E062BD5"/>
    <w:rsid w:val="7E066731"/>
    <w:rsid w:val="7E097FCF"/>
    <w:rsid w:val="7E0D3F64"/>
    <w:rsid w:val="7E1154DF"/>
    <w:rsid w:val="7E121751"/>
    <w:rsid w:val="7E152E18"/>
    <w:rsid w:val="7E1846B6"/>
    <w:rsid w:val="7E192908"/>
    <w:rsid w:val="7E1C0204"/>
    <w:rsid w:val="7E1E27A3"/>
    <w:rsid w:val="7E1F5A45"/>
    <w:rsid w:val="7E203B02"/>
    <w:rsid w:val="7E2056AD"/>
    <w:rsid w:val="7E244CEF"/>
    <w:rsid w:val="7E2C13D7"/>
    <w:rsid w:val="7E307C52"/>
    <w:rsid w:val="7E320B69"/>
    <w:rsid w:val="7E327526"/>
    <w:rsid w:val="7E327F0E"/>
    <w:rsid w:val="7E33329E"/>
    <w:rsid w:val="7E33504C"/>
    <w:rsid w:val="7E346F51"/>
    <w:rsid w:val="7E350360"/>
    <w:rsid w:val="7E36348D"/>
    <w:rsid w:val="7E3A287F"/>
    <w:rsid w:val="7E3E1799"/>
    <w:rsid w:val="7E3F2387"/>
    <w:rsid w:val="7E3F39F1"/>
    <w:rsid w:val="7E3F60E7"/>
    <w:rsid w:val="7E425EB3"/>
    <w:rsid w:val="7E4436FD"/>
    <w:rsid w:val="7E4636BC"/>
    <w:rsid w:val="7E484F9C"/>
    <w:rsid w:val="7E494870"/>
    <w:rsid w:val="7E4B4A8C"/>
    <w:rsid w:val="7E4C610E"/>
    <w:rsid w:val="7E4D25B2"/>
    <w:rsid w:val="7E4D77EB"/>
    <w:rsid w:val="7E527ABB"/>
    <w:rsid w:val="7E546A98"/>
    <w:rsid w:val="7E576F8D"/>
    <w:rsid w:val="7E590F57"/>
    <w:rsid w:val="7E5A4CCF"/>
    <w:rsid w:val="7E5A6A7D"/>
    <w:rsid w:val="7E5C45A3"/>
    <w:rsid w:val="7E5E656D"/>
    <w:rsid w:val="7E5E68F9"/>
    <w:rsid w:val="7E5F5E41"/>
    <w:rsid w:val="7E633B84"/>
    <w:rsid w:val="7E665422"/>
    <w:rsid w:val="7E677E64"/>
    <w:rsid w:val="7E6A31A5"/>
    <w:rsid w:val="7E6B0C8A"/>
    <w:rsid w:val="7E6D4A02"/>
    <w:rsid w:val="7E6D6547"/>
    <w:rsid w:val="7E725B75"/>
    <w:rsid w:val="7E730C9D"/>
    <w:rsid w:val="7E7C3BD6"/>
    <w:rsid w:val="7E7C4C45"/>
    <w:rsid w:val="7E80121D"/>
    <w:rsid w:val="7E83050B"/>
    <w:rsid w:val="7E831F2C"/>
    <w:rsid w:val="7E862903"/>
    <w:rsid w:val="7E885398"/>
    <w:rsid w:val="7E8A52E3"/>
    <w:rsid w:val="7E8D29AE"/>
    <w:rsid w:val="7E90249F"/>
    <w:rsid w:val="7E903D2D"/>
    <w:rsid w:val="7E927FC5"/>
    <w:rsid w:val="7E9521CD"/>
    <w:rsid w:val="7E955D07"/>
    <w:rsid w:val="7E957936"/>
    <w:rsid w:val="7E957AB5"/>
    <w:rsid w:val="7E9710F9"/>
    <w:rsid w:val="7E973EAA"/>
    <w:rsid w:val="7E9871AE"/>
    <w:rsid w:val="7E9A5A22"/>
    <w:rsid w:val="7E9A5B7C"/>
    <w:rsid w:val="7E9E2E0E"/>
    <w:rsid w:val="7EA06B86"/>
    <w:rsid w:val="7EA36676"/>
    <w:rsid w:val="7EA97DB7"/>
    <w:rsid w:val="7EAA1510"/>
    <w:rsid w:val="7EAA7A04"/>
    <w:rsid w:val="7EAB1087"/>
    <w:rsid w:val="7EAD3051"/>
    <w:rsid w:val="7EAD4DFF"/>
    <w:rsid w:val="7EB05F55"/>
    <w:rsid w:val="7EB23719"/>
    <w:rsid w:val="7EB3205F"/>
    <w:rsid w:val="7EB44602"/>
    <w:rsid w:val="7EB548F6"/>
    <w:rsid w:val="7EB663A9"/>
    <w:rsid w:val="7EB97C47"/>
    <w:rsid w:val="7EB97EC4"/>
    <w:rsid w:val="7EBA4FFF"/>
    <w:rsid w:val="7EBC2030"/>
    <w:rsid w:val="7EBE4182"/>
    <w:rsid w:val="7EBF7B56"/>
    <w:rsid w:val="7EC07354"/>
    <w:rsid w:val="7EC218C8"/>
    <w:rsid w:val="7EC33D20"/>
    <w:rsid w:val="7EC62364"/>
    <w:rsid w:val="7EC81C39"/>
    <w:rsid w:val="7EC860DC"/>
    <w:rsid w:val="7EC90406"/>
    <w:rsid w:val="7EC9775F"/>
    <w:rsid w:val="7ECA330F"/>
    <w:rsid w:val="7ECF4B58"/>
    <w:rsid w:val="7ED11769"/>
    <w:rsid w:val="7ED76320"/>
    <w:rsid w:val="7ED95BF4"/>
    <w:rsid w:val="7EDC56E4"/>
    <w:rsid w:val="7EDF200A"/>
    <w:rsid w:val="7EE0405C"/>
    <w:rsid w:val="7EE051D4"/>
    <w:rsid w:val="7EE10F4C"/>
    <w:rsid w:val="7EE1361A"/>
    <w:rsid w:val="7EE1668D"/>
    <w:rsid w:val="7EE22502"/>
    <w:rsid w:val="7EE2719E"/>
    <w:rsid w:val="7EE4674F"/>
    <w:rsid w:val="7EE66563"/>
    <w:rsid w:val="7EEB3B79"/>
    <w:rsid w:val="7EEF5417"/>
    <w:rsid w:val="7EF026B4"/>
    <w:rsid w:val="7EF07C03"/>
    <w:rsid w:val="7EF26CB5"/>
    <w:rsid w:val="7EF40C80"/>
    <w:rsid w:val="7EF73484"/>
    <w:rsid w:val="7EF742CC"/>
    <w:rsid w:val="7EF90044"/>
    <w:rsid w:val="7F007556"/>
    <w:rsid w:val="7F016EF9"/>
    <w:rsid w:val="7F026D92"/>
    <w:rsid w:val="7F034FD4"/>
    <w:rsid w:val="7F054C3B"/>
    <w:rsid w:val="7F062761"/>
    <w:rsid w:val="7F0864D9"/>
    <w:rsid w:val="7F092476"/>
    <w:rsid w:val="7F096584"/>
    <w:rsid w:val="7F0B0A5C"/>
    <w:rsid w:val="7F0C1437"/>
    <w:rsid w:val="7F0E29B0"/>
    <w:rsid w:val="7F0F3DB9"/>
    <w:rsid w:val="7F0F7867"/>
    <w:rsid w:val="7F1429AC"/>
    <w:rsid w:val="7F17671C"/>
    <w:rsid w:val="7F182BC0"/>
    <w:rsid w:val="7F190498"/>
    <w:rsid w:val="7F1C1F84"/>
    <w:rsid w:val="7F1C3D32"/>
    <w:rsid w:val="7F1E14EC"/>
    <w:rsid w:val="7F1F3E5E"/>
    <w:rsid w:val="7F1F568C"/>
    <w:rsid w:val="7F21759B"/>
    <w:rsid w:val="7F231565"/>
    <w:rsid w:val="7F2550DF"/>
    <w:rsid w:val="7F296738"/>
    <w:rsid w:val="7F2D4191"/>
    <w:rsid w:val="7F2F3506"/>
    <w:rsid w:val="7F313615"/>
    <w:rsid w:val="7F3379FA"/>
    <w:rsid w:val="7F363046"/>
    <w:rsid w:val="7F376DBE"/>
    <w:rsid w:val="7F377390"/>
    <w:rsid w:val="7F3904CF"/>
    <w:rsid w:val="7F392DC5"/>
    <w:rsid w:val="7F3D2627"/>
    <w:rsid w:val="7F3E014D"/>
    <w:rsid w:val="7F425B8D"/>
    <w:rsid w:val="7F4514DB"/>
    <w:rsid w:val="7F4528FB"/>
    <w:rsid w:val="7F45772D"/>
    <w:rsid w:val="7F473F79"/>
    <w:rsid w:val="7F475253"/>
    <w:rsid w:val="7F4800D9"/>
    <w:rsid w:val="7F482D79"/>
    <w:rsid w:val="7F484B27"/>
    <w:rsid w:val="7F485EDA"/>
    <w:rsid w:val="7F494CC5"/>
    <w:rsid w:val="7F4C4618"/>
    <w:rsid w:val="7F4D13A6"/>
    <w:rsid w:val="7F5160D2"/>
    <w:rsid w:val="7F5259A6"/>
    <w:rsid w:val="7F5369AF"/>
    <w:rsid w:val="7F547503"/>
    <w:rsid w:val="7F552A10"/>
    <w:rsid w:val="7F556E2D"/>
    <w:rsid w:val="7F58120E"/>
    <w:rsid w:val="7F59379F"/>
    <w:rsid w:val="7F597E98"/>
    <w:rsid w:val="7F5B485B"/>
    <w:rsid w:val="7F5C44BA"/>
    <w:rsid w:val="7F5C76B2"/>
    <w:rsid w:val="7F5D4A77"/>
    <w:rsid w:val="7F5D6825"/>
    <w:rsid w:val="7F5F07EF"/>
    <w:rsid w:val="7F620525"/>
    <w:rsid w:val="7F625BE9"/>
    <w:rsid w:val="7F651B7D"/>
    <w:rsid w:val="7F674E25"/>
    <w:rsid w:val="7F6A2BFC"/>
    <w:rsid w:val="7F6B1A32"/>
    <w:rsid w:val="7F743B6E"/>
    <w:rsid w:val="7F7818B1"/>
    <w:rsid w:val="7F792F33"/>
    <w:rsid w:val="7F7B314F"/>
    <w:rsid w:val="7F7C392F"/>
    <w:rsid w:val="7F7F1938"/>
    <w:rsid w:val="7F7F2C3F"/>
    <w:rsid w:val="7F8241DE"/>
    <w:rsid w:val="7F8518D8"/>
    <w:rsid w:val="7F8952AA"/>
    <w:rsid w:val="7F8A15E4"/>
    <w:rsid w:val="7F8E4C30"/>
    <w:rsid w:val="7F8F0C72"/>
    <w:rsid w:val="7F923B08"/>
    <w:rsid w:val="7F930498"/>
    <w:rsid w:val="7F954211"/>
    <w:rsid w:val="7F961D37"/>
    <w:rsid w:val="7F96207A"/>
    <w:rsid w:val="7F985AAF"/>
    <w:rsid w:val="7F986EBE"/>
    <w:rsid w:val="7F98785D"/>
    <w:rsid w:val="7F9B10FB"/>
    <w:rsid w:val="7F9D2CF2"/>
    <w:rsid w:val="7F9E20FB"/>
    <w:rsid w:val="7F9E2999"/>
    <w:rsid w:val="7FA27AB9"/>
    <w:rsid w:val="7FA4324B"/>
    <w:rsid w:val="7FAC7379"/>
    <w:rsid w:val="7FB35E2B"/>
    <w:rsid w:val="7FB44B21"/>
    <w:rsid w:val="7FBA18EE"/>
    <w:rsid w:val="7FBD5515"/>
    <w:rsid w:val="7FBD72C3"/>
    <w:rsid w:val="7FBF303C"/>
    <w:rsid w:val="7FBF3500"/>
    <w:rsid w:val="7FC248DA"/>
    <w:rsid w:val="7FC81978"/>
    <w:rsid w:val="7FC91D9B"/>
    <w:rsid w:val="7FC9652B"/>
    <w:rsid w:val="7FCA19E0"/>
    <w:rsid w:val="7FCA378E"/>
    <w:rsid w:val="7FCB1D09"/>
    <w:rsid w:val="7FCB2137"/>
    <w:rsid w:val="7FCB7C32"/>
    <w:rsid w:val="7FCC20F7"/>
    <w:rsid w:val="7FCC7507"/>
    <w:rsid w:val="7FCE7723"/>
    <w:rsid w:val="7FD34D39"/>
    <w:rsid w:val="7FD52B13"/>
    <w:rsid w:val="7FD6152B"/>
    <w:rsid w:val="7FDC0949"/>
    <w:rsid w:val="7FDC2FE3"/>
    <w:rsid w:val="7FDE7E0D"/>
    <w:rsid w:val="7FDF0624"/>
    <w:rsid w:val="7FDF50FB"/>
    <w:rsid w:val="7FE205DD"/>
    <w:rsid w:val="7FE74340"/>
    <w:rsid w:val="7FE75214"/>
    <w:rsid w:val="7FE776DE"/>
    <w:rsid w:val="7FEC6AD2"/>
    <w:rsid w:val="7FEF2E6D"/>
    <w:rsid w:val="7FF013FF"/>
    <w:rsid w:val="7FF058EB"/>
    <w:rsid w:val="7FF531DE"/>
    <w:rsid w:val="7FF64583"/>
    <w:rsid w:val="7FF674D0"/>
    <w:rsid w:val="7FF8654D"/>
    <w:rsid w:val="7FF97168"/>
    <w:rsid w:val="7FFA1B8F"/>
    <w:rsid w:val="7FFC5CF4"/>
    <w:rsid w:val="7FFD1970"/>
    <w:rsid w:val="7FFD2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1"/>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nhideWhenUsed="0" w:uiPriority="9"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99" w:semiHidden="0" w:name="index heading"/>
    <w:lsdException w:qFormat="1" w:unhideWhenUsed="0" w:uiPriority="0" w:semiHidden="0" w:name="caption"/>
    <w:lsdException w:qFormat="1" w:unhideWhenUsed="0" w:uiPriority="99"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uiPriority="1" w:name="Default Paragraph Font"/>
    <w:lsdException w:qFormat="1" w:unhideWhenUsed="0" w:uiPriority="99" w:semiHidden="0" w:name="Body Text"/>
    <w:lsdException w:qFormat="1" w:unhideWhenUsed="0" w:uiPriority="0" w:semiHidden="0" w:name="Body Text Indent"/>
    <w:lsdException w:qFormat="1" w:unhideWhenUsed="0" w:uiPriority="99"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iPriority="99" w:name="Normal Table"/>
    <w:lsdException w:qFormat="1" w:unhideWhenUsed="0" w:uiPriority="0" w:semiHidden="0" w:name="annotation subject"/>
    <w:lsdException w:qFormat="1" w:uiPriority="0" w:name="Table Simple 1"/>
    <w:lsdException w:uiPriority="0" w:name="Table Simple 2"/>
    <w:lsdException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qFormat="1" w:unhideWhenUsed="0" w:uiPriority="0" w:semiHidden="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qFormat="1" w:unhideWhenUsed="0" w:uiPriority="0" w:semiHidden="0"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2"/>
      <w:sz w:val="21"/>
      <w:szCs w:val="24"/>
      <w:lang w:val="en-US" w:eastAsia="zh-CN" w:bidi="ar-SA"/>
    </w:rPr>
  </w:style>
  <w:style w:type="paragraph" w:styleId="3">
    <w:name w:val="heading 1"/>
    <w:basedOn w:val="1"/>
    <w:next w:val="1"/>
    <w:link w:val="188"/>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22"/>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310"/>
    <w:qFormat/>
    <w:uiPriority w:val="0"/>
    <w:pPr>
      <w:keepNext/>
      <w:keepLines/>
      <w:spacing w:before="260" w:after="260" w:line="416" w:lineRule="auto"/>
      <w:outlineLvl w:val="2"/>
    </w:pPr>
    <w:rPr>
      <w:b/>
      <w:bCs/>
      <w:sz w:val="32"/>
      <w:szCs w:val="32"/>
    </w:rPr>
  </w:style>
  <w:style w:type="paragraph" w:styleId="6">
    <w:name w:val="heading 4"/>
    <w:basedOn w:val="1"/>
    <w:next w:val="1"/>
    <w:link w:val="237"/>
    <w:qFormat/>
    <w:uiPriority w:val="0"/>
    <w:pPr>
      <w:keepNext/>
      <w:keepLines/>
      <w:spacing w:line="360" w:lineRule="auto"/>
      <w:outlineLvl w:val="3"/>
    </w:pPr>
    <w:rPr>
      <w:b/>
      <w:bCs/>
      <w:sz w:val="24"/>
    </w:rPr>
  </w:style>
  <w:style w:type="paragraph" w:styleId="7">
    <w:name w:val="heading 5"/>
    <w:basedOn w:val="1"/>
    <w:next w:val="1"/>
    <w:link w:val="440"/>
    <w:qFormat/>
    <w:uiPriority w:val="9"/>
    <w:pPr>
      <w:keepNext/>
      <w:keepLines/>
      <w:adjustRightInd w:val="0"/>
      <w:snapToGrid w:val="0"/>
      <w:spacing w:before="280" w:after="290" w:line="376" w:lineRule="auto"/>
      <w:ind w:firstLine="200" w:firstLineChars="200"/>
      <w:outlineLvl w:val="4"/>
    </w:pPr>
    <w:rPr>
      <w:b/>
      <w:spacing w:val="4"/>
      <w:sz w:val="28"/>
      <w:lang w:val="zh-CN"/>
    </w:rPr>
  </w:style>
  <w:style w:type="paragraph" w:styleId="8">
    <w:name w:val="heading 6"/>
    <w:basedOn w:val="1"/>
    <w:next w:val="1"/>
    <w:link w:val="408"/>
    <w:qFormat/>
    <w:uiPriority w:val="0"/>
    <w:pPr>
      <w:keepNext/>
      <w:keepLines/>
      <w:adjustRightInd w:val="0"/>
      <w:snapToGrid w:val="0"/>
      <w:spacing w:before="240" w:after="64" w:line="320" w:lineRule="auto"/>
      <w:ind w:firstLine="200" w:firstLineChars="200"/>
      <w:outlineLvl w:val="5"/>
    </w:pPr>
    <w:rPr>
      <w:rFonts w:ascii="Arial" w:hAnsi="Arial" w:eastAsia="黑体"/>
      <w:b/>
      <w:spacing w:val="4"/>
      <w:sz w:val="24"/>
      <w:lang w:val="zh-CN"/>
    </w:rPr>
  </w:style>
  <w:style w:type="paragraph" w:styleId="9">
    <w:name w:val="heading 7"/>
    <w:basedOn w:val="1"/>
    <w:next w:val="1"/>
    <w:link w:val="168"/>
    <w:qFormat/>
    <w:uiPriority w:val="9"/>
    <w:pPr>
      <w:keepNext/>
      <w:keepLines/>
      <w:adjustRightInd w:val="0"/>
      <w:snapToGrid w:val="0"/>
      <w:spacing w:line="440" w:lineRule="exact"/>
      <w:ind w:firstLine="200" w:firstLineChars="200"/>
      <w:outlineLvl w:val="6"/>
    </w:pPr>
    <w:rPr>
      <w:b/>
      <w:sz w:val="24"/>
      <w:lang w:val="zh-CN"/>
    </w:rPr>
  </w:style>
  <w:style w:type="paragraph" w:styleId="10">
    <w:name w:val="heading 8"/>
    <w:basedOn w:val="1"/>
    <w:next w:val="1"/>
    <w:link w:val="179"/>
    <w:qFormat/>
    <w:uiPriority w:val="0"/>
    <w:pPr>
      <w:keepNext/>
      <w:keepLines/>
      <w:adjustRightInd w:val="0"/>
      <w:snapToGrid w:val="0"/>
      <w:spacing w:before="240" w:after="64" w:line="320" w:lineRule="auto"/>
      <w:ind w:firstLine="200" w:firstLineChars="200"/>
      <w:outlineLvl w:val="7"/>
    </w:pPr>
    <w:rPr>
      <w:rFonts w:ascii="Arial" w:hAnsi="Arial" w:eastAsia="黑体"/>
      <w:spacing w:val="4"/>
      <w:sz w:val="24"/>
      <w:lang w:val="zh-CN"/>
    </w:rPr>
  </w:style>
  <w:style w:type="paragraph" w:styleId="11">
    <w:name w:val="heading 9"/>
    <w:basedOn w:val="1"/>
    <w:next w:val="1"/>
    <w:link w:val="192"/>
    <w:qFormat/>
    <w:uiPriority w:val="0"/>
    <w:pPr>
      <w:keepNext/>
      <w:keepLines/>
      <w:adjustRightInd w:val="0"/>
      <w:snapToGrid w:val="0"/>
      <w:spacing w:line="440" w:lineRule="exact"/>
      <w:ind w:firstLine="200" w:firstLineChars="200"/>
      <w:outlineLvl w:val="8"/>
    </w:pPr>
    <w:rPr>
      <w:sz w:val="24"/>
      <w:lang w:val="zh-CN"/>
    </w:rPr>
  </w:style>
  <w:style w:type="character" w:default="1" w:styleId="99">
    <w:name w:val="Default Paragraph Font"/>
    <w:semiHidden/>
    <w:unhideWhenUsed/>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1553"/>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beforeLines="50" w:afterLines="50"/>
      <w:ind w:firstLine="200" w:firstLineChars="200"/>
    </w:pPr>
    <w:rPr>
      <w:rFonts w:ascii="Courier New" w:hAnsi="Courier New" w:eastAsia="宋体" w:cs="Times New Roman"/>
      <w:kern w:val="2"/>
      <w:sz w:val="24"/>
      <w:szCs w:val="24"/>
      <w:lang w:val="en-US" w:eastAsia="zh-CN" w:bidi="ar-SA"/>
    </w:rPr>
  </w:style>
  <w:style w:type="paragraph" w:styleId="12">
    <w:name w:val="List 3"/>
    <w:basedOn w:val="1"/>
    <w:next w:val="1"/>
    <w:qFormat/>
    <w:uiPriority w:val="0"/>
    <w:pPr>
      <w:spacing w:before="60"/>
      <w:ind w:left="1260" w:hanging="420"/>
    </w:pPr>
    <w:rPr>
      <w:rFonts w:ascii="Arial" w:hAnsi="Arial" w:eastAsia="仿宋_GB2312"/>
      <w:kern w:val="0"/>
      <w:sz w:val="24"/>
      <w:szCs w:val="20"/>
    </w:rPr>
  </w:style>
  <w:style w:type="paragraph" w:styleId="13">
    <w:name w:val="toc 7"/>
    <w:basedOn w:val="1"/>
    <w:next w:val="1"/>
    <w:qFormat/>
    <w:uiPriority w:val="39"/>
    <w:pPr>
      <w:ind w:left="1260"/>
    </w:pPr>
    <w:rPr>
      <w:rFonts w:ascii="等线" w:eastAsia="等线"/>
      <w:sz w:val="18"/>
      <w:szCs w:val="18"/>
    </w:rPr>
  </w:style>
  <w:style w:type="paragraph" w:styleId="14">
    <w:name w:val="List Number 2"/>
    <w:basedOn w:val="1"/>
    <w:qFormat/>
    <w:uiPriority w:val="0"/>
    <w:pPr>
      <w:tabs>
        <w:tab w:val="left" w:pos="840"/>
      </w:tabs>
      <w:spacing w:after="100" w:line="440" w:lineRule="atLeast"/>
      <w:jc w:val="center"/>
    </w:pPr>
    <w:rPr>
      <w:sz w:val="24"/>
    </w:rPr>
  </w:style>
  <w:style w:type="paragraph" w:styleId="15">
    <w:name w:val="table of authorities"/>
    <w:basedOn w:val="1"/>
    <w:next w:val="1"/>
    <w:qFormat/>
    <w:uiPriority w:val="0"/>
    <w:pPr>
      <w:ind w:left="200" w:leftChars="200"/>
    </w:pPr>
  </w:style>
  <w:style w:type="paragraph" w:styleId="16">
    <w:name w:val="Note Heading"/>
    <w:basedOn w:val="1"/>
    <w:next w:val="1"/>
    <w:link w:val="198"/>
    <w:qFormat/>
    <w:uiPriority w:val="0"/>
    <w:pPr>
      <w:spacing w:before="60"/>
      <w:ind w:firstLine="482"/>
      <w:jc w:val="center"/>
    </w:pPr>
    <w:rPr>
      <w:kern w:val="0"/>
      <w:sz w:val="18"/>
      <w:lang w:val="zh-CN"/>
    </w:rPr>
  </w:style>
  <w:style w:type="paragraph" w:styleId="17">
    <w:name w:val="List Bullet 4"/>
    <w:basedOn w:val="1"/>
    <w:qFormat/>
    <w:uiPriority w:val="0"/>
    <w:pPr>
      <w:tabs>
        <w:tab w:val="left" w:pos="1620"/>
      </w:tabs>
      <w:spacing w:before="60"/>
      <w:ind w:left="1620" w:leftChars="600" w:hanging="360" w:hangingChars="200"/>
    </w:pPr>
    <w:rPr>
      <w:rFonts w:ascii="Arial" w:hAnsi="Arial" w:eastAsia="仿宋_GB2312"/>
      <w:kern w:val="0"/>
      <w:sz w:val="24"/>
      <w:szCs w:val="20"/>
    </w:rPr>
  </w:style>
  <w:style w:type="paragraph" w:styleId="18">
    <w:name w:val="index 8"/>
    <w:basedOn w:val="1"/>
    <w:next w:val="1"/>
    <w:qFormat/>
    <w:uiPriority w:val="0"/>
    <w:pPr>
      <w:ind w:left="1680" w:hanging="210"/>
    </w:pPr>
    <w:rPr>
      <w:sz w:val="20"/>
      <w:szCs w:val="20"/>
    </w:rPr>
  </w:style>
  <w:style w:type="paragraph" w:styleId="19">
    <w:name w:val="E-mail Signature"/>
    <w:basedOn w:val="1"/>
    <w:link w:val="413"/>
    <w:qFormat/>
    <w:uiPriority w:val="0"/>
    <w:pPr>
      <w:spacing w:before="60"/>
      <w:ind w:firstLine="482"/>
    </w:pPr>
    <w:rPr>
      <w:rFonts w:ascii="Arial" w:hAnsi="Arial" w:eastAsia="仿宋_GB2312"/>
      <w:kern w:val="0"/>
      <w:sz w:val="24"/>
      <w:szCs w:val="20"/>
      <w:lang w:val="zh-CN"/>
    </w:rPr>
  </w:style>
  <w:style w:type="paragraph" w:styleId="20">
    <w:name w:val="List Number"/>
    <w:basedOn w:val="1"/>
    <w:qFormat/>
    <w:uiPriority w:val="0"/>
    <w:pPr>
      <w:tabs>
        <w:tab w:val="left" w:pos="360"/>
      </w:tabs>
      <w:adjustRightInd w:val="0"/>
      <w:snapToGrid w:val="0"/>
      <w:spacing w:line="300" w:lineRule="auto"/>
      <w:ind w:left="360" w:hanging="360" w:hangingChars="200"/>
    </w:pPr>
    <w:rPr>
      <w:rFonts w:ascii="仿宋_GB2312" w:eastAsia="仿宋_GB2312"/>
      <w:sz w:val="28"/>
    </w:rPr>
  </w:style>
  <w:style w:type="paragraph" w:styleId="21">
    <w:name w:val="Normal Indent"/>
    <w:basedOn w:val="1"/>
    <w:link w:val="226"/>
    <w:qFormat/>
    <w:uiPriority w:val="99"/>
    <w:pPr>
      <w:adjustRightInd w:val="0"/>
      <w:snapToGrid w:val="0"/>
      <w:spacing w:line="360" w:lineRule="auto"/>
      <w:jc w:val="center"/>
    </w:pPr>
    <w:rPr>
      <w:b/>
      <w:bCs/>
      <w:sz w:val="24"/>
      <w:szCs w:val="20"/>
    </w:rPr>
  </w:style>
  <w:style w:type="paragraph" w:styleId="22">
    <w:name w:val="caption"/>
    <w:basedOn w:val="1"/>
    <w:link w:val="612"/>
    <w:qFormat/>
    <w:uiPriority w:val="0"/>
    <w:rPr>
      <w:rFonts w:ascii="Arial" w:hAnsi="Arial" w:eastAsia="黑体"/>
      <w:sz w:val="20"/>
      <w:szCs w:val="20"/>
      <w:lang w:val="zh-CN"/>
    </w:rPr>
  </w:style>
  <w:style w:type="paragraph" w:styleId="23">
    <w:name w:val="index 5"/>
    <w:basedOn w:val="1"/>
    <w:next w:val="1"/>
    <w:qFormat/>
    <w:uiPriority w:val="0"/>
    <w:pPr>
      <w:ind w:left="1050" w:hanging="210"/>
    </w:pPr>
    <w:rPr>
      <w:sz w:val="20"/>
      <w:szCs w:val="20"/>
    </w:rPr>
  </w:style>
  <w:style w:type="paragraph" w:styleId="24">
    <w:name w:val="List Bullet"/>
    <w:basedOn w:val="1"/>
    <w:qFormat/>
    <w:uiPriority w:val="0"/>
    <w:pPr>
      <w:tabs>
        <w:tab w:val="left" w:pos="360"/>
      </w:tabs>
      <w:spacing w:before="60"/>
      <w:ind w:left="360" w:hanging="360" w:hangingChars="200"/>
    </w:pPr>
    <w:rPr>
      <w:rFonts w:ascii="Arial" w:hAnsi="Arial" w:eastAsia="仿宋_GB2312"/>
      <w:kern w:val="0"/>
      <w:sz w:val="24"/>
      <w:szCs w:val="20"/>
    </w:rPr>
  </w:style>
  <w:style w:type="paragraph" w:styleId="25">
    <w:name w:val="envelope address"/>
    <w:basedOn w:val="1"/>
    <w:qFormat/>
    <w:uiPriority w:val="0"/>
    <w:pPr>
      <w:snapToGrid w:val="0"/>
      <w:spacing w:before="60"/>
      <w:ind w:left="2880" w:firstLine="482"/>
    </w:pPr>
    <w:rPr>
      <w:rFonts w:ascii="Arial" w:hAnsi="Arial" w:eastAsia="仿宋_GB2312" w:cs="Arial"/>
      <w:kern w:val="0"/>
      <w:sz w:val="24"/>
      <w:szCs w:val="20"/>
    </w:rPr>
  </w:style>
  <w:style w:type="paragraph" w:styleId="26">
    <w:name w:val="Document Map"/>
    <w:basedOn w:val="1"/>
    <w:link w:val="409"/>
    <w:qFormat/>
    <w:uiPriority w:val="99"/>
    <w:pPr>
      <w:shd w:val="clear" w:color="auto" w:fill="000080"/>
    </w:pPr>
    <w:rPr>
      <w:lang w:val="zh-CN"/>
    </w:rPr>
  </w:style>
  <w:style w:type="paragraph" w:styleId="27">
    <w:name w:val="toa heading"/>
    <w:basedOn w:val="1"/>
    <w:next w:val="1"/>
    <w:qFormat/>
    <w:uiPriority w:val="0"/>
    <w:pPr>
      <w:spacing w:before="120" w:line="360" w:lineRule="auto"/>
    </w:pPr>
    <w:rPr>
      <w:rFonts w:ascii="Arial" w:hAnsi="Arial" w:cs="Arial"/>
      <w:sz w:val="24"/>
    </w:rPr>
  </w:style>
  <w:style w:type="paragraph" w:styleId="28">
    <w:name w:val="annotation text"/>
    <w:basedOn w:val="1"/>
    <w:link w:val="320"/>
    <w:qFormat/>
    <w:uiPriority w:val="0"/>
    <w:rPr>
      <w:lang w:val="zh-CN"/>
    </w:rPr>
  </w:style>
  <w:style w:type="paragraph" w:styleId="29">
    <w:name w:val="index 6"/>
    <w:basedOn w:val="1"/>
    <w:next w:val="1"/>
    <w:qFormat/>
    <w:uiPriority w:val="0"/>
    <w:pPr>
      <w:ind w:left="1260" w:hanging="210"/>
    </w:pPr>
    <w:rPr>
      <w:sz w:val="20"/>
      <w:szCs w:val="20"/>
    </w:rPr>
  </w:style>
  <w:style w:type="paragraph" w:styleId="30">
    <w:name w:val="Salutation"/>
    <w:basedOn w:val="1"/>
    <w:next w:val="1"/>
    <w:link w:val="180"/>
    <w:qFormat/>
    <w:uiPriority w:val="0"/>
    <w:pPr>
      <w:spacing w:before="60"/>
      <w:ind w:firstLine="482"/>
    </w:pPr>
    <w:rPr>
      <w:rFonts w:ascii="Arial" w:hAnsi="Arial" w:eastAsia="仿宋_GB2312"/>
      <w:kern w:val="0"/>
      <w:sz w:val="24"/>
      <w:szCs w:val="20"/>
      <w:lang w:val="zh-CN"/>
    </w:rPr>
  </w:style>
  <w:style w:type="paragraph" w:styleId="31">
    <w:name w:val="Body Text 3"/>
    <w:basedOn w:val="1"/>
    <w:link w:val="260"/>
    <w:qFormat/>
    <w:uiPriority w:val="0"/>
    <w:pPr>
      <w:spacing w:after="120"/>
    </w:pPr>
    <w:rPr>
      <w:sz w:val="16"/>
      <w:szCs w:val="16"/>
      <w:lang w:val="zh-CN"/>
    </w:rPr>
  </w:style>
  <w:style w:type="paragraph" w:styleId="32">
    <w:name w:val="Closing"/>
    <w:basedOn w:val="1"/>
    <w:link w:val="162"/>
    <w:qFormat/>
    <w:uiPriority w:val="0"/>
    <w:pPr>
      <w:spacing w:before="60"/>
      <w:ind w:left="4320" w:firstLine="482"/>
    </w:pPr>
    <w:rPr>
      <w:rFonts w:ascii="Arial" w:hAnsi="Arial" w:eastAsia="仿宋_GB2312"/>
      <w:kern w:val="0"/>
      <w:sz w:val="24"/>
      <w:szCs w:val="20"/>
      <w:lang w:val="zh-CN"/>
    </w:rPr>
  </w:style>
  <w:style w:type="paragraph" w:styleId="33">
    <w:name w:val="List Bullet 3"/>
    <w:basedOn w:val="1"/>
    <w:qFormat/>
    <w:uiPriority w:val="0"/>
    <w:pPr>
      <w:tabs>
        <w:tab w:val="left" w:pos="1200"/>
      </w:tabs>
      <w:ind w:left="1200" w:hanging="360"/>
    </w:pPr>
    <w:rPr>
      <w:sz w:val="24"/>
    </w:rPr>
  </w:style>
  <w:style w:type="paragraph" w:styleId="34">
    <w:name w:val="Body Text"/>
    <w:basedOn w:val="1"/>
    <w:next w:val="1"/>
    <w:link w:val="172"/>
    <w:qFormat/>
    <w:uiPriority w:val="99"/>
    <w:pPr>
      <w:adjustRightInd w:val="0"/>
      <w:snapToGrid w:val="0"/>
      <w:spacing w:line="360" w:lineRule="auto"/>
      <w:ind w:firstLine="480" w:firstLineChars="200"/>
      <w:jc w:val="both"/>
    </w:pPr>
  </w:style>
  <w:style w:type="paragraph" w:styleId="35">
    <w:name w:val="Body Text Indent"/>
    <w:basedOn w:val="1"/>
    <w:link w:val="146"/>
    <w:qFormat/>
    <w:uiPriority w:val="0"/>
    <w:pPr>
      <w:spacing w:line="360" w:lineRule="auto"/>
      <w:ind w:firstLine="482" w:firstLineChars="200"/>
      <w:jc w:val="both"/>
    </w:pPr>
    <w:rPr>
      <w:b/>
      <w:bCs/>
      <w:color w:val="000000"/>
      <w:sz w:val="24"/>
    </w:rPr>
  </w:style>
  <w:style w:type="paragraph" w:styleId="36">
    <w:name w:val="List Number 3"/>
    <w:basedOn w:val="1"/>
    <w:qFormat/>
    <w:uiPriority w:val="0"/>
    <w:pPr>
      <w:tabs>
        <w:tab w:val="left" w:pos="1080"/>
      </w:tabs>
      <w:jc w:val="center"/>
    </w:pPr>
    <w:rPr>
      <w:b/>
      <w:sz w:val="28"/>
    </w:rPr>
  </w:style>
  <w:style w:type="paragraph" w:styleId="37">
    <w:name w:val="List 2"/>
    <w:basedOn w:val="1"/>
    <w:qFormat/>
    <w:uiPriority w:val="0"/>
    <w:pPr>
      <w:spacing w:before="60"/>
      <w:ind w:left="840" w:hanging="420"/>
    </w:pPr>
    <w:rPr>
      <w:rFonts w:ascii="Arial" w:hAnsi="Arial" w:eastAsia="仿宋_GB2312"/>
      <w:kern w:val="0"/>
      <w:sz w:val="24"/>
      <w:szCs w:val="20"/>
    </w:rPr>
  </w:style>
  <w:style w:type="paragraph" w:styleId="38">
    <w:name w:val="List Continue"/>
    <w:basedOn w:val="1"/>
    <w:qFormat/>
    <w:uiPriority w:val="99"/>
    <w:pPr>
      <w:spacing w:before="60" w:after="120"/>
      <w:ind w:left="420" w:firstLine="482"/>
    </w:pPr>
    <w:rPr>
      <w:rFonts w:ascii="Arial" w:hAnsi="Arial" w:eastAsia="仿宋_GB2312"/>
      <w:kern w:val="0"/>
      <w:sz w:val="24"/>
      <w:szCs w:val="20"/>
    </w:rPr>
  </w:style>
  <w:style w:type="paragraph" w:styleId="39">
    <w:name w:val="Block Text"/>
    <w:basedOn w:val="1"/>
    <w:link w:val="2239"/>
    <w:qFormat/>
    <w:uiPriority w:val="99"/>
    <w:pPr>
      <w:spacing w:after="120"/>
      <w:ind w:left="1440" w:leftChars="700" w:right="1440" w:rightChars="700"/>
    </w:pPr>
  </w:style>
  <w:style w:type="paragraph" w:styleId="40">
    <w:name w:val="List Bullet 2"/>
    <w:basedOn w:val="1"/>
    <w:qFormat/>
    <w:uiPriority w:val="0"/>
    <w:pPr>
      <w:tabs>
        <w:tab w:val="left" w:pos="780"/>
      </w:tabs>
      <w:spacing w:before="60"/>
      <w:ind w:left="780" w:leftChars="200" w:hanging="360" w:hangingChars="200"/>
    </w:pPr>
    <w:rPr>
      <w:rFonts w:ascii="Arial" w:hAnsi="Arial" w:eastAsia="仿宋_GB2312"/>
      <w:kern w:val="0"/>
      <w:sz w:val="24"/>
      <w:szCs w:val="20"/>
    </w:rPr>
  </w:style>
  <w:style w:type="paragraph" w:styleId="41">
    <w:name w:val="HTML Address"/>
    <w:basedOn w:val="1"/>
    <w:link w:val="414"/>
    <w:qFormat/>
    <w:uiPriority w:val="0"/>
    <w:pPr>
      <w:spacing w:before="60"/>
      <w:ind w:firstLine="482"/>
    </w:pPr>
    <w:rPr>
      <w:rFonts w:ascii="Arial" w:hAnsi="Arial" w:eastAsia="仿宋_GB2312"/>
      <w:i/>
      <w:iCs/>
      <w:kern w:val="0"/>
      <w:sz w:val="24"/>
      <w:szCs w:val="20"/>
      <w:lang w:val="zh-CN"/>
    </w:rPr>
  </w:style>
  <w:style w:type="paragraph" w:styleId="42">
    <w:name w:val="index 4"/>
    <w:basedOn w:val="1"/>
    <w:next w:val="1"/>
    <w:qFormat/>
    <w:uiPriority w:val="0"/>
    <w:pPr>
      <w:suppressAutoHyphens/>
      <w:adjustRightInd w:val="0"/>
      <w:spacing w:line="300" w:lineRule="auto"/>
      <w:ind w:left="1260"/>
    </w:pPr>
    <w:rPr>
      <w:kern w:val="28"/>
      <w:sz w:val="24"/>
      <w:szCs w:val="20"/>
    </w:rPr>
  </w:style>
  <w:style w:type="paragraph" w:styleId="43">
    <w:name w:val="toc 5"/>
    <w:basedOn w:val="1"/>
    <w:next w:val="1"/>
    <w:qFormat/>
    <w:uiPriority w:val="39"/>
    <w:pPr>
      <w:ind w:left="840"/>
    </w:pPr>
    <w:rPr>
      <w:rFonts w:ascii="等线" w:eastAsia="等线"/>
      <w:sz w:val="18"/>
      <w:szCs w:val="18"/>
    </w:rPr>
  </w:style>
  <w:style w:type="paragraph" w:styleId="44">
    <w:name w:val="toc 3"/>
    <w:basedOn w:val="1"/>
    <w:next w:val="1"/>
    <w:qFormat/>
    <w:uiPriority w:val="39"/>
    <w:pPr>
      <w:ind w:left="420"/>
    </w:pPr>
    <w:rPr>
      <w:iCs/>
      <w:sz w:val="20"/>
      <w:szCs w:val="20"/>
    </w:rPr>
  </w:style>
  <w:style w:type="paragraph" w:styleId="45">
    <w:name w:val="Plain Text"/>
    <w:basedOn w:val="1"/>
    <w:link w:val="241"/>
    <w:qFormat/>
    <w:uiPriority w:val="0"/>
    <w:pPr>
      <w:snapToGrid w:val="0"/>
      <w:spacing w:line="320" w:lineRule="atLeast"/>
    </w:pPr>
    <w:rPr>
      <w:rFonts w:ascii="宋体" w:hAnsi="Courier New"/>
      <w:szCs w:val="20"/>
    </w:rPr>
  </w:style>
  <w:style w:type="paragraph" w:styleId="46">
    <w:name w:val="List Bullet 5"/>
    <w:basedOn w:val="1"/>
    <w:qFormat/>
    <w:uiPriority w:val="0"/>
    <w:pPr>
      <w:tabs>
        <w:tab w:val="left" w:pos="2040"/>
      </w:tabs>
      <w:spacing w:before="60"/>
      <w:ind w:left="2040" w:hanging="360"/>
    </w:pPr>
    <w:rPr>
      <w:rFonts w:ascii="Arial" w:hAnsi="Arial" w:eastAsia="仿宋_GB2312"/>
      <w:kern w:val="0"/>
      <w:sz w:val="24"/>
      <w:szCs w:val="20"/>
    </w:rPr>
  </w:style>
  <w:style w:type="paragraph" w:styleId="47">
    <w:name w:val="List Number 4"/>
    <w:basedOn w:val="1"/>
    <w:qFormat/>
    <w:uiPriority w:val="0"/>
    <w:pPr>
      <w:tabs>
        <w:tab w:val="left" w:pos="1620"/>
      </w:tabs>
      <w:spacing w:before="60"/>
      <w:ind w:left="1620" w:hanging="360"/>
    </w:pPr>
    <w:rPr>
      <w:rFonts w:ascii="Arial" w:hAnsi="Arial" w:eastAsia="仿宋_GB2312"/>
      <w:kern w:val="0"/>
      <w:sz w:val="24"/>
      <w:szCs w:val="20"/>
    </w:rPr>
  </w:style>
  <w:style w:type="paragraph" w:styleId="48">
    <w:name w:val="toc 8"/>
    <w:basedOn w:val="1"/>
    <w:next w:val="1"/>
    <w:qFormat/>
    <w:uiPriority w:val="39"/>
    <w:pPr>
      <w:ind w:left="1470"/>
    </w:pPr>
    <w:rPr>
      <w:rFonts w:ascii="等线" w:eastAsia="等线"/>
      <w:sz w:val="18"/>
      <w:szCs w:val="18"/>
    </w:rPr>
  </w:style>
  <w:style w:type="paragraph" w:styleId="49">
    <w:name w:val="index 3"/>
    <w:basedOn w:val="1"/>
    <w:next w:val="1"/>
    <w:qFormat/>
    <w:uiPriority w:val="0"/>
    <w:pPr>
      <w:ind w:left="630" w:hanging="210"/>
    </w:pPr>
    <w:rPr>
      <w:sz w:val="20"/>
      <w:szCs w:val="20"/>
    </w:rPr>
  </w:style>
  <w:style w:type="paragraph" w:styleId="50">
    <w:name w:val="Date"/>
    <w:basedOn w:val="1"/>
    <w:next w:val="1"/>
    <w:link w:val="410"/>
    <w:qFormat/>
    <w:uiPriority w:val="99"/>
    <w:pPr>
      <w:ind w:left="100" w:leftChars="2500"/>
    </w:pPr>
    <w:rPr>
      <w:sz w:val="24"/>
      <w:lang w:val="zh-CN"/>
    </w:rPr>
  </w:style>
  <w:style w:type="paragraph" w:styleId="51">
    <w:name w:val="Body Text Indent 2"/>
    <w:basedOn w:val="1"/>
    <w:next w:val="1"/>
    <w:link w:val="403"/>
    <w:qFormat/>
    <w:uiPriority w:val="0"/>
    <w:pPr>
      <w:spacing w:after="120" w:line="480" w:lineRule="auto"/>
      <w:ind w:left="420" w:leftChars="200"/>
    </w:pPr>
    <w:rPr>
      <w:lang w:val="zh-CN"/>
    </w:rPr>
  </w:style>
  <w:style w:type="paragraph" w:styleId="52">
    <w:name w:val="endnote text"/>
    <w:basedOn w:val="1"/>
    <w:link w:val="411"/>
    <w:qFormat/>
    <w:uiPriority w:val="0"/>
    <w:pPr>
      <w:snapToGrid w:val="0"/>
    </w:pPr>
    <w:rPr>
      <w:lang w:val="zh-CN"/>
    </w:rPr>
  </w:style>
  <w:style w:type="paragraph" w:styleId="53">
    <w:name w:val="List Continue 5"/>
    <w:basedOn w:val="1"/>
    <w:qFormat/>
    <w:uiPriority w:val="0"/>
    <w:pPr>
      <w:spacing w:before="60" w:after="120"/>
      <w:ind w:left="2100" w:firstLine="482"/>
    </w:pPr>
    <w:rPr>
      <w:rFonts w:ascii="Arial" w:hAnsi="Arial" w:eastAsia="仿宋_GB2312"/>
      <w:kern w:val="0"/>
      <w:sz w:val="24"/>
      <w:szCs w:val="20"/>
    </w:rPr>
  </w:style>
  <w:style w:type="paragraph" w:styleId="54">
    <w:name w:val="Balloon Text"/>
    <w:basedOn w:val="1"/>
    <w:link w:val="300"/>
    <w:qFormat/>
    <w:uiPriority w:val="99"/>
    <w:rPr>
      <w:sz w:val="18"/>
      <w:szCs w:val="18"/>
      <w:lang w:val="zh-CN"/>
    </w:rPr>
  </w:style>
  <w:style w:type="paragraph" w:styleId="55">
    <w:name w:val="footer"/>
    <w:basedOn w:val="1"/>
    <w:link w:val="318"/>
    <w:qFormat/>
    <w:uiPriority w:val="0"/>
    <w:pPr>
      <w:tabs>
        <w:tab w:val="center" w:pos="4153"/>
        <w:tab w:val="right" w:pos="8306"/>
      </w:tabs>
      <w:adjustRightInd w:val="0"/>
      <w:spacing w:line="240" w:lineRule="atLeast"/>
      <w:textAlignment w:val="baseline"/>
    </w:pPr>
    <w:rPr>
      <w:kern w:val="44"/>
      <w:sz w:val="18"/>
      <w:szCs w:val="20"/>
    </w:rPr>
  </w:style>
  <w:style w:type="paragraph" w:styleId="56">
    <w:name w:val="envelope return"/>
    <w:basedOn w:val="1"/>
    <w:qFormat/>
    <w:uiPriority w:val="0"/>
    <w:pPr>
      <w:snapToGrid w:val="0"/>
      <w:spacing w:before="60"/>
      <w:ind w:firstLine="482"/>
    </w:pPr>
    <w:rPr>
      <w:rFonts w:ascii="Arial" w:hAnsi="Arial" w:eastAsia="仿宋_GB2312" w:cs="Arial"/>
      <w:kern w:val="0"/>
      <w:sz w:val="24"/>
      <w:szCs w:val="20"/>
    </w:rPr>
  </w:style>
  <w:style w:type="paragraph" w:styleId="57">
    <w:name w:val="header"/>
    <w:basedOn w:val="1"/>
    <w:next w:val="1"/>
    <w:link w:val="336"/>
    <w:qFormat/>
    <w:uiPriority w:val="0"/>
    <w:pPr>
      <w:pBdr>
        <w:bottom w:val="single" w:color="auto" w:sz="6" w:space="1"/>
      </w:pBdr>
      <w:tabs>
        <w:tab w:val="center" w:pos="4153"/>
        <w:tab w:val="right" w:pos="8306"/>
      </w:tabs>
      <w:adjustRightInd w:val="0"/>
      <w:snapToGrid w:val="0"/>
      <w:spacing w:line="240" w:lineRule="atLeast"/>
      <w:jc w:val="center"/>
      <w:textAlignment w:val="baseline"/>
    </w:pPr>
    <w:rPr>
      <w:kern w:val="44"/>
      <w:sz w:val="18"/>
      <w:szCs w:val="20"/>
    </w:rPr>
  </w:style>
  <w:style w:type="paragraph" w:styleId="58">
    <w:name w:val="Signature"/>
    <w:basedOn w:val="1"/>
    <w:link w:val="262"/>
    <w:qFormat/>
    <w:uiPriority w:val="0"/>
    <w:pPr>
      <w:spacing w:before="60"/>
      <w:ind w:left="4320" w:firstLine="482"/>
    </w:pPr>
    <w:rPr>
      <w:rFonts w:ascii="Arial" w:hAnsi="Arial" w:eastAsia="仿宋_GB2312"/>
      <w:kern w:val="0"/>
      <w:sz w:val="24"/>
      <w:szCs w:val="20"/>
      <w:lang w:val="zh-CN"/>
    </w:rPr>
  </w:style>
  <w:style w:type="paragraph" w:styleId="59">
    <w:name w:val="toc 1"/>
    <w:basedOn w:val="1"/>
    <w:next w:val="1"/>
    <w:link w:val="194"/>
    <w:qFormat/>
    <w:uiPriority w:val="0"/>
    <w:pPr>
      <w:spacing w:before="120" w:after="120"/>
    </w:pPr>
    <w:rPr>
      <w:b/>
      <w:bCs/>
      <w:caps/>
      <w:sz w:val="20"/>
      <w:szCs w:val="20"/>
    </w:rPr>
  </w:style>
  <w:style w:type="paragraph" w:styleId="60">
    <w:name w:val="List Continue 4"/>
    <w:basedOn w:val="1"/>
    <w:qFormat/>
    <w:uiPriority w:val="0"/>
    <w:pPr>
      <w:spacing w:before="60" w:after="120"/>
      <w:ind w:left="1680" w:firstLine="482"/>
    </w:pPr>
    <w:rPr>
      <w:rFonts w:ascii="Arial" w:hAnsi="Arial" w:eastAsia="仿宋_GB2312"/>
      <w:kern w:val="0"/>
      <w:sz w:val="24"/>
      <w:szCs w:val="20"/>
    </w:rPr>
  </w:style>
  <w:style w:type="paragraph" w:styleId="61">
    <w:name w:val="toc 4"/>
    <w:basedOn w:val="1"/>
    <w:next w:val="1"/>
    <w:qFormat/>
    <w:uiPriority w:val="39"/>
    <w:pPr>
      <w:ind w:left="630"/>
    </w:pPr>
    <w:rPr>
      <w:rFonts w:ascii="等线" w:eastAsia="等线"/>
      <w:sz w:val="18"/>
      <w:szCs w:val="18"/>
    </w:rPr>
  </w:style>
  <w:style w:type="paragraph" w:styleId="62">
    <w:name w:val="index heading"/>
    <w:basedOn w:val="1"/>
    <w:qFormat/>
    <w:uiPriority w:val="99"/>
    <w:pPr>
      <w:spacing w:before="120" w:after="120"/>
    </w:pPr>
    <w:rPr>
      <w:b/>
      <w:bCs/>
      <w:i/>
      <w:iCs/>
      <w:sz w:val="20"/>
      <w:szCs w:val="20"/>
    </w:rPr>
  </w:style>
  <w:style w:type="paragraph" w:styleId="63">
    <w:name w:val="Subtitle"/>
    <w:basedOn w:val="1"/>
    <w:link w:val="261"/>
    <w:qFormat/>
    <w:uiPriority w:val="0"/>
    <w:pPr>
      <w:spacing w:before="240" w:after="60" w:line="312" w:lineRule="auto"/>
      <w:ind w:firstLine="482"/>
      <w:jc w:val="center"/>
      <w:outlineLvl w:val="1"/>
    </w:pPr>
    <w:rPr>
      <w:rFonts w:ascii="Arial" w:hAnsi="Arial" w:eastAsia="仿宋_GB2312"/>
      <w:b/>
      <w:bCs/>
      <w:kern w:val="28"/>
      <w:sz w:val="32"/>
      <w:szCs w:val="32"/>
      <w:lang w:val="zh-CN"/>
    </w:rPr>
  </w:style>
  <w:style w:type="paragraph" w:styleId="64">
    <w:name w:val="List Number 5"/>
    <w:basedOn w:val="1"/>
    <w:qFormat/>
    <w:uiPriority w:val="0"/>
    <w:pPr>
      <w:tabs>
        <w:tab w:val="left" w:pos="360"/>
      </w:tabs>
      <w:ind w:left="360" w:hanging="360"/>
      <w:jc w:val="center"/>
    </w:pPr>
    <w:rPr>
      <w:b/>
      <w:sz w:val="28"/>
    </w:rPr>
  </w:style>
  <w:style w:type="paragraph" w:styleId="65">
    <w:name w:val="List"/>
    <w:basedOn w:val="1"/>
    <w:link w:val="1499"/>
    <w:qFormat/>
    <w:uiPriority w:val="0"/>
    <w:pPr>
      <w:ind w:left="200" w:hanging="200" w:hangingChars="200"/>
    </w:pPr>
  </w:style>
  <w:style w:type="paragraph" w:styleId="66">
    <w:name w:val="footnote text"/>
    <w:link w:val="181"/>
    <w:qFormat/>
    <w:uiPriority w:val="0"/>
    <w:rPr>
      <w:rFonts w:ascii="宋体" w:hAnsi="Times New Roman" w:eastAsia="宋体" w:cs="Times New Roman"/>
      <w:lang w:val="zh-CN" w:eastAsia="zh-CN" w:bidi="ar-SA"/>
    </w:rPr>
  </w:style>
  <w:style w:type="paragraph" w:styleId="67">
    <w:name w:val="toc 6"/>
    <w:basedOn w:val="1"/>
    <w:next w:val="1"/>
    <w:qFormat/>
    <w:uiPriority w:val="39"/>
    <w:pPr>
      <w:ind w:left="1050"/>
    </w:pPr>
    <w:rPr>
      <w:rFonts w:ascii="等线" w:eastAsia="等线"/>
      <w:sz w:val="18"/>
      <w:szCs w:val="18"/>
    </w:rPr>
  </w:style>
  <w:style w:type="paragraph" w:styleId="68">
    <w:name w:val="List 5"/>
    <w:basedOn w:val="1"/>
    <w:qFormat/>
    <w:uiPriority w:val="0"/>
    <w:pPr>
      <w:spacing w:before="60"/>
      <w:ind w:left="2100" w:hanging="420"/>
    </w:pPr>
    <w:rPr>
      <w:rFonts w:ascii="Arial" w:hAnsi="Arial" w:eastAsia="仿宋_GB2312"/>
      <w:kern w:val="0"/>
      <w:sz w:val="24"/>
      <w:szCs w:val="20"/>
    </w:rPr>
  </w:style>
  <w:style w:type="paragraph" w:styleId="69">
    <w:name w:val="Body Text Indent 3"/>
    <w:basedOn w:val="1"/>
    <w:link w:val="177"/>
    <w:qFormat/>
    <w:uiPriority w:val="0"/>
    <w:pPr>
      <w:spacing w:after="120"/>
      <w:ind w:left="420" w:leftChars="200"/>
    </w:pPr>
    <w:rPr>
      <w:sz w:val="16"/>
      <w:szCs w:val="16"/>
      <w:lang w:val="zh-CN"/>
    </w:rPr>
  </w:style>
  <w:style w:type="paragraph" w:styleId="70">
    <w:name w:val="index 7"/>
    <w:basedOn w:val="1"/>
    <w:next w:val="1"/>
    <w:qFormat/>
    <w:uiPriority w:val="0"/>
    <w:pPr>
      <w:ind w:left="1470" w:hanging="210"/>
    </w:pPr>
    <w:rPr>
      <w:sz w:val="20"/>
      <w:szCs w:val="20"/>
    </w:rPr>
  </w:style>
  <w:style w:type="paragraph" w:styleId="71">
    <w:name w:val="index 9"/>
    <w:basedOn w:val="1"/>
    <w:next w:val="1"/>
    <w:qFormat/>
    <w:uiPriority w:val="0"/>
    <w:pPr>
      <w:ind w:left="1890" w:hanging="210"/>
    </w:pPr>
    <w:rPr>
      <w:sz w:val="20"/>
      <w:szCs w:val="20"/>
    </w:rPr>
  </w:style>
  <w:style w:type="paragraph" w:styleId="72">
    <w:name w:val="table of figures"/>
    <w:basedOn w:val="1"/>
    <w:next w:val="1"/>
    <w:qFormat/>
    <w:uiPriority w:val="99"/>
    <w:pPr>
      <w:spacing w:after="120" w:line="500" w:lineRule="exact"/>
      <w:jc w:val="center"/>
    </w:pPr>
    <w:rPr>
      <w:rFonts w:ascii="仿宋_GB2312" w:eastAsia="仿宋_GB2312"/>
      <w:sz w:val="28"/>
      <w:szCs w:val="20"/>
    </w:rPr>
  </w:style>
  <w:style w:type="paragraph" w:styleId="73">
    <w:name w:val="toc 2"/>
    <w:basedOn w:val="1"/>
    <w:next w:val="1"/>
    <w:link w:val="2236"/>
    <w:qFormat/>
    <w:uiPriority w:val="0"/>
    <w:pPr>
      <w:ind w:left="210"/>
    </w:pPr>
    <w:rPr>
      <w:smallCaps/>
      <w:sz w:val="20"/>
      <w:szCs w:val="20"/>
    </w:rPr>
  </w:style>
  <w:style w:type="paragraph" w:styleId="74">
    <w:name w:val="toc 9"/>
    <w:basedOn w:val="1"/>
    <w:next w:val="1"/>
    <w:qFormat/>
    <w:uiPriority w:val="39"/>
    <w:pPr>
      <w:ind w:left="1680"/>
    </w:pPr>
    <w:rPr>
      <w:rFonts w:ascii="等线" w:eastAsia="等线"/>
      <w:sz w:val="18"/>
      <w:szCs w:val="18"/>
    </w:rPr>
  </w:style>
  <w:style w:type="paragraph" w:styleId="75">
    <w:name w:val="Body Text 2"/>
    <w:basedOn w:val="1"/>
    <w:link w:val="415"/>
    <w:qFormat/>
    <w:uiPriority w:val="0"/>
    <w:pPr>
      <w:jc w:val="center"/>
    </w:pPr>
    <w:rPr>
      <w:sz w:val="24"/>
      <w:lang w:val="zh-CN"/>
    </w:rPr>
  </w:style>
  <w:style w:type="paragraph" w:styleId="76">
    <w:name w:val="List 4"/>
    <w:basedOn w:val="1"/>
    <w:qFormat/>
    <w:uiPriority w:val="0"/>
    <w:pPr>
      <w:spacing w:before="60"/>
      <w:ind w:left="1680" w:hanging="420"/>
    </w:pPr>
    <w:rPr>
      <w:rFonts w:ascii="Arial" w:hAnsi="Arial" w:eastAsia="仿宋_GB2312"/>
      <w:kern w:val="0"/>
      <w:sz w:val="24"/>
      <w:szCs w:val="20"/>
    </w:rPr>
  </w:style>
  <w:style w:type="paragraph" w:styleId="77">
    <w:name w:val="List Continue 2"/>
    <w:basedOn w:val="1"/>
    <w:qFormat/>
    <w:uiPriority w:val="0"/>
    <w:pPr>
      <w:spacing w:before="60" w:after="120"/>
      <w:ind w:left="840" w:firstLine="482"/>
    </w:pPr>
    <w:rPr>
      <w:rFonts w:ascii="Arial" w:hAnsi="Arial" w:eastAsia="仿宋_GB2312"/>
      <w:kern w:val="0"/>
      <w:sz w:val="24"/>
      <w:szCs w:val="20"/>
    </w:rPr>
  </w:style>
  <w:style w:type="paragraph" w:styleId="78">
    <w:name w:val="Message Header"/>
    <w:basedOn w:val="1"/>
    <w:link w:val="319"/>
    <w:qFormat/>
    <w:uiPriority w:val="0"/>
    <w:pPr>
      <w:pBdr>
        <w:top w:val="single" w:color="auto" w:sz="6" w:space="1"/>
        <w:left w:val="single" w:color="auto" w:sz="6" w:space="1"/>
        <w:bottom w:val="single" w:color="auto" w:sz="6" w:space="1"/>
        <w:right w:val="single" w:color="auto" w:sz="6" w:space="1"/>
      </w:pBdr>
      <w:shd w:val="pct20" w:color="auto" w:fill="auto"/>
      <w:spacing w:before="60"/>
      <w:ind w:left="1080" w:hanging="1080"/>
    </w:pPr>
    <w:rPr>
      <w:rFonts w:ascii="Arial" w:hAnsi="Arial" w:eastAsia="仿宋_GB2312"/>
      <w:kern w:val="0"/>
      <w:sz w:val="24"/>
      <w:szCs w:val="20"/>
      <w:lang w:val="zh-CN"/>
    </w:rPr>
  </w:style>
  <w:style w:type="paragraph" w:styleId="79">
    <w:name w:val="HTML Preformatted"/>
    <w:basedOn w:val="1"/>
    <w:link w:val="13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kern w:val="0"/>
      <w:sz w:val="24"/>
      <w:lang w:val="zh-CN"/>
    </w:rPr>
  </w:style>
  <w:style w:type="paragraph" w:styleId="80">
    <w:name w:val="Normal (Web)"/>
    <w:basedOn w:val="1"/>
    <w:link w:val="1496"/>
    <w:qFormat/>
    <w:uiPriority w:val="0"/>
    <w:pPr>
      <w:spacing w:beforeAutospacing="1" w:afterAutospacing="1"/>
    </w:pPr>
    <w:rPr>
      <w:kern w:val="0"/>
      <w:sz w:val="24"/>
    </w:rPr>
  </w:style>
  <w:style w:type="paragraph" w:styleId="81">
    <w:name w:val="List Continue 3"/>
    <w:basedOn w:val="1"/>
    <w:qFormat/>
    <w:uiPriority w:val="0"/>
    <w:pPr>
      <w:spacing w:before="60" w:after="120"/>
      <w:ind w:left="1260" w:firstLine="482"/>
    </w:pPr>
    <w:rPr>
      <w:rFonts w:ascii="Arial" w:hAnsi="Arial" w:eastAsia="仿宋_GB2312"/>
      <w:kern w:val="0"/>
      <w:sz w:val="24"/>
      <w:szCs w:val="20"/>
    </w:rPr>
  </w:style>
  <w:style w:type="paragraph" w:styleId="82">
    <w:name w:val="index 1"/>
    <w:basedOn w:val="1"/>
    <w:next w:val="1"/>
    <w:qFormat/>
    <w:uiPriority w:val="99"/>
    <w:pPr>
      <w:jc w:val="center"/>
    </w:pPr>
    <w:rPr>
      <w:rFonts w:hint="eastAsia" w:ascii="宋体" w:hAnsi="宋体"/>
      <w:szCs w:val="20"/>
    </w:rPr>
  </w:style>
  <w:style w:type="paragraph" w:styleId="83">
    <w:name w:val="index 2"/>
    <w:basedOn w:val="1"/>
    <w:next w:val="1"/>
    <w:qFormat/>
    <w:uiPriority w:val="0"/>
    <w:pPr>
      <w:ind w:left="420" w:hanging="210"/>
    </w:pPr>
    <w:rPr>
      <w:sz w:val="20"/>
      <w:szCs w:val="20"/>
    </w:rPr>
  </w:style>
  <w:style w:type="paragraph" w:styleId="84">
    <w:name w:val="Title"/>
    <w:basedOn w:val="1"/>
    <w:next w:val="1"/>
    <w:link w:val="412"/>
    <w:qFormat/>
    <w:uiPriority w:val="10"/>
    <w:pPr>
      <w:spacing w:before="120" w:after="120" w:line="360" w:lineRule="auto"/>
      <w:jc w:val="center"/>
      <w:outlineLvl w:val="0"/>
    </w:pPr>
    <w:rPr>
      <w:rFonts w:ascii="Arial" w:hAnsi="Arial" w:eastAsia="黑体"/>
      <w:b/>
      <w:bCs/>
      <w:sz w:val="32"/>
      <w:szCs w:val="32"/>
      <w:lang w:val="zh-CN"/>
    </w:rPr>
  </w:style>
  <w:style w:type="paragraph" w:styleId="85">
    <w:name w:val="annotation subject"/>
    <w:basedOn w:val="28"/>
    <w:next w:val="28"/>
    <w:link w:val="232"/>
    <w:qFormat/>
    <w:uiPriority w:val="0"/>
    <w:rPr>
      <w:b/>
      <w:bCs/>
    </w:rPr>
  </w:style>
  <w:style w:type="paragraph" w:styleId="86">
    <w:name w:val="Body Text First Indent"/>
    <w:basedOn w:val="34"/>
    <w:link w:val="335"/>
    <w:qFormat/>
    <w:uiPriority w:val="0"/>
    <w:pPr>
      <w:ind w:firstLine="420" w:firstLineChars="100"/>
    </w:pPr>
  </w:style>
  <w:style w:type="paragraph" w:styleId="87">
    <w:name w:val="Body Text First Indent 2"/>
    <w:basedOn w:val="35"/>
    <w:next w:val="34"/>
    <w:link w:val="265"/>
    <w:qFormat/>
    <w:uiPriority w:val="99"/>
    <w:pPr>
      <w:spacing w:before="60" w:after="120" w:line="240" w:lineRule="auto"/>
      <w:ind w:left="420" w:firstLine="210" w:firstLineChars="0"/>
    </w:pPr>
    <w:rPr>
      <w:color w:val="auto"/>
      <w:kern w:val="0"/>
      <w:sz w:val="18"/>
      <w:lang w:val="zh-CN"/>
    </w:rPr>
  </w:style>
  <w:style w:type="table" w:styleId="89">
    <w:name w:val="Table Grid"/>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1"/>
    <w:basedOn w:val="88"/>
    <w:qFormat/>
    <w:uiPriority w:val="0"/>
    <w:pPr>
      <w:widowControl w:val="0"/>
      <w:jc w:val="both"/>
    </w:pPr>
    <w:rPr>
      <w:rFonts w:ascii="Calibri" w:hAnsi="Calibri"/>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2">
    <w:name w:val="Table Colorful 2"/>
    <w:basedOn w:val="88"/>
    <w:qFormat/>
    <w:uiPriority w:val="0"/>
    <w:pPr>
      <w:widowControl w:val="0"/>
      <w:jc w:val="both"/>
    </w:pPr>
    <w:rPr>
      <w:rFonts w:ascii="Calibri" w:hAnsi="Calibri"/>
    </w:rPr>
    <w:tblPr>
      <w:tblBorders>
        <w:bottom w:val="single" w:color="000000" w:sz="12" w:space="0"/>
      </w:tblBorders>
    </w:tblPr>
    <w:tcPr>
      <w:shd w:val="pct20" w:color="FFFF00" w:fill="FFFFFF"/>
    </w:tcPr>
    <w:tblStylePr w:type="firstRow">
      <w:rPr>
        <w:b/>
        <w:bCs/>
        <w:i/>
        <w:iCs/>
        <w:color w:val="FFFFFF"/>
      </w:rPr>
      <w:tblPr/>
      <w:tcPr>
        <w:tcBorders>
          <w:top w:val="nil"/>
          <w:left w:val="nil"/>
          <w:bottom w:val="single" w:color="000000" w:sz="12" w:space="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93">
    <w:name w:val="Table Colorful 3"/>
    <w:basedOn w:val="88"/>
    <w:qFormat/>
    <w:uiPriority w:val="0"/>
    <w:pPr>
      <w:widowControl w:val="0"/>
      <w:jc w:val="both"/>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top w:val="nil"/>
          <w:left w:val="nil"/>
          <w:bottom w:val="single" w:color="000000" w:sz="6" w:space="0"/>
          <w:right w:val="nil"/>
          <w:insideH w:val="nil"/>
          <w:insideV w:val="nil"/>
          <w:tl2br w:val="nil"/>
          <w:tr2bl w:val="nil"/>
        </w:tcBorders>
        <w:shd w:val="solid" w:color="008080" w:fill="FFFFFF"/>
      </w:tcPr>
    </w:tblStylePr>
    <w:tblStylePr w:type="firstCol">
      <w:tblPr/>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94">
    <w:name w:val="Table Elegant"/>
    <w:basedOn w:val="88"/>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95">
    <w:name w:val="Table Grid 5"/>
    <w:basedOn w:val="88"/>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6">
    <w:name w:val="Table Grid 6"/>
    <w:basedOn w:val="88"/>
    <w:qFormat/>
    <w:uiPriority w:val="0"/>
    <w:pPr>
      <w:widowControl w:val="0"/>
      <w:jc w:val="both"/>
    </w:pPr>
    <w:rPr>
      <w:rFonts w:ascii="Calibri" w:hAnsi="Calibri"/>
    </w:r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7">
    <w:name w:val="Table Grid 7"/>
    <w:basedOn w:val="88"/>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top w:val="nil"/>
          <w:left w:val="nil"/>
          <w:bottom w:val="single" w:color="000000" w:sz="12" w:space="0"/>
          <w:right w:val="nil"/>
          <w:insideH w:val="nil"/>
          <w:insideV w:val="nil"/>
          <w:tl2br w:val="nil"/>
          <w:tr2bl w:val="nil"/>
        </w:tcBorders>
      </w:tcPr>
    </w:tblStylePr>
    <w:tblStylePr w:type="lastRow">
      <w:rPr>
        <w:b w:val="0"/>
        <w:bCs w:val="0"/>
      </w:rPr>
      <w:tblPr/>
      <w:tcPr>
        <w:tcBorders>
          <w:top w:val="single" w:color="000000" w:sz="6" w:space="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98">
    <w:name w:val="Table Professional"/>
    <w:basedOn w:val="88"/>
    <w:qFormat/>
    <w:uiPriority w:val="0"/>
    <w:pPr>
      <w:widowControl w:val="0"/>
      <w:spacing w:line="360" w:lineRule="auto"/>
      <w:jc w:val="both"/>
    </w:pPr>
    <w:rPr>
      <w:rFonts w:ascii="Plotter" w:hAnsi="Plotter" w:cs="Plotter"/>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100">
    <w:name w:val="Strong"/>
    <w:basedOn w:val="99"/>
    <w:qFormat/>
    <w:uiPriority w:val="0"/>
    <w:rPr>
      <w:b/>
      <w:bCs/>
    </w:rPr>
  </w:style>
  <w:style w:type="character" w:styleId="101">
    <w:name w:val="endnote reference"/>
    <w:qFormat/>
    <w:uiPriority w:val="0"/>
    <w:rPr>
      <w:vertAlign w:val="superscript"/>
    </w:rPr>
  </w:style>
  <w:style w:type="character" w:styleId="102">
    <w:name w:val="page number"/>
    <w:basedOn w:val="99"/>
    <w:qFormat/>
    <w:uiPriority w:val="0"/>
  </w:style>
  <w:style w:type="character" w:styleId="103">
    <w:name w:val="FollowedHyperlink"/>
    <w:qFormat/>
    <w:uiPriority w:val="99"/>
    <w:rPr>
      <w:color w:val="800080"/>
      <w:u w:val="single"/>
    </w:rPr>
  </w:style>
  <w:style w:type="character" w:styleId="104">
    <w:name w:val="Emphasis"/>
    <w:qFormat/>
    <w:uiPriority w:val="20"/>
    <w:rPr>
      <w:i/>
      <w:iCs/>
    </w:rPr>
  </w:style>
  <w:style w:type="character" w:styleId="105">
    <w:name w:val="line number"/>
    <w:qFormat/>
    <w:uiPriority w:val="0"/>
    <w:rPr>
      <w:rFonts w:cs="Times New Roman"/>
    </w:rPr>
  </w:style>
  <w:style w:type="character" w:styleId="106">
    <w:name w:val="HTML Definition"/>
    <w:qFormat/>
    <w:uiPriority w:val="0"/>
    <w:rPr>
      <w:rFonts w:ascii="宋体" w:hAnsi="宋体" w:eastAsia="宋体" w:cs="Courier New"/>
      <w:i/>
      <w:iCs/>
      <w:kern w:val="2"/>
      <w:sz w:val="32"/>
      <w:szCs w:val="32"/>
      <w:lang w:val="en-US" w:eastAsia="zh-CN" w:bidi="ar-SA"/>
    </w:rPr>
  </w:style>
  <w:style w:type="character" w:styleId="107">
    <w:name w:val="HTML Typewriter"/>
    <w:qFormat/>
    <w:uiPriority w:val="0"/>
    <w:rPr>
      <w:rFonts w:ascii="Courier New" w:hAnsi="Courier New" w:eastAsia="宋体" w:cs="Courier New"/>
      <w:kern w:val="2"/>
      <w:sz w:val="20"/>
      <w:szCs w:val="20"/>
      <w:lang w:val="en-US" w:eastAsia="zh-CN" w:bidi="ar-SA"/>
    </w:rPr>
  </w:style>
  <w:style w:type="character" w:styleId="108">
    <w:name w:val="HTML Acronym"/>
    <w:qFormat/>
    <w:uiPriority w:val="0"/>
    <w:rPr>
      <w:rFonts w:ascii="宋体" w:hAnsi="宋体" w:eastAsia="宋体" w:cs="Courier New"/>
      <w:kern w:val="2"/>
      <w:sz w:val="32"/>
      <w:szCs w:val="32"/>
      <w:lang w:val="en-US" w:eastAsia="zh-CN" w:bidi="ar-SA"/>
    </w:rPr>
  </w:style>
  <w:style w:type="character" w:styleId="109">
    <w:name w:val="HTML Variable"/>
    <w:qFormat/>
    <w:uiPriority w:val="0"/>
    <w:rPr>
      <w:rFonts w:ascii="宋体" w:hAnsi="宋体" w:eastAsia="宋体" w:cs="Courier New"/>
      <w:i/>
      <w:iCs/>
      <w:kern w:val="2"/>
      <w:sz w:val="32"/>
      <w:szCs w:val="32"/>
      <w:lang w:val="en-US" w:eastAsia="zh-CN" w:bidi="ar-SA"/>
    </w:rPr>
  </w:style>
  <w:style w:type="character" w:styleId="110">
    <w:name w:val="Hyperlink"/>
    <w:qFormat/>
    <w:uiPriority w:val="99"/>
    <w:rPr>
      <w:color w:val="0000FF"/>
      <w:u w:val="single"/>
    </w:rPr>
  </w:style>
  <w:style w:type="character" w:styleId="111">
    <w:name w:val="HTML Code"/>
    <w:qFormat/>
    <w:uiPriority w:val="0"/>
    <w:rPr>
      <w:rFonts w:ascii="黑体" w:hAnsi="Courier New" w:eastAsia="黑体" w:cs="Courier New"/>
      <w:sz w:val="24"/>
      <w:szCs w:val="24"/>
    </w:rPr>
  </w:style>
  <w:style w:type="character" w:styleId="112">
    <w:name w:val="annotation reference"/>
    <w:qFormat/>
    <w:uiPriority w:val="0"/>
    <w:rPr>
      <w:sz w:val="21"/>
      <w:szCs w:val="21"/>
    </w:rPr>
  </w:style>
  <w:style w:type="character" w:styleId="113">
    <w:name w:val="HTML Cite"/>
    <w:qFormat/>
    <w:uiPriority w:val="0"/>
    <w:rPr>
      <w:rFonts w:ascii="宋体" w:hAnsi="宋体" w:eastAsia="宋体" w:cs="Courier New"/>
      <w:i/>
      <w:iCs/>
      <w:kern w:val="2"/>
      <w:sz w:val="32"/>
      <w:szCs w:val="32"/>
      <w:lang w:val="en-US" w:eastAsia="zh-CN" w:bidi="ar-SA"/>
    </w:rPr>
  </w:style>
  <w:style w:type="character" w:styleId="114">
    <w:name w:val="footnote reference"/>
    <w:qFormat/>
    <w:uiPriority w:val="0"/>
    <w:rPr>
      <w:vertAlign w:val="superscript"/>
    </w:rPr>
  </w:style>
  <w:style w:type="character" w:styleId="115">
    <w:name w:val="HTML Keyboard"/>
    <w:qFormat/>
    <w:uiPriority w:val="0"/>
    <w:rPr>
      <w:rFonts w:ascii="Courier New" w:hAnsi="Courier New" w:eastAsia="宋体" w:cs="Courier New"/>
      <w:kern w:val="2"/>
      <w:sz w:val="20"/>
      <w:szCs w:val="20"/>
      <w:lang w:val="en-US" w:eastAsia="zh-CN" w:bidi="ar-SA"/>
    </w:rPr>
  </w:style>
  <w:style w:type="character" w:styleId="116">
    <w:name w:val="HTML Sample"/>
    <w:qFormat/>
    <w:uiPriority w:val="0"/>
    <w:rPr>
      <w:rFonts w:ascii="Courier New" w:hAnsi="Courier New" w:eastAsia="宋体" w:cs="Courier New"/>
      <w:kern w:val="2"/>
      <w:sz w:val="32"/>
      <w:szCs w:val="32"/>
      <w:lang w:val="en-US" w:eastAsia="zh-CN" w:bidi="ar-SA"/>
    </w:rPr>
  </w:style>
  <w:style w:type="paragraph" w:customStyle="1" w:styleId="117">
    <w:name w:val="样式 正文文本 + 首行缩进:  2 字符"/>
    <w:qFormat/>
    <w:uiPriority w:val="0"/>
    <w:pPr>
      <w:spacing w:line="540" w:lineRule="exact"/>
      <w:jc w:val="center"/>
    </w:pPr>
    <w:rPr>
      <w:rFonts w:ascii="黑体" w:hAnsi="黑体" w:eastAsia="黑体" w:cs="Times New Roman"/>
      <w:b/>
      <w:lang w:val="en-US" w:eastAsia="zh-CN" w:bidi="ar-SA"/>
    </w:rPr>
  </w:style>
  <w:style w:type="paragraph" w:styleId="118">
    <w:name w:val="No Spacing"/>
    <w:basedOn w:val="1"/>
    <w:link w:val="1784"/>
    <w:qFormat/>
    <w:uiPriority w:val="1"/>
    <w:pPr>
      <w:spacing w:line="380" w:lineRule="exact"/>
      <w:jc w:val="center"/>
    </w:pPr>
    <w:rPr>
      <w:rFonts w:ascii="Calibri" w:hAnsi="Calibri"/>
      <w:sz w:val="22"/>
      <w:szCs w:val="22"/>
    </w:rPr>
  </w:style>
  <w:style w:type="paragraph" w:customStyle="1" w:styleId="119">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120">
    <w:name w:val="纯文本1"/>
    <w:basedOn w:val="1"/>
    <w:qFormat/>
    <w:uiPriority w:val="0"/>
    <w:rPr>
      <w:rFonts w:ascii="宋体" w:hAnsi="Courier New"/>
      <w:bCs/>
      <w:snapToGrid w:val="0"/>
      <w:color w:val="000000"/>
      <w:kern w:val="28"/>
      <w:sz w:val="28"/>
    </w:rPr>
  </w:style>
  <w:style w:type="paragraph" w:customStyle="1" w:styleId="121">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122">
    <w:name w:val="Default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3">
    <w:name w:val="简单回函地址"/>
    <w:basedOn w:val="1"/>
    <w:qFormat/>
    <w:uiPriority w:val="0"/>
    <w:rPr>
      <w:rFonts w:ascii="宋体" w:hAnsi="宋体"/>
      <w:sz w:val="24"/>
      <w:szCs w:val="20"/>
    </w:rPr>
  </w:style>
  <w:style w:type="paragraph" w:customStyle="1" w:styleId="124">
    <w:name w:val="正文2"/>
    <w:link w:val="1720"/>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25">
    <w:name w:val="样式1"/>
    <w:basedOn w:val="62"/>
    <w:next w:val="39"/>
    <w:link w:val="441"/>
    <w:qFormat/>
    <w:uiPriority w:val="0"/>
    <w:pPr>
      <w:spacing w:line="500" w:lineRule="exact"/>
      <w:ind w:firstLine="482"/>
    </w:pPr>
    <w:rPr>
      <w:kern w:val="0"/>
      <w:sz w:val="24"/>
    </w:rPr>
  </w:style>
  <w:style w:type="character" w:customStyle="1" w:styleId="126">
    <w:name w:val="16p"/>
    <w:basedOn w:val="99"/>
    <w:qFormat/>
    <w:uiPriority w:val="0"/>
  </w:style>
  <w:style w:type="character" w:customStyle="1" w:styleId="127">
    <w:name w:val="汊河正文 Char"/>
    <w:link w:val="128"/>
    <w:qFormat/>
    <w:uiPriority w:val="0"/>
    <w:rPr>
      <w:rFonts w:eastAsia="宋体" w:cs="宋体"/>
      <w:kern w:val="2"/>
      <w:sz w:val="24"/>
      <w:lang w:val="en-US" w:eastAsia="zh-CN" w:bidi="ar-SA"/>
    </w:rPr>
  </w:style>
  <w:style w:type="paragraph" w:customStyle="1" w:styleId="128">
    <w:name w:val="汊河正文"/>
    <w:basedOn w:val="1"/>
    <w:link w:val="127"/>
    <w:qFormat/>
    <w:uiPriority w:val="0"/>
    <w:pPr>
      <w:spacing w:line="480" w:lineRule="exact"/>
      <w:ind w:firstLine="480" w:firstLineChars="200"/>
    </w:pPr>
    <w:rPr>
      <w:rFonts w:cs="宋体"/>
      <w:sz w:val="24"/>
      <w:szCs w:val="20"/>
    </w:rPr>
  </w:style>
  <w:style w:type="character" w:customStyle="1" w:styleId="129">
    <w:name w:val="表头1 Char"/>
    <w:link w:val="130"/>
    <w:qFormat/>
    <w:uiPriority w:val="0"/>
    <w:rPr>
      <w:rFonts w:eastAsia="黑体"/>
      <w:sz w:val="21"/>
      <w:szCs w:val="28"/>
      <w:lang w:val="en-US" w:eastAsia="zh-CN" w:bidi="ar-SA"/>
    </w:rPr>
  </w:style>
  <w:style w:type="paragraph" w:customStyle="1" w:styleId="130">
    <w:name w:val="表头1"/>
    <w:basedOn w:val="1"/>
    <w:next w:val="1"/>
    <w:link w:val="129"/>
    <w:qFormat/>
    <w:uiPriority w:val="0"/>
    <w:pPr>
      <w:tabs>
        <w:tab w:val="left" w:pos="605"/>
      </w:tabs>
      <w:adjustRightInd w:val="0"/>
      <w:snapToGrid w:val="0"/>
      <w:jc w:val="center"/>
    </w:pPr>
    <w:rPr>
      <w:rFonts w:eastAsia="黑体"/>
      <w:kern w:val="0"/>
      <w:szCs w:val="28"/>
    </w:rPr>
  </w:style>
  <w:style w:type="character" w:customStyle="1" w:styleId="131">
    <w:name w:val="样式 正文mm Char Char"/>
    <w:link w:val="132"/>
    <w:qFormat/>
    <w:uiPriority w:val="0"/>
    <w:rPr>
      <w:rFonts w:eastAsia="宋体" w:cs="宋体"/>
      <w:kern w:val="2"/>
      <w:sz w:val="24"/>
      <w:szCs w:val="24"/>
      <w:lang w:val="en-US" w:eastAsia="zh-CN" w:bidi="ar-SA"/>
    </w:rPr>
  </w:style>
  <w:style w:type="paragraph" w:customStyle="1" w:styleId="132">
    <w:name w:val="样式 正文mm"/>
    <w:basedOn w:val="1"/>
    <w:next w:val="87"/>
    <w:link w:val="131"/>
    <w:qFormat/>
    <w:uiPriority w:val="0"/>
    <w:pPr>
      <w:spacing w:line="360" w:lineRule="auto"/>
      <w:ind w:firstLine="200" w:firstLineChars="200"/>
    </w:pPr>
    <w:rPr>
      <w:rFonts w:cs="宋体"/>
      <w:sz w:val="24"/>
    </w:rPr>
  </w:style>
  <w:style w:type="character" w:customStyle="1" w:styleId="133">
    <w:name w:val="12"/>
    <w:basedOn w:val="99"/>
    <w:qFormat/>
    <w:uiPriority w:val="0"/>
  </w:style>
  <w:style w:type="character" w:customStyle="1" w:styleId="134">
    <w:name w:val="表内容1 Char"/>
    <w:link w:val="135"/>
    <w:qFormat/>
    <w:uiPriority w:val="0"/>
    <w:rPr>
      <w:rFonts w:eastAsia="宋体"/>
      <w:bCs/>
      <w:kern w:val="2"/>
      <w:sz w:val="21"/>
      <w:szCs w:val="24"/>
      <w:lang w:val="en-US" w:eastAsia="zh-CN" w:bidi="ar-SA"/>
    </w:rPr>
  </w:style>
  <w:style w:type="paragraph" w:customStyle="1" w:styleId="135">
    <w:name w:val="表内容1"/>
    <w:basedOn w:val="1"/>
    <w:link w:val="134"/>
    <w:qFormat/>
    <w:uiPriority w:val="0"/>
    <w:pPr>
      <w:snapToGrid w:val="0"/>
      <w:jc w:val="center"/>
    </w:pPr>
    <w:rPr>
      <w:bCs/>
    </w:rPr>
  </w:style>
  <w:style w:type="character" w:customStyle="1" w:styleId="136">
    <w:name w:val="grame"/>
    <w:basedOn w:val="99"/>
    <w:qFormat/>
    <w:uiPriority w:val="0"/>
  </w:style>
  <w:style w:type="character" w:customStyle="1" w:styleId="137">
    <w:name w:val="s19n338"/>
    <w:basedOn w:val="99"/>
    <w:qFormat/>
    <w:uiPriority w:val="0"/>
  </w:style>
  <w:style w:type="character" w:customStyle="1" w:styleId="138">
    <w:name w:val="表格正文 Char"/>
    <w:qFormat/>
    <w:uiPriority w:val="0"/>
    <w:rPr>
      <w:rFonts w:ascii="宋体" w:hAnsi="宋体" w:eastAsia="宋体"/>
      <w:snapToGrid w:val="0"/>
      <w:spacing w:val="4"/>
      <w:w w:val="90"/>
      <w:sz w:val="21"/>
      <w:szCs w:val="24"/>
      <w:lang w:val="en-US" w:eastAsia="zh-CN" w:bidi="ar-SA"/>
    </w:rPr>
  </w:style>
  <w:style w:type="character" w:customStyle="1" w:styleId="139">
    <w:name w:val="HTML 预设格式 字符"/>
    <w:link w:val="79"/>
    <w:qFormat/>
    <w:uiPriority w:val="0"/>
    <w:rPr>
      <w:rFonts w:ascii="宋体" w:hAnsi="宋体" w:cs="宋体"/>
      <w:sz w:val="24"/>
      <w:szCs w:val="24"/>
    </w:rPr>
  </w:style>
  <w:style w:type="character" w:customStyle="1" w:styleId="140">
    <w:name w:val="表格正文(康健城) Char"/>
    <w:link w:val="141"/>
    <w:qFormat/>
    <w:uiPriority w:val="0"/>
    <w:rPr>
      <w:kern w:val="2"/>
      <w:sz w:val="21"/>
      <w:szCs w:val="21"/>
    </w:rPr>
  </w:style>
  <w:style w:type="paragraph" w:customStyle="1" w:styleId="141">
    <w:name w:val="表格正文(康健城)"/>
    <w:basedOn w:val="1"/>
    <w:link w:val="140"/>
    <w:qFormat/>
    <w:uiPriority w:val="0"/>
    <w:pPr>
      <w:adjustRightInd w:val="0"/>
      <w:snapToGrid w:val="0"/>
      <w:jc w:val="center"/>
    </w:pPr>
    <w:rPr>
      <w:szCs w:val="21"/>
      <w:lang w:val="zh-CN"/>
    </w:rPr>
  </w:style>
  <w:style w:type="character" w:customStyle="1" w:styleId="142">
    <w:name w:val="表格内容 Char Char"/>
    <w:qFormat/>
    <w:uiPriority w:val="0"/>
    <w:rPr>
      <w:rFonts w:eastAsia="宋体"/>
      <w:kern w:val="2"/>
      <w:sz w:val="21"/>
      <w:szCs w:val="24"/>
      <w:lang w:val="en-US" w:eastAsia="zh-CN" w:bidi="ar-SA"/>
    </w:rPr>
  </w:style>
  <w:style w:type="character" w:customStyle="1" w:styleId="143">
    <w:name w:val="正文格式 Char"/>
    <w:link w:val="144"/>
    <w:qFormat/>
    <w:uiPriority w:val="0"/>
    <w:rPr>
      <w:rFonts w:cs="宋体"/>
      <w:kern w:val="2"/>
      <w:sz w:val="24"/>
      <w:szCs w:val="24"/>
    </w:rPr>
  </w:style>
  <w:style w:type="paragraph" w:customStyle="1" w:styleId="144">
    <w:name w:val="正文格式"/>
    <w:basedOn w:val="1"/>
    <w:link w:val="143"/>
    <w:qFormat/>
    <w:uiPriority w:val="0"/>
    <w:pPr>
      <w:spacing w:line="360" w:lineRule="auto"/>
      <w:ind w:firstLine="544" w:firstLineChars="200"/>
    </w:pPr>
    <w:rPr>
      <w:sz w:val="24"/>
      <w:lang w:val="zh-CN"/>
    </w:rPr>
  </w:style>
  <w:style w:type="character" w:customStyle="1" w:styleId="145">
    <w:name w:val="scs62"/>
    <w:basedOn w:val="99"/>
    <w:qFormat/>
    <w:uiPriority w:val="0"/>
  </w:style>
  <w:style w:type="character" w:customStyle="1" w:styleId="146">
    <w:name w:val="正文文本缩进 字符2"/>
    <w:link w:val="35"/>
    <w:qFormat/>
    <w:uiPriority w:val="99"/>
    <w:rPr>
      <w:rFonts w:ascii="Times New Roman" w:hAnsi="Times New Roman" w:eastAsia="宋体" w:cs="Times New Roman"/>
      <w:b/>
      <w:bCs/>
      <w:color w:val="000000"/>
      <w:kern w:val="2"/>
      <w:sz w:val="24"/>
      <w:szCs w:val="24"/>
    </w:rPr>
  </w:style>
  <w:style w:type="character" w:customStyle="1" w:styleId="147">
    <w:name w:val="表格正文 Char Char"/>
    <w:link w:val="148"/>
    <w:qFormat/>
    <w:uiPriority w:val="0"/>
    <w:rPr>
      <w:rFonts w:eastAsia="宋体"/>
      <w:color w:val="000000"/>
      <w:spacing w:val="12"/>
      <w:sz w:val="24"/>
      <w:lang w:val="en-US" w:eastAsia="zh-CN" w:bidi="ar-SA"/>
    </w:rPr>
  </w:style>
  <w:style w:type="paragraph" w:customStyle="1" w:styleId="148">
    <w:name w:val="表格正文"/>
    <w:basedOn w:val="21"/>
    <w:link w:val="147"/>
    <w:qFormat/>
    <w:uiPriority w:val="0"/>
    <w:rPr>
      <w:color w:val="000000"/>
      <w:spacing w:val="12"/>
      <w:kern w:val="0"/>
    </w:rPr>
  </w:style>
  <w:style w:type="character" w:customStyle="1" w:styleId="149">
    <w:name w:val="正文(首行缩进) Char Char"/>
    <w:qFormat/>
    <w:uiPriority w:val="0"/>
    <w:rPr>
      <w:rFonts w:eastAsia="宋体"/>
      <w:snapToGrid w:val="0"/>
      <w:sz w:val="24"/>
      <w:szCs w:val="24"/>
      <w:lang w:val="en-US" w:eastAsia="zh-CN" w:bidi="ar-SA"/>
    </w:rPr>
  </w:style>
  <w:style w:type="character" w:customStyle="1" w:styleId="150">
    <w:name w:val="text-21"/>
    <w:qFormat/>
    <w:uiPriority w:val="0"/>
    <w:rPr>
      <w:rFonts w:hint="default" w:ascii="??" w:hAnsi="??"/>
      <w:color w:val="000000"/>
      <w:sz w:val="21"/>
      <w:szCs w:val="21"/>
      <w:u w:val="none"/>
    </w:rPr>
  </w:style>
  <w:style w:type="character" w:customStyle="1" w:styleId="151">
    <w:name w:val="sgiivq"/>
    <w:basedOn w:val="99"/>
    <w:qFormat/>
    <w:uiPriority w:val="0"/>
  </w:style>
  <w:style w:type="character" w:customStyle="1" w:styleId="152">
    <w:name w:val="样式 样式 标题22 + Times New Roman + 黑色 Char Char"/>
    <w:link w:val="153"/>
    <w:qFormat/>
    <w:uiPriority w:val="0"/>
    <w:rPr>
      <w:rFonts w:hAnsi="Arial" w:eastAsia="宋体" w:cs="宋体"/>
      <w:b/>
      <w:bCs/>
      <w:color w:val="000000"/>
      <w:kern w:val="2"/>
      <w:sz w:val="30"/>
      <w:szCs w:val="24"/>
      <w:lang w:val="en-US" w:eastAsia="zh-CN" w:bidi="ar-SA"/>
    </w:rPr>
  </w:style>
  <w:style w:type="paragraph" w:customStyle="1" w:styleId="153">
    <w:name w:val="样式 样式 标题22 + Times New Roman + 黑色"/>
    <w:basedOn w:val="1"/>
    <w:link w:val="152"/>
    <w:qFormat/>
    <w:uiPriority w:val="0"/>
    <w:pPr>
      <w:keepNext/>
      <w:keepLines/>
      <w:tabs>
        <w:tab w:val="left" w:pos="840"/>
      </w:tabs>
      <w:adjustRightInd w:val="0"/>
      <w:snapToGrid w:val="0"/>
      <w:spacing w:line="360" w:lineRule="auto"/>
      <w:ind w:left="840" w:hanging="420"/>
      <w:outlineLvl w:val="1"/>
    </w:pPr>
    <w:rPr>
      <w:rFonts w:hAnsi="Arial" w:cs="宋体"/>
      <w:b/>
      <w:bCs/>
      <w:color w:val="000000"/>
      <w:sz w:val="30"/>
    </w:rPr>
  </w:style>
  <w:style w:type="character" w:customStyle="1" w:styleId="154">
    <w:name w:val="样式 (符号) 宋体 加粗 黑色"/>
    <w:qFormat/>
    <w:uiPriority w:val="0"/>
    <w:rPr>
      <w:rFonts w:ascii="Arial Unicode MS" w:hAnsi="Arial Unicode MS" w:eastAsia="Arial Unicode MS" w:cs="Arial Unicode MS"/>
      <w:b/>
      <w:bCs/>
      <w:color w:val="000000"/>
      <w:kern w:val="0"/>
      <w:sz w:val="24"/>
      <w:szCs w:val="16"/>
      <w:lang w:val="en-US" w:eastAsia="zh-CN" w:bidi="ar-SA"/>
    </w:rPr>
  </w:style>
  <w:style w:type="character" w:customStyle="1" w:styleId="155">
    <w:name w:val="su21"/>
    <w:basedOn w:val="99"/>
    <w:qFormat/>
    <w:uiPriority w:val="0"/>
  </w:style>
  <w:style w:type="character" w:customStyle="1" w:styleId="156">
    <w:name w:val="二级目录 Char"/>
    <w:link w:val="157"/>
    <w:qFormat/>
    <w:uiPriority w:val="0"/>
    <w:rPr>
      <w:rFonts w:eastAsia="黑体"/>
      <w:b/>
      <w:bCs/>
      <w:kern w:val="2"/>
      <w:sz w:val="32"/>
      <w:szCs w:val="32"/>
    </w:rPr>
  </w:style>
  <w:style w:type="paragraph" w:customStyle="1" w:styleId="157">
    <w:name w:val="二级目录"/>
    <w:basedOn w:val="1"/>
    <w:link w:val="156"/>
    <w:qFormat/>
    <w:uiPriority w:val="0"/>
    <w:pPr>
      <w:keepNext/>
      <w:keepLines/>
      <w:adjustRightInd w:val="0"/>
      <w:snapToGrid w:val="0"/>
      <w:spacing w:before="260" w:after="260" w:line="360" w:lineRule="auto"/>
      <w:outlineLvl w:val="1"/>
    </w:pPr>
    <w:rPr>
      <w:rFonts w:eastAsia="黑体"/>
      <w:b/>
      <w:bCs/>
      <w:sz w:val="32"/>
      <w:szCs w:val="32"/>
      <w:lang w:val="zh-CN"/>
    </w:rPr>
  </w:style>
  <w:style w:type="character" w:customStyle="1" w:styleId="158">
    <w:name w:val="sub_title1"/>
    <w:qFormat/>
    <w:uiPriority w:val="0"/>
    <w:rPr>
      <w:rFonts w:hint="default"/>
      <w:color w:val="FF6600"/>
      <w:sz w:val="21"/>
      <w:szCs w:val="21"/>
    </w:rPr>
  </w:style>
  <w:style w:type="character" w:customStyle="1" w:styleId="159">
    <w:name w:val="表格标题新 Char"/>
    <w:link w:val="160"/>
    <w:qFormat/>
    <w:uiPriority w:val="0"/>
    <w:rPr>
      <w:rFonts w:ascii="宋体" w:hAnsi="宋体" w:eastAsia="宋体"/>
      <w:b/>
      <w:snapToGrid w:val="0"/>
      <w:spacing w:val="10"/>
      <w:kern w:val="2"/>
      <w:sz w:val="24"/>
      <w:szCs w:val="24"/>
      <w:lang w:val="en-US" w:eastAsia="zh-CN" w:bidi="ar-SA"/>
    </w:rPr>
  </w:style>
  <w:style w:type="paragraph" w:customStyle="1" w:styleId="160">
    <w:name w:val="表格标题新"/>
    <w:link w:val="159"/>
    <w:qFormat/>
    <w:uiPriority w:val="0"/>
    <w:pPr>
      <w:tabs>
        <w:tab w:val="left" w:pos="0"/>
      </w:tabs>
    </w:pPr>
    <w:rPr>
      <w:rFonts w:ascii="宋体" w:hAnsi="宋体" w:eastAsia="宋体" w:cs="Times New Roman"/>
      <w:b/>
      <w:snapToGrid w:val="0"/>
      <w:spacing w:val="10"/>
      <w:lang w:val="en-US" w:eastAsia="zh-CN" w:bidi="ar-SA"/>
    </w:rPr>
  </w:style>
  <w:style w:type="paragraph" w:customStyle="1" w:styleId="161">
    <w:name w:val="表格内文字"/>
    <w:basedOn w:val="1"/>
    <w:link w:val="163"/>
    <w:qFormat/>
    <w:uiPriority w:val="0"/>
    <w:pPr>
      <w:tabs>
        <w:tab w:val="left" w:pos="0"/>
      </w:tabs>
      <w:adjustRightInd w:val="0"/>
      <w:snapToGrid w:val="0"/>
      <w:jc w:val="center"/>
    </w:pPr>
    <w:rPr>
      <w:rFonts w:eastAsia="仿宋_GB2312"/>
      <w:sz w:val="24"/>
    </w:rPr>
  </w:style>
  <w:style w:type="character" w:customStyle="1" w:styleId="162">
    <w:name w:val="结束语 字符"/>
    <w:link w:val="32"/>
    <w:qFormat/>
    <w:uiPriority w:val="0"/>
    <w:rPr>
      <w:rFonts w:ascii="Arial" w:hAnsi="Arial" w:eastAsia="仿宋_GB2312"/>
      <w:sz w:val="24"/>
    </w:rPr>
  </w:style>
  <w:style w:type="character" w:customStyle="1" w:styleId="163">
    <w:name w:val="表格内文字 Char"/>
    <w:link w:val="161"/>
    <w:qFormat/>
    <w:uiPriority w:val="0"/>
    <w:rPr>
      <w:rFonts w:eastAsia="仿宋_GB2312"/>
      <w:kern w:val="2"/>
      <w:sz w:val="24"/>
      <w:szCs w:val="24"/>
      <w:lang w:val="en-US" w:eastAsia="zh-CN" w:bidi="ar-SA"/>
    </w:rPr>
  </w:style>
  <w:style w:type="character" w:customStyle="1" w:styleId="164">
    <w:name w:val="文本 Char"/>
    <w:link w:val="165"/>
    <w:qFormat/>
    <w:uiPriority w:val="0"/>
    <w:rPr>
      <w:rFonts w:eastAsia="宋体" w:cs="宋体"/>
      <w:kern w:val="2"/>
      <w:sz w:val="24"/>
      <w:lang w:val="en-US" w:eastAsia="zh-CN" w:bidi="ar-SA"/>
    </w:rPr>
  </w:style>
  <w:style w:type="paragraph" w:customStyle="1" w:styleId="165">
    <w:name w:val="文本"/>
    <w:basedOn w:val="21"/>
    <w:link w:val="164"/>
    <w:qFormat/>
    <w:uiPriority w:val="0"/>
    <w:pPr>
      <w:spacing w:line="480" w:lineRule="exact"/>
      <w:ind w:firstLine="480"/>
    </w:pPr>
    <w:rPr>
      <w:rFonts w:cs="宋体"/>
    </w:rPr>
  </w:style>
  <w:style w:type="character" w:customStyle="1" w:styleId="166">
    <w:name w:val="正文(康健城) Char"/>
    <w:link w:val="167"/>
    <w:qFormat/>
    <w:uiPriority w:val="0"/>
    <w:rPr>
      <w:sz w:val="24"/>
      <w:szCs w:val="24"/>
    </w:rPr>
  </w:style>
  <w:style w:type="paragraph" w:customStyle="1" w:styleId="167">
    <w:name w:val="正文(康健城)"/>
    <w:basedOn w:val="1"/>
    <w:link w:val="166"/>
    <w:qFormat/>
    <w:uiPriority w:val="0"/>
    <w:pPr>
      <w:adjustRightInd w:val="0"/>
      <w:snapToGrid w:val="0"/>
      <w:spacing w:line="360" w:lineRule="auto"/>
      <w:ind w:firstLine="480" w:firstLineChars="200"/>
      <w:textAlignment w:val="baseline"/>
    </w:pPr>
    <w:rPr>
      <w:kern w:val="0"/>
      <w:sz w:val="24"/>
      <w:lang w:val="zh-CN"/>
    </w:rPr>
  </w:style>
  <w:style w:type="character" w:customStyle="1" w:styleId="168">
    <w:name w:val="标题 7 字符2"/>
    <w:link w:val="9"/>
    <w:qFormat/>
    <w:uiPriority w:val="99"/>
    <w:rPr>
      <w:b/>
      <w:kern w:val="2"/>
      <w:sz w:val="24"/>
      <w:szCs w:val="24"/>
    </w:rPr>
  </w:style>
  <w:style w:type="character" w:customStyle="1" w:styleId="169">
    <w:name w:val="zjgblk1"/>
    <w:qFormat/>
    <w:uiPriority w:val="0"/>
    <w:rPr>
      <w:rFonts w:hint="default"/>
      <w:color w:val="000000"/>
      <w:sz w:val="18"/>
      <w:szCs w:val="18"/>
      <w:u w:val="none"/>
    </w:rPr>
  </w:style>
  <w:style w:type="character" w:customStyle="1" w:styleId="170">
    <w:name w:val="样式 标题 2节标题 1.1节第一章 标题 2Heading 2 HiddenHeading 2 CCBSheadi... Char"/>
    <w:link w:val="171"/>
    <w:qFormat/>
    <w:uiPriority w:val="0"/>
    <w:rPr>
      <w:rFonts w:ascii="Arial" w:hAnsi="Arial" w:eastAsia="宋体"/>
      <w:b/>
      <w:bCs/>
      <w:kern w:val="2"/>
      <w:sz w:val="30"/>
      <w:szCs w:val="32"/>
      <w:lang w:val="en-US" w:eastAsia="zh-CN" w:bidi="ar-SA"/>
    </w:rPr>
  </w:style>
  <w:style w:type="paragraph" w:customStyle="1" w:styleId="171">
    <w:name w:val="样式 标题 2节标题 1.1节第一章 标题 2Heading 2 HiddenHeading 2 CCBSheadi..."/>
    <w:basedOn w:val="4"/>
    <w:link w:val="170"/>
    <w:qFormat/>
    <w:uiPriority w:val="0"/>
    <w:pPr>
      <w:spacing w:before="156" w:beforeLines="50" w:after="0" w:line="480" w:lineRule="auto"/>
    </w:pPr>
    <w:rPr>
      <w:rFonts w:eastAsia="宋体"/>
      <w:sz w:val="30"/>
    </w:rPr>
  </w:style>
  <w:style w:type="character" w:customStyle="1" w:styleId="172">
    <w:name w:val="正文文本 字符2"/>
    <w:link w:val="34"/>
    <w:qFormat/>
    <w:uiPriority w:val="99"/>
    <w:rPr>
      <w:rFonts w:ascii="Times New Roman" w:hAnsi="Times New Roman" w:eastAsia="宋体" w:cs="Times New Roman"/>
      <w:kern w:val="2"/>
      <w:sz w:val="21"/>
      <w:szCs w:val="24"/>
    </w:rPr>
  </w:style>
  <w:style w:type="character" w:customStyle="1" w:styleId="173">
    <w:name w:val="s1"/>
    <w:qFormat/>
    <w:uiPriority w:val="0"/>
    <w:rPr>
      <w:sz w:val="18"/>
      <w:szCs w:val="18"/>
    </w:rPr>
  </w:style>
  <w:style w:type="character" w:customStyle="1" w:styleId="174">
    <w:name w:val="图表标题 Char"/>
    <w:link w:val="175"/>
    <w:qFormat/>
    <w:uiPriority w:val="0"/>
    <w:rPr>
      <w:rFonts w:eastAsia="宋体"/>
      <w:b/>
      <w:kern w:val="2"/>
      <w:sz w:val="24"/>
      <w:szCs w:val="24"/>
      <w:lang w:val="en-US" w:eastAsia="zh-CN" w:bidi="ar-SA"/>
    </w:rPr>
  </w:style>
  <w:style w:type="paragraph" w:customStyle="1" w:styleId="175">
    <w:name w:val="图表标题"/>
    <w:basedOn w:val="1"/>
    <w:link w:val="174"/>
    <w:qFormat/>
    <w:uiPriority w:val="0"/>
    <w:pPr>
      <w:spacing w:before="156" w:beforeLines="50"/>
      <w:jc w:val="center"/>
    </w:pPr>
    <w:rPr>
      <w:b/>
      <w:sz w:val="24"/>
    </w:rPr>
  </w:style>
  <w:style w:type="character" w:customStyle="1" w:styleId="176">
    <w:name w:val="（一） Char"/>
    <w:qFormat/>
    <w:uiPriority w:val="0"/>
    <w:rPr>
      <w:rFonts w:ascii="Arial" w:hAnsi="Arial" w:eastAsia="宋体" w:cs="Arial"/>
      <w:sz w:val="28"/>
      <w:szCs w:val="36"/>
      <w:lang w:val="en-US" w:eastAsia="zh-CN" w:bidi="ar-SA"/>
    </w:rPr>
  </w:style>
  <w:style w:type="character" w:customStyle="1" w:styleId="177">
    <w:name w:val="正文文本缩进 3 字符"/>
    <w:link w:val="69"/>
    <w:qFormat/>
    <w:uiPriority w:val="0"/>
    <w:rPr>
      <w:kern w:val="2"/>
      <w:sz w:val="16"/>
      <w:szCs w:val="16"/>
    </w:rPr>
  </w:style>
  <w:style w:type="character" w:customStyle="1" w:styleId="178">
    <w:name w:val="正文首行缩进 Char1"/>
    <w:qFormat/>
    <w:uiPriority w:val="0"/>
  </w:style>
  <w:style w:type="character" w:customStyle="1" w:styleId="179">
    <w:name w:val="标题 8 字符2"/>
    <w:link w:val="10"/>
    <w:qFormat/>
    <w:uiPriority w:val="99"/>
    <w:rPr>
      <w:rFonts w:ascii="Arial" w:hAnsi="Arial" w:eastAsia="黑体"/>
      <w:spacing w:val="4"/>
      <w:kern w:val="2"/>
      <w:sz w:val="24"/>
      <w:szCs w:val="24"/>
    </w:rPr>
  </w:style>
  <w:style w:type="character" w:customStyle="1" w:styleId="180">
    <w:name w:val="称呼 字符"/>
    <w:link w:val="30"/>
    <w:qFormat/>
    <w:uiPriority w:val="0"/>
    <w:rPr>
      <w:rFonts w:ascii="Arial" w:hAnsi="Arial" w:eastAsia="仿宋_GB2312"/>
      <w:sz w:val="24"/>
    </w:rPr>
  </w:style>
  <w:style w:type="character" w:customStyle="1" w:styleId="181">
    <w:name w:val="脚注文本 字符1"/>
    <w:link w:val="66"/>
    <w:qFormat/>
    <w:uiPriority w:val="0"/>
    <w:rPr>
      <w:rFonts w:ascii="宋体"/>
      <w:szCs w:val="24"/>
    </w:rPr>
  </w:style>
  <w:style w:type="character" w:customStyle="1" w:styleId="182">
    <w:name w:val="报告表正文 Char"/>
    <w:link w:val="183"/>
    <w:qFormat/>
    <w:uiPriority w:val="0"/>
    <w:rPr>
      <w:sz w:val="24"/>
    </w:rPr>
  </w:style>
  <w:style w:type="paragraph" w:customStyle="1" w:styleId="183">
    <w:name w:val="报告表正文"/>
    <w:basedOn w:val="1"/>
    <w:link w:val="182"/>
    <w:qFormat/>
    <w:uiPriority w:val="0"/>
    <w:pPr>
      <w:adjustRightInd w:val="0"/>
      <w:spacing w:line="312" w:lineRule="auto"/>
      <w:ind w:left="113" w:right="113" w:firstLine="482"/>
      <w:textAlignment w:val="baseline"/>
    </w:pPr>
    <w:rPr>
      <w:kern w:val="0"/>
      <w:sz w:val="24"/>
      <w:szCs w:val="20"/>
      <w:lang w:val="zh-CN"/>
    </w:rPr>
  </w:style>
  <w:style w:type="character" w:customStyle="1" w:styleId="184">
    <w:name w:val="sv1hyw"/>
    <w:basedOn w:val="99"/>
    <w:qFormat/>
    <w:uiPriority w:val="0"/>
  </w:style>
  <w:style w:type="character" w:customStyle="1" w:styleId="185">
    <w:name w:val="标 正文 Char Char"/>
    <w:link w:val="186"/>
    <w:qFormat/>
    <w:uiPriority w:val="0"/>
    <w:rPr>
      <w:kern w:val="2"/>
      <w:sz w:val="24"/>
      <w:lang w:val="en-US" w:eastAsia="zh-CN" w:bidi="ar-SA"/>
    </w:rPr>
  </w:style>
  <w:style w:type="paragraph" w:customStyle="1" w:styleId="186">
    <w:name w:val="标 正文"/>
    <w:link w:val="185"/>
    <w:qFormat/>
    <w:uiPriority w:val="0"/>
    <w:pPr>
      <w:spacing w:line="360" w:lineRule="auto"/>
      <w:ind w:firstLine="200" w:firstLineChars="200"/>
      <w:jc w:val="both"/>
    </w:pPr>
    <w:rPr>
      <w:rFonts w:ascii="Times New Roman" w:hAnsi="Times New Roman" w:eastAsia="宋体" w:cs="Times New Roman"/>
      <w:kern w:val="2"/>
      <w:sz w:val="24"/>
      <w:lang w:val="en-US" w:eastAsia="zh-CN" w:bidi="ar-SA"/>
    </w:rPr>
  </w:style>
  <w:style w:type="character" w:customStyle="1" w:styleId="187">
    <w:name w:val="Char Char19"/>
    <w:qFormat/>
    <w:uiPriority w:val="0"/>
    <w:rPr>
      <w:rFonts w:ascii="Arial Unicode MS" w:hAnsi="Arial Unicode MS" w:eastAsia="Arial Unicode MS" w:cs="Arial Unicode MS"/>
      <w:bCs/>
      <w:spacing w:val="8"/>
      <w:kern w:val="2"/>
      <w:sz w:val="24"/>
      <w:szCs w:val="18"/>
      <w:lang w:val="en-US" w:eastAsia="zh-CN" w:bidi="ar-SA"/>
    </w:rPr>
  </w:style>
  <w:style w:type="character" w:customStyle="1" w:styleId="188">
    <w:name w:val="标题 1 字符2"/>
    <w:link w:val="3"/>
    <w:qFormat/>
    <w:uiPriority w:val="0"/>
    <w:rPr>
      <w:rFonts w:eastAsia="宋体"/>
      <w:b/>
      <w:bCs/>
      <w:kern w:val="44"/>
      <w:sz w:val="44"/>
      <w:szCs w:val="44"/>
      <w:lang w:val="en-US" w:eastAsia="zh-CN" w:bidi="ar-SA"/>
    </w:rPr>
  </w:style>
  <w:style w:type="character" w:customStyle="1" w:styleId="189">
    <w:name w:val="纯文本2"/>
    <w:qFormat/>
    <w:uiPriority w:val="0"/>
    <w:rPr>
      <w:rFonts w:ascii="宋体" w:hAnsi="Courier New" w:eastAsia="宋体" w:cs="Courier New"/>
      <w:kern w:val="2"/>
      <w:sz w:val="21"/>
      <w:szCs w:val="21"/>
      <w:lang w:val="en-US" w:eastAsia="zh-CN" w:bidi="ar-SA"/>
    </w:rPr>
  </w:style>
  <w:style w:type="character" w:customStyle="1" w:styleId="190">
    <w:name w:val="报告 Char"/>
    <w:link w:val="191"/>
    <w:qFormat/>
    <w:uiPriority w:val="0"/>
    <w:rPr>
      <w:rFonts w:eastAsia="宋体"/>
      <w:sz w:val="24"/>
      <w:lang w:val="en-US" w:eastAsia="zh-CN" w:bidi="ar-SA"/>
    </w:rPr>
  </w:style>
  <w:style w:type="paragraph" w:customStyle="1" w:styleId="191">
    <w:name w:val="报告"/>
    <w:basedOn w:val="1"/>
    <w:link w:val="190"/>
    <w:qFormat/>
    <w:uiPriority w:val="0"/>
    <w:pPr>
      <w:adjustRightInd w:val="0"/>
      <w:spacing w:line="360" w:lineRule="auto"/>
      <w:ind w:firstLine="505"/>
      <w:textAlignment w:val="baseline"/>
    </w:pPr>
    <w:rPr>
      <w:kern w:val="0"/>
      <w:sz w:val="24"/>
      <w:szCs w:val="20"/>
    </w:rPr>
  </w:style>
  <w:style w:type="character" w:customStyle="1" w:styleId="192">
    <w:name w:val="标题 9 字符2"/>
    <w:link w:val="11"/>
    <w:qFormat/>
    <w:uiPriority w:val="99"/>
    <w:rPr>
      <w:kern w:val="2"/>
      <w:sz w:val="24"/>
      <w:szCs w:val="24"/>
    </w:rPr>
  </w:style>
  <w:style w:type="character" w:customStyle="1" w:styleId="193">
    <w:name w:val="css-text3"/>
    <w:basedOn w:val="99"/>
    <w:qFormat/>
    <w:uiPriority w:val="0"/>
  </w:style>
  <w:style w:type="character" w:customStyle="1" w:styleId="194">
    <w:name w:val="目录 1 字符"/>
    <w:link w:val="59"/>
    <w:qFormat/>
    <w:uiPriority w:val="39"/>
    <w:rPr>
      <w:rFonts w:ascii="Times New Roman" w:hAnsi="Times New Roman" w:eastAsia="宋体"/>
      <w:b/>
      <w:bCs/>
      <w:caps/>
      <w:kern w:val="2"/>
    </w:rPr>
  </w:style>
  <w:style w:type="character" w:customStyle="1" w:styleId="195">
    <w:name w:val="报告正文 Char"/>
    <w:link w:val="196"/>
    <w:qFormat/>
    <w:uiPriority w:val="0"/>
    <w:rPr>
      <w:rFonts w:eastAsia="宋体"/>
      <w:kern w:val="2"/>
      <w:sz w:val="24"/>
      <w:szCs w:val="24"/>
      <w:lang w:val="en-US" w:eastAsia="zh-CN" w:bidi="ar-SA"/>
    </w:rPr>
  </w:style>
  <w:style w:type="paragraph" w:customStyle="1" w:styleId="196">
    <w:name w:val="报告正文"/>
    <w:basedOn w:val="1"/>
    <w:link w:val="195"/>
    <w:qFormat/>
    <w:uiPriority w:val="0"/>
    <w:pPr>
      <w:adjustRightInd w:val="0"/>
      <w:snapToGrid w:val="0"/>
      <w:spacing w:line="360" w:lineRule="auto"/>
      <w:ind w:firstLine="525" w:firstLineChars="200"/>
    </w:pPr>
    <w:rPr>
      <w:sz w:val="24"/>
    </w:rPr>
  </w:style>
  <w:style w:type="character" w:customStyle="1" w:styleId="197">
    <w:name w:val="c121"/>
    <w:qFormat/>
    <w:uiPriority w:val="0"/>
    <w:rPr>
      <w:color w:val="666666"/>
      <w:sz w:val="18"/>
      <w:szCs w:val="18"/>
      <w:u w:val="none"/>
    </w:rPr>
  </w:style>
  <w:style w:type="character" w:customStyle="1" w:styleId="198">
    <w:name w:val="注释标题 字符"/>
    <w:link w:val="16"/>
    <w:qFormat/>
    <w:uiPriority w:val="0"/>
    <w:rPr>
      <w:sz w:val="18"/>
      <w:szCs w:val="24"/>
    </w:rPr>
  </w:style>
  <w:style w:type="character" w:customStyle="1" w:styleId="199">
    <w:name w:val="表格 Char"/>
    <w:link w:val="200"/>
    <w:qFormat/>
    <w:uiPriority w:val="0"/>
    <w:rPr>
      <w:rFonts w:ascii="仿宋_GB2312" w:eastAsia="仿宋_GB2312"/>
      <w:color w:val="000000"/>
      <w:kern w:val="2"/>
      <w:sz w:val="21"/>
      <w:lang w:val="en-US" w:eastAsia="zh-CN" w:bidi="ar-SA"/>
    </w:rPr>
  </w:style>
  <w:style w:type="paragraph" w:customStyle="1" w:styleId="200">
    <w:name w:val="图文"/>
    <w:basedOn w:val="1"/>
    <w:next w:val="86"/>
    <w:link w:val="199"/>
    <w:qFormat/>
    <w:uiPriority w:val="0"/>
    <w:pPr>
      <w:snapToGrid w:val="0"/>
      <w:spacing w:line="340" w:lineRule="exact"/>
      <w:jc w:val="center"/>
    </w:pPr>
    <w:rPr>
      <w:rFonts w:ascii="仿宋_GB2312" w:eastAsia="仿宋_GB2312"/>
      <w:color w:val="000000"/>
      <w:szCs w:val="20"/>
    </w:rPr>
  </w:style>
  <w:style w:type="character" w:customStyle="1" w:styleId="201">
    <w:name w:val="sf6tjlp"/>
    <w:basedOn w:val="99"/>
    <w:qFormat/>
    <w:uiPriority w:val="0"/>
  </w:style>
  <w:style w:type="character" w:customStyle="1" w:styleId="202">
    <w:name w:val="Char Char3"/>
    <w:link w:val="203"/>
    <w:qFormat/>
    <w:uiPriority w:val="0"/>
    <w:rPr>
      <w:kern w:val="2"/>
      <w:sz w:val="21"/>
      <w:szCs w:val="24"/>
    </w:rPr>
  </w:style>
  <w:style w:type="paragraph" w:customStyle="1" w:styleId="203">
    <w:name w:val="HTML 预设格式1"/>
    <w:basedOn w:val="1"/>
    <w:link w:val="20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204">
    <w:name w:val="标题3 Char"/>
    <w:qFormat/>
    <w:uiPriority w:val="0"/>
    <w:rPr>
      <w:rFonts w:eastAsia="黑体"/>
      <w:kern w:val="2"/>
      <w:sz w:val="24"/>
      <w:szCs w:val="24"/>
      <w:lang w:val="en-US" w:eastAsia="zh-CN"/>
    </w:rPr>
  </w:style>
  <w:style w:type="character" w:customStyle="1" w:styleId="205">
    <w:name w:val="参加人员 Char"/>
    <w:link w:val="206"/>
    <w:qFormat/>
    <w:uiPriority w:val="0"/>
    <w:rPr>
      <w:rFonts w:eastAsia="宋体"/>
      <w:kern w:val="2"/>
      <w:sz w:val="24"/>
      <w:lang w:val="en-US" w:eastAsia="zh-CN" w:bidi="ar-SA"/>
    </w:rPr>
  </w:style>
  <w:style w:type="paragraph" w:customStyle="1" w:styleId="206">
    <w:name w:val="参加人员"/>
    <w:basedOn w:val="1"/>
    <w:link w:val="205"/>
    <w:qFormat/>
    <w:uiPriority w:val="0"/>
    <w:pPr>
      <w:spacing w:line="360" w:lineRule="auto"/>
    </w:pPr>
    <w:rPr>
      <w:sz w:val="24"/>
      <w:szCs w:val="20"/>
    </w:rPr>
  </w:style>
  <w:style w:type="character" w:customStyle="1" w:styleId="207">
    <w:name w:val="段落1 Char1"/>
    <w:link w:val="208"/>
    <w:qFormat/>
    <w:uiPriority w:val="0"/>
    <w:rPr>
      <w:rFonts w:eastAsia="宋体"/>
      <w:spacing w:val="8"/>
      <w:kern w:val="2"/>
      <w:sz w:val="28"/>
      <w:lang w:val="en-US" w:eastAsia="zh-CN" w:bidi="ar-SA"/>
    </w:rPr>
  </w:style>
  <w:style w:type="paragraph" w:customStyle="1" w:styleId="208">
    <w:name w:val="段落1"/>
    <w:basedOn w:val="1"/>
    <w:link w:val="207"/>
    <w:qFormat/>
    <w:uiPriority w:val="0"/>
    <w:pPr>
      <w:adjustRightInd w:val="0"/>
      <w:spacing w:line="500" w:lineRule="exact"/>
      <w:ind w:firstLine="592" w:firstLineChars="200"/>
      <w:textAlignment w:val="baseline"/>
    </w:pPr>
    <w:rPr>
      <w:spacing w:val="8"/>
      <w:sz w:val="28"/>
      <w:szCs w:val="20"/>
    </w:rPr>
  </w:style>
  <w:style w:type="character" w:customStyle="1" w:styleId="209">
    <w:name w:val="标题 Char"/>
    <w:qFormat/>
    <w:uiPriority w:val="0"/>
    <w:rPr>
      <w:rFonts w:ascii="Arial" w:hAnsi="Arial" w:eastAsia="宋体" w:cs="Arial"/>
      <w:b/>
      <w:bCs/>
      <w:sz w:val="32"/>
      <w:szCs w:val="32"/>
      <w:lang w:val="en-US" w:eastAsia="zh-CN" w:bidi="ar-SA"/>
    </w:rPr>
  </w:style>
  <w:style w:type="character" w:customStyle="1" w:styleId="210">
    <w:name w:val="pccs1"/>
    <w:qFormat/>
    <w:uiPriority w:val="0"/>
    <w:rPr>
      <w:sz w:val="18"/>
      <w:szCs w:val="18"/>
    </w:rPr>
  </w:style>
  <w:style w:type="character" w:customStyle="1" w:styleId="211">
    <w:name w:val="123YJ Char Char"/>
    <w:qFormat/>
    <w:uiPriority w:val="0"/>
    <w:rPr>
      <w:rFonts w:eastAsia="宋体"/>
      <w:kern w:val="2"/>
      <w:sz w:val="18"/>
      <w:szCs w:val="18"/>
      <w:lang w:val="en-US" w:eastAsia="zh-CN" w:bidi="ar-SA"/>
    </w:rPr>
  </w:style>
  <w:style w:type="character" w:customStyle="1" w:styleId="212">
    <w:name w:val="表头 Char Char Char Char"/>
    <w:qFormat/>
    <w:uiPriority w:val="0"/>
    <w:rPr>
      <w:rFonts w:ascii="宋体" w:hAnsi="宋体" w:eastAsia="宋体"/>
      <w:b/>
      <w:bCs/>
      <w:kern w:val="2"/>
      <w:sz w:val="21"/>
      <w:szCs w:val="21"/>
      <w:lang w:val="en-US" w:eastAsia="zh-CN" w:bidi="ar-SA"/>
    </w:rPr>
  </w:style>
  <w:style w:type="character" w:customStyle="1" w:styleId="213">
    <w:name w:val="postbody1"/>
    <w:qFormat/>
    <w:uiPriority w:val="0"/>
    <w:rPr>
      <w:sz w:val="18"/>
      <w:szCs w:val="18"/>
    </w:rPr>
  </w:style>
  <w:style w:type="character" w:customStyle="1" w:styleId="214">
    <w:name w:val="p18-hei"/>
    <w:basedOn w:val="99"/>
    <w:qFormat/>
    <w:uiPriority w:val="0"/>
  </w:style>
  <w:style w:type="character" w:customStyle="1" w:styleId="215">
    <w:name w:val="td21"/>
    <w:qFormat/>
    <w:uiPriority w:val="0"/>
    <w:rPr>
      <w:sz w:val="21"/>
      <w:szCs w:val="21"/>
      <w:u w:val="none"/>
    </w:rPr>
  </w:style>
  <w:style w:type="character" w:customStyle="1" w:styleId="216">
    <w:name w:val="正文01 Char"/>
    <w:link w:val="217"/>
    <w:qFormat/>
    <w:uiPriority w:val="0"/>
    <w:rPr>
      <w:rFonts w:ascii="Arial" w:hAnsi="Arial" w:eastAsia="宋体"/>
      <w:kern w:val="2"/>
      <w:sz w:val="24"/>
      <w:lang w:val="en-US" w:eastAsia="zh-CN" w:bidi="ar-SA"/>
    </w:rPr>
  </w:style>
  <w:style w:type="paragraph" w:customStyle="1" w:styleId="217">
    <w:name w:val="正文01"/>
    <w:basedOn w:val="1"/>
    <w:link w:val="216"/>
    <w:qFormat/>
    <w:uiPriority w:val="0"/>
    <w:pPr>
      <w:spacing w:before="60" w:line="460" w:lineRule="exact"/>
      <w:ind w:firstLine="200" w:firstLineChars="200"/>
    </w:pPr>
    <w:rPr>
      <w:rFonts w:ascii="Arial" w:hAnsi="Arial"/>
      <w:sz w:val="24"/>
      <w:szCs w:val="20"/>
    </w:rPr>
  </w:style>
  <w:style w:type="character" w:customStyle="1" w:styleId="218">
    <w:name w:val="what"/>
    <w:qFormat/>
    <w:uiPriority w:val="0"/>
    <w:rPr>
      <w:rFonts w:eastAsia="宋体"/>
      <w:kern w:val="2"/>
      <w:sz w:val="24"/>
      <w:szCs w:val="24"/>
      <w:lang w:val="en-US" w:eastAsia="zh-CN" w:bidi="ar-SA"/>
    </w:rPr>
  </w:style>
  <w:style w:type="character" w:customStyle="1" w:styleId="219">
    <w:name w:val="td1"/>
    <w:qFormat/>
    <w:uiPriority w:val="0"/>
    <w:rPr>
      <w:color w:val="000000"/>
      <w:sz w:val="21"/>
      <w:szCs w:val="21"/>
    </w:rPr>
  </w:style>
  <w:style w:type="character" w:customStyle="1" w:styleId="220">
    <w:name w:val="标题 2 Char Char"/>
    <w:qFormat/>
    <w:uiPriority w:val="0"/>
    <w:rPr>
      <w:rFonts w:ascii="Arial" w:hAnsi="Arial" w:eastAsia="黑体"/>
      <w:b/>
      <w:bCs/>
      <w:kern w:val="2"/>
      <w:sz w:val="32"/>
      <w:szCs w:val="32"/>
      <w:lang w:val="en-US" w:eastAsia="zh-CN" w:bidi="ar-SA"/>
    </w:rPr>
  </w:style>
  <w:style w:type="character" w:customStyle="1" w:styleId="221">
    <w:name w:val="s5y7c"/>
    <w:basedOn w:val="99"/>
    <w:qFormat/>
    <w:uiPriority w:val="0"/>
  </w:style>
  <w:style w:type="character" w:customStyle="1" w:styleId="222">
    <w:name w:val="正文 Char"/>
    <w:qFormat/>
    <w:uiPriority w:val="0"/>
    <w:rPr>
      <w:rFonts w:ascii="仿宋_GB2312" w:hAnsi="宋体" w:eastAsia="仿宋_GB2312"/>
      <w:color w:val="000000"/>
      <w:kern w:val="2"/>
      <w:sz w:val="28"/>
      <w:szCs w:val="24"/>
      <w:lang w:val="en-US" w:eastAsia="zh-CN" w:bidi="ar-SA"/>
    </w:rPr>
  </w:style>
  <w:style w:type="character" w:customStyle="1" w:styleId="223">
    <w:name w:val="表格居中 Char1"/>
    <w:link w:val="224"/>
    <w:qFormat/>
    <w:uiPriority w:val="0"/>
    <w:rPr>
      <w:rFonts w:ascii="宋体" w:hAnsi="宋体" w:eastAsia="宋体"/>
      <w:snapToGrid w:val="0"/>
      <w:spacing w:val="-4"/>
      <w:w w:val="90"/>
      <w:sz w:val="24"/>
      <w:lang w:val="en-US" w:eastAsia="zh-CN" w:bidi="ar-SA"/>
    </w:rPr>
  </w:style>
  <w:style w:type="paragraph" w:customStyle="1" w:styleId="224">
    <w:name w:val="表格居中"/>
    <w:basedOn w:val="1"/>
    <w:link w:val="223"/>
    <w:qFormat/>
    <w:uiPriority w:val="0"/>
    <w:pPr>
      <w:jc w:val="center"/>
    </w:pPr>
    <w:rPr>
      <w:rFonts w:ascii="宋体" w:hAnsi="宋体"/>
      <w:snapToGrid w:val="0"/>
      <w:spacing w:val="-4"/>
      <w:w w:val="90"/>
      <w:kern w:val="0"/>
      <w:sz w:val="24"/>
      <w:szCs w:val="20"/>
    </w:rPr>
  </w:style>
  <w:style w:type="character" w:customStyle="1" w:styleId="225">
    <w:name w:val="style191"/>
    <w:qFormat/>
    <w:uiPriority w:val="0"/>
    <w:rPr>
      <w:b/>
      <w:bCs/>
      <w:color w:val="FF0000"/>
    </w:rPr>
  </w:style>
  <w:style w:type="character" w:customStyle="1" w:styleId="226">
    <w:name w:val="正文缩进 字符1"/>
    <w:link w:val="21"/>
    <w:qFormat/>
    <w:uiPriority w:val="0"/>
    <w:rPr>
      <w:rFonts w:ascii="Times New Roman" w:hAnsi="Times New Roman" w:eastAsia="宋体" w:cs="Times New Roman"/>
      <w:b/>
      <w:bCs/>
      <w:kern w:val="2"/>
      <w:sz w:val="24"/>
    </w:rPr>
  </w:style>
  <w:style w:type="character" w:customStyle="1" w:styleId="227">
    <w:name w:val="style61"/>
    <w:qFormat/>
    <w:uiPriority w:val="0"/>
    <w:rPr>
      <w:sz w:val="21"/>
      <w:szCs w:val="21"/>
    </w:rPr>
  </w:style>
  <w:style w:type="character" w:customStyle="1" w:styleId="228">
    <w:name w:val="haogao1"/>
    <w:basedOn w:val="99"/>
    <w:qFormat/>
    <w:uiPriority w:val="0"/>
  </w:style>
  <w:style w:type="character" w:customStyle="1" w:styleId="229">
    <w:name w:val="正文部分 Char1"/>
    <w:link w:val="230"/>
    <w:qFormat/>
    <w:uiPriority w:val="0"/>
    <w:rPr>
      <w:rFonts w:eastAsia="宋体"/>
      <w:sz w:val="24"/>
      <w:szCs w:val="24"/>
      <w:lang w:val="en-US" w:eastAsia="zh-CN" w:bidi="ar-SA"/>
    </w:rPr>
  </w:style>
  <w:style w:type="paragraph" w:customStyle="1" w:styleId="230">
    <w:name w:val="正文部分"/>
    <w:basedOn w:val="1"/>
    <w:link w:val="229"/>
    <w:qFormat/>
    <w:uiPriority w:val="0"/>
    <w:pPr>
      <w:autoSpaceDE w:val="0"/>
      <w:autoSpaceDN w:val="0"/>
      <w:adjustRightInd w:val="0"/>
      <w:spacing w:line="360" w:lineRule="auto"/>
      <w:ind w:right="-2" w:rightChars="-1" w:firstLine="480" w:firstLineChars="200"/>
    </w:pPr>
    <w:rPr>
      <w:kern w:val="0"/>
      <w:sz w:val="24"/>
    </w:rPr>
  </w:style>
  <w:style w:type="character" w:customStyle="1" w:styleId="231">
    <w:name w:val="satajq8"/>
    <w:basedOn w:val="99"/>
    <w:qFormat/>
    <w:uiPriority w:val="0"/>
  </w:style>
  <w:style w:type="character" w:customStyle="1" w:styleId="232">
    <w:name w:val="批注主题 字符1"/>
    <w:link w:val="85"/>
    <w:qFormat/>
    <w:uiPriority w:val="99"/>
    <w:rPr>
      <w:b/>
      <w:bCs/>
      <w:kern w:val="2"/>
      <w:sz w:val="21"/>
      <w:szCs w:val="24"/>
    </w:rPr>
  </w:style>
  <w:style w:type="character" w:customStyle="1" w:styleId="233">
    <w:name w:val="sj4lab"/>
    <w:basedOn w:val="99"/>
    <w:qFormat/>
    <w:uiPriority w:val="0"/>
  </w:style>
  <w:style w:type="character" w:customStyle="1" w:styleId="234">
    <w:name w:val="表名 Char"/>
    <w:link w:val="235"/>
    <w:qFormat/>
    <w:uiPriority w:val="0"/>
    <w:rPr>
      <w:rFonts w:eastAsia="黑体"/>
      <w:kern w:val="2"/>
      <w:sz w:val="24"/>
      <w:szCs w:val="24"/>
      <w:lang w:val="en-US" w:eastAsia="zh-CN" w:bidi="ar-SA"/>
    </w:rPr>
  </w:style>
  <w:style w:type="paragraph" w:customStyle="1" w:styleId="235">
    <w:name w:val="表名"/>
    <w:basedOn w:val="1"/>
    <w:link w:val="234"/>
    <w:qFormat/>
    <w:uiPriority w:val="0"/>
    <w:pPr>
      <w:spacing w:line="480" w:lineRule="exact"/>
      <w:jc w:val="center"/>
    </w:pPr>
    <w:rPr>
      <w:rFonts w:eastAsia="黑体"/>
      <w:sz w:val="24"/>
    </w:rPr>
  </w:style>
  <w:style w:type="character" w:customStyle="1" w:styleId="236">
    <w:name w:val="标题 3zym Char"/>
    <w:qFormat/>
    <w:uiPriority w:val="0"/>
    <w:rPr>
      <w:rFonts w:ascii="宋体" w:hAnsi="宋体" w:eastAsia="宋体"/>
      <w:b/>
      <w:bCs/>
      <w:kern w:val="2"/>
      <w:sz w:val="24"/>
      <w:szCs w:val="24"/>
      <w:lang w:val="en-US" w:eastAsia="zh-CN" w:bidi="ar-SA"/>
    </w:rPr>
  </w:style>
  <w:style w:type="character" w:customStyle="1" w:styleId="237">
    <w:name w:val="标题 4 字符2"/>
    <w:link w:val="6"/>
    <w:qFormat/>
    <w:uiPriority w:val="0"/>
    <w:rPr>
      <w:rFonts w:eastAsia="宋体"/>
      <w:b/>
      <w:bCs/>
      <w:kern w:val="2"/>
      <w:sz w:val="24"/>
      <w:szCs w:val="24"/>
      <w:lang w:val="en-US" w:eastAsia="zh-CN" w:bidi="ar-SA"/>
    </w:rPr>
  </w:style>
  <w:style w:type="character" w:customStyle="1" w:styleId="238">
    <w:name w:val="sy7t"/>
    <w:basedOn w:val="99"/>
    <w:qFormat/>
    <w:uiPriority w:val="0"/>
  </w:style>
  <w:style w:type="character" w:customStyle="1" w:styleId="239">
    <w:name w:val="未命名11"/>
    <w:qFormat/>
    <w:uiPriority w:val="0"/>
    <w:rPr>
      <w:rFonts w:hint="eastAsia" w:ascii="宋体" w:hAnsi="宋体" w:eastAsia="宋体"/>
      <w:sz w:val="18"/>
      <w:szCs w:val="18"/>
    </w:rPr>
  </w:style>
  <w:style w:type="character" w:customStyle="1" w:styleId="240">
    <w:name w:val="Char Char5"/>
    <w:qFormat/>
    <w:uiPriority w:val="0"/>
    <w:rPr>
      <w:rFonts w:eastAsia="宋体"/>
      <w:kern w:val="2"/>
      <w:sz w:val="21"/>
      <w:szCs w:val="24"/>
      <w:lang w:val="en-US" w:eastAsia="zh-CN" w:bidi="ar-SA"/>
    </w:rPr>
  </w:style>
  <w:style w:type="character" w:customStyle="1" w:styleId="241">
    <w:name w:val="纯文本 字符1"/>
    <w:link w:val="45"/>
    <w:qFormat/>
    <w:uiPriority w:val="0"/>
    <w:rPr>
      <w:rFonts w:ascii="宋体" w:hAnsi="Courier New" w:eastAsia="宋体"/>
      <w:kern w:val="2"/>
      <w:sz w:val="21"/>
      <w:lang w:val="en-US" w:eastAsia="zh-CN" w:bidi="ar-SA"/>
    </w:rPr>
  </w:style>
  <w:style w:type="character" w:customStyle="1" w:styleId="242">
    <w:name w:val="main-1"/>
    <w:basedOn w:val="99"/>
    <w:qFormat/>
    <w:uiPriority w:val="0"/>
  </w:style>
  <w:style w:type="character" w:customStyle="1" w:styleId="243">
    <w:name w:val="keyword1"/>
    <w:qFormat/>
    <w:uiPriority w:val="0"/>
    <w:rPr>
      <w:color w:val="FF0000"/>
    </w:rPr>
  </w:style>
  <w:style w:type="character" w:customStyle="1" w:styleId="244">
    <w:name w:val="sl0m"/>
    <w:basedOn w:val="99"/>
    <w:qFormat/>
    <w:uiPriority w:val="0"/>
  </w:style>
  <w:style w:type="character" w:customStyle="1" w:styleId="245">
    <w:name w:val="包头正文 Char"/>
    <w:link w:val="246"/>
    <w:qFormat/>
    <w:uiPriority w:val="0"/>
    <w:rPr>
      <w:rFonts w:eastAsia="宋体" w:cs="宋体"/>
      <w:sz w:val="24"/>
      <w:szCs w:val="24"/>
      <w:lang w:val="en-US" w:eastAsia="zh-TW" w:bidi="ar-SA"/>
    </w:rPr>
  </w:style>
  <w:style w:type="paragraph" w:customStyle="1" w:styleId="246">
    <w:name w:val="包头正文"/>
    <w:basedOn w:val="1"/>
    <w:link w:val="245"/>
    <w:qFormat/>
    <w:uiPriority w:val="0"/>
    <w:pPr>
      <w:autoSpaceDE w:val="0"/>
      <w:autoSpaceDN w:val="0"/>
      <w:adjustRightInd w:val="0"/>
      <w:spacing w:line="360" w:lineRule="auto"/>
      <w:ind w:firstLine="482"/>
    </w:pPr>
    <w:rPr>
      <w:rFonts w:cs="宋体"/>
      <w:kern w:val="0"/>
      <w:sz w:val="24"/>
      <w:lang w:eastAsia="zh-TW"/>
    </w:rPr>
  </w:style>
  <w:style w:type="character" w:customStyle="1" w:styleId="247">
    <w:name w:val="标题 1 Char Char Char"/>
    <w:qFormat/>
    <w:uiPriority w:val="0"/>
    <w:rPr>
      <w:rFonts w:ascii="仿宋_GB2312" w:eastAsia="仿宋_GB2312"/>
      <w:b/>
      <w:bCs/>
      <w:color w:val="000000"/>
      <w:kern w:val="44"/>
      <w:sz w:val="44"/>
      <w:szCs w:val="44"/>
      <w:lang w:val="en-US" w:eastAsia="zh-CN" w:bidi="ar-SA"/>
    </w:rPr>
  </w:style>
  <w:style w:type="character" w:customStyle="1" w:styleId="248">
    <w:name w:val="样式 宋体 小四 行距: 固定值 26 磅 Char"/>
    <w:link w:val="249"/>
    <w:qFormat/>
    <w:uiPriority w:val="0"/>
    <w:rPr>
      <w:rFonts w:eastAsia="宋体" w:cs="宋体"/>
      <w:kern w:val="2"/>
      <w:sz w:val="24"/>
      <w:szCs w:val="24"/>
      <w:lang w:val="en-US" w:eastAsia="zh-CN" w:bidi="ar-SA"/>
    </w:rPr>
  </w:style>
  <w:style w:type="paragraph" w:customStyle="1" w:styleId="249">
    <w:name w:val="样式 宋体 小四 行距: 固定值 26 磅"/>
    <w:basedOn w:val="1"/>
    <w:link w:val="248"/>
    <w:qFormat/>
    <w:uiPriority w:val="0"/>
    <w:pPr>
      <w:spacing w:line="520" w:lineRule="exact"/>
      <w:ind w:firstLine="480" w:firstLineChars="200"/>
    </w:pPr>
    <w:rPr>
      <w:rFonts w:cs="宋体"/>
      <w:sz w:val="24"/>
    </w:rPr>
  </w:style>
  <w:style w:type="character" w:customStyle="1" w:styleId="250">
    <w:name w:val="样式 标题 1标题1 + Times New Roman Char Char"/>
    <w:link w:val="251"/>
    <w:qFormat/>
    <w:uiPriority w:val="0"/>
    <w:rPr>
      <w:rFonts w:eastAsia="宋体" w:cs="Arial"/>
      <w:b/>
      <w:bCs/>
      <w:kern w:val="17153"/>
      <w:sz w:val="32"/>
      <w:lang w:val="en-US" w:bidi="ar-SA"/>
    </w:rPr>
  </w:style>
  <w:style w:type="paragraph" w:customStyle="1" w:styleId="251">
    <w:name w:val="样式 标题 1标题1 + Times New Roman"/>
    <w:basedOn w:val="3"/>
    <w:link w:val="250"/>
    <w:qFormat/>
    <w:uiPriority w:val="0"/>
    <w:pPr>
      <w:keepNext w:val="0"/>
      <w:keepLines w:val="0"/>
      <w:tabs>
        <w:tab w:val="left" w:pos="420"/>
      </w:tabs>
      <w:suppressAutoHyphens/>
      <w:kinsoku w:val="0"/>
      <w:autoSpaceDE w:val="0"/>
      <w:autoSpaceDN w:val="0"/>
      <w:adjustRightInd w:val="0"/>
      <w:snapToGrid w:val="0"/>
      <w:spacing w:before="0" w:after="0" w:line="360" w:lineRule="auto"/>
      <w:ind w:left="420" w:hanging="420"/>
    </w:pPr>
    <w:rPr>
      <w:rFonts w:cs="Arial"/>
      <w:kern w:val="17153"/>
      <w:sz w:val="32"/>
      <w:szCs w:val="20"/>
    </w:rPr>
  </w:style>
  <w:style w:type="character" w:customStyle="1" w:styleId="252">
    <w:name w:val="一级标题 大王2010 0612. Char"/>
    <w:link w:val="253"/>
    <w:qFormat/>
    <w:uiPriority w:val="99"/>
    <w:rPr>
      <w:rFonts w:eastAsia="黑体"/>
      <w:b/>
      <w:kern w:val="2"/>
      <w:sz w:val="30"/>
      <w:szCs w:val="30"/>
      <w:lang w:val="zh-CN"/>
    </w:rPr>
  </w:style>
  <w:style w:type="paragraph" w:customStyle="1" w:styleId="253">
    <w:name w:val="一级标题 大王2010 0612."/>
    <w:basedOn w:val="1"/>
    <w:link w:val="252"/>
    <w:qFormat/>
    <w:uiPriority w:val="99"/>
    <w:pPr>
      <w:numPr>
        <w:ilvl w:val="0"/>
        <w:numId w:val="1"/>
      </w:numPr>
      <w:tabs>
        <w:tab w:val="left" w:pos="284"/>
      </w:tabs>
      <w:spacing w:before="48" w:beforeLines="20" w:after="120" w:afterLines="50"/>
      <w:outlineLvl w:val="0"/>
    </w:pPr>
    <w:rPr>
      <w:rFonts w:eastAsia="黑体"/>
      <w:b/>
      <w:sz w:val="30"/>
      <w:szCs w:val="30"/>
      <w:lang w:val="zh-CN"/>
    </w:rPr>
  </w:style>
  <w:style w:type="character" w:customStyle="1" w:styleId="254">
    <w:name w:val="正文 首行缩进:  2 字符 SL CON Char"/>
    <w:link w:val="255"/>
    <w:qFormat/>
    <w:uiPriority w:val="0"/>
    <w:rPr>
      <w:rFonts w:ascii="宋体" w:cs="宋体"/>
      <w:sz w:val="24"/>
      <w:szCs w:val="24"/>
    </w:rPr>
  </w:style>
  <w:style w:type="paragraph" w:customStyle="1" w:styleId="255">
    <w:name w:val="正文 首行缩进:  2 字符 SL CON"/>
    <w:basedOn w:val="1"/>
    <w:link w:val="254"/>
    <w:qFormat/>
    <w:uiPriority w:val="0"/>
    <w:pPr>
      <w:tabs>
        <w:tab w:val="left" w:pos="377"/>
      </w:tabs>
      <w:spacing w:beforeLines="20" w:afterLines="20" w:line="360" w:lineRule="auto"/>
      <w:ind w:firstLine="200" w:firstLineChars="200"/>
    </w:pPr>
    <w:rPr>
      <w:rFonts w:ascii="宋体"/>
      <w:kern w:val="0"/>
      <w:sz w:val="24"/>
      <w:lang w:val="zh-CN"/>
    </w:rPr>
  </w:style>
  <w:style w:type="character" w:customStyle="1" w:styleId="256">
    <w:name w:val="表格内容 Char"/>
    <w:link w:val="257"/>
    <w:qFormat/>
    <w:uiPriority w:val="0"/>
    <w:rPr>
      <w:rFonts w:ascii="Times New Roman" w:hAnsi="Times New Roman" w:eastAsia="宋体" w:cs="Times New Roman"/>
      <w:sz w:val="21"/>
      <w:szCs w:val="21"/>
    </w:rPr>
  </w:style>
  <w:style w:type="paragraph" w:customStyle="1" w:styleId="257">
    <w:name w:val="表格内容"/>
    <w:next w:val="1"/>
    <w:link w:val="256"/>
    <w:qFormat/>
    <w:uiPriority w:val="0"/>
    <w:pPr>
      <w:widowControl w:val="0"/>
      <w:jc w:val="center"/>
    </w:pPr>
    <w:rPr>
      <w:rFonts w:ascii="Times New Roman" w:hAnsi="Times New Roman" w:eastAsia="宋体" w:cs="Times New Roman"/>
      <w:szCs w:val="21"/>
      <w:lang w:val="en-US" w:eastAsia="zh-CN" w:bidi="ar-SA"/>
    </w:rPr>
  </w:style>
  <w:style w:type="paragraph" w:customStyle="1" w:styleId="258">
    <w:name w:val="表格标题"/>
    <w:basedOn w:val="22"/>
    <w:next w:val="1"/>
    <w:unhideWhenUsed/>
    <w:qFormat/>
    <w:uiPriority w:val="0"/>
    <w:pPr>
      <w:spacing w:before="120"/>
    </w:pPr>
    <w:rPr>
      <w:sz w:val="24"/>
      <w:szCs w:val="24"/>
    </w:rPr>
  </w:style>
  <w:style w:type="character" w:customStyle="1" w:styleId="259">
    <w:name w:val="keyword"/>
    <w:basedOn w:val="99"/>
    <w:qFormat/>
    <w:uiPriority w:val="0"/>
  </w:style>
  <w:style w:type="character" w:customStyle="1" w:styleId="260">
    <w:name w:val="正文文本 3 字符"/>
    <w:link w:val="31"/>
    <w:qFormat/>
    <w:uiPriority w:val="0"/>
    <w:rPr>
      <w:kern w:val="2"/>
      <w:sz w:val="16"/>
      <w:szCs w:val="16"/>
    </w:rPr>
  </w:style>
  <w:style w:type="character" w:customStyle="1" w:styleId="261">
    <w:name w:val="副标题 字符"/>
    <w:link w:val="63"/>
    <w:qFormat/>
    <w:uiPriority w:val="0"/>
    <w:rPr>
      <w:rFonts w:ascii="Arial" w:hAnsi="Arial" w:eastAsia="仿宋_GB2312" w:cs="Arial"/>
      <w:b/>
      <w:bCs/>
      <w:kern w:val="28"/>
      <w:sz w:val="32"/>
      <w:szCs w:val="32"/>
    </w:rPr>
  </w:style>
  <w:style w:type="character" w:customStyle="1" w:styleId="262">
    <w:name w:val="签名 字符"/>
    <w:link w:val="58"/>
    <w:qFormat/>
    <w:uiPriority w:val="0"/>
    <w:rPr>
      <w:rFonts w:ascii="Arial" w:hAnsi="Arial" w:eastAsia="仿宋_GB2312"/>
      <w:sz w:val="24"/>
    </w:rPr>
  </w:style>
  <w:style w:type="character" w:customStyle="1" w:styleId="263">
    <w:name w:val="三级目录(康健城) Char"/>
    <w:link w:val="264"/>
    <w:qFormat/>
    <w:uiPriority w:val="0"/>
    <w:rPr>
      <w:rFonts w:eastAsia="黑体"/>
      <w:b/>
      <w:kern w:val="2"/>
      <w:sz w:val="28"/>
      <w:szCs w:val="28"/>
    </w:rPr>
  </w:style>
  <w:style w:type="paragraph" w:customStyle="1" w:styleId="264">
    <w:name w:val="三级目录(康健城)"/>
    <w:basedOn w:val="1"/>
    <w:link w:val="263"/>
    <w:qFormat/>
    <w:uiPriority w:val="0"/>
    <w:pPr>
      <w:adjustRightInd w:val="0"/>
      <w:snapToGrid w:val="0"/>
      <w:spacing w:before="200" w:after="200" w:line="360" w:lineRule="auto"/>
      <w:outlineLvl w:val="2"/>
    </w:pPr>
    <w:rPr>
      <w:rFonts w:eastAsia="黑体"/>
      <w:b/>
      <w:sz w:val="28"/>
      <w:szCs w:val="28"/>
      <w:lang w:val="zh-CN"/>
    </w:rPr>
  </w:style>
  <w:style w:type="character" w:customStyle="1" w:styleId="265">
    <w:name w:val="正文首行缩进 2 字符"/>
    <w:link w:val="87"/>
    <w:qFormat/>
    <w:uiPriority w:val="99"/>
    <w:rPr>
      <w:sz w:val="18"/>
      <w:szCs w:val="24"/>
    </w:rPr>
  </w:style>
  <w:style w:type="character" w:customStyle="1" w:styleId="266">
    <w:name w:val="f141"/>
    <w:qFormat/>
    <w:uiPriority w:val="0"/>
    <w:rPr>
      <w:sz w:val="21"/>
      <w:szCs w:val="21"/>
    </w:rPr>
  </w:style>
  <w:style w:type="character" w:customStyle="1" w:styleId="267">
    <w:name w:val="ask-title"/>
    <w:qFormat/>
    <w:uiPriority w:val="0"/>
  </w:style>
  <w:style w:type="character" w:customStyle="1" w:styleId="268">
    <w:name w:val="样式96 Char"/>
    <w:link w:val="269"/>
    <w:qFormat/>
    <w:uiPriority w:val="0"/>
    <w:rPr>
      <w:b/>
      <w:kern w:val="2"/>
      <w:sz w:val="24"/>
      <w:szCs w:val="24"/>
    </w:rPr>
  </w:style>
  <w:style w:type="paragraph" w:customStyle="1" w:styleId="269">
    <w:name w:val="样式96"/>
    <w:basedOn w:val="1"/>
    <w:link w:val="268"/>
    <w:qFormat/>
    <w:uiPriority w:val="0"/>
    <w:pPr>
      <w:adjustRightInd w:val="0"/>
      <w:snapToGrid w:val="0"/>
      <w:spacing w:before="100" w:after="100" w:line="360" w:lineRule="auto"/>
      <w:outlineLvl w:val="3"/>
    </w:pPr>
    <w:rPr>
      <w:b/>
      <w:sz w:val="24"/>
      <w:lang w:val="zh-CN"/>
    </w:rPr>
  </w:style>
  <w:style w:type="character" w:customStyle="1" w:styleId="270">
    <w:name w:val="二级目录（康健城） Char"/>
    <w:link w:val="271"/>
    <w:qFormat/>
    <w:uiPriority w:val="0"/>
    <w:rPr>
      <w:rFonts w:eastAsia="黑体"/>
      <w:b/>
      <w:bCs/>
      <w:kern w:val="2"/>
      <w:sz w:val="32"/>
      <w:szCs w:val="32"/>
    </w:rPr>
  </w:style>
  <w:style w:type="paragraph" w:customStyle="1" w:styleId="271">
    <w:name w:val="二级目录（康健城）"/>
    <w:basedOn w:val="1"/>
    <w:link w:val="270"/>
    <w:qFormat/>
    <w:uiPriority w:val="0"/>
    <w:pPr>
      <w:keepNext/>
      <w:keepLines/>
      <w:adjustRightInd w:val="0"/>
      <w:snapToGrid w:val="0"/>
      <w:spacing w:before="260" w:after="260" w:line="360" w:lineRule="auto"/>
      <w:outlineLvl w:val="1"/>
    </w:pPr>
    <w:rPr>
      <w:rFonts w:eastAsia="黑体"/>
      <w:b/>
      <w:bCs/>
      <w:sz w:val="32"/>
      <w:szCs w:val="32"/>
      <w:lang w:val="zh-CN"/>
    </w:rPr>
  </w:style>
  <w:style w:type="character" w:customStyle="1" w:styleId="272">
    <w:name w:val="表头 Char"/>
    <w:link w:val="273"/>
    <w:qFormat/>
    <w:uiPriority w:val="0"/>
    <w:rPr>
      <w:bCs/>
      <w:spacing w:val="4"/>
      <w:kern w:val="2"/>
      <w:sz w:val="24"/>
      <w:szCs w:val="24"/>
    </w:rPr>
  </w:style>
  <w:style w:type="paragraph" w:customStyle="1" w:styleId="273">
    <w:name w:val="表头"/>
    <w:basedOn w:val="1"/>
    <w:link w:val="272"/>
    <w:qFormat/>
    <w:uiPriority w:val="0"/>
    <w:pPr>
      <w:adjustRightInd w:val="0"/>
      <w:snapToGrid w:val="0"/>
      <w:jc w:val="right"/>
    </w:pPr>
    <w:rPr>
      <w:bCs/>
      <w:spacing w:val="4"/>
      <w:sz w:val="24"/>
      <w:lang w:val="zh-CN"/>
    </w:rPr>
  </w:style>
  <w:style w:type="character" w:customStyle="1" w:styleId="274">
    <w:name w:val="hb3 Char Char"/>
    <w:qFormat/>
    <w:uiPriority w:val="0"/>
    <w:rPr>
      <w:rFonts w:ascii="宋体" w:hAnsi="宋体" w:eastAsia="宋体"/>
      <w:b/>
      <w:bCs/>
      <w:sz w:val="24"/>
      <w:szCs w:val="32"/>
      <w:lang w:val="en-US" w:eastAsia="zh-CN" w:bidi="ar-SA"/>
    </w:rPr>
  </w:style>
  <w:style w:type="character" w:customStyle="1" w:styleId="275">
    <w:name w:val="main-11"/>
    <w:basedOn w:val="99"/>
    <w:qFormat/>
    <w:uiPriority w:val="0"/>
  </w:style>
  <w:style w:type="character" w:customStyle="1" w:styleId="276">
    <w:name w:val="【表头】 Char"/>
    <w:link w:val="277"/>
    <w:qFormat/>
    <w:uiPriority w:val="0"/>
    <w:rPr>
      <w:rFonts w:eastAsia="黑体" w:cs="宋体"/>
      <w:sz w:val="24"/>
    </w:rPr>
  </w:style>
  <w:style w:type="paragraph" w:customStyle="1" w:styleId="277">
    <w:name w:val="【表头】"/>
    <w:basedOn w:val="1"/>
    <w:link w:val="276"/>
    <w:qFormat/>
    <w:uiPriority w:val="0"/>
    <w:pPr>
      <w:spacing w:line="460" w:lineRule="exact"/>
      <w:jc w:val="center"/>
    </w:pPr>
    <w:rPr>
      <w:rFonts w:eastAsia="黑体"/>
      <w:kern w:val="0"/>
      <w:sz w:val="24"/>
      <w:szCs w:val="20"/>
      <w:lang w:val="zh-CN"/>
    </w:rPr>
  </w:style>
  <w:style w:type="character" w:customStyle="1" w:styleId="278">
    <w:name w:val="seecix"/>
    <w:basedOn w:val="99"/>
    <w:qFormat/>
    <w:uiPriority w:val="0"/>
  </w:style>
  <w:style w:type="character" w:customStyle="1" w:styleId="279">
    <w:name w:val="样式 小四 居中 Char"/>
    <w:link w:val="280"/>
    <w:qFormat/>
    <w:uiPriority w:val="0"/>
    <w:rPr>
      <w:rFonts w:ascii="楷体_GB2312" w:eastAsia="楷体_GB2312"/>
      <w:b/>
      <w:bCs/>
      <w:kern w:val="2"/>
      <w:sz w:val="24"/>
      <w:szCs w:val="24"/>
      <w:lang w:val="en-US" w:eastAsia="zh-CN" w:bidi="ar-SA"/>
    </w:rPr>
  </w:style>
  <w:style w:type="paragraph" w:customStyle="1" w:styleId="280">
    <w:name w:val="样式 小四 居中"/>
    <w:link w:val="279"/>
    <w:qFormat/>
    <w:uiPriority w:val="0"/>
    <w:pPr>
      <w:widowControl w:val="0"/>
      <w:spacing w:before="60" w:after="60"/>
      <w:jc w:val="center"/>
    </w:pPr>
    <w:rPr>
      <w:rFonts w:ascii="楷体_GB2312" w:hAnsi="Times New Roman" w:eastAsia="楷体_GB2312" w:cs="Times New Roman"/>
      <w:b/>
      <w:bCs/>
      <w:kern w:val="2"/>
      <w:sz w:val="24"/>
      <w:szCs w:val="24"/>
      <w:lang w:val="en-US" w:eastAsia="zh-CN" w:bidi="ar-SA"/>
    </w:rPr>
  </w:style>
  <w:style w:type="character" w:customStyle="1" w:styleId="281">
    <w:name w:val="unnamed3"/>
    <w:basedOn w:val="99"/>
    <w:qFormat/>
    <w:uiPriority w:val="0"/>
  </w:style>
  <w:style w:type="character" w:customStyle="1" w:styleId="282">
    <w:name w:val="ssqiaz"/>
    <w:basedOn w:val="99"/>
    <w:qFormat/>
    <w:uiPriority w:val="0"/>
  </w:style>
  <w:style w:type="character" w:customStyle="1" w:styleId="283">
    <w:name w:val="条标题1.1.1 Char1"/>
    <w:qFormat/>
    <w:uiPriority w:val="0"/>
    <w:rPr>
      <w:rFonts w:eastAsia="宋体"/>
      <w:b/>
      <w:bCs/>
      <w:kern w:val="2"/>
      <w:sz w:val="32"/>
      <w:szCs w:val="32"/>
      <w:lang w:val="en-US" w:eastAsia="zh-CN" w:bidi="ar-SA"/>
    </w:rPr>
  </w:style>
  <w:style w:type="character" w:customStyle="1" w:styleId="284">
    <w:name w:val="无间隔 Char"/>
    <w:link w:val="285"/>
    <w:qFormat/>
    <w:locked/>
    <w:uiPriority w:val="0"/>
    <w:rPr>
      <w:kern w:val="2"/>
      <w:sz w:val="24"/>
      <w:szCs w:val="24"/>
      <w:lang w:bidi="ar-SA"/>
    </w:rPr>
  </w:style>
  <w:style w:type="paragraph" w:customStyle="1" w:styleId="285">
    <w:name w:val="无间隔1"/>
    <w:basedOn w:val="1"/>
    <w:link w:val="284"/>
    <w:qFormat/>
    <w:uiPriority w:val="0"/>
    <w:pPr>
      <w:spacing w:line="480" w:lineRule="exact"/>
      <w:ind w:firstLine="200" w:firstLineChars="200"/>
    </w:pPr>
    <w:rPr>
      <w:sz w:val="24"/>
      <w:lang w:val="zh-CN"/>
    </w:rPr>
  </w:style>
  <w:style w:type="character" w:customStyle="1" w:styleId="286">
    <w:name w:val="标题 1 Char1"/>
    <w:qFormat/>
    <w:uiPriority w:val="0"/>
    <w:rPr>
      <w:rFonts w:eastAsia="宋体"/>
      <w:b/>
      <w:bCs/>
      <w:kern w:val="44"/>
      <w:sz w:val="44"/>
      <w:szCs w:val="44"/>
      <w:lang w:val="en-US" w:eastAsia="zh-CN" w:bidi="ar-SA"/>
    </w:rPr>
  </w:style>
  <w:style w:type="character" w:customStyle="1" w:styleId="287">
    <w:name w:val="title_span3"/>
    <w:qFormat/>
    <w:uiPriority w:val="0"/>
    <w:rPr>
      <w:rFonts w:hint="default"/>
      <w:sz w:val="24"/>
      <w:szCs w:val="24"/>
    </w:rPr>
  </w:style>
  <w:style w:type="character" w:customStyle="1" w:styleId="288">
    <w:name w:val="apple-converted-space"/>
    <w:qFormat/>
    <w:uiPriority w:val="0"/>
  </w:style>
  <w:style w:type="character" w:customStyle="1" w:styleId="289">
    <w:name w:val="sovnn"/>
    <w:basedOn w:val="99"/>
    <w:qFormat/>
    <w:uiPriority w:val="0"/>
  </w:style>
  <w:style w:type="character" w:customStyle="1" w:styleId="290">
    <w:name w:val="Char Char Char Char1"/>
    <w:link w:val="291"/>
    <w:qFormat/>
    <w:uiPriority w:val="0"/>
    <w:rPr>
      <w:rFonts w:eastAsia="宋体"/>
      <w:kern w:val="2"/>
      <w:sz w:val="24"/>
      <w:szCs w:val="24"/>
      <w:lang w:val="en-US" w:eastAsia="zh-CN" w:bidi="ar-SA"/>
    </w:rPr>
  </w:style>
  <w:style w:type="paragraph" w:customStyle="1" w:styleId="291">
    <w:name w:val="Char Char Char"/>
    <w:basedOn w:val="1"/>
    <w:link w:val="290"/>
    <w:qFormat/>
    <w:uiPriority w:val="0"/>
    <w:rPr>
      <w:sz w:val="24"/>
    </w:rPr>
  </w:style>
  <w:style w:type="character" w:customStyle="1" w:styleId="292">
    <w:name w:val="si16"/>
    <w:basedOn w:val="99"/>
    <w:qFormat/>
    <w:uiPriority w:val="0"/>
  </w:style>
  <w:style w:type="character" w:customStyle="1" w:styleId="293">
    <w:name w:val="s lh15"/>
    <w:basedOn w:val="99"/>
    <w:qFormat/>
    <w:uiPriority w:val="0"/>
  </w:style>
  <w:style w:type="character" w:customStyle="1" w:styleId="294">
    <w:name w:val="s9n1k0c"/>
    <w:basedOn w:val="99"/>
    <w:qFormat/>
    <w:uiPriority w:val="0"/>
  </w:style>
  <w:style w:type="character" w:customStyle="1" w:styleId="295">
    <w:name w:val="shekj8m"/>
    <w:basedOn w:val="99"/>
    <w:qFormat/>
    <w:uiPriority w:val="0"/>
  </w:style>
  <w:style w:type="character" w:customStyle="1" w:styleId="296">
    <w:name w:val="4正文 Char Char"/>
    <w:link w:val="297"/>
    <w:qFormat/>
    <w:uiPriority w:val="0"/>
    <w:rPr>
      <w:rFonts w:eastAsia="宋体" w:cs="宋体"/>
      <w:kern w:val="2"/>
      <w:sz w:val="28"/>
      <w:lang w:val="en-US" w:eastAsia="zh-CN" w:bidi="ar-SA"/>
    </w:rPr>
  </w:style>
  <w:style w:type="paragraph" w:customStyle="1" w:styleId="297">
    <w:name w:val="4正文"/>
    <w:basedOn w:val="1"/>
    <w:link w:val="296"/>
    <w:qFormat/>
    <w:uiPriority w:val="0"/>
    <w:pPr>
      <w:ind w:firstLine="480"/>
    </w:pPr>
    <w:rPr>
      <w:rFonts w:cs="宋体"/>
      <w:sz w:val="28"/>
      <w:szCs w:val="20"/>
    </w:rPr>
  </w:style>
  <w:style w:type="character" w:customStyle="1" w:styleId="298">
    <w:name w:val="nine-11"/>
    <w:qFormat/>
    <w:uiPriority w:val="0"/>
    <w:rPr>
      <w:rFonts w:hint="default"/>
      <w:sz w:val="18"/>
      <w:szCs w:val="18"/>
    </w:rPr>
  </w:style>
  <w:style w:type="character" w:customStyle="1" w:styleId="299">
    <w:name w:val="soqzabs"/>
    <w:basedOn w:val="99"/>
    <w:qFormat/>
    <w:uiPriority w:val="0"/>
  </w:style>
  <w:style w:type="character" w:customStyle="1" w:styleId="300">
    <w:name w:val="批注框文本 字符1"/>
    <w:link w:val="54"/>
    <w:qFormat/>
    <w:uiPriority w:val="99"/>
    <w:rPr>
      <w:kern w:val="2"/>
      <w:sz w:val="18"/>
      <w:szCs w:val="18"/>
    </w:rPr>
  </w:style>
  <w:style w:type="character" w:customStyle="1" w:styleId="301">
    <w:name w:val="al11"/>
    <w:qFormat/>
    <w:uiPriority w:val="0"/>
    <w:rPr>
      <w:color w:val="333333"/>
      <w:sz w:val="18"/>
      <w:szCs w:val="18"/>
    </w:rPr>
  </w:style>
  <w:style w:type="character" w:customStyle="1" w:styleId="302">
    <w:name w:val="style111"/>
    <w:qFormat/>
    <w:uiPriority w:val="0"/>
    <w:rPr>
      <w:b/>
      <w:bCs/>
      <w:color w:val="006B0F"/>
      <w:sz w:val="18"/>
      <w:szCs w:val="18"/>
    </w:rPr>
  </w:style>
  <w:style w:type="character" w:customStyle="1" w:styleId="303">
    <w:name w:val="普通文字 Char Char Char Char Char Char Char Char Char Char Char Char Char Char Char Char Char Char Char"/>
    <w:qFormat/>
    <w:uiPriority w:val="0"/>
    <w:rPr>
      <w:rFonts w:ascii="宋体" w:hAnsi="Courier New" w:eastAsia="宋体" w:cs="Courier New"/>
      <w:kern w:val="2"/>
      <w:sz w:val="21"/>
      <w:szCs w:val="21"/>
      <w:lang w:val="en-US" w:eastAsia="zh-CN" w:bidi="ar-SA"/>
    </w:rPr>
  </w:style>
  <w:style w:type="character" w:customStyle="1" w:styleId="304">
    <w:name w:val="f241"/>
    <w:qFormat/>
    <w:uiPriority w:val="0"/>
    <w:rPr>
      <w:sz w:val="48"/>
      <w:szCs w:val="48"/>
    </w:rPr>
  </w:style>
  <w:style w:type="character" w:customStyle="1" w:styleId="305">
    <w:name w:val="a11"/>
    <w:basedOn w:val="99"/>
    <w:qFormat/>
    <w:uiPriority w:val="0"/>
  </w:style>
  <w:style w:type="character" w:customStyle="1" w:styleId="306">
    <w:name w:val="14p1"/>
    <w:qFormat/>
    <w:uiPriority w:val="0"/>
    <w:rPr>
      <w:sz w:val="21"/>
      <w:szCs w:val="21"/>
    </w:rPr>
  </w:style>
  <w:style w:type="character" w:customStyle="1" w:styleId="307">
    <w:name w:val="高表单 Char Char"/>
    <w:qFormat/>
    <w:uiPriority w:val="0"/>
    <w:rPr>
      <w:rFonts w:ascii="Arial" w:hAnsi="Arial" w:eastAsia="宋体"/>
      <w:kern w:val="2"/>
      <w:sz w:val="21"/>
      <w:szCs w:val="21"/>
      <w:lang w:val="en-US" w:eastAsia="zh-CN" w:bidi="ar-SA"/>
    </w:rPr>
  </w:style>
  <w:style w:type="character" w:customStyle="1" w:styleId="308">
    <w:name w:val="unnamed11"/>
    <w:qFormat/>
    <w:uiPriority w:val="0"/>
    <w:rPr>
      <w:color w:val="336699"/>
      <w:sz w:val="32"/>
      <w:szCs w:val="32"/>
      <w:u w:val="none"/>
    </w:rPr>
  </w:style>
  <w:style w:type="character" w:customStyle="1" w:styleId="309">
    <w:name w:val="s4y5"/>
    <w:basedOn w:val="99"/>
    <w:qFormat/>
    <w:uiPriority w:val="0"/>
  </w:style>
  <w:style w:type="character" w:customStyle="1" w:styleId="310">
    <w:name w:val="标题 3 字符2"/>
    <w:link w:val="5"/>
    <w:qFormat/>
    <w:uiPriority w:val="0"/>
    <w:rPr>
      <w:rFonts w:eastAsia="宋体"/>
      <w:b/>
      <w:bCs/>
      <w:kern w:val="2"/>
      <w:sz w:val="32"/>
      <w:szCs w:val="32"/>
      <w:lang w:val="en-US" w:eastAsia="zh-CN" w:bidi="ar-SA"/>
    </w:rPr>
  </w:style>
  <w:style w:type="character" w:customStyle="1" w:styleId="311">
    <w:name w:val="sfrxxz"/>
    <w:basedOn w:val="99"/>
    <w:qFormat/>
    <w:uiPriority w:val="0"/>
  </w:style>
  <w:style w:type="character" w:customStyle="1" w:styleId="312">
    <w:name w:val="smuvt"/>
    <w:basedOn w:val="99"/>
    <w:qFormat/>
    <w:uiPriority w:val="0"/>
  </w:style>
  <w:style w:type="character" w:customStyle="1" w:styleId="313">
    <w:name w:val="apple-style-span"/>
    <w:basedOn w:val="99"/>
    <w:qFormat/>
    <w:uiPriority w:val="0"/>
  </w:style>
  <w:style w:type="character" w:customStyle="1" w:styleId="314">
    <w:name w:val="x1"/>
    <w:basedOn w:val="99"/>
    <w:qFormat/>
    <w:uiPriority w:val="0"/>
  </w:style>
  <w:style w:type="character" w:customStyle="1" w:styleId="315">
    <w:name w:val="style21"/>
    <w:qFormat/>
    <w:uiPriority w:val="0"/>
    <w:rPr>
      <w:sz w:val="22"/>
      <w:szCs w:val="22"/>
    </w:rPr>
  </w:style>
  <w:style w:type="character" w:customStyle="1" w:styleId="316">
    <w:name w:val="段落1 Char Char1"/>
    <w:link w:val="317"/>
    <w:qFormat/>
    <w:uiPriority w:val="0"/>
    <w:rPr>
      <w:rFonts w:eastAsia="宋体"/>
      <w:spacing w:val="8"/>
      <w:kern w:val="2"/>
      <w:sz w:val="24"/>
      <w:lang w:val="en-US" w:eastAsia="zh-CN" w:bidi="ar-SA"/>
    </w:rPr>
  </w:style>
  <w:style w:type="paragraph" w:customStyle="1" w:styleId="317">
    <w:name w:val="段落1 Char"/>
    <w:basedOn w:val="1"/>
    <w:link w:val="316"/>
    <w:qFormat/>
    <w:uiPriority w:val="0"/>
    <w:pPr>
      <w:adjustRightInd w:val="0"/>
      <w:spacing w:line="440" w:lineRule="exact"/>
      <w:ind w:firstLine="480" w:firstLineChars="200"/>
    </w:pPr>
    <w:rPr>
      <w:spacing w:val="8"/>
      <w:sz w:val="24"/>
      <w:szCs w:val="20"/>
    </w:rPr>
  </w:style>
  <w:style w:type="character" w:customStyle="1" w:styleId="318">
    <w:name w:val="页脚 字符1"/>
    <w:link w:val="55"/>
    <w:qFormat/>
    <w:uiPriority w:val="99"/>
    <w:rPr>
      <w:rFonts w:eastAsia="宋体"/>
      <w:kern w:val="44"/>
      <w:sz w:val="18"/>
      <w:lang w:val="en-US" w:eastAsia="zh-CN" w:bidi="ar-SA"/>
    </w:rPr>
  </w:style>
  <w:style w:type="character" w:customStyle="1" w:styleId="319">
    <w:name w:val="信息标题 字符"/>
    <w:link w:val="78"/>
    <w:qFormat/>
    <w:uiPriority w:val="0"/>
    <w:rPr>
      <w:rFonts w:ascii="Arial" w:hAnsi="Arial" w:eastAsia="仿宋_GB2312" w:cs="Arial"/>
      <w:sz w:val="24"/>
      <w:shd w:val="pct20" w:color="auto" w:fill="auto"/>
    </w:rPr>
  </w:style>
  <w:style w:type="character" w:customStyle="1" w:styleId="320">
    <w:name w:val="批注文字 字符2"/>
    <w:link w:val="28"/>
    <w:qFormat/>
    <w:uiPriority w:val="99"/>
    <w:rPr>
      <w:kern w:val="2"/>
      <w:sz w:val="21"/>
      <w:szCs w:val="24"/>
    </w:rPr>
  </w:style>
  <w:style w:type="character" w:customStyle="1" w:styleId="321">
    <w:name w:val="postdetails1"/>
    <w:qFormat/>
    <w:uiPriority w:val="0"/>
    <w:rPr>
      <w:color w:val="000000"/>
      <w:sz w:val="16"/>
      <w:szCs w:val="16"/>
    </w:rPr>
  </w:style>
  <w:style w:type="character" w:customStyle="1" w:styleId="322">
    <w:name w:val="标题 2 字符2"/>
    <w:link w:val="4"/>
    <w:qFormat/>
    <w:uiPriority w:val="0"/>
    <w:rPr>
      <w:rFonts w:ascii="Arial" w:hAnsi="Arial" w:eastAsia="黑体"/>
      <w:b/>
      <w:bCs/>
      <w:kern w:val="2"/>
      <w:sz w:val="32"/>
      <w:szCs w:val="32"/>
      <w:lang w:val="en-US" w:eastAsia="zh-CN" w:bidi="ar-SA"/>
    </w:rPr>
  </w:style>
  <w:style w:type="character" w:customStyle="1" w:styleId="323">
    <w:name w:val="表头(新康健城) Char"/>
    <w:link w:val="324"/>
    <w:qFormat/>
    <w:uiPriority w:val="0"/>
    <w:rPr>
      <w:rFonts w:eastAsia="黑体"/>
      <w:kern w:val="2"/>
      <w:sz w:val="24"/>
      <w:szCs w:val="24"/>
    </w:rPr>
  </w:style>
  <w:style w:type="paragraph" w:customStyle="1" w:styleId="324">
    <w:name w:val="表头(新康健城)"/>
    <w:basedOn w:val="1"/>
    <w:link w:val="323"/>
    <w:qFormat/>
    <w:uiPriority w:val="0"/>
    <w:pPr>
      <w:spacing w:line="360" w:lineRule="auto"/>
      <w:jc w:val="center"/>
    </w:pPr>
    <w:rPr>
      <w:rFonts w:eastAsia="黑体"/>
      <w:sz w:val="24"/>
      <w:lang w:val="zh-CN"/>
    </w:rPr>
  </w:style>
  <w:style w:type="character" w:customStyle="1" w:styleId="325">
    <w:name w:val="s6wwf"/>
    <w:basedOn w:val="99"/>
    <w:qFormat/>
    <w:uiPriority w:val="0"/>
  </w:style>
  <w:style w:type="character" w:customStyle="1" w:styleId="326">
    <w:name w:val="indetail1"/>
    <w:qFormat/>
    <w:uiPriority w:val="0"/>
    <w:rPr>
      <w:sz w:val="18"/>
      <w:szCs w:val="18"/>
      <w:bdr w:val="single" w:color="E2E2E2" w:sz="6" w:space="0"/>
    </w:rPr>
  </w:style>
  <w:style w:type="character" w:customStyle="1" w:styleId="327">
    <w:name w:val="sc2f7tt"/>
    <w:basedOn w:val="99"/>
    <w:qFormat/>
    <w:uiPriority w:val="0"/>
  </w:style>
  <w:style w:type="character" w:customStyle="1" w:styleId="328">
    <w:name w:val="sdi8io"/>
    <w:basedOn w:val="99"/>
    <w:qFormat/>
    <w:uiPriority w:val="0"/>
  </w:style>
  <w:style w:type="character" w:customStyle="1" w:styleId="329">
    <w:name w:val="正文（首行缩进两字） Char Char1"/>
    <w:qFormat/>
    <w:uiPriority w:val="0"/>
    <w:rPr>
      <w:rFonts w:eastAsia="宋体"/>
      <w:kern w:val="2"/>
      <w:sz w:val="28"/>
      <w:szCs w:val="24"/>
      <w:lang w:val="en-US" w:eastAsia="zh-CN" w:bidi="ar-SA"/>
    </w:rPr>
  </w:style>
  <w:style w:type="character" w:customStyle="1" w:styleId="330">
    <w:name w:val="标题1"/>
    <w:basedOn w:val="99"/>
    <w:qFormat/>
    <w:uiPriority w:val="0"/>
  </w:style>
  <w:style w:type="character" w:customStyle="1" w:styleId="331">
    <w:name w:val="s8h0t"/>
    <w:basedOn w:val="99"/>
    <w:qFormat/>
    <w:uiPriority w:val="0"/>
  </w:style>
  <w:style w:type="character" w:customStyle="1" w:styleId="332">
    <w:name w:val="t_tag"/>
    <w:basedOn w:val="99"/>
    <w:qFormat/>
    <w:uiPriority w:val="0"/>
  </w:style>
  <w:style w:type="character" w:customStyle="1" w:styleId="333">
    <w:name w:val="s9zsb3q"/>
    <w:basedOn w:val="99"/>
    <w:qFormat/>
    <w:uiPriority w:val="0"/>
  </w:style>
  <w:style w:type="character" w:customStyle="1" w:styleId="334">
    <w:name w:val="表头 Char2"/>
    <w:qFormat/>
    <w:uiPriority w:val="0"/>
    <w:rPr>
      <w:rFonts w:ascii="仿宋_GB2312" w:hAnsi="仿宋_GB2312" w:eastAsia="仿宋_GB2312" w:cs="楷体_GB2312"/>
      <w:kern w:val="2"/>
      <w:sz w:val="24"/>
      <w:szCs w:val="28"/>
      <w:lang w:val="en-US" w:eastAsia="zh-CN" w:bidi="ar-SA"/>
    </w:rPr>
  </w:style>
  <w:style w:type="character" w:customStyle="1" w:styleId="335">
    <w:name w:val="正文首行缩进 字符"/>
    <w:link w:val="86"/>
    <w:qFormat/>
    <w:uiPriority w:val="0"/>
    <w:rPr>
      <w:rFonts w:eastAsia="宋体"/>
      <w:kern w:val="2"/>
      <w:sz w:val="21"/>
      <w:szCs w:val="24"/>
      <w:lang w:val="en-US" w:eastAsia="zh-CN" w:bidi="ar-SA"/>
    </w:rPr>
  </w:style>
  <w:style w:type="character" w:customStyle="1" w:styleId="336">
    <w:name w:val="页眉 字符2"/>
    <w:link w:val="57"/>
    <w:qFormat/>
    <w:uiPriority w:val="99"/>
    <w:rPr>
      <w:rFonts w:eastAsia="宋体"/>
      <w:kern w:val="44"/>
      <w:sz w:val="18"/>
      <w:lang w:val="en-US" w:eastAsia="zh-CN" w:bidi="ar-SA"/>
    </w:rPr>
  </w:style>
  <w:style w:type="character" w:customStyle="1" w:styleId="337">
    <w:name w:val="sfmq"/>
    <w:basedOn w:val="99"/>
    <w:qFormat/>
    <w:uiPriority w:val="0"/>
  </w:style>
  <w:style w:type="character" w:customStyle="1" w:styleId="338">
    <w:name w:val="正文(首行缩进) Char"/>
    <w:link w:val="339"/>
    <w:qFormat/>
    <w:uiPriority w:val="0"/>
    <w:rPr>
      <w:rFonts w:hAnsi="宋体"/>
      <w:snapToGrid w:val="0"/>
      <w:spacing w:val="-2"/>
      <w:kern w:val="2"/>
      <w:sz w:val="24"/>
      <w:szCs w:val="24"/>
    </w:rPr>
  </w:style>
  <w:style w:type="paragraph" w:customStyle="1" w:styleId="339">
    <w:name w:val="正文(首行缩进)"/>
    <w:basedOn w:val="1"/>
    <w:link w:val="338"/>
    <w:qFormat/>
    <w:uiPriority w:val="0"/>
    <w:pPr>
      <w:spacing w:line="360" w:lineRule="auto"/>
      <w:ind w:firstLine="472" w:firstLineChars="200"/>
    </w:pPr>
    <w:rPr>
      <w:rFonts w:hAnsi="宋体"/>
      <w:snapToGrid w:val="0"/>
      <w:spacing w:val="-2"/>
      <w:sz w:val="24"/>
      <w:lang w:val="zh-CN"/>
    </w:rPr>
  </w:style>
  <w:style w:type="character" w:customStyle="1" w:styleId="340">
    <w:name w:val="报告书正文 Char"/>
    <w:link w:val="341"/>
    <w:qFormat/>
    <w:uiPriority w:val="0"/>
    <w:rPr>
      <w:spacing w:val="6"/>
      <w:kern w:val="2"/>
      <w:sz w:val="24"/>
    </w:rPr>
  </w:style>
  <w:style w:type="paragraph" w:customStyle="1" w:styleId="341">
    <w:name w:val="报告书正文"/>
    <w:basedOn w:val="1"/>
    <w:link w:val="340"/>
    <w:qFormat/>
    <w:uiPriority w:val="0"/>
    <w:pPr>
      <w:adjustRightInd w:val="0"/>
      <w:snapToGrid w:val="0"/>
      <w:spacing w:line="400" w:lineRule="atLeast"/>
      <w:ind w:firstLine="200" w:firstLineChars="200"/>
    </w:pPr>
    <w:rPr>
      <w:spacing w:val="6"/>
      <w:sz w:val="24"/>
      <w:szCs w:val="20"/>
      <w:lang w:val="zh-CN"/>
    </w:rPr>
  </w:style>
  <w:style w:type="character" w:customStyle="1" w:styleId="342">
    <w:name w:val="标题 2 Char1"/>
    <w:qFormat/>
    <w:uiPriority w:val="0"/>
    <w:rPr>
      <w:rFonts w:ascii="Arial" w:hAnsi="Arial" w:eastAsia="宋体"/>
      <w:b/>
      <w:bCs/>
      <w:kern w:val="2"/>
      <w:sz w:val="32"/>
      <w:szCs w:val="32"/>
      <w:lang w:val="en-US" w:eastAsia="zh-CN" w:bidi="ar-SA"/>
    </w:rPr>
  </w:style>
  <w:style w:type="character" w:customStyle="1" w:styleId="343">
    <w:name w:val="-*+2"/>
    <w:qFormat/>
    <w:uiPriority w:val="0"/>
    <w:rPr>
      <w:rFonts w:ascii="黑体" w:eastAsia="黑体"/>
      <w:kern w:val="44"/>
      <w:sz w:val="44"/>
      <w:lang w:val="en-US" w:eastAsia="zh-CN" w:bidi="ar-SA"/>
    </w:rPr>
  </w:style>
  <w:style w:type="character" w:customStyle="1" w:styleId="344">
    <w:name w:val="px141"/>
    <w:qFormat/>
    <w:uiPriority w:val="0"/>
    <w:rPr>
      <w:sz w:val="21"/>
      <w:szCs w:val="21"/>
    </w:rPr>
  </w:style>
  <w:style w:type="character" w:customStyle="1" w:styleId="345">
    <w:name w:val="unnamed91"/>
    <w:qFormat/>
    <w:uiPriority w:val="0"/>
    <w:rPr>
      <w:rFonts w:hint="eastAsia" w:ascii="宋体" w:hAnsi="宋体" w:eastAsia="宋体"/>
      <w:color w:val="000000"/>
      <w:sz w:val="18"/>
      <w:szCs w:val="18"/>
      <w:u w:val="none"/>
    </w:rPr>
  </w:style>
  <w:style w:type="character" w:customStyle="1" w:styleId="346">
    <w:name w:val="表格文字 Char"/>
    <w:link w:val="347"/>
    <w:qFormat/>
    <w:uiPriority w:val="0"/>
    <w:rPr>
      <w:rFonts w:eastAsia="宋体"/>
      <w:kern w:val="2"/>
      <w:sz w:val="21"/>
      <w:szCs w:val="24"/>
      <w:lang w:val="en-US" w:eastAsia="zh-CN" w:bidi="ar-SA"/>
    </w:rPr>
  </w:style>
  <w:style w:type="paragraph" w:customStyle="1" w:styleId="347">
    <w:name w:val="表格文字"/>
    <w:basedOn w:val="1"/>
    <w:link w:val="346"/>
    <w:qFormat/>
    <w:uiPriority w:val="0"/>
    <w:pPr>
      <w:jc w:val="center"/>
    </w:pPr>
  </w:style>
  <w:style w:type="paragraph" w:customStyle="1" w:styleId="348">
    <w:name w:val="报告表格"/>
    <w:basedOn w:val="1"/>
    <w:link w:val="1509"/>
    <w:qFormat/>
    <w:uiPriority w:val="0"/>
    <w:pPr>
      <w:autoSpaceDE w:val="0"/>
      <w:autoSpaceDN w:val="0"/>
      <w:adjustRightInd w:val="0"/>
      <w:spacing w:before="40" w:after="40"/>
      <w:jc w:val="center"/>
      <w:textAlignment w:val="bottom"/>
    </w:pPr>
    <w:rPr>
      <w:kern w:val="0"/>
      <w:szCs w:val="20"/>
    </w:rPr>
  </w:style>
  <w:style w:type="character" w:customStyle="1" w:styleId="349">
    <w:name w:val="ssmj9"/>
    <w:basedOn w:val="99"/>
    <w:qFormat/>
    <w:uiPriority w:val="0"/>
  </w:style>
  <w:style w:type="character" w:customStyle="1" w:styleId="350">
    <w:name w:val="textcontents"/>
    <w:basedOn w:val="99"/>
    <w:qFormat/>
    <w:uiPriority w:val="0"/>
  </w:style>
  <w:style w:type="character" w:customStyle="1" w:styleId="351">
    <w:name w:val="xiaozhiti1"/>
    <w:qFormat/>
    <w:uiPriority w:val="0"/>
    <w:rPr>
      <w:sz w:val="18"/>
      <w:szCs w:val="18"/>
    </w:rPr>
  </w:style>
  <w:style w:type="character" w:customStyle="1" w:styleId="352">
    <w:name w:val="sub42"/>
    <w:basedOn w:val="99"/>
    <w:qFormat/>
    <w:uiPriority w:val="0"/>
  </w:style>
  <w:style w:type="character" w:customStyle="1" w:styleId="353">
    <w:name w:val="style11"/>
    <w:qFormat/>
    <w:uiPriority w:val="0"/>
    <w:rPr>
      <w:sz w:val="18"/>
      <w:szCs w:val="18"/>
    </w:rPr>
  </w:style>
  <w:style w:type="character" w:customStyle="1" w:styleId="354">
    <w:name w:val="正文文字 Char"/>
    <w:qFormat/>
    <w:uiPriority w:val="0"/>
    <w:rPr>
      <w:rFonts w:ascii="仿宋_GB2312" w:hAnsi="Arial Black" w:eastAsia="仿宋_GB2312" w:cs="仿宋_GB2312"/>
      <w:sz w:val="28"/>
      <w:szCs w:val="28"/>
      <w:lang w:val="en-US" w:eastAsia="zh-CN" w:bidi="ar-SA"/>
    </w:rPr>
  </w:style>
  <w:style w:type="character" w:customStyle="1" w:styleId="355">
    <w:name w:val="博泵1 Char"/>
    <w:link w:val="356"/>
    <w:qFormat/>
    <w:uiPriority w:val="0"/>
    <w:rPr>
      <w:rFonts w:hAnsi="宋体" w:eastAsia="宋体" w:cs="宋体"/>
      <w:color w:val="000000"/>
      <w:sz w:val="24"/>
      <w:lang w:val="en-US" w:eastAsia="zh-CN" w:bidi="ar-SA"/>
    </w:rPr>
  </w:style>
  <w:style w:type="paragraph" w:customStyle="1" w:styleId="356">
    <w:name w:val="博泵1"/>
    <w:basedOn w:val="1"/>
    <w:link w:val="355"/>
    <w:qFormat/>
    <w:uiPriority w:val="0"/>
    <w:pPr>
      <w:adjustRightInd w:val="0"/>
      <w:spacing w:line="480" w:lineRule="exact"/>
      <w:ind w:firstLine="200" w:firstLineChars="200"/>
      <w:textAlignment w:val="baseline"/>
    </w:pPr>
    <w:rPr>
      <w:rFonts w:hAnsi="宋体" w:cs="宋体"/>
      <w:color w:val="000000"/>
      <w:kern w:val="0"/>
      <w:sz w:val="24"/>
      <w:szCs w:val="20"/>
    </w:rPr>
  </w:style>
  <w:style w:type="character" w:customStyle="1" w:styleId="357">
    <w:name w:val="lh131"/>
    <w:basedOn w:val="99"/>
    <w:qFormat/>
    <w:uiPriority w:val="0"/>
  </w:style>
  <w:style w:type="character" w:customStyle="1" w:styleId="358">
    <w:name w:val="节标题 1.11"/>
    <w:qFormat/>
    <w:uiPriority w:val="0"/>
    <w:rPr>
      <w:rFonts w:ascii="黑体" w:hAnsi="Arial" w:eastAsia="黑体"/>
      <w:kern w:val="2"/>
      <w:sz w:val="36"/>
      <w:szCs w:val="32"/>
      <w:lang w:val="en-US" w:eastAsia="zh-CN" w:bidi="ar-SA"/>
    </w:rPr>
  </w:style>
  <w:style w:type="character" w:customStyle="1" w:styleId="359">
    <w:name w:val="sxuoj4"/>
    <w:basedOn w:val="99"/>
    <w:qFormat/>
    <w:uiPriority w:val="0"/>
  </w:style>
  <w:style w:type="character" w:customStyle="1" w:styleId="360">
    <w:name w:val="news_tit1"/>
    <w:qFormat/>
    <w:uiPriority w:val="0"/>
    <w:rPr>
      <w:rFonts w:ascii="Arial Unicode MS" w:hAnsi="Arial Unicode MS" w:eastAsia="Plotter" w:cs="Arial Unicode MS"/>
      <w:b/>
      <w:bCs/>
      <w:color w:val="000000"/>
      <w:kern w:val="2"/>
      <w:sz w:val="36"/>
      <w:szCs w:val="36"/>
      <w:u w:val="none"/>
      <w:lang w:val="en-US" w:eastAsia="zh-CN" w:bidi="ar-SA"/>
    </w:rPr>
  </w:style>
  <w:style w:type="character" w:customStyle="1" w:styleId="361">
    <w:name w:val="sxwt2u"/>
    <w:basedOn w:val="99"/>
    <w:qFormat/>
    <w:uiPriority w:val="0"/>
  </w:style>
  <w:style w:type="character" w:customStyle="1" w:styleId="362">
    <w:name w:val="paragragh1"/>
    <w:qFormat/>
    <w:uiPriority w:val="0"/>
    <w:rPr>
      <w:color w:val="004040"/>
      <w:sz w:val="21"/>
      <w:szCs w:val="21"/>
    </w:rPr>
  </w:style>
  <w:style w:type="character" w:customStyle="1" w:styleId="363">
    <w:name w:val="sz3evj"/>
    <w:basedOn w:val="99"/>
    <w:qFormat/>
    <w:uiPriority w:val="0"/>
  </w:style>
  <w:style w:type="character" w:customStyle="1" w:styleId="364">
    <w:name w:val="兴武正文 Char"/>
    <w:link w:val="365"/>
    <w:qFormat/>
    <w:uiPriority w:val="0"/>
    <w:rPr>
      <w:rFonts w:eastAsia="宋体" w:cs="宋体"/>
      <w:kern w:val="2"/>
      <w:sz w:val="24"/>
      <w:lang w:val="en-US" w:eastAsia="zh-CN" w:bidi="ar-SA"/>
    </w:rPr>
  </w:style>
  <w:style w:type="paragraph" w:customStyle="1" w:styleId="365">
    <w:name w:val="兴武正文"/>
    <w:basedOn w:val="1"/>
    <w:link w:val="364"/>
    <w:qFormat/>
    <w:uiPriority w:val="0"/>
    <w:pPr>
      <w:spacing w:line="480" w:lineRule="exact"/>
      <w:ind w:firstLine="200" w:firstLineChars="200"/>
    </w:pPr>
    <w:rPr>
      <w:rFonts w:cs="宋体"/>
      <w:sz w:val="24"/>
      <w:szCs w:val="20"/>
    </w:rPr>
  </w:style>
  <w:style w:type="character" w:customStyle="1" w:styleId="366">
    <w:name w:val="jj1"/>
    <w:basedOn w:val="99"/>
    <w:qFormat/>
    <w:uiPriority w:val="0"/>
  </w:style>
  <w:style w:type="character" w:customStyle="1" w:styleId="367">
    <w:name w:val="soa7bda"/>
    <w:basedOn w:val="99"/>
    <w:qFormat/>
    <w:uiPriority w:val="0"/>
  </w:style>
  <w:style w:type="character" w:customStyle="1" w:styleId="368">
    <w:name w:val="s2ze7v"/>
    <w:basedOn w:val="99"/>
    <w:qFormat/>
    <w:uiPriority w:val="0"/>
  </w:style>
  <w:style w:type="character" w:customStyle="1" w:styleId="369">
    <w:name w:val="st121"/>
    <w:qFormat/>
    <w:uiPriority w:val="0"/>
    <w:rPr>
      <w:sz w:val="18"/>
      <w:szCs w:val="18"/>
    </w:rPr>
  </w:style>
  <w:style w:type="character" w:customStyle="1" w:styleId="370">
    <w:name w:val="scu4wkd"/>
    <w:basedOn w:val="99"/>
    <w:qFormat/>
    <w:uiPriority w:val="0"/>
  </w:style>
  <w:style w:type="character" w:customStyle="1" w:styleId="371">
    <w:name w:val="text_new"/>
    <w:basedOn w:val="99"/>
    <w:qFormat/>
    <w:uiPriority w:val="0"/>
  </w:style>
  <w:style w:type="character" w:customStyle="1" w:styleId="372">
    <w:name w:val="s6lx"/>
    <w:basedOn w:val="99"/>
    <w:qFormat/>
    <w:uiPriority w:val="0"/>
  </w:style>
  <w:style w:type="character" w:customStyle="1" w:styleId="373">
    <w:name w:val="正文缩进 Cha Char"/>
    <w:qFormat/>
    <w:uiPriority w:val="0"/>
    <w:rPr>
      <w:rFonts w:eastAsia="宋体"/>
      <w:kern w:val="2"/>
      <w:sz w:val="28"/>
      <w:szCs w:val="24"/>
      <w:lang w:val="en-US" w:eastAsia="zh-CN" w:bidi="ar-SA"/>
    </w:rPr>
  </w:style>
  <w:style w:type="character" w:customStyle="1" w:styleId="374">
    <w:name w:val="word_break"/>
    <w:basedOn w:val="99"/>
    <w:qFormat/>
    <w:uiPriority w:val="0"/>
  </w:style>
  <w:style w:type="character" w:customStyle="1" w:styleId="375">
    <w:name w:val="河石管道 正文 Char"/>
    <w:qFormat/>
    <w:uiPriority w:val="0"/>
    <w:rPr>
      <w:kern w:val="2"/>
      <w:sz w:val="21"/>
    </w:rPr>
  </w:style>
  <w:style w:type="character" w:customStyle="1" w:styleId="376">
    <w:name w:val="content1"/>
    <w:qFormat/>
    <w:uiPriority w:val="0"/>
    <w:rPr>
      <w:sz w:val="20"/>
      <w:szCs w:val="20"/>
    </w:rPr>
  </w:style>
  <w:style w:type="character" w:customStyle="1" w:styleId="377">
    <w:name w:val="style9"/>
    <w:basedOn w:val="99"/>
    <w:qFormat/>
    <w:uiPriority w:val="0"/>
  </w:style>
  <w:style w:type="character" w:customStyle="1" w:styleId="378">
    <w:name w:val="unnamed2"/>
    <w:basedOn w:val="99"/>
    <w:qFormat/>
    <w:uiPriority w:val="0"/>
  </w:style>
  <w:style w:type="character" w:customStyle="1" w:styleId="379">
    <w:name w:val="未确定 Char"/>
    <w:link w:val="380"/>
    <w:qFormat/>
    <w:uiPriority w:val="0"/>
    <w:rPr>
      <w:rFonts w:eastAsia="Courier New"/>
      <w:color w:val="800080"/>
      <w:kern w:val="2"/>
      <w:sz w:val="24"/>
      <w:szCs w:val="24"/>
      <w:lang w:val="en-US" w:eastAsia="zh-CN" w:bidi="ar-SA"/>
    </w:rPr>
  </w:style>
  <w:style w:type="paragraph" w:customStyle="1" w:styleId="380">
    <w:name w:val="未确定"/>
    <w:basedOn w:val="1"/>
    <w:link w:val="379"/>
    <w:qFormat/>
    <w:uiPriority w:val="0"/>
    <w:pPr>
      <w:spacing w:before="156" w:beforeLines="50" w:line="400" w:lineRule="exact"/>
      <w:ind w:firstLine="480" w:firstLineChars="200"/>
    </w:pPr>
    <w:rPr>
      <w:rFonts w:eastAsia="Courier New"/>
      <w:color w:val="800080"/>
      <w:sz w:val="24"/>
    </w:rPr>
  </w:style>
  <w:style w:type="character" w:customStyle="1" w:styleId="381">
    <w:name w:val="Char6 Char"/>
    <w:qFormat/>
    <w:uiPriority w:val="0"/>
    <w:rPr>
      <w:rFonts w:eastAsia="宋体"/>
      <w:kern w:val="2"/>
      <w:sz w:val="18"/>
      <w:szCs w:val="18"/>
      <w:lang w:val="en-US" w:eastAsia="zh-CN" w:bidi="ar-SA"/>
    </w:rPr>
  </w:style>
  <w:style w:type="character" w:customStyle="1" w:styleId="382">
    <w:name w:val="s8xye"/>
    <w:basedOn w:val="99"/>
    <w:qFormat/>
    <w:uiPriority w:val="0"/>
  </w:style>
  <w:style w:type="character" w:customStyle="1" w:styleId="383">
    <w:name w:val="正文1 Char"/>
    <w:link w:val="384"/>
    <w:qFormat/>
    <w:uiPriority w:val="0"/>
    <w:rPr>
      <w:rFonts w:hAnsi="宋体" w:eastAsia="宋体" w:cs="宋体"/>
      <w:kern w:val="2"/>
      <w:sz w:val="24"/>
      <w:lang w:val="en-US" w:eastAsia="zh-CN" w:bidi="ar-SA"/>
    </w:rPr>
  </w:style>
  <w:style w:type="paragraph" w:customStyle="1" w:styleId="384">
    <w:name w:val="正文1"/>
    <w:basedOn w:val="1"/>
    <w:link w:val="383"/>
    <w:qFormat/>
    <w:uiPriority w:val="0"/>
    <w:pPr>
      <w:spacing w:line="460" w:lineRule="exact"/>
      <w:ind w:firstLine="480" w:firstLineChars="200"/>
    </w:pPr>
    <w:rPr>
      <w:rFonts w:hAnsi="宋体" w:cs="宋体"/>
      <w:sz w:val="24"/>
      <w:szCs w:val="20"/>
    </w:rPr>
  </w:style>
  <w:style w:type="character" w:customStyle="1" w:styleId="385">
    <w:name w:val="普通文字 Char Char Char Char Char Char Char Char Char"/>
    <w:qFormat/>
    <w:uiPriority w:val="0"/>
    <w:rPr>
      <w:rFonts w:ascii="宋体" w:hAnsi="Courier New" w:eastAsia="宋体" w:cs="Courier New"/>
      <w:kern w:val="2"/>
      <w:sz w:val="21"/>
      <w:szCs w:val="21"/>
      <w:lang w:val="en-US" w:eastAsia="zh-CN" w:bidi="ar-SA"/>
    </w:rPr>
  </w:style>
  <w:style w:type="character" w:customStyle="1" w:styleId="386">
    <w:name w:val="dectext1"/>
    <w:qFormat/>
    <w:uiPriority w:val="0"/>
    <w:rPr>
      <w:rFonts w:hint="eastAsia" w:ascii="宋体" w:hAnsi="宋体" w:eastAsia="宋体"/>
      <w:color w:val="333333"/>
      <w:sz w:val="21"/>
      <w:szCs w:val="21"/>
      <w:u w:val="none"/>
    </w:rPr>
  </w:style>
  <w:style w:type="character" w:customStyle="1" w:styleId="387">
    <w:name w:val="表格标题博泵 Char"/>
    <w:link w:val="388"/>
    <w:qFormat/>
    <w:uiPriority w:val="0"/>
    <w:rPr>
      <w:rFonts w:eastAsia="宋体" w:cs="宋体"/>
      <w:b/>
      <w:color w:val="000000"/>
      <w:kern w:val="2"/>
      <w:sz w:val="21"/>
      <w:lang w:val="en-US" w:eastAsia="zh-CN" w:bidi="ar-SA"/>
    </w:rPr>
  </w:style>
  <w:style w:type="paragraph" w:customStyle="1" w:styleId="388">
    <w:name w:val="表格标题博泵"/>
    <w:basedOn w:val="1"/>
    <w:link w:val="387"/>
    <w:qFormat/>
    <w:uiPriority w:val="0"/>
    <w:pPr>
      <w:adjustRightInd w:val="0"/>
      <w:snapToGrid w:val="0"/>
      <w:jc w:val="center"/>
      <w:textAlignment w:val="baseline"/>
    </w:pPr>
    <w:rPr>
      <w:rFonts w:cs="宋体"/>
      <w:b/>
      <w:color w:val="000000"/>
      <w:szCs w:val="20"/>
    </w:rPr>
  </w:style>
  <w:style w:type="character" w:customStyle="1" w:styleId="389">
    <w:name w:val="4 Char Char"/>
    <w:link w:val="390"/>
    <w:qFormat/>
    <w:uiPriority w:val="0"/>
    <w:rPr>
      <w:rFonts w:ascii="ˎ̥" w:hAnsi="ˎ̥" w:eastAsia="宋体" w:cs="宋体"/>
      <w:lang w:val="en-US" w:eastAsia="zh-CN" w:bidi="ar-SA"/>
    </w:rPr>
  </w:style>
  <w:style w:type="paragraph" w:customStyle="1" w:styleId="390">
    <w:name w:val="4"/>
    <w:basedOn w:val="1"/>
    <w:next w:val="80"/>
    <w:link w:val="389"/>
    <w:qFormat/>
    <w:uiPriority w:val="0"/>
    <w:pPr>
      <w:spacing w:before="100" w:beforeAutospacing="1" w:after="100" w:afterAutospacing="1" w:line="280" w:lineRule="atLeast"/>
    </w:pPr>
    <w:rPr>
      <w:rFonts w:ascii="ˎ̥" w:hAnsi="ˎ̥" w:cs="宋体"/>
      <w:kern w:val="0"/>
      <w:sz w:val="20"/>
      <w:szCs w:val="20"/>
    </w:rPr>
  </w:style>
  <w:style w:type="character" w:customStyle="1" w:styleId="391">
    <w:name w:val="甲乙酮正文 Char"/>
    <w:link w:val="392"/>
    <w:qFormat/>
    <w:uiPriority w:val="0"/>
    <w:rPr>
      <w:color w:val="000000"/>
      <w:kern w:val="2"/>
      <w:sz w:val="24"/>
    </w:rPr>
  </w:style>
  <w:style w:type="paragraph" w:customStyle="1" w:styleId="392">
    <w:name w:val="甲乙酮正文"/>
    <w:basedOn w:val="22"/>
    <w:next w:val="51"/>
    <w:link w:val="391"/>
    <w:qFormat/>
    <w:uiPriority w:val="0"/>
    <w:pPr>
      <w:autoSpaceDE w:val="0"/>
      <w:autoSpaceDN w:val="0"/>
      <w:adjustRightInd w:val="0"/>
      <w:spacing w:line="360" w:lineRule="auto"/>
      <w:ind w:firstLine="480" w:firstLineChars="200"/>
      <w:textAlignment w:val="baseline"/>
    </w:pPr>
    <w:rPr>
      <w:rFonts w:ascii="Times New Roman" w:hAnsi="Times New Roman" w:eastAsia="宋体"/>
      <w:color w:val="000000"/>
      <w:sz w:val="24"/>
    </w:rPr>
  </w:style>
  <w:style w:type="character" w:customStyle="1" w:styleId="393">
    <w:name w:val="标题 4 Char"/>
    <w:qFormat/>
    <w:uiPriority w:val="0"/>
    <w:rPr>
      <w:rFonts w:ascii="Arial" w:hAnsi="Arial" w:eastAsia="仿宋_GB2312"/>
      <w:b/>
      <w:spacing w:val="4"/>
      <w:kern w:val="2"/>
      <w:sz w:val="24"/>
      <w:lang w:val="en-US" w:eastAsia="zh-CN" w:bidi="ar-SA"/>
    </w:rPr>
  </w:style>
  <w:style w:type="character" w:customStyle="1" w:styleId="394">
    <w:name w:val="s0s4w"/>
    <w:basedOn w:val="99"/>
    <w:qFormat/>
    <w:uiPriority w:val="0"/>
  </w:style>
  <w:style w:type="character" w:customStyle="1" w:styleId="395">
    <w:name w:val="sppkvsc"/>
    <w:basedOn w:val="99"/>
    <w:qFormat/>
    <w:uiPriority w:val="0"/>
  </w:style>
  <w:style w:type="character" w:customStyle="1" w:styleId="396">
    <w:name w:val="wz-title11"/>
    <w:qFormat/>
    <w:uiPriority w:val="0"/>
    <w:rPr>
      <w:b/>
      <w:bCs/>
      <w:color w:val="2879B8"/>
      <w:sz w:val="20"/>
      <w:szCs w:val="20"/>
    </w:rPr>
  </w:style>
  <w:style w:type="character" w:customStyle="1" w:styleId="397">
    <w:name w:val="word131"/>
    <w:qFormat/>
    <w:uiPriority w:val="0"/>
    <w:rPr>
      <w:rFonts w:hint="default" w:ascii="ˎ̥" w:hAnsi="ˎ̥"/>
      <w:color w:val="000000"/>
      <w:sz w:val="20"/>
      <w:szCs w:val="20"/>
      <w:u w:val="none"/>
    </w:rPr>
  </w:style>
  <w:style w:type="character" w:customStyle="1" w:styleId="398">
    <w:name w:val="fontstyle01"/>
    <w:qFormat/>
    <w:uiPriority w:val="0"/>
    <w:rPr>
      <w:rFonts w:ascii="宋体" w:hAnsi="宋体" w:eastAsia="宋体" w:cs="宋体"/>
      <w:color w:val="000000"/>
      <w:sz w:val="24"/>
      <w:szCs w:val="24"/>
    </w:rPr>
  </w:style>
  <w:style w:type="character" w:customStyle="1" w:styleId="399">
    <w:name w:val="正文小四 Char"/>
    <w:link w:val="400"/>
    <w:qFormat/>
    <w:uiPriority w:val="0"/>
    <w:rPr>
      <w:rFonts w:eastAsia="宋体"/>
      <w:kern w:val="2"/>
      <w:sz w:val="24"/>
      <w:szCs w:val="24"/>
      <w:lang w:val="en-US" w:eastAsia="zh-CN" w:bidi="ar-SA"/>
    </w:rPr>
  </w:style>
  <w:style w:type="paragraph" w:customStyle="1" w:styleId="400">
    <w:name w:val="正文小四"/>
    <w:basedOn w:val="1"/>
    <w:link w:val="399"/>
    <w:qFormat/>
    <w:uiPriority w:val="0"/>
    <w:pPr>
      <w:spacing w:line="360" w:lineRule="auto"/>
      <w:ind w:firstLine="200" w:firstLineChars="200"/>
    </w:pPr>
    <w:rPr>
      <w:sz w:val="24"/>
    </w:rPr>
  </w:style>
  <w:style w:type="character" w:customStyle="1" w:styleId="401">
    <w:name w:val="表格填充1 Char"/>
    <w:link w:val="402"/>
    <w:qFormat/>
    <w:uiPriority w:val="0"/>
    <w:rPr>
      <w:rFonts w:eastAsia="宋体"/>
      <w:snapToGrid w:val="0"/>
      <w:kern w:val="2"/>
      <w:sz w:val="21"/>
      <w:szCs w:val="18"/>
      <w:lang w:val="en-US" w:eastAsia="zh-CN" w:bidi="ar-SA"/>
    </w:rPr>
  </w:style>
  <w:style w:type="paragraph" w:customStyle="1" w:styleId="402">
    <w:name w:val="表格填充1"/>
    <w:basedOn w:val="1"/>
    <w:link w:val="401"/>
    <w:qFormat/>
    <w:uiPriority w:val="0"/>
    <w:pPr>
      <w:adjustRightInd w:val="0"/>
      <w:snapToGrid w:val="0"/>
      <w:spacing w:line="400" w:lineRule="exact"/>
      <w:jc w:val="center"/>
    </w:pPr>
    <w:rPr>
      <w:snapToGrid w:val="0"/>
      <w:szCs w:val="18"/>
    </w:rPr>
  </w:style>
  <w:style w:type="character" w:customStyle="1" w:styleId="403">
    <w:name w:val="正文文本缩进 2 字符1"/>
    <w:link w:val="51"/>
    <w:qFormat/>
    <w:uiPriority w:val="99"/>
    <w:rPr>
      <w:kern w:val="2"/>
      <w:sz w:val="21"/>
      <w:szCs w:val="24"/>
    </w:rPr>
  </w:style>
  <w:style w:type="character" w:customStyle="1" w:styleId="404">
    <w:name w:val="正文 大王 20100426 Char"/>
    <w:link w:val="405"/>
    <w:qFormat/>
    <w:uiPriority w:val="0"/>
    <w:rPr>
      <w:snapToGrid w:val="0"/>
      <w:sz w:val="24"/>
    </w:rPr>
  </w:style>
  <w:style w:type="paragraph" w:customStyle="1" w:styleId="405">
    <w:name w:val="正文 大王 20100426"/>
    <w:basedOn w:val="1"/>
    <w:link w:val="404"/>
    <w:qFormat/>
    <w:uiPriority w:val="0"/>
    <w:pPr>
      <w:adjustRightInd w:val="0"/>
      <w:snapToGrid w:val="0"/>
      <w:spacing w:line="360" w:lineRule="auto"/>
      <w:ind w:firstLine="200" w:firstLineChars="200"/>
    </w:pPr>
    <w:rPr>
      <w:snapToGrid w:val="0"/>
      <w:kern w:val="0"/>
      <w:sz w:val="24"/>
      <w:szCs w:val="20"/>
      <w:lang w:val="zh-CN"/>
    </w:rPr>
  </w:style>
  <w:style w:type="character" w:customStyle="1" w:styleId="406">
    <w:name w:val="3级 Char"/>
    <w:link w:val="407"/>
    <w:qFormat/>
    <w:uiPriority w:val="0"/>
    <w:rPr>
      <w:rFonts w:eastAsia="黑体"/>
      <w:bCs/>
      <w:kern w:val="2"/>
      <w:sz w:val="24"/>
      <w:szCs w:val="32"/>
      <w:lang w:val="zh-CN"/>
    </w:rPr>
  </w:style>
  <w:style w:type="paragraph" w:customStyle="1" w:styleId="407">
    <w:name w:val="3级"/>
    <w:basedOn w:val="5"/>
    <w:link w:val="406"/>
    <w:qFormat/>
    <w:uiPriority w:val="0"/>
    <w:pPr>
      <w:numPr>
        <w:ilvl w:val="2"/>
        <w:numId w:val="2"/>
      </w:numPr>
      <w:adjustRightInd w:val="0"/>
      <w:snapToGrid w:val="0"/>
      <w:spacing w:before="120" w:beforeLines="50" w:after="120" w:afterLines="50" w:line="360" w:lineRule="auto"/>
    </w:pPr>
    <w:rPr>
      <w:rFonts w:eastAsia="黑体"/>
      <w:b w:val="0"/>
      <w:sz w:val="24"/>
      <w:lang w:val="zh-CN"/>
    </w:rPr>
  </w:style>
  <w:style w:type="character" w:customStyle="1" w:styleId="408">
    <w:name w:val="标题 6 字符2"/>
    <w:link w:val="8"/>
    <w:qFormat/>
    <w:uiPriority w:val="0"/>
    <w:rPr>
      <w:rFonts w:ascii="Arial" w:hAnsi="Arial" w:eastAsia="黑体"/>
      <w:b/>
      <w:spacing w:val="4"/>
      <w:kern w:val="2"/>
      <w:sz w:val="24"/>
      <w:szCs w:val="24"/>
    </w:rPr>
  </w:style>
  <w:style w:type="character" w:customStyle="1" w:styleId="409">
    <w:name w:val="文档结构图 字符"/>
    <w:link w:val="26"/>
    <w:qFormat/>
    <w:uiPriority w:val="99"/>
    <w:rPr>
      <w:kern w:val="2"/>
      <w:sz w:val="21"/>
      <w:szCs w:val="24"/>
      <w:shd w:val="clear" w:color="auto" w:fill="000080"/>
    </w:rPr>
  </w:style>
  <w:style w:type="character" w:customStyle="1" w:styleId="410">
    <w:name w:val="日期 字符1"/>
    <w:link w:val="50"/>
    <w:qFormat/>
    <w:uiPriority w:val="99"/>
    <w:rPr>
      <w:kern w:val="2"/>
      <w:sz w:val="24"/>
      <w:szCs w:val="24"/>
    </w:rPr>
  </w:style>
  <w:style w:type="character" w:customStyle="1" w:styleId="411">
    <w:name w:val="尾注文本 字符"/>
    <w:link w:val="52"/>
    <w:qFormat/>
    <w:uiPriority w:val="0"/>
    <w:rPr>
      <w:kern w:val="2"/>
      <w:sz w:val="21"/>
      <w:szCs w:val="24"/>
    </w:rPr>
  </w:style>
  <w:style w:type="character" w:customStyle="1" w:styleId="412">
    <w:name w:val="标题 字符"/>
    <w:link w:val="84"/>
    <w:qFormat/>
    <w:uiPriority w:val="10"/>
    <w:rPr>
      <w:rFonts w:ascii="Arial" w:hAnsi="Arial" w:eastAsia="黑体" w:cs="Arial"/>
      <w:b/>
      <w:bCs/>
      <w:kern w:val="2"/>
      <w:sz w:val="32"/>
      <w:szCs w:val="32"/>
    </w:rPr>
  </w:style>
  <w:style w:type="character" w:customStyle="1" w:styleId="413">
    <w:name w:val="电子邮件签名 字符"/>
    <w:link w:val="19"/>
    <w:qFormat/>
    <w:uiPriority w:val="0"/>
    <w:rPr>
      <w:rFonts w:ascii="Arial" w:hAnsi="Arial" w:eastAsia="仿宋_GB2312"/>
      <w:sz w:val="24"/>
    </w:rPr>
  </w:style>
  <w:style w:type="character" w:customStyle="1" w:styleId="414">
    <w:name w:val="HTML 地址 字符"/>
    <w:link w:val="41"/>
    <w:qFormat/>
    <w:uiPriority w:val="0"/>
    <w:rPr>
      <w:rFonts w:ascii="Arial" w:hAnsi="Arial" w:eastAsia="仿宋_GB2312"/>
      <w:i/>
      <w:iCs/>
      <w:sz w:val="24"/>
    </w:rPr>
  </w:style>
  <w:style w:type="character" w:customStyle="1" w:styleId="415">
    <w:name w:val="正文文本 2 字符1"/>
    <w:link w:val="75"/>
    <w:qFormat/>
    <w:uiPriority w:val="99"/>
    <w:rPr>
      <w:kern w:val="2"/>
      <w:sz w:val="24"/>
      <w:szCs w:val="24"/>
    </w:rPr>
  </w:style>
  <w:style w:type="character" w:customStyle="1" w:styleId="416">
    <w:name w:val="样式94 Char"/>
    <w:link w:val="417"/>
    <w:qFormat/>
    <w:uiPriority w:val="0"/>
    <w:rPr>
      <w:rFonts w:eastAsia="黑体"/>
      <w:kern w:val="2"/>
      <w:sz w:val="24"/>
      <w:szCs w:val="24"/>
    </w:rPr>
  </w:style>
  <w:style w:type="paragraph" w:customStyle="1" w:styleId="417">
    <w:name w:val="样式94"/>
    <w:basedOn w:val="1"/>
    <w:link w:val="416"/>
    <w:qFormat/>
    <w:uiPriority w:val="0"/>
    <w:pPr>
      <w:spacing w:line="360" w:lineRule="auto"/>
      <w:jc w:val="center"/>
    </w:pPr>
    <w:rPr>
      <w:rFonts w:eastAsia="黑体"/>
      <w:sz w:val="24"/>
      <w:lang w:val="zh-CN"/>
    </w:rPr>
  </w:style>
  <w:style w:type="character" w:customStyle="1" w:styleId="418">
    <w:name w:val="样式29 Char"/>
    <w:link w:val="419"/>
    <w:qFormat/>
    <w:uiPriority w:val="0"/>
    <w:rPr>
      <w:rFonts w:hAnsi="宋体"/>
      <w:kern w:val="2"/>
      <w:sz w:val="24"/>
      <w:szCs w:val="24"/>
    </w:rPr>
  </w:style>
  <w:style w:type="paragraph" w:customStyle="1" w:styleId="419">
    <w:name w:val="样式29"/>
    <w:basedOn w:val="21"/>
    <w:link w:val="418"/>
    <w:qFormat/>
    <w:uiPriority w:val="0"/>
    <w:pPr>
      <w:ind w:firstLine="480"/>
    </w:pPr>
    <w:rPr>
      <w:rFonts w:hAnsi="宋体"/>
      <w:szCs w:val="24"/>
      <w:lang w:val="zh-CN"/>
    </w:rPr>
  </w:style>
  <w:style w:type="character" w:customStyle="1" w:styleId="420">
    <w:name w:val="【正文】 Char"/>
    <w:link w:val="421"/>
    <w:qFormat/>
    <w:uiPriority w:val="0"/>
    <w:rPr>
      <w:rFonts w:cs="宋体"/>
      <w:kern w:val="2"/>
      <w:sz w:val="24"/>
    </w:rPr>
  </w:style>
  <w:style w:type="paragraph" w:customStyle="1" w:styleId="421">
    <w:name w:val="【正文】"/>
    <w:basedOn w:val="1"/>
    <w:link w:val="420"/>
    <w:qFormat/>
    <w:uiPriority w:val="0"/>
    <w:pPr>
      <w:spacing w:line="440" w:lineRule="exact"/>
      <w:ind w:firstLine="544" w:firstLineChars="200"/>
    </w:pPr>
    <w:rPr>
      <w:sz w:val="24"/>
      <w:szCs w:val="20"/>
      <w:lang w:val="zh-CN"/>
    </w:rPr>
  </w:style>
  <w:style w:type="character" w:customStyle="1" w:styleId="422">
    <w:name w:val="环评报告正文 Char Char"/>
    <w:link w:val="423"/>
    <w:qFormat/>
    <w:uiPriority w:val="0"/>
    <w:rPr>
      <w:sz w:val="24"/>
    </w:rPr>
  </w:style>
  <w:style w:type="paragraph" w:customStyle="1" w:styleId="423">
    <w:name w:val="环评报告正文"/>
    <w:basedOn w:val="1"/>
    <w:link w:val="422"/>
    <w:qFormat/>
    <w:uiPriority w:val="0"/>
    <w:pPr>
      <w:adjustRightInd w:val="0"/>
      <w:snapToGrid w:val="0"/>
      <w:spacing w:line="360" w:lineRule="auto"/>
      <w:ind w:firstLine="200" w:firstLineChars="200"/>
      <w:textAlignment w:val="baseline"/>
    </w:pPr>
    <w:rPr>
      <w:kern w:val="0"/>
      <w:sz w:val="24"/>
      <w:szCs w:val="20"/>
      <w:lang w:val="zh-CN"/>
    </w:rPr>
  </w:style>
  <w:style w:type="character" w:customStyle="1" w:styleId="424">
    <w:name w:val="haydonli Char"/>
    <w:link w:val="425"/>
    <w:qFormat/>
    <w:uiPriority w:val="0"/>
    <w:rPr>
      <w:kern w:val="2"/>
      <w:sz w:val="24"/>
      <w:szCs w:val="24"/>
    </w:rPr>
  </w:style>
  <w:style w:type="paragraph" w:customStyle="1" w:styleId="425">
    <w:name w:val="haydonli"/>
    <w:basedOn w:val="1"/>
    <w:link w:val="424"/>
    <w:qFormat/>
    <w:uiPriority w:val="0"/>
    <w:pPr>
      <w:snapToGrid w:val="0"/>
      <w:spacing w:line="360" w:lineRule="auto"/>
      <w:ind w:firstLine="200" w:firstLineChars="200"/>
    </w:pPr>
    <w:rPr>
      <w:sz w:val="24"/>
      <w:lang w:val="zh-CN"/>
    </w:rPr>
  </w:style>
  <w:style w:type="character" w:customStyle="1" w:styleId="426">
    <w:name w:val="表格文字 Char1"/>
    <w:qFormat/>
    <w:uiPriority w:val="0"/>
    <w:rPr>
      <w:rFonts w:ascii="Arial" w:hAnsi="Arial"/>
      <w:snapToGrid/>
      <w:kern w:val="21"/>
      <w:sz w:val="24"/>
    </w:rPr>
  </w:style>
  <w:style w:type="character" w:customStyle="1" w:styleId="427">
    <w:name w:val="表文 Char"/>
    <w:link w:val="428"/>
    <w:qFormat/>
    <w:uiPriority w:val="0"/>
    <w:rPr>
      <w:kern w:val="2"/>
      <w:sz w:val="18"/>
      <w:lang w:val="en-US" w:eastAsia="zh-CN" w:bidi="ar-SA"/>
    </w:rPr>
  </w:style>
  <w:style w:type="paragraph" w:customStyle="1" w:styleId="428">
    <w:name w:val="表文"/>
    <w:next w:val="1"/>
    <w:link w:val="427"/>
    <w:qFormat/>
    <w:uiPriority w:val="0"/>
    <w:pPr>
      <w:widowControl w:val="0"/>
      <w:overflowPunct w:val="0"/>
      <w:topLinePunct/>
      <w:spacing w:line="320" w:lineRule="exact"/>
      <w:jc w:val="center"/>
      <w:outlineLvl w:val="6"/>
    </w:pPr>
    <w:rPr>
      <w:rFonts w:ascii="Times New Roman" w:hAnsi="Times New Roman" w:eastAsia="宋体" w:cs="Times New Roman"/>
      <w:kern w:val="2"/>
      <w:sz w:val="18"/>
      <w:lang w:val="en-US" w:eastAsia="zh-CN" w:bidi="ar-SA"/>
    </w:rPr>
  </w:style>
  <w:style w:type="character" w:customStyle="1" w:styleId="429">
    <w:name w:val="一级目录（康健城） Char"/>
    <w:link w:val="430"/>
    <w:qFormat/>
    <w:uiPriority w:val="0"/>
    <w:rPr>
      <w:rFonts w:ascii="黑体" w:hAnsi="黑体" w:eastAsia="黑体"/>
      <w:b/>
      <w:kern w:val="2"/>
      <w:sz w:val="44"/>
      <w:szCs w:val="44"/>
    </w:rPr>
  </w:style>
  <w:style w:type="paragraph" w:customStyle="1" w:styleId="430">
    <w:name w:val="一级目录（康健城）"/>
    <w:basedOn w:val="1"/>
    <w:link w:val="429"/>
    <w:qFormat/>
    <w:uiPriority w:val="0"/>
    <w:pPr>
      <w:keepNext/>
      <w:keepLines/>
      <w:adjustRightInd w:val="0"/>
      <w:snapToGrid w:val="0"/>
      <w:spacing w:before="300" w:after="300" w:line="360" w:lineRule="auto"/>
      <w:outlineLvl w:val="0"/>
    </w:pPr>
    <w:rPr>
      <w:rFonts w:ascii="黑体" w:hAnsi="黑体" w:eastAsia="黑体"/>
      <w:b/>
      <w:sz w:val="44"/>
      <w:szCs w:val="44"/>
      <w:lang w:val="zh-CN"/>
    </w:rPr>
  </w:style>
  <w:style w:type="character" w:customStyle="1" w:styleId="431">
    <w:name w:val="四级目录（康健城） Char"/>
    <w:link w:val="432"/>
    <w:qFormat/>
    <w:uiPriority w:val="0"/>
    <w:rPr>
      <w:b/>
      <w:kern w:val="2"/>
      <w:sz w:val="24"/>
      <w:szCs w:val="24"/>
    </w:rPr>
  </w:style>
  <w:style w:type="paragraph" w:customStyle="1" w:styleId="432">
    <w:name w:val="四级目录（康健城）"/>
    <w:basedOn w:val="1"/>
    <w:link w:val="431"/>
    <w:qFormat/>
    <w:uiPriority w:val="0"/>
    <w:pPr>
      <w:adjustRightInd w:val="0"/>
      <w:snapToGrid w:val="0"/>
      <w:spacing w:before="100" w:after="100" w:line="360" w:lineRule="auto"/>
      <w:outlineLvl w:val="3"/>
    </w:pPr>
    <w:rPr>
      <w:b/>
      <w:sz w:val="24"/>
      <w:lang w:val="zh-CN"/>
    </w:rPr>
  </w:style>
  <w:style w:type="character" w:customStyle="1" w:styleId="433">
    <w:name w:val="zw Char Char Char"/>
    <w:link w:val="434"/>
    <w:qFormat/>
    <w:uiPriority w:val="0"/>
    <w:rPr>
      <w:rFonts w:eastAsia="宋体"/>
      <w:kern w:val="2"/>
      <w:sz w:val="24"/>
      <w:lang w:val="en-US" w:eastAsia="zh-CN" w:bidi="ar-SA"/>
    </w:rPr>
  </w:style>
  <w:style w:type="paragraph" w:customStyle="1" w:styleId="434">
    <w:name w:val="zw Char Char"/>
    <w:basedOn w:val="1"/>
    <w:link w:val="433"/>
    <w:qFormat/>
    <w:uiPriority w:val="0"/>
    <w:pPr>
      <w:spacing w:line="480" w:lineRule="exact"/>
      <w:ind w:firstLine="482"/>
    </w:pPr>
    <w:rPr>
      <w:sz w:val="24"/>
      <w:szCs w:val="20"/>
    </w:rPr>
  </w:style>
  <w:style w:type="character" w:customStyle="1" w:styleId="435">
    <w:name w:val="正文首行缩进 Char Char Char Char Char"/>
    <w:qFormat/>
    <w:uiPriority w:val="0"/>
    <w:rPr>
      <w:rFonts w:ascii="宋体" w:hAnsi="宋体" w:eastAsia="宋体" w:cs="宋体"/>
      <w:spacing w:val="6"/>
      <w:kern w:val="2"/>
      <w:sz w:val="24"/>
      <w:szCs w:val="24"/>
      <w:lang w:val="en-US" w:eastAsia="zh-CN" w:bidi="ar-SA"/>
    </w:rPr>
  </w:style>
  <w:style w:type="character" w:customStyle="1" w:styleId="436">
    <w:name w:val="fontstyle21"/>
    <w:qFormat/>
    <w:uiPriority w:val="0"/>
    <w:rPr>
      <w:rFonts w:ascii="TimesNewRomanPSMT" w:hAnsi="TimesNewRomanPSMT" w:eastAsia="TimesNewRomanPSMT" w:cs="TimesNewRomanPSMT"/>
      <w:color w:val="000000"/>
      <w:sz w:val="24"/>
      <w:szCs w:val="24"/>
    </w:rPr>
  </w:style>
  <w:style w:type="character" w:customStyle="1" w:styleId="437">
    <w:name w:val="fontstyle11"/>
    <w:qFormat/>
    <w:uiPriority w:val="0"/>
    <w:rPr>
      <w:rFonts w:ascii="TimesNewRomanPSMT" w:hAnsi="TimesNewRomanPSMT" w:eastAsia="TimesNewRomanPSMT" w:cs="TimesNewRomanPSMT"/>
      <w:color w:val="FF0000"/>
      <w:sz w:val="24"/>
      <w:szCs w:val="24"/>
    </w:rPr>
  </w:style>
  <w:style w:type="character" w:customStyle="1" w:styleId="438">
    <w:name w:val="fontstyle31"/>
    <w:qFormat/>
    <w:uiPriority w:val="0"/>
    <w:rPr>
      <w:rFonts w:hint="eastAsia" w:ascii="宋体" w:hAnsi="宋体" w:eastAsia="宋体"/>
      <w:color w:val="000000"/>
      <w:sz w:val="24"/>
      <w:szCs w:val="24"/>
    </w:rPr>
  </w:style>
  <w:style w:type="character" w:customStyle="1" w:styleId="439">
    <w:name w:val="fontstyle41"/>
    <w:qFormat/>
    <w:uiPriority w:val="0"/>
    <w:rPr>
      <w:rFonts w:hint="default" w:ascii="TimesNewRoman" w:hAnsi="TimesNewRoman"/>
      <w:color w:val="000000"/>
      <w:sz w:val="24"/>
      <w:szCs w:val="24"/>
    </w:rPr>
  </w:style>
  <w:style w:type="character" w:customStyle="1" w:styleId="440">
    <w:name w:val="标题 5 字符2"/>
    <w:link w:val="7"/>
    <w:qFormat/>
    <w:uiPriority w:val="0"/>
    <w:rPr>
      <w:b/>
      <w:spacing w:val="4"/>
      <w:kern w:val="2"/>
      <w:sz w:val="28"/>
      <w:szCs w:val="24"/>
    </w:rPr>
  </w:style>
  <w:style w:type="character" w:customStyle="1" w:styleId="441">
    <w:name w:val="样式1 Char"/>
    <w:link w:val="125"/>
    <w:qFormat/>
    <w:uiPriority w:val="0"/>
    <w:rPr>
      <w:sz w:val="24"/>
      <w:lang w:val="en-US" w:eastAsia="zh-CN"/>
    </w:rPr>
  </w:style>
  <w:style w:type="character" w:customStyle="1" w:styleId="442">
    <w:name w:val="newbody1"/>
    <w:qFormat/>
    <w:uiPriority w:val="0"/>
    <w:rPr>
      <w:rFonts w:hint="default" w:ascii="ˎ̥" w:hAnsi="ˎ̥"/>
      <w:sz w:val="21"/>
      <w:szCs w:val="21"/>
    </w:rPr>
  </w:style>
  <w:style w:type="character" w:customStyle="1" w:styleId="443">
    <w:name w:val="注释标题 Char1"/>
    <w:qFormat/>
    <w:uiPriority w:val="0"/>
    <w:rPr>
      <w:rFonts w:ascii="Times New Roman" w:hAnsi="Times New Roman" w:eastAsia="宋体" w:cs="Times New Roman"/>
      <w:sz w:val="28"/>
      <w:szCs w:val="28"/>
    </w:rPr>
  </w:style>
  <w:style w:type="character" w:customStyle="1" w:styleId="444">
    <w:name w:val="批注文字 Char1"/>
    <w:qFormat/>
    <w:uiPriority w:val="0"/>
    <w:rPr>
      <w:rFonts w:ascii="Times New Roman" w:hAnsi="Times New Roman" w:eastAsia="楷体_GB2312" w:cs="Times New Roman"/>
      <w:sz w:val="28"/>
      <w:szCs w:val="20"/>
    </w:rPr>
  </w:style>
  <w:style w:type="character" w:customStyle="1" w:styleId="445">
    <w:name w:val="Char Char15"/>
    <w:qFormat/>
    <w:uiPriority w:val="0"/>
    <w:rPr>
      <w:rFonts w:ascii="宋体" w:hAnsi="Times New Roman" w:eastAsia="宋体" w:cs="Times New Roman"/>
      <w:sz w:val="28"/>
      <w:szCs w:val="28"/>
    </w:rPr>
  </w:style>
  <w:style w:type="character" w:customStyle="1" w:styleId="446">
    <w:name w:val="large1"/>
    <w:qFormat/>
    <w:uiPriority w:val="0"/>
    <w:rPr>
      <w:rFonts w:hint="eastAsia" w:ascii="宋体" w:hAnsi="宋体" w:eastAsia="宋体"/>
      <w:sz w:val="25"/>
      <w:szCs w:val="25"/>
    </w:rPr>
  </w:style>
  <w:style w:type="character" w:customStyle="1" w:styleId="447">
    <w:name w:val="articlelink1"/>
    <w:qFormat/>
    <w:uiPriority w:val="0"/>
    <w:rPr>
      <w:color w:val="080CBD"/>
      <w:sz w:val="21"/>
      <w:szCs w:val="21"/>
    </w:rPr>
  </w:style>
  <w:style w:type="character" w:customStyle="1" w:styleId="448">
    <w:name w:val="图框 Char"/>
    <w:link w:val="449"/>
    <w:qFormat/>
    <w:uiPriority w:val="0"/>
    <w:rPr>
      <w:kern w:val="2"/>
      <w:sz w:val="24"/>
      <w:szCs w:val="24"/>
    </w:rPr>
  </w:style>
  <w:style w:type="paragraph" w:customStyle="1" w:styleId="449">
    <w:name w:val="图框"/>
    <w:basedOn w:val="1"/>
    <w:link w:val="448"/>
    <w:qFormat/>
    <w:uiPriority w:val="0"/>
    <w:pPr>
      <w:pBdr>
        <w:top w:val="thinThickSmallGap" w:color="auto" w:sz="18" w:space="1"/>
        <w:left w:val="thinThickSmallGap" w:color="auto" w:sz="18" w:space="4"/>
        <w:bottom w:val="thickThinSmallGap" w:color="auto" w:sz="18" w:space="1"/>
        <w:right w:val="thickThinSmallGap" w:color="auto" w:sz="18" w:space="4"/>
      </w:pBdr>
      <w:spacing w:line="360" w:lineRule="auto"/>
      <w:ind w:firstLine="480" w:firstLineChars="200"/>
    </w:pPr>
    <w:rPr>
      <w:sz w:val="24"/>
      <w:lang w:val="zh-CN"/>
    </w:rPr>
  </w:style>
  <w:style w:type="character" w:customStyle="1" w:styleId="450">
    <w:name w:val="标题 1 Char Char Char Char"/>
    <w:qFormat/>
    <w:uiPriority w:val="0"/>
    <w:rPr>
      <w:rFonts w:ascii="Times New Roman" w:hAnsi="Times New Roman" w:eastAsia="宋体" w:cs="Times New Roman"/>
      <w:b/>
      <w:bCs/>
      <w:kern w:val="44"/>
      <w:sz w:val="44"/>
      <w:szCs w:val="44"/>
    </w:rPr>
  </w:style>
  <w:style w:type="character" w:customStyle="1" w:styleId="451">
    <w:name w:val="Char Char20"/>
    <w:qFormat/>
    <w:uiPriority w:val="0"/>
    <w:rPr>
      <w:rFonts w:ascii="Times New Roman" w:hAnsi="Times New Roman" w:eastAsia="宋体" w:cs="Times New Roman"/>
      <w:sz w:val="24"/>
      <w:szCs w:val="24"/>
    </w:rPr>
  </w:style>
  <w:style w:type="character" w:customStyle="1" w:styleId="452">
    <w:name w:val="Char Char192"/>
    <w:qFormat/>
    <w:uiPriority w:val="0"/>
  </w:style>
  <w:style w:type="character" w:customStyle="1" w:styleId="453">
    <w:name w:val="Char Char18"/>
    <w:qFormat/>
    <w:uiPriority w:val="0"/>
    <w:rPr>
      <w:rFonts w:ascii="Times New Roman" w:hAnsi="Times New Roman" w:eastAsia="宋体" w:cs="Times New Roman"/>
      <w:sz w:val="18"/>
      <w:szCs w:val="18"/>
    </w:rPr>
  </w:style>
  <w:style w:type="character" w:customStyle="1" w:styleId="454">
    <w:name w:val="Char Char17"/>
    <w:qFormat/>
    <w:uiPriority w:val="0"/>
    <w:rPr>
      <w:rFonts w:ascii="Times New Roman" w:hAnsi="Times New Roman" w:eastAsia="宋体" w:cs="Times New Roman"/>
      <w:sz w:val="24"/>
      <w:szCs w:val="24"/>
    </w:rPr>
  </w:style>
  <w:style w:type="character" w:customStyle="1" w:styleId="455">
    <w:name w:val="Char Char16"/>
    <w:qFormat/>
    <w:uiPriority w:val="0"/>
    <w:rPr>
      <w:rFonts w:ascii="Times New Roman" w:hAnsi="Times New Roman" w:eastAsia="楷体_GB2312" w:cs="Times New Roman"/>
      <w:sz w:val="32"/>
      <w:szCs w:val="20"/>
    </w:rPr>
  </w:style>
  <w:style w:type="character" w:customStyle="1" w:styleId="456">
    <w:name w:val="正文文本 3 Char1"/>
    <w:qFormat/>
    <w:uiPriority w:val="0"/>
    <w:rPr>
      <w:rFonts w:ascii="Times New Roman" w:hAnsi="Times New Roman" w:eastAsia="宋体" w:cs="Times New Roman"/>
      <w:sz w:val="16"/>
      <w:szCs w:val="16"/>
    </w:rPr>
  </w:style>
  <w:style w:type="character" w:customStyle="1" w:styleId="457">
    <w:name w:val="正文文字缩进 2 Char Char"/>
    <w:qFormat/>
    <w:uiPriority w:val="0"/>
    <w:rPr>
      <w:rFonts w:ascii="Times New Roman" w:hAnsi="Times New Roman" w:eastAsia="宋体" w:cs="Times New Roman"/>
      <w:sz w:val="24"/>
      <w:szCs w:val="24"/>
    </w:rPr>
  </w:style>
  <w:style w:type="character" w:customStyle="1" w:styleId="458">
    <w:name w:val="Char Char2"/>
    <w:qFormat/>
    <w:uiPriority w:val="0"/>
    <w:rPr>
      <w:kern w:val="2"/>
      <w:sz w:val="18"/>
      <w:szCs w:val="18"/>
    </w:rPr>
  </w:style>
  <w:style w:type="character" w:customStyle="1" w:styleId="459">
    <w:name w:val="style3"/>
    <w:qFormat/>
    <w:uiPriority w:val="0"/>
  </w:style>
  <w:style w:type="character" w:customStyle="1" w:styleId="460">
    <w:name w:val="red181"/>
    <w:qFormat/>
    <w:uiPriority w:val="0"/>
    <w:rPr>
      <w:b/>
      <w:bCs/>
      <w:color w:val="FF0000"/>
      <w:sz w:val="33"/>
      <w:szCs w:val="33"/>
      <w:u w:val="none"/>
    </w:rPr>
  </w:style>
  <w:style w:type="character" w:customStyle="1" w:styleId="461">
    <w:name w:val="mr1"/>
    <w:qFormat/>
    <w:uiPriority w:val="0"/>
  </w:style>
  <w:style w:type="character" w:customStyle="1" w:styleId="462">
    <w:name w:val="061"/>
    <w:qFormat/>
    <w:uiPriority w:val="0"/>
    <w:rPr>
      <w:color w:val="666666"/>
    </w:rPr>
  </w:style>
  <w:style w:type="character" w:customStyle="1" w:styleId="463">
    <w:name w:val="font21"/>
    <w:qFormat/>
    <w:uiPriority w:val="0"/>
    <w:rPr>
      <w:sz w:val="20"/>
      <w:szCs w:val="20"/>
    </w:rPr>
  </w:style>
  <w:style w:type="character" w:customStyle="1" w:styleId="464">
    <w:name w:val="cojj1"/>
    <w:qFormat/>
    <w:uiPriority w:val="0"/>
    <w:rPr>
      <w:rFonts w:hint="eastAsia" w:ascii="宋体" w:hAnsi="宋体" w:eastAsia="宋体"/>
      <w:color w:val="000000"/>
      <w:spacing w:val="280"/>
      <w:sz w:val="18"/>
      <w:szCs w:val="18"/>
    </w:rPr>
  </w:style>
  <w:style w:type="character" w:customStyle="1" w:styleId="465">
    <w:name w:val="one1"/>
    <w:qFormat/>
    <w:uiPriority w:val="0"/>
    <w:rPr>
      <w:sz w:val="26"/>
      <w:szCs w:val="26"/>
    </w:rPr>
  </w:style>
  <w:style w:type="character" w:customStyle="1" w:styleId="466">
    <w:name w:val="yxNone"/>
    <w:qFormat/>
    <w:uiPriority w:val="0"/>
  </w:style>
  <w:style w:type="character" w:customStyle="1" w:styleId="467">
    <w:name w:val="yxExternal"/>
    <w:qFormat/>
    <w:uiPriority w:val="0"/>
    <w:rPr>
      <w:rFonts w:ascii="Courier New" w:hAnsi="Courier New"/>
      <w:color w:val="808080"/>
    </w:rPr>
  </w:style>
  <w:style w:type="character" w:customStyle="1" w:styleId="468">
    <w:name w:val="yxPopup"/>
    <w:qFormat/>
    <w:uiPriority w:val="0"/>
    <w:rPr>
      <w:rFonts w:ascii="Courier New" w:hAnsi="Courier New"/>
      <w:color w:val="008000"/>
    </w:rPr>
  </w:style>
  <w:style w:type="character" w:customStyle="1" w:styleId="469">
    <w:name w:val="yxJump"/>
    <w:qFormat/>
    <w:uiPriority w:val="0"/>
    <w:rPr>
      <w:rFonts w:ascii="Courier New" w:hAnsi="Courier New"/>
      <w:color w:val="008080"/>
    </w:rPr>
  </w:style>
  <w:style w:type="character" w:customStyle="1" w:styleId="470">
    <w:name w:val="yxInternal"/>
    <w:qFormat/>
    <w:uiPriority w:val="0"/>
    <w:rPr>
      <w:rFonts w:ascii="Courier New" w:hAnsi="Courier New"/>
      <w:color w:val="FF0000"/>
    </w:rPr>
  </w:style>
  <w:style w:type="character" w:customStyle="1" w:styleId="471">
    <w:name w:val="yxMark"/>
    <w:qFormat/>
    <w:uiPriority w:val="0"/>
    <w:rPr>
      <w:rFonts w:ascii="Courier New" w:hAnsi="Courier New"/>
      <w:vanish/>
      <w:color w:val="800000"/>
      <w:vertAlign w:val="subscript"/>
    </w:rPr>
  </w:style>
  <w:style w:type="character" w:customStyle="1" w:styleId="472">
    <w:name w:val="v91"/>
    <w:qFormat/>
    <w:uiPriority w:val="0"/>
    <w:rPr>
      <w:rFonts w:hint="default"/>
      <w:spacing w:val="280"/>
      <w:sz w:val="18"/>
      <w:szCs w:val="18"/>
    </w:rPr>
  </w:style>
  <w:style w:type="character" w:customStyle="1" w:styleId="473">
    <w:name w:val="articlelink"/>
    <w:qFormat/>
    <w:uiPriority w:val="0"/>
  </w:style>
  <w:style w:type="character" w:customStyle="1" w:styleId="474">
    <w:name w:val="Char Char23"/>
    <w:qFormat/>
    <w:uiPriority w:val="0"/>
    <w:rPr>
      <w:rFonts w:ascii="Arial" w:hAnsi="Arial" w:cs="Arial"/>
      <w:b/>
      <w:bCs/>
      <w:kern w:val="2"/>
      <w:sz w:val="26"/>
      <w:szCs w:val="26"/>
    </w:rPr>
  </w:style>
  <w:style w:type="character" w:customStyle="1" w:styleId="475">
    <w:name w:val="Char Char21"/>
    <w:qFormat/>
    <w:uiPriority w:val="0"/>
    <w:rPr>
      <w:rFonts w:eastAsia="楷体_GB2312"/>
      <w:b/>
      <w:sz w:val="28"/>
    </w:rPr>
  </w:style>
  <w:style w:type="character" w:customStyle="1" w:styleId="476">
    <w:name w:val="Char Char201"/>
    <w:qFormat/>
    <w:uiPriority w:val="0"/>
    <w:rPr>
      <w:rFonts w:ascii="Arial" w:hAnsi="Arial" w:eastAsia="黑体"/>
      <w:b/>
      <w:sz w:val="24"/>
    </w:rPr>
  </w:style>
  <w:style w:type="character" w:customStyle="1" w:styleId="477">
    <w:name w:val="Char Char191"/>
    <w:qFormat/>
    <w:uiPriority w:val="0"/>
    <w:rPr>
      <w:spacing w:val="4"/>
      <w:sz w:val="28"/>
    </w:rPr>
  </w:style>
  <w:style w:type="character" w:customStyle="1" w:styleId="478">
    <w:name w:val="11"/>
    <w:qFormat/>
    <w:uiPriority w:val="0"/>
    <w:rPr>
      <w:rFonts w:hint="default" w:ascii="ˎ̥" w:hAnsi="ˎ̥"/>
      <w:sz w:val="18"/>
      <w:szCs w:val="18"/>
    </w:rPr>
  </w:style>
  <w:style w:type="character" w:customStyle="1" w:styleId="479">
    <w:name w:val="段落 Char"/>
    <w:link w:val="480"/>
    <w:qFormat/>
    <w:uiPriority w:val="0"/>
    <w:rPr>
      <w:color w:val="000000"/>
      <w:spacing w:val="6"/>
      <w:kern w:val="24"/>
      <w:sz w:val="24"/>
      <w:szCs w:val="24"/>
      <w:lang w:val="en-US" w:eastAsia="zh-CN"/>
    </w:rPr>
  </w:style>
  <w:style w:type="paragraph" w:customStyle="1" w:styleId="480">
    <w:name w:val="段落"/>
    <w:basedOn w:val="1"/>
    <w:link w:val="479"/>
    <w:qFormat/>
    <w:uiPriority w:val="0"/>
    <w:pPr>
      <w:tabs>
        <w:tab w:val="left" w:pos="1021"/>
        <w:tab w:val="left" w:pos="1320"/>
      </w:tabs>
      <w:spacing w:line="360" w:lineRule="auto"/>
      <w:ind w:firstLine="504" w:firstLineChars="200"/>
    </w:pPr>
    <w:rPr>
      <w:color w:val="000000"/>
      <w:spacing w:val="6"/>
      <w:kern w:val="24"/>
      <w:sz w:val="24"/>
    </w:rPr>
  </w:style>
  <w:style w:type="character" w:customStyle="1" w:styleId="481">
    <w:name w:val="标题 1 Char Char Char Char Char1"/>
    <w:qFormat/>
    <w:uiPriority w:val="0"/>
    <w:rPr>
      <w:b/>
      <w:bCs/>
      <w:kern w:val="44"/>
      <w:sz w:val="44"/>
      <w:szCs w:val="44"/>
    </w:rPr>
  </w:style>
  <w:style w:type="character" w:customStyle="1" w:styleId="482">
    <w:name w:val="样式 四号1 Char"/>
    <w:link w:val="483"/>
    <w:qFormat/>
    <w:uiPriority w:val="0"/>
    <w:rPr>
      <w:kern w:val="2"/>
      <w:sz w:val="28"/>
      <w:szCs w:val="28"/>
    </w:rPr>
  </w:style>
  <w:style w:type="paragraph" w:customStyle="1" w:styleId="483">
    <w:name w:val="样式 四号1"/>
    <w:basedOn w:val="1"/>
    <w:link w:val="482"/>
    <w:qFormat/>
    <w:uiPriority w:val="0"/>
    <w:pPr>
      <w:spacing w:line="380" w:lineRule="exact"/>
      <w:ind w:firstLine="200" w:firstLineChars="200"/>
    </w:pPr>
    <w:rPr>
      <w:sz w:val="28"/>
      <w:szCs w:val="28"/>
      <w:lang w:val="zh-CN"/>
    </w:rPr>
  </w:style>
  <w:style w:type="character" w:customStyle="1" w:styleId="484">
    <w:name w:val="样式 四号 Char"/>
    <w:link w:val="485"/>
    <w:qFormat/>
    <w:uiPriority w:val="0"/>
    <w:rPr>
      <w:kern w:val="2"/>
      <w:sz w:val="28"/>
      <w:szCs w:val="28"/>
    </w:rPr>
  </w:style>
  <w:style w:type="paragraph" w:customStyle="1" w:styleId="485">
    <w:name w:val="样式 四号"/>
    <w:basedOn w:val="1"/>
    <w:link w:val="484"/>
    <w:qFormat/>
    <w:uiPriority w:val="0"/>
    <w:pPr>
      <w:spacing w:line="380" w:lineRule="exact"/>
      <w:ind w:firstLine="200" w:firstLineChars="200"/>
    </w:pPr>
    <w:rPr>
      <w:sz w:val="28"/>
      <w:szCs w:val="28"/>
      <w:lang w:val="zh-CN"/>
    </w:rPr>
  </w:style>
  <w:style w:type="character" w:customStyle="1" w:styleId="486">
    <w:name w:val="Char Char31"/>
    <w:qFormat/>
    <w:uiPriority w:val="0"/>
    <w:rPr>
      <w:rFonts w:ascii="Arial" w:hAnsi="Arial"/>
      <w:bCs/>
      <w:snapToGrid/>
      <w:color w:val="000000"/>
      <w:sz w:val="28"/>
      <w:szCs w:val="28"/>
    </w:rPr>
  </w:style>
  <w:style w:type="character" w:customStyle="1" w:styleId="487">
    <w:name w:val="Char Char30"/>
    <w:qFormat/>
    <w:uiPriority w:val="0"/>
    <w:rPr>
      <w:rFonts w:ascii="Arial" w:hAnsi="Arial"/>
      <w:bCs/>
      <w:snapToGrid/>
      <w:kern w:val="28"/>
      <w:sz w:val="28"/>
      <w:szCs w:val="28"/>
    </w:rPr>
  </w:style>
  <w:style w:type="character" w:customStyle="1" w:styleId="488">
    <w:name w:val="Char Char29"/>
    <w:qFormat/>
    <w:uiPriority w:val="0"/>
    <w:rPr>
      <w:rFonts w:ascii="Arial" w:hAnsi="Arial" w:eastAsia="黑体"/>
      <w:b/>
      <w:bCs/>
      <w:kern w:val="2"/>
      <w:sz w:val="24"/>
      <w:szCs w:val="28"/>
    </w:rPr>
  </w:style>
  <w:style w:type="character" w:customStyle="1" w:styleId="489">
    <w:name w:val="Char Char28"/>
    <w:qFormat/>
    <w:uiPriority w:val="0"/>
    <w:rPr>
      <w:b/>
      <w:bCs/>
      <w:kern w:val="2"/>
      <w:sz w:val="24"/>
      <w:szCs w:val="28"/>
    </w:rPr>
  </w:style>
  <w:style w:type="character" w:customStyle="1" w:styleId="490">
    <w:name w:val="Char Char27"/>
    <w:qFormat/>
    <w:uiPriority w:val="0"/>
    <w:rPr>
      <w:rFonts w:ascii="Arial" w:hAnsi="Arial" w:eastAsia="黑体"/>
      <w:kern w:val="2"/>
      <w:sz w:val="24"/>
      <w:szCs w:val="28"/>
    </w:rPr>
  </w:style>
  <w:style w:type="character" w:customStyle="1" w:styleId="491">
    <w:name w:val="title1"/>
    <w:qFormat/>
    <w:uiPriority w:val="0"/>
    <w:rPr>
      <w:b/>
      <w:bCs/>
      <w:color w:val="FF0000"/>
      <w:sz w:val="39"/>
      <w:szCs w:val="39"/>
    </w:rPr>
  </w:style>
  <w:style w:type="character" w:customStyle="1" w:styleId="492">
    <w:name w:val="subtitle1"/>
    <w:qFormat/>
    <w:uiPriority w:val="0"/>
    <w:rPr>
      <w:rFonts w:hint="default" w:ascii="ˎ̥" w:hAnsi="ˎ̥"/>
      <w:sz w:val="20"/>
      <w:szCs w:val="20"/>
    </w:rPr>
  </w:style>
  <w:style w:type="character" w:customStyle="1" w:styleId="493">
    <w:name w:val="text1"/>
    <w:qFormat/>
    <w:uiPriority w:val="0"/>
    <w:rPr>
      <w:rFonts w:hint="default" w:ascii="ˎ̥" w:hAnsi="ˎ̥"/>
      <w:sz w:val="20"/>
      <w:szCs w:val="20"/>
    </w:rPr>
  </w:style>
  <w:style w:type="character" w:customStyle="1" w:styleId="494">
    <w:name w:val="announcer1"/>
    <w:qFormat/>
    <w:uiPriority w:val="0"/>
    <w:rPr>
      <w:b/>
      <w:bCs/>
    </w:rPr>
  </w:style>
  <w:style w:type="character" w:customStyle="1" w:styleId="495">
    <w:name w:val="正文3 Char1"/>
    <w:link w:val="496"/>
    <w:qFormat/>
    <w:uiPriority w:val="0"/>
    <w:rPr>
      <w:sz w:val="30"/>
      <w:szCs w:val="24"/>
    </w:rPr>
  </w:style>
  <w:style w:type="paragraph" w:customStyle="1" w:styleId="496">
    <w:name w:val="正文3"/>
    <w:basedOn w:val="1"/>
    <w:link w:val="495"/>
    <w:qFormat/>
    <w:uiPriority w:val="0"/>
    <w:pPr>
      <w:adjustRightInd w:val="0"/>
      <w:spacing w:line="360" w:lineRule="auto"/>
      <w:ind w:firstLine="624"/>
      <w:textAlignment w:val="baseline"/>
    </w:pPr>
    <w:rPr>
      <w:kern w:val="0"/>
      <w:sz w:val="30"/>
      <w:lang w:val="zh-CN"/>
    </w:rPr>
  </w:style>
  <w:style w:type="character" w:customStyle="1" w:styleId="497">
    <w:name w:val="s"/>
    <w:qFormat/>
    <w:uiPriority w:val="0"/>
  </w:style>
  <w:style w:type="character" w:customStyle="1" w:styleId="498">
    <w:name w:val="goog_qs-tidbit goog_qs-tidbit-0"/>
    <w:qFormat/>
    <w:uiPriority w:val="0"/>
  </w:style>
  <w:style w:type="character" w:customStyle="1" w:styleId="499">
    <w:name w:val="scxhdfoewps1"/>
    <w:qFormat/>
    <w:uiPriority w:val="0"/>
  </w:style>
  <w:style w:type="character" w:customStyle="1" w:styleId="500">
    <w:name w:val="sdafuhsurjt1"/>
    <w:qFormat/>
    <w:uiPriority w:val="0"/>
    <w:rPr>
      <w:vanish/>
    </w:rPr>
  </w:style>
  <w:style w:type="character" w:customStyle="1" w:styleId="501">
    <w:name w:val="样式 样式 首行缩进:  2 字符 + 首行缩进:  2 字符2 Char"/>
    <w:link w:val="502"/>
    <w:qFormat/>
    <w:uiPriority w:val="0"/>
    <w:rPr>
      <w:rFonts w:eastAsia="楷体_GB2312" w:cs="宋体"/>
      <w:spacing w:val="6"/>
      <w:sz w:val="28"/>
    </w:rPr>
  </w:style>
  <w:style w:type="paragraph" w:customStyle="1" w:styleId="502">
    <w:name w:val="样式 样式 首行缩进:  2 字符 + 首行缩进:  2 字符2"/>
    <w:basedOn w:val="1"/>
    <w:link w:val="501"/>
    <w:qFormat/>
    <w:uiPriority w:val="0"/>
    <w:pPr>
      <w:spacing w:line="440" w:lineRule="exact"/>
      <w:ind w:firstLine="584" w:firstLineChars="200"/>
    </w:pPr>
    <w:rPr>
      <w:rFonts w:eastAsia="楷体_GB2312"/>
      <w:spacing w:val="6"/>
      <w:kern w:val="0"/>
      <w:sz w:val="28"/>
      <w:szCs w:val="20"/>
      <w:lang w:val="zh-CN"/>
    </w:rPr>
  </w:style>
  <w:style w:type="character" w:customStyle="1" w:styleId="503">
    <w:name w:val="表蕊居中 Char"/>
    <w:link w:val="504"/>
    <w:qFormat/>
    <w:uiPriority w:val="0"/>
    <w:rPr>
      <w:rFonts w:eastAsia="仿宋_GB2312"/>
      <w:bCs/>
      <w:iCs/>
      <w:spacing w:val="-10"/>
      <w:szCs w:val="21"/>
    </w:rPr>
  </w:style>
  <w:style w:type="paragraph" w:customStyle="1" w:styleId="504">
    <w:name w:val="表蕊居中"/>
    <w:basedOn w:val="1"/>
    <w:link w:val="503"/>
    <w:qFormat/>
    <w:uiPriority w:val="0"/>
    <w:pPr>
      <w:suppressAutoHyphens/>
      <w:adjustRightInd w:val="0"/>
      <w:spacing w:line="280" w:lineRule="exact"/>
      <w:ind w:right="31" w:rightChars="15"/>
      <w:jc w:val="center"/>
      <w:textAlignment w:val="baseline"/>
    </w:pPr>
    <w:rPr>
      <w:rFonts w:eastAsia="仿宋_GB2312"/>
      <w:bCs/>
      <w:iCs/>
      <w:spacing w:val="-10"/>
      <w:kern w:val="0"/>
      <w:sz w:val="20"/>
      <w:szCs w:val="21"/>
      <w:lang w:val="zh-CN"/>
    </w:rPr>
  </w:style>
  <w:style w:type="character" w:customStyle="1" w:styleId="505">
    <w:name w:val="style1"/>
    <w:qFormat/>
    <w:uiPriority w:val="0"/>
  </w:style>
  <w:style w:type="character" w:customStyle="1" w:styleId="506">
    <w:name w:val="hrpsaklnd1"/>
    <w:qFormat/>
    <w:uiPriority w:val="0"/>
  </w:style>
  <w:style w:type="character" w:customStyle="1" w:styleId="507">
    <w:name w:val="正文B Char"/>
    <w:link w:val="508"/>
    <w:qFormat/>
    <w:uiPriority w:val="0"/>
    <w:rPr>
      <w:rFonts w:eastAsia="楷体_GB2312"/>
      <w:spacing w:val="8"/>
      <w:sz w:val="28"/>
    </w:rPr>
  </w:style>
  <w:style w:type="paragraph" w:customStyle="1" w:styleId="508">
    <w:name w:val="正文B"/>
    <w:basedOn w:val="1"/>
    <w:link w:val="507"/>
    <w:qFormat/>
    <w:uiPriority w:val="0"/>
    <w:pPr>
      <w:adjustRightInd w:val="0"/>
      <w:spacing w:line="390" w:lineRule="exact"/>
      <w:ind w:firstLine="601"/>
      <w:textAlignment w:val="baseline"/>
    </w:pPr>
    <w:rPr>
      <w:rFonts w:eastAsia="楷体_GB2312"/>
      <w:spacing w:val="8"/>
      <w:kern w:val="0"/>
      <w:sz w:val="28"/>
      <w:szCs w:val="20"/>
      <w:lang w:val="zh-CN"/>
    </w:rPr>
  </w:style>
  <w:style w:type="character" w:customStyle="1" w:styleId="509">
    <w:name w:val="表蕊 Char1"/>
    <w:link w:val="510"/>
    <w:qFormat/>
    <w:uiPriority w:val="0"/>
    <w:rPr>
      <w:rFonts w:eastAsia="楷体_GB2312"/>
      <w:color w:val="000000"/>
      <w:spacing w:val="-10"/>
      <w:sz w:val="21"/>
      <w:szCs w:val="21"/>
    </w:rPr>
  </w:style>
  <w:style w:type="paragraph" w:customStyle="1" w:styleId="510">
    <w:name w:val="表蕊"/>
    <w:basedOn w:val="1"/>
    <w:link w:val="509"/>
    <w:qFormat/>
    <w:uiPriority w:val="0"/>
    <w:pPr>
      <w:adjustRightInd w:val="0"/>
      <w:spacing w:line="280" w:lineRule="atLeast"/>
      <w:textAlignment w:val="baseline"/>
    </w:pPr>
    <w:rPr>
      <w:rFonts w:eastAsia="楷体_GB2312"/>
      <w:color w:val="000000"/>
      <w:spacing w:val="-10"/>
      <w:kern w:val="0"/>
      <w:szCs w:val="21"/>
      <w:lang w:val="zh-CN"/>
    </w:rPr>
  </w:style>
  <w:style w:type="character" w:customStyle="1" w:styleId="511">
    <w:name w:val="ncugyuapdiuf1"/>
    <w:qFormat/>
    <w:uiPriority w:val="0"/>
    <w:rPr>
      <w:vanish/>
    </w:rPr>
  </w:style>
  <w:style w:type="character" w:customStyle="1" w:styleId="512">
    <w:name w:val="type1"/>
    <w:qFormat/>
    <w:uiPriority w:val="99"/>
    <w:rPr>
      <w:rFonts w:cs="Times New Roman"/>
    </w:rPr>
  </w:style>
  <w:style w:type="character" w:customStyle="1" w:styleId="513">
    <w:name w:val="批注主题 Char1"/>
    <w:qFormat/>
    <w:uiPriority w:val="0"/>
    <w:rPr>
      <w:b/>
      <w:bCs/>
      <w:kern w:val="2"/>
      <w:sz w:val="21"/>
      <w:szCs w:val="24"/>
    </w:rPr>
  </w:style>
  <w:style w:type="character" w:customStyle="1" w:styleId="514">
    <w:name w:val="Char Char37"/>
    <w:qFormat/>
    <w:uiPriority w:val="0"/>
    <w:rPr>
      <w:rFonts w:ascii="Arial" w:hAnsi="Arial" w:eastAsia="宋体" w:cs="Times New Roman"/>
      <w:bCs/>
      <w:snapToGrid/>
      <w:color w:val="000000"/>
      <w:kern w:val="0"/>
      <w:sz w:val="28"/>
      <w:szCs w:val="28"/>
    </w:rPr>
  </w:style>
  <w:style w:type="character" w:customStyle="1" w:styleId="515">
    <w:name w:val="Char Char36"/>
    <w:qFormat/>
    <w:uiPriority w:val="0"/>
    <w:rPr>
      <w:rFonts w:ascii="Arial" w:hAnsi="Arial" w:eastAsia="宋体" w:cs="Times New Roman"/>
      <w:bCs/>
      <w:snapToGrid/>
      <w:kern w:val="28"/>
      <w:sz w:val="28"/>
      <w:szCs w:val="28"/>
    </w:rPr>
  </w:style>
  <w:style w:type="character" w:customStyle="1" w:styleId="516">
    <w:name w:val="Char Char35"/>
    <w:qFormat/>
    <w:uiPriority w:val="0"/>
    <w:rPr>
      <w:rFonts w:ascii="Arial" w:hAnsi="Arial" w:eastAsia="黑体" w:cs="Times New Roman"/>
      <w:b/>
      <w:bCs/>
      <w:sz w:val="24"/>
      <w:szCs w:val="24"/>
    </w:rPr>
  </w:style>
  <w:style w:type="character" w:customStyle="1" w:styleId="517">
    <w:name w:val="Char Char34"/>
    <w:qFormat/>
    <w:uiPriority w:val="0"/>
    <w:rPr>
      <w:rFonts w:ascii="Times New Roman" w:hAnsi="Times New Roman" w:eastAsia="宋体" w:cs="Times New Roman"/>
      <w:b/>
      <w:bCs/>
      <w:sz w:val="24"/>
      <w:szCs w:val="24"/>
    </w:rPr>
  </w:style>
  <w:style w:type="character" w:customStyle="1" w:styleId="518">
    <w:name w:val="Char Char33"/>
    <w:qFormat/>
    <w:uiPriority w:val="0"/>
    <w:rPr>
      <w:rFonts w:ascii="Arial" w:hAnsi="Arial" w:eastAsia="黑体" w:cs="Times New Roman"/>
      <w:sz w:val="24"/>
      <w:szCs w:val="24"/>
    </w:rPr>
  </w:style>
  <w:style w:type="character" w:customStyle="1" w:styleId="519">
    <w:name w:val="Char Char32"/>
    <w:qFormat/>
    <w:uiPriority w:val="0"/>
    <w:rPr>
      <w:rFonts w:ascii="Arial" w:hAnsi="Arial" w:eastAsia="黑体" w:cs="Times New Roman"/>
      <w:sz w:val="24"/>
      <w:szCs w:val="21"/>
    </w:rPr>
  </w:style>
  <w:style w:type="character" w:customStyle="1" w:styleId="520">
    <w:name w:val="正文文本 2 Char1"/>
    <w:qFormat/>
    <w:uiPriority w:val="0"/>
    <w:rPr>
      <w:rFonts w:ascii="楷体_GB2312" w:eastAsia="楷体_GB2312"/>
      <w:color w:val="FF0000"/>
      <w:kern w:val="2"/>
      <w:sz w:val="32"/>
      <w:szCs w:val="28"/>
      <w:lang w:val="en-US" w:eastAsia="zh-CN" w:bidi="ar-SA"/>
    </w:rPr>
  </w:style>
  <w:style w:type="character" w:customStyle="1" w:styleId="521">
    <w:name w:val="正文文字缩进 3 Char"/>
    <w:qFormat/>
    <w:uiPriority w:val="0"/>
    <w:rPr>
      <w:rFonts w:ascii="宋体" w:hAnsi="宋体" w:eastAsia="宋体"/>
      <w:color w:val="000000"/>
      <w:kern w:val="2"/>
      <w:sz w:val="28"/>
      <w:szCs w:val="28"/>
      <w:lang w:val="en-US" w:eastAsia="zh-CN" w:bidi="ar-SA"/>
    </w:rPr>
  </w:style>
  <w:style w:type="character" w:customStyle="1" w:styleId="522">
    <w:name w:val="段落 Char Char"/>
    <w:qFormat/>
    <w:uiPriority w:val="0"/>
    <w:rPr>
      <w:color w:val="000000"/>
      <w:spacing w:val="6"/>
      <w:kern w:val="24"/>
      <w:sz w:val="24"/>
      <w:szCs w:val="24"/>
    </w:rPr>
  </w:style>
  <w:style w:type="character" w:customStyle="1" w:styleId="523">
    <w:name w:val="con2"/>
    <w:qFormat/>
    <w:uiPriority w:val="0"/>
    <w:rPr>
      <w:rFonts w:ascii="??" w:hAnsi="??" w:cs="Times New Roman"/>
      <w:color w:val="333333"/>
      <w:sz w:val="18"/>
      <w:szCs w:val="18"/>
    </w:rPr>
  </w:style>
  <w:style w:type="character" w:customStyle="1" w:styleId="524">
    <w:name w:val="表格 Char Char"/>
    <w:qFormat/>
    <w:uiPriority w:val="0"/>
    <w:rPr>
      <w:color w:val="000000"/>
      <w:sz w:val="21"/>
      <w:szCs w:val="24"/>
    </w:rPr>
  </w:style>
  <w:style w:type="character" w:customStyle="1" w:styleId="525">
    <w:name w:val="章节正文 Char Char"/>
    <w:link w:val="526"/>
    <w:qFormat/>
    <w:uiPriority w:val="0"/>
    <w:rPr>
      <w:rFonts w:cs="宋体"/>
      <w:sz w:val="24"/>
    </w:rPr>
  </w:style>
  <w:style w:type="paragraph" w:customStyle="1" w:styleId="526">
    <w:name w:val="章节正文"/>
    <w:basedOn w:val="1"/>
    <w:link w:val="525"/>
    <w:qFormat/>
    <w:uiPriority w:val="0"/>
    <w:pPr>
      <w:spacing w:before="156" w:after="156" w:line="360" w:lineRule="auto"/>
      <w:ind w:firstLine="480" w:firstLineChars="200"/>
    </w:pPr>
    <w:rPr>
      <w:kern w:val="0"/>
      <w:sz w:val="24"/>
      <w:szCs w:val="20"/>
      <w:lang w:val="zh-CN"/>
    </w:rPr>
  </w:style>
  <w:style w:type="character" w:customStyle="1" w:styleId="527">
    <w:name w:val="heading 5 Char Char"/>
    <w:qFormat/>
    <w:uiPriority w:val="0"/>
    <w:rPr>
      <w:rFonts w:ascii="Arial" w:hAnsi="Arial" w:eastAsia="宋体" w:cs="Arial"/>
      <w:bCs/>
      <w:kern w:val="28"/>
      <w:sz w:val="28"/>
      <w:szCs w:val="28"/>
      <w:lang w:val="en-US" w:eastAsia="zh-CN" w:bidi="ar-SA"/>
    </w:rPr>
  </w:style>
  <w:style w:type="character" w:customStyle="1" w:styleId="528">
    <w:name w:val="纯文本 Char Char Char Char"/>
    <w:qFormat/>
    <w:uiPriority w:val="0"/>
    <w:rPr>
      <w:rFonts w:ascii="宋体" w:hAnsi="Courier New" w:cs="Courier New"/>
      <w:szCs w:val="21"/>
    </w:rPr>
  </w:style>
  <w:style w:type="character" w:customStyle="1" w:styleId="529">
    <w:name w:val="样式1 Char Char"/>
    <w:qFormat/>
    <w:uiPriority w:val="0"/>
    <w:rPr>
      <w:rFonts w:ascii="楷体_GB2312" w:eastAsia="楷体_GB2312"/>
      <w:kern w:val="2"/>
      <w:sz w:val="28"/>
    </w:rPr>
  </w:style>
  <w:style w:type="character" w:customStyle="1" w:styleId="530">
    <w:name w:val="正文1 Char Char"/>
    <w:qFormat/>
    <w:uiPriority w:val="0"/>
    <w:rPr>
      <w:rFonts w:eastAsia="楷体_GB2312"/>
      <w:sz w:val="32"/>
    </w:rPr>
  </w:style>
  <w:style w:type="character" w:customStyle="1" w:styleId="531">
    <w:name w:val="style81"/>
    <w:qFormat/>
    <w:uiPriority w:val="0"/>
    <w:rPr>
      <w:rFonts w:cs="Times New Roman"/>
      <w:spacing w:val="375"/>
      <w:sz w:val="18"/>
      <w:szCs w:val="18"/>
    </w:rPr>
  </w:style>
  <w:style w:type="character" w:customStyle="1" w:styleId="532">
    <w:name w:val="图框 Char Char"/>
    <w:qFormat/>
    <w:uiPriority w:val="0"/>
    <w:rPr>
      <w:rFonts w:ascii="Arial" w:hAnsi="Arial"/>
      <w:kern w:val="2"/>
      <w:sz w:val="21"/>
      <w:szCs w:val="21"/>
    </w:rPr>
  </w:style>
  <w:style w:type="character" w:customStyle="1" w:styleId="533">
    <w:name w:val="正文文本缩进 Char1"/>
    <w:qFormat/>
    <w:uiPriority w:val="0"/>
    <w:rPr>
      <w:kern w:val="2"/>
      <w:sz w:val="28"/>
      <w:szCs w:val="28"/>
    </w:rPr>
  </w:style>
  <w:style w:type="character" w:customStyle="1" w:styleId="534">
    <w:name w:val="正文首行缩进 2 Char1"/>
    <w:qFormat/>
    <w:uiPriority w:val="0"/>
  </w:style>
  <w:style w:type="character" w:customStyle="1" w:styleId="535">
    <w:name w:val="正文文本缩进 2 Char1"/>
    <w:qFormat/>
    <w:uiPriority w:val="0"/>
    <w:rPr>
      <w:kern w:val="2"/>
      <w:sz w:val="28"/>
      <w:szCs w:val="28"/>
    </w:rPr>
  </w:style>
  <w:style w:type="character" w:customStyle="1" w:styleId="536">
    <w:name w:val="正文文本 Char1"/>
    <w:qFormat/>
    <w:uiPriority w:val="99"/>
    <w:rPr>
      <w:kern w:val="2"/>
      <w:sz w:val="28"/>
      <w:szCs w:val="28"/>
    </w:rPr>
  </w:style>
  <w:style w:type="character" w:customStyle="1" w:styleId="537">
    <w:name w:val="正文文本 3 Char2"/>
    <w:qFormat/>
    <w:uiPriority w:val="0"/>
    <w:rPr>
      <w:kern w:val="2"/>
      <w:sz w:val="16"/>
      <w:szCs w:val="16"/>
    </w:rPr>
  </w:style>
  <w:style w:type="character" w:customStyle="1" w:styleId="538">
    <w:name w:val="文档结构图 Char1"/>
    <w:qFormat/>
    <w:uiPriority w:val="0"/>
    <w:rPr>
      <w:rFonts w:ascii="宋体"/>
      <w:kern w:val="2"/>
      <w:sz w:val="18"/>
      <w:szCs w:val="18"/>
    </w:rPr>
  </w:style>
  <w:style w:type="character" w:customStyle="1" w:styleId="539">
    <w:name w:val="日期 Char1"/>
    <w:qFormat/>
    <w:uiPriority w:val="0"/>
    <w:rPr>
      <w:kern w:val="2"/>
      <w:sz w:val="28"/>
      <w:szCs w:val="28"/>
    </w:rPr>
  </w:style>
  <w:style w:type="character" w:customStyle="1" w:styleId="540">
    <w:name w:val="尾注文本 Char1"/>
    <w:qFormat/>
    <w:uiPriority w:val="0"/>
    <w:rPr>
      <w:kern w:val="2"/>
      <w:sz w:val="28"/>
      <w:szCs w:val="28"/>
    </w:rPr>
  </w:style>
  <w:style w:type="character" w:customStyle="1" w:styleId="541">
    <w:name w:val="页脚 Char1"/>
    <w:qFormat/>
    <w:uiPriority w:val="0"/>
    <w:rPr>
      <w:kern w:val="2"/>
      <w:sz w:val="18"/>
      <w:szCs w:val="18"/>
    </w:rPr>
  </w:style>
  <w:style w:type="character" w:customStyle="1" w:styleId="542">
    <w:name w:val="页眉 Char1"/>
    <w:qFormat/>
    <w:uiPriority w:val="99"/>
    <w:rPr>
      <w:kern w:val="2"/>
      <w:sz w:val="18"/>
      <w:szCs w:val="18"/>
    </w:rPr>
  </w:style>
  <w:style w:type="character" w:customStyle="1" w:styleId="543">
    <w:name w:val="正文文本缩进 3 Char1"/>
    <w:qFormat/>
    <w:uiPriority w:val="0"/>
    <w:rPr>
      <w:kern w:val="2"/>
      <w:sz w:val="16"/>
      <w:szCs w:val="16"/>
    </w:rPr>
  </w:style>
  <w:style w:type="character" w:customStyle="1" w:styleId="544">
    <w:name w:val="正文文本 2 Char2"/>
    <w:qFormat/>
    <w:uiPriority w:val="0"/>
    <w:rPr>
      <w:kern w:val="2"/>
      <w:sz w:val="28"/>
      <w:szCs w:val="28"/>
    </w:rPr>
  </w:style>
  <w:style w:type="character" w:customStyle="1" w:styleId="545">
    <w:name w:val="批注框文本 Char1"/>
    <w:qFormat/>
    <w:uiPriority w:val="0"/>
    <w:rPr>
      <w:kern w:val="2"/>
      <w:sz w:val="18"/>
      <w:szCs w:val="18"/>
    </w:rPr>
  </w:style>
  <w:style w:type="character" w:customStyle="1" w:styleId="546">
    <w:name w:val="列出段落 字符"/>
    <w:link w:val="547"/>
    <w:qFormat/>
    <w:uiPriority w:val="34"/>
    <w:rPr>
      <w:rFonts w:ascii="Times New Roman" w:hAnsi="Times New Roman" w:eastAsia="宋体" w:cs="Times New Roman"/>
      <w:kern w:val="2"/>
      <w:sz w:val="21"/>
      <w:szCs w:val="24"/>
      <w:lang w:val="zh-CN"/>
    </w:rPr>
  </w:style>
  <w:style w:type="paragraph" w:styleId="547">
    <w:name w:val="List Paragraph"/>
    <w:basedOn w:val="1"/>
    <w:link w:val="546"/>
    <w:qFormat/>
    <w:uiPriority w:val="34"/>
    <w:pPr>
      <w:widowControl w:val="0"/>
      <w:spacing w:line="360" w:lineRule="auto"/>
      <w:jc w:val="center"/>
    </w:pPr>
    <w:rPr>
      <w:lang w:val="zh-CN"/>
    </w:rPr>
  </w:style>
  <w:style w:type="character" w:customStyle="1" w:styleId="548">
    <w:name w:val="章节正文 Char"/>
    <w:qFormat/>
    <w:uiPriority w:val="0"/>
    <w:rPr>
      <w:rFonts w:eastAsia="宋体" w:cs="宋体"/>
      <w:kern w:val="2"/>
      <w:sz w:val="24"/>
      <w:lang w:val="en-US" w:eastAsia="zh-CN" w:bidi="ar-SA"/>
    </w:rPr>
  </w:style>
  <w:style w:type="character" w:customStyle="1" w:styleId="549">
    <w:name w:val="Char Char26"/>
    <w:qFormat/>
    <w:uiPriority w:val="0"/>
    <w:rPr>
      <w:rFonts w:ascii="Arial" w:hAnsi="Arial" w:eastAsia="宋体"/>
      <w:bCs/>
      <w:snapToGrid/>
      <w:color w:val="000000"/>
      <w:sz w:val="28"/>
      <w:szCs w:val="28"/>
      <w:lang w:val="en-US" w:eastAsia="zh-CN" w:bidi="ar-SA"/>
    </w:rPr>
  </w:style>
  <w:style w:type="character" w:customStyle="1" w:styleId="550">
    <w:name w:val="Char Char25"/>
    <w:qFormat/>
    <w:uiPriority w:val="0"/>
    <w:rPr>
      <w:rFonts w:ascii="Arial" w:hAnsi="Arial" w:eastAsia="宋体"/>
      <w:bCs/>
      <w:snapToGrid/>
      <w:kern w:val="28"/>
      <w:sz w:val="28"/>
      <w:szCs w:val="28"/>
      <w:lang w:val="en-US" w:eastAsia="zh-CN" w:bidi="ar-SA"/>
    </w:rPr>
  </w:style>
  <w:style w:type="character" w:customStyle="1" w:styleId="551">
    <w:name w:val="Char Char24"/>
    <w:qFormat/>
    <w:uiPriority w:val="0"/>
    <w:rPr>
      <w:rFonts w:ascii="Arial" w:hAnsi="Arial" w:eastAsia="黑体"/>
      <w:b/>
      <w:bCs/>
      <w:kern w:val="2"/>
      <w:sz w:val="24"/>
      <w:szCs w:val="24"/>
      <w:lang w:val="en-US" w:eastAsia="zh-CN" w:bidi="ar-SA"/>
    </w:rPr>
  </w:style>
  <w:style w:type="character" w:customStyle="1" w:styleId="552">
    <w:name w:val="Body Text Indent Char"/>
    <w:qFormat/>
    <w:locked/>
    <w:uiPriority w:val="0"/>
    <w:rPr>
      <w:rFonts w:ascii="楷体_GB2312" w:eastAsia="楷体_GB2312"/>
      <w:kern w:val="2"/>
      <w:sz w:val="32"/>
      <w:lang w:val="en-US" w:eastAsia="zh-CN" w:bidi="ar-SA"/>
    </w:rPr>
  </w:style>
  <w:style w:type="character" w:customStyle="1" w:styleId="553">
    <w:name w:val="标题2 Char"/>
    <w:link w:val="554"/>
    <w:qFormat/>
    <w:uiPriority w:val="0"/>
    <w:rPr>
      <w:rFonts w:ascii="Arial" w:hAnsi="Arial" w:eastAsia="黑体"/>
      <w:b/>
      <w:sz w:val="26"/>
      <w:szCs w:val="26"/>
    </w:rPr>
  </w:style>
  <w:style w:type="paragraph" w:customStyle="1" w:styleId="554">
    <w:name w:val="标题2"/>
    <w:basedOn w:val="1"/>
    <w:link w:val="553"/>
    <w:qFormat/>
    <w:uiPriority w:val="0"/>
    <w:pPr>
      <w:tabs>
        <w:tab w:val="left" w:pos="680"/>
      </w:tabs>
      <w:adjustRightInd w:val="0"/>
      <w:snapToGrid w:val="0"/>
      <w:spacing w:beforeLines="50" w:line="460" w:lineRule="atLeast"/>
      <w:outlineLvl w:val="1"/>
    </w:pPr>
    <w:rPr>
      <w:rFonts w:ascii="Arial" w:hAnsi="Arial" w:eastAsia="黑体"/>
      <w:b/>
      <w:kern w:val="0"/>
      <w:sz w:val="26"/>
      <w:szCs w:val="26"/>
      <w:lang w:val="zh-CN"/>
    </w:rPr>
  </w:style>
  <w:style w:type="character" w:customStyle="1" w:styleId="555">
    <w:name w:val="Body Text Indent 2 Char"/>
    <w:qFormat/>
    <w:locked/>
    <w:uiPriority w:val="0"/>
    <w:rPr>
      <w:rFonts w:ascii="宋体" w:hAnsi="宋体" w:eastAsia="宋体" w:cs="Times New Roman"/>
      <w:sz w:val="28"/>
      <w:szCs w:val="28"/>
    </w:rPr>
  </w:style>
  <w:style w:type="character" w:customStyle="1" w:styleId="556">
    <w:name w:val="Header Char"/>
    <w:qFormat/>
    <w:locked/>
    <w:uiPriority w:val="0"/>
    <w:rPr>
      <w:rFonts w:ascii="Times New Roman" w:hAnsi="Times New Roman" w:eastAsia="宋体" w:cs="Times New Roman"/>
      <w:sz w:val="18"/>
      <w:szCs w:val="18"/>
    </w:rPr>
  </w:style>
  <w:style w:type="character" w:customStyle="1" w:styleId="557">
    <w:name w:val="Footer Char"/>
    <w:qFormat/>
    <w:locked/>
    <w:uiPriority w:val="0"/>
    <w:rPr>
      <w:rFonts w:ascii="Times New Roman" w:hAnsi="Times New Roman" w:eastAsia="宋体" w:cs="Times New Roman"/>
      <w:sz w:val="18"/>
      <w:szCs w:val="18"/>
    </w:rPr>
  </w:style>
  <w:style w:type="character" w:customStyle="1" w:styleId="558">
    <w:name w:val="样式 正文xxxxx + 首行缩进:  2 字符 Char"/>
    <w:link w:val="559"/>
    <w:qFormat/>
    <w:uiPriority w:val="0"/>
    <w:rPr>
      <w:rFonts w:ascii="Arial" w:hAnsi="Arial"/>
      <w:color w:val="000000"/>
      <w:kern w:val="2"/>
      <w:sz w:val="28"/>
    </w:rPr>
  </w:style>
  <w:style w:type="paragraph" w:customStyle="1" w:styleId="559">
    <w:name w:val="样式 正文xxxxx + 首行缩进:  2 字符"/>
    <w:basedOn w:val="1"/>
    <w:link w:val="558"/>
    <w:qFormat/>
    <w:uiPriority w:val="0"/>
    <w:pPr>
      <w:spacing w:line="360" w:lineRule="auto"/>
      <w:ind w:firstLine="200" w:firstLineChars="200"/>
    </w:pPr>
    <w:rPr>
      <w:rFonts w:ascii="Arial" w:hAnsi="Arial"/>
      <w:color w:val="000000"/>
      <w:sz w:val="28"/>
      <w:szCs w:val="20"/>
      <w:lang w:val="zh-CN"/>
    </w:rPr>
  </w:style>
  <w:style w:type="character" w:customStyle="1" w:styleId="560">
    <w:name w:val="lefter2"/>
    <w:qFormat/>
    <w:uiPriority w:val="0"/>
  </w:style>
  <w:style w:type="character" w:customStyle="1" w:styleId="561">
    <w:name w:val="Char Char11"/>
    <w:qFormat/>
    <w:uiPriority w:val="0"/>
    <w:rPr>
      <w:rFonts w:ascii="Times New Roman" w:hAnsi="Times New Roman" w:eastAsia="宋体" w:cs="Times New Roman"/>
      <w:szCs w:val="24"/>
    </w:rPr>
  </w:style>
  <w:style w:type="character" w:customStyle="1" w:styleId="562">
    <w:name w:val="样式 四号 Char Char"/>
    <w:qFormat/>
    <w:uiPriority w:val="0"/>
    <w:rPr>
      <w:rFonts w:eastAsia="宋体"/>
      <w:kern w:val="2"/>
      <w:sz w:val="28"/>
      <w:szCs w:val="28"/>
      <w:lang w:val="en-US" w:eastAsia="zh-CN" w:bidi="ar-SA"/>
    </w:rPr>
  </w:style>
  <w:style w:type="character" w:customStyle="1" w:styleId="563">
    <w:name w:val="Char Char12"/>
    <w:qFormat/>
    <w:uiPriority w:val="0"/>
    <w:rPr>
      <w:rFonts w:ascii="Times New Roman" w:hAnsi="Times New Roman" w:eastAsia="宋体" w:cs="Times New Roman"/>
      <w:sz w:val="28"/>
      <w:szCs w:val="24"/>
    </w:rPr>
  </w:style>
  <w:style w:type="character" w:customStyle="1" w:styleId="564">
    <w:name w:val="Date Char"/>
    <w:qFormat/>
    <w:locked/>
    <w:uiPriority w:val="0"/>
    <w:rPr>
      <w:rFonts w:ascii="Times New Roman" w:hAnsi="Times New Roman" w:eastAsia="楷体_GB2312" w:cs="Times New Roman"/>
      <w:kern w:val="0"/>
      <w:sz w:val="28"/>
      <w:szCs w:val="28"/>
    </w:rPr>
  </w:style>
  <w:style w:type="character" w:customStyle="1" w:styleId="565">
    <w:name w:val="Char Char8"/>
    <w:qFormat/>
    <w:uiPriority w:val="0"/>
    <w:rPr>
      <w:rFonts w:eastAsia="宋体"/>
      <w:kern w:val="2"/>
      <w:sz w:val="28"/>
      <w:szCs w:val="28"/>
      <w:lang w:val="en-US" w:eastAsia="zh-CN" w:bidi="ar-SA"/>
    </w:rPr>
  </w:style>
  <w:style w:type="character" w:customStyle="1" w:styleId="566">
    <w:name w:val="四左 Char"/>
    <w:link w:val="567"/>
    <w:qFormat/>
    <w:uiPriority w:val="99"/>
    <w:rPr>
      <w:spacing w:val="-6"/>
      <w:sz w:val="28"/>
      <w:szCs w:val="28"/>
    </w:rPr>
  </w:style>
  <w:style w:type="paragraph" w:customStyle="1" w:styleId="567">
    <w:name w:val="四左"/>
    <w:basedOn w:val="1"/>
    <w:link w:val="566"/>
    <w:qFormat/>
    <w:uiPriority w:val="99"/>
    <w:pPr>
      <w:adjustRightInd w:val="0"/>
      <w:snapToGrid w:val="0"/>
      <w:spacing w:line="360" w:lineRule="auto"/>
      <w:ind w:firstLine="536" w:firstLineChars="200"/>
    </w:pPr>
    <w:rPr>
      <w:spacing w:val="-6"/>
      <w:kern w:val="0"/>
      <w:sz w:val="28"/>
      <w:szCs w:val="28"/>
      <w:lang w:val="zh-CN"/>
    </w:rPr>
  </w:style>
  <w:style w:type="character" w:customStyle="1" w:styleId="568">
    <w:name w:val="No Spacing Char"/>
    <w:qFormat/>
    <w:locked/>
    <w:uiPriority w:val="0"/>
    <w:rPr>
      <w:rFonts w:ascii="Calibri" w:hAnsi="Calibri" w:eastAsia="宋体" w:cs="Times New Roman"/>
      <w:kern w:val="0"/>
      <w:sz w:val="22"/>
    </w:rPr>
  </w:style>
  <w:style w:type="character" w:customStyle="1" w:styleId="569">
    <w:name w:val="不明显强调1"/>
    <w:qFormat/>
    <w:uiPriority w:val="19"/>
    <w:rPr>
      <w:i/>
      <w:iCs/>
      <w:color w:val="808080"/>
    </w:rPr>
  </w:style>
  <w:style w:type="character" w:customStyle="1" w:styleId="570">
    <w:name w:val="正文R Char"/>
    <w:link w:val="571"/>
    <w:qFormat/>
    <w:uiPriority w:val="0"/>
    <w:rPr>
      <w:color w:val="000000"/>
      <w:kern w:val="2"/>
      <w:sz w:val="24"/>
      <w:szCs w:val="24"/>
    </w:rPr>
  </w:style>
  <w:style w:type="paragraph" w:customStyle="1" w:styleId="571">
    <w:name w:val="正文R"/>
    <w:basedOn w:val="1"/>
    <w:link w:val="570"/>
    <w:qFormat/>
    <w:uiPriority w:val="0"/>
    <w:pPr>
      <w:spacing w:before="100" w:beforeAutospacing="1" w:after="100" w:afterAutospacing="1" w:line="360" w:lineRule="auto"/>
      <w:ind w:firstLine="420"/>
    </w:pPr>
    <w:rPr>
      <w:color w:val="000000"/>
      <w:sz w:val="24"/>
      <w:lang w:val="zh-CN"/>
    </w:rPr>
  </w:style>
  <w:style w:type="character" w:customStyle="1" w:styleId="572">
    <w:name w:val="正文-1 Char"/>
    <w:link w:val="573"/>
    <w:qFormat/>
    <w:uiPriority w:val="0"/>
    <w:rPr>
      <w:kern w:val="2"/>
      <w:sz w:val="24"/>
    </w:rPr>
  </w:style>
  <w:style w:type="paragraph" w:customStyle="1" w:styleId="573">
    <w:name w:val="正文-1"/>
    <w:basedOn w:val="1"/>
    <w:link w:val="572"/>
    <w:qFormat/>
    <w:uiPriority w:val="0"/>
    <w:pPr>
      <w:adjustRightInd w:val="0"/>
      <w:spacing w:line="440" w:lineRule="exact"/>
      <w:ind w:firstLine="200" w:firstLineChars="200"/>
    </w:pPr>
    <w:rPr>
      <w:sz w:val="24"/>
      <w:szCs w:val="20"/>
      <w:lang w:val="zh-CN"/>
    </w:rPr>
  </w:style>
  <w:style w:type="character" w:customStyle="1" w:styleId="574">
    <w:name w:val="标准正文 Char"/>
    <w:link w:val="575"/>
    <w:qFormat/>
    <w:locked/>
    <w:uiPriority w:val="0"/>
    <w:rPr>
      <w:kern w:val="2"/>
      <w:sz w:val="24"/>
    </w:rPr>
  </w:style>
  <w:style w:type="paragraph" w:customStyle="1" w:styleId="575">
    <w:name w:val="标准正文"/>
    <w:basedOn w:val="1"/>
    <w:link w:val="574"/>
    <w:qFormat/>
    <w:uiPriority w:val="0"/>
    <w:pPr>
      <w:spacing w:before="156" w:after="156" w:line="360" w:lineRule="auto"/>
      <w:ind w:firstLine="480" w:firstLineChars="200"/>
    </w:pPr>
    <w:rPr>
      <w:sz w:val="24"/>
      <w:szCs w:val="20"/>
      <w:lang w:val="zh-CN"/>
    </w:rPr>
  </w:style>
  <w:style w:type="character" w:customStyle="1" w:styleId="576">
    <w:name w:val="font01"/>
    <w:qFormat/>
    <w:uiPriority w:val="0"/>
    <w:rPr>
      <w:rFonts w:hint="eastAsia" w:ascii="宋体" w:hAnsi="宋体" w:eastAsia="宋体" w:cs="宋体"/>
      <w:color w:val="000000"/>
      <w:sz w:val="24"/>
      <w:szCs w:val="24"/>
      <w:u w:val="none"/>
    </w:rPr>
  </w:style>
  <w:style w:type="character" w:customStyle="1" w:styleId="577">
    <w:name w:val="font31"/>
    <w:qFormat/>
    <w:uiPriority w:val="0"/>
    <w:rPr>
      <w:rFonts w:hint="eastAsia" w:ascii="宋体" w:hAnsi="宋体" w:eastAsia="宋体" w:cs="宋体"/>
      <w:color w:val="000000"/>
      <w:sz w:val="28"/>
      <w:szCs w:val="28"/>
      <w:u w:val="none"/>
    </w:rPr>
  </w:style>
  <w:style w:type="character" w:customStyle="1" w:styleId="578">
    <w:name w:val="正文-修改 Char"/>
    <w:link w:val="579"/>
    <w:qFormat/>
    <w:uiPriority w:val="0"/>
    <w:rPr>
      <w:bCs/>
      <w:spacing w:val="6"/>
      <w:kern w:val="2"/>
      <w:sz w:val="26"/>
      <w:szCs w:val="26"/>
    </w:rPr>
  </w:style>
  <w:style w:type="paragraph" w:customStyle="1" w:styleId="579">
    <w:name w:val="正文-修改"/>
    <w:basedOn w:val="1"/>
    <w:link w:val="578"/>
    <w:qFormat/>
    <w:uiPriority w:val="0"/>
    <w:pPr>
      <w:adjustRightInd w:val="0"/>
      <w:snapToGrid w:val="0"/>
      <w:spacing w:line="440" w:lineRule="exact"/>
    </w:pPr>
    <w:rPr>
      <w:bCs/>
      <w:spacing w:val="6"/>
      <w:sz w:val="26"/>
      <w:szCs w:val="26"/>
      <w:lang w:val="zh-CN"/>
    </w:rPr>
  </w:style>
  <w:style w:type="character" w:customStyle="1" w:styleId="580">
    <w:name w:val="style91"/>
    <w:qFormat/>
    <w:uiPriority w:val="0"/>
    <w:rPr>
      <w:b/>
      <w:bCs/>
      <w:color w:val="333333"/>
      <w:sz w:val="19"/>
      <w:szCs w:val="19"/>
    </w:rPr>
  </w:style>
  <w:style w:type="character" w:customStyle="1" w:styleId="581">
    <w:name w:val="标题12"/>
    <w:qFormat/>
    <w:uiPriority w:val="0"/>
  </w:style>
  <w:style w:type="character" w:customStyle="1" w:styleId="582">
    <w:name w:val="title_21"/>
    <w:qFormat/>
    <w:uiPriority w:val="0"/>
    <w:rPr>
      <w:b/>
      <w:bCs/>
      <w:color w:val="0066CC"/>
      <w:sz w:val="24"/>
      <w:szCs w:val="24"/>
    </w:rPr>
  </w:style>
  <w:style w:type="character" w:customStyle="1" w:styleId="583">
    <w:name w:val="标题4 Char Char"/>
    <w:qFormat/>
    <w:uiPriority w:val="0"/>
    <w:rPr>
      <w:rFonts w:ascii="Cambria" w:hAnsi="Cambria" w:eastAsia="黑体"/>
      <w:b/>
      <w:bCs/>
      <w:color w:val="000000"/>
      <w:kern w:val="2"/>
      <w:sz w:val="24"/>
      <w:szCs w:val="32"/>
      <w:u w:color="000000"/>
    </w:rPr>
  </w:style>
  <w:style w:type="character" w:customStyle="1" w:styleId="584">
    <w:name w:val="listcontents1"/>
    <w:qFormat/>
    <w:uiPriority w:val="0"/>
    <w:rPr>
      <w:color w:val="000000"/>
      <w:sz w:val="14"/>
      <w:szCs w:val="14"/>
    </w:rPr>
  </w:style>
  <w:style w:type="character" w:customStyle="1" w:styleId="585">
    <w:name w:val="样式 标题 1 + (中文) 宋体1 Char Char"/>
    <w:link w:val="586"/>
    <w:qFormat/>
    <w:uiPriority w:val="0"/>
    <w:rPr>
      <w:b/>
      <w:sz w:val="28"/>
    </w:rPr>
  </w:style>
  <w:style w:type="paragraph" w:customStyle="1" w:styleId="586">
    <w:name w:val="样式 标题 1 + (中文) 宋体1"/>
    <w:basedOn w:val="3"/>
    <w:link w:val="585"/>
    <w:qFormat/>
    <w:uiPriority w:val="0"/>
    <w:pPr>
      <w:keepLines w:val="0"/>
      <w:spacing w:before="0" w:after="0" w:line="240" w:lineRule="auto"/>
    </w:pPr>
    <w:rPr>
      <w:bCs w:val="0"/>
      <w:kern w:val="0"/>
      <w:sz w:val="28"/>
      <w:szCs w:val="20"/>
      <w:lang w:val="zh-CN"/>
    </w:rPr>
  </w:style>
  <w:style w:type="character" w:customStyle="1" w:styleId="587">
    <w:name w:val="标题1 Char"/>
    <w:qFormat/>
    <w:uiPriority w:val="0"/>
    <w:rPr>
      <w:rFonts w:ascii="黑体" w:hAnsi="Times New Roman" w:eastAsia="黑体" w:cs="Times New Roman"/>
      <w:snapToGrid w:val="0"/>
      <w:color w:val="000000"/>
      <w:kern w:val="0"/>
      <w:sz w:val="26"/>
      <w:szCs w:val="44"/>
    </w:rPr>
  </w:style>
  <w:style w:type="character" w:customStyle="1" w:styleId="588">
    <w:name w:val="aaa"/>
    <w:qFormat/>
    <w:uiPriority w:val="0"/>
  </w:style>
  <w:style w:type="character" w:customStyle="1" w:styleId="589">
    <w:name w:val="pr101"/>
    <w:qFormat/>
    <w:uiPriority w:val="0"/>
  </w:style>
  <w:style w:type="character" w:customStyle="1" w:styleId="590">
    <w:name w:val="style51"/>
    <w:qFormat/>
    <w:uiPriority w:val="0"/>
    <w:rPr>
      <w:sz w:val="29"/>
      <w:szCs w:val="29"/>
    </w:rPr>
  </w:style>
  <w:style w:type="character" w:customStyle="1" w:styleId="591">
    <w:name w:val="纯文本 Char2"/>
    <w:qFormat/>
    <w:uiPriority w:val="0"/>
    <w:rPr>
      <w:rFonts w:ascii="宋体" w:hAnsi="Courier New" w:eastAsia="宋体" w:cs="Times New Roman"/>
      <w:sz w:val="18"/>
      <w:szCs w:val="24"/>
    </w:rPr>
  </w:style>
  <w:style w:type="character" w:customStyle="1" w:styleId="592">
    <w:name w:val="Char Char6"/>
    <w:qFormat/>
    <w:uiPriority w:val="0"/>
    <w:rPr>
      <w:rFonts w:ascii="Arial" w:hAnsi="Arial" w:cs="Arial"/>
      <w:vanish/>
      <w:sz w:val="16"/>
      <w:szCs w:val="16"/>
    </w:rPr>
  </w:style>
  <w:style w:type="character" w:customStyle="1" w:styleId="593">
    <w:name w:val="Char Char9"/>
    <w:qFormat/>
    <w:uiPriority w:val="0"/>
    <w:rPr>
      <w:kern w:val="2"/>
      <w:sz w:val="21"/>
      <w:szCs w:val="24"/>
      <w:shd w:val="clear" w:color="auto" w:fill="000080"/>
    </w:rPr>
  </w:style>
  <w:style w:type="character" w:customStyle="1" w:styleId="594">
    <w:name w:val="z-窗体顶端 Char2"/>
    <w:link w:val="595"/>
    <w:qFormat/>
    <w:uiPriority w:val="99"/>
    <w:rPr>
      <w:rFonts w:ascii="Arial" w:hAnsi="Arial" w:cs="Arial"/>
      <w:vanish/>
      <w:color w:val="000000"/>
      <w:spacing w:val="6"/>
      <w:kern w:val="2"/>
      <w:sz w:val="16"/>
      <w:szCs w:val="16"/>
    </w:rPr>
  </w:style>
  <w:style w:type="paragraph" w:customStyle="1" w:styleId="595">
    <w:name w:val="z-窗体顶端2"/>
    <w:basedOn w:val="1"/>
    <w:next w:val="1"/>
    <w:link w:val="594"/>
    <w:qFormat/>
    <w:uiPriority w:val="0"/>
    <w:pPr>
      <w:pBdr>
        <w:bottom w:val="single" w:color="auto" w:sz="6" w:space="1"/>
      </w:pBdr>
      <w:jc w:val="center"/>
    </w:pPr>
    <w:rPr>
      <w:rFonts w:ascii="Arial" w:hAnsi="Arial" w:cs="Arial"/>
      <w:vanish/>
      <w:color w:val="000000"/>
      <w:spacing w:val="6"/>
      <w:sz w:val="16"/>
      <w:szCs w:val="16"/>
    </w:rPr>
  </w:style>
  <w:style w:type="character" w:customStyle="1" w:styleId="596">
    <w:name w:val="Char Char51"/>
    <w:qFormat/>
    <w:uiPriority w:val="0"/>
    <w:rPr>
      <w:rFonts w:ascii="Arial" w:hAnsi="Arial" w:cs="Arial"/>
      <w:vanish/>
      <w:sz w:val="16"/>
      <w:szCs w:val="16"/>
    </w:rPr>
  </w:style>
  <w:style w:type="character" w:customStyle="1" w:styleId="597">
    <w:name w:val="总标题 Char"/>
    <w:link w:val="598"/>
    <w:qFormat/>
    <w:uiPriority w:val="0"/>
    <w:rPr>
      <w:rFonts w:eastAsia="仿宋_GB2312"/>
      <w:b/>
      <w:bCs/>
      <w:sz w:val="32"/>
      <w:szCs w:val="32"/>
    </w:rPr>
  </w:style>
  <w:style w:type="paragraph" w:customStyle="1" w:styleId="598">
    <w:name w:val="总标题"/>
    <w:basedOn w:val="57"/>
    <w:next w:val="1"/>
    <w:link w:val="597"/>
    <w:qFormat/>
    <w:uiPriority w:val="0"/>
    <w:pPr>
      <w:pBdr>
        <w:bottom w:val="none" w:color="auto" w:sz="0" w:space="0"/>
      </w:pBdr>
      <w:tabs>
        <w:tab w:val="clear" w:pos="4153"/>
        <w:tab w:val="clear" w:pos="8306"/>
      </w:tabs>
      <w:spacing w:line="500" w:lineRule="exact"/>
      <w:textAlignment w:val="auto"/>
      <w:outlineLvl w:val="0"/>
    </w:pPr>
    <w:rPr>
      <w:rFonts w:eastAsia="仿宋_GB2312"/>
      <w:b/>
      <w:bCs/>
      <w:kern w:val="0"/>
      <w:sz w:val="32"/>
      <w:szCs w:val="32"/>
      <w:lang w:val="zh-CN"/>
    </w:rPr>
  </w:style>
  <w:style w:type="character" w:customStyle="1" w:styleId="599">
    <w:name w:val="font51"/>
    <w:qFormat/>
    <w:uiPriority w:val="0"/>
    <w:rPr>
      <w:rFonts w:hint="eastAsia" w:ascii="宋体" w:hAnsi="宋体" w:eastAsia="宋体" w:cs="宋体"/>
      <w:color w:val="000000"/>
      <w:sz w:val="20"/>
      <w:szCs w:val="20"/>
      <w:u w:val="none"/>
    </w:rPr>
  </w:style>
  <w:style w:type="character" w:customStyle="1" w:styleId="600">
    <w:name w:val="表右2 Char"/>
    <w:link w:val="601"/>
    <w:qFormat/>
    <w:uiPriority w:val="0"/>
    <w:rPr>
      <w:szCs w:val="21"/>
    </w:rPr>
  </w:style>
  <w:style w:type="paragraph" w:customStyle="1" w:styleId="601">
    <w:name w:val="表右2"/>
    <w:basedOn w:val="1"/>
    <w:link w:val="600"/>
    <w:qFormat/>
    <w:uiPriority w:val="0"/>
    <w:pPr>
      <w:adjustRightInd w:val="0"/>
      <w:snapToGrid w:val="0"/>
      <w:spacing w:line="440" w:lineRule="exact"/>
      <w:jc w:val="right"/>
    </w:pPr>
    <w:rPr>
      <w:kern w:val="0"/>
      <w:sz w:val="20"/>
      <w:szCs w:val="21"/>
      <w:lang w:val="zh-CN"/>
    </w:rPr>
  </w:style>
  <w:style w:type="character" w:customStyle="1" w:styleId="602">
    <w:name w:val="Char Char39"/>
    <w:qFormat/>
    <w:uiPriority w:val="0"/>
    <w:rPr>
      <w:rFonts w:eastAsia="宋体"/>
      <w:kern w:val="2"/>
      <w:sz w:val="18"/>
      <w:szCs w:val="18"/>
      <w:lang w:val="en-US" w:eastAsia="zh-CN" w:bidi="ar-SA"/>
    </w:rPr>
  </w:style>
  <w:style w:type="character" w:customStyle="1" w:styleId="603">
    <w:name w:val="单位 Char"/>
    <w:link w:val="604"/>
    <w:qFormat/>
    <w:uiPriority w:val="0"/>
    <w:rPr>
      <w:sz w:val="18"/>
      <w:szCs w:val="21"/>
    </w:rPr>
  </w:style>
  <w:style w:type="paragraph" w:customStyle="1" w:styleId="604">
    <w:name w:val="单位"/>
    <w:basedOn w:val="1"/>
    <w:link w:val="603"/>
    <w:qFormat/>
    <w:uiPriority w:val="0"/>
    <w:pPr>
      <w:adjustRightInd w:val="0"/>
      <w:snapToGrid w:val="0"/>
      <w:spacing w:line="440" w:lineRule="exact"/>
      <w:jc w:val="right"/>
    </w:pPr>
    <w:rPr>
      <w:kern w:val="0"/>
      <w:sz w:val="18"/>
      <w:szCs w:val="21"/>
      <w:lang w:val="zh-CN"/>
    </w:rPr>
  </w:style>
  <w:style w:type="character" w:customStyle="1" w:styleId="605">
    <w:name w:val="style181"/>
    <w:qFormat/>
    <w:uiPriority w:val="0"/>
    <w:rPr>
      <w:b/>
      <w:bCs/>
      <w:color w:val="FF0000"/>
      <w:sz w:val="36"/>
      <w:szCs w:val="36"/>
    </w:rPr>
  </w:style>
  <w:style w:type="character" w:customStyle="1" w:styleId="606">
    <w:name w:val="我的标题2 Char"/>
    <w:link w:val="607"/>
    <w:qFormat/>
    <w:uiPriority w:val="0"/>
    <w:rPr>
      <w:rFonts w:ascii="宋体" w:hAnsi="宋体"/>
      <w:kern w:val="44"/>
      <w:sz w:val="26"/>
    </w:rPr>
  </w:style>
  <w:style w:type="paragraph" w:customStyle="1" w:styleId="607">
    <w:name w:val="我的标题2"/>
    <w:basedOn w:val="6"/>
    <w:link w:val="606"/>
    <w:qFormat/>
    <w:uiPriority w:val="0"/>
    <w:pPr>
      <w:adjustRightInd w:val="0"/>
      <w:snapToGrid w:val="0"/>
      <w:spacing w:line="460" w:lineRule="atLeast"/>
      <w:ind w:firstLine="200" w:firstLineChars="200"/>
    </w:pPr>
    <w:rPr>
      <w:rFonts w:ascii="宋体" w:hAnsi="宋体"/>
      <w:b w:val="0"/>
      <w:bCs w:val="0"/>
      <w:kern w:val="44"/>
      <w:sz w:val="26"/>
      <w:szCs w:val="20"/>
      <w:lang w:val="zh-CN"/>
    </w:rPr>
  </w:style>
  <w:style w:type="character" w:customStyle="1" w:styleId="608">
    <w:name w:val="z-窗体底端 字符"/>
    <w:link w:val="609"/>
    <w:qFormat/>
    <w:uiPriority w:val="0"/>
    <w:rPr>
      <w:rFonts w:ascii="Arial" w:hAnsi="Arial"/>
      <w:vanish/>
      <w:sz w:val="16"/>
      <w:szCs w:val="16"/>
    </w:rPr>
  </w:style>
  <w:style w:type="paragraph" w:customStyle="1" w:styleId="609">
    <w:name w:val="z-窗体底端1"/>
    <w:basedOn w:val="1"/>
    <w:next w:val="1"/>
    <w:link w:val="608"/>
    <w:qFormat/>
    <w:uiPriority w:val="0"/>
    <w:pPr>
      <w:pBdr>
        <w:top w:val="single" w:color="auto" w:sz="6" w:space="1"/>
      </w:pBdr>
      <w:adjustRightInd w:val="0"/>
      <w:snapToGrid w:val="0"/>
      <w:spacing w:line="440" w:lineRule="exact"/>
      <w:jc w:val="center"/>
    </w:pPr>
    <w:rPr>
      <w:rFonts w:ascii="Arial" w:hAnsi="Arial"/>
      <w:vanish/>
      <w:kern w:val="0"/>
      <w:sz w:val="16"/>
      <w:szCs w:val="16"/>
      <w:lang w:val="zh-CN"/>
    </w:rPr>
  </w:style>
  <w:style w:type="character" w:customStyle="1" w:styleId="610">
    <w:name w:val="模板正文 Char"/>
    <w:link w:val="611"/>
    <w:qFormat/>
    <w:uiPriority w:val="0"/>
    <w:rPr>
      <w:sz w:val="24"/>
      <w:szCs w:val="21"/>
    </w:rPr>
  </w:style>
  <w:style w:type="paragraph" w:customStyle="1" w:styleId="611">
    <w:name w:val="模板正文"/>
    <w:basedOn w:val="1"/>
    <w:link w:val="610"/>
    <w:qFormat/>
    <w:uiPriority w:val="0"/>
    <w:pPr>
      <w:adjustRightInd w:val="0"/>
      <w:snapToGrid w:val="0"/>
      <w:spacing w:afterLines="50" w:line="360" w:lineRule="auto"/>
      <w:ind w:firstLine="200" w:firstLineChars="200"/>
    </w:pPr>
    <w:rPr>
      <w:kern w:val="0"/>
      <w:sz w:val="24"/>
      <w:szCs w:val="21"/>
      <w:lang w:val="zh-CN"/>
    </w:rPr>
  </w:style>
  <w:style w:type="character" w:customStyle="1" w:styleId="612">
    <w:name w:val="题注 字符1"/>
    <w:link w:val="22"/>
    <w:qFormat/>
    <w:uiPriority w:val="0"/>
    <w:rPr>
      <w:rFonts w:ascii="Arial" w:hAnsi="Arial" w:eastAsia="黑体" w:cs="Arial"/>
      <w:kern w:val="2"/>
    </w:rPr>
  </w:style>
  <w:style w:type="character" w:customStyle="1" w:styleId="613">
    <w:name w:val="标题1.1 Char"/>
    <w:link w:val="614"/>
    <w:qFormat/>
    <w:uiPriority w:val="0"/>
    <w:rPr>
      <w:rFonts w:ascii="黑体" w:eastAsia="黑体"/>
      <w:color w:val="000000"/>
      <w:sz w:val="26"/>
      <w:szCs w:val="26"/>
    </w:rPr>
  </w:style>
  <w:style w:type="paragraph" w:customStyle="1" w:styleId="614">
    <w:name w:val="标题1.1"/>
    <w:basedOn w:val="3"/>
    <w:link w:val="613"/>
    <w:qFormat/>
    <w:uiPriority w:val="0"/>
    <w:pPr>
      <w:keepNext w:val="0"/>
      <w:keepLines w:val="0"/>
      <w:tabs>
        <w:tab w:val="right" w:leader="middleDot" w:pos="849"/>
        <w:tab w:val="right" w:leader="middleDot" w:pos="8490"/>
      </w:tabs>
      <w:suppressAutoHyphens/>
      <w:adjustRightInd w:val="0"/>
      <w:snapToGrid w:val="0"/>
      <w:spacing w:before="0" w:after="0" w:line="460" w:lineRule="exact"/>
    </w:pPr>
    <w:rPr>
      <w:rFonts w:ascii="黑体" w:eastAsia="黑体"/>
      <w:b w:val="0"/>
      <w:bCs w:val="0"/>
      <w:color w:val="000000"/>
      <w:kern w:val="0"/>
      <w:sz w:val="26"/>
      <w:szCs w:val="26"/>
      <w:lang w:val="zh-CN"/>
    </w:rPr>
  </w:style>
  <w:style w:type="character" w:customStyle="1" w:styleId="615">
    <w:name w:val="标题1.1.1 Char"/>
    <w:link w:val="616"/>
    <w:qFormat/>
    <w:uiPriority w:val="0"/>
    <w:rPr>
      <w:rFonts w:ascii="黑体" w:eastAsia="黑体"/>
      <w:color w:val="000000"/>
      <w:sz w:val="26"/>
      <w:szCs w:val="26"/>
    </w:rPr>
  </w:style>
  <w:style w:type="paragraph" w:customStyle="1" w:styleId="616">
    <w:name w:val="标题1.1.1"/>
    <w:basedOn w:val="3"/>
    <w:link w:val="615"/>
    <w:qFormat/>
    <w:uiPriority w:val="0"/>
    <w:pPr>
      <w:keepNext w:val="0"/>
      <w:keepLines w:val="0"/>
      <w:tabs>
        <w:tab w:val="right" w:leader="middleDot" w:pos="849"/>
        <w:tab w:val="right" w:leader="middleDot" w:pos="8490"/>
      </w:tabs>
      <w:suppressAutoHyphens/>
      <w:adjustRightInd w:val="0"/>
      <w:snapToGrid w:val="0"/>
      <w:spacing w:before="0" w:after="0" w:line="460" w:lineRule="exact"/>
    </w:pPr>
    <w:rPr>
      <w:rFonts w:ascii="黑体" w:eastAsia="黑体"/>
      <w:b w:val="0"/>
      <w:bCs w:val="0"/>
      <w:color w:val="000000"/>
      <w:kern w:val="0"/>
      <w:sz w:val="26"/>
      <w:szCs w:val="26"/>
      <w:lang w:val="zh-CN"/>
    </w:rPr>
  </w:style>
  <w:style w:type="character" w:customStyle="1" w:styleId="617">
    <w:name w:val="小标题 Char"/>
    <w:link w:val="618"/>
    <w:qFormat/>
    <w:uiPriority w:val="0"/>
    <w:rPr>
      <w:rFonts w:ascii="宋体" w:hAnsi="Tms Rmn"/>
      <w:b/>
      <w:bCs/>
      <w:sz w:val="24"/>
      <w:u w:val="single"/>
    </w:rPr>
  </w:style>
  <w:style w:type="paragraph" w:customStyle="1" w:styleId="618">
    <w:name w:val="小标题"/>
    <w:basedOn w:val="1"/>
    <w:link w:val="617"/>
    <w:qFormat/>
    <w:uiPriority w:val="0"/>
    <w:pPr>
      <w:autoSpaceDE w:val="0"/>
      <w:autoSpaceDN w:val="0"/>
      <w:adjustRightInd w:val="0"/>
      <w:spacing w:before="120" w:after="120" w:line="400" w:lineRule="atLeast"/>
      <w:ind w:firstLine="482" w:firstLineChars="200"/>
      <w:textAlignment w:val="baseline"/>
    </w:pPr>
    <w:rPr>
      <w:rFonts w:ascii="宋体" w:hAnsi="Tms Rmn"/>
      <w:b/>
      <w:bCs/>
      <w:kern w:val="0"/>
      <w:sz w:val="24"/>
      <w:szCs w:val="20"/>
      <w:u w:val="single"/>
      <w:lang w:val="zh-CN"/>
    </w:rPr>
  </w:style>
  <w:style w:type="character" w:customStyle="1" w:styleId="619">
    <w:name w:val="WJH标题3 Char"/>
    <w:qFormat/>
    <w:uiPriority w:val="0"/>
    <w:rPr>
      <w:rFonts w:eastAsia="宋体"/>
      <w:b/>
      <w:bCs/>
      <w:kern w:val="2"/>
      <w:sz w:val="32"/>
      <w:szCs w:val="32"/>
      <w:lang w:val="en-US" w:eastAsia="zh-CN" w:bidi="ar-SA"/>
    </w:rPr>
  </w:style>
  <w:style w:type="character" w:customStyle="1" w:styleId="620">
    <w:name w:val="Char Char4"/>
    <w:link w:val="621"/>
    <w:qFormat/>
    <w:uiPriority w:val="0"/>
    <w:rPr>
      <w:rFonts w:eastAsia="宋体"/>
      <w:kern w:val="2"/>
      <w:sz w:val="18"/>
      <w:lang w:val="en-US" w:eastAsia="zh-CN" w:bidi="ar-SA"/>
    </w:rPr>
  </w:style>
  <w:style w:type="paragraph" w:customStyle="1" w:styleId="621">
    <w:name w:val="批注框文本1"/>
    <w:basedOn w:val="1"/>
    <w:link w:val="620"/>
    <w:qFormat/>
    <w:uiPriority w:val="0"/>
    <w:pPr>
      <w:spacing w:line="360" w:lineRule="auto"/>
    </w:pPr>
    <w:rPr>
      <w:sz w:val="18"/>
      <w:szCs w:val="20"/>
    </w:rPr>
  </w:style>
  <w:style w:type="character" w:customStyle="1" w:styleId="622">
    <w:name w:val="hl"/>
    <w:qFormat/>
    <w:uiPriority w:val="0"/>
  </w:style>
  <w:style w:type="character" w:customStyle="1" w:styleId="623">
    <w:name w:val="z-窗体顶端 字符"/>
    <w:link w:val="624"/>
    <w:qFormat/>
    <w:uiPriority w:val="0"/>
    <w:rPr>
      <w:rFonts w:ascii="Arial" w:hAnsi="Arial"/>
      <w:vanish/>
      <w:sz w:val="16"/>
      <w:szCs w:val="16"/>
    </w:rPr>
  </w:style>
  <w:style w:type="paragraph" w:customStyle="1" w:styleId="624">
    <w:name w:val="z-窗体顶端1"/>
    <w:basedOn w:val="1"/>
    <w:next w:val="1"/>
    <w:link w:val="623"/>
    <w:qFormat/>
    <w:uiPriority w:val="0"/>
    <w:pPr>
      <w:pBdr>
        <w:bottom w:val="single" w:color="auto" w:sz="6" w:space="1"/>
      </w:pBdr>
      <w:adjustRightInd w:val="0"/>
      <w:snapToGrid w:val="0"/>
      <w:spacing w:line="440" w:lineRule="exact"/>
      <w:jc w:val="center"/>
    </w:pPr>
    <w:rPr>
      <w:rFonts w:ascii="Arial" w:hAnsi="Arial"/>
      <w:vanish/>
      <w:kern w:val="0"/>
      <w:sz w:val="16"/>
      <w:szCs w:val="16"/>
      <w:lang w:val="zh-CN"/>
    </w:rPr>
  </w:style>
  <w:style w:type="character" w:customStyle="1" w:styleId="625">
    <w:name w:val="hei141"/>
    <w:qFormat/>
    <w:uiPriority w:val="0"/>
    <w:rPr>
      <w:rFonts w:hint="eastAsia" w:ascii="宋体" w:hAnsi="宋体" w:eastAsia="宋体"/>
      <w:color w:val="000000"/>
      <w:sz w:val="14"/>
      <w:szCs w:val="14"/>
      <w:u w:val="none"/>
    </w:rPr>
  </w:style>
  <w:style w:type="character" w:customStyle="1" w:styleId="626">
    <w:name w:val="表格标题栏 Char"/>
    <w:link w:val="627"/>
    <w:qFormat/>
    <w:uiPriority w:val="0"/>
    <w:rPr>
      <w:rFonts w:cs="宋体"/>
      <w:b/>
      <w:color w:val="000000"/>
      <w:szCs w:val="21"/>
    </w:rPr>
  </w:style>
  <w:style w:type="paragraph" w:customStyle="1" w:styleId="627">
    <w:name w:val="表格标题栏"/>
    <w:basedOn w:val="1"/>
    <w:link w:val="626"/>
    <w:qFormat/>
    <w:uiPriority w:val="0"/>
    <w:pPr>
      <w:adjustRightInd w:val="0"/>
      <w:snapToGrid w:val="0"/>
      <w:spacing w:line="440" w:lineRule="exact"/>
      <w:jc w:val="center"/>
    </w:pPr>
    <w:rPr>
      <w:b/>
      <w:color w:val="000000"/>
      <w:kern w:val="0"/>
      <w:sz w:val="20"/>
      <w:szCs w:val="21"/>
      <w:lang w:val="zh-CN"/>
    </w:rPr>
  </w:style>
  <w:style w:type="character" w:customStyle="1" w:styleId="628">
    <w:name w:val="font41"/>
    <w:qFormat/>
    <w:uiPriority w:val="0"/>
    <w:rPr>
      <w:rFonts w:hint="default" w:ascii="Times New Roman" w:hAnsi="Times New Roman" w:cs="Times New Roman"/>
      <w:color w:val="000000"/>
      <w:sz w:val="22"/>
      <w:szCs w:val="22"/>
      <w:u w:val="none"/>
    </w:rPr>
  </w:style>
  <w:style w:type="character" w:customStyle="1" w:styleId="629">
    <w:name w:val="样式 标题 1 + (中文) 宋体1 Char"/>
    <w:qFormat/>
    <w:uiPriority w:val="0"/>
    <w:rPr>
      <w:b/>
      <w:sz w:val="28"/>
    </w:rPr>
  </w:style>
  <w:style w:type="character" w:customStyle="1" w:styleId="630">
    <w:name w:val="样式 000目1 + 非加宽量 / 紧缩量"/>
    <w:semiHidden/>
    <w:qFormat/>
    <w:uiPriority w:val="0"/>
    <w:rPr>
      <w:rFonts w:eastAsia="宋体"/>
      <w:b/>
      <w:spacing w:val="0"/>
      <w:sz w:val="26"/>
      <w:szCs w:val="26"/>
      <w:lang w:val="en-US" w:eastAsia="zh-CN" w:bidi="ar-SA"/>
    </w:rPr>
  </w:style>
  <w:style w:type="character" w:customStyle="1" w:styleId="631">
    <w:name w:val="脚注文本 Char1"/>
    <w:qFormat/>
    <w:uiPriority w:val="0"/>
    <w:rPr>
      <w:rFonts w:ascii="Times New Roman" w:hAnsi="Times New Roman" w:eastAsia="宋体" w:cs="Times New Roman"/>
      <w:sz w:val="18"/>
      <w:szCs w:val="18"/>
    </w:rPr>
  </w:style>
  <w:style w:type="character" w:customStyle="1" w:styleId="632">
    <w:name w:val="Chapter Head Char Char"/>
    <w:qFormat/>
    <w:uiPriority w:val="0"/>
    <w:rPr>
      <w:rFonts w:ascii="Arial" w:hAnsi="Arial" w:eastAsia="宋体" w:cs="Arial"/>
      <w:color w:val="5F5F5F"/>
      <w:kern w:val="32"/>
      <w:sz w:val="36"/>
      <w:szCs w:val="48"/>
      <w:lang w:val="en-US" w:eastAsia="zh-CN" w:bidi="ar-SA"/>
    </w:rPr>
  </w:style>
  <w:style w:type="character" w:customStyle="1" w:styleId="633">
    <w:name w:val="z-窗体顶端 Char1"/>
    <w:qFormat/>
    <w:uiPriority w:val="99"/>
    <w:rPr>
      <w:rFonts w:ascii="Arial" w:hAnsi="Arial" w:eastAsia="宋体" w:cs="Arial"/>
      <w:vanish/>
      <w:sz w:val="16"/>
      <w:szCs w:val="16"/>
    </w:rPr>
  </w:style>
  <w:style w:type="character" w:customStyle="1" w:styleId="634">
    <w:name w:val="tw4winMark"/>
    <w:qFormat/>
    <w:uiPriority w:val="0"/>
    <w:rPr>
      <w:rFonts w:ascii="Courier New" w:hAnsi="Courier New" w:cs="Courier New"/>
      <w:vanish/>
      <w:color w:val="800080"/>
      <w:sz w:val="24"/>
      <w:szCs w:val="24"/>
      <w:vertAlign w:val="subscript"/>
    </w:rPr>
  </w:style>
  <w:style w:type="character" w:customStyle="1" w:styleId="635">
    <w:name w:val="000目2"/>
    <w:qFormat/>
    <w:uiPriority w:val="0"/>
    <w:rPr>
      <w:rFonts w:eastAsia="楷体_GB2312"/>
      <w:b/>
      <w:sz w:val="28"/>
      <w:lang w:val="en-US" w:eastAsia="zh-CN" w:bidi="ar-SA"/>
    </w:rPr>
  </w:style>
  <w:style w:type="character" w:customStyle="1" w:styleId="636">
    <w:name w:val="副标题 Char1"/>
    <w:qFormat/>
    <w:uiPriority w:val="11"/>
    <w:rPr>
      <w:rFonts w:ascii="Cambria" w:hAnsi="Cambria" w:eastAsia="宋体" w:cs="黑体"/>
      <w:b/>
      <w:bCs/>
      <w:kern w:val="28"/>
      <w:sz w:val="32"/>
      <w:szCs w:val="32"/>
    </w:rPr>
  </w:style>
  <w:style w:type="character" w:customStyle="1" w:styleId="637">
    <w:name w:val="样式 标题 3H3h33rd level标题 3 Char Char Char Char Char Char Char ... Char"/>
    <w:link w:val="638"/>
    <w:qFormat/>
    <w:uiPriority w:val="0"/>
    <w:rPr>
      <w:b/>
      <w:bCs/>
      <w:color w:val="000000"/>
      <w:spacing w:val="6"/>
      <w:sz w:val="26"/>
      <w:szCs w:val="26"/>
    </w:rPr>
  </w:style>
  <w:style w:type="paragraph" w:customStyle="1" w:styleId="638">
    <w:name w:val="样式 标题 3H3h33rd level标题 3 Char Char Char Char Char Char Char ..."/>
    <w:basedOn w:val="5"/>
    <w:link w:val="637"/>
    <w:qFormat/>
    <w:uiPriority w:val="0"/>
    <w:pPr>
      <w:adjustRightInd w:val="0"/>
      <w:snapToGrid w:val="0"/>
      <w:spacing w:before="0" w:after="0" w:line="460" w:lineRule="exact"/>
    </w:pPr>
    <w:rPr>
      <w:color w:val="000000"/>
      <w:spacing w:val="6"/>
      <w:kern w:val="0"/>
      <w:sz w:val="26"/>
      <w:szCs w:val="26"/>
      <w:lang w:val="zh-CN"/>
    </w:rPr>
  </w:style>
  <w:style w:type="character" w:customStyle="1" w:styleId="639">
    <w:name w:val="ljx正文1 Char"/>
    <w:link w:val="640"/>
    <w:qFormat/>
    <w:uiPriority w:val="0"/>
    <w:rPr>
      <w:sz w:val="28"/>
      <w:szCs w:val="28"/>
    </w:rPr>
  </w:style>
  <w:style w:type="paragraph" w:customStyle="1" w:styleId="640">
    <w:name w:val="ljx正文1"/>
    <w:link w:val="639"/>
    <w:qFormat/>
    <w:uiPriority w:val="0"/>
    <w:pPr>
      <w:spacing w:line="460" w:lineRule="exact"/>
      <w:jc w:val="both"/>
    </w:pPr>
    <w:rPr>
      <w:rFonts w:ascii="Times New Roman" w:hAnsi="Times New Roman" w:eastAsia="宋体" w:cs="Times New Roman"/>
      <w:sz w:val="28"/>
      <w:szCs w:val="28"/>
      <w:lang w:val="zh-CN" w:eastAsia="zh-CN" w:bidi="ar-SA"/>
    </w:rPr>
  </w:style>
  <w:style w:type="paragraph" w:customStyle="1" w:styleId="641">
    <w:name w:val="正文文字缩进"/>
    <w:basedOn w:val="1"/>
    <w:qFormat/>
    <w:uiPriority w:val="0"/>
    <w:pPr>
      <w:autoSpaceDE w:val="0"/>
      <w:autoSpaceDN w:val="0"/>
      <w:adjustRightInd w:val="0"/>
      <w:snapToGrid w:val="0"/>
      <w:spacing w:line="360" w:lineRule="auto"/>
      <w:ind w:firstLine="540"/>
      <w:textAlignment w:val="baseline"/>
    </w:pPr>
    <w:rPr>
      <w:rFonts w:ascii="宋体" w:cs="宋体"/>
      <w:kern w:val="0"/>
      <w:sz w:val="24"/>
    </w:rPr>
  </w:style>
  <w:style w:type="character" w:customStyle="1" w:styleId="642">
    <w:name w:val="正式文 Char"/>
    <w:link w:val="643"/>
    <w:qFormat/>
    <w:uiPriority w:val="0"/>
    <w:rPr>
      <w:sz w:val="28"/>
    </w:rPr>
  </w:style>
  <w:style w:type="paragraph" w:customStyle="1" w:styleId="643">
    <w:name w:val="正式文"/>
    <w:basedOn w:val="21"/>
    <w:link w:val="642"/>
    <w:qFormat/>
    <w:uiPriority w:val="0"/>
    <w:pPr>
      <w:spacing w:line="620" w:lineRule="exact"/>
      <w:ind w:firstLine="560"/>
    </w:pPr>
    <w:rPr>
      <w:kern w:val="0"/>
      <w:sz w:val="28"/>
      <w:lang w:val="zh-CN"/>
    </w:rPr>
  </w:style>
  <w:style w:type="character" w:customStyle="1" w:styleId="644">
    <w:name w:val="xiaozi1"/>
    <w:qFormat/>
    <w:uiPriority w:val="0"/>
    <w:rPr>
      <w:color w:val="333333"/>
      <w:spacing w:val="432"/>
      <w:sz w:val="21"/>
      <w:szCs w:val="21"/>
    </w:rPr>
  </w:style>
  <w:style w:type="character" w:customStyle="1" w:styleId="645">
    <w:name w:val="z-窗体底端 Char1"/>
    <w:link w:val="646"/>
    <w:qFormat/>
    <w:uiPriority w:val="99"/>
    <w:rPr>
      <w:rFonts w:ascii="Arial" w:hAnsi="Arial" w:cs="Arial"/>
      <w:vanish/>
      <w:sz w:val="16"/>
      <w:szCs w:val="16"/>
    </w:rPr>
  </w:style>
  <w:style w:type="paragraph" w:customStyle="1" w:styleId="646">
    <w:name w:val="z-窗体底端11"/>
    <w:basedOn w:val="1"/>
    <w:next w:val="1"/>
    <w:link w:val="645"/>
    <w:qFormat/>
    <w:uiPriority w:val="99"/>
    <w:pPr>
      <w:pBdr>
        <w:top w:val="single" w:color="auto" w:sz="6" w:space="1"/>
      </w:pBdr>
      <w:adjustRightInd w:val="0"/>
      <w:snapToGrid w:val="0"/>
      <w:spacing w:line="460" w:lineRule="exact"/>
      <w:jc w:val="center"/>
    </w:pPr>
    <w:rPr>
      <w:rFonts w:ascii="Arial" w:hAnsi="Arial"/>
      <w:vanish/>
      <w:kern w:val="0"/>
      <w:sz w:val="16"/>
      <w:szCs w:val="16"/>
      <w:lang w:val="zh-CN"/>
    </w:rPr>
  </w:style>
  <w:style w:type="character" w:customStyle="1" w:styleId="647">
    <w:name w:val="尾注文本 Char2"/>
    <w:qFormat/>
    <w:uiPriority w:val="0"/>
    <w:rPr>
      <w:rFonts w:ascii="Times New Roman" w:hAnsi="Times New Roman"/>
      <w:bCs/>
      <w:spacing w:val="6"/>
      <w:kern w:val="2"/>
      <w:sz w:val="26"/>
      <w:szCs w:val="26"/>
    </w:rPr>
  </w:style>
  <w:style w:type="character" w:customStyle="1" w:styleId="648">
    <w:name w:val="z-窗体底端 Char2"/>
    <w:semiHidden/>
    <w:qFormat/>
    <w:uiPriority w:val="99"/>
    <w:rPr>
      <w:rFonts w:ascii="Arial" w:hAnsi="Arial" w:cs="Arial"/>
      <w:vanish/>
      <w:color w:val="000000"/>
      <w:spacing w:val="6"/>
      <w:kern w:val="2"/>
      <w:sz w:val="16"/>
      <w:szCs w:val="16"/>
    </w:rPr>
  </w:style>
  <w:style w:type="character" w:customStyle="1" w:styleId="649">
    <w:name w:val="Char Char22"/>
    <w:qFormat/>
    <w:uiPriority w:val="0"/>
    <w:rPr>
      <w:bCs/>
      <w:smallCaps/>
      <w:color w:val="FF0000"/>
      <w:kern w:val="2"/>
      <w:sz w:val="28"/>
      <w:szCs w:val="24"/>
    </w:rPr>
  </w:style>
  <w:style w:type="character" w:customStyle="1" w:styleId="650">
    <w:name w:val="Char Char14"/>
    <w:qFormat/>
    <w:uiPriority w:val="0"/>
    <w:rPr>
      <w:kern w:val="2"/>
      <w:sz w:val="21"/>
      <w:szCs w:val="24"/>
    </w:rPr>
  </w:style>
  <w:style w:type="character" w:customStyle="1" w:styleId="651">
    <w:name w:val="Char Char13"/>
    <w:qFormat/>
    <w:uiPriority w:val="0"/>
    <w:rPr>
      <w:b/>
      <w:bCs/>
      <w:kern w:val="2"/>
      <w:sz w:val="21"/>
      <w:szCs w:val="24"/>
    </w:rPr>
  </w:style>
  <w:style w:type="character" w:customStyle="1" w:styleId="652">
    <w:name w:val="Char Char10"/>
    <w:qFormat/>
    <w:uiPriority w:val="0"/>
  </w:style>
  <w:style w:type="character" w:customStyle="1" w:styleId="653">
    <w:name w:val="Char Char7"/>
    <w:qFormat/>
    <w:uiPriority w:val="0"/>
    <w:rPr>
      <w:rFonts w:ascii="宋体" w:hAnsi="宋体" w:cs="宋体"/>
      <w:color w:val="000000"/>
      <w:sz w:val="21"/>
      <w:szCs w:val="21"/>
    </w:rPr>
  </w:style>
  <w:style w:type="character" w:customStyle="1" w:styleId="654">
    <w:name w:val="Highlighted Variable"/>
    <w:qFormat/>
    <w:uiPriority w:val="0"/>
    <w:rPr>
      <w:rFonts w:ascii="Book Antiqua" w:hAnsi="Book Antiqua"/>
      <w:color w:val="0000FF"/>
    </w:rPr>
  </w:style>
  <w:style w:type="character" w:customStyle="1" w:styleId="655">
    <w:name w:val="p141"/>
    <w:qFormat/>
    <w:uiPriority w:val="0"/>
    <w:rPr>
      <w:sz w:val="21"/>
      <w:szCs w:val="21"/>
      <w:u w:val="none"/>
    </w:rPr>
  </w:style>
  <w:style w:type="character" w:customStyle="1" w:styleId="656">
    <w:name w:val="Heading 1 Char"/>
    <w:qFormat/>
    <w:locked/>
    <w:uiPriority w:val="0"/>
    <w:rPr>
      <w:rFonts w:ascii="Times New Roman" w:hAnsi="Times New Roman" w:eastAsia="黑体" w:cs="Times New Roman"/>
      <w:bCs/>
      <w:kern w:val="44"/>
      <w:sz w:val="44"/>
      <w:szCs w:val="44"/>
    </w:rPr>
  </w:style>
  <w:style w:type="character" w:customStyle="1" w:styleId="657">
    <w:name w:val="mdcFooter Char Char"/>
    <w:qFormat/>
    <w:uiPriority w:val="0"/>
    <w:rPr>
      <w:kern w:val="2"/>
      <w:sz w:val="18"/>
    </w:rPr>
  </w:style>
  <w:style w:type="character" w:customStyle="1" w:styleId="658">
    <w:name w:val="1. Zeile Char Char"/>
    <w:qFormat/>
    <w:uiPriority w:val="0"/>
    <w:rPr>
      <w:kern w:val="2"/>
      <w:sz w:val="18"/>
      <w:szCs w:val="18"/>
    </w:rPr>
  </w:style>
  <w:style w:type="character" w:customStyle="1" w:styleId="659">
    <w:name w:val="标题1 Char Char"/>
    <w:qFormat/>
    <w:uiPriority w:val="0"/>
    <w:rPr>
      <w:rFonts w:ascii="Cambria" w:hAnsi="Cambria" w:eastAsia="黑体"/>
      <w:bCs/>
      <w:snapToGrid w:val="0"/>
      <w:sz w:val="28"/>
      <w:szCs w:val="32"/>
    </w:rPr>
  </w:style>
  <w:style w:type="character" w:customStyle="1" w:styleId="660">
    <w:name w:val="特点标题 Char Char"/>
    <w:qFormat/>
    <w:uiPriority w:val="0"/>
    <w:rPr>
      <w:kern w:val="2"/>
      <w:sz w:val="24"/>
      <w:szCs w:val="24"/>
    </w:rPr>
  </w:style>
  <w:style w:type="character" w:customStyle="1" w:styleId="661">
    <w:name w:val="news-12"/>
    <w:qFormat/>
    <w:uiPriority w:val="0"/>
  </w:style>
  <w:style w:type="character" w:customStyle="1" w:styleId="662">
    <w:name w:val="Char Char38"/>
    <w:qFormat/>
    <w:uiPriority w:val="0"/>
    <w:rPr>
      <w:rFonts w:eastAsia="黑体" w:cs="Arial"/>
      <w:bCs/>
      <w:snapToGrid w:val="0"/>
      <w:spacing w:val="4"/>
      <w:sz w:val="26"/>
      <w:szCs w:val="26"/>
    </w:rPr>
  </w:style>
  <w:style w:type="character" w:customStyle="1" w:styleId="663">
    <w:name w:val="con"/>
    <w:qFormat/>
    <w:uiPriority w:val="0"/>
  </w:style>
  <w:style w:type="character" w:customStyle="1" w:styleId="664">
    <w:name w:val="ask-title2"/>
    <w:qFormat/>
    <w:uiPriority w:val="0"/>
  </w:style>
  <w:style w:type="character" w:customStyle="1" w:styleId="665">
    <w:name w:val="lineheigh201"/>
    <w:qFormat/>
    <w:uiPriority w:val="0"/>
  </w:style>
  <w:style w:type="character" w:customStyle="1" w:styleId="666">
    <w:name w:val="样式 标题 3 + Char"/>
    <w:link w:val="667"/>
    <w:qFormat/>
    <w:uiPriority w:val="0"/>
    <w:rPr>
      <w:rFonts w:ascii="宋体" w:hAnsi="宋体" w:cs="宋体"/>
      <w:b/>
      <w:bCs/>
      <w:sz w:val="24"/>
      <w:szCs w:val="32"/>
    </w:rPr>
  </w:style>
  <w:style w:type="paragraph" w:customStyle="1" w:styleId="667">
    <w:name w:val="样式 标题 3 +"/>
    <w:basedOn w:val="5"/>
    <w:link w:val="666"/>
    <w:qFormat/>
    <w:uiPriority w:val="0"/>
    <w:pPr>
      <w:spacing w:after="0" w:line="415" w:lineRule="auto"/>
    </w:pPr>
    <w:rPr>
      <w:rFonts w:ascii="宋体" w:hAnsi="宋体"/>
      <w:kern w:val="0"/>
      <w:sz w:val="24"/>
      <w:lang w:val="zh-CN"/>
    </w:rPr>
  </w:style>
  <w:style w:type="character" w:customStyle="1" w:styleId="668">
    <w:name w:val="headline-content2"/>
    <w:qFormat/>
    <w:uiPriority w:val="0"/>
  </w:style>
  <w:style w:type="character" w:customStyle="1" w:styleId="669">
    <w:name w:val="称呼 Char1"/>
    <w:qFormat/>
    <w:uiPriority w:val="0"/>
    <w:rPr>
      <w:rFonts w:ascii="Times New Roman" w:hAnsi="Times New Roman" w:eastAsia="宋体" w:cs="Times New Roman"/>
      <w:szCs w:val="20"/>
    </w:rPr>
  </w:style>
  <w:style w:type="character" w:customStyle="1" w:styleId="670">
    <w:name w:val="正文文本 Char2"/>
    <w:qFormat/>
    <w:uiPriority w:val="0"/>
    <w:rPr>
      <w:rFonts w:ascii="Times New Roman" w:hAnsi="Times New Roman" w:eastAsia="宋体" w:cs="Times New Roman"/>
      <w:szCs w:val="20"/>
    </w:rPr>
  </w:style>
  <w:style w:type="character" w:customStyle="1" w:styleId="671">
    <w:name w:val="标题 Char2"/>
    <w:qFormat/>
    <w:uiPriority w:val="0"/>
    <w:rPr>
      <w:rFonts w:ascii="Cambria" w:hAnsi="Cambria" w:eastAsia="宋体" w:cs="Times New Roman"/>
      <w:b/>
      <w:bCs/>
      <w:sz w:val="32"/>
      <w:szCs w:val="32"/>
    </w:rPr>
  </w:style>
  <w:style w:type="character" w:customStyle="1" w:styleId="672">
    <w:name w:val="HTML 预设格式 Char1"/>
    <w:qFormat/>
    <w:uiPriority w:val="0"/>
    <w:rPr>
      <w:rFonts w:ascii="Courier New" w:hAnsi="Courier New" w:eastAsia="宋体" w:cs="Courier New"/>
      <w:sz w:val="20"/>
      <w:szCs w:val="20"/>
    </w:rPr>
  </w:style>
  <w:style w:type="character" w:customStyle="1" w:styleId="673">
    <w:name w:val="zt3"/>
    <w:qFormat/>
    <w:uiPriority w:val="0"/>
  </w:style>
  <w:style w:type="character" w:customStyle="1" w:styleId="674">
    <w:name w:val="z-窗体底端 Char3"/>
    <w:qFormat/>
    <w:uiPriority w:val="99"/>
    <w:rPr>
      <w:rFonts w:ascii="Arial" w:hAnsi="Arial" w:cs="Arial"/>
      <w:vanish/>
      <w:kern w:val="2"/>
      <w:sz w:val="16"/>
      <w:szCs w:val="16"/>
    </w:rPr>
  </w:style>
  <w:style w:type="character" w:customStyle="1" w:styleId="675">
    <w:name w:val="z-窗体顶端 Char3"/>
    <w:qFormat/>
    <w:uiPriority w:val="99"/>
    <w:rPr>
      <w:rFonts w:ascii="Arial" w:hAnsi="Arial" w:cs="Arial"/>
      <w:vanish/>
      <w:kern w:val="2"/>
      <w:sz w:val="16"/>
      <w:szCs w:val="16"/>
    </w:rPr>
  </w:style>
  <w:style w:type="paragraph" w:customStyle="1" w:styleId="676">
    <w:name w:val="小五表文"/>
    <w:qFormat/>
    <w:uiPriority w:val="0"/>
    <w:pPr>
      <w:jc w:val="center"/>
    </w:pPr>
    <w:rPr>
      <w:rFonts w:ascii="Times New Roman" w:hAnsi="Times New Roman" w:eastAsia="仿宋_GB2312" w:cs="Times New Roman"/>
      <w:sz w:val="18"/>
      <w:lang w:val="en-US" w:eastAsia="zh-CN" w:bidi="ar-SA"/>
    </w:rPr>
  </w:style>
  <w:style w:type="paragraph" w:customStyle="1" w:styleId="677">
    <w:name w:val="1表格"/>
    <w:basedOn w:val="1"/>
    <w:qFormat/>
    <w:uiPriority w:val="0"/>
    <w:pPr>
      <w:adjustRightInd w:val="0"/>
      <w:snapToGrid w:val="0"/>
      <w:jc w:val="center"/>
      <w:textAlignment w:val="baseline"/>
    </w:pPr>
    <w:rPr>
      <w:rFonts w:ascii="宋体" w:hAnsi="宋体" w:cs="宋体"/>
      <w:spacing w:val="4"/>
      <w:sz w:val="24"/>
    </w:rPr>
  </w:style>
  <w:style w:type="paragraph" w:customStyle="1" w:styleId="678">
    <w:name w:val="样式88"/>
    <w:basedOn w:val="1"/>
    <w:qFormat/>
    <w:uiPriority w:val="99"/>
    <w:pPr>
      <w:spacing w:before="100" w:after="100" w:line="360" w:lineRule="auto"/>
      <w:jc w:val="center"/>
    </w:pPr>
    <w:rPr>
      <w:rFonts w:eastAsia="黑体"/>
      <w:sz w:val="24"/>
    </w:rPr>
  </w:style>
  <w:style w:type="paragraph" w:customStyle="1" w:styleId="679">
    <w:name w:val="EIA1"/>
    <w:basedOn w:val="3"/>
    <w:qFormat/>
    <w:uiPriority w:val="99"/>
    <w:pPr>
      <w:keepLines w:val="0"/>
      <w:spacing w:before="0" w:after="0" w:line="480" w:lineRule="auto"/>
    </w:pPr>
    <w:rPr>
      <w:bCs w:val="0"/>
      <w:kern w:val="2"/>
      <w:sz w:val="32"/>
      <w:szCs w:val="20"/>
    </w:rPr>
  </w:style>
  <w:style w:type="paragraph" w:customStyle="1" w:styleId="680">
    <w:name w:val="xl66"/>
    <w:basedOn w:val="1"/>
    <w:qFormat/>
    <w:uiPriority w:val="0"/>
    <w:pPr>
      <w:pBdr>
        <w:bottom w:val="single" w:color="auto" w:sz="12" w:space="0"/>
        <w:right w:val="single" w:color="auto" w:sz="4"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681">
    <w:name w:val="xl126"/>
    <w:basedOn w:val="1"/>
    <w:qFormat/>
    <w:uiPriority w:val="99"/>
    <w:pPr>
      <w:pBdr>
        <w:left w:val="single" w:color="auto" w:sz="4" w:space="0"/>
        <w:bottom w:val="single" w:color="auto" w:sz="8" w:space="0"/>
      </w:pBdr>
      <w:spacing w:before="100" w:beforeAutospacing="1" w:after="100" w:afterAutospacing="1"/>
    </w:pPr>
    <w:rPr>
      <w:rFonts w:ascii="Arial Unicode MS" w:hAnsi="Arial Unicode MS"/>
      <w:kern w:val="0"/>
      <w:sz w:val="16"/>
      <w:szCs w:val="16"/>
    </w:rPr>
  </w:style>
  <w:style w:type="paragraph" w:customStyle="1" w:styleId="682">
    <w:name w:val="列表 Char列表"/>
    <w:basedOn w:val="65"/>
    <w:next w:val="37"/>
    <w:qFormat/>
    <w:uiPriority w:val="99"/>
    <w:pPr>
      <w:spacing w:line="300" w:lineRule="auto"/>
      <w:ind w:left="0" w:firstLine="0" w:firstLineChars="0"/>
      <w:jc w:val="center"/>
    </w:pPr>
    <w:rPr>
      <w:rFonts w:ascii="楷体_GB2312" w:hAnsi="宋体" w:eastAsia="楷体_GB2312"/>
      <w:b/>
      <w:sz w:val="28"/>
      <w:szCs w:val="28"/>
    </w:rPr>
  </w:style>
  <w:style w:type="paragraph" w:customStyle="1" w:styleId="683">
    <w:name w:val="2"/>
    <w:basedOn w:val="1"/>
    <w:next w:val="21"/>
    <w:qFormat/>
    <w:uiPriority w:val="99"/>
    <w:pPr>
      <w:ind w:firstLine="420" w:firstLineChars="200"/>
    </w:pPr>
  </w:style>
  <w:style w:type="paragraph" w:customStyle="1" w:styleId="684">
    <w:name w:val="款"/>
    <w:basedOn w:val="1"/>
    <w:qFormat/>
    <w:uiPriority w:val="99"/>
    <w:pPr>
      <w:spacing w:line="360" w:lineRule="auto"/>
    </w:pPr>
    <w:rPr>
      <w:szCs w:val="20"/>
    </w:rPr>
  </w:style>
  <w:style w:type="paragraph" w:customStyle="1" w:styleId="685">
    <w:name w:val="表题"/>
    <w:basedOn w:val="21"/>
    <w:qFormat/>
    <w:uiPriority w:val="0"/>
    <w:pPr>
      <w:spacing w:line="100" w:lineRule="atLeast"/>
    </w:pPr>
  </w:style>
  <w:style w:type="paragraph" w:customStyle="1" w:styleId="686">
    <w:name w:val="Char Char Char Char Char Char1 Char Char Char Char Char Char Char Char Char Char Char Char1 Char Char Char"/>
    <w:basedOn w:val="1"/>
    <w:qFormat/>
    <w:uiPriority w:val="99"/>
    <w:rPr>
      <w:sz w:val="24"/>
    </w:rPr>
  </w:style>
  <w:style w:type="paragraph" w:customStyle="1" w:styleId="687">
    <w:name w:val="xl142"/>
    <w:basedOn w:val="1"/>
    <w:qFormat/>
    <w:uiPriority w:val="99"/>
    <w:pPr>
      <w:pBdr>
        <w:left w:val="single" w:color="auto" w:sz="4" w:space="0"/>
        <w:bottom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688">
    <w:name w:val="xl68"/>
    <w:basedOn w:val="1"/>
    <w:qFormat/>
    <w:uiPriority w:val="0"/>
    <w:pPr>
      <w:pBdr>
        <w:top w:val="single" w:color="auto" w:sz="12" w:space="0"/>
      </w:pBdr>
      <w:spacing w:before="100" w:beforeAutospacing="1" w:after="100" w:afterAutospacing="1"/>
    </w:pPr>
    <w:rPr>
      <w:rFonts w:ascii="Arial Unicode MS" w:hAnsi="Arial Unicode MS"/>
      <w:kern w:val="0"/>
      <w:sz w:val="12"/>
      <w:szCs w:val="12"/>
    </w:rPr>
  </w:style>
  <w:style w:type="paragraph" w:customStyle="1" w:styleId="689">
    <w:name w:val="样式 标题 1 + (符号) 宋体 居中"/>
    <w:basedOn w:val="3"/>
    <w:qFormat/>
    <w:uiPriority w:val="99"/>
    <w:pPr>
      <w:tabs>
        <w:tab w:val="left" w:pos="420"/>
        <w:tab w:val="left" w:pos="840"/>
      </w:tabs>
      <w:spacing w:before="0" w:after="0" w:line="360" w:lineRule="auto"/>
      <w:ind w:left="840" w:hanging="360"/>
      <w:jc w:val="center"/>
    </w:pPr>
    <w:rPr>
      <w:rFonts w:ascii="宋体" w:hAnsi="宋体" w:cs="宋体"/>
      <w:kern w:val="2"/>
      <w:sz w:val="24"/>
      <w:szCs w:val="20"/>
    </w:rPr>
  </w:style>
  <w:style w:type="paragraph" w:customStyle="1" w:styleId="690">
    <w:name w:val="xl156"/>
    <w:basedOn w:val="1"/>
    <w:qFormat/>
    <w:uiPriority w:val="99"/>
    <w:pPr>
      <w:pBdr>
        <w:left w:val="single" w:color="auto" w:sz="4" w:space="0"/>
        <w:right w:val="single" w:color="auto" w:sz="4" w:space="0"/>
      </w:pBdr>
      <w:spacing w:before="100" w:beforeAutospacing="1" w:after="100" w:afterAutospacing="1"/>
    </w:pPr>
    <w:rPr>
      <w:rFonts w:ascii="Arial Unicode MS" w:hAnsi="Arial Unicode MS"/>
      <w:kern w:val="0"/>
      <w:sz w:val="20"/>
      <w:szCs w:val="20"/>
    </w:rPr>
  </w:style>
  <w:style w:type="paragraph" w:customStyle="1" w:styleId="691">
    <w:name w:val="xl152"/>
    <w:basedOn w:val="1"/>
    <w:qFormat/>
    <w:uiPriority w:val="99"/>
    <w:pPr>
      <w:spacing w:before="100" w:beforeAutospacing="1" w:after="100" w:afterAutospacing="1"/>
      <w:textAlignment w:val="center"/>
    </w:pPr>
    <w:rPr>
      <w:rFonts w:ascii="Arial Unicode MS" w:hAnsi="Arial Unicode MS"/>
      <w:kern w:val="0"/>
      <w:sz w:val="16"/>
      <w:szCs w:val="16"/>
    </w:rPr>
  </w:style>
  <w:style w:type="paragraph" w:customStyle="1" w:styleId="692">
    <w:name w:val="黑宋体"/>
    <w:basedOn w:val="6"/>
    <w:qFormat/>
    <w:uiPriority w:val="99"/>
    <w:pPr>
      <w:keepNext w:val="0"/>
      <w:keepLines w:val="0"/>
      <w:tabs>
        <w:tab w:val="left" w:pos="3385"/>
      </w:tabs>
      <w:adjustRightInd w:val="0"/>
      <w:snapToGrid w:val="0"/>
      <w:spacing w:line="324" w:lineRule="auto"/>
      <w:ind w:left="3102" w:firstLine="480" w:firstLineChars="200"/>
      <w:outlineLvl w:val="9"/>
    </w:pPr>
    <w:rPr>
      <w:rFonts w:ascii="宋体" w:hAnsi="宋体"/>
      <w:b w:val="0"/>
      <w:snapToGrid w:val="0"/>
      <w:kern w:val="0"/>
      <w:szCs w:val="20"/>
    </w:rPr>
  </w:style>
  <w:style w:type="paragraph" w:customStyle="1" w:styleId="693">
    <w:name w:val="二级无标题条"/>
    <w:basedOn w:val="1"/>
    <w:qFormat/>
    <w:uiPriority w:val="0"/>
  </w:style>
  <w:style w:type="paragraph" w:customStyle="1" w:styleId="694">
    <w:name w:val="样式 标题 2标题 2 Char标2h2 + 三号"/>
    <w:basedOn w:val="4"/>
    <w:qFormat/>
    <w:uiPriority w:val="99"/>
    <w:pPr>
      <w:keepNext w:val="0"/>
      <w:keepLines w:val="0"/>
      <w:numPr>
        <w:ilvl w:val="1"/>
        <w:numId w:val="3"/>
      </w:numPr>
      <w:spacing w:before="120" w:after="120" w:line="360" w:lineRule="auto"/>
      <w:ind w:firstLine="200" w:firstLineChars="200"/>
    </w:pPr>
    <w:rPr>
      <w:rFonts w:ascii="Tahoma" w:hAnsi="Tahoma" w:eastAsia="Cambria" w:cs="Arial"/>
      <w:b w:val="0"/>
      <w:bCs w:val="0"/>
      <w:spacing w:val="8"/>
    </w:rPr>
  </w:style>
  <w:style w:type="paragraph" w:customStyle="1" w:styleId="695">
    <w:name w:val="xl101"/>
    <w:basedOn w:val="1"/>
    <w:qFormat/>
    <w:uiPriority w:val="0"/>
    <w:pPr>
      <w:pBdr>
        <w:left w:val="single" w:color="auto" w:sz="4" w:space="0"/>
        <w:right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696">
    <w:name w:val="xl150"/>
    <w:basedOn w:val="1"/>
    <w:qFormat/>
    <w:uiPriority w:val="99"/>
    <w:pPr>
      <w:pBdr>
        <w:bottom w:val="single" w:color="auto" w:sz="8" w:space="0"/>
      </w:pBdr>
      <w:spacing w:before="100" w:beforeAutospacing="1" w:after="100" w:afterAutospacing="1"/>
    </w:pPr>
    <w:rPr>
      <w:rFonts w:ascii="Arial Unicode MS" w:hAnsi="Arial Unicode MS"/>
      <w:kern w:val="0"/>
      <w:sz w:val="16"/>
      <w:szCs w:val="16"/>
    </w:rPr>
  </w:style>
  <w:style w:type="paragraph" w:customStyle="1" w:styleId="697">
    <w:name w:val="正文文本缩进1"/>
    <w:basedOn w:val="1"/>
    <w:qFormat/>
    <w:uiPriority w:val="0"/>
    <w:pPr>
      <w:spacing w:after="120" w:line="360" w:lineRule="auto"/>
      <w:ind w:left="420" w:leftChars="200" w:firstLine="200" w:firstLineChars="200"/>
    </w:pPr>
    <w:rPr>
      <w:sz w:val="24"/>
    </w:rPr>
  </w:style>
  <w:style w:type="paragraph" w:customStyle="1" w:styleId="698">
    <w:name w:val="style12"/>
    <w:basedOn w:val="1"/>
    <w:qFormat/>
    <w:uiPriority w:val="99"/>
    <w:pPr>
      <w:spacing w:before="100" w:beforeAutospacing="1" w:after="100" w:afterAutospacing="1"/>
    </w:pPr>
    <w:rPr>
      <w:rFonts w:ascii="Arial" w:hAnsi="Arial" w:cs="Arial"/>
      <w:color w:val="666666"/>
      <w:kern w:val="0"/>
      <w:sz w:val="18"/>
      <w:szCs w:val="18"/>
    </w:rPr>
  </w:style>
  <w:style w:type="paragraph" w:customStyle="1" w:styleId="699">
    <w:name w:val="样式9"/>
    <w:qFormat/>
    <w:uiPriority w:val="0"/>
    <w:pPr>
      <w:adjustRightInd w:val="0"/>
    </w:pPr>
    <w:rPr>
      <w:rFonts w:ascii="宋体" w:hAnsi="宋体" w:eastAsia="宋体" w:cs="Arial"/>
      <w:color w:val="FF0000"/>
      <w:lang w:val="en-US" w:eastAsia="zh-CN" w:bidi="ar-SA"/>
    </w:rPr>
  </w:style>
  <w:style w:type="paragraph" w:customStyle="1" w:styleId="700">
    <w:name w:val="图框文字"/>
    <w:basedOn w:val="1"/>
    <w:qFormat/>
    <w:uiPriority w:val="99"/>
    <w:pPr>
      <w:jc w:val="center"/>
      <w:textAlignment w:val="center"/>
    </w:pPr>
  </w:style>
  <w:style w:type="paragraph" w:customStyle="1" w:styleId="701">
    <w:name w:val="xl69"/>
    <w:basedOn w:val="1"/>
    <w:qFormat/>
    <w:uiPriority w:val="0"/>
    <w:pPr>
      <w:pBdr>
        <w:bottom w:val="single" w:color="auto" w:sz="12" w:space="0"/>
      </w:pBdr>
      <w:spacing w:before="100" w:beforeAutospacing="1" w:after="100" w:afterAutospacing="1"/>
    </w:pPr>
    <w:rPr>
      <w:kern w:val="0"/>
      <w:sz w:val="12"/>
      <w:szCs w:val="12"/>
    </w:rPr>
  </w:style>
  <w:style w:type="paragraph" w:customStyle="1" w:styleId="702">
    <w:name w:val="标题1 Char Char Char"/>
    <w:basedOn w:val="1"/>
    <w:next w:val="1"/>
    <w:qFormat/>
    <w:uiPriority w:val="99"/>
    <w:pPr>
      <w:spacing w:before="156" w:beforeLines="50" w:after="156" w:afterLines="50"/>
      <w:jc w:val="center"/>
    </w:pPr>
    <w:rPr>
      <w:rFonts w:eastAsia="黑体"/>
      <w:kern w:val="0"/>
      <w:sz w:val="32"/>
      <w:szCs w:val="32"/>
    </w:rPr>
  </w:style>
  <w:style w:type="paragraph" w:customStyle="1" w:styleId="703">
    <w:name w:val="Char Char Char Char Char Char Char Char Char1 Char Char Char Char"/>
    <w:basedOn w:val="1"/>
    <w:qFormat/>
    <w:uiPriority w:val="0"/>
    <w:rPr>
      <w:rFonts w:ascii="Plotter" w:hAnsi="Plotter" w:cs="Plotter"/>
      <w:sz w:val="20"/>
      <w:szCs w:val="20"/>
    </w:rPr>
  </w:style>
  <w:style w:type="paragraph" w:customStyle="1" w:styleId="704">
    <w:name w:val="样式5"/>
    <w:basedOn w:val="700"/>
    <w:next w:val="700"/>
    <w:link w:val="2290"/>
    <w:qFormat/>
    <w:uiPriority w:val="0"/>
    <w:pPr>
      <w:adjustRightInd w:val="0"/>
    </w:pPr>
  </w:style>
  <w:style w:type="paragraph" w:customStyle="1" w:styleId="705">
    <w:name w:val="xl24"/>
    <w:basedOn w:val="1"/>
    <w:qFormat/>
    <w:uiPriority w:val="0"/>
    <w:pPr>
      <w:spacing w:before="100" w:beforeAutospacing="1" w:after="100" w:afterAutospacing="1"/>
      <w:jc w:val="center"/>
      <w:textAlignment w:val="center"/>
    </w:pPr>
    <w:rPr>
      <w:rFonts w:hint="eastAsia" w:ascii="仿宋_GB2312" w:hAnsi="Arial Unicode MS" w:eastAsia="仿宋_GB2312"/>
      <w:kern w:val="0"/>
      <w:sz w:val="20"/>
      <w:szCs w:val="20"/>
    </w:rPr>
  </w:style>
  <w:style w:type="paragraph" w:customStyle="1" w:styleId="706">
    <w:name w:val="xl107"/>
    <w:basedOn w:val="1"/>
    <w:qFormat/>
    <w:uiPriority w:val="0"/>
    <w:pPr>
      <w:pBdr>
        <w:bottom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707">
    <w:name w:val="默认段落字体 Para Char Char Char Char Char Char Char Char Char Char Char Char Char"/>
    <w:basedOn w:val="1"/>
    <w:qFormat/>
    <w:uiPriority w:val="99"/>
  </w:style>
  <w:style w:type="paragraph" w:customStyle="1" w:styleId="708">
    <w:name w:val="论文正文"/>
    <w:basedOn w:val="21"/>
    <w:qFormat/>
    <w:uiPriority w:val="99"/>
    <w:pPr>
      <w:ind w:firstLine="480"/>
    </w:pPr>
    <w:rPr>
      <w:rFonts w:ascii="宋体" w:hAnsi="宋体"/>
      <w:sz w:val="28"/>
      <w:szCs w:val="24"/>
    </w:rPr>
  </w:style>
  <w:style w:type="paragraph" w:customStyle="1" w:styleId="709">
    <w:name w:val="xl34"/>
    <w:basedOn w:val="1"/>
    <w:qFormat/>
    <w:uiPriority w:val="0"/>
    <w:pPr>
      <w:spacing w:before="100" w:beforeAutospacing="1" w:after="100" w:afterAutospacing="1"/>
      <w:jc w:val="center"/>
    </w:pPr>
    <w:rPr>
      <w:rFonts w:ascii="Arial Unicode MS" w:hAnsi="Arial Unicode MS" w:eastAsia="Arial Unicode MS"/>
      <w:kern w:val="0"/>
      <w:sz w:val="24"/>
    </w:rPr>
  </w:style>
  <w:style w:type="paragraph" w:customStyle="1" w:styleId="710">
    <w:name w:val="样式 标题 2 + Times New Roman 小三 居中"/>
    <w:basedOn w:val="4"/>
    <w:semiHidden/>
    <w:qFormat/>
    <w:uiPriority w:val="0"/>
    <w:pPr>
      <w:spacing w:line="415" w:lineRule="auto"/>
      <w:ind w:firstLine="538" w:firstLineChars="192"/>
    </w:pPr>
    <w:rPr>
      <w:rFonts w:ascii="Times New Roman" w:hAnsi="Times New Roman" w:cs="宋体"/>
      <w:bCs w:val="0"/>
      <w:spacing w:val="4"/>
      <w:sz w:val="30"/>
      <w:szCs w:val="24"/>
    </w:rPr>
  </w:style>
  <w:style w:type="paragraph" w:customStyle="1" w:styleId="711">
    <w:name w:val="表格的文字"/>
    <w:qFormat/>
    <w:uiPriority w:val="0"/>
    <w:rPr>
      <w:rFonts w:ascii="仿宋_GB2312" w:hAnsi="Times New Roman" w:eastAsia="仿宋_GB2312" w:cs="Times New Roman"/>
      <w:lang w:val="en-US" w:eastAsia="zh-CN" w:bidi="ar-SA"/>
    </w:rPr>
  </w:style>
  <w:style w:type="paragraph" w:customStyle="1" w:styleId="712">
    <w:name w:val="图表文字"/>
    <w:basedOn w:val="1"/>
    <w:qFormat/>
    <w:uiPriority w:val="99"/>
    <w:pPr>
      <w:spacing w:line="300" w:lineRule="exact"/>
      <w:jc w:val="center"/>
    </w:pPr>
    <w:rPr>
      <w:bCs/>
      <w:szCs w:val="20"/>
    </w:rPr>
  </w:style>
  <w:style w:type="paragraph" w:customStyle="1" w:styleId="713">
    <w:name w:val="xl108"/>
    <w:basedOn w:val="1"/>
    <w:qFormat/>
    <w:uiPriority w:val="0"/>
    <w:pPr>
      <w:pBdr>
        <w:bottom w:val="single" w:color="auto" w:sz="8"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714">
    <w:name w:val="xl53"/>
    <w:basedOn w:val="1"/>
    <w:qFormat/>
    <w:uiPriority w:val="0"/>
    <w:pPr>
      <w:pBdr>
        <w:top w:val="single" w:color="auto" w:sz="12" w:space="0"/>
        <w:bottom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715">
    <w:name w:val="文本居中"/>
    <w:basedOn w:val="1"/>
    <w:qFormat/>
    <w:uiPriority w:val="99"/>
    <w:pPr>
      <w:adjustRightInd w:val="0"/>
      <w:spacing w:line="360" w:lineRule="auto"/>
      <w:jc w:val="center"/>
    </w:pPr>
    <w:rPr>
      <w:sz w:val="28"/>
    </w:rPr>
  </w:style>
  <w:style w:type="paragraph" w:customStyle="1" w:styleId="716">
    <w:name w:val="xl58"/>
    <w:basedOn w:val="1"/>
    <w:qFormat/>
    <w:uiPriority w:val="0"/>
    <w:pPr>
      <w:spacing w:before="100" w:beforeAutospacing="1" w:after="100" w:afterAutospacing="1"/>
      <w:textAlignment w:val="center"/>
    </w:pPr>
    <w:rPr>
      <w:rFonts w:ascii="Arial Unicode MS" w:hAnsi="Arial Unicode MS"/>
      <w:kern w:val="0"/>
      <w:sz w:val="12"/>
      <w:szCs w:val="12"/>
    </w:rPr>
  </w:style>
  <w:style w:type="paragraph" w:customStyle="1" w:styleId="717">
    <w:name w:val="样式 样式2.4.1 + 段前: 0.5 行"/>
    <w:qFormat/>
    <w:uiPriority w:val="0"/>
    <w:pPr>
      <w:tabs>
        <w:tab w:val="left" w:pos="0"/>
        <w:tab w:val="left" w:pos="1740"/>
      </w:tabs>
      <w:ind w:left="1740" w:hanging="420"/>
    </w:pPr>
    <w:rPr>
      <w:rFonts w:ascii="Times New Roman" w:hAnsi="Times New Roman" w:eastAsia="宋体" w:cs="宋体"/>
      <w:lang w:val="en-US" w:eastAsia="zh-CN" w:bidi="ar-SA"/>
    </w:rPr>
  </w:style>
  <w:style w:type="paragraph" w:customStyle="1" w:styleId="718">
    <w:name w:val="样式2.5.1"/>
    <w:basedOn w:val="1"/>
    <w:qFormat/>
    <w:uiPriority w:val="99"/>
    <w:pPr>
      <w:spacing w:before="156" w:beforeLines="50" w:line="360" w:lineRule="auto"/>
      <w:outlineLvl w:val="2"/>
    </w:pPr>
    <w:rPr>
      <w:b/>
      <w:bCs/>
      <w:color w:val="000000"/>
      <w:sz w:val="28"/>
      <w:szCs w:val="28"/>
    </w:rPr>
  </w:style>
  <w:style w:type="paragraph" w:customStyle="1" w:styleId="719">
    <w:name w:val="样式10"/>
    <w:basedOn w:val="712"/>
    <w:link w:val="2988"/>
    <w:qFormat/>
    <w:uiPriority w:val="0"/>
    <w:pPr>
      <w:adjustRightInd w:val="0"/>
      <w:spacing w:line="240" w:lineRule="auto"/>
      <w:textAlignment w:val="baseline"/>
    </w:pPr>
    <w:rPr>
      <w:rFonts w:ascii="仿宋_GB2312" w:hAnsi="宋体" w:eastAsia="仿宋_GB2312"/>
      <w:color w:val="FF0000"/>
      <w:szCs w:val="21"/>
    </w:rPr>
  </w:style>
  <w:style w:type="paragraph" w:customStyle="1" w:styleId="720">
    <w:name w:val="佛表"/>
    <w:basedOn w:val="65"/>
    <w:qFormat/>
    <w:uiPriority w:val="99"/>
    <w:pPr>
      <w:spacing w:line="0" w:lineRule="atLeast"/>
      <w:ind w:left="0" w:firstLine="0" w:firstLineChars="0"/>
    </w:pPr>
    <w:rPr>
      <w:color w:val="000000"/>
      <w:kern w:val="0"/>
      <w:lang w:val="sq-AL"/>
    </w:rPr>
  </w:style>
  <w:style w:type="paragraph" w:customStyle="1" w:styleId="721">
    <w:name w:val="样式 标题 2节节标题 1.1H2（一）Underrubrik1prop2Heading 2 HiddenHea...1"/>
    <w:basedOn w:val="4"/>
    <w:qFormat/>
    <w:uiPriority w:val="99"/>
    <w:pPr>
      <w:tabs>
        <w:tab w:val="left" w:pos="666"/>
      </w:tabs>
      <w:spacing w:before="50" w:beforeLines="50" w:after="0" w:line="360" w:lineRule="auto"/>
      <w:ind w:left="576" w:hanging="576"/>
    </w:pPr>
    <w:rPr>
      <w:rFonts w:ascii="宋体" w:eastAsia="宋体"/>
      <w:color w:val="000000"/>
      <w:sz w:val="30"/>
    </w:rPr>
  </w:style>
  <w:style w:type="paragraph" w:customStyle="1" w:styleId="722">
    <w:name w:val="Char Char Char Char Char Char Char"/>
    <w:basedOn w:val="1"/>
    <w:qFormat/>
    <w:uiPriority w:val="0"/>
  </w:style>
  <w:style w:type="paragraph" w:customStyle="1" w:styleId="723">
    <w:name w:val="样式 样式2.4.1.1 + 段前: 0.5 行"/>
    <w:qFormat/>
    <w:uiPriority w:val="0"/>
    <w:pPr>
      <w:tabs>
        <w:tab w:val="left" w:pos="0"/>
        <w:tab w:val="left" w:pos="1200"/>
      </w:tabs>
      <w:ind w:left="1200" w:hanging="360"/>
    </w:pPr>
    <w:rPr>
      <w:rFonts w:ascii="Times New Roman" w:hAnsi="Times New Roman" w:eastAsia="宋体" w:cs="宋体"/>
      <w:lang w:val="en-US" w:eastAsia="zh-CN" w:bidi="ar-SA"/>
    </w:rPr>
  </w:style>
  <w:style w:type="paragraph" w:customStyle="1" w:styleId="724">
    <w:name w:val="样式2.5.1.1"/>
    <w:basedOn w:val="1"/>
    <w:qFormat/>
    <w:uiPriority w:val="99"/>
    <w:pPr>
      <w:spacing w:before="156" w:beforeLines="50" w:line="360" w:lineRule="auto"/>
      <w:outlineLvl w:val="3"/>
    </w:pPr>
    <w:rPr>
      <w:b/>
      <w:bCs/>
      <w:color w:val="000000"/>
      <w:sz w:val="24"/>
    </w:rPr>
  </w:style>
  <w:style w:type="paragraph" w:customStyle="1" w:styleId="725">
    <w:name w:val="样式 标题2"/>
    <w:basedOn w:val="1"/>
    <w:qFormat/>
    <w:uiPriority w:val="99"/>
    <w:pPr>
      <w:keepNext/>
      <w:keepLines/>
      <w:spacing w:before="156" w:beforeLines="50" w:line="360" w:lineRule="auto"/>
      <w:outlineLvl w:val="1"/>
    </w:pPr>
    <w:rPr>
      <w:rFonts w:cs="宋体"/>
      <w:b/>
      <w:sz w:val="30"/>
      <w:szCs w:val="20"/>
    </w:rPr>
  </w:style>
  <w:style w:type="paragraph" w:customStyle="1" w:styleId="726">
    <w:name w:val="xl48"/>
    <w:basedOn w:val="1"/>
    <w:qFormat/>
    <w:uiPriority w:val="0"/>
    <w:pPr>
      <w:pBdr>
        <w:left w:val="single" w:color="auto" w:sz="12" w:space="0"/>
        <w:bottom w:val="single" w:color="auto" w:sz="12" w:space="0"/>
      </w:pBdr>
      <w:spacing w:before="100" w:beforeAutospacing="1" w:after="100" w:afterAutospacing="1"/>
    </w:pPr>
    <w:rPr>
      <w:rFonts w:ascii="Arial Unicode MS" w:hAnsi="Arial Unicode MS"/>
      <w:kern w:val="0"/>
      <w:sz w:val="16"/>
      <w:szCs w:val="16"/>
    </w:rPr>
  </w:style>
  <w:style w:type="paragraph" w:customStyle="1" w:styleId="727">
    <w:name w:val="xl37"/>
    <w:basedOn w:val="1"/>
    <w:qFormat/>
    <w:uiPriority w:val="0"/>
    <w:pPr>
      <w:pBdr>
        <w:top w:val="single" w:color="auto" w:sz="8" w:space="0"/>
        <w:left w:val="single" w:color="auto" w:sz="4" w:space="0"/>
        <w:bottom w:val="single" w:color="auto" w:sz="4" w:space="0"/>
        <w:right w:val="single" w:color="auto" w:sz="8" w:space="0"/>
      </w:pBdr>
      <w:shd w:val="clear" w:color="auto" w:fill="FFCC99"/>
      <w:spacing w:before="100" w:beforeAutospacing="1" w:after="100" w:afterAutospacing="1"/>
      <w:jc w:val="center"/>
    </w:pPr>
    <w:rPr>
      <w:rFonts w:hint="eastAsia" w:ascii="宋体" w:hAnsi="宋体"/>
      <w:kern w:val="0"/>
      <w:sz w:val="20"/>
      <w:szCs w:val="20"/>
    </w:rPr>
  </w:style>
  <w:style w:type="paragraph" w:customStyle="1" w:styleId="728">
    <w:name w:val="样式 样式 标题2.2 + 段前: 0.5 行"/>
    <w:qFormat/>
    <w:uiPriority w:val="0"/>
    <w:rPr>
      <w:rFonts w:ascii="Times New Roman" w:hAnsi="Times New Roman" w:eastAsia="宋体" w:cs="Times New Roman"/>
      <w:lang w:val="en-US" w:eastAsia="zh-CN" w:bidi="ar-SA"/>
    </w:rPr>
  </w:style>
  <w:style w:type="paragraph" w:customStyle="1" w:styleId="729">
    <w:name w:val="样式 标题2.2"/>
    <w:qFormat/>
    <w:uiPriority w:val="0"/>
    <w:pPr>
      <w:outlineLvl w:val="2"/>
    </w:pPr>
    <w:rPr>
      <w:rFonts w:ascii="Times New Roman" w:hAnsi="Times New Roman" w:eastAsia="宋体" w:cs="Times New Roman"/>
      <w:lang w:val="en-US" w:eastAsia="zh-CN" w:bidi="ar-SA"/>
    </w:rPr>
  </w:style>
  <w:style w:type="paragraph" w:customStyle="1" w:styleId="730">
    <w:name w:val="标题3  2.6.1"/>
    <w:basedOn w:val="4"/>
    <w:qFormat/>
    <w:uiPriority w:val="99"/>
    <w:pPr>
      <w:spacing w:before="156" w:beforeLines="50" w:after="0" w:line="360" w:lineRule="auto"/>
    </w:pPr>
    <w:rPr>
      <w:rFonts w:ascii="Times New Roman" w:hAnsi="Times New Roman" w:cs="宋体"/>
      <w:sz w:val="28"/>
      <w:szCs w:val="20"/>
    </w:rPr>
  </w:style>
  <w:style w:type="paragraph" w:customStyle="1" w:styleId="731">
    <w:name w:val="默认段落字体 Para Char Char Char1 Char Char Char Char Char Char Char Char Char Char"/>
    <w:basedOn w:val="1"/>
    <w:qFormat/>
    <w:uiPriority w:val="99"/>
    <w:rPr>
      <w:sz w:val="24"/>
    </w:rPr>
  </w:style>
  <w:style w:type="paragraph" w:customStyle="1" w:styleId="732">
    <w:name w:val="样式 正文文本缩进 2 + 红色"/>
    <w:basedOn w:val="51"/>
    <w:qFormat/>
    <w:uiPriority w:val="99"/>
    <w:pPr>
      <w:spacing w:after="0" w:line="300" w:lineRule="auto"/>
      <w:ind w:left="0" w:leftChars="0" w:firstLine="539"/>
    </w:pPr>
    <w:rPr>
      <w:color w:val="FF0000"/>
      <w:sz w:val="24"/>
    </w:rPr>
  </w:style>
  <w:style w:type="paragraph" w:customStyle="1" w:styleId="733">
    <w:name w:val="样式 样式 样式 首行缩进:  2 字符 + 首行缩进:  2 字符 + 首行缩进:  2 字符"/>
    <w:basedOn w:val="1"/>
    <w:qFormat/>
    <w:uiPriority w:val="0"/>
    <w:pPr>
      <w:spacing w:line="360" w:lineRule="auto"/>
      <w:ind w:firstLine="480" w:firstLineChars="200"/>
    </w:pPr>
    <w:rPr>
      <w:rFonts w:eastAsia="仿宋_GB2312"/>
      <w:sz w:val="24"/>
      <w:szCs w:val="20"/>
    </w:rPr>
  </w:style>
  <w:style w:type="paragraph" w:customStyle="1" w:styleId="734">
    <w:name w:val="样式 标题 2节节标题 1.1H2（一）Underrubrik1prop2Heading 2 HiddenHea...2"/>
    <w:basedOn w:val="4"/>
    <w:qFormat/>
    <w:uiPriority w:val="99"/>
    <w:pPr>
      <w:tabs>
        <w:tab w:val="left" w:pos="576"/>
      </w:tabs>
      <w:spacing w:before="156" w:beforeLines="50" w:after="0" w:line="360" w:lineRule="auto"/>
    </w:pPr>
    <w:rPr>
      <w:rFonts w:ascii="宋体" w:eastAsia="宋体"/>
      <w:color w:val="000000"/>
      <w:sz w:val="30"/>
    </w:rPr>
  </w:style>
  <w:style w:type="paragraph" w:customStyle="1" w:styleId="735">
    <w:name w:val="xl128"/>
    <w:basedOn w:val="1"/>
    <w:qFormat/>
    <w:uiPriority w:val="99"/>
    <w:pPr>
      <w:pBdr>
        <w:bottom w:val="single" w:color="auto" w:sz="8"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736">
    <w:name w:val="xl51"/>
    <w:basedOn w:val="1"/>
    <w:qFormat/>
    <w:uiPriority w:val="0"/>
    <w:pPr>
      <w:pBdr>
        <w:left w:val="single" w:color="auto" w:sz="4" w:space="0"/>
        <w:bottom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737">
    <w:name w:val="图文字"/>
    <w:basedOn w:val="1"/>
    <w:qFormat/>
    <w:uiPriority w:val="0"/>
    <w:pPr>
      <w:spacing w:line="400" w:lineRule="exact"/>
      <w:jc w:val="center"/>
    </w:pPr>
    <w:rPr>
      <w:rFonts w:ascii="宋体" w:hAnsi="宋体"/>
      <w:kern w:val="44"/>
      <w:sz w:val="24"/>
    </w:rPr>
  </w:style>
  <w:style w:type="paragraph" w:customStyle="1" w:styleId="738">
    <w:name w:val="样式 Times New Roman 四号 加粗 行距: 1.5 倍行距"/>
    <w:qFormat/>
    <w:uiPriority w:val="0"/>
    <w:rPr>
      <w:rFonts w:ascii="Times New Roman" w:hAnsi="Times New Roman" w:eastAsia="宋体" w:cs="Times New Roman"/>
      <w:bCs/>
      <w:sz w:val="24"/>
      <w:lang w:val="en-US" w:eastAsia="zh-CN" w:bidi="ar-SA"/>
    </w:rPr>
  </w:style>
  <w:style w:type="paragraph" w:customStyle="1" w:styleId="739">
    <w:name w:val="样式 标题 3条标题1.1.1H3BOD 0Heading 3 - oldLevel 3 Headh33rd le...1"/>
    <w:basedOn w:val="5"/>
    <w:qFormat/>
    <w:uiPriority w:val="99"/>
    <w:pPr>
      <w:spacing w:before="156" w:beforeLines="50" w:after="0" w:line="360" w:lineRule="auto"/>
    </w:pPr>
    <w:rPr>
      <w:rFonts w:cs="宋体"/>
      <w:bCs w:val="0"/>
      <w:sz w:val="28"/>
      <w:szCs w:val="20"/>
    </w:rPr>
  </w:style>
  <w:style w:type="paragraph" w:customStyle="1" w:styleId="740">
    <w:name w:val="样式110"/>
    <w:basedOn w:val="700"/>
    <w:qFormat/>
    <w:uiPriority w:val="99"/>
    <w:pPr>
      <w:adjustRightInd w:val="0"/>
    </w:pPr>
  </w:style>
  <w:style w:type="paragraph" w:customStyle="1" w:styleId="741">
    <w:name w:val="ST20_1"/>
    <w:basedOn w:val="1"/>
    <w:qFormat/>
    <w:uiPriority w:val="0"/>
    <w:pPr>
      <w:autoSpaceDE w:val="0"/>
      <w:autoSpaceDN w:val="0"/>
      <w:adjustRightInd w:val="0"/>
      <w:spacing w:line="312" w:lineRule="atLeast"/>
      <w:jc w:val="center"/>
      <w:textAlignment w:val="baseline"/>
    </w:pPr>
    <w:rPr>
      <w:rFonts w:ascii="宋体" w:hAnsi="Tms Rmn"/>
      <w:kern w:val="0"/>
      <w:sz w:val="24"/>
      <w:szCs w:val="20"/>
    </w:rPr>
  </w:style>
  <w:style w:type="paragraph" w:customStyle="1" w:styleId="742">
    <w:name w:val="xl148"/>
    <w:basedOn w:val="1"/>
    <w:qFormat/>
    <w:uiPriority w:val="99"/>
    <w:pPr>
      <w:pBdr>
        <w:bottom w:val="single" w:color="auto" w:sz="8" w:space="0"/>
      </w:pBdr>
      <w:spacing w:before="100" w:beforeAutospacing="1" w:after="100" w:afterAutospacing="1"/>
    </w:pPr>
    <w:rPr>
      <w:rFonts w:ascii="Arial Unicode MS" w:hAnsi="Arial Unicode MS"/>
      <w:kern w:val="0"/>
    </w:rPr>
  </w:style>
  <w:style w:type="paragraph" w:customStyle="1" w:styleId="743">
    <w:name w:val="公式样式1"/>
    <w:basedOn w:val="1"/>
    <w:qFormat/>
    <w:uiPriority w:val="99"/>
    <w:pPr>
      <w:tabs>
        <w:tab w:val="left" w:pos="2520"/>
      </w:tabs>
      <w:spacing w:line="360" w:lineRule="auto"/>
      <w:ind w:firstLine="235" w:firstLineChars="100"/>
    </w:pPr>
    <w:rPr>
      <w:rFonts w:ascii="宋体" w:hAnsi="Arial Black"/>
      <w:szCs w:val="20"/>
    </w:rPr>
  </w:style>
  <w:style w:type="paragraph" w:customStyle="1" w:styleId="744">
    <w:name w:val="样式31"/>
    <w:basedOn w:val="1"/>
    <w:qFormat/>
    <w:uiPriority w:val="99"/>
    <w:pPr>
      <w:autoSpaceDE w:val="0"/>
      <w:autoSpaceDN w:val="0"/>
      <w:adjustRightInd w:val="0"/>
      <w:jc w:val="center"/>
    </w:pPr>
    <w:rPr>
      <w:rFonts w:hAnsi="宋体"/>
      <w:kern w:val="0"/>
      <w:szCs w:val="21"/>
    </w:rPr>
  </w:style>
  <w:style w:type="paragraph" w:customStyle="1" w:styleId="745">
    <w:name w:val="正文样式3"/>
    <w:basedOn w:val="1"/>
    <w:qFormat/>
    <w:uiPriority w:val="0"/>
    <w:pPr>
      <w:keepLines/>
      <w:adjustRightInd w:val="0"/>
      <w:spacing w:line="20" w:lineRule="atLeast"/>
      <w:ind w:firstLine="200" w:firstLineChars="200"/>
      <w:jc w:val="center"/>
      <w:textAlignment w:val="baseline"/>
    </w:pPr>
    <w:rPr>
      <w:rFonts w:eastAsia="仿宋_GB2312"/>
      <w:kern w:val="0"/>
      <w:sz w:val="24"/>
      <w:szCs w:val="20"/>
    </w:rPr>
  </w:style>
  <w:style w:type="paragraph" w:customStyle="1" w:styleId="746">
    <w:name w:val="样式 样式 标题2 + 段前: 0.5 行"/>
    <w:basedOn w:val="725"/>
    <w:qFormat/>
    <w:uiPriority w:val="99"/>
    <w:pPr>
      <w:spacing w:beforeLines="0"/>
    </w:pPr>
    <w:rPr>
      <w:bCs/>
    </w:rPr>
  </w:style>
  <w:style w:type="paragraph" w:customStyle="1" w:styleId="747">
    <w:name w:val="xl45"/>
    <w:basedOn w:val="1"/>
    <w:qFormat/>
    <w:uiPriority w:val="0"/>
    <w:pPr>
      <w:pBdr>
        <w:bottom w:val="single" w:color="auto" w:sz="12" w:space="0"/>
        <w:right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748">
    <w:name w:val="xl113"/>
    <w:basedOn w:val="1"/>
    <w:qFormat/>
    <w:uiPriority w:val="0"/>
    <w:pPr>
      <w:pBdr>
        <w:top w:val="single" w:color="auto" w:sz="8" w:space="0"/>
        <w:bottom w:val="single" w:color="auto" w:sz="12" w:space="0"/>
      </w:pBdr>
      <w:spacing w:before="100" w:beforeAutospacing="1" w:after="100" w:afterAutospacing="1"/>
    </w:pPr>
    <w:rPr>
      <w:rFonts w:ascii="Arial Unicode MS" w:hAnsi="Arial Unicode MS"/>
      <w:kern w:val="0"/>
      <w:sz w:val="16"/>
      <w:szCs w:val="16"/>
    </w:rPr>
  </w:style>
  <w:style w:type="paragraph" w:customStyle="1" w:styleId="749">
    <w:name w:val="纯文本表内文字"/>
    <w:basedOn w:val="45"/>
    <w:qFormat/>
    <w:uiPriority w:val="99"/>
    <w:rPr>
      <w:rFonts w:ascii="Arial" w:hAnsi="Arial"/>
      <w:snapToGrid w:val="0"/>
      <w:spacing w:val="10"/>
      <w:kern w:val="0"/>
    </w:rPr>
  </w:style>
  <w:style w:type="paragraph" w:customStyle="1" w:styleId="750">
    <w:name w:val="样式 样式11.1 + 段前: 0.5 行"/>
    <w:qFormat/>
    <w:uiPriority w:val="0"/>
    <w:pPr>
      <w:tabs>
        <w:tab w:val="left" w:pos="0"/>
        <w:tab w:val="left" w:pos="1320"/>
      </w:tabs>
      <w:ind w:left="1320" w:hanging="420"/>
    </w:pPr>
    <w:rPr>
      <w:rFonts w:ascii="Times New Roman" w:hAnsi="Times New Roman" w:eastAsia="宋体" w:cs="宋体"/>
      <w:bCs/>
      <w:lang w:val="en-US" w:eastAsia="zh-CN" w:bidi="ar-SA"/>
    </w:rPr>
  </w:style>
  <w:style w:type="paragraph" w:customStyle="1" w:styleId="751">
    <w:name w:val="样式11.1"/>
    <w:basedOn w:val="4"/>
    <w:qFormat/>
    <w:uiPriority w:val="99"/>
    <w:pPr>
      <w:spacing w:before="156" w:beforeLines="50" w:after="0" w:line="360" w:lineRule="auto"/>
    </w:pPr>
    <w:rPr>
      <w:rFonts w:ascii="Times New Roman" w:hAnsi="Times New Roman" w:eastAsia="宋体"/>
      <w:bCs w:val="0"/>
      <w:sz w:val="30"/>
      <w:szCs w:val="30"/>
    </w:rPr>
  </w:style>
  <w:style w:type="paragraph" w:customStyle="1" w:styleId="752">
    <w:name w:val="标题3"/>
    <w:basedOn w:val="5"/>
    <w:qFormat/>
    <w:uiPriority w:val="0"/>
    <w:pPr>
      <w:spacing w:before="120" w:after="120" w:line="360" w:lineRule="auto"/>
    </w:pPr>
    <w:rPr>
      <w:rFonts w:cs="宋体"/>
      <w:sz w:val="28"/>
      <w:szCs w:val="20"/>
    </w:rPr>
  </w:style>
  <w:style w:type="paragraph" w:customStyle="1" w:styleId="753">
    <w:name w:val="xl75"/>
    <w:basedOn w:val="1"/>
    <w:qFormat/>
    <w:uiPriority w:val="0"/>
    <w:pPr>
      <w:spacing w:before="100" w:beforeAutospacing="1" w:after="100" w:afterAutospacing="1"/>
    </w:pPr>
    <w:rPr>
      <w:kern w:val="0"/>
      <w:sz w:val="12"/>
      <w:szCs w:val="12"/>
    </w:rPr>
  </w:style>
  <w:style w:type="paragraph" w:customStyle="1" w:styleId="754">
    <w:name w:val="MFS正文 Char Char"/>
    <w:basedOn w:val="86"/>
    <w:qFormat/>
    <w:uiPriority w:val="0"/>
    <w:pPr>
      <w:spacing w:before="93"/>
      <w:ind w:firstLine="487" w:firstLineChars="200"/>
    </w:pPr>
    <w:rPr>
      <w:rFonts w:eastAsia="楷体_GB2312"/>
      <w:sz w:val="24"/>
    </w:rPr>
  </w:style>
  <w:style w:type="paragraph" w:customStyle="1" w:styleId="755">
    <w:name w:val="3级标题"/>
    <w:basedOn w:val="1"/>
    <w:link w:val="2997"/>
    <w:qFormat/>
    <w:uiPriority w:val="0"/>
    <w:pPr>
      <w:outlineLvl w:val="2"/>
    </w:pPr>
    <w:rPr>
      <w:rFonts w:cs="宋体"/>
      <w:b/>
      <w:sz w:val="28"/>
      <w:szCs w:val="20"/>
    </w:rPr>
  </w:style>
  <w:style w:type="paragraph" w:customStyle="1" w:styleId="756">
    <w:name w:val="6"/>
    <w:basedOn w:val="1"/>
    <w:next w:val="75"/>
    <w:qFormat/>
    <w:uiPriority w:val="0"/>
    <w:pPr>
      <w:spacing w:after="120" w:line="480" w:lineRule="auto"/>
    </w:pPr>
  </w:style>
  <w:style w:type="paragraph" w:customStyle="1" w:styleId="757">
    <w:name w:val="样式 样式 标题2.2 + 段前: 0.5 行1"/>
    <w:basedOn w:val="729"/>
    <w:qFormat/>
    <w:uiPriority w:val="0"/>
    <w:pPr>
      <w:tabs>
        <w:tab w:val="left" w:pos="0"/>
        <w:tab w:val="left" w:pos="1260"/>
      </w:tabs>
      <w:ind w:left="1260" w:hanging="420"/>
    </w:pPr>
  </w:style>
  <w:style w:type="paragraph" w:customStyle="1" w:styleId="758">
    <w:name w:val="正文居中"/>
    <w:basedOn w:val="59"/>
    <w:qFormat/>
    <w:uiPriority w:val="0"/>
    <w:pPr>
      <w:tabs>
        <w:tab w:val="right" w:leader="dot" w:pos="9060"/>
      </w:tabs>
      <w:adjustRightInd w:val="0"/>
      <w:spacing w:before="0" w:after="0" w:line="360" w:lineRule="auto"/>
      <w:jc w:val="center"/>
    </w:pPr>
    <w:rPr>
      <w:rFonts w:ascii="宋体" w:hAnsi="Arial"/>
      <w:b w:val="0"/>
      <w:sz w:val="28"/>
      <w:szCs w:val="28"/>
    </w:rPr>
  </w:style>
  <w:style w:type="paragraph" w:customStyle="1" w:styleId="759">
    <w:name w:val="xl2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kern w:val="0"/>
      <w:sz w:val="24"/>
    </w:rPr>
  </w:style>
  <w:style w:type="paragraph" w:customStyle="1" w:styleId="760">
    <w:name w:val="main"/>
    <w:basedOn w:val="1"/>
    <w:qFormat/>
    <w:uiPriority w:val="99"/>
    <w:pPr>
      <w:spacing w:before="100" w:beforeAutospacing="1" w:after="100" w:afterAutospacing="1"/>
    </w:pPr>
    <w:rPr>
      <w:rFonts w:ascii="宋体" w:hAnsi="宋体" w:cs="宋体"/>
      <w:color w:val="000000"/>
      <w:kern w:val="0"/>
      <w:sz w:val="24"/>
    </w:rPr>
  </w:style>
  <w:style w:type="paragraph" w:customStyle="1" w:styleId="761">
    <w:name w:val="p0"/>
    <w:basedOn w:val="1"/>
    <w:qFormat/>
    <w:uiPriority w:val="0"/>
    <w:pPr>
      <w:ind w:firstLine="420"/>
    </w:pPr>
    <w:rPr>
      <w:rFonts w:ascii="Plotter" w:hAnsi="Plotter" w:cs="Plotter"/>
      <w:kern w:val="0"/>
      <w:sz w:val="20"/>
      <w:szCs w:val="20"/>
    </w:rPr>
  </w:style>
  <w:style w:type="paragraph" w:customStyle="1" w:styleId="762">
    <w:name w:val="注"/>
    <w:basedOn w:val="1"/>
    <w:next w:val="1"/>
    <w:qFormat/>
    <w:uiPriority w:val="99"/>
    <w:pPr>
      <w:spacing w:before="60" w:after="60" w:line="312" w:lineRule="auto"/>
    </w:pPr>
    <w:rPr>
      <w:rFonts w:eastAsia="黑体"/>
      <w:kern w:val="0"/>
      <w:szCs w:val="20"/>
    </w:rPr>
  </w:style>
  <w:style w:type="paragraph" w:customStyle="1" w:styleId="763">
    <w:name w:val="xl157"/>
    <w:basedOn w:val="1"/>
    <w:qFormat/>
    <w:uiPriority w:val="99"/>
    <w:pPr>
      <w:pBdr>
        <w:left w:val="single" w:color="auto" w:sz="4" w:space="0"/>
        <w:bottom w:val="single" w:color="auto" w:sz="4" w:space="0"/>
        <w:right w:val="single" w:color="auto" w:sz="4" w:space="0"/>
      </w:pBdr>
      <w:spacing w:before="100" w:beforeAutospacing="1" w:after="100" w:afterAutospacing="1"/>
    </w:pPr>
    <w:rPr>
      <w:rFonts w:ascii="Arial Unicode MS" w:hAnsi="Arial Unicode MS"/>
      <w:kern w:val="0"/>
      <w:sz w:val="20"/>
      <w:szCs w:val="20"/>
    </w:rPr>
  </w:style>
  <w:style w:type="paragraph" w:customStyle="1" w:styleId="764">
    <w:name w:val="xl86"/>
    <w:basedOn w:val="1"/>
    <w:qFormat/>
    <w:uiPriority w:val="0"/>
    <w:pPr>
      <w:spacing w:before="100" w:beforeAutospacing="1" w:after="100" w:afterAutospacing="1"/>
      <w:jc w:val="center"/>
      <w:textAlignment w:val="center"/>
    </w:pPr>
    <w:rPr>
      <w:rFonts w:ascii="Arial Unicode MS" w:hAnsi="Arial Unicode MS"/>
      <w:kern w:val="0"/>
      <w:sz w:val="12"/>
      <w:szCs w:val="12"/>
    </w:rPr>
  </w:style>
  <w:style w:type="paragraph" w:customStyle="1" w:styleId="765">
    <w:name w:val="样式 正文001 + 首行缩进:  2 字符1"/>
    <w:basedOn w:val="1"/>
    <w:qFormat/>
    <w:uiPriority w:val="99"/>
    <w:pPr>
      <w:spacing w:before="60" w:line="460" w:lineRule="atLeast"/>
      <w:ind w:firstLine="480" w:firstLineChars="200"/>
    </w:pPr>
    <w:rPr>
      <w:rFonts w:cs="宋体"/>
      <w:sz w:val="24"/>
      <w:szCs w:val="20"/>
    </w:rPr>
  </w:style>
  <w:style w:type="paragraph" w:customStyle="1" w:styleId="766">
    <w:name w:val="标题水污染"/>
    <w:basedOn w:val="6"/>
    <w:qFormat/>
    <w:uiPriority w:val="99"/>
    <w:pPr>
      <w:tabs>
        <w:tab w:val="left" w:pos="0"/>
        <w:tab w:val="left" w:pos="2160"/>
      </w:tabs>
      <w:ind w:left="2160" w:hanging="420"/>
    </w:pPr>
    <w:rPr>
      <w:rFonts w:ascii="宋体" w:hAnsi="Arial"/>
      <w:b w:val="0"/>
      <w:color w:val="000000"/>
      <w:szCs w:val="28"/>
    </w:rPr>
  </w:style>
  <w:style w:type="paragraph" w:customStyle="1" w:styleId="767">
    <w:name w:val="xl73"/>
    <w:basedOn w:val="1"/>
    <w:qFormat/>
    <w:uiPriority w:val="0"/>
    <w:pPr>
      <w:spacing w:before="100" w:beforeAutospacing="1" w:after="100" w:afterAutospacing="1"/>
    </w:pPr>
    <w:rPr>
      <w:rFonts w:ascii="Arial Unicode MS" w:hAnsi="Arial Unicode MS"/>
      <w:kern w:val="0"/>
    </w:rPr>
  </w:style>
  <w:style w:type="paragraph" w:customStyle="1" w:styleId="768">
    <w:name w:val="xl136"/>
    <w:basedOn w:val="1"/>
    <w:qFormat/>
    <w:uiPriority w:val="99"/>
    <w:pPr>
      <w:spacing w:before="100" w:beforeAutospacing="1" w:after="100" w:afterAutospacing="1"/>
    </w:pPr>
    <w:rPr>
      <w:rFonts w:ascii="Arial Unicode MS" w:hAnsi="Arial Unicode MS"/>
      <w:kern w:val="0"/>
      <w:sz w:val="12"/>
      <w:szCs w:val="12"/>
    </w:rPr>
  </w:style>
  <w:style w:type="paragraph" w:customStyle="1" w:styleId="769">
    <w:name w:val="xl42"/>
    <w:basedOn w:val="1"/>
    <w:qFormat/>
    <w:uiPriority w:val="0"/>
    <w:pPr>
      <w:pBdr>
        <w:top w:val="single" w:color="auto" w:sz="12" w:space="0"/>
        <w:right w:val="single" w:color="auto" w:sz="12" w:space="0"/>
      </w:pBdr>
      <w:spacing w:before="100" w:beforeAutospacing="1" w:after="100" w:afterAutospacing="1"/>
    </w:pPr>
    <w:rPr>
      <w:rFonts w:ascii="Arial Unicode MS" w:hAnsi="Arial Unicode MS"/>
      <w:kern w:val="0"/>
      <w:sz w:val="16"/>
      <w:szCs w:val="16"/>
    </w:rPr>
  </w:style>
  <w:style w:type="paragraph" w:customStyle="1" w:styleId="770">
    <w:name w:val="xl181"/>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771">
    <w:name w:val="7"/>
    <w:basedOn w:val="1"/>
    <w:next w:val="21"/>
    <w:qFormat/>
    <w:uiPriority w:val="0"/>
    <w:pPr>
      <w:adjustRightInd w:val="0"/>
      <w:snapToGrid w:val="0"/>
      <w:spacing w:line="312" w:lineRule="auto"/>
      <w:ind w:firstLine="200" w:firstLineChars="200"/>
    </w:pPr>
    <w:rPr>
      <w:rFonts w:ascii="仿宋_GB2312" w:eastAsia="仿宋_GB2312"/>
      <w:sz w:val="28"/>
    </w:rPr>
  </w:style>
  <w:style w:type="paragraph" w:customStyle="1" w:styleId="772">
    <w:name w:val="xl89"/>
    <w:basedOn w:val="1"/>
    <w:qFormat/>
    <w:uiPriority w:val="0"/>
    <w:pPr>
      <w:spacing w:before="100" w:beforeAutospacing="1" w:after="100" w:afterAutospacing="1"/>
      <w:jc w:val="center"/>
      <w:textAlignment w:val="center"/>
    </w:pPr>
    <w:rPr>
      <w:rFonts w:ascii="Arial Unicode MS" w:hAnsi="Arial Unicode MS"/>
      <w:kern w:val="0"/>
      <w:sz w:val="12"/>
      <w:szCs w:val="12"/>
    </w:rPr>
  </w:style>
  <w:style w:type="paragraph" w:customStyle="1" w:styleId="773">
    <w:name w:val="宏福4"/>
    <w:basedOn w:val="1"/>
    <w:qFormat/>
    <w:uiPriority w:val="99"/>
    <w:pPr>
      <w:adjustRightInd w:val="0"/>
      <w:spacing w:line="400" w:lineRule="atLeast"/>
      <w:ind w:firstLine="567"/>
      <w:textAlignment w:val="baseline"/>
    </w:pPr>
    <w:rPr>
      <w:sz w:val="28"/>
      <w:szCs w:val="28"/>
    </w:rPr>
  </w:style>
  <w:style w:type="paragraph" w:customStyle="1" w:styleId="774">
    <w:name w:val="样式15"/>
    <w:basedOn w:val="1"/>
    <w:link w:val="2657"/>
    <w:qFormat/>
    <w:uiPriority w:val="0"/>
    <w:pPr>
      <w:shd w:val="clear" w:color="auto" w:fill="FFFFFF"/>
      <w:spacing w:before="156" w:beforeLines="50" w:line="360" w:lineRule="auto"/>
      <w:textAlignment w:val="baseline"/>
      <w:outlineLvl w:val="3"/>
    </w:pPr>
    <w:rPr>
      <w:rFonts w:ascii="仿宋_GB2312" w:hAnsi="宋体"/>
      <w:sz w:val="24"/>
    </w:rPr>
  </w:style>
  <w:style w:type="paragraph" w:customStyle="1" w:styleId="775">
    <w:name w:val="样式12"/>
    <w:basedOn w:val="700"/>
    <w:link w:val="2069"/>
    <w:qFormat/>
    <w:uiPriority w:val="0"/>
    <w:pPr>
      <w:adjustRightInd w:val="0"/>
    </w:pPr>
    <w:rPr>
      <w:rFonts w:ascii="仿宋_GB2312" w:hAnsi="宋体" w:eastAsia="仿宋_GB2312"/>
      <w:b/>
      <w:color w:val="FF0000"/>
      <w:szCs w:val="30"/>
    </w:rPr>
  </w:style>
  <w:style w:type="paragraph" w:customStyle="1" w:styleId="776">
    <w:name w:val="正文文字"/>
    <w:basedOn w:val="1"/>
    <w:qFormat/>
    <w:uiPriority w:val="0"/>
    <w:pPr>
      <w:adjustRightInd w:val="0"/>
      <w:spacing w:line="360" w:lineRule="auto"/>
      <w:textAlignment w:val="baseline"/>
    </w:pPr>
    <w:rPr>
      <w:rFonts w:ascii="仿宋_GB2312" w:hAnsi="Arial Black" w:eastAsia="仿宋_GB2312" w:cs="仿宋_GB2312"/>
      <w:kern w:val="0"/>
      <w:sz w:val="28"/>
      <w:szCs w:val="28"/>
    </w:rPr>
  </w:style>
  <w:style w:type="paragraph" w:customStyle="1" w:styleId="777">
    <w:name w:val="EIA正文"/>
    <w:basedOn w:val="1"/>
    <w:qFormat/>
    <w:uiPriority w:val="99"/>
    <w:pPr>
      <w:ind w:firstLine="200" w:firstLineChars="200"/>
    </w:pPr>
    <w:rPr>
      <w:color w:val="000000"/>
      <w:sz w:val="24"/>
      <w:szCs w:val="20"/>
    </w:rPr>
  </w:style>
  <w:style w:type="paragraph" w:customStyle="1" w:styleId="778">
    <w:name w:val="font11"/>
    <w:basedOn w:val="1"/>
    <w:qFormat/>
    <w:uiPriority w:val="0"/>
    <w:pPr>
      <w:spacing w:before="100" w:beforeAutospacing="1" w:after="100" w:afterAutospacing="1"/>
    </w:pPr>
    <w:rPr>
      <w:rFonts w:hint="eastAsia" w:ascii="宋体" w:hAnsi="宋体"/>
      <w:color w:val="000000"/>
      <w:kern w:val="0"/>
      <w:sz w:val="20"/>
      <w:szCs w:val="20"/>
    </w:rPr>
  </w:style>
  <w:style w:type="paragraph" w:customStyle="1" w:styleId="779">
    <w:name w:val="xl221"/>
    <w:basedOn w:val="1"/>
    <w:qFormat/>
    <w:uiPriority w:val="99"/>
    <w:pPr>
      <w:pBdr>
        <w:top w:val="single" w:color="auto" w:sz="8" w:space="0"/>
        <w:left w:val="single" w:color="auto" w:sz="8" w:space="0"/>
        <w:bottom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780">
    <w:name w:val="样式4"/>
    <w:basedOn w:val="1"/>
    <w:link w:val="2413"/>
    <w:qFormat/>
    <w:uiPriority w:val="0"/>
    <w:pPr>
      <w:spacing w:line="480" w:lineRule="exact"/>
    </w:pPr>
    <w:rPr>
      <w:rFonts w:eastAsia="华康简宋"/>
      <w:spacing w:val="-10"/>
      <w:sz w:val="24"/>
    </w:rPr>
  </w:style>
  <w:style w:type="paragraph" w:customStyle="1" w:styleId="781">
    <w:name w:val="样式 报告 Char + 加粗 居中 首行缩进:  0.85 厘米 段后: 3 磅 行距: 1.5 倍行距"/>
    <w:basedOn w:val="1"/>
    <w:qFormat/>
    <w:uiPriority w:val="99"/>
    <w:pPr>
      <w:overflowPunct w:val="0"/>
      <w:autoSpaceDE w:val="0"/>
      <w:autoSpaceDN w:val="0"/>
      <w:adjustRightInd w:val="0"/>
      <w:spacing w:before="120" w:after="60" w:line="360" w:lineRule="auto"/>
      <w:jc w:val="center"/>
      <w:textAlignment w:val="baseline"/>
    </w:pPr>
    <w:rPr>
      <w:rFonts w:ascii="Plotter" w:hAnsi="Plotter" w:cs="Arial Unicode MS"/>
      <w:b/>
      <w:bCs/>
      <w:kern w:val="0"/>
      <w:sz w:val="24"/>
      <w:szCs w:val="20"/>
    </w:rPr>
  </w:style>
  <w:style w:type="paragraph" w:customStyle="1" w:styleId="782">
    <w:name w:val="样式2.3.1"/>
    <w:basedOn w:val="1"/>
    <w:qFormat/>
    <w:uiPriority w:val="99"/>
    <w:pPr>
      <w:tabs>
        <w:tab w:val="left" w:pos="0"/>
      </w:tabs>
      <w:spacing w:before="156" w:beforeLines="50" w:line="360" w:lineRule="auto"/>
      <w:outlineLvl w:val="2"/>
    </w:pPr>
    <w:rPr>
      <w:b/>
      <w:bCs/>
      <w:color w:val="000000"/>
      <w:sz w:val="28"/>
      <w:szCs w:val="28"/>
    </w:rPr>
  </w:style>
  <w:style w:type="paragraph" w:customStyle="1" w:styleId="783">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784">
    <w:name w:val="xl175"/>
    <w:basedOn w:val="1"/>
    <w:qFormat/>
    <w:uiPriority w:val="99"/>
    <w:pPr>
      <w:pBdr>
        <w:left w:val="single" w:color="auto" w:sz="12" w:space="0"/>
        <w:right w:val="single" w:color="auto" w:sz="4" w:space="0"/>
      </w:pBdr>
      <w:spacing w:before="100" w:beforeAutospacing="1" w:after="100" w:afterAutospacing="1"/>
    </w:pPr>
    <w:rPr>
      <w:rFonts w:ascii="Arial Unicode MS" w:hAnsi="Arial Unicode MS"/>
      <w:kern w:val="0"/>
    </w:rPr>
  </w:style>
  <w:style w:type="paragraph" w:customStyle="1" w:styleId="785">
    <w:name w:val="xl131"/>
    <w:basedOn w:val="1"/>
    <w:qFormat/>
    <w:uiPriority w:val="99"/>
    <w:pPr>
      <w:pBdr>
        <w:left w:val="single" w:color="auto" w:sz="4" w:space="0"/>
        <w:right w:val="single" w:color="auto" w:sz="8" w:space="0"/>
      </w:pBdr>
      <w:spacing w:before="100" w:beforeAutospacing="1" w:after="100" w:afterAutospacing="1"/>
    </w:pPr>
    <w:rPr>
      <w:rFonts w:ascii="Arial Unicode MS" w:hAnsi="Arial Unicode MS"/>
      <w:kern w:val="0"/>
    </w:rPr>
  </w:style>
  <w:style w:type="paragraph" w:customStyle="1" w:styleId="786">
    <w:name w:val="xl43"/>
    <w:basedOn w:val="1"/>
    <w:qFormat/>
    <w:uiPriority w:val="0"/>
    <w:pPr>
      <w:pBdr>
        <w:right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787">
    <w:name w:val="Char Char Char Char Char Char Char Char Char Char Char Char Char Char Char Char"/>
    <w:basedOn w:val="1"/>
    <w:qFormat/>
    <w:uiPriority w:val="0"/>
  </w:style>
  <w:style w:type="paragraph" w:customStyle="1" w:styleId="788">
    <w:name w:val="Char Char Char Char Char Char Char1"/>
    <w:basedOn w:val="1"/>
    <w:qFormat/>
    <w:uiPriority w:val="0"/>
    <w:rPr>
      <w:sz w:val="24"/>
    </w:rPr>
  </w:style>
  <w:style w:type="paragraph" w:customStyle="1" w:styleId="789">
    <w:name w:val="xl184"/>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790">
    <w:name w:val="样式 标题 4标题 4 CharbulletblbbPIM 4H4h4Heading Four款标题1.1.1..."/>
    <w:basedOn w:val="6"/>
    <w:qFormat/>
    <w:uiPriority w:val="99"/>
    <w:rPr>
      <w:rFonts w:ascii="宋体" w:hAnsi="宋体"/>
      <w:bCs w:val="0"/>
      <w:szCs w:val="28"/>
    </w:rPr>
  </w:style>
  <w:style w:type="paragraph" w:customStyle="1" w:styleId="791">
    <w:name w:val="章"/>
    <w:basedOn w:val="1"/>
    <w:qFormat/>
    <w:uiPriority w:val="99"/>
    <w:pPr>
      <w:spacing w:line="360" w:lineRule="auto"/>
    </w:pPr>
    <w:rPr>
      <w:szCs w:val="20"/>
    </w:rPr>
  </w:style>
  <w:style w:type="paragraph" w:customStyle="1" w:styleId="792">
    <w:name w:val="oa13"/>
    <w:basedOn w:val="1"/>
    <w:qFormat/>
    <w:uiPriority w:val="99"/>
    <w:pPr>
      <w:pBdr>
        <w:top w:val="single" w:color="000000" w:sz="4" w:space="0"/>
        <w:left w:val="single" w:color="000000" w:sz="8" w:space="0"/>
        <w:bottom w:val="single" w:color="000000" w:sz="4" w:space="0"/>
        <w:right w:val="single" w:color="000000" w:sz="4" w:space="0"/>
      </w:pBdr>
      <w:spacing w:before="100" w:beforeAutospacing="1" w:after="100" w:afterAutospacing="1"/>
      <w:textAlignment w:val="top"/>
    </w:pPr>
    <w:rPr>
      <w:rFonts w:ascii="宋体" w:hAnsi="宋体" w:cs="宋体"/>
      <w:kern w:val="0"/>
      <w:sz w:val="24"/>
    </w:rPr>
  </w:style>
  <w:style w:type="paragraph" w:customStyle="1" w:styleId="793">
    <w:name w:val="oa5"/>
    <w:basedOn w:val="1"/>
    <w:qFormat/>
    <w:uiPriority w:val="99"/>
    <w:pPr>
      <w:pBdr>
        <w:top w:val="single" w:color="000000" w:sz="4" w:space="0"/>
        <w:left w:val="single" w:color="000000" w:sz="8"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794">
    <w:name w:val="高表内"/>
    <w:basedOn w:val="45"/>
    <w:qFormat/>
    <w:uiPriority w:val="0"/>
    <w:pPr>
      <w:autoSpaceDE w:val="0"/>
      <w:adjustRightInd w:val="0"/>
      <w:spacing w:line="240" w:lineRule="auto"/>
      <w:jc w:val="center"/>
      <w:textAlignment w:val="baseline"/>
    </w:pPr>
    <w:rPr>
      <w:rFonts w:ascii="Arial" w:hAnsi="Arial" w:eastAsia="楷体_GB2312"/>
      <w:sz w:val="24"/>
      <w:szCs w:val="24"/>
    </w:rPr>
  </w:style>
  <w:style w:type="paragraph" w:customStyle="1" w:styleId="795">
    <w:name w:val="Plain Text1"/>
    <w:basedOn w:val="1"/>
    <w:qFormat/>
    <w:uiPriority w:val="0"/>
    <w:pPr>
      <w:autoSpaceDE w:val="0"/>
      <w:autoSpaceDN w:val="0"/>
      <w:adjustRightInd w:val="0"/>
      <w:textAlignment w:val="baseline"/>
    </w:pPr>
    <w:rPr>
      <w:rFonts w:ascii="宋体" w:hAnsi="Tms Rmn"/>
      <w:kern w:val="0"/>
      <w:szCs w:val="20"/>
    </w:rPr>
  </w:style>
  <w:style w:type="paragraph" w:customStyle="1" w:styleId="796">
    <w:name w:val="样式 段后: 7.8 磅"/>
    <w:basedOn w:val="1"/>
    <w:qFormat/>
    <w:uiPriority w:val="99"/>
    <w:pPr>
      <w:spacing w:line="360" w:lineRule="auto"/>
      <w:ind w:firstLine="200" w:firstLineChars="200"/>
    </w:pPr>
    <w:rPr>
      <w:rFonts w:ascii="Plotter" w:hAnsi="Plotter" w:cs="Arial Unicode MS"/>
      <w:sz w:val="24"/>
      <w:szCs w:val="20"/>
    </w:rPr>
  </w:style>
  <w:style w:type="paragraph" w:customStyle="1" w:styleId="797">
    <w:name w:val="样式 样式3.1 + 段前: 0.5 行"/>
    <w:qFormat/>
    <w:uiPriority w:val="0"/>
    <w:pPr>
      <w:tabs>
        <w:tab w:val="left" w:pos="0"/>
        <w:tab w:val="left" w:pos="840"/>
      </w:tabs>
    </w:pPr>
    <w:rPr>
      <w:rFonts w:ascii="Times New Roman" w:hAnsi="Times New Roman" w:eastAsia="宋体" w:cs="Times New Roman"/>
      <w:lang w:val="en-US" w:eastAsia="zh-CN" w:bidi="ar-SA"/>
    </w:rPr>
  </w:style>
  <w:style w:type="paragraph" w:customStyle="1" w:styleId="798">
    <w:name w:val="样式3.1"/>
    <w:basedOn w:val="746"/>
    <w:qFormat/>
    <w:uiPriority w:val="99"/>
    <w:pPr>
      <w:tabs>
        <w:tab w:val="left" w:pos="0"/>
        <w:tab w:val="left" w:pos="840"/>
      </w:tabs>
      <w:spacing w:before="50"/>
      <w:ind w:left="840" w:hanging="420"/>
    </w:pPr>
  </w:style>
  <w:style w:type="paragraph" w:customStyle="1" w:styleId="799">
    <w:name w:val="表中"/>
    <w:qFormat/>
    <w:uiPriority w:val="0"/>
    <w:pPr>
      <w:adjustRightInd w:val="0"/>
      <w:snapToGrid w:val="0"/>
      <w:jc w:val="right"/>
    </w:pPr>
    <w:rPr>
      <w:rFonts w:ascii="Times New Roman" w:hAnsi="Times New Roman" w:eastAsia="宋体" w:cs="Times New Roman"/>
      <w:kern w:val="44"/>
      <w:sz w:val="18"/>
      <w:lang w:val="en-US" w:eastAsia="zh-CN" w:bidi="ar-SA"/>
    </w:rPr>
  </w:style>
  <w:style w:type="paragraph" w:customStyle="1" w:styleId="800">
    <w:name w:val="正文1.1"/>
    <w:qFormat/>
    <w:uiPriority w:val="0"/>
    <w:pPr>
      <w:numPr>
        <w:ilvl w:val="1"/>
        <w:numId w:val="4"/>
      </w:numPr>
      <w:snapToGrid w:val="0"/>
      <w:spacing w:before="120" w:after="120" w:afterLines="50"/>
    </w:pPr>
    <w:rPr>
      <w:rFonts w:ascii="Times New Roman" w:hAnsi="宋体" w:eastAsia="宋体" w:cs="Times New Roman"/>
      <w:sz w:val="30"/>
      <w:szCs w:val="30"/>
      <w:lang w:val="en-US" w:eastAsia="zh-CN" w:bidi="ar-SA"/>
    </w:rPr>
  </w:style>
  <w:style w:type="paragraph" w:customStyle="1" w:styleId="801">
    <w:name w:val="样式2.1"/>
    <w:basedOn w:val="1"/>
    <w:qFormat/>
    <w:uiPriority w:val="99"/>
    <w:pPr>
      <w:spacing w:before="156" w:beforeLines="50" w:line="360" w:lineRule="auto"/>
      <w:outlineLvl w:val="2"/>
    </w:pPr>
    <w:rPr>
      <w:b/>
      <w:sz w:val="28"/>
      <w:szCs w:val="28"/>
    </w:rPr>
  </w:style>
  <w:style w:type="paragraph" w:customStyle="1" w:styleId="802">
    <w:name w:val="xl33"/>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803">
    <w:name w:val="正文首行缩进1"/>
    <w:basedOn w:val="1"/>
    <w:next w:val="1"/>
    <w:qFormat/>
    <w:uiPriority w:val="0"/>
    <w:pPr>
      <w:tabs>
        <w:tab w:val="left" w:pos="540"/>
        <w:tab w:val="left" w:pos="1440"/>
        <w:tab w:val="left" w:pos="2448"/>
        <w:tab w:val="left" w:pos="3000"/>
        <w:tab w:val="left" w:pos="3888"/>
        <w:tab w:val="left" w:pos="4800"/>
        <w:tab w:val="left" w:pos="5040"/>
        <w:tab w:val="left" w:pos="5883"/>
        <w:tab w:val="left" w:pos="6300"/>
        <w:tab w:val="left" w:pos="7353"/>
        <w:tab w:val="left" w:pos="8613"/>
      </w:tabs>
      <w:autoSpaceDE w:val="0"/>
      <w:autoSpaceDN w:val="0"/>
      <w:adjustRightInd w:val="0"/>
      <w:snapToGrid w:val="0"/>
      <w:spacing w:line="300" w:lineRule="auto"/>
      <w:ind w:firstLine="561"/>
      <w:textAlignment w:val="baseline"/>
    </w:pPr>
    <w:rPr>
      <w:kern w:val="0"/>
      <w:sz w:val="28"/>
    </w:rPr>
  </w:style>
  <w:style w:type="paragraph" w:customStyle="1" w:styleId="804">
    <w:name w:val="正文缩进2"/>
    <w:basedOn w:val="1"/>
    <w:qFormat/>
    <w:uiPriority w:val="99"/>
    <w:pPr>
      <w:adjustRightInd w:val="0"/>
      <w:ind w:firstLine="420" w:firstLineChars="200"/>
      <w:textAlignment w:val="baseline"/>
    </w:pPr>
    <w:rPr>
      <w:rFonts w:hint="eastAsia" w:hAnsi="宋体"/>
      <w:sz w:val="24"/>
      <w:szCs w:val="20"/>
    </w:rPr>
  </w:style>
  <w:style w:type="paragraph" w:customStyle="1" w:styleId="805">
    <w:name w:val="样式71"/>
    <w:basedOn w:val="1"/>
    <w:qFormat/>
    <w:uiPriority w:val="99"/>
    <w:pPr>
      <w:spacing w:line="360" w:lineRule="auto"/>
      <w:jc w:val="center"/>
    </w:pPr>
    <w:rPr>
      <w:rFonts w:hAnsi="黑体" w:eastAsia="黑体"/>
      <w:sz w:val="24"/>
      <w:szCs w:val="20"/>
    </w:rPr>
  </w:style>
  <w:style w:type="paragraph" w:customStyle="1" w:styleId="806">
    <w:name w:val="四级条标题"/>
    <w:next w:val="1"/>
    <w:qFormat/>
    <w:uiPriority w:val="0"/>
    <w:pPr>
      <w:tabs>
        <w:tab w:val="left" w:pos="1152"/>
      </w:tabs>
      <w:ind w:left="1152" w:hanging="1152"/>
      <w:outlineLvl w:val="5"/>
    </w:pPr>
    <w:rPr>
      <w:rFonts w:ascii="Times New Roman" w:hAnsi="Times New Roman" w:eastAsia="宋体" w:cs="Times New Roman"/>
      <w:lang w:val="en-US" w:eastAsia="zh-CN" w:bidi="ar-SA"/>
    </w:rPr>
  </w:style>
  <w:style w:type="paragraph" w:customStyle="1" w:styleId="807">
    <w:name w:val="三级条标题"/>
    <w:next w:val="1"/>
    <w:qFormat/>
    <w:uiPriority w:val="0"/>
    <w:pPr>
      <w:ind w:left="3600"/>
      <w:outlineLvl w:val="4"/>
    </w:pPr>
    <w:rPr>
      <w:rFonts w:ascii="Times New Roman" w:hAnsi="Times New Roman" w:eastAsia="宋体" w:cs="Times New Roman"/>
      <w:lang w:val="en-US" w:eastAsia="zh-CN" w:bidi="ar-SA"/>
    </w:rPr>
  </w:style>
  <w:style w:type="paragraph" w:customStyle="1" w:styleId="808">
    <w:name w:val="二级条标题"/>
    <w:basedOn w:val="1"/>
    <w:next w:val="1"/>
    <w:qFormat/>
    <w:uiPriority w:val="0"/>
    <w:pPr>
      <w:ind w:left="864" w:hanging="864"/>
      <w:outlineLvl w:val="3"/>
    </w:pPr>
    <w:rPr>
      <w:rFonts w:ascii="黑体" w:eastAsia="黑体"/>
      <w:kern w:val="0"/>
      <w:szCs w:val="21"/>
    </w:rPr>
  </w:style>
  <w:style w:type="paragraph" w:customStyle="1" w:styleId="809">
    <w:name w:val="heading"/>
    <w:basedOn w:val="1"/>
    <w:next w:val="1"/>
    <w:qFormat/>
    <w:uiPriority w:val="99"/>
    <w:pPr>
      <w:keepNext/>
      <w:keepLines/>
      <w:tabs>
        <w:tab w:val="left" w:pos="576"/>
      </w:tabs>
      <w:spacing w:line="360" w:lineRule="auto"/>
      <w:ind w:left="576"/>
      <w:outlineLvl w:val="1"/>
    </w:pPr>
    <w:rPr>
      <w:rFonts w:ascii="宋体" w:hAnsi="Arial Black" w:cs="宋体"/>
      <w:sz w:val="24"/>
    </w:rPr>
  </w:style>
  <w:style w:type="paragraph" w:customStyle="1" w:styleId="810">
    <w:name w:val="Char Char Char Char Char Char Char Char1 Char Char Char Char"/>
    <w:basedOn w:val="1"/>
    <w:qFormat/>
    <w:uiPriority w:val="99"/>
  </w:style>
  <w:style w:type="paragraph" w:customStyle="1" w:styleId="811">
    <w:name w:val="xl182"/>
    <w:basedOn w:val="1"/>
    <w:qFormat/>
    <w:uiPriority w:val="99"/>
    <w:pPr>
      <w:pBdr>
        <w:top w:val="single" w:color="auto" w:sz="4" w:space="0"/>
        <w:left w:val="single" w:color="auto" w:sz="4" w:space="0"/>
        <w:right w:val="single" w:color="auto" w:sz="4" w:space="0"/>
      </w:pBdr>
      <w:spacing w:before="100" w:beforeAutospacing="1" w:after="100" w:afterAutospacing="1"/>
      <w:jc w:val="center"/>
      <w:textAlignment w:val="center"/>
    </w:pPr>
    <w:rPr>
      <w:kern w:val="0"/>
      <w:sz w:val="16"/>
      <w:szCs w:val="16"/>
    </w:rPr>
  </w:style>
  <w:style w:type="paragraph" w:customStyle="1" w:styleId="812">
    <w:name w:val="xl119"/>
    <w:basedOn w:val="1"/>
    <w:qFormat/>
    <w:uiPriority w:val="0"/>
    <w:pPr>
      <w:spacing w:before="100" w:beforeAutospacing="1" w:after="100" w:afterAutospacing="1"/>
      <w:jc w:val="center"/>
      <w:textAlignment w:val="center"/>
    </w:pPr>
    <w:rPr>
      <w:rFonts w:ascii="Arial Unicode MS" w:hAnsi="Arial Unicode MS"/>
      <w:kern w:val="0"/>
      <w:sz w:val="16"/>
      <w:szCs w:val="16"/>
    </w:rPr>
  </w:style>
  <w:style w:type="paragraph" w:customStyle="1" w:styleId="813">
    <w:name w:val="_Style 1"/>
    <w:basedOn w:val="1"/>
    <w:next w:val="21"/>
    <w:qFormat/>
    <w:uiPriority w:val="1"/>
    <w:pPr>
      <w:adjustRightInd w:val="0"/>
      <w:spacing w:line="288" w:lineRule="auto"/>
      <w:ind w:firstLine="480"/>
      <w:textAlignment w:val="baseline"/>
    </w:pPr>
    <w:rPr>
      <w:rFonts w:ascii="宋体" w:hAnsi="宋体" w:cs="宋体"/>
      <w:sz w:val="24"/>
    </w:rPr>
  </w:style>
  <w:style w:type="paragraph" w:customStyle="1" w:styleId="814">
    <w:name w:val="样式2"/>
    <w:basedOn w:val="700"/>
    <w:qFormat/>
    <w:uiPriority w:val="0"/>
    <w:pPr>
      <w:adjustRightInd w:val="0"/>
      <w:spacing w:line="360" w:lineRule="auto"/>
    </w:pPr>
  </w:style>
  <w:style w:type="paragraph" w:customStyle="1" w:styleId="815">
    <w:name w:val="xl36"/>
    <w:basedOn w:val="1"/>
    <w:qFormat/>
    <w:uiPriority w:val="0"/>
    <w:pPr>
      <w:pBdr>
        <w:left w:val="single" w:color="auto" w:sz="12" w:space="0"/>
        <w:bottom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816">
    <w:name w:val="xl159"/>
    <w:basedOn w:val="1"/>
    <w:qFormat/>
    <w:uiPriority w:val="99"/>
    <w:pPr>
      <w:pBdr>
        <w:right w:val="single" w:color="auto" w:sz="4" w:space="0"/>
      </w:pBdr>
      <w:spacing w:before="100" w:beforeAutospacing="1" w:after="100" w:afterAutospacing="1"/>
    </w:pPr>
    <w:rPr>
      <w:rFonts w:ascii="Arial Unicode MS" w:hAnsi="Arial Unicode MS"/>
      <w:kern w:val="0"/>
    </w:rPr>
  </w:style>
  <w:style w:type="paragraph" w:customStyle="1" w:styleId="817">
    <w:name w:val="xl52"/>
    <w:basedOn w:val="1"/>
    <w:qFormat/>
    <w:uiPriority w:val="0"/>
    <w:pPr>
      <w:pBdr>
        <w:top w:val="single" w:color="auto" w:sz="12" w:space="0"/>
        <w:left w:val="single" w:color="auto" w:sz="12" w:space="0"/>
        <w:right w:val="single" w:color="auto" w:sz="4" w:space="0"/>
      </w:pBdr>
      <w:spacing w:before="100" w:beforeAutospacing="1" w:after="100" w:afterAutospacing="1"/>
    </w:pPr>
    <w:rPr>
      <w:rFonts w:ascii="Arial Unicode MS" w:hAnsi="Arial Unicode MS"/>
      <w:kern w:val="0"/>
      <w:sz w:val="16"/>
      <w:szCs w:val="16"/>
    </w:rPr>
  </w:style>
  <w:style w:type="paragraph" w:customStyle="1" w:styleId="818">
    <w:name w:val="样式14"/>
    <w:basedOn w:val="712"/>
    <w:link w:val="2749"/>
    <w:qFormat/>
    <w:uiPriority w:val="0"/>
    <w:pPr>
      <w:adjustRightInd w:val="0"/>
      <w:spacing w:line="240" w:lineRule="auto"/>
      <w:textAlignment w:val="baseline"/>
    </w:pPr>
    <w:rPr>
      <w:rFonts w:ascii="仿宋_GB2312" w:hAnsi="宋体" w:eastAsia="仿宋_GB2312"/>
      <w:sz w:val="24"/>
    </w:rPr>
  </w:style>
  <w:style w:type="paragraph" w:customStyle="1" w:styleId="819">
    <w:name w:val="oa3"/>
    <w:basedOn w:val="1"/>
    <w:qFormat/>
    <w:uiPriority w:val="99"/>
    <w:pPr>
      <w:spacing w:before="100" w:beforeAutospacing="1" w:after="100" w:afterAutospacing="1"/>
      <w:textAlignment w:val="top"/>
    </w:pPr>
    <w:rPr>
      <w:rFonts w:ascii="宋体" w:hAnsi="宋体" w:cs="宋体"/>
      <w:kern w:val="0"/>
      <w:sz w:val="24"/>
    </w:rPr>
  </w:style>
  <w:style w:type="paragraph" w:customStyle="1" w:styleId="820">
    <w:name w:val="公式"/>
    <w:link w:val="1766"/>
    <w:qFormat/>
    <w:uiPriority w:val="0"/>
    <w:pPr>
      <w:tabs>
        <w:tab w:val="left" w:pos="1134"/>
      </w:tabs>
      <w:jc w:val="center"/>
    </w:pPr>
    <w:rPr>
      <w:rFonts w:ascii="Times New Roman" w:hAnsi="Times New Roman" w:eastAsia="宋体" w:cs="Times New Roman"/>
      <w:sz w:val="28"/>
      <w:lang w:val="en-US" w:eastAsia="zh-CN" w:bidi="ar-SA"/>
    </w:rPr>
  </w:style>
  <w:style w:type="paragraph" w:customStyle="1" w:styleId="821">
    <w:name w:val="xl189"/>
    <w:basedOn w:val="1"/>
    <w:qFormat/>
    <w:uiPriority w:val="99"/>
    <w:pPr>
      <w:pBdr>
        <w:bottom w:val="single" w:color="auto" w:sz="12" w:space="0"/>
        <w:right w:val="single" w:color="auto" w:sz="4" w:space="0"/>
      </w:pBdr>
      <w:spacing w:before="100" w:beforeAutospacing="1" w:after="100" w:afterAutospacing="1"/>
      <w:jc w:val="center"/>
      <w:textAlignment w:val="center"/>
    </w:pPr>
    <w:rPr>
      <w:rFonts w:ascii="Arial Unicode MS" w:hAnsi="Arial Unicode MS"/>
      <w:kern w:val="0"/>
    </w:rPr>
  </w:style>
  <w:style w:type="paragraph" w:customStyle="1" w:styleId="822">
    <w:name w:val="xl111"/>
    <w:basedOn w:val="1"/>
    <w:qFormat/>
    <w:uiPriority w:val="0"/>
    <w:pPr>
      <w:pBdr>
        <w:top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823">
    <w:name w:val="样式74"/>
    <w:basedOn w:val="1"/>
    <w:qFormat/>
    <w:uiPriority w:val="99"/>
    <w:pPr>
      <w:adjustRightInd w:val="0"/>
      <w:snapToGrid w:val="0"/>
      <w:spacing w:line="360" w:lineRule="auto"/>
      <w:ind w:firstLine="480" w:firstLineChars="200"/>
    </w:pPr>
    <w:rPr>
      <w:snapToGrid w:val="0"/>
      <w:kern w:val="0"/>
      <w:sz w:val="24"/>
    </w:rPr>
  </w:style>
  <w:style w:type="paragraph" w:customStyle="1" w:styleId="824">
    <w:name w:val="xl82"/>
    <w:basedOn w:val="1"/>
    <w:qFormat/>
    <w:uiPriority w:val="0"/>
    <w:pPr>
      <w:pBdr>
        <w:left w:val="single" w:color="auto" w:sz="12" w:space="0"/>
        <w:bottom w:val="single" w:color="auto" w:sz="12" w:space="0"/>
      </w:pBdr>
      <w:spacing w:before="100" w:beforeAutospacing="1" w:after="100" w:afterAutospacing="1"/>
      <w:jc w:val="right"/>
      <w:textAlignment w:val="center"/>
    </w:pPr>
    <w:rPr>
      <w:rFonts w:ascii="Arial Unicode MS" w:hAnsi="Arial Unicode MS"/>
      <w:kern w:val="0"/>
      <w:sz w:val="12"/>
      <w:szCs w:val="12"/>
    </w:rPr>
  </w:style>
  <w:style w:type="paragraph" w:customStyle="1" w:styleId="825">
    <w:name w:val="xl169"/>
    <w:basedOn w:val="1"/>
    <w:qFormat/>
    <w:uiPriority w:val="99"/>
    <w:pPr>
      <w:pBdr>
        <w:right w:val="single" w:color="auto" w:sz="4" w:space="0"/>
      </w:pBdr>
      <w:spacing w:before="100" w:beforeAutospacing="1" w:after="100" w:afterAutospacing="1"/>
      <w:jc w:val="center"/>
      <w:textAlignment w:val="center"/>
    </w:pPr>
    <w:rPr>
      <w:rFonts w:ascii="Arial Unicode MS" w:hAnsi="Arial Unicode MS"/>
      <w:kern w:val="0"/>
    </w:rPr>
  </w:style>
  <w:style w:type="paragraph" w:customStyle="1" w:styleId="826">
    <w:name w:val="样式 五号 居中 首行缩进:  0.74 厘米 行距: 单倍行距"/>
    <w:basedOn w:val="1"/>
    <w:qFormat/>
    <w:uiPriority w:val="99"/>
    <w:pPr>
      <w:spacing w:before="100" w:beforeAutospacing="1" w:after="100" w:afterAutospacing="1"/>
      <w:jc w:val="center"/>
    </w:pPr>
    <w:rPr>
      <w:rFonts w:ascii="Plotter" w:hAnsi="Plotter" w:cs="Plotter"/>
      <w:szCs w:val="20"/>
    </w:rPr>
  </w:style>
  <w:style w:type="paragraph" w:customStyle="1" w:styleId="827">
    <w:name w:val="图编号"/>
    <w:basedOn w:val="347"/>
    <w:qFormat/>
    <w:uiPriority w:val="99"/>
    <w:pPr>
      <w:tabs>
        <w:tab w:val="left" w:pos="1140"/>
      </w:tabs>
      <w:spacing w:before="300" w:after="300" w:line="360" w:lineRule="auto"/>
      <w:ind w:left="1140" w:hanging="600"/>
    </w:pPr>
    <w:rPr>
      <w:sz w:val="24"/>
      <w:szCs w:val="20"/>
    </w:rPr>
  </w:style>
  <w:style w:type="paragraph" w:customStyle="1" w:styleId="828">
    <w:name w:val="表内-文字"/>
    <w:basedOn w:val="1"/>
    <w:qFormat/>
    <w:uiPriority w:val="0"/>
    <w:pPr>
      <w:spacing w:line="320" w:lineRule="exact"/>
      <w:jc w:val="center"/>
    </w:pPr>
    <w:rPr>
      <w:rFonts w:eastAsia="楷体_GB2312"/>
      <w:bCs/>
      <w:color w:val="000000"/>
      <w:szCs w:val="21"/>
    </w:rPr>
  </w:style>
  <w:style w:type="paragraph" w:customStyle="1" w:styleId="829">
    <w:name w:val="xl173"/>
    <w:basedOn w:val="1"/>
    <w:qFormat/>
    <w:uiPriority w:val="99"/>
    <w:pPr>
      <w:spacing w:before="100" w:beforeAutospacing="1" w:after="100" w:afterAutospacing="1"/>
      <w:jc w:val="center"/>
      <w:textAlignment w:val="center"/>
    </w:pPr>
    <w:rPr>
      <w:rFonts w:ascii="Arial Unicode MS" w:hAnsi="Arial Unicode MS"/>
      <w:kern w:val="0"/>
    </w:rPr>
  </w:style>
  <w:style w:type="paragraph" w:customStyle="1" w:styleId="830">
    <w:name w:val="表格内容1"/>
    <w:basedOn w:val="257"/>
    <w:link w:val="1796"/>
    <w:qFormat/>
    <w:uiPriority w:val="0"/>
    <w:pPr>
      <w:tabs>
        <w:tab w:val="left" w:pos="1535"/>
        <w:tab w:val="left" w:pos="3105"/>
        <w:tab w:val="left" w:pos="4676"/>
        <w:tab w:val="left" w:pos="6247"/>
        <w:tab w:val="left" w:pos="7740"/>
        <w:tab w:val="left" w:pos="9288"/>
      </w:tabs>
      <w:snapToGrid w:val="0"/>
      <w:spacing w:line="240" w:lineRule="exact"/>
      <w:ind w:left="-30" w:leftChars="-12"/>
      <w:textAlignment w:val="baseline"/>
    </w:pPr>
    <w:rPr>
      <w:rFonts w:ascii="宋体" w:hAnsi="宋体"/>
      <w:snapToGrid w:val="0"/>
      <w:color w:val="FF0000"/>
      <w:sz w:val="24"/>
      <w:szCs w:val="24"/>
    </w:rPr>
  </w:style>
  <w:style w:type="paragraph" w:customStyle="1" w:styleId="831">
    <w:name w:val="xl87"/>
    <w:basedOn w:val="1"/>
    <w:qFormat/>
    <w:uiPriority w:val="0"/>
    <w:pPr>
      <w:spacing w:before="100" w:beforeAutospacing="1" w:after="100" w:afterAutospacing="1"/>
      <w:jc w:val="center"/>
      <w:textAlignment w:val="center"/>
    </w:pPr>
    <w:rPr>
      <w:rFonts w:ascii="Arial Unicode MS" w:hAnsi="Arial Unicode MS"/>
      <w:kern w:val="0"/>
      <w:sz w:val="12"/>
      <w:szCs w:val="12"/>
    </w:rPr>
  </w:style>
  <w:style w:type="paragraph" w:customStyle="1" w:styleId="832">
    <w:name w:val="xl78"/>
    <w:basedOn w:val="1"/>
    <w:qFormat/>
    <w:uiPriority w:val="0"/>
    <w:pPr>
      <w:pBdr>
        <w:left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833">
    <w:name w:val="xl99"/>
    <w:basedOn w:val="1"/>
    <w:qFormat/>
    <w:uiPriority w:val="0"/>
    <w:pPr>
      <w:pBdr>
        <w:bottom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834">
    <w:name w:val="模式说明与单位"/>
    <w:basedOn w:val="1"/>
    <w:qFormat/>
    <w:uiPriority w:val="99"/>
    <w:pPr>
      <w:tabs>
        <w:tab w:val="left" w:pos="840"/>
      </w:tabs>
      <w:snapToGrid w:val="0"/>
      <w:spacing w:line="300" w:lineRule="auto"/>
      <w:ind w:firstLine="480" w:firstLineChars="200"/>
    </w:pPr>
    <w:rPr>
      <w:sz w:val="24"/>
    </w:rPr>
  </w:style>
  <w:style w:type="paragraph" w:customStyle="1" w:styleId="835">
    <w:name w:val="样式4 宋体 Char"/>
    <w:basedOn w:val="1"/>
    <w:qFormat/>
    <w:uiPriority w:val="99"/>
  </w:style>
  <w:style w:type="paragraph" w:customStyle="1" w:styleId="836">
    <w:name w:val="样式 标题 1 + (中文) 宋体 小三 行距: 多倍行距 1.35 字行"/>
    <w:basedOn w:val="3"/>
    <w:qFormat/>
    <w:uiPriority w:val="99"/>
    <w:pPr>
      <w:tabs>
        <w:tab w:val="left" w:pos="420"/>
        <w:tab w:val="left" w:pos="2412"/>
      </w:tabs>
      <w:snapToGrid w:val="0"/>
      <w:spacing w:before="0" w:after="0" w:line="360" w:lineRule="auto"/>
      <w:ind w:left="2412" w:hanging="420"/>
    </w:pPr>
    <w:rPr>
      <w:rFonts w:ascii="宋体" w:hAnsi="宋体"/>
      <w:sz w:val="32"/>
      <w:szCs w:val="32"/>
    </w:rPr>
  </w:style>
  <w:style w:type="paragraph" w:customStyle="1" w:styleId="837">
    <w:name w:val="Char"/>
    <w:basedOn w:val="1"/>
    <w:qFormat/>
    <w:uiPriority w:val="0"/>
  </w:style>
  <w:style w:type="paragraph" w:customStyle="1" w:styleId="838">
    <w:name w:val="项目编号文字"/>
    <w:basedOn w:val="1"/>
    <w:next w:val="21"/>
    <w:qFormat/>
    <w:uiPriority w:val="99"/>
    <w:pPr>
      <w:spacing w:before="120" w:after="120" w:line="360" w:lineRule="auto"/>
      <w:ind w:left="1077"/>
    </w:pPr>
    <w:rPr>
      <w:sz w:val="24"/>
      <w:szCs w:val="20"/>
    </w:rPr>
  </w:style>
  <w:style w:type="paragraph" w:customStyle="1" w:styleId="839">
    <w:name w:val="xl172"/>
    <w:basedOn w:val="1"/>
    <w:qFormat/>
    <w:uiPriority w:val="99"/>
    <w:pPr>
      <w:pBdr>
        <w:top w:val="single" w:color="auto" w:sz="12" w:space="0"/>
        <w:left w:val="single" w:color="auto" w:sz="12" w:space="0"/>
        <w:right w:val="single" w:color="auto" w:sz="4" w:space="0"/>
      </w:pBdr>
      <w:spacing w:before="100" w:beforeAutospacing="1" w:after="100" w:afterAutospacing="1"/>
      <w:jc w:val="center"/>
      <w:textAlignment w:val="center"/>
    </w:pPr>
    <w:rPr>
      <w:rFonts w:ascii="Arial Unicode MS" w:hAnsi="Arial Unicode MS"/>
      <w:kern w:val="0"/>
    </w:rPr>
  </w:style>
  <w:style w:type="paragraph" w:customStyle="1" w:styleId="840">
    <w:name w:val="自制正文1"/>
    <w:basedOn w:val="1"/>
    <w:next w:val="1"/>
    <w:qFormat/>
    <w:uiPriority w:val="99"/>
    <w:pPr>
      <w:adjustRightInd w:val="0"/>
      <w:snapToGrid w:val="0"/>
      <w:spacing w:line="360" w:lineRule="auto"/>
      <w:ind w:firstLine="480" w:firstLineChars="200"/>
    </w:pPr>
    <w:rPr>
      <w:sz w:val="24"/>
    </w:rPr>
  </w:style>
  <w:style w:type="paragraph" w:customStyle="1" w:styleId="841">
    <w:name w:val="封面正文"/>
    <w:qFormat/>
    <w:uiPriority w:val="0"/>
    <w:pPr>
      <w:jc w:val="both"/>
    </w:pPr>
    <w:rPr>
      <w:rFonts w:ascii="Times New Roman" w:hAnsi="Times New Roman" w:eastAsia="宋体" w:cs="Times New Roman"/>
      <w:lang w:val="en-US" w:eastAsia="zh-CN" w:bidi="ar-SA"/>
    </w:rPr>
  </w:style>
  <w:style w:type="paragraph" w:customStyle="1" w:styleId="842">
    <w:name w:val="xl162"/>
    <w:basedOn w:val="1"/>
    <w:qFormat/>
    <w:uiPriority w:val="99"/>
    <w:pPr>
      <w:pBdr>
        <w:bottom w:val="single" w:color="auto" w:sz="12" w:space="0"/>
        <w:right w:val="single" w:color="auto" w:sz="12" w:space="0"/>
      </w:pBdr>
      <w:spacing w:before="100" w:beforeAutospacing="1" w:after="100" w:afterAutospacing="1"/>
      <w:jc w:val="center"/>
      <w:textAlignment w:val="center"/>
    </w:pPr>
    <w:rPr>
      <w:rFonts w:ascii="Arial Unicode MS" w:hAnsi="Arial Unicode MS"/>
      <w:kern w:val="0"/>
    </w:rPr>
  </w:style>
  <w:style w:type="paragraph" w:customStyle="1" w:styleId="843">
    <w:name w:val="Char Char Char1 Char Char Char Char Char Char Char Char Char Char Char Char Char Char Char Char Char Char Char Char Char Char"/>
    <w:basedOn w:val="1"/>
    <w:qFormat/>
    <w:uiPriority w:val="99"/>
    <w:rPr>
      <w:sz w:val="24"/>
    </w:rPr>
  </w:style>
  <w:style w:type="paragraph" w:customStyle="1" w:styleId="844">
    <w:name w:val="默认段落字体 Para Char Char Char Char Char Char Char Char Char"/>
    <w:basedOn w:val="1"/>
    <w:qFormat/>
    <w:uiPriority w:val="99"/>
    <w:pPr>
      <w:keepNext/>
      <w:keepLines/>
      <w:spacing w:line="360" w:lineRule="auto"/>
    </w:pPr>
    <w:rPr>
      <w:rFonts w:ascii="Tahoma" w:hAnsi="Tahoma"/>
      <w:b/>
      <w:sz w:val="30"/>
      <w:szCs w:val="20"/>
    </w:rPr>
  </w:style>
  <w:style w:type="paragraph" w:customStyle="1" w:styleId="845">
    <w:name w:val="样式 标题 4 + (西文) Times New Roman (中文) 宋体 小四"/>
    <w:basedOn w:val="6"/>
    <w:qFormat/>
    <w:uiPriority w:val="99"/>
    <w:pPr>
      <w:tabs>
        <w:tab w:val="left" w:pos="1247"/>
        <w:tab w:val="left" w:pos="1680"/>
      </w:tabs>
      <w:snapToGrid w:val="0"/>
      <w:spacing w:before="78" w:beforeLines="25" w:after="78" w:afterLines="25"/>
      <w:ind w:left="1680" w:hanging="420"/>
    </w:pPr>
    <w:rPr>
      <w:rFonts w:ascii="宋体"/>
      <w:bCs w:val="0"/>
    </w:rPr>
  </w:style>
  <w:style w:type="paragraph" w:customStyle="1" w:styleId="846">
    <w:name w:val="表文字"/>
    <w:basedOn w:val="80"/>
    <w:link w:val="2341"/>
    <w:qFormat/>
    <w:uiPriority w:val="0"/>
    <w:pPr>
      <w:jc w:val="center"/>
    </w:pPr>
    <w:rPr>
      <w:rFonts w:ascii="宋体" w:hAnsi="宋体"/>
      <w:sz w:val="21"/>
      <w:szCs w:val="21"/>
    </w:rPr>
  </w:style>
  <w:style w:type="paragraph" w:customStyle="1" w:styleId="847">
    <w:name w:val="表格03"/>
    <w:basedOn w:val="1"/>
    <w:qFormat/>
    <w:uiPriority w:val="99"/>
    <w:pPr>
      <w:spacing w:line="400" w:lineRule="exact"/>
      <w:jc w:val="center"/>
    </w:pPr>
    <w:rPr>
      <w:color w:val="000000"/>
      <w:sz w:val="24"/>
      <w:szCs w:val="21"/>
    </w:rPr>
  </w:style>
  <w:style w:type="paragraph" w:customStyle="1" w:styleId="848">
    <w:name w:val="oa19"/>
    <w:basedOn w:val="1"/>
    <w:qFormat/>
    <w:uiPriority w:val="99"/>
    <w:pPr>
      <w:pBdr>
        <w:top w:val="single" w:color="000000" w:sz="4" w:space="0"/>
        <w:left w:val="single" w:color="000000" w:sz="8" w:space="0"/>
        <w:bottom w:val="single" w:color="000000" w:sz="4" w:space="0"/>
        <w:right w:val="single" w:color="000000" w:sz="4" w:space="0"/>
      </w:pBdr>
      <w:spacing w:before="100" w:beforeAutospacing="1" w:after="100" w:afterAutospacing="1"/>
      <w:textAlignment w:val="center"/>
    </w:pPr>
    <w:rPr>
      <w:rFonts w:ascii="宋体" w:hAnsi="宋体" w:cs="宋体"/>
      <w:kern w:val="0"/>
      <w:sz w:val="24"/>
    </w:rPr>
  </w:style>
  <w:style w:type="paragraph" w:customStyle="1" w:styleId="849">
    <w:name w:val="xl22"/>
    <w:basedOn w:val="1"/>
    <w:qFormat/>
    <w:uiPriority w:val="0"/>
    <w:pPr>
      <w:pBdr>
        <w:bottom w:val="single" w:color="auto" w:sz="4" w:space="0"/>
        <w:right w:val="single" w:color="auto" w:sz="4" w:space="0"/>
      </w:pBdr>
      <w:spacing w:before="100" w:after="100"/>
      <w:jc w:val="center"/>
    </w:pPr>
    <w:rPr>
      <w:rFonts w:ascii="宋体" w:hAnsi="宋体"/>
      <w:kern w:val="0"/>
      <w:szCs w:val="20"/>
    </w:rPr>
  </w:style>
  <w:style w:type="paragraph" w:customStyle="1" w:styleId="850">
    <w:name w:val="xl83"/>
    <w:basedOn w:val="1"/>
    <w:qFormat/>
    <w:uiPriority w:val="0"/>
    <w:pPr>
      <w:pBdr>
        <w:top w:val="single" w:color="auto" w:sz="12" w:space="0"/>
        <w:left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851">
    <w:name w:val="xl149"/>
    <w:basedOn w:val="1"/>
    <w:qFormat/>
    <w:uiPriority w:val="99"/>
    <w:pPr>
      <w:pBdr>
        <w:bottom w:val="single" w:color="auto" w:sz="8" w:space="0"/>
        <w:right w:val="single" w:color="auto" w:sz="4" w:space="0"/>
      </w:pBdr>
      <w:spacing w:before="100" w:beforeAutospacing="1" w:after="100" w:afterAutospacing="1"/>
    </w:pPr>
    <w:rPr>
      <w:rFonts w:ascii="Arial Unicode MS" w:hAnsi="Arial Unicode MS"/>
      <w:kern w:val="0"/>
    </w:rPr>
  </w:style>
  <w:style w:type="paragraph" w:customStyle="1" w:styleId="852">
    <w:name w:val="1级"/>
    <w:basedOn w:val="3"/>
    <w:qFormat/>
    <w:uiPriority w:val="99"/>
    <w:pPr>
      <w:pageBreakBefore/>
      <w:numPr>
        <w:ilvl w:val="0"/>
        <w:numId w:val="2"/>
      </w:numPr>
      <w:tabs>
        <w:tab w:val="clear" w:pos="425"/>
      </w:tabs>
      <w:spacing w:before="240" w:beforeLines="100" w:after="240" w:afterLines="100" w:line="360" w:lineRule="auto"/>
      <w:ind w:left="0" w:firstLine="0"/>
      <w:jc w:val="center"/>
    </w:pPr>
    <w:rPr>
      <w:rFonts w:eastAsia="黑体"/>
      <w:sz w:val="28"/>
    </w:rPr>
  </w:style>
  <w:style w:type="paragraph" w:customStyle="1" w:styleId="853">
    <w:name w:val="样式 样式3.4.5.1 + 段前: 0.5 行"/>
    <w:qFormat/>
    <w:uiPriority w:val="0"/>
    <w:rPr>
      <w:rFonts w:ascii="Times New Roman" w:hAnsi="Times New Roman" w:eastAsia="宋体" w:cs="宋体"/>
      <w:lang w:val="en-US" w:eastAsia="zh-CN" w:bidi="ar-SA"/>
    </w:rPr>
  </w:style>
  <w:style w:type="paragraph" w:customStyle="1" w:styleId="854">
    <w:name w:val="样式3.4.5.1"/>
    <w:basedOn w:val="6"/>
    <w:qFormat/>
    <w:uiPriority w:val="99"/>
    <w:pPr>
      <w:spacing w:before="156" w:beforeLines="50"/>
    </w:pPr>
  </w:style>
  <w:style w:type="paragraph" w:customStyle="1" w:styleId="855">
    <w:name w:val="样式444"/>
    <w:basedOn w:val="1"/>
    <w:qFormat/>
    <w:uiPriority w:val="99"/>
    <w:pPr>
      <w:spacing w:before="156" w:beforeLines="50" w:line="360" w:lineRule="auto"/>
    </w:pPr>
    <w:rPr>
      <w:b/>
      <w:sz w:val="28"/>
    </w:rPr>
  </w:style>
  <w:style w:type="paragraph" w:customStyle="1" w:styleId="856">
    <w:name w:val="样式 小五 首行缩进:  2 字符"/>
    <w:basedOn w:val="1"/>
    <w:qFormat/>
    <w:uiPriority w:val="99"/>
    <w:rPr>
      <w:sz w:val="18"/>
      <w:szCs w:val="20"/>
    </w:rPr>
  </w:style>
  <w:style w:type="paragraph" w:customStyle="1" w:styleId="857">
    <w:name w:val="xl353"/>
    <w:basedOn w:val="1"/>
    <w:qFormat/>
    <w:uiPriority w:val="99"/>
    <w:pPr>
      <w:spacing w:before="100" w:beforeAutospacing="1" w:after="100" w:afterAutospacing="1"/>
    </w:pPr>
    <w:rPr>
      <w:rFonts w:ascii="宋体" w:hAnsi="宋体" w:cs="宋体"/>
      <w:color w:val="E26B0A"/>
      <w:kern w:val="0"/>
      <w:szCs w:val="21"/>
    </w:rPr>
  </w:style>
  <w:style w:type="paragraph" w:customStyle="1" w:styleId="858">
    <w:name w:val="样式13"/>
    <w:basedOn w:val="1"/>
    <w:next w:val="31"/>
    <w:link w:val="2140"/>
    <w:qFormat/>
    <w:uiPriority w:val="0"/>
    <w:pPr>
      <w:adjustRightInd w:val="0"/>
      <w:spacing w:line="500" w:lineRule="exact"/>
      <w:ind w:firstLine="200" w:firstLineChars="200"/>
      <w:textAlignment w:val="baseline"/>
    </w:pPr>
    <w:rPr>
      <w:rFonts w:ascii="仿宋_GB2312" w:hAnsi="宋体" w:eastAsia="仿宋_GB2312"/>
      <w:color w:val="FF0000"/>
      <w:sz w:val="28"/>
      <w:szCs w:val="28"/>
    </w:rPr>
  </w:style>
  <w:style w:type="paragraph" w:customStyle="1" w:styleId="859">
    <w:name w:val="日期11"/>
    <w:basedOn w:val="1"/>
    <w:next w:val="1"/>
    <w:qFormat/>
    <w:uiPriority w:val="0"/>
    <w:pPr>
      <w:adjustRightInd w:val="0"/>
      <w:snapToGrid w:val="0"/>
      <w:spacing w:line="312" w:lineRule="atLeast"/>
      <w:textAlignment w:val="baseline"/>
    </w:pPr>
    <w:rPr>
      <w:rFonts w:ascii="宋体" w:hAnsi="宋体" w:eastAsia="楷体_GB2312"/>
      <w:color w:val="000000"/>
      <w:spacing w:val="6"/>
      <w:kern w:val="0"/>
      <w:sz w:val="28"/>
    </w:rPr>
  </w:style>
  <w:style w:type="paragraph" w:customStyle="1" w:styleId="860">
    <w:name w:val="xl118"/>
    <w:basedOn w:val="1"/>
    <w:qFormat/>
    <w:uiPriority w:val="0"/>
    <w:pPr>
      <w:pBdr>
        <w:left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861">
    <w:name w:val="新正文样式"/>
    <w:basedOn w:val="1"/>
    <w:qFormat/>
    <w:uiPriority w:val="99"/>
    <w:pPr>
      <w:tabs>
        <w:tab w:val="left" w:pos="567"/>
      </w:tabs>
      <w:spacing w:line="360" w:lineRule="auto"/>
      <w:ind w:firstLine="567"/>
    </w:pPr>
    <w:rPr>
      <w:spacing w:val="20"/>
      <w:sz w:val="24"/>
    </w:rPr>
  </w:style>
  <w:style w:type="paragraph" w:customStyle="1" w:styleId="862">
    <w:name w:val="xl27"/>
    <w:basedOn w:val="1"/>
    <w:qFormat/>
    <w:uiPriority w:val="0"/>
    <w:pPr>
      <w:spacing w:before="100" w:beforeAutospacing="1" w:after="100" w:afterAutospacing="1"/>
    </w:pPr>
    <w:rPr>
      <w:color w:val="FF0000"/>
      <w:kern w:val="0"/>
      <w:sz w:val="24"/>
    </w:rPr>
  </w:style>
  <w:style w:type="paragraph" w:customStyle="1" w:styleId="863">
    <w:name w:val="xl138"/>
    <w:basedOn w:val="1"/>
    <w:qFormat/>
    <w:uiPriority w:val="99"/>
    <w:pPr>
      <w:pBdr>
        <w:left w:val="single" w:color="auto" w:sz="4" w:space="0"/>
        <w:bottom w:val="single" w:color="auto" w:sz="8" w:space="0"/>
      </w:pBdr>
      <w:spacing w:before="100" w:beforeAutospacing="1" w:after="100" w:afterAutospacing="1"/>
      <w:jc w:val="center"/>
      <w:textAlignment w:val="center"/>
    </w:pPr>
    <w:rPr>
      <w:kern w:val="0"/>
      <w:sz w:val="12"/>
      <w:szCs w:val="12"/>
    </w:rPr>
  </w:style>
  <w:style w:type="paragraph" w:customStyle="1" w:styleId="864">
    <w:name w:val="样式2.2"/>
    <w:basedOn w:val="729"/>
    <w:qFormat/>
    <w:uiPriority w:val="0"/>
    <w:pPr>
      <w:tabs>
        <w:tab w:val="left" w:pos="-480"/>
        <w:tab w:val="left" w:pos="1740"/>
      </w:tabs>
      <w:ind w:left="1740" w:hanging="420"/>
    </w:pPr>
  </w:style>
  <w:style w:type="paragraph" w:customStyle="1" w:styleId="865">
    <w:name w:val="xl183"/>
    <w:basedOn w:val="1"/>
    <w:qFormat/>
    <w:uiPriority w:val="99"/>
    <w:pPr>
      <w:pBdr>
        <w:left w:val="single" w:color="auto" w:sz="4" w:space="0"/>
        <w:right w:val="single" w:color="auto" w:sz="4"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866">
    <w:name w:val="Char Char1"/>
    <w:basedOn w:val="1"/>
    <w:qFormat/>
    <w:uiPriority w:val="0"/>
    <w:pPr>
      <w:tabs>
        <w:tab w:val="left" w:pos="632"/>
      </w:tabs>
      <w:spacing w:line="360" w:lineRule="auto"/>
      <w:ind w:left="420" w:hanging="420"/>
    </w:pPr>
    <w:rPr>
      <w:rFonts w:ascii="宋体" w:hAnsi="宋体" w:cs="宋体"/>
      <w:sz w:val="24"/>
    </w:rPr>
  </w:style>
  <w:style w:type="paragraph" w:customStyle="1" w:styleId="867">
    <w:name w:val="font0"/>
    <w:basedOn w:val="1"/>
    <w:qFormat/>
    <w:uiPriority w:val="0"/>
    <w:pPr>
      <w:spacing w:before="100" w:beforeAutospacing="1" w:after="100" w:afterAutospacing="1"/>
    </w:pPr>
    <w:rPr>
      <w:rFonts w:hint="eastAsia" w:ascii="宋体" w:hAnsi="宋体" w:cs="Arial Unicode MS"/>
      <w:kern w:val="0"/>
      <w:sz w:val="24"/>
    </w:rPr>
  </w:style>
  <w:style w:type="paragraph" w:customStyle="1" w:styleId="868">
    <w:name w:val="xl166"/>
    <w:basedOn w:val="1"/>
    <w:qFormat/>
    <w:uiPriority w:val="99"/>
    <w:pPr>
      <w:pBdr>
        <w:left w:val="single" w:color="auto" w:sz="12" w:space="0"/>
        <w:bottom w:val="single" w:color="auto" w:sz="12" w:space="0"/>
      </w:pBdr>
      <w:spacing w:before="100" w:beforeAutospacing="1" w:after="100" w:afterAutospacing="1"/>
      <w:jc w:val="center"/>
      <w:textAlignment w:val="center"/>
    </w:pPr>
    <w:rPr>
      <w:rFonts w:ascii="Arial Unicode MS" w:hAnsi="Arial Unicode MS"/>
      <w:kern w:val="0"/>
    </w:rPr>
  </w:style>
  <w:style w:type="paragraph" w:customStyle="1" w:styleId="869">
    <w:name w:val="oa8"/>
    <w:basedOn w:val="1"/>
    <w:qFormat/>
    <w:uiPriority w:val="99"/>
    <w:pPr>
      <w:pBdr>
        <w:top w:val="single" w:color="000000" w:sz="4" w:space="0"/>
        <w:left w:val="single" w:color="000000" w:sz="4" w:space="0"/>
        <w:bottom w:val="single" w:color="000000" w:sz="4" w:space="0"/>
        <w:right w:val="single" w:color="000000" w:sz="8" w:space="0"/>
      </w:pBdr>
      <w:spacing w:before="100" w:beforeAutospacing="1" w:after="100" w:afterAutospacing="1"/>
      <w:textAlignment w:val="center"/>
    </w:pPr>
    <w:rPr>
      <w:rFonts w:ascii="宋体" w:hAnsi="宋体" w:cs="宋体"/>
      <w:kern w:val="0"/>
      <w:sz w:val="24"/>
    </w:rPr>
  </w:style>
  <w:style w:type="paragraph" w:customStyle="1" w:styleId="870">
    <w:name w:val="前言"/>
    <w:basedOn w:val="1"/>
    <w:qFormat/>
    <w:uiPriority w:val="99"/>
    <w:pPr>
      <w:tabs>
        <w:tab w:val="left" w:pos="1200"/>
        <w:tab w:val="left" w:pos="3312"/>
      </w:tabs>
      <w:spacing w:line="360" w:lineRule="auto"/>
      <w:ind w:left="3312" w:hanging="432"/>
      <w:jc w:val="center"/>
    </w:pPr>
    <w:rPr>
      <w:rFonts w:ascii="宋体"/>
      <w:b/>
      <w:sz w:val="24"/>
    </w:rPr>
  </w:style>
  <w:style w:type="paragraph" w:customStyle="1" w:styleId="871">
    <w:name w:val="xl125"/>
    <w:basedOn w:val="1"/>
    <w:qFormat/>
    <w:uiPriority w:val="99"/>
    <w:pPr>
      <w:spacing w:before="100" w:beforeAutospacing="1" w:after="100" w:afterAutospacing="1"/>
      <w:textAlignment w:val="center"/>
    </w:pPr>
    <w:rPr>
      <w:rFonts w:ascii="Arial Unicode MS" w:hAnsi="Arial Unicode MS"/>
      <w:kern w:val="0"/>
      <w:sz w:val="16"/>
      <w:szCs w:val="16"/>
    </w:rPr>
  </w:style>
  <w:style w:type="paragraph" w:customStyle="1" w:styleId="872">
    <w:name w:val="xl39"/>
    <w:basedOn w:val="1"/>
    <w:qFormat/>
    <w:uiPriority w:val="0"/>
    <w:pPr>
      <w:pBdr>
        <w:bottom w:val="single" w:color="auto" w:sz="12" w:space="0"/>
      </w:pBdr>
      <w:spacing w:before="100" w:beforeAutospacing="1" w:after="100" w:afterAutospacing="1"/>
      <w:textAlignment w:val="center"/>
    </w:pPr>
    <w:rPr>
      <w:kern w:val="0"/>
      <w:sz w:val="16"/>
      <w:szCs w:val="16"/>
    </w:rPr>
  </w:style>
  <w:style w:type="paragraph" w:customStyle="1" w:styleId="873">
    <w:name w:val="xl31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6"/>
      <w:szCs w:val="26"/>
    </w:rPr>
  </w:style>
  <w:style w:type="paragraph" w:customStyle="1" w:styleId="874">
    <w:name w:val="8"/>
    <w:basedOn w:val="1"/>
    <w:next w:val="69"/>
    <w:qFormat/>
    <w:uiPriority w:val="0"/>
    <w:pPr>
      <w:ind w:firstLine="556"/>
    </w:pPr>
    <w:rPr>
      <w:rFonts w:ascii="仿宋_GB2312" w:hAnsi="宋体" w:eastAsia="仿宋_GB2312"/>
      <w:sz w:val="28"/>
    </w:rPr>
  </w:style>
  <w:style w:type="paragraph" w:customStyle="1" w:styleId="875">
    <w:name w:val="样式11"/>
    <w:basedOn w:val="712"/>
    <w:qFormat/>
    <w:uiPriority w:val="0"/>
    <w:pPr>
      <w:adjustRightInd w:val="0"/>
      <w:spacing w:line="240" w:lineRule="auto"/>
      <w:textAlignment w:val="baseline"/>
    </w:pPr>
    <w:rPr>
      <w:rFonts w:ascii="仿宋_GB2312" w:hAnsi="宋体" w:eastAsia="仿宋_GB2312"/>
      <w:bCs w:val="0"/>
      <w:color w:val="000000"/>
      <w:sz w:val="24"/>
      <w:szCs w:val="24"/>
    </w:rPr>
  </w:style>
  <w:style w:type="paragraph" w:customStyle="1" w:styleId="876">
    <w:name w:val="5表头"/>
    <w:basedOn w:val="1"/>
    <w:link w:val="2687"/>
    <w:qFormat/>
    <w:uiPriority w:val="0"/>
    <w:pPr>
      <w:spacing w:before="156" w:beforeLines="50"/>
      <w:jc w:val="center"/>
    </w:pPr>
    <w:rPr>
      <w:rFonts w:eastAsia="黑体" w:cs="宋体"/>
      <w:szCs w:val="20"/>
    </w:rPr>
  </w:style>
  <w:style w:type="paragraph" w:customStyle="1" w:styleId="877">
    <w:name w:val="注解"/>
    <w:qFormat/>
    <w:uiPriority w:val="99"/>
    <w:pPr>
      <w:widowControl w:val="0"/>
      <w:tabs>
        <w:tab w:val="left" w:pos="2520"/>
      </w:tabs>
      <w:jc w:val="center"/>
    </w:pPr>
    <w:rPr>
      <w:rFonts w:ascii="宋体" w:hAnsi="Arial Black" w:eastAsia="宋体" w:cs="Times New Roman"/>
      <w:kern w:val="2"/>
      <w:sz w:val="18"/>
      <w:lang w:val="en-US" w:eastAsia="zh-CN" w:bidi="ar-SA"/>
    </w:rPr>
  </w:style>
  <w:style w:type="paragraph" w:customStyle="1" w:styleId="878">
    <w:name w:val="样式 楷体_GB2312 居中"/>
    <w:basedOn w:val="1"/>
    <w:qFormat/>
    <w:uiPriority w:val="0"/>
    <w:pPr>
      <w:spacing w:line="360" w:lineRule="auto"/>
      <w:jc w:val="center"/>
    </w:pPr>
    <w:rPr>
      <w:rFonts w:ascii="楷体_GB2312" w:eastAsia="楷体_GB2312"/>
      <w:szCs w:val="20"/>
      <w:lang w:bidi="ar-OM"/>
    </w:rPr>
  </w:style>
  <w:style w:type="paragraph" w:customStyle="1" w:styleId="879">
    <w:name w:val="xl215"/>
    <w:basedOn w:val="1"/>
    <w:qFormat/>
    <w:uiPriority w:val="99"/>
    <w:pPr>
      <w:pBdr>
        <w:top w:val="single" w:color="auto" w:sz="8"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880">
    <w:name w:val="样式73"/>
    <w:basedOn w:val="1"/>
    <w:qFormat/>
    <w:uiPriority w:val="99"/>
    <w:pPr>
      <w:spacing w:line="360" w:lineRule="auto"/>
      <w:jc w:val="center"/>
    </w:pPr>
    <w:rPr>
      <w:rFonts w:hAnsi="黑体" w:eastAsia="黑体"/>
      <w:sz w:val="24"/>
    </w:rPr>
  </w:style>
  <w:style w:type="paragraph" w:customStyle="1" w:styleId="881">
    <w:name w:val="oa17"/>
    <w:basedOn w:val="1"/>
    <w:qFormat/>
    <w:uiPriority w:val="99"/>
    <w:pPr>
      <w:pBdr>
        <w:top w:val="single" w:color="000000" w:sz="4" w:space="0"/>
        <w:left w:val="single" w:color="000000" w:sz="8" w:space="0"/>
        <w:bottom w:val="single" w:color="000000" w:sz="8"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882">
    <w:name w:val="xl76"/>
    <w:basedOn w:val="1"/>
    <w:qFormat/>
    <w:uiPriority w:val="0"/>
    <w:pPr>
      <w:spacing w:before="100" w:beforeAutospacing="1" w:after="100" w:afterAutospacing="1"/>
    </w:pPr>
    <w:rPr>
      <w:rFonts w:ascii="Arial Unicode MS" w:hAnsi="Arial Unicode MS"/>
      <w:kern w:val="0"/>
      <w:sz w:val="16"/>
      <w:szCs w:val="16"/>
    </w:rPr>
  </w:style>
  <w:style w:type="paragraph" w:customStyle="1" w:styleId="883">
    <w:name w:val="小四表文居中"/>
    <w:qFormat/>
    <w:uiPriority w:val="99"/>
    <w:pPr>
      <w:widowControl w:val="0"/>
      <w:spacing w:line="400" w:lineRule="exact"/>
      <w:jc w:val="center"/>
    </w:pPr>
    <w:rPr>
      <w:rFonts w:ascii="仿宋_GB2312" w:hAnsi="Times New Roman" w:eastAsia="仿宋_GB2312" w:cs="Times New Roman"/>
      <w:kern w:val="2"/>
      <w:sz w:val="24"/>
      <w:szCs w:val="24"/>
      <w:lang w:val="en-US" w:eastAsia="zh-CN" w:bidi="ar-SA"/>
    </w:rPr>
  </w:style>
  <w:style w:type="paragraph" w:customStyle="1" w:styleId="884">
    <w:name w:val="xl220"/>
    <w:basedOn w:val="1"/>
    <w:qFormat/>
    <w:uiPriority w:val="99"/>
    <w:pPr>
      <w:pBdr>
        <w:top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885">
    <w:name w:val="xl62"/>
    <w:basedOn w:val="1"/>
    <w:qFormat/>
    <w:uiPriority w:val="0"/>
    <w:pPr>
      <w:pBdr>
        <w:bottom w:val="single" w:color="auto" w:sz="12" w:space="0"/>
      </w:pBdr>
      <w:spacing w:before="100" w:beforeAutospacing="1" w:after="100" w:afterAutospacing="1"/>
      <w:jc w:val="center"/>
      <w:textAlignment w:val="center"/>
    </w:pPr>
    <w:rPr>
      <w:kern w:val="0"/>
      <w:sz w:val="12"/>
      <w:szCs w:val="12"/>
    </w:rPr>
  </w:style>
  <w:style w:type="paragraph" w:customStyle="1" w:styleId="886">
    <w:name w:val="附录编号"/>
    <w:basedOn w:val="1"/>
    <w:qFormat/>
    <w:uiPriority w:val="99"/>
    <w:rPr>
      <w:rFonts w:ascii="黑体" w:hAnsi="MS Sans Serif" w:eastAsia="黑体"/>
      <w:snapToGrid w:val="0"/>
      <w:kern w:val="0"/>
      <w:szCs w:val="20"/>
    </w:rPr>
  </w:style>
  <w:style w:type="paragraph" w:customStyle="1" w:styleId="887">
    <w:name w:val="样式 标题 3 + (西文) Times New Roman (中文) 宋体 小四 加粗"/>
    <w:basedOn w:val="1"/>
    <w:qFormat/>
    <w:uiPriority w:val="99"/>
  </w:style>
  <w:style w:type="paragraph" w:customStyle="1" w:styleId="888">
    <w:name w:val="表格内容格式"/>
    <w:basedOn w:val="1"/>
    <w:qFormat/>
    <w:uiPriority w:val="0"/>
    <w:pPr>
      <w:adjustRightInd w:val="0"/>
      <w:snapToGrid w:val="0"/>
      <w:spacing w:line="360" w:lineRule="auto"/>
      <w:textAlignment w:val="baseline"/>
    </w:pPr>
    <w:rPr>
      <w:rFonts w:ascii="Arial Unicode MS" w:hAnsi="Arial Unicode MS" w:cs="Plotter"/>
      <w:snapToGrid w:val="0"/>
      <w:spacing w:val="16"/>
      <w:kern w:val="0"/>
      <w:szCs w:val="21"/>
    </w:rPr>
  </w:style>
  <w:style w:type="paragraph" w:customStyle="1" w:styleId="889">
    <w:name w:val="Char1"/>
    <w:basedOn w:val="1"/>
    <w:qFormat/>
    <w:uiPriority w:val="0"/>
    <w:rPr>
      <w:sz w:val="24"/>
    </w:rPr>
  </w:style>
  <w:style w:type="paragraph" w:customStyle="1" w:styleId="890">
    <w:name w:val="样式64"/>
    <w:basedOn w:val="1"/>
    <w:qFormat/>
    <w:uiPriority w:val="99"/>
    <w:pPr>
      <w:spacing w:line="360" w:lineRule="auto"/>
      <w:jc w:val="center"/>
    </w:pPr>
    <w:rPr>
      <w:rFonts w:hAnsi="黑体" w:eastAsia="黑体"/>
      <w:sz w:val="24"/>
    </w:rPr>
  </w:style>
  <w:style w:type="paragraph" w:customStyle="1" w:styleId="891">
    <w:name w:val="oa6"/>
    <w:basedOn w:val="1"/>
    <w:qFormat/>
    <w:uiPriority w:val="99"/>
    <w:pPr>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892">
    <w:name w:val="Char Char Char Char"/>
    <w:basedOn w:val="1"/>
    <w:qFormat/>
    <w:uiPriority w:val="0"/>
  </w:style>
  <w:style w:type="paragraph" w:customStyle="1" w:styleId="893">
    <w:name w:val="样式3"/>
    <w:basedOn w:val="1"/>
    <w:next w:val="1"/>
    <w:link w:val="2495"/>
    <w:qFormat/>
    <w:uiPriority w:val="0"/>
    <w:pPr>
      <w:spacing w:line="600" w:lineRule="exact"/>
    </w:pPr>
    <w:rPr>
      <w:sz w:val="28"/>
      <w:szCs w:val="28"/>
    </w:rPr>
  </w:style>
  <w:style w:type="paragraph" w:customStyle="1" w:styleId="894">
    <w:name w:val="xl31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Calibri" w:hAnsi="Calibri" w:cs="宋体"/>
      <w:kern w:val="0"/>
      <w:sz w:val="22"/>
      <w:szCs w:val="22"/>
    </w:rPr>
  </w:style>
  <w:style w:type="paragraph" w:customStyle="1" w:styleId="895">
    <w:name w:val="xl143"/>
    <w:basedOn w:val="1"/>
    <w:qFormat/>
    <w:uiPriority w:val="99"/>
    <w:pPr>
      <w:pBdr>
        <w:top w:val="single" w:color="auto" w:sz="8" w:space="0"/>
        <w:left w:val="single" w:color="auto" w:sz="4" w:space="0"/>
        <w:bottom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896">
    <w:name w:val="Char Char Char Char Char Char"/>
    <w:basedOn w:val="1"/>
    <w:qFormat/>
    <w:uiPriority w:val="0"/>
    <w:rPr>
      <w:sz w:val="24"/>
    </w:rPr>
  </w:style>
  <w:style w:type="paragraph" w:customStyle="1" w:styleId="897">
    <w:name w:val="xl357"/>
    <w:basedOn w:val="1"/>
    <w:qFormat/>
    <w:uiPriority w:val="99"/>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color w:val="E26B0A"/>
      <w:kern w:val="0"/>
      <w:sz w:val="22"/>
      <w:szCs w:val="22"/>
    </w:rPr>
  </w:style>
  <w:style w:type="paragraph" w:customStyle="1" w:styleId="898">
    <w:name w:val="xl61"/>
    <w:basedOn w:val="1"/>
    <w:qFormat/>
    <w:uiPriority w:val="0"/>
    <w:pPr>
      <w:spacing w:before="100" w:beforeAutospacing="1" w:after="100" w:afterAutospacing="1"/>
    </w:pPr>
    <w:rPr>
      <w:rFonts w:ascii="Arial Unicode MS" w:hAnsi="Arial Unicode MS"/>
      <w:kern w:val="0"/>
      <w:sz w:val="12"/>
      <w:szCs w:val="12"/>
    </w:rPr>
  </w:style>
  <w:style w:type="paragraph" w:customStyle="1" w:styleId="899">
    <w:name w:val="BGBT"/>
    <w:basedOn w:val="22"/>
    <w:qFormat/>
    <w:uiPriority w:val="99"/>
    <w:pPr>
      <w:jc w:val="center"/>
    </w:pPr>
    <w:rPr>
      <w:rFonts w:ascii="Times New Roman" w:hAnsi="Times New Roman" w:eastAsia="宋体" w:cs="宋体"/>
      <w:b/>
      <w:bCs/>
      <w:sz w:val="24"/>
      <w:szCs w:val="24"/>
    </w:rPr>
  </w:style>
  <w:style w:type="paragraph" w:customStyle="1" w:styleId="900">
    <w:name w:val="表格1"/>
    <w:basedOn w:val="1"/>
    <w:link w:val="2855"/>
    <w:qFormat/>
    <w:uiPriority w:val="0"/>
    <w:pPr>
      <w:autoSpaceDE w:val="0"/>
      <w:autoSpaceDN w:val="0"/>
      <w:adjustRightInd w:val="0"/>
      <w:snapToGrid w:val="0"/>
      <w:spacing w:line="360" w:lineRule="auto"/>
      <w:ind w:firstLine="506" w:firstLineChars="200"/>
      <w:jc w:val="center"/>
    </w:pPr>
    <w:rPr>
      <w:b/>
      <w:spacing w:val="6"/>
      <w:sz w:val="24"/>
    </w:rPr>
  </w:style>
  <w:style w:type="paragraph" w:customStyle="1" w:styleId="901">
    <w:name w:val="样式 样式 标题 2节标题 1.1节第一章 标题 2Heading 2 HiddenHeading 2 CCBSheadi......"/>
    <w:basedOn w:val="171"/>
    <w:qFormat/>
    <w:uiPriority w:val="99"/>
    <w:pPr>
      <w:spacing w:before="50" w:beforeLines="0" w:line="360" w:lineRule="auto"/>
    </w:pPr>
    <w:rPr>
      <w:rFonts w:cs="宋体"/>
      <w:b w:val="0"/>
      <w:szCs w:val="20"/>
    </w:rPr>
  </w:style>
  <w:style w:type="paragraph" w:customStyle="1" w:styleId="902">
    <w:name w:val="五号字表格"/>
    <w:basedOn w:val="900"/>
    <w:qFormat/>
    <w:uiPriority w:val="99"/>
    <w:pPr>
      <w:autoSpaceDE/>
      <w:autoSpaceDN/>
      <w:snapToGrid/>
      <w:spacing w:line="240" w:lineRule="auto"/>
      <w:ind w:firstLine="0" w:firstLineChars="0"/>
      <w:textAlignment w:val="baseline"/>
    </w:pPr>
    <w:rPr>
      <w:rFonts w:ascii="宋体"/>
      <w:b w:val="0"/>
      <w:spacing w:val="0"/>
      <w:kern w:val="0"/>
      <w:sz w:val="21"/>
      <w:szCs w:val="20"/>
    </w:rPr>
  </w:style>
  <w:style w:type="paragraph" w:customStyle="1" w:styleId="903">
    <w:name w:val="xl141"/>
    <w:basedOn w:val="1"/>
    <w:qFormat/>
    <w:uiPriority w:val="99"/>
    <w:pPr>
      <w:spacing w:before="100" w:beforeAutospacing="1" w:after="100" w:afterAutospacing="1"/>
    </w:pPr>
    <w:rPr>
      <w:rFonts w:ascii="Arial Unicode MS" w:hAnsi="Arial Unicode MS"/>
      <w:kern w:val="0"/>
      <w:sz w:val="16"/>
      <w:szCs w:val="16"/>
    </w:rPr>
  </w:style>
  <w:style w:type="paragraph" w:customStyle="1" w:styleId="904">
    <w:name w:val="样式 样式4.1.2.1 + 段前: 0.5 行"/>
    <w:qFormat/>
    <w:uiPriority w:val="0"/>
    <w:pPr>
      <w:tabs>
        <w:tab w:val="left" w:pos="0"/>
        <w:tab w:val="left" w:pos="892"/>
      </w:tabs>
      <w:ind w:left="892" w:hanging="420"/>
      <w:outlineLvl w:val="3"/>
    </w:pPr>
    <w:rPr>
      <w:rFonts w:ascii="Times New Roman" w:hAnsi="Times New Roman" w:eastAsia="宋体" w:cs="宋体"/>
      <w:b/>
      <w:lang w:val="en-US" w:eastAsia="zh-CN" w:bidi="ar-SA"/>
    </w:rPr>
  </w:style>
  <w:style w:type="paragraph" w:customStyle="1" w:styleId="905">
    <w:name w:val="样式4.1.2.1"/>
    <w:basedOn w:val="1"/>
    <w:qFormat/>
    <w:uiPriority w:val="99"/>
    <w:pPr>
      <w:spacing w:before="156" w:beforeLines="50" w:line="360" w:lineRule="auto"/>
    </w:pPr>
    <w:rPr>
      <w:sz w:val="24"/>
    </w:rPr>
  </w:style>
  <w:style w:type="paragraph" w:customStyle="1" w:styleId="906">
    <w:name w:val="xl35"/>
    <w:basedOn w:val="1"/>
    <w:qFormat/>
    <w:uiPriority w:val="0"/>
    <w:pPr>
      <w:pBdr>
        <w:left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907">
    <w:name w:val="oa1"/>
    <w:basedOn w:val="1"/>
    <w:qFormat/>
    <w:uiPriority w:val="99"/>
    <w:pPr>
      <w:pBdr>
        <w:top w:val="single" w:color="000000" w:sz="8" w:space="0"/>
        <w:left w:val="single" w:color="000000" w:sz="8"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908">
    <w:name w:val="五号表格"/>
    <w:next w:val="1"/>
    <w:qFormat/>
    <w:uiPriority w:val="0"/>
    <w:rPr>
      <w:rFonts w:ascii="宋体" w:hAnsi="Times New Roman" w:eastAsia="宋体" w:cs="Times New Roman"/>
      <w:sz w:val="21"/>
      <w:lang w:val="en-US" w:eastAsia="zh-CN" w:bidi="ar-SA"/>
    </w:rPr>
  </w:style>
  <w:style w:type="paragraph" w:customStyle="1" w:styleId="909">
    <w:name w:val="宏福正文"/>
    <w:basedOn w:val="34"/>
    <w:qFormat/>
    <w:uiPriority w:val="99"/>
    <w:pPr>
      <w:spacing w:before="240" w:line="400" w:lineRule="atLeast"/>
      <w:ind w:firstLine="624"/>
      <w:jc w:val="center"/>
    </w:pPr>
    <w:rPr>
      <w:snapToGrid w:val="0"/>
      <w:color w:val="000000"/>
      <w:spacing w:val="12"/>
      <w:kern w:val="28"/>
      <w:sz w:val="28"/>
      <w:szCs w:val="20"/>
    </w:rPr>
  </w:style>
  <w:style w:type="paragraph" w:customStyle="1" w:styleId="910">
    <w:name w:val="Plain Text2"/>
    <w:basedOn w:val="1"/>
    <w:qFormat/>
    <w:uiPriority w:val="99"/>
    <w:pPr>
      <w:tabs>
        <w:tab w:val="left" w:pos="420"/>
      </w:tabs>
      <w:autoSpaceDE w:val="0"/>
      <w:autoSpaceDN w:val="0"/>
      <w:adjustRightInd w:val="0"/>
      <w:ind w:left="420" w:hanging="420"/>
      <w:textAlignment w:val="baseline"/>
    </w:pPr>
    <w:rPr>
      <w:rFonts w:ascii="宋体" w:hAnsi="Tms Rmn"/>
      <w:kern w:val="0"/>
      <w:szCs w:val="20"/>
    </w:rPr>
  </w:style>
  <w:style w:type="paragraph" w:customStyle="1" w:styleId="911">
    <w:name w:val="项目编号"/>
    <w:basedOn w:val="1"/>
    <w:next w:val="1"/>
    <w:qFormat/>
    <w:uiPriority w:val="99"/>
    <w:pPr>
      <w:spacing w:before="120" w:after="120" w:line="360" w:lineRule="auto"/>
    </w:pPr>
    <w:rPr>
      <w:sz w:val="24"/>
      <w:szCs w:val="20"/>
    </w:rPr>
  </w:style>
  <w:style w:type="paragraph" w:customStyle="1" w:styleId="912">
    <w:name w:val="样式56"/>
    <w:basedOn w:val="1"/>
    <w:qFormat/>
    <w:uiPriority w:val="99"/>
    <w:pPr>
      <w:jc w:val="center"/>
    </w:pPr>
    <w:rPr>
      <w:kern w:val="0"/>
      <w:szCs w:val="20"/>
    </w:rPr>
  </w:style>
  <w:style w:type="paragraph" w:customStyle="1" w:styleId="913">
    <w:name w:val="cdb"/>
    <w:basedOn w:val="1"/>
    <w:qFormat/>
    <w:uiPriority w:val="99"/>
    <w:pPr>
      <w:tabs>
        <w:tab w:val="left" w:pos="3000"/>
      </w:tabs>
      <w:spacing w:before="120"/>
      <w:ind w:left="851" w:firstLine="482"/>
    </w:pPr>
    <w:rPr>
      <w:szCs w:val="20"/>
    </w:rPr>
  </w:style>
  <w:style w:type="paragraph" w:customStyle="1" w:styleId="914">
    <w:name w:val="样式 标题 30000标题 3 + 宋体 13 磅 黑色 左 左侧:  0 厘米 首行缩进:  0 厘米 段前: ..."/>
    <w:basedOn w:val="5"/>
    <w:next w:val="118"/>
    <w:qFormat/>
    <w:uiPriority w:val="99"/>
    <w:pPr>
      <w:adjustRightInd w:val="0"/>
      <w:snapToGrid w:val="0"/>
      <w:spacing w:before="0" w:after="0" w:line="460" w:lineRule="exact"/>
      <w:textAlignment w:val="baseline"/>
      <w:outlineLvl w:val="9"/>
    </w:pPr>
    <w:rPr>
      <w:rFonts w:ascii="宋体" w:hAnsi="宋体" w:cs="宋体"/>
      <w:b w:val="0"/>
      <w:bCs w:val="0"/>
      <w:color w:val="000000"/>
      <w:kern w:val="0"/>
      <w:sz w:val="26"/>
      <w:szCs w:val="26"/>
    </w:rPr>
  </w:style>
  <w:style w:type="paragraph" w:customStyle="1" w:styleId="915">
    <w:name w:val="样式111"/>
    <w:qFormat/>
    <w:uiPriority w:val="0"/>
    <w:rPr>
      <w:rFonts w:ascii="Times New Roman" w:hAnsi="Times New Roman" w:eastAsia="宋体" w:cs="Times New Roman"/>
      <w:sz w:val="21"/>
      <w:lang w:val="en-US" w:eastAsia="zh-CN" w:bidi="ar-SA"/>
    </w:rPr>
  </w:style>
  <w:style w:type="paragraph" w:customStyle="1" w:styleId="916">
    <w:name w:val="文本框文字格式"/>
    <w:basedOn w:val="1"/>
    <w:qFormat/>
    <w:uiPriority w:val="99"/>
    <w:pPr>
      <w:jc w:val="center"/>
    </w:pPr>
    <w:rPr>
      <w:sz w:val="24"/>
    </w:rPr>
  </w:style>
  <w:style w:type="paragraph" w:customStyle="1" w:styleId="917">
    <w:name w:val="xl85"/>
    <w:basedOn w:val="1"/>
    <w:qFormat/>
    <w:uiPriority w:val="0"/>
    <w:pPr>
      <w:pBdr>
        <w:bottom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918">
    <w:name w:val="xl106"/>
    <w:basedOn w:val="1"/>
    <w:qFormat/>
    <w:uiPriority w:val="0"/>
    <w:pPr>
      <w:pBdr>
        <w:left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919">
    <w:name w:val="样式 标题 2Heading 2 HiddenHD2Heading 2 CCBSTitre3h2heading 2...1"/>
    <w:basedOn w:val="4"/>
    <w:qFormat/>
    <w:uiPriority w:val="99"/>
    <w:pPr>
      <w:keepLines w:val="0"/>
      <w:overflowPunct w:val="0"/>
      <w:autoSpaceDE w:val="0"/>
      <w:autoSpaceDN w:val="0"/>
      <w:adjustRightInd w:val="0"/>
      <w:spacing w:before="100" w:after="100" w:line="295" w:lineRule="auto"/>
      <w:textAlignment w:val="baseline"/>
    </w:pPr>
    <w:rPr>
      <w:rFonts w:eastAsia="宋体" w:cs="宋体"/>
      <w:bCs w:val="0"/>
      <w:color w:val="0000FF"/>
      <w:kern w:val="0"/>
      <w:sz w:val="30"/>
      <w:szCs w:val="20"/>
      <w:lang w:val="en-GB"/>
    </w:rPr>
  </w:style>
  <w:style w:type="paragraph" w:customStyle="1" w:styleId="920">
    <w:name w:val="oa24"/>
    <w:basedOn w:val="1"/>
    <w:qFormat/>
    <w:uiPriority w:val="99"/>
    <w:pPr>
      <w:pBdr>
        <w:top w:val="single" w:color="000000" w:sz="4" w:space="0"/>
        <w:left w:val="single" w:color="000000" w:sz="4" w:space="0"/>
        <w:bottom w:val="single" w:color="000000" w:sz="8" w:space="0"/>
        <w:right w:val="single" w:color="000000" w:sz="4" w:space="0"/>
      </w:pBdr>
      <w:spacing w:before="100" w:beforeAutospacing="1" w:after="100" w:afterAutospacing="1"/>
      <w:textAlignment w:val="top"/>
    </w:pPr>
    <w:rPr>
      <w:rFonts w:ascii="宋体" w:hAnsi="宋体" w:cs="宋体"/>
      <w:kern w:val="0"/>
      <w:sz w:val="24"/>
    </w:rPr>
  </w:style>
  <w:style w:type="paragraph" w:customStyle="1" w:styleId="921">
    <w:name w:val="xl71"/>
    <w:basedOn w:val="1"/>
    <w:qFormat/>
    <w:uiPriority w:val="0"/>
    <w:pPr>
      <w:spacing w:before="100" w:beforeAutospacing="1" w:after="100" w:afterAutospacing="1"/>
    </w:pPr>
    <w:rPr>
      <w:rFonts w:ascii="Arial Unicode MS" w:hAnsi="Arial Unicode MS"/>
      <w:kern w:val="0"/>
      <w:sz w:val="16"/>
      <w:szCs w:val="16"/>
    </w:rPr>
  </w:style>
  <w:style w:type="paragraph" w:customStyle="1" w:styleId="922">
    <w:name w:val="Char Char1 Char Char Char Char Char Char Char Char Char1 Char"/>
    <w:basedOn w:val="1"/>
    <w:qFormat/>
    <w:uiPriority w:val="99"/>
  </w:style>
  <w:style w:type="paragraph" w:customStyle="1" w:styleId="923">
    <w:name w:val="表格下方正文"/>
    <w:basedOn w:val="1"/>
    <w:qFormat/>
    <w:uiPriority w:val="0"/>
    <w:pPr>
      <w:spacing w:before="260" w:line="440" w:lineRule="exact"/>
      <w:ind w:firstLine="200" w:firstLineChars="200"/>
    </w:pPr>
    <w:rPr>
      <w:kern w:val="0"/>
      <w:sz w:val="24"/>
      <w:szCs w:val="20"/>
    </w:rPr>
  </w:style>
  <w:style w:type="paragraph" w:customStyle="1" w:styleId="924">
    <w:name w:val="一级条标题"/>
    <w:next w:val="1"/>
    <w:qFormat/>
    <w:uiPriority w:val="0"/>
    <w:pPr>
      <w:tabs>
        <w:tab w:val="left" w:pos="903"/>
      </w:tabs>
      <w:outlineLvl w:val="2"/>
    </w:pPr>
    <w:rPr>
      <w:rFonts w:ascii="Times New Roman" w:hAnsi="Times New Roman" w:eastAsia="宋体" w:cs="Times New Roman"/>
      <w:lang w:val="en-US" w:eastAsia="zh-CN" w:bidi="ar-SA"/>
    </w:rPr>
  </w:style>
  <w:style w:type="paragraph" w:customStyle="1" w:styleId="925">
    <w:name w:val="章标题"/>
    <w:next w:val="1"/>
    <w:qFormat/>
    <w:uiPriority w:val="0"/>
    <w:pPr>
      <w:tabs>
        <w:tab w:val="left" w:pos="903"/>
      </w:tabs>
      <w:spacing w:before="50" w:after="50"/>
      <w:ind w:left="903" w:hanging="315"/>
      <w:jc w:val="both"/>
      <w:outlineLvl w:val="1"/>
    </w:pPr>
    <w:rPr>
      <w:rFonts w:ascii="黑体" w:hAnsi="Times New Roman" w:eastAsia="黑体" w:cs="Times New Roman"/>
      <w:sz w:val="21"/>
      <w:szCs w:val="21"/>
      <w:lang w:val="en-US" w:eastAsia="zh-CN" w:bidi="ar-SA"/>
    </w:rPr>
  </w:style>
  <w:style w:type="paragraph" w:customStyle="1" w:styleId="926">
    <w:name w:val="xl32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2"/>
      <w:szCs w:val="22"/>
    </w:rPr>
  </w:style>
  <w:style w:type="paragraph" w:customStyle="1" w:styleId="927">
    <w:name w:val="font5"/>
    <w:basedOn w:val="1"/>
    <w:qFormat/>
    <w:uiPriority w:val="0"/>
    <w:pPr>
      <w:spacing w:before="100" w:beforeAutospacing="1" w:after="100" w:afterAutospacing="1"/>
    </w:pPr>
    <w:rPr>
      <w:rFonts w:hint="eastAsia" w:ascii="宋体" w:hAnsi="宋体" w:cs="Arial Unicode MS"/>
      <w:kern w:val="0"/>
      <w:sz w:val="18"/>
      <w:szCs w:val="18"/>
    </w:rPr>
  </w:style>
  <w:style w:type="paragraph" w:customStyle="1" w:styleId="928">
    <w:name w:val="xl124"/>
    <w:basedOn w:val="1"/>
    <w:qFormat/>
    <w:uiPriority w:val="0"/>
    <w:pPr>
      <w:pBdr>
        <w:left w:val="single" w:color="auto" w:sz="4" w:space="0"/>
        <w:bottom w:val="single" w:color="auto" w:sz="8" w:space="0"/>
      </w:pBdr>
      <w:spacing w:before="100" w:beforeAutospacing="1" w:after="100" w:afterAutospacing="1"/>
    </w:pPr>
    <w:rPr>
      <w:rFonts w:ascii="Arial Unicode MS" w:hAnsi="Arial Unicode MS"/>
      <w:kern w:val="0"/>
      <w:sz w:val="16"/>
      <w:szCs w:val="16"/>
    </w:rPr>
  </w:style>
  <w:style w:type="paragraph" w:customStyle="1" w:styleId="929">
    <w:name w:val="xl30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Calibri" w:hAnsi="Calibri" w:cs="宋体"/>
      <w:kern w:val="0"/>
      <w:sz w:val="22"/>
      <w:szCs w:val="22"/>
    </w:rPr>
  </w:style>
  <w:style w:type="paragraph" w:customStyle="1" w:styleId="930">
    <w:name w:val="样式5555"/>
    <w:basedOn w:val="1"/>
    <w:qFormat/>
    <w:uiPriority w:val="99"/>
    <w:pPr>
      <w:tabs>
        <w:tab w:val="left" w:pos="0"/>
        <w:tab w:val="left" w:pos="2180"/>
      </w:tabs>
      <w:ind w:left="2180" w:hanging="420"/>
    </w:pPr>
    <w:rPr>
      <w:rFonts w:ascii="宋体" w:hAnsi="PMingLiU"/>
      <w:sz w:val="24"/>
    </w:rPr>
  </w:style>
  <w:style w:type="paragraph" w:customStyle="1" w:styleId="931">
    <w:name w:val="oa10"/>
    <w:basedOn w:val="1"/>
    <w:qFormat/>
    <w:uiPriority w:val="99"/>
    <w:pPr>
      <w:pBdr>
        <w:top w:val="single" w:color="000000" w:sz="4" w:space="0"/>
        <w:left w:val="single" w:color="000000" w:sz="4" w:space="0"/>
        <w:bottom w:val="single" w:color="000000" w:sz="4" w:space="0"/>
        <w:right w:val="single" w:color="000000" w:sz="4" w:space="0"/>
      </w:pBdr>
      <w:shd w:val="clear" w:color="auto" w:fill="808080"/>
      <w:spacing w:before="100" w:beforeAutospacing="1" w:after="100" w:afterAutospacing="1"/>
      <w:textAlignment w:val="top"/>
    </w:pPr>
    <w:rPr>
      <w:rFonts w:ascii="宋体" w:hAnsi="宋体" w:cs="宋体"/>
      <w:kern w:val="0"/>
      <w:sz w:val="24"/>
    </w:rPr>
  </w:style>
  <w:style w:type="paragraph" w:customStyle="1" w:styleId="932">
    <w:name w:val="表格编号"/>
    <w:basedOn w:val="1"/>
    <w:next w:val="1"/>
    <w:link w:val="2796"/>
    <w:qFormat/>
    <w:uiPriority w:val="0"/>
    <w:pPr>
      <w:tabs>
        <w:tab w:val="left" w:pos="600"/>
        <w:tab w:val="left" w:pos="720"/>
      </w:tabs>
      <w:spacing w:before="300" w:after="200"/>
      <w:jc w:val="center"/>
    </w:pPr>
    <w:rPr>
      <w:sz w:val="24"/>
      <w:szCs w:val="20"/>
    </w:rPr>
  </w:style>
  <w:style w:type="paragraph" w:customStyle="1" w:styleId="933">
    <w:name w:val="图名"/>
    <w:basedOn w:val="72"/>
    <w:link w:val="1835"/>
    <w:qFormat/>
    <w:uiPriority w:val="0"/>
    <w:pPr>
      <w:adjustRightInd w:val="0"/>
      <w:snapToGrid w:val="0"/>
      <w:spacing w:after="0" w:line="360" w:lineRule="auto"/>
    </w:pPr>
    <w:rPr>
      <w:rFonts w:ascii="Times New Roman" w:eastAsia="黑体"/>
      <w:sz w:val="24"/>
    </w:rPr>
  </w:style>
  <w:style w:type="paragraph" w:customStyle="1" w:styleId="934">
    <w:name w:val="样式 四号 黑色 行距: 1.5 倍行距 首行缩进:  2 字符"/>
    <w:basedOn w:val="1"/>
    <w:qFormat/>
    <w:uiPriority w:val="99"/>
    <w:pPr>
      <w:spacing w:line="360" w:lineRule="auto"/>
      <w:ind w:firstLine="560" w:firstLineChars="200"/>
    </w:pPr>
    <w:rPr>
      <w:rFonts w:ascii="Plotter" w:hAnsi="Plotter" w:eastAsia="仿宋_GB2312" w:cs="Arial Unicode MS"/>
      <w:color w:val="000000"/>
      <w:sz w:val="28"/>
      <w:szCs w:val="20"/>
    </w:rPr>
  </w:style>
  <w:style w:type="paragraph" w:customStyle="1" w:styleId="935">
    <w:name w:val="样式 居中"/>
    <w:basedOn w:val="1"/>
    <w:qFormat/>
    <w:uiPriority w:val="0"/>
    <w:pPr>
      <w:spacing w:line="520" w:lineRule="exact"/>
      <w:jc w:val="center"/>
    </w:pPr>
    <w:rPr>
      <w:kern w:val="44"/>
      <w:sz w:val="24"/>
      <w:szCs w:val="20"/>
    </w:rPr>
  </w:style>
  <w:style w:type="paragraph" w:customStyle="1" w:styleId="936">
    <w:name w:val="xl55"/>
    <w:basedOn w:val="1"/>
    <w:qFormat/>
    <w:uiPriority w:val="0"/>
    <w:pPr>
      <w:pBdr>
        <w:bottom w:val="single" w:color="auto" w:sz="12" w:space="0"/>
      </w:pBdr>
      <w:spacing w:before="100" w:beforeAutospacing="1" w:after="100" w:afterAutospacing="1"/>
    </w:pPr>
    <w:rPr>
      <w:rFonts w:ascii="Arial Unicode MS" w:hAnsi="Arial Unicode MS"/>
      <w:kern w:val="0"/>
      <w:sz w:val="12"/>
      <w:szCs w:val="12"/>
    </w:rPr>
  </w:style>
  <w:style w:type="paragraph" w:customStyle="1" w:styleId="937">
    <w:name w:val="xl60"/>
    <w:basedOn w:val="1"/>
    <w:qFormat/>
    <w:uiPriority w:val="0"/>
    <w:pPr>
      <w:pBdr>
        <w:left w:val="single" w:color="auto" w:sz="8" w:space="0"/>
        <w:right w:val="single" w:color="auto" w:sz="4" w:space="0"/>
      </w:pBdr>
      <w:spacing w:before="100" w:beforeAutospacing="1" w:after="100" w:afterAutospacing="1"/>
      <w:jc w:val="center"/>
      <w:textAlignment w:val="top"/>
    </w:pPr>
    <w:rPr>
      <w:kern w:val="0"/>
      <w:sz w:val="24"/>
    </w:rPr>
  </w:style>
  <w:style w:type="paragraph" w:customStyle="1" w:styleId="938">
    <w:name w:val="xl47"/>
    <w:basedOn w:val="1"/>
    <w:qFormat/>
    <w:uiPriority w:val="0"/>
    <w:pPr>
      <w:pBdr>
        <w:top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939">
    <w:name w:val="xl116"/>
    <w:basedOn w:val="1"/>
    <w:qFormat/>
    <w:uiPriority w:val="0"/>
    <w:pPr>
      <w:pBdr>
        <w:bottom w:val="single" w:color="auto" w:sz="8" w:space="0"/>
      </w:pBdr>
      <w:spacing w:before="100" w:beforeAutospacing="1" w:after="100" w:afterAutospacing="1"/>
    </w:pPr>
    <w:rPr>
      <w:rFonts w:ascii="Arial Unicode MS" w:hAnsi="Arial Unicode MS"/>
      <w:kern w:val="0"/>
      <w:sz w:val="16"/>
      <w:szCs w:val="16"/>
    </w:rPr>
  </w:style>
  <w:style w:type="paragraph" w:customStyle="1" w:styleId="940">
    <w:name w:val="小四表文左齐"/>
    <w:basedOn w:val="1"/>
    <w:qFormat/>
    <w:uiPriority w:val="0"/>
    <w:pPr>
      <w:adjustRightInd w:val="0"/>
      <w:snapToGrid w:val="0"/>
      <w:jc w:val="center"/>
    </w:pPr>
    <w:rPr>
      <w:rFonts w:ascii="仿宋_GB2312" w:hAnsi="宋体" w:eastAsia="仿宋_GB2312"/>
    </w:rPr>
  </w:style>
  <w:style w:type="paragraph" w:customStyle="1" w:styleId="941">
    <w:name w:val="正文 首行缩进:  2 字符 Char"/>
    <w:basedOn w:val="1"/>
    <w:qFormat/>
    <w:uiPriority w:val="99"/>
    <w:pPr>
      <w:spacing w:line="520" w:lineRule="exact"/>
      <w:ind w:firstLine="200" w:firstLineChars="200"/>
    </w:pPr>
    <w:rPr>
      <w:kern w:val="44"/>
      <w:sz w:val="24"/>
      <w:szCs w:val="20"/>
    </w:rPr>
  </w:style>
  <w:style w:type="paragraph" w:customStyle="1" w:styleId="942">
    <w:name w:val="xl31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Calibri" w:hAnsi="Calibri" w:cs="宋体"/>
      <w:kern w:val="0"/>
      <w:sz w:val="22"/>
      <w:szCs w:val="22"/>
    </w:rPr>
  </w:style>
  <w:style w:type="paragraph" w:customStyle="1" w:styleId="943">
    <w:name w:val="表1"/>
    <w:basedOn w:val="1"/>
    <w:qFormat/>
    <w:uiPriority w:val="0"/>
    <w:pPr>
      <w:jc w:val="center"/>
    </w:pPr>
    <w:rPr>
      <w:rFonts w:ascii="宋体" w:hAnsi="宋体"/>
      <w:color w:val="000000"/>
    </w:rPr>
  </w:style>
  <w:style w:type="paragraph" w:customStyle="1" w:styleId="944">
    <w:name w:val="xl35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b/>
      <w:bCs/>
      <w:color w:val="E26B0A"/>
      <w:kern w:val="0"/>
      <w:sz w:val="22"/>
      <w:szCs w:val="22"/>
    </w:rPr>
  </w:style>
  <w:style w:type="paragraph" w:customStyle="1" w:styleId="945">
    <w:name w:val="xl347"/>
    <w:basedOn w:val="1"/>
    <w:qFormat/>
    <w:uiPriority w:val="99"/>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2"/>
      <w:szCs w:val="22"/>
    </w:rPr>
  </w:style>
  <w:style w:type="paragraph" w:customStyle="1" w:styleId="946">
    <w:name w:val="啊啊"/>
    <w:basedOn w:val="167"/>
    <w:qFormat/>
    <w:uiPriority w:val="99"/>
    <w:pPr>
      <w:spacing w:line="440" w:lineRule="exact"/>
    </w:pPr>
    <w:rPr>
      <w:rFonts w:cs="宋体"/>
      <w:szCs w:val="20"/>
    </w:rPr>
  </w:style>
  <w:style w:type="paragraph" w:customStyle="1" w:styleId="947">
    <w:name w:val="xl202"/>
    <w:basedOn w:val="1"/>
    <w:qFormat/>
    <w:uiPriority w:val="99"/>
    <w:pPr>
      <w:spacing w:before="100" w:beforeAutospacing="1" w:after="100" w:afterAutospacing="1"/>
      <w:jc w:val="center"/>
      <w:textAlignment w:val="center"/>
    </w:pPr>
    <w:rPr>
      <w:rFonts w:ascii="黑体" w:hAnsi="黑体" w:eastAsia="黑体" w:cs="宋体"/>
      <w:kern w:val="0"/>
      <w:sz w:val="20"/>
      <w:szCs w:val="20"/>
    </w:rPr>
  </w:style>
  <w:style w:type="paragraph" w:customStyle="1" w:styleId="948">
    <w:name w:val="图文框"/>
    <w:basedOn w:val="1"/>
    <w:qFormat/>
    <w:uiPriority w:val="0"/>
    <w:pPr>
      <w:adjustRightInd w:val="0"/>
      <w:snapToGrid w:val="0"/>
      <w:jc w:val="center"/>
    </w:pPr>
    <w:rPr>
      <w:kern w:val="0"/>
      <w:szCs w:val="21"/>
    </w:rPr>
  </w:style>
  <w:style w:type="paragraph" w:customStyle="1" w:styleId="949">
    <w:name w:val="Char Char1 Char Char Char Char Char Char Char Char Char Char Char Char Char Char Char Char Char Char Char Char1 Char"/>
    <w:basedOn w:val="1"/>
    <w:link w:val="3081"/>
    <w:qFormat/>
    <w:uiPriority w:val="0"/>
    <w:pPr>
      <w:spacing w:line="360" w:lineRule="auto"/>
      <w:ind w:firstLine="200" w:firstLineChars="200"/>
    </w:pPr>
    <w:rPr>
      <w:sz w:val="24"/>
    </w:rPr>
  </w:style>
  <w:style w:type="paragraph" w:customStyle="1" w:styleId="950">
    <w:name w:val="样式5 正文"/>
    <w:basedOn w:val="1"/>
    <w:qFormat/>
    <w:uiPriority w:val="99"/>
    <w:pPr>
      <w:spacing w:line="600" w:lineRule="exact"/>
      <w:ind w:firstLine="600" w:firstLineChars="200"/>
    </w:pPr>
    <w:rPr>
      <w:rFonts w:ascii="仿宋_GB2312" w:hAnsi="仿宋_GB2312" w:eastAsia="仿宋_GB2312"/>
      <w:sz w:val="30"/>
    </w:rPr>
  </w:style>
  <w:style w:type="paragraph" w:customStyle="1" w:styleId="951">
    <w:name w:val="Char Char Char Char Char Char Char Char Char1 Char Char Char Char Char Char Char Char1 Char Char Char"/>
    <w:basedOn w:val="1"/>
    <w:qFormat/>
    <w:uiPriority w:val="99"/>
    <w:pPr>
      <w:snapToGrid w:val="0"/>
      <w:spacing w:line="360" w:lineRule="auto"/>
      <w:ind w:firstLine="200" w:firstLineChars="200"/>
    </w:pPr>
    <w:rPr>
      <w:rFonts w:eastAsia="仿宋_GB2312"/>
      <w:sz w:val="24"/>
    </w:rPr>
  </w:style>
  <w:style w:type="paragraph" w:customStyle="1" w:styleId="952">
    <w:name w:val="CM34"/>
    <w:basedOn w:val="119"/>
    <w:next w:val="119"/>
    <w:qFormat/>
    <w:uiPriority w:val="99"/>
    <w:pPr>
      <w:spacing w:after="313"/>
    </w:pPr>
    <w:rPr>
      <w:rFonts w:ascii="宋体" w:hAnsi="Calibri" w:cs="Times New Roman"/>
      <w:color w:val="auto"/>
    </w:rPr>
  </w:style>
  <w:style w:type="paragraph" w:customStyle="1" w:styleId="953">
    <w:name w:val="xl151"/>
    <w:basedOn w:val="1"/>
    <w:qFormat/>
    <w:uiPriority w:val="99"/>
    <w:pPr>
      <w:spacing w:before="100" w:beforeAutospacing="1" w:after="100" w:afterAutospacing="1"/>
    </w:pPr>
    <w:rPr>
      <w:kern w:val="0"/>
      <w:sz w:val="16"/>
      <w:szCs w:val="16"/>
    </w:rPr>
  </w:style>
  <w:style w:type="paragraph" w:customStyle="1" w:styleId="954">
    <w:name w:val="reader-word-layer reader-word-s2-7"/>
    <w:basedOn w:val="1"/>
    <w:qFormat/>
    <w:uiPriority w:val="99"/>
    <w:pPr>
      <w:spacing w:before="100" w:beforeAutospacing="1" w:after="100" w:afterAutospacing="1"/>
    </w:pPr>
    <w:rPr>
      <w:rFonts w:ascii="宋体" w:hAnsi="宋体" w:cs="宋体"/>
      <w:kern w:val="0"/>
      <w:sz w:val="24"/>
    </w:rPr>
  </w:style>
  <w:style w:type="paragraph" w:customStyle="1" w:styleId="955">
    <w:name w:val="xl57"/>
    <w:basedOn w:val="1"/>
    <w:qFormat/>
    <w:uiPriority w:val="0"/>
    <w:pPr>
      <w:spacing w:before="100" w:beforeAutospacing="1" w:after="100" w:afterAutospacing="1"/>
    </w:pPr>
    <w:rPr>
      <w:rFonts w:ascii="Arial Unicode MS" w:hAnsi="Arial Unicode MS"/>
      <w:kern w:val="0"/>
      <w:sz w:val="12"/>
      <w:szCs w:val="12"/>
    </w:rPr>
  </w:style>
  <w:style w:type="paragraph" w:customStyle="1" w:styleId="956">
    <w:name w:val="样式8"/>
    <w:basedOn w:val="700"/>
    <w:qFormat/>
    <w:uiPriority w:val="0"/>
    <w:pPr>
      <w:adjustRightInd w:val="0"/>
    </w:pPr>
    <w:rPr>
      <w:rFonts w:ascii="仿宋_GB2312" w:hAnsi="宋体" w:eastAsia="仿宋_GB2312"/>
      <w:bCs/>
      <w:szCs w:val="28"/>
    </w:rPr>
  </w:style>
  <w:style w:type="paragraph" w:customStyle="1" w:styleId="957">
    <w:name w:val="xl210"/>
    <w:basedOn w:val="1"/>
    <w:qFormat/>
    <w:uiPriority w:val="99"/>
    <w:pPr>
      <w:pBdr>
        <w:top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cs="宋体"/>
      <w:color w:val="FF0000"/>
      <w:kern w:val="0"/>
      <w:sz w:val="24"/>
    </w:rPr>
  </w:style>
  <w:style w:type="paragraph" w:customStyle="1" w:styleId="958">
    <w:name w:val="表字"/>
    <w:basedOn w:val="1"/>
    <w:qFormat/>
    <w:uiPriority w:val="0"/>
    <w:pPr>
      <w:jc w:val="center"/>
    </w:pPr>
    <w:rPr>
      <w:rFonts w:ascii="宋体"/>
      <w:szCs w:val="20"/>
    </w:rPr>
  </w:style>
  <w:style w:type="paragraph" w:customStyle="1" w:styleId="959">
    <w:name w:val="图表1"/>
    <w:next w:val="1"/>
    <w:qFormat/>
    <w:uiPriority w:val="99"/>
    <w:pPr>
      <w:spacing w:line="240" w:lineRule="atLeast"/>
      <w:jc w:val="center"/>
    </w:pPr>
    <w:rPr>
      <w:rFonts w:ascii="楷体_GB2312" w:hAnsi="Times New Roman" w:eastAsia="楷体_GB2312" w:cs="Times New Roman"/>
      <w:sz w:val="24"/>
      <w:lang w:val="en-US" w:eastAsia="zh-CN" w:bidi="ar-SA"/>
    </w:rPr>
  </w:style>
  <w:style w:type="paragraph" w:customStyle="1" w:styleId="960">
    <w:name w:val="xl139"/>
    <w:basedOn w:val="1"/>
    <w:qFormat/>
    <w:uiPriority w:val="99"/>
    <w:pPr>
      <w:spacing w:before="100" w:beforeAutospacing="1" w:after="100" w:afterAutospacing="1"/>
      <w:jc w:val="center"/>
      <w:textAlignment w:val="center"/>
    </w:pPr>
    <w:rPr>
      <w:rFonts w:ascii="Arial Unicode MS" w:hAnsi="Arial Unicode MS"/>
      <w:kern w:val="0"/>
      <w:sz w:val="16"/>
      <w:szCs w:val="16"/>
    </w:rPr>
  </w:style>
  <w:style w:type="paragraph" w:customStyle="1" w:styleId="961">
    <w:name w:val="样式 标题 1 + 两端对齐"/>
    <w:basedOn w:val="3"/>
    <w:qFormat/>
    <w:uiPriority w:val="0"/>
    <w:pPr>
      <w:keepNext w:val="0"/>
      <w:keepLines w:val="0"/>
      <w:pageBreakBefore/>
      <w:tabs>
        <w:tab w:val="left" w:pos="420"/>
      </w:tabs>
      <w:adjustRightInd w:val="0"/>
      <w:snapToGrid w:val="0"/>
      <w:spacing w:before="0" w:after="0" w:line="300" w:lineRule="auto"/>
      <w:jc w:val="center"/>
    </w:pPr>
    <w:rPr>
      <w:rFonts w:ascii="仿宋_GB2312" w:eastAsia="仿宋_GB2312" w:cs="宋体"/>
      <w:b w:val="0"/>
      <w:bCs w:val="0"/>
      <w:snapToGrid w:val="0"/>
      <w:kern w:val="0"/>
      <w:sz w:val="32"/>
      <w:szCs w:val="32"/>
    </w:rPr>
  </w:style>
  <w:style w:type="paragraph" w:customStyle="1" w:styleId="962">
    <w:name w:val="样式 标题 2二级标题Attribute Heading 2Heading 2 HiddenHeading 2 CCBS..."/>
    <w:basedOn w:val="4"/>
    <w:qFormat/>
    <w:uiPriority w:val="99"/>
    <w:pPr>
      <w:keepLines w:val="0"/>
      <w:adjustRightInd w:val="0"/>
      <w:snapToGrid w:val="0"/>
      <w:spacing w:before="0" w:after="0" w:line="460" w:lineRule="exact"/>
    </w:pPr>
    <w:rPr>
      <w:rFonts w:ascii="宋体" w:hAnsi="宋体" w:eastAsia="宋体"/>
      <w:snapToGrid w:val="0"/>
      <w:color w:val="000000"/>
      <w:kern w:val="0"/>
      <w:sz w:val="26"/>
      <w:szCs w:val="24"/>
    </w:rPr>
  </w:style>
  <w:style w:type="paragraph" w:customStyle="1" w:styleId="963">
    <w:name w:val="xl196"/>
    <w:basedOn w:val="1"/>
    <w:qFormat/>
    <w:uiPriority w:val="99"/>
    <w:pPr>
      <w:pBdr>
        <w:left w:val="single" w:color="auto" w:sz="4" w:space="0"/>
        <w:right w:val="single" w:color="auto" w:sz="4" w:space="0"/>
      </w:pBdr>
      <w:spacing w:before="100" w:beforeAutospacing="1" w:after="100" w:afterAutospacing="1"/>
      <w:jc w:val="center"/>
    </w:pPr>
    <w:rPr>
      <w:rFonts w:ascii="Arial Unicode MS" w:hAnsi="Arial Unicode MS"/>
      <w:kern w:val="0"/>
    </w:rPr>
  </w:style>
  <w:style w:type="paragraph" w:customStyle="1" w:styleId="964">
    <w:name w:val="样式 标题 3 + 宋体 段前: 1.55 磅 段后: 0 磅 行距: 固定值 23 磅"/>
    <w:basedOn w:val="5"/>
    <w:qFormat/>
    <w:uiPriority w:val="99"/>
    <w:pPr>
      <w:keepLines w:val="0"/>
      <w:adjustRightInd w:val="0"/>
      <w:snapToGrid w:val="0"/>
      <w:spacing w:before="31" w:after="0" w:line="460" w:lineRule="exact"/>
    </w:pPr>
    <w:rPr>
      <w:rFonts w:ascii="宋体" w:hAnsi="宋体" w:cs="宋体"/>
      <w:b w:val="0"/>
      <w:bCs w:val="0"/>
      <w:color w:val="000000"/>
      <w:sz w:val="26"/>
      <w:szCs w:val="20"/>
    </w:rPr>
  </w:style>
  <w:style w:type="paragraph" w:customStyle="1" w:styleId="965">
    <w:name w:val="oa2"/>
    <w:basedOn w:val="1"/>
    <w:qFormat/>
    <w:uiPriority w:val="99"/>
    <w:pPr>
      <w:pBdr>
        <w:top w:val="single" w:color="000000" w:sz="8" w:space="0"/>
        <w:left w:val="single" w:color="000000" w:sz="4" w:space="0"/>
        <w:bottom w:val="single" w:color="000000" w:sz="4" w:space="0"/>
        <w:right w:val="single" w:color="000000" w:sz="8" w:space="0"/>
      </w:pBdr>
      <w:spacing w:before="100" w:beforeAutospacing="1" w:after="100" w:afterAutospacing="1"/>
      <w:jc w:val="center"/>
      <w:textAlignment w:val="center"/>
    </w:pPr>
    <w:rPr>
      <w:rFonts w:ascii="宋体" w:hAnsi="宋体" w:cs="宋体"/>
      <w:kern w:val="0"/>
      <w:sz w:val="24"/>
    </w:rPr>
  </w:style>
  <w:style w:type="paragraph" w:customStyle="1" w:styleId="966">
    <w:name w:val="xl174"/>
    <w:basedOn w:val="1"/>
    <w:qFormat/>
    <w:uiPriority w:val="99"/>
    <w:pPr>
      <w:spacing w:before="100" w:beforeAutospacing="1" w:after="100" w:afterAutospacing="1"/>
      <w:jc w:val="center"/>
    </w:pPr>
    <w:rPr>
      <w:rFonts w:ascii="Arial Unicode MS" w:hAnsi="Arial Unicode MS"/>
      <w:kern w:val="0"/>
      <w:sz w:val="16"/>
      <w:szCs w:val="16"/>
    </w:rPr>
  </w:style>
  <w:style w:type="paragraph" w:customStyle="1" w:styleId="967">
    <w:name w:val="xl146"/>
    <w:basedOn w:val="1"/>
    <w:qFormat/>
    <w:uiPriority w:val="99"/>
    <w:pPr>
      <w:spacing w:before="100" w:beforeAutospacing="1" w:after="100" w:afterAutospacing="1"/>
    </w:pPr>
    <w:rPr>
      <w:rFonts w:ascii="Arial Unicode MS" w:hAnsi="Arial Unicode MS"/>
      <w:kern w:val="0"/>
      <w:sz w:val="16"/>
      <w:szCs w:val="16"/>
    </w:rPr>
  </w:style>
  <w:style w:type="paragraph" w:customStyle="1" w:styleId="968">
    <w:name w:val="xl65"/>
    <w:basedOn w:val="1"/>
    <w:qFormat/>
    <w:uiPriority w:val="0"/>
    <w:pPr>
      <w:pBdr>
        <w:left w:val="single" w:color="auto" w:sz="4"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969">
    <w:name w:val="xl93"/>
    <w:basedOn w:val="1"/>
    <w:qFormat/>
    <w:uiPriority w:val="0"/>
    <w:pPr>
      <w:spacing w:before="100" w:beforeAutospacing="1" w:after="100" w:afterAutospacing="1"/>
      <w:jc w:val="center"/>
      <w:textAlignment w:val="center"/>
    </w:pPr>
    <w:rPr>
      <w:rFonts w:ascii="Arial Unicode MS" w:hAnsi="Arial Unicode MS"/>
      <w:kern w:val="0"/>
      <w:sz w:val="12"/>
      <w:szCs w:val="12"/>
    </w:rPr>
  </w:style>
  <w:style w:type="paragraph" w:customStyle="1" w:styleId="970">
    <w:name w:val="样式 正文001 + 首行缩进:  2 字符"/>
    <w:basedOn w:val="1"/>
    <w:qFormat/>
    <w:uiPriority w:val="99"/>
    <w:pPr>
      <w:spacing w:before="60" w:line="460" w:lineRule="atLeast"/>
      <w:ind w:firstLine="480" w:firstLineChars="200"/>
    </w:pPr>
    <w:rPr>
      <w:rFonts w:cs="宋体"/>
      <w:sz w:val="24"/>
      <w:szCs w:val="20"/>
    </w:rPr>
  </w:style>
  <w:style w:type="paragraph" w:customStyle="1" w:styleId="971">
    <w:name w:val="样式 (符号) 宋体 小四 行距: 固定值 24 磅"/>
    <w:basedOn w:val="1"/>
    <w:qFormat/>
    <w:uiPriority w:val="99"/>
    <w:pPr>
      <w:spacing w:line="480" w:lineRule="exact"/>
      <w:ind w:firstLine="200" w:firstLineChars="200"/>
    </w:pPr>
    <w:rPr>
      <w:rFonts w:hAnsi="宋体" w:cs="宋体"/>
      <w:sz w:val="24"/>
      <w:szCs w:val="20"/>
    </w:rPr>
  </w:style>
  <w:style w:type="paragraph" w:customStyle="1" w:styleId="972">
    <w:name w:val="xl97"/>
    <w:basedOn w:val="1"/>
    <w:qFormat/>
    <w:uiPriority w:val="0"/>
    <w:pPr>
      <w:pBdr>
        <w:top w:val="single" w:color="auto" w:sz="12" w:space="0"/>
        <w:right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973">
    <w:name w:val="TY报告第1级标题"/>
    <w:basedOn w:val="1"/>
    <w:qFormat/>
    <w:uiPriority w:val="99"/>
    <w:pPr>
      <w:tabs>
        <w:tab w:val="left" w:pos="420"/>
      </w:tabs>
      <w:spacing w:line="460" w:lineRule="exact"/>
      <w:ind w:left="780" w:hanging="420"/>
      <w:outlineLvl w:val="0"/>
    </w:pPr>
    <w:rPr>
      <w:rFonts w:ascii="宋体" w:hAnsi="宋体"/>
      <w:color w:val="000000"/>
      <w:sz w:val="28"/>
    </w:rPr>
  </w:style>
  <w:style w:type="paragraph" w:customStyle="1" w:styleId="974">
    <w:name w:val="xl134"/>
    <w:basedOn w:val="1"/>
    <w:qFormat/>
    <w:uiPriority w:val="99"/>
    <w:pPr>
      <w:spacing w:before="100" w:beforeAutospacing="1" w:after="100" w:afterAutospacing="1"/>
    </w:pPr>
    <w:rPr>
      <w:rFonts w:ascii="Arial Unicode MS" w:hAnsi="Arial Unicode MS"/>
      <w:kern w:val="0"/>
      <w:sz w:val="20"/>
      <w:szCs w:val="20"/>
    </w:rPr>
  </w:style>
  <w:style w:type="paragraph" w:customStyle="1" w:styleId="975">
    <w:name w:val="xl213"/>
    <w:basedOn w:val="1"/>
    <w:qFormat/>
    <w:uiPriority w:val="99"/>
    <w:pPr>
      <w:pBdr>
        <w:top w:val="single" w:color="auto" w:sz="8"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976">
    <w:name w:val="font8"/>
    <w:basedOn w:val="1"/>
    <w:qFormat/>
    <w:uiPriority w:val="0"/>
    <w:pPr>
      <w:spacing w:before="100" w:beforeAutospacing="1" w:after="100" w:afterAutospacing="1"/>
    </w:pPr>
    <w:rPr>
      <w:kern w:val="0"/>
      <w:sz w:val="12"/>
      <w:szCs w:val="12"/>
    </w:rPr>
  </w:style>
  <w:style w:type="paragraph" w:customStyle="1" w:styleId="977">
    <w:name w:val="表内字"/>
    <w:link w:val="2084"/>
    <w:qFormat/>
    <w:uiPriority w:val="0"/>
    <w:pPr>
      <w:jc w:val="center"/>
    </w:pPr>
    <w:rPr>
      <w:rFonts w:ascii="Arial" w:hAnsi="Arial" w:eastAsia="楷体_GB2312" w:cs="Times New Roman"/>
      <w:sz w:val="21"/>
      <w:lang w:val="en-US" w:eastAsia="zh-CN" w:bidi="ar-SA"/>
    </w:rPr>
  </w:style>
  <w:style w:type="paragraph" w:customStyle="1" w:styleId="978">
    <w:name w:val="xl40"/>
    <w:basedOn w:val="1"/>
    <w:qFormat/>
    <w:uiPriority w:val="0"/>
    <w:pPr>
      <w:pBdr>
        <w:top w:val="single" w:color="auto" w:sz="12" w:space="0"/>
        <w:right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979">
    <w:name w:val="xl153"/>
    <w:basedOn w:val="1"/>
    <w:qFormat/>
    <w:uiPriority w:val="99"/>
    <w:pPr>
      <w:spacing w:before="100" w:beforeAutospacing="1" w:after="100" w:afterAutospacing="1"/>
      <w:jc w:val="center"/>
      <w:textAlignment w:val="center"/>
    </w:pPr>
    <w:rPr>
      <w:rFonts w:ascii="Arial Unicode MS" w:hAnsi="Arial Unicode MS"/>
      <w:kern w:val="0"/>
      <w:sz w:val="16"/>
      <w:szCs w:val="16"/>
    </w:rPr>
  </w:style>
  <w:style w:type="paragraph" w:customStyle="1" w:styleId="980">
    <w:name w:val="oa18"/>
    <w:basedOn w:val="1"/>
    <w:qFormat/>
    <w:uiPriority w:val="99"/>
    <w:pPr>
      <w:pBdr>
        <w:top w:val="single" w:color="000000" w:sz="4" w:space="0"/>
        <w:left w:val="single" w:color="000000" w:sz="4" w:space="0"/>
        <w:bottom w:val="single" w:color="000000" w:sz="8"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981">
    <w:name w:val="框图"/>
    <w:basedOn w:val="1"/>
    <w:qFormat/>
    <w:uiPriority w:val="99"/>
    <w:pPr>
      <w:adjustRightInd w:val="0"/>
      <w:snapToGrid w:val="0"/>
      <w:ind w:left="2" w:leftChars="-38" w:right="-106" w:rightChars="-38" w:hanging="108" w:hangingChars="54"/>
      <w:jc w:val="center"/>
    </w:pPr>
    <w:rPr>
      <w:rFonts w:ascii="仿宋_GB2312" w:eastAsia="仿宋_GB2312"/>
      <w:sz w:val="20"/>
      <w:szCs w:val="20"/>
    </w:rPr>
  </w:style>
  <w:style w:type="paragraph" w:customStyle="1" w:styleId="982">
    <w:name w:val="样式 样式 标题 2节 + (西文) Times New Roman (中文) 宋体 四号 段前: 0.5 行 段后: 0......"/>
    <w:basedOn w:val="1"/>
    <w:qFormat/>
    <w:uiPriority w:val="99"/>
    <w:pPr>
      <w:keepNext/>
      <w:keepLines/>
      <w:tabs>
        <w:tab w:val="left" w:pos="720"/>
        <w:tab w:val="left" w:pos="840"/>
      </w:tabs>
      <w:adjustRightInd w:val="0"/>
      <w:snapToGrid w:val="0"/>
      <w:spacing w:before="156" w:beforeLines="50" w:line="360" w:lineRule="auto"/>
      <w:ind w:left="840" w:hanging="420"/>
      <w:outlineLvl w:val="1"/>
    </w:pPr>
    <w:rPr>
      <w:rFonts w:ascii="宋体" w:hAnsi="宋体"/>
      <w:b/>
      <w:bCs/>
      <w:sz w:val="30"/>
      <w:szCs w:val="30"/>
    </w:rPr>
  </w:style>
  <w:style w:type="paragraph" w:customStyle="1" w:styleId="983">
    <w:name w:val="样式 标题 4"/>
    <w:basedOn w:val="6"/>
    <w:qFormat/>
    <w:uiPriority w:val="99"/>
    <w:pPr>
      <w:tabs>
        <w:tab w:val="left" w:pos="0"/>
        <w:tab w:val="left" w:pos="780"/>
      </w:tabs>
      <w:ind w:left="780" w:leftChars="200" w:hanging="360" w:hangingChars="200"/>
    </w:pPr>
    <w:rPr>
      <w:rFonts w:ascii="宋体" w:hAnsi="Arial"/>
      <w:b w:val="0"/>
      <w:bCs w:val="0"/>
      <w:color w:val="000000"/>
      <w:szCs w:val="28"/>
    </w:rPr>
  </w:style>
  <w:style w:type="paragraph" w:customStyle="1" w:styleId="984">
    <w:name w:val="表居中（中文）"/>
    <w:basedOn w:val="1"/>
    <w:qFormat/>
    <w:uiPriority w:val="99"/>
    <w:pPr>
      <w:adjustRightInd w:val="0"/>
      <w:spacing w:line="380" w:lineRule="atLeast"/>
      <w:jc w:val="center"/>
      <w:textAlignment w:val="baseline"/>
    </w:pPr>
    <w:rPr>
      <w:rFonts w:eastAsia="楷体_GB2312"/>
      <w:kern w:val="0"/>
      <w:sz w:val="24"/>
    </w:rPr>
  </w:style>
  <w:style w:type="paragraph" w:customStyle="1" w:styleId="985">
    <w:name w:val="xl49"/>
    <w:basedOn w:val="1"/>
    <w:qFormat/>
    <w:uiPriority w:val="0"/>
    <w:pPr>
      <w:pBdr>
        <w:left w:val="single" w:color="auto" w:sz="4"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986">
    <w:name w:val="font10"/>
    <w:basedOn w:val="1"/>
    <w:qFormat/>
    <w:uiPriority w:val="0"/>
    <w:pPr>
      <w:spacing w:before="100" w:beforeAutospacing="1" w:after="100" w:afterAutospacing="1"/>
    </w:pPr>
    <w:rPr>
      <w:rFonts w:hint="eastAsia" w:ascii="宋体" w:hAnsi="宋体"/>
      <w:kern w:val="0"/>
      <w:sz w:val="22"/>
      <w:szCs w:val="22"/>
    </w:rPr>
  </w:style>
  <w:style w:type="paragraph" w:customStyle="1" w:styleId="987">
    <w:name w:val="zhang正文"/>
    <w:basedOn w:val="35"/>
    <w:qFormat/>
    <w:uiPriority w:val="0"/>
    <w:pPr>
      <w:tabs>
        <w:tab w:val="left" w:pos="840"/>
      </w:tabs>
      <w:autoSpaceDE w:val="0"/>
      <w:autoSpaceDN w:val="0"/>
      <w:adjustRightInd w:val="0"/>
      <w:snapToGrid w:val="0"/>
      <w:spacing w:line="500" w:lineRule="exact"/>
      <w:ind w:firstLine="539" w:firstLineChars="0"/>
      <w:textAlignment w:val="baseline"/>
    </w:pPr>
    <w:rPr>
      <w:rFonts w:eastAsia="楷体_GB2312"/>
      <w:color w:val="auto"/>
      <w:kern w:val="0"/>
      <w:sz w:val="28"/>
      <w:szCs w:val="20"/>
    </w:rPr>
  </w:style>
  <w:style w:type="paragraph" w:customStyle="1" w:styleId="988">
    <w:name w:val="源程序"/>
    <w:qFormat/>
    <w:uiPriority w:val="99"/>
    <w:pPr>
      <w:widowControl w:val="0"/>
      <w:kinsoku w:val="0"/>
      <w:wordWrap w:val="0"/>
      <w:overflowPunct w:val="0"/>
      <w:autoSpaceDE w:val="0"/>
      <w:autoSpaceDN w:val="0"/>
      <w:adjustRightInd w:val="0"/>
      <w:ind w:left="482"/>
    </w:pPr>
    <w:rPr>
      <w:rFonts w:ascii="Courier New" w:hAnsi="Courier New" w:eastAsia="仿宋_GB2312" w:cs="Times New Roman"/>
      <w:snapToGrid w:val="0"/>
      <w:sz w:val="24"/>
      <w:lang w:val="en-US" w:eastAsia="zh-CN" w:bidi="ar-SA"/>
    </w:rPr>
  </w:style>
  <w:style w:type="paragraph" w:customStyle="1" w:styleId="989">
    <w:name w:val="Char Char Char Char Char Char1 Char Char Char Char Char Char1 Char Char Char Char Char Char"/>
    <w:basedOn w:val="1"/>
    <w:qFormat/>
    <w:uiPriority w:val="99"/>
    <w:pPr>
      <w:ind w:firstLine="21" w:firstLineChars="200"/>
    </w:pPr>
    <w:rPr>
      <w:color w:val="000000"/>
      <w:sz w:val="28"/>
      <w:szCs w:val="28"/>
    </w:rPr>
  </w:style>
  <w:style w:type="paragraph" w:customStyle="1" w:styleId="990">
    <w:name w:val="样式93"/>
    <w:basedOn w:val="1"/>
    <w:qFormat/>
    <w:uiPriority w:val="99"/>
    <w:pPr>
      <w:spacing w:line="360" w:lineRule="auto"/>
      <w:ind w:firstLine="665" w:firstLineChars="277"/>
    </w:pPr>
    <w:rPr>
      <w:sz w:val="24"/>
    </w:rPr>
  </w:style>
  <w:style w:type="paragraph" w:customStyle="1" w:styleId="991">
    <w:name w:val="高表标"/>
    <w:basedOn w:val="1"/>
    <w:qFormat/>
    <w:uiPriority w:val="99"/>
    <w:pPr>
      <w:snapToGrid w:val="0"/>
      <w:spacing w:line="300" w:lineRule="auto"/>
      <w:jc w:val="right"/>
    </w:pPr>
    <w:rPr>
      <w:rFonts w:ascii="Arial" w:hAnsi="Arial" w:eastAsia="黑体"/>
      <w:bCs/>
      <w:sz w:val="24"/>
    </w:rPr>
  </w:style>
  <w:style w:type="paragraph" w:customStyle="1" w:styleId="992">
    <w:name w:val="xl171"/>
    <w:basedOn w:val="1"/>
    <w:qFormat/>
    <w:uiPriority w:val="99"/>
    <w:pPr>
      <w:pBdr>
        <w:bottom w:val="single" w:color="auto" w:sz="12" w:space="0"/>
      </w:pBdr>
      <w:spacing w:before="100" w:beforeAutospacing="1" w:after="100" w:afterAutospacing="1"/>
      <w:jc w:val="center"/>
      <w:textAlignment w:val="center"/>
    </w:pPr>
    <w:rPr>
      <w:rFonts w:ascii="Arial Unicode MS" w:hAnsi="Arial Unicode MS"/>
      <w:kern w:val="0"/>
    </w:rPr>
  </w:style>
  <w:style w:type="paragraph" w:customStyle="1" w:styleId="993">
    <w:name w:val="页眉左"/>
    <w:basedOn w:val="57"/>
    <w:qFormat/>
    <w:uiPriority w:val="99"/>
    <w:pPr>
      <w:pBdr>
        <w:bottom w:val="none" w:color="auto" w:sz="0" w:space="0"/>
      </w:pBdr>
      <w:snapToGrid/>
      <w:spacing w:before="60" w:after="60"/>
      <w:jc w:val="left"/>
    </w:pPr>
    <w:rPr>
      <w:kern w:val="0"/>
      <w:sz w:val="22"/>
      <w:lang w:val="en-GB"/>
    </w:rPr>
  </w:style>
  <w:style w:type="paragraph" w:customStyle="1" w:styleId="994">
    <w:name w:val="样式 标题 3条标题1.1.1H3BOD 0Heading 3 - oldLevel 3 Headh33rd le..."/>
    <w:basedOn w:val="5"/>
    <w:qFormat/>
    <w:uiPriority w:val="99"/>
    <w:pPr>
      <w:spacing w:before="0" w:after="0" w:line="360" w:lineRule="auto"/>
    </w:pPr>
    <w:rPr>
      <w:rFonts w:eastAsia="黑体" w:cs="宋体"/>
      <w:bCs w:val="0"/>
      <w:sz w:val="28"/>
      <w:szCs w:val="20"/>
    </w:rPr>
  </w:style>
  <w:style w:type="paragraph" w:customStyle="1" w:styleId="995">
    <w:name w:val="xl144"/>
    <w:basedOn w:val="1"/>
    <w:qFormat/>
    <w:uiPriority w:val="99"/>
    <w:pPr>
      <w:pBdr>
        <w:left w:val="single" w:color="auto" w:sz="4" w:space="0"/>
        <w:bottom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996">
    <w:name w:val="xl90"/>
    <w:basedOn w:val="1"/>
    <w:qFormat/>
    <w:uiPriority w:val="0"/>
    <w:pPr>
      <w:pBdr>
        <w:bottom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997">
    <w:name w:val="正文样式1"/>
    <w:basedOn w:val="1"/>
    <w:qFormat/>
    <w:uiPriority w:val="0"/>
    <w:pPr>
      <w:adjustRightInd w:val="0"/>
      <w:spacing w:line="360" w:lineRule="auto"/>
      <w:ind w:firstLine="480" w:firstLineChars="200"/>
      <w:textAlignment w:val="baseline"/>
    </w:pPr>
    <w:rPr>
      <w:rFonts w:ascii="Arial" w:hAnsi="Arial" w:cs="Arial"/>
      <w:kern w:val="0"/>
      <w:sz w:val="24"/>
      <w:szCs w:val="20"/>
    </w:rPr>
  </w:style>
  <w:style w:type="paragraph" w:customStyle="1" w:styleId="998">
    <w:name w:val="样式11.1.1"/>
    <w:basedOn w:val="1"/>
    <w:qFormat/>
    <w:uiPriority w:val="99"/>
    <w:pPr>
      <w:tabs>
        <w:tab w:val="left" w:pos="0"/>
        <w:tab w:val="left" w:pos="1732"/>
      </w:tabs>
      <w:spacing w:before="156" w:beforeLines="50" w:line="360" w:lineRule="auto"/>
      <w:ind w:left="1732" w:hanging="420"/>
      <w:outlineLvl w:val="2"/>
    </w:pPr>
    <w:rPr>
      <w:b/>
      <w:spacing w:val="-10"/>
      <w:sz w:val="28"/>
    </w:rPr>
  </w:style>
  <w:style w:type="paragraph" w:customStyle="1" w:styleId="999">
    <w:name w:val="xl64"/>
    <w:basedOn w:val="1"/>
    <w:qFormat/>
    <w:uiPriority w:val="0"/>
    <w:pPr>
      <w:pBdr>
        <w:left w:val="single" w:color="auto" w:sz="4" w:space="0"/>
        <w:bottom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000">
    <w:name w:val="Char Char Char Char Char Char Char Char Char Char Char Char Char Char Char Char Char Char Char"/>
    <w:basedOn w:val="1"/>
    <w:qFormat/>
    <w:uiPriority w:val="99"/>
    <w:rPr>
      <w:sz w:val="24"/>
    </w:rPr>
  </w:style>
  <w:style w:type="paragraph" w:customStyle="1" w:styleId="1001">
    <w:name w:val="xl63"/>
    <w:basedOn w:val="1"/>
    <w:qFormat/>
    <w:uiPriority w:val="0"/>
    <w:pPr>
      <w:spacing w:before="100" w:beforeAutospacing="1" w:after="100" w:afterAutospacing="1"/>
      <w:jc w:val="center"/>
      <w:textAlignment w:val="center"/>
    </w:pPr>
    <w:rPr>
      <w:kern w:val="0"/>
      <w:sz w:val="12"/>
      <w:szCs w:val="12"/>
    </w:rPr>
  </w:style>
  <w:style w:type="paragraph" w:customStyle="1" w:styleId="1002">
    <w:name w:val="xl177"/>
    <w:basedOn w:val="1"/>
    <w:qFormat/>
    <w:uiPriority w:val="99"/>
    <w:pPr>
      <w:pBdr>
        <w:left w:val="single" w:color="auto" w:sz="4" w:space="0"/>
      </w:pBdr>
      <w:spacing w:before="100" w:beforeAutospacing="1" w:after="100" w:afterAutospacing="1"/>
      <w:jc w:val="center"/>
    </w:pPr>
    <w:rPr>
      <w:rFonts w:ascii="Arial Unicode MS" w:hAnsi="Arial Unicode MS"/>
      <w:kern w:val="0"/>
      <w:sz w:val="12"/>
      <w:szCs w:val="12"/>
    </w:rPr>
  </w:style>
  <w:style w:type="paragraph" w:customStyle="1" w:styleId="1003">
    <w:name w:val="字元"/>
    <w:basedOn w:val="1"/>
    <w:qFormat/>
    <w:uiPriority w:val="99"/>
    <w:rPr>
      <w:sz w:val="24"/>
    </w:rPr>
  </w:style>
  <w:style w:type="paragraph" w:customStyle="1" w:styleId="1004">
    <w:name w:val="样式 样式 标题2.2 + 段前: 0.5 行2"/>
    <w:basedOn w:val="729"/>
    <w:qFormat/>
    <w:uiPriority w:val="0"/>
  </w:style>
  <w:style w:type="paragraph" w:customStyle="1" w:styleId="1005">
    <w:name w:val="xl191"/>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006">
    <w:name w:val="xl167"/>
    <w:basedOn w:val="1"/>
    <w:qFormat/>
    <w:uiPriority w:val="99"/>
    <w:pPr>
      <w:pBdr>
        <w:bottom w:val="single" w:color="auto" w:sz="12" w:space="0"/>
      </w:pBdr>
      <w:spacing w:before="100" w:beforeAutospacing="1" w:after="100" w:afterAutospacing="1"/>
      <w:jc w:val="center"/>
      <w:textAlignment w:val="center"/>
    </w:pPr>
    <w:rPr>
      <w:rFonts w:ascii="Arial Unicode MS" w:hAnsi="Arial Unicode MS"/>
      <w:kern w:val="0"/>
    </w:rPr>
  </w:style>
  <w:style w:type="paragraph" w:customStyle="1" w:styleId="1007">
    <w:name w:val="xl41"/>
    <w:basedOn w:val="1"/>
    <w:qFormat/>
    <w:uiPriority w:val="0"/>
    <w:pPr>
      <w:pBdr>
        <w:left w:val="single" w:color="auto" w:sz="12" w:space="0"/>
        <w:right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008">
    <w:name w:val="xl28"/>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eastAsia="Arial Unicode MS"/>
      <w:color w:val="FF0000"/>
      <w:kern w:val="0"/>
      <w:sz w:val="24"/>
    </w:rPr>
  </w:style>
  <w:style w:type="paragraph" w:customStyle="1" w:styleId="1009">
    <w:name w:val="样式 样式4.1 + 段前: 0.5 行"/>
    <w:qFormat/>
    <w:uiPriority w:val="0"/>
    <w:pPr>
      <w:tabs>
        <w:tab w:val="left" w:pos="0"/>
        <w:tab w:val="left" w:pos="962"/>
      </w:tabs>
      <w:ind w:left="962"/>
    </w:pPr>
    <w:rPr>
      <w:rFonts w:ascii="Times New Roman" w:hAnsi="Times New Roman" w:eastAsia="宋体" w:cs="宋体"/>
      <w:lang w:val="en-US" w:eastAsia="zh-CN" w:bidi="ar-SA"/>
    </w:rPr>
  </w:style>
  <w:style w:type="paragraph" w:customStyle="1" w:styleId="1010">
    <w:name w:val="样式4.1"/>
    <w:basedOn w:val="4"/>
    <w:qFormat/>
    <w:uiPriority w:val="99"/>
    <w:pPr>
      <w:spacing w:before="156" w:beforeLines="50" w:after="0" w:line="360" w:lineRule="auto"/>
    </w:pPr>
    <w:rPr>
      <w:rFonts w:ascii="Times New Roman" w:hAnsi="Times New Roman" w:eastAsia="宋体"/>
      <w:sz w:val="30"/>
      <w:szCs w:val="30"/>
    </w:rPr>
  </w:style>
  <w:style w:type="paragraph" w:customStyle="1" w:styleId="1011">
    <w:name w:val="Char Char Char Char Char Char Char Char Char Char"/>
    <w:basedOn w:val="1"/>
    <w:qFormat/>
    <w:uiPriority w:val="0"/>
  </w:style>
  <w:style w:type="paragraph" w:customStyle="1" w:styleId="1012">
    <w:name w:val="样式6"/>
    <w:basedOn w:val="780"/>
    <w:link w:val="3137"/>
    <w:qFormat/>
    <w:uiPriority w:val="0"/>
  </w:style>
  <w:style w:type="paragraph" w:customStyle="1" w:styleId="1013">
    <w:name w:val="xl170"/>
    <w:basedOn w:val="1"/>
    <w:qFormat/>
    <w:uiPriority w:val="99"/>
    <w:pPr>
      <w:pBdr>
        <w:left w:val="single" w:color="auto" w:sz="4" w:space="0"/>
        <w:bottom w:val="single" w:color="auto" w:sz="12" w:space="0"/>
      </w:pBdr>
      <w:spacing w:before="100" w:beforeAutospacing="1" w:after="100" w:afterAutospacing="1"/>
      <w:jc w:val="center"/>
      <w:textAlignment w:val="center"/>
    </w:pPr>
    <w:rPr>
      <w:rFonts w:ascii="Arial Unicode MS" w:hAnsi="Arial Unicode MS"/>
      <w:kern w:val="0"/>
    </w:rPr>
  </w:style>
  <w:style w:type="paragraph" w:customStyle="1" w:styleId="1014">
    <w:name w:val="xl130"/>
    <w:basedOn w:val="1"/>
    <w:qFormat/>
    <w:uiPriority w:val="99"/>
    <w:pPr>
      <w:pBdr>
        <w:left w:val="single" w:color="auto" w:sz="4" w:space="0"/>
        <w:right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015">
    <w:name w:val="表中文字1"/>
    <w:qFormat/>
    <w:uiPriority w:val="99"/>
    <w:pPr>
      <w:widowControl w:val="0"/>
      <w:adjustRightInd w:val="0"/>
      <w:snapToGrid w:val="0"/>
      <w:spacing w:line="280" w:lineRule="exact"/>
      <w:jc w:val="center"/>
    </w:pPr>
    <w:rPr>
      <w:rFonts w:ascii="仿宋_GB2312" w:hAnsi="Times New Roman" w:eastAsia="仿宋_GB2312" w:cs="Times New Roman"/>
      <w:kern w:val="2"/>
      <w:sz w:val="24"/>
      <w:szCs w:val="24"/>
      <w:lang w:val="en-US" w:eastAsia="zh-CN" w:bidi="ar-SA"/>
    </w:rPr>
  </w:style>
  <w:style w:type="paragraph" w:customStyle="1" w:styleId="1016">
    <w:name w:val="xl140"/>
    <w:basedOn w:val="1"/>
    <w:qFormat/>
    <w:uiPriority w:val="99"/>
    <w:pPr>
      <w:spacing w:before="100" w:beforeAutospacing="1" w:after="100" w:afterAutospacing="1"/>
      <w:jc w:val="center"/>
      <w:textAlignment w:val="center"/>
    </w:pPr>
    <w:rPr>
      <w:rFonts w:ascii="Arial Unicode MS" w:hAnsi="Arial Unicode MS"/>
      <w:kern w:val="0"/>
      <w:sz w:val="16"/>
      <w:szCs w:val="16"/>
    </w:rPr>
  </w:style>
  <w:style w:type="paragraph" w:customStyle="1" w:styleId="1017">
    <w:name w:val="xl154"/>
    <w:basedOn w:val="1"/>
    <w:qFormat/>
    <w:uiPriority w:val="99"/>
    <w:pPr>
      <w:pBdr>
        <w:left w:val="single" w:color="auto" w:sz="12" w:space="0"/>
        <w:bottom w:val="single" w:color="auto" w:sz="8" w:space="0"/>
      </w:pBdr>
      <w:spacing w:before="100" w:beforeAutospacing="1" w:after="100" w:afterAutospacing="1"/>
      <w:jc w:val="center"/>
    </w:pPr>
    <w:rPr>
      <w:rFonts w:ascii="Arial Unicode MS" w:hAnsi="Arial Unicode MS"/>
      <w:kern w:val="0"/>
      <w:sz w:val="12"/>
      <w:szCs w:val="12"/>
    </w:rPr>
  </w:style>
  <w:style w:type="paragraph" w:customStyle="1" w:styleId="1018">
    <w:name w:val="样式 标题 1-*+章标题 11.标题 1h11st levelSection Headl1b1H1Head..."/>
    <w:basedOn w:val="3"/>
    <w:qFormat/>
    <w:uiPriority w:val="99"/>
    <w:pPr>
      <w:tabs>
        <w:tab w:val="left" w:pos="432"/>
      </w:tabs>
      <w:spacing w:before="0" w:after="0" w:line="360" w:lineRule="auto"/>
      <w:ind w:left="432" w:hanging="432"/>
    </w:pPr>
    <w:rPr>
      <w:rFonts w:ascii="宋体" w:hAnsi="宋体" w:cs="宋体"/>
      <w:color w:val="000000"/>
      <w:kern w:val="2"/>
      <w:sz w:val="32"/>
      <w:szCs w:val="20"/>
    </w:rPr>
  </w:style>
  <w:style w:type="paragraph" w:customStyle="1" w:styleId="1019">
    <w:name w:val="xl46"/>
    <w:basedOn w:val="1"/>
    <w:qFormat/>
    <w:uiPriority w:val="0"/>
    <w:pPr>
      <w:pBdr>
        <w:bottom w:val="single" w:color="auto" w:sz="12" w:space="0"/>
        <w:right w:val="single" w:color="auto" w:sz="12" w:space="0"/>
      </w:pBdr>
      <w:spacing w:before="100" w:beforeAutospacing="1" w:after="100" w:afterAutospacing="1"/>
    </w:pPr>
    <w:rPr>
      <w:rFonts w:ascii="Arial Unicode MS" w:hAnsi="Arial Unicode MS"/>
      <w:kern w:val="0"/>
      <w:sz w:val="16"/>
      <w:szCs w:val="16"/>
    </w:rPr>
  </w:style>
  <w:style w:type="paragraph" w:customStyle="1" w:styleId="1020">
    <w:name w:val="表格2"/>
    <w:basedOn w:val="1"/>
    <w:qFormat/>
    <w:uiPriority w:val="0"/>
    <w:pPr>
      <w:outlineLvl w:val="0"/>
    </w:pPr>
    <w:rPr>
      <w:szCs w:val="20"/>
    </w:rPr>
  </w:style>
  <w:style w:type="paragraph" w:customStyle="1" w:styleId="1021">
    <w:name w:val="标题 21"/>
    <w:basedOn w:val="1"/>
    <w:next w:val="1"/>
    <w:qFormat/>
    <w:uiPriority w:val="99"/>
    <w:pPr>
      <w:keepNext/>
      <w:keepLines/>
      <w:spacing w:before="260" w:after="260" w:line="416" w:lineRule="auto"/>
      <w:outlineLvl w:val="1"/>
    </w:pPr>
    <w:rPr>
      <w:rFonts w:hint="eastAsia" w:ascii="Arial" w:hAnsi="Arial" w:eastAsia="黑体"/>
      <w:b/>
      <w:sz w:val="32"/>
      <w:szCs w:val="20"/>
    </w:rPr>
  </w:style>
  <w:style w:type="paragraph" w:customStyle="1" w:styleId="1022">
    <w:name w:val="表中文字"/>
    <w:basedOn w:val="1"/>
    <w:link w:val="3087"/>
    <w:qFormat/>
    <w:uiPriority w:val="0"/>
    <w:pPr>
      <w:snapToGrid w:val="0"/>
    </w:pPr>
    <w:rPr>
      <w:szCs w:val="20"/>
    </w:rPr>
  </w:style>
  <w:style w:type="paragraph" w:customStyle="1" w:styleId="1023">
    <w:name w:val="电镀正文"/>
    <w:basedOn w:val="21"/>
    <w:qFormat/>
    <w:uiPriority w:val="0"/>
    <w:pPr>
      <w:spacing w:line="400" w:lineRule="exact"/>
      <w:ind w:firstLine="200"/>
    </w:pPr>
    <w:rPr>
      <w:rFonts w:ascii="宋体" w:hAnsi="宋体"/>
    </w:rPr>
  </w:style>
  <w:style w:type="paragraph" w:customStyle="1" w:styleId="1024">
    <w:name w:val="xl163"/>
    <w:basedOn w:val="1"/>
    <w:qFormat/>
    <w:uiPriority w:val="99"/>
    <w:pPr>
      <w:pBdr>
        <w:left w:val="single" w:color="auto" w:sz="12" w:space="0"/>
      </w:pBdr>
      <w:spacing w:before="100" w:beforeAutospacing="1" w:after="100" w:afterAutospacing="1"/>
      <w:jc w:val="center"/>
      <w:textAlignment w:val="center"/>
    </w:pPr>
    <w:rPr>
      <w:rFonts w:ascii="Arial Unicode MS" w:hAnsi="Arial Unicode MS"/>
      <w:kern w:val="0"/>
    </w:rPr>
  </w:style>
  <w:style w:type="paragraph" w:customStyle="1" w:styleId="1025">
    <w:name w:val="xl100"/>
    <w:basedOn w:val="1"/>
    <w:qFormat/>
    <w:uiPriority w:val="0"/>
    <w:pPr>
      <w:spacing w:before="100" w:beforeAutospacing="1" w:after="100" w:afterAutospacing="1"/>
    </w:pPr>
    <w:rPr>
      <w:rFonts w:ascii="Arial Unicode MS" w:hAnsi="Arial Unicode MS"/>
      <w:kern w:val="0"/>
      <w:sz w:val="12"/>
      <w:szCs w:val="12"/>
    </w:rPr>
  </w:style>
  <w:style w:type="paragraph" w:customStyle="1" w:styleId="1026">
    <w:name w:val="图表头"/>
    <w:basedOn w:val="1"/>
    <w:qFormat/>
    <w:uiPriority w:val="99"/>
    <w:pPr>
      <w:adjustRightInd w:val="0"/>
      <w:spacing w:line="360" w:lineRule="auto"/>
      <w:jc w:val="center"/>
      <w:textAlignment w:val="baseline"/>
    </w:pPr>
    <w:rPr>
      <w:rFonts w:ascii="黑体" w:eastAsia="黑体"/>
      <w:spacing w:val="5"/>
      <w:kern w:val="0"/>
      <w:szCs w:val="20"/>
    </w:rPr>
  </w:style>
  <w:style w:type="paragraph" w:customStyle="1" w:styleId="1027">
    <w:name w:val="xl161"/>
    <w:basedOn w:val="1"/>
    <w:qFormat/>
    <w:uiPriority w:val="99"/>
    <w:pPr>
      <w:spacing w:before="100" w:beforeAutospacing="1" w:after="100" w:afterAutospacing="1"/>
      <w:jc w:val="center"/>
      <w:textAlignment w:val="center"/>
    </w:pPr>
    <w:rPr>
      <w:rFonts w:ascii="Arial Unicode MS" w:hAnsi="Arial Unicode MS"/>
      <w:kern w:val="0"/>
    </w:rPr>
  </w:style>
  <w:style w:type="paragraph" w:customStyle="1" w:styleId="1028">
    <w:name w:val="xl98"/>
    <w:basedOn w:val="1"/>
    <w:qFormat/>
    <w:uiPriority w:val="0"/>
    <w:pPr>
      <w:pBdr>
        <w:right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029">
    <w:name w:val="目次、标准名称标题"/>
    <w:basedOn w:val="1"/>
    <w:next w:val="1"/>
    <w:qFormat/>
    <w:uiPriority w:val="0"/>
    <w:pPr>
      <w:shd w:val="clear" w:color="FFFFFF" w:fill="FFFFFF"/>
      <w:spacing w:before="640" w:after="560" w:line="460" w:lineRule="exact"/>
      <w:jc w:val="center"/>
      <w:outlineLvl w:val="0"/>
    </w:pPr>
    <w:rPr>
      <w:rFonts w:ascii="黑体" w:eastAsia="黑体"/>
      <w:kern w:val="0"/>
      <w:sz w:val="32"/>
      <w:szCs w:val="20"/>
    </w:rPr>
  </w:style>
  <w:style w:type="paragraph" w:customStyle="1" w:styleId="1030">
    <w:name w:val="xl120"/>
    <w:basedOn w:val="1"/>
    <w:qFormat/>
    <w:uiPriority w:val="0"/>
    <w:pPr>
      <w:spacing w:before="100" w:beforeAutospacing="1" w:after="100" w:afterAutospacing="1"/>
      <w:textAlignment w:val="center"/>
    </w:pPr>
    <w:rPr>
      <w:rFonts w:ascii="Arial Unicode MS" w:hAnsi="Arial Unicode MS"/>
      <w:kern w:val="0"/>
      <w:sz w:val="12"/>
      <w:szCs w:val="12"/>
    </w:rPr>
  </w:style>
  <w:style w:type="paragraph" w:customStyle="1" w:styleId="1031">
    <w:name w:val="表体"/>
    <w:link w:val="1498"/>
    <w:qFormat/>
    <w:uiPriority w:val="0"/>
    <w:pPr>
      <w:widowControl w:val="0"/>
      <w:snapToGrid w:val="0"/>
      <w:jc w:val="center"/>
    </w:pPr>
    <w:rPr>
      <w:rFonts w:ascii="宋体" w:hAnsi="宋体" w:eastAsia="宋体" w:cs="Times New Roman"/>
      <w:kern w:val="2"/>
      <w:sz w:val="21"/>
      <w:szCs w:val="21"/>
      <w:lang w:val="en-US" w:eastAsia="zh-CN" w:bidi="ar-SA"/>
    </w:rPr>
  </w:style>
  <w:style w:type="paragraph" w:customStyle="1" w:styleId="1032">
    <w:name w:val="Char Char Char Char Char Char Char Char Char Char Char Char Char"/>
    <w:basedOn w:val="1"/>
    <w:qFormat/>
    <w:uiPriority w:val="0"/>
  </w:style>
  <w:style w:type="paragraph" w:customStyle="1" w:styleId="1033">
    <w:name w:val="xl50"/>
    <w:basedOn w:val="1"/>
    <w:qFormat/>
    <w:uiPriority w:val="0"/>
    <w:pPr>
      <w:pBdr>
        <w:right w:val="single" w:color="auto" w:sz="4"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034">
    <w:name w:val="xl188"/>
    <w:basedOn w:val="1"/>
    <w:qFormat/>
    <w:uiPriority w:val="99"/>
    <w:pPr>
      <w:spacing w:before="100" w:beforeAutospacing="1" w:after="100" w:afterAutospacing="1"/>
      <w:textAlignment w:val="center"/>
    </w:pPr>
    <w:rPr>
      <w:kern w:val="0"/>
      <w:sz w:val="12"/>
      <w:szCs w:val="12"/>
    </w:rPr>
  </w:style>
  <w:style w:type="paragraph" w:customStyle="1" w:styleId="1035">
    <w:name w:val="样式2.5.3"/>
    <w:basedOn w:val="1"/>
    <w:qFormat/>
    <w:uiPriority w:val="99"/>
    <w:pPr>
      <w:spacing w:before="156" w:beforeLines="50" w:line="360" w:lineRule="auto"/>
      <w:outlineLvl w:val="3"/>
    </w:pPr>
    <w:rPr>
      <w:color w:val="000000"/>
      <w:sz w:val="24"/>
    </w:rPr>
  </w:style>
  <w:style w:type="paragraph" w:customStyle="1" w:styleId="1036">
    <w:name w:val="h"/>
    <w:basedOn w:val="1"/>
    <w:qFormat/>
    <w:uiPriority w:val="99"/>
    <w:pPr>
      <w:spacing w:before="60"/>
      <w:ind w:firstLine="482"/>
    </w:pPr>
    <w:rPr>
      <w:rFonts w:ascii="Arial" w:hAnsi="Arial" w:eastAsia="仿宋_GB2312"/>
      <w:kern w:val="0"/>
      <w:sz w:val="24"/>
      <w:szCs w:val="20"/>
    </w:rPr>
  </w:style>
  <w:style w:type="paragraph" w:customStyle="1" w:styleId="1037">
    <w:name w:val="HZZH表头"/>
    <w:basedOn w:val="1"/>
    <w:qFormat/>
    <w:uiPriority w:val="99"/>
    <w:pPr>
      <w:adjustRightInd w:val="0"/>
      <w:snapToGrid w:val="0"/>
      <w:ind w:left="-2" w:leftChars="-1"/>
      <w:jc w:val="center"/>
    </w:pPr>
    <w:rPr>
      <w:rFonts w:ascii="黑体" w:hAnsi="宋体" w:eastAsia="黑体"/>
      <w:b/>
      <w:bCs/>
      <w:color w:val="000000"/>
      <w:szCs w:val="21"/>
    </w:rPr>
  </w:style>
  <w:style w:type="paragraph" w:customStyle="1" w:styleId="1038">
    <w:name w:val="Char2 Char Char Char"/>
    <w:basedOn w:val="1"/>
    <w:qFormat/>
    <w:uiPriority w:val="99"/>
    <w:pPr>
      <w:spacing w:line="360" w:lineRule="auto"/>
      <w:ind w:firstLine="200" w:firstLineChars="200"/>
    </w:pPr>
    <w:rPr>
      <w:rFonts w:ascii="宋体" w:hAnsi="宋体" w:cs="宋体"/>
      <w:sz w:val="24"/>
    </w:rPr>
  </w:style>
  <w:style w:type="paragraph" w:customStyle="1" w:styleId="1039">
    <w:name w:val="xl179"/>
    <w:basedOn w:val="1"/>
    <w:qFormat/>
    <w:uiPriority w:val="99"/>
    <w:pPr>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040">
    <w:name w:val="Char Char Char Char4"/>
    <w:basedOn w:val="1"/>
    <w:qFormat/>
    <w:uiPriority w:val="0"/>
  </w:style>
  <w:style w:type="paragraph" w:customStyle="1" w:styleId="1041">
    <w:name w:val="样式11.2.1"/>
    <w:basedOn w:val="1"/>
    <w:qFormat/>
    <w:uiPriority w:val="99"/>
    <w:pPr>
      <w:spacing w:line="360" w:lineRule="auto"/>
    </w:pPr>
    <w:rPr>
      <w:b/>
      <w:sz w:val="28"/>
    </w:rPr>
  </w:style>
  <w:style w:type="paragraph" w:customStyle="1" w:styleId="1042">
    <w:name w:val="xl158"/>
    <w:basedOn w:val="1"/>
    <w:qFormat/>
    <w:uiPriority w:val="99"/>
    <w:pPr>
      <w:pBdr>
        <w:bottom w:val="single" w:color="auto" w:sz="8" w:space="0"/>
        <w:right w:val="single" w:color="auto" w:sz="4" w:space="0"/>
      </w:pBdr>
      <w:spacing w:before="100" w:beforeAutospacing="1" w:after="100" w:afterAutospacing="1"/>
    </w:pPr>
    <w:rPr>
      <w:rFonts w:ascii="Arial Unicode MS" w:hAnsi="Arial Unicode MS"/>
      <w:kern w:val="0"/>
      <w:sz w:val="16"/>
      <w:szCs w:val="16"/>
    </w:rPr>
  </w:style>
  <w:style w:type="paragraph" w:customStyle="1" w:styleId="1043">
    <w:name w:val="条"/>
    <w:basedOn w:val="1"/>
    <w:qFormat/>
    <w:uiPriority w:val="99"/>
    <w:pPr>
      <w:spacing w:line="360" w:lineRule="auto"/>
    </w:pPr>
    <w:rPr>
      <w:szCs w:val="20"/>
    </w:rPr>
  </w:style>
  <w:style w:type="paragraph" w:customStyle="1" w:styleId="1044">
    <w:name w:val="xl92"/>
    <w:basedOn w:val="1"/>
    <w:qFormat/>
    <w:uiPriority w:val="0"/>
    <w:pPr>
      <w:pBdr>
        <w:top w:val="single" w:color="auto" w:sz="12" w:space="0"/>
        <w:left w:val="single" w:color="auto" w:sz="12" w:space="0"/>
        <w:right w:val="single" w:color="auto" w:sz="4"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045">
    <w:name w:val="项目段落"/>
    <w:basedOn w:val="1"/>
    <w:qFormat/>
    <w:uiPriority w:val="99"/>
    <w:pPr>
      <w:spacing w:before="60" w:line="360" w:lineRule="auto"/>
      <w:ind w:left="476" w:firstLine="482"/>
    </w:pPr>
    <w:rPr>
      <w:rFonts w:ascii="Arial" w:hAnsi="Arial" w:eastAsia="仿宋_GB2312"/>
      <w:kern w:val="0"/>
      <w:sz w:val="24"/>
      <w:szCs w:val="20"/>
    </w:rPr>
  </w:style>
  <w:style w:type="paragraph" w:customStyle="1" w:styleId="1046">
    <w:name w:val="标题三"/>
    <w:basedOn w:val="1"/>
    <w:link w:val="2971"/>
    <w:qFormat/>
    <w:uiPriority w:val="0"/>
    <w:pPr>
      <w:spacing w:line="360" w:lineRule="auto"/>
      <w:outlineLvl w:val="2"/>
    </w:pPr>
    <w:rPr>
      <w:rFonts w:cs="宋体"/>
      <w:b/>
      <w:kern w:val="0"/>
      <w:sz w:val="28"/>
      <w:szCs w:val="20"/>
    </w:rPr>
  </w:style>
  <w:style w:type="paragraph" w:customStyle="1" w:styleId="104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048">
    <w:name w:val="p6"/>
    <w:basedOn w:val="1"/>
    <w:qFormat/>
    <w:uiPriority w:val="99"/>
    <w:pPr>
      <w:tabs>
        <w:tab w:val="left" w:pos="4720"/>
      </w:tabs>
      <w:spacing w:line="240" w:lineRule="atLeast"/>
      <w:ind w:left="3280"/>
    </w:pPr>
    <w:rPr>
      <w:rFonts w:ascii="Arial" w:hAnsi="Arial"/>
      <w:snapToGrid w:val="0"/>
      <w:kern w:val="0"/>
      <w:sz w:val="24"/>
      <w:szCs w:val="20"/>
      <w:lang w:eastAsia="en-US"/>
    </w:rPr>
  </w:style>
  <w:style w:type="paragraph" w:customStyle="1" w:styleId="1049">
    <w:name w:val="xl79"/>
    <w:basedOn w:val="1"/>
    <w:qFormat/>
    <w:uiPriority w:val="0"/>
    <w:pPr>
      <w:pBdr>
        <w:bottom w:val="single" w:color="auto" w:sz="12" w:space="0"/>
      </w:pBdr>
      <w:spacing w:before="100" w:beforeAutospacing="1" w:after="100" w:afterAutospacing="1"/>
      <w:textAlignment w:val="center"/>
    </w:pPr>
    <w:rPr>
      <w:kern w:val="0"/>
      <w:sz w:val="12"/>
      <w:szCs w:val="12"/>
    </w:rPr>
  </w:style>
  <w:style w:type="paragraph" w:customStyle="1" w:styleId="1050">
    <w:name w:val="Char Char Char1"/>
    <w:basedOn w:val="1"/>
    <w:qFormat/>
    <w:uiPriority w:val="0"/>
    <w:rPr>
      <w:sz w:val="24"/>
    </w:rPr>
  </w:style>
  <w:style w:type="paragraph" w:customStyle="1" w:styleId="1051">
    <w:name w:val="xl193"/>
    <w:basedOn w:val="1"/>
    <w:qFormat/>
    <w:uiPriority w:val="99"/>
    <w:pPr>
      <w:pBdr>
        <w:left w:val="single" w:color="auto" w:sz="4" w:space="0"/>
        <w:bottom w:val="single" w:color="auto" w:sz="4" w:space="0"/>
        <w:right w:val="single" w:color="auto" w:sz="4" w:space="0"/>
      </w:pBdr>
      <w:spacing w:before="100" w:beforeAutospacing="1" w:after="100" w:afterAutospacing="1"/>
    </w:pPr>
    <w:rPr>
      <w:rFonts w:ascii="Arial Unicode MS" w:hAnsi="Arial Unicode MS"/>
      <w:kern w:val="0"/>
      <w:sz w:val="16"/>
      <w:szCs w:val="16"/>
    </w:rPr>
  </w:style>
  <w:style w:type="paragraph" w:customStyle="1" w:styleId="1052">
    <w:name w:val="五级条标题"/>
    <w:basedOn w:val="806"/>
    <w:next w:val="1"/>
    <w:qFormat/>
    <w:uiPriority w:val="0"/>
    <w:pPr>
      <w:tabs>
        <w:tab w:val="left" w:pos="1296"/>
        <w:tab w:val="clear" w:pos="1152"/>
      </w:tabs>
      <w:ind w:left="1296" w:hanging="1296"/>
      <w:outlineLvl w:val="6"/>
    </w:pPr>
  </w:style>
  <w:style w:type="paragraph" w:customStyle="1" w:styleId="1053">
    <w:name w:val="xl186"/>
    <w:basedOn w:val="1"/>
    <w:qFormat/>
    <w:uiPriority w:val="99"/>
    <w:pPr>
      <w:pBdr>
        <w:left w:val="single" w:color="auto" w:sz="4" w:space="0"/>
        <w:bottom w:val="single" w:color="auto" w:sz="4" w:space="0"/>
        <w:right w:val="single" w:color="auto" w:sz="4" w:space="0"/>
      </w:pBdr>
      <w:spacing w:before="100" w:beforeAutospacing="1" w:after="100" w:afterAutospacing="1"/>
    </w:pPr>
    <w:rPr>
      <w:rFonts w:ascii="Arial Unicode MS" w:hAnsi="Arial Unicode MS"/>
      <w:kern w:val="0"/>
      <w:sz w:val="16"/>
      <w:szCs w:val="16"/>
    </w:rPr>
  </w:style>
  <w:style w:type="paragraph" w:customStyle="1" w:styleId="1054">
    <w:name w:val="Date1"/>
    <w:basedOn w:val="1"/>
    <w:next w:val="1"/>
    <w:qFormat/>
    <w:uiPriority w:val="0"/>
    <w:pPr>
      <w:adjustRightInd w:val="0"/>
      <w:textAlignment w:val="baseline"/>
    </w:pPr>
    <w:rPr>
      <w:szCs w:val="20"/>
    </w:rPr>
  </w:style>
  <w:style w:type="paragraph" w:customStyle="1" w:styleId="1055">
    <w:name w:val="a3"/>
    <w:basedOn w:val="1"/>
    <w:qFormat/>
    <w:uiPriority w:val="99"/>
    <w:pPr>
      <w:spacing w:before="100" w:beforeAutospacing="1" w:after="100" w:afterAutospacing="1"/>
    </w:pPr>
    <w:rPr>
      <w:rFonts w:ascii="宋体" w:hAnsi="宋体"/>
      <w:color w:val="000000"/>
      <w:kern w:val="0"/>
      <w:sz w:val="24"/>
    </w:rPr>
  </w:style>
  <w:style w:type="paragraph" w:customStyle="1" w:styleId="1056">
    <w:name w:val="样式2.2.5"/>
    <w:basedOn w:val="1"/>
    <w:qFormat/>
    <w:uiPriority w:val="99"/>
    <w:pPr>
      <w:spacing w:before="156" w:beforeLines="50" w:line="360" w:lineRule="auto"/>
      <w:outlineLvl w:val="3"/>
    </w:pPr>
    <w:rPr>
      <w:b/>
      <w:sz w:val="24"/>
    </w:rPr>
  </w:style>
  <w:style w:type="paragraph" w:customStyle="1" w:styleId="1057">
    <w:name w:val="xl127"/>
    <w:basedOn w:val="1"/>
    <w:qFormat/>
    <w:uiPriority w:val="99"/>
    <w:pPr>
      <w:pBdr>
        <w:top w:val="single" w:color="auto" w:sz="8" w:space="0"/>
        <w:bottom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058">
    <w:name w:val="样式7"/>
    <w:basedOn w:val="712"/>
    <w:qFormat/>
    <w:uiPriority w:val="0"/>
    <w:pPr>
      <w:adjustRightInd w:val="0"/>
      <w:spacing w:line="240" w:lineRule="auto"/>
      <w:textAlignment w:val="baseline"/>
    </w:pPr>
    <w:rPr>
      <w:rFonts w:ascii="仿宋_GB2312" w:hAnsi="宋体" w:eastAsia="仿宋_GB2312"/>
      <w:color w:val="000000"/>
      <w:sz w:val="24"/>
    </w:rPr>
  </w:style>
  <w:style w:type="paragraph" w:customStyle="1" w:styleId="1059">
    <w:name w:val="Char Char Char1 Char Char Char Char Char Char Char Char Char Char Char Char Char"/>
    <w:basedOn w:val="1"/>
    <w:qFormat/>
    <w:uiPriority w:val="0"/>
    <w:rPr>
      <w:szCs w:val="21"/>
    </w:rPr>
  </w:style>
  <w:style w:type="paragraph" w:customStyle="1" w:styleId="1060">
    <w:name w:val="默认段落字体 Para Char"/>
    <w:basedOn w:val="1"/>
    <w:next w:val="1"/>
    <w:qFormat/>
    <w:uiPriority w:val="0"/>
    <w:pPr>
      <w:spacing w:line="360" w:lineRule="auto"/>
      <w:ind w:firstLine="200" w:firstLineChars="200"/>
    </w:pPr>
    <w:rPr>
      <w:sz w:val="24"/>
    </w:rPr>
  </w:style>
  <w:style w:type="paragraph" w:customStyle="1" w:styleId="1061">
    <w:name w:val="样式 小四"/>
    <w:basedOn w:val="1"/>
    <w:qFormat/>
    <w:uiPriority w:val="0"/>
    <w:pPr>
      <w:spacing w:line="360" w:lineRule="auto"/>
      <w:ind w:firstLine="480" w:firstLineChars="200"/>
    </w:pPr>
    <w:rPr>
      <w:rFonts w:cs="宋体"/>
      <w:spacing w:val="8"/>
      <w:sz w:val="24"/>
      <w:szCs w:val="21"/>
    </w:rPr>
  </w:style>
  <w:style w:type="paragraph" w:customStyle="1" w:styleId="1062">
    <w:name w:val="样式 标题 3条标题1.1.1h3H3level_3PIM 3Level 3 HeadHeading 3 - ol..."/>
    <w:basedOn w:val="5"/>
    <w:qFormat/>
    <w:uiPriority w:val="99"/>
    <w:pPr>
      <w:tabs>
        <w:tab w:val="left" w:pos="720"/>
        <w:tab w:val="left" w:pos="1260"/>
        <w:tab w:val="left" w:pos="1740"/>
      </w:tabs>
      <w:spacing w:before="156" w:beforeLines="50" w:after="0" w:line="360" w:lineRule="auto"/>
      <w:ind w:left="720" w:hanging="720"/>
    </w:pPr>
    <w:rPr>
      <w:rFonts w:ascii="宋体"/>
      <w:kern w:val="24"/>
      <w:sz w:val="28"/>
    </w:rPr>
  </w:style>
  <w:style w:type="paragraph" w:customStyle="1" w:styleId="1063">
    <w:name w:val="wj12"/>
    <w:basedOn w:val="1"/>
    <w:qFormat/>
    <w:uiPriority w:val="99"/>
    <w:pPr>
      <w:spacing w:before="100" w:beforeAutospacing="1" w:after="100" w:afterAutospacing="1"/>
    </w:pPr>
    <w:rPr>
      <w:rFonts w:ascii="宋体" w:hAnsi="宋体" w:cs="宋体"/>
      <w:kern w:val="0"/>
      <w:sz w:val="18"/>
      <w:szCs w:val="18"/>
    </w:rPr>
  </w:style>
  <w:style w:type="paragraph" w:customStyle="1" w:styleId="1064">
    <w:name w:val="xl178"/>
    <w:basedOn w:val="1"/>
    <w:qFormat/>
    <w:uiPriority w:val="99"/>
    <w:pPr>
      <w:spacing w:before="100" w:beforeAutospacing="1" w:after="100" w:afterAutospacing="1"/>
      <w:jc w:val="center"/>
    </w:pPr>
    <w:rPr>
      <w:rFonts w:ascii="Arial Unicode MS" w:hAnsi="Arial Unicode MS"/>
      <w:kern w:val="0"/>
      <w:sz w:val="12"/>
      <w:szCs w:val="12"/>
    </w:rPr>
  </w:style>
  <w:style w:type="paragraph" w:customStyle="1" w:styleId="1065">
    <w:name w:val="样式4.1.1.1"/>
    <w:basedOn w:val="1"/>
    <w:qFormat/>
    <w:uiPriority w:val="99"/>
    <w:pPr>
      <w:tabs>
        <w:tab w:val="left" w:pos="-962"/>
        <w:tab w:val="left" w:pos="0"/>
      </w:tabs>
      <w:spacing w:before="156" w:beforeLines="50" w:line="360" w:lineRule="auto"/>
      <w:ind w:left="-962"/>
      <w:outlineLvl w:val="3"/>
    </w:pPr>
    <w:rPr>
      <w:b/>
      <w:bCs/>
      <w:sz w:val="24"/>
    </w:rPr>
  </w:style>
  <w:style w:type="paragraph" w:customStyle="1" w:styleId="1066">
    <w:name w:val="自制表格1"/>
    <w:basedOn w:val="1"/>
    <w:next w:val="1"/>
    <w:qFormat/>
    <w:uiPriority w:val="99"/>
    <w:pPr>
      <w:adjustRightInd w:val="0"/>
      <w:snapToGrid w:val="0"/>
      <w:spacing w:line="360" w:lineRule="auto"/>
      <w:ind w:firstLine="480" w:firstLineChars="200"/>
      <w:jc w:val="center"/>
      <w:textAlignment w:val="baseline"/>
    </w:pPr>
    <w:rPr>
      <w:b/>
      <w:snapToGrid w:val="0"/>
      <w:kern w:val="0"/>
      <w:sz w:val="24"/>
    </w:rPr>
  </w:style>
  <w:style w:type="paragraph" w:customStyle="1" w:styleId="1067">
    <w:name w:val="xl164"/>
    <w:basedOn w:val="1"/>
    <w:qFormat/>
    <w:uiPriority w:val="99"/>
    <w:pPr>
      <w:pBdr>
        <w:left w:val="single" w:color="auto" w:sz="12" w:space="0"/>
        <w:bottom w:val="single" w:color="auto" w:sz="12" w:space="0"/>
      </w:pBdr>
      <w:spacing w:before="100" w:beforeAutospacing="1" w:after="100" w:afterAutospacing="1"/>
      <w:jc w:val="center"/>
    </w:pPr>
    <w:rPr>
      <w:rFonts w:ascii="Arial Unicode MS" w:hAnsi="Arial Unicode MS"/>
      <w:kern w:val="0"/>
    </w:rPr>
  </w:style>
  <w:style w:type="paragraph" w:customStyle="1" w:styleId="1068">
    <w:name w:val="xl168"/>
    <w:basedOn w:val="1"/>
    <w:qFormat/>
    <w:uiPriority w:val="99"/>
    <w:pPr>
      <w:pBdr>
        <w:bottom w:val="single" w:color="auto" w:sz="12" w:space="0"/>
        <w:right w:val="single" w:color="auto" w:sz="4" w:space="0"/>
      </w:pBdr>
      <w:spacing w:before="100" w:beforeAutospacing="1" w:after="100" w:afterAutospacing="1"/>
      <w:jc w:val="center"/>
      <w:textAlignment w:val="center"/>
    </w:pPr>
    <w:rPr>
      <w:rFonts w:ascii="Arial Unicode MS" w:hAnsi="Arial Unicode MS"/>
      <w:kern w:val="0"/>
    </w:rPr>
  </w:style>
  <w:style w:type="paragraph" w:customStyle="1" w:styleId="1069">
    <w:name w:val="表序号"/>
    <w:basedOn w:val="7"/>
    <w:qFormat/>
    <w:uiPriority w:val="99"/>
    <w:pPr>
      <w:tabs>
        <w:tab w:val="left" w:pos="3093"/>
      </w:tabs>
      <w:adjustRightInd/>
      <w:snapToGrid/>
      <w:spacing w:before="0" w:after="0" w:line="360" w:lineRule="auto"/>
      <w:ind w:left="3093" w:hanging="420" w:firstLineChars="0"/>
      <w:jc w:val="center"/>
    </w:pPr>
    <w:rPr>
      <w:rFonts w:ascii="宋体" w:hAnsi="Arial"/>
      <w:spacing w:val="0"/>
      <w:sz w:val="24"/>
      <w:szCs w:val="20"/>
    </w:rPr>
  </w:style>
  <w:style w:type="paragraph" w:customStyle="1" w:styleId="1070">
    <w:name w:val="目录B"/>
    <w:basedOn w:val="1"/>
    <w:qFormat/>
    <w:uiPriority w:val="99"/>
    <w:pPr>
      <w:spacing w:line="480" w:lineRule="exact"/>
      <w:outlineLvl w:val="1"/>
    </w:pPr>
    <w:rPr>
      <w:rFonts w:ascii="黑体" w:eastAsia="黑体"/>
      <w:sz w:val="28"/>
      <w:szCs w:val="28"/>
    </w:rPr>
  </w:style>
  <w:style w:type="paragraph" w:customStyle="1" w:styleId="1071">
    <w:name w:val="xl185"/>
    <w:basedOn w:val="1"/>
    <w:qFormat/>
    <w:uiPriority w:val="99"/>
    <w:pPr>
      <w:pBdr>
        <w:bottom w:val="single" w:color="auto" w:sz="12" w:space="0"/>
        <w:right w:val="single" w:color="auto" w:sz="4"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072">
    <w:name w:val="xl192"/>
    <w:basedOn w:val="1"/>
    <w:qFormat/>
    <w:uiPriority w:val="99"/>
    <w:pPr>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073">
    <w:name w:val="xl96"/>
    <w:basedOn w:val="1"/>
    <w:qFormat/>
    <w:uiPriority w:val="0"/>
    <w:pPr>
      <w:pBdr>
        <w:left w:val="single" w:color="auto" w:sz="12" w:space="0"/>
        <w:bottom w:val="single" w:color="auto" w:sz="12" w:space="0"/>
        <w:right w:val="single" w:color="auto" w:sz="4" w:space="0"/>
      </w:pBdr>
      <w:spacing w:before="100" w:beforeAutospacing="1" w:after="100" w:afterAutospacing="1"/>
      <w:jc w:val="center"/>
    </w:pPr>
    <w:rPr>
      <w:rFonts w:ascii="Arial Unicode MS" w:hAnsi="Arial Unicode MS"/>
      <w:kern w:val="0"/>
      <w:sz w:val="12"/>
      <w:szCs w:val="12"/>
    </w:rPr>
  </w:style>
  <w:style w:type="paragraph" w:customStyle="1" w:styleId="1074">
    <w:name w:val="样式11.5.1"/>
    <w:basedOn w:val="1"/>
    <w:qFormat/>
    <w:uiPriority w:val="99"/>
    <w:pPr>
      <w:tabs>
        <w:tab w:val="left" w:pos="0"/>
        <w:tab w:val="left" w:pos="1740"/>
      </w:tabs>
      <w:spacing w:before="156" w:beforeLines="50" w:line="360" w:lineRule="auto"/>
      <w:ind w:left="1740" w:hanging="420"/>
      <w:outlineLvl w:val="2"/>
    </w:pPr>
    <w:rPr>
      <w:b/>
      <w:sz w:val="28"/>
    </w:rPr>
  </w:style>
  <w:style w:type="paragraph" w:customStyle="1" w:styleId="1075">
    <w:name w:val="样式 表格 32 + 首行缩进:  2 字符1"/>
    <w:basedOn w:val="1"/>
    <w:qFormat/>
    <w:uiPriority w:val="99"/>
    <w:pPr>
      <w:autoSpaceDE w:val="0"/>
      <w:autoSpaceDN w:val="0"/>
      <w:adjustRightInd w:val="0"/>
      <w:jc w:val="center"/>
      <w:textAlignment w:val="baseline"/>
    </w:pPr>
    <w:rPr>
      <w:kern w:val="0"/>
      <w:szCs w:val="21"/>
    </w:rPr>
  </w:style>
  <w:style w:type="paragraph" w:customStyle="1" w:styleId="1076">
    <w:name w:val="样式 样式 Times New Roman 四号 加粗 行距: 1.5 倍行距 + 加粗"/>
    <w:basedOn w:val="738"/>
    <w:qFormat/>
    <w:uiPriority w:val="0"/>
    <w:pPr>
      <w:outlineLvl w:val="3"/>
    </w:pPr>
  </w:style>
  <w:style w:type="paragraph" w:customStyle="1" w:styleId="1077">
    <w:name w:val="样式 标题3 + 段前: 0.5 行"/>
    <w:basedOn w:val="1"/>
    <w:qFormat/>
    <w:uiPriority w:val="99"/>
    <w:pPr>
      <w:spacing w:before="156" w:beforeLines="50" w:line="360" w:lineRule="auto"/>
      <w:outlineLvl w:val="2"/>
    </w:pPr>
    <w:rPr>
      <w:rFonts w:ascii="宋体" w:hAnsi="宋体" w:cs="宋体"/>
      <w:sz w:val="24"/>
      <w:szCs w:val="20"/>
    </w:rPr>
  </w:style>
  <w:style w:type="paragraph" w:customStyle="1" w:styleId="1078">
    <w:name w:val="xl137"/>
    <w:basedOn w:val="1"/>
    <w:qFormat/>
    <w:uiPriority w:val="99"/>
    <w:pPr>
      <w:pBdr>
        <w:bottom w:val="single" w:color="auto" w:sz="8" w:space="0"/>
      </w:pBdr>
      <w:spacing w:before="100" w:beforeAutospacing="1" w:after="100" w:afterAutospacing="1"/>
    </w:pPr>
    <w:rPr>
      <w:rFonts w:ascii="Arial Unicode MS" w:hAnsi="Arial Unicode MS"/>
      <w:kern w:val="0"/>
      <w:sz w:val="12"/>
      <w:szCs w:val="12"/>
    </w:rPr>
  </w:style>
  <w:style w:type="paragraph" w:customStyle="1" w:styleId="1079">
    <w:name w:val="xl147"/>
    <w:basedOn w:val="1"/>
    <w:qFormat/>
    <w:uiPriority w:val="99"/>
    <w:pPr>
      <w:spacing w:before="100" w:beforeAutospacing="1" w:after="100" w:afterAutospacing="1"/>
      <w:jc w:val="center"/>
    </w:pPr>
    <w:rPr>
      <w:rFonts w:ascii="Arial Unicode MS" w:hAnsi="Arial Unicode MS"/>
      <w:kern w:val="0"/>
    </w:rPr>
  </w:style>
  <w:style w:type="paragraph" w:customStyle="1" w:styleId="1080">
    <w:name w:val="xl38"/>
    <w:basedOn w:val="1"/>
    <w:qFormat/>
    <w:uiPriority w:val="0"/>
    <w:pPr>
      <w:pBdr>
        <w:top w:val="single" w:color="auto" w:sz="12" w:space="0"/>
        <w:left w:val="single" w:color="auto" w:sz="12"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081">
    <w:name w:val="xl112"/>
    <w:basedOn w:val="1"/>
    <w:qFormat/>
    <w:uiPriority w:val="0"/>
    <w:pPr>
      <w:pBdr>
        <w:right w:val="single" w:color="auto" w:sz="8" w:space="0"/>
      </w:pBdr>
      <w:spacing w:before="100" w:beforeAutospacing="1" w:after="100" w:afterAutospacing="1"/>
    </w:pPr>
    <w:rPr>
      <w:rFonts w:ascii="Arial Unicode MS" w:hAnsi="Arial Unicode MS"/>
      <w:kern w:val="0"/>
      <w:sz w:val="16"/>
      <w:szCs w:val="16"/>
    </w:rPr>
  </w:style>
  <w:style w:type="paragraph" w:customStyle="1" w:styleId="1082">
    <w:name w:val="xl80"/>
    <w:basedOn w:val="1"/>
    <w:qFormat/>
    <w:uiPriority w:val="0"/>
    <w:pPr>
      <w:pBdr>
        <w:left w:val="single" w:color="auto" w:sz="12" w:space="0"/>
        <w:bottom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083">
    <w:name w:val="标准符号 行距1倍"/>
    <w:basedOn w:val="1"/>
    <w:qFormat/>
    <w:uiPriority w:val="99"/>
    <w:pPr>
      <w:adjustRightInd w:val="0"/>
      <w:snapToGrid w:val="0"/>
      <w:spacing w:before="156" w:beforeLines="50"/>
      <w:jc w:val="center"/>
      <w:textAlignment w:val="center"/>
    </w:pPr>
    <w:rPr>
      <w:rFonts w:ascii="黑体" w:eastAsia="黑体" w:cs="宋体"/>
      <w:color w:val="000000"/>
      <w:kern w:val="0"/>
      <w:sz w:val="24"/>
    </w:rPr>
  </w:style>
  <w:style w:type="paragraph" w:customStyle="1" w:styleId="1084">
    <w:name w:val="表号"/>
    <w:basedOn w:val="1"/>
    <w:link w:val="2235"/>
    <w:qFormat/>
    <w:uiPriority w:val="0"/>
    <w:pPr>
      <w:jc w:val="center"/>
    </w:pPr>
    <w:rPr>
      <w:rFonts w:ascii="黑体" w:hAnsi="宋体" w:eastAsia="黑体"/>
      <w:kern w:val="0"/>
      <w:sz w:val="24"/>
      <w:szCs w:val="28"/>
    </w:rPr>
  </w:style>
  <w:style w:type="paragraph" w:customStyle="1" w:styleId="1085">
    <w:name w:val="WPS Plain"/>
    <w:qFormat/>
    <w:uiPriority w:val="0"/>
    <w:rPr>
      <w:rFonts w:ascii="Times New Roman" w:hAnsi="Times New Roman" w:eastAsia="宋体" w:cs="Times New Roman"/>
      <w:lang w:val="en-US" w:eastAsia="zh-CN" w:bidi="ar-SA"/>
    </w:rPr>
  </w:style>
  <w:style w:type="paragraph" w:customStyle="1" w:styleId="1086">
    <w:name w:val="标准"/>
    <w:basedOn w:val="1"/>
    <w:link w:val="2783"/>
    <w:qFormat/>
    <w:uiPriority w:val="0"/>
    <w:pPr>
      <w:adjustRightInd w:val="0"/>
      <w:spacing w:line="312" w:lineRule="atLeast"/>
      <w:jc w:val="center"/>
      <w:textAlignment w:val="baseline"/>
    </w:pPr>
    <w:rPr>
      <w:kern w:val="0"/>
      <w:szCs w:val="20"/>
    </w:rPr>
  </w:style>
  <w:style w:type="paragraph" w:customStyle="1" w:styleId="1087">
    <w:name w:val="文本正文"/>
    <w:basedOn w:val="1"/>
    <w:link w:val="2365"/>
    <w:qFormat/>
    <w:uiPriority w:val="0"/>
    <w:pPr>
      <w:snapToGrid w:val="0"/>
      <w:spacing w:line="360" w:lineRule="auto"/>
      <w:ind w:firstLine="510"/>
    </w:pPr>
    <w:rPr>
      <w:rFonts w:ascii="宋体"/>
      <w:spacing w:val="4"/>
      <w:kern w:val="24"/>
      <w:sz w:val="24"/>
      <w:lang w:val="zh-CN"/>
    </w:rPr>
  </w:style>
  <w:style w:type="paragraph" w:customStyle="1" w:styleId="1088">
    <w:name w:val="xl94"/>
    <w:basedOn w:val="1"/>
    <w:qFormat/>
    <w:uiPriority w:val="0"/>
    <w:pPr>
      <w:pBdr>
        <w:left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089">
    <w:name w:val="样式 样式 左侧:  2 字符 + 首行缩进:  2 字符 Char"/>
    <w:basedOn w:val="1"/>
    <w:qFormat/>
    <w:uiPriority w:val="99"/>
    <w:pPr>
      <w:tabs>
        <w:tab w:val="left" w:pos="540"/>
      </w:tabs>
      <w:spacing w:line="360" w:lineRule="auto"/>
      <w:ind w:firstLine="478" w:firstLineChars="199"/>
    </w:pPr>
    <w:rPr>
      <w:rFonts w:ascii="宋体" w:hAnsi="宋体"/>
      <w:bCs/>
      <w:sz w:val="24"/>
    </w:rPr>
  </w:style>
  <w:style w:type="paragraph" w:customStyle="1" w:styleId="1090">
    <w:name w:val="样式11.4"/>
    <w:basedOn w:val="1"/>
    <w:qFormat/>
    <w:uiPriority w:val="99"/>
    <w:pPr>
      <w:tabs>
        <w:tab w:val="left" w:pos="0"/>
      </w:tabs>
      <w:spacing w:before="156" w:beforeLines="50" w:line="360" w:lineRule="auto"/>
      <w:outlineLvl w:val="2"/>
    </w:pPr>
    <w:rPr>
      <w:b/>
      <w:sz w:val="28"/>
      <w:szCs w:val="28"/>
    </w:rPr>
  </w:style>
  <w:style w:type="paragraph" w:customStyle="1" w:styleId="1091">
    <w:name w:val="样式2.6.4"/>
    <w:basedOn w:val="1"/>
    <w:qFormat/>
    <w:uiPriority w:val="99"/>
    <w:pPr>
      <w:tabs>
        <w:tab w:val="left" w:pos="286"/>
        <w:tab w:val="left" w:pos="864"/>
      </w:tabs>
      <w:spacing w:before="156" w:beforeLines="50" w:line="360" w:lineRule="auto"/>
      <w:ind w:left="864" w:hanging="864"/>
      <w:outlineLvl w:val="3"/>
    </w:pPr>
    <w:rPr>
      <w:b/>
      <w:sz w:val="24"/>
    </w:rPr>
  </w:style>
  <w:style w:type="paragraph" w:customStyle="1" w:styleId="1092">
    <w:name w:val="表"/>
    <w:basedOn w:val="1"/>
    <w:next w:val="65"/>
    <w:link w:val="2642"/>
    <w:qFormat/>
    <w:uiPriority w:val="0"/>
    <w:pPr>
      <w:jc w:val="center"/>
    </w:pPr>
    <w:rPr>
      <w:rFonts w:ascii="宋体" w:hAnsi="Arial Black"/>
      <w:kern w:val="21"/>
      <w:sz w:val="24"/>
    </w:rPr>
  </w:style>
  <w:style w:type="paragraph" w:customStyle="1" w:styleId="1093">
    <w:name w:val="xl59"/>
    <w:basedOn w:val="1"/>
    <w:qFormat/>
    <w:uiPriority w:val="0"/>
    <w:pPr>
      <w:pBdr>
        <w:bottom w:val="single" w:color="auto" w:sz="12" w:space="0"/>
      </w:pBdr>
      <w:spacing w:before="100" w:beforeAutospacing="1" w:after="100" w:afterAutospacing="1"/>
      <w:textAlignment w:val="center"/>
    </w:pPr>
    <w:rPr>
      <w:kern w:val="0"/>
      <w:sz w:val="12"/>
      <w:szCs w:val="12"/>
    </w:rPr>
  </w:style>
  <w:style w:type="paragraph" w:customStyle="1" w:styleId="1094">
    <w:name w:val="1 Char Char Char Char Char Char Char Char Char Char Char Char1 Char Char Char Char Char Char1 Char Char Char Char"/>
    <w:basedOn w:val="1"/>
    <w:qFormat/>
    <w:uiPriority w:val="99"/>
  </w:style>
  <w:style w:type="paragraph" w:customStyle="1" w:styleId="1095">
    <w:name w:val="新表"/>
    <w:basedOn w:val="1"/>
    <w:qFormat/>
    <w:uiPriority w:val="99"/>
    <w:pPr>
      <w:spacing w:line="360" w:lineRule="exact"/>
    </w:pPr>
    <w:rPr>
      <w:rFonts w:eastAsia="仿宋_GB2312"/>
      <w:bCs/>
      <w:kern w:val="0"/>
      <w:sz w:val="24"/>
      <w:szCs w:val="20"/>
    </w:rPr>
  </w:style>
  <w:style w:type="paragraph" w:customStyle="1" w:styleId="1096">
    <w:name w:val="xl72"/>
    <w:basedOn w:val="1"/>
    <w:qFormat/>
    <w:uiPriority w:val="0"/>
    <w:pPr>
      <w:spacing w:before="100" w:beforeAutospacing="1" w:after="100" w:afterAutospacing="1"/>
    </w:pPr>
    <w:rPr>
      <w:rFonts w:ascii="Arial Unicode MS" w:hAnsi="Arial Unicode MS"/>
      <w:kern w:val="0"/>
      <w:sz w:val="12"/>
      <w:szCs w:val="12"/>
    </w:rPr>
  </w:style>
  <w:style w:type="paragraph" w:customStyle="1" w:styleId="1097">
    <w:name w:val="IDC A-Head (2nd Line)"/>
    <w:basedOn w:val="1"/>
    <w:next w:val="1"/>
    <w:qFormat/>
    <w:uiPriority w:val="0"/>
    <w:pPr>
      <w:jc w:val="center"/>
    </w:pPr>
    <w:rPr>
      <w:caps/>
      <w:kern w:val="0"/>
      <w:sz w:val="24"/>
      <w:szCs w:val="20"/>
    </w:rPr>
  </w:style>
  <w:style w:type="paragraph" w:customStyle="1" w:styleId="1098">
    <w:name w:val="新正文"/>
    <w:basedOn w:val="1"/>
    <w:link w:val="3016"/>
    <w:qFormat/>
    <w:uiPriority w:val="0"/>
    <w:pPr>
      <w:spacing w:line="480" w:lineRule="exact"/>
      <w:ind w:firstLine="567"/>
    </w:pPr>
    <w:rPr>
      <w:rFonts w:ascii="仿宋_GB2312" w:eastAsia="仿宋_GB2312"/>
      <w:bCs/>
      <w:kern w:val="0"/>
      <w:sz w:val="28"/>
      <w:szCs w:val="20"/>
    </w:rPr>
  </w:style>
  <w:style w:type="paragraph" w:customStyle="1" w:styleId="1099">
    <w:name w:val="BGWZ1"/>
    <w:basedOn w:val="1"/>
    <w:qFormat/>
    <w:uiPriority w:val="99"/>
    <w:pPr>
      <w:snapToGrid w:val="0"/>
      <w:spacing w:line="300" w:lineRule="exact"/>
      <w:jc w:val="center"/>
    </w:pPr>
    <w:rPr>
      <w:snapToGrid w:val="0"/>
      <w:kern w:val="0"/>
      <w:szCs w:val="21"/>
      <w:lang w:eastAsia="zh-TW"/>
    </w:rPr>
  </w:style>
  <w:style w:type="paragraph" w:customStyle="1" w:styleId="1100">
    <w:name w:val="列表1"/>
    <w:basedOn w:val="1"/>
    <w:qFormat/>
    <w:uiPriority w:val="0"/>
    <w:pPr>
      <w:spacing w:before="60" w:line="240" w:lineRule="exact"/>
      <w:jc w:val="center"/>
    </w:pPr>
    <w:rPr>
      <w:sz w:val="24"/>
      <w:szCs w:val="20"/>
    </w:rPr>
  </w:style>
  <w:style w:type="paragraph" w:customStyle="1" w:styleId="1101">
    <w:name w:val="reader-word-layer"/>
    <w:basedOn w:val="1"/>
    <w:qFormat/>
    <w:uiPriority w:val="0"/>
    <w:pPr>
      <w:spacing w:before="100" w:beforeAutospacing="1" w:after="100" w:afterAutospacing="1"/>
    </w:pPr>
    <w:rPr>
      <w:rFonts w:ascii="宋体" w:hAnsi="宋体" w:cs="宋体"/>
      <w:kern w:val="0"/>
      <w:sz w:val="24"/>
    </w:rPr>
  </w:style>
  <w:style w:type="paragraph" w:customStyle="1" w:styleId="1102">
    <w:name w:val="标准文本 首行缩进:2 字符 行距1倍"/>
    <w:basedOn w:val="1"/>
    <w:qFormat/>
    <w:uiPriority w:val="99"/>
    <w:pPr>
      <w:adjustRightInd w:val="0"/>
      <w:snapToGrid w:val="0"/>
      <w:spacing w:line="480" w:lineRule="exact"/>
      <w:ind w:firstLine="540" w:firstLineChars="225"/>
      <w:textAlignment w:val="center"/>
    </w:pPr>
    <w:rPr>
      <w:rFonts w:cs="宋体"/>
      <w:sz w:val="24"/>
      <w:szCs w:val="20"/>
    </w:rPr>
  </w:style>
  <w:style w:type="paragraph" w:customStyle="1" w:styleId="1103">
    <w:name w:val="xl197"/>
    <w:basedOn w:val="1"/>
    <w:qFormat/>
    <w:uiPriority w:val="99"/>
    <w:pPr>
      <w:pBdr>
        <w:left w:val="single" w:color="auto" w:sz="4" w:space="0"/>
        <w:bottom w:val="single" w:color="auto" w:sz="8" w:space="0"/>
        <w:right w:val="single" w:color="auto" w:sz="4" w:space="0"/>
      </w:pBdr>
      <w:spacing w:before="100" w:beforeAutospacing="1" w:after="100" w:afterAutospacing="1"/>
      <w:jc w:val="center"/>
    </w:pPr>
    <w:rPr>
      <w:rFonts w:ascii="Arial Unicode MS" w:hAnsi="Arial Unicode MS"/>
      <w:kern w:val="0"/>
    </w:rPr>
  </w:style>
  <w:style w:type="paragraph" w:customStyle="1" w:styleId="1104">
    <w:name w:val="样式3.4.1"/>
    <w:basedOn w:val="1"/>
    <w:qFormat/>
    <w:uiPriority w:val="99"/>
    <w:pPr>
      <w:tabs>
        <w:tab w:val="left" w:pos="0"/>
        <w:tab w:val="left" w:pos="1260"/>
      </w:tabs>
      <w:spacing w:before="156" w:beforeLines="50" w:line="360" w:lineRule="auto"/>
      <w:ind w:left="1260" w:hanging="420"/>
      <w:outlineLvl w:val="2"/>
    </w:pPr>
    <w:rPr>
      <w:rFonts w:ascii="宋体" w:hAnsi="宋体"/>
      <w:b/>
      <w:sz w:val="28"/>
    </w:rPr>
  </w:style>
  <w:style w:type="paragraph" w:customStyle="1" w:styleId="1105">
    <w:name w:val="xl135"/>
    <w:basedOn w:val="1"/>
    <w:qFormat/>
    <w:uiPriority w:val="99"/>
    <w:pPr>
      <w:spacing w:before="100" w:beforeAutospacing="1" w:after="100" w:afterAutospacing="1"/>
      <w:jc w:val="center"/>
    </w:pPr>
    <w:rPr>
      <w:rFonts w:ascii="Arial Unicode MS" w:hAnsi="Arial Unicode MS"/>
      <w:kern w:val="0"/>
      <w:sz w:val="16"/>
      <w:szCs w:val="16"/>
    </w:rPr>
  </w:style>
  <w:style w:type="paragraph" w:customStyle="1" w:styleId="1106">
    <w:name w:val="xl187"/>
    <w:basedOn w:val="1"/>
    <w:qFormat/>
    <w:uiPriority w:val="99"/>
    <w:pPr>
      <w:pBdr>
        <w:top w:val="single" w:color="auto" w:sz="4" w:space="0"/>
        <w:left w:val="single" w:color="auto" w:sz="4" w:space="0"/>
        <w:right w:val="single" w:color="auto" w:sz="4" w:space="0"/>
      </w:pBdr>
      <w:spacing w:before="100" w:beforeAutospacing="1" w:after="100" w:afterAutospacing="1"/>
      <w:jc w:val="center"/>
      <w:textAlignment w:val="center"/>
    </w:pPr>
    <w:rPr>
      <w:kern w:val="0"/>
      <w:sz w:val="16"/>
      <w:szCs w:val="16"/>
    </w:rPr>
  </w:style>
  <w:style w:type="paragraph" w:customStyle="1" w:styleId="1107">
    <w:name w:val="xl176"/>
    <w:basedOn w:val="1"/>
    <w:qFormat/>
    <w:uiPriority w:val="99"/>
    <w:pPr>
      <w:pBdr>
        <w:top w:val="single" w:color="auto" w:sz="12" w:space="0"/>
        <w:left w:val="single" w:color="auto" w:sz="12" w:space="0"/>
      </w:pBdr>
      <w:spacing w:before="100" w:beforeAutospacing="1" w:after="100" w:afterAutospacing="1"/>
    </w:pPr>
    <w:rPr>
      <w:rFonts w:ascii="Arial Unicode MS" w:hAnsi="Arial Unicode MS"/>
      <w:kern w:val="0"/>
    </w:rPr>
  </w:style>
  <w:style w:type="paragraph" w:customStyle="1" w:styleId="1108">
    <w:name w:val="Char1 Char Char Char Char Char Char Char Char Char Char Char Char"/>
    <w:basedOn w:val="1"/>
    <w:next w:val="1"/>
    <w:qFormat/>
    <w:uiPriority w:val="99"/>
    <w:pPr>
      <w:keepNext/>
      <w:keepLines/>
      <w:adjustRightInd w:val="0"/>
      <w:spacing w:before="40" w:after="40" w:line="360" w:lineRule="auto"/>
      <w:ind w:firstLine="200" w:firstLineChars="200"/>
      <w:textAlignment w:val="baseline"/>
    </w:pPr>
    <w:rPr>
      <w:rFonts w:cs="宋体"/>
      <w:kern w:val="0"/>
      <w:sz w:val="24"/>
      <w:szCs w:val="28"/>
    </w:rPr>
  </w:style>
  <w:style w:type="paragraph" w:customStyle="1" w:styleId="1109">
    <w:name w:val="样式 样式3.4.1 + 段前: 0.5 行"/>
    <w:basedOn w:val="1104"/>
    <w:qFormat/>
    <w:uiPriority w:val="99"/>
    <w:pPr>
      <w:spacing w:beforeLines="0"/>
    </w:pPr>
    <w:rPr>
      <w:rFonts w:ascii="Times New Roman" w:hAnsi="Times New Roman" w:cs="宋体"/>
      <w:bCs/>
      <w:szCs w:val="20"/>
    </w:rPr>
  </w:style>
  <w:style w:type="paragraph" w:customStyle="1" w:styleId="1110">
    <w:name w:val="表标题"/>
    <w:basedOn w:val="1"/>
    <w:qFormat/>
    <w:uiPriority w:val="0"/>
    <w:pPr>
      <w:autoSpaceDE w:val="0"/>
      <w:autoSpaceDN w:val="0"/>
      <w:adjustRightInd w:val="0"/>
    </w:pPr>
    <w:rPr>
      <w:rFonts w:ascii="宋体"/>
      <w:color w:val="000000"/>
      <w:spacing w:val="-20"/>
      <w:kern w:val="0"/>
      <w:sz w:val="24"/>
      <w:szCs w:val="21"/>
    </w:rPr>
  </w:style>
  <w:style w:type="paragraph" w:customStyle="1" w:styleId="1111">
    <w:name w:val="xl81"/>
    <w:basedOn w:val="1"/>
    <w:qFormat/>
    <w:uiPriority w:val="0"/>
    <w:pPr>
      <w:pBdr>
        <w:left w:val="single" w:color="auto" w:sz="12" w:space="0"/>
        <w:bottom w:val="single" w:color="auto" w:sz="12" w:space="0"/>
        <w:right w:val="single" w:color="auto" w:sz="4" w:space="0"/>
      </w:pBdr>
      <w:spacing w:before="100" w:beforeAutospacing="1" w:after="100" w:afterAutospacing="1"/>
      <w:jc w:val="center"/>
    </w:pPr>
    <w:rPr>
      <w:rFonts w:ascii="Arial Unicode MS" w:hAnsi="Arial Unicode MS"/>
      <w:kern w:val="0"/>
      <w:sz w:val="12"/>
      <w:szCs w:val="12"/>
    </w:rPr>
  </w:style>
  <w:style w:type="paragraph" w:customStyle="1" w:styleId="1112">
    <w:name w:val="样式a"/>
    <w:basedOn w:val="1"/>
    <w:qFormat/>
    <w:uiPriority w:val="99"/>
    <w:pPr>
      <w:adjustRightInd w:val="0"/>
      <w:snapToGrid w:val="0"/>
      <w:spacing w:line="420" w:lineRule="exact"/>
      <w:ind w:firstLine="200" w:firstLineChars="200"/>
      <w:textAlignment w:val="baseline"/>
    </w:pPr>
    <w:rPr>
      <w:kern w:val="0"/>
      <w:sz w:val="24"/>
    </w:rPr>
  </w:style>
  <w:style w:type="paragraph" w:customStyle="1" w:styleId="1113">
    <w:name w:val="样式 标题 2节节标题 1.1H2（一）Underrubrik1prop2Heading 2 HiddenHea..."/>
    <w:basedOn w:val="4"/>
    <w:qFormat/>
    <w:uiPriority w:val="99"/>
    <w:pPr>
      <w:tabs>
        <w:tab w:val="left" w:pos="576"/>
      </w:tabs>
      <w:spacing w:before="156" w:beforeLines="50" w:after="0" w:line="360" w:lineRule="auto"/>
    </w:pPr>
    <w:rPr>
      <w:rFonts w:ascii="宋体" w:eastAsia="宋体" w:cs="宋体"/>
      <w:color w:val="000000"/>
      <w:sz w:val="30"/>
      <w:szCs w:val="20"/>
    </w:rPr>
  </w:style>
  <w:style w:type="paragraph" w:customStyle="1" w:styleId="1114">
    <w:name w:val="Char11"/>
    <w:basedOn w:val="1"/>
    <w:qFormat/>
    <w:uiPriority w:val="0"/>
    <w:pPr>
      <w:spacing w:line="360" w:lineRule="auto"/>
      <w:jc w:val="center"/>
    </w:pPr>
    <w:rPr>
      <w:rFonts w:ascii="宋体"/>
      <w:b/>
      <w:sz w:val="24"/>
    </w:rPr>
  </w:style>
  <w:style w:type="paragraph" w:customStyle="1" w:styleId="1115">
    <w:name w:val="样式1正文"/>
    <w:basedOn w:val="1"/>
    <w:qFormat/>
    <w:uiPriority w:val="99"/>
    <w:pPr>
      <w:spacing w:before="50" w:beforeLines="50" w:line="360" w:lineRule="auto"/>
      <w:ind w:firstLine="200" w:firstLineChars="200"/>
    </w:pPr>
    <w:rPr>
      <w:rFonts w:ascii="宋体" w:hAnsi="宋体"/>
      <w:sz w:val="24"/>
    </w:rPr>
  </w:style>
  <w:style w:type="paragraph" w:customStyle="1" w:styleId="1116">
    <w:name w:val="样式30"/>
    <w:basedOn w:val="1"/>
    <w:qFormat/>
    <w:uiPriority w:val="99"/>
    <w:pPr>
      <w:adjustRightInd w:val="0"/>
      <w:spacing w:line="300" w:lineRule="exact"/>
      <w:ind w:left="520"/>
      <w:jc w:val="center"/>
      <w:textAlignment w:val="baseline"/>
    </w:pPr>
    <w:rPr>
      <w:kern w:val="0"/>
      <w:szCs w:val="21"/>
    </w:rPr>
  </w:style>
  <w:style w:type="paragraph" w:customStyle="1" w:styleId="1117">
    <w:name w:val="报告书"/>
    <w:basedOn w:val="1"/>
    <w:qFormat/>
    <w:uiPriority w:val="0"/>
    <w:pPr>
      <w:spacing w:line="300" w:lineRule="auto"/>
      <w:ind w:firstLine="480" w:firstLineChars="200"/>
    </w:pPr>
    <w:rPr>
      <w:sz w:val="24"/>
    </w:rPr>
  </w:style>
  <w:style w:type="paragraph" w:customStyle="1" w:styleId="1118">
    <w:name w:val="xl180"/>
    <w:basedOn w:val="1"/>
    <w:qFormat/>
    <w:uiPriority w:val="99"/>
    <w:pPr>
      <w:pBdr>
        <w:left w:val="single" w:color="auto" w:sz="4" w:space="0"/>
        <w:right w:val="single" w:color="auto" w:sz="4"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119">
    <w:name w:val="包头表格"/>
    <w:basedOn w:val="1"/>
    <w:qFormat/>
    <w:uiPriority w:val="99"/>
    <w:pPr>
      <w:snapToGrid w:val="0"/>
      <w:jc w:val="center"/>
      <w:textAlignment w:val="baseline"/>
    </w:pPr>
    <w:rPr>
      <w:rFonts w:cs="宋体"/>
      <w:bCs/>
      <w:kern w:val="0"/>
      <w:szCs w:val="20"/>
    </w:rPr>
  </w:style>
  <w:style w:type="paragraph" w:customStyle="1" w:styleId="1120">
    <w:name w:val="2级"/>
    <w:basedOn w:val="4"/>
    <w:qFormat/>
    <w:uiPriority w:val="99"/>
    <w:pPr>
      <w:numPr>
        <w:ilvl w:val="1"/>
        <w:numId w:val="2"/>
      </w:numPr>
      <w:spacing w:before="120" w:beforeLines="50" w:after="120" w:afterLines="50" w:line="360" w:lineRule="auto"/>
    </w:pPr>
    <w:rPr>
      <w:rFonts w:ascii="Times New Roman" w:hAnsi="Times New Roman"/>
      <w:b w:val="0"/>
      <w:snapToGrid w:val="0"/>
      <w:kern w:val="0"/>
      <w:sz w:val="28"/>
      <w:szCs w:val="28"/>
    </w:rPr>
  </w:style>
  <w:style w:type="paragraph" w:customStyle="1" w:styleId="1121">
    <w:name w:val="样式 样式2.4.4 + 段前: 0.5 行"/>
    <w:basedOn w:val="1035"/>
    <w:qFormat/>
    <w:uiPriority w:val="99"/>
    <w:pPr>
      <w:tabs>
        <w:tab w:val="left" w:pos="0"/>
        <w:tab w:val="left" w:pos="2160"/>
      </w:tabs>
      <w:spacing w:before="120" w:beforeLines="0"/>
      <w:ind w:left="2160" w:hanging="420"/>
    </w:pPr>
    <w:rPr>
      <w:rFonts w:cs="宋体"/>
      <w:b/>
      <w:szCs w:val="20"/>
    </w:rPr>
  </w:style>
  <w:style w:type="paragraph" w:customStyle="1" w:styleId="1122">
    <w:name w:val="xl54"/>
    <w:basedOn w:val="1"/>
    <w:qFormat/>
    <w:uiPriority w:val="0"/>
    <w:pPr>
      <w:pBdr>
        <w:left w:val="single" w:color="auto" w:sz="4" w:space="0"/>
        <w:bottom w:val="single" w:color="auto" w:sz="12" w:space="0"/>
      </w:pBdr>
      <w:spacing w:before="100" w:beforeAutospacing="1" w:after="100" w:afterAutospacing="1"/>
    </w:pPr>
    <w:rPr>
      <w:rFonts w:ascii="Arial Unicode MS" w:hAnsi="Arial Unicode MS"/>
      <w:kern w:val="0"/>
      <w:sz w:val="16"/>
      <w:szCs w:val="16"/>
    </w:rPr>
  </w:style>
  <w:style w:type="paragraph" w:customStyle="1" w:styleId="1123">
    <w:name w:val="xl132"/>
    <w:basedOn w:val="1"/>
    <w:qFormat/>
    <w:uiPriority w:val="99"/>
    <w:pPr>
      <w:pBdr>
        <w:top w:val="single" w:color="auto" w:sz="12" w:space="0"/>
        <w:left w:val="single" w:color="auto" w:sz="4" w:space="0"/>
      </w:pBdr>
      <w:spacing w:before="100" w:beforeAutospacing="1" w:after="100" w:afterAutospacing="1"/>
    </w:pPr>
    <w:rPr>
      <w:rFonts w:ascii="Arial Unicode MS" w:hAnsi="Arial Unicode MS"/>
      <w:kern w:val="0"/>
      <w:sz w:val="16"/>
      <w:szCs w:val="16"/>
    </w:rPr>
  </w:style>
  <w:style w:type="paragraph" w:customStyle="1" w:styleId="1124">
    <w:name w:val="样式 小四 行距: 1.5 倍行距"/>
    <w:basedOn w:val="1"/>
    <w:qFormat/>
    <w:uiPriority w:val="0"/>
    <w:pPr>
      <w:jc w:val="center"/>
    </w:pPr>
    <w:rPr>
      <w:rFonts w:eastAsia="仿宋_GB2312" w:cs="宋体"/>
      <w:sz w:val="24"/>
      <w:szCs w:val="20"/>
    </w:rPr>
  </w:style>
  <w:style w:type="paragraph" w:customStyle="1" w:styleId="1125">
    <w:name w:val="样式 样式444 + 段前: 0.5 行"/>
    <w:basedOn w:val="855"/>
    <w:qFormat/>
    <w:uiPriority w:val="99"/>
    <w:pPr>
      <w:tabs>
        <w:tab w:val="left" w:pos="0"/>
        <w:tab w:val="left" w:pos="1760"/>
      </w:tabs>
      <w:spacing w:beforeLines="0"/>
      <w:ind w:left="1760" w:hanging="420"/>
    </w:pPr>
    <w:rPr>
      <w:rFonts w:cs="宋体"/>
      <w:bCs/>
      <w:szCs w:val="20"/>
    </w:rPr>
  </w:style>
  <w:style w:type="paragraph" w:customStyle="1" w:styleId="1126">
    <w:name w:val="环正文"/>
    <w:basedOn w:val="1"/>
    <w:qFormat/>
    <w:uiPriority w:val="99"/>
    <w:pPr>
      <w:tabs>
        <w:tab w:val="left" w:pos="5094"/>
      </w:tabs>
      <w:adjustRightInd w:val="0"/>
      <w:snapToGrid w:val="0"/>
      <w:spacing w:line="500" w:lineRule="exact"/>
      <w:ind w:firstLine="560" w:firstLineChars="200"/>
      <w:textAlignment w:val="baseline"/>
    </w:pPr>
    <w:rPr>
      <w:color w:val="FF00FF"/>
      <w:sz w:val="28"/>
      <w:szCs w:val="28"/>
    </w:rPr>
  </w:style>
  <w:style w:type="paragraph" w:customStyle="1" w:styleId="1127">
    <w:name w:val="xl104"/>
    <w:basedOn w:val="1"/>
    <w:qFormat/>
    <w:uiPriority w:val="0"/>
    <w:pPr>
      <w:spacing w:before="100" w:beforeAutospacing="1" w:after="100" w:afterAutospacing="1"/>
      <w:jc w:val="center"/>
      <w:textAlignment w:val="center"/>
    </w:pPr>
    <w:rPr>
      <w:rFonts w:ascii="Arial Unicode MS" w:hAnsi="Arial Unicode MS"/>
      <w:kern w:val="0"/>
      <w:sz w:val="12"/>
      <w:szCs w:val="12"/>
    </w:rPr>
  </w:style>
  <w:style w:type="paragraph" w:customStyle="1" w:styleId="1128">
    <w:name w:val="xl77"/>
    <w:basedOn w:val="1"/>
    <w:qFormat/>
    <w:uiPriority w:val="0"/>
    <w:pPr>
      <w:spacing w:before="100" w:beforeAutospacing="1" w:after="100" w:afterAutospacing="1"/>
    </w:pPr>
    <w:rPr>
      <w:rFonts w:ascii="Arial Unicode MS" w:hAnsi="Arial Unicode MS"/>
      <w:kern w:val="0"/>
      <w:sz w:val="12"/>
      <w:szCs w:val="12"/>
    </w:rPr>
  </w:style>
  <w:style w:type="paragraph" w:customStyle="1" w:styleId="1129">
    <w:name w:val="font7"/>
    <w:basedOn w:val="1"/>
    <w:qFormat/>
    <w:uiPriority w:val="0"/>
    <w:pPr>
      <w:spacing w:before="100" w:beforeAutospacing="1" w:after="100" w:afterAutospacing="1"/>
    </w:pPr>
    <w:rPr>
      <w:rFonts w:hint="eastAsia" w:ascii="宋体" w:hAnsi="宋体"/>
      <w:kern w:val="0"/>
      <w:sz w:val="12"/>
      <w:szCs w:val="12"/>
    </w:rPr>
  </w:style>
  <w:style w:type="paragraph" w:customStyle="1" w:styleId="1130">
    <w:name w:val="三级"/>
    <w:basedOn w:val="1"/>
    <w:link w:val="1473"/>
    <w:qFormat/>
    <w:uiPriority w:val="0"/>
    <w:pPr>
      <w:adjustRightInd w:val="0"/>
      <w:textAlignment w:val="baseline"/>
    </w:pPr>
    <w:rPr>
      <w:b/>
      <w:sz w:val="28"/>
      <w:szCs w:val="20"/>
      <w:lang w:val="zh-CN"/>
    </w:rPr>
  </w:style>
  <w:style w:type="paragraph" w:customStyle="1" w:styleId="1131">
    <w:name w:val="ZW Char Char Char"/>
    <w:basedOn w:val="1"/>
    <w:qFormat/>
    <w:uiPriority w:val="99"/>
    <w:pPr>
      <w:spacing w:before="62" w:beforeLines="20"/>
      <w:ind w:firstLine="200" w:firstLineChars="200"/>
    </w:pPr>
    <w:rPr>
      <w:sz w:val="24"/>
    </w:rPr>
  </w:style>
  <w:style w:type="paragraph" w:customStyle="1" w:styleId="1132">
    <w:name w:val="高段文"/>
    <w:basedOn w:val="1"/>
    <w:qFormat/>
    <w:uiPriority w:val="99"/>
    <w:pPr>
      <w:spacing w:line="300" w:lineRule="auto"/>
      <w:ind w:firstLine="200" w:firstLineChars="200"/>
    </w:pPr>
    <w:rPr>
      <w:rFonts w:ascii="Arial" w:hAnsi="Arial" w:eastAsia="楷体_GB2312"/>
      <w:sz w:val="28"/>
      <w:szCs w:val="28"/>
    </w:rPr>
  </w:style>
  <w:style w:type="paragraph" w:customStyle="1" w:styleId="1133">
    <w:name w:val="xl155"/>
    <w:basedOn w:val="1"/>
    <w:qFormat/>
    <w:uiPriority w:val="99"/>
    <w:pPr>
      <w:pBdr>
        <w:top w:val="single" w:color="auto" w:sz="4" w:space="0"/>
        <w:left w:val="single" w:color="auto" w:sz="4" w:space="0"/>
        <w:right w:val="single" w:color="auto" w:sz="4" w:space="0"/>
      </w:pBdr>
      <w:spacing w:before="100" w:beforeAutospacing="1" w:after="100" w:afterAutospacing="1"/>
    </w:pPr>
    <w:rPr>
      <w:rFonts w:ascii="Arial Unicode MS" w:hAnsi="Arial Unicode MS"/>
      <w:kern w:val="0"/>
      <w:sz w:val="20"/>
      <w:szCs w:val="20"/>
    </w:rPr>
  </w:style>
  <w:style w:type="paragraph" w:customStyle="1" w:styleId="1134">
    <w:name w:val="xl114"/>
    <w:basedOn w:val="1"/>
    <w:qFormat/>
    <w:uiPriority w:val="0"/>
    <w:pPr>
      <w:pBdr>
        <w:left w:val="single" w:color="auto" w:sz="8" w:space="0"/>
      </w:pBdr>
      <w:spacing w:before="100" w:beforeAutospacing="1" w:after="100" w:afterAutospacing="1"/>
    </w:pPr>
    <w:rPr>
      <w:rFonts w:ascii="Arial Unicode MS" w:hAnsi="Arial Unicode MS"/>
      <w:kern w:val="0"/>
      <w:sz w:val="16"/>
      <w:szCs w:val="16"/>
    </w:rPr>
  </w:style>
  <w:style w:type="paragraph" w:customStyle="1" w:styleId="1135">
    <w:name w:val="1.2.5"/>
    <w:basedOn w:val="6"/>
    <w:qFormat/>
    <w:uiPriority w:val="99"/>
    <w:pPr>
      <w:tabs>
        <w:tab w:val="left" w:pos="0"/>
        <w:tab w:val="left" w:pos="2160"/>
      </w:tabs>
      <w:ind w:left="2160" w:hanging="420"/>
    </w:pPr>
    <w:rPr>
      <w:rFonts w:ascii="宋体" w:hAnsi="Arial"/>
      <w:b w:val="0"/>
      <w:color w:val="000000"/>
      <w:szCs w:val="28"/>
    </w:rPr>
  </w:style>
  <w:style w:type="paragraph" w:customStyle="1" w:styleId="1136">
    <w:name w:val="表后文"/>
    <w:basedOn w:val="1"/>
    <w:qFormat/>
    <w:uiPriority w:val="99"/>
    <w:pPr>
      <w:adjustRightInd w:val="0"/>
      <w:spacing w:before="120" w:line="400" w:lineRule="exact"/>
      <w:ind w:firstLine="601"/>
      <w:textAlignment w:val="baseline"/>
    </w:pPr>
    <w:rPr>
      <w:rFonts w:eastAsia="楷体_GB2312"/>
      <w:spacing w:val="8"/>
      <w:kern w:val="0"/>
      <w:sz w:val="28"/>
      <w:szCs w:val="20"/>
    </w:rPr>
  </w:style>
  <w:style w:type="paragraph" w:customStyle="1" w:styleId="1137">
    <w:name w:val="我的样式（正文）"/>
    <w:basedOn w:val="1"/>
    <w:qFormat/>
    <w:uiPriority w:val="0"/>
    <w:pPr>
      <w:spacing w:line="440" w:lineRule="exact"/>
    </w:pPr>
    <w:rPr>
      <w:rFonts w:ascii="宋体"/>
      <w:sz w:val="28"/>
      <w:szCs w:val="20"/>
    </w:rPr>
  </w:style>
  <w:style w:type="paragraph" w:customStyle="1" w:styleId="1138">
    <w:name w:val="xl56"/>
    <w:basedOn w:val="1"/>
    <w:qFormat/>
    <w:uiPriority w:val="0"/>
    <w:pPr>
      <w:pBdr>
        <w:bottom w:val="single" w:color="auto" w:sz="12" w:space="0"/>
      </w:pBdr>
      <w:spacing w:before="100" w:beforeAutospacing="1" w:after="100" w:afterAutospacing="1"/>
      <w:textAlignment w:val="center"/>
    </w:pPr>
    <w:rPr>
      <w:rFonts w:ascii="Arial Unicode MS" w:hAnsi="Arial Unicode MS"/>
      <w:kern w:val="0"/>
      <w:sz w:val="12"/>
      <w:szCs w:val="12"/>
    </w:rPr>
  </w:style>
  <w:style w:type="paragraph" w:customStyle="1" w:styleId="1139">
    <w:name w:val="xl67"/>
    <w:basedOn w:val="1"/>
    <w:qFormat/>
    <w:uiPriority w:val="0"/>
    <w:pPr>
      <w:pBdr>
        <w:right w:val="single" w:color="auto" w:sz="4" w:space="0"/>
      </w:pBdr>
      <w:spacing w:before="100" w:beforeAutospacing="1" w:after="100" w:afterAutospacing="1"/>
      <w:jc w:val="center"/>
    </w:pPr>
    <w:rPr>
      <w:rFonts w:ascii="Arial Unicode MS" w:hAnsi="Arial Unicode MS"/>
      <w:kern w:val="0"/>
      <w:sz w:val="16"/>
      <w:szCs w:val="16"/>
    </w:rPr>
  </w:style>
  <w:style w:type="paragraph" w:customStyle="1" w:styleId="1140">
    <w:name w:val="样式 首行缩进:  0.99 厘米 行距: 1.5 倍行距2"/>
    <w:basedOn w:val="1"/>
    <w:qFormat/>
    <w:uiPriority w:val="99"/>
    <w:pPr>
      <w:adjustRightInd w:val="0"/>
      <w:snapToGrid w:val="0"/>
      <w:jc w:val="center"/>
    </w:pPr>
    <w:rPr>
      <w:rFonts w:ascii="宋体" w:hAnsi="宋体"/>
      <w:color w:val="FF0000"/>
      <w:szCs w:val="21"/>
    </w:rPr>
  </w:style>
  <w:style w:type="paragraph" w:customStyle="1" w:styleId="1141">
    <w:name w:val="样式 标题 1 +"/>
    <w:basedOn w:val="3"/>
    <w:qFormat/>
    <w:uiPriority w:val="99"/>
    <w:pPr>
      <w:tabs>
        <w:tab w:val="left" w:pos="420"/>
        <w:tab w:val="left" w:pos="450"/>
      </w:tabs>
      <w:spacing w:before="120" w:after="120" w:line="600" w:lineRule="exact"/>
      <w:ind w:firstLine="880" w:firstLineChars="200"/>
      <w:jc w:val="center"/>
    </w:pPr>
    <w:rPr>
      <w:rFonts w:ascii="仿宋_GB2312" w:hAnsi="Arial" w:eastAsia="Cambria" w:cs="Arial"/>
      <w:b w:val="0"/>
      <w:bCs w:val="0"/>
      <w:kern w:val="0"/>
      <w:lang w:val="zh-CN"/>
    </w:rPr>
  </w:style>
  <w:style w:type="paragraph" w:customStyle="1" w:styleId="1142">
    <w:name w:val="2.2.1.1"/>
    <w:basedOn w:val="1"/>
    <w:qFormat/>
    <w:uiPriority w:val="99"/>
    <w:pPr>
      <w:tabs>
        <w:tab w:val="left" w:pos="0"/>
        <w:tab w:val="left" w:pos="2040"/>
      </w:tabs>
      <w:spacing w:line="360" w:lineRule="auto"/>
      <w:ind w:left="2040" w:leftChars="800" w:hanging="360" w:firstLineChars="200"/>
    </w:pPr>
    <w:rPr>
      <w:rFonts w:ascii="宋体" w:hAnsi="宋体"/>
      <w:color w:val="000000"/>
      <w:sz w:val="24"/>
      <w:szCs w:val="21"/>
    </w:rPr>
  </w:style>
  <w:style w:type="paragraph" w:customStyle="1" w:styleId="1143">
    <w:name w:val="xl74"/>
    <w:basedOn w:val="1"/>
    <w:qFormat/>
    <w:uiPriority w:val="0"/>
    <w:pPr>
      <w:pBdr>
        <w:bottom w:val="single" w:color="auto" w:sz="12" w:space="0"/>
      </w:pBdr>
      <w:spacing w:before="100" w:beforeAutospacing="1" w:after="100" w:afterAutospacing="1"/>
    </w:pPr>
    <w:rPr>
      <w:rFonts w:ascii="Arial Unicode MS" w:hAnsi="Arial Unicode MS"/>
      <w:kern w:val="0"/>
      <w:sz w:val="12"/>
      <w:szCs w:val="12"/>
    </w:rPr>
  </w:style>
  <w:style w:type="paragraph" w:customStyle="1" w:styleId="1144">
    <w:name w:val="样式 样式15 + 段前: 0.5 行"/>
    <w:basedOn w:val="774"/>
    <w:qFormat/>
    <w:uiPriority w:val="99"/>
    <w:pPr>
      <w:shd w:val="clear" w:color="auto" w:fill="auto"/>
      <w:tabs>
        <w:tab w:val="left" w:pos="0"/>
        <w:tab w:val="left" w:pos="1680"/>
      </w:tabs>
      <w:spacing w:beforeLines="0"/>
      <w:ind w:left="1680" w:hanging="420"/>
    </w:pPr>
    <w:rPr>
      <w:rFonts w:ascii="Times New Roman" w:hAnsi="Times New Roman" w:cs="宋体"/>
      <w:b/>
      <w:szCs w:val="20"/>
    </w:rPr>
  </w:style>
  <w:style w:type="paragraph" w:customStyle="1" w:styleId="1145">
    <w:name w:val="xl32"/>
    <w:basedOn w:val="1"/>
    <w:qFormat/>
    <w:uiPriority w:val="0"/>
    <w:pPr>
      <w:pBdr>
        <w:top w:val="single" w:color="auto" w:sz="12" w:space="0"/>
        <w:left w:val="single" w:color="auto" w:sz="12" w:space="0"/>
      </w:pBdr>
      <w:spacing w:before="100" w:beforeAutospacing="1" w:after="100" w:afterAutospacing="1"/>
    </w:pPr>
    <w:rPr>
      <w:rFonts w:ascii="Arial Unicode MS" w:hAnsi="Arial Unicode MS"/>
      <w:kern w:val="0"/>
      <w:sz w:val="16"/>
      <w:szCs w:val="16"/>
    </w:rPr>
  </w:style>
  <w:style w:type="paragraph" w:customStyle="1" w:styleId="1146">
    <w:name w:val="Body Text 21"/>
    <w:basedOn w:val="1"/>
    <w:qFormat/>
    <w:uiPriority w:val="0"/>
    <w:pPr>
      <w:textAlignment w:val="baseline"/>
    </w:pPr>
    <w:rPr>
      <w:color w:val="000000"/>
      <w:sz w:val="24"/>
      <w:szCs w:val="20"/>
    </w:rPr>
  </w:style>
  <w:style w:type="paragraph" w:customStyle="1" w:styleId="1147">
    <w:name w:val="表 头"/>
    <w:basedOn w:val="1"/>
    <w:next w:val="1"/>
    <w:qFormat/>
    <w:uiPriority w:val="0"/>
    <w:pPr>
      <w:adjustRightInd w:val="0"/>
      <w:spacing w:before="120" w:after="120" w:line="360" w:lineRule="atLeast"/>
      <w:jc w:val="center"/>
    </w:pPr>
    <w:rPr>
      <w:rFonts w:eastAsia="黑体"/>
      <w:spacing w:val="10"/>
      <w:kern w:val="0"/>
      <w:sz w:val="24"/>
      <w:szCs w:val="20"/>
    </w:rPr>
  </w:style>
  <w:style w:type="paragraph" w:customStyle="1" w:styleId="1148">
    <w:name w:val="xl102"/>
    <w:basedOn w:val="1"/>
    <w:qFormat/>
    <w:uiPriority w:val="0"/>
    <w:pPr>
      <w:pBdr>
        <w:left w:val="single" w:color="auto" w:sz="4" w:space="0"/>
        <w:bottom w:val="single" w:color="auto" w:sz="12" w:space="0"/>
        <w:right w:val="single" w:color="auto" w:sz="12" w:space="0"/>
      </w:pBdr>
      <w:spacing w:before="100" w:beforeAutospacing="1" w:after="100" w:afterAutospacing="1"/>
      <w:jc w:val="center"/>
      <w:textAlignment w:val="center"/>
    </w:pPr>
    <w:rPr>
      <w:kern w:val="0"/>
      <w:sz w:val="12"/>
      <w:szCs w:val="12"/>
    </w:rPr>
  </w:style>
  <w:style w:type="paragraph" w:customStyle="1" w:styleId="1149">
    <w:name w:val="xl121"/>
    <w:basedOn w:val="1"/>
    <w:qFormat/>
    <w:uiPriority w:val="0"/>
    <w:pPr>
      <w:spacing w:before="100" w:beforeAutospacing="1" w:after="100" w:afterAutospacing="1"/>
    </w:pPr>
    <w:rPr>
      <w:rFonts w:ascii="Arial Unicode MS" w:hAnsi="Arial Unicode MS"/>
      <w:kern w:val="0"/>
      <w:sz w:val="16"/>
      <w:szCs w:val="16"/>
    </w:rPr>
  </w:style>
  <w:style w:type="paragraph" w:customStyle="1" w:styleId="1150">
    <w:name w:val="样式55"/>
    <w:basedOn w:val="1"/>
    <w:qFormat/>
    <w:uiPriority w:val="0"/>
    <w:pPr>
      <w:spacing w:before="156" w:beforeLines="50" w:after="156" w:afterLines="50" w:line="360" w:lineRule="auto"/>
      <w:ind w:firstLine="480" w:firstLineChars="200"/>
    </w:pPr>
    <w:rPr>
      <w:sz w:val="24"/>
    </w:rPr>
  </w:style>
  <w:style w:type="paragraph" w:customStyle="1" w:styleId="1151">
    <w:name w:val="表字五号"/>
    <w:basedOn w:val="1"/>
    <w:qFormat/>
    <w:uiPriority w:val="99"/>
    <w:pPr>
      <w:autoSpaceDE w:val="0"/>
      <w:autoSpaceDN w:val="0"/>
      <w:adjustRightInd w:val="0"/>
      <w:snapToGrid w:val="0"/>
      <w:spacing w:before="31" w:beforeLines="10" w:after="31" w:afterLines="10"/>
      <w:jc w:val="center"/>
      <w:textAlignment w:val="bottom"/>
    </w:pPr>
    <w:rPr>
      <w:kern w:val="0"/>
      <w:szCs w:val="20"/>
    </w:rPr>
  </w:style>
  <w:style w:type="paragraph" w:customStyle="1" w:styleId="1152">
    <w:name w:val="xl29"/>
    <w:basedOn w:val="1"/>
    <w:qFormat/>
    <w:uiPriority w:val="0"/>
    <w:pPr>
      <w:spacing w:before="100" w:beforeAutospacing="1" w:after="100" w:afterAutospacing="1"/>
    </w:pPr>
    <w:rPr>
      <w:rFonts w:eastAsia="Arial Unicode MS"/>
      <w:kern w:val="0"/>
      <w:sz w:val="24"/>
    </w:rPr>
  </w:style>
  <w:style w:type="paragraph" w:customStyle="1" w:styleId="1153">
    <w:name w:val="font6"/>
    <w:basedOn w:val="1"/>
    <w:qFormat/>
    <w:uiPriority w:val="0"/>
    <w:pPr>
      <w:spacing w:before="100" w:beforeAutospacing="1" w:after="100" w:afterAutospacing="1"/>
    </w:pPr>
    <w:rPr>
      <w:rFonts w:eastAsia="Arial Unicode MS"/>
      <w:kern w:val="0"/>
      <w:sz w:val="24"/>
    </w:rPr>
  </w:style>
  <w:style w:type="paragraph" w:customStyle="1" w:styleId="1154">
    <w:name w:val="xl103"/>
    <w:basedOn w:val="1"/>
    <w:qFormat/>
    <w:uiPriority w:val="0"/>
    <w:pPr>
      <w:pBdr>
        <w:left w:val="single" w:color="auto" w:sz="4" w:space="0"/>
        <w:right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155">
    <w:name w:val="样式 样式 样式4.1.2.1 + 段前: 0.5 行 + 段前: 0.5 行"/>
    <w:basedOn w:val="904"/>
    <w:qFormat/>
    <w:uiPriority w:val="0"/>
    <w:pPr>
      <w:tabs>
        <w:tab w:val="left" w:pos="2152"/>
      </w:tabs>
      <w:ind w:left="2152"/>
    </w:pPr>
    <w:rPr>
      <w:bCs/>
    </w:rPr>
  </w:style>
  <w:style w:type="paragraph" w:customStyle="1" w:styleId="1156">
    <w:name w:val="xl84"/>
    <w:basedOn w:val="1"/>
    <w:qFormat/>
    <w:uiPriority w:val="0"/>
    <w:pPr>
      <w:pBdr>
        <w:bottom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157">
    <w:name w:val="表格文本 小五 居中"/>
    <w:basedOn w:val="1"/>
    <w:qFormat/>
    <w:uiPriority w:val="99"/>
    <w:pPr>
      <w:adjustRightInd w:val="0"/>
      <w:snapToGrid w:val="0"/>
      <w:jc w:val="center"/>
    </w:pPr>
    <w:rPr>
      <w:rFonts w:cs="宋体"/>
      <w:szCs w:val="21"/>
    </w:rPr>
  </w:style>
  <w:style w:type="paragraph" w:customStyle="1" w:styleId="1158">
    <w:name w:val="xl117"/>
    <w:basedOn w:val="1"/>
    <w:qFormat/>
    <w:uiPriority w:val="0"/>
    <w:pPr>
      <w:pBdr>
        <w:left w:val="single" w:color="auto" w:sz="8" w:space="0"/>
      </w:pBdr>
      <w:spacing w:before="100" w:beforeAutospacing="1" w:after="100" w:afterAutospacing="1"/>
    </w:pPr>
    <w:rPr>
      <w:rFonts w:ascii="Arial Unicode MS" w:hAnsi="Arial Unicode MS"/>
      <w:kern w:val="0"/>
    </w:rPr>
  </w:style>
  <w:style w:type="paragraph" w:customStyle="1" w:styleId="1159">
    <w:name w:val="流程"/>
    <w:basedOn w:val="1"/>
    <w:qFormat/>
    <w:uiPriority w:val="99"/>
    <w:pPr>
      <w:topLinePunct/>
      <w:adjustRightInd w:val="0"/>
      <w:snapToGrid w:val="0"/>
      <w:jc w:val="center"/>
    </w:pPr>
    <w:rPr>
      <w:snapToGrid w:val="0"/>
      <w:kern w:val="0"/>
      <w:szCs w:val="20"/>
    </w:rPr>
  </w:style>
  <w:style w:type="paragraph" w:customStyle="1" w:styleId="1160">
    <w:name w:val="样式"/>
    <w:qFormat/>
    <w:uiPriority w:val="0"/>
    <w:pPr>
      <w:keepNext/>
      <w:keepLines/>
      <w:widowControl w:val="0"/>
      <w:adjustRightInd w:val="0"/>
      <w:spacing w:before="340" w:after="330" w:line="578" w:lineRule="atLeast"/>
      <w:jc w:val="both"/>
      <w:textAlignment w:val="baseline"/>
    </w:pPr>
    <w:rPr>
      <w:rFonts w:ascii="Times New Roman" w:hAnsi="Times New Roman" w:eastAsia="宋体" w:cs="Times New Roman"/>
      <w:b/>
      <w:sz w:val="24"/>
      <w:lang w:val="en-US" w:eastAsia="zh-CN" w:bidi="ar-SA"/>
    </w:rPr>
  </w:style>
  <w:style w:type="paragraph" w:customStyle="1" w:styleId="1161">
    <w:name w:val="小四+首行缩进"/>
    <w:basedOn w:val="1"/>
    <w:qFormat/>
    <w:uiPriority w:val="0"/>
    <w:pPr>
      <w:spacing w:line="360" w:lineRule="auto"/>
      <w:ind w:firstLine="482"/>
    </w:pPr>
    <w:rPr>
      <w:rFonts w:ascii="宋体" w:hAnsi="宋体"/>
      <w:sz w:val="24"/>
      <w:szCs w:val="20"/>
    </w:rPr>
  </w:style>
  <w:style w:type="paragraph" w:customStyle="1" w:styleId="1162">
    <w:name w:val="表格文字居中 Char"/>
    <w:basedOn w:val="86"/>
    <w:qFormat/>
    <w:uiPriority w:val="0"/>
    <w:pPr>
      <w:keepNext/>
      <w:tabs>
        <w:tab w:val="left" w:pos="628"/>
        <w:tab w:val="left" w:pos="1727"/>
        <w:tab w:val="left" w:pos="1884"/>
        <w:tab w:val="left" w:pos="2660"/>
        <w:tab w:val="left" w:pos="5460"/>
      </w:tabs>
      <w:spacing w:before="100" w:beforeAutospacing="1"/>
      <w:ind w:firstLine="0" w:firstLineChars="0"/>
      <w:jc w:val="center"/>
    </w:pPr>
    <w:rPr>
      <w:rFonts w:ascii="宋体"/>
      <w:bCs/>
      <w:color w:val="000000"/>
      <w:kern w:val="0"/>
      <w:sz w:val="24"/>
      <w:szCs w:val="20"/>
    </w:rPr>
  </w:style>
  <w:style w:type="paragraph" w:customStyle="1" w:styleId="1163">
    <w:name w:val="表内式样"/>
    <w:qFormat/>
    <w:uiPriority w:val="0"/>
    <w:pPr>
      <w:widowControl w:val="0"/>
      <w:spacing w:line="0" w:lineRule="atLeast"/>
      <w:jc w:val="center"/>
    </w:pPr>
    <w:rPr>
      <w:rFonts w:ascii="Times New Roman" w:hAnsi="Times New Roman" w:eastAsia="宋体" w:cs="Times New Roman"/>
      <w:kern w:val="2"/>
      <w:sz w:val="21"/>
      <w:lang w:val="en-US" w:eastAsia="zh-CN" w:bidi="ar-SA"/>
    </w:rPr>
  </w:style>
  <w:style w:type="paragraph" w:customStyle="1" w:styleId="1164">
    <w:name w:val="xl70"/>
    <w:basedOn w:val="1"/>
    <w:qFormat/>
    <w:uiPriority w:val="0"/>
    <w:pPr>
      <w:pBdr>
        <w:bottom w:val="single" w:color="auto" w:sz="12" w:space="0"/>
      </w:pBdr>
      <w:spacing w:before="100" w:beforeAutospacing="1" w:after="100" w:afterAutospacing="1"/>
      <w:textAlignment w:val="center"/>
    </w:pPr>
    <w:rPr>
      <w:rFonts w:ascii="Arial Unicode MS" w:hAnsi="Arial Unicode MS"/>
      <w:kern w:val="0"/>
      <w:sz w:val="12"/>
      <w:szCs w:val="12"/>
    </w:rPr>
  </w:style>
  <w:style w:type="paragraph" w:customStyle="1" w:styleId="1165">
    <w:name w:val="前言、引言标题"/>
    <w:next w:val="1"/>
    <w:qFormat/>
    <w:uiPriority w:val="0"/>
    <w:pPr>
      <w:shd w:val="clear" w:color="FFFFFF" w:fill="FFFFFF"/>
      <w:tabs>
        <w:tab w:val="left" w:pos="903"/>
      </w:tabs>
      <w:spacing w:before="640" w:after="560"/>
      <w:ind w:left="903" w:hanging="315"/>
      <w:jc w:val="center"/>
      <w:outlineLvl w:val="0"/>
    </w:pPr>
    <w:rPr>
      <w:rFonts w:ascii="黑体" w:hAnsi="Times New Roman" w:eastAsia="黑体" w:cs="Times New Roman"/>
      <w:sz w:val="32"/>
      <w:szCs w:val="32"/>
      <w:lang w:val="en-US" w:eastAsia="zh-CN" w:bidi="ar-SA"/>
    </w:rPr>
  </w:style>
  <w:style w:type="paragraph" w:customStyle="1" w:styleId="1166">
    <w:name w:val="样式 报告 + 首行缩进:  2 字符"/>
    <w:basedOn w:val="1"/>
    <w:qFormat/>
    <w:uiPriority w:val="99"/>
    <w:pPr>
      <w:overflowPunct w:val="0"/>
      <w:autoSpaceDE w:val="0"/>
      <w:autoSpaceDN w:val="0"/>
      <w:adjustRightInd w:val="0"/>
      <w:spacing w:before="120" w:after="120" w:line="400" w:lineRule="atLeast"/>
      <w:ind w:firstLine="480" w:firstLineChars="200"/>
      <w:textAlignment w:val="baseline"/>
    </w:pPr>
    <w:rPr>
      <w:kern w:val="0"/>
      <w:sz w:val="24"/>
      <w:szCs w:val="20"/>
    </w:rPr>
  </w:style>
  <w:style w:type="paragraph" w:customStyle="1" w:styleId="1167">
    <w:name w:val="Char Char Char1 Char Char Char Char Char Char Char Char Char Char Char Char Char Char Char Char Char Char Char"/>
    <w:basedOn w:val="1"/>
    <w:qFormat/>
    <w:uiPriority w:val="0"/>
    <w:rPr>
      <w:sz w:val="24"/>
    </w:rPr>
  </w:style>
  <w:style w:type="paragraph" w:customStyle="1" w:styleId="1168">
    <w:name w:val="xl122"/>
    <w:basedOn w:val="1"/>
    <w:qFormat/>
    <w:uiPriority w:val="0"/>
    <w:pPr>
      <w:pBdr>
        <w:left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169">
    <w:name w:val="样式 样式 样式 首行缩进:  2 字符 + 首行缩进:  2 字符 + 居中 行距: 单倍行距"/>
    <w:basedOn w:val="1"/>
    <w:qFormat/>
    <w:uiPriority w:val="99"/>
    <w:pPr>
      <w:jc w:val="center"/>
    </w:pPr>
    <w:rPr>
      <w:rFonts w:eastAsia="仿宋_GB2312"/>
      <w:sz w:val="24"/>
      <w:szCs w:val="20"/>
    </w:rPr>
  </w:style>
  <w:style w:type="paragraph" w:customStyle="1" w:styleId="1170">
    <w:name w:val="六表内容"/>
    <w:basedOn w:val="1"/>
    <w:qFormat/>
    <w:uiPriority w:val="99"/>
    <w:pPr>
      <w:spacing w:line="340" w:lineRule="exact"/>
      <w:jc w:val="center"/>
    </w:pPr>
    <w:rPr>
      <w:szCs w:val="21"/>
    </w:rPr>
  </w:style>
  <w:style w:type="paragraph" w:customStyle="1" w:styleId="1171">
    <w:name w:val="xl190"/>
    <w:basedOn w:val="1"/>
    <w:qFormat/>
    <w:uiPriority w:val="99"/>
    <w:pPr>
      <w:pBdr>
        <w:top w:val="single" w:color="auto" w:sz="12" w:space="0"/>
      </w:pBdr>
      <w:spacing w:before="100" w:beforeAutospacing="1" w:after="100" w:afterAutospacing="1"/>
      <w:textAlignment w:val="center"/>
    </w:pPr>
    <w:rPr>
      <w:rFonts w:ascii="Arial Unicode MS" w:hAnsi="Arial Unicode MS"/>
      <w:kern w:val="0"/>
      <w:sz w:val="12"/>
      <w:szCs w:val="12"/>
    </w:rPr>
  </w:style>
  <w:style w:type="paragraph" w:customStyle="1" w:styleId="1172">
    <w:name w:val="font9"/>
    <w:basedOn w:val="1"/>
    <w:qFormat/>
    <w:uiPriority w:val="0"/>
    <w:pPr>
      <w:spacing w:before="100" w:beforeAutospacing="1" w:after="100" w:afterAutospacing="1"/>
    </w:pPr>
    <w:rPr>
      <w:kern w:val="0"/>
      <w:sz w:val="24"/>
    </w:rPr>
  </w:style>
  <w:style w:type="paragraph" w:customStyle="1" w:styleId="1173">
    <w:name w:val="xl129"/>
    <w:basedOn w:val="1"/>
    <w:qFormat/>
    <w:uiPriority w:val="99"/>
    <w:pPr>
      <w:pBdr>
        <w:right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174">
    <w:name w:val="zxz5"/>
    <w:next w:val="1"/>
    <w:qFormat/>
    <w:uiPriority w:val="0"/>
    <w:pPr>
      <w:tabs>
        <w:tab w:val="left" w:pos="0"/>
      </w:tabs>
      <w:jc w:val="center"/>
    </w:pPr>
    <w:rPr>
      <w:rFonts w:ascii="宋体" w:hAnsi="宋体" w:eastAsia="Times New Roman" w:cs="宋体"/>
      <w:bCs/>
      <w:kern w:val="2"/>
      <w:sz w:val="18"/>
      <w:szCs w:val="18"/>
      <w:lang w:val="en-US" w:eastAsia="zh-CN" w:bidi="ar-SA"/>
    </w:rPr>
  </w:style>
  <w:style w:type="paragraph" w:customStyle="1" w:styleId="1175">
    <w:name w:val="普通 (Web)"/>
    <w:basedOn w:val="119"/>
    <w:next w:val="119"/>
    <w:qFormat/>
    <w:uiPriority w:val="0"/>
    <w:pPr>
      <w:spacing w:before="100" w:after="100"/>
    </w:pPr>
    <w:rPr>
      <w:rFonts w:ascii="宋体" w:hAnsi="Times New Roman" w:cs="Times New Roman"/>
      <w:color w:val="auto"/>
    </w:rPr>
  </w:style>
  <w:style w:type="paragraph" w:customStyle="1" w:styleId="1176">
    <w:name w:val="WW-普通 (Web)"/>
    <w:basedOn w:val="1"/>
    <w:qFormat/>
    <w:uiPriority w:val="99"/>
    <w:pPr>
      <w:suppressAutoHyphens/>
      <w:spacing w:before="100" w:after="100"/>
    </w:pPr>
    <w:rPr>
      <w:rFonts w:ascii="宋体" w:hAnsi="宋体"/>
      <w:kern w:val="17153"/>
      <w:sz w:val="24"/>
      <w:szCs w:val="20"/>
    </w:rPr>
  </w:style>
  <w:style w:type="paragraph" w:customStyle="1" w:styleId="1177">
    <w:name w:val="Char5"/>
    <w:basedOn w:val="1"/>
    <w:next w:val="1"/>
    <w:qFormat/>
    <w:uiPriority w:val="0"/>
    <w:pPr>
      <w:spacing w:line="240" w:lineRule="atLeast"/>
      <w:ind w:left="420" w:firstLine="420"/>
    </w:pPr>
  </w:style>
  <w:style w:type="paragraph" w:customStyle="1" w:styleId="1178">
    <w:name w:val="样式16"/>
    <w:basedOn w:val="1"/>
    <w:qFormat/>
    <w:uiPriority w:val="0"/>
    <w:pPr>
      <w:tabs>
        <w:tab w:val="left" w:pos="0"/>
        <w:tab w:val="left" w:pos="1200"/>
      </w:tabs>
      <w:spacing w:line="360" w:lineRule="auto"/>
      <w:ind w:left="1200" w:leftChars="400" w:hanging="360" w:firstLineChars="200"/>
    </w:pPr>
    <w:rPr>
      <w:rFonts w:ascii="宋体" w:hAnsi="宋体"/>
      <w:color w:val="000000"/>
      <w:sz w:val="24"/>
      <w:szCs w:val="21"/>
    </w:rPr>
  </w:style>
  <w:style w:type="paragraph" w:customStyle="1" w:styleId="1179">
    <w:name w:val="xl44"/>
    <w:basedOn w:val="1"/>
    <w:qFormat/>
    <w:uiPriority w:val="0"/>
    <w:pPr>
      <w:pBdr>
        <w:right w:val="single" w:color="auto" w:sz="12" w:space="0"/>
      </w:pBdr>
      <w:spacing w:before="100" w:beforeAutospacing="1" w:after="100" w:afterAutospacing="1"/>
    </w:pPr>
    <w:rPr>
      <w:rFonts w:ascii="Arial Unicode MS" w:hAnsi="Arial Unicode MS"/>
      <w:kern w:val="0"/>
      <w:sz w:val="16"/>
      <w:szCs w:val="16"/>
    </w:rPr>
  </w:style>
  <w:style w:type="paragraph" w:customStyle="1" w:styleId="1180">
    <w:name w:val="xl194"/>
    <w:basedOn w:val="1"/>
    <w:qFormat/>
    <w:uiPriority w:val="99"/>
    <w:pPr>
      <w:spacing w:before="100" w:beforeAutospacing="1" w:after="100" w:afterAutospacing="1"/>
      <w:jc w:val="center"/>
    </w:pPr>
    <w:rPr>
      <w:kern w:val="0"/>
      <w:sz w:val="16"/>
      <w:szCs w:val="16"/>
    </w:rPr>
  </w:style>
  <w:style w:type="paragraph" w:customStyle="1" w:styleId="1181">
    <w:name w:val="Char6"/>
    <w:basedOn w:val="1"/>
    <w:qFormat/>
    <w:uiPriority w:val="0"/>
    <w:pPr>
      <w:tabs>
        <w:tab w:val="left" w:pos="0"/>
      </w:tabs>
    </w:pPr>
    <w:rPr>
      <w:szCs w:val="21"/>
    </w:rPr>
  </w:style>
  <w:style w:type="paragraph" w:customStyle="1" w:styleId="1182">
    <w:name w:val="文本框"/>
    <w:basedOn w:val="1"/>
    <w:qFormat/>
    <w:uiPriority w:val="0"/>
    <w:pPr>
      <w:adjustRightInd w:val="0"/>
      <w:snapToGrid w:val="0"/>
      <w:spacing w:line="300" w:lineRule="exact"/>
      <w:jc w:val="center"/>
    </w:pPr>
    <w:rPr>
      <w:sz w:val="24"/>
    </w:rPr>
  </w:style>
  <w:style w:type="paragraph" w:customStyle="1" w:styleId="1183">
    <w:name w:val="xl30"/>
    <w:basedOn w:val="1"/>
    <w:qFormat/>
    <w:uiPriority w:val="0"/>
    <w:pPr>
      <w:spacing w:before="100" w:beforeAutospacing="1" w:after="100" w:afterAutospacing="1"/>
    </w:pPr>
    <w:rPr>
      <w:rFonts w:ascii="Arial Unicode MS" w:hAnsi="Arial Unicode MS"/>
      <w:kern w:val="0"/>
      <w:sz w:val="16"/>
      <w:szCs w:val="16"/>
    </w:rPr>
  </w:style>
  <w:style w:type="paragraph" w:customStyle="1" w:styleId="1184">
    <w:name w:val="xl95"/>
    <w:basedOn w:val="1"/>
    <w:qFormat/>
    <w:uiPriority w:val="0"/>
    <w:pPr>
      <w:spacing w:before="100" w:beforeAutospacing="1" w:after="100" w:afterAutospacing="1"/>
      <w:jc w:val="right"/>
    </w:pPr>
    <w:rPr>
      <w:rFonts w:ascii="Arial Unicode MS" w:hAnsi="Arial Unicode MS"/>
      <w:kern w:val="0"/>
      <w:sz w:val="12"/>
      <w:szCs w:val="12"/>
    </w:rPr>
  </w:style>
  <w:style w:type="paragraph" w:customStyle="1" w:styleId="1185">
    <w:name w:val="样式 样式 首行缩进:  2 字符1 + 首行缩进:  2 字符"/>
    <w:basedOn w:val="1"/>
    <w:qFormat/>
    <w:uiPriority w:val="99"/>
    <w:pPr>
      <w:spacing w:line="480" w:lineRule="exact"/>
      <w:ind w:firstLine="200" w:firstLineChars="200"/>
    </w:pPr>
    <w:rPr>
      <w:rFonts w:eastAsia="楷体_GB2312"/>
      <w:sz w:val="24"/>
      <w:szCs w:val="20"/>
    </w:rPr>
  </w:style>
  <w:style w:type="paragraph" w:customStyle="1" w:styleId="1186">
    <w:name w:val="xl31"/>
    <w:basedOn w:val="1"/>
    <w:qFormat/>
    <w:uiPriority w:val="0"/>
    <w:pPr>
      <w:pBdr>
        <w:bottom w:val="single" w:color="auto" w:sz="12" w:space="0"/>
      </w:pBdr>
      <w:spacing w:before="100" w:beforeAutospacing="1" w:after="100" w:afterAutospacing="1"/>
    </w:pPr>
    <w:rPr>
      <w:rFonts w:ascii="Arial Unicode MS" w:hAnsi="Arial Unicode MS"/>
      <w:kern w:val="0"/>
      <w:sz w:val="16"/>
      <w:szCs w:val="16"/>
    </w:rPr>
  </w:style>
  <w:style w:type="paragraph" w:customStyle="1" w:styleId="1187">
    <w:name w:val="表头 Char Char"/>
    <w:basedOn w:val="1"/>
    <w:qFormat/>
    <w:uiPriority w:val="0"/>
    <w:pPr>
      <w:tabs>
        <w:tab w:val="left" w:pos="540"/>
      </w:tabs>
      <w:spacing w:before="60" w:line="324" w:lineRule="auto"/>
      <w:jc w:val="center"/>
    </w:pPr>
    <w:rPr>
      <w:rFonts w:ascii="黑体" w:hAnsi="宋体" w:eastAsia="黑体"/>
      <w:color w:val="000000"/>
      <w:kern w:val="24"/>
      <w:sz w:val="24"/>
      <w:szCs w:val="20"/>
    </w:rPr>
  </w:style>
  <w:style w:type="paragraph" w:customStyle="1" w:styleId="1188">
    <w:name w:val="xl145"/>
    <w:basedOn w:val="1"/>
    <w:qFormat/>
    <w:uiPriority w:val="99"/>
    <w:pPr>
      <w:spacing w:before="100" w:beforeAutospacing="1" w:after="100" w:afterAutospacing="1"/>
    </w:pPr>
    <w:rPr>
      <w:rFonts w:ascii="Arial Unicode MS" w:hAnsi="Arial Unicode MS"/>
      <w:kern w:val="0"/>
      <w:sz w:val="16"/>
      <w:szCs w:val="16"/>
    </w:rPr>
  </w:style>
  <w:style w:type="paragraph" w:customStyle="1" w:styleId="1189">
    <w:name w:val="样式 正文文本缩进 + 行距: 固定值 24 磅"/>
    <w:basedOn w:val="35"/>
    <w:qFormat/>
    <w:uiPriority w:val="99"/>
    <w:pPr>
      <w:adjustRightInd w:val="0"/>
      <w:snapToGrid w:val="0"/>
      <w:ind w:firstLine="560"/>
    </w:pPr>
    <w:rPr>
      <w:rFonts w:ascii="Arial Unicode MS" w:hAnsi="Plotter" w:cs="Arial Unicode MS"/>
      <w:color w:val="auto"/>
    </w:rPr>
  </w:style>
  <w:style w:type="paragraph" w:customStyle="1" w:styleId="1190">
    <w:name w:val="xl165"/>
    <w:basedOn w:val="1"/>
    <w:qFormat/>
    <w:uiPriority w:val="99"/>
    <w:pPr>
      <w:pBdr>
        <w:top w:val="single" w:color="auto" w:sz="12" w:space="0"/>
        <w:right w:val="single" w:color="auto" w:sz="4" w:space="0"/>
      </w:pBdr>
      <w:spacing w:before="100" w:beforeAutospacing="1" w:after="100" w:afterAutospacing="1"/>
      <w:jc w:val="center"/>
      <w:textAlignment w:val="center"/>
    </w:pPr>
    <w:rPr>
      <w:rFonts w:ascii="Arial Unicode MS" w:hAnsi="Arial Unicode MS"/>
      <w:kern w:val="0"/>
    </w:rPr>
  </w:style>
  <w:style w:type="paragraph" w:customStyle="1" w:styleId="1191">
    <w:name w:val="xl110"/>
    <w:basedOn w:val="1"/>
    <w:qFormat/>
    <w:uiPriority w:val="0"/>
    <w:pPr>
      <w:pBdr>
        <w:top w:val="single" w:color="auto" w:sz="12" w:space="0"/>
        <w:bottom w:val="single" w:color="auto" w:sz="8" w:space="0"/>
      </w:pBdr>
      <w:spacing w:before="100" w:beforeAutospacing="1" w:after="100" w:afterAutospacing="1"/>
      <w:jc w:val="center"/>
      <w:textAlignment w:val="center"/>
    </w:pPr>
    <w:rPr>
      <w:rFonts w:ascii="Arial Unicode MS" w:hAnsi="Arial Unicode MS"/>
      <w:kern w:val="0"/>
    </w:rPr>
  </w:style>
  <w:style w:type="paragraph" w:customStyle="1" w:styleId="1192">
    <w:name w:val="流程1"/>
    <w:basedOn w:val="1"/>
    <w:qFormat/>
    <w:uiPriority w:val="99"/>
    <w:pPr>
      <w:topLinePunct/>
      <w:adjustRightInd w:val="0"/>
      <w:snapToGrid w:val="0"/>
      <w:jc w:val="center"/>
    </w:pPr>
    <w:rPr>
      <w:snapToGrid w:val="0"/>
      <w:kern w:val="0"/>
      <w:sz w:val="18"/>
      <w:szCs w:val="20"/>
    </w:rPr>
  </w:style>
  <w:style w:type="paragraph" w:customStyle="1" w:styleId="1193">
    <w:name w:val="MFS正文 Char"/>
    <w:basedOn w:val="86"/>
    <w:qFormat/>
    <w:uiPriority w:val="0"/>
    <w:pPr>
      <w:spacing w:before="93"/>
      <w:ind w:firstLine="200" w:firstLineChars="200"/>
    </w:pPr>
    <w:rPr>
      <w:rFonts w:eastAsia="楷体_GB2312"/>
      <w:sz w:val="24"/>
    </w:rPr>
  </w:style>
  <w:style w:type="paragraph" w:customStyle="1" w:styleId="1194">
    <w:name w:val="xl91"/>
    <w:basedOn w:val="1"/>
    <w:qFormat/>
    <w:uiPriority w:val="0"/>
    <w:pPr>
      <w:pBdr>
        <w:bottom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195">
    <w:name w:val="标题正4"/>
    <w:basedOn w:val="1"/>
    <w:qFormat/>
    <w:uiPriority w:val="99"/>
    <w:pPr>
      <w:jc w:val="center"/>
    </w:pPr>
    <w:rPr>
      <w:rFonts w:ascii="仿宋_GB2312" w:eastAsia="仿宋_GB2312"/>
      <w:color w:val="000000"/>
    </w:rPr>
  </w:style>
  <w:style w:type="paragraph" w:customStyle="1" w:styleId="1196">
    <w:name w:val="2.2.1"/>
    <w:basedOn w:val="6"/>
    <w:qFormat/>
    <w:uiPriority w:val="99"/>
    <w:pPr>
      <w:tabs>
        <w:tab w:val="left" w:pos="0"/>
        <w:tab w:val="left" w:pos="1200"/>
      </w:tabs>
      <w:ind w:left="1200" w:leftChars="400" w:hanging="360" w:hangingChars="200"/>
    </w:pPr>
    <w:rPr>
      <w:rFonts w:ascii="宋体" w:hAnsi="Arial"/>
      <w:b w:val="0"/>
      <w:color w:val="000000"/>
      <w:szCs w:val="28"/>
    </w:rPr>
  </w:style>
  <w:style w:type="paragraph" w:customStyle="1" w:styleId="1197">
    <w:name w:val="大华农正文"/>
    <w:basedOn w:val="1"/>
    <w:qFormat/>
    <w:uiPriority w:val="99"/>
    <w:pPr>
      <w:spacing w:line="360" w:lineRule="auto"/>
      <w:ind w:firstLine="200" w:firstLineChars="200"/>
    </w:pPr>
    <w:rPr>
      <w:rFonts w:cs="宋体"/>
      <w:sz w:val="24"/>
      <w:szCs w:val="20"/>
    </w:rPr>
  </w:style>
  <w:style w:type="paragraph" w:customStyle="1" w:styleId="1198">
    <w:name w:val="xl160"/>
    <w:basedOn w:val="1"/>
    <w:qFormat/>
    <w:uiPriority w:val="99"/>
    <w:pPr>
      <w:spacing w:before="100" w:beforeAutospacing="1" w:after="100" w:afterAutospacing="1"/>
      <w:jc w:val="center"/>
      <w:textAlignment w:val="center"/>
    </w:pPr>
    <w:rPr>
      <w:rFonts w:ascii="Arial Unicode MS" w:hAnsi="Arial Unicode MS"/>
      <w:kern w:val="0"/>
    </w:rPr>
  </w:style>
  <w:style w:type="paragraph" w:customStyle="1" w:styleId="1199">
    <w:name w:val="xl88"/>
    <w:basedOn w:val="1"/>
    <w:qFormat/>
    <w:uiPriority w:val="0"/>
    <w:pPr>
      <w:pBdr>
        <w:bottom w:val="single" w:color="auto" w:sz="12" w:space="0"/>
      </w:pBdr>
      <w:spacing w:before="100" w:beforeAutospacing="1" w:after="100" w:afterAutospacing="1"/>
      <w:jc w:val="center"/>
      <w:textAlignment w:val="center"/>
    </w:pPr>
    <w:rPr>
      <w:rFonts w:ascii="Arial Unicode MS" w:hAnsi="Arial Unicode MS"/>
      <w:kern w:val="0"/>
      <w:sz w:val="12"/>
      <w:szCs w:val="12"/>
    </w:rPr>
  </w:style>
  <w:style w:type="paragraph" w:customStyle="1" w:styleId="1200">
    <w:name w:val="样式 首行缩进:  2 字符2"/>
    <w:basedOn w:val="1"/>
    <w:qFormat/>
    <w:uiPriority w:val="99"/>
    <w:pPr>
      <w:spacing w:line="480" w:lineRule="exact"/>
      <w:ind w:firstLine="200" w:firstLineChars="200"/>
    </w:pPr>
    <w:rPr>
      <w:rFonts w:eastAsia="楷体_GB2312"/>
      <w:sz w:val="24"/>
      <w:szCs w:val="20"/>
    </w:rPr>
  </w:style>
  <w:style w:type="paragraph" w:customStyle="1" w:styleId="1201">
    <w:name w:val="封面"/>
    <w:basedOn w:val="1"/>
    <w:qFormat/>
    <w:uiPriority w:val="0"/>
    <w:pPr>
      <w:adjustRightInd w:val="0"/>
      <w:spacing w:before="60" w:line="360" w:lineRule="auto"/>
      <w:ind w:firstLine="482"/>
      <w:jc w:val="center"/>
      <w:textAlignment w:val="baseline"/>
    </w:pPr>
    <w:rPr>
      <w:rFonts w:ascii="Arial" w:hAnsi="Arial" w:eastAsia="仿宋_GB2312"/>
      <w:b/>
      <w:kern w:val="0"/>
      <w:sz w:val="30"/>
      <w:szCs w:val="20"/>
    </w:rPr>
  </w:style>
  <w:style w:type="paragraph" w:customStyle="1" w:styleId="1202">
    <w:name w:val="Char Char Char Char Char Char3"/>
    <w:basedOn w:val="1"/>
    <w:qFormat/>
    <w:uiPriority w:val="99"/>
    <w:rPr>
      <w:rFonts w:ascii="宋体" w:hAnsi="宋体"/>
      <w:sz w:val="24"/>
    </w:rPr>
  </w:style>
  <w:style w:type="paragraph" w:customStyle="1" w:styleId="1203">
    <w:name w:val="xl133"/>
    <w:basedOn w:val="1"/>
    <w:qFormat/>
    <w:uiPriority w:val="99"/>
    <w:pPr>
      <w:pBdr>
        <w:right w:val="single" w:color="auto" w:sz="4" w:space="0"/>
      </w:pBdr>
      <w:spacing w:before="100" w:beforeAutospacing="1" w:after="100" w:afterAutospacing="1"/>
      <w:jc w:val="center"/>
    </w:pPr>
    <w:rPr>
      <w:rFonts w:ascii="Arial Unicode MS" w:hAnsi="Arial Unicode MS"/>
      <w:kern w:val="0"/>
      <w:sz w:val="12"/>
      <w:szCs w:val="12"/>
    </w:rPr>
  </w:style>
  <w:style w:type="paragraph" w:customStyle="1" w:styleId="1204">
    <w:name w:val="xl25"/>
    <w:basedOn w:val="1"/>
    <w:qFormat/>
    <w:uiPriority w:val="0"/>
    <w:pPr>
      <w:spacing w:before="100" w:beforeAutospacing="1" w:after="100" w:afterAutospacing="1"/>
    </w:pPr>
    <w:rPr>
      <w:kern w:val="0"/>
      <w:sz w:val="24"/>
    </w:rPr>
  </w:style>
  <w:style w:type="paragraph" w:customStyle="1" w:styleId="1205">
    <w:name w:val="默认段落字体 Para Char Char Char Char"/>
    <w:basedOn w:val="1"/>
    <w:qFormat/>
    <w:uiPriority w:val="0"/>
    <w:rPr>
      <w:sz w:val="24"/>
    </w:rPr>
  </w:style>
  <w:style w:type="paragraph" w:customStyle="1" w:styleId="1206">
    <w:name w:val="正文文本缩进 21"/>
    <w:basedOn w:val="1"/>
    <w:link w:val="2875"/>
    <w:qFormat/>
    <w:uiPriority w:val="0"/>
    <w:pPr>
      <w:adjustRightInd w:val="0"/>
      <w:spacing w:line="360" w:lineRule="auto"/>
      <w:ind w:firstLine="480"/>
      <w:textAlignment w:val="baseline"/>
    </w:pPr>
    <w:rPr>
      <w:rFonts w:ascii="宋体"/>
      <w:kern w:val="0"/>
      <w:sz w:val="24"/>
      <w:szCs w:val="20"/>
    </w:rPr>
  </w:style>
  <w:style w:type="paragraph" w:customStyle="1" w:styleId="1207">
    <w:name w:val="1"/>
    <w:basedOn w:val="1"/>
    <w:next w:val="51"/>
    <w:qFormat/>
    <w:uiPriority w:val="0"/>
    <w:pPr>
      <w:spacing w:line="360" w:lineRule="auto"/>
      <w:ind w:firstLine="520" w:firstLineChars="200"/>
    </w:pPr>
    <w:rPr>
      <w:spacing w:val="10"/>
      <w:sz w:val="24"/>
      <w:szCs w:val="20"/>
    </w:rPr>
  </w:style>
  <w:style w:type="paragraph" w:customStyle="1" w:styleId="1208">
    <w:name w:val="下划线"/>
    <w:basedOn w:val="1"/>
    <w:next w:val="1"/>
    <w:qFormat/>
    <w:uiPriority w:val="99"/>
    <w:pPr>
      <w:spacing w:line="240" w:lineRule="exact"/>
      <w:jc w:val="center"/>
    </w:pPr>
    <w:rPr>
      <w:sz w:val="18"/>
      <w:szCs w:val="18"/>
    </w:rPr>
  </w:style>
  <w:style w:type="paragraph" w:customStyle="1" w:styleId="1209">
    <w:name w:val="标题 32"/>
    <w:basedOn w:val="1"/>
    <w:next w:val="1"/>
    <w:qFormat/>
    <w:uiPriority w:val="0"/>
    <w:pPr>
      <w:keepNext/>
      <w:keepLines/>
      <w:adjustRightInd w:val="0"/>
      <w:snapToGrid w:val="0"/>
      <w:spacing w:before="156" w:beforeLines="50" w:after="120" w:line="400" w:lineRule="atLeast"/>
      <w:outlineLvl w:val="2"/>
    </w:pPr>
    <w:rPr>
      <w:b/>
      <w:spacing w:val="4"/>
      <w:sz w:val="24"/>
    </w:rPr>
  </w:style>
  <w:style w:type="paragraph" w:customStyle="1" w:styleId="1210">
    <w:name w:val="xl26"/>
    <w:basedOn w:val="1"/>
    <w:link w:val="2659"/>
    <w:qFormat/>
    <w:uiPriority w:val="0"/>
    <w:pPr>
      <w:spacing w:before="100" w:beforeAutospacing="1" w:after="100" w:afterAutospacing="1"/>
    </w:pPr>
    <w:rPr>
      <w:rFonts w:ascii="Arial Unicode MS" w:hAnsi="Arial Unicode MS"/>
      <w:color w:val="FF0000"/>
      <w:kern w:val="0"/>
      <w:sz w:val="24"/>
    </w:rPr>
  </w:style>
  <w:style w:type="paragraph" w:customStyle="1" w:styleId="1211">
    <w:name w:val="图形中文字"/>
    <w:basedOn w:val="1"/>
    <w:qFormat/>
    <w:uiPriority w:val="99"/>
    <w:pPr>
      <w:autoSpaceDE w:val="0"/>
      <w:autoSpaceDN w:val="0"/>
      <w:adjustRightInd w:val="0"/>
      <w:spacing w:line="460" w:lineRule="exact"/>
      <w:jc w:val="center"/>
    </w:pPr>
    <w:rPr>
      <w:rFonts w:ascii="宋体" w:hAnsi="Tms Rmn"/>
      <w:kern w:val="0"/>
      <w:sz w:val="24"/>
      <w:szCs w:val="20"/>
    </w:rPr>
  </w:style>
  <w:style w:type="paragraph" w:customStyle="1" w:styleId="1212">
    <w:name w:val="MTDisplayEquation"/>
    <w:basedOn w:val="4"/>
    <w:link w:val="2515"/>
    <w:qFormat/>
    <w:uiPriority w:val="0"/>
    <w:pPr>
      <w:tabs>
        <w:tab w:val="center" w:pos="4160"/>
      </w:tabs>
      <w:snapToGrid w:val="0"/>
      <w:spacing w:before="156" w:beforeLines="50" w:after="0" w:line="360" w:lineRule="auto"/>
    </w:pPr>
    <w:rPr>
      <w:rFonts w:ascii="Times New Roman" w:hAnsi="Times New Roman" w:eastAsia="宋体"/>
      <w:b w:val="0"/>
      <w:sz w:val="30"/>
      <w:szCs w:val="30"/>
    </w:rPr>
  </w:style>
  <w:style w:type="paragraph" w:customStyle="1" w:styleId="1213">
    <w:name w:val="xl109"/>
    <w:basedOn w:val="1"/>
    <w:qFormat/>
    <w:uiPriority w:val="0"/>
    <w:pPr>
      <w:pBdr>
        <w:top w:val="single" w:color="auto" w:sz="12" w:space="0"/>
        <w:bottom w:val="single" w:color="auto" w:sz="8" w:space="0"/>
      </w:pBdr>
      <w:spacing w:before="100" w:beforeAutospacing="1" w:after="100" w:afterAutospacing="1"/>
      <w:jc w:val="center"/>
      <w:textAlignment w:val="center"/>
    </w:pPr>
    <w:rPr>
      <w:rFonts w:ascii="Arial Unicode MS" w:hAnsi="Arial Unicode MS"/>
      <w:kern w:val="0"/>
      <w:sz w:val="16"/>
      <w:szCs w:val="16"/>
    </w:rPr>
  </w:style>
  <w:style w:type="paragraph" w:customStyle="1" w:styleId="1214">
    <w:name w:val="xl105"/>
    <w:basedOn w:val="1"/>
    <w:qFormat/>
    <w:uiPriority w:val="0"/>
    <w:pPr>
      <w:spacing w:before="100" w:beforeAutospacing="1" w:after="100" w:afterAutospacing="1"/>
      <w:jc w:val="center"/>
      <w:textAlignment w:val="center"/>
    </w:pPr>
    <w:rPr>
      <w:rFonts w:ascii="Arial Unicode MS" w:hAnsi="Arial Unicode MS"/>
      <w:kern w:val="0"/>
    </w:rPr>
  </w:style>
  <w:style w:type="paragraph" w:customStyle="1" w:styleId="1215">
    <w:name w:val="表的格式（小四）"/>
    <w:basedOn w:val="1"/>
    <w:qFormat/>
    <w:uiPriority w:val="99"/>
    <w:pPr>
      <w:adjustRightInd w:val="0"/>
      <w:spacing w:line="360" w:lineRule="atLeast"/>
      <w:jc w:val="center"/>
    </w:pPr>
    <w:rPr>
      <w:kern w:val="0"/>
      <w:sz w:val="24"/>
      <w:szCs w:val="20"/>
    </w:rPr>
  </w:style>
  <w:style w:type="paragraph" w:customStyle="1" w:styleId="1216">
    <w:name w:val="xl195"/>
    <w:basedOn w:val="1"/>
    <w:qFormat/>
    <w:uiPriority w:val="99"/>
    <w:pPr>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kern w:val="0"/>
    </w:rPr>
  </w:style>
  <w:style w:type="paragraph" w:customStyle="1" w:styleId="1217">
    <w:name w:val="dandan6-13正文 Char Char Char"/>
    <w:basedOn w:val="1"/>
    <w:next w:val="1"/>
    <w:qFormat/>
    <w:uiPriority w:val="99"/>
    <w:pPr>
      <w:keepNext/>
      <w:keepLines/>
      <w:adjustRightInd w:val="0"/>
      <w:spacing w:before="40" w:after="40" w:line="360" w:lineRule="auto"/>
      <w:ind w:firstLine="200" w:firstLineChars="200"/>
      <w:textAlignment w:val="baseline"/>
    </w:pPr>
    <w:rPr>
      <w:rFonts w:cs="宋体"/>
      <w:kern w:val="0"/>
      <w:sz w:val="24"/>
      <w:szCs w:val="28"/>
    </w:rPr>
  </w:style>
  <w:style w:type="paragraph" w:customStyle="1" w:styleId="1218">
    <w:name w:val="样式 样式 首行缩进:  2 字符 + 首行缩进:  2 字符"/>
    <w:basedOn w:val="1"/>
    <w:qFormat/>
    <w:uiPriority w:val="0"/>
    <w:pPr>
      <w:spacing w:line="500" w:lineRule="exact"/>
      <w:ind w:firstLine="200" w:firstLineChars="200"/>
    </w:pPr>
    <w:rPr>
      <w:rFonts w:cs="宋体"/>
      <w:spacing w:val="30"/>
      <w:sz w:val="28"/>
      <w:szCs w:val="20"/>
    </w:rPr>
  </w:style>
  <w:style w:type="paragraph" w:customStyle="1" w:styleId="1219">
    <w:name w:val="00000000000000"/>
    <w:basedOn w:val="1"/>
    <w:qFormat/>
    <w:uiPriority w:val="99"/>
    <w:pPr>
      <w:adjustRightInd w:val="0"/>
      <w:snapToGrid w:val="0"/>
      <w:spacing w:line="360" w:lineRule="auto"/>
      <w:ind w:firstLine="480" w:firstLineChars="200"/>
    </w:pPr>
    <w:rPr>
      <w:rFonts w:ascii="宋体" w:hAnsi="宋体"/>
      <w:bCs/>
      <w:kern w:val="18"/>
      <w:sz w:val="24"/>
      <w:szCs w:val="21"/>
    </w:rPr>
  </w:style>
  <w:style w:type="paragraph" w:customStyle="1" w:styleId="1220">
    <w:name w:val="公用工程"/>
    <w:basedOn w:val="6"/>
    <w:qFormat/>
    <w:uiPriority w:val="99"/>
    <w:pPr>
      <w:tabs>
        <w:tab w:val="left" w:pos="0"/>
        <w:tab w:val="left" w:pos="2040"/>
      </w:tabs>
      <w:ind w:left="2040" w:leftChars="800" w:hanging="360" w:hangingChars="200"/>
    </w:pPr>
    <w:rPr>
      <w:rFonts w:ascii="宋体" w:hAnsi="Arial"/>
      <w:b w:val="0"/>
      <w:color w:val="000000"/>
      <w:szCs w:val="28"/>
    </w:rPr>
  </w:style>
  <w:style w:type="paragraph" w:customStyle="1" w:styleId="1221">
    <w:name w:val="样式 标题 1H1一、ChChapter HeadingIBM Section Head-*+章标题 11.标题..."/>
    <w:basedOn w:val="3"/>
    <w:qFormat/>
    <w:uiPriority w:val="99"/>
    <w:pPr>
      <w:keepLines w:val="0"/>
      <w:spacing w:before="156" w:beforeLines="50" w:after="0" w:line="360" w:lineRule="auto"/>
      <w:jc w:val="center"/>
    </w:pPr>
    <w:rPr>
      <w:kern w:val="2"/>
      <w:sz w:val="32"/>
      <w:szCs w:val="21"/>
    </w:rPr>
  </w:style>
  <w:style w:type="paragraph" w:customStyle="1" w:styleId="1222">
    <w:name w:val="xl198"/>
    <w:basedOn w:val="1"/>
    <w:qFormat/>
    <w:uiPriority w:val="99"/>
    <w:pPr>
      <w:pBdr>
        <w:bottom w:val="single" w:color="auto" w:sz="8" w:space="0"/>
      </w:pBdr>
      <w:spacing w:before="100" w:beforeAutospacing="1" w:after="100" w:afterAutospacing="1"/>
      <w:jc w:val="center"/>
    </w:pPr>
    <w:rPr>
      <w:rFonts w:ascii="Arial Unicode MS" w:hAnsi="Arial Unicode MS"/>
      <w:kern w:val="0"/>
      <w:sz w:val="16"/>
      <w:szCs w:val="16"/>
    </w:rPr>
  </w:style>
  <w:style w:type="paragraph" w:customStyle="1" w:styleId="1223">
    <w:name w:val="图注"/>
    <w:basedOn w:val="1"/>
    <w:next w:val="1"/>
    <w:link w:val="2319"/>
    <w:qFormat/>
    <w:uiPriority w:val="34"/>
    <w:pPr>
      <w:spacing w:before="120" w:line="320" w:lineRule="atLeast"/>
      <w:ind w:left="7" w:leftChars="-27" w:hanging="72" w:hangingChars="30"/>
      <w:jc w:val="center"/>
    </w:pPr>
    <w:rPr>
      <w:rFonts w:ascii="宋体" w:hAnsi="宋体"/>
      <w:bCs/>
      <w:color w:val="000000"/>
      <w:kern w:val="0"/>
      <w:sz w:val="24"/>
    </w:rPr>
  </w:style>
  <w:style w:type="paragraph" w:customStyle="1" w:styleId="1224">
    <w:name w:val="BGWZ2"/>
    <w:basedOn w:val="1"/>
    <w:qFormat/>
    <w:uiPriority w:val="99"/>
    <w:pPr>
      <w:snapToGrid w:val="0"/>
      <w:spacing w:line="300" w:lineRule="exact"/>
      <w:jc w:val="center"/>
    </w:pPr>
    <w:rPr>
      <w:snapToGrid w:val="0"/>
      <w:kern w:val="0"/>
      <w:sz w:val="18"/>
      <w:szCs w:val="21"/>
      <w:lang w:eastAsia="zh-TW"/>
    </w:rPr>
  </w:style>
  <w:style w:type="paragraph" w:customStyle="1" w:styleId="1225">
    <w:name w:val="居中正文"/>
    <w:basedOn w:val="86"/>
    <w:qFormat/>
    <w:uiPriority w:val="99"/>
    <w:pPr>
      <w:spacing w:before="120"/>
      <w:ind w:firstLine="0" w:firstLineChars="0"/>
      <w:jc w:val="center"/>
    </w:pPr>
    <w:rPr>
      <w:rFonts w:ascii="宋体"/>
      <w:kern w:val="28"/>
      <w:sz w:val="24"/>
    </w:rPr>
  </w:style>
  <w:style w:type="paragraph" w:customStyle="1" w:styleId="1226">
    <w:name w:val="样式11.1.1.1"/>
    <w:basedOn w:val="998"/>
    <w:qFormat/>
    <w:uiPriority w:val="99"/>
    <w:pPr>
      <w:tabs>
        <w:tab w:val="left" w:pos="2162"/>
      </w:tabs>
      <w:ind w:left="2162"/>
      <w:outlineLvl w:val="3"/>
    </w:pPr>
    <w:rPr>
      <w:sz w:val="24"/>
    </w:rPr>
  </w:style>
  <w:style w:type="paragraph" w:customStyle="1" w:styleId="1227">
    <w:name w:val="xl123"/>
    <w:basedOn w:val="1"/>
    <w:qFormat/>
    <w:uiPriority w:val="0"/>
    <w:pPr>
      <w:pBdr>
        <w:top w:val="single" w:color="auto" w:sz="8" w:space="0"/>
      </w:pBdr>
      <w:spacing w:before="100" w:beforeAutospacing="1" w:after="100" w:afterAutospacing="1"/>
    </w:pPr>
    <w:rPr>
      <w:rFonts w:ascii="Arial Unicode MS" w:hAnsi="Arial Unicode MS"/>
      <w:kern w:val="0"/>
      <w:sz w:val="16"/>
      <w:szCs w:val="16"/>
    </w:rPr>
  </w:style>
  <w:style w:type="paragraph" w:customStyle="1" w:styleId="1228">
    <w:name w:val="5 Char"/>
    <w:basedOn w:val="1"/>
    <w:qFormat/>
    <w:uiPriority w:val="99"/>
    <w:rPr>
      <w:sz w:val="24"/>
    </w:rPr>
  </w:style>
  <w:style w:type="paragraph" w:customStyle="1" w:styleId="1229">
    <w:name w:val="段"/>
    <w:link w:val="147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30">
    <w:name w:val="表内容"/>
    <w:basedOn w:val="1"/>
    <w:next w:val="1"/>
    <w:link w:val="2245"/>
    <w:qFormat/>
    <w:uiPriority w:val="0"/>
    <w:pPr>
      <w:spacing w:line="280" w:lineRule="exact"/>
      <w:jc w:val="center"/>
    </w:pPr>
    <w:rPr>
      <w:rFonts w:cs="宋体"/>
      <w:color w:val="000000"/>
      <w:sz w:val="18"/>
      <w:szCs w:val="20"/>
    </w:rPr>
  </w:style>
  <w:style w:type="paragraph" w:customStyle="1" w:styleId="1231">
    <w:name w:val="环评正文"/>
    <w:basedOn w:val="1"/>
    <w:qFormat/>
    <w:uiPriority w:val="0"/>
    <w:pPr>
      <w:spacing w:before="60" w:after="60" w:line="400" w:lineRule="exact"/>
      <w:ind w:firstLine="200" w:firstLineChars="200"/>
    </w:pPr>
    <w:rPr>
      <w:rFonts w:eastAsia="仿宋_GB2312"/>
      <w:sz w:val="24"/>
    </w:rPr>
  </w:style>
  <w:style w:type="paragraph" w:customStyle="1" w:styleId="1232">
    <w:name w:val="标1"/>
    <w:basedOn w:val="1"/>
    <w:qFormat/>
    <w:uiPriority w:val="99"/>
    <w:pPr>
      <w:tabs>
        <w:tab w:val="left" w:pos="839"/>
      </w:tabs>
      <w:adjustRightInd w:val="0"/>
      <w:spacing w:line="288" w:lineRule="auto"/>
      <w:ind w:right="-34"/>
      <w:textAlignment w:val="baseline"/>
    </w:pPr>
    <w:rPr>
      <w:rFonts w:eastAsia="楷体_GB2312"/>
      <w:kern w:val="0"/>
      <w:sz w:val="32"/>
      <w:szCs w:val="20"/>
    </w:rPr>
  </w:style>
  <w:style w:type="paragraph" w:customStyle="1" w:styleId="1233">
    <w:name w:val="表格"/>
    <w:basedOn w:val="1100"/>
    <w:next w:val="1100"/>
    <w:link w:val="1797"/>
    <w:qFormat/>
    <w:uiPriority w:val="0"/>
    <w:pPr>
      <w:spacing w:line="400" w:lineRule="exact"/>
    </w:pPr>
    <w:rPr>
      <w:color w:val="000000"/>
      <w:kern w:val="0"/>
    </w:rPr>
  </w:style>
  <w:style w:type="paragraph" w:customStyle="1" w:styleId="1234">
    <w:name w:val="STANDARD 2"/>
    <w:basedOn w:val="1"/>
    <w:qFormat/>
    <w:uiPriority w:val="99"/>
    <w:pPr>
      <w:spacing w:line="380" w:lineRule="exact"/>
      <w:ind w:left="1020"/>
    </w:pPr>
    <w:rPr>
      <w:kern w:val="0"/>
      <w:sz w:val="24"/>
      <w:szCs w:val="28"/>
      <w:lang w:val="fr-FR" w:eastAsia="fr-FR"/>
    </w:rPr>
  </w:style>
  <w:style w:type="paragraph" w:customStyle="1" w:styleId="1235">
    <w:name w:val="样式 小四 首行缩进:  0.85 厘米 行距: 1.5 倍行距"/>
    <w:basedOn w:val="1"/>
    <w:qFormat/>
    <w:uiPriority w:val="99"/>
    <w:pPr>
      <w:spacing w:line="360" w:lineRule="auto"/>
      <w:ind w:firstLine="482"/>
    </w:pPr>
    <w:rPr>
      <w:sz w:val="24"/>
      <w:szCs w:val="28"/>
    </w:rPr>
  </w:style>
  <w:style w:type="paragraph" w:customStyle="1" w:styleId="1236">
    <w:name w:val="正文21"/>
    <w:basedOn w:val="1"/>
    <w:qFormat/>
    <w:uiPriority w:val="0"/>
    <w:pPr>
      <w:snapToGrid w:val="0"/>
      <w:spacing w:line="500" w:lineRule="atLeast"/>
      <w:ind w:firstLine="567"/>
    </w:pPr>
    <w:rPr>
      <w:sz w:val="24"/>
      <w:szCs w:val="28"/>
    </w:rPr>
  </w:style>
  <w:style w:type="paragraph" w:customStyle="1" w:styleId="1237">
    <w:name w:val="正文文字 2"/>
    <w:basedOn w:val="1"/>
    <w:qFormat/>
    <w:uiPriority w:val="99"/>
    <w:pPr>
      <w:spacing w:line="380" w:lineRule="exact"/>
    </w:pPr>
    <w:rPr>
      <w:sz w:val="24"/>
      <w:szCs w:val="28"/>
    </w:rPr>
  </w:style>
  <w:style w:type="paragraph" w:customStyle="1" w:styleId="1238">
    <w:name w:val="正文文字 3"/>
    <w:basedOn w:val="1"/>
    <w:qFormat/>
    <w:uiPriority w:val="99"/>
    <w:pPr>
      <w:spacing w:after="120" w:line="380" w:lineRule="exact"/>
    </w:pPr>
    <w:rPr>
      <w:sz w:val="16"/>
      <w:szCs w:val="16"/>
    </w:rPr>
  </w:style>
  <w:style w:type="paragraph" w:customStyle="1" w:styleId="1239">
    <w:name w:val="已访问的超链接1"/>
    <w:qFormat/>
    <w:uiPriority w:val="99"/>
    <w:pPr>
      <w:widowControl w:val="0"/>
      <w:spacing w:line="380" w:lineRule="exact"/>
      <w:jc w:val="both"/>
    </w:pPr>
    <w:rPr>
      <w:rFonts w:ascii="Times New Roman" w:hAnsi="Times New Roman" w:eastAsia="宋体" w:cs="Times New Roman"/>
      <w:kern w:val="2"/>
      <w:sz w:val="28"/>
      <w:szCs w:val="28"/>
      <w:lang w:val="en-US" w:eastAsia="zh-CN" w:bidi="ar-SA"/>
    </w:rPr>
  </w:style>
  <w:style w:type="paragraph" w:customStyle="1" w:styleId="1240">
    <w:name w:val="自定标题3"/>
    <w:basedOn w:val="5"/>
    <w:next w:val="21"/>
    <w:qFormat/>
    <w:uiPriority w:val="99"/>
    <w:pPr>
      <w:keepNext w:val="0"/>
      <w:keepLines w:val="0"/>
      <w:numPr>
        <w:ilvl w:val="0"/>
        <w:numId w:val="5"/>
      </w:numPr>
      <w:tabs>
        <w:tab w:val="left" w:pos="709"/>
        <w:tab w:val="clear" w:pos="1620"/>
      </w:tabs>
      <w:spacing w:before="156" w:after="0" w:line="380" w:lineRule="exact"/>
      <w:ind w:left="709" w:right="32" w:hanging="709"/>
      <w:jc w:val="center"/>
    </w:pPr>
    <w:rPr>
      <w:rFonts w:ascii="Arial" w:hAnsi="Arial" w:eastAsia="MS Song"/>
      <w:b w:val="0"/>
      <w:bCs w:val="0"/>
      <w:sz w:val="21"/>
      <w:szCs w:val="20"/>
    </w:rPr>
  </w:style>
  <w:style w:type="paragraph" w:customStyle="1" w:styleId="1241">
    <w:name w:val="mtitle"/>
    <w:basedOn w:val="1"/>
    <w:qFormat/>
    <w:uiPriority w:val="99"/>
    <w:pPr>
      <w:spacing w:before="30" w:line="380" w:lineRule="exact"/>
      <w:jc w:val="center"/>
    </w:pPr>
    <w:rPr>
      <w:rFonts w:ascii="方正小标宋简体" w:hAnsi="宋体" w:eastAsia="方正小标宋简体"/>
      <w:color w:val="000000"/>
      <w:kern w:val="0"/>
      <w:sz w:val="44"/>
      <w:szCs w:val="44"/>
    </w:rPr>
  </w:style>
  <w:style w:type="paragraph" w:customStyle="1" w:styleId="1242">
    <w:name w:val="area"/>
    <w:basedOn w:val="1"/>
    <w:qFormat/>
    <w:uiPriority w:val="99"/>
    <w:pPr>
      <w:spacing w:before="30" w:line="380" w:lineRule="exact"/>
      <w:jc w:val="center"/>
    </w:pPr>
    <w:rPr>
      <w:rFonts w:ascii="方正仿宋简体" w:hAnsi="宋体" w:eastAsia="方正仿宋简体"/>
      <w:color w:val="000000"/>
      <w:kern w:val="0"/>
      <w:sz w:val="28"/>
      <w:szCs w:val="28"/>
    </w:rPr>
  </w:style>
  <w:style w:type="paragraph" w:customStyle="1" w:styleId="1243">
    <w:name w:val="zw"/>
    <w:basedOn w:val="1"/>
    <w:qFormat/>
    <w:uiPriority w:val="0"/>
    <w:pPr>
      <w:spacing w:before="30" w:line="380" w:lineRule="exact"/>
      <w:ind w:left="100" w:right="100"/>
    </w:pPr>
    <w:rPr>
      <w:rFonts w:ascii="方正书宋简体" w:hAnsi="宋体" w:eastAsia="方正书宋简体"/>
      <w:color w:val="000000"/>
      <w:kern w:val="0"/>
      <w:sz w:val="28"/>
      <w:szCs w:val="21"/>
    </w:rPr>
  </w:style>
  <w:style w:type="paragraph" w:customStyle="1" w:styleId="1244">
    <w:name w:val="zz"/>
    <w:basedOn w:val="1"/>
    <w:qFormat/>
    <w:uiPriority w:val="99"/>
    <w:pPr>
      <w:spacing w:before="30" w:line="380" w:lineRule="exact"/>
      <w:jc w:val="right"/>
    </w:pPr>
    <w:rPr>
      <w:rFonts w:ascii="方正书宋简体" w:hAnsi="宋体" w:eastAsia="方正书宋简体"/>
      <w:color w:val="000000"/>
      <w:kern w:val="0"/>
      <w:sz w:val="28"/>
      <w:szCs w:val="21"/>
    </w:rPr>
  </w:style>
  <w:style w:type="paragraph" w:customStyle="1" w:styleId="1245">
    <w:name w:val="ly"/>
    <w:basedOn w:val="1"/>
    <w:qFormat/>
    <w:uiPriority w:val="99"/>
    <w:pPr>
      <w:spacing w:before="30" w:line="380" w:lineRule="exact"/>
      <w:jc w:val="right"/>
    </w:pPr>
    <w:rPr>
      <w:rFonts w:ascii="方正书宋简体" w:hAnsi="宋体" w:eastAsia="方正书宋简体"/>
      <w:color w:val="000000"/>
      <w:kern w:val="0"/>
      <w:sz w:val="28"/>
      <w:szCs w:val="21"/>
    </w:rPr>
  </w:style>
  <w:style w:type="paragraph" w:customStyle="1" w:styleId="1246">
    <w:name w:val="tc"/>
    <w:basedOn w:val="1"/>
    <w:qFormat/>
    <w:uiPriority w:val="99"/>
    <w:pPr>
      <w:spacing w:before="30" w:line="380" w:lineRule="exact"/>
      <w:jc w:val="center"/>
    </w:pPr>
    <w:rPr>
      <w:rFonts w:ascii="黑体" w:hAnsi="宋体" w:eastAsia="黑体"/>
      <w:color w:val="000000"/>
      <w:kern w:val="0"/>
      <w:sz w:val="36"/>
      <w:szCs w:val="36"/>
    </w:rPr>
  </w:style>
  <w:style w:type="paragraph" w:customStyle="1" w:styleId="1247">
    <w:name w:val="FWRecital"/>
    <w:basedOn w:val="34"/>
    <w:qFormat/>
    <w:uiPriority w:val="99"/>
    <w:pPr>
      <w:tabs>
        <w:tab w:val="left" w:pos="720"/>
      </w:tabs>
      <w:spacing w:after="240"/>
      <w:ind w:left="720" w:hanging="360"/>
    </w:pPr>
    <w:rPr>
      <w:rFonts w:eastAsia="华文楷体"/>
      <w:kern w:val="0"/>
      <w:sz w:val="24"/>
      <w:szCs w:val="21"/>
      <w:lang w:val="en-GB" w:eastAsia="en-US"/>
    </w:rPr>
  </w:style>
  <w:style w:type="paragraph" w:customStyle="1" w:styleId="1248">
    <w:name w:val="PrivateMAB Cont 2"/>
    <w:basedOn w:val="1"/>
    <w:qFormat/>
    <w:uiPriority w:val="99"/>
    <w:pPr>
      <w:spacing w:after="240" w:line="380" w:lineRule="exact"/>
    </w:pPr>
    <w:rPr>
      <w:rFonts w:eastAsia="华文楷体"/>
      <w:kern w:val="0"/>
      <w:sz w:val="24"/>
      <w:szCs w:val="20"/>
      <w:lang w:val="en-GB" w:eastAsia="en-US"/>
    </w:rPr>
  </w:style>
  <w:style w:type="paragraph" w:customStyle="1" w:styleId="1249">
    <w:name w:val="clschspara"/>
    <w:basedOn w:val="1"/>
    <w:qFormat/>
    <w:uiPriority w:val="99"/>
    <w:pPr>
      <w:spacing w:before="100" w:beforeAutospacing="1" w:after="100" w:afterAutospacing="1" w:line="380" w:lineRule="exact"/>
    </w:pPr>
    <w:rPr>
      <w:rFonts w:ascii="宋体" w:hAnsi="宋体" w:cs="宋体"/>
      <w:kern w:val="0"/>
      <w:sz w:val="24"/>
      <w:szCs w:val="21"/>
    </w:rPr>
  </w:style>
  <w:style w:type="paragraph" w:customStyle="1" w:styleId="1250">
    <w:name w:val="日期1"/>
    <w:basedOn w:val="1"/>
    <w:next w:val="1"/>
    <w:qFormat/>
    <w:uiPriority w:val="0"/>
    <w:pPr>
      <w:adjustRightInd w:val="0"/>
      <w:spacing w:line="312" w:lineRule="atLeast"/>
      <w:textAlignment w:val="baseline"/>
    </w:pPr>
    <w:rPr>
      <w:rFonts w:ascii="宋体" w:hAnsi="宋体" w:eastAsia="楷体_GB2312"/>
      <w:kern w:val="0"/>
      <w:sz w:val="28"/>
      <w:szCs w:val="20"/>
    </w:rPr>
  </w:style>
  <w:style w:type="paragraph" w:customStyle="1" w:styleId="1251">
    <w:name w:val="PrivateMAB_L3"/>
    <w:basedOn w:val="1"/>
    <w:qFormat/>
    <w:uiPriority w:val="99"/>
    <w:pPr>
      <w:spacing w:after="240" w:line="380" w:lineRule="exact"/>
    </w:pPr>
    <w:rPr>
      <w:rFonts w:eastAsia="华文楷体"/>
      <w:kern w:val="0"/>
      <w:sz w:val="24"/>
      <w:szCs w:val="20"/>
      <w:lang w:val="en-GB" w:eastAsia="en-US"/>
    </w:rPr>
  </w:style>
  <w:style w:type="paragraph" w:customStyle="1" w:styleId="1252">
    <w:name w:val="font12"/>
    <w:basedOn w:val="1"/>
    <w:qFormat/>
    <w:uiPriority w:val="0"/>
    <w:pPr>
      <w:spacing w:before="100" w:beforeAutospacing="1" w:after="100" w:afterAutospacing="1" w:line="380" w:lineRule="exact"/>
    </w:pPr>
    <w:rPr>
      <w:rFonts w:hint="eastAsia" w:ascii="黑体" w:hAnsi="Arial Unicode MS" w:eastAsia="黑体" w:cs="Arial Unicode MS"/>
      <w:kern w:val="0"/>
      <w:sz w:val="28"/>
      <w:szCs w:val="28"/>
    </w:rPr>
  </w:style>
  <w:style w:type="paragraph" w:customStyle="1" w:styleId="1253">
    <w:name w:val="font13"/>
    <w:basedOn w:val="1"/>
    <w:qFormat/>
    <w:uiPriority w:val="0"/>
    <w:pPr>
      <w:spacing w:before="100" w:beforeAutospacing="1" w:after="100" w:afterAutospacing="1" w:line="380" w:lineRule="exact"/>
    </w:pPr>
    <w:rPr>
      <w:rFonts w:eastAsia="Arial Unicode MS"/>
      <w:kern w:val="0"/>
      <w:sz w:val="28"/>
      <w:szCs w:val="28"/>
    </w:rPr>
  </w:style>
  <w:style w:type="paragraph" w:customStyle="1" w:styleId="1254">
    <w:name w:val="font14"/>
    <w:basedOn w:val="1"/>
    <w:qFormat/>
    <w:uiPriority w:val="0"/>
    <w:pPr>
      <w:spacing w:before="100" w:beforeAutospacing="1" w:after="100" w:afterAutospacing="1" w:line="380" w:lineRule="exact"/>
    </w:pPr>
    <w:rPr>
      <w:rFonts w:ascii="Arial Narrow" w:hAnsi="Arial Narrow" w:eastAsia="Arial Unicode MS" w:cs="Arial Unicode MS"/>
      <w:kern w:val="0"/>
      <w:sz w:val="20"/>
      <w:szCs w:val="20"/>
    </w:rPr>
  </w:style>
  <w:style w:type="paragraph" w:customStyle="1" w:styleId="1255">
    <w:name w:val="font15"/>
    <w:basedOn w:val="1"/>
    <w:qFormat/>
    <w:uiPriority w:val="0"/>
    <w:pPr>
      <w:spacing w:before="100" w:beforeAutospacing="1" w:after="100" w:afterAutospacing="1" w:line="380" w:lineRule="exact"/>
    </w:pPr>
    <w:rPr>
      <w:rFonts w:ascii="Arial Narrow" w:hAnsi="Arial Narrow" w:eastAsia="Arial Unicode MS" w:cs="Arial Unicode MS"/>
      <w:b/>
      <w:bCs/>
      <w:kern w:val="0"/>
      <w:sz w:val="20"/>
      <w:szCs w:val="20"/>
    </w:rPr>
  </w:style>
  <w:style w:type="paragraph" w:customStyle="1" w:styleId="1256">
    <w:name w:val="font16"/>
    <w:basedOn w:val="1"/>
    <w:qFormat/>
    <w:uiPriority w:val="0"/>
    <w:pPr>
      <w:spacing w:before="100" w:beforeAutospacing="1" w:after="100" w:afterAutospacing="1" w:line="380" w:lineRule="exact"/>
    </w:pPr>
    <w:rPr>
      <w:rFonts w:ascii="Arial Narrow" w:hAnsi="Arial Narrow" w:eastAsia="Arial Unicode MS" w:cs="Arial Unicode MS"/>
      <w:color w:val="000000"/>
      <w:kern w:val="0"/>
      <w:sz w:val="20"/>
      <w:szCs w:val="20"/>
    </w:rPr>
  </w:style>
  <w:style w:type="paragraph" w:customStyle="1" w:styleId="1257">
    <w:name w:val="xl19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line="380" w:lineRule="exact"/>
      <w:textAlignment w:val="center"/>
    </w:pPr>
    <w:rPr>
      <w:rFonts w:ascii="Arial" w:hAnsi="Arial" w:eastAsia="Arial Unicode MS" w:cs="Arial"/>
      <w:kern w:val="0"/>
      <w:sz w:val="19"/>
      <w:szCs w:val="19"/>
    </w:rPr>
  </w:style>
  <w:style w:type="paragraph" w:customStyle="1" w:styleId="1258">
    <w:name w:val="xl115"/>
    <w:basedOn w:val="1"/>
    <w:qFormat/>
    <w:uiPriority w:val="0"/>
    <w:pPr>
      <w:pBdr>
        <w:top w:val="single" w:color="auto" w:sz="4" w:space="0"/>
        <w:left w:val="single" w:color="auto" w:sz="4" w:space="0"/>
        <w:right w:val="single" w:color="auto" w:sz="4" w:space="0"/>
      </w:pBdr>
      <w:shd w:val="clear" w:color="auto" w:fill="CCFFFF"/>
      <w:spacing w:before="100" w:beforeAutospacing="1" w:after="100" w:afterAutospacing="1" w:line="380" w:lineRule="exact"/>
      <w:jc w:val="center"/>
      <w:textAlignment w:val="center"/>
    </w:pPr>
    <w:rPr>
      <w:rFonts w:ascii="Arial Unicode MS" w:hAnsi="Arial Unicode MS" w:eastAsia="Arial Unicode MS" w:cs="Arial Unicode MS"/>
      <w:kern w:val="0"/>
      <w:sz w:val="20"/>
      <w:szCs w:val="20"/>
    </w:rPr>
  </w:style>
  <w:style w:type="paragraph" w:customStyle="1" w:styleId="1259">
    <w:name w:val="样式 小四 段前: 6 磅 段后: 2.4 磅 行距: 固定值 22 磅"/>
    <w:basedOn w:val="1"/>
    <w:qFormat/>
    <w:uiPriority w:val="99"/>
    <w:pPr>
      <w:snapToGrid w:val="0"/>
      <w:spacing w:after="100" w:afterAutospacing="1" w:line="240" w:lineRule="atLeast"/>
      <w:ind w:firstLine="537" w:firstLineChars="200"/>
    </w:pPr>
    <w:rPr>
      <w:rFonts w:ascii="宋体"/>
      <w:b/>
      <w:bCs/>
      <w:color w:val="0000FF"/>
      <w:spacing w:val="4"/>
      <w:sz w:val="26"/>
      <w:szCs w:val="20"/>
    </w:rPr>
  </w:style>
  <w:style w:type="paragraph" w:customStyle="1" w:styleId="1260">
    <w:name w:val="Print- From: To: Subject: Date:"/>
    <w:basedOn w:val="1"/>
    <w:qFormat/>
    <w:uiPriority w:val="99"/>
    <w:pPr>
      <w:pBdr>
        <w:left w:val="single" w:color="auto" w:sz="18" w:space="1"/>
      </w:pBdr>
      <w:overflowPunct w:val="0"/>
      <w:autoSpaceDE w:val="0"/>
      <w:autoSpaceDN w:val="0"/>
      <w:adjustRightInd w:val="0"/>
      <w:spacing w:line="380" w:lineRule="exact"/>
      <w:textAlignment w:val="baseline"/>
    </w:pPr>
    <w:rPr>
      <w:rFonts w:ascii="Arial" w:hAnsi="Arial" w:eastAsia="Times New Roman"/>
      <w:kern w:val="0"/>
      <w:sz w:val="20"/>
      <w:szCs w:val="20"/>
      <w:lang w:eastAsia="en-US"/>
    </w:rPr>
  </w:style>
  <w:style w:type="paragraph" w:customStyle="1" w:styleId="1261">
    <w:name w:val="font1"/>
    <w:basedOn w:val="1"/>
    <w:qFormat/>
    <w:uiPriority w:val="0"/>
    <w:pPr>
      <w:spacing w:before="100" w:beforeAutospacing="1" w:after="100" w:afterAutospacing="1" w:line="380" w:lineRule="exact"/>
    </w:pPr>
    <w:rPr>
      <w:rFonts w:hint="eastAsia" w:ascii="宋体" w:hAnsi="宋体" w:cs="Arial Unicode MS"/>
      <w:kern w:val="0"/>
      <w:sz w:val="24"/>
      <w:szCs w:val="28"/>
    </w:rPr>
  </w:style>
  <w:style w:type="paragraph" w:customStyle="1" w:styleId="1262">
    <w:name w:val="A正文"/>
    <w:basedOn w:val="1"/>
    <w:link w:val="2163"/>
    <w:qFormat/>
    <w:uiPriority w:val="0"/>
    <w:pPr>
      <w:spacing w:line="360" w:lineRule="auto"/>
      <w:ind w:firstLine="480" w:firstLineChars="200"/>
    </w:pPr>
    <w:rPr>
      <w:rFonts w:ascii="宋体" w:hAnsi="宋体"/>
      <w:sz w:val="24"/>
      <w:szCs w:val="28"/>
    </w:rPr>
  </w:style>
  <w:style w:type="paragraph" w:customStyle="1" w:styleId="1263">
    <w:name w:val="表：居中"/>
    <w:basedOn w:val="1"/>
    <w:next w:val="1"/>
    <w:qFormat/>
    <w:uiPriority w:val="99"/>
    <w:pPr>
      <w:tabs>
        <w:tab w:val="left" w:pos="146"/>
      </w:tabs>
      <w:adjustRightInd w:val="0"/>
      <w:snapToGrid w:val="0"/>
      <w:spacing w:line="480" w:lineRule="exact"/>
      <w:jc w:val="center"/>
      <w:textAlignment w:val="center"/>
    </w:pPr>
    <w:rPr>
      <w:rFonts w:ascii="Tahoma" w:hAnsi="Tahoma"/>
      <w:sz w:val="24"/>
      <w:szCs w:val="21"/>
    </w:rPr>
  </w:style>
  <w:style w:type="paragraph" w:customStyle="1" w:styleId="1264">
    <w:name w:val="表格_正文"/>
    <w:qFormat/>
    <w:uiPriority w:val="99"/>
    <w:pPr>
      <w:spacing w:line="380" w:lineRule="exact"/>
      <w:jc w:val="center"/>
    </w:pPr>
    <w:rPr>
      <w:rFonts w:ascii="宋体" w:hAnsi="宋体" w:eastAsia="宋体" w:cs="Times New Roman"/>
      <w:sz w:val="24"/>
      <w:lang w:val="en-US" w:eastAsia="zh-CN" w:bidi="ar-SA"/>
    </w:rPr>
  </w:style>
  <w:style w:type="paragraph" w:customStyle="1" w:styleId="1265">
    <w:name w:val="msolistparagraph"/>
    <w:basedOn w:val="1"/>
    <w:qFormat/>
    <w:uiPriority w:val="99"/>
    <w:pPr>
      <w:spacing w:before="100" w:beforeAutospacing="1" w:after="100" w:afterAutospacing="1" w:line="260" w:lineRule="atLeast"/>
    </w:pPr>
    <w:rPr>
      <w:rFonts w:ascii="宋体" w:hAnsi="宋体" w:cs="宋体"/>
      <w:color w:val="000000"/>
      <w:kern w:val="0"/>
      <w:sz w:val="18"/>
      <w:szCs w:val="18"/>
    </w:rPr>
  </w:style>
  <w:style w:type="paragraph" w:customStyle="1" w:styleId="1266">
    <w:name w:val="正文文本 31"/>
    <w:basedOn w:val="1"/>
    <w:link w:val="2487"/>
    <w:qFormat/>
    <w:uiPriority w:val="0"/>
    <w:pPr>
      <w:autoSpaceDE w:val="0"/>
      <w:autoSpaceDN w:val="0"/>
      <w:adjustRightInd w:val="0"/>
      <w:spacing w:line="312" w:lineRule="atLeast"/>
      <w:jc w:val="center"/>
      <w:textAlignment w:val="baseline"/>
    </w:pPr>
    <w:rPr>
      <w:rFonts w:ascii="楷体" w:eastAsia="楷体"/>
      <w:kern w:val="0"/>
      <w:sz w:val="28"/>
      <w:szCs w:val="20"/>
    </w:rPr>
  </w:style>
  <w:style w:type="paragraph" w:customStyle="1" w:styleId="1267">
    <w:name w:val="列出段落1"/>
    <w:basedOn w:val="1"/>
    <w:qFormat/>
    <w:uiPriority w:val="99"/>
    <w:pPr>
      <w:spacing w:line="460" w:lineRule="atLeast"/>
      <w:ind w:firstLine="420" w:firstLineChars="200"/>
    </w:pPr>
    <w:rPr>
      <w:rFonts w:ascii="宋体"/>
      <w:bCs/>
      <w:kern w:val="44"/>
      <w:sz w:val="24"/>
      <w:szCs w:val="44"/>
    </w:rPr>
  </w:style>
  <w:style w:type="paragraph" w:customStyle="1" w:styleId="1268">
    <w:name w:val="Char Char1 Char Char Char Char Char Char"/>
    <w:basedOn w:val="1"/>
    <w:qFormat/>
    <w:uiPriority w:val="99"/>
    <w:pPr>
      <w:spacing w:after="160" w:line="240" w:lineRule="exact"/>
    </w:pPr>
    <w:rPr>
      <w:rFonts w:ascii="Verdana" w:hAnsi="Verdana" w:eastAsia="仿宋_GB2312"/>
      <w:kern w:val="0"/>
      <w:sz w:val="24"/>
      <w:szCs w:val="20"/>
      <w:lang w:eastAsia="en-US"/>
    </w:rPr>
  </w:style>
  <w:style w:type="paragraph" w:customStyle="1" w:styleId="1269">
    <w:name w:val="1-1"/>
    <w:basedOn w:val="1"/>
    <w:qFormat/>
    <w:uiPriority w:val="99"/>
    <w:pPr>
      <w:adjustRightInd w:val="0"/>
      <w:spacing w:line="360" w:lineRule="atLeast"/>
      <w:ind w:left="1077" w:hanging="839"/>
      <w:textAlignment w:val="baseline"/>
    </w:pPr>
    <w:rPr>
      <w:rFonts w:ascii="Arial" w:hAnsi="Arial" w:eastAsia="MS Mincho"/>
      <w:kern w:val="0"/>
      <w:sz w:val="22"/>
      <w:szCs w:val="20"/>
      <w:lang w:eastAsia="ja-JP"/>
    </w:rPr>
  </w:style>
  <w:style w:type="paragraph" w:customStyle="1" w:styleId="1270">
    <w:name w:val="小标题1"/>
    <w:basedOn w:val="1"/>
    <w:qFormat/>
    <w:uiPriority w:val="99"/>
    <w:pPr>
      <w:spacing w:line="520" w:lineRule="exact"/>
    </w:pPr>
    <w:rPr>
      <w:rFonts w:ascii="宋体" w:hAnsi="宋体"/>
      <w:bCs/>
      <w:sz w:val="28"/>
      <w:szCs w:val="28"/>
    </w:rPr>
  </w:style>
  <w:style w:type="paragraph" w:customStyle="1" w:styleId="1271">
    <w:name w:val="Char Char1 Char"/>
    <w:basedOn w:val="1"/>
    <w:qFormat/>
    <w:uiPriority w:val="0"/>
    <w:pPr>
      <w:spacing w:after="160" w:line="240" w:lineRule="exact"/>
    </w:pPr>
    <w:rPr>
      <w:rFonts w:ascii="Verdana" w:hAnsi="Verdana" w:eastAsia="Times New Roman"/>
      <w:kern w:val="0"/>
      <w:sz w:val="20"/>
      <w:szCs w:val="20"/>
      <w:lang w:eastAsia="en-US"/>
    </w:rPr>
  </w:style>
  <w:style w:type="paragraph" w:customStyle="1" w:styleId="1272">
    <w:name w:val="样式 四号 首行缩进:  1厘米 行距: 1.5 倍行距"/>
    <w:basedOn w:val="1"/>
    <w:qFormat/>
    <w:uiPriority w:val="99"/>
    <w:pPr>
      <w:spacing w:line="360" w:lineRule="auto"/>
      <w:ind w:firstLine="570"/>
    </w:pPr>
    <w:rPr>
      <w:sz w:val="28"/>
      <w:szCs w:val="20"/>
    </w:rPr>
  </w:style>
  <w:style w:type="paragraph" w:customStyle="1" w:styleId="1273">
    <w:name w:val="图表"/>
    <w:basedOn w:val="1"/>
    <w:link w:val="2192"/>
    <w:qFormat/>
    <w:uiPriority w:val="0"/>
    <w:pPr>
      <w:spacing w:before="60" w:after="60" w:line="300" w:lineRule="auto"/>
      <w:jc w:val="center"/>
    </w:pPr>
    <w:rPr>
      <w:rFonts w:eastAsia="仿宋_GB2312"/>
      <w:kern w:val="0"/>
      <w:sz w:val="30"/>
      <w:szCs w:val="30"/>
      <w:lang w:val="zh-CN"/>
    </w:rPr>
  </w:style>
  <w:style w:type="paragraph" w:customStyle="1" w:styleId="1274">
    <w:name w:val="Char Char2 Char"/>
    <w:basedOn w:val="1"/>
    <w:qFormat/>
    <w:uiPriority w:val="99"/>
    <w:pPr>
      <w:spacing w:line="380" w:lineRule="exact"/>
    </w:pPr>
    <w:rPr>
      <w:szCs w:val="20"/>
    </w:rPr>
  </w:style>
  <w:style w:type="paragraph" w:customStyle="1" w:styleId="1275">
    <w:name w:val="正  文"/>
    <w:basedOn w:val="1"/>
    <w:qFormat/>
    <w:uiPriority w:val="99"/>
    <w:pPr>
      <w:spacing w:line="360" w:lineRule="auto"/>
      <w:ind w:firstLine="200" w:firstLineChars="200"/>
      <w:outlineLvl w:val="3"/>
    </w:pPr>
    <w:rPr>
      <w:sz w:val="24"/>
      <w:szCs w:val="20"/>
    </w:rPr>
  </w:style>
  <w:style w:type="paragraph" w:customStyle="1" w:styleId="1276">
    <w:name w:val="三级节标题"/>
    <w:basedOn w:val="1"/>
    <w:qFormat/>
    <w:uiPriority w:val="99"/>
    <w:pPr>
      <w:spacing w:before="180" w:after="180" w:line="400" w:lineRule="exact"/>
      <w:outlineLvl w:val="3"/>
    </w:pPr>
    <w:rPr>
      <w:rFonts w:eastAsia="黑体"/>
      <w:sz w:val="24"/>
      <w:szCs w:val="20"/>
    </w:rPr>
  </w:style>
  <w:style w:type="paragraph" w:customStyle="1" w:styleId="1277">
    <w:name w:val="表前文"/>
    <w:basedOn w:val="1"/>
    <w:qFormat/>
    <w:uiPriority w:val="99"/>
    <w:pPr>
      <w:adjustRightInd w:val="0"/>
      <w:spacing w:after="120" w:line="360" w:lineRule="auto"/>
      <w:ind w:firstLine="493"/>
    </w:pPr>
    <w:rPr>
      <w:kern w:val="0"/>
      <w:sz w:val="24"/>
      <w:szCs w:val="20"/>
    </w:rPr>
  </w:style>
  <w:style w:type="paragraph" w:customStyle="1" w:styleId="1278">
    <w:name w:val="样式 标题 2 + 段前: 自动 段后: 自动 行距: 固定值 22 磅"/>
    <w:basedOn w:val="4"/>
    <w:qFormat/>
    <w:uiPriority w:val="99"/>
    <w:pPr>
      <w:keepNext w:val="0"/>
      <w:keepLines w:val="0"/>
      <w:spacing w:before="100" w:beforeAutospacing="1" w:after="100" w:afterAutospacing="1" w:line="440" w:lineRule="exact"/>
    </w:pPr>
    <w:rPr>
      <w:rFonts w:ascii="宋体" w:hAnsi="宋体" w:cs="宋体"/>
      <w:kern w:val="0"/>
      <w:sz w:val="30"/>
      <w:szCs w:val="20"/>
    </w:rPr>
  </w:style>
  <w:style w:type="paragraph" w:customStyle="1" w:styleId="1279">
    <w:name w:val="Char Char Char Char Char Char Char Char Char"/>
    <w:basedOn w:val="1"/>
    <w:qFormat/>
    <w:uiPriority w:val="0"/>
    <w:pPr>
      <w:spacing w:after="160" w:line="240" w:lineRule="exact"/>
    </w:pPr>
    <w:rPr>
      <w:rFonts w:ascii="Verdana" w:hAnsi="Verdana" w:eastAsia="仿宋_GB2312"/>
      <w:kern w:val="0"/>
      <w:sz w:val="24"/>
      <w:szCs w:val="20"/>
      <w:lang w:eastAsia="en-US"/>
    </w:rPr>
  </w:style>
  <w:style w:type="paragraph" w:customStyle="1" w:styleId="1280">
    <w:name w:val="Char Char Char Char Char Char1 Char"/>
    <w:basedOn w:val="1"/>
    <w:qFormat/>
    <w:uiPriority w:val="0"/>
    <w:pPr>
      <w:spacing w:line="380" w:lineRule="exact"/>
    </w:pPr>
    <w:rPr>
      <w:rFonts w:eastAsia="仿宋_GB2312"/>
      <w:sz w:val="30"/>
      <w:szCs w:val="30"/>
    </w:rPr>
  </w:style>
  <w:style w:type="paragraph" w:customStyle="1" w:styleId="1281">
    <w:name w:val="Char2"/>
    <w:basedOn w:val="1"/>
    <w:qFormat/>
    <w:uiPriority w:val="0"/>
    <w:pPr>
      <w:spacing w:line="240" w:lineRule="exact"/>
      <w:ind w:firstLine="200" w:firstLineChars="200"/>
    </w:pPr>
    <w:rPr>
      <w:sz w:val="28"/>
      <w:szCs w:val="28"/>
    </w:rPr>
  </w:style>
  <w:style w:type="paragraph" w:customStyle="1" w:styleId="1282">
    <w:name w:val="图表名"/>
    <w:basedOn w:val="1"/>
    <w:qFormat/>
    <w:uiPriority w:val="0"/>
    <w:pPr>
      <w:spacing w:beforeLines="50" w:afterLines="50" w:line="380" w:lineRule="exact"/>
      <w:jc w:val="center"/>
    </w:pPr>
    <w:rPr>
      <w:rFonts w:ascii="Arial" w:hAnsi="Arial" w:eastAsia="楷体_GB2312"/>
      <w:b/>
      <w:sz w:val="24"/>
    </w:rPr>
  </w:style>
  <w:style w:type="paragraph" w:customStyle="1" w:styleId="1283">
    <w:name w:val="统一正文"/>
    <w:basedOn w:val="1"/>
    <w:qFormat/>
    <w:uiPriority w:val="99"/>
    <w:pPr>
      <w:spacing w:beforeLines="50" w:afterLines="50" w:line="360" w:lineRule="auto"/>
      <w:ind w:firstLine="482" w:firstLineChars="200"/>
      <w:jc w:val="center"/>
    </w:pPr>
    <w:rPr>
      <w:rFonts w:ascii="楷体_GB2312" w:eastAsia="楷体_GB2312"/>
      <w:b/>
      <w:sz w:val="24"/>
    </w:rPr>
  </w:style>
  <w:style w:type="paragraph" w:customStyle="1" w:styleId="1284">
    <w:name w:val="默认段落字体 Para Char Char Char1 Char Char Char Char"/>
    <w:basedOn w:val="1"/>
    <w:qFormat/>
    <w:uiPriority w:val="99"/>
    <w:pPr>
      <w:spacing w:line="380" w:lineRule="exact"/>
    </w:pPr>
    <w:rPr>
      <w:sz w:val="24"/>
    </w:rPr>
  </w:style>
  <w:style w:type="paragraph" w:customStyle="1" w:styleId="1285">
    <w:name w:val="标题 B"/>
    <w:basedOn w:val="4"/>
    <w:qFormat/>
    <w:uiPriority w:val="99"/>
    <w:pPr>
      <w:keepLines w:val="0"/>
      <w:adjustRightInd w:val="0"/>
      <w:spacing w:before="840" w:after="240" w:line="400" w:lineRule="exact"/>
      <w:jc w:val="center"/>
      <w:textAlignment w:val="baseline"/>
      <w:outlineLvl w:val="9"/>
    </w:pPr>
    <w:rPr>
      <w:rFonts w:ascii="Arial Rounded MT Bold" w:hAnsi="Arial Rounded MT Bold"/>
      <w:b w:val="0"/>
      <w:bCs w:val="0"/>
      <w:spacing w:val="8"/>
      <w:kern w:val="0"/>
      <w:szCs w:val="20"/>
    </w:rPr>
  </w:style>
  <w:style w:type="paragraph" w:customStyle="1" w:styleId="1286">
    <w:name w:val="仿宋四号"/>
    <w:basedOn w:val="1"/>
    <w:qFormat/>
    <w:uiPriority w:val="99"/>
    <w:pPr>
      <w:spacing w:line="380" w:lineRule="exact"/>
      <w:ind w:firstLine="560" w:firstLineChars="200"/>
    </w:pPr>
    <w:rPr>
      <w:rFonts w:ascii="仿宋_GB2312" w:hAnsi="Arial" w:eastAsia="仿宋_GB2312" w:cs="宋体"/>
      <w:sz w:val="28"/>
      <w:szCs w:val="20"/>
    </w:rPr>
  </w:style>
  <w:style w:type="paragraph" w:customStyle="1" w:styleId="1287">
    <w:name w:val="样式 两端对齐1"/>
    <w:basedOn w:val="1"/>
    <w:qFormat/>
    <w:uiPriority w:val="99"/>
    <w:pPr>
      <w:spacing w:line="240" w:lineRule="exact"/>
      <w:jc w:val="center"/>
    </w:pPr>
    <w:rPr>
      <w:rFonts w:cs="宋体"/>
      <w:sz w:val="24"/>
      <w:szCs w:val="20"/>
    </w:rPr>
  </w:style>
  <w:style w:type="paragraph" w:customStyle="1" w:styleId="1288">
    <w:name w:val="px"/>
    <w:basedOn w:val="1"/>
    <w:qFormat/>
    <w:uiPriority w:val="99"/>
    <w:pPr>
      <w:spacing w:before="40" w:line="380" w:lineRule="exact"/>
    </w:pPr>
    <w:rPr>
      <w:rFonts w:ascii="Tahoma" w:hAnsi="Tahoma"/>
      <w:color w:val="000000"/>
      <w:kern w:val="0"/>
      <w:sz w:val="28"/>
      <w:szCs w:val="20"/>
    </w:rPr>
  </w:style>
  <w:style w:type="paragraph" w:customStyle="1" w:styleId="1289">
    <w:name w:val="標準（日本語）"/>
    <w:basedOn w:val="1"/>
    <w:qFormat/>
    <w:uiPriority w:val="99"/>
    <w:pPr>
      <w:overflowPunct w:val="0"/>
      <w:adjustRightInd w:val="0"/>
      <w:spacing w:afterLines="50" w:line="540" w:lineRule="exact"/>
    </w:pPr>
    <w:rPr>
      <w:rFonts w:eastAsia="MS Mincho"/>
      <w:kern w:val="0"/>
      <w:sz w:val="24"/>
      <w:szCs w:val="28"/>
      <w:lang w:eastAsia="ja-JP"/>
    </w:rPr>
  </w:style>
  <w:style w:type="paragraph" w:customStyle="1" w:styleId="1290">
    <w:name w:val="NormalChine"/>
    <w:basedOn w:val="1"/>
    <w:qFormat/>
    <w:uiPriority w:val="99"/>
    <w:pPr>
      <w:autoSpaceDE w:val="0"/>
      <w:autoSpaceDN w:val="0"/>
      <w:adjustRightInd w:val="0"/>
      <w:spacing w:after="240" w:line="540" w:lineRule="exact"/>
    </w:pPr>
    <w:rPr>
      <w:rFonts w:eastAsia="华文楷体"/>
      <w:color w:val="000000"/>
      <w:kern w:val="0"/>
      <w:sz w:val="26"/>
      <w:szCs w:val="26"/>
      <w:lang w:eastAsia="en-US"/>
    </w:rPr>
  </w:style>
  <w:style w:type="paragraph" w:customStyle="1" w:styleId="1291">
    <w:name w:val="Char Char Char Char Char Char Char Char Char Char Char Char Char3"/>
    <w:basedOn w:val="1"/>
    <w:qFormat/>
    <w:uiPriority w:val="99"/>
  </w:style>
  <w:style w:type="paragraph" w:customStyle="1" w:styleId="1292">
    <w:name w:val="Char Char Char1 Char Char Char Char Char Char Char"/>
    <w:basedOn w:val="1"/>
    <w:qFormat/>
    <w:uiPriority w:val="0"/>
    <w:pPr>
      <w:autoSpaceDE w:val="0"/>
      <w:autoSpaceDN w:val="0"/>
    </w:pPr>
    <w:rPr>
      <w:rFonts w:ascii="Tahoma" w:hAnsi="Tahoma"/>
      <w:sz w:val="24"/>
      <w:szCs w:val="20"/>
    </w:rPr>
  </w:style>
  <w:style w:type="paragraph" w:customStyle="1" w:styleId="1293">
    <w:name w:val="Char3"/>
    <w:basedOn w:val="1"/>
    <w:qFormat/>
    <w:uiPriority w:val="0"/>
    <w:pPr>
      <w:spacing w:after="160" w:line="240" w:lineRule="exact"/>
    </w:pPr>
    <w:rPr>
      <w:szCs w:val="20"/>
    </w:rPr>
  </w:style>
  <w:style w:type="paragraph" w:customStyle="1" w:styleId="1294">
    <w:name w:val="三级章节"/>
    <w:basedOn w:val="5"/>
    <w:qFormat/>
    <w:uiPriority w:val="99"/>
    <w:pPr>
      <w:spacing w:before="48" w:after="48" w:line="240" w:lineRule="auto"/>
    </w:pPr>
    <w:rPr>
      <w:rFonts w:ascii="宋体" w:hAnsi="宋体" w:cs="宋体"/>
      <w:kern w:val="0"/>
      <w:sz w:val="24"/>
      <w:szCs w:val="20"/>
    </w:rPr>
  </w:style>
  <w:style w:type="paragraph" w:customStyle="1" w:styleId="1295">
    <w:name w:val="列出段落2"/>
    <w:basedOn w:val="1"/>
    <w:qFormat/>
    <w:uiPriority w:val="99"/>
    <w:pPr>
      <w:ind w:firstLine="420" w:firstLineChars="200"/>
    </w:pPr>
    <w:rPr>
      <w:sz w:val="28"/>
      <w:szCs w:val="28"/>
    </w:rPr>
  </w:style>
  <w:style w:type="paragraph" w:customStyle="1" w:styleId="1296">
    <w:name w:val="CM58"/>
    <w:basedOn w:val="1"/>
    <w:next w:val="1"/>
    <w:qFormat/>
    <w:uiPriority w:val="99"/>
    <w:pPr>
      <w:autoSpaceDE w:val="0"/>
      <w:autoSpaceDN w:val="0"/>
      <w:adjustRightInd w:val="0"/>
      <w:spacing w:after="145"/>
    </w:pPr>
    <w:rPr>
      <w:rFonts w:ascii="宋体"/>
      <w:kern w:val="0"/>
      <w:sz w:val="24"/>
    </w:rPr>
  </w:style>
  <w:style w:type="paragraph" w:customStyle="1" w:styleId="1297">
    <w:name w:val="CM13"/>
    <w:basedOn w:val="1"/>
    <w:next w:val="1"/>
    <w:qFormat/>
    <w:uiPriority w:val="99"/>
    <w:pPr>
      <w:autoSpaceDE w:val="0"/>
      <w:autoSpaceDN w:val="0"/>
      <w:adjustRightInd w:val="0"/>
      <w:spacing w:line="480" w:lineRule="atLeast"/>
    </w:pPr>
    <w:rPr>
      <w:rFonts w:ascii="宋体"/>
      <w:kern w:val="0"/>
      <w:sz w:val="24"/>
    </w:rPr>
  </w:style>
  <w:style w:type="paragraph" w:customStyle="1" w:styleId="1298">
    <w:name w:val="CM12"/>
    <w:basedOn w:val="1"/>
    <w:next w:val="1"/>
    <w:qFormat/>
    <w:uiPriority w:val="0"/>
    <w:pPr>
      <w:autoSpaceDE w:val="0"/>
      <w:autoSpaceDN w:val="0"/>
      <w:adjustRightInd w:val="0"/>
    </w:pPr>
    <w:rPr>
      <w:rFonts w:ascii="宋体"/>
      <w:kern w:val="0"/>
      <w:sz w:val="24"/>
    </w:rPr>
  </w:style>
  <w:style w:type="paragraph" w:customStyle="1" w:styleId="1299">
    <w:name w:val="CM14"/>
    <w:basedOn w:val="1"/>
    <w:next w:val="1"/>
    <w:qFormat/>
    <w:uiPriority w:val="99"/>
    <w:pPr>
      <w:autoSpaceDE w:val="0"/>
      <w:autoSpaceDN w:val="0"/>
      <w:adjustRightInd w:val="0"/>
      <w:spacing w:line="480" w:lineRule="atLeast"/>
    </w:pPr>
    <w:rPr>
      <w:rFonts w:ascii="宋体"/>
      <w:kern w:val="0"/>
      <w:sz w:val="24"/>
    </w:rPr>
  </w:style>
  <w:style w:type="paragraph" w:customStyle="1" w:styleId="1300">
    <w:name w:val="CM19"/>
    <w:basedOn w:val="1"/>
    <w:next w:val="1"/>
    <w:qFormat/>
    <w:uiPriority w:val="99"/>
    <w:pPr>
      <w:autoSpaceDE w:val="0"/>
      <w:autoSpaceDN w:val="0"/>
      <w:adjustRightInd w:val="0"/>
      <w:spacing w:line="480" w:lineRule="atLeast"/>
    </w:pPr>
    <w:rPr>
      <w:rFonts w:ascii="宋体"/>
      <w:kern w:val="0"/>
      <w:sz w:val="24"/>
    </w:rPr>
  </w:style>
  <w:style w:type="paragraph" w:customStyle="1" w:styleId="1301">
    <w:name w:val="CM25"/>
    <w:basedOn w:val="1"/>
    <w:next w:val="1"/>
    <w:qFormat/>
    <w:uiPriority w:val="99"/>
    <w:pPr>
      <w:autoSpaceDE w:val="0"/>
      <w:autoSpaceDN w:val="0"/>
      <w:adjustRightInd w:val="0"/>
      <w:spacing w:line="480" w:lineRule="atLeast"/>
    </w:pPr>
    <w:rPr>
      <w:rFonts w:ascii="宋体"/>
      <w:kern w:val="0"/>
      <w:sz w:val="24"/>
    </w:rPr>
  </w:style>
  <w:style w:type="paragraph" w:customStyle="1" w:styleId="1302">
    <w:name w:val="p15"/>
    <w:basedOn w:val="1"/>
    <w:qFormat/>
    <w:uiPriority w:val="0"/>
    <w:rPr>
      <w:rFonts w:ascii="宋体" w:hAnsi="宋体" w:cs="宋体"/>
      <w:kern w:val="0"/>
      <w:sz w:val="24"/>
      <w:szCs w:val="21"/>
    </w:rPr>
  </w:style>
  <w:style w:type="paragraph" w:customStyle="1" w:styleId="1303">
    <w:name w:val="列出段落4"/>
    <w:basedOn w:val="1"/>
    <w:qFormat/>
    <w:uiPriority w:val="99"/>
    <w:pPr>
      <w:spacing w:line="520" w:lineRule="exact"/>
      <w:ind w:firstLine="420" w:firstLineChars="200"/>
    </w:pPr>
    <w:rPr>
      <w:rFonts w:eastAsia="楷体_GB2312"/>
      <w:sz w:val="28"/>
      <w:szCs w:val="28"/>
    </w:rPr>
  </w:style>
  <w:style w:type="paragraph" w:customStyle="1" w:styleId="1304">
    <w:name w:val="listparagraph"/>
    <w:basedOn w:val="1"/>
    <w:qFormat/>
    <w:uiPriority w:val="99"/>
    <w:pPr>
      <w:spacing w:beforeAutospacing="1" w:after="100" w:afterAutospacing="1"/>
    </w:pPr>
    <w:rPr>
      <w:rFonts w:ascii="宋体" w:hAnsi="宋体" w:cs="宋体"/>
      <w:kern w:val="0"/>
      <w:sz w:val="24"/>
    </w:rPr>
  </w:style>
  <w:style w:type="paragraph" w:customStyle="1" w:styleId="1305">
    <w:name w:val="正文首行缩进 2 + Times New Roman"/>
    <w:basedOn w:val="1"/>
    <w:qFormat/>
    <w:uiPriority w:val="0"/>
    <w:pPr>
      <w:tabs>
        <w:tab w:val="left" w:pos="0"/>
        <w:tab w:val="left" w:pos="870"/>
        <w:tab w:val="left" w:pos="3150"/>
      </w:tabs>
      <w:autoSpaceDE w:val="0"/>
      <w:autoSpaceDN w:val="0"/>
      <w:spacing w:line="360" w:lineRule="auto"/>
      <w:ind w:firstLine="480" w:firstLineChars="200"/>
    </w:pPr>
    <w:rPr>
      <w:kern w:val="0"/>
      <w:sz w:val="24"/>
    </w:rPr>
  </w:style>
  <w:style w:type="paragraph" w:customStyle="1" w:styleId="1306">
    <w:name w:val="linksus-"/>
    <w:basedOn w:val="1"/>
    <w:qFormat/>
    <w:uiPriority w:val="99"/>
    <w:pPr>
      <w:spacing w:before="100" w:beforeAutospacing="1" w:after="100" w:afterAutospacing="1"/>
    </w:pPr>
    <w:rPr>
      <w:rFonts w:ascii="宋体" w:hAnsi="宋体" w:cs="宋体"/>
      <w:kern w:val="0"/>
      <w:sz w:val="24"/>
    </w:rPr>
  </w:style>
  <w:style w:type="paragraph" w:customStyle="1" w:styleId="1307">
    <w:name w:val="正文 New New New New New New New New"/>
    <w:qFormat/>
    <w:uiPriority w:val="99"/>
    <w:pPr>
      <w:widowControl w:val="0"/>
      <w:jc w:val="both"/>
    </w:pPr>
    <w:rPr>
      <w:rFonts w:ascii="宋体" w:hAnsi="ˎ̥" w:eastAsia="宋体" w:cs="宋体"/>
      <w:color w:val="000000"/>
      <w:sz w:val="21"/>
      <w:szCs w:val="28"/>
      <w:lang w:val="en-US" w:eastAsia="zh-CN" w:bidi="ar-SA"/>
    </w:rPr>
  </w:style>
  <w:style w:type="paragraph" w:customStyle="1" w:styleId="1308">
    <w:name w:val="正文缩进10"/>
    <w:basedOn w:val="1"/>
    <w:qFormat/>
    <w:uiPriority w:val="99"/>
    <w:pPr>
      <w:overflowPunct w:val="0"/>
      <w:autoSpaceDE w:val="0"/>
      <w:autoSpaceDN w:val="0"/>
      <w:adjustRightInd w:val="0"/>
      <w:ind w:firstLine="420"/>
    </w:pPr>
    <w:rPr>
      <w:rFonts w:hint="eastAsia" w:ascii="宋体"/>
      <w:kern w:val="0"/>
      <w:szCs w:val="20"/>
    </w:rPr>
  </w:style>
  <w:style w:type="paragraph" w:customStyle="1" w:styleId="1309">
    <w:name w:val="TOC 标题1"/>
    <w:basedOn w:val="3"/>
    <w:next w:val="1"/>
    <w:qFormat/>
    <w:uiPriority w:val="0"/>
    <w:pPr>
      <w:spacing w:before="240" w:after="0" w:line="259" w:lineRule="auto"/>
      <w:outlineLvl w:val="9"/>
    </w:pPr>
    <w:rPr>
      <w:rFonts w:ascii="Calibri Light" w:hAnsi="Calibri Light"/>
      <w:b w:val="0"/>
      <w:bCs w:val="0"/>
      <w:color w:val="2E74B5"/>
      <w:kern w:val="0"/>
      <w:sz w:val="32"/>
      <w:szCs w:val="32"/>
    </w:rPr>
  </w:style>
  <w:style w:type="paragraph" w:customStyle="1" w:styleId="1310">
    <w:name w:val="正文文本 32"/>
    <w:basedOn w:val="1"/>
    <w:qFormat/>
    <w:uiPriority w:val="99"/>
    <w:pPr>
      <w:autoSpaceDE w:val="0"/>
      <w:autoSpaceDN w:val="0"/>
      <w:adjustRightInd w:val="0"/>
      <w:spacing w:line="312" w:lineRule="atLeast"/>
      <w:jc w:val="center"/>
      <w:textAlignment w:val="baseline"/>
    </w:pPr>
    <w:rPr>
      <w:rFonts w:ascii="楷体" w:eastAsia="楷体"/>
      <w:kern w:val="0"/>
      <w:sz w:val="28"/>
      <w:szCs w:val="20"/>
    </w:rPr>
  </w:style>
  <w:style w:type="paragraph" w:customStyle="1" w:styleId="1311">
    <w:name w:val="1正文段落"/>
    <w:basedOn w:val="1"/>
    <w:link w:val="2453"/>
    <w:qFormat/>
    <w:uiPriority w:val="0"/>
    <w:pPr>
      <w:adjustRightInd w:val="0"/>
      <w:snapToGrid w:val="0"/>
      <w:spacing w:beforeLines="10" w:line="360" w:lineRule="auto"/>
      <w:ind w:firstLine="480" w:firstLineChars="200"/>
    </w:pPr>
    <w:rPr>
      <w:snapToGrid w:val="0"/>
      <w:kern w:val="0"/>
      <w:sz w:val="24"/>
    </w:rPr>
  </w:style>
  <w:style w:type="paragraph" w:customStyle="1" w:styleId="1312">
    <w:name w:val="图（A）"/>
    <w:next w:val="1"/>
    <w:qFormat/>
    <w:uiPriority w:val="99"/>
    <w:pPr>
      <w:keepNext/>
      <w:adjustRightInd w:val="0"/>
      <w:snapToGrid w:val="0"/>
      <w:jc w:val="center"/>
    </w:pPr>
    <w:rPr>
      <w:rFonts w:ascii="Times New Roman" w:hAnsi="Times New Roman" w:eastAsia="宋体" w:cs="Times New Roman"/>
      <w:lang w:val="en-US" w:eastAsia="zh-CN" w:bidi="ar-SA"/>
    </w:rPr>
  </w:style>
  <w:style w:type="paragraph" w:customStyle="1" w:styleId="1313">
    <w:name w:val="普通"/>
    <w:basedOn w:val="1"/>
    <w:qFormat/>
    <w:uiPriority w:val="99"/>
    <w:rPr>
      <w:kern w:val="0"/>
      <w:szCs w:val="20"/>
    </w:rPr>
  </w:style>
  <w:style w:type="paragraph" w:customStyle="1" w:styleId="1314">
    <w:name w:val="表2：左"/>
    <w:basedOn w:val="1263"/>
    <w:qFormat/>
    <w:uiPriority w:val="99"/>
    <w:pPr>
      <w:tabs>
        <w:tab w:val="clear" w:pos="146"/>
      </w:tabs>
      <w:spacing w:line="240" w:lineRule="atLeast"/>
      <w:ind w:firstLine="5565" w:firstLineChars="2650"/>
      <w:jc w:val="both"/>
    </w:pPr>
    <w:rPr>
      <w:rFonts w:ascii="Times New Roman" w:hAnsi="Times New Roman"/>
      <w:snapToGrid w:val="0"/>
      <w:spacing w:val="4"/>
      <w:kern w:val="0"/>
      <w:sz w:val="21"/>
    </w:rPr>
  </w:style>
  <w:style w:type="paragraph" w:customStyle="1" w:styleId="1315">
    <w:name w:val="5"/>
    <w:basedOn w:val="1"/>
    <w:next w:val="51"/>
    <w:qFormat/>
    <w:uiPriority w:val="0"/>
    <w:pPr>
      <w:spacing w:line="420" w:lineRule="exact"/>
      <w:ind w:firstLine="560"/>
    </w:pPr>
    <w:rPr>
      <w:rFonts w:eastAsia="楷体_GB2312"/>
      <w:snapToGrid w:val="0"/>
      <w:kern w:val="0"/>
      <w:sz w:val="28"/>
      <w:szCs w:val="20"/>
    </w:rPr>
  </w:style>
  <w:style w:type="paragraph" w:customStyle="1" w:styleId="1316">
    <w:name w:val="日期2"/>
    <w:basedOn w:val="1"/>
    <w:next w:val="1"/>
    <w:qFormat/>
    <w:uiPriority w:val="99"/>
    <w:pPr>
      <w:adjustRightInd w:val="0"/>
      <w:spacing w:line="312" w:lineRule="atLeast"/>
      <w:textAlignment w:val="baseline"/>
    </w:pPr>
    <w:rPr>
      <w:rFonts w:eastAsia="楷体_GB2312"/>
      <w:kern w:val="0"/>
      <w:sz w:val="28"/>
      <w:szCs w:val="20"/>
    </w:rPr>
  </w:style>
  <w:style w:type="paragraph" w:customStyle="1" w:styleId="1317">
    <w:name w:val="style10"/>
    <w:basedOn w:val="1"/>
    <w:qFormat/>
    <w:uiPriority w:val="99"/>
    <w:pPr>
      <w:spacing w:before="100" w:beforeAutospacing="1" w:after="100" w:afterAutospacing="1" w:line="314" w:lineRule="atLeast"/>
    </w:pPr>
    <w:rPr>
      <w:rFonts w:ascii="宋体" w:hAnsi="宋体" w:cs="宋体"/>
      <w:kern w:val="0"/>
      <w:sz w:val="22"/>
      <w:szCs w:val="22"/>
    </w:rPr>
  </w:style>
  <w:style w:type="paragraph" w:customStyle="1" w:styleId="1318">
    <w:name w:val="xl32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Calibri" w:hAnsi="Calibri" w:cs="宋体"/>
      <w:kern w:val="0"/>
      <w:sz w:val="22"/>
      <w:szCs w:val="22"/>
    </w:rPr>
  </w:style>
  <w:style w:type="paragraph" w:customStyle="1" w:styleId="1319">
    <w:name w:val="xl2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eastAsia="Arial Unicode MS"/>
      <w:kern w:val="0"/>
      <w:sz w:val="19"/>
      <w:szCs w:val="20"/>
    </w:rPr>
  </w:style>
  <w:style w:type="paragraph" w:customStyle="1" w:styleId="1320">
    <w:name w:val="样式 首行缩进:  2 字符1"/>
    <w:basedOn w:val="1"/>
    <w:qFormat/>
    <w:uiPriority w:val="0"/>
    <w:pPr>
      <w:adjustRightInd w:val="0"/>
      <w:spacing w:line="360" w:lineRule="auto"/>
      <w:ind w:firstLine="560" w:firstLineChars="200"/>
    </w:pPr>
    <w:rPr>
      <w:rFonts w:ascii="宋体" w:hAnsi="宋体" w:eastAsia="楷体_GB2312" w:cs="宋体"/>
      <w:kern w:val="0"/>
      <w:sz w:val="24"/>
    </w:rPr>
  </w:style>
  <w:style w:type="paragraph" w:customStyle="1" w:styleId="1321">
    <w:name w:val="xl33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Calibri" w:hAnsi="Calibri" w:cs="宋体"/>
      <w:kern w:val="0"/>
      <w:sz w:val="24"/>
    </w:rPr>
  </w:style>
  <w:style w:type="paragraph" w:customStyle="1" w:styleId="1322">
    <w:name w:val="xl339"/>
    <w:basedOn w:val="1"/>
    <w:qFormat/>
    <w:uiPriority w:val="99"/>
    <w:pPr>
      <w:pBdr>
        <w:bottom w:val="single" w:color="auto" w:sz="4" w:space="0"/>
        <w:right w:val="single" w:color="auto" w:sz="4" w:space="0"/>
      </w:pBdr>
      <w:spacing w:before="100" w:beforeAutospacing="1" w:after="100" w:afterAutospacing="1"/>
      <w:textAlignment w:val="center"/>
    </w:pPr>
    <w:rPr>
      <w:rFonts w:ascii="宋体" w:hAnsi="宋体" w:cs="宋体"/>
      <w:kern w:val="0"/>
      <w:sz w:val="22"/>
      <w:szCs w:val="22"/>
    </w:rPr>
  </w:style>
  <w:style w:type="paragraph" w:customStyle="1" w:styleId="1323">
    <w:name w:val="样式 宋体 小四 行距: 固定值 26 磅 首行缩进:  2 字符"/>
    <w:basedOn w:val="1"/>
    <w:qFormat/>
    <w:uiPriority w:val="99"/>
    <w:pPr>
      <w:spacing w:line="520" w:lineRule="exact"/>
      <w:ind w:firstLine="480" w:firstLineChars="200"/>
    </w:pPr>
    <w:rPr>
      <w:rFonts w:ascii="宋体" w:hAnsi="宋体" w:cs="宋体"/>
      <w:kern w:val="0"/>
      <w:sz w:val="24"/>
    </w:rPr>
  </w:style>
  <w:style w:type="paragraph" w:customStyle="1" w:styleId="1324">
    <w:name w:val="body 2"/>
    <w:basedOn w:val="4"/>
    <w:qFormat/>
    <w:uiPriority w:val="99"/>
    <w:pPr>
      <w:keepNext w:val="0"/>
      <w:keepLines w:val="0"/>
      <w:spacing w:before="120" w:after="0" w:line="240" w:lineRule="auto"/>
      <w:ind w:left="180"/>
      <w:outlineLvl w:val="9"/>
    </w:pPr>
    <w:rPr>
      <w:rFonts w:eastAsia="宋体"/>
      <w:kern w:val="0"/>
      <w:sz w:val="20"/>
      <w:szCs w:val="20"/>
      <w:lang w:eastAsia="en-US"/>
    </w:rPr>
  </w:style>
  <w:style w:type="paragraph" w:customStyle="1" w:styleId="1325">
    <w:name w:val="xl33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326">
    <w:name w:val="xl34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327">
    <w:name w:val="xl36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2"/>
      <w:szCs w:val="22"/>
    </w:rPr>
  </w:style>
  <w:style w:type="paragraph" w:customStyle="1" w:styleId="1328">
    <w:name w:val="Char Char1 Char Char Char Char Char Char1"/>
    <w:basedOn w:val="1"/>
    <w:qFormat/>
    <w:uiPriority w:val="99"/>
    <w:pPr>
      <w:adjustRightInd w:val="0"/>
      <w:snapToGrid w:val="0"/>
      <w:spacing w:after="160" w:line="240" w:lineRule="exact"/>
    </w:pPr>
    <w:rPr>
      <w:rFonts w:ascii="Verdana" w:hAnsi="Verdana" w:eastAsia="仿宋_GB2312"/>
      <w:bCs/>
      <w:spacing w:val="6"/>
      <w:kern w:val="0"/>
      <w:sz w:val="24"/>
      <w:szCs w:val="20"/>
      <w:lang w:eastAsia="en-US"/>
    </w:rPr>
  </w:style>
  <w:style w:type="paragraph" w:customStyle="1" w:styleId="1329">
    <w:name w:val="样式 首行缩进:  0.99 厘米"/>
    <w:basedOn w:val="1"/>
    <w:next w:val="87"/>
    <w:qFormat/>
    <w:uiPriority w:val="99"/>
    <w:pPr>
      <w:adjustRightInd w:val="0"/>
      <w:snapToGrid w:val="0"/>
      <w:spacing w:line="360" w:lineRule="auto"/>
      <w:ind w:firstLine="560" w:firstLineChars="200"/>
    </w:pPr>
    <w:rPr>
      <w:rFonts w:cs="宋体"/>
      <w:bCs/>
      <w:spacing w:val="6"/>
      <w:sz w:val="28"/>
      <w:szCs w:val="20"/>
    </w:rPr>
  </w:style>
  <w:style w:type="paragraph" w:customStyle="1" w:styleId="1330">
    <w:name w:val="表居中"/>
    <w:basedOn w:val="601"/>
    <w:qFormat/>
    <w:uiPriority w:val="99"/>
    <w:pPr>
      <w:spacing w:line="360" w:lineRule="auto"/>
      <w:jc w:val="center"/>
    </w:pPr>
  </w:style>
  <w:style w:type="paragraph" w:customStyle="1" w:styleId="1331">
    <w:name w:val="Decimal Aligned"/>
    <w:basedOn w:val="1"/>
    <w:qFormat/>
    <w:uiPriority w:val="40"/>
    <w:pPr>
      <w:tabs>
        <w:tab w:val="decimal" w:pos="360"/>
      </w:tabs>
      <w:adjustRightInd w:val="0"/>
      <w:snapToGrid w:val="0"/>
      <w:spacing w:after="200" w:line="276" w:lineRule="auto"/>
    </w:pPr>
    <w:rPr>
      <w:rFonts w:ascii="Calibri" w:hAnsi="Calibri"/>
      <w:bCs/>
      <w:spacing w:val="6"/>
      <w:kern w:val="0"/>
      <w:sz w:val="22"/>
      <w:szCs w:val="26"/>
    </w:rPr>
  </w:style>
  <w:style w:type="paragraph" w:customStyle="1" w:styleId="1332">
    <w:name w:val="f&lt;4&gt;23.5"/>
    <w:qFormat/>
    <w:uiPriority w:val="99"/>
    <w:pPr>
      <w:widowControl w:val="0"/>
      <w:adjustRightInd w:val="0"/>
      <w:spacing w:line="470" w:lineRule="atLeast"/>
      <w:textAlignment w:val="baseline"/>
    </w:pPr>
    <w:rPr>
      <w:rFonts w:ascii="仿宋体" w:hAnsi="Times New Roman" w:eastAsia="仿宋体" w:cs="Times New Roman"/>
      <w:kern w:val="24"/>
      <w:sz w:val="24"/>
      <w:lang w:val="en-US" w:eastAsia="zh-CN" w:bidi="ar-SA"/>
    </w:rPr>
  </w:style>
  <w:style w:type="paragraph" w:customStyle="1" w:styleId="1333">
    <w:name w:val="我的标题"/>
    <w:basedOn w:val="5"/>
    <w:qFormat/>
    <w:uiPriority w:val="99"/>
    <w:pPr>
      <w:spacing w:before="0" w:after="0" w:line="415" w:lineRule="auto"/>
      <w:ind w:firstLine="200" w:firstLineChars="200"/>
    </w:pPr>
    <w:rPr>
      <w:rFonts w:ascii="黑体" w:eastAsia="黑体" w:cs="宋体"/>
      <w:bCs w:val="0"/>
      <w:kern w:val="44"/>
      <w:sz w:val="26"/>
      <w:szCs w:val="20"/>
    </w:rPr>
  </w:style>
  <w:style w:type="paragraph" w:customStyle="1" w:styleId="1334">
    <w:name w:val="表左1"/>
    <w:basedOn w:val="1"/>
    <w:qFormat/>
    <w:uiPriority w:val="99"/>
    <w:pPr>
      <w:adjustRightInd w:val="0"/>
      <w:snapToGrid w:val="0"/>
      <w:spacing w:line="440" w:lineRule="exact"/>
    </w:pPr>
    <w:rPr>
      <w:bCs/>
      <w:spacing w:val="6"/>
      <w:sz w:val="26"/>
    </w:rPr>
  </w:style>
  <w:style w:type="paragraph" w:customStyle="1" w:styleId="1335">
    <w:name w:val="正文文字2"/>
    <w:qFormat/>
    <w:uiPriority w:val="0"/>
    <w:pPr>
      <w:adjustRightInd w:val="0"/>
      <w:spacing w:line="520" w:lineRule="exact"/>
      <w:ind w:hanging="1"/>
      <w:jc w:val="center"/>
    </w:pPr>
    <w:rPr>
      <w:rFonts w:ascii="Times New Roman" w:hAnsi="Times New Roman" w:eastAsia="宋体" w:cs="Times New Roman"/>
      <w:sz w:val="24"/>
      <w:szCs w:val="24"/>
      <w:lang w:val="en-US" w:eastAsia="zh-CN" w:bidi="ar-SA"/>
    </w:rPr>
  </w:style>
  <w:style w:type="paragraph" w:customStyle="1" w:styleId="1336">
    <w:name w:val="JXH"/>
    <w:basedOn w:val="9"/>
    <w:qFormat/>
    <w:uiPriority w:val="99"/>
    <w:pPr>
      <w:tabs>
        <w:tab w:val="left" w:pos="360"/>
      </w:tabs>
      <w:adjustRightInd/>
      <w:spacing w:before="240" w:after="60" w:line="319" w:lineRule="auto"/>
      <w:ind w:firstLine="357" w:firstLineChars="0"/>
      <w:jc w:val="center"/>
    </w:pPr>
    <w:rPr>
      <w:szCs w:val="20"/>
      <w:lang w:val="en-US"/>
    </w:rPr>
  </w:style>
  <w:style w:type="paragraph" w:customStyle="1" w:styleId="1337">
    <w:name w:val="默认段落字体 Para Char Char Char Char Char Char Char Char Char1 Char Char Char Char Char Char Char"/>
    <w:basedOn w:val="26"/>
    <w:qFormat/>
    <w:uiPriority w:val="99"/>
    <w:pPr>
      <w:adjustRightInd w:val="0"/>
      <w:snapToGrid w:val="0"/>
      <w:spacing w:line="440" w:lineRule="exact"/>
    </w:pPr>
    <w:rPr>
      <w:rFonts w:ascii="Tahoma" w:hAnsi="Tahoma" w:cs="Tahoma"/>
      <w:kern w:val="0"/>
      <w:sz w:val="28"/>
      <w:lang w:val="en-US"/>
    </w:rPr>
  </w:style>
  <w:style w:type="paragraph" w:customStyle="1" w:styleId="1338">
    <w:name w:val="注1"/>
    <w:basedOn w:val="1"/>
    <w:qFormat/>
    <w:uiPriority w:val="99"/>
    <w:pPr>
      <w:overflowPunct w:val="0"/>
      <w:topLinePunct/>
      <w:adjustRightInd w:val="0"/>
      <w:snapToGrid w:val="0"/>
      <w:spacing w:line="460" w:lineRule="exact"/>
      <w:jc w:val="center"/>
    </w:pPr>
    <w:rPr>
      <w:rFonts w:ascii="宋体" w:hAnsi="宋体"/>
      <w:b/>
      <w:color w:val="000000"/>
      <w:spacing w:val="6"/>
      <w:sz w:val="24"/>
      <w:szCs w:val="21"/>
    </w:rPr>
  </w:style>
  <w:style w:type="paragraph" w:customStyle="1" w:styleId="1339">
    <w:name w:val="我的正文"/>
    <w:basedOn w:val="1"/>
    <w:link w:val="2463"/>
    <w:qFormat/>
    <w:uiPriority w:val="0"/>
    <w:pPr>
      <w:adjustRightInd w:val="0"/>
      <w:snapToGrid w:val="0"/>
      <w:spacing w:line="400" w:lineRule="exact"/>
    </w:pPr>
    <w:rPr>
      <w:rFonts w:ascii="宋体" w:hAnsi="宋体"/>
      <w:bCs/>
      <w:spacing w:val="6"/>
      <w:sz w:val="24"/>
    </w:rPr>
  </w:style>
  <w:style w:type="paragraph" w:customStyle="1" w:styleId="1340">
    <w:name w:val="样式 表格 + 两端对齐"/>
    <w:basedOn w:val="1233"/>
    <w:qFormat/>
    <w:uiPriority w:val="99"/>
    <w:pPr>
      <w:adjustRightInd w:val="0"/>
      <w:snapToGrid w:val="0"/>
      <w:spacing w:line="240" w:lineRule="atLeast"/>
      <w:jc w:val="both"/>
    </w:pPr>
    <w:rPr>
      <w:rFonts w:ascii="宋体" w:hAnsi="宋体" w:cs="宋体"/>
      <w:bCs/>
      <w:color w:val="auto"/>
      <w:spacing w:val="4"/>
      <w:kern w:val="2"/>
    </w:rPr>
  </w:style>
  <w:style w:type="paragraph" w:customStyle="1" w:styleId="1341">
    <w:name w:val="style16"/>
    <w:basedOn w:val="1"/>
    <w:qFormat/>
    <w:uiPriority w:val="99"/>
    <w:pPr>
      <w:adjustRightInd w:val="0"/>
      <w:snapToGrid w:val="0"/>
      <w:spacing w:before="100" w:beforeAutospacing="1" w:after="100" w:afterAutospacing="1" w:line="360" w:lineRule="atLeast"/>
    </w:pPr>
    <w:rPr>
      <w:rFonts w:ascii="宋体" w:hAnsi="宋体" w:cs="宋体"/>
      <w:bCs/>
      <w:color w:val="000000"/>
      <w:spacing w:val="6"/>
      <w:kern w:val="0"/>
      <w:sz w:val="24"/>
    </w:rPr>
  </w:style>
  <w:style w:type="paragraph" w:customStyle="1" w:styleId="1342">
    <w:name w:val="样式 样式 标题 2Heading 2 HiddenHeading 2 CCBSheading 2Titre3HD2H2... ..."/>
    <w:basedOn w:val="1"/>
    <w:qFormat/>
    <w:uiPriority w:val="99"/>
    <w:pPr>
      <w:keepNext/>
      <w:keepLines/>
      <w:adjustRightInd w:val="0"/>
      <w:snapToGrid w:val="0"/>
      <w:spacing w:line="460" w:lineRule="exact"/>
      <w:ind w:left="850" w:hanging="425"/>
      <w:textAlignment w:val="baseline"/>
      <w:outlineLvl w:val="1"/>
    </w:pPr>
    <w:rPr>
      <w:rFonts w:ascii="宋体" w:hAnsi="宋体" w:cs="宋体"/>
      <w:b/>
      <w:bCs/>
      <w:color w:val="000000"/>
      <w:spacing w:val="6"/>
      <w:kern w:val="0"/>
      <w:sz w:val="26"/>
      <w:szCs w:val="20"/>
    </w:rPr>
  </w:style>
  <w:style w:type="paragraph" w:customStyle="1" w:styleId="1343">
    <w:name w:val="Char Char1 Char Char Char Char Char Char2"/>
    <w:basedOn w:val="1"/>
    <w:qFormat/>
    <w:uiPriority w:val="99"/>
    <w:pPr>
      <w:adjustRightInd w:val="0"/>
      <w:snapToGrid w:val="0"/>
      <w:spacing w:after="160" w:line="240" w:lineRule="exact"/>
    </w:pPr>
    <w:rPr>
      <w:rFonts w:ascii="Verdana" w:hAnsi="Verdana" w:eastAsia="仿宋_GB2312"/>
      <w:bCs/>
      <w:spacing w:val="6"/>
      <w:kern w:val="0"/>
      <w:sz w:val="24"/>
      <w:szCs w:val="20"/>
      <w:lang w:eastAsia="en-US"/>
    </w:rPr>
  </w:style>
  <w:style w:type="paragraph" w:customStyle="1" w:styleId="1344">
    <w:name w:val="样式 标题 1Section HeadH1 + 首行缩进:  3 字符"/>
    <w:basedOn w:val="3"/>
    <w:qFormat/>
    <w:uiPriority w:val="99"/>
    <w:pPr>
      <w:keepLines w:val="0"/>
      <w:pBdr>
        <w:bottom w:val="double" w:color="auto" w:sz="6" w:space="1"/>
      </w:pBdr>
      <w:spacing w:before="0" w:beforeLines="50" w:after="0" w:line="500" w:lineRule="exact"/>
    </w:pPr>
    <w:rPr>
      <w:rFonts w:eastAsia="黑体" w:cs="宋体"/>
      <w:spacing w:val="4"/>
      <w:kern w:val="2"/>
      <w:sz w:val="30"/>
      <w:szCs w:val="20"/>
    </w:rPr>
  </w:style>
  <w:style w:type="paragraph" w:customStyle="1" w:styleId="1345">
    <w:name w:val="xl218"/>
    <w:basedOn w:val="1"/>
    <w:qFormat/>
    <w:uiPriority w:val="99"/>
    <w:pPr>
      <w:pBdr>
        <w:top w:val="single" w:color="auto" w:sz="4" w:space="0"/>
        <w:left w:val="single" w:color="auto" w:sz="8" w:space="0"/>
        <w:bottom w:val="single" w:color="auto" w:sz="8" w:space="0"/>
      </w:pBdr>
      <w:spacing w:before="100" w:beforeAutospacing="1" w:after="100" w:afterAutospacing="1"/>
      <w:jc w:val="center"/>
      <w:textAlignment w:val="center"/>
    </w:pPr>
    <w:rPr>
      <w:rFonts w:ascii="宋体" w:hAnsi="宋体" w:cs="宋体"/>
      <w:kern w:val="0"/>
      <w:sz w:val="20"/>
      <w:szCs w:val="20"/>
    </w:rPr>
  </w:style>
  <w:style w:type="paragraph" w:customStyle="1" w:styleId="1346">
    <w:name w:val="xl224"/>
    <w:basedOn w:val="1"/>
    <w:qFormat/>
    <w:uiPriority w:val="99"/>
    <w:pPr>
      <w:pBdr>
        <w:top w:val="single" w:color="auto" w:sz="8" w:space="0"/>
      </w:pBdr>
      <w:spacing w:before="100" w:beforeAutospacing="1" w:after="100" w:afterAutospacing="1"/>
      <w:jc w:val="center"/>
      <w:textAlignment w:val="center"/>
    </w:pPr>
    <w:rPr>
      <w:rFonts w:ascii="华文细黑" w:hAnsi="华文细黑" w:eastAsia="华文细黑" w:cs="宋体"/>
      <w:b/>
      <w:bCs/>
      <w:kern w:val="0"/>
      <w:sz w:val="32"/>
      <w:szCs w:val="32"/>
    </w:rPr>
  </w:style>
  <w:style w:type="paragraph" w:customStyle="1" w:styleId="1347">
    <w:name w:val="样式 标题 1 + 13 磅"/>
    <w:basedOn w:val="3"/>
    <w:qFormat/>
    <w:uiPriority w:val="99"/>
    <w:rPr>
      <w:b w:val="0"/>
      <w:bCs w:val="0"/>
      <w:kern w:val="2"/>
      <w:sz w:val="26"/>
    </w:rPr>
  </w:style>
  <w:style w:type="paragraph" w:customStyle="1" w:styleId="1348">
    <w:name w:val="oa15"/>
    <w:basedOn w:val="1"/>
    <w:qFormat/>
    <w:uiPriority w:val="99"/>
    <w:pPr>
      <w:pBdr>
        <w:top w:val="single" w:color="000000" w:sz="4" w:space="0"/>
        <w:left w:val="single" w:color="000000" w:sz="4" w:space="0"/>
        <w:bottom w:val="single" w:color="000000" w:sz="4" w:space="0"/>
        <w:right w:val="single" w:color="000000" w:sz="4" w:space="0"/>
      </w:pBdr>
      <w:shd w:val="clear" w:color="auto" w:fill="FFFF00"/>
      <w:spacing w:before="100" w:beforeAutospacing="1" w:after="100" w:afterAutospacing="1"/>
      <w:textAlignment w:val="top"/>
    </w:pPr>
    <w:rPr>
      <w:rFonts w:ascii="宋体" w:hAnsi="宋体" w:cs="宋体"/>
      <w:kern w:val="0"/>
      <w:sz w:val="24"/>
    </w:rPr>
  </w:style>
  <w:style w:type="paragraph" w:customStyle="1" w:styleId="1349">
    <w:name w:val="xl303"/>
    <w:basedOn w:val="1"/>
    <w:qFormat/>
    <w:uiPriority w:val="99"/>
    <w:pPr>
      <w:spacing w:before="100" w:beforeAutospacing="1" w:after="100" w:afterAutospacing="1"/>
      <w:textAlignment w:val="center"/>
    </w:pPr>
    <w:rPr>
      <w:rFonts w:ascii="Calibri" w:hAnsi="Calibri" w:cs="宋体"/>
      <w:kern w:val="0"/>
      <w:sz w:val="24"/>
    </w:rPr>
  </w:style>
  <w:style w:type="paragraph" w:customStyle="1" w:styleId="1350">
    <w:name w:val="样式框图"/>
    <w:basedOn w:val="1"/>
    <w:qFormat/>
    <w:uiPriority w:val="99"/>
    <w:pPr>
      <w:adjustRightInd w:val="0"/>
      <w:snapToGrid w:val="0"/>
      <w:spacing w:line="460" w:lineRule="exact"/>
      <w:jc w:val="center"/>
    </w:pPr>
    <w:rPr>
      <w:rFonts w:ascii="宋体" w:hAnsi="宋体"/>
      <w:color w:val="000000"/>
      <w:spacing w:val="6"/>
      <w:sz w:val="24"/>
      <w:szCs w:val="20"/>
    </w:rPr>
  </w:style>
  <w:style w:type="paragraph" w:customStyle="1" w:styleId="1351">
    <w:name w:val="xl30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Calibri" w:hAnsi="Calibri" w:cs="宋体"/>
      <w:kern w:val="0"/>
      <w:sz w:val="22"/>
      <w:szCs w:val="22"/>
    </w:rPr>
  </w:style>
  <w:style w:type="paragraph" w:customStyle="1" w:styleId="1352">
    <w:name w:val="oa9"/>
    <w:basedOn w:val="1"/>
    <w:qFormat/>
    <w:uiPriority w:val="99"/>
    <w:pPr>
      <w:pBdr>
        <w:top w:val="single" w:color="000000" w:sz="4" w:space="0"/>
        <w:left w:val="single" w:color="000000" w:sz="8" w:space="0"/>
        <w:bottom w:val="single" w:color="000000" w:sz="4" w:space="0"/>
        <w:right w:val="single" w:color="000000" w:sz="4" w:space="0"/>
      </w:pBdr>
      <w:shd w:val="clear" w:color="auto" w:fill="808080"/>
      <w:spacing w:before="100" w:beforeAutospacing="1" w:after="100" w:afterAutospacing="1"/>
      <w:textAlignment w:val="top"/>
    </w:pPr>
    <w:rPr>
      <w:rFonts w:ascii="宋体" w:hAnsi="宋体" w:cs="宋体"/>
      <w:kern w:val="0"/>
      <w:sz w:val="24"/>
    </w:rPr>
  </w:style>
  <w:style w:type="paragraph" w:customStyle="1" w:styleId="1353">
    <w:name w:val="图题（F）"/>
    <w:next w:val="1"/>
    <w:qFormat/>
    <w:uiPriority w:val="99"/>
    <w:pPr>
      <w:tabs>
        <w:tab w:val="left" w:pos="0"/>
      </w:tabs>
      <w:spacing w:before="240" w:afterLines="50" w:line="460" w:lineRule="exact"/>
      <w:ind w:left="360" w:hanging="360"/>
      <w:jc w:val="center"/>
    </w:pPr>
    <w:rPr>
      <w:rFonts w:ascii="Tahoma" w:hAnsi="Tahoma" w:eastAsia="黑体" w:cs="Times New Roman"/>
      <w:kern w:val="2"/>
      <w:sz w:val="21"/>
      <w:szCs w:val="21"/>
      <w:lang w:val="en-US" w:eastAsia="zh-CN" w:bidi="ar-SA"/>
    </w:rPr>
  </w:style>
  <w:style w:type="paragraph" w:customStyle="1" w:styleId="1354">
    <w:name w:val="oa20"/>
    <w:basedOn w:val="1"/>
    <w:qFormat/>
    <w:uiPriority w:val="99"/>
    <w:pPr>
      <w:pBdr>
        <w:top w:val="single" w:color="000000" w:sz="4" w:space="0"/>
        <w:left w:val="single" w:color="000000" w:sz="4" w:space="0"/>
        <w:bottom w:val="single" w:color="000000" w:sz="4" w:space="0"/>
        <w:right w:val="single" w:color="000000" w:sz="8" w:space="0"/>
      </w:pBdr>
      <w:spacing w:before="100" w:beforeAutospacing="1" w:after="100" w:afterAutospacing="1"/>
      <w:textAlignment w:val="top"/>
    </w:pPr>
    <w:rPr>
      <w:rFonts w:ascii="宋体" w:hAnsi="宋体" w:cs="宋体"/>
      <w:kern w:val="0"/>
      <w:sz w:val="24"/>
    </w:rPr>
  </w:style>
  <w:style w:type="paragraph" w:customStyle="1" w:styleId="1355">
    <w:name w:val="000目3"/>
    <w:basedOn w:val="1"/>
    <w:qFormat/>
    <w:uiPriority w:val="99"/>
    <w:pPr>
      <w:adjustRightInd w:val="0"/>
      <w:snapToGrid w:val="0"/>
      <w:spacing w:line="360" w:lineRule="auto"/>
    </w:pPr>
    <w:rPr>
      <w:rFonts w:ascii="宋体" w:hAnsi="宋体"/>
      <w:color w:val="000000"/>
      <w:spacing w:val="6"/>
      <w:sz w:val="26"/>
    </w:rPr>
  </w:style>
  <w:style w:type="paragraph" w:customStyle="1" w:styleId="1356">
    <w:name w:val="xl32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Calibri" w:hAnsi="Calibri" w:cs="宋体"/>
      <w:kern w:val="0"/>
      <w:sz w:val="22"/>
      <w:szCs w:val="22"/>
    </w:rPr>
  </w:style>
  <w:style w:type="paragraph" w:customStyle="1" w:styleId="1357">
    <w:name w:val="xl217"/>
    <w:basedOn w:val="1"/>
    <w:qFormat/>
    <w:uiPriority w:val="99"/>
    <w:pPr>
      <w:pBdr>
        <w:top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358">
    <w:name w:val="xl31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Calibri" w:hAnsi="Calibri" w:cs="宋体"/>
      <w:kern w:val="0"/>
      <w:sz w:val="22"/>
      <w:szCs w:val="22"/>
    </w:rPr>
  </w:style>
  <w:style w:type="paragraph" w:customStyle="1" w:styleId="1359">
    <w:name w:val="바탕글"/>
    <w:qFormat/>
    <w:uiPriority w:val="99"/>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val="0"/>
      <w:autoSpaceDE w:val="0"/>
      <w:autoSpaceDN w:val="0"/>
      <w:adjustRightInd w:val="0"/>
      <w:spacing w:line="296" w:lineRule="auto"/>
      <w:jc w:val="both"/>
    </w:pPr>
    <w:rPr>
      <w:rFonts w:ascii="Batang" w:hAnsi="Times New Roman" w:eastAsia="Batang" w:cs="Times New Roman"/>
      <w:color w:val="000000"/>
      <w:lang w:val="en-US" w:eastAsia="ko-KR" w:bidi="ar-SA"/>
    </w:rPr>
  </w:style>
  <w:style w:type="paragraph" w:customStyle="1" w:styleId="1360">
    <w:name w:val="xl205"/>
    <w:basedOn w:val="1"/>
    <w:qFormat/>
    <w:uiPriority w:val="99"/>
    <w:pPr>
      <w:pBdr>
        <w:bottom w:val="single" w:color="auto" w:sz="8"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1361">
    <w:name w:val="样式 标题 1Section HeadH1 + 宋体 行距: 固定值 23 磅"/>
    <w:basedOn w:val="3"/>
    <w:qFormat/>
    <w:uiPriority w:val="99"/>
    <w:pPr>
      <w:keepLines w:val="0"/>
      <w:adjustRightInd w:val="0"/>
      <w:snapToGrid w:val="0"/>
      <w:spacing w:before="0" w:after="0" w:line="460" w:lineRule="exact"/>
    </w:pPr>
    <w:rPr>
      <w:rFonts w:ascii="宋体" w:hAnsi="宋体" w:eastAsia="黑体" w:cs="宋体"/>
      <w:color w:val="000000"/>
      <w:kern w:val="2"/>
      <w:sz w:val="26"/>
      <w:szCs w:val="20"/>
    </w:rPr>
  </w:style>
  <w:style w:type="paragraph" w:customStyle="1" w:styleId="1362">
    <w:name w:val="Standard (Web)2"/>
    <w:basedOn w:val="1"/>
    <w:qFormat/>
    <w:uiPriority w:val="99"/>
    <w:pPr>
      <w:adjustRightInd w:val="0"/>
      <w:snapToGrid w:val="0"/>
      <w:spacing w:before="100" w:beforeAutospacing="1" w:after="100" w:afterAutospacing="1" w:line="460" w:lineRule="exact"/>
      <w:ind w:left="851"/>
    </w:pPr>
    <w:rPr>
      <w:rFonts w:ascii="Arial" w:hAnsi="Arial" w:cs="Arial"/>
      <w:color w:val="000000"/>
      <w:spacing w:val="6"/>
      <w:kern w:val="0"/>
      <w:sz w:val="17"/>
      <w:szCs w:val="17"/>
    </w:rPr>
  </w:style>
  <w:style w:type="paragraph" w:customStyle="1" w:styleId="1363">
    <w:name w:val="xl223"/>
    <w:basedOn w:val="1"/>
    <w:qFormat/>
    <w:uiPriority w:val="99"/>
    <w:pPr>
      <w:pBdr>
        <w:top w:val="single" w:color="auto" w:sz="4" w:space="0"/>
        <w:left w:val="single" w:color="auto" w:sz="4" w:space="0"/>
        <w:bottom w:val="single" w:color="auto" w:sz="8" w:space="0"/>
        <w:right w:val="single" w:color="auto" w:sz="4" w:space="0"/>
      </w:pBdr>
      <w:spacing w:before="100" w:beforeAutospacing="1" w:after="100" w:afterAutospacing="1"/>
      <w:textAlignment w:val="center"/>
    </w:pPr>
    <w:rPr>
      <w:rFonts w:ascii="宋体" w:hAnsi="宋体" w:cs="宋体"/>
      <w:kern w:val="0"/>
      <w:sz w:val="24"/>
    </w:rPr>
  </w:style>
  <w:style w:type="paragraph" w:customStyle="1" w:styleId="1364">
    <w:name w:val="xl211"/>
    <w:basedOn w:val="1"/>
    <w:qFormat/>
    <w:uiPriority w:val="99"/>
    <w:pPr>
      <w:pBdr>
        <w:top w:val="single" w:color="auto" w:sz="8" w:space="0"/>
        <w:left w:val="single" w:color="auto" w:sz="4" w:space="0"/>
        <w:bottom w:val="single" w:color="auto" w:sz="4" w:space="0"/>
      </w:pBdr>
      <w:spacing w:before="100" w:beforeAutospacing="1" w:after="100" w:afterAutospacing="1"/>
      <w:jc w:val="center"/>
      <w:textAlignment w:val="center"/>
    </w:pPr>
    <w:rPr>
      <w:rFonts w:ascii="宋体" w:hAnsi="宋体" w:cs="宋体"/>
      <w:color w:val="FF0000"/>
      <w:kern w:val="0"/>
      <w:sz w:val="24"/>
    </w:rPr>
  </w:style>
  <w:style w:type="paragraph" w:customStyle="1" w:styleId="1365">
    <w:name w:val="YT报告第2级标题"/>
    <w:basedOn w:val="1"/>
    <w:qFormat/>
    <w:uiPriority w:val="99"/>
    <w:pPr>
      <w:tabs>
        <w:tab w:val="left" w:pos="1271"/>
      </w:tabs>
      <w:spacing w:line="460" w:lineRule="exact"/>
      <w:ind w:left="1200" w:hanging="420"/>
      <w:outlineLvl w:val="1"/>
    </w:pPr>
    <w:rPr>
      <w:rFonts w:ascii="宋体" w:hAnsi="宋体"/>
      <w:color w:val="000000"/>
      <w:sz w:val="28"/>
    </w:rPr>
  </w:style>
  <w:style w:type="paragraph" w:customStyle="1" w:styleId="1366">
    <w:name w:val="oa11"/>
    <w:basedOn w:val="1"/>
    <w:qFormat/>
    <w:uiPriority w:val="99"/>
    <w:pPr>
      <w:pBdr>
        <w:top w:val="single" w:color="000000" w:sz="4" w:space="0"/>
        <w:left w:val="single" w:color="000000" w:sz="4" w:space="0"/>
        <w:bottom w:val="single" w:color="000000" w:sz="4" w:space="0"/>
        <w:right w:val="single" w:color="000000" w:sz="4" w:space="0"/>
      </w:pBdr>
      <w:spacing w:before="100" w:beforeAutospacing="1" w:after="100" w:afterAutospacing="1"/>
      <w:textAlignment w:val="top"/>
    </w:pPr>
    <w:rPr>
      <w:rFonts w:ascii="宋体" w:hAnsi="宋体" w:cs="宋体"/>
      <w:kern w:val="0"/>
      <w:sz w:val="24"/>
    </w:rPr>
  </w:style>
  <w:style w:type="paragraph" w:customStyle="1" w:styleId="1367">
    <w:name w:val="CM10"/>
    <w:basedOn w:val="119"/>
    <w:next w:val="119"/>
    <w:qFormat/>
    <w:uiPriority w:val="99"/>
    <w:pPr>
      <w:spacing w:line="468" w:lineRule="atLeast"/>
    </w:pPr>
    <w:rPr>
      <w:rFonts w:ascii="宋体" w:hAnsi="Calibri" w:cs="Times New Roman"/>
      <w:color w:val="auto"/>
    </w:rPr>
  </w:style>
  <w:style w:type="paragraph" w:customStyle="1" w:styleId="1368">
    <w:name w:val="AZ"/>
    <w:basedOn w:val="1"/>
    <w:qFormat/>
    <w:uiPriority w:val="99"/>
    <w:pPr>
      <w:tabs>
        <w:tab w:val="left" w:pos="851"/>
        <w:tab w:val="left" w:pos="1260"/>
      </w:tabs>
      <w:adjustRightInd w:val="0"/>
      <w:snapToGrid w:val="0"/>
      <w:spacing w:before="60" w:after="120" w:line="460" w:lineRule="exact"/>
      <w:ind w:left="1260" w:hanging="360"/>
    </w:pPr>
    <w:rPr>
      <w:rFonts w:ascii="Arial" w:hAnsi="Arial"/>
      <w:color w:val="000000"/>
      <w:spacing w:val="6"/>
      <w:kern w:val="0"/>
      <w:sz w:val="22"/>
      <w:szCs w:val="22"/>
    </w:rPr>
  </w:style>
  <w:style w:type="paragraph" w:customStyle="1" w:styleId="1369">
    <w:name w:val="xl204"/>
    <w:basedOn w:val="1"/>
    <w:qFormat/>
    <w:uiPriority w:val="99"/>
    <w:pPr>
      <w:pBdr>
        <w:left w:val="single" w:color="auto" w:sz="4" w:space="0"/>
        <w:bottom w:val="single" w:color="auto" w:sz="8"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1370">
    <w:name w:val="oa12"/>
    <w:basedOn w:val="1"/>
    <w:qFormat/>
    <w:uiPriority w:val="99"/>
    <w:pPr>
      <w:pBdr>
        <w:top w:val="single" w:color="000000" w:sz="4" w:space="0"/>
        <w:left w:val="single" w:color="000000" w:sz="4" w:space="0"/>
        <w:bottom w:val="single" w:color="000000" w:sz="4" w:space="0"/>
        <w:right w:val="single" w:color="000000" w:sz="4" w:space="0"/>
      </w:pBdr>
      <w:spacing w:before="100" w:beforeAutospacing="1" w:after="100" w:afterAutospacing="1"/>
      <w:textAlignment w:val="center"/>
    </w:pPr>
    <w:rPr>
      <w:rFonts w:ascii="宋体" w:hAnsi="宋体" w:cs="宋体"/>
      <w:kern w:val="0"/>
      <w:sz w:val="24"/>
    </w:rPr>
  </w:style>
  <w:style w:type="paragraph" w:customStyle="1" w:styleId="1371">
    <w:name w:val="普通(Web)1"/>
    <w:basedOn w:val="1"/>
    <w:qFormat/>
    <w:uiPriority w:val="99"/>
    <w:pPr>
      <w:adjustRightInd w:val="0"/>
      <w:snapToGrid w:val="0"/>
      <w:spacing w:before="100" w:beforeAutospacing="1" w:after="100" w:afterAutospacing="1" w:line="226" w:lineRule="atLeast"/>
    </w:pPr>
    <w:rPr>
      <w:rFonts w:ascii="宋体" w:hAnsi="宋体"/>
      <w:color w:val="000000"/>
      <w:spacing w:val="6"/>
      <w:kern w:val="0"/>
      <w:sz w:val="17"/>
      <w:szCs w:val="17"/>
    </w:rPr>
  </w:style>
  <w:style w:type="paragraph" w:customStyle="1" w:styleId="1372">
    <w:name w:val="xl31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Calibri" w:hAnsi="Calibri" w:cs="宋体"/>
      <w:kern w:val="0"/>
      <w:sz w:val="24"/>
    </w:rPr>
  </w:style>
  <w:style w:type="paragraph" w:customStyle="1" w:styleId="1373">
    <w:name w:val="back-page-top1"/>
    <w:basedOn w:val="1"/>
    <w:qFormat/>
    <w:uiPriority w:val="99"/>
    <w:pPr>
      <w:adjustRightInd w:val="0"/>
      <w:snapToGrid w:val="0"/>
      <w:spacing w:before="100" w:beforeAutospacing="1" w:after="100" w:afterAutospacing="1" w:line="226" w:lineRule="atLeast"/>
      <w:jc w:val="right"/>
    </w:pPr>
    <w:rPr>
      <w:rFonts w:ascii="宋体" w:hAnsi="宋体"/>
      <w:color w:val="000000"/>
      <w:spacing w:val="6"/>
      <w:kern w:val="0"/>
      <w:sz w:val="17"/>
      <w:szCs w:val="17"/>
    </w:rPr>
  </w:style>
  <w:style w:type="paragraph" w:customStyle="1" w:styleId="1374">
    <w:name w:val="xl308"/>
    <w:basedOn w:val="1"/>
    <w:qFormat/>
    <w:uiPriority w:val="99"/>
    <w:pPr>
      <w:spacing w:before="100" w:beforeAutospacing="1" w:after="100" w:afterAutospacing="1"/>
      <w:textAlignment w:val="center"/>
    </w:pPr>
    <w:rPr>
      <w:rFonts w:ascii="Calibri" w:hAnsi="Calibri" w:cs="宋体"/>
      <w:kern w:val="0"/>
      <w:sz w:val="22"/>
      <w:szCs w:val="22"/>
    </w:rPr>
  </w:style>
  <w:style w:type="paragraph" w:customStyle="1" w:styleId="1375">
    <w:name w:val="oa26"/>
    <w:basedOn w:val="1"/>
    <w:qFormat/>
    <w:uiPriority w:val="99"/>
    <w:pPr>
      <w:pBdr>
        <w:top w:val="single" w:color="000000" w:sz="4" w:space="0"/>
        <w:left w:val="single" w:color="000000" w:sz="4" w:space="0"/>
        <w:bottom w:val="single" w:color="000000" w:sz="8" w:space="0"/>
        <w:right w:val="single" w:color="000000" w:sz="8" w:space="0"/>
      </w:pBdr>
      <w:shd w:val="clear" w:color="auto" w:fill="FF0000"/>
      <w:spacing w:before="100" w:beforeAutospacing="1" w:after="100" w:afterAutospacing="1"/>
      <w:textAlignment w:val="top"/>
    </w:pPr>
    <w:rPr>
      <w:rFonts w:ascii="宋体" w:hAnsi="宋体" w:cs="宋体"/>
      <w:kern w:val="0"/>
      <w:sz w:val="24"/>
    </w:rPr>
  </w:style>
  <w:style w:type="paragraph" w:customStyle="1" w:styleId="1376">
    <w:name w:val="样式 标题1 + 段后: 0.3 行"/>
    <w:qFormat/>
    <w:uiPriority w:val="99"/>
    <w:pPr>
      <w:tabs>
        <w:tab w:val="right" w:leader="middleDot" w:pos="7980"/>
      </w:tabs>
      <w:adjustRightInd w:val="0"/>
      <w:snapToGrid w:val="0"/>
      <w:spacing w:afterLines="30" w:line="460" w:lineRule="atLeast"/>
      <w:outlineLvl w:val="0"/>
    </w:pPr>
    <w:rPr>
      <w:rFonts w:ascii="黑体" w:hAnsi="宋体" w:eastAsia="黑体" w:cs="宋体"/>
      <w:b/>
      <w:bCs/>
      <w:color w:val="000000"/>
      <w:spacing w:val="4"/>
      <w:kern w:val="24"/>
      <w:sz w:val="21"/>
      <w:lang w:val="en-US" w:eastAsia="zh-CN" w:bidi="ar-SA"/>
    </w:rPr>
  </w:style>
  <w:style w:type="paragraph" w:customStyle="1" w:styleId="1377">
    <w:name w:val="wjyml1"/>
    <w:basedOn w:val="3"/>
    <w:qFormat/>
    <w:uiPriority w:val="99"/>
    <w:pPr>
      <w:keepLines w:val="0"/>
      <w:tabs>
        <w:tab w:val="right" w:leader="middleDot" w:pos="8640"/>
      </w:tabs>
      <w:adjustRightInd w:val="0"/>
      <w:snapToGrid w:val="0"/>
      <w:spacing w:before="0" w:after="0" w:line="500" w:lineRule="exact"/>
    </w:pPr>
    <w:rPr>
      <w:rFonts w:hAnsi="宋体" w:eastAsia="黑体"/>
      <w:b w:val="0"/>
      <w:color w:val="000000"/>
      <w:kern w:val="2"/>
      <w:sz w:val="32"/>
      <w:szCs w:val="32"/>
    </w:rPr>
  </w:style>
  <w:style w:type="paragraph" w:customStyle="1" w:styleId="1378">
    <w:name w:val="xl203"/>
    <w:basedOn w:val="1"/>
    <w:qFormat/>
    <w:uiPriority w:val="99"/>
    <w:pPr>
      <w:pBdr>
        <w:right w:val="single" w:color="auto" w:sz="4"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1379">
    <w:name w:val="font17"/>
    <w:basedOn w:val="1"/>
    <w:qFormat/>
    <w:uiPriority w:val="0"/>
    <w:pPr>
      <w:spacing w:before="100" w:beforeAutospacing="1" w:after="100" w:afterAutospacing="1"/>
    </w:pPr>
    <w:rPr>
      <w:rFonts w:ascii="黑体" w:hAnsi="黑体" w:eastAsia="黑体" w:cs="宋体"/>
      <w:kern w:val="0"/>
      <w:sz w:val="18"/>
      <w:szCs w:val="18"/>
    </w:rPr>
  </w:style>
  <w:style w:type="paragraph" w:customStyle="1" w:styleId="1380">
    <w:name w:val="oa7"/>
    <w:basedOn w:val="1"/>
    <w:qFormat/>
    <w:uiPriority w:val="99"/>
    <w:pPr>
      <w:pBdr>
        <w:top w:val="single" w:color="000000" w:sz="4" w:space="0"/>
        <w:left w:val="single" w:color="000000" w:sz="4" w:space="0"/>
        <w:bottom w:val="single" w:color="000000" w:sz="4" w:space="0"/>
        <w:right w:val="single" w:color="000000" w:sz="8" w:space="0"/>
      </w:pBdr>
      <w:spacing w:before="100" w:beforeAutospacing="1" w:after="100" w:afterAutospacing="1"/>
      <w:jc w:val="center"/>
      <w:textAlignment w:val="center"/>
    </w:pPr>
    <w:rPr>
      <w:rFonts w:ascii="宋体" w:hAnsi="宋体" w:cs="宋体"/>
      <w:kern w:val="0"/>
      <w:sz w:val="24"/>
    </w:rPr>
  </w:style>
  <w:style w:type="paragraph" w:customStyle="1" w:styleId="1381">
    <w:name w:val="样式 样式 正文缩进正文（首行缩进两字）111 Char Char111 Char Char Char + 黑色 + 左侧:  ..."/>
    <w:basedOn w:val="1"/>
    <w:next w:val="1"/>
    <w:qFormat/>
    <w:uiPriority w:val="99"/>
    <w:pPr>
      <w:tabs>
        <w:tab w:val="left" w:pos="425"/>
      </w:tabs>
      <w:adjustRightInd w:val="0"/>
      <w:snapToGrid w:val="0"/>
      <w:spacing w:line="460" w:lineRule="exact"/>
      <w:ind w:left="425" w:hanging="425"/>
    </w:pPr>
    <w:rPr>
      <w:rFonts w:ascii="宋体" w:hAnsi="宋体" w:eastAsia="幼圆"/>
      <w:color w:val="000000"/>
      <w:spacing w:val="6"/>
      <w:sz w:val="24"/>
      <w:szCs w:val="20"/>
    </w:rPr>
  </w:style>
  <w:style w:type="paragraph" w:customStyle="1" w:styleId="1382">
    <w:name w:val="样式 标题 2Heading 2 HiddenHeading 2 CCBSheading 2Titre3HD2H2..."/>
    <w:basedOn w:val="4"/>
    <w:qFormat/>
    <w:uiPriority w:val="99"/>
    <w:pPr>
      <w:adjustRightInd w:val="0"/>
      <w:snapToGrid w:val="0"/>
      <w:spacing w:before="0" w:after="0" w:line="460" w:lineRule="exact"/>
      <w:ind w:left="850" w:hanging="425"/>
      <w:textAlignment w:val="baseline"/>
    </w:pPr>
    <w:rPr>
      <w:rFonts w:ascii="宋体" w:hAnsi="宋体" w:eastAsia="宋体" w:cs="宋体"/>
      <w:bCs w:val="0"/>
      <w:color w:val="000000"/>
      <w:kern w:val="0"/>
      <w:sz w:val="26"/>
      <w:szCs w:val="26"/>
    </w:rPr>
  </w:style>
  <w:style w:type="paragraph" w:customStyle="1" w:styleId="1383">
    <w:name w:val="CM36"/>
    <w:basedOn w:val="119"/>
    <w:next w:val="119"/>
    <w:qFormat/>
    <w:uiPriority w:val="99"/>
    <w:pPr>
      <w:spacing w:after="505"/>
    </w:pPr>
    <w:rPr>
      <w:rFonts w:ascii="宋体" w:hAnsi="Calibri" w:cs="Times New Roman"/>
      <w:color w:val="auto"/>
    </w:rPr>
  </w:style>
  <w:style w:type="paragraph" w:customStyle="1" w:styleId="1384">
    <w:name w:val="xl313"/>
    <w:basedOn w:val="1"/>
    <w:qFormat/>
    <w:uiPriority w:val="99"/>
    <w:pPr>
      <w:spacing w:before="100" w:beforeAutospacing="1" w:after="100" w:afterAutospacing="1"/>
      <w:textAlignment w:val="center"/>
    </w:pPr>
    <w:rPr>
      <w:rFonts w:ascii="Calibri" w:hAnsi="Calibri" w:cs="宋体"/>
      <w:kern w:val="0"/>
      <w:sz w:val="22"/>
      <w:szCs w:val="22"/>
    </w:rPr>
  </w:style>
  <w:style w:type="paragraph" w:customStyle="1" w:styleId="1385">
    <w:name w:val="xl227"/>
    <w:basedOn w:val="1"/>
    <w:qFormat/>
    <w:uiPriority w:val="99"/>
    <w:pPr>
      <w:pBdr>
        <w:right w:val="single" w:color="auto" w:sz="4" w:space="0"/>
      </w:pBdr>
      <w:spacing w:before="100" w:beforeAutospacing="1" w:after="100" w:afterAutospacing="1"/>
      <w:jc w:val="center"/>
      <w:textAlignment w:val="center"/>
    </w:pPr>
    <w:rPr>
      <w:rFonts w:ascii="华文细黑" w:hAnsi="华文细黑" w:eastAsia="华文细黑" w:cs="宋体"/>
      <w:b/>
      <w:bCs/>
      <w:kern w:val="0"/>
      <w:sz w:val="32"/>
      <w:szCs w:val="32"/>
    </w:rPr>
  </w:style>
  <w:style w:type="paragraph" w:customStyle="1" w:styleId="1386">
    <w:name w:val="表格内容自定"/>
    <w:basedOn w:val="1"/>
    <w:qFormat/>
    <w:uiPriority w:val="99"/>
    <w:pPr>
      <w:spacing w:line="280" w:lineRule="exact"/>
      <w:jc w:val="center"/>
    </w:pPr>
    <w:rPr>
      <w:kern w:val="0"/>
      <w:sz w:val="18"/>
      <w:szCs w:val="21"/>
    </w:rPr>
  </w:style>
  <w:style w:type="paragraph" w:customStyle="1" w:styleId="1387">
    <w:name w:val="xl225"/>
    <w:basedOn w:val="1"/>
    <w:qFormat/>
    <w:uiPriority w:val="99"/>
    <w:pPr>
      <w:pBdr>
        <w:top w:val="single" w:color="auto" w:sz="8" w:space="0"/>
        <w:right w:val="single" w:color="auto" w:sz="4" w:space="0"/>
      </w:pBdr>
      <w:spacing w:before="100" w:beforeAutospacing="1" w:after="100" w:afterAutospacing="1"/>
      <w:jc w:val="center"/>
      <w:textAlignment w:val="center"/>
    </w:pPr>
    <w:rPr>
      <w:rFonts w:ascii="华文细黑" w:hAnsi="华文细黑" w:eastAsia="华文细黑" w:cs="宋体"/>
      <w:b/>
      <w:bCs/>
      <w:kern w:val="0"/>
      <w:sz w:val="32"/>
      <w:szCs w:val="32"/>
    </w:rPr>
  </w:style>
  <w:style w:type="paragraph" w:customStyle="1" w:styleId="1388">
    <w:name w:val="Comment Text"/>
    <w:basedOn w:val="1"/>
    <w:qFormat/>
    <w:uiPriority w:val="99"/>
    <w:pPr>
      <w:autoSpaceDE w:val="0"/>
      <w:autoSpaceDN w:val="0"/>
      <w:adjustRightInd w:val="0"/>
      <w:spacing w:line="312" w:lineRule="atLeast"/>
      <w:textAlignment w:val="baseline"/>
    </w:pPr>
    <w:rPr>
      <w:kern w:val="0"/>
      <w:szCs w:val="20"/>
      <w:lang w:val="en-AU"/>
    </w:rPr>
  </w:style>
  <w:style w:type="paragraph" w:customStyle="1" w:styleId="1389">
    <w:name w:val="oa21"/>
    <w:basedOn w:val="1"/>
    <w:qFormat/>
    <w:uiPriority w:val="99"/>
    <w:pPr>
      <w:pBdr>
        <w:top w:val="single" w:color="000000" w:sz="4" w:space="0"/>
        <w:left w:val="single" w:color="000000" w:sz="4" w:space="0"/>
        <w:bottom w:val="single" w:color="000000" w:sz="8" w:space="0"/>
        <w:right w:val="single" w:color="000000" w:sz="8" w:space="0"/>
      </w:pBdr>
      <w:spacing w:before="100" w:beforeAutospacing="1" w:after="100" w:afterAutospacing="1"/>
      <w:textAlignment w:val="center"/>
    </w:pPr>
    <w:rPr>
      <w:rFonts w:ascii="宋体" w:hAnsi="宋体" w:cs="宋体"/>
      <w:kern w:val="0"/>
      <w:sz w:val="24"/>
    </w:rPr>
  </w:style>
  <w:style w:type="paragraph" w:customStyle="1" w:styleId="1390">
    <w:name w:val="xl310"/>
    <w:basedOn w:val="1"/>
    <w:qFormat/>
    <w:uiPriority w:val="99"/>
    <w:pPr>
      <w:spacing w:before="100" w:beforeAutospacing="1" w:after="100" w:afterAutospacing="1"/>
      <w:textAlignment w:val="center"/>
    </w:pPr>
    <w:rPr>
      <w:rFonts w:ascii="Calibri" w:hAnsi="Calibri" w:cs="宋体"/>
      <w:kern w:val="0"/>
      <w:sz w:val="22"/>
      <w:szCs w:val="22"/>
    </w:rPr>
  </w:style>
  <w:style w:type="paragraph" w:customStyle="1" w:styleId="1391">
    <w:name w:val="xl219"/>
    <w:basedOn w:val="1"/>
    <w:qFormat/>
    <w:uiPriority w:val="99"/>
    <w:pPr>
      <w:pBdr>
        <w:top w:val="single" w:color="auto" w:sz="4" w:space="0"/>
        <w:left w:val="single" w:color="auto" w:sz="4" w:space="0"/>
        <w:bottom w:val="single" w:color="auto" w:sz="8" w:space="0"/>
      </w:pBdr>
      <w:spacing w:before="100" w:beforeAutospacing="1" w:after="100" w:afterAutospacing="1"/>
      <w:jc w:val="center"/>
      <w:textAlignment w:val="center"/>
    </w:pPr>
    <w:rPr>
      <w:rFonts w:ascii="宋体" w:hAnsi="宋体" w:cs="宋体"/>
      <w:kern w:val="0"/>
      <w:sz w:val="24"/>
    </w:rPr>
  </w:style>
  <w:style w:type="paragraph" w:customStyle="1" w:styleId="1392">
    <w:name w:val="xl222"/>
    <w:basedOn w:val="1"/>
    <w:qFormat/>
    <w:uiPriority w:val="99"/>
    <w:pPr>
      <w:pBdr>
        <w:top w:val="single" w:color="auto" w:sz="4" w:space="0"/>
        <w:left w:val="single" w:color="auto" w:sz="4" w:space="0"/>
        <w:bottom w:val="single" w:color="auto" w:sz="8" w:space="0"/>
        <w:right w:val="single" w:color="auto" w:sz="4" w:space="0"/>
      </w:pBdr>
      <w:spacing w:before="100" w:beforeAutospacing="1" w:after="100" w:afterAutospacing="1"/>
      <w:textAlignment w:val="center"/>
    </w:pPr>
    <w:rPr>
      <w:rFonts w:ascii="宋体" w:hAnsi="宋体" w:cs="宋体"/>
      <w:kern w:val="0"/>
      <w:sz w:val="24"/>
    </w:rPr>
  </w:style>
  <w:style w:type="paragraph" w:customStyle="1" w:styleId="1393">
    <w:name w:val="z-窗体顶端11"/>
    <w:basedOn w:val="1"/>
    <w:next w:val="1"/>
    <w:link w:val="2079"/>
    <w:qFormat/>
    <w:uiPriority w:val="99"/>
    <w:pPr>
      <w:pBdr>
        <w:bottom w:val="single" w:color="auto" w:sz="6" w:space="1"/>
      </w:pBdr>
      <w:adjustRightInd w:val="0"/>
      <w:snapToGrid w:val="0"/>
      <w:spacing w:line="460" w:lineRule="exact"/>
      <w:jc w:val="center"/>
    </w:pPr>
    <w:rPr>
      <w:rFonts w:ascii="Arial" w:hAnsi="Arial" w:cs="黑体"/>
      <w:vanish/>
      <w:color w:val="000000"/>
      <w:spacing w:val="6"/>
      <w:sz w:val="16"/>
      <w:szCs w:val="22"/>
    </w:rPr>
  </w:style>
  <w:style w:type="paragraph" w:customStyle="1" w:styleId="1394">
    <w:name w:val="oa23"/>
    <w:basedOn w:val="1"/>
    <w:qFormat/>
    <w:uiPriority w:val="99"/>
    <w:pPr>
      <w:pBdr>
        <w:top w:val="single" w:color="000000" w:sz="4" w:space="0"/>
        <w:left w:val="single" w:color="000000" w:sz="4" w:space="0"/>
        <w:bottom w:val="single" w:color="000000" w:sz="8" w:space="0"/>
        <w:right w:val="single" w:color="000000" w:sz="4" w:space="0"/>
      </w:pBdr>
      <w:spacing w:before="100" w:beforeAutospacing="1" w:after="100" w:afterAutospacing="1"/>
      <w:textAlignment w:val="center"/>
    </w:pPr>
    <w:rPr>
      <w:rFonts w:ascii="宋体" w:hAnsi="宋体" w:cs="宋体"/>
      <w:kern w:val="0"/>
      <w:sz w:val="24"/>
    </w:rPr>
  </w:style>
  <w:style w:type="paragraph" w:customStyle="1" w:styleId="1395">
    <w:name w:val="xl206"/>
    <w:basedOn w:val="1"/>
    <w:qFormat/>
    <w:uiPriority w:val="99"/>
    <w:pPr>
      <w:pBdr>
        <w:top w:val="single" w:color="auto" w:sz="4" w:space="0"/>
        <w:left w:val="single" w:color="auto" w:sz="4" w:space="0"/>
        <w:bottom w:val="single" w:color="auto" w:sz="4"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1396">
    <w:name w:val="xl305"/>
    <w:basedOn w:val="1"/>
    <w:qFormat/>
    <w:uiPriority w:val="99"/>
    <w:pPr>
      <w:spacing w:before="100" w:beforeAutospacing="1" w:after="100" w:afterAutospacing="1"/>
      <w:textAlignment w:val="center"/>
    </w:pPr>
    <w:rPr>
      <w:rFonts w:ascii="Calibri" w:hAnsi="Calibri" w:cs="宋体"/>
      <w:kern w:val="0"/>
      <w:sz w:val="22"/>
      <w:szCs w:val="22"/>
    </w:rPr>
  </w:style>
  <w:style w:type="paragraph" w:customStyle="1" w:styleId="1397">
    <w:name w:val="xl212"/>
    <w:basedOn w:val="1"/>
    <w:qFormat/>
    <w:uiPriority w:val="99"/>
    <w:pPr>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color w:val="FF0000"/>
      <w:kern w:val="0"/>
      <w:sz w:val="24"/>
    </w:rPr>
  </w:style>
  <w:style w:type="paragraph" w:customStyle="1" w:styleId="1398">
    <w:name w:val="表题（T）"/>
    <w:next w:val="1"/>
    <w:qFormat/>
    <w:uiPriority w:val="99"/>
    <w:pPr>
      <w:keepNext/>
      <w:tabs>
        <w:tab w:val="left" w:pos="0"/>
      </w:tabs>
      <w:adjustRightInd w:val="0"/>
      <w:snapToGrid w:val="0"/>
      <w:spacing w:beforeLines="100" w:after="60" w:line="460" w:lineRule="exact"/>
      <w:ind w:left="1130" w:hanging="420"/>
      <w:jc w:val="both"/>
    </w:pPr>
    <w:rPr>
      <w:rFonts w:ascii="Tahoma" w:hAnsi="Tahoma" w:eastAsia="黑体" w:cs="Times New Roman"/>
      <w:sz w:val="21"/>
      <w:szCs w:val="21"/>
      <w:lang w:val="en-US" w:eastAsia="zh-CN" w:bidi="ar-SA"/>
    </w:rPr>
  </w:style>
  <w:style w:type="paragraph" w:customStyle="1" w:styleId="1399">
    <w:name w:val="xl209"/>
    <w:basedOn w:val="1"/>
    <w:qFormat/>
    <w:uiPriority w:val="99"/>
    <w:pPr>
      <w:pBdr>
        <w:top w:val="single" w:color="auto" w:sz="4" w:space="0"/>
        <w:bottom w:val="single" w:color="auto" w:sz="4" w:space="0"/>
      </w:pBdr>
      <w:spacing w:before="100" w:beforeAutospacing="1" w:after="100" w:afterAutospacing="1"/>
      <w:jc w:val="center"/>
      <w:textAlignment w:val="center"/>
    </w:pPr>
    <w:rPr>
      <w:rFonts w:ascii="黑体" w:hAnsi="黑体" w:eastAsia="黑体" w:cs="宋体"/>
      <w:kern w:val="0"/>
      <w:sz w:val="24"/>
    </w:rPr>
  </w:style>
  <w:style w:type="paragraph" w:customStyle="1" w:styleId="1400">
    <w:name w:val="font18"/>
    <w:basedOn w:val="1"/>
    <w:qFormat/>
    <w:uiPriority w:val="0"/>
    <w:pPr>
      <w:spacing w:before="100" w:beforeAutospacing="1" w:after="100" w:afterAutospacing="1"/>
    </w:pPr>
    <w:rPr>
      <w:rFonts w:ascii="宋体" w:hAnsi="宋体" w:cs="宋体"/>
      <w:kern w:val="0"/>
      <w:sz w:val="24"/>
    </w:rPr>
  </w:style>
  <w:style w:type="paragraph" w:customStyle="1" w:styleId="1401">
    <w:name w:val="默认段落字体 Para Char Char Char Char Char Char Char"/>
    <w:basedOn w:val="26"/>
    <w:qFormat/>
    <w:uiPriority w:val="0"/>
    <w:rPr>
      <w:rFonts w:ascii="Tahoma" w:hAnsi="Tahoma"/>
      <w:bCs/>
      <w:sz w:val="32"/>
      <w:szCs w:val="32"/>
      <w:lang w:val="en-US"/>
    </w:rPr>
  </w:style>
  <w:style w:type="paragraph" w:customStyle="1" w:styleId="1402">
    <w:name w:val="xl207"/>
    <w:basedOn w:val="1"/>
    <w:qFormat/>
    <w:uiPriority w:val="99"/>
    <w:pPr>
      <w:pBdr>
        <w:top w:val="single" w:color="auto" w:sz="4" w:space="0"/>
        <w:bottom w:val="single" w:color="auto" w:sz="4" w:space="0"/>
        <w:right w:val="single" w:color="auto" w:sz="4"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1403">
    <w:name w:val="oa14"/>
    <w:basedOn w:val="1"/>
    <w:qFormat/>
    <w:uiPriority w:val="99"/>
    <w:pPr>
      <w:pBdr>
        <w:top w:val="single" w:color="000000" w:sz="4" w:space="0"/>
        <w:left w:val="single" w:color="000000" w:sz="4" w:space="0"/>
        <w:bottom w:val="single" w:color="000000" w:sz="4" w:space="0"/>
        <w:right w:val="single" w:color="000000" w:sz="4" w:space="0"/>
      </w:pBdr>
      <w:shd w:val="clear" w:color="auto" w:fill="FFC000"/>
      <w:spacing w:before="100" w:beforeAutospacing="1" w:after="100" w:afterAutospacing="1"/>
      <w:textAlignment w:val="top"/>
    </w:pPr>
    <w:rPr>
      <w:rFonts w:ascii="宋体" w:hAnsi="宋体" w:cs="宋体"/>
      <w:kern w:val="0"/>
      <w:sz w:val="24"/>
    </w:rPr>
  </w:style>
  <w:style w:type="paragraph" w:customStyle="1" w:styleId="1404">
    <w:name w:val="xl31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05">
    <w:name w:val="xl208"/>
    <w:basedOn w:val="1"/>
    <w:qFormat/>
    <w:uiPriority w:val="99"/>
    <w:pPr>
      <w:pBdr>
        <w:top w:val="single" w:color="auto" w:sz="4" w:space="0"/>
        <w:left w:val="single" w:color="auto" w:sz="4" w:space="0"/>
        <w:bottom w:val="single" w:color="auto" w:sz="4" w:space="0"/>
      </w:pBdr>
      <w:spacing w:before="100" w:beforeAutospacing="1" w:after="100" w:afterAutospacing="1"/>
      <w:jc w:val="center"/>
      <w:textAlignment w:val="center"/>
    </w:pPr>
    <w:rPr>
      <w:rFonts w:ascii="黑体" w:hAnsi="黑体" w:eastAsia="黑体" w:cs="宋体"/>
      <w:kern w:val="0"/>
      <w:sz w:val="24"/>
    </w:rPr>
  </w:style>
  <w:style w:type="paragraph" w:customStyle="1" w:styleId="1406">
    <w:name w:val="xl302"/>
    <w:basedOn w:val="1"/>
    <w:qFormat/>
    <w:uiPriority w:val="99"/>
    <w:pPr>
      <w:spacing w:before="100" w:beforeAutospacing="1" w:after="100" w:afterAutospacing="1"/>
      <w:jc w:val="center"/>
      <w:textAlignment w:val="center"/>
    </w:pPr>
    <w:rPr>
      <w:rFonts w:ascii="Calibri" w:hAnsi="Calibri" w:cs="宋体"/>
      <w:kern w:val="0"/>
      <w:sz w:val="24"/>
    </w:rPr>
  </w:style>
  <w:style w:type="paragraph" w:customStyle="1" w:styleId="1407">
    <w:name w:val="oa25"/>
    <w:basedOn w:val="1"/>
    <w:qFormat/>
    <w:uiPriority w:val="99"/>
    <w:pPr>
      <w:pBdr>
        <w:top w:val="single" w:color="000000" w:sz="4" w:space="0"/>
        <w:left w:val="single" w:color="000000" w:sz="4" w:space="0"/>
        <w:bottom w:val="single" w:color="000000" w:sz="8" w:space="0"/>
        <w:right w:val="single" w:color="000000" w:sz="4" w:space="0"/>
      </w:pBdr>
      <w:shd w:val="clear" w:color="auto" w:fill="FFFF00"/>
      <w:spacing w:before="100" w:beforeAutospacing="1" w:after="100" w:afterAutospacing="1"/>
      <w:textAlignment w:val="top"/>
    </w:pPr>
    <w:rPr>
      <w:rFonts w:ascii="宋体" w:hAnsi="宋体" w:cs="宋体"/>
      <w:kern w:val="0"/>
      <w:sz w:val="24"/>
    </w:rPr>
  </w:style>
  <w:style w:type="paragraph" w:customStyle="1" w:styleId="1408">
    <w:name w:val="xl301"/>
    <w:basedOn w:val="1"/>
    <w:qFormat/>
    <w:uiPriority w:val="99"/>
    <w:pPr>
      <w:spacing w:before="100" w:beforeAutospacing="1" w:after="100" w:afterAutospacing="1"/>
      <w:jc w:val="center"/>
      <w:textAlignment w:val="center"/>
    </w:pPr>
    <w:rPr>
      <w:rFonts w:ascii="Calibri" w:hAnsi="Calibri" w:cs="宋体"/>
      <w:kern w:val="0"/>
      <w:sz w:val="24"/>
    </w:rPr>
  </w:style>
  <w:style w:type="paragraph" w:customStyle="1" w:styleId="1409">
    <w:name w:val="oa4"/>
    <w:basedOn w:val="1"/>
    <w:qFormat/>
    <w:uiPriority w:val="99"/>
    <w:pPr>
      <w:pBdr>
        <w:top w:val="single" w:color="000000" w:sz="8"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4"/>
    </w:rPr>
  </w:style>
  <w:style w:type="paragraph" w:customStyle="1" w:styleId="1410">
    <w:name w:val="xl200"/>
    <w:basedOn w:val="1"/>
    <w:qFormat/>
    <w:uiPriority w:val="99"/>
    <w:pPr>
      <w:pBdr>
        <w:top w:val="single" w:color="auto" w:sz="8" w:space="0"/>
        <w:right w:val="single" w:color="auto" w:sz="4"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1411">
    <w:name w:val="oa22"/>
    <w:basedOn w:val="1"/>
    <w:qFormat/>
    <w:uiPriority w:val="99"/>
    <w:pPr>
      <w:pBdr>
        <w:top w:val="single" w:color="000000" w:sz="4" w:space="0"/>
        <w:left w:val="single" w:color="000000" w:sz="8" w:space="0"/>
        <w:bottom w:val="single" w:color="000000" w:sz="8" w:space="0"/>
        <w:right w:val="single" w:color="000000" w:sz="4" w:space="0"/>
      </w:pBdr>
      <w:spacing w:before="100" w:beforeAutospacing="1" w:after="100" w:afterAutospacing="1"/>
      <w:textAlignment w:val="center"/>
    </w:pPr>
    <w:rPr>
      <w:rFonts w:ascii="宋体" w:hAnsi="宋体" w:cs="宋体"/>
      <w:kern w:val="0"/>
      <w:sz w:val="24"/>
    </w:rPr>
  </w:style>
  <w:style w:type="paragraph" w:customStyle="1" w:styleId="1412">
    <w:name w:val="xl226"/>
    <w:basedOn w:val="1"/>
    <w:qFormat/>
    <w:uiPriority w:val="99"/>
    <w:pPr>
      <w:spacing w:before="100" w:beforeAutospacing="1" w:after="100" w:afterAutospacing="1"/>
      <w:jc w:val="center"/>
      <w:textAlignment w:val="center"/>
    </w:pPr>
    <w:rPr>
      <w:rFonts w:ascii="华文细黑" w:hAnsi="华文细黑" w:eastAsia="华文细黑" w:cs="宋体"/>
      <w:b/>
      <w:bCs/>
      <w:kern w:val="0"/>
      <w:sz w:val="32"/>
      <w:szCs w:val="32"/>
    </w:rPr>
  </w:style>
  <w:style w:type="paragraph" w:customStyle="1" w:styleId="1413">
    <w:name w:val="xl214"/>
    <w:basedOn w:val="1"/>
    <w:qFormat/>
    <w:uiPriority w:val="99"/>
    <w:pPr>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14">
    <w:name w:val="xl31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15">
    <w:name w:val="xl201"/>
    <w:basedOn w:val="1"/>
    <w:qFormat/>
    <w:uiPriority w:val="99"/>
    <w:pPr>
      <w:pBdr>
        <w:left w:val="single" w:color="auto" w:sz="4" w:space="0"/>
      </w:pBdr>
      <w:spacing w:before="100" w:beforeAutospacing="1" w:after="100" w:afterAutospacing="1"/>
      <w:jc w:val="center"/>
      <w:textAlignment w:val="center"/>
    </w:pPr>
    <w:rPr>
      <w:rFonts w:ascii="黑体" w:hAnsi="黑体" w:eastAsia="黑体" w:cs="宋体"/>
      <w:kern w:val="0"/>
      <w:sz w:val="20"/>
      <w:szCs w:val="20"/>
    </w:rPr>
  </w:style>
  <w:style w:type="paragraph" w:customStyle="1" w:styleId="1416">
    <w:name w:val="Char Char12 Zchn Zchn"/>
    <w:basedOn w:val="1"/>
    <w:qFormat/>
    <w:uiPriority w:val="99"/>
    <w:rPr>
      <w:sz w:val="24"/>
    </w:rPr>
  </w:style>
  <w:style w:type="paragraph" w:customStyle="1" w:styleId="1417">
    <w:name w:val="xl30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18">
    <w:name w:val="oa16"/>
    <w:basedOn w:val="1"/>
    <w:qFormat/>
    <w:uiPriority w:val="99"/>
    <w:pPr>
      <w:pBdr>
        <w:top w:val="single" w:color="000000" w:sz="4" w:space="0"/>
        <w:left w:val="single" w:color="000000" w:sz="4" w:space="0"/>
        <w:bottom w:val="single" w:color="000000" w:sz="4" w:space="0"/>
        <w:right w:val="single" w:color="000000" w:sz="4" w:space="0"/>
      </w:pBdr>
      <w:shd w:val="clear" w:color="auto" w:fill="FF0000"/>
      <w:spacing w:before="100" w:beforeAutospacing="1" w:after="100" w:afterAutospacing="1"/>
      <w:textAlignment w:val="top"/>
    </w:pPr>
    <w:rPr>
      <w:rFonts w:ascii="宋体" w:hAnsi="宋体" w:cs="宋体"/>
      <w:kern w:val="0"/>
      <w:sz w:val="24"/>
    </w:rPr>
  </w:style>
  <w:style w:type="paragraph" w:customStyle="1" w:styleId="1419">
    <w:name w:val="xl31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Calibri" w:hAnsi="Calibri" w:cs="宋体"/>
      <w:kern w:val="0"/>
      <w:sz w:val="26"/>
      <w:szCs w:val="26"/>
    </w:rPr>
  </w:style>
  <w:style w:type="paragraph" w:customStyle="1" w:styleId="1420">
    <w:name w:val="xl216"/>
    <w:basedOn w:val="1"/>
    <w:qFormat/>
    <w:uiPriority w:val="99"/>
    <w:pPr>
      <w:pBdr>
        <w:top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421">
    <w:name w:val="xl304"/>
    <w:basedOn w:val="1"/>
    <w:qFormat/>
    <w:uiPriority w:val="99"/>
    <w:pPr>
      <w:spacing w:before="100" w:beforeAutospacing="1" w:after="100" w:afterAutospacing="1"/>
      <w:textAlignment w:val="center"/>
    </w:pPr>
    <w:rPr>
      <w:rFonts w:ascii="Calibri" w:hAnsi="Calibri" w:cs="宋体"/>
      <w:kern w:val="0"/>
      <w:sz w:val="24"/>
    </w:rPr>
  </w:style>
  <w:style w:type="paragraph" w:customStyle="1" w:styleId="1422">
    <w:name w:val="xl32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23">
    <w:name w:val="xl34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E26B0A"/>
      <w:kern w:val="0"/>
      <w:sz w:val="22"/>
      <w:szCs w:val="22"/>
    </w:rPr>
  </w:style>
  <w:style w:type="paragraph" w:customStyle="1" w:styleId="1424">
    <w:name w:val="xl32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25">
    <w:name w:val="xl32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Calibri" w:hAnsi="Calibri" w:cs="宋体"/>
      <w:kern w:val="0"/>
      <w:sz w:val="22"/>
      <w:szCs w:val="22"/>
    </w:rPr>
  </w:style>
  <w:style w:type="paragraph" w:customStyle="1" w:styleId="1426">
    <w:name w:val="xl32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b/>
      <w:bCs/>
      <w:kern w:val="0"/>
      <w:sz w:val="22"/>
      <w:szCs w:val="22"/>
    </w:rPr>
  </w:style>
  <w:style w:type="paragraph" w:customStyle="1" w:styleId="1427">
    <w:name w:val="xl32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Calibri" w:hAnsi="Calibri" w:cs="宋体"/>
      <w:b/>
      <w:bCs/>
      <w:kern w:val="0"/>
      <w:sz w:val="22"/>
      <w:szCs w:val="22"/>
    </w:rPr>
  </w:style>
  <w:style w:type="paragraph" w:customStyle="1" w:styleId="1428">
    <w:name w:val="xl32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429">
    <w:name w:val="xl32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6"/>
      <w:szCs w:val="26"/>
    </w:rPr>
  </w:style>
  <w:style w:type="paragraph" w:customStyle="1" w:styleId="1430">
    <w:name w:val="xl35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Cs w:val="21"/>
    </w:rPr>
  </w:style>
  <w:style w:type="paragraph" w:customStyle="1" w:styleId="1431">
    <w:name w:val="xl33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6"/>
      <w:szCs w:val="26"/>
    </w:rPr>
  </w:style>
  <w:style w:type="paragraph" w:customStyle="1" w:styleId="1432">
    <w:name w:val="xl33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33">
    <w:name w:val="xl36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1434">
    <w:name w:val="xl333"/>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35">
    <w:name w:val="xl360"/>
    <w:basedOn w:val="1"/>
    <w:qFormat/>
    <w:uiPriority w:val="99"/>
    <w:pPr>
      <w:pBdr>
        <w:top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1436">
    <w:name w:val="xl33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37">
    <w:name w:val="xl35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E26B0A"/>
      <w:kern w:val="0"/>
      <w:sz w:val="22"/>
      <w:szCs w:val="22"/>
    </w:rPr>
  </w:style>
  <w:style w:type="paragraph" w:customStyle="1" w:styleId="1438">
    <w:name w:val="xl33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39">
    <w:name w:val="xl33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s="宋体"/>
      <w:kern w:val="0"/>
      <w:sz w:val="22"/>
      <w:szCs w:val="22"/>
    </w:rPr>
  </w:style>
  <w:style w:type="paragraph" w:customStyle="1" w:styleId="1440">
    <w:name w:val="xl2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kern w:val="0"/>
      <w:sz w:val="19"/>
      <w:szCs w:val="20"/>
    </w:rPr>
  </w:style>
  <w:style w:type="paragraph" w:customStyle="1" w:styleId="1441">
    <w:name w:val="xl33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6"/>
      <w:szCs w:val="26"/>
    </w:rPr>
  </w:style>
  <w:style w:type="paragraph" w:customStyle="1" w:styleId="1442">
    <w:name w:val="xl340"/>
    <w:basedOn w:val="1"/>
    <w:qFormat/>
    <w:uiPriority w:val="99"/>
    <w:pPr>
      <w:pBdr>
        <w:top w:val="single" w:color="auto" w:sz="4" w:space="0"/>
        <w:bottom w:val="single" w:color="auto" w:sz="4" w:space="0"/>
        <w:right w:val="single" w:color="auto" w:sz="4" w:space="0"/>
      </w:pBdr>
      <w:spacing w:before="100" w:beforeAutospacing="1" w:after="100" w:afterAutospacing="1"/>
      <w:jc w:val="right"/>
      <w:textAlignment w:val="center"/>
    </w:pPr>
    <w:rPr>
      <w:rFonts w:ascii="Calibri" w:hAnsi="Calibri" w:cs="宋体"/>
      <w:kern w:val="0"/>
      <w:sz w:val="22"/>
      <w:szCs w:val="22"/>
    </w:rPr>
  </w:style>
  <w:style w:type="paragraph" w:customStyle="1" w:styleId="1443">
    <w:name w:val="xl34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444">
    <w:name w:val="xl34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2"/>
      <w:szCs w:val="22"/>
    </w:rPr>
  </w:style>
  <w:style w:type="paragraph" w:customStyle="1" w:styleId="1445">
    <w:name w:val="xl34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2"/>
      <w:szCs w:val="22"/>
    </w:rPr>
  </w:style>
  <w:style w:type="paragraph" w:customStyle="1" w:styleId="1446">
    <w:name w:val="xl345"/>
    <w:basedOn w:val="1"/>
    <w:qFormat/>
    <w:uiPriority w:val="99"/>
    <w:pPr>
      <w:spacing w:before="100" w:beforeAutospacing="1" w:after="100" w:afterAutospacing="1"/>
    </w:pPr>
    <w:rPr>
      <w:rFonts w:ascii="宋体" w:hAnsi="宋体" w:cs="宋体"/>
      <w:kern w:val="0"/>
      <w:szCs w:val="21"/>
    </w:rPr>
  </w:style>
  <w:style w:type="paragraph" w:customStyle="1" w:styleId="1447">
    <w:name w:val="xl34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2"/>
      <w:szCs w:val="22"/>
    </w:rPr>
  </w:style>
  <w:style w:type="paragraph" w:customStyle="1" w:styleId="1448">
    <w:name w:val="xl348"/>
    <w:basedOn w:val="1"/>
    <w:qFormat/>
    <w:uiPriority w:val="99"/>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2"/>
      <w:szCs w:val="22"/>
    </w:rPr>
  </w:style>
  <w:style w:type="paragraph" w:customStyle="1" w:styleId="1449">
    <w:name w:val="xl35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E26B0A"/>
      <w:kern w:val="0"/>
      <w:sz w:val="22"/>
      <w:szCs w:val="22"/>
    </w:rPr>
  </w:style>
  <w:style w:type="paragraph" w:customStyle="1" w:styleId="1450">
    <w:name w:val="xl352"/>
    <w:basedOn w:val="1"/>
    <w:qFormat/>
    <w:uiPriority w:val="99"/>
    <w:pPr>
      <w:pBdr>
        <w:top w:val="single" w:color="auto" w:sz="4" w:space="0"/>
        <w:bottom w:val="single" w:color="auto" w:sz="4" w:space="0"/>
        <w:right w:val="single" w:color="auto" w:sz="4" w:space="0"/>
      </w:pBdr>
      <w:spacing w:before="100" w:beforeAutospacing="1" w:after="100" w:afterAutospacing="1"/>
      <w:jc w:val="right"/>
      <w:textAlignment w:val="center"/>
    </w:pPr>
    <w:rPr>
      <w:rFonts w:ascii="Calibri" w:hAnsi="Calibri" w:cs="宋体"/>
      <w:color w:val="E26B0A"/>
      <w:kern w:val="0"/>
      <w:sz w:val="22"/>
      <w:szCs w:val="22"/>
    </w:rPr>
  </w:style>
  <w:style w:type="paragraph" w:customStyle="1" w:styleId="1451">
    <w:name w:val="xl35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E26B0A"/>
      <w:kern w:val="0"/>
      <w:sz w:val="22"/>
      <w:szCs w:val="22"/>
    </w:rPr>
  </w:style>
  <w:style w:type="paragraph" w:customStyle="1" w:styleId="1452">
    <w:name w:val="xl356"/>
    <w:basedOn w:val="1"/>
    <w:qFormat/>
    <w:uiPriority w:val="99"/>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color w:val="E26B0A"/>
      <w:kern w:val="0"/>
      <w:sz w:val="22"/>
      <w:szCs w:val="22"/>
    </w:rPr>
  </w:style>
  <w:style w:type="paragraph" w:customStyle="1" w:styleId="1453">
    <w:name w:val="xl358"/>
    <w:basedOn w:val="1"/>
    <w:qFormat/>
    <w:uiPriority w:val="99"/>
    <w:pPr>
      <w:pBdr>
        <w:top w:val="single" w:color="auto" w:sz="4" w:space="0"/>
        <w:left w:val="single" w:color="auto" w:sz="4" w:space="0"/>
        <w:bottom w:val="single" w:color="auto" w:sz="4" w:space="0"/>
      </w:pBdr>
      <w:spacing w:before="100" w:beforeAutospacing="1" w:after="100" w:afterAutospacing="1"/>
      <w:jc w:val="center"/>
      <w:textAlignment w:val="center"/>
    </w:pPr>
    <w:rPr>
      <w:kern w:val="0"/>
      <w:sz w:val="22"/>
      <w:szCs w:val="22"/>
    </w:rPr>
  </w:style>
  <w:style w:type="paragraph" w:customStyle="1" w:styleId="1454">
    <w:name w:val="xl362"/>
    <w:basedOn w:val="1"/>
    <w:qFormat/>
    <w:uiPriority w:val="99"/>
    <w:pPr>
      <w:pBdr>
        <w:left w:val="single" w:color="auto" w:sz="4" w:space="0"/>
        <w:bottom w:val="single" w:color="auto" w:sz="4" w:space="0"/>
        <w:right w:val="single" w:color="auto" w:sz="4" w:space="0"/>
      </w:pBdr>
      <w:spacing w:before="100" w:beforeAutospacing="1" w:after="100" w:afterAutospacing="1"/>
    </w:pPr>
    <w:rPr>
      <w:rFonts w:ascii="宋体" w:hAnsi="宋体" w:cs="宋体"/>
      <w:kern w:val="0"/>
      <w:sz w:val="22"/>
      <w:szCs w:val="22"/>
    </w:rPr>
  </w:style>
  <w:style w:type="paragraph" w:customStyle="1" w:styleId="1455">
    <w:name w:val="xl19"/>
    <w:basedOn w:val="1"/>
    <w:qFormat/>
    <w:uiPriority w:val="99"/>
    <w:pPr>
      <w:spacing w:before="100" w:beforeAutospacing="1" w:after="100" w:afterAutospacing="1"/>
    </w:pPr>
    <w:rPr>
      <w:rFonts w:hint="eastAsia" w:ascii="黑体" w:hAnsi="Arial Unicode MS" w:eastAsia="黑体"/>
      <w:kern w:val="0"/>
      <w:sz w:val="32"/>
      <w:szCs w:val="20"/>
    </w:rPr>
  </w:style>
  <w:style w:type="paragraph" w:customStyle="1" w:styleId="1456">
    <w:name w:val="样式a1"/>
    <w:basedOn w:val="7"/>
    <w:qFormat/>
    <w:uiPriority w:val="99"/>
    <w:pPr>
      <w:adjustRightInd/>
      <w:snapToGrid/>
      <w:spacing w:before="0" w:after="0" w:line="360" w:lineRule="auto"/>
      <w:ind w:firstLine="0" w:firstLineChars="0"/>
    </w:pPr>
    <w:rPr>
      <w:bCs/>
      <w:spacing w:val="0"/>
      <w:szCs w:val="20"/>
    </w:rPr>
  </w:style>
  <w:style w:type="paragraph" w:customStyle="1" w:styleId="1457">
    <w:name w:val="默认段落字体 Para Char Char Char Char Char Char Char Char Char Char"/>
    <w:basedOn w:val="1"/>
    <w:qFormat/>
    <w:uiPriority w:val="0"/>
    <w:rPr>
      <w:rFonts w:ascii="Tahoma" w:hAnsi="Tahoma"/>
      <w:sz w:val="24"/>
      <w:szCs w:val="20"/>
    </w:rPr>
  </w:style>
  <w:style w:type="paragraph" w:customStyle="1" w:styleId="1458">
    <w:name w:val="CM69"/>
    <w:basedOn w:val="119"/>
    <w:next w:val="119"/>
    <w:qFormat/>
    <w:uiPriority w:val="99"/>
    <w:pPr>
      <w:spacing w:after="92"/>
    </w:pPr>
    <w:rPr>
      <w:rFonts w:ascii="..ì." w:hAnsi="Times New Roman" w:eastAsia="..ì." w:cs="Times New Roman"/>
      <w:color w:val="auto"/>
    </w:rPr>
  </w:style>
  <w:style w:type="paragraph" w:customStyle="1" w:styleId="1459">
    <w:name w:val="Char Char Char Char Char Char Char Char"/>
    <w:basedOn w:val="1"/>
    <w:qFormat/>
    <w:uiPriority w:val="0"/>
    <w:pPr>
      <w:spacing w:after="160" w:line="240" w:lineRule="exact"/>
    </w:pPr>
    <w:rPr>
      <w:rFonts w:ascii="Verdana" w:hAnsi="Verdana" w:eastAsia="Times New Roman"/>
      <w:kern w:val="0"/>
      <w:sz w:val="20"/>
      <w:szCs w:val="20"/>
      <w:lang w:eastAsia="en-US"/>
    </w:rPr>
  </w:style>
  <w:style w:type="paragraph" w:customStyle="1" w:styleId="1460">
    <w:name w:val="图"/>
    <w:basedOn w:val="72"/>
    <w:qFormat/>
    <w:uiPriority w:val="0"/>
    <w:pPr>
      <w:snapToGrid w:val="0"/>
      <w:spacing w:after="0" w:line="240" w:lineRule="auto"/>
    </w:pPr>
    <w:rPr>
      <w:rFonts w:ascii="宋体" w:hAnsi="宋体" w:eastAsia="宋体"/>
      <w:sz w:val="24"/>
      <w:szCs w:val="24"/>
    </w:rPr>
  </w:style>
  <w:style w:type="paragraph" w:customStyle="1" w:styleId="1461">
    <w:name w:val="reader-word-layer reader-word-s2-14"/>
    <w:basedOn w:val="1"/>
    <w:qFormat/>
    <w:uiPriority w:val="99"/>
    <w:pPr>
      <w:spacing w:before="100" w:beforeAutospacing="1" w:after="100" w:afterAutospacing="1"/>
    </w:pPr>
    <w:rPr>
      <w:rFonts w:ascii="宋体" w:hAnsi="宋体" w:cs="宋体"/>
      <w:kern w:val="0"/>
      <w:sz w:val="24"/>
    </w:rPr>
  </w:style>
  <w:style w:type="paragraph" w:customStyle="1" w:styleId="1462">
    <w:name w:val="reader-word-layer reader-word-s2-29"/>
    <w:basedOn w:val="1"/>
    <w:qFormat/>
    <w:uiPriority w:val="99"/>
    <w:pPr>
      <w:spacing w:before="100" w:beforeAutospacing="1" w:after="100" w:afterAutospacing="1"/>
    </w:pPr>
    <w:rPr>
      <w:rFonts w:ascii="宋体" w:hAnsi="宋体" w:cs="宋体"/>
      <w:kern w:val="0"/>
      <w:sz w:val="24"/>
    </w:rPr>
  </w:style>
  <w:style w:type="table" w:customStyle="1" w:styleId="1463">
    <w:name w:val="网格型2"/>
    <w:basedOn w:val="88"/>
    <w:qFormat/>
    <w:uiPriority w:val="0"/>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464">
    <w:name w:val="表格格式——kerlin1"/>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65">
    <w:name w:val="my table typle"/>
    <w:basedOn w:val="88"/>
    <w:qFormat/>
    <w:uiPriority w:val="0"/>
    <w:pPr>
      <w:spacing w:line="0" w:lineRule="atLeast"/>
      <w:contextualSpacing/>
      <w:jc w:val="center"/>
    </w:pPr>
    <w:rPr>
      <w:sz w:val="21"/>
      <w:szCs w:val="21"/>
    </w:rPr>
    <w:tblPr>
      <w:jc w:val="center"/>
      <w:tblBorders>
        <w:top w:val="single" w:color="000000" w:sz="12" w:space="0"/>
        <w:bottom w:val="single" w:color="000000" w:sz="12" w:space="0"/>
        <w:insideH w:val="single" w:color="000000" w:sz="2" w:space="0"/>
        <w:insideV w:val="single" w:color="000000" w:sz="2" w:space="0"/>
      </w:tblBorders>
      <w:tblCellMar>
        <w:left w:w="0" w:type="dxa"/>
        <w:right w:w="0" w:type="dxa"/>
      </w:tblCellMar>
    </w:tblPr>
    <w:trPr>
      <w:jc w:val="center"/>
    </w:trPr>
    <w:tcPr>
      <w:shd w:val="clear" w:color="auto" w:fill="auto"/>
      <w:vAlign w:val="center"/>
    </w:tcPr>
  </w:style>
  <w:style w:type="table" w:customStyle="1" w:styleId="1466">
    <w:name w:val="网格型1"/>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67">
    <w:name w:val="标题4"/>
    <w:basedOn w:val="752"/>
    <w:link w:val="1468"/>
    <w:qFormat/>
    <w:uiPriority w:val="0"/>
    <w:pPr>
      <w:keepNext w:val="0"/>
      <w:keepLines w:val="0"/>
      <w:spacing w:before="0" w:after="0" w:line="420" w:lineRule="exact"/>
      <w:ind w:left="1844" w:hanging="851"/>
      <w:outlineLvl w:val="9"/>
    </w:pPr>
    <w:rPr>
      <w:rFonts w:ascii="Calibri" w:hAnsi="Calibri" w:cs="Times New Roman"/>
      <w:b w:val="0"/>
      <w:bCs w:val="0"/>
      <w:kern w:val="0"/>
      <w:sz w:val="24"/>
      <w:szCs w:val="24"/>
      <w:lang w:val="zh-CN"/>
    </w:rPr>
  </w:style>
  <w:style w:type="character" w:customStyle="1" w:styleId="1468">
    <w:name w:val="标题4 Char"/>
    <w:link w:val="1467"/>
    <w:qFormat/>
    <w:locked/>
    <w:uiPriority w:val="0"/>
    <w:rPr>
      <w:rFonts w:ascii="Calibri" w:hAnsi="Calibri"/>
      <w:sz w:val="24"/>
      <w:szCs w:val="24"/>
      <w:lang w:val="zh-CN"/>
    </w:rPr>
  </w:style>
  <w:style w:type="paragraph" w:customStyle="1" w:styleId="1469">
    <w:name w:val="标题5"/>
    <w:basedOn w:val="1467"/>
    <w:qFormat/>
    <w:uiPriority w:val="0"/>
    <w:pPr>
      <w:tabs>
        <w:tab w:val="left" w:pos="3600"/>
      </w:tabs>
      <w:ind w:left="3600" w:hanging="720"/>
    </w:pPr>
    <w:rPr>
      <w:rFonts w:ascii="宋体" w:hAnsi="宋体" w:cs="Calibri"/>
    </w:rPr>
  </w:style>
  <w:style w:type="paragraph" w:customStyle="1" w:styleId="1470">
    <w:name w:val="正文GY"/>
    <w:basedOn w:val="1"/>
    <w:qFormat/>
    <w:uiPriority w:val="99"/>
    <w:pPr>
      <w:spacing w:line="360" w:lineRule="auto"/>
      <w:ind w:firstLine="480" w:firstLineChars="200"/>
    </w:pPr>
    <w:rPr>
      <w:bCs/>
      <w:color w:val="000000"/>
      <w:sz w:val="24"/>
    </w:rPr>
  </w:style>
  <w:style w:type="paragraph" w:customStyle="1" w:styleId="1471">
    <w:name w:val="11表内字"/>
    <w:basedOn w:val="1"/>
    <w:qFormat/>
    <w:uiPriority w:val="99"/>
    <w:pPr>
      <w:autoSpaceDE w:val="0"/>
      <w:autoSpaceDN w:val="0"/>
      <w:jc w:val="center"/>
    </w:pPr>
    <w:rPr>
      <w:szCs w:val="20"/>
    </w:rPr>
  </w:style>
  <w:style w:type="paragraph" w:customStyle="1" w:styleId="1472">
    <w:name w:val="5文章(治)"/>
    <w:basedOn w:val="1"/>
    <w:link w:val="1792"/>
    <w:qFormat/>
    <w:uiPriority w:val="0"/>
    <w:pPr>
      <w:spacing w:line="360" w:lineRule="auto"/>
      <w:ind w:firstLine="560" w:firstLineChars="200"/>
    </w:pPr>
    <w:rPr>
      <w:rFonts w:eastAsia="楷体_GB2312"/>
      <w:sz w:val="28"/>
      <w:szCs w:val="20"/>
    </w:rPr>
  </w:style>
  <w:style w:type="character" w:customStyle="1" w:styleId="1473">
    <w:name w:val="三级 Char"/>
    <w:link w:val="1130"/>
    <w:qFormat/>
    <w:uiPriority w:val="0"/>
    <w:rPr>
      <w:b/>
      <w:kern w:val="2"/>
      <w:sz w:val="28"/>
    </w:rPr>
  </w:style>
  <w:style w:type="paragraph" w:customStyle="1" w:styleId="1474">
    <w:name w:val="样式 首行缩进:  2 字符3"/>
    <w:basedOn w:val="1"/>
    <w:qFormat/>
    <w:uiPriority w:val="99"/>
    <w:pPr>
      <w:spacing w:line="360" w:lineRule="auto"/>
      <w:ind w:firstLine="200" w:firstLineChars="200"/>
    </w:pPr>
    <w:rPr>
      <w:rFonts w:cs="宋体"/>
      <w:sz w:val="24"/>
      <w:szCs w:val="20"/>
    </w:rPr>
  </w:style>
  <w:style w:type="paragraph" w:customStyle="1" w:styleId="1475">
    <w:name w:val="9"/>
    <w:basedOn w:val="1"/>
    <w:next w:val="547"/>
    <w:qFormat/>
    <w:uiPriority w:val="0"/>
    <w:pPr>
      <w:ind w:firstLine="420" w:firstLineChars="200"/>
    </w:pPr>
    <w:rPr>
      <w:lang w:val="zh-CN"/>
    </w:rPr>
  </w:style>
  <w:style w:type="character" w:customStyle="1" w:styleId="1476">
    <w:name w:val="段 Char"/>
    <w:link w:val="1229"/>
    <w:qFormat/>
    <w:uiPriority w:val="0"/>
    <w:rPr>
      <w:rFonts w:ascii="宋体"/>
      <w:sz w:val="21"/>
    </w:rPr>
  </w:style>
  <w:style w:type="paragraph" w:customStyle="1" w:styleId="1477">
    <w:name w:val="样式 样式 首行缩进:  2 字符5 + 首行缩进:  2 字符1"/>
    <w:basedOn w:val="1"/>
    <w:qFormat/>
    <w:uiPriority w:val="99"/>
    <w:pPr>
      <w:spacing w:line="360" w:lineRule="auto"/>
      <w:jc w:val="center"/>
    </w:pPr>
    <w:rPr>
      <w:rFonts w:cs="宋体"/>
      <w:b/>
      <w:sz w:val="24"/>
      <w:szCs w:val="20"/>
    </w:rPr>
  </w:style>
  <w:style w:type="paragraph" w:customStyle="1" w:styleId="1478">
    <w:name w:val="CM1"/>
    <w:basedOn w:val="1"/>
    <w:next w:val="1"/>
    <w:qFormat/>
    <w:uiPriority w:val="0"/>
    <w:pPr>
      <w:autoSpaceDE w:val="0"/>
      <w:autoSpaceDN w:val="0"/>
      <w:adjustRightInd w:val="0"/>
      <w:ind w:firstLine="200" w:firstLineChars="200"/>
    </w:pPr>
    <w:rPr>
      <w:rFonts w:ascii="宋体" w:cs="宋体"/>
      <w:kern w:val="0"/>
      <w:sz w:val="24"/>
    </w:rPr>
  </w:style>
  <w:style w:type="paragraph" w:customStyle="1" w:styleId="1479">
    <w:name w:val="样式 左 行距: 1.5 倍行距"/>
    <w:basedOn w:val="1"/>
    <w:qFormat/>
    <w:uiPriority w:val="99"/>
    <w:pPr>
      <w:spacing w:line="312" w:lineRule="auto"/>
      <w:ind w:firstLine="200" w:firstLineChars="200"/>
    </w:pPr>
    <w:rPr>
      <w:rFonts w:cs="宋体"/>
      <w:sz w:val="24"/>
      <w:szCs w:val="20"/>
    </w:rPr>
  </w:style>
  <w:style w:type="paragraph" w:customStyle="1" w:styleId="1480">
    <w:name w:val="样式 黑色 左 行距: 1.5 倍行距"/>
    <w:basedOn w:val="1"/>
    <w:qFormat/>
    <w:uiPriority w:val="99"/>
    <w:pPr>
      <w:spacing w:line="312" w:lineRule="auto"/>
      <w:ind w:firstLine="200" w:firstLineChars="200"/>
    </w:pPr>
    <w:rPr>
      <w:rFonts w:cs="宋体"/>
      <w:color w:val="000000"/>
      <w:sz w:val="24"/>
      <w:szCs w:val="20"/>
    </w:rPr>
  </w:style>
  <w:style w:type="paragraph" w:customStyle="1" w:styleId="1481">
    <w:name w:val="样式 黑色 首行缩进:  2 字符 行距: 1.5 倍行距"/>
    <w:basedOn w:val="1"/>
    <w:link w:val="1482"/>
    <w:qFormat/>
    <w:uiPriority w:val="0"/>
    <w:pPr>
      <w:spacing w:line="360" w:lineRule="auto"/>
      <w:ind w:firstLine="514" w:firstLineChars="200"/>
    </w:pPr>
    <w:rPr>
      <w:color w:val="000000"/>
      <w:sz w:val="24"/>
      <w:szCs w:val="20"/>
      <w:lang w:val="zh-CN"/>
    </w:rPr>
  </w:style>
  <w:style w:type="character" w:customStyle="1" w:styleId="1482">
    <w:name w:val="样式 黑色 首行缩进:  2 字符 行距: 1.5 倍行距 Char"/>
    <w:link w:val="1481"/>
    <w:qFormat/>
    <w:uiPriority w:val="0"/>
    <w:rPr>
      <w:color w:val="000000"/>
      <w:kern w:val="2"/>
      <w:sz w:val="24"/>
      <w:lang w:val="zh-CN" w:eastAsia="zh-CN"/>
    </w:rPr>
  </w:style>
  <w:style w:type="character" w:customStyle="1" w:styleId="1483">
    <w:name w:val="表格文字112 Char"/>
    <w:link w:val="1484"/>
    <w:qFormat/>
    <w:uiPriority w:val="0"/>
    <w:rPr>
      <w:sz w:val="21"/>
      <w:szCs w:val="24"/>
    </w:rPr>
  </w:style>
  <w:style w:type="paragraph" w:customStyle="1" w:styleId="1484">
    <w:name w:val="表格文字112"/>
    <w:basedOn w:val="1"/>
    <w:link w:val="1483"/>
    <w:qFormat/>
    <w:uiPriority w:val="0"/>
    <w:pPr>
      <w:wordWrap w:val="0"/>
      <w:autoSpaceDE w:val="0"/>
      <w:autoSpaceDN w:val="0"/>
      <w:adjustRightInd w:val="0"/>
      <w:jc w:val="center"/>
    </w:pPr>
    <w:rPr>
      <w:kern w:val="0"/>
    </w:rPr>
  </w:style>
  <w:style w:type="paragraph" w:customStyle="1" w:styleId="1485">
    <w:name w:val="Char Char Char1 Char"/>
    <w:basedOn w:val="1"/>
    <w:qFormat/>
    <w:uiPriority w:val="0"/>
    <w:rPr>
      <w:rFonts w:ascii="宋体" w:hAnsi="宋体" w:cs="宋体"/>
      <w:sz w:val="24"/>
    </w:rPr>
  </w:style>
  <w:style w:type="paragraph" w:customStyle="1" w:styleId="1486">
    <w:name w:val="Char3 Char Char Char"/>
    <w:basedOn w:val="1"/>
    <w:qFormat/>
    <w:uiPriority w:val="99"/>
    <w:rPr>
      <w:rFonts w:ascii="宋体" w:hAnsi="宋体" w:cs="宋体"/>
      <w:kern w:val="0"/>
      <w:sz w:val="24"/>
    </w:rPr>
  </w:style>
  <w:style w:type="character" w:customStyle="1" w:styleId="1487">
    <w:name w:val="表格抬头 Char"/>
    <w:link w:val="1488"/>
    <w:qFormat/>
    <w:uiPriority w:val="0"/>
    <w:rPr>
      <w:rFonts w:hAnsi="宋体"/>
      <w:b/>
      <w:snapToGrid w:val="0"/>
      <w:sz w:val="24"/>
    </w:rPr>
  </w:style>
  <w:style w:type="paragraph" w:customStyle="1" w:styleId="1488">
    <w:name w:val="表格抬头"/>
    <w:basedOn w:val="1"/>
    <w:link w:val="1487"/>
    <w:qFormat/>
    <w:uiPriority w:val="0"/>
    <w:pPr>
      <w:snapToGrid w:val="0"/>
      <w:jc w:val="center"/>
    </w:pPr>
    <w:rPr>
      <w:rFonts w:hAnsi="宋体"/>
      <w:b/>
      <w:snapToGrid w:val="0"/>
      <w:kern w:val="0"/>
      <w:sz w:val="24"/>
      <w:szCs w:val="20"/>
    </w:rPr>
  </w:style>
  <w:style w:type="character" w:customStyle="1" w:styleId="1489">
    <w:name w:val="ca-211"/>
    <w:qFormat/>
    <w:uiPriority w:val="0"/>
    <w:rPr>
      <w:rFonts w:hint="eastAsia" w:ascii="宋体" w:hAnsi="宋体" w:eastAsia="宋体"/>
      <w:sz w:val="24"/>
    </w:rPr>
  </w:style>
  <w:style w:type="character" w:customStyle="1" w:styleId="1490">
    <w:name w:val="正文（首行缩进两字） Char Char Char Char Char Char Char Char"/>
    <w:qFormat/>
    <w:uiPriority w:val="0"/>
    <w:rPr>
      <w:rFonts w:eastAsia="宋体"/>
      <w:sz w:val="21"/>
      <w:lang w:val="en-US" w:eastAsia="zh-CN"/>
    </w:rPr>
  </w:style>
  <w:style w:type="character" w:customStyle="1" w:styleId="1491">
    <w:name w:val="表格样式 Char"/>
    <w:link w:val="1492"/>
    <w:qFormat/>
    <w:uiPriority w:val="0"/>
    <w:rPr>
      <w:snapToGrid w:val="0"/>
      <w:color w:val="000000"/>
    </w:rPr>
  </w:style>
  <w:style w:type="paragraph" w:customStyle="1" w:styleId="1492">
    <w:name w:val="表格样式"/>
    <w:basedOn w:val="45"/>
    <w:link w:val="1491"/>
    <w:qFormat/>
    <w:uiPriority w:val="0"/>
    <w:pPr>
      <w:tabs>
        <w:tab w:val="left" w:pos="4680"/>
      </w:tabs>
      <w:spacing w:line="360" w:lineRule="exact"/>
      <w:textAlignment w:val="center"/>
    </w:pPr>
    <w:rPr>
      <w:rFonts w:ascii="Times New Roman" w:hAnsi="Times New Roman"/>
      <w:snapToGrid w:val="0"/>
      <w:color w:val="000000"/>
      <w:kern w:val="0"/>
      <w:sz w:val="20"/>
    </w:rPr>
  </w:style>
  <w:style w:type="character" w:customStyle="1" w:styleId="1493">
    <w:name w:val="ca-231"/>
    <w:qFormat/>
    <w:uiPriority w:val="0"/>
    <w:rPr>
      <w:rFonts w:hint="eastAsia" w:ascii="宋体" w:hAnsi="宋体" w:eastAsia="宋体"/>
      <w:sz w:val="12"/>
    </w:rPr>
  </w:style>
  <w:style w:type="character" w:customStyle="1" w:styleId="1494">
    <w:name w:val="zw1"/>
    <w:qFormat/>
    <w:uiPriority w:val="0"/>
    <w:rPr>
      <w:rFonts w:ascii="宋体" w:hAnsi="宋体" w:eastAsia="宋体"/>
      <w:sz w:val="22"/>
    </w:rPr>
  </w:style>
  <w:style w:type="paragraph" w:customStyle="1" w:styleId="1495">
    <w:name w:val="4级"/>
    <w:basedOn w:val="1"/>
    <w:qFormat/>
    <w:uiPriority w:val="99"/>
    <w:pPr>
      <w:spacing w:line="360" w:lineRule="auto"/>
      <w:outlineLvl w:val="3"/>
    </w:pPr>
    <w:rPr>
      <w:rFonts w:ascii="宋体" w:hAnsi="宋体" w:cs="宋体"/>
      <w:sz w:val="28"/>
    </w:rPr>
  </w:style>
  <w:style w:type="character" w:customStyle="1" w:styleId="1496">
    <w:name w:val="普通(网站) 字符"/>
    <w:link w:val="80"/>
    <w:qFormat/>
    <w:locked/>
    <w:uiPriority w:val="99"/>
    <w:rPr>
      <w:kern w:val="2"/>
      <w:sz w:val="24"/>
      <w:szCs w:val="24"/>
    </w:rPr>
  </w:style>
  <w:style w:type="paragraph" w:customStyle="1" w:styleId="1497">
    <w:name w:val="宏福正文-2"/>
    <w:basedOn w:val="86"/>
    <w:qFormat/>
    <w:uiPriority w:val="99"/>
    <w:pPr>
      <w:spacing w:before="240" w:line="400" w:lineRule="atLeast"/>
      <w:ind w:firstLine="567" w:firstLineChars="0"/>
    </w:pPr>
    <w:rPr>
      <w:sz w:val="28"/>
      <w:szCs w:val="20"/>
      <w:lang w:val="zh-CN"/>
    </w:rPr>
  </w:style>
  <w:style w:type="character" w:customStyle="1" w:styleId="1498">
    <w:name w:val="表体 Char"/>
    <w:link w:val="1031"/>
    <w:qFormat/>
    <w:uiPriority w:val="0"/>
    <w:rPr>
      <w:rFonts w:ascii="宋体" w:hAnsi="宋体"/>
      <w:kern w:val="2"/>
      <w:sz w:val="21"/>
      <w:szCs w:val="21"/>
    </w:rPr>
  </w:style>
  <w:style w:type="character" w:customStyle="1" w:styleId="1499">
    <w:name w:val="列表 字符1"/>
    <w:link w:val="65"/>
    <w:qFormat/>
    <w:uiPriority w:val="0"/>
    <w:rPr>
      <w:kern w:val="2"/>
      <w:sz w:val="21"/>
      <w:szCs w:val="24"/>
    </w:rPr>
  </w:style>
  <w:style w:type="paragraph" w:customStyle="1" w:styleId="1500">
    <w:name w:val="附录一级条标题"/>
    <w:next w:val="1229"/>
    <w:qFormat/>
    <w:uiPriority w:val="0"/>
    <w:pPr>
      <w:tabs>
        <w:tab w:val="left" w:pos="828"/>
      </w:tabs>
      <w:autoSpaceDN w:val="0"/>
      <w:ind w:left="828" w:hanging="240"/>
      <w:outlineLvl w:val="2"/>
    </w:pPr>
    <w:rPr>
      <w:rFonts w:ascii="Times New Roman" w:hAnsi="Times New Roman" w:eastAsia="宋体" w:cs="Times New Roman"/>
      <w:lang w:val="en-US" w:eastAsia="zh-CN" w:bidi="ar-SA"/>
    </w:rPr>
  </w:style>
  <w:style w:type="paragraph" w:customStyle="1" w:styleId="1501">
    <w:name w:val="附录章标题"/>
    <w:next w:val="1229"/>
    <w:qFormat/>
    <w:uiPriority w:val="0"/>
    <w:pPr>
      <w:wordWrap w:val="0"/>
      <w:overflowPunct w:val="0"/>
      <w:autoSpaceDE w:val="0"/>
      <w:spacing w:beforeLines="50" w:afterLines="50" w:line="360" w:lineRule="auto"/>
      <w:jc w:val="both"/>
      <w:textAlignment w:val="baseline"/>
      <w:outlineLvl w:val="1"/>
    </w:pPr>
    <w:rPr>
      <w:rFonts w:ascii="黑体" w:hAnsi="Times New Roman" w:eastAsia="黑体" w:cs="Times New Roman"/>
      <w:kern w:val="21"/>
      <w:sz w:val="21"/>
      <w:lang w:val="en-US" w:eastAsia="zh-CN" w:bidi="ar-SA"/>
    </w:rPr>
  </w:style>
  <w:style w:type="paragraph" w:customStyle="1" w:styleId="1502">
    <w:name w:val="Char Char Char Char Char"/>
    <w:basedOn w:val="1"/>
    <w:qFormat/>
    <w:uiPriority w:val="0"/>
    <w:rPr>
      <w:rFonts w:ascii="宋体" w:hAnsi="宋体" w:cs="宋体"/>
      <w:sz w:val="24"/>
    </w:rPr>
  </w:style>
  <w:style w:type="paragraph" w:customStyle="1" w:styleId="1503">
    <w:name w:val="In Table"/>
    <w:basedOn w:val="1"/>
    <w:qFormat/>
    <w:uiPriority w:val="0"/>
    <w:pPr>
      <w:tabs>
        <w:tab w:val="left" w:pos="2200"/>
        <w:tab w:val="left" w:pos="3960"/>
        <w:tab w:val="left" w:pos="5280"/>
      </w:tabs>
      <w:spacing w:before="96" w:after="96" w:line="0" w:lineRule="atLeast"/>
      <w:jc w:val="center"/>
    </w:pPr>
    <w:rPr>
      <w:rFonts w:ascii="Tahoma" w:hAnsi="Tahoma" w:eastAsia="华文中宋" w:cs="宋体"/>
      <w:sz w:val="24"/>
    </w:rPr>
  </w:style>
  <w:style w:type="paragraph" w:customStyle="1" w:styleId="1504">
    <w:name w:val="附录标识"/>
    <w:basedOn w:val="1"/>
    <w:link w:val="2898"/>
    <w:qFormat/>
    <w:uiPriority w:val="0"/>
    <w:pPr>
      <w:shd w:val="clear" w:color="FFFFFF" w:fill="FFFFFF"/>
      <w:tabs>
        <w:tab w:val="left" w:pos="6405"/>
      </w:tabs>
      <w:spacing w:before="640" w:after="200"/>
      <w:jc w:val="center"/>
      <w:outlineLvl w:val="0"/>
    </w:pPr>
    <w:rPr>
      <w:rFonts w:ascii="黑体" w:hAnsi="宋体" w:eastAsia="黑体" w:cs="宋体"/>
      <w:kern w:val="0"/>
      <w:sz w:val="24"/>
    </w:rPr>
  </w:style>
  <w:style w:type="paragraph" w:customStyle="1" w:styleId="1505">
    <w:name w:val="ÕýÎÄ"/>
    <w:qFormat/>
    <w:uiPriority w:val="99"/>
    <w:pPr>
      <w:widowControl w:val="0"/>
      <w:overflowPunct w:val="0"/>
      <w:autoSpaceDE w:val="0"/>
      <w:autoSpaceDN w:val="0"/>
      <w:adjustRightInd w:val="0"/>
      <w:spacing w:line="357" w:lineRule="atLeast"/>
      <w:jc w:val="both"/>
      <w:textAlignment w:val="baseline"/>
    </w:pPr>
    <w:rPr>
      <w:rFonts w:ascii="Times New Roman" w:hAnsi="Times New Roman" w:eastAsia="宋体" w:cs="Times New Roman"/>
      <w:color w:val="000000"/>
      <w:sz w:val="21"/>
      <w:lang w:val="en-US" w:eastAsia="zh-CN" w:bidi="ar-SA"/>
    </w:rPr>
  </w:style>
  <w:style w:type="paragraph" w:customStyle="1" w:styleId="1506">
    <w:name w:val="1标题3级"/>
    <w:basedOn w:val="1"/>
    <w:qFormat/>
    <w:uiPriority w:val="0"/>
    <w:pPr>
      <w:snapToGrid w:val="0"/>
      <w:spacing w:line="360" w:lineRule="auto"/>
    </w:pPr>
    <w:rPr>
      <w:rFonts w:ascii="宋体" w:hAnsi="宋体" w:eastAsia="仿宋_GB2312" w:cs="宋体"/>
      <w:sz w:val="28"/>
    </w:rPr>
  </w:style>
  <w:style w:type="paragraph" w:customStyle="1" w:styleId="1507">
    <w:name w:val="yz"/>
    <w:basedOn w:val="34"/>
    <w:qFormat/>
    <w:uiPriority w:val="0"/>
    <w:pPr>
      <w:tabs>
        <w:tab w:val="left" w:pos="900"/>
      </w:tabs>
      <w:ind w:firstLine="200"/>
    </w:pPr>
    <w:rPr>
      <w:rFonts w:hint="eastAsia" w:ascii="宋体" w:hAnsi="宋体"/>
      <w:sz w:val="24"/>
      <w:szCs w:val="20"/>
    </w:rPr>
  </w:style>
  <w:style w:type="paragraph" w:customStyle="1" w:styleId="1508">
    <w:name w:val="Char4 Char Char Char"/>
    <w:basedOn w:val="1"/>
    <w:qFormat/>
    <w:uiPriority w:val="99"/>
    <w:pPr>
      <w:snapToGrid w:val="0"/>
      <w:spacing w:line="360" w:lineRule="auto"/>
      <w:ind w:firstLine="200" w:firstLineChars="200"/>
    </w:pPr>
    <w:rPr>
      <w:rFonts w:ascii="宋体" w:hAnsi="宋体" w:cs="宋体"/>
      <w:sz w:val="24"/>
    </w:rPr>
  </w:style>
  <w:style w:type="character" w:customStyle="1" w:styleId="1509">
    <w:name w:val="报告表格 Char"/>
    <w:link w:val="348"/>
    <w:qFormat/>
    <w:uiPriority w:val="0"/>
    <w:rPr>
      <w:sz w:val="21"/>
    </w:rPr>
  </w:style>
  <w:style w:type="character" w:customStyle="1" w:styleId="1510">
    <w:name w:val="蒲标题3 Char Char"/>
    <w:link w:val="1511"/>
    <w:qFormat/>
    <w:uiPriority w:val="0"/>
    <w:rPr>
      <w:bCs/>
      <w:color w:val="002060"/>
      <w:kern w:val="2"/>
      <w:sz w:val="28"/>
      <w:szCs w:val="28"/>
    </w:rPr>
  </w:style>
  <w:style w:type="paragraph" w:customStyle="1" w:styleId="1511">
    <w:name w:val="蒲标题3"/>
    <w:basedOn w:val="5"/>
    <w:link w:val="1510"/>
    <w:qFormat/>
    <w:uiPriority w:val="0"/>
    <w:pPr>
      <w:autoSpaceDE w:val="0"/>
      <w:autoSpaceDN w:val="0"/>
      <w:snapToGrid w:val="0"/>
      <w:spacing w:before="0" w:after="0" w:line="360" w:lineRule="auto"/>
    </w:pPr>
    <w:rPr>
      <w:b w:val="0"/>
      <w:color w:val="002060"/>
      <w:sz w:val="28"/>
      <w:szCs w:val="28"/>
    </w:rPr>
  </w:style>
  <w:style w:type="character" w:customStyle="1" w:styleId="1512">
    <w:name w:val="君邦正文 Char Char"/>
    <w:link w:val="1513"/>
    <w:qFormat/>
    <w:uiPriority w:val="0"/>
    <w:rPr>
      <w:rFonts w:eastAsia="Times New Roman"/>
      <w:bCs/>
      <w:snapToGrid w:val="0"/>
      <w:sz w:val="24"/>
    </w:rPr>
  </w:style>
  <w:style w:type="paragraph" w:customStyle="1" w:styleId="1513">
    <w:name w:val="君邦正文"/>
    <w:link w:val="1512"/>
    <w:qFormat/>
    <w:uiPriority w:val="0"/>
    <w:pPr>
      <w:spacing w:after="60" w:line="360" w:lineRule="auto"/>
      <w:ind w:firstLine="480" w:firstLineChars="200"/>
      <w:jc w:val="both"/>
    </w:pPr>
    <w:rPr>
      <w:rFonts w:ascii="Times New Roman" w:hAnsi="Times New Roman" w:eastAsia="Times New Roman" w:cs="Times New Roman"/>
      <w:bCs/>
      <w:snapToGrid w:val="0"/>
      <w:sz w:val="24"/>
      <w:lang w:val="en-US" w:eastAsia="zh-CN" w:bidi="ar-SA"/>
    </w:rPr>
  </w:style>
  <w:style w:type="paragraph" w:customStyle="1" w:styleId="1514">
    <w:name w:val="1.1.1.1.1标题1.1.1.1.1"/>
    <w:basedOn w:val="7"/>
    <w:qFormat/>
    <w:uiPriority w:val="99"/>
    <w:pPr>
      <w:tabs>
        <w:tab w:val="left" w:pos="0"/>
      </w:tabs>
      <w:adjustRightInd/>
      <w:snapToGrid/>
      <w:spacing w:before="0" w:after="0" w:line="240" w:lineRule="auto"/>
      <w:ind w:right="25" w:firstLine="0" w:firstLineChars="0"/>
      <w:textAlignment w:val="center"/>
    </w:pPr>
    <w:rPr>
      <w:bCs/>
      <w:spacing w:val="0"/>
      <w:sz w:val="24"/>
      <w:szCs w:val="28"/>
    </w:rPr>
  </w:style>
  <w:style w:type="character" w:customStyle="1" w:styleId="1515">
    <w:name w:val="泸县焦化正文 Char Char"/>
    <w:link w:val="1516"/>
    <w:qFormat/>
    <w:uiPriority w:val="0"/>
    <w:rPr>
      <w:color w:val="0000FF"/>
      <w:sz w:val="24"/>
      <w:szCs w:val="24"/>
    </w:rPr>
  </w:style>
  <w:style w:type="paragraph" w:customStyle="1" w:styleId="1516">
    <w:name w:val="泸县焦化正文"/>
    <w:basedOn w:val="1"/>
    <w:next w:val="1"/>
    <w:link w:val="1515"/>
    <w:qFormat/>
    <w:uiPriority w:val="0"/>
    <w:pPr>
      <w:snapToGrid w:val="0"/>
      <w:spacing w:line="360" w:lineRule="auto"/>
      <w:ind w:firstLine="200" w:firstLineChars="200"/>
    </w:pPr>
    <w:rPr>
      <w:color w:val="0000FF"/>
      <w:kern w:val="0"/>
      <w:sz w:val="24"/>
    </w:rPr>
  </w:style>
  <w:style w:type="character" w:customStyle="1" w:styleId="1517">
    <w:name w:val="蒲正文 Char Char"/>
    <w:link w:val="1518"/>
    <w:qFormat/>
    <w:uiPriority w:val="0"/>
    <w:rPr>
      <w:color w:val="002060"/>
      <w:sz w:val="24"/>
      <w:szCs w:val="28"/>
    </w:rPr>
  </w:style>
  <w:style w:type="paragraph" w:customStyle="1" w:styleId="1518">
    <w:name w:val="蒲正文"/>
    <w:basedOn w:val="1"/>
    <w:link w:val="1517"/>
    <w:qFormat/>
    <w:uiPriority w:val="99"/>
    <w:pPr>
      <w:snapToGrid w:val="0"/>
      <w:spacing w:line="360" w:lineRule="auto"/>
      <w:ind w:firstLine="480" w:firstLineChars="200"/>
    </w:pPr>
    <w:rPr>
      <w:color w:val="002060"/>
      <w:kern w:val="0"/>
      <w:sz w:val="24"/>
      <w:szCs w:val="28"/>
    </w:rPr>
  </w:style>
  <w:style w:type="paragraph" w:customStyle="1" w:styleId="1519">
    <w:name w:val="蒲表头"/>
    <w:basedOn w:val="1"/>
    <w:qFormat/>
    <w:uiPriority w:val="0"/>
    <w:pPr>
      <w:snapToGrid w:val="0"/>
      <w:spacing w:line="360" w:lineRule="auto"/>
      <w:jc w:val="center"/>
    </w:pPr>
    <w:rPr>
      <w:rFonts w:ascii="宋体" w:hAnsi="宋体" w:cs="宋体"/>
      <w:b/>
      <w:color w:val="002060"/>
      <w:sz w:val="24"/>
    </w:rPr>
  </w:style>
  <w:style w:type="paragraph" w:customStyle="1" w:styleId="1520">
    <w:name w:val="德胜三级标题"/>
    <w:basedOn w:val="1"/>
    <w:qFormat/>
    <w:uiPriority w:val="0"/>
    <w:pPr>
      <w:keepNext/>
      <w:keepLines/>
      <w:snapToGrid w:val="0"/>
      <w:spacing w:line="360" w:lineRule="auto"/>
      <w:outlineLvl w:val="2"/>
    </w:pPr>
    <w:rPr>
      <w:rFonts w:ascii="宋体" w:hAnsi="宋体" w:cs="宋体"/>
      <w:b/>
      <w:color w:val="0000FF"/>
      <w:kern w:val="0"/>
      <w:sz w:val="24"/>
    </w:rPr>
  </w:style>
  <w:style w:type="paragraph" w:customStyle="1" w:styleId="1521">
    <w:name w:val="正文缩进22"/>
    <w:basedOn w:val="1"/>
    <w:qFormat/>
    <w:uiPriority w:val="99"/>
    <w:pPr>
      <w:ind w:firstLine="420"/>
    </w:pPr>
    <w:rPr>
      <w:sz w:val="27"/>
      <w:szCs w:val="20"/>
    </w:rPr>
  </w:style>
  <w:style w:type="character" w:customStyle="1" w:styleId="1522">
    <w:name w:val="number4"/>
    <w:qFormat/>
    <w:uiPriority w:val="0"/>
  </w:style>
  <w:style w:type="character" w:customStyle="1" w:styleId="1523">
    <w:name w:val="description6"/>
    <w:qFormat/>
    <w:uiPriority w:val="0"/>
  </w:style>
  <w:style w:type="paragraph" w:customStyle="1" w:styleId="1524">
    <w:name w:val="文本1"/>
    <w:basedOn w:val="1"/>
    <w:next w:val="51"/>
    <w:qFormat/>
    <w:uiPriority w:val="99"/>
    <w:pPr>
      <w:spacing w:line="360" w:lineRule="auto"/>
      <w:ind w:firstLine="495"/>
    </w:pPr>
    <w:rPr>
      <w:sz w:val="24"/>
      <w:lang w:val="zh-CN"/>
    </w:rPr>
  </w:style>
  <w:style w:type="paragraph" w:customStyle="1" w:styleId="1525">
    <w:name w:val="攀成钢正文"/>
    <w:basedOn w:val="1"/>
    <w:link w:val="1526"/>
    <w:qFormat/>
    <w:uiPriority w:val="0"/>
    <w:pPr>
      <w:spacing w:line="360" w:lineRule="auto"/>
      <w:ind w:firstLine="200" w:firstLineChars="200"/>
    </w:pPr>
    <w:rPr>
      <w:snapToGrid w:val="0"/>
      <w:color w:val="008000"/>
      <w:kern w:val="0"/>
      <w:sz w:val="24"/>
      <w:lang w:val="zh-CN"/>
    </w:rPr>
  </w:style>
  <w:style w:type="character" w:customStyle="1" w:styleId="1526">
    <w:name w:val="攀成钢正文 Char"/>
    <w:link w:val="1525"/>
    <w:qFormat/>
    <w:uiPriority w:val="0"/>
    <w:rPr>
      <w:snapToGrid w:val="0"/>
      <w:color w:val="008000"/>
      <w:sz w:val="24"/>
      <w:szCs w:val="24"/>
      <w:lang w:val="zh-CN" w:eastAsia="zh-CN"/>
    </w:rPr>
  </w:style>
  <w:style w:type="paragraph" w:customStyle="1" w:styleId="1527">
    <w:name w:val="攀成钢表格内容"/>
    <w:basedOn w:val="1"/>
    <w:qFormat/>
    <w:uiPriority w:val="0"/>
    <w:pPr>
      <w:snapToGrid w:val="0"/>
      <w:jc w:val="center"/>
    </w:pPr>
    <w:rPr>
      <w:rFonts w:ascii="宋体" w:hAnsi="宋体" w:cs="宋体"/>
      <w:snapToGrid w:val="0"/>
      <w:color w:val="008000"/>
      <w:kern w:val="0"/>
      <w:sz w:val="24"/>
    </w:rPr>
  </w:style>
  <w:style w:type="paragraph" w:customStyle="1" w:styleId="1528">
    <w:name w:val="Char Char Char1 Char1"/>
    <w:basedOn w:val="1"/>
    <w:qFormat/>
    <w:uiPriority w:val="0"/>
    <w:rPr>
      <w:rFonts w:ascii="宋体" w:hAnsi="宋体" w:cs="宋体"/>
      <w:sz w:val="24"/>
    </w:rPr>
  </w:style>
  <w:style w:type="paragraph" w:customStyle="1" w:styleId="1529">
    <w:name w:val="Char3 Char Char Char1"/>
    <w:basedOn w:val="1"/>
    <w:qFormat/>
    <w:uiPriority w:val="99"/>
    <w:rPr>
      <w:rFonts w:ascii="宋体" w:hAnsi="宋体" w:cs="宋体"/>
      <w:kern w:val="0"/>
      <w:sz w:val="24"/>
    </w:rPr>
  </w:style>
  <w:style w:type="paragraph" w:customStyle="1" w:styleId="1530">
    <w:name w:val="Char Char Char Char Char1"/>
    <w:basedOn w:val="1"/>
    <w:qFormat/>
    <w:uiPriority w:val="99"/>
    <w:rPr>
      <w:rFonts w:ascii="宋体" w:hAnsi="宋体" w:cs="宋体"/>
      <w:sz w:val="24"/>
    </w:rPr>
  </w:style>
  <w:style w:type="paragraph" w:customStyle="1" w:styleId="1531">
    <w:name w:val="Char Char Char Char Char Char1 Char1"/>
    <w:basedOn w:val="1"/>
    <w:qFormat/>
    <w:uiPriority w:val="0"/>
    <w:rPr>
      <w:rFonts w:ascii="宋体" w:hAnsi="宋体" w:cs="宋体"/>
      <w:sz w:val="24"/>
    </w:rPr>
  </w:style>
  <w:style w:type="paragraph" w:customStyle="1" w:styleId="1532">
    <w:name w:val="Char4 Char Char Char1"/>
    <w:basedOn w:val="1"/>
    <w:qFormat/>
    <w:uiPriority w:val="99"/>
    <w:pPr>
      <w:snapToGrid w:val="0"/>
      <w:spacing w:line="360" w:lineRule="auto"/>
      <w:ind w:firstLine="200" w:firstLineChars="200"/>
    </w:pPr>
    <w:rPr>
      <w:rFonts w:ascii="宋体" w:hAnsi="宋体" w:cs="宋体"/>
      <w:sz w:val="24"/>
    </w:rPr>
  </w:style>
  <w:style w:type="paragraph" w:customStyle="1" w:styleId="1533">
    <w:name w:val="正文缩进21"/>
    <w:basedOn w:val="1"/>
    <w:qFormat/>
    <w:uiPriority w:val="99"/>
    <w:pPr>
      <w:ind w:firstLine="420"/>
    </w:pPr>
    <w:rPr>
      <w:rFonts w:ascii="Calibri" w:hAnsi="Calibri"/>
      <w:sz w:val="27"/>
      <w:szCs w:val="22"/>
    </w:rPr>
  </w:style>
  <w:style w:type="paragraph" w:customStyle="1" w:styleId="1534">
    <w:name w:val="应填表格"/>
    <w:basedOn w:val="1"/>
    <w:qFormat/>
    <w:uiPriority w:val="0"/>
    <w:pPr>
      <w:spacing w:before="40" w:after="40"/>
    </w:pPr>
    <w:rPr>
      <w:rFonts w:ascii="宋体" w:hAnsi="宋体" w:cs="宋体"/>
      <w:kern w:val="0"/>
      <w:sz w:val="24"/>
    </w:rPr>
  </w:style>
  <w:style w:type="character" w:customStyle="1" w:styleId="1535">
    <w:name w:val="文本 Char Char"/>
    <w:qFormat/>
    <w:uiPriority w:val="0"/>
    <w:rPr>
      <w:rFonts w:eastAsia="宋体"/>
      <w:kern w:val="2"/>
      <w:sz w:val="24"/>
      <w:lang w:val="en-US" w:eastAsia="zh-CN" w:bidi="ar-SA"/>
    </w:rPr>
  </w:style>
  <w:style w:type="character" w:customStyle="1" w:styleId="1536">
    <w:name w:val="fontstyle51"/>
    <w:qFormat/>
    <w:uiPriority w:val="0"/>
    <w:rPr>
      <w:rFonts w:hint="default" w:ascii="TimesNewRoman" w:hAnsi="TimesNewRoman"/>
      <w:b/>
      <w:bCs/>
      <w:color w:val="000000"/>
      <w:sz w:val="28"/>
      <w:szCs w:val="28"/>
    </w:rPr>
  </w:style>
  <w:style w:type="character" w:customStyle="1" w:styleId="1537">
    <w:name w:val="fontstyle61"/>
    <w:qFormat/>
    <w:uiPriority w:val="0"/>
    <w:rPr>
      <w:rFonts w:hint="default" w:ascii="TT288o00" w:hAnsi="TT288o00"/>
      <w:color w:val="000000"/>
      <w:sz w:val="28"/>
      <w:szCs w:val="28"/>
    </w:rPr>
  </w:style>
  <w:style w:type="character" w:customStyle="1" w:styleId="1538">
    <w:name w:val="表格文字2 Char"/>
    <w:link w:val="1539"/>
    <w:qFormat/>
    <w:uiPriority w:val="0"/>
    <w:rPr>
      <w:rFonts w:ascii="宋体"/>
      <w:sz w:val="24"/>
    </w:rPr>
  </w:style>
  <w:style w:type="paragraph" w:customStyle="1" w:styleId="1539">
    <w:name w:val="表格文字2"/>
    <w:basedOn w:val="1"/>
    <w:link w:val="1538"/>
    <w:qFormat/>
    <w:uiPriority w:val="0"/>
    <w:pPr>
      <w:adjustRightInd w:val="0"/>
      <w:spacing w:before="60"/>
      <w:jc w:val="center"/>
      <w:textAlignment w:val="baseline"/>
    </w:pPr>
    <w:rPr>
      <w:rFonts w:ascii="宋体"/>
      <w:kern w:val="0"/>
      <w:sz w:val="24"/>
      <w:szCs w:val="20"/>
    </w:rPr>
  </w:style>
  <w:style w:type="paragraph" w:customStyle="1" w:styleId="1540">
    <w:name w:val="edri-正文"/>
    <w:basedOn w:val="1"/>
    <w:qFormat/>
    <w:uiPriority w:val="0"/>
    <w:pPr>
      <w:adjustRightInd w:val="0"/>
      <w:jc w:val="center"/>
      <w:textAlignment w:val="baseline"/>
    </w:pPr>
    <w:rPr>
      <w:rFonts w:ascii="黑体" w:eastAsia="黑体"/>
      <w:snapToGrid w:val="0"/>
      <w:kern w:val="0"/>
      <w:szCs w:val="20"/>
    </w:rPr>
  </w:style>
  <w:style w:type="paragraph" w:customStyle="1" w:styleId="1541">
    <w:name w:val="表格文字样式"/>
    <w:basedOn w:val="1"/>
    <w:qFormat/>
    <w:uiPriority w:val="0"/>
    <w:pPr>
      <w:tabs>
        <w:tab w:val="left" w:pos="567"/>
      </w:tabs>
      <w:jc w:val="center"/>
    </w:pPr>
    <w:rPr>
      <w:rFonts w:eastAsia="华文中宋"/>
      <w:spacing w:val="20"/>
      <w:sz w:val="24"/>
      <w:szCs w:val="20"/>
    </w:rPr>
  </w:style>
  <w:style w:type="paragraph" w:customStyle="1" w:styleId="1542">
    <w:name w:val="Char Char Char Char Char2 Char"/>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1543">
    <w:name w:val="3"/>
    <w:basedOn w:val="1"/>
    <w:qFormat/>
    <w:uiPriority w:val="0"/>
    <w:rPr>
      <w:rFonts w:ascii="宋体" w:hAnsi="Courier New" w:cs="宋体"/>
      <w:szCs w:val="21"/>
    </w:rPr>
  </w:style>
  <w:style w:type="character" w:customStyle="1" w:styleId="1544">
    <w:name w:val="表格文字 Char Char"/>
    <w:qFormat/>
    <w:uiPriority w:val="0"/>
    <w:rPr>
      <w:sz w:val="21"/>
      <w:szCs w:val="21"/>
    </w:rPr>
  </w:style>
  <w:style w:type="character" w:customStyle="1" w:styleId="1545">
    <w:name w:val="表头 Char1"/>
    <w:qFormat/>
    <w:uiPriority w:val="99"/>
    <w:rPr>
      <w:rFonts w:ascii="Times New Roman" w:hAnsi="Times New Roman" w:eastAsia="宋体"/>
      <w:b/>
      <w:kern w:val="2"/>
      <w:sz w:val="21"/>
      <w:lang w:val="en-US" w:eastAsia="zh-CN" w:bidi="ar-SA"/>
    </w:rPr>
  </w:style>
  <w:style w:type="paragraph" w:customStyle="1" w:styleId="1546">
    <w:name w:val="样式 样式 首行缩进:  2 字符5 + 首行缩进:  2 字符"/>
    <w:basedOn w:val="1"/>
    <w:qFormat/>
    <w:uiPriority w:val="99"/>
    <w:pPr>
      <w:spacing w:line="360" w:lineRule="auto"/>
      <w:ind w:firstLine="480" w:firstLineChars="200"/>
    </w:pPr>
    <w:rPr>
      <w:rFonts w:cs="宋体"/>
      <w:sz w:val="24"/>
      <w:szCs w:val="20"/>
    </w:rPr>
  </w:style>
  <w:style w:type="paragraph" w:customStyle="1" w:styleId="1547">
    <w:name w:val="样式 首行缩进:  2 字符4"/>
    <w:basedOn w:val="1"/>
    <w:qFormat/>
    <w:uiPriority w:val="99"/>
    <w:pPr>
      <w:spacing w:line="360" w:lineRule="auto"/>
      <w:ind w:firstLine="200" w:firstLineChars="200"/>
    </w:pPr>
    <w:rPr>
      <w:rFonts w:cs="宋体"/>
      <w:sz w:val="24"/>
      <w:szCs w:val="20"/>
    </w:rPr>
  </w:style>
  <w:style w:type="paragraph" w:customStyle="1" w:styleId="1548">
    <w:name w:val="二级标题"/>
    <w:basedOn w:val="4"/>
    <w:link w:val="1733"/>
    <w:qFormat/>
    <w:uiPriority w:val="0"/>
    <w:pPr>
      <w:tabs>
        <w:tab w:val="left" w:pos="0"/>
      </w:tabs>
      <w:adjustRightInd w:val="0"/>
      <w:spacing w:before="240" w:after="60" w:line="240" w:lineRule="auto"/>
      <w:textAlignment w:val="baseline"/>
    </w:pPr>
    <w:rPr>
      <w:rFonts w:ascii="黑体" w:hAnsi="Times New Roman"/>
      <w:color w:val="000000"/>
      <w:kern w:val="0"/>
      <w:lang w:val="zh-CN"/>
    </w:rPr>
  </w:style>
  <w:style w:type="paragraph" w:customStyle="1" w:styleId="1549">
    <w:name w:val="四级标题"/>
    <w:basedOn w:val="6"/>
    <w:link w:val="1550"/>
    <w:qFormat/>
    <w:uiPriority w:val="0"/>
    <w:pPr>
      <w:keepNext w:val="0"/>
      <w:keepLines w:val="0"/>
      <w:widowControl w:val="0"/>
      <w:jc w:val="both"/>
      <w:outlineLvl w:val="9"/>
    </w:pPr>
    <w:rPr>
      <w:kern w:val="0"/>
      <w:szCs w:val="20"/>
      <w:lang w:val="zh-CN"/>
    </w:rPr>
  </w:style>
  <w:style w:type="character" w:customStyle="1" w:styleId="1550">
    <w:name w:val="四级标题 Char"/>
    <w:link w:val="1549"/>
    <w:qFormat/>
    <w:uiPriority w:val="0"/>
    <w:rPr>
      <w:rFonts w:ascii="Times New Roman" w:hAnsi="Times New Roman" w:eastAsia="宋体" w:cs="Times New Roman"/>
      <w:b/>
      <w:bCs/>
      <w:sz w:val="24"/>
      <w:lang w:val="zh-CN"/>
    </w:rPr>
  </w:style>
  <w:style w:type="paragraph" w:customStyle="1" w:styleId="1551">
    <w:name w:val="样式 三级标题 + 自动设置"/>
    <w:basedOn w:val="1"/>
    <w:link w:val="1552"/>
    <w:qFormat/>
    <w:uiPriority w:val="0"/>
    <w:pPr>
      <w:keepNext/>
      <w:keepLines/>
      <w:tabs>
        <w:tab w:val="left" w:pos="0"/>
      </w:tabs>
      <w:spacing w:line="360" w:lineRule="auto"/>
      <w:textAlignment w:val="baseline"/>
      <w:outlineLvl w:val="2"/>
    </w:pPr>
    <w:rPr>
      <w:b/>
      <w:bCs/>
      <w:kern w:val="0"/>
      <w:sz w:val="24"/>
      <w:szCs w:val="28"/>
      <w:lang w:val="zh-CN"/>
    </w:rPr>
  </w:style>
  <w:style w:type="character" w:customStyle="1" w:styleId="1552">
    <w:name w:val="样式 三级标题 + 自动设置 Char"/>
    <w:link w:val="1551"/>
    <w:qFormat/>
    <w:uiPriority w:val="0"/>
    <w:rPr>
      <w:b/>
      <w:bCs/>
      <w:sz w:val="24"/>
      <w:szCs w:val="28"/>
      <w:lang w:val="zh-CN" w:eastAsia="zh-CN"/>
    </w:rPr>
  </w:style>
  <w:style w:type="character" w:customStyle="1" w:styleId="1553">
    <w:name w:val="宏文本 字符1"/>
    <w:link w:val="2"/>
    <w:qFormat/>
    <w:uiPriority w:val="0"/>
    <w:rPr>
      <w:rFonts w:ascii="Courier New" w:hAnsi="Courier New"/>
      <w:kern w:val="2"/>
      <w:sz w:val="24"/>
      <w:szCs w:val="24"/>
    </w:rPr>
  </w:style>
  <w:style w:type="character" w:customStyle="1" w:styleId="1554">
    <w:name w:val="宏文本 字符"/>
    <w:qFormat/>
    <w:uiPriority w:val="99"/>
    <w:rPr>
      <w:rFonts w:ascii="Courier New" w:hAnsi="Courier New" w:cs="Courier New"/>
      <w:kern w:val="2"/>
      <w:sz w:val="24"/>
      <w:szCs w:val="24"/>
    </w:rPr>
  </w:style>
  <w:style w:type="character" w:customStyle="1" w:styleId="1555">
    <w:name w:val="cucd-0 Char Char"/>
    <w:link w:val="1556"/>
    <w:qFormat/>
    <w:uiPriority w:val="0"/>
    <w:rPr>
      <w:szCs w:val="24"/>
    </w:rPr>
  </w:style>
  <w:style w:type="paragraph" w:customStyle="1" w:styleId="1556">
    <w:name w:val="cucd-0 Char"/>
    <w:link w:val="1555"/>
    <w:qFormat/>
    <w:uiPriority w:val="0"/>
    <w:pPr>
      <w:spacing w:line="360" w:lineRule="auto"/>
      <w:ind w:firstLine="480" w:firstLineChars="200"/>
    </w:pPr>
    <w:rPr>
      <w:rFonts w:ascii="Times New Roman" w:hAnsi="Times New Roman" w:eastAsia="宋体" w:cs="Times New Roman"/>
      <w:szCs w:val="24"/>
      <w:lang w:val="en-US" w:eastAsia="zh-CN" w:bidi="ar-SA"/>
    </w:rPr>
  </w:style>
  <w:style w:type="character" w:customStyle="1" w:styleId="1557">
    <w:name w:val="yyp Char"/>
    <w:link w:val="1558"/>
    <w:qFormat/>
    <w:uiPriority w:val="0"/>
    <w:rPr>
      <w:sz w:val="24"/>
      <w:szCs w:val="24"/>
    </w:rPr>
  </w:style>
  <w:style w:type="paragraph" w:customStyle="1" w:styleId="1558">
    <w:name w:val="yyp"/>
    <w:basedOn w:val="86"/>
    <w:link w:val="1557"/>
    <w:qFormat/>
    <w:uiPriority w:val="0"/>
    <w:pPr>
      <w:ind w:firstLine="480" w:firstLineChars="200"/>
    </w:pPr>
    <w:rPr>
      <w:kern w:val="0"/>
      <w:sz w:val="24"/>
    </w:rPr>
  </w:style>
  <w:style w:type="character" w:customStyle="1" w:styleId="1559">
    <w:name w:val="正文 + 宋体 Char"/>
    <w:link w:val="1560"/>
    <w:qFormat/>
    <w:uiPriority w:val="0"/>
    <w:rPr>
      <w:sz w:val="24"/>
    </w:rPr>
  </w:style>
  <w:style w:type="paragraph" w:customStyle="1" w:styleId="1560">
    <w:name w:val="首行缩进:  2 字符"/>
    <w:basedOn w:val="1"/>
    <w:link w:val="1559"/>
    <w:qFormat/>
    <w:uiPriority w:val="0"/>
    <w:pPr>
      <w:spacing w:line="300" w:lineRule="auto"/>
      <w:ind w:firstLine="480" w:firstLineChars="200"/>
    </w:pPr>
    <w:rPr>
      <w:kern w:val="0"/>
      <w:sz w:val="24"/>
      <w:szCs w:val="20"/>
    </w:rPr>
  </w:style>
  <w:style w:type="character" w:customStyle="1" w:styleId="1561">
    <w:name w:val="保定正文 Char Char"/>
    <w:link w:val="1562"/>
    <w:qFormat/>
    <w:uiPriority w:val="0"/>
    <w:rPr>
      <w:rFonts w:cs="宋体"/>
    </w:rPr>
  </w:style>
  <w:style w:type="paragraph" w:customStyle="1" w:styleId="1562">
    <w:name w:val="保定正文"/>
    <w:basedOn w:val="1"/>
    <w:link w:val="1561"/>
    <w:qFormat/>
    <w:uiPriority w:val="0"/>
    <w:pPr>
      <w:spacing w:line="360" w:lineRule="auto"/>
      <w:ind w:firstLine="200" w:firstLineChars="200"/>
    </w:pPr>
    <w:rPr>
      <w:rFonts w:cs="宋体"/>
      <w:kern w:val="0"/>
      <w:sz w:val="20"/>
      <w:szCs w:val="20"/>
    </w:rPr>
  </w:style>
  <w:style w:type="character" w:customStyle="1" w:styleId="1563">
    <w:name w:val="热电厂正文 Char"/>
    <w:link w:val="1564"/>
    <w:qFormat/>
    <w:uiPriority w:val="0"/>
    <w:rPr>
      <w:b/>
      <w:sz w:val="24"/>
      <w:szCs w:val="24"/>
    </w:rPr>
  </w:style>
  <w:style w:type="paragraph" w:customStyle="1" w:styleId="1564">
    <w:name w:val="热电厂正文"/>
    <w:basedOn w:val="1"/>
    <w:link w:val="1563"/>
    <w:qFormat/>
    <w:uiPriority w:val="0"/>
    <w:pPr>
      <w:spacing w:line="240" w:lineRule="atLeast"/>
      <w:jc w:val="center"/>
    </w:pPr>
    <w:rPr>
      <w:b/>
      <w:kern w:val="0"/>
      <w:sz w:val="24"/>
    </w:rPr>
  </w:style>
  <w:style w:type="character" w:customStyle="1" w:styleId="1565">
    <w:name w:val="cucd-TB-Head Char2"/>
    <w:qFormat/>
    <w:uiPriority w:val="0"/>
    <w:rPr>
      <w:rFonts w:eastAsia="黑体"/>
      <w:kern w:val="2"/>
      <w:sz w:val="24"/>
      <w:szCs w:val="24"/>
      <w:lang w:val="en-US" w:eastAsia="zh-CN" w:bidi="ar-SA"/>
    </w:rPr>
  </w:style>
  <w:style w:type="character" w:customStyle="1" w:styleId="1566">
    <w:name w:val="和"/>
    <w:qFormat/>
    <w:uiPriority w:val="0"/>
    <w:rPr>
      <w:rFonts w:ascii="Times New Roman" w:hAnsi="Times New Roman" w:eastAsia="Times New Roman"/>
      <w:sz w:val="28"/>
      <w:szCs w:val="28"/>
    </w:rPr>
  </w:style>
  <w:style w:type="character" w:customStyle="1" w:styleId="1567">
    <w:name w:val="font111"/>
    <w:qFormat/>
    <w:uiPriority w:val="0"/>
    <w:rPr>
      <w:rFonts w:ascii="Cambria Math" w:hAnsi="Cambria Math" w:eastAsia="Cambria Math" w:cs="Cambria Math"/>
      <w:color w:val="auto"/>
      <w:sz w:val="16"/>
      <w:szCs w:val="16"/>
      <w:u w:val="none"/>
    </w:rPr>
  </w:style>
  <w:style w:type="character" w:customStyle="1" w:styleId="1568">
    <w:name w:val="正文格式 Char Char"/>
    <w:qFormat/>
    <w:uiPriority w:val="0"/>
    <w:rPr>
      <w:rFonts w:ascii="宋体" w:hAnsi="宋体" w:eastAsia="宋体"/>
      <w:kern w:val="2"/>
      <w:sz w:val="24"/>
      <w:szCs w:val="24"/>
      <w:lang w:val="en-US" w:eastAsia="zh-CN" w:bidi="ar-SA"/>
    </w:rPr>
  </w:style>
  <w:style w:type="character" w:customStyle="1" w:styleId="1569">
    <w:name w:val="cucd-B Char"/>
    <w:link w:val="1570"/>
    <w:qFormat/>
    <w:uiPriority w:val="0"/>
    <w:rPr>
      <w:rFonts w:eastAsia="黑体"/>
      <w:sz w:val="30"/>
      <w:szCs w:val="24"/>
    </w:rPr>
  </w:style>
  <w:style w:type="paragraph" w:customStyle="1" w:styleId="1570">
    <w:name w:val="cucd-B"/>
    <w:link w:val="1569"/>
    <w:qFormat/>
    <w:uiPriority w:val="0"/>
    <w:pPr>
      <w:spacing w:line="360" w:lineRule="auto"/>
      <w:outlineLvl w:val="1"/>
    </w:pPr>
    <w:rPr>
      <w:rFonts w:ascii="Times New Roman" w:hAnsi="Times New Roman" w:eastAsia="黑体" w:cs="Times New Roman"/>
      <w:sz w:val="30"/>
      <w:szCs w:val="24"/>
      <w:lang w:val="en-US" w:eastAsia="zh-CN" w:bidi="ar-SA"/>
    </w:rPr>
  </w:style>
  <w:style w:type="paragraph" w:customStyle="1" w:styleId="1571">
    <w:name w:val="cucd-0"/>
    <w:link w:val="1572"/>
    <w:qFormat/>
    <w:uiPriority w:val="0"/>
    <w:pPr>
      <w:spacing w:line="360" w:lineRule="auto"/>
      <w:ind w:firstLine="480" w:firstLineChars="200"/>
    </w:pPr>
    <w:rPr>
      <w:rFonts w:ascii="Calibri" w:hAnsi="Calibri" w:eastAsia="宋体" w:cs="Times New Roman"/>
      <w:kern w:val="2"/>
      <w:sz w:val="24"/>
      <w:szCs w:val="24"/>
      <w:lang w:val="en-US" w:eastAsia="zh-CN" w:bidi="ar-SA"/>
    </w:rPr>
  </w:style>
  <w:style w:type="character" w:customStyle="1" w:styleId="1572">
    <w:name w:val="cucd-0 Char3"/>
    <w:link w:val="1571"/>
    <w:qFormat/>
    <w:uiPriority w:val="99"/>
    <w:rPr>
      <w:rFonts w:ascii="Calibri" w:hAnsi="Calibri"/>
      <w:kern w:val="2"/>
      <w:sz w:val="24"/>
      <w:szCs w:val="24"/>
    </w:rPr>
  </w:style>
  <w:style w:type="character" w:customStyle="1" w:styleId="1573">
    <w:name w:val="报告正文 Char Char"/>
    <w:qFormat/>
    <w:locked/>
    <w:uiPriority w:val="0"/>
    <w:rPr>
      <w:rFonts w:ascii="仿宋_GB2312" w:eastAsia="仿宋_GB2312"/>
      <w:sz w:val="28"/>
      <w:szCs w:val="28"/>
    </w:rPr>
  </w:style>
  <w:style w:type="character" w:customStyle="1" w:styleId="1574">
    <w:name w:val="cucd-TB Char Char"/>
    <w:qFormat/>
    <w:uiPriority w:val="0"/>
    <w:rPr>
      <w:kern w:val="2"/>
      <w:sz w:val="21"/>
      <w:szCs w:val="24"/>
    </w:rPr>
  </w:style>
  <w:style w:type="character" w:customStyle="1" w:styleId="1575">
    <w:name w:val="标2 Char Char"/>
    <w:qFormat/>
    <w:uiPriority w:val="0"/>
    <w:rPr>
      <w:b/>
      <w:sz w:val="24"/>
      <w:szCs w:val="24"/>
    </w:rPr>
  </w:style>
  <w:style w:type="character" w:customStyle="1" w:styleId="1576">
    <w:name w:val="cucd-0 Char1"/>
    <w:qFormat/>
    <w:uiPriority w:val="0"/>
    <w:rPr>
      <w:rFonts w:ascii="Times New Roman" w:hAnsi="Times New Roman"/>
      <w:kern w:val="2"/>
      <w:sz w:val="24"/>
      <w:szCs w:val="24"/>
    </w:rPr>
  </w:style>
  <w:style w:type="character" w:customStyle="1" w:styleId="1577">
    <w:name w:val="a正文 Char"/>
    <w:link w:val="1578"/>
    <w:qFormat/>
    <w:uiPriority w:val="0"/>
    <w:rPr>
      <w:spacing w:val="5"/>
      <w:sz w:val="25"/>
      <w:szCs w:val="25"/>
    </w:rPr>
  </w:style>
  <w:style w:type="paragraph" w:customStyle="1" w:styleId="1578">
    <w:name w:val="a正文"/>
    <w:link w:val="1577"/>
    <w:qFormat/>
    <w:uiPriority w:val="0"/>
    <w:pPr>
      <w:spacing w:line="480" w:lineRule="exact"/>
      <w:ind w:firstLine="200" w:firstLineChars="200"/>
      <w:jc w:val="both"/>
    </w:pPr>
    <w:rPr>
      <w:rFonts w:ascii="Times New Roman" w:hAnsi="Times New Roman" w:eastAsia="宋体" w:cs="Times New Roman"/>
      <w:spacing w:val="5"/>
      <w:sz w:val="25"/>
      <w:szCs w:val="25"/>
      <w:lang w:val="en-US" w:eastAsia="zh-CN" w:bidi="ar-SA"/>
    </w:rPr>
  </w:style>
  <w:style w:type="character" w:customStyle="1" w:styleId="1579">
    <w:name w:val="split-word"/>
    <w:qFormat/>
    <w:uiPriority w:val="0"/>
  </w:style>
  <w:style w:type="character" w:customStyle="1" w:styleId="1580">
    <w:name w:val="font71"/>
    <w:qFormat/>
    <w:uiPriority w:val="0"/>
    <w:rPr>
      <w:rFonts w:hint="default" w:ascii="Times New Roman" w:hAnsi="Times New Roman" w:cs="Times New Roman"/>
      <w:b/>
      <w:color w:val="000000"/>
      <w:sz w:val="21"/>
      <w:szCs w:val="21"/>
      <w:u w:val="none"/>
    </w:rPr>
  </w:style>
  <w:style w:type="character" w:customStyle="1" w:styleId="1581">
    <w:name w:val="cucd-0 Char6"/>
    <w:qFormat/>
    <w:uiPriority w:val="0"/>
    <w:rPr>
      <w:rFonts w:eastAsia="宋体"/>
      <w:kern w:val="2"/>
      <w:sz w:val="24"/>
      <w:szCs w:val="24"/>
      <w:lang w:val="en-US" w:eastAsia="zh-CN" w:bidi="ar-SA"/>
    </w:rPr>
  </w:style>
  <w:style w:type="character" w:customStyle="1" w:styleId="1582">
    <w:name w:val="！正文 Char Char"/>
    <w:link w:val="1583"/>
    <w:qFormat/>
    <w:uiPriority w:val="0"/>
    <w:rPr>
      <w:rFonts w:ascii="Arial" w:hAnsi="Arial" w:eastAsia="宋体" w:cs="Times New Roman"/>
      <w:szCs w:val="24"/>
    </w:rPr>
  </w:style>
  <w:style w:type="paragraph" w:customStyle="1" w:styleId="1583">
    <w:name w:val="！正文"/>
    <w:basedOn w:val="1"/>
    <w:link w:val="1582"/>
    <w:qFormat/>
    <w:uiPriority w:val="0"/>
    <w:pPr>
      <w:tabs>
        <w:tab w:val="left" w:pos="567"/>
        <w:tab w:val="left" w:pos="2835"/>
      </w:tabs>
      <w:overflowPunct w:val="0"/>
      <w:autoSpaceDE w:val="0"/>
      <w:autoSpaceDN w:val="0"/>
      <w:adjustRightInd w:val="0"/>
      <w:snapToGrid w:val="0"/>
      <w:spacing w:line="360" w:lineRule="auto"/>
      <w:ind w:firstLine="200" w:firstLineChars="200"/>
      <w:jc w:val="both"/>
      <w:textAlignment w:val="baseline"/>
    </w:pPr>
    <w:rPr>
      <w:rFonts w:ascii="Arial" w:hAnsi="Arial"/>
      <w:kern w:val="0"/>
      <w:sz w:val="20"/>
    </w:rPr>
  </w:style>
  <w:style w:type="character" w:customStyle="1" w:styleId="1584">
    <w:name w:val="font61"/>
    <w:qFormat/>
    <w:uiPriority w:val="0"/>
    <w:rPr>
      <w:rFonts w:hint="default" w:ascii="Times New Roman" w:hAnsi="Times New Roman" w:cs="Times New Roman"/>
      <w:b/>
      <w:color w:val="000000"/>
      <w:sz w:val="21"/>
      <w:szCs w:val="21"/>
      <w:u w:val="none"/>
    </w:rPr>
  </w:style>
  <w:style w:type="character" w:customStyle="1" w:styleId="1585">
    <w:name w:val="样式 正文缩进 + 小三 首行缩进:  2 字符 行距: 固定值 29 磅 Char"/>
    <w:link w:val="1586"/>
    <w:qFormat/>
    <w:uiPriority w:val="0"/>
    <w:rPr>
      <w:rFonts w:ascii="宋体" w:hAnsi="宋体" w:cs="宋体"/>
      <w:bCs/>
      <w:sz w:val="24"/>
      <w:szCs w:val="24"/>
    </w:rPr>
  </w:style>
  <w:style w:type="paragraph" w:customStyle="1" w:styleId="1586">
    <w:name w:val="样式 正文缩进 + 小三 首行缩进:  2 字符 行距: 固定值 29 磅"/>
    <w:basedOn w:val="21"/>
    <w:link w:val="1585"/>
    <w:qFormat/>
    <w:uiPriority w:val="0"/>
    <w:pPr>
      <w:ind w:firstLine="480"/>
    </w:pPr>
    <w:rPr>
      <w:rFonts w:ascii="宋体" w:hAnsi="宋体" w:cs="宋体"/>
      <w:bCs w:val="0"/>
      <w:kern w:val="0"/>
      <w:szCs w:val="24"/>
    </w:rPr>
  </w:style>
  <w:style w:type="character" w:customStyle="1" w:styleId="1587">
    <w:name w:val="cucd-2 Char"/>
    <w:qFormat/>
    <w:uiPriority w:val="0"/>
    <w:rPr>
      <w:rFonts w:eastAsia="黑体"/>
      <w:b/>
      <w:kern w:val="2"/>
      <w:sz w:val="30"/>
      <w:szCs w:val="24"/>
      <w:lang w:val="en-US" w:eastAsia="zh-CN" w:bidi="ar-SA"/>
    </w:rPr>
  </w:style>
  <w:style w:type="character" w:customStyle="1" w:styleId="1588">
    <w:name w:val="cucd-TB Char"/>
    <w:link w:val="1589"/>
    <w:qFormat/>
    <w:uiPriority w:val="0"/>
    <w:rPr>
      <w:szCs w:val="24"/>
    </w:rPr>
  </w:style>
  <w:style w:type="paragraph" w:customStyle="1" w:styleId="1589">
    <w:name w:val="cucd-TB"/>
    <w:link w:val="1588"/>
    <w:qFormat/>
    <w:uiPriority w:val="0"/>
    <w:pPr>
      <w:spacing w:line="360" w:lineRule="auto"/>
      <w:jc w:val="center"/>
    </w:pPr>
    <w:rPr>
      <w:rFonts w:ascii="Times New Roman" w:hAnsi="Times New Roman" w:eastAsia="宋体" w:cs="Times New Roman"/>
      <w:szCs w:val="24"/>
      <w:lang w:val="en-US" w:eastAsia="zh-CN" w:bidi="ar-SA"/>
    </w:rPr>
  </w:style>
  <w:style w:type="character" w:customStyle="1" w:styleId="1590">
    <w:name w:val="表格内字体 Char Char"/>
    <w:qFormat/>
    <w:uiPriority w:val="0"/>
    <w:rPr>
      <w:rFonts w:ascii="宋体" w:hAnsi="宋体"/>
      <w:szCs w:val="24"/>
    </w:rPr>
  </w:style>
  <w:style w:type="character" w:customStyle="1" w:styleId="1591">
    <w:name w:val="cucd-2 Char Char"/>
    <w:link w:val="1592"/>
    <w:qFormat/>
    <w:uiPriority w:val="0"/>
    <w:rPr>
      <w:rFonts w:eastAsia="黑体"/>
      <w:b/>
      <w:sz w:val="30"/>
      <w:szCs w:val="24"/>
    </w:rPr>
  </w:style>
  <w:style w:type="paragraph" w:customStyle="1" w:styleId="1592">
    <w:name w:val="cucd-2"/>
    <w:link w:val="1591"/>
    <w:qFormat/>
    <w:uiPriority w:val="0"/>
    <w:pPr>
      <w:tabs>
        <w:tab w:val="left" w:pos="992"/>
      </w:tabs>
      <w:spacing w:line="360" w:lineRule="auto"/>
      <w:ind w:left="992"/>
      <w:outlineLvl w:val="1"/>
    </w:pPr>
    <w:rPr>
      <w:rFonts w:ascii="Times New Roman" w:hAnsi="Times New Roman" w:eastAsia="黑体" w:cs="Times New Roman"/>
      <w:b/>
      <w:sz w:val="30"/>
      <w:szCs w:val="24"/>
      <w:lang w:val="en-US" w:eastAsia="zh-CN" w:bidi="ar-SA"/>
    </w:rPr>
  </w:style>
  <w:style w:type="paragraph" w:customStyle="1" w:styleId="1593">
    <w:name w:val="cucd-3"/>
    <w:qFormat/>
    <w:uiPriority w:val="99"/>
    <w:pPr>
      <w:tabs>
        <w:tab w:val="left" w:pos="567"/>
      </w:tabs>
      <w:spacing w:line="360" w:lineRule="auto"/>
      <w:ind w:left="567"/>
      <w:outlineLvl w:val="2"/>
    </w:pPr>
    <w:rPr>
      <w:rFonts w:ascii="Times New Roman" w:hAnsi="Times New Roman" w:eastAsia="宋体" w:cs="Times New Roman"/>
      <w:b/>
      <w:kern w:val="2"/>
      <w:sz w:val="28"/>
      <w:szCs w:val="24"/>
      <w:lang w:val="en-US" w:eastAsia="zh-CN" w:bidi="ar-SA"/>
    </w:rPr>
  </w:style>
  <w:style w:type="paragraph" w:customStyle="1" w:styleId="1594">
    <w:name w:val="cucd-4"/>
    <w:next w:val="1571"/>
    <w:qFormat/>
    <w:uiPriority w:val="99"/>
    <w:pPr>
      <w:numPr>
        <w:ilvl w:val="3"/>
        <w:numId w:val="2"/>
      </w:numPr>
      <w:spacing w:line="360" w:lineRule="auto"/>
      <w:ind w:firstLine="0"/>
      <w:outlineLvl w:val="3"/>
    </w:pPr>
    <w:rPr>
      <w:rFonts w:ascii="Times New Roman" w:hAnsi="Times New Roman" w:eastAsia="宋体" w:cs="Times New Roman"/>
      <w:b/>
      <w:kern w:val="2"/>
      <w:sz w:val="24"/>
      <w:szCs w:val="24"/>
      <w:lang w:val="en-US" w:eastAsia="zh-CN" w:bidi="ar-SA"/>
    </w:rPr>
  </w:style>
  <w:style w:type="character" w:customStyle="1" w:styleId="1595">
    <w:name w:val="图表标题0 Char Char"/>
    <w:link w:val="1596"/>
    <w:qFormat/>
    <w:locked/>
    <w:uiPriority w:val="99"/>
    <w:rPr>
      <w:b/>
      <w:sz w:val="24"/>
      <w:szCs w:val="28"/>
    </w:rPr>
  </w:style>
  <w:style w:type="paragraph" w:customStyle="1" w:styleId="1596">
    <w:name w:val="图表标题0"/>
    <w:basedOn w:val="1"/>
    <w:link w:val="1595"/>
    <w:qFormat/>
    <w:uiPriority w:val="99"/>
    <w:pPr>
      <w:numPr>
        <w:ilvl w:val="2"/>
        <w:numId w:val="6"/>
      </w:numPr>
      <w:tabs>
        <w:tab w:val="clear" w:pos="709"/>
      </w:tabs>
      <w:overflowPunct w:val="0"/>
      <w:topLinePunct/>
      <w:snapToGrid w:val="0"/>
      <w:spacing w:beforeLines="50" w:afterLines="50" w:line="360" w:lineRule="auto"/>
      <w:ind w:left="0" w:firstLine="0"/>
      <w:jc w:val="center"/>
    </w:pPr>
    <w:rPr>
      <w:b/>
      <w:kern w:val="0"/>
      <w:sz w:val="24"/>
      <w:szCs w:val="28"/>
    </w:rPr>
  </w:style>
  <w:style w:type="character" w:customStyle="1" w:styleId="1597">
    <w:name w:val="font91"/>
    <w:qFormat/>
    <w:uiPriority w:val="0"/>
    <w:rPr>
      <w:rFonts w:hint="default" w:ascii="Times New Roman" w:hAnsi="Times New Roman" w:cs="Times New Roman"/>
      <w:b/>
      <w:color w:val="auto"/>
      <w:sz w:val="16"/>
      <w:szCs w:val="16"/>
      <w:u w:val="none"/>
    </w:rPr>
  </w:style>
  <w:style w:type="character" w:customStyle="1" w:styleId="1598">
    <w:name w:val="样式 正文文本缩进 2正文文字缩进 2 + 四号 蓝色 Char Char Char Char"/>
    <w:qFormat/>
    <w:uiPriority w:val="0"/>
    <w:rPr>
      <w:rFonts w:ascii="宋体" w:hAnsi="宋体" w:eastAsia="宋体"/>
      <w:color w:val="0000FF"/>
      <w:kern w:val="2"/>
      <w:sz w:val="28"/>
      <w:lang w:val="en-US" w:eastAsia="zh-CN"/>
    </w:rPr>
  </w:style>
  <w:style w:type="character" w:customStyle="1" w:styleId="1599">
    <w:name w:val="cucd-C Char Char"/>
    <w:qFormat/>
    <w:uiPriority w:val="0"/>
    <w:rPr>
      <w:b/>
      <w:kern w:val="2"/>
      <w:sz w:val="28"/>
      <w:szCs w:val="24"/>
    </w:rPr>
  </w:style>
  <w:style w:type="character" w:customStyle="1" w:styleId="1600">
    <w:name w:val="+正文 Char4"/>
    <w:link w:val="1601"/>
    <w:qFormat/>
    <w:uiPriority w:val="0"/>
    <w:rPr>
      <w:rFonts w:ascii="Arial" w:hAnsi="宋体" w:cs="Arial"/>
      <w:szCs w:val="28"/>
    </w:rPr>
  </w:style>
  <w:style w:type="paragraph" w:customStyle="1" w:styleId="1601">
    <w:name w:val="+正文"/>
    <w:basedOn w:val="1"/>
    <w:link w:val="1600"/>
    <w:qFormat/>
    <w:uiPriority w:val="0"/>
    <w:pPr>
      <w:spacing w:line="360" w:lineRule="auto"/>
      <w:ind w:firstLine="200" w:firstLineChars="200"/>
    </w:pPr>
    <w:rPr>
      <w:rFonts w:ascii="Arial" w:hAnsi="宋体" w:cs="Arial"/>
      <w:kern w:val="0"/>
      <w:sz w:val="20"/>
      <w:szCs w:val="28"/>
    </w:rPr>
  </w:style>
  <w:style w:type="character" w:customStyle="1" w:styleId="1602">
    <w:name w:val="正文样式 Char"/>
    <w:link w:val="1603"/>
    <w:qFormat/>
    <w:locked/>
    <w:uiPriority w:val="0"/>
    <w:rPr>
      <w:color w:val="000000"/>
      <w:spacing w:val="-2"/>
      <w:sz w:val="26"/>
      <w:szCs w:val="24"/>
    </w:rPr>
  </w:style>
  <w:style w:type="paragraph" w:customStyle="1" w:styleId="1603">
    <w:name w:val="正文样式"/>
    <w:basedOn w:val="1"/>
    <w:link w:val="1602"/>
    <w:qFormat/>
    <w:uiPriority w:val="0"/>
    <w:pPr>
      <w:spacing w:line="520" w:lineRule="exact"/>
      <w:ind w:firstLine="512"/>
    </w:pPr>
    <w:rPr>
      <w:color w:val="000000"/>
      <w:spacing w:val="-2"/>
      <w:kern w:val="0"/>
      <w:sz w:val="26"/>
    </w:rPr>
  </w:style>
  <w:style w:type="character" w:customStyle="1" w:styleId="1604">
    <w:name w:val="【表头】 Char Char"/>
    <w:qFormat/>
    <w:uiPriority w:val="0"/>
    <w:rPr>
      <w:rFonts w:ascii="Times New Roman" w:hAnsi="Times New Roman" w:eastAsia="黑体"/>
      <w:b/>
      <w:szCs w:val="24"/>
    </w:rPr>
  </w:style>
  <w:style w:type="character" w:customStyle="1" w:styleId="1605">
    <w:name w:val="font101"/>
    <w:qFormat/>
    <w:uiPriority w:val="0"/>
    <w:rPr>
      <w:rFonts w:hint="default" w:ascii="Times New Roman" w:hAnsi="Times New Roman" w:cs="Times New Roman"/>
      <w:color w:val="auto"/>
      <w:sz w:val="16"/>
      <w:szCs w:val="16"/>
      <w:u w:val="none"/>
    </w:rPr>
  </w:style>
  <w:style w:type="character" w:customStyle="1" w:styleId="1606">
    <w:name w:val="龚艺表名 Char"/>
    <w:link w:val="1607"/>
    <w:qFormat/>
    <w:uiPriority w:val="0"/>
    <w:rPr>
      <w:b/>
      <w:szCs w:val="21"/>
    </w:rPr>
  </w:style>
  <w:style w:type="paragraph" w:customStyle="1" w:styleId="1607">
    <w:name w:val="龚艺表名"/>
    <w:basedOn w:val="1"/>
    <w:link w:val="1606"/>
    <w:qFormat/>
    <w:uiPriority w:val="0"/>
    <w:pPr>
      <w:spacing w:beforeLines="20"/>
      <w:jc w:val="center"/>
    </w:pPr>
    <w:rPr>
      <w:b/>
      <w:kern w:val="0"/>
      <w:sz w:val="20"/>
      <w:szCs w:val="21"/>
    </w:rPr>
  </w:style>
  <w:style w:type="character" w:customStyle="1" w:styleId="1608">
    <w:name w:val="cucd-TB-Head Char Char"/>
    <w:qFormat/>
    <w:uiPriority w:val="0"/>
    <w:rPr>
      <w:rFonts w:eastAsia="黑体"/>
      <w:kern w:val="2"/>
      <w:sz w:val="24"/>
      <w:szCs w:val="24"/>
    </w:rPr>
  </w:style>
  <w:style w:type="character" w:customStyle="1" w:styleId="1609">
    <w:name w:val="标题 3 Char1"/>
    <w:qFormat/>
    <w:uiPriority w:val="0"/>
    <w:rPr>
      <w:rFonts w:ascii="Times New Roman" w:hAnsi="Times New Roman" w:eastAsia="宋体" w:cs="Times New Roman"/>
      <w:b/>
      <w:bCs/>
      <w:sz w:val="32"/>
      <w:szCs w:val="32"/>
    </w:rPr>
  </w:style>
  <w:style w:type="character" w:customStyle="1" w:styleId="1610">
    <w:name w:val="cucd-TB-Head Char1"/>
    <w:link w:val="1611"/>
    <w:qFormat/>
    <w:uiPriority w:val="0"/>
    <w:rPr>
      <w:rFonts w:eastAsia="黑体"/>
      <w:szCs w:val="24"/>
    </w:rPr>
  </w:style>
  <w:style w:type="paragraph" w:customStyle="1" w:styleId="1611">
    <w:name w:val="cucd-TB-Head"/>
    <w:basedOn w:val="1"/>
    <w:next w:val="1"/>
    <w:link w:val="1610"/>
    <w:qFormat/>
    <w:uiPriority w:val="0"/>
    <w:pPr>
      <w:spacing w:line="360" w:lineRule="auto"/>
      <w:jc w:val="center"/>
    </w:pPr>
    <w:rPr>
      <w:rFonts w:eastAsia="黑体"/>
      <w:kern w:val="0"/>
      <w:sz w:val="20"/>
    </w:rPr>
  </w:style>
  <w:style w:type="character" w:customStyle="1" w:styleId="1612">
    <w:name w:val="图表题 Char"/>
    <w:link w:val="1613"/>
    <w:qFormat/>
    <w:uiPriority w:val="0"/>
    <w:rPr>
      <w:rFonts w:ascii="黑体" w:hAnsi="宋体" w:eastAsia="黑体" w:cs="宋体"/>
      <w:b/>
      <w:bCs/>
      <w:sz w:val="24"/>
      <w:szCs w:val="24"/>
    </w:rPr>
  </w:style>
  <w:style w:type="paragraph" w:customStyle="1" w:styleId="1613">
    <w:name w:val="图表题"/>
    <w:basedOn w:val="144"/>
    <w:next w:val="144"/>
    <w:link w:val="1612"/>
    <w:qFormat/>
    <w:uiPriority w:val="0"/>
    <w:pPr>
      <w:ind w:firstLine="0" w:firstLineChars="0"/>
      <w:jc w:val="center"/>
    </w:pPr>
    <w:rPr>
      <w:rFonts w:ascii="黑体" w:hAnsi="宋体" w:eastAsia="黑体" w:cs="宋体"/>
      <w:b/>
      <w:bCs/>
      <w:kern w:val="0"/>
      <w:lang w:val="en-US"/>
    </w:rPr>
  </w:style>
  <w:style w:type="character" w:customStyle="1" w:styleId="1614">
    <w:name w:val="样式 小三3"/>
    <w:qFormat/>
    <w:uiPriority w:val="0"/>
    <w:rPr>
      <w:sz w:val="28"/>
    </w:rPr>
  </w:style>
  <w:style w:type="character" w:customStyle="1" w:styleId="1615">
    <w:name w:val="样式 样式 小四 左 首行缩进:  2 字符 + 首行缩进:  2 字符 Char Char Char Char Char Char Char"/>
    <w:link w:val="1616"/>
    <w:qFormat/>
    <w:uiPriority w:val="0"/>
    <w:rPr>
      <w:rFonts w:cs="宋体"/>
      <w:sz w:val="28"/>
      <w:szCs w:val="24"/>
    </w:rPr>
  </w:style>
  <w:style w:type="paragraph" w:customStyle="1" w:styleId="1616">
    <w:name w:val="样式 样式 小四 左 首行缩进:  2 字符 + 首行缩进:  2 字符 Char Char Char Char Char"/>
    <w:basedOn w:val="1"/>
    <w:link w:val="1615"/>
    <w:qFormat/>
    <w:uiPriority w:val="0"/>
    <w:pPr>
      <w:tabs>
        <w:tab w:val="left" w:pos="964"/>
      </w:tabs>
      <w:adjustRightInd w:val="0"/>
      <w:spacing w:line="360" w:lineRule="auto"/>
      <w:ind w:left="964" w:right="-56" w:rightChars="-20" w:hanging="964"/>
      <w:textAlignment w:val="baseline"/>
    </w:pPr>
    <w:rPr>
      <w:rFonts w:cs="宋体"/>
      <w:kern w:val="0"/>
      <w:sz w:val="28"/>
    </w:rPr>
  </w:style>
  <w:style w:type="character" w:customStyle="1" w:styleId="1617">
    <w:name w:val="words-outer-wrap words-outer-wrap-focus"/>
    <w:qFormat/>
    <w:uiPriority w:val="0"/>
  </w:style>
  <w:style w:type="character" w:customStyle="1" w:styleId="1618">
    <w:name w:val="yyp Char Char"/>
    <w:qFormat/>
    <w:uiPriority w:val="0"/>
    <w:rPr>
      <w:rFonts w:ascii="Calibri" w:hAnsi="Calibri" w:eastAsia="宋体"/>
      <w:kern w:val="2"/>
      <w:sz w:val="24"/>
      <w:szCs w:val="24"/>
      <w:lang w:val="en-US" w:eastAsia="zh-CN" w:bidi="ar-SA"/>
    </w:rPr>
  </w:style>
  <w:style w:type="character" w:customStyle="1" w:styleId="1619">
    <w:name w:val="表文[BW] Char"/>
    <w:link w:val="1620"/>
    <w:qFormat/>
    <w:uiPriority w:val="0"/>
    <w:rPr>
      <w:rFonts w:ascii="宋体"/>
      <w:szCs w:val="28"/>
    </w:rPr>
  </w:style>
  <w:style w:type="paragraph" w:customStyle="1" w:styleId="1620">
    <w:name w:val="表文[BW]"/>
    <w:basedOn w:val="1"/>
    <w:next w:val="1"/>
    <w:link w:val="1619"/>
    <w:qFormat/>
    <w:uiPriority w:val="0"/>
    <w:pPr>
      <w:adjustRightInd w:val="0"/>
      <w:snapToGrid w:val="0"/>
      <w:spacing w:line="320" w:lineRule="exact"/>
      <w:jc w:val="center"/>
    </w:pPr>
    <w:rPr>
      <w:rFonts w:ascii="宋体"/>
      <w:kern w:val="0"/>
      <w:sz w:val="20"/>
      <w:szCs w:val="28"/>
    </w:rPr>
  </w:style>
  <w:style w:type="character" w:customStyle="1" w:styleId="1621">
    <w:name w:val="热电厂正文 Char Char Char"/>
    <w:link w:val="1622"/>
    <w:qFormat/>
    <w:uiPriority w:val="0"/>
    <w:rPr>
      <w:sz w:val="24"/>
      <w:szCs w:val="24"/>
    </w:rPr>
  </w:style>
  <w:style w:type="paragraph" w:customStyle="1" w:styleId="1622">
    <w:name w:val="热电厂正文 Char Char"/>
    <w:basedOn w:val="1"/>
    <w:link w:val="1621"/>
    <w:qFormat/>
    <w:uiPriority w:val="0"/>
    <w:pPr>
      <w:spacing w:line="440" w:lineRule="exact"/>
      <w:ind w:firstLine="480" w:firstLineChars="200"/>
    </w:pPr>
    <w:rPr>
      <w:kern w:val="0"/>
      <w:sz w:val="24"/>
    </w:rPr>
  </w:style>
  <w:style w:type="character" w:customStyle="1" w:styleId="1623">
    <w:name w:val="cucd-C Char"/>
    <w:link w:val="1624"/>
    <w:qFormat/>
    <w:uiPriority w:val="0"/>
    <w:rPr>
      <w:b/>
      <w:sz w:val="28"/>
      <w:szCs w:val="24"/>
    </w:rPr>
  </w:style>
  <w:style w:type="paragraph" w:customStyle="1" w:styleId="1624">
    <w:name w:val="cucd-C"/>
    <w:next w:val="1571"/>
    <w:link w:val="1623"/>
    <w:qFormat/>
    <w:uiPriority w:val="0"/>
    <w:pPr>
      <w:spacing w:line="360" w:lineRule="auto"/>
      <w:outlineLvl w:val="2"/>
    </w:pPr>
    <w:rPr>
      <w:rFonts w:ascii="Times New Roman" w:hAnsi="Times New Roman" w:eastAsia="宋体" w:cs="Times New Roman"/>
      <w:b/>
      <w:sz w:val="28"/>
      <w:szCs w:val="24"/>
      <w:lang w:val="en-US" w:eastAsia="zh-CN" w:bidi="ar-SA"/>
    </w:rPr>
  </w:style>
  <w:style w:type="character" w:customStyle="1" w:styleId="1625">
    <w:name w:val="龚艺正文加粗 Char"/>
    <w:link w:val="1626"/>
    <w:qFormat/>
    <w:uiPriority w:val="0"/>
    <w:rPr>
      <w:rFonts w:hAnsi="宋体" w:cs="宋体"/>
      <w:color w:val="000000"/>
      <w:sz w:val="24"/>
      <w:szCs w:val="24"/>
    </w:rPr>
  </w:style>
  <w:style w:type="paragraph" w:customStyle="1" w:styleId="1626">
    <w:name w:val="龚艺正文加粗"/>
    <w:basedOn w:val="1"/>
    <w:link w:val="1625"/>
    <w:qFormat/>
    <w:uiPriority w:val="0"/>
    <w:pPr>
      <w:tabs>
        <w:tab w:val="left" w:pos="8789"/>
      </w:tabs>
      <w:wordWrap w:val="0"/>
      <w:spacing w:line="360" w:lineRule="auto"/>
      <w:ind w:firstLine="200" w:firstLineChars="200"/>
    </w:pPr>
    <w:rPr>
      <w:rFonts w:hAnsi="宋体" w:cs="宋体"/>
      <w:color w:val="000000"/>
      <w:kern w:val="0"/>
      <w:sz w:val="24"/>
    </w:rPr>
  </w:style>
  <w:style w:type="character" w:customStyle="1" w:styleId="1627">
    <w:name w:val="正文（首行缩进） Char1"/>
    <w:link w:val="1628"/>
    <w:qFormat/>
    <w:uiPriority w:val="0"/>
    <w:rPr>
      <w:bCs/>
      <w:snapToGrid w:val="0"/>
      <w:sz w:val="24"/>
      <w:szCs w:val="24"/>
    </w:rPr>
  </w:style>
  <w:style w:type="paragraph" w:customStyle="1" w:styleId="1628">
    <w:name w:val="正文（首行缩进）"/>
    <w:basedOn w:val="1"/>
    <w:link w:val="1627"/>
    <w:qFormat/>
    <w:uiPriority w:val="0"/>
    <w:pPr>
      <w:overflowPunct w:val="0"/>
      <w:topLinePunct/>
      <w:autoSpaceDE w:val="0"/>
      <w:autoSpaceDN w:val="0"/>
      <w:adjustRightInd w:val="0"/>
      <w:snapToGrid w:val="0"/>
      <w:spacing w:line="360" w:lineRule="auto"/>
      <w:ind w:firstLine="200" w:firstLineChars="200"/>
      <w:textAlignment w:val="baseline"/>
    </w:pPr>
    <w:rPr>
      <w:bCs/>
      <w:snapToGrid w:val="0"/>
      <w:kern w:val="0"/>
      <w:sz w:val="24"/>
    </w:rPr>
  </w:style>
  <w:style w:type="paragraph" w:customStyle="1" w:styleId="1629">
    <w:name w:val="正文11"/>
    <w:basedOn w:val="1"/>
    <w:qFormat/>
    <w:uiPriority w:val="0"/>
    <w:pPr>
      <w:snapToGrid w:val="0"/>
      <w:spacing w:line="500" w:lineRule="exact"/>
      <w:ind w:firstLine="200" w:firstLineChars="200"/>
    </w:pPr>
    <w:rPr>
      <w:rFonts w:ascii="宋体" w:hAnsi="宋体"/>
      <w:kern w:val="0"/>
      <w:sz w:val="24"/>
      <w:szCs w:val="20"/>
      <w:lang w:val="zh-CN"/>
    </w:rPr>
  </w:style>
  <w:style w:type="character" w:customStyle="1" w:styleId="1630">
    <w:name w:val="font81"/>
    <w:qFormat/>
    <w:uiPriority w:val="0"/>
    <w:rPr>
      <w:rFonts w:hint="default" w:ascii="Times New Roman" w:hAnsi="Times New Roman" w:cs="Times New Roman"/>
      <w:color w:val="000000"/>
      <w:sz w:val="21"/>
      <w:szCs w:val="21"/>
      <w:u w:val="none"/>
    </w:rPr>
  </w:style>
  <w:style w:type="character" w:customStyle="1" w:styleId="1631">
    <w:name w:val="words-outer-wrap"/>
    <w:qFormat/>
    <w:uiPriority w:val="0"/>
  </w:style>
  <w:style w:type="character" w:customStyle="1" w:styleId="1632">
    <w:name w:val="【图片】 Char"/>
    <w:link w:val="1633"/>
    <w:qFormat/>
    <w:uiPriority w:val="0"/>
    <w:rPr>
      <w:rFonts w:ascii="宋体" w:hAnsi="宋体" w:eastAsia="Times New Roman"/>
      <w:sz w:val="24"/>
    </w:rPr>
  </w:style>
  <w:style w:type="paragraph" w:customStyle="1" w:styleId="1633">
    <w:name w:val="【图片】"/>
    <w:next w:val="86"/>
    <w:link w:val="1632"/>
    <w:qFormat/>
    <w:uiPriority w:val="0"/>
    <w:pPr>
      <w:jc w:val="center"/>
    </w:pPr>
    <w:rPr>
      <w:rFonts w:ascii="宋体" w:hAnsi="宋体" w:eastAsia="Times New Roman" w:cs="Times New Roman"/>
      <w:sz w:val="24"/>
      <w:lang w:val="en-US" w:eastAsia="zh-CN" w:bidi="ar-SA"/>
    </w:rPr>
  </w:style>
  <w:style w:type="character" w:customStyle="1" w:styleId="1634">
    <w:name w:val="正文小四首缩1.3行距 Char"/>
    <w:qFormat/>
    <w:uiPriority w:val="0"/>
    <w:rPr>
      <w:rFonts w:eastAsia="宋体"/>
      <w:kern w:val="2"/>
      <w:sz w:val="24"/>
      <w:szCs w:val="24"/>
      <w:lang w:val="en-US" w:eastAsia="zh-CN" w:bidi="ar-SA"/>
    </w:rPr>
  </w:style>
  <w:style w:type="character" w:customStyle="1" w:styleId="1635">
    <w:name w:val="cucd-1 Char"/>
    <w:link w:val="1636"/>
    <w:qFormat/>
    <w:uiPriority w:val="0"/>
    <w:rPr>
      <w:rFonts w:eastAsia="黑体"/>
      <w:b/>
      <w:sz w:val="36"/>
      <w:szCs w:val="24"/>
    </w:rPr>
  </w:style>
  <w:style w:type="paragraph" w:customStyle="1" w:styleId="1636">
    <w:name w:val="cucd-1"/>
    <w:next w:val="1592"/>
    <w:link w:val="1635"/>
    <w:qFormat/>
    <w:uiPriority w:val="0"/>
    <w:pPr>
      <w:pageBreakBefore/>
      <w:tabs>
        <w:tab w:val="left" w:pos="425"/>
      </w:tabs>
      <w:spacing w:beforeLines="100" w:afterLines="50" w:line="360" w:lineRule="auto"/>
      <w:ind w:left="425"/>
      <w:jc w:val="center"/>
      <w:outlineLvl w:val="0"/>
    </w:pPr>
    <w:rPr>
      <w:rFonts w:ascii="Times New Roman" w:hAnsi="Times New Roman" w:eastAsia="黑体" w:cs="Times New Roman"/>
      <w:b/>
      <w:sz w:val="36"/>
      <w:szCs w:val="24"/>
      <w:lang w:val="en-US" w:eastAsia="zh-CN" w:bidi="ar-SA"/>
    </w:rPr>
  </w:style>
  <w:style w:type="character" w:customStyle="1" w:styleId="1637">
    <w:name w:val="普通文字 Char3"/>
    <w:qFormat/>
    <w:uiPriority w:val="0"/>
    <w:rPr>
      <w:rFonts w:eastAsia="宋体"/>
      <w:spacing w:val="8"/>
      <w:kern w:val="2"/>
      <w:sz w:val="24"/>
      <w:lang w:val="en-US" w:eastAsia="zh-CN" w:bidi="ar-SA"/>
    </w:rPr>
  </w:style>
  <w:style w:type="character" w:customStyle="1" w:styleId="1638">
    <w:name w:val="words-outer-wrap words-wrap-hover"/>
    <w:qFormat/>
    <w:uiPriority w:val="0"/>
  </w:style>
  <w:style w:type="character" w:customStyle="1" w:styleId="1639">
    <w:name w:val="141"/>
    <w:qFormat/>
    <w:uiPriority w:val="0"/>
    <w:rPr>
      <w:rFonts w:hint="default" w:ascii="ˎ̥" w:hAnsi="ˎ̥"/>
      <w:color w:val="000000"/>
      <w:spacing w:val="0"/>
      <w:sz w:val="21"/>
      <w:szCs w:val="21"/>
    </w:rPr>
  </w:style>
  <w:style w:type="character" w:customStyle="1" w:styleId="1640">
    <w:name w:val="cucd-0 Char Char Char Char"/>
    <w:link w:val="1641"/>
    <w:qFormat/>
    <w:uiPriority w:val="0"/>
    <w:rPr>
      <w:szCs w:val="24"/>
    </w:rPr>
  </w:style>
  <w:style w:type="paragraph" w:customStyle="1" w:styleId="1641">
    <w:name w:val="cucd-0 Char Char Char"/>
    <w:link w:val="1640"/>
    <w:qFormat/>
    <w:uiPriority w:val="0"/>
    <w:pPr>
      <w:spacing w:line="360" w:lineRule="auto"/>
      <w:ind w:firstLine="480" w:firstLineChars="200"/>
    </w:pPr>
    <w:rPr>
      <w:rFonts w:ascii="Times New Roman" w:hAnsi="Times New Roman" w:eastAsia="宋体" w:cs="Times New Roman"/>
      <w:szCs w:val="24"/>
      <w:lang w:val="en-US" w:eastAsia="zh-CN" w:bidi="ar-SA"/>
    </w:rPr>
  </w:style>
  <w:style w:type="character" w:customStyle="1" w:styleId="1642">
    <w:name w:val="表格内字体 Char"/>
    <w:link w:val="1643"/>
    <w:qFormat/>
    <w:uiPriority w:val="0"/>
    <w:rPr>
      <w:rFonts w:ascii="宋体" w:hAnsi="宋体"/>
      <w:szCs w:val="24"/>
    </w:rPr>
  </w:style>
  <w:style w:type="paragraph" w:customStyle="1" w:styleId="1643">
    <w:name w:val="表格内字体"/>
    <w:basedOn w:val="144"/>
    <w:next w:val="144"/>
    <w:link w:val="1642"/>
    <w:qFormat/>
    <w:uiPriority w:val="0"/>
    <w:pPr>
      <w:spacing w:beforeLines="10" w:afterLines="10" w:line="240" w:lineRule="auto"/>
      <w:ind w:firstLine="0"/>
      <w:jc w:val="center"/>
    </w:pPr>
    <w:rPr>
      <w:rFonts w:ascii="宋体" w:hAnsi="宋体"/>
      <w:kern w:val="0"/>
      <w:sz w:val="20"/>
      <w:lang w:val="en-US"/>
    </w:rPr>
  </w:style>
  <w:style w:type="character" w:customStyle="1" w:styleId="1644">
    <w:name w:val="样式 普通文字 + Times New Roman 小四 Char Char Char Char"/>
    <w:qFormat/>
    <w:uiPriority w:val="0"/>
    <w:rPr>
      <w:rFonts w:ascii="宋体" w:hAnsi="Courier New" w:eastAsia="宋体"/>
      <w:kern w:val="2"/>
      <w:sz w:val="28"/>
      <w:szCs w:val="21"/>
      <w:lang w:val="en-US" w:eastAsia="zh-CN" w:bidi="ar-SA"/>
    </w:rPr>
  </w:style>
  <w:style w:type="character" w:customStyle="1" w:styleId="1645">
    <w:name w:val="正文小四首缩1.3行距 Char Char"/>
    <w:link w:val="1646"/>
    <w:qFormat/>
    <w:uiPriority w:val="0"/>
    <w:rPr>
      <w:sz w:val="24"/>
      <w:szCs w:val="24"/>
    </w:rPr>
  </w:style>
  <w:style w:type="paragraph" w:customStyle="1" w:styleId="1646">
    <w:name w:val="正文小四首缩1.3行距"/>
    <w:basedOn w:val="1"/>
    <w:link w:val="1645"/>
    <w:qFormat/>
    <w:uiPriority w:val="0"/>
    <w:pPr>
      <w:numPr>
        <w:ilvl w:val="0"/>
        <w:numId w:val="6"/>
      </w:numPr>
      <w:tabs>
        <w:tab w:val="clear" w:pos="425"/>
      </w:tabs>
      <w:spacing w:line="312" w:lineRule="auto"/>
      <w:ind w:left="0" w:firstLine="420" w:firstLineChars="200"/>
    </w:pPr>
    <w:rPr>
      <w:kern w:val="0"/>
      <w:sz w:val="24"/>
    </w:rPr>
  </w:style>
  <w:style w:type="paragraph" w:customStyle="1" w:styleId="1647">
    <w:name w:val="_Style 10"/>
    <w:basedOn w:val="1"/>
    <w:qFormat/>
    <w:uiPriority w:val="99"/>
    <w:rPr>
      <w:szCs w:val="20"/>
    </w:rPr>
  </w:style>
  <w:style w:type="paragraph" w:customStyle="1" w:styleId="1648">
    <w:name w:val="样式 样式 样式 正文文本 + 宋体 四号 + 首行缩进:  2 字符 + 五号"/>
    <w:qFormat/>
    <w:uiPriority w:val="0"/>
    <w:rPr>
      <w:rFonts w:ascii="Times New Roman" w:hAnsi="Times New Roman" w:eastAsia="宋体" w:cs="Times New Roman"/>
      <w:lang w:val="en-US" w:eastAsia="zh-CN" w:bidi="ar-SA"/>
    </w:rPr>
  </w:style>
  <w:style w:type="paragraph" w:customStyle="1" w:styleId="1649">
    <w:name w:val="样式 样式 正文文本 + 宋体 四号 + 首行缩进:  2 字符"/>
    <w:basedOn w:val="1"/>
    <w:qFormat/>
    <w:uiPriority w:val="99"/>
    <w:pPr>
      <w:spacing w:line="360" w:lineRule="auto"/>
      <w:ind w:firstLine="560" w:firstLineChars="200"/>
    </w:pPr>
    <w:rPr>
      <w:rFonts w:ascii="宋体" w:hAnsi="宋体" w:eastAsia="仿宋_GB2312" w:cs="宋体"/>
      <w:sz w:val="24"/>
    </w:rPr>
  </w:style>
  <w:style w:type="paragraph" w:customStyle="1" w:styleId="1650">
    <w:name w:val="CM48"/>
    <w:basedOn w:val="119"/>
    <w:next w:val="119"/>
    <w:qFormat/>
    <w:uiPriority w:val="99"/>
    <w:rPr>
      <w:rFonts w:ascii="宋体" w:hAnsi="Times New Roman" w:cs="Times New Roman"/>
      <w:color w:val="auto"/>
    </w:rPr>
  </w:style>
  <w:style w:type="paragraph" w:customStyle="1" w:styleId="1651">
    <w:name w:val="样式 宋体 小四 首行缩进:  0.74 厘米 段前: 6 磅 段后: 6 磅 行距: 1.5 倍行距"/>
    <w:basedOn w:val="1"/>
    <w:qFormat/>
    <w:uiPriority w:val="99"/>
    <w:pPr>
      <w:suppressAutoHyphens/>
      <w:spacing w:line="360" w:lineRule="exact"/>
      <w:ind w:firstLine="420"/>
    </w:pPr>
    <w:rPr>
      <w:rFonts w:ascii="宋体" w:hAnsi="宋体"/>
      <w:kern w:val="1"/>
      <w:sz w:val="24"/>
      <w:szCs w:val="20"/>
    </w:rPr>
  </w:style>
  <w:style w:type="paragraph" w:customStyle="1" w:styleId="1652">
    <w:name w:val="List Paragraph1"/>
    <w:basedOn w:val="1"/>
    <w:qFormat/>
    <w:uiPriority w:val="99"/>
    <w:pPr>
      <w:autoSpaceDE w:val="0"/>
      <w:autoSpaceDN w:val="0"/>
      <w:adjustRightInd w:val="0"/>
      <w:spacing w:after="200" w:line="360" w:lineRule="auto"/>
      <w:ind w:firstLine="420" w:firstLineChars="200"/>
    </w:pPr>
    <w:rPr>
      <w:rFonts w:ascii="宋体" w:hAnsi="宋体" w:cs="宋体"/>
      <w:color w:val="000000"/>
      <w:kern w:val="0"/>
    </w:rPr>
  </w:style>
  <w:style w:type="paragraph" w:customStyle="1" w:styleId="1653">
    <w:name w:val="标题 2 New New New New New New New New New New New New New New New New New New New New New New New New New New New New New New New New New New New New New New New New New New New New New New New New New New New New New New New New New New New New New N249"/>
    <w:qFormat/>
    <w:uiPriority w:val="99"/>
    <w:pPr>
      <w:keepNext/>
      <w:keepLines/>
      <w:tabs>
        <w:tab w:val="left" w:pos="576"/>
      </w:tabs>
      <w:spacing w:before="140" w:after="140" w:line="480" w:lineRule="auto"/>
      <w:ind w:left="576"/>
      <w:outlineLvl w:val="1"/>
    </w:pPr>
    <w:rPr>
      <w:rFonts w:ascii="Arial" w:hAnsi="Arial" w:eastAsia="宋体" w:cs="Times New Roman"/>
      <w:b/>
      <w:bCs/>
      <w:sz w:val="30"/>
      <w:szCs w:val="32"/>
      <w:lang w:val="en-US" w:eastAsia="zh-CN" w:bidi="ar-SA"/>
    </w:rPr>
  </w:style>
  <w:style w:type="paragraph" w:customStyle="1" w:styleId="1654">
    <w:name w:val="样式 正文缩进框图特点表正文正文非缩进图表标题正文不缩进首行缩进两字 + 首行缩进:  2 字符"/>
    <w:basedOn w:val="21"/>
    <w:qFormat/>
    <w:uiPriority w:val="99"/>
    <w:pPr>
      <w:spacing w:line="580" w:lineRule="exact"/>
      <w:ind w:firstLine="200"/>
    </w:pPr>
    <w:rPr>
      <w:rFonts w:ascii="仿宋_GB2312" w:hAnsi="宋体" w:eastAsia="仿宋_GB2312" w:cs="宋体"/>
      <w:color w:val="000080"/>
      <w:sz w:val="28"/>
      <w:szCs w:val="28"/>
    </w:rPr>
  </w:style>
  <w:style w:type="paragraph" w:customStyle="1" w:styleId="1655">
    <w:name w:val="Char Char Char Char Char Char Char Char Char Char3"/>
    <w:basedOn w:val="1"/>
    <w:qFormat/>
    <w:uiPriority w:val="0"/>
    <w:pPr>
      <w:adjustRightInd w:val="0"/>
      <w:snapToGrid w:val="0"/>
      <w:spacing w:line="360" w:lineRule="auto"/>
      <w:ind w:firstLine="200" w:firstLineChars="200"/>
    </w:pPr>
  </w:style>
  <w:style w:type="paragraph" w:customStyle="1" w:styleId="1656">
    <w:name w:val="样式 标题 2 + 黑色"/>
    <w:basedOn w:val="4"/>
    <w:qFormat/>
    <w:uiPriority w:val="99"/>
    <w:pPr>
      <w:spacing w:line="360" w:lineRule="auto"/>
    </w:pPr>
    <w:rPr>
      <w:rFonts w:ascii="宋体" w:hAnsi="宋体" w:eastAsia="宋体" w:cs="宋体"/>
      <w:b w:val="0"/>
      <w:color w:val="000000"/>
      <w:szCs w:val="28"/>
    </w:rPr>
  </w:style>
  <w:style w:type="paragraph" w:customStyle="1" w:styleId="1657">
    <w:name w:val="Char Char1 Char Char Char Char Char Char Char Char Char Char Char Char Char"/>
    <w:basedOn w:val="1"/>
    <w:qFormat/>
    <w:uiPriority w:val="99"/>
  </w:style>
  <w:style w:type="paragraph" w:customStyle="1" w:styleId="1658">
    <w:name w:val="样式 样式 样式 样式 样式 样式 样式 样式9 + 段前: 0.5 行 段后: 0.5 行 + 段前: 1 行 段后: 0.5..."/>
    <w:basedOn w:val="1"/>
    <w:qFormat/>
    <w:uiPriority w:val="99"/>
    <w:pPr>
      <w:keepNext/>
      <w:keepLines/>
      <w:tabs>
        <w:tab w:val="left" w:pos="420"/>
      </w:tabs>
      <w:spacing w:beforeLines="100" w:afterLines="50" w:line="480" w:lineRule="exact"/>
      <w:ind w:hanging="420"/>
      <w:outlineLvl w:val="1"/>
    </w:pPr>
    <w:rPr>
      <w:rFonts w:ascii="Arial" w:hAnsi="Arial" w:eastAsia="黑体"/>
      <w:color w:val="000000"/>
      <w:spacing w:val="6"/>
      <w:sz w:val="28"/>
      <w:szCs w:val="20"/>
    </w:rPr>
  </w:style>
  <w:style w:type="paragraph" w:customStyle="1" w:styleId="1659">
    <w:name w:val="中文报告书样式"/>
    <w:basedOn w:val="1"/>
    <w:qFormat/>
    <w:uiPriority w:val="0"/>
    <w:pPr>
      <w:adjustRightInd w:val="0"/>
      <w:spacing w:line="480" w:lineRule="atLeast"/>
      <w:ind w:firstLine="482"/>
      <w:textAlignment w:val="baseline"/>
    </w:pPr>
    <w:rPr>
      <w:kern w:val="24"/>
      <w:sz w:val="24"/>
      <w:szCs w:val="20"/>
    </w:rPr>
  </w:style>
  <w:style w:type="paragraph" w:customStyle="1" w:styleId="1660">
    <w:name w:val="Char21"/>
    <w:basedOn w:val="1"/>
    <w:qFormat/>
    <w:uiPriority w:val="99"/>
    <w:rPr>
      <w:rFonts w:ascii="宋体" w:hAnsi="宋体" w:cs="Courier New"/>
      <w:sz w:val="32"/>
      <w:szCs w:val="32"/>
    </w:rPr>
  </w:style>
  <w:style w:type="paragraph" w:customStyle="1" w:styleId="1661">
    <w:name w:val="样式 样式 样式 样式 样式 正文文本 + 宋体 四号 + 首行缩进:  2 字符 + 首行缩进:  2 字符1 + 首行缩进:..."/>
    <w:basedOn w:val="1"/>
    <w:qFormat/>
    <w:uiPriority w:val="99"/>
    <w:pPr>
      <w:spacing w:line="360" w:lineRule="auto"/>
      <w:ind w:firstLine="560" w:firstLineChars="200"/>
    </w:pPr>
    <w:rPr>
      <w:rFonts w:ascii="宋体" w:hAnsi="宋体"/>
      <w:sz w:val="28"/>
      <w:szCs w:val="28"/>
    </w:rPr>
  </w:style>
  <w:style w:type="paragraph" w:customStyle="1" w:styleId="1662">
    <w:name w:val="样式 宋体 四号 行距: 1.5 倍行距1"/>
    <w:basedOn w:val="1"/>
    <w:qFormat/>
    <w:uiPriority w:val="99"/>
    <w:pPr>
      <w:spacing w:line="360" w:lineRule="auto"/>
      <w:ind w:firstLine="560" w:firstLineChars="200"/>
    </w:pPr>
    <w:rPr>
      <w:rFonts w:cs="宋体"/>
      <w:sz w:val="28"/>
      <w:szCs w:val="20"/>
    </w:rPr>
  </w:style>
  <w:style w:type="paragraph" w:customStyle="1" w:styleId="1663">
    <w:name w:val="B4"/>
    <w:basedOn w:val="1"/>
    <w:qFormat/>
    <w:uiPriority w:val="99"/>
    <w:pPr>
      <w:spacing w:line="640" w:lineRule="exact"/>
      <w:ind w:firstLine="560" w:firstLineChars="200"/>
    </w:pPr>
    <w:rPr>
      <w:rFonts w:ascii="仿宋_GB2312" w:hAnsi="黑体" w:eastAsia="仿宋_GB2312"/>
      <w:sz w:val="28"/>
      <w:szCs w:val="28"/>
    </w:rPr>
  </w:style>
  <w:style w:type="paragraph" w:customStyle="1" w:styleId="1664">
    <w:name w:val="CM2"/>
    <w:basedOn w:val="1"/>
    <w:next w:val="1"/>
    <w:qFormat/>
    <w:uiPriority w:val="99"/>
    <w:pPr>
      <w:autoSpaceDE w:val="0"/>
      <w:autoSpaceDN w:val="0"/>
      <w:adjustRightInd w:val="0"/>
      <w:spacing w:line="468" w:lineRule="atLeast"/>
    </w:pPr>
    <w:rPr>
      <w:rFonts w:ascii="宋体"/>
      <w:kern w:val="0"/>
      <w:sz w:val="24"/>
    </w:rPr>
  </w:style>
  <w:style w:type="paragraph" w:customStyle="1" w:styleId="1665">
    <w:name w:val="Char Char Char Char Char Char1"/>
    <w:basedOn w:val="1"/>
    <w:qFormat/>
    <w:uiPriority w:val="0"/>
    <w:rPr>
      <w:sz w:val="24"/>
    </w:rPr>
  </w:style>
  <w:style w:type="paragraph" w:customStyle="1" w:styleId="1666">
    <w:name w:val="cucd-A"/>
    <w:next w:val="1571"/>
    <w:qFormat/>
    <w:uiPriority w:val="99"/>
    <w:pPr>
      <w:pageBreakBefore/>
      <w:spacing w:beforeLines="100" w:afterLines="50" w:line="360" w:lineRule="auto"/>
      <w:jc w:val="center"/>
      <w:outlineLvl w:val="0"/>
    </w:pPr>
    <w:rPr>
      <w:rFonts w:ascii="Times New Roman" w:hAnsi="Times New Roman" w:eastAsia="黑体" w:cs="Times New Roman"/>
      <w:b/>
      <w:kern w:val="2"/>
      <w:sz w:val="36"/>
      <w:szCs w:val="24"/>
      <w:lang w:val="en-US" w:eastAsia="zh-CN" w:bidi="ar-SA"/>
    </w:rPr>
  </w:style>
  <w:style w:type="paragraph" w:customStyle="1" w:styleId="1667">
    <w:name w:val="cucd-D"/>
    <w:next w:val="1571"/>
    <w:qFormat/>
    <w:uiPriority w:val="99"/>
    <w:pPr>
      <w:spacing w:line="360" w:lineRule="auto"/>
      <w:outlineLvl w:val="3"/>
    </w:pPr>
    <w:rPr>
      <w:rFonts w:ascii="Times New Roman" w:hAnsi="Times New Roman" w:eastAsia="宋体" w:cs="Times New Roman"/>
      <w:b/>
      <w:kern w:val="2"/>
      <w:sz w:val="24"/>
      <w:szCs w:val="24"/>
      <w:lang w:val="en-US" w:eastAsia="zh-CN" w:bidi="ar-SA"/>
    </w:rPr>
  </w:style>
  <w:style w:type="paragraph" w:customStyle="1" w:styleId="1668">
    <w:name w:val="A-文本格式"/>
    <w:qFormat/>
    <w:uiPriority w:val="99"/>
    <w:pPr>
      <w:widowControl w:val="0"/>
      <w:spacing w:line="360" w:lineRule="auto"/>
      <w:ind w:firstLine="200" w:firstLineChars="200"/>
      <w:jc w:val="both"/>
    </w:pPr>
    <w:rPr>
      <w:rFonts w:ascii="Times New Roman" w:hAnsi="Times New Roman" w:eastAsia="宋体" w:cs="Times New Roman"/>
      <w:kern w:val="2"/>
      <w:sz w:val="24"/>
      <w:szCs w:val="21"/>
      <w:lang w:val="en-US" w:eastAsia="zh-CN" w:bidi="ar-SA"/>
    </w:rPr>
  </w:style>
  <w:style w:type="paragraph" w:customStyle="1" w:styleId="1669">
    <w:name w:val="样式 宋体 四号 首行缩进:  1.01 厘米"/>
    <w:basedOn w:val="1"/>
    <w:qFormat/>
    <w:uiPriority w:val="99"/>
    <w:pPr>
      <w:spacing w:line="360" w:lineRule="auto"/>
      <w:ind w:firstLine="480" w:firstLineChars="200"/>
    </w:pPr>
    <w:rPr>
      <w:rFonts w:ascii="宋体" w:hAnsi="宋体"/>
      <w:sz w:val="24"/>
    </w:rPr>
  </w:style>
  <w:style w:type="paragraph" w:customStyle="1" w:styleId="1670">
    <w:name w:val="CM50"/>
    <w:basedOn w:val="1"/>
    <w:next w:val="1"/>
    <w:qFormat/>
    <w:uiPriority w:val="99"/>
    <w:pPr>
      <w:autoSpaceDE w:val="0"/>
      <w:autoSpaceDN w:val="0"/>
      <w:adjustRightInd w:val="0"/>
    </w:pPr>
    <w:rPr>
      <w:rFonts w:ascii="宋体"/>
      <w:kern w:val="0"/>
      <w:sz w:val="24"/>
    </w:rPr>
  </w:style>
  <w:style w:type="paragraph" w:customStyle="1" w:styleId="1671">
    <w:name w:val="a表格内容"/>
    <w:qFormat/>
    <w:uiPriority w:val="99"/>
    <w:pPr>
      <w:spacing w:line="0" w:lineRule="atLeast"/>
      <w:jc w:val="center"/>
    </w:pPr>
    <w:rPr>
      <w:rFonts w:ascii="Times New Roman" w:hAnsi="Times New Roman" w:eastAsia="宋体" w:cs="Times New Roman"/>
      <w:spacing w:val="5"/>
      <w:kern w:val="2"/>
      <w:sz w:val="23"/>
      <w:szCs w:val="21"/>
      <w:lang w:val="en-US" w:eastAsia="zh-CN" w:bidi="ar-SA"/>
    </w:rPr>
  </w:style>
  <w:style w:type="paragraph" w:customStyle="1" w:styleId="1672">
    <w:name w:val="CM15"/>
    <w:basedOn w:val="119"/>
    <w:next w:val="119"/>
    <w:qFormat/>
    <w:uiPriority w:val="0"/>
    <w:rPr>
      <w:rFonts w:ascii="宋体" w:hAnsi="Times New Roman" w:cs="Times New Roman"/>
      <w:color w:val="auto"/>
    </w:rPr>
  </w:style>
  <w:style w:type="paragraph" w:customStyle="1" w:styleId="1673">
    <w:name w:val="p21"/>
    <w:basedOn w:val="1"/>
    <w:qFormat/>
    <w:uiPriority w:val="99"/>
    <w:pPr>
      <w:spacing w:beforeLines="10" w:afterLines="10" w:line="360" w:lineRule="auto"/>
      <w:ind w:firstLine="420"/>
    </w:pPr>
    <w:rPr>
      <w:color w:val="000000"/>
      <w:kern w:val="0"/>
      <w:sz w:val="24"/>
    </w:rPr>
  </w:style>
  <w:style w:type="paragraph" w:customStyle="1" w:styleId="1674">
    <w:name w:val="p16"/>
    <w:basedOn w:val="1"/>
    <w:qFormat/>
    <w:uiPriority w:val="99"/>
    <w:pPr>
      <w:topLinePunct/>
      <w:snapToGrid w:val="0"/>
      <w:spacing w:line="520" w:lineRule="atLeast"/>
      <w:ind w:firstLine="567"/>
    </w:pPr>
    <w:rPr>
      <w:rFonts w:ascii="Calibri" w:hAnsi="Calibri" w:cs="宋体"/>
      <w:spacing w:val="6"/>
      <w:kern w:val="0"/>
      <w:sz w:val="24"/>
    </w:rPr>
  </w:style>
  <w:style w:type="paragraph" w:customStyle="1" w:styleId="1675">
    <w:name w:val="CM51"/>
    <w:basedOn w:val="119"/>
    <w:next w:val="119"/>
    <w:qFormat/>
    <w:uiPriority w:val="99"/>
    <w:rPr>
      <w:rFonts w:ascii="宋体" w:hAnsi="Times New Roman" w:cs="Times New Roman"/>
      <w:color w:val="auto"/>
    </w:rPr>
  </w:style>
  <w:style w:type="paragraph" w:customStyle="1" w:styleId="1676">
    <w:name w:val="a图表标题"/>
    <w:next w:val="1671"/>
    <w:qFormat/>
    <w:uiPriority w:val="99"/>
    <w:pPr>
      <w:spacing w:line="480" w:lineRule="exact"/>
      <w:jc w:val="center"/>
    </w:pPr>
    <w:rPr>
      <w:rFonts w:ascii="Times New Roman" w:hAnsi="Times New Roman" w:eastAsia="黑体" w:cs="Times New Roman"/>
      <w:snapToGrid w:val="0"/>
      <w:sz w:val="25"/>
      <w:szCs w:val="21"/>
      <w:lang w:val="en-US" w:eastAsia="zh-CN" w:bidi="ar-SA"/>
    </w:rPr>
  </w:style>
  <w:style w:type="paragraph" w:customStyle="1" w:styleId="1677">
    <w:name w:val="CM11"/>
    <w:basedOn w:val="119"/>
    <w:next w:val="119"/>
    <w:qFormat/>
    <w:uiPriority w:val="0"/>
    <w:pPr>
      <w:spacing w:line="468" w:lineRule="atLeast"/>
    </w:pPr>
    <w:rPr>
      <w:rFonts w:ascii="宋体" w:hAnsi="Times New Roman" w:cs="Times New Roman"/>
      <w:color w:val="auto"/>
    </w:rPr>
  </w:style>
  <w:style w:type="paragraph" w:customStyle="1" w:styleId="1678">
    <w:name w:val="样式 样式11 + 黑色"/>
    <w:basedOn w:val="875"/>
    <w:qFormat/>
    <w:uiPriority w:val="99"/>
    <w:pPr>
      <w:keepNext/>
      <w:keepLines/>
      <w:tabs>
        <w:tab w:val="left" w:pos="360"/>
      </w:tabs>
      <w:overflowPunct w:val="0"/>
      <w:topLinePunct/>
      <w:autoSpaceDE w:val="0"/>
      <w:autoSpaceDN w:val="0"/>
      <w:snapToGrid w:val="0"/>
      <w:spacing w:before="120" w:after="120" w:line="480" w:lineRule="atLeast"/>
      <w:jc w:val="left"/>
      <w:outlineLvl w:val="2"/>
    </w:pPr>
    <w:rPr>
      <w:rFonts w:ascii="Times New Roman" w:hAnsi="Times New Roman" w:eastAsia="黑体"/>
      <w:b/>
      <w:kern w:val="0"/>
      <w:szCs w:val="20"/>
    </w:rPr>
  </w:style>
  <w:style w:type="paragraph" w:customStyle="1" w:styleId="1679">
    <w:name w:val="TOC 标题111"/>
    <w:basedOn w:val="3"/>
    <w:next w:val="1"/>
    <w:qFormat/>
    <w:uiPriority w:val="39"/>
    <w:pPr>
      <w:keepNext w:val="0"/>
      <w:keepLines w:val="0"/>
      <w:snapToGrid w:val="0"/>
      <w:spacing w:before="240" w:after="0" w:line="259" w:lineRule="auto"/>
      <w:outlineLvl w:val="9"/>
    </w:pPr>
    <w:rPr>
      <w:rFonts w:ascii="Calibri Light" w:hAnsi="Calibri Light"/>
      <w:b w:val="0"/>
      <w:color w:val="2E74B5"/>
      <w:kern w:val="0"/>
      <w:sz w:val="32"/>
      <w:szCs w:val="32"/>
      <w:lang w:val="zh-CN"/>
    </w:rPr>
  </w:style>
  <w:style w:type="paragraph" w:customStyle="1" w:styleId="1680">
    <w:name w:val="2 Char Char Char Char"/>
    <w:basedOn w:val="1"/>
    <w:qFormat/>
    <w:uiPriority w:val="99"/>
    <w:pPr>
      <w:snapToGrid w:val="0"/>
      <w:spacing w:line="360" w:lineRule="auto"/>
      <w:ind w:firstLine="529" w:firstLineChars="200"/>
    </w:pPr>
    <w:rPr>
      <w:rFonts w:ascii="宋体" w:hAnsi="宋体"/>
      <w:b/>
    </w:rPr>
  </w:style>
  <w:style w:type="paragraph" w:customStyle="1" w:styleId="1681">
    <w:name w:val="p19"/>
    <w:basedOn w:val="1"/>
    <w:qFormat/>
    <w:uiPriority w:val="0"/>
    <w:pPr>
      <w:spacing w:before="31" w:after="31" w:line="420" w:lineRule="atLeast"/>
      <w:ind w:firstLine="420"/>
    </w:pPr>
    <w:rPr>
      <w:kern w:val="0"/>
      <w:sz w:val="24"/>
    </w:rPr>
  </w:style>
  <w:style w:type="paragraph" w:customStyle="1" w:styleId="1682">
    <w:name w:val="标题 3 New New New New New New New New New New New New New New New New New New New New New New New New New New New New New New New New New New New New New New New New New New New New New New New New New New New New New New New New New New New New New N131"/>
    <w:qFormat/>
    <w:uiPriority w:val="99"/>
    <w:pPr>
      <w:tabs>
        <w:tab w:val="left" w:pos="1980"/>
      </w:tabs>
      <w:spacing w:before="120" w:after="120"/>
      <w:outlineLvl w:val="2"/>
    </w:pPr>
    <w:rPr>
      <w:rFonts w:ascii="Times New Roman" w:hAnsi="Times New Roman" w:eastAsia="宋体" w:cs="Times New Roman"/>
      <w:sz w:val="28"/>
      <w:lang w:val="en-US" w:eastAsia="zh-CN" w:bidi="ar-SA"/>
    </w:rPr>
  </w:style>
  <w:style w:type="paragraph" w:customStyle="1" w:styleId="1683">
    <w:name w:val="【表格】"/>
    <w:next w:val="1"/>
    <w:qFormat/>
    <w:uiPriority w:val="0"/>
    <w:pPr>
      <w:spacing w:line="0" w:lineRule="atLeast"/>
      <w:jc w:val="center"/>
    </w:pPr>
    <w:rPr>
      <w:rFonts w:ascii="Times New Roman" w:hAnsi="Times New Roman" w:eastAsia="宋体" w:cs="Times New Roman"/>
      <w:sz w:val="21"/>
      <w:szCs w:val="24"/>
      <w:lang w:val="en-US" w:eastAsia="zh-CN" w:bidi="ar-SA"/>
    </w:rPr>
  </w:style>
  <w:style w:type="paragraph" w:customStyle="1" w:styleId="1684">
    <w:name w:val="图的标题"/>
    <w:basedOn w:val="1"/>
    <w:qFormat/>
    <w:uiPriority w:val="99"/>
    <w:pPr>
      <w:spacing w:line="360" w:lineRule="auto"/>
      <w:jc w:val="center"/>
    </w:pPr>
    <w:rPr>
      <w:rFonts w:ascii="宋体" w:hAnsi="宋体"/>
      <w:bCs/>
      <w:szCs w:val="21"/>
    </w:rPr>
  </w:style>
  <w:style w:type="paragraph" w:customStyle="1" w:styleId="1685">
    <w:name w:val="样式 四号 首行缩进:  0.95 厘米"/>
    <w:basedOn w:val="1"/>
    <w:qFormat/>
    <w:uiPriority w:val="99"/>
    <w:pPr>
      <w:spacing w:line="360" w:lineRule="auto"/>
      <w:ind w:firstLine="600" w:firstLineChars="250"/>
    </w:pPr>
    <w:rPr>
      <w:rFonts w:ascii="宋体" w:hAnsi="宋体"/>
      <w:sz w:val="24"/>
    </w:rPr>
  </w:style>
  <w:style w:type="paragraph" w:customStyle="1" w:styleId="1686">
    <w:name w:val="Char Char121"/>
    <w:basedOn w:val="1"/>
    <w:qFormat/>
    <w:uiPriority w:val="99"/>
    <w:rPr>
      <w:rFonts w:ascii="宋体" w:hAnsi="宋体"/>
      <w:sz w:val="28"/>
      <w:szCs w:val="20"/>
    </w:rPr>
  </w:style>
  <w:style w:type="paragraph" w:customStyle="1" w:styleId="1687">
    <w:name w:val="Char Char Char Char Char Char Char Char Char Char1"/>
    <w:basedOn w:val="1"/>
    <w:qFormat/>
    <w:uiPriority w:val="0"/>
    <w:pPr>
      <w:adjustRightInd w:val="0"/>
      <w:snapToGrid w:val="0"/>
      <w:spacing w:line="360" w:lineRule="auto"/>
      <w:ind w:firstLine="200" w:firstLineChars="200"/>
    </w:pPr>
  </w:style>
  <w:style w:type="paragraph" w:customStyle="1" w:styleId="1688">
    <w:name w:val="样式 正文 +1"/>
    <w:basedOn w:val="1"/>
    <w:qFormat/>
    <w:uiPriority w:val="99"/>
    <w:pPr>
      <w:spacing w:line="360" w:lineRule="auto"/>
      <w:ind w:firstLine="200" w:firstLineChars="200"/>
    </w:pPr>
    <w:rPr>
      <w:rFonts w:cs="宋体"/>
      <w:sz w:val="24"/>
      <w:szCs w:val="20"/>
    </w:rPr>
  </w:style>
  <w:style w:type="paragraph" w:customStyle="1" w:styleId="1689">
    <w:name w:val="样式 正文格式 + 仿宋_GB2312 首行缩进:  0.85 厘米 段前: 1.2 磅 段后: 1.2 磅"/>
    <w:basedOn w:val="144"/>
    <w:qFormat/>
    <w:uiPriority w:val="99"/>
    <w:pPr>
      <w:spacing w:after="120"/>
      <w:ind w:firstLine="1134" w:firstLineChars="0"/>
    </w:pPr>
    <w:rPr>
      <w:rFonts w:ascii="仿宋_GB2312" w:hAnsi="宋体" w:cs="宋体"/>
      <w:kern w:val="0"/>
      <w:sz w:val="28"/>
      <w:szCs w:val="20"/>
    </w:rPr>
  </w:style>
  <w:style w:type="paragraph" w:customStyle="1" w:styleId="1690">
    <w:name w:val="正文文本缩进 211"/>
    <w:basedOn w:val="1"/>
    <w:next w:val="51"/>
    <w:qFormat/>
    <w:uiPriority w:val="0"/>
    <w:pPr>
      <w:spacing w:after="120" w:line="480" w:lineRule="auto"/>
      <w:ind w:left="420" w:leftChars="200"/>
    </w:pPr>
    <w:rPr>
      <w:rFonts w:ascii="Calibri" w:hAnsi="Calibri"/>
    </w:rPr>
  </w:style>
  <w:style w:type="paragraph" w:customStyle="1" w:styleId="1691">
    <w:name w:val="样式 样式 样式 样式 正文文本 + 宋体 四号 + 首行缩进:  2 字符 + 首行缩进:  2 字符 + 首行缩进:  2 ..."/>
    <w:basedOn w:val="1"/>
    <w:qFormat/>
    <w:uiPriority w:val="99"/>
    <w:pPr>
      <w:spacing w:line="580" w:lineRule="exact"/>
      <w:ind w:firstLine="560" w:firstLineChars="200"/>
    </w:pPr>
    <w:rPr>
      <w:rFonts w:ascii="仿宋_GB2312" w:hAnsi="宋体" w:eastAsia="仿宋_GB2312" w:cs="宋体"/>
      <w:color w:val="003366"/>
      <w:sz w:val="28"/>
      <w:szCs w:val="28"/>
    </w:rPr>
  </w:style>
  <w:style w:type="paragraph" w:customStyle="1" w:styleId="1692">
    <w:name w:val="样式 四号 首行缩进:  2 字符"/>
    <w:basedOn w:val="1"/>
    <w:qFormat/>
    <w:uiPriority w:val="0"/>
    <w:pPr>
      <w:spacing w:line="480" w:lineRule="atLeast"/>
      <w:ind w:firstLine="200" w:firstLineChars="200"/>
    </w:pPr>
    <w:rPr>
      <w:sz w:val="24"/>
    </w:rPr>
  </w:style>
  <w:style w:type="paragraph" w:customStyle="1" w:styleId="1693">
    <w:name w:val="标题 3 New New New New New New New New New New New New New New New New New New New New New New New New New New New New New New New New New New New New New New New New New New New New New New New New New New New New New New New New New New New New New N125"/>
    <w:qFormat/>
    <w:uiPriority w:val="99"/>
    <w:pPr>
      <w:tabs>
        <w:tab w:val="left" w:pos="1980"/>
      </w:tabs>
      <w:spacing w:before="120" w:after="120"/>
      <w:outlineLvl w:val="2"/>
    </w:pPr>
    <w:rPr>
      <w:rFonts w:ascii="Times New Roman" w:hAnsi="Times New Roman" w:eastAsia="宋体" w:cs="Times New Roman"/>
      <w:sz w:val="28"/>
      <w:lang w:val="en-US" w:eastAsia="zh-CN" w:bidi="ar-SA"/>
    </w:rPr>
  </w:style>
  <w:style w:type="paragraph" w:customStyle="1" w:styleId="1694">
    <w:name w:val="Char Char Char Char Char Char Char Char Char Char Char Char Char1"/>
    <w:basedOn w:val="1"/>
    <w:qFormat/>
    <w:uiPriority w:val="0"/>
  </w:style>
  <w:style w:type="paragraph" w:customStyle="1" w:styleId="1695">
    <w:name w:val="Char Char1 Char Char Char Char Char Char Char Char Char Char Char Char Char1"/>
    <w:basedOn w:val="1"/>
    <w:qFormat/>
    <w:uiPriority w:val="99"/>
  </w:style>
  <w:style w:type="paragraph" w:customStyle="1" w:styleId="1696">
    <w:name w:val="表名[BM]"/>
    <w:basedOn w:val="1"/>
    <w:qFormat/>
    <w:uiPriority w:val="99"/>
    <w:pPr>
      <w:adjustRightInd w:val="0"/>
      <w:snapToGrid w:val="0"/>
      <w:spacing w:after="60" w:line="400" w:lineRule="atLeast"/>
      <w:ind w:firstLine="340" w:firstLineChars="200"/>
      <w:jc w:val="center"/>
    </w:pPr>
    <w:rPr>
      <w:rFonts w:ascii="宋体" w:eastAsia="黑体"/>
      <w:kern w:val="0"/>
      <w:sz w:val="28"/>
      <w:szCs w:val="28"/>
    </w:rPr>
  </w:style>
  <w:style w:type="paragraph" w:customStyle="1" w:styleId="1697">
    <w:name w:val="Char Char Char Char Char Char2"/>
    <w:basedOn w:val="1"/>
    <w:next w:val="2"/>
    <w:qFormat/>
    <w:uiPriority w:val="99"/>
    <w:rPr>
      <w:sz w:val="28"/>
      <w:szCs w:val="28"/>
    </w:rPr>
  </w:style>
  <w:style w:type="paragraph" w:customStyle="1" w:styleId="1698">
    <w:name w:val="列出段落11"/>
    <w:basedOn w:val="1"/>
    <w:qFormat/>
    <w:uiPriority w:val="0"/>
    <w:pPr>
      <w:spacing w:beforeLines="50" w:afterLines="50" w:line="360" w:lineRule="auto"/>
      <w:ind w:firstLine="420" w:firstLineChars="200"/>
    </w:pPr>
    <w:rPr>
      <w:sz w:val="24"/>
    </w:rPr>
  </w:style>
  <w:style w:type="paragraph" w:customStyle="1" w:styleId="1699">
    <w:name w:val="样式 Arial 加粗 行距: 多倍行距 1.3 字行4"/>
    <w:basedOn w:val="1"/>
    <w:qFormat/>
    <w:uiPriority w:val="99"/>
    <w:pPr>
      <w:spacing w:beforeLines="50" w:afterLines="50" w:line="312" w:lineRule="auto"/>
      <w:ind w:firstLine="562" w:firstLineChars="200"/>
    </w:pPr>
    <w:rPr>
      <w:rFonts w:ascii="Arial" w:hAnsi="Arial" w:cs="宋体"/>
      <w:bCs/>
      <w:sz w:val="24"/>
      <w:szCs w:val="20"/>
    </w:rPr>
  </w:style>
  <w:style w:type="paragraph" w:customStyle="1" w:styleId="1700">
    <w:name w:val="Char22"/>
    <w:basedOn w:val="1"/>
    <w:qFormat/>
    <w:uiPriority w:val="99"/>
    <w:rPr>
      <w:rFonts w:ascii="宋体" w:hAnsi="宋体" w:cs="Courier New"/>
      <w:sz w:val="32"/>
      <w:szCs w:val="32"/>
    </w:rPr>
  </w:style>
  <w:style w:type="paragraph" w:customStyle="1" w:styleId="1701">
    <w:name w:val="Char Char122"/>
    <w:basedOn w:val="1"/>
    <w:qFormat/>
    <w:uiPriority w:val="99"/>
    <w:rPr>
      <w:rFonts w:ascii="宋体" w:hAnsi="宋体"/>
      <w:sz w:val="28"/>
      <w:szCs w:val="20"/>
    </w:rPr>
  </w:style>
  <w:style w:type="paragraph" w:customStyle="1" w:styleId="1702">
    <w:name w:val="Char Char1 Char Char Char Char Char Char Char Char Char Char Char Char Char2"/>
    <w:basedOn w:val="1"/>
    <w:qFormat/>
    <w:uiPriority w:val="99"/>
  </w:style>
  <w:style w:type="paragraph" w:customStyle="1" w:styleId="1703">
    <w:name w:val="Char Char Char Char Char Char Char Char Char Char2"/>
    <w:basedOn w:val="1"/>
    <w:qFormat/>
    <w:uiPriority w:val="0"/>
    <w:pPr>
      <w:adjustRightInd w:val="0"/>
      <w:snapToGrid w:val="0"/>
      <w:spacing w:line="360" w:lineRule="auto"/>
      <w:ind w:firstLine="200" w:firstLineChars="200"/>
    </w:pPr>
  </w:style>
  <w:style w:type="paragraph" w:customStyle="1" w:styleId="1704">
    <w:name w:val="Char Char Char Char Char Char Char Char Char Char Char Char Char2"/>
    <w:basedOn w:val="1"/>
    <w:qFormat/>
    <w:uiPriority w:val="99"/>
  </w:style>
  <w:style w:type="character" w:customStyle="1" w:styleId="1705">
    <w:name w:val="样式 自动设置 Char"/>
    <w:link w:val="1706"/>
    <w:qFormat/>
    <w:locked/>
    <w:uiPriority w:val="0"/>
    <w:rPr>
      <w:sz w:val="24"/>
    </w:rPr>
  </w:style>
  <w:style w:type="paragraph" w:customStyle="1" w:styleId="1706">
    <w:name w:val="样式 自动设置"/>
    <w:basedOn w:val="1"/>
    <w:link w:val="1705"/>
    <w:qFormat/>
    <w:uiPriority w:val="0"/>
    <w:pPr>
      <w:autoSpaceDE w:val="0"/>
      <w:autoSpaceDN w:val="0"/>
      <w:adjustRightInd w:val="0"/>
      <w:snapToGrid w:val="0"/>
      <w:spacing w:beforeLines="50" w:line="288" w:lineRule="auto"/>
      <w:ind w:firstLine="200" w:firstLineChars="200"/>
    </w:pPr>
    <w:rPr>
      <w:kern w:val="0"/>
      <w:sz w:val="24"/>
      <w:szCs w:val="20"/>
    </w:rPr>
  </w:style>
  <w:style w:type="character" w:customStyle="1" w:styleId="1707">
    <w:name w:val="1.1.1.1 Char"/>
    <w:qFormat/>
    <w:locked/>
    <w:uiPriority w:val="0"/>
    <w:rPr>
      <w:b/>
      <w:snapToGrid w:val="0"/>
      <w:sz w:val="28"/>
    </w:rPr>
  </w:style>
  <w:style w:type="paragraph" w:customStyle="1" w:styleId="1708">
    <w:name w:val="报告二标"/>
    <w:basedOn w:val="1"/>
    <w:qFormat/>
    <w:uiPriority w:val="99"/>
    <w:pPr>
      <w:spacing w:before="40" w:after="40" w:line="480" w:lineRule="exact"/>
      <w:outlineLvl w:val="1"/>
    </w:pPr>
    <w:rPr>
      <w:rFonts w:ascii="黑体" w:hAnsi="黑体" w:eastAsia="黑体"/>
      <w:sz w:val="30"/>
    </w:rPr>
  </w:style>
  <w:style w:type="paragraph" w:customStyle="1" w:styleId="1709">
    <w:name w:val="Char Char Char Char3"/>
    <w:basedOn w:val="1"/>
    <w:qFormat/>
    <w:uiPriority w:val="0"/>
  </w:style>
  <w:style w:type="paragraph" w:customStyle="1" w:styleId="1710">
    <w:name w:val="表6.2-1"/>
    <w:basedOn w:val="1"/>
    <w:qFormat/>
    <w:uiPriority w:val="99"/>
    <w:pPr>
      <w:tabs>
        <w:tab w:val="left" w:pos="1653"/>
        <w:tab w:val="right" w:pos="8261"/>
      </w:tabs>
      <w:suppressAutoHyphens/>
      <w:adjustRightInd w:val="0"/>
      <w:spacing w:before="240" w:line="0" w:lineRule="atLeast"/>
      <w:ind w:left="993" w:hanging="420"/>
    </w:pPr>
    <w:rPr>
      <w:rFonts w:ascii="黑体" w:eastAsia="黑体"/>
      <w:b/>
      <w:kern w:val="0"/>
      <w:sz w:val="24"/>
      <w:szCs w:val="26"/>
    </w:rPr>
  </w:style>
  <w:style w:type="character" w:customStyle="1" w:styleId="1711">
    <w:name w:val="【表中文字】 Char"/>
    <w:link w:val="1712"/>
    <w:qFormat/>
    <w:uiPriority w:val="0"/>
    <w:rPr>
      <w:rFonts w:ascii="宋体" w:hAnsi="宋体" w:cs="宋体"/>
      <w:spacing w:val="4"/>
      <w:kern w:val="2"/>
      <w:sz w:val="21"/>
      <w:szCs w:val="24"/>
    </w:rPr>
  </w:style>
  <w:style w:type="paragraph" w:customStyle="1" w:styleId="1712">
    <w:name w:val="【表中文字】"/>
    <w:basedOn w:val="1"/>
    <w:link w:val="1711"/>
    <w:qFormat/>
    <w:uiPriority w:val="0"/>
    <w:pPr>
      <w:spacing w:line="360" w:lineRule="auto"/>
      <w:ind w:firstLine="200" w:firstLineChars="200"/>
      <w:jc w:val="center"/>
    </w:pPr>
    <w:rPr>
      <w:rFonts w:ascii="宋体" w:hAnsi="宋体" w:cs="宋体"/>
      <w:spacing w:val="4"/>
    </w:rPr>
  </w:style>
  <w:style w:type="paragraph" w:customStyle="1" w:styleId="1713">
    <w:name w:val="样式 首行缩进:  2 字符5"/>
    <w:basedOn w:val="1"/>
    <w:qFormat/>
    <w:uiPriority w:val="99"/>
    <w:pPr>
      <w:spacing w:line="360" w:lineRule="auto"/>
      <w:ind w:firstLine="200" w:firstLineChars="200"/>
    </w:pPr>
    <w:rPr>
      <w:rFonts w:cs="宋体"/>
      <w:sz w:val="24"/>
      <w:szCs w:val="20"/>
    </w:rPr>
  </w:style>
  <w:style w:type="paragraph" w:customStyle="1" w:styleId="1714">
    <w:name w:val="正文 + 首行缩进:  2 字符"/>
    <w:basedOn w:val="1"/>
    <w:qFormat/>
    <w:uiPriority w:val="0"/>
    <w:pPr>
      <w:spacing w:line="460" w:lineRule="atLeast"/>
      <w:ind w:firstLine="528" w:firstLineChars="200"/>
    </w:pPr>
    <w:rPr>
      <w:spacing w:val="12"/>
      <w:sz w:val="24"/>
      <w:szCs w:val="20"/>
    </w:rPr>
  </w:style>
  <w:style w:type="character" w:customStyle="1" w:styleId="1715">
    <w:name w:val="表文 Char Char Char Char"/>
    <w:link w:val="1716"/>
    <w:semiHidden/>
    <w:qFormat/>
    <w:uiPriority w:val="0"/>
    <w:rPr>
      <w:rFonts w:ascii="宋体" w:hAnsi="宋体" w:cs="宋体"/>
      <w:spacing w:val="4"/>
      <w:kern w:val="2"/>
      <w:sz w:val="18"/>
      <w:szCs w:val="18"/>
    </w:rPr>
  </w:style>
  <w:style w:type="paragraph" w:customStyle="1" w:styleId="1716">
    <w:name w:val="表文 Char Char Char"/>
    <w:basedOn w:val="1"/>
    <w:link w:val="1715"/>
    <w:qFormat/>
    <w:uiPriority w:val="0"/>
    <w:pPr>
      <w:overflowPunct w:val="0"/>
      <w:adjustRightInd w:val="0"/>
      <w:snapToGrid w:val="0"/>
      <w:spacing w:line="360" w:lineRule="auto"/>
      <w:ind w:firstLine="360" w:firstLineChars="200"/>
      <w:textAlignment w:val="baseline"/>
    </w:pPr>
    <w:rPr>
      <w:rFonts w:ascii="宋体" w:hAnsi="宋体" w:cs="宋体"/>
      <w:spacing w:val="4"/>
      <w:sz w:val="18"/>
      <w:szCs w:val="18"/>
    </w:rPr>
  </w:style>
  <w:style w:type="paragraph" w:customStyle="1" w:styleId="1717">
    <w:name w:val="纯文本3"/>
    <w:basedOn w:val="1"/>
    <w:qFormat/>
    <w:uiPriority w:val="99"/>
    <w:pPr>
      <w:adjustRightInd w:val="0"/>
      <w:textAlignment w:val="baseline"/>
    </w:pPr>
    <w:rPr>
      <w:rFonts w:ascii="宋体" w:hAnsi="Courier New"/>
      <w:szCs w:val="20"/>
    </w:rPr>
  </w:style>
  <w:style w:type="paragraph" w:customStyle="1" w:styleId="1718">
    <w:name w:val="三级标题"/>
    <w:basedOn w:val="5"/>
    <w:link w:val="1719"/>
    <w:qFormat/>
    <w:uiPriority w:val="0"/>
    <w:pPr>
      <w:tabs>
        <w:tab w:val="left" w:pos="0"/>
      </w:tabs>
      <w:spacing w:before="0" w:after="0" w:line="480" w:lineRule="auto"/>
      <w:textAlignment w:val="baseline"/>
    </w:pPr>
    <w:rPr>
      <w:color w:val="000000"/>
      <w:kern w:val="0"/>
      <w:sz w:val="28"/>
      <w:szCs w:val="28"/>
      <w:lang w:val="zh-CN"/>
    </w:rPr>
  </w:style>
  <w:style w:type="character" w:customStyle="1" w:styleId="1719">
    <w:name w:val="三级标题 Char"/>
    <w:link w:val="1718"/>
    <w:qFormat/>
    <w:uiPriority w:val="0"/>
    <w:rPr>
      <w:b/>
      <w:bCs/>
      <w:color w:val="000000"/>
      <w:sz w:val="28"/>
      <w:szCs w:val="28"/>
      <w:lang w:val="zh-CN" w:eastAsia="zh-CN"/>
    </w:rPr>
  </w:style>
  <w:style w:type="character" w:customStyle="1" w:styleId="1720">
    <w:name w:val="Normal Char"/>
    <w:link w:val="124"/>
    <w:qFormat/>
    <w:uiPriority w:val="0"/>
    <w:rPr>
      <w:rFonts w:ascii="宋体"/>
      <w:sz w:val="34"/>
    </w:rPr>
  </w:style>
  <w:style w:type="paragraph" w:customStyle="1" w:styleId="1721">
    <w:name w:val="一级标题"/>
    <w:basedOn w:val="3"/>
    <w:link w:val="1722"/>
    <w:qFormat/>
    <w:uiPriority w:val="0"/>
    <w:pPr>
      <w:pageBreakBefore/>
      <w:adjustRightInd w:val="0"/>
      <w:spacing w:before="0" w:after="0" w:line="240" w:lineRule="auto"/>
      <w:ind w:left="1134"/>
      <w:jc w:val="center"/>
      <w:textAlignment w:val="baseline"/>
    </w:pPr>
    <w:rPr>
      <w:rFonts w:eastAsia="黑体"/>
      <w:color w:val="000000"/>
      <w:sz w:val="32"/>
      <w:szCs w:val="32"/>
      <w:lang w:val="zh-CN"/>
    </w:rPr>
  </w:style>
  <w:style w:type="character" w:customStyle="1" w:styleId="1722">
    <w:name w:val="一级标题 Char"/>
    <w:link w:val="1721"/>
    <w:qFormat/>
    <w:uiPriority w:val="0"/>
    <w:rPr>
      <w:rFonts w:eastAsia="黑体"/>
      <w:b/>
      <w:bCs/>
      <w:color w:val="000000"/>
      <w:kern w:val="44"/>
      <w:sz w:val="32"/>
      <w:szCs w:val="32"/>
      <w:lang w:val="zh-CN" w:eastAsia="zh-CN"/>
    </w:rPr>
  </w:style>
  <w:style w:type="paragraph" w:customStyle="1" w:styleId="1723">
    <w:name w:val="样式 二级标题 + 自动设置"/>
    <w:basedOn w:val="1548"/>
    <w:link w:val="1724"/>
    <w:qFormat/>
    <w:uiPriority w:val="0"/>
    <w:pPr>
      <w:tabs>
        <w:tab w:val="left" w:pos="514"/>
        <w:tab w:val="clear" w:pos="0"/>
      </w:tabs>
      <w:adjustRightInd/>
      <w:spacing w:before="0" w:after="0" w:line="480" w:lineRule="auto"/>
    </w:pPr>
    <w:rPr>
      <w:rFonts w:ascii="Times New Roman"/>
      <w:color w:val="auto"/>
      <w:sz w:val="28"/>
      <w:szCs w:val="28"/>
    </w:rPr>
  </w:style>
  <w:style w:type="character" w:customStyle="1" w:styleId="1724">
    <w:name w:val="样式 二级标题 + 自动设置 Char"/>
    <w:link w:val="1723"/>
    <w:qFormat/>
    <w:uiPriority w:val="0"/>
    <w:rPr>
      <w:rFonts w:eastAsia="黑体"/>
      <w:b/>
      <w:bCs/>
      <w:sz w:val="28"/>
      <w:szCs w:val="28"/>
      <w:lang w:val="zh-CN" w:eastAsia="zh-CN"/>
    </w:rPr>
  </w:style>
  <w:style w:type="paragraph" w:customStyle="1" w:styleId="1725">
    <w:name w:val="表格样式1"/>
    <w:basedOn w:val="1"/>
    <w:qFormat/>
    <w:uiPriority w:val="0"/>
    <w:pPr>
      <w:adjustRightInd w:val="0"/>
      <w:spacing w:line="20" w:lineRule="atLeast"/>
      <w:ind w:firstLine="200" w:firstLineChars="200"/>
      <w:jc w:val="center"/>
      <w:textAlignment w:val="baseline"/>
    </w:pPr>
    <w:rPr>
      <w:rFonts w:ascii="宋体"/>
      <w:kern w:val="0"/>
      <w:sz w:val="24"/>
      <w:szCs w:val="20"/>
    </w:rPr>
  </w:style>
  <w:style w:type="paragraph" w:customStyle="1" w:styleId="1726">
    <w:name w:val="样2"/>
    <w:basedOn w:val="1"/>
    <w:next w:val="1"/>
    <w:qFormat/>
    <w:uiPriority w:val="99"/>
    <w:pPr>
      <w:adjustRightInd w:val="0"/>
      <w:jc w:val="center"/>
      <w:textAlignment w:val="baseline"/>
    </w:pPr>
    <w:rPr>
      <w:kern w:val="0"/>
      <w:szCs w:val="20"/>
    </w:rPr>
  </w:style>
  <w:style w:type="character" w:customStyle="1" w:styleId="1727">
    <w:name w:val="样式 宋体 小四"/>
    <w:qFormat/>
    <w:uiPriority w:val="0"/>
    <w:rPr>
      <w:rFonts w:ascii="Times New Roman" w:hAnsi="Times New Roman" w:eastAsia="Times New Roman" w:cs="宋体"/>
      <w:spacing w:val="0"/>
      <w:kern w:val="0"/>
      <w:sz w:val="24"/>
      <w:szCs w:val="24"/>
      <w:lang w:val="en-US" w:eastAsia="zh-CN" w:bidi="ar-SA"/>
    </w:rPr>
  </w:style>
  <w:style w:type="paragraph" w:customStyle="1" w:styleId="1728">
    <w:name w:val="样式 一级标题 + 自动设置"/>
    <w:basedOn w:val="1721"/>
    <w:qFormat/>
    <w:uiPriority w:val="99"/>
    <w:pPr>
      <w:numPr>
        <w:ilvl w:val="0"/>
        <w:numId w:val="3"/>
      </w:numPr>
      <w:tabs>
        <w:tab w:val="left" w:pos="0"/>
      </w:tabs>
      <w:jc w:val="left"/>
    </w:pPr>
    <w:rPr>
      <w:color w:val="auto"/>
    </w:rPr>
  </w:style>
  <w:style w:type="character" w:customStyle="1" w:styleId="1729">
    <w:name w:val="正文S302 Char"/>
    <w:link w:val="1730"/>
    <w:qFormat/>
    <w:uiPriority w:val="0"/>
    <w:rPr>
      <w:sz w:val="24"/>
    </w:rPr>
  </w:style>
  <w:style w:type="paragraph" w:customStyle="1" w:styleId="1730">
    <w:name w:val="正文S302"/>
    <w:basedOn w:val="1"/>
    <w:link w:val="1729"/>
    <w:qFormat/>
    <w:uiPriority w:val="0"/>
    <w:pPr>
      <w:spacing w:line="360" w:lineRule="auto"/>
      <w:ind w:firstLine="480" w:firstLineChars="200"/>
    </w:pPr>
    <w:rPr>
      <w:kern w:val="0"/>
      <w:sz w:val="24"/>
      <w:szCs w:val="20"/>
    </w:rPr>
  </w:style>
  <w:style w:type="paragraph" w:customStyle="1" w:styleId="1731">
    <w:name w:val="样式 样式 二级标题 + 自动设置 + (西文) 宋体 (中文) 汉鼎简书宋 小四"/>
    <w:basedOn w:val="1723"/>
    <w:link w:val="1732"/>
    <w:qFormat/>
    <w:uiPriority w:val="0"/>
    <w:pPr>
      <w:spacing w:line="360" w:lineRule="auto"/>
      <w:ind w:left="851"/>
    </w:pPr>
    <w:rPr>
      <w:rFonts w:ascii="宋体" w:hAnsi="宋体" w:eastAsia="汉鼎简书宋"/>
      <w:spacing w:val="4"/>
      <w:kern w:val="2"/>
      <w:sz w:val="24"/>
      <w:szCs w:val="32"/>
    </w:rPr>
  </w:style>
  <w:style w:type="character" w:customStyle="1" w:styleId="1732">
    <w:name w:val="样式 样式 二级标题 + 自动设置 + (西文) 宋体 (中文) 汉鼎简书宋 小四 Char"/>
    <w:link w:val="1731"/>
    <w:qFormat/>
    <w:uiPriority w:val="0"/>
    <w:rPr>
      <w:rFonts w:ascii="宋体" w:hAnsi="宋体" w:eastAsia="汉鼎简书宋"/>
      <w:b/>
      <w:bCs/>
      <w:spacing w:val="4"/>
      <w:kern w:val="2"/>
      <w:sz w:val="24"/>
      <w:szCs w:val="32"/>
      <w:lang w:val="zh-CN" w:eastAsia="zh-CN"/>
    </w:rPr>
  </w:style>
  <w:style w:type="character" w:customStyle="1" w:styleId="1733">
    <w:name w:val="二级标题 Char"/>
    <w:link w:val="1548"/>
    <w:qFormat/>
    <w:uiPriority w:val="0"/>
    <w:rPr>
      <w:rFonts w:ascii="黑体" w:eastAsia="黑体"/>
      <w:b/>
      <w:bCs/>
      <w:color w:val="000000"/>
      <w:sz w:val="32"/>
      <w:szCs w:val="32"/>
      <w:lang w:val="zh-CN" w:eastAsia="zh-CN"/>
    </w:rPr>
  </w:style>
  <w:style w:type="paragraph" w:customStyle="1" w:styleId="1734">
    <w:name w:val="样式 表头 + (中文) 黑体 五号"/>
    <w:basedOn w:val="1"/>
    <w:qFormat/>
    <w:uiPriority w:val="99"/>
    <w:pPr>
      <w:keepNext/>
      <w:autoSpaceDE w:val="0"/>
      <w:autoSpaceDN w:val="0"/>
      <w:adjustRightInd w:val="0"/>
      <w:spacing w:line="360" w:lineRule="auto"/>
      <w:ind w:left="437" w:hanging="437"/>
      <w:jc w:val="center"/>
    </w:pPr>
    <w:rPr>
      <w:b/>
      <w:kern w:val="0"/>
      <w:sz w:val="24"/>
      <w:szCs w:val="20"/>
    </w:rPr>
  </w:style>
  <w:style w:type="paragraph" w:customStyle="1" w:styleId="1735">
    <w:name w:val="表内容-s"/>
    <w:basedOn w:val="1"/>
    <w:link w:val="1736"/>
    <w:qFormat/>
    <w:uiPriority w:val="0"/>
    <w:pPr>
      <w:jc w:val="center"/>
    </w:pPr>
    <w:rPr>
      <w:lang w:val="zh-CN"/>
    </w:rPr>
  </w:style>
  <w:style w:type="character" w:customStyle="1" w:styleId="1736">
    <w:name w:val="表内容-s Char"/>
    <w:link w:val="1735"/>
    <w:qFormat/>
    <w:uiPriority w:val="0"/>
    <w:rPr>
      <w:kern w:val="2"/>
      <w:sz w:val="21"/>
      <w:szCs w:val="24"/>
      <w:lang w:val="zh-CN" w:eastAsia="zh-CN"/>
    </w:rPr>
  </w:style>
  <w:style w:type="paragraph" w:customStyle="1" w:styleId="1737">
    <w:name w:val="表头-s"/>
    <w:basedOn w:val="1"/>
    <w:link w:val="1738"/>
    <w:qFormat/>
    <w:uiPriority w:val="0"/>
    <w:pPr>
      <w:spacing w:beforeLines="50"/>
      <w:jc w:val="center"/>
    </w:pPr>
    <w:rPr>
      <w:b/>
      <w:sz w:val="24"/>
      <w:lang w:val="zh-CN"/>
    </w:rPr>
  </w:style>
  <w:style w:type="character" w:customStyle="1" w:styleId="1738">
    <w:name w:val="表头-s Char"/>
    <w:link w:val="1737"/>
    <w:qFormat/>
    <w:uiPriority w:val="0"/>
    <w:rPr>
      <w:b/>
      <w:kern w:val="2"/>
      <w:sz w:val="24"/>
      <w:szCs w:val="24"/>
      <w:lang w:val="zh-CN" w:eastAsia="zh-CN"/>
    </w:rPr>
  </w:style>
  <w:style w:type="character" w:customStyle="1" w:styleId="1739">
    <w:name w:val="+正文 Char"/>
    <w:qFormat/>
    <w:uiPriority w:val="0"/>
    <w:rPr>
      <w:rFonts w:ascii="Times New Roman" w:hAnsi="Times New Roman"/>
      <w:kern w:val="2"/>
      <w:sz w:val="24"/>
      <w:szCs w:val="28"/>
    </w:rPr>
  </w:style>
  <w:style w:type="character" w:customStyle="1" w:styleId="1740">
    <w:name w:val="标题 5-报告书 Char"/>
    <w:qFormat/>
    <w:uiPriority w:val="0"/>
    <w:rPr>
      <w:rFonts w:ascii="Calibri" w:hAnsi="Calibri" w:eastAsia="宋体" w:cs="Times New Roman"/>
      <w:b/>
      <w:bCs/>
      <w:sz w:val="28"/>
      <w:szCs w:val="28"/>
    </w:rPr>
  </w:style>
  <w:style w:type="table" w:customStyle="1" w:styleId="1741">
    <w:name w:val="test"/>
    <w:basedOn w:val="88"/>
    <w:qFormat/>
    <w:uiPriority w:val="0"/>
  </w:style>
  <w:style w:type="paragraph" w:customStyle="1" w:styleId="1742">
    <w:name w:val="图表内容"/>
    <w:qFormat/>
    <w:uiPriority w:val="0"/>
    <w:pPr>
      <w:widowControl w:val="0"/>
      <w:jc w:val="center"/>
    </w:pPr>
    <w:rPr>
      <w:rFonts w:ascii="Times New Roman" w:hAnsi="Times New Roman" w:eastAsia="宋体" w:cs="Times New Roman"/>
      <w:kern w:val="2"/>
      <w:sz w:val="21"/>
      <w:szCs w:val="22"/>
      <w:lang w:val="en-US" w:eastAsia="zh-CN" w:bidi="ar-SA"/>
    </w:rPr>
  </w:style>
  <w:style w:type="paragraph" w:customStyle="1" w:styleId="1743">
    <w:name w:val="图表名称"/>
    <w:qFormat/>
    <w:uiPriority w:val="0"/>
    <w:pPr>
      <w:spacing w:line="360" w:lineRule="auto"/>
      <w:jc w:val="center"/>
    </w:pPr>
    <w:rPr>
      <w:rFonts w:ascii="Times New Roman" w:hAnsi="Times New Roman" w:eastAsia="宋体" w:cs="Times New Roman"/>
      <w:b/>
      <w:kern w:val="2"/>
      <w:sz w:val="21"/>
      <w:szCs w:val="22"/>
      <w:lang w:val="en-US" w:eastAsia="zh-CN" w:bidi="ar-SA"/>
    </w:rPr>
  </w:style>
  <w:style w:type="paragraph" w:customStyle="1" w:styleId="1744">
    <w:name w:val="Table Paragraph"/>
    <w:basedOn w:val="1"/>
    <w:qFormat/>
    <w:uiPriority w:val="1"/>
    <w:pPr>
      <w:autoSpaceDE w:val="0"/>
      <w:autoSpaceDN w:val="0"/>
    </w:pPr>
    <w:rPr>
      <w:rFonts w:ascii="Noto Sans CJK JP Regular" w:hAnsi="Noto Sans CJK JP Regular" w:eastAsia="Noto Sans CJK JP Regular" w:cs="Noto Sans CJK JP Regular"/>
      <w:kern w:val="0"/>
      <w:sz w:val="22"/>
      <w:szCs w:val="22"/>
      <w:lang w:val="zh-CN" w:bidi="zh-CN"/>
    </w:rPr>
  </w:style>
  <w:style w:type="table" w:customStyle="1" w:styleId="1745">
    <w:name w:val="Table Normal"/>
    <w:unhideWhenUsed/>
    <w:qFormat/>
    <w:uiPriority w:val="0"/>
    <w:pPr>
      <w:widowControl w:val="0"/>
      <w:autoSpaceDE w:val="0"/>
      <w:autoSpaceDN w:val="0"/>
      <w:jc w:val="center"/>
    </w:pPr>
    <w:rPr>
      <w:rFonts w:ascii="Calibri" w:hAnsi="Calibri" w:eastAsia="Times New Roman"/>
      <w:sz w:val="21"/>
      <w:szCs w:val="22"/>
      <w:lang w:eastAsia="en-US"/>
    </w:rPr>
    <w:tblPr>
      <w:tblCellMar>
        <w:top w:w="0" w:type="dxa"/>
        <w:left w:w="0" w:type="dxa"/>
        <w:bottom w:w="0" w:type="dxa"/>
        <w:right w:w="0" w:type="dxa"/>
      </w:tblCellMar>
    </w:tblPr>
  </w:style>
  <w:style w:type="table" w:customStyle="1" w:styleId="1746">
    <w:name w:val="Table Normal1"/>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47">
    <w:name w:val="Table Normal2"/>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48">
    <w:name w:val="Table Normal3"/>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49">
    <w:name w:val="Table Normal4"/>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50">
    <w:name w:val="Table Normal5"/>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51">
    <w:name w:val="Table Normal6"/>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52">
    <w:name w:val="Table Normal7"/>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53">
    <w:name w:val="Table Normal8"/>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54">
    <w:name w:val="Table Normal9"/>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55">
    <w:name w:val="Table Normal10"/>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56">
    <w:name w:val="Table Normal11"/>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57">
    <w:name w:val="Table Normal12"/>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758">
    <w:name w:val="Table Normal13"/>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1759">
    <w:name w:val="【正文】 Char Char"/>
    <w:qFormat/>
    <w:uiPriority w:val="0"/>
    <w:rPr>
      <w:rFonts w:cs="宋体"/>
      <w:kern w:val="2"/>
      <w:sz w:val="24"/>
      <w:szCs w:val="24"/>
    </w:rPr>
  </w:style>
  <w:style w:type="paragraph" w:customStyle="1" w:styleId="1760">
    <w:name w:val="_Style 3"/>
    <w:basedOn w:val="1"/>
    <w:qFormat/>
    <w:uiPriority w:val="0"/>
  </w:style>
  <w:style w:type="character" w:customStyle="1" w:styleId="1761">
    <w:name w:val="MY正文 Char"/>
    <w:link w:val="1762"/>
    <w:qFormat/>
    <w:uiPriority w:val="0"/>
    <w:rPr>
      <w:bCs/>
      <w:szCs w:val="44"/>
    </w:rPr>
  </w:style>
  <w:style w:type="paragraph" w:customStyle="1" w:styleId="1762">
    <w:name w:val="MY正文"/>
    <w:basedOn w:val="1"/>
    <w:link w:val="1761"/>
    <w:qFormat/>
    <w:uiPriority w:val="0"/>
    <w:rPr>
      <w:bCs/>
      <w:kern w:val="0"/>
      <w:sz w:val="20"/>
      <w:szCs w:val="44"/>
    </w:rPr>
  </w:style>
  <w:style w:type="character" w:customStyle="1" w:styleId="1763">
    <w:name w:val="1表1.1-1 Char"/>
    <w:link w:val="1764"/>
    <w:qFormat/>
    <w:uiPriority w:val="0"/>
    <w:rPr>
      <w:b/>
      <w:kern w:val="2"/>
      <w:sz w:val="24"/>
      <w:szCs w:val="24"/>
    </w:rPr>
  </w:style>
  <w:style w:type="paragraph" w:customStyle="1" w:styleId="1764">
    <w:name w:val="1表1.1-1"/>
    <w:basedOn w:val="1"/>
    <w:link w:val="1763"/>
    <w:qFormat/>
    <w:uiPriority w:val="0"/>
    <w:pPr>
      <w:adjustRightInd w:val="0"/>
      <w:snapToGrid w:val="0"/>
      <w:spacing w:beforeLines="20"/>
      <w:jc w:val="center"/>
    </w:pPr>
    <w:rPr>
      <w:b/>
      <w:sz w:val="24"/>
    </w:rPr>
  </w:style>
  <w:style w:type="paragraph" w:customStyle="1" w:styleId="1765">
    <w:name w:val="Char Char1 Char Char Char Char"/>
    <w:basedOn w:val="1"/>
    <w:qFormat/>
    <w:uiPriority w:val="0"/>
    <w:pPr>
      <w:ind w:left="3240"/>
    </w:pPr>
  </w:style>
  <w:style w:type="character" w:customStyle="1" w:styleId="1766">
    <w:name w:val="公式 Char"/>
    <w:link w:val="820"/>
    <w:qFormat/>
    <w:uiPriority w:val="0"/>
    <w:rPr>
      <w:sz w:val="28"/>
    </w:rPr>
  </w:style>
  <w:style w:type="paragraph" w:customStyle="1" w:styleId="1767">
    <w:name w:val="公式说明"/>
    <w:basedOn w:val="1"/>
    <w:link w:val="1768"/>
    <w:qFormat/>
    <w:uiPriority w:val="0"/>
    <w:pPr>
      <w:tabs>
        <w:tab w:val="left" w:pos="1920"/>
      </w:tabs>
      <w:adjustRightInd w:val="0"/>
      <w:snapToGrid w:val="0"/>
      <w:spacing w:line="620" w:lineRule="exact"/>
      <w:ind w:firstLine="200" w:firstLineChars="200"/>
    </w:pPr>
    <w:rPr>
      <w:rFonts w:eastAsia="仿宋_GB2312"/>
      <w:sz w:val="32"/>
      <w:szCs w:val="22"/>
      <w:lang w:val="zh-CN"/>
    </w:rPr>
  </w:style>
  <w:style w:type="character" w:customStyle="1" w:styleId="1768">
    <w:name w:val="公式说明 Char"/>
    <w:link w:val="1767"/>
    <w:qFormat/>
    <w:uiPriority w:val="0"/>
    <w:rPr>
      <w:rFonts w:eastAsia="仿宋_GB2312"/>
      <w:kern w:val="2"/>
      <w:sz w:val="32"/>
      <w:szCs w:val="22"/>
      <w:lang w:val="zh-CN" w:eastAsia="zh-CN"/>
    </w:rPr>
  </w:style>
  <w:style w:type="paragraph" w:customStyle="1" w:styleId="1769">
    <w:name w:val="示例后文字"/>
    <w:basedOn w:val="1"/>
    <w:next w:val="1"/>
    <w:qFormat/>
    <w:uiPriority w:val="99"/>
    <w:pPr>
      <w:tabs>
        <w:tab w:val="center" w:pos="4201"/>
        <w:tab w:val="right" w:leader="dot" w:pos="9298"/>
      </w:tabs>
      <w:autoSpaceDE w:val="0"/>
      <w:autoSpaceDN w:val="0"/>
      <w:ind w:firstLine="360" w:firstLineChars="200"/>
    </w:pPr>
    <w:rPr>
      <w:rFonts w:ascii="宋体"/>
      <w:kern w:val="0"/>
      <w:sz w:val="18"/>
      <w:szCs w:val="20"/>
    </w:rPr>
  </w:style>
  <w:style w:type="character" w:customStyle="1" w:styleId="1770">
    <w:name w:val="【环评表头】 字符"/>
    <w:link w:val="1771"/>
    <w:qFormat/>
    <w:uiPriority w:val="0"/>
    <w:rPr>
      <w:b/>
      <w:sz w:val="21"/>
      <w:lang w:val="zh-CN" w:eastAsia="zh-CN"/>
    </w:rPr>
  </w:style>
  <w:style w:type="paragraph" w:customStyle="1" w:styleId="1771">
    <w:name w:val="【环评表头】"/>
    <w:basedOn w:val="1"/>
    <w:link w:val="1770"/>
    <w:qFormat/>
    <w:uiPriority w:val="0"/>
    <w:pPr>
      <w:jc w:val="center"/>
    </w:pPr>
    <w:rPr>
      <w:b/>
      <w:kern w:val="0"/>
      <w:szCs w:val="20"/>
      <w:lang w:val="zh-CN"/>
    </w:rPr>
  </w:style>
  <w:style w:type="character" w:customStyle="1" w:styleId="1772">
    <w:name w:val="【环评正文】 字符"/>
    <w:link w:val="1773"/>
    <w:qFormat/>
    <w:uiPriority w:val="0"/>
    <w:rPr>
      <w:kern w:val="2"/>
      <w:sz w:val="24"/>
      <w:lang w:val="zh-CN" w:eastAsia="zh-CN"/>
    </w:rPr>
  </w:style>
  <w:style w:type="paragraph" w:customStyle="1" w:styleId="1773">
    <w:name w:val="【环评正文】"/>
    <w:basedOn w:val="1"/>
    <w:link w:val="1772"/>
    <w:qFormat/>
    <w:uiPriority w:val="0"/>
    <w:pPr>
      <w:spacing w:line="360" w:lineRule="auto"/>
      <w:ind w:firstLine="200" w:firstLineChars="200"/>
    </w:pPr>
    <w:rPr>
      <w:sz w:val="24"/>
      <w:szCs w:val="20"/>
      <w:lang w:val="zh-CN"/>
    </w:rPr>
  </w:style>
  <w:style w:type="paragraph" w:customStyle="1" w:styleId="1774">
    <w:name w:val="【表格文字】"/>
    <w:basedOn w:val="1"/>
    <w:next w:val="1"/>
    <w:qFormat/>
    <w:uiPriority w:val="0"/>
    <w:pPr>
      <w:spacing w:line="320" w:lineRule="atLeast"/>
      <w:jc w:val="center"/>
    </w:pPr>
  </w:style>
  <w:style w:type="character" w:customStyle="1" w:styleId="1775">
    <w:name w:val="页脚 字符"/>
    <w:qFormat/>
    <w:uiPriority w:val="99"/>
  </w:style>
  <w:style w:type="table" w:customStyle="1" w:styleId="1776">
    <w:name w:val="灰度表格1"/>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7">
    <w:name w:val="灰度表格2"/>
    <w:basedOn w:val="8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78">
    <w:name w:val="5级标题"/>
    <w:basedOn w:val="1"/>
    <w:link w:val="1780"/>
    <w:qFormat/>
    <w:uiPriority w:val="0"/>
    <w:pPr>
      <w:spacing w:line="360" w:lineRule="auto"/>
    </w:pPr>
    <w:rPr>
      <w:b/>
      <w:bCs/>
      <w:sz w:val="24"/>
    </w:rPr>
  </w:style>
  <w:style w:type="table" w:customStyle="1" w:styleId="1779">
    <w:name w:val="网格型6"/>
    <w:basedOn w:val="8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80">
    <w:name w:val="5级标题 字符"/>
    <w:link w:val="1778"/>
    <w:qFormat/>
    <w:uiPriority w:val="0"/>
    <w:rPr>
      <w:b/>
      <w:bCs/>
      <w:kern w:val="2"/>
      <w:sz w:val="24"/>
      <w:szCs w:val="24"/>
    </w:rPr>
  </w:style>
  <w:style w:type="paragraph" w:customStyle="1" w:styleId="1781">
    <w:name w:val="（1）"/>
    <w:basedOn w:val="1"/>
    <w:qFormat/>
    <w:uiPriority w:val="99"/>
    <w:rPr>
      <w:rFonts w:ascii="宋体" w:hAnsi="宋体"/>
      <w:szCs w:val="21"/>
    </w:rPr>
  </w:style>
  <w:style w:type="paragraph" w:customStyle="1" w:styleId="1782">
    <w:name w:val="环评表头"/>
    <w:basedOn w:val="1"/>
    <w:link w:val="1783"/>
    <w:qFormat/>
    <w:uiPriority w:val="0"/>
    <w:pPr>
      <w:snapToGrid w:val="0"/>
      <w:jc w:val="center"/>
    </w:pPr>
    <w:rPr>
      <w:b/>
    </w:rPr>
  </w:style>
  <w:style w:type="character" w:customStyle="1" w:styleId="1783">
    <w:name w:val="环评表头 字符"/>
    <w:link w:val="1782"/>
    <w:qFormat/>
    <w:uiPriority w:val="0"/>
    <w:rPr>
      <w:b/>
      <w:kern w:val="2"/>
      <w:sz w:val="21"/>
      <w:szCs w:val="24"/>
    </w:rPr>
  </w:style>
  <w:style w:type="character" w:customStyle="1" w:styleId="1784">
    <w:name w:val="无间隔 字符"/>
    <w:link w:val="118"/>
    <w:qFormat/>
    <w:uiPriority w:val="0"/>
    <w:rPr>
      <w:rFonts w:ascii="Calibri" w:hAnsi="Calibri"/>
      <w:sz w:val="22"/>
      <w:szCs w:val="22"/>
    </w:rPr>
  </w:style>
  <w:style w:type="character" w:customStyle="1" w:styleId="1785">
    <w:name w:val="日期 字符"/>
    <w:qFormat/>
    <w:locked/>
    <w:uiPriority w:val="0"/>
    <w:rPr>
      <w:rFonts w:eastAsia="楷体"/>
      <w:color w:val="000000"/>
      <w:sz w:val="24"/>
    </w:rPr>
  </w:style>
  <w:style w:type="paragraph" w:customStyle="1" w:styleId="1786">
    <w:name w:val="标题新"/>
    <w:basedOn w:val="1"/>
    <w:qFormat/>
    <w:uiPriority w:val="99"/>
    <w:pPr>
      <w:adjustRightInd w:val="0"/>
      <w:snapToGrid w:val="0"/>
      <w:spacing w:line="420" w:lineRule="exact"/>
      <w:jc w:val="center"/>
    </w:pPr>
    <w:rPr>
      <w:rFonts w:eastAsia="黑体"/>
      <w:sz w:val="24"/>
      <w:szCs w:val="21"/>
    </w:rPr>
  </w:style>
  <w:style w:type="table" w:customStyle="1" w:styleId="1787">
    <w:name w:val="灰度表格3"/>
    <w:basedOn w:val="8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8">
    <w:name w:val="网格型11"/>
    <w:basedOn w:val="88"/>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9">
    <w:name w:val="网格型21"/>
    <w:basedOn w:val="88"/>
    <w:qFormat/>
    <w:uiPriority w:val="0"/>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90">
    <w:name w:val="纯文本 字符"/>
    <w:qFormat/>
    <w:uiPriority w:val="99"/>
    <w:rPr>
      <w:rFonts w:ascii="宋体" w:eastAsia="宋体"/>
      <w:kern w:val="2"/>
      <w:sz w:val="21"/>
    </w:rPr>
  </w:style>
  <w:style w:type="character" w:customStyle="1" w:styleId="1791">
    <w:name w:val="脚注文本 字符"/>
    <w:qFormat/>
    <w:uiPriority w:val="0"/>
    <w:rPr>
      <w:rFonts w:eastAsia="宋体"/>
      <w:kern w:val="2"/>
      <w:sz w:val="18"/>
      <w:szCs w:val="18"/>
    </w:rPr>
  </w:style>
  <w:style w:type="character" w:customStyle="1" w:styleId="1792">
    <w:name w:val="5文章(治) Char1"/>
    <w:link w:val="1472"/>
    <w:qFormat/>
    <w:uiPriority w:val="0"/>
    <w:rPr>
      <w:rFonts w:eastAsia="楷体_GB2312"/>
      <w:kern w:val="2"/>
      <w:sz w:val="28"/>
    </w:rPr>
  </w:style>
  <w:style w:type="character" w:customStyle="1" w:styleId="1793">
    <w:name w:val="批注文字 Char2"/>
    <w:qFormat/>
    <w:uiPriority w:val="0"/>
    <w:rPr>
      <w:rFonts w:ascii="Times New Roman" w:hAnsi="Times New Roman" w:eastAsia="宋体" w:cs="Times New Roman"/>
      <w:szCs w:val="24"/>
    </w:rPr>
  </w:style>
  <w:style w:type="character" w:styleId="1794">
    <w:name w:val="Placeholder Text"/>
    <w:qFormat/>
    <w:uiPriority w:val="99"/>
    <w:rPr>
      <w:color w:val="808080"/>
    </w:rPr>
  </w:style>
  <w:style w:type="character" w:customStyle="1" w:styleId="1795">
    <w:name w:val="列表 字符"/>
    <w:qFormat/>
    <w:uiPriority w:val="0"/>
    <w:rPr>
      <w:rFonts w:eastAsia="宋体"/>
      <w:kern w:val="2"/>
      <w:sz w:val="21"/>
      <w:szCs w:val="24"/>
    </w:rPr>
  </w:style>
  <w:style w:type="character" w:customStyle="1" w:styleId="1796">
    <w:name w:val="表格内容1 Char"/>
    <w:link w:val="830"/>
    <w:qFormat/>
    <w:uiPriority w:val="0"/>
    <w:rPr>
      <w:rFonts w:ascii="宋体" w:hAnsi="宋体"/>
      <w:snapToGrid w:val="0"/>
      <w:color w:val="FF0000"/>
      <w:sz w:val="24"/>
      <w:szCs w:val="24"/>
    </w:rPr>
  </w:style>
  <w:style w:type="character" w:customStyle="1" w:styleId="1797">
    <w:name w:val="表格 Char1"/>
    <w:link w:val="1233"/>
    <w:qFormat/>
    <w:uiPriority w:val="0"/>
    <w:rPr>
      <w:color w:val="000000"/>
      <w:sz w:val="21"/>
      <w:szCs w:val="24"/>
    </w:rPr>
  </w:style>
  <w:style w:type="character" w:customStyle="1" w:styleId="1798">
    <w:name w:val="列表段落 字符"/>
    <w:link w:val="1799"/>
    <w:qFormat/>
    <w:locked/>
    <w:uiPriority w:val="34"/>
    <w:rPr>
      <w:kern w:val="2"/>
      <w:sz w:val="24"/>
      <w:szCs w:val="24"/>
    </w:rPr>
  </w:style>
  <w:style w:type="paragraph" w:customStyle="1" w:styleId="1799">
    <w:name w:val="小标-1"/>
    <w:basedOn w:val="1"/>
    <w:next w:val="1"/>
    <w:link w:val="1798"/>
    <w:qFormat/>
    <w:uiPriority w:val="0"/>
    <w:pPr>
      <w:ind w:left="1680"/>
    </w:pPr>
    <w:rPr>
      <w:sz w:val="24"/>
    </w:rPr>
  </w:style>
  <w:style w:type="character" w:customStyle="1" w:styleId="1800">
    <w:name w:val="FL正文 Char"/>
    <w:link w:val="1801"/>
    <w:qFormat/>
    <w:locked/>
    <w:uiPriority w:val="0"/>
    <w:rPr>
      <w:sz w:val="24"/>
    </w:rPr>
  </w:style>
  <w:style w:type="paragraph" w:customStyle="1" w:styleId="1801">
    <w:name w:val="FL正文"/>
    <w:basedOn w:val="1"/>
    <w:link w:val="1800"/>
    <w:qFormat/>
    <w:uiPriority w:val="0"/>
    <w:pPr>
      <w:spacing w:line="360" w:lineRule="auto"/>
      <w:ind w:firstLine="425" w:firstLineChars="177"/>
    </w:pPr>
    <w:rPr>
      <w:kern w:val="0"/>
      <w:sz w:val="24"/>
      <w:szCs w:val="20"/>
    </w:rPr>
  </w:style>
  <w:style w:type="character" w:customStyle="1" w:styleId="1802">
    <w:name w:val="标题 2 字符"/>
    <w:qFormat/>
    <w:uiPriority w:val="0"/>
    <w:rPr>
      <w:rFonts w:ascii="宋体" w:eastAsia="宋体"/>
      <w:b/>
      <w:sz w:val="36"/>
    </w:rPr>
  </w:style>
  <w:style w:type="character" w:customStyle="1" w:styleId="1803">
    <w:name w:val="标题 1 字符1"/>
    <w:qFormat/>
    <w:uiPriority w:val="9"/>
    <w:rPr>
      <w:b/>
      <w:bCs/>
      <w:kern w:val="44"/>
      <w:sz w:val="44"/>
      <w:szCs w:val="44"/>
    </w:rPr>
  </w:style>
  <w:style w:type="character" w:customStyle="1" w:styleId="1804">
    <w:name w:val="z-3级标题 字符"/>
    <w:link w:val="1805"/>
    <w:qFormat/>
    <w:uiPriority w:val="0"/>
    <w:rPr>
      <w:b/>
      <w:sz w:val="24"/>
    </w:rPr>
  </w:style>
  <w:style w:type="paragraph" w:customStyle="1" w:styleId="1805">
    <w:name w:val="z-3级标题"/>
    <w:basedOn w:val="1"/>
    <w:link w:val="1804"/>
    <w:qFormat/>
    <w:uiPriority w:val="0"/>
    <w:pPr>
      <w:tabs>
        <w:tab w:val="left" w:pos="4263"/>
      </w:tabs>
      <w:adjustRightInd w:val="0"/>
      <w:ind w:right="240" w:rightChars="100"/>
      <w:contextualSpacing/>
      <w:textAlignment w:val="baseline"/>
      <w:outlineLvl w:val="2"/>
    </w:pPr>
    <w:rPr>
      <w:b/>
      <w:kern w:val="0"/>
      <w:sz w:val="24"/>
      <w:szCs w:val="20"/>
    </w:rPr>
  </w:style>
  <w:style w:type="character" w:customStyle="1" w:styleId="1806">
    <w:name w:val="标题 6 字符1"/>
    <w:qFormat/>
    <w:uiPriority w:val="0"/>
    <w:rPr>
      <w:rFonts w:ascii="Cambria" w:hAnsi="Cambria" w:eastAsia="宋体" w:cs="Times New Roman"/>
      <w:b/>
      <w:bCs/>
      <w:kern w:val="2"/>
    </w:rPr>
  </w:style>
  <w:style w:type="character" w:customStyle="1" w:styleId="1807">
    <w:name w:val="标题 8 字符1"/>
    <w:qFormat/>
    <w:uiPriority w:val="0"/>
    <w:rPr>
      <w:rFonts w:ascii="Cambria" w:hAnsi="Cambria" w:eastAsia="宋体" w:cs="Times New Roman"/>
      <w:kern w:val="2"/>
    </w:rPr>
  </w:style>
  <w:style w:type="character" w:customStyle="1" w:styleId="1808">
    <w:name w:val="612表格 Char"/>
    <w:link w:val="1809"/>
    <w:qFormat/>
    <w:uiPriority w:val="0"/>
    <w:rPr>
      <w:rFonts w:eastAsia="仿宋_GB2312"/>
      <w:bCs/>
      <w:color w:val="000000"/>
      <w:kern w:val="2"/>
      <w:sz w:val="21"/>
      <w:szCs w:val="21"/>
    </w:rPr>
  </w:style>
  <w:style w:type="paragraph" w:customStyle="1" w:styleId="1809">
    <w:name w:val="612表格"/>
    <w:basedOn w:val="1"/>
    <w:link w:val="1808"/>
    <w:qFormat/>
    <w:uiPriority w:val="0"/>
    <w:pPr>
      <w:spacing w:line="360" w:lineRule="exact"/>
      <w:jc w:val="center"/>
    </w:pPr>
    <w:rPr>
      <w:rFonts w:eastAsia="仿宋_GB2312"/>
      <w:bCs/>
      <w:color w:val="000000"/>
      <w:szCs w:val="21"/>
    </w:rPr>
  </w:style>
  <w:style w:type="character" w:customStyle="1" w:styleId="1810">
    <w:name w:val="页眉 字符1"/>
    <w:qFormat/>
    <w:uiPriority w:val="99"/>
    <w:rPr>
      <w:sz w:val="18"/>
      <w:szCs w:val="18"/>
    </w:rPr>
  </w:style>
  <w:style w:type="character" w:customStyle="1" w:styleId="1811">
    <w:name w:val="标题 9 字符1"/>
    <w:qFormat/>
    <w:uiPriority w:val="9"/>
    <w:rPr>
      <w:rFonts w:ascii="Cambria" w:hAnsi="Cambria" w:eastAsia="宋体" w:cs="Times New Roman"/>
      <w:kern w:val="2"/>
      <w:sz w:val="21"/>
      <w:szCs w:val="21"/>
    </w:rPr>
  </w:style>
  <w:style w:type="character" w:customStyle="1" w:styleId="1812">
    <w:name w:val="样式1 字符"/>
    <w:qFormat/>
    <w:uiPriority w:val="0"/>
    <w:rPr>
      <w:rFonts w:eastAsia="宋体"/>
      <w:bCs/>
      <w:caps/>
      <w:color w:val="000000"/>
      <w:spacing w:val="20"/>
      <w:kern w:val="2"/>
      <w:sz w:val="24"/>
      <w:szCs w:val="24"/>
    </w:rPr>
  </w:style>
  <w:style w:type="character" w:customStyle="1" w:styleId="1813">
    <w:name w:val="标题 5 字符1"/>
    <w:qFormat/>
    <w:uiPriority w:val="9"/>
    <w:rPr>
      <w:b/>
      <w:bCs/>
      <w:kern w:val="2"/>
      <w:sz w:val="28"/>
      <w:szCs w:val="28"/>
    </w:rPr>
  </w:style>
  <w:style w:type="character" w:customStyle="1" w:styleId="1814">
    <w:name w:val="z-4级标题 字符"/>
    <w:link w:val="1815"/>
    <w:qFormat/>
    <w:uiPriority w:val="0"/>
    <w:rPr>
      <w:b/>
      <w:sz w:val="24"/>
    </w:rPr>
  </w:style>
  <w:style w:type="paragraph" w:customStyle="1" w:styleId="1815">
    <w:name w:val="z-4级标题"/>
    <w:basedOn w:val="6"/>
    <w:link w:val="1814"/>
    <w:qFormat/>
    <w:uiPriority w:val="0"/>
    <w:pPr>
      <w:keepNext w:val="0"/>
      <w:keepLines w:val="0"/>
      <w:tabs>
        <w:tab w:val="left" w:pos="0"/>
        <w:tab w:val="left" w:pos="432"/>
      </w:tabs>
      <w:adjustRightInd w:val="0"/>
      <w:ind w:left="862" w:hanging="862" w:firstLineChars="150"/>
      <w:contextualSpacing/>
      <w:textAlignment w:val="baseline"/>
    </w:pPr>
    <w:rPr>
      <w:bCs w:val="0"/>
      <w:kern w:val="0"/>
      <w:szCs w:val="20"/>
    </w:rPr>
  </w:style>
  <w:style w:type="character" w:customStyle="1" w:styleId="1816">
    <w:name w:val="未处理的提及1"/>
    <w:unhideWhenUsed/>
    <w:qFormat/>
    <w:uiPriority w:val="99"/>
    <w:rPr>
      <w:color w:val="605E5C"/>
      <w:shd w:val="clear" w:color="auto" w:fill="E1DFDD"/>
    </w:rPr>
  </w:style>
  <w:style w:type="character" w:customStyle="1" w:styleId="1817">
    <w:name w:val="标题 8 字符"/>
    <w:qFormat/>
    <w:uiPriority w:val="0"/>
    <w:rPr>
      <w:rFonts w:ascii="Arial" w:hAnsi="Arial" w:eastAsia="黑体"/>
      <w:sz w:val="24"/>
    </w:rPr>
  </w:style>
  <w:style w:type="character" w:customStyle="1" w:styleId="1818">
    <w:name w:val="标题 1 字符"/>
    <w:qFormat/>
    <w:uiPriority w:val="0"/>
    <w:rPr>
      <w:rFonts w:eastAsia="宋体"/>
      <w:b/>
      <w:kern w:val="44"/>
      <w:sz w:val="44"/>
    </w:rPr>
  </w:style>
  <w:style w:type="character" w:customStyle="1" w:styleId="1819">
    <w:name w:val="批注文字 字符"/>
    <w:qFormat/>
    <w:locked/>
    <w:uiPriority w:val="0"/>
    <w:rPr>
      <w:rFonts w:eastAsia="宋体"/>
      <w:sz w:val="21"/>
    </w:rPr>
  </w:style>
  <w:style w:type="character" w:customStyle="1" w:styleId="1820">
    <w:name w:val="标题 3 字符"/>
    <w:qFormat/>
    <w:uiPriority w:val="9"/>
    <w:rPr>
      <w:rFonts w:eastAsia="宋体"/>
      <w:b/>
      <w:sz w:val="32"/>
    </w:rPr>
  </w:style>
  <w:style w:type="character" w:customStyle="1" w:styleId="1821">
    <w:name w:val="表中文 Char"/>
    <w:link w:val="1822"/>
    <w:qFormat/>
    <w:uiPriority w:val="0"/>
    <w:rPr>
      <w:snapToGrid w:val="0"/>
      <w:szCs w:val="21"/>
    </w:rPr>
  </w:style>
  <w:style w:type="paragraph" w:customStyle="1" w:styleId="1822">
    <w:name w:val="表中文"/>
    <w:link w:val="1821"/>
    <w:qFormat/>
    <w:uiPriority w:val="0"/>
    <w:pPr>
      <w:jc w:val="center"/>
    </w:pPr>
    <w:rPr>
      <w:rFonts w:ascii="Times New Roman" w:hAnsi="Times New Roman" w:eastAsia="宋体" w:cs="Times New Roman"/>
      <w:snapToGrid w:val="0"/>
      <w:szCs w:val="21"/>
      <w:lang w:val="en-US" w:eastAsia="zh-CN" w:bidi="ar-SA"/>
    </w:rPr>
  </w:style>
  <w:style w:type="character" w:customStyle="1" w:styleId="1823">
    <w:name w:val="标题 5 字符"/>
    <w:qFormat/>
    <w:uiPriority w:val="9"/>
    <w:rPr>
      <w:rFonts w:eastAsia="宋体"/>
      <w:b/>
      <w:sz w:val="28"/>
    </w:rPr>
  </w:style>
  <w:style w:type="character" w:customStyle="1" w:styleId="1824">
    <w:name w:val="正文缩进 字符"/>
    <w:qFormat/>
    <w:uiPriority w:val="0"/>
    <w:rPr>
      <w:rFonts w:eastAsia="宋体"/>
      <w:kern w:val="2"/>
      <w:sz w:val="21"/>
    </w:rPr>
  </w:style>
  <w:style w:type="character" w:customStyle="1" w:styleId="1825">
    <w:name w:val="标题 7 字符"/>
    <w:qFormat/>
    <w:uiPriority w:val="0"/>
    <w:rPr>
      <w:rFonts w:eastAsia="宋体"/>
      <w:b/>
      <w:sz w:val="24"/>
    </w:rPr>
  </w:style>
  <w:style w:type="character" w:customStyle="1" w:styleId="1826">
    <w:name w:val="标题 4 字符1"/>
    <w:qFormat/>
    <w:uiPriority w:val="9"/>
    <w:rPr>
      <w:rFonts w:ascii="Cambria" w:hAnsi="Cambria" w:eastAsia="宋体" w:cs="Times New Roman"/>
      <w:b/>
      <w:bCs/>
      <w:kern w:val="2"/>
      <w:sz w:val="28"/>
      <w:szCs w:val="28"/>
    </w:rPr>
  </w:style>
  <w:style w:type="character" w:customStyle="1" w:styleId="1827">
    <w:name w:val="ttitle1"/>
    <w:qFormat/>
    <w:uiPriority w:val="0"/>
    <w:rPr>
      <w:spacing w:val="120"/>
      <w:sz w:val="21"/>
      <w:szCs w:val="21"/>
    </w:rPr>
  </w:style>
  <w:style w:type="character" w:customStyle="1" w:styleId="1828">
    <w:name w:val="z-1级标题 字符"/>
    <w:link w:val="1829"/>
    <w:qFormat/>
    <w:uiPriority w:val="0"/>
    <w:rPr>
      <w:rFonts w:eastAsia="黑体"/>
      <w:b/>
      <w:sz w:val="32"/>
    </w:rPr>
  </w:style>
  <w:style w:type="paragraph" w:customStyle="1" w:styleId="1829">
    <w:name w:val="z-1级标题"/>
    <w:basedOn w:val="3"/>
    <w:link w:val="1828"/>
    <w:qFormat/>
    <w:uiPriority w:val="0"/>
    <w:pPr>
      <w:keepNext w:val="0"/>
      <w:keepLines w:val="0"/>
      <w:tabs>
        <w:tab w:val="left" w:pos="0"/>
        <w:tab w:val="left" w:pos="432"/>
      </w:tabs>
      <w:adjustRightInd w:val="0"/>
      <w:spacing w:before="0" w:after="0" w:line="360" w:lineRule="auto"/>
      <w:contextualSpacing/>
      <w:textAlignment w:val="baseline"/>
    </w:pPr>
    <w:rPr>
      <w:rFonts w:eastAsia="黑体"/>
      <w:bCs w:val="0"/>
      <w:kern w:val="0"/>
      <w:sz w:val="32"/>
      <w:szCs w:val="20"/>
    </w:rPr>
  </w:style>
  <w:style w:type="character" w:customStyle="1" w:styleId="1830">
    <w:name w:val="未处理的提及2"/>
    <w:unhideWhenUsed/>
    <w:qFormat/>
    <w:uiPriority w:val="99"/>
    <w:rPr>
      <w:color w:val="605E5C"/>
      <w:shd w:val="clear" w:color="auto" w:fill="E1DFDD"/>
    </w:rPr>
  </w:style>
  <w:style w:type="character" w:customStyle="1" w:styleId="1831">
    <w:name w:val="批注框文本 字符"/>
    <w:qFormat/>
    <w:uiPriority w:val="99"/>
    <w:rPr>
      <w:rFonts w:eastAsia="宋体"/>
      <w:kern w:val="2"/>
      <w:sz w:val="18"/>
      <w:szCs w:val="18"/>
    </w:rPr>
  </w:style>
  <w:style w:type="character" w:customStyle="1" w:styleId="1832">
    <w:name w:val="headline-content"/>
    <w:qFormat/>
    <w:uiPriority w:val="0"/>
  </w:style>
  <w:style w:type="character" w:customStyle="1" w:styleId="1833">
    <w:name w:val="页眉 字符"/>
    <w:qFormat/>
    <w:uiPriority w:val="99"/>
    <w:rPr>
      <w:rFonts w:eastAsia="宋体"/>
      <w:sz w:val="18"/>
    </w:rPr>
  </w:style>
  <w:style w:type="character" w:customStyle="1" w:styleId="1834">
    <w:name w:val="标题 4 字符"/>
    <w:qFormat/>
    <w:uiPriority w:val="9"/>
    <w:rPr>
      <w:rFonts w:ascii="Arial" w:hAnsi="Arial" w:eastAsia="宋体"/>
      <w:b/>
      <w:sz w:val="28"/>
    </w:rPr>
  </w:style>
  <w:style w:type="character" w:customStyle="1" w:styleId="1835">
    <w:name w:val="图名 Char"/>
    <w:link w:val="933"/>
    <w:qFormat/>
    <w:locked/>
    <w:uiPriority w:val="0"/>
    <w:rPr>
      <w:rFonts w:eastAsia="黑体"/>
      <w:kern w:val="2"/>
      <w:sz w:val="24"/>
    </w:rPr>
  </w:style>
  <w:style w:type="character" w:customStyle="1" w:styleId="1836">
    <w:name w:val="正文文本缩进 字符1"/>
    <w:qFormat/>
    <w:uiPriority w:val="99"/>
    <w:rPr>
      <w:rFonts w:eastAsia="宋体"/>
      <w:color w:val="FF0000"/>
      <w:sz w:val="24"/>
    </w:rPr>
  </w:style>
  <w:style w:type="character" w:customStyle="1" w:styleId="1837">
    <w:name w:val="正文文本缩进 字符"/>
    <w:qFormat/>
    <w:uiPriority w:val="0"/>
    <w:rPr>
      <w:rFonts w:ascii="Times New Roman" w:hAnsi="Times New Roman"/>
      <w:sz w:val="24"/>
    </w:rPr>
  </w:style>
  <w:style w:type="character" w:customStyle="1" w:styleId="1838">
    <w:name w:val="正文文本缩进 2 字符"/>
    <w:qFormat/>
    <w:uiPriority w:val="0"/>
    <w:rPr>
      <w:rFonts w:ascii="仿宋_GB2312" w:eastAsia="仿宋_GB2312"/>
      <w:sz w:val="24"/>
    </w:rPr>
  </w:style>
  <w:style w:type="character" w:customStyle="1" w:styleId="1839">
    <w:name w:val="正文文本 字符1"/>
    <w:qFormat/>
    <w:uiPriority w:val="99"/>
  </w:style>
  <w:style w:type="character" w:customStyle="1" w:styleId="1840">
    <w:name w:val="标题 9 字符"/>
    <w:qFormat/>
    <w:uiPriority w:val="0"/>
    <w:rPr>
      <w:rFonts w:ascii="Arial" w:hAnsi="Arial" w:eastAsia="黑体"/>
      <w:sz w:val="24"/>
    </w:rPr>
  </w:style>
  <w:style w:type="character" w:customStyle="1" w:styleId="1841">
    <w:name w:val="标题 2 字符1"/>
    <w:qFormat/>
    <w:uiPriority w:val="9"/>
    <w:rPr>
      <w:rFonts w:ascii="Cambria" w:hAnsi="Cambria" w:eastAsia="宋体" w:cs="Times New Roman"/>
      <w:b/>
      <w:bCs/>
      <w:kern w:val="2"/>
      <w:sz w:val="32"/>
      <w:szCs w:val="32"/>
    </w:rPr>
  </w:style>
  <w:style w:type="character" w:customStyle="1" w:styleId="1842">
    <w:name w:val="标题 7 字符1"/>
    <w:qFormat/>
    <w:uiPriority w:val="0"/>
    <w:rPr>
      <w:b/>
      <w:bCs/>
      <w:kern w:val="2"/>
    </w:rPr>
  </w:style>
  <w:style w:type="character" w:customStyle="1" w:styleId="1843">
    <w:name w:val="正文文本 字符"/>
    <w:qFormat/>
    <w:uiPriority w:val="0"/>
    <w:rPr>
      <w:rFonts w:ascii="宋体" w:eastAsia="宋体"/>
      <w:color w:val="000000"/>
      <w:sz w:val="24"/>
    </w:rPr>
  </w:style>
  <w:style w:type="character" w:customStyle="1" w:styleId="1844">
    <w:name w:val="z-2级标题 字符"/>
    <w:link w:val="1845"/>
    <w:qFormat/>
    <w:uiPriority w:val="0"/>
    <w:rPr>
      <w:rFonts w:hAnsi="宋体"/>
      <w:b/>
      <w:sz w:val="24"/>
      <w:szCs w:val="24"/>
    </w:rPr>
  </w:style>
  <w:style w:type="paragraph" w:customStyle="1" w:styleId="1845">
    <w:name w:val="z-2级标题"/>
    <w:basedOn w:val="4"/>
    <w:link w:val="1844"/>
    <w:qFormat/>
    <w:uiPriority w:val="0"/>
    <w:pPr>
      <w:keepNext w:val="0"/>
      <w:keepLines w:val="0"/>
      <w:tabs>
        <w:tab w:val="left" w:pos="432"/>
        <w:tab w:val="left" w:pos="567"/>
        <w:tab w:val="left" w:pos="4860"/>
      </w:tabs>
      <w:adjustRightInd w:val="0"/>
      <w:spacing w:before="48" w:after="0" w:line="360" w:lineRule="auto"/>
      <w:contextualSpacing/>
      <w:textAlignment w:val="baseline"/>
    </w:pPr>
    <w:rPr>
      <w:rFonts w:ascii="Times New Roman" w:hAnsi="宋体" w:eastAsia="宋体"/>
      <w:bCs w:val="0"/>
      <w:kern w:val="0"/>
      <w:sz w:val="24"/>
      <w:szCs w:val="24"/>
    </w:rPr>
  </w:style>
  <w:style w:type="character" w:customStyle="1" w:styleId="1846">
    <w:name w:val="z-表格 字符"/>
    <w:link w:val="1847"/>
    <w:qFormat/>
    <w:uiPriority w:val="0"/>
    <w:rPr>
      <w:rFonts w:eastAsia="仿宋"/>
      <w:kern w:val="24"/>
      <w:sz w:val="21"/>
      <w:szCs w:val="21"/>
    </w:rPr>
  </w:style>
  <w:style w:type="paragraph" w:customStyle="1" w:styleId="1847">
    <w:name w:val="z-表格"/>
    <w:basedOn w:val="830"/>
    <w:link w:val="1846"/>
    <w:qFormat/>
    <w:uiPriority w:val="0"/>
    <w:pPr>
      <w:tabs>
        <w:tab w:val="clear" w:pos="1535"/>
        <w:tab w:val="clear" w:pos="3105"/>
        <w:tab w:val="clear" w:pos="4676"/>
        <w:tab w:val="clear" w:pos="6247"/>
        <w:tab w:val="clear" w:pos="7740"/>
        <w:tab w:val="clear" w:pos="9288"/>
      </w:tabs>
      <w:spacing w:line="240" w:lineRule="auto"/>
      <w:ind w:left="0" w:leftChars="0"/>
      <w:textAlignment w:val="auto"/>
    </w:pPr>
    <w:rPr>
      <w:rFonts w:ascii="Times New Roman" w:hAnsi="Times New Roman" w:eastAsia="仿宋"/>
      <w:snapToGrid/>
      <w:color w:val="auto"/>
      <w:kern w:val="24"/>
      <w:sz w:val="21"/>
      <w:szCs w:val="21"/>
    </w:rPr>
  </w:style>
  <w:style w:type="character" w:customStyle="1" w:styleId="1848">
    <w:name w:val="批注文字 字符1"/>
    <w:qFormat/>
    <w:uiPriority w:val="99"/>
  </w:style>
  <w:style w:type="character" w:customStyle="1" w:styleId="1849">
    <w:name w:val="正文文本 2 字符"/>
    <w:qFormat/>
    <w:uiPriority w:val="0"/>
    <w:rPr>
      <w:rFonts w:eastAsia="宋体"/>
      <w:kern w:val="2"/>
      <w:sz w:val="24"/>
    </w:rPr>
  </w:style>
  <w:style w:type="character" w:customStyle="1" w:styleId="1850">
    <w:name w:val="正文中齐 Char"/>
    <w:link w:val="1851"/>
    <w:qFormat/>
    <w:uiPriority w:val="0"/>
    <w:rPr>
      <w:rFonts w:ascii="宋体" w:hAnsi="宋体"/>
      <w:color w:val="000000"/>
      <w:kern w:val="16"/>
      <w:sz w:val="24"/>
      <w:szCs w:val="21"/>
      <w:lang w:val="zh-CN"/>
    </w:rPr>
  </w:style>
  <w:style w:type="paragraph" w:customStyle="1" w:styleId="1851">
    <w:name w:val="正文中齐"/>
    <w:basedOn w:val="1"/>
    <w:link w:val="1850"/>
    <w:qFormat/>
    <w:uiPriority w:val="0"/>
    <w:pPr>
      <w:wordWrap w:val="0"/>
      <w:adjustRightInd w:val="0"/>
      <w:spacing w:line="300" w:lineRule="exact"/>
      <w:jc w:val="center"/>
      <w:textAlignment w:val="baseline"/>
    </w:pPr>
    <w:rPr>
      <w:rFonts w:ascii="宋体" w:hAnsi="宋体"/>
      <w:color w:val="000000"/>
      <w:kern w:val="16"/>
      <w:sz w:val="24"/>
      <w:szCs w:val="21"/>
      <w:lang w:val="zh-CN"/>
    </w:rPr>
  </w:style>
  <w:style w:type="character" w:customStyle="1" w:styleId="1852">
    <w:name w:val="批注主题 字符"/>
    <w:qFormat/>
    <w:uiPriority w:val="0"/>
    <w:rPr>
      <w:rFonts w:eastAsia="宋体"/>
      <w:b/>
      <w:bCs/>
      <w:kern w:val="2"/>
      <w:sz w:val="21"/>
      <w:szCs w:val="24"/>
    </w:rPr>
  </w:style>
  <w:style w:type="character" w:customStyle="1" w:styleId="1853">
    <w:name w:val="标题 6 字符"/>
    <w:qFormat/>
    <w:uiPriority w:val="0"/>
    <w:rPr>
      <w:rFonts w:ascii="Arial" w:hAnsi="Arial" w:eastAsia="黑体"/>
      <w:b/>
      <w:sz w:val="24"/>
    </w:rPr>
  </w:style>
  <w:style w:type="character" w:customStyle="1" w:styleId="1854">
    <w:name w:val="表格表格 Char"/>
    <w:link w:val="1855"/>
    <w:qFormat/>
    <w:uiPriority w:val="0"/>
    <w:rPr>
      <w:rFonts w:cs="宋体"/>
      <w:color w:val="000000"/>
      <w:sz w:val="21"/>
      <w:szCs w:val="21"/>
    </w:rPr>
  </w:style>
  <w:style w:type="paragraph" w:customStyle="1" w:styleId="1855">
    <w:name w:val="表格表格"/>
    <w:basedOn w:val="1"/>
    <w:link w:val="1854"/>
    <w:qFormat/>
    <w:uiPriority w:val="0"/>
    <w:rPr>
      <w:rFonts w:cs="宋体"/>
      <w:color w:val="000000"/>
      <w:kern w:val="0"/>
      <w:szCs w:val="21"/>
    </w:rPr>
  </w:style>
  <w:style w:type="character" w:customStyle="1" w:styleId="1856">
    <w:name w:val="正文文本首行缩进 2 字符"/>
    <w:qFormat/>
    <w:uiPriority w:val="99"/>
    <w:rPr>
      <w:rFonts w:eastAsia="宋体"/>
      <w:color w:val="FF0000"/>
      <w:kern w:val="21"/>
      <w:sz w:val="24"/>
      <w:szCs w:val="24"/>
    </w:rPr>
  </w:style>
  <w:style w:type="character" w:customStyle="1" w:styleId="1857">
    <w:name w:val="未处理的提及11"/>
    <w:unhideWhenUsed/>
    <w:qFormat/>
    <w:uiPriority w:val="99"/>
    <w:rPr>
      <w:color w:val="605E5C"/>
      <w:shd w:val="clear" w:color="auto" w:fill="E1DFDD"/>
    </w:rPr>
  </w:style>
  <w:style w:type="character" w:customStyle="1" w:styleId="1858">
    <w:name w:val="bhq正文 Char"/>
    <w:link w:val="1859"/>
    <w:qFormat/>
    <w:uiPriority w:val="0"/>
    <w:rPr>
      <w:rFonts w:ascii="宋体" w:hAnsi="宋体"/>
      <w:sz w:val="28"/>
    </w:rPr>
  </w:style>
  <w:style w:type="paragraph" w:customStyle="1" w:styleId="1859">
    <w:name w:val="bhq正文"/>
    <w:basedOn w:val="1"/>
    <w:link w:val="1858"/>
    <w:qFormat/>
    <w:uiPriority w:val="0"/>
    <w:pPr>
      <w:adjustRightInd w:val="0"/>
      <w:snapToGrid w:val="0"/>
      <w:spacing w:line="432" w:lineRule="auto"/>
      <w:ind w:firstLine="567"/>
    </w:pPr>
    <w:rPr>
      <w:rFonts w:ascii="宋体" w:hAnsi="宋体"/>
      <w:kern w:val="0"/>
      <w:sz w:val="28"/>
      <w:szCs w:val="20"/>
    </w:rPr>
  </w:style>
  <w:style w:type="paragraph" w:customStyle="1" w:styleId="1860">
    <w:name w:val="报告书表格"/>
    <w:basedOn w:val="1"/>
    <w:qFormat/>
    <w:uiPriority w:val="0"/>
    <w:pPr>
      <w:adjustRightInd w:val="0"/>
      <w:spacing w:before="60" w:after="60" w:line="240" w:lineRule="atLeast"/>
      <w:jc w:val="center"/>
      <w:textAlignment w:val="baseline"/>
    </w:pPr>
    <w:rPr>
      <w:kern w:val="0"/>
      <w:szCs w:val="20"/>
    </w:rPr>
  </w:style>
  <w:style w:type="paragraph" w:customStyle="1" w:styleId="1861">
    <w:name w:val="Char Char Char3 Char Char Char Char Char Char Char Char Char Char"/>
    <w:basedOn w:val="1"/>
    <w:qFormat/>
    <w:uiPriority w:val="99"/>
    <w:rPr>
      <w:sz w:val="24"/>
    </w:rPr>
  </w:style>
  <w:style w:type="paragraph" w:customStyle="1" w:styleId="1862">
    <w:name w:val="TOC 标题3"/>
    <w:basedOn w:val="3"/>
    <w:next w:val="1"/>
    <w:unhideWhenUsed/>
    <w:qFormat/>
    <w:uiPriority w:val="39"/>
    <w:pPr>
      <w:tabs>
        <w:tab w:val="left" w:pos="0"/>
        <w:tab w:val="left" w:pos="432"/>
      </w:tabs>
      <w:spacing w:before="240" w:after="0" w:line="259" w:lineRule="auto"/>
      <w:outlineLvl w:val="9"/>
    </w:pPr>
    <w:rPr>
      <w:rFonts w:ascii="Cambria" w:hAnsi="Cambria"/>
      <w:b w:val="0"/>
      <w:bCs w:val="0"/>
      <w:color w:val="365F91"/>
      <w:kern w:val="0"/>
      <w:sz w:val="32"/>
      <w:szCs w:val="32"/>
    </w:rPr>
  </w:style>
  <w:style w:type="paragraph" w:customStyle="1" w:styleId="1863">
    <w:name w:val="默认段落字体 Para Char Char Char Char Char Char Char Char Char3 Char Char Char Char"/>
    <w:basedOn w:val="26"/>
    <w:qFormat/>
    <w:uiPriority w:val="99"/>
    <w:pPr>
      <w:adjustRightInd w:val="0"/>
      <w:spacing w:line="240" w:lineRule="exact"/>
      <w:ind w:left="357"/>
      <w:outlineLvl w:val="3"/>
    </w:pPr>
    <w:rPr>
      <w:rFonts w:ascii="Tahoma" w:hAnsi="Tahoma"/>
      <w:szCs w:val="21"/>
      <w:lang w:val="en-US"/>
    </w:rPr>
  </w:style>
  <w:style w:type="paragraph" w:customStyle="1" w:styleId="1864">
    <w:name w:val="reader-word-layer reader-word-s1-19"/>
    <w:basedOn w:val="1"/>
    <w:qFormat/>
    <w:uiPriority w:val="99"/>
    <w:pPr>
      <w:spacing w:before="100" w:beforeAutospacing="1" w:after="100" w:afterAutospacing="1"/>
    </w:pPr>
    <w:rPr>
      <w:rFonts w:ascii="宋体" w:cs="宋体"/>
      <w:kern w:val="0"/>
      <w:sz w:val="24"/>
    </w:rPr>
  </w:style>
  <w:style w:type="paragraph" w:customStyle="1" w:styleId="1865">
    <w:name w:val="表格字体"/>
    <w:qFormat/>
    <w:uiPriority w:val="99"/>
    <w:pPr>
      <w:keepNext/>
      <w:keepLines/>
      <w:jc w:val="center"/>
    </w:pPr>
    <w:rPr>
      <w:rFonts w:ascii="Calibri" w:hAnsi="Calibri" w:eastAsia="宋体" w:cs="Times New Roman"/>
      <w:kern w:val="2"/>
      <w:sz w:val="21"/>
      <w:szCs w:val="24"/>
      <w:lang w:val="en-US" w:eastAsia="zh-CN" w:bidi="ar-SA"/>
    </w:rPr>
  </w:style>
  <w:style w:type="paragraph" w:customStyle="1" w:styleId="1866">
    <w:name w:val="8--"/>
    <w:basedOn w:val="1"/>
    <w:qFormat/>
    <w:uiPriority w:val="0"/>
    <w:pPr>
      <w:adjustRightInd w:val="0"/>
      <w:spacing w:line="360" w:lineRule="atLeast"/>
      <w:textAlignment w:val="baseline"/>
    </w:pPr>
    <w:rPr>
      <w:kern w:val="0"/>
      <w:sz w:val="24"/>
      <w:szCs w:val="20"/>
    </w:rPr>
  </w:style>
  <w:style w:type="paragraph" w:customStyle="1" w:styleId="1867">
    <w:name w:val="表格文字1"/>
    <w:basedOn w:val="1"/>
    <w:qFormat/>
    <w:uiPriority w:val="0"/>
    <w:pPr>
      <w:adjustRightInd w:val="0"/>
      <w:spacing w:before="120" w:line="360" w:lineRule="auto"/>
      <w:ind w:left="113"/>
      <w:textAlignment w:val="baseline"/>
    </w:pPr>
    <w:rPr>
      <w:rFonts w:ascii="宋体"/>
      <w:kern w:val="0"/>
      <w:sz w:val="24"/>
      <w:szCs w:val="20"/>
    </w:rPr>
  </w:style>
  <w:style w:type="paragraph" w:customStyle="1" w:styleId="1868">
    <w:name w:val="Char4 Char Char Char2"/>
    <w:basedOn w:val="1"/>
    <w:qFormat/>
    <w:uiPriority w:val="99"/>
    <w:pPr>
      <w:adjustRightInd w:val="0"/>
      <w:snapToGrid w:val="0"/>
      <w:spacing w:line="360" w:lineRule="auto"/>
      <w:ind w:firstLine="200" w:firstLineChars="200"/>
    </w:pPr>
    <w:rPr>
      <w:rFonts w:ascii="宋体" w:cs="宋体"/>
      <w:sz w:val="24"/>
      <w:szCs w:val="26"/>
    </w:rPr>
  </w:style>
  <w:style w:type="paragraph" w:customStyle="1" w:styleId="1869">
    <w:name w:val="-"/>
    <w:basedOn w:val="1"/>
    <w:qFormat/>
    <w:uiPriority w:val="99"/>
    <w:pPr>
      <w:spacing w:before="100" w:beforeAutospacing="1" w:after="100" w:afterAutospacing="1"/>
    </w:pPr>
    <w:rPr>
      <w:rFonts w:ascii="宋体" w:hAnsi="宋体" w:cs="宋体"/>
      <w:kern w:val="0"/>
      <w:sz w:val="22"/>
      <w:szCs w:val="22"/>
    </w:rPr>
  </w:style>
  <w:style w:type="paragraph" w:customStyle="1" w:styleId="1870">
    <w:name w:val="流程图"/>
    <w:basedOn w:val="1"/>
    <w:qFormat/>
    <w:uiPriority w:val="0"/>
    <w:pPr>
      <w:tabs>
        <w:tab w:val="center" w:pos="0"/>
      </w:tabs>
    </w:pPr>
    <w:rPr>
      <w:rFonts w:eastAsia="楷体_GB2312"/>
      <w:sz w:val="24"/>
      <w:szCs w:val="20"/>
    </w:rPr>
  </w:style>
  <w:style w:type="paragraph" w:customStyle="1" w:styleId="1871">
    <w:name w:val="TOC 标题2"/>
    <w:basedOn w:val="3"/>
    <w:next w:val="1"/>
    <w:unhideWhenUsed/>
    <w:qFormat/>
    <w:uiPriority w:val="39"/>
    <w:pPr>
      <w:tabs>
        <w:tab w:val="left" w:pos="0"/>
        <w:tab w:val="left" w:pos="432"/>
      </w:tabs>
      <w:spacing w:before="240" w:after="0" w:line="259" w:lineRule="auto"/>
      <w:outlineLvl w:val="9"/>
    </w:pPr>
    <w:rPr>
      <w:rFonts w:ascii="Cambria" w:hAnsi="Cambria"/>
      <w:b w:val="0"/>
      <w:bCs w:val="0"/>
      <w:color w:val="365F91"/>
      <w:kern w:val="0"/>
      <w:sz w:val="32"/>
      <w:szCs w:val="32"/>
    </w:rPr>
  </w:style>
  <w:style w:type="paragraph" w:customStyle="1" w:styleId="1872">
    <w:name w:val="缩进"/>
    <w:basedOn w:val="1"/>
    <w:qFormat/>
    <w:uiPriority w:val="99"/>
    <w:pPr>
      <w:autoSpaceDE w:val="0"/>
      <w:autoSpaceDN w:val="0"/>
      <w:adjustRightInd w:val="0"/>
      <w:spacing w:line="400" w:lineRule="atLeast"/>
      <w:ind w:firstLine="425"/>
      <w:textAlignment w:val="baseline"/>
    </w:pPr>
    <w:rPr>
      <w:kern w:val="0"/>
      <w:sz w:val="24"/>
      <w:szCs w:val="20"/>
    </w:rPr>
  </w:style>
  <w:style w:type="paragraph" w:customStyle="1" w:styleId="1873">
    <w:name w:val="wg"/>
    <w:basedOn w:val="1"/>
    <w:qFormat/>
    <w:uiPriority w:val="0"/>
    <w:rPr>
      <w:sz w:val="28"/>
      <w:szCs w:val="20"/>
    </w:rPr>
  </w:style>
  <w:style w:type="paragraph" w:customStyle="1" w:styleId="1874">
    <w:name w:val="Char1 Char Char Char"/>
    <w:basedOn w:val="1"/>
    <w:qFormat/>
    <w:uiPriority w:val="0"/>
    <w:pPr>
      <w:adjustRightInd w:val="0"/>
      <w:spacing w:after="160" w:line="240" w:lineRule="exact"/>
      <w:textAlignment w:val="baseline"/>
    </w:pPr>
    <w:rPr>
      <w:rFonts w:ascii="Arial" w:hAnsi="Arial" w:eastAsia="Times New Roman" w:cs="Verdana"/>
      <w:b/>
      <w:kern w:val="0"/>
      <w:sz w:val="24"/>
      <w:lang w:eastAsia="en-US"/>
    </w:rPr>
  </w:style>
  <w:style w:type="paragraph" w:customStyle="1" w:styleId="1875">
    <w:name w:val="1表格头"/>
    <w:basedOn w:val="1"/>
    <w:qFormat/>
    <w:uiPriority w:val="0"/>
    <w:pPr>
      <w:snapToGrid w:val="0"/>
      <w:spacing w:line="160" w:lineRule="atLeast"/>
      <w:jc w:val="center"/>
    </w:pPr>
    <w:rPr>
      <w:rFonts w:eastAsia="仿宋_GB2312"/>
      <w:sz w:val="24"/>
      <w:szCs w:val="20"/>
    </w:rPr>
  </w:style>
  <w:style w:type="paragraph" w:customStyle="1" w:styleId="1876">
    <w:name w:val="正文无缩进"/>
    <w:basedOn w:val="1"/>
    <w:qFormat/>
    <w:uiPriority w:val="99"/>
    <w:pPr>
      <w:overflowPunct w:val="0"/>
      <w:adjustRightInd w:val="0"/>
      <w:snapToGrid w:val="0"/>
      <w:spacing w:line="360" w:lineRule="auto"/>
      <w:textAlignment w:val="bottom"/>
    </w:pPr>
    <w:rPr>
      <w:snapToGrid w:val="0"/>
      <w:kern w:val="0"/>
      <w:sz w:val="24"/>
      <w:szCs w:val="20"/>
    </w:rPr>
  </w:style>
  <w:style w:type="paragraph" w:customStyle="1" w:styleId="1877">
    <w:name w:val="zt_1"/>
    <w:basedOn w:val="1"/>
    <w:qFormat/>
    <w:uiPriority w:val="99"/>
    <w:pPr>
      <w:spacing w:before="100" w:beforeAutospacing="1" w:after="100" w:afterAutospacing="1" w:line="330" w:lineRule="atLeast"/>
    </w:pPr>
    <w:rPr>
      <w:rFonts w:ascii="宋体" w:cs="宋体"/>
      <w:color w:val="6D6D6D"/>
      <w:kern w:val="0"/>
      <w:sz w:val="18"/>
      <w:szCs w:val="18"/>
    </w:rPr>
  </w:style>
  <w:style w:type="paragraph" w:customStyle="1" w:styleId="1878">
    <w:name w:val="样式 表格 32 + 首行缩进:  2 字符"/>
    <w:qFormat/>
    <w:uiPriority w:val="0"/>
    <w:pPr>
      <w:spacing w:line="0" w:lineRule="atLeast"/>
    </w:pPr>
    <w:rPr>
      <w:rFonts w:ascii="Times New Roman" w:hAnsi="Times New Roman" w:eastAsia="宋体" w:cs="宋体"/>
      <w:sz w:val="21"/>
      <w:szCs w:val="21"/>
      <w:lang w:val="en-US" w:eastAsia="zh-CN" w:bidi="ar-SA"/>
    </w:rPr>
  </w:style>
  <w:style w:type="paragraph" w:customStyle="1" w:styleId="1879">
    <w:name w:val="表格 32"/>
    <w:basedOn w:val="1"/>
    <w:qFormat/>
    <w:uiPriority w:val="0"/>
    <w:pPr>
      <w:autoSpaceDE w:val="0"/>
      <w:autoSpaceDN w:val="0"/>
      <w:adjustRightInd w:val="0"/>
      <w:spacing w:line="240" w:lineRule="atLeast"/>
      <w:jc w:val="center"/>
      <w:textAlignment w:val="baseline"/>
    </w:pPr>
    <w:rPr>
      <w:rFonts w:eastAsia="仿宋_GB2312"/>
      <w:kern w:val="0"/>
      <w:sz w:val="24"/>
    </w:rPr>
  </w:style>
  <w:style w:type="paragraph" w:customStyle="1" w:styleId="1880">
    <w:name w:val="msonormal"/>
    <w:basedOn w:val="1"/>
    <w:qFormat/>
    <w:uiPriority w:val="0"/>
    <w:pPr>
      <w:spacing w:before="100" w:beforeAutospacing="1" w:after="100" w:afterAutospacing="1"/>
    </w:pPr>
    <w:rPr>
      <w:rFonts w:ascii="宋体" w:hAnsi="宋体" w:cs="宋体"/>
      <w:kern w:val="0"/>
      <w:sz w:val="24"/>
    </w:rPr>
  </w:style>
  <w:style w:type="paragraph" w:customStyle="1" w:styleId="1881">
    <w:name w:val="Char Char Char1 Char2"/>
    <w:basedOn w:val="1"/>
    <w:qFormat/>
    <w:uiPriority w:val="99"/>
  </w:style>
  <w:style w:type="paragraph" w:customStyle="1" w:styleId="1882">
    <w:name w:val="inhalt1"/>
    <w:basedOn w:val="1"/>
    <w:qFormat/>
    <w:uiPriority w:val="0"/>
    <w:pPr>
      <w:spacing w:before="100" w:beforeAutospacing="1" w:after="100" w:afterAutospacing="1"/>
    </w:pPr>
    <w:rPr>
      <w:rFonts w:ascii="Verdana" w:hAnsi="Verdana" w:cs="仿宋_GB2312"/>
      <w:color w:val="000000"/>
      <w:kern w:val="0"/>
      <w:sz w:val="24"/>
    </w:rPr>
  </w:style>
  <w:style w:type="paragraph" w:customStyle="1" w:styleId="1883">
    <w:name w:val="第一级"/>
    <w:basedOn w:val="84"/>
    <w:qFormat/>
    <w:uiPriority w:val="99"/>
    <w:pPr>
      <w:spacing w:before="0" w:after="0"/>
    </w:pPr>
    <w:rPr>
      <w:rFonts w:eastAsia="宋体"/>
      <w:bCs w:val="0"/>
      <w:szCs w:val="20"/>
      <w:lang w:val="en-US"/>
    </w:rPr>
  </w:style>
  <w:style w:type="paragraph" w:customStyle="1" w:styleId="1884">
    <w:name w:val="第二级"/>
    <w:basedOn w:val="1883"/>
    <w:qFormat/>
    <w:uiPriority w:val="99"/>
    <w:pPr>
      <w:numPr>
        <w:ilvl w:val="1"/>
        <w:numId w:val="1"/>
      </w:numPr>
      <w:jc w:val="left"/>
      <w:outlineLvl w:val="1"/>
    </w:pPr>
    <w:rPr>
      <w:sz w:val="30"/>
    </w:rPr>
  </w:style>
  <w:style w:type="paragraph" w:customStyle="1" w:styleId="1885">
    <w:name w:val="第三级"/>
    <w:basedOn w:val="1884"/>
    <w:qFormat/>
    <w:uiPriority w:val="99"/>
    <w:pPr>
      <w:numPr>
        <w:ilvl w:val="2"/>
      </w:numPr>
      <w:outlineLvl w:val="2"/>
    </w:pPr>
    <w:rPr>
      <w:sz w:val="28"/>
    </w:rPr>
  </w:style>
  <w:style w:type="paragraph" w:customStyle="1" w:styleId="1886">
    <w:name w:val="第四级"/>
    <w:basedOn w:val="1885"/>
    <w:qFormat/>
    <w:uiPriority w:val="99"/>
    <w:pPr>
      <w:numPr>
        <w:ilvl w:val="3"/>
      </w:numPr>
      <w:ind w:left="0" w:firstLine="200" w:firstLineChars="200"/>
      <w:outlineLvl w:val="3"/>
    </w:pPr>
    <w:rPr>
      <w:sz w:val="24"/>
    </w:rPr>
  </w:style>
  <w:style w:type="paragraph" w:customStyle="1" w:styleId="1887">
    <w:name w:val="样式 样式 标题 3三级 标题 3 + 黑体 小四 非加粗 + 非加宽量 / 紧缩量"/>
    <w:basedOn w:val="1"/>
    <w:qFormat/>
    <w:uiPriority w:val="99"/>
    <w:pPr>
      <w:keepNext/>
      <w:keepLines/>
      <w:numPr>
        <w:ilvl w:val="2"/>
        <w:numId w:val="4"/>
      </w:numPr>
      <w:tabs>
        <w:tab w:val="left" w:pos="420"/>
      </w:tabs>
      <w:spacing w:beforeLines="50" w:afterLines="50" w:line="360" w:lineRule="auto"/>
      <w:outlineLvl w:val="2"/>
    </w:pPr>
    <w:rPr>
      <w:rFonts w:eastAsia="黑体"/>
      <w:b/>
      <w:bCs/>
      <w:kern w:val="0"/>
      <w:sz w:val="28"/>
      <w:szCs w:val="28"/>
    </w:rPr>
  </w:style>
  <w:style w:type="paragraph" w:customStyle="1" w:styleId="1888">
    <w:name w:val="TOC 标题4"/>
    <w:basedOn w:val="3"/>
    <w:next w:val="1"/>
    <w:unhideWhenUsed/>
    <w:qFormat/>
    <w:uiPriority w:val="39"/>
    <w:pPr>
      <w:tabs>
        <w:tab w:val="left" w:pos="0"/>
        <w:tab w:val="left" w:pos="432"/>
      </w:tabs>
      <w:spacing w:before="240" w:after="0" w:line="259" w:lineRule="auto"/>
      <w:outlineLvl w:val="9"/>
    </w:pPr>
    <w:rPr>
      <w:rFonts w:ascii="Cambria" w:hAnsi="Cambria"/>
      <w:b w:val="0"/>
      <w:bCs w:val="0"/>
      <w:color w:val="365F91"/>
      <w:kern w:val="0"/>
      <w:sz w:val="32"/>
      <w:szCs w:val="32"/>
    </w:rPr>
  </w:style>
  <w:style w:type="table" w:customStyle="1" w:styleId="1889">
    <w:name w:val="灰度表格91"/>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0">
    <w:name w:val="灰度表格171"/>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1">
    <w:name w:val="灰度表格15"/>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2">
    <w:name w:val="灰度表格96"/>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3">
    <w:name w:val="网格型 57"/>
    <w:basedOn w:val="88"/>
    <w:qFormat/>
    <w:uiPriority w:val="0"/>
    <w:pPr>
      <w:widowControl w:val="0"/>
      <w:adjustRightInd w:val="0"/>
      <w:snapToGrid w:val="0"/>
      <w:jc w:val="both"/>
    </w:pPr>
    <w:rPr>
      <w:sz w:val="22"/>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auto"/>
      <w:vAlign w:val="center"/>
    </w:tc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894">
    <w:name w:val="灰度表格177"/>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5">
    <w:name w:val="cmr6"/>
    <w:basedOn w:val="88"/>
    <w:qFormat/>
    <w:uiPriority w:val="0"/>
    <w:pPr>
      <w:jc w:val="center"/>
    </w:pPr>
    <w:rPr>
      <w:rFonts w:ascii="Calibri" w:hAnsi="Calibri"/>
      <w:sz w:val="21"/>
    </w:rPr>
    <w:tblPr>
      <w:tblBorders>
        <w:top w:val="single" w:color="auto" w:sz="12" w:space="0"/>
        <w:bottom w:val="single" w:color="auto" w:sz="12" w:space="0"/>
        <w:insideH w:val="single" w:color="auto" w:sz="2" w:space="0"/>
        <w:insideV w:val="single" w:color="auto" w:sz="2" w:space="0"/>
      </w:tblBorders>
    </w:tblPr>
    <w:tcPr>
      <w:vAlign w:val="center"/>
    </w:tcPr>
  </w:style>
  <w:style w:type="table" w:customStyle="1" w:styleId="1896">
    <w:name w:val="网格型ZHJICIA8"/>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7">
    <w:name w:val="灰度表格176"/>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98">
    <w:name w:val="网格型 54"/>
    <w:basedOn w:val="88"/>
    <w:qFormat/>
    <w:uiPriority w:val="0"/>
    <w:pPr>
      <w:widowControl w:val="0"/>
      <w:adjustRightInd w:val="0"/>
      <w:snapToGrid w:val="0"/>
      <w:jc w:val="both"/>
    </w:pPr>
    <w:rPr>
      <w:sz w:val="22"/>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auto"/>
      <w:vAlign w:val="center"/>
    </w:tc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899">
    <w:name w:val="cmr1"/>
    <w:basedOn w:val="88"/>
    <w:qFormat/>
    <w:uiPriority w:val="0"/>
    <w:pPr>
      <w:jc w:val="center"/>
    </w:pPr>
    <w:rPr>
      <w:rFonts w:ascii="Calibri" w:hAnsi="Calibri"/>
      <w:sz w:val="21"/>
    </w:rPr>
    <w:tblPr>
      <w:tblBorders>
        <w:top w:val="single" w:color="auto" w:sz="12" w:space="0"/>
        <w:bottom w:val="single" w:color="auto" w:sz="12" w:space="0"/>
        <w:insideH w:val="single" w:color="auto" w:sz="2" w:space="0"/>
        <w:insideV w:val="single" w:color="auto" w:sz="2" w:space="0"/>
      </w:tblBorders>
    </w:tblPr>
    <w:tcPr>
      <w:vAlign w:val="center"/>
    </w:tcPr>
  </w:style>
  <w:style w:type="table" w:customStyle="1" w:styleId="1900">
    <w:name w:val="灰度表格94"/>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1">
    <w:name w:val="灰度表格92"/>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2">
    <w:name w:val="灰度表格174"/>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3">
    <w:name w:val="灰度表格151"/>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4">
    <w:name w:val="灰度表格154"/>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5">
    <w:name w:val="网格型ZHJICIA3"/>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6">
    <w:name w:val="cmr4"/>
    <w:basedOn w:val="88"/>
    <w:qFormat/>
    <w:uiPriority w:val="0"/>
    <w:pPr>
      <w:jc w:val="center"/>
    </w:pPr>
    <w:rPr>
      <w:rFonts w:ascii="Calibri" w:hAnsi="Calibri"/>
      <w:sz w:val="21"/>
    </w:rPr>
    <w:tblPr>
      <w:tblBorders>
        <w:top w:val="single" w:color="auto" w:sz="12" w:space="0"/>
        <w:bottom w:val="single" w:color="auto" w:sz="12" w:space="0"/>
        <w:insideH w:val="single" w:color="auto" w:sz="2" w:space="0"/>
        <w:insideV w:val="single" w:color="auto" w:sz="2" w:space="0"/>
      </w:tblBorders>
    </w:tblPr>
    <w:tcPr>
      <w:vAlign w:val="center"/>
    </w:tcPr>
  </w:style>
  <w:style w:type="table" w:customStyle="1" w:styleId="1907">
    <w:name w:val="网格型ZHJICIA13"/>
    <w:basedOn w:val="88"/>
    <w:qFormat/>
    <w:uiPriority w:val="59"/>
    <w:pPr>
      <w:widowControl w:val="0"/>
      <w:spacing w:before="120" w:after="120" w:line="360" w:lineRule="exact"/>
      <w:ind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8">
    <w:name w:val="网格型ZHJICIA6"/>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9">
    <w:name w:val="灰度表格152"/>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0">
    <w:name w:val="网格型ZHJICIA16"/>
    <w:basedOn w:val="88"/>
    <w:qFormat/>
    <w:uiPriority w:val="59"/>
    <w:pPr>
      <w:widowControl w:val="0"/>
      <w:spacing w:before="120" w:after="120" w:line="360" w:lineRule="exact"/>
      <w:ind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1">
    <w:name w:val="网格型 52"/>
    <w:basedOn w:val="88"/>
    <w:qFormat/>
    <w:uiPriority w:val="0"/>
    <w:pPr>
      <w:widowControl w:val="0"/>
      <w:adjustRightInd w:val="0"/>
      <w:snapToGrid w:val="0"/>
      <w:jc w:val="both"/>
    </w:pPr>
    <w:rPr>
      <w:sz w:val="22"/>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auto"/>
      <w:vAlign w:val="center"/>
    </w:tc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912">
    <w:name w:val="网格型 55"/>
    <w:basedOn w:val="88"/>
    <w:qFormat/>
    <w:uiPriority w:val="0"/>
    <w:pPr>
      <w:widowControl w:val="0"/>
      <w:adjustRightInd w:val="0"/>
      <w:snapToGrid w:val="0"/>
      <w:jc w:val="both"/>
    </w:pPr>
    <w:rPr>
      <w:sz w:val="22"/>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auto"/>
      <w:vAlign w:val="center"/>
    </w:tc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913">
    <w:name w:val="cmr2"/>
    <w:basedOn w:val="88"/>
    <w:qFormat/>
    <w:uiPriority w:val="0"/>
    <w:pPr>
      <w:jc w:val="center"/>
    </w:pPr>
    <w:rPr>
      <w:rFonts w:ascii="Calibri" w:hAnsi="Calibri"/>
      <w:sz w:val="21"/>
    </w:rPr>
    <w:tblPr>
      <w:tblBorders>
        <w:top w:val="single" w:color="auto" w:sz="12" w:space="0"/>
        <w:bottom w:val="single" w:color="auto" w:sz="12" w:space="0"/>
        <w:insideH w:val="single" w:color="auto" w:sz="2" w:space="0"/>
        <w:insideV w:val="single" w:color="auto" w:sz="2" w:space="0"/>
      </w:tblBorders>
    </w:tblPr>
    <w:tcPr>
      <w:vAlign w:val="center"/>
    </w:tcPr>
  </w:style>
  <w:style w:type="table" w:customStyle="1" w:styleId="1914">
    <w:name w:val="灰度表格95"/>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5">
    <w:name w:val="灰度表格172"/>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6">
    <w:name w:val="灰度表格175"/>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7">
    <w:name w:val="网格型ZHJICIA1"/>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8">
    <w:name w:val="网格型ZHJICIA11"/>
    <w:basedOn w:val="88"/>
    <w:qFormat/>
    <w:uiPriority w:val="59"/>
    <w:pPr>
      <w:widowControl w:val="0"/>
      <w:spacing w:before="120" w:after="120" w:line="360" w:lineRule="exact"/>
      <w:ind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19">
    <w:name w:val="灰度表格9"/>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0">
    <w:name w:val="灰度表格17"/>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1">
    <w:name w:val="cmr"/>
    <w:basedOn w:val="88"/>
    <w:qFormat/>
    <w:uiPriority w:val="0"/>
    <w:pPr>
      <w:jc w:val="center"/>
    </w:pPr>
    <w:rPr>
      <w:sz w:val="21"/>
    </w:rPr>
    <w:tblPr>
      <w:jc w:val="center"/>
      <w:tblBorders>
        <w:top w:val="single" w:color="auto" w:sz="12" w:space="0"/>
        <w:bottom w:val="single" w:color="auto" w:sz="12" w:space="0"/>
        <w:insideH w:val="single" w:color="auto" w:sz="2" w:space="0"/>
        <w:insideV w:val="single" w:color="auto" w:sz="2" w:space="0"/>
      </w:tblBorders>
    </w:tblPr>
    <w:trPr>
      <w:jc w:val="center"/>
    </w:trPr>
    <w:tcPr>
      <w:vAlign w:val="center"/>
    </w:tcPr>
  </w:style>
  <w:style w:type="table" w:customStyle="1" w:styleId="1922">
    <w:name w:val="标准表格"/>
    <w:basedOn w:val="88"/>
    <w:qFormat/>
    <w:uiPriority w:val="99"/>
    <w:pPr>
      <w:spacing w:before="74"/>
      <w:jc w:val="center"/>
    </w:pPr>
    <w:rPr>
      <w:sz w:val="18"/>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FFFFFF"/>
      <w:vAlign w:val="center"/>
    </w:tcPr>
    <w:tblStylePr w:type="firstRow">
      <w:pPr>
        <w:wordWrap/>
        <w:spacing w:before="0" w:beforeLines="0" w:beforeAutospacing="0" w:after="0" w:afterLines="0" w:afterAutospacing="0" w:line="240" w:lineRule="auto"/>
        <w:ind w:left="0" w:leftChars="0" w:right="0" w:rightChars="0" w:firstLine="0" w:firstLineChars="0"/>
        <w:jc w:val="center"/>
      </w:pPr>
      <w:rPr>
        <w:rFonts w:eastAsia="Tms Rmn"/>
        <w:sz w:val="18"/>
      </w:rPr>
      <w:tblPr/>
      <w:trPr>
        <w:tblHeader/>
      </w:trPr>
    </w:tblStylePr>
    <w:tblStylePr w:type="firstCol">
      <w:pPr>
        <w:jc w:val="center"/>
      </w:pPr>
    </w:tblStylePr>
  </w:style>
  <w:style w:type="table" w:customStyle="1" w:styleId="1923">
    <w:name w:val="标准表格1"/>
    <w:basedOn w:val="88"/>
    <w:qFormat/>
    <w:uiPriority w:val="99"/>
    <w:pPr>
      <w:spacing w:before="74"/>
      <w:jc w:val="center"/>
    </w:pPr>
    <w:rPr>
      <w:sz w:val="18"/>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FFFFFF"/>
      <w:vAlign w:val="center"/>
    </w:tcPr>
    <w:tblStylePr w:type="firstRow">
      <w:pPr>
        <w:wordWrap/>
        <w:spacing w:before="0" w:beforeLines="0" w:beforeAutospacing="0" w:after="0" w:afterLines="0" w:afterAutospacing="0" w:line="240" w:lineRule="auto"/>
        <w:ind w:left="0" w:leftChars="0" w:right="0" w:rightChars="0" w:firstLine="0" w:firstLineChars="0"/>
        <w:jc w:val="center"/>
      </w:pPr>
      <w:rPr>
        <w:rFonts w:eastAsia="Tms Rmn"/>
        <w:sz w:val="18"/>
      </w:rPr>
      <w:tblPr/>
      <w:trPr>
        <w:tblHeader/>
      </w:trPr>
    </w:tblStylePr>
    <w:tblStylePr w:type="firstCol">
      <w:pPr>
        <w:jc w:val="center"/>
      </w:pPr>
    </w:tblStylePr>
  </w:style>
  <w:style w:type="table" w:customStyle="1" w:styleId="1924">
    <w:name w:val="网格型ZHJICIA2"/>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5">
    <w:name w:val="网格型ZHJICIA12"/>
    <w:basedOn w:val="88"/>
    <w:qFormat/>
    <w:uiPriority w:val="59"/>
    <w:pPr>
      <w:widowControl w:val="0"/>
      <w:spacing w:before="120" w:after="120" w:line="360" w:lineRule="exact"/>
      <w:ind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6">
    <w:name w:val="网格型 51"/>
    <w:basedOn w:val="88"/>
    <w:qFormat/>
    <w:uiPriority w:val="0"/>
    <w:pPr>
      <w:widowControl w:val="0"/>
      <w:adjustRightInd w:val="0"/>
      <w:snapToGrid w:val="0"/>
      <w:jc w:val="both"/>
    </w:pPr>
    <w:rPr>
      <w:sz w:val="22"/>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auto"/>
      <w:vAlign w:val="center"/>
    </w:tc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927">
    <w:name w:val="网格型ZHJICIA4"/>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8">
    <w:name w:val="网格型ZHJICIA14"/>
    <w:basedOn w:val="88"/>
    <w:qFormat/>
    <w:uiPriority w:val="59"/>
    <w:pPr>
      <w:widowControl w:val="0"/>
      <w:spacing w:before="120" w:after="120" w:line="360" w:lineRule="exact"/>
      <w:ind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9">
    <w:name w:val="网格型 53"/>
    <w:basedOn w:val="88"/>
    <w:qFormat/>
    <w:uiPriority w:val="0"/>
    <w:pPr>
      <w:widowControl w:val="0"/>
      <w:adjustRightInd w:val="0"/>
      <w:snapToGrid w:val="0"/>
      <w:jc w:val="both"/>
    </w:pPr>
    <w:rPr>
      <w:sz w:val="22"/>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auto"/>
      <w:vAlign w:val="center"/>
    </w:tc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930">
    <w:name w:val="灰度表格93"/>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1">
    <w:name w:val="灰度表格173"/>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2">
    <w:name w:val="灰度表格153"/>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3">
    <w:name w:val="cmr3"/>
    <w:basedOn w:val="88"/>
    <w:qFormat/>
    <w:uiPriority w:val="0"/>
    <w:pPr>
      <w:jc w:val="center"/>
    </w:pPr>
    <w:rPr>
      <w:rFonts w:ascii="Calibri" w:hAnsi="Calibri"/>
      <w:sz w:val="21"/>
    </w:rPr>
    <w:tblPr>
      <w:tblBorders>
        <w:top w:val="single" w:color="auto" w:sz="12" w:space="0"/>
        <w:bottom w:val="single" w:color="auto" w:sz="12" w:space="0"/>
        <w:insideH w:val="single" w:color="auto" w:sz="2" w:space="0"/>
        <w:insideV w:val="single" w:color="auto" w:sz="2" w:space="0"/>
      </w:tblBorders>
    </w:tblPr>
    <w:tcPr>
      <w:vAlign w:val="center"/>
    </w:tcPr>
  </w:style>
  <w:style w:type="table" w:customStyle="1" w:styleId="1934">
    <w:name w:val="网格型ZHJICIA5"/>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5">
    <w:name w:val="网格型ZHJICIA15"/>
    <w:basedOn w:val="88"/>
    <w:qFormat/>
    <w:uiPriority w:val="59"/>
    <w:pPr>
      <w:widowControl w:val="0"/>
      <w:spacing w:before="120" w:after="120" w:line="360" w:lineRule="exact"/>
      <w:ind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6">
    <w:name w:val="灰度表格155"/>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7">
    <w:name w:val="cmr5"/>
    <w:basedOn w:val="88"/>
    <w:qFormat/>
    <w:uiPriority w:val="0"/>
    <w:pPr>
      <w:jc w:val="center"/>
    </w:pPr>
    <w:rPr>
      <w:rFonts w:ascii="Calibri" w:hAnsi="Calibri"/>
      <w:sz w:val="21"/>
    </w:rPr>
    <w:tblPr>
      <w:tblBorders>
        <w:top w:val="single" w:color="auto" w:sz="12" w:space="0"/>
        <w:bottom w:val="single" w:color="auto" w:sz="12" w:space="0"/>
        <w:insideH w:val="single" w:color="auto" w:sz="2" w:space="0"/>
        <w:insideV w:val="single" w:color="auto" w:sz="2" w:space="0"/>
      </w:tblBorders>
    </w:tblPr>
    <w:tcPr>
      <w:vAlign w:val="center"/>
    </w:tcPr>
  </w:style>
  <w:style w:type="table" w:customStyle="1" w:styleId="1938">
    <w:name w:val="网格型ZHJICIA7"/>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9">
    <w:name w:val="网格型ZHJICIA17"/>
    <w:basedOn w:val="88"/>
    <w:qFormat/>
    <w:uiPriority w:val="59"/>
    <w:pPr>
      <w:widowControl w:val="0"/>
      <w:spacing w:before="120" w:after="120" w:line="360" w:lineRule="exact"/>
      <w:ind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0">
    <w:name w:val="网格型 56"/>
    <w:basedOn w:val="88"/>
    <w:qFormat/>
    <w:uiPriority w:val="0"/>
    <w:pPr>
      <w:widowControl w:val="0"/>
      <w:adjustRightInd w:val="0"/>
      <w:snapToGrid w:val="0"/>
      <w:jc w:val="both"/>
    </w:pPr>
    <w:rPr>
      <w:sz w:val="22"/>
    </w:rPr>
    <w:tblPr>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rPr>
      <w:jc w:val="center"/>
    </w:trPr>
    <w:tcPr>
      <w:shd w:val="clear" w:color="auto" w:fill="auto"/>
      <w:vAlign w:val="center"/>
    </w:tcPr>
    <w:tblStylePr w:type="firstRow">
      <w:tcPr>
        <w:tcBorders>
          <w:top w:val="nil"/>
          <w:left w:val="nil"/>
          <w:bottom w:val="single" w:color="000000" w:sz="12" w:space="0"/>
          <w:right w:val="nil"/>
          <w:insideH w:val="nil"/>
          <w:insideV w:val="nil"/>
          <w:tl2br w:val="nil"/>
          <w:tr2bl w:val="nil"/>
        </w:tcBorders>
      </w:tcPr>
    </w:tblStylePr>
    <w:tblStylePr w:type="lastRow">
      <w:rPr>
        <w:b/>
        <w:bCs/>
      </w:rPr>
      <w:tcPr>
        <w:tcBorders>
          <w:top w:val="nil"/>
          <w:left w:val="nil"/>
          <w:bottom w:val="nil"/>
          <w:right w:val="nil"/>
          <w:insideH w:val="nil"/>
          <w:insideV w:val="nil"/>
          <w:tl2br w:val="nil"/>
          <w:tr2bl w:val="nil"/>
        </w:tcBorders>
      </w:tcPr>
    </w:tblStylePr>
    <w:tblStylePr w:type="lastCol">
      <w:rPr>
        <w:b/>
        <w:bCs/>
      </w:rPr>
      <w:tcPr>
        <w:tcBorders>
          <w:top w:val="nil"/>
          <w:left w:val="nil"/>
          <w:bottom w:val="nil"/>
          <w:right w:val="nil"/>
          <w:insideH w:val="nil"/>
          <w:insideV w:val="nil"/>
          <w:tl2br w:val="nil"/>
          <w:tr2bl w:val="nil"/>
        </w:tcBorders>
      </w:tcPr>
    </w:tblStylePr>
    <w:tblStylePr w:type="nwCell">
      <w:tcPr>
        <w:tcBorders>
          <w:top w:val="nil"/>
          <w:left w:val="nil"/>
          <w:bottom w:val="nil"/>
          <w:right w:val="nil"/>
          <w:insideH w:val="nil"/>
          <w:insideV w:val="nil"/>
          <w:tl2br w:val="single" w:color="000000" w:sz="6" w:space="0"/>
          <w:tr2bl w:val="nil"/>
        </w:tcBorders>
      </w:tcPr>
    </w:tblStylePr>
  </w:style>
  <w:style w:type="table" w:customStyle="1" w:styleId="1941">
    <w:name w:val="灰度表格156"/>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2">
    <w:name w:val="网格型ZHJICIA18"/>
    <w:basedOn w:val="88"/>
    <w:qFormat/>
    <w:uiPriority w:val="59"/>
    <w:pPr>
      <w:widowControl w:val="0"/>
      <w:spacing w:before="120" w:after="120" w:line="360" w:lineRule="exact"/>
      <w:ind w:firstLine="482"/>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3">
    <w:name w:val="灰度表格97"/>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4">
    <w:name w:val="灰度表格157"/>
    <w:basedOn w:val="88"/>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5">
    <w:name w:val="cmr7"/>
    <w:basedOn w:val="88"/>
    <w:qFormat/>
    <w:uiPriority w:val="0"/>
    <w:pPr>
      <w:jc w:val="center"/>
    </w:pPr>
    <w:rPr>
      <w:rFonts w:ascii="Calibri" w:hAnsi="Calibri"/>
      <w:sz w:val="21"/>
    </w:rPr>
    <w:tblPr>
      <w:tblBorders>
        <w:top w:val="single" w:color="auto" w:sz="12" w:space="0"/>
        <w:bottom w:val="single" w:color="auto" w:sz="12" w:space="0"/>
        <w:insideH w:val="single" w:color="auto" w:sz="2" w:space="0"/>
        <w:insideV w:val="single" w:color="auto" w:sz="2" w:space="0"/>
      </w:tblBorders>
    </w:tblPr>
    <w:tcPr>
      <w:vAlign w:val="center"/>
    </w:tcPr>
  </w:style>
  <w:style w:type="table" w:customStyle="1" w:styleId="1946">
    <w:name w:val="网格型-无边竖线1"/>
    <w:basedOn w:val="88"/>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947">
    <w:name w:val="网格型-无边竖线11"/>
    <w:basedOn w:val="88"/>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948">
    <w:name w:val="样式 题注 + 段前: 0.5 行"/>
    <w:basedOn w:val="22"/>
    <w:qFormat/>
    <w:uiPriority w:val="99"/>
    <w:pPr>
      <w:keepNext/>
      <w:spacing w:beforeLines="50" w:line="360" w:lineRule="auto"/>
      <w:jc w:val="center"/>
    </w:pPr>
    <w:rPr>
      <w:rFonts w:ascii="Cambria" w:hAnsi="Cambria" w:cs="宋体"/>
      <w:b/>
      <w:bCs/>
      <w:color w:val="FF0000"/>
      <w:sz w:val="24"/>
      <w:shd w:val="pct10" w:color="auto" w:fill="FFFFFF"/>
      <w:lang w:val="en-US"/>
    </w:rPr>
  </w:style>
  <w:style w:type="character" w:customStyle="1" w:styleId="1949">
    <w:name w:val="[正文格式] Char Char"/>
    <w:link w:val="1950"/>
    <w:qFormat/>
    <w:uiPriority w:val="0"/>
    <w:rPr>
      <w:rFonts w:ascii="Verdana" w:hAnsi="Verdana" w:cs="宋体"/>
      <w:kern w:val="2"/>
      <w:sz w:val="25"/>
    </w:rPr>
  </w:style>
  <w:style w:type="paragraph" w:customStyle="1" w:styleId="1950">
    <w:name w:val="[正文格式]"/>
    <w:basedOn w:val="1"/>
    <w:link w:val="1949"/>
    <w:qFormat/>
    <w:uiPriority w:val="0"/>
    <w:pPr>
      <w:spacing w:line="440" w:lineRule="exact"/>
      <w:ind w:firstLine="500" w:firstLineChars="200"/>
    </w:pPr>
    <w:rPr>
      <w:rFonts w:ascii="Verdana" w:hAnsi="Verdana" w:cs="宋体"/>
      <w:sz w:val="25"/>
      <w:szCs w:val="20"/>
    </w:rPr>
  </w:style>
  <w:style w:type="character" w:customStyle="1" w:styleId="1951">
    <w:name w:val="标题 3 字符1"/>
    <w:qFormat/>
    <w:uiPriority w:val="9"/>
    <w:rPr>
      <w:rFonts w:eastAsia="宋体"/>
      <w:b/>
      <w:bCs/>
      <w:kern w:val="2"/>
      <w:sz w:val="32"/>
      <w:szCs w:val="32"/>
      <w:lang w:val="en-US" w:eastAsia="zh-CN" w:bidi="ar-SA"/>
    </w:rPr>
  </w:style>
  <w:style w:type="paragraph" w:customStyle="1" w:styleId="1952">
    <w:name w:val="正文 首行缩进:  2 字符"/>
    <w:basedOn w:val="1"/>
    <w:qFormat/>
    <w:uiPriority w:val="0"/>
    <w:pPr>
      <w:spacing w:line="360" w:lineRule="auto"/>
      <w:ind w:firstLine="200" w:firstLineChars="200"/>
    </w:pPr>
    <w:rPr>
      <w:rFonts w:ascii="Calibri" w:hAnsi="Calibri" w:cs="宋体"/>
    </w:rPr>
  </w:style>
  <w:style w:type="character" w:customStyle="1" w:styleId="1953">
    <w:name w:val="表格内容 字符"/>
    <w:qFormat/>
    <w:uiPriority w:val="0"/>
    <w:rPr>
      <w:rFonts w:cs="宋体"/>
      <w:color w:val="000000"/>
      <w:sz w:val="21"/>
      <w:szCs w:val="24"/>
    </w:rPr>
  </w:style>
  <w:style w:type="paragraph" w:customStyle="1" w:styleId="1954">
    <w:name w:val="图片"/>
    <w:basedOn w:val="1"/>
    <w:link w:val="1955"/>
    <w:qFormat/>
    <w:uiPriority w:val="0"/>
    <w:pPr>
      <w:jc w:val="center"/>
    </w:pPr>
    <w:rPr>
      <w:rFonts w:cs="宋体"/>
      <w:kern w:val="0"/>
      <w:sz w:val="24"/>
    </w:rPr>
  </w:style>
  <w:style w:type="character" w:customStyle="1" w:styleId="1955">
    <w:name w:val="图片 字符"/>
    <w:link w:val="1954"/>
    <w:qFormat/>
    <w:uiPriority w:val="0"/>
    <w:rPr>
      <w:rFonts w:cs="宋体"/>
      <w:sz w:val="24"/>
      <w:szCs w:val="24"/>
    </w:rPr>
  </w:style>
  <w:style w:type="character" w:customStyle="1" w:styleId="1956">
    <w:name w:val="图表标题 字符"/>
    <w:qFormat/>
    <w:uiPriority w:val="0"/>
    <w:rPr>
      <w:rFonts w:ascii="Times New Roman" w:hAnsi="Times New Roman" w:eastAsia="宋体" w:cs="Times New Roman"/>
      <w:b/>
      <w:kern w:val="0"/>
      <w:sz w:val="24"/>
      <w:szCs w:val="24"/>
    </w:rPr>
  </w:style>
  <w:style w:type="paragraph" w:customStyle="1" w:styleId="1957">
    <w:name w:val="样式17"/>
    <w:basedOn w:val="1"/>
    <w:qFormat/>
    <w:uiPriority w:val="0"/>
    <w:pPr>
      <w:spacing w:line="360" w:lineRule="auto"/>
    </w:pPr>
    <w:rPr>
      <w:rFonts w:ascii="Arial" w:hAnsi="Arial" w:cs="Arial"/>
      <w:kern w:val="0"/>
    </w:rPr>
  </w:style>
  <w:style w:type="character" w:customStyle="1" w:styleId="1958">
    <w:name w:val="题注 字符"/>
    <w:qFormat/>
    <w:locked/>
    <w:uiPriority w:val="0"/>
    <w:rPr>
      <w:rFonts w:ascii="Times New Roman" w:hAnsi="Times New Roman" w:eastAsia="宋体" w:cs="Times New Roman"/>
      <w:b/>
      <w:bCs/>
      <w:color w:val="000000"/>
      <w:szCs w:val="20"/>
    </w:rPr>
  </w:style>
  <w:style w:type="paragraph" w:customStyle="1" w:styleId="1959">
    <w:name w:val="表左侧"/>
    <w:basedOn w:val="1"/>
    <w:next w:val="1"/>
    <w:link w:val="1960"/>
    <w:qFormat/>
    <w:uiPriority w:val="99"/>
    <w:pPr>
      <w:adjustRightInd w:val="0"/>
      <w:snapToGrid w:val="0"/>
    </w:pPr>
    <w:rPr>
      <w:color w:val="000000"/>
      <w:szCs w:val="22"/>
      <w:shd w:val="clear" w:color="auto" w:fill="FFFFFF"/>
      <w:lang w:val="zh-TW" w:eastAsia="zh-TW"/>
    </w:rPr>
  </w:style>
  <w:style w:type="character" w:customStyle="1" w:styleId="1960">
    <w:name w:val="表左侧 字符"/>
    <w:link w:val="1959"/>
    <w:qFormat/>
    <w:uiPriority w:val="99"/>
    <w:rPr>
      <w:color w:val="000000"/>
      <w:kern w:val="2"/>
      <w:sz w:val="21"/>
      <w:szCs w:val="22"/>
      <w:lang w:val="zh-TW" w:eastAsia="zh-TW"/>
    </w:rPr>
  </w:style>
  <w:style w:type="character" w:customStyle="1" w:styleId="1961">
    <w:name w:val="样式 样式4 + 首行缩进:  2 字符 Char"/>
    <w:link w:val="1962"/>
    <w:qFormat/>
    <w:uiPriority w:val="0"/>
    <w:rPr>
      <w:rFonts w:cs="宋体"/>
      <w:kern w:val="2"/>
      <w:sz w:val="24"/>
      <w:szCs w:val="24"/>
    </w:rPr>
  </w:style>
  <w:style w:type="paragraph" w:customStyle="1" w:styleId="1962">
    <w:name w:val="样式 样式4 + 首行缩进:  2 字符"/>
    <w:basedOn w:val="1"/>
    <w:link w:val="1961"/>
    <w:qFormat/>
    <w:uiPriority w:val="0"/>
    <w:pPr>
      <w:spacing w:line="440" w:lineRule="exact"/>
      <w:ind w:firstLine="480" w:firstLineChars="200"/>
    </w:pPr>
    <w:rPr>
      <w:rFonts w:cs="宋体"/>
      <w:sz w:val="24"/>
    </w:rPr>
  </w:style>
  <w:style w:type="character" w:customStyle="1" w:styleId="1963">
    <w:name w:val="表号 Char Char"/>
    <w:qFormat/>
    <w:locked/>
    <w:uiPriority w:val="0"/>
    <w:rPr>
      <w:rFonts w:hint="eastAsia" w:ascii="宋体" w:hAnsi="宋体" w:eastAsia="宋体"/>
      <w:kern w:val="32"/>
      <w:sz w:val="24"/>
      <w:lang w:val="en-US" w:eastAsia="zh-CN" w:bidi="ar-SA"/>
    </w:rPr>
  </w:style>
  <w:style w:type="character" w:customStyle="1" w:styleId="1964">
    <w:name w:val="表文字 Char Char"/>
    <w:qFormat/>
    <w:uiPriority w:val="0"/>
    <w:rPr>
      <w:rFonts w:eastAsia="汉鼎简书宋"/>
    </w:rPr>
  </w:style>
  <w:style w:type="character" w:customStyle="1" w:styleId="1965">
    <w:name w:val="number"/>
    <w:qFormat/>
    <w:uiPriority w:val="0"/>
  </w:style>
  <w:style w:type="character" w:customStyle="1" w:styleId="1966">
    <w:name w:val="表格内容 Char Char Char"/>
    <w:qFormat/>
    <w:uiPriority w:val="0"/>
    <w:rPr>
      <w:rFonts w:ascii="Arial" w:hAnsi="Arial" w:eastAsia="仿宋_GB2312"/>
      <w:sz w:val="24"/>
      <w:lang w:val="en-US" w:eastAsia="zh-CN"/>
    </w:rPr>
  </w:style>
  <w:style w:type="character" w:customStyle="1" w:styleId="1967">
    <w:name w:val="Char Char158"/>
    <w:qFormat/>
    <w:uiPriority w:val="0"/>
    <w:rPr>
      <w:rFonts w:ascii="Arial" w:hAnsi="Arial" w:eastAsia="黑体" w:cs="Times New Roman"/>
      <w:b/>
      <w:bCs/>
      <w:sz w:val="28"/>
      <w:szCs w:val="28"/>
    </w:rPr>
  </w:style>
  <w:style w:type="character" w:customStyle="1" w:styleId="1968">
    <w:name w:val="Char Char422"/>
    <w:qFormat/>
    <w:uiPriority w:val="0"/>
    <w:rPr>
      <w:rFonts w:eastAsia="宋体"/>
      <w:kern w:val="2"/>
      <w:sz w:val="24"/>
      <w:szCs w:val="22"/>
      <w:lang w:val="en-US" w:eastAsia="zh-CN" w:bidi="ar-SA"/>
    </w:rPr>
  </w:style>
  <w:style w:type="character" w:customStyle="1" w:styleId="1969">
    <w:name w:val="第四层条 Char4"/>
    <w:qFormat/>
    <w:uiPriority w:val="0"/>
    <w:rPr>
      <w:rFonts w:ascii="Times New Roman" w:hAnsi="Times New Roman" w:eastAsia="宋体" w:cs="Times New Roman"/>
      <w:b/>
      <w:bCs/>
      <w:sz w:val="28"/>
      <w:szCs w:val="28"/>
    </w:rPr>
  </w:style>
  <w:style w:type="character" w:customStyle="1" w:styleId="1970">
    <w:name w:val="Char Char285"/>
    <w:qFormat/>
    <w:uiPriority w:val="0"/>
    <w:rPr>
      <w:rFonts w:ascii="Calibri" w:hAnsi="Calibri" w:eastAsia="宋体"/>
      <w:sz w:val="18"/>
      <w:szCs w:val="18"/>
      <w:lang w:val="en-US" w:eastAsia="zh-CN" w:bidi="ar-SA"/>
    </w:rPr>
  </w:style>
  <w:style w:type="character" w:customStyle="1" w:styleId="1971">
    <w:name w:val="奇数页眉 Char Char"/>
    <w:qFormat/>
    <w:uiPriority w:val="0"/>
    <w:rPr>
      <w:rFonts w:eastAsia="宋体"/>
      <w:kern w:val="2"/>
      <w:sz w:val="18"/>
      <w:szCs w:val="18"/>
      <w:lang w:val="en-US" w:eastAsia="zh-CN" w:bidi="ar-SA"/>
    </w:rPr>
  </w:style>
  <w:style w:type="character" w:customStyle="1" w:styleId="1972">
    <w:name w:val="样式 仿宋_GB2312 小四 行距: 1.5 倍行距 Char"/>
    <w:link w:val="1973"/>
    <w:qFormat/>
    <w:uiPriority w:val="0"/>
    <w:rPr>
      <w:rFonts w:ascii="仿宋_GB2312" w:eastAsia="仿宋_GB2312"/>
      <w:sz w:val="24"/>
    </w:rPr>
  </w:style>
  <w:style w:type="paragraph" w:customStyle="1" w:styleId="1973">
    <w:name w:val="样式 仿宋_GB2312 小四 行距: 1.5 倍行距"/>
    <w:basedOn w:val="1"/>
    <w:link w:val="1972"/>
    <w:qFormat/>
    <w:uiPriority w:val="0"/>
    <w:pPr>
      <w:spacing w:line="360" w:lineRule="auto"/>
      <w:ind w:firstLine="480" w:firstLineChars="200"/>
    </w:pPr>
    <w:rPr>
      <w:rFonts w:ascii="仿宋_GB2312" w:eastAsia="仿宋_GB2312"/>
      <w:kern w:val="0"/>
      <w:sz w:val="24"/>
      <w:szCs w:val="20"/>
    </w:rPr>
  </w:style>
  <w:style w:type="character" w:customStyle="1" w:styleId="1974">
    <w:name w:val="HTML 变量11"/>
    <w:qFormat/>
    <w:uiPriority w:val="0"/>
    <w:rPr>
      <w:rFonts w:hint="default"/>
      <w:i/>
    </w:rPr>
  </w:style>
  <w:style w:type="character" w:customStyle="1" w:styleId="1975">
    <w:name w:val="Char Char272"/>
    <w:qFormat/>
    <w:uiPriority w:val="0"/>
    <w:rPr>
      <w:rFonts w:ascii="Times New Roman" w:hAnsi="Times New Roman" w:eastAsia="宋体" w:cs="Times New Roman"/>
      <w:sz w:val="18"/>
      <w:szCs w:val="18"/>
    </w:rPr>
  </w:style>
  <w:style w:type="character" w:customStyle="1" w:styleId="1976">
    <w:name w:val="正文文本缩进 3 字符1"/>
    <w:qFormat/>
    <w:uiPriority w:val="99"/>
    <w:rPr>
      <w:rFonts w:ascii="宋体" w:hAnsi="宋体" w:eastAsia="宋体"/>
      <w:color w:val="000000"/>
      <w:sz w:val="24"/>
      <w:szCs w:val="24"/>
    </w:rPr>
  </w:style>
  <w:style w:type="character" w:customStyle="1" w:styleId="1977">
    <w:name w:val="ca-1"/>
    <w:qFormat/>
    <w:uiPriority w:val="0"/>
  </w:style>
  <w:style w:type="character" w:customStyle="1" w:styleId="1978">
    <w:name w:val="Char Char274"/>
    <w:qFormat/>
    <w:uiPriority w:val="0"/>
    <w:rPr>
      <w:rFonts w:ascii="楷体_GB2312" w:eastAsia="楷体_GB2312"/>
      <w:kern w:val="2"/>
      <w:sz w:val="28"/>
      <w:lang w:val="en-US" w:eastAsia="zh-CN" w:bidi="ar-SA"/>
    </w:rPr>
  </w:style>
  <w:style w:type="character" w:customStyle="1" w:styleId="1979">
    <w:name w:val="Char Char175"/>
    <w:qFormat/>
    <w:uiPriority w:val="0"/>
    <w:rPr>
      <w:rFonts w:ascii="Times New Roman" w:hAnsi="Times New Roman" w:eastAsia="宋体" w:cs="Times New Roman"/>
      <w:b/>
      <w:bCs/>
      <w:sz w:val="24"/>
      <w:szCs w:val="24"/>
    </w:rPr>
  </w:style>
  <w:style w:type="character" w:customStyle="1" w:styleId="1980">
    <w:name w:val="Char Char2221"/>
    <w:qFormat/>
    <w:uiPriority w:val="0"/>
    <w:rPr>
      <w:rFonts w:eastAsia="宋体"/>
      <w:kern w:val="2"/>
      <w:sz w:val="21"/>
      <w:lang w:val="en-US" w:eastAsia="zh-CN" w:bidi="ar-SA"/>
    </w:rPr>
  </w:style>
  <w:style w:type="character" w:customStyle="1" w:styleId="1981">
    <w:name w:val="666666-图的标识 Char Char Char"/>
    <w:qFormat/>
    <w:uiPriority w:val="0"/>
    <w:rPr>
      <w:rFonts w:ascii="黑体" w:hAnsi="宋体" w:eastAsia="黑体"/>
      <w:kern w:val="2"/>
      <w:sz w:val="21"/>
      <w:szCs w:val="21"/>
    </w:rPr>
  </w:style>
  <w:style w:type="character" w:customStyle="1" w:styleId="1982">
    <w:name w:val="样式 标题 2节3号宋体居中行距2倍三号宋体居中行距2倍距三号宋体居中行距2倍标题 2 Char Char Char ...3 Char"/>
    <w:link w:val="1983"/>
    <w:qFormat/>
    <w:uiPriority w:val="0"/>
    <w:rPr>
      <w:sz w:val="32"/>
      <w:szCs w:val="32"/>
    </w:rPr>
  </w:style>
  <w:style w:type="paragraph" w:customStyle="1" w:styleId="1983">
    <w:name w:val="样式 标题 2节3号宋体居中行距2倍三号宋体居中行距2倍距三号宋体居中行距2倍标题 2 Char Char Char ...3"/>
    <w:basedOn w:val="4"/>
    <w:link w:val="1982"/>
    <w:qFormat/>
    <w:uiPriority w:val="0"/>
    <w:pPr>
      <w:keepNext w:val="0"/>
      <w:keepLines w:val="0"/>
      <w:spacing w:before="0" w:beforeLines="50" w:after="240" w:line="360" w:lineRule="auto"/>
      <w:jc w:val="center"/>
    </w:pPr>
    <w:rPr>
      <w:rFonts w:ascii="Times New Roman" w:hAnsi="Times New Roman" w:eastAsia="宋体"/>
      <w:b w:val="0"/>
      <w:bCs w:val="0"/>
      <w:kern w:val="0"/>
    </w:rPr>
  </w:style>
  <w:style w:type="character" w:customStyle="1" w:styleId="1984">
    <w:name w:val="Char Char253"/>
    <w:qFormat/>
    <w:uiPriority w:val="0"/>
    <w:rPr>
      <w:rFonts w:ascii="Courier New" w:hAnsi="Courier New" w:eastAsia="宋体" w:cs="Courier New"/>
      <w:sz w:val="20"/>
      <w:szCs w:val="20"/>
    </w:rPr>
  </w:style>
  <w:style w:type="character" w:customStyle="1" w:styleId="1985">
    <w:name w:val="Char Char116"/>
    <w:qFormat/>
    <w:uiPriority w:val="0"/>
    <w:rPr>
      <w:sz w:val="18"/>
      <w:szCs w:val="18"/>
    </w:rPr>
  </w:style>
  <w:style w:type="character" w:customStyle="1" w:styleId="1986">
    <w:name w:val="Char Char187"/>
    <w:qFormat/>
    <w:uiPriority w:val="0"/>
    <w:rPr>
      <w:rFonts w:ascii="Arial" w:hAnsi="Arial" w:eastAsia="黑体" w:cs="Times New Roman"/>
      <w:b/>
      <w:bCs/>
      <w:sz w:val="24"/>
      <w:szCs w:val="24"/>
    </w:rPr>
  </w:style>
  <w:style w:type="character" w:customStyle="1" w:styleId="1987">
    <w:name w:val="keywords"/>
    <w:qFormat/>
    <w:uiPriority w:val="0"/>
    <w:rPr>
      <w:b/>
      <w:bCs/>
      <w:color w:val="EE0033"/>
    </w:rPr>
  </w:style>
  <w:style w:type="character" w:customStyle="1" w:styleId="1988">
    <w:name w:val="文本框五号 Char Char Char"/>
    <w:qFormat/>
    <w:uiPriority w:val="0"/>
    <w:rPr>
      <w:rFonts w:ascii="宋体" w:hAnsi="宋体" w:eastAsia="仿宋_GB2312" w:cs="Courier New"/>
      <w:kern w:val="2"/>
      <w:sz w:val="21"/>
      <w:szCs w:val="21"/>
      <w:lang w:val="en-US" w:eastAsia="zh-CN" w:bidi="ar-SA"/>
    </w:rPr>
  </w:style>
  <w:style w:type="character" w:customStyle="1" w:styleId="1989">
    <w:name w:val="content"/>
    <w:qFormat/>
    <w:uiPriority w:val="0"/>
    <w:rPr>
      <w:color w:val="000000"/>
      <w:sz w:val="21"/>
      <w:szCs w:val="21"/>
    </w:rPr>
  </w:style>
  <w:style w:type="character" w:customStyle="1" w:styleId="1990">
    <w:name w:val="正文（首行缩进两字） Char Char Char Char Char Char Char Char Char Char Char Char Char Char Char Char Char Char Char Char Char Char Char Char Char Char Char Char Char Char Char Char Char Char Char Char Char Char Char Char Char Char Char Char Char Char Char Char"/>
    <w:qFormat/>
    <w:uiPriority w:val="0"/>
    <w:rPr>
      <w:rFonts w:ascii="宋体" w:eastAsia="宋体"/>
      <w:sz w:val="24"/>
      <w:lang w:val="en-US" w:eastAsia="zh-CN" w:bidi="ar-SA"/>
    </w:rPr>
  </w:style>
  <w:style w:type="character" w:customStyle="1" w:styleId="1991">
    <w:name w:val="Char Char324"/>
    <w:qFormat/>
    <w:uiPriority w:val="0"/>
    <w:rPr>
      <w:rFonts w:ascii="宋体" w:hAnsi="宋体" w:eastAsia="宋体" w:cs="宋体"/>
      <w:sz w:val="24"/>
      <w:szCs w:val="24"/>
      <w:lang w:val="en-US" w:eastAsia="zh-CN" w:bidi="ar-SA"/>
    </w:rPr>
  </w:style>
  <w:style w:type="character" w:customStyle="1" w:styleId="1992">
    <w:name w:val="style31"/>
    <w:qFormat/>
    <w:uiPriority w:val="0"/>
    <w:rPr>
      <w:b/>
      <w:bCs/>
      <w:color w:val="3795D2"/>
      <w:sz w:val="21"/>
      <w:szCs w:val="21"/>
    </w:rPr>
  </w:style>
  <w:style w:type="character" w:customStyle="1" w:styleId="1993">
    <w:name w:val="样式5 Char"/>
    <w:qFormat/>
    <w:uiPriority w:val="0"/>
    <w:rPr>
      <w:rFonts w:ascii="宋体" w:hAnsi="宋体"/>
      <w:bCs/>
      <w:snapToGrid/>
      <w:sz w:val="24"/>
      <w:szCs w:val="24"/>
    </w:rPr>
  </w:style>
  <w:style w:type="character" w:customStyle="1" w:styleId="1994">
    <w:name w:val="周正 Char"/>
    <w:link w:val="1995"/>
    <w:qFormat/>
    <w:uiPriority w:val="0"/>
    <w:rPr>
      <w:rFonts w:ascii="宋体" w:hAnsi="宋体"/>
      <w:sz w:val="28"/>
    </w:rPr>
  </w:style>
  <w:style w:type="paragraph" w:customStyle="1" w:styleId="1995">
    <w:name w:val="周正"/>
    <w:basedOn w:val="1"/>
    <w:next w:val="86"/>
    <w:link w:val="1994"/>
    <w:qFormat/>
    <w:uiPriority w:val="0"/>
    <w:pPr>
      <w:spacing w:line="360" w:lineRule="auto"/>
      <w:ind w:firstLine="560" w:firstLineChars="200"/>
    </w:pPr>
    <w:rPr>
      <w:rFonts w:ascii="宋体" w:hAnsi="宋体"/>
      <w:kern w:val="0"/>
      <w:sz w:val="28"/>
      <w:szCs w:val="20"/>
    </w:rPr>
  </w:style>
  <w:style w:type="character" w:customStyle="1" w:styleId="1996">
    <w:name w:val="Char Char153"/>
    <w:qFormat/>
    <w:uiPriority w:val="0"/>
    <w:rPr>
      <w:rFonts w:ascii="Arial" w:hAnsi="Arial" w:eastAsia="黑体" w:cs="Times New Roman"/>
      <w:b/>
      <w:bCs/>
      <w:sz w:val="28"/>
      <w:szCs w:val="28"/>
    </w:rPr>
  </w:style>
  <w:style w:type="character" w:customStyle="1" w:styleId="1997">
    <w:name w:val="表格右"/>
    <w:qFormat/>
    <w:uiPriority w:val="0"/>
    <w:rPr>
      <w:rFonts w:ascii="宋体" w:hAnsi="宋体" w:eastAsia="宋体"/>
      <w:color w:val="000080"/>
      <w:kern w:val="2"/>
      <w:sz w:val="18"/>
      <w:szCs w:val="24"/>
      <w:lang w:val="en-US" w:eastAsia="zh-CN"/>
    </w:rPr>
  </w:style>
  <w:style w:type="character" w:customStyle="1" w:styleId="1998">
    <w:name w:val="报告正文 Char Char Char"/>
    <w:qFormat/>
    <w:uiPriority w:val="0"/>
    <w:rPr>
      <w:rFonts w:ascii="Times New Roman" w:hAnsi="Times New Roman" w:cs="宋体"/>
      <w:kern w:val="2"/>
      <w:sz w:val="24"/>
    </w:rPr>
  </w:style>
  <w:style w:type="character" w:customStyle="1" w:styleId="1999">
    <w:name w:val="666666-表下正文 Char"/>
    <w:link w:val="2000"/>
    <w:qFormat/>
    <w:uiPriority w:val="0"/>
    <w:rPr>
      <w:sz w:val="24"/>
      <w:szCs w:val="24"/>
    </w:rPr>
  </w:style>
  <w:style w:type="paragraph" w:customStyle="1" w:styleId="2000">
    <w:name w:val="666666-表下正文"/>
    <w:link w:val="1999"/>
    <w:qFormat/>
    <w:uiPriority w:val="0"/>
    <w:pPr>
      <w:spacing w:beforeLines="50" w:line="360" w:lineRule="auto"/>
      <w:ind w:firstLine="200" w:firstLineChars="200"/>
      <w:jc w:val="both"/>
    </w:pPr>
    <w:rPr>
      <w:rFonts w:ascii="Times New Roman" w:hAnsi="Times New Roman" w:eastAsia="宋体" w:cs="Times New Roman"/>
      <w:sz w:val="24"/>
      <w:szCs w:val="24"/>
      <w:lang w:val="en-US" w:eastAsia="zh-CN" w:bidi="ar-SA"/>
    </w:rPr>
  </w:style>
  <w:style w:type="character" w:customStyle="1" w:styleId="2001">
    <w:name w:val="zt"/>
    <w:qFormat/>
    <w:uiPriority w:val="0"/>
  </w:style>
  <w:style w:type="character" w:customStyle="1" w:styleId="2002">
    <w:name w:val="上标"/>
    <w:qFormat/>
    <w:uiPriority w:val="0"/>
    <w:rPr>
      <w:vertAlign w:val="superscript"/>
    </w:rPr>
  </w:style>
  <w:style w:type="character" w:customStyle="1" w:styleId="2003">
    <w:name w:val="Char Char642"/>
    <w:qFormat/>
    <w:uiPriority w:val="0"/>
    <w:rPr>
      <w:rFonts w:ascii="Times New Roman" w:hAnsi="Times New Roman" w:eastAsia="宋体" w:cs="Times New Roman"/>
      <w:b/>
      <w:bCs/>
      <w:szCs w:val="20"/>
    </w:rPr>
  </w:style>
  <w:style w:type="character" w:customStyle="1" w:styleId="2004">
    <w:name w:val="正文应用 Char"/>
    <w:link w:val="2005"/>
    <w:qFormat/>
    <w:uiPriority w:val="0"/>
    <w:rPr>
      <w:sz w:val="24"/>
      <w:szCs w:val="24"/>
    </w:rPr>
  </w:style>
  <w:style w:type="paragraph" w:customStyle="1" w:styleId="2005">
    <w:name w:val="正文应用"/>
    <w:basedOn w:val="1"/>
    <w:link w:val="2004"/>
    <w:qFormat/>
    <w:uiPriority w:val="0"/>
    <w:pPr>
      <w:spacing w:line="360" w:lineRule="auto"/>
      <w:ind w:firstLine="200" w:firstLineChars="200"/>
    </w:pPr>
    <w:rPr>
      <w:kern w:val="0"/>
      <w:sz w:val="24"/>
    </w:rPr>
  </w:style>
  <w:style w:type="character" w:customStyle="1" w:styleId="2006">
    <w:name w:val="正文文本_"/>
    <w:link w:val="2007"/>
    <w:unhideWhenUsed/>
    <w:qFormat/>
    <w:uiPriority w:val="99"/>
    <w:rPr>
      <w:rFonts w:ascii="黑体" w:hAnsi="黑体" w:eastAsia="黑体"/>
      <w:sz w:val="22"/>
      <w:shd w:val="clear" w:color="auto" w:fill="FFFFFF"/>
    </w:rPr>
  </w:style>
  <w:style w:type="paragraph" w:customStyle="1" w:styleId="2007">
    <w:name w:val="正文文本1"/>
    <w:basedOn w:val="1"/>
    <w:link w:val="2006"/>
    <w:unhideWhenUsed/>
    <w:qFormat/>
    <w:uiPriority w:val="99"/>
    <w:pPr>
      <w:shd w:val="clear" w:color="auto" w:fill="FFFFFF"/>
      <w:spacing w:after="120" w:line="240" w:lineRule="atLeast"/>
    </w:pPr>
    <w:rPr>
      <w:rFonts w:ascii="黑体" w:hAnsi="黑体" w:eastAsia="黑体"/>
      <w:kern w:val="0"/>
      <w:sz w:val="22"/>
      <w:szCs w:val="20"/>
    </w:rPr>
  </w:style>
  <w:style w:type="character" w:customStyle="1" w:styleId="2008">
    <w:name w:val="HTML 引文11"/>
    <w:qFormat/>
    <w:uiPriority w:val="0"/>
    <w:rPr>
      <w:rFonts w:hint="default"/>
      <w:i/>
    </w:rPr>
  </w:style>
  <w:style w:type="character" w:customStyle="1" w:styleId="2009">
    <w:name w:val="可研表格 Char"/>
    <w:link w:val="2010"/>
    <w:qFormat/>
    <w:locked/>
    <w:uiPriority w:val="0"/>
    <w:rPr>
      <w:sz w:val="24"/>
      <w:szCs w:val="24"/>
    </w:rPr>
  </w:style>
  <w:style w:type="paragraph" w:customStyle="1" w:styleId="2010">
    <w:name w:val="可研表格"/>
    <w:basedOn w:val="1"/>
    <w:next w:val="1"/>
    <w:link w:val="2009"/>
    <w:qFormat/>
    <w:uiPriority w:val="0"/>
    <w:pPr>
      <w:tabs>
        <w:tab w:val="left" w:pos="3686"/>
      </w:tabs>
      <w:spacing w:line="440" w:lineRule="exact"/>
      <w:jc w:val="center"/>
    </w:pPr>
    <w:rPr>
      <w:kern w:val="0"/>
      <w:sz w:val="24"/>
    </w:rPr>
  </w:style>
  <w:style w:type="character" w:customStyle="1" w:styleId="2011">
    <w:name w:val="Char Char232"/>
    <w:qFormat/>
    <w:uiPriority w:val="0"/>
    <w:rPr>
      <w:rFonts w:ascii="宋体" w:hAnsi="宋体" w:eastAsia="宋体" w:cs="宋体"/>
      <w:sz w:val="24"/>
      <w:szCs w:val="24"/>
      <w:lang w:val="en-US" w:eastAsia="zh-CN" w:bidi="ar-SA"/>
    </w:rPr>
  </w:style>
  <w:style w:type="character" w:customStyle="1" w:styleId="2012">
    <w:name w:val="Char Char722"/>
    <w:qFormat/>
    <w:uiPriority w:val="0"/>
    <w:rPr>
      <w:rFonts w:ascii="Times New Roman" w:hAnsi="Times New Roman" w:eastAsia="宋体" w:cs="Times New Roman"/>
      <w:szCs w:val="24"/>
    </w:rPr>
  </w:style>
  <w:style w:type="character" w:customStyle="1" w:styleId="2013">
    <w:name w:val="1.章 Char"/>
    <w:link w:val="2014"/>
    <w:qFormat/>
    <w:uiPriority w:val="0"/>
    <w:rPr>
      <w:b/>
      <w:bCs/>
      <w:kern w:val="44"/>
      <w:sz w:val="32"/>
      <w:szCs w:val="44"/>
    </w:rPr>
  </w:style>
  <w:style w:type="paragraph" w:customStyle="1" w:styleId="2014">
    <w:name w:val="1.章"/>
    <w:basedOn w:val="1"/>
    <w:next w:val="1"/>
    <w:link w:val="2013"/>
    <w:qFormat/>
    <w:uiPriority w:val="0"/>
    <w:pPr>
      <w:keepNext/>
      <w:keepLines/>
      <w:adjustRightInd w:val="0"/>
      <w:snapToGrid w:val="0"/>
      <w:spacing w:beforeLines="50" w:afterLines="50" w:line="360" w:lineRule="auto"/>
      <w:outlineLvl w:val="0"/>
    </w:pPr>
    <w:rPr>
      <w:b/>
      <w:bCs/>
      <w:kern w:val="44"/>
      <w:sz w:val="32"/>
      <w:szCs w:val="44"/>
    </w:rPr>
  </w:style>
  <w:style w:type="character" w:customStyle="1" w:styleId="2015">
    <w:name w:val="Char Char137"/>
    <w:qFormat/>
    <w:uiPriority w:val="0"/>
    <w:rPr>
      <w:rFonts w:ascii="Arial" w:hAnsi="Arial" w:eastAsia="黑体" w:cs="Times New Roman"/>
      <w:sz w:val="24"/>
      <w:szCs w:val="24"/>
    </w:rPr>
  </w:style>
  <w:style w:type="character" w:customStyle="1" w:styleId="2016">
    <w:name w:val="初设正文 Char"/>
    <w:qFormat/>
    <w:uiPriority w:val="0"/>
    <w:rPr>
      <w:rFonts w:hint="eastAsia" w:ascii="Arial" w:hAnsi="Arial" w:eastAsia="宋体"/>
      <w:sz w:val="24"/>
      <w:lang w:val="en-US" w:eastAsia="zh-CN"/>
    </w:rPr>
  </w:style>
  <w:style w:type="character" w:customStyle="1" w:styleId="2017">
    <w:name w:val="正文文本 (11) + MingLiU3"/>
    <w:qFormat/>
    <w:uiPriority w:val="0"/>
    <w:rPr>
      <w:rFonts w:ascii="MingLiU" w:hAnsi="MingLiU" w:eastAsia="MingLiU" w:cs="MingLiU"/>
      <w:b/>
      <w:bCs/>
      <w:color w:val="000000"/>
      <w:spacing w:val="0"/>
      <w:w w:val="100"/>
      <w:position w:val="0"/>
      <w:sz w:val="23"/>
      <w:szCs w:val="23"/>
      <w:u w:val="none"/>
      <w:lang w:val="zh-CN" w:eastAsia="zh-CN" w:bidi="zh-CN"/>
    </w:rPr>
  </w:style>
  <w:style w:type="character" w:customStyle="1" w:styleId="2018">
    <w:name w:val="dan7-1表头7 Char Char Char"/>
    <w:qFormat/>
    <w:uiPriority w:val="0"/>
    <w:rPr>
      <w:rFonts w:ascii="Times New Roman" w:hAnsi="Times New Roman" w:eastAsia="黑体"/>
      <w:kern w:val="2"/>
      <w:sz w:val="24"/>
      <w:szCs w:val="24"/>
    </w:rPr>
  </w:style>
  <w:style w:type="character" w:customStyle="1" w:styleId="2019">
    <w:name w:val="Char Char202"/>
    <w:qFormat/>
    <w:uiPriority w:val="0"/>
    <w:rPr>
      <w:rFonts w:ascii="Arial" w:hAnsi="Arial" w:eastAsia="黑体" w:cs="Times New Roman"/>
      <w:b/>
      <w:bCs/>
      <w:sz w:val="28"/>
      <w:szCs w:val="28"/>
    </w:rPr>
  </w:style>
  <w:style w:type="character" w:customStyle="1" w:styleId="2020">
    <w:name w:val="Char Char1721"/>
    <w:qFormat/>
    <w:uiPriority w:val="0"/>
    <w:rPr>
      <w:rFonts w:ascii="Times New Roman" w:hAnsi="Times New Roman" w:eastAsia="宋体" w:cs="Times New Roman"/>
      <w:b/>
      <w:bCs/>
      <w:sz w:val="24"/>
      <w:szCs w:val="24"/>
    </w:rPr>
  </w:style>
  <w:style w:type="character" w:customStyle="1" w:styleId="2021">
    <w:name w:val="Char Char371"/>
    <w:qFormat/>
    <w:uiPriority w:val="0"/>
    <w:rPr>
      <w:rFonts w:hint="eastAsia" w:ascii="Arial" w:hAnsi="Arial" w:eastAsia="宋体"/>
      <w:b/>
      <w:kern w:val="2"/>
      <w:sz w:val="32"/>
      <w:lang w:val="en-US" w:eastAsia="zh-CN"/>
    </w:rPr>
  </w:style>
  <w:style w:type="character" w:customStyle="1" w:styleId="2022">
    <w:name w:val="newsbt2"/>
    <w:qFormat/>
    <w:uiPriority w:val="0"/>
  </w:style>
  <w:style w:type="character" w:customStyle="1" w:styleId="2023">
    <w:name w:val="标题 5-报告书 Char1"/>
    <w:qFormat/>
    <w:uiPriority w:val="0"/>
    <w:rPr>
      <w:rFonts w:eastAsia="宋体"/>
      <w:b/>
      <w:kern w:val="2"/>
      <w:sz w:val="28"/>
      <w:szCs w:val="24"/>
      <w:lang w:val="en-US" w:eastAsia="zh-CN" w:bidi="ar-SA"/>
    </w:rPr>
  </w:style>
  <w:style w:type="character" w:customStyle="1" w:styleId="2024">
    <w:name w:val="Font Style337"/>
    <w:qFormat/>
    <w:uiPriority w:val="0"/>
    <w:rPr>
      <w:rFonts w:ascii="宋体" w:eastAsia="宋体" w:cs="宋体"/>
      <w:sz w:val="22"/>
      <w:szCs w:val="22"/>
    </w:rPr>
  </w:style>
  <w:style w:type="character" w:customStyle="1" w:styleId="2025">
    <w:name w:val="初设正文 Char1"/>
    <w:link w:val="2026"/>
    <w:qFormat/>
    <w:uiPriority w:val="0"/>
    <w:rPr>
      <w:rFonts w:ascii="Arial" w:hAnsi="Arial"/>
      <w:sz w:val="24"/>
    </w:rPr>
  </w:style>
  <w:style w:type="paragraph" w:customStyle="1" w:styleId="2026">
    <w:name w:val="初设正文"/>
    <w:basedOn w:val="1"/>
    <w:link w:val="2025"/>
    <w:qFormat/>
    <w:uiPriority w:val="0"/>
    <w:pPr>
      <w:spacing w:after="120" w:line="440" w:lineRule="exact"/>
      <w:ind w:left="425" w:firstLine="425"/>
    </w:pPr>
    <w:rPr>
      <w:rFonts w:ascii="Arial" w:hAnsi="Arial"/>
      <w:kern w:val="0"/>
      <w:sz w:val="24"/>
      <w:szCs w:val="20"/>
    </w:rPr>
  </w:style>
  <w:style w:type="character" w:customStyle="1" w:styleId="2027">
    <w:name w:val="Char Char123"/>
    <w:qFormat/>
    <w:uiPriority w:val="0"/>
    <w:rPr>
      <w:rFonts w:ascii="Arial" w:hAnsi="Arial" w:eastAsia="黑体" w:cs="Times New Roman"/>
      <w:sz w:val="24"/>
      <w:szCs w:val="24"/>
    </w:rPr>
  </w:style>
  <w:style w:type="character" w:customStyle="1" w:styleId="2028">
    <w:name w:val="Char Char346"/>
    <w:qFormat/>
    <w:uiPriority w:val="0"/>
    <w:rPr>
      <w:rFonts w:eastAsia="宋体"/>
      <w:kern w:val="2"/>
      <w:sz w:val="21"/>
      <w:szCs w:val="24"/>
      <w:lang w:val="en-US" w:eastAsia="zh-CN" w:bidi="ar-SA"/>
    </w:rPr>
  </w:style>
  <w:style w:type="character" w:customStyle="1" w:styleId="2029">
    <w:name w:val="目标题 1) Char1"/>
    <w:qFormat/>
    <w:uiPriority w:val="0"/>
    <w:rPr>
      <w:rFonts w:ascii="Arial" w:hAnsi="Arial" w:eastAsia="黑体"/>
      <w:kern w:val="2"/>
      <w:sz w:val="24"/>
      <w:szCs w:val="24"/>
      <w:lang w:val="en-US" w:eastAsia="zh-CN" w:bidi="ar-SA"/>
    </w:rPr>
  </w:style>
  <w:style w:type="character" w:customStyle="1" w:styleId="2030">
    <w:name w:val="Char Char86"/>
    <w:qFormat/>
    <w:uiPriority w:val="0"/>
    <w:rPr>
      <w:rFonts w:eastAsia="宋体"/>
      <w:b/>
      <w:bCs/>
      <w:kern w:val="2"/>
      <w:sz w:val="28"/>
      <w:szCs w:val="28"/>
      <w:lang w:val="en-US" w:eastAsia="zh-CN" w:bidi="ar-SA"/>
    </w:rPr>
  </w:style>
  <w:style w:type="character" w:customStyle="1" w:styleId="2031">
    <w:name w:val="hui141"/>
    <w:qFormat/>
    <w:uiPriority w:val="0"/>
    <w:rPr>
      <w:b/>
      <w:bCs/>
      <w:color w:val="333333"/>
      <w:sz w:val="21"/>
      <w:szCs w:val="21"/>
    </w:rPr>
  </w:style>
  <w:style w:type="character" w:customStyle="1" w:styleId="2032">
    <w:name w:val="不明显参考2"/>
    <w:qFormat/>
    <w:uiPriority w:val="0"/>
    <w:rPr>
      <w:smallCaps/>
    </w:rPr>
  </w:style>
  <w:style w:type="character" w:customStyle="1" w:styleId="2033">
    <w:name w:val="Char25"/>
    <w:qFormat/>
    <w:uiPriority w:val="0"/>
    <w:rPr>
      <w:rFonts w:ascii="宋体" w:hAnsi="Courier New" w:eastAsia="宋体"/>
      <w:kern w:val="2"/>
      <w:sz w:val="28"/>
      <w:szCs w:val="24"/>
      <w:lang w:val="en-US" w:eastAsia="zh-CN" w:bidi="ar-SA"/>
    </w:rPr>
  </w:style>
  <w:style w:type="character" w:customStyle="1" w:styleId="2034">
    <w:name w:val="2节 Char"/>
    <w:link w:val="2035"/>
    <w:qFormat/>
    <w:locked/>
    <w:uiPriority w:val="0"/>
    <w:rPr>
      <w:b/>
      <w:sz w:val="30"/>
    </w:rPr>
  </w:style>
  <w:style w:type="paragraph" w:customStyle="1" w:styleId="2035">
    <w:name w:val="2节"/>
    <w:link w:val="2034"/>
    <w:qFormat/>
    <w:uiPriority w:val="0"/>
    <w:pPr>
      <w:tabs>
        <w:tab w:val="left" w:pos="567"/>
      </w:tabs>
    </w:pPr>
    <w:rPr>
      <w:rFonts w:ascii="Times New Roman" w:hAnsi="Times New Roman" w:eastAsia="宋体" w:cs="Times New Roman"/>
      <w:lang w:val="en-US" w:eastAsia="zh-CN" w:bidi="ar-SA"/>
    </w:rPr>
  </w:style>
  <w:style w:type="paragraph" w:customStyle="1" w:styleId="2036">
    <w:name w:val="2级 标题"/>
    <w:basedOn w:val="4"/>
    <w:link w:val="2053"/>
    <w:qFormat/>
    <w:uiPriority w:val="0"/>
    <w:pPr>
      <w:tabs>
        <w:tab w:val="left" w:pos="567"/>
      </w:tabs>
      <w:spacing w:before="0" w:after="0" w:line="360" w:lineRule="auto"/>
    </w:pPr>
    <w:rPr>
      <w:rFonts w:ascii="Cambria" w:hAnsi="Cambria" w:eastAsia="宋体"/>
      <w:kern w:val="0"/>
      <w:sz w:val="30"/>
    </w:rPr>
  </w:style>
  <w:style w:type="character" w:customStyle="1" w:styleId="2037">
    <w:name w:val="Char Char395"/>
    <w:qFormat/>
    <w:uiPriority w:val="0"/>
    <w:rPr>
      <w:rFonts w:ascii="Times New Roman" w:hAnsi="Times New Roman" w:eastAsia="宋体" w:cs="Times New Roman"/>
      <w:sz w:val="18"/>
      <w:szCs w:val="18"/>
    </w:rPr>
  </w:style>
  <w:style w:type="character" w:customStyle="1" w:styleId="2038">
    <w:name w:val="页码1"/>
    <w:qFormat/>
    <w:uiPriority w:val="0"/>
  </w:style>
  <w:style w:type="character" w:customStyle="1" w:styleId="2039">
    <w:name w:val="正文＋黑体 Char Char"/>
    <w:qFormat/>
    <w:uiPriority w:val="0"/>
    <w:rPr>
      <w:rFonts w:ascii="Times New Roman" w:hAnsi="Times New Roman" w:eastAsia="黑体" w:cs="Times New Roman"/>
      <w:sz w:val="24"/>
      <w:szCs w:val="24"/>
    </w:rPr>
  </w:style>
  <w:style w:type="character" w:customStyle="1" w:styleId="2040">
    <w:name w:val="Char Char297"/>
    <w:qFormat/>
    <w:uiPriority w:val="0"/>
    <w:rPr>
      <w:rFonts w:eastAsia="宋体"/>
      <w:kern w:val="2"/>
      <w:sz w:val="21"/>
      <w:szCs w:val="24"/>
      <w:lang w:val="en-US" w:eastAsia="zh-CN" w:bidi="ar-SA"/>
    </w:rPr>
  </w:style>
  <w:style w:type="character" w:customStyle="1" w:styleId="2041">
    <w:name w:val="5表格标题 Char"/>
    <w:link w:val="2042"/>
    <w:qFormat/>
    <w:locked/>
    <w:uiPriority w:val="0"/>
    <w:rPr>
      <w:rFonts w:ascii="黑体" w:hAnsi="黑体" w:eastAsia="黑体"/>
      <w:color w:val="0070C0"/>
      <w:szCs w:val="21"/>
    </w:rPr>
  </w:style>
  <w:style w:type="paragraph" w:customStyle="1" w:styleId="2042">
    <w:name w:val="5表格标题"/>
    <w:basedOn w:val="1"/>
    <w:link w:val="2041"/>
    <w:qFormat/>
    <w:uiPriority w:val="0"/>
    <w:pPr>
      <w:spacing w:beforeLines="50"/>
      <w:jc w:val="center"/>
    </w:pPr>
    <w:rPr>
      <w:rFonts w:ascii="黑体" w:hAnsi="黑体" w:eastAsia="黑体"/>
      <w:color w:val="0070C0"/>
      <w:kern w:val="0"/>
      <w:sz w:val="20"/>
      <w:szCs w:val="21"/>
    </w:rPr>
  </w:style>
  <w:style w:type="character" w:customStyle="1" w:styleId="2043">
    <w:name w:val="表格标题 Char2"/>
    <w:qFormat/>
    <w:uiPriority w:val="0"/>
    <w:rPr>
      <w:rFonts w:eastAsia="宋体"/>
      <w:kern w:val="2"/>
      <w:sz w:val="21"/>
      <w:szCs w:val="24"/>
      <w:lang w:val="en-US" w:eastAsia="zh-CN" w:bidi="ar-SA"/>
    </w:rPr>
  </w:style>
  <w:style w:type="character" w:customStyle="1" w:styleId="2044">
    <w:name w:val="Default Char"/>
    <w:qFormat/>
    <w:uiPriority w:val="0"/>
    <w:rPr>
      <w:rFonts w:ascii="Sim Sun" w:hAnsi="Times New Roman" w:eastAsia="Sim Sun" w:cs="Sim Sun"/>
      <w:color w:val="000000"/>
      <w:sz w:val="24"/>
      <w:szCs w:val="24"/>
      <w:lang w:val="en-US" w:eastAsia="zh-CN" w:bidi="ar-SA"/>
    </w:rPr>
  </w:style>
  <w:style w:type="character" w:customStyle="1" w:styleId="2045">
    <w:name w:val="Char Char432"/>
    <w:qFormat/>
    <w:uiPriority w:val="0"/>
    <w:rPr>
      <w:rFonts w:ascii="宋体" w:eastAsia="宋体"/>
      <w:kern w:val="2"/>
      <w:sz w:val="18"/>
      <w:szCs w:val="18"/>
      <w:lang w:val="en-US" w:eastAsia="zh-CN" w:bidi="ar-SA"/>
    </w:rPr>
  </w:style>
  <w:style w:type="character" w:customStyle="1" w:styleId="2046">
    <w:name w:val="lan1"/>
    <w:qFormat/>
    <w:uiPriority w:val="0"/>
    <w:rPr>
      <w:rFonts w:hint="default" w:ascii="ˎ̥" w:hAnsi="ˎ̥"/>
      <w:b/>
      <w:bCs/>
      <w:color w:val="0136B8"/>
      <w:sz w:val="20"/>
      <w:szCs w:val="20"/>
    </w:rPr>
  </w:style>
  <w:style w:type="character" w:customStyle="1" w:styleId="2047">
    <w:name w:val="Char Char231"/>
    <w:qFormat/>
    <w:uiPriority w:val="0"/>
    <w:rPr>
      <w:rFonts w:ascii="宋体" w:hAnsi="宋体" w:eastAsia="宋体" w:cs="宋体"/>
      <w:sz w:val="24"/>
      <w:szCs w:val="24"/>
      <w:lang w:val="en-US" w:eastAsia="zh-CN" w:bidi="ar-SA"/>
    </w:rPr>
  </w:style>
  <w:style w:type="character" w:customStyle="1" w:styleId="2048">
    <w:name w:val="HTML 打字机1"/>
    <w:qFormat/>
    <w:uiPriority w:val="0"/>
    <w:rPr>
      <w:rFonts w:hint="default" w:ascii="Courier New"/>
    </w:rPr>
  </w:style>
  <w:style w:type="character" w:customStyle="1" w:styleId="2049">
    <w:name w:val="Char Char392"/>
    <w:semiHidden/>
    <w:qFormat/>
    <w:uiPriority w:val="0"/>
    <w:rPr>
      <w:rFonts w:ascii="Times New Roman" w:hAnsi="Times New Roman" w:eastAsia="宋体" w:cs="Times New Roman"/>
      <w:sz w:val="18"/>
      <w:szCs w:val="18"/>
    </w:rPr>
  </w:style>
  <w:style w:type="character" w:customStyle="1" w:styleId="2050">
    <w:name w:val="Char Char363"/>
    <w:qFormat/>
    <w:uiPriority w:val="0"/>
    <w:rPr>
      <w:rFonts w:ascii="Calibri" w:hAnsi="Calibri" w:eastAsia="宋体"/>
      <w:kern w:val="2"/>
      <w:sz w:val="24"/>
      <w:szCs w:val="22"/>
      <w:lang w:val="en-US" w:eastAsia="zh-CN" w:bidi="ar-SA"/>
    </w:rPr>
  </w:style>
  <w:style w:type="character" w:customStyle="1" w:styleId="2051">
    <w:name w:val="Char Char333"/>
    <w:qFormat/>
    <w:uiPriority w:val="0"/>
    <w:rPr>
      <w:rFonts w:eastAsia="仿宋_GB2312"/>
      <w:kern w:val="2"/>
      <w:sz w:val="32"/>
      <w:szCs w:val="24"/>
      <w:lang w:val="en-US" w:eastAsia="zh-CN" w:bidi="ar-SA"/>
    </w:rPr>
  </w:style>
  <w:style w:type="character" w:customStyle="1" w:styleId="2052">
    <w:name w:val="Char Char435"/>
    <w:qFormat/>
    <w:uiPriority w:val="0"/>
    <w:rPr>
      <w:rFonts w:ascii="楷体_GB2312" w:eastAsia="楷体_GB2312"/>
      <w:kern w:val="2"/>
      <w:sz w:val="28"/>
      <w:lang w:val="en-US" w:eastAsia="zh-CN" w:bidi="ar-SA"/>
    </w:rPr>
  </w:style>
  <w:style w:type="character" w:customStyle="1" w:styleId="2053">
    <w:name w:val="2级 标题 Char"/>
    <w:link w:val="2036"/>
    <w:qFormat/>
    <w:locked/>
    <w:uiPriority w:val="0"/>
    <w:rPr>
      <w:rFonts w:ascii="Cambria" w:hAnsi="Cambria"/>
      <w:b/>
      <w:bCs/>
      <w:sz w:val="30"/>
      <w:szCs w:val="32"/>
    </w:rPr>
  </w:style>
  <w:style w:type="character" w:customStyle="1" w:styleId="2054">
    <w:name w:val="德胜表格内容 Char"/>
    <w:link w:val="2055"/>
    <w:qFormat/>
    <w:uiPriority w:val="0"/>
    <w:rPr>
      <w:snapToGrid w:val="0"/>
      <w:color w:val="0000FF"/>
      <w:szCs w:val="21"/>
    </w:rPr>
  </w:style>
  <w:style w:type="paragraph" w:customStyle="1" w:styleId="2055">
    <w:name w:val="德胜表格内容"/>
    <w:basedOn w:val="1"/>
    <w:link w:val="2054"/>
    <w:qFormat/>
    <w:uiPriority w:val="0"/>
    <w:pPr>
      <w:adjustRightInd w:val="0"/>
      <w:snapToGrid w:val="0"/>
      <w:jc w:val="center"/>
    </w:pPr>
    <w:rPr>
      <w:snapToGrid w:val="0"/>
      <w:color w:val="0000FF"/>
      <w:kern w:val="0"/>
      <w:sz w:val="20"/>
      <w:szCs w:val="21"/>
    </w:rPr>
  </w:style>
  <w:style w:type="character" w:customStyle="1" w:styleId="2056">
    <w:name w:val="goog_qs-tidbit goog_qs-tidbit-1"/>
    <w:qFormat/>
    <w:uiPriority w:val="0"/>
  </w:style>
  <w:style w:type="character" w:customStyle="1" w:styleId="2057">
    <w:name w:val="Char Char376"/>
    <w:qFormat/>
    <w:uiPriority w:val="0"/>
    <w:rPr>
      <w:rFonts w:ascii="Calibri" w:hAnsi="Calibri" w:eastAsia="宋体"/>
      <w:kern w:val="2"/>
      <w:sz w:val="18"/>
      <w:szCs w:val="18"/>
      <w:lang w:val="en-US" w:eastAsia="zh-CN" w:bidi="ar-SA"/>
    </w:rPr>
  </w:style>
  <w:style w:type="character" w:customStyle="1" w:styleId="2058">
    <w:name w:val="zzw Char"/>
    <w:qFormat/>
    <w:uiPriority w:val="0"/>
    <w:rPr>
      <w:rFonts w:ascii="Times New Roman" w:hAnsi="Times New Roman"/>
      <w:color w:val="000000"/>
      <w:sz w:val="24"/>
      <w:szCs w:val="24"/>
    </w:rPr>
  </w:style>
  <w:style w:type="character" w:customStyle="1" w:styleId="2059">
    <w:name w:val="hb2 Char Char Char"/>
    <w:qFormat/>
    <w:uiPriority w:val="0"/>
    <w:rPr>
      <w:rFonts w:ascii="宋体" w:eastAsia="宋体" w:cs="Arial"/>
      <w:b/>
      <w:bCs/>
      <w:kern w:val="2"/>
      <w:sz w:val="28"/>
      <w:szCs w:val="28"/>
      <w:lang w:val="en-US" w:eastAsia="zh-CN" w:bidi="ar-SA"/>
    </w:rPr>
  </w:style>
  <w:style w:type="character" w:customStyle="1" w:styleId="2060">
    <w:name w:val="Char Char691"/>
    <w:qFormat/>
    <w:uiPriority w:val="0"/>
    <w:rPr>
      <w:rFonts w:ascii="宋体" w:hAnsi="宋体" w:eastAsia="宋体" w:cs="宋体"/>
      <w:kern w:val="0"/>
      <w:sz w:val="24"/>
      <w:szCs w:val="24"/>
    </w:rPr>
  </w:style>
  <w:style w:type="character" w:customStyle="1" w:styleId="2061">
    <w:name w:val="14black"/>
    <w:qFormat/>
    <w:uiPriority w:val="0"/>
  </w:style>
  <w:style w:type="character" w:customStyle="1" w:styleId="2062">
    <w:name w:val="文档结构图 字符1"/>
    <w:qFormat/>
    <w:uiPriority w:val="99"/>
    <w:rPr>
      <w:rFonts w:eastAsia="宋体"/>
      <w:szCs w:val="24"/>
      <w:shd w:val="clear" w:color="auto" w:fill="000080"/>
    </w:rPr>
  </w:style>
  <w:style w:type="character" w:customStyle="1" w:styleId="2063">
    <w:name w:val="表格标题 Char1"/>
    <w:qFormat/>
    <w:uiPriority w:val="0"/>
    <w:rPr>
      <w:rFonts w:eastAsia="宋体"/>
      <w:kern w:val="2"/>
      <w:sz w:val="21"/>
      <w:lang w:val="en-US" w:eastAsia="zh-CN"/>
    </w:rPr>
  </w:style>
  <w:style w:type="character" w:customStyle="1" w:styleId="2064">
    <w:name w:val="标题 2 Char Char Char Char Char2"/>
    <w:qFormat/>
    <w:uiPriority w:val="0"/>
    <w:rPr>
      <w:rFonts w:hint="default" w:ascii="Arial" w:hAnsi="Arial" w:eastAsia="宋体" w:cs="Arial"/>
      <w:b/>
      <w:snapToGrid/>
      <w:sz w:val="32"/>
      <w:szCs w:val="32"/>
      <w:lang w:val="en-US" w:eastAsia="zh-CN" w:bidi="ar-SA"/>
    </w:rPr>
  </w:style>
  <w:style w:type="character" w:customStyle="1" w:styleId="2065">
    <w:name w:val="6图 Char"/>
    <w:link w:val="2066"/>
    <w:qFormat/>
    <w:locked/>
    <w:uiPriority w:val="0"/>
    <w:rPr>
      <w:b/>
      <w:color w:val="7030A0"/>
      <w:szCs w:val="21"/>
    </w:rPr>
  </w:style>
  <w:style w:type="paragraph" w:customStyle="1" w:styleId="2066">
    <w:name w:val="6图"/>
    <w:basedOn w:val="1"/>
    <w:link w:val="2065"/>
    <w:qFormat/>
    <w:uiPriority w:val="0"/>
    <w:pPr>
      <w:spacing w:line="360" w:lineRule="auto"/>
      <w:jc w:val="center"/>
    </w:pPr>
    <w:rPr>
      <w:b/>
      <w:color w:val="7030A0"/>
      <w:kern w:val="0"/>
      <w:sz w:val="20"/>
      <w:szCs w:val="21"/>
    </w:rPr>
  </w:style>
  <w:style w:type="character" w:customStyle="1" w:styleId="2067">
    <w:name w:val="f_heading1"/>
    <w:qFormat/>
    <w:uiPriority w:val="0"/>
    <w:rPr>
      <w:rFonts w:hint="default"/>
    </w:rPr>
  </w:style>
  <w:style w:type="character" w:customStyle="1" w:styleId="2068">
    <w:name w:val="Char Char50"/>
    <w:qFormat/>
    <w:uiPriority w:val="0"/>
    <w:rPr>
      <w:rFonts w:eastAsia="宋体"/>
      <w:bCs/>
      <w:kern w:val="2"/>
      <w:sz w:val="24"/>
      <w:szCs w:val="24"/>
      <w:lang w:val="en-US" w:eastAsia="zh-CN" w:bidi="ar-SA"/>
    </w:rPr>
  </w:style>
  <w:style w:type="character" w:customStyle="1" w:styleId="2069">
    <w:name w:val="样式12 Char"/>
    <w:link w:val="775"/>
    <w:qFormat/>
    <w:uiPriority w:val="0"/>
    <w:rPr>
      <w:rFonts w:ascii="仿宋_GB2312" w:hAnsi="宋体" w:eastAsia="仿宋_GB2312"/>
      <w:b/>
      <w:color w:val="FF0000"/>
      <w:kern w:val="2"/>
      <w:sz w:val="21"/>
      <w:szCs w:val="30"/>
    </w:rPr>
  </w:style>
  <w:style w:type="character" w:customStyle="1" w:styleId="2070">
    <w:name w:val="bds_more3"/>
    <w:qFormat/>
    <w:uiPriority w:val="0"/>
    <w:rPr>
      <w:rFonts w:hint="eastAsia" w:ascii="宋体" w:hAnsi="宋体" w:eastAsia="宋体" w:cs="宋体"/>
    </w:rPr>
  </w:style>
  <w:style w:type="character" w:customStyle="1" w:styleId="2071">
    <w:name w:val="Char Char196"/>
    <w:qFormat/>
    <w:uiPriority w:val="0"/>
    <w:rPr>
      <w:rFonts w:ascii="Times New Roman" w:hAnsi="Times New Roman" w:eastAsia="宋体" w:cs="Times New Roman"/>
      <w:b/>
      <w:bCs/>
      <w:sz w:val="28"/>
      <w:szCs w:val="28"/>
    </w:rPr>
  </w:style>
  <w:style w:type="character" w:customStyle="1" w:styleId="2072">
    <w:name w:val="Char Char135"/>
    <w:qFormat/>
    <w:uiPriority w:val="0"/>
    <w:rPr>
      <w:rFonts w:ascii="Arial" w:hAnsi="Arial" w:eastAsia="黑体" w:cs="Times New Roman"/>
      <w:sz w:val="24"/>
      <w:szCs w:val="24"/>
    </w:rPr>
  </w:style>
  <w:style w:type="character" w:customStyle="1" w:styleId="2073">
    <w:name w:val="t11"/>
    <w:qFormat/>
    <w:uiPriority w:val="0"/>
    <w:rPr>
      <w:b/>
      <w:bCs/>
      <w:sz w:val="24"/>
      <w:szCs w:val="24"/>
      <w:shd w:val="clear" w:color="auto" w:fill="FFFFFF"/>
    </w:rPr>
  </w:style>
  <w:style w:type="character" w:customStyle="1" w:styleId="2074">
    <w:name w:val="Char Char262"/>
    <w:qFormat/>
    <w:uiPriority w:val="0"/>
    <w:rPr>
      <w:rFonts w:eastAsia="宋体"/>
      <w:kern w:val="2"/>
      <w:sz w:val="18"/>
      <w:szCs w:val="18"/>
      <w:lang w:val="en-US" w:eastAsia="zh-CN" w:bidi="ar-SA"/>
    </w:rPr>
  </w:style>
  <w:style w:type="character" w:customStyle="1" w:styleId="2075">
    <w:name w:val="桑日选厂正文 Char"/>
    <w:link w:val="2076"/>
    <w:qFormat/>
    <w:uiPriority w:val="0"/>
    <w:rPr>
      <w:sz w:val="24"/>
      <w:szCs w:val="24"/>
    </w:rPr>
  </w:style>
  <w:style w:type="paragraph" w:customStyle="1" w:styleId="2076">
    <w:name w:val="桑日选厂正文"/>
    <w:basedOn w:val="1"/>
    <w:link w:val="2075"/>
    <w:qFormat/>
    <w:uiPriority w:val="0"/>
    <w:pPr>
      <w:spacing w:line="360" w:lineRule="auto"/>
      <w:ind w:firstLine="200" w:firstLineChars="200"/>
    </w:pPr>
    <w:rPr>
      <w:kern w:val="0"/>
      <w:sz w:val="24"/>
    </w:rPr>
  </w:style>
  <w:style w:type="character" w:customStyle="1" w:styleId="2077">
    <w:name w:val="1级标题 Char"/>
    <w:link w:val="2078"/>
    <w:qFormat/>
    <w:uiPriority w:val="0"/>
    <w:rPr>
      <w:rFonts w:eastAsia="黑体"/>
      <w:bCs/>
      <w:kern w:val="44"/>
      <w:sz w:val="32"/>
      <w:szCs w:val="30"/>
    </w:rPr>
  </w:style>
  <w:style w:type="paragraph" w:customStyle="1" w:styleId="2078">
    <w:name w:val="1级标题"/>
    <w:basedOn w:val="3"/>
    <w:link w:val="2077"/>
    <w:qFormat/>
    <w:uiPriority w:val="0"/>
    <w:pPr>
      <w:keepNext w:val="0"/>
      <w:keepLines w:val="0"/>
      <w:adjustRightInd w:val="0"/>
      <w:snapToGrid w:val="0"/>
      <w:spacing w:before="0" w:after="0" w:line="360" w:lineRule="auto"/>
    </w:pPr>
    <w:rPr>
      <w:rFonts w:eastAsia="黑体"/>
      <w:b w:val="0"/>
      <w:sz w:val="32"/>
      <w:szCs w:val="30"/>
    </w:rPr>
  </w:style>
  <w:style w:type="character" w:customStyle="1" w:styleId="2079">
    <w:name w:val="z-窗体顶端 Char"/>
    <w:link w:val="1393"/>
    <w:qFormat/>
    <w:uiPriority w:val="99"/>
    <w:rPr>
      <w:rFonts w:ascii="Arial" w:hAnsi="Arial" w:cs="黑体"/>
      <w:vanish/>
      <w:color w:val="000000"/>
      <w:spacing w:val="6"/>
      <w:kern w:val="2"/>
      <w:sz w:val="16"/>
      <w:szCs w:val="22"/>
    </w:rPr>
  </w:style>
  <w:style w:type="character" w:customStyle="1" w:styleId="2080">
    <w:name w:val="bds_nopic"/>
    <w:qFormat/>
    <w:uiPriority w:val="0"/>
  </w:style>
  <w:style w:type="character" w:customStyle="1" w:styleId="2081">
    <w:name w:val="test Char"/>
    <w:qFormat/>
    <w:uiPriority w:val="0"/>
    <w:rPr>
      <w:rFonts w:ascii="宋体" w:hAnsi="宋体" w:eastAsia="宋体"/>
      <w:sz w:val="24"/>
      <w:szCs w:val="24"/>
    </w:rPr>
  </w:style>
  <w:style w:type="character" w:customStyle="1" w:styleId="2082">
    <w:name w:val="Char Char561"/>
    <w:qFormat/>
    <w:uiPriority w:val="0"/>
    <w:rPr>
      <w:rFonts w:ascii="Arial" w:hAnsi="Arial" w:eastAsia="宋体" w:cs="Times New Roman"/>
      <w:snapToGrid/>
      <w:sz w:val="28"/>
      <w:szCs w:val="20"/>
    </w:rPr>
  </w:style>
  <w:style w:type="character" w:customStyle="1" w:styleId="2083">
    <w:name w:val="xl26 Char Char Char"/>
    <w:qFormat/>
    <w:uiPriority w:val="0"/>
    <w:rPr>
      <w:rFonts w:ascii="Times New Roman" w:hAnsi="Times New Roman"/>
      <w:sz w:val="21"/>
    </w:rPr>
  </w:style>
  <w:style w:type="character" w:customStyle="1" w:styleId="2084">
    <w:name w:val="表内字 Char Char"/>
    <w:link w:val="977"/>
    <w:qFormat/>
    <w:uiPriority w:val="0"/>
    <w:rPr>
      <w:rFonts w:ascii="Arial" w:hAnsi="Arial" w:eastAsia="楷体_GB2312"/>
      <w:sz w:val="21"/>
    </w:rPr>
  </w:style>
  <w:style w:type="character" w:customStyle="1" w:styleId="2085">
    <w:name w:val="干标题(a) Char4"/>
    <w:qFormat/>
    <w:uiPriority w:val="0"/>
    <w:rPr>
      <w:rFonts w:ascii="Arial" w:hAnsi="Arial" w:eastAsia="黑体"/>
      <w:sz w:val="21"/>
      <w:szCs w:val="21"/>
      <w:lang w:val="en-US" w:eastAsia="zh-CN" w:bidi="ar-SA"/>
    </w:rPr>
  </w:style>
  <w:style w:type="character" w:customStyle="1" w:styleId="2086">
    <w:name w:val="Char Char2421"/>
    <w:qFormat/>
    <w:uiPriority w:val="0"/>
    <w:rPr>
      <w:rFonts w:ascii="楷体_GB2312" w:eastAsia="楷体_GB2312"/>
      <w:kern w:val="2"/>
      <w:sz w:val="28"/>
      <w:lang w:val="en-US" w:eastAsia="zh-CN" w:bidi="ar-SA"/>
    </w:rPr>
  </w:style>
  <w:style w:type="character" w:customStyle="1" w:styleId="2087">
    <w:name w:val="Char Char623"/>
    <w:qFormat/>
    <w:uiPriority w:val="0"/>
    <w:rPr>
      <w:rFonts w:ascii="Cambria" w:hAnsi="Cambria" w:eastAsia="宋体" w:cs="Times New Roman"/>
      <w:b/>
      <w:bCs/>
      <w:kern w:val="0"/>
      <w:sz w:val="32"/>
      <w:szCs w:val="32"/>
    </w:rPr>
  </w:style>
  <w:style w:type="character" w:customStyle="1" w:styleId="2088">
    <w:name w:val="样式22 Char"/>
    <w:link w:val="2089"/>
    <w:qFormat/>
    <w:uiPriority w:val="0"/>
    <w:rPr>
      <w:rFonts w:ascii="黑体" w:hAnsi="华文中宋" w:eastAsia="黑体"/>
      <w:sz w:val="24"/>
      <w:szCs w:val="24"/>
      <w:lang w:val="zh-CN"/>
    </w:rPr>
  </w:style>
  <w:style w:type="paragraph" w:customStyle="1" w:styleId="2089">
    <w:name w:val="样式22"/>
    <w:basedOn w:val="858"/>
    <w:link w:val="2088"/>
    <w:qFormat/>
    <w:uiPriority w:val="0"/>
    <w:pPr>
      <w:adjustRightInd/>
      <w:spacing w:line="240" w:lineRule="auto"/>
      <w:ind w:firstLine="412" w:firstLineChars="0"/>
      <w:jc w:val="center"/>
      <w:textAlignment w:val="auto"/>
    </w:pPr>
    <w:rPr>
      <w:rFonts w:ascii="黑体" w:hAnsi="华文中宋" w:eastAsia="黑体"/>
      <w:color w:val="auto"/>
      <w:kern w:val="0"/>
      <w:sz w:val="24"/>
      <w:szCs w:val="24"/>
      <w:lang w:val="zh-CN"/>
    </w:rPr>
  </w:style>
  <w:style w:type="character" w:customStyle="1" w:styleId="2090">
    <w:name w:val="样式 宋体 小四 Char"/>
    <w:qFormat/>
    <w:uiPriority w:val="0"/>
    <w:rPr>
      <w:rFonts w:hint="eastAsia" w:ascii="宋体" w:hAnsi="宋体" w:eastAsia="仿宋_GB2312" w:cs="宋体"/>
      <w:kern w:val="2"/>
      <w:sz w:val="24"/>
      <w:szCs w:val="24"/>
      <w:lang w:val="zh-CN" w:eastAsia="zh-CN" w:bidi="ar-SA"/>
    </w:rPr>
  </w:style>
  <w:style w:type="character" w:customStyle="1" w:styleId="2091">
    <w:name w:val="表格 Char Char Char"/>
    <w:qFormat/>
    <w:uiPriority w:val="0"/>
    <w:rPr>
      <w:rFonts w:ascii="Times New Roman" w:hAnsi="Times New Roman" w:cs="宋体"/>
      <w:kern w:val="2"/>
      <w:sz w:val="21"/>
    </w:rPr>
  </w:style>
  <w:style w:type="character" w:customStyle="1" w:styleId="2092">
    <w:name w:val="标题 4 Char1"/>
    <w:qFormat/>
    <w:uiPriority w:val="0"/>
    <w:rPr>
      <w:rFonts w:ascii="黑体" w:eastAsia="黑体"/>
      <w:b/>
      <w:kern w:val="2"/>
      <w:sz w:val="24"/>
      <w:szCs w:val="24"/>
      <w:lang w:val="en-US" w:eastAsia="zh-CN" w:bidi="ar-SA"/>
    </w:rPr>
  </w:style>
  <w:style w:type="character" w:customStyle="1" w:styleId="2093">
    <w:name w:val="11111 Char"/>
    <w:link w:val="2094"/>
    <w:qFormat/>
    <w:uiPriority w:val="0"/>
    <w:rPr>
      <w:rFonts w:ascii="宋体" w:hAnsi="宋体"/>
      <w:sz w:val="24"/>
    </w:rPr>
  </w:style>
  <w:style w:type="paragraph" w:customStyle="1" w:styleId="2094">
    <w:name w:val="11111"/>
    <w:link w:val="2093"/>
    <w:qFormat/>
    <w:uiPriority w:val="0"/>
    <w:pPr>
      <w:spacing w:line="500" w:lineRule="exact"/>
      <w:ind w:firstLine="200" w:firstLineChars="200"/>
    </w:pPr>
    <w:rPr>
      <w:rFonts w:ascii="Times New Roman" w:hAnsi="Times New Roman" w:eastAsia="宋体" w:cs="Times New Roman"/>
      <w:sz w:val="24"/>
      <w:lang w:val="en-US" w:eastAsia="zh-CN" w:bidi="ar-SA"/>
    </w:rPr>
  </w:style>
  <w:style w:type="paragraph" w:customStyle="1" w:styleId="2095">
    <w:name w:val="正文文本缩进 31"/>
    <w:basedOn w:val="1"/>
    <w:qFormat/>
    <w:uiPriority w:val="0"/>
    <w:pPr>
      <w:spacing w:after="120"/>
      <w:ind w:left="420" w:leftChars="200"/>
    </w:pPr>
    <w:rPr>
      <w:rFonts w:ascii="宋体" w:hAnsi="宋体"/>
      <w:sz w:val="16"/>
      <w:szCs w:val="20"/>
    </w:rPr>
  </w:style>
  <w:style w:type="character" w:customStyle="1" w:styleId="2096">
    <w:name w:val="Char Char571"/>
    <w:qFormat/>
    <w:uiPriority w:val="0"/>
    <w:rPr>
      <w:rFonts w:ascii="Arial" w:hAnsi="Arial" w:eastAsia="宋体" w:cs="Arial"/>
      <w:sz w:val="24"/>
      <w:szCs w:val="24"/>
      <w:shd w:val="pct20" w:color="auto" w:fill="auto"/>
    </w:rPr>
  </w:style>
  <w:style w:type="character" w:customStyle="1" w:styleId="2097">
    <w:name w:val="Font Style348"/>
    <w:qFormat/>
    <w:uiPriority w:val="0"/>
    <w:rPr>
      <w:rFonts w:ascii="宋体" w:eastAsia="宋体" w:cs="宋体"/>
      <w:sz w:val="14"/>
      <w:szCs w:val="14"/>
    </w:rPr>
  </w:style>
  <w:style w:type="character" w:customStyle="1" w:styleId="2098">
    <w:name w:val="表头1 Char Char Char"/>
    <w:qFormat/>
    <w:uiPriority w:val="0"/>
    <w:rPr>
      <w:rFonts w:eastAsia="黑体"/>
      <w:sz w:val="21"/>
    </w:rPr>
  </w:style>
  <w:style w:type="character" w:customStyle="1" w:styleId="2099">
    <w:name w:val="ft42"/>
    <w:qFormat/>
    <w:uiPriority w:val="0"/>
    <w:rPr>
      <w:rFonts w:hint="default" w:ascii="Times" w:hAnsi="Times" w:cs="Times"/>
      <w:color w:val="000000"/>
      <w:sz w:val="27"/>
      <w:szCs w:val="27"/>
    </w:rPr>
  </w:style>
  <w:style w:type="character" w:customStyle="1" w:styleId="2100">
    <w:name w:val="正文文本缩进 Char3"/>
    <w:qFormat/>
    <w:uiPriority w:val="0"/>
    <w:rPr>
      <w:rFonts w:ascii="Times New Roman" w:hAnsi="Times New Roman"/>
      <w:kern w:val="2"/>
      <w:sz w:val="21"/>
      <w:szCs w:val="24"/>
    </w:rPr>
  </w:style>
  <w:style w:type="character" w:customStyle="1" w:styleId="2101">
    <w:name w:val="结束语 Char2"/>
    <w:qFormat/>
    <w:locked/>
    <w:uiPriority w:val="0"/>
    <w:rPr>
      <w:rFonts w:ascii="Times New Roman" w:hAnsi="Times New Roman" w:eastAsia="宋体" w:cs="Times New Roman"/>
      <w:szCs w:val="24"/>
    </w:rPr>
  </w:style>
  <w:style w:type="character" w:customStyle="1" w:styleId="2102">
    <w:name w:val="Char Char165"/>
    <w:qFormat/>
    <w:uiPriority w:val="0"/>
    <w:rPr>
      <w:rFonts w:ascii="Arial" w:hAnsi="Arial" w:eastAsia="黑体" w:cs="Times New Roman"/>
      <w:sz w:val="24"/>
      <w:szCs w:val="24"/>
    </w:rPr>
  </w:style>
  <w:style w:type="character" w:customStyle="1" w:styleId="2103">
    <w:name w:val="unnamed31"/>
    <w:qFormat/>
    <w:uiPriority w:val="0"/>
    <w:rPr>
      <w:sz w:val="18"/>
      <w:szCs w:val="18"/>
    </w:rPr>
  </w:style>
  <w:style w:type="character" w:customStyle="1" w:styleId="2104">
    <w:name w:val="Char Char713"/>
    <w:qFormat/>
    <w:uiPriority w:val="0"/>
    <w:rPr>
      <w:rFonts w:ascii="Calibri" w:hAnsi="Calibri" w:eastAsia="宋体" w:cs="Times New Roman"/>
      <w:kern w:val="0"/>
      <w:sz w:val="18"/>
      <w:szCs w:val="18"/>
    </w:rPr>
  </w:style>
  <w:style w:type="character" w:customStyle="1" w:styleId="2105">
    <w:name w:val="b"/>
    <w:qFormat/>
    <w:uiPriority w:val="0"/>
  </w:style>
  <w:style w:type="character" w:customStyle="1" w:styleId="2106">
    <w:name w:val="ng-binding"/>
    <w:qFormat/>
    <w:uiPriority w:val="0"/>
  </w:style>
  <w:style w:type="character" w:customStyle="1" w:styleId="2107">
    <w:name w:val="正文文本首行缩进 字符1"/>
    <w:qFormat/>
    <w:uiPriority w:val="99"/>
    <w:rPr>
      <w:rFonts w:ascii="Calibri" w:hAnsi="Calibri" w:eastAsia="宋体"/>
    </w:rPr>
  </w:style>
  <w:style w:type="character" w:customStyle="1" w:styleId="2108">
    <w:name w:val="HTML 代码11"/>
    <w:qFormat/>
    <w:uiPriority w:val="0"/>
    <w:rPr>
      <w:rFonts w:hint="default" w:ascii="Courier New"/>
    </w:rPr>
  </w:style>
  <w:style w:type="character" w:customStyle="1" w:styleId="2109">
    <w:name w:val="fs"/>
    <w:qFormat/>
    <w:uiPriority w:val="0"/>
  </w:style>
  <w:style w:type="character" w:customStyle="1" w:styleId="2110">
    <w:name w:val="wenzi1"/>
    <w:qFormat/>
    <w:uiPriority w:val="0"/>
    <w:rPr>
      <w:rFonts w:hint="default" w:ascii="ˎ̥" w:hAnsi="ˎ̥"/>
      <w:color w:val="666666"/>
      <w:sz w:val="18"/>
      <w:szCs w:val="18"/>
      <w:u w:val="none"/>
    </w:rPr>
  </w:style>
  <w:style w:type="character" w:customStyle="1" w:styleId="2111">
    <w:name w:val="123YJ Char Char9"/>
    <w:qFormat/>
    <w:uiPriority w:val="0"/>
    <w:rPr>
      <w:rFonts w:cs="黑体"/>
      <w:szCs w:val="18"/>
    </w:rPr>
  </w:style>
  <w:style w:type="character" w:customStyle="1" w:styleId="2112">
    <w:name w:val="Char Char283"/>
    <w:qFormat/>
    <w:uiPriority w:val="0"/>
    <w:rPr>
      <w:rFonts w:ascii="Times New Roman" w:hAnsi="Times New Roman" w:eastAsia="宋体" w:cs="Times New Roman"/>
      <w:szCs w:val="24"/>
      <w:shd w:val="clear" w:color="auto" w:fill="000080"/>
    </w:rPr>
  </w:style>
  <w:style w:type="character" w:customStyle="1" w:styleId="2113">
    <w:name w:val="正文首行缩进 2 Char2"/>
    <w:qFormat/>
    <w:locked/>
    <w:uiPriority w:val="0"/>
    <w:rPr>
      <w:rFonts w:ascii="Arial" w:hAnsi="Arial" w:eastAsia="宋体" w:cs="Times New Roman"/>
      <w:kern w:val="0"/>
      <w:sz w:val="28"/>
      <w:szCs w:val="20"/>
    </w:rPr>
  </w:style>
  <w:style w:type="character" w:customStyle="1" w:styleId="2114">
    <w:name w:val="第四层条 Char Char"/>
    <w:qFormat/>
    <w:uiPriority w:val="0"/>
    <w:rPr>
      <w:rFonts w:eastAsia="宋体"/>
      <w:b/>
      <w:bCs/>
      <w:kern w:val="2"/>
      <w:sz w:val="28"/>
      <w:szCs w:val="28"/>
      <w:lang w:val="en-US" w:eastAsia="zh-CN" w:bidi="ar-SA"/>
    </w:rPr>
  </w:style>
  <w:style w:type="character" w:customStyle="1" w:styleId="2115">
    <w:name w:val="Char Char181"/>
    <w:qFormat/>
    <w:uiPriority w:val="0"/>
    <w:rPr>
      <w:rFonts w:ascii="Arial" w:hAnsi="Arial" w:eastAsia="黑体" w:cs="Times New Roman"/>
      <w:b/>
      <w:bCs/>
      <w:sz w:val="24"/>
      <w:szCs w:val="24"/>
    </w:rPr>
  </w:style>
  <w:style w:type="character" w:customStyle="1" w:styleId="2116">
    <w:name w:val="HTML 键盘11"/>
    <w:qFormat/>
    <w:uiPriority w:val="0"/>
    <w:rPr>
      <w:rFonts w:hint="default" w:ascii="Courier New"/>
    </w:rPr>
  </w:style>
  <w:style w:type="character" w:customStyle="1" w:styleId="2117">
    <w:name w:val="Char Char632"/>
    <w:qFormat/>
    <w:uiPriority w:val="0"/>
    <w:rPr>
      <w:rFonts w:ascii="Times New Roman" w:hAnsi="Times New Roman" w:eastAsia="宋体" w:cs="Times New Roman"/>
      <w:i/>
      <w:iCs/>
      <w:szCs w:val="24"/>
    </w:rPr>
  </w:style>
  <w:style w:type="character" w:customStyle="1" w:styleId="2118">
    <w:name w:val="样式 表内容 + (符号) 华文仿宋 Char"/>
    <w:link w:val="2119"/>
    <w:qFormat/>
    <w:uiPriority w:val="0"/>
    <w:rPr>
      <w:rFonts w:eastAsia="华文仿宋"/>
      <w:szCs w:val="24"/>
    </w:rPr>
  </w:style>
  <w:style w:type="paragraph" w:customStyle="1" w:styleId="2119">
    <w:name w:val="样式 表内容 + (符号) 华文仿宋"/>
    <w:basedOn w:val="1230"/>
    <w:link w:val="2118"/>
    <w:qFormat/>
    <w:uiPriority w:val="0"/>
    <w:pPr>
      <w:spacing w:line="240" w:lineRule="auto"/>
    </w:pPr>
    <w:rPr>
      <w:rFonts w:eastAsia="华文仿宋" w:cs="Times New Roman"/>
      <w:color w:val="auto"/>
      <w:kern w:val="0"/>
      <w:sz w:val="20"/>
      <w:szCs w:val="24"/>
    </w:rPr>
  </w:style>
  <w:style w:type="character" w:customStyle="1" w:styleId="2120">
    <w:name w:val="Chapter Title Char Char"/>
    <w:qFormat/>
    <w:uiPriority w:val="0"/>
    <w:rPr>
      <w:rFonts w:ascii="Times New Roman" w:hAnsi="Times New Roman"/>
      <w:b/>
      <w:bCs/>
      <w:iCs/>
      <w:sz w:val="30"/>
      <w:szCs w:val="26"/>
      <w:lang w:bidi="en-US"/>
    </w:rPr>
  </w:style>
  <w:style w:type="character" w:customStyle="1" w:styleId="2121">
    <w:name w:val="Char Char415"/>
    <w:qFormat/>
    <w:uiPriority w:val="0"/>
    <w:rPr>
      <w:rFonts w:eastAsia="宋体"/>
      <w:kern w:val="2"/>
      <w:sz w:val="21"/>
      <w:lang w:val="en-US" w:eastAsia="zh-CN" w:bidi="ar-SA"/>
    </w:rPr>
  </w:style>
  <w:style w:type="character" w:customStyle="1" w:styleId="2122">
    <w:name w:val="8.7 Char"/>
    <w:link w:val="2123"/>
    <w:qFormat/>
    <w:uiPriority w:val="0"/>
    <w:rPr>
      <w:rFonts w:ascii="宋体"/>
      <w:b/>
      <w:bCs/>
      <w:color w:val="000080"/>
      <w:sz w:val="28"/>
      <w:szCs w:val="28"/>
    </w:rPr>
  </w:style>
  <w:style w:type="paragraph" w:customStyle="1" w:styleId="2123">
    <w:name w:val="8.7"/>
    <w:basedOn w:val="4"/>
    <w:link w:val="2122"/>
    <w:qFormat/>
    <w:uiPriority w:val="0"/>
    <w:pPr>
      <w:spacing w:before="0" w:after="0" w:line="500" w:lineRule="exact"/>
    </w:pPr>
    <w:rPr>
      <w:rFonts w:ascii="宋体" w:hAnsi="Times New Roman" w:eastAsia="宋体"/>
      <w:color w:val="000080"/>
      <w:kern w:val="0"/>
      <w:sz w:val="28"/>
      <w:szCs w:val="28"/>
    </w:rPr>
  </w:style>
  <w:style w:type="character" w:customStyle="1" w:styleId="2124">
    <w:name w:val="标题 4 Char Char1"/>
    <w:qFormat/>
    <w:uiPriority w:val="0"/>
    <w:rPr>
      <w:rFonts w:eastAsia="黑体"/>
      <w:bCs/>
      <w:kern w:val="2"/>
      <w:sz w:val="24"/>
      <w:szCs w:val="24"/>
      <w:lang w:val="en-US" w:eastAsia="zh-CN" w:bidi="ar-SA"/>
    </w:rPr>
  </w:style>
  <w:style w:type="character" w:customStyle="1" w:styleId="2125">
    <w:name w:val="Char Char2621"/>
    <w:qFormat/>
    <w:uiPriority w:val="0"/>
    <w:rPr>
      <w:rFonts w:eastAsia="宋体"/>
      <w:kern w:val="2"/>
      <w:sz w:val="18"/>
      <w:szCs w:val="18"/>
      <w:lang w:val="en-US" w:eastAsia="zh-CN" w:bidi="ar-SA"/>
    </w:rPr>
  </w:style>
  <w:style w:type="character" w:customStyle="1" w:styleId="2126">
    <w:name w:val="标题 3 Char3"/>
    <w:qFormat/>
    <w:uiPriority w:val="0"/>
    <w:rPr>
      <w:rFonts w:ascii="黑体" w:hAnsi="Times New Roman" w:eastAsia="黑体" w:cs="Times New Roman"/>
      <w:sz w:val="28"/>
      <w:szCs w:val="32"/>
    </w:rPr>
  </w:style>
  <w:style w:type="character" w:customStyle="1" w:styleId="2127">
    <w:name w:val="样式 首行缩进:  2 字符 Char Char"/>
    <w:qFormat/>
    <w:uiPriority w:val="0"/>
    <w:rPr>
      <w:rFonts w:cs="宋体"/>
      <w:sz w:val="24"/>
    </w:rPr>
  </w:style>
  <w:style w:type="character" w:customStyle="1" w:styleId="2128">
    <w:name w:val="1级标题 Char Char Char"/>
    <w:qFormat/>
    <w:uiPriority w:val="0"/>
    <w:rPr>
      <w:rFonts w:ascii="Times New Roman" w:hAnsi="Times New Roman"/>
      <w:b/>
      <w:bCs/>
      <w:sz w:val="44"/>
      <w:szCs w:val="44"/>
    </w:rPr>
  </w:style>
  <w:style w:type="character" w:customStyle="1" w:styleId="2129">
    <w:name w:val="Char Char71"/>
    <w:qFormat/>
    <w:uiPriority w:val="0"/>
    <w:rPr>
      <w:rFonts w:ascii="Calibri" w:hAnsi="Calibri" w:eastAsia="宋体" w:cs="Times New Roman"/>
      <w:kern w:val="0"/>
      <w:sz w:val="18"/>
      <w:szCs w:val="18"/>
    </w:rPr>
  </w:style>
  <w:style w:type="character" w:customStyle="1" w:styleId="2130">
    <w:name w:val="Char Char287"/>
    <w:qFormat/>
    <w:uiPriority w:val="0"/>
    <w:rPr>
      <w:rFonts w:ascii="Calibri" w:hAnsi="Calibri" w:eastAsia="宋体"/>
      <w:sz w:val="18"/>
      <w:szCs w:val="18"/>
      <w:lang w:val="en-US" w:eastAsia="zh-CN" w:bidi="ar-SA"/>
    </w:rPr>
  </w:style>
  <w:style w:type="character" w:customStyle="1" w:styleId="2131">
    <w:name w:val="Char Char412"/>
    <w:qFormat/>
    <w:uiPriority w:val="0"/>
    <w:rPr>
      <w:rFonts w:eastAsia="宋体"/>
      <w:b/>
      <w:bCs/>
      <w:kern w:val="2"/>
      <w:sz w:val="24"/>
      <w:szCs w:val="22"/>
      <w:lang w:val="en-US" w:eastAsia="zh-CN" w:bidi="ar-SA"/>
    </w:rPr>
  </w:style>
  <w:style w:type="character" w:customStyle="1" w:styleId="2132">
    <w:name w:val="电子邮件签名 Char1"/>
    <w:qFormat/>
    <w:uiPriority w:val="0"/>
    <w:rPr>
      <w:kern w:val="2"/>
      <w:sz w:val="21"/>
      <w:szCs w:val="24"/>
    </w:rPr>
  </w:style>
  <w:style w:type="character" w:customStyle="1" w:styleId="2133">
    <w:name w:val="称呼 字符1"/>
    <w:qFormat/>
    <w:uiPriority w:val="0"/>
    <w:rPr>
      <w:rFonts w:ascii="Arial" w:hAnsi="Arial" w:eastAsia="仿宋_GB2312"/>
      <w:sz w:val="24"/>
    </w:rPr>
  </w:style>
  <w:style w:type="character" w:customStyle="1" w:styleId="2134">
    <w:name w:val="Char Char142"/>
    <w:qFormat/>
    <w:uiPriority w:val="0"/>
    <w:rPr>
      <w:rFonts w:ascii="Arial" w:hAnsi="Arial" w:eastAsia="黑体" w:cs="Times New Roman"/>
      <w:b/>
      <w:bCs/>
      <w:sz w:val="24"/>
      <w:szCs w:val="24"/>
    </w:rPr>
  </w:style>
  <w:style w:type="character" w:customStyle="1" w:styleId="2135">
    <w:name w:val="Char Char169"/>
    <w:qFormat/>
    <w:uiPriority w:val="0"/>
    <w:rPr>
      <w:rFonts w:ascii="Arial" w:hAnsi="Arial" w:eastAsia="黑体" w:cs="Times New Roman"/>
      <w:sz w:val="24"/>
      <w:szCs w:val="24"/>
    </w:rPr>
  </w:style>
  <w:style w:type="character" w:customStyle="1" w:styleId="2136">
    <w:name w:val="纯文本 字符2"/>
    <w:qFormat/>
    <w:uiPriority w:val="0"/>
    <w:rPr>
      <w:rFonts w:ascii="宋体" w:hAnsi="Courier New"/>
    </w:rPr>
  </w:style>
  <w:style w:type="character" w:customStyle="1" w:styleId="2137">
    <w:name w:val="页眉1 Char1"/>
    <w:qFormat/>
    <w:uiPriority w:val="0"/>
    <w:rPr>
      <w:kern w:val="2"/>
      <w:sz w:val="18"/>
      <w:szCs w:val="18"/>
    </w:rPr>
  </w:style>
  <w:style w:type="character" w:customStyle="1" w:styleId="2138">
    <w:name w:val="表图注 Char"/>
    <w:qFormat/>
    <w:locked/>
    <w:uiPriority w:val="0"/>
    <w:rPr>
      <w:rFonts w:ascii="Times New Roman" w:hAnsi="Times New Roman"/>
      <w:kern w:val="2"/>
      <w:sz w:val="21"/>
      <w:szCs w:val="24"/>
    </w:rPr>
  </w:style>
  <w:style w:type="character" w:customStyle="1" w:styleId="2139">
    <w:name w:val="bds_nopic1"/>
    <w:qFormat/>
    <w:uiPriority w:val="0"/>
  </w:style>
  <w:style w:type="character" w:customStyle="1" w:styleId="2140">
    <w:name w:val="样式13 Char"/>
    <w:link w:val="858"/>
    <w:qFormat/>
    <w:uiPriority w:val="0"/>
    <w:rPr>
      <w:rFonts w:ascii="仿宋_GB2312" w:hAnsi="宋体" w:eastAsia="仿宋_GB2312"/>
      <w:color w:val="FF0000"/>
      <w:kern w:val="2"/>
      <w:sz w:val="28"/>
      <w:szCs w:val="28"/>
    </w:rPr>
  </w:style>
  <w:style w:type="character" w:customStyle="1" w:styleId="2141">
    <w:name w:val="Char Char434"/>
    <w:qFormat/>
    <w:uiPriority w:val="0"/>
    <w:rPr>
      <w:rFonts w:ascii="楷体_GB2312" w:eastAsia="楷体_GB2312"/>
      <w:kern w:val="2"/>
      <w:sz w:val="28"/>
      <w:lang w:val="en-US" w:eastAsia="zh-CN" w:bidi="ar-SA"/>
    </w:rPr>
  </w:style>
  <w:style w:type="character" w:customStyle="1" w:styleId="2142">
    <w:name w:val="批注主题 Char3"/>
    <w:semiHidden/>
    <w:qFormat/>
    <w:uiPriority w:val="99"/>
    <w:rPr>
      <w:rFonts w:ascii="Calibri" w:hAnsi="Calibri" w:eastAsia="宋体" w:cs="Times New Roman"/>
      <w:b/>
      <w:bCs/>
      <w:kern w:val="0"/>
      <w:sz w:val="22"/>
    </w:rPr>
  </w:style>
  <w:style w:type="character" w:customStyle="1" w:styleId="2143">
    <w:name w:val="Char Char362"/>
    <w:qFormat/>
    <w:uiPriority w:val="0"/>
    <w:rPr>
      <w:rFonts w:eastAsia="宋体"/>
      <w:kern w:val="2"/>
      <w:sz w:val="21"/>
      <w:lang w:val="en-US" w:eastAsia="zh-CN" w:bidi="ar-SA"/>
    </w:rPr>
  </w:style>
  <w:style w:type="character" w:customStyle="1" w:styleId="2144">
    <w:name w:val="Char Char601"/>
    <w:qFormat/>
    <w:uiPriority w:val="0"/>
    <w:rPr>
      <w:rFonts w:ascii="楷体_GB2312" w:hAnsi="Times New Roman" w:eastAsia="楷体_GB2312" w:cs="Times New Roman"/>
      <w:sz w:val="28"/>
      <w:szCs w:val="20"/>
    </w:rPr>
  </w:style>
  <w:style w:type="character" w:customStyle="1" w:styleId="2145">
    <w:name w:val="Char Char384"/>
    <w:qFormat/>
    <w:uiPriority w:val="0"/>
    <w:rPr>
      <w:rFonts w:eastAsia="宋体"/>
      <w:kern w:val="2"/>
      <w:sz w:val="18"/>
      <w:lang w:val="en-US" w:eastAsia="zh-CN" w:bidi="ar-SA"/>
    </w:rPr>
  </w:style>
  <w:style w:type="character" w:customStyle="1" w:styleId="2146">
    <w:name w:val="Char Char157"/>
    <w:qFormat/>
    <w:uiPriority w:val="0"/>
    <w:rPr>
      <w:rFonts w:ascii="Arial" w:hAnsi="Arial" w:eastAsia="黑体" w:cs="Times New Roman"/>
      <w:b/>
      <w:bCs/>
      <w:sz w:val="28"/>
      <w:szCs w:val="28"/>
    </w:rPr>
  </w:style>
  <w:style w:type="character" w:customStyle="1" w:styleId="2147">
    <w:name w:val="Footer1 Char Char"/>
    <w:qFormat/>
    <w:uiPriority w:val="0"/>
    <w:rPr>
      <w:rFonts w:ascii="Arial" w:hAnsi="Arial" w:eastAsia="仿宋_GB2312"/>
      <w:sz w:val="18"/>
    </w:rPr>
  </w:style>
  <w:style w:type="character" w:customStyle="1" w:styleId="2148">
    <w:name w:val="正文文本缩进 2 Char3"/>
    <w:qFormat/>
    <w:uiPriority w:val="99"/>
    <w:rPr>
      <w:rFonts w:ascii="Calibri" w:hAnsi="Calibri" w:eastAsia="宋体" w:cs="Times New Roman"/>
      <w:kern w:val="0"/>
      <w:sz w:val="22"/>
    </w:rPr>
  </w:style>
  <w:style w:type="character" w:customStyle="1" w:styleId="2149">
    <w:name w:val="封页1"/>
    <w:qFormat/>
    <w:uiPriority w:val="0"/>
    <w:rPr>
      <w:rFonts w:hint="default" w:eastAsia="黑体"/>
      <w:sz w:val="32"/>
    </w:rPr>
  </w:style>
  <w:style w:type="character" w:customStyle="1" w:styleId="2150">
    <w:name w:val="bthzw Char"/>
    <w:link w:val="2151"/>
    <w:qFormat/>
    <w:uiPriority w:val="0"/>
    <w:rPr>
      <w:sz w:val="24"/>
      <w:szCs w:val="24"/>
    </w:rPr>
  </w:style>
  <w:style w:type="paragraph" w:customStyle="1" w:styleId="2151">
    <w:name w:val="bthzw"/>
    <w:basedOn w:val="1"/>
    <w:link w:val="2150"/>
    <w:qFormat/>
    <w:uiPriority w:val="0"/>
    <w:pPr>
      <w:spacing w:line="360" w:lineRule="auto"/>
      <w:ind w:firstLine="200" w:firstLineChars="200"/>
    </w:pPr>
    <w:rPr>
      <w:kern w:val="0"/>
      <w:sz w:val="24"/>
    </w:rPr>
  </w:style>
  <w:style w:type="character" w:customStyle="1" w:styleId="2152">
    <w:name w:val="1正文修改 Char"/>
    <w:link w:val="2153"/>
    <w:qFormat/>
    <w:uiPriority w:val="0"/>
    <w:rPr>
      <w:sz w:val="24"/>
      <w:lang w:val="zh-CN"/>
    </w:rPr>
  </w:style>
  <w:style w:type="paragraph" w:customStyle="1" w:styleId="2153">
    <w:name w:val="1正文修改"/>
    <w:basedOn w:val="1"/>
    <w:link w:val="2152"/>
    <w:qFormat/>
    <w:uiPriority w:val="0"/>
    <w:pPr>
      <w:spacing w:line="360" w:lineRule="auto"/>
      <w:ind w:firstLine="480" w:firstLineChars="200"/>
    </w:pPr>
    <w:rPr>
      <w:kern w:val="0"/>
      <w:sz w:val="24"/>
      <w:szCs w:val="20"/>
      <w:lang w:val="zh-CN"/>
    </w:rPr>
  </w:style>
  <w:style w:type="character" w:customStyle="1" w:styleId="2154">
    <w:name w:val="批注引用1"/>
    <w:qFormat/>
    <w:uiPriority w:val="0"/>
    <w:rPr>
      <w:sz w:val="21"/>
      <w:szCs w:val="21"/>
    </w:rPr>
  </w:style>
  <w:style w:type="character" w:customStyle="1" w:styleId="2155">
    <w:name w:val="Char Char82"/>
    <w:qFormat/>
    <w:uiPriority w:val="0"/>
    <w:rPr>
      <w:rFonts w:eastAsia="宋体"/>
      <w:b/>
      <w:bCs/>
      <w:kern w:val="2"/>
      <w:sz w:val="28"/>
      <w:szCs w:val="28"/>
      <w:lang w:val="en-US" w:eastAsia="zh-CN" w:bidi="ar-SA"/>
    </w:rPr>
  </w:style>
  <w:style w:type="character" w:customStyle="1" w:styleId="2156">
    <w:name w:val="电子邮件签名 Char3"/>
    <w:semiHidden/>
    <w:qFormat/>
    <w:uiPriority w:val="0"/>
    <w:rPr>
      <w:rFonts w:ascii="Calibri" w:hAnsi="Calibri" w:eastAsia="宋体" w:cs="Times New Roman"/>
      <w:kern w:val="0"/>
      <w:sz w:val="22"/>
    </w:rPr>
  </w:style>
  <w:style w:type="character" w:customStyle="1" w:styleId="2157">
    <w:name w:val="文字缩进 Char"/>
    <w:qFormat/>
    <w:uiPriority w:val="0"/>
    <w:rPr>
      <w:rFonts w:ascii="宋体" w:hAnsi="Courier New" w:eastAsia="宋体"/>
      <w:kern w:val="2"/>
      <w:sz w:val="28"/>
      <w:lang w:val="en-US" w:eastAsia="zh-CN" w:bidi="ar-SA"/>
    </w:rPr>
  </w:style>
  <w:style w:type="character" w:customStyle="1" w:styleId="2158">
    <w:name w:val="dan7-1表头7 Char Char"/>
    <w:qFormat/>
    <w:locked/>
    <w:uiPriority w:val="0"/>
    <w:rPr>
      <w:rFonts w:ascii="Times New Roman" w:hAnsi="Times New Roman" w:eastAsia="黑体" w:cs="Times New Roman"/>
      <w:sz w:val="24"/>
      <w:szCs w:val="24"/>
    </w:rPr>
  </w:style>
  <w:style w:type="character" w:customStyle="1" w:styleId="2159">
    <w:name w:val="信息标题 字符1"/>
    <w:qFormat/>
    <w:uiPriority w:val="0"/>
    <w:rPr>
      <w:rFonts w:ascii="Arial" w:hAnsi="Arial" w:eastAsia="仿宋_GB2312" w:cs="Arial"/>
      <w:sz w:val="24"/>
      <w:shd w:val="pct20" w:color="auto" w:fill="auto"/>
    </w:rPr>
  </w:style>
  <w:style w:type="character" w:customStyle="1" w:styleId="2160">
    <w:name w:val="Font Style302"/>
    <w:qFormat/>
    <w:uiPriority w:val="0"/>
    <w:rPr>
      <w:rFonts w:ascii="宋体" w:eastAsia="宋体" w:cs="宋体"/>
      <w:sz w:val="20"/>
      <w:szCs w:val="20"/>
    </w:rPr>
  </w:style>
  <w:style w:type="character" w:customStyle="1" w:styleId="2161">
    <w:name w:val="cityhighlight1"/>
    <w:qFormat/>
    <w:uiPriority w:val="0"/>
    <w:rPr>
      <w:b/>
      <w:bCs/>
      <w:color w:val="CC0000"/>
    </w:rPr>
  </w:style>
  <w:style w:type="character" w:customStyle="1" w:styleId="2162">
    <w:name w:val="样式 图号 + 宋体 Char"/>
    <w:qFormat/>
    <w:uiPriority w:val="0"/>
  </w:style>
  <w:style w:type="character" w:customStyle="1" w:styleId="2163">
    <w:name w:val="A正文 Char"/>
    <w:link w:val="1262"/>
    <w:qFormat/>
    <w:uiPriority w:val="0"/>
    <w:rPr>
      <w:rFonts w:ascii="宋体" w:hAnsi="宋体"/>
      <w:kern w:val="2"/>
      <w:sz w:val="24"/>
      <w:szCs w:val="28"/>
    </w:rPr>
  </w:style>
  <w:style w:type="character" w:customStyle="1" w:styleId="2164">
    <w:name w:val="duanluo21"/>
    <w:qFormat/>
    <w:uiPriority w:val="6"/>
    <w:rPr>
      <w:color w:val="5B5B5B"/>
    </w:rPr>
  </w:style>
  <w:style w:type="character" w:customStyle="1" w:styleId="2165">
    <w:name w:val="Char Char382"/>
    <w:qFormat/>
    <w:uiPriority w:val="0"/>
    <w:rPr>
      <w:rFonts w:eastAsia="仿宋_GB2312"/>
      <w:kern w:val="2"/>
      <w:sz w:val="32"/>
      <w:szCs w:val="24"/>
      <w:lang w:val="en-US" w:eastAsia="zh-CN" w:bidi="ar-SA"/>
    </w:rPr>
  </w:style>
  <w:style w:type="character" w:customStyle="1" w:styleId="2166">
    <w:name w:val="Char Char88"/>
    <w:qFormat/>
    <w:uiPriority w:val="0"/>
    <w:rPr>
      <w:rFonts w:eastAsia="宋体"/>
      <w:b/>
      <w:bCs/>
      <w:kern w:val="2"/>
      <w:sz w:val="28"/>
      <w:szCs w:val="28"/>
      <w:lang w:val="en-US" w:eastAsia="zh-CN" w:bidi="ar-SA"/>
    </w:rPr>
  </w:style>
  <w:style w:type="character" w:customStyle="1" w:styleId="2167">
    <w:name w:val="Char Char94"/>
    <w:qFormat/>
    <w:uiPriority w:val="0"/>
    <w:rPr>
      <w:rFonts w:ascii="宋体" w:hAnsi="宋体" w:eastAsia="宋体"/>
      <w:sz w:val="24"/>
      <w:lang w:val="en-US" w:eastAsia="zh-CN" w:bidi="ar-SA"/>
    </w:rPr>
  </w:style>
  <w:style w:type="character" w:customStyle="1" w:styleId="2168">
    <w:name w:val="样式6 Char Char"/>
    <w:qFormat/>
    <w:uiPriority w:val="0"/>
    <w:rPr>
      <w:rFonts w:hAnsi="宋体"/>
      <w:szCs w:val="21"/>
    </w:rPr>
  </w:style>
  <w:style w:type="character" w:customStyle="1" w:styleId="2169">
    <w:name w:val="HTML 样本1"/>
    <w:qFormat/>
    <w:uiPriority w:val="0"/>
    <w:rPr>
      <w:rFonts w:hint="default" w:ascii="Courier New"/>
    </w:rPr>
  </w:style>
  <w:style w:type="character" w:customStyle="1" w:styleId="2170">
    <w:name w:val="Char Char131"/>
    <w:qFormat/>
    <w:uiPriority w:val="0"/>
    <w:rPr>
      <w:rFonts w:ascii="Times New Roman" w:hAnsi="Times New Roman" w:eastAsia="宋体" w:cs="Times New Roman"/>
      <w:b/>
      <w:bCs/>
      <w:sz w:val="24"/>
      <w:szCs w:val="24"/>
    </w:rPr>
  </w:style>
  <w:style w:type="character" w:customStyle="1" w:styleId="2171">
    <w:name w:val="2标题 Char"/>
    <w:link w:val="2172"/>
    <w:qFormat/>
    <w:uiPriority w:val="0"/>
    <w:rPr>
      <w:b/>
      <w:sz w:val="24"/>
    </w:rPr>
  </w:style>
  <w:style w:type="paragraph" w:customStyle="1" w:styleId="2172">
    <w:name w:val="2标题"/>
    <w:basedOn w:val="4"/>
    <w:link w:val="2171"/>
    <w:qFormat/>
    <w:uiPriority w:val="0"/>
    <w:pPr>
      <w:adjustRightInd w:val="0"/>
      <w:snapToGrid w:val="0"/>
      <w:spacing w:before="50" w:beforeLines="50" w:after="50" w:afterLines="50" w:line="240" w:lineRule="auto"/>
      <w:textAlignment w:val="baseline"/>
    </w:pPr>
    <w:rPr>
      <w:rFonts w:ascii="Times New Roman" w:hAnsi="Times New Roman" w:eastAsia="宋体"/>
      <w:bCs w:val="0"/>
      <w:kern w:val="0"/>
      <w:sz w:val="24"/>
      <w:szCs w:val="20"/>
    </w:rPr>
  </w:style>
  <w:style w:type="character" w:customStyle="1" w:styleId="2173">
    <w:name w:val="Char Char221"/>
    <w:qFormat/>
    <w:uiPriority w:val="0"/>
    <w:rPr>
      <w:rFonts w:eastAsia="宋体"/>
      <w:kern w:val="2"/>
      <w:sz w:val="21"/>
      <w:lang w:val="en-US" w:eastAsia="zh-CN" w:bidi="ar-SA"/>
    </w:rPr>
  </w:style>
  <w:style w:type="character" w:customStyle="1" w:styleId="2174">
    <w:name w:val="p11"/>
    <w:qFormat/>
    <w:uiPriority w:val="0"/>
    <w:rPr>
      <w:rFonts w:hint="default"/>
      <w:spacing w:val="375"/>
      <w:sz w:val="18"/>
      <w:szCs w:val="18"/>
    </w:rPr>
  </w:style>
  <w:style w:type="character" w:customStyle="1" w:styleId="2175">
    <w:name w:val="Char Char702"/>
    <w:qFormat/>
    <w:uiPriority w:val="0"/>
    <w:rPr>
      <w:rFonts w:ascii="Times New Roman" w:hAnsi="Times New Roman" w:eastAsia="宋体" w:cs="Times New Roman"/>
      <w:b/>
      <w:bCs/>
      <w:sz w:val="24"/>
      <w:szCs w:val="24"/>
    </w:rPr>
  </w:style>
  <w:style w:type="character" w:customStyle="1" w:styleId="2176">
    <w:name w:val="style44 style40"/>
    <w:qFormat/>
    <w:uiPriority w:val="0"/>
  </w:style>
  <w:style w:type="character" w:customStyle="1" w:styleId="2177">
    <w:name w:val="Char Char355"/>
    <w:qFormat/>
    <w:uiPriority w:val="0"/>
    <w:rPr>
      <w:rFonts w:ascii="Calibri" w:hAnsi="Calibri" w:eastAsia="宋体"/>
      <w:b/>
      <w:bCs/>
      <w:kern w:val="2"/>
      <w:sz w:val="24"/>
      <w:szCs w:val="22"/>
      <w:lang w:val="en-US" w:eastAsia="zh-CN" w:bidi="ar-SA"/>
    </w:rPr>
  </w:style>
  <w:style w:type="character" w:customStyle="1" w:styleId="2178">
    <w:name w:val="正文文字 3 Char Char5"/>
    <w:qFormat/>
    <w:uiPriority w:val="0"/>
    <w:rPr>
      <w:rFonts w:hint="eastAsia" w:ascii="仿宋_GB2312" w:hAnsi="宋体" w:eastAsia="仿宋_GB2312"/>
      <w:kern w:val="2"/>
      <w:sz w:val="24"/>
      <w:lang w:val="en-US" w:eastAsia="zh-CN"/>
    </w:rPr>
  </w:style>
  <w:style w:type="character" w:customStyle="1" w:styleId="2179">
    <w:name w:val="样式 题注 + 居中 Char"/>
    <w:link w:val="2180"/>
    <w:qFormat/>
    <w:uiPriority w:val="0"/>
    <w:rPr>
      <w:rFonts w:ascii="Arial" w:hAnsi="Arial" w:eastAsia="黑体"/>
      <w:color w:val="000000"/>
      <w:sz w:val="24"/>
    </w:rPr>
  </w:style>
  <w:style w:type="paragraph" w:customStyle="1" w:styleId="2180">
    <w:name w:val="样式 题注 + 居中"/>
    <w:basedOn w:val="22"/>
    <w:next w:val="1"/>
    <w:link w:val="2179"/>
    <w:qFormat/>
    <w:uiPriority w:val="0"/>
    <w:pPr>
      <w:spacing w:before="120" w:after="120" w:line="300" w:lineRule="auto"/>
      <w:jc w:val="center"/>
    </w:pPr>
    <w:rPr>
      <w:color w:val="000000"/>
      <w:kern w:val="0"/>
      <w:sz w:val="24"/>
      <w:lang w:val="en-US"/>
    </w:rPr>
  </w:style>
  <w:style w:type="character" w:customStyle="1" w:styleId="2181">
    <w:name w:val="Char Char106"/>
    <w:qFormat/>
    <w:uiPriority w:val="0"/>
    <w:rPr>
      <w:rFonts w:eastAsia="宋体"/>
      <w:b/>
      <w:bCs/>
      <w:kern w:val="44"/>
      <w:sz w:val="44"/>
      <w:szCs w:val="44"/>
      <w:lang w:val="en-US" w:eastAsia="zh-CN" w:bidi="ar-SA"/>
    </w:rPr>
  </w:style>
  <w:style w:type="character" w:customStyle="1" w:styleId="2182">
    <w:name w:val="Char Char653"/>
    <w:qFormat/>
    <w:uiPriority w:val="0"/>
    <w:rPr>
      <w:rFonts w:ascii="Arial" w:hAnsi="Arial" w:eastAsia="Arial Unicode MS" w:cs="Arial"/>
      <w:vanish/>
      <w:kern w:val="0"/>
      <w:sz w:val="16"/>
      <w:szCs w:val="16"/>
    </w:rPr>
  </w:style>
  <w:style w:type="character" w:customStyle="1" w:styleId="2183">
    <w:name w:val="ft44"/>
    <w:qFormat/>
    <w:uiPriority w:val="0"/>
    <w:rPr>
      <w:rFonts w:hint="default" w:ascii="Times" w:hAnsi="Times" w:cs="Times"/>
      <w:color w:val="000000"/>
      <w:sz w:val="11"/>
      <w:szCs w:val="11"/>
    </w:rPr>
  </w:style>
  <w:style w:type="character" w:customStyle="1" w:styleId="2184">
    <w:name w:val="德胜正文 Char"/>
    <w:link w:val="2185"/>
    <w:qFormat/>
    <w:uiPriority w:val="0"/>
    <w:rPr>
      <w:snapToGrid w:val="0"/>
      <w:color w:val="0000FF"/>
      <w:sz w:val="24"/>
      <w:szCs w:val="24"/>
    </w:rPr>
  </w:style>
  <w:style w:type="paragraph" w:customStyle="1" w:styleId="2185">
    <w:name w:val="德胜正文"/>
    <w:basedOn w:val="1"/>
    <w:link w:val="2184"/>
    <w:qFormat/>
    <w:uiPriority w:val="0"/>
    <w:pPr>
      <w:adjustRightInd w:val="0"/>
      <w:snapToGrid w:val="0"/>
      <w:spacing w:line="360" w:lineRule="auto"/>
      <w:ind w:firstLine="200" w:firstLineChars="200"/>
    </w:pPr>
    <w:rPr>
      <w:snapToGrid w:val="0"/>
      <w:color w:val="0000FF"/>
      <w:kern w:val="0"/>
      <w:sz w:val="24"/>
    </w:rPr>
  </w:style>
  <w:style w:type="character" w:customStyle="1" w:styleId="2186">
    <w:name w:val="Char Char75"/>
    <w:qFormat/>
    <w:uiPriority w:val="0"/>
    <w:rPr>
      <w:rFonts w:ascii="Arial" w:hAnsi="Arial" w:eastAsia="黑体"/>
      <w:b/>
      <w:bCs/>
      <w:kern w:val="2"/>
      <w:sz w:val="24"/>
      <w:szCs w:val="24"/>
      <w:lang w:val="en-US" w:eastAsia="zh-CN" w:bidi="ar-SA"/>
    </w:rPr>
  </w:style>
  <w:style w:type="character" w:customStyle="1" w:styleId="2187">
    <w:name w:val="Char Char491"/>
    <w:qFormat/>
    <w:uiPriority w:val="0"/>
    <w:rPr>
      <w:rFonts w:hint="eastAsia" w:ascii="宋体" w:hAnsi="Times New Roman" w:eastAsia="宋体"/>
      <w:sz w:val="18"/>
    </w:rPr>
  </w:style>
  <w:style w:type="character" w:customStyle="1" w:styleId="2188">
    <w:name w:val="样式 首行缩进:  1 字符 Char Char"/>
    <w:qFormat/>
    <w:uiPriority w:val="0"/>
    <w:rPr>
      <w:rFonts w:cs="宋体"/>
      <w:sz w:val="24"/>
    </w:rPr>
  </w:style>
  <w:style w:type="character" w:customStyle="1" w:styleId="2189">
    <w:name w:val="第五层条 Char Char"/>
    <w:qFormat/>
    <w:uiPriority w:val="0"/>
    <w:rPr>
      <w:rFonts w:ascii="Arial" w:hAnsi="Arial" w:eastAsia="黑体"/>
      <w:b/>
      <w:bCs/>
      <w:kern w:val="2"/>
      <w:sz w:val="24"/>
      <w:szCs w:val="24"/>
      <w:lang w:val="en-US" w:eastAsia="zh-CN" w:bidi="ar-SA"/>
    </w:rPr>
  </w:style>
  <w:style w:type="character" w:customStyle="1" w:styleId="2190">
    <w:name w:val="贾伦 标题4 Char"/>
    <w:link w:val="2191"/>
    <w:qFormat/>
    <w:uiPriority w:val="0"/>
    <w:rPr>
      <w:b/>
      <w:color w:val="000000"/>
      <w:sz w:val="24"/>
      <w:szCs w:val="28"/>
    </w:rPr>
  </w:style>
  <w:style w:type="paragraph" w:customStyle="1" w:styleId="2191">
    <w:name w:val="贾伦 标题4"/>
    <w:basedOn w:val="21"/>
    <w:link w:val="2190"/>
    <w:qFormat/>
    <w:uiPriority w:val="0"/>
    <w:pPr>
      <w:outlineLvl w:val="3"/>
    </w:pPr>
    <w:rPr>
      <w:b w:val="0"/>
      <w:color w:val="000000"/>
      <w:kern w:val="0"/>
      <w:szCs w:val="28"/>
    </w:rPr>
  </w:style>
  <w:style w:type="character" w:customStyle="1" w:styleId="2192">
    <w:name w:val="图表 Char"/>
    <w:link w:val="1273"/>
    <w:qFormat/>
    <w:locked/>
    <w:uiPriority w:val="0"/>
    <w:rPr>
      <w:rFonts w:eastAsia="仿宋_GB2312"/>
      <w:sz w:val="30"/>
      <w:szCs w:val="30"/>
      <w:lang w:val="zh-CN"/>
    </w:rPr>
  </w:style>
  <w:style w:type="character" w:customStyle="1" w:styleId="2193">
    <w:name w:val="Char Char610"/>
    <w:qFormat/>
    <w:uiPriority w:val="0"/>
    <w:rPr>
      <w:rFonts w:ascii="Times New Roman" w:hAnsi="Times New Roman" w:eastAsia="宋体" w:cs="Times New Roman"/>
      <w:sz w:val="18"/>
      <w:szCs w:val="18"/>
    </w:rPr>
  </w:style>
  <w:style w:type="character" w:customStyle="1" w:styleId="2194">
    <w:name w:val="Char Char326"/>
    <w:qFormat/>
    <w:uiPriority w:val="0"/>
    <w:rPr>
      <w:rFonts w:ascii="宋体" w:hAnsi="宋体" w:eastAsia="宋体" w:cs="宋体"/>
      <w:sz w:val="24"/>
      <w:szCs w:val="24"/>
      <w:lang w:val="en-US" w:eastAsia="zh-CN" w:bidi="ar-SA"/>
    </w:rPr>
  </w:style>
  <w:style w:type="character" w:customStyle="1" w:styleId="2195">
    <w:name w:val="正文111 Char"/>
    <w:link w:val="2196"/>
    <w:qFormat/>
    <w:uiPriority w:val="0"/>
    <w:rPr>
      <w:sz w:val="24"/>
    </w:rPr>
  </w:style>
  <w:style w:type="paragraph" w:customStyle="1" w:styleId="2196">
    <w:name w:val="正文111"/>
    <w:basedOn w:val="1"/>
    <w:link w:val="2195"/>
    <w:qFormat/>
    <w:uiPriority w:val="0"/>
    <w:pPr>
      <w:snapToGrid w:val="0"/>
      <w:spacing w:line="360" w:lineRule="auto"/>
      <w:ind w:firstLine="480" w:firstLineChars="200"/>
    </w:pPr>
    <w:rPr>
      <w:kern w:val="0"/>
      <w:sz w:val="24"/>
      <w:szCs w:val="20"/>
    </w:rPr>
  </w:style>
  <w:style w:type="character" w:customStyle="1" w:styleId="2197">
    <w:name w:val="13haozi1"/>
    <w:qFormat/>
    <w:uiPriority w:val="0"/>
    <w:rPr>
      <w:color w:val="000000"/>
      <w:sz w:val="26"/>
      <w:szCs w:val="26"/>
      <w:u w:val="none"/>
    </w:rPr>
  </w:style>
  <w:style w:type="character" w:customStyle="1" w:styleId="2198">
    <w:name w:val="表格标题 Char3"/>
    <w:qFormat/>
    <w:uiPriority w:val="0"/>
    <w:rPr>
      <w:rFonts w:hint="eastAsia" w:ascii="宋体" w:hAnsi="宋体" w:eastAsia="宋体"/>
      <w:kern w:val="2"/>
      <w:sz w:val="21"/>
      <w:szCs w:val="24"/>
      <w:lang w:val="en-US" w:eastAsia="zh-CN"/>
    </w:rPr>
  </w:style>
  <w:style w:type="character" w:customStyle="1" w:styleId="2199">
    <w:name w:val="信息标题 Char3"/>
    <w:semiHidden/>
    <w:qFormat/>
    <w:uiPriority w:val="0"/>
    <w:rPr>
      <w:rFonts w:ascii="Cambria" w:hAnsi="Cambria" w:eastAsia="宋体" w:cs="Times New Roman"/>
      <w:kern w:val="0"/>
      <w:sz w:val="24"/>
      <w:szCs w:val="24"/>
      <w:shd w:val="pct20" w:color="auto" w:fill="auto"/>
    </w:rPr>
  </w:style>
  <w:style w:type="character" w:customStyle="1" w:styleId="2200">
    <w:name w:val="表头右齐 Char"/>
    <w:link w:val="2201"/>
    <w:qFormat/>
    <w:uiPriority w:val="0"/>
    <w:rPr>
      <w:rFonts w:ascii="宋体" w:hAnsi="宋体"/>
      <w:color w:val="000000"/>
      <w:sz w:val="24"/>
      <w:szCs w:val="24"/>
    </w:rPr>
  </w:style>
  <w:style w:type="paragraph" w:customStyle="1" w:styleId="2201">
    <w:name w:val="表头右齐"/>
    <w:basedOn w:val="1"/>
    <w:next w:val="1"/>
    <w:link w:val="2200"/>
    <w:qFormat/>
    <w:uiPriority w:val="0"/>
    <w:pPr>
      <w:wordWrap w:val="0"/>
      <w:adjustRightInd w:val="0"/>
      <w:snapToGrid w:val="0"/>
      <w:ind w:right="105" w:rightChars="50" w:firstLine="560"/>
      <w:jc w:val="center"/>
    </w:pPr>
    <w:rPr>
      <w:rFonts w:ascii="宋体" w:hAnsi="宋体"/>
      <w:color w:val="000000"/>
      <w:kern w:val="0"/>
      <w:sz w:val="24"/>
      <w:shd w:val="clear" w:color="auto" w:fill="FFFFFF"/>
    </w:rPr>
  </w:style>
  <w:style w:type="character" w:customStyle="1" w:styleId="2202">
    <w:name w:val="infodetail1"/>
    <w:qFormat/>
    <w:uiPriority w:val="0"/>
  </w:style>
  <w:style w:type="character" w:customStyle="1" w:styleId="2203">
    <w:name w:val="蒲正文 Char"/>
    <w:qFormat/>
    <w:uiPriority w:val="0"/>
    <w:rPr>
      <w:sz w:val="24"/>
      <w:szCs w:val="24"/>
    </w:rPr>
  </w:style>
  <w:style w:type="character" w:customStyle="1" w:styleId="2204">
    <w:name w:val="1.1标题 2 Char2"/>
    <w:qFormat/>
    <w:uiPriority w:val="0"/>
    <w:rPr>
      <w:rFonts w:eastAsia="宋体"/>
      <w:b/>
      <w:bCs/>
      <w:kern w:val="2"/>
      <w:sz w:val="30"/>
      <w:szCs w:val="32"/>
      <w:lang w:val="en-US" w:eastAsia="zh-CN" w:bidi="ar-SA"/>
    </w:rPr>
  </w:style>
  <w:style w:type="character" w:customStyle="1" w:styleId="2205">
    <w:name w:val="Char Char325"/>
    <w:qFormat/>
    <w:uiPriority w:val="0"/>
    <w:rPr>
      <w:rFonts w:ascii="宋体" w:hAnsi="宋体" w:eastAsia="宋体" w:cs="宋体"/>
      <w:sz w:val="24"/>
      <w:szCs w:val="24"/>
      <w:lang w:val="en-US" w:eastAsia="zh-CN" w:bidi="ar-SA"/>
    </w:rPr>
  </w:style>
  <w:style w:type="character" w:customStyle="1" w:styleId="2206">
    <w:name w:val="articlebody3"/>
    <w:qFormat/>
    <w:uiPriority w:val="0"/>
    <w:rPr>
      <w:rFonts w:hint="default"/>
      <w:sz w:val="21"/>
    </w:rPr>
  </w:style>
  <w:style w:type="character" w:customStyle="1" w:styleId="2207">
    <w:name w:val="unnamed51"/>
    <w:qFormat/>
    <w:uiPriority w:val="0"/>
    <w:rPr>
      <w:color w:val="000000"/>
      <w:sz w:val="18"/>
      <w:szCs w:val="18"/>
    </w:rPr>
  </w:style>
  <w:style w:type="character" w:customStyle="1" w:styleId="2208">
    <w:name w:val="正文文本 (11)2"/>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2209">
    <w:name w:val="Font Style328"/>
    <w:qFormat/>
    <w:uiPriority w:val="0"/>
    <w:rPr>
      <w:rFonts w:ascii="Georgia" w:hAnsi="Georgia" w:cs="Georgia"/>
      <w:b/>
      <w:bCs/>
      <w:spacing w:val="-20"/>
      <w:sz w:val="20"/>
      <w:szCs w:val="20"/>
    </w:rPr>
  </w:style>
  <w:style w:type="character" w:customStyle="1" w:styleId="2210">
    <w:name w:val="Char Char643"/>
    <w:qFormat/>
    <w:uiPriority w:val="0"/>
    <w:rPr>
      <w:rFonts w:ascii="Times New Roman" w:hAnsi="Times New Roman" w:eastAsia="宋体" w:cs="Times New Roman"/>
      <w:b/>
      <w:bCs/>
      <w:szCs w:val="20"/>
    </w:rPr>
  </w:style>
  <w:style w:type="character" w:customStyle="1" w:styleId="2211">
    <w:name w:val="Char Char423"/>
    <w:qFormat/>
    <w:uiPriority w:val="0"/>
    <w:rPr>
      <w:rFonts w:ascii="宋体" w:hAnsi="宋体" w:eastAsia="宋体" w:cs="宋体"/>
      <w:sz w:val="24"/>
      <w:szCs w:val="24"/>
      <w:lang w:val="en-US" w:eastAsia="zh-CN" w:bidi="ar-SA"/>
    </w:rPr>
  </w:style>
  <w:style w:type="character" w:customStyle="1" w:styleId="2212">
    <w:name w:val="Char Char251"/>
    <w:qFormat/>
    <w:uiPriority w:val="0"/>
    <w:rPr>
      <w:rFonts w:ascii="Courier New" w:hAnsi="Courier New" w:eastAsia="宋体" w:cs="Courier New"/>
      <w:sz w:val="20"/>
      <w:szCs w:val="20"/>
    </w:rPr>
  </w:style>
  <w:style w:type="character" w:customStyle="1" w:styleId="2213">
    <w:name w:val="Char Char682"/>
    <w:qFormat/>
    <w:uiPriority w:val="0"/>
    <w:rPr>
      <w:rFonts w:ascii="Times New Roman" w:hAnsi="Times New Roman" w:eastAsia="宋体" w:cs="Times New Roman"/>
      <w:sz w:val="18"/>
      <w:szCs w:val="20"/>
    </w:rPr>
  </w:style>
  <w:style w:type="character" w:customStyle="1" w:styleId="2214">
    <w:name w:val="font201"/>
    <w:qFormat/>
    <w:uiPriority w:val="0"/>
  </w:style>
  <w:style w:type="character" w:customStyle="1" w:styleId="2215">
    <w:name w:val="Char Char115"/>
    <w:qFormat/>
    <w:uiPriority w:val="0"/>
    <w:rPr>
      <w:sz w:val="18"/>
      <w:szCs w:val="18"/>
    </w:rPr>
  </w:style>
  <w:style w:type="character" w:customStyle="1" w:styleId="2216">
    <w:name w:val="asg1"/>
    <w:qFormat/>
    <w:uiPriority w:val="0"/>
    <w:rPr>
      <w:sz w:val="18"/>
      <w:szCs w:val="18"/>
    </w:rPr>
  </w:style>
  <w:style w:type="character" w:customStyle="1" w:styleId="2217">
    <w:name w:val="even Char Char"/>
    <w:qFormat/>
    <w:uiPriority w:val="0"/>
    <w:rPr>
      <w:rFonts w:eastAsia="宋体"/>
      <w:kern w:val="2"/>
      <w:sz w:val="18"/>
      <w:szCs w:val="18"/>
      <w:lang w:val="en-US" w:eastAsia="zh-CN" w:bidi="ar-SA"/>
    </w:rPr>
  </w:style>
  <w:style w:type="character" w:customStyle="1" w:styleId="2218">
    <w:name w:val="Char Char394"/>
    <w:qFormat/>
    <w:uiPriority w:val="0"/>
    <w:rPr>
      <w:rFonts w:ascii="Times New Roman" w:hAnsi="Times New Roman" w:eastAsia="宋体" w:cs="Times New Roman"/>
      <w:sz w:val="18"/>
      <w:szCs w:val="18"/>
    </w:rPr>
  </w:style>
  <w:style w:type="character" w:customStyle="1" w:styleId="2219">
    <w:name w:val="Char Char125"/>
    <w:qFormat/>
    <w:uiPriority w:val="0"/>
    <w:rPr>
      <w:rFonts w:ascii="Arial" w:hAnsi="Arial" w:eastAsia="黑体" w:cs="Times New Roman"/>
      <w:szCs w:val="21"/>
    </w:rPr>
  </w:style>
  <w:style w:type="character" w:customStyle="1" w:styleId="2220">
    <w:name w:val="标准 Char"/>
    <w:qFormat/>
    <w:uiPriority w:val="0"/>
    <w:rPr>
      <w:rFonts w:ascii="Times New Roman" w:hAnsi="Times New Roman"/>
      <w:spacing w:val="-2"/>
      <w:sz w:val="28"/>
      <w:lang w:val="en-GB"/>
    </w:rPr>
  </w:style>
  <w:style w:type="character" w:customStyle="1" w:styleId="2221">
    <w:name w:val="正文 + 首行缩进:  2 字符 Char Char"/>
    <w:qFormat/>
    <w:uiPriority w:val="0"/>
    <w:rPr>
      <w:rFonts w:eastAsia="宋体"/>
      <w:spacing w:val="12"/>
      <w:kern w:val="2"/>
      <w:sz w:val="24"/>
      <w:lang w:val="en-US" w:eastAsia="zh-CN" w:bidi="ar-SA"/>
    </w:rPr>
  </w:style>
  <w:style w:type="character" w:customStyle="1" w:styleId="2222">
    <w:name w:val="Char Char223"/>
    <w:qFormat/>
    <w:uiPriority w:val="0"/>
    <w:rPr>
      <w:rFonts w:eastAsia="宋体"/>
      <w:kern w:val="2"/>
      <w:sz w:val="21"/>
      <w:lang w:val="en-US" w:eastAsia="zh-CN" w:bidi="ar-SA"/>
    </w:rPr>
  </w:style>
  <w:style w:type="character" w:customStyle="1" w:styleId="2223">
    <w:name w:val="H7 Char2"/>
    <w:qFormat/>
    <w:uiPriority w:val="0"/>
    <w:rPr>
      <w:rFonts w:eastAsia="宋体"/>
      <w:b/>
      <w:bCs/>
      <w:kern w:val="2"/>
      <w:sz w:val="24"/>
      <w:szCs w:val="24"/>
      <w:lang w:val="en-US" w:eastAsia="zh-CN" w:bidi="ar-SA"/>
    </w:rPr>
  </w:style>
  <w:style w:type="character" w:customStyle="1" w:styleId="2224">
    <w:name w:val="Char Char46"/>
    <w:qFormat/>
    <w:uiPriority w:val="0"/>
    <w:rPr>
      <w:rFonts w:hint="eastAsia" w:ascii="Times New Roman" w:hAnsi="Times New Roman" w:eastAsia="宋体"/>
    </w:rPr>
  </w:style>
  <w:style w:type="character" w:customStyle="1" w:styleId="2225">
    <w:name w:val="标准正文格式 Char Char"/>
    <w:link w:val="2226"/>
    <w:qFormat/>
    <w:uiPriority w:val="0"/>
    <w:rPr>
      <w:rFonts w:ascii="宋体" w:hAnsi="宋体"/>
      <w:sz w:val="24"/>
      <w:szCs w:val="24"/>
    </w:rPr>
  </w:style>
  <w:style w:type="paragraph" w:customStyle="1" w:styleId="2226">
    <w:name w:val="标准正文格式"/>
    <w:basedOn w:val="1603"/>
    <w:link w:val="2225"/>
    <w:qFormat/>
    <w:uiPriority w:val="0"/>
    <w:pPr>
      <w:adjustRightInd w:val="0"/>
      <w:snapToGrid w:val="0"/>
      <w:spacing w:line="360" w:lineRule="auto"/>
      <w:ind w:firstLine="490" w:firstLineChars="204"/>
    </w:pPr>
    <w:rPr>
      <w:rFonts w:ascii="宋体" w:hAnsi="宋体"/>
      <w:color w:val="auto"/>
      <w:spacing w:val="0"/>
      <w:sz w:val="24"/>
    </w:rPr>
  </w:style>
  <w:style w:type="character" w:customStyle="1" w:styleId="2227">
    <w:name w:val="样式 初设正文 + 左侧:  0 厘米 段后: 0 磅 Char"/>
    <w:link w:val="2228"/>
    <w:qFormat/>
    <w:uiPriority w:val="0"/>
    <w:rPr>
      <w:rFonts w:ascii="Arial Unicode MS" w:hAnsi="Arial Unicode MS"/>
      <w:sz w:val="24"/>
    </w:rPr>
  </w:style>
  <w:style w:type="paragraph" w:customStyle="1" w:styleId="2228">
    <w:name w:val="样式 初设正文 + 左侧:  0 厘米 段后: 0 磅"/>
    <w:basedOn w:val="1"/>
    <w:link w:val="2227"/>
    <w:qFormat/>
    <w:uiPriority w:val="0"/>
    <w:pPr>
      <w:spacing w:line="440" w:lineRule="exact"/>
      <w:ind w:firstLine="425"/>
    </w:pPr>
    <w:rPr>
      <w:rFonts w:ascii="Arial Unicode MS" w:hAnsi="Arial Unicode MS"/>
      <w:kern w:val="0"/>
      <w:sz w:val="24"/>
      <w:szCs w:val="20"/>
    </w:rPr>
  </w:style>
  <w:style w:type="character" w:customStyle="1" w:styleId="2229">
    <w:name w:val="干标题(a) Char"/>
    <w:link w:val="2230"/>
    <w:qFormat/>
    <w:uiPriority w:val="0"/>
    <w:rPr>
      <w:rFonts w:ascii="Calibri Light" w:hAnsi="Calibri Light"/>
      <w:szCs w:val="21"/>
    </w:rPr>
  </w:style>
  <w:style w:type="paragraph" w:customStyle="1" w:styleId="2230">
    <w:name w:val="标题 91"/>
    <w:basedOn w:val="1"/>
    <w:next w:val="1"/>
    <w:link w:val="2229"/>
    <w:qFormat/>
    <w:uiPriority w:val="0"/>
    <w:pPr>
      <w:overflowPunct w:val="0"/>
      <w:snapToGrid w:val="0"/>
      <w:spacing w:before="120" w:line="380" w:lineRule="exact"/>
      <w:ind w:firstLine="567"/>
      <w:textAlignment w:val="baseline"/>
      <w:outlineLvl w:val="8"/>
    </w:pPr>
    <w:rPr>
      <w:rFonts w:ascii="Calibri Light" w:hAnsi="Calibri Light"/>
      <w:kern w:val="0"/>
      <w:sz w:val="20"/>
      <w:szCs w:val="21"/>
    </w:rPr>
  </w:style>
  <w:style w:type="character" w:customStyle="1" w:styleId="2231">
    <w:name w:val="Char Char383"/>
    <w:qFormat/>
    <w:uiPriority w:val="0"/>
    <w:rPr>
      <w:rFonts w:eastAsia="宋体"/>
      <w:kern w:val="2"/>
      <w:sz w:val="18"/>
      <w:lang w:val="en-US" w:eastAsia="zh-CN" w:bidi="ar-SA"/>
    </w:rPr>
  </w:style>
  <w:style w:type="character" w:customStyle="1" w:styleId="2232">
    <w:name w:val="正文首行缩进 Char1 Char Char8"/>
    <w:qFormat/>
    <w:uiPriority w:val="0"/>
    <w:rPr>
      <w:rFonts w:hint="default"/>
    </w:rPr>
  </w:style>
  <w:style w:type="character" w:customStyle="1" w:styleId="2233">
    <w:name w:val="正文首行缩进 Char1 Char Char3"/>
    <w:qFormat/>
    <w:uiPriority w:val="0"/>
    <w:rPr>
      <w:rFonts w:eastAsia="宋体"/>
      <w:spacing w:val="6"/>
      <w:kern w:val="2"/>
      <w:sz w:val="24"/>
      <w:szCs w:val="24"/>
      <w:lang w:val="en-US" w:eastAsia="zh-CN" w:bidi="ar-SA"/>
    </w:rPr>
  </w:style>
  <w:style w:type="character" w:customStyle="1" w:styleId="2234">
    <w:name w:val="行号1"/>
    <w:qFormat/>
    <w:uiPriority w:val="0"/>
    <w:rPr>
      <w:rFonts w:hint="eastAsia" w:ascii="宋体" w:hAnsi="宋体" w:eastAsia="宋体" w:cs="Courier New"/>
      <w:kern w:val="2"/>
      <w:sz w:val="32"/>
      <w:szCs w:val="32"/>
      <w:lang w:val="en-US" w:eastAsia="zh-CN"/>
    </w:rPr>
  </w:style>
  <w:style w:type="character" w:customStyle="1" w:styleId="2235">
    <w:name w:val="表号 Char2"/>
    <w:link w:val="1084"/>
    <w:qFormat/>
    <w:uiPriority w:val="0"/>
    <w:rPr>
      <w:rFonts w:ascii="黑体" w:hAnsi="宋体" w:eastAsia="黑体"/>
      <w:sz w:val="24"/>
      <w:szCs w:val="28"/>
    </w:rPr>
  </w:style>
  <w:style w:type="character" w:customStyle="1" w:styleId="2236">
    <w:name w:val="目录 2 字符"/>
    <w:link w:val="73"/>
    <w:qFormat/>
    <w:uiPriority w:val="39"/>
    <w:rPr>
      <w:rFonts w:ascii="Times New Roman" w:hAnsi="Times New Roman" w:eastAsia="宋体"/>
      <w:smallCaps/>
      <w:kern w:val="2"/>
    </w:rPr>
  </w:style>
  <w:style w:type="character" w:customStyle="1" w:styleId="2237">
    <w:name w:val="标题 2 Char"/>
    <w:qFormat/>
    <w:uiPriority w:val="0"/>
    <w:rPr>
      <w:rFonts w:ascii="Calibri Light" w:hAnsi="Calibri Light" w:eastAsia="宋体" w:cs="Times New Roman"/>
      <w:b/>
      <w:bCs/>
      <w:kern w:val="2"/>
      <w:sz w:val="32"/>
      <w:szCs w:val="32"/>
    </w:rPr>
  </w:style>
  <w:style w:type="character" w:customStyle="1" w:styleId="2238">
    <w:name w:val="Char Char243"/>
    <w:qFormat/>
    <w:uiPriority w:val="0"/>
    <w:rPr>
      <w:rFonts w:ascii="楷体_GB2312" w:eastAsia="楷体_GB2312"/>
      <w:kern w:val="2"/>
      <w:sz w:val="28"/>
      <w:lang w:val="en-US" w:eastAsia="zh-CN" w:bidi="ar-SA"/>
    </w:rPr>
  </w:style>
  <w:style w:type="character" w:customStyle="1" w:styleId="2239">
    <w:name w:val="文本块 字符"/>
    <w:link w:val="39"/>
    <w:qFormat/>
    <w:locked/>
    <w:uiPriority w:val="0"/>
    <w:rPr>
      <w:kern w:val="2"/>
      <w:sz w:val="21"/>
      <w:szCs w:val="24"/>
    </w:rPr>
  </w:style>
  <w:style w:type="character" w:customStyle="1" w:styleId="2240">
    <w:name w:val="表后 Char"/>
    <w:link w:val="2241"/>
    <w:qFormat/>
    <w:uiPriority w:val="0"/>
    <w:rPr>
      <w:rFonts w:eastAsia="黑体"/>
      <w:color w:val="000000"/>
      <w:sz w:val="24"/>
      <w:szCs w:val="24"/>
    </w:rPr>
  </w:style>
  <w:style w:type="paragraph" w:customStyle="1" w:styleId="2241">
    <w:name w:val="表后"/>
    <w:basedOn w:val="1"/>
    <w:link w:val="2240"/>
    <w:qFormat/>
    <w:uiPriority w:val="0"/>
    <w:pPr>
      <w:adjustRightInd w:val="0"/>
      <w:snapToGrid w:val="0"/>
      <w:ind w:firstLine="480" w:firstLineChars="200"/>
    </w:pPr>
    <w:rPr>
      <w:rFonts w:eastAsia="黑体"/>
      <w:color w:val="000000"/>
      <w:kern w:val="0"/>
      <w:sz w:val="24"/>
    </w:rPr>
  </w:style>
  <w:style w:type="character" w:customStyle="1" w:styleId="2242">
    <w:name w:val="hb4 Char Char"/>
    <w:qFormat/>
    <w:uiPriority w:val="0"/>
    <w:rPr>
      <w:rFonts w:hint="eastAsia" w:ascii="宋体" w:hAnsi="宋体" w:eastAsia="宋体"/>
      <w:sz w:val="24"/>
      <w:szCs w:val="24"/>
      <w:lang w:val="en-US" w:eastAsia="zh-CN"/>
    </w:rPr>
  </w:style>
  <w:style w:type="character" w:customStyle="1" w:styleId="2243">
    <w:name w:val="报告表格 Char Char"/>
    <w:qFormat/>
    <w:locked/>
    <w:uiPriority w:val="0"/>
  </w:style>
  <w:style w:type="character" w:customStyle="1" w:styleId="2244">
    <w:name w:val="javascript1"/>
    <w:qFormat/>
    <w:uiPriority w:val="0"/>
    <w:rPr>
      <w:rFonts w:hint="default" w:ascii="Tahoma" w:hAnsi="Tahoma" w:cs="Tahoma"/>
      <w:sz w:val="18"/>
      <w:szCs w:val="18"/>
    </w:rPr>
  </w:style>
  <w:style w:type="character" w:customStyle="1" w:styleId="2245">
    <w:name w:val="表内容 Char"/>
    <w:link w:val="1230"/>
    <w:qFormat/>
    <w:uiPriority w:val="99"/>
    <w:rPr>
      <w:rFonts w:cs="宋体"/>
      <w:color w:val="000000"/>
      <w:kern w:val="2"/>
      <w:sz w:val="18"/>
    </w:rPr>
  </w:style>
  <w:style w:type="character" w:customStyle="1" w:styleId="2246">
    <w:name w:val="Char Char1431"/>
    <w:qFormat/>
    <w:uiPriority w:val="0"/>
    <w:rPr>
      <w:rFonts w:eastAsia="宋体"/>
      <w:kern w:val="2"/>
      <w:sz w:val="21"/>
      <w:szCs w:val="24"/>
      <w:lang w:val="en-US" w:eastAsia="zh-CN" w:bidi="ar-SA"/>
    </w:rPr>
  </w:style>
  <w:style w:type="character" w:customStyle="1" w:styleId="2247">
    <w:name w:val="Char Char351"/>
    <w:qFormat/>
    <w:uiPriority w:val="0"/>
    <w:rPr>
      <w:rFonts w:hint="default" w:eastAsia="宋体"/>
      <w:kern w:val="2"/>
      <w:sz w:val="24"/>
      <w:lang w:val="en-US" w:eastAsia="zh-CN"/>
    </w:rPr>
  </w:style>
  <w:style w:type="character" w:customStyle="1" w:styleId="2248">
    <w:name w:val="txtcontent11"/>
    <w:qFormat/>
    <w:uiPriority w:val="0"/>
    <w:rPr>
      <w:rFonts w:hint="default" w:ascii="ˎ̥" w:hAnsi="ˎ̥"/>
      <w:color w:val="000000"/>
      <w:sz w:val="21"/>
      <w:szCs w:val="21"/>
    </w:rPr>
  </w:style>
  <w:style w:type="character" w:customStyle="1" w:styleId="2249">
    <w:name w:val="0 正文 Char"/>
    <w:link w:val="2250"/>
    <w:qFormat/>
    <w:uiPriority w:val="0"/>
    <w:rPr>
      <w:sz w:val="24"/>
      <w:szCs w:val="24"/>
    </w:rPr>
  </w:style>
  <w:style w:type="paragraph" w:customStyle="1" w:styleId="2250">
    <w:name w:val="0 正文"/>
    <w:basedOn w:val="1"/>
    <w:link w:val="2249"/>
    <w:qFormat/>
    <w:uiPriority w:val="0"/>
    <w:pPr>
      <w:spacing w:line="360" w:lineRule="auto"/>
      <w:ind w:firstLine="200" w:firstLineChars="200"/>
    </w:pPr>
    <w:rPr>
      <w:kern w:val="0"/>
      <w:sz w:val="24"/>
    </w:rPr>
  </w:style>
  <w:style w:type="character" w:customStyle="1" w:styleId="2251">
    <w:name w:val="Char Char373"/>
    <w:qFormat/>
    <w:uiPriority w:val="0"/>
    <w:rPr>
      <w:rFonts w:ascii="Calibri" w:hAnsi="Calibri" w:eastAsia="宋体"/>
      <w:kern w:val="2"/>
      <w:sz w:val="18"/>
      <w:szCs w:val="18"/>
      <w:lang w:val="en-US" w:eastAsia="zh-CN" w:bidi="ar-SA"/>
    </w:rPr>
  </w:style>
  <w:style w:type="character" w:customStyle="1" w:styleId="2252">
    <w:name w:val="g_t_10 c08"/>
    <w:qFormat/>
    <w:uiPriority w:val="0"/>
  </w:style>
  <w:style w:type="character" w:customStyle="1" w:styleId="2253">
    <w:name w:val="表头名称 Char"/>
    <w:qFormat/>
    <w:uiPriority w:val="0"/>
    <w:rPr>
      <w:rFonts w:ascii="黑体" w:hAnsi="宋体" w:eastAsia="黑体"/>
      <w:kern w:val="2"/>
      <w:sz w:val="24"/>
      <w:szCs w:val="24"/>
      <w:lang w:val="en-US" w:eastAsia="zh-CN" w:bidi="ar-SA"/>
    </w:rPr>
  </w:style>
  <w:style w:type="character" w:customStyle="1" w:styleId="2254">
    <w:name w:val="Char Char723"/>
    <w:qFormat/>
    <w:uiPriority w:val="0"/>
    <w:rPr>
      <w:rFonts w:ascii="Times New Roman" w:hAnsi="Times New Roman" w:eastAsia="宋体" w:cs="Times New Roman"/>
      <w:szCs w:val="24"/>
    </w:rPr>
  </w:style>
  <w:style w:type="character" w:customStyle="1" w:styleId="2255">
    <w:name w:val="ak"/>
    <w:qFormat/>
    <w:uiPriority w:val="0"/>
  </w:style>
  <w:style w:type="character" w:customStyle="1" w:styleId="2256">
    <w:name w:val="Font Style374"/>
    <w:qFormat/>
    <w:uiPriority w:val="0"/>
    <w:rPr>
      <w:rFonts w:ascii="Times New Roman" w:hAnsi="Times New Roman" w:cs="Times New Roman"/>
      <w:sz w:val="12"/>
      <w:szCs w:val="12"/>
    </w:rPr>
  </w:style>
  <w:style w:type="character" w:customStyle="1" w:styleId="2257">
    <w:name w:val="3标题 Char Char"/>
    <w:qFormat/>
    <w:uiPriority w:val="0"/>
    <w:rPr>
      <w:b/>
      <w:bCs/>
      <w:color w:val="0000FF"/>
      <w:kern w:val="2"/>
      <w:sz w:val="28"/>
      <w:lang w:val="zh-CN"/>
    </w:rPr>
  </w:style>
  <w:style w:type="character" w:customStyle="1" w:styleId="2258">
    <w:name w:val="zhenwen141"/>
    <w:qFormat/>
    <w:uiPriority w:val="0"/>
    <w:rPr>
      <w:rFonts w:hint="default" w:ascii="ˎ̥" w:hAnsi="ˎ̥"/>
      <w:sz w:val="21"/>
      <w:szCs w:val="21"/>
    </w:rPr>
  </w:style>
  <w:style w:type="character" w:customStyle="1" w:styleId="2259">
    <w:name w:val="贾伦 标题4 Char Char Char"/>
    <w:qFormat/>
    <w:uiPriority w:val="0"/>
    <w:rPr>
      <w:rFonts w:ascii="Times New Roman" w:hAnsi="Times New Roman"/>
      <w:b/>
      <w:snapToGrid w:val="0"/>
      <w:color w:val="000000"/>
      <w:kern w:val="2"/>
      <w:sz w:val="24"/>
      <w:szCs w:val="28"/>
    </w:rPr>
  </w:style>
  <w:style w:type="character" w:customStyle="1" w:styleId="2260">
    <w:name w:val="样式 纯文本 + 行距: 1.5 倍行距 Char"/>
    <w:link w:val="2261"/>
    <w:qFormat/>
    <w:uiPriority w:val="0"/>
    <w:rPr>
      <w:rFonts w:cs="宋体"/>
      <w:sz w:val="24"/>
      <w:szCs w:val="24"/>
    </w:rPr>
  </w:style>
  <w:style w:type="paragraph" w:customStyle="1" w:styleId="2261">
    <w:name w:val="样式 纯文本 + 行距: 1.5 倍行距"/>
    <w:basedOn w:val="45"/>
    <w:link w:val="2260"/>
    <w:qFormat/>
    <w:uiPriority w:val="0"/>
    <w:pPr>
      <w:snapToGrid/>
      <w:spacing w:line="360" w:lineRule="auto"/>
      <w:ind w:firstLine="200" w:firstLineChars="200"/>
    </w:pPr>
    <w:rPr>
      <w:rFonts w:ascii="Times New Roman" w:hAnsi="Times New Roman" w:cs="宋体"/>
      <w:kern w:val="0"/>
      <w:sz w:val="24"/>
      <w:szCs w:val="24"/>
    </w:rPr>
  </w:style>
  <w:style w:type="character" w:customStyle="1" w:styleId="2262">
    <w:name w:val="正文3 Char Char"/>
    <w:qFormat/>
    <w:uiPriority w:val="0"/>
    <w:rPr>
      <w:rFonts w:ascii="宋体" w:hAnsi="宋体"/>
      <w:sz w:val="24"/>
    </w:rPr>
  </w:style>
  <w:style w:type="character" w:customStyle="1" w:styleId="2263">
    <w:name w:val="正文新 Char"/>
    <w:qFormat/>
    <w:uiPriority w:val="0"/>
    <w:rPr>
      <w:rFonts w:hint="eastAsia" w:ascii="宋体" w:hAnsi="宋体" w:eastAsia="宋体"/>
      <w:kern w:val="2"/>
      <w:sz w:val="24"/>
      <w:szCs w:val="24"/>
      <w:lang w:val="en-US" w:eastAsia="zh-CN" w:bidi="ar-SA"/>
    </w:rPr>
  </w:style>
  <w:style w:type="character" w:customStyle="1" w:styleId="2264">
    <w:name w:val="Char Char163"/>
    <w:qFormat/>
    <w:uiPriority w:val="0"/>
    <w:rPr>
      <w:rFonts w:ascii="Arial" w:hAnsi="Arial" w:eastAsia="黑体" w:cs="Times New Roman"/>
      <w:sz w:val="24"/>
      <w:szCs w:val="24"/>
    </w:rPr>
  </w:style>
  <w:style w:type="character" w:customStyle="1" w:styleId="2265">
    <w:name w:val="Char Char443"/>
    <w:qFormat/>
    <w:uiPriority w:val="0"/>
    <w:rPr>
      <w:rFonts w:eastAsia="宋体"/>
      <w:kern w:val="2"/>
      <w:sz w:val="18"/>
      <w:szCs w:val="18"/>
      <w:lang w:val="en-US" w:eastAsia="zh-CN" w:bidi="ar-SA"/>
    </w:rPr>
  </w:style>
  <w:style w:type="character" w:customStyle="1" w:styleId="2266">
    <w:name w:val="Char Char164"/>
    <w:qFormat/>
    <w:uiPriority w:val="0"/>
    <w:rPr>
      <w:rFonts w:ascii="Arial" w:hAnsi="Arial" w:eastAsia="黑体" w:cs="Times New Roman"/>
      <w:b/>
      <w:bCs/>
      <w:sz w:val="28"/>
      <w:szCs w:val="28"/>
    </w:rPr>
  </w:style>
  <w:style w:type="character" w:customStyle="1" w:styleId="2267">
    <w:name w:val="Char Char2921"/>
    <w:semiHidden/>
    <w:qFormat/>
    <w:uiPriority w:val="0"/>
    <w:rPr>
      <w:rFonts w:eastAsia="宋体"/>
      <w:kern w:val="2"/>
      <w:sz w:val="21"/>
      <w:szCs w:val="24"/>
      <w:lang w:val="en-US" w:eastAsia="zh-CN" w:bidi="ar-SA"/>
    </w:rPr>
  </w:style>
  <w:style w:type="character" w:customStyle="1" w:styleId="2268">
    <w:name w:val="666666-正文文本 Char Char"/>
    <w:qFormat/>
    <w:locked/>
    <w:uiPriority w:val="0"/>
    <w:rPr>
      <w:sz w:val="24"/>
      <w:szCs w:val="24"/>
    </w:rPr>
  </w:style>
  <w:style w:type="character" w:customStyle="1" w:styleId="2269">
    <w:name w:val="第五层条 Char1"/>
    <w:qFormat/>
    <w:uiPriority w:val="0"/>
    <w:rPr>
      <w:rFonts w:ascii="Arial" w:hAnsi="Arial" w:eastAsia="黑体"/>
      <w:b/>
      <w:bCs/>
      <w:sz w:val="24"/>
      <w:szCs w:val="24"/>
      <w:lang w:val="en-US" w:eastAsia="zh-CN" w:bidi="ar-SA"/>
    </w:rPr>
  </w:style>
  <w:style w:type="character" w:customStyle="1" w:styleId="2270">
    <w:name w:val="字元 Char Char2"/>
    <w:qFormat/>
    <w:uiPriority w:val="0"/>
    <w:rPr>
      <w:rFonts w:ascii="黑体" w:eastAsia="黑体"/>
      <w:bCs/>
      <w:color w:val="000000"/>
      <w:kern w:val="2"/>
      <w:sz w:val="30"/>
      <w:szCs w:val="24"/>
      <w:lang w:val="en-US" w:eastAsia="zh-CN" w:bidi="ar-SA"/>
    </w:rPr>
  </w:style>
  <w:style w:type="character" w:customStyle="1" w:styleId="2271">
    <w:name w:val="Char Char124"/>
    <w:qFormat/>
    <w:uiPriority w:val="0"/>
    <w:rPr>
      <w:rFonts w:ascii="Arial" w:hAnsi="Arial" w:eastAsia="黑体" w:cs="Times New Roman"/>
      <w:sz w:val="24"/>
      <w:szCs w:val="24"/>
    </w:rPr>
  </w:style>
  <w:style w:type="character" w:customStyle="1" w:styleId="2272">
    <w:name w:val="样式 标题 3小标题小节标题 + Char"/>
    <w:link w:val="2273"/>
    <w:qFormat/>
    <w:uiPriority w:val="0"/>
    <w:rPr>
      <w:rFonts w:ascii="Calibri" w:hAnsi="Calibri"/>
      <w:b/>
      <w:bCs/>
      <w:sz w:val="28"/>
      <w:szCs w:val="32"/>
    </w:rPr>
  </w:style>
  <w:style w:type="paragraph" w:customStyle="1" w:styleId="2273">
    <w:name w:val="样式 标题 3小标题小节标题 +"/>
    <w:basedOn w:val="5"/>
    <w:link w:val="2272"/>
    <w:qFormat/>
    <w:uiPriority w:val="0"/>
    <w:pPr>
      <w:tabs>
        <w:tab w:val="left" w:pos="709"/>
      </w:tabs>
      <w:adjustRightInd w:val="0"/>
      <w:snapToGrid w:val="0"/>
      <w:spacing w:before="0" w:after="0" w:line="360" w:lineRule="auto"/>
      <w:ind w:left="720" w:hanging="432"/>
    </w:pPr>
    <w:rPr>
      <w:rFonts w:ascii="Calibri" w:hAnsi="Calibri"/>
      <w:kern w:val="0"/>
      <w:sz w:val="28"/>
    </w:rPr>
  </w:style>
  <w:style w:type="character" w:customStyle="1" w:styleId="2274">
    <w:name w:val="Char Char68"/>
    <w:qFormat/>
    <w:uiPriority w:val="0"/>
    <w:rPr>
      <w:rFonts w:ascii="Times New Roman" w:hAnsi="Times New Roman" w:eastAsia="宋体" w:cs="Times New Roman"/>
      <w:sz w:val="18"/>
      <w:szCs w:val="20"/>
    </w:rPr>
  </w:style>
  <w:style w:type="character" w:customStyle="1" w:styleId="2275">
    <w:name w:val="Char Char295"/>
    <w:qFormat/>
    <w:uiPriority w:val="0"/>
    <w:rPr>
      <w:rFonts w:eastAsia="宋体"/>
      <w:kern w:val="2"/>
      <w:sz w:val="21"/>
      <w:szCs w:val="24"/>
      <w:lang w:val="en-US" w:eastAsia="zh-CN" w:bidi="ar-SA"/>
    </w:rPr>
  </w:style>
  <w:style w:type="character" w:customStyle="1" w:styleId="2276">
    <w:name w:val="highlight1"/>
    <w:qFormat/>
    <w:uiPriority w:val="0"/>
    <w:rPr>
      <w:sz w:val="21"/>
      <w:szCs w:val="21"/>
    </w:rPr>
  </w:style>
  <w:style w:type="character" w:customStyle="1" w:styleId="2277">
    <w:name w:val="浩霖正文文字 Char"/>
    <w:link w:val="2278"/>
    <w:qFormat/>
    <w:uiPriority w:val="0"/>
    <w:rPr>
      <w:rFonts w:eastAsia="仿宋_GB2312"/>
      <w:sz w:val="24"/>
    </w:rPr>
  </w:style>
  <w:style w:type="paragraph" w:customStyle="1" w:styleId="2278">
    <w:name w:val="浩霖正文文字"/>
    <w:basedOn w:val="1"/>
    <w:link w:val="2277"/>
    <w:qFormat/>
    <w:uiPriority w:val="0"/>
    <w:pPr>
      <w:snapToGrid w:val="0"/>
      <w:ind w:firstLine="480" w:firstLineChars="200"/>
    </w:pPr>
    <w:rPr>
      <w:rFonts w:eastAsia="仿宋_GB2312"/>
      <w:kern w:val="0"/>
      <w:sz w:val="24"/>
      <w:szCs w:val="20"/>
    </w:rPr>
  </w:style>
  <w:style w:type="character" w:customStyle="1" w:styleId="2279">
    <w:name w:val="Char Char401"/>
    <w:qFormat/>
    <w:uiPriority w:val="0"/>
    <w:rPr>
      <w:rFonts w:hint="default" w:eastAsia="宋体"/>
      <w:kern w:val="2"/>
      <w:sz w:val="18"/>
      <w:lang w:val="en-US" w:eastAsia="zh-CN"/>
    </w:rPr>
  </w:style>
  <w:style w:type="character" w:customStyle="1" w:styleId="2280">
    <w:name w:val="正缩1 Char"/>
    <w:link w:val="2281"/>
    <w:qFormat/>
    <w:uiPriority w:val="0"/>
    <w:rPr>
      <w:rFonts w:eastAsia="仿宋_GB2312"/>
      <w:color w:val="000000"/>
      <w:sz w:val="28"/>
      <w:lang w:val="zh-CN"/>
    </w:rPr>
  </w:style>
  <w:style w:type="paragraph" w:customStyle="1" w:styleId="2281">
    <w:name w:val="正缩1"/>
    <w:basedOn w:val="1"/>
    <w:link w:val="2280"/>
    <w:qFormat/>
    <w:uiPriority w:val="0"/>
    <w:pPr>
      <w:snapToGrid w:val="0"/>
      <w:spacing w:line="500" w:lineRule="exact"/>
      <w:ind w:firstLine="567"/>
    </w:pPr>
    <w:rPr>
      <w:rFonts w:eastAsia="仿宋_GB2312"/>
      <w:color w:val="000000"/>
      <w:kern w:val="0"/>
      <w:sz w:val="28"/>
      <w:szCs w:val="20"/>
      <w:lang w:val="zh-CN"/>
    </w:rPr>
  </w:style>
  <w:style w:type="character" w:customStyle="1" w:styleId="2282">
    <w:name w:val="Char Char155"/>
    <w:qFormat/>
    <w:uiPriority w:val="0"/>
    <w:rPr>
      <w:rFonts w:ascii="Arial" w:hAnsi="Arial" w:eastAsia="黑体" w:cs="Times New Roman"/>
      <w:b/>
      <w:bCs/>
      <w:sz w:val="28"/>
      <w:szCs w:val="28"/>
    </w:rPr>
  </w:style>
  <w:style w:type="character" w:customStyle="1" w:styleId="2283">
    <w:name w:val="1.1标题2 Char Char"/>
    <w:qFormat/>
    <w:uiPriority w:val="0"/>
    <w:rPr>
      <w:rFonts w:ascii="Arial" w:hAnsi="Arial" w:eastAsia="黑体"/>
      <w:b/>
      <w:bCs/>
      <w:kern w:val="2"/>
      <w:sz w:val="32"/>
      <w:szCs w:val="32"/>
      <w:lang w:val="en-US" w:eastAsia="zh-CN" w:bidi="ar-SA"/>
    </w:rPr>
  </w:style>
  <w:style w:type="character" w:customStyle="1" w:styleId="2284">
    <w:name w:val="样式 正文缩进正文（首行缩进两字） Char标题四 + (西文) 宋体 小四3 Char"/>
    <w:link w:val="2285"/>
    <w:qFormat/>
    <w:uiPriority w:val="0"/>
    <w:rPr>
      <w:rFonts w:ascii="宋体" w:hAnsi="宋体" w:eastAsia="仿宋_GB2312"/>
      <w:color w:val="000000"/>
      <w:sz w:val="28"/>
      <w:szCs w:val="28"/>
    </w:rPr>
  </w:style>
  <w:style w:type="paragraph" w:customStyle="1" w:styleId="2285">
    <w:name w:val="样式 正文缩进正文（首行缩进两字） Char标题四 + (西文) 宋体 小四3"/>
    <w:basedOn w:val="21"/>
    <w:link w:val="2284"/>
    <w:qFormat/>
    <w:uiPriority w:val="0"/>
    <w:pPr>
      <w:spacing w:line="312" w:lineRule="auto"/>
      <w:ind w:firstLine="200"/>
    </w:pPr>
    <w:rPr>
      <w:rFonts w:ascii="宋体" w:hAnsi="宋体" w:eastAsia="仿宋_GB2312"/>
      <w:color w:val="000000"/>
      <w:kern w:val="0"/>
      <w:sz w:val="28"/>
      <w:szCs w:val="28"/>
    </w:rPr>
  </w:style>
  <w:style w:type="character" w:customStyle="1" w:styleId="2286">
    <w:name w:val="不明显强调11"/>
    <w:qFormat/>
    <w:uiPriority w:val="19"/>
    <w:rPr>
      <w:i/>
      <w:iCs/>
    </w:rPr>
  </w:style>
  <w:style w:type="character" w:customStyle="1" w:styleId="2287">
    <w:name w:val="Char Char93"/>
    <w:qFormat/>
    <w:uiPriority w:val="0"/>
    <w:rPr>
      <w:rFonts w:ascii="宋体" w:hAnsi="宋体" w:eastAsia="宋体"/>
      <w:sz w:val="24"/>
      <w:lang w:val="en-US" w:eastAsia="zh-CN" w:bidi="ar-SA"/>
    </w:rPr>
  </w:style>
  <w:style w:type="character" w:customStyle="1" w:styleId="2288">
    <w:name w:val="Char Char396"/>
    <w:qFormat/>
    <w:uiPriority w:val="0"/>
    <w:rPr>
      <w:rFonts w:ascii="Times New Roman" w:hAnsi="Times New Roman" w:eastAsia="宋体" w:cs="Times New Roman"/>
      <w:sz w:val="18"/>
      <w:szCs w:val="18"/>
    </w:rPr>
  </w:style>
  <w:style w:type="character" w:customStyle="1" w:styleId="2289">
    <w:name w:val="正文文字 2 Char Char6"/>
    <w:qFormat/>
    <w:uiPriority w:val="0"/>
    <w:rPr>
      <w:rFonts w:eastAsia="宋体"/>
      <w:kern w:val="2"/>
      <w:sz w:val="28"/>
      <w:szCs w:val="24"/>
      <w:lang w:val="en-US" w:eastAsia="zh-CN" w:bidi="ar-SA"/>
    </w:rPr>
  </w:style>
  <w:style w:type="character" w:customStyle="1" w:styleId="2290">
    <w:name w:val="样式5 Char Char"/>
    <w:link w:val="704"/>
    <w:qFormat/>
    <w:uiPriority w:val="0"/>
    <w:rPr>
      <w:kern w:val="2"/>
      <w:sz w:val="21"/>
      <w:szCs w:val="24"/>
    </w:rPr>
  </w:style>
  <w:style w:type="character" w:customStyle="1" w:styleId="2291">
    <w:name w:val="Char Char581"/>
    <w:qFormat/>
    <w:uiPriority w:val="0"/>
    <w:rPr>
      <w:rFonts w:ascii="Cambria" w:hAnsi="Cambria" w:eastAsia="宋体" w:cs="Times New Roman"/>
      <w:spacing w:val="5"/>
      <w:kern w:val="0"/>
      <w:sz w:val="52"/>
      <w:szCs w:val="52"/>
    </w:rPr>
  </w:style>
  <w:style w:type="character" w:customStyle="1" w:styleId="2292">
    <w:name w:val="Char Char48"/>
    <w:qFormat/>
    <w:uiPriority w:val="0"/>
    <w:rPr>
      <w:rFonts w:hint="eastAsia" w:ascii="Times New Roman" w:hAnsi="Times New Roman" w:eastAsia="宋体"/>
    </w:rPr>
  </w:style>
  <w:style w:type="character" w:customStyle="1" w:styleId="2293">
    <w:name w:val="Char Char233"/>
    <w:qFormat/>
    <w:uiPriority w:val="0"/>
    <w:rPr>
      <w:rFonts w:ascii="宋体" w:hAnsi="宋体" w:eastAsia="宋体" w:cs="宋体"/>
      <w:sz w:val="24"/>
      <w:szCs w:val="24"/>
      <w:lang w:val="en-US" w:eastAsia="zh-CN" w:bidi="ar-SA"/>
    </w:rPr>
  </w:style>
  <w:style w:type="character" w:customStyle="1" w:styleId="2294">
    <w:name w:val="表图注 Char Char"/>
    <w:qFormat/>
    <w:uiPriority w:val="0"/>
    <w:rPr>
      <w:rFonts w:ascii="Times New Roman" w:hAnsi="Times New Roman"/>
      <w:kern w:val="2"/>
      <w:sz w:val="21"/>
      <w:szCs w:val="24"/>
    </w:rPr>
  </w:style>
  <w:style w:type="character" w:customStyle="1" w:styleId="2295">
    <w:name w:val="Char Char128"/>
    <w:qFormat/>
    <w:uiPriority w:val="0"/>
    <w:rPr>
      <w:rFonts w:ascii="Arial" w:hAnsi="Arial" w:eastAsia="黑体" w:cs="Times New Roman"/>
      <w:szCs w:val="21"/>
    </w:rPr>
  </w:style>
  <w:style w:type="character" w:customStyle="1" w:styleId="2296">
    <w:name w:val="Char Char45"/>
    <w:qFormat/>
    <w:uiPriority w:val="0"/>
    <w:rPr>
      <w:rFonts w:hint="eastAsia" w:ascii="Times New Roman" w:hAnsi="Times New Roman" w:eastAsia="宋体"/>
      <w:sz w:val="18"/>
      <w:lang w:val="en-US" w:eastAsia="zh-CN"/>
    </w:rPr>
  </w:style>
  <w:style w:type="character" w:customStyle="1" w:styleId="2297">
    <w:name w:val="纯文本 Char3"/>
    <w:qFormat/>
    <w:uiPriority w:val="0"/>
    <w:rPr>
      <w:rFonts w:ascii="宋体" w:hAnsi="Courier New" w:cs="Courier New"/>
      <w:kern w:val="2"/>
      <w:sz w:val="21"/>
      <w:szCs w:val="21"/>
    </w:rPr>
  </w:style>
  <w:style w:type="character" w:customStyle="1" w:styleId="2298">
    <w:name w:val="123YJ Char Char3"/>
    <w:qFormat/>
    <w:uiPriority w:val="0"/>
    <w:rPr>
      <w:kern w:val="2"/>
      <w:sz w:val="18"/>
      <w:szCs w:val="18"/>
    </w:rPr>
  </w:style>
  <w:style w:type="character" w:customStyle="1" w:styleId="2299">
    <w:name w:val="1标题 Char"/>
    <w:link w:val="2300"/>
    <w:qFormat/>
    <w:locked/>
    <w:uiPriority w:val="0"/>
    <w:rPr>
      <w:rFonts w:ascii="Calibri" w:hAnsi="Calibri"/>
      <w:b/>
      <w:bCs/>
      <w:kern w:val="44"/>
      <w:sz w:val="32"/>
      <w:szCs w:val="44"/>
    </w:rPr>
  </w:style>
  <w:style w:type="paragraph" w:customStyle="1" w:styleId="2300">
    <w:name w:val="1标题"/>
    <w:basedOn w:val="3"/>
    <w:link w:val="2299"/>
    <w:qFormat/>
    <w:uiPriority w:val="0"/>
    <w:pPr>
      <w:tabs>
        <w:tab w:val="left" w:pos="425"/>
      </w:tabs>
      <w:adjustRightInd w:val="0"/>
      <w:snapToGrid w:val="0"/>
      <w:spacing w:before="0" w:after="0" w:line="360" w:lineRule="auto"/>
    </w:pPr>
    <w:rPr>
      <w:rFonts w:ascii="Calibri" w:hAnsi="Calibri"/>
      <w:sz w:val="32"/>
    </w:rPr>
  </w:style>
  <w:style w:type="character" w:customStyle="1" w:styleId="2301">
    <w:name w:val="Char Char444"/>
    <w:qFormat/>
    <w:uiPriority w:val="0"/>
    <w:rPr>
      <w:rFonts w:eastAsia="宋体"/>
      <w:kern w:val="2"/>
      <w:sz w:val="18"/>
      <w:szCs w:val="18"/>
      <w:lang w:val="en-US" w:eastAsia="zh-CN" w:bidi="ar-SA"/>
    </w:rPr>
  </w:style>
  <w:style w:type="character" w:customStyle="1" w:styleId="2302">
    <w:name w:val="干标题(a) Char Char"/>
    <w:qFormat/>
    <w:uiPriority w:val="0"/>
    <w:rPr>
      <w:rFonts w:ascii="Arial" w:hAnsi="Arial" w:eastAsia="黑体"/>
      <w:kern w:val="2"/>
      <w:sz w:val="21"/>
      <w:szCs w:val="21"/>
      <w:lang w:val="en-US" w:eastAsia="zh-CN" w:bidi="ar-SA"/>
    </w:rPr>
  </w:style>
  <w:style w:type="character" w:customStyle="1" w:styleId="2303">
    <w:name w:val="表号 Char1"/>
    <w:qFormat/>
    <w:uiPriority w:val="0"/>
    <w:rPr>
      <w:rFonts w:hint="eastAsia" w:ascii="宋体" w:hAnsi="宋体" w:eastAsia="宋体"/>
      <w:sz w:val="24"/>
      <w:szCs w:val="24"/>
      <w:lang w:val="en-US" w:eastAsia="zh-CN" w:bidi="ar-SA"/>
    </w:rPr>
  </w:style>
  <w:style w:type="character" w:customStyle="1" w:styleId="2304">
    <w:name w:val="样式12q Char"/>
    <w:link w:val="2305"/>
    <w:qFormat/>
    <w:uiPriority w:val="0"/>
    <w:rPr>
      <w:sz w:val="28"/>
      <w:szCs w:val="28"/>
    </w:rPr>
  </w:style>
  <w:style w:type="paragraph" w:customStyle="1" w:styleId="2305">
    <w:name w:val="样式12q"/>
    <w:basedOn w:val="1"/>
    <w:link w:val="2304"/>
    <w:qFormat/>
    <w:uiPriority w:val="0"/>
    <w:pPr>
      <w:spacing w:line="360" w:lineRule="auto"/>
      <w:ind w:firstLine="560" w:firstLineChars="200"/>
    </w:pPr>
    <w:rPr>
      <w:kern w:val="0"/>
      <w:sz w:val="28"/>
      <w:szCs w:val="28"/>
    </w:rPr>
  </w:style>
  <w:style w:type="character" w:customStyle="1" w:styleId="2306">
    <w:name w:val="签名 Char3"/>
    <w:qFormat/>
    <w:uiPriority w:val="99"/>
    <w:rPr>
      <w:rFonts w:ascii="Calibri" w:hAnsi="Calibri" w:eastAsia="宋体" w:cs="Times New Roman"/>
      <w:kern w:val="0"/>
      <w:sz w:val="22"/>
    </w:rPr>
  </w:style>
  <w:style w:type="character" w:customStyle="1" w:styleId="2307">
    <w:name w:val="Char Char114"/>
    <w:qFormat/>
    <w:uiPriority w:val="0"/>
    <w:rPr>
      <w:rFonts w:ascii="Times New Roman" w:hAnsi="Times New Roman" w:eastAsia="宋体" w:cs="Times New Roman"/>
      <w:szCs w:val="24"/>
      <w:shd w:val="clear" w:color="auto" w:fill="000080"/>
    </w:rPr>
  </w:style>
  <w:style w:type="character" w:customStyle="1" w:styleId="2308">
    <w:name w:val="Char Char Char Char Char Char Char Char Char Char Char Char Char Char Char  Char Char"/>
    <w:qFormat/>
    <w:uiPriority w:val="0"/>
    <w:rPr>
      <w:rFonts w:ascii="Arial" w:hAnsi="Arial" w:eastAsia="黑体" w:cs="Arial"/>
      <w:kern w:val="2"/>
      <w:lang w:val="en-US" w:eastAsia="zh-CN" w:bidi="ar-SA"/>
    </w:rPr>
  </w:style>
  <w:style w:type="character" w:customStyle="1" w:styleId="2309">
    <w:name w:val="tit2"/>
    <w:qFormat/>
    <w:uiPriority w:val="0"/>
    <w:rPr>
      <w:b/>
      <w:bCs/>
      <w:sz w:val="48"/>
      <w:szCs w:val="48"/>
    </w:rPr>
  </w:style>
  <w:style w:type="character" w:customStyle="1" w:styleId="2310">
    <w:name w:val="Char Char171"/>
    <w:qFormat/>
    <w:uiPriority w:val="0"/>
    <w:rPr>
      <w:rFonts w:ascii="Times New Roman" w:hAnsi="Times New Roman" w:eastAsia="宋体" w:cs="Times New Roman"/>
      <w:b/>
      <w:bCs/>
      <w:sz w:val="24"/>
      <w:szCs w:val="24"/>
    </w:rPr>
  </w:style>
  <w:style w:type="character" w:customStyle="1" w:styleId="2311">
    <w:name w:val="明显强调2"/>
    <w:qFormat/>
    <w:uiPriority w:val="0"/>
    <w:rPr>
      <w:b/>
      <w:bCs/>
    </w:rPr>
  </w:style>
  <w:style w:type="character" w:customStyle="1" w:styleId="2312">
    <w:name w:val="a14"/>
    <w:qFormat/>
    <w:uiPriority w:val="0"/>
  </w:style>
  <w:style w:type="character" w:customStyle="1" w:styleId="2313">
    <w:name w:val="表文 Char2"/>
    <w:qFormat/>
    <w:uiPriority w:val="0"/>
    <w:rPr>
      <w:rFonts w:ascii="宋体" w:hAnsi="宋体"/>
      <w:sz w:val="24"/>
      <w:szCs w:val="18"/>
    </w:rPr>
  </w:style>
  <w:style w:type="character" w:customStyle="1" w:styleId="2314">
    <w:name w:val="正文 小丹 Char1"/>
    <w:link w:val="2315"/>
    <w:semiHidden/>
    <w:qFormat/>
    <w:locked/>
    <w:uiPriority w:val="99"/>
    <w:rPr>
      <w:rFonts w:ascii="宋体" w:hAnsi="宋体"/>
      <w:color w:val="000000"/>
      <w:spacing w:val="6"/>
      <w:sz w:val="24"/>
      <w:szCs w:val="24"/>
    </w:rPr>
  </w:style>
  <w:style w:type="paragraph" w:customStyle="1" w:styleId="2315">
    <w:name w:val="正文 小丹"/>
    <w:basedOn w:val="86"/>
    <w:link w:val="2314"/>
    <w:semiHidden/>
    <w:qFormat/>
    <w:uiPriority w:val="99"/>
    <w:pPr>
      <w:ind w:firstLine="200" w:firstLineChars="200"/>
      <w:textAlignment w:val="baseline"/>
    </w:pPr>
    <w:rPr>
      <w:rFonts w:ascii="宋体" w:hAnsi="宋体"/>
      <w:color w:val="000000"/>
      <w:spacing w:val="6"/>
      <w:kern w:val="0"/>
      <w:sz w:val="24"/>
    </w:rPr>
  </w:style>
  <w:style w:type="character" w:customStyle="1" w:styleId="2316">
    <w:name w:val="Char Char161"/>
    <w:qFormat/>
    <w:uiPriority w:val="0"/>
    <w:rPr>
      <w:rFonts w:ascii="Arial" w:hAnsi="Arial" w:eastAsia="黑体" w:cs="Times New Roman"/>
      <w:sz w:val="24"/>
      <w:szCs w:val="24"/>
    </w:rPr>
  </w:style>
  <w:style w:type="character" w:customStyle="1" w:styleId="2317">
    <w:name w:val="lawsitemtext1"/>
    <w:qFormat/>
    <w:uiPriority w:val="0"/>
    <w:rPr>
      <w:color w:val="154863"/>
      <w:sz w:val="21"/>
      <w:szCs w:val="21"/>
    </w:rPr>
  </w:style>
  <w:style w:type="character" w:customStyle="1" w:styleId="2318">
    <w:name w:val="Char Char255"/>
    <w:qFormat/>
    <w:uiPriority w:val="0"/>
    <w:rPr>
      <w:rFonts w:eastAsia="宋体"/>
      <w:kern w:val="2"/>
      <w:sz w:val="21"/>
      <w:lang w:val="en-US" w:eastAsia="zh-CN" w:bidi="ar-SA"/>
    </w:rPr>
  </w:style>
  <w:style w:type="character" w:customStyle="1" w:styleId="2319">
    <w:name w:val="图注 Char"/>
    <w:link w:val="1223"/>
    <w:qFormat/>
    <w:uiPriority w:val="0"/>
    <w:rPr>
      <w:rFonts w:ascii="宋体" w:hAnsi="宋体"/>
      <w:bCs/>
      <w:color w:val="000000"/>
      <w:sz w:val="24"/>
      <w:szCs w:val="24"/>
    </w:rPr>
  </w:style>
  <w:style w:type="character" w:customStyle="1" w:styleId="2320">
    <w:name w:val="表格文字—五号 Char"/>
    <w:link w:val="2321"/>
    <w:qFormat/>
    <w:uiPriority w:val="0"/>
    <w:rPr>
      <w:szCs w:val="24"/>
    </w:rPr>
  </w:style>
  <w:style w:type="paragraph" w:customStyle="1" w:styleId="2321">
    <w:name w:val="表格文字—五号"/>
    <w:basedOn w:val="1"/>
    <w:link w:val="2320"/>
    <w:qFormat/>
    <w:uiPriority w:val="0"/>
    <w:pPr>
      <w:jc w:val="center"/>
    </w:pPr>
    <w:rPr>
      <w:kern w:val="0"/>
      <w:sz w:val="20"/>
    </w:rPr>
  </w:style>
  <w:style w:type="character" w:customStyle="1" w:styleId="2322">
    <w:name w:val="888-正文 Char Char Char"/>
    <w:qFormat/>
    <w:uiPriority w:val="0"/>
    <w:rPr>
      <w:rFonts w:ascii="Times New Roman" w:hAnsi="Times New Roman"/>
      <w:kern w:val="2"/>
      <w:sz w:val="24"/>
      <w:szCs w:val="24"/>
    </w:rPr>
  </w:style>
  <w:style w:type="character" w:customStyle="1" w:styleId="2323">
    <w:name w:val="Font Style392"/>
    <w:qFormat/>
    <w:uiPriority w:val="0"/>
    <w:rPr>
      <w:rFonts w:ascii="宋体" w:eastAsia="宋体" w:cs="宋体"/>
      <w:w w:val="150"/>
      <w:sz w:val="16"/>
      <w:szCs w:val="16"/>
    </w:rPr>
  </w:style>
  <w:style w:type="character" w:customStyle="1" w:styleId="2324">
    <w:name w:val="2 标题 Char Char"/>
    <w:qFormat/>
    <w:uiPriority w:val="0"/>
    <w:rPr>
      <w:rFonts w:hint="eastAsia" w:ascii="宋体" w:hAnsi="宋体" w:eastAsia="宋体"/>
      <w:b/>
      <w:color w:val="0000FF"/>
      <w:kern w:val="2"/>
      <w:sz w:val="32"/>
      <w:lang w:val="en-US" w:eastAsia="zh-CN" w:bidi="ar-SA"/>
    </w:rPr>
  </w:style>
  <w:style w:type="character" w:customStyle="1" w:styleId="2325">
    <w:name w:val="图号 Char Char Char"/>
    <w:qFormat/>
    <w:uiPriority w:val="0"/>
    <w:rPr>
      <w:rFonts w:eastAsia="宋体"/>
      <w:b/>
      <w:bCs/>
      <w:kern w:val="32"/>
      <w:sz w:val="24"/>
      <w:szCs w:val="24"/>
      <w:lang w:val="en-US" w:eastAsia="zh-CN" w:bidi="ar-SA"/>
    </w:rPr>
  </w:style>
  <w:style w:type="character" w:customStyle="1" w:styleId="2326">
    <w:name w:val="正文文本 2 Char3"/>
    <w:qFormat/>
    <w:uiPriority w:val="99"/>
    <w:rPr>
      <w:rFonts w:ascii="Calibri" w:hAnsi="Calibri" w:eastAsia="宋体" w:cs="Times New Roman"/>
      <w:kern w:val="0"/>
      <w:sz w:val="22"/>
    </w:rPr>
  </w:style>
  <w:style w:type="character" w:customStyle="1" w:styleId="2327">
    <w:name w:val="表格文字1 Char"/>
    <w:qFormat/>
    <w:uiPriority w:val="0"/>
    <w:rPr>
      <w:rFonts w:ascii="宋体" w:hAnsi="Courier New" w:eastAsia="宋体" w:cs="Courier New"/>
      <w:kern w:val="2"/>
      <w:sz w:val="21"/>
      <w:szCs w:val="21"/>
      <w:lang w:val="en-US" w:eastAsia="zh-CN" w:bidi="ar-SA"/>
    </w:rPr>
  </w:style>
  <w:style w:type="character" w:customStyle="1" w:styleId="2328">
    <w:name w:val="晓丹 Char"/>
    <w:link w:val="2329"/>
    <w:qFormat/>
    <w:locked/>
    <w:uiPriority w:val="99"/>
    <w:rPr>
      <w:rFonts w:ascii="宋体" w:hAnsi="宋体"/>
      <w:color w:val="000000"/>
      <w:spacing w:val="6"/>
      <w:sz w:val="24"/>
      <w:szCs w:val="24"/>
    </w:rPr>
  </w:style>
  <w:style w:type="paragraph" w:customStyle="1" w:styleId="2329">
    <w:name w:val="晓丹"/>
    <w:basedOn w:val="86"/>
    <w:link w:val="2328"/>
    <w:qFormat/>
    <w:uiPriority w:val="99"/>
    <w:pPr>
      <w:ind w:firstLine="200" w:firstLineChars="200"/>
      <w:textAlignment w:val="baseline"/>
    </w:pPr>
    <w:rPr>
      <w:rFonts w:ascii="宋体" w:hAnsi="宋体"/>
      <w:color w:val="000000"/>
      <w:spacing w:val="6"/>
      <w:kern w:val="0"/>
      <w:sz w:val="24"/>
    </w:rPr>
  </w:style>
  <w:style w:type="character" w:customStyle="1" w:styleId="2330">
    <w:name w:val="14red1"/>
    <w:qFormat/>
    <w:uiPriority w:val="0"/>
    <w:rPr>
      <w:color w:val="FF0000"/>
      <w:sz w:val="21"/>
      <w:szCs w:val="21"/>
      <w:u w:val="none"/>
    </w:rPr>
  </w:style>
  <w:style w:type="character" w:customStyle="1" w:styleId="2331">
    <w:name w:val="Char Char1031"/>
    <w:qFormat/>
    <w:uiPriority w:val="0"/>
    <w:rPr>
      <w:rFonts w:eastAsia="宋体"/>
      <w:kern w:val="2"/>
      <w:sz w:val="18"/>
      <w:szCs w:val="18"/>
      <w:lang w:val="en-US" w:eastAsia="zh-CN" w:bidi="ar-SA"/>
    </w:rPr>
  </w:style>
  <w:style w:type="character" w:customStyle="1" w:styleId="2332">
    <w:name w:val="Char Char144"/>
    <w:qFormat/>
    <w:uiPriority w:val="0"/>
    <w:rPr>
      <w:rFonts w:ascii="Arial" w:hAnsi="Arial" w:eastAsia="黑体" w:cs="Times New Roman"/>
      <w:b/>
      <w:bCs/>
      <w:sz w:val="24"/>
      <w:szCs w:val="24"/>
    </w:rPr>
  </w:style>
  <w:style w:type="character" w:customStyle="1" w:styleId="2333">
    <w:name w:val="Char Char671"/>
    <w:qFormat/>
    <w:uiPriority w:val="0"/>
    <w:rPr>
      <w:rFonts w:ascii="Times New Roman" w:hAnsi="Times New Roman" w:eastAsia="宋体" w:cs="Times New Roman"/>
      <w:sz w:val="18"/>
      <w:szCs w:val="18"/>
    </w:rPr>
  </w:style>
  <w:style w:type="character" w:customStyle="1" w:styleId="2334">
    <w:name w:val="Char Char356"/>
    <w:qFormat/>
    <w:uiPriority w:val="0"/>
    <w:rPr>
      <w:rFonts w:ascii="Calibri" w:hAnsi="Calibri" w:eastAsia="宋体"/>
      <w:b/>
      <w:bCs/>
      <w:kern w:val="2"/>
      <w:sz w:val="24"/>
      <w:szCs w:val="22"/>
      <w:lang w:val="en-US" w:eastAsia="zh-CN" w:bidi="ar-SA"/>
    </w:rPr>
  </w:style>
  <w:style w:type="character" w:customStyle="1" w:styleId="2335">
    <w:name w:val="Body Text Indent 3 Char Char"/>
    <w:qFormat/>
    <w:uiPriority w:val="0"/>
    <w:rPr>
      <w:rFonts w:ascii="宋体" w:hAnsi="宋体" w:eastAsia="宋体"/>
      <w:kern w:val="2"/>
      <w:sz w:val="24"/>
      <w:szCs w:val="24"/>
      <w:lang w:val="en-US" w:eastAsia="zh-CN" w:bidi="ar-SA"/>
    </w:rPr>
  </w:style>
  <w:style w:type="character" w:customStyle="1" w:styleId="2336">
    <w:name w:val="Char Char310"/>
    <w:qFormat/>
    <w:uiPriority w:val="0"/>
    <w:rPr>
      <w:rFonts w:hint="eastAsia" w:ascii="宋体" w:hAnsi="宋体" w:eastAsia="宋体"/>
      <w:kern w:val="2"/>
      <w:sz w:val="24"/>
      <w:lang w:val="en-US" w:eastAsia="zh-CN"/>
    </w:rPr>
  </w:style>
  <w:style w:type="character" w:customStyle="1" w:styleId="2337">
    <w:name w:val="明显引用 Char2"/>
    <w:qFormat/>
    <w:uiPriority w:val="30"/>
    <w:rPr>
      <w:rFonts w:ascii="Times New Roman" w:hAnsi="Times New Roman"/>
      <w:b/>
      <w:bCs/>
      <w:i/>
      <w:iCs/>
      <w:color w:val="4F81BD"/>
      <w:kern w:val="2"/>
      <w:sz w:val="21"/>
      <w:szCs w:val="24"/>
    </w:rPr>
  </w:style>
  <w:style w:type="character" w:customStyle="1" w:styleId="2338">
    <w:name w:val="标题15"/>
    <w:qFormat/>
    <w:uiPriority w:val="0"/>
  </w:style>
  <w:style w:type="character" w:customStyle="1" w:styleId="2339">
    <w:name w:val="Font Style399"/>
    <w:qFormat/>
    <w:uiPriority w:val="0"/>
    <w:rPr>
      <w:rFonts w:ascii="宋体" w:eastAsia="宋体" w:cs="宋体"/>
      <w:i/>
      <w:iCs/>
      <w:spacing w:val="60"/>
      <w:w w:val="200"/>
      <w:sz w:val="10"/>
      <w:szCs w:val="10"/>
    </w:rPr>
  </w:style>
  <w:style w:type="character" w:customStyle="1" w:styleId="2340">
    <w:name w:val="lanmu_title1"/>
    <w:qFormat/>
    <w:uiPriority w:val="0"/>
    <w:rPr>
      <w:b/>
      <w:bCs/>
      <w:color w:val="000000"/>
      <w:sz w:val="24"/>
      <w:szCs w:val="24"/>
    </w:rPr>
  </w:style>
  <w:style w:type="character" w:customStyle="1" w:styleId="2341">
    <w:name w:val="表文字 Char1"/>
    <w:link w:val="846"/>
    <w:qFormat/>
    <w:uiPriority w:val="0"/>
    <w:rPr>
      <w:rFonts w:ascii="宋体" w:hAnsi="宋体"/>
      <w:sz w:val="21"/>
      <w:szCs w:val="21"/>
    </w:rPr>
  </w:style>
  <w:style w:type="character" w:customStyle="1" w:styleId="2342">
    <w:name w:val="奇数页眉 Char Char1"/>
    <w:qFormat/>
    <w:uiPriority w:val="0"/>
    <w:rPr>
      <w:rFonts w:eastAsia="宋体"/>
      <w:kern w:val="2"/>
      <w:sz w:val="18"/>
      <w:szCs w:val="18"/>
      <w:lang w:val="en-US" w:eastAsia="zh-CN" w:bidi="ar-SA"/>
    </w:rPr>
  </w:style>
  <w:style w:type="character" w:customStyle="1" w:styleId="2343">
    <w:name w:val="正文：段落格式 Char"/>
    <w:link w:val="2344"/>
    <w:qFormat/>
    <w:uiPriority w:val="0"/>
    <w:rPr>
      <w:rFonts w:ascii="宋体" w:hAnsi="宋体"/>
      <w:color w:val="000000"/>
      <w:kern w:val="15"/>
      <w:sz w:val="24"/>
      <w:szCs w:val="24"/>
    </w:rPr>
  </w:style>
  <w:style w:type="paragraph" w:customStyle="1" w:styleId="2344">
    <w:name w:val="正文：段落格式"/>
    <w:basedOn w:val="1"/>
    <w:link w:val="2343"/>
    <w:qFormat/>
    <w:uiPriority w:val="0"/>
    <w:pPr>
      <w:spacing w:line="360" w:lineRule="auto"/>
      <w:ind w:left="6" w:leftChars="3" w:right="-91" w:firstLine="480" w:firstLineChars="200"/>
    </w:pPr>
    <w:rPr>
      <w:rFonts w:ascii="宋体" w:hAnsi="宋体"/>
      <w:color w:val="000000"/>
      <w:kern w:val="15"/>
      <w:sz w:val="24"/>
    </w:rPr>
  </w:style>
  <w:style w:type="character" w:customStyle="1" w:styleId="2345">
    <w:name w:val="不明显强调2"/>
    <w:qFormat/>
    <w:uiPriority w:val="0"/>
    <w:rPr>
      <w:i/>
      <w:iCs/>
    </w:rPr>
  </w:style>
  <w:style w:type="character" w:customStyle="1" w:styleId="2346">
    <w:name w:val="Char Char481"/>
    <w:qFormat/>
    <w:uiPriority w:val="0"/>
    <w:rPr>
      <w:rFonts w:hint="eastAsia" w:ascii="Times New Roman" w:hAnsi="Times New Roman" w:eastAsia="宋体"/>
    </w:rPr>
  </w:style>
  <w:style w:type="character" w:customStyle="1" w:styleId="2347">
    <w:name w:val="g_t_bold c07"/>
    <w:qFormat/>
    <w:uiPriority w:val="0"/>
  </w:style>
  <w:style w:type="character" w:customStyle="1" w:styleId="2348">
    <w:name w:val="Char Char52"/>
    <w:qFormat/>
    <w:uiPriority w:val="0"/>
    <w:rPr>
      <w:rFonts w:ascii="Arial" w:hAnsi="Arial" w:eastAsia="黑体"/>
      <w:kern w:val="2"/>
      <w:sz w:val="24"/>
      <w:szCs w:val="24"/>
      <w:lang w:val="en-US" w:eastAsia="zh-CN" w:bidi="ar-SA"/>
    </w:rPr>
  </w:style>
  <w:style w:type="character" w:customStyle="1" w:styleId="2349">
    <w:name w:val="xp20051"/>
    <w:qFormat/>
    <w:uiPriority w:val="0"/>
    <w:rPr>
      <w:rFonts w:hint="eastAsia" w:ascii="宋体" w:hAnsi="宋体" w:eastAsia="宋体"/>
      <w:sz w:val="18"/>
    </w:rPr>
  </w:style>
  <w:style w:type="character" w:customStyle="1" w:styleId="2350">
    <w:name w:val="书籍标题1"/>
    <w:qFormat/>
    <w:uiPriority w:val="33"/>
    <w:rPr>
      <w:i/>
      <w:iCs/>
      <w:smallCaps/>
      <w:spacing w:val="5"/>
    </w:rPr>
  </w:style>
  <w:style w:type="character" w:customStyle="1" w:styleId="2351">
    <w:name w:val="Char Char661"/>
    <w:qFormat/>
    <w:uiPriority w:val="0"/>
    <w:rPr>
      <w:rFonts w:ascii="Times New Roman" w:hAnsi="Times New Roman" w:eastAsia="宋体" w:cs="Times New Roman"/>
      <w:sz w:val="18"/>
      <w:szCs w:val="18"/>
    </w:rPr>
  </w:style>
  <w:style w:type="character" w:customStyle="1" w:styleId="2352">
    <w:name w:val="Checkbox"/>
    <w:qFormat/>
    <w:uiPriority w:val="0"/>
    <w:rPr>
      <w:rFonts w:ascii="Wingdings" w:hAnsi="Wingdings"/>
      <w:spacing w:val="0"/>
      <w:sz w:val="22"/>
    </w:rPr>
  </w:style>
  <w:style w:type="character" w:customStyle="1" w:styleId="2353">
    <w:name w:val="!BG_正文 Char Char"/>
    <w:link w:val="2354"/>
    <w:qFormat/>
    <w:uiPriority w:val="0"/>
    <w:rPr>
      <w:sz w:val="24"/>
      <w:szCs w:val="24"/>
    </w:rPr>
  </w:style>
  <w:style w:type="paragraph" w:customStyle="1" w:styleId="2354">
    <w:name w:val="!BG_正文"/>
    <w:basedOn w:val="1"/>
    <w:link w:val="2353"/>
    <w:qFormat/>
    <w:uiPriority w:val="0"/>
    <w:pPr>
      <w:tabs>
        <w:tab w:val="left" w:pos="360"/>
        <w:tab w:val="left" w:pos="540"/>
      </w:tabs>
      <w:spacing w:line="360" w:lineRule="auto"/>
      <w:ind w:firstLine="200" w:firstLineChars="200"/>
    </w:pPr>
    <w:rPr>
      <w:kern w:val="0"/>
      <w:sz w:val="24"/>
    </w:rPr>
  </w:style>
  <w:style w:type="character" w:customStyle="1" w:styleId="2355">
    <w:name w:val="正文四号 Char"/>
    <w:link w:val="2356"/>
    <w:qFormat/>
    <w:uiPriority w:val="0"/>
    <w:rPr>
      <w:rFonts w:cs="宋体"/>
      <w:sz w:val="28"/>
      <w:szCs w:val="28"/>
    </w:rPr>
  </w:style>
  <w:style w:type="paragraph" w:customStyle="1" w:styleId="2356">
    <w:name w:val="正文四号"/>
    <w:basedOn w:val="1"/>
    <w:link w:val="2355"/>
    <w:qFormat/>
    <w:uiPriority w:val="0"/>
    <w:pPr>
      <w:spacing w:line="360" w:lineRule="auto"/>
      <w:ind w:firstLine="200" w:firstLineChars="200"/>
    </w:pPr>
    <w:rPr>
      <w:rFonts w:cs="宋体"/>
      <w:kern w:val="0"/>
      <w:sz w:val="28"/>
      <w:szCs w:val="28"/>
    </w:rPr>
  </w:style>
  <w:style w:type="character" w:customStyle="1" w:styleId="2357">
    <w:name w:val="Char Char203"/>
    <w:qFormat/>
    <w:uiPriority w:val="0"/>
    <w:rPr>
      <w:rFonts w:ascii="Arial" w:hAnsi="Arial" w:eastAsia="黑体" w:cs="Times New Roman"/>
      <w:b/>
      <w:bCs/>
      <w:sz w:val="28"/>
      <w:szCs w:val="28"/>
    </w:rPr>
  </w:style>
  <w:style w:type="character" w:customStyle="1" w:styleId="2358">
    <w:name w:val="Char Char256"/>
    <w:qFormat/>
    <w:uiPriority w:val="0"/>
    <w:rPr>
      <w:rFonts w:eastAsia="宋体"/>
      <w:kern w:val="2"/>
      <w:sz w:val="21"/>
      <w:lang w:val="en-US" w:eastAsia="zh-CN" w:bidi="ar-SA"/>
    </w:rPr>
  </w:style>
  <w:style w:type="character" w:customStyle="1" w:styleId="2359">
    <w:name w:val="Re Char2"/>
    <w:qFormat/>
    <w:uiPriority w:val="0"/>
    <w:rPr>
      <w:rFonts w:eastAsia="宋体"/>
      <w:b/>
      <w:bCs/>
      <w:kern w:val="2"/>
      <w:sz w:val="28"/>
      <w:szCs w:val="32"/>
      <w:lang w:val="en-US" w:eastAsia="zh-CN" w:bidi="ar-SA"/>
    </w:rPr>
  </w:style>
  <w:style w:type="character" w:customStyle="1" w:styleId="2360">
    <w:name w:val="Font Style373"/>
    <w:qFormat/>
    <w:uiPriority w:val="0"/>
    <w:rPr>
      <w:rFonts w:ascii="宋体" w:eastAsia="宋体" w:cs="宋体"/>
      <w:spacing w:val="-20"/>
      <w:sz w:val="18"/>
      <w:szCs w:val="18"/>
    </w:rPr>
  </w:style>
  <w:style w:type="character" w:customStyle="1" w:styleId="2361">
    <w:name w:val="tpc_content1"/>
    <w:qFormat/>
    <w:uiPriority w:val="0"/>
    <w:rPr>
      <w:sz w:val="20"/>
      <w:szCs w:val="20"/>
    </w:rPr>
  </w:style>
  <w:style w:type="character" w:customStyle="1" w:styleId="2362">
    <w:name w:val="初设正文 Char Char"/>
    <w:qFormat/>
    <w:uiPriority w:val="0"/>
    <w:rPr>
      <w:rFonts w:ascii="Arial" w:hAnsi="Arial" w:eastAsia="宋体" w:cs="宋体"/>
      <w:sz w:val="24"/>
      <w:lang w:val="en-US" w:eastAsia="zh-CN" w:bidi="ar-SA"/>
    </w:rPr>
  </w:style>
  <w:style w:type="character" w:customStyle="1" w:styleId="2363">
    <w:name w:val="Char Char103"/>
    <w:qFormat/>
    <w:uiPriority w:val="0"/>
    <w:rPr>
      <w:rFonts w:eastAsia="宋体"/>
      <w:b/>
      <w:bCs/>
      <w:kern w:val="44"/>
      <w:sz w:val="44"/>
      <w:szCs w:val="44"/>
      <w:lang w:val="en-US" w:eastAsia="zh-CN" w:bidi="ar-SA"/>
    </w:rPr>
  </w:style>
  <w:style w:type="character" w:customStyle="1" w:styleId="2364">
    <w:name w:val="正文文本6"/>
    <w:qFormat/>
    <w:uiPriority w:val="0"/>
    <w:rPr>
      <w:rFonts w:ascii="MingLiU" w:hAnsi="MingLiU" w:eastAsia="MingLiU" w:cs="MingLiU"/>
      <w:color w:val="000000"/>
      <w:spacing w:val="10"/>
      <w:w w:val="100"/>
      <w:position w:val="0"/>
      <w:sz w:val="21"/>
      <w:szCs w:val="21"/>
      <w:u w:val="none"/>
      <w:shd w:val="clear" w:color="auto" w:fill="FFFFFF"/>
      <w:lang w:val="zh-CN" w:eastAsia="zh-CN" w:bidi="zh-CN"/>
    </w:rPr>
  </w:style>
  <w:style w:type="character" w:customStyle="1" w:styleId="2365">
    <w:name w:val="文本正文 Char Char"/>
    <w:link w:val="1087"/>
    <w:qFormat/>
    <w:uiPriority w:val="0"/>
    <w:rPr>
      <w:rFonts w:ascii="宋体"/>
      <w:spacing w:val="4"/>
      <w:kern w:val="24"/>
      <w:sz w:val="24"/>
      <w:szCs w:val="24"/>
      <w:lang w:val="zh-CN"/>
    </w:rPr>
  </w:style>
  <w:style w:type="character" w:customStyle="1" w:styleId="2366">
    <w:name w:val="Char Char462"/>
    <w:qFormat/>
    <w:uiPriority w:val="0"/>
    <w:rPr>
      <w:rFonts w:ascii="宋体" w:eastAsia="宋体"/>
      <w:kern w:val="2"/>
      <w:sz w:val="18"/>
      <w:szCs w:val="18"/>
      <w:lang w:val="en-US" w:eastAsia="zh-CN" w:bidi="ar-SA"/>
    </w:rPr>
  </w:style>
  <w:style w:type="character" w:customStyle="1" w:styleId="2367">
    <w:name w:val="日期 Char3"/>
    <w:semiHidden/>
    <w:qFormat/>
    <w:uiPriority w:val="0"/>
    <w:rPr>
      <w:rFonts w:ascii="Calibri" w:hAnsi="Calibri" w:eastAsia="宋体" w:cs="Times New Roman"/>
      <w:kern w:val="0"/>
      <w:sz w:val="22"/>
    </w:rPr>
  </w:style>
  <w:style w:type="character" w:customStyle="1" w:styleId="2368">
    <w:name w:val="样式 2 Char"/>
    <w:qFormat/>
    <w:uiPriority w:val="0"/>
    <w:rPr>
      <w:rFonts w:eastAsia="黑体"/>
      <w:spacing w:val="10"/>
      <w:sz w:val="30"/>
      <w:lang w:val="en-US" w:eastAsia="zh-CN" w:bidi="ar-SA"/>
    </w:rPr>
  </w:style>
  <w:style w:type="character" w:customStyle="1" w:styleId="2369">
    <w:name w:val="wangyong1"/>
    <w:qFormat/>
    <w:uiPriority w:val="0"/>
    <w:rPr>
      <w:rFonts w:hint="default"/>
      <w:color w:val="000000"/>
      <w:spacing w:val="280"/>
      <w:sz w:val="18"/>
      <w:szCs w:val="18"/>
      <w:u w:val="none"/>
    </w:rPr>
  </w:style>
  <w:style w:type="character" w:customStyle="1" w:styleId="2370">
    <w:name w:val="注释标题 Char3"/>
    <w:semiHidden/>
    <w:qFormat/>
    <w:uiPriority w:val="0"/>
    <w:rPr>
      <w:rFonts w:ascii="Calibri" w:hAnsi="Calibri" w:eastAsia="宋体" w:cs="Times New Roman"/>
      <w:kern w:val="0"/>
      <w:sz w:val="22"/>
    </w:rPr>
  </w:style>
  <w:style w:type="character" w:customStyle="1" w:styleId="2371">
    <w:name w:val="脚注文本 Char2"/>
    <w:qFormat/>
    <w:uiPriority w:val="99"/>
    <w:rPr>
      <w:sz w:val="18"/>
      <w:szCs w:val="18"/>
    </w:rPr>
  </w:style>
  <w:style w:type="character" w:customStyle="1" w:styleId="2372">
    <w:name w:val="标题2 Char Char"/>
    <w:qFormat/>
    <w:uiPriority w:val="0"/>
    <w:rPr>
      <w:rFonts w:ascii="Cambria" w:hAnsi="Cambria" w:eastAsia="宋体"/>
      <w:b/>
      <w:bCs/>
      <w:kern w:val="28"/>
      <w:sz w:val="32"/>
      <w:szCs w:val="32"/>
      <w:lang w:val="en-US" w:eastAsia="zh-CN" w:bidi="ar-SA"/>
    </w:rPr>
  </w:style>
  <w:style w:type="character" w:customStyle="1" w:styleId="2373">
    <w:name w:val="Char Char2721"/>
    <w:qFormat/>
    <w:uiPriority w:val="0"/>
    <w:rPr>
      <w:rFonts w:ascii="Times New Roman" w:hAnsi="Times New Roman" w:eastAsia="宋体" w:cs="Times New Roman"/>
      <w:sz w:val="18"/>
      <w:szCs w:val="18"/>
    </w:rPr>
  </w:style>
  <w:style w:type="character" w:customStyle="1" w:styleId="2374">
    <w:name w:val="页眉小5号 Char Char1"/>
    <w:qFormat/>
    <w:uiPriority w:val="0"/>
    <w:rPr>
      <w:rFonts w:eastAsia="宋体"/>
      <w:kern w:val="2"/>
      <w:sz w:val="18"/>
      <w:szCs w:val="18"/>
      <w:lang w:val="en-US" w:eastAsia="zh-CN" w:bidi="ar-SA"/>
    </w:rPr>
  </w:style>
  <w:style w:type="character" w:customStyle="1" w:styleId="2375">
    <w:name w:val="标题 3 Char Char2"/>
    <w:qFormat/>
    <w:uiPriority w:val="0"/>
    <w:rPr>
      <w:rFonts w:ascii="宋体" w:hAnsi="宋体" w:eastAsia="黑体" w:cs="Arial"/>
      <w:color w:val="000000"/>
      <w:kern w:val="2"/>
      <w:sz w:val="28"/>
      <w:szCs w:val="28"/>
      <w:lang w:val="en-US" w:eastAsia="zh-CN" w:bidi="ar-SA"/>
    </w:rPr>
  </w:style>
  <w:style w:type="character" w:customStyle="1" w:styleId="2376">
    <w:name w:val="hb4 Char"/>
    <w:qFormat/>
    <w:uiPriority w:val="0"/>
    <w:rPr>
      <w:rFonts w:hint="eastAsia" w:ascii="宋体" w:hAnsi="宋体" w:eastAsia="宋体"/>
      <w:sz w:val="24"/>
      <w:szCs w:val="24"/>
      <w:lang w:val="en-US" w:eastAsia="zh-CN" w:bidi="ar-SA"/>
    </w:rPr>
  </w:style>
  <w:style w:type="character" w:customStyle="1" w:styleId="2377">
    <w:name w:val="Font Style339"/>
    <w:qFormat/>
    <w:uiPriority w:val="0"/>
    <w:rPr>
      <w:rFonts w:ascii="宋体" w:eastAsia="宋体" w:cs="宋体"/>
      <w:b/>
      <w:bCs/>
      <w:sz w:val="20"/>
      <w:szCs w:val="20"/>
    </w:rPr>
  </w:style>
  <w:style w:type="character" w:customStyle="1" w:styleId="2378">
    <w:name w:val="Char Char372"/>
    <w:qFormat/>
    <w:uiPriority w:val="0"/>
    <w:rPr>
      <w:rFonts w:ascii="宋体" w:hAnsi="宋体" w:eastAsia="宋体" w:cs="宋体"/>
      <w:sz w:val="24"/>
      <w:szCs w:val="24"/>
      <w:lang w:val="en-US" w:eastAsia="zh-CN" w:bidi="ar-SA"/>
    </w:rPr>
  </w:style>
  <w:style w:type="character" w:customStyle="1" w:styleId="2379">
    <w:name w:val="引用 Char1"/>
    <w:qFormat/>
    <w:uiPriority w:val="29"/>
    <w:rPr>
      <w:i/>
      <w:iCs/>
      <w:color w:val="000000"/>
      <w:sz w:val="22"/>
      <w:szCs w:val="22"/>
    </w:rPr>
  </w:style>
  <w:style w:type="character" w:customStyle="1" w:styleId="2380">
    <w:name w:val="正文文本 + Times New Roman20"/>
    <w:qFormat/>
    <w:uiPriority w:val="0"/>
    <w:rPr>
      <w:rFonts w:ascii="Times New Roman" w:hAnsi="Times New Roman" w:eastAsia="Times New Roman" w:cs="Times New Roman"/>
      <w:color w:val="000000"/>
      <w:spacing w:val="0"/>
      <w:w w:val="100"/>
      <w:position w:val="0"/>
      <w:sz w:val="22"/>
      <w:szCs w:val="22"/>
      <w:shd w:val="clear" w:color="auto" w:fill="FFFFFF"/>
      <w:lang w:val="en-US" w:eastAsia="en-US" w:bidi="en-US"/>
    </w:rPr>
  </w:style>
  <w:style w:type="character" w:customStyle="1" w:styleId="2381">
    <w:name w:val="Char Char651"/>
    <w:qFormat/>
    <w:uiPriority w:val="0"/>
    <w:rPr>
      <w:rFonts w:ascii="Times New Roman" w:hAnsi="Times New Roman" w:eastAsia="宋体" w:cs="Times New Roman"/>
      <w:sz w:val="18"/>
      <w:szCs w:val="18"/>
    </w:rPr>
  </w:style>
  <w:style w:type="character" w:customStyle="1" w:styleId="2382">
    <w:name w:val="0正文 Char Char"/>
    <w:link w:val="2383"/>
    <w:qFormat/>
    <w:uiPriority w:val="0"/>
    <w:rPr>
      <w:rFonts w:ascii="Calibri" w:hAnsi="Calibri"/>
      <w:sz w:val="24"/>
    </w:rPr>
  </w:style>
  <w:style w:type="paragraph" w:customStyle="1" w:styleId="2383">
    <w:name w:val="0正文"/>
    <w:basedOn w:val="1"/>
    <w:link w:val="2382"/>
    <w:qFormat/>
    <w:uiPriority w:val="0"/>
    <w:pPr>
      <w:spacing w:line="360" w:lineRule="auto"/>
      <w:ind w:firstLine="480" w:firstLineChars="200"/>
    </w:pPr>
    <w:rPr>
      <w:rFonts w:ascii="Calibri" w:hAnsi="Calibri"/>
      <w:kern w:val="0"/>
      <w:sz w:val="24"/>
      <w:szCs w:val="20"/>
    </w:rPr>
  </w:style>
  <w:style w:type="character" w:customStyle="1" w:styleId="2384">
    <w:name w:val="表格标题1 Char Char"/>
    <w:qFormat/>
    <w:uiPriority w:val="0"/>
    <w:rPr>
      <w:b/>
      <w:bCs/>
      <w:kern w:val="2"/>
      <w:sz w:val="24"/>
      <w:szCs w:val="24"/>
    </w:rPr>
  </w:style>
  <w:style w:type="character" w:customStyle="1" w:styleId="2385">
    <w:name w:val="123YJ Char Char4"/>
    <w:qFormat/>
    <w:uiPriority w:val="0"/>
    <w:rPr>
      <w:kern w:val="2"/>
      <w:sz w:val="18"/>
      <w:szCs w:val="18"/>
    </w:rPr>
  </w:style>
  <w:style w:type="character" w:customStyle="1" w:styleId="2386">
    <w:name w:val="hj1"/>
    <w:qFormat/>
    <w:uiPriority w:val="0"/>
    <w:rPr>
      <w:sz w:val="20"/>
      <w:szCs w:val="20"/>
    </w:rPr>
  </w:style>
  <w:style w:type="character" w:customStyle="1" w:styleId="2387">
    <w:name w:val="Char Char107"/>
    <w:qFormat/>
    <w:uiPriority w:val="0"/>
    <w:rPr>
      <w:rFonts w:eastAsia="宋体"/>
      <w:b/>
      <w:bCs/>
      <w:kern w:val="44"/>
      <w:sz w:val="44"/>
      <w:szCs w:val="44"/>
      <w:lang w:val="en-US" w:eastAsia="zh-CN" w:bidi="ar-SA"/>
    </w:rPr>
  </w:style>
  <w:style w:type="character" w:customStyle="1" w:styleId="2388">
    <w:name w:val="666666-表下正文 Char Char Char"/>
    <w:qFormat/>
    <w:uiPriority w:val="0"/>
    <w:rPr>
      <w:rFonts w:ascii="Times New Roman" w:hAnsi="Times New Roman"/>
      <w:kern w:val="2"/>
      <w:sz w:val="24"/>
      <w:szCs w:val="24"/>
    </w:rPr>
  </w:style>
  <w:style w:type="character" w:customStyle="1" w:styleId="2389">
    <w:name w:val="表小4 Char"/>
    <w:link w:val="2390"/>
    <w:qFormat/>
    <w:uiPriority w:val="0"/>
    <w:rPr>
      <w:rFonts w:ascii="宋体" w:hAnsi="宋体"/>
      <w:sz w:val="28"/>
    </w:rPr>
  </w:style>
  <w:style w:type="paragraph" w:customStyle="1" w:styleId="2390">
    <w:name w:val="表小4"/>
    <w:basedOn w:val="1"/>
    <w:link w:val="2389"/>
    <w:qFormat/>
    <w:uiPriority w:val="0"/>
    <w:pPr>
      <w:tabs>
        <w:tab w:val="left" w:pos="0"/>
      </w:tabs>
      <w:adjustRightInd w:val="0"/>
      <w:spacing w:line="0" w:lineRule="atLeast"/>
      <w:jc w:val="center"/>
    </w:pPr>
    <w:rPr>
      <w:rFonts w:ascii="宋体" w:hAnsi="宋体"/>
      <w:kern w:val="0"/>
      <w:sz w:val="28"/>
      <w:szCs w:val="20"/>
    </w:rPr>
  </w:style>
  <w:style w:type="character" w:customStyle="1" w:styleId="2391">
    <w:name w:val="Char Char184"/>
    <w:qFormat/>
    <w:uiPriority w:val="0"/>
    <w:rPr>
      <w:rFonts w:ascii="Arial" w:hAnsi="Arial" w:eastAsia="黑体" w:cs="Times New Roman"/>
      <w:b/>
      <w:bCs/>
      <w:sz w:val="24"/>
      <w:szCs w:val="24"/>
    </w:rPr>
  </w:style>
  <w:style w:type="character" w:customStyle="1" w:styleId="2392">
    <w:name w:val="明显参考1"/>
    <w:qFormat/>
    <w:uiPriority w:val="32"/>
    <w:rPr>
      <w:smallCaps/>
      <w:spacing w:val="5"/>
      <w:u w:val="single"/>
    </w:rPr>
  </w:style>
  <w:style w:type="character" w:customStyle="1" w:styleId="2393">
    <w:name w:val="Char Char652"/>
    <w:qFormat/>
    <w:uiPriority w:val="0"/>
    <w:rPr>
      <w:rFonts w:ascii="Arial" w:hAnsi="Arial" w:eastAsia="Arial Unicode MS" w:cs="Arial"/>
      <w:vanish/>
      <w:kern w:val="0"/>
      <w:sz w:val="16"/>
      <w:szCs w:val="16"/>
    </w:rPr>
  </w:style>
  <w:style w:type="character" w:customStyle="1" w:styleId="2394">
    <w:name w:val="Char Char53"/>
    <w:qFormat/>
    <w:uiPriority w:val="0"/>
    <w:rPr>
      <w:rFonts w:ascii="Arial" w:hAnsi="Arial" w:eastAsia="黑体"/>
      <w:kern w:val="2"/>
      <w:sz w:val="24"/>
      <w:szCs w:val="24"/>
      <w:lang w:val="en-US" w:eastAsia="zh-CN" w:bidi="ar-SA"/>
    </w:rPr>
  </w:style>
  <w:style w:type="character" w:customStyle="1" w:styleId="2395">
    <w:name w:val="Char Char119"/>
    <w:qFormat/>
    <w:uiPriority w:val="0"/>
    <w:rPr>
      <w:sz w:val="18"/>
      <w:szCs w:val="18"/>
    </w:rPr>
  </w:style>
  <w:style w:type="character" w:customStyle="1" w:styleId="2396">
    <w:name w:val="签名 字符1"/>
    <w:qFormat/>
    <w:uiPriority w:val="0"/>
    <w:rPr>
      <w:rFonts w:ascii="Arial" w:hAnsi="Arial" w:eastAsia="仿宋_GB2312"/>
      <w:sz w:val="24"/>
    </w:rPr>
  </w:style>
  <w:style w:type="character" w:customStyle="1" w:styleId="2397">
    <w:name w:val="样式 题注 + 首行缩进:  2 字符2 Char"/>
    <w:link w:val="2398"/>
    <w:qFormat/>
    <w:uiPriority w:val="0"/>
    <w:rPr>
      <w:rFonts w:ascii="黑体" w:hAnsi="宋体" w:eastAsia="黑体"/>
      <w:sz w:val="24"/>
    </w:rPr>
  </w:style>
  <w:style w:type="paragraph" w:customStyle="1" w:styleId="2398">
    <w:name w:val="样式 题注 + 首行缩进:  2 字符2"/>
    <w:basedOn w:val="22"/>
    <w:link w:val="2397"/>
    <w:qFormat/>
    <w:uiPriority w:val="0"/>
    <w:pPr>
      <w:keepNext/>
      <w:adjustRightInd w:val="0"/>
      <w:snapToGrid w:val="0"/>
      <w:jc w:val="center"/>
    </w:pPr>
    <w:rPr>
      <w:rFonts w:ascii="黑体" w:hAnsi="宋体"/>
      <w:kern w:val="0"/>
      <w:sz w:val="24"/>
      <w:lang w:val="en-US"/>
    </w:rPr>
  </w:style>
  <w:style w:type="character" w:customStyle="1" w:styleId="2399">
    <w:name w:val="title011"/>
    <w:qFormat/>
    <w:uiPriority w:val="0"/>
    <w:rPr>
      <w:rFonts w:hint="default" w:ascii="Times New Roman" w:hAnsi="Times New Roman" w:cs="Times New Roman"/>
      <w:b/>
      <w:bCs/>
      <w:i/>
      <w:iCs/>
      <w:color w:val="8D3219"/>
      <w:sz w:val="42"/>
      <w:szCs w:val="42"/>
    </w:rPr>
  </w:style>
  <w:style w:type="character" w:customStyle="1" w:styleId="2400">
    <w:name w:val="google-src-text1"/>
    <w:qFormat/>
    <w:uiPriority w:val="0"/>
    <w:rPr>
      <w:vanish/>
    </w:rPr>
  </w:style>
  <w:style w:type="character" w:customStyle="1" w:styleId="2401">
    <w:name w:val="批注框文本 Char2"/>
    <w:qFormat/>
    <w:uiPriority w:val="99"/>
    <w:rPr>
      <w:rFonts w:hint="default" w:ascii="Calibri" w:hAnsi="Calibri" w:eastAsia="宋体" w:cs="Times New Roman"/>
      <w:kern w:val="0"/>
      <w:sz w:val="18"/>
      <w:szCs w:val="18"/>
    </w:rPr>
  </w:style>
  <w:style w:type="character" w:customStyle="1" w:styleId="2402">
    <w:name w:val="Char Char2021"/>
    <w:qFormat/>
    <w:uiPriority w:val="0"/>
    <w:rPr>
      <w:rFonts w:ascii="Arial" w:hAnsi="Arial" w:eastAsia="黑体" w:cs="Times New Roman"/>
      <w:b/>
      <w:bCs/>
      <w:sz w:val="28"/>
      <w:szCs w:val="28"/>
    </w:rPr>
  </w:style>
  <w:style w:type="character" w:customStyle="1" w:styleId="2403">
    <w:name w:val="样式10 Char Char"/>
    <w:qFormat/>
    <w:uiPriority w:val="0"/>
    <w:rPr>
      <w:b/>
      <w:kern w:val="44"/>
      <w:sz w:val="32"/>
      <w:szCs w:val="36"/>
    </w:rPr>
  </w:style>
  <w:style w:type="character" w:customStyle="1" w:styleId="2404">
    <w:name w:val="Char Char159"/>
    <w:qFormat/>
    <w:uiPriority w:val="0"/>
    <w:rPr>
      <w:rFonts w:ascii="Arial" w:hAnsi="Arial" w:eastAsia="黑体" w:cs="Times New Roman"/>
      <w:b/>
      <w:bCs/>
      <w:sz w:val="28"/>
      <w:szCs w:val="28"/>
    </w:rPr>
  </w:style>
  <w:style w:type="character" w:customStyle="1" w:styleId="2405">
    <w:name w:val="Char Char1921"/>
    <w:qFormat/>
    <w:uiPriority w:val="0"/>
    <w:rPr>
      <w:rFonts w:ascii="Times New Roman" w:hAnsi="Times New Roman" w:eastAsia="宋体" w:cs="Times New Roman"/>
      <w:b/>
      <w:bCs/>
      <w:sz w:val="28"/>
      <w:szCs w:val="28"/>
    </w:rPr>
  </w:style>
  <w:style w:type="character" w:customStyle="1" w:styleId="2406">
    <w:name w:val="Char Char391"/>
    <w:qFormat/>
    <w:uiPriority w:val="0"/>
    <w:rPr>
      <w:rFonts w:hint="eastAsia" w:ascii="宋体" w:eastAsia="宋体"/>
      <w:kern w:val="2"/>
      <w:sz w:val="21"/>
      <w:lang w:val="en-US" w:eastAsia="zh-CN"/>
    </w:rPr>
  </w:style>
  <w:style w:type="character" w:customStyle="1" w:styleId="2407">
    <w:name w:val="副标题 字符1"/>
    <w:qFormat/>
    <w:uiPriority w:val="0"/>
    <w:rPr>
      <w:rFonts w:ascii="Cambria" w:hAnsi="Cambria" w:eastAsia="宋体"/>
      <w:b/>
      <w:bCs/>
      <w:kern w:val="28"/>
      <w:sz w:val="18"/>
      <w:szCs w:val="32"/>
    </w:rPr>
  </w:style>
  <w:style w:type="character" w:customStyle="1" w:styleId="2408">
    <w:name w:val="Char Char85"/>
    <w:qFormat/>
    <w:uiPriority w:val="0"/>
    <w:rPr>
      <w:rFonts w:eastAsia="宋体"/>
      <w:b/>
      <w:bCs/>
      <w:kern w:val="2"/>
      <w:sz w:val="28"/>
      <w:szCs w:val="28"/>
      <w:lang w:val="en-US" w:eastAsia="zh-CN" w:bidi="ar-SA"/>
    </w:rPr>
  </w:style>
  <w:style w:type="character" w:customStyle="1" w:styleId="2409">
    <w:name w:val="样式1 Char Char Char"/>
    <w:qFormat/>
    <w:uiPriority w:val="0"/>
    <w:rPr>
      <w:rFonts w:ascii="宋体" w:hAnsi="宋体"/>
      <w:b/>
      <w:bCs/>
      <w:caps/>
    </w:rPr>
  </w:style>
  <w:style w:type="character" w:customStyle="1" w:styleId="2410">
    <w:name w:val="Char Char49"/>
    <w:qFormat/>
    <w:uiPriority w:val="0"/>
    <w:rPr>
      <w:rFonts w:hint="eastAsia" w:ascii="宋体" w:hAnsi="Times New Roman" w:eastAsia="宋体"/>
      <w:sz w:val="18"/>
    </w:rPr>
  </w:style>
  <w:style w:type="character" w:customStyle="1" w:styleId="2411">
    <w:name w:val="Char Char731"/>
    <w:qFormat/>
    <w:uiPriority w:val="0"/>
    <w:rPr>
      <w:rFonts w:ascii="宋体" w:hAnsi="Times New Roman"/>
      <w:kern w:val="2"/>
      <w:sz w:val="18"/>
      <w:szCs w:val="18"/>
    </w:rPr>
  </w:style>
  <w:style w:type="character" w:customStyle="1" w:styleId="2412">
    <w:name w:val="贾伦标题 2 Char Char"/>
    <w:qFormat/>
    <w:uiPriority w:val="0"/>
    <w:rPr>
      <w:rFonts w:ascii="Times New Roman" w:hAnsi="Times New Roman" w:eastAsia="宋体" w:cs="Times New Roman"/>
      <w:b/>
      <w:bCs/>
      <w:sz w:val="28"/>
      <w:szCs w:val="32"/>
    </w:rPr>
  </w:style>
  <w:style w:type="character" w:customStyle="1" w:styleId="2413">
    <w:name w:val="样式4 Char"/>
    <w:link w:val="780"/>
    <w:qFormat/>
    <w:uiPriority w:val="0"/>
    <w:rPr>
      <w:rFonts w:eastAsia="华康简宋"/>
      <w:spacing w:val="-10"/>
      <w:kern w:val="2"/>
      <w:sz w:val="24"/>
      <w:szCs w:val="24"/>
    </w:rPr>
  </w:style>
  <w:style w:type="character" w:customStyle="1" w:styleId="2414">
    <w:name w:val="modtit"/>
    <w:basedOn w:val="99"/>
    <w:qFormat/>
    <w:uiPriority w:val="0"/>
  </w:style>
  <w:style w:type="character" w:customStyle="1" w:styleId="2415">
    <w:name w:val="f121"/>
    <w:qFormat/>
    <w:uiPriority w:val="0"/>
    <w:rPr>
      <w:rFonts w:hint="default" w:ascii="Arial" w:hAnsi="Arial" w:cs="Arial"/>
      <w:color w:val="5D5D5D"/>
      <w:sz w:val="18"/>
      <w:szCs w:val="18"/>
      <w:u w:val="none"/>
    </w:rPr>
  </w:style>
  <w:style w:type="character" w:customStyle="1" w:styleId="2416">
    <w:name w:val="style871"/>
    <w:qFormat/>
    <w:uiPriority w:val="0"/>
    <w:rPr>
      <w:color w:val="40AC00"/>
    </w:rPr>
  </w:style>
  <w:style w:type="character" w:customStyle="1" w:styleId="2417">
    <w:name w:val="h31"/>
    <w:qFormat/>
    <w:uiPriority w:val="0"/>
    <w:rPr>
      <w:sz w:val="21"/>
      <w:szCs w:val="21"/>
    </w:rPr>
  </w:style>
  <w:style w:type="character" w:customStyle="1" w:styleId="2418">
    <w:name w:val="正文3 Char"/>
    <w:qFormat/>
    <w:uiPriority w:val="0"/>
    <w:rPr>
      <w:rFonts w:ascii="宋体"/>
      <w:sz w:val="34"/>
    </w:rPr>
  </w:style>
  <w:style w:type="character" w:customStyle="1" w:styleId="2419">
    <w:name w:val="Char Char177"/>
    <w:qFormat/>
    <w:uiPriority w:val="0"/>
    <w:rPr>
      <w:rFonts w:ascii="Times New Roman" w:hAnsi="Times New Roman" w:eastAsia="宋体" w:cs="Times New Roman"/>
      <w:b/>
      <w:bCs/>
      <w:sz w:val="24"/>
      <w:szCs w:val="24"/>
    </w:rPr>
  </w:style>
  <w:style w:type="character" w:customStyle="1" w:styleId="2420">
    <w:name w:val="干标题(a) Char3"/>
    <w:qFormat/>
    <w:uiPriority w:val="0"/>
    <w:rPr>
      <w:rFonts w:ascii="Arial" w:hAnsi="Arial" w:eastAsia="黑体" w:cs="Times New Roman"/>
      <w:szCs w:val="21"/>
    </w:rPr>
  </w:style>
  <w:style w:type="character" w:customStyle="1" w:styleId="2421">
    <w:name w:val="正文＋黑体 Char"/>
    <w:link w:val="2422"/>
    <w:qFormat/>
    <w:uiPriority w:val="0"/>
    <w:rPr>
      <w:rFonts w:eastAsia="黑体"/>
      <w:sz w:val="24"/>
    </w:rPr>
  </w:style>
  <w:style w:type="paragraph" w:customStyle="1" w:styleId="2422">
    <w:name w:val="正文＋黑体"/>
    <w:basedOn w:val="1"/>
    <w:link w:val="2421"/>
    <w:qFormat/>
    <w:uiPriority w:val="0"/>
    <w:pPr>
      <w:spacing w:beforeLines="50" w:afterLines="50"/>
      <w:ind w:firstLine="480" w:firstLineChars="200"/>
    </w:pPr>
    <w:rPr>
      <w:rFonts w:eastAsia="黑体"/>
      <w:kern w:val="0"/>
      <w:sz w:val="24"/>
      <w:szCs w:val="20"/>
    </w:rPr>
  </w:style>
  <w:style w:type="character" w:customStyle="1" w:styleId="2423">
    <w:name w:val="Char Char204"/>
    <w:qFormat/>
    <w:uiPriority w:val="0"/>
    <w:rPr>
      <w:rFonts w:ascii="Arial" w:hAnsi="Arial" w:eastAsia="黑体" w:cs="Times New Roman"/>
      <w:b/>
      <w:bCs/>
      <w:sz w:val="28"/>
      <w:szCs w:val="28"/>
    </w:rPr>
  </w:style>
  <w:style w:type="character" w:customStyle="1" w:styleId="2424">
    <w:name w:val="004 Char Char"/>
    <w:qFormat/>
    <w:uiPriority w:val="0"/>
    <w:rPr>
      <w:rFonts w:ascii="黑体" w:eastAsia="黑体"/>
      <w:kern w:val="2"/>
      <w:sz w:val="24"/>
      <w:lang w:val="en-US" w:eastAsia="zh-CN" w:bidi="ar-SA"/>
    </w:rPr>
  </w:style>
  <w:style w:type="character" w:customStyle="1" w:styleId="2425">
    <w:name w:val="Char Char96"/>
    <w:qFormat/>
    <w:uiPriority w:val="0"/>
    <w:rPr>
      <w:rFonts w:ascii="宋体" w:hAnsi="宋体" w:eastAsia="宋体"/>
      <w:sz w:val="24"/>
      <w:lang w:val="en-US" w:eastAsia="zh-CN" w:bidi="ar-SA"/>
    </w:rPr>
  </w:style>
  <w:style w:type="character" w:customStyle="1" w:styleId="2426">
    <w:name w:val="审核正文 Char"/>
    <w:link w:val="2427"/>
    <w:qFormat/>
    <w:uiPriority w:val="0"/>
    <w:rPr>
      <w:sz w:val="24"/>
    </w:rPr>
  </w:style>
  <w:style w:type="paragraph" w:customStyle="1" w:styleId="2427">
    <w:name w:val="审核正文"/>
    <w:basedOn w:val="1"/>
    <w:link w:val="2426"/>
    <w:qFormat/>
    <w:uiPriority w:val="0"/>
    <w:pPr>
      <w:adjustRightInd w:val="0"/>
      <w:spacing w:line="360" w:lineRule="auto"/>
      <w:ind w:firstLine="480" w:firstLineChars="200"/>
      <w:textAlignment w:val="baseline"/>
    </w:pPr>
    <w:rPr>
      <w:kern w:val="0"/>
      <w:sz w:val="24"/>
      <w:szCs w:val="20"/>
    </w:rPr>
  </w:style>
  <w:style w:type="character" w:customStyle="1" w:styleId="2428">
    <w:name w:val="spelle"/>
    <w:qFormat/>
    <w:uiPriority w:val="0"/>
  </w:style>
  <w:style w:type="character" w:customStyle="1" w:styleId="2429">
    <w:name w:val="Char Char1331"/>
    <w:qFormat/>
    <w:uiPriority w:val="0"/>
    <w:rPr>
      <w:rFonts w:ascii="Arial" w:hAnsi="Arial" w:eastAsia="黑体" w:cs="Times New Roman"/>
      <w:sz w:val="24"/>
      <w:szCs w:val="24"/>
    </w:rPr>
  </w:style>
  <w:style w:type="character" w:customStyle="1" w:styleId="2430">
    <w:name w:val="正文首行缩进 Char1 Char Char5"/>
    <w:qFormat/>
    <w:uiPriority w:val="0"/>
    <w:rPr>
      <w:rFonts w:ascii="Times New Roman" w:hAnsi="Times New Roman" w:eastAsia="宋体" w:cs="Times New Roman"/>
      <w:spacing w:val="6"/>
      <w:sz w:val="24"/>
      <w:szCs w:val="24"/>
    </w:rPr>
  </w:style>
  <w:style w:type="character" w:customStyle="1" w:styleId="2431">
    <w:name w:val="样式 标题 4 + 左侧:  0 厘米 悬挂缩进: 8.64 字符 段前: 6 磅 段后: 6 磅 行距: 单倍行距 Char Char"/>
    <w:link w:val="2432"/>
    <w:qFormat/>
    <w:uiPriority w:val="0"/>
    <w:rPr>
      <w:rFonts w:ascii="Arial" w:hAnsi="Arial" w:eastAsia="黑体"/>
      <w:b/>
      <w:sz w:val="24"/>
    </w:rPr>
  </w:style>
  <w:style w:type="paragraph" w:customStyle="1" w:styleId="2432">
    <w:name w:val="样式 标题 4 + 左侧:  0 厘米 悬挂缩进: 8.64 字符 段前: 6 磅 段后: 6 磅 行距: 单倍行距"/>
    <w:basedOn w:val="6"/>
    <w:link w:val="2431"/>
    <w:qFormat/>
    <w:uiPriority w:val="0"/>
    <w:pPr>
      <w:numPr>
        <w:ilvl w:val="3"/>
        <w:numId w:val="7"/>
      </w:numPr>
      <w:tabs>
        <w:tab w:val="left" w:pos="0"/>
        <w:tab w:val="left" w:pos="830"/>
        <w:tab w:val="left" w:pos="2150"/>
      </w:tabs>
      <w:spacing w:before="120" w:after="120" w:line="312" w:lineRule="auto"/>
    </w:pPr>
    <w:rPr>
      <w:rFonts w:ascii="Arial" w:hAnsi="Arial" w:eastAsia="黑体"/>
      <w:bCs w:val="0"/>
      <w:kern w:val="0"/>
      <w:szCs w:val="20"/>
    </w:rPr>
  </w:style>
  <w:style w:type="character" w:customStyle="1" w:styleId="2433">
    <w:name w:val="目标题 1) Char2"/>
    <w:qFormat/>
    <w:uiPriority w:val="0"/>
    <w:rPr>
      <w:rFonts w:ascii="Arial" w:hAnsi="Arial" w:eastAsia="黑体"/>
      <w:kern w:val="2"/>
      <w:sz w:val="24"/>
      <w:szCs w:val="24"/>
      <w:lang w:val="en-US" w:eastAsia="zh-CN" w:bidi="ar-SA"/>
    </w:rPr>
  </w:style>
  <w:style w:type="character" w:customStyle="1" w:styleId="2434">
    <w:name w:val="Font Style375"/>
    <w:qFormat/>
    <w:uiPriority w:val="0"/>
    <w:rPr>
      <w:rFonts w:ascii="Times New Roman" w:hAnsi="Times New Roman" w:cs="Times New Roman"/>
      <w:sz w:val="22"/>
      <w:szCs w:val="22"/>
    </w:rPr>
  </w:style>
  <w:style w:type="character" w:customStyle="1" w:styleId="2435">
    <w:name w:val="Char Char242"/>
    <w:qFormat/>
    <w:uiPriority w:val="0"/>
    <w:rPr>
      <w:rFonts w:ascii="楷体_GB2312" w:eastAsia="楷体_GB2312"/>
      <w:kern w:val="2"/>
      <w:sz w:val="28"/>
      <w:lang w:val="en-US" w:eastAsia="zh-CN" w:bidi="ar-SA"/>
    </w:rPr>
  </w:style>
  <w:style w:type="character" w:customStyle="1" w:styleId="2436">
    <w:name w:val="正文首行缩进2字符! Char"/>
    <w:link w:val="2437"/>
    <w:qFormat/>
    <w:uiPriority w:val="0"/>
    <w:rPr>
      <w:rFonts w:ascii="宋体" w:hAnsi="宋体" w:cs="宋体"/>
      <w:sz w:val="24"/>
      <w:szCs w:val="24"/>
    </w:rPr>
  </w:style>
  <w:style w:type="paragraph" w:customStyle="1" w:styleId="2437">
    <w:name w:val="正文首行缩进2字符!"/>
    <w:basedOn w:val="1"/>
    <w:link w:val="2436"/>
    <w:qFormat/>
    <w:uiPriority w:val="0"/>
    <w:pPr>
      <w:adjustRightInd w:val="0"/>
      <w:snapToGrid w:val="0"/>
      <w:spacing w:line="360" w:lineRule="auto"/>
      <w:ind w:firstLine="560" w:firstLineChars="200"/>
    </w:pPr>
    <w:rPr>
      <w:rFonts w:ascii="宋体" w:hAnsi="宋体" w:cs="宋体"/>
      <w:kern w:val="0"/>
      <w:sz w:val="24"/>
    </w:rPr>
  </w:style>
  <w:style w:type="character" w:customStyle="1" w:styleId="2438">
    <w:name w:val="Char Char117"/>
    <w:qFormat/>
    <w:uiPriority w:val="0"/>
    <w:rPr>
      <w:sz w:val="18"/>
      <w:szCs w:val="18"/>
    </w:rPr>
  </w:style>
  <w:style w:type="character" w:customStyle="1" w:styleId="2439">
    <w:name w:val="Char Char393"/>
    <w:qFormat/>
    <w:uiPriority w:val="0"/>
    <w:rPr>
      <w:rFonts w:ascii="Times New Roman" w:hAnsi="Times New Roman" w:eastAsia="宋体" w:cs="Times New Roman"/>
      <w:sz w:val="18"/>
      <w:szCs w:val="18"/>
    </w:rPr>
  </w:style>
  <w:style w:type="character" w:customStyle="1" w:styleId="2440">
    <w:name w:val="Char Char433"/>
    <w:qFormat/>
    <w:uiPriority w:val="0"/>
    <w:rPr>
      <w:rFonts w:ascii="楷体_GB2312" w:eastAsia="楷体_GB2312"/>
      <w:kern w:val="2"/>
      <w:sz w:val="28"/>
      <w:lang w:val="en-US" w:eastAsia="zh-CN" w:bidi="ar-SA"/>
    </w:rPr>
  </w:style>
  <w:style w:type="character" w:customStyle="1" w:styleId="2441">
    <w:name w:val="德胜表头 Char"/>
    <w:link w:val="2442"/>
    <w:qFormat/>
    <w:uiPriority w:val="0"/>
    <w:rPr>
      <w:b/>
      <w:snapToGrid w:val="0"/>
      <w:color w:val="0000FF"/>
      <w:sz w:val="24"/>
      <w:szCs w:val="24"/>
    </w:rPr>
  </w:style>
  <w:style w:type="paragraph" w:customStyle="1" w:styleId="2442">
    <w:name w:val="德胜表头"/>
    <w:basedOn w:val="2185"/>
    <w:link w:val="2441"/>
    <w:qFormat/>
    <w:uiPriority w:val="0"/>
    <w:pPr>
      <w:spacing w:line="240" w:lineRule="auto"/>
      <w:ind w:firstLine="0" w:firstLineChars="0"/>
      <w:jc w:val="center"/>
    </w:pPr>
    <w:rPr>
      <w:b/>
    </w:rPr>
  </w:style>
  <w:style w:type="character" w:customStyle="1" w:styleId="2443">
    <w:name w:val="Char Char145"/>
    <w:qFormat/>
    <w:uiPriority w:val="0"/>
    <w:rPr>
      <w:rFonts w:ascii="Times New Roman" w:hAnsi="Times New Roman" w:eastAsia="宋体" w:cs="Times New Roman"/>
      <w:b/>
      <w:bCs/>
      <w:sz w:val="24"/>
      <w:szCs w:val="24"/>
    </w:rPr>
  </w:style>
  <w:style w:type="character" w:customStyle="1" w:styleId="2444">
    <w:name w:val="Default Char Char"/>
    <w:qFormat/>
    <w:uiPriority w:val="0"/>
    <w:rPr>
      <w:rFonts w:ascii="Sim Sun" w:hAnsi="Times New Roman" w:eastAsia="Sim Sun" w:cs="Sim Sun"/>
      <w:color w:val="000000"/>
      <w:sz w:val="24"/>
      <w:szCs w:val="24"/>
      <w:lang w:val="en-US" w:eastAsia="zh-CN" w:bidi="ar-SA"/>
    </w:rPr>
  </w:style>
  <w:style w:type="character" w:customStyle="1" w:styleId="2445">
    <w:name w:val="正文(首行缩进) Char1"/>
    <w:qFormat/>
    <w:uiPriority w:val="0"/>
    <w:rPr>
      <w:rFonts w:eastAsia="宋体"/>
      <w:snapToGrid w:val="0"/>
      <w:spacing w:val="-4"/>
      <w:sz w:val="24"/>
      <w:szCs w:val="24"/>
    </w:rPr>
  </w:style>
  <w:style w:type="character" w:customStyle="1" w:styleId="2446">
    <w:name w:val="Char Char275"/>
    <w:qFormat/>
    <w:uiPriority w:val="0"/>
    <w:rPr>
      <w:rFonts w:ascii="楷体_GB2312" w:eastAsia="楷体_GB2312"/>
      <w:kern w:val="2"/>
      <w:sz w:val="28"/>
      <w:lang w:val="en-US" w:eastAsia="zh-CN" w:bidi="ar-SA"/>
    </w:rPr>
  </w:style>
  <w:style w:type="character" w:customStyle="1" w:styleId="2447">
    <w:name w:val="图表标题 Char Char"/>
    <w:qFormat/>
    <w:uiPriority w:val="0"/>
    <w:rPr>
      <w:rFonts w:ascii="黑体" w:eastAsia="黑体"/>
    </w:rPr>
  </w:style>
  <w:style w:type="character" w:customStyle="1" w:styleId="2448">
    <w:name w:val="ENFI图表标题 Char"/>
    <w:link w:val="2449"/>
    <w:qFormat/>
    <w:uiPriority w:val="0"/>
    <w:rPr>
      <w:rFonts w:eastAsia="仿宋_GB2312"/>
      <w:b/>
      <w:sz w:val="28"/>
    </w:rPr>
  </w:style>
  <w:style w:type="paragraph" w:customStyle="1" w:styleId="2449">
    <w:name w:val="ENFI图表标题"/>
    <w:basedOn w:val="1"/>
    <w:link w:val="2448"/>
    <w:qFormat/>
    <w:uiPriority w:val="0"/>
    <w:pPr>
      <w:adjustRightInd w:val="0"/>
      <w:snapToGrid w:val="0"/>
      <w:spacing w:before="120" w:line="240" w:lineRule="atLeast"/>
      <w:jc w:val="center"/>
    </w:pPr>
    <w:rPr>
      <w:rFonts w:eastAsia="仿宋_GB2312"/>
      <w:b/>
      <w:kern w:val="0"/>
      <w:sz w:val="28"/>
      <w:szCs w:val="20"/>
    </w:rPr>
  </w:style>
  <w:style w:type="character" w:customStyle="1" w:styleId="2450">
    <w:name w:val="文档结构图 Char3"/>
    <w:semiHidden/>
    <w:qFormat/>
    <w:uiPriority w:val="99"/>
    <w:rPr>
      <w:rFonts w:ascii="宋体" w:hAnsi="Calibri" w:eastAsia="宋体" w:cs="Times New Roman"/>
      <w:kern w:val="0"/>
      <w:sz w:val="18"/>
      <w:szCs w:val="18"/>
    </w:rPr>
  </w:style>
  <w:style w:type="character" w:customStyle="1" w:styleId="2451">
    <w:name w:val="Char Char353"/>
    <w:qFormat/>
    <w:uiPriority w:val="0"/>
    <w:rPr>
      <w:rFonts w:ascii="Calibri" w:hAnsi="Calibri" w:eastAsia="宋体"/>
      <w:b/>
      <w:bCs/>
      <w:kern w:val="2"/>
      <w:sz w:val="24"/>
      <w:szCs w:val="22"/>
      <w:lang w:val="en-US" w:eastAsia="zh-CN" w:bidi="ar-SA"/>
    </w:rPr>
  </w:style>
  <w:style w:type="character" w:customStyle="1" w:styleId="2452">
    <w:name w:val="Char Char273"/>
    <w:qFormat/>
    <w:uiPriority w:val="0"/>
    <w:rPr>
      <w:rFonts w:ascii="Times New Roman" w:hAnsi="Times New Roman" w:eastAsia="宋体" w:cs="Times New Roman"/>
      <w:sz w:val="18"/>
      <w:szCs w:val="18"/>
    </w:rPr>
  </w:style>
  <w:style w:type="character" w:customStyle="1" w:styleId="2453">
    <w:name w:val="1正文段落 Char"/>
    <w:link w:val="1311"/>
    <w:qFormat/>
    <w:uiPriority w:val="0"/>
    <w:rPr>
      <w:snapToGrid w:val="0"/>
      <w:sz w:val="24"/>
      <w:szCs w:val="24"/>
    </w:rPr>
  </w:style>
  <w:style w:type="character" w:customStyle="1" w:styleId="2454">
    <w:name w:val="nr1"/>
    <w:qFormat/>
    <w:uiPriority w:val="0"/>
    <w:rPr>
      <w:sz w:val="18"/>
      <w:szCs w:val="18"/>
    </w:rPr>
  </w:style>
  <w:style w:type="character" w:customStyle="1" w:styleId="2455">
    <w:name w:val="Char Char104"/>
    <w:qFormat/>
    <w:uiPriority w:val="0"/>
    <w:rPr>
      <w:rFonts w:eastAsia="宋体"/>
      <w:b/>
      <w:bCs/>
      <w:kern w:val="44"/>
      <w:sz w:val="44"/>
      <w:szCs w:val="44"/>
      <w:lang w:val="en-US" w:eastAsia="zh-CN" w:bidi="ar-SA"/>
    </w:rPr>
  </w:style>
  <w:style w:type="character" w:customStyle="1" w:styleId="2456">
    <w:name w:val="textindent"/>
    <w:qFormat/>
    <w:uiPriority w:val="0"/>
  </w:style>
  <w:style w:type="character" w:customStyle="1" w:styleId="2457">
    <w:name w:val="Char Char602"/>
    <w:qFormat/>
    <w:uiPriority w:val="0"/>
    <w:rPr>
      <w:rFonts w:ascii="楷体_GB2312" w:hAnsi="Times New Roman" w:eastAsia="楷体_GB2312" w:cs="Times New Roman"/>
      <w:sz w:val="28"/>
      <w:szCs w:val="20"/>
    </w:rPr>
  </w:style>
  <w:style w:type="character" w:customStyle="1" w:styleId="2458">
    <w:name w:val="标题 Char1"/>
    <w:qFormat/>
    <w:uiPriority w:val="0"/>
    <w:rPr>
      <w:rFonts w:ascii="Arial" w:hAnsi="Arial" w:eastAsia="宋体" w:cs="Arial"/>
      <w:b/>
      <w:bCs/>
      <w:kern w:val="2"/>
      <w:sz w:val="32"/>
      <w:szCs w:val="32"/>
      <w:lang w:val="en-US" w:eastAsia="zh-CN" w:bidi="ar-SA"/>
    </w:rPr>
  </w:style>
  <w:style w:type="character" w:customStyle="1" w:styleId="2459">
    <w:name w:val="书籍标题2"/>
    <w:qFormat/>
    <w:uiPriority w:val="33"/>
    <w:rPr>
      <w:i/>
      <w:iCs/>
      <w:smallCaps/>
      <w:spacing w:val="5"/>
    </w:rPr>
  </w:style>
  <w:style w:type="character" w:customStyle="1" w:styleId="2460">
    <w:name w:val="样式 首行缩进:  2 字符 Char"/>
    <w:link w:val="2461"/>
    <w:qFormat/>
    <w:uiPriority w:val="0"/>
    <w:rPr>
      <w:rFonts w:cs="宋体"/>
      <w:sz w:val="24"/>
    </w:rPr>
  </w:style>
  <w:style w:type="paragraph" w:customStyle="1" w:styleId="2461">
    <w:name w:val="样式 首行缩进:  2 字符"/>
    <w:basedOn w:val="1"/>
    <w:link w:val="2460"/>
    <w:qFormat/>
    <w:uiPriority w:val="0"/>
    <w:pPr>
      <w:adjustRightInd w:val="0"/>
      <w:snapToGrid w:val="0"/>
      <w:spacing w:line="360" w:lineRule="auto"/>
      <w:ind w:firstLine="420" w:firstLineChars="200"/>
    </w:pPr>
    <w:rPr>
      <w:rFonts w:cs="宋体"/>
      <w:kern w:val="0"/>
      <w:sz w:val="24"/>
      <w:szCs w:val="20"/>
    </w:rPr>
  </w:style>
  <w:style w:type="character" w:customStyle="1" w:styleId="2462">
    <w:name w:val="Char Char276"/>
    <w:qFormat/>
    <w:uiPriority w:val="0"/>
    <w:rPr>
      <w:rFonts w:ascii="楷体_GB2312" w:eastAsia="楷体_GB2312"/>
      <w:kern w:val="2"/>
      <w:sz w:val="28"/>
      <w:lang w:val="en-US" w:eastAsia="zh-CN" w:bidi="ar-SA"/>
    </w:rPr>
  </w:style>
  <w:style w:type="character" w:customStyle="1" w:styleId="2463">
    <w:name w:val="我的正文 Char"/>
    <w:link w:val="1339"/>
    <w:qFormat/>
    <w:uiPriority w:val="0"/>
    <w:rPr>
      <w:rFonts w:ascii="宋体" w:hAnsi="宋体"/>
      <w:bCs/>
      <w:spacing w:val="6"/>
      <w:kern w:val="2"/>
      <w:sz w:val="24"/>
      <w:szCs w:val="24"/>
    </w:rPr>
  </w:style>
  <w:style w:type="character" w:customStyle="1" w:styleId="2464">
    <w:name w:val="Char Char441"/>
    <w:qFormat/>
    <w:uiPriority w:val="0"/>
    <w:rPr>
      <w:rFonts w:hint="eastAsia" w:ascii="宋体" w:hAnsi="宋体" w:eastAsia="宋体"/>
      <w:sz w:val="24"/>
    </w:rPr>
  </w:style>
  <w:style w:type="character" w:customStyle="1" w:styleId="2465">
    <w:name w:val="Char Char211"/>
    <w:qFormat/>
    <w:uiPriority w:val="0"/>
    <w:rPr>
      <w:rFonts w:hint="eastAsia" w:ascii="宋体" w:hAnsi="宋体" w:eastAsia="宋体"/>
      <w:sz w:val="24"/>
      <w:lang w:val="en-US" w:eastAsia="zh-CN"/>
    </w:rPr>
  </w:style>
  <w:style w:type="character" w:customStyle="1" w:styleId="2466">
    <w:name w:val="Char Char464"/>
    <w:qFormat/>
    <w:uiPriority w:val="0"/>
    <w:rPr>
      <w:rFonts w:eastAsia="宋体"/>
      <w:kern w:val="2"/>
      <w:sz w:val="21"/>
      <w:szCs w:val="24"/>
      <w:lang w:val="en-US" w:eastAsia="zh-CN" w:bidi="ar-SA"/>
    </w:rPr>
  </w:style>
  <w:style w:type="character" w:customStyle="1" w:styleId="2467">
    <w:name w:val="0正文 Char"/>
    <w:qFormat/>
    <w:locked/>
    <w:uiPriority w:val="0"/>
    <w:rPr>
      <w:rFonts w:ascii="Times New Roman" w:hAnsi="Times New Roman" w:eastAsia="宋体" w:cs="Times New Roman"/>
      <w:color w:val="0000FF"/>
      <w:sz w:val="24"/>
      <w:szCs w:val="20"/>
    </w:rPr>
  </w:style>
  <w:style w:type="character" w:customStyle="1" w:styleId="2468">
    <w:name w:val="正 Char1"/>
    <w:qFormat/>
    <w:uiPriority w:val="0"/>
    <w:rPr>
      <w:rFonts w:ascii="宋体" w:hAnsi="宋体" w:eastAsia="宋体" w:cs="Times New Roman"/>
      <w:color w:val="FF0000"/>
      <w:sz w:val="28"/>
      <w:szCs w:val="28"/>
      <w:lang w:val="zh-CN"/>
    </w:rPr>
  </w:style>
  <w:style w:type="character" w:customStyle="1" w:styleId="2469">
    <w:name w:val="正文文本 + Times New Roman18"/>
    <w:qFormat/>
    <w:uiPriority w:val="0"/>
    <w:rPr>
      <w:rFonts w:ascii="Times New Roman" w:hAnsi="Times New Roman" w:eastAsia="Times New Roman" w:cs="Times New Roman"/>
      <w:color w:val="000000"/>
      <w:spacing w:val="10"/>
      <w:w w:val="100"/>
      <w:position w:val="0"/>
      <w:sz w:val="10"/>
      <w:szCs w:val="10"/>
      <w:u w:val="none"/>
      <w:shd w:val="clear" w:color="auto" w:fill="FFFFFF"/>
      <w:lang w:val="en-US" w:eastAsia="en-US" w:bidi="en-US"/>
    </w:rPr>
  </w:style>
  <w:style w:type="character" w:customStyle="1" w:styleId="2470">
    <w:name w:val="description"/>
    <w:basedOn w:val="99"/>
    <w:qFormat/>
    <w:uiPriority w:val="0"/>
  </w:style>
  <w:style w:type="character" w:customStyle="1" w:styleId="2471">
    <w:name w:val="Char Char147"/>
    <w:qFormat/>
    <w:uiPriority w:val="0"/>
    <w:rPr>
      <w:rFonts w:ascii="Times New Roman" w:hAnsi="Times New Roman" w:eastAsia="宋体" w:cs="Times New Roman"/>
      <w:b/>
      <w:bCs/>
      <w:sz w:val="24"/>
      <w:szCs w:val="24"/>
    </w:rPr>
  </w:style>
  <w:style w:type="character" w:customStyle="1" w:styleId="2472">
    <w:name w:val="正文宋体小四1.5行 Char1"/>
    <w:qFormat/>
    <w:uiPriority w:val="0"/>
    <w:rPr>
      <w:rFonts w:ascii="Calibri" w:hAnsi="Calibri"/>
    </w:rPr>
  </w:style>
  <w:style w:type="character" w:customStyle="1" w:styleId="2473">
    <w:name w:val="Char Char141"/>
    <w:qFormat/>
    <w:uiPriority w:val="0"/>
    <w:rPr>
      <w:rFonts w:ascii="Times New Roman" w:hAnsi="Times New Roman" w:eastAsia="宋体" w:cs="Times New Roman"/>
      <w:b/>
      <w:bCs/>
      <w:sz w:val="24"/>
      <w:szCs w:val="24"/>
    </w:rPr>
  </w:style>
  <w:style w:type="character" w:customStyle="1" w:styleId="2474">
    <w:name w:val="123YJ Char2"/>
    <w:qFormat/>
    <w:uiPriority w:val="0"/>
    <w:rPr>
      <w:rFonts w:eastAsia="宋体"/>
      <w:kern w:val="2"/>
      <w:sz w:val="18"/>
      <w:szCs w:val="18"/>
      <w:lang w:val="en-US" w:eastAsia="zh-CN" w:bidi="ar-SA"/>
    </w:rPr>
  </w:style>
  <w:style w:type="character" w:customStyle="1" w:styleId="2475">
    <w:name w:val="表格内容2 Char Char"/>
    <w:link w:val="2476"/>
    <w:qFormat/>
    <w:uiPriority w:val="0"/>
    <w:rPr>
      <w:szCs w:val="21"/>
    </w:rPr>
  </w:style>
  <w:style w:type="paragraph" w:customStyle="1" w:styleId="2476">
    <w:name w:val="表格内容2"/>
    <w:link w:val="2475"/>
    <w:qFormat/>
    <w:uiPriority w:val="0"/>
    <w:pPr>
      <w:adjustRightInd w:val="0"/>
      <w:snapToGrid w:val="0"/>
      <w:spacing w:line="276" w:lineRule="auto"/>
      <w:jc w:val="center"/>
    </w:pPr>
    <w:rPr>
      <w:rFonts w:ascii="Times New Roman" w:hAnsi="Times New Roman" w:eastAsia="宋体" w:cs="Times New Roman"/>
      <w:szCs w:val="21"/>
      <w:lang w:val="en-US" w:eastAsia="zh-CN" w:bidi="ar-SA"/>
    </w:rPr>
  </w:style>
  <w:style w:type="character" w:customStyle="1" w:styleId="2477">
    <w:name w:val="Char Char173"/>
    <w:qFormat/>
    <w:uiPriority w:val="0"/>
    <w:rPr>
      <w:rFonts w:ascii="Times New Roman" w:hAnsi="Times New Roman" w:eastAsia="宋体" w:cs="Times New Roman"/>
      <w:b/>
      <w:bCs/>
      <w:sz w:val="24"/>
      <w:szCs w:val="24"/>
    </w:rPr>
  </w:style>
  <w:style w:type="character" w:customStyle="1" w:styleId="2478">
    <w:name w:val="Char Char621"/>
    <w:qFormat/>
    <w:uiPriority w:val="0"/>
    <w:rPr>
      <w:rFonts w:ascii="Cambria" w:hAnsi="Cambria" w:eastAsia="宋体" w:cs="Times New Roman"/>
      <w:b/>
      <w:bCs/>
      <w:kern w:val="0"/>
      <w:sz w:val="32"/>
      <w:szCs w:val="32"/>
    </w:rPr>
  </w:style>
  <w:style w:type="character" w:customStyle="1" w:styleId="2479">
    <w:name w:val="Char Char424"/>
    <w:qFormat/>
    <w:uiPriority w:val="0"/>
    <w:rPr>
      <w:rFonts w:ascii="宋体" w:hAnsi="宋体" w:eastAsia="宋体" w:cs="宋体"/>
      <w:sz w:val="24"/>
      <w:szCs w:val="24"/>
      <w:lang w:val="en-US" w:eastAsia="zh-CN" w:bidi="ar-SA"/>
    </w:rPr>
  </w:style>
  <w:style w:type="character" w:customStyle="1" w:styleId="2480">
    <w:name w:val="bold121"/>
    <w:qFormat/>
    <w:uiPriority w:val="0"/>
    <w:rPr>
      <w:b/>
      <w:bCs/>
      <w:sz w:val="18"/>
      <w:szCs w:val="18"/>
    </w:rPr>
  </w:style>
  <w:style w:type="character" w:customStyle="1" w:styleId="2481">
    <w:name w:val="样式 正文文字 + 首行缩进:  2 字符 行距: 最小值 24 磅 Char"/>
    <w:link w:val="2482"/>
    <w:qFormat/>
    <w:uiPriority w:val="0"/>
    <w:rPr>
      <w:rFonts w:cs="宋体"/>
      <w:sz w:val="24"/>
    </w:rPr>
  </w:style>
  <w:style w:type="paragraph" w:customStyle="1" w:styleId="2482">
    <w:name w:val="样式 正文文字 + 首行缩进:  2 字符 行距: 最小值 24 磅"/>
    <w:basedOn w:val="1"/>
    <w:link w:val="2481"/>
    <w:qFormat/>
    <w:uiPriority w:val="0"/>
    <w:pPr>
      <w:adjustRightInd w:val="0"/>
      <w:snapToGrid w:val="0"/>
      <w:spacing w:line="480" w:lineRule="atLeast"/>
      <w:ind w:firstLine="480" w:firstLineChars="200"/>
    </w:pPr>
    <w:rPr>
      <w:rFonts w:cs="宋体"/>
      <w:kern w:val="0"/>
      <w:sz w:val="24"/>
      <w:szCs w:val="20"/>
    </w:rPr>
  </w:style>
  <w:style w:type="character" w:customStyle="1" w:styleId="2483">
    <w:name w:val="Char Char118"/>
    <w:qFormat/>
    <w:uiPriority w:val="0"/>
    <w:rPr>
      <w:sz w:val="18"/>
      <w:szCs w:val="18"/>
    </w:rPr>
  </w:style>
  <w:style w:type="character" w:customStyle="1" w:styleId="2484">
    <w:name w:val="Char Char681"/>
    <w:qFormat/>
    <w:uiPriority w:val="0"/>
    <w:rPr>
      <w:rFonts w:ascii="Times New Roman" w:hAnsi="Times New Roman" w:eastAsia="宋体" w:cs="Times New Roman"/>
      <w:sz w:val="18"/>
      <w:szCs w:val="20"/>
    </w:rPr>
  </w:style>
  <w:style w:type="character" w:customStyle="1" w:styleId="2485">
    <w:name w:val="Char Char62"/>
    <w:qFormat/>
    <w:locked/>
    <w:uiPriority w:val="0"/>
    <w:rPr>
      <w:rFonts w:eastAsia="宋体"/>
      <w:kern w:val="44"/>
      <w:sz w:val="44"/>
      <w:szCs w:val="44"/>
      <w:lang w:val="en-US" w:eastAsia="zh-CN" w:bidi="ar-SA"/>
    </w:rPr>
  </w:style>
  <w:style w:type="character" w:customStyle="1" w:styleId="2486">
    <w:name w:val="123YJ Char Char6"/>
    <w:qFormat/>
    <w:uiPriority w:val="0"/>
    <w:rPr>
      <w:rFonts w:ascii="Times New Roman" w:hAnsi="Times New Roman" w:eastAsia="宋体" w:cs="Times New Roman"/>
      <w:sz w:val="18"/>
      <w:szCs w:val="18"/>
    </w:rPr>
  </w:style>
  <w:style w:type="character" w:customStyle="1" w:styleId="2487">
    <w:name w:val="正文文字 3 Char Char7"/>
    <w:link w:val="1266"/>
    <w:qFormat/>
    <w:uiPriority w:val="0"/>
    <w:rPr>
      <w:rFonts w:ascii="楷体" w:eastAsia="楷体"/>
      <w:sz w:val="28"/>
    </w:rPr>
  </w:style>
  <w:style w:type="character" w:customStyle="1" w:styleId="2488">
    <w:name w:val="2级标题 Char"/>
    <w:link w:val="2489"/>
    <w:qFormat/>
    <w:uiPriority w:val="0"/>
    <w:rPr>
      <w:rFonts w:hAnsi="Arial" w:eastAsia="黑体"/>
      <w:sz w:val="30"/>
      <w:szCs w:val="28"/>
    </w:rPr>
  </w:style>
  <w:style w:type="paragraph" w:customStyle="1" w:styleId="2489">
    <w:name w:val="2级标题"/>
    <w:basedOn w:val="4"/>
    <w:link w:val="2488"/>
    <w:qFormat/>
    <w:uiPriority w:val="0"/>
    <w:pPr>
      <w:keepNext w:val="0"/>
      <w:keepLines w:val="0"/>
      <w:tabs>
        <w:tab w:val="left" w:pos="3564"/>
      </w:tabs>
      <w:adjustRightInd w:val="0"/>
      <w:snapToGrid w:val="0"/>
      <w:spacing w:before="0" w:after="0" w:line="360" w:lineRule="auto"/>
    </w:pPr>
    <w:rPr>
      <w:rFonts w:ascii="Times New Roman"/>
      <w:b w:val="0"/>
      <w:bCs w:val="0"/>
      <w:kern w:val="0"/>
      <w:sz w:val="30"/>
      <w:szCs w:val="28"/>
    </w:rPr>
  </w:style>
  <w:style w:type="character" w:customStyle="1" w:styleId="2490">
    <w:name w:val="批注主题 Char2"/>
    <w:qFormat/>
    <w:locked/>
    <w:uiPriority w:val="99"/>
    <w:rPr>
      <w:rFonts w:ascii="Calibri" w:hAnsi="Calibri" w:eastAsia="宋体" w:cs="Times New Roman"/>
      <w:b/>
      <w:bCs/>
      <w:kern w:val="0"/>
      <w:sz w:val="22"/>
    </w:rPr>
  </w:style>
  <w:style w:type="character" w:customStyle="1" w:styleId="2491">
    <w:name w:val="mainfirst1"/>
    <w:semiHidden/>
    <w:qFormat/>
    <w:uiPriority w:val="0"/>
    <w:rPr>
      <w:rFonts w:ascii="宋体" w:hAnsi="宋体" w:eastAsia="黑体" w:cs="宋体"/>
      <w:b/>
      <w:bCs/>
      <w:color w:val="FF0000"/>
      <w:kern w:val="2"/>
      <w:sz w:val="36"/>
      <w:szCs w:val="36"/>
      <w:lang w:val="en-US" w:eastAsia="zh-CN" w:bidi="ar-SA"/>
    </w:rPr>
  </w:style>
  <w:style w:type="character" w:customStyle="1" w:styleId="2492">
    <w:name w:val="审核正文 Char Char"/>
    <w:qFormat/>
    <w:uiPriority w:val="0"/>
    <w:rPr>
      <w:rFonts w:ascii="Times New Roman" w:hAnsi="Times New Roman" w:eastAsia="宋体" w:cs="Times New Roman"/>
      <w:kern w:val="0"/>
      <w:sz w:val="24"/>
      <w:szCs w:val="20"/>
    </w:rPr>
  </w:style>
  <w:style w:type="character" w:customStyle="1" w:styleId="2493">
    <w:name w:val="结束语 Char1"/>
    <w:qFormat/>
    <w:uiPriority w:val="0"/>
    <w:rPr>
      <w:kern w:val="2"/>
      <w:sz w:val="21"/>
      <w:szCs w:val="24"/>
    </w:rPr>
  </w:style>
  <w:style w:type="character" w:customStyle="1" w:styleId="2494">
    <w:name w:val="样式4 Char Char Char"/>
    <w:qFormat/>
    <w:uiPriority w:val="0"/>
    <w:rPr>
      <w:rFonts w:ascii="宋体" w:hAnsi="宋体"/>
      <w:b/>
      <w:bCs/>
      <w:kern w:val="24"/>
      <w:sz w:val="24"/>
      <w:szCs w:val="24"/>
    </w:rPr>
  </w:style>
  <w:style w:type="character" w:customStyle="1" w:styleId="2495">
    <w:name w:val="样式3 Char"/>
    <w:link w:val="893"/>
    <w:qFormat/>
    <w:uiPriority w:val="0"/>
    <w:rPr>
      <w:kern w:val="2"/>
      <w:sz w:val="28"/>
      <w:szCs w:val="28"/>
    </w:rPr>
  </w:style>
  <w:style w:type="character" w:customStyle="1" w:styleId="2496">
    <w:name w:val="四号宋体左齐行距1.5倍 Char"/>
    <w:qFormat/>
    <w:locked/>
    <w:uiPriority w:val="0"/>
    <w:rPr>
      <w:rFonts w:eastAsia="宋体"/>
      <w:b/>
      <w:bCs/>
      <w:kern w:val="2"/>
      <w:sz w:val="32"/>
      <w:szCs w:val="32"/>
      <w:lang w:val="en-US" w:eastAsia="zh-CN" w:bidi="ar-SA"/>
    </w:rPr>
  </w:style>
  <w:style w:type="character" w:customStyle="1" w:styleId="2497">
    <w:name w:val="p_red_bold1"/>
    <w:qFormat/>
    <w:uiPriority w:val="0"/>
    <w:rPr>
      <w:b/>
      <w:bCs/>
      <w:color w:val="FF3333"/>
    </w:rPr>
  </w:style>
  <w:style w:type="character" w:customStyle="1" w:styleId="2498">
    <w:name w:val="fcc正文 Char"/>
    <w:link w:val="2499"/>
    <w:qFormat/>
    <w:locked/>
    <w:uiPriority w:val="0"/>
    <w:rPr>
      <w:sz w:val="24"/>
    </w:rPr>
  </w:style>
  <w:style w:type="paragraph" w:customStyle="1" w:styleId="2499">
    <w:name w:val="fcc正文"/>
    <w:basedOn w:val="1"/>
    <w:link w:val="2498"/>
    <w:qFormat/>
    <w:uiPriority w:val="0"/>
    <w:pPr>
      <w:spacing w:line="360" w:lineRule="auto"/>
      <w:ind w:firstLine="200" w:firstLineChars="200"/>
    </w:pPr>
    <w:rPr>
      <w:kern w:val="0"/>
      <w:sz w:val="24"/>
      <w:szCs w:val="20"/>
    </w:rPr>
  </w:style>
  <w:style w:type="character" w:customStyle="1" w:styleId="2500">
    <w:name w:val="666666-正文 Char Char"/>
    <w:qFormat/>
    <w:locked/>
    <w:uiPriority w:val="0"/>
    <w:rPr>
      <w:rFonts w:ascii="Times New Roman" w:hAnsi="Times New Roman" w:cs="Times New Roman"/>
      <w:sz w:val="24"/>
      <w:lang w:val="zh-CN"/>
    </w:rPr>
  </w:style>
  <w:style w:type="character" w:customStyle="1" w:styleId="2501">
    <w:name w:val="文本匡小五号 Char Char Char"/>
    <w:qFormat/>
    <w:uiPriority w:val="0"/>
    <w:rPr>
      <w:rFonts w:ascii="宋体" w:hAnsi="宋体" w:eastAsia="仿宋_GB2312" w:cs="Courier New"/>
      <w:kern w:val="2"/>
      <w:sz w:val="18"/>
      <w:szCs w:val="24"/>
      <w:lang w:val="en-US" w:eastAsia="zh-CN" w:bidi="ar-SA"/>
    </w:rPr>
  </w:style>
  <w:style w:type="character" w:customStyle="1" w:styleId="2502">
    <w:name w:val="正文新 Char Char Char"/>
    <w:qFormat/>
    <w:uiPriority w:val="0"/>
    <w:rPr>
      <w:rFonts w:ascii="宋体" w:hAnsi="宋体" w:eastAsia="宋体"/>
      <w:kern w:val="2"/>
      <w:sz w:val="24"/>
      <w:szCs w:val="24"/>
      <w:lang w:val="en-US" w:eastAsia="zh-CN" w:bidi="ar-SA"/>
    </w:rPr>
  </w:style>
  <w:style w:type="character" w:customStyle="1" w:styleId="2503">
    <w:name w:val="样式 黑色"/>
    <w:qFormat/>
    <w:uiPriority w:val="0"/>
    <w:rPr>
      <w:color w:val="auto"/>
    </w:rPr>
  </w:style>
  <w:style w:type="character" w:customStyle="1" w:styleId="2504">
    <w:name w:val="Char Char366"/>
    <w:qFormat/>
    <w:uiPriority w:val="0"/>
    <w:rPr>
      <w:rFonts w:ascii="Calibri" w:hAnsi="Calibri" w:eastAsia="宋体"/>
      <w:kern w:val="2"/>
      <w:sz w:val="24"/>
      <w:szCs w:val="22"/>
      <w:lang w:val="en-US" w:eastAsia="zh-CN" w:bidi="ar-SA"/>
    </w:rPr>
  </w:style>
  <w:style w:type="character" w:customStyle="1" w:styleId="2505">
    <w:name w:val="标题 字符1"/>
    <w:qFormat/>
    <w:uiPriority w:val="10"/>
    <w:rPr>
      <w:rFonts w:ascii="Cambria" w:hAnsi="Cambria" w:eastAsia="宋体"/>
      <w:bCs/>
      <w:sz w:val="28"/>
      <w:szCs w:val="32"/>
    </w:rPr>
  </w:style>
  <w:style w:type="character" w:customStyle="1" w:styleId="2506">
    <w:name w:val="style6"/>
    <w:qFormat/>
    <w:uiPriority w:val="0"/>
  </w:style>
  <w:style w:type="character" w:customStyle="1" w:styleId="2507">
    <w:name w:val="Char28"/>
    <w:qFormat/>
    <w:uiPriority w:val="0"/>
    <w:rPr>
      <w:rFonts w:ascii="宋体" w:hAnsi="Courier New" w:eastAsia="宋体"/>
      <w:kern w:val="2"/>
      <w:sz w:val="28"/>
      <w:szCs w:val="24"/>
      <w:lang w:val="en-US" w:eastAsia="zh-CN" w:bidi="ar-SA"/>
    </w:rPr>
  </w:style>
  <w:style w:type="character" w:customStyle="1" w:styleId="2508">
    <w:name w:val="bl1"/>
    <w:qFormat/>
    <w:uiPriority w:val="0"/>
    <w:rPr>
      <w:color w:val="222222"/>
      <w:sz w:val="21"/>
      <w:szCs w:val="21"/>
      <w:u w:val="none"/>
    </w:rPr>
  </w:style>
  <w:style w:type="character" w:customStyle="1" w:styleId="2509">
    <w:name w:val="Char Char265"/>
    <w:qFormat/>
    <w:uiPriority w:val="0"/>
    <w:rPr>
      <w:rFonts w:ascii="宋体" w:hAnsi="宋体" w:eastAsia="宋体" w:cs="宋体"/>
      <w:sz w:val="24"/>
      <w:szCs w:val="24"/>
      <w:lang w:val="en-US" w:eastAsia="zh-CN" w:bidi="ar-SA"/>
    </w:rPr>
  </w:style>
  <w:style w:type="character" w:customStyle="1" w:styleId="2510">
    <w:name w:val="样式 表中文字 + 两端对齐 Char"/>
    <w:link w:val="2511"/>
    <w:qFormat/>
    <w:uiPriority w:val="0"/>
    <w:rPr>
      <w:rFonts w:ascii="Arial" w:hAnsi="Arial" w:eastAsia="楷体_GB2312"/>
      <w:szCs w:val="21"/>
    </w:rPr>
  </w:style>
  <w:style w:type="paragraph" w:customStyle="1" w:styleId="2511">
    <w:name w:val="样式 表中文字 + 两端对齐"/>
    <w:basedOn w:val="1022"/>
    <w:link w:val="2510"/>
    <w:qFormat/>
    <w:uiPriority w:val="0"/>
    <w:pPr>
      <w:tabs>
        <w:tab w:val="left" w:pos="3286"/>
        <w:tab w:val="left" w:pos="8362"/>
      </w:tabs>
      <w:spacing w:line="320" w:lineRule="exact"/>
    </w:pPr>
    <w:rPr>
      <w:rFonts w:ascii="Arial" w:hAnsi="Arial" w:eastAsia="楷体_GB2312"/>
      <w:kern w:val="0"/>
      <w:sz w:val="20"/>
      <w:szCs w:val="21"/>
      <w:shd w:val="clear" w:color="auto" w:fill="FFFFFF"/>
    </w:rPr>
  </w:style>
  <w:style w:type="character" w:customStyle="1" w:styleId="2512">
    <w:name w:val="标题 3，BSH-3条标题1.1.1 Char Char"/>
    <w:link w:val="2513"/>
    <w:qFormat/>
    <w:uiPriority w:val="0"/>
    <w:rPr>
      <w:rFonts w:ascii="宋体" w:hAnsi="宋体"/>
      <w:caps/>
      <w:sz w:val="24"/>
      <w:szCs w:val="24"/>
    </w:rPr>
  </w:style>
  <w:style w:type="paragraph" w:customStyle="1" w:styleId="2513">
    <w:name w:val="标题 3，BSH-3条标题1.1.1"/>
    <w:basedOn w:val="5"/>
    <w:link w:val="2512"/>
    <w:qFormat/>
    <w:uiPriority w:val="0"/>
    <w:pPr>
      <w:adjustRightInd w:val="0"/>
      <w:snapToGrid w:val="0"/>
      <w:spacing w:before="0" w:after="0" w:line="360" w:lineRule="auto"/>
      <w:outlineLvl w:val="9"/>
    </w:pPr>
    <w:rPr>
      <w:rFonts w:ascii="宋体" w:hAnsi="宋体"/>
      <w:b w:val="0"/>
      <w:bCs w:val="0"/>
      <w:caps/>
      <w:kern w:val="0"/>
      <w:sz w:val="24"/>
      <w:szCs w:val="24"/>
    </w:rPr>
  </w:style>
  <w:style w:type="character" w:customStyle="1" w:styleId="2514">
    <w:name w:val="样式 图号 + 宋体 Char Char"/>
    <w:qFormat/>
    <w:uiPriority w:val="0"/>
    <w:rPr>
      <w:rFonts w:hint="eastAsia" w:ascii="宋体" w:hAnsi="宋体" w:eastAsia="宋体"/>
      <w:b/>
      <w:bCs/>
      <w:kern w:val="32"/>
      <w:sz w:val="24"/>
      <w:szCs w:val="24"/>
      <w:lang w:val="en-US" w:eastAsia="zh-CN"/>
    </w:rPr>
  </w:style>
  <w:style w:type="character" w:customStyle="1" w:styleId="2515">
    <w:name w:val="MTDisplayEquation Char"/>
    <w:link w:val="1212"/>
    <w:qFormat/>
    <w:uiPriority w:val="0"/>
    <w:rPr>
      <w:bCs/>
      <w:kern w:val="2"/>
      <w:sz w:val="30"/>
      <w:szCs w:val="30"/>
    </w:rPr>
  </w:style>
  <w:style w:type="character" w:customStyle="1" w:styleId="2516">
    <w:name w:val="Char Char410"/>
    <w:link w:val="2517"/>
    <w:qFormat/>
    <w:uiPriority w:val="0"/>
    <w:rPr>
      <w:sz w:val="18"/>
    </w:rPr>
  </w:style>
  <w:style w:type="paragraph" w:customStyle="1" w:styleId="2517">
    <w:name w:val="批注框文本11"/>
    <w:basedOn w:val="1"/>
    <w:link w:val="2516"/>
    <w:qFormat/>
    <w:uiPriority w:val="0"/>
    <w:pPr>
      <w:spacing w:line="360" w:lineRule="auto"/>
    </w:pPr>
    <w:rPr>
      <w:kern w:val="0"/>
      <w:sz w:val="18"/>
      <w:szCs w:val="20"/>
    </w:rPr>
  </w:style>
  <w:style w:type="character" w:customStyle="1" w:styleId="2518">
    <w:name w:val="Char Char44"/>
    <w:qFormat/>
    <w:uiPriority w:val="0"/>
    <w:rPr>
      <w:rFonts w:hint="eastAsia" w:ascii="宋体" w:hAnsi="宋体" w:eastAsia="宋体"/>
      <w:sz w:val="24"/>
    </w:rPr>
  </w:style>
  <w:style w:type="character" w:customStyle="1" w:styleId="2519">
    <w:name w:val="Char Char321"/>
    <w:qFormat/>
    <w:uiPriority w:val="0"/>
    <w:rPr>
      <w:rFonts w:hint="default" w:eastAsia="宋体"/>
      <w:b/>
      <w:kern w:val="2"/>
      <w:sz w:val="32"/>
      <w:lang w:val="en-US" w:eastAsia="zh-CN"/>
    </w:rPr>
  </w:style>
  <w:style w:type="character" w:customStyle="1" w:styleId="2520">
    <w:name w:val="Char Char404"/>
    <w:qFormat/>
    <w:uiPriority w:val="0"/>
    <w:rPr>
      <w:rFonts w:ascii="Times New Roman" w:hAnsi="Times New Roman" w:eastAsia="宋体" w:cs="Times New Roman"/>
      <w:szCs w:val="24"/>
      <w:shd w:val="clear" w:color="auto" w:fill="000080"/>
    </w:rPr>
  </w:style>
  <w:style w:type="character" w:customStyle="1" w:styleId="2521">
    <w:name w:val="Char Char148"/>
    <w:qFormat/>
    <w:uiPriority w:val="0"/>
    <w:rPr>
      <w:rFonts w:ascii="Times New Roman" w:hAnsi="Times New Roman" w:eastAsia="宋体" w:cs="Times New Roman"/>
      <w:b/>
      <w:bCs/>
      <w:sz w:val="24"/>
      <w:szCs w:val="24"/>
    </w:rPr>
  </w:style>
  <w:style w:type="character" w:customStyle="1" w:styleId="2522">
    <w:name w:val="hb4 Char Char Char"/>
    <w:qFormat/>
    <w:uiPriority w:val="0"/>
    <w:rPr>
      <w:rFonts w:ascii="宋体" w:hAnsi="宋体" w:eastAsia="宋体"/>
      <w:sz w:val="24"/>
      <w:szCs w:val="24"/>
      <w:lang w:val="en-US" w:eastAsia="zh-CN" w:bidi="ar-SA"/>
    </w:rPr>
  </w:style>
  <w:style w:type="character" w:customStyle="1" w:styleId="2523">
    <w:name w:val="样式 正文缩进正文（首行缩进两字） Char标题四 + (西文) 宋体 小四2 Char"/>
    <w:link w:val="2524"/>
    <w:qFormat/>
    <w:uiPriority w:val="0"/>
    <w:rPr>
      <w:rFonts w:ascii="宋体" w:hAnsi="宋体" w:eastAsia="仿宋_GB2312"/>
      <w:color w:val="000000"/>
      <w:sz w:val="28"/>
      <w:szCs w:val="28"/>
    </w:rPr>
  </w:style>
  <w:style w:type="paragraph" w:customStyle="1" w:styleId="2524">
    <w:name w:val="样式 正文缩进正文（首行缩进两字） Char标题四 + (西文) 宋体 小四2"/>
    <w:basedOn w:val="21"/>
    <w:link w:val="2523"/>
    <w:qFormat/>
    <w:uiPriority w:val="0"/>
    <w:pPr>
      <w:spacing w:line="312" w:lineRule="auto"/>
      <w:ind w:firstLine="560"/>
    </w:pPr>
    <w:rPr>
      <w:rFonts w:ascii="宋体" w:hAnsi="宋体" w:eastAsia="仿宋_GB2312"/>
      <w:color w:val="000000"/>
      <w:kern w:val="0"/>
      <w:sz w:val="28"/>
      <w:szCs w:val="28"/>
    </w:rPr>
  </w:style>
  <w:style w:type="character" w:customStyle="1" w:styleId="2525">
    <w:name w:val="123YJ Char Char2"/>
    <w:qFormat/>
    <w:uiPriority w:val="99"/>
    <w:rPr>
      <w:rFonts w:eastAsia="宋体"/>
      <w:kern w:val="2"/>
      <w:sz w:val="18"/>
      <w:szCs w:val="18"/>
      <w:lang w:val="en-US" w:eastAsia="zh-CN" w:bidi="ar-SA"/>
    </w:rPr>
  </w:style>
  <w:style w:type="character" w:customStyle="1" w:styleId="2526">
    <w:name w:val="样式 正文文本 + 宋体 四号 Char"/>
    <w:link w:val="2527"/>
    <w:qFormat/>
    <w:uiPriority w:val="0"/>
    <w:rPr>
      <w:rFonts w:ascii="宋体" w:hAnsi="宋体" w:eastAsia="仿宋_GB2312"/>
      <w:sz w:val="28"/>
      <w:szCs w:val="24"/>
    </w:rPr>
  </w:style>
  <w:style w:type="paragraph" w:customStyle="1" w:styleId="2527">
    <w:name w:val="样式 正文文本 + 宋体 四号"/>
    <w:basedOn w:val="34"/>
    <w:link w:val="2526"/>
    <w:qFormat/>
    <w:uiPriority w:val="0"/>
    <w:rPr>
      <w:rFonts w:ascii="宋体" w:hAnsi="宋体" w:eastAsia="仿宋_GB2312"/>
      <w:kern w:val="0"/>
      <w:sz w:val="28"/>
    </w:rPr>
  </w:style>
  <w:style w:type="character" w:customStyle="1" w:styleId="2528">
    <w:name w:val="Char Char711"/>
    <w:qFormat/>
    <w:uiPriority w:val="0"/>
    <w:rPr>
      <w:rFonts w:ascii="Arial" w:hAnsi="Arial" w:eastAsia="黑体"/>
      <w:b/>
      <w:bCs/>
      <w:kern w:val="2"/>
      <w:sz w:val="24"/>
      <w:szCs w:val="24"/>
      <w:lang w:val="en-US" w:eastAsia="zh-CN" w:bidi="ar-SA"/>
    </w:rPr>
  </w:style>
  <w:style w:type="character" w:customStyle="1" w:styleId="2529">
    <w:name w:val="标题 11 Char"/>
    <w:qFormat/>
    <w:uiPriority w:val="0"/>
    <w:rPr>
      <w:rFonts w:hint="eastAsia" w:ascii="宋体" w:hAnsi="宋体" w:eastAsia="宋体" w:cs="Times New Roman"/>
      <w:kern w:val="44"/>
      <w:sz w:val="32"/>
      <w:szCs w:val="32"/>
    </w:rPr>
  </w:style>
  <w:style w:type="character" w:customStyle="1" w:styleId="2530">
    <w:name w:val="Char Char73"/>
    <w:qFormat/>
    <w:uiPriority w:val="0"/>
    <w:rPr>
      <w:rFonts w:ascii="宋体" w:hAnsi="Times New Roman"/>
      <w:kern w:val="2"/>
      <w:sz w:val="18"/>
      <w:szCs w:val="18"/>
    </w:rPr>
  </w:style>
  <w:style w:type="character" w:customStyle="1" w:styleId="2531">
    <w:name w:val="Char Char81"/>
    <w:qFormat/>
    <w:uiPriority w:val="0"/>
    <w:rPr>
      <w:rFonts w:eastAsia="宋体"/>
      <w:b/>
      <w:bCs/>
      <w:kern w:val="2"/>
      <w:sz w:val="28"/>
      <w:szCs w:val="28"/>
      <w:lang w:val="en-US" w:eastAsia="zh-CN" w:bidi="ar-SA"/>
    </w:rPr>
  </w:style>
  <w:style w:type="character" w:customStyle="1" w:styleId="2532">
    <w:name w:val="right1"/>
    <w:qFormat/>
    <w:uiPriority w:val="0"/>
  </w:style>
  <w:style w:type="character" w:customStyle="1" w:styleId="2533">
    <w:name w:val="digest1"/>
    <w:qFormat/>
    <w:uiPriority w:val="0"/>
    <w:rPr>
      <w:color w:val="393939"/>
      <w:sz w:val="20"/>
      <w:szCs w:val="20"/>
    </w:rPr>
  </w:style>
  <w:style w:type="character" w:customStyle="1" w:styleId="2534">
    <w:name w:val="占位符文本1"/>
    <w:qFormat/>
    <w:uiPriority w:val="0"/>
    <w:rPr>
      <w:color w:val="808080"/>
    </w:rPr>
  </w:style>
  <w:style w:type="character" w:customStyle="1" w:styleId="2535">
    <w:name w:val="c1"/>
    <w:qFormat/>
    <w:uiPriority w:val="0"/>
  </w:style>
  <w:style w:type="character" w:customStyle="1" w:styleId="2536">
    <w:name w:val="正文样式 Char Char"/>
    <w:qFormat/>
    <w:locked/>
    <w:uiPriority w:val="0"/>
    <w:rPr>
      <w:rFonts w:ascii="宋体" w:hAnsi="宋体" w:eastAsia="宋体" w:cs="Times New Roman"/>
      <w:sz w:val="24"/>
      <w:szCs w:val="24"/>
    </w:rPr>
  </w:style>
  <w:style w:type="character" w:customStyle="1" w:styleId="2537">
    <w:name w:val="Char Char40"/>
    <w:qFormat/>
    <w:uiPriority w:val="0"/>
    <w:rPr>
      <w:rFonts w:ascii="Times New Roman" w:hAnsi="Times New Roman" w:eastAsia="宋体" w:cs="Times New Roman"/>
      <w:szCs w:val="24"/>
      <w:shd w:val="clear" w:color="auto" w:fill="000080"/>
    </w:rPr>
  </w:style>
  <w:style w:type="character" w:customStyle="1" w:styleId="2538">
    <w:name w:val="666666-表头儿 Char Char Char"/>
    <w:qFormat/>
    <w:uiPriority w:val="0"/>
    <w:rPr>
      <w:rFonts w:ascii="Times New Roman" w:hAnsi="Times New Roman" w:eastAsia="黑体"/>
      <w:kern w:val="2"/>
      <w:sz w:val="21"/>
    </w:rPr>
  </w:style>
  <w:style w:type="character" w:customStyle="1" w:styleId="2539">
    <w:name w:val="news_c_da"/>
    <w:qFormat/>
    <w:uiPriority w:val="0"/>
  </w:style>
  <w:style w:type="character" w:customStyle="1" w:styleId="2540">
    <w:name w:val="目标题 1) Char3"/>
    <w:qFormat/>
    <w:uiPriority w:val="0"/>
    <w:rPr>
      <w:rFonts w:ascii="Arial" w:hAnsi="Arial" w:eastAsia="黑体" w:cs="Times New Roman"/>
      <w:sz w:val="24"/>
      <w:szCs w:val="24"/>
    </w:rPr>
  </w:style>
  <w:style w:type="character" w:customStyle="1" w:styleId="2541">
    <w:name w:val="目标题 1) Char Char2"/>
    <w:qFormat/>
    <w:uiPriority w:val="0"/>
    <w:rPr>
      <w:rFonts w:ascii="Arial" w:hAnsi="Arial" w:eastAsia="黑体"/>
      <w:sz w:val="24"/>
      <w:szCs w:val="24"/>
      <w:lang w:val="en-US" w:eastAsia="zh-CN" w:bidi="ar-SA"/>
    </w:rPr>
  </w:style>
  <w:style w:type="character" w:customStyle="1" w:styleId="2542">
    <w:name w:val="Char Char54"/>
    <w:qFormat/>
    <w:uiPriority w:val="0"/>
    <w:rPr>
      <w:rFonts w:ascii="Arial" w:hAnsi="Arial" w:eastAsia="黑体"/>
      <w:kern w:val="2"/>
      <w:sz w:val="24"/>
      <w:szCs w:val="24"/>
      <w:lang w:val="en-US" w:eastAsia="zh-CN" w:bidi="ar-SA"/>
    </w:rPr>
  </w:style>
  <w:style w:type="character" w:customStyle="1" w:styleId="2543">
    <w:name w:val="dan7-1 Char Char Char"/>
    <w:qFormat/>
    <w:uiPriority w:val="0"/>
    <w:rPr>
      <w:rFonts w:ascii="Times New Roman" w:hAnsi="Times New Roman"/>
      <w:kern w:val="2"/>
      <w:sz w:val="24"/>
      <w:szCs w:val="24"/>
    </w:rPr>
  </w:style>
  <w:style w:type="character" w:customStyle="1" w:styleId="2544">
    <w:name w:val="Char Char188"/>
    <w:qFormat/>
    <w:uiPriority w:val="0"/>
    <w:rPr>
      <w:rFonts w:ascii="Arial" w:hAnsi="Arial" w:eastAsia="黑体" w:cs="Times New Roman"/>
      <w:b/>
      <w:bCs/>
      <w:sz w:val="24"/>
      <w:szCs w:val="24"/>
    </w:rPr>
  </w:style>
  <w:style w:type="character" w:customStyle="1" w:styleId="2545">
    <w:name w:val="Char Char292"/>
    <w:qFormat/>
    <w:uiPriority w:val="0"/>
    <w:rPr>
      <w:rFonts w:eastAsia="宋体"/>
      <w:kern w:val="2"/>
      <w:sz w:val="21"/>
      <w:szCs w:val="24"/>
      <w:lang w:val="en-US" w:eastAsia="zh-CN" w:bidi="ar-SA"/>
    </w:rPr>
  </w:style>
  <w:style w:type="character" w:customStyle="1" w:styleId="2546">
    <w:name w:val="666666-图的标识 Char"/>
    <w:link w:val="2547"/>
    <w:qFormat/>
    <w:uiPriority w:val="0"/>
    <w:rPr>
      <w:rFonts w:ascii="黑体" w:hAnsi="宋体" w:eastAsia="黑体"/>
      <w:szCs w:val="21"/>
    </w:rPr>
  </w:style>
  <w:style w:type="paragraph" w:customStyle="1" w:styleId="2547">
    <w:name w:val="666666-图的标识"/>
    <w:link w:val="2546"/>
    <w:qFormat/>
    <w:uiPriority w:val="0"/>
    <w:pPr>
      <w:spacing w:beforeLines="50"/>
      <w:jc w:val="center"/>
    </w:pPr>
    <w:rPr>
      <w:rFonts w:ascii="黑体" w:hAnsi="宋体" w:eastAsia="黑体" w:cs="Times New Roman"/>
      <w:szCs w:val="21"/>
      <w:lang w:val="en-US" w:eastAsia="zh-CN" w:bidi="ar-SA"/>
    </w:rPr>
  </w:style>
  <w:style w:type="character" w:customStyle="1" w:styleId="2548">
    <w:name w:val="Char Char431"/>
    <w:qFormat/>
    <w:uiPriority w:val="0"/>
    <w:rPr>
      <w:rFonts w:hint="eastAsia" w:ascii="宋体" w:eastAsia="宋体"/>
      <w:kern w:val="2"/>
      <w:sz w:val="18"/>
      <w:lang w:val="en-US" w:eastAsia="zh-CN"/>
    </w:rPr>
  </w:style>
  <w:style w:type="character" w:customStyle="1" w:styleId="2549">
    <w:name w:val="2级标题 Char Char"/>
    <w:qFormat/>
    <w:locked/>
    <w:uiPriority w:val="0"/>
    <w:rPr>
      <w:b/>
      <w:bCs/>
      <w:sz w:val="32"/>
      <w:szCs w:val="32"/>
    </w:rPr>
  </w:style>
  <w:style w:type="character" w:customStyle="1" w:styleId="2550">
    <w:name w:val="e1"/>
    <w:qFormat/>
    <w:uiPriority w:val="0"/>
    <w:rPr>
      <w:sz w:val="21"/>
      <w:szCs w:val="21"/>
    </w:rPr>
  </w:style>
  <w:style w:type="character" w:customStyle="1" w:styleId="2551">
    <w:name w:val="不明显参考1"/>
    <w:qFormat/>
    <w:uiPriority w:val="31"/>
    <w:rPr>
      <w:smallCaps/>
    </w:rPr>
  </w:style>
  <w:style w:type="character" w:customStyle="1" w:styleId="2552">
    <w:name w:val="Char Char132"/>
    <w:qFormat/>
    <w:uiPriority w:val="0"/>
    <w:rPr>
      <w:rFonts w:ascii="Times New Roman" w:hAnsi="Times New Roman" w:eastAsia="宋体" w:cs="Times New Roman"/>
      <w:b/>
      <w:bCs/>
      <w:sz w:val="24"/>
      <w:szCs w:val="24"/>
    </w:rPr>
  </w:style>
  <w:style w:type="character" w:customStyle="1" w:styleId="2553">
    <w:name w:val="普通文字 Char Char Char Char Char C Char Char Char Char Char Char Char"/>
    <w:semiHidden/>
    <w:qFormat/>
    <w:uiPriority w:val="0"/>
    <w:rPr>
      <w:rFonts w:ascii="宋体" w:hAnsi="Courier New" w:eastAsia="宋体" w:cs="宋体"/>
      <w:kern w:val="2"/>
      <w:sz w:val="28"/>
      <w:szCs w:val="24"/>
      <w:lang w:val="en-US" w:eastAsia="zh-CN" w:bidi="ar-SA"/>
    </w:rPr>
  </w:style>
  <w:style w:type="character" w:customStyle="1" w:styleId="2554">
    <w:name w:val="图例 Char"/>
    <w:qFormat/>
    <w:uiPriority w:val="0"/>
    <w:rPr>
      <w:rFonts w:ascii="Arial" w:hAnsi="Arial" w:eastAsia="宋体" w:cs="Arial"/>
      <w:kern w:val="2"/>
      <w:sz w:val="28"/>
      <w:szCs w:val="28"/>
      <w:lang w:val="en-US" w:eastAsia="zh-CN" w:bidi="ar-SA"/>
    </w:rPr>
  </w:style>
  <w:style w:type="character" w:customStyle="1" w:styleId="2555">
    <w:name w:val="正文文字 3 Char Char3"/>
    <w:qFormat/>
    <w:uiPriority w:val="0"/>
    <w:rPr>
      <w:rFonts w:eastAsia="宋体"/>
      <w:kern w:val="2"/>
      <w:sz w:val="24"/>
      <w:szCs w:val="24"/>
      <w:lang w:val="en-US" w:eastAsia="zh-CN" w:bidi="ar-SA"/>
    </w:rPr>
  </w:style>
  <w:style w:type="character" w:customStyle="1" w:styleId="2556">
    <w:name w:val="Char Char631"/>
    <w:qFormat/>
    <w:uiPriority w:val="0"/>
    <w:rPr>
      <w:rFonts w:ascii="Times New Roman" w:hAnsi="Times New Roman" w:eastAsia="宋体" w:cs="Times New Roman"/>
      <w:i/>
      <w:iCs/>
      <w:szCs w:val="24"/>
    </w:rPr>
  </w:style>
  <w:style w:type="character" w:customStyle="1" w:styleId="2557">
    <w:name w:val="2标题 Char Char"/>
    <w:qFormat/>
    <w:uiPriority w:val="0"/>
    <w:rPr>
      <w:rFonts w:hint="default" w:ascii="Times New Roman" w:hAnsi="Times New Roman" w:eastAsia="黑体" w:cs="Times New Roman"/>
      <w:bCs/>
      <w:color w:val="0000FF"/>
      <w:kern w:val="2"/>
      <w:sz w:val="32"/>
      <w:szCs w:val="32"/>
    </w:rPr>
  </w:style>
  <w:style w:type="character" w:customStyle="1" w:styleId="2558">
    <w:name w:val="8.7正文格式 Char"/>
    <w:link w:val="2559"/>
    <w:qFormat/>
    <w:uiPriority w:val="0"/>
    <w:rPr>
      <w:sz w:val="28"/>
    </w:rPr>
  </w:style>
  <w:style w:type="paragraph" w:customStyle="1" w:styleId="2559">
    <w:name w:val="8.7正文格式"/>
    <w:basedOn w:val="1"/>
    <w:link w:val="2558"/>
    <w:qFormat/>
    <w:uiPriority w:val="0"/>
    <w:pPr>
      <w:spacing w:line="500" w:lineRule="exact"/>
      <w:ind w:firstLine="560" w:firstLineChars="200"/>
    </w:pPr>
    <w:rPr>
      <w:kern w:val="0"/>
      <w:sz w:val="28"/>
      <w:szCs w:val="20"/>
    </w:rPr>
  </w:style>
  <w:style w:type="character" w:customStyle="1" w:styleId="2560">
    <w:name w:val="样式 表标8.2 + 黑体 四号 Char"/>
    <w:link w:val="2561"/>
    <w:qFormat/>
    <w:uiPriority w:val="0"/>
    <w:rPr>
      <w:rFonts w:ascii="黑体" w:hAnsi="黑体" w:eastAsia="黑体"/>
      <w:b/>
      <w:color w:val="000000"/>
      <w:sz w:val="28"/>
    </w:rPr>
  </w:style>
  <w:style w:type="paragraph" w:customStyle="1" w:styleId="2561">
    <w:name w:val="样式 表标8.2 + 黑体 四号"/>
    <w:basedOn w:val="1"/>
    <w:link w:val="2560"/>
    <w:qFormat/>
    <w:uiPriority w:val="0"/>
    <w:pPr>
      <w:numPr>
        <w:ilvl w:val="0"/>
        <w:numId w:val="8"/>
      </w:numPr>
      <w:tabs>
        <w:tab w:val="left" w:pos="8207"/>
      </w:tabs>
      <w:adjustRightInd w:val="0"/>
      <w:snapToGrid w:val="0"/>
      <w:spacing w:before="120" w:line="0" w:lineRule="atLeast"/>
      <w:ind w:firstLine="0"/>
      <w:jc w:val="center"/>
      <w:textAlignment w:val="baseline"/>
    </w:pPr>
    <w:rPr>
      <w:rFonts w:ascii="黑体" w:hAnsi="黑体" w:eastAsia="黑体"/>
      <w:b/>
      <w:color w:val="000000"/>
      <w:kern w:val="0"/>
      <w:sz w:val="28"/>
      <w:szCs w:val="20"/>
    </w:rPr>
  </w:style>
  <w:style w:type="character" w:customStyle="1" w:styleId="2562">
    <w:name w:val="文档结构图 Char2"/>
    <w:qFormat/>
    <w:locked/>
    <w:uiPriority w:val="99"/>
    <w:rPr>
      <w:rFonts w:ascii="宋体" w:hAnsi="Calibri" w:eastAsia="宋体" w:cs="Times New Roman"/>
      <w:kern w:val="0"/>
      <w:sz w:val="18"/>
      <w:szCs w:val="18"/>
    </w:rPr>
  </w:style>
  <w:style w:type="character" w:customStyle="1" w:styleId="2563">
    <w:name w:val="样式 初设正文 + 左侧:  0 厘米 段后: 0 磅 Char Char"/>
    <w:qFormat/>
    <w:uiPriority w:val="0"/>
    <w:rPr>
      <w:rFonts w:ascii="Arial Unicode MS" w:hAnsi="Arial Unicode MS" w:eastAsia="宋体" w:cs="宋体"/>
      <w:kern w:val="0"/>
      <w:sz w:val="24"/>
      <w:szCs w:val="20"/>
    </w:rPr>
  </w:style>
  <w:style w:type="character" w:customStyle="1" w:styleId="2564">
    <w:name w:val="Char Char344"/>
    <w:qFormat/>
    <w:uiPriority w:val="0"/>
    <w:rPr>
      <w:rFonts w:eastAsia="宋体"/>
      <w:kern w:val="2"/>
      <w:sz w:val="21"/>
      <w:szCs w:val="24"/>
      <w:lang w:val="en-US" w:eastAsia="zh-CN" w:bidi="ar-SA"/>
    </w:rPr>
  </w:style>
  <w:style w:type="character" w:customStyle="1" w:styleId="2565">
    <w:name w:val="b14"/>
    <w:qFormat/>
    <w:uiPriority w:val="0"/>
  </w:style>
  <w:style w:type="character" w:customStyle="1" w:styleId="2566">
    <w:name w:val="bold1"/>
    <w:qFormat/>
    <w:uiPriority w:val="0"/>
    <w:rPr>
      <w:b/>
      <w:bCs/>
    </w:rPr>
  </w:style>
  <w:style w:type="character" w:customStyle="1" w:styleId="2567">
    <w:name w:val="hb3 Char1"/>
    <w:qFormat/>
    <w:uiPriority w:val="0"/>
    <w:rPr>
      <w:rFonts w:hint="eastAsia" w:ascii="宋体" w:hAnsi="宋体" w:eastAsia="宋体"/>
      <w:b/>
      <w:bCs/>
      <w:sz w:val="28"/>
      <w:szCs w:val="32"/>
      <w:lang w:val="en-US" w:eastAsia="zh-CN" w:bidi="ar-SA"/>
    </w:rPr>
  </w:style>
  <w:style w:type="character" w:customStyle="1" w:styleId="2568">
    <w:name w:val="Char26"/>
    <w:qFormat/>
    <w:uiPriority w:val="0"/>
    <w:rPr>
      <w:rFonts w:ascii="宋体" w:hAnsi="Courier New" w:eastAsia="宋体"/>
      <w:kern w:val="2"/>
      <w:sz w:val="28"/>
      <w:szCs w:val="24"/>
      <w:lang w:val="en-US" w:eastAsia="zh-CN" w:bidi="ar-SA"/>
    </w:rPr>
  </w:style>
  <w:style w:type="character" w:customStyle="1" w:styleId="2569">
    <w:name w:val="Char Char264"/>
    <w:qFormat/>
    <w:uiPriority w:val="0"/>
    <w:rPr>
      <w:rFonts w:ascii="宋体" w:hAnsi="宋体" w:eastAsia="宋体" w:cs="宋体"/>
      <w:sz w:val="24"/>
      <w:szCs w:val="24"/>
      <w:lang w:val="en-US" w:eastAsia="zh-CN" w:bidi="ar-SA"/>
    </w:rPr>
  </w:style>
  <w:style w:type="character" w:customStyle="1" w:styleId="2570">
    <w:name w:val="标题 7表内5号 Char3"/>
    <w:qFormat/>
    <w:uiPriority w:val="0"/>
    <w:rPr>
      <w:rFonts w:eastAsia="宋体"/>
      <w:b/>
      <w:bCs/>
      <w:kern w:val="2"/>
      <w:sz w:val="24"/>
      <w:szCs w:val="24"/>
      <w:lang w:val="en-US" w:eastAsia="zh-CN" w:bidi="ar-SA"/>
    </w:rPr>
  </w:style>
  <w:style w:type="character" w:customStyle="1" w:styleId="2571">
    <w:name w:val="info"/>
    <w:qFormat/>
    <w:uiPriority w:val="0"/>
  </w:style>
  <w:style w:type="character" w:customStyle="1" w:styleId="2572">
    <w:name w:val="三级标题 Char1"/>
    <w:qFormat/>
    <w:uiPriority w:val="0"/>
    <w:rPr>
      <w:rFonts w:eastAsia="宋体"/>
      <w:b/>
      <w:bCs/>
      <w:kern w:val="2"/>
      <w:sz w:val="32"/>
      <w:szCs w:val="32"/>
      <w:lang w:val="en-US" w:eastAsia="zh-CN" w:bidi="ar-SA"/>
    </w:rPr>
  </w:style>
  <w:style w:type="character" w:customStyle="1" w:styleId="2573">
    <w:name w:val="Char Char143"/>
    <w:qFormat/>
    <w:uiPriority w:val="0"/>
    <w:rPr>
      <w:rFonts w:ascii="Times New Roman" w:hAnsi="Times New Roman" w:eastAsia="宋体" w:cs="Times New Roman"/>
      <w:b/>
      <w:bCs/>
      <w:sz w:val="24"/>
      <w:szCs w:val="24"/>
    </w:rPr>
  </w:style>
  <w:style w:type="character" w:customStyle="1" w:styleId="2574">
    <w:name w:val="标题六 Char"/>
    <w:qFormat/>
    <w:uiPriority w:val="0"/>
    <w:rPr>
      <w:rFonts w:hint="default" w:eastAsia="宋体"/>
      <w:kern w:val="2"/>
      <w:sz w:val="24"/>
      <w:lang w:val="en-US" w:eastAsia="zh-CN"/>
    </w:rPr>
  </w:style>
  <w:style w:type="character" w:customStyle="1" w:styleId="2575">
    <w:name w:val="明显强调1"/>
    <w:qFormat/>
    <w:uiPriority w:val="21"/>
    <w:rPr>
      <w:b/>
      <w:bCs/>
    </w:rPr>
  </w:style>
  <w:style w:type="character" w:customStyle="1" w:styleId="2576">
    <w:name w:val="Char Char293"/>
    <w:qFormat/>
    <w:uiPriority w:val="0"/>
    <w:rPr>
      <w:rFonts w:eastAsia="宋体"/>
      <w:kern w:val="2"/>
      <w:sz w:val="21"/>
      <w:szCs w:val="24"/>
      <w:lang w:val="en-US" w:eastAsia="zh-CN" w:bidi="ar-SA"/>
    </w:rPr>
  </w:style>
  <w:style w:type="character" w:customStyle="1" w:styleId="2577">
    <w:name w:val="H7 Char4"/>
    <w:qFormat/>
    <w:uiPriority w:val="0"/>
    <w:rPr>
      <w:rFonts w:ascii="Times New Roman" w:hAnsi="Times New Roman" w:eastAsia="宋体" w:cs="Times New Roman"/>
      <w:b/>
      <w:bCs/>
      <w:sz w:val="24"/>
      <w:szCs w:val="24"/>
    </w:rPr>
  </w:style>
  <w:style w:type="character" w:customStyle="1" w:styleId="2578">
    <w:name w:val="正文文本 Char Char"/>
    <w:qFormat/>
    <w:uiPriority w:val="0"/>
    <w:rPr>
      <w:rFonts w:eastAsia="宋体"/>
      <w:kern w:val="2"/>
      <w:sz w:val="21"/>
      <w:szCs w:val="24"/>
      <w:lang w:val="en-US" w:eastAsia="zh-CN" w:bidi="ar-SA"/>
    </w:rPr>
  </w:style>
  <w:style w:type="character" w:customStyle="1" w:styleId="2579">
    <w:name w:val="页脚 Char2"/>
    <w:qFormat/>
    <w:uiPriority w:val="0"/>
    <w:rPr>
      <w:rFonts w:ascii="Calibri" w:hAnsi="Calibri"/>
      <w:kern w:val="2"/>
      <w:sz w:val="18"/>
      <w:szCs w:val="18"/>
    </w:rPr>
  </w:style>
  <w:style w:type="character" w:customStyle="1" w:styleId="2580">
    <w:name w:val="Char Char168"/>
    <w:qFormat/>
    <w:uiPriority w:val="0"/>
    <w:rPr>
      <w:rFonts w:ascii="Arial" w:hAnsi="Arial" w:eastAsia="黑体" w:cs="Times New Roman"/>
      <w:sz w:val="24"/>
      <w:szCs w:val="24"/>
    </w:rPr>
  </w:style>
  <w:style w:type="character" w:customStyle="1" w:styleId="2581">
    <w:name w:val="Char Char421"/>
    <w:qFormat/>
    <w:uiPriority w:val="0"/>
    <w:rPr>
      <w:rFonts w:hint="eastAsia" w:ascii="仿宋_GB2312" w:eastAsia="仿宋_GB2312"/>
      <w:kern w:val="2"/>
      <w:sz w:val="24"/>
      <w:lang w:val="en-US" w:eastAsia="zh-CN"/>
    </w:rPr>
  </w:style>
  <w:style w:type="character" w:customStyle="1" w:styleId="2582">
    <w:name w:val="样式 标题 2 + 宋体 小二 首行缩进:  2 字符 Char"/>
    <w:link w:val="2583"/>
    <w:qFormat/>
    <w:locked/>
    <w:uiPriority w:val="0"/>
    <w:rPr>
      <w:rFonts w:ascii="宋体" w:hAnsi="宋体"/>
      <w:b/>
      <w:bCs/>
      <w:sz w:val="32"/>
    </w:rPr>
  </w:style>
  <w:style w:type="paragraph" w:customStyle="1" w:styleId="2583">
    <w:name w:val="样式 标题 2 + 宋体 小二 首行缩进:  2 字符"/>
    <w:basedOn w:val="4"/>
    <w:link w:val="2582"/>
    <w:qFormat/>
    <w:uiPriority w:val="0"/>
    <w:pPr>
      <w:spacing w:before="0" w:beforeLines="50" w:after="0" w:afterLines="50" w:line="240" w:lineRule="auto"/>
    </w:pPr>
    <w:rPr>
      <w:rFonts w:ascii="宋体" w:hAnsi="宋体" w:eastAsia="宋体"/>
      <w:kern w:val="0"/>
      <w:szCs w:val="20"/>
    </w:rPr>
  </w:style>
  <w:style w:type="character" w:customStyle="1" w:styleId="2584">
    <w:name w:val="Char Char662"/>
    <w:qFormat/>
    <w:uiPriority w:val="0"/>
    <w:rPr>
      <w:rFonts w:ascii="Times New Roman" w:hAnsi="Times New Roman" w:eastAsia="宋体" w:cs="Times New Roman"/>
      <w:szCs w:val="24"/>
    </w:rPr>
  </w:style>
  <w:style w:type="character" w:customStyle="1" w:styleId="2585">
    <w:name w:val="H7 Char1"/>
    <w:qFormat/>
    <w:uiPriority w:val="0"/>
    <w:rPr>
      <w:rFonts w:eastAsia="宋体"/>
      <w:b/>
      <w:bCs/>
      <w:kern w:val="2"/>
      <w:sz w:val="24"/>
      <w:szCs w:val="24"/>
      <w:lang w:val="en-US" w:eastAsia="zh-CN" w:bidi="ar-SA"/>
    </w:rPr>
  </w:style>
  <w:style w:type="character" w:customStyle="1" w:styleId="2586">
    <w:name w:val="Char Char406"/>
    <w:qFormat/>
    <w:uiPriority w:val="0"/>
    <w:rPr>
      <w:rFonts w:ascii="Times New Roman" w:hAnsi="Times New Roman" w:eastAsia="宋体" w:cs="Times New Roman"/>
      <w:szCs w:val="24"/>
      <w:shd w:val="clear" w:color="auto" w:fill="000080"/>
    </w:rPr>
  </w:style>
  <w:style w:type="character" w:customStyle="1" w:styleId="2587">
    <w:name w:val="Char Char95"/>
    <w:qFormat/>
    <w:uiPriority w:val="0"/>
    <w:rPr>
      <w:rFonts w:ascii="宋体" w:hAnsi="宋体" w:eastAsia="宋体"/>
      <w:sz w:val="24"/>
      <w:lang w:val="en-US" w:eastAsia="zh-CN" w:bidi="ar-SA"/>
    </w:rPr>
  </w:style>
  <w:style w:type="character" w:customStyle="1" w:styleId="2588">
    <w:name w:val="Char Char811"/>
    <w:qFormat/>
    <w:uiPriority w:val="0"/>
    <w:rPr>
      <w:rFonts w:eastAsia="宋体"/>
      <w:b/>
      <w:bCs/>
      <w:kern w:val="2"/>
      <w:sz w:val="28"/>
      <w:szCs w:val="28"/>
      <w:lang w:val="en-US" w:eastAsia="zh-CN" w:bidi="ar-SA"/>
    </w:rPr>
  </w:style>
  <w:style w:type="character" w:customStyle="1" w:styleId="2589">
    <w:name w:val="text_edit editable-title"/>
    <w:qFormat/>
    <w:uiPriority w:val="0"/>
  </w:style>
  <w:style w:type="character" w:customStyle="1" w:styleId="2590">
    <w:name w:val="正文文字1 Char Char"/>
    <w:qFormat/>
    <w:uiPriority w:val="0"/>
    <w:rPr>
      <w:rFonts w:ascii="Times New Roman" w:hAnsi="Times New Roman" w:eastAsia="宋体" w:cs="Times New Roman"/>
      <w:sz w:val="24"/>
      <w:szCs w:val="24"/>
    </w:rPr>
  </w:style>
  <w:style w:type="character" w:customStyle="1" w:styleId="2591">
    <w:name w:val="Char Char101"/>
    <w:qFormat/>
    <w:uiPriority w:val="0"/>
    <w:rPr>
      <w:rFonts w:eastAsia="宋体"/>
      <w:b/>
      <w:bCs/>
      <w:kern w:val="44"/>
      <w:sz w:val="44"/>
      <w:szCs w:val="44"/>
      <w:lang w:val="en-US" w:eastAsia="zh-CN" w:bidi="ar-SA"/>
    </w:rPr>
  </w:style>
  <w:style w:type="character" w:customStyle="1" w:styleId="2592">
    <w:name w:val="结论样式 Char"/>
    <w:link w:val="2593"/>
    <w:qFormat/>
    <w:uiPriority w:val="0"/>
    <w:rPr>
      <w:rFonts w:eastAsia="黑体"/>
      <w:b/>
      <w:color w:val="000000"/>
      <w:sz w:val="24"/>
      <w:szCs w:val="24"/>
    </w:rPr>
  </w:style>
  <w:style w:type="paragraph" w:customStyle="1" w:styleId="2593">
    <w:name w:val="结论样式"/>
    <w:basedOn w:val="1"/>
    <w:link w:val="2592"/>
    <w:qFormat/>
    <w:uiPriority w:val="0"/>
    <w:pPr>
      <w:adjustRightInd w:val="0"/>
      <w:snapToGrid w:val="0"/>
      <w:spacing w:line="360" w:lineRule="auto"/>
      <w:ind w:firstLine="200" w:firstLineChars="200"/>
    </w:pPr>
    <w:rPr>
      <w:rFonts w:eastAsia="黑体"/>
      <w:b/>
      <w:color w:val="000000"/>
      <w:kern w:val="0"/>
      <w:sz w:val="24"/>
      <w:shd w:val="pct10" w:color="auto" w:fill="FFFFFF"/>
    </w:rPr>
  </w:style>
  <w:style w:type="character" w:customStyle="1" w:styleId="2594">
    <w:name w:val="Char Char60"/>
    <w:qFormat/>
    <w:uiPriority w:val="0"/>
    <w:rPr>
      <w:rFonts w:ascii="楷体_GB2312" w:hAnsi="Times New Roman" w:eastAsia="楷体_GB2312" w:cs="Times New Roman"/>
      <w:sz w:val="28"/>
      <w:szCs w:val="20"/>
    </w:rPr>
  </w:style>
  <w:style w:type="character" w:customStyle="1" w:styleId="2595">
    <w:name w:val="样式 标题 2节标题 1.11.1标题2SeBSH-2h2l22nd levelTitre22Header ... Char"/>
    <w:link w:val="2596"/>
    <w:qFormat/>
    <w:uiPriority w:val="0"/>
    <w:rPr>
      <w:rFonts w:ascii="宋体" w:hAnsi="宋体" w:eastAsia="黑体"/>
      <w:bCs/>
      <w:sz w:val="24"/>
      <w:szCs w:val="32"/>
    </w:rPr>
  </w:style>
  <w:style w:type="paragraph" w:customStyle="1" w:styleId="2596">
    <w:name w:val="样式 标题 2节标题 1.11.1标题2SeBSH-2h2l22nd levelTitre22Header ..."/>
    <w:basedOn w:val="4"/>
    <w:link w:val="2595"/>
    <w:qFormat/>
    <w:uiPriority w:val="0"/>
    <w:pPr>
      <w:spacing w:before="0" w:after="0" w:line="415" w:lineRule="auto"/>
    </w:pPr>
    <w:rPr>
      <w:rFonts w:ascii="宋体" w:hAnsi="宋体"/>
      <w:b w:val="0"/>
      <w:kern w:val="0"/>
      <w:sz w:val="24"/>
    </w:rPr>
  </w:style>
  <w:style w:type="character" w:customStyle="1" w:styleId="2597">
    <w:name w:val="Char Char208"/>
    <w:qFormat/>
    <w:uiPriority w:val="0"/>
    <w:rPr>
      <w:rFonts w:ascii="Arial" w:hAnsi="Arial" w:eastAsia="黑体" w:cs="Times New Roman"/>
      <w:b/>
      <w:bCs/>
      <w:sz w:val="28"/>
      <w:szCs w:val="28"/>
    </w:rPr>
  </w:style>
  <w:style w:type="character" w:customStyle="1" w:styleId="2598">
    <w:name w:val="5级正文 Char"/>
    <w:link w:val="2599"/>
    <w:qFormat/>
    <w:uiPriority w:val="99"/>
    <w:rPr>
      <w:b/>
      <w:sz w:val="24"/>
      <w:szCs w:val="24"/>
    </w:rPr>
  </w:style>
  <w:style w:type="paragraph" w:customStyle="1" w:styleId="2599">
    <w:name w:val="5级正文"/>
    <w:basedOn w:val="34"/>
    <w:next w:val="34"/>
    <w:link w:val="2598"/>
    <w:qFormat/>
    <w:uiPriority w:val="99"/>
    <w:pPr>
      <w:numPr>
        <w:ilvl w:val="0"/>
        <w:numId w:val="9"/>
      </w:numPr>
      <w:ind w:left="0" w:firstLine="200"/>
      <w:outlineLvl w:val="4"/>
    </w:pPr>
    <w:rPr>
      <w:b/>
      <w:kern w:val="0"/>
      <w:sz w:val="24"/>
    </w:rPr>
  </w:style>
  <w:style w:type="character" w:customStyle="1" w:styleId="2600">
    <w:name w:val="HTML 地址 Char1"/>
    <w:qFormat/>
    <w:locked/>
    <w:uiPriority w:val="0"/>
    <w:rPr>
      <w:rFonts w:ascii="Times New Roman" w:hAnsi="Times New Roman" w:eastAsia="宋体" w:cs="Times New Roman"/>
      <w:i/>
      <w:iCs/>
      <w:szCs w:val="24"/>
    </w:rPr>
  </w:style>
  <w:style w:type="character" w:customStyle="1" w:styleId="2601">
    <w:name w:val="贾伦标题 3 Char Char"/>
    <w:qFormat/>
    <w:uiPriority w:val="0"/>
    <w:rPr>
      <w:rFonts w:ascii="Times New Roman" w:hAnsi="Times New Roman" w:eastAsia="宋体"/>
      <w:b/>
      <w:bCs/>
      <w:sz w:val="24"/>
      <w:szCs w:val="32"/>
    </w:rPr>
  </w:style>
  <w:style w:type="character" w:customStyle="1" w:styleId="2602">
    <w:name w:val="Char Char222"/>
    <w:qFormat/>
    <w:uiPriority w:val="0"/>
    <w:rPr>
      <w:rFonts w:eastAsia="宋体"/>
      <w:kern w:val="2"/>
      <w:sz w:val="21"/>
      <w:lang w:val="en-US" w:eastAsia="zh-CN" w:bidi="ar-SA"/>
    </w:rPr>
  </w:style>
  <w:style w:type="character" w:customStyle="1" w:styleId="2603">
    <w:name w:val="666666-正文文本 Char Char Char"/>
    <w:qFormat/>
    <w:uiPriority w:val="0"/>
    <w:rPr>
      <w:rFonts w:ascii="Times New Roman" w:hAnsi="Times New Roman"/>
      <w:kern w:val="2"/>
      <w:sz w:val="24"/>
      <w:szCs w:val="24"/>
    </w:rPr>
  </w:style>
  <w:style w:type="character" w:customStyle="1" w:styleId="2604">
    <w:name w:val="Char Char672"/>
    <w:qFormat/>
    <w:uiPriority w:val="0"/>
    <w:rPr>
      <w:rFonts w:ascii="Times New Roman" w:hAnsi="Times New Roman" w:eastAsia="宋体" w:cs="Times New Roman"/>
      <w:b/>
      <w:bCs/>
      <w:kern w:val="44"/>
      <w:sz w:val="44"/>
      <w:szCs w:val="44"/>
    </w:rPr>
  </w:style>
  <w:style w:type="character" w:customStyle="1" w:styleId="2605">
    <w:name w:val="正文文字 3 Char Char1"/>
    <w:qFormat/>
    <w:uiPriority w:val="0"/>
    <w:rPr>
      <w:kern w:val="2"/>
      <w:sz w:val="24"/>
      <w:szCs w:val="24"/>
    </w:rPr>
  </w:style>
  <w:style w:type="character" w:customStyle="1" w:styleId="2606">
    <w:name w:val="Char27"/>
    <w:qFormat/>
    <w:uiPriority w:val="0"/>
    <w:rPr>
      <w:rFonts w:ascii="宋体" w:hAnsi="Courier New" w:eastAsia="宋体"/>
      <w:kern w:val="2"/>
      <w:sz w:val="28"/>
      <w:szCs w:val="24"/>
      <w:lang w:val="en-US" w:eastAsia="zh-CN" w:bidi="ar-SA"/>
    </w:rPr>
  </w:style>
  <w:style w:type="character" w:customStyle="1" w:styleId="2607">
    <w:name w:val="Char Char167"/>
    <w:qFormat/>
    <w:uiPriority w:val="0"/>
    <w:rPr>
      <w:rFonts w:ascii="Arial" w:hAnsi="Arial" w:eastAsia="黑体" w:cs="Times New Roman"/>
      <w:sz w:val="24"/>
      <w:szCs w:val="24"/>
    </w:rPr>
  </w:style>
  <w:style w:type="character" w:customStyle="1" w:styleId="2608">
    <w:name w:val="样式 正文首行缩进 + 宋体 Char"/>
    <w:qFormat/>
    <w:uiPriority w:val="0"/>
    <w:rPr>
      <w:rFonts w:ascii="宋体" w:hAnsi="宋体" w:eastAsia="宋体"/>
      <w:color w:val="000000"/>
      <w:kern w:val="2"/>
      <w:sz w:val="24"/>
      <w:szCs w:val="28"/>
      <w:lang w:val="en-US" w:eastAsia="zh-CN" w:bidi="ar-SA"/>
    </w:rPr>
  </w:style>
  <w:style w:type="character" w:customStyle="1" w:styleId="2609">
    <w:name w:val="正文(首行缩进) Char2"/>
    <w:qFormat/>
    <w:uiPriority w:val="0"/>
    <w:rPr>
      <w:rFonts w:eastAsia="黑体"/>
      <w:bCs/>
      <w:snapToGrid/>
      <w:color w:val="000000"/>
      <w:kern w:val="2"/>
      <w:sz w:val="24"/>
      <w:lang w:val="en-US" w:eastAsia="zh-CN" w:bidi="ar-SA"/>
    </w:rPr>
  </w:style>
  <w:style w:type="character" w:customStyle="1" w:styleId="2610">
    <w:name w:val="Char Char445"/>
    <w:qFormat/>
    <w:uiPriority w:val="0"/>
    <w:rPr>
      <w:rFonts w:eastAsia="宋体"/>
      <w:kern w:val="2"/>
      <w:sz w:val="18"/>
      <w:szCs w:val="18"/>
      <w:lang w:val="en-US" w:eastAsia="zh-CN" w:bidi="ar-SA"/>
    </w:rPr>
  </w:style>
  <w:style w:type="character" w:customStyle="1" w:styleId="2611">
    <w:name w:val="Font Style316"/>
    <w:qFormat/>
    <w:uiPriority w:val="0"/>
    <w:rPr>
      <w:rFonts w:ascii="宋体" w:eastAsia="宋体" w:cs="宋体"/>
      <w:b/>
      <w:bCs/>
      <w:sz w:val="20"/>
      <w:szCs w:val="20"/>
    </w:rPr>
  </w:style>
  <w:style w:type="character" w:customStyle="1" w:styleId="2612">
    <w:name w:val="word Char Char"/>
    <w:link w:val="2613"/>
    <w:qFormat/>
    <w:locked/>
    <w:uiPriority w:val="0"/>
    <w:rPr>
      <w:color w:val="0000FF"/>
      <w:sz w:val="24"/>
      <w:szCs w:val="24"/>
    </w:rPr>
  </w:style>
  <w:style w:type="paragraph" w:customStyle="1" w:styleId="2613">
    <w:name w:val="word"/>
    <w:basedOn w:val="1"/>
    <w:link w:val="2612"/>
    <w:qFormat/>
    <w:uiPriority w:val="0"/>
    <w:pPr>
      <w:spacing w:line="360" w:lineRule="auto"/>
      <w:ind w:firstLine="480" w:firstLineChars="200"/>
    </w:pPr>
    <w:rPr>
      <w:color w:val="0000FF"/>
      <w:kern w:val="0"/>
      <w:sz w:val="24"/>
    </w:rPr>
  </w:style>
  <w:style w:type="character" w:customStyle="1" w:styleId="2614">
    <w:name w:val="样式 图号 + 宋体 Char Char Char"/>
    <w:qFormat/>
    <w:uiPriority w:val="0"/>
    <w:rPr>
      <w:rFonts w:ascii="宋体" w:hAnsi="宋体" w:eastAsia="宋体"/>
      <w:b/>
      <w:bCs/>
      <w:kern w:val="32"/>
      <w:sz w:val="24"/>
      <w:szCs w:val="24"/>
      <w:lang w:val="en-US" w:eastAsia="zh-CN" w:bidi="ar-SA"/>
    </w:rPr>
  </w:style>
  <w:style w:type="character" w:customStyle="1" w:styleId="2615">
    <w:name w:val="Char Char92"/>
    <w:qFormat/>
    <w:uiPriority w:val="0"/>
    <w:rPr>
      <w:rFonts w:ascii="宋体" w:hAnsi="宋体" w:eastAsia="宋体"/>
      <w:sz w:val="24"/>
      <w:lang w:val="en-US" w:eastAsia="zh-CN" w:bidi="ar-SA"/>
    </w:rPr>
  </w:style>
  <w:style w:type="character" w:customStyle="1" w:styleId="2616">
    <w:name w:val="Char Char108"/>
    <w:qFormat/>
    <w:uiPriority w:val="0"/>
    <w:rPr>
      <w:rFonts w:eastAsia="宋体"/>
      <w:b/>
      <w:bCs/>
      <w:kern w:val="44"/>
      <w:sz w:val="44"/>
      <w:szCs w:val="44"/>
      <w:lang w:val="en-US" w:eastAsia="zh-CN" w:bidi="ar-SA"/>
    </w:rPr>
  </w:style>
  <w:style w:type="character" w:customStyle="1" w:styleId="2617">
    <w:name w:val="3标题 Char"/>
    <w:link w:val="2618"/>
    <w:qFormat/>
    <w:locked/>
    <w:uiPriority w:val="0"/>
    <w:rPr>
      <w:rFonts w:ascii="黑体" w:eastAsia="黑体"/>
      <w:sz w:val="28"/>
      <w:szCs w:val="24"/>
    </w:rPr>
  </w:style>
  <w:style w:type="paragraph" w:customStyle="1" w:styleId="2618">
    <w:name w:val="3标题"/>
    <w:basedOn w:val="5"/>
    <w:next w:val="1"/>
    <w:link w:val="2617"/>
    <w:qFormat/>
    <w:uiPriority w:val="0"/>
    <w:pPr>
      <w:keepNext w:val="0"/>
      <w:keepLines w:val="0"/>
      <w:adjustRightInd w:val="0"/>
      <w:snapToGrid w:val="0"/>
      <w:spacing w:before="0" w:after="0" w:line="500" w:lineRule="exact"/>
      <w:outlineLvl w:val="9"/>
    </w:pPr>
    <w:rPr>
      <w:rFonts w:ascii="黑体" w:eastAsia="黑体"/>
      <w:b w:val="0"/>
      <w:bCs w:val="0"/>
      <w:kern w:val="0"/>
      <w:sz w:val="28"/>
      <w:szCs w:val="24"/>
    </w:rPr>
  </w:style>
  <w:style w:type="character" w:customStyle="1" w:styleId="2619">
    <w:name w:val="Char Char294"/>
    <w:qFormat/>
    <w:uiPriority w:val="0"/>
    <w:rPr>
      <w:rFonts w:eastAsia="宋体"/>
      <w:kern w:val="2"/>
      <w:sz w:val="21"/>
      <w:szCs w:val="24"/>
      <w:lang w:val="en-US" w:eastAsia="zh-CN" w:bidi="ar-SA"/>
    </w:rPr>
  </w:style>
  <w:style w:type="character" w:customStyle="1" w:styleId="2620">
    <w:name w:val="Char Char341"/>
    <w:qFormat/>
    <w:uiPriority w:val="0"/>
    <w:rPr>
      <w:rFonts w:hint="default" w:eastAsia="宋体"/>
      <w:b/>
      <w:kern w:val="2"/>
      <w:sz w:val="24"/>
      <w:lang w:val="en-US" w:eastAsia="zh-CN"/>
    </w:rPr>
  </w:style>
  <w:style w:type="character" w:customStyle="1" w:styleId="2621">
    <w:name w:val="main1"/>
    <w:qFormat/>
    <w:uiPriority w:val="0"/>
    <w:rPr>
      <w:color w:val="333333"/>
      <w:sz w:val="15"/>
      <w:szCs w:val="15"/>
    </w:rPr>
  </w:style>
  <w:style w:type="character" w:customStyle="1" w:styleId="2622">
    <w:name w:val="dan7-1 Char"/>
    <w:link w:val="2623"/>
    <w:qFormat/>
    <w:uiPriority w:val="0"/>
    <w:rPr>
      <w:sz w:val="24"/>
      <w:szCs w:val="24"/>
    </w:rPr>
  </w:style>
  <w:style w:type="paragraph" w:customStyle="1" w:styleId="2623">
    <w:name w:val="dan7-1"/>
    <w:basedOn w:val="1"/>
    <w:link w:val="2622"/>
    <w:qFormat/>
    <w:uiPriority w:val="0"/>
    <w:pPr>
      <w:spacing w:before="40" w:after="40" w:line="360" w:lineRule="auto"/>
      <w:ind w:firstLine="200" w:firstLineChars="200"/>
    </w:pPr>
    <w:rPr>
      <w:kern w:val="0"/>
      <w:sz w:val="24"/>
    </w:rPr>
  </w:style>
  <w:style w:type="character" w:customStyle="1" w:styleId="2624">
    <w:name w:val="Char Char582"/>
    <w:qFormat/>
    <w:uiPriority w:val="0"/>
    <w:rPr>
      <w:rFonts w:ascii="Cambria" w:hAnsi="Cambria" w:eastAsia="宋体" w:cs="Times New Roman"/>
      <w:spacing w:val="5"/>
      <w:kern w:val="0"/>
      <w:sz w:val="52"/>
      <w:szCs w:val="52"/>
    </w:rPr>
  </w:style>
  <w:style w:type="character" w:customStyle="1" w:styleId="2625">
    <w:name w:val="标题三 Char"/>
    <w:qFormat/>
    <w:uiPriority w:val="0"/>
    <w:rPr>
      <w:rFonts w:eastAsia="宋体"/>
      <w:b/>
      <w:bCs/>
      <w:sz w:val="30"/>
      <w:szCs w:val="30"/>
      <w:lang w:val="en-US" w:eastAsia="zh-CN" w:bidi="ar-SA"/>
    </w:rPr>
  </w:style>
  <w:style w:type="character" w:customStyle="1" w:styleId="2626">
    <w:name w:val="正文应用 Char Char"/>
    <w:qFormat/>
    <w:uiPriority w:val="0"/>
    <w:rPr>
      <w:rFonts w:ascii="Times New Roman" w:hAnsi="Times New Roman" w:eastAsia="宋体" w:cs="Times New Roman"/>
      <w:sz w:val="24"/>
      <w:szCs w:val="24"/>
    </w:rPr>
  </w:style>
  <w:style w:type="character" w:customStyle="1" w:styleId="2627">
    <w:name w:val="标题 3 Char2"/>
    <w:qFormat/>
    <w:uiPriority w:val="0"/>
    <w:rPr>
      <w:rFonts w:eastAsia="宋体"/>
      <w:b/>
      <w:bCs/>
      <w:kern w:val="2"/>
      <w:sz w:val="28"/>
      <w:szCs w:val="32"/>
      <w:lang w:val="en-US" w:eastAsia="zh-CN" w:bidi="ar-SA"/>
    </w:rPr>
  </w:style>
  <w:style w:type="character" w:customStyle="1" w:styleId="2628">
    <w:name w:val="明显引用 Char3"/>
    <w:link w:val="2629"/>
    <w:qFormat/>
    <w:uiPriority w:val="0"/>
    <w:rPr>
      <w:rFonts w:ascii="Calibri" w:hAnsi="Calibri"/>
      <w:b/>
      <w:bCs/>
      <w:i/>
      <w:iCs/>
      <w:sz w:val="22"/>
    </w:rPr>
  </w:style>
  <w:style w:type="paragraph" w:customStyle="1" w:styleId="2629">
    <w:name w:val="明显引用2"/>
    <w:basedOn w:val="1"/>
    <w:next w:val="1"/>
    <w:link w:val="2628"/>
    <w:qFormat/>
    <w:uiPriority w:val="0"/>
    <w:pPr>
      <w:pBdr>
        <w:bottom w:val="single" w:color="auto" w:sz="4" w:space="1"/>
      </w:pBdr>
      <w:spacing w:before="200" w:after="280" w:line="276" w:lineRule="auto"/>
      <w:ind w:left="1008" w:right="1152"/>
    </w:pPr>
    <w:rPr>
      <w:rFonts w:ascii="Calibri" w:hAnsi="Calibri"/>
      <w:b/>
      <w:bCs/>
      <w:i/>
      <w:iCs/>
      <w:kern w:val="0"/>
      <w:sz w:val="22"/>
      <w:szCs w:val="20"/>
    </w:rPr>
  </w:style>
  <w:style w:type="character" w:customStyle="1" w:styleId="2630">
    <w:name w:val="页脚 字符2"/>
    <w:qFormat/>
    <w:uiPriority w:val="99"/>
    <w:rPr>
      <w:rFonts w:eastAsia="方正宋三简体"/>
      <w:sz w:val="18"/>
      <w:szCs w:val="18"/>
    </w:rPr>
  </w:style>
  <w:style w:type="character" w:customStyle="1" w:styleId="2631">
    <w:name w:val="正文文字 2 Char Char3"/>
    <w:qFormat/>
    <w:uiPriority w:val="0"/>
    <w:rPr>
      <w:rFonts w:ascii="Times New Roman" w:hAnsi="Times New Roman" w:eastAsia="宋体" w:cs="Times New Roman"/>
      <w:szCs w:val="24"/>
    </w:rPr>
  </w:style>
  <w:style w:type="character" w:customStyle="1" w:styleId="2632">
    <w:name w:val="样式 正文缩进 + 首行缩进:  2 字符 Char"/>
    <w:qFormat/>
    <w:uiPriority w:val="0"/>
    <w:rPr>
      <w:sz w:val="24"/>
    </w:rPr>
  </w:style>
  <w:style w:type="character" w:customStyle="1" w:styleId="2633">
    <w:name w:val="Char Char207"/>
    <w:qFormat/>
    <w:uiPriority w:val="0"/>
    <w:rPr>
      <w:rFonts w:ascii="Arial" w:hAnsi="Arial" w:eastAsia="黑体" w:cs="Times New Roman"/>
      <w:b/>
      <w:bCs/>
      <w:sz w:val="28"/>
      <w:szCs w:val="28"/>
    </w:rPr>
  </w:style>
  <w:style w:type="character" w:customStyle="1" w:styleId="2634">
    <w:name w:val="Char Char162"/>
    <w:qFormat/>
    <w:uiPriority w:val="0"/>
    <w:rPr>
      <w:rFonts w:ascii="Arial" w:hAnsi="Arial" w:eastAsia="黑体" w:cs="Times New Roman"/>
      <w:b/>
      <w:bCs/>
      <w:sz w:val="28"/>
      <w:szCs w:val="28"/>
    </w:rPr>
  </w:style>
  <w:style w:type="character" w:customStyle="1" w:styleId="2635">
    <w:name w:val="缅正文 Char"/>
    <w:link w:val="2636"/>
    <w:qFormat/>
    <w:uiPriority w:val="0"/>
    <w:rPr>
      <w:sz w:val="24"/>
      <w:szCs w:val="24"/>
    </w:rPr>
  </w:style>
  <w:style w:type="paragraph" w:customStyle="1" w:styleId="2636">
    <w:name w:val="缅正文"/>
    <w:basedOn w:val="87"/>
    <w:link w:val="2635"/>
    <w:qFormat/>
    <w:uiPriority w:val="0"/>
    <w:pPr>
      <w:spacing w:before="0" w:after="0" w:line="360" w:lineRule="auto"/>
      <w:ind w:left="0" w:firstLine="200" w:firstLineChars="200"/>
    </w:pPr>
    <w:rPr>
      <w:sz w:val="24"/>
      <w:lang w:val="en-US"/>
    </w:rPr>
  </w:style>
  <w:style w:type="character" w:customStyle="1" w:styleId="2637">
    <w:name w:val="Char Char266"/>
    <w:qFormat/>
    <w:uiPriority w:val="0"/>
    <w:rPr>
      <w:rFonts w:ascii="宋体" w:hAnsi="宋体" w:eastAsia="宋体" w:cs="宋体"/>
      <w:sz w:val="24"/>
      <w:szCs w:val="24"/>
      <w:lang w:val="en-US" w:eastAsia="zh-CN" w:bidi="ar-SA"/>
    </w:rPr>
  </w:style>
  <w:style w:type="character" w:customStyle="1" w:styleId="2638">
    <w:name w:val="HTML 预设格式 字符1"/>
    <w:qFormat/>
    <w:uiPriority w:val="0"/>
    <w:rPr>
      <w:rFonts w:ascii="Courier New" w:hAnsi="Courier New" w:eastAsia="仿宋_GB2312" w:cs="Courier New"/>
    </w:rPr>
  </w:style>
  <w:style w:type="character" w:customStyle="1" w:styleId="2639">
    <w:name w:val="标题6"/>
    <w:qFormat/>
    <w:uiPriority w:val="0"/>
  </w:style>
  <w:style w:type="character" w:customStyle="1" w:styleId="2640">
    <w:name w:val="基本 Char Char Char"/>
    <w:qFormat/>
    <w:uiPriority w:val="0"/>
    <w:rPr>
      <w:rFonts w:ascii="Times New Roman" w:hAnsi="Times New Roman" w:eastAsia="Times New Roman"/>
      <w:bCs/>
      <w:caps/>
      <w:kern w:val="2"/>
      <w:sz w:val="21"/>
      <w:szCs w:val="24"/>
    </w:rPr>
  </w:style>
  <w:style w:type="character" w:customStyle="1" w:styleId="2641">
    <w:name w:val="Char Char673"/>
    <w:qFormat/>
    <w:uiPriority w:val="0"/>
    <w:rPr>
      <w:rFonts w:ascii="Times New Roman" w:hAnsi="Times New Roman" w:eastAsia="宋体" w:cs="Times New Roman"/>
      <w:b/>
      <w:bCs/>
      <w:kern w:val="44"/>
      <w:sz w:val="44"/>
      <w:szCs w:val="44"/>
    </w:rPr>
  </w:style>
  <w:style w:type="character" w:customStyle="1" w:styleId="2642">
    <w:name w:val="表 Char"/>
    <w:link w:val="1092"/>
    <w:qFormat/>
    <w:uiPriority w:val="0"/>
    <w:rPr>
      <w:rFonts w:ascii="宋体" w:hAnsi="Arial Black"/>
      <w:kern w:val="21"/>
      <w:sz w:val="24"/>
      <w:szCs w:val="24"/>
    </w:rPr>
  </w:style>
  <w:style w:type="character" w:customStyle="1" w:styleId="2643">
    <w:name w:val="Body Text 2 Char Char"/>
    <w:qFormat/>
    <w:uiPriority w:val="0"/>
    <w:rPr>
      <w:rFonts w:ascii="宋体" w:hAnsi="Times New Roman"/>
      <w:spacing w:val="26"/>
      <w:kern w:val="2"/>
      <w:sz w:val="32"/>
      <w:szCs w:val="24"/>
    </w:rPr>
  </w:style>
  <w:style w:type="character" w:customStyle="1" w:styleId="2644">
    <w:name w:val="标题 2 Char3"/>
    <w:qFormat/>
    <w:uiPriority w:val="0"/>
    <w:rPr>
      <w:rFonts w:ascii="Arial" w:hAnsi="Arial" w:eastAsia="黑体" w:cs="Times New Roman"/>
      <w:b/>
      <w:sz w:val="30"/>
      <w:szCs w:val="20"/>
    </w:rPr>
  </w:style>
  <w:style w:type="character" w:customStyle="1" w:styleId="2645">
    <w:name w:val="xl26 Char Char"/>
    <w:qFormat/>
    <w:locked/>
    <w:uiPriority w:val="0"/>
    <w:rPr>
      <w:rFonts w:ascii="Times New Roman" w:hAnsi="Times New Roman" w:cs="Times New Roman"/>
    </w:rPr>
  </w:style>
  <w:style w:type="character" w:customStyle="1" w:styleId="2646">
    <w:name w:val="Char Char58"/>
    <w:qFormat/>
    <w:uiPriority w:val="0"/>
    <w:rPr>
      <w:rFonts w:ascii="Cambria" w:hAnsi="Cambria" w:eastAsia="宋体" w:cs="Times New Roman"/>
      <w:spacing w:val="5"/>
      <w:kern w:val="0"/>
      <w:sz w:val="52"/>
      <w:szCs w:val="52"/>
    </w:rPr>
  </w:style>
  <w:style w:type="character" w:customStyle="1" w:styleId="2647">
    <w:name w:val="ENFI表体 Char Char"/>
    <w:link w:val="2648"/>
    <w:qFormat/>
    <w:uiPriority w:val="0"/>
    <w:rPr>
      <w:rFonts w:eastAsia="仿宋_GB2312"/>
      <w:sz w:val="24"/>
    </w:rPr>
  </w:style>
  <w:style w:type="paragraph" w:customStyle="1" w:styleId="2648">
    <w:name w:val="ENFI表体"/>
    <w:basedOn w:val="1"/>
    <w:link w:val="2647"/>
    <w:qFormat/>
    <w:uiPriority w:val="0"/>
    <w:pPr>
      <w:adjustRightInd w:val="0"/>
      <w:snapToGrid w:val="0"/>
      <w:spacing w:line="240" w:lineRule="atLeast"/>
      <w:jc w:val="center"/>
    </w:pPr>
    <w:rPr>
      <w:rFonts w:eastAsia="仿宋_GB2312"/>
      <w:kern w:val="0"/>
      <w:sz w:val="24"/>
      <w:szCs w:val="20"/>
    </w:rPr>
  </w:style>
  <w:style w:type="character" w:customStyle="1" w:styleId="2649">
    <w:name w:val="Char Char312"/>
    <w:link w:val="2650"/>
    <w:qFormat/>
    <w:uiPriority w:val="0"/>
    <w:rPr>
      <w:rFonts w:ascii="宋体" w:hAnsi="宋体"/>
      <w:sz w:val="24"/>
    </w:rPr>
  </w:style>
  <w:style w:type="paragraph" w:customStyle="1" w:styleId="2650">
    <w:name w:val="HTML 预设格式11"/>
    <w:basedOn w:val="1"/>
    <w:link w:val="2649"/>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kern w:val="0"/>
      <w:sz w:val="24"/>
      <w:szCs w:val="20"/>
    </w:rPr>
  </w:style>
  <w:style w:type="character" w:customStyle="1" w:styleId="2651">
    <w:name w:val="干标题(a) Char2"/>
    <w:qFormat/>
    <w:uiPriority w:val="0"/>
    <w:rPr>
      <w:rFonts w:ascii="Arial" w:hAnsi="Arial" w:eastAsia="黑体"/>
      <w:kern w:val="2"/>
      <w:sz w:val="21"/>
      <w:szCs w:val="21"/>
      <w:lang w:val="en-US" w:eastAsia="zh-CN" w:bidi="ar-SA"/>
    </w:rPr>
  </w:style>
  <w:style w:type="character" w:customStyle="1" w:styleId="2652">
    <w:name w:val="HTML 缩写1"/>
    <w:qFormat/>
    <w:uiPriority w:val="0"/>
    <w:rPr>
      <w:rFonts w:hint="default"/>
    </w:rPr>
  </w:style>
  <w:style w:type="character" w:customStyle="1" w:styleId="2653">
    <w:name w:val="Char Char271"/>
    <w:qFormat/>
    <w:uiPriority w:val="0"/>
    <w:rPr>
      <w:rFonts w:ascii="Times New Roman" w:hAnsi="Times New Roman" w:eastAsia="宋体" w:cs="Times New Roman"/>
      <w:sz w:val="18"/>
      <w:szCs w:val="18"/>
    </w:rPr>
  </w:style>
  <w:style w:type="character" w:customStyle="1" w:styleId="2654">
    <w:name w:val="bds_more2"/>
    <w:qFormat/>
    <w:uiPriority w:val="0"/>
  </w:style>
  <w:style w:type="character" w:customStyle="1" w:styleId="2655">
    <w:name w:val="Char Char139"/>
    <w:qFormat/>
    <w:uiPriority w:val="0"/>
    <w:rPr>
      <w:rFonts w:ascii="Arial" w:hAnsi="Arial" w:eastAsia="黑体" w:cs="Times New Roman"/>
      <w:sz w:val="24"/>
      <w:szCs w:val="24"/>
    </w:rPr>
  </w:style>
  <w:style w:type="character" w:customStyle="1" w:styleId="2656">
    <w:name w:val="t31"/>
    <w:qFormat/>
    <w:uiPriority w:val="0"/>
    <w:rPr>
      <w:color w:val="000000"/>
      <w:sz w:val="20"/>
      <w:szCs w:val="20"/>
      <w:u w:val="none"/>
    </w:rPr>
  </w:style>
  <w:style w:type="character" w:customStyle="1" w:styleId="2657">
    <w:name w:val="样式15 Char"/>
    <w:link w:val="774"/>
    <w:qFormat/>
    <w:uiPriority w:val="0"/>
    <w:rPr>
      <w:rFonts w:ascii="仿宋_GB2312" w:hAnsi="宋体"/>
      <w:kern w:val="2"/>
      <w:sz w:val="24"/>
      <w:szCs w:val="24"/>
      <w:shd w:val="clear" w:color="auto" w:fill="FFFFFF"/>
    </w:rPr>
  </w:style>
  <w:style w:type="character" w:customStyle="1" w:styleId="2658">
    <w:name w:val="Char Char2821"/>
    <w:qFormat/>
    <w:uiPriority w:val="0"/>
    <w:rPr>
      <w:rFonts w:ascii="Times New Roman" w:hAnsi="Times New Roman" w:eastAsia="宋体" w:cs="Times New Roman"/>
      <w:szCs w:val="24"/>
      <w:shd w:val="clear" w:color="auto" w:fill="000080"/>
    </w:rPr>
  </w:style>
  <w:style w:type="character" w:customStyle="1" w:styleId="2659">
    <w:name w:val="xl26 Char"/>
    <w:link w:val="1210"/>
    <w:qFormat/>
    <w:uiPriority w:val="0"/>
    <w:rPr>
      <w:rFonts w:ascii="Arial Unicode MS" w:hAnsi="Arial Unicode MS"/>
      <w:color w:val="FF0000"/>
      <w:sz w:val="24"/>
      <w:szCs w:val="24"/>
    </w:rPr>
  </w:style>
  <w:style w:type="character" w:customStyle="1" w:styleId="2660">
    <w:name w:val="Char Char334"/>
    <w:qFormat/>
    <w:uiPriority w:val="0"/>
    <w:rPr>
      <w:rFonts w:eastAsia="仿宋_GB2312"/>
      <w:kern w:val="2"/>
      <w:sz w:val="32"/>
      <w:szCs w:val="24"/>
      <w:lang w:val="en-US" w:eastAsia="zh-CN" w:bidi="ar-SA"/>
    </w:rPr>
  </w:style>
  <w:style w:type="character" w:customStyle="1" w:styleId="2661">
    <w:name w:val="款文 Char"/>
    <w:link w:val="2662"/>
    <w:qFormat/>
    <w:uiPriority w:val="0"/>
    <w:rPr>
      <w:szCs w:val="18"/>
    </w:rPr>
  </w:style>
  <w:style w:type="paragraph" w:customStyle="1" w:styleId="2662">
    <w:name w:val="款文"/>
    <w:basedOn w:val="1"/>
    <w:link w:val="2661"/>
    <w:qFormat/>
    <w:uiPriority w:val="0"/>
    <w:pPr>
      <w:spacing w:line="360" w:lineRule="auto"/>
      <w:ind w:firstLine="420" w:firstLineChars="200"/>
    </w:pPr>
    <w:rPr>
      <w:kern w:val="0"/>
      <w:sz w:val="20"/>
      <w:szCs w:val="18"/>
    </w:rPr>
  </w:style>
  <w:style w:type="character" w:customStyle="1" w:styleId="2663">
    <w:name w:val="正文文字缩进 21 Char Char"/>
    <w:qFormat/>
    <w:uiPriority w:val="0"/>
    <w:rPr>
      <w:rFonts w:hint="eastAsia" w:ascii="仿宋_GB2312" w:eastAsia="仿宋_GB2312"/>
      <w:kern w:val="2"/>
      <w:sz w:val="24"/>
      <w:lang w:val="en-US" w:eastAsia="zh-CN"/>
    </w:rPr>
  </w:style>
  <w:style w:type="character" w:customStyle="1" w:styleId="2664">
    <w:name w:val="HBZW"/>
    <w:qFormat/>
    <w:uiPriority w:val="0"/>
    <w:rPr>
      <w:rFonts w:hint="eastAsia" w:ascii="宋体" w:hAnsi="宋体" w:eastAsia="宋体"/>
      <w:kern w:val="0"/>
      <w:sz w:val="24"/>
      <w:lang w:val="en-US" w:eastAsia="zh-CN" w:bidi="ar-SA"/>
    </w:rPr>
  </w:style>
  <w:style w:type="character" w:customStyle="1" w:styleId="2665">
    <w:name w:val="Char Char311"/>
    <w:qFormat/>
    <w:uiPriority w:val="0"/>
    <w:rPr>
      <w:rFonts w:hint="default" w:eastAsia="宋体"/>
      <w:kern w:val="2"/>
      <w:sz w:val="21"/>
      <w:lang w:val="en-US" w:eastAsia="zh-CN"/>
    </w:rPr>
  </w:style>
  <w:style w:type="character" w:customStyle="1" w:styleId="2666">
    <w:name w:val="结束语 字符1"/>
    <w:qFormat/>
    <w:uiPriority w:val="0"/>
    <w:rPr>
      <w:rFonts w:ascii="Arial" w:hAnsi="Arial" w:eastAsia="仿宋_GB2312"/>
      <w:sz w:val="24"/>
    </w:rPr>
  </w:style>
  <w:style w:type="character" w:customStyle="1" w:styleId="2667">
    <w:name w:val="Char241"/>
    <w:qFormat/>
    <w:uiPriority w:val="0"/>
    <w:rPr>
      <w:rFonts w:ascii="宋体" w:hAnsi="Courier New" w:eastAsia="宋体"/>
      <w:kern w:val="2"/>
      <w:sz w:val="28"/>
      <w:szCs w:val="24"/>
      <w:lang w:val="en-US" w:eastAsia="zh-CN" w:bidi="ar-SA"/>
    </w:rPr>
  </w:style>
  <w:style w:type="character" w:customStyle="1" w:styleId="2668">
    <w:name w:val="正文文本 3 字符1"/>
    <w:qFormat/>
    <w:uiPriority w:val="0"/>
    <w:rPr>
      <w:rFonts w:ascii="Calibri" w:hAnsi="Calibri"/>
      <w:sz w:val="16"/>
      <w:szCs w:val="16"/>
    </w:rPr>
  </w:style>
  <w:style w:type="character" w:customStyle="1" w:styleId="2669">
    <w:name w:val="3zw1"/>
    <w:qFormat/>
    <w:uiPriority w:val="0"/>
    <w:rPr>
      <w:color w:val="000000"/>
      <w:spacing w:val="360"/>
      <w:sz w:val="21"/>
      <w:szCs w:val="21"/>
    </w:rPr>
  </w:style>
  <w:style w:type="character" w:customStyle="1" w:styleId="2670">
    <w:name w:val="x文 Char Char"/>
    <w:link w:val="2671"/>
    <w:qFormat/>
    <w:uiPriority w:val="0"/>
    <w:rPr>
      <w:rFonts w:ascii="宋体" w:hAnsi="宋体"/>
      <w:sz w:val="28"/>
      <w:szCs w:val="28"/>
    </w:rPr>
  </w:style>
  <w:style w:type="paragraph" w:customStyle="1" w:styleId="2671">
    <w:name w:val="x文"/>
    <w:basedOn w:val="1"/>
    <w:link w:val="2670"/>
    <w:qFormat/>
    <w:uiPriority w:val="0"/>
    <w:pPr>
      <w:spacing w:line="360" w:lineRule="auto"/>
      <w:ind w:firstLine="560" w:firstLineChars="200"/>
    </w:pPr>
    <w:rPr>
      <w:rFonts w:ascii="宋体" w:hAnsi="宋体"/>
      <w:kern w:val="0"/>
      <w:sz w:val="28"/>
      <w:szCs w:val="28"/>
    </w:rPr>
  </w:style>
  <w:style w:type="character" w:customStyle="1" w:styleId="2672">
    <w:name w:val="show"/>
    <w:qFormat/>
    <w:uiPriority w:val="0"/>
  </w:style>
  <w:style w:type="character" w:customStyle="1" w:styleId="2673">
    <w:name w:val="normalclass1"/>
    <w:qFormat/>
    <w:uiPriority w:val="0"/>
  </w:style>
  <w:style w:type="character" w:customStyle="1" w:styleId="2674">
    <w:name w:val="Footer-Even Char1"/>
    <w:qFormat/>
    <w:uiPriority w:val="0"/>
    <w:rPr>
      <w:rFonts w:eastAsia="宋体"/>
      <w:kern w:val="2"/>
      <w:sz w:val="18"/>
      <w:szCs w:val="18"/>
      <w:lang w:val="en-US" w:eastAsia="zh-CN" w:bidi="ar-SA"/>
    </w:rPr>
  </w:style>
  <w:style w:type="character" w:customStyle="1" w:styleId="2675">
    <w:name w:val="Char Char375"/>
    <w:qFormat/>
    <w:uiPriority w:val="0"/>
    <w:rPr>
      <w:rFonts w:ascii="Calibri" w:hAnsi="Calibri" w:eastAsia="宋体"/>
      <w:kern w:val="2"/>
      <w:sz w:val="18"/>
      <w:szCs w:val="18"/>
      <w:lang w:val="en-US" w:eastAsia="zh-CN" w:bidi="ar-SA"/>
    </w:rPr>
  </w:style>
  <w:style w:type="character" w:customStyle="1" w:styleId="2676">
    <w:name w:val="基本 Char Char"/>
    <w:qFormat/>
    <w:locked/>
    <w:uiPriority w:val="0"/>
    <w:rPr>
      <w:rFonts w:ascii="Times New Roman" w:hAnsi="Times New Roman" w:eastAsia="Times New Roman" w:cs="Times New Roman"/>
      <w:bCs/>
      <w:caps/>
      <w:szCs w:val="24"/>
    </w:rPr>
  </w:style>
  <w:style w:type="character" w:customStyle="1" w:styleId="2677">
    <w:name w:val="10"/>
    <w:qFormat/>
    <w:uiPriority w:val="0"/>
    <w:rPr>
      <w:rFonts w:hint="default" w:ascii="Calibri" w:hAnsi="Calibri"/>
    </w:rPr>
  </w:style>
  <w:style w:type="character" w:customStyle="1" w:styleId="2678">
    <w:name w:val="正文文字 2 Char Char1"/>
    <w:qFormat/>
    <w:uiPriority w:val="0"/>
    <w:rPr>
      <w:rFonts w:eastAsia="宋体"/>
      <w:kern w:val="2"/>
      <w:sz w:val="21"/>
      <w:szCs w:val="24"/>
      <w:lang w:val="en-US" w:eastAsia="zh-CN" w:bidi="ar-SA"/>
    </w:rPr>
  </w:style>
  <w:style w:type="character" w:customStyle="1" w:styleId="2679">
    <w:name w:val="页眉 Char2"/>
    <w:qFormat/>
    <w:uiPriority w:val="0"/>
    <w:rPr>
      <w:rFonts w:eastAsia="宋体"/>
      <w:kern w:val="2"/>
      <w:sz w:val="18"/>
      <w:szCs w:val="18"/>
      <w:lang w:val="en-US" w:eastAsia="zh-CN" w:bidi="ar-SA"/>
    </w:rPr>
  </w:style>
  <w:style w:type="character" w:customStyle="1" w:styleId="2680">
    <w:name w:val="HTML 引文1"/>
    <w:qFormat/>
    <w:uiPriority w:val="0"/>
    <w:rPr>
      <w:rFonts w:hint="default"/>
      <w:i/>
    </w:rPr>
  </w:style>
  <w:style w:type="character" w:customStyle="1" w:styleId="2681">
    <w:name w:val="表名 Char Char"/>
    <w:qFormat/>
    <w:uiPriority w:val="0"/>
    <w:rPr>
      <w:rFonts w:ascii="宋体" w:eastAsia="宋体"/>
      <w:szCs w:val="24"/>
    </w:rPr>
  </w:style>
  <w:style w:type="character" w:customStyle="1" w:styleId="2682">
    <w:name w:val="bds_more"/>
    <w:qFormat/>
    <w:uiPriority w:val="0"/>
    <w:rPr>
      <w:rFonts w:hint="eastAsia" w:ascii="宋体" w:hAnsi="宋体" w:eastAsia="宋体" w:cs="宋体"/>
    </w:rPr>
  </w:style>
  <w:style w:type="character" w:customStyle="1" w:styleId="2683">
    <w:name w:val="ENFI正文 Char Char"/>
    <w:link w:val="2684"/>
    <w:qFormat/>
    <w:uiPriority w:val="0"/>
    <w:rPr>
      <w:rFonts w:eastAsia="仿宋_GB2312"/>
      <w:snapToGrid w:val="0"/>
      <w:color w:val="000000"/>
      <w:sz w:val="28"/>
    </w:rPr>
  </w:style>
  <w:style w:type="paragraph" w:customStyle="1" w:styleId="2684">
    <w:name w:val="ENFI正文"/>
    <w:basedOn w:val="1"/>
    <w:link w:val="2683"/>
    <w:qFormat/>
    <w:uiPriority w:val="0"/>
    <w:pPr>
      <w:adjustRightInd w:val="0"/>
      <w:snapToGrid w:val="0"/>
      <w:spacing w:line="500" w:lineRule="exact"/>
      <w:ind w:firstLine="567"/>
    </w:pPr>
    <w:rPr>
      <w:rFonts w:eastAsia="仿宋_GB2312"/>
      <w:snapToGrid w:val="0"/>
      <w:color w:val="000000"/>
      <w:kern w:val="0"/>
      <w:sz w:val="28"/>
      <w:szCs w:val="20"/>
    </w:rPr>
  </w:style>
  <w:style w:type="character" w:customStyle="1" w:styleId="2685">
    <w:name w:val="周正 Char Char"/>
    <w:qFormat/>
    <w:uiPriority w:val="0"/>
    <w:rPr>
      <w:rFonts w:ascii="宋体" w:hAnsi="宋体"/>
      <w:sz w:val="28"/>
    </w:rPr>
  </w:style>
  <w:style w:type="character" w:customStyle="1" w:styleId="2686">
    <w:name w:val="Char Char331"/>
    <w:qFormat/>
    <w:uiPriority w:val="0"/>
    <w:rPr>
      <w:rFonts w:hint="default" w:eastAsia="宋体"/>
      <w:kern w:val="2"/>
      <w:sz w:val="18"/>
      <w:lang w:val="en-US" w:eastAsia="zh-CN"/>
    </w:rPr>
  </w:style>
  <w:style w:type="character" w:customStyle="1" w:styleId="2687">
    <w:name w:val="5表头 Char"/>
    <w:link w:val="876"/>
    <w:qFormat/>
    <w:locked/>
    <w:uiPriority w:val="0"/>
    <w:rPr>
      <w:rFonts w:eastAsia="黑体" w:cs="宋体"/>
      <w:kern w:val="2"/>
      <w:sz w:val="21"/>
    </w:rPr>
  </w:style>
  <w:style w:type="character" w:customStyle="1" w:styleId="2688">
    <w:name w:val="text"/>
    <w:basedOn w:val="99"/>
    <w:qFormat/>
    <w:uiPriority w:val="0"/>
  </w:style>
  <w:style w:type="character" w:customStyle="1" w:styleId="2689">
    <w:name w:val="称呼 Char3"/>
    <w:semiHidden/>
    <w:qFormat/>
    <w:uiPriority w:val="0"/>
    <w:rPr>
      <w:rFonts w:ascii="Calibri" w:hAnsi="Calibri" w:eastAsia="宋体" w:cs="Times New Roman"/>
      <w:kern w:val="0"/>
      <w:sz w:val="22"/>
    </w:rPr>
  </w:style>
  <w:style w:type="character" w:customStyle="1" w:styleId="2690">
    <w:name w:val="7.表中文字 Char"/>
    <w:link w:val="2691"/>
    <w:qFormat/>
    <w:uiPriority w:val="0"/>
    <w:rPr>
      <w:szCs w:val="21"/>
    </w:rPr>
  </w:style>
  <w:style w:type="paragraph" w:customStyle="1" w:styleId="2691">
    <w:name w:val="7.表中文字"/>
    <w:basedOn w:val="2000"/>
    <w:link w:val="2690"/>
    <w:qFormat/>
    <w:uiPriority w:val="0"/>
    <w:pPr>
      <w:widowControl w:val="0"/>
      <w:autoSpaceDE w:val="0"/>
      <w:autoSpaceDN w:val="0"/>
      <w:spacing w:beforeLines="0" w:line="240" w:lineRule="auto"/>
      <w:ind w:firstLine="0" w:firstLineChars="0"/>
      <w:jc w:val="center"/>
    </w:pPr>
    <w:rPr>
      <w:sz w:val="20"/>
      <w:szCs w:val="21"/>
    </w:rPr>
  </w:style>
  <w:style w:type="paragraph" w:customStyle="1" w:styleId="2692">
    <w:name w:val="666666-表中文字"/>
    <w:basedOn w:val="1"/>
    <w:qFormat/>
    <w:uiPriority w:val="99"/>
    <w:pPr>
      <w:jc w:val="center"/>
    </w:pPr>
    <w:rPr>
      <w:rFonts w:ascii="Calibri" w:hAnsi="Calibri"/>
      <w:szCs w:val="20"/>
    </w:rPr>
  </w:style>
  <w:style w:type="character" w:customStyle="1" w:styleId="2693">
    <w:name w:val="表、图名 Char"/>
    <w:qFormat/>
    <w:uiPriority w:val="0"/>
    <w:rPr>
      <w:rFonts w:ascii="黑体" w:eastAsia="黑体"/>
      <w:color w:val="000000"/>
      <w:sz w:val="21"/>
      <w:szCs w:val="21"/>
    </w:rPr>
  </w:style>
  <w:style w:type="character" w:customStyle="1" w:styleId="2694">
    <w:name w:val="正文文字 3 Char Char"/>
    <w:qFormat/>
    <w:uiPriority w:val="0"/>
    <w:rPr>
      <w:rFonts w:ascii="仿宋_GB2312" w:hAnsi="宋体" w:eastAsia="仿宋_GB2312" w:cs="Times New Roman"/>
      <w:color w:val="FF0000"/>
      <w:sz w:val="24"/>
      <w:szCs w:val="24"/>
      <w:u w:val="single"/>
    </w:rPr>
  </w:style>
  <w:style w:type="character" w:customStyle="1" w:styleId="2695">
    <w:name w:val="bgbt6插图标题 Char"/>
    <w:link w:val="2696"/>
    <w:qFormat/>
    <w:uiPriority w:val="0"/>
    <w:rPr>
      <w:rFonts w:ascii="Calibri" w:hAnsi="Calibri" w:eastAsia="黑体"/>
      <w:smallCaps/>
      <w:szCs w:val="21"/>
    </w:rPr>
  </w:style>
  <w:style w:type="paragraph" w:customStyle="1" w:styleId="2696">
    <w:name w:val="bgbt6插图标题"/>
    <w:basedOn w:val="72"/>
    <w:next w:val="1"/>
    <w:link w:val="2695"/>
    <w:qFormat/>
    <w:uiPriority w:val="0"/>
    <w:pPr>
      <w:adjustRightInd w:val="0"/>
      <w:snapToGrid w:val="0"/>
      <w:spacing w:after="60" w:line="360" w:lineRule="auto"/>
      <w:ind w:left="420" w:hanging="420"/>
      <w:outlineLvl w:val="5"/>
    </w:pPr>
    <w:rPr>
      <w:rFonts w:ascii="Calibri" w:hAnsi="Calibri" w:eastAsia="黑体"/>
      <w:smallCaps/>
      <w:kern w:val="0"/>
      <w:sz w:val="20"/>
      <w:szCs w:val="21"/>
    </w:rPr>
  </w:style>
  <w:style w:type="character" w:customStyle="1" w:styleId="2697">
    <w:name w:val="style41"/>
    <w:qFormat/>
    <w:uiPriority w:val="0"/>
    <w:rPr>
      <w:color w:val="000000"/>
      <w:sz w:val="16"/>
      <w:szCs w:val="16"/>
    </w:rPr>
  </w:style>
  <w:style w:type="character" w:customStyle="1" w:styleId="2698">
    <w:name w:val="3条 Char"/>
    <w:link w:val="2699"/>
    <w:qFormat/>
    <w:locked/>
    <w:uiPriority w:val="0"/>
    <w:rPr>
      <w:b/>
      <w:bCs/>
      <w:sz w:val="28"/>
      <w:lang w:val="zh-CN"/>
    </w:rPr>
  </w:style>
  <w:style w:type="paragraph" w:customStyle="1" w:styleId="2699">
    <w:name w:val="3条"/>
    <w:basedOn w:val="5"/>
    <w:link w:val="2698"/>
    <w:qFormat/>
    <w:uiPriority w:val="0"/>
    <w:pPr>
      <w:tabs>
        <w:tab w:val="left" w:pos="709"/>
      </w:tabs>
      <w:adjustRightInd w:val="0"/>
      <w:snapToGrid w:val="0"/>
      <w:spacing w:before="0" w:after="0" w:line="360" w:lineRule="auto"/>
      <w:ind w:left="720" w:hanging="432"/>
    </w:pPr>
    <w:rPr>
      <w:kern w:val="0"/>
      <w:sz w:val="28"/>
      <w:szCs w:val="20"/>
      <w:lang w:val="zh-CN"/>
    </w:rPr>
  </w:style>
  <w:style w:type="character" w:customStyle="1" w:styleId="2700">
    <w:name w:val="明显引用 Char1"/>
    <w:qFormat/>
    <w:uiPriority w:val="30"/>
    <w:rPr>
      <w:b/>
      <w:bCs/>
      <w:i/>
      <w:iCs/>
      <w:color w:val="4F81BD"/>
      <w:sz w:val="22"/>
      <w:szCs w:val="22"/>
    </w:rPr>
  </w:style>
  <w:style w:type="character" w:customStyle="1" w:styleId="2701">
    <w:name w:val="样式 正文缩进正文（首行缩进两字） Char标题四 + (西文) 宋体 小四 Char"/>
    <w:link w:val="2702"/>
    <w:qFormat/>
    <w:uiPriority w:val="0"/>
    <w:rPr>
      <w:rFonts w:ascii="宋体" w:hAnsi="宋体" w:eastAsia="仿宋_GB2312"/>
      <w:color w:val="000000"/>
      <w:sz w:val="28"/>
      <w:szCs w:val="28"/>
    </w:rPr>
  </w:style>
  <w:style w:type="paragraph" w:customStyle="1" w:styleId="2702">
    <w:name w:val="样式 正文缩进正文（首行缩进两字） Char标题四 + (西文) 宋体 小四"/>
    <w:basedOn w:val="21"/>
    <w:link w:val="2701"/>
    <w:qFormat/>
    <w:uiPriority w:val="0"/>
    <w:pPr>
      <w:spacing w:line="312" w:lineRule="auto"/>
      <w:ind w:firstLine="560"/>
    </w:pPr>
    <w:rPr>
      <w:rFonts w:ascii="宋体" w:hAnsi="宋体" w:eastAsia="仿宋_GB2312"/>
      <w:color w:val="000000"/>
      <w:kern w:val="0"/>
      <w:sz w:val="28"/>
      <w:szCs w:val="28"/>
    </w:rPr>
  </w:style>
  <w:style w:type="character" w:customStyle="1" w:styleId="2703">
    <w:name w:val="666666-表头儿 Char"/>
    <w:link w:val="2704"/>
    <w:qFormat/>
    <w:uiPriority w:val="0"/>
    <w:rPr>
      <w:rFonts w:eastAsia="黑体"/>
    </w:rPr>
  </w:style>
  <w:style w:type="paragraph" w:customStyle="1" w:styleId="2704">
    <w:name w:val="666666-表头儿"/>
    <w:basedOn w:val="1"/>
    <w:link w:val="2703"/>
    <w:qFormat/>
    <w:uiPriority w:val="0"/>
    <w:pPr>
      <w:spacing w:line="440" w:lineRule="exact"/>
      <w:jc w:val="center"/>
    </w:pPr>
    <w:rPr>
      <w:rFonts w:eastAsia="黑体"/>
      <w:kern w:val="0"/>
      <w:sz w:val="20"/>
      <w:szCs w:val="20"/>
    </w:rPr>
  </w:style>
  <w:style w:type="character" w:customStyle="1" w:styleId="2705">
    <w:name w:val="Char Char41"/>
    <w:qFormat/>
    <w:uiPriority w:val="0"/>
    <w:rPr>
      <w:rFonts w:hint="default" w:eastAsia="宋体"/>
      <w:kern w:val="2"/>
      <w:sz w:val="24"/>
      <w:lang w:val="en-US" w:eastAsia="zh-CN"/>
    </w:rPr>
  </w:style>
  <w:style w:type="character" w:customStyle="1" w:styleId="2706">
    <w:name w:val="Char Char109"/>
    <w:qFormat/>
    <w:uiPriority w:val="0"/>
    <w:rPr>
      <w:rFonts w:eastAsia="宋体"/>
      <w:b/>
      <w:bCs/>
      <w:kern w:val="44"/>
      <w:sz w:val="44"/>
      <w:szCs w:val="44"/>
      <w:lang w:val="en-US" w:eastAsia="zh-CN" w:bidi="ar-SA"/>
    </w:rPr>
  </w:style>
  <w:style w:type="character" w:customStyle="1" w:styleId="2707">
    <w:name w:val="表格式 Char"/>
    <w:link w:val="2708"/>
    <w:qFormat/>
    <w:uiPriority w:val="0"/>
  </w:style>
  <w:style w:type="paragraph" w:customStyle="1" w:styleId="2708">
    <w:name w:val="表格式"/>
    <w:basedOn w:val="65"/>
    <w:link w:val="2707"/>
    <w:qFormat/>
    <w:uiPriority w:val="0"/>
    <w:pPr>
      <w:spacing w:beforeLines="50" w:afterLines="50" w:line="200" w:lineRule="exact"/>
      <w:ind w:left="0" w:firstLine="0" w:firstLineChars="0"/>
      <w:jc w:val="center"/>
    </w:pPr>
    <w:rPr>
      <w:kern w:val="0"/>
      <w:sz w:val="20"/>
      <w:szCs w:val="20"/>
    </w:rPr>
  </w:style>
  <w:style w:type="character" w:customStyle="1" w:styleId="2709">
    <w:name w:val="Char Char2321"/>
    <w:qFormat/>
    <w:uiPriority w:val="0"/>
    <w:rPr>
      <w:rFonts w:ascii="宋体" w:hAnsi="宋体" w:eastAsia="宋体" w:cs="宋体"/>
      <w:sz w:val="24"/>
      <w:szCs w:val="24"/>
      <w:lang w:val="en-US" w:eastAsia="zh-CN" w:bidi="ar-SA"/>
    </w:rPr>
  </w:style>
  <w:style w:type="character" w:customStyle="1" w:styleId="2710">
    <w:name w:val="2级标题 Char Char Char"/>
    <w:qFormat/>
    <w:uiPriority w:val="0"/>
    <w:rPr>
      <w:rFonts w:ascii="Times New Roman" w:hAnsi="Times New Roman"/>
      <w:b/>
      <w:bCs/>
      <w:sz w:val="32"/>
      <w:szCs w:val="32"/>
    </w:rPr>
  </w:style>
  <w:style w:type="character" w:customStyle="1" w:styleId="2711">
    <w:name w:val="电子邮件签名 字符1"/>
    <w:qFormat/>
    <w:uiPriority w:val="0"/>
    <w:rPr>
      <w:rFonts w:ascii="Arial" w:hAnsi="Arial" w:eastAsia="仿宋_GB2312"/>
      <w:sz w:val="24"/>
    </w:rPr>
  </w:style>
  <w:style w:type="character" w:customStyle="1" w:styleId="2712">
    <w:name w:val="Char Char385"/>
    <w:qFormat/>
    <w:uiPriority w:val="0"/>
    <w:rPr>
      <w:rFonts w:eastAsia="宋体"/>
      <w:kern w:val="2"/>
      <w:sz w:val="18"/>
      <w:lang w:val="en-US" w:eastAsia="zh-CN" w:bidi="ar-SA"/>
    </w:rPr>
  </w:style>
  <w:style w:type="character" w:customStyle="1" w:styleId="2713">
    <w:name w:val="14b"/>
    <w:qFormat/>
    <w:uiPriority w:val="0"/>
  </w:style>
  <w:style w:type="character" w:customStyle="1" w:styleId="2714">
    <w:name w:val="贾伦正文 Char Char Char"/>
    <w:qFormat/>
    <w:uiPriority w:val="0"/>
    <w:rPr>
      <w:rFonts w:ascii="Times New Roman" w:hAnsi="Times New Roman"/>
      <w:spacing w:val="-4"/>
      <w:kern w:val="2"/>
      <w:sz w:val="24"/>
      <w:szCs w:val="28"/>
    </w:rPr>
  </w:style>
  <w:style w:type="character" w:customStyle="1" w:styleId="2715">
    <w:name w:val="ldh14-01"/>
    <w:qFormat/>
    <w:uiPriority w:val="0"/>
    <w:rPr>
      <w:b/>
      <w:bCs/>
      <w:color w:val="FFFFFF"/>
      <w:sz w:val="18"/>
      <w:szCs w:val="18"/>
    </w:rPr>
  </w:style>
  <w:style w:type="character" w:customStyle="1" w:styleId="2716">
    <w:name w:val="666666-正文 Char Char Char"/>
    <w:qFormat/>
    <w:uiPriority w:val="0"/>
    <w:rPr>
      <w:rFonts w:ascii="Times New Roman" w:hAnsi="Times New Roman"/>
      <w:kern w:val="2"/>
      <w:sz w:val="24"/>
      <w:lang w:val="zh-CN"/>
    </w:rPr>
  </w:style>
  <w:style w:type="character" w:customStyle="1" w:styleId="2717">
    <w:name w:val="正文(首行缩进) Char Char Char"/>
    <w:qFormat/>
    <w:uiPriority w:val="0"/>
    <w:rPr>
      <w:rFonts w:ascii="宋体" w:hAnsi="宋体"/>
      <w:bCs/>
      <w:snapToGrid w:val="0"/>
      <w:sz w:val="24"/>
      <w:szCs w:val="28"/>
    </w:rPr>
  </w:style>
  <w:style w:type="character" w:customStyle="1" w:styleId="2718">
    <w:name w:val="标题 3 Char1 Char Char"/>
    <w:qFormat/>
    <w:uiPriority w:val="0"/>
    <w:rPr>
      <w:rFonts w:eastAsia="宋体"/>
      <w:spacing w:val="-2"/>
      <w:sz w:val="28"/>
      <w:szCs w:val="28"/>
      <w:lang w:val="en-US" w:eastAsia="zh-CN" w:bidi="ar-SA"/>
    </w:rPr>
  </w:style>
  <w:style w:type="character" w:customStyle="1" w:styleId="2719">
    <w:name w:val="正文首行缩进 Char1 Char Char2"/>
    <w:qFormat/>
    <w:uiPriority w:val="0"/>
    <w:rPr>
      <w:spacing w:val="6"/>
      <w:kern w:val="2"/>
      <w:sz w:val="24"/>
      <w:szCs w:val="24"/>
    </w:rPr>
  </w:style>
  <w:style w:type="character" w:customStyle="1" w:styleId="2720">
    <w:name w:val="Char Char284"/>
    <w:qFormat/>
    <w:uiPriority w:val="0"/>
    <w:rPr>
      <w:rFonts w:ascii="Calibri" w:hAnsi="Calibri" w:eastAsia="宋体"/>
      <w:sz w:val="18"/>
      <w:szCs w:val="18"/>
      <w:lang w:val="en-US" w:eastAsia="zh-CN" w:bidi="ar-SA"/>
    </w:rPr>
  </w:style>
  <w:style w:type="character" w:customStyle="1" w:styleId="2721">
    <w:name w:val="正文（首行式样2） Char"/>
    <w:link w:val="2722"/>
    <w:qFormat/>
    <w:uiPriority w:val="0"/>
    <w:rPr>
      <w:color w:val="000000"/>
      <w:spacing w:val="-4"/>
      <w:sz w:val="24"/>
      <w:szCs w:val="24"/>
      <w:lang w:val="zh-CN"/>
    </w:rPr>
  </w:style>
  <w:style w:type="paragraph" w:customStyle="1" w:styleId="2722">
    <w:name w:val="正文（首行式样2）"/>
    <w:basedOn w:val="21"/>
    <w:link w:val="2721"/>
    <w:qFormat/>
    <w:uiPriority w:val="0"/>
    <w:pPr>
      <w:spacing w:line="500" w:lineRule="exact"/>
      <w:ind w:firstLine="464"/>
    </w:pPr>
    <w:rPr>
      <w:color w:val="000000"/>
      <w:spacing w:val="-4"/>
      <w:kern w:val="0"/>
      <w:szCs w:val="24"/>
      <w:lang w:val="zh-CN"/>
    </w:rPr>
  </w:style>
  <w:style w:type="character" w:customStyle="1" w:styleId="2723">
    <w:name w:val="贾伦 标题4 Char Char"/>
    <w:qFormat/>
    <w:uiPriority w:val="0"/>
    <w:rPr>
      <w:b/>
      <w:snapToGrid/>
      <w:color w:val="000000"/>
      <w:sz w:val="24"/>
      <w:szCs w:val="28"/>
    </w:rPr>
  </w:style>
  <w:style w:type="character" w:customStyle="1" w:styleId="2724">
    <w:name w:val="p9"/>
    <w:qFormat/>
    <w:uiPriority w:val="0"/>
  </w:style>
  <w:style w:type="character" w:customStyle="1" w:styleId="2725">
    <w:name w:val="表头 Char Char Char Char Char"/>
    <w:qFormat/>
    <w:uiPriority w:val="0"/>
    <w:rPr>
      <w:rFonts w:ascii="Times New Roman" w:hAnsi="Times New Roman" w:cs="宋体"/>
      <w:bCs/>
      <w:color w:val="000000"/>
      <w:kern w:val="2"/>
      <w:sz w:val="24"/>
      <w:szCs w:val="24"/>
      <w:lang w:val="en-GB"/>
    </w:rPr>
  </w:style>
  <w:style w:type="character" w:customStyle="1" w:styleId="2726">
    <w:name w:val="Char Char146"/>
    <w:qFormat/>
    <w:uiPriority w:val="0"/>
    <w:rPr>
      <w:rFonts w:ascii="Times New Roman" w:hAnsi="Times New Roman" w:eastAsia="宋体" w:cs="Times New Roman"/>
      <w:b/>
      <w:bCs/>
      <w:sz w:val="24"/>
      <w:szCs w:val="24"/>
    </w:rPr>
  </w:style>
  <w:style w:type="character" w:customStyle="1" w:styleId="2727">
    <w:name w:val="2级标题节 Char"/>
    <w:link w:val="2728"/>
    <w:qFormat/>
    <w:uiPriority w:val="0"/>
    <w:rPr>
      <w:b/>
      <w:sz w:val="30"/>
      <w:szCs w:val="24"/>
    </w:rPr>
  </w:style>
  <w:style w:type="paragraph" w:customStyle="1" w:styleId="2728">
    <w:name w:val="2级标题节"/>
    <w:basedOn w:val="1"/>
    <w:link w:val="2727"/>
    <w:qFormat/>
    <w:uiPriority w:val="0"/>
    <w:pPr>
      <w:spacing w:line="360" w:lineRule="auto"/>
      <w:outlineLvl w:val="1"/>
    </w:pPr>
    <w:rPr>
      <w:b/>
      <w:kern w:val="0"/>
      <w:sz w:val="30"/>
    </w:rPr>
  </w:style>
  <w:style w:type="character" w:customStyle="1" w:styleId="2729">
    <w:name w:val="样式 正文缩进正文（首行缩进两字） Char标题四 + (符号) STXinwei Char"/>
    <w:link w:val="2730"/>
    <w:qFormat/>
    <w:uiPriority w:val="0"/>
    <w:rPr>
      <w:rFonts w:eastAsia="仿宋_GB2312"/>
      <w:color w:val="000000"/>
      <w:sz w:val="28"/>
      <w:szCs w:val="28"/>
    </w:rPr>
  </w:style>
  <w:style w:type="paragraph" w:customStyle="1" w:styleId="2730">
    <w:name w:val="样式 正文缩进正文（首行缩进两字） Char标题四 + (符号) STXinwei"/>
    <w:basedOn w:val="21"/>
    <w:link w:val="2729"/>
    <w:qFormat/>
    <w:uiPriority w:val="0"/>
    <w:pPr>
      <w:spacing w:line="312" w:lineRule="auto"/>
      <w:ind w:firstLine="200"/>
    </w:pPr>
    <w:rPr>
      <w:rFonts w:eastAsia="仿宋_GB2312"/>
      <w:color w:val="000000"/>
      <w:kern w:val="0"/>
      <w:sz w:val="28"/>
      <w:szCs w:val="28"/>
    </w:rPr>
  </w:style>
  <w:style w:type="character" w:customStyle="1" w:styleId="2731">
    <w:name w:val="Char Char70"/>
    <w:qFormat/>
    <w:uiPriority w:val="0"/>
    <w:rPr>
      <w:rFonts w:ascii="Times New Roman" w:hAnsi="Times New Roman" w:eastAsia="宋体" w:cs="Times New Roman"/>
      <w:b/>
      <w:bCs/>
      <w:sz w:val="24"/>
      <w:szCs w:val="24"/>
    </w:rPr>
  </w:style>
  <w:style w:type="character" w:customStyle="1" w:styleId="2732">
    <w:name w:val="dan7-1表头7 Char"/>
    <w:link w:val="2733"/>
    <w:qFormat/>
    <w:uiPriority w:val="0"/>
    <w:rPr>
      <w:rFonts w:eastAsia="黑体"/>
      <w:sz w:val="24"/>
      <w:szCs w:val="24"/>
    </w:rPr>
  </w:style>
  <w:style w:type="paragraph" w:customStyle="1" w:styleId="2733">
    <w:name w:val="dan7-1表头7"/>
    <w:basedOn w:val="1"/>
    <w:link w:val="2732"/>
    <w:qFormat/>
    <w:uiPriority w:val="0"/>
    <w:pPr>
      <w:tabs>
        <w:tab w:val="center" w:pos="0"/>
        <w:tab w:val="left" w:pos="480"/>
      </w:tabs>
      <w:spacing w:before="40" w:after="40" w:line="360" w:lineRule="auto"/>
      <w:ind w:left="480" w:hanging="480"/>
      <w:jc w:val="center"/>
    </w:pPr>
    <w:rPr>
      <w:rFonts w:eastAsia="黑体"/>
      <w:kern w:val="0"/>
      <w:sz w:val="24"/>
    </w:rPr>
  </w:style>
  <w:style w:type="character" w:customStyle="1" w:styleId="2734">
    <w:name w:val="Font Style336"/>
    <w:qFormat/>
    <w:uiPriority w:val="0"/>
    <w:rPr>
      <w:rFonts w:ascii="宋体" w:eastAsia="宋体" w:cs="宋体"/>
      <w:sz w:val="16"/>
      <w:szCs w:val="16"/>
    </w:rPr>
  </w:style>
  <w:style w:type="character" w:customStyle="1" w:styleId="2735">
    <w:name w:val="HTML 定义1"/>
    <w:qFormat/>
    <w:uiPriority w:val="0"/>
    <w:rPr>
      <w:rFonts w:hint="default"/>
      <w:i/>
    </w:rPr>
  </w:style>
  <w:style w:type="character" w:customStyle="1" w:styleId="2736">
    <w:name w:val="Char Char461"/>
    <w:qFormat/>
    <w:uiPriority w:val="0"/>
    <w:rPr>
      <w:rFonts w:hint="eastAsia" w:ascii="Times New Roman" w:hAnsi="Times New Roman" w:eastAsia="宋体"/>
    </w:rPr>
  </w:style>
  <w:style w:type="character" w:customStyle="1" w:styleId="2737">
    <w:name w:val="Char Char282"/>
    <w:qFormat/>
    <w:uiPriority w:val="0"/>
    <w:rPr>
      <w:rFonts w:ascii="Times New Roman" w:hAnsi="Times New Roman" w:eastAsia="宋体" w:cs="Times New Roman"/>
      <w:szCs w:val="24"/>
      <w:shd w:val="clear" w:color="auto" w:fill="000080"/>
    </w:rPr>
  </w:style>
  <w:style w:type="character" w:customStyle="1" w:styleId="2738">
    <w:name w:val="Char Char291"/>
    <w:qFormat/>
    <w:uiPriority w:val="0"/>
    <w:rPr>
      <w:rFonts w:eastAsia="宋体"/>
      <w:kern w:val="2"/>
      <w:sz w:val="21"/>
      <w:szCs w:val="24"/>
      <w:lang w:val="en-US" w:eastAsia="zh-CN" w:bidi="ar-SA"/>
    </w:rPr>
  </w:style>
  <w:style w:type="character" w:customStyle="1" w:styleId="2739">
    <w:name w:val="pt91"/>
    <w:qFormat/>
    <w:uiPriority w:val="0"/>
    <w:rPr>
      <w:rFonts w:hint="default" w:ascii="ˎ̥" w:hAnsi="ˎ̥" w:cs="Times New Roman"/>
      <w:color w:val="000000"/>
      <w:sz w:val="18"/>
      <w:szCs w:val="18"/>
    </w:rPr>
  </w:style>
  <w:style w:type="character" w:customStyle="1" w:styleId="2740">
    <w:name w:val="Char Char212"/>
    <w:qFormat/>
    <w:uiPriority w:val="0"/>
    <w:rPr>
      <w:rFonts w:hint="default" w:eastAsia="宋体"/>
      <w:kern w:val="2"/>
      <w:sz w:val="24"/>
      <w:lang w:val="en-US" w:eastAsia="zh-CN"/>
    </w:rPr>
  </w:style>
  <w:style w:type="character" w:customStyle="1" w:styleId="2741">
    <w:name w:val="正文首行缩进 Char Char"/>
    <w:qFormat/>
    <w:uiPriority w:val="0"/>
    <w:rPr>
      <w:rFonts w:eastAsia="宋体"/>
      <w:kern w:val="2"/>
      <w:sz w:val="21"/>
      <w:szCs w:val="24"/>
      <w:lang w:val="en-US" w:eastAsia="zh-CN" w:bidi="ar-SA"/>
    </w:rPr>
  </w:style>
  <w:style w:type="character" w:customStyle="1" w:styleId="2742">
    <w:name w:val="dan7-1 Char Char"/>
    <w:qFormat/>
    <w:locked/>
    <w:uiPriority w:val="0"/>
    <w:rPr>
      <w:rFonts w:ascii="Times New Roman" w:hAnsi="Times New Roman" w:cs="Times New Roman"/>
      <w:sz w:val="24"/>
      <w:szCs w:val="24"/>
    </w:rPr>
  </w:style>
  <w:style w:type="character" w:customStyle="1" w:styleId="2743">
    <w:name w:val="5号宋体居中 Char Char"/>
    <w:qFormat/>
    <w:uiPriority w:val="0"/>
    <w:rPr>
      <w:rFonts w:ascii="Arial" w:hAnsi="Arial" w:eastAsia="黑体" w:cs="Times New Roman"/>
      <w:szCs w:val="20"/>
    </w:rPr>
  </w:style>
  <w:style w:type="character" w:customStyle="1" w:styleId="2744">
    <w:name w:val="2 标题 Char"/>
    <w:link w:val="2745"/>
    <w:qFormat/>
    <w:locked/>
    <w:uiPriority w:val="0"/>
    <w:rPr>
      <w:rFonts w:ascii="宋体" w:hAnsi="宋体"/>
      <w:b/>
      <w:color w:val="0000FF"/>
      <w:sz w:val="32"/>
    </w:rPr>
  </w:style>
  <w:style w:type="paragraph" w:customStyle="1" w:styleId="2745">
    <w:name w:val="2 标题"/>
    <w:basedOn w:val="1"/>
    <w:link w:val="2744"/>
    <w:qFormat/>
    <w:uiPriority w:val="0"/>
    <w:pPr>
      <w:keepNext/>
      <w:keepLines/>
      <w:spacing w:beforeLines="50" w:afterLines="50" w:line="360" w:lineRule="auto"/>
      <w:outlineLvl w:val="1"/>
    </w:pPr>
    <w:rPr>
      <w:rFonts w:ascii="宋体" w:hAnsi="宋体"/>
      <w:b/>
      <w:color w:val="0000FF"/>
      <w:kern w:val="0"/>
      <w:sz w:val="32"/>
      <w:szCs w:val="20"/>
    </w:rPr>
  </w:style>
  <w:style w:type="character" w:customStyle="1" w:styleId="2746">
    <w:name w:val="Char Char663"/>
    <w:qFormat/>
    <w:uiPriority w:val="0"/>
    <w:rPr>
      <w:rFonts w:ascii="Times New Roman" w:hAnsi="Times New Roman" w:eastAsia="宋体" w:cs="Times New Roman"/>
      <w:szCs w:val="24"/>
    </w:rPr>
  </w:style>
  <w:style w:type="character" w:customStyle="1" w:styleId="2747">
    <w:name w:val="Char Char263"/>
    <w:qFormat/>
    <w:uiPriority w:val="0"/>
    <w:rPr>
      <w:rFonts w:eastAsia="宋体"/>
      <w:kern w:val="2"/>
      <w:sz w:val="18"/>
      <w:szCs w:val="18"/>
      <w:lang w:val="en-US" w:eastAsia="zh-CN" w:bidi="ar-SA"/>
    </w:rPr>
  </w:style>
  <w:style w:type="character" w:customStyle="1" w:styleId="2748">
    <w:name w:val="Char Char592"/>
    <w:qFormat/>
    <w:uiPriority w:val="0"/>
    <w:rPr>
      <w:rFonts w:ascii="Times New Roman" w:hAnsi="Times New Roman" w:eastAsia="宋体" w:cs="Times New Roman"/>
      <w:szCs w:val="24"/>
    </w:rPr>
  </w:style>
  <w:style w:type="character" w:customStyle="1" w:styleId="2749">
    <w:name w:val="样式14 Char"/>
    <w:link w:val="818"/>
    <w:qFormat/>
    <w:uiPriority w:val="0"/>
    <w:rPr>
      <w:rFonts w:ascii="仿宋_GB2312" w:hAnsi="宋体" w:eastAsia="仿宋_GB2312"/>
      <w:bCs/>
      <w:kern w:val="2"/>
      <w:sz w:val="24"/>
    </w:rPr>
  </w:style>
  <w:style w:type="character" w:customStyle="1" w:styleId="2750">
    <w:name w:val="00正文 Char"/>
    <w:link w:val="2751"/>
    <w:qFormat/>
    <w:uiPriority w:val="0"/>
    <w:rPr>
      <w:sz w:val="28"/>
      <w:szCs w:val="28"/>
    </w:rPr>
  </w:style>
  <w:style w:type="paragraph" w:customStyle="1" w:styleId="2751">
    <w:name w:val="00正文"/>
    <w:basedOn w:val="1"/>
    <w:link w:val="2750"/>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exact"/>
      <w:ind w:firstLine="200" w:firstLineChars="200"/>
    </w:pPr>
    <w:rPr>
      <w:kern w:val="0"/>
      <w:sz w:val="28"/>
      <w:szCs w:val="28"/>
    </w:rPr>
  </w:style>
  <w:style w:type="character" w:customStyle="1" w:styleId="2752">
    <w:name w:val="bg表内容 Char"/>
    <w:link w:val="2753"/>
    <w:qFormat/>
    <w:uiPriority w:val="0"/>
    <w:rPr>
      <w:sz w:val="18"/>
      <w:szCs w:val="18"/>
    </w:rPr>
  </w:style>
  <w:style w:type="paragraph" w:customStyle="1" w:styleId="2753">
    <w:name w:val="bg表内容"/>
    <w:basedOn w:val="1"/>
    <w:next w:val="1"/>
    <w:link w:val="2752"/>
    <w:qFormat/>
    <w:uiPriority w:val="0"/>
    <w:pPr>
      <w:adjustRightInd w:val="0"/>
      <w:snapToGrid w:val="0"/>
      <w:spacing w:line="360" w:lineRule="auto"/>
      <w:ind w:left="-113" w:right="-113" w:firstLine="200" w:firstLineChars="200"/>
      <w:jc w:val="center"/>
    </w:pPr>
    <w:rPr>
      <w:kern w:val="0"/>
      <w:sz w:val="18"/>
      <w:szCs w:val="18"/>
    </w:rPr>
  </w:style>
  <w:style w:type="character" w:customStyle="1" w:styleId="2754">
    <w:name w:val="Normal Char Char"/>
    <w:qFormat/>
    <w:uiPriority w:val="0"/>
    <w:rPr>
      <w:rFonts w:ascii="宋体"/>
      <w:sz w:val="24"/>
    </w:rPr>
  </w:style>
  <w:style w:type="character" w:customStyle="1" w:styleId="2755">
    <w:name w:val="样式 表格文字 Char + 段前: 0.5 行 Char"/>
    <w:link w:val="2756"/>
    <w:qFormat/>
    <w:uiPriority w:val="0"/>
    <w:rPr>
      <w:rFonts w:cs="宋体"/>
      <w:sz w:val="24"/>
    </w:rPr>
  </w:style>
  <w:style w:type="paragraph" w:customStyle="1" w:styleId="2756">
    <w:name w:val="样式 表格文字 Char + 段前: 0.5 行"/>
    <w:basedOn w:val="1"/>
    <w:link w:val="2755"/>
    <w:qFormat/>
    <w:uiPriority w:val="0"/>
    <w:pPr>
      <w:spacing w:before="156" w:beforeLines="50"/>
      <w:jc w:val="center"/>
    </w:pPr>
    <w:rPr>
      <w:rFonts w:cs="宋体"/>
      <w:kern w:val="0"/>
      <w:sz w:val="24"/>
      <w:szCs w:val="20"/>
    </w:rPr>
  </w:style>
  <w:style w:type="character" w:customStyle="1" w:styleId="2757">
    <w:name w:val="呼正1 Char Char"/>
    <w:link w:val="2758"/>
    <w:qFormat/>
    <w:uiPriority w:val="0"/>
    <w:rPr>
      <w:rFonts w:ascii="宋体" w:hAnsi="宋体"/>
      <w:sz w:val="28"/>
    </w:rPr>
  </w:style>
  <w:style w:type="paragraph" w:customStyle="1" w:styleId="2758">
    <w:name w:val="呼正1"/>
    <w:basedOn w:val="1"/>
    <w:link w:val="2757"/>
    <w:qFormat/>
    <w:uiPriority w:val="0"/>
    <w:pPr>
      <w:snapToGrid w:val="0"/>
      <w:spacing w:line="360" w:lineRule="auto"/>
      <w:ind w:firstLine="588" w:firstLineChars="210"/>
    </w:pPr>
    <w:rPr>
      <w:rFonts w:ascii="宋体" w:hAnsi="宋体"/>
      <w:kern w:val="0"/>
      <w:sz w:val="28"/>
      <w:szCs w:val="20"/>
    </w:rPr>
  </w:style>
  <w:style w:type="character" w:customStyle="1" w:styleId="2759">
    <w:name w:val="Char Char641"/>
    <w:qFormat/>
    <w:uiPriority w:val="0"/>
    <w:rPr>
      <w:rFonts w:ascii="Times New Roman" w:hAnsi="Times New Roman" w:eastAsia="宋体" w:cs="Times New Roman"/>
      <w:b/>
      <w:bCs/>
      <w:szCs w:val="20"/>
    </w:rPr>
  </w:style>
  <w:style w:type="character" w:customStyle="1" w:styleId="2760">
    <w:name w:val="Char Char61"/>
    <w:qFormat/>
    <w:locked/>
    <w:uiPriority w:val="0"/>
    <w:rPr>
      <w:rFonts w:eastAsia="宋体"/>
      <w:kern w:val="44"/>
      <w:sz w:val="44"/>
      <w:szCs w:val="44"/>
      <w:lang w:val="en-US" w:eastAsia="zh-CN" w:bidi="ar-SA"/>
    </w:rPr>
  </w:style>
  <w:style w:type="character" w:customStyle="1" w:styleId="2761">
    <w:name w:val="Char Char133"/>
    <w:qFormat/>
    <w:uiPriority w:val="0"/>
    <w:rPr>
      <w:rFonts w:ascii="Times New Roman" w:hAnsi="Times New Roman" w:eastAsia="宋体" w:cs="Times New Roman"/>
      <w:b/>
      <w:bCs/>
      <w:sz w:val="24"/>
      <w:szCs w:val="24"/>
    </w:rPr>
  </w:style>
  <w:style w:type="character" w:customStyle="1" w:styleId="2762">
    <w:name w:val="Char Char2521"/>
    <w:qFormat/>
    <w:uiPriority w:val="0"/>
    <w:rPr>
      <w:rFonts w:ascii="Courier New" w:hAnsi="Courier New" w:eastAsia="宋体" w:cs="Courier New"/>
      <w:sz w:val="20"/>
      <w:szCs w:val="20"/>
    </w:rPr>
  </w:style>
  <w:style w:type="character" w:customStyle="1" w:styleId="2763">
    <w:name w:val="Char Char149"/>
    <w:qFormat/>
    <w:uiPriority w:val="0"/>
    <w:rPr>
      <w:rFonts w:ascii="Times New Roman" w:hAnsi="Times New Roman" w:eastAsia="宋体" w:cs="Times New Roman"/>
      <w:b/>
      <w:bCs/>
      <w:sz w:val="24"/>
      <w:szCs w:val="24"/>
    </w:rPr>
  </w:style>
  <w:style w:type="character" w:customStyle="1" w:styleId="2764">
    <w:name w:val="样式 仿宋_GB2312 小四 黑色"/>
    <w:qFormat/>
    <w:uiPriority w:val="0"/>
    <w:rPr>
      <w:rFonts w:ascii="Times New Roman" w:hAnsi="Times New Roman" w:eastAsia="仿宋_GB2312" w:cs="Courier New"/>
      <w:color w:val="000000"/>
      <w:kern w:val="2"/>
      <w:sz w:val="24"/>
      <w:szCs w:val="24"/>
      <w:lang w:val="en-US" w:eastAsia="zh-CN" w:bidi="ar-SA"/>
    </w:rPr>
  </w:style>
  <w:style w:type="character" w:customStyle="1" w:styleId="2765">
    <w:name w:val="第四层条 Char1"/>
    <w:qFormat/>
    <w:uiPriority w:val="0"/>
    <w:rPr>
      <w:rFonts w:eastAsia="宋体"/>
      <w:b/>
      <w:bCs/>
      <w:kern w:val="2"/>
      <w:sz w:val="28"/>
      <w:szCs w:val="28"/>
      <w:lang w:val="en-US" w:eastAsia="zh-CN" w:bidi="ar-SA"/>
    </w:rPr>
  </w:style>
  <w:style w:type="character" w:customStyle="1" w:styleId="2766">
    <w:name w:val="标题 3 Char1 Char Char1"/>
    <w:qFormat/>
    <w:uiPriority w:val="0"/>
    <w:rPr>
      <w:rFonts w:hint="eastAsia" w:ascii="宋体" w:hAnsi="宋体" w:eastAsia="宋体"/>
      <w:b/>
      <w:bCs/>
      <w:kern w:val="2"/>
      <w:sz w:val="32"/>
      <w:szCs w:val="32"/>
      <w:lang w:val="en-US" w:eastAsia="zh-CN" w:bidi="ar-SA"/>
    </w:rPr>
  </w:style>
  <w:style w:type="character" w:customStyle="1" w:styleId="2767">
    <w:name w:val="引用 Char2"/>
    <w:qFormat/>
    <w:uiPriority w:val="29"/>
    <w:rPr>
      <w:rFonts w:ascii="Times New Roman" w:hAnsi="Times New Roman"/>
      <w:i/>
      <w:iCs/>
      <w:color w:val="000000"/>
      <w:kern w:val="2"/>
      <w:sz w:val="21"/>
      <w:szCs w:val="24"/>
    </w:rPr>
  </w:style>
  <w:style w:type="character" w:customStyle="1" w:styleId="2768">
    <w:name w:val="wbz2"/>
    <w:qFormat/>
    <w:uiPriority w:val="0"/>
    <w:rPr>
      <w:rFonts w:hint="default"/>
      <w:color w:val="000000"/>
      <w:spacing w:val="0"/>
      <w:sz w:val="18"/>
      <w:szCs w:val="18"/>
      <w:u w:val="none"/>
    </w:rPr>
  </w:style>
  <w:style w:type="character" w:customStyle="1" w:styleId="2769">
    <w:name w:val="注释标题 Char2"/>
    <w:qFormat/>
    <w:locked/>
    <w:uiPriority w:val="99"/>
    <w:rPr>
      <w:rFonts w:ascii="宋体" w:hAnsi="宋体" w:eastAsia="宋体" w:cs="宋体"/>
      <w:kern w:val="0"/>
      <w:sz w:val="24"/>
      <w:szCs w:val="20"/>
    </w:rPr>
  </w:style>
  <w:style w:type="character" w:customStyle="1" w:styleId="2770">
    <w:name w:val="Char Char182"/>
    <w:qFormat/>
    <w:uiPriority w:val="0"/>
    <w:rPr>
      <w:rFonts w:ascii="Arial" w:hAnsi="Arial" w:eastAsia="黑体" w:cs="Times New Roman"/>
      <w:b/>
      <w:bCs/>
      <w:sz w:val="24"/>
      <w:szCs w:val="24"/>
    </w:rPr>
  </w:style>
  <w:style w:type="character" w:customStyle="1" w:styleId="2771">
    <w:name w:val="bt21"/>
    <w:qFormat/>
    <w:uiPriority w:val="0"/>
    <w:rPr>
      <w:rFonts w:hint="eastAsia" w:ascii="黑体" w:eastAsia="黑体"/>
      <w:spacing w:val="400"/>
      <w:sz w:val="22"/>
      <w:szCs w:val="22"/>
    </w:rPr>
  </w:style>
  <w:style w:type="character" w:customStyle="1" w:styleId="2772">
    <w:name w:val="文本框五号 Char Char Char Char"/>
    <w:qFormat/>
    <w:uiPriority w:val="0"/>
    <w:rPr>
      <w:rFonts w:ascii="宋体" w:hAnsi="宋体" w:eastAsia="仿宋_GB2312" w:cs="Courier New"/>
      <w:kern w:val="2"/>
      <w:sz w:val="21"/>
      <w:szCs w:val="21"/>
      <w:lang w:val="en-US" w:eastAsia="zh-CN" w:bidi="ar-SA"/>
    </w:rPr>
  </w:style>
  <w:style w:type="character" w:customStyle="1" w:styleId="2773">
    <w:name w:val="Char Char572"/>
    <w:qFormat/>
    <w:uiPriority w:val="0"/>
    <w:rPr>
      <w:rFonts w:ascii="Arial" w:hAnsi="Arial" w:eastAsia="宋体" w:cs="Arial"/>
      <w:sz w:val="24"/>
      <w:szCs w:val="24"/>
      <w:shd w:val="pct20" w:color="auto" w:fill="auto"/>
    </w:rPr>
  </w:style>
  <w:style w:type="character" w:customStyle="1" w:styleId="2774">
    <w:name w:val="1级 标题 Char"/>
    <w:link w:val="2775"/>
    <w:qFormat/>
    <w:locked/>
    <w:uiPriority w:val="0"/>
    <w:rPr>
      <w:rFonts w:ascii="黑体" w:hAnsi="黑体" w:eastAsia="黑体"/>
      <w:b/>
      <w:color w:val="0000FF"/>
      <w:kern w:val="44"/>
      <w:sz w:val="36"/>
    </w:rPr>
  </w:style>
  <w:style w:type="paragraph" w:customStyle="1" w:styleId="2775">
    <w:name w:val="1级 标题"/>
    <w:basedOn w:val="1"/>
    <w:link w:val="2774"/>
    <w:qFormat/>
    <w:uiPriority w:val="0"/>
    <w:pPr>
      <w:keepNext/>
      <w:keepLines/>
      <w:spacing w:beforeLines="50" w:afterLines="50" w:line="360" w:lineRule="auto"/>
      <w:outlineLvl w:val="0"/>
    </w:pPr>
    <w:rPr>
      <w:rFonts w:ascii="黑体" w:hAnsi="黑体" w:eastAsia="黑体"/>
      <w:b/>
      <w:color w:val="0000FF"/>
      <w:kern w:val="44"/>
      <w:sz w:val="36"/>
      <w:szCs w:val="20"/>
    </w:rPr>
  </w:style>
  <w:style w:type="character" w:customStyle="1" w:styleId="2776">
    <w:name w:val="zhenwen14"/>
    <w:qFormat/>
    <w:uiPriority w:val="0"/>
  </w:style>
  <w:style w:type="character" w:customStyle="1" w:styleId="2777">
    <w:name w:val="样式4 Char Char"/>
    <w:qFormat/>
    <w:locked/>
    <w:uiPriority w:val="0"/>
    <w:rPr>
      <w:rFonts w:ascii="宋体" w:hAnsi="宋体" w:eastAsia="宋体"/>
      <w:b/>
      <w:bCs/>
      <w:kern w:val="24"/>
      <w:sz w:val="24"/>
      <w:szCs w:val="24"/>
    </w:rPr>
  </w:style>
  <w:style w:type="character" w:customStyle="1" w:styleId="2778">
    <w:name w:val="样式 正文缩进正文（首行缩进两字） + 宋体 四号 Char"/>
    <w:link w:val="2779"/>
    <w:qFormat/>
    <w:uiPriority w:val="0"/>
    <w:rPr>
      <w:rFonts w:ascii="宋体" w:hAnsi="宋体"/>
      <w:sz w:val="28"/>
    </w:rPr>
  </w:style>
  <w:style w:type="paragraph" w:customStyle="1" w:styleId="2779">
    <w:name w:val="样式 正文缩进正文（首行缩进两字） + 宋体 四号"/>
    <w:basedOn w:val="21"/>
    <w:link w:val="2778"/>
    <w:qFormat/>
    <w:uiPriority w:val="0"/>
    <w:pPr>
      <w:ind w:firstLine="200"/>
    </w:pPr>
    <w:rPr>
      <w:rFonts w:ascii="宋体" w:hAnsi="宋体"/>
      <w:kern w:val="0"/>
      <w:sz w:val="28"/>
    </w:rPr>
  </w:style>
  <w:style w:type="character" w:customStyle="1" w:styleId="2780">
    <w:name w:val="环 5级 1 Char"/>
    <w:link w:val="2781"/>
    <w:qFormat/>
    <w:uiPriority w:val="0"/>
    <w:rPr>
      <w:rFonts w:ascii="宋体" w:hAnsi="宋体"/>
      <w:b/>
      <w:sz w:val="28"/>
      <w:szCs w:val="28"/>
    </w:rPr>
  </w:style>
  <w:style w:type="paragraph" w:customStyle="1" w:styleId="2781">
    <w:name w:val="环 5级 1"/>
    <w:basedOn w:val="1"/>
    <w:link w:val="2780"/>
    <w:qFormat/>
    <w:uiPriority w:val="0"/>
    <w:pPr>
      <w:ind w:firstLine="200" w:firstLineChars="200"/>
    </w:pPr>
    <w:rPr>
      <w:rFonts w:ascii="宋体" w:hAnsi="宋体"/>
      <w:b/>
      <w:kern w:val="0"/>
      <w:sz w:val="28"/>
      <w:szCs w:val="28"/>
    </w:rPr>
  </w:style>
  <w:style w:type="character" w:customStyle="1" w:styleId="2782">
    <w:name w:val="main11"/>
    <w:qFormat/>
    <w:uiPriority w:val="0"/>
    <w:rPr>
      <w:sz w:val="22"/>
      <w:szCs w:val="22"/>
    </w:rPr>
  </w:style>
  <w:style w:type="character" w:customStyle="1" w:styleId="2783">
    <w:name w:val="标准 Char Char"/>
    <w:link w:val="1086"/>
    <w:qFormat/>
    <w:uiPriority w:val="0"/>
    <w:rPr>
      <w:sz w:val="21"/>
    </w:rPr>
  </w:style>
  <w:style w:type="character" w:customStyle="1" w:styleId="2784">
    <w:name w:val="Char Char612"/>
    <w:qFormat/>
    <w:uiPriority w:val="0"/>
    <w:rPr>
      <w:rFonts w:ascii="Times New Roman" w:hAnsi="Times New Roman" w:eastAsia="宋体" w:cs="Times New Roman"/>
      <w:sz w:val="18"/>
      <w:szCs w:val="18"/>
    </w:rPr>
  </w:style>
  <w:style w:type="character" w:customStyle="1" w:styleId="2785">
    <w:name w:val="字元 Char Char3"/>
    <w:qFormat/>
    <w:uiPriority w:val="0"/>
    <w:rPr>
      <w:rFonts w:ascii="黑体" w:eastAsia="黑体"/>
      <w:bCs/>
      <w:color w:val="000000"/>
      <w:kern w:val="2"/>
      <w:sz w:val="30"/>
      <w:szCs w:val="24"/>
      <w:lang w:val="en-US" w:eastAsia="zh-CN" w:bidi="ar-SA"/>
    </w:rPr>
  </w:style>
  <w:style w:type="character" w:customStyle="1" w:styleId="2786">
    <w:name w:val="引用 Char"/>
    <w:link w:val="2787"/>
    <w:qFormat/>
    <w:uiPriority w:val="0"/>
    <w:rPr>
      <w:rFonts w:ascii="Calibri" w:hAnsi="Calibri"/>
      <w:i/>
      <w:iCs/>
      <w:sz w:val="22"/>
    </w:rPr>
  </w:style>
  <w:style w:type="paragraph" w:customStyle="1" w:styleId="2787">
    <w:name w:val="引用1"/>
    <w:basedOn w:val="1"/>
    <w:next w:val="1"/>
    <w:link w:val="2786"/>
    <w:qFormat/>
    <w:uiPriority w:val="0"/>
    <w:pPr>
      <w:spacing w:before="200" w:line="276" w:lineRule="auto"/>
      <w:ind w:left="360" w:right="360"/>
    </w:pPr>
    <w:rPr>
      <w:rFonts w:ascii="Calibri" w:hAnsi="Calibri"/>
      <w:i/>
      <w:iCs/>
      <w:kern w:val="0"/>
      <w:sz w:val="22"/>
      <w:szCs w:val="20"/>
    </w:rPr>
  </w:style>
  <w:style w:type="character" w:customStyle="1" w:styleId="2788">
    <w:name w:val="Char Char302"/>
    <w:qFormat/>
    <w:uiPriority w:val="0"/>
    <w:rPr>
      <w:rFonts w:ascii="Arial" w:hAnsi="Arial" w:eastAsia="黑体"/>
      <w:b/>
      <w:kern w:val="2"/>
      <w:sz w:val="28"/>
      <w:lang w:val="en-US" w:eastAsia="zh-CN" w:bidi="ar-SA"/>
    </w:rPr>
  </w:style>
  <w:style w:type="character" w:customStyle="1" w:styleId="2789">
    <w:name w:val="HTML 缩写11"/>
    <w:qFormat/>
    <w:uiPriority w:val="0"/>
    <w:rPr>
      <w:rFonts w:hint="default"/>
    </w:rPr>
  </w:style>
  <w:style w:type="character" w:customStyle="1" w:styleId="2790">
    <w:name w:val="Char Char138"/>
    <w:qFormat/>
    <w:uiPriority w:val="0"/>
    <w:rPr>
      <w:rFonts w:ascii="Arial" w:hAnsi="Arial" w:eastAsia="黑体" w:cs="Times New Roman"/>
      <w:sz w:val="24"/>
      <w:szCs w:val="24"/>
    </w:rPr>
  </w:style>
  <w:style w:type="character" w:customStyle="1" w:styleId="2791">
    <w:name w:val="Char Char562"/>
    <w:qFormat/>
    <w:uiPriority w:val="0"/>
    <w:rPr>
      <w:rFonts w:ascii="Arial" w:hAnsi="Arial" w:eastAsia="宋体" w:cs="Times New Roman"/>
      <w:snapToGrid/>
      <w:sz w:val="28"/>
      <w:szCs w:val="20"/>
    </w:rPr>
  </w:style>
  <w:style w:type="character" w:customStyle="1" w:styleId="2792">
    <w:name w:val="段落-首行缩进:  0.74 厘米 行距: 1.5 倍行距 Char"/>
    <w:qFormat/>
    <w:uiPriority w:val="0"/>
    <w:rPr>
      <w:rFonts w:ascii="宋体" w:hAnsi="宋体" w:eastAsia="宋体" w:cs="宋体"/>
      <w:kern w:val="2"/>
      <w:sz w:val="28"/>
      <w:szCs w:val="28"/>
      <w:lang w:val="en-US" w:eastAsia="zh-CN" w:bidi="ar-SA"/>
    </w:rPr>
  </w:style>
  <w:style w:type="character" w:customStyle="1" w:styleId="2793">
    <w:name w:val="正文文字 3 Char Char6"/>
    <w:qFormat/>
    <w:uiPriority w:val="0"/>
    <w:rPr>
      <w:rFonts w:hint="eastAsia" w:ascii="仿宋_GB2312" w:hAnsi="宋体" w:eastAsia="仿宋_GB2312"/>
      <w:sz w:val="24"/>
    </w:rPr>
  </w:style>
  <w:style w:type="character" w:customStyle="1" w:styleId="2794">
    <w:name w:val="Char Char84"/>
    <w:qFormat/>
    <w:uiPriority w:val="0"/>
    <w:rPr>
      <w:rFonts w:eastAsia="宋体"/>
      <w:b/>
      <w:bCs/>
      <w:kern w:val="2"/>
      <w:sz w:val="28"/>
      <w:szCs w:val="28"/>
      <w:lang w:val="en-US" w:eastAsia="zh-CN" w:bidi="ar-SA"/>
    </w:rPr>
  </w:style>
  <w:style w:type="character" w:customStyle="1" w:styleId="2795">
    <w:name w:val="Char Char322"/>
    <w:qFormat/>
    <w:uiPriority w:val="0"/>
    <w:rPr>
      <w:rFonts w:ascii="宋体" w:hAnsi="宋体" w:eastAsia="宋体" w:cs="宋体"/>
      <w:sz w:val="24"/>
      <w:szCs w:val="24"/>
      <w:lang w:val="en-US" w:eastAsia="zh-CN" w:bidi="ar-SA"/>
    </w:rPr>
  </w:style>
  <w:style w:type="character" w:customStyle="1" w:styleId="2796">
    <w:name w:val="表格编号 Char Char"/>
    <w:link w:val="932"/>
    <w:qFormat/>
    <w:uiPriority w:val="0"/>
    <w:rPr>
      <w:kern w:val="2"/>
      <w:sz w:val="24"/>
    </w:rPr>
  </w:style>
  <w:style w:type="character" w:customStyle="1" w:styleId="2797">
    <w:name w:val="Char Char277"/>
    <w:qFormat/>
    <w:uiPriority w:val="0"/>
    <w:rPr>
      <w:rFonts w:ascii="楷体_GB2312" w:eastAsia="楷体_GB2312"/>
      <w:kern w:val="2"/>
      <w:sz w:val="28"/>
      <w:lang w:val="en-US" w:eastAsia="zh-CN" w:bidi="ar-SA"/>
    </w:rPr>
  </w:style>
  <w:style w:type="character" w:customStyle="1" w:styleId="2798">
    <w:name w:val="4款 Char"/>
    <w:link w:val="2799"/>
    <w:qFormat/>
    <w:uiPriority w:val="0"/>
    <w:rPr>
      <w:bCs/>
      <w:sz w:val="24"/>
      <w:szCs w:val="24"/>
    </w:rPr>
  </w:style>
  <w:style w:type="paragraph" w:customStyle="1" w:styleId="2799">
    <w:name w:val="4款"/>
    <w:link w:val="2798"/>
    <w:qFormat/>
    <w:uiPriority w:val="0"/>
    <w:pPr>
      <w:tabs>
        <w:tab w:val="left" w:pos="1680"/>
        <w:tab w:val="left" w:pos="2976"/>
      </w:tabs>
    </w:pPr>
    <w:rPr>
      <w:rFonts w:ascii="Times New Roman" w:hAnsi="Times New Roman" w:eastAsia="宋体" w:cs="Times New Roman"/>
      <w:szCs w:val="24"/>
      <w:lang w:val="en-US" w:eastAsia="zh-CN" w:bidi="ar-SA"/>
    </w:rPr>
  </w:style>
  <w:style w:type="paragraph" w:customStyle="1" w:styleId="2800">
    <w:name w:val="4 级标题"/>
    <w:basedOn w:val="1"/>
    <w:link w:val="2962"/>
    <w:qFormat/>
    <w:uiPriority w:val="0"/>
    <w:pPr>
      <w:keepNext/>
      <w:keepLines/>
      <w:tabs>
        <w:tab w:val="left" w:pos="1680"/>
        <w:tab w:val="left" w:pos="2976"/>
      </w:tabs>
      <w:adjustRightInd w:val="0"/>
      <w:snapToGrid w:val="0"/>
      <w:spacing w:before="50" w:beforeLines="50" w:after="50" w:afterLines="50"/>
      <w:outlineLvl w:val="3"/>
    </w:pPr>
    <w:rPr>
      <w:rFonts w:ascii="Calibri" w:hAnsi="Calibri"/>
      <w:b/>
      <w:bCs/>
      <w:kern w:val="0"/>
      <w:sz w:val="24"/>
      <w:szCs w:val="28"/>
    </w:rPr>
  </w:style>
  <w:style w:type="character" w:customStyle="1" w:styleId="2801">
    <w:name w:val="Char Char127"/>
    <w:qFormat/>
    <w:uiPriority w:val="0"/>
    <w:rPr>
      <w:rFonts w:ascii="Arial" w:hAnsi="Arial" w:eastAsia="黑体" w:cs="Times New Roman"/>
      <w:szCs w:val="21"/>
    </w:rPr>
  </w:style>
  <w:style w:type="character" w:customStyle="1" w:styleId="2802">
    <w:name w:val="Char Char281"/>
    <w:qFormat/>
    <w:uiPriority w:val="0"/>
    <w:rPr>
      <w:rFonts w:ascii="Times New Roman" w:hAnsi="Times New Roman" w:eastAsia="宋体" w:cs="Times New Roman"/>
      <w:szCs w:val="24"/>
      <w:shd w:val="clear" w:color="auto" w:fill="000080"/>
    </w:rPr>
  </w:style>
  <w:style w:type="character" w:customStyle="1" w:styleId="2803">
    <w:name w:val="第四层条 Char5"/>
    <w:qFormat/>
    <w:uiPriority w:val="0"/>
    <w:rPr>
      <w:rFonts w:ascii="Calibri" w:hAnsi="Calibri" w:eastAsia="宋体"/>
      <w:b/>
      <w:bCs/>
      <w:kern w:val="2"/>
      <w:sz w:val="28"/>
      <w:szCs w:val="28"/>
      <w:lang w:val="en-US" w:eastAsia="zh-CN" w:bidi="ar-SA"/>
    </w:rPr>
  </w:style>
  <w:style w:type="character" w:customStyle="1" w:styleId="2804">
    <w:name w:val="Char Char69"/>
    <w:qFormat/>
    <w:uiPriority w:val="0"/>
    <w:rPr>
      <w:rFonts w:ascii="宋体" w:hAnsi="宋体" w:eastAsia="宋体" w:cs="宋体"/>
      <w:kern w:val="0"/>
      <w:sz w:val="24"/>
      <w:szCs w:val="24"/>
    </w:rPr>
  </w:style>
  <w:style w:type="character" w:customStyle="1" w:styleId="2805">
    <w:name w:val="字元 Char Char"/>
    <w:qFormat/>
    <w:uiPriority w:val="0"/>
    <w:rPr>
      <w:rFonts w:ascii="黑体" w:eastAsia="黑体"/>
      <w:bCs/>
      <w:color w:val="000000"/>
      <w:kern w:val="2"/>
      <w:sz w:val="30"/>
      <w:szCs w:val="24"/>
      <w:lang w:val="en-US" w:eastAsia="zh-CN" w:bidi="ar-SA"/>
    </w:rPr>
  </w:style>
  <w:style w:type="character" w:customStyle="1" w:styleId="2806">
    <w:name w:val="表格1 Char Char"/>
    <w:qFormat/>
    <w:uiPriority w:val="0"/>
    <w:rPr>
      <w:rFonts w:ascii="宋体" w:hAnsi="Times New Roman" w:eastAsia="宋体" w:cs="Times New Roman"/>
      <w:sz w:val="24"/>
      <w:szCs w:val="20"/>
    </w:rPr>
  </w:style>
  <w:style w:type="character" w:customStyle="1" w:styleId="2807">
    <w:name w:val="Char Char195"/>
    <w:qFormat/>
    <w:uiPriority w:val="0"/>
    <w:rPr>
      <w:rFonts w:ascii="Times New Roman" w:hAnsi="Times New Roman" w:eastAsia="宋体" w:cs="Times New Roman"/>
      <w:b/>
      <w:bCs/>
      <w:sz w:val="28"/>
      <w:szCs w:val="28"/>
    </w:rPr>
  </w:style>
  <w:style w:type="character" w:customStyle="1" w:styleId="2808">
    <w:name w:val="页脚 Char Char"/>
    <w:qFormat/>
    <w:uiPriority w:val="0"/>
    <w:rPr>
      <w:rFonts w:ascii="Times New Roman" w:hAnsi="Times New Roman" w:eastAsia="宋体" w:cs="Times New Roman"/>
      <w:sz w:val="18"/>
      <w:szCs w:val="18"/>
    </w:rPr>
  </w:style>
  <w:style w:type="character" w:customStyle="1" w:styleId="2809">
    <w:name w:val="888-正文 Char Char"/>
    <w:qFormat/>
    <w:uiPriority w:val="0"/>
    <w:rPr>
      <w:sz w:val="24"/>
      <w:szCs w:val="24"/>
    </w:rPr>
  </w:style>
  <w:style w:type="character" w:customStyle="1" w:styleId="2810">
    <w:name w:val="Char Char213"/>
    <w:qFormat/>
    <w:uiPriority w:val="0"/>
    <w:rPr>
      <w:rFonts w:eastAsia="宋体"/>
      <w:kern w:val="2"/>
      <w:sz w:val="18"/>
      <w:szCs w:val="18"/>
      <w:lang w:val="en-US" w:eastAsia="zh-CN" w:bidi="ar-SA"/>
    </w:rPr>
  </w:style>
  <w:style w:type="character" w:customStyle="1" w:styleId="2811">
    <w:name w:val="正文样式1111 Char Char"/>
    <w:qFormat/>
    <w:uiPriority w:val="0"/>
    <w:rPr>
      <w:rFonts w:hint="eastAsia" w:ascii="宋体" w:hAnsi="宋体" w:eastAsia="宋体"/>
      <w:color w:val="000000"/>
      <w:kern w:val="2"/>
      <w:sz w:val="24"/>
      <w:szCs w:val="24"/>
      <w:lang w:val="en-US" w:eastAsia="zh-CN" w:bidi="ar-SA"/>
    </w:rPr>
  </w:style>
  <w:style w:type="character" w:customStyle="1" w:styleId="2812">
    <w:name w:val="f9wen1"/>
    <w:qFormat/>
    <w:uiPriority w:val="0"/>
    <w:rPr>
      <w:spacing w:val="12"/>
      <w:sz w:val="18"/>
      <w:szCs w:val="18"/>
      <w:u w:val="none"/>
    </w:rPr>
  </w:style>
  <w:style w:type="character" w:customStyle="1" w:styleId="2813">
    <w:name w:val="bg正文首行缩进 Char"/>
    <w:qFormat/>
    <w:locked/>
    <w:uiPriority w:val="0"/>
    <w:rPr>
      <w:rFonts w:eastAsia="宋体" w:cs="Times New Roman"/>
      <w:kern w:val="2"/>
      <w:sz w:val="24"/>
      <w:lang w:val="en-US" w:eastAsia="zh-CN" w:bidi="ar-SA"/>
    </w:rPr>
  </w:style>
  <w:style w:type="character" w:customStyle="1" w:styleId="2814">
    <w:name w:val="Char Char335"/>
    <w:qFormat/>
    <w:uiPriority w:val="0"/>
    <w:rPr>
      <w:rFonts w:eastAsia="仿宋_GB2312"/>
      <w:kern w:val="2"/>
      <w:sz w:val="32"/>
      <w:szCs w:val="24"/>
      <w:lang w:val="en-US" w:eastAsia="zh-CN" w:bidi="ar-SA"/>
    </w:rPr>
  </w:style>
  <w:style w:type="character" w:customStyle="1" w:styleId="2815">
    <w:name w:val="HTML 代码1"/>
    <w:qFormat/>
    <w:uiPriority w:val="0"/>
    <w:rPr>
      <w:rFonts w:hint="default" w:ascii="Courier New"/>
    </w:rPr>
  </w:style>
  <w:style w:type="character" w:customStyle="1" w:styleId="2816">
    <w:name w:val="1.1标题 2 Char Char"/>
    <w:qFormat/>
    <w:uiPriority w:val="0"/>
    <w:rPr>
      <w:rFonts w:hint="default" w:ascii="Arial" w:hAnsi="Arial" w:eastAsia="宋体" w:cs="Times New Roman"/>
      <w:b/>
      <w:kern w:val="44"/>
      <w:sz w:val="28"/>
      <w:szCs w:val="20"/>
    </w:rPr>
  </w:style>
  <w:style w:type="character" w:customStyle="1" w:styleId="2817">
    <w:name w:val="unnamed1"/>
    <w:qFormat/>
    <w:uiPriority w:val="0"/>
  </w:style>
  <w:style w:type="character" w:customStyle="1" w:styleId="2818">
    <w:name w:val="Char Char352"/>
    <w:qFormat/>
    <w:uiPriority w:val="0"/>
    <w:rPr>
      <w:rFonts w:eastAsia="宋体"/>
      <w:kern w:val="2"/>
      <w:sz w:val="18"/>
      <w:lang w:val="en-US" w:eastAsia="zh-CN" w:bidi="ar-SA"/>
    </w:rPr>
  </w:style>
  <w:style w:type="character" w:customStyle="1" w:styleId="2819">
    <w:name w:val="Char Char732"/>
    <w:qFormat/>
    <w:uiPriority w:val="0"/>
    <w:rPr>
      <w:rFonts w:ascii="宋体" w:hAnsi="Times New Roman"/>
      <w:kern w:val="2"/>
      <w:sz w:val="18"/>
      <w:szCs w:val="18"/>
    </w:rPr>
  </w:style>
  <w:style w:type="character" w:customStyle="1" w:styleId="2820">
    <w:name w:val="Font Style330"/>
    <w:qFormat/>
    <w:uiPriority w:val="0"/>
    <w:rPr>
      <w:rFonts w:ascii="宋体" w:eastAsia="宋体" w:cs="宋体"/>
      <w:spacing w:val="-10"/>
      <w:sz w:val="12"/>
      <w:szCs w:val="12"/>
    </w:rPr>
  </w:style>
  <w:style w:type="character" w:customStyle="1" w:styleId="2821">
    <w:name w:val="正文文字 2 Char Char2"/>
    <w:qFormat/>
    <w:uiPriority w:val="0"/>
    <w:rPr>
      <w:rFonts w:eastAsia="宋体"/>
      <w:kern w:val="2"/>
      <w:sz w:val="21"/>
      <w:szCs w:val="24"/>
      <w:lang w:val="en-US" w:eastAsia="zh-CN" w:bidi="ar-SA"/>
    </w:rPr>
  </w:style>
  <w:style w:type="character" w:customStyle="1" w:styleId="2822">
    <w:name w:val="批注文字 Char Char"/>
    <w:qFormat/>
    <w:uiPriority w:val="0"/>
    <w:rPr>
      <w:rFonts w:ascii="Times New Roman" w:hAnsi="Times New Roman" w:eastAsia="宋体" w:cs="Times New Roman"/>
      <w:szCs w:val="20"/>
    </w:rPr>
  </w:style>
  <w:style w:type="character" w:customStyle="1" w:styleId="2823">
    <w:name w:val="标题10"/>
    <w:qFormat/>
    <w:uiPriority w:val="0"/>
  </w:style>
  <w:style w:type="character" w:customStyle="1" w:styleId="2824">
    <w:name w:val="arr1"/>
    <w:qFormat/>
    <w:uiPriority w:val="0"/>
  </w:style>
  <w:style w:type="character" w:customStyle="1" w:styleId="2825">
    <w:name w:val="明显引用 Char"/>
    <w:link w:val="2826"/>
    <w:qFormat/>
    <w:uiPriority w:val="0"/>
    <w:rPr>
      <w:rFonts w:ascii="Calibri" w:hAnsi="Calibri"/>
      <w:b/>
      <w:bCs/>
      <w:i/>
      <w:iCs/>
      <w:sz w:val="22"/>
    </w:rPr>
  </w:style>
  <w:style w:type="paragraph" w:customStyle="1" w:styleId="2826">
    <w:name w:val="明显引用1"/>
    <w:basedOn w:val="1"/>
    <w:next w:val="1"/>
    <w:link w:val="2825"/>
    <w:qFormat/>
    <w:uiPriority w:val="0"/>
    <w:pPr>
      <w:pBdr>
        <w:bottom w:val="single" w:color="auto" w:sz="4" w:space="1"/>
      </w:pBdr>
      <w:spacing w:before="200" w:after="280" w:line="276" w:lineRule="auto"/>
      <w:ind w:left="1008" w:right="1152"/>
    </w:pPr>
    <w:rPr>
      <w:rFonts w:ascii="Calibri" w:hAnsi="Calibri"/>
      <w:b/>
      <w:bCs/>
      <w:i/>
      <w:iCs/>
      <w:kern w:val="0"/>
      <w:sz w:val="22"/>
      <w:szCs w:val="20"/>
    </w:rPr>
  </w:style>
  <w:style w:type="character" w:customStyle="1" w:styleId="2827">
    <w:name w:val="Char Char453"/>
    <w:qFormat/>
    <w:uiPriority w:val="0"/>
    <w:rPr>
      <w:rFonts w:ascii="Cambria" w:hAnsi="Cambria" w:eastAsia="宋体"/>
      <w:b/>
      <w:bCs/>
      <w:sz w:val="32"/>
      <w:szCs w:val="32"/>
      <w:lang w:val="en-US" w:eastAsia="zh-CN" w:bidi="ar-SA"/>
    </w:rPr>
  </w:style>
  <w:style w:type="character" w:customStyle="1" w:styleId="2828">
    <w:name w:val="第四层条 Char2"/>
    <w:qFormat/>
    <w:uiPriority w:val="0"/>
    <w:rPr>
      <w:rFonts w:eastAsia="宋体"/>
      <w:b/>
      <w:bCs/>
      <w:kern w:val="2"/>
      <w:sz w:val="28"/>
      <w:szCs w:val="28"/>
      <w:lang w:val="en-US" w:eastAsia="zh-CN" w:bidi="ar-SA"/>
    </w:rPr>
  </w:style>
  <w:style w:type="character" w:customStyle="1" w:styleId="2829">
    <w:name w:val="Char Char267"/>
    <w:qFormat/>
    <w:uiPriority w:val="0"/>
    <w:rPr>
      <w:rFonts w:ascii="宋体" w:hAnsi="宋体" w:eastAsia="宋体" w:cs="宋体"/>
      <w:sz w:val="24"/>
      <w:szCs w:val="24"/>
      <w:lang w:val="en-US" w:eastAsia="zh-CN" w:bidi="ar-SA"/>
    </w:rPr>
  </w:style>
  <w:style w:type="character" w:customStyle="1" w:styleId="2830">
    <w:name w:val="Font Style347"/>
    <w:qFormat/>
    <w:uiPriority w:val="0"/>
    <w:rPr>
      <w:rFonts w:ascii="Times New Roman" w:hAnsi="Times New Roman" w:cs="Times New Roman"/>
      <w:sz w:val="14"/>
      <w:szCs w:val="14"/>
    </w:rPr>
  </w:style>
  <w:style w:type="character" w:customStyle="1" w:styleId="2831">
    <w:name w:val="封面1"/>
    <w:qFormat/>
    <w:uiPriority w:val="0"/>
    <w:rPr>
      <w:rFonts w:hint="default" w:eastAsia="黑体"/>
      <w:b/>
      <w:sz w:val="32"/>
    </w:rPr>
  </w:style>
  <w:style w:type="character" w:customStyle="1" w:styleId="2832">
    <w:name w:val="h4 Char1"/>
    <w:qFormat/>
    <w:uiPriority w:val="0"/>
    <w:rPr>
      <w:rFonts w:ascii="Arial" w:hAnsi="Arial" w:eastAsia="黑体"/>
      <w:b/>
      <w:bCs/>
      <w:kern w:val="2"/>
      <w:sz w:val="28"/>
      <w:szCs w:val="28"/>
      <w:lang w:val="en-US" w:eastAsia="zh-CN" w:bidi="ar-SA"/>
    </w:rPr>
  </w:style>
  <w:style w:type="character" w:customStyle="1" w:styleId="2833">
    <w:name w:val="标准条文 Char Char"/>
    <w:link w:val="2834"/>
    <w:qFormat/>
    <w:uiPriority w:val="0"/>
    <w:rPr>
      <w:bCs/>
      <w:szCs w:val="24"/>
    </w:rPr>
  </w:style>
  <w:style w:type="paragraph" w:customStyle="1" w:styleId="2834">
    <w:name w:val="标准条文"/>
    <w:link w:val="2833"/>
    <w:qFormat/>
    <w:uiPriority w:val="0"/>
    <w:pPr>
      <w:spacing w:beforeLines="20" w:afterLines="20"/>
      <w:ind w:firstLine="200" w:firstLineChars="200"/>
    </w:pPr>
    <w:rPr>
      <w:rFonts w:ascii="Times New Roman" w:hAnsi="Times New Roman" w:eastAsia="宋体" w:cs="Times New Roman"/>
      <w:bCs/>
      <w:szCs w:val="24"/>
      <w:lang w:val="en-US" w:eastAsia="zh-CN" w:bidi="ar-SA"/>
    </w:rPr>
  </w:style>
  <w:style w:type="character" w:customStyle="1" w:styleId="2835">
    <w:name w:val="15"/>
    <w:qFormat/>
    <w:uiPriority w:val="0"/>
    <w:rPr>
      <w:rFonts w:hint="default" w:ascii="Calibri" w:hAnsi="Calibri"/>
    </w:rPr>
  </w:style>
  <w:style w:type="character" w:customStyle="1" w:styleId="2836">
    <w:name w:val="Char Char622"/>
    <w:qFormat/>
    <w:uiPriority w:val="0"/>
    <w:rPr>
      <w:rFonts w:ascii="Cambria" w:hAnsi="Cambria" w:eastAsia="宋体" w:cs="Times New Roman"/>
      <w:b/>
      <w:bCs/>
      <w:kern w:val="0"/>
      <w:sz w:val="32"/>
      <w:szCs w:val="32"/>
    </w:rPr>
  </w:style>
  <w:style w:type="character" w:customStyle="1" w:styleId="2837">
    <w:name w:val="目标题 1) Char Char1"/>
    <w:qFormat/>
    <w:uiPriority w:val="0"/>
    <w:rPr>
      <w:rFonts w:hint="eastAsia" w:ascii="Arial" w:hAnsi="Arial" w:eastAsia="黑体"/>
      <w:sz w:val="24"/>
    </w:rPr>
  </w:style>
  <w:style w:type="character" w:customStyle="1" w:styleId="2838">
    <w:name w:val="图表注 Char Char"/>
    <w:qFormat/>
    <w:uiPriority w:val="0"/>
    <w:rPr>
      <w:rFonts w:ascii="黑体" w:hAnsi="Arial" w:eastAsia="黑体" w:cs="Arial"/>
      <w:kern w:val="2"/>
      <w:sz w:val="21"/>
      <w:lang w:val="en-US" w:eastAsia="zh-CN" w:bidi="ar-SA"/>
    </w:rPr>
  </w:style>
  <w:style w:type="character" w:customStyle="1" w:styleId="2839">
    <w:name w:val="正文文字 2 Char Char5"/>
    <w:qFormat/>
    <w:uiPriority w:val="0"/>
    <w:rPr>
      <w:rFonts w:ascii="Times New Roman" w:hAnsi="Times New Roman" w:eastAsia="宋体" w:cs="Times New Roman"/>
      <w:sz w:val="28"/>
      <w:szCs w:val="24"/>
    </w:rPr>
  </w:style>
  <w:style w:type="character" w:customStyle="1" w:styleId="2840">
    <w:name w:val="尾注文本 字符1"/>
    <w:qFormat/>
    <w:uiPriority w:val="0"/>
    <w:rPr>
      <w:rFonts w:ascii="宋体" w:eastAsia="宋体"/>
      <w:sz w:val="24"/>
    </w:rPr>
  </w:style>
  <w:style w:type="character" w:customStyle="1" w:styleId="2841">
    <w:name w:val="ft610"/>
    <w:qFormat/>
    <w:uiPriority w:val="0"/>
    <w:rPr>
      <w:rFonts w:hint="default" w:ascii="Times" w:hAnsi="Times" w:cs="Times"/>
      <w:color w:val="000000"/>
      <w:sz w:val="24"/>
      <w:szCs w:val="24"/>
    </w:rPr>
  </w:style>
  <w:style w:type="character" w:customStyle="1" w:styleId="2842">
    <w:name w:val="Body Text Indent 3 Char1"/>
    <w:qFormat/>
    <w:uiPriority w:val="0"/>
    <w:rPr>
      <w:rFonts w:hint="default" w:eastAsia="宋体"/>
      <w:kern w:val="2"/>
      <w:sz w:val="16"/>
      <w:lang w:val="en-US" w:eastAsia="zh-CN"/>
    </w:rPr>
  </w:style>
  <w:style w:type="character" w:customStyle="1" w:styleId="2843">
    <w:name w:val="font2"/>
    <w:qFormat/>
    <w:uiPriority w:val="0"/>
    <w:rPr>
      <w:rFonts w:hint="eastAsia" w:ascii="宋体" w:hAnsi="宋体" w:eastAsia="宋体"/>
      <w:color w:val="000000"/>
      <w:sz w:val="24"/>
      <w:szCs w:val="24"/>
    </w:rPr>
  </w:style>
  <w:style w:type="character" w:customStyle="1" w:styleId="2844">
    <w:name w:val="Char Char193"/>
    <w:qFormat/>
    <w:uiPriority w:val="0"/>
    <w:rPr>
      <w:rFonts w:ascii="Times New Roman" w:hAnsi="Times New Roman" w:eastAsia="宋体" w:cs="Times New Roman"/>
      <w:b/>
      <w:bCs/>
      <w:sz w:val="28"/>
      <w:szCs w:val="28"/>
    </w:rPr>
  </w:style>
  <w:style w:type="character" w:customStyle="1" w:styleId="2845">
    <w:name w:val="infodetail"/>
    <w:qFormat/>
    <w:uiPriority w:val="0"/>
  </w:style>
  <w:style w:type="character" w:customStyle="1" w:styleId="2846">
    <w:name w:val="信息标题 Char2"/>
    <w:qFormat/>
    <w:locked/>
    <w:uiPriority w:val="99"/>
    <w:rPr>
      <w:rFonts w:ascii="Arial" w:hAnsi="Arial" w:eastAsia="宋体" w:cs="Arial"/>
      <w:sz w:val="24"/>
      <w:szCs w:val="24"/>
      <w:shd w:val="pct20" w:color="auto" w:fill="auto"/>
    </w:rPr>
  </w:style>
  <w:style w:type="character" w:customStyle="1" w:styleId="2847">
    <w:name w:val="Char Char136"/>
    <w:qFormat/>
    <w:uiPriority w:val="0"/>
    <w:rPr>
      <w:rFonts w:ascii="Arial" w:hAnsi="Arial" w:eastAsia="黑体" w:cs="Times New Roman"/>
      <w:sz w:val="24"/>
      <w:szCs w:val="24"/>
    </w:rPr>
  </w:style>
  <w:style w:type="character" w:customStyle="1" w:styleId="2848">
    <w:name w:val="f14b1"/>
    <w:qFormat/>
    <w:uiPriority w:val="0"/>
    <w:rPr>
      <w:b/>
      <w:bCs/>
      <w:sz w:val="21"/>
      <w:szCs w:val="21"/>
    </w:rPr>
  </w:style>
  <w:style w:type="character" w:customStyle="1" w:styleId="2849">
    <w:name w:val="Char Char63"/>
    <w:qFormat/>
    <w:locked/>
    <w:uiPriority w:val="0"/>
    <w:rPr>
      <w:rFonts w:eastAsia="宋体"/>
      <w:kern w:val="44"/>
      <w:sz w:val="44"/>
      <w:szCs w:val="44"/>
      <w:lang w:val="en-US" w:eastAsia="zh-CN" w:bidi="ar-SA"/>
    </w:rPr>
  </w:style>
  <w:style w:type="character" w:customStyle="1" w:styleId="2850">
    <w:name w:val="正文文字1 Char"/>
    <w:link w:val="2851"/>
    <w:qFormat/>
    <w:uiPriority w:val="99"/>
    <w:rPr>
      <w:snapToGrid w:val="0"/>
      <w:sz w:val="18"/>
      <w:szCs w:val="18"/>
    </w:rPr>
  </w:style>
  <w:style w:type="paragraph" w:customStyle="1" w:styleId="2851">
    <w:name w:val="正文文字1"/>
    <w:basedOn w:val="34"/>
    <w:link w:val="2850"/>
    <w:qFormat/>
    <w:uiPriority w:val="0"/>
    <w:pPr>
      <w:ind w:left="-57" w:right="-57"/>
      <w:jc w:val="center"/>
    </w:pPr>
    <w:rPr>
      <w:snapToGrid w:val="0"/>
      <w:kern w:val="0"/>
      <w:sz w:val="18"/>
      <w:szCs w:val="18"/>
    </w:rPr>
  </w:style>
  <w:style w:type="character" w:customStyle="1" w:styleId="2852">
    <w:name w:val="Char Char442"/>
    <w:qFormat/>
    <w:uiPriority w:val="0"/>
    <w:rPr>
      <w:rFonts w:eastAsia="宋体"/>
      <w:b/>
      <w:bCs/>
      <w:kern w:val="2"/>
      <w:sz w:val="24"/>
      <w:szCs w:val="22"/>
      <w:lang w:val="en-US" w:eastAsia="zh-CN" w:bidi="ar-SA"/>
    </w:rPr>
  </w:style>
  <w:style w:type="character" w:customStyle="1" w:styleId="2853">
    <w:name w:val="Char Char185"/>
    <w:qFormat/>
    <w:uiPriority w:val="0"/>
    <w:rPr>
      <w:rFonts w:ascii="Arial" w:hAnsi="Arial" w:eastAsia="黑体" w:cs="Times New Roman"/>
      <w:b/>
      <w:bCs/>
      <w:sz w:val="24"/>
      <w:szCs w:val="24"/>
    </w:rPr>
  </w:style>
  <w:style w:type="character" w:customStyle="1" w:styleId="2854">
    <w:name w:val="页眉1 Char3"/>
    <w:qFormat/>
    <w:uiPriority w:val="0"/>
    <w:rPr>
      <w:rFonts w:ascii="Times New Roman" w:hAnsi="Times New Roman" w:eastAsia="宋体" w:cs="Times New Roman"/>
      <w:sz w:val="18"/>
      <w:szCs w:val="18"/>
    </w:rPr>
  </w:style>
  <w:style w:type="character" w:customStyle="1" w:styleId="2855">
    <w:name w:val="表格1 Char"/>
    <w:link w:val="900"/>
    <w:qFormat/>
    <w:uiPriority w:val="0"/>
    <w:rPr>
      <w:b/>
      <w:spacing w:val="6"/>
      <w:kern w:val="2"/>
      <w:sz w:val="24"/>
      <w:szCs w:val="24"/>
    </w:rPr>
  </w:style>
  <w:style w:type="character" w:customStyle="1" w:styleId="2856">
    <w:name w:val="Char Char110"/>
    <w:link w:val="2857"/>
    <w:qFormat/>
    <w:uiPriority w:val="0"/>
    <w:rPr>
      <w:b/>
      <w:sz w:val="24"/>
    </w:rPr>
  </w:style>
  <w:style w:type="paragraph" w:customStyle="1" w:styleId="2857">
    <w:name w:val="批注主题11"/>
    <w:basedOn w:val="28"/>
    <w:next w:val="28"/>
    <w:link w:val="2856"/>
    <w:qFormat/>
    <w:uiPriority w:val="0"/>
    <w:pPr>
      <w:spacing w:line="360" w:lineRule="auto"/>
      <w:ind w:firstLine="200" w:firstLineChars="200"/>
    </w:pPr>
    <w:rPr>
      <w:b/>
      <w:kern w:val="0"/>
      <w:sz w:val="24"/>
      <w:szCs w:val="20"/>
      <w:lang w:val="en-US"/>
    </w:rPr>
  </w:style>
  <w:style w:type="character" w:customStyle="1" w:styleId="2858">
    <w:name w:val="666666-正文 Char"/>
    <w:link w:val="2859"/>
    <w:qFormat/>
    <w:uiPriority w:val="0"/>
    <w:rPr>
      <w:sz w:val="24"/>
      <w:lang w:val="zh-CN"/>
    </w:rPr>
  </w:style>
  <w:style w:type="paragraph" w:customStyle="1" w:styleId="2859">
    <w:name w:val="666666-正文"/>
    <w:basedOn w:val="1"/>
    <w:link w:val="2858"/>
    <w:qFormat/>
    <w:uiPriority w:val="0"/>
    <w:pPr>
      <w:spacing w:line="440" w:lineRule="exact"/>
      <w:ind w:firstLine="200" w:firstLineChars="200"/>
    </w:pPr>
    <w:rPr>
      <w:kern w:val="0"/>
      <w:sz w:val="24"/>
      <w:szCs w:val="20"/>
      <w:lang w:val="zh-CN"/>
    </w:rPr>
  </w:style>
  <w:style w:type="character" w:customStyle="1" w:styleId="2860">
    <w:name w:val="hb2 Char Char"/>
    <w:qFormat/>
    <w:uiPriority w:val="0"/>
    <w:rPr>
      <w:rFonts w:hint="eastAsia" w:ascii="宋体" w:hAnsi="宋体" w:eastAsia="宋体" w:cs="Arial"/>
      <w:b/>
      <w:bCs/>
      <w:kern w:val="2"/>
      <w:sz w:val="28"/>
      <w:szCs w:val="28"/>
      <w:lang w:val="en-US" w:eastAsia="zh-CN"/>
    </w:rPr>
  </w:style>
  <w:style w:type="character" w:customStyle="1" w:styleId="2861">
    <w:name w:val="Char Char611"/>
    <w:qFormat/>
    <w:uiPriority w:val="0"/>
    <w:rPr>
      <w:rFonts w:ascii="Times New Roman" w:hAnsi="Times New Roman" w:eastAsia="宋体" w:cs="Times New Roman"/>
      <w:sz w:val="18"/>
      <w:szCs w:val="18"/>
    </w:rPr>
  </w:style>
  <w:style w:type="character" w:customStyle="1" w:styleId="2862">
    <w:name w:val="123YJ Char Char1"/>
    <w:qFormat/>
    <w:uiPriority w:val="0"/>
    <w:rPr>
      <w:rFonts w:eastAsia="宋体"/>
      <w:kern w:val="2"/>
      <w:sz w:val="18"/>
      <w:szCs w:val="18"/>
      <w:lang w:val="en-US" w:eastAsia="zh-CN" w:bidi="ar-SA"/>
    </w:rPr>
  </w:style>
  <w:style w:type="character" w:customStyle="1" w:styleId="2863">
    <w:name w:val="aa11"/>
    <w:qFormat/>
    <w:uiPriority w:val="0"/>
  </w:style>
  <w:style w:type="character" w:customStyle="1" w:styleId="2864">
    <w:name w:val="报告书正文 Char Char"/>
    <w:qFormat/>
    <w:uiPriority w:val="0"/>
    <w:rPr>
      <w:sz w:val="24"/>
    </w:rPr>
  </w:style>
  <w:style w:type="character" w:customStyle="1" w:styleId="2865">
    <w:name w:val="报告表格 Char Char Char"/>
    <w:qFormat/>
    <w:uiPriority w:val="0"/>
    <w:rPr>
      <w:sz w:val="21"/>
    </w:rPr>
  </w:style>
  <w:style w:type="character" w:customStyle="1" w:styleId="2866">
    <w:name w:val="电子邮件签名 Char2"/>
    <w:qFormat/>
    <w:locked/>
    <w:uiPriority w:val="99"/>
    <w:rPr>
      <w:rFonts w:ascii="Times New Roman" w:hAnsi="Times New Roman" w:eastAsia="宋体" w:cs="Times New Roman"/>
      <w:szCs w:val="24"/>
    </w:rPr>
  </w:style>
  <w:style w:type="character" w:customStyle="1" w:styleId="2867">
    <w:name w:val="第四层条 Char Char1"/>
    <w:qFormat/>
    <w:uiPriority w:val="0"/>
    <w:rPr>
      <w:rFonts w:eastAsia="宋体"/>
      <w:b/>
      <w:bCs/>
      <w:kern w:val="2"/>
      <w:sz w:val="28"/>
      <w:szCs w:val="28"/>
      <w:lang w:val="en-US" w:eastAsia="zh-CN" w:bidi="ar-SA"/>
    </w:rPr>
  </w:style>
  <w:style w:type="character" w:customStyle="1" w:styleId="2868">
    <w:name w:val="Char Char381"/>
    <w:qFormat/>
    <w:uiPriority w:val="0"/>
    <w:rPr>
      <w:rFonts w:hint="default" w:eastAsia="宋体"/>
      <w:kern w:val="2"/>
      <w:sz w:val="18"/>
      <w:lang w:val="en-US" w:eastAsia="zh-CN"/>
    </w:rPr>
  </w:style>
  <w:style w:type="character" w:customStyle="1" w:styleId="2869">
    <w:name w:val="正文文本 3 Char3"/>
    <w:semiHidden/>
    <w:qFormat/>
    <w:uiPriority w:val="0"/>
    <w:rPr>
      <w:rFonts w:ascii="Calibri" w:hAnsi="Calibri" w:eastAsia="宋体" w:cs="Times New Roman"/>
      <w:kern w:val="0"/>
      <w:sz w:val="16"/>
      <w:szCs w:val="16"/>
    </w:rPr>
  </w:style>
  <w:style w:type="character" w:customStyle="1" w:styleId="2870">
    <w:name w:val="标准正文格式 Char"/>
    <w:qFormat/>
    <w:uiPriority w:val="0"/>
    <w:rPr>
      <w:rFonts w:hint="eastAsia" w:ascii="宋体" w:hAnsi="宋体" w:eastAsia="宋体"/>
      <w:snapToGrid/>
      <w:color w:val="000000"/>
      <w:kern w:val="2"/>
      <w:lang w:val="en-US" w:eastAsia="zh-CN" w:bidi="ar-SA"/>
    </w:rPr>
  </w:style>
  <w:style w:type="character" w:customStyle="1" w:styleId="2871">
    <w:name w:val="Char Char332"/>
    <w:qFormat/>
    <w:uiPriority w:val="0"/>
    <w:rPr>
      <w:rFonts w:ascii="Cambria" w:hAnsi="Cambria" w:eastAsia="宋体"/>
      <w:b/>
      <w:bCs/>
      <w:sz w:val="32"/>
      <w:szCs w:val="32"/>
      <w:lang w:val="en-US" w:eastAsia="zh-CN" w:bidi="ar-SA"/>
    </w:rPr>
  </w:style>
  <w:style w:type="character" w:customStyle="1" w:styleId="2872">
    <w:name w:val="HTML 键盘1"/>
    <w:qFormat/>
    <w:uiPriority w:val="0"/>
    <w:rPr>
      <w:rFonts w:hint="default" w:ascii="Courier New"/>
    </w:rPr>
  </w:style>
  <w:style w:type="character" w:customStyle="1" w:styleId="2873">
    <w:name w:val="!BG_标题4 Char"/>
    <w:link w:val="2874"/>
    <w:qFormat/>
    <w:uiPriority w:val="99"/>
    <w:rPr>
      <w:b/>
      <w:sz w:val="24"/>
      <w:szCs w:val="28"/>
    </w:rPr>
  </w:style>
  <w:style w:type="paragraph" w:customStyle="1" w:styleId="2874">
    <w:name w:val="!BG_标题4"/>
    <w:basedOn w:val="1"/>
    <w:link w:val="2873"/>
    <w:qFormat/>
    <w:uiPriority w:val="99"/>
    <w:pPr>
      <w:keepNext/>
      <w:keepLines/>
      <w:numPr>
        <w:ilvl w:val="3"/>
        <w:numId w:val="10"/>
      </w:numPr>
      <w:spacing w:line="360" w:lineRule="auto"/>
      <w:outlineLvl w:val="3"/>
    </w:pPr>
    <w:rPr>
      <w:b/>
      <w:kern w:val="0"/>
      <w:sz w:val="24"/>
      <w:szCs w:val="28"/>
    </w:rPr>
  </w:style>
  <w:style w:type="character" w:customStyle="1" w:styleId="2875">
    <w:name w:val="正文文字缩进 21 Char"/>
    <w:link w:val="1206"/>
    <w:qFormat/>
    <w:uiPriority w:val="0"/>
    <w:rPr>
      <w:rFonts w:ascii="宋体"/>
      <w:sz w:val="24"/>
    </w:rPr>
  </w:style>
  <w:style w:type="character" w:customStyle="1" w:styleId="2876">
    <w:name w:val="rsdesckey1"/>
    <w:qFormat/>
    <w:uiPriority w:val="0"/>
    <w:rPr>
      <w:color w:val="FF0000"/>
    </w:rPr>
  </w:style>
  <w:style w:type="character" w:customStyle="1" w:styleId="2877">
    <w:name w:val="样式 样式 楷体_GB2312 小四 居中 行距: 单倍行距 + 宋体 Char"/>
    <w:link w:val="2878"/>
    <w:qFormat/>
    <w:uiPriority w:val="0"/>
    <w:rPr>
      <w:rFonts w:eastAsia="楷体_GB2312" w:cs="宋体"/>
      <w:sz w:val="24"/>
      <w:szCs w:val="24"/>
    </w:rPr>
  </w:style>
  <w:style w:type="paragraph" w:customStyle="1" w:styleId="2878">
    <w:name w:val="样式 样式 楷体_GB2312 小四 居中 行距: 单倍行距 + 宋体"/>
    <w:basedOn w:val="1"/>
    <w:link w:val="2877"/>
    <w:qFormat/>
    <w:uiPriority w:val="0"/>
    <w:pPr>
      <w:jc w:val="center"/>
    </w:pPr>
    <w:rPr>
      <w:rFonts w:eastAsia="楷体_GB2312" w:cs="宋体"/>
      <w:kern w:val="0"/>
      <w:sz w:val="24"/>
    </w:rPr>
  </w:style>
  <w:style w:type="character" w:customStyle="1" w:styleId="2879">
    <w:name w:val="样式 仿宋_GB2312 小四2"/>
    <w:qFormat/>
    <w:uiPriority w:val="0"/>
    <w:rPr>
      <w:rFonts w:ascii="Times New Roman" w:hAnsi="Times New Roman" w:eastAsia="仿宋_GB2312" w:cs="Courier New"/>
      <w:kern w:val="2"/>
      <w:sz w:val="24"/>
      <w:szCs w:val="24"/>
      <w:lang w:val="en-US" w:eastAsia="zh-CN" w:bidi="ar-SA"/>
    </w:rPr>
  </w:style>
  <w:style w:type="character" w:customStyle="1" w:styleId="2880">
    <w:name w:val="Char Char405"/>
    <w:qFormat/>
    <w:uiPriority w:val="0"/>
    <w:rPr>
      <w:rFonts w:ascii="Times New Roman" w:hAnsi="Times New Roman" w:eastAsia="宋体" w:cs="Times New Roman"/>
      <w:szCs w:val="24"/>
      <w:shd w:val="clear" w:color="auto" w:fill="000080"/>
    </w:rPr>
  </w:style>
  <w:style w:type="character" w:customStyle="1" w:styleId="2881">
    <w:name w:val="666666-表下正文 Char Char"/>
    <w:qFormat/>
    <w:locked/>
    <w:uiPriority w:val="0"/>
    <w:rPr>
      <w:sz w:val="24"/>
      <w:szCs w:val="24"/>
    </w:rPr>
  </w:style>
  <w:style w:type="character" w:customStyle="1" w:styleId="2882">
    <w:name w:val="正文缩进2个字符 Char"/>
    <w:link w:val="2883"/>
    <w:qFormat/>
    <w:uiPriority w:val="0"/>
    <w:rPr>
      <w:rFonts w:ascii="Calibri" w:hAnsi="Calibri"/>
      <w:sz w:val="28"/>
    </w:rPr>
  </w:style>
  <w:style w:type="paragraph" w:customStyle="1" w:styleId="2883">
    <w:name w:val="正文缩进2个字符"/>
    <w:basedOn w:val="1"/>
    <w:link w:val="2882"/>
    <w:qFormat/>
    <w:uiPriority w:val="0"/>
    <w:pPr>
      <w:adjustRightInd w:val="0"/>
      <w:snapToGrid w:val="0"/>
      <w:spacing w:line="360" w:lineRule="auto"/>
      <w:ind w:firstLine="200" w:firstLineChars="200"/>
    </w:pPr>
    <w:rPr>
      <w:rFonts w:ascii="Calibri" w:hAnsi="Calibri"/>
      <w:kern w:val="0"/>
      <w:sz w:val="28"/>
      <w:szCs w:val="20"/>
    </w:rPr>
  </w:style>
  <w:style w:type="character" w:customStyle="1" w:styleId="2884">
    <w:name w:val="签名 Char1"/>
    <w:qFormat/>
    <w:uiPriority w:val="0"/>
    <w:rPr>
      <w:kern w:val="2"/>
      <w:sz w:val="21"/>
      <w:szCs w:val="24"/>
    </w:rPr>
  </w:style>
  <w:style w:type="character" w:customStyle="1" w:styleId="2885">
    <w:name w:val="HTML 预设格式 Char2"/>
    <w:qFormat/>
    <w:locked/>
    <w:uiPriority w:val="99"/>
    <w:rPr>
      <w:rFonts w:ascii="宋体" w:hAnsi="宋体" w:eastAsia="宋体" w:cs="宋体"/>
      <w:kern w:val="0"/>
      <w:sz w:val="24"/>
      <w:szCs w:val="24"/>
    </w:rPr>
  </w:style>
  <w:style w:type="character" w:customStyle="1" w:styleId="2886">
    <w:name w:val="Char Char455"/>
    <w:qFormat/>
    <w:uiPriority w:val="0"/>
    <w:rPr>
      <w:rFonts w:ascii="Cambria" w:hAnsi="Cambria" w:eastAsia="宋体"/>
      <w:b/>
      <w:bCs/>
      <w:sz w:val="32"/>
      <w:szCs w:val="32"/>
      <w:lang w:val="en-US" w:eastAsia="zh-CN" w:bidi="ar-SA"/>
    </w:rPr>
  </w:style>
  <w:style w:type="character" w:customStyle="1" w:styleId="2887">
    <w:name w:val="正文新 Char Char"/>
    <w:qFormat/>
    <w:uiPriority w:val="0"/>
    <w:rPr>
      <w:rFonts w:hint="eastAsia" w:ascii="宋体" w:hAnsi="宋体" w:eastAsia="宋体"/>
      <w:kern w:val="2"/>
      <w:sz w:val="24"/>
      <w:szCs w:val="24"/>
      <w:lang w:val="en-US" w:eastAsia="zh-CN"/>
    </w:rPr>
  </w:style>
  <w:style w:type="character" w:customStyle="1" w:styleId="2888">
    <w:name w:val="样式 首行缩进:  1 字符 Char"/>
    <w:link w:val="2889"/>
    <w:qFormat/>
    <w:uiPriority w:val="0"/>
    <w:rPr>
      <w:rFonts w:cs="宋体"/>
      <w:sz w:val="24"/>
    </w:rPr>
  </w:style>
  <w:style w:type="paragraph" w:customStyle="1" w:styleId="2889">
    <w:name w:val="样式 首行缩进:  1 字符"/>
    <w:basedOn w:val="1"/>
    <w:link w:val="2888"/>
    <w:qFormat/>
    <w:uiPriority w:val="0"/>
    <w:pPr>
      <w:ind w:firstLine="200" w:firstLineChars="200"/>
    </w:pPr>
    <w:rPr>
      <w:rFonts w:cs="宋体"/>
      <w:kern w:val="0"/>
      <w:sz w:val="24"/>
      <w:szCs w:val="20"/>
    </w:rPr>
  </w:style>
  <w:style w:type="character" w:customStyle="1" w:styleId="2890">
    <w:name w:val="个人撰写风格"/>
    <w:qFormat/>
    <w:uiPriority w:val="0"/>
    <w:rPr>
      <w:rFonts w:ascii="Arial" w:hAnsi="Arial" w:eastAsia="宋体" w:cs="Arial"/>
      <w:color w:val="auto"/>
      <w:sz w:val="20"/>
    </w:rPr>
  </w:style>
  <w:style w:type="character" w:customStyle="1" w:styleId="2891">
    <w:name w:val="占位符文本2"/>
    <w:semiHidden/>
    <w:qFormat/>
    <w:uiPriority w:val="0"/>
    <w:rPr>
      <w:color w:val="808080"/>
    </w:rPr>
  </w:style>
  <w:style w:type="character" w:customStyle="1" w:styleId="2892">
    <w:name w:val="Char Char365"/>
    <w:qFormat/>
    <w:uiPriority w:val="0"/>
    <w:rPr>
      <w:rFonts w:ascii="Calibri" w:hAnsi="Calibri" w:eastAsia="宋体"/>
      <w:kern w:val="2"/>
      <w:sz w:val="24"/>
      <w:szCs w:val="22"/>
      <w:lang w:val="en-US" w:eastAsia="zh-CN" w:bidi="ar-SA"/>
    </w:rPr>
  </w:style>
  <w:style w:type="character" w:customStyle="1" w:styleId="2893">
    <w:name w:val="基本 Char"/>
    <w:link w:val="2894"/>
    <w:qFormat/>
    <w:uiPriority w:val="0"/>
    <w:rPr>
      <w:bCs/>
      <w:caps/>
      <w:szCs w:val="24"/>
    </w:rPr>
  </w:style>
  <w:style w:type="paragraph" w:customStyle="1" w:styleId="2894">
    <w:name w:val="基本"/>
    <w:basedOn w:val="1"/>
    <w:link w:val="2893"/>
    <w:qFormat/>
    <w:uiPriority w:val="0"/>
    <w:pPr>
      <w:spacing w:line="360" w:lineRule="auto"/>
    </w:pPr>
    <w:rPr>
      <w:bCs/>
      <w:caps/>
      <w:kern w:val="0"/>
      <w:sz w:val="20"/>
    </w:rPr>
  </w:style>
  <w:style w:type="character" w:customStyle="1" w:styleId="2895">
    <w:name w:val="表文字 Char"/>
    <w:qFormat/>
    <w:uiPriority w:val="0"/>
    <w:rPr>
      <w:rFonts w:hint="eastAsia" w:ascii="宋体" w:hAnsi="宋体" w:eastAsia="宋体"/>
      <w:kern w:val="2"/>
      <w:sz w:val="21"/>
      <w:szCs w:val="21"/>
      <w:lang w:val="en-US" w:eastAsia="zh-CN" w:bidi="ar-SA"/>
    </w:rPr>
  </w:style>
  <w:style w:type="character" w:customStyle="1" w:styleId="2896">
    <w:name w:val="Char Char286"/>
    <w:qFormat/>
    <w:uiPriority w:val="0"/>
    <w:rPr>
      <w:rFonts w:ascii="Calibri" w:hAnsi="Calibri" w:eastAsia="宋体"/>
      <w:sz w:val="18"/>
      <w:szCs w:val="18"/>
      <w:lang w:val="en-US" w:eastAsia="zh-CN" w:bidi="ar-SA"/>
    </w:rPr>
  </w:style>
  <w:style w:type="character" w:customStyle="1" w:styleId="2897">
    <w:name w:val="hb2 Char"/>
    <w:qFormat/>
    <w:uiPriority w:val="0"/>
    <w:rPr>
      <w:rFonts w:hint="eastAsia" w:ascii="宋体" w:hAnsi="宋体" w:eastAsia="宋体" w:cs="Arial"/>
      <w:b/>
      <w:bCs/>
      <w:kern w:val="2"/>
      <w:sz w:val="28"/>
      <w:szCs w:val="28"/>
      <w:lang w:val="en-US" w:eastAsia="zh-CN" w:bidi="ar-SA"/>
    </w:rPr>
  </w:style>
  <w:style w:type="character" w:customStyle="1" w:styleId="2898">
    <w:name w:val="附录标识 Char"/>
    <w:link w:val="1504"/>
    <w:qFormat/>
    <w:uiPriority w:val="0"/>
    <w:rPr>
      <w:rFonts w:ascii="黑体" w:hAnsi="宋体" w:eastAsia="黑体" w:cs="宋体"/>
      <w:sz w:val="24"/>
      <w:szCs w:val="24"/>
      <w:shd w:val="clear" w:color="FFFFFF" w:fill="FFFFFF"/>
    </w:rPr>
  </w:style>
  <w:style w:type="character" w:customStyle="1" w:styleId="2899">
    <w:name w:val="信息标题 Char1"/>
    <w:qFormat/>
    <w:uiPriority w:val="0"/>
    <w:rPr>
      <w:rFonts w:ascii="Cambria" w:hAnsi="Cambria" w:eastAsia="宋体" w:cs="Times New Roman"/>
      <w:kern w:val="2"/>
      <w:sz w:val="24"/>
      <w:szCs w:val="24"/>
      <w:shd w:val="pct20" w:color="auto" w:fill="auto"/>
    </w:rPr>
  </w:style>
  <w:style w:type="character" w:customStyle="1" w:styleId="2900">
    <w:name w:val="Char Char342"/>
    <w:semiHidden/>
    <w:qFormat/>
    <w:uiPriority w:val="0"/>
    <w:rPr>
      <w:rFonts w:eastAsia="宋体"/>
      <w:b/>
      <w:bCs/>
      <w:kern w:val="2"/>
      <w:sz w:val="21"/>
      <w:szCs w:val="24"/>
      <w:lang w:val="en-US" w:eastAsia="zh-CN" w:bidi="ar-SA"/>
    </w:rPr>
  </w:style>
  <w:style w:type="character" w:customStyle="1" w:styleId="2901">
    <w:name w:val="search_content1"/>
    <w:qFormat/>
    <w:uiPriority w:val="0"/>
    <w:rPr>
      <w:rFonts w:hint="default"/>
    </w:rPr>
  </w:style>
  <w:style w:type="character" w:customStyle="1" w:styleId="2902">
    <w:name w:val="蒲标题3 Char"/>
    <w:qFormat/>
    <w:uiPriority w:val="0"/>
    <w:rPr>
      <w:b/>
      <w:bCs/>
      <w:color w:val="000000"/>
      <w:sz w:val="24"/>
      <w:szCs w:val="24"/>
    </w:rPr>
  </w:style>
  <w:style w:type="character" w:customStyle="1" w:styleId="2903">
    <w:name w:val="个人答复风格"/>
    <w:qFormat/>
    <w:uiPriority w:val="0"/>
    <w:rPr>
      <w:rFonts w:ascii="Arial" w:hAnsi="Arial" w:eastAsia="宋体" w:cs="Arial"/>
      <w:color w:val="auto"/>
      <w:sz w:val="20"/>
    </w:rPr>
  </w:style>
  <w:style w:type="character" w:customStyle="1" w:styleId="2904">
    <w:name w:val="Char Char156"/>
    <w:qFormat/>
    <w:uiPriority w:val="0"/>
    <w:rPr>
      <w:rFonts w:ascii="Arial" w:hAnsi="Arial" w:eastAsia="黑体" w:cs="Times New Roman"/>
      <w:b/>
      <w:bCs/>
      <w:sz w:val="28"/>
      <w:szCs w:val="28"/>
    </w:rPr>
  </w:style>
  <w:style w:type="character" w:customStyle="1" w:styleId="2905">
    <w:name w:val="Char Char67"/>
    <w:qFormat/>
    <w:uiPriority w:val="0"/>
    <w:rPr>
      <w:rFonts w:ascii="Times New Roman" w:hAnsi="Times New Roman" w:eastAsia="宋体" w:cs="Times New Roman"/>
      <w:b/>
      <w:bCs/>
      <w:kern w:val="44"/>
      <w:sz w:val="44"/>
      <w:szCs w:val="44"/>
    </w:rPr>
  </w:style>
  <w:style w:type="character" w:customStyle="1" w:styleId="2906">
    <w:name w:val="Char Char633"/>
    <w:qFormat/>
    <w:uiPriority w:val="0"/>
    <w:rPr>
      <w:rFonts w:ascii="Times New Roman" w:hAnsi="Times New Roman" w:eastAsia="宋体" w:cs="Times New Roman"/>
      <w:i/>
      <w:iCs/>
      <w:szCs w:val="24"/>
    </w:rPr>
  </w:style>
  <w:style w:type="character" w:customStyle="1" w:styleId="2907">
    <w:name w:val="小2号宋体居中行距2倍 Char"/>
    <w:qFormat/>
    <w:locked/>
    <w:uiPriority w:val="0"/>
    <w:rPr>
      <w:rFonts w:eastAsia="宋体"/>
      <w:b/>
      <w:bCs/>
      <w:kern w:val="44"/>
      <w:sz w:val="44"/>
      <w:szCs w:val="44"/>
      <w:lang w:val="en-US" w:eastAsia="zh-CN" w:bidi="ar-SA"/>
    </w:rPr>
  </w:style>
  <w:style w:type="character" w:customStyle="1" w:styleId="2908">
    <w:name w:val="正文文字缩进 Char Char1"/>
    <w:qFormat/>
    <w:locked/>
    <w:uiPriority w:val="0"/>
    <w:rPr>
      <w:szCs w:val="24"/>
      <w:lang w:bidi="ar-SA"/>
    </w:rPr>
  </w:style>
  <w:style w:type="character" w:customStyle="1" w:styleId="2909">
    <w:name w:val="引用 Char3"/>
    <w:link w:val="2910"/>
    <w:qFormat/>
    <w:uiPriority w:val="0"/>
    <w:rPr>
      <w:rFonts w:ascii="Calibri" w:hAnsi="Calibri"/>
      <w:i/>
      <w:iCs/>
      <w:sz w:val="22"/>
    </w:rPr>
  </w:style>
  <w:style w:type="paragraph" w:customStyle="1" w:styleId="2910">
    <w:name w:val="引用2"/>
    <w:basedOn w:val="1"/>
    <w:next w:val="1"/>
    <w:link w:val="2909"/>
    <w:qFormat/>
    <w:uiPriority w:val="0"/>
    <w:pPr>
      <w:spacing w:before="200" w:line="276" w:lineRule="auto"/>
      <w:ind w:left="360" w:right="360"/>
    </w:pPr>
    <w:rPr>
      <w:rFonts w:ascii="Calibri" w:hAnsi="Calibri"/>
      <w:i/>
      <w:iCs/>
      <w:kern w:val="0"/>
      <w:sz w:val="22"/>
      <w:szCs w:val="20"/>
    </w:rPr>
  </w:style>
  <w:style w:type="character" w:customStyle="1" w:styleId="2911">
    <w:name w:val="4标题 Char"/>
    <w:link w:val="2912"/>
    <w:qFormat/>
    <w:locked/>
    <w:uiPriority w:val="0"/>
    <w:rPr>
      <w:rFonts w:ascii="Arial" w:hAnsi="Arial"/>
      <w:bCs/>
      <w:sz w:val="24"/>
      <w:szCs w:val="28"/>
    </w:rPr>
  </w:style>
  <w:style w:type="paragraph" w:customStyle="1" w:styleId="2912">
    <w:name w:val="4标题"/>
    <w:basedOn w:val="6"/>
    <w:link w:val="2911"/>
    <w:qFormat/>
    <w:uiPriority w:val="0"/>
    <w:pPr>
      <w:tabs>
        <w:tab w:val="left" w:pos="851"/>
      </w:tabs>
      <w:ind w:left="864" w:hanging="144"/>
    </w:pPr>
    <w:rPr>
      <w:rFonts w:ascii="Arial" w:hAnsi="Arial"/>
      <w:b w:val="0"/>
      <w:kern w:val="0"/>
      <w:szCs w:val="28"/>
    </w:rPr>
  </w:style>
  <w:style w:type="character" w:customStyle="1" w:styleId="2913">
    <w:name w:val="style381"/>
    <w:qFormat/>
    <w:uiPriority w:val="0"/>
    <w:rPr>
      <w:sz w:val="27"/>
      <w:szCs w:val="27"/>
    </w:rPr>
  </w:style>
  <w:style w:type="character" w:customStyle="1" w:styleId="2914">
    <w:name w:val="大纲正文 Char Char"/>
    <w:link w:val="2915"/>
    <w:qFormat/>
    <w:uiPriority w:val="0"/>
    <w:rPr>
      <w:rFonts w:cs="宋体"/>
      <w:sz w:val="24"/>
      <w:szCs w:val="24"/>
    </w:rPr>
  </w:style>
  <w:style w:type="paragraph" w:customStyle="1" w:styleId="2915">
    <w:name w:val="大纲正文 Char"/>
    <w:basedOn w:val="1"/>
    <w:link w:val="2914"/>
    <w:qFormat/>
    <w:uiPriority w:val="0"/>
    <w:pPr>
      <w:adjustRightInd w:val="0"/>
      <w:snapToGrid w:val="0"/>
      <w:spacing w:afterLines="50" w:line="300" w:lineRule="auto"/>
      <w:ind w:firstLine="480" w:firstLineChars="200"/>
    </w:pPr>
    <w:rPr>
      <w:rFonts w:cs="宋体"/>
      <w:kern w:val="0"/>
      <w:sz w:val="24"/>
    </w:rPr>
  </w:style>
  <w:style w:type="character" w:customStyle="1" w:styleId="2916">
    <w:name w:val="贾伦正文 Char Char"/>
    <w:qFormat/>
    <w:uiPriority w:val="0"/>
    <w:rPr>
      <w:spacing w:val="-4"/>
      <w:sz w:val="24"/>
      <w:szCs w:val="28"/>
    </w:rPr>
  </w:style>
  <w:style w:type="character" w:customStyle="1" w:styleId="2917">
    <w:name w:val="正文文本缩进 2 Char2"/>
    <w:qFormat/>
    <w:locked/>
    <w:uiPriority w:val="0"/>
    <w:rPr>
      <w:rFonts w:ascii="Calibri" w:hAnsi="Calibri" w:eastAsia="宋体" w:cs="Times New Roman"/>
      <w:szCs w:val="24"/>
    </w:rPr>
  </w:style>
  <w:style w:type="character" w:customStyle="1" w:styleId="2918">
    <w:name w:val="Char Char66"/>
    <w:qFormat/>
    <w:uiPriority w:val="0"/>
    <w:rPr>
      <w:rFonts w:ascii="Times New Roman" w:hAnsi="Times New Roman" w:eastAsia="宋体" w:cs="Times New Roman"/>
      <w:szCs w:val="24"/>
    </w:rPr>
  </w:style>
  <w:style w:type="character" w:customStyle="1" w:styleId="2919">
    <w:name w:val="正文首行缩进 2 Char3"/>
    <w:qFormat/>
    <w:uiPriority w:val="99"/>
    <w:rPr>
      <w:rFonts w:ascii="Calibri" w:hAnsi="Calibri" w:eastAsia="宋体" w:cs="Times New Roman"/>
      <w:kern w:val="0"/>
      <w:sz w:val="22"/>
    </w:rPr>
  </w:style>
  <w:style w:type="character" w:customStyle="1" w:styleId="2920">
    <w:name w:val="正文首行缩进 Char1 Char Char4"/>
    <w:qFormat/>
    <w:uiPriority w:val="0"/>
    <w:rPr>
      <w:rFonts w:eastAsia="宋体"/>
      <w:spacing w:val="6"/>
      <w:kern w:val="2"/>
      <w:sz w:val="24"/>
      <w:szCs w:val="24"/>
      <w:lang w:val="en-US" w:eastAsia="zh-CN" w:bidi="ar-SA"/>
    </w:rPr>
  </w:style>
  <w:style w:type="character" w:customStyle="1" w:styleId="2921">
    <w:name w:val="body-cn-black style3"/>
    <w:qFormat/>
    <w:uiPriority w:val="0"/>
  </w:style>
  <w:style w:type="character" w:customStyle="1" w:styleId="2922">
    <w:name w:val="正文文字1 Char2"/>
    <w:qFormat/>
    <w:uiPriority w:val="0"/>
    <w:rPr>
      <w:rFonts w:eastAsia="宋体"/>
      <w:kern w:val="2"/>
      <w:sz w:val="21"/>
      <w:szCs w:val="24"/>
      <w:lang w:val="en-US" w:eastAsia="zh-CN" w:bidi="ar-SA"/>
    </w:rPr>
  </w:style>
  <w:style w:type="character" w:customStyle="1" w:styleId="2923">
    <w:name w:val="Char210"/>
    <w:qFormat/>
    <w:uiPriority w:val="0"/>
    <w:rPr>
      <w:rFonts w:ascii="宋体" w:hAnsi="Courier New" w:eastAsia="宋体"/>
      <w:kern w:val="2"/>
      <w:sz w:val="28"/>
      <w:szCs w:val="24"/>
      <w:lang w:val="en-US" w:eastAsia="zh-CN" w:bidi="ar-SA"/>
    </w:rPr>
  </w:style>
  <w:style w:type="character" w:customStyle="1" w:styleId="2924">
    <w:name w:val="Char Char1531"/>
    <w:qFormat/>
    <w:uiPriority w:val="0"/>
    <w:rPr>
      <w:rFonts w:eastAsia="宋体"/>
      <w:kern w:val="2"/>
      <w:sz w:val="21"/>
      <w:szCs w:val="24"/>
      <w:lang w:val="en-US" w:eastAsia="zh-CN" w:bidi="ar-SA"/>
    </w:rPr>
  </w:style>
  <w:style w:type="character" w:customStyle="1" w:styleId="2925">
    <w:name w:val="正文文字 3 Char Char2"/>
    <w:qFormat/>
    <w:uiPriority w:val="0"/>
    <w:rPr>
      <w:rFonts w:eastAsia="宋体"/>
      <w:kern w:val="2"/>
      <w:sz w:val="24"/>
      <w:szCs w:val="24"/>
      <w:lang w:val="en-US" w:eastAsia="zh-CN" w:bidi="ar-SA"/>
    </w:rPr>
  </w:style>
  <w:style w:type="character" w:customStyle="1" w:styleId="2926">
    <w:name w:val="Char Char210"/>
    <w:qFormat/>
    <w:uiPriority w:val="0"/>
    <w:rPr>
      <w:rFonts w:hint="default" w:eastAsia="宋体"/>
      <w:kern w:val="2"/>
      <w:sz w:val="24"/>
      <w:lang w:val="en-US" w:eastAsia="zh-CN"/>
    </w:rPr>
  </w:style>
  <w:style w:type="character" w:customStyle="1" w:styleId="2927">
    <w:name w:val="正文（首行式样2） Char Char"/>
    <w:qFormat/>
    <w:uiPriority w:val="0"/>
    <w:rPr>
      <w:rFonts w:ascii="Times New Roman" w:hAnsi="Times New Roman" w:eastAsia="宋体" w:cs="Times New Roman"/>
      <w:color w:val="000000"/>
      <w:spacing w:val="-4"/>
      <w:kern w:val="0"/>
      <w:sz w:val="24"/>
      <w:szCs w:val="24"/>
      <w:lang w:val="zh-CN"/>
    </w:rPr>
  </w:style>
  <w:style w:type="character" w:customStyle="1" w:styleId="2928">
    <w:name w:val="Char Char176"/>
    <w:qFormat/>
    <w:uiPriority w:val="0"/>
    <w:rPr>
      <w:rFonts w:ascii="Times New Roman" w:hAnsi="Times New Roman" w:eastAsia="宋体" w:cs="Times New Roman"/>
      <w:b/>
      <w:bCs/>
      <w:sz w:val="24"/>
      <w:szCs w:val="24"/>
    </w:rPr>
  </w:style>
  <w:style w:type="character" w:customStyle="1" w:styleId="2929">
    <w:name w:val="Char Char465"/>
    <w:qFormat/>
    <w:uiPriority w:val="0"/>
    <w:rPr>
      <w:rFonts w:eastAsia="宋体"/>
      <w:kern w:val="2"/>
      <w:sz w:val="21"/>
      <w:szCs w:val="24"/>
      <w:lang w:val="en-US" w:eastAsia="zh-CN" w:bidi="ar-SA"/>
    </w:rPr>
  </w:style>
  <w:style w:type="character" w:customStyle="1" w:styleId="2930">
    <w:name w:val="表格标题 Char Char"/>
    <w:qFormat/>
    <w:uiPriority w:val="0"/>
    <w:rPr>
      <w:sz w:val="24"/>
      <w:szCs w:val="24"/>
    </w:rPr>
  </w:style>
  <w:style w:type="character" w:customStyle="1" w:styleId="2931">
    <w:name w:val="样式 正文缩进正文（首行缩进两字） Char标题四 + (西文) 宋体 小四1 Char"/>
    <w:link w:val="2932"/>
    <w:qFormat/>
    <w:uiPriority w:val="0"/>
    <w:rPr>
      <w:rFonts w:ascii="宋体" w:hAnsi="宋体" w:eastAsia="仿宋_GB2312"/>
      <w:color w:val="000000"/>
      <w:sz w:val="28"/>
      <w:szCs w:val="28"/>
    </w:rPr>
  </w:style>
  <w:style w:type="paragraph" w:customStyle="1" w:styleId="2932">
    <w:name w:val="样式 正文缩进正文（首行缩进两字） Char标题四 + (西文) 宋体 小四1"/>
    <w:basedOn w:val="21"/>
    <w:link w:val="2931"/>
    <w:qFormat/>
    <w:uiPriority w:val="0"/>
    <w:pPr>
      <w:spacing w:line="312" w:lineRule="auto"/>
      <w:ind w:firstLine="560"/>
    </w:pPr>
    <w:rPr>
      <w:rFonts w:ascii="宋体" w:hAnsi="宋体" w:eastAsia="仿宋_GB2312"/>
      <w:color w:val="000000"/>
      <w:kern w:val="0"/>
      <w:sz w:val="28"/>
      <w:szCs w:val="28"/>
    </w:rPr>
  </w:style>
  <w:style w:type="character" w:customStyle="1" w:styleId="2933">
    <w:name w:val="链接"/>
    <w:qFormat/>
    <w:uiPriority w:val="0"/>
    <w:rPr>
      <w:color w:val="0000FF"/>
      <w:sz w:val="21"/>
      <w:szCs w:val="21"/>
      <w:u w:val="single"/>
      <w:lang w:val="zh-CN" w:eastAsia="zh-CN"/>
    </w:rPr>
  </w:style>
  <w:style w:type="character" w:customStyle="1" w:styleId="2934">
    <w:name w:val="Char Char402"/>
    <w:semiHidden/>
    <w:qFormat/>
    <w:uiPriority w:val="0"/>
    <w:rPr>
      <w:rFonts w:ascii="Times New Roman" w:hAnsi="Times New Roman" w:eastAsia="宋体" w:cs="Times New Roman"/>
      <w:szCs w:val="24"/>
      <w:shd w:val="clear" w:color="auto" w:fill="000080"/>
    </w:rPr>
  </w:style>
  <w:style w:type="character" w:customStyle="1" w:styleId="2935">
    <w:name w:val="Char Char198"/>
    <w:qFormat/>
    <w:uiPriority w:val="0"/>
    <w:rPr>
      <w:rFonts w:ascii="Times New Roman" w:hAnsi="Times New Roman" w:eastAsia="宋体" w:cs="Times New Roman"/>
      <w:b/>
      <w:bCs/>
      <w:sz w:val="28"/>
      <w:szCs w:val="28"/>
    </w:rPr>
  </w:style>
  <w:style w:type="character" w:customStyle="1" w:styleId="2936">
    <w:name w:val="11p1"/>
    <w:qFormat/>
    <w:uiPriority w:val="0"/>
    <w:rPr>
      <w:sz w:val="21"/>
      <w:szCs w:val="21"/>
    </w:rPr>
  </w:style>
  <w:style w:type="character" w:customStyle="1" w:styleId="2937">
    <w:name w:val="Char Char471"/>
    <w:qFormat/>
    <w:uiPriority w:val="0"/>
    <w:rPr>
      <w:rFonts w:hint="eastAsia" w:ascii="Times New Roman" w:hAnsi="Times New Roman" w:eastAsia="宋体"/>
      <w:b/>
      <w:sz w:val="32"/>
    </w:rPr>
  </w:style>
  <w:style w:type="character" w:customStyle="1" w:styleId="2938">
    <w:name w:val="Char Char126"/>
    <w:qFormat/>
    <w:uiPriority w:val="0"/>
    <w:rPr>
      <w:rFonts w:ascii="Arial" w:hAnsi="Arial" w:eastAsia="黑体" w:cs="Times New Roman"/>
      <w:szCs w:val="21"/>
    </w:rPr>
  </w:style>
  <w:style w:type="character" w:customStyle="1" w:styleId="2939">
    <w:name w:val="Char Char194"/>
    <w:qFormat/>
    <w:uiPriority w:val="0"/>
    <w:rPr>
      <w:rFonts w:ascii="Times New Roman" w:hAnsi="Times New Roman" w:eastAsia="宋体" w:cs="Times New Roman"/>
      <w:b/>
      <w:bCs/>
      <w:sz w:val="28"/>
      <w:szCs w:val="28"/>
    </w:rPr>
  </w:style>
  <w:style w:type="character" w:customStyle="1" w:styleId="2940">
    <w:name w:val="bds_more1"/>
    <w:qFormat/>
    <w:uiPriority w:val="0"/>
  </w:style>
  <w:style w:type="character" w:customStyle="1" w:styleId="2941">
    <w:name w:val="bg正文首行缩进 Char1"/>
    <w:link w:val="2942"/>
    <w:qFormat/>
    <w:uiPriority w:val="0"/>
    <w:rPr>
      <w:sz w:val="24"/>
    </w:rPr>
  </w:style>
  <w:style w:type="paragraph" w:customStyle="1" w:styleId="2942">
    <w:name w:val="bg正文首行缩进"/>
    <w:basedOn w:val="1"/>
    <w:link w:val="2941"/>
    <w:qFormat/>
    <w:uiPriority w:val="0"/>
    <w:pPr>
      <w:spacing w:line="400" w:lineRule="exact"/>
      <w:ind w:left="400" w:leftChars="400" w:firstLine="482" w:firstLineChars="200"/>
    </w:pPr>
    <w:rPr>
      <w:kern w:val="0"/>
      <w:sz w:val="24"/>
      <w:szCs w:val="20"/>
    </w:rPr>
  </w:style>
  <w:style w:type="character" w:customStyle="1" w:styleId="2943">
    <w:name w:val="Char Char206"/>
    <w:qFormat/>
    <w:uiPriority w:val="0"/>
    <w:rPr>
      <w:rFonts w:ascii="Arial" w:hAnsi="Arial" w:eastAsia="黑体" w:cs="Times New Roman"/>
      <w:b/>
      <w:bCs/>
      <w:sz w:val="28"/>
      <w:szCs w:val="28"/>
    </w:rPr>
  </w:style>
  <w:style w:type="character" w:customStyle="1" w:styleId="2944">
    <w:name w:val="Char Char83"/>
    <w:qFormat/>
    <w:uiPriority w:val="0"/>
    <w:rPr>
      <w:rFonts w:eastAsia="宋体"/>
      <w:b/>
      <w:bCs/>
      <w:kern w:val="2"/>
      <w:sz w:val="28"/>
      <w:szCs w:val="28"/>
      <w:lang w:val="en-US" w:eastAsia="zh-CN" w:bidi="ar-SA"/>
    </w:rPr>
  </w:style>
  <w:style w:type="character" w:customStyle="1" w:styleId="2945">
    <w:name w:val="样式 (西文) 宋体 (中文) 仿宋_GB2312 黑色"/>
    <w:qFormat/>
    <w:uiPriority w:val="0"/>
    <w:rPr>
      <w:rFonts w:ascii="Times New Roman" w:hAnsi="Times New Roman" w:eastAsia="仿宋_GB2312" w:cs="Courier New"/>
      <w:color w:val="000000"/>
      <w:kern w:val="2"/>
      <w:sz w:val="32"/>
      <w:szCs w:val="32"/>
      <w:lang w:val="en-US" w:eastAsia="zh-CN" w:bidi="ar-SA"/>
    </w:rPr>
  </w:style>
  <w:style w:type="character" w:customStyle="1" w:styleId="2946">
    <w:name w:val="样式 标题 2 + 首行缩进:  2 字符 Char"/>
    <w:link w:val="2947"/>
    <w:qFormat/>
    <w:locked/>
    <w:uiPriority w:val="0"/>
    <w:rPr>
      <w:sz w:val="32"/>
      <w:szCs w:val="32"/>
    </w:rPr>
  </w:style>
  <w:style w:type="paragraph" w:customStyle="1" w:styleId="2947">
    <w:name w:val="样式 标题 2 + 首行缩进:  2 字符"/>
    <w:basedOn w:val="4"/>
    <w:link w:val="2946"/>
    <w:qFormat/>
    <w:uiPriority w:val="0"/>
    <w:pPr>
      <w:tabs>
        <w:tab w:val="left" w:pos="360"/>
      </w:tabs>
      <w:spacing w:before="120" w:after="120" w:line="500" w:lineRule="exact"/>
      <w:ind w:left="840" w:hanging="420" w:firstLineChars="200"/>
    </w:pPr>
    <w:rPr>
      <w:rFonts w:ascii="Times New Roman" w:hAnsi="Times New Roman" w:eastAsia="宋体"/>
      <w:b w:val="0"/>
      <w:bCs w:val="0"/>
      <w:kern w:val="0"/>
    </w:rPr>
  </w:style>
  <w:style w:type="character" w:customStyle="1" w:styleId="2948">
    <w:name w:val="smessage_content"/>
    <w:qFormat/>
    <w:uiPriority w:val="0"/>
  </w:style>
  <w:style w:type="character" w:customStyle="1" w:styleId="2949">
    <w:name w:val="Char Char451"/>
    <w:qFormat/>
    <w:uiPriority w:val="0"/>
    <w:rPr>
      <w:rFonts w:hint="eastAsia" w:ascii="Times New Roman" w:hAnsi="Times New Roman" w:eastAsia="宋体"/>
      <w:sz w:val="18"/>
      <w:lang w:val="en-US" w:eastAsia="zh-CN"/>
    </w:rPr>
  </w:style>
  <w:style w:type="character" w:customStyle="1" w:styleId="2950">
    <w:name w:val="样式15 Char Char"/>
    <w:qFormat/>
    <w:uiPriority w:val="0"/>
    <w:rPr>
      <w:rFonts w:ascii="宋体" w:hAnsi="宋体"/>
      <w:caps/>
      <w:color w:val="000000"/>
      <w:sz w:val="28"/>
      <w:szCs w:val="28"/>
    </w:rPr>
  </w:style>
  <w:style w:type="character" w:customStyle="1" w:styleId="2951">
    <w:name w:val="Char Char174"/>
    <w:qFormat/>
    <w:uiPriority w:val="0"/>
    <w:rPr>
      <w:rFonts w:ascii="Times New Roman" w:hAnsi="Times New Roman" w:eastAsia="宋体" w:cs="Times New Roman"/>
      <w:b/>
      <w:bCs/>
      <w:sz w:val="24"/>
      <w:szCs w:val="24"/>
    </w:rPr>
  </w:style>
  <w:style w:type="character" w:customStyle="1" w:styleId="2952">
    <w:name w:val="Re Char"/>
    <w:qFormat/>
    <w:uiPriority w:val="0"/>
    <w:rPr>
      <w:rFonts w:eastAsia="宋体"/>
      <w:b/>
      <w:bCs/>
      <w:kern w:val="2"/>
      <w:sz w:val="32"/>
      <w:szCs w:val="32"/>
      <w:lang w:val="en-US" w:eastAsia="zh-CN" w:bidi="ar-SA"/>
    </w:rPr>
  </w:style>
  <w:style w:type="character" w:customStyle="1" w:styleId="2953">
    <w:name w:val="news_body"/>
    <w:qFormat/>
    <w:uiPriority w:val="0"/>
    <w:rPr>
      <w:rFonts w:hint="default"/>
    </w:rPr>
  </w:style>
  <w:style w:type="character" w:customStyle="1" w:styleId="2954">
    <w:name w:val="pointer"/>
    <w:qFormat/>
    <w:uiPriority w:val="0"/>
  </w:style>
  <w:style w:type="character" w:customStyle="1" w:styleId="2955">
    <w:name w:val="正文new Char"/>
    <w:link w:val="2956"/>
    <w:qFormat/>
    <w:uiPriority w:val="0"/>
    <w:rPr>
      <w:sz w:val="24"/>
    </w:rPr>
  </w:style>
  <w:style w:type="paragraph" w:customStyle="1" w:styleId="2956">
    <w:name w:val="正文new"/>
    <w:basedOn w:val="1"/>
    <w:link w:val="2955"/>
    <w:qFormat/>
    <w:uiPriority w:val="0"/>
    <w:pPr>
      <w:spacing w:line="360" w:lineRule="auto"/>
      <w:ind w:firstLine="200" w:firstLineChars="200"/>
    </w:pPr>
    <w:rPr>
      <w:kern w:val="0"/>
      <w:sz w:val="24"/>
      <w:szCs w:val="20"/>
    </w:rPr>
  </w:style>
  <w:style w:type="character" w:customStyle="1" w:styleId="2957">
    <w:name w:val="Char Char178"/>
    <w:qFormat/>
    <w:uiPriority w:val="0"/>
    <w:rPr>
      <w:rFonts w:ascii="Times New Roman" w:hAnsi="Times New Roman" w:eastAsia="宋体" w:cs="Times New Roman"/>
      <w:b/>
      <w:bCs/>
      <w:sz w:val="24"/>
      <w:szCs w:val="24"/>
    </w:rPr>
  </w:style>
  <w:style w:type="character" w:customStyle="1" w:styleId="2958">
    <w:name w:val="明显参考2"/>
    <w:qFormat/>
    <w:uiPriority w:val="32"/>
    <w:rPr>
      <w:smallCaps/>
      <w:spacing w:val="5"/>
      <w:u w:val="single"/>
    </w:rPr>
  </w:style>
  <w:style w:type="character" w:customStyle="1" w:styleId="2959">
    <w:name w:val="正文样式 Char Char Char"/>
    <w:qFormat/>
    <w:uiPriority w:val="0"/>
    <w:rPr>
      <w:rFonts w:ascii="宋体"/>
      <w:color w:val="000000"/>
      <w:kern w:val="2"/>
      <w:sz w:val="24"/>
    </w:rPr>
  </w:style>
  <w:style w:type="character" w:customStyle="1" w:styleId="2960">
    <w:name w:val="redfont"/>
    <w:semiHidden/>
    <w:qFormat/>
    <w:uiPriority w:val="0"/>
    <w:rPr>
      <w:rFonts w:ascii="宋体" w:hAnsi="宋体" w:eastAsia="黑体" w:cs="宋体"/>
      <w:kern w:val="2"/>
      <w:sz w:val="28"/>
      <w:szCs w:val="24"/>
      <w:lang w:val="en-US" w:eastAsia="zh-CN" w:bidi="ar-SA"/>
    </w:rPr>
  </w:style>
  <w:style w:type="character" w:customStyle="1" w:styleId="2961">
    <w:name w:val="Font Style391"/>
    <w:qFormat/>
    <w:uiPriority w:val="0"/>
    <w:rPr>
      <w:rFonts w:ascii="宋体" w:eastAsia="宋体" w:cs="宋体"/>
      <w:w w:val="350"/>
      <w:sz w:val="12"/>
      <w:szCs w:val="12"/>
    </w:rPr>
  </w:style>
  <w:style w:type="character" w:customStyle="1" w:styleId="2962">
    <w:name w:val="4 级标题 Char"/>
    <w:link w:val="2800"/>
    <w:qFormat/>
    <w:locked/>
    <w:uiPriority w:val="0"/>
    <w:rPr>
      <w:rFonts w:ascii="Calibri" w:hAnsi="Calibri"/>
      <w:b/>
      <w:bCs/>
      <w:sz w:val="24"/>
      <w:szCs w:val="28"/>
    </w:rPr>
  </w:style>
  <w:style w:type="character" w:customStyle="1" w:styleId="2963">
    <w:name w:val="title_black_141"/>
    <w:qFormat/>
    <w:uiPriority w:val="0"/>
    <w:rPr>
      <w:color w:val="000000"/>
      <w:sz w:val="21"/>
      <w:szCs w:val="21"/>
      <w:u w:val="none"/>
    </w:rPr>
  </w:style>
  <w:style w:type="character" w:customStyle="1" w:styleId="2964">
    <w:name w:val="页码11"/>
    <w:qFormat/>
    <w:uiPriority w:val="0"/>
  </w:style>
  <w:style w:type="character" w:customStyle="1" w:styleId="2965">
    <w:name w:val="style1501"/>
    <w:qFormat/>
    <w:uiPriority w:val="0"/>
    <w:rPr>
      <w:rFonts w:hint="default" w:ascii="ˎ̥" w:hAnsi="ˎ̥"/>
      <w:sz w:val="18"/>
      <w:szCs w:val="18"/>
    </w:rPr>
  </w:style>
  <w:style w:type="character" w:customStyle="1" w:styleId="2966">
    <w:name w:val="表头1 Char Char"/>
    <w:qFormat/>
    <w:locked/>
    <w:uiPriority w:val="0"/>
    <w:rPr>
      <w:rFonts w:ascii="黑体" w:hAnsi="黑体" w:eastAsia="黑体"/>
    </w:rPr>
  </w:style>
  <w:style w:type="character" w:customStyle="1" w:styleId="2967">
    <w:name w:val="Char Char403"/>
    <w:qFormat/>
    <w:uiPriority w:val="0"/>
    <w:rPr>
      <w:rFonts w:ascii="Times New Roman" w:hAnsi="Times New Roman" w:eastAsia="宋体" w:cs="Times New Roman"/>
      <w:szCs w:val="24"/>
      <w:shd w:val="clear" w:color="auto" w:fill="000080"/>
    </w:rPr>
  </w:style>
  <w:style w:type="character" w:customStyle="1" w:styleId="2968">
    <w:name w:val="标题7"/>
    <w:qFormat/>
    <w:uiPriority w:val="0"/>
  </w:style>
  <w:style w:type="character" w:customStyle="1" w:styleId="2969">
    <w:name w:val="Char Char65"/>
    <w:qFormat/>
    <w:uiPriority w:val="0"/>
    <w:rPr>
      <w:rFonts w:ascii="Arial" w:hAnsi="Arial" w:eastAsia="Arial Unicode MS" w:cs="Arial"/>
      <w:vanish/>
      <w:kern w:val="0"/>
      <w:sz w:val="16"/>
      <w:szCs w:val="16"/>
    </w:rPr>
  </w:style>
  <w:style w:type="character" w:customStyle="1" w:styleId="2970">
    <w:name w:val="Char Char111"/>
    <w:qFormat/>
    <w:uiPriority w:val="0"/>
    <w:rPr>
      <w:rFonts w:ascii="Times New Roman" w:hAnsi="Times New Roman" w:eastAsia="宋体" w:cs="Times New Roman"/>
      <w:szCs w:val="24"/>
      <w:shd w:val="clear" w:color="auto" w:fill="000080"/>
    </w:rPr>
  </w:style>
  <w:style w:type="character" w:customStyle="1" w:styleId="2971">
    <w:name w:val="标题三 Char Char"/>
    <w:link w:val="1046"/>
    <w:qFormat/>
    <w:uiPriority w:val="0"/>
    <w:rPr>
      <w:rFonts w:cs="宋体"/>
      <w:b/>
      <w:sz w:val="28"/>
    </w:rPr>
  </w:style>
  <w:style w:type="character" w:customStyle="1" w:styleId="2972">
    <w:name w:val="Char Char134"/>
    <w:qFormat/>
    <w:uiPriority w:val="0"/>
    <w:rPr>
      <w:rFonts w:ascii="Times New Roman" w:hAnsi="Times New Roman" w:eastAsia="宋体" w:cs="Times New Roman"/>
      <w:b/>
      <w:bCs/>
      <w:sz w:val="24"/>
      <w:szCs w:val="24"/>
    </w:rPr>
  </w:style>
  <w:style w:type="character" w:customStyle="1" w:styleId="2973">
    <w:name w:val="Char Char301"/>
    <w:qFormat/>
    <w:uiPriority w:val="0"/>
    <w:rPr>
      <w:rFonts w:hint="default" w:eastAsia="宋体"/>
      <w:kern w:val="2"/>
      <w:sz w:val="18"/>
      <w:lang w:val="en-US" w:eastAsia="zh-CN"/>
    </w:rPr>
  </w:style>
  <w:style w:type="character" w:customStyle="1" w:styleId="2974">
    <w:name w:val="Char Char712"/>
    <w:qFormat/>
    <w:uiPriority w:val="0"/>
    <w:rPr>
      <w:rFonts w:ascii="Calibri" w:hAnsi="Calibri" w:eastAsia="宋体" w:cs="Times New Roman"/>
      <w:kern w:val="0"/>
      <w:sz w:val="18"/>
      <w:szCs w:val="18"/>
    </w:rPr>
  </w:style>
  <w:style w:type="character" w:customStyle="1" w:styleId="2975">
    <w:name w:val="干标题(a) Char Char2"/>
    <w:qFormat/>
    <w:uiPriority w:val="0"/>
    <w:rPr>
      <w:rFonts w:ascii="Arial" w:hAnsi="Arial" w:eastAsia="黑体"/>
      <w:sz w:val="21"/>
      <w:szCs w:val="21"/>
      <w:lang w:val="en-US" w:eastAsia="zh-CN" w:bidi="ar-SA"/>
    </w:rPr>
  </w:style>
  <w:style w:type="character" w:customStyle="1" w:styleId="2976">
    <w:name w:val="666666-表头儿 Char Char"/>
    <w:qFormat/>
    <w:locked/>
    <w:uiPriority w:val="0"/>
    <w:rPr>
      <w:rFonts w:ascii="Times New Roman" w:hAnsi="Times New Roman" w:eastAsia="黑体" w:cs="Times New Roman"/>
    </w:rPr>
  </w:style>
  <w:style w:type="character" w:customStyle="1" w:styleId="2977">
    <w:name w:val="正文首行缩进 Char1 Char Char6"/>
    <w:qFormat/>
    <w:uiPriority w:val="0"/>
    <w:rPr>
      <w:rFonts w:eastAsia="宋体"/>
      <w:spacing w:val="6"/>
      <w:kern w:val="2"/>
      <w:sz w:val="24"/>
      <w:szCs w:val="24"/>
      <w:lang w:val="en-US" w:eastAsia="zh-CN" w:bidi="ar-SA"/>
    </w:rPr>
  </w:style>
  <w:style w:type="character" w:customStyle="1" w:styleId="2978">
    <w:name w:val="Char Char374"/>
    <w:qFormat/>
    <w:uiPriority w:val="0"/>
    <w:rPr>
      <w:rFonts w:ascii="Calibri" w:hAnsi="Calibri" w:eastAsia="宋体"/>
      <w:kern w:val="2"/>
      <w:sz w:val="18"/>
      <w:szCs w:val="18"/>
      <w:lang w:val="en-US" w:eastAsia="zh-CN" w:bidi="ar-SA"/>
    </w:rPr>
  </w:style>
  <w:style w:type="character" w:customStyle="1" w:styleId="2979">
    <w:name w:val="Char Char72"/>
    <w:qFormat/>
    <w:uiPriority w:val="0"/>
    <w:rPr>
      <w:rFonts w:ascii="Times New Roman" w:hAnsi="Times New Roman" w:eastAsia="宋体" w:cs="Times New Roman"/>
      <w:szCs w:val="24"/>
    </w:rPr>
  </w:style>
  <w:style w:type="character" w:customStyle="1" w:styleId="2980">
    <w:name w:val="样式 样式 楷体_GB2312 小四 居中 行距: 单倍行距 + 宋体 Char Char"/>
    <w:qFormat/>
    <w:uiPriority w:val="0"/>
    <w:rPr>
      <w:rFonts w:eastAsia="楷体_GB2312" w:cs="宋体"/>
      <w:sz w:val="24"/>
      <w:szCs w:val="24"/>
    </w:rPr>
  </w:style>
  <w:style w:type="character" w:customStyle="1" w:styleId="2981">
    <w:name w:val="Char Char1 Char Char Char Char Char Char Char Char Char Char Char Char Char Char Char Char Char Char Char Char1 Char Char Char"/>
    <w:qFormat/>
    <w:uiPriority w:val="0"/>
    <w:rPr>
      <w:rFonts w:ascii="宋体" w:hAnsi="宋体" w:cs="宋体"/>
      <w:sz w:val="24"/>
      <w:szCs w:val="24"/>
    </w:rPr>
  </w:style>
  <w:style w:type="character" w:customStyle="1" w:styleId="2982">
    <w:name w:val="内苡 Char"/>
    <w:link w:val="2983"/>
    <w:qFormat/>
    <w:uiPriority w:val="0"/>
    <w:rPr>
      <w:rFonts w:ascii="宋体" w:hAnsi="宋体"/>
      <w:sz w:val="28"/>
      <w:szCs w:val="28"/>
    </w:rPr>
  </w:style>
  <w:style w:type="paragraph" w:customStyle="1" w:styleId="2983">
    <w:name w:val="内苡"/>
    <w:basedOn w:val="1"/>
    <w:link w:val="2982"/>
    <w:qFormat/>
    <w:uiPriority w:val="0"/>
    <w:pPr>
      <w:ind w:firstLine="560" w:firstLineChars="200"/>
    </w:pPr>
    <w:rPr>
      <w:rFonts w:ascii="宋体" w:hAnsi="宋体"/>
      <w:kern w:val="0"/>
      <w:sz w:val="28"/>
      <w:szCs w:val="28"/>
    </w:rPr>
  </w:style>
  <w:style w:type="character" w:customStyle="1" w:styleId="2984">
    <w:name w:val="Char Char57"/>
    <w:qFormat/>
    <w:uiPriority w:val="0"/>
    <w:rPr>
      <w:rFonts w:ascii="Arial" w:hAnsi="Arial" w:eastAsia="宋体" w:cs="Arial"/>
      <w:sz w:val="24"/>
      <w:szCs w:val="24"/>
      <w:shd w:val="pct20" w:color="auto" w:fill="auto"/>
    </w:rPr>
  </w:style>
  <w:style w:type="character" w:customStyle="1" w:styleId="2985">
    <w:name w:val="bds_more4"/>
    <w:qFormat/>
    <w:uiPriority w:val="0"/>
  </w:style>
  <w:style w:type="character" w:customStyle="1" w:styleId="2986">
    <w:name w:val="样式23 Char"/>
    <w:link w:val="2987"/>
    <w:qFormat/>
    <w:uiPriority w:val="0"/>
    <w:rPr>
      <w:sz w:val="24"/>
      <w:lang w:val="zh-CN"/>
    </w:rPr>
  </w:style>
  <w:style w:type="paragraph" w:customStyle="1" w:styleId="2987">
    <w:name w:val="样式23"/>
    <w:basedOn w:val="774"/>
    <w:link w:val="2986"/>
    <w:qFormat/>
    <w:uiPriority w:val="0"/>
    <w:pPr>
      <w:shd w:val="clear" w:color="auto" w:fill="auto"/>
      <w:spacing w:before="0" w:beforeLines="0" w:line="240" w:lineRule="auto"/>
      <w:ind w:firstLine="522" w:firstLineChars="200"/>
      <w:jc w:val="both"/>
      <w:textAlignment w:val="auto"/>
      <w:outlineLvl w:val="9"/>
    </w:pPr>
    <w:rPr>
      <w:rFonts w:ascii="Times New Roman" w:hAnsi="Times New Roman"/>
      <w:kern w:val="0"/>
      <w:szCs w:val="20"/>
      <w:lang w:val="zh-CN"/>
    </w:rPr>
  </w:style>
  <w:style w:type="character" w:customStyle="1" w:styleId="2988">
    <w:name w:val="样式10 Char"/>
    <w:link w:val="719"/>
    <w:qFormat/>
    <w:uiPriority w:val="0"/>
    <w:rPr>
      <w:rFonts w:ascii="仿宋_GB2312" w:hAnsi="宋体" w:eastAsia="仿宋_GB2312"/>
      <w:bCs/>
      <w:color w:val="FF0000"/>
      <w:kern w:val="2"/>
      <w:sz w:val="21"/>
      <w:szCs w:val="21"/>
    </w:rPr>
  </w:style>
  <w:style w:type="character" w:customStyle="1" w:styleId="2989">
    <w:name w:val="Char Char197"/>
    <w:qFormat/>
    <w:uiPriority w:val="0"/>
    <w:rPr>
      <w:rFonts w:ascii="Times New Roman" w:hAnsi="Times New Roman" w:eastAsia="宋体" w:cs="Times New Roman"/>
      <w:b/>
      <w:bCs/>
      <w:sz w:val="28"/>
      <w:szCs w:val="28"/>
    </w:rPr>
  </w:style>
  <w:style w:type="character" w:customStyle="1" w:styleId="2990">
    <w:name w:val="Char Char336"/>
    <w:qFormat/>
    <w:uiPriority w:val="0"/>
    <w:rPr>
      <w:rFonts w:eastAsia="仿宋_GB2312"/>
      <w:kern w:val="2"/>
      <w:sz w:val="32"/>
      <w:szCs w:val="24"/>
      <w:lang w:val="en-US" w:eastAsia="zh-CN" w:bidi="ar-SA"/>
    </w:rPr>
  </w:style>
  <w:style w:type="character" w:customStyle="1" w:styleId="2991">
    <w:name w:val="01正文 Char"/>
    <w:link w:val="2992"/>
    <w:qFormat/>
    <w:uiPriority w:val="0"/>
    <w:rPr>
      <w:rFonts w:ascii="Calibri" w:hAnsi="Calibri"/>
      <w:color w:val="00B050"/>
      <w:sz w:val="24"/>
    </w:rPr>
  </w:style>
  <w:style w:type="paragraph" w:customStyle="1" w:styleId="2992">
    <w:name w:val="01正文"/>
    <w:basedOn w:val="1"/>
    <w:link w:val="2991"/>
    <w:qFormat/>
    <w:uiPriority w:val="0"/>
    <w:pPr>
      <w:tabs>
        <w:tab w:val="left" w:pos="5355"/>
      </w:tabs>
      <w:adjustRightInd w:val="0"/>
      <w:snapToGrid w:val="0"/>
      <w:spacing w:line="360" w:lineRule="auto"/>
      <w:ind w:firstLine="200" w:firstLineChars="200"/>
    </w:pPr>
    <w:rPr>
      <w:rFonts w:ascii="Calibri" w:hAnsi="Calibri"/>
      <w:color w:val="00B050"/>
      <w:kern w:val="0"/>
      <w:sz w:val="24"/>
      <w:szCs w:val="20"/>
    </w:rPr>
  </w:style>
  <w:style w:type="character" w:customStyle="1" w:styleId="2993">
    <w:name w:val="样式 初设正文 + 左侧:  0 厘米 首行缩进:  0.95 厘米 段后: 0 磅 Char"/>
    <w:link w:val="2994"/>
    <w:qFormat/>
    <w:uiPriority w:val="0"/>
    <w:rPr>
      <w:rFonts w:ascii="Arial Unicode MS" w:hAnsi="Arial Unicode MS" w:cs="宋体"/>
      <w:sz w:val="24"/>
    </w:rPr>
  </w:style>
  <w:style w:type="paragraph" w:customStyle="1" w:styleId="2994">
    <w:name w:val="样式 初设正文 + 左侧:  0 厘米 首行缩进:  0.95 厘米 段后: 0 磅"/>
    <w:basedOn w:val="2026"/>
    <w:link w:val="2993"/>
    <w:qFormat/>
    <w:uiPriority w:val="0"/>
    <w:pPr>
      <w:spacing w:after="0"/>
      <w:ind w:left="0" w:firstLine="540"/>
    </w:pPr>
    <w:rPr>
      <w:rFonts w:ascii="Arial Unicode MS" w:hAnsi="Arial Unicode MS" w:cs="宋体"/>
    </w:rPr>
  </w:style>
  <w:style w:type="character" w:customStyle="1" w:styleId="2995">
    <w:name w:val="Char Char343"/>
    <w:qFormat/>
    <w:uiPriority w:val="0"/>
    <w:rPr>
      <w:rFonts w:eastAsia="宋体"/>
      <w:kern w:val="2"/>
      <w:sz w:val="21"/>
      <w:szCs w:val="24"/>
      <w:lang w:val="en-US" w:eastAsia="zh-CN" w:bidi="ar-SA"/>
    </w:rPr>
  </w:style>
  <w:style w:type="character" w:customStyle="1" w:styleId="2996">
    <w:name w:val="条标题1.1.1 Char Char"/>
    <w:qFormat/>
    <w:locked/>
    <w:uiPriority w:val="0"/>
    <w:rPr>
      <w:rFonts w:ascii="宋体" w:hAnsi="宋体" w:eastAsia="宋体"/>
      <w:b/>
      <w:bCs/>
      <w:kern w:val="2"/>
      <w:sz w:val="32"/>
      <w:szCs w:val="32"/>
      <w:lang w:val="en-US" w:eastAsia="zh-CN" w:bidi="ar-SA"/>
    </w:rPr>
  </w:style>
  <w:style w:type="character" w:customStyle="1" w:styleId="2997">
    <w:name w:val="3级标题 Char"/>
    <w:link w:val="755"/>
    <w:qFormat/>
    <w:uiPriority w:val="0"/>
    <w:rPr>
      <w:rFonts w:cs="宋体"/>
      <w:b/>
      <w:kern w:val="2"/>
      <w:sz w:val="28"/>
    </w:rPr>
  </w:style>
  <w:style w:type="character" w:customStyle="1" w:styleId="2998">
    <w:name w:val="123YJ Char Char7"/>
    <w:qFormat/>
    <w:uiPriority w:val="0"/>
    <w:rPr>
      <w:rFonts w:eastAsia="宋体"/>
      <w:kern w:val="2"/>
      <w:sz w:val="18"/>
      <w:szCs w:val="18"/>
      <w:lang w:val="en-US" w:eastAsia="zh-CN" w:bidi="ar-SA"/>
    </w:rPr>
  </w:style>
  <w:style w:type="character" w:customStyle="1" w:styleId="2999">
    <w:name w:val="干标题(a) Char1"/>
    <w:qFormat/>
    <w:uiPriority w:val="0"/>
    <w:rPr>
      <w:rFonts w:ascii="Arial" w:hAnsi="Arial" w:eastAsia="黑体"/>
      <w:kern w:val="2"/>
      <w:sz w:val="21"/>
      <w:szCs w:val="21"/>
      <w:lang w:val="en-US" w:eastAsia="zh-CN" w:bidi="ar-SA"/>
    </w:rPr>
  </w:style>
  <w:style w:type="character" w:customStyle="1" w:styleId="3000">
    <w:name w:val="Char Char413"/>
    <w:qFormat/>
    <w:uiPriority w:val="0"/>
    <w:rPr>
      <w:rFonts w:eastAsia="宋体"/>
      <w:kern w:val="2"/>
      <w:sz w:val="21"/>
      <w:lang w:val="en-US" w:eastAsia="zh-CN" w:bidi="ar-SA"/>
    </w:rPr>
  </w:style>
  <w:style w:type="character" w:customStyle="1" w:styleId="3001">
    <w:name w:val="Char Char345"/>
    <w:qFormat/>
    <w:uiPriority w:val="0"/>
    <w:rPr>
      <w:rFonts w:eastAsia="宋体"/>
      <w:kern w:val="2"/>
      <w:sz w:val="21"/>
      <w:szCs w:val="24"/>
      <w:lang w:val="en-US" w:eastAsia="zh-CN" w:bidi="ar-SA"/>
    </w:rPr>
  </w:style>
  <w:style w:type="character" w:customStyle="1" w:styleId="3002">
    <w:name w:val="Char Char205"/>
    <w:qFormat/>
    <w:uiPriority w:val="0"/>
    <w:rPr>
      <w:rFonts w:ascii="Arial" w:hAnsi="Arial" w:eastAsia="黑体" w:cs="Times New Roman"/>
      <w:b/>
      <w:bCs/>
      <w:sz w:val="28"/>
      <w:szCs w:val="28"/>
    </w:rPr>
  </w:style>
  <w:style w:type="character" w:customStyle="1" w:styleId="3003">
    <w:name w:val="Char Char701"/>
    <w:qFormat/>
    <w:uiPriority w:val="0"/>
    <w:rPr>
      <w:rFonts w:ascii="Times New Roman" w:hAnsi="Times New Roman" w:eastAsia="宋体" w:cs="Times New Roman"/>
      <w:b/>
      <w:bCs/>
      <w:sz w:val="24"/>
      <w:szCs w:val="24"/>
    </w:rPr>
  </w:style>
  <w:style w:type="character" w:customStyle="1" w:styleId="3004">
    <w:name w:val="文本 Char2"/>
    <w:qFormat/>
    <w:uiPriority w:val="0"/>
    <w:rPr>
      <w:rFonts w:eastAsia="宋体"/>
      <w:snapToGrid/>
      <w:sz w:val="28"/>
      <w:lang w:val="en-US" w:eastAsia="zh-CN" w:bidi="ar-SA"/>
    </w:rPr>
  </w:style>
  <w:style w:type="character" w:customStyle="1" w:styleId="3005">
    <w:name w:val="正文 宋体 小四 Char"/>
    <w:link w:val="3006"/>
    <w:qFormat/>
    <w:uiPriority w:val="0"/>
    <w:rPr>
      <w:rFonts w:ascii="宋体" w:hAnsi="宋体"/>
      <w:sz w:val="24"/>
    </w:rPr>
  </w:style>
  <w:style w:type="paragraph" w:customStyle="1" w:styleId="3006">
    <w:name w:val="正文 宋体 小四"/>
    <w:basedOn w:val="1"/>
    <w:link w:val="3005"/>
    <w:qFormat/>
    <w:uiPriority w:val="0"/>
    <w:pPr>
      <w:spacing w:line="360" w:lineRule="auto"/>
      <w:ind w:firstLine="480"/>
    </w:pPr>
    <w:rPr>
      <w:rFonts w:ascii="宋体" w:hAnsi="宋体"/>
      <w:kern w:val="0"/>
      <w:sz w:val="24"/>
      <w:szCs w:val="20"/>
    </w:rPr>
  </w:style>
  <w:style w:type="character" w:customStyle="1" w:styleId="3007">
    <w:name w:val="Char Char91"/>
    <w:qFormat/>
    <w:uiPriority w:val="0"/>
    <w:rPr>
      <w:rFonts w:eastAsia="宋体"/>
      <w:kern w:val="2"/>
      <w:sz w:val="18"/>
      <w:lang w:val="en-US" w:eastAsia="zh-CN" w:bidi="ar-SA"/>
    </w:rPr>
  </w:style>
  <w:style w:type="character" w:customStyle="1" w:styleId="3008">
    <w:name w:val="ft183"/>
    <w:qFormat/>
    <w:uiPriority w:val="0"/>
    <w:rPr>
      <w:rFonts w:hint="default" w:ascii="Times" w:hAnsi="Times" w:cs="Times"/>
      <w:color w:val="000000"/>
      <w:spacing w:val="345"/>
      <w:sz w:val="24"/>
      <w:szCs w:val="24"/>
    </w:rPr>
  </w:style>
  <w:style w:type="character" w:customStyle="1" w:styleId="3009">
    <w:name w:val="HTML 变量1"/>
    <w:qFormat/>
    <w:uiPriority w:val="0"/>
    <w:rPr>
      <w:rFonts w:hint="default"/>
      <w:i/>
    </w:rPr>
  </w:style>
  <w:style w:type="character" w:customStyle="1" w:styleId="3010">
    <w:name w:val="标6 Char"/>
    <w:qFormat/>
    <w:uiPriority w:val="0"/>
    <w:rPr>
      <w:rFonts w:ascii="Calibri Light" w:hAnsi="Calibri Light" w:eastAsia="宋体" w:cs="Times New Roman"/>
      <w:b/>
      <w:bCs/>
      <w:kern w:val="2"/>
      <w:sz w:val="24"/>
      <w:szCs w:val="24"/>
    </w:rPr>
  </w:style>
  <w:style w:type="character" w:customStyle="1" w:styleId="3011">
    <w:name w:val="t1"/>
    <w:qFormat/>
    <w:uiPriority w:val="0"/>
  </w:style>
  <w:style w:type="character" w:customStyle="1" w:styleId="3012">
    <w:name w:val="结束语 Char3"/>
    <w:semiHidden/>
    <w:qFormat/>
    <w:uiPriority w:val="0"/>
    <w:rPr>
      <w:rFonts w:ascii="Calibri" w:hAnsi="Calibri" w:eastAsia="宋体" w:cs="Times New Roman"/>
      <w:kern w:val="0"/>
      <w:sz w:val="22"/>
    </w:rPr>
  </w:style>
  <w:style w:type="character" w:customStyle="1" w:styleId="3013">
    <w:name w:val="Char Char59"/>
    <w:qFormat/>
    <w:uiPriority w:val="0"/>
    <w:rPr>
      <w:rFonts w:ascii="Times New Roman" w:hAnsi="Times New Roman" w:eastAsia="宋体" w:cs="Times New Roman"/>
      <w:szCs w:val="24"/>
    </w:rPr>
  </w:style>
  <w:style w:type="character" w:customStyle="1" w:styleId="3014">
    <w:name w:val="Char Char1131"/>
    <w:qFormat/>
    <w:uiPriority w:val="0"/>
    <w:rPr>
      <w:sz w:val="18"/>
      <w:szCs w:val="18"/>
    </w:rPr>
  </w:style>
  <w:style w:type="character" w:customStyle="1" w:styleId="3015">
    <w:name w:val="Char Char323"/>
    <w:qFormat/>
    <w:uiPriority w:val="0"/>
    <w:rPr>
      <w:rFonts w:ascii="宋体" w:hAnsi="宋体" w:eastAsia="宋体" w:cs="宋体"/>
      <w:sz w:val="24"/>
      <w:szCs w:val="24"/>
      <w:lang w:val="en-US" w:eastAsia="zh-CN" w:bidi="ar-SA"/>
    </w:rPr>
  </w:style>
  <w:style w:type="character" w:customStyle="1" w:styleId="3016">
    <w:name w:val="新正文 Char"/>
    <w:link w:val="1098"/>
    <w:qFormat/>
    <w:uiPriority w:val="0"/>
    <w:rPr>
      <w:rFonts w:ascii="仿宋_GB2312" w:eastAsia="仿宋_GB2312"/>
      <w:bCs/>
      <w:sz w:val="28"/>
    </w:rPr>
  </w:style>
  <w:style w:type="character" w:customStyle="1" w:styleId="3017">
    <w:name w:val="正文（首行式样2） Char Char Char"/>
    <w:qFormat/>
    <w:uiPriority w:val="0"/>
    <w:rPr>
      <w:rFonts w:ascii="Times New Roman" w:hAnsi="Times New Roman"/>
      <w:color w:val="000000"/>
      <w:spacing w:val="-4"/>
      <w:sz w:val="24"/>
      <w:szCs w:val="24"/>
      <w:lang w:val="zh-CN"/>
    </w:rPr>
  </w:style>
  <w:style w:type="character" w:customStyle="1" w:styleId="3018">
    <w:name w:val="字元 Char Char1"/>
    <w:qFormat/>
    <w:uiPriority w:val="0"/>
    <w:rPr>
      <w:rFonts w:ascii="黑体" w:eastAsia="黑体"/>
      <w:bCs/>
      <w:color w:val="000000"/>
      <w:kern w:val="2"/>
      <w:sz w:val="30"/>
      <w:szCs w:val="24"/>
      <w:lang w:val="en-US" w:eastAsia="zh-CN" w:bidi="ar-SA"/>
    </w:rPr>
  </w:style>
  <w:style w:type="character" w:customStyle="1" w:styleId="3019">
    <w:name w:val="J【表头】 Char"/>
    <w:link w:val="3020"/>
    <w:qFormat/>
    <w:uiPriority w:val="0"/>
    <w:rPr>
      <w:rFonts w:hAnsi="宋体" w:eastAsia="Times New Roman"/>
      <w:b/>
    </w:rPr>
  </w:style>
  <w:style w:type="paragraph" w:customStyle="1" w:styleId="3020">
    <w:name w:val="J【表头】"/>
    <w:basedOn w:val="1"/>
    <w:link w:val="3019"/>
    <w:qFormat/>
    <w:uiPriority w:val="0"/>
    <w:pPr>
      <w:keepNext/>
      <w:tabs>
        <w:tab w:val="left" w:pos="720"/>
        <w:tab w:val="left" w:pos="1080"/>
        <w:tab w:val="left" w:pos="4167"/>
      </w:tabs>
      <w:wordWrap w:val="0"/>
      <w:spacing w:line="360" w:lineRule="auto"/>
      <w:jc w:val="center"/>
    </w:pPr>
    <w:rPr>
      <w:rFonts w:hAnsi="宋体" w:eastAsia="Times New Roman"/>
      <w:b/>
      <w:kern w:val="0"/>
      <w:sz w:val="20"/>
      <w:szCs w:val="20"/>
    </w:rPr>
  </w:style>
  <w:style w:type="character" w:customStyle="1" w:styleId="3021">
    <w:name w:val="日期 Char2"/>
    <w:qFormat/>
    <w:locked/>
    <w:uiPriority w:val="0"/>
    <w:rPr>
      <w:rFonts w:ascii="Times New Roman" w:hAnsi="Times New Roman" w:eastAsia="宋体" w:cs="Times New Roman"/>
      <w:szCs w:val="24"/>
    </w:rPr>
  </w:style>
  <w:style w:type="character" w:customStyle="1" w:styleId="3022">
    <w:name w:val="样式3 Char Char"/>
    <w:qFormat/>
    <w:uiPriority w:val="0"/>
    <w:rPr>
      <w:sz w:val="24"/>
      <w:szCs w:val="24"/>
    </w:rPr>
  </w:style>
  <w:style w:type="character" w:customStyle="1" w:styleId="3023">
    <w:name w:val="HTML 定义11"/>
    <w:qFormat/>
    <w:uiPriority w:val="0"/>
    <w:rPr>
      <w:rFonts w:hint="default"/>
      <w:i/>
    </w:rPr>
  </w:style>
  <w:style w:type="character" w:customStyle="1" w:styleId="3024">
    <w:name w:val="Char Char591"/>
    <w:qFormat/>
    <w:uiPriority w:val="0"/>
    <w:rPr>
      <w:rFonts w:ascii="Times New Roman" w:hAnsi="Times New Roman" w:eastAsia="宋体" w:cs="Times New Roman"/>
      <w:szCs w:val="24"/>
    </w:rPr>
  </w:style>
  <w:style w:type="character" w:customStyle="1" w:styleId="3025">
    <w:name w:val="HTML 地址 字符1"/>
    <w:qFormat/>
    <w:uiPriority w:val="0"/>
    <w:rPr>
      <w:rFonts w:ascii="Arial" w:hAnsi="Arial" w:eastAsia="仿宋_GB2312"/>
      <w:i/>
      <w:iCs/>
      <w:sz w:val="24"/>
    </w:rPr>
  </w:style>
  <w:style w:type="character" w:customStyle="1" w:styleId="3026">
    <w:name w:val="Font Style322"/>
    <w:qFormat/>
    <w:uiPriority w:val="0"/>
    <w:rPr>
      <w:rFonts w:ascii="Times New Roman" w:hAnsi="Times New Roman" w:cs="Times New Roman"/>
      <w:i/>
      <w:iCs/>
      <w:sz w:val="22"/>
      <w:szCs w:val="22"/>
    </w:rPr>
  </w:style>
  <w:style w:type="character" w:customStyle="1" w:styleId="3027">
    <w:name w:val="正文文字标准 Char"/>
    <w:link w:val="3028"/>
    <w:qFormat/>
    <w:uiPriority w:val="0"/>
    <w:rPr>
      <w:sz w:val="28"/>
      <w:szCs w:val="24"/>
    </w:rPr>
  </w:style>
  <w:style w:type="paragraph" w:customStyle="1" w:styleId="3028">
    <w:name w:val="正文文字标准"/>
    <w:basedOn w:val="86"/>
    <w:link w:val="3027"/>
    <w:qFormat/>
    <w:uiPriority w:val="0"/>
    <w:pPr>
      <w:spacing w:line="480" w:lineRule="exact"/>
      <w:ind w:firstLine="200" w:firstLineChars="200"/>
    </w:pPr>
    <w:rPr>
      <w:kern w:val="0"/>
      <w:sz w:val="28"/>
    </w:rPr>
  </w:style>
  <w:style w:type="character" w:customStyle="1" w:styleId="3029">
    <w:name w:val="样式 标题3 Char"/>
    <w:link w:val="3030"/>
    <w:qFormat/>
    <w:uiPriority w:val="0"/>
    <w:rPr>
      <w:b/>
      <w:bCs/>
      <w:kern w:val="44"/>
      <w:sz w:val="28"/>
    </w:rPr>
  </w:style>
  <w:style w:type="paragraph" w:customStyle="1" w:styleId="3030">
    <w:name w:val="样式 标题3"/>
    <w:link w:val="3029"/>
    <w:qFormat/>
    <w:uiPriority w:val="0"/>
    <w:pPr>
      <w:outlineLvl w:val="2"/>
    </w:pPr>
    <w:rPr>
      <w:rFonts w:ascii="Times New Roman" w:hAnsi="Times New Roman" w:eastAsia="宋体" w:cs="Times New Roman"/>
      <w:b/>
      <w:bCs/>
      <w:kern w:val="44"/>
      <w:sz w:val="28"/>
      <w:lang w:val="en-US" w:eastAsia="zh-CN" w:bidi="ar-SA"/>
    </w:rPr>
  </w:style>
  <w:style w:type="character" w:customStyle="1" w:styleId="3031">
    <w:name w:val="样式 纯文本 + 行距: 1.5 倍行距 Char Char"/>
    <w:qFormat/>
    <w:uiPriority w:val="0"/>
    <w:rPr>
      <w:rFonts w:cs="宋体"/>
      <w:sz w:val="24"/>
      <w:szCs w:val="24"/>
    </w:rPr>
  </w:style>
  <w:style w:type="character" w:customStyle="1" w:styleId="3032">
    <w:name w:val="4.款 Char"/>
    <w:link w:val="3033"/>
    <w:qFormat/>
    <w:uiPriority w:val="0"/>
    <w:rPr>
      <w:b/>
      <w:bCs/>
      <w:sz w:val="28"/>
      <w:szCs w:val="28"/>
    </w:rPr>
  </w:style>
  <w:style w:type="paragraph" w:customStyle="1" w:styleId="3033">
    <w:name w:val="4.款"/>
    <w:basedOn w:val="7"/>
    <w:next w:val="7"/>
    <w:link w:val="3032"/>
    <w:qFormat/>
    <w:uiPriority w:val="0"/>
    <w:pPr>
      <w:tabs>
        <w:tab w:val="left" w:pos="992"/>
      </w:tabs>
      <w:adjustRightInd/>
      <w:snapToGrid/>
      <w:ind w:left="1008" w:hanging="432" w:firstLineChars="0"/>
    </w:pPr>
    <w:rPr>
      <w:bCs/>
      <w:spacing w:val="0"/>
      <w:kern w:val="0"/>
      <w:szCs w:val="28"/>
      <w:lang w:val="en-US"/>
    </w:rPr>
  </w:style>
  <w:style w:type="character" w:customStyle="1" w:styleId="3034">
    <w:name w:val="正文文字 3 Char Char4"/>
    <w:qFormat/>
    <w:uiPriority w:val="0"/>
    <w:rPr>
      <w:rFonts w:ascii="Times New Roman" w:hAnsi="Times New Roman" w:eastAsia="宋体" w:cs="Times New Roman"/>
      <w:sz w:val="24"/>
      <w:szCs w:val="24"/>
    </w:rPr>
  </w:style>
  <w:style w:type="character" w:customStyle="1" w:styleId="3035">
    <w:name w:val="Char Char452"/>
    <w:qFormat/>
    <w:uiPriority w:val="0"/>
    <w:rPr>
      <w:rFonts w:eastAsia="宋体"/>
      <w:kern w:val="2"/>
      <w:sz w:val="24"/>
      <w:szCs w:val="22"/>
      <w:lang w:val="en-US" w:eastAsia="zh-CN" w:bidi="ar-SA"/>
    </w:rPr>
  </w:style>
  <w:style w:type="character" w:customStyle="1" w:styleId="3036">
    <w:name w:val="Char Char1231"/>
    <w:qFormat/>
    <w:uiPriority w:val="0"/>
    <w:rPr>
      <w:rFonts w:ascii="Arial" w:hAnsi="Arial" w:eastAsia="黑体" w:cs="Times New Roman"/>
      <w:szCs w:val="21"/>
    </w:rPr>
  </w:style>
  <w:style w:type="character" w:customStyle="1" w:styleId="3037">
    <w:name w:val="Char Char154"/>
    <w:qFormat/>
    <w:uiPriority w:val="0"/>
    <w:rPr>
      <w:rFonts w:ascii="Times New Roman" w:hAnsi="Times New Roman" w:eastAsia="宋体" w:cs="Times New Roman"/>
      <w:b/>
      <w:bCs/>
      <w:sz w:val="28"/>
      <w:szCs w:val="28"/>
    </w:rPr>
  </w:style>
  <w:style w:type="character" w:customStyle="1" w:styleId="3038">
    <w:name w:val="Char Char354"/>
    <w:qFormat/>
    <w:uiPriority w:val="0"/>
    <w:rPr>
      <w:rFonts w:ascii="Calibri" w:hAnsi="Calibri" w:eastAsia="宋体"/>
      <w:b/>
      <w:bCs/>
      <w:kern w:val="2"/>
      <w:sz w:val="24"/>
      <w:szCs w:val="22"/>
      <w:lang w:val="en-US" w:eastAsia="zh-CN" w:bidi="ar-SA"/>
    </w:rPr>
  </w:style>
  <w:style w:type="character" w:customStyle="1" w:styleId="3039">
    <w:name w:val="表文字 Char Char Char"/>
    <w:qFormat/>
    <w:uiPriority w:val="0"/>
    <w:rPr>
      <w:rFonts w:eastAsia="宋体"/>
      <w:kern w:val="2"/>
      <w:sz w:val="21"/>
      <w:szCs w:val="21"/>
      <w:lang w:val="en-US" w:eastAsia="zh-CN" w:bidi="ar-SA"/>
    </w:rPr>
  </w:style>
  <w:style w:type="character" w:customStyle="1" w:styleId="3040">
    <w:name w:val="Char Char151"/>
    <w:qFormat/>
    <w:uiPriority w:val="0"/>
    <w:rPr>
      <w:rFonts w:ascii="Arial" w:hAnsi="Arial" w:eastAsia="黑体" w:cs="Times New Roman"/>
      <w:b/>
      <w:bCs/>
      <w:sz w:val="28"/>
      <w:szCs w:val="28"/>
    </w:rPr>
  </w:style>
  <w:style w:type="character" w:customStyle="1" w:styleId="3041">
    <w:name w:val="Char Char129"/>
    <w:qFormat/>
    <w:uiPriority w:val="0"/>
    <w:rPr>
      <w:rFonts w:ascii="Arial" w:hAnsi="Arial" w:eastAsia="黑体" w:cs="Times New Roman"/>
      <w:szCs w:val="21"/>
    </w:rPr>
  </w:style>
  <w:style w:type="character" w:customStyle="1" w:styleId="3042">
    <w:name w:val="font-title25"/>
    <w:qFormat/>
    <w:uiPriority w:val="0"/>
  </w:style>
  <w:style w:type="character" w:customStyle="1" w:styleId="3043">
    <w:name w:val="页眉1 Char"/>
    <w:link w:val="3044"/>
    <w:qFormat/>
    <w:uiPriority w:val="0"/>
    <w:rPr>
      <w:sz w:val="18"/>
      <w:szCs w:val="18"/>
    </w:rPr>
  </w:style>
  <w:style w:type="paragraph" w:customStyle="1" w:styleId="3044">
    <w:name w:val="页眉3"/>
    <w:basedOn w:val="1"/>
    <w:link w:val="3043"/>
    <w:qFormat/>
    <w:uiPriority w:val="0"/>
    <w:pPr>
      <w:pBdr>
        <w:bottom w:val="single" w:color="auto" w:sz="6" w:space="1"/>
      </w:pBdr>
      <w:tabs>
        <w:tab w:val="center" w:pos="4153"/>
        <w:tab w:val="right" w:pos="8306"/>
      </w:tabs>
      <w:snapToGrid w:val="0"/>
      <w:jc w:val="center"/>
    </w:pPr>
    <w:rPr>
      <w:kern w:val="0"/>
      <w:sz w:val="18"/>
      <w:szCs w:val="18"/>
    </w:rPr>
  </w:style>
  <w:style w:type="character" w:customStyle="1" w:styleId="3045">
    <w:name w:val="5表标题格式 Char"/>
    <w:link w:val="3046"/>
    <w:qFormat/>
    <w:uiPriority w:val="0"/>
    <w:rPr>
      <w:b/>
      <w:sz w:val="24"/>
    </w:rPr>
  </w:style>
  <w:style w:type="paragraph" w:customStyle="1" w:styleId="3046">
    <w:name w:val="5表标题格式"/>
    <w:basedOn w:val="1"/>
    <w:link w:val="3045"/>
    <w:qFormat/>
    <w:uiPriority w:val="0"/>
    <w:pPr>
      <w:jc w:val="center"/>
    </w:pPr>
    <w:rPr>
      <w:b/>
      <w:kern w:val="0"/>
      <w:sz w:val="24"/>
      <w:szCs w:val="20"/>
    </w:rPr>
  </w:style>
  <w:style w:type="character" w:customStyle="1" w:styleId="3047">
    <w:name w:val="图号 Char Char"/>
    <w:qFormat/>
    <w:uiPriority w:val="0"/>
    <w:rPr>
      <w:rFonts w:hint="eastAsia" w:ascii="宋体" w:hAnsi="宋体" w:eastAsia="宋体"/>
      <w:b/>
      <w:bCs/>
      <w:kern w:val="32"/>
      <w:sz w:val="24"/>
      <w:szCs w:val="24"/>
      <w:lang w:val="en-US" w:eastAsia="zh-CN"/>
    </w:rPr>
  </w:style>
  <w:style w:type="character" w:customStyle="1" w:styleId="3048">
    <w:name w:val="1.1.1标题 3 Char Char"/>
    <w:qFormat/>
    <w:uiPriority w:val="0"/>
    <w:rPr>
      <w:rFonts w:hint="default" w:ascii="Arial" w:hAnsi="Arial" w:eastAsia="宋体" w:cs="Times New Roman"/>
      <w:b/>
      <w:kern w:val="44"/>
      <w:sz w:val="30"/>
      <w:szCs w:val="20"/>
    </w:rPr>
  </w:style>
  <w:style w:type="character" w:customStyle="1" w:styleId="3049">
    <w:name w:val="目标题 1) Char Char"/>
    <w:qFormat/>
    <w:uiPriority w:val="0"/>
    <w:rPr>
      <w:rFonts w:ascii="Arial" w:hAnsi="Arial" w:eastAsia="黑体"/>
      <w:kern w:val="2"/>
      <w:sz w:val="24"/>
      <w:szCs w:val="24"/>
      <w:lang w:val="en-US" w:eastAsia="zh-CN" w:bidi="ar-SA"/>
    </w:rPr>
  </w:style>
  <w:style w:type="character" w:customStyle="1" w:styleId="3050">
    <w:name w:val="1 Char Char"/>
    <w:qFormat/>
    <w:uiPriority w:val="0"/>
    <w:rPr>
      <w:rFonts w:hint="default" w:ascii="Times New Roman" w:hAnsi="宋体" w:cs="Times New Roman"/>
      <w:b/>
      <w:bCs/>
      <w:kern w:val="2"/>
      <w:sz w:val="32"/>
      <w:szCs w:val="32"/>
    </w:rPr>
  </w:style>
  <w:style w:type="character" w:customStyle="1" w:styleId="3051">
    <w:name w:val="Char Char152"/>
    <w:qFormat/>
    <w:uiPriority w:val="0"/>
    <w:rPr>
      <w:rFonts w:ascii="Times New Roman" w:hAnsi="Times New Roman" w:eastAsia="宋体" w:cs="Times New Roman"/>
      <w:b/>
      <w:bCs/>
      <w:sz w:val="28"/>
      <w:szCs w:val="28"/>
    </w:rPr>
  </w:style>
  <w:style w:type="character" w:customStyle="1" w:styleId="3052">
    <w:name w:val="Char Char Char Char Char Char Char Char Char Char Char Char"/>
    <w:qFormat/>
    <w:locked/>
    <w:uiPriority w:val="0"/>
    <w:rPr>
      <w:rFonts w:ascii="Verdana" w:hAnsi="Verdana" w:eastAsia="宋体"/>
      <w:lang w:eastAsia="en-US" w:bidi="ar-SA"/>
    </w:rPr>
  </w:style>
  <w:style w:type="character" w:customStyle="1" w:styleId="3053">
    <w:name w:val="Char Char183"/>
    <w:qFormat/>
    <w:uiPriority w:val="0"/>
    <w:rPr>
      <w:rFonts w:ascii="Arial" w:hAnsi="Arial" w:eastAsia="黑体" w:cs="Times New Roman"/>
      <w:b/>
      <w:bCs/>
      <w:sz w:val="24"/>
      <w:szCs w:val="24"/>
    </w:rPr>
  </w:style>
  <w:style w:type="character" w:customStyle="1" w:styleId="3054">
    <w:name w:val="贾伦正文 Char"/>
    <w:link w:val="3055"/>
    <w:qFormat/>
    <w:uiPriority w:val="0"/>
    <w:rPr>
      <w:spacing w:val="-4"/>
      <w:sz w:val="24"/>
      <w:szCs w:val="28"/>
    </w:rPr>
  </w:style>
  <w:style w:type="paragraph" w:customStyle="1" w:styleId="3055">
    <w:name w:val="贾伦正文"/>
    <w:basedOn w:val="1"/>
    <w:link w:val="3054"/>
    <w:qFormat/>
    <w:uiPriority w:val="0"/>
    <w:pPr>
      <w:spacing w:line="360" w:lineRule="auto"/>
      <w:ind w:firstLine="200" w:firstLineChars="200"/>
    </w:pPr>
    <w:rPr>
      <w:spacing w:val="-4"/>
      <w:kern w:val="0"/>
      <w:sz w:val="24"/>
      <w:szCs w:val="28"/>
    </w:rPr>
  </w:style>
  <w:style w:type="character" w:customStyle="1" w:styleId="3056">
    <w:name w:val="Char Char296"/>
    <w:qFormat/>
    <w:uiPriority w:val="0"/>
    <w:rPr>
      <w:rFonts w:eastAsia="宋体"/>
      <w:kern w:val="2"/>
      <w:sz w:val="21"/>
      <w:szCs w:val="24"/>
      <w:lang w:val="en-US" w:eastAsia="zh-CN" w:bidi="ar-SA"/>
    </w:rPr>
  </w:style>
  <w:style w:type="character" w:customStyle="1" w:styleId="3057">
    <w:name w:val="Char Char1821"/>
    <w:qFormat/>
    <w:uiPriority w:val="0"/>
    <w:rPr>
      <w:rFonts w:ascii="Arial" w:hAnsi="Arial" w:eastAsia="黑体" w:cs="Times New Roman"/>
      <w:b/>
      <w:bCs/>
      <w:sz w:val="24"/>
      <w:szCs w:val="24"/>
    </w:rPr>
  </w:style>
  <w:style w:type="character" w:customStyle="1" w:styleId="3058">
    <w:name w:val="Char Char47"/>
    <w:qFormat/>
    <w:uiPriority w:val="0"/>
    <w:rPr>
      <w:rFonts w:hint="eastAsia" w:ascii="Times New Roman" w:hAnsi="Times New Roman" w:eastAsia="宋体"/>
      <w:b/>
      <w:sz w:val="32"/>
    </w:rPr>
  </w:style>
  <w:style w:type="character" w:customStyle="1" w:styleId="3059">
    <w:name w:val="签名 Char2"/>
    <w:qFormat/>
    <w:locked/>
    <w:uiPriority w:val="0"/>
    <w:rPr>
      <w:rFonts w:ascii="Times New Roman" w:hAnsi="Times New Roman" w:eastAsia="宋体" w:cs="Times New Roman"/>
      <w:b/>
      <w:bCs/>
      <w:kern w:val="44"/>
      <w:sz w:val="44"/>
      <w:szCs w:val="44"/>
    </w:rPr>
  </w:style>
  <w:style w:type="character" w:customStyle="1" w:styleId="3060">
    <w:name w:val="图 Char"/>
    <w:link w:val="3061"/>
    <w:qFormat/>
    <w:uiPriority w:val="0"/>
    <w:rPr>
      <w:rFonts w:ascii="Calibri Light" w:hAnsi="Calibri Light"/>
      <w:sz w:val="24"/>
      <w:szCs w:val="24"/>
    </w:rPr>
  </w:style>
  <w:style w:type="paragraph" w:customStyle="1" w:styleId="3061">
    <w:name w:val="标题 81"/>
    <w:basedOn w:val="1"/>
    <w:next w:val="1"/>
    <w:link w:val="3060"/>
    <w:qFormat/>
    <w:uiPriority w:val="0"/>
    <w:pPr>
      <w:overflowPunct w:val="0"/>
      <w:snapToGrid w:val="0"/>
      <w:spacing w:before="120" w:line="380" w:lineRule="exact"/>
      <w:ind w:firstLine="567"/>
      <w:textAlignment w:val="baseline"/>
      <w:outlineLvl w:val="7"/>
    </w:pPr>
    <w:rPr>
      <w:rFonts w:ascii="Calibri Light" w:hAnsi="Calibri Light"/>
      <w:kern w:val="0"/>
      <w:sz w:val="24"/>
    </w:rPr>
  </w:style>
  <w:style w:type="character" w:customStyle="1" w:styleId="3062">
    <w:name w:val="bds_nopic2"/>
    <w:qFormat/>
    <w:uiPriority w:val="0"/>
  </w:style>
  <w:style w:type="character" w:customStyle="1" w:styleId="3063">
    <w:name w:val="HTML 样本11"/>
    <w:qFormat/>
    <w:uiPriority w:val="0"/>
    <w:rPr>
      <w:rFonts w:hint="default" w:ascii="Courier New"/>
    </w:rPr>
  </w:style>
  <w:style w:type="character" w:customStyle="1" w:styleId="3064">
    <w:name w:val="节 Char1"/>
    <w:qFormat/>
    <w:uiPriority w:val="0"/>
    <w:rPr>
      <w:rFonts w:ascii="Arial" w:hAnsi="Arial" w:eastAsia="黑体"/>
      <w:b/>
      <w:bCs/>
      <w:kern w:val="2"/>
      <w:sz w:val="32"/>
      <w:szCs w:val="32"/>
      <w:lang w:val="en-US" w:eastAsia="zh-CN" w:bidi="ar-SA"/>
    </w:rPr>
  </w:style>
  <w:style w:type="character" w:customStyle="1" w:styleId="3065">
    <w:name w:val="Char Char411"/>
    <w:qFormat/>
    <w:uiPriority w:val="0"/>
    <w:rPr>
      <w:rFonts w:hint="default" w:eastAsia="宋体"/>
      <w:kern w:val="2"/>
      <w:sz w:val="24"/>
      <w:lang w:val="en-US" w:eastAsia="zh-CN"/>
    </w:rPr>
  </w:style>
  <w:style w:type="character" w:customStyle="1" w:styleId="3066">
    <w:name w:val="正文 Char Char"/>
    <w:qFormat/>
    <w:uiPriority w:val="0"/>
    <w:rPr>
      <w:rFonts w:ascii="宋体" w:hAnsi="宋体" w:eastAsia="宋体" w:cs="宋体"/>
      <w:kern w:val="2"/>
      <w:sz w:val="24"/>
      <w:szCs w:val="24"/>
      <w:lang w:val="en-US" w:eastAsia="zh-CN" w:bidi="ar-SA"/>
    </w:rPr>
  </w:style>
  <w:style w:type="character" w:customStyle="1" w:styleId="3067">
    <w:name w:val="bgbt5附表标题 Char"/>
    <w:link w:val="3068"/>
    <w:qFormat/>
    <w:uiPriority w:val="0"/>
    <w:rPr>
      <w:rFonts w:eastAsia="黑体"/>
    </w:rPr>
  </w:style>
  <w:style w:type="paragraph" w:customStyle="1" w:styleId="3068">
    <w:name w:val="bgbt5附表标题"/>
    <w:basedOn w:val="1"/>
    <w:next w:val="1"/>
    <w:link w:val="3067"/>
    <w:qFormat/>
    <w:uiPriority w:val="0"/>
    <w:pPr>
      <w:spacing w:before="60"/>
      <w:jc w:val="center"/>
      <w:outlineLvl w:val="4"/>
    </w:pPr>
    <w:rPr>
      <w:rFonts w:eastAsia="黑体"/>
      <w:kern w:val="0"/>
      <w:sz w:val="20"/>
      <w:szCs w:val="20"/>
    </w:rPr>
  </w:style>
  <w:style w:type="character" w:customStyle="1" w:styleId="3069">
    <w:name w:val="Char Char425"/>
    <w:qFormat/>
    <w:uiPriority w:val="0"/>
    <w:rPr>
      <w:rFonts w:ascii="宋体" w:hAnsi="宋体" w:eastAsia="宋体" w:cs="宋体"/>
      <w:sz w:val="24"/>
      <w:szCs w:val="24"/>
      <w:lang w:val="en-US" w:eastAsia="zh-CN" w:bidi="ar-SA"/>
    </w:rPr>
  </w:style>
  <w:style w:type="character" w:customStyle="1" w:styleId="3070">
    <w:name w:val="王 表格文字 Char"/>
    <w:link w:val="3071"/>
    <w:qFormat/>
    <w:uiPriority w:val="0"/>
    <w:rPr>
      <w:rFonts w:eastAsia="仿宋_GB2312"/>
      <w:snapToGrid w:val="0"/>
      <w:szCs w:val="24"/>
    </w:rPr>
  </w:style>
  <w:style w:type="paragraph" w:customStyle="1" w:styleId="3071">
    <w:name w:val="王 表格文字"/>
    <w:basedOn w:val="1"/>
    <w:link w:val="3070"/>
    <w:qFormat/>
    <w:uiPriority w:val="0"/>
    <w:pPr>
      <w:jc w:val="center"/>
    </w:pPr>
    <w:rPr>
      <w:rFonts w:eastAsia="仿宋_GB2312"/>
      <w:snapToGrid w:val="0"/>
      <w:kern w:val="0"/>
      <w:sz w:val="20"/>
    </w:rPr>
  </w:style>
  <w:style w:type="character" w:customStyle="1" w:styleId="3072">
    <w:name w:val="Char Char186"/>
    <w:qFormat/>
    <w:uiPriority w:val="0"/>
    <w:rPr>
      <w:rFonts w:ascii="Arial" w:hAnsi="Arial" w:eastAsia="黑体" w:cs="Times New Roman"/>
      <w:b/>
      <w:bCs/>
      <w:sz w:val="24"/>
      <w:szCs w:val="24"/>
    </w:rPr>
  </w:style>
  <w:style w:type="character" w:customStyle="1" w:styleId="3073">
    <w:name w:val="样式 (西文) Arial"/>
    <w:qFormat/>
    <w:uiPriority w:val="0"/>
    <w:rPr>
      <w:rFonts w:ascii="Arial" w:hAnsi="Arial" w:eastAsia="宋体" w:cs="宋体"/>
      <w:kern w:val="2"/>
      <w:sz w:val="24"/>
      <w:szCs w:val="24"/>
      <w:lang w:val="en-US" w:eastAsia="zh-CN" w:bidi="ar-SA"/>
    </w:rPr>
  </w:style>
  <w:style w:type="character" w:customStyle="1" w:styleId="3074">
    <w:name w:val="Char Char105"/>
    <w:qFormat/>
    <w:uiPriority w:val="0"/>
    <w:rPr>
      <w:rFonts w:eastAsia="宋体"/>
      <w:b/>
      <w:bCs/>
      <w:kern w:val="44"/>
      <w:sz w:val="44"/>
      <w:szCs w:val="44"/>
      <w:lang w:val="en-US" w:eastAsia="zh-CN" w:bidi="ar-SA"/>
    </w:rPr>
  </w:style>
  <w:style w:type="character" w:customStyle="1" w:styleId="3075">
    <w:name w:val="正文(首行缩进)宋旭峰 Char Char"/>
    <w:link w:val="3076"/>
    <w:qFormat/>
    <w:uiPriority w:val="0"/>
    <w:rPr>
      <w:sz w:val="24"/>
      <w:szCs w:val="24"/>
    </w:rPr>
  </w:style>
  <w:style w:type="paragraph" w:customStyle="1" w:styleId="3076">
    <w:name w:val="正文(首行缩进)宋旭峰"/>
    <w:basedOn w:val="21"/>
    <w:link w:val="3075"/>
    <w:qFormat/>
    <w:uiPriority w:val="0"/>
    <w:pPr>
      <w:spacing w:beforeLines="50" w:afterLines="50"/>
      <w:ind w:firstLine="440"/>
      <w:contextualSpacing/>
    </w:pPr>
    <w:rPr>
      <w:kern w:val="0"/>
      <w:szCs w:val="24"/>
    </w:rPr>
  </w:style>
  <w:style w:type="character" w:customStyle="1" w:styleId="3077">
    <w:name w:val="表格中 Char"/>
    <w:link w:val="3078"/>
    <w:qFormat/>
    <w:uiPriority w:val="0"/>
    <w:rPr>
      <w:snapToGrid w:val="0"/>
      <w:szCs w:val="21"/>
    </w:rPr>
  </w:style>
  <w:style w:type="paragraph" w:customStyle="1" w:styleId="3078">
    <w:name w:val="表格中"/>
    <w:basedOn w:val="1"/>
    <w:link w:val="3077"/>
    <w:qFormat/>
    <w:uiPriority w:val="0"/>
    <w:pPr>
      <w:adjustRightInd w:val="0"/>
      <w:snapToGrid w:val="0"/>
      <w:jc w:val="center"/>
      <w:textAlignment w:val="center"/>
    </w:pPr>
    <w:rPr>
      <w:snapToGrid w:val="0"/>
      <w:kern w:val="0"/>
      <w:sz w:val="20"/>
      <w:szCs w:val="21"/>
    </w:rPr>
  </w:style>
  <w:style w:type="character" w:customStyle="1" w:styleId="3079">
    <w:name w:val="f18bt"/>
    <w:qFormat/>
    <w:uiPriority w:val="0"/>
  </w:style>
  <w:style w:type="character" w:customStyle="1" w:styleId="3080">
    <w:name w:val="l171"/>
    <w:qFormat/>
    <w:uiPriority w:val="0"/>
  </w:style>
  <w:style w:type="character" w:customStyle="1" w:styleId="3081">
    <w:name w:val="Char Char1 Char Char Char Char Char Char Char Char Char Char Char Char Char Char Char Char Char Char Char Char1 Char Char"/>
    <w:link w:val="949"/>
    <w:qFormat/>
    <w:uiPriority w:val="0"/>
    <w:rPr>
      <w:kern w:val="2"/>
      <w:sz w:val="24"/>
      <w:szCs w:val="24"/>
    </w:rPr>
  </w:style>
  <w:style w:type="character" w:customStyle="1" w:styleId="3082">
    <w:name w:val="Char Char74"/>
    <w:qFormat/>
    <w:uiPriority w:val="0"/>
    <w:rPr>
      <w:rFonts w:ascii="Arial" w:hAnsi="Arial" w:eastAsia="黑体"/>
      <w:b/>
      <w:bCs/>
      <w:kern w:val="2"/>
      <w:sz w:val="24"/>
      <w:szCs w:val="24"/>
      <w:lang w:val="en-US" w:eastAsia="zh-CN" w:bidi="ar-SA"/>
    </w:rPr>
  </w:style>
  <w:style w:type="character" w:customStyle="1" w:styleId="3083">
    <w:name w:val="Char Char56"/>
    <w:qFormat/>
    <w:uiPriority w:val="0"/>
    <w:rPr>
      <w:rFonts w:ascii="Arial" w:hAnsi="Arial" w:eastAsia="宋体" w:cs="Times New Roman"/>
      <w:snapToGrid/>
      <w:sz w:val="28"/>
      <w:szCs w:val="20"/>
    </w:rPr>
  </w:style>
  <w:style w:type="character" w:customStyle="1" w:styleId="3084">
    <w:name w:val="Char Char43"/>
    <w:qFormat/>
    <w:uiPriority w:val="0"/>
    <w:rPr>
      <w:rFonts w:hint="eastAsia" w:ascii="宋体" w:eastAsia="宋体"/>
      <w:kern w:val="2"/>
      <w:sz w:val="18"/>
      <w:lang w:val="en-US" w:eastAsia="zh-CN"/>
    </w:rPr>
  </w:style>
  <w:style w:type="character" w:customStyle="1" w:styleId="3085">
    <w:name w:val="description5"/>
    <w:qFormat/>
    <w:uiPriority w:val="0"/>
  </w:style>
  <w:style w:type="character" w:customStyle="1" w:styleId="3086">
    <w:name w:val="fix1"/>
    <w:qFormat/>
    <w:uiPriority w:val="0"/>
    <w:rPr>
      <w:rFonts w:hint="default" w:ascii="-18030" w:hAnsi="-18030"/>
      <w:color w:val="000000"/>
      <w:spacing w:val="288"/>
      <w:sz w:val="20"/>
      <w:szCs w:val="20"/>
    </w:rPr>
  </w:style>
  <w:style w:type="character" w:customStyle="1" w:styleId="3087">
    <w:name w:val="表中文字 Char"/>
    <w:link w:val="1022"/>
    <w:qFormat/>
    <w:uiPriority w:val="0"/>
    <w:rPr>
      <w:kern w:val="2"/>
      <w:sz w:val="21"/>
    </w:rPr>
  </w:style>
  <w:style w:type="character" w:customStyle="1" w:styleId="3088">
    <w:name w:val="标题 2 Char Char Char Char Char1"/>
    <w:qFormat/>
    <w:locked/>
    <w:uiPriority w:val="0"/>
    <w:rPr>
      <w:rFonts w:ascii="宋体" w:hAnsi="宋体" w:eastAsia="宋体"/>
      <w:b/>
      <w:bCs/>
      <w:sz w:val="28"/>
      <w:szCs w:val="32"/>
      <w:lang w:val="en-US" w:eastAsia="zh-CN" w:bidi="ar-SA"/>
    </w:rPr>
  </w:style>
  <w:style w:type="character" w:customStyle="1" w:styleId="3089">
    <w:name w:val="H7 Char3"/>
    <w:qFormat/>
    <w:uiPriority w:val="0"/>
    <w:rPr>
      <w:rFonts w:eastAsia="宋体"/>
      <w:b/>
      <w:bCs/>
      <w:kern w:val="2"/>
      <w:sz w:val="24"/>
      <w:szCs w:val="24"/>
      <w:lang w:val="en-US" w:eastAsia="zh-CN" w:bidi="ar-SA"/>
    </w:rPr>
  </w:style>
  <w:style w:type="character" w:customStyle="1" w:styleId="3090">
    <w:name w:val="正文文字 2 Char Char"/>
    <w:link w:val="3091"/>
    <w:qFormat/>
    <w:uiPriority w:val="0"/>
    <w:rPr>
      <w:szCs w:val="24"/>
    </w:rPr>
  </w:style>
  <w:style w:type="paragraph" w:customStyle="1" w:styleId="3091">
    <w:name w:val="正文文本 21"/>
    <w:basedOn w:val="1"/>
    <w:link w:val="3090"/>
    <w:qFormat/>
    <w:uiPriority w:val="0"/>
    <w:pPr>
      <w:spacing w:after="120" w:line="480" w:lineRule="auto"/>
    </w:pPr>
    <w:rPr>
      <w:kern w:val="0"/>
      <w:sz w:val="20"/>
    </w:rPr>
  </w:style>
  <w:style w:type="character" w:customStyle="1" w:styleId="3092">
    <w:name w:val="标题 2 Char2"/>
    <w:qFormat/>
    <w:uiPriority w:val="0"/>
    <w:rPr>
      <w:rFonts w:ascii="黑体" w:hAnsi="Times New Roman" w:eastAsia="黑体" w:cs="Times New Roman"/>
      <w:sz w:val="28"/>
      <w:szCs w:val="24"/>
    </w:rPr>
  </w:style>
  <w:style w:type="character" w:customStyle="1" w:styleId="3093">
    <w:name w:val="左2 Char"/>
    <w:link w:val="3094"/>
    <w:qFormat/>
    <w:locked/>
    <w:uiPriority w:val="0"/>
    <w:rPr>
      <w:rFonts w:ascii="宋体" w:hAnsi="宋体"/>
      <w:sz w:val="28"/>
      <w:szCs w:val="28"/>
    </w:rPr>
  </w:style>
  <w:style w:type="paragraph" w:customStyle="1" w:styleId="3094">
    <w:name w:val="左2"/>
    <w:basedOn w:val="1"/>
    <w:next w:val="1"/>
    <w:link w:val="3093"/>
    <w:qFormat/>
    <w:uiPriority w:val="0"/>
    <w:pPr>
      <w:spacing w:line="500" w:lineRule="exact"/>
      <w:ind w:firstLine="560" w:firstLineChars="200"/>
    </w:pPr>
    <w:rPr>
      <w:rFonts w:ascii="宋体" w:hAnsi="宋体"/>
      <w:kern w:val="0"/>
      <w:sz w:val="28"/>
      <w:szCs w:val="28"/>
    </w:rPr>
  </w:style>
  <w:style w:type="character" w:customStyle="1" w:styleId="3095">
    <w:name w:val="标题 14 Char"/>
    <w:qFormat/>
    <w:uiPriority w:val="0"/>
    <w:rPr>
      <w:rFonts w:eastAsia="宋体"/>
      <w:b/>
      <w:bCs/>
      <w:kern w:val="2"/>
      <w:sz w:val="24"/>
      <w:szCs w:val="24"/>
      <w:lang w:val="en-US" w:eastAsia="zh-CN" w:bidi="ar-SA"/>
    </w:rPr>
  </w:style>
  <w:style w:type="character" w:customStyle="1" w:styleId="3096">
    <w:name w:val="Char Char721"/>
    <w:qFormat/>
    <w:uiPriority w:val="0"/>
    <w:rPr>
      <w:rFonts w:ascii="Arial" w:hAnsi="Arial" w:eastAsia="黑体"/>
      <w:b/>
      <w:bCs/>
      <w:kern w:val="2"/>
      <w:sz w:val="24"/>
      <w:szCs w:val="24"/>
      <w:lang w:val="en-US" w:eastAsia="zh-CN" w:bidi="ar-SA"/>
    </w:rPr>
  </w:style>
  <w:style w:type="character" w:customStyle="1" w:styleId="3097">
    <w:name w:val="Char Char97"/>
    <w:qFormat/>
    <w:uiPriority w:val="0"/>
    <w:rPr>
      <w:rFonts w:ascii="宋体" w:hAnsi="宋体" w:eastAsia="宋体"/>
      <w:sz w:val="24"/>
      <w:lang w:val="en-US" w:eastAsia="zh-CN" w:bidi="ar-SA"/>
    </w:rPr>
  </w:style>
  <w:style w:type="character" w:customStyle="1" w:styleId="3098">
    <w:name w:val="表右齐 Char"/>
    <w:link w:val="3099"/>
    <w:qFormat/>
    <w:uiPriority w:val="0"/>
    <w:rPr>
      <w:rFonts w:ascii="仿宋_GB2312"/>
      <w:kern w:val="18"/>
      <w:sz w:val="24"/>
      <w:szCs w:val="24"/>
    </w:rPr>
  </w:style>
  <w:style w:type="paragraph" w:customStyle="1" w:styleId="3099">
    <w:name w:val="表右齐"/>
    <w:basedOn w:val="1"/>
    <w:link w:val="3098"/>
    <w:qFormat/>
    <w:uiPriority w:val="0"/>
    <w:pPr>
      <w:adjustRightInd w:val="0"/>
      <w:snapToGrid w:val="0"/>
      <w:ind w:left="-54" w:leftChars="-23" w:right="22" w:rightChars="8" w:hanging="1"/>
      <w:jc w:val="right"/>
    </w:pPr>
    <w:rPr>
      <w:rFonts w:ascii="仿宋_GB2312"/>
      <w:kern w:val="18"/>
      <w:sz w:val="24"/>
      <w:shd w:val="clear" w:color="auto" w:fill="FFFFFF"/>
    </w:rPr>
  </w:style>
  <w:style w:type="character" w:customStyle="1" w:styleId="3100">
    <w:name w:val="副标题 Char2"/>
    <w:qFormat/>
    <w:uiPriority w:val="11"/>
    <w:rPr>
      <w:rFonts w:hint="default" w:ascii="Cambria" w:hAnsi="Cambria" w:eastAsia="宋体" w:cs="Times New Roman"/>
      <w:b/>
      <w:bCs/>
      <w:kern w:val="28"/>
      <w:sz w:val="32"/>
      <w:szCs w:val="32"/>
    </w:rPr>
  </w:style>
  <w:style w:type="character" w:customStyle="1" w:styleId="3101">
    <w:name w:val="123YJ Char Char5"/>
    <w:qFormat/>
    <w:uiPriority w:val="0"/>
    <w:rPr>
      <w:rFonts w:ascii="Times New Roman" w:hAnsi="Times New Roman" w:eastAsia="宋体" w:cs="Times New Roman"/>
      <w:sz w:val="18"/>
      <w:szCs w:val="18"/>
    </w:rPr>
  </w:style>
  <w:style w:type="character" w:customStyle="1" w:styleId="3102">
    <w:name w:val="Char Char87"/>
    <w:qFormat/>
    <w:uiPriority w:val="0"/>
    <w:rPr>
      <w:rFonts w:eastAsia="宋体"/>
      <w:b/>
      <w:bCs/>
      <w:kern w:val="2"/>
      <w:sz w:val="28"/>
      <w:szCs w:val="28"/>
      <w:lang w:val="en-US" w:eastAsia="zh-CN" w:bidi="ar-SA"/>
    </w:rPr>
  </w:style>
  <w:style w:type="character" w:customStyle="1" w:styleId="3103">
    <w:name w:val="页眉1 Char4"/>
    <w:qFormat/>
    <w:uiPriority w:val="0"/>
    <w:rPr>
      <w:rFonts w:eastAsia="宋体"/>
      <w:kern w:val="2"/>
      <w:sz w:val="18"/>
      <w:szCs w:val="18"/>
      <w:lang w:val="en-US" w:eastAsia="zh-CN" w:bidi="ar-SA"/>
    </w:rPr>
  </w:style>
  <w:style w:type="character" w:customStyle="1" w:styleId="3104">
    <w:name w:val="br1"/>
    <w:qFormat/>
    <w:uiPriority w:val="0"/>
  </w:style>
  <w:style w:type="character" w:customStyle="1" w:styleId="3105">
    <w:name w:val="5表头 Char Char"/>
    <w:qFormat/>
    <w:uiPriority w:val="0"/>
    <w:rPr>
      <w:b/>
      <w:color w:val="0000FF"/>
      <w:kern w:val="2"/>
      <w:sz w:val="21"/>
      <w:szCs w:val="21"/>
    </w:rPr>
  </w:style>
  <w:style w:type="character" w:customStyle="1" w:styleId="3106">
    <w:name w:val="Char Char463"/>
    <w:qFormat/>
    <w:uiPriority w:val="0"/>
    <w:rPr>
      <w:rFonts w:eastAsia="宋体"/>
      <w:kern w:val="2"/>
      <w:sz w:val="21"/>
      <w:szCs w:val="24"/>
      <w:lang w:val="en-US" w:eastAsia="zh-CN" w:bidi="ar-SA"/>
    </w:rPr>
  </w:style>
  <w:style w:type="character" w:customStyle="1" w:styleId="3107">
    <w:name w:val="干标题(a) Char Char1"/>
    <w:qFormat/>
    <w:uiPriority w:val="0"/>
    <w:rPr>
      <w:rFonts w:hint="eastAsia" w:ascii="Arial" w:hAnsi="Arial" w:eastAsia="黑体"/>
      <w:sz w:val="21"/>
      <w:lang w:val="en-US" w:eastAsia="zh-CN"/>
    </w:rPr>
  </w:style>
  <w:style w:type="character" w:customStyle="1" w:styleId="3108">
    <w:name w:val="Char Char166"/>
    <w:qFormat/>
    <w:uiPriority w:val="0"/>
    <w:rPr>
      <w:rFonts w:ascii="Arial" w:hAnsi="Arial" w:eastAsia="黑体" w:cs="Times New Roman"/>
      <w:sz w:val="24"/>
      <w:szCs w:val="24"/>
    </w:rPr>
  </w:style>
  <w:style w:type="character" w:customStyle="1" w:styleId="3109">
    <w:name w:val="Char Char241"/>
    <w:qFormat/>
    <w:uiPriority w:val="0"/>
    <w:rPr>
      <w:rFonts w:ascii="楷体_GB2312" w:eastAsia="楷体_GB2312"/>
      <w:kern w:val="2"/>
      <w:sz w:val="28"/>
      <w:lang w:val="en-US" w:eastAsia="zh-CN" w:bidi="ar-SA"/>
    </w:rPr>
  </w:style>
  <w:style w:type="character" w:customStyle="1" w:styleId="3110">
    <w:name w:val="表内字 Char1"/>
    <w:qFormat/>
    <w:uiPriority w:val="0"/>
    <w:rPr>
      <w:rFonts w:ascii="Times New Roman" w:hAnsi="Times New Roman" w:eastAsia="宋体" w:cs="Times New Roman"/>
      <w:color w:val="000000"/>
      <w:kern w:val="0"/>
      <w:szCs w:val="20"/>
    </w:rPr>
  </w:style>
  <w:style w:type="character" w:customStyle="1" w:styleId="3111">
    <w:name w:val="Char Char692"/>
    <w:qFormat/>
    <w:uiPriority w:val="0"/>
    <w:rPr>
      <w:rFonts w:ascii="宋体" w:hAnsi="宋体" w:eastAsia="宋体" w:cs="宋体"/>
      <w:kern w:val="0"/>
      <w:sz w:val="24"/>
      <w:szCs w:val="24"/>
    </w:rPr>
  </w:style>
  <w:style w:type="character" w:customStyle="1" w:styleId="3112">
    <w:name w:val="表格、图片名 Char"/>
    <w:link w:val="3113"/>
    <w:qFormat/>
    <w:locked/>
    <w:uiPriority w:val="99"/>
    <w:rPr>
      <w:rFonts w:eastAsia="黑体"/>
    </w:rPr>
  </w:style>
  <w:style w:type="paragraph" w:customStyle="1" w:styleId="3113">
    <w:name w:val="表格、图片名"/>
    <w:basedOn w:val="1"/>
    <w:link w:val="3112"/>
    <w:qFormat/>
    <w:uiPriority w:val="99"/>
    <w:pPr>
      <w:spacing w:line="360" w:lineRule="auto"/>
      <w:ind w:firstLine="480" w:firstLineChars="200"/>
      <w:jc w:val="center"/>
    </w:pPr>
    <w:rPr>
      <w:rFonts w:eastAsia="黑体"/>
      <w:kern w:val="0"/>
      <w:sz w:val="20"/>
      <w:szCs w:val="20"/>
    </w:rPr>
  </w:style>
  <w:style w:type="character" w:customStyle="1" w:styleId="3114">
    <w:name w:val="sp"/>
    <w:qFormat/>
    <w:uiPriority w:val="0"/>
  </w:style>
  <w:style w:type="character" w:customStyle="1" w:styleId="3115">
    <w:name w:val="第五层条 Char2"/>
    <w:qFormat/>
    <w:uiPriority w:val="0"/>
    <w:rPr>
      <w:rFonts w:ascii="Arial" w:hAnsi="Arial" w:eastAsia="黑体"/>
      <w:b/>
      <w:bCs/>
      <w:kern w:val="2"/>
      <w:sz w:val="24"/>
      <w:szCs w:val="24"/>
      <w:lang w:val="en-US" w:eastAsia="zh-CN" w:bidi="ar-SA"/>
    </w:rPr>
  </w:style>
  <w:style w:type="character" w:customStyle="1" w:styleId="3116">
    <w:name w:val="c Char"/>
    <w:link w:val="3117"/>
    <w:qFormat/>
    <w:uiPriority w:val="0"/>
    <w:rPr>
      <w:rFonts w:ascii="Arial" w:hAnsi="Arial" w:cs="Arial"/>
      <w:sz w:val="24"/>
      <w:szCs w:val="24"/>
    </w:rPr>
  </w:style>
  <w:style w:type="paragraph" w:customStyle="1" w:styleId="3117">
    <w:name w:val="c"/>
    <w:link w:val="3116"/>
    <w:qFormat/>
    <w:uiPriority w:val="0"/>
    <w:pPr>
      <w:widowControl w:val="0"/>
      <w:autoSpaceDE w:val="0"/>
      <w:autoSpaceDN w:val="0"/>
      <w:adjustRightInd w:val="0"/>
      <w:jc w:val="both"/>
    </w:pPr>
    <w:rPr>
      <w:rFonts w:ascii="Arial" w:hAnsi="Arial" w:eastAsia="宋体" w:cs="Arial"/>
      <w:sz w:val="24"/>
      <w:szCs w:val="24"/>
      <w:lang w:val="en-US" w:eastAsia="zh-CN" w:bidi="ar-SA"/>
    </w:rPr>
  </w:style>
  <w:style w:type="character" w:customStyle="1" w:styleId="3118">
    <w:name w:val="称呼 Char2"/>
    <w:qFormat/>
    <w:locked/>
    <w:uiPriority w:val="99"/>
    <w:rPr>
      <w:rFonts w:ascii="Times New Roman" w:hAnsi="Times New Roman" w:eastAsia="宋体" w:cs="Times New Roman"/>
      <w:b/>
      <w:bCs/>
      <w:sz w:val="24"/>
      <w:szCs w:val="24"/>
    </w:rPr>
  </w:style>
  <w:style w:type="character" w:customStyle="1" w:styleId="3119">
    <w:name w:val="888-正文 Char"/>
    <w:link w:val="3120"/>
    <w:qFormat/>
    <w:uiPriority w:val="0"/>
    <w:rPr>
      <w:sz w:val="24"/>
      <w:szCs w:val="24"/>
    </w:rPr>
  </w:style>
  <w:style w:type="paragraph" w:customStyle="1" w:styleId="3120">
    <w:name w:val="888-正文"/>
    <w:basedOn w:val="39"/>
    <w:link w:val="3119"/>
    <w:qFormat/>
    <w:uiPriority w:val="0"/>
    <w:pPr>
      <w:spacing w:after="0" w:line="360" w:lineRule="auto"/>
      <w:ind w:left="0" w:leftChars="0" w:right="0" w:rightChars="0" w:firstLine="200" w:firstLineChars="200"/>
    </w:pPr>
    <w:rPr>
      <w:kern w:val="0"/>
      <w:sz w:val="24"/>
    </w:rPr>
  </w:style>
  <w:style w:type="character" w:customStyle="1" w:styleId="3121">
    <w:name w:val="表左齐 Char"/>
    <w:link w:val="3122"/>
    <w:qFormat/>
    <w:uiPriority w:val="0"/>
    <w:rPr>
      <w:rFonts w:ascii="仿宋_GB2312"/>
      <w:kern w:val="18"/>
      <w:szCs w:val="24"/>
    </w:rPr>
  </w:style>
  <w:style w:type="paragraph" w:customStyle="1" w:styleId="3122">
    <w:name w:val="表左齐"/>
    <w:basedOn w:val="1"/>
    <w:link w:val="3121"/>
    <w:qFormat/>
    <w:uiPriority w:val="0"/>
    <w:pPr>
      <w:adjustRightInd w:val="0"/>
      <w:snapToGrid w:val="0"/>
      <w:ind w:firstLine="47"/>
    </w:pPr>
    <w:rPr>
      <w:rFonts w:ascii="仿宋_GB2312"/>
      <w:kern w:val="18"/>
      <w:sz w:val="20"/>
      <w:shd w:val="clear" w:color="auto" w:fill="FFFFFF"/>
    </w:rPr>
  </w:style>
  <w:style w:type="character" w:customStyle="1" w:styleId="3123">
    <w:name w:val="666666-图的标识 Char Char"/>
    <w:qFormat/>
    <w:locked/>
    <w:uiPriority w:val="0"/>
    <w:rPr>
      <w:rFonts w:ascii="黑体" w:hAnsi="宋体" w:eastAsia="黑体"/>
      <w:szCs w:val="21"/>
    </w:rPr>
  </w:style>
  <w:style w:type="character" w:customStyle="1" w:styleId="3124">
    <w:name w:val="Char Char102"/>
    <w:qFormat/>
    <w:uiPriority w:val="0"/>
    <w:rPr>
      <w:rFonts w:eastAsia="宋体"/>
      <w:b/>
      <w:bCs/>
      <w:kern w:val="44"/>
      <w:sz w:val="44"/>
      <w:szCs w:val="44"/>
      <w:lang w:val="en-US" w:eastAsia="zh-CN" w:bidi="ar-SA"/>
    </w:rPr>
  </w:style>
  <w:style w:type="character" w:customStyle="1" w:styleId="3125">
    <w:name w:val="Char Char112"/>
    <w:qFormat/>
    <w:uiPriority w:val="0"/>
    <w:rPr>
      <w:rFonts w:ascii="Times New Roman" w:hAnsi="Times New Roman" w:eastAsia="宋体" w:cs="Times New Roman"/>
      <w:szCs w:val="24"/>
      <w:shd w:val="clear" w:color="auto" w:fill="000080"/>
    </w:rPr>
  </w:style>
  <w:style w:type="character" w:customStyle="1" w:styleId="3126">
    <w:name w:val="Char Char261"/>
    <w:qFormat/>
    <w:uiPriority w:val="0"/>
    <w:rPr>
      <w:rFonts w:eastAsia="宋体"/>
      <w:kern w:val="2"/>
      <w:sz w:val="18"/>
      <w:szCs w:val="18"/>
      <w:lang w:val="en-US" w:eastAsia="zh-CN" w:bidi="ar-SA"/>
    </w:rPr>
  </w:style>
  <w:style w:type="character" w:customStyle="1" w:styleId="3127">
    <w:name w:val="Char Char98"/>
    <w:qFormat/>
    <w:uiPriority w:val="0"/>
    <w:rPr>
      <w:rFonts w:ascii="宋体" w:hAnsi="宋体" w:eastAsia="宋体"/>
      <w:sz w:val="24"/>
      <w:lang w:val="en-US" w:eastAsia="zh-CN" w:bidi="ar-SA"/>
    </w:rPr>
  </w:style>
  <w:style w:type="character" w:customStyle="1" w:styleId="3128">
    <w:name w:val="目标题 1) Char4"/>
    <w:qFormat/>
    <w:uiPriority w:val="0"/>
    <w:rPr>
      <w:rFonts w:ascii="Arial" w:hAnsi="Arial" w:eastAsia="黑体"/>
      <w:sz w:val="24"/>
      <w:szCs w:val="24"/>
      <w:lang w:val="en-US" w:eastAsia="zh-CN" w:bidi="ar-SA"/>
    </w:rPr>
  </w:style>
  <w:style w:type="character" w:customStyle="1" w:styleId="3129">
    <w:name w:val="Char Char361"/>
    <w:qFormat/>
    <w:uiPriority w:val="0"/>
    <w:rPr>
      <w:rFonts w:hint="eastAsia" w:ascii="宋体" w:hAnsi="宋体" w:eastAsia="宋体"/>
      <w:sz w:val="24"/>
      <w:lang w:val="en-US" w:eastAsia="zh-CN"/>
    </w:rPr>
  </w:style>
  <w:style w:type="character" w:customStyle="1" w:styleId="3130">
    <w:name w:val="正文宋体小四1.5行 Char Char"/>
    <w:qFormat/>
    <w:uiPriority w:val="0"/>
    <w:rPr>
      <w:rFonts w:eastAsia="宋体"/>
      <w:kern w:val="2"/>
      <w:sz w:val="21"/>
      <w:szCs w:val="24"/>
      <w:lang w:val="en-US" w:eastAsia="zh-CN" w:bidi="ar-SA"/>
    </w:rPr>
  </w:style>
  <w:style w:type="character" w:customStyle="1" w:styleId="3131">
    <w:name w:val="表文字居中 Char Char"/>
    <w:link w:val="3132"/>
    <w:qFormat/>
    <w:uiPriority w:val="0"/>
    <w:rPr>
      <w:rFonts w:ascii="宋体"/>
      <w:snapToGrid w:val="0"/>
      <w:szCs w:val="24"/>
    </w:rPr>
  </w:style>
  <w:style w:type="paragraph" w:customStyle="1" w:styleId="3132">
    <w:name w:val="表文字居中"/>
    <w:basedOn w:val="6"/>
    <w:next w:val="1"/>
    <w:link w:val="3131"/>
    <w:qFormat/>
    <w:uiPriority w:val="0"/>
    <w:pPr>
      <w:keepNext w:val="0"/>
      <w:keepLines w:val="0"/>
      <w:adjustRightInd w:val="0"/>
      <w:snapToGrid w:val="0"/>
      <w:spacing w:line="240" w:lineRule="auto"/>
      <w:jc w:val="center"/>
    </w:pPr>
    <w:rPr>
      <w:rFonts w:ascii="宋体"/>
      <w:b w:val="0"/>
      <w:bCs w:val="0"/>
      <w:snapToGrid w:val="0"/>
      <w:kern w:val="0"/>
      <w:sz w:val="20"/>
    </w:rPr>
  </w:style>
  <w:style w:type="character" w:customStyle="1" w:styleId="3133">
    <w:name w:val="px14"/>
    <w:qFormat/>
    <w:uiPriority w:val="0"/>
  </w:style>
  <w:style w:type="character" w:customStyle="1" w:styleId="3134">
    <w:name w:val="fcc 正文 Char"/>
    <w:link w:val="3135"/>
    <w:qFormat/>
    <w:locked/>
    <w:uiPriority w:val="99"/>
    <w:rPr>
      <w:sz w:val="24"/>
    </w:rPr>
  </w:style>
  <w:style w:type="paragraph" w:customStyle="1" w:styleId="3135">
    <w:name w:val="fcc 正文"/>
    <w:basedOn w:val="4"/>
    <w:link w:val="3134"/>
    <w:qFormat/>
    <w:uiPriority w:val="99"/>
    <w:pPr>
      <w:keepNext w:val="0"/>
      <w:keepLines w:val="0"/>
      <w:spacing w:before="0" w:after="0" w:line="360" w:lineRule="auto"/>
      <w:ind w:firstLine="510"/>
      <w:outlineLvl w:val="9"/>
    </w:pPr>
    <w:rPr>
      <w:rFonts w:ascii="Times New Roman" w:hAnsi="Times New Roman" w:eastAsia="宋体"/>
      <w:b w:val="0"/>
      <w:bCs w:val="0"/>
      <w:kern w:val="0"/>
      <w:sz w:val="24"/>
      <w:szCs w:val="20"/>
    </w:rPr>
  </w:style>
  <w:style w:type="character" w:customStyle="1" w:styleId="3136">
    <w:name w:val="Char Char257"/>
    <w:qFormat/>
    <w:uiPriority w:val="0"/>
    <w:rPr>
      <w:rFonts w:eastAsia="宋体"/>
      <w:kern w:val="2"/>
      <w:sz w:val="21"/>
      <w:lang w:val="en-US" w:eastAsia="zh-CN" w:bidi="ar-SA"/>
    </w:rPr>
  </w:style>
  <w:style w:type="character" w:customStyle="1" w:styleId="3137">
    <w:name w:val="样式6 Char"/>
    <w:link w:val="1012"/>
    <w:qFormat/>
    <w:uiPriority w:val="0"/>
    <w:rPr>
      <w:kern w:val="2"/>
      <w:sz w:val="21"/>
      <w:szCs w:val="24"/>
    </w:rPr>
  </w:style>
  <w:style w:type="character" w:customStyle="1" w:styleId="3138">
    <w:name w:val="Font Style303"/>
    <w:qFormat/>
    <w:uiPriority w:val="0"/>
    <w:rPr>
      <w:rFonts w:ascii="宋体" w:eastAsia="宋体" w:cs="宋体"/>
      <w:sz w:val="20"/>
      <w:szCs w:val="20"/>
    </w:rPr>
  </w:style>
  <w:style w:type="character" w:customStyle="1" w:styleId="3139">
    <w:name w:val="标题 4 Char11"/>
    <w:qFormat/>
    <w:uiPriority w:val="0"/>
    <w:rPr>
      <w:rFonts w:hint="eastAsia" w:ascii="黑体" w:hAnsi="Arial" w:eastAsia="黑体"/>
      <w:b/>
      <w:bCs/>
      <w:kern w:val="2"/>
      <w:sz w:val="24"/>
      <w:szCs w:val="24"/>
    </w:rPr>
  </w:style>
  <w:style w:type="character" w:customStyle="1" w:styleId="3140">
    <w:name w:val="Char Char172"/>
    <w:qFormat/>
    <w:uiPriority w:val="0"/>
    <w:rPr>
      <w:rFonts w:ascii="Times New Roman" w:hAnsi="Times New Roman" w:eastAsia="宋体" w:cs="Times New Roman"/>
      <w:b/>
      <w:bCs/>
      <w:sz w:val="24"/>
      <w:szCs w:val="24"/>
    </w:rPr>
  </w:style>
  <w:style w:type="character" w:customStyle="1" w:styleId="3141">
    <w:name w:val="Char Char1631"/>
    <w:qFormat/>
    <w:uiPriority w:val="0"/>
    <w:rPr>
      <w:rFonts w:eastAsia="宋体"/>
      <w:kern w:val="2"/>
      <w:sz w:val="18"/>
      <w:szCs w:val="18"/>
      <w:lang w:val="en-US" w:eastAsia="zh-CN" w:bidi="ar-SA"/>
    </w:rPr>
  </w:style>
  <w:style w:type="character" w:customStyle="1" w:styleId="3142">
    <w:name w:val="zzw Char Char"/>
    <w:qFormat/>
    <w:uiPriority w:val="0"/>
    <w:rPr>
      <w:rFonts w:ascii="Times New Roman" w:hAnsi="Times New Roman"/>
      <w:color w:val="000000"/>
      <w:sz w:val="24"/>
      <w:szCs w:val="24"/>
    </w:rPr>
  </w:style>
  <w:style w:type="character" w:customStyle="1" w:styleId="3143">
    <w:name w:val="Char Char454"/>
    <w:qFormat/>
    <w:uiPriority w:val="0"/>
    <w:rPr>
      <w:rFonts w:ascii="Cambria" w:hAnsi="Cambria" w:eastAsia="宋体"/>
      <w:b/>
      <w:bCs/>
      <w:sz w:val="32"/>
      <w:szCs w:val="32"/>
      <w:lang w:val="en-US" w:eastAsia="zh-CN" w:bidi="ar-SA"/>
    </w:rPr>
  </w:style>
  <w:style w:type="character" w:customStyle="1" w:styleId="3144">
    <w:name w:val="Char Char254"/>
    <w:qFormat/>
    <w:uiPriority w:val="0"/>
    <w:rPr>
      <w:rFonts w:eastAsia="宋体"/>
      <w:kern w:val="2"/>
      <w:sz w:val="21"/>
      <w:lang w:val="en-US" w:eastAsia="zh-CN" w:bidi="ar-SA"/>
    </w:rPr>
  </w:style>
  <w:style w:type="character" w:customStyle="1" w:styleId="3145">
    <w:name w:val="正文文本最新 Char Char Char Char1 Char Char"/>
    <w:link w:val="3146"/>
    <w:qFormat/>
    <w:uiPriority w:val="0"/>
    <w:rPr>
      <w:bCs/>
      <w:sz w:val="28"/>
      <w:szCs w:val="24"/>
    </w:rPr>
  </w:style>
  <w:style w:type="paragraph" w:customStyle="1" w:styleId="3146">
    <w:name w:val="正文文本最新 Char Char Char Char1 Char"/>
    <w:basedOn w:val="1"/>
    <w:link w:val="3145"/>
    <w:qFormat/>
    <w:uiPriority w:val="0"/>
    <w:pPr>
      <w:spacing w:line="360" w:lineRule="auto"/>
      <w:ind w:firstLine="200" w:firstLineChars="200"/>
    </w:pPr>
    <w:rPr>
      <w:bCs/>
      <w:kern w:val="0"/>
      <w:sz w:val="28"/>
    </w:rPr>
  </w:style>
  <w:style w:type="character" w:customStyle="1" w:styleId="3147">
    <w:name w:val="样式 标题 3小标题小节标题 + Char Char"/>
    <w:qFormat/>
    <w:uiPriority w:val="0"/>
    <w:rPr>
      <w:rFonts w:ascii="宋体" w:eastAsia="黑体"/>
      <w:bCs/>
      <w:sz w:val="28"/>
      <w:szCs w:val="28"/>
    </w:rPr>
  </w:style>
  <w:style w:type="character" w:customStyle="1" w:styleId="3148">
    <w:name w:val="标题三 Char Char Char"/>
    <w:qFormat/>
    <w:uiPriority w:val="0"/>
    <w:rPr>
      <w:rFonts w:ascii="Times New Roman" w:hAnsi="Times New Roman"/>
      <w:b/>
      <w:bCs/>
      <w:sz w:val="30"/>
      <w:szCs w:val="30"/>
    </w:rPr>
  </w:style>
  <w:style w:type="character" w:customStyle="1" w:styleId="3149">
    <w:name w:val="正文JWJ Char Char"/>
    <w:link w:val="3150"/>
    <w:qFormat/>
    <w:uiPriority w:val="0"/>
    <w:rPr>
      <w:sz w:val="24"/>
      <w:szCs w:val="24"/>
    </w:rPr>
  </w:style>
  <w:style w:type="paragraph" w:customStyle="1" w:styleId="3150">
    <w:name w:val="正文JWJ"/>
    <w:basedOn w:val="1"/>
    <w:link w:val="3149"/>
    <w:qFormat/>
    <w:uiPriority w:val="0"/>
    <w:pPr>
      <w:spacing w:line="360" w:lineRule="auto"/>
      <w:ind w:firstLine="480" w:firstLineChars="200"/>
    </w:pPr>
    <w:rPr>
      <w:kern w:val="0"/>
      <w:sz w:val="24"/>
    </w:rPr>
  </w:style>
  <w:style w:type="character" w:customStyle="1" w:styleId="3151">
    <w:name w:val="Char Char252"/>
    <w:qFormat/>
    <w:uiPriority w:val="0"/>
    <w:rPr>
      <w:rFonts w:ascii="Courier New" w:hAnsi="Courier New" w:eastAsia="宋体" w:cs="Courier New"/>
      <w:sz w:val="20"/>
      <w:szCs w:val="20"/>
    </w:rPr>
  </w:style>
  <w:style w:type="character" w:customStyle="1" w:styleId="3152">
    <w:name w:val="number2"/>
    <w:qFormat/>
    <w:uiPriority w:val="0"/>
  </w:style>
  <w:style w:type="character" w:customStyle="1" w:styleId="3153">
    <w:name w:val="文本框小四 Char Char"/>
    <w:qFormat/>
    <w:uiPriority w:val="0"/>
    <w:rPr>
      <w:rFonts w:ascii="宋体" w:hAnsi="宋体" w:eastAsia="仿宋_GB2312" w:cs="Courier New"/>
      <w:kern w:val="2"/>
      <w:sz w:val="24"/>
      <w:szCs w:val="24"/>
      <w:lang w:val="en-US" w:eastAsia="zh-CN" w:bidi="ar-SA"/>
    </w:rPr>
  </w:style>
  <w:style w:type="character" w:customStyle="1" w:styleId="3154">
    <w:name w:val="图题 Char"/>
    <w:link w:val="3155"/>
    <w:qFormat/>
    <w:locked/>
    <w:uiPriority w:val="0"/>
    <w:rPr>
      <w:b/>
      <w:color w:val="000000"/>
      <w:kern w:val="32"/>
      <w:sz w:val="24"/>
    </w:rPr>
  </w:style>
  <w:style w:type="paragraph" w:customStyle="1" w:styleId="3155">
    <w:name w:val="图题"/>
    <w:basedOn w:val="1"/>
    <w:link w:val="3154"/>
    <w:qFormat/>
    <w:uiPriority w:val="0"/>
    <w:pPr>
      <w:adjustRightInd w:val="0"/>
      <w:snapToGrid w:val="0"/>
      <w:spacing w:beforeLines="25"/>
      <w:jc w:val="center"/>
    </w:pPr>
    <w:rPr>
      <w:b/>
      <w:color w:val="000000"/>
      <w:kern w:val="32"/>
      <w:sz w:val="24"/>
      <w:szCs w:val="20"/>
    </w:rPr>
  </w:style>
  <w:style w:type="character" w:customStyle="1" w:styleId="3156">
    <w:name w:val="正文文字 2 Char Char8"/>
    <w:qFormat/>
    <w:uiPriority w:val="0"/>
    <w:rPr>
      <w:rFonts w:hint="default" w:ascii="Times New Roman" w:hAnsi="Times New Roman" w:cs="Times New Roman"/>
      <w:kern w:val="2"/>
      <w:sz w:val="21"/>
    </w:rPr>
  </w:style>
  <w:style w:type="character" w:customStyle="1" w:styleId="3157">
    <w:name w:val="hf-正文 Char"/>
    <w:link w:val="3158"/>
    <w:qFormat/>
    <w:uiPriority w:val="0"/>
    <w:rPr>
      <w:sz w:val="24"/>
      <w:szCs w:val="24"/>
    </w:rPr>
  </w:style>
  <w:style w:type="paragraph" w:customStyle="1" w:styleId="3158">
    <w:name w:val="hf-正文"/>
    <w:basedOn w:val="1"/>
    <w:link w:val="3157"/>
    <w:qFormat/>
    <w:uiPriority w:val="0"/>
    <w:pPr>
      <w:adjustRightInd w:val="0"/>
      <w:snapToGrid w:val="0"/>
      <w:spacing w:line="360" w:lineRule="auto"/>
    </w:pPr>
    <w:rPr>
      <w:kern w:val="0"/>
      <w:sz w:val="24"/>
    </w:rPr>
  </w:style>
  <w:style w:type="character" w:customStyle="1" w:styleId="3159">
    <w:name w:val="Char Char921"/>
    <w:qFormat/>
    <w:uiPriority w:val="0"/>
    <w:rPr>
      <w:rFonts w:ascii="宋体" w:hAnsi="宋体" w:eastAsia="宋体"/>
      <w:sz w:val="24"/>
      <w:lang w:val="en-US" w:eastAsia="zh-CN" w:bidi="ar-SA"/>
    </w:rPr>
  </w:style>
  <w:style w:type="character" w:customStyle="1" w:styleId="3160">
    <w:name w:val="Char Char364"/>
    <w:qFormat/>
    <w:uiPriority w:val="0"/>
    <w:rPr>
      <w:rFonts w:ascii="Calibri" w:hAnsi="Calibri" w:eastAsia="宋体"/>
      <w:kern w:val="2"/>
      <w:sz w:val="24"/>
      <w:szCs w:val="22"/>
      <w:lang w:val="en-US" w:eastAsia="zh-CN" w:bidi="ar-SA"/>
    </w:rPr>
  </w:style>
  <w:style w:type="character" w:customStyle="1" w:styleId="3161">
    <w:name w:val="1级标题 Char Char"/>
    <w:qFormat/>
    <w:locked/>
    <w:uiPriority w:val="0"/>
    <w:rPr>
      <w:b/>
      <w:bCs/>
      <w:sz w:val="44"/>
      <w:szCs w:val="44"/>
    </w:rPr>
  </w:style>
  <w:style w:type="character" w:customStyle="1" w:styleId="3162">
    <w:name w:val="标题14"/>
    <w:qFormat/>
    <w:uiPriority w:val="0"/>
  </w:style>
  <w:style w:type="character" w:customStyle="1" w:styleId="3163">
    <w:name w:val="新格式表 Char"/>
    <w:link w:val="3164"/>
    <w:qFormat/>
    <w:uiPriority w:val="0"/>
    <w:rPr>
      <w:b/>
      <w:color w:val="FF0000"/>
      <w:szCs w:val="21"/>
    </w:rPr>
  </w:style>
  <w:style w:type="paragraph" w:customStyle="1" w:styleId="3164">
    <w:name w:val="新格式表"/>
    <w:basedOn w:val="1"/>
    <w:link w:val="3163"/>
    <w:qFormat/>
    <w:uiPriority w:val="0"/>
    <w:pPr>
      <w:jc w:val="center"/>
    </w:pPr>
    <w:rPr>
      <w:b/>
      <w:color w:val="FF0000"/>
      <w:kern w:val="0"/>
      <w:sz w:val="20"/>
      <w:szCs w:val="21"/>
    </w:rPr>
  </w:style>
  <w:style w:type="character" w:customStyle="1" w:styleId="3165">
    <w:name w:val="666666-正文文本 Char"/>
    <w:link w:val="3166"/>
    <w:qFormat/>
    <w:uiPriority w:val="0"/>
    <w:rPr>
      <w:sz w:val="24"/>
      <w:szCs w:val="24"/>
    </w:rPr>
  </w:style>
  <w:style w:type="paragraph" w:customStyle="1" w:styleId="3166">
    <w:name w:val="666666-正文文本"/>
    <w:link w:val="3165"/>
    <w:qFormat/>
    <w:uiPriority w:val="0"/>
    <w:pPr>
      <w:autoSpaceDE w:val="0"/>
      <w:autoSpaceDN w:val="0"/>
      <w:adjustRightInd w:val="0"/>
      <w:spacing w:line="360" w:lineRule="auto"/>
      <w:ind w:firstLine="200" w:firstLineChars="200"/>
      <w:jc w:val="both"/>
    </w:pPr>
    <w:rPr>
      <w:rFonts w:ascii="Times New Roman" w:hAnsi="Times New Roman" w:eastAsia="宋体" w:cs="Times New Roman"/>
      <w:sz w:val="24"/>
      <w:szCs w:val="24"/>
      <w:lang w:val="en-US" w:eastAsia="zh-CN" w:bidi="ar-SA"/>
    </w:rPr>
  </w:style>
  <w:style w:type="character" w:customStyle="1" w:styleId="3167">
    <w:name w:val="6表头 Char"/>
    <w:link w:val="3168"/>
    <w:qFormat/>
    <w:locked/>
    <w:uiPriority w:val="0"/>
    <w:rPr>
      <w:rFonts w:ascii="Calibri" w:hAnsi="Calibri" w:eastAsia="黑体" w:cs="Calibri"/>
      <w:szCs w:val="21"/>
    </w:rPr>
  </w:style>
  <w:style w:type="paragraph" w:customStyle="1" w:styleId="3168">
    <w:name w:val="6表头"/>
    <w:basedOn w:val="1"/>
    <w:link w:val="3167"/>
    <w:qFormat/>
    <w:uiPriority w:val="0"/>
    <w:pPr>
      <w:spacing w:beforeLines="50"/>
      <w:jc w:val="center"/>
    </w:pPr>
    <w:rPr>
      <w:rFonts w:ascii="Calibri" w:hAnsi="Calibri" w:eastAsia="黑体" w:cs="Calibri"/>
      <w:kern w:val="0"/>
      <w:sz w:val="20"/>
      <w:szCs w:val="21"/>
    </w:rPr>
  </w:style>
  <w:style w:type="character" w:customStyle="1" w:styleId="3169">
    <w:name w:val="正文首行缩进 Char1 Char Char7"/>
    <w:qFormat/>
    <w:uiPriority w:val="0"/>
    <w:rPr>
      <w:rFonts w:hint="eastAsia" w:ascii="Times New Roman" w:hAnsi="Times New Roman" w:eastAsia="宋体"/>
      <w:kern w:val="2"/>
      <w:sz w:val="24"/>
      <w:lang w:val="en-US" w:eastAsia="zh-CN"/>
    </w:rPr>
  </w:style>
  <w:style w:type="character" w:customStyle="1" w:styleId="3170">
    <w:name w:val="表、图名 Char Char"/>
    <w:qFormat/>
    <w:uiPriority w:val="0"/>
    <w:rPr>
      <w:rFonts w:ascii="黑体" w:eastAsia="黑体"/>
      <w:color w:val="000000"/>
      <w:sz w:val="21"/>
      <w:szCs w:val="21"/>
      <w:lang w:val="en-US" w:eastAsia="zh-CN"/>
    </w:rPr>
  </w:style>
  <w:style w:type="character" w:customStyle="1" w:styleId="3171">
    <w:name w:val="图号 Char"/>
    <w:qFormat/>
    <w:uiPriority w:val="0"/>
    <w:rPr>
      <w:rFonts w:hint="eastAsia" w:ascii="宋体" w:hAnsi="宋体" w:eastAsia="宋体"/>
      <w:b/>
      <w:bCs/>
      <w:kern w:val="32"/>
      <w:sz w:val="24"/>
      <w:szCs w:val="24"/>
      <w:lang w:val="en-US" w:eastAsia="zh-CN" w:bidi="ar-SA"/>
    </w:rPr>
  </w:style>
  <w:style w:type="character" w:customStyle="1" w:styleId="3172">
    <w:name w:val="Char Char113"/>
    <w:qFormat/>
    <w:uiPriority w:val="0"/>
    <w:rPr>
      <w:rFonts w:ascii="Times New Roman" w:hAnsi="Times New Roman" w:eastAsia="宋体" w:cs="Times New Roman"/>
      <w:szCs w:val="24"/>
      <w:shd w:val="clear" w:color="auto" w:fill="000080"/>
    </w:rPr>
  </w:style>
  <w:style w:type="character" w:customStyle="1" w:styleId="3173">
    <w:name w:val="3标题(治) Char"/>
    <w:link w:val="3174"/>
    <w:qFormat/>
    <w:uiPriority w:val="0"/>
    <w:rPr>
      <w:b/>
      <w:bCs/>
      <w:sz w:val="28"/>
      <w:szCs w:val="28"/>
    </w:rPr>
  </w:style>
  <w:style w:type="paragraph" w:customStyle="1" w:styleId="3174">
    <w:name w:val="3标题(治)"/>
    <w:basedOn w:val="5"/>
    <w:link w:val="3173"/>
    <w:qFormat/>
    <w:uiPriority w:val="0"/>
    <w:pPr>
      <w:adjustRightInd w:val="0"/>
      <w:snapToGrid w:val="0"/>
      <w:spacing w:before="0" w:beforeLines="50" w:after="0" w:afterLines="50" w:line="360" w:lineRule="auto"/>
      <w:textAlignment w:val="baseline"/>
    </w:pPr>
    <w:rPr>
      <w:kern w:val="0"/>
      <w:sz w:val="28"/>
      <w:szCs w:val="28"/>
    </w:rPr>
  </w:style>
  <w:style w:type="character" w:customStyle="1" w:styleId="3175">
    <w:name w:val="正文000 Char"/>
    <w:link w:val="3176"/>
    <w:qFormat/>
    <w:uiPriority w:val="0"/>
    <w:rPr>
      <w:rFonts w:ascii="Calibri" w:hAnsi="Calibri"/>
      <w:sz w:val="24"/>
    </w:rPr>
  </w:style>
  <w:style w:type="paragraph" w:customStyle="1" w:styleId="3176">
    <w:name w:val="正文000"/>
    <w:basedOn w:val="1"/>
    <w:link w:val="3175"/>
    <w:qFormat/>
    <w:uiPriority w:val="0"/>
    <w:pPr>
      <w:adjustRightInd w:val="0"/>
      <w:spacing w:line="360" w:lineRule="auto"/>
      <w:ind w:firstLine="480" w:firstLineChars="200"/>
      <w:textAlignment w:val="center"/>
    </w:pPr>
    <w:rPr>
      <w:rFonts w:ascii="Calibri" w:hAnsi="Calibri"/>
      <w:kern w:val="0"/>
      <w:sz w:val="24"/>
      <w:szCs w:val="20"/>
    </w:rPr>
  </w:style>
  <w:style w:type="character" w:customStyle="1" w:styleId="3177">
    <w:name w:val="Char Char64"/>
    <w:qFormat/>
    <w:locked/>
    <w:uiPriority w:val="0"/>
    <w:rPr>
      <w:rFonts w:eastAsia="宋体"/>
      <w:kern w:val="44"/>
      <w:sz w:val="44"/>
      <w:szCs w:val="44"/>
      <w:lang w:val="en-US" w:eastAsia="zh-CN" w:bidi="ar-SA"/>
    </w:rPr>
  </w:style>
  <w:style w:type="character" w:customStyle="1" w:styleId="3178">
    <w:name w:val="正文文字 2 Char Char4"/>
    <w:qFormat/>
    <w:uiPriority w:val="0"/>
    <w:rPr>
      <w:rFonts w:eastAsia="宋体"/>
      <w:kern w:val="2"/>
      <w:sz w:val="28"/>
      <w:szCs w:val="24"/>
      <w:lang w:val="en-US" w:eastAsia="zh-CN" w:bidi="ar-SA"/>
    </w:rPr>
  </w:style>
  <w:style w:type="character" w:customStyle="1" w:styleId="3179">
    <w:name w:val="文本框五号1.5倍行距 Char Char"/>
    <w:qFormat/>
    <w:uiPriority w:val="0"/>
    <w:rPr>
      <w:rFonts w:ascii="宋体" w:hAnsi="宋体" w:eastAsia="仿宋_GB2312" w:cs="Courier New"/>
      <w:kern w:val="2"/>
      <w:sz w:val="21"/>
      <w:szCs w:val="21"/>
      <w:lang w:val="en-US" w:eastAsia="zh-CN" w:bidi="ar-SA"/>
    </w:rPr>
  </w:style>
  <w:style w:type="character" w:customStyle="1" w:styleId="3180">
    <w:name w:val="Font Style338"/>
    <w:qFormat/>
    <w:uiPriority w:val="0"/>
    <w:rPr>
      <w:rFonts w:ascii="宋体" w:eastAsia="宋体" w:cs="宋体"/>
      <w:w w:val="120"/>
      <w:sz w:val="18"/>
      <w:szCs w:val="18"/>
    </w:rPr>
  </w:style>
  <w:style w:type="character" w:customStyle="1" w:styleId="3181">
    <w:name w:val="表注 Char"/>
    <w:link w:val="3182"/>
    <w:qFormat/>
    <w:uiPriority w:val="0"/>
    <w:rPr>
      <w:rFonts w:ascii="宋体"/>
      <w:color w:val="FF0000"/>
      <w:kern w:val="24"/>
    </w:rPr>
  </w:style>
  <w:style w:type="paragraph" w:customStyle="1" w:styleId="3182">
    <w:name w:val="表注"/>
    <w:basedOn w:val="1"/>
    <w:next w:val="1"/>
    <w:link w:val="3181"/>
    <w:qFormat/>
    <w:uiPriority w:val="0"/>
    <w:pPr>
      <w:keepLines/>
      <w:overflowPunct w:val="0"/>
      <w:adjustRightInd w:val="0"/>
      <w:ind w:left="300" w:leftChars="100" w:right="50" w:rightChars="50" w:hanging="200" w:hangingChars="200"/>
      <w:textAlignment w:val="baseline"/>
    </w:pPr>
    <w:rPr>
      <w:rFonts w:ascii="宋体"/>
      <w:color w:val="FF0000"/>
      <w:kern w:val="24"/>
      <w:sz w:val="20"/>
      <w:szCs w:val="20"/>
    </w:rPr>
  </w:style>
  <w:style w:type="character" w:customStyle="1" w:styleId="3183">
    <w:name w:val="Char Char414"/>
    <w:qFormat/>
    <w:uiPriority w:val="0"/>
    <w:rPr>
      <w:rFonts w:eastAsia="宋体"/>
      <w:kern w:val="2"/>
      <w:sz w:val="21"/>
      <w:lang w:val="en-US" w:eastAsia="zh-CN" w:bidi="ar-SA"/>
    </w:rPr>
  </w:style>
  <w:style w:type="character" w:customStyle="1" w:styleId="3184">
    <w:name w:val="Char Char42"/>
    <w:qFormat/>
    <w:uiPriority w:val="0"/>
    <w:rPr>
      <w:rFonts w:hint="eastAsia" w:ascii="仿宋_GB2312" w:eastAsia="仿宋_GB2312"/>
      <w:kern w:val="2"/>
      <w:sz w:val="24"/>
      <w:lang w:val="en-US" w:eastAsia="zh-CN"/>
    </w:rPr>
  </w:style>
  <w:style w:type="character" w:customStyle="1" w:styleId="3185">
    <w:name w:val="HTML 打字机11"/>
    <w:qFormat/>
    <w:uiPriority w:val="0"/>
    <w:rPr>
      <w:rFonts w:hint="default" w:ascii="Courier New"/>
    </w:rPr>
  </w:style>
  <w:style w:type="character" w:customStyle="1" w:styleId="3186">
    <w:name w:val="样式 黑体 小四"/>
    <w:semiHidden/>
    <w:qFormat/>
    <w:uiPriority w:val="0"/>
    <w:rPr>
      <w:rFonts w:ascii="黑体" w:hAnsi="黑体" w:eastAsia="黑体"/>
      <w:sz w:val="24"/>
    </w:rPr>
  </w:style>
  <w:style w:type="character" w:customStyle="1" w:styleId="3187">
    <w:name w:val="贾伦标题 1 Char Char"/>
    <w:qFormat/>
    <w:uiPriority w:val="0"/>
    <w:rPr>
      <w:rFonts w:ascii="Times New Roman" w:hAnsi="Times New Roman" w:eastAsia="宋体"/>
      <w:b/>
      <w:bCs/>
      <w:kern w:val="44"/>
      <w:sz w:val="32"/>
      <w:szCs w:val="44"/>
    </w:rPr>
  </w:style>
  <w:style w:type="character" w:customStyle="1" w:styleId="3188">
    <w:name w:val="样式 正文缩进 + 首行缩进:  2 字符 Char Char"/>
    <w:link w:val="3189"/>
    <w:qFormat/>
    <w:uiPriority w:val="0"/>
    <w:rPr>
      <w:sz w:val="24"/>
    </w:rPr>
  </w:style>
  <w:style w:type="paragraph" w:customStyle="1" w:styleId="3189">
    <w:name w:val="样式 正文缩进 + 首行缩进:  2 字符"/>
    <w:basedOn w:val="21"/>
    <w:link w:val="3188"/>
    <w:qFormat/>
    <w:uiPriority w:val="0"/>
    <w:pPr>
      <w:spacing w:line="500" w:lineRule="exact"/>
      <w:ind w:firstLine="200"/>
    </w:pPr>
    <w:rPr>
      <w:kern w:val="0"/>
    </w:rPr>
  </w:style>
  <w:style w:type="character" w:customStyle="1" w:styleId="3190">
    <w:name w:val="123YJ Char Char8"/>
    <w:qFormat/>
    <w:uiPriority w:val="0"/>
    <w:rPr>
      <w:rFonts w:hint="eastAsia" w:ascii="Times New Roman" w:hAnsi="Times New Roman" w:eastAsia="宋体"/>
      <w:sz w:val="18"/>
    </w:rPr>
  </w:style>
  <w:style w:type="character" w:customStyle="1" w:styleId="3191">
    <w:name w:val="正文文本 字符3"/>
    <w:basedOn w:val="99"/>
    <w:semiHidden/>
    <w:qFormat/>
    <w:uiPriority w:val="99"/>
    <w:rPr>
      <w:rFonts w:ascii="Calibri" w:hAnsi="Calibri" w:eastAsia="宋体" w:cs="Times New Roman"/>
      <w:szCs w:val="24"/>
    </w:rPr>
  </w:style>
  <w:style w:type="character" w:customStyle="1" w:styleId="3192">
    <w:name w:val="正文文本首行缩进 字符2"/>
    <w:basedOn w:val="3191"/>
    <w:semiHidden/>
    <w:qFormat/>
    <w:uiPriority w:val="99"/>
    <w:rPr>
      <w:rFonts w:ascii="Calibri" w:hAnsi="Calibri" w:eastAsia="宋体" w:cs="Times New Roman"/>
      <w:szCs w:val="24"/>
    </w:rPr>
  </w:style>
  <w:style w:type="character" w:customStyle="1" w:styleId="3193">
    <w:name w:val="结束语 字符2"/>
    <w:basedOn w:val="99"/>
    <w:semiHidden/>
    <w:qFormat/>
    <w:uiPriority w:val="99"/>
    <w:rPr>
      <w:rFonts w:ascii="Calibri" w:hAnsi="Calibri" w:eastAsia="宋体" w:cs="Times New Roman"/>
      <w:szCs w:val="24"/>
    </w:rPr>
  </w:style>
  <w:style w:type="character" w:customStyle="1" w:styleId="3194">
    <w:name w:val="信息标题 字符2"/>
    <w:basedOn w:val="99"/>
    <w:semiHidden/>
    <w:qFormat/>
    <w:uiPriority w:val="99"/>
    <w:rPr>
      <w:rFonts w:asciiTheme="majorHAnsi" w:hAnsiTheme="majorHAnsi" w:eastAsiaTheme="majorEastAsia" w:cstheme="majorBidi"/>
      <w:sz w:val="24"/>
      <w:szCs w:val="24"/>
      <w:shd w:val="pct20" w:color="auto" w:fill="auto"/>
    </w:rPr>
  </w:style>
  <w:style w:type="character" w:customStyle="1" w:styleId="3195">
    <w:name w:val="注释标题 字符1"/>
    <w:basedOn w:val="99"/>
    <w:semiHidden/>
    <w:qFormat/>
    <w:uiPriority w:val="99"/>
    <w:rPr>
      <w:rFonts w:ascii="Calibri" w:hAnsi="Calibri" w:eastAsia="宋体" w:cs="Times New Roman"/>
      <w:szCs w:val="24"/>
    </w:rPr>
  </w:style>
  <w:style w:type="character" w:customStyle="1" w:styleId="3196">
    <w:name w:val="副标题 字符2"/>
    <w:basedOn w:val="99"/>
    <w:qFormat/>
    <w:uiPriority w:val="11"/>
    <w:rPr>
      <w:b/>
      <w:bCs/>
      <w:kern w:val="28"/>
      <w:sz w:val="32"/>
      <w:szCs w:val="32"/>
    </w:rPr>
  </w:style>
  <w:style w:type="character" w:customStyle="1" w:styleId="3197">
    <w:name w:val="页脚 字符3"/>
    <w:basedOn w:val="99"/>
    <w:semiHidden/>
    <w:qFormat/>
    <w:uiPriority w:val="99"/>
    <w:rPr>
      <w:rFonts w:ascii="Calibri" w:hAnsi="Calibri" w:eastAsia="宋体" w:cs="Times New Roman"/>
      <w:sz w:val="18"/>
      <w:szCs w:val="18"/>
    </w:rPr>
  </w:style>
  <w:style w:type="character" w:customStyle="1" w:styleId="3198">
    <w:name w:val="批注文字 字符3"/>
    <w:basedOn w:val="99"/>
    <w:qFormat/>
    <w:uiPriority w:val="99"/>
    <w:rPr>
      <w:rFonts w:ascii="Calibri" w:hAnsi="Calibri" w:eastAsia="宋体" w:cs="Times New Roman"/>
      <w:szCs w:val="24"/>
    </w:rPr>
  </w:style>
  <w:style w:type="character" w:customStyle="1" w:styleId="3199">
    <w:name w:val="批注主题 字符2"/>
    <w:basedOn w:val="3198"/>
    <w:semiHidden/>
    <w:qFormat/>
    <w:uiPriority w:val="99"/>
    <w:rPr>
      <w:rFonts w:ascii="Calibri" w:hAnsi="Calibri" w:eastAsia="宋体" w:cs="Times New Roman"/>
      <w:b/>
      <w:bCs/>
      <w:szCs w:val="24"/>
    </w:rPr>
  </w:style>
  <w:style w:type="character" w:customStyle="1" w:styleId="3200">
    <w:name w:val="正文文本 3 字符2"/>
    <w:basedOn w:val="99"/>
    <w:semiHidden/>
    <w:qFormat/>
    <w:uiPriority w:val="99"/>
    <w:rPr>
      <w:rFonts w:ascii="Calibri" w:hAnsi="Calibri" w:eastAsia="宋体" w:cs="Times New Roman"/>
      <w:sz w:val="16"/>
      <w:szCs w:val="16"/>
    </w:rPr>
  </w:style>
  <w:style w:type="paragraph" w:customStyle="1" w:styleId="3201">
    <w:name w:val="标题11行距1倍5号黑体前段空0.5行"/>
    <w:qFormat/>
    <w:uiPriority w:val="99"/>
    <w:pPr>
      <w:spacing w:beforeLines="50"/>
    </w:pPr>
    <w:rPr>
      <w:rFonts w:ascii="黑体" w:hAnsi="宋体" w:eastAsia="黑体" w:cs="Times New Roman"/>
      <w:lang w:val="en-US" w:eastAsia="zh-CN" w:bidi="ar-SA"/>
    </w:rPr>
  </w:style>
  <w:style w:type="character" w:customStyle="1" w:styleId="3202">
    <w:name w:val="批注框文本 字符2"/>
    <w:basedOn w:val="99"/>
    <w:semiHidden/>
    <w:qFormat/>
    <w:uiPriority w:val="99"/>
    <w:rPr>
      <w:rFonts w:ascii="Calibri" w:hAnsi="Calibri" w:eastAsia="宋体" w:cs="Times New Roman"/>
      <w:sz w:val="18"/>
      <w:szCs w:val="18"/>
    </w:rPr>
  </w:style>
  <w:style w:type="paragraph" w:customStyle="1" w:styleId="3203">
    <w:name w:val="正文文本 311"/>
    <w:basedOn w:val="1"/>
    <w:qFormat/>
    <w:uiPriority w:val="99"/>
    <w:pPr>
      <w:spacing w:line="360" w:lineRule="auto"/>
    </w:pPr>
    <w:rPr>
      <w:rFonts w:ascii="仿宋_GB2312" w:hAnsi="宋体" w:eastAsia="仿宋_GB2312"/>
      <w:kern w:val="0"/>
      <w:sz w:val="24"/>
      <w:szCs w:val="20"/>
    </w:rPr>
  </w:style>
  <w:style w:type="paragraph" w:customStyle="1" w:styleId="3204">
    <w:name w:val="目录4"/>
    <w:basedOn w:val="1"/>
    <w:next w:val="1"/>
    <w:qFormat/>
    <w:uiPriority w:val="99"/>
    <w:pPr>
      <w:tabs>
        <w:tab w:val="left" w:leader="dot" w:pos="8503"/>
      </w:tabs>
      <w:autoSpaceDE w:val="0"/>
      <w:autoSpaceDN w:val="0"/>
      <w:adjustRightInd w:val="0"/>
      <w:spacing w:line="317" w:lineRule="atLeast"/>
      <w:ind w:left="419" w:firstLine="629"/>
    </w:pPr>
    <w:rPr>
      <w:rFonts w:ascii="Calibri" w:hAnsi="Calibri"/>
      <w:color w:val="000000"/>
      <w:kern w:val="0"/>
      <w:sz w:val="24"/>
      <w:lang w:val="zh-CN"/>
    </w:rPr>
  </w:style>
  <w:style w:type="character" w:customStyle="1" w:styleId="3205">
    <w:name w:val="标题 字符2"/>
    <w:basedOn w:val="99"/>
    <w:qFormat/>
    <w:uiPriority w:val="10"/>
    <w:rPr>
      <w:rFonts w:asciiTheme="majorHAnsi" w:hAnsiTheme="majorHAnsi" w:eastAsiaTheme="majorEastAsia" w:cstheme="majorBidi"/>
      <w:b/>
      <w:bCs/>
      <w:sz w:val="32"/>
      <w:szCs w:val="32"/>
    </w:rPr>
  </w:style>
  <w:style w:type="character" w:customStyle="1" w:styleId="3206">
    <w:name w:val="称呼 字符2"/>
    <w:basedOn w:val="99"/>
    <w:semiHidden/>
    <w:qFormat/>
    <w:uiPriority w:val="99"/>
    <w:rPr>
      <w:rFonts w:ascii="Calibri" w:hAnsi="Calibri" w:eastAsia="宋体" w:cs="Times New Roman"/>
      <w:szCs w:val="24"/>
    </w:rPr>
  </w:style>
  <w:style w:type="paragraph" w:customStyle="1" w:styleId="3207">
    <w:name w:val="1 Char Char Char Char"/>
    <w:basedOn w:val="1"/>
    <w:qFormat/>
    <w:uiPriority w:val="99"/>
    <w:rPr>
      <w:rFonts w:ascii="Calibri" w:hAnsi="Calibri"/>
    </w:rPr>
  </w:style>
  <w:style w:type="character" w:customStyle="1" w:styleId="3208">
    <w:name w:val="脚注文本 字符2"/>
    <w:basedOn w:val="99"/>
    <w:semiHidden/>
    <w:qFormat/>
    <w:uiPriority w:val="99"/>
    <w:rPr>
      <w:rFonts w:ascii="Calibri" w:hAnsi="Calibri" w:eastAsia="宋体" w:cs="Times New Roman"/>
      <w:sz w:val="18"/>
      <w:szCs w:val="18"/>
    </w:rPr>
  </w:style>
  <w:style w:type="paragraph" w:customStyle="1" w:styleId="3209">
    <w:name w:val="样式 正文首行缩进 + 四号 首行缩进:  1 字符"/>
    <w:basedOn w:val="86"/>
    <w:qFormat/>
    <w:uiPriority w:val="99"/>
    <w:pPr>
      <w:spacing w:line="400" w:lineRule="exact"/>
      <w:ind w:firstLine="560" w:firstLineChars="200"/>
    </w:pPr>
    <w:rPr>
      <w:rFonts w:cstheme="minorBidi"/>
      <w:sz w:val="28"/>
    </w:rPr>
  </w:style>
  <w:style w:type="paragraph" w:customStyle="1" w:styleId="3210">
    <w:name w:val="附录四级条标题"/>
    <w:next w:val="6"/>
    <w:qFormat/>
    <w:uiPriority w:val="0"/>
    <w:pPr>
      <w:tabs>
        <w:tab w:val="left" w:pos="360"/>
        <w:tab w:val="left" w:pos="960"/>
        <w:tab w:val="left" w:pos="1068"/>
      </w:tabs>
      <w:ind w:left="960"/>
      <w:outlineLvl w:val="5"/>
    </w:pPr>
    <w:rPr>
      <w:rFonts w:ascii="Times New Roman" w:hAnsi="Times New Roman" w:eastAsia="宋体" w:cs="Times New Roman"/>
      <w:lang w:val="en-US" w:eastAsia="zh-CN" w:bidi="ar-SA"/>
    </w:rPr>
  </w:style>
  <w:style w:type="paragraph" w:customStyle="1" w:styleId="3211">
    <w:name w:val="附录三级条标题"/>
    <w:next w:val="6"/>
    <w:qFormat/>
    <w:uiPriority w:val="0"/>
    <w:pPr>
      <w:tabs>
        <w:tab w:val="left" w:pos="360"/>
        <w:tab w:val="left" w:pos="1068"/>
      </w:tabs>
      <w:ind w:left="1068"/>
      <w:outlineLvl w:val="4"/>
    </w:pPr>
    <w:rPr>
      <w:rFonts w:ascii="Times New Roman" w:hAnsi="Times New Roman" w:eastAsia="宋体" w:cs="Times New Roman"/>
      <w:lang w:val="en-US" w:eastAsia="zh-CN" w:bidi="ar-SA"/>
    </w:rPr>
  </w:style>
  <w:style w:type="paragraph" w:customStyle="1" w:styleId="3212">
    <w:name w:val="附录二级条标题"/>
    <w:basedOn w:val="1500"/>
    <w:next w:val="6"/>
    <w:qFormat/>
    <w:uiPriority w:val="0"/>
    <w:pPr>
      <w:tabs>
        <w:tab w:val="left" w:pos="360"/>
        <w:tab w:val="clear" w:pos="828"/>
      </w:tabs>
      <w:ind w:left="360" w:hanging="360"/>
      <w:outlineLvl w:val="3"/>
    </w:pPr>
    <w:rPr>
      <w:rFonts w:hAnsi="Calibri"/>
    </w:rPr>
  </w:style>
  <w:style w:type="character" w:customStyle="1" w:styleId="3213">
    <w:name w:val="纯文本 字符3"/>
    <w:basedOn w:val="99"/>
    <w:semiHidden/>
    <w:qFormat/>
    <w:uiPriority w:val="99"/>
    <w:rPr>
      <w:rFonts w:hAnsi="Courier New" w:cs="Courier New" w:asciiTheme="minorEastAsia"/>
      <w:szCs w:val="24"/>
    </w:rPr>
  </w:style>
  <w:style w:type="character" w:customStyle="1" w:styleId="3214">
    <w:name w:val="尾注文本 字符2"/>
    <w:basedOn w:val="99"/>
    <w:semiHidden/>
    <w:qFormat/>
    <w:uiPriority w:val="99"/>
    <w:rPr>
      <w:rFonts w:ascii="Calibri" w:hAnsi="Calibri" w:eastAsia="宋体" w:cs="Times New Roman"/>
      <w:szCs w:val="24"/>
    </w:rPr>
  </w:style>
  <w:style w:type="character" w:customStyle="1" w:styleId="3215">
    <w:name w:val="正文文本 2 字符2"/>
    <w:basedOn w:val="99"/>
    <w:semiHidden/>
    <w:qFormat/>
    <w:uiPriority w:val="99"/>
    <w:rPr>
      <w:rFonts w:ascii="Calibri" w:hAnsi="Calibri" w:eastAsia="宋体" w:cs="Times New Roman"/>
      <w:szCs w:val="24"/>
    </w:rPr>
  </w:style>
  <w:style w:type="paragraph" w:customStyle="1" w:styleId="3216">
    <w:name w:val="正文文本缩进 311"/>
    <w:basedOn w:val="1"/>
    <w:qFormat/>
    <w:uiPriority w:val="0"/>
    <w:pPr>
      <w:spacing w:after="120"/>
      <w:ind w:left="420" w:leftChars="200"/>
    </w:pPr>
    <w:rPr>
      <w:rFonts w:ascii="宋体" w:hAnsi="宋体"/>
      <w:kern w:val="0"/>
      <w:sz w:val="16"/>
      <w:szCs w:val="20"/>
    </w:rPr>
  </w:style>
  <w:style w:type="character" w:customStyle="1" w:styleId="3217">
    <w:name w:val="正文文本缩进 2 字符2"/>
    <w:basedOn w:val="99"/>
    <w:semiHidden/>
    <w:qFormat/>
    <w:uiPriority w:val="99"/>
    <w:rPr>
      <w:rFonts w:ascii="Calibri" w:hAnsi="Calibri" w:eastAsia="宋体" w:cs="Times New Roman"/>
      <w:szCs w:val="24"/>
    </w:rPr>
  </w:style>
  <w:style w:type="paragraph" w:customStyle="1" w:styleId="3218">
    <w:name w:val="Char17"/>
    <w:basedOn w:val="1"/>
    <w:qFormat/>
    <w:uiPriority w:val="99"/>
    <w:pPr>
      <w:spacing w:line="540" w:lineRule="exact"/>
    </w:pPr>
    <w:rPr>
      <w:rFonts w:ascii="Calibri" w:hAnsi="Calibri"/>
      <w:sz w:val="24"/>
      <w:szCs w:val="20"/>
    </w:rPr>
  </w:style>
  <w:style w:type="character" w:customStyle="1" w:styleId="3219">
    <w:name w:val="电子邮件签名 字符2"/>
    <w:basedOn w:val="99"/>
    <w:semiHidden/>
    <w:qFormat/>
    <w:uiPriority w:val="99"/>
    <w:rPr>
      <w:rFonts w:ascii="Calibri" w:hAnsi="Calibri" w:eastAsia="宋体" w:cs="Times New Roman"/>
      <w:szCs w:val="24"/>
    </w:rPr>
  </w:style>
  <w:style w:type="paragraph" w:customStyle="1" w:styleId="3220">
    <w:name w:val="表单1"/>
    <w:basedOn w:val="1"/>
    <w:qFormat/>
    <w:uiPriority w:val="99"/>
    <w:pPr>
      <w:spacing w:line="360" w:lineRule="auto"/>
      <w:jc w:val="center"/>
    </w:pPr>
    <w:rPr>
      <w:rFonts w:ascii="Calibri" w:hAnsi="Calibri"/>
      <w:b/>
      <w:sz w:val="24"/>
    </w:rPr>
  </w:style>
  <w:style w:type="character" w:customStyle="1" w:styleId="3221">
    <w:name w:val="正文文本缩进 3 字符2"/>
    <w:basedOn w:val="99"/>
    <w:semiHidden/>
    <w:qFormat/>
    <w:uiPriority w:val="99"/>
    <w:rPr>
      <w:rFonts w:ascii="Calibri" w:hAnsi="Calibri" w:eastAsia="宋体" w:cs="Times New Roman"/>
      <w:sz w:val="16"/>
      <w:szCs w:val="16"/>
    </w:rPr>
  </w:style>
  <w:style w:type="paragraph" w:customStyle="1" w:styleId="3222">
    <w:name w:val="样式 样式 标题 2 + 首行缩进:  2 字符 + 段前: 0 磅 段后: 0 磅"/>
    <w:basedOn w:val="2947"/>
    <w:qFormat/>
    <w:uiPriority w:val="99"/>
    <w:pPr>
      <w:tabs>
        <w:tab w:val="clear" w:pos="360"/>
      </w:tabs>
      <w:spacing w:before="0" w:after="0"/>
      <w:ind w:left="0" w:firstLine="562"/>
    </w:pPr>
    <w:rPr>
      <w:sz w:val="28"/>
    </w:rPr>
  </w:style>
  <w:style w:type="character" w:customStyle="1" w:styleId="3223">
    <w:name w:val="签名 字符2"/>
    <w:basedOn w:val="99"/>
    <w:semiHidden/>
    <w:qFormat/>
    <w:uiPriority w:val="99"/>
    <w:rPr>
      <w:rFonts w:ascii="Calibri" w:hAnsi="Calibri" w:eastAsia="宋体" w:cs="Times New Roman"/>
      <w:szCs w:val="24"/>
    </w:rPr>
  </w:style>
  <w:style w:type="character" w:customStyle="1" w:styleId="3224">
    <w:name w:val="日期 字符2"/>
    <w:basedOn w:val="99"/>
    <w:semiHidden/>
    <w:qFormat/>
    <w:uiPriority w:val="99"/>
    <w:rPr>
      <w:rFonts w:ascii="Calibri" w:hAnsi="Calibri" w:eastAsia="宋体" w:cs="Times New Roman"/>
      <w:szCs w:val="24"/>
    </w:rPr>
  </w:style>
  <w:style w:type="paragraph" w:customStyle="1" w:styleId="3225">
    <w:name w:val="副标题3"/>
    <w:basedOn w:val="1"/>
    <w:qFormat/>
    <w:uiPriority w:val="99"/>
    <w:pPr>
      <w:keepLines/>
      <w:tabs>
        <w:tab w:val="left" w:pos="672"/>
        <w:tab w:val="left" w:pos="720"/>
      </w:tabs>
      <w:adjustRightInd w:val="0"/>
      <w:snapToGrid w:val="0"/>
      <w:spacing w:line="400" w:lineRule="atLeast"/>
      <w:ind w:left="672" w:hanging="348"/>
      <w:outlineLvl w:val="3"/>
    </w:pPr>
    <w:rPr>
      <w:rFonts w:ascii="宋体" w:hAnsi="Calibri"/>
      <w:snapToGrid w:val="0"/>
      <w:kern w:val="0"/>
      <w:sz w:val="24"/>
    </w:rPr>
  </w:style>
  <w:style w:type="character" w:customStyle="1" w:styleId="3226">
    <w:name w:val="文档结构图 字符2"/>
    <w:basedOn w:val="99"/>
    <w:semiHidden/>
    <w:qFormat/>
    <w:uiPriority w:val="99"/>
    <w:rPr>
      <w:rFonts w:ascii="Microsoft YaHei UI" w:hAnsi="Calibri" w:eastAsia="Microsoft YaHei UI" w:cs="Times New Roman"/>
      <w:sz w:val="18"/>
      <w:szCs w:val="18"/>
    </w:rPr>
  </w:style>
  <w:style w:type="paragraph" w:customStyle="1" w:styleId="3227">
    <w:name w:val="BG1"/>
    <w:basedOn w:val="1"/>
    <w:qFormat/>
    <w:uiPriority w:val="0"/>
    <w:pPr>
      <w:autoSpaceDE w:val="0"/>
      <w:autoSpaceDN w:val="0"/>
      <w:jc w:val="center"/>
    </w:pPr>
    <w:rPr>
      <w:rFonts w:ascii="Calibri" w:hAnsi="Calibri"/>
      <w:color w:val="000000"/>
      <w:kern w:val="0"/>
    </w:rPr>
  </w:style>
  <w:style w:type="paragraph" w:customStyle="1" w:styleId="3228">
    <w:name w:val="样式 标题 4 + 黑色 首行缩进:  2 字符 段前: 7.5 磅 行距: 固定值 23 磅1"/>
    <w:basedOn w:val="6"/>
    <w:qFormat/>
    <w:uiPriority w:val="99"/>
    <w:pPr>
      <w:autoSpaceDE w:val="0"/>
      <w:autoSpaceDN w:val="0"/>
      <w:adjustRightInd w:val="0"/>
      <w:spacing w:before="100" w:beforeAutospacing="1" w:after="290" w:line="440" w:lineRule="exact"/>
      <w:ind w:firstLine="480" w:firstLineChars="200"/>
    </w:pPr>
    <w:rPr>
      <w:rFonts w:eastAsia="黑体"/>
      <w:b w:val="0"/>
      <w:szCs w:val="20"/>
    </w:rPr>
  </w:style>
  <w:style w:type="paragraph" w:customStyle="1" w:styleId="3229">
    <w:name w:val="样式 图编号 + Times New Roman"/>
    <w:basedOn w:val="1"/>
    <w:qFormat/>
    <w:uiPriority w:val="99"/>
    <w:pPr>
      <w:adjustRightInd w:val="0"/>
      <w:snapToGrid w:val="0"/>
      <w:spacing w:before="100" w:beforeAutospacing="1" w:after="100" w:afterAutospacing="1" w:line="440" w:lineRule="atLeast"/>
      <w:ind w:left="900" w:hanging="420"/>
      <w:jc w:val="center"/>
    </w:pPr>
    <w:rPr>
      <w:rFonts w:ascii="Wingdings" w:hAnsi="Wingdings" w:cs="宋体"/>
      <w:color w:val="000000"/>
      <w:kern w:val="0"/>
      <w:sz w:val="24"/>
    </w:rPr>
  </w:style>
  <w:style w:type="paragraph" w:customStyle="1" w:styleId="3230">
    <w:name w:val="文本框五号1.5倍行距"/>
    <w:qFormat/>
    <w:uiPriority w:val="0"/>
    <w:pPr>
      <w:spacing w:line="360" w:lineRule="auto"/>
    </w:pPr>
    <w:rPr>
      <w:rFonts w:ascii="Times New Roman" w:hAnsi="Times New Roman" w:eastAsia="宋体" w:cs="Times New Roman"/>
      <w:lang w:val="en-US" w:eastAsia="zh-CN" w:bidi="ar-SA"/>
    </w:rPr>
  </w:style>
  <w:style w:type="paragraph" w:customStyle="1" w:styleId="3231">
    <w:name w:val="文本框五号 Char"/>
    <w:qFormat/>
    <w:uiPriority w:val="99"/>
    <w:pPr>
      <w:jc w:val="center"/>
    </w:pPr>
    <w:rPr>
      <w:rFonts w:ascii="Calibri" w:hAnsi="Calibri" w:eastAsia="仿宋_GB2312" w:cs="Times New Roman"/>
      <w:kern w:val="2"/>
      <w:sz w:val="21"/>
      <w:szCs w:val="21"/>
      <w:lang w:val="en-US" w:eastAsia="zh-CN" w:bidi="ar-SA"/>
    </w:rPr>
  </w:style>
  <w:style w:type="character" w:customStyle="1" w:styleId="3232">
    <w:name w:val="HTML 地址 字符2"/>
    <w:basedOn w:val="99"/>
    <w:semiHidden/>
    <w:qFormat/>
    <w:uiPriority w:val="99"/>
    <w:rPr>
      <w:rFonts w:ascii="Calibri" w:hAnsi="Calibri" w:eastAsia="宋体" w:cs="Times New Roman"/>
      <w:i/>
      <w:iCs/>
      <w:szCs w:val="24"/>
    </w:rPr>
  </w:style>
  <w:style w:type="character" w:customStyle="1" w:styleId="3233">
    <w:name w:val="HTML 预设格式 字符2"/>
    <w:basedOn w:val="99"/>
    <w:semiHidden/>
    <w:qFormat/>
    <w:uiPriority w:val="99"/>
    <w:rPr>
      <w:rFonts w:ascii="Courier New" w:hAnsi="Courier New" w:eastAsia="宋体" w:cs="Courier New"/>
      <w:sz w:val="20"/>
      <w:szCs w:val="20"/>
    </w:rPr>
  </w:style>
  <w:style w:type="paragraph" w:customStyle="1" w:styleId="3234">
    <w:name w:val="样式 样式 表格 + (符号) 宋体 五号 居中 + 小五"/>
    <w:basedOn w:val="1"/>
    <w:semiHidden/>
    <w:qFormat/>
    <w:uiPriority w:val="0"/>
    <w:pPr>
      <w:kinsoku w:val="0"/>
      <w:overflowPunct w:val="0"/>
      <w:adjustRightInd w:val="0"/>
      <w:snapToGrid w:val="0"/>
      <w:jc w:val="center"/>
    </w:pPr>
    <w:rPr>
      <w:rFonts w:ascii="Calibri" w:hAnsi="Calibri"/>
      <w:snapToGrid w:val="0"/>
      <w:kern w:val="0"/>
      <w:sz w:val="18"/>
      <w:szCs w:val="21"/>
    </w:rPr>
  </w:style>
  <w:style w:type="paragraph" w:customStyle="1" w:styleId="3235">
    <w:name w:val="样式 小二 加粗 段前: 7.8 磅 段后: 7.8 磅 行距: 固定值 22 磅"/>
    <w:basedOn w:val="1"/>
    <w:qFormat/>
    <w:uiPriority w:val="99"/>
    <w:pPr>
      <w:spacing w:beforeLines="50" w:afterLines="50" w:line="440" w:lineRule="exact"/>
      <w:ind w:firstLine="480"/>
    </w:pPr>
    <w:rPr>
      <w:rFonts w:ascii="Calibri" w:hAnsi="Calibri" w:cs="宋体"/>
      <w:b/>
      <w:bCs/>
      <w:sz w:val="36"/>
      <w:szCs w:val="20"/>
    </w:rPr>
  </w:style>
  <w:style w:type="paragraph" w:customStyle="1" w:styleId="3236">
    <w:name w:val="bgbt4款标题"/>
    <w:basedOn w:val="1"/>
    <w:next w:val="2942"/>
    <w:qFormat/>
    <w:uiPriority w:val="99"/>
    <w:pPr>
      <w:adjustRightInd w:val="0"/>
      <w:snapToGrid w:val="0"/>
      <w:spacing w:before="120" w:after="60" w:line="360" w:lineRule="auto"/>
      <w:ind w:firstLine="510" w:firstLineChars="200"/>
      <w:outlineLvl w:val="3"/>
    </w:pPr>
    <w:rPr>
      <w:rFonts w:ascii="Calibri" w:hAnsi="Calibri" w:eastAsia="黑体"/>
      <w:sz w:val="24"/>
      <w:szCs w:val="20"/>
    </w:rPr>
  </w:style>
  <w:style w:type="paragraph" w:customStyle="1" w:styleId="3237">
    <w:name w:val="666666-四级标题"/>
    <w:qFormat/>
    <w:uiPriority w:val="99"/>
    <w:pPr>
      <w:spacing w:line="360" w:lineRule="auto"/>
    </w:pPr>
    <w:rPr>
      <w:rFonts w:ascii="Calibri" w:hAnsi="Calibri" w:eastAsia="宋体" w:cs="Times New Roman"/>
      <w:b/>
      <w:kern w:val="2"/>
      <w:sz w:val="24"/>
      <w:szCs w:val="24"/>
      <w:lang w:val="en-US" w:eastAsia="zh-CN" w:bidi="ar-SA"/>
    </w:rPr>
  </w:style>
  <w:style w:type="paragraph" w:customStyle="1" w:styleId="3238">
    <w:name w:val="mson"/>
    <w:basedOn w:val="1"/>
    <w:qFormat/>
    <w:uiPriority w:val="99"/>
    <w:pPr>
      <w:spacing w:before="100" w:beforeAutospacing="1" w:after="100" w:afterAutospacing="1"/>
    </w:pPr>
    <w:rPr>
      <w:rFonts w:ascii="宋体" w:hAnsi="宋体" w:cs="宋体"/>
      <w:kern w:val="0"/>
      <w:sz w:val="24"/>
    </w:rPr>
  </w:style>
  <w:style w:type="paragraph" w:customStyle="1" w:styleId="3239">
    <w:name w:val="论文名称"/>
    <w:basedOn w:val="1"/>
    <w:qFormat/>
    <w:uiPriority w:val="99"/>
    <w:pPr>
      <w:overflowPunct w:val="0"/>
      <w:topLinePunct/>
      <w:adjustRightInd w:val="0"/>
      <w:snapToGrid w:val="0"/>
      <w:spacing w:line="360" w:lineRule="auto"/>
      <w:ind w:firstLine="480" w:firstLineChars="200"/>
      <w:textAlignment w:val="center"/>
    </w:pPr>
    <w:rPr>
      <w:rFonts w:ascii="Calibri" w:hAnsi="Calibri" w:eastAsia="华文新魏" w:cs="Arial"/>
      <w:b/>
      <w:sz w:val="24"/>
    </w:rPr>
  </w:style>
  <w:style w:type="paragraph" w:customStyle="1" w:styleId="3240">
    <w:name w:val="Char74"/>
    <w:basedOn w:val="1"/>
    <w:qFormat/>
    <w:uiPriority w:val="99"/>
    <w:pPr>
      <w:spacing w:line="360" w:lineRule="auto"/>
      <w:ind w:firstLine="200" w:firstLineChars="200"/>
    </w:pPr>
    <w:rPr>
      <w:rFonts w:ascii="宋体" w:hAnsi="宋体" w:cs="宋体"/>
      <w:sz w:val="24"/>
    </w:rPr>
  </w:style>
  <w:style w:type="paragraph" w:customStyle="1" w:styleId="3241">
    <w:name w:val="表样式1"/>
    <w:basedOn w:val="1"/>
    <w:qFormat/>
    <w:uiPriority w:val="99"/>
    <w:pPr>
      <w:snapToGrid w:val="0"/>
      <w:ind w:left="-21" w:leftChars="-10" w:right="-21" w:rightChars="-10"/>
      <w:jc w:val="center"/>
    </w:pPr>
    <w:rPr>
      <w:rFonts w:ascii="宋体" w:hAnsi="宋体" w:cs="黑体"/>
      <w:szCs w:val="21"/>
    </w:rPr>
  </w:style>
  <w:style w:type="paragraph" w:customStyle="1" w:styleId="3242">
    <w:name w:val="Char Char Char1 Char Char Char Char21"/>
    <w:basedOn w:val="1"/>
    <w:next w:val="1"/>
    <w:qFormat/>
    <w:uiPriority w:val="99"/>
    <w:pPr>
      <w:spacing w:line="360" w:lineRule="auto"/>
      <w:ind w:firstLine="200" w:firstLineChars="200"/>
    </w:pPr>
    <w:rPr>
      <w:rFonts w:ascii="宋体" w:hAnsi="宋体" w:eastAsia="汉鼎简书宋" w:cs="宋体"/>
      <w:sz w:val="24"/>
    </w:rPr>
  </w:style>
  <w:style w:type="paragraph" w:customStyle="1" w:styleId="3243">
    <w:name w:val="正正文 Char"/>
    <w:basedOn w:val="1"/>
    <w:qFormat/>
    <w:uiPriority w:val="99"/>
    <w:pPr>
      <w:spacing w:line="300" w:lineRule="auto"/>
      <w:ind w:firstLine="420" w:firstLineChars="200"/>
    </w:pPr>
    <w:rPr>
      <w:rFonts w:ascii="宋体" w:hAnsi="宋体"/>
      <w:sz w:val="24"/>
    </w:rPr>
  </w:style>
  <w:style w:type="paragraph" w:customStyle="1" w:styleId="3244">
    <w:name w:val="孟电报告正文"/>
    <w:basedOn w:val="1"/>
    <w:qFormat/>
    <w:uiPriority w:val="99"/>
    <w:pPr>
      <w:adjustRightInd w:val="0"/>
      <w:snapToGrid w:val="0"/>
      <w:spacing w:beforeLines="25" w:line="440" w:lineRule="exact"/>
      <w:ind w:firstLine="200" w:firstLineChars="200"/>
    </w:pPr>
    <w:rPr>
      <w:rFonts w:ascii="Calibri" w:hAnsi="Calibri"/>
      <w:color w:val="000000"/>
      <w:sz w:val="24"/>
    </w:rPr>
  </w:style>
  <w:style w:type="paragraph" w:customStyle="1" w:styleId="3245">
    <w:name w:val="Char Char Char1 Char6"/>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246">
    <w:name w:val="正文首行缩进(西藏样式)"/>
    <w:basedOn w:val="1"/>
    <w:qFormat/>
    <w:uiPriority w:val="0"/>
    <w:pPr>
      <w:adjustRightInd w:val="0"/>
      <w:snapToGrid w:val="0"/>
      <w:spacing w:line="400" w:lineRule="exact"/>
      <w:ind w:firstLine="482" w:firstLineChars="200"/>
    </w:pPr>
    <w:rPr>
      <w:rFonts w:ascii="宋体" w:hAnsi="Calibri"/>
      <w:snapToGrid w:val="0"/>
      <w:kern w:val="0"/>
      <w:sz w:val="24"/>
      <w:szCs w:val="20"/>
    </w:rPr>
  </w:style>
  <w:style w:type="paragraph" w:customStyle="1" w:styleId="3247">
    <w:name w:val="标题辞"/>
    <w:basedOn w:val="1"/>
    <w:qFormat/>
    <w:uiPriority w:val="99"/>
    <w:pPr>
      <w:ind w:firstLine="561" w:firstLineChars="200"/>
    </w:pPr>
    <w:rPr>
      <w:rFonts w:ascii="楷体_GB2312" w:hAnsi="Calibri" w:eastAsia="楷体_GB2312" w:cs="Courier New"/>
      <w:b/>
      <w:bCs/>
      <w:kern w:val="10"/>
      <w:sz w:val="28"/>
      <w:szCs w:val="28"/>
    </w:rPr>
  </w:style>
  <w:style w:type="paragraph" w:customStyle="1" w:styleId="3248">
    <w:name w:val="a"/>
    <w:basedOn w:val="1"/>
    <w:qFormat/>
    <w:uiPriority w:val="0"/>
    <w:pPr>
      <w:spacing w:before="100" w:beforeAutospacing="1" w:after="100" w:afterAutospacing="1"/>
    </w:pPr>
    <w:rPr>
      <w:rFonts w:ascii="宋体" w:hAnsi="宋体"/>
      <w:kern w:val="0"/>
      <w:sz w:val="24"/>
    </w:rPr>
  </w:style>
  <w:style w:type="paragraph" w:customStyle="1" w:styleId="3249">
    <w:name w:val="Char Char23 Char Char"/>
    <w:basedOn w:val="1"/>
    <w:semiHidden/>
    <w:qFormat/>
    <w:uiPriority w:val="99"/>
    <w:pPr>
      <w:adjustRightInd w:val="0"/>
      <w:snapToGrid w:val="0"/>
      <w:spacing w:line="360" w:lineRule="auto"/>
      <w:ind w:firstLine="200" w:firstLineChars="200"/>
    </w:pPr>
    <w:rPr>
      <w:rFonts w:ascii="宋体" w:hAnsi="宋体" w:cs="宋体"/>
      <w:sz w:val="24"/>
      <w:szCs w:val="26"/>
    </w:rPr>
  </w:style>
  <w:style w:type="paragraph" w:customStyle="1" w:styleId="3250">
    <w:name w:val="表头2"/>
    <w:qFormat/>
    <w:uiPriority w:val="0"/>
    <w:pPr>
      <w:keepNext/>
      <w:keepLines/>
      <w:suppressAutoHyphens/>
      <w:autoSpaceDE w:val="0"/>
      <w:adjustRightInd w:val="0"/>
      <w:snapToGrid w:val="0"/>
      <w:spacing w:before="120" w:after="120"/>
      <w:textAlignment w:val="center"/>
      <w:outlineLvl w:val="3"/>
    </w:pPr>
    <w:rPr>
      <w:rFonts w:ascii="Times New Roman" w:hAnsi="Times New Roman" w:eastAsia="宋体" w:cs="Times New Roman"/>
      <w:b/>
      <w:bCs/>
      <w:kern w:val="44"/>
      <w:sz w:val="28"/>
      <w:lang w:val="en-US" w:eastAsia="zh-CN" w:bidi="ar-SA"/>
    </w:rPr>
  </w:style>
  <w:style w:type="paragraph" w:customStyle="1" w:styleId="3251">
    <w:name w:val="封面标题"/>
    <w:basedOn w:val="1"/>
    <w:next w:val="1"/>
    <w:qFormat/>
    <w:uiPriority w:val="99"/>
    <w:pPr>
      <w:jc w:val="center"/>
    </w:pPr>
    <w:rPr>
      <w:rFonts w:ascii="Arial" w:hAnsi="Calibri" w:eastAsia="黑体"/>
      <w:spacing w:val="20"/>
      <w:kern w:val="52"/>
      <w:sz w:val="52"/>
    </w:rPr>
  </w:style>
  <w:style w:type="paragraph" w:customStyle="1" w:styleId="3252">
    <w:name w:val="Char Char21 Char Char Char Char Char Char Char Char"/>
    <w:basedOn w:val="1"/>
    <w:semiHidden/>
    <w:qFormat/>
    <w:uiPriority w:val="99"/>
    <w:pPr>
      <w:adjustRightInd w:val="0"/>
      <w:snapToGrid w:val="0"/>
      <w:spacing w:line="360" w:lineRule="auto"/>
      <w:ind w:firstLine="200" w:firstLineChars="200"/>
    </w:pPr>
    <w:rPr>
      <w:rFonts w:ascii="宋体" w:hAnsi="宋体" w:cs="宋体"/>
      <w:sz w:val="24"/>
      <w:szCs w:val="26"/>
    </w:rPr>
  </w:style>
  <w:style w:type="paragraph" w:customStyle="1" w:styleId="3253">
    <w:name w:val="正文(首行缩进两字2)"/>
    <w:basedOn w:val="21"/>
    <w:qFormat/>
    <w:uiPriority w:val="99"/>
    <w:pPr>
      <w:spacing w:line="500" w:lineRule="exact"/>
      <w:ind w:firstLine="480"/>
    </w:pPr>
    <w:rPr>
      <w:rFonts w:ascii="仿宋_GB2312" w:eastAsia="仿宋_GB2312" w:hAnsiTheme="minorHAnsi" w:cstheme="minorBidi"/>
      <w:color w:val="000000"/>
      <w:szCs w:val="28"/>
      <w:lang w:val="zh-CN"/>
    </w:rPr>
  </w:style>
  <w:style w:type="paragraph" w:customStyle="1" w:styleId="3254">
    <w:name w:val="表格样式2"/>
    <w:basedOn w:val="1"/>
    <w:qFormat/>
    <w:uiPriority w:val="99"/>
    <w:pPr>
      <w:spacing w:line="320" w:lineRule="exact"/>
      <w:jc w:val="center"/>
    </w:pPr>
    <w:rPr>
      <w:rFonts w:ascii="Calibri" w:hAnsi="Calibri"/>
      <w:color w:val="000000"/>
      <w:szCs w:val="21"/>
    </w:rPr>
  </w:style>
  <w:style w:type="paragraph" w:customStyle="1" w:styleId="3255">
    <w:name w:val="表、图名"/>
    <w:basedOn w:val="1"/>
    <w:qFormat/>
    <w:uiPriority w:val="0"/>
    <w:pPr>
      <w:adjustRightInd w:val="0"/>
      <w:snapToGrid w:val="0"/>
      <w:spacing w:line="360" w:lineRule="auto"/>
      <w:ind w:left="8216" w:leftChars="-3" w:hanging="8222" w:hangingChars="3900"/>
      <w:textAlignment w:val="baseline"/>
    </w:pPr>
    <w:rPr>
      <w:rFonts w:ascii="宋体" w:hAnsi="宋体" w:eastAsia="黑体" w:cs="黑体"/>
      <w:b/>
      <w:bCs/>
      <w:kern w:val="0"/>
      <w:szCs w:val="21"/>
    </w:rPr>
  </w:style>
  <w:style w:type="paragraph" w:customStyle="1" w:styleId="3256">
    <w:name w:val="?2"/>
    <w:basedOn w:val="1"/>
    <w:next w:val="1"/>
    <w:qFormat/>
    <w:uiPriority w:val="99"/>
    <w:pPr>
      <w:autoSpaceDE w:val="0"/>
      <w:autoSpaceDN w:val="0"/>
      <w:adjustRightInd w:val="0"/>
    </w:pPr>
    <w:rPr>
      <w:rFonts w:ascii="五" w:hAnsi="Calibri" w:eastAsia="五"/>
      <w:kern w:val="0"/>
      <w:sz w:val="20"/>
    </w:rPr>
  </w:style>
  <w:style w:type="paragraph" w:customStyle="1" w:styleId="3257">
    <w:name w:val="封面标准号1"/>
    <w:qFormat/>
    <w:uiPriority w:val="0"/>
    <w:pPr>
      <w:widowControl w:val="0"/>
      <w:kinsoku w:val="0"/>
      <w:overflowPunct w:val="0"/>
      <w:autoSpaceDE w:val="0"/>
      <w:autoSpaceDN w:val="0"/>
      <w:spacing w:before="308"/>
      <w:jc w:val="right"/>
      <w:textAlignment w:val="center"/>
    </w:pPr>
    <w:rPr>
      <w:rFonts w:ascii="Calibri" w:hAnsi="Calibri" w:eastAsia="宋体" w:cs="Times New Roman"/>
      <w:sz w:val="28"/>
      <w:lang w:val="en-US" w:eastAsia="zh-CN" w:bidi="ar-SA"/>
    </w:rPr>
  </w:style>
  <w:style w:type="paragraph" w:customStyle="1" w:styleId="3258">
    <w:name w:val="标题 1红4号"/>
    <w:basedOn w:val="3"/>
    <w:qFormat/>
    <w:uiPriority w:val="99"/>
    <w:pPr>
      <w:shd w:val="clear" w:color="auto" w:fill="FFFFFF"/>
      <w:tabs>
        <w:tab w:val="left" w:pos="210"/>
      </w:tabs>
      <w:kinsoku w:val="0"/>
      <w:overflowPunct w:val="0"/>
      <w:autoSpaceDE w:val="0"/>
      <w:autoSpaceDN w:val="0"/>
      <w:adjustRightInd w:val="0"/>
      <w:snapToGrid w:val="0"/>
      <w:spacing w:before="0" w:after="0" w:line="240" w:lineRule="auto"/>
      <w:ind w:firstLine="200" w:firstLineChars="200"/>
      <w:jc w:val="center"/>
    </w:pPr>
    <w:rPr>
      <w:rFonts w:ascii="宋体" w:hAnsi="宋体"/>
      <w:bCs w:val="0"/>
      <w:color w:val="FF6600"/>
      <w:sz w:val="28"/>
      <w:szCs w:val="28"/>
    </w:rPr>
  </w:style>
  <w:style w:type="paragraph" w:customStyle="1" w:styleId="3259">
    <w:name w:val="7表格(治)"/>
    <w:qFormat/>
    <w:uiPriority w:val="0"/>
    <w:pPr>
      <w:jc w:val="center"/>
    </w:pPr>
    <w:rPr>
      <w:rFonts w:ascii="宋体" w:hAnsi="宋体" w:eastAsia="宋体" w:cs="Times New Roman"/>
      <w:color w:val="0000FF"/>
      <w:sz w:val="21"/>
      <w:lang w:val="en-US" w:eastAsia="zh-CN" w:bidi="ar-SA"/>
    </w:rPr>
  </w:style>
  <w:style w:type="paragraph" w:customStyle="1" w:styleId="3260">
    <w:name w:val="Char Char Char Char Char2 Char Char Char Char6"/>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261">
    <w:name w:val="图号"/>
    <w:basedOn w:val="82"/>
    <w:qFormat/>
    <w:uiPriority w:val="0"/>
    <w:pPr>
      <w:adjustRightInd w:val="0"/>
      <w:ind w:left="198"/>
    </w:pPr>
    <w:rPr>
      <w:rFonts w:hint="default" w:ascii="Calibri" w:hAnsi="Calibri"/>
      <w:b/>
      <w:bCs/>
      <w:kern w:val="32"/>
      <w:sz w:val="24"/>
      <w:szCs w:val="24"/>
    </w:rPr>
  </w:style>
  <w:style w:type="paragraph" w:customStyle="1" w:styleId="3262">
    <w:name w:val="标题10行距1倍5号黑体左齐段前空0.5行"/>
    <w:qFormat/>
    <w:uiPriority w:val="99"/>
    <w:pPr>
      <w:spacing w:beforeLines="50"/>
    </w:pPr>
    <w:rPr>
      <w:rFonts w:ascii="黑体" w:hAnsi="宋体" w:eastAsia="黑体" w:cs="Times New Roman"/>
      <w:lang w:val="en-US" w:eastAsia="zh-CN" w:bidi="ar-SA"/>
    </w:rPr>
  </w:style>
  <w:style w:type="paragraph" w:customStyle="1" w:styleId="3263">
    <w:name w:val="附图名"/>
    <w:basedOn w:val="3132"/>
    <w:semiHidden/>
    <w:qFormat/>
    <w:uiPriority w:val="99"/>
    <w:rPr>
      <w:rFonts w:ascii="黑体" w:eastAsia="黑体"/>
      <w:sz w:val="24"/>
    </w:rPr>
  </w:style>
  <w:style w:type="paragraph" w:customStyle="1" w:styleId="3264">
    <w:name w:val="Char Char Char Char Char2 Char Char Char Char7"/>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265">
    <w:name w:val="列表接续 41"/>
    <w:basedOn w:val="1"/>
    <w:qFormat/>
    <w:uiPriority w:val="99"/>
    <w:pPr>
      <w:spacing w:after="120"/>
      <w:ind w:left="1680" w:leftChars="800"/>
    </w:pPr>
    <w:rPr>
      <w:rFonts w:ascii="Calibri" w:hAnsi="Calibri"/>
    </w:rPr>
  </w:style>
  <w:style w:type="paragraph" w:customStyle="1" w:styleId="3266">
    <w:name w:val="列表 51"/>
    <w:basedOn w:val="1"/>
    <w:qFormat/>
    <w:uiPriority w:val="99"/>
    <w:pPr>
      <w:ind w:left="100" w:leftChars="800" w:hanging="200" w:hangingChars="200"/>
    </w:pPr>
    <w:rPr>
      <w:rFonts w:ascii="Calibri" w:hAnsi="Calibri"/>
    </w:rPr>
  </w:style>
  <w:style w:type="paragraph" w:customStyle="1" w:styleId="3267">
    <w:name w:val="c_"/>
    <w:qFormat/>
    <w:uiPriority w:val="99"/>
    <w:pPr>
      <w:widowControl w:val="0"/>
      <w:autoSpaceDE w:val="0"/>
      <w:autoSpaceDN w:val="0"/>
      <w:adjustRightInd w:val="0"/>
      <w:jc w:val="both"/>
    </w:pPr>
    <w:rPr>
      <w:rFonts w:ascii="五" w:hAnsi="Calibri" w:eastAsia="五" w:cs="Times New Roman"/>
      <w:sz w:val="24"/>
      <w:lang w:val="en-US" w:eastAsia="zh-CN" w:bidi="ar-SA"/>
    </w:rPr>
  </w:style>
  <w:style w:type="paragraph" w:customStyle="1" w:styleId="3268">
    <w:name w:val="PSPSPSPS"/>
    <w:basedOn w:val="1"/>
    <w:qFormat/>
    <w:uiPriority w:val="0"/>
    <w:pPr>
      <w:adjustRightInd w:val="0"/>
      <w:spacing w:line="600" w:lineRule="atLeast"/>
      <w:textAlignment w:val="baseline"/>
    </w:pPr>
    <w:rPr>
      <w:rFonts w:ascii="Calibri" w:hAnsi="Calibri"/>
      <w:kern w:val="0"/>
      <w:sz w:val="28"/>
      <w:szCs w:val="20"/>
    </w:rPr>
  </w:style>
  <w:style w:type="paragraph" w:customStyle="1" w:styleId="3269">
    <w:name w:val="2006表格"/>
    <w:basedOn w:val="1"/>
    <w:qFormat/>
    <w:uiPriority w:val="99"/>
    <w:pPr>
      <w:spacing w:line="320" w:lineRule="exact"/>
      <w:jc w:val="center"/>
    </w:pPr>
    <w:rPr>
      <w:rFonts w:ascii="Calibri" w:hAnsi="Calibri"/>
      <w:kern w:val="0"/>
      <w:szCs w:val="21"/>
      <w:lang w:val="en-GB"/>
    </w:rPr>
  </w:style>
  <w:style w:type="paragraph" w:customStyle="1" w:styleId="3270">
    <w:name w:val="作者"/>
    <w:basedOn w:val="1"/>
    <w:qFormat/>
    <w:uiPriority w:val="99"/>
    <w:pPr>
      <w:overflowPunct w:val="0"/>
      <w:topLinePunct/>
      <w:adjustRightInd w:val="0"/>
      <w:snapToGrid w:val="0"/>
      <w:spacing w:line="300" w:lineRule="auto"/>
      <w:jc w:val="center"/>
      <w:textAlignment w:val="center"/>
    </w:pPr>
    <w:rPr>
      <w:rFonts w:ascii="Calibri" w:hAnsi="Calibri" w:eastAsia="楷体_GB2312"/>
      <w:snapToGrid w:val="0"/>
      <w:sz w:val="28"/>
      <w:szCs w:val="28"/>
    </w:rPr>
  </w:style>
  <w:style w:type="paragraph" w:customStyle="1" w:styleId="3271">
    <w:name w:val="正文首行缩进（西藏格式）"/>
    <w:basedOn w:val="86"/>
    <w:qFormat/>
    <w:uiPriority w:val="0"/>
    <w:rPr>
      <w:rFonts w:cstheme="minorBidi"/>
      <w:kern w:val="0"/>
      <w:sz w:val="20"/>
    </w:rPr>
  </w:style>
  <w:style w:type="paragraph" w:customStyle="1" w:styleId="3272">
    <w:name w:val="样式61"/>
    <w:basedOn w:val="1"/>
    <w:next w:val="1012"/>
    <w:qFormat/>
    <w:uiPriority w:val="99"/>
    <w:pPr>
      <w:ind w:left="-105" w:leftChars="-50" w:right="-105" w:rightChars="-50"/>
    </w:pPr>
    <w:rPr>
      <w:rFonts w:ascii="Calibri" w:hAnsi="宋体"/>
      <w:kern w:val="0"/>
      <w:szCs w:val="21"/>
    </w:rPr>
  </w:style>
  <w:style w:type="paragraph" w:customStyle="1" w:styleId="3273">
    <w:name w:val="g_p_center g_t_wrap g_t_left g_t_20 g_c_pdin c07 brd01"/>
    <w:basedOn w:val="1"/>
    <w:qFormat/>
    <w:uiPriority w:val="99"/>
    <w:pPr>
      <w:spacing w:before="100" w:beforeAutospacing="1" w:after="100" w:afterAutospacing="1"/>
    </w:pPr>
    <w:rPr>
      <w:rFonts w:ascii="宋体" w:hAnsi="宋体" w:cs="宋体"/>
      <w:kern w:val="0"/>
      <w:sz w:val="24"/>
    </w:rPr>
  </w:style>
  <w:style w:type="paragraph" w:customStyle="1" w:styleId="3274">
    <w:name w:val="表头文字"/>
    <w:basedOn w:val="1"/>
    <w:qFormat/>
    <w:uiPriority w:val="0"/>
    <w:pPr>
      <w:adjustRightInd w:val="0"/>
      <w:jc w:val="center"/>
      <w:textAlignment w:val="baseline"/>
    </w:pPr>
    <w:rPr>
      <w:rFonts w:ascii="Calibri" w:hAnsi="Calibri"/>
      <w:b/>
      <w:kern w:val="0"/>
    </w:rPr>
  </w:style>
  <w:style w:type="paragraph" w:customStyle="1" w:styleId="3275">
    <w:name w:val="样式 标题 2 + (西文) Times New Roman (中文) 宋体 小三 段前: 6 磅 段后: 6 磅 行..."/>
    <w:basedOn w:val="5"/>
    <w:qFormat/>
    <w:uiPriority w:val="99"/>
    <w:pPr>
      <w:adjustRightInd w:val="0"/>
      <w:snapToGrid w:val="0"/>
      <w:spacing w:before="0" w:after="0" w:line="500" w:lineRule="exact"/>
    </w:pPr>
    <w:rPr>
      <w:sz w:val="28"/>
      <w:szCs w:val="28"/>
    </w:rPr>
  </w:style>
  <w:style w:type="paragraph" w:customStyle="1" w:styleId="3276">
    <w:name w:val="样式 666666-标题1 + 段前: 0.5 行 段后: 0.5 行"/>
    <w:qFormat/>
    <w:uiPriority w:val="0"/>
    <w:rPr>
      <w:rFonts w:ascii="Times New Roman" w:hAnsi="Times New Roman" w:eastAsia="宋体" w:cs="宋体"/>
      <w:lang w:val="en-US" w:eastAsia="zh-CN" w:bidi="ar-SA"/>
    </w:rPr>
  </w:style>
  <w:style w:type="paragraph" w:customStyle="1" w:styleId="3277">
    <w:name w:val="666666-标题1"/>
    <w:basedOn w:val="1"/>
    <w:qFormat/>
    <w:uiPriority w:val="99"/>
    <w:pPr>
      <w:spacing w:before="156" w:beforeLines="50" w:after="156" w:afterLines="50" w:line="440" w:lineRule="exact"/>
      <w:outlineLvl w:val="0"/>
    </w:pPr>
    <w:rPr>
      <w:rFonts w:ascii="Calibri" w:hAnsi="Calibri" w:eastAsia="黑体"/>
      <w:sz w:val="36"/>
      <w:szCs w:val="20"/>
    </w:rPr>
  </w:style>
  <w:style w:type="paragraph" w:customStyle="1" w:styleId="3278">
    <w:name w:val="样式 标题 1H1NMP Heading 1一、Head 1wsa1.标题 1章节标题b1heading 1H..."/>
    <w:basedOn w:val="3"/>
    <w:qFormat/>
    <w:uiPriority w:val="99"/>
    <w:pPr>
      <w:adjustRightInd w:val="0"/>
      <w:snapToGrid w:val="0"/>
      <w:spacing w:before="0" w:beforeLines="50" w:after="0" w:afterLines="50" w:line="360" w:lineRule="auto"/>
    </w:pPr>
    <w:rPr>
      <w:rFonts w:cs="宋体"/>
      <w:sz w:val="32"/>
      <w:szCs w:val="20"/>
    </w:rPr>
  </w:style>
  <w:style w:type="paragraph" w:customStyle="1" w:styleId="3279">
    <w:name w:val="表第一列"/>
    <w:basedOn w:val="86"/>
    <w:qFormat/>
    <w:uiPriority w:val="99"/>
    <w:pPr>
      <w:spacing w:line="440" w:lineRule="exact"/>
      <w:ind w:firstLine="504" w:firstLineChars="200"/>
    </w:pPr>
    <w:rPr>
      <w:rFonts w:cstheme="minorBidi"/>
      <w:spacing w:val="6"/>
      <w:sz w:val="24"/>
    </w:rPr>
  </w:style>
  <w:style w:type="paragraph" w:customStyle="1" w:styleId="3280">
    <w:name w:val="我的表格"/>
    <w:basedOn w:val="1"/>
    <w:qFormat/>
    <w:uiPriority w:val="99"/>
    <w:pPr>
      <w:autoSpaceDE w:val="0"/>
      <w:autoSpaceDN w:val="0"/>
      <w:adjustRightInd w:val="0"/>
      <w:spacing w:line="340" w:lineRule="exact"/>
      <w:jc w:val="center"/>
    </w:pPr>
    <w:rPr>
      <w:rFonts w:ascii="Calibri" w:hAnsi="宋体"/>
      <w:kern w:val="0"/>
      <w:szCs w:val="21"/>
    </w:rPr>
  </w:style>
  <w:style w:type="paragraph" w:customStyle="1" w:styleId="3281">
    <w:name w:val="设计著录宋2"/>
    <w:next w:val="1"/>
    <w:qFormat/>
    <w:uiPriority w:val="0"/>
    <w:pPr>
      <w:tabs>
        <w:tab w:val="left" w:pos="210"/>
      </w:tabs>
      <w:adjustRightInd w:val="0"/>
      <w:ind w:firstLine="300" w:firstLineChars="300"/>
      <w:jc w:val="both"/>
    </w:pPr>
    <w:rPr>
      <w:rFonts w:ascii="Times New Roman" w:hAnsi="Times New Roman" w:eastAsia="华文中宋" w:cs="Times New Roman"/>
      <w:kern w:val="4"/>
      <w:lang w:val="en-US" w:eastAsia="zh-CN" w:bidi="ar-SA"/>
    </w:rPr>
  </w:style>
  <w:style w:type="paragraph" w:customStyle="1" w:styleId="3282">
    <w:name w:val="设计封面日期中宋2"/>
    <w:basedOn w:val="1"/>
    <w:next w:val="1"/>
    <w:qFormat/>
    <w:uiPriority w:val="99"/>
    <w:pPr>
      <w:tabs>
        <w:tab w:val="left" w:pos="210"/>
      </w:tabs>
      <w:snapToGrid w:val="0"/>
      <w:spacing w:line="360" w:lineRule="auto"/>
      <w:jc w:val="center"/>
    </w:pPr>
    <w:rPr>
      <w:rFonts w:ascii="宋体" w:hAnsi="宋体"/>
      <w:b/>
      <w:bCs/>
      <w:spacing w:val="60"/>
      <w:sz w:val="44"/>
      <w:szCs w:val="28"/>
    </w:rPr>
  </w:style>
  <w:style w:type="paragraph" w:customStyle="1" w:styleId="3283">
    <w:name w:val="Char14"/>
    <w:basedOn w:val="1"/>
    <w:qFormat/>
    <w:uiPriority w:val="0"/>
    <w:rPr>
      <w:rFonts w:ascii="Calibri" w:hAnsi="Calibri"/>
    </w:rPr>
  </w:style>
  <w:style w:type="paragraph" w:customStyle="1" w:styleId="3284">
    <w:name w:val="密级编号"/>
    <w:basedOn w:val="1"/>
    <w:qFormat/>
    <w:uiPriority w:val="99"/>
    <w:pPr>
      <w:adjustRightInd w:val="0"/>
      <w:jc w:val="center"/>
      <w:textAlignment w:val="baseline"/>
    </w:pPr>
    <w:rPr>
      <w:rFonts w:ascii="仿宋_GB2312" w:hAnsi="Calibri" w:eastAsia="仿宋_GB2312" w:cs="仿宋_GB2312"/>
      <w:kern w:val="0"/>
      <w:sz w:val="24"/>
    </w:rPr>
  </w:style>
  <w:style w:type="paragraph" w:customStyle="1" w:styleId="3285">
    <w:name w:val="样式 标题 1"/>
    <w:next w:val="3"/>
    <w:qFormat/>
    <w:uiPriority w:val="0"/>
    <w:pPr>
      <w:spacing w:before="120" w:after="120"/>
      <w:jc w:val="center"/>
    </w:pPr>
    <w:rPr>
      <w:rFonts w:ascii="Arial" w:hAnsi="Arial" w:eastAsia="黑体" w:cs="宋体"/>
      <w:b/>
      <w:kern w:val="2"/>
      <w:sz w:val="36"/>
      <w:lang w:val="en-US" w:eastAsia="zh-CN" w:bidi="ar-SA"/>
    </w:rPr>
  </w:style>
  <w:style w:type="paragraph" w:customStyle="1" w:styleId="3286">
    <w:name w:val="Char Char Char Char Char2 Char Char Char Char3"/>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287">
    <w:name w:val="样式 标题 4 + 宋体 首行缩进:  0.49 厘米"/>
    <w:basedOn w:val="6"/>
    <w:qFormat/>
    <w:uiPriority w:val="99"/>
    <w:pPr>
      <w:spacing w:before="280" w:after="290" w:line="376" w:lineRule="auto"/>
      <w:ind w:firstLine="280"/>
    </w:pPr>
    <w:rPr>
      <w:rFonts w:ascii="宋体" w:hAnsi="宋体" w:cs="宋体"/>
      <w:b w:val="0"/>
      <w:sz w:val="28"/>
      <w:szCs w:val="28"/>
    </w:rPr>
  </w:style>
  <w:style w:type="paragraph" w:customStyle="1" w:styleId="3288">
    <w:name w:val="Char Char Char Char Char2 Char Char Char Char5"/>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289">
    <w:name w:val="信息标题1"/>
    <w:basedOn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customStyle="1" w:styleId="3290">
    <w:name w:val="基准标题"/>
    <w:basedOn w:val="1"/>
    <w:next w:val="34"/>
    <w:qFormat/>
    <w:uiPriority w:val="0"/>
    <w:rPr>
      <w:rFonts w:ascii="宋体" w:hAnsi="宋体"/>
      <w:color w:val="FF0000"/>
      <w:sz w:val="24"/>
    </w:rPr>
  </w:style>
  <w:style w:type="paragraph" w:customStyle="1" w:styleId="3291">
    <w:name w:val="样式 正文缩进正文（首行缩进两字） Char标题四 +"/>
    <w:basedOn w:val="21"/>
    <w:qFormat/>
    <w:uiPriority w:val="99"/>
    <w:pPr>
      <w:ind w:firstLine="200"/>
    </w:pPr>
    <w:rPr>
      <w:rFonts w:ascii="仿宋_GB2312" w:eastAsia="仿宋_GB2312" w:cs="宋体" w:hAnsiTheme="minorHAnsi"/>
      <w:color w:val="000000"/>
      <w:sz w:val="28"/>
      <w:szCs w:val="22"/>
    </w:rPr>
  </w:style>
  <w:style w:type="paragraph" w:customStyle="1" w:styleId="3292">
    <w:name w:val="样式 样式 标题 2 + 段前: 0 磅 段后: 0 磅 行距: 1.5 倍行距 + (中文) 黑体"/>
    <w:basedOn w:val="1"/>
    <w:qFormat/>
    <w:uiPriority w:val="0"/>
    <w:pPr>
      <w:keepNext/>
      <w:tabs>
        <w:tab w:val="left" w:pos="851"/>
      </w:tabs>
      <w:spacing w:line="360" w:lineRule="auto"/>
      <w:ind w:left="576" w:hanging="576"/>
      <w:outlineLvl w:val="1"/>
    </w:pPr>
    <w:rPr>
      <w:rFonts w:ascii="Calibri" w:hAnsi="Calibri" w:eastAsia="黑体" w:cs="宋体"/>
      <w:b/>
      <w:bCs/>
      <w:spacing w:val="20"/>
      <w:kern w:val="0"/>
      <w:sz w:val="24"/>
      <w:lang w:val="en-GB"/>
    </w:rPr>
  </w:style>
  <w:style w:type="paragraph" w:customStyle="1" w:styleId="3293">
    <w:name w:val="文本匡小五号 Char Char"/>
    <w:qFormat/>
    <w:uiPriority w:val="99"/>
    <w:pPr>
      <w:jc w:val="center"/>
    </w:pPr>
    <w:rPr>
      <w:rFonts w:ascii="Calibri" w:hAnsi="Calibri" w:eastAsia="仿宋_GB2312" w:cs="Times New Roman"/>
      <w:sz w:val="18"/>
      <w:szCs w:val="24"/>
      <w:lang w:val="en-US" w:eastAsia="zh-CN" w:bidi="ar-SA"/>
    </w:rPr>
  </w:style>
  <w:style w:type="paragraph" w:customStyle="1" w:styleId="3294">
    <w:name w:val="Style43"/>
    <w:basedOn w:val="1"/>
    <w:qFormat/>
    <w:uiPriority w:val="99"/>
    <w:pPr>
      <w:adjustRightInd w:val="0"/>
    </w:pPr>
    <w:rPr>
      <w:rFonts w:ascii="宋体" w:hAnsi="Calibri"/>
      <w:kern w:val="0"/>
      <w:sz w:val="24"/>
    </w:rPr>
  </w:style>
  <w:style w:type="paragraph" w:customStyle="1" w:styleId="3295">
    <w:name w:val="样式 样式 首行缩进:  2 字符 + 小四 居中"/>
    <w:basedOn w:val="1"/>
    <w:qFormat/>
    <w:uiPriority w:val="99"/>
    <w:pPr>
      <w:adjustRightInd w:val="0"/>
      <w:spacing w:line="360" w:lineRule="atLeast"/>
      <w:jc w:val="center"/>
      <w:textAlignment w:val="baseline"/>
    </w:pPr>
    <w:rPr>
      <w:rFonts w:ascii="Calibri" w:hAnsi="Calibri"/>
      <w:sz w:val="28"/>
      <w:szCs w:val="20"/>
    </w:rPr>
  </w:style>
  <w:style w:type="paragraph" w:customStyle="1" w:styleId="3296">
    <w:name w:val="附录五级条标题"/>
    <w:basedOn w:val="3210"/>
    <w:next w:val="6"/>
    <w:qFormat/>
    <w:uiPriority w:val="0"/>
    <w:pPr>
      <w:tabs>
        <w:tab w:val="left" w:pos="435"/>
        <w:tab w:val="clear" w:pos="960"/>
      </w:tabs>
      <w:ind w:left="435" w:hanging="165"/>
      <w:outlineLvl w:val="6"/>
    </w:pPr>
  </w:style>
  <w:style w:type="paragraph" w:customStyle="1" w:styleId="3297">
    <w:name w:val="Texte"/>
    <w:basedOn w:val="1"/>
    <w:qFormat/>
    <w:uiPriority w:val="0"/>
    <w:pPr>
      <w:spacing w:before="120" w:after="120"/>
      <w:ind w:left="851" w:firstLine="200" w:firstLineChars="200"/>
    </w:pPr>
    <w:rPr>
      <w:rFonts w:ascii="Arial" w:hAnsi="Arial"/>
      <w:kern w:val="0"/>
      <w:sz w:val="22"/>
      <w:szCs w:val="20"/>
      <w:lang w:val="en-GB"/>
    </w:rPr>
  </w:style>
  <w:style w:type="paragraph" w:customStyle="1" w:styleId="3298">
    <w:name w:val="样式 标题 2节3号宋体居中行距2倍三号宋体居中行距2倍距三号宋体居中行距2倍标题 2 Char Char Char ..."/>
    <w:basedOn w:val="4"/>
    <w:qFormat/>
    <w:uiPriority w:val="99"/>
    <w:pPr>
      <w:keepNext w:val="0"/>
      <w:keepLines w:val="0"/>
      <w:spacing w:before="0" w:beforeLines="50" w:after="240" w:line="360" w:lineRule="auto"/>
    </w:pPr>
    <w:rPr>
      <w:rFonts w:ascii="Times New Roman" w:hAnsi="宋体" w:eastAsia="宋体" w:cs="宋体"/>
      <w:b w:val="0"/>
      <w:bCs w:val="0"/>
      <w:sz w:val="30"/>
      <w:szCs w:val="20"/>
    </w:rPr>
  </w:style>
  <w:style w:type="paragraph" w:customStyle="1" w:styleId="3299">
    <w:name w:val="Char Char21 Char Char11"/>
    <w:basedOn w:val="1"/>
    <w:qFormat/>
    <w:uiPriority w:val="99"/>
    <w:rPr>
      <w:rFonts w:ascii="Tahoma" w:hAnsi="Tahoma"/>
      <w:sz w:val="24"/>
      <w:szCs w:val="20"/>
    </w:rPr>
  </w:style>
  <w:style w:type="paragraph" w:customStyle="1" w:styleId="3300">
    <w:name w:val="Char Char Char Char Char Char Char Char Char Char Char Char Char Char Char Char Char Char Char7"/>
    <w:basedOn w:val="1"/>
    <w:qFormat/>
    <w:uiPriority w:val="99"/>
    <w:rPr>
      <w:rFonts w:ascii="Calibri" w:hAnsi="Calibri"/>
    </w:rPr>
  </w:style>
  <w:style w:type="paragraph" w:customStyle="1" w:styleId="3301">
    <w:name w:val="style39"/>
    <w:basedOn w:val="1"/>
    <w:qFormat/>
    <w:uiPriority w:val="99"/>
    <w:pPr>
      <w:spacing w:before="100" w:beforeAutospacing="1" w:after="100" w:afterAutospacing="1"/>
    </w:pPr>
    <w:rPr>
      <w:rFonts w:ascii="宋体" w:hAnsi="宋体"/>
      <w:kern w:val="0"/>
      <w:sz w:val="18"/>
      <w:szCs w:val="18"/>
    </w:rPr>
  </w:style>
  <w:style w:type="paragraph" w:customStyle="1" w:styleId="3302">
    <w:name w:val="表内五号"/>
    <w:basedOn w:val="1"/>
    <w:qFormat/>
    <w:uiPriority w:val="0"/>
    <w:pPr>
      <w:spacing w:beforeLines="10" w:afterLines="10" w:line="264" w:lineRule="auto"/>
      <w:jc w:val="center"/>
      <w:textAlignment w:val="center"/>
    </w:pPr>
    <w:rPr>
      <w:rFonts w:ascii="Arial" w:hAnsi="Arial" w:eastAsia="楷体_GB2312"/>
      <w:color w:val="000000"/>
      <w:szCs w:val="21"/>
    </w:rPr>
  </w:style>
  <w:style w:type="paragraph" w:customStyle="1" w:styleId="3303">
    <w:name w:val="Char Char Char Char Char2 Char Char Char Char10"/>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304">
    <w:name w:val="表、图名宋旭峰"/>
    <w:basedOn w:val="273"/>
    <w:qFormat/>
    <w:uiPriority w:val="0"/>
    <w:pPr>
      <w:adjustRightInd/>
      <w:snapToGrid/>
      <w:spacing w:line="360" w:lineRule="auto"/>
      <w:jc w:val="center"/>
    </w:pPr>
    <w:rPr>
      <w:rFonts w:ascii="黑体" w:eastAsia="黑体" w:hAnsiTheme="minorHAnsi" w:cstheme="minorBidi"/>
      <w:b/>
      <w:bCs w:val="0"/>
      <w:spacing w:val="0"/>
      <w:sz w:val="21"/>
      <w:szCs w:val="21"/>
      <w:lang w:val="en-US"/>
    </w:rPr>
  </w:style>
  <w:style w:type="paragraph" w:customStyle="1" w:styleId="3305">
    <w:name w:val="表格注释"/>
    <w:basedOn w:val="1"/>
    <w:qFormat/>
    <w:uiPriority w:val="99"/>
    <w:pPr>
      <w:spacing w:line="360" w:lineRule="auto"/>
      <w:ind w:firstLine="200" w:firstLineChars="200"/>
    </w:pPr>
    <w:rPr>
      <w:rFonts w:hint="eastAsia" w:ascii="Times" w:hAnsi="Times"/>
      <w:kern w:val="24"/>
      <w:sz w:val="24"/>
      <w:szCs w:val="20"/>
    </w:rPr>
  </w:style>
  <w:style w:type="paragraph" w:customStyle="1" w:styleId="3306">
    <w:name w:val="列表编号 41"/>
    <w:basedOn w:val="1"/>
    <w:qFormat/>
    <w:uiPriority w:val="99"/>
    <w:pPr>
      <w:tabs>
        <w:tab w:val="left" w:pos="1620"/>
      </w:tabs>
      <w:ind w:left="1620" w:leftChars="600" w:hanging="360" w:hangingChars="200"/>
    </w:pPr>
    <w:rPr>
      <w:rFonts w:ascii="Calibri" w:hAnsi="Calibri"/>
    </w:rPr>
  </w:style>
  <w:style w:type="paragraph" w:customStyle="1" w:styleId="3307">
    <w:name w:val="项目符号1"/>
    <w:basedOn w:val="1"/>
    <w:qFormat/>
    <w:uiPriority w:val="99"/>
    <w:pPr>
      <w:tabs>
        <w:tab w:val="left" w:pos="935"/>
      </w:tabs>
      <w:snapToGrid w:val="0"/>
      <w:spacing w:before="120" w:after="120" w:line="312" w:lineRule="auto"/>
      <w:ind w:left="935" w:hanging="425"/>
    </w:pPr>
    <w:rPr>
      <w:rFonts w:ascii="Arial" w:hAnsi="Arial" w:eastAsia="楷体_GB2312"/>
      <w:b/>
      <w:sz w:val="28"/>
      <w:szCs w:val="20"/>
    </w:rPr>
  </w:style>
  <w:style w:type="paragraph" w:customStyle="1" w:styleId="3308">
    <w:name w:val="af0"/>
    <w:basedOn w:val="1"/>
    <w:qFormat/>
    <w:uiPriority w:val="99"/>
    <w:pPr>
      <w:spacing w:before="100" w:beforeAutospacing="1" w:after="100" w:afterAutospacing="1"/>
    </w:pPr>
    <w:rPr>
      <w:rFonts w:ascii="宋体" w:hAnsi="宋体"/>
      <w:kern w:val="0"/>
      <w:sz w:val="24"/>
    </w:rPr>
  </w:style>
  <w:style w:type="paragraph" w:customStyle="1" w:styleId="3309">
    <w:name w:val="表格左齐6号紧缩"/>
    <w:qFormat/>
    <w:uiPriority w:val="0"/>
    <w:rPr>
      <w:rFonts w:ascii="宋体" w:hAnsi="Times New Roman" w:eastAsia="宋体" w:cs="Times New Roman"/>
      <w:sz w:val="15"/>
      <w:lang w:val="en-US" w:eastAsia="zh-CN" w:bidi="ar-SA"/>
    </w:rPr>
  </w:style>
  <w:style w:type="paragraph" w:customStyle="1" w:styleId="3310">
    <w:name w:val="表格左齐"/>
    <w:basedOn w:val="45"/>
    <w:qFormat/>
    <w:uiPriority w:val="99"/>
    <w:pPr>
      <w:autoSpaceDE w:val="0"/>
      <w:autoSpaceDN w:val="0"/>
      <w:adjustRightInd w:val="0"/>
      <w:spacing w:before="20" w:after="20" w:line="240" w:lineRule="auto"/>
    </w:pPr>
    <w:rPr>
      <w:rFonts w:ascii="仿宋_GB2312" w:hAnsi="Times New Roman" w:eastAsia="仿宋_GB2312"/>
      <w:kern w:val="0"/>
      <w:sz w:val="24"/>
    </w:rPr>
  </w:style>
  <w:style w:type="paragraph" w:customStyle="1" w:styleId="3311">
    <w:name w:val="Char Char Char Char Char Char Char41"/>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312">
    <w:name w:val="大标题"/>
    <w:basedOn w:val="1"/>
    <w:qFormat/>
    <w:uiPriority w:val="99"/>
    <w:pPr>
      <w:spacing w:line="500" w:lineRule="exact"/>
    </w:pPr>
    <w:rPr>
      <w:rFonts w:ascii="Calibri" w:hAnsi="Calibri"/>
      <w:sz w:val="28"/>
      <w:szCs w:val="28"/>
    </w:rPr>
  </w:style>
  <w:style w:type="paragraph" w:customStyle="1" w:styleId="3313">
    <w:name w:val="qilu"/>
    <w:basedOn w:val="1"/>
    <w:qFormat/>
    <w:uiPriority w:val="99"/>
    <w:pPr>
      <w:autoSpaceDE w:val="0"/>
      <w:autoSpaceDN w:val="0"/>
      <w:adjustRightInd w:val="0"/>
      <w:textAlignment w:val="baseline"/>
    </w:pPr>
    <w:rPr>
      <w:rFonts w:ascii="宋体" w:hAnsi="Calibri"/>
      <w:b/>
      <w:kern w:val="0"/>
      <w:sz w:val="28"/>
      <w:szCs w:val="20"/>
    </w:rPr>
  </w:style>
  <w:style w:type="paragraph" w:customStyle="1" w:styleId="3314">
    <w:name w:val="Char Char3 Char Char Char Char"/>
    <w:basedOn w:val="1"/>
    <w:qFormat/>
    <w:uiPriority w:val="0"/>
    <w:pPr>
      <w:spacing w:after="160" w:line="240" w:lineRule="exact"/>
    </w:pPr>
    <w:rPr>
      <w:rFonts w:ascii="Verdana" w:hAnsi="Verdana"/>
      <w:kern w:val="0"/>
      <w:sz w:val="20"/>
      <w:szCs w:val="20"/>
      <w:lang w:eastAsia="en-US"/>
    </w:rPr>
  </w:style>
  <w:style w:type="paragraph" w:customStyle="1" w:styleId="3315">
    <w:name w:val="依据文字"/>
    <w:basedOn w:val="87"/>
    <w:qFormat/>
    <w:uiPriority w:val="0"/>
    <w:pPr>
      <w:tabs>
        <w:tab w:val="left" w:pos="420"/>
        <w:tab w:val="left" w:pos="870"/>
        <w:tab w:val="left" w:pos="3150"/>
      </w:tabs>
      <w:autoSpaceDE w:val="0"/>
      <w:autoSpaceDN w:val="0"/>
      <w:adjustRightInd w:val="0"/>
      <w:spacing w:after="0" w:line="336" w:lineRule="auto"/>
      <w:ind w:left="0" w:firstLine="527"/>
      <w:textAlignment w:val="baseline"/>
    </w:pPr>
    <w:rPr>
      <w:rFonts w:ascii="宋体" w:hAnsiTheme="minorHAnsi" w:cstheme="minorBidi"/>
      <w:kern w:val="2"/>
      <w:sz w:val="24"/>
      <w:szCs w:val="20"/>
      <w:lang w:val="en-US"/>
    </w:rPr>
  </w:style>
  <w:style w:type="paragraph" w:customStyle="1" w:styleId="3316">
    <w:name w:val="Char Char Char Char Char Char Char Char Char Char Char Char Char Char Char Char Char Char Char Char Char Char Char Char Char3"/>
    <w:basedOn w:val="1"/>
    <w:qFormat/>
    <w:uiPriority w:val="99"/>
    <w:rPr>
      <w:rFonts w:ascii="Calibri" w:hAnsi="Calibri"/>
    </w:rPr>
  </w:style>
  <w:style w:type="paragraph" w:customStyle="1" w:styleId="3317">
    <w:name w:val="样式 图表 + 首行缩进:  2 字符1"/>
    <w:basedOn w:val="1"/>
    <w:qFormat/>
    <w:uiPriority w:val="0"/>
    <w:pPr>
      <w:adjustRightInd w:val="0"/>
      <w:snapToGrid w:val="0"/>
      <w:spacing w:beforeLines="20" w:afterLines="20"/>
      <w:ind w:left="-102" w:leftChars="-50" w:right="-105" w:rightChars="-50" w:hanging="3"/>
      <w:jc w:val="center"/>
    </w:pPr>
    <w:rPr>
      <w:rFonts w:ascii="Calibri" w:hAnsi="Calibri" w:eastAsia="仿宋_GB2312"/>
      <w:color w:val="000000"/>
    </w:rPr>
  </w:style>
  <w:style w:type="paragraph" w:customStyle="1" w:styleId="3318">
    <w:name w:val="Char Char Char Char Char Char Char Char Char Char Char Char Char Char Char Char Char Char Char Char Char Char Char Char Char1"/>
    <w:basedOn w:val="1"/>
    <w:qFormat/>
    <w:uiPriority w:val="99"/>
    <w:rPr>
      <w:rFonts w:ascii="Calibri" w:hAnsi="Calibri"/>
    </w:rPr>
  </w:style>
  <w:style w:type="paragraph" w:customStyle="1" w:styleId="3319">
    <w:name w:val="Style50"/>
    <w:basedOn w:val="1"/>
    <w:qFormat/>
    <w:uiPriority w:val="99"/>
    <w:pPr>
      <w:adjustRightInd w:val="0"/>
    </w:pPr>
    <w:rPr>
      <w:rFonts w:ascii="宋体" w:hAnsi="Calibri"/>
      <w:kern w:val="0"/>
      <w:sz w:val="24"/>
    </w:rPr>
  </w:style>
  <w:style w:type="paragraph" w:customStyle="1" w:styleId="3320">
    <w:name w:val="Char Char Char Char Char Char Char Char Char Char Char Char Char Char Char Char Char Char7"/>
    <w:basedOn w:val="1"/>
    <w:qFormat/>
    <w:uiPriority w:val="99"/>
    <w:rPr>
      <w:rFonts w:ascii="Calibri" w:hAnsi="Calibri"/>
    </w:rPr>
  </w:style>
  <w:style w:type="paragraph" w:customStyle="1" w:styleId="3321">
    <w:name w:val="Style25"/>
    <w:basedOn w:val="1"/>
    <w:qFormat/>
    <w:uiPriority w:val="99"/>
    <w:pPr>
      <w:adjustRightInd w:val="0"/>
      <w:jc w:val="center"/>
    </w:pPr>
    <w:rPr>
      <w:rFonts w:ascii="宋体" w:hAnsi="Calibri"/>
      <w:kern w:val="0"/>
      <w:sz w:val="24"/>
    </w:rPr>
  </w:style>
  <w:style w:type="paragraph" w:customStyle="1" w:styleId="3322">
    <w:name w:val="样式 样式 样式 样式 样式3 + 段前: 0.5 行 段后: 0.5 行 + 段前: 0.5 行 段后: 0.5 行 + 段前..."/>
    <w:basedOn w:val="1"/>
    <w:qFormat/>
    <w:uiPriority w:val="99"/>
    <w:pPr>
      <w:spacing w:before="156" w:beforeLines="50" w:line="312" w:lineRule="auto"/>
      <w:outlineLvl w:val="2"/>
    </w:pPr>
    <w:rPr>
      <w:rFonts w:ascii="Calibri" w:hAnsi="Calibri" w:eastAsia="黑体" w:cs="宋体"/>
      <w:sz w:val="24"/>
    </w:rPr>
  </w:style>
  <w:style w:type="paragraph" w:customStyle="1" w:styleId="3323">
    <w:name w:val="电子邮件签名11"/>
    <w:basedOn w:val="1"/>
    <w:qFormat/>
    <w:uiPriority w:val="99"/>
    <w:rPr>
      <w:rFonts w:hint="eastAsia" w:ascii="Calibri" w:hAnsi="Calibri"/>
      <w:szCs w:val="20"/>
    </w:rPr>
  </w:style>
  <w:style w:type="paragraph" w:customStyle="1" w:styleId="3324">
    <w:name w:val="胡标题3"/>
    <w:basedOn w:val="5"/>
    <w:qFormat/>
    <w:uiPriority w:val="99"/>
    <w:pPr>
      <w:autoSpaceDE w:val="0"/>
      <w:autoSpaceDN w:val="0"/>
      <w:adjustRightInd w:val="0"/>
      <w:snapToGrid w:val="0"/>
      <w:spacing w:before="20" w:after="20" w:line="300" w:lineRule="auto"/>
      <w:textAlignment w:val="baseline"/>
    </w:pPr>
    <w:rPr>
      <w:rFonts w:ascii="宋体" w:hAnsi="宋体" w:eastAsia="黑体"/>
      <w:b w:val="0"/>
      <w:bCs w:val="0"/>
      <w:kern w:val="0"/>
      <w:sz w:val="24"/>
      <w:szCs w:val="24"/>
    </w:rPr>
  </w:style>
  <w:style w:type="paragraph" w:customStyle="1" w:styleId="3325">
    <w:name w:val="样式1 + 四号 居中"/>
    <w:basedOn w:val="1"/>
    <w:qFormat/>
    <w:uiPriority w:val="99"/>
    <w:pPr>
      <w:spacing w:line="336" w:lineRule="auto"/>
      <w:jc w:val="center"/>
    </w:pPr>
    <w:rPr>
      <w:rFonts w:ascii="Calibri" w:hAnsi="Calibri"/>
      <w:sz w:val="28"/>
      <w:szCs w:val="20"/>
    </w:rPr>
  </w:style>
  <w:style w:type="paragraph" w:customStyle="1" w:styleId="3326">
    <w:name w:val="表格字"/>
    <w:basedOn w:val="65"/>
    <w:qFormat/>
    <w:uiPriority w:val="99"/>
    <w:pPr>
      <w:spacing w:line="380" w:lineRule="exact"/>
      <w:ind w:left="0" w:firstLine="0" w:firstLineChars="0"/>
      <w:jc w:val="center"/>
    </w:pPr>
    <w:rPr>
      <w:rFonts w:ascii="宋体" w:hAnsi="宋体" w:cstheme="minorBidi"/>
      <w:szCs w:val="21"/>
    </w:rPr>
  </w:style>
  <w:style w:type="paragraph" w:customStyle="1" w:styleId="3327">
    <w:name w:val="表字居中O"/>
    <w:basedOn w:val="1"/>
    <w:qFormat/>
    <w:uiPriority w:val="99"/>
    <w:pPr>
      <w:tabs>
        <w:tab w:val="left" w:pos="3626"/>
      </w:tabs>
      <w:spacing w:line="240" w:lineRule="exact"/>
      <w:jc w:val="center"/>
    </w:pPr>
    <w:rPr>
      <w:rFonts w:ascii="Calibri" w:hAnsi="Calibri"/>
      <w:color w:val="FF0000"/>
      <w:spacing w:val="-4"/>
      <w:kern w:val="0"/>
      <w:sz w:val="18"/>
      <w:szCs w:val="18"/>
    </w:rPr>
  </w:style>
  <w:style w:type="paragraph" w:customStyle="1" w:styleId="3328">
    <w:name w:val="0003"/>
    <w:basedOn w:val="5"/>
    <w:qFormat/>
    <w:uiPriority w:val="0"/>
    <w:pPr>
      <w:keepNext w:val="0"/>
      <w:keepLines w:val="0"/>
      <w:adjustRightInd w:val="0"/>
      <w:snapToGrid w:val="0"/>
      <w:spacing w:before="0" w:beforeLines="100" w:after="0" w:line="360" w:lineRule="auto"/>
    </w:pPr>
    <w:rPr>
      <w:rFonts w:ascii="宋体"/>
      <w:kern w:val="0"/>
      <w:sz w:val="28"/>
    </w:rPr>
  </w:style>
  <w:style w:type="paragraph" w:customStyle="1" w:styleId="3329">
    <w:name w:val="reader-word-layer reader-word-s1-10"/>
    <w:basedOn w:val="1"/>
    <w:qFormat/>
    <w:uiPriority w:val="99"/>
    <w:pPr>
      <w:spacing w:before="100" w:beforeAutospacing="1" w:after="100" w:afterAutospacing="1"/>
    </w:pPr>
    <w:rPr>
      <w:rFonts w:ascii="宋体" w:hAnsi="宋体" w:cs="宋体"/>
      <w:kern w:val="0"/>
      <w:sz w:val="24"/>
    </w:rPr>
  </w:style>
  <w:style w:type="paragraph" w:customStyle="1" w:styleId="3330">
    <w:name w:val="正文-使用"/>
    <w:basedOn w:val="1"/>
    <w:qFormat/>
    <w:uiPriority w:val="0"/>
    <w:pPr>
      <w:adjustRightInd w:val="0"/>
      <w:snapToGrid w:val="0"/>
      <w:spacing w:line="360" w:lineRule="auto"/>
      <w:ind w:firstLine="482"/>
    </w:pPr>
    <w:rPr>
      <w:rFonts w:ascii="宋体" w:hAnsi="宋体"/>
      <w:sz w:val="24"/>
      <w:szCs w:val="20"/>
    </w:rPr>
  </w:style>
  <w:style w:type="paragraph" w:customStyle="1" w:styleId="3331">
    <w:name w:val="样式王鹏"/>
    <w:basedOn w:val="1"/>
    <w:qFormat/>
    <w:uiPriority w:val="99"/>
    <w:pPr>
      <w:spacing w:line="300" w:lineRule="auto"/>
      <w:ind w:firstLine="504"/>
    </w:pPr>
    <w:rPr>
      <w:rFonts w:ascii="Calibri" w:hAnsi="Calibri"/>
      <w:color w:val="000000"/>
      <w:spacing w:val="6"/>
      <w:sz w:val="28"/>
    </w:rPr>
  </w:style>
  <w:style w:type="paragraph" w:customStyle="1" w:styleId="3332">
    <w:name w:val="样式 楷体_GB2312 四号 首行缩进:  2 字符"/>
    <w:basedOn w:val="1"/>
    <w:qFormat/>
    <w:uiPriority w:val="99"/>
    <w:pPr>
      <w:spacing w:line="300" w:lineRule="auto"/>
      <w:ind w:firstLine="560" w:firstLineChars="200"/>
    </w:pPr>
    <w:rPr>
      <w:rFonts w:ascii="楷体_GB2312" w:hAnsi="楷体_GB2312" w:eastAsia="仿宋_GB2312"/>
      <w:sz w:val="28"/>
      <w:szCs w:val="20"/>
    </w:rPr>
  </w:style>
  <w:style w:type="paragraph" w:customStyle="1" w:styleId="3333">
    <w:name w:val="正文41"/>
    <w:basedOn w:val="1"/>
    <w:qFormat/>
    <w:uiPriority w:val="99"/>
    <w:pPr>
      <w:adjustRightInd w:val="0"/>
      <w:spacing w:line="480" w:lineRule="exact"/>
      <w:textAlignment w:val="baseline"/>
    </w:pPr>
    <w:rPr>
      <w:rFonts w:ascii="Calibri" w:hAnsi="Calibri"/>
      <w:spacing w:val="-2"/>
      <w:kern w:val="0"/>
      <w:sz w:val="28"/>
      <w:szCs w:val="20"/>
    </w:rPr>
  </w:style>
  <w:style w:type="paragraph" w:customStyle="1" w:styleId="3334">
    <w:name w:val="样式 四号2"/>
    <w:basedOn w:val="1"/>
    <w:qFormat/>
    <w:uiPriority w:val="99"/>
    <w:pPr>
      <w:spacing w:line="440" w:lineRule="exact"/>
      <w:ind w:firstLine="200" w:firstLineChars="200"/>
    </w:pPr>
    <w:rPr>
      <w:rFonts w:ascii="Calibri" w:hAnsi="Calibri"/>
      <w:kern w:val="0"/>
      <w:sz w:val="28"/>
    </w:rPr>
  </w:style>
  <w:style w:type="paragraph" w:customStyle="1" w:styleId="3335">
    <w:name w:val="正文首行缩进6"/>
    <w:basedOn w:val="34"/>
    <w:qFormat/>
    <w:uiPriority w:val="99"/>
    <w:pPr>
      <w:spacing w:line="312" w:lineRule="auto"/>
      <w:ind w:firstLine="567"/>
    </w:pPr>
    <w:rPr>
      <w:rFonts w:ascii="Calibri" w:hAnsi="Calibri"/>
      <w:kern w:val="0"/>
      <w:sz w:val="28"/>
      <w:szCs w:val="20"/>
    </w:rPr>
  </w:style>
  <w:style w:type="paragraph" w:customStyle="1" w:styleId="3336">
    <w:name w:val="reader-word-layer reader-word-s5-2"/>
    <w:basedOn w:val="1"/>
    <w:qFormat/>
    <w:uiPriority w:val="99"/>
    <w:pPr>
      <w:spacing w:before="100" w:beforeAutospacing="1" w:after="100" w:afterAutospacing="1" w:line="300" w:lineRule="auto"/>
    </w:pPr>
    <w:rPr>
      <w:rFonts w:ascii="宋体" w:hAnsi="宋体" w:cs="宋体"/>
      <w:kern w:val="0"/>
      <w:sz w:val="24"/>
    </w:rPr>
  </w:style>
  <w:style w:type="paragraph" w:customStyle="1" w:styleId="3337">
    <w:name w:val="Char Char23 Char Char Char Char3"/>
    <w:basedOn w:val="1"/>
    <w:semiHidden/>
    <w:qFormat/>
    <w:uiPriority w:val="99"/>
    <w:pPr>
      <w:adjustRightInd w:val="0"/>
      <w:snapToGrid w:val="0"/>
      <w:spacing w:line="360" w:lineRule="auto"/>
      <w:ind w:firstLine="200" w:firstLineChars="200"/>
    </w:pPr>
    <w:rPr>
      <w:rFonts w:ascii="宋体" w:hAnsi="宋体" w:cs="宋体"/>
      <w:sz w:val="24"/>
      <w:szCs w:val="26"/>
    </w:rPr>
  </w:style>
  <w:style w:type="paragraph" w:customStyle="1" w:styleId="3338">
    <w:name w:val="Char10"/>
    <w:basedOn w:val="1"/>
    <w:qFormat/>
    <w:uiPriority w:val="99"/>
    <w:pPr>
      <w:spacing w:line="360" w:lineRule="auto"/>
      <w:ind w:firstLine="200" w:firstLineChars="200"/>
    </w:pPr>
    <w:rPr>
      <w:rFonts w:ascii="宋体" w:hAnsi="宋体" w:cs="宋体"/>
      <w:sz w:val="24"/>
    </w:rPr>
  </w:style>
  <w:style w:type="paragraph" w:customStyle="1" w:styleId="3339">
    <w:name w:val="Char Char Char Char Char Char Char Char Char Char Char1 Char Char Char Char Char Char Char"/>
    <w:basedOn w:val="1"/>
    <w:qFormat/>
    <w:uiPriority w:val="99"/>
    <w:rPr>
      <w:rFonts w:ascii="Calibri" w:hAnsi="Calibri"/>
    </w:rPr>
  </w:style>
  <w:style w:type="paragraph" w:customStyle="1" w:styleId="3340">
    <w:name w:val="样式 标题 1标题 1 Char + 黑体 小二 加粗 居中 段前: 6 磅 段后: 6 磅 行距: 1.5 倍行距"/>
    <w:basedOn w:val="3"/>
    <w:qFormat/>
    <w:uiPriority w:val="99"/>
    <w:pPr>
      <w:keepLines w:val="0"/>
      <w:adjustRightInd w:val="0"/>
      <w:snapToGrid w:val="0"/>
      <w:spacing w:before="156" w:beforeLines="50" w:after="156" w:afterLines="50" w:line="500" w:lineRule="exact"/>
    </w:pPr>
    <w:rPr>
      <w:rFonts w:ascii="宋体" w:hAnsi="宋体"/>
      <w:sz w:val="28"/>
      <w:szCs w:val="28"/>
    </w:rPr>
  </w:style>
  <w:style w:type="paragraph" w:customStyle="1" w:styleId="3341">
    <w:name w:val="表格文字小四"/>
    <w:basedOn w:val="1"/>
    <w:qFormat/>
    <w:uiPriority w:val="0"/>
    <w:pPr>
      <w:jc w:val="center"/>
    </w:pPr>
    <w:rPr>
      <w:rFonts w:hint="eastAsia" w:ascii="Times" w:hAnsi="Times"/>
      <w:kern w:val="24"/>
      <w:sz w:val="24"/>
      <w:szCs w:val="20"/>
    </w:rPr>
  </w:style>
  <w:style w:type="paragraph" w:customStyle="1" w:styleId="3342">
    <w:name w:val="文本框五号"/>
    <w:qFormat/>
    <w:uiPriority w:val="0"/>
    <w:pPr>
      <w:adjustRightInd w:val="0"/>
      <w:spacing w:line="240" w:lineRule="atLeast"/>
      <w:jc w:val="center"/>
    </w:pPr>
    <w:rPr>
      <w:rFonts w:ascii="Calibri" w:hAnsi="Calibri" w:eastAsia="仿宋_GB2312" w:cs="Times New Roman"/>
      <w:snapToGrid w:val="0"/>
      <w:kern w:val="2"/>
      <w:sz w:val="21"/>
      <w:szCs w:val="21"/>
      <w:lang w:val="en-US" w:eastAsia="zh-CN" w:bidi="ar-SA"/>
    </w:rPr>
  </w:style>
  <w:style w:type="paragraph" w:customStyle="1" w:styleId="3343">
    <w:name w:val="Char Char2 Char Char Char Char Char Char"/>
    <w:basedOn w:val="1"/>
    <w:qFormat/>
    <w:uiPriority w:val="0"/>
    <w:pPr>
      <w:spacing w:line="360" w:lineRule="auto"/>
    </w:pPr>
    <w:rPr>
      <w:rFonts w:ascii="宋体" w:hAnsi="宋体"/>
      <w:sz w:val="22"/>
    </w:rPr>
  </w:style>
  <w:style w:type="paragraph" w:customStyle="1" w:styleId="3344">
    <w:name w:val="Char Char Char Char Char Char Char Char Char Char Char Char Char Char Char Char Char Char41"/>
    <w:basedOn w:val="1"/>
    <w:qFormat/>
    <w:uiPriority w:val="99"/>
    <w:rPr>
      <w:rFonts w:ascii="Calibri" w:hAnsi="Calibri"/>
    </w:rPr>
  </w:style>
  <w:style w:type="paragraph" w:customStyle="1" w:styleId="3345">
    <w:name w:val="修订11"/>
    <w:qFormat/>
    <w:uiPriority w:val="99"/>
    <w:rPr>
      <w:rFonts w:ascii="Calibri" w:hAnsi="Calibri" w:eastAsia="宋体" w:cs="Times New Roman"/>
      <w:kern w:val="2"/>
      <w:sz w:val="21"/>
      <w:szCs w:val="24"/>
      <w:lang w:val="en-US" w:eastAsia="zh-CN" w:bidi="ar-SA"/>
    </w:rPr>
  </w:style>
  <w:style w:type="paragraph" w:customStyle="1" w:styleId="3346">
    <w:name w:val="text3"/>
    <w:basedOn w:val="1"/>
    <w:qFormat/>
    <w:uiPriority w:val="0"/>
    <w:pPr>
      <w:adjustRightInd w:val="0"/>
      <w:spacing w:before="100" w:beforeAutospacing="1" w:after="100" w:afterAutospacing="1" w:line="300" w:lineRule="atLeast"/>
      <w:textAlignment w:val="baseline"/>
    </w:pPr>
    <w:rPr>
      <w:rFonts w:ascii="宋体" w:hAnsi="宋体"/>
      <w:color w:val="000000"/>
      <w:kern w:val="0"/>
      <w:sz w:val="24"/>
      <w:szCs w:val="20"/>
    </w:rPr>
  </w:style>
  <w:style w:type="paragraph" w:customStyle="1" w:styleId="3347">
    <w:name w:val="三级无标题条"/>
    <w:basedOn w:val="1"/>
    <w:qFormat/>
    <w:uiPriority w:val="0"/>
    <w:rPr>
      <w:rFonts w:ascii="Calibri" w:hAnsi="Calibri"/>
    </w:rPr>
  </w:style>
  <w:style w:type="paragraph" w:customStyle="1" w:styleId="3348">
    <w:name w:val="样式 正文缩进正文（首行缩进两字）正文（首行缩进两字） Char Char Char Char Char Char Char..."/>
    <w:basedOn w:val="21"/>
    <w:qFormat/>
    <w:uiPriority w:val="0"/>
    <w:pPr>
      <w:tabs>
        <w:tab w:val="left" w:pos="3360"/>
      </w:tabs>
      <w:ind w:firstLine="480"/>
      <w:textAlignment w:val="baseline"/>
    </w:pPr>
    <w:rPr>
      <w:rFonts w:ascii="楷体_GB2312" w:eastAsia="楷体_GB2312" w:hAnsiTheme="minorHAnsi" w:cstheme="minorBidi"/>
      <w:snapToGrid w:val="0"/>
      <w:szCs w:val="24"/>
    </w:rPr>
  </w:style>
  <w:style w:type="paragraph" w:customStyle="1" w:styleId="3349">
    <w:name w:val="Char Char Char1 Char3"/>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350">
    <w:name w:val="Char Char3 Char Char Char Char Char Char"/>
    <w:basedOn w:val="1"/>
    <w:qFormat/>
    <w:uiPriority w:val="99"/>
    <w:pPr>
      <w:tabs>
        <w:tab w:val="left" w:pos="480"/>
      </w:tabs>
      <w:spacing w:after="160" w:line="240" w:lineRule="exact"/>
    </w:pPr>
    <w:rPr>
      <w:rFonts w:ascii="Verdana" w:hAnsi="Verdana"/>
      <w:kern w:val="0"/>
      <w:sz w:val="20"/>
      <w:szCs w:val="20"/>
      <w:lang w:eastAsia="en-US"/>
    </w:rPr>
  </w:style>
  <w:style w:type="paragraph" w:customStyle="1" w:styleId="3351">
    <w:name w:val="表前文字"/>
    <w:basedOn w:val="1"/>
    <w:qFormat/>
    <w:uiPriority w:val="0"/>
    <w:pPr>
      <w:jc w:val="center"/>
    </w:pPr>
    <w:rPr>
      <w:rFonts w:ascii="宋体" w:hAnsi="宋体"/>
      <w:sz w:val="24"/>
      <w:szCs w:val="21"/>
    </w:rPr>
  </w:style>
  <w:style w:type="paragraph" w:customStyle="1" w:styleId="3352">
    <w:name w:val="Char Char Char1 Char5"/>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353">
    <w:name w:val="Style51"/>
    <w:basedOn w:val="1"/>
    <w:qFormat/>
    <w:uiPriority w:val="99"/>
    <w:pPr>
      <w:adjustRightInd w:val="0"/>
    </w:pPr>
    <w:rPr>
      <w:rFonts w:ascii="宋体" w:hAnsi="Calibri"/>
      <w:kern w:val="0"/>
      <w:sz w:val="24"/>
    </w:rPr>
  </w:style>
  <w:style w:type="paragraph" w:customStyle="1" w:styleId="3354">
    <w:name w:val="Char30"/>
    <w:basedOn w:val="1"/>
    <w:qFormat/>
    <w:uiPriority w:val="99"/>
    <w:pPr>
      <w:spacing w:line="360" w:lineRule="auto"/>
      <w:ind w:firstLine="200" w:firstLineChars="200"/>
    </w:pPr>
    <w:rPr>
      <w:rFonts w:ascii="宋体" w:hAnsi="宋体" w:cs="宋体"/>
      <w:sz w:val="24"/>
    </w:rPr>
  </w:style>
  <w:style w:type="paragraph" w:customStyle="1" w:styleId="3355">
    <w:name w:val="表格右齐"/>
    <w:basedOn w:val="3310"/>
    <w:qFormat/>
    <w:uiPriority w:val="99"/>
    <w:pPr>
      <w:jc w:val="right"/>
    </w:pPr>
    <w:rPr>
      <w:szCs w:val="24"/>
    </w:rPr>
  </w:style>
  <w:style w:type="paragraph" w:customStyle="1" w:styleId="3356">
    <w:name w:val="0"/>
    <w:basedOn w:val="1"/>
    <w:qFormat/>
    <w:uiPriority w:val="0"/>
    <w:pPr>
      <w:snapToGrid w:val="0"/>
      <w:spacing w:line="300" w:lineRule="auto"/>
    </w:pPr>
    <w:rPr>
      <w:rFonts w:ascii="Calibri" w:hAnsi="Calibri"/>
      <w:kern w:val="0"/>
      <w:sz w:val="24"/>
      <w:szCs w:val="20"/>
    </w:rPr>
  </w:style>
  <w:style w:type="paragraph" w:customStyle="1" w:styleId="3357">
    <w:name w:val="列表接续 51"/>
    <w:basedOn w:val="1"/>
    <w:qFormat/>
    <w:uiPriority w:val="99"/>
    <w:pPr>
      <w:spacing w:after="120"/>
      <w:ind w:left="2100" w:leftChars="1000"/>
    </w:pPr>
    <w:rPr>
      <w:rFonts w:ascii="Calibri" w:hAnsi="Calibri"/>
    </w:rPr>
  </w:style>
  <w:style w:type="paragraph" w:customStyle="1" w:styleId="3358">
    <w:name w:val="样式 正文首行缩进 + 首行缩进:  2 字符1"/>
    <w:basedOn w:val="86"/>
    <w:qFormat/>
    <w:uiPriority w:val="0"/>
    <w:pPr>
      <w:ind w:firstLine="480" w:firstLineChars="200"/>
    </w:pPr>
    <w:rPr>
      <w:rFonts w:cstheme="minorBidi"/>
      <w:sz w:val="24"/>
    </w:rPr>
  </w:style>
  <w:style w:type="paragraph" w:customStyle="1" w:styleId="3359">
    <w:name w:val="Char Char21 Char Char3"/>
    <w:basedOn w:val="1"/>
    <w:qFormat/>
    <w:uiPriority w:val="99"/>
    <w:rPr>
      <w:rFonts w:ascii="Tahoma" w:hAnsi="Tahoma"/>
      <w:sz w:val="24"/>
      <w:szCs w:val="20"/>
    </w:rPr>
  </w:style>
  <w:style w:type="paragraph" w:customStyle="1" w:styleId="3360">
    <w:name w:val="Char Char Char Char Char Char Char Char Char Char Char Char Char Char Char Char Char Char6"/>
    <w:basedOn w:val="1"/>
    <w:qFormat/>
    <w:uiPriority w:val="99"/>
    <w:rPr>
      <w:rFonts w:ascii="Calibri" w:hAnsi="Calibri"/>
    </w:rPr>
  </w:style>
  <w:style w:type="paragraph" w:customStyle="1" w:styleId="3361">
    <w:name w:val="样式 标题 3 + (中文) 宋体"/>
    <w:basedOn w:val="5"/>
    <w:qFormat/>
    <w:uiPriority w:val="99"/>
    <w:pPr>
      <w:adjustRightInd w:val="0"/>
      <w:snapToGrid w:val="0"/>
      <w:spacing w:before="0" w:after="0" w:line="360" w:lineRule="auto"/>
    </w:pPr>
    <w:rPr>
      <w:rFonts w:eastAsia="黑体"/>
      <w:sz w:val="28"/>
    </w:rPr>
  </w:style>
  <w:style w:type="paragraph" w:customStyle="1" w:styleId="3362">
    <w:name w:val="Char Char Знак Знак"/>
    <w:basedOn w:val="1"/>
    <w:qFormat/>
    <w:uiPriority w:val="99"/>
    <w:pPr>
      <w:spacing w:after="160" w:line="240" w:lineRule="exact"/>
    </w:pPr>
    <w:rPr>
      <w:rFonts w:ascii="Calibri" w:hAnsi="Calibri"/>
      <w:b/>
      <w:kern w:val="0"/>
      <w:sz w:val="28"/>
      <w:lang w:eastAsia="en-US"/>
    </w:rPr>
  </w:style>
  <w:style w:type="paragraph" w:customStyle="1" w:styleId="3363">
    <w:name w:val="9点"/>
    <w:basedOn w:val="1"/>
    <w:qFormat/>
    <w:uiPriority w:val="0"/>
    <w:pPr>
      <w:snapToGrid w:val="0"/>
      <w:spacing w:line="240" w:lineRule="exact"/>
      <w:jc w:val="center"/>
    </w:pPr>
    <w:rPr>
      <w:rFonts w:ascii="Calibri" w:hAnsi="Calibri"/>
    </w:rPr>
  </w:style>
  <w:style w:type="paragraph" w:customStyle="1" w:styleId="3364">
    <w:name w:val="样式18"/>
    <w:basedOn w:val="1"/>
    <w:qFormat/>
    <w:uiPriority w:val="0"/>
    <w:pPr>
      <w:keepNext/>
      <w:keepLines/>
      <w:ind w:firstLine="522" w:firstLineChars="200"/>
    </w:pPr>
    <w:rPr>
      <w:rFonts w:ascii="Calibri" w:hAnsi="Calibri"/>
      <w:bCs/>
      <w:sz w:val="24"/>
    </w:rPr>
  </w:style>
  <w:style w:type="paragraph" w:customStyle="1" w:styleId="3365">
    <w:name w:val="Char29"/>
    <w:basedOn w:val="1"/>
    <w:qFormat/>
    <w:uiPriority w:val="99"/>
    <w:pPr>
      <w:spacing w:line="360" w:lineRule="auto"/>
      <w:ind w:firstLine="200" w:firstLineChars="200"/>
    </w:pPr>
    <w:rPr>
      <w:rFonts w:ascii="宋体" w:hAnsi="宋体" w:cs="宋体"/>
      <w:sz w:val="24"/>
    </w:rPr>
  </w:style>
  <w:style w:type="paragraph" w:customStyle="1" w:styleId="3366">
    <w:name w:val="Char1 Char Char Char Char Char Char"/>
    <w:basedOn w:val="1"/>
    <w:qFormat/>
    <w:uiPriority w:val="99"/>
    <w:pPr>
      <w:spacing w:line="360" w:lineRule="auto"/>
      <w:ind w:firstLine="200" w:firstLineChars="200"/>
    </w:pPr>
    <w:rPr>
      <w:rFonts w:ascii="宋体" w:hAnsi="宋体" w:cs="宋体"/>
      <w:sz w:val="24"/>
    </w:rPr>
  </w:style>
  <w:style w:type="paragraph" w:customStyle="1" w:styleId="3367">
    <w:name w:val="插图标题"/>
    <w:basedOn w:val="1"/>
    <w:qFormat/>
    <w:uiPriority w:val="0"/>
    <w:pPr>
      <w:tabs>
        <w:tab w:val="left" w:pos="1134"/>
        <w:tab w:val="right" w:pos="7371"/>
      </w:tabs>
      <w:overflowPunct w:val="0"/>
      <w:adjustRightInd w:val="0"/>
      <w:ind w:firstLine="567"/>
      <w:jc w:val="center"/>
      <w:textAlignment w:val="baseline"/>
    </w:pPr>
    <w:rPr>
      <w:rFonts w:ascii="黑体" w:hAnsi="Calibri" w:eastAsia="黑体"/>
      <w:kern w:val="0"/>
      <w:sz w:val="28"/>
      <w:szCs w:val="20"/>
    </w:rPr>
  </w:style>
  <w:style w:type="paragraph" w:customStyle="1" w:styleId="3368">
    <w:name w:val="11111样式 无间隔 + 居中 行距: 多倍行距 1.2 字行"/>
    <w:basedOn w:val="1"/>
    <w:qFormat/>
    <w:uiPriority w:val="99"/>
    <w:pPr>
      <w:adjustRightInd w:val="0"/>
      <w:jc w:val="center"/>
      <w:textAlignment w:val="baseline"/>
    </w:pPr>
    <w:rPr>
      <w:rFonts w:ascii="Calibri" w:hAnsi="Calibri" w:cs="宋体"/>
      <w:sz w:val="24"/>
      <w:szCs w:val="20"/>
    </w:rPr>
  </w:style>
  <w:style w:type="paragraph" w:customStyle="1" w:styleId="3369">
    <w:name w:val="样式 标题 2 + 宋体 四号 首行缩进:  0.99 厘米"/>
    <w:basedOn w:val="4"/>
    <w:next w:val="1"/>
    <w:semiHidden/>
    <w:qFormat/>
    <w:uiPriority w:val="99"/>
    <w:pPr>
      <w:tabs>
        <w:tab w:val="left" w:pos="210"/>
      </w:tabs>
      <w:spacing w:before="120" w:after="120" w:line="500" w:lineRule="exact"/>
      <w:ind w:firstLine="561" w:firstLineChars="200"/>
    </w:pPr>
    <w:rPr>
      <w:rFonts w:ascii="宋体" w:hAnsi="宋体" w:eastAsia="宋体"/>
      <w:bCs w:val="0"/>
      <w:sz w:val="28"/>
      <w:szCs w:val="28"/>
    </w:rPr>
  </w:style>
  <w:style w:type="paragraph" w:customStyle="1" w:styleId="3370">
    <w:name w:val="列表 31"/>
    <w:basedOn w:val="1"/>
    <w:qFormat/>
    <w:uiPriority w:val="99"/>
    <w:pPr>
      <w:ind w:left="100" w:leftChars="400" w:hanging="200" w:hangingChars="200"/>
    </w:pPr>
    <w:rPr>
      <w:rFonts w:ascii="Calibri" w:hAnsi="Calibri"/>
    </w:rPr>
  </w:style>
  <w:style w:type="paragraph" w:customStyle="1" w:styleId="3371">
    <w:name w:val="表头名称"/>
    <w:basedOn w:val="21"/>
    <w:qFormat/>
    <w:uiPriority w:val="0"/>
    <w:pPr>
      <w:autoSpaceDE w:val="0"/>
      <w:autoSpaceDN w:val="0"/>
    </w:pPr>
    <w:rPr>
      <w:rFonts w:ascii="黑体" w:hAnsi="宋体" w:eastAsia="黑体" w:cstheme="minorBidi"/>
      <w:szCs w:val="22"/>
    </w:rPr>
  </w:style>
  <w:style w:type="paragraph" w:customStyle="1" w:styleId="3372">
    <w:name w:val="Char Char Char Char Char Char Char Char Char Char Char Char Char Char Char Char Char Char8"/>
    <w:basedOn w:val="1"/>
    <w:qFormat/>
    <w:uiPriority w:val="99"/>
    <w:rPr>
      <w:rFonts w:ascii="Calibri" w:hAnsi="Calibri"/>
    </w:rPr>
  </w:style>
  <w:style w:type="paragraph" w:customStyle="1" w:styleId="3373">
    <w:name w:val="表小5"/>
    <w:basedOn w:val="1"/>
    <w:qFormat/>
    <w:uiPriority w:val="99"/>
    <w:pPr>
      <w:tabs>
        <w:tab w:val="left" w:pos="0"/>
        <w:tab w:val="left" w:pos="2619"/>
      </w:tabs>
      <w:jc w:val="center"/>
    </w:pPr>
    <w:rPr>
      <w:rFonts w:ascii="宋体" w:hAnsi="宋体"/>
      <w:szCs w:val="20"/>
    </w:rPr>
  </w:style>
  <w:style w:type="paragraph" w:customStyle="1" w:styleId="3374">
    <w:name w:val="Char1 Char Char Char Char Char Char Char Char Char2"/>
    <w:basedOn w:val="1"/>
    <w:qFormat/>
    <w:uiPriority w:val="99"/>
    <w:pPr>
      <w:spacing w:after="160" w:line="240" w:lineRule="exact"/>
    </w:pPr>
    <w:rPr>
      <w:rFonts w:ascii="Verdana" w:hAnsi="Verdana" w:eastAsia="仿宋_GB2312"/>
      <w:kern w:val="0"/>
      <w:sz w:val="24"/>
      <w:szCs w:val="20"/>
      <w:lang w:eastAsia="en-US"/>
    </w:rPr>
  </w:style>
  <w:style w:type="paragraph" w:customStyle="1" w:styleId="3375">
    <w:name w:val="Style81"/>
    <w:basedOn w:val="1"/>
    <w:qFormat/>
    <w:uiPriority w:val="99"/>
    <w:pPr>
      <w:adjustRightInd w:val="0"/>
      <w:spacing w:line="466" w:lineRule="exact"/>
      <w:ind w:firstLine="610"/>
    </w:pPr>
    <w:rPr>
      <w:rFonts w:ascii="宋体" w:hAnsi="Calibri"/>
      <w:kern w:val="0"/>
      <w:sz w:val="24"/>
    </w:rPr>
  </w:style>
  <w:style w:type="paragraph" w:customStyle="1" w:styleId="3376">
    <w:name w:val="666666-三级标题"/>
    <w:qFormat/>
    <w:uiPriority w:val="99"/>
    <w:pPr>
      <w:spacing w:line="360" w:lineRule="auto"/>
      <w:outlineLvl w:val="2"/>
    </w:pPr>
    <w:rPr>
      <w:rFonts w:ascii="Calibri" w:hAnsi="Calibri" w:eastAsia="黑体" w:cs="Times New Roman"/>
      <w:bCs/>
      <w:kern w:val="2"/>
      <w:sz w:val="28"/>
      <w:szCs w:val="28"/>
      <w:lang w:val="en-US" w:eastAsia="zh-CN" w:bidi="ar-SA"/>
    </w:rPr>
  </w:style>
  <w:style w:type="paragraph" w:customStyle="1" w:styleId="3377">
    <w:name w:val="Char Char3 Char Char Char Char2"/>
    <w:basedOn w:val="1"/>
    <w:qFormat/>
    <w:uiPriority w:val="99"/>
    <w:pPr>
      <w:spacing w:after="160" w:line="240" w:lineRule="exact"/>
    </w:pPr>
    <w:rPr>
      <w:rFonts w:ascii="Verdana" w:hAnsi="Verdana"/>
      <w:kern w:val="0"/>
      <w:sz w:val="20"/>
      <w:szCs w:val="20"/>
      <w:lang w:eastAsia="en-US"/>
    </w:rPr>
  </w:style>
  <w:style w:type="paragraph" w:customStyle="1" w:styleId="3378">
    <w:name w:val="Style104"/>
    <w:basedOn w:val="1"/>
    <w:qFormat/>
    <w:uiPriority w:val="99"/>
    <w:pPr>
      <w:adjustRightInd w:val="0"/>
      <w:jc w:val="center"/>
    </w:pPr>
    <w:rPr>
      <w:rFonts w:ascii="宋体" w:hAnsi="Calibri"/>
      <w:kern w:val="0"/>
      <w:sz w:val="24"/>
    </w:rPr>
  </w:style>
  <w:style w:type="paragraph" w:customStyle="1" w:styleId="3379">
    <w:name w:val="Char72"/>
    <w:basedOn w:val="1"/>
    <w:qFormat/>
    <w:uiPriority w:val="99"/>
    <w:pPr>
      <w:spacing w:line="360" w:lineRule="auto"/>
      <w:ind w:firstLine="200" w:firstLineChars="200"/>
    </w:pPr>
    <w:rPr>
      <w:rFonts w:ascii="宋体" w:hAnsi="宋体" w:cs="宋体"/>
      <w:sz w:val="24"/>
    </w:rPr>
  </w:style>
  <w:style w:type="paragraph" w:customStyle="1" w:styleId="3380">
    <w:name w:val="666666-标题2"/>
    <w:basedOn w:val="1"/>
    <w:qFormat/>
    <w:uiPriority w:val="99"/>
    <w:pPr>
      <w:spacing w:before="156" w:beforeLines="50" w:after="156" w:afterLines="50" w:line="440" w:lineRule="exact"/>
      <w:outlineLvl w:val="1"/>
    </w:pPr>
    <w:rPr>
      <w:rFonts w:ascii="Calibri" w:hAnsi="Calibri" w:eastAsia="黑体"/>
      <w:kern w:val="44"/>
      <w:sz w:val="32"/>
      <w:szCs w:val="20"/>
    </w:rPr>
  </w:style>
  <w:style w:type="paragraph" w:customStyle="1" w:styleId="3381">
    <w:name w:val="样式 五号 蓝色 居中 行距: 单倍行距"/>
    <w:basedOn w:val="1"/>
    <w:qFormat/>
    <w:uiPriority w:val="99"/>
    <w:pPr>
      <w:adjustRightInd w:val="0"/>
      <w:jc w:val="center"/>
      <w:textAlignment w:val="baseline"/>
    </w:pPr>
    <w:rPr>
      <w:rFonts w:ascii="Calibri" w:hAnsi="Calibri"/>
      <w:szCs w:val="21"/>
    </w:rPr>
  </w:style>
  <w:style w:type="paragraph" w:customStyle="1" w:styleId="3382">
    <w:name w:val="正文文字缩进小4"/>
    <w:basedOn w:val="1"/>
    <w:next w:val="80"/>
    <w:qFormat/>
    <w:uiPriority w:val="99"/>
    <w:pPr>
      <w:spacing w:before="100" w:beforeAutospacing="1" w:after="100" w:afterAutospacing="1"/>
    </w:pPr>
    <w:rPr>
      <w:rFonts w:ascii="宋体" w:hAnsi="宋体" w:eastAsia="楷体_GB2312"/>
      <w:kern w:val="0"/>
      <w:sz w:val="24"/>
    </w:rPr>
  </w:style>
  <w:style w:type="paragraph" w:customStyle="1" w:styleId="3383">
    <w:name w:val="项目符号"/>
    <w:basedOn w:val="1"/>
    <w:qFormat/>
    <w:uiPriority w:val="99"/>
    <w:pPr>
      <w:tabs>
        <w:tab w:val="left" w:pos="170"/>
      </w:tabs>
      <w:overflowPunct w:val="0"/>
      <w:snapToGrid w:val="0"/>
      <w:spacing w:line="480" w:lineRule="exact"/>
      <w:ind w:firstLine="454"/>
    </w:pPr>
    <w:rPr>
      <w:rFonts w:ascii="Arial" w:hAnsi="Arial" w:eastAsia="仿宋_GB2312"/>
      <w:sz w:val="28"/>
      <w:szCs w:val="20"/>
    </w:rPr>
  </w:style>
  <w:style w:type="paragraph" w:customStyle="1" w:styleId="3384">
    <w:name w:val="称呼1"/>
    <w:basedOn w:val="1"/>
    <w:next w:val="1"/>
    <w:qFormat/>
    <w:uiPriority w:val="99"/>
    <w:rPr>
      <w:rFonts w:ascii="Calibri" w:hAnsi="Calibri"/>
      <w:b/>
      <w:bCs/>
      <w:sz w:val="24"/>
    </w:rPr>
  </w:style>
  <w:style w:type="paragraph" w:customStyle="1" w:styleId="3385">
    <w:name w:val="正文版式"/>
    <w:basedOn w:val="1"/>
    <w:qFormat/>
    <w:uiPriority w:val="99"/>
    <w:pPr>
      <w:spacing w:line="440" w:lineRule="exact"/>
      <w:ind w:firstLine="200" w:firstLineChars="200"/>
    </w:pPr>
    <w:rPr>
      <w:rFonts w:ascii="Calibri" w:hAnsi="Calibri"/>
    </w:rPr>
  </w:style>
  <w:style w:type="paragraph" w:customStyle="1" w:styleId="3386">
    <w:name w:val="标题 911"/>
    <w:basedOn w:val="1"/>
    <w:next w:val="1"/>
    <w:qFormat/>
    <w:uiPriority w:val="99"/>
    <w:pPr>
      <w:overflowPunct w:val="0"/>
      <w:snapToGrid w:val="0"/>
      <w:spacing w:before="120" w:line="380" w:lineRule="exact"/>
      <w:ind w:firstLine="567"/>
      <w:textAlignment w:val="baseline"/>
      <w:outlineLvl w:val="8"/>
    </w:pPr>
    <w:rPr>
      <w:rFonts w:ascii="Arial" w:hAnsi="Arial" w:eastAsia="仿宋_GB2312"/>
      <w:kern w:val="0"/>
      <w:sz w:val="24"/>
      <w:szCs w:val="20"/>
    </w:rPr>
  </w:style>
  <w:style w:type="paragraph" w:customStyle="1" w:styleId="3387">
    <w:name w:val="Char Char Char1 Char Char Char Char6"/>
    <w:basedOn w:val="1"/>
    <w:next w:val="1"/>
    <w:qFormat/>
    <w:uiPriority w:val="99"/>
    <w:pPr>
      <w:spacing w:line="360" w:lineRule="auto"/>
      <w:ind w:firstLine="200" w:firstLineChars="200"/>
    </w:pPr>
    <w:rPr>
      <w:rFonts w:ascii="宋体" w:hAnsi="宋体" w:eastAsia="汉鼎简书宋" w:cs="宋体"/>
      <w:sz w:val="24"/>
    </w:rPr>
  </w:style>
  <w:style w:type="paragraph" w:customStyle="1" w:styleId="3388">
    <w:name w:val="批注主题1"/>
    <w:basedOn w:val="28"/>
    <w:next w:val="28"/>
    <w:qFormat/>
    <w:uiPriority w:val="99"/>
    <w:pPr>
      <w:spacing w:line="360" w:lineRule="auto"/>
      <w:ind w:firstLine="200" w:firstLineChars="200"/>
    </w:pPr>
    <w:rPr>
      <w:rFonts w:ascii="Calibri" w:hAnsi="Calibri"/>
      <w:b/>
      <w:sz w:val="24"/>
      <w:szCs w:val="22"/>
      <w:lang w:val="en-US"/>
    </w:rPr>
  </w:style>
  <w:style w:type="paragraph" w:customStyle="1" w:styleId="3389">
    <w:name w:val="样式 仿宋_GB2312 四号"/>
    <w:basedOn w:val="1"/>
    <w:qFormat/>
    <w:uiPriority w:val="99"/>
    <w:pPr>
      <w:ind w:firstLine="944" w:firstLineChars="337"/>
    </w:pPr>
    <w:rPr>
      <w:rFonts w:ascii="仿宋_GB2312" w:hAnsi="宋体" w:eastAsia="仿宋_GB2312"/>
      <w:sz w:val="28"/>
      <w:szCs w:val="20"/>
    </w:rPr>
  </w:style>
  <w:style w:type="paragraph" w:customStyle="1" w:styleId="3390">
    <w:name w:val="目录 11"/>
    <w:basedOn w:val="1"/>
    <w:next w:val="1"/>
    <w:qFormat/>
    <w:uiPriority w:val="99"/>
    <w:pPr>
      <w:spacing w:before="120" w:after="120"/>
    </w:pPr>
    <w:rPr>
      <w:rFonts w:hint="eastAsia" w:ascii="Calibri" w:hAnsi="Calibri"/>
      <w:b/>
      <w:caps/>
      <w:sz w:val="20"/>
      <w:szCs w:val="20"/>
    </w:rPr>
  </w:style>
  <w:style w:type="paragraph" w:customStyle="1" w:styleId="3391">
    <w:name w:val="标-4"/>
    <w:basedOn w:val="1"/>
    <w:qFormat/>
    <w:uiPriority w:val="0"/>
    <w:pPr>
      <w:spacing w:before="120"/>
      <w:ind w:left="851" w:hanging="851"/>
    </w:pPr>
    <w:rPr>
      <w:rFonts w:ascii="Calibri" w:hAnsi="Calibri"/>
      <w:sz w:val="24"/>
      <w:szCs w:val="20"/>
    </w:rPr>
  </w:style>
  <w:style w:type="paragraph" w:customStyle="1" w:styleId="3392">
    <w:name w:val="!BG_标题1"/>
    <w:basedOn w:val="3"/>
    <w:qFormat/>
    <w:uiPriority w:val="99"/>
    <w:pPr>
      <w:numPr>
        <w:ilvl w:val="0"/>
        <w:numId w:val="10"/>
      </w:numPr>
      <w:tabs>
        <w:tab w:val="left" w:pos="425"/>
      </w:tabs>
      <w:adjustRightInd w:val="0"/>
      <w:snapToGrid w:val="0"/>
      <w:spacing w:before="0" w:after="0" w:line="360" w:lineRule="auto"/>
      <w:ind w:left="1560" w:hanging="1080"/>
    </w:pPr>
    <w:rPr>
      <w:rFonts w:ascii="Calibri" w:hAnsi="Calibri"/>
      <w:sz w:val="32"/>
    </w:rPr>
  </w:style>
  <w:style w:type="paragraph" w:customStyle="1" w:styleId="3393">
    <w:name w:val="纯文本21"/>
    <w:basedOn w:val="1"/>
    <w:qFormat/>
    <w:uiPriority w:val="99"/>
    <w:pPr>
      <w:textAlignment w:val="baseline"/>
    </w:pPr>
    <w:rPr>
      <w:rFonts w:hint="eastAsia" w:ascii="宋体" w:hAnsi="Courier New"/>
      <w:sz w:val="28"/>
      <w:szCs w:val="20"/>
    </w:rPr>
  </w:style>
  <w:style w:type="paragraph" w:customStyle="1" w:styleId="3394">
    <w:name w:val="表左"/>
    <w:basedOn w:val="1"/>
    <w:qFormat/>
    <w:uiPriority w:val="0"/>
    <w:pPr>
      <w:spacing w:line="280" w:lineRule="exact"/>
    </w:pPr>
    <w:rPr>
      <w:rFonts w:ascii="宋体" w:hAnsi="Calibri"/>
      <w:color w:val="000000"/>
      <w:sz w:val="18"/>
    </w:rPr>
  </w:style>
  <w:style w:type="paragraph" w:customStyle="1" w:styleId="3395">
    <w:name w:val="样式24"/>
    <w:basedOn w:val="818"/>
    <w:qFormat/>
    <w:uiPriority w:val="0"/>
    <w:pPr>
      <w:adjustRightInd/>
      <w:ind w:firstLine="522" w:firstLineChars="200"/>
      <w:jc w:val="both"/>
      <w:textAlignment w:val="auto"/>
    </w:pPr>
    <w:rPr>
      <w:rFonts w:asciiTheme="minorHAnsi" w:hAnsiTheme="minorHAnsi" w:eastAsiaTheme="minorEastAsia" w:cstheme="minorBidi"/>
      <w:bCs w:val="0"/>
      <w:szCs w:val="22"/>
      <w:lang w:val="zh-CN"/>
    </w:rPr>
  </w:style>
  <w:style w:type="paragraph" w:customStyle="1" w:styleId="3396">
    <w:name w:val="Char Char2 Char Char Char Char1"/>
    <w:basedOn w:val="1"/>
    <w:qFormat/>
    <w:uiPriority w:val="99"/>
    <w:pPr>
      <w:spacing w:line="360" w:lineRule="auto"/>
    </w:pPr>
    <w:rPr>
      <w:rFonts w:ascii="宋体" w:hAnsi="宋体" w:cs="宋体"/>
      <w:sz w:val="24"/>
    </w:rPr>
  </w:style>
  <w:style w:type="paragraph" w:customStyle="1" w:styleId="3397">
    <w:name w:val="Char Char2 Char Char Char Char Char Char5"/>
    <w:basedOn w:val="1"/>
    <w:qFormat/>
    <w:uiPriority w:val="99"/>
    <w:pPr>
      <w:spacing w:line="360" w:lineRule="auto"/>
    </w:pPr>
    <w:rPr>
      <w:rFonts w:ascii="宋体" w:hAnsi="宋体"/>
      <w:sz w:val="22"/>
    </w:rPr>
  </w:style>
  <w:style w:type="paragraph" w:customStyle="1" w:styleId="3398">
    <w:name w:val="样式 样式 项目正文 + 首行缩进:  2 字符 + 首行缩进:  2 字符"/>
    <w:basedOn w:val="1"/>
    <w:qFormat/>
    <w:uiPriority w:val="99"/>
    <w:pPr>
      <w:spacing w:line="360" w:lineRule="auto"/>
      <w:ind w:firstLine="200" w:firstLineChars="200"/>
    </w:pPr>
    <w:rPr>
      <w:rFonts w:ascii="Calibri" w:hAnsi="Calibri" w:cs="宋体"/>
      <w:sz w:val="24"/>
      <w:szCs w:val="20"/>
    </w:rPr>
  </w:style>
  <w:style w:type="paragraph" w:customStyle="1" w:styleId="3399">
    <w:name w:val="样式 正文(首行缩进) + 8 磅 加粗 首行缩进:  2 字符"/>
    <w:basedOn w:val="1"/>
    <w:semiHidden/>
    <w:qFormat/>
    <w:uiPriority w:val="0"/>
    <w:pPr>
      <w:adjustRightInd w:val="0"/>
      <w:snapToGrid w:val="0"/>
      <w:ind w:firstLine="200" w:firstLineChars="200"/>
    </w:pPr>
    <w:rPr>
      <w:rFonts w:ascii="Calibri" w:hAnsi="Calibri" w:cs="宋体"/>
      <w:b/>
      <w:bCs/>
      <w:snapToGrid w:val="0"/>
      <w:kern w:val="0"/>
      <w:sz w:val="16"/>
      <w:szCs w:val="20"/>
    </w:rPr>
  </w:style>
  <w:style w:type="paragraph" w:customStyle="1" w:styleId="3400">
    <w:name w:val="Style13"/>
    <w:basedOn w:val="1"/>
    <w:qFormat/>
    <w:uiPriority w:val="99"/>
    <w:pPr>
      <w:adjustRightInd w:val="0"/>
    </w:pPr>
    <w:rPr>
      <w:rFonts w:ascii="宋体" w:hAnsi="Calibri"/>
      <w:kern w:val="0"/>
      <w:sz w:val="24"/>
    </w:rPr>
  </w:style>
  <w:style w:type="paragraph" w:customStyle="1" w:styleId="3401">
    <w:name w:val="正文12"/>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 w:type="paragraph" w:customStyle="1" w:styleId="3402">
    <w:name w:val="陈样式3"/>
    <w:basedOn w:val="5"/>
    <w:qFormat/>
    <w:uiPriority w:val="99"/>
    <w:pPr>
      <w:adjustRightInd w:val="0"/>
      <w:snapToGrid w:val="0"/>
      <w:spacing w:before="0" w:beforeLines="50" w:after="0" w:afterLines="50" w:line="415" w:lineRule="auto"/>
    </w:pPr>
    <w:rPr>
      <w:rFonts w:eastAsia="黑体"/>
      <w:b w:val="0"/>
      <w:bCs w:val="0"/>
      <w:sz w:val="28"/>
      <w:szCs w:val="20"/>
      <w:lang w:val="zh-CN"/>
    </w:rPr>
  </w:style>
  <w:style w:type="paragraph" w:customStyle="1" w:styleId="3403">
    <w:name w:val="Char71"/>
    <w:basedOn w:val="1"/>
    <w:qFormat/>
    <w:uiPriority w:val="99"/>
    <w:pPr>
      <w:spacing w:line="360" w:lineRule="auto"/>
      <w:ind w:firstLine="200" w:firstLineChars="200"/>
    </w:pPr>
    <w:rPr>
      <w:rFonts w:ascii="宋体" w:hAnsi="宋体" w:cs="宋体"/>
      <w:sz w:val="24"/>
    </w:rPr>
  </w:style>
  <w:style w:type="paragraph" w:customStyle="1" w:styleId="3404">
    <w:name w:val="图表中文字"/>
    <w:basedOn w:val="1"/>
    <w:qFormat/>
    <w:uiPriority w:val="99"/>
    <w:pPr>
      <w:overflowPunct w:val="0"/>
      <w:topLinePunct/>
      <w:adjustRightInd w:val="0"/>
      <w:snapToGrid w:val="0"/>
      <w:jc w:val="center"/>
      <w:textAlignment w:val="center"/>
    </w:pPr>
    <w:rPr>
      <w:rFonts w:ascii="Calibri" w:hAnsi="Calibri"/>
      <w:snapToGrid w:val="0"/>
      <w:sz w:val="18"/>
      <w:szCs w:val="21"/>
    </w:rPr>
  </w:style>
  <w:style w:type="paragraph" w:customStyle="1" w:styleId="3405">
    <w:name w:val="征文"/>
    <w:basedOn w:val="1"/>
    <w:qFormat/>
    <w:uiPriority w:val="99"/>
    <w:pPr>
      <w:spacing w:line="400" w:lineRule="exact"/>
      <w:ind w:firstLine="480"/>
    </w:pPr>
    <w:rPr>
      <w:rFonts w:ascii="Calibri" w:hAnsi="Calibri" w:cs="宋体"/>
      <w:sz w:val="24"/>
      <w:szCs w:val="20"/>
    </w:rPr>
  </w:style>
  <w:style w:type="paragraph" w:customStyle="1" w:styleId="3406">
    <w:name w:val="T正文"/>
    <w:qFormat/>
    <w:uiPriority w:val="0"/>
    <w:pPr>
      <w:widowControl w:val="0"/>
      <w:adjustRightInd w:val="0"/>
      <w:snapToGrid w:val="0"/>
      <w:spacing w:line="360" w:lineRule="auto"/>
      <w:ind w:firstLine="200" w:firstLineChars="200"/>
      <w:jc w:val="both"/>
    </w:pPr>
    <w:rPr>
      <w:rFonts w:ascii="Calibri" w:hAnsi="Calibri" w:eastAsia="仿宋_GB2312" w:cs="Times New Roman"/>
      <w:sz w:val="28"/>
      <w:lang w:val="en-US" w:eastAsia="zh-CN" w:bidi="ar-SA"/>
    </w:rPr>
  </w:style>
  <w:style w:type="paragraph" w:customStyle="1" w:styleId="3407">
    <w:name w:val="表格-2"/>
    <w:basedOn w:val="1"/>
    <w:qFormat/>
    <w:uiPriority w:val="99"/>
    <w:pPr>
      <w:adjustRightInd w:val="0"/>
      <w:snapToGrid w:val="0"/>
      <w:jc w:val="center"/>
      <w:outlineLvl w:val="8"/>
    </w:pPr>
    <w:rPr>
      <w:rFonts w:ascii="宋体" w:hAnsi="宋体"/>
      <w:bCs/>
      <w:color w:val="000000"/>
      <w:spacing w:val="-4"/>
      <w:kern w:val="0"/>
      <w:sz w:val="24"/>
    </w:rPr>
  </w:style>
  <w:style w:type="paragraph" w:customStyle="1" w:styleId="3408">
    <w:name w:val="副标题4"/>
    <w:basedOn w:val="3225"/>
    <w:qFormat/>
    <w:uiPriority w:val="99"/>
    <w:pPr>
      <w:tabs>
        <w:tab w:val="left" w:pos="1275"/>
        <w:tab w:val="left" w:pos="1575"/>
        <w:tab w:val="left" w:pos="2100"/>
      </w:tabs>
      <w:ind w:left="1275" w:hanging="705"/>
      <w:outlineLvl w:val="4"/>
    </w:pPr>
  </w:style>
  <w:style w:type="paragraph" w:customStyle="1" w:styleId="3409">
    <w:name w:val="样式 仿宋_GB2312 小四1"/>
    <w:basedOn w:val="1"/>
    <w:qFormat/>
    <w:uiPriority w:val="0"/>
    <w:pPr>
      <w:adjustRightInd w:val="0"/>
      <w:spacing w:line="360" w:lineRule="auto"/>
      <w:ind w:firstLine="480" w:firstLineChars="200"/>
      <w:textAlignment w:val="baseline"/>
    </w:pPr>
    <w:rPr>
      <w:rFonts w:ascii="Calibri" w:hAnsi="Calibri" w:eastAsia="仿宋_GB2312"/>
      <w:kern w:val="0"/>
      <w:sz w:val="24"/>
    </w:rPr>
  </w:style>
  <w:style w:type="paragraph" w:customStyle="1" w:styleId="3410">
    <w:name w:val="!BG_标题2"/>
    <w:basedOn w:val="4"/>
    <w:qFormat/>
    <w:uiPriority w:val="99"/>
    <w:pPr>
      <w:tabs>
        <w:tab w:val="left" w:pos="567"/>
      </w:tabs>
      <w:spacing w:before="0" w:after="0" w:line="360" w:lineRule="auto"/>
    </w:pPr>
    <w:rPr>
      <w:rFonts w:ascii="Cambria" w:hAnsi="Cambria" w:eastAsia="宋体"/>
      <w:sz w:val="30"/>
    </w:rPr>
  </w:style>
  <w:style w:type="paragraph" w:customStyle="1" w:styleId="3411">
    <w:name w:val="表格内容5"/>
    <w:basedOn w:val="1"/>
    <w:next w:val="1"/>
    <w:qFormat/>
    <w:uiPriority w:val="99"/>
    <w:pPr>
      <w:spacing w:before="40" w:after="60" w:line="200" w:lineRule="atLeast"/>
      <w:textAlignment w:val="baseline"/>
    </w:pPr>
    <w:rPr>
      <w:rFonts w:ascii="Arial" w:hAnsi="Arial" w:eastAsia="仿宋_GB2312"/>
      <w:kern w:val="0"/>
    </w:rPr>
  </w:style>
  <w:style w:type="paragraph" w:customStyle="1" w:styleId="3412">
    <w:name w:val="888-表头"/>
    <w:qFormat/>
    <w:uiPriority w:val="99"/>
    <w:pPr>
      <w:spacing w:before="50" w:beforeLines="50"/>
      <w:jc w:val="center"/>
    </w:pPr>
    <w:rPr>
      <w:rFonts w:ascii="Calibri" w:hAnsi="Calibri" w:eastAsia="宋体" w:cs="Times New Roman"/>
      <w:b/>
      <w:kern w:val="2"/>
      <w:sz w:val="24"/>
      <w:szCs w:val="21"/>
      <w:lang w:val="en-US" w:eastAsia="zh-CN" w:bidi="ar-SA"/>
    </w:rPr>
  </w:style>
  <w:style w:type="paragraph" w:customStyle="1" w:styleId="3413">
    <w:name w:val="表格文字五号"/>
    <w:basedOn w:val="2007"/>
    <w:qFormat/>
    <w:uiPriority w:val="0"/>
    <w:pPr>
      <w:shd w:val="clear" w:color="auto" w:fill="auto"/>
      <w:spacing w:after="0" w:line="240" w:lineRule="auto"/>
      <w:jc w:val="center"/>
    </w:pPr>
    <w:rPr>
      <w:rFonts w:hint="eastAsia" w:ascii="Times" w:hAnsi="Times" w:eastAsia="宋体"/>
      <w:sz w:val="20"/>
    </w:rPr>
  </w:style>
  <w:style w:type="paragraph" w:customStyle="1" w:styleId="3414">
    <w:name w:val="hb4"/>
    <w:basedOn w:val="6"/>
    <w:qFormat/>
    <w:uiPriority w:val="0"/>
    <w:pPr>
      <w:topLinePunct/>
      <w:spacing w:beforeLines="50" w:afterLines="50" w:line="300" w:lineRule="exact"/>
    </w:pPr>
    <w:rPr>
      <w:rFonts w:ascii="宋体" w:hAnsi="宋体"/>
      <w:b w:val="0"/>
      <w:bCs w:val="0"/>
      <w:kern w:val="0"/>
    </w:rPr>
  </w:style>
  <w:style w:type="paragraph" w:customStyle="1" w:styleId="3415">
    <w:name w:val="样式 宋体 小四 居中"/>
    <w:basedOn w:val="1"/>
    <w:qFormat/>
    <w:uiPriority w:val="99"/>
    <w:pPr>
      <w:jc w:val="center"/>
    </w:pPr>
    <w:rPr>
      <w:rFonts w:ascii="宋体" w:hAnsi="宋体" w:cs="宋体"/>
      <w:kern w:val="0"/>
      <w:sz w:val="24"/>
      <w:szCs w:val="20"/>
    </w:rPr>
  </w:style>
  <w:style w:type="paragraph" w:customStyle="1" w:styleId="3416">
    <w:name w:val="项目点符号"/>
    <w:basedOn w:val="1"/>
    <w:qFormat/>
    <w:uiPriority w:val="0"/>
    <w:pPr>
      <w:ind w:left="505" w:firstLine="480"/>
    </w:pPr>
    <w:rPr>
      <w:rFonts w:ascii="Calibri" w:hAnsi="Calibri"/>
      <w:color w:val="000000"/>
      <w:sz w:val="28"/>
    </w:rPr>
  </w:style>
  <w:style w:type="paragraph" w:customStyle="1" w:styleId="3417">
    <w:name w:val="标题 211"/>
    <w:basedOn w:val="1"/>
    <w:next w:val="1"/>
    <w:qFormat/>
    <w:uiPriority w:val="99"/>
    <w:pPr>
      <w:keepNext/>
      <w:keepLines/>
      <w:spacing w:beforeLines="100" w:afterLines="100" w:line="470" w:lineRule="exact"/>
      <w:outlineLvl w:val="1"/>
    </w:pPr>
    <w:rPr>
      <w:rFonts w:ascii="Calibri" w:hAnsi="Calibri" w:eastAsia="黑体"/>
      <w:b/>
      <w:sz w:val="32"/>
      <w:szCs w:val="20"/>
    </w:rPr>
  </w:style>
  <w:style w:type="paragraph" w:customStyle="1" w:styleId="3418">
    <w:name w:val="样式 样式 首行缩进:  2 字符 + 居中"/>
    <w:basedOn w:val="2461"/>
    <w:qFormat/>
    <w:uiPriority w:val="99"/>
    <w:pPr>
      <w:adjustRightInd/>
      <w:snapToGrid/>
      <w:spacing w:line="500" w:lineRule="exact"/>
      <w:ind w:firstLine="0" w:firstLineChars="0"/>
      <w:jc w:val="center"/>
    </w:pPr>
    <w:rPr>
      <w:rFonts w:ascii="宋体" w:hAnsi="宋体"/>
      <w:sz w:val="28"/>
    </w:rPr>
  </w:style>
  <w:style w:type="paragraph" w:customStyle="1" w:styleId="3419">
    <w:name w:val="样式 标题 3"/>
    <w:basedOn w:val="5"/>
    <w:qFormat/>
    <w:uiPriority w:val="99"/>
    <w:pPr>
      <w:adjustRightInd w:val="0"/>
      <w:snapToGrid w:val="0"/>
      <w:spacing w:before="0" w:after="0" w:line="300" w:lineRule="auto"/>
    </w:pPr>
    <w:rPr>
      <w:rFonts w:ascii="黑体" w:hAnsi="黑体" w:eastAsia="黑体" w:cs="宋体"/>
      <w:b w:val="0"/>
      <w:bCs w:val="0"/>
      <w:sz w:val="28"/>
      <w:szCs w:val="20"/>
    </w:rPr>
  </w:style>
  <w:style w:type="paragraph" w:customStyle="1" w:styleId="3420">
    <w:name w:val="12 Char Char Char Char Char Char Char"/>
    <w:basedOn w:val="1"/>
    <w:qFormat/>
    <w:uiPriority w:val="99"/>
    <w:pPr>
      <w:spacing w:line="360" w:lineRule="auto"/>
      <w:ind w:firstLine="200" w:firstLineChars="200"/>
    </w:pPr>
    <w:rPr>
      <w:rFonts w:ascii="宋体" w:hAnsi="宋体"/>
      <w:position w:val="-6"/>
      <w:sz w:val="28"/>
      <w:szCs w:val="20"/>
      <w:u w:val="single"/>
    </w:rPr>
  </w:style>
  <w:style w:type="paragraph" w:customStyle="1" w:styleId="3421">
    <w:name w:val="样式 标题 4 + 小四"/>
    <w:basedOn w:val="6"/>
    <w:qFormat/>
    <w:uiPriority w:val="0"/>
    <w:rPr>
      <w:rFonts w:ascii="Arial" w:hAnsi="Arial" w:eastAsia="黑体"/>
      <w:b w:val="0"/>
      <w:bCs w:val="0"/>
      <w:szCs w:val="28"/>
    </w:rPr>
  </w:style>
  <w:style w:type="paragraph" w:customStyle="1" w:styleId="3422">
    <w:name w:val="正文图小四"/>
    <w:basedOn w:val="1"/>
    <w:qFormat/>
    <w:uiPriority w:val="0"/>
    <w:pPr>
      <w:adjustRightInd w:val="0"/>
      <w:snapToGrid w:val="0"/>
      <w:jc w:val="center"/>
      <w:textAlignment w:val="baseline"/>
    </w:pPr>
    <w:rPr>
      <w:rFonts w:ascii="宋体" w:hAnsi="Calibri"/>
      <w:kern w:val="0"/>
      <w:sz w:val="24"/>
    </w:rPr>
  </w:style>
  <w:style w:type="paragraph" w:customStyle="1" w:styleId="3423">
    <w:name w:val="hb2"/>
    <w:basedOn w:val="4"/>
    <w:qFormat/>
    <w:uiPriority w:val="99"/>
    <w:pPr>
      <w:topLinePunct/>
      <w:spacing w:before="0" w:after="0" w:line="416" w:lineRule="atLeast"/>
    </w:pPr>
    <w:rPr>
      <w:rFonts w:ascii="宋体" w:hAnsi="Times New Roman" w:eastAsia="宋体" w:cs="Arial"/>
      <w:sz w:val="24"/>
      <w:szCs w:val="24"/>
    </w:rPr>
  </w:style>
  <w:style w:type="paragraph" w:customStyle="1" w:styleId="3424">
    <w:name w:val="Char Char Char1 Char Char Char Char5"/>
    <w:basedOn w:val="1"/>
    <w:next w:val="1"/>
    <w:qFormat/>
    <w:uiPriority w:val="99"/>
    <w:pPr>
      <w:spacing w:line="360" w:lineRule="auto"/>
      <w:ind w:firstLine="200" w:firstLineChars="200"/>
    </w:pPr>
    <w:rPr>
      <w:rFonts w:ascii="Calibri" w:hAnsi="Calibri"/>
      <w:szCs w:val="20"/>
    </w:rPr>
  </w:style>
  <w:style w:type="paragraph" w:customStyle="1" w:styleId="3425">
    <w:name w:val="正文8"/>
    <w:basedOn w:val="1"/>
    <w:qFormat/>
    <w:uiPriority w:val="99"/>
    <w:pPr>
      <w:adjustRightInd w:val="0"/>
      <w:spacing w:line="315" w:lineRule="atLeast"/>
      <w:textAlignment w:val="baseline"/>
    </w:pPr>
    <w:rPr>
      <w:rFonts w:ascii="宋体" w:hAnsi="Calibri"/>
      <w:kern w:val="0"/>
      <w:szCs w:val="20"/>
    </w:rPr>
  </w:style>
  <w:style w:type="paragraph" w:customStyle="1" w:styleId="3426">
    <w:name w:val="Char Char3 Char Char Char Char11"/>
    <w:basedOn w:val="1"/>
    <w:qFormat/>
    <w:uiPriority w:val="99"/>
    <w:pPr>
      <w:spacing w:after="160" w:line="240" w:lineRule="exact"/>
    </w:pPr>
    <w:rPr>
      <w:rFonts w:ascii="Verdana" w:hAnsi="Verdana"/>
      <w:kern w:val="0"/>
      <w:sz w:val="20"/>
      <w:szCs w:val="20"/>
      <w:lang w:eastAsia="en-US"/>
    </w:rPr>
  </w:style>
  <w:style w:type="paragraph" w:customStyle="1" w:styleId="3427">
    <w:name w:val="样式 标题 1 + 宋体"/>
    <w:basedOn w:val="3"/>
    <w:qFormat/>
    <w:uiPriority w:val="99"/>
    <w:pPr>
      <w:tabs>
        <w:tab w:val="left" w:pos="425"/>
      </w:tabs>
      <w:adjustRightInd w:val="0"/>
      <w:snapToGrid w:val="0"/>
      <w:spacing w:before="0" w:after="0" w:line="360" w:lineRule="auto"/>
    </w:pPr>
    <w:rPr>
      <w:rFonts w:ascii="Calibri" w:hAnsi="Calibri"/>
      <w:sz w:val="32"/>
    </w:rPr>
  </w:style>
  <w:style w:type="paragraph" w:customStyle="1" w:styleId="3428">
    <w:name w:val="Char Char 字元 字元"/>
    <w:basedOn w:val="1"/>
    <w:qFormat/>
    <w:uiPriority w:val="99"/>
    <w:pPr>
      <w:spacing w:after="160" w:line="240" w:lineRule="exact"/>
    </w:pPr>
    <w:rPr>
      <w:rFonts w:ascii="Verdana" w:hAnsi="Verdana"/>
      <w:kern w:val="0"/>
      <w:sz w:val="20"/>
      <w:szCs w:val="20"/>
      <w:lang w:eastAsia="en-US"/>
    </w:rPr>
  </w:style>
  <w:style w:type="paragraph" w:customStyle="1" w:styleId="3429">
    <w:name w:val="Char Char Char1 Char Char Char Char4"/>
    <w:basedOn w:val="1"/>
    <w:next w:val="1"/>
    <w:qFormat/>
    <w:uiPriority w:val="99"/>
    <w:pPr>
      <w:spacing w:line="360" w:lineRule="auto"/>
      <w:ind w:firstLine="200" w:firstLineChars="200"/>
    </w:pPr>
    <w:rPr>
      <w:rFonts w:ascii="宋体" w:hAnsi="宋体" w:eastAsia="汉鼎简书宋" w:cs="宋体"/>
      <w:sz w:val="24"/>
    </w:rPr>
  </w:style>
  <w:style w:type="paragraph" w:customStyle="1" w:styleId="3430">
    <w:name w:val="本文スタイル"/>
    <w:basedOn w:val="1"/>
    <w:qFormat/>
    <w:uiPriority w:val="99"/>
    <w:pPr>
      <w:tabs>
        <w:tab w:val="left" w:pos="840"/>
        <w:tab w:val="left" w:pos="1200"/>
        <w:tab w:val="left" w:pos="2280"/>
        <w:tab w:val="left" w:pos="2760"/>
        <w:tab w:val="left" w:pos="3720"/>
        <w:tab w:val="left" w:pos="4800"/>
        <w:tab w:val="decimal" w:pos="5880"/>
        <w:tab w:val="left" w:pos="6360"/>
        <w:tab w:val="left" w:pos="6720"/>
        <w:tab w:val="left" w:pos="7560"/>
      </w:tabs>
      <w:autoSpaceDE w:val="0"/>
      <w:autoSpaceDN w:val="0"/>
      <w:adjustRightInd w:val="0"/>
      <w:spacing w:before="60" w:after="60" w:line="440" w:lineRule="atLeast"/>
      <w:ind w:left="284"/>
      <w:textAlignment w:val="baseline"/>
    </w:pPr>
    <w:rPr>
      <w:rFonts w:ascii="Courier New" w:hAnsi="Courier New" w:eastAsia="MS PMincho"/>
      <w:color w:val="000000"/>
      <w:kern w:val="0"/>
      <w:position w:val="-2"/>
      <w:szCs w:val="20"/>
      <w:lang w:eastAsia="ja-JP"/>
    </w:rPr>
  </w:style>
  <w:style w:type="paragraph" w:customStyle="1" w:styleId="3431">
    <w:name w:val="0005左缩2"/>
    <w:basedOn w:val="1"/>
    <w:qFormat/>
    <w:uiPriority w:val="0"/>
    <w:pPr>
      <w:autoSpaceDE w:val="0"/>
      <w:autoSpaceDN w:val="0"/>
      <w:adjustRightInd w:val="0"/>
      <w:spacing w:afterLines="30" w:line="500" w:lineRule="exact"/>
      <w:ind w:firstLine="200" w:firstLineChars="200"/>
    </w:pPr>
    <w:rPr>
      <w:rFonts w:ascii="宋体" w:hAnsi="宋体"/>
      <w:sz w:val="28"/>
      <w:szCs w:val="28"/>
    </w:rPr>
  </w:style>
  <w:style w:type="paragraph" w:customStyle="1" w:styleId="3432">
    <w:name w:val="Char18"/>
    <w:basedOn w:val="1"/>
    <w:qFormat/>
    <w:uiPriority w:val="99"/>
    <w:pPr>
      <w:spacing w:line="540" w:lineRule="exact"/>
    </w:pPr>
    <w:rPr>
      <w:rFonts w:ascii="Calibri" w:hAnsi="Calibri"/>
      <w:sz w:val="24"/>
      <w:szCs w:val="20"/>
    </w:rPr>
  </w:style>
  <w:style w:type="paragraph" w:customStyle="1" w:styleId="3433">
    <w:name w:val="!BG_标题3"/>
    <w:basedOn w:val="5"/>
    <w:qFormat/>
    <w:uiPriority w:val="99"/>
    <w:pPr>
      <w:tabs>
        <w:tab w:val="left" w:pos="709"/>
      </w:tabs>
      <w:adjustRightInd w:val="0"/>
      <w:snapToGrid w:val="0"/>
      <w:spacing w:before="0" w:after="0" w:line="360" w:lineRule="auto"/>
      <w:ind w:left="720" w:hanging="432"/>
    </w:pPr>
    <w:rPr>
      <w:rFonts w:ascii="Calibri" w:hAnsi="Calibri"/>
      <w:sz w:val="28"/>
    </w:rPr>
  </w:style>
  <w:style w:type="paragraph" w:customStyle="1" w:styleId="3434">
    <w:name w:val="设计封面"/>
    <w:basedOn w:val="4"/>
    <w:qFormat/>
    <w:uiPriority w:val="99"/>
    <w:pPr>
      <w:tabs>
        <w:tab w:val="left" w:pos="210"/>
      </w:tabs>
      <w:spacing w:before="0" w:after="0" w:line="500" w:lineRule="exact"/>
      <w:ind w:firstLine="200" w:firstLineChars="200"/>
      <w:jc w:val="center"/>
      <w:outlineLvl w:val="9"/>
    </w:pPr>
    <w:rPr>
      <w:rFonts w:eastAsia="华文中宋"/>
      <w:bCs w:val="0"/>
      <w:sz w:val="72"/>
      <w:szCs w:val="28"/>
    </w:rPr>
  </w:style>
  <w:style w:type="paragraph" w:customStyle="1" w:styleId="3435">
    <w:name w:val="reader-word-layer reader-word-s4-2 reader-word-s4-8"/>
    <w:basedOn w:val="1"/>
    <w:qFormat/>
    <w:uiPriority w:val="99"/>
    <w:pPr>
      <w:spacing w:before="100" w:beforeAutospacing="1" w:after="100" w:afterAutospacing="1" w:line="300" w:lineRule="auto"/>
    </w:pPr>
    <w:rPr>
      <w:rFonts w:ascii="宋体" w:hAnsi="宋体" w:cs="宋体"/>
      <w:kern w:val="0"/>
      <w:sz w:val="24"/>
    </w:rPr>
  </w:style>
  <w:style w:type="paragraph" w:customStyle="1" w:styleId="3436">
    <w:name w:val="char"/>
    <w:basedOn w:val="1"/>
    <w:qFormat/>
    <w:uiPriority w:val="0"/>
    <w:pPr>
      <w:spacing w:after="160" w:line="300" w:lineRule="auto"/>
    </w:pPr>
    <w:rPr>
      <w:rFonts w:ascii="Verdana" w:hAnsi="Verdana" w:eastAsia="仿宋_GB2312" w:cs="”“Times New Roman”“"/>
      <w:kern w:val="0"/>
      <w:sz w:val="28"/>
      <w:szCs w:val="28"/>
      <w:lang w:eastAsia="en-US"/>
    </w:rPr>
  </w:style>
  <w:style w:type="paragraph" w:customStyle="1" w:styleId="3437">
    <w:name w:val="reader-word-layer reader-word-s4-3"/>
    <w:basedOn w:val="1"/>
    <w:qFormat/>
    <w:uiPriority w:val="99"/>
    <w:pPr>
      <w:spacing w:before="100" w:beforeAutospacing="1" w:after="100" w:afterAutospacing="1" w:line="300" w:lineRule="auto"/>
    </w:pPr>
    <w:rPr>
      <w:rFonts w:ascii="宋体" w:hAnsi="宋体" w:cs="宋体"/>
      <w:kern w:val="0"/>
      <w:sz w:val="24"/>
    </w:rPr>
  </w:style>
  <w:style w:type="paragraph" w:customStyle="1" w:styleId="3438">
    <w:name w:val="说明式1"/>
    <w:basedOn w:val="1"/>
    <w:qFormat/>
    <w:uiPriority w:val="99"/>
    <w:pPr>
      <w:tabs>
        <w:tab w:val="left" w:pos="360"/>
      </w:tabs>
    </w:pPr>
    <w:rPr>
      <w:rFonts w:hint="eastAsia" w:ascii="Calibri" w:hAnsi="Calibri"/>
      <w:szCs w:val="20"/>
    </w:rPr>
  </w:style>
  <w:style w:type="paragraph" w:customStyle="1" w:styleId="3439">
    <w:name w:val="Char Char Char Char Char Char Char Char Char Char Char Char Char Char Char Char Char Char Char Char Char Char Char Char Char"/>
    <w:basedOn w:val="1"/>
    <w:qFormat/>
    <w:uiPriority w:val="99"/>
    <w:rPr>
      <w:rFonts w:ascii="Calibri" w:hAnsi="Calibri"/>
    </w:rPr>
  </w:style>
  <w:style w:type="paragraph" w:customStyle="1" w:styleId="3440">
    <w:name w:val="8.7表头"/>
    <w:basedOn w:val="1"/>
    <w:qFormat/>
    <w:uiPriority w:val="99"/>
    <w:pPr>
      <w:spacing w:line="460" w:lineRule="exact"/>
      <w:jc w:val="center"/>
    </w:pPr>
    <w:rPr>
      <w:rFonts w:ascii="Calibri" w:hAnsi="Calibri" w:cs="宋体"/>
      <w:b/>
      <w:bCs/>
      <w:sz w:val="28"/>
      <w:szCs w:val="20"/>
    </w:rPr>
  </w:style>
  <w:style w:type="paragraph" w:customStyle="1" w:styleId="3441">
    <w:name w:val="1标题2级"/>
    <w:basedOn w:val="1"/>
    <w:qFormat/>
    <w:uiPriority w:val="0"/>
    <w:pPr>
      <w:snapToGrid w:val="0"/>
      <w:spacing w:line="360" w:lineRule="auto"/>
    </w:pPr>
    <w:rPr>
      <w:rFonts w:ascii="Calibri" w:hAnsi="Calibri" w:eastAsia="仿宋_GB2312"/>
      <w:b/>
      <w:sz w:val="30"/>
      <w:szCs w:val="20"/>
    </w:rPr>
  </w:style>
  <w:style w:type="paragraph" w:customStyle="1" w:styleId="3442">
    <w:name w:val="样式 仿宋_GB2312 四号 行距: 1.5 倍行距 首行缩进:  2 字符"/>
    <w:basedOn w:val="1"/>
    <w:qFormat/>
    <w:uiPriority w:val="99"/>
    <w:pPr>
      <w:spacing w:line="360" w:lineRule="auto"/>
      <w:ind w:firstLine="560" w:firstLineChars="200"/>
    </w:pPr>
    <w:rPr>
      <w:rFonts w:ascii="仿宋_GB2312" w:hAnsi="Calibri" w:eastAsia="仿宋_GB2312" w:cs="宋体"/>
      <w:sz w:val="28"/>
      <w:szCs w:val="20"/>
    </w:rPr>
  </w:style>
  <w:style w:type="paragraph" w:customStyle="1" w:styleId="3443">
    <w:name w:val="样式 表格内容 + (中文) 宋体 居中"/>
    <w:basedOn w:val="257"/>
    <w:qFormat/>
    <w:uiPriority w:val="99"/>
    <w:pPr>
      <w:overflowPunct w:val="0"/>
      <w:snapToGrid w:val="0"/>
      <w:spacing w:after="120" w:line="440" w:lineRule="exact"/>
      <w:textAlignment w:val="baseline"/>
    </w:pPr>
    <w:rPr>
      <w:rFonts w:ascii="Arial" w:hAnsi="Arial" w:cstheme="minorBidi"/>
      <w:kern w:val="2"/>
      <w:szCs w:val="22"/>
    </w:rPr>
  </w:style>
  <w:style w:type="paragraph" w:customStyle="1" w:styleId="3444">
    <w:name w:val="流程图文字"/>
    <w:basedOn w:val="1"/>
    <w:qFormat/>
    <w:uiPriority w:val="99"/>
    <w:pPr>
      <w:spacing w:before="100" w:beforeAutospacing="1" w:after="40"/>
      <w:jc w:val="center"/>
    </w:pPr>
    <w:rPr>
      <w:rFonts w:ascii="Calibri" w:hAnsi="Calibri"/>
    </w:rPr>
  </w:style>
  <w:style w:type="paragraph" w:customStyle="1" w:styleId="3445">
    <w:name w:val="正文（唐）"/>
    <w:basedOn w:val="1"/>
    <w:semiHidden/>
    <w:qFormat/>
    <w:uiPriority w:val="99"/>
    <w:pPr>
      <w:autoSpaceDE w:val="0"/>
      <w:autoSpaceDN w:val="0"/>
      <w:adjustRightInd w:val="0"/>
      <w:spacing w:line="460" w:lineRule="exact"/>
      <w:ind w:left="-45" w:firstLine="480" w:firstLineChars="200"/>
    </w:pPr>
    <w:rPr>
      <w:rFonts w:ascii="宋体" w:hAnsi="宋体" w:eastAsia="Times New Roman" w:cs="宋体"/>
      <w:b/>
      <w:sz w:val="24"/>
    </w:rPr>
  </w:style>
  <w:style w:type="paragraph" w:customStyle="1" w:styleId="3446">
    <w:name w:val="目录 21"/>
    <w:basedOn w:val="1"/>
    <w:next w:val="1"/>
    <w:qFormat/>
    <w:uiPriority w:val="99"/>
    <w:pPr>
      <w:tabs>
        <w:tab w:val="right" w:leader="dot" w:pos="8931"/>
      </w:tabs>
      <w:adjustRightInd w:val="0"/>
      <w:snapToGrid w:val="0"/>
      <w:spacing w:line="300" w:lineRule="auto"/>
      <w:ind w:left="227"/>
    </w:pPr>
    <w:rPr>
      <w:rFonts w:ascii="Calibri" w:hAnsi="Calibri"/>
      <w:smallCaps/>
      <w:sz w:val="24"/>
    </w:rPr>
  </w:style>
  <w:style w:type="paragraph" w:customStyle="1" w:styleId="3447">
    <w:name w:val="reader-word-layer reader-word-s4-7"/>
    <w:basedOn w:val="1"/>
    <w:qFormat/>
    <w:uiPriority w:val="99"/>
    <w:pPr>
      <w:spacing w:before="100" w:beforeAutospacing="1" w:after="100" w:afterAutospacing="1" w:line="300" w:lineRule="auto"/>
    </w:pPr>
    <w:rPr>
      <w:rFonts w:ascii="宋体" w:hAnsi="宋体" w:cs="宋体"/>
      <w:kern w:val="0"/>
      <w:sz w:val="24"/>
    </w:rPr>
  </w:style>
  <w:style w:type="paragraph" w:customStyle="1" w:styleId="3448">
    <w:name w:val="居中"/>
    <w:basedOn w:val="1"/>
    <w:qFormat/>
    <w:uiPriority w:val="0"/>
    <w:pPr>
      <w:spacing w:line="360" w:lineRule="auto"/>
      <w:ind w:firstLine="560" w:firstLineChars="200"/>
      <w:jc w:val="center"/>
    </w:pPr>
    <w:rPr>
      <w:rFonts w:ascii="Calibri" w:hAnsi="Calibri" w:eastAsia="华文楷体"/>
      <w:b/>
      <w:sz w:val="30"/>
      <w:szCs w:val="22"/>
    </w:rPr>
  </w:style>
  <w:style w:type="paragraph" w:customStyle="1" w:styleId="3449">
    <w:name w:val="正文（5号）缩进（2）"/>
    <w:basedOn w:val="1"/>
    <w:qFormat/>
    <w:uiPriority w:val="99"/>
    <w:pPr>
      <w:spacing w:line="360" w:lineRule="auto"/>
      <w:ind w:firstLine="200" w:firstLineChars="200"/>
    </w:pPr>
    <w:rPr>
      <w:rFonts w:ascii="Calibri" w:hAnsi="Calibri" w:cs="宋体"/>
      <w:szCs w:val="20"/>
    </w:rPr>
  </w:style>
  <w:style w:type="paragraph" w:customStyle="1" w:styleId="3450">
    <w:name w:val="目录 211"/>
    <w:basedOn w:val="1"/>
    <w:next w:val="1"/>
    <w:qFormat/>
    <w:uiPriority w:val="99"/>
    <w:pPr>
      <w:ind w:left="210"/>
    </w:pPr>
    <w:rPr>
      <w:rFonts w:hint="eastAsia" w:ascii="Calibri" w:hAnsi="Calibri"/>
      <w:smallCaps/>
      <w:sz w:val="20"/>
      <w:szCs w:val="20"/>
    </w:rPr>
  </w:style>
  <w:style w:type="paragraph" w:customStyle="1" w:styleId="3451">
    <w:name w:val="正文10"/>
    <w:basedOn w:val="1"/>
    <w:qFormat/>
    <w:uiPriority w:val="99"/>
    <w:pPr>
      <w:adjustRightInd w:val="0"/>
      <w:spacing w:line="315" w:lineRule="atLeast"/>
      <w:textAlignment w:val="baseline"/>
    </w:pPr>
    <w:rPr>
      <w:rFonts w:ascii="宋体" w:hAnsi="Calibri"/>
      <w:kern w:val="0"/>
      <w:szCs w:val="20"/>
    </w:rPr>
  </w:style>
  <w:style w:type="paragraph" w:customStyle="1" w:styleId="3452">
    <w:name w:val="标题 2 蓝四号"/>
    <w:basedOn w:val="4"/>
    <w:next w:val="1"/>
    <w:semiHidden/>
    <w:qFormat/>
    <w:uiPriority w:val="99"/>
    <w:pPr>
      <w:shd w:val="clear" w:color="auto" w:fill="FFFFFF"/>
      <w:tabs>
        <w:tab w:val="left" w:pos="210"/>
      </w:tabs>
      <w:kinsoku w:val="0"/>
      <w:overflowPunct w:val="0"/>
      <w:autoSpaceDE w:val="0"/>
      <w:autoSpaceDN w:val="0"/>
      <w:spacing w:before="120" w:after="120" w:line="300" w:lineRule="exact"/>
    </w:pPr>
    <w:rPr>
      <w:rFonts w:ascii="宋体" w:hAnsi="宋体" w:eastAsia="宋体"/>
      <w:bCs w:val="0"/>
      <w:color w:val="0000FF"/>
      <w:sz w:val="24"/>
      <w:szCs w:val="24"/>
    </w:rPr>
  </w:style>
  <w:style w:type="paragraph" w:customStyle="1" w:styleId="3453">
    <w:name w:val="页眉31"/>
    <w:basedOn w:val="1"/>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customStyle="1" w:styleId="3454">
    <w:name w:val="p_heading1"/>
    <w:basedOn w:val="1"/>
    <w:qFormat/>
    <w:uiPriority w:val="99"/>
    <w:pPr>
      <w:spacing w:before="100" w:beforeAutospacing="1" w:after="100" w:afterAutospacing="1"/>
    </w:pPr>
    <w:rPr>
      <w:rFonts w:hint="eastAsia" w:ascii="宋体" w:hAnsi="宋体"/>
      <w:sz w:val="24"/>
      <w:szCs w:val="20"/>
    </w:rPr>
  </w:style>
  <w:style w:type="paragraph" w:customStyle="1" w:styleId="3455">
    <w:name w:val="8.7表"/>
    <w:basedOn w:val="1"/>
    <w:qFormat/>
    <w:uiPriority w:val="99"/>
    <w:pPr>
      <w:spacing w:line="360" w:lineRule="exact"/>
      <w:jc w:val="center"/>
    </w:pPr>
    <w:rPr>
      <w:rFonts w:ascii="Calibri" w:hAnsi="Calibri" w:cs="宋体"/>
      <w:szCs w:val="20"/>
    </w:rPr>
  </w:style>
  <w:style w:type="paragraph" w:customStyle="1" w:styleId="3456">
    <w:name w:val="正式文字"/>
    <w:basedOn w:val="1"/>
    <w:qFormat/>
    <w:uiPriority w:val="99"/>
    <w:pPr>
      <w:snapToGrid w:val="0"/>
      <w:spacing w:line="460" w:lineRule="atLeast"/>
      <w:ind w:firstLine="359" w:firstLineChars="149"/>
    </w:pPr>
    <w:rPr>
      <w:rFonts w:hint="eastAsia" w:ascii="宋体" w:hAnsi="宋体"/>
      <w:b/>
      <w:sz w:val="24"/>
      <w:szCs w:val="20"/>
    </w:rPr>
  </w:style>
  <w:style w:type="paragraph" w:customStyle="1" w:styleId="3457">
    <w:name w:val="注释"/>
    <w:next w:val="1"/>
    <w:qFormat/>
    <w:uiPriority w:val="99"/>
    <w:pPr>
      <w:jc w:val="both"/>
    </w:pPr>
    <w:rPr>
      <w:rFonts w:asciiTheme="minorHAnsi" w:hAnsiTheme="minorHAnsi" w:eastAsiaTheme="minorEastAsia" w:cstheme="minorBidi"/>
      <w:b/>
      <w:bCs/>
      <w:kern w:val="2"/>
      <w:sz w:val="28"/>
      <w:szCs w:val="28"/>
      <w:lang w:val="en-US" w:eastAsia="zh-CN" w:bidi="ar-SA"/>
    </w:rPr>
  </w:style>
  <w:style w:type="paragraph" w:customStyle="1" w:styleId="3458">
    <w:name w:val="正5号"/>
    <w:basedOn w:val="1"/>
    <w:qFormat/>
    <w:uiPriority w:val="99"/>
    <w:pPr>
      <w:autoSpaceDE w:val="0"/>
      <w:autoSpaceDN w:val="0"/>
      <w:spacing w:line="360" w:lineRule="auto"/>
      <w:textAlignment w:val="bottom"/>
    </w:pPr>
    <w:rPr>
      <w:rFonts w:ascii="Calibri" w:hAnsi="Calibri"/>
      <w:bCs/>
      <w:sz w:val="24"/>
      <w:szCs w:val="21"/>
    </w:rPr>
  </w:style>
  <w:style w:type="paragraph" w:customStyle="1" w:styleId="3459">
    <w:name w:val="Char Char Char Char Char Char Char Char Char Char Char Char Char Char Char Char Char Char4"/>
    <w:basedOn w:val="1"/>
    <w:qFormat/>
    <w:uiPriority w:val="99"/>
    <w:rPr>
      <w:rFonts w:ascii="Calibri" w:hAnsi="Calibri"/>
    </w:rPr>
  </w:style>
  <w:style w:type="paragraph" w:customStyle="1" w:styleId="3460">
    <w:name w:val="A标题3"/>
    <w:basedOn w:val="1"/>
    <w:qFormat/>
    <w:uiPriority w:val="99"/>
    <w:pPr>
      <w:spacing w:line="360" w:lineRule="auto"/>
    </w:pPr>
    <w:rPr>
      <w:rFonts w:hint="eastAsia" w:ascii="Calibri" w:hAnsi="Calibri"/>
      <w:sz w:val="28"/>
      <w:szCs w:val="20"/>
    </w:rPr>
  </w:style>
  <w:style w:type="paragraph" w:customStyle="1" w:styleId="3461">
    <w:name w:val="特殊标题３"/>
    <w:basedOn w:val="1"/>
    <w:qFormat/>
    <w:uiPriority w:val="99"/>
    <w:pPr>
      <w:overflowPunct w:val="0"/>
      <w:autoSpaceDE w:val="0"/>
      <w:autoSpaceDN w:val="0"/>
      <w:adjustRightInd w:val="0"/>
      <w:spacing w:line="360" w:lineRule="auto"/>
    </w:pPr>
    <w:rPr>
      <w:rFonts w:ascii="Calibri" w:hAnsi="Calibri" w:eastAsia="仿宋_GB2312"/>
      <w:kern w:val="0"/>
      <w:sz w:val="28"/>
      <w:szCs w:val="20"/>
    </w:rPr>
  </w:style>
  <w:style w:type="paragraph" w:customStyle="1" w:styleId="3462">
    <w:name w:val="插图"/>
    <w:basedOn w:val="3244"/>
    <w:qFormat/>
    <w:uiPriority w:val="99"/>
    <w:pPr>
      <w:spacing w:beforeLines="50" w:afterLines="50" w:line="240" w:lineRule="auto"/>
      <w:ind w:firstLine="0" w:firstLineChars="0"/>
    </w:pPr>
    <w:rPr>
      <w:kern w:val="32"/>
    </w:rPr>
  </w:style>
  <w:style w:type="paragraph" w:customStyle="1" w:styleId="3463">
    <w:name w:val="引文目录1"/>
    <w:basedOn w:val="1"/>
    <w:next w:val="1"/>
    <w:qFormat/>
    <w:uiPriority w:val="99"/>
    <w:pPr>
      <w:ind w:left="420" w:leftChars="200"/>
    </w:pPr>
    <w:rPr>
      <w:rFonts w:ascii="Calibri" w:hAnsi="Calibri"/>
    </w:rPr>
  </w:style>
  <w:style w:type="paragraph" w:customStyle="1" w:styleId="3464">
    <w:name w:val="目录1"/>
    <w:basedOn w:val="59"/>
    <w:next w:val="59"/>
    <w:qFormat/>
    <w:uiPriority w:val="0"/>
    <w:pPr>
      <w:tabs>
        <w:tab w:val="left" w:leader="dot" w:pos="8492"/>
        <w:tab w:val="right" w:leader="dot" w:pos="8525"/>
        <w:tab w:val="right" w:leader="dot" w:pos="9004"/>
        <w:tab w:val="right" w:leader="dot" w:pos="9061"/>
      </w:tabs>
      <w:adjustRightInd w:val="0"/>
      <w:spacing w:before="0" w:afterLines="50" w:line="360" w:lineRule="auto"/>
      <w:textAlignment w:val="baseline"/>
    </w:pPr>
    <w:rPr>
      <w:rFonts w:asciiTheme="minorHAnsi" w:hAnsiTheme="minorHAnsi" w:eastAsiaTheme="minorEastAsia" w:cstheme="minorBidi"/>
      <w:bCs w:val="0"/>
      <w:caps w:val="0"/>
      <w:color w:val="000000"/>
      <w:kern w:val="0"/>
      <w:sz w:val="24"/>
      <w:szCs w:val="21"/>
      <w:u w:color="000000"/>
    </w:rPr>
  </w:style>
  <w:style w:type="paragraph" w:customStyle="1" w:styleId="3465">
    <w:name w:val="小圈序列2"/>
    <w:basedOn w:val="1"/>
    <w:qFormat/>
    <w:uiPriority w:val="99"/>
    <w:pPr>
      <w:tabs>
        <w:tab w:val="left" w:pos="556"/>
        <w:tab w:val="left" w:pos="1260"/>
        <w:tab w:val="left" w:pos="1440"/>
      </w:tabs>
      <w:spacing w:line="500" w:lineRule="exact"/>
      <w:ind w:left="-425" w:firstLine="425"/>
    </w:pPr>
    <w:rPr>
      <w:rFonts w:ascii="宋体" w:hAnsi="宋体"/>
      <w:kern w:val="0"/>
      <w:sz w:val="28"/>
      <w:szCs w:val="28"/>
    </w:rPr>
  </w:style>
  <w:style w:type="paragraph" w:customStyle="1" w:styleId="3466">
    <w:name w:val="标准书眉_奇数页"/>
    <w:next w:val="1"/>
    <w:qFormat/>
    <w:uiPriority w:val="0"/>
    <w:pPr>
      <w:tabs>
        <w:tab w:val="center" w:pos="4154"/>
        <w:tab w:val="right" w:pos="8306"/>
      </w:tabs>
      <w:spacing w:after="120"/>
      <w:jc w:val="right"/>
    </w:pPr>
    <w:rPr>
      <w:rFonts w:ascii="Calibri" w:hAnsi="Calibri" w:eastAsia="宋体" w:cs="Times New Roman"/>
      <w:sz w:val="21"/>
      <w:lang w:val="en-US" w:eastAsia="zh-CN" w:bidi="ar-SA"/>
    </w:rPr>
  </w:style>
  <w:style w:type="paragraph" w:customStyle="1" w:styleId="3467">
    <w:name w:val="正文首行缩进-修改"/>
    <w:basedOn w:val="1"/>
    <w:qFormat/>
    <w:uiPriority w:val="99"/>
    <w:pPr>
      <w:spacing w:line="360" w:lineRule="auto"/>
      <w:ind w:firstLine="480" w:firstLineChars="200"/>
    </w:pPr>
    <w:rPr>
      <w:rFonts w:ascii="Calibri" w:hAnsi="Calibri"/>
      <w:sz w:val="24"/>
    </w:rPr>
  </w:style>
  <w:style w:type="paragraph" w:customStyle="1" w:styleId="3468">
    <w:name w:val="Char Char21 Char Char2"/>
    <w:basedOn w:val="1"/>
    <w:qFormat/>
    <w:uiPriority w:val="99"/>
    <w:rPr>
      <w:rFonts w:ascii="Tahoma" w:hAnsi="Tahoma"/>
      <w:sz w:val="24"/>
      <w:szCs w:val="20"/>
    </w:rPr>
  </w:style>
  <w:style w:type="paragraph" w:customStyle="1" w:styleId="3469">
    <w:name w:val="a)"/>
    <w:basedOn w:val="1"/>
    <w:qFormat/>
    <w:uiPriority w:val="99"/>
    <w:rPr>
      <w:rFonts w:ascii="Calibri" w:hAnsi="Calibri"/>
    </w:rPr>
  </w:style>
  <w:style w:type="paragraph" w:customStyle="1" w:styleId="3470">
    <w:name w:val="表格居中6号紧缩"/>
    <w:basedOn w:val="3309"/>
    <w:qFormat/>
    <w:uiPriority w:val="0"/>
    <w:pPr>
      <w:jc w:val="center"/>
    </w:pPr>
    <w:rPr>
      <w:rFonts w:ascii="Times New Roman"/>
      <w:w w:val="80"/>
    </w:rPr>
  </w:style>
  <w:style w:type="paragraph" w:customStyle="1" w:styleId="3471">
    <w:name w:val="列表编号 21"/>
    <w:basedOn w:val="1"/>
    <w:qFormat/>
    <w:uiPriority w:val="99"/>
    <w:pPr>
      <w:tabs>
        <w:tab w:val="left" w:pos="780"/>
      </w:tabs>
      <w:ind w:left="780" w:leftChars="200" w:hanging="360" w:hangingChars="200"/>
    </w:pPr>
    <w:rPr>
      <w:rFonts w:ascii="Calibri" w:hAnsi="Calibri"/>
    </w:rPr>
  </w:style>
  <w:style w:type="paragraph" w:customStyle="1" w:styleId="3472">
    <w:name w:val="字母编号"/>
    <w:basedOn w:val="3416"/>
    <w:qFormat/>
    <w:uiPriority w:val="99"/>
    <w:pPr>
      <w:tabs>
        <w:tab w:val="left" w:pos="981"/>
      </w:tabs>
      <w:ind w:left="0" w:firstLine="420"/>
    </w:pPr>
  </w:style>
  <w:style w:type="paragraph" w:customStyle="1" w:styleId="3473">
    <w:name w:val="Char Char1 Char2"/>
    <w:basedOn w:val="1"/>
    <w:qFormat/>
    <w:uiPriority w:val="99"/>
    <w:rPr>
      <w:rFonts w:ascii="Calibri" w:hAnsi="Calibri"/>
    </w:rPr>
  </w:style>
  <w:style w:type="paragraph" w:customStyle="1" w:styleId="3474">
    <w:name w:val="Char Char Char Char Char Char Char6"/>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475">
    <w:name w:val="ENUM"/>
    <w:basedOn w:val="1"/>
    <w:qFormat/>
    <w:uiPriority w:val="0"/>
    <w:pPr>
      <w:tabs>
        <w:tab w:val="left" w:pos="840"/>
        <w:tab w:val="left" w:pos="1418"/>
      </w:tabs>
      <w:spacing w:before="60" w:after="60"/>
      <w:ind w:left="1418" w:hanging="284" w:firstLineChars="200"/>
    </w:pPr>
    <w:rPr>
      <w:rFonts w:ascii="Arial" w:hAnsi="Arial"/>
      <w:kern w:val="0"/>
      <w:sz w:val="22"/>
      <w:szCs w:val="20"/>
      <w:lang w:val="en-GB"/>
    </w:rPr>
  </w:style>
  <w:style w:type="paragraph" w:customStyle="1" w:styleId="3476">
    <w:name w:val="Style108"/>
    <w:basedOn w:val="1"/>
    <w:qFormat/>
    <w:uiPriority w:val="99"/>
    <w:pPr>
      <w:adjustRightInd w:val="0"/>
    </w:pPr>
    <w:rPr>
      <w:rFonts w:ascii="宋体" w:hAnsi="Calibri"/>
      <w:kern w:val="0"/>
      <w:sz w:val="24"/>
    </w:rPr>
  </w:style>
  <w:style w:type="paragraph" w:customStyle="1" w:styleId="3477">
    <w:name w:val="二级标题 Char Char Char"/>
    <w:basedOn w:val="1"/>
    <w:next w:val="1"/>
    <w:qFormat/>
    <w:uiPriority w:val="0"/>
    <w:pPr>
      <w:spacing w:line="529" w:lineRule="exact"/>
      <w:ind w:firstLine="200" w:firstLineChars="200"/>
    </w:pPr>
    <w:rPr>
      <w:rFonts w:ascii="宋体" w:hAnsi="宋体" w:cs="宋体"/>
      <w:sz w:val="24"/>
    </w:rPr>
  </w:style>
  <w:style w:type="paragraph" w:customStyle="1" w:styleId="3478">
    <w:name w:val="Style61"/>
    <w:basedOn w:val="1"/>
    <w:qFormat/>
    <w:uiPriority w:val="99"/>
    <w:pPr>
      <w:adjustRightInd w:val="0"/>
    </w:pPr>
    <w:rPr>
      <w:rFonts w:ascii="宋体" w:hAnsi="Calibri"/>
      <w:kern w:val="0"/>
      <w:sz w:val="24"/>
    </w:rPr>
  </w:style>
  <w:style w:type="paragraph" w:customStyle="1" w:styleId="3479">
    <w:name w:val="INDENT1"/>
    <w:basedOn w:val="1"/>
    <w:qFormat/>
    <w:uiPriority w:val="99"/>
    <w:rPr>
      <w:rFonts w:ascii="Arial" w:hAnsi="Arial"/>
      <w:kern w:val="0"/>
      <w:sz w:val="24"/>
      <w:szCs w:val="20"/>
      <w:lang w:val="en-GB"/>
    </w:rPr>
  </w:style>
  <w:style w:type="paragraph" w:customStyle="1" w:styleId="3480">
    <w:name w:val="Char3 Char Char Char Char Char Char"/>
    <w:basedOn w:val="1"/>
    <w:qFormat/>
    <w:uiPriority w:val="99"/>
    <w:rPr>
      <w:rFonts w:ascii="宋体" w:hAnsi="宋体" w:cs="宋体"/>
    </w:rPr>
  </w:style>
  <w:style w:type="paragraph" w:customStyle="1" w:styleId="3481">
    <w:name w:val="样式 正文文本缩进 + 首行缩进:  1 字符 行距: 固定值 26 磅"/>
    <w:basedOn w:val="1"/>
    <w:qFormat/>
    <w:uiPriority w:val="99"/>
    <w:pPr>
      <w:spacing w:before="50" w:line="360" w:lineRule="auto"/>
      <w:ind w:firstLine="561"/>
    </w:pPr>
    <w:rPr>
      <w:rFonts w:ascii="Calibri" w:hAnsi="Calibri"/>
      <w:sz w:val="24"/>
      <w:szCs w:val="20"/>
    </w:rPr>
  </w:style>
  <w:style w:type="paragraph" w:customStyle="1" w:styleId="3482">
    <w:name w:val="单元格"/>
    <w:basedOn w:val="1"/>
    <w:qFormat/>
    <w:uiPriority w:val="0"/>
    <w:pPr>
      <w:adjustRightInd w:val="0"/>
      <w:snapToGrid w:val="0"/>
      <w:spacing w:line="320" w:lineRule="exact"/>
      <w:jc w:val="center"/>
    </w:pPr>
    <w:rPr>
      <w:rFonts w:ascii="宋体" w:hAnsi="宋体"/>
      <w:kern w:val="0"/>
    </w:rPr>
  </w:style>
  <w:style w:type="paragraph" w:customStyle="1" w:styleId="3483">
    <w:name w:val="正文 + 宋体"/>
    <w:basedOn w:val="1"/>
    <w:qFormat/>
    <w:uiPriority w:val="0"/>
    <w:pPr>
      <w:ind w:firstLine="425"/>
    </w:pPr>
    <w:rPr>
      <w:rFonts w:ascii="宋体" w:hAnsi="宋体"/>
      <w:sz w:val="24"/>
    </w:rPr>
  </w:style>
  <w:style w:type="paragraph" w:customStyle="1" w:styleId="3484">
    <w:name w:val="Char Char Char Char Char Char Char7"/>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485">
    <w:name w:val="表格小"/>
    <w:basedOn w:val="1"/>
    <w:qFormat/>
    <w:uiPriority w:val="99"/>
    <w:pPr>
      <w:jc w:val="center"/>
    </w:pPr>
    <w:rPr>
      <w:rFonts w:ascii="Calibri" w:hAnsi="Calibri"/>
      <w:sz w:val="18"/>
    </w:rPr>
  </w:style>
  <w:style w:type="paragraph" w:customStyle="1" w:styleId="3486">
    <w:name w:val="Char Char Char Char Char Char1 Char11"/>
    <w:basedOn w:val="1"/>
    <w:qFormat/>
    <w:uiPriority w:val="99"/>
    <w:rPr>
      <w:rFonts w:ascii="Calibri" w:hAnsi="Calibri"/>
    </w:rPr>
  </w:style>
  <w:style w:type="paragraph" w:customStyle="1" w:styleId="3487">
    <w:name w:val="样式2 Char"/>
    <w:basedOn w:val="21"/>
    <w:qFormat/>
    <w:uiPriority w:val="99"/>
    <w:pPr>
      <w:ind w:firstLine="567"/>
      <w:textAlignment w:val="baseline"/>
    </w:pPr>
    <w:rPr>
      <w:rFonts w:asciiTheme="minorHAnsi" w:hAnsiTheme="minorHAnsi" w:cstheme="minorBidi"/>
      <w:snapToGrid w:val="0"/>
      <w:szCs w:val="24"/>
    </w:rPr>
  </w:style>
  <w:style w:type="paragraph" w:customStyle="1" w:styleId="3488">
    <w:name w:val="小51"/>
    <w:semiHidden/>
    <w:qFormat/>
    <w:uiPriority w:val="99"/>
    <w:pPr>
      <w:adjustRightInd w:val="0"/>
      <w:snapToGrid w:val="0"/>
    </w:pPr>
    <w:rPr>
      <w:rFonts w:ascii="Calibri" w:hAnsi="Calibri" w:eastAsia="宋体" w:cs="Times New Roman"/>
      <w:color w:val="000000"/>
      <w:kern w:val="2"/>
      <w:sz w:val="18"/>
      <w:szCs w:val="21"/>
      <w:lang w:val="en-US" w:eastAsia="zh-CN" w:bidi="ar-SA"/>
    </w:rPr>
  </w:style>
  <w:style w:type="paragraph" w:customStyle="1" w:styleId="3489">
    <w:name w:val="北京院"/>
    <w:basedOn w:val="1"/>
    <w:qFormat/>
    <w:uiPriority w:val="99"/>
    <w:pPr>
      <w:jc w:val="distribute"/>
    </w:pPr>
    <w:rPr>
      <w:rFonts w:ascii="Calibri" w:hAnsi="Calibri"/>
      <w:spacing w:val="-18"/>
      <w:sz w:val="36"/>
      <w:szCs w:val="20"/>
    </w:rPr>
  </w:style>
  <w:style w:type="paragraph" w:customStyle="1" w:styleId="3490">
    <w:name w:val="正文单倍行距"/>
    <w:basedOn w:val="1"/>
    <w:qFormat/>
    <w:uiPriority w:val="0"/>
    <w:pPr>
      <w:tabs>
        <w:tab w:val="left" w:pos="8640"/>
      </w:tabs>
      <w:snapToGrid w:val="0"/>
      <w:ind w:firstLine="200" w:firstLineChars="200"/>
    </w:pPr>
    <w:rPr>
      <w:rFonts w:ascii="Calibri" w:hAnsi="Calibri" w:eastAsia="仿宋_GB2312"/>
      <w:sz w:val="24"/>
    </w:rPr>
  </w:style>
  <w:style w:type="paragraph" w:customStyle="1" w:styleId="3491">
    <w:name w:val="正文表标题"/>
    <w:next w:val="1"/>
    <w:qFormat/>
    <w:uiPriority w:val="0"/>
    <w:pPr>
      <w:tabs>
        <w:tab w:val="left" w:pos="1200"/>
      </w:tabs>
      <w:ind w:left="1200" w:hanging="720"/>
      <w:jc w:val="center"/>
    </w:pPr>
    <w:rPr>
      <w:rFonts w:ascii="黑体" w:hAnsi="Calibri" w:eastAsia="黑体" w:cs="Times New Roman"/>
      <w:sz w:val="21"/>
      <w:lang w:val="en-US" w:eastAsia="zh-CN" w:bidi="ar-SA"/>
    </w:rPr>
  </w:style>
  <w:style w:type="paragraph" w:customStyle="1" w:styleId="3492">
    <w:name w:val="GM"/>
    <w:basedOn w:val="3"/>
    <w:qFormat/>
    <w:uiPriority w:val="0"/>
    <w:pPr>
      <w:keepLines w:val="0"/>
      <w:tabs>
        <w:tab w:val="left" w:pos="2260"/>
        <w:tab w:val="left" w:pos="2820"/>
        <w:tab w:val="left" w:pos="3420"/>
      </w:tabs>
      <w:adjustRightInd w:val="0"/>
      <w:snapToGrid w:val="0"/>
      <w:spacing w:before="240" w:after="0" w:line="240" w:lineRule="auto"/>
      <w:ind w:left="851" w:right="-28" w:hanging="851"/>
    </w:pPr>
    <w:rPr>
      <w:rFonts w:ascii="Arial" w:hAnsi="Arial"/>
      <w:bCs w:val="0"/>
      <w:kern w:val="0"/>
      <w:sz w:val="22"/>
      <w:szCs w:val="20"/>
      <w:lang w:val="en-GB"/>
    </w:rPr>
  </w:style>
  <w:style w:type="paragraph" w:customStyle="1" w:styleId="3493">
    <w:name w:val="文本框5号两端齐"/>
    <w:basedOn w:val="1"/>
    <w:qFormat/>
    <w:uiPriority w:val="0"/>
    <w:rPr>
      <w:rFonts w:ascii="Calibri" w:hAnsi="Calibri" w:eastAsia="仿宋_GB2312"/>
      <w:szCs w:val="21"/>
    </w:rPr>
  </w:style>
  <w:style w:type="paragraph" w:customStyle="1" w:styleId="3494">
    <w:name w:val="样式 黑色 首行缩进:  2 字符"/>
    <w:basedOn w:val="1"/>
    <w:qFormat/>
    <w:uiPriority w:val="0"/>
    <w:pPr>
      <w:spacing w:line="312" w:lineRule="auto"/>
      <w:ind w:firstLine="200" w:firstLineChars="200"/>
    </w:pPr>
    <w:rPr>
      <w:rFonts w:ascii="仿宋_GB2312" w:hAnsi="Calibri" w:eastAsia="仿宋_GB2312" w:cs="宋体"/>
      <w:color w:val="000000"/>
      <w:sz w:val="28"/>
      <w:szCs w:val="20"/>
    </w:rPr>
  </w:style>
  <w:style w:type="paragraph" w:customStyle="1" w:styleId="3495">
    <w:name w:val="签名1"/>
    <w:basedOn w:val="1"/>
    <w:qFormat/>
    <w:uiPriority w:val="99"/>
    <w:pPr>
      <w:ind w:left="100" w:leftChars="2100"/>
    </w:pPr>
    <w:rPr>
      <w:rFonts w:ascii="Calibri" w:hAnsi="Calibri"/>
      <w:b/>
      <w:bCs/>
      <w:kern w:val="44"/>
      <w:sz w:val="44"/>
      <w:szCs w:val="44"/>
    </w:rPr>
  </w:style>
  <w:style w:type="paragraph" w:customStyle="1" w:styleId="3496">
    <w:name w:val="注释标题1"/>
    <w:basedOn w:val="1"/>
    <w:next w:val="1"/>
    <w:qFormat/>
    <w:uiPriority w:val="0"/>
    <w:pPr>
      <w:jc w:val="center"/>
    </w:pPr>
    <w:rPr>
      <w:rFonts w:ascii="Calibri" w:hAnsi="Calibri"/>
    </w:rPr>
  </w:style>
  <w:style w:type="paragraph" w:customStyle="1" w:styleId="3497">
    <w:name w:val="表格内字体普安"/>
    <w:basedOn w:val="1"/>
    <w:qFormat/>
    <w:uiPriority w:val="99"/>
    <w:pPr>
      <w:snapToGrid w:val="0"/>
      <w:jc w:val="center"/>
    </w:pPr>
    <w:rPr>
      <w:rFonts w:ascii="Calibri" w:hAnsi="Calibri"/>
      <w:bCs/>
      <w:color w:val="000000"/>
      <w:szCs w:val="21"/>
    </w:rPr>
  </w:style>
  <w:style w:type="paragraph" w:customStyle="1" w:styleId="3498">
    <w:name w:val="表格注"/>
    <w:basedOn w:val="1"/>
    <w:next w:val="1"/>
    <w:qFormat/>
    <w:uiPriority w:val="99"/>
    <w:pPr>
      <w:spacing w:line="240" w:lineRule="exact"/>
    </w:pPr>
    <w:rPr>
      <w:rFonts w:ascii="Calibri" w:hAnsi="Calibri"/>
      <w:sz w:val="18"/>
    </w:rPr>
  </w:style>
  <w:style w:type="paragraph" w:customStyle="1" w:styleId="3499">
    <w:name w:val="style2"/>
    <w:basedOn w:val="1"/>
    <w:qFormat/>
    <w:uiPriority w:val="0"/>
    <w:pPr>
      <w:spacing w:before="100" w:beforeAutospacing="1" w:after="100" w:afterAutospacing="1" w:line="270" w:lineRule="atLeast"/>
    </w:pPr>
    <w:rPr>
      <w:rFonts w:ascii="宋体" w:hAnsi="宋体" w:cs="宋体"/>
      <w:color w:val="FFFFFF"/>
      <w:kern w:val="0"/>
      <w:sz w:val="18"/>
      <w:szCs w:val="18"/>
    </w:rPr>
  </w:style>
  <w:style w:type="paragraph" w:customStyle="1" w:styleId="3500">
    <w:name w:val="Char Char2 Char Char Char Char"/>
    <w:basedOn w:val="1"/>
    <w:qFormat/>
    <w:uiPriority w:val="0"/>
    <w:pPr>
      <w:spacing w:line="360" w:lineRule="auto"/>
    </w:pPr>
    <w:rPr>
      <w:rFonts w:ascii="宋体" w:hAnsi="宋体" w:cs="宋体"/>
      <w:sz w:val="24"/>
    </w:rPr>
  </w:style>
  <w:style w:type="paragraph" w:customStyle="1" w:styleId="3501">
    <w:name w:val="Char1 Char Char Char Char Char Char Char Char Char"/>
    <w:basedOn w:val="1"/>
    <w:qFormat/>
    <w:uiPriority w:val="0"/>
    <w:pPr>
      <w:spacing w:after="160" w:line="240" w:lineRule="exact"/>
    </w:pPr>
    <w:rPr>
      <w:rFonts w:ascii="Verdana" w:hAnsi="Verdana" w:eastAsia="仿宋_GB2312"/>
      <w:kern w:val="0"/>
      <w:sz w:val="24"/>
      <w:szCs w:val="20"/>
      <w:lang w:eastAsia="en-US"/>
    </w:rPr>
  </w:style>
  <w:style w:type="paragraph" w:customStyle="1" w:styleId="3502">
    <w:name w:val="正文仿宋小四"/>
    <w:basedOn w:val="1"/>
    <w:qFormat/>
    <w:uiPriority w:val="0"/>
    <w:pPr>
      <w:adjustRightInd w:val="0"/>
      <w:snapToGrid w:val="0"/>
      <w:spacing w:line="360" w:lineRule="auto"/>
      <w:ind w:firstLine="480" w:firstLineChars="200"/>
    </w:pPr>
    <w:rPr>
      <w:rFonts w:ascii="Calibri" w:hAnsi="Calibri" w:eastAsia="仿宋_GB2312"/>
      <w:sz w:val="24"/>
    </w:rPr>
  </w:style>
  <w:style w:type="paragraph" w:customStyle="1" w:styleId="3503">
    <w:name w:val="Char23"/>
    <w:basedOn w:val="1"/>
    <w:qFormat/>
    <w:uiPriority w:val="99"/>
    <w:rPr>
      <w:rFonts w:hint="eastAsia" w:ascii="Calibri" w:hAnsi="Calibri"/>
      <w:szCs w:val="20"/>
    </w:rPr>
  </w:style>
  <w:style w:type="paragraph" w:customStyle="1" w:styleId="3504">
    <w:name w:val="Char Char Char Char Char Char Char Char Char Char Char Char Char Char Char Char Char Char"/>
    <w:basedOn w:val="1"/>
    <w:qFormat/>
    <w:uiPriority w:val="0"/>
    <w:rPr>
      <w:rFonts w:ascii="Calibri" w:hAnsi="Calibri"/>
    </w:rPr>
  </w:style>
  <w:style w:type="paragraph" w:customStyle="1" w:styleId="3505">
    <w:name w:val="正文首行缩进3"/>
    <w:qFormat/>
    <w:uiPriority w:val="0"/>
    <w:pPr>
      <w:ind w:firstLine="420" w:firstLineChars="100"/>
    </w:pPr>
    <w:rPr>
      <w:rFonts w:ascii="Times New Roman" w:hAnsi="Times New Roman" w:eastAsia="宋体" w:cs="Times New Roman"/>
      <w:lang w:val="en-US" w:eastAsia="zh-CN" w:bidi="ar-SA"/>
    </w:rPr>
  </w:style>
  <w:style w:type="paragraph" w:customStyle="1" w:styleId="3506">
    <w:name w:val="正文文本11"/>
    <w:basedOn w:val="1"/>
    <w:qFormat/>
    <w:uiPriority w:val="99"/>
    <w:pPr>
      <w:spacing w:after="120"/>
    </w:pPr>
    <w:rPr>
      <w:rFonts w:ascii="Calibri" w:hAnsi="Calibri"/>
      <w:sz w:val="24"/>
      <w:szCs w:val="20"/>
    </w:rPr>
  </w:style>
  <w:style w:type="paragraph" w:customStyle="1" w:styleId="3507">
    <w:name w:val="Style82"/>
    <w:basedOn w:val="1"/>
    <w:qFormat/>
    <w:uiPriority w:val="99"/>
    <w:pPr>
      <w:adjustRightInd w:val="0"/>
    </w:pPr>
    <w:rPr>
      <w:rFonts w:ascii="宋体" w:hAnsi="Calibri"/>
      <w:kern w:val="0"/>
      <w:sz w:val="24"/>
    </w:rPr>
  </w:style>
  <w:style w:type="paragraph" w:customStyle="1" w:styleId="3508">
    <w:name w:val="文章附标题"/>
    <w:basedOn w:val="1"/>
    <w:next w:val="925"/>
    <w:qFormat/>
    <w:uiPriority w:val="99"/>
    <w:pPr>
      <w:spacing w:before="187" w:after="175" w:line="374" w:lineRule="atLeast"/>
      <w:jc w:val="center"/>
      <w:textAlignment w:val="baseline"/>
    </w:pPr>
    <w:rPr>
      <w:rFonts w:ascii="Calibri" w:hAnsi="Calibri"/>
      <w:color w:val="000000"/>
      <w:kern w:val="0"/>
      <w:sz w:val="36"/>
      <w:szCs w:val="20"/>
      <w:u w:color="000000"/>
    </w:rPr>
  </w:style>
  <w:style w:type="paragraph" w:customStyle="1" w:styleId="3509">
    <w:name w:val="样式 题注 + 居中 段后: 0.5 行"/>
    <w:basedOn w:val="22"/>
    <w:qFormat/>
    <w:uiPriority w:val="99"/>
    <w:pPr>
      <w:tabs>
        <w:tab w:val="left" w:pos="7380"/>
      </w:tabs>
      <w:overflowPunct w:val="0"/>
      <w:spacing w:before="120" w:after="156" w:afterLines="50"/>
      <w:jc w:val="center"/>
    </w:pPr>
    <w:rPr>
      <w:rFonts w:ascii="黑体" w:hAnsi="Times New Roman" w:cs="宋体"/>
      <w:sz w:val="21"/>
      <w:szCs w:val="22"/>
      <w:lang w:val="en-US"/>
    </w:rPr>
  </w:style>
  <w:style w:type="paragraph" w:customStyle="1" w:styleId="3510">
    <w:name w:val="样式 标题 4 + 段前: 6 磅"/>
    <w:basedOn w:val="6"/>
    <w:qFormat/>
    <w:uiPriority w:val="0"/>
    <w:pPr>
      <w:keepNext w:val="0"/>
      <w:keepLines w:val="0"/>
      <w:spacing w:before="60" w:after="50" w:afterLines="50" w:line="240" w:lineRule="auto"/>
      <w:ind w:left="2240" w:hanging="420"/>
    </w:pPr>
    <w:rPr>
      <w:rFonts w:ascii="Arial" w:hAnsi="Arial" w:cs="宋体"/>
      <w:sz w:val="28"/>
      <w:szCs w:val="20"/>
    </w:rPr>
  </w:style>
  <w:style w:type="paragraph" w:customStyle="1" w:styleId="3511">
    <w:name w:val="样式 样式 标题 2节3号宋体居中行距2倍三号宋体居中行距2倍距三号宋体居中行距2倍标题 2 Char Char Char ....."/>
    <w:qFormat/>
    <w:uiPriority w:val="0"/>
    <w:rPr>
      <w:rFonts w:ascii="Times New Roman" w:hAnsi="Times New Roman" w:eastAsia="宋体" w:cs="Times New Roman"/>
      <w:lang w:val="en-US" w:eastAsia="zh-CN" w:bidi="ar-SA"/>
    </w:rPr>
  </w:style>
  <w:style w:type="paragraph" w:customStyle="1" w:styleId="3512">
    <w:name w:val="样式 标题 2节3号宋体居中行距2倍三号宋体居中行距2倍距三号宋体居中行距2倍标题 2 Char Char Char ...1"/>
    <w:basedOn w:val="4"/>
    <w:qFormat/>
    <w:uiPriority w:val="99"/>
    <w:pPr>
      <w:keepNext w:val="0"/>
      <w:keepLines w:val="0"/>
      <w:spacing w:before="0" w:beforeLines="50" w:after="240" w:line="360" w:lineRule="auto"/>
      <w:jc w:val="center"/>
    </w:pPr>
    <w:rPr>
      <w:rFonts w:ascii="Times New Roman" w:hAnsi="Times New Roman" w:eastAsia="宋体"/>
      <w:b w:val="0"/>
      <w:bCs w:val="0"/>
      <w:sz w:val="30"/>
    </w:rPr>
  </w:style>
  <w:style w:type="paragraph" w:customStyle="1" w:styleId="3513">
    <w:name w:val="Char111"/>
    <w:basedOn w:val="1"/>
    <w:qFormat/>
    <w:uiPriority w:val="99"/>
    <w:rPr>
      <w:rFonts w:ascii="Calibri" w:hAnsi="Calibri"/>
    </w:rPr>
  </w:style>
  <w:style w:type="paragraph" w:customStyle="1" w:styleId="3514">
    <w:name w:val="样式 标题 1 + 首行缩进:  2.7 厘米"/>
    <w:basedOn w:val="3"/>
    <w:qFormat/>
    <w:uiPriority w:val="99"/>
    <w:pPr>
      <w:tabs>
        <w:tab w:val="left" w:pos="210"/>
      </w:tabs>
      <w:adjustRightInd w:val="0"/>
      <w:snapToGrid w:val="0"/>
      <w:spacing w:before="0" w:after="0" w:line="600" w:lineRule="exact"/>
      <w:ind w:firstLine="200" w:firstLineChars="200"/>
      <w:jc w:val="center"/>
    </w:pPr>
    <w:rPr>
      <w:rFonts w:ascii="宋体" w:hAnsi="宋体" w:cs="宋体"/>
      <w:bCs w:val="0"/>
      <w:color w:val="FF0000"/>
      <w:sz w:val="30"/>
      <w:szCs w:val="20"/>
    </w:rPr>
  </w:style>
  <w:style w:type="paragraph" w:customStyle="1" w:styleId="3515">
    <w:name w:val="Char Char Char Char Char Char1 Char4"/>
    <w:basedOn w:val="1"/>
    <w:qFormat/>
    <w:uiPriority w:val="99"/>
    <w:rPr>
      <w:rFonts w:ascii="Calibri" w:hAnsi="Calibri"/>
    </w:rPr>
  </w:style>
  <w:style w:type="paragraph" w:customStyle="1" w:styleId="3516">
    <w:name w:val="Char Char23 Char Char Char Char2"/>
    <w:basedOn w:val="1"/>
    <w:semiHidden/>
    <w:qFormat/>
    <w:uiPriority w:val="99"/>
    <w:pPr>
      <w:adjustRightInd w:val="0"/>
      <w:snapToGrid w:val="0"/>
      <w:spacing w:line="360" w:lineRule="auto"/>
      <w:ind w:firstLine="200" w:firstLineChars="200"/>
    </w:pPr>
    <w:rPr>
      <w:rFonts w:ascii="宋体" w:hAnsi="宋体" w:cs="宋体"/>
      <w:sz w:val="24"/>
      <w:szCs w:val="26"/>
    </w:rPr>
  </w:style>
  <w:style w:type="paragraph" w:customStyle="1" w:styleId="3517">
    <w:name w:val="Char Char Char Char Char Char Char Char Char Char Char Char Char Char Char Char Char Char Char3"/>
    <w:basedOn w:val="1"/>
    <w:qFormat/>
    <w:uiPriority w:val="99"/>
    <w:rPr>
      <w:rFonts w:ascii="Calibri" w:hAnsi="Calibri"/>
    </w:rPr>
  </w:style>
  <w:style w:type="paragraph" w:customStyle="1" w:styleId="3518">
    <w:name w:val="正文4"/>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 w:type="paragraph" w:customStyle="1" w:styleId="3519">
    <w:name w:val="正文水资源论证1"/>
    <w:basedOn w:val="1"/>
    <w:qFormat/>
    <w:uiPriority w:val="99"/>
    <w:pPr>
      <w:spacing w:line="520" w:lineRule="exact"/>
      <w:ind w:firstLine="560" w:firstLineChars="200"/>
    </w:pPr>
    <w:rPr>
      <w:rFonts w:ascii="宋体" w:hAnsi="宋体"/>
      <w:sz w:val="28"/>
    </w:rPr>
  </w:style>
  <w:style w:type="paragraph" w:customStyle="1" w:styleId="3520">
    <w:name w:val="页脚11"/>
    <w:basedOn w:val="1"/>
    <w:qFormat/>
    <w:uiPriority w:val="99"/>
    <w:pPr>
      <w:tabs>
        <w:tab w:val="center" w:pos="4153"/>
        <w:tab w:val="right" w:pos="8306"/>
      </w:tabs>
      <w:snapToGrid w:val="0"/>
    </w:pPr>
    <w:rPr>
      <w:rFonts w:ascii="Calibri" w:hAnsi="Calibri"/>
      <w:kern w:val="0"/>
      <w:sz w:val="18"/>
      <w:szCs w:val="20"/>
    </w:rPr>
  </w:style>
  <w:style w:type="paragraph" w:customStyle="1" w:styleId="3521">
    <w:name w:val="示例"/>
    <w:next w:val="6"/>
    <w:qFormat/>
    <w:uiPriority w:val="0"/>
    <w:pPr>
      <w:tabs>
        <w:tab w:val="left" w:pos="816"/>
      </w:tabs>
      <w:ind w:firstLine="419" w:firstLineChars="233"/>
      <w:jc w:val="both"/>
    </w:pPr>
    <w:rPr>
      <w:rFonts w:ascii="宋体" w:hAnsi="Calibri" w:eastAsia="宋体" w:cs="Times New Roman"/>
      <w:sz w:val="18"/>
      <w:lang w:val="en-US" w:eastAsia="zh-CN" w:bidi="ar-SA"/>
    </w:rPr>
  </w:style>
  <w:style w:type="paragraph" w:customStyle="1" w:styleId="3522">
    <w:name w:val="Char Char Char1 Char Char Char Char Char Char Char Char Char Char"/>
    <w:basedOn w:val="1"/>
    <w:qFormat/>
    <w:uiPriority w:val="0"/>
    <w:pPr>
      <w:spacing w:line="240" w:lineRule="atLeast"/>
      <w:ind w:left="420" w:firstLine="420"/>
    </w:pPr>
    <w:rPr>
      <w:rFonts w:ascii="宋体" w:hAnsi="宋体" w:cs="宋体"/>
      <w:kern w:val="0"/>
      <w:sz w:val="24"/>
      <w:szCs w:val="21"/>
    </w:rPr>
  </w:style>
  <w:style w:type="paragraph" w:customStyle="1" w:styleId="3523">
    <w:name w:val="Char Char23 Char Char Char Char1"/>
    <w:basedOn w:val="1"/>
    <w:semiHidden/>
    <w:qFormat/>
    <w:uiPriority w:val="99"/>
    <w:pPr>
      <w:adjustRightInd w:val="0"/>
      <w:snapToGrid w:val="0"/>
      <w:spacing w:line="360" w:lineRule="auto"/>
      <w:ind w:firstLine="200" w:firstLineChars="200"/>
    </w:pPr>
    <w:rPr>
      <w:rFonts w:ascii="宋体" w:hAnsi="宋体" w:cs="宋体"/>
      <w:sz w:val="24"/>
      <w:szCs w:val="26"/>
    </w:rPr>
  </w:style>
  <w:style w:type="paragraph" w:customStyle="1" w:styleId="3524">
    <w:name w:val="列表接续 31"/>
    <w:basedOn w:val="1"/>
    <w:qFormat/>
    <w:uiPriority w:val="99"/>
    <w:pPr>
      <w:spacing w:after="120"/>
      <w:ind w:left="1260" w:leftChars="600"/>
    </w:pPr>
    <w:rPr>
      <w:rFonts w:ascii="Calibri" w:hAnsi="Calibri"/>
    </w:rPr>
  </w:style>
  <w:style w:type="paragraph" w:customStyle="1" w:styleId="3525">
    <w:name w:val="蒲标题2"/>
    <w:basedOn w:val="4"/>
    <w:qFormat/>
    <w:uiPriority w:val="0"/>
    <w:pPr>
      <w:autoSpaceDE w:val="0"/>
      <w:autoSpaceDN w:val="0"/>
      <w:adjustRightInd w:val="0"/>
      <w:snapToGrid w:val="0"/>
      <w:spacing w:before="0" w:after="0" w:line="360" w:lineRule="auto"/>
      <w:outlineLvl w:val="0"/>
    </w:pPr>
    <w:rPr>
      <w:rFonts w:ascii="Times New Roman" w:hAnsi="Times New Roman" w:eastAsia="宋体"/>
      <w:color w:val="000000"/>
      <w:kern w:val="0"/>
      <w:sz w:val="24"/>
      <w:szCs w:val="24"/>
    </w:rPr>
  </w:style>
  <w:style w:type="paragraph" w:customStyle="1" w:styleId="3526">
    <w:name w:val="日期4"/>
    <w:basedOn w:val="1"/>
    <w:next w:val="1"/>
    <w:semiHidden/>
    <w:qFormat/>
    <w:uiPriority w:val="99"/>
    <w:pPr>
      <w:adjustRightInd w:val="0"/>
      <w:textAlignment w:val="baseline"/>
    </w:pPr>
    <w:rPr>
      <w:rFonts w:ascii="宋体" w:hAnsi="Calibri"/>
      <w:spacing w:val="24"/>
      <w:kern w:val="24"/>
      <w:sz w:val="24"/>
      <w:szCs w:val="20"/>
    </w:rPr>
  </w:style>
  <w:style w:type="paragraph" w:customStyle="1" w:styleId="3527">
    <w:name w:val="az"/>
    <w:basedOn w:val="1"/>
    <w:qFormat/>
    <w:uiPriority w:val="0"/>
    <w:pPr>
      <w:ind w:firstLine="200" w:firstLineChars="200"/>
      <w:outlineLvl w:val="2"/>
    </w:pPr>
    <w:rPr>
      <w:rFonts w:ascii="Calibri" w:hAnsi="Calibri"/>
      <w:sz w:val="24"/>
    </w:rPr>
  </w:style>
  <w:style w:type="paragraph" w:customStyle="1" w:styleId="3528">
    <w:name w:val="正文首行缩进5"/>
    <w:basedOn w:val="34"/>
    <w:qFormat/>
    <w:uiPriority w:val="99"/>
    <w:pPr>
      <w:spacing w:line="312" w:lineRule="auto"/>
      <w:ind w:firstLine="567"/>
    </w:pPr>
    <w:rPr>
      <w:rFonts w:ascii="Calibri" w:hAnsi="Calibri"/>
      <w:kern w:val="0"/>
      <w:sz w:val="28"/>
      <w:szCs w:val="20"/>
    </w:rPr>
  </w:style>
  <w:style w:type="paragraph" w:customStyle="1" w:styleId="3529">
    <w:name w:val="贾伦标题3"/>
    <w:basedOn w:val="5"/>
    <w:qFormat/>
    <w:uiPriority w:val="99"/>
    <w:pPr>
      <w:tabs>
        <w:tab w:val="left" w:pos="709"/>
      </w:tabs>
      <w:adjustRightInd w:val="0"/>
      <w:snapToGrid w:val="0"/>
      <w:spacing w:before="0" w:after="0" w:line="360" w:lineRule="auto"/>
      <w:ind w:left="720" w:hanging="432"/>
    </w:pPr>
    <w:rPr>
      <w:rFonts w:ascii="Calibri" w:hAnsi="Calibri"/>
      <w:sz w:val="28"/>
    </w:rPr>
  </w:style>
  <w:style w:type="paragraph" w:customStyle="1" w:styleId="3530">
    <w:name w:val="文-1"/>
    <w:basedOn w:val="1"/>
    <w:qFormat/>
    <w:uiPriority w:val="0"/>
    <w:pPr>
      <w:spacing w:before="120"/>
      <w:ind w:left="851" w:firstLine="482"/>
    </w:pPr>
    <w:rPr>
      <w:rFonts w:ascii="Calibri" w:hAnsi="Calibri"/>
      <w:sz w:val="24"/>
      <w:szCs w:val="20"/>
    </w:rPr>
  </w:style>
  <w:style w:type="paragraph" w:customStyle="1" w:styleId="3531">
    <w:name w:val="样式 小四 加粗 行距: 1.5 倍行距"/>
    <w:basedOn w:val="1"/>
    <w:semiHidden/>
    <w:qFormat/>
    <w:uiPriority w:val="0"/>
    <w:pPr>
      <w:spacing w:line="360" w:lineRule="auto"/>
    </w:pPr>
    <w:rPr>
      <w:rFonts w:ascii="Calibri" w:hAnsi="Calibri" w:cs="宋体"/>
      <w:b/>
      <w:bCs/>
      <w:sz w:val="24"/>
      <w:szCs w:val="20"/>
    </w:rPr>
  </w:style>
  <w:style w:type="paragraph" w:customStyle="1" w:styleId="3532">
    <w:name w:val="Char Char Char1 Char31"/>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533">
    <w:name w:val="正文7"/>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 w:type="paragraph" w:customStyle="1" w:styleId="3534">
    <w:name w:val="正文新"/>
    <w:basedOn w:val="1"/>
    <w:qFormat/>
    <w:uiPriority w:val="99"/>
    <w:pPr>
      <w:spacing w:line="460" w:lineRule="exact"/>
      <w:ind w:firstLine="482"/>
    </w:pPr>
    <w:rPr>
      <w:rFonts w:ascii="宋体" w:hAnsi="宋体"/>
      <w:sz w:val="24"/>
    </w:rPr>
  </w:style>
  <w:style w:type="paragraph" w:customStyle="1" w:styleId="3535">
    <w:name w:val="Char Char Char Char Char Char Char Char Char Char Char Char Char Char Char Char Char Char3"/>
    <w:basedOn w:val="1"/>
    <w:qFormat/>
    <w:uiPriority w:val="99"/>
    <w:rPr>
      <w:rFonts w:hint="eastAsia" w:ascii="Calibri" w:hAnsi="Calibri"/>
      <w:szCs w:val="20"/>
    </w:rPr>
  </w:style>
  <w:style w:type="paragraph" w:customStyle="1" w:styleId="3536">
    <w:name w:val="样式 样式 正文缩进s4 + 首行缩进:  2 字符 + 首行缩进:  2 字符"/>
    <w:basedOn w:val="1"/>
    <w:qFormat/>
    <w:uiPriority w:val="99"/>
    <w:pPr>
      <w:adjustRightInd w:val="0"/>
      <w:snapToGrid w:val="0"/>
      <w:spacing w:line="336" w:lineRule="auto"/>
      <w:ind w:firstLine="545" w:firstLineChars="227"/>
    </w:pPr>
    <w:rPr>
      <w:rFonts w:ascii="宋体" w:hAnsi="宋体"/>
      <w:color w:val="000000"/>
      <w:sz w:val="28"/>
      <w:szCs w:val="20"/>
    </w:rPr>
  </w:style>
  <w:style w:type="paragraph" w:customStyle="1" w:styleId="3537">
    <w:name w:val="样式 表头 + Times New Roman 两端对齐 段前: 7.8 磅 段后: 6 磅 行距: 固定值 22 磅"/>
    <w:basedOn w:val="1"/>
    <w:qFormat/>
    <w:uiPriority w:val="99"/>
    <w:pPr>
      <w:keepNext/>
      <w:spacing w:before="156" w:after="120" w:line="440" w:lineRule="exact"/>
      <w:ind w:firstLine="945" w:firstLineChars="418"/>
    </w:pPr>
    <w:rPr>
      <w:rFonts w:ascii="Calibri" w:hAnsi="Calibri" w:eastAsia="黑体" w:cs="宋体"/>
      <w:spacing w:val="8"/>
      <w:kern w:val="21"/>
      <w:szCs w:val="20"/>
    </w:rPr>
  </w:style>
  <w:style w:type="paragraph" w:customStyle="1" w:styleId="3538">
    <w:name w:val="样式 5号表"/>
    <w:basedOn w:val="1"/>
    <w:qFormat/>
    <w:uiPriority w:val="99"/>
    <w:pPr>
      <w:shd w:val="clear" w:color="auto" w:fill="FFFFFF"/>
      <w:kinsoku w:val="0"/>
      <w:overflowPunct w:val="0"/>
      <w:autoSpaceDE w:val="0"/>
      <w:autoSpaceDN w:val="0"/>
      <w:snapToGrid w:val="0"/>
      <w:spacing w:line="300" w:lineRule="exact"/>
    </w:pPr>
    <w:rPr>
      <w:rFonts w:ascii="宋体" w:hAnsi="宋体" w:cs="宋体"/>
      <w:bCs/>
      <w:szCs w:val="20"/>
    </w:rPr>
  </w:style>
  <w:style w:type="paragraph" w:customStyle="1" w:styleId="3539">
    <w:name w:val="小5"/>
    <w:semiHidden/>
    <w:qFormat/>
    <w:uiPriority w:val="0"/>
    <w:pPr>
      <w:adjustRightInd w:val="0"/>
      <w:snapToGrid w:val="0"/>
    </w:pPr>
    <w:rPr>
      <w:rFonts w:ascii="Calibri" w:hAnsi="Calibri" w:eastAsia="宋体" w:cs="Times New Roman"/>
      <w:color w:val="000000"/>
      <w:kern w:val="2"/>
      <w:sz w:val="18"/>
      <w:szCs w:val="21"/>
      <w:lang w:val="en-US" w:eastAsia="zh-CN" w:bidi="ar-SA"/>
    </w:rPr>
  </w:style>
  <w:style w:type="paragraph" w:customStyle="1" w:styleId="3540">
    <w:name w:val="表文字左对齐"/>
    <w:basedOn w:val="3132"/>
    <w:qFormat/>
    <w:uiPriority w:val="99"/>
    <w:pPr>
      <w:jc w:val="left"/>
    </w:pPr>
  </w:style>
  <w:style w:type="paragraph" w:customStyle="1" w:styleId="3541">
    <w:name w:val="样式 宋体 小四 行距: 固定值 22 磅1"/>
    <w:basedOn w:val="1"/>
    <w:qFormat/>
    <w:uiPriority w:val="99"/>
    <w:pPr>
      <w:spacing w:line="440" w:lineRule="exact"/>
      <w:ind w:firstLine="480" w:firstLineChars="200"/>
    </w:pPr>
    <w:rPr>
      <w:rFonts w:ascii="Arial Unicode MS" w:hAnsi="Arial Unicode MS" w:cs="宋体"/>
      <w:sz w:val="24"/>
      <w:szCs w:val="20"/>
    </w:rPr>
  </w:style>
  <w:style w:type="paragraph" w:customStyle="1" w:styleId="3542">
    <w:name w:val="设计封面矿名魏体1"/>
    <w:basedOn w:val="1"/>
    <w:qFormat/>
    <w:uiPriority w:val="99"/>
    <w:pPr>
      <w:tabs>
        <w:tab w:val="left" w:pos="210"/>
      </w:tabs>
      <w:autoSpaceDE w:val="0"/>
      <w:autoSpaceDN w:val="0"/>
      <w:spacing w:line="500" w:lineRule="exact"/>
      <w:jc w:val="center"/>
    </w:pPr>
    <w:rPr>
      <w:rFonts w:ascii="Calibri" w:hAnsi="Calibri" w:eastAsia="华文新魏"/>
      <w:bCs/>
      <w:sz w:val="52"/>
      <w:szCs w:val="28"/>
    </w:rPr>
  </w:style>
  <w:style w:type="paragraph" w:customStyle="1" w:styleId="3543">
    <w:name w:val="表号文字"/>
    <w:basedOn w:val="1"/>
    <w:qFormat/>
    <w:uiPriority w:val="0"/>
    <w:pPr>
      <w:adjustRightInd w:val="0"/>
      <w:snapToGrid w:val="0"/>
      <w:spacing w:before="120" w:line="300" w:lineRule="auto"/>
    </w:pPr>
    <w:rPr>
      <w:rFonts w:ascii="Calibri" w:hAnsi="Calibri" w:eastAsia="黑体"/>
    </w:rPr>
  </w:style>
  <w:style w:type="paragraph" w:customStyle="1" w:styleId="3544">
    <w:name w:val="Char Char41 Char Char Char Char3"/>
    <w:basedOn w:val="1"/>
    <w:qFormat/>
    <w:uiPriority w:val="99"/>
    <w:rPr>
      <w:rFonts w:ascii="Tahoma" w:hAnsi="Tahoma"/>
      <w:sz w:val="24"/>
      <w:szCs w:val="20"/>
    </w:rPr>
  </w:style>
  <w:style w:type="paragraph" w:customStyle="1" w:styleId="3545">
    <w:name w:val="样式 样式 黑色 首行缩进:  2 字符 行距: 固定值 25 磅 + Times New Roman 首行缩进:  2 字符"/>
    <w:basedOn w:val="1"/>
    <w:qFormat/>
    <w:uiPriority w:val="0"/>
    <w:pPr>
      <w:spacing w:line="580" w:lineRule="exact"/>
      <w:ind w:firstLine="200" w:firstLineChars="200"/>
    </w:pPr>
    <w:rPr>
      <w:rFonts w:ascii="Calibri" w:hAnsi="Calibri" w:eastAsia="仿宋_GB2312" w:cs="宋体"/>
      <w:b/>
      <w:bCs/>
      <w:color w:val="000000"/>
      <w:sz w:val="28"/>
      <w:szCs w:val="20"/>
    </w:rPr>
  </w:style>
  <w:style w:type="paragraph" w:customStyle="1" w:styleId="3546">
    <w:name w:val="标题章"/>
    <w:basedOn w:val="3"/>
    <w:next w:val="1"/>
    <w:qFormat/>
    <w:uiPriority w:val="99"/>
    <w:pPr>
      <w:pageBreakBefore/>
      <w:adjustRightInd w:val="0"/>
      <w:snapToGrid w:val="0"/>
      <w:spacing w:before="0" w:after="0" w:line="240" w:lineRule="auto"/>
      <w:jc w:val="center"/>
    </w:pPr>
    <w:rPr>
      <w:b w:val="0"/>
      <w:bCs w:val="0"/>
      <w:sz w:val="36"/>
      <w:szCs w:val="20"/>
    </w:rPr>
  </w:style>
  <w:style w:type="paragraph" w:customStyle="1" w:styleId="3547">
    <w:name w:val="封面标准代替信息"/>
    <w:qFormat/>
    <w:uiPriority w:val="0"/>
    <w:pPr>
      <w:spacing w:before="57"/>
    </w:pPr>
    <w:rPr>
      <w:rFonts w:ascii="宋体" w:hAnsi="Times New Roman" w:eastAsia="宋体" w:cs="Times New Roman"/>
      <w:sz w:val="21"/>
      <w:lang w:val="en-US" w:eastAsia="zh-CN" w:bidi="ar-SA"/>
    </w:rPr>
  </w:style>
  <w:style w:type="paragraph" w:customStyle="1" w:styleId="3548">
    <w:name w:val="封面标准号2"/>
    <w:basedOn w:val="3257"/>
    <w:qFormat/>
    <w:uiPriority w:val="0"/>
    <w:pPr>
      <w:adjustRightInd w:val="0"/>
      <w:spacing w:before="357" w:line="280" w:lineRule="exact"/>
    </w:pPr>
  </w:style>
  <w:style w:type="paragraph" w:customStyle="1" w:styleId="3549">
    <w:name w:val="表格文字居中"/>
    <w:basedOn w:val="1"/>
    <w:qFormat/>
    <w:uiPriority w:val="0"/>
    <w:pPr>
      <w:tabs>
        <w:tab w:val="left" w:pos="5412"/>
      </w:tabs>
      <w:adjustRightInd w:val="0"/>
      <w:snapToGrid w:val="0"/>
      <w:jc w:val="center"/>
      <w:textAlignment w:val="center"/>
    </w:pPr>
    <w:rPr>
      <w:rFonts w:ascii="宋体" w:hAnsiTheme="minorHAnsi" w:cstheme="minorBidi"/>
      <w:snapToGrid w:val="0"/>
      <w:szCs w:val="21"/>
    </w:rPr>
  </w:style>
  <w:style w:type="paragraph" w:customStyle="1" w:styleId="3550">
    <w:name w:val="正文文本 33"/>
    <w:basedOn w:val="1"/>
    <w:qFormat/>
    <w:uiPriority w:val="99"/>
    <w:pPr>
      <w:adjustRightInd w:val="0"/>
      <w:spacing w:line="360" w:lineRule="atLeast"/>
      <w:jc w:val="center"/>
      <w:textAlignment w:val="baseline"/>
    </w:pPr>
    <w:rPr>
      <w:rFonts w:ascii="仿宋体" w:hAnsi="宋体" w:eastAsia="仿宋体"/>
      <w:kern w:val="0"/>
      <w:sz w:val="24"/>
      <w:szCs w:val="20"/>
    </w:rPr>
  </w:style>
  <w:style w:type="paragraph" w:customStyle="1" w:styleId="3551">
    <w:name w:val="目录2"/>
    <w:basedOn w:val="73"/>
    <w:next w:val="1"/>
    <w:qFormat/>
    <w:uiPriority w:val="99"/>
    <w:pPr>
      <w:tabs>
        <w:tab w:val="left" w:leader="dot" w:pos="8492"/>
        <w:tab w:val="right" w:leader="dot" w:pos="9004"/>
      </w:tabs>
      <w:adjustRightInd w:val="0"/>
      <w:spacing w:beforeLines="50" w:line="380" w:lineRule="exact"/>
      <w:ind w:left="0" w:firstLine="420"/>
      <w:textAlignment w:val="baseline"/>
    </w:pPr>
    <w:rPr>
      <w:rFonts w:ascii="宋体" w:hAnsi="Arial" w:eastAsiaTheme="minorEastAsia" w:cstheme="minorBidi"/>
      <w:i/>
      <w:iCs/>
      <w:color w:val="000000"/>
      <w:kern w:val="0"/>
      <w:u w:color="000000"/>
    </w:rPr>
  </w:style>
  <w:style w:type="paragraph" w:customStyle="1" w:styleId="3552">
    <w:name w:val="Char Char1 Char1"/>
    <w:basedOn w:val="1"/>
    <w:qFormat/>
    <w:uiPriority w:val="99"/>
    <w:rPr>
      <w:rFonts w:ascii="Calibri" w:hAnsi="Calibri"/>
    </w:rPr>
  </w:style>
  <w:style w:type="paragraph" w:customStyle="1" w:styleId="3553">
    <w:name w:val="样式 首行缩进:  1 厘米 段后: 0 磅"/>
    <w:basedOn w:val="1"/>
    <w:qFormat/>
    <w:uiPriority w:val="99"/>
    <w:pPr>
      <w:spacing w:before="60" w:after="60" w:line="520" w:lineRule="exact"/>
      <w:ind w:firstLine="567"/>
    </w:pPr>
    <w:rPr>
      <w:rFonts w:ascii="Arial" w:hAnsi="Arial" w:eastAsia="仿宋_GB2312"/>
      <w:kern w:val="0"/>
      <w:sz w:val="28"/>
      <w:szCs w:val="20"/>
      <w:lang w:val="en-GB"/>
    </w:rPr>
  </w:style>
  <w:style w:type="paragraph" w:customStyle="1" w:styleId="3554">
    <w:name w:val="项目符号2"/>
    <w:basedOn w:val="3307"/>
    <w:qFormat/>
    <w:uiPriority w:val="0"/>
    <w:pPr>
      <w:tabs>
        <w:tab w:val="left" w:pos="360"/>
        <w:tab w:val="left" w:pos="425"/>
        <w:tab w:val="left" w:pos="1275"/>
      </w:tabs>
      <w:ind w:left="850" w:hanging="1275"/>
    </w:pPr>
    <w:rPr>
      <w:b w:val="0"/>
    </w:rPr>
  </w:style>
  <w:style w:type="paragraph" w:customStyle="1" w:styleId="3555">
    <w:name w:val="Char 正文"/>
    <w:basedOn w:val="3"/>
    <w:semiHidden/>
    <w:qFormat/>
    <w:uiPriority w:val="0"/>
    <w:pPr>
      <w:adjustRightInd w:val="0"/>
      <w:snapToGrid w:val="0"/>
      <w:spacing w:before="0" w:after="0" w:line="348" w:lineRule="auto"/>
    </w:pPr>
    <w:rPr>
      <w:rFonts w:ascii="Tahoma" w:hAnsi="Tahoma"/>
      <w:bCs w:val="0"/>
      <w:sz w:val="24"/>
      <w:szCs w:val="20"/>
    </w:rPr>
  </w:style>
  <w:style w:type="paragraph" w:customStyle="1" w:styleId="3556">
    <w:name w:val="框图格式2"/>
    <w:basedOn w:val="1"/>
    <w:qFormat/>
    <w:uiPriority w:val="0"/>
    <w:pPr>
      <w:adjustRightInd w:val="0"/>
      <w:snapToGrid w:val="0"/>
      <w:spacing w:line="360" w:lineRule="auto"/>
    </w:pPr>
    <w:rPr>
      <w:rFonts w:ascii="Calibri" w:hAnsi="Calibri"/>
      <w:sz w:val="18"/>
    </w:rPr>
  </w:style>
  <w:style w:type="paragraph" w:customStyle="1" w:styleId="3557">
    <w:name w:val="Char Char2 Char Char Char Char Char Char7"/>
    <w:basedOn w:val="1"/>
    <w:qFormat/>
    <w:uiPriority w:val="99"/>
    <w:pPr>
      <w:spacing w:line="360" w:lineRule="auto"/>
    </w:pPr>
    <w:rPr>
      <w:rFonts w:ascii="宋体" w:hAnsi="宋体"/>
      <w:sz w:val="22"/>
    </w:rPr>
  </w:style>
  <w:style w:type="paragraph" w:customStyle="1" w:styleId="3558">
    <w:name w:val="样式 加粗 首行缩进:  2 字符"/>
    <w:basedOn w:val="1"/>
    <w:next w:val="1"/>
    <w:qFormat/>
    <w:uiPriority w:val="99"/>
    <w:pPr>
      <w:spacing w:line="360" w:lineRule="auto"/>
      <w:ind w:firstLine="482" w:firstLineChars="200"/>
    </w:pPr>
    <w:rPr>
      <w:rFonts w:ascii="Calibri" w:hAnsi="Calibri" w:eastAsia="黑体"/>
      <w:b/>
      <w:bCs/>
      <w:sz w:val="24"/>
    </w:rPr>
  </w:style>
  <w:style w:type="paragraph" w:customStyle="1" w:styleId="3559">
    <w:name w:val="Char13"/>
    <w:basedOn w:val="1"/>
    <w:qFormat/>
    <w:uiPriority w:val="0"/>
    <w:rPr>
      <w:rFonts w:ascii="Calibri" w:hAnsi="Calibri"/>
    </w:rPr>
  </w:style>
  <w:style w:type="paragraph" w:customStyle="1" w:styleId="3560">
    <w:name w:val="acee正文"/>
    <w:basedOn w:val="1"/>
    <w:qFormat/>
    <w:uiPriority w:val="0"/>
    <w:pPr>
      <w:spacing w:line="480" w:lineRule="exact"/>
      <w:ind w:firstLine="640" w:firstLineChars="200"/>
    </w:pPr>
    <w:rPr>
      <w:rFonts w:ascii="仿宋_GB2312" w:hAnsi="宋体" w:eastAsia="仿宋_GB2312"/>
      <w:sz w:val="32"/>
    </w:rPr>
  </w:style>
  <w:style w:type="paragraph" w:customStyle="1" w:styleId="3561">
    <w:name w:val="Char Char2 Char Char Char Char Char Char2"/>
    <w:basedOn w:val="1"/>
    <w:qFormat/>
    <w:uiPriority w:val="99"/>
    <w:pPr>
      <w:spacing w:line="360" w:lineRule="auto"/>
    </w:pPr>
    <w:rPr>
      <w:rFonts w:ascii="宋体" w:hAnsi="宋体"/>
      <w:sz w:val="22"/>
    </w:rPr>
  </w:style>
  <w:style w:type="paragraph" w:customStyle="1" w:styleId="3562">
    <w:name w:val="puce"/>
    <w:basedOn w:val="1"/>
    <w:qFormat/>
    <w:uiPriority w:val="0"/>
    <w:pPr>
      <w:tabs>
        <w:tab w:val="left" w:pos="1200"/>
        <w:tab w:val="left" w:pos="1320"/>
      </w:tabs>
      <w:adjustRightInd w:val="0"/>
      <w:snapToGrid w:val="0"/>
      <w:spacing w:line="360" w:lineRule="auto"/>
      <w:ind w:firstLine="480" w:firstLineChars="200"/>
    </w:pPr>
    <w:rPr>
      <w:rFonts w:ascii="Arial" w:hAnsi="Arial"/>
      <w:snapToGrid w:val="0"/>
      <w:color w:val="FF00FF"/>
      <w:kern w:val="0"/>
      <w:sz w:val="24"/>
    </w:rPr>
  </w:style>
  <w:style w:type="paragraph" w:customStyle="1" w:styleId="3563">
    <w:name w:val="CM16"/>
    <w:basedOn w:val="119"/>
    <w:next w:val="119"/>
    <w:qFormat/>
    <w:uiPriority w:val="99"/>
    <w:pPr>
      <w:spacing w:after="240"/>
    </w:pPr>
    <w:rPr>
      <w:rFonts w:ascii="..ì." w:hAnsi="Calibri" w:eastAsia="..ì." w:cs="Times New Roman"/>
      <w:color w:val="auto"/>
    </w:rPr>
  </w:style>
  <w:style w:type="paragraph" w:customStyle="1" w:styleId="3564">
    <w:name w:val="样式 标题 3 + 小四"/>
    <w:basedOn w:val="5"/>
    <w:qFormat/>
    <w:uiPriority w:val="99"/>
    <w:pPr>
      <w:tabs>
        <w:tab w:val="left" w:pos="709"/>
      </w:tabs>
      <w:adjustRightInd w:val="0"/>
      <w:snapToGrid w:val="0"/>
      <w:spacing w:before="0" w:after="0" w:line="360" w:lineRule="auto"/>
      <w:ind w:left="720" w:hanging="432"/>
    </w:pPr>
    <w:rPr>
      <w:rFonts w:ascii="Calibri" w:hAnsi="Calibri"/>
      <w:sz w:val="28"/>
    </w:rPr>
  </w:style>
  <w:style w:type="paragraph" w:customStyle="1" w:styleId="3565">
    <w:name w:val="6-表头"/>
    <w:basedOn w:val="1"/>
    <w:qFormat/>
    <w:uiPriority w:val="99"/>
    <w:pPr>
      <w:autoSpaceDE w:val="0"/>
      <w:autoSpaceDN w:val="0"/>
      <w:adjustRightInd w:val="0"/>
      <w:spacing w:beforeLines="70"/>
      <w:jc w:val="center"/>
    </w:pPr>
    <w:rPr>
      <w:rFonts w:ascii="Calibri" w:hAnsi="Calibri"/>
      <w:b/>
      <w:bCs/>
      <w:szCs w:val="21"/>
    </w:rPr>
  </w:style>
  <w:style w:type="paragraph" w:customStyle="1" w:styleId="3566">
    <w:name w:val="Char Char Char Char Char Char Char3"/>
    <w:basedOn w:val="1"/>
    <w:next w:val="1"/>
    <w:qFormat/>
    <w:uiPriority w:val="0"/>
    <w:pPr>
      <w:keepNext/>
      <w:keepLines/>
      <w:spacing w:before="40" w:after="40" w:line="360" w:lineRule="auto"/>
      <w:ind w:firstLine="200" w:firstLineChars="200"/>
      <w:textAlignment w:val="baseline"/>
      <w:outlineLvl w:val="3"/>
    </w:pPr>
    <w:rPr>
      <w:rFonts w:hint="eastAsia" w:ascii="Calibri" w:hAnsi="Calibri" w:eastAsia="仿宋_GB2312"/>
      <w:b/>
      <w:sz w:val="24"/>
      <w:szCs w:val="20"/>
    </w:rPr>
  </w:style>
  <w:style w:type="paragraph" w:customStyle="1" w:styleId="3567">
    <w:name w:val="标题 31"/>
    <w:basedOn w:val="1"/>
    <w:next w:val="1"/>
    <w:qFormat/>
    <w:uiPriority w:val="0"/>
    <w:pPr>
      <w:keepNext/>
      <w:keepLines/>
      <w:spacing w:before="260" w:after="260" w:line="413" w:lineRule="auto"/>
      <w:outlineLvl w:val="2"/>
    </w:pPr>
    <w:rPr>
      <w:rFonts w:ascii="Calibri" w:hAnsi="Calibri"/>
      <w:b/>
      <w:sz w:val="32"/>
      <w:szCs w:val="20"/>
    </w:rPr>
  </w:style>
  <w:style w:type="paragraph" w:customStyle="1" w:styleId="3568">
    <w:name w:val="基准篇眉"/>
    <w:basedOn w:val="1"/>
    <w:qFormat/>
    <w:uiPriority w:val="99"/>
    <w:pPr>
      <w:keepLines/>
      <w:tabs>
        <w:tab w:val="center" w:pos="7200"/>
        <w:tab w:val="right" w:pos="14400"/>
      </w:tabs>
      <w:overflowPunct w:val="0"/>
      <w:autoSpaceDE w:val="0"/>
      <w:autoSpaceDN w:val="0"/>
      <w:adjustRightInd w:val="0"/>
      <w:jc w:val="center"/>
      <w:textAlignment w:val="baseline"/>
    </w:pPr>
    <w:rPr>
      <w:rFonts w:ascii="Calibri" w:hAnsi="Calibri"/>
      <w:spacing w:val="80"/>
      <w:kern w:val="0"/>
      <w:sz w:val="20"/>
      <w:szCs w:val="20"/>
    </w:rPr>
  </w:style>
  <w:style w:type="paragraph" w:customStyle="1" w:styleId="3569">
    <w:name w:val="一级无标题条"/>
    <w:basedOn w:val="1"/>
    <w:qFormat/>
    <w:uiPriority w:val="0"/>
    <w:rPr>
      <w:rFonts w:ascii="Calibri" w:hAnsi="Calibri"/>
    </w:rPr>
  </w:style>
  <w:style w:type="paragraph" w:customStyle="1" w:styleId="3570">
    <w:name w:val="zzw"/>
    <w:basedOn w:val="1"/>
    <w:qFormat/>
    <w:uiPriority w:val="99"/>
    <w:pPr>
      <w:spacing w:line="300" w:lineRule="auto"/>
      <w:ind w:firstLine="480" w:firstLineChars="200"/>
    </w:pPr>
    <w:rPr>
      <w:rFonts w:ascii="Calibri" w:hAnsi="Calibri"/>
      <w:color w:val="000000"/>
      <w:kern w:val="0"/>
      <w:sz w:val="24"/>
    </w:rPr>
  </w:style>
  <w:style w:type="paragraph" w:customStyle="1" w:styleId="3571">
    <w:name w:val="文字对中"/>
    <w:basedOn w:val="1"/>
    <w:qFormat/>
    <w:uiPriority w:val="99"/>
    <w:pPr>
      <w:spacing w:line="440" w:lineRule="exact"/>
      <w:jc w:val="center"/>
    </w:pPr>
    <w:rPr>
      <w:rFonts w:ascii="宋体" w:hAnsi="Calibri"/>
      <w:sz w:val="24"/>
      <w:szCs w:val="20"/>
    </w:rPr>
  </w:style>
  <w:style w:type="paragraph" w:customStyle="1" w:styleId="357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Calibri" w:eastAsia="黑体" w:cs="Times New Roman"/>
      <w:sz w:val="52"/>
      <w:lang w:val="en-US" w:eastAsia="zh-CN" w:bidi="ar-SA"/>
    </w:rPr>
  </w:style>
  <w:style w:type="paragraph" w:customStyle="1" w:styleId="3573">
    <w:name w:val="Style116"/>
    <w:basedOn w:val="1"/>
    <w:qFormat/>
    <w:uiPriority w:val="99"/>
    <w:pPr>
      <w:adjustRightInd w:val="0"/>
    </w:pPr>
    <w:rPr>
      <w:rFonts w:ascii="宋体" w:hAnsi="Calibri"/>
      <w:kern w:val="0"/>
      <w:sz w:val="24"/>
    </w:rPr>
  </w:style>
  <w:style w:type="paragraph" w:customStyle="1" w:styleId="3574">
    <w:name w:val="6表(图)头(治)"/>
    <w:next w:val="1"/>
    <w:qFormat/>
    <w:uiPriority w:val="0"/>
    <w:pPr>
      <w:widowControl w:val="0"/>
      <w:adjustRightInd w:val="0"/>
      <w:snapToGrid w:val="0"/>
      <w:jc w:val="center"/>
    </w:pPr>
    <w:rPr>
      <w:rFonts w:ascii="Calibri" w:hAnsi="宋体" w:eastAsia="宋体" w:cs="Times New Roman"/>
      <w:sz w:val="21"/>
      <w:szCs w:val="21"/>
      <w:lang w:val="en-US" w:eastAsia="zh-CN" w:bidi="ar-SA"/>
    </w:rPr>
  </w:style>
  <w:style w:type="paragraph" w:customStyle="1" w:styleId="3575">
    <w:name w:val="Char Char1 Char21"/>
    <w:basedOn w:val="1"/>
    <w:qFormat/>
    <w:uiPriority w:val="99"/>
    <w:rPr>
      <w:rFonts w:ascii="Calibri" w:hAnsi="Calibri"/>
    </w:rPr>
  </w:style>
  <w:style w:type="paragraph" w:customStyle="1" w:styleId="3576">
    <w:name w:val="图片格式普安"/>
    <w:basedOn w:val="1"/>
    <w:qFormat/>
    <w:uiPriority w:val="99"/>
    <w:pPr>
      <w:spacing w:line="360" w:lineRule="auto"/>
      <w:jc w:val="center"/>
    </w:pPr>
    <w:rPr>
      <w:rFonts w:ascii="Calibri" w:hAnsi="Calibri"/>
      <w:sz w:val="28"/>
      <w:szCs w:val="28"/>
    </w:rPr>
  </w:style>
  <w:style w:type="paragraph" w:customStyle="1" w:styleId="3577">
    <w:name w:val="七级标题"/>
    <w:qFormat/>
    <w:uiPriority w:val="0"/>
    <w:pPr>
      <w:adjustRightInd w:val="0"/>
      <w:snapToGrid w:val="0"/>
      <w:spacing w:before="60"/>
      <w:jc w:val="center"/>
    </w:pPr>
    <w:rPr>
      <w:rFonts w:ascii="黑体" w:hAnsi="Calibri" w:eastAsia="黑体" w:cs="Times New Roman"/>
      <w:snapToGrid w:val="0"/>
      <w:sz w:val="21"/>
      <w:lang w:val="en-US" w:eastAsia="zh-CN" w:bidi="ar-SA"/>
    </w:rPr>
  </w:style>
  <w:style w:type="paragraph" w:customStyle="1" w:styleId="3578">
    <w:name w:val="正文缩"/>
    <w:basedOn w:val="1"/>
    <w:qFormat/>
    <w:uiPriority w:val="99"/>
    <w:pPr>
      <w:adjustRightInd w:val="0"/>
      <w:snapToGrid w:val="0"/>
      <w:spacing w:line="480" w:lineRule="atLeast"/>
      <w:ind w:firstLine="200" w:firstLineChars="200"/>
    </w:pPr>
    <w:rPr>
      <w:rFonts w:ascii="宋体" w:hAnsi="Calibri"/>
      <w:snapToGrid w:val="0"/>
      <w:spacing w:val="6"/>
      <w:kern w:val="0"/>
      <w:sz w:val="28"/>
    </w:rPr>
  </w:style>
  <w:style w:type="paragraph" w:customStyle="1" w:styleId="3579">
    <w:name w:val="Z"/>
    <w:basedOn w:val="1"/>
    <w:qFormat/>
    <w:uiPriority w:val="99"/>
    <w:pPr>
      <w:spacing w:line="460" w:lineRule="exact"/>
      <w:ind w:firstLine="200" w:firstLineChars="200"/>
    </w:pPr>
    <w:rPr>
      <w:rFonts w:ascii="宋体" w:hAnsi="宋体"/>
      <w:sz w:val="25"/>
    </w:rPr>
  </w:style>
  <w:style w:type="paragraph" w:customStyle="1" w:styleId="3580">
    <w:name w:val="12 Char"/>
    <w:basedOn w:val="1"/>
    <w:qFormat/>
    <w:uiPriority w:val="99"/>
    <w:pPr>
      <w:spacing w:line="360" w:lineRule="auto"/>
      <w:ind w:firstLine="200" w:firstLineChars="200"/>
    </w:pPr>
    <w:rPr>
      <w:rFonts w:ascii="宋体" w:hAnsi="宋体"/>
      <w:position w:val="-6"/>
      <w:sz w:val="28"/>
      <w:szCs w:val="20"/>
      <w:u w:val="single"/>
    </w:rPr>
  </w:style>
  <w:style w:type="paragraph" w:customStyle="1" w:styleId="3581">
    <w:name w:val="样式 标题 3 + 仿宋_GB2312"/>
    <w:basedOn w:val="5"/>
    <w:qFormat/>
    <w:uiPriority w:val="99"/>
    <w:pPr>
      <w:adjustRightInd w:val="0"/>
      <w:snapToGrid w:val="0"/>
      <w:spacing w:before="0" w:after="0" w:line="360" w:lineRule="auto"/>
      <w:ind w:firstLine="200" w:firstLineChars="200"/>
    </w:pPr>
    <w:rPr>
      <w:rFonts w:ascii="仿宋_GB2312" w:hAnsi="仿宋_GB2312" w:eastAsia="仿宋_GB2312"/>
      <w:b w:val="0"/>
      <w:bCs w:val="0"/>
      <w:sz w:val="24"/>
      <w:szCs w:val="24"/>
    </w:rPr>
  </w:style>
  <w:style w:type="paragraph" w:customStyle="1" w:styleId="3582">
    <w:name w:val="Char Char Char Char Char1 Char"/>
    <w:basedOn w:val="1"/>
    <w:qFormat/>
    <w:uiPriority w:val="99"/>
    <w:pPr>
      <w:adjustRightInd w:val="0"/>
      <w:spacing w:line="360" w:lineRule="auto"/>
    </w:pPr>
    <w:rPr>
      <w:rFonts w:ascii="Calibri" w:hAnsi="Calibri" w:eastAsia="黑体"/>
      <w:spacing w:val="20"/>
      <w:sz w:val="32"/>
      <w:szCs w:val="32"/>
    </w:rPr>
  </w:style>
  <w:style w:type="paragraph" w:customStyle="1" w:styleId="3583">
    <w:name w:val="图表脚注说明"/>
    <w:basedOn w:val="1"/>
    <w:qFormat/>
    <w:uiPriority w:val="99"/>
    <w:pPr>
      <w:numPr>
        <w:ilvl w:val="0"/>
        <w:numId w:val="11"/>
      </w:numPr>
    </w:pPr>
    <w:rPr>
      <w:rFonts w:ascii="宋体" w:hAnsi="Calibri"/>
      <w:sz w:val="18"/>
      <w:szCs w:val="18"/>
    </w:rPr>
  </w:style>
  <w:style w:type="paragraph" w:customStyle="1" w:styleId="3584">
    <w:name w:val="题注11"/>
    <w:basedOn w:val="1"/>
    <w:next w:val="1"/>
    <w:qFormat/>
    <w:uiPriority w:val="99"/>
    <w:pPr>
      <w:tabs>
        <w:tab w:val="center" w:pos="10467"/>
        <w:tab w:val="left" w:pos="13095"/>
      </w:tabs>
      <w:jc w:val="center"/>
    </w:pPr>
    <w:rPr>
      <w:rFonts w:hint="eastAsia" w:ascii="Arial" w:hAnsi="Arial"/>
      <w:b/>
      <w:sz w:val="24"/>
      <w:szCs w:val="20"/>
    </w:rPr>
  </w:style>
  <w:style w:type="paragraph" w:customStyle="1" w:styleId="3585">
    <w:name w:val="標準インデント　2"/>
    <w:basedOn w:val="21"/>
    <w:qFormat/>
    <w:uiPriority w:val="0"/>
    <w:pPr>
      <w:overflowPunct w:val="0"/>
      <w:autoSpaceDE w:val="0"/>
      <w:autoSpaceDN w:val="0"/>
      <w:ind w:left="2900" w:hanging="2038"/>
      <w:textAlignment w:val="baseline"/>
    </w:pPr>
    <w:rPr>
      <w:rFonts w:eastAsia="MS Mincho" w:asciiTheme="minorHAnsi" w:hAnsiTheme="minorHAnsi" w:cstheme="minorBidi"/>
      <w:sz w:val="20"/>
      <w:szCs w:val="22"/>
      <w:lang w:eastAsia="ja-JP"/>
    </w:rPr>
  </w:style>
  <w:style w:type="paragraph" w:customStyle="1" w:styleId="3586">
    <w:name w:val="样式 标题 2 + 段后: 0.5 行"/>
    <w:basedOn w:val="4"/>
    <w:qFormat/>
    <w:uiPriority w:val="0"/>
    <w:pPr>
      <w:keepNext w:val="0"/>
      <w:keepLines w:val="0"/>
      <w:tabs>
        <w:tab w:val="left" w:pos="630"/>
        <w:tab w:val="left" w:pos="840"/>
        <w:tab w:val="left" w:pos="1287"/>
        <w:tab w:val="left" w:pos="3920"/>
        <w:tab w:val="left" w:pos="5670"/>
      </w:tabs>
      <w:adjustRightInd w:val="0"/>
      <w:snapToGrid w:val="0"/>
      <w:spacing w:before="60" w:after="156" w:line="240" w:lineRule="auto"/>
      <w:ind w:firstLine="567"/>
    </w:pPr>
    <w:rPr>
      <w:rFonts w:ascii="Times New Roman" w:hAnsi="Times New Roman" w:eastAsia="仿宋_GB2312"/>
      <w:bCs w:val="0"/>
      <w:color w:val="000000"/>
      <w:sz w:val="30"/>
    </w:rPr>
  </w:style>
  <w:style w:type="paragraph" w:customStyle="1" w:styleId="3587">
    <w:name w:val="正文13"/>
    <w:basedOn w:val="1"/>
    <w:qFormat/>
    <w:uiPriority w:val="99"/>
    <w:pPr>
      <w:adjustRightInd w:val="0"/>
      <w:spacing w:line="315" w:lineRule="atLeast"/>
      <w:textAlignment w:val="baseline"/>
    </w:pPr>
    <w:rPr>
      <w:rFonts w:ascii="宋体" w:hAnsi="Calibri"/>
      <w:kern w:val="0"/>
      <w:szCs w:val="20"/>
    </w:rPr>
  </w:style>
  <w:style w:type="paragraph" w:customStyle="1" w:styleId="3588">
    <w:name w:val="Char Char41 Char Char Char Char Char Char"/>
    <w:basedOn w:val="1"/>
    <w:qFormat/>
    <w:uiPriority w:val="99"/>
    <w:rPr>
      <w:rFonts w:ascii="Tahoma" w:hAnsi="Tahoma"/>
      <w:sz w:val="24"/>
      <w:szCs w:val="20"/>
    </w:rPr>
  </w:style>
  <w:style w:type="paragraph" w:customStyle="1" w:styleId="3589">
    <w:name w:val="样式 样式 首行缩进:  2 字符 + 左侧:  2 字符"/>
    <w:basedOn w:val="1"/>
    <w:qFormat/>
    <w:uiPriority w:val="99"/>
    <w:pPr>
      <w:adjustRightInd w:val="0"/>
      <w:spacing w:line="360" w:lineRule="auto"/>
      <w:ind w:firstLine="560" w:firstLineChars="200"/>
      <w:textAlignment w:val="baseline"/>
    </w:pPr>
    <w:rPr>
      <w:rFonts w:ascii="Calibri" w:hAnsi="Calibri"/>
      <w:sz w:val="28"/>
      <w:szCs w:val="20"/>
    </w:rPr>
  </w:style>
  <w:style w:type="paragraph" w:customStyle="1" w:styleId="3590">
    <w:name w:val="样式 标题 1Part + 段前: 0.5 行"/>
    <w:basedOn w:val="3"/>
    <w:qFormat/>
    <w:uiPriority w:val="99"/>
    <w:pPr>
      <w:keepNext w:val="0"/>
      <w:keepLines w:val="0"/>
      <w:pageBreakBefore/>
      <w:tabs>
        <w:tab w:val="center" w:pos="4323"/>
        <w:tab w:val="left" w:pos="7806"/>
      </w:tabs>
      <w:adjustRightInd w:val="0"/>
      <w:snapToGrid w:val="0"/>
      <w:spacing w:before="0" w:after="0" w:line="300" w:lineRule="auto"/>
      <w:ind w:left="3"/>
      <w:jc w:val="center"/>
      <w:outlineLvl w:val="9"/>
    </w:pPr>
    <w:rPr>
      <w:rFonts w:eastAsia="方正小标宋简体"/>
      <w:spacing w:val="20"/>
      <w:kern w:val="2"/>
      <w:sz w:val="36"/>
      <w:szCs w:val="20"/>
    </w:rPr>
  </w:style>
  <w:style w:type="paragraph" w:customStyle="1" w:styleId="3591">
    <w:name w:val="Style34"/>
    <w:basedOn w:val="1"/>
    <w:qFormat/>
    <w:uiPriority w:val="99"/>
    <w:pPr>
      <w:adjustRightInd w:val="0"/>
    </w:pPr>
    <w:rPr>
      <w:rFonts w:ascii="宋体" w:hAnsi="Calibri"/>
      <w:kern w:val="0"/>
      <w:sz w:val="24"/>
    </w:rPr>
  </w:style>
  <w:style w:type="paragraph" w:customStyle="1" w:styleId="3592">
    <w:name w:val="Char Char Char Char Char2 Char Char Char Char11"/>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593">
    <w:name w:val="Char Char Char Char Char Char Char Char Char Char Char Char Char Char Char"/>
    <w:basedOn w:val="1"/>
    <w:qFormat/>
    <w:uiPriority w:val="99"/>
    <w:pPr>
      <w:snapToGrid w:val="0"/>
      <w:spacing w:line="440" w:lineRule="exact"/>
      <w:ind w:firstLine="200" w:firstLineChars="200"/>
    </w:pPr>
    <w:rPr>
      <w:rFonts w:ascii="Calibri" w:hAnsi="Calibri"/>
      <w:sz w:val="24"/>
    </w:rPr>
  </w:style>
  <w:style w:type="paragraph" w:customStyle="1" w:styleId="3594">
    <w:name w:val="标题小节"/>
    <w:basedOn w:val="5"/>
    <w:next w:val="45"/>
    <w:qFormat/>
    <w:uiPriority w:val="99"/>
    <w:pPr>
      <w:tabs>
        <w:tab w:val="left" w:pos="4200"/>
      </w:tabs>
      <w:autoSpaceDE w:val="0"/>
      <w:autoSpaceDN w:val="0"/>
      <w:adjustRightInd w:val="0"/>
      <w:snapToGrid w:val="0"/>
      <w:spacing w:before="240" w:after="120" w:line="360" w:lineRule="auto"/>
    </w:pPr>
    <w:rPr>
      <w:bCs w:val="0"/>
      <w:kern w:val="0"/>
      <w:sz w:val="28"/>
      <w:szCs w:val="20"/>
    </w:rPr>
  </w:style>
  <w:style w:type="paragraph" w:customStyle="1" w:styleId="3595">
    <w:name w:val="Char Char Char1 Char Char Char Char1"/>
    <w:basedOn w:val="1"/>
    <w:next w:val="1"/>
    <w:qFormat/>
    <w:uiPriority w:val="0"/>
    <w:pPr>
      <w:spacing w:line="360" w:lineRule="auto"/>
      <w:ind w:firstLine="200" w:firstLineChars="200"/>
    </w:pPr>
    <w:rPr>
      <w:rFonts w:ascii="Calibri" w:hAnsi="Calibri"/>
      <w:szCs w:val="20"/>
    </w:rPr>
  </w:style>
  <w:style w:type="paragraph" w:customStyle="1" w:styleId="3596">
    <w:name w:val="0006"/>
    <w:qFormat/>
    <w:uiPriority w:val="0"/>
    <w:pPr>
      <w:snapToGrid w:val="0"/>
      <w:spacing w:afterLines="50"/>
    </w:pPr>
    <w:rPr>
      <w:rFonts w:ascii="Times New Roman" w:hAnsi="Times New Roman" w:eastAsia="宋体" w:cs="Times New Roman"/>
      <w:b/>
      <w:bCs/>
      <w:lang w:val="zh-CN" w:eastAsia="zh-CN" w:bidi="ar-SA"/>
    </w:rPr>
  </w:style>
  <w:style w:type="paragraph" w:customStyle="1" w:styleId="3597">
    <w:name w:val="0004正文"/>
    <w:basedOn w:val="1"/>
    <w:qFormat/>
    <w:uiPriority w:val="99"/>
    <w:pPr>
      <w:autoSpaceDE w:val="0"/>
      <w:autoSpaceDN w:val="0"/>
      <w:adjustRightInd w:val="0"/>
      <w:spacing w:line="500" w:lineRule="exact"/>
    </w:pPr>
    <w:rPr>
      <w:rFonts w:ascii="宋体" w:hAnsi="宋体"/>
      <w:sz w:val="28"/>
      <w:szCs w:val="28"/>
    </w:rPr>
  </w:style>
  <w:style w:type="paragraph" w:customStyle="1" w:styleId="3598">
    <w:name w:val="表格王"/>
    <w:basedOn w:val="1"/>
    <w:qFormat/>
    <w:uiPriority w:val="0"/>
    <w:pPr>
      <w:adjustRightInd w:val="0"/>
      <w:snapToGrid w:val="0"/>
      <w:spacing w:line="300" w:lineRule="auto"/>
      <w:jc w:val="center"/>
    </w:pPr>
    <w:rPr>
      <w:rFonts w:ascii="楷体_GB2312" w:hAnsi="Calibri" w:eastAsia="楷体_GB2312"/>
      <w:sz w:val="24"/>
    </w:rPr>
  </w:style>
  <w:style w:type="paragraph" w:customStyle="1" w:styleId="3599">
    <w:name w:val="文本框文字"/>
    <w:basedOn w:val="1"/>
    <w:qFormat/>
    <w:uiPriority w:val="0"/>
    <w:pPr>
      <w:adjustRightInd w:val="0"/>
      <w:jc w:val="center"/>
      <w:textAlignment w:val="baseline"/>
    </w:pPr>
    <w:rPr>
      <w:rFonts w:ascii="Calibri" w:hAnsi="Calibri"/>
      <w:kern w:val="0"/>
      <w:szCs w:val="20"/>
    </w:rPr>
  </w:style>
  <w:style w:type="paragraph" w:customStyle="1" w:styleId="3600">
    <w:name w:val="表格（窄）"/>
    <w:basedOn w:val="1"/>
    <w:qFormat/>
    <w:uiPriority w:val="99"/>
    <w:pPr>
      <w:jc w:val="center"/>
    </w:pPr>
    <w:rPr>
      <w:rFonts w:ascii="Calibri" w:hAnsi="Calibri"/>
      <w:kern w:val="0"/>
    </w:rPr>
  </w:style>
  <w:style w:type="paragraph" w:customStyle="1" w:styleId="3601">
    <w:name w:val="胡标题2"/>
    <w:basedOn w:val="4"/>
    <w:qFormat/>
    <w:uiPriority w:val="99"/>
    <w:pPr>
      <w:autoSpaceDE w:val="0"/>
      <w:autoSpaceDN w:val="0"/>
      <w:adjustRightInd w:val="0"/>
      <w:spacing w:before="100" w:after="60" w:line="300" w:lineRule="auto"/>
      <w:textAlignment w:val="baseline"/>
    </w:pPr>
    <w:rPr>
      <w:rFonts w:ascii="宋体" w:hAnsi="宋体" w:eastAsia="宋体"/>
      <w:b w:val="0"/>
      <w:bCs w:val="0"/>
      <w:color w:val="000000"/>
      <w:kern w:val="0"/>
      <w:sz w:val="30"/>
    </w:rPr>
  </w:style>
  <w:style w:type="paragraph" w:customStyle="1" w:styleId="3602">
    <w:name w:val="Char Char Char1 Char Char Char Char8"/>
    <w:basedOn w:val="1"/>
    <w:next w:val="1"/>
    <w:qFormat/>
    <w:uiPriority w:val="99"/>
    <w:pPr>
      <w:spacing w:line="360" w:lineRule="auto"/>
      <w:ind w:firstLine="200" w:firstLineChars="200"/>
    </w:pPr>
    <w:rPr>
      <w:rFonts w:ascii="宋体" w:hAnsi="宋体" w:eastAsia="汉鼎简书宋" w:cs="宋体"/>
      <w:sz w:val="24"/>
    </w:rPr>
  </w:style>
  <w:style w:type="paragraph" w:customStyle="1" w:styleId="3603">
    <w:name w:val="居中四号"/>
    <w:qFormat/>
    <w:uiPriority w:val="0"/>
    <w:pPr>
      <w:spacing w:line="300" w:lineRule="auto"/>
      <w:jc w:val="center"/>
    </w:pPr>
    <w:rPr>
      <w:rFonts w:ascii="Calibri" w:hAnsi="Calibri" w:eastAsia="宋体" w:cs="Times New Roman"/>
      <w:sz w:val="28"/>
      <w:lang w:val="en-US" w:eastAsia="zh-CN" w:bidi="ar-SA"/>
    </w:rPr>
  </w:style>
  <w:style w:type="paragraph" w:customStyle="1" w:styleId="3604">
    <w:name w:val="正文文本 211"/>
    <w:basedOn w:val="1"/>
    <w:qFormat/>
    <w:uiPriority w:val="0"/>
    <w:pPr>
      <w:spacing w:after="120" w:line="480" w:lineRule="auto"/>
    </w:pPr>
    <w:rPr>
      <w:rFonts w:ascii="Calibri" w:hAnsi="Calibri"/>
      <w:kern w:val="0"/>
      <w:sz w:val="24"/>
      <w:szCs w:val="20"/>
    </w:rPr>
  </w:style>
  <w:style w:type="paragraph" w:customStyle="1" w:styleId="3605">
    <w:name w:val="6'"/>
    <w:basedOn w:val="1"/>
    <w:qFormat/>
    <w:uiPriority w:val="99"/>
    <w:pPr>
      <w:autoSpaceDE w:val="0"/>
      <w:autoSpaceDN w:val="0"/>
      <w:adjustRightInd w:val="0"/>
      <w:snapToGrid w:val="0"/>
      <w:spacing w:line="320" w:lineRule="exact"/>
      <w:jc w:val="center"/>
      <w:textAlignment w:val="baseline"/>
    </w:pPr>
    <w:rPr>
      <w:rFonts w:ascii="Calibri" w:hAnsi="Calibri"/>
      <w:spacing w:val="20"/>
      <w:kern w:val="28"/>
      <w:szCs w:val="20"/>
      <w:lang w:bidi="th-TH"/>
    </w:rPr>
  </w:style>
  <w:style w:type="paragraph" w:customStyle="1" w:styleId="3606">
    <w:name w:val="图居中"/>
    <w:basedOn w:val="1"/>
    <w:next w:val="1"/>
    <w:qFormat/>
    <w:uiPriority w:val="99"/>
    <w:pPr>
      <w:tabs>
        <w:tab w:val="left" w:pos="3626"/>
      </w:tabs>
      <w:jc w:val="center"/>
    </w:pPr>
    <w:rPr>
      <w:rFonts w:ascii="Calibri" w:hAnsi="Calibri"/>
      <w:sz w:val="24"/>
    </w:rPr>
  </w:style>
  <w:style w:type="paragraph" w:customStyle="1" w:styleId="3607">
    <w:name w:val="M"/>
    <w:basedOn w:val="3"/>
    <w:qFormat/>
    <w:uiPriority w:val="0"/>
    <w:pPr>
      <w:keepLines w:val="0"/>
      <w:tabs>
        <w:tab w:val="left" w:pos="2260"/>
        <w:tab w:val="left" w:pos="2820"/>
        <w:tab w:val="left" w:pos="3420"/>
      </w:tabs>
      <w:adjustRightInd w:val="0"/>
      <w:snapToGrid w:val="0"/>
      <w:spacing w:before="440" w:after="0" w:line="240" w:lineRule="auto"/>
      <w:ind w:left="851" w:right="-28" w:hanging="851"/>
    </w:pPr>
    <w:rPr>
      <w:rFonts w:ascii="Arial" w:hAnsi="Arial"/>
      <w:b w:val="0"/>
      <w:bCs w:val="0"/>
      <w:kern w:val="0"/>
      <w:sz w:val="22"/>
      <w:szCs w:val="20"/>
      <w:lang w:val="en-GB"/>
    </w:rPr>
  </w:style>
  <w:style w:type="paragraph" w:customStyle="1" w:styleId="3608">
    <w:name w:val="样式 标题 4 + 悬挂缩进: 1.54 字符"/>
    <w:basedOn w:val="6"/>
    <w:qFormat/>
    <w:uiPriority w:val="99"/>
    <w:pPr>
      <w:tabs>
        <w:tab w:val="left" w:pos="1751"/>
      </w:tabs>
      <w:spacing w:line="440" w:lineRule="exact"/>
    </w:pPr>
    <w:rPr>
      <w:rFonts w:ascii="宋体" w:hAnsi="Arial" w:cs="宋体"/>
      <w:b w:val="0"/>
      <w:bCs w:val="0"/>
      <w:szCs w:val="20"/>
    </w:rPr>
  </w:style>
  <w:style w:type="paragraph" w:customStyle="1" w:styleId="3609">
    <w:name w:val="Char Char2 Char Char Char Char Char Char Char Char Char Char Char Char Char Char"/>
    <w:basedOn w:val="1"/>
    <w:qFormat/>
    <w:uiPriority w:val="99"/>
    <w:rPr>
      <w:rFonts w:ascii="Calibri" w:hAnsi="Calibri"/>
    </w:rPr>
  </w:style>
  <w:style w:type="paragraph" w:customStyle="1" w:styleId="3610">
    <w:name w:val="列表接续1"/>
    <w:basedOn w:val="1"/>
    <w:qFormat/>
    <w:uiPriority w:val="99"/>
    <w:pPr>
      <w:spacing w:after="120"/>
      <w:ind w:left="420" w:leftChars="200"/>
    </w:pPr>
    <w:rPr>
      <w:rFonts w:ascii="Calibri" w:hAnsi="Calibri"/>
    </w:rPr>
  </w:style>
  <w:style w:type="paragraph" w:customStyle="1" w:styleId="3611">
    <w:name w:val="文章总标题"/>
    <w:basedOn w:val="1"/>
    <w:qFormat/>
    <w:uiPriority w:val="0"/>
    <w:pPr>
      <w:autoSpaceDE w:val="0"/>
      <w:autoSpaceDN w:val="0"/>
      <w:adjustRightInd w:val="0"/>
      <w:spacing w:before="566" w:after="544" w:line="566" w:lineRule="atLeast"/>
      <w:jc w:val="center"/>
    </w:pPr>
    <w:rPr>
      <w:rFonts w:ascii="Arial" w:hAnsi="Arial" w:cs="Arial"/>
      <w:color w:val="000000"/>
      <w:kern w:val="0"/>
      <w:sz w:val="54"/>
      <w:szCs w:val="54"/>
      <w:lang w:val="zh-CN"/>
    </w:rPr>
  </w:style>
  <w:style w:type="paragraph" w:customStyle="1" w:styleId="3612">
    <w:name w:val="文章副标题"/>
    <w:basedOn w:val="1"/>
    <w:next w:val="925"/>
    <w:qFormat/>
    <w:uiPriority w:val="99"/>
    <w:pPr>
      <w:autoSpaceDE w:val="0"/>
      <w:autoSpaceDN w:val="0"/>
      <w:adjustRightInd w:val="0"/>
      <w:spacing w:before="187" w:after="175" w:line="374" w:lineRule="atLeast"/>
      <w:jc w:val="center"/>
    </w:pPr>
    <w:rPr>
      <w:rFonts w:ascii="Calibri" w:hAnsi="Calibri"/>
      <w:color w:val="000000"/>
      <w:kern w:val="0"/>
      <w:sz w:val="36"/>
      <w:szCs w:val="36"/>
      <w:lang w:val="zh-CN"/>
    </w:rPr>
  </w:style>
  <w:style w:type="paragraph" w:customStyle="1" w:styleId="3613">
    <w:name w:val="888-三级"/>
    <w:qFormat/>
    <w:uiPriority w:val="99"/>
    <w:pPr>
      <w:spacing w:line="360" w:lineRule="auto"/>
      <w:jc w:val="both"/>
      <w:outlineLvl w:val="2"/>
    </w:pPr>
    <w:rPr>
      <w:rFonts w:ascii="Calibri" w:hAnsi="Calibri" w:eastAsia="宋体" w:cs="Times New Roman"/>
      <w:b/>
      <w:bCs/>
      <w:kern w:val="2"/>
      <w:sz w:val="28"/>
      <w:szCs w:val="28"/>
      <w:lang w:val="en-US" w:eastAsia="zh-CN" w:bidi="ar-SA"/>
    </w:rPr>
  </w:style>
  <w:style w:type="paragraph" w:customStyle="1" w:styleId="3614">
    <w:name w:val="样式 样式 首行缩进:  2 字符 + 居中1"/>
    <w:basedOn w:val="2461"/>
    <w:qFormat/>
    <w:uiPriority w:val="99"/>
    <w:pPr>
      <w:adjustRightInd/>
      <w:snapToGrid/>
      <w:spacing w:line="500" w:lineRule="exact"/>
      <w:ind w:firstLine="0" w:firstLineChars="0"/>
      <w:jc w:val="center"/>
    </w:pPr>
    <w:rPr>
      <w:rFonts w:ascii="宋体" w:hAnsi="宋体"/>
      <w:sz w:val="28"/>
      <w:szCs w:val="28"/>
    </w:rPr>
  </w:style>
  <w:style w:type="paragraph" w:customStyle="1" w:styleId="3615">
    <w:name w:val="参考标题"/>
    <w:basedOn w:val="34"/>
    <w:next w:val="1"/>
    <w:qFormat/>
    <w:uiPriority w:val="99"/>
    <w:pPr>
      <w:spacing w:before="560" w:after="160"/>
      <w:jc w:val="center"/>
    </w:pPr>
    <w:rPr>
      <w:rFonts w:ascii="黑体" w:hAnsi="Calibri" w:eastAsia="黑体"/>
      <w:kern w:val="0"/>
      <w:sz w:val="18"/>
      <w:szCs w:val="20"/>
    </w:rPr>
  </w:style>
  <w:style w:type="paragraph" w:customStyle="1" w:styleId="3616">
    <w:name w:val="目录 111"/>
    <w:basedOn w:val="1"/>
    <w:next w:val="1"/>
    <w:qFormat/>
    <w:uiPriority w:val="99"/>
    <w:pPr>
      <w:spacing w:before="120" w:after="120"/>
    </w:pPr>
    <w:rPr>
      <w:rFonts w:hint="eastAsia" w:ascii="Calibri" w:hAnsi="Calibri"/>
      <w:b/>
      <w:caps/>
      <w:sz w:val="20"/>
      <w:szCs w:val="20"/>
    </w:rPr>
  </w:style>
  <w:style w:type="paragraph" w:customStyle="1" w:styleId="3617">
    <w:name w:val="文本匡小五号 Char"/>
    <w:qFormat/>
    <w:uiPriority w:val="0"/>
    <w:pPr>
      <w:snapToGrid w:val="0"/>
      <w:spacing w:line="100" w:lineRule="atLeast"/>
      <w:jc w:val="center"/>
    </w:pPr>
    <w:rPr>
      <w:rFonts w:ascii="Calibri" w:hAnsi="Calibri" w:eastAsia="仿宋_GB2312" w:cs="Times New Roman"/>
      <w:snapToGrid w:val="0"/>
      <w:sz w:val="21"/>
      <w:szCs w:val="21"/>
      <w:lang w:val="en-US" w:eastAsia="zh-CN" w:bidi="ar-SA"/>
    </w:rPr>
  </w:style>
  <w:style w:type="paragraph" w:customStyle="1" w:styleId="3618">
    <w:name w:val="Char1 Char Char Char Char Char Char Char Char Char1"/>
    <w:basedOn w:val="1"/>
    <w:qFormat/>
    <w:uiPriority w:val="99"/>
    <w:pPr>
      <w:spacing w:after="160" w:line="240" w:lineRule="exact"/>
    </w:pPr>
    <w:rPr>
      <w:rFonts w:ascii="Verdana" w:hAnsi="Verdana" w:eastAsia="仿宋_GB2312"/>
      <w:kern w:val="0"/>
      <w:sz w:val="24"/>
      <w:szCs w:val="20"/>
      <w:lang w:eastAsia="en-US"/>
    </w:rPr>
  </w:style>
  <w:style w:type="paragraph" w:customStyle="1" w:styleId="3619">
    <w:name w:val="正文文字3"/>
    <w:basedOn w:val="31"/>
    <w:qFormat/>
    <w:uiPriority w:val="0"/>
    <w:pPr>
      <w:adjustRightInd w:val="0"/>
      <w:snapToGrid w:val="0"/>
      <w:spacing w:after="0"/>
      <w:ind w:left="-57" w:right="-57"/>
      <w:jc w:val="center"/>
    </w:pPr>
    <w:rPr>
      <w:rFonts w:eastAsia="黑体" w:cstheme="minorBidi"/>
      <w:snapToGrid w:val="0"/>
      <w:sz w:val="18"/>
      <w:szCs w:val="18"/>
      <w:lang w:val="en-US"/>
    </w:rPr>
  </w:style>
  <w:style w:type="paragraph" w:customStyle="1" w:styleId="3620">
    <w:name w:val="样式 标题 21.1标题 2 + 首行缩进:  2 字符"/>
    <w:basedOn w:val="4"/>
    <w:qFormat/>
    <w:uiPriority w:val="99"/>
    <w:pPr>
      <w:adjustRightInd w:val="0"/>
      <w:snapToGrid w:val="0"/>
      <w:spacing w:before="0" w:after="0" w:line="500" w:lineRule="exact"/>
      <w:ind w:firstLine="602" w:firstLineChars="200"/>
    </w:pPr>
    <w:rPr>
      <w:rFonts w:ascii="宋体" w:hAnsi="宋体" w:eastAsia="宋体" w:cs="宋体"/>
      <w:kern w:val="44"/>
      <w:sz w:val="30"/>
      <w:szCs w:val="30"/>
    </w:rPr>
  </w:style>
  <w:style w:type="paragraph" w:customStyle="1" w:styleId="3621">
    <w:name w:val="Char1 Char Char Char Char Char Char Char Char Char3"/>
    <w:basedOn w:val="1"/>
    <w:qFormat/>
    <w:uiPriority w:val="99"/>
    <w:pPr>
      <w:spacing w:after="160" w:line="240" w:lineRule="exact"/>
    </w:pPr>
    <w:rPr>
      <w:rFonts w:ascii="Verdana" w:hAnsi="Verdana" w:eastAsia="仿宋_GB2312"/>
      <w:kern w:val="0"/>
      <w:sz w:val="24"/>
      <w:szCs w:val="20"/>
      <w:lang w:eastAsia="en-US"/>
    </w:rPr>
  </w:style>
  <w:style w:type="paragraph" w:customStyle="1" w:styleId="3622">
    <w:name w:val="标题 311"/>
    <w:basedOn w:val="1"/>
    <w:next w:val="1"/>
    <w:qFormat/>
    <w:uiPriority w:val="99"/>
    <w:pPr>
      <w:keepNext/>
      <w:keepLines/>
      <w:spacing w:before="260" w:after="260" w:line="413" w:lineRule="auto"/>
      <w:outlineLvl w:val="2"/>
    </w:pPr>
    <w:rPr>
      <w:rFonts w:ascii="Calibri" w:hAnsi="Calibri"/>
      <w:b/>
      <w:sz w:val="32"/>
      <w:szCs w:val="20"/>
    </w:rPr>
  </w:style>
  <w:style w:type="paragraph" w:customStyle="1" w:styleId="3623">
    <w:name w:val="666666-标题3"/>
    <w:basedOn w:val="5"/>
    <w:qFormat/>
    <w:uiPriority w:val="99"/>
    <w:pPr>
      <w:adjustRightInd w:val="0"/>
      <w:snapToGrid w:val="0"/>
      <w:spacing w:before="156" w:beforeLines="50" w:after="156" w:afterLines="50" w:line="440" w:lineRule="exact"/>
    </w:pPr>
    <w:rPr>
      <w:rFonts w:eastAsia="黑体"/>
      <w:b w:val="0"/>
      <w:bCs w:val="0"/>
      <w:sz w:val="28"/>
      <w:szCs w:val="20"/>
      <w:lang w:val="zh-CN"/>
    </w:rPr>
  </w:style>
  <w:style w:type="paragraph" w:customStyle="1" w:styleId="3624">
    <w:name w:val="列表编号 31"/>
    <w:basedOn w:val="1"/>
    <w:qFormat/>
    <w:uiPriority w:val="99"/>
    <w:pPr>
      <w:tabs>
        <w:tab w:val="left" w:pos="1200"/>
      </w:tabs>
      <w:ind w:left="1200" w:leftChars="400" w:hanging="360" w:hangingChars="200"/>
    </w:pPr>
    <w:rPr>
      <w:rFonts w:ascii="Calibri" w:hAnsi="Calibri"/>
    </w:rPr>
  </w:style>
  <w:style w:type="paragraph" w:customStyle="1" w:styleId="3625">
    <w:name w:val="d"/>
    <w:basedOn w:val="3248"/>
    <w:qFormat/>
    <w:uiPriority w:val="99"/>
    <w:pPr>
      <w:widowControl w:val="0"/>
      <w:tabs>
        <w:tab w:val="left" w:pos="2378"/>
      </w:tabs>
      <w:adjustRightInd w:val="0"/>
      <w:spacing w:beforeLines="50" w:beforeAutospacing="0" w:afterLines="50" w:afterAutospacing="0"/>
      <w:ind w:left="2378" w:hanging="420"/>
      <w:outlineLvl w:val="3"/>
    </w:pPr>
    <w:rPr>
      <w:rFonts w:ascii="仿宋_GB2312" w:eastAsia="仿宋_GB2312"/>
      <w:snapToGrid w:val="0"/>
      <w:color w:val="000000"/>
      <w:szCs w:val="28"/>
    </w:rPr>
  </w:style>
  <w:style w:type="paragraph" w:customStyle="1" w:styleId="3626">
    <w:name w:val="w"/>
    <w:basedOn w:val="1"/>
    <w:qFormat/>
    <w:uiPriority w:val="99"/>
    <w:pPr>
      <w:spacing w:before="100" w:beforeAutospacing="1" w:after="100" w:afterAutospacing="1" w:line="360" w:lineRule="auto"/>
    </w:pPr>
    <w:rPr>
      <w:rFonts w:ascii="Arial" w:hAnsi="Arial" w:cs="Arial"/>
      <w:kern w:val="0"/>
      <w:sz w:val="18"/>
      <w:szCs w:val="18"/>
    </w:rPr>
  </w:style>
  <w:style w:type="paragraph" w:customStyle="1" w:styleId="3627">
    <w:name w:val="alt+2 节"/>
    <w:basedOn w:val="4"/>
    <w:next w:val="1"/>
    <w:qFormat/>
    <w:uiPriority w:val="99"/>
    <w:pPr>
      <w:spacing w:before="0" w:after="0" w:afterLines="50" w:line="500" w:lineRule="exact"/>
    </w:pPr>
    <w:rPr>
      <w:rFonts w:eastAsia="宋体"/>
      <w:bCs w:val="0"/>
      <w:sz w:val="28"/>
      <w:szCs w:val="20"/>
    </w:rPr>
  </w:style>
  <w:style w:type="paragraph" w:customStyle="1" w:styleId="3628">
    <w:name w:val="列项——"/>
    <w:qFormat/>
    <w:uiPriority w:val="0"/>
    <w:pPr>
      <w:widowControl w:val="0"/>
      <w:tabs>
        <w:tab w:val="left" w:pos="854"/>
      </w:tabs>
      <w:ind w:left="840" w:leftChars="200" w:hanging="420" w:hangingChars="200"/>
      <w:jc w:val="both"/>
    </w:pPr>
    <w:rPr>
      <w:rFonts w:ascii="宋体" w:hAnsi="Calibri" w:eastAsia="宋体" w:cs="Times New Roman"/>
      <w:sz w:val="21"/>
      <w:lang w:val="en-US" w:eastAsia="zh-CN" w:bidi="ar-SA"/>
    </w:rPr>
  </w:style>
  <w:style w:type="paragraph" w:customStyle="1" w:styleId="3629">
    <w:name w:val="贾伦表头"/>
    <w:basedOn w:val="1"/>
    <w:qFormat/>
    <w:uiPriority w:val="99"/>
    <w:pPr>
      <w:snapToGrid w:val="0"/>
      <w:jc w:val="center"/>
    </w:pPr>
    <w:rPr>
      <w:rFonts w:ascii="黑体" w:hAnsi="宋体"/>
      <w:b/>
      <w:bCs/>
      <w:color w:val="000000"/>
      <w:spacing w:val="-8"/>
      <w:sz w:val="24"/>
      <w:lang w:val="zh-CN"/>
    </w:rPr>
  </w:style>
  <w:style w:type="paragraph" w:customStyle="1" w:styleId="3630">
    <w:name w:val="样式 标题 1 + 小四"/>
    <w:basedOn w:val="3"/>
    <w:qFormat/>
    <w:uiPriority w:val="0"/>
    <w:pPr>
      <w:keepNext w:val="0"/>
      <w:pageBreakBefore/>
      <w:adjustRightInd w:val="0"/>
      <w:snapToGrid w:val="0"/>
      <w:spacing w:before="120" w:after="120" w:line="360" w:lineRule="auto"/>
      <w:jc w:val="center"/>
    </w:pPr>
    <w:rPr>
      <w:spacing w:val="20"/>
      <w:kern w:val="28"/>
      <w:sz w:val="28"/>
      <w:szCs w:val="32"/>
    </w:rPr>
  </w:style>
  <w:style w:type="paragraph" w:customStyle="1" w:styleId="3631">
    <w:name w:val="666666-表下注释"/>
    <w:qFormat/>
    <w:uiPriority w:val="99"/>
    <w:pPr>
      <w:spacing w:beforeLines="50"/>
      <w:ind w:firstLine="200" w:firstLineChars="200"/>
    </w:pPr>
    <w:rPr>
      <w:rFonts w:ascii="Calibri" w:hAnsi="Calibri" w:eastAsia="黑体" w:cs="Times New Roman"/>
      <w:kern w:val="2"/>
      <w:sz w:val="18"/>
      <w:szCs w:val="18"/>
      <w:lang w:val="en-US" w:eastAsia="zh-CN" w:bidi="ar-SA"/>
    </w:rPr>
  </w:style>
  <w:style w:type="paragraph" w:customStyle="1" w:styleId="3632">
    <w:name w:val="Char Char Char Char Char2 Char Char Char Char"/>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633">
    <w:name w:val="對照的條"/>
    <w:basedOn w:val="1"/>
    <w:qFormat/>
    <w:uiPriority w:val="99"/>
    <w:pPr>
      <w:adjustRightInd w:val="0"/>
      <w:snapToGrid w:val="0"/>
      <w:spacing w:line="300" w:lineRule="auto"/>
      <w:ind w:left="1627" w:hanging="1627"/>
      <w:textAlignment w:val="baseline"/>
    </w:pPr>
    <w:rPr>
      <w:rFonts w:ascii="DFKai-SB" w:hAnsi="DFKai-SB" w:eastAsia="DFKai-SB"/>
      <w:snapToGrid w:val="0"/>
      <w:color w:val="000000"/>
      <w:kern w:val="0"/>
      <w:sz w:val="32"/>
      <w:szCs w:val="20"/>
      <w:lang w:eastAsia="zh-TW"/>
    </w:rPr>
  </w:style>
  <w:style w:type="paragraph" w:customStyle="1" w:styleId="3634">
    <w:name w:val="我的正文 Char Char"/>
    <w:basedOn w:val="1"/>
    <w:qFormat/>
    <w:uiPriority w:val="99"/>
    <w:pPr>
      <w:spacing w:line="360" w:lineRule="auto"/>
      <w:ind w:firstLine="200" w:firstLineChars="200"/>
    </w:pPr>
    <w:rPr>
      <w:rFonts w:ascii="Calibri" w:hAnsi="Calibri"/>
      <w:sz w:val="24"/>
    </w:rPr>
  </w:style>
  <w:style w:type="paragraph" w:customStyle="1" w:styleId="3635">
    <w:name w:val="Achievement"/>
    <w:basedOn w:val="1"/>
    <w:qFormat/>
    <w:uiPriority w:val="0"/>
    <w:pPr>
      <w:tabs>
        <w:tab w:val="left" w:pos="2040"/>
      </w:tabs>
      <w:spacing w:line="440" w:lineRule="exact"/>
      <w:ind w:left="2040" w:leftChars="800" w:hanging="360" w:hangingChars="200"/>
    </w:pPr>
    <w:rPr>
      <w:rFonts w:ascii="Calibri" w:hAnsi="Calibri"/>
      <w:szCs w:val="20"/>
    </w:rPr>
  </w:style>
  <w:style w:type="paragraph" w:customStyle="1" w:styleId="3636">
    <w:name w:val="贾伦标题1"/>
    <w:basedOn w:val="3"/>
    <w:qFormat/>
    <w:uiPriority w:val="99"/>
    <w:pPr>
      <w:tabs>
        <w:tab w:val="left" w:pos="425"/>
      </w:tabs>
      <w:adjustRightInd w:val="0"/>
      <w:snapToGrid w:val="0"/>
      <w:spacing w:before="0" w:after="0" w:line="360" w:lineRule="auto"/>
    </w:pPr>
    <w:rPr>
      <w:rFonts w:ascii="Calibri" w:hAnsi="Calibri"/>
      <w:sz w:val="32"/>
    </w:rPr>
  </w:style>
  <w:style w:type="paragraph" w:customStyle="1" w:styleId="3637">
    <w:name w:val="列表段落1"/>
    <w:basedOn w:val="1"/>
    <w:qFormat/>
    <w:uiPriority w:val="0"/>
    <w:pPr>
      <w:spacing w:line="300" w:lineRule="auto"/>
      <w:ind w:firstLine="420" w:firstLineChars="200"/>
    </w:pPr>
    <w:rPr>
      <w:rFonts w:ascii="Calibri" w:hAnsi="Calibri"/>
      <w:szCs w:val="22"/>
    </w:rPr>
  </w:style>
  <w:style w:type="paragraph" w:customStyle="1" w:styleId="3638">
    <w:name w:val="正文5"/>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 w:type="paragraph" w:customStyle="1" w:styleId="3639">
    <w:name w:val="Char Char Char1 Char Char Char Char"/>
    <w:basedOn w:val="1"/>
    <w:next w:val="1"/>
    <w:qFormat/>
    <w:uiPriority w:val="0"/>
    <w:pPr>
      <w:spacing w:line="360" w:lineRule="auto"/>
      <w:ind w:firstLine="200" w:firstLineChars="200"/>
    </w:pPr>
    <w:rPr>
      <w:rFonts w:ascii="宋体" w:hAnsi="宋体" w:eastAsia="汉鼎简书宋" w:cs="宋体"/>
      <w:sz w:val="24"/>
    </w:rPr>
  </w:style>
  <w:style w:type="paragraph" w:customStyle="1" w:styleId="3640">
    <w:name w:val="90v"/>
    <w:basedOn w:val="1"/>
    <w:qFormat/>
    <w:uiPriority w:val="99"/>
    <w:pPr>
      <w:spacing w:before="100" w:beforeAutospacing="1" w:after="100" w:afterAutospacing="1"/>
    </w:pPr>
    <w:rPr>
      <w:rFonts w:ascii="宋体" w:hAnsi="宋体"/>
      <w:kern w:val="0"/>
      <w:sz w:val="24"/>
    </w:rPr>
  </w:style>
  <w:style w:type="paragraph" w:customStyle="1" w:styleId="3641">
    <w:name w:val="Char Char2 Char Char Char Char Char Char3"/>
    <w:basedOn w:val="1"/>
    <w:qFormat/>
    <w:uiPriority w:val="99"/>
    <w:pPr>
      <w:spacing w:line="360" w:lineRule="auto"/>
    </w:pPr>
    <w:rPr>
      <w:rFonts w:ascii="宋体" w:hAnsi="宋体"/>
      <w:sz w:val="22"/>
    </w:rPr>
  </w:style>
  <w:style w:type="paragraph" w:customStyle="1" w:styleId="3642">
    <w:name w:val="Char Char Char Char Char Char Char Char Char1 Char Char Char Char Char Char Char Char Char Char Char Char Char"/>
    <w:basedOn w:val="1"/>
    <w:qFormat/>
    <w:uiPriority w:val="99"/>
    <w:pPr>
      <w:keepLines/>
      <w:snapToGrid w:val="0"/>
      <w:spacing w:before="240" w:after="240" w:line="348" w:lineRule="auto"/>
    </w:pPr>
    <w:rPr>
      <w:rFonts w:ascii="Tahoma" w:hAnsi="Tahoma"/>
      <w:szCs w:val="20"/>
    </w:rPr>
  </w:style>
  <w:style w:type="paragraph" w:customStyle="1" w:styleId="3643">
    <w:name w:val="8.7.1.1"/>
    <w:basedOn w:val="6"/>
    <w:qFormat/>
    <w:uiPriority w:val="99"/>
    <w:pPr>
      <w:adjustRightInd w:val="0"/>
      <w:snapToGrid w:val="0"/>
      <w:spacing w:line="500" w:lineRule="exact"/>
      <w:ind w:left="-482" w:firstLine="936"/>
    </w:pPr>
    <w:rPr>
      <w:rFonts w:ascii="Arial" w:hAnsi="Arial" w:eastAsia="黑体"/>
      <w:b w:val="0"/>
      <w:color w:val="000000"/>
      <w:sz w:val="28"/>
      <w:szCs w:val="28"/>
    </w:rPr>
  </w:style>
  <w:style w:type="paragraph" w:customStyle="1" w:styleId="3644">
    <w:name w:val="样式 表内容 + 右 右  1.63 字符"/>
    <w:basedOn w:val="1230"/>
    <w:qFormat/>
    <w:uiPriority w:val="99"/>
    <w:pPr>
      <w:snapToGrid w:val="0"/>
      <w:spacing w:line="240" w:lineRule="auto"/>
      <w:ind w:right="150" w:rightChars="150"/>
      <w:jc w:val="right"/>
    </w:pPr>
    <w:rPr>
      <w:rFonts w:ascii="仿宋_GB2312" w:hAnsiTheme="minorHAnsi" w:eastAsiaTheme="minorEastAsia"/>
      <w:color w:val="auto"/>
      <w:spacing w:val="-10"/>
      <w:w w:val="90"/>
      <w:sz w:val="21"/>
    </w:rPr>
  </w:style>
  <w:style w:type="paragraph" w:customStyle="1" w:styleId="3645">
    <w:name w:val="样式 首行缩进:  1.01 厘米"/>
    <w:basedOn w:val="1"/>
    <w:qFormat/>
    <w:uiPriority w:val="0"/>
    <w:pPr>
      <w:spacing w:line="500" w:lineRule="exact"/>
      <w:ind w:firstLine="570"/>
    </w:pPr>
    <w:rPr>
      <w:rFonts w:ascii="Calibri" w:hAnsi="Calibri" w:cs="宋体"/>
      <w:kern w:val="28"/>
      <w:sz w:val="28"/>
      <w:szCs w:val="20"/>
    </w:rPr>
  </w:style>
  <w:style w:type="paragraph" w:customStyle="1" w:styleId="3646">
    <w:name w:val="贾伦 标题1"/>
    <w:basedOn w:val="3"/>
    <w:qFormat/>
    <w:uiPriority w:val="99"/>
    <w:pPr>
      <w:numPr>
        <w:ilvl w:val="0"/>
        <w:numId w:val="12"/>
      </w:numPr>
      <w:tabs>
        <w:tab w:val="left" w:pos="425"/>
        <w:tab w:val="clear" w:pos="1920"/>
      </w:tabs>
      <w:adjustRightInd w:val="0"/>
      <w:snapToGrid w:val="0"/>
      <w:spacing w:before="0" w:after="0" w:line="360" w:lineRule="auto"/>
      <w:ind w:left="0" w:firstLine="0"/>
    </w:pPr>
    <w:rPr>
      <w:rFonts w:ascii="Calibri" w:hAnsi="Calibri"/>
      <w:sz w:val="32"/>
    </w:rPr>
  </w:style>
  <w:style w:type="paragraph" w:customStyle="1" w:styleId="3647">
    <w:name w:val="填表内容"/>
    <w:basedOn w:val="1"/>
    <w:qFormat/>
    <w:uiPriority w:val="0"/>
    <w:pPr>
      <w:adjustRightInd w:val="0"/>
      <w:spacing w:line="480" w:lineRule="exact"/>
      <w:ind w:firstLine="560" w:firstLineChars="200"/>
      <w:textAlignment w:val="baseline"/>
    </w:pPr>
    <w:rPr>
      <w:rFonts w:ascii="楷体_GB2312" w:hAnsi="Calibri" w:eastAsia="楷体_GB2312"/>
      <w:sz w:val="28"/>
      <w:szCs w:val="20"/>
    </w:rPr>
  </w:style>
  <w:style w:type="paragraph" w:customStyle="1" w:styleId="3648">
    <w:name w:val="贾伦 标题2"/>
    <w:basedOn w:val="4"/>
    <w:qFormat/>
    <w:uiPriority w:val="99"/>
    <w:pPr>
      <w:tabs>
        <w:tab w:val="left" w:pos="567"/>
      </w:tabs>
      <w:spacing w:before="0" w:after="0" w:line="360" w:lineRule="auto"/>
    </w:pPr>
    <w:rPr>
      <w:rFonts w:ascii="Cambria" w:hAnsi="Cambria" w:eastAsia="宋体"/>
      <w:sz w:val="30"/>
    </w:rPr>
  </w:style>
  <w:style w:type="paragraph" w:customStyle="1" w:styleId="3649">
    <w:name w:val="表格后"/>
    <w:basedOn w:val="1"/>
    <w:next w:val="1"/>
    <w:qFormat/>
    <w:uiPriority w:val="99"/>
    <w:pPr>
      <w:spacing w:before="156" w:beforeLines="50" w:line="360" w:lineRule="auto"/>
      <w:ind w:firstLine="200" w:firstLineChars="200"/>
    </w:pPr>
    <w:rPr>
      <w:rFonts w:ascii="Calibri" w:hAnsi="Calibri"/>
      <w:sz w:val="24"/>
    </w:rPr>
  </w:style>
  <w:style w:type="paragraph" w:customStyle="1" w:styleId="3650">
    <w:name w:val="样式 表格 + 居中"/>
    <w:basedOn w:val="1"/>
    <w:qFormat/>
    <w:uiPriority w:val="0"/>
    <w:pPr>
      <w:kinsoku w:val="0"/>
      <w:overflowPunct w:val="0"/>
      <w:adjustRightInd w:val="0"/>
      <w:snapToGrid w:val="0"/>
      <w:jc w:val="center"/>
    </w:pPr>
    <w:rPr>
      <w:rFonts w:ascii="Calibri" w:hAnsi="Calibri"/>
      <w:snapToGrid w:val="0"/>
      <w:color w:val="000000"/>
      <w:kern w:val="0"/>
      <w:sz w:val="24"/>
    </w:rPr>
  </w:style>
  <w:style w:type="paragraph" w:customStyle="1" w:styleId="3651">
    <w:name w:val="内文"/>
    <w:qFormat/>
    <w:uiPriority w:val="99"/>
    <w:pPr>
      <w:widowControl w:val="0"/>
      <w:autoSpaceDE w:val="0"/>
      <w:autoSpaceDN w:val="0"/>
      <w:adjustRightInd w:val="0"/>
      <w:spacing w:line="480" w:lineRule="atLeast"/>
      <w:ind w:firstLine="454"/>
      <w:jc w:val="both"/>
    </w:pPr>
    <w:rPr>
      <w:rFonts w:ascii="方正黑体简体" w:hAnsi="Calibri" w:eastAsia="方正黑体简体" w:cs="Times New Roman"/>
      <w:color w:val="000000"/>
      <w:szCs w:val="24"/>
      <w:lang w:val="en-US" w:eastAsia="zh-CN" w:bidi="ar-SA"/>
    </w:rPr>
  </w:style>
  <w:style w:type="paragraph" w:customStyle="1" w:styleId="3652">
    <w:name w:val="收信人地址1"/>
    <w:basedOn w:val="1"/>
    <w:qFormat/>
    <w:uiPriority w:val="99"/>
    <w:pPr>
      <w:snapToGrid w:val="0"/>
      <w:ind w:left="100" w:leftChars="1400"/>
    </w:pPr>
    <w:rPr>
      <w:rFonts w:ascii="Arial" w:hAnsi="Arial" w:cs="Arial"/>
      <w:sz w:val="24"/>
    </w:rPr>
  </w:style>
  <w:style w:type="paragraph" w:customStyle="1" w:styleId="3653">
    <w:name w:val="Char Char21 Char Char"/>
    <w:basedOn w:val="1"/>
    <w:qFormat/>
    <w:uiPriority w:val="99"/>
    <w:rPr>
      <w:rFonts w:ascii="Tahoma" w:hAnsi="Tahoma"/>
      <w:sz w:val="24"/>
      <w:szCs w:val="20"/>
    </w:rPr>
  </w:style>
  <w:style w:type="paragraph" w:customStyle="1" w:styleId="3654">
    <w:name w:val="Char Char21 Char Char4"/>
    <w:basedOn w:val="1"/>
    <w:qFormat/>
    <w:uiPriority w:val="99"/>
    <w:rPr>
      <w:rFonts w:ascii="Tahoma" w:hAnsi="Tahoma"/>
      <w:sz w:val="24"/>
      <w:szCs w:val="20"/>
    </w:rPr>
  </w:style>
  <w:style w:type="paragraph" w:customStyle="1" w:styleId="3655">
    <w:name w:val="8.7图"/>
    <w:basedOn w:val="1"/>
    <w:qFormat/>
    <w:uiPriority w:val="99"/>
    <w:pPr>
      <w:jc w:val="center"/>
    </w:pPr>
    <w:rPr>
      <w:rFonts w:ascii="Calibri" w:hAnsi="Calibri" w:cs="宋体"/>
      <w:b/>
      <w:bCs/>
      <w:sz w:val="28"/>
      <w:szCs w:val="20"/>
    </w:rPr>
  </w:style>
  <w:style w:type="paragraph" w:customStyle="1" w:styleId="3656">
    <w:name w:val="Char19"/>
    <w:basedOn w:val="1"/>
    <w:qFormat/>
    <w:uiPriority w:val="99"/>
    <w:pPr>
      <w:spacing w:line="540" w:lineRule="exact"/>
    </w:pPr>
    <w:rPr>
      <w:rFonts w:ascii="Calibri" w:hAnsi="Calibri"/>
      <w:sz w:val="24"/>
      <w:szCs w:val="20"/>
    </w:rPr>
  </w:style>
  <w:style w:type="paragraph" w:customStyle="1" w:styleId="3657">
    <w:name w:val="样式 五号 黑色 行距: 多倍行距 1.4 字行"/>
    <w:basedOn w:val="1"/>
    <w:qFormat/>
    <w:uiPriority w:val="99"/>
    <w:pPr>
      <w:spacing w:line="336" w:lineRule="auto"/>
    </w:pPr>
    <w:rPr>
      <w:rFonts w:ascii="Calibri" w:hAnsi="Calibri" w:cs="宋体"/>
      <w:szCs w:val="21"/>
    </w:rPr>
  </w:style>
  <w:style w:type="paragraph" w:customStyle="1" w:styleId="3658">
    <w:name w:val="Char Char Char Char Char Char Char Char Char Char11"/>
    <w:basedOn w:val="1"/>
    <w:semiHidden/>
    <w:qFormat/>
    <w:uiPriority w:val="99"/>
    <w:pPr>
      <w:spacing w:line="360" w:lineRule="auto"/>
      <w:ind w:firstLine="200" w:firstLineChars="200"/>
    </w:pPr>
    <w:rPr>
      <w:rFonts w:ascii="Calibri" w:hAnsi="Calibri"/>
      <w:sz w:val="24"/>
      <w:szCs w:val="20"/>
    </w:rPr>
  </w:style>
  <w:style w:type="paragraph" w:customStyle="1" w:styleId="3659">
    <w:name w:val="标题 33"/>
    <w:basedOn w:val="3567"/>
    <w:qFormat/>
    <w:uiPriority w:val="99"/>
    <w:pPr>
      <w:spacing w:before="60" w:after="60" w:line="312" w:lineRule="auto"/>
      <w:ind w:firstLine="601"/>
      <w:textAlignment w:val="baseline"/>
    </w:pPr>
    <w:rPr>
      <w:rFonts w:hint="eastAsia"/>
      <w:b w:val="0"/>
      <w:sz w:val="28"/>
    </w:rPr>
  </w:style>
  <w:style w:type="paragraph" w:customStyle="1" w:styleId="3660">
    <w:name w:val="基准页脚样式"/>
    <w:basedOn w:val="34"/>
    <w:qFormat/>
    <w:uiPriority w:val="0"/>
    <w:pPr>
      <w:spacing w:line="300" w:lineRule="exact"/>
      <w:jc w:val="center"/>
    </w:pPr>
    <w:rPr>
      <w:rFonts w:ascii="宋体" w:hAnsi="宋体"/>
      <w:color w:val="000000"/>
    </w:rPr>
  </w:style>
  <w:style w:type="paragraph" w:customStyle="1" w:styleId="3661">
    <w:name w:val="无间隔11"/>
    <w:qFormat/>
    <w:uiPriority w:val="1"/>
    <w:pPr>
      <w:widowControl w:val="0"/>
      <w:ind w:firstLine="200" w:firstLineChars="200"/>
      <w:jc w:val="both"/>
    </w:pPr>
    <w:rPr>
      <w:rFonts w:ascii="Cambria" w:hAnsi="Cambria" w:cs="黑体" w:eastAsiaTheme="minorEastAsia"/>
      <w:kern w:val="2"/>
      <w:sz w:val="28"/>
      <w:szCs w:val="22"/>
      <w:lang w:val="en-US" w:eastAsia="en-US" w:bidi="en-US"/>
    </w:rPr>
  </w:style>
  <w:style w:type="paragraph" w:customStyle="1" w:styleId="3662">
    <w:name w:val="索引 11"/>
    <w:basedOn w:val="1"/>
    <w:next w:val="1"/>
    <w:qFormat/>
    <w:uiPriority w:val="0"/>
    <w:pPr>
      <w:spacing w:line="360" w:lineRule="auto"/>
      <w:ind w:firstLine="480"/>
    </w:pPr>
    <w:rPr>
      <w:rFonts w:ascii="Calibri" w:hAnsi="Calibri"/>
      <w:sz w:val="24"/>
    </w:rPr>
  </w:style>
  <w:style w:type="paragraph" w:customStyle="1" w:styleId="3663">
    <w:name w:val="样式 标题 3 + 宋体"/>
    <w:basedOn w:val="5"/>
    <w:qFormat/>
    <w:uiPriority w:val="0"/>
    <w:pPr>
      <w:tabs>
        <w:tab w:val="left" w:pos="709"/>
      </w:tabs>
      <w:adjustRightInd w:val="0"/>
      <w:snapToGrid w:val="0"/>
      <w:spacing w:before="0" w:after="0" w:line="360" w:lineRule="auto"/>
      <w:ind w:left="720" w:hanging="432"/>
    </w:pPr>
    <w:rPr>
      <w:rFonts w:ascii="Calibri" w:hAnsi="Calibri"/>
      <w:sz w:val="28"/>
    </w:rPr>
  </w:style>
  <w:style w:type="paragraph" w:customStyle="1" w:styleId="3664">
    <w:name w:val="Char Char1 Char6"/>
    <w:basedOn w:val="1"/>
    <w:qFormat/>
    <w:uiPriority w:val="99"/>
    <w:rPr>
      <w:rFonts w:ascii="Calibri" w:hAnsi="Calibri"/>
    </w:rPr>
  </w:style>
  <w:style w:type="paragraph" w:customStyle="1" w:styleId="3665">
    <w:name w:val="小圈序列"/>
    <w:basedOn w:val="1"/>
    <w:qFormat/>
    <w:uiPriority w:val="99"/>
    <w:pPr>
      <w:spacing w:line="300" w:lineRule="auto"/>
      <w:ind w:left="560"/>
    </w:pPr>
    <w:rPr>
      <w:rFonts w:ascii="Calibri" w:hAnsi="Calibri" w:cs="宋体"/>
      <w:sz w:val="28"/>
      <w:szCs w:val="28"/>
    </w:rPr>
  </w:style>
  <w:style w:type="paragraph" w:customStyle="1" w:styleId="3666">
    <w:name w:val="奉读大示，心折殊深。"/>
    <w:qFormat/>
    <w:uiPriority w:val="0"/>
    <w:pPr>
      <w:widowControl w:val="0"/>
      <w:jc w:val="both"/>
    </w:pPr>
    <w:rPr>
      <w:rFonts w:ascii="Calibri" w:hAnsi="Calibri" w:eastAsia="宋体" w:cs="Times New Roman"/>
      <w:kern w:val="2"/>
      <w:sz w:val="21"/>
      <w:lang w:val="en-US" w:eastAsia="zh-CN" w:bidi="ar-SA"/>
    </w:rPr>
  </w:style>
  <w:style w:type="paragraph" w:customStyle="1" w:styleId="3667">
    <w:name w:val="注："/>
    <w:next w:val="6"/>
    <w:qFormat/>
    <w:uiPriority w:val="0"/>
    <w:pPr>
      <w:widowControl w:val="0"/>
      <w:autoSpaceDE w:val="0"/>
      <w:autoSpaceDN w:val="0"/>
      <w:ind w:left="840" w:hanging="420"/>
      <w:jc w:val="both"/>
    </w:pPr>
    <w:rPr>
      <w:rFonts w:ascii="宋体" w:hAnsi="Calibri" w:eastAsia="宋体" w:cs="Times New Roman"/>
      <w:sz w:val="18"/>
      <w:lang w:val="en-US" w:eastAsia="zh-CN" w:bidi="ar-SA"/>
    </w:rPr>
  </w:style>
  <w:style w:type="paragraph" w:customStyle="1" w:styleId="3668">
    <w:name w:val="style15"/>
    <w:basedOn w:val="1"/>
    <w:qFormat/>
    <w:uiPriority w:val="99"/>
    <w:pPr>
      <w:spacing w:before="100" w:beforeAutospacing="1" w:after="100" w:afterAutospacing="1" w:line="330" w:lineRule="atLeast"/>
    </w:pPr>
    <w:rPr>
      <w:rFonts w:hint="eastAsia" w:ascii="宋体" w:hAnsi="宋体"/>
      <w:szCs w:val="20"/>
    </w:rPr>
  </w:style>
  <w:style w:type="paragraph" w:customStyle="1" w:styleId="3669">
    <w:name w:val="标题9"/>
    <w:next w:val="1"/>
    <w:qFormat/>
    <w:uiPriority w:val="99"/>
    <w:pPr>
      <w:adjustRightInd w:val="0"/>
      <w:snapToGrid w:val="0"/>
      <w:spacing w:line="312" w:lineRule="auto"/>
      <w:jc w:val="center"/>
    </w:pPr>
    <w:rPr>
      <w:rFonts w:ascii="Calibri" w:hAnsi="Calibri" w:eastAsia="黑体" w:cs="Times New Roman"/>
      <w:sz w:val="18"/>
      <w:lang w:val="en-US" w:eastAsia="zh-CN" w:bidi="ar-SA"/>
    </w:rPr>
  </w:style>
  <w:style w:type="paragraph" w:customStyle="1" w:styleId="3670">
    <w:name w:val="列表接续 21"/>
    <w:basedOn w:val="1"/>
    <w:qFormat/>
    <w:uiPriority w:val="99"/>
    <w:pPr>
      <w:spacing w:after="120"/>
      <w:ind w:left="840" w:leftChars="400"/>
    </w:pPr>
    <w:rPr>
      <w:rFonts w:ascii="Calibri" w:hAnsi="Calibri"/>
    </w:rPr>
  </w:style>
  <w:style w:type="paragraph" w:customStyle="1" w:styleId="3671">
    <w:name w:val="表说明"/>
    <w:basedOn w:val="273"/>
    <w:qFormat/>
    <w:uiPriority w:val="99"/>
    <w:pPr>
      <w:suppressAutoHyphens/>
      <w:autoSpaceDE w:val="0"/>
      <w:adjustRightInd/>
      <w:snapToGrid/>
      <w:spacing w:before="120" w:after="60" w:line="400" w:lineRule="exact"/>
      <w:ind w:firstLine="200" w:firstLineChars="200"/>
      <w:jc w:val="left"/>
    </w:pPr>
    <w:rPr>
      <w:rFonts w:hAnsiTheme="minorHAnsi" w:cstheme="minorBidi"/>
      <w:spacing w:val="0"/>
      <w:szCs w:val="22"/>
      <w:lang w:val="en-US"/>
    </w:rPr>
  </w:style>
  <w:style w:type="paragraph" w:customStyle="1" w:styleId="3672">
    <w:name w:val="框图文字1"/>
    <w:basedOn w:val="1"/>
    <w:qFormat/>
    <w:uiPriority w:val="0"/>
    <w:pPr>
      <w:adjustRightInd w:val="0"/>
      <w:snapToGrid w:val="0"/>
      <w:spacing w:beforeLines="25"/>
      <w:jc w:val="center"/>
    </w:pPr>
    <w:rPr>
      <w:rFonts w:ascii="宋体" w:hAnsi="宋体"/>
      <w:szCs w:val="21"/>
    </w:rPr>
  </w:style>
  <w:style w:type="paragraph" w:customStyle="1" w:styleId="3673">
    <w:name w:val="Char1 Char Char Char Char Char1 Char Char Char Char Char Char Char"/>
    <w:basedOn w:val="1"/>
    <w:qFormat/>
    <w:uiPriority w:val="99"/>
    <w:pPr>
      <w:adjustRightInd w:val="0"/>
      <w:snapToGrid w:val="0"/>
      <w:spacing w:line="360" w:lineRule="auto"/>
    </w:pPr>
    <w:rPr>
      <w:rFonts w:ascii="宋体" w:hAnsi="宋体" w:cs="宋体"/>
      <w:sz w:val="24"/>
    </w:rPr>
  </w:style>
  <w:style w:type="paragraph" w:customStyle="1" w:styleId="3674">
    <w:name w:val="_Style 5"/>
    <w:basedOn w:val="1"/>
    <w:next w:val="51"/>
    <w:qFormat/>
    <w:uiPriority w:val="1"/>
    <w:pPr>
      <w:tabs>
        <w:tab w:val="left" w:pos="360"/>
        <w:tab w:val="left" w:pos="540"/>
      </w:tabs>
      <w:spacing w:line="440" w:lineRule="exact"/>
      <w:ind w:firstLine="200" w:firstLineChars="200"/>
    </w:pPr>
    <w:rPr>
      <w:rFonts w:ascii="Calibri" w:hAnsi="Calibri"/>
      <w:kern w:val="10"/>
      <w:sz w:val="24"/>
      <w:szCs w:val="20"/>
    </w:rPr>
  </w:style>
  <w:style w:type="paragraph" w:customStyle="1" w:styleId="3675">
    <w:name w:val="3字符"/>
    <w:basedOn w:val="1"/>
    <w:qFormat/>
    <w:uiPriority w:val="99"/>
    <w:pPr>
      <w:spacing w:line="500" w:lineRule="exact"/>
      <w:ind w:left="561" w:firstLine="100" w:firstLineChars="100"/>
    </w:pPr>
    <w:rPr>
      <w:rFonts w:ascii="Calibri" w:hAnsi="Calibri"/>
      <w:sz w:val="28"/>
      <w:szCs w:val="28"/>
    </w:rPr>
  </w:style>
  <w:style w:type="paragraph" w:customStyle="1" w:styleId="3676">
    <w:name w:val="环保篇"/>
    <w:basedOn w:val="1"/>
    <w:next w:val="1"/>
    <w:qFormat/>
    <w:uiPriority w:val="0"/>
    <w:pPr>
      <w:spacing w:line="360" w:lineRule="auto"/>
      <w:ind w:firstLine="200" w:firstLineChars="200"/>
    </w:pPr>
    <w:rPr>
      <w:rFonts w:ascii="Calibri" w:hAnsi="Calibri"/>
      <w:sz w:val="28"/>
      <w:szCs w:val="28"/>
    </w:rPr>
  </w:style>
  <w:style w:type="paragraph" w:customStyle="1" w:styleId="3677">
    <w:name w:val="s16qcsl240slmult0nowidct"/>
    <w:qFormat/>
    <w:uiPriority w:val="99"/>
    <w:pPr>
      <w:widowControl w:val="0"/>
      <w:adjustRightInd w:val="0"/>
    </w:pPr>
    <w:rPr>
      <w:rFonts w:ascii="Calibri" w:hAnsi="Calibri" w:eastAsia="宋体" w:cs="Times New Roman"/>
      <w:sz w:val="21"/>
      <w:lang w:val="en-US" w:eastAsia="zh-CN" w:bidi="ar-SA"/>
    </w:rPr>
  </w:style>
  <w:style w:type="paragraph" w:customStyle="1" w:styleId="3678">
    <w:name w:val="Char Char5 Char Char Char Char Char Char Char"/>
    <w:basedOn w:val="1"/>
    <w:next w:val="1"/>
    <w:qFormat/>
    <w:uiPriority w:val="99"/>
    <w:pPr>
      <w:ind w:firstLine="420" w:firstLineChars="200"/>
    </w:pPr>
    <w:rPr>
      <w:rFonts w:ascii="宋体" w:hAnsi="宋体" w:cs="宋体"/>
      <w:szCs w:val="21"/>
    </w:rPr>
  </w:style>
  <w:style w:type="paragraph" w:customStyle="1" w:styleId="3679">
    <w:name w:val="正文1 Char Char Char"/>
    <w:basedOn w:val="1"/>
    <w:qFormat/>
    <w:uiPriority w:val="99"/>
    <w:pPr>
      <w:spacing w:line="560" w:lineRule="exact"/>
      <w:ind w:firstLine="200" w:firstLineChars="200"/>
    </w:pPr>
    <w:rPr>
      <w:rFonts w:ascii="宋体" w:hAnsi="宋体" w:cs="宋体"/>
      <w:sz w:val="24"/>
    </w:rPr>
  </w:style>
  <w:style w:type="paragraph" w:customStyle="1" w:styleId="3680">
    <w:name w:val="Char Char41 Char Char Char Char2"/>
    <w:basedOn w:val="1"/>
    <w:qFormat/>
    <w:uiPriority w:val="99"/>
    <w:rPr>
      <w:rFonts w:ascii="Tahoma" w:hAnsi="Tahoma"/>
      <w:sz w:val="24"/>
      <w:szCs w:val="20"/>
    </w:rPr>
  </w:style>
  <w:style w:type="paragraph" w:customStyle="1" w:styleId="3681">
    <w:name w:val="标题06"/>
    <w:basedOn w:val="1"/>
    <w:qFormat/>
    <w:uiPriority w:val="99"/>
    <w:pPr>
      <w:adjustRightInd w:val="0"/>
      <w:spacing w:before="2040" w:line="400" w:lineRule="atLeast"/>
      <w:textAlignment w:val="baseline"/>
    </w:pPr>
    <w:rPr>
      <w:rFonts w:ascii="Calibri" w:hAnsi="Calibri" w:eastAsia="黑体"/>
      <w:spacing w:val="10"/>
      <w:kern w:val="0"/>
      <w:sz w:val="28"/>
      <w:szCs w:val="20"/>
    </w:rPr>
  </w:style>
  <w:style w:type="paragraph" w:customStyle="1" w:styleId="3682">
    <w:name w:val="正文文本 35"/>
    <w:basedOn w:val="1"/>
    <w:qFormat/>
    <w:uiPriority w:val="99"/>
    <w:pPr>
      <w:adjustRightInd w:val="0"/>
      <w:spacing w:line="360" w:lineRule="atLeast"/>
      <w:jc w:val="center"/>
      <w:textAlignment w:val="baseline"/>
    </w:pPr>
    <w:rPr>
      <w:rFonts w:ascii="仿宋体" w:hAnsi="宋体" w:eastAsia="仿宋体"/>
      <w:kern w:val="0"/>
      <w:sz w:val="24"/>
      <w:szCs w:val="20"/>
    </w:rPr>
  </w:style>
  <w:style w:type="paragraph" w:customStyle="1" w:styleId="3683">
    <w:name w:val="ABCD"/>
    <w:basedOn w:val="1"/>
    <w:qFormat/>
    <w:uiPriority w:val="99"/>
    <w:pPr>
      <w:tabs>
        <w:tab w:val="left" w:pos="840"/>
      </w:tabs>
      <w:spacing w:line="300" w:lineRule="auto"/>
      <w:ind w:left="840" w:firstLine="67"/>
    </w:pPr>
    <w:rPr>
      <w:rFonts w:ascii="Calibri" w:hAnsi="Calibri"/>
      <w:sz w:val="28"/>
    </w:rPr>
  </w:style>
  <w:style w:type="paragraph" w:customStyle="1" w:styleId="3684">
    <w:name w:val="hb3"/>
    <w:basedOn w:val="5"/>
    <w:qFormat/>
    <w:uiPriority w:val="0"/>
    <w:pPr>
      <w:adjustRightInd w:val="0"/>
      <w:snapToGrid w:val="0"/>
      <w:spacing w:before="0" w:after="0" w:line="240" w:lineRule="auto"/>
    </w:pPr>
    <w:rPr>
      <w:rFonts w:ascii="宋体" w:hAnsi="宋体"/>
      <w:bCs w:val="0"/>
      <w:kern w:val="0"/>
      <w:sz w:val="24"/>
    </w:rPr>
  </w:style>
  <w:style w:type="paragraph" w:customStyle="1" w:styleId="3685">
    <w:name w:val="表后空行"/>
    <w:basedOn w:val="1"/>
    <w:qFormat/>
    <w:uiPriority w:val="0"/>
    <w:pPr>
      <w:overflowPunct w:val="0"/>
      <w:adjustRightInd w:val="0"/>
      <w:ind w:firstLine="200" w:firstLineChars="200"/>
      <w:textAlignment w:val="baseline"/>
    </w:pPr>
    <w:rPr>
      <w:rFonts w:ascii="Calibri" w:hAnsi="Calibri"/>
      <w:kern w:val="28"/>
      <w:sz w:val="10"/>
      <w:szCs w:val="20"/>
    </w:rPr>
  </w:style>
  <w:style w:type="paragraph" w:customStyle="1" w:styleId="3686">
    <w:name w:val="reader-word-layer reader-word-s4-1"/>
    <w:basedOn w:val="1"/>
    <w:qFormat/>
    <w:uiPriority w:val="99"/>
    <w:pPr>
      <w:spacing w:before="100" w:beforeAutospacing="1" w:after="100" w:afterAutospacing="1" w:line="300" w:lineRule="auto"/>
    </w:pPr>
    <w:rPr>
      <w:rFonts w:ascii="宋体" w:hAnsi="宋体" w:cs="宋体"/>
      <w:kern w:val="0"/>
      <w:sz w:val="24"/>
    </w:rPr>
  </w:style>
  <w:style w:type="paragraph" w:customStyle="1" w:styleId="3687">
    <w:name w:val="普通(网站)1"/>
    <w:basedOn w:val="1"/>
    <w:qFormat/>
    <w:uiPriority w:val="0"/>
    <w:pPr>
      <w:spacing w:before="100" w:beforeAutospacing="1" w:after="100" w:afterAutospacing="1"/>
    </w:pPr>
    <w:rPr>
      <w:rFonts w:hint="eastAsia" w:ascii="宋体" w:hAnsi="宋体"/>
      <w:sz w:val="24"/>
      <w:szCs w:val="20"/>
    </w:rPr>
  </w:style>
  <w:style w:type="paragraph" w:customStyle="1" w:styleId="3688">
    <w:name w:val="Para Text"/>
    <w:basedOn w:val="1"/>
    <w:qFormat/>
    <w:uiPriority w:val="99"/>
    <w:pPr>
      <w:spacing w:line="360" w:lineRule="auto"/>
      <w:ind w:left="1134"/>
    </w:pPr>
    <w:rPr>
      <w:rFonts w:ascii="Calibri" w:hAnsi="Calibri"/>
      <w:color w:val="000000"/>
      <w:kern w:val="0"/>
      <w:sz w:val="24"/>
      <w:szCs w:val="20"/>
    </w:rPr>
  </w:style>
  <w:style w:type="paragraph" w:customStyle="1" w:styleId="3689">
    <w:name w:val="Char Char Char Char Char Char Char8"/>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690">
    <w:name w:val="首缩"/>
    <w:basedOn w:val="1"/>
    <w:qFormat/>
    <w:uiPriority w:val="99"/>
    <w:pPr>
      <w:adjustRightInd w:val="0"/>
      <w:snapToGrid w:val="0"/>
      <w:spacing w:line="500" w:lineRule="exact"/>
      <w:ind w:firstLine="567"/>
    </w:pPr>
    <w:rPr>
      <w:rFonts w:ascii="仿宋_GB2312" w:hAnsi="Calibri" w:eastAsia="仿宋_GB2312"/>
      <w:snapToGrid w:val="0"/>
      <w:kern w:val="0"/>
      <w:sz w:val="28"/>
      <w:szCs w:val="20"/>
    </w:rPr>
  </w:style>
  <w:style w:type="paragraph" w:customStyle="1" w:styleId="3691">
    <w:name w:val="couv"/>
    <w:basedOn w:val="1"/>
    <w:qFormat/>
    <w:uiPriority w:val="0"/>
    <w:pPr>
      <w:spacing w:before="120" w:after="120"/>
      <w:ind w:firstLine="200" w:firstLineChars="200"/>
      <w:jc w:val="center"/>
    </w:pPr>
    <w:rPr>
      <w:rFonts w:ascii="Calibri" w:hAnsi="Calibri"/>
      <w:b/>
      <w:kern w:val="0"/>
      <w:sz w:val="40"/>
      <w:szCs w:val="20"/>
      <w:lang w:val="en-GB"/>
    </w:rPr>
  </w:style>
  <w:style w:type="paragraph" w:customStyle="1" w:styleId="3692">
    <w:name w:val="12 Char Char Char Char"/>
    <w:basedOn w:val="1"/>
    <w:qFormat/>
    <w:uiPriority w:val="99"/>
    <w:pPr>
      <w:spacing w:line="360" w:lineRule="auto"/>
      <w:ind w:firstLine="200" w:firstLineChars="200"/>
    </w:pPr>
    <w:rPr>
      <w:rFonts w:ascii="宋体" w:hAnsi="宋体"/>
      <w:position w:val="-6"/>
      <w:sz w:val="28"/>
      <w:szCs w:val="20"/>
      <w:u w:val="single"/>
    </w:rPr>
  </w:style>
  <w:style w:type="paragraph" w:customStyle="1" w:styleId="3693">
    <w:name w:val="MG"/>
    <w:basedOn w:val="3"/>
    <w:qFormat/>
    <w:uiPriority w:val="0"/>
    <w:pPr>
      <w:keepLines w:val="0"/>
      <w:tabs>
        <w:tab w:val="left" w:pos="2260"/>
        <w:tab w:val="left" w:pos="2820"/>
        <w:tab w:val="left" w:pos="3420"/>
      </w:tabs>
      <w:adjustRightInd w:val="0"/>
      <w:snapToGrid w:val="0"/>
      <w:spacing w:before="440" w:after="0" w:line="240" w:lineRule="auto"/>
      <w:ind w:left="851" w:right="-28" w:hanging="851"/>
    </w:pPr>
    <w:rPr>
      <w:rFonts w:ascii="Arial" w:hAnsi="Arial"/>
      <w:bCs w:val="0"/>
      <w:kern w:val="0"/>
      <w:sz w:val="22"/>
      <w:szCs w:val="20"/>
      <w:lang w:val="en-GB"/>
    </w:rPr>
  </w:style>
  <w:style w:type="paragraph" w:customStyle="1" w:styleId="3694">
    <w:name w:val="表号 Char"/>
    <w:basedOn w:val="1"/>
    <w:qFormat/>
    <w:uiPriority w:val="99"/>
    <w:pPr>
      <w:snapToGrid w:val="0"/>
      <w:ind w:firstLine="480"/>
    </w:pPr>
    <w:rPr>
      <w:rFonts w:ascii="Calibri" w:hAnsi="Calibri"/>
      <w:kern w:val="32"/>
      <w:sz w:val="24"/>
      <w:szCs w:val="20"/>
    </w:rPr>
  </w:style>
  <w:style w:type="paragraph" w:customStyle="1" w:styleId="3695">
    <w:name w:val="标题41"/>
    <w:basedOn w:val="1"/>
    <w:qFormat/>
    <w:uiPriority w:val="99"/>
    <w:pPr>
      <w:tabs>
        <w:tab w:val="left" w:pos="1960"/>
      </w:tabs>
      <w:spacing w:line="360" w:lineRule="auto"/>
      <w:outlineLvl w:val="0"/>
    </w:pPr>
    <w:rPr>
      <w:rFonts w:ascii="Calibri" w:hAnsi="Calibri"/>
      <w:sz w:val="28"/>
      <w:szCs w:val="20"/>
    </w:rPr>
  </w:style>
  <w:style w:type="paragraph" w:customStyle="1" w:styleId="3696">
    <w:name w:val="reader-word-layer reader-word-s3-8"/>
    <w:basedOn w:val="1"/>
    <w:qFormat/>
    <w:uiPriority w:val="99"/>
    <w:pPr>
      <w:spacing w:before="100" w:beforeAutospacing="1" w:after="100" w:afterAutospacing="1"/>
    </w:pPr>
    <w:rPr>
      <w:rFonts w:ascii="宋体" w:hAnsi="宋体" w:cs="宋体"/>
      <w:kern w:val="0"/>
      <w:sz w:val="24"/>
    </w:rPr>
  </w:style>
  <w:style w:type="paragraph" w:customStyle="1" w:styleId="3697">
    <w:name w:val="目录3"/>
    <w:basedOn w:val="1"/>
    <w:next w:val="1"/>
    <w:qFormat/>
    <w:uiPriority w:val="0"/>
    <w:pPr>
      <w:tabs>
        <w:tab w:val="left" w:leader="dot" w:pos="8492"/>
      </w:tabs>
      <w:spacing w:line="748" w:lineRule="atLeast"/>
      <w:ind w:left="419" w:firstLine="419"/>
    </w:pPr>
    <w:rPr>
      <w:rFonts w:ascii="宋体" w:hAnsi="Calibri"/>
      <w:color w:val="000000"/>
      <w:kern w:val="0"/>
      <w:szCs w:val="20"/>
      <w:u w:color="000000"/>
    </w:rPr>
  </w:style>
  <w:style w:type="paragraph" w:customStyle="1" w:styleId="3698">
    <w:name w:val="钢--1"/>
    <w:qFormat/>
    <w:uiPriority w:val="0"/>
    <w:pPr>
      <w:pageBreakBefore/>
      <w:spacing w:before="1600" w:after="360"/>
      <w:ind w:left="105" w:leftChars="50"/>
      <w:outlineLvl w:val="0"/>
    </w:pPr>
    <w:rPr>
      <w:rFonts w:ascii="Times New Roman" w:hAnsi="Times New Roman" w:eastAsia="宋体" w:cs="Times New Roman"/>
      <w:b/>
      <w:bCs/>
      <w:sz w:val="32"/>
      <w:lang w:val="en-US" w:eastAsia="zh-CN" w:bidi="ar-SA"/>
    </w:rPr>
  </w:style>
  <w:style w:type="paragraph" w:customStyle="1" w:styleId="3699">
    <w:name w:val="钢--正文"/>
    <w:basedOn w:val="1"/>
    <w:qFormat/>
    <w:uiPriority w:val="99"/>
    <w:pPr>
      <w:spacing w:line="520" w:lineRule="exact"/>
      <w:ind w:firstLine="480" w:firstLineChars="200"/>
    </w:pPr>
    <w:rPr>
      <w:rFonts w:ascii="宋体" w:hAnsi="宋体"/>
      <w:sz w:val="24"/>
    </w:rPr>
  </w:style>
  <w:style w:type="paragraph" w:customStyle="1" w:styleId="3700">
    <w:name w:val="列表项目"/>
    <w:basedOn w:val="24"/>
    <w:qFormat/>
    <w:uiPriority w:val="99"/>
    <w:pPr>
      <w:tabs>
        <w:tab w:val="clear" w:pos="360"/>
      </w:tabs>
      <w:spacing w:before="120" w:line="360" w:lineRule="auto"/>
      <w:ind w:left="0" w:firstLine="0" w:firstLineChars="0"/>
      <w:jc w:val="center"/>
      <w:outlineLvl w:val="0"/>
    </w:pPr>
    <w:rPr>
      <w:rFonts w:ascii="Times New Roman" w:hAnsi="Times New Roman" w:eastAsia="宋体"/>
      <w:b/>
      <w:kern w:val="2"/>
      <w:sz w:val="30"/>
    </w:rPr>
  </w:style>
  <w:style w:type="paragraph" w:customStyle="1" w:styleId="3701">
    <w:name w:val="样式 样式 标题 2 + 首行缩进:  2 字符 + 首行缩进:  2 字符"/>
    <w:basedOn w:val="2947"/>
    <w:qFormat/>
    <w:uiPriority w:val="99"/>
    <w:pPr>
      <w:tabs>
        <w:tab w:val="clear" w:pos="360"/>
      </w:tabs>
      <w:spacing w:before="0" w:after="0" w:line="560" w:lineRule="exact"/>
      <w:ind w:left="0" w:firstLine="200"/>
      <w:jc w:val="both"/>
    </w:pPr>
    <w:rPr>
      <w:rFonts w:ascii="楷体_GB2312"/>
      <w:sz w:val="28"/>
    </w:rPr>
  </w:style>
  <w:style w:type="paragraph" w:customStyle="1" w:styleId="3702">
    <w:name w:val="样式 标题 1 + 首行缩进:  2 字符"/>
    <w:basedOn w:val="3"/>
    <w:qFormat/>
    <w:uiPriority w:val="99"/>
    <w:pPr>
      <w:adjustRightInd w:val="0"/>
      <w:snapToGrid w:val="0"/>
      <w:spacing w:before="0" w:after="0" w:line="360" w:lineRule="auto"/>
    </w:pPr>
    <w:rPr>
      <w:rFonts w:ascii="宋体" w:hAnsi="宋体" w:cs="宋体"/>
      <w:color w:val="FF0000"/>
      <w:sz w:val="36"/>
      <w:szCs w:val="20"/>
    </w:rPr>
  </w:style>
  <w:style w:type="paragraph" w:customStyle="1" w:styleId="3703">
    <w:name w:val="样式 样式 首行缩进:  0.99 厘米 + 首行缩进:  2 字符"/>
    <w:basedOn w:val="1"/>
    <w:qFormat/>
    <w:uiPriority w:val="99"/>
    <w:pPr>
      <w:tabs>
        <w:tab w:val="left" w:pos="360"/>
        <w:tab w:val="left" w:pos="900"/>
        <w:tab w:val="left" w:pos="930"/>
      </w:tabs>
      <w:adjustRightInd w:val="0"/>
      <w:snapToGrid w:val="0"/>
      <w:spacing w:line="480" w:lineRule="exact"/>
      <w:ind w:firstLine="480" w:firstLineChars="200"/>
      <w:jc w:val="center"/>
    </w:pPr>
    <w:rPr>
      <w:rFonts w:ascii="宋体" w:hAnsi="宋体"/>
      <w:kern w:val="0"/>
      <w:sz w:val="24"/>
      <w:szCs w:val="20"/>
    </w:rPr>
  </w:style>
  <w:style w:type="paragraph" w:customStyle="1" w:styleId="3704">
    <w:name w:val="C2"/>
    <w:basedOn w:val="1"/>
    <w:qFormat/>
    <w:uiPriority w:val="99"/>
    <w:rPr>
      <w:rFonts w:ascii="Calibri" w:hAnsi="Calibri"/>
      <w:kern w:val="0"/>
      <w:sz w:val="28"/>
      <w:szCs w:val="20"/>
    </w:rPr>
  </w:style>
  <w:style w:type="paragraph" w:customStyle="1" w:styleId="3705">
    <w:name w:val="Char Char21 Char Char Char Char2"/>
    <w:basedOn w:val="1"/>
    <w:qFormat/>
    <w:uiPriority w:val="99"/>
    <w:rPr>
      <w:rFonts w:ascii="Tahoma" w:hAnsi="Tahoma"/>
      <w:sz w:val="24"/>
      <w:szCs w:val="20"/>
    </w:rPr>
  </w:style>
  <w:style w:type="paragraph" w:customStyle="1" w:styleId="3706">
    <w:name w:val="正文_空冷"/>
    <w:basedOn w:val="1"/>
    <w:qFormat/>
    <w:uiPriority w:val="99"/>
    <w:pPr>
      <w:spacing w:line="440" w:lineRule="exact"/>
      <w:ind w:firstLine="200" w:firstLineChars="200"/>
    </w:pPr>
    <w:rPr>
      <w:rFonts w:ascii="Calibri" w:hAnsi="Calibri"/>
      <w:sz w:val="24"/>
      <w:szCs w:val="21"/>
    </w:rPr>
  </w:style>
  <w:style w:type="paragraph" w:customStyle="1" w:styleId="3707">
    <w:name w:val="仿宋体"/>
    <w:basedOn w:val="1"/>
    <w:qFormat/>
    <w:uiPriority w:val="0"/>
    <w:pPr>
      <w:spacing w:line="844" w:lineRule="atLeast"/>
      <w:ind w:firstLine="419"/>
      <w:textAlignment w:val="baseline"/>
    </w:pPr>
    <w:rPr>
      <w:rFonts w:ascii="Calibri" w:hAnsi="Calibri" w:eastAsia="仿宋_GB2312"/>
      <w:color w:val="000000"/>
      <w:kern w:val="0"/>
      <w:sz w:val="31"/>
      <w:szCs w:val="20"/>
      <w:u w:color="000000"/>
    </w:rPr>
  </w:style>
  <w:style w:type="paragraph" w:customStyle="1" w:styleId="3708">
    <w:name w:val="6。表格标题"/>
    <w:basedOn w:val="1"/>
    <w:next w:val="2859"/>
    <w:qFormat/>
    <w:uiPriority w:val="99"/>
    <w:pPr>
      <w:spacing w:line="360" w:lineRule="auto"/>
      <w:jc w:val="center"/>
      <w:textAlignment w:val="baseline"/>
    </w:pPr>
    <w:rPr>
      <w:rFonts w:hint="eastAsia" w:ascii="Calibri" w:hAnsi="Calibri"/>
      <w:b/>
      <w:sz w:val="24"/>
      <w:szCs w:val="20"/>
    </w:rPr>
  </w:style>
  <w:style w:type="paragraph" w:customStyle="1" w:styleId="3709">
    <w:name w:val="_Style 4"/>
    <w:basedOn w:val="1"/>
    <w:qFormat/>
    <w:uiPriority w:val="99"/>
    <w:pPr>
      <w:jc w:val="center"/>
    </w:pPr>
    <w:rPr>
      <w:rFonts w:ascii="Calibri" w:hAnsi="Calibri"/>
    </w:rPr>
  </w:style>
  <w:style w:type="paragraph" w:customStyle="1" w:styleId="3710">
    <w:name w:val="样式 样式 标题 1H1NMP Heading 1一、Head 1wsa1.标题 1章节标题b1heading 1H... + ..."/>
    <w:basedOn w:val="3278"/>
    <w:qFormat/>
    <w:uiPriority w:val="99"/>
    <w:pPr>
      <w:spacing w:before="120" w:after="120"/>
    </w:pPr>
  </w:style>
  <w:style w:type="paragraph" w:customStyle="1" w:styleId="3711">
    <w:name w:val="Char7"/>
    <w:basedOn w:val="1"/>
    <w:next w:val="1"/>
    <w:qFormat/>
    <w:uiPriority w:val="0"/>
    <w:pPr>
      <w:spacing w:line="360" w:lineRule="auto"/>
      <w:ind w:firstLine="200" w:firstLineChars="200"/>
    </w:pPr>
    <w:rPr>
      <w:rFonts w:ascii="宋体" w:hAnsi="宋体" w:eastAsia="汉鼎简书宋" w:cs="宋体"/>
      <w:sz w:val="24"/>
    </w:rPr>
  </w:style>
  <w:style w:type="paragraph" w:customStyle="1" w:styleId="3712">
    <w:name w:val="——"/>
    <w:basedOn w:val="3297"/>
    <w:qFormat/>
    <w:uiPriority w:val="0"/>
    <w:pPr>
      <w:ind w:left="0" w:firstLine="660" w:firstLineChars="300"/>
    </w:pPr>
  </w:style>
  <w:style w:type="paragraph" w:customStyle="1" w:styleId="3713">
    <w:name w:val="Char Char3 Char Char Char Char1"/>
    <w:basedOn w:val="1"/>
    <w:qFormat/>
    <w:uiPriority w:val="99"/>
    <w:pPr>
      <w:spacing w:after="160" w:line="240" w:lineRule="exact"/>
    </w:pPr>
    <w:rPr>
      <w:rFonts w:ascii="Verdana" w:hAnsi="Verdana"/>
      <w:kern w:val="0"/>
      <w:sz w:val="20"/>
      <w:szCs w:val="20"/>
      <w:lang w:eastAsia="en-US"/>
    </w:rPr>
  </w:style>
  <w:style w:type="paragraph" w:customStyle="1" w:styleId="3714">
    <w:name w:val="TxBr_c4"/>
    <w:basedOn w:val="1"/>
    <w:qFormat/>
    <w:uiPriority w:val="99"/>
    <w:pPr>
      <w:spacing w:line="240" w:lineRule="atLeast"/>
      <w:jc w:val="center"/>
    </w:pPr>
    <w:rPr>
      <w:rFonts w:hint="eastAsia" w:ascii="Calibri" w:hAnsi="Calibri"/>
      <w:sz w:val="24"/>
      <w:szCs w:val="20"/>
      <w:lang w:eastAsia="en-US"/>
    </w:rPr>
  </w:style>
  <w:style w:type="paragraph" w:customStyle="1" w:styleId="3715">
    <w:name w:val="可研 正文"/>
    <w:qFormat/>
    <w:uiPriority w:val="99"/>
    <w:pPr>
      <w:spacing w:line="360" w:lineRule="auto"/>
      <w:ind w:firstLine="200" w:firstLineChars="200"/>
      <w:jc w:val="both"/>
    </w:pPr>
    <w:rPr>
      <w:rFonts w:ascii="Calibri" w:hAnsi="Calibri" w:eastAsia="宋体" w:cs="Times New Roman"/>
      <w:kern w:val="2"/>
      <w:sz w:val="24"/>
      <w:szCs w:val="28"/>
      <w:lang w:val="en-US" w:eastAsia="zh-CN" w:bidi="ar-SA"/>
    </w:rPr>
  </w:style>
  <w:style w:type="paragraph" w:customStyle="1" w:styleId="3716">
    <w:name w:val="Char Char3 Char Char Char Char3"/>
    <w:basedOn w:val="1"/>
    <w:qFormat/>
    <w:uiPriority w:val="99"/>
    <w:pPr>
      <w:spacing w:after="160" w:line="240" w:lineRule="exact"/>
    </w:pPr>
    <w:rPr>
      <w:rFonts w:ascii="Verdana" w:hAnsi="Verdana"/>
      <w:kern w:val="0"/>
      <w:sz w:val="20"/>
      <w:szCs w:val="20"/>
      <w:lang w:eastAsia="en-US"/>
    </w:rPr>
  </w:style>
  <w:style w:type="paragraph" w:customStyle="1" w:styleId="3717">
    <w:name w:val="Char Char Char1 Char7"/>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718">
    <w:name w:val="标题 1红4号1"/>
    <w:basedOn w:val="3"/>
    <w:qFormat/>
    <w:uiPriority w:val="99"/>
    <w:pPr>
      <w:shd w:val="clear" w:color="auto" w:fill="FFFFFF"/>
      <w:tabs>
        <w:tab w:val="left" w:pos="210"/>
      </w:tabs>
      <w:kinsoku w:val="0"/>
      <w:overflowPunct w:val="0"/>
      <w:autoSpaceDE w:val="0"/>
      <w:autoSpaceDN w:val="0"/>
      <w:adjustRightInd w:val="0"/>
      <w:snapToGrid w:val="0"/>
      <w:spacing w:before="0" w:after="0" w:line="240" w:lineRule="auto"/>
      <w:ind w:firstLine="200" w:firstLineChars="200"/>
      <w:jc w:val="center"/>
    </w:pPr>
    <w:rPr>
      <w:rFonts w:ascii="宋体" w:hAnsi="宋体"/>
      <w:bCs w:val="0"/>
      <w:color w:val="FF6600"/>
      <w:sz w:val="28"/>
      <w:szCs w:val="28"/>
    </w:rPr>
  </w:style>
  <w:style w:type="paragraph" w:customStyle="1" w:styleId="3719">
    <w:name w:val="2 Char Char Char"/>
    <w:basedOn w:val="1"/>
    <w:qFormat/>
    <w:uiPriority w:val="99"/>
    <w:rPr>
      <w:rFonts w:ascii="Calibri" w:hAnsi="Calibri"/>
    </w:rPr>
  </w:style>
  <w:style w:type="paragraph" w:customStyle="1" w:styleId="3720">
    <w:name w:val="c17"/>
    <w:basedOn w:val="1"/>
    <w:qFormat/>
    <w:uiPriority w:val="99"/>
    <w:pPr>
      <w:autoSpaceDE w:val="0"/>
      <w:autoSpaceDN w:val="0"/>
      <w:adjustRightInd w:val="0"/>
      <w:spacing w:line="240" w:lineRule="atLeast"/>
      <w:jc w:val="center"/>
      <w:textAlignment w:val="baseline"/>
    </w:pPr>
    <w:rPr>
      <w:rFonts w:ascii="Calibri" w:hAnsi="Calibri"/>
      <w:kern w:val="0"/>
      <w:sz w:val="24"/>
    </w:rPr>
  </w:style>
  <w:style w:type="paragraph" w:customStyle="1" w:styleId="3721">
    <w:name w:val="表格内容居中"/>
    <w:qFormat/>
    <w:uiPriority w:val="99"/>
    <w:pPr>
      <w:adjustRightInd w:val="0"/>
      <w:snapToGrid w:val="0"/>
      <w:jc w:val="center"/>
    </w:pPr>
    <w:rPr>
      <w:rFonts w:ascii="Calibri" w:hAnsi="Calibri" w:eastAsia="宋体" w:cs="Times New Roman"/>
      <w:snapToGrid w:val="0"/>
      <w:sz w:val="21"/>
      <w:lang w:val="en-US" w:eastAsia="zh-CN" w:bidi="ar-SA"/>
    </w:rPr>
  </w:style>
  <w:style w:type="paragraph" w:customStyle="1" w:styleId="3722">
    <w:name w:val="标题 411"/>
    <w:basedOn w:val="1"/>
    <w:next w:val="1"/>
    <w:qFormat/>
    <w:uiPriority w:val="99"/>
    <w:pPr>
      <w:keepNext/>
      <w:keepLines/>
      <w:spacing w:before="280" w:after="290" w:line="372" w:lineRule="auto"/>
      <w:outlineLvl w:val="3"/>
    </w:pPr>
    <w:rPr>
      <w:rFonts w:ascii="Arial" w:hAnsi="Arial" w:eastAsia="黑体"/>
      <w:b/>
      <w:sz w:val="28"/>
      <w:szCs w:val="20"/>
    </w:rPr>
  </w:style>
  <w:style w:type="paragraph" w:customStyle="1" w:styleId="3723">
    <w:name w:val="Char Char Char1 Char8"/>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724">
    <w:name w:val="样式6 正文"/>
    <w:qFormat/>
    <w:uiPriority w:val="99"/>
    <w:pPr>
      <w:widowControl w:val="0"/>
      <w:spacing w:beforeLines="50" w:line="500" w:lineRule="exact"/>
      <w:ind w:firstLine="560" w:firstLineChars="200"/>
      <w:jc w:val="both"/>
    </w:pPr>
    <w:rPr>
      <w:rFonts w:ascii="仿宋_GB2312" w:hAnsi="Calibri" w:eastAsia="仿宋_GB2312" w:cs="Times New Roman"/>
      <w:sz w:val="28"/>
      <w:szCs w:val="28"/>
      <w:lang w:val="en-US" w:eastAsia="zh-CN" w:bidi="ar-SA"/>
    </w:rPr>
  </w:style>
  <w:style w:type="paragraph" w:customStyle="1" w:styleId="3725">
    <w:name w:val="a0"/>
    <w:basedOn w:val="1"/>
    <w:qFormat/>
    <w:uiPriority w:val="0"/>
    <w:pPr>
      <w:spacing w:before="100" w:beforeAutospacing="1" w:after="100" w:afterAutospacing="1"/>
    </w:pPr>
    <w:rPr>
      <w:rFonts w:ascii="宋体" w:hAnsi="宋体" w:cs="宋体"/>
      <w:color w:val="000000"/>
      <w:kern w:val="0"/>
      <w:sz w:val="24"/>
    </w:rPr>
  </w:style>
  <w:style w:type="paragraph" w:customStyle="1" w:styleId="3726">
    <w:name w:val="pic-info"/>
    <w:basedOn w:val="1"/>
    <w:qFormat/>
    <w:uiPriority w:val="99"/>
    <w:pPr>
      <w:spacing w:before="100" w:beforeAutospacing="1" w:after="100" w:afterAutospacing="1"/>
    </w:pPr>
    <w:rPr>
      <w:rFonts w:ascii="宋体" w:hAnsi="宋体" w:cs="宋体"/>
      <w:kern w:val="0"/>
      <w:sz w:val="24"/>
    </w:rPr>
  </w:style>
  <w:style w:type="paragraph" w:customStyle="1" w:styleId="3727">
    <w:name w:val="普通文本"/>
    <w:basedOn w:val="1"/>
    <w:qFormat/>
    <w:uiPriority w:val="99"/>
    <w:pPr>
      <w:overflowPunct w:val="0"/>
      <w:autoSpaceDE w:val="0"/>
      <w:autoSpaceDN w:val="0"/>
      <w:adjustRightInd w:val="0"/>
      <w:spacing w:line="360" w:lineRule="auto"/>
      <w:ind w:firstLine="480" w:firstLineChars="200"/>
    </w:pPr>
    <w:rPr>
      <w:rFonts w:ascii="宋体" w:hAnsi="宋体"/>
      <w:kern w:val="0"/>
      <w:sz w:val="24"/>
      <w:lang w:val="zh-CN"/>
    </w:rPr>
  </w:style>
  <w:style w:type="paragraph" w:customStyle="1" w:styleId="3728">
    <w:name w:val="段落-首行缩进:  0.74 厘米 行距: 1.5 倍行距"/>
    <w:basedOn w:val="1"/>
    <w:qFormat/>
    <w:uiPriority w:val="99"/>
    <w:pPr>
      <w:tabs>
        <w:tab w:val="left" w:pos="2801"/>
      </w:tabs>
      <w:snapToGrid w:val="0"/>
      <w:spacing w:line="300" w:lineRule="auto"/>
    </w:pPr>
    <w:rPr>
      <w:rFonts w:ascii="宋体" w:hAnsi="宋体"/>
      <w:spacing w:val="-2"/>
      <w:kern w:val="0"/>
      <w:sz w:val="28"/>
      <w:szCs w:val="28"/>
    </w:rPr>
  </w:style>
  <w:style w:type="paragraph" w:customStyle="1" w:styleId="3729">
    <w:name w:val="Char Char Char1 Char4"/>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730">
    <w:name w:val="右侧"/>
    <w:qFormat/>
    <w:uiPriority w:val="0"/>
    <w:pPr>
      <w:spacing w:line="280" w:lineRule="exact"/>
      <w:jc w:val="right"/>
    </w:pPr>
    <w:rPr>
      <w:rFonts w:ascii="Batang" w:hAnsi="Batang" w:eastAsia="宋体" w:cs="Times New Roman"/>
      <w:color w:val="000000"/>
      <w:sz w:val="18"/>
      <w:lang w:val="en-US" w:eastAsia="zh-CN" w:bidi="ar-SA"/>
    </w:rPr>
  </w:style>
  <w:style w:type="paragraph" w:customStyle="1" w:styleId="3731">
    <w:name w:val="正文 +宋体"/>
    <w:basedOn w:val="1"/>
    <w:qFormat/>
    <w:uiPriority w:val="99"/>
    <w:pPr>
      <w:spacing w:line="360" w:lineRule="auto"/>
      <w:jc w:val="center"/>
    </w:pPr>
    <w:rPr>
      <w:rFonts w:ascii="宋体" w:hAnsi="宋体"/>
      <w:b/>
      <w:szCs w:val="21"/>
    </w:rPr>
  </w:style>
  <w:style w:type="paragraph" w:customStyle="1" w:styleId="3732">
    <w:name w:val="Char Char Char Char Char Char Char9"/>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733">
    <w:name w:val="Char 周立波"/>
    <w:basedOn w:val="1"/>
    <w:qFormat/>
    <w:uiPriority w:val="99"/>
    <w:rPr>
      <w:rFonts w:ascii="Calibri" w:hAnsi="Calibri"/>
    </w:rPr>
  </w:style>
  <w:style w:type="paragraph" w:customStyle="1" w:styleId="3734">
    <w:name w:val="2 Char Char Char Char Char Char Char"/>
    <w:basedOn w:val="1"/>
    <w:qFormat/>
    <w:uiPriority w:val="99"/>
    <w:rPr>
      <w:rFonts w:ascii="Calibri" w:hAnsi="Calibri"/>
    </w:rPr>
  </w:style>
  <w:style w:type="paragraph" w:customStyle="1" w:styleId="3735">
    <w:name w:val="cd"/>
    <w:basedOn w:val="1"/>
    <w:qFormat/>
    <w:uiPriority w:val="99"/>
    <w:pPr>
      <w:spacing w:before="100" w:beforeAutospacing="1" w:after="100" w:afterAutospacing="1"/>
    </w:pPr>
    <w:rPr>
      <w:rFonts w:ascii="宋体" w:hAnsi="宋体" w:cs="宋体"/>
      <w:kern w:val="0"/>
      <w:sz w:val="24"/>
    </w:rPr>
  </w:style>
  <w:style w:type="paragraph" w:customStyle="1" w:styleId="3736">
    <w:name w:val="d可研正文"/>
    <w:basedOn w:val="1"/>
    <w:qFormat/>
    <w:uiPriority w:val="99"/>
    <w:pPr>
      <w:tabs>
        <w:tab w:val="left" w:pos="0"/>
      </w:tabs>
      <w:adjustRightInd w:val="0"/>
      <w:snapToGrid w:val="0"/>
      <w:spacing w:line="480" w:lineRule="atLeast"/>
      <w:ind w:firstLine="200" w:firstLineChars="200"/>
    </w:pPr>
    <w:rPr>
      <w:rFonts w:hint="eastAsia" w:ascii="宋体" w:hAnsi="宋体"/>
      <w:sz w:val="28"/>
    </w:rPr>
  </w:style>
  <w:style w:type="paragraph" w:customStyle="1" w:styleId="3737">
    <w:name w:val="Char Char Char Char Char Char Char Char Char Char Char Char Char Char Char Char Char Char Char Char Char Char Char Char Char Char Char Char Char Char Char Char Char Char Char Char Char Char Char Char Char Char"/>
    <w:basedOn w:val="1"/>
    <w:semiHidden/>
    <w:qFormat/>
    <w:uiPriority w:val="0"/>
    <w:rPr>
      <w:rFonts w:ascii="Calibri" w:hAnsi="Calibri"/>
    </w:rPr>
  </w:style>
  <w:style w:type="paragraph" w:customStyle="1" w:styleId="3738">
    <w:name w:val="1 Char Char Char Char Char Char Char"/>
    <w:basedOn w:val="1"/>
    <w:qFormat/>
    <w:uiPriority w:val="99"/>
    <w:rPr>
      <w:rFonts w:ascii="Calibri" w:hAnsi="Calibri"/>
    </w:rPr>
  </w:style>
  <w:style w:type="paragraph" w:customStyle="1" w:styleId="3739">
    <w:name w:val="封面日期"/>
    <w:basedOn w:val="1"/>
    <w:qFormat/>
    <w:uiPriority w:val="99"/>
    <w:pPr>
      <w:spacing w:line="400" w:lineRule="exact"/>
      <w:jc w:val="center"/>
    </w:pPr>
    <w:rPr>
      <w:rFonts w:ascii="Calibri" w:hAnsi="Calibri" w:eastAsia="仿宋_GB2312"/>
      <w:sz w:val="24"/>
      <w:szCs w:val="20"/>
    </w:rPr>
  </w:style>
  <w:style w:type="paragraph" w:customStyle="1" w:styleId="3740">
    <w:name w:val="Style60"/>
    <w:basedOn w:val="1"/>
    <w:qFormat/>
    <w:uiPriority w:val="99"/>
    <w:pPr>
      <w:adjustRightInd w:val="0"/>
      <w:spacing w:line="467" w:lineRule="exact"/>
      <w:ind w:firstLine="475"/>
    </w:pPr>
    <w:rPr>
      <w:rFonts w:ascii="宋体" w:hAnsi="Calibri"/>
      <w:kern w:val="0"/>
      <w:sz w:val="24"/>
    </w:rPr>
  </w:style>
  <w:style w:type="paragraph" w:customStyle="1" w:styleId="3741">
    <w:name w:val="Char24"/>
    <w:basedOn w:val="1"/>
    <w:qFormat/>
    <w:uiPriority w:val="99"/>
    <w:pPr>
      <w:spacing w:line="360" w:lineRule="auto"/>
      <w:ind w:firstLine="200" w:firstLineChars="200"/>
    </w:pPr>
    <w:rPr>
      <w:rFonts w:ascii="宋体" w:hAnsi="宋体" w:cs="宋体"/>
      <w:sz w:val="24"/>
    </w:rPr>
  </w:style>
  <w:style w:type="paragraph" w:customStyle="1" w:styleId="3742">
    <w:name w:val="报告题目"/>
    <w:basedOn w:val="1"/>
    <w:qFormat/>
    <w:uiPriority w:val="99"/>
    <w:pPr>
      <w:spacing w:line="360" w:lineRule="auto"/>
      <w:jc w:val="center"/>
    </w:pPr>
    <w:rPr>
      <w:rFonts w:ascii="宋体" w:hAnsi="Calibri"/>
      <w:b/>
      <w:sz w:val="52"/>
      <w:szCs w:val="20"/>
    </w:rPr>
  </w:style>
  <w:style w:type="paragraph" w:customStyle="1" w:styleId="3743">
    <w:name w:val="Char Char Char Char Char Char Char Char Char Char Char Char Char Char Char Char Char Char Char4"/>
    <w:basedOn w:val="1"/>
    <w:qFormat/>
    <w:uiPriority w:val="99"/>
    <w:rPr>
      <w:rFonts w:ascii="Calibri" w:hAnsi="Calibri"/>
    </w:rPr>
  </w:style>
  <w:style w:type="paragraph" w:customStyle="1" w:styleId="3744">
    <w:name w:val="Char Char21 Char Char Char Char Char Char Char Char Char Char Char Char"/>
    <w:basedOn w:val="1"/>
    <w:semiHidden/>
    <w:qFormat/>
    <w:uiPriority w:val="99"/>
    <w:pPr>
      <w:adjustRightInd w:val="0"/>
      <w:snapToGrid w:val="0"/>
      <w:spacing w:line="360" w:lineRule="auto"/>
      <w:ind w:firstLine="200" w:firstLineChars="200"/>
    </w:pPr>
    <w:rPr>
      <w:rFonts w:ascii="宋体" w:hAnsi="宋体" w:cs="宋体"/>
      <w:sz w:val="24"/>
      <w:szCs w:val="26"/>
    </w:rPr>
  </w:style>
  <w:style w:type="paragraph" w:customStyle="1" w:styleId="3745">
    <w:name w:val="Char Char21 Char Char Char Char3"/>
    <w:basedOn w:val="1"/>
    <w:qFormat/>
    <w:uiPriority w:val="99"/>
    <w:rPr>
      <w:rFonts w:ascii="Tahoma" w:hAnsi="Tahoma"/>
      <w:sz w:val="24"/>
      <w:szCs w:val="20"/>
    </w:rPr>
  </w:style>
  <w:style w:type="paragraph" w:customStyle="1" w:styleId="3746">
    <w:name w:val="注×："/>
    <w:qFormat/>
    <w:uiPriority w:val="0"/>
    <w:pPr>
      <w:widowControl w:val="0"/>
      <w:tabs>
        <w:tab w:val="left" w:pos="630"/>
      </w:tabs>
      <w:autoSpaceDE w:val="0"/>
      <w:autoSpaceDN w:val="0"/>
      <w:jc w:val="both"/>
    </w:pPr>
    <w:rPr>
      <w:rFonts w:ascii="宋体" w:hAnsi="Calibri" w:eastAsia="宋体" w:cs="Times New Roman"/>
      <w:sz w:val="18"/>
      <w:lang w:val="en-US" w:eastAsia="zh-CN" w:bidi="ar-SA"/>
    </w:rPr>
  </w:style>
  <w:style w:type="paragraph" w:customStyle="1" w:styleId="3747">
    <w:name w:val="标题 611"/>
    <w:basedOn w:val="1"/>
    <w:next w:val="1"/>
    <w:qFormat/>
    <w:uiPriority w:val="99"/>
    <w:pPr>
      <w:keepNext/>
      <w:overflowPunct w:val="0"/>
      <w:snapToGrid w:val="0"/>
      <w:spacing w:before="120" w:line="380" w:lineRule="exact"/>
      <w:ind w:firstLine="567"/>
      <w:textAlignment w:val="baseline"/>
      <w:outlineLvl w:val="5"/>
    </w:pPr>
    <w:rPr>
      <w:rFonts w:hint="eastAsia" w:ascii="Arial" w:hAnsi="Arial" w:eastAsia="仿宋_GB2312"/>
      <w:kern w:val="0"/>
      <w:sz w:val="24"/>
      <w:szCs w:val="20"/>
    </w:rPr>
  </w:style>
  <w:style w:type="paragraph" w:customStyle="1" w:styleId="3748">
    <w:name w:val="样式 目录 1 级别1"/>
    <w:basedOn w:val="1"/>
    <w:next w:val="1"/>
    <w:qFormat/>
    <w:uiPriority w:val="99"/>
    <w:pPr>
      <w:shd w:val="clear" w:color="auto" w:fill="FFFFFF"/>
      <w:tabs>
        <w:tab w:val="left" w:pos="210"/>
      </w:tabs>
      <w:kinsoku w:val="0"/>
      <w:overflowPunct w:val="0"/>
      <w:autoSpaceDE w:val="0"/>
      <w:autoSpaceDN w:val="0"/>
      <w:adjustRightInd w:val="0"/>
      <w:snapToGrid w:val="0"/>
      <w:spacing w:line="400" w:lineRule="exact"/>
      <w:ind w:firstLine="200" w:firstLineChars="200"/>
    </w:pPr>
    <w:rPr>
      <w:rFonts w:ascii="宋体" w:hAnsi="宋体" w:cs="宋体"/>
      <w:b/>
      <w:bCs/>
      <w:sz w:val="24"/>
      <w:szCs w:val="28"/>
    </w:rPr>
  </w:style>
  <w:style w:type="paragraph" w:customStyle="1" w:styleId="3749">
    <w:name w:val="样式 黑色 行距: 固定值 22 磅 首行缩进:  2 字符"/>
    <w:basedOn w:val="1"/>
    <w:qFormat/>
    <w:uiPriority w:val="99"/>
    <w:pPr>
      <w:spacing w:line="312" w:lineRule="auto"/>
      <w:ind w:firstLine="200" w:firstLineChars="200"/>
    </w:pPr>
    <w:rPr>
      <w:rFonts w:ascii="仿宋_GB2312" w:hAnsi="Calibri" w:eastAsia="仿宋_GB2312" w:cs="宋体"/>
      <w:color w:val="000000"/>
      <w:sz w:val="28"/>
      <w:szCs w:val="20"/>
    </w:rPr>
  </w:style>
  <w:style w:type="paragraph" w:customStyle="1" w:styleId="3750">
    <w:name w:val="Char Char Char Char Char2 Char Char Char Char9"/>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751">
    <w:name w:val="pt9"/>
    <w:basedOn w:val="1"/>
    <w:qFormat/>
    <w:uiPriority w:val="99"/>
    <w:pPr>
      <w:spacing w:before="100" w:beforeAutospacing="1" w:after="100" w:afterAutospacing="1"/>
    </w:pPr>
    <w:rPr>
      <w:rFonts w:ascii="Calibri" w:hAnsi="Calibri"/>
      <w:color w:val="000000"/>
      <w:kern w:val="0"/>
      <w:sz w:val="18"/>
      <w:szCs w:val="18"/>
    </w:rPr>
  </w:style>
  <w:style w:type="paragraph" w:customStyle="1" w:styleId="3752">
    <w:name w:val="日期3"/>
    <w:basedOn w:val="1"/>
    <w:next w:val="1"/>
    <w:semiHidden/>
    <w:qFormat/>
    <w:uiPriority w:val="99"/>
    <w:pPr>
      <w:adjustRightInd w:val="0"/>
      <w:textAlignment w:val="baseline"/>
    </w:pPr>
    <w:rPr>
      <w:rFonts w:ascii="宋体" w:hAnsi="Calibri"/>
      <w:spacing w:val="24"/>
      <w:kern w:val="24"/>
      <w:sz w:val="24"/>
      <w:szCs w:val="20"/>
    </w:rPr>
  </w:style>
  <w:style w:type="paragraph" w:customStyle="1" w:styleId="3753">
    <w:name w:val="reader-word-layer reader-word-s4-12"/>
    <w:basedOn w:val="1"/>
    <w:qFormat/>
    <w:uiPriority w:val="99"/>
    <w:pPr>
      <w:spacing w:before="100" w:beforeAutospacing="1" w:after="100" w:afterAutospacing="1" w:line="300" w:lineRule="auto"/>
    </w:pPr>
    <w:rPr>
      <w:rFonts w:ascii="宋体" w:hAnsi="宋体" w:cs="宋体"/>
      <w:kern w:val="0"/>
      <w:sz w:val="24"/>
    </w:rPr>
  </w:style>
  <w:style w:type="paragraph" w:customStyle="1" w:styleId="3754">
    <w:name w:val="表格文本"/>
    <w:basedOn w:val="1"/>
    <w:next w:val="1"/>
    <w:qFormat/>
    <w:uiPriority w:val="0"/>
    <w:pPr>
      <w:spacing w:line="240" w:lineRule="exact"/>
    </w:pPr>
    <w:rPr>
      <w:rFonts w:ascii="宋体" w:hAnsi="宋体"/>
      <w:sz w:val="24"/>
      <w:szCs w:val="20"/>
    </w:rPr>
  </w:style>
  <w:style w:type="paragraph" w:customStyle="1" w:styleId="3755">
    <w:name w:val="样式 标题 2 + 两端对齐 段前: 7.8 磅 段后: 0 磅1"/>
    <w:basedOn w:val="4"/>
    <w:qFormat/>
    <w:uiPriority w:val="99"/>
    <w:pPr>
      <w:keepNext w:val="0"/>
      <w:keepLines w:val="0"/>
      <w:tabs>
        <w:tab w:val="left" w:pos="567"/>
      </w:tabs>
      <w:suppressAutoHyphens/>
      <w:autoSpaceDE w:val="0"/>
      <w:spacing w:before="0" w:beforeLines="50" w:after="0" w:line="360" w:lineRule="auto"/>
      <w:ind w:left="554"/>
    </w:pPr>
    <w:rPr>
      <w:rFonts w:ascii="Times New Roman" w:hAnsi="Times New Roman" w:eastAsia="宋体" w:cs="宋体"/>
      <w:sz w:val="30"/>
      <w:szCs w:val="20"/>
    </w:rPr>
  </w:style>
  <w:style w:type="paragraph" w:customStyle="1" w:styleId="3756">
    <w:name w:val="Char Char Char Char Char Char Char Char Char1 Char Char Char Char Char Char Char Char Char Char"/>
    <w:basedOn w:val="1"/>
    <w:qFormat/>
    <w:uiPriority w:val="99"/>
    <w:pPr>
      <w:spacing w:after="160" w:line="240" w:lineRule="exact"/>
    </w:pPr>
    <w:rPr>
      <w:rFonts w:ascii="Verdana" w:hAnsi="Verdana" w:eastAsia="仿宋_GB2312"/>
      <w:kern w:val="0"/>
      <w:sz w:val="28"/>
      <w:szCs w:val="20"/>
      <w:lang w:eastAsia="en-US"/>
    </w:rPr>
  </w:style>
  <w:style w:type="paragraph" w:customStyle="1" w:styleId="3757">
    <w:name w:val="reader-word-layer reader-word-s5-0"/>
    <w:basedOn w:val="1"/>
    <w:qFormat/>
    <w:uiPriority w:val="99"/>
    <w:pPr>
      <w:spacing w:before="100" w:beforeAutospacing="1" w:after="100" w:afterAutospacing="1" w:line="300" w:lineRule="auto"/>
    </w:pPr>
    <w:rPr>
      <w:rFonts w:ascii="宋体" w:hAnsi="宋体" w:cs="宋体"/>
      <w:kern w:val="0"/>
      <w:sz w:val="24"/>
    </w:rPr>
  </w:style>
  <w:style w:type="paragraph" w:customStyle="1" w:styleId="3758">
    <w:name w:val="样式 表格文字 + 左侧:  0.85 厘米"/>
    <w:basedOn w:val="347"/>
    <w:qFormat/>
    <w:uiPriority w:val="99"/>
    <w:pPr>
      <w:snapToGrid w:val="0"/>
      <w:jc w:val="left"/>
    </w:pPr>
    <w:rPr>
      <w:rFonts w:ascii="Calibri" w:hAnsi="Calibri" w:cs="宋体"/>
      <w:kern w:val="0"/>
      <w:szCs w:val="20"/>
    </w:rPr>
  </w:style>
  <w:style w:type="paragraph" w:customStyle="1" w:styleId="3759">
    <w:name w:val="贾伦 标题3"/>
    <w:basedOn w:val="5"/>
    <w:qFormat/>
    <w:uiPriority w:val="99"/>
    <w:pPr>
      <w:tabs>
        <w:tab w:val="left" w:pos="709"/>
      </w:tabs>
      <w:adjustRightInd w:val="0"/>
      <w:snapToGrid w:val="0"/>
      <w:spacing w:before="0" w:after="0" w:line="360" w:lineRule="auto"/>
      <w:ind w:left="720" w:hanging="432"/>
    </w:pPr>
    <w:rPr>
      <w:rFonts w:ascii="Calibri" w:hAnsi="Calibri"/>
      <w:sz w:val="28"/>
    </w:rPr>
  </w:style>
  <w:style w:type="paragraph" w:customStyle="1" w:styleId="3760">
    <w:name w:val="正文缩进11"/>
    <w:basedOn w:val="1"/>
    <w:qFormat/>
    <w:uiPriority w:val="99"/>
    <w:pPr>
      <w:ind w:firstLine="420"/>
    </w:pPr>
    <w:rPr>
      <w:rFonts w:ascii="Calibri" w:hAnsi="Calibri"/>
      <w:sz w:val="24"/>
      <w:szCs w:val="20"/>
    </w:rPr>
  </w:style>
  <w:style w:type="paragraph" w:customStyle="1" w:styleId="3761">
    <w:name w:val="Char Char Char Char Char Char Char Char Char Char Char Char Char Char Char Char Char Char Char6"/>
    <w:basedOn w:val="1"/>
    <w:qFormat/>
    <w:uiPriority w:val="99"/>
    <w:rPr>
      <w:rFonts w:ascii="Calibri" w:hAnsi="Calibri"/>
    </w:rPr>
  </w:style>
  <w:style w:type="paragraph" w:customStyle="1" w:styleId="3762">
    <w:name w:val="河南表格"/>
    <w:basedOn w:val="1"/>
    <w:qFormat/>
    <w:uiPriority w:val="99"/>
    <w:pPr>
      <w:spacing w:line="240" w:lineRule="atLeast"/>
      <w:jc w:val="center"/>
    </w:pPr>
    <w:rPr>
      <w:rFonts w:hint="eastAsia" w:ascii="Calibri" w:hAnsi="Calibri"/>
      <w:szCs w:val="20"/>
    </w:rPr>
  </w:style>
  <w:style w:type="paragraph" w:customStyle="1" w:styleId="3763">
    <w:name w:val="样式 目录 1 + 首行缩进:  2 字符"/>
    <w:basedOn w:val="1"/>
    <w:next w:val="1"/>
    <w:qFormat/>
    <w:uiPriority w:val="0"/>
    <w:pPr>
      <w:tabs>
        <w:tab w:val="left" w:pos="210"/>
      </w:tabs>
      <w:adjustRightInd w:val="0"/>
      <w:spacing w:line="360" w:lineRule="exact"/>
      <w:ind w:firstLine="200" w:firstLineChars="200"/>
    </w:pPr>
    <w:rPr>
      <w:rFonts w:ascii="宋体" w:hAnsi="宋体" w:cs="宋体"/>
      <w:b/>
      <w:bCs/>
      <w:sz w:val="24"/>
      <w:szCs w:val="28"/>
    </w:rPr>
  </w:style>
  <w:style w:type="paragraph" w:customStyle="1" w:styleId="3764">
    <w:name w:val="Char Char Char Char Char Char Char Char Char Char Char Char Char Char Char Char Char Char2"/>
    <w:basedOn w:val="1"/>
    <w:qFormat/>
    <w:uiPriority w:val="99"/>
    <w:rPr>
      <w:rFonts w:ascii="Calibri" w:hAnsi="Calibri"/>
    </w:rPr>
  </w:style>
  <w:style w:type="paragraph" w:customStyle="1" w:styleId="3765">
    <w:name w:val="样式 标题 2 + (西文) Times New Roman (中文) 宋体 小三 段前: 0 磅 段后: 0 磅 行..."/>
    <w:basedOn w:val="4"/>
    <w:qFormat/>
    <w:uiPriority w:val="99"/>
    <w:pPr>
      <w:adjustRightInd w:val="0"/>
      <w:snapToGrid w:val="0"/>
      <w:spacing w:before="0" w:after="0" w:line="360" w:lineRule="auto"/>
      <w:ind w:firstLine="100" w:firstLineChars="100"/>
    </w:pPr>
    <w:rPr>
      <w:rFonts w:ascii="Times New Roman" w:hAnsi="Times New Roman" w:eastAsia="宋体" w:cs="宋体"/>
      <w:sz w:val="30"/>
      <w:szCs w:val="20"/>
    </w:rPr>
  </w:style>
  <w:style w:type="paragraph" w:customStyle="1" w:styleId="3766">
    <w:name w:val="正文6"/>
    <w:basedOn w:val="1"/>
    <w:qFormat/>
    <w:uiPriority w:val="0"/>
    <w:pPr>
      <w:adjustRightInd w:val="0"/>
      <w:spacing w:line="315" w:lineRule="atLeast"/>
      <w:textAlignment w:val="baseline"/>
    </w:pPr>
    <w:rPr>
      <w:rFonts w:ascii="宋体" w:hAnsi="Calibri"/>
      <w:kern w:val="0"/>
      <w:szCs w:val="20"/>
    </w:rPr>
  </w:style>
  <w:style w:type="paragraph" w:customStyle="1" w:styleId="3767">
    <w:name w:val="TY"/>
    <w:basedOn w:val="1"/>
    <w:qFormat/>
    <w:uiPriority w:val="0"/>
    <w:pPr>
      <w:adjustRightInd w:val="0"/>
      <w:snapToGrid w:val="0"/>
      <w:spacing w:before="40" w:after="40"/>
    </w:pPr>
    <w:rPr>
      <w:rFonts w:ascii="Calibri" w:hAnsi="Calibri"/>
      <w:szCs w:val="20"/>
    </w:rPr>
  </w:style>
  <w:style w:type="paragraph" w:customStyle="1" w:styleId="3768">
    <w:name w:val="5号字表"/>
    <w:basedOn w:val="1"/>
    <w:qFormat/>
    <w:uiPriority w:val="0"/>
    <w:pPr>
      <w:tabs>
        <w:tab w:val="left" w:pos="210"/>
      </w:tabs>
      <w:spacing w:line="500" w:lineRule="exact"/>
      <w:ind w:firstLine="200" w:firstLineChars="200"/>
    </w:pPr>
    <w:rPr>
      <w:rFonts w:ascii="宋体" w:hAnsi="宋体" w:cs="宋体"/>
      <w:bCs/>
      <w:sz w:val="28"/>
      <w:szCs w:val="20"/>
    </w:rPr>
  </w:style>
  <w:style w:type="paragraph" w:customStyle="1" w:styleId="3769">
    <w:name w:val="TOC 标题11"/>
    <w:basedOn w:val="3"/>
    <w:next w:val="1"/>
    <w:qFormat/>
    <w:uiPriority w:val="0"/>
    <w:pPr>
      <w:adjustRightInd w:val="0"/>
      <w:snapToGrid w:val="0"/>
      <w:spacing w:before="480" w:after="0" w:line="276" w:lineRule="auto"/>
      <w:outlineLvl w:val="9"/>
    </w:pPr>
    <w:rPr>
      <w:rFonts w:ascii="Cambria" w:hAnsi="Cambria"/>
      <w:color w:val="365F91"/>
      <w:kern w:val="0"/>
      <w:sz w:val="28"/>
      <w:szCs w:val="28"/>
    </w:rPr>
  </w:style>
  <w:style w:type="paragraph" w:customStyle="1" w:styleId="3770">
    <w:name w:val="样式 标题 3标31.1.1条标题 3 Char Char标题 3 Char + 黑色"/>
    <w:basedOn w:val="5"/>
    <w:qFormat/>
    <w:uiPriority w:val="99"/>
    <w:pPr>
      <w:keepNext w:val="0"/>
      <w:keepLines w:val="0"/>
      <w:tabs>
        <w:tab w:val="left" w:pos="0"/>
        <w:tab w:val="left" w:pos="1820"/>
      </w:tabs>
      <w:adjustRightInd w:val="0"/>
      <w:snapToGrid w:val="0"/>
      <w:spacing w:before="0" w:after="0" w:line="336" w:lineRule="auto"/>
      <w:ind w:left="1820" w:hanging="420"/>
    </w:pPr>
    <w:rPr>
      <w:rFonts w:hAnsi="宋体" w:cs="Arial"/>
      <w:bCs w:val="0"/>
      <w:color w:val="000000"/>
      <w:kern w:val="0"/>
      <w:sz w:val="24"/>
      <w:szCs w:val="28"/>
      <w:lang w:val="zh-CN"/>
    </w:rPr>
  </w:style>
  <w:style w:type="paragraph" w:customStyle="1" w:styleId="3771">
    <w:name w:val="Char Char Char Char Char Char Char4"/>
    <w:basedOn w:val="1"/>
    <w:next w:val="1"/>
    <w:qFormat/>
    <w:uiPriority w:val="0"/>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772">
    <w:name w:val="字元 字元"/>
    <w:basedOn w:val="1"/>
    <w:qFormat/>
    <w:uiPriority w:val="99"/>
    <w:rPr>
      <w:rFonts w:ascii="Calibri" w:hAnsi="Calibri"/>
      <w:szCs w:val="21"/>
    </w:rPr>
  </w:style>
  <w:style w:type="paragraph" w:customStyle="1" w:styleId="3773">
    <w:name w:val="Char Char Char Char Char2 Char Char Char Char51"/>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774">
    <w:name w:val="悬挂式正文"/>
    <w:basedOn w:val="1"/>
    <w:qFormat/>
    <w:uiPriority w:val="0"/>
    <w:pPr>
      <w:ind w:left="1701" w:hanging="1134"/>
    </w:pPr>
    <w:rPr>
      <w:rFonts w:ascii="Calibri" w:hAnsi="Calibri"/>
    </w:rPr>
  </w:style>
  <w:style w:type="paragraph" w:customStyle="1" w:styleId="3775">
    <w:name w:val="bg形成单位和时间"/>
    <w:basedOn w:val="1"/>
    <w:next w:val="1"/>
    <w:qFormat/>
    <w:uiPriority w:val="99"/>
    <w:pPr>
      <w:adjustRightInd w:val="0"/>
      <w:snapToGrid w:val="0"/>
      <w:spacing w:line="360" w:lineRule="auto"/>
      <w:ind w:firstLine="200" w:firstLineChars="200"/>
      <w:jc w:val="center"/>
    </w:pPr>
    <w:rPr>
      <w:rFonts w:ascii="Arial" w:hAnsi="Arial" w:eastAsia="黑体"/>
      <w:sz w:val="30"/>
      <w:szCs w:val="20"/>
    </w:rPr>
  </w:style>
  <w:style w:type="paragraph" w:customStyle="1" w:styleId="3776">
    <w:name w:val="列出段落12"/>
    <w:basedOn w:val="1"/>
    <w:qFormat/>
    <w:uiPriority w:val="99"/>
    <w:pPr>
      <w:spacing w:line="360" w:lineRule="auto"/>
      <w:ind w:firstLine="420" w:firstLineChars="200"/>
    </w:pPr>
    <w:rPr>
      <w:rFonts w:ascii="Calibri" w:hAnsi="Calibri"/>
      <w:szCs w:val="22"/>
    </w:rPr>
  </w:style>
  <w:style w:type="paragraph" w:customStyle="1" w:styleId="3777">
    <w:name w:val="电子邮件签名1"/>
    <w:basedOn w:val="1"/>
    <w:qFormat/>
    <w:uiPriority w:val="99"/>
    <w:rPr>
      <w:rFonts w:hint="eastAsia" w:ascii="Calibri" w:hAnsi="Calibri"/>
      <w:szCs w:val="20"/>
    </w:rPr>
  </w:style>
  <w:style w:type="paragraph" w:customStyle="1" w:styleId="3778">
    <w:name w:val="样式 样式 表内容 + 右 右  1.63 字符 + 右侧:  1.5 字符"/>
    <w:basedOn w:val="3644"/>
    <w:qFormat/>
    <w:uiPriority w:val="99"/>
    <w:pPr>
      <w:ind w:right="100" w:rightChars="100"/>
    </w:pPr>
  </w:style>
  <w:style w:type="paragraph" w:customStyle="1" w:styleId="3779">
    <w:name w:val="Char Char1 Char4"/>
    <w:basedOn w:val="1"/>
    <w:qFormat/>
    <w:uiPriority w:val="99"/>
    <w:rPr>
      <w:rFonts w:ascii="Calibri" w:hAnsi="Calibri"/>
    </w:rPr>
  </w:style>
  <w:style w:type="paragraph" w:customStyle="1" w:styleId="3780">
    <w:name w:val="Char Char Char Char Char Char1 Char3"/>
    <w:basedOn w:val="1"/>
    <w:qFormat/>
    <w:uiPriority w:val="0"/>
    <w:rPr>
      <w:rFonts w:ascii="Calibri" w:hAnsi="Calibri"/>
    </w:rPr>
  </w:style>
  <w:style w:type="paragraph" w:customStyle="1" w:styleId="3781">
    <w:name w:val="表4"/>
    <w:basedOn w:val="1"/>
    <w:qFormat/>
    <w:uiPriority w:val="99"/>
    <w:pPr>
      <w:tabs>
        <w:tab w:val="left" w:pos="2619"/>
        <w:tab w:val="left" w:pos="3060"/>
      </w:tabs>
      <w:snapToGrid w:val="0"/>
    </w:pPr>
    <w:rPr>
      <w:rFonts w:ascii="仿宋_GB2312" w:hAnsi="宋体"/>
      <w:snapToGrid w:val="0"/>
      <w:kern w:val="0"/>
      <w:sz w:val="24"/>
    </w:rPr>
  </w:style>
  <w:style w:type="paragraph" w:customStyle="1" w:styleId="3782">
    <w:name w:val="Char9"/>
    <w:basedOn w:val="1"/>
    <w:next w:val="1"/>
    <w:qFormat/>
    <w:uiPriority w:val="99"/>
    <w:pPr>
      <w:spacing w:line="360" w:lineRule="auto"/>
      <w:ind w:firstLine="200" w:firstLineChars="200"/>
    </w:pPr>
    <w:rPr>
      <w:rFonts w:ascii="宋体" w:hAnsi="宋体" w:eastAsia="汉鼎简书宋" w:cs="宋体"/>
      <w:sz w:val="24"/>
    </w:rPr>
  </w:style>
  <w:style w:type="paragraph" w:customStyle="1" w:styleId="3783">
    <w:name w:val="列表标题"/>
    <w:basedOn w:val="1"/>
    <w:next w:val="1"/>
    <w:qFormat/>
    <w:uiPriority w:val="0"/>
    <w:pPr>
      <w:jc w:val="center"/>
    </w:pPr>
    <w:rPr>
      <w:rFonts w:ascii="Calibri" w:hAnsi="Calibri"/>
      <w:sz w:val="24"/>
      <w:szCs w:val="20"/>
    </w:rPr>
  </w:style>
  <w:style w:type="paragraph" w:customStyle="1" w:styleId="3784">
    <w:name w:val="样式 666666-表头儿 + 左 段前: 0.5 行"/>
    <w:basedOn w:val="2704"/>
    <w:qFormat/>
    <w:uiPriority w:val="99"/>
    <w:pPr>
      <w:spacing w:beforeLines="50" w:line="240" w:lineRule="auto"/>
      <w:ind w:firstLine="200" w:firstLineChars="200"/>
      <w:jc w:val="left"/>
    </w:pPr>
    <w:rPr>
      <w:rFonts w:cs="宋体"/>
    </w:rPr>
  </w:style>
  <w:style w:type="paragraph" w:customStyle="1" w:styleId="3785">
    <w:name w:val="大纲正文"/>
    <w:basedOn w:val="1"/>
    <w:qFormat/>
    <w:uiPriority w:val="0"/>
    <w:pPr>
      <w:adjustRightInd w:val="0"/>
      <w:snapToGrid w:val="0"/>
      <w:spacing w:afterLines="50" w:line="300" w:lineRule="auto"/>
      <w:ind w:firstLine="480" w:firstLineChars="200"/>
    </w:pPr>
    <w:rPr>
      <w:rFonts w:ascii="Calibri" w:hAnsi="Calibri" w:cs="宋体"/>
      <w:sz w:val="24"/>
      <w:szCs w:val="20"/>
    </w:rPr>
  </w:style>
  <w:style w:type="paragraph" w:customStyle="1" w:styleId="3786">
    <w:name w:val="文字居中"/>
    <w:basedOn w:val="45"/>
    <w:qFormat/>
    <w:uiPriority w:val="99"/>
    <w:pPr>
      <w:autoSpaceDE w:val="0"/>
      <w:autoSpaceDN w:val="0"/>
      <w:adjustRightInd w:val="0"/>
      <w:spacing w:before="60" w:after="60" w:line="360" w:lineRule="auto"/>
      <w:ind w:firstLine="560" w:firstLineChars="200"/>
      <w:jc w:val="center"/>
    </w:pPr>
    <w:rPr>
      <w:rFonts w:ascii="仿宋_GB2312" w:hAnsi="Times New Roman" w:eastAsia="仿宋_GB2312"/>
      <w:kern w:val="0"/>
      <w:sz w:val="28"/>
    </w:rPr>
  </w:style>
  <w:style w:type="paragraph" w:customStyle="1" w:styleId="3787">
    <w:name w:val="页号"/>
    <w:basedOn w:val="55"/>
    <w:qFormat/>
    <w:uiPriority w:val="0"/>
    <w:pPr>
      <w:tabs>
        <w:tab w:val="center" w:pos="4320"/>
        <w:tab w:val="right" w:pos="8640"/>
        <w:tab w:val="clear" w:pos="4153"/>
        <w:tab w:val="clear" w:pos="8306"/>
      </w:tabs>
      <w:adjustRightInd/>
      <w:spacing w:line="240" w:lineRule="auto"/>
      <w:jc w:val="center"/>
      <w:textAlignment w:val="auto"/>
    </w:pPr>
    <w:rPr>
      <w:rFonts w:hint="eastAsia" w:ascii="宋体" w:hAnsi="Arial" w:cs="黑体" w:eastAsiaTheme="minorEastAsia"/>
      <w:spacing w:val="3"/>
      <w:kern w:val="24"/>
      <w:sz w:val="24"/>
      <w:szCs w:val="22"/>
    </w:rPr>
  </w:style>
  <w:style w:type="paragraph" w:customStyle="1" w:styleId="3788">
    <w:name w:val="Char Char Char Char Char Char Char Char Char Char Char Char Char Char Char Char Char Char Char1"/>
    <w:basedOn w:val="1"/>
    <w:qFormat/>
    <w:uiPriority w:val="99"/>
    <w:pPr>
      <w:adjustRightInd w:val="0"/>
      <w:spacing w:line="360" w:lineRule="auto"/>
    </w:pPr>
    <w:rPr>
      <w:rFonts w:ascii="Calibri" w:hAnsi="Calibri"/>
      <w:kern w:val="0"/>
      <w:sz w:val="24"/>
      <w:szCs w:val="20"/>
    </w:rPr>
  </w:style>
  <w:style w:type="paragraph" w:customStyle="1" w:styleId="3789">
    <w:name w:val="样式 样式 样式1 + 段前: 0.5 行 段后: 0.5 行 + 首行缩进:  0 厘米"/>
    <w:basedOn w:val="1"/>
    <w:qFormat/>
    <w:uiPriority w:val="99"/>
    <w:pPr>
      <w:keepNext/>
      <w:spacing w:beforeLines="50" w:afterLines="50"/>
      <w:outlineLvl w:val="0"/>
    </w:pPr>
    <w:rPr>
      <w:rFonts w:hint="eastAsia" w:ascii="Calibri" w:hAnsi="Calibri"/>
      <w:b/>
      <w:sz w:val="32"/>
      <w:szCs w:val="20"/>
    </w:rPr>
  </w:style>
  <w:style w:type="paragraph" w:customStyle="1" w:styleId="3790">
    <w:name w:val="Char Char Char Char Char Char Char5"/>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791">
    <w:name w:val="正文."/>
    <w:qFormat/>
    <w:uiPriority w:val="99"/>
    <w:pPr>
      <w:widowControl w:val="0"/>
      <w:autoSpaceDE w:val="0"/>
      <w:autoSpaceDN w:val="0"/>
      <w:adjustRightInd w:val="0"/>
      <w:jc w:val="both"/>
    </w:pPr>
    <w:rPr>
      <w:rFonts w:ascii="Times New Roman;Symbol;Arial;婼" w:hAnsi="Calibri" w:eastAsia="Times New Roman;Symbol;Arial;婼" w:cs="Times New Roman"/>
      <w:sz w:val="21"/>
      <w:szCs w:val="21"/>
      <w:lang w:val="en-US" w:eastAsia="zh-CN" w:bidi="ar-SA"/>
    </w:rPr>
  </w:style>
  <w:style w:type="paragraph" w:customStyle="1" w:styleId="3792">
    <w:name w:val="文-5"/>
    <w:basedOn w:val="1"/>
    <w:qFormat/>
    <w:uiPriority w:val="0"/>
    <w:pPr>
      <w:tabs>
        <w:tab w:val="right" w:leader="dot" w:pos="8789"/>
      </w:tabs>
      <w:spacing w:before="120"/>
      <w:ind w:left="1276" w:firstLine="482"/>
    </w:pPr>
    <w:rPr>
      <w:rFonts w:ascii="Calibri" w:hAnsi="Calibri"/>
      <w:sz w:val="24"/>
      <w:szCs w:val="20"/>
    </w:rPr>
  </w:style>
  <w:style w:type="paragraph" w:customStyle="1" w:styleId="3793">
    <w:name w:val="a9"/>
    <w:basedOn w:val="1"/>
    <w:qFormat/>
    <w:uiPriority w:val="0"/>
    <w:pPr>
      <w:adjustRightInd w:val="0"/>
      <w:spacing w:before="100" w:beforeAutospacing="1" w:after="100" w:afterAutospacing="1" w:line="360" w:lineRule="atLeast"/>
      <w:textAlignment w:val="baseline"/>
    </w:pPr>
    <w:rPr>
      <w:rFonts w:ascii="宋体" w:hAnsi="宋体"/>
      <w:color w:val="000000"/>
      <w:kern w:val="0"/>
      <w:sz w:val="24"/>
      <w:szCs w:val="20"/>
    </w:rPr>
  </w:style>
  <w:style w:type="paragraph" w:customStyle="1" w:styleId="3794">
    <w:name w:val="普通(网站)11"/>
    <w:basedOn w:val="1"/>
    <w:qFormat/>
    <w:uiPriority w:val="99"/>
    <w:pPr>
      <w:spacing w:before="100" w:beforeAutospacing="1" w:after="100" w:afterAutospacing="1"/>
    </w:pPr>
    <w:rPr>
      <w:rFonts w:hint="eastAsia" w:ascii="宋体" w:hAnsi="宋体"/>
      <w:sz w:val="24"/>
      <w:szCs w:val="20"/>
    </w:rPr>
  </w:style>
  <w:style w:type="paragraph" w:customStyle="1" w:styleId="3795">
    <w:name w:val="Char Char Char Char Char Char Char1 Char Char Char Char Char Char"/>
    <w:basedOn w:val="1"/>
    <w:qFormat/>
    <w:uiPriority w:val="99"/>
    <w:pPr>
      <w:keepNext/>
      <w:tabs>
        <w:tab w:val="left" w:pos="425"/>
      </w:tabs>
      <w:autoSpaceDE w:val="0"/>
      <w:autoSpaceDN w:val="0"/>
      <w:adjustRightInd w:val="0"/>
      <w:spacing w:before="80" w:after="80"/>
      <w:ind w:hanging="425"/>
    </w:pPr>
    <w:rPr>
      <w:rFonts w:ascii="Arial" w:hAnsi="Arial" w:cs="Arial"/>
      <w:sz w:val="20"/>
      <w:szCs w:val="20"/>
    </w:rPr>
  </w:style>
  <w:style w:type="paragraph" w:customStyle="1" w:styleId="3796">
    <w:name w:val="表字居中"/>
    <w:basedOn w:val="1"/>
    <w:qFormat/>
    <w:uiPriority w:val="99"/>
    <w:pPr>
      <w:tabs>
        <w:tab w:val="left" w:pos="1155"/>
      </w:tabs>
      <w:ind w:firstLine="210" w:firstLineChars="100"/>
    </w:pPr>
    <w:rPr>
      <w:rFonts w:ascii="Calibri" w:hAnsi="Calibri"/>
    </w:rPr>
  </w:style>
  <w:style w:type="paragraph" w:customStyle="1" w:styleId="3797">
    <w:name w:val="title2"/>
    <w:basedOn w:val="1"/>
    <w:qFormat/>
    <w:uiPriority w:val="99"/>
    <w:pPr>
      <w:spacing w:before="100" w:beforeAutospacing="1" w:after="100" w:afterAutospacing="1"/>
    </w:pPr>
    <w:rPr>
      <w:rFonts w:ascii="宋体" w:hAnsi="宋体" w:cs="宋体"/>
      <w:kern w:val="0"/>
      <w:sz w:val="24"/>
    </w:rPr>
  </w:style>
  <w:style w:type="paragraph" w:customStyle="1" w:styleId="3798">
    <w:name w:val="Char Char2 Char Char Char Char Char Char4"/>
    <w:basedOn w:val="1"/>
    <w:qFormat/>
    <w:uiPriority w:val="99"/>
    <w:pPr>
      <w:spacing w:line="360" w:lineRule="auto"/>
    </w:pPr>
    <w:rPr>
      <w:rFonts w:ascii="宋体" w:hAnsi="宋体"/>
      <w:sz w:val="22"/>
    </w:rPr>
  </w:style>
  <w:style w:type="paragraph" w:customStyle="1" w:styleId="3799">
    <w:name w:val="样式 正文(首行缩进) + 8 磅 加粗 首行缩进:  2 字符1"/>
    <w:basedOn w:val="1"/>
    <w:semiHidden/>
    <w:qFormat/>
    <w:uiPriority w:val="0"/>
    <w:pPr>
      <w:adjustRightInd w:val="0"/>
      <w:snapToGrid w:val="0"/>
      <w:ind w:firstLine="200" w:firstLineChars="200"/>
    </w:pPr>
    <w:rPr>
      <w:rFonts w:ascii="Calibri" w:hAnsi="Calibri" w:cs="宋体"/>
      <w:b/>
      <w:bCs/>
      <w:snapToGrid w:val="0"/>
      <w:kern w:val="0"/>
      <w:sz w:val="16"/>
      <w:szCs w:val="20"/>
    </w:rPr>
  </w:style>
  <w:style w:type="paragraph" w:customStyle="1" w:styleId="3800">
    <w:name w:val="标题1q"/>
    <w:basedOn w:val="1"/>
    <w:next w:val="1"/>
    <w:qFormat/>
    <w:uiPriority w:val="99"/>
    <w:pPr>
      <w:spacing w:line="360" w:lineRule="auto"/>
      <w:ind w:left="431" w:firstLine="200" w:firstLineChars="200"/>
      <w:jc w:val="center"/>
    </w:pPr>
    <w:rPr>
      <w:rFonts w:ascii="Calibri" w:hAnsi="Calibri"/>
      <w:szCs w:val="20"/>
    </w:rPr>
  </w:style>
  <w:style w:type="paragraph" w:customStyle="1" w:styleId="3801">
    <w:name w:val="cjk"/>
    <w:basedOn w:val="1"/>
    <w:qFormat/>
    <w:uiPriority w:val="99"/>
    <w:pPr>
      <w:spacing w:before="100" w:beforeAutospacing="1"/>
    </w:pPr>
    <w:rPr>
      <w:rFonts w:hint="eastAsia" w:ascii="宋体" w:hAnsi="宋体" w:cs="Arial Unicode MS"/>
      <w:kern w:val="0"/>
      <w:sz w:val="20"/>
      <w:szCs w:val="20"/>
    </w:rPr>
  </w:style>
  <w:style w:type="paragraph" w:customStyle="1" w:styleId="3802">
    <w:name w:val="Char12"/>
    <w:basedOn w:val="1"/>
    <w:qFormat/>
    <w:uiPriority w:val="0"/>
    <w:pPr>
      <w:spacing w:before="300" w:after="300" w:line="560" w:lineRule="exact"/>
    </w:pPr>
    <w:rPr>
      <w:rFonts w:ascii="Calibri" w:hAnsi="Calibri" w:eastAsia="黑体"/>
      <w:sz w:val="36"/>
      <w:szCs w:val="36"/>
    </w:rPr>
  </w:style>
  <w:style w:type="paragraph" w:customStyle="1" w:styleId="3803">
    <w:name w:val="样式 标题 2节3号宋体居中行距2倍三号宋体居中行距2倍距三号宋体居中行距2倍标题 2 Char Char Char ...4"/>
    <w:basedOn w:val="4"/>
    <w:qFormat/>
    <w:uiPriority w:val="99"/>
    <w:pPr>
      <w:keepNext w:val="0"/>
      <w:keepLines w:val="0"/>
      <w:spacing w:before="0" w:beforeLines="50" w:after="0" w:line="360" w:lineRule="auto"/>
      <w:jc w:val="center"/>
    </w:pPr>
    <w:rPr>
      <w:rFonts w:ascii="Times New Roman" w:hAnsi="Times New Roman" w:eastAsia="宋体"/>
      <w:b w:val="0"/>
      <w:bCs w:val="0"/>
      <w:sz w:val="30"/>
    </w:rPr>
  </w:style>
  <w:style w:type="paragraph" w:customStyle="1" w:styleId="3804">
    <w:name w:val="正文图五"/>
    <w:basedOn w:val="1"/>
    <w:qFormat/>
    <w:uiPriority w:val="0"/>
    <w:pPr>
      <w:adjustRightInd w:val="0"/>
      <w:snapToGrid w:val="0"/>
      <w:jc w:val="center"/>
    </w:pPr>
    <w:rPr>
      <w:rFonts w:ascii="Calibri" w:hAnsi="Calibri" w:eastAsia="仿宋_GB2312"/>
      <w:snapToGrid w:val="0"/>
      <w:spacing w:val="6"/>
      <w:szCs w:val="20"/>
    </w:rPr>
  </w:style>
  <w:style w:type="paragraph" w:customStyle="1" w:styleId="3805">
    <w:name w:val="Char2 Char Char Char Char Char Char Char Char Char Char Char Char Char Char Char"/>
    <w:basedOn w:val="1"/>
    <w:qFormat/>
    <w:uiPriority w:val="99"/>
    <w:rPr>
      <w:rFonts w:ascii="Calibri" w:hAnsi="Calibri"/>
    </w:rPr>
  </w:style>
  <w:style w:type="paragraph" w:customStyle="1" w:styleId="3806">
    <w:name w:val="文本块1"/>
    <w:basedOn w:val="1"/>
    <w:qFormat/>
    <w:uiPriority w:val="0"/>
    <w:pPr>
      <w:ind w:left="-105" w:leftChars="-50" w:right="-105" w:rightChars="-50"/>
      <w:jc w:val="center"/>
    </w:pPr>
    <w:rPr>
      <w:rFonts w:ascii="宋体" w:hAnsi="宋体"/>
    </w:rPr>
  </w:style>
  <w:style w:type="paragraph" w:customStyle="1" w:styleId="3807">
    <w:name w:val="正文001"/>
    <w:basedOn w:val="1"/>
    <w:qFormat/>
    <w:uiPriority w:val="0"/>
    <w:pPr>
      <w:spacing w:line="440" w:lineRule="atLeast"/>
      <w:ind w:firstLine="200" w:firstLineChars="200"/>
    </w:pPr>
    <w:rPr>
      <w:rFonts w:ascii="Calibri" w:hAnsi="Calibri"/>
      <w:sz w:val="24"/>
      <w:szCs w:val="20"/>
    </w:rPr>
  </w:style>
  <w:style w:type="paragraph" w:customStyle="1" w:styleId="3808">
    <w:name w:val="正文999"/>
    <w:basedOn w:val="1"/>
    <w:qFormat/>
    <w:uiPriority w:val="0"/>
    <w:pPr>
      <w:adjustRightInd w:val="0"/>
      <w:snapToGrid w:val="0"/>
      <w:spacing w:line="360" w:lineRule="auto"/>
      <w:ind w:firstLine="480" w:firstLineChars="200"/>
    </w:pPr>
    <w:rPr>
      <w:rFonts w:ascii="宋体" w:hAnsi="宋体"/>
      <w:sz w:val="24"/>
    </w:rPr>
  </w:style>
  <w:style w:type="paragraph" w:customStyle="1" w:styleId="3809">
    <w:name w:val="Char 姬"/>
    <w:basedOn w:val="1"/>
    <w:qFormat/>
    <w:uiPriority w:val="99"/>
    <w:rPr>
      <w:rFonts w:ascii="Calibri" w:hAnsi="Calibri"/>
    </w:rPr>
  </w:style>
  <w:style w:type="paragraph" w:customStyle="1" w:styleId="3810">
    <w:name w:val="表格小5"/>
    <w:basedOn w:val="1"/>
    <w:qFormat/>
    <w:uiPriority w:val="99"/>
    <w:pPr>
      <w:autoSpaceDE w:val="0"/>
      <w:autoSpaceDN w:val="0"/>
      <w:jc w:val="center"/>
      <w:textAlignment w:val="bottom"/>
    </w:pPr>
    <w:rPr>
      <w:rFonts w:ascii="宋体" w:hAnsi="宋体"/>
      <w:kern w:val="0"/>
      <w:szCs w:val="21"/>
    </w:rPr>
  </w:style>
  <w:style w:type="paragraph" w:customStyle="1" w:styleId="3811">
    <w:name w:val="新"/>
    <w:basedOn w:val="7"/>
    <w:qFormat/>
    <w:uiPriority w:val="99"/>
    <w:pPr>
      <w:tabs>
        <w:tab w:val="left" w:pos="1008"/>
      </w:tabs>
      <w:adjustRightInd/>
      <w:snapToGrid/>
      <w:ind w:left="1008" w:hanging="1008" w:firstLineChars="0"/>
    </w:pPr>
    <w:rPr>
      <w:rFonts w:ascii="Calibri" w:hAnsi="Calibri"/>
      <w:spacing w:val="0"/>
      <w:sz w:val="24"/>
      <w:szCs w:val="20"/>
      <w:lang w:val="en-US"/>
    </w:rPr>
  </w:style>
  <w:style w:type="paragraph" w:customStyle="1" w:styleId="3812">
    <w:name w:val="g文"/>
    <w:basedOn w:val="1"/>
    <w:qFormat/>
    <w:uiPriority w:val="99"/>
    <w:pPr>
      <w:spacing w:line="460" w:lineRule="exact"/>
      <w:ind w:firstLine="457" w:firstLineChars="196"/>
    </w:pPr>
    <w:rPr>
      <w:rFonts w:ascii="Calibri" w:hAnsi="Calibri"/>
      <w:bCs/>
      <w:kern w:val="0"/>
      <w:sz w:val="24"/>
      <w:lang w:val="zh-CN"/>
    </w:rPr>
  </w:style>
  <w:style w:type="paragraph" w:customStyle="1" w:styleId="3813">
    <w:name w:val="宋小四缩"/>
    <w:basedOn w:val="1"/>
    <w:qFormat/>
    <w:uiPriority w:val="99"/>
    <w:pPr>
      <w:spacing w:line="360" w:lineRule="auto"/>
      <w:ind w:firstLine="480" w:firstLineChars="200"/>
    </w:pPr>
    <w:rPr>
      <w:rFonts w:ascii="宋体" w:hAnsi="宋体" w:cs="黑体"/>
      <w:color w:val="000000"/>
      <w:sz w:val="24"/>
      <w:szCs w:val="22"/>
    </w:rPr>
  </w:style>
  <w:style w:type="paragraph" w:customStyle="1" w:styleId="3814">
    <w:name w:val="样式 标题 1 + 宋体 四号 居中"/>
    <w:basedOn w:val="3"/>
    <w:qFormat/>
    <w:uiPriority w:val="99"/>
    <w:pPr>
      <w:adjustRightInd w:val="0"/>
      <w:snapToGrid w:val="0"/>
      <w:spacing w:before="0" w:after="0" w:line="600" w:lineRule="exact"/>
      <w:jc w:val="center"/>
    </w:pPr>
    <w:rPr>
      <w:bCs w:val="0"/>
      <w:color w:val="FF0000"/>
      <w:sz w:val="32"/>
      <w:szCs w:val="28"/>
    </w:rPr>
  </w:style>
  <w:style w:type="paragraph" w:customStyle="1" w:styleId="3815">
    <w:name w:val="正文411"/>
    <w:basedOn w:val="1"/>
    <w:qFormat/>
    <w:uiPriority w:val="99"/>
    <w:pPr>
      <w:adjustRightInd w:val="0"/>
      <w:spacing w:line="480" w:lineRule="exact"/>
      <w:textAlignment w:val="baseline"/>
    </w:pPr>
    <w:rPr>
      <w:rFonts w:ascii="Calibri" w:hAnsi="Calibri"/>
      <w:spacing w:val="-2"/>
      <w:kern w:val="0"/>
      <w:sz w:val="28"/>
      <w:szCs w:val="20"/>
    </w:rPr>
  </w:style>
  <w:style w:type="paragraph" w:customStyle="1" w:styleId="3816">
    <w:name w:val="通用"/>
    <w:basedOn w:val="1"/>
    <w:qFormat/>
    <w:uiPriority w:val="99"/>
    <w:pPr>
      <w:spacing w:before="120" w:after="120" w:line="300" w:lineRule="exact"/>
      <w:ind w:right="216"/>
    </w:pPr>
    <w:rPr>
      <w:rFonts w:ascii="Garamond" w:hAnsi="Garamond"/>
      <w:spacing w:val="40"/>
      <w:kern w:val="0"/>
      <w:sz w:val="24"/>
      <w:szCs w:val="20"/>
    </w:rPr>
  </w:style>
  <w:style w:type="paragraph" w:customStyle="1" w:styleId="3817">
    <w:name w:val="样式 标题 2二级标题标题 lxb2标题21.1H2h2第一层条二级标题 Char单位名4.1SeHea..."/>
    <w:basedOn w:val="341"/>
    <w:next w:val="341"/>
    <w:semiHidden/>
    <w:qFormat/>
    <w:uiPriority w:val="0"/>
    <w:pPr>
      <w:adjustRightInd/>
      <w:snapToGrid/>
      <w:spacing w:line="360" w:lineRule="auto"/>
      <w:ind w:firstLine="0" w:firstLineChars="0"/>
    </w:pPr>
    <w:rPr>
      <w:rFonts w:eastAsia="黑体" w:cs="宋体"/>
      <w:b/>
      <w:spacing w:val="0"/>
      <w:szCs w:val="24"/>
      <w:lang w:val="en-US"/>
    </w:rPr>
  </w:style>
  <w:style w:type="paragraph" w:customStyle="1" w:styleId="3818">
    <w:name w:val="报告日期"/>
    <w:basedOn w:val="1"/>
    <w:qFormat/>
    <w:uiPriority w:val="99"/>
    <w:pPr>
      <w:spacing w:line="360" w:lineRule="auto"/>
      <w:jc w:val="center"/>
    </w:pPr>
    <w:rPr>
      <w:rFonts w:ascii="宋体" w:hAnsi="Calibri"/>
      <w:sz w:val="36"/>
      <w:szCs w:val="20"/>
    </w:rPr>
  </w:style>
  <w:style w:type="paragraph" w:customStyle="1" w:styleId="3819">
    <w:name w:val="样式 标题 2h22Header 2nd PageA.B.C.h2 main h标题2 + 仿宋_GB2312 行距..."/>
    <w:basedOn w:val="4"/>
    <w:qFormat/>
    <w:uiPriority w:val="99"/>
    <w:pPr>
      <w:spacing w:before="0" w:after="0" w:line="360" w:lineRule="auto"/>
      <w:ind w:firstLine="455" w:firstLineChars="162"/>
    </w:pPr>
    <w:rPr>
      <w:rFonts w:ascii="仿宋_GB2312" w:hAnsi="ˎ̥" w:eastAsia="仿宋_GB2312" w:cs="宋体"/>
      <w:b w:val="0"/>
      <w:sz w:val="28"/>
      <w:szCs w:val="20"/>
    </w:rPr>
  </w:style>
  <w:style w:type="paragraph" w:customStyle="1" w:styleId="3820">
    <w:name w:val="正文表格"/>
    <w:basedOn w:val="1"/>
    <w:qFormat/>
    <w:uiPriority w:val="0"/>
    <w:pPr>
      <w:keepNext/>
      <w:keepLines/>
      <w:spacing w:before="80"/>
      <w:jc w:val="center"/>
      <w:textAlignment w:val="bottom"/>
    </w:pPr>
    <w:rPr>
      <w:rFonts w:ascii="Calibri" w:hAnsi="Calibri"/>
    </w:rPr>
  </w:style>
  <w:style w:type="paragraph" w:customStyle="1" w:styleId="3821">
    <w:name w:val="正文文本缩进11"/>
    <w:basedOn w:val="1"/>
    <w:qFormat/>
    <w:uiPriority w:val="99"/>
    <w:pPr>
      <w:spacing w:line="360" w:lineRule="auto"/>
      <w:ind w:firstLine="480" w:firstLineChars="200"/>
    </w:pPr>
    <w:rPr>
      <w:rFonts w:ascii="Calibri" w:hAnsi="Calibri"/>
      <w:kern w:val="0"/>
      <w:sz w:val="24"/>
      <w:szCs w:val="20"/>
    </w:rPr>
  </w:style>
  <w:style w:type="paragraph" w:customStyle="1" w:styleId="3822">
    <w:name w:val="样式 宋体 四号 行距: 1.5 倍行距"/>
    <w:basedOn w:val="1"/>
    <w:qFormat/>
    <w:uiPriority w:val="99"/>
    <w:pPr>
      <w:tabs>
        <w:tab w:val="left" w:pos="1440"/>
      </w:tabs>
      <w:snapToGrid w:val="0"/>
      <w:spacing w:line="360" w:lineRule="auto"/>
      <w:ind w:right="-170" w:firstLine="480" w:firstLineChars="200"/>
    </w:pPr>
    <w:rPr>
      <w:rFonts w:ascii="宋体" w:hAnsi="宋体"/>
      <w:sz w:val="24"/>
    </w:rPr>
  </w:style>
  <w:style w:type="paragraph" w:customStyle="1" w:styleId="3823">
    <w:name w:val="样式 标题 2 + (西文) Times New Roman (中文) 宋体 段前: 6 磅 段后: 6 磅 行距: 1..."/>
    <w:basedOn w:val="4"/>
    <w:qFormat/>
    <w:uiPriority w:val="99"/>
    <w:pPr>
      <w:spacing w:before="0" w:after="0" w:line="500" w:lineRule="exact"/>
    </w:pPr>
    <w:rPr>
      <w:rFonts w:ascii="Times New Roman" w:hAnsi="Times New Roman" w:eastAsia="宋体"/>
      <w:sz w:val="28"/>
      <w:szCs w:val="28"/>
    </w:rPr>
  </w:style>
  <w:style w:type="paragraph" w:customStyle="1" w:styleId="3824">
    <w:name w:val="文档结构图1"/>
    <w:basedOn w:val="1"/>
    <w:qFormat/>
    <w:uiPriority w:val="0"/>
    <w:pPr>
      <w:shd w:val="clear" w:color="auto" w:fill="000080"/>
    </w:pPr>
    <w:rPr>
      <w:rFonts w:ascii="Calibri" w:hAnsi="Calibri"/>
      <w:szCs w:val="22"/>
    </w:rPr>
  </w:style>
  <w:style w:type="paragraph" w:customStyle="1" w:styleId="3825">
    <w:name w:val="报告正文小四"/>
    <w:basedOn w:val="1"/>
    <w:qFormat/>
    <w:uiPriority w:val="99"/>
    <w:pPr>
      <w:adjustRightInd w:val="0"/>
      <w:snapToGrid w:val="0"/>
      <w:spacing w:before="120" w:line="420" w:lineRule="atLeast"/>
      <w:ind w:firstLine="510"/>
    </w:pPr>
    <w:rPr>
      <w:rFonts w:ascii="Calibri" w:hAnsi="Calibri"/>
      <w:sz w:val="24"/>
      <w:szCs w:val="20"/>
    </w:rPr>
  </w:style>
  <w:style w:type="paragraph" w:customStyle="1" w:styleId="3826">
    <w:name w:val="Char Char Char Char Char Char Char Char Char1"/>
    <w:basedOn w:val="1"/>
    <w:qFormat/>
    <w:uiPriority w:val="99"/>
    <w:rPr>
      <w:rFonts w:ascii="Calibri" w:hAnsi="Calibri"/>
    </w:rPr>
  </w:style>
  <w:style w:type="paragraph" w:customStyle="1" w:styleId="3827">
    <w:name w:val="表题注"/>
    <w:basedOn w:val="2230"/>
    <w:qFormat/>
    <w:uiPriority w:val="99"/>
    <w:pPr>
      <w:tabs>
        <w:tab w:val="left" w:pos="420"/>
        <w:tab w:val="left" w:pos="480"/>
        <w:tab w:val="left" w:pos="840"/>
        <w:tab w:val="left" w:pos="945"/>
      </w:tabs>
      <w:snapToGrid/>
      <w:spacing w:beforeLines="50" w:afterLines="50" w:line="400" w:lineRule="atLeast"/>
      <w:ind w:left="420" w:leftChars="200" w:firstLine="0"/>
      <w:textAlignment w:val="auto"/>
    </w:pPr>
    <w:rPr>
      <w:b/>
    </w:rPr>
  </w:style>
  <w:style w:type="paragraph" w:customStyle="1" w:styleId="3828">
    <w:name w:val="p17"/>
    <w:basedOn w:val="1"/>
    <w:qFormat/>
    <w:uiPriority w:val="0"/>
    <w:pPr>
      <w:spacing w:line="400" w:lineRule="atLeast"/>
      <w:ind w:firstLine="420"/>
    </w:pPr>
    <w:rPr>
      <w:rFonts w:ascii="Calibri" w:hAnsi="Calibri"/>
      <w:kern w:val="0"/>
      <w:sz w:val="24"/>
    </w:rPr>
  </w:style>
  <w:style w:type="paragraph" w:customStyle="1" w:styleId="3829">
    <w:name w:val="样式19"/>
    <w:basedOn w:val="4"/>
    <w:qFormat/>
    <w:uiPriority w:val="0"/>
    <w:pPr>
      <w:keepNext w:val="0"/>
      <w:keepLines w:val="0"/>
      <w:tabs>
        <w:tab w:val="left" w:pos="630"/>
        <w:tab w:val="left" w:pos="840"/>
        <w:tab w:val="left" w:pos="1287"/>
        <w:tab w:val="left" w:pos="3920"/>
        <w:tab w:val="left" w:pos="5670"/>
      </w:tabs>
      <w:snapToGrid w:val="0"/>
      <w:spacing w:before="60" w:after="60" w:line="520" w:lineRule="exact"/>
      <w:ind w:firstLine="567"/>
    </w:pPr>
    <w:rPr>
      <w:rFonts w:ascii="Times New Roman" w:hAnsi="Times New Roman" w:eastAsia="华文行楷"/>
      <w:color w:val="000000"/>
      <w:kern w:val="0"/>
      <w:sz w:val="30"/>
      <w:szCs w:val="30"/>
    </w:rPr>
  </w:style>
  <w:style w:type="paragraph" w:customStyle="1" w:styleId="3830">
    <w:name w:val="Char Char1 Char3"/>
    <w:basedOn w:val="1"/>
    <w:qFormat/>
    <w:uiPriority w:val="99"/>
    <w:rPr>
      <w:rFonts w:ascii="Calibri" w:hAnsi="Calibri"/>
    </w:rPr>
  </w:style>
  <w:style w:type="paragraph" w:customStyle="1" w:styleId="3831">
    <w:name w:val="Char20"/>
    <w:basedOn w:val="1"/>
    <w:qFormat/>
    <w:uiPriority w:val="99"/>
    <w:pPr>
      <w:spacing w:line="360" w:lineRule="auto"/>
      <w:ind w:firstLine="200" w:firstLineChars="200"/>
    </w:pPr>
    <w:rPr>
      <w:rFonts w:ascii="宋体" w:hAnsi="宋体" w:cs="宋体"/>
      <w:sz w:val="24"/>
    </w:rPr>
  </w:style>
  <w:style w:type="paragraph" w:customStyle="1" w:styleId="3832">
    <w:name w:val="标题 711"/>
    <w:basedOn w:val="1"/>
    <w:next w:val="1"/>
    <w:qFormat/>
    <w:uiPriority w:val="99"/>
    <w:pPr>
      <w:overflowPunct w:val="0"/>
      <w:snapToGrid w:val="0"/>
      <w:spacing w:before="120" w:line="380" w:lineRule="exact"/>
      <w:ind w:firstLine="567"/>
      <w:textAlignment w:val="baseline"/>
      <w:outlineLvl w:val="6"/>
    </w:pPr>
    <w:rPr>
      <w:rFonts w:ascii="Arial" w:hAnsi="Arial" w:eastAsia="仿宋_GB2312"/>
      <w:kern w:val="0"/>
      <w:sz w:val="24"/>
      <w:szCs w:val="20"/>
    </w:rPr>
  </w:style>
  <w:style w:type="paragraph" w:customStyle="1" w:styleId="3833">
    <w:name w:val="正文位子1"/>
    <w:basedOn w:val="34"/>
    <w:qFormat/>
    <w:uiPriority w:val="99"/>
    <w:pPr>
      <w:wordWrap w:val="0"/>
      <w:topLinePunct/>
      <w:autoSpaceDN w:val="0"/>
      <w:jc w:val="center"/>
    </w:pPr>
    <w:rPr>
      <w:rFonts w:ascii="Calibri" w:hAnsi="Calibri" w:eastAsia="楷体_GB2312"/>
      <w:w w:val="90"/>
    </w:rPr>
  </w:style>
  <w:style w:type="paragraph" w:customStyle="1" w:styleId="3834">
    <w:name w:val="标题 811"/>
    <w:basedOn w:val="1"/>
    <w:next w:val="1"/>
    <w:qFormat/>
    <w:uiPriority w:val="99"/>
    <w:pPr>
      <w:overflowPunct w:val="0"/>
      <w:snapToGrid w:val="0"/>
      <w:spacing w:before="120" w:line="380" w:lineRule="exact"/>
      <w:ind w:firstLine="567"/>
      <w:textAlignment w:val="baseline"/>
      <w:outlineLvl w:val="7"/>
    </w:pPr>
    <w:rPr>
      <w:rFonts w:ascii="Arial" w:hAnsi="Arial" w:eastAsia="仿宋_GB2312"/>
      <w:kern w:val="0"/>
      <w:sz w:val="24"/>
      <w:szCs w:val="20"/>
    </w:rPr>
  </w:style>
  <w:style w:type="paragraph" w:customStyle="1" w:styleId="3835">
    <w:name w:val="正文排版"/>
    <w:basedOn w:val="1"/>
    <w:qFormat/>
    <w:uiPriority w:val="99"/>
    <w:pPr>
      <w:spacing w:line="500" w:lineRule="exact"/>
      <w:ind w:firstLine="560" w:firstLineChars="200"/>
    </w:pPr>
    <w:rPr>
      <w:rFonts w:ascii="宋体" w:hAnsi="宋体"/>
      <w:color w:val="000000"/>
      <w:sz w:val="28"/>
      <w:szCs w:val="28"/>
    </w:rPr>
  </w:style>
  <w:style w:type="paragraph" w:customStyle="1" w:styleId="3836">
    <w:name w:val="样式 样式 小四 + 首行缩进:  2 字符"/>
    <w:basedOn w:val="1"/>
    <w:qFormat/>
    <w:uiPriority w:val="99"/>
    <w:pPr>
      <w:adjustRightInd w:val="0"/>
      <w:snapToGrid w:val="0"/>
      <w:jc w:val="center"/>
    </w:pPr>
    <w:rPr>
      <w:rFonts w:ascii="Calibri" w:hAnsi="宋体"/>
      <w:sz w:val="24"/>
    </w:rPr>
  </w:style>
  <w:style w:type="paragraph" w:customStyle="1" w:styleId="3837">
    <w:name w:val="8.7.1"/>
    <w:basedOn w:val="5"/>
    <w:qFormat/>
    <w:uiPriority w:val="99"/>
    <w:pPr>
      <w:adjustRightInd w:val="0"/>
      <w:snapToGrid w:val="0"/>
      <w:spacing w:before="0" w:after="0" w:line="500" w:lineRule="exact"/>
    </w:pPr>
    <w:rPr>
      <w:sz w:val="28"/>
      <w:szCs w:val="28"/>
    </w:rPr>
  </w:style>
  <w:style w:type="paragraph" w:customStyle="1" w:styleId="3838">
    <w:name w:val="Char Char Char1 Char Char Char Char7"/>
    <w:basedOn w:val="1"/>
    <w:next w:val="1"/>
    <w:qFormat/>
    <w:uiPriority w:val="99"/>
    <w:pPr>
      <w:spacing w:line="360" w:lineRule="auto"/>
      <w:ind w:firstLine="200" w:firstLineChars="200"/>
    </w:pPr>
    <w:rPr>
      <w:rFonts w:ascii="宋体" w:hAnsi="宋体" w:eastAsia="汉鼎简书宋" w:cs="宋体"/>
      <w:sz w:val="24"/>
    </w:rPr>
  </w:style>
  <w:style w:type="paragraph" w:customStyle="1" w:styleId="3839">
    <w:name w:val="表格内"/>
    <w:basedOn w:val="1"/>
    <w:qFormat/>
    <w:uiPriority w:val="0"/>
    <w:pPr>
      <w:spacing w:line="240" w:lineRule="atLeast"/>
      <w:jc w:val="center"/>
    </w:pPr>
    <w:rPr>
      <w:rFonts w:hint="eastAsia" w:ascii="宋体" w:hAnsi="Calibri"/>
      <w:szCs w:val="20"/>
    </w:rPr>
  </w:style>
  <w:style w:type="paragraph" w:customStyle="1" w:styleId="3840">
    <w:name w:val="Cathy正文"/>
    <w:basedOn w:val="1"/>
    <w:qFormat/>
    <w:uiPriority w:val="99"/>
    <w:pPr>
      <w:spacing w:line="360" w:lineRule="auto"/>
      <w:ind w:firstLine="200"/>
    </w:pPr>
    <w:rPr>
      <w:rFonts w:ascii="Calibri" w:hAnsi="Calibri"/>
      <w:sz w:val="24"/>
      <w:szCs w:val="20"/>
    </w:rPr>
  </w:style>
  <w:style w:type="paragraph" w:customStyle="1" w:styleId="3841">
    <w:name w:val="bg表头"/>
    <w:basedOn w:val="2753"/>
    <w:next w:val="1"/>
    <w:qFormat/>
    <w:uiPriority w:val="99"/>
    <w:pPr>
      <w:spacing w:line="240" w:lineRule="auto"/>
    </w:pPr>
    <w:rPr>
      <w:rFonts w:eastAsia="黑体"/>
    </w:rPr>
  </w:style>
  <w:style w:type="paragraph" w:customStyle="1" w:styleId="3842">
    <w:name w:val="Char Char Char Char Char2 Char Char Char Char1"/>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843">
    <w:name w:val="样式 标题 2 + 宋体 四号 行距: 1.5 倍行距"/>
    <w:basedOn w:val="4"/>
    <w:qFormat/>
    <w:uiPriority w:val="99"/>
    <w:pPr>
      <w:spacing w:before="140" w:after="140" w:line="360" w:lineRule="auto"/>
    </w:pPr>
    <w:rPr>
      <w:rFonts w:ascii="宋体" w:hAnsi="宋体" w:eastAsia="宋体" w:cs="宋体"/>
      <w:sz w:val="28"/>
      <w:szCs w:val="20"/>
    </w:rPr>
  </w:style>
  <w:style w:type="paragraph" w:customStyle="1" w:styleId="3844">
    <w:name w:val="Style141"/>
    <w:basedOn w:val="1"/>
    <w:qFormat/>
    <w:uiPriority w:val="99"/>
    <w:pPr>
      <w:adjustRightInd w:val="0"/>
    </w:pPr>
    <w:rPr>
      <w:rFonts w:ascii="宋体" w:hAnsi="Calibri"/>
      <w:kern w:val="0"/>
      <w:sz w:val="24"/>
    </w:rPr>
  </w:style>
  <w:style w:type="paragraph" w:customStyle="1" w:styleId="3845">
    <w:name w:val="Char Char Char1 Char9"/>
    <w:basedOn w:val="1"/>
    <w:next w:val="1"/>
    <w:qFormat/>
    <w:uiPriority w:val="99"/>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3846">
    <w:name w:val="样式 标题 3小节标题标题 3 Char小标题4号宋体左齐行距1.5倍四号宋体左齐行距1.5倍条标题1.1.13..."/>
    <w:basedOn w:val="5"/>
    <w:qFormat/>
    <w:uiPriority w:val="99"/>
    <w:pPr>
      <w:adjustRightInd w:val="0"/>
      <w:snapToGrid w:val="0"/>
      <w:spacing w:before="0" w:after="0" w:line="360" w:lineRule="auto"/>
      <w:ind w:firstLine="150" w:firstLineChars="150"/>
    </w:pPr>
    <w:rPr>
      <w:rFonts w:cs="宋体"/>
      <w:kern w:val="0"/>
      <w:sz w:val="30"/>
      <w:szCs w:val="20"/>
    </w:rPr>
  </w:style>
  <w:style w:type="paragraph" w:customStyle="1" w:styleId="3847">
    <w:name w:val="样式 加粗 左侧:  0.32 厘米"/>
    <w:basedOn w:val="1"/>
    <w:qFormat/>
    <w:uiPriority w:val="0"/>
    <w:pPr>
      <w:spacing w:line="500" w:lineRule="exact"/>
      <w:ind w:left="180"/>
    </w:pPr>
    <w:rPr>
      <w:rFonts w:ascii="Calibri" w:hAnsi="Calibri" w:cs="宋体"/>
      <w:b/>
      <w:bCs/>
      <w:sz w:val="28"/>
      <w:szCs w:val="20"/>
    </w:rPr>
  </w:style>
  <w:style w:type="paragraph" w:customStyle="1" w:styleId="3848">
    <w:name w:val="标题2 宋体"/>
    <w:basedOn w:val="4"/>
    <w:qFormat/>
    <w:uiPriority w:val="99"/>
    <w:pPr>
      <w:spacing w:before="120" w:after="120" w:line="360" w:lineRule="auto"/>
    </w:pPr>
    <w:rPr>
      <w:rFonts w:ascii="宋体" w:hAnsi="宋体" w:eastAsia="宋体" w:cs="宋体"/>
      <w:b w:val="0"/>
      <w:bCs w:val="0"/>
      <w:sz w:val="28"/>
      <w:szCs w:val="28"/>
    </w:rPr>
  </w:style>
  <w:style w:type="paragraph" w:customStyle="1" w:styleId="3849">
    <w:name w:val="钢--3"/>
    <w:basedOn w:val="3699"/>
    <w:next w:val="3699"/>
    <w:qFormat/>
    <w:uiPriority w:val="99"/>
    <w:pPr>
      <w:spacing w:before="120" w:after="120"/>
      <w:ind w:left="315" w:leftChars="150" w:firstLine="0" w:firstLineChars="0"/>
      <w:outlineLvl w:val="2"/>
    </w:pPr>
    <w:rPr>
      <w:b/>
    </w:rPr>
  </w:style>
  <w:style w:type="paragraph" w:customStyle="1" w:styleId="3850">
    <w:name w:val="表名1"/>
    <w:basedOn w:val="235"/>
    <w:qFormat/>
    <w:uiPriority w:val="0"/>
    <w:pPr>
      <w:keepNext/>
      <w:overflowPunct w:val="0"/>
      <w:adjustRightInd w:val="0"/>
      <w:snapToGrid w:val="0"/>
      <w:spacing w:line="240" w:lineRule="auto"/>
      <w:textAlignment w:val="baseline"/>
    </w:pPr>
    <w:rPr>
      <w:rFonts w:hAnsiTheme="minorHAnsi" w:cstheme="minorBidi"/>
      <w:kern w:val="24"/>
      <w:sz w:val="21"/>
      <w:szCs w:val="21"/>
    </w:rPr>
  </w:style>
  <w:style w:type="paragraph" w:customStyle="1" w:styleId="3851">
    <w:name w:val="新标题3"/>
    <w:basedOn w:val="1"/>
    <w:qFormat/>
    <w:uiPriority w:val="99"/>
    <w:pPr>
      <w:keepNext/>
      <w:autoSpaceDE w:val="0"/>
      <w:autoSpaceDN w:val="0"/>
      <w:adjustRightInd w:val="0"/>
      <w:spacing w:before="120" w:after="120" w:line="460" w:lineRule="exact"/>
      <w:outlineLvl w:val="2"/>
    </w:pPr>
    <w:rPr>
      <w:rFonts w:ascii="黑体" w:hAnsi="Calibri" w:eastAsia="黑体" w:cs="宋体"/>
      <w:b/>
      <w:bCs/>
      <w:color w:val="000000"/>
      <w:sz w:val="24"/>
      <w:lang w:val="zh-CN"/>
    </w:rPr>
  </w:style>
  <w:style w:type="paragraph" w:customStyle="1" w:styleId="3852">
    <w:name w:val="标题样式2"/>
    <w:basedOn w:val="1"/>
    <w:qFormat/>
    <w:uiPriority w:val="0"/>
    <w:pPr>
      <w:adjustRightInd w:val="0"/>
      <w:spacing w:line="480" w:lineRule="atLeast"/>
      <w:textAlignment w:val="baseline"/>
    </w:pPr>
    <w:rPr>
      <w:rFonts w:ascii="新宋体" w:hAnsi="新宋体" w:eastAsia="仿宋_GB2312"/>
      <w:kern w:val="0"/>
      <w:sz w:val="28"/>
      <w:szCs w:val="20"/>
    </w:rPr>
  </w:style>
  <w:style w:type="paragraph" w:customStyle="1" w:styleId="3853">
    <w:name w:val="0001"/>
    <w:basedOn w:val="3"/>
    <w:qFormat/>
    <w:uiPriority w:val="99"/>
    <w:pPr>
      <w:pageBreakBefore/>
      <w:adjustRightInd w:val="0"/>
      <w:snapToGrid w:val="0"/>
      <w:spacing w:before="0" w:beforeLines="200" w:after="0" w:line="360" w:lineRule="auto"/>
      <w:jc w:val="center"/>
    </w:pPr>
    <w:rPr>
      <w:rFonts w:ascii="宋体"/>
      <w:bCs w:val="0"/>
      <w:kern w:val="0"/>
      <w:sz w:val="36"/>
      <w:szCs w:val="20"/>
    </w:rPr>
  </w:style>
  <w:style w:type="paragraph" w:customStyle="1" w:styleId="3854">
    <w:name w:val="四级标题1.1.1.1"/>
    <w:basedOn w:val="1"/>
    <w:next w:val="1"/>
    <w:qFormat/>
    <w:uiPriority w:val="99"/>
    <w:pPr>
      <w:keepNext/>
      <w:keepLines/>
      <w:adjustRightInd w:val="0"/>
      <w:spacing w:before="40" w:after="40" w:line="360" w:lineRule="auto"/>
      <w:textAlignment w:val="baseline"/>
      <w:outlineLvl w:val="3"/>
    </w:pPr>
    <w:rPr>
      <w:rFonts w:ascii="宋体" w:hAnsi="宋体" w:cs="宋体"/>
      <w:b/>
      <w:color w:val="000000"/>
      <w:sz w:val="24"/>
      <w:szCs w:val="28"/>
    </w:rPr>
  </w:style>
  <w:style w:type="paragraph" w:customStyle="1" w:styleId="3855">
    <w:name w:val="样式 纯文本表内文字 + 楷体_GB2312 左"/>
    <w:basedOn w:val="1"/>
    <w:qFormat/>
    <w:uiPriority w:val="0"/>
    <w:pPr>
      <w:tabs>
        <w:tab w:val="left" w:pos="1350"/>
      </w:tabs>
      <w:autoSpaceDE w:val="0"/>
      <w:autoSpaceDN w:val="0"/>
      <w:adjustRightInd w:val="0"/>
      <w:snapToGrid w:val="0"/>
      <w:spacing w:line="320" w:lineRule="exact"/>
    </w:pPr>
    <w:rPr>
      <w:rFonts w:ascii="Arial" w:hAnsi="Arial" w:eastAsia="楷体_GB2312" w:cs="宋体"/>
      <w:szCs w:val="21"/>
    </w:rPr>
  </w:style>
  <w:style w:type="paragraph" w:customStyle="1" w:styleId="3856">
    <w:name w:val="Char Char3 Char Char Char Char4"/>
    <w:basedOn w:val="1"/>
    <w:qFormat/>
    <w:uiPriority w:val="99"/>
    <w:pPr>
      <w:spacing w:after="160" w:line="240" w:lineRule="exact"/>
    </w:pPr>
    <w:rPr>
      <w:rFonts w:ascii="Verdana" w:hAnsi="Verdana"/>
      <w:kern w:val="0"/>
      <w:sz w:val="20"/>
      <w:szCs w:val="20"/>
      <w:lang w:eastAsia="en-US"/>
    </w:rPr>
  </w:style>
  <w:style w:type="paragraph" w:customStyle="1" w:styleId="3857">
    <w:name w:val="样式 文本 + 小四"/>
    <w:basedOn w:val="1"/>
    <w:qFormat/>
    <w:uiPriority w:val="99"/>
    <w:pPr>
      <w:spacing w:line="360" w:lineRule="auto"/>
      <w:ind w:firstLine="440" w:firstLineChars="200"/>
    </w:pPr>
    <w:rPr>
      <w:rFonts w:ascii="仿宋_GB2312" w:hAnsi="宋体" w:eastAsia="Times New Roman" w:cs="宋体"/>
      <w:spacing w:val="-10"/>
      <w:sz w:val="24"/>
      <w:szCs w:val="30"/>
      <w:lang w:val="en-GB"/>
    </w:rPr>
  </w:style>
  <w:style w:type="paragraph" w:customStyle="1" w:styleId="3858">
    <w:name w:val="样式 样式 左侧:  2 字符 段后: 0.5 行 + 首行缩进:  2 字符 段后: 0.5 行"/>
    <w:basedOn w:val="1"/>
    <w:qFormat/>
    <w:uiPriority w:val="0"/>
    <w:pPr>
      <w:spacing w:afterLines="50" w:line="300" w:lineRule="auto"/>
      <w:ind w:firstLine="560" w:firstLineChars="200"/>
    </w:pPr>
    <w:rPr>
      <w:rFonts w:ascii="Calibri" w:hAnsi="Calibri" w:eastAsia="仿宋_GB2312"/>
      <w:sz w:val="28"/>
      <w:szCs w:val="28"/>
    </w:rPr>
  </w:style>
  <w:style w:type="paragraph" w:customStyle="1" w:styleId="3859">
    <w:name w:val="reader-word-layer reader-word-s4-13"/>
    <w:basedOn w:val="1"/>
    <w:qFormat/>
    <w:uiPriority w:val="99"/>
    <w:pPr>
      <w:spacing w:before="100" w:beforeAutospacing="1" w:after="100" w:afterAutospacing="1" w:line="300" w:lineRule="auto"/>
    </w:pPr>
    <w:rPr>
      <w:rFonts w:ascii="宋体" w:hAnsi="宋体" w:cs="宋体"/>
      <w:kern w:val="0"/>
      <w:sz w:val="24"/>
    </w:rPr>
  </w:style>
  <w:style w:type="paragraph" w:customStyle="1" w:styleId="3860">
    <w:name w:val="666666-标题4"/>
    <w:basedOn w:val="3421"/>
    <w:qFormat/>
    <w:uiPriority w:val="99"/>
    <w:pPr>
      <w:spacing w:line="440" w:lineRule="exact"/>
    </w:pPr>
    <w:rPr>
      <w:b/>
      <w:szCs w:val="20"/>
    </w:rPr>
  </w:style>
  <w:style w:type="paragraph" w:customStyle="1" w:styleId="3861">
    <w:name w:val="Style102"/>
    <w:basedOn w:val="1"/>
    <w:qFormat/>
    <w:uiPriority w:val="99"/>
    <w:pPr>
      <w:adjustRightInd w:val="0"/>
      <w:spacing w:line="466" w:lineRule="exact"/>
      <w:jc w:val="center"/>
    </w:pPr>
    <w:rPr>
      <w:rFonts w:ascii="宋体" w:hAnsi="Calibri"/>
      <w:kern w:val="0"/>
      <w:sz w:val="24"/>
    </w:rPr>
  </w:style>
  <w:style w:type="paragraph" w:customStyle="1" w:styleId="3862">
    <w:name w:val="可研标题4"/>
    <w:basedOn w:val="1"/>
    <w:qFormat/>
    <w:uiPriority w:val="99"/>
    <w:pPr>
      <w:keepNext/>
      <w:keepLines/>
      <w:adjustRightInd w:val="0"/>
      <w:snapToGrid w:val="0"/>
      <w:spacing w:beforeLines="50" w:afterLines="50"/>
      <w:outlineLvl w:val="4"/>
    </w:pPr>
    <w:rPr>
      <w:rFonts w:ascii="黑体" w:hAnsi="宋体" w:eastAsia="黑体"/>
      <w:bCs/>
      <w:kern w:val="24"/>
      <w:sz w:val="28"/>
      <w:szCs w:val="30"/>
    </w:rPr>
  </w:style>
  <w:style w:type="paragraph" w:customStyle="1" w:styleId="3863">
    <w:name w:val="Body Text 22"/>
    <w:basedOn w:val="1"/>
    <w:qFormat/>
    <w:uiPriority w:val="0"/>
    <w:pPr>
      <w:adjustRightInd w:val="0"/>
      <w:spacing w:line="440" w:lineRule="atLeast"/>
      <w:ind w:firstLine="480"/>
    </w:pPr>
    <w:rPr>
      <w:rFonts w:ascii="Calibri" w:hAnsi="Calibri" w:eastAsia="仿宋_GB2312"/>
      <w:sz w:val="24"/>
      <w:szCs w:val="20"/>
    </w:rPr>
  </w:style>
  <w:style w:type="paragraph" w:customStyle="1" w:styleId="3864">
    <w:name w:val="正文 1"/>
    <w:basedOn w:val="51"/>
    <w:qFormat/>
    <w:uiPriority w:val="0"/>
    <w:pPr>
      <w:snapToGrid w:val="0"/>
      <w:spacing w:after="0" w:line="420" w:lineRule="exact"/>
      <w:ind w:left="0" w:leftChars="0" w:firstLine="425" w:firstLineChars="200"/>
    </w:pPr>
    <w:rPr>
      <w:rFonts w:ascii="Arial" w:hAnsi="Arial" w:cstheme="minorBidi"/>
      <w:kern w:val="0"/>
      <w:szCs w:val="20"/>
      <w:lang w:val="en-US"/>
    </w:rPr>
  </w:style>
  <w:style w:type="paragraph" w:customStyle="1" w:styleId="3865">
    <w:name w:val="Char Char Char Char Char Char Char Char Char Char Char Char Char Char Char Char Char Char Char2"/>
    <w:basedOn w:val="1"/>
    <w:qFormat/>
    <w:uiPriority w:val="99"/>
    <w:rPr>
      <w:rFonts w:ascii="Calibri" w:hAnsi="Calibri"/>
      <w:sz w:val="20"/>
      <w:szCs w:val="20"/>
    </w:rPr>
  </w:style>
  <w:style w:type="paragraph" w:customStyle="1" w:styleId="3866">
    <w:name w:val="索引标题1"/>
    <w:basedOn w:val="1"/>
    <w:next w:val="3662"/>
    <w:qFormat/>
    <w:uiPriority w:val="99"/>
    <w:pPr>
      <w:ind w:firstLine="480"/>
    </w:pPr>
    <w:rPr>
      <w:rFonts w:ascii="Calibri" w:hAnsi="Calibri"/>
      <w:szCs w:val="20"/>
    </w:rPr>
  </w:style>
  <w:style w:type="paragraph" w:customStyle="1" w:styleId="3867">
    <w:name w:val="表－居中列"/>
    <w:basedOn w:val="1"/>
    <w:qFormat/>
    <w:uiPriority w:val="0"/>
    <w:pPr>
      <w:suppressLineNumbers/>
      <w:suppressAutoHyphens/>
      <w:snapToGrid w:val="0"/>
      <w:spacing w:line="440" w:lineRule="exact"/>
      <w:jc w:val="center"/>
    </w:pPr>
    <w:rPr>
      <w:rFonts w:ascii="Calibri" w:hAnsi="Calibri" w:cs="Arial"/>
      <w:kern w:val="0"/>
      <w:szCs w:val="21"/>
      <w:lang w:eastAsia="ja-JP"/>
    </w:rPr>
  </w:style>
  <w:style w:type="paragraph" w:customStyle="1" w:styleId="3868">
    <w:name w:val="Char Char Char1 Char Char Char Char2"/>
    <w:basedOn w:val="1"/>
    <w:next w:val="1"/>
    <w:qFormat/>
    <w:uiPriority w:val="0"/>
    <w:pPr>
      <w:spacing w:line="360" w:lineRule="auto"/>
      <w:ind w:firstLine="200" w:firstLineChars="200"/>
    </w:pPr>
    <w:rPr>
      <w:rFonts w:ascii="宋体" w:hAnsi="宋体" w:eastAsia="汉鼎简书宋" w:cs="宋体"/>
      <w:sz w:val="24"/>
    </w:rPr>
  </w:style>
  <w:style w:type="paragraph" w:customStyle="1" w:styleId="3869">
    <w:name w:val="Char15"/>
    <w:basedOn w:val="1"/>
    <w:qFormat/>
    <w:uiPriority w:val="99"/>
    <w:pPr>
      <w:spacing w:line="540" w:lineRule="exact"/>
    </w:pPr>
    <w:rPr>
      <w:rFonts w:ascii="Calibri" w:hAnsi="Calibri"/>
      <w:sz w:val="24"/>
      <w:szCs w:val="20"/>
    </w:rPr>
  </w:style>
  <w:style w:type="paragraph" w:customStyle="1" w:styleId="3870">
    <w:name w:val="样式 3字符 + 首行缩进:  1 字符"/>
    <w:basedOn w:val="3675"/>
    <w:qFormat/>
    <w:uiPriority w:val="99"/>
    <w:pPr>
      <w:ind w:firstLine="280"/>
    </w:pPr>
    <w:rPr>
      <w:rFonts w:cs="宋体"/>
      <w:szCs w:val="20"/>
    </w:rPr>
  </w:style>
  <w:style w:type="paragraph" w:customStyle="1" w:styleId="3871">
    <w:name w:val="我的表格文字"/>
    <w:basedOn w:val="1"/>
    <w:qFormat/>
    <w:uiPriority w:val="99"/>
    <w:pPr>
      <w:spacing w:line="300" w:lineRule="auto"/>
      <w:jc w:val="center"/>
    </w:pPr>
    <w:rPr>
      <w:rFonts w:ascii="Calibri" w:hAnsi="Calibri"/>
      <w:szCs w:val="21"/>
    </w:rPr>
  </w:style>
  <w:style w:type="paragraph" w:customStyle="1" w:styleId="3872">
    <w:name w:val="Char Char1 Char Char"/>
    <w:basedOn w:val="1"/>
    <w:next w:val="1"/>
    <w:qFormat/>
    <w:uiPriority w:val="99"/>
    <w:pPr>
      <w:spacing w:beforeLines="50" w:afterLines="50" w:line="360" w:lineRule="auto"/>
      <w:ind w:firstLine="200" w:firstLineChars="200"/>
    </w:pPr>
    <w:rPr>
      <w:rFonts w:ascii="Calibri" w:hAnsi="Calibri" w:eastAsia="仿宋_GB2312"/>
      <w:color w:val="000000"/>
      <w:sz w:val="28"/>
      <w:szCs w:val="36"/>
    </w:rPr>
  </w:style>
  <w:style w:type="paragraph" w:customStyle="1" w:styleId="3873">
    <w:name w:val="陈表格中内容"/>
    <w:basedOn w:val="1"/>
    <w:next w:val="1"/>
    <w:qFormat/>
    <w:uiPriority w:val="99"/>
    <w:pPr>
      <w:spacing w:before="100" w:beforeAutospacing="1" w:after="100" w:afterAutospacing="1"/>
      <w:jc w:val="center"/>
    </w:pPr>
    <w:rPr>
      <w:rFonts w:ascii="Calibri" w:hAnsi="Calibri"/>
      <w:szCs w:val="21"/>
    </w:rPr>
  </w:style>
  <w:style w:type="paragraph" w:customStyle="1" w:styleId="3874">
    <w:name w:val="图表标注~"/>
    <w:basedOn w:val="1"/>
    <w:qFormat/>
    <w:uiPriority w:val="99"/>
    <w:pPr>
      <w:spacing w:before="72" w:beforeLines="30" w:after="72" w:afterLines="30" w:line="360" w:lineRule="auto"/>
      <w:ind w:left="-4" w:leftChars="-10" w:hanging="17" w:hangingChars="7"/>
      <w:jc w:val="center"/>
    </w:pPr>
    <w:rPr>
      <w:rFonts w:ascii="Calibri" w:hAnsi="Calibri" w:eastAsia="黑体" w:cs="宋体"/>
      <w:sz w:val="24"/>
      <w:szCs w:val="20"/>
    </w:rPr>
  </w:style>
  <w:style w:type="paragraph" w:customStyle="1" w:styleId="3875">
    <w:name w:val="首页脚注"/>
    <w:basedOn w:val="55"/>
    <w:qFormat/>
    <w:uiPriority w:val="0"/>
    <w:pPr>
      <w:keepLines/>
      <w:tabs>
        <w:tab w:val="center" w:pos="4320"/>
        <w:tab w:val="clear" w:pos="4153"/>
        <w:tab w:val="clear" w:pos="8306"/>
      </w:tabs>
      <w:overflowPunct w:val="0"/>
      <w:autoSpaceDE w:val="0"/>
      <w:autoSpaceDN w:val="0"/>
      <w:spacing w:line="360" w:lineRule="auto"/>
      <w:jc w:val="center"/>
    </w:pPr>
    <w:rPr>
      <w:rFonts w:asciiTheme="minorHAnsi" w:hAnsiTheme="minorHAnsi" w:cstheme="minorBidi"/>
      <w:kern w:val="0"/>
      <w:sz w:val="28"/>
    </w:rPr>
  </w:style>
  <w:style w:type="paragraph" w:customStyle="1" w:styleId="3876">
    <w:name w:val="题栏"/>
    <w:basedOn w:val="57"/>
    <w:qFormat/>
    <w:uiPriority w:val="99"/>
    <w:pPr>
      <w:pBdr>
        <w:bottom w:val="none" w:color="auto" w:sz="0" w:space="0"/>
      </w:pBdr>
      <w:adjustRightInd/>
      <w:spacing w:line="360" w:lineRule="auto"/>
      <w:textAlignment w:val="auto"/>
    </w:pPr>
    <w:rPr>
      <w:rFonts w:asciiTheme="minorHAnsi" w:hAnsiTheme="minorHAnsi" w:cstheme="minorBidi"/>
      <w:kern w:val="2"/>
      <w:sz w:val="21"/>
    </w:rPr>
  </w:style>
  <w:style w:type="paragraph" w:customStyle="1" w:styleId="3877">
    <w:name w:val="2007正文"/>
    <w:qFormat/>
    <w:uiPriority w:val="99"/>
    <w:pPr>
      <w:spacing w:line="500" w:lineRule="exact"/>
      <w:ind w:firstLine="560" w:firstLineChars="200"/>
      <w:jc w:val="both"/>
    </w:pPr>
    <w:rPr>
      <w:rFonts w:hint="eastAsia" w:ascii="Calibri" w:hAnsi="Calibri" w:eastAsia="仿宋_GB2312" w:cs="Times New Roman"/>
      <w:kern w:val="2"/>
      <w:sz w:val="28"/>
      <w:lang w:val="en-GB" w:eastAsia="zh-CN" w:bidi="ar-SA"/>
    </w:rPr>
  </w:style>
  <w:style w:type="paragraph" w:customStyle="1" w:styleId="3878">
    <w:name w:val="样式1 + 加粗"/>
    <w:basedOn w:val="125"/>
    <w:qFormat/>
    <w:uiPriority w:val="99"/>
    <w:pPr>
      <w:widowControl w:val="0"/>
      <w:spacing w:line="336" w:lineRule="auto"/>
      <w:ind w:firstLine="0"/>
    </w:pPr>
    <w:rPr>
      <w:rFonts w:eastAsia="黑体" w:cstheme="minorBidi"/>
      <w:caps/>
      <w:kern w:val="2"/>
      <w:szCs w:val="24"/>
    </w:rPr>
  </w:style>
  <w:style w:type="paragraph" w:customStyle="1" w:styleId="3879">
    <w:name w:val="Char Char41 Char Char Char Char"/>
    <w:basedOn w:val="1"/>
    <w:qFormat/>
    <w:uiPriority w:val="99"/>
    <w:rPr>
      <w:rFonts w:ascii="Tahoma" w:hAnsi="Tahoma"/>
      <w:sz w:val="24"/>
      <w:szCs w:val="20"/>
    </w:rPr>
  </w:style>
  <w:style w:type="paragraph" w:customStyle="1" w:styleId="3880">
    <w:name w:val="章名"/>
    <w:basedOn w:val="1"/>
    <w:next w:val="21"/>
    <w:qFormat/>
    <w:uiPriority w:val="99"/>
    <w:pPr>
      <w:snapToGrid w:val="0"/>
      <w:spacing w:before="240" w:after="60"/>
      <w:jc w:val="center"/>
      <w:outlineLvl w:val="0"/>
    </w:pPr>
    <w:rPr>
      <w:rFonts w:ascii="Calibri" w:hAnsi="Calibri"/>
      <w:sz w:val="44"/>
      <w:szCs w:val="20"/>
    </w:rPr>
  </w:style>
  <w:style w:type="paragraph" w:customStyle="1" w:styleId="3881">
    <w:name w:val="gb1"/>
    <w:basedOn w:val="1"/>
    <w:qFormat/>
    <w:uiPriority w:val="0"/>
    <w:pPr>
      <w:tabs>
        <w:tab w:val="left" w:pos="227"/>
      </w:tabs>
      <w:overflowPunct w:val="0"/>
      <w:autoSpaceDE w:val="0"/>
      <w:autoSpaceDN w:val="0"/>
      <w:adjustRightInd w:val="0"/>
      <w:spacing w:before="120" w:after="120" w:line="360" w:lineRule="auto"/>
      <w:ind w:firstLine="1360" w:firstLineChars="200"/>
      <w:textAlignment w:val="baseline"/>
    </w:pPr>
    <w:rPr>
      <w:rFonts w:ascii="Arial" w:hAnsi="Arial" w:eastAsia="仿宋体"/>
      <w:kern w:val="0"/>
      <w:sz w:val="28"/>
      <w:szCs w:val="20"/>
    </w:rPr>
  </w:style>
  <w:style w:type="paragraph" w:customStyle="1" w:styleId="3882">
    <w:name w:val="PP 行"/>
    <w:basedOn w:val="58"/>
    <w:qFormat/>
    <w:uiPriority w:val="99"/>
    <w:pPr>
      <w:spacing w:before="0"/>
      <w:ind w:left="100" w:leftChars="2100" w:firstLine="0"/>
    </w:pPr>
    <w:rPr>
      <w:rFonts w:ascii="Times New Roman" w:hAnsi="Times New Roman" w:eastAsia="宋体" w:cstheme="minorBidi"/>
      <w:b/>
      <w:bCs/>
      <w:kern w:val="44"/>
      <w:sz w:val="44"/>
      <w:szCs w:val="44"/>
      <w:lang w:val="en-US"/>
    </w:rPr>
  </w:style>
  <w:style w:type="paragraph" w:customStyle="1" w:styleId="3883">
    <w:name w:val="P0"/>
    <w:basedOn w:val="1"/>
    <w:qFormat/>
    <w:uiPriority w:val="99"/>
    <w:pPr>
      <w:autoSpaceDE w:val="0"/>
      <w:autoSpaceDN w:val="0"/>
      <w:adjustRightInd w:val="0"/>
      <w:spacing w:line="540" w:lineRule="atLeast"/>
    </w:pPr>
    <w:rPr>
      <w:rFonts w:ascii="華康中楷體" w:hAnsi="Calibri" w:eastAsia="華康中楷體"/>
      <w:spacing w:val="20"/>
      <w:kern w:val="0"/>
      <w:sz w:val="28"/>
      <w:szCs w:val="28"/>
      <w:lang w:eastAsia="zh-TW"/>
    </w:rPr>
  </w:style>
  <w:style w:type="paragraph" w:customStyle="1" w:styleId="3884">
    <w:name w:val="Char Char23 Char Char Char Char"/>
    <w:basedOn w:val="1"/>
    <w:semiHidden/>
    <w:qFormat/>
    <w:uiPriority w:val="99"/>
    <w:pPr>
      <w:adjustRightInd w:val="0"/>
      <w:snapToGrid w:val="0"/>
      <w:spacing w:line="360" w:lineRule="auto"/>
      <w:ind w:firstLine="200" w:firstLineChars="200"/>
    </w:pPr>
    <w:rPr>
      <w:rFonts w:ascii="宋体" w:hAnsi="宋体" w:cs="宋体"/>
      <w:sz w:val="24"/>
      <w:szCs w:val="26"/>
    </w:rPr>
  </w:style>
  <w:style w:type="paragraph" w:customStyle="1" w:styleId="3885">
    <w:name w:val="报告正文文字"/>
    <w:basedOn w:val="1"/>
    <w:next w:val="1"/>
    <w:qFormat/>
    <w:uiPriority w:val="0"/>
    <w:pPr>
      <w:spacing w:line="400" w:lineRule="exact"/>
      <w:ind w:firstLine="482"/>
    </w:pPr>
    <w:rPr>
      <w:rFonts w:ascii="Calibri" w:hAnsi="Calibri"/>
      <w:sz w:val="24"/>
      <w:szCs w:val="20"/>
    </w:rPr>
  </w:style>
  <w:style w:type="paragraph" w:customStyle="1" w:styleId="3886">
    <w:name w:val="Style97"/>
    <w:basedOn w:val="1"/>
    <w:qFormat/>
    <w:uiPriority w:val="99"/>
    <w:pPr>
      <w:adjustRightInd w:val="0"/>
      <w:jc w:val="center"/>
    </w:pPr>
    <w:rPr>
      <w:rFonts w:ascii="宋体" w:hAnsi="Calibri"/>
      <w:kern w:val="0"/>
      <w:sz w:val="24"/>
    </w:rPr>
  </w:style>
  <w:style w:type="paragraph" w:customStyle="1" w:styleId="3887">
    <w:name w:val="样式 标题 3 + 宋体 小四 行距: 1.5 倍行距"/>
    <w:basedOn w:val="5"/>
    <w:qFormat/>
    <w:uiPriority w:val="99"/>
    <w:pPr>
      <w:adjustRightInd w:val="0"/>
      <w:snapToGrid w:val="0"/>
      <w:spacing w:before="20" w:after="20" w:line="360" w:lineRule="auto"/>
    </w:pPr>
    <w:rPr>
      <w:rFonts w:ascii="宋体" w:hAnsi="宋体" w:cs="宋体"/>
      <w:sz w:val="24"/>
      <w:szCs w:val="20"/>
    </w:rPr>
  </w:style>
  <w:style w:type="paragraph" w:customStyle="1" w:styleId="3888">
    <w:name w:val="黄伟-正文"/>
    <w:basedOn w:val="1"/>
    <w:qFormat/>
    <w:uiPriority w:val="99"/>
    <w:pPr>
      <w:spacing w:afterLines="50" w:line="300" w:lineRule="auto"/>
      <w:ind w:firstLine="420" w:firstLineChars="200"/>
    </w:pPr>
    <w:rPr>
      <w:rFonts w:ascii="宋体" w:hAnsi="宋体"/>
      <w:szCs w:val="20"/>
    </w:rPr>
  </w:style>
  <w:style w:type="paragraph" w:customStyle="1" w:styleId="3889">
    <w:name w:val="项目"/>
    <w:basedOn w:val="1"/>
    <w:qFormat/>
    <w:uiPriority w:val="0"/>
    <w:pPr>
      <w:tabs>
        <w:tab w:val="left" w:pos="840"/>
      </w:tabs>
      <w:ind w:left="840" w:hanging="360"/>
    </w:pPr>
    <w:rPr>
      <w:rFonts w:ascii="Calibri" w:hAnsi="Calibri"/>
      <w:sz w:val="24"/>
    </w:rPr>
  </w:style>
  <w:style w:type="paragraph" w:customStyle="1" w:styleId="3890">
    <w:name w:val="列出段落6"/>
    <w:basedOn w:val="1"/>
    <w:unhideWhenUsed/>
    <w:qFormat/>
    <w:uiPriority w:val="99"/>
    <w:pPr>
      <w:spacing w:line="360" w:lineRule="auto"/>
      <w:ind w:firstLine="420" w:firstLineChars="200"/>
    </w:pPr>
    <w:rPr>
      <w:rFonts w:ascii="Calibri" w:hAnsi="Calibri"/>
      <w:sz w:val="24"/>
      <w:szCs w:val="22"/>
    </w:rPr>
  </w:style>
  <w:style w:type="paragraph" w:customStyle="1" w:styleId="3891">
    <w:name w:val="样式 标题 2 + 段前: 0 磅 段后: 0 磅 行距: 1.5 倍行距"/>
    <w:basedOn w:val="4"/>
    <w:qFormat/>
    <w:uiPriority w:val="0"/>
    <w:pPr>
      <w:keepLines w:val="0"/>
      <w:tabs>
        <w:tab w:val="left" w:pos="851"/>
      </w:tabs>
      <w:spacing w:before="0" w:after="0" w:line="360" w:lineRule="auto"/>
      <w:ind w:left="599" w:hanging="576"/>
    </w:pPr>
    <w:rPr>
      <w:rFonts w:ascii="Times New Roman" w:hAnsi="Times New Roman" w:eastAsia="宋体" w:cs="宋体"/>
      <w:spacing w:val="20"/>
      <w:kern w:val="0"/>
      <w:sz w:val="28"/>
      <w:szCs w:val="20"/>
      <w:lang w:val="en-GB"/>
    </w:rPr>
  </w:style>
  <w:style w:type="paragraph" w:customStyle="1" w:styleId="3892">
    <w:name w:val="Char Char Char Char Char Char Char Char Char Char Char Char Char Char Char Char Char Char5"/>
    <w:basedOn w:val="1"/>
    <w:qFormat/>
    <w:uiPriority w:val="99"/>
    <w:rPr>
      <w:rFonts w:ascii="Calibri" w:hAnsi="Calibri"/>
    </w:rPr>
  </w:style>
  <w:style w:type="paragraph" w:customStyle="1" w:styleId="3893">
    <w:name w:val="Char Char2 Char Char Char Char11"/>
    <w:basedOn w:val="1"/>
    <w:qFormat/>
    <w:uiPriority w:val="99"/>
    <w:pPr>
      <w:spacing w:line="360" w:lineRule="auto"/>
    </w:pPr>
    <w:rPr>
      <w:rFonts w:ascii="宋体" w:hAnsi="宋体" w:cs="宋体"/>
      <w:sz w:val="24"/>
    </w:rPr>
  </w:style>
  <w:style w:type="paragraph" w:customStyle="1" w:styleId="3894">
    <w:name w:val="样式25"/>
    <w:basedOn w:val="774"/>
    <w:qFormat/>
    <w:uiPriority w:val="0"/>
    <w:pPr>
      <w:shd w:val="clear" w:color="auto" w:fill="auto"/>
      <w:spacing w:before="0" w:beforeLines="0" w:line="240" w:lineRule="auto"/>
      <w:ind w:firstLine="522" w:firstLineChars="200"/>
      <w:jc w:val="both"/>
      <w:textAlignment w:val="auto"/>
      <w:outlineLvl w:val="9"/>
    </w:pPr>
    <w:rPr>
      <w:rFonts w:ascii="Times New Roman" w:hAnsi="Times New Roman" w:eastAsiaTheme="minorEastAsia" w:cstheme="minorBidi"/>
      <w:szCs w:val="20"/>
    </w:rPr>
  </w:style>
  <w:style w:type="paragraph" w:customStyle="1" w:styleId="3895">
    <w:name w:val="正文小四缩"/>
    <w:basedOn w:val="1"/>
    <w:qFormat/>
    <w:uiPriority w:val="99"/>
    <w:pPr>
      <w:adjustRightInd w:val="0"/>
      <w:spacing w:before="120" w:line="420" w:lineRule="atLeast"/>
      <w:ind w:firstLine="510"/>
    </w:pPr>
    <w:rPr>
      <w:rFonts w:ascii="宋体" w:hAnsi="Calibri"/>
      <w:bCs/>
      <w:kern w:val="0"/>
      <w:sz w:val="24"/>
      <w:szCs w:val="20"/>
      <w:lang w:eastAsia="en-US" w:bidi="en-US"/>
    </w:rPr>
  </w:style>
  <w:style w:type="paragraph" w:customStyle="1" w:styleId="3896">
    <w:name w:val="设计封面编号宋2"/>
    <w:basedOn w:val="3542"/>
    <w:next w:val="3434"/>
    <w:qFormat/>
    <w:uiPriority w:val="99"/>
    <w:rPr>
      <w:rFonts w:eastAsia="宋体"/>
      <w:sz w:val="44"/>
    </w:rPr>
  </w:style>
  <w:style w:type="paragraph" w:customStyle="1" w:styleId="3897">
    <w:name w:val="钢--2"/>
    <w:basedOn w:val="3699"/>
    <w:next w:val="3699"/>
    <w:qFormat/>
    <w:uiPriority w:val="99"/>
    <w:pPr>
      <w:spacing w:before="240" w:after="240"/>
      <w:ind w:left="100" w:leftChars="100" w:firstLine="0" w:firstLineChars="0"/>
      <w:outlineLvl w:val="1"/>
    </w:pPr>
    <w:rPr>
      <w:b/>
      <w:sz w:val="28"/>
    </w:rPr>
  </w:style>
  <w:style w:type="paragraph" w:customStyle="1" w:styleId="3898">
    <w:name w:val="新白云正文 Char"/>
    <w:basedOn w:val="1"/>
    <w:qFormat/>
    <w:uiPriority w:val="99"/>
    <w:pPr>
      <w:spacing w:line="288" w:lineRule="auto"/>
      <w:ind w:firstLine="480" w:firstLineChars="200"/>
    </w:pPr>
    <w:rPr>
      <w:rFonts w:ascii="Calibri" w:hAnsi="Calibri"/>
      <w:sz w:val="24"/>
    </w:rPr>
  </w:style>
  <w:style w:type="paragraph" w:customStyle="1" w:styleId="3899">
    <w:name w:val="标题 2 蓝四号1"/>
    <w:basedOn w:val="4"/>
    <w:next w:val="1"/>
    <w:semiHidden/>
    <w:qFormat/>
    <w:uiPriority w:val="99"/>
    <w:pPr>
      <w:shd w:val="clear" w:color="auto" w:fill="FFFFFF"/>
      <w:tabs>
        <w:tab w:val="left" w:pos="210"/>
      </w:tabs>
      <w:kinsoku w:val="0"/>
      <w:overflowPunct w:val="0"/>
      <w:autoSpaceDE w:val="0"/>
      <w:autoSpaceDN w:val="0"/>
      <w:spacing w:before="120" w:after="120" w:line="300" w:lineRule="exact"/>
    </w:pPr>
    <w:rPr>
      <w:rFonts w:ascii="宋体" w:hAnsi="宋体" w:eastAsia="宋体"/>
      <w:bCs w:val="0"/>
      <w:color w:val="0000FF"/>
      <w:sz w:val="24"/>
      <w:szCs w:val="24"/>
    </w:rPr>
  </w:style>
  <w:style w:type="paragraph" w:customStyle="1" w:styleId="3900">
    <w:name w:val="正文9"/>
    <w:qFormat/>
    <w:uiPriority w:val="99"/>
    <w:pPr>
      <w:widowControl w:val="0"/>
      <w:adjustRightInd w:val="0"/>
      <w:spacing w:line="315" w:lineRule="atLeast"/>
      <w:jc w:val="both"/>
      <w:textAlignment w:val="baseline"/>
    </w:pPr>
    <w:rPr>
      <w:rFonts w:ascii="宋体" w:hAnsi="Calibri" w:eastAsia="宋体" w:cs="Times New Roman"/>
      <w:sz w:val="24"/>
      <w:lang w:val="en-US" w:eastAsia="zh-CN" w:bidi="ar-SA"/>
    </w:rPr>
  </w:style>
  <w:style w:type="paragraph" w:customStyle="1" w:styleId="3901">
    <w:name w:val="Char Char Char Char Char Char Char Char Char Char Char Char Char Char Char Char Char Char Char5"/>
    <w:basedOn w:val="1"/>
    <w:qFormat/>
    <w:uiPriority w:val="99"/>
    <w:rPr>
      <w:rFonts w:ascii="Calibri" w:hAnsi="Calibri"/>
    </w:rPr>
  </w:style>
  <w:style w:type="paragraph" w:customStyle="1" w:styleId="3902">
    <w:name w:val="文表"/>
    <w:basedOn w:val="1"/>
    <w:qFormat/>
    <w:uiPriority w:val="99"/>
    <w:pPr>
      <w:ind w:left="20" w:leftChars="20"/>
    </w:pPr>
    <w:rPr>
      <w:rFonts w:ascii="Calibri" w:hAnsi="Calibri" w:cs="宋体"/>
      <w:kern w:val="0"/>
      <w:szCs w:val="22"/>
      <w:lang w:eastAsia="en-US"/>
    </w:rPr>
  </w:style>
  <w:style w:type="paragraph" w:customStyle="1" w:styleId="3903">
    <w:name w:val="目录标题"/>
    <w:basedOn w:val="1"/>
    <w:next w:val="1"/>
    <w:qFormat/>
    <w:uiPriority w:val="99"/>
    <w:pPr>
      <w:autoSpaceDE w:val="0"/>
      <w:autoSpaceDN w:val="0"/>
      <w:adjustRightInd w:val="0"/>
      <w:spacing w:before="215" w:after="419" w:line="436" w:lineRule="atLeast"/>
      <w:ind w:firstLine="419"/>
      <w:jc w:val="center"/>
    </w:pPr>
    <w:rPr>
      <w:rFonts w:ascii="Arial" w:hAnsi="Arial" w:cs="Arial"/>
      <w:color w:val="000000"/>
      <w:spacing w:val="280"/>
      <w:kern w:val="0"/>
      <w:sz w:val="42"/>
      <w:szCs w:val="42"/>
      <w:lang w:val="zh-CN"/>
    </w:rPr>
  </w:style>
  <w:style w:type="paragraph" w:customStyle="1" w:styleId="3904">
    <w:name w:val="样式 样式 正文@ + 首行缩进:  2 字符 字距调整小四 紧缩量  0.2 磅 + 首行缩进:  2 字符"/>
    <w:basedOn w:val="1"/>
    <w:qFormat/>
    <w:uiPriority w:val="99"/>
    <w:pPr>
      <w:spacing w:line="360" w:lineRule="auto"/>
      <w:ind w:firstLine="480" w:firstLineChars="200"/>
    </w:pPr>
    <w:rPr>
      <w:rFonts w:ascii="宋体" w:hAnsi="Calibri" w:cs="宋体"/>
      <w:kern w:val="24"/>
      <w:sz w:val="24"/>
    </w:rPr>
  </w:style>
  <w:style w:type="paragraph" w:customStyle="1" w:styleId="3905">
    <w:name w:val="Char Char Char1 Char Char Char Char3"/>
    <w:basedOn w:val="1"/>
    <w:next w:val="1"/>
    <w:qFormat/>
    <w:uiPriority w:val="99"/>
    <w:pPr>
      <w:spacing w:line="360" w:lineRule="auto"/>
      <w:ind w:firstLine="200" w:firstLineChars="200"/>
    </w:pPr>
    <w:rPr>
      <w:rFonts w:ascii="宋体" w:hAnsi="宋体" w:eastAsia="汉鼎简书宋" w:cs="宋体"/>
      <w:sz w:val="24"/>
    </w:rPr>
  </w:style>
  <w:style w:type="paragraph" w:customStyle="1" w:styleId="3906">
    <w:name w:val="样式 四号 黑色 首行缩进:  2 字符"/>
    <w:basedOn w:val="1"/>
    <w:qFormat/>
    <w:uiPriority w:val="99"/>
    <w:pPr>
      <w:spacing w:line="480" w:lineRule="atLeast"/>
      <w:ind w:firstLine="200" w:firstLineChars="200"/>
    </w:pPr>
    <w:rPr>
      <w:rFonts w:ascii="Calibri" w:hAnsi="Calibri"/>
      <w:color w:val="000000"/>
      <w:sz w:val="24"/>
    </w:rPr>
  </w:style>
  <w:style w:type="paragraph" w:customStyle="1" w:styleId="3907">
    <w:name w:val="左五"/>
    <w:basedOn w:val="1"/>
    <w:qFormat/>
    <w:uiPriority w:val="0"/>
    <w:pPr>
      <w:adjustRightInd w:val="0"/>
      <w:snapToGrid w:val="0"/>
      <w:spacing w:line="280" w:lineRule="exact"/>
    </w:pPr>
    <w:rPr>
      <w:rFonts w:ascii="宋体" w:hAnsi="Symusic"/>
      <w:color w:val="000000"/>
      <w:sz w:val="18"/>
    </w:rPr>
  </w:style>
  <w:style w:type="paragraph" w:customStyle="1" w:styleId="3908">
    <w:name w:val="Char Char Char Char Char2 Char Char Char Char2"/>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909">
    <w:name w:val="Char Char Char Char Char2 Char Char Char Char4"/>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3910">
    <w:name w:val="正文样式一"/>
    <w:basedOn w:val="1"/>
    <w:qFormat/>
    <w:uiPriority w:val="0"/>
    <w:pPr>
      <w:adjustRightInd w:val="0"/>
      <w:spacing w:line="400" w:lineRule="atLeast"/>
      <w:ind w:firstLine="510"/>
      <w:textAlignment w:val="baseline"/>
    </w:pPr>
    <w:rPr>
      <w:rFonts w:ascii="Calibri" w:hAnsi="Calibri"/>
      <w:kern w:val="0"/>
      <w:sz w:val="24"/>
      <w:szCs w:val="20"/>
    </w:rPr>
  </w:style>
  <w:style w:type="paragraph" w:customStyle="1" w:styleId="3911">
    <w:name w:val="正文（缩进）"/>
    <w:basedOn w:val="339"/>
    <w:qFormat/>
    <w:uiPriority w:val="0"/>
    <w:pPr>
      <w:tabs>
        <w:tab w:val="left" w:pos="42"/>
      </w:tabs>
      <w:adjustRightInd w:val="0"/>
      <w:snapToGrid w:val="0"/>
      <w:ind w:left="84" w:leftChars="35" w:firstLine="200"/>
    </w:pPr>
    <w:rPr>
      <w:rFonts w:eastAsia="Times New Roman" w:asciiTheme="minorHAnsi" w:hAnsiTheme="minorHAnsi" w:cstheme="minorBidi"/>
      <w:spacing w:val="0"/>
      <w:kern w:val="0"/>
      <w:lang w:val="en-US"/>
    </w:rPr>
  </w:style>
  <w:style w:type="paragraph" w:customStyle="1" w:styleId="3912">
    <w:name w:val="Content"/>
    <w:basedOn w:val="1"/>
    <w:qFormat/>
    <w:uiPriority w:val="0"/>
    <w:pPr>
      <w:tabs>
        <w:tab w:val="left" w:pos="9480"/>
        <w:tab w:val="left" w:pos="9600"/>
      </w:tabs>
      <w:spacing w:before="120" w:after="120" w:line="240" w:lineRule="atLeast"/>
      <w:jc w:val="center"/>
    </w:pPr>
    <w:rPr>
      <w:rFonts w:ascii="Arial" w:hAnsi="Arial"/>
      <w:b/>
      <w:kern w:val="0"/>
      <w:sz w:val="28"/>
      <w:szCs w:val="20"/>
      <w:lang w:val="fr-FR"/>
    </w:rPr>
  </w:style>
  <w:style w:type="paragraph" w:customStyle="1" w:styleId="3913">
    <w:name w:val="正文文本2"/>
    <w:basedOn w:val="1"/>
    <w:qFormat/>
    <w:uiPriority w:val="99"/>
    <w:pPr>
      <w:spacing w:line="360" w:lineRule="auto"/>
      <w:ind w:firstLine="480" w:firstLineChars="200"/>
    </w:pPr>
    <w:rPr>
      <w:rFonts w:ascii="宋体" w:hAnsi="宋体"/>
      <w:color w:val="000000"/>
      <w:sz w:val="24"/>
      <w:szCs w:val="20"/>
    </w:rPr>
  </w:style>
  <w:style w:type="paragraph" w:customStyle="1" w:styleId="3914">
    <w:name w:val="8级"/>
    <w:basedOn w:val="1"/>
    <w:qFormat/>
    <w:uiPriority w:val="99"/>
    <w:pPr>
      <w:tabs>
        <w:tab w:val="left" w:pos="840"/>
      </w:tabs>
      <w:ind w:left="840" w:hanging="420"/>
    </w:pPr>
    <w:rPr>
      <w:rFonts w:ascii="Calibri" w:hAnsi="Calibri"/>
      <w:szCs w:val="20"/>
    </w:rPr>
  </w:style>
  <w:style w:type="paragraph" w:customStyle="1" w:styleId="3915">
    <w:name w:val="表样式"/>
    <w:basedOn w:val="1"/>
    <w:qFormat/>
    <w:uiPriority w:val="0"/>
    <w:pPr>
      <w:jc w:val="center"/>
    </w:pPr>
    <w:rPr>
      <w:rFonts w:ascii="仿宋_GB2312" w:hAnsi="Calibri" w:eastAsia="黑体"/>
    </w:rPr>
  </w:style>
  <w:style w:type="paragraph" w:customStyle="1" w:styleId="3916">
    <w:name w:val="目录"/>
    <w:basedOn w:val="1"/>
    <w:qFormat/>
    <w:uiPriority w:val="0"/>
    <w:pPr>
      <w:adjustRightInd w:val="0"/>
      <w:snapToGrid w:val="0"/>
      <w:spacing w:line="360" w:lineRule="auto"/>
      <w:ind w:left="520"/>
    </w:pPr>
    <w:rPr>
      <w:rFonts w:ascii="宋体" w:hAnsi="Calibri" w:eastAsia="黑体"/>
      <w:snapToGrid w:val="0"/>
      <w:kern w:val="0"/>
      <w:sz w:val="26"/>
    </w:rPr>
  </w:style>
  <w:style w:type="paragraph" w:customStyle="1" w:styleId="3917">
    <w:name w:val="Char Char Char Char Char Char Char Char Char Char Char Char Char Char Char1 Char Char Char Char Char Char Char Char Char Char Char Char Char Char Char Char"/>
    <w:basedOn w:val="1"/>
    <w:next w:val="2"/>
    <w:qFormat/>
    <w:uiPriority w:val="0"/>
    <w:rPr>
      <w:rFonts w:ascii="宋体" w:hAnsi="Calibri"/>
      <w:snapToGrid w:val="0"/>
      <w:kern w:val="0"/>
      <w:sz w:val="26"/>
    </w:rPr>
  </w:style>
  <w:style w:type="paragraph" w:customStyle="1" w:styleId="3918">
    <w:name w:val="表格体"/>
    <w:basedOn w:val="1"/>
    <w:qFormat/>
    <w:uiPriority w:val="99"/>
    <w:pPr>
      <w:adjustRightInd w:val="0"/>
      <w:snapToGrid w:val="0"/>
      <w:jc w:val="center"/>
    </w:pPr>
    <w:rPr>
      <w:rFonts w:ascii="Calibri" w:hAnsi="Calibri"/>
      <w:bCs/>
    </w:rPr>
  </w:style>
  <w:style w:type="paragraph" w:customStyle="1" w:styleId="3919">
    <w:name w:val="样式 标题 1标题 1宋旭峰标题1章节H1h11headingHeader 1st Pageh1 chapte..."/>
    <w:basedOn w:val="3"/>
    <w:qFormat/>
    <w:uiPriority w:val="0"/>
    <w:pPr>
      <w:adjustRightInd w:val="0"/>
      <w:snapToGrid w:val="0"/>
      <w:spacing w:before="0" w:after="156" w:line="360" w:lineRule="auto"/>
    </w:pPr>
    <w:rPr>
      <w:rFonts w:eastAsia="黑体"/>
      <w:kern w:val="2"/>
      <w:sz w:val="32"/>
      <w:szCs w:val="30"/>
    </w:rPr>
  </w:style>
  <w:style w:type="paragraph" w:customStyle="1" w:styleId="3920">
    <w:name w:val="五级无标题条"/>
    <w:basedOn w:val="1"/>
    <w:qFormat/>
    <w:uiPriority w:val="0"/>
    <w:rPr>
      <w:rFonts w:ascii="Calibri" w:hAnsi="Calibri"/>
    </w:rPr>
  </w:style>
  <w:style w:type="paragraph" w:customStyle="1" w:styleId="3921">
    <w:name w:val="正文图竖五"/>
    <w:basedOn w:val="1"/>
    <w:qFormat/>
    <w:uiPriority w:val="0"/>
    <w:pPr>
      <w:jc w:val="center"/>
    </w:pPr>
    <w:rPr>
      <w:rFonts w:ascii="Calibri" w:hAnsi="Calibri" w:eastAsia="仿宋_GB2312"/>
      <w:color w:val="000000"/>
      <w:kern w:val="0"/>
      <w:szCs w:val="21"/>
    </w:rPr>
  </w:style>
  <w:style w:type="paragraph" w:customStyle="1" w:styleId="3922">
    <w:name w:val="标准段落"/>
    <w:basedOn w:val="1"/>
    <w:next w:val="1"/>
    <w:qFormat/>
    <w:uiPriority w:val="99"/>
    <w:pPr>
      <w:spacing w:beforeLines="50" w:line="360" w:lineRule="auto"/>
      <w:ind w:firstLine="480" w:firstLineChars="200"/>
    </w:pPr>
    <w:rPr>
      <w:rFonts w:ascii="Calibri" w:hAnsi="宋体"/>
      <w:sz w:val="24"/>
    </w:rPr>
  </w:style>
  <w:style w:type="paragraph" w:customStyle="1" w:styleId="3923">
    <w:name w:val="Char Char2 Char Char Char Char Char Char11"/>
    <w:basedOn w:val="1"/>
    <w:qFormat/>
    <w:uiPriority w:val="99"/>
    <w:pPr>
      <w:spacing w:line="360" w:lineRule="auto"/>
    </w:pPr>
    <w:rPr>
      <w:rFonts w:ascii="宋体" w:hAnsi="宋体"/>
      <w:sz w:val="22"/>
    </w:rPr>
  </w:style>
  <w:style w:type="paragraph" w:customStyle="1" w:styleId="3924">
    <w:name w:val="标题3+ Char"/>
    <w:basedOn w:val="5"/>
    <w:qFormat/>
    <w:uiPriority w:val="99"/>
    <w:pPr>
      <w:adjustRightInd w:val="0"/>
      <w:snapToGrid w:val="0"/>
      <w:spacing w:before="0" w:after="0" w:line="440" w:lineRule="exact"/>
      <w:ind w:firstLine="200" w:firstLineChars="200"/>
    </w:pPr>
    <w:rPr>
      <w:rFonts w:eastAsia="黑体"/>
      <w:b w:val="0"/>
      <w:sz w:val="28"/>
      <w:szCs w:val="28"/>
    </w:rPr>
  </w:style>
  <w:style w:type="paragraph" w:customStyle="1" w:styleId="3925">
    <w:name w:val="贾伦标题2"/>
    <w:basedOn w:val="4"/>
    <w:qFormat/>
    <w:uiPriority w:val="99"/>
    <w:pPr>
      <w:tabs>
        <w:tab w:val="left" w:pos="567"/>
      </w:tabs>
      <w:spacing w:before="0" w:after="0" w:line="360" w:lineRule="auto"/>
    </w:pPr>
    <w:rPr>
      <w:rFonts w:ascii="Cambria" w:hAnsi="Cambria" w:eastAsia="宋体"/>
      <w:sz w:val="30"/>
    </w:rPr>
  </w:style>
  <w:style w:type="paragraph" w:customStyle="1" w:styleId="3926">
    <w:name w:val="Indent1"/>
    <w:basedOn w:val="1"/>
    <w:qFormat/>
    <w:uiPriority w:val="0"/>
    <w:pPr>
      <w:spacing w:after="240" w:line="300" w:lineRule="exact"/>
      <w:ind w:left="720"/>
    </w:pPr>
    <w:rPr>
      <w:rFonts w:ascii="Arial" w:hAnsi="Arial"/>
      <w:kern w:val="0"/>
      <w:sz w:val="24"/>
      <w:szCs w:val="20"/>
      <w:lang w:val="en-GB"/>
    </w:rPr>
  </w:style>
  <w:style w:type="paragraph" w:customStyle="1" w:styleId="3927">
    <w:name w:val="HTML 地址11"/>
    <w:basedOn w:val="1"/>
    <w:qFormat/>
    <w:uiPriority w:val="99"/>
    <w:rPr>
      <w:rFonts w:hint="eastAsia" w:ascii="Calibri" w:hAnsi="Calibri"/>
      <w:i/>
      <w:szCs w:val="20"/>
    </w:rPr>
  </w:style>
  <w:style w:type="paragraph" w:customStyle="1" w:styleId="3928">
    <w:name w:val="Char Char21 Char Char Char Char"/>
    <w:basedOn w:val="1"/>
    <w:qFormat/>
    <w:uiPriority w:val="99"/>
    <w:rPr>
      <w:rFonts w:ascii="Tahoma" w:hAnsi="Tahoma"/>
      <w:sz w:val="24"/>
      <w:szCs w:val="20"/>
    </w:rPr>
  </w:style>
  <w:style w:type="paragraph" w:customStyle="1" w:styleId="3929">
    <w:name w:val="4 Char"/>
    <w:basedOn w:val="1"/>
    <w:qFormat/>
    <w:uiPriority w:val="99"/>
    <w:rPr>
      <w:rFonts w:ascii="Calibri" w:hAnsi="Calibri"/>
    </w:rPr>
  </w:style>
  <w:style w:type="paragraph" w:customStyle="1" w:styleId="3930">
    <w:name w:val="正文0000000000"/>
    <w:basedOn w:val="1"/>
    <w:next w:val="1"/>
    <w:qFormat/>
    <w:uiPriority w:val="99"/>
    <w:pPr>
      <w:overflowPunct w:val="0"/>
      <w:autoSpaceDE w:val="0"/>
      <w:autoSpaceDN w:val="0"/>
      <w:spacing w:line="360" w:lineRule="auto"/>
      <w:ind w:firstLine="480" w:firstLineChars="200"/>
      <w:textAlignment w:val="baseline"/>
    </w:pPr>
    <w:rPr>
      <w:rFonts w:ascii="宋体" w:hAnsi="宋体"/>
      <w:color w:val="000000"/>
      <w:kern w:val="0"/>
      <w:sz w:val="24"/>
    </w:rPr>
  </w:style>
  <w:style w:type="paragraph" w:customStyle="1" w:styleId="3931">
    <w:name w:val="Char Char Char Char Char Char Char Char Char Char Char Char Char Char Char Char Char Char1"/>
    <w:basedOn w:val="1"/>
    <w:qFormat/>
    <w:uiPriority w:val="99"/>
    <w:rPr>
      <w:rFonts w:ascii="Calibri" w:hAnsi="Calibri"/>
    </w:rPr>
  </w:style>
  <w:style w:type="paragraph" w:customStyle="1" w:styleId="3932">
    <w:name w:val="陈表格－两端对齐"/>
    <w:basedOn w:val="3873"/>
    <w:next w:val="3873"/>
    <w:qFormat/>
    <w:uiPriority w:val="99"/>
    <w:pPr>
      <w:jc w:val="left"/>
    </w:pPr>
    <w:rPr>
      <w:color w:val="FF0000"/>
    </w:rPr>
  </w:style>
  <w:style w:type="paragraph" w:customStyle="1" w:styleId="3933">
    <w:name w:val="Char Char2 Char Char Char Char Char Char1"/>
    <w:basedOn w:val="1"/>
    <w:qFormat/>
    <w:uiPriority w:val="0"/>
    <w:pPr>
      <w:spacing w:line="360" w:lineRule="auto"/>
    </w:pPr>
    <w:rPr>
      <w:rFonts w:ascii="宋体" w:hAnsi="宋体"/>
      <w:sz w:val="22"/>
    </w:rPr>
  </w:style>
  <w:style w:type="paragraph" w:customStyle="1" w:styleId="3934">
    <w:name w:val="Char Char21 Char Char Char Char4"/>
    <w:basedOn w:val="1"/>
    <w:qFormat/>
    <w:uiPriority w:val="99"/>
    <w:rPr>
      <w:rFonts w:ascii="Tahoma" w:hAnsi="Tahoma"/>
      <w:sz w:val="24"/>
      <w:szCs w:val="20"/>
    </w:rPr>
  </w:style>
  <w:style w:type="paragraph" w:customStyle="1" w:styleId="3935">
    <w:name w:val="Char8"/>
    <w:basedOn w:val="1"/>
    <w:qFormat/>
    <w:uiPriority w:val="99"/>
    <w:pPr>
      <w:spacing w:line="360" w:lineRule="auto"/>
      <w:ind w:firstLine="200" w:firstLineChars="200"/>
    </w:pPr>
    <w:rPr>
      <w:rFonts w:ascii="宋体" w:hAnsi="宋体" w:cs="宋体"/>
      <w:sz w:val="24"/>
    </w:rPr>
  </w:style>
  <w:style w:type="paragraph" w:customStyle="1" w:styleId="3936">
    <w:name w:val="标题 51"/>
    <w:basedOn w:val="1"/>
    <w:next w:val="1"/>
    <w:qFormat/>
    <w:uiPriority w:val="99"/>
    <w:pPr>
      <w:keepNext/>
      <w:overflowPunct w:val="0"/>
      <w:snapToGrid w:val="0"/>
      <w:spacing w:before="120" w:line="380" w:lineRule="exact"/>
      <w:ind w:firstLine="567"/>
      <w:textAlignment w:val="baseline"/>
      <w:outlineLvl w:val="4"/>
    </w:pPr>
    <w:rPr>
      <w:rFonts w:hint="eastAsia" w:ascii="Arial" w:hAnsi="Arial" w:eastAsia="仿宋_GB2312"/>
      <w:kern w:val="0"/>
      <w:sz w:val="24"/>
      <w:szCs w:val="20"/>
    </w:rPr>
  </w:style>
  <w:style w:type="paragraph" w:customStyle="1" w:styleId="3937">
    <w:name w:val="标题 41"/>
    <w:basedOn w:val="1"/>
    <w:next w:val="1"/>
    <w:qFormat/>
    <w:uiPriority w:val="0"/>
    <w:pPr>
      <w:keepNext/>
      <w:keepLines/>
      <w:spacing w:before="280" w:after="290" w:line="372" w:lineRule="auto"/>
      <w:outlineLvl w:val="3"/>
    </w:pPr>
    <w:rPr>
      <w:rFonts w:ascii="Arial" w:hAnsi="Arial" w:eastAsia="黑体"/>
      <w:b/>
      <w:sz w:val="28"/>
      <w:szCs w:val="20"/>
    </w:rPr>
  </w:style>
  <w:style w:type="paragraph" w:customStyle="1" w:styleId="3938">
    <w:name w:val="陈标题1"/>
    <w:basedOn w:val="1"/>
    <w:next w:val="1"/>
    <w:qFormat/>
    <w:uiPriority w:val="99"/>
    <w:pPr>
      <w:spacing w:before="100" w:beforeAutospacing="1" w:after="100" w:afterAutospacing="1" w:line="360" w:lineRule="auto"/>
      <w:outlineLvl w:val="0"/>
    </w:pPr>
    <w:rPr>
      <w:rFonts w:ascii="Calibri" w:hAnsi="Calibri"/>
      <w:b/>
      <w:bCs/>
      <w:sz w:val="44"/>
      <w:szCs w:val="44"/>
    </w:rPr>
  </w:style>
  <w:style w:type="paragraph" w:customStyle="1" w:styleId="3939">
    <w:name w:val="reader-word-layer reader-word-s4-9"/>
    <w:basedOn w:val="1"/>
    <w:qFormat/>
    <w:uiPriority w:val="99"/>
    <w:pPr>
      <w:spacing w:before="100" w:beforeAutospacing="1" w:after="100" w:afterAutospacing="1" w:line="300" w:lineRule="auto"/>
    </w:pPr>
    <w:rPr>
      <w:rFonts w:ascii="宋体" w:hAnsi="宋体" w:cs="宋体"/>
      <w:kern w:val="0"/>
      <w:sz w:val="24"/>
    </w:rPr>
  </w:style>
  <w:style w:type="paragraph" w:customStyle="1" w:styleId="3940">
    <w:name w:val="院总"/>
    <w:basedOn w:val="1"/>
    <w:qFormat/>
    <w:uiPriority w:val="99"/>
    <w:pPr>
      <w:spacing w:line="420" w:lineRule="auto"/>
      <w:jc w:val="distribute"/>
    </w:pPr>
    <w:rPr>
      <w:rFonts w:ascii="Calibri" w:hAnsi="Calibri"/>
      <w:spacing w:val="-20"/>
      <w:sz w:val="32"/>
      <w:szCs w:val="20"/>
    </w:rPr>
  </w:style>
  <w:style w:type="paragraph" w:customStyle="1" w:styleId="3941">
    <w:name w:val="列出段落111"/>
    <w:basedOn w:val="1"/>
    <w:qFormat/>
    <w:uiPriority w:val="34"/>
    <w:pPr>
      <w:ind w:firstLine="420" w:firstLineChars="200"/>
    </w:pPr>
    <w:rPr>
      <w:rFonts w:ascii="Calibri" w:hAnsi="Calibri"/>
    </w:rPr>
  </w:style>
  <w:style w:type="paragraph" w:customStyle="1" w:styleId="3942">
    <w:name w:val="J【表中文字】"/>
    <w:basedOn w:val="1"/>
    <w:qFormat/>
    <w:uiPriority w:val="99"/>
    <w:pPr>
      <w:jc w:val="center"/>
      <w:textAlignment w:val="center"/>
    </w:pPr>
    <w:rPr>
      <w:rFonts w:ascii="Calibri" w:hAnsi="Calibri"/>
      <w:szCs w:val="20"/>
    </w:rPr>
  </w:style>
  <w:style w:type="paragraph" w:customStyle="1" w:styleId="3943">
    <w:name w:val="正文段落"/>
    <w:basedOn w:val="1"/>
    <w:qFormat/>
    <w:uiPriority w:val="0"/>
    <w:pPr>
      <w:spacing w:line="360" w:lineRule="exact"/>
      <w:ind w:firstLine="476"/>
    </w:pPr>
    <w:rPr>
      <w:rFonts w:ascii="宋体" w:hAnsi="宋体"/>
      <w:sz w:val="24"/>
    </w:rPr>
  </w:style>
  <w:style w:type="paragraph" w:customStyle="1" w:styleId="3944">
    <w:name w:val="Char Char Char1 Char Char Char1 Char Char Char Char Char Char1 Char Char Char1 Char"/>
    <w:basedOn w:val="1"/>
    <w:qFormat/>
    <w:uiPriority w:val="0"/>
    <w:pPr>
      <w:adjustRightInd w:val="0"/>
      <w:snapToGrid w:val="0"/>
      <w:spacing w:line="360" w:lineRule="auto"/>
    </w:pPr>
    <w:rPr>
      <w:rFonts w:ascii="Calibri" w:hAnsi="Calibri"/>
      <w:sz w:val="24"/>
    </w:rPr>
  </w:style>
  <w:style w:type="paragraph" w:customStyle="1" w:styleId="3945">
    <w:name w:val="列出段落3"/>
    <w:basedOn w:val="1"/>
    <w:unhideWhenUsed/>
    <w:qFormat/>
    <w:uiPriority w:val="99"/>
    <w:pPr>
      <w:spacing w:line="360" w:lineRule="auto"/>
      <w:ind w:firstLine="420" w:firstLineChars="200"/>
    </w:pPr>
    <w:rPr>
      <w:rFonts w:ascii="Calibri" w:hAnsi="Calibri"/>
      <w:sz w:val="24"/>
      <w:szCs w:val="22"/>
    </w:rPr>
  </w:style>
  <w:style w:type="paragraph" w:customStyle="1" w:styleId="3946">
    <w:name w:val="5正文"/>
    <w:basedOn w:val="1"/>
    <w:next w:val="34"/>
    <w:qFormat/>
    <w:uiPriority w:val="99"/>
    <w:pPr>
      <w:spacing w:line="360" w:lineRule="auto"/>
    </w:pPr>
    <w:rPr>
      <w:rFonts w:hint="eastAsia" w:ascii="Calibri" w:hAnsi="Calibri"/>
      <w:spacing w:val="-4"/>
      <w:sz w:val="24"/>
      <w:szCs w:val="20"/>
    </w:rPr>
  </w:style>
  <w:style w:type="paragraph" w:customStyle="1" w:styleId="3947">
    <w:name w:val="标题 511"/>
    <w:basedOn w:val="1"/>
    <w:next w:val="1"/>
    <w:qFormat/>
    <w:uiPriority w:val="99"/>
    <w:pPr>
      <w:keepNext/>
      <w:overflowPunct w:val="0"/>
      <w:snapToGrid w:val="0"/>
      <w:spacing w:before="120" w:line="380" w:lineRule="exact"/>
      <w:ind w:firstLine="567"/>
      <w:textAlignment w:val="baseline"/>
      <w:outlineLvl w:val="4"/>
    </w:pPr>
    <w:rPr>
      <w:rFonts w:hint="eastAsia" w:ascii="Arial" w:hAnsi="Arial" w:eastAsia="仿宋_GB2312"/>
      <w:kern w:val="0"/>
      <w:sz w:val="24"/>
      <w:szCs w:val="20"/>
    </w:rPr>
  </w:style>
  <w:style w:type="paragraph" w:customStyle="1" w:styleId="3948">
    <w:name w:val="正文首行缩进 21"/>
    <w:basedOn w:val="697"/>
    <w:qFormat/>
    <w:uiPriority w:val="99"/>
    <w:pPr>
      <w:snapToGrid w:val="0"/>
      <w:spacing w:line="240" w:lineRule="auto"/>
      <w:ind w:left="200"/>
    </w:pPr>
    <w:rPr>
      <w:rFonts w:ascii="Arial" w:hAnsi="Arial" w:eastAsia="Times New Roman" w:cs="Arial"/>
      <w:sz w:val="28"/>
      <w:szCs w:val="22"/>
    </w:rPr>
  </w:style>
  <w:style w:type="paragraph" w:customStyle="1" w:styleId="3949">
    <w:name w:val="Char110"/>
    <w:basedOn w:val="1"/>
    <w:qFormat/>
    <w:uiPriority w:val="99"/>
    <w:pPr>
      <w:spacing w:line="540" w:lineRule="exact"/>
    </w:pPr>
    <w:rPr>
      <w:rFonts w:ascii="Calibri" w:hAnsi="Calibri"/>
      <w:sz w:val="24"/>
      <w:szCs w:val="20"/>
    </w:rPr>
  </w:style>
  <w:style w:type="paragraph" w:customStyle="1" w:styleId="3950">
    <w:name w:val="表2"/>
    <w:basedOn w:val="1"/>
    <w:qFormat/>
    <w:uiPriority w:val="0"/>
    <w:pPr>
      <w:spacing w:line="300" w:lineRule="exact"/>
    </w:pPr>
    <w:rPr>
      <w:rFonts w:ascii="宋体" w:hAnsi="宋体"/>
      <w:sz w:val="24"/>
    </w:rPr>
  </w:style>
  <w:style w:type="paragraph" w:customStyle="1" w:styleId="3951">
    <w:name w:val="单位名称"/>
    <w:basedOn w:val="1"/>
    <w:next w:val="1"/>
    <w:qFormat/>
    <w:uiPriority w:val="0"/>
    <w:pPr>
      <w:spacing w:line="300" w:lineRule="auto"/>
      <w:jc w:val="center"/>
    </w:pPr>
    <w:rPr>
      <w:rFonts w:ascii="Calibri" w:hAnsi="Calibri"/>
      <w:sz w:val="44"/>
      <w:szCs w:val="44"/>
    </w:rPr>
  </w:style>
  <w:style w:type="paragraph" w:customStyle="1" w:styleId="3952">
    <w:name w:val="缩2"/>
    <w:basedOn w:val="1"/>
    <w:qFormat/>
    <w:uiPriority w:val="99"/>
    <w:pPr>
      <w:spacing w:line="500" w:lineRule="exact"/>
      <w:ind w:firstLine="560" w:firstLineChars="200"/>
    </w:pPr>
    <w:rPr>
      <w:rFonts w:ascii="Calibri" w:hAnsi="Calibri"/>
      <w:sz w:val="28"/>
    </w:rPr>
  </w:style>
  <w:style w:type="paragraph" w:customStyle="1" w:styleId="3953">
    <w:name w:val="样式 样式 标题 2 + 宋体 小二 首行缩进:  2 字符 + 段前: 0.5 行 段后: 0.5 行"/>
    <w:basedOn w:val="1"/>
    <w:qFormat/>
    <w:uiPriority w:val="99"/>
    <w:pPr>
      <w:keepNext/>
      <w:keepLines/>
      <w:spacing w:beforeLines="50"/>
      <w:outlineLvl w:val="1"/>
    </w:pPr>
    <w:rPr>
      <w:rFonts w:ascii="宋体" w:hAnsi="宋体" w:cs="宋体"/>
      <w:b/>
      <w:bCs/>
      <w:sz w:val="32"/>
      <w:szCs w:val="20"/>
    </w:rPr>
  </w:style>
  <w:style w:type="paragraph" w:customStyle="1" w:styleId="3954">
    <w:name w:val="标题 3 + Arial 小四 非加粗 段前: 0 磅 段后: 6 磅 行距: 固定值 22 磅"/>
    <w:basedOn w:val="3567"/>
    <w:next w:val="1"/>
    <w:qFormat/>
    <w:uiPriority w:val="99"/>
    <w:pPr>
      <w:spacing w:before="0" w:after="120" w:line="440" w:lineRule="exact"/>
    </w:pPr>
    <w:rPr>
      <w:rFonts w:hint="eastAsia" w:ascii="Arial" w:hAnsi="Arial"/>
      <w:b w:val="0"/>
      <w:color w:val="FF0000"/>
      <w:sz w:val="24"/>
    </w:rPr>
  </w:style>
  <w:style w:type="paragraph" w:customStyle="1" w:styleId="3955">
    <w:name w:val="Char Char Char Char Char Char4"/>
    <w:basedOn w:val="1"/>
    <w:qFormat/>
    <w:uiPriority w:val="99"/>
    <w:pPr>
      <w:spacing w:after="160" w:line="240" w:lineRule="exact"/>
    </w:pPr>
    <w:rPr>
      <w:rFonts w:ascii="Arial" w:hAnsi="Arial" w:eastAsia="Times New Roman" w:cs="Verdana"/>
      <w:b/>
      <w:kern w:val="0"/>
      <w:sz w:val="24"/>
      <w:szCs w:val="20"/>
      <w:lang w:eastAsia="en-US"/>
    </w:rPr>
  </w:style>
  <w:style w:type="paragraph" w:customStyle="1" w:styleId="3956">
    <w:name w:val="样式20"/>
    <w:basedOn w:val="3364"/>
    <w:qFormat/>
    <w:uiPriority w:val="0"/>
  </w:style>
  <w:style w:type="paragraph" w:customStyle="1" w:styleId="3957">
    <w:name w:val="样式 0005左缩2 + 首行缩进:  2 字符 段后: 0.3 行"/>
    <w:basedOn w:val="3431"/>
    <w:qFormat/>
    <w:uiPriority w:val="99"/>
    <w:pPr>
      <w:ind w:firstLine="560"/>
    </w:pPr>
    <w:rPr>
      <w:rFonts w:cs="宋体"/>
      <w:szCs w:val="20"/>
    </w:rPr>
  </w:style>
  <w:style w:type="paragraph" w:customStyle="1" w:styleId="3958">
    <w:name w:val="数字编号"/>
    <w:basedOn w:val="1"/>
    <w:qFormat/>
    <w:uiPriority w:val="99"/>
    <w:pPr>
      <w:tabs>
        <w:tab w:val="left" w:pos="620"/>
      </w:tabs>
      <w:spacing w:before="50" w:line="300" w:lineRule="auto"/>
      <w:ind w:firstLine="567"/>
    </w:pPr>
    <w:rPr>
      <w:rFonts w:ascii="Calibri" w:hAnsi="Calibri"/>
      <w:spacing w:val="6"/>
      <w:sz w:val="28"/>
    </w:rPr>
  </w:style>
  <w:style w:type="paragraph" w:customStyle="1" w:styleId="3959">
    <w:name w:val="Char Char21 Char Char5"/>
    <w:basedOn w:val="1"/>
    <w:qFormat/>
    <w:uiPriority w:val="99"/>
    <w:rPr>
      <w:rFonts w:ascii="Tahoma" w:hAnsi="Tahoma"/>
      <w:sz w:val="24"/>
      <w:szCs w:val="20"/>
    </w:rPr>
  </w:style>
  <w:style w:type="paragraph" w:customStyle="1" w:styleId="3960">
    <w:name w:val="样式 标题 3标题3小标题1.1.1标题 3 + 段后: 4 磅"/>
    <w:basedOn w:val="5"/>
    <w:qFormat/>
    <w:uiPriority w:val="0"/>
    <w:pPr>
      <w:tabs>
        <w:tab w:val="left" w:pos="709"/>
      </w:tabs>
      <w:adjustRightInd w:val="0"/>
      <w:snapToGrid w:val="0"/>
      <w:spacing w:before="0" w:after="80" w:line="360" w:lineRule="auto"/>
      <w:ind w:left="709"/>
    </w:pPr>
    <w:rPr>
      <w:rFonts w:eastAsia="黑体" w:cs="宋体"/>
      <w:b w:val="0"/>
      <w:bCs w:val="0"/>
      <w:spacing w:val="-5"/>
      <w:kern w:val="28"/>
      <w:sz w:val="24"/>
      <w:szCs w:val="20"/>
    </w:rPr>
  </w:style>
  <w:style w:type="paragraph" w:customStyle="1" w:styleId="3961">
    <w:name w:val="正文样式100"/>
    <w:basedOn w:val="1"/>
    <w:qFormat/>
    <w:uiPriority w:val="99"/>
    <w:pPr>
      <w:adjustRightInd w:val="0"/>
      <w:spacing w:line="360" w:lineRule="auto"/>
      <w:ind w:firstLine="510"/>
    </w:pPr>
    <w:rPr>
      <w:rFonts w:ascii="Calibri" w:hAnsi="Calibri"/>
      <w:sz w:val="24"/>
    </w:rPr>
  </w:style>
  <w:style w:type="paragraph" w:customStyle="1" w:styleId="3962">
    <w:name w:val="表图注"/>
    <w:basedOn w:val="1"/>
    <w:qFormat/>
    <w:uiPriority w:val="99"/>
    <w:pPr>
      <w:spacing w:line="300" w:lineRule="auto"/>
      <w:jc w:val="center"/>
    </w:pPr>
    <w:rPr>
      <w:rFonts w:ascii="Calibri" w:hAnsi="Calibri"/>
    </w:rPr>
  </w:style>
  <w:style w:type="paragraph" w:customStyle="1" w:styleId="3963">
    <w:name w:val="新标题2"/>
    <w:basedOn w:val="1"/>
    <w:qFormat/>
    <w:uiPriority w:val="99"/>
    <w:pPr>
      <w:keepNext/>
      <w:autoSpaceDE w:val="0"/>
      <w:autoSpaceDN w:val="0"/>
      <w:adjustRightInd w:val="0"/>
      <w:spacing w:before="120" w:after="120" w:line="460" w:lineRule="exact"/>
      <w:outlineLvl w:val="1"/>
    </w:pPr>
    <w:rPr>
      <w:rFonts w:ascii="黑体" w:hAnsi="Calibri" w:eastAsia="黑体" w:cs="宋体"/>
      <w:b/>
      <w:bCs/>
      <w:color w:val="000000"/>
      <w:sz w:val="24"/>
      <w:lang w:val="zh-CN"/>
    </w:rPr>
  </w:style>
  <w:style w:type="paragraph" w:customStyle="1" w:styleId="3964">
    <w:name w:val="1正文"/>
    <w:basedOn w:val="3297"/>
    <w:qFormat/>
    <w:uiPriority w:val="0"/>
    <w:pPr>
      <w:spacing w:before="0" w:after="0" w:line="360" w:lineRule="auto"/>
      <w:ind w:left="0"/>
    </w:pPr>
    <w:rPr>
      <w:rFonts w:ascii="Times New Roman" w:hAnsi="Times New Roman"/>
      <w:sz w:val="24"/>
    </w:rPr>
  </w:style>
  <w:style w:type="paragraph" w:customStyle="1" w:styleId="3965">
    <w:name w:val="TT"/>
    <w:basedOn w:val="1"/>
    <w:qFormat/>
    <w:uiPriority w:val="99"/>
    <w:pPr>
      <w:adjustRightInd w:val="0"/>
      <w:snapToGrid w:val="0"/>
      <w:spacing w:before="40" w:after="40" w:line="300" w:lineRule="auto"/>
    </w:pPr>
    <w:rPr>
      <w:rFonts w:ascii="Calibri" w:hAnsi="Calibri"/>
      <w:b/>
      <w:sz w:val="24"/>
      <w:szCs w:val="20"/>
    </w:rPr>
  </w:style>
  <w:style w:type="paragraph" w:customStyle="1" w:styleId="3966">
    <w:name w:val="2文章"/>
    <w:qFormat/>
    <w:uiPriority w:val="0"/>
    <w:pPr>
      <w:ind w:left="1260" w:hanging="693"/>
    </w:pPr>
    <w:rPr>
      <w:rFonts w:ascii="Times New Roman" w:hAnsi="Times New Roman" w:eastAsia="宋体" w:cs="Times New Roman"/>
      <w:lang w:val="en-US" w:eastAsia="zh-CN" w:bidi="ar-SA"/>
    </w:rPr>
  </w:style>
  <w:style w:type="paragraph" w:customStyle="1" w:styleId="3967">
    <w:name w:val="1文章"/>
    <w:basedOn w:val="1"/>
    <w:qFormat/>
    <w:uiPriority w:val="0"/>
    <w:pPr>
      <w:snapToGrid w:val="0"/>
      <w:spacing w:line="360" w:lineRule="auto"/>
      <w:ind w:firstLine="573"/>
    </w:pPr>
    <w:rPr>
      <w:rFonts w:ascii="Calibri" w:hAnsi="Calibri" w:eastAsia="仿宋_GB2312"/>
      <w:sz w:val="28"/>
      <w:szCs w:val="20"/>
    </w:rPr>
  </w:style>
  <w:style w:type="paragraph" w:customStyle="1" w:styleId="3968">
    <w:name w:val="text13"/>
    <w:basedOn w:val="1"/>
    <w:qFormat/>
    <w:uiPriority w:val="99"/>
    <w:pPr>
      <w:spacing w:before="100" w:beforeAutospacing="1" w:after="100" w:afterAutospacing="1"/>
    </w:pPr>
    <w:rPr>
      <w:rFonts w:ascii="宋体" w:hAnsi="宋体"/>
      <w:kern w:val="0"/>
      <w:sz w:val="24"/>
    </w:rPr>
  </w:style>
  <w:style w:type="paragraph" w:customStyle="1" w:styleId="3969">
    <w:name w:val="CM49"/>
    <w:basedOn w:val="1"/>
    <w:next w:val="1"/>
    <w:qFormat/>
    <w:uiPriority w:val="99"/>
    <w:pPr>
      <w:autoSpaceDE w:val="0"/>
      <w:autoSpaceDN w:val="0"/>
      <w:spacing w:after="183"/>
    </w:pPr>
    <w:rPr>
      <w:rFonts w:hint="eastAsia" w:ascii="黑体" w:hAnsi="Calibri" w:eastAsia="黑体"/>
      <w:sz w:val="24"/>
      <w:szCs w:val="20"/>
    </w:rPr>
  </w:style>
  <w:style w:type="paragraph" w:customStyle="1" w:styleId="3970">
    <w:name w:val="Char73"/>
    <w:basedOn w:val="1"/>
    <w:qFormat/>
    <w:uiPriority w:val="99"/>
    <w:pPr>
      <w:spacing w:line="360" w:lineRule="auto"/>
      <w:ind w:firstLine="200" w:firstLineChars="200"/>
    </w:pPr>
    <w:rPr>
      <w:rFonts w:ascii="宋体" w:hAnsi="宋体" w:cs="宋体"/>
      <w:sz w:val="24"/>
    </w:rPr>
  </w:style>
  <w:style w:type="paragraph" w:customStyle="1" w:styleId="3971">
    <w:name w:val="文件名称"/>
    <w:basedOn w:val="1"/>
    <w:next w:val="1"/>
    <w:qFormat/>
    <w:uiPriority w:val="0"/>
    <w:pPr>
      <w:spacing w:beforeLines="100" w:line="300" w:lineRule="auto"/>
      <w:jc w:val="center"/>
    </w:pPr>
    <w:rPr>
      <w:rFonts w:ascii="黑体" w:hAnsi="Calibri" w:eastAsia="黑体"/>
      <w:sz w:val="84"/>
      <w:szCs w:val="84"/>
    </w:rPr>
  </w:style>
  <w:style w:type="paragraph" w:customStyle="1" w:styleId="3972">
    <w:name w:val="序列"/>
    <w:qFormat/>
    <w:uiPriority w:val="99"/>
    <w:pPr>
      <w:widowControl w:val="0"/>
      <w:spacing w:line="300" w:lineRule="auto"/>
    </w:pPr>
    <w:rPr>
      <w:rFonts w:ascii="Calibri" w:hAnsi="Calibri" w:eastAsia="宋体" w:cs="Times New Roman"/>
      <w:sz w:val="28"/>
      <w:lang w:val="en-US" w:eastAsia="zh-CN" w:bidi="ar-SA"/>
    </w:rPr>
  </w:style>
  <w:style w:type="paragraph" w:customStyle="1" w:styleId="3973">
    <w:name w:val="列表 21"/>
    <w:basedOn w:val="1"/>
    <w:qFormat/>
    <w:uiPriority w:val="99"/>
    <w:pPr>
      <w:ind w:left="100" w:leftChars="200" w:hanging="200" w:hangingChars="200"/>
    </w:pPr>
    <w:rPr>
      <w:rFonts w:ascii="Calibri" w:hAnsi="Calibri"/>
    </w:rPr>
  </w:style>
  <w:style w:type="paragraph" w:customStyle="1" w:styleId="3974">
    <w:name w:val="样式 宋体 小四 首行缩进:  2 字符"/>
    <w:basedOn w:val="1"/>
    <w:qFormat/>
    <w:uiPriority w:val="99"/>
    <w:pPr>
      <w:spacing w:line="500" w:lineRule="exact"/>
      <w:ind w:firstLine="200" w:firstLineChars="200"/>
    </w:pPr>
    <w:rPr>
      <w:rFonts w:ascii="宋体" w:hAnsi="宋体" w:cs="宋体"/>
      <w:sz w:val="24"/>
      <w:szCs w:val="20"/>
    </w:rPr>
  </w:style>
  <w:style w:type="paragraph" w:customStyle="1" w:styleId="3975">
    <w:name w:val="样式 居中 首行缩进:  0 厘米"/>
    <w:basedOn w:val="1"/>
    <w:qFormat/>
    <w:uiPriority w:val="99"/>
    <w:pPr>
      <w:adjustRightInd w:val="0"/>
      <w:snapToGrid w:val="0"/>
      <w:spacing w:line="500" w:lineRule="exact"/>
      <w:jc w:val="center"/>
    </w:pPr>
    <w:rPr>
      <w:rFonts w:ascii="宋体" w:hAnsi="宋体" w:cs="宋体"/>
      <w:sz w:val="28"/>
      <w:szCs w:val="20"/>
    </w:rPr>
  </w:style>
  <w:style w:type="paragraph" w:customStyle="1" w:styleId="3976">
    <w:name w:val="修订12"/>
    <w:unhideWhenUsed/>
    <w:qFormat/>
    <w:uiPriority w:val="99"/>
    <w:rPr>
      <w:rFonts w:ascii="Calibri" w:hAnsi="Calibri" w:eastAsia="宋体" w:cs="Times New Roman"/>
      <w:kern w:val="2"/>
      <w:sz w:val="21"/>
      <w:szCs w:val="24"/>
      <w:lang w:val="en-US" w:eastAsia="zh-CN" w:bidi="ar-SA"/>
    </w:rPr>
  </w:style>
  <w:style w:type="paragraph" w:customStyle="1" w:styleId="3977">
    <w:name w:val="修改中word"/>
    <w:basedOn w:val="2613"/>
    <w:qFormat/>
    <w:uiPriority w:val="99"/>
    <w:pPr>
      <w:spacing w:before="156"/>
      <w:ind w:left="210" w:right="210" w:firstLine="0" w:firstLineChars="0"/>
    </w:pPr>
  </w:style>
  <w:style w:type="paragraph" w:customStyle="1" w:styleId="3978">
    <w:name w:val="文字无缩"/>
    <w:basedOn w:val="45"/>
    <w:qFormat/>
    <w:uiPriority w:val="99"/>
    <w:pPr>
      <w:autoSpaceDE w:val="0"/>
      <w:autoSpaceDN w:val="0"/>
      <w:adjustRightInd w:val="0"/>
      <w:spacing w:before="60" w:after="60" w:line="360" w:lineRule="auto"/>
    </w:pPr>
    <w:rPr>
      <w:rFonts w:ascii="仿宋_GB2312" w:hAnsi="Times New Roman" w:eastAsia="仿宋_GB2312"/>
      <w:kern w:val="0"/>
      <w:sz w:val="28"/>
    </w:rPr>
  </w:style>
  <w:style w:type="paragraph" w:customStyle="1" w:styleId="3979">
    <w:name w:val="0007小四 居中"/>
    <w:basedOn w:val="3597"/>
    <w:qFormat/>
    <w:uiPriority w:val="0"/>
    <w:pPr>
      <w:jc w:val="center"/>
    </w:pPr>
    <w:rPr>
      <w:sz w:val="24"/>
      <w:szCs w:val="24"/>
    </w:rPr>
  </w:style>
  <w:style w:type="paragraph" w:customStyle="1" w:styleId="3980">
    <w:name w:val="Char16"/>
    <w:basedOn w:val="1"/>
    <w:qFormat/>
    <w:uiPriority w:val="99"/>
    <w:pPr>
      <w:spacing w:line="540" w:lineRule="exact"/>
    </w:pPr>
    <w:rPr>
      <w:rFonts w:ascii="Calibri" w:hAnsi="Calibri"/>
      <w:sz w:val="24"/>
      <w:szCs w:val="20"/>
    </w:rPr>
  </w:style>
  <w:style w:type="paragraph" w:customStyle="1" w:styleId="3981">
    <w:name w:val="基准页眉样式"/>
    <w:basedOn w:val="34"/>
    <w:qFormat/>
    <w:uiPriority w:val="0"/>
    <w:pPr>
      <w:autoSpaceDE w:val="0"/>
      <w:autoSpaceDN w:val="0"/>
      <w:jc w:val="center"/>
    </w:pPr>
    <w:rPr>
      <w:rFonts w:ascii="宋体" w:hAnsi="宋体"/>
      <w:color w:val="FF00FF"/>
      <w:lang w:val="zh-CN"/>
    </w:rPr>
  </w:style>
  <w:style w:type="paragraph" w:customStyle="1" w:styleId="3982">
    <w:name w:val="zhengwen"/>
    <w:basedOn w:val="1"/>
    <w:qFormat/>
    <w:uiPriority w:val="0"/>
    <w:pPr>
      <w:spacing w:before="100" w:beforeAutospacing="1" w:after="100" w:afterAutospacing="1"/>
    </w:pPr>
    <w:rPr>
      <w:rFonts w:ascii="宋体" w:hAnsi="宋体"/>
      <w:kern w:val="0"/>
      <w:sz w:val="24"/>
    </w:rPr>
  </w:style>
  <w:style w:type="paragraph" w:customStyle="1" w:styleId="3983">
    <w:name w:val="Char Char1 Char5"/>
    <w:basedOn w:val="1"/>
    <w:qFormat/>
    <w:uiPriority w:val="99"/>
    <w:rPr>
      <w:rFonts w:ascii="Calibri" w:hAnsi="Calibri"/>
    </w:rPr>
  </w:style>
  <w:style w:type="paragraph" w:customStyle="1" w:styleId="3984">
    <w:name w:val="样式 标题 2标题21.1H2h2第一层条2Header 2nd PageA.B.C.h2 main head..."/>
    <w:basedOn w:val="4"/>
    <w:qFormat/>
    <w:uiPriority w:val="0"/>
    <w:pPr>
      <w:snapToGrid w:val="0"/>
      <w:spacing w:before="0" w:after="0" w:line="360" w:lineRule="auto"/>
    </w:pPr>
    <w:rPr>
      <w:rFonts w:ascii="Times New Roman" w:hAnsi="Times New Roman" w:eastAsia="宋体"/>
      <w:bCs w:val="0"/>
      <w:sz w:val="30"/>
      <w:szCs w:val="30"/>
    </w:rPr>
  </w:style>
  <w:style w:type="paragraph" w:customStyle="1" w:styleId="3985">
    <w:name w:val="表体宋旭峰"/>
    <w:basedOn w:val="45"/>
    <w:qFormat/>
    <w:uiPriority w:val="0"/>
    <w:pPr>
      <w:overflowPunct w:val="0"/>
      <w:snapToGrid/>
      <w:spacing w:line="280" w:lineRule="atLeast"/>
      <w:jc w:val="center"/>
      <w:textAlignment w:val="baseline"/>
    </w:pPr>
    <w:rPr>
      <w:rFonts w:cs="Courier New" w:eastAsiaTheme="minorEastAsia"/>
      <w:snapToGrid w:val="0"/>
      <w:kern w:val="24"/>
      <w:sz w:val="18"/>
      <w:szCs w:val="22"/>
    </w:rPr>
  </w:style>
  <w:style w:type="paragraph" w:customStyle="1" w:styleId="3986">
    <w:name w:val="Char Char Char Char5"/>
    <w:basedOn w:val="1"/>
    <w:qFormat/>
    <w:uiPriority w:val="0"/>
    <w:pPr>
      <w:tabs>
        <w:tab w:val="left" w:pos="360"/>
      </w:tabs>
    </w:pPr>
    <w:rPr>
      <w:rFonts w:ascii="Calibri" w:hAnsi="Calibri"/>
      <w:sz w:val="24"/>
    </w:rPr>
  </w:style>
  <w:style w:type="paragraph" w:customStyle="1" w:styleId="3987">
    <w:name w:val="??"/>
    <w:qFormat/>
    <w:uiPriority w:val="99"/>
    <w:pPr>
      <w:widowControl w:val="0"/>
      <w:overflowPunct w:val="0"/>
      <w:autoSpaceDE w:val="0"/>
      <w:autoSpaceDN w:val="0"/>
      <w:adjustRightInd w:val="0"/>
      <w:jc w:val="both"/>
      <w:textAlignment w:val="baseline"/>
    </w:pPr>
    <w:rPr>
      <w:rFonts w:ascii="Calibri" w:hAnsi="Calibri" w:eastAsia="宋体" w:cs="Times New Roman"/>
      <w:kern w:val="2"/>
      <w:sz w:val="21"/>
      <w:lang w:val="en-US" w:eastAsia="zh-CN" w:bidi="ar-SA"/>
    </w:rPr>
  </w:style>
  <w:style w:type="paragraph" w:customStyle="1" w:styleId="3988">
    <w:name w:val="正文文本 34"/>
    <w:basedOn w:val="1"/>
    <w:qFormat/>
    <w:uiPriority w:val="99"/>
    <w:pPr>
      <w:adjustRightInd w:val="0"/>
      <w:spacing w:line="360" w:lineRule="atLeast"/>
      <w:jc w:val="center"/>
      <w:textAlignment w:val="baseline"/>
    </w:pPr>
    <w:rPr>
      <w:rFonts w:ascii="仿宋体" w:hAnsi="宋体" w:eastAsia="仿宋体"/>
      <w:kern w:val="0"/>
      <w:sz w:val="24"/>
      <w:szCs w:val="20"/>
    </w:rPr>
  </w:style>
  <w:style w:type="paragraph" w:customStyle="1" w:styleId="3989">
    <w:name w:val="Char Char21 Char Char Char Char1"/>
    <w:basedOn w:val="1"/>
    <w:qFormat/>
    <w:uiPriority w:val="99"/>
    <w:rPr>
      <w:rFonts w:ascii="Tahoma" w:hAnsi="Tahoma"/>
      <w:sz w:val="24"/>
      <w:szCs w:val="20"/>
    </w:rPr>
  </w:style>
  <w:style w:type="paragraph" w:customStyle="1" w:styleId="3990">
    <w:name w:val="样式 正文文本缩进正文文字缩进正文文字缩进1 + 首行缩进:  0.98 厘米 Char"/>
    <w:basedOn w:val="35"/>
    <w:qFormat/>
    <w:uiPriority w:val="99"/>
    <w:pPr>
      <w:snapToGrid w:val="0"/>
      <w:ind w:firstLine="420"/>
    </w:pPr>
    <w:rPr>
      <w:rFonts w:ascii="宋体" w:hAnsiTheme="minorHAnsi" w:cstheme="minorBidi"/>
      <w:color w:val="auto"/>
      <w:sz w:val="21"/>
      <w:szCs w:val="22"/>
    </w:rPr>
  </w:style>
  <w:style w:type="paragraph" w:customStyle="1" w:styleId="3991">
    <w:name w:val="寄信人地址1"/>
    <w:basedOn w:val="1"/>
    <w:qFormat/>
    <w:uiPriority w:val="99"/>
    <w:pPr>
      <w:snapToGrid w:val="0"/>
    </w:pPr>
    <w:rPr>
      <w:rFonts w:ascii="Arial" w:hAnsi="Arial" w:cs="Arial"/>
    </w:rPr>
  </w:style>
  <w:style w:type="paragraph" w:customStyle="1" w:styleId="3992">
    <w:name w:val="表格文字中对齐"/>
    <w:basedOn w:val="1"/>
    <w:qFormat/>
    <w:uiPriority w:val="99"/>
    <w:pPr>
      <w:spacing w:line="300" w:lineRule="auto"/>
      <w:jc w:val="center"/>
    </w:pPr>
    <w:rPr>
      <w:rFonts w:hint="eastAsia" w:ascii="Calibri" w:hAnsi="Calibri"/>
      <w:color w:val="000000"/>
      <w:szCs w:val="20"/>
    </w:rPr>
  </w:style>
  <w:style w:type="paragraph" w:customStyle="1" w:styleId="3993">
    <w:name w:val="流程文字"/>
    <w:basedOn w:val="1"/>
    <w:qFormat/>
    <w:uiPriority w:val="0"/>
    <w:pPr>
      <w:tabs>
        <w:tab w:val="left" w:pos="6480"/>
      </w:tabs>
      <w:topLinePunct/>
      <w:adjustRightInd w:val="0"/>
      <w:snapToGrid w:val="0"/>
      <w:jc w:val="center"/>
    </w:pPr>
    <w:rPr>
      <w:rFonts w:ascii="Calibri" w:hAnsi="Calibri" w:eastAsia="仿宋_GB2312"/>
      <w:szCs w:val="20"/>
    </w:rPr>
  </w:style>
  <w:style w:type="paragraph" w:customStyle="1" w:styleId="3994">
    <w:name w:val="reader-word-layer reader-word-s4-11"/>
    <w:basedOn w:val="1"/>
    <w:qFormat/>
    <w:uiPriority w:val="99"/>
    <w:pPr>
      <w:spacing w:before="100" w:beforeAutospacing="1" w:after="100" w:afterAutospacing="1" w:line="300" w:lineRule="auto"/>
    </w:pPr>
    <w:rPr>
      <w:rFonts w:ascii="宋体" w:hAnsi="宋体" w:cs="宋体"/>
      <w:kern w:val="0"/>
      <w:sz w:val="24"/>
    </w:rPr>
  </w:style>
  <w:style w:type="paragraph" w:customStyle="1" w:styleId="3995">
    <w:name w:val="样式26"/>
    <w:basedOn w:val="4"/>
    <w:qFormat/>
    <w:uiPriority w:val="99"/>
    <w:pPr>
      <w:tabs>
        <w:tab w:val="left" w:pos="567"/>
      </w:tabs>
      <w:spacing w:before="0" w:after="0" w:line="360" w:lineRule="auto"/>
    </w:pPr>
    <w:rPr>
      <w:rFonts w:ascii="Cambria" w:hAnsi="Cambria" w:eastAsia="宋体"/>
      <w:sz w:val="30"/>
    </w:rPr>
  </w:style>
  <w:style w:type="paragraph" w:customStyle="1" w:styleId="3996">
    <w:name w:val="Char Char Char Char Char Char Char Char Char Char Char Char Char Char Char Char Char Char Char Char Char Char Char Char Char2"/>
    <w:basedOn w:val="1"/>
    <w:qFormat/>
    <w:uiPriority w:val="99"/>
    <w:rPr>
      <w:rFonts w:ascii="Calibri" w:hAnsi="Calibri"/>
    </w:rPr>
  </w:style>
  <w:style w:type="paragraph" w:customStyle="1" w:styleId="3997">
    <w:name w:val="蒲标题1"/>
    <w:basedOn w:val="3"/>
    <w:qFormat/>
    <w:uiPriority w:val="0"/>
    <w:pPr>
      <w:adjustRightInd w:val="0"/>
      <w:snapToGrid w:val="0"/>
      <w:spacing w:before="0" w:after="0" w:line="360" w:lineRule="auto"/>
    </w:pPr>
    <w:rPr>
      <w:kern w:val="2"/>
      <w:sz w:val="32"/>
      <w:szCs w:val="32"/>
    </w:rPr>
  </w:style>
  <w:style w:type="paragraph" w:customStyle="1" w:styleId="3998">
    <w:name w:val="样式 图格式"/>
    <w:basedOn w:val="4"/>
    <w:semiHidden/>
    <w:qFormat/>
    <w:uiPriority w:val="99"/>
    <w:pPr>
      <w:shd w:val="clear" w:color="auto" w:fill="FFFFFF"/>
      <w:kinsoku w:val="0"/>
      <w:overflowPunct w:val="0"/>
      <w:autoSpaceDE w:val="0"/>
      <w:autoSpaceDN w:val="0"/>
      <w:snapToGrid w:val="0"/>
      <w:spacing w:before="0" w:after="0" w:line="300" w:lineRule="atLeast"/>
      <w:outlineLvl w:val="9"/>
    </w:pPr>
    <w:rPr>
      <w:rFonts w:eastAsia="宋体" w:cs="宋体"/>
      <w:color w:val="0000FF"/>
      <w:kern w:val="0"/>
      <w:sz w:val="24"/>
      <w:szCs w:val="24"/>
    </w:rPr>
  </w:style>
  <w:style w:type="paragraph" w:customStyle="1" w:styleId="3999">
    <w:name w:val="四级无标题条"/>
    <w:basedOn w:val="1"/>
    <w:qFormat/>
    <w:uiPriority w:val="0"/>
    <w:rPr>
      <w:rFonts w:ascii="Calibri" w:hAnsi="Calibri"/>
    </w:rPr>
  </w:style>
  <w:style w:type="paragraph" w:customStyle="1" w:styleId="4000">
    <w:name w:val="表格正文1"/>
    <w:basedOn w:val="1"/>
    <w:qFormat/>
    <w:uiPriority w:val="99"/>
    <w:pPr>
      <w:spacing w:line="360" w:lineRule="auto"/>
    </w:pPr>
    <w:rPr>
      <w:rFonts w:ascii="宋体" w:hAnsi="宋体"/>
      <w:b/>
      <w:bCs/>
      <w:spacing w:val="20"/>
      <w:sz w:val="28"/>
    </w:rPr>
  </w:style>
  <w:style w:type="paragraph" w:customStyle="1" w:styleId="4001">
    <w:name w:val="正文首行缩进10"/>
    <w:basedOn w:val="34"/>
    <w:qFormat/>
    <w:uiPriority w:val="99"/>
    <w:pPr>
      <w:spacing w:line="312" w:lineRule="auto"/>
      <w:ind w:firstLine="567"/>
    </w:pPr>
    <w:rPr>
      <w:rFonts w:ascii="Calibri" w:hAnsi="Calibri"/>
      <w:kern w:val="0"/>
      <w:sz w:val="28"/>
      <w:szCs w:val="20"/>
    </w:rPr>
  </w:style>
  <w:style w:type="paragraph" w:customStyle="1" w:styleId="4002">
    <w:name w:val="Style8"/>
    <w:basedOn w:val="1"/>
    <w:qFormat/>
    <w:uiPriority w:val="99"/>
    <w:pPr>
      <w:adjustRightInd w:val="0"/>
    </w:pPr>
    <w:rPr>
      <w:rFonts w:ascii="宋体" w:hAnsi="Calibri"/>
      <w:kern w:val="0"/>
      <w:sz w:val="24"/>
    </w:rPr>
  </w:style>
  <w:style w:type="paragraph" w:customStyle="1" w:styleId="4003">
    <w:name w:val="znan正文"/>
    <w:basedOn w:val="87"/>
    <w:qFormat/>
    <w:uiPriority w:val="99"/>
    <w:pPr>
      <w:spacing w:before="0" w:after="0" w:line="360" w:lineRule="auto"/>
      <w:ind w:left="0" w:firstLine="200" w:firstLineChars="200"/>
    </w:pPr>
    <w:rPr>
      <w:rFonts w:hAnsiTheme="minorHAnsi" w:cstheme="minorBidi"/>
      <w:kern w:val="2"/>
      <w:sz w:val="28"/>
      <w:lang w:val="en-US"/>
    </w:rPr>
  </w:style>
  <w:style w:type="paragraph" w:customStyle="1" w:styleId="4004">
    <w:name w:val="Char Char Char2 Char"/>
    <w:basedOn w:val="1"/>
    <w:qFormat/>
    <w:uiPriority w:val="0"/>
    <w:pPr>
      <w:spacing w:line="360" w:lineRule="auto"/>
      <w:ind w:firstLine="200" w:firstLineChars="200"/>
    </w:pPr>
    <w:rPr>
      <w:rFonts w:ascii="宋体" w:hAnsi="宋体" w:cs="宋体"/>
      <w:sz w:val="24"/>
    </w:rPr>
  </w:style>
  <w:style w:type="paragraph" w:customStyle="1" w:styleId="4005">
    <w:name w:val="Char Char Char Char Char Char Char2"/>
    <w:basedOn w:val="1"/>
    <w:next w:val="1"/>
    <w:qFormat/>
    <w:uiPriority w:val="0"/>
    <w:pPr>
      <w:keepNext/>
      <w:keepLines/>
      <w:adjustRightInd w:val="0"/>
      <w:spacing w:before="40" w:after="40" w:line="360" w:lineRule="auto"/>
      <w:ind w:firstLine="200" w:firstLineChars="200"/>
      <w:textAlignment w:val="baseline"/>
      <w:outlineLvl w:val="3"/>
    </w:pPr>
    <w:rPr>
      <w:rFonts w:ascii="Calibri" w:hAnsi="Calibri" w:eastAsia="仿宋_GB2312" w:cs="宋体"/>
      <w:b/>
      <w:kern w:val="0"/>
      <w:sz w:val="24"/>
      <w:szCs w:val="28"/>
    </w:rPr>
  </w:style>
  <w:style w:type="paragraph" w:customStyle="1" w:styleId="4006">
    <w:name w:val="Char Char41 Char Char Char Char1"/>
    <w:basedOn w:val="1"/>
    <w:qFormat/>
    <w:uiPriority w:val="99"/>
    <w:rPr>
      <w:rFonts w:ascii="Tahoma" w:hAnsi="Tahoma"/>
      <w:sz w:val="24"/>
      <w:szCs w:val="20"/>
    </w:rPr>
  </w:style>
  <w:style w:type="paragraph" w:customStyle="1" w:styleId="4007">
    <w:name w:val="结束语1"/>
    <w:basedOn w:val="1"/>
    <w:qFormat/>
    <w:uiPriority w:val="99"/>
    <w:pPr>
      <w:ind w:left="100" w:leftChars="2100"/>
    </w:pPr>
    <w:rPr>
      <w:rFonts w:ascii="Calibri" w:hAnsi="Calibri"/>
    </w:rPr>
  </w:style>
  <w:style w:type="paragraph" w:customStyle="1" w:styleId="4008">
    <w:name w:val="正文仿宋"/>
    <w:basedOn w:val="1"/>
    <w:qFormat/>
    <w:uiPriority w:val="0"/>
    <w:pPr>
      <w:adjustRightInd w:val="0"/>
      <w:snapToGrid w:val="0"/>
      <w:spacing w:line="360" w:lineRule="auto"/>
      <w:ind w:firstLine="567"/>
    </w:pPr>
    <w:rPr>
      <w:rFonts w:ascii="Calibri" w:hAnsi="Calibri" w:eastAsia="仿宋_GB2312"/>
      <w:snapToGrid w:val="0"/>
      <w:kern w:val="0"/>
      <w:sz w:val="24"/>
      <w:szCs w:val="20"/>
    </w:rPr>
  </w:style>
  <w:style w:type="paragraph" w:customStyle="1" w:styleId="4009">
    <w:name w:val="样式 正文首行缩进 + 行距: 1.5 倍行距"/>
    <w:basedOn w:val="86"/>
    <w:qFormat/>
    <w:uiPriority w:val="99"/>
    <w:pPr>
      <w:spacing w:line="440" w:lineRule="exact"/>
      <w:ind w:firstLine="504" w:firstLineChars="200"/>
    </w:pPr>
    <w:rPr>
      <w:rFonts w:cstheme="minorBidi"/>
      <w:spacing w:val="6"/>
      <w:sz w:val="24"/>
    </w:rPr>
  </w:style>
  <w:style w:type="paragraph" w:customStyle="1" w:styleId="4010">
    <w:name w:val="Char Char Char Char Char Char Char Char Char Char4"/>
    <w:basedOn w:val="1"/>
    <w:qFormat/>
    <w:uiPriority w:val="0"/>
    <w:pPr>
      <w:spacing w:after="160" w:line="240" w:lineRule="exact"/>
    </w:pPr>
    <w:rPr>
      <w:rFonts w:ascii="Verdana" w:hAnsi="Verdana" w:cs="Verdana"/>
      <w:kern w:val="0"/>
      <w:sz w:val="20"/>
      <w:szCs w:val="20"/>
      <w:lang w:eastAsia="en-US"/>
    </w:rPr>
  </w:style>
  <w:style w:type="paragraph" w:customStyle="1" w:styleId="4011">
    <w:name w:val="超标"/>
    <w:basedOn w:val="1092"/>
    <w:qFormat/>
    <w:uiPriority w:val="99"/>
    <w:rPr>
      <w:rFonts w:ascii="Times New Roman" w:hAnsi="Times New Roman" w:cs="宋体" w:eastAsiaTheme="minorEastAsia"/>
      <w:b/>
      <w:bCs/>
      <w:kern w:val="2"/>
      <w:sz w:val="21"/>
      <w:szCs w:val="22"/>
    </w:rPr>
  </w:style>
  <w:style w:type="paragraph" w:customStyle="1" w:styleId="4012">
    <w:name w:val="myformat_content Char"/>
    <w:basedOn w:val="1"/>
    <w:qFormat/>
    <w:uiPriority w:val="99"/>
    <w:pPr>
      <w:spacing w:beforeLines="50" w:afterLines="50" w:line="360" w:lineRule="exact"/>
      <w:ind w:firstLine="480" w:firstLineChars="200"/>
    </w:pPr>
    <w:rPr>
      <w:rFonts w:ascii="Calibri" w:hAnsi="Calibri"/>
      <w:sz w:val="24"/>
    </w:rPr>
  </w:style>
  <w:style w:type="paragraph" w:customStyle="1" w:styleId="4013">
    <w:name w:val="样式 宋体 小四 首行缩进:  0.74 厘米 行距: 1.5 倍行距"/>
    <w:basedOn w:val="1"/>
    <w:qFormat/>
    <w:uiPriority w:val="99"/>
    <w:pPr>
      <w:numPr>
        <w:ilvl w:val="0"/>
        <w:numId w:val="13"/>
      </w:numPr>
      <w:spacing w:line="360" w:lineRule="auto"/>
      <w:ind w:firstLine="0"/>
    </w:pPr>
    <w:rPr>
      <w:rFonts w:ascii="Arial" w:hAnsi="Arial"/>
      <w:sz w:val="24"/>
    </w:rPr>
  </w:style>
  <w:style w:type="paragraph" w:customStyle="1" w:styleId="4014">
    <w:name w:val="表头样式"/>
    <w:basedOn w:val="1"/>
    <w:qFormat/>
    <w:uiPriority w:val="0"/>
    <w:pPr>
      <w:spacing w:beforeLines="30" w:afterLines="20"/>
      <w:jc w:val="center"/>
    </w:pPr>
    <w:rPr>
      <w:rFonts w:ascii="Calibri" w:hAnsi="Calibri" w:eastAsia="黑体"/>
      <w:sz w:val="28"/>
      <w:szCs w:val="20"/>
    </w:rPr>
  </w:style>
  <w:style w:type="paragraph" w:customStyle="1" w:styleId="4015">
    <w:name w:val="TEXT"/>
    <w:basedOn w:val="1"/>
    <w:qFormat/>
    <w:uiPriority w:val="99"/>
    <w:pPr>
      <w:spacing w:line="440" w:lineRule="exact"/>
      <w:ind w:firstLine="480" w:firstLineChars="200"/>
    </w:pPr>
    <w:rPr>
      <w:rFonts w:ascii="Calibri" w:hAnsi="Calibri" w:cs="宋体"/>
      <w:sz w:val="24"/>
      <w:szCs w:val="20"/>
    </w:rPr>
  </w:style>
  <w:style w:type="paragraph" w:customStyle="1" w:styleId="4016">
    <w:name w:val="标题 71"/>
    <w:basedOn w:val="1"/>
    <w:next w:val="1"/>
    <w:qFormat/>
    <w:uiPriority w:val="99"/>
    <w:pPr>
      <w:overflowPunct w:val="0"/>
      <w:snapToGrid w:val="0"/>
      <w:spacing w:before="120" w:line="380" w:lineRule="exact"/>
      <w:ind w:firstLine="567"/>
      <w:textAlignment w:val="baseline"/>
      <w:outlineLvl w:val="6"/>
    </w:pPr>
    <w:rPr>
      <w:rFonts w:ascii="Arial" w:hAnsi="Arial" w:eastAsia="仿宋_GB2312"/>
      <w:sz w:val="24"/>
      <w:szCs w:val="22"/>
    </w:rPr>
  </w:style>
  <w:style w:type="paragraph" w:customStyle="1" w:styleId="4017">
    <w:name w:val="dxj正文"/>
    <w:basedOn w:val="1"/>
    <w:qFormat/>
    <w:uiPriority w:val="99"/>
    <w:pPr>
      <w:spacing w:line="360" w:lineRule="auto"/>
      <w:ind w:firstLine="200" w:firstLineChars="200"/>
    </w:pPr>
    <w:rPr>
      <w:rFonts w:ascii="Calibri" w:hAnsi="Calibri"/>
      <w:sz w:val="24"/>
    </w:rPr>
  </w:style>
  <w:style w:type="paragraph" w:customStyle="1" w:styleId="4018">
    <w:name w:val="样式 样式3 + 首行缩进:  0.96 字符"/>
    <w:basedOn w:val="893"/>
    <w:qFormat/>
    <w:uiPriority w:val="99"/>
    <w:pPr>
      <w:adjustRightInd w:val="0"/>
      <w:spacing w:before="120" w:beforeLines="50" w:line="360" w:lineRule="auto"/>
      <w:ind w:right="-126" w:rightChars="-42"/>
      <w:jc w:val="center"/>
    </w:pPr>
    <w:rPr>
      <w:rFonts w:cs="宋体"/>
      <w:b/>
      <w:bCs/>
      <w:color w:val="000000"/>
      <w:sz w:val="88"/>
      <w:szCs w:val="84"/>
    </w:rPr>
  </w:style>
  <w:style w:type="paragraph" w:customStyle="1" w:styleId="4019">
    <w:name w:val="Char Char Char Char Char Char Char Char Char Char5"/>
    <w:basedOn w:val="1"/>
    <w:qFormat/>
    <w:uiPriority w:val="99"/>
    <w:pPr>
      <w:spacing w:after="160" w:line="240" w:lineRule="exact"/>
    </w:pPr>
    <w:rPr>
      <w:rFonts w:ascii="Verdana" w:hAnsi="Verdana" w:cs="Verdana"/>
      <w:kern w:val="0"/>
      <w:sz w:val="20"/>
      <w:szCs w:val="20"/>
      <w:lang w:eastAsia="en-US"/>
    </w:rPr>
  </w:style>
  <w:style w:type="paragraph" w:customStyle="1" w:styleId="4020">
    <w:name w:val="0905正文样式"/>
    <w:basedOn w:val="1"/>
    <w:qFormat/>
    <w:uiPriority w:val="99"/>
    <w:pPr>
      <w:adjustRightInd w:val="0"/>
      <w:snapToGrid w:val="0"/>
      <w:spacing w:line="336" w:lineRule="auto"/>
      <w:ind w:firstLine="200" w:firstLineChars="200"/>
    </w:pPr>
    <w:rPr>
      <w:rFonts w:ascii="Calibri" w:hAnsi="Calibri"/>
      <w:sz w:val="28"/>
      <w:szCs w:val="28"/>
    </w:rPr>
  </w:style>
  <w:style w:type="paragraph" w:customStyle="1" w:styleId="4021">
    <w:name w:val="Char1 Char Char Char Char Char Char Char Char Char4"/>
    <w:basedOn w:val="1"/>
    <w:qFormat/>
    <w:uiPriority w:val="99"/>
    <w:pPr>
      <w:spacing w:after="160" w:line="240" w:lineRule="exact"/>
    </w:pPr>
    <w:rPr>
      <w:rFonts w:ascii="Verdana" w:hAnsi="Verdana" w:eastAsia="仿宋_GB2312"/>
      <w:kern w:val="0"/>
      <w:sz w:val="24"/>
      <w:szCs w:val="20"/>
      <w:lang w:eastAsia="en-US"/>
    </w:rPr>
  </w:style>
  <w:style w:type="paragraph" w:customStyle="1" w:styleId="4022">
    <w:name w:val="样式 0004正文 + 首行缩进:  2 字符"/>
    <w:basedOn w:val="3597"/>
    <w:qFormat/>
    <w:uiPriority w:val="99"/>
    <w:pPr>
      <w:spacing w:afterLines="20"/>
      <w:ind w:firstLine="560"/>
    </w:pPr>
    <w:rPr>
      <w:rFonts w:cs="宋体"/>
      <w:szCs w:val="20"/>
    </w:rPr>
  </w:style>
  <w:style w:type="paragraph" w:customStyle="1" w:styleId="4023">
    <w:name w:val="Char Char21 Char Char1"/>
    <w:basedOn w:val="1"/>
    <w:qFormat/>
    <w:uiPriority w:val="99"/>
    <w:rPr>
      <w:rFonts w:ascii="Tahoma" w:hAnsi="Tahoma"/>
      <w:sz w:val="24"/>
      <w:szCs w:val="20"/>
    </w:rPr>
  </w:style>
  <w:style w:type="paragraph" w:customStyle="1" w:styleId="4024">
    <w:name w:val="正文_表格内正文"/>
    <w:basedOn w:val="1"/>
    <w:qFormat/>
    <w:uiPriority w:val="99"/>
    <w:pPr>
      <w:jc w:val="center"/>
    </w:pPr>
    <w:rPr>
      <w:rFonts w:ascii="Calibri" w:hAnsi="Calibri"/>
      <w:sz w:val="20"/>
      <w:szCs w:val="21"/>
    </w:rPr>
  </w:style>
  <w:style w:type="paragraph" w:customStyle="1" w:styleId="4025">
    <w:name w:val="样式 样式 宋体 小四 行距: 多倍行距 1.4 字行 + 首行缩进:  2 字符"/>
    <w:basedOn w:val="1"/>
    <w:qFormat/>
    <w:uiPriority w:val="99"/>
    <w:pPr>
      <w:spacing w:line="360" w:lineRule="auto"/>
      <w:ind w:firstLine="200" w:firstLineChars="200"/>
    </w:pPr>
    <w:rPr>
      <w:rFonts w:ascii="宋体" w:hAnsi="宋体"/>
      <w:kern w:val="28"/>
      <w:sz w:val="28"/>
      <w:szCs w:val="20"/>
    </w:rPr>
  </w:style>
  <w:style w:type="paragraph" w:customStyle="1" w:styleId="4026">
    <w:name w:val="贾伦标题4"/>
    <w:basedOn w:val="6"/>
    <w:qFormat/>
    <w:uiPriority w:val="99"/>
    <w:pPr>
      <w:tabs>
        <w:tab w:val="left" w:pos="851"/>
      </w:tabs>
      <w:ind w:left="864" w:hanging="144"/>
    </w:pPr>
    <w:rPr>
      <w:rFonts w:ascii="Cambria" w:hAnsi="Cambria"/>
      <w:szCs w:val="28"/>
    </w:rPr>
  </w:style>
  <w:style w:type="paragraph" w:customStyle="1" w:styleId="4027">
    <w:name w:val="列表 41"/>
    <w:basedOn w:val="1"/>
    <w:qFormat/>
    <w:uiPriority w:val="99"/>
    <w:pPr>
      <w:ind w:left="100" w:leftChars="600" w:hanging="200" w:hangingChars="200"/>
    </w:pPr>
    <w:rPr>
      <w:rFonts w:ascii="Calibri" w:hAnsi="Calibri"/>
    </w:rPr>
  </w:style>
  <w:style w:type="paragraph" w:customStyle="1" w:styleId="4028">
    <w:name w:val="样式 标题 1H1NMP Heading 1一、Head 1wsa1.标题 1章节标题b1heading 1H...1"/>
    <w:basedOn w:val="3"/>
    <w:qFormat/>
    <w:uiPriority w:val="99"/>
    <w:pPr>
      <w:adjustRightInd w:val="0"/>
      <w:snapToGrid w:val="0"/>
      <w:spacing w:before="120" w:beforeLines="50" w:after="120" w:afterLines="50" w:line="360" w:lineRule="auto"/>
    </w:pPr>
    <w:rPr>
      <w:rFonts w:cs="宋体"/>
      <w:sz w:val="32"/>
      <w:szCs w:val="20"/>
    </w:rPr>
  </w:style>
  <w:style w:type="paragraph" w:customStyle="1" w:styleId="4029">
    <w:name w:val="正文王"/>
    <w:basedOn w:val="1"/>
    <w:qFormat/>
    <w:uiPriority w:val="99"/>
    <w:pPr>
      <w:tabs>
        <w:tab w:val="left" w:pos="7080"/>
      </w:tabs>
      <w:adjustRightInd w:val="0"/>
      <w:snapToGrid w:val="0"/>
      <w:spacing w:after="78" w:line="560" w:lineRule="exact"/>
      <w:ind w:firstLine="472" w:firstLineChars="200"/>
    </w:pPr>
    <w:rPr>
      <w:rFonts w:ascii="Calibri" w:hAnsi="宋体"/>
      <w:snapToGrid w:val="0"/>
      <w:color w:val="FF0000"/>
      <w:spacing w:val="-2"/>
      <w:kern w:val="0"/>
      <w:sz w:val="24"/>
    </w:rPr>
  </w:style>
  <w:style w:type="paragraph" w:customStyle="1" w:styleId="4030">
    <w:name w:val="111"/>
    <w:basedOn w:val="6"/>
    <w:next w:val="1"/>
    <w:qFormat/>
    <w:uiPriority w:val="99"/>
    <w:pPr>
      <w:tabs>
        <w:tab w:val="left" w:pos="851"/>
        <w:tab w:val="left" w:pos="2880"/>
      </w:tabs>
      <w:spacing w:before="280" w:after="290" w:line="376" w:lineRule="auto"/>
      <w:ind w:left="2880" w:hanging="360"/>
    </w:pPr>
    <w:rPr>
      <w:rFonts w:ascii="Arial" w:hAnsi="Arial" w:eastAsia="黑体"/>
      <w:bCs w:val="0"/>
      <w:sz w:val="28"/>
      <w:szCs w:val="20"/>
    </w:rPr>
  </w:style>
  <w:style w:type="paragraph" w:customStyle="1" w:styleId="4031">
    <w:name w:val="0002"/>
    <w:basedOn w:val="4"/>
    <w:qFormat/>
    <w:uiPriority w:val="99"/>
    <w:pPr>
      <w:keepNext w:val="0"/>
      <w:keepLines w:val="0"/>
      <w:spacing w:before="0" w:beforeLines="100" w:after="0" w:line="360" w:lineRule="auto"/>
    </w:pPr>
    <w:rPr>
      <w:rFonts w:ascii="宋体" w:eastAsia="宋体"/>
      <w:kern w:val="0"/>
      <w:sz w:val="30"/>
    </w:rPr>
  </w:style>
  <w:style w:type="paragraph" w:customStyle="1" w:styleId="4032">
    <w:name w:val="样式 标题 3ReHead 3 WSA标题03h3H3level_3PIM 3Level 3 HeadHead..."/>
    <w:basedOn w:val="5"/>
    <w:qFormat/>
    <w:uiPriority w:val="99"/>
    <w:pPr>
      <w:adjustRightInd w:val="0"/>
      <w:snapToGrid w:val="0"/>
      <w:spacing w:before="0" w:after="0" w:line="360" w:lineRule="auto"/>
    </w:pPr>
    <w:rPr>
      <w:rFonts w:cs="宋体"/>
      <w:kern w:val="0"/>
      <w:sz w:val="28"/>
      <w:szCs w:val="28"/>
    </w:rPr>
  </w:style>
  <w:style w:type="paragraph" w:customStyle="1" w:styleId="4033">
    <w:name w:val="Char Char2 Char Char"/>
    <w:basedOn w:val="1"/>
    <w:next w:val="1"/>
    <w:qFormat/>
    <w:uiPriority w:val="99"/>
    <w:pPr>
      <w:spacing w:line="360" w:lineRule="auto"/>
      <w:ind w:firstLine="200" w:firstLineChars="200"/>
    </w:pPr>
    <w:rPr>
      <w:rFonts w:ascii="Calibri" w:hAnsi="Calibri"/>
    </w:rPr>
  </w:style>
  <w:style w:type="paragraph" w:customStyle="1" w:styleId="4034">
    <w:name w:val="3 Char Char Char Char Char Char Char"/>
    <w:qFormat/>
    <w:uiPriority w:val="0"/>
    <w:pPr>
      <w:spacing w:beforeLines="50" w:line="312" w:lineRule="auto"/>
      <w:ind w:firstLine="480" w:firstLineChars="200"/>
    </w:pPr>
    <w:rPr>
      <w:rFonts w:ascii="Times New Roman" w:hAnsi="Times New Roman" w:eastAsia="宋体" w:cs="Times New Roman"/>
      <w:color w:val="000000"/>
      <w:szCs w:val="24"/>
      <w:lang w:val="en-US" w:eastAsia="zh-CN" w:bidi="ar-SA"/>
    </w:rPr>
  </w:style>
  <w:style w:type="paragraph" w:customStyle="1" w:styleId="4035">
    <w:name w:val="正文图"/>
    <w:basedOn w:val="1"/>
    <w:qFormat/>
    <w:uiPriority w:val="0"/>
    <w:pPr>
      <w:adjustRightInd w:val="0"/>
      <w:snapToGrid w:val="0"/>
      <w:spacing w:before="40"/>
      <w:jc w:val="center"/>
      <w:textAlignment w:val="baseline"/>
    </w:pPr>
    <w:rPr>
      <w:rFonts w:ascii="宋体" w:hAnsi="Calibri"/>
      <w:kern w:val="0"/>
      <w:sz w:val="24"/>
      <w:szCs w:val="20"/>
    </w:rPr>
  </w:style>
  <w:style w:type="paragraph" w:customStyle="1" w:styleId="4036">
    <w:name w:val="表内"/>
    <w:basedOn w:val="1"/>
    <w:qFormat/>
    <w:uiPriority w:val="0"/>
    <w:pPr>
      <w:jc w:val="center"/>
    </w:pPr>
    <w:rPr>
      <w:rFonts w:hint="eastAsia" w:ascii="宋体" w:hAnsi="宋体"/>
      <w:color w:val="000000"/>
      <w:sz w:val="24"/>
      <w:szCs w:val="20"/>
    </w:rPr>
  </w:style>
  <w:style w:type="paragraph" w:customStyle="1" w:styleId="4037">
    <w:name w:val="右五"/>
    <w:basedOn w:val="3907"/>
    <w:next w:val="1"/>
    <w:qFormat/>
    <w:uiPriority w:val="0"/>
    <w:pPr>
      <w:jc w:val="right"/>
    </w:pPr>
  </w:style>
  <w:style w:type="paragraph" w:customStyle="1" w:styleId="4038">
    <w:name w:val="样式 初设正文 + 宋体 左侧:  0 厘米 首行缩进:  0.95 厘米 段后: 0 磅"/>
    <w:basedOn w:val="2026"/>
    <w:qFormat/>
    <w:uiPriority w:val="99"/>
    <w:pPr>
      <w:spacing w:after="0"/>
      <w:ind w:left="0" w:firstLine="540"/>
    </w:pPr>
    <w:rPr>
      <w:rFonts w:ascii="Arial Unicode MS" w:hAnsi="Arial Unicode MS" w:cs="宋体"/>
    </w:rPr>
  </w:style>
  <w:style w:type="paragraph" w:customStyle="1" w:styleId="4039">
    <w:name w:val="bg题名页责任签"/>
    <w:basedOn w:val="1"/>
    <w:qFormat/>
    <w:uiPriority w:val="99"/>
    <w:pPr>
      <w:ind w:left="2552" w:right="1134" w:hanging="1418"/>
    </w:pPr>
    <w:rPr>
      <w:rFonts w:ascii="Calibri" w:hAnsi="Calibri"/>
      <w:sz w:val="28"/>
      <w:szCs w:val="20"/>
    </w:rPr>
  </w:style>
  <w:style w:type="paragraph" w:customStyle="1" w:styleId="4040">
    <w:name w:val="样式 图号 + 宋体"/>
    <w:basedOn w:val="3261"/>
    <w:qFormat/>
    <w:uiPriority w:val="99"/>
    <w:pPr>
      <w:ind w:firstLine="200" w:firstLineChars="200"/>
    </w:pPr>
    <w:rPr>
      <w:rFonts w:ascii="宋体" w:hAnsi="宋体"/>
    </w:rPr>
  </w:style>
  <w:style w:type="paragraph" w:customStyle="1" w:styleId="4041">
    <w:name w:val="Char Char Char Char Char2 Char Char Char Char8"/>
    <w:basedOn w:val="1"/>
    <w:qFormat/>
    <w:uiPriority w:val="99"/>
    <w:pPr>
      <w:adjustRightInd w:val="0"/>
      <w:snapToGrid w:val="0"/>
      <w:spacing w:line="360" w:lineRule="auto"/>
      <w:ind w:firstLine="200" w:firstLineChars="200"/>
    </w:pPr>
    <w:rPr>
      <w:rFonts w:ascii="宋体" w:hAnsi="宋体" w:cs="宋体"/>
      <w:sz w:val="24"/>
      <w:szCs w:val="26"/>
    </w:rPr>
  </w:style>
  <w:style w:type="paragraph" w:customStyle="1" w:styleId="4042">
    <w:name w:val="样式 标题 2节3号宋体居中行距2倍三号宋体居中行距2倍距三号宋体居中行距2倍标题 2 Char Char Char ...2"/>
    <w:basedOn w:val="4"/>
    <w:qFormat/>
    <w:uiPriority w:val="99"/>
    <w:pPr>
      <w:keepNext w:val="0"/>
      <w:keepLines w:val="0"/>
      <w:spacing w:before="0" w:beforeLines="50" w:after="240" w:line="420" w:lineRule="auto"/>
      <w:jc w:val="center"/>
    </w:pPr>
    <w:rPr>
      <w:rFonts w:ascii="Times New Roman" w:hAnsi="Times New Roman" w:eastAsia="宋体" w:cs="宋体"/>
      <w:b w:val="0"/>
      <w:bCs w:val="0"/>
      <w:sz w:val="30"/>
      <w:szCs w:val="20"/>
    </w:rPr>
  </w:style>
  <w:style w:type="paragraph" w:customStyle="1" w:styleId="4043">
    <w:name w:val="样式21"/>
    <w:basedOn w:val="774"/>
    <w:qFormat/>
    <w:uiPriority w:val="0"/>
    <w:pPr>
      <w:shd w:val="clear" w:color="auto" w:fill="auto"/>
      <w:spacing w:before="0" w:beforeLines="0" w:line="240" w:lineRule="auto"/>
      <w:ind w:firstLine="522" w:firstLineChars="200"/>
      <w:jc w:val="both"/>
      <w:textAlignment w:val="auto"/>
      <w:outlineLvl w:val="9"/>
    </w:pPr>
    <w:rPr>
      <w:rFonts w:ascii="Times New Roman" w:hAnsi="Times New Roman" w:eastAsiaTheme="minorEastAsia" w:cstheme="minorBidi"/>
      <w:color w:val="0000FF"/>
      <w:szCs w:val="20"/>
    </w:rPr>
  </w:style>
  <w:style w:type="paragraph" w:customStyle="1" w:styleId="4044">
    <w:name w:val="样式 表格 + 左  25 字符1"/>
    <w:basedOn w:val="21"/>
    <w:semiHidden/>
    <w:qFormat/>
    <w:uiPriority w:val="0"/>
    <w:rPr>
      <w:rFonts w:hAnsi="宋体" w:eastAsia="Times New Roman" w:cs="宋体" w:asciiTheme="minorHAnsi"/>
      <w:sz w:val="18"/>
      <w:szCs w:val="22"/>
    </w:rPr>
  </w:style>
  <w:style w:type="paragraph" w:customStyle="1" w:styleId="4045">
    <w:name w:val="湛江码头表"/>
    <w:basedOn w:val="1"/>
    <w:qFormat/>
    <w:uiPriority w:val="0"/>
    <w:pPr>
      <w:jc w:val="center"/>
    </w:pPr>
    <w:rPr>
      <w:rFonts w:ascii="Calibri" w:hAnsi="Calibri" w:eastAsia="仿宋_GB2312"/>
      <w:kern w:val="0"/>
      <w:lang w:eastAsia="zh-TW"/>
    </w:rPr>
  </w:style>
  <w:style w:type="paragraph" w:customStyle="1" w:styleId="4046">
    <w:name w:val="左侧"/>
    <w:qFormat/>
    <w:uiPriority w:val="0"/>
    <w:pPr>
      <w:spacing w:line="280" w:lineRule="exact"/>
      <w:jc w:val="center"/>
    </w:pPr>
    <w:rPr>
      <w:rFonts w:ascii="Batang" w:hAnsi="Batang" w:eastAsia="宋体" w:cs="Times New Roman"/>
      <w:color w:val="000000"/>
      <w:sz w:val="21"/>
      <w:lang w:val="en-US" w:eastAsia="zh-CN" w:bidi="ar-SA"/>
    </w:rPr>
  </w:style>
  <w:style w:type="paragraph" w:customStyle="1" w:styleId="4047">
    <w:name w:val="样式 宋体 四号"/>
    <w:basedOn w:val="1"/>
    <w:qFormat/>
    <w:uiPriority w:val="99"/>
    <w:pPr>
      <w:spacing w:line="360" w:lineRule="auto"/>
      <w:ind w:firstLine="480" w:firstLineChars="200"/>
    </w:pPr>
    <w:rPr>
      <w:rFonts w:ascii="Calibri" w:hAnsi="Calibri"/>
      <w:color w:val="0000FF"/>
      <w:sz w:val="24"/>
      <w:lang w:val="zh-CN"/>
    </w:rPr>
  </w:style>
  <w:style w:type="paragraph" w:customStyle="1" w:styleId="4048">
    <w:name w:val="666666-二级标题"/>
    <w:qFormat/>
    <w:uiPriority w:val="99"/>
    <w:pPr>
      <w:spacing w:line="360" w:lineRule="auto"/>
      <w:outlineLvl w:val="1"/>
    </w:pPr>
    <w:rPr>
      <w:rFonts w:ascii="Calibri" w:hAnsi="Calibri" w:eastAsia="黑体" w:cs="Times New Roman"/>
      <w:bCs/>
      <w:kern w:val="2"/>
      <w:sz w:val="32"/>
      <w:szCs w:val="32"/>
      <w:lang w:val="en-US" w:eastAsia="zh-CN" w:bidi="ar-SA"/>
    </w:rPr>
  </w:style>
  <w:style w:type="paragraph" w:customStyle="1" w:styleId="4049">
    <w:name w:val="样式 标题 2 + 宋体"/>
    <w:basedOn w:val="4"/>
    <w:qFormat/>
    <w:uiPriority w:val="0"/>
    <w:pPr>
      <w:tabs>
        <w:tab w:val="left" w:pos="567"/>
      </w:tabs>
      <w:spacing w:before="0" w:after="0" w:line="360" w:lineRule="auto"/>
    </w:pPr>
    <w:rPr>
      <w:rFonts w:ascii="Cambria" w:hAnsi="Cambria" w:eastAsia="宋体"/>
      <w:sz w:val="30"/>
    </w:rPr>
  </w:style>
  <w:style w:type="paragraph" w:customStyle="1" w:styleId="4050">
    <w:name w:val="小节"/>
    <w:basedOn w:val="1"/>
    <w:qFormat/>
    <w:uiPriority w:val="99"/>
    <w:rPr>
      <w:rFonts w:ascii="宋体" w:hAnsi="Calibri"/>
      <w:sz w:val="28"/>
      <w:szCs w:val="20"/>
    </w:rPr>
  </w:style>
  <w:style w:type="paragraph" w:customStyle="1" w:styleId="4051">
    <w:name w:val="正文标准样式"/>
    <w:basedOn w:val="1"/>
    <w:qFormat/>
    <w:uiPriority w:val="99"/>
    <w:pPr>
      <w:adjustRightInd w:val="0"/>
      <w:spacing w:line="300" w:lineRule="auto"/>
      <w:ind w:firstLine="482"/>
      <w:textAlignment w:val="baseline"/>
    </w:pPr>
    <w:rPr>
      <w:rFonts w:ascii="Calibri" w:hAnsi="Calibri"/>
      <w:kern w:val="0"/>
      <w:sz w:val="24"/>
      <w:szCs w:val="20"/>
    </w:rPr>
  </w:style>
  <w:style w:type="paragraph" w:customStyle="1" w:styleId="4052">
    <w:name w:val="框图内容"/>
    <w:basedOn w:val="1"/>
    <w:qFormat/>
    <w:uiPriority w:val="0"/>
    <w:pPr>
      <w:jc w:val="center"/>
    </w:pPr>
    <w:rPr>
      <w:rFonts w:ascii="宋体" w:hAnsi="Calibri"/>
      <w:lang w:val="en-GB"/>
    </w:rPr>
  </w:style>
  <w:style w:type="paragraph" w:customStyle="1" w:styleId="4053">
    <w:name w:val="华陆正文"/>
    <w:basedOn w:val="1"/>
    <w:qFormat/>
    <w:uiPriority w:val="99"/>
    <w:pPr>
      <w:spacing w:line="360" w:lineRule="auto"/>
      <w:jc w:val="center"/>
    </w:pPr>
    <w:rPr>
      <w:rFonts w:hint="eastAsia" w:ascii="黑体" w:hAnsi="Calibri" w:eastAsia="黑体"/>
      <w:szCs w:val="20"/>
    </w:rPr>
  </w:style>
  <w:style w:type="paragraph" w:customStyle="1" w:styleId="4054">
    <w:name w:val="样式 样式 标题 2h22Header 2nd PageA.B.C.h2 main h标题2 + 仿宋_GB2312 行距......1"/>
    <w:basedOn w:val="3819"/>
    <w:qFormat/>
    <w:uiPriority w:val="99"/>
    <w:pPr>
      <w:ind w:firstLine="454"/>
    </w:pPr>
    <w:rPr>
      <w:b/>
      <w:bCs w:val="0"/>
    </w:rPr>
  </w:style>
  <w:style w:type="paragraph" w:customStyle="1" w:styleId="4055">
    <w:name w:val="列表3"/>
    <w:basedOn w:val="65"/>
    <w:qFormat/>
    <w:uiPriority w:val="99"/>
    <w:pPr>
      <w:ind w:left="0" w:firstLine="0" w:firstLineChars="0"/>
      <w:jc w:val="center"/>
    </w:pPr>
    <w:rPr>
      <w:rFonts w:cstheme="minorBidi"/>
      <w:sz w:val="36"/>
      <w:szCs w:val="36"/>
    </w:rPr>
  </w:style>
  <w:style w:type="paragraph" w:customStyle="1" w:styleId="4056">
    <w:name w:val="基准脚注"/>
    <w:basedOn w:val="1"/>
    <w:qFormat/>
    <w:uiPriority w:val="99"/>
    <w:rPr>
      <w:rFonts w:ascii="Garamond" w:hAnsi="Garamond"/>
      <w:kern w:val="0"/>
      <w:sz w:val="24"/>
      <w:szCs w:val="20"/>
    </w:rPr>
  </w:style>
  <w:style w:type="paragraph" w:customStyle="1" w:styleId="4057">
    <w:name w:val="F正文"/>
    <w:qFormat/>
    <w:uiPriority w:val="0"/>
    <w:pPr>
      <w:widowControl w:val="0"/>
      <w:adjustRightInd w:val="0"/>
      <w:spacing w:line="360" w:lineRule="atLeast"/>
      <w:textAlignment w:val="baseline"/>
    </w:pPr>
    <w:rPr>
      <w:rFonts w:ascii="Calibri" w:hAnsi="Calibri" w:eastAsia="宋体" w:cs="Times New Roman"/>
      <w:spacing w:val="12"/>
      <w:sz w:val="24"/>
      <w:lang w:val="en-US" w:eastAsia="zh-CN" w:bidi="ar-SA"/>
    </w:rPr>
  </w:style>
  <w:style w:type="paragraph" w:customStyle="1" w:styleId="4058">
    <w:name w:val="ztu"/>
    <w:basedOn w:val="1"/>
    <w:qFormat/>
    <w:uiPriority w:val="99"/>
    <w:pPr>
      <w:spacing w:line="300" w:lineRule="auto"/>
      <w:jc w:val="center"/>
    </w:pPr>
    <w:rPr>
      <w:rFonts w:ascii="Calibri" w:hAnsi="Calibri" w:cs="Tahoma"/>
      <w:bCs/>
      <w:color w:val="000000"/>
      <w:kern w:val="0"/>
      <w:szCs w:val="21"/>
    </w:rPr>
  </w:style>
  <w:style w:type="paragraph" w:customStyle="1" w:styleId="4059">
    <w:name w:val="hb1"/>
    <w:basedOn w:val="3"/>
    <w:qFormat/>
    <w:uiPriority w:val="99"/>
    <w:pPr>
      <w:tabs>
        <w:tab w:val="left" w:pos="425"/>
      </w:tabs>
      <w:adjustRightInd w:val="0"/>
      <w:snapToGrid w:val="0"/>
      <w:spacing w:before="0" w:after="0" w:line="360" w:lineRule="auto"/>
    </w:pPr>
    <w:rPr>
      <w:rFonts w:ascii="Calibri" w:hAnsi="Calibri"/>
      <w:sz w:val="32"/>
    </w:rPr>
  </w:style>
  <w:style w:type="paragraph" w:customStyle="1" w:styleId="4060">
    <w:name w:val="图表---"/>
    <w:basedOn w:val="1"/>
    <w:qFormat/>
    <w:uiPriority w:val="99"/>
    <w:pPr>
      <w:snapToGrid w:val="0"/>
      <w:jc w:val="center"/>
    </w:pPr>
    <w:rPr>
      <w:rFonts w:ascii="Calibri" w:hAnsi="Calibri" w:cs="宋体"/>
      <w:b/>
      <w:bCs/>
      <w:kern w:val="0"/>
      <w:szCs w:val="20"/>
    </w:rPr>
  </w:style>
  <w:style w:type="paragraph" w:customStyle="1" w:styleId="4061">
    <w:name w:val="纯文本22"/>
    <w:basedOn w:val="1"/>
    <w:qFormat/>
    <w:uiPriority w:val="99"/>
    <w:pPr>
      <w:textAlignment w:val="baseline"/>
    </w:pPr>
    <w:rPr>
      <w:rFonts w:hint="eastAsia" w:ascii="宋体" w:hAnsi="Courier New"/>
      <w:sz w:val="28"/>
      <w:szCs w:val="20"/>
    </w:rPr>
  </w:style>
  <w:style w:type="paragraph" w:customStyle="1" w:styleId="4062">
    <w:name w:val="Hu表内"/>
    <w:basedOn w:val="1"/>
    <w:qFormat/>
    <w:uiPriority w:val="99"/>
    <w:pPr>
      <w:adjustRightInd w:val="0"/>
      <w:spacing w:line="240" w:lineRule="atLeast"/>
      <w:textAlignment w:val="baseline"/>
    </w:pPr>
    <w:rPr>
      <w:rFonts w:ascii="宋体" w:hAnsi="宋体"/>
      <w:kern w:val="0"/>
      <w:sz w:val="24"/>
      <w:szCs w:val="20"/>
    </w:rPr>
  </w:style>
  <w:style w:type="paragraph" w:customStyle="1" w:styleId="4063">
    <w:name w:val="标题符"/>
    <w:basedOn w:val="1"/>
    <w:qFormat/>
    <w:uiPriority w:val="99"/>
    <w:pPr>
      <w:tabs>
        <w:tab w:val="left" w:pos="360"/>
      </w:tabs>
      <w:overflowPunct w:val="0"/>
      <w:snapToGrid w:val="0"/>
      <w:spacing w:line="480" w:lineRule="exact"/>
      <w:ind w:firstLine="560" w:firstLineChars="200"/>
    </w:pPr>
    <w:rPr>
      <w:rFonts w:ascii="Arial" w:hAnsi="Arial" w:eastAsia="仿宋_GB2312"/>
      <w:sz w:val="28"/>
      <w:szCs w:val="20"/>
    </w:rPr>
  </w:style>
  <w:style w:type="paragraph" w:customStyle="1" w:styleId="4064">
    <w:name w:val="列项·"/>
    <w:qFormat/>
    <w:uiPriority w:val="0"/>
    <w:pPr>
      <w:tabs>
        <w:tab w:val="left" w:pos="840"/>
      </w:tabs>
      <w:ind w:left="840" w:leftChars="200" w:hanging="420" w:hangingChars="200"/>
      <w:jc w:val="both"/>
    </w:pPr>
    <w:rPr>
      <w:rFonts w:ascii="宋体" w:hAnsi="Calibri" w:eastAsia="宋体" w:cs="Times New Roman"/>
      <w:sz w:val="21"/>
      <w:lang w:val="en-US" w:eastAsia="zh-CN" w:bidi="ar-SA"/>
    </w:rPr>
  </w:style>
  <w:style w:type="paragraph" w:customStyle="1" w:styleId="4065">
    <w:name w:val="正文图标题"/>
    <w:next w:val="6"/>
    <w:qFormat/>
    <w:uiPriority w:val="99"/>
    <w:pPr>
      <w:jc w:val="center"/>
    </w:pPr>
    <w:rPr>
      <w:rFonts w:ascii="黑体" w:hAnsi="Calibri" w:eastAsia="黑体" w:cs="Times New Roman"/>
      <w:sz w:val="21"/>
      <w:lang w:val="en-US" w:eastAsia="zh-CN" w:bidi="ar-SA"/>
    </w:rPr>
  </w:style>
  <w:style w:type="paragraph" w:customStyle="1" w:styleId="4066">
    <w:name w:val="样式 标题 3ReHead 3 WSAh3h3 Char + 段后: 7.8 磅 行距: 1.5 倍行距"/>
    <w:basedOn w:val="5"/>
    <w:qFormat/>
    <w:uiPriority w:val="99"/>
    <w:pPr>
      <w:tabs>
        <w:tab w:val="left" w:pos="1620"/>
      </w:tabs>
      <w:adjustRightInd w:val="0"/>
      <w:snapToGrid w:val="0"/>
      <w:spacing w:before="0" w:beforeLines="50" w:after="0" w:afterLines="50" w:line="240" w:lineRule="auto"/>
      <w:ind w:left="1620" w:hanging="420"/>
      <w:textAlignment w:val="baseline"/>
    </w:pPr>
    <w:rPr>
      <w:rFonts w:ascii="宋体" w:eastAsia="黑体"/>
      <w:b w:val="0"/>
      <w:kern w:val="0"/>
      <w:sz w:val="24"/>
      <w:szCs w:val="20"/>
      <w:lang w:val="zh-CN"/>
    </w:rPr>
  </w:style>
  <w:style w:type="paragraph" w:customStyle="1" w:styleId="4067">
    <w:name w:val="Char Char2 Char Char Char Char Char Char6"/>
    <w:basedOn w:val="1"/>
    <w:qFormat/>
    <w:uiPriority w:val="99"/>
    <w:pPr>
      <w:spacing w:line="360" w:lineRule="auto"/>
    </w:pPr>
    <w:rPr>
      <w:rFonts w:ascii="宋体" w:hAnsi="宋体"/>
      <w:sz w:val="22"/>
    </w:rPr>
  </w:style>
  <w:style w:type="paragraph" w:customStyle="1" w:styleId="4068">
    <w:name w:val="列表编号 51"/>
    <w:basedOn w:val="1"/>
    <w:qFormat/>
    <w:uiPriority w:val="99"/>
    <w:pPr>
      <w:tabs>
        <w:tab w:val="left" w:pos="2040"/>
      </w:tabs>
      <w:ind w:left="2040" w:leftChars="800" w:hanging="360" w:hangingChars="200"/>
    </w:pPr>
    <w:rPr>
      <w:rFonts w:ascii="Calibri" w:hAnsi="Calibri"/>
    </w:rPr>
  </w:style>
  <w:style w:type="paragraph" w:customStyle="1" w:styleId="4069">
    <w:name w:val="brdrw15brsp20 tqctx4153t"/>
    <w:qFormat/>
    <w:uiPriority w:val="0"/>
    <w:pPr>
      <w:widowControl w:val="0"/>
      <w:pBdr>
        <w:bottom w:val="single" w:color="auto" w:sz="6" w:space="0"/>
      </w:pBdr>
      <w:adjustRightInd w:val="0"/>
      <w:spacing w:line="312" w:lineRule="atLeast"/>
      <w:jc w:val="center"/>
      <w:textAlignment w:val="baseline"/>
    </w:pPr>
    <w:rPr>
      <w:rFonts w:ascii="Calibri" w:hAnsi="Calibri" w:eastAsia="宋体" w:cs="Times New Roman"/>
      <w:sz w:val="21"/>
      <w:lang w:val="en-US" w:eastAsia="zh-CN" w:bidi="ar-SA"/>
    </w:rPr>
  </w:style>
  <w:style w:type="paragraph" w:customStyle="1" w:styleId="4070">
    <w:name w:val="列出段落5"/>
    <w:basedOn w:val="1"/>
    <w:unhideWhenUsed/>
    <w:qFormat/>
    <w:uiPriority w:val="99"/>
    <w:pPr>
      <w:spacing w:line="360" w:lineRule="auto"/>
      <w:ind w:firstLine="420" w:firstLineChars="200"/>
    </w:pPr>
    <w:rPr>
      <w:rFonts w:ascii="Calibri" w:hAnsi="Calibri"/>
      <w:sz w:val="24"/>
      <w:szCs w:val="22"/>
    </w:rPr>
  </w:style>
  <w:style w:type="paragraph" w:customStyle="1" w:styleId="4071">
    <w:name w:val="666666-一级标题"/>
    <w:qFormat/>
    <w:uiPriority w:val="99"/>
    <w:pPr>
      <w:spacing w:beforeLines="50" w:afterLines="50"/>
      <w:outlineLvl w:val="0"/>
    </w:pPr>
    <w:rPr>
      <w:rFonts w:ascii="Calibri" w:hAnsi="Calibri" w:eastAsia="黑体" w:cs="Times New Roman"/>
      <w:bCs/>
      <w:kern w:val="2"/>
      <w:sz w:val="36"/>
      <w:szCs w:val="36"/>
      <w:lang w:val="en-US" w:eastAsia="zh-CN" w:bidi="ar-SA"/>
    </w:rPr>
  </w:style>
  <w:style w:type="paragraph" w:customStyle="1" w:styleId="4072">
    <w:name w:val="2 Char Char Char Char Char Char Char Char Char Char"/>
    <w:basedOn w:val="1"/>
    <w:qFormat/>
    <w:uiPriority w:val="0"/>
    <w:rPr>
      <w:rFonts w:ascii="Calibri" w:hAnsi="Calibri"/>
    </w:rPr>
  </w:style>
  <w:style w:type="paragraph" w:customStyle="1" w:styleId="4073">
    <w:name w:val="首行缩进正文"/>
    <w:basedOn w:val="1"/>
    <w:qFormat/>
    <w:uiPriority w:val="0"/>
    <w:pPr>
      <w:spacing w:line="640" w:lineRule="exact"/>
      <w:ind w:firstLine="200" w:firstLineChars="200"/>
    </w:pPr>
    <w:rPr>
      <w:rFonts w:ascii="宋体" w:hAnsi="宋体"/>
      <w:sz w:val="28"/>
      <w:szCs w:val="28"/>
    </w:rPr>
  </w:style>
  <w:style w:type="paragraph" w:customStyle="1" w:styleId="4074">
    <w:name w:val="Char Char Char Char Char Char1 Char2"/>
    <w:basedOn w:val="1"/>
    <w:qFormat/>
    <w:uiPriority w:val="0"/>
    <w:rPr>
      <w:rFonts w:ascii="Calibri" w:hAnsi="Calibri"/>
    </w:rPr>
  </w:style>
  <w:style w:type="paragraph" w:customStyle="1" w:styleId="4075">
    <w:name w:val="样式 标题 3 + 段前: 0.5 行 段后: 0.5 行"/>
    <w:basedOn w:val="5"/>
    <w:qFormat/>
    <w:uiPriority w:val="0"/>
    <w:pPr>
      <w:adjustRightInd w:val="0"/>
      <w:snapToGrid w:val="0"/>
      <w:spacing w:before="0" w:after="0" w:line="360" w:lineRule="auto"/>
    </w:pPr>
    <w:rPr>
      <w:rFonts w:ascii="宋体" w:hAnsi="宋体" w:cs="宋体"/>
      <w:b w:val="0"/>
      <w:sz w:val="30"/>
      <w:szCs w:val="20"/>
    </w:rPr>
  </w:style>
  <w:style w:type="paragraph" w:customStyle="1" w:styleId="4076">
    <w:name w:val="胡标题1"/>
    <w:basedOn w:val="3"/>
    <w:qFormat/>
    <w:uiPriority w:val="99"/>
    <w:pPr>
      <w:autoSpaceDE w:val="0"/>
      <w:autoSpaceDN w:val="0"/>
      <w:adjustRightInd w:val="0"/>
      <w:snapToGrid w:val="0"/>
      <w:spacing w:before="120" w:after="60" w:line="300" w:lineRule="auto"/>
      <w:textAlignment w:val="baseline"/>
    </w:pPr>
    <w:rPr>
      <w:rFonts w:eastAsia="黑体"/>
      <w:b w:val="0"/>
      <w:bCs w:val="0"/>
      <w:kern w:val="0"/>
      <w:sz w:val="36"/>
    </w:rPr>
  </w:style>
  <w:style w:type="paragraph" w:customStyle="1" w:styleId="4077">
    <w:name w:val="样式 行距: 最小值 12 磅"/>
    <w:basedOn w:val="1"/>
    <w:qFormat/>
    <w:uiPriority w:val="99"/>
    <w:pPr>
      <w:spacing w:before="156" w:beforeLines="50" w:after="156" w:afterLines="50" w:line="500" w:lineRule="exact"/>
      <w:ind w:firstLine="480" w:firstLineChars="200"/>
    </w:pPr>
    <w:rPr>
      <w:rFonts w:ascii="宋体" w:hAnsi="宋体"/>
      <w:color w:val="000000"/>
      <w:kern w:val="0"/>
      <w:sz w:val="24"/>
      <w:szCs w:val="20"/>
    </w:rPr>
  </w:style>
  <w:style w:type="paragraph" w:customStyle="1" w:styleId="4078">
    <w:name w:val="图例"/>
    <w:next w:val="1"/>
    <w:qFormat/>
    <w:uiPriority w:val="99"/>
    <w:pPr>
      <w:spacing w:line="300" w:lineRule="auto"/>
      <w:jc w:val="center"/>
    </w:pPr>
    <w:rPr>
      <w:rFonts w:ascii="Arial" w:hAnsi="Arial" w:eastAsia="宋体" w:cs="Arial"/>
      <w:kern w:val="2"/>
      <w:sz w:val="28"/>
      <w:szCs w:val="28"/>
      <w:lang w:val="en-US" w:eastAsia="zh-CN" w:bidi="ar-SA"/>
    </w:rPr>
  </w:style>
  <w:style w:type="paragraph" w:customStyle="1" w:styleId="4079">
    <w:name w:val="HTML 地址1"/>
    <w:basedOn w:val="1"/>
    <w:qFormat/>
    <w:uiPriority w:val="99"/>
    <w:rPr>
      <w:rFonts w:hint="eastAsia" w:ascii="Calibri" w:hAnsi="Calibri"/>
      <w:i/>
      <w:szCs w:val="20"/>
    </w:rPr>
  </w:style>
  <w:style w:type="paragraph" w:customStyle="1" w:styleId="4080">
    <w:name w:val="105v"/>
    <w:basedOn w:val="1"/>
    <w:qFormat/>
    <w:uiPriority w:val="0"/>
    <w:pPr>
      <w:spacing w:before="100" w:beforeAutospacing="1" w:after="100" w:afterAutospacing="1"/>
    </w:pPr>
    <w:rPr>
      <w:rFonts w:ascii="宋体" w:hAnsi="宋体" w:cs="宋体"/>
      <w:kern w:val="0"/>
      <w:sz w:val="24"/>
    </w:rPr>
  </w:style>
  <w:style w:type="table" w:customStyle="1" w:styleId="4081">
    <w:name w:val="网格型 442"/>
    <w:basedOn w:val="88"/>
    <w:qFormat/>
    <w:uiPriority w:val="0"/>
    <w:pPr>
      <w:widowControl w:val="0"/>
      <w:jc w:val="both"/>
    </w:pPr>
    <w:rPr>
      <w:rFonts w:ascii="Calibri" w:hAnsi="Calibri"/>
    </w:r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cPr>
        <w:tcBorders>
          <w:top w:val="nil"/>
          <w:left w:val="nil"/>
          <w:bottom w:val="single" w:color="000000" w:sz="6" w:space="0"/>
          <w:right w:val="nil"/>
          <w:insideH w:val="nil"/>
          <w:insideV w:val="nil"/>
          <w:tl2br w:val="nil"/>
          <w:tr2bl w:val="nil"/>
        </w:tcBorders>
        <w:shd w:val="pct30" w:color="FFFF00" w:fill="FFFFFF"/>
      </w:tcPr>
    </w:tblStylePr>
    <w:tblStylePr w:type="lastRow">
      <w:rPr>
        <w:b/>
        <w:bCs/>
        <w:color w:val="auto"/>
      </w:rPr>
      <w:tcPr>
        <w:tcBorders>
          <w:top w:val="single" w:color="000000" w:sz="6" w:space="0"/>
          <w:left w:val="nil"/>
          <w:bottom w:val="nil"/>
          <w:right w:val="nil"/>
          <w:insideH w:val="nil"/>
          <w:insideV w:val="nil"/>
          <w:tl2br w:val="nil"/>
          <w:tr2bl w:val="nil"/>
        </w:tcBorders>
        <w:shd w:val="pct30" w:color="FFFF00" w:fill="FFFFFF"/>
      </w:tcPr>
    </w:tblStylePr>
    <w:tblStylePr w:type="lastCol">
      <w:rPr>
        <w:b/>
        <w:bCs/>
        <w:color w:val="auto"/>
      </w:rPr>
      <w:tcPr>
        <w:tcBorders>
          <w:top w:val="nil"/>
          <w:left w:val="nil"/>
          <w:bottom w:val="nil"/>
          <w:right w:val="nil"/>
          <w:insideH w:val="nil"/>
          <w:insideV w:val="nil"/>
          <w:tl2br w:val="nil"/>
          <w:tr2bl w:val="nil"/>
        </w:tcBorders>
      </w:tcPr>
    </w:tblStylePr>
  </w:style>
  <w:style w:type="table" w:customStyle="1" w:styleId="4082">
    <w:name w:val="列表型 211"/>
    <w:basedOn w:val="88"/>
    <w:qFormat/>
    <w:uiPriority w:val="0"/>
    <w:pPr>
      <w:widowControl w:val="0"/>
      <w:jc w:val="both"/>
    </w:pPr>
    <w:rPr>
      <w:rFonts w:ascii="Calibri" w:hAnsi="Calibri"/>
    </w:rPr>
    <w:tblPr>
      <w:tblBorders>
        <w:bottom w:val="single" w:color="808080" w:sz="12" w:space="0"/>
      </w:tblBorders>
    </w:tblPr>
    <w:tblStylePr w:type="firstRow">
      <w:rPr>
        <w:b/>
        <w:bCs/>
        <w:color w:val="FFFFFF"/>
      </w:rPr>
      <w:tcPr>
        <w:tcBorders>
          <w:top w:val="nil"/>
          <w:left w:val="nil"/>
          <w:bottom w:val="single" w:color="000000" w:sz="6" w:space="0"/>
          <w:right w:val="nil"/>
          <w:insideH w:val="nil"/>
          <w:insideV w:val="nil"/>
          <w:tl2br w:val="nil"/>
          <w:tr2bl w:val="nil"/>
        </w:tcBorders>
        <w:shd w:val="pct75" w:color="008080" w:fill="008000"/>
      </w:tcPr>
    </w:tblStylePr>
    <w:tblStylePr w:type="lastRow">
      <w:tcPr>
        <w:tcBorders>
          <w:top w:val="single" w:color="000000" w:sz="6" w:space="0"/>
          <w:left w:val="nil"/>
          <w:bottom w:val="nil"/>
          <w:right w:val="nil"/>
          <w:insideH w:val="nil"/>
          <w:insideV w:val="nil"/>
          <w:tl2br w:val="nil"/>
          <w:tr2bl w:val="nil"/>
        </w:tcBorders>
      </w:tcPr>
    </w:tblStylePr>
    <w:tblStylePr w:type="band1Horz">
      <w:rPr>
        <w:color w:val="auto"/>
      </w:rPr>
      <w:tcPr>
        <w:tcBorders>
          <w:top w:val="nil"/>
          <w:left w:val="nil"/>
          <w:bottom w:val="nil"/>
          <w:right w:val="nil"/>
          <w:insideH w:val="nil"/>
          <w:insideV w:val="nil"/>
          <w:tl2br w:val="nil"/>
          <w:tr2bl w:val="nil"/>
        </w:tcBorders>
        <w:shd w:val="pct20" w:color="00FF00" w:fill="FFFFFF"/>
      </w:tcPr>
    </w:tblStylePr>
    <w:tblStylePr w:type="band2Horz">
      <w:rPr>
        <w:color w:val="auto"/>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table" w:customStyle="1" w:styleId="4083">
    <w:name w:val="彩色型 33"/>
    <w:basedOn w:val="88"/>
    <w:qFormat/>
    <w:uiPriority w:val="0"/>
    <w:pPr>
      <w:widowControl w:val="0"/>
      <w:jc w:val="both"/>
    </w:pPr>
    <w:rPr>
      <w:rFonts w:ascii="Calibri" w:hAnsi="Calibri"/>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cPr>
        <w:tcBorders>
          <w:top w:val="nil"/>
          <w:left w:val="nil"/>
          <w:bottom w:val="single" w:color="000000" w:sz="6" w:space="0"/>
          <w:right w:val="nil"/>
          <w:insideH w:val="nil"/>
          <w:insideV w:val="nil"/>
          <w:tl2br w:val="nil"/>
          <w:tr2bl w:val="nil"/>
        </w:tcBorders>
        <w:shd w:val="solid" w:color="008080" w:fill="FFFFFF"/>
      </w:tcPr>
    </w:tblStylePr>
    <w:tblStylePr w:type="firstCol">
      <w:tcPr>
        <w:tcBorders>
          <w:top w:val="nil"/>
          <w:left w:val="single" w:color="000000" w:sz="36" w:space="0"/>
          <w:bottom w:val="nil"/>
          <w:right w:val="single" w:color="000000" w:sz="6" w:space="0"/>
          <w:insideH w:val="nil"/>
          <w:insideV w:val="nil"/>
          <w:tl2br w:val="nil"/>
          <w:tr2bl w:val="nil"/>
        </w:tcBorders>
        <w:shd w:val="solid" w:color="008080" w:fill="FFFFFF"/>
      </w:tcPr>
    </w:tblStylePr>
    <w:tblStylePr w:type="nwCell">
      <w:rPr>
        <w:b/>
        <w:bCs/>
        <w:color w:val="FFFFFF"/>
      </w:rPr>
      <w:tcPr>
        <w:tcBorders>
          <w:top w:val="nil"/>
          <w:left w:val="nil"/>
          <w:bottom w:val="nil"/>
          <w:right w:val="nil"/>
          <w:insideH w:val="nil"/>
          <w:insideV w:val="nil"/>
          <w:tl2br w:val="nil"/>
          <w:tr2bl w:val="nil"/>
        </w:tcBorders>
        <w:shd w:val="solid" w:color="000000" w:fill="FFFFFF"/>
      </w:tcPr>
    </w:tblStylePr>
  </w:style>
  <w:style w:type="table" w:customStyle="1" w:styleId="4084">
    <w:name w:val="网格型232"/>
    <w:basedOn w:val="88"/>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085">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4086">
    <w:name w:val="本文格式"/>
    <w:qFormat/>
    <w:uiPriority w:val="0"/>
    <w:pPr>
      <w:widowControl w:val="0"/>
      <w:spacing w:line="360" w:lineRule="exact"/>
      <w:ind w:firstLine="476"/>
      <w:jc w:val="both"/>
    </w:pPr>
    <w:rPr>
      <w:rFonts w:ascii="Arial Unicode MS" w:hAnsi="Arial Unicode MS" w:eastAsia="Arial Unicode MS" w:cs="Arial Unicode MS"/>
      <w:color w:val="000000"/>
      <w:sz w:val="24"/>
      <w:szCs w:val="24"/>
      <w:u w:color="000000"/>
      <w:lang w:val="en-US" w:eastAsia="zh-CN" w:bidi="ar-SA"/>
    </w:rPr>
  </w:style>
  <w:style w:type="paragraph" w:customStyle="1" w:styleId="4087">
    <w:name w:val="样式 首行缩进:  1.04 厘米"/>
    <w:qFormat/>
    <w:uiPriority w:val="0"/>
    <w:pPr>
      <w:widowControl w:val="0"/>
      <w:spacing w:line="360" w:lineRule="auto"/>
    </w:pPr>
    <w:rPr>
      <w:rFonts w:ascii="Times New Roman" w:hAnsi="Times New Roman" w:eastAsia="Arial Unicode MS" w:cs="Arial Unicode MS"/>
      <w:color w:val="000000"/>
      <w:sz w:val="24"/>
      <w:szCs w:val="24"/>
      <w:u w:color="000000"/>
      <w:lang w:val="en-US" w:eastAsia="zh-CN" w:bidi="ar-SA"/>
    </w:rPr>
  </w:style>
  <w:style w:type="table" w:customStyle="1" w:styleId="4088">
    <w:name w:val="Table Grid_0"/>
    <w:qFormat/>
    <w:uiPriority w:val="0"/>
    <w:rPr>
      <w:rFonts w:eastAsia="仿宋"/>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4089">
    <w:name w:val="font112"/>
    <w:qFormat/>
    <w:uiPriority w:val="0"/>
    <w:rPr>
      <w:rFonts w:hint="eastAsia" w:ascii="宋体" w:hAnsi="宋体" w:eastAsia="宋体" w:cs="宋体"/>
      <w:b/>
      <w:bCs/>
      <w:color w:val="000000"/>
      <w:sz w:val="18"/>
      <w:szCs w:val="18"/>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59.png"/><Relationship Id="rId98" Type="http://schemas.openxmlformats.org/officeDocument/2006/relationships/image" Target="media/image58.png"/><Relationship Id="rId97" Type="http://schemas.openxmlformats.org/officeDocument/2006/relationships/image" Target="media/image57.wmf"/><Relationship Id="rId96" Type="http://schemas.openxmlformats.org/officeDocument/2006/relationships/oleObject" Target="embeddings/oleObject4.bin"/><Relationship Id="rId95" Type="http://schemas.openxmlformats.org/officeDocument/2006/relationships/image" Target="media/image56.wmf"/><Relationship Id="rId94" Type="http://schemas.openxmlformats.org/officeDocument/2006/relationships/oleObject" Target="embeddings/oleObject3.bin"/><Relationship Id="rId93" Type="http://schemas.openxmlformats.org/officeDocument/2006/relationships/image" Target="media/image55.png"/><Relationship Id="rId92" Type="http://schemas.openxmlformats.org/officeDocument/2006/relationships/image" Target="media/image54.png"/><Relationship Id="rId91" Type="http://schemas.openxmlformats.org/officeDocument/2006/relationships/image" Target="media/image53.png"/><Relationship Id="rId90" Type="http://schemas.openxmlformats.org/officeDocument/2006/relationships/image" Target="media/image52.png"/><Relationship Id="rId9" Type="http://schemas.openxmlformats.org/officeDocument/2006/relationships/footer" Target="footer5.xml"/><Relationship Id="rId89" Type="http://schemas.openxmlformats.org/officeDocument/2006/relationships/image" Target="media/image51.png"/><Relationship Id="rId88" Type="http://schemas.openxmlformats.org/officeDocument/2006/relationships/image" Target="media/image50.png"/><Relationship Id="rId87" Type="http://schemas.openxmlformats.org/officeDocument/2006/relationships/image" Target="media/image49.png"/><Relationship Id="rId86" Type="http://schemas.openxmlformats.org/officeDocument/2006/relationships/image" Target="media/image48.wmf"/><Relationship Id="rId85" Type="http://schemas.openxmlformats.org/officeDocument/2006/relationships/image" Target="media/image47.wmf"/><Relationship Id="rId84" Type="http://schemas.openxmlformats.org/officeDocument/2006/relationships/image" Target="media/image46.wmf"/><Relationship Id="rId83" Type="http://schemas.openxmlformats.org/officeDocument/2006/relationships/image" Target="media/image45.wmf"/><Relationship Id="rId82" Type="http://schemas.openxmlformats.org/officeDocument/2006/relationships/image" Target="media/image44.png"/><Relationship Id="rId81" Type="http://schemas.openxmlformats.org/officeDocument/2006/relationships/image" Target="media/image43.png"/><Relationship Id="rId80" Type="http://schemas.openxmlformats.org/officeDocument/2006/relationships/image" Target="media/image42.png"/><Relationship Id="rId8" Type="http://schemas.openxmlformats.org/officeDocument/2006/relationships/footer" Target="footer4.xml"/><Relationship Id="rId79" Type="http://schemas.openxmlformats.org/officeDocument/2006/relationships/image" Target="media/image41.png"/><Relationship Id="rId78" Type="http://schemas.openxmlformats.org/officeDocument/2006/relationships/image" Target="media/image40.png"/><Relationship Id="rId77" Type="http://schemas.openxmlformats.org/officeDocument/2006/relationships/image" Target="media/image39.png"/><Relationship Id="rId76" Type="http://schemas.openxmlformats.org/officeDocument/2006/relationships/image" Target="media/image38.png"/><Relationship Id="rId75" Type="http://schemas.openxmlformats.org/officeDocument/2006/relationships/image" Target="media/image37.png"/><Relationship Id="rId74" Type="http://schemas.openxmlformats.org/officeDocument/2006/relationships/image" Target="media/image36.png"/><Relationship Id="rId73" Type="http://schemas.openxmlformats.org/officeDocument/2006/relationships/image" Target="media/image35.png"/><Relationship Id="rId72" Type="http://schemas.openxmlformats.org/officeDocument/2006/relationships/image" Target="media/image34.png"/><Relationship Id="rId71" Type="http://schemas.openxmlformats.org/officeDocument/2006/relationships/image" Target="media/image33.emf"/><Relationship Id="rId70" Type="http://schemas.openxmlformats.org/officeDocument/2006/relationships/image" Target="media/image32.png"/><Relationship Id="rId7" Type="http://schemas.openxmlformats.org/officeDocument/2006/relationships/footer" Target="footer3.xml"/><Relationship Id="rId69" Type="http://schemas.openxmlformats.org/officeDocument/2006/relationships/image" Target="media/image31.wmf"/><Relationship Id="rId68" Type="http://schemas.openxmlformats.org/officeDocument/2006/relationships/image" Target="media/image30.png"/><Relationship Id="rId67" Type="http://schemas.openxmlformats.org/officeDocument/2006/relationships/image" Target="media/image29.wmf"/><Relationship Id="rId66" Type="http://schemas.openxmlformats.org/officeDocument/2006/relationships/image" Target="media/image28.png"/><Relationship Id="rId65" Type="http://schemas.openxmlformats.org/officeDocument/2006/relationships/image" Target="media/image27.png"/><Relationship Id="rId64" Type="http://schemas.openxmlformats.org/officeDocument/2006/relationships/image" Target="media/image26.png"/><Relationship Id="rId63" Type="http://schemas.openxmlformats.org/officeDocument/2006/relationships/image" Target="media/image25.png"/><Relationship Id="rId62" Type="http://schemas.openxmlformats.org/officeDocument/2006/relationships/image" Target="media/image24.emf"/><Relationship Id="rId61" Type="http://schemas.openxmlformats.org/officeDocument/2006/relationships/package" Target="embeddings/Microsoft_Visio___9.vsdx"/><Relationship Id="rId60" Type="http://schemas.openxmlformats.org/officeDocument/2006/relationships/image" Target="media/image23.emf"/><Relationship Id="rId6" Type="http://schemas.openxmlformats.org/officeDocument/2006/relationships/footer" Target="footer2.xml"/><Relationship Id="rId59" Type="http://schemas.openxmlformats.org/officeDocument/2006/relationships/package" Target="embeddings/Microsoft_Visio___8.vsdx"/><Relationship Id="rId58" Type="http://schemas.openxmlformats.org/officeDocument/2006/relationships/image" Target="media/image22.emf"/><Relationship Id="rId57" Type="http://schemas.openxmlformats.org/officeDocument/2006/relationships/package" Target="embeddings/Microsoft_Visio___7.vsdx"/><Relationship Id="rId56" Type="http://schemas.openxmlformats.org/officeDocument/2006/relationships/image" Target="media/image21.emf"/><Relationship Id="rId55" Type="http://schemas.openxmlformats.org/officeDocument/2006/relationships/package" Target="embeddings/Microsoft_Visio___6.vsdx"/><Relationship Id="rId54" Type="http://schemas.openxmlformats.org/officeDocument/2006/relationships/image" Target="media/image20.emf"/><Relationship Id="rId53" Type="http://schemas.openxmlformats.org/officeDocument/2006/relationships/package" Target="embeddings/Microsoft_Visio___5.vsdx"/><Relationship Id="rId52" Type="http://schemas.openxmlformats.org/officeDocument/2006/relationships/image" Target="media/image19.emf"/><Relationship Id="rId51" Type="http://schemas.openxmlformats.org/officeDocument/2006/relationships/package" Target="embeddings/Microsoft_Visio___4.vsdx"/><Relationship Id="rId50" Type="http://schemas.openxmlformats.org/officeDocument/2006/relationships/image" Target="media/image18.emf"/><Relationship Id="rId5" Type="http://schemas.openxmlformats.org/officeDocument/2006/relationships/header" Target="header2.xml"/><Relationship Id="rId49" Type="http://schemas.openxmlformats.org/officeDocument/2006/relationships/package" Target="embeddings/Microsoft_Visio___3.vsdx"/><Relationship Id="rId48" Type="http://schemas.openxmlformats.org/officeDocument/2006/relationships/image" Target="media/image17.png"/><Relationship Id="rId47" Type="http://schemas.openxmlformats.org/officeDocument/2006/relationships/image" Target="media/image16.emf"/><Relationship Id="rId46" Type="http://schemas.openxmlformats.org/officeDocument/2006/relationships/package" Target="embeddings/Microsoft_Visio___2.vsdx"/><Relationship Id="rId45" Type="http://schemas.openxmlformats.org/officeDocument/2006/relationships/image" Target="media/image15.emf"/><Relationship Id="rId44" Type="http://schemas.openxmlformats.org/officeDocument/2006/relationships/package" Target="embeddings/Microsoft_Visio___1.vsdx"/><Relationship Id="rId43" Type="http://schemas.openxmlformats.org/officeDocument/2006/relationships/image" Target="media/image14.png"/><Relationship Id="rId42" Type="http://schemas.openxmlformats.org/officeDocument/2006/relationships/image" Target="media/image13.png"/><Relationship Id="rId41" Type="http://schemas.openxmlformats.org/officeDocument/2006/relationships/image" Target="media/image12.png"/><Relationship Id="rId40" Type="http://schemas.openxmlformats.org/officeDocument/2006/relationships/image" Target="media/image11.wmf"/><Relationship Id="rId4" Type="http://schemas.openxmlformats.org/officeDocument/2006/relationships/footer" Target="footer1.xml"/><Relationship Id="rId39" Type="http://schemas.openxmlformats.org/officeDocument/2006/relationships/oleObject" Target="embeddings/oleObject2.bin"/><Relationship Id="rId38" Type="http://schemas.openxmlformats.org/officeDocument/2006/relationships/image" Target="media/image10.png"/><Relationship Id="rId37" Type="http://schemas.openxmlformats.org/officeDocument/2006/relationships/image" Target="media/image9.png"/><Relationship Id="rId36" Type="http://schemas.openxmlformats.org/officeDocument/2006/relationships/image" Target="media/image8.png"/><Relationship Id="rId35" Type="http://schemas.openxmlformats.org/officeDocument/2006/relationships/image" Target="media/image7.png"/><Relationship Id="rId34" Type="http://schemas.openxmlformats.org/officeDocument/2006/relationships/image" Target="media/image6.wmf"/><Relationship Id="rId33" Type="http://schemas.openxmlformats.org/officeDocument/2006/relationships/oleObject" Target="embeddings/oleObject1.bin"/><Relationship Id="rId32" Type="http://schemas.openxmlformats.org/officeDocument/2006/relationships/image" Target="media/image5.png"/><Relationship Id="rId31" Type="http://schemas.openxmlformats.org/officeDocument/2006/relationships/image" Target="media/image4.jpeg"/><Relationship Id="rId30" Type="http://schemas.openxmlformats.org/officeDocument/2006/relationships/image" Target="media/image3.png"/><Relationship Id="rId3" Type="http://schemas.openxmlformats.org/officeDocument/2006/relationships/header" Target="header1.xml"/><Relationship Id="rId29" Type="http://schemas.openxmlformats.org/officeDocument/2006/relationships/image" Target="media/image2.png"/><Relationship Id="rId28" Type="http://schemas.openxmlformats.org/officeDocument/2006/relationships/image" Target="media/image1.png"/><Relationship Id="rId27" Type="http://schemas.openxmlformats.org/officeDocument/2006/relationships/theme" Target="theme/theme1.xml"/><Relationship Id="rId26" Type="http://schemas.openxmlformats.org/officeDocument/2006/relationships/footer" Target="footer15.xml"/><Relationship Id="rId25" Type="http://schemas.openxmlformats.org/officeDocument/2006/relationships/header" Target="header9.xml"/><Relationship Id="rId24" Type="http://schemas.openxmlformats.org/officeDocument/2006/relationships/footer" Target="footer14.xml"/><Relationship Id="rId23" Type="http://schemas.openxmlformats.org/officeDocument/2006/relationships/footer" Target="footer13.xml"/><Relationship Id="rId22" Type="http://schemas.openxmlformats.org/officeDocument/2006/relationships/header" Target="header8.xml"/><Relationship Id="rId21" Type="http://schemas.openxmlformats.org/officeDocument/2006/relationships/header" Target="header7.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11.xml"/><Relationship Id="rId17" Type="http://schemas.openxmlformats.org/officeDocument/2006/relationships/header" Target="header5.xml"/><Relationship Id="rId16" Type="http://schemas.openxmlformats.org/officeDocument/2006/relationships/footer" Target="footer10.xml"/><Relationship Id="rId15" Type="http://schemas.openxmlformats.org/officeDocument/2006/relationships/header" Target="header4.xml"/><Relationship Id="rId14" Type="http://schemas.openxmlformats.org/officeDocument/2006/relationships/footer" Target="footer9.xml"/><Relationship Id="rId131" Type="http://schemas.openxmlformats.org/officeDocument/2006/relationships/fontTable" Target="fontTable.xml"/><Relationship Id="rId130" Type="http://schemas.openxmlformats.org/officeDocument/2006/relationships/customXml" Target="../customXml/item2.xml"/><Relationship Id="rId13" Type="http://schemas.openxmlformats.org/officeDocument/2006/relationships/footer" Target="footer8.xml"/><Relationship Id="rId129" Type="http://schemas.openxmlformats.org/officeDocument/2006/relationships/numbering" Target="numbering.xml"/><Relationship Id="rId128" Type="http://schemas.openxmlformats.org/officeDocument/2006/relationships/customXml" Target="../customXml/item1.xml"/><Relationship Id="rId127" Type="http://schemas.openxmlformats.org/officeDocument/2006/relationships/image" Target="media/image85.png"/><Relationship Id="rId126" Type="http://schemas.openxmlformats.org/officeDocument/2006/relationships/image" Target="media/image84.png"/><Relationship Id="rId125" Type="http://schemas.openxmlformats.org/officeDocument/2006/relationships/image" Target="media/image83.emf"/><Relationship Id="rId124" Type="http://schemas.openxmlformats.org/officeDocument/2006/relationships/image" Target="media/image82.emf"/><Relationship Id="rId123" Type="http://schemas.openxmlformats.org/officeDocument/2006/relationships/image" Target="media/image81.emf"/><Relationship Id="rId122" Type="http://schemas.openxmlformats.org/officeDocument/2006/relationships/image" Target="media/image80.emf"/><Relationship Id="rId121" Type="http://schemas.openxmlformats.org/officeDocument/2006/relationships/image" Target="media/image79.emf"/><Relationship Id="rId120" Type="http://schemas.openxmlformats.org/officeDocument/2006/relationships/image" Target="media/image78.png"/><Relationship Id="rId12" Type="http://schemas.openxmlformats.org/officeDocument/2006/relationships/footer" Target="footer7.xml"/><Relationship Id="rId119" Type="http://schemas.openxmlformats.org/officeDocument/2006/relationships/image" Target="media/image77.png"/><Relationship Id="rId118" Type="http://schemas.openxmlformats.org/officeDocument/2006/relationships/image" Target="media/image76.png"/><Relationship Id="rId117" Type="http://schemas.openxmlformats.org/officeDocument/2006/relationships/image" Target="media/image75.png"/><Relationship Id="rId116" Type="http://schemas.openxmlformats.org/officeDocument/2006/relationships/image" Target="media/image74.png"/><Relationship Id="rId115" Type="http://schemas.openxmlformats.org/officeDocument/2006/relationships/image" Target="media/image73.jpeg"/><Relationship Id="rId114" Type="http://schemas.openxmlformats.org/officeDocument/2006/relationships/image" Target="media/image72.png"/><Relationship Id="rId113" Type="http://schemas.openxmlformats.org/officeDocument/2006/relationships/image" Target="media/image71.png"/><Relationship Id="rId112" Type="http://schemas.openxmlformats.org/officeDocument/2006/relationships/image" Target="media/image70.png"/><Relationship Id="rId111" Type="http://schemas.openxmlformats.org/officeDocument/2006/relationships/image" Target="media/image69.png"/><Relationship Id="rId110" Type="http://schemas.openxmlformats.org/officeDocument/2006/relationships/image" Target="media/image68.png"/><Relationship Id="rId11" Type="http://schemas.openxmlformats.org/officeDocument/2006/relationships/header" Target="header3.xml"/><Relationship Id="rId109" Type="http://schemas.openxmlformats.org/officeDocument/2006/relationships/image" Target="media/image67.png"/><Relationship Id="rId108" Type="http://schemas.openxmlformats.org/officeDocument/2006/relationships/image" Target="media/image66.png"/><Relationship Id="rId107" Type="http://schemas.openxmlformats.org/officeDocument/2006/relationships/image" Target="media/image65.png"/><Relationship Id="rId106" Type="http://schemas.openxmlformats.org/officeDocument/2006/relationships/image" Target="media/image64.png"/><Relationship Id="rId105" Type="http://schemas.openxmlformats.org/officeDocument/2006/relationships/image" Target="media/image63.wmf"/><Relationship Id="rId104" Type="http://schemas.openxmlformats.org/officeDocument/2006/relationships/oleObject" Target="embeddings/oleObject6.bin"/><Relationship Id="rId103" Type="http://schemas.openxmlformats.org/officeDocument/2006/relationships/image" Target="media/image62.wmf"/><Relationship Id="rId102" Type="http://schemas.openxmlformats.org/officeDocument/2006/relationships/oleObject" Target="embeddings/oleObject5.bin"/><Relationship Id="rId101" Type="http://schemas.openxmlformats.org/officeDocument/2006/relationships/image" Target="media/image61.png"/><Relationship Id="rId100" Type="http://schemas.openxmlformats.org/officeDocument/2006/relationships/image" Target="media/image60.png"/><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6BBBF8-ACC4-4EAD-A8A6-AE8F72BDD4D6}">
  <ds:schemaRefs/>
</ds:datastoreItem>
</file>

<file path=docProps/app.xml><?xml version="1.0" encoding="utf-8"?>
<Properties xmlns="http://schemas.openxmlformats.org/officeDocument/2006/extended-properties" xmlns:vt="http://schemas.openxmlformats.org/officeDocument/2006/docPropsVTypes">
  <Template>Normal</Template>
  <Pages>320</Pages>
  <Words>2383</Words>
  <Characters>3519</Characters>
  <Lines>1875</Lines>
  <Paragraphs>528</Paragraphs>
  <TotalTime>14991</TotalTime>
  <ScaleCrop>false</ScaleCrop>
  <LinksUpToDate>false</LinksUpToDate>
  <CharactersWithSpaces>3768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2026-05-14T09:31:00Z</dcterms:created>
  <dc:creator>Administrator</dc:creator>
  <cp:lastModifiedBy>等风</cp:lastModifiedBy>
  <cp:lastPrinted>2026-07-14T01:31:00Z</cp:lastPrinted>
  <dcterms:modified xsi:type="dcterms:W3CDTF">2026-08-24T02:56:40Z</dcterms:modified>
  <cp:revision>947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299032194F3649A8A825F16330878375_13</vt:lpwstr>
  </property>
  <property fmtid="{D5CDD505-2E9C-101B-9397-08002B2CF9AE}" pid="4" name="KSOTemplateDocerSaveRecord">
    <vt:lpwstr>eyJoZGlkIjoiNDE1YjM3OTVhNDdiNDkzZDkyYTdiMjQzNmVhMGI4OWIiLCJ1c2VySWQiOiI1MTQ5MTEwMzUifQ==</vt:lpwstr>
  </property>
</Properties>
</file>